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International Conference Program</w:t>
      </w:r>
    </w:p>
    <w:p>
      <w:r>
        <w:t>This document describes the conference program covering all paper presentation sessions, speaker biographies, and venue information for participants and speakers attending the international academic conference. The program has been finalized after extensive review by the program committee.</w:t>
      </w:r>
    </w:p>
    <w:p>
      <w:pPr>
        <w:pStyle w:val="Heading1"/>
      </w:pPr>
      <w:r>
        <w:t>Schedule Overview</w:t>
      </w:r>
    </w:p>
    <w:p>
      <w:r>
        <w:t>The conference takes place over three days. Each session is allocated 90 minutes with a 15-minute break in between. The schedule below shows all accepted papers grouped into thematic sessions to maximize participant engagement and discussion opportunities.</w:t>
      </w:r>
    </w:p>
    <w:p>
      <w:pPr>
        <w:pStyle w:val="Heading1"/>
      </w:pPr>
      <w:r>
        <w:t>Session 1: Machine Learning</w:t>
      </w:r>
    </w:p>
    <w:p>
      <w:r>
        <w:t>Papers in this session focus on the application of federated learning techniques in healthcare. The session opens with an introductory talk by the program chair followed by three full-length paper presentations. Speakers will present their findings and answer questions from the audience.</w:t>
      </w:r>
    </w:p>
    <w:p>
      <w:pPr>
        <w:pStyle w:val="Heading1"/>
      </w:pPr>
      <w:r>
        <w:t>Session 2: NLP and Robotics</w:t>
      </w:r>
    </w:p>
    <w:p>
      <w:r>
        <w:t>This session combines language understanding with embodied agents. Speakers will demonstrate large-language-model controlled robotic systems and present recent advances in conversational pretraining and dialogue agents.</w:t>
      </w:r>
    </w:p>
    <w:p>
      <w:pPr>
        <w:pStyle w:val="Heading1"/>
      </w:pPr>
      <w:r>
        <w:t>Speaker Biographies</w:t>
      </w:r>
    </w:p>
    <w:p>
      <w:r>
        <w:t>Speakers come from diverse backgrounds including academia and industry. Detailed biographies have been collected and reviewed by the program committee to ensure speaker diversity and balance across research areas and institutions worldwide.</w:t>
      </w:r>
    </w:p>
    <w:p>
      <w:pPr>
        <w:pStyle w:val="Heading1"/>
      </w:pPr>
      <w:r>
        <w:t>Logistics and Travel</w:t>
      </w:r>
    </w:p>
    <w:p>
      <w:r>
        <w:t>The conference venue is centrally located with public transit access. Recommended hotels are listed below with discounted rates available for registered participants. Parking is available at the venue for participants travelling by car.</w:t>
      </w:r>
    </w:p>
    <w:p>
      <w:r>
        <w:t>Coordination meetings with conference staff and volunteers will be held the day before the official conference start to finalize arrangements and ensure readiness for participants and speakers travelling from around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