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Advisor Recommendations</w:t>
      </w:r>
    </w:p>
    <w:p>
      <w:r>
        <w:t>This document compiles intervention recommendations for academic advisors regarding at-risk students identified through the enrollment analysis dashboard.</w:t>
      </w:r>
    </w:p>
    <w:p>
      <w:pPr>
        <w:pStyle w:val="Heading1"/>
      </w:pPr>
      <w:r>
        <w:t>At-Risk Student Profile</w:t>
      </w:r>
    </w:p>
    <w:p>
      <w:r>
        <w:t>Students flagged at high risk show a combination of low quiz scores, incomplete assignment submissions, and limited course participation. These early warning signals correlate strongly with eventual course failure if not addressed within the first six weeks.</w:t>
      </w:r>
    </w:p>
    <w:p>
      <w:pPr>
        <w:pStyle w:val="Heading1"/>
      </w:pPr>
      <w:r>
        <w:t>Recommended Interventions</w:t>
      </w:r>
    </w:p>
    <w:p>
      <w:r>
        <w:t>First, schedule one-on-one meetings with each at-risk student during the next two weeks to discuss their academic standing and identify specific obstacles they are facing this semester.</w:t>
      </w:r>
    </w:p>
    <w:p>
      <w:r>
        <w:t>Second, refer students to available academic support services including tutoring centers, writing labs, and time-management workshops based on their individual needs and risk factors.</w:t>
      </w:r>
    </w:p>
    <w:p>
      <w:r>
        <w:t>Third, evaluate course load adjustments such as reducing concurrent enrollment or moving select courses to a later semester if multiple high-risk indicators are present in a single student.</w:t>
      </w:r>
    </w:p>
    <w:p>
      <w:pPr>
        <w:pStyle w:val="Heading1"/>
      </w:pPr>
      <w:r>
        <w:t>Follow-up Actions</w:t>
      </w:r>
    </w:p>
    <w:p>
      <w:r>
        <w:t>A follow-up meeting with all academic advisors will be held to discuss intervention implementation strategies and track student outcomes over the next month. Detailed enrollment data, performance indicators, and student-level recommendations are provided in the accompanying spreadsheet.</w:t>
      </w:r>
    </w:p>
    <w:p>
      <w:r>
        <w:t>Continued monitoring of intervention effectiveness will guide refinement of our early-warning processes for future cohorts of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