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Lit Review Analysis</w:t>
      </w:r>
    </w:p>
    <w:p>
      <w:pPr>
        <w:pStyle w:val="Heading1"/>
      </w:pPr>
      <w:r>
        <w:t>Executive Summary</w:t>
      </w:r>
    </w:p>
    <w:p>
      <w:r>
        <w:t>This analysis covers the arxiv litreview domain with data from multiple sources, summarizing four relevant papers covering LLM scaling, vision transformers, multi-agent reinforcement learning, and federated learning.</w:t>
      </w:r>
    </w:p>
    <w:p>
      <w:pPr>
        <w:pStyle w:val="Heading1"/>
      </w:pPr>
      <w:r>
        <w:t>Key Findings</w:t>
      </w:r>
    </w:p>
    <w:p>
      <w:r>
        <w:t>The analysis reveals several important trends. Scaling Laws for LLMs (paper 2301.01234) achieves the highest relevance score (95). Vision Transformers and Multi-Agent RL show emerging maturity. The federated learning area is promising but has the lowest relevance among the four core papers.</w:t>
      </w:r>
    </w:p>
    <w:p>
      <w:pPr>
        <w:pStyle w:val="Heading1"/>
      </w:pPr>
      <w:r>
        <w:t>Recommendations</w:t>
      </w:r>
    </w:p>
    <w:p>
      <w:r>
        <w:t>Based on the findings, we recommend (1) deep-dive review of the LLM scaling literature, (2) literature survey on vision transformers, and (3) targeted research on federated learning gaps.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