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Outcomes Clinical Evidence Report</w:t>
      </w:r>
    </w:p>
    <w:p>
      <w:pPr>
        <w:pStyle w:val="Heading1"/>
      </w:pPr>
      <w:r>
        <w:t>Executive Summary</w:t>
      </w:r>
    </w:p>
    <w:p>
      <w:r>
        <w:t>Comprehensive comparative analysis of 480 patients across 3 treatment protocols with effectiveness and safety metrics. Protocol-B emerges as the best performer with 82.3% effectiveness.</w:t>
      </w:r>
    </w:p>
    <w:p>
      <w:pPr>
        <w:pStyle w:val="Heading1"/>
      </w:pPr>
      <w:r>
        <w:t>Treatment Protocol Comparison</w:t>
      </w:r>
    </w:p>
    <w:p>
      <w:r>
        <w:t>Protocol-B delivers superior clinical outcomes (82.3% effectiveness, 4.8 days LOS) compared with Protocol-A (78.5%) and Protocol-C (75%).</w:t>
      </w:r>
    </w:p>
    <w:p>
      <w:pPr>
        <w:pStyle w:val="Heading1"/>
      </w:pPr>
      <w:r>
        <w:t>Key Findings</w:t>
      </w:r>
    </w:p>
    <w:p>
      <w:r>
        <w:t>Provider-X shows the lowest readmission rate at 5%; the protocol implementation fidelity correlates strongly with patient-reported outcomes.</w:t>
      </w:r>
    </w:p>
    <w:p>
      <w:pPr>
        <w:pStyle w:val="Heading1"/>
      </w:pPr>
      <w:r>
        <w:t>Recommendations</w:t>
      </w:r>
    </w:p>
    <w:p>
      <w:r>
        <w:t>1. Adopt Protocol-B as standard. 2. Disseminate Provider-X best practices. 3. Establish monthly outcome tracking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