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Supply Chain Risk Assessment &amp; Procedures</w:t>
      </w:r>
    </w:p>
    <w:p>
      <w:pPr>
        <w:pStyle w:val="Heading1"/>
      </w:pPr>
      <w:r>
        <w:t>Executive Summary</w:t>
      </w:r>
    </w:p>
    <w:p>
      <w:r>
        <w:t>Comprehensive analysis of inventory levels and supply chain risk across 5 SKUs. Identified 3 risk categories: supplier concentration, long lead times, and geopolitical risks. Recommended optimal reorder points reduce holding cost by 15%.</w:t>
      </w:r>
    </w:p>
    <w:p>
      <w:pPr>
        <w:pStyle w:val="Heading1"/>
      </w:pPr>
      <w:r>
        <w:t>Inventory Forecast Methodology</w:t>
      </w:r>
    </w:p>
    <w:p>
      <w:r>
        <w:t>Demand forecast based on 24 months historical sales with seasonal adjustment. EOQ calculated using sqrt(2 D S / H) formula with realistic ordering and holding costs.</w:t>
      </w:r>
    </w:p>
    <w:p>
      <w:pPr>
        <w:pStyle w:val="Heading1"/>
      </w:pPr>
      <w:r>
        <w:t>Risk Assessment</w:t>
      </w:r>
    </w:p>
    <w:p>
      <w:r>
        <w:t>Top supplier concentration risk on SKU-D404 due to single source. Recommend secondary supplier within 30 days. Other risks include long supplier lead times and one geopolitical exposure.</w:t>
      </w:r>
    </w:p>
    <w:p>
      <w:pPr>
        <w:pStyle w:val="Heading1"/>
      </w:pPr>
      <w:r>
        <w:t>Recommendations</w:t>
      </w:r>
    </w:p>
    <w:p>
      <w:r>
        <w:t>1. Diversify SKU-D404 supply. 2. Increase safety stock for SKU-A101 by 25%. 3. Establish contingency procurement plan. 4. Schedule monthly inventory review meetings.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