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Outcomes Assessment - Findings &amp; Recommendations</w:t>
      </w:r>
    </w:p>
    <w:p>
      <w:pPr>
        <w:pStyle w:val="Heading2"/>
      </w:pPr>
      <w:r>
        <w:t>Executive Summary</w:t>
      </w:r>
    </w:p>
    <w:p>
      <w:r>
        <w:t>This report summarizes the learning outcomes assessment workflow conducted for the academic period. Aggregate mastery rates ranged from 71% (LO3 Communication) to 85% (LO4 Domain Knowledge) across 145 students. Item analysis identified two questions requiring revision (Q3 too easy, Q4 low discrimination). Demographic gaps of 7.5 percentage points were observed between first-generation and continuing-generation students.</w:t>
      </w:r>
    </w:p>
    <w:p>
      <w:pPr>
        <w:pStyle w:val="Heading2"/>
      </w:pPr>
      <w:r>
        <w:t>Key Findings</w:t>
      </w:r>
    </w:p>
    <w:p>
      <w:r>
        <w:t>Finding 1: Communication learning objective (LO3) achieved 71% mastery, below the 80% institutional target. Recommend dedicated speaking workshops in the curriculum.</w:t>
      </w:r>
    </w:p>
    <w:p>
      <w:r>
        <w:t>Finding 2: Item analysis revealed Q3 with 91% answering correctly (insufficient discrimination) and Q4 with only 25% correct and 0.08 discrimination index, suggesting either ambiguous wording or content not covered.</w:t>
      </w:r>
    </w:p>
    <w:p>
      <w:r>
        <w:t>Finding 3: Demographic gap of -7.5pp for first-generation students versus the cohort mean indicates a need for targeted support such as tutoring or supplemental instruction.</w:t>
      </w:r>
    </w:p>
    <w:p>
      <w:pPr>
        <w:pStyle w:val="Heading2"/>
      </w:pPr>
      <w:r>
        <w:t>Recommendations</w:t>
      </w:r>
    </w:p>
    <w:p>
      <w:r>
        <w:t>Recommendation 1: Embed two oral-communication assignments in LO3-aligned units to lift mastery toward the 80% target.</w:t>
      </w:r>
    </w:p>
    <w:p>
      <w:r>
        <w:t>Recommendation 2: Revise Q3 (raise difficulty) and Q4 (clarify wording) before next administration.</w:t>
      </w:r>
    </w:p>
    <w:p>
      <w:r>
        <w:t>Recommendation 3: Establish a first-generation peer-mentoring pilot for the next cohort and re-assess gap.</w:t>
      </w:r>
    </w:p>
    <w:p>
      <w:r>
        <w:t>Recommendation 4: Schedule a curriculum review meeting with faculty to present findings and agree on implementation timeline.</w:t>
      </w:r>
    </w:p>
    <w:p>
      <w:pPr>
        <w:pStyle w:val="Heading2"/>
      </w:pPr>
      <w:r>
        <w:t>Implementation Plan</w:t>
      </w:r>
    </w:p>
    <w:p>
      <w:r>
        <w:t>Curriculum review meeting will be held with academic leadership and faculty to discuss these recommendations, set implementation milestones, and assign owners for each action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