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Portfolio Diversification Strategy Recommendations</w:t>
      </w:r>
    </w:p>
    <w:p>
      <w:pPr>
        <w:pStyle w:val="Heading2"/>
      </w:pPr>
      <w:r>
        <w:t>Executive Summary</w:t>
      </w:r>
    </w:p>
    <w:p>
      <w:r>
        <w:t>This investment strategy document presents the diversification analysis for the current portfolio of equities and equity-proxy holdings. We compute correlations, Sharpe ratios, and beta exposures, then propose three allocation scenarios (conservative / moderate / aggressive growth) per modern portfolio theory.</w:t>
      </w:r>
    </w:p>
    <w:p>
      <w:pPr>
        <w:pStyle w:val="Heading2"/>
      </w:pPr>
      <w:r>
        <w:t>Investment Philosophy &amp; Constraints</w:t>
      </w:r>
    </w:p>
    <w:p>
      <w:r>
        <w:t>Risk-free rate assumed at 4.5%. Constraints: long-only, no leverage, max 25% in any single sector, minimum 8 holdings. Time horizon 5 years.</w:t>
      </w:r>
    </w:p>
    <w:p>
      <w:pPr>
        <w:pStyle w:val="Heading2"/>
      </w:pPr>
      <w:r>
        <w:t>Risk-Return Analysis</w:t>
      </w:r>
    </w:p>
    <w:p>
      <w:r>
        <w:t>The current portfolio shows annualized volatility 18.4%, beta 1.07 vs SPY, and Sharpe ratio 0.62. Correlation matrix indicates Tech-cluster (AAPL/MSFT/GOOGL) exhibiting 0.82+ pairwise correlations - a concentration risk. Energy (XOM) and Gold (GLD) show negative correlation (-0.18) with Tech, providing diversification.</w:t>
      </w:r>
    </w:p>
    <w:p>
      <w:pPr>
        <w:pStyle w:val="Heading2"/>
      </w:pPr>
      <w:r>
        <w:t>Allocation Recommendations</w:t>
      </w:r>
    </w:p>
    <w:p>
      <w:r>
        <w:t>Conservative: 35% large-cap equities, 25% defensive (utilities, consumer staples), 20% gold/commodities, 15% cash, 5% international. Expected return 6.5%, vol 9%.</w:t>
      </w:r>
    </w:p>
    <w:p>
      <w:r>
        <w:t>Moderate: 50% diversified equities, 15% defensive, 15% gold/commodities, 5% cash, 15% international. Expected return 9%, vol 13%.</w:t>
      </w:r>
    </w:p>
    <w:p>
      <w:r>
        <w:t>Aggressive Growth: 70% growth equities, 5% defensive, 10% gold/commodities, 0% cash, 15% international. Expected return 12%, vol 18%.</w:t>
      </w:r>
    </w:p>
    <w:p>
      <w:pPr>
        <w:pStyle w:val="Heading2"/>
      </w:pPr>
      <w:r>
        <w:t>Rebalancing Plan</w:t>
      </w:r>
    </w:p>
    <w:p>
      <w:r>
        <w:t>Reduce Tech overweight from 38% to 25% over 3 trading days. Capital gains implication: ~$45K realized; tax-loss harvest from XOM offsets ~$12K. Phased rebalance recommended to manage market impact.</w:t>
      </w:r>
    </w:p>
    <w:p>
      <w:pPr>
        <w:pStyle w:val="Heading2"/>
      </w:pPr>
      <w:r>
        <w:t>Recommendations &amp; Implementation Roadmap</w:t>
      </w:r>
    </w:p>
    <w:p>
      <w:r>
        <w:t>Recommendation 1: Adopt Moderate allocation as the base case. Implement rebalance in Q2 2026. Recommendation 2: Add GLD to lift correlation diversification. Recommendation 3: Schedule quarterly review with the investment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