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Grading Audit Analysis</w:t>
      </w:r>
    </w:p>
    <w:p>
      <w:pPr>
        <w:pStyle w:val="Heading2"/>
      </w:pPr>
      <w:r>
        <w:t>Executive Summary</w:t>
      </w:r>
    </w:p>
    <w:p>
      <w:r>
        <w:t>This analysis audits the canvas grading domain by comparing internal course performance with external benchmark data. Six core courses were evaluated for enrollment, average score, and pass rate. The audit highlights gaps that warrant action by the course leads and program director.</w:t>
      </w:r>
    </w:p>
    <w:p>
      <w:pPr>
        <w:pStyle w:val="Heading2"/>
      </w:pPr>
      <w:r>
        <w:t>Key Findings</w:t>
      </w:r>
    </w:p>
    <w:p>
      <w:r>
        <w:t>Several courses meet the benchmark while a subset underperform on pass rate. Average score variance is widest in introductory courses; higher-level courses cluster near the benchmark. Enrollment is consistent across the term.</w:t>
      </w:r>
    </w:p>
    <w:p>
      <w:pPr>
        <w:pStyle w:val="Heading2"/>
      </w:pPr>
      <w:r>
        <w:t>Recommendations</w:t>
      </w:r>
    </w:p>
    <w:p>
      <w:r>
        <w:t>Priority 1: Schedule remediation sessions for the courses with the lowest pass rate. Priority 2: Review assessment difficulty for the introductory cohort. Priority 3: Continue current practice for courses meeting or exceeding the benchmark.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