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Wc Reconciliation Analysis</w:t>
      </w:r>
    </w:p>
    <w:p>
      <w:pPr>
        <w:pStyle w:val="Heading2"/>
      </w:pPr>
      <w:r>
        <w:t>Executive Summary</w:t>
      </w:r>
    </w:p>
    <w:p>
      <w:r>
        <w:t>This report reconciles internal WooCommerce sales activity by region against external market-size benchmark data. We identify the regions with the largest market-penetration gaps and recommend coverage actions for the next quarter. The analysis covers five regions and is based on the company data warehouse and the public benchmark dashboard.</w:t>
      </w:r>
    </w:p>
    <w:p>
      <w:pPr>
        <w:pStyle w:val="Heading2"/>
      </w:pPr>
      <w:r>
        <w:t>Key Findings</w:t>
      </w:r>
    </w:p>
    <w:p>
      <w:r>
        <w:t>Penetration is strongest in the regions with the highest order count, while several large-market regions are underrepresented. Average revenue per order is consistent across regions, suggesting the imbalance is on volume rather than ticket size.</w:t>
      </w:r>
    </w:p>
    <w:p>
      <w:pPr>
        <w:pStyle w:val="Heading2"/>
      </w:pPr>
      <w:r>
        <w:t>Recommendations</w:t>
      </w:r>
    </w:p>
    <w:p>
      <w:r>
        <w:t>Priority 1: Increase marketing spend in the under-penetrated regions. Priority 2: Maintain current investment in the leading regions. Priority 3: Re-survey customers in the next cycle to validate market-size assumptions.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