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Institutional Compliance Certificate</w:t>
      </w:r>
    </w:p>
    <w:p>
      <w:r>
        <w:t>This certificate confirms compliance of all archived research datasets with applicable funder retention and preservation policies.</w:t>
      </w:r>
    </w:p>
    <w:p>
      <w:pPr>
        <w:pStyle w:val="Heading1"/>
      </w:pPr>
      <w:r>
        <w:t>Funder Compliance Summary</w:t>
      </w:r>
    </w:p>
    <w:p>
      <w:r>
        <w:t>NSF: Climate study (NSF-2021-CLIM-001) — 7-year retention met. Open access plan in place.</w:t>
      </w:r>
    </w:p>
    <w:p>
      <w:r>
        <w:t>NIH: Health study (NIH-2022-HLTH-002) — 10-year retention. Sensitive PHI de-identified per HIPAA.</w:t>
      </w:r>
    </w:p>
    <w:p>
      <w:r>
        <w:t>DOE: Energy study (DOE-2023-ENRG-003) — 5-year retention. Public access via institutional repository.</w:t>
      </w:r>
    </w:p>
    <w:p>
      <w:pPr>
        <w:pStyle w:val="Heading1"/>
      </w:pPr>
      <w:r>
        <w:t>Preservation and Retention</w:t>
      </w:r>
    </w:p>
    <w:p>
      <w:r>
        <w:t>All datasets are stored on redundant institutional storage with format migration scheduled every 5 years. Retention is enforced via automated policy. Sensitive datasets have access controls and audit logging enabled.</w:t>
      </w:r>
    </w:p>
    <w:p>
      <w:pPr>
        <w:pStyle w:val="Heading1"/>
      </w:pPr>
      <w:r>
        <w:t>Sensitive Data Handling</w:t>
      </w:r>
    </w:p>
    <w:p>
      <w:r>
        <w:t>Datasets flagged as sensitive (e.g. PHI in NIH-2022-HLTH-002) are stored in a controlled-access subsystem with deidentification applied to public-facing exports.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