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Lab Publication Roadmap</w:t>
      </w:r>
    </w:p>
    <w:p>
      <w:pPr>
        <w:pStyle w:val="Heading1"/>
      </w:pPr>
      <w:r>
        <w:t>Major Research Directions</w:t>
      </w:r>
    </w:p>
    <w:p>
      <w:r>
        <w:t>Based on the literature review of papers from 2021-2024, our laboratory should pursue three major directions: (1) novel architectures for complex systems, (2) reproducible experimental pipelines, and (3) ethics-aware methodology.</w:t>
      </w:r>
    </w:p>
    <w:p>
      <w:pPr>
        <w:pStyle w:val="Heading1"/>
      </w:pPr>
      <w:r>
        <w:t>Identified Research Gaps</w:t>
      </w:r>
    </w:p>
    <w:p>
      <w:r>
        <w:t>Several gaps were identified: limited cross-disciplinary studies, insufficient open-data practices in our domain, and a lack of standardized benchmarks.</w:t>
      </w:r>
    </w:p>
    <w:p>
      <w:pPr>
        <w:pStyle w:val="Heading1"/>
      </w:pPr>
      <w:r>
        <w:t>Recommendations</w:t>
      </w:r>
    </w:p>
    <w:p>
      <w:r>
        <w:t>We recommend prioritizing collaborative studies with the AI Frontiers group (Anderson et al.), aligning our experimental protocols with current methodological best practices (Chen et al.), and incorporating ethics review into project design (Martinez et al.).</w:t>
      </w:r>
    </w:p>
    <w:p>
      <w:pPr>
        <w:pStyle w:val="Heading1"/>
      </w:pPr>
      <w:r>
        <w:t>Emerging Trends</w:t>
      </w:r>
    </w:p>
    <w:p>
      <w:r>
        <w:t>Multi-modal AI, reproducibility tooling, and federated experimental pipelines are emerging trends that may impact our research area in the next 2-3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