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2025 Sales Performance by Segment</w:t>
      </w:r>
    </w:p>
    <w:p>
      <w:r>
        <w:t>This report provides a comprehensive overview of Q4 2025 sales performance across all customer segments, comparing actual results against approved targets.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</w:t>
            </w:r>
          </w:p>
        </w:tc>
        <w:tc>
          <w:tcPr>
            <w:tcW w:type="dxa" w:w="1440"/>
          </w:tcPr>
          <w:p>
            <w:r>
              <w:t>Q4_Target</w:t>
            </w:r>
          </w:p>
        </w:tc>
        <w:tc>
          <w:tcPr>
            <w:tcW w:type="dxa" w:w="1440"/>
          </w:tcPr>
          <w:p>
            <w:r>
              <w:t>Q4_Actual</w:t>
            </w:r>
          </w:p>
        </w:tc>
        <w:tc>
          <w:tcPr>
            <w:tcW w:type="dxa" w:w="1440"/>
          </w:tcPr>
          <w:p>
            <w:r>
              <w:t>Order_Count</w:t>
            </w:r>
          </w:p>
        </w:tc>
        <w:tc>
          <w:tcPr>
            <w:tcW w:type="dxa" w:w="1440"/>
          </w:tcPr>
          <w:p>
            <w:r>
              <w:t>Variance</w:t>
            </w:r>
          </w:p>
        </w:tc>
        <w:tc>
          <w:tcPr>
            <w:tcW w:type="dxa" w:w="1440"/>
          </w:tcPr>
          <w:p>
            <w:r>
              <w:t>Achievement_Pct</w:t>
            </w:r>
          </w:p>
        </w:tc>
      </w:tr>
      <w:tr>
        <w:tc>
          <w:tcPr>
            <w:tcW w:type="dxa" w:w="1440"/>
          </w:tcPr>
          <w:p>
            <w:r>
              <w:t>Consumer</w:t>
            </w:r>
          </w:p>
        </w:tc>
        <w:tc>
          <w:tcPr>
            <w:tcW w:type="dxa" w:w="1440"/>
          </w:tcPr>
          <w:p>
            <w:r>
              <w:t>210000.00</w:t>
            </w:r>
          </w:p>
        </w:tc>
        <w:tc>
          <w:tcPr>
            <w:tcW w:type="dxa" w:w="1440"/>
          </w:tcPr>
          <w:p>
            <w:r>
              <w:t>106646.36</w:t>
            </w:r>
          </w:p>
        </w:tc>
        <w:tc>
          <w:tcPr>
            <w:tcW w:type="dxa" w:w="1440"/>
          </w:tcPr>
          <w:p>
            <w:r>
              <w:t>676</w:t>
            </w:r>
          </w:p>
        </w:tc>
        <w:tc>
          <w:tcPr>
            <w:tcW w:type="dxa" w:w="1440"/>
          </w:tcPr>
          <w:p>
            <w:r>
              <w:t>-103353.64</w:t>
            </w:r>
          </w:p>
        </w:tc>
        <w:tc>
          <w:tcPr>
            <w:tcW w:type="dxa" w:w="1440"/>
          </w:tcPr>
          <w:p>
            <w:r>
              <w:t>50.8</w:t>
            </w:r>
          </w:p>
        </w:tc>
      </w:tr>
      <w:tr>
        <w:tc>
          <w:tcPr>
            <w:tcW w:type="dxa" w:w="1440"/>
          </w:tcPr>
          <w:p>
            <w:r>
              <w:t>Enterprise</w:t>
            </w:r>
          </w:p>
        </w:tc>
        <w:tc>
          <w:tcPr>
            <w:tcW w:type="dxa" w:w="1440"/>
          </w:tcPr>
          <w:p>
            <w:r>
              <w:t>200000.00</w:t>
            </w:r>
          </w:p>
        </w:tc>
        <w:tc>
          <w:tcPr>
            <w:tcW w:type="dxa" w:w="1440"/>
          </w:tcPr>
          <w:p>
            <w:r>
              <w:t>112773.74</w:t>
            </w:r>
          </w:p>
        </w:tc>
        <w:tc>
          <w:tcPr>
            <w:tcW w:type="dxa" w:w="1440"/>
          </w:tcPr>
          <w:p>
            <w:r>
              <w:t>656</w:t>
            </w:r>
          </w:p>
        </w:tc>
        <w:tc>
          <w:tcPr>
            <w:tcW w:type="dxa" w:w="1440"/>
          </w:tcPr>
          <w:p>
            <w:r>
              <w:t>-87226.26</w:t>
            </w:r>
          </w:p>
        </w:tc>
        <w:tc>
          <w:tcPr>
            <w:tcW w:type="dxa" w:w="1440"/>
          </w:tcPr>
          <w:p>
            <w:r>
              <w:t>56.4</w:t>
            </w:r>
          </w:p>
        </w:tc>
      </w:tr>
      <w:tr>
        <w:tc>
          <w:tcPr>
            <w:tcW w:type="dxa" w:w="1440"/>
          </w:tcPr>
          <w:p>
            <w:r>
              <w:t>Government</w:t>
            </w:r>
          </w:p>
        </w:tc>
        <w:tc>
          <w:tcPr>
            <w:tcW w:type="dxa" w:w="1440"/>
          </w:tcPr>
          <w:p>
            <w:r>
              <w:t>170000.00</w:t>
            </w:r>
          </w:p>
        </w:tc>
        <w:tc>
          <w:tcPr>
            <w:tcW w:type="dxa" w:w="1440"/>
          </w:tcPr>
          <w:p>
            <w:r>
              <w:t>89129.27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-80870.73</w:t>
            </w:r>
          </w:p>
        </w:tc>
        <w:tc>
          <w:tcPr>
            <w:tcW w:type="dxa" w:w="1440"/>
          </w:tcPr>
          <w:p>
            <w:r>
              <w:t>52.4</w:t>
            </w:r>
          </w:p>
        </w:tc>
      </w:tr>
      <w:tr>
        <w:tc>
          <w:tcPr>
            <w:tcW w:type="dxa" w:w="1440"/>
          </w:tcPr>
          <w:p>
            <w:r>
              <w:t>SMB</w:t>
            </w:r>
          </w:p>
        </w:tc>
        <w:tc>
          <w:tcPr>
            <w:tcW w:type="dxa" w:w="1440"/>
          </w:tcPr>
          <w:p>
            <w:r>
              <w:t>180000.00</w:t>
            </w:r>
          </w:p>
        </w:tc>
        <w:tc>
          <w:tcPr>
            <w:tcW w:type="dxa" w:w="1440"/>
          </w:tcPr>
          <w:p>
            <w:r>
              <w:t>85103.86</w:t>
            </w:r>
          </w:p>
        </w:tc>
        <w:tc>
          <w:tcPr>
            <w:tcW w:type="dxa" w:w="1440"/>
          </w:tcPr>
          <w:p>
            <w:r>
              <w:t>585</w:t>
            </w:r>
          </w:p>
        </w:tc>
        <w:tc>
          <w:tcPr>
            <w:tcW w:type="dxa" w:w="1440"/>
          </w:tcPr>
          <w:p>
            <w:r>
              <w:t>-94896.14</w:t>
            </w:r>
          </w:p>
        </w:tc>
        <w:tc>
          <w:tcPr>
            <w:tcW w:type="dxa" w:w="1440"/>
          </w:tcPr>
          <w:p>
            <w:r>
              <w:t>47.3</w:t>
            </w:r>
          </w:p>
        </w:tc>
      </w:tr>
    </w:tbl>
    <w:p>
      <w:r>
        <w:t>Summary: The overall total target for Q4 2025 was 760000.00 and the total actual sales was 393653.23. Across all segments, 0 segments met or exceeded their approved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