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Success and Retention Analysis Report</w:t>
      </w:r>
    </w:p>
    <w:p>
      <w:r>
        <w:t>This comprehensive report synthesizes data from the learning management system, advisor communications, and the student outcomes data warehouse to evaluate intervention effectiveness across multiple support channels.</w:t>
      </w:r>
    </w:p>
    <w:p>
      <w:pPr>
        <w:pStyle w:val="Heading1"/>
      </w:pPr>
      <w:r>
        <w:t>Engagement Findings</w:t>
      </w:r>
    </w:p>
    <w:p>
      <w:r>
        <w:t>Analysis of student engagement metrics (course access frequency, quiz submissions, discussion board participation) reveals patterns of at-risk behavior. Lower engagement correlates with reduced retention through the following academic term.</w:t>
      </w:r>
    </w:p>
    <w:p>
      <w:pPr>
        <w:pStyle w:val="Heading1"/>
      </w:pPr>
      <w:r>
        <w:t>Advisor Touchpoints and Interventions</w:t>
      </w:r>
    </w:p>
    <w:p>
      <w:r>
        <w:t>Aggregated advisor touchpoint logs document one-on-one meetings, peer-tutoring referrals, and counseling services delivered to students flagged as at-risk. Each intervention type is recorded with date, support area, and outcome category.</w:t>
      </w:r>
    </w:p>
    <w:p>
      <w:pPr>
        <w:pStyle w:val="Heading1"/>
      </w:pPr>
      <w:r>
        <w:t>Outcome Correlations</w:t>
      </w:r>
    </w:p>
    <w:p>
      <w:r>
        <w:t>Linking engagement signals with outcome data produced correlation coefficients between intervention frequency and 12-week retention. Students receiving 3+ touchpoints show meaningfully higher persistence than the unintervened cohort.</w:t>
      </w:r>
    </w:p>
    <w:p>
      <w:pPr>
        <w:pStyle w:val="Heading1"/>
      </w:pPr>
      <w:r>
        <w:t>Recommendations</w:t>
      </w:r>
    </w:p>
    <w:p>
      <w:r>
        <w:t>Recommend prioritising proactive advisor outreach for students whose engagement drops 30 percent week-over-week. Recommend integrating peer-tutoring referrals into early-warning workflows. The strategy emphasises evidence-based, data-driven advisor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