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Supplier Contract Compliance Audit - Executive Summary</w:t>
      </w:r>
    </w:p>
    <w:p>
      <w:pPr>
        <w:pStyle w:val="Heading1"/>
      </w:pPr>
      <w:r>
        <w:t>Audit Scope and Methodology</w:t>
      </w:r>
    </w:p>
    <w:p>
      <w:r>
        <w:t>This audit examined contracts with five major suppliers representing 1.4 million dollars in annual spend. Each contract was systematically reviewed against company compliance standards covering scope definition, service level agreements, payment terms, intellectual property rights, confidentiality provisions, and liability limitations.</w:t>
      </w:r>
    </w:p>
    <w:p>
      <w:pPr>
        <w:pStyle w:val="Heading1"/>
      </w:pPr>
      <w:r>
        <w:t>Overall Compliance Status</w:t>
      </w:r>
    </w:p>
    <w:p>
      <w:pPr>
        <w:pStyle w:val="ListBullet"/>
      </w:pPr>
      <w:r>
        <w:t>Average Compliance Score: 81/100</w:t>
      </w:r>
    </w:p>
    <w:p>
      <w:pPr>
        <w:pStyle w:val="ListBullet"/>
      </w:pPr>
      <w:r>
        <w:t>High Risk Suppliers: 1 (20%)</w:t>
      </w:r>
    </w:p>
    <w:p>
      <w:pPr>
        <w:pStyle w:val="ListBullet"/>
      </w:pPr>
      <w:r>
        <w:t>Medium Risk Suppliers: 2 (40%)</w:t>
      </w:r>
    </w:p>
    <w:p>
      <w:pPr>
        <w:pStyle w:val="ListBullet"/>
      </w:pPr>
      <w:r>
        <w:t>Low Risk Suppliers: 2 (40%)</w:t>
      </w:r>
    </w:p>
    <w:p>
      <w:pPr>
        <w:pStyle w:val="Heading1"/>
      </w:pPr>
      <w:r>
        <w:t>Key Findings</w:t>
      </w:r>
    </w:p>
    <w:p>
      <w:r>
        <w:t>Compliance gaps exist primarily in three areas: liability clauses (40% non-compliant), service level agreements (40% inadequate or missing), and intellectual property definitions (40% ambiguous). One supplier contract significantly deviates from standard payment terms.</w:t>
      </w:r>
    </w:p>
    <w:p>
      <w:pPr>
        <w:pStyle w:val="Heading1"/>
      </w:pPr>
      <w:r>
        <w:t>Strategic Recommendations</w:t>
      </w:r>
    </w:p>
    <w:p>
      <w:pPr>
        <w:pStyle w:val="Heading2"/>
      </w:pPr>
      <w:r>
        <w:t>Immediate Actions (30 days)</w:t>
      </w:r>
    </w:p>
    <w:p>
      <w:pPr>
        <w:pStyle w:val="ListBullet"/>
      </w:pPr>
      <w:r>
        <w:t>Renegotiate payment terms with Quality Manufacturing to align with company standard</w:t>
      </w:r>
    </w:p>
    <w:p>
      <w:pPr>
        <w:pStyle w:val="ListBullet"/>
      </w:pPr>
      <w:r>
        <w:t>Address liability limitations gaps with TechServices Inc and Global Logistics</w:t>
      </w:r>
    </w:p>
    <w:p>
      <w:pPr>
        <w:pStyle w:val="Heading2"/>
      </w:pPr>
      <w:r>
        <w:t>Near-term Actions (30-60 days)</w:t>
      </w:r>
    </w:p>
    <w:p>
      <w:pPr>
        <w:pStyle w:val="ListBullet"/>
      </w:pPr>
      <w:r>
        <w:t>Develop and implement SLA addenda for suppliers lacking service level definitions</w:t>
      </w:r>
    </w:p>
    <w:p>
      <w:pPr>
        <w:pStyle w:val="ListBullet"/>
      </w:pPr>
      <w:r>
        <w:t>Clarify intellectual property ownership terms with Consulting Group Ltd</w:t>
      </w:r>
    </w:p>
    <w:p>
      <w:pPr>
        <w:pStyle w:val="Heading2"/>
      </w:pPr>
      <w:r>
        <w:t>Ongoing Actions (60-90 days)</w:t>
      </w:r>
    </w:p>
    <w:p>
      <w:pPr>
        <w:pStyle w:val="ListBullet"/>
      </w:pPr>
      <w:r>
        <w:t>Strengthen confidentiality provisions across all contracts</w:t>
      </w:r>
    </w:p>
    <w:p>
      <w:pPr>
        <w:pStyle w:val="ListBullet"/>
      </w:pPr>
      <w:r>
        <w:t>Implement annual compliance review process for all supplier contracts</w:t>
      </w:r>
    </w:p>
    <w:p>
      <w:pPr>
        <w:pStyle w:val="Heading1"/>
      </w:pPr>
      <w:r>
        <w:t>Resource Requirements</w:t>
      </w:r>
    </w:p>
    <w:p>
      <w:pPr>
        <w:pStyle w:val="ListBullet"/>
      </w:pPr>
      <w:r>
        <w:t>Estimated remediation cost: 20,000 dollars</w:t>
      </w:r>
    </w:p>
    <w:p>
      <w:pPr>
        <w:pStyle w:val="ListBullet"/>
      </w:pPr>
      <w:r>
        <w:t>Procurement team time: 80 hours</w:t>
      </w:r>
    </w:p>
    <w:p>
      <w:pPr>
        <w:pStyle w:val="ListBullet"/>
      </w:pPr>
      <w:r>
        <w:t>Legal review: 20 hours</w:t>
      </w:r>
    </w:p>
    <w:p>
      <w:pPr>
        <w:pStyle w:val="Heading1"/>
      </w:pPr>
      <w:r>
        <w:t>Organizational Impact</w:t>
      </w:r>
    </w:p>
    <w:p>
      <w:r>
        <w:t>Addressing identified compliance gaps will significantly reduce organizational risk. Implementing recommended actions will establish consistent contract standards, enhance intellectual property protection, and establish clear operational expectations with suppliers. The investment in these improvements is justified by risk reduction and operational benefits.</w:t>
      </w:r>
    </w:p>
    <w:p>
      <w:r>
        <w:t>Support Solutions: contract review found minor gaps in payment terms, otherwise compliant. Maintain current monitoring cadence with Support Solutions through next renewal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