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Performance Scorecard Report</w:t>
      </w:r>
    </w:p>
    <w:p>
      <w:r>
        <w:t>This vendor performance scorecard report consolidates delivery, quality, cost, and service performance dimensions across active suppliers. Vendor scoring follows a balanced framework with weighted criteria.</w:t>
      </w:r>
    </w:p>
    <w:p>
      <w:pPr>
        <w:pStyle w:val="Heading1"/>
      </w:pPr>
      <w:r>
        <w:t>Vendor Rankings</w:t>
      </w:r>
    </w:p>
    <w:p>
      <w:r>
        <w:t>VendorA leads the rankings as a strategic partner with a composite score of 86.25. VendorB ranks second as a preferred supplier with 78.75. VendorC trails as an acceptable vendor in the performance-concern tier with 63.75.</w:t>
      </w:r>
    </w:p>
    <w:p>
      <w:pPr>
        <w:pStyle w:val="Heading1"/>
      </w:pPr>
      <w:r>
        <w:t>Tiering and Recommendations</w:t>
      </w:r>
    </w:p>
    <w:p>
      <w:r>
        <w:t>Strategic vendor relationships should be deepened with VendorA. Preferred status remains for VendorB. Performance concerns at VendorC require an improvement plan with monthly review meetings. Recommend renegotiation discussions for VendorC at next contract renewal.</w:t>
      </w:r>
    </w:p>
    <w:p>
      <w:pPr>
        <w:pStyle w:val="Heading1"/>
      </w:pPr>
      <w:r>
        <w:t>Performance Trends</w:t>
      </w:r>
    </w:p>
    <w:p>
      <w:r>
        <w:t>Year-over-year vendor performance trends show improving delivery rates for VendorA and declining service responsiveness from VendorC. Quality defect rate metrics are stable across the supplier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