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Coupon Strategy Recommendations</w:t>
      </w:r>
    </w:p>
    <w:p>
      <w:r>
        <w:t>This report summarizes our coupon usage analysis and provides strategic recommendations for the next quarter. We analyzed 10 active coupons across percent and fixed_cart discount types.</w:t>
      </w:r>
    </w:p>
    <w:p>
      <w:pPr>
        <w:pStyle w:val="Heading2"/>
      </w:pPr>
      <w:r>
        <w:t>Key Findings</w:t>
      </w:r>
    </w:p>
    <w:p>
      <w:r>
        <w:t>HOLIDAY30 is the most-used coupon with 50 redemptions and 50% utilization of its 100-redemption limit. VIP20 and BULK10 are popular but have no usage limit, suggesting opportunity to set caps. SAVE20 has high utilization at 78%, indicating it may need limit increases. FLASH50 has very low usage (only 6.7% of its 30-redemption limit).</w:t>
      </w:r>
    </w:p>
    <w:p>
      <w:pPr>
        <w:pStyle w:val="Heading2"/>
      </w:pPr>
      <w:r>
        <w:t>Recommendations</w:t>
      </w:r>
    </w:p>
    <w:p>
      <w:r>
        <w:t>1. Renew HOLIDAY30 with a higher limit (target 200) to capture more demand.</w:t>
      </w:r>
    </w:p>
    <w:p>
      <w:r>
        <w:t>2. Set usage limits on VIP20, BULK10, and ELECTRONICS15 to control costs.</w:t>
      </w:r>
    </w:p>
    <w:p>
      <w:r>
        <w:t>3. Increase the SAVE20 limit since utilization is 78% — close to capacity.</w:t>
      </w:r>
    </w:p>
    <w:p>
      <w:r>
        <w:t>4. Retire or rebrand FLASH50 due to low engagement.</w:t>
      </w:r>
    </w:p>
    <w:p>
      <w:r>
        <w:t>5. Consider promoting WELCOME10 more aggressively to new customers.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