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Sector Analysis</w:t>
      </w:r>
    </w:p>
    <w:p>
      <w:r>
        <w:t>This brief analyzes the sector distribution and valuation differences across the tracked stocks. Five distinct sectors are represented in the watchlist: Communication Services, Consumer Cyclical, Financial Services, Energy, and Healthcare. Each sector contains a single stock; the average market capitalization varies widely from approximately 577B (Healthcare) to 3640B (Communication Services).</w:t>
      </w:r>
    </w:p>
    <w:p>
      <w:r>
        <w:t>Valuation observations: Communication Services dominates by market cap, while Financial Services has the most attractive PE ratio at 14.66. Consumer Cyclical exhibits the highest PE multiple (30.49), indicating premium valuation. Investors should weigh sector concentration risk against the divergent valuation profiles when allocating capital across these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