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Fireship Channel Analytics Report</w:t>
      </w:r>
    </w:p>
    <w:p>
      <w:pPr>
        <w:pStyle w:val="Heading1"/>
      </w:pPr>
      <w:r>
        <w:t>Executive Summary</w:t>
      </w:r>
    </w:p>
    <w:p>
      <w:r>
        <w:t>The Fireship channel published 104 videos covered by this analysis, accumulating a total of 121,886,817 views. The channel maintained an overall average engagement rate of 3.969%.</w:t>
      </w:r>
    </w:p>
    <w:p>
      <w:pPr>
        <w:pStyle w:val="Heading1"/>
      </w:pPr>
      <w:r>
        <w:t>Quarterly Performance</w:t>
      </w:r>
    </w:p>
    <w:p>
      <w:r>
        <w:t>The strongest quarter was 2025-Q1 with 41,785,933 views, while the weakest was 2024-Q2 with 7,309,503 views. Engagement was strongest in 2024-Q3 (4.350%).</w:t>
      </w:r>
    </w:p>
    <w:p>
      <w:pPr>
        <w:pStyle w:val="Heading1"/>
      </w:pPr>
      <w:r>
        <w:t>Key Observations</w:t>
      </w:r>
    </w:p>
    <w:p>
      <w:r>
        <w:t>First, video output increased substantially from 2024-Q2 to 2025-Q1, peaking at 27 videos in 2025-Q1. Second, engagement rates declined gradually over time from 4.350% in 2024-Q3 to 3.530% in 2025-Q2, even though total views per quarter remained high.</w:t>
      </w:r>
    </w:p>
    <w:p>
      <w:pPr>
        <w:pStyle w:val="Heading1"/>
      </w:pPr>
      <w:r>
        <w:t>Appendix</w:t>
      </w:r>
    </w:p>
    <w:p>
      <w:r>
        <w:t>The data was sourced from the internal video database and covers all available published Fireship videos (104 in total).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