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Research Lab Publication Roadmap</w:t>
      </w:r>
    </w:p>
    <w:p>
      <w:r>
        <w:t>This roadmap synthesizes our laboratory's six-phase publication pipeline: comprehensive literature search, full-text retrieval, per-paper analysis, structured literature consolidation, gap analysis, and synthesis into future research directions. It is grounded in the 2024-2025 arXiv corpus our laboratory retrieved and catalogued in the literature database.</w:t>
      </w:r>
    </w:p>
    <w:p>
      <w:r>
        <w:rPr>
          <w:b/>
          <w:sz w:val="28"/>
        </w:rPr>
        <w:t>Major Research Directions</w:t>
      </w:r>
    </w:p>
    <w:p>
      <w:r>
        <w:t>Based on the literature review, our laboratory should pursue three major research directions: (1) reliable tool use and state tracking for language-model agents, following Maya Chen, David Ortiz (2024), "Reliable Tool Use by Language Model Agents in Multi-Agent Systems", arXiv:2401.10001; (2) evidence-calibrated retrieval-augmented generation and reproducible computational pipelines, following Priya Nair, Jonas Weber (2024), "Retrieval-Augmented Generation with Evidence Calibration", arXiv:2402.10002 and Samuel Green, Yuki Tanaka (2024), "Reproducible Computational Experiment Pipelines", arXiv:2404.10004; and (3) validation and uncertainty-aware methodology for high-stakes scientific AI, following Rachel Kim, Tomas Novak (2025), "Human-in-the-Loop Validation for High-Stakes AI", arXiv:2501.10009 and Amina Yusuf, Peter Hall (2025), "Benchmarking Scientific AI under Distribution Shift", arXiv:2502.10010.</w:t>
      </w:r>
    </w:p>
    <w:p>
      <w:r>
        <w:rPr>
          <w:b/>
          <w:sz w:val="28"/>
        </w:rPr>
        <w:t>Identified Research Gaps</w:t>
      </w:r>
    </w:p>
    <w:p>
      <w:r>
        <w:t>Several gaps were identified: limited evidence calibration in retrieval pipelines, insufficient reproducibility infrastructure for computational experiments, missing human-in-the-loop validation for high-stakes decisions, and weak handling of scientific distribution shift in benchmarks. See Elena Rossi, Ahmed Saleh (2024), "Multimodal Foundation Models for Scientific Discovery", arXiv:2403.10003 and Nora Ibrahim, Lucas Martin (2024), "Causal Evaluation of Adaptive Research Systems", arXiv:2405.10005 for relevant analyses.</w:t>
      </w:r>
    </w:p>
    <w:p>
      <w:r>
        <w:rPr>
          <w:b/>
          <w:sz w:val="28"/>
        </w:rPr>
        <w:t>Recommendations</w:t>
      </w:r>
    </w:p>
    <w:p>
      <w:r>
        <w:t>We recommend prioritizing collaboration with groups working on reproducible experiment pipelines and open-science infrastructure (Isabelle Moreau, Henry Adams (2024), "Open Science Infrastructure for Data and Code Reuse", arXiv:2408.10008), adopting evidence-calibrated RAG and causal evaluation protocols (Priya Nair, Jonas Weber (2024), "Retrieval-Augmented Generation with Evidence Calibration", arXiv:2402.10002, Nora Ibrahim, Lucas Martin (2024), "Causal Evaluation of Adaptive Research Systems", arXiv:2405.10005), and incorporating Bayesian adaptive design for our small laboratory studies (Grace Liu, Mateo Silva (2024), "Bayesian Adaptive Design for Small Laboratory Studies", arXiv:2407.10007). We should also explore graph neural network approaches for molecular measurement analysis (Fatima Khan, Owen Brooks (2024), "Graph Neural Networks for Molecular Measurement Analysis", arXiv:2406.10006).</w:t>
      </w:r>
    </w:p>
    <w:p>
      <w:r>
        <w:rPr>
          <w:b/>
          <w:sz w:val="28"/>
        </w:rPr>
        <w:t>Future Directions</w:t>
      </w:r>
    </w:p>
    <w:p>
      <w:r>
        <w:t>Emerging trends include multimodal foundation models for scientific discovery, reproducible computational experiment pipelines, and human-in-the-loop validation. We will schedule roadmap discussions and share this document with all laboratory members via email and calendar.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