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E9A73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NOTA TÉCNICA</w:t>
      </w:r>
    </w:p>
    <w:p w14:paraId="5AE058BF" w14:textId="77777777" w:rsid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Proyecto: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Colimador fijo – Ítem 65</w:t>
      </w:r>
    </w:p>
    <w:p w14:paraId="0EF1A982" w14:textId="77777777" w:rsid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Objeto: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Evaluación técnica–contractual del diseño electrónico (esquemático y PCB)</w:t>
      </w:r>
    </w:p>
    <w:p w14:paraId="090D08A1" w14:textId="77777777" w:rsid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Versión: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2</w:t>
      </w:r>
    </w:p>
    <w:p w14:paraId="03E813D5" w14:textId="5410AB7B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Fecha: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02/01/2026</w:t>
      </w:r>
    </w:p>
    <w:p w14:paraId="794D94FD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 Antecedentes</w:t>
      </w:r>
    </w:p>
    <w:p w14:paraId="7D837CDC" w14:textId="77777777" w:rsid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En el marco del contrato vigente se efectuó una revisión técnica del diseño electrónico correspondiente al colimador fijo (ítem 65).</w:t>
      </w:r>
    </w:p>
    <w:p w14:paraId="30599A1C" w14:textId="3859F2D1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Tras una primera revisión y la emisión de Recomendaciones Técnicas EMC (Versión 1), el contratista entregó una versión actualizada del esquemático y del PCB para evaluación.</w:t>
      </w:r>
    </w:p>
    <w:p w14:paraId="7879E2BC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 Alcance de la revisión</w:t>
      </w:r>
    </w:p>
    <w:p w14:paraId="76FC39D5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Nota Técnica evalúa la versión actual del diseño en función de:</w:t>
      </w:r>
    </w:p>
    <w:p w14:paraId="4543A42E" w14:textId="77777777" w:rsidR="009847D7" w:rsidRPr="009847D7" w:rsidRDefault="009847D7" w:rsidP="009847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cierre eléctrico y conectividad del PCBA;</w:t>
      </w:r>
    </w:p>
    <w:p w14:paraId="4EFE3FAB" w14:textId="77777777" w:rsidR="009847D7" w:rsidRPr="009847D7" w:rsidRDefault="009847D7" w:rsidP="009847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cumplimiento de las Especificaciones Técnicas Generales y del ítem 65, en lo aplicable a la tarjeta electrónica;</w:t>
      </w:r>
    </w:p>
    <w:p w14:paraId="0ADD5D7D" w14:textId="77777777" w:rsidR="009847D7" w:rsidRPr="009847D7" w:rsidRDefault="009847D7" w:rsidP="009847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consistencia técnica mínima para continuidad del desarrollo.</w:t>
      </w:r>
    </w:p>
    <w:p w14:paraId="69583A22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3. Verificación de conectividad</w:t>
      </w:r>
    </w:p>
    <w:p w14:paraId="78BB0D41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El análisis de conectividad no evidencia nets abiertas ni ruteos incompletos.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Las señales principales de control, alimentación y comunicación se encuentran eléctricamente cerradas.</w:t>
      </w:r>
    </w:p>
    <w:p w14:paraId="3AF86DD3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4. Verificación contra Especificaciones Técnicas (ítem 65)</w:t>
      </w:r>
    </w:p>
    <w:p w14:paraId="679A1131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Del contraste entre el Anexo de Especificaciones Técnicas y el diseño </w:t>
      </w:r>
      <w:proofErr w:type="spellStart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KiCad</w:t>
      </w:r>
      <w:proofErr w:type="spellEnd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, se concluye:</w:t>
      </w:r>
    </w:p>
    <w:p w14:paraId="1C9260F7" w14:textId="3BE3DD42" w:rsidR="009847D7" w:rsidRPr="009847D7" w:rsidRDefault="009847D7" w:rsidP="009847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general: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Se evidencia la arquitectura base requerida (microcontrolador, control de láser, comunicación RS485, USB para servicio).</w:t>
      </w:r>
    </w:p>
    <w:p w14:paraId="369EA73E" w14:textId="6B76AC2B" w:rsidR="009847D7" w:rsidRPr="009847D7" w:rsidRDefault="009847D7" w:rsidP="009847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RS485: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se evidencia una implementación completa de terminación y polarización configurable del bus conforme a prácticas industriales.</w:t>
      </w:r>
    </w:p>
    <w:p w14:paraId="7F82C23F" w14:textId="725DF653" w:rsidR="009847D7" w:rsidRPr="009847D7" w:rsidRDefault="009847D7" w:rsidP="009847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Conectores M12: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El ítem 65 menciona conectores M12; estos no se evidencian montados en la tarjeta. Se infiere que forman parte del conjunto chasis–arnés, lo cual debe ser documentado formalmente (</w:t>
      </w:r>
      <w:proofErr w:type="spellStart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pinout</w:t>
      </w:r>
      <w:proofErr w:type="spellEnd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protección EMC/ESD y medidas </w:t>
      </w:r>
      <w:proofErr w:type="spellStart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anti-error</w:t>
      </w:r>
      <w:proofErr w:type="spellEnd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5662EB17" w14:textId="2481F0F5" w:rsidR="009847D7" w:rsidRPr="009847D7" w:rsidRDefault="009847D7" w:rsidP="009847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Protección EMC: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protección ESD/transitorios se evidencia de forma parcial y no sistemática en todas las interfaces.</w:t>
      </w:r>
    </w:p>
    <w:p w14:paraId="2BE1A31B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5. Conclusión técnica</w:t>
      </w:r>
    </w:p>
    <w:p w14:paraId="0A3AFCCF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El diseño del colimador fijo presenta una arquitectura coherente, pero mantiene brechas técnicas respecto a requisitos EMC industriales y a la documentación del conjunto tarjeta–arnés–contenedor.</w:t>
      </w:r>
    </w:p>
    <w:p w14:paraId="140134F1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847D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6. Cierre</w:t>
      </w:r>
    </w:p>
    <w:p w14:paraId="0D58CDAE" w14:textId="77777777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Las Recomendaciones Técnicas EMC emitidas:</w:t>
      </w:r>
    </w:p>
    <w:p w14:paraId="22D754AB" w14:textId="77777777" w:rsidR="009847D7" w:rsidRPr="009847D7" w:rsidRDefault="009847D7" w:rsidP="009847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constituyen aprobación del diseño;</w:t>
      </w:r>
    </w:p>
    <w:p w14:paraId="39D7F066" w14:textId="77777777" w:rsidR="009847D7" w:rsidRPr="009847D7" w:rsidRDefault="009847D7" w:rsidP="009847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representan validación funcional ni EMC;</w:t>
      </w:r>
    </w:p>
    <w:p w14:paraId="2C2E4F73" w14:textId="77777777" w:rsidR="009847D7" w:rsidRPr="009847D7" w:rsidRDefault="009847D7" w:rsidP="009847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sustituyen pruebas con hardware físico.</w:t>
      </w:r>
    </w:p>
    <w:p w14:paraId="7BE43CC1" w14:textId="77777777" w:rsid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implementación de las correcciones corresponde al contratista como parte del proceso normal de maduración del diseño.</w:t>
      </w:r>
    </w:p>
    <w:p w14:paraId="07AAB2D1" w14:textId="7DFBBA2F" w:rsidR="009847D7" w:rsidRPr="009847D7" w:rsidRDefault="009847D7" w:rsidP="009847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bookmarkStart w:id="0" w:name="_GoBack"/>
      <w:bookmarkEnd w:id="0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Nota Técnica se emite con carácter técnico–contractual para la administración del contrato.</w:t>
      </w:r>
    </w:p>
    <w:p w14:paraId="06989CCD" w14:textId="54840227" w:rsidR="008E67D7" w:rsidRPr="009847D7" w:rsidRDefault="008E67D7" w:rsidP="009847D7">
      <w:pPr>
        <w:jc w:val="both"/>
      </w:pPr>
    </w:p>
    <w:sectPr w:rsidR="008E67D7" w:rsidRPr="00984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B7FD6"/>
    <w:multiLevelType w:val="hybridMultilevel"/>
    <w:tmpl w:val="00923C24"/>
    <w:lvl w:ilvl="0" w:tplc="D5D6000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63257"/>
    <w:multiLevelType w:val="hybridMultilevel"/>
    <w:tmpl w:val="CF9C4318"/>
    <w:lvl w:ilvl="0" w:tplc="D5D6000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530A"/>
    <w:multiLevelType w:val="hybridMultilevel"/>
    <w:tmpl w:val="E7A4073C"/>
    <w:lvl w:ilvl="0" w:tplc="C46856D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C0FD4"/>
    <w:multiLevelType w:val="hybridMultilevel"/>
    <w:tmpl w:val="D2D83B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818FF"/>
    <w:multiLevelType w:val="hybridMultilevel"/>
    <w:tmpl w:val="43A8DC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66D79"/>
    <w:multiLevelType w:val="multilevel"/>
    <w:tmpl w:val="0750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861C2"/>
    <w:multiLevelType w:val="multilevel"/>
    <w:tmpl w:val="3A9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07447"/>
    <w:multiLevelType w:val="multilevel"/>
    <w:tmpl w:val="4A5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3762D"/>
    <w:multiLevelType w:val="multilevel"/>
    <w:tmpl w:val="C84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B5F9A"/>
    <w:multiLevelType w:val="multilevel"/>
    <w:tmpl w:val="D706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801946"/>
    <w:multiLevelType w:val="multilevel"/>
    <w:tmpl w:val="8F5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37"/>
    <w:rsid w:val="000447D4"/>
    <w:rsid w:val="00622EEE"/>
    <w:rsid w:val="008E67D7"/>
    <w:rsid w:val="00913DFA"/>
    <w:rsid w:val="00940337"/>
    <w:rsid w:val="009847D7"/>
    <w:rsid w:val="00A05DAF"/>
    <w:rsid w:val="00F1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EF80A"/>
  <w15:chartTrackingRefBased/>
  <w15:docId w15:val="{20ED5286-A9B9-4790-9B28-31E521AA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84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984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3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A05DA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22EE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847D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847D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6</cp:revision>
  <dcterms:created xsi:type="dcterms:W3CDTF">2026-01-02T19:44:00Z</dcterms:created>
  <dcterms:modified xsi:type="dcterms:W3CDTF">2026-01-03T00:06:00Z</dcterms:modified>
</cp:coreProperties>
</file>