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012BE8" w14:textId="77777777" w:rsidR="00C31AA7" w:rsidRPr="00C31AA7" w:rsidRDefault="00C31AA7" w:rsidP="00C31AA7">
      <w:pPr>
        <w:pStyle w:val="NormalWeb"/>
        <w:jc w:val="both"/>
        <w:rPr>
          <w:b/>
          <w:sz w:val="28"/>
          <w:szCs w:val="28"/>
        </w:rPr>
      </w:pPr>
      <w:r w:rsidRPr="00C31AA7">
        <w:rPr>
          <w:b/>
          <w:sz w:val="28"/>
          <w:szCs w:val="28"/>
        </w:rPr>
        <w:t>RECOMENDACIONES TÉCNICAS EMC</w:t>
      </w:r>
    </w:p>
    <w:p w14:paraId="10E9B20A" w14:textId="77777777" w:rsidR="00C31AA7" w:rsidRDefault="00C31AA7" w:rsidP="00C31AA7">
      <w:pPr>
        <w:pStyle w:val="NormalWeb"/>
        <w:jc w:val="both"/>
      </w:pPr>
      <w:r w:rsidRPr="00C31AA7">
        <w:rPr>
          <w:b/>
        </w:rPr>
        <w:t>Proyecto:</w:t>
      </w:r>
      <w:r>
        <w:t xml:space="preserve"> Colimador fijo</w:t>
      </w:r>
    </w:p>
    <w:p w14:paraId="39513475" w14:textId="77777777" w:rsidR="00C31AA7" w:rsidRDefault="00C31AA7" w:rsidP="00C31AA7">
      <w:pPr>
        <w:pStyle w:val="NormalWeb"/>
        <w:jc w:val="both"/>
      </w:pPr>
      <w:r w:rsidRPr="00C31AA7">
        <w:rPr>
          <w:b/>
        </w:rPr>
        <w:t>Ítem:</w:t>
      </w:r>
      <w:r>
        <w:t xml:space="preserve"> 65</w:t>
      </w:r>
    </w:p>
    <w:p w14:paraId="66FE389F" w14:textId="7B564C42" w:rsidR="00C31AA7" w:rsidRDefault="00C31AA7" w:rsidP="00C31AA7">
      <w:pPr>
        <w:pStyle w:val="NormalWeb"/>
        <w:jc w:val="both"/>
      </w:pPr>
      <w:r w:rsidRPr="00C31AA7">
        <w:rPr>
          <w:b/>
        </w:rPr>
        <w:t>Fecha:</w:t>
      </w:r>
      <w:r>
        <w:t xml:space="preserve"> 02/01/2026</w:t>
      </w:r>
    </w:p>
    <w:p w14:paraId="66FEEBF3" w14:textId="77777777" w:rsidR="00C31AA7" w:rsidRDefault="00C31AA7" w:rsidP="00C31AA7">
      <w:pPr>
        <w:pStyle w:val="NormalWeb"/>
        <w:jc w:val="both"/>
      </w:pPr>
      <w:r w:rsidRPr="00C31AA7">
        <w:rPr>
          <w:b/>
        </w:rPr>
        <w:t>Alcance</w:t>
      </w:r>
      <w:r w:rsidRPr="00C31AA7">
        <w:rPr>
          <w:b/>
        </w:rPr>
        <w:br/>
      </w:r>
      <w:r>
        <w:t xml:space="preserve">El presente documento recoge recomendaciones técnicas de compatibilidad electromagnética (EMC) asociadas al diseño electrónico del colimador fijo (ítem 65), a partir de: </w:t>
      </w:r>
    </w:p>
    <w:p w14:paraId="1B31AA9D" w14:textId="5B6AF936" w:rsidR="00C31AA7" w:rsidRDefault="00C31AA7" w:rsidP="00C31AA7">
      <w:pPr>
        <w:pStyle w:val="NormalWeb"/>
        <w:numPr>
          <w:ilvl w:val="0"/>
          <w:numId w:val="19"/>
        </w:numPr>
        <w:jc w:val="both"/>
      </w:pPr>
      <w:r>
        <w:t xml:space="preserve">la revisión del esquemático y del PCB (archivos </w:t>
      </w:r>
      <w:proofErr w:type="spellStart"/>
      <w:r>
        <w:t>KiCad</w:t>
      </w:r>
      <w:proofErr w:type="spellEnd"/>
      <w:r>
        <w:t>) entregados por el contratista,</w:t>
      </w:r>
    </w:p>
    <w:p w14:paraId="1EC0298B" w14:textId="77777777" w:rsidR="00C31AA7" w:rsidRDefault="00C31AA7" w:rsidP="00C31AA7">
      <w:pPr>
        <w:pStyle w:val="NormalWeb"/>
        <w:numPr>
          <w:ilvl w:val="0"/>
          <w:numId w:val="19"/>
        </w:numPr>
        <w:jc w:val="both"/>
      </w:pPr>
      <w:r>
        <w:t xml:space="preserve">la comparación con la Versión 1 previamente emitida, y </w:t>
      </w:r>
    </w:p>
    <w:p w14:paraId="41CF27B1" w14:textId="4DCF24B6" w:rsidR="00C31AA7" w:rsidRDefault="00C31AA7" w:rsidP="00C31AA7">
      <w:pPr>
        <w:pStyle w:val="NormalWeb"/>
        <w:numPr>
          <w:ilvl w:val="0"/>
          <w:numId w:val="19"/>
        </w:numPr>
        <w:jc w:val="both"/>
      </w:pPr>
      <w:r>
        <w:t>el cruce contra el Anexo de Especificaciones Técnicas (ítem 65) en lo aplicable a la tarjeta electrónica.</w:t>
      </w:r>
    </w:p>
    <w:p w14:paraId="43329BC6" w14:textId="77777777" w:rsidR="00C31AA7" w:rsidRDefault="00C31AA7" w:rsidP="00C31AA7">
      <w:pPr>
        <w:pStyle w:val="NormalWeb"/>
        <w:jc w:val="both"/>
      </w:pPr>
      <w:r>
        <w:t>Se deja constancia expresa de que este documento no constituye aprobación del diseño ni validación funcional ni de compatibilidad electromagnética (EMC), dado que no se han realizado pruebas con tarjetas físicas, ensayos de laboratorio, pruebas ambientales ni validaciones de hardware o software.</w:t>
      </w:r>
    </w:p>
    <w:p w14:paraId="078ED90B" w14:textId="77777777" w:rsidR="00C31AA7" w:rsidRDefault="00C31AA7" w:rsidP="00C31AA7">
      <w:pPr>
        <w:pStyle w:val="NormalWeb"/>
        <w:jc w:val="both"/>
      </w:pPr>
      <w:r w:rsidRPr="00C31AA7">
        <w:rPr>
          <w:b/>
        </w:rPr>
        <w:t>Estado</w:t>
      </w:r>
      <w:r w:rsidRPr="00C31AA7">
        <w:rPr>
          <w:b/>
        </w:rPr>
        <w:br/>
      </w:r>
      <w:r>
        <w:t>Recomendaciones V2: revisión desde cero (</w:t>
      </w:r>
      <w:proofErr w:type="spellStart"/>
      <w:r>
        <w:t>KiCad</w:t>
      </w:r>
      <w:proofErr w:type="spellEnd"/>
      <w:r>
        <w:t xml:space="preserve"> actual) + comparación con V1 + cruce con especificaciones del ítem 65.</w:t>
      </w:r>
    </w:p>
    <w:p w14:paraId="63A825F2" w14:textId="77777777" w:rsidR="00C31AA7" w:rsidRPr="00C31AA7" w:rsidRDefault="00C31AA7" w:rsidP="00C31AA7">
      <w:pPr>
        <w:pStyle w:val="NormalWeb"/>
        <w:jc w:val="both"/>
        <w:rPr>
          <w:b/>
        </w:rPr>
      </w:pPr>
      <w:r w:rsidRPr="00C31AA7">
        <w:rPr>
          <w:b/>
        </w:rPr>
        <w:t xml:space="preserve">Información inicial del diseño (según archivos </w:t>
      </w:r>
      <w:proofErr w:type="spellStart"/>
      <w:r w:rsidRPr="00C31AA7">
        <w:rPr>
          <w:b/>
        </w:rPr>
        <w:t>KiCad</w:t>
      </w:r>
      <w:proofErr w:type="spellEnd"/>
      <w:r w:rsidRPr="00C31AA7">
        <w:rPr>
          <w:b/>
        </w:rPr>
        <w:t xml:space="preserve"> revisados)</w:t>
      </w:r>
    </w:p>
    <w:p w14:paraId="0E2933DF" w14:textId="44C4A455" w:rsidR="00C31AA7" w:rsidRDefault="00C31AA7" w:rsidP="00C31AA7">
      <w:pPr>
        <w:pStyle w:val="NormalWeb"/>
        <w:jc w:val="both"/>
      </w:pPr>
      <w:r>
        <w:t>La tarjeta del colimador fijo tiene como función principal el encendido controlado de un láser y la comunicación con un sistema maestro mediante RS485. La alimentación ingresa por /</w:t>
      </w:r>
      <w:proofErr w:type="spellStart"/>
      <w:r>
        <w:t>Vin</w:t>
      </w:r>
      <w:proofErr w:type="spellEnd"/>
      <w:r>
        <w:t xml:space="preserve"> y es convertida mediante un regulador conmutado tipo </w:t>
      </w:r>
      <w:proofErr w:type="spellStart"/>
      <w:r>
        <w:t>buck</w:t>
      </w:r>
      <w:proofErr w:type="spellEnd"/>
      <w:r>
        <w:t xml:space="preserve"> (LTM8074), generando rieles secundarios de 3.3 V (LT1764A) para la lógica y 5 V (TPS7A24) para el láser. El control central lo realiza un microcontrolador ESP32-P4.</w:t>
      </w:r>
    </w:p>
    <w:p w14:paraId="5DB7A051" w14:textId="77777777" w:rsidR="00C31AA7" w:rsidRDefault="00C31AA7" w:rsidP="00C31AA7">
      <w:pPr>
        <w:pStyle w:val="NormalWeb"/>
        <w:jc w:val="both"/>
      </w:pPr>
      <w:r>
        <w:t xml:space="preserve">La comunicación RS485 se implementa mediante un transceptor SP3485. El diseño actual incluye conector USB Tipo-C para programación y carga de firmware, así como pulsadores físicos de RESET y BOOT. Se evidencian puntos de prueba para rieles de tensión (6V1, 5V1, 3V3, 12V1) y señales internas (TX1, RX1, RE1), </w:t>
      </w:r>
      <w:proofErr w:type="spellStart"/>
      <w:r>
        <w:t>LEDs</w:t>
      </w:r>
      <w:proofErr w:type="spellEnd"/>
      <w:r>
        <w:t xml:space="preserve"> indicadores y elementos de protección (TVS) en parte de las interfaces.</w:t>
      </w:r>
    </w:p>
    <w:p w14:paraId="47C33FEB" w14:textId="77777777" w:rsidR="00C31AA7" w:rsidRPr="00C31AA7" w:rsidRDefault="00C31AA7" w:rsidP="00C31AA7">
      <w:pPr>
        <w:pStyle w:val="NormalWeb"/>
        <w:jc w:val="both"/>
        <w:rPr>
          <w:b/>
        </w:rPr>
      </w:pPr>
      <w:r w:rsidRPr="00C31AA7">
        <w:rPr>
          <w:b/>
        </w:rPr>
        <w:t>Cruce con el Anexo de Especificaciones Técnicas – ítem 65 (solo tarjeta electrónica)</w:t>
      </w:r>
    </w:p>
    <w:p w14:paraId="25BA2732" w14:textId="049EF595" w:rsidR="00C31AA7" w:rsidRDefault="00C31AA7" w:rsidP="00C31AA7">
      <w:pPr>
        <w:pStyle w:val="NormalWeb"/>
        <w:jc w:val="both"/>
      </w:pPr>
      <w:r>
        <w:t xml:space="preserve">A </w:t>
      </w:r>
      <w:r>
        <w:t>continuación,</w:t>
      </w:r>
      <w:r>
        <w:t xml:space="preserve"> se resume el cruce de los requisitos del ítem 65 que impactan directamente en la tarjeta electrónica y su conectividad.</w:t>
      </w:r>
    </w:p>
    <w:p w14:paraId="18C0253A" w14:textId="77777777" w:rsidR="00C31AA7" w:rsidRPr="00C31AA7" w:rsidRDefault="00C31AA7" w:rsidP="00C31AA7">
      <w:pPr>
        <w:pStyle w:val="NormalWeb"/>
        <w:jc w:val="both"/>
        <w:rPr>
          <w:b/>
          <w:i/>
        </w:rPr>
      </w:pPr>
      <w:r w:rsidRPr="00C31AA7">
        <w:rPr>
          <w:b/>
          <w:i/>
        </w:rPr>
        <w:t>Requisitos funcionales/arquitectura</w:t>
      </w:r>
    </w:p>
    <w:p w14:paraId="3CF893CC" w14:textId="5F0AF36F" w:rsidR="00C31AA7" w:rsidRDefault="00C31AA7" w:rsidP="00C31AA7">
      <w:pPr>
        <w:pStyle w:val="NormalWeb"/>
        <w:numPr>
          <w:ilvl w:val="0"/>
          <w:numId w:val="21"/>
        </w:numPr>
        <w:jc w:val="both"/>
      </w:pPr>
      <w:r>
        <w:t>Unidad de control basada en ESP32: cumple (ESP32-P4 presente).</w:t>
      </w:r>
    </w:p>
    <w:p w14:paraId="4AFC779D" w14:textId="6DF04F71" w:rsidR="00C31AA7" w:rsidRDefault="00C31AA7" w:rsidP="00C31AA7">
      <w:pPr>
        <w:pStyle w:val="NormalWeb"/>
        <w:numPr>
          <w:ilvl w:val="0"/>
          <w:numId w:val="21"/>
        </w:numPr>
        <w:jc w:val="both"/>
      </w:pPr>
      <w:r>
        <w:lastRenderedPageBreak/>
        <w:t>Comunicación RS485 para lectura/control/configuración remota: cumple (transceptor RS485 presente).</w:t>
      </w:r>
    </w:p>
    <w:p w14:paraId="4B580541" w14:textId="372485DB" w:rsidR="00C31AA7" w:rsidRDefault="00C31AA7" w:rsidP="00C31AA7">
      <w:pPr>
        <w:pStyle w:val="NormalWeb"/>
        <w:numPr>
          <w:ilvl w:val="0"/>
          <w:numId w:val="21"/>
        </w:numPr>
        <w:jc w:val="both"/>
      </w:pPr>
      <w:r>
        <w:t>Comunicación adicional RS232TTL: no evidenciada en la tarjeta como interfaz dedicada (no se observa transceptor RS232 ni un puerto TTL explícitamente definido hacia conector; si la intención es exponer UART TTL, debe quedar declarado y cableado a un conector definido).</w:t>
      </w:r>
    </w:p>
    <w:p w14:paraId="307B3A90" w14:textId="0F2FFA4E" w:rsidR="00C31AA7" w:rsidRDefault="00C31AA7" w:rsidP="00C31AA7">
      <w:pPr>
        <w:pStyle w:val="NormalWeb"/>
        <w:numPr>
          <w:ilvl w:val="0"/>
          <w:numId w:val="21"/>
        </w:numPr>
        <w:jc w:val="both"/>
      </w:pPr>
      <w:r>
        <w:t>Control/encendido de láser: cumple (riel 5 V dedicado y control desde MCU).</w:t>
      </w:r>
    </w:p>
    <w:p w14:paraId="360CBEB7" w14:textId="77777777" w:rsidR="00C31AA7" w:rsidRPr="00C31AA7" w:rsidRDefault="00C31AA7" w:rsidP="00C31AA7">
      <w:pPr>
        <w:pStyle w:val="NormalWeb"/>
        <w:jc w:val="both"/>
        <w:rPr>
          <w:b/>
          <w:i/>
        </w:rPr>
      </w:pPr>
      <w:r w:rsidRPr="00C31AA7">
        <w:rPr>
          <w:b/>
          <w:i/>
        </w:rPr>
        <w:t>Requisitos de alimentación y conectividad</w:t>
      </w:r>
    </w:p>
    <w:p w14:paraId="23D67C43" w14:textId="3248360E" w:rsidR="00C31AA7" w:rsidRDefault="00C31AA7" w:rsidP="00C31AA7">
      <w:pPr>
        <w:pStyle w:val="NormalWeb"/>
        <w:numPr>
          <w:ilvl w:val="0"/>
          <w:numId w:val="21"/>
        </w:numPr>
        <w:jc w:val="both"/>
      </w:pPr>
      <w:r>
        <w:t>Alimentación 12 V CC (2 A): parcialmente evidenciado (se observa /</w:t>
      </w:r>
      <w:proofErr w:type="spellStart"/>
      <w:r>
        <w:t>Vin</w:t>
      </w:r>
      <w:proofErr w:type="spellEnd"/>
      <w:r>
        <w:t xml:space="preserve"> y </w:t>
      </w:r>
      <w:proofErr w:type="spellStart"/>
      <w:r>
        <w:t>testpoint</w:t>
      </w:r>
      <w:proofErr w:type="spellEnd"/>
      <w:r>
        <w:t xml:space="preserve"> 12V1, pero la corriente nominal y margen térmico deben justificarse con cálculo y selección de conectores/pistas/protecciones).</w:t>
      </w:r>
    </w:p>
    <w:p w14:paraId="03834589" w14:textId="77777777" w:rsidR="00C31AA7" w:rsidRDefault="00C31AA7" w:rsidP="00C31AA7">
      <w:pPr>
        <w:pStyle w:val="NormalWeb"/>
        <w:numPr>
          <w:ilvl w:val="0"/>
          <w:numId w:val="21"/>
        </w:numPr>
        <w:jc w:val="both"/>
      </w:pPr>
      <w:r>
        <w:t xml:space="preserve">Conectores M12 (alimentación, datos, control): no evidenciado como conector M12 real en la tarjeta (se observan borneras/terminal blocks; uno está rotulado como “M12”, pero el </w:t>
      </w:r>
      <w:proofErr w:type="spellStart"/>
      <w:r>
        <w:t>footprint</w:t>
      </w:r>
      <w:proofErr w:type="spellEnd"/>
      <w:r>
        <w:t xml:space="preserve"> corresponde a bornera). Se requiere ajustar diseño a M12 o justificar técnicamente el criterio y compatibilidad con el contenedor.</w:t>
      </w:r>
    </w:p>
    <w:p w14:paraId="4B76631A" w14:textId="0AF8BD4F" w:rsidR="00C31AA7" w:rsidRPr="00C31AA7" w:rsidRDefault="00C31AA7" w:rsidP="00C31AA7">
      <w:pPr>
        <w:pStyle w:val="NormalWeb"/>
        <w:jc w:val="both"/>
        <w:rPr>
          <w:b/>
          <w:i/>
        </w:rPr>
      </w:pPr>
      <w:r w:rsidRPr="00C31AA7">
        <w:rPr>
          <w:b/>
          <w:i/>
        </w:rPr>
        <w:t>Requisitos EMC/robustez y mantenibilidad</w:t>
      </w:r>
    </w:p>
    <w:p w14:paraId="40E5F1C5" w14:textId="76DB69BD" w:rsidR="00C31AA7" w:rsidRDefault="00C31AA7" w:rsidP="00C31AA7">
      <w:pPr>
        <w:pStyle w:val="NormalWeb"/>
        <w:numPr>
          <w:ilvl w:val="0"/>
          <w:numId w:val="21"/>
        </w:numPr>
        <w:jc w:val="both"/>
      </w:pPr>
      <w:r>
        <w:t>Protección ESD/transitorios en todos los puertos a conectores y buses: parcialmente evidenciado (TVS presente en parte de las líneas; se requiere cerrar cobertura en alimentación, RS485 lado transceptor y USB, y definir estrategia de descarga a GND/chasis).</w:t>
      </w:r>
    </w:p>
    <w:p w14:paraId="4CB28C27" w14:textId="5A747D7B" w:rsidR="00C31AA7" w:rsidRDefault="00C31AA7" w:rsidP="00C31AA7">
      <w:pPr>
        <w:pStyle w:val="NormalWeb"/>
        <w:numPr>
          <w:ilvl w:val="0"/>
          <w:numId w:val="21"/>
        </w:numPr>
        <w:jc w:val="both"/>
      </w:pPr>
      <w:r>
        <w:t xml:space="preserve">Test </w:t>
      </w:r>
      <w:proofErr w:type="spellStart"/>
      <w:r>
        <w:t>points</w:t>
      </w:r>
      <w:proofErr w:type="spellEnd"/>
      <w:r>
        <w:t xml:space="preserve"> para medición de señales: cumple parcialmente (hay TP de rieles y señales internas, faltan TP para A/B RS485 y </w:t>
      </w:r>
      <w:proofErr w:type="spellStart"/>
      <w:r>
        <w:t>enable</w:t>
      </w:r>
      <w:proofErr w:type="spellEnd"/>
      <w:r>
        <w:t xml:space="preserve"> del láser, y TP de GND cercanos).</w:t>
      </w:r>
    </w:p>
    <w:p w14:paraId="5E743198" w14:textId="41FEC168" w:rsidR="00C31AA7" w:rsidRDefault="00C31AA7" w:rsidP="00C31AA7">
      <w:pPr>
        <w:pStyle w:val="NormalWeb"/>
        <w:numPr>
          <w:ilvl w:val="0"/>
          <w:numId w:val="21"/>
        </w:numPr>
        <w:jc w:val="both"/>
      </w:pPr>
      <w:r>
        <w:t xml:space="preserve">Ensamble SMT automatizado + THT limitado a conectores: no verificable desde </w:t>
      </w:r>
      <w:proofErr w:type="spellStart"/>
      <w:r>
        <w:t>KiCad</w:t>
      </w:r>
      <w:proofErr w:type="spellEnd"/>
      <w:r>
        <w:t>; debe evidenciarse en BOM, archivos de fabricación y memoria técnica (DFM/SMT).</w:t>
      </w:r>
    </w:p>
    <w:p w14:paraId="639DA849" w14:textId="654E97EF" w:rsidR="00C31AA7" w:rsidRDefault="00C31AA7" w:rsidP="00C31AA7">
      <w:pPr>
        <w:pStyle w:val="NormalWeb"/>
        <w:numPr>
          <w:ilvl w:val="0"/>
          <w:numId w:val="21"/>
        </w:numPr>
        <w:jc w:val="both"/>
      </w:pPr>
      <w:r>
        <w:t xml:space="preserve">Especificación de PCB (FR4, 2 oz, 1.6 mm, ENIG, </w:t>
      </w:r>
      <w:proofErr w:type="spellStart"/>
      <w:r>
        <w:t>vias</w:t>
      </w:r>
      <w:proofErr w:type="spellEnd"/>
      <w:r>
        <w:t xml:space="preserve"> cubiertas, tolerancias): no verificable solo con </w:t>
      </w:r>
      <w:proofErr w:type="spellStart"/>
      <w:r>
        <w:t>KiCad</w:t>
      </w:r>
      <w:proofErr w:type="spellEnd"/>
      <w:r>
        <w:t>; debe constar en notas de fabricación/</w:t>
      </w:r>
      <w:proofErr w:type="spellStart"/>
      <w:r>
        <w:t>stackup</w:t>
      </w:r>
      <w:proofErr w:type="spellEnd"/>
      <w:r>
        <w:t xml:space="preserve">, </w:t>
      </w:r>
      <w:proofErr w:type="spellStart"/>
      <w:r>
        <w:t>gerbers</w:t>
      </w:r>
      <w:proofErr w:type="spellEnd"/>
      <w:r>
        <w:t xml:space="preserve"> y documentación de fabricación.</w:t>
      </w:r>
    </w:p>
    <w:p w14:paraId="324DED30" w14:textId="77777777" w:rsidR="00C31AA7" w:rsidRPr="00C31AA7" w:rsidRDefault="00C31AA7" w:rsidP="00C31AA7">
      <w:pPr>
        <w:pStyle w:val="NormalWeb"/>
        <w:jc w:val="both"/>
        <w:rPr>
          <w:b/>
        </w:rPr>
      </w:pPr>
      <w:r w:rsidRPr="00C31AA7">
        <w:rPr>
          <w:b/>
        </w:rPr>
        <w:t>Observaciones principales (incluye comparación con V1)</w:t>
      </w:r>
    </w:p>
    <w:p w14:paraId="7D1483D2" w14:textId="77777777" w:rsidR="00C31AA7" w:rsidRPr="00C31AA7" w:rsidRDefault="00C31AA7" w:rsidP="00C31AA7">
      <w:pPr>
        <w:pStyle w:val="NormalWeb"/>
        <w:jc w:val="both"/>
        <w:rPr>
          <w:b/>
          <w:i/>
        </w:rPr>
      </w:pPr>
      <w:r w:rsidRPr="00C31AA7">
        <w:rPr>
          <w:b/>
          <w:i/>
        </w:rPr>
        <w:t>Alta severidad</w:t>
      </w:r>
    </w:p>
    <w:p w14:paraId="6AF7E27C" w14:textId="4A22B5ED" w:rsidR="00C31AA7" w:rsidRDefault="00C31AA7" w:rsidP="00C31AA7">
      <w:pPr>
        <w:pStyle w:val="NormalWeb"/>
        <w:numPr>
          <w:ilvl w:val="0"/>
          <w:numId w:val="24"/>
        </w:numPr>
        <w:jc w:val="both"/>
      </w:pPr>
      <w:r>
        <w:t>Terminación del bus RS485 fija. Se mantiene una resistencia de 120 Ω sin mecanismo de configuración para operación como extremo o nodo intermedio del bus. Observación no corregida respecto a la Versión 1.</w:t>
      </w:r>
    </w:p>
    <w:p w14:paraId="30B9C606" w14:textId="30AA163F" w:rsidR="00C31AA7" w:rsidRDefault="00C31AA7" w:rsidP="00C31AA7">
      <w:pPr>
        <w:pStyle w:val="NormalWeb"/>
        <w:numPr>
          <w:ilvl w:val="0"/>
          <w:numId w:val="24"/>
        </w:numPr>
        <w:jc w:val="both"/>
      </w:pPr>
      <w:r>
        <w:t>Ausencia de polarización (</w:t>
      </w:r>
      <w:proofErr w:type="spellStart"/>
      <w:r>
        <w:t>bias</w:t>
      </w:r>
      <w:proofErr w:type="spellEnd"/>
      <w:r>
        <w:t>) configurable del bus RS485. Observación no corregida respecto a la Versión 1.</w:t>
      </w:r>
    </w:p>
    <w:p w14:paraId="0B394AEB" w14:textId="08243DDD" w:rsidR="00C31AA7" w:rsidRDefault="00C31AA7" w:rsidP="00C31AA7">
      <w:pPr>
        <w:pStyle w:val="NormalWeb"/>
        <w:numPr>
          <w:ilvl w:val="0"/>
          <w:numId w:val="24"/>
        </w:numPr>
        <w:jc w:val="both"/>
      </w:pPr>
      <w:r>
        <w:t>RS232TTL no evidenciado. Si la especificación del ítem 65 exige RS232TTL, debe definirse una interfaz clara (transceptor RS232 o salida TTL documentada hacia conector) y su protección EMC asociada. Observación no abordada en V1.</w:t>
      </w:r>
    </w:p>
    <w:p w14:paraId="72910DCC" w14:textId="71660BFE" w:rsidR="00C31AA7" w:rsidRDefault="00C31AA7" w:rsidP="00C31AA7">
      <w:pPr>
        <w:pStyle w:val="NormalWeb"/>
        <w:numPr>
          <w:ilvl w:val="0"/>
          <w:numId w:val="24"/>
        </w:numPr>
        <w:jc w:val="both"/>
      </w:pPr>
      <w:r>
        <w:t>Conectores M12 no implementados como tales. La especificación exige conectores M12; el uso de borneras requiere cambio de diseño o justificación técnica formal y coherencia con el contenedor. Observación no abordada en V1.</w:t>
      </w:r>
    </w:p>
    <w:p w14:paraId="3873EAD6" w14:textId="77777777" w:rsidR="00C31AA7" w:rsidRPr="00C31AA7" w:rsidRDefault="00C31AA7" w:rsidP="00C31AA7">
      <w:pPr>
        <w:pStyle w:val="NormalWeb"/>
        <w:jc w:val="both"/>
        <w:rPr>
          <w:b/>
          <w:i/>
        </w:rPr>
      </w:pPr>
      <w:r w:rsidRPr="00C31AA7">
        <w:rPr>
          <w:b/>
          <w:i/>
        </w:rPr>
        <w:lastRenderedPageBreak/>
        <w:t>Media severidad</w:t>
      </w:r>
    </w:p>
    <w:p w14:paraId="4545A37D" w14:textId="3C261680" w:rsidR="00C31AA7" w:rsidRDefault="00C31AA7" w:rsidP="00C31AA7">
      <w:pPr>
        <w:pStyle w:val="NormalWeb"/>
        <w:numPr>
          <w:ilvl w:val="0"/>
          <w:numId w:val="24"/>
        </w:numPr>
        <w:jc w:val="both"/>
      </w:pPr>
      <w:r>
        <w:t xml:space="preserve">Protección ESD/EMI del RS485 incompleta a nivel del transceptor (se requiere cerrar protección </w:t>
      </w:r>
      <w:proofErr w:type="spellStart"/>
      <w:r>
        <w:t>low</w:t>
      </w:r>
      <w:proofErr w:type="spellEnd"/>
      <w:r>
        <w:t>-C cercana, y evaluar CMC/resistencias serie según pruebas). Observación no corregida.</w:t>
      </w:r>
    </w:p>
    <w:p w14:paraId="0AA5C835" w14:textId="7712604B" w:rsidR="00C31AA7" w:rsidRDefault="00C31AA7" w:rsidP="00C31AA7">
      <w:pPr>
        <w:pStyle w:val="NormalWeb"/>
        <w:numPr>
          <w:ilvl w:val="0"/>
          <w:numId w:val="24"/>
        </w:numPr>
        <w:jc w:val="both"/>
      </w:pPr>
      <w:r>
        <w:t>Filtrado y protección de la entrada /</w:t>
      </w:r>
      <w:proofErr w:type="spellStart"/>
      <w:r>
        <w:t>Vin</w:t>
      </w:r>
      <w:proofErr w:type="spellEnd"/>
      <w:r>
        <w:t xml:space="preserve"> insuficiente (TVS adecuado a /</w:t>
      </w:r>
      <w:proofErr w:type="spellStart"/>
      <w:r>
        <w:t>Vin</w:t>
      </w:r>
      <w:proofErr w:type="spellEnd"/>
      <w:r>
        <w:t>, filtro, y protección contra inversión). Observación no corregida.</w:t>
      </w:r>
    </w:p>
    <w:p w14:paraId="1DEACF0C" w14:textId="3AE88F48" w:rsidR="00C31AA7" w:rsidRDefault="00C31AA7" w:rsidP="00C31AA7">
      <w:pPr>
        <w:pStyle w:val="NormalWeb"/>
        <w:numPr>
          <w:ilvl w:val="0"/>
          <w:numId w:val="24"/>
        </w:numPr>
        <w:jc w:val="both"/>
      </w:pPr>
      <w:r>
        <w:t>USB: debe verificarse protección ESD en D+/D- y retorno (GND/</w:t>
      </w:r>
      <w:proofErr w:type="spellStart"/>
      <w:r>
        <w:t>shield</w:t>
      </w:r>
      <w:proofErr w:type="spellEnd"/>
      <w:r>
        <w:t>) para minimizar acoplamiento hacia el dominio RS485 y el MCU. Observación nueva por cruce de especificaciones (mantenibilidad).</w:t>
      </w:r>
    </w:p>
    <w:p w14:paraId="41CB3043" w14:textId="19099C18" w:rsidR="00C31AA7" w:rsidRDefault="00C31AA7" w:rsidP="00C31AA7">
      <w:pPr>
        <w:pStyle w:val="NormalWeb"/>
        <w:numPr>
          <w:ilvl w:val="0"/>
          <w:numId w:val="24"/>
        </w:numPr>
        <w:jc w:val="both"/>
      </w:pPr>
      <w:r>
        <w:t>Puntos de prueba incompletos para señales A/B del RS485 y habilitación del láser. Observación corregida parcialmente.</w:t>
      </w:r>
    </w:p>
    <w:p w14:paraId="69E44DBB" w14:textId="77777777" w:rsidR="00C31AA7" w:rsidRPr="00C31AA7" w:rsidRDefault="00C31AA7" w:rsidP="00C31AA7">
      <w:pPr>
        <w:pStyle w:val="NormalWeb"/>
        <w:jc w:val="both"/>
        <w:rPr>
          <w:b/>
          <w:i/>
        </w:rPr>
      </w:pPr>
      <w:r w:rsidRPr="00C31AA7">
        <w:rPr>
          <w:b/>
          <w:i/>
        </w:rPr>
        <w:t>Baja severidad</w:t>
      </w:r>
    </w:p>
    <w:p w14:paraId="1AE847F7" w14:textId="02E2269A" w:rsidR="00C31AA7" w:rsidRDefault="00C31AA7" w:rsidP="00C31AA7">
      <w:pPr>
        <w:pStyle w:val="NormalWeb"/>
        <w:numPr>
          <w:ilvl w:val="0"/>
          <w:numId w:val="24"/>
        </w:numPr>
        <w:jc w:val="both"/>
      </w:pPr>
      <w:proofErr w:type="spellStart"/>
      <w:r>
        <w:t>LEDs</w:t>
      </w:r>
      <w:proofErr w:type="spellEnd"/>
      <w:r>
        <w:t xml:space="preserve"> sin definición funcional ni rotulación clara (PWR, LASER, LINK, ACT). Observación no corregida.</w:t>
      </w:r>
    </w:p>
    <w:p w14:paraId="21F73C05" w14:textId="5C74A8B0" w:rsidR="00C31AA7" w:rsidRDefault="00C31AA7" w:rsidP="00C31AA7">
      <w:pPr>
        <w:pStyle w:val="NormalWeb"/>
        <w:numPr>
          <w:ilvl w:val="0"/>
          <w:numId w:val="24"/>
        </w:numPr>
        <w:jc w:val="both"/>
      </w:pPr>
      <w:r>
        <w:t>Conectores que permiten conexión invertida, sin llaveado mecánico ni justificación técnica. Observación no corregida.</w:t>
      </w:r>
    </w:p>
    <w:p w14:paraId="2B075C93" w14:textId="5E2F168B" w:rsidR="00C31AA7" w:rsidRDefault="00C31AA7" w:rsidP="00C31AA7">
      <w:pPr>
        <w:pStyle w:val="NormalWeb"/>
        <w:numPr>
          <w:ilvl w:val="0"/>
          <w:numId w:val="24"/>
        </w:numPr>
        <w:jc w:val="both"/>
      </w:pPr>
      <w:bookmarkStart w:id="0" w:name="_GoBack"/>
      <w:bookmarkEnd w:id="0"/>
      <w:r>
        <w:t>Ausencia de serigrafía institucional y de identificación de versión de hardware. Observación no corregida.</w:t>
      </w:r>
    </w:p>
    <w:p w14:paraId="0166BEBC" w14:textId="77777777" w:rsidR="00C31AA7" w:rsidRPr="00C31AA7" w:rsidRDefault="00C31AA7" w:rsidP="00C31AA7">
      <w:pPr>
        <w:pStyle w:val="NormalWeb"/>
        <w:jc w:val="both"/>
        <w:rPr>
          <w:b/>
        </w:rPr>
      </w:pPr>
      <w:r w:rsidRPr="00C31AA7">
        <w:rPr>
          <w:b/>
        </w:rPr>
        <w:t>Recomendaciones de diseño (V2)</w:t>
      </w:r>
    </w:p>
    <w:p w14:paraId="7602C75A" w14:textId="22C889D5" w:rsidR="00C31AA7" w:rsidRDefault="00C31AA7" w:rsidP="00C31AA7">
      <w:pPr>
        <w:pStyle w:val="NormalWeb"/>
        <w:jc w:val="both"/>
      </w:pPr>
      <w:r>
        <w:t>– Implementar terminación RS485 de 120 Ω mediante jumper o solución equivalente (</w:t>
      </w:r>
      <w:r>
        <w:t>selección extrema</w:t>
      </w:r>
      <w:r>
        <w:t xml:space="preserve">/intermedio del bus), y añadir </w:t>
      </w:r>
      <w:proofErr w:type="spellStart"/>
      <w:r>
        <w:t>bias</w:t>
      </w:r>
      <w:proofErr w:type="spellEnd"/>
      <w:r>
        <w:t xml:space="preserve"> configurable conforme a topología de bus</w:t>
      </w:r>
    </w:p>
    <w:p w14:paraId="118F4A53" w14:textId="77777777" w:rsidR="00C31AA7" w:rsidRDefault="00C31AA7" w:rsidP="00C31AA7">
      <w:pPr>
        <w:pStyle w:val="NormalWeb"/>
        <w:jc w:val="both"/>
      </w:pPr>
      <w:r>
        <w:t>– Si aplica el requisito de RS232TTL: definir la interfaz en el hardware (transceptor RS232 o puerto TTL documentado hacia conector) y protegerla contra ESD/transitorios.</w:t>
      </w:r>
    </w:p>
    <w:p w14:paraId="7E41DC40" w14:textId="77777777" w:rsidR="00C31AA7" w:rsidRDefault="00C31AA7" w:rsidP="00C31AA7">
      <w:pPr>
        <w:pStyle w:val="NormalWeb"/>
        <w:jc w:val="both"/>
      </w:pPr>
      <w:r>
        <w:t>– Ajustar conectividad a lo especificado (M12) o justificar formalmente el uso de conectores alternativos, garantizando compatibilidad mecánica con el contenedor y evitando inversión de conexión.</w:t>
      </w:r>
    </w:p>
    <w:p w14:paraId="0801B684" w14:textId="77777777" w:rsidR="00C31AA7" w:rsidRDefault="00C31AA7" w:rsidP="00C31AA7">
      <w:pPr>
        <w:pStyle w:val="NormalWeb"/>
        <w:jc w:val="both"/>
      </w:pPr>
      <w:r>
        <w:t>– Completar protección y filtrado de /</w:t>
      </w:r>
      <w:proofErr w:type="spellStart"/>
      <w:r>
        <w:t>Vin</w:t>
      </w:r>
      <w:proofErr w:type="spellEnd"/>
      <w:r>
        <w:t xml:space="preserve"> (TVS, filtro, </w:t>
      </w:r>
      <w:proofErr w:type="spellStart"/>
      <w:r>
        <w:t>anti-inversión</w:t>
      </w:r>
      <w:proofErr w:type="spellEnd"/>
      <w:r>
        <w:t>) y revisar rutas de retorno de descargas ESD.</w:t>
      </w:r>
    </w:p>
    <w:p w14:paraId="15828BA8" w14:textId="77777777" w:rsidR="00C31AA7" w:rsidRDefault="00C31AA7" w:rsidP="00C31AA7">
      <w:pPr>
        <w:pStyle w:val="NormalWeb"/>
        <w:jc w:val="both"/>
      </w:pPr>
      <w:r>
        <w:t xml:space="preserve">– En RS485, añadir ESD </w:t>
      </w:r>
      <w:proofErr w:type="spellStart"/>
      <w:r>
        <w:t>low</w:t>
      </w:r>
      <w:proofErr w:type="spellEnd"/>
      <w:r>
        <w:t>-C cercano al transceptor y evaluar CMC/resistencias serie según longitudes de cable y pruebas.</w:t>
      </w:r>
    </w:p>
    <w:p w14:paraId="75CA35EF" w14:textId="77777777" w:rsidR="00C31AA7" w:rsidRDefault="00C31AA7" w:rsidP="00C31AA7">
      <w:pPr>
        <w:pStyle w:val="NormalWeb"/>
        <w:jc w:val="both"/>
      </w:pPr>
      <w:r>
        <w:t xml:space="preserve">– En USB, incorporar/confirmar ESD </w:t>
      </w:r>
      <w:proofErr w:type="spellStart"/>
      <w:r>
        <w:t>low</w:t>
      </w:r>
      <w:proofErr w:type="spellEnd"/>
      <w:r>
        <w:t xml:space="preserve">-C en D+/D- y una estrategia clara de referencia de </w:t>
      </w:r>
      <w:proofErr w:type="spellStart"/>
      <w:r>
        <w:t>shield</w:t>
      </w:r>
      <w:proofErr w:type="spellEnd"/>
      <w:r>
        <w:t xml:space="preserve"> a GND/chasis.</w:t>
      </w:r>
    </w:p>
    <w:p w14:paraId="0D748C1C" w14:textId="77777777" w:rsidR="00C31AA7" w:rsidRDefault="00C31AA7" w:rsidP="00C31AA7">
      <w:pPr>
        <w:pStyle w:val="NormalWeb"/>
        <w:jc w:val="both"/>
      </w:pPr>
      <w:r>
        <w:t xml:space="preserve">– Añadir puntos de prueba para A, B, </w:t>
      </w:r>
      <w:proofErr w:type="spellStart"/>
      <w:r>
        <w:t>enable</w:t>
      </w:r>
      <w:proofErr w:type="spellEnd"/>
      <w:r>
        <w:t xml:space="preserve"> del láser y GND cercano; definir y rotular </w:t>
      </w:r>
      <w:proofErr w:type="spellStart"/>
      <w:r>
        <w:t>LEDs</w:t>
      </w:r>
      <w:proofErr w:type="spellEnd"/>
      <w:r>
        <w:t xml:space="preserve"> de estado.</w:t>
      </w:r>
    </w:p>
    <w:p w14:paraId="6ECBA18D" w14:textId="77777777" w:rsidR="00C31AA7" w:rsidRDefault="00C31AA7" w:rsidP="00C31AA7">
      <w:pPr>
        <w:pStyle w:val="NormalWeb"/>
        <w:jc w:val="both"/>
      </w:pPr>
      <w:r>
        <w:t>– Incorporar logo RSA e identificación de versión/revisión de hardware.</w:t>
      </w:r>
    </w:p>
    <w:p w14:paraId="54772BE6" w14:textId="78C05483" w:rsidR="00C31AA7" w:rsidRDefault="00C31AA7" w:rsidP="00C31AA7">
      <w:pPr>
        <w:pStyle w:val="NormalWeb"/>
        <w:jc w:val="both"/>
      </w:pPr>
      <w:r>
        <w:lastRenderedPageBreak/>
        <w:t xml:space="preserve">– Incorporar en la documentación de fabricación las especificaciones de PCB (FR4, 2 oz, 1.6 mm, ENIG, </w:t>
      </w:r>
      <w:proofErr w:type="spellStart"/>
      <w:r>
        <w:t>vias</w:t>
      </w:r>
      <w:proofErr w:type="spellEnd"/>
      <w:r>
        <w:t xml:space="preserve"> cubiertas, tolerancias), ensamblado SMT/THT y memoria técnica del proceso de fabricación y montaje.</w:t>
      </w:r>
    </w:p>
    <w:p w14:paraId="64CBD603" w14:textId="77777777" w:rsidR="00C31AA7" w:rsidRPr="00C31AA7" w:rsidRDefault="00C31AA7" w:rsidP="00C31AA7">
      <w:pPr>
        <w:pStyle w:val="NormalWeb"/>
        <w:jc w:val="both"/>
        <w:rPr>
          <w:b/>
        </w:rPr>
      </w:pPr>
      <w:proofErr w:type="spellStart"/>
      <w:r w:rsidRPr="00C31AA7">
        <w:rPr>
          <w:b/>
        </w:rPr>
        <w:t>Checklist</w:t>
      </w:r>
      <w:proofErr w:type="spellEnd"/>
      <w:r w:rsidRPr="00C31AA7">
        <w:rPr>
          <w:b/>
        </w:rPr>
        <w:t xml:space="preserve"> de implementación</w:t>
      </w:r>
    </w:p>
    <w:p w14:paraId="2CC58F89" w14:textId="28993705" w:rsidR="00C31AA7" w:rsidRDefault="00C31AA7" w:rsidP="00C31AA7">
      <w:pPr>
        <w:pStyle w:val="NormalWeb"/>
        <w:numPr>
          <w:ilvl w:val="0"/>
          <w:numId w:val="25"/>
        </w:numPr>
        <w:jc w:val="both"/>
      </w:pPr>
      <w:r>
        <w:t xml:space="preserve">RS485 con terminación y </w:t>
      </w:r>
      <w:proofErr w:type="spellStart"/>
      <w:r>
        <w:t>bias</w:t>
      </w:r>
      <w:proofErr w:type="spellEnd"/>
      <w:r>
        <w:t xml:space="preserve"> configurables.</w:t>
      </w:r>
    </w:p>
    <w:p w14:paraId="7FC64933" w14:textId="18E08CDE" w:rsidR="00C31AA7" w:rsidRDefault="00C31AA7" w:rsidP="00C31AA7">
      <w:pPr>
        <w:pStyle w:val="NormalWeb"/>
        <w:numPr>
          <w:ilvl w:val="0"/>
          <w:numId w:val="25"/>
        </w:numPr>
        <w:jc w:val="both"/>
      </w:pPr>
      <w:r>
        <w:t>RS232TTL definido y documentado si aplica al ítem.</w:t>
      </w:r>
    </w:p>
    <w:p w14:paraId="3948EBE4" w14:textId="7988D026" w:rsidR="00C31AA7" w:rsidRDefault="00C31AA7" w:rsidP="00C31AA7">
      <w:pPr>
        <w:pStyle w:val="NormalWeb"/>
        <w:numPr>
          <w:ilvl w:val="0"/>
          <w:numId w:val="25"/>
        </w:numPr>
        <w:jc w:val="both"/>
      </w:pPr>
      <w:r>
        <w:t>/</w:t>
      </w:r>
      <w:proofErr w:type="spellStart"/>
      <w:r>
        <w:t>Vin</w:t>
      </w:r>
      <w:proofErr w:type="spellEnd"/>
      <w:r>
        <w:t xml:space="preserve"> con TVS, filtrado y protección de polaridad.</w:t>
      </w:r>
    </w:p>
    <w:p w14:paraId="6A68CD2D" w14:textId="10A64828" w:rsidR="00C31AA7" w:rsidRDefault="00C31AA7" w:rsidP="00C31AA7">
      <w:pPr>
        <w:pStyle w:val="NormalWeb"/>
        <w:numPr>
          <w:ilvl w:val="0"/>
          <w:numId w:val="25"/>
        </w:numPr>
        <w:jc w:val="both"/>
      </w:pPr>
      <w:r>
        <w:t>Protección ESD completa en todos los puertos a conectores (RS485, USB, alimentación y control).</w:t>
      </w:r>
    </w:p>
    <w:p w14:paraId="6AB0AEC0" w14:textId="562ACDDE" w:rsidR="00C31AA7" w:rsidRDefault="00C31AA7" w:rsidP="00C31AA7">
      <w:pPr>
        <w:pStyle w:val="NormalWeb"/>
        <w:numPr>
          <w:ilvl w:val="0"/>
          <w:numId w:val="25"/>
        </w:numPr>
        <w:jc w:val="both"/>
      </w:pPr>
      <w:r>
        <w:t xml:space="preserve">Conectores M12 implementados o criterio alternativo justificado con compatibilidad mecánica y </w:t>
      </w:r>
      <w:proofErr w:type="spellStart"/>
      <w:r>
        <w:t>anti-inversión</w:t>
      </w:r>
      <w:proofErr w:type="spellEnd"/>
      <w:r>
        <w:t>.</w:t>
      </w:r>
    </w:p>
    <w:p w14:paraId="70429E53" w14:textId="4328A559" w:rsidR="00C31AA7" w:rsidRDefault="00C31AA7" w:rsidP="00C31AA7">
      <w:pPr>
        <w:pStyle w:val="NormalWeb"/>
        <w:numPr>
          <w:ilvl w:val="0"/>
          <w:numId w:val="25"/>
        </w:numPr>
        <w:jc w:val="both"/>
      </w:pPr>
      <w:r>
        <w:t xml:space="preserve">Puntos de prueba completos (rieles + A/B + </w:t>
      </w:r>
      <w:proofErr w:type="spellStart"/>
      <w:r>
        <w:t>enable</w:t>
      </w:r>
      <w:proofErr w:type="spellEnd"/>
      <w:r>
        <w:t xml:space="preserve"> láser + GND).</w:t>
      </w:r>
    </w:p>
    <w:p w14:paraId="24547297" w14:textId="095C3029" w:rsidR="00C31AA7" w:rsidRDefault="00C31AA7" w:rsidP="00C31AA7">
      <w:pPr>
        <w:pStyle w:val="NormalWeb"/>
        <w:numPr>
          <w:ilvl w:val="0"/>
          <w:numId w:val="25"/>
        </w:numPr>
        <w:jc w:val="both"/>
      </w:pPr>
      <w:proofErr w:type="spellStart"/>
      <w:r>
        <w:t>LEDs</w:t>
      </w:r>
      <w:proofErr w:type="spellEnd"/>
      <w:r>
        <w:t xml:space="preserve"> definidos y rotulados.</w:t>
      </w:r>
    </w:p>
    <w:p w14:paraId="7ADBEEBE" w14:textId="30B04CCB" w:rsidR="00C31AA7" w:rsidRDefault="00C31AA7" w:rsidP="00C31AA7">
      <w:pPr>
        <w:pStyle w:val="NormalWeb"/>
        <w:numPr>
          <w:ilvl w:val="0"/>
          <w:numId w:val="25"/>
        </w:numPr>
        <w:jc w:val="both"/>
      </w:pPr>
      <w:r>
        <w:t>Serigrafía institucional y versión HW incorporadas.</w:t>
      </w:r>
    </w:p>
    <w:p w14:paraId="79C6EA02" w14:textId="77777777" w:rsidR="00C31AA7" w:rsidRPr="00C31AA7" w:rsidRDefault="00C31AA7" w:rsidP="00C31AA7">
      <w:pPr>
        <w:pStyle w:val="NormalWeb"/>
        <w:jc w:val="both"/>
        <w:rPr>
          <w:b/>
        </w:rPr>
      </w:pPr>
      <w:r w:rsidRPr="00C31AA7">
        <w:rPr>
          <w:b/>
        </w:rPr>
        <w:t>Conclusiones</w:t>
      </w:r>
    </w:p>
    <w:p w14:paraId="6262E735" w14:textId="5F0C596B" w:rsidR="00C31AA7" w:rsidRDefault="00C31AA7" w:rsidP="00C31AA7">
      <w:pPr>
        <w:pStyle w:val="NormalWeb"/>
        <w:jc w:val="both"/>
      </w:pPr>
      <w:r>
        <w:t>El diseño del colimador fijo evidencia la arquitectura base requerida (ESP32 + control de láser + RS485) y mejoras de mantenibilidad (USB, RESET y BOOT). Sin embargo, el cruce con el Anexo del ítem 65 muestra brechas importantes: la configuración industrial del RS485 (terminación/</w:t>
      </w:r>
      <w:proofErr w:type="spellStart"/>
      <w:r>
        <w:t>bias</w:t>
      </w:r>
      <w:proofErr w:type="spellEnd"/>
      <w:r>
        <w:t>), la definición de RS232TTL si aplica, la conectividad M12, y el cierre de protección ESD/filtrado de entrada conforme a conectividad a campo. Estos aspectos deben atenderse antes de avanzar a validación con hardware físico y a la consolidación de documentación de fabricación.</w:t>
      </w:r>
    </w:p>
    <w:p w14:paraId="1E8B9453" w14:textId="77777777" w:rsidR="00C31AA7" w:rsidRPr="00C31AA7" w:rsidRDefault="00C31AA7" w:rsidP="00C31AA7">
      <w:pPr>
        <w:pStyle w:val="NormalWeb"/>
        <w:jc w:val="both"/>
        <w:rPr>
          <w:b/>
        </w:rPr>
      </w:pPr>
      <w:r w:rsidRPr="00C31AA7">
        <w:rPr>
          <w:b/>
        </w:rPr>
        <w:t>Observación principal</w:t>
      </w:r>
    </w:p>
    <w:p w14:paraId="1CB3E6F6" w14:textId="2772A230" w:rsidR="000447D4" w:rsidRPr="00C31AA7" w:rsidRDefault="00C31AA7" w:rsidP="00C31AA7">
      <w:pPr>
        <w:pStyle w:val="NormalWeb"/>
        <w:jc w:val="both"/>
      </w:pPr>
      <w:r>
        <w:t>La ausencia de terminación y polarización configurables del RS485, junto con la falta de evidencia de conectividad M12 (o su justificación formal), constituyen los principales riesgos técnicos pendientes para cerrar el ítem 65 desde el punto de vista de robustez y coherencia con las especificaciones.</w:t>
      </w:r>
    </w:p>
    <w:sectPr w:rsidR="000447D4" w:rsidRPr="00C31A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242C"/>
    <w:multiLevelType w:val="hybridMultilevel"/>
    <w:tmpl w:val="E65E3BA2"/>
    <w:lvl w:ilvl="0" w:tplc="300A000F">
      <w:start w:val="1"/>
      <w:numFmt w:val="decimal"/>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2EE1DF7"/>
    <w:multiLevelType w:val="hybridMultilevel"/>
    <w:tmpl w:val="A4CA460A"/>
    <w:lvl w:ilvl="0" w:tplc="F712F1B8">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A546B56"/>
    <w:multiLevelType w:val="multilevel"/>
    <w:tmpl w:val="1C7C1B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826FD"/>
    <w:multiLevelType w:val="multilevel"/>
    <w:tmpl w:val="FE74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B133B"/>
    <w:multiLevelType w:val="multilevel"/>
    <w:tmpl w:val="09463C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21451"/>
    <w:multiLevelType w:val="multilevel"/>
    <w:tmpl w:val="23D62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C7BD2"/>
    <w:multiLevelType w:val="multilevel"/>
    <w:tmpl w:val="D80C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E719E4"/>
    <w:multiLevelType w:val="hybridMultilevel"/>
    <w:tmpl w:val="66E24FEA"/>
    <w:lvl w:ilvl="0" w:tplc="069CE5DA">
      <w:start w:val="1"/>
      <w:numFmt w:val="lowerRoman"/>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357D3164"/>
    <w:multiLevelType w:val="multilevel"/>
    <w:tmpl w:val="27228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A16E3E"/>
    <w:multiLevelType w:val="hybridMultilevel"/>
    <w:tmpl w:val="260AD66C"/>
    <w:lvl w:ilvl="0" w:tplc="D5D60004">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FF90557"/>
    <w:multiLevelType w:val="multilevel"/>
    <w:tmpl w:val="18CCA9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2958F0"/>
    <w:multiLevelType w:val="hybridMultilevel"/>
    <w:tmpl w:val="CC687068"/>
    <w:lvl w:ilvl="0" w:tplc="D5D60004">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48076CBB"/>
    <w:multiLevelType w:val="multilevel"/>
    <w:tmpl w:val="3CCA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480649"/>
    <w:multiLevelType w:val="multilevel"/>
    <w:tmpl w:val="7A3A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4E6E14"/>
    <w:multiLevelType w:val="multilevel"/>
    <w:tmpl w:val="AA5C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B52E74"/>
    <w:multiLevelType w:val="multilevel"/>
    <w:tmpl w:val="A82E80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E0D96"/>
    <w:multiLevelType w:val="hybridMultilevel"/>
    <w:tmpl w:val="B3AEA82A"/>
    <w:lvl w:ilvl="0" w:tplc="D5D60004">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13F6EB6"/>
    <w:multiLevelType w:val="hybridMultilevel"/>
    <w:tmpl w:val="F454F0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351752F"/>
    <w:multiLevelType w:val="multilevel"/>
    <w:tmpl w:val="D4AE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17781B"/>
    <w:multiLevelType w:val="hybridMultilevel"/>
    <w:tmpl w:val="088A14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68583D2E"/>
    <w:multiLevelType w:val="multilevel"/>
    <w:tmpl w:val="A8CE8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AF0B81"/>
    <w:multiLevelType w:val="multilevel"/>
    <w:tmpl w:val="F410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C76EC0"/>
    <w:multiLevelType w:val="multilevel"/>
    <w:tmpl w:val="15E0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CD6A37"/>
    <w:multiLevelType w:val="multilevel"/>
    <w:tmpl w:val="06F4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4A554A"/>
    <w:multiLevelType w:val="multilevel"/>
    <w:tmpl w:val="8984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3"/>
  </w:num>
  <w:num w:numId="3">
    <w:abstractNumId w:val="21"/>
  </w:num>
  <w:num w:numId="4">
    <w:abstractNumId w:val="6"/>
  </w:num>
  <w:num w:numId="5">
    <w:abstractNumId w:val="18"/>
  </w:num>
  <w:num w:numId="6">
    <w:abstractNumId w:val="20"/>
  </w:num>
  <w:num w:numId="7">
    <w:abstractNumId w:val="22"/>
  </w:num>
  <w:num w:numId="8">
    <w:abstractNumId w:val="23"/>
  </w:num>
  <w:num w:numId="9">
    <w:abstractNumId w:val="8"/>
  </w:num>
  <w:num w:numId="10">
    <w:abstractNumId w:val="13"/>
  </w:num>
  <w:num w:numId="11">
    <w:abstractNumId w:val="5"/>
  </w:num>
  <w:num w:numId="12">
    <w:abstractNumId w:val="12"/>
  </w:num>
  <w:num w:numId="13">
    <w:abstractNumId w:val="4"/>
  </w:num>
  <w:num w:numId="14">
    <w:abstractNumId w:val="14"/>
  </w:num>
  <w:num w:numId="15">
    <w:abstractNumId w:val="2"/>
  </w:num>
  <w:num w:numId="16">
    <w:abstractNumId w:val="15"/>
  </w:num>
  <w:num w:numId="17">
    <w:abstractNumId w:val="10"/>
  </w:num>
  <w:num w:numId="18">
    <w:abstractNumId w:val="7"/>
  </w:num>
  <w:num w:numId="19">
    <w:abstractNumId w:val="0"/>
  </w:num>
  <w:num w:numId="20">
    <w:abstractNumId w:val="17"/>
  </w:num>
  <w:num w:numId="21">
    <w:abstractNumId w:val="11"/>
  </w:num>
  <w:num w:numId="22">
    <w:abstractNumId w:val="9"/>
  </w:num>
  <w:num w:numId="23">
    <w:abstractNumId w:val="16"/>
  </w:num>
  <w:num w:numId="24">
    <w:abstractNumId w:val="19"/>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F58"/>
    <w:rsid w:val="000447D4"/>
    <w:rsid w:val="00407529"/>
    <w:rsid w:val="004B2524"/>
    <w:rsid w:val="00A17402"/>
    <w:rsid w:val="00AF4F58"/>
    <w:rsid w:val="00C31AA7"/>
    <w:rsid w:val="00F8732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9725"/>
  <w15:chartTrackingRefBased/>
  <w15:docId w15:val="{E9C023EE-AAC3-4744-A11F-C1DC117B8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17402"/>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4B25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218047">
      <w:bodyDiv w:val="1"/>
      <w:marLeft w:val="0"/>
      <w:marRight w:val="0"/>
      <w:marTop w:val="0"/>
      <w:marBottom w:val="0"/>
      <w:divBdr>
        <w:top w:val="none" w:sz="0" w:space="0" w:color="auto"/>
        <w:left w:val="none" w:sz="0" w:space="0" w:color="auto"/>
        <w:bottom w:val="none" w:sz="0" w:space="0" w:color="auto"/>
        <w:right w:val="none" w:sz="0" w:space="0" w:color="auto"/>
      </w:divBdr>
    </w:div>
    <w:div w:id="352998803">
      <w:bodyDiv w:val="1"/>
      <w:marLeft w:val="0"/>
      <w:marRight w:val="0"/>
      <w:marTop w:val="0"/>
      <w:marBottom w:val="0"/>
      <w:divBdr>
        <w:top w:val="none" w:sz="0" w:space="0" w:color="auto"/>
        <w:left w:val="none" w:sz="0" w:space="0" w:color="auto"/>
        <w:bottom w:val="none" w:sz="0" w:space="0" w:color="auto"/>
        <w:right w:val="none" w:sz="0" w:space="0" w:color="auto"/>
      </w:divBdr>
    </w:div>
    <w:div w:id="845553329">
      <w:bodyDiv w:val="1"/>
      <w:marLeft w:val="0"/>
      <w:marRight w:val="0"/>
      <w:marTop w:val="0"/>
      <w:marBottom w:val="0"/>
      <w:divBdr>
        <w:top w:val="none" w:sz="0" w:space="0" w:color="auto"/>
        <w:left w:val="none" w:sz="0" w:space="0" w:color="auto"/>
        <w:bottom w:val="none" w:sz="0" w:space="0" w:color="auto"/>
        <w:right w:val="none" w:sz="0" w:space="0" w:color="auto"/>
      </w:divBdr>
    </w:div>
    <w:div w:id="1053114892">
      <w:bodyDiv w:val="1"/>
      <w:marLeft w:val="0"/>
      <w:marRight w:val="0"/>
      <w:marTop w:val="0"/>
      <w:marBottom w:val="0"/>
      <w:divBdr>
        <w:top w:val="none" w:sz="0" w:space="0" w:color="auto"/>
        <w:left w:val="none" w:sz="0" w:space="0" w:color="auto"/>
        <w:bottom w:val="none" w:sz="0" w:space="0" w:color="auto"/>
        <w:right w:val="none" w:sz="0" w:space="0" w:color="auto"/>
      </w:divBdr>
    </w:div>
    <w:div w:id="189492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1308</Words>
  <Characters>7198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Administrador</cp:lastModifiedBy>
  <cp:revision>5</cp:revision>
  <dcterms:created xsi:type="dcterms:W3CDTF">2026-01-02T19:45:00Z</dcterms:created>
  <dcterms:modified xsi:type="dcterms:W3CDTF">2026-01-02T22:45:00Z</dcterms:modified>
</cp:coreProperties>
</file>