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7B65" w14:textId="77777777" w:rsidR="00207AED" w:rsidRDefault="00000000" w:rsidP="008B3F38">
      <w:pPr>
        <w:pStyle w:val="Ttulo1"/>
        <w:jc w:val="center"/>
      </w:pPr>
      <w:r>
        <w:t>Nota Técnica – Respuesta del Contratista</w:t>
      </w:r>
      <w:r>
        <w:br/>
        <w:t>Colimador Fijo (Ítem 65)</w:t>
      </w:r>
    </w:p>
    <w:p w14:paraId="2420C528" w14:textId="77777777" w:rsidR="00207AED" w:rsidRDefault="00207AED"/>
    <w:p w14:paraId="183865ED" w14:textId="77777777" w:rsidR="00207AED" w:rsidRDefault="00000000" w:rsidP="008B3F38">
      <w:pPr>
        <w:jc w:val="both"/>
      </w:pPr>
      <w:r>
        <w:t>Proyecto: Sistema RSA – Colimadores</w:t>
      </w:r>
    </w:p>
    <w:p w14:paraId="46AAF922" w14:textId="77777777" w:rsidR="00207AED" w:rsidRDefault="00000000" w:rsidP="008B3F38">
      <w:pPr>
        <w:jc w:val="both"/>
      </w:pPr>
      <w:r>
        <w:t>Ítem: 65 – Colimador fijo</w:t>
      </w:r>
    </w:p>
    <w:p w14:paraId="2824647F" w14:textId="77777777" w:rsidR="00207AED" w:rsidRDefault="00000000" w:rsidP="008B3F38">
      <w:pPr>
        <w:jc w:val="both"/>
      </w:pPr>
      <w:r>
        <w:t>Objeto: Respuesta técnica a Nota Técnica EM1 (Versión 2)</w:t>
      </w:r>
    </w:p>
    <w:p w14:paraId="17301922" w14:textId="77777777" w:rsidR="00207AED" w:rsidRDefault="00000000" w:rsidP="008B3F38">
      <w:pPr>
        <w:jc w:val="both"/>
      </w:pPr>
      <w:r>
        <w:t>Fecha: 2026-01-06</w:t>
      </w:r>
    </w:p>
    <w:p w14:paraId="53B27AE6" w14:textId="13EC5E1D" w:rsidR="008B3F38" w:rsidRPr="00C00AED" w:rsidRDefault="008B3F38" w:rsidP="008B3F38">
      <w:pPr>
        <w:pStyle w:val="Prrafodelista"/>
        <w:numPr>
          <w:ilvl w:val="0"/>
          <w:numId w:val="14"/>
        </w:numPr>
        <w:jc w:val="both"/>
        <w:rPr>
          <w:rStyle w:val="Ttulodellibro"/>
          <w:sz w:val="24"/>
          <w:szCs w:val="24"/>
          <w:lang w:val="es-EC"/>
        </w:rPr>
      </w:pPr>
      <w:r w:rsidRPr="00C00AED">
        <w:rPr>
          <w:rStyle w:val="Ttulodellibro"/>
          <w:sz w:val="24"/>
          <w:szCs w:val="24"/>
          <w:lang w:val="es-EC"/>
        </w:rPr>
        <w:t>Antecedentes</w:t>
      </w:r>
    </w:p>
    <w:p w14:paraId="05D5519E" w14:textId="77777777" w:rsidR="008A2B08" w:rsidRPr="008A2B08" w:rsidRDefault="008A2B08" w:rsidP="008A2B08">
      <w:pPr>
        <w:jc w:val="both"/>
        <w:rPr>
          <w:lang w:val="es-EC"/>
        </w:rPr>
      </w:pPr>
      <w:r w:rsidRPr="008A2B08">
        <w:rPr>
          <w:lang w:val="es-EC"/>
        </w:rPr>
        <w:t>En atención a la Nota Técnica EM1 – Versión 2 emitida por el equipo revisor, el contratista presenta la presente Nota Técnica con el objetivo de aclarar y sustentar técnicamente que el diseño electrónico del colimador fijo cumple con las Especificaciones Técnicas contractuales en lo aplicable a la tarjeta electrónica (PCBA), no evidenciándose incumplimientos funcionales del diseño.</w:t>
      </w:r>
    </w:p>
    <w:p w14:paraId="01B734AE" w14:textId="44EE523A" w:rsidR="008B3F38" w:rsidRDefault="008B3F38" w:rsidP="008B3F38">
      <w:pPr>
        <w:jc w:val="both"/>
        <w:rPr>
          <w:lang w:val="es-EC"/>
        </w:rPr>
      </w:pPr>
      <w:r w:rsidRPr="008B3F38">
        <w:rPr>
          <w:lang w:val="es-EC"/>
        </w:rPr>
        <w:t>La presente respuesta se fundamenta en el esquemático y el diseño de PCB efectivamente implementados y fabricados.</w:t>
      </w:r>
    </w:p>
    <w:p w14:paraId="461CA105" w14:textId="107D8C5E" w:rsidR="00E7122B" w:rsidRPr="008B3F38" w:rsidRDefault="00E7122B" w:rsidP="008B3F38">
      <w:pPr>
        <w:jc w:val="both"/>
        <w:rPr>
          <w:lang w:val="es-EC"/>
        </w:rPr>
      </w:pPr>
      <w:r w:rsidRPr="00E7122B">
        <w:rPr>
          <w:lang w:val="es-EC"/>
        </w:rPr>
        <w:t>Actualmente, las pruebas funcionales y procesos de calibración del colimador fijo se están realizando sobre el prototipo físico, en coordinación con el equipo técnico del proveedor en China, como parte de la etapa de validación previa a la integración del sistema.</w:t>
      </w:r>
    </w:p>
    <w:p w14:paraId="1E44D17A" w14:textId="522677A7" w:rsidR="008B3F38" w:rsidRPr="008B3F38" w:rsidRDefault="008B3F38" w:rsidP="008B3F38">
      <w:pPr>
        <w:pStyle w:val="Prrafodelista"/>
        <w:numPr>
          <w:ilvl w:val="0"/>
          <w:numId w:val="14"/>
        </w:numPr>
        <w:jc w:val="both"/>
        <w:rPr>
          <w:rStyle w:val="Ttulodellibro"/>
          <w:sz w:val="24"/>
          <w:szCs w:val="24"/>
          <w:lang w:val="es-EC"/>
        </w:rPr>
      </w:pPr>
      <w:r w:rsidRPr="008B3F38">
        <w:rPr>
          <w:rStyle w:val="Ttulodellibro"/>
          <w:sz w:val="24"/>
          <w:szCs w:val="24"/>
          <w:lang w:val="es-EC"/>
        </w:rPr>
        <w:t xml:space="preserve"> Alcance de la respuesta</w:t>
      </w:r>
    </w:p>
    <w:p w14:paraId="5124E9D8" w14:textId="77777777" w:rsidR="008B3F38" w:rsidRPr="008B3F38" w:rsidRDefault="008B3F38" w:rsidP="008B3F38">
      <w:pPr>
        <w:jc w:val="both"/>
        <w:rPr>
          <w:lang w:val="es-EC"/>
        </w:rPr>
      </w:pPr>
      <w:r w:rsidRPr="008B3F38">
        <w:rPr>
          <w:lang w:val="es-EC"/>
        </w:rPr>
        <w:t>Esta Nota Técnica aborda los aspectos correspondientes a:</w:t>
      </w:r>
    </w:p>
    <w:p w14:paraId="102BE9F9" w14:textId="77777777" w:rsidR="008B3F38" w:rsidRPr="008B3F38" w:rsidRDefault="008B3F38" w:rsidP="008B3F38">
      <w:pPr>
        <w:numPr>
          <w:ilvl w:val="0"/>
          <w:numId w:val="10"/>
        </w:numPr>
        <w:jc w:val="both"/>
        <w:rPr>
          <w:lang w:val="es-EC"/>
        </w:rPr>
      </w:pPr>
      <w:r w:rsidRPr="008B3F38">
        <w:rPr>
          <w:lang w:val="es-EC"/>
        </w:rPr>
        <w:t>arquitectura eléctrica y de control;</w:t>
      </w:r>
    </w:p>
    <w:p w14:paraId="7FBBBB83" w14:textId="77777777" w:rsidR="008B3F38" w:rsidRPr="008B3F38" w:rsidRDefault="008B3F38" w:rsidP="008B3F38">
      <w:pPr>
        <w:numPr>
          <w:ilvl w:val="0"/>
          <w:numId w:val="10"/>
        </w:numPr>
        <w:jc w:val="both"/>
        <w:rPr>
          <w:lang w:val="es-EC"/>
        </w:rPr>
      </w:pPr>
      <w:r w:rsidRPr="008B3F38">
        <w:rPr>
          <w:lang w:val="es-EC"/>
        </w:rPr>
        <w:t>conectividad y comunicaciones;</w:t>
      </w:r>
    </w:p>
    <w:p w14:paraId="60158A6C" w14:textId="77777777" w:rsidR="008B3F38" w:rsidRPr="008B3F38" w:rsidRDefault="008B3F38" w:rsidP="008B3F38">
      <w:pPr>
        <w:numPr>
          <w:ilvl w:val="0"/>
          <w:numId w:val="10"/>
        </w:numPr>
        <w:jc w:val="both"/>
        <w:rPr>
          <w:lang w:val="es-EC"/>
        </w:rPr>
      </w:pPr>
      <w:r w:rsidRPr="008B3F38">
        <w:rPr>
          <w:lang w:val="es-EC"/>
        </w:rPr>
        <w:t>medidas de protección eléctrica y EMC implementadas;</w:t>
      </w:r>
    </w:p>
    <w:p w14:paraId="356C3890" w14:textId="77777777" w:rsidR="008B3F38" w:rsidRPr="008B3F38" w:rsidRDefault="008B3F38" w:rsidP="008B3F38">
      <w:pPr>
        <w:numPr>
          <w:ilvl w:val="0"/>
          <w:numId w:val="10"/>
        </w:numPr>
        <w:jc w:val="both"/>
        <w:rPr>
          <w:lang w:val="es-EC"/>
        </w:rPr>
      </w:pPr>
      <w:r w:rsidRPr="008B3F38">
        <w:rPr>
          <w:lang w:val="es-EC"/>
        </w:rPr>
        <w:t>alcance real del PCBA dentro del conjunto tarjeta–arnés–contenedor.</w:t>
      </w:r>
    </w:p>
    <w:p w14:paraId="2F3EDA1D" w14:textId="4553C5DB" w:rsidR="008B3F38" w:rsidRPr="008B3F38" w:rsidRDefault="008B3F38" w:rsidP="008B3F38">
      <w:pPr>
        <w:pStyle w:val="Prrafodelista"/>
        <w:numPr>
          <w:ilvl w:val="0"/>
          <w:numId w:val="14"/>
        </w:numPr>
        <w:jc w:val="both"/>
        <w:rPr>
          <w:rStyle w:val="Ttulodellibro"/>
          <w:sz w:val="24"/>
          <w:szCs w:val="24"/>
          <w:lang w:val="es-EC"/>
        </w:rPr>
      </w:pPr>
      <w:r w:rsidRPr="008B3F38">
        <w:rPr>
          <w:rStyle w:val="Ttulodellibro"/>
          <w:sz w:val="24"/>
          <w:szCs w:val="24"/>
          <w:lang w:val="es-EC"/>
        </w:rPr>
        <w:t xml:space="preserve"> Verificación técnica del diseño</w:t>
      </w:r>
    </w:p>
    <w:p w14:paraId="19424F79" w14:textId="77777777" w:rsidR="008B3F38" w:rsidRPr="008B3F38" w:rsidRDefault="008B3F38" w:rsidP="008B3F38">
      <w:pPr>
        <w:jc w:val="both"/>
        <w:rPr>
          <w:lang w:val="es-EC"/>
        </w:rPr>
      </w:pPr>
      <w:r w:rsidRPr="008B3F38">
        <w:rPr>
          <w:lang w:val="es-EC"/>
        </w:rPr>
        <w:t>El diseño del colimador fijo implementa una arquitectura robusta basada en un microcontrolador ESP32-P4, de grado industrial, con múltiples dominios de alimentación y criterios de bajo ruido.</w:t>
      </w:r>
    </w:p>
    <w:p w14:paraId="1FEF8CA2" w14:textId="77777777" w:rsidR="008B3F38" w:rsidRPr="008B3F38" w:rsidRDefault="008B3F38" w:rsidP="008B3F38">
      <w:pPr>
        <w:jc w:val="both"/>
        <w:rPr>
          <w:lang w:val="es-EC"/>
        </w:rPr>
      </w:pPr>
      <w:r w:rsidRPr="008B3F38">
        <w:rPr>
          <w:lang w:val="es-EC"/>
        </w:rPr>
        <w:t>La etapa de potencia se estructura de forma multietapa mediante:</w:t>
      </w:r>
    </w:p>
    <w:p w14:paraId="43F2D4C1" w14:textId="77777777" w:rsidR="008B3F38" w:rsidRPr="008B3F38" w:rsidRDefault="008B3F38" w:rsidP="008B3F38">
      <w:pPr>
        <w:numPr>
          <w:ilvl w:val="0"/>
          <w:numId w:val="11"/>
        </w:numPr>
        <w:jc w:val="both"/>
        <w:rPr>
          <w:lang w:val="es-EC"/>
        </w:rPr>
      </w:pPr>
      <w:r w:rsidRPr="008B3F38">
        <w:rPr>
          <w:lang w:val="es-EC"/>
        </w:rPr>
        <w:lastRenderedPageBreak/>
        <w:t>un regulador conmutado LTM8074 para la conversión principal desde /</w:t>
      </w:r>
      <w:proofErr w:type="spellStart"/>
      <w:r w:rsidRPr="008B3F38">
        <w:rPr>
          <w:lang w:val="es-EC"/>
        </w:rPr>
        <w:t>Vin</w:t>
      </w:r>
      <w:proofErr w:type="spellEnd"/>
      <w:r w:rsidRPr="008B3F38">
        <w:rPr>
          <w:lang w:val="es-EC"/>
        </w:rPr>
        <w:t>,</w:t>
      </w:r>
    </w:p>
    <w:p w14:paraId="55D8C8E7" w14:textId="77777777" w:rsidR="008B3F38" w:rsidRPr="008B3F38" w:rsidRDefault="008B3F38" w:rsidP="008B3F38">
      <w:pPr>
        <w:numPr>
          <w:ilvl w:val="0"/>
          <w:numId w:val="11"/>
        </w:numPr>
        <w:jc w:val="both"/>
        <w:rPr>
          <w:lang w:val="es-EC"/>
        </w:rPr>
      </w:pPr>
      <w:r w:rsidRPr="008B3F38">
        <w:rPr>
          <w:lang w:val="es-EC"/>
        </w:rPr>
        <w:t>un regulador LT1764A-3.3 V dedicado a la lógica,</w:t>
      </w:r>
    </w:p>
    <w:p w14:paraId="78A0291F" w14:textId="77777777" w:rsidR="008B3F38" w:rsidRPr="008B3F38" w:rsidRDefault="008B3F38" w:rsidP="008B3F38">
      <w:pPr>
        <w:numPr>
          <w:ilvl w:val="0"/>
          <w:numId w:val="11"/>
        </w:numPr>
        <w:jc w:val="both"/>
        <w:rPr>
          <w:lang w:val="es-EC"/>
        </w:rPr>
      </w:pPr>
      <w:r w:rsidRPr="008B3F38">
        <w:rPr>
          <w:lang w:val="es-EC"/>
        </w:rPr>
        <w:t>un regulador TPS7A24-5 V para el subsistema de láser.</w:t>
      </w:r>
    </w:p>
    <w:p w14:paraId="335676FC" w14:textId="77777777" w:rsidR="008B3F38" w:rsidRPr="008B3F38" w:rsidRDefault="008B3F38" w:rsidP="008B3F38">
      <w:pPr>
        <w:jc w:val="both"/>
        <w:rPr>
          <w:lang w:val="es-EC"/>
        </w:rPr>
      </w:pPr>
      <w:r w:rsidRPr="008B3F38">
        <w:rPr>
          <w:lang w:val="es-EC"/>
        </w:rPr>
        <w:t>Esta arquitectura permite la separación funcional de dominios y reduce el acoplamiento de ruido entre cargas de potencia y lógica digital.</w:t>
      </w:r>
    </w:p>
    <w:p w14:paraId="171F6A9B" w14:textId="77777777" w:rsidR="008B3F38" w:rsidRPr="008B3F38" w:rsidRDefault="008B3F38" w:rsidP="008B3F38">
      <w:pPr>
        <w:jc w:val="both"/>
        <w:rPr>
          <w:lang w:val="es-EC"/>
        </w:rPr>
      </w:pPr>
      <w:r w:rsidRPr="008B3F38">
        <w:rPr>
          <w:lang w:val="es-EC"/>
        </w:rPr>
        <w:t>La entrada de alimentación /</w:t>
      </w:r>
      <w:proofErr w:type="spellStart"/>
      <w:r w:rsidRPr="008B3F38">
        <w:rPr>
          <w:lang w:val="es-EC"/>
        </w:rPr>
        <w:t>Vin</w:t>
      </w:r>
      <w:proofErr w:type="spellEnd"/>
      <w:r w:rsidRPr="008B3F38">
        <w:rPr>
          <w:lang w:val="es-EC"/>
        </w:rPr>
        <w:t xml:space="preserve"> incorpora protección contra transitorios mediante un diodo TVS SMAJ15A, así como filtrado capacitivo, garantizando inmunidad frente a perturbaciones externas.</w:t>
      </w:r>
    </w:p>
    <w:p w14:paraId="3BE4DD19" w14:textId="785EA436" w:rsidR="008B3F38" w:rsidRPr="008B3F38" w:rsidRDefault="008B3F38" w:rsidP="008B3F38">
      <w:pPr>
        <w:pStyle w:val="Prrafodelista"/>
        <w:numPr>
          <w:ilvl w:val="0"/>
          <w:numId w:val="14"/>
        </w:numPr>
        <w:jc w:val="both"/>
        <w:rPr>
          <w:rStyle w:val="Ttulodellibro"/>
          <w:sz w:val="24"/>
          <w:szCs w:val="24"/>
          <w:lang w:val="es-EC"/>
        </w:rPr>
      </w:pPr>
      <w:r w:rsidRPr="008B3F38">
        <w:rPr>
          <w:rStyle w:val="Ttulodellibro"/>
          <w:sz w:val="24"/>
          <w:szCs w:val="24"/>
          <w:lang w:val="es-EC"/>
        </w:rPr>
        <w:t xml:space="preserve"> Comunicaciones y conectividad</w:t>
      </w:r>
    </w:p>
    <w:p w14:paraId="5E468BDF" w14:textId="77777777" w:rsidR="008A2B08" w:rsidRPr="008A2B08" w:rsidRDefault="008A2B08" w:rsidP="008A2B08">
      <w:pPr>
        <w:rPr>
          <w:lang w:val="es-EC"/>
        </w:rPr>
      </w:pPr>
      <w:r w:rsidRPr="008A2B08">
        <w:rPr>
          <w:lang w:val="es-EC"/>
        </w:rPr>
        <w:t>La comunicación RS485 se implementa mediante un transceptor SP3485, incluyendo:</w:t>
      </w:r>
    </w:p>
    <w:p w14:paraId="5370C653" w14:textId="29EC4628" w:rsidR="008A2B08" w:rsidRPr="008A2B08" w:rsidRDefault="008A2B08" w:rsidP="008A2B08">
      <w:pPr>
        <w:pStyle w:val="Prrafodelista"/>
        <w:numPr>
          <w:ilvl w:val="0"/>
          <w:numId w:val="15"/>
        </w:numPr>
        <w:rPr>
          <w:lang w:val="es-EC"/>
        </w:rPr>
      </w:pPr>
      <w:r w:rsidRPr="008A2B08">
        <w:rPr>
          <w:lang w:val="es-EC"/>
        </w:rPr>
        <w:t>cierre eléctrico completo;</w:t>
      </w:r>
    </w:p>
    <w:p w14:paraId="28752F9A" w14:textId="4E34FEB7" w:rsidR="008A2B08" w:rsidRPr="008A2B08" w:rsidRDefault="008A2B08" w:rsidP="008A2B08">
      <w:pPr>
        <w:pStyle w:val="Prrafodelista"/>
        <w:numPr>
          <w:ilvl w:val="0"/>
          <w:numId w:val="15"/>
        </w:numPr>
        <w:rPr>
          <w:lang w:val="es-EC"/>
        </w:rPr>
      </w:pPr>
      <w:r w:rsidRPr="008A2B08">
        <w:rPr>
          <w:lang w:val="es-EC"/>
        </w:rPr>
        <w:t>resistencia de terminación de 120 Ω seleccionable mediante jumper;</w:t>
      </w:r>
    </w:p>
    <w:p w14:paraId="32AFEB6E" w14:textId="7A5A2D50" w:rsidR="008A2B08" w:rsidRPr="008A2B08" w:rsidRDefault="008A2B08" w:rsidP="008A2B08">
      <w:pPr>
        <w:pStyle w:val="Prrafodelista"/>
        <w:numPr>
          <w:ilvl w:val="0"/>
          <w:numId w:val="15"/>
        </w:numPr>
        <w:rPr>
          <w:lang w:val="es-EC"/>
        </w:rPr>
      </w:pPr>
      <w:r w:rsidRPr="008A2B08">
        <w:rPr>
          <w:lang w:val="es-EC"/>
        </w:rPr>
        <w:t>protección contra ESD y transitorios mediante diodos TVS bidireccionales en las líneas A/B.</w:t>
      </w:r>
    </w:p>
    <w:p w14:paraId="512CACDA" w14:textId="77777777" w:rsidR="008A2B08" w:rsidRDefault="008A2B08" w:rsidP="008A2B08">
      <w:pPr>
        <w:rPr>
          <w:lang w:val="es-EC"/>
        </w:rPr>
      </w:pPr>
      <w:r w:rsidRPr="008A2B08">
        <w:rPr>
          <w:lang w:val="es-EC"/>
        </w:rPr>
        <w:t>La polarización del bus RS485 se gestiona a nivel de sistema (nodo maestro), criterio habitual en arquitecturas RS485 industriales con topología definida, el cual será documentado formalmente para mayor claridad.</w:t>
      </w:r>
    </w:p>
    <w:p w14:paraId="2BEE7186" w14:textId="46E60DA2" w:rsidR="008B3F38" w:rsidRPr="008B3F38" w:rsidRDefault="008A2B08" w:rsidP="008A2B08">
      <w:pPr>
        <w:rPr>
          <w:lang w:val="es-EC"/>
        </w:rPr>
      </w:pPr>
      <w:r w:rsidRPr="008A2B08">
        <w:rPr>
          <w:lang w:val="es-EC"/>
        </w:rPr>
        <w:t>Los puntos de prueba existentes permiten la verificación funcional de rieles de alimentación y señales internas críticas.</w:t>
      </w:r>
      <w:r w:rsidR="008B3F38" w:rsidRPr="008B3F38">
        <w:rPr>
          <w:lang w:val="es-EC"/>
        </w:rPr>
        <w:t xml:space="preserve"> Conectores y alcance del PCBA</w:t>
      </w:r>
    </w:p>
    <w:p w14:paraId="025DBBA4" w14:textId="78ACEC29" w:rsidR="008A2B08" w:rsidRPr="00C00AED" w:rsidRDefault="008E66E2" w:rsidP="00C00AED">
      <w:pPr>
        <w:pStyle w:val="Prrafodelista"/>
        <w:numPr>
          <w:ilvl w:val="0"/>
          <w:numId w:val="14"/>
        </w:numPr>
        <w:jc w:val="both"/>
        <w:rPr>
          <w:rStyle w:val="Ttulodellibro"/>
          <w:b w:val="0"/>
          <w:bCs w:val="0"/>
          <w:sz w:val="24"/>
          <w:szCs w:val="24"/>
        </w:rPr>
      </w:pPr>
      <w:r w:rsidRPr="008E66E2">
        <w:rPr>
          <w:smallCaps/>
          <w:spacing w:val="5"/>
          <w:sz w:val="24"/>
          <w:szCs w:val="24"/>
        </w:rPr>
        <w:t>INTERFAZ USB, CONECTORES Y CRITERIOS DE MANTENIBILIDAD</w:t>
      </w:r>
    </w:p>
    <w:p w14:paraId="31A4C2C1" w14:textId="77777777" w:rsidR="00D8485B" w:rsidRPr="00D8485B" w:rsidRDefault="00D8485B" w:rsidP="00D8485B">
      <w:pPr>
        <w:jc w:val="both"/>
        <w:rPr>
          <w:lang w:val="es-EC"/>
        </w:rPr>
      </w:pPr>
      <w:r w:rsidRPr="00D8485B">
        <w:rPr>
          <w:lang w:val="es-EC"/>
        </w:rPr>
        <w:t>El diseño del colimador fijo incorpora en la misma tarjeta electrónica un conector USB tipo C, conectado directamente al microcontrolador ESP32-P4, el cual integra de forma nativa el controlador USB. Esta implementación permite el flasheo, programación inicial y actualización de firmware directamente desde la placa, sin requerir hardware externo adicional.</w:t>
      </w:r>
    </w:p>
    <w:p w14:paraId="0712D240" w14:textId="77777777" w:rsidR="00D8485B" w:rsidRPr="00D8485B" w:rsidRDefault="00D8485B" w:rsidP="00D8485B">
      <w:pPr>
        <w:jc w:val="both"/>
        <w:rPr>
          <w:lang w:val="es-EC"/>
        </w:rPr>
      </w:pPr>
      <w:r w:rsidRPr="00D8485B">
        <w:rPr>
          <w:lang w:val="es-EC"/>
        </w:rPr>
        <w:t xml:space="preserve">El </w:t>
      </w:r>
      <w:proofErr w:type="gramStart"/>
      <w:r w:rsidRPr="00D8485B">
        <w:rPr>
          <w:lang w:val="es-EC"/>
        </w:rPr>
        <w:t>esquemático evidencia</w:t>
      </w:r>
      <w:proofErr w:type="gramEnd"/>
      <w:r w:rsidRPr="00D8485B">
        <w:rPr>
          <w:lang w:val="es-EC"/>
        </w:rPr>
        <w:t xml:space="preserve"> además la presencia de los elementos necesarios para un mecanismo claro, reproducible y seguro de programación, tales como pulsadores de BOOT y RESET, así como la circuitería de soporte correspondiente, cumpliendo con los criterios de mantenibilidad y servicio establecidos en la Nota Aclaratoria.</w:t>
      </w:r>
    </w:p>
    <w:p w14:paraId="4519AAC8" w14:textId="485C129D" w:rsidR="0039233A" w:rsidRPr="0039233A" w:rsidRDefault="0039233A" w:rsidP="00D8485B">
      <w:pPr>
        <w:jc w:val="both"/>
        <w:rPr>
          <w:lang w:val="es-EC"/>
        </w:rPr>
      </w:pPr>
      <w:r w:rsidRPr="0039233A">
        <w:rPr>
          <w:lang w:val="es-EC"/>
        </w:rPr>
        <w:t>Se aclara que la interfaz USB no se considera un canal operativo permanente, sino un medio de servicio, destinado a programación, mantenimiento y depuración durante las etapas de integración y soporte técnico.</w:t>
      </w:r>
    </w:p>
    <w:p w14:paraId="314796E9" w14:textId="77777777" w:rsidR="0039233A" w:rsidRPr="0039233A" w:rsidRDefault="0039233A" w:rsidP="0039233A">
      <w:pPr>
        <w:jc w:val="both"/>
        <w:rPr>
          <w:lang w:val="es-EC"/>
        </w:rPr>
      </w:pPr>
      <w:r w:rsidRPr="0039233A">
        <w:rPr>
          <w:lang w:val="es-EC"/>
        </w:rPr>
        <w:t xml:space="preserve">Adicionalmente, se deja constancia de que, en caso de que en versiones futuras del sistema se decida no exponer físicamente el conector USB, el microcontrolador dispone de </w:t>
      </w:r>
      <w:r w:rsidRPr="0039233A">
        <w:rPr>
          <w:lang w:val="es-EC"/>
        </w:rPr>
        <w:lastRenderedPageBreak/>
        <w:t>interfaces serie USART que podrían ser utilizadas como mecanismo alternativo de programación mediante conversores externos USB–USART, previa definición e implementación a nivel de arnés y conectores industriales del sistema.</w:t>
      </w:r>
    </w:p>
    <w:p w14:paraId="227535BF" w14:textId="77777777" w:rsidR="0039233A" w:rsidRPr="0039233A" w:rsidRDefault="0039233A" w:rsidP="0039233A">
      <w:pPr>
        <w:jc w:val="both"/>
        <w:rPr>
          <w:lang w:val="es-EC"/>
        </w:rPr>
      </w:pPr>
      <w:r w:rsidRPr="0039233A">
        <w:rPr>
          <w:lang w:val="es-EC"/>
        </w:rPr>
        <w:t xml:space="preserve">Los conectores industriales M12 mencionados en el ítem 65 forman parte del conjunto chasis–arnés–contenedor y no del PCBA. El diseño de la tarjeta define el </w:t>
      </w:r>
      <w:proofErr w:type="spellStart"/>
      <w:r w:rsidRPr="0039233A">
        <w:rPr>
          <w:lang w:val="es-EC"/>
        </w:rPr>
        <w:t>pinout</w:t>
      </w:r>
      <w:proofErr w:type="spellEnd"/>
      <w:r w:rsidRPr="0039233A">
        <w:rPr>
          <w:lang w:val="es-EC"/>
        </w:rPr>
        <w:t xml:space="preserve"> y la interfaz eléctrica correspondiente, mientras que la protección mecánica, ambiental (IP) y EMC de campo se resuelve a nivel de arnés y contenedor, conforme a prácticas industriales habituales.</w:t>
      </w:r>
    </w:p>
    <w:p w14:paraId="15EB9D08" w14:textId="77777777" w:rsidR="0039233A" w:rsidRDefault="0039233A" w:rsidP="00D8485B">
      <w:pPr>
        <w:pStyle w:val="Prrafodelista"/>
        <w:jc w:val="both"/>
        <w:rPr>
          <w:rStyle w:val="Ttulodellibro"/>
          <w:smallCaps w:val="0"/>
          <w:sz w:val="24"/>
          <w:szCs w:val="24"/>
          <w:lang w:val="es-EC"/>
        </w:rPr>
      </w:pPr>
    </w:p>
    <w:p w14:paraId="6D4D4994" w14:textId="0E0AC0F1" w:rsidR="008B3F38" w:rsidRPr="00C00AED" w:rsidRDefault="008B3F38" w:rsidP="00C00AED">
      <w:pPr>
        <w:pStyle w:val="Prrafodelista"/>
        <w:numPr>
          <w:ilvl w:val="0"/>
          <w:numId w:val="14"/>
        </w:numPr>
        <w:jc w:val="both"/>
        <w:rPr>
          <w:rStyle w:val="Ttulodellibro"/>
          <w:smallCaps w:val="0"/>
          <w:sz w:val="24"/>
          <w:szCs w:val="24"/>
          <w:lang w:val="es-EC"/>
        </w:rPr>
      </w:pPr>
      <w:r w:rsidRPr="00C00AED">
        <w:rPr>
          <w:rStyle w:val="Ttulodellibro"/>
          <w:smallCaps w:val="0"/>
          <w:sz w:val="24"/>
          <w:szCs w:val="24"/>
          <w:lang w:val="es-EC"/>
        </w:rPr>
        <w:t xml:space="preserve"> Conclusión técnica</w:t>
      </w:r>
    </w:p>
    <w:p w14:paraId="17E6C46A" w14:textId="77777777" w:rsidR="00C00AED" w:rsidRPr="00C00AED" w:rsidRDefault="00C00AED" w:rsidP="00C00AED">
      <w:pPr>
        <w:jc w:val="both"/>
        <w:rPr>
          <w:lang w:val="es-EC"/>
        </w:rPr>
      </w:pPr>
      <w:r w:rsidRPr="00C00AED">
        <w:rPr>
          <w:lang w:val="es-EC"/>
        </w:rPr>
        <w:t>El diseño electrónico del colimador fijo cumple con los requisitos del ítem 65 en lo aplicable a la tarjeta electrónica.</w:t>
      </w:r>
    </w:p>
    <w:p w14:paraId="0B09DE38" w14:textId="77777777" w:rsidR="00C00AED" w:rsidRPr="00C00AED" w:rsidRDefault="00C00AED" w:rsidP="00C00AED">
      <w:pPr>
        <w:jc w:val="both"/>
        <w:rPr>
          <w:lang w:val="es-EC"/>
        </w:rPr>
      </w:pPr>
      <w:r w:rsidRPr="00C00AED">
        <w:rPr>
          <w:lang w:val="es-EC"/>
        </w:rPr>
        <w:t xml:space="preserve">Las observaciones consignadas en la Nota Técnica EM1 corresponden principalmente a aspectos documentales y de mejora de mantenibilidad, las cuales se consideran parte del proceso normal de maduración del diseño y </w:t>
      </w:r>
      <w:r w:rsidRPr="00C00AED">
        <w:rPr>
          <w:b/>
          <w:bCs/>
          <w:lang w:val="es-EC"/>
        </w:rPr>
        <w:t>no constituyen impedimento para la continuidad del proyecto</w:t>
      </w:r>
      <w:r w:rsidRPr="00C00AED">
        <w:rPr>
          <w:lang w:val="es-EC"/>
        </w:rPr>
        <w:t>, sin requerir rediseño del hardware ya fabricado y en proceso de envío.</w:t>
      </w:r>
    </w:p>
    <w:p w14:paraId="2B40DB49" w14:textId="77777777" w:rsidR="00207AED" w:rsidRDefault="00207AED"/>
    <w:sectPr w:rsidR="00207A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E4EB5"/>
    <w:multiLevelType w:val="hybridMultilevel"/>
    <w:tmpl w:val="6352B36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D24127A"/>
    <w:multiLevelType w:val="hybridMultilevel"/>
    <w:tmpl w:val="177C5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543778A"/>
    <w:multiLevelType w:val="hybridMultilevel"/>
    <w:tmpl w:val="3D2E740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6440BAF"/>
    <w:multiLevelType w:val="multilevel"/>
    <w:tmpl w:val="EEB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24E5D"/>
    <w:multiLevelType w:val="multilevel"/>
    <w:tmpl w:val="FDB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D2901"/>
    <w:multiLevelType w:val="multilevel"/>
    <w:tmpl w:val="86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771309">
    <w:abstractNumId w:val="8"/>
  </w:num>
  <w:num w:numId="2" w16cid:durableId="912012487">
    <w:abstractNumId w:val="6"/>
  </w:num>
  <w:num w:numId="3" w16cid:durableId="121311045">
    <w:abstractNumId w:val="5"/>
  </w:num>
  <w:num w:numId="4" w16cid:durableId="1050610876">
    <w:abstractNumId w:val="4"/>
  </w:num>
  <w:num w:numId="5" w16cid:durableId="918296023">
    <w:abstractNumId w:val="7"/>
  </w:num>
  <w:num w:numId="6" w16cid:durableId="1727870918">
    <w:abstractNumId w:val="3"/>
  </w:num>
  <w:num w:numId="7" w16cid:durableId="2086563623">
    <w:abstractNumId w:val="2"/>
  </w:num>
  <w:num w:numId="8" w16cid:durableId="1088774147">
    <w:abstractNumId w:val="1"/>
  </w:num>
  <w:num w:numId="9" w16cid:durableId="1164736015">
    <w:abstractNumId w:val="0"/>
  </w:num>
  <w:num w:numId="10" w16cid:durableId="721363224">
    <w:abstractNumId w:val="12"/>
  </w:num>
  <w:num w:numId="11" w16cid:durableId="915868578">
    <w:abstractNumId w:val="13"/>
  </w:num>
  <w:num w:numId="12" w16cid:durableId="1091314867">
    <w:abstractNumId w:val="14"/>
  </w:num>
  <w:num w:numId="13" w16cid:durableId="94912515">
    <w:abstractNumId w:val="9"/>
  </w:num>
  <w:num w:numId="14" w16cid:durableId="1172068269">
    <w:abstractNumId w:val="11"/>
  </w:num>
  <w:num w:numId="15" w16cid:durableId="198681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C" w:vendorID="64" w:dllVersion="0" w:nlCheck="1" w:checkStyle="0"/>
  <w:activeWritingStyle w:appName="MSWord" w:lang="en-US" w:vendorID="64" w:dllVersion="0"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03"/>
    <w:rsid w:val="00207AED"/>
    <w:rsid w:val="0029639D"/>
    <w:rsid w:val="00326F90"/>
    <w:rsid w:val="0039233A"/>
    <w:rsid w:val="0088623C"/>
    <w:rsid w:val="008A2B08"/>
    <w:rsid w:val="008B3F38"/>
    <w:rsid w:val="008E66E2"/>
    <w:rsid w:val="00A75ED7"/>
    <w:rsid w:val="00AA1D8D"/>
    <w:rsid w:val="00B47730"/>
    <w:rsid w:val="00C00AED"/>
    <w:rsid w:val="00CB0664"/>
    <w:rsid w:val="00D8485B"/>
    <w:rsid w:val="00E71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FC649"/>
  <w14:defaultImageDpi w14:val="300"/>
  <w15:docId w15:val="{99FB9BEE-CB75-488C-8369-9A80376F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722</Words>
  <Characters>4182</Characters>
  <Application>Microsoft Office Word</Application>
  <DocSecurity>0</DocSecurity>
  <Lines>62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DAVID CUICHAN USHIÑA</cp:lastModifiedBy>
  <cp:revision>2</cp:revision>
  <dcterms:created xsi:type="dcterms:W3CDTF">2026-01-06T22:06:00Z</dcterms:created>
  <dcterms:modified xsi:type="dcterms:W3CDTF">2026-01-06T22:06:00Z</dcterms:modified>
  <cp:category/>
</cp:coreProperties>
</file>