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23A6F4" w14:textId="77777777" w:rsidR="00764DD0" w:rsidRDefault="00764DD0" w:rsidP="00764DD0">
      <w:pPr>
        <w:pStyle w:val="Ttulo1"/>
        <w:jc w:val="both"/>
      </w:pPr>
      <w:r>
        <w:t>Recomendaciones Técnicas EMC</w:t>
      </w:r>
    </w:p>
    <w:p w14:paraId="567BDE5C" w14:textId="77777777" w:rsidR="00764DD0" w:rsidRDefault="00764DD0" w:rsidP="00764DD0">
      <w:pPr>
        <w:pStyle w:val="NormalWeb"/>
        <w:jc w:val="both"/>
      </w:pPr>
      <w:r w:rsidRPr="00764DD0">
        <w:rPr>
          <w:b/>
        </w:rPr>
        <w:t>Proyecto:</w:t>
      </w:r>
      <w:r>
        <w:t xml:space="preserve"> RSA – Módulo </w:t>
      </w:r>
      <w:proofErr w:type="spellStart"/>
      <w:r>
        <w:t>Elongómetro</w:t>
      </w:r>
      <w:proofErr w:type="spellEnd"/>
      <w:r>
        <w:t xml:space="preserve"> (Ítem 30)</w:t>
      </w:r>
    </w:p>
    <w:p w14:paraId="24C08F48" w14:textId="77777777" w:rsidR="00764DD0" w:rsidRDefault="00764DD0" w:rsidP="00764DD0">
      <w:pPr>
        <w:pStyle w:val="NormalWeb"/>
        <w:jc w:val="both"/>
      </w:pPr>
      <w:r w:rsidRPr="00764DD0">
        <w:rPr>
          <w:b/>
        </w:rPr>
        <w:t>Fecha:</w:t>
      </w:r>
      <w:r>
        <w:t xml:space="preserve"> 2026-01-03</w:t>
      </w:r>
    </w:p>
    <w:p w14:paraId="5D4A860D" w14:textId="77777777" w:rsidR="00725ED2" w:rsidRDefault="00764DD0" w:rsidP="00764DD0">
      <w:pPr>
        <w:pStyle w:val="NormalWeb"/>
        <w:jc w:val="both"/>
        <w:rPr>
          <w:b/>
        </w:rPr>
      </w:pPr>
      <w:r w:rsidRPr="00764DD0">
        <w:rPr>
          <w:b/>
        </w:rPr>
        <w:t>Alcance</w:t>
      </w:r>
      <w:r w:rsidR="00725ED2">
        <w:rPr>
          <w:b/>
        </w:rPr>
        <w:t>.</w:t>
      </w:r>
    </w:p>
    <w:p w14:paraId="5924B8B0" w14:textId="60A0E3F3" w:rsidR="00725ED2" w:rsidRDefault="00725ED2" w:rsidP="00725ED2">
      <w:pPr>
        <w:pStyle w:val="NormalWeb"/>
        <w:jc w:val="both"/>
      </w:pPr>
      <w:r w:rsidRPr="009C5AE2">
        <w:t xml:space="preserve">El presente documento recoge recomendaciones técnicas de compatibilidad electromagnética (EMC) asociadas al diseño electrónico </w:t>
      </w:r>
      <w:r>
        <w:t xml:space="preserve">Módulo </w:t>
      </w:r>
      <w:proofErr w:type="spellStart"/>
      <w:r>
        <w:t>Elongómetro</w:t>
      </w:r>
      <w:proofErr w:type="spellEnd"/>
      <w:r>
        <w:t xml:space="preserve"> (Ítem 30)</w:t>
      </w:r>
      <w:r w:rsidRPr="009C5AE2">
        <w:t>, a partir de:</w:t>
      </w:r>
    </w:p>
    <w:p w14:paraId="70CE2EB2" w14:textId="2DEFD789" w:rsidR="00725ED2" w:rsidRDefault="00725ED2" w:rsidP="00725ED2">
      <w:pPr>
        <w:pStyle w:val="NormalWeb"/>
        <w:numPr>
          <w:ilvl w:val="0"/>
          <w:numId w:val="11"/>
        </w:numPr>
        <w:jc w:val="both"/>
      </w:pPr>
      <w:r>
        <w:t xml:space="preserve">Revisión del esquemático y PCB </w:t>
      </w:r>
      <w:proofErr w:type="spellStart"/>
      <w:r>
        <w:t>KiCad</w:t>
      </w:r>
      <w:proofErr w:type="spellEnd"/>
      <w:r>
        <w:t xml:space="preserve"> del módulo, </w:t>
      </w:r>
    </w:p>
    <w:p w14:paraId="776516EA" w14:textId="655D3CC6" w:rsidR="00725ED2" w:rsidRDefault="00725ED2" w:rsidP="00725ED2">
      <w:pPr>
        <w:pStyle w:val="NormalWeb"/>
        <w:numPr>
          <w:ilvl w:val="0"/>
          <w:numId w:val="11"/>
        </w:numPr>
        <w:jc w:val="both"/>
      </w:pPr>
      <w:r>
        <w:t xml:space="preserve">contraste con Especificaciones Técnicas Particulares (ítem </w:t>
      </w:r>
      <w:r>
        <w:t>30</w:t>
      </w:r>
      <w:r>
        <w:t>).</w:t>
      </w:r>
    </w:p>
    <w:p w14:paraId="7C2CFAC0" w14:textId="7C288590" w:rsidR="00725ED2" w:rsidRDefault="00725ED2" w:rsidP="00725ED2">
      <w:pPr>
        <w:pStyle w:val="NormalWeb"/>
        <w:jc w:val="both"/>
      </w:pPr>
      <w:r w:rsidRPr="009C5AE2">
        <w:t>Se deja constancia expresa de que este documento no constituye aprobación del diseño ni validación funcional ni de compatibilidad electromagnética (EMC), dado que no se han realizado pruebas con tarjetas físicas, ensayos de laboratorio, pruebas ambientales</w:t>
      </w:r>
      <w:r>
        <w:t xml:space="preserve">, </w:t>
      </w:r>
      <w:r w:rsidRPr="009C5AE2">
        <w:t>validaciones de hardware o software</w:t>
      </w:r>
      <w:r>
        <w:t xml:space="preserve"> ni </w:t>
      </w:r>
      <w:r>
        <w:t>verificación metrológica.</w:t>
      </w:r>
    </w:p>
    <w:p w14:paraId="49D601EB" w14:textId="77777777" w:rsidR="00725ED2" w:rsidRDefault="00764DD0" w:rsidP="00764DD0">
      <w:pPr>
        <w:pStyle w:val="NormalWeb"/>
        <w:jc w:val="both"/>
        <w:rPr>
          <w:b/>
        </w:rPr>
      </w:pPr>
      <w:r w:rsidRPr="00764DD0">
        <w:rPr>
          <w:b/>
        </w:rPr>
        <w:t>Estado</w:t>
      </w:r>
      <w:r w:rsidR="00725ED2">
        <w:rPr>
          <w:b/>
        </w:rPr>
        <w:t>.</w:t>
      </w:r>
    </w:p>
    <w:p w14:paraId="6AC8CC42" w14:textId="1F588E11" w:rsidR="00764DD0" w:rsidRDefault="00764DD0" w:rsidP="00764DD0">
      <w:pPr>
        <w:pStyle w:val="NormalWeb"/>
        <w:jc w:val="both"/>
      </w:pPr>
      <w:r>
        <w:t>Observaciones y recomendaciones emitidas.</w:t>
      </w:r>
    </w:p>
    <w:p w14:paraId="21E29604" w14:textId="77777777" w:rsidR="00764DD0" w:rsidRDefault="00764DD0" w:rsidP="00764DD0">
      <w:pPr>
        <w:pStyle w:val="NormalWeb"/>
        <w:jc w:val="both"/>
        <w:rPr>
          <w:b/>
        </w:rPr>
      </w:pPr>
      <w:r w:rsidRPr="00764DD0">
        <w:rPr>
          <w:b/>
        </w:rPr>
        <w:t>Información inicial del diseño.</w:t>
      </w:r>
    </w:p>
    <w:p w14:paraId="3450F637" w14:textId="0CA1EB60" w:rsidR="00764DD0" w:rsidRDefault="00764DD0" w:rsidP="00764DD0">
      <w:pPr>
        <w:pStyle w:val="NormalWeb"/>
        <w:jc w:val="both"/>
      </w:pPr>
      <w:r>
        <w:t xml:space="preserve">El diseño corresponde a un módulo de medición basado en un microcontrolador ESP32-P4 (QFN-104) con memoria SPI Flash externa (W25Q128). La adquisición analógica se realiza con un ADC ADS1256 (24 bits) y múltiples amplificadores de instrumentación INA333 como etapa de acondicionamiento. El diseño incorpora interfaz RS485 mediante un </w:t>
      </w:r>
      <w:proofErr w:type="spellStart"/>
      <w:r>
        <w:t>transceiver</w:t>
      </w:r>
      <w:proofErr w:type="spellEnd"/>
      <w:r>
        <w:t xml:space="preserve"> SP3485 y un conector USB-C con D+/D- conectados al microcontrolador (USB nativo) para programación y comunicación. Se observan dominios de masa analógica y digital con acoplamiento mediante ferrita, y protecciones básicas en alimentación y bus.</w:t>
      </w:r>
    </w:p>
    <w:p w14:paraId="4659B266" w14:textId="77777777" w:rsidR="00764DD0" w:rsidRPr="00764DD0" w:rsidRDefault="00764DD0" w:rsidP="00764DD0">
      <w:pPr>
        <w:pStyle w:val="NormalWeb"/>
        <w:jc w:val="both"/>
        <w:rPr>
          <w:b/>
        </w:rPr>
      </w:pPr>
      <w:r w:rsidRPr="00764DD0">
        <w:rPr>
          <w:b/>
        </w:rPr>
        <w:t>Consideraciones generales EMC.</w:t>
      </w:r>
    </w:p>
    <w:p w14:paraId="210267BC" w14:textId="7A1DCA0B" w:rsidR="00764DD0" w:rsidRDefault="00764DD0" w:rsidP="00764DD0">
      <w:pPr>
        <w:pStyle w:val="NormalWeb"/>
        <w:jc w:val="both"/>
      </w:pPr>
      <w:r>
        <w:t xml:space="preserve">El módulo se considera un equipo con señal analógica de bajo nivel y comunicación cableada hacia exterior (RS485 y USB). Por EMC se requiere: retorno de corriente controlado (planos continuos), separación de dominios analógico/digital, desacoplo local por IC, supresión de transitorios en interfaces que salen por cable, y medidas para evitar acoplamientos por lazos (especialmente cerca de ADC e instrumentación). En interfaces hacia exterior se prioriza protección ESD/transitorios cercana al conector y rutas de descarga cortas a la referencia (masa o chasis, según aplique). En RS485 se requiere control de reflexiones y estado definido del bus (terminación y </w:t>
      </w:r>
      <w:proofErr w:type="spellStart"/>
      <w:r>
        <w:t>bias</w:t>
      </w:r>
      <w:proofErr w:type="spellEnd"/>
      <w:r>
        <w:t xml:space="preserve"> configurables) para robustez funcional y EMC.</w:t>
      </w:r>
    </w:p>
    <w:p w14:paraId="74526345" w14:textId="77777777" w:rsidR="00764DD0" w:rsidRPr="00764DD0" w:rsidRDefault="00764DD0" w:rsidP="00764DD0">
      <w:pPr>
        <w:pStyle w:val="NormalWeb"/>
        <w:jc w:val="both"/>
        <w:rPr>
          <w:b/>
        </w:rPr>
      </w:pPr>
      <w:r w:rsidRPr="00764DD0">
        <w:rPr>
          <w:b/>
        </w:rPr>
        <w:t>Observaciones principales:</w:t>
      </w:r>
    </w:p>
    <w:p w14:paraId="17B75551" w14:textId="77777777" w:rsidR="00764DD0" w:rsidRPr="00764DD0" w:rsidRDefault="00764DD0" w:rsidP="00764DD0">
      <w:pPr>
        <w:pStyle w:val="NormalWeb"/>
        <w:jc w:val="both"/>
        <w:rPr>
          <w:b/>
          <w:i/>
        </w:rPr>
      </w:pPr>
      <w:r w:rsidRPr="00764DD0">
        <w:rPr>
          <w:b/>
          <w:i/>
        </w:rPr>
        <w:lastRenderedPageBreak/>
        <w:t>Alta severidad:</w:t>
      </w:r>
    </w:p>
    <w:p w14:paraId="6F50B2A7" w14:textId="77777777" w:rsidR="00764DD0" w:rsidRDefault="00764DD0" w:rsidP="00764DD0">
      <w:pPr>
        <w:pStyle w:val="NormalWeb"/>
        <w:numPr>
          <w:ilvl w:val="0"/>
          <w:numId w:val="9"/>
        </w:numPr>
        <w:jc w:val="both"/>
      </w:pPr>
      <w:r>
        <w:t xml:space="preserve">No se evidencia el uso de conectores M12 para alimentación ni datos; se observan borneras tipo Phoenix para </w:t>
      </w:r>
      <w:proofErr w:type="spellStart"/>
      <w:r>
        <w:t>Vin</w:t>
      </w:r>
      <w:proofErr w:type="spellEnd"/>
      <w:r>
        <w:t>/GND y para RS485. Incumplimiento claro frente al requerimiento de conectividad industrial del ítem.</w:t>
      </w:r>
    </w:p>
    <w:p w14:paraId="05E2B3A6" w14:textId="77777777" w:rsidR="00764DD0" w:rsidRDefault="00764DD0" w:rsidP="00764DD0">
      <w:pPr>
        <w:pStyle w:val="NormalWeb"/>
        <w:numPr>
          <w:ilvl w:val="0"/>
          <w:numId w:val="9"/>
        </w:numPr>
        <w:jc w:val="both"/>
      </w:pPr>
      <w:r>
        <w:t>No se identifica resistencia de terminación de 120 ohmios entre A y B del RS485, ni red de polarización (</w:t>
      </w:r>
      <w:proofErr w:type="spellStart"/>
      <w:r>
        <w:t>bias</w:t>
      </w:r>
      <w:proofErr w:type="spellEnd"/>
      <w:r>
        <w:t>) seleccionable. Sin esto no se puede definir el equipo como nodo terminal o intermedio de bus, y aumenta el riesgo de fallas por reflexiones/ruido.</w:t>
      </w:r>
    </w:p>
    <w:p w14:paraId="651287E6" w14:textId="77777777" w:rsidR="00764DD0" w:rsidRDefault="00764DD0" w:rsidP="00764DD0">
      <w:pPr>
        <w:pStyle w:val="NormalWeb"/>
        <w:numPr>
          <w:ilvl w:val="0"/>
          <w:numId w:val="9"/>
        </w:numPr>
        <w:jc w:val="both"/>
      </w:pPr>
      <w:r>
        <w:t>No se evidencia protección ESD específica para USB (D+/D-) en el conector. Riesgo alto de susceptibilidad y daño por descargas en campo.</w:t>
      </w:r>
    </w:p>
    <w:p w14:paraId="12F45CEC" w14:textId="77777777" w:rsidR="00764DD0" w:rsidRPr="00764DD0" w:rsidRDefault="00764DD0" w:rsidP="00764DD0">
      <w:pPr>
        <w:pStyle w:val="NormalWeb"/>
        <w:jc w:val="both"/>
        <w:rPr>
          <w:b/>
          <w:i/>
        </w:rPr>
      </w:pPr>
      <w:r w:rsidRPr="00764DD0">
        <w:rPr>
          <w:b/>
          <w:i/>
        </w:rPr>
        <w:t>Media severidad:</w:t>
      </w:r>
    </w:p>
    <w:p w14:paraId="439D7F75" w14:textId="77777777" w:rsidR="00764DD0" w:rsidRDefault="00764DD0" w:rsidP="00764DD0">
      <w:pPr>
        <w:pStyle w:val="NormalWeb"/>
        <w:numPr>
          <w:ilvl w:val="0"/>
          <w:numId w:val="9"/>
        </w:numPr>
        <w:jc w:val="both"/>
      </w:pPr>
      <w:r>
        <w:t xml:space="preserve">El flasheo por USB depende de la correcta configuración de </w:t>
      </w:r>
      <w:proofErr w:type="spellStart"/>
      <w:r>
        <w:t>strapping</w:t>
      </w:r>
      <w:proofErr w:type="spellEnd"/>
      <w:r>
        <w:t>/</w:t>
      </w:r>
      <w:proofErr w:type="spellStart"/>
      <w:r>
        <w:t>boot</w:t>
      </w:r>
      <w:proofErr w:type="spellEnd"/>
      <w:r>
        <w:t xml:space="preserve">. Se observa pulsador de </w:t>
      </w:r>
      <w:proofErr w:type="spellStart"/>
      <w:r>
        <w:t>reset</w:t>
      </w:r>
      <w:proofErr w:type="spellEnd"/>
      <w:r>
        <w:t xml:space="preserve"> y pulsador de </w:t>
      </w:r>
      <w:proofErr w:type="spellStart"/>
      <w:r>
        <w:t>boot</w:t>
      </w:r>
      <w:proofErr w:type="spellEnd"/>
      <w:r>
        <w:t>, pero se requiere confirmación documental de que el pin usado corresponde al modo de programación del ESP32-P4 empleado.</w:t>
      </w:r>
    </w:p>
    <w:p w14:paraId="0C2F8E6A" w14:textId="77777777" w:rsidR="00764DD0" w:rsidRDefault="00764DD0" w:rsidP="00764DD0">
      <w:pPr>
        <w:pStyle w:val="NormalWeb"/>
        <w:numPr>
          <w:ilvl w:val="0"/>
          <w:numId w:val="9"/>
        </w:numPr>
        <w:jc w:val="both"/>
      </w:pPr>
      <w:r>
        <w:t xml:space="preserve">Los </w:t>
      </w:r>
      <w:proofErr w:type="spellStart"/>
      <w:r>
        <w:t>LEDs</w:t>
      </w:r>
      <w:proofErr w:type="spellEnd"/>
      <w:r>
        <w:t xml:space="preserve"> existentes indican presencia de tensiones y un LED por GPIO, pero no se define señalización operativa mínima (estado, comunicación, falla), lo que reduce verificabilidad y diagnóstico.</w:t>
      </w:r>
    </w:p>
    <w:p w14:paraId="177722FF" w14:textId="77777777" w:rsidR="00764DD0" w:rsidRDefault="00764DD0" w:rsidP="00764DD0">
      <w:pPr>
        <w:pStyle w:val="NormalWeb"/>
        <w:numPr>
          <w:ilvl w:val="0"/>
          <w:numId w:val="9"/>
        </w:numPr>
        <w:jc w:val="both"/>
      </w:pPr>
      <w:r>
        <w:t>Los puntos de prueba incluyen varias tensiones y señales TTL del RS485, pero no se identifican puntos dedicados claramente accesibles para GND y AGND como referencias de medición.</w:t>
      </w:r>
    </w:p>
    <w:p w14:paraId="508643BD" w14:textId="77777777" w:rsidR="00764DD0" w:rsidRPr="00764DD0" w:rsidRDefault="00764DD0" w:rsidP="00764DD0">
      <w:pPr>
        <w:pStyle w:val="NormalWeb"/>
        <w:jc w:val="both"/>
        <w:rPr>
          <w:b/>
          <w:i/>
        </w:rPr>
      </w:pPr>
      <w:r w:rsidRPr="00764DD0">
        <w:rPr>
          <w:b/>
          <w:i/>
        </w:rPr>
        <w:t>Baja severidad:</w:t>
      </w:r>
    </w:p>
    <w:p w14:paraId="49E17EDA" w14:textId="77777777" w:rsidR="00764DD0" w:rsidRDefault="00764DD0" w:rsidP="00764DD0">
      <w:pPr>
        <w:pStyle w:val="NormalWeb"/>
        <w:numPr>
          <w:ilvl w:val="0"/>
          <w:numId w:val="9"/>
        </w:numPr>
        <w:jc w:val="both"/>
      </w:pPr>
      <w:r>
        <w:t xml:space="preserve">Reforzar rotulado en PCB de interfaces externas (A/B, polaridad de alimentación, función de </w:t>
      </w:r>
      <w:proofErr w:type="spellStart"/>
      <w:r>
        <w:t>LEDs</w:t>
      </w:r>
      <w:proofErr w:type="spellEnd"/>
      <w:r>
        <w:t xml:space="preserve">, referencias de test </w:t>
      </w:r>
      <w:proofErr w:type="spellStart"/>
      <w:r>
        <w:t>points</w:t>
      </w:r>
      <w:proofErr w:type="spellEnd"/>
      <w:r>
        <w:t>) para evitar errores de conexión y facilitar mantenimiento.</w:t>
      </w:r>
    </w:p>
    <w:p w14:paraId="6ACC5F30" w14:textId="77777777" w:rsidR="00764DD0" w:rsidRDefault="00764DD0" w:rsidP="00764DD0">
      <w:pPr>
        <w:pStyle w:val="NormalWeb"/>
        <w:numPr>
          <w:ilvl w:val="0"/>
          <w:numId w:val="9"/>
        </w:numPr>
        <w:jc w:val="both"/>
      </w:pPr>
      <w:r>
        <w:t>Revisar disposición física de protección en interfaces (TVS y ESD) para garantizar trayectos de descarga cortos y planos de retorno continuos bajo rutas sensibles (USB, RS485).</w:t>
      </w:r>
    </w:p>
    <w:p w14:paraId="30E6C5D5" w14:textId="77777777" w:rsidR="00764DD0" w:rsidRPr="00764DD0" w:rsidRDefault="00764DD0" w:rsidP="00764DD0">
      <w:pPr>
        <w:pStyle w:val="NormalWeb"/>
        <w:jc w:val="both"/>
        <w:rPr>
          <w:b/>
        </w:rPr>
      </w:pPr>
      <w:r w:rsidRPr="00764DD0">
        <w:rPr>
          <w:b/>
        </w:rPr>
        <w:t>Recomendaciones de diseño.</w:t>
      </w:r>
    </w:p>
    <w:p w14:paraId="3D6CA727" w14:textId="20403C5F" w:rsidR="00764DD0" w:rsidRDefault="00764DD0" w:rsidP="00725ED2">
      <w:pPr>
        <w:pStyle w:val="NormalWeb"/>
        <w:numPr>
          <w:ilvl w:val="0"/>
          <w:numId w:val="12"/>
        </w:numPr>
        <w:jc w:val="both"/>
      </w:pPr>
      <w:r>
        <w:t xml:space="preserve">Implementar conectores M12 para alimentación y datos según lo solicitado para el ítem 30, definiendo </w:t>
      </w:r>
      <w:proofErr w:type="spellStart"/>
      <w:r>
        <w:t>pinout</w:t>
      </w:r>
      <w:proofErr w:type="spellEnd"/>
      <w:r>
        <w:t xml:space="preserve"> y codificación, y adoptando medidas mecánicas y eléctricas que impidan inversión de polaridad.</w:t>
      </w:r>
    </w:p>
    <w:p w14:paraId="0C55609B" w14:textId="77777777" w:rsidR="00764DD0" w:rsidRDefault="00764DD0" w:rsidP="00725ED2">
      <w:pPr>
        <w:pStyle w:val="NormalWeb"/>
        <w:numPr>
          <w:ilvl w:val="0"/>
          <w:numId w:val="12"/>
        </w:numPr>
        <w:jc w:val="both"/>
      </w:pPr>
      <w:r>
        <w:t xml:space="preserve">Incorporar terminación de 120 ohmios entre A y B del RS485 </w:t>
      </w:r>
      <w:proofErr w:type="spellStart"/>
      <w:r>
        <w:t>habilitable</w:t>
      </w:r>
      <w:proofErr w:type="spellEnd"/>
      <w:r>
        <w:t xml:space="preserve"> mediante jumper o </w:t>
      </w:r>
      <w:proofErr w:type="spellStart"/>
      <w:r>
        <w:t>switch</w:t>
      </w:r>
      <w:proofErr w:type="spellEnd"/>
      <w:r>
        <w:t>. Incorporar también una red de polarización (</w:t>
      </w:r>
      <w:proofErr w:type="spellStart"/>
      <w:r>
        <w:t>bias</w:t>
      </w:r>
      <w:proofErr w:type="spellEnd"/>
      <w:r>
        <w:t xml:space="preserve">) </w:t>
      </w:r>
      <w:proofErr w:type="spellStart"/>
      <w:r>
        <w:t>habilitable</w:t>
      </w:r>
      <w:proofErr w:type="spellEnd"/>
      <w:r>
        <w:t>, de modo que el módulo pueda operar como terminal o como nodo intermedio según instalación.</w:t>
      </w:r>
    </w:p>
    <w:p w14:paraId="4267E131" w14:textId="77777777" w:rsidR="00764DD0" w:rsidRDefault="00764DD0" w:rsidP="00725ED2">
      <w:pPr>
        <w:pStyle w:val="NormalWeb"/>
        <w:numPr>
          <w:ilvl w:val="0"/>
          <w:numId w:val="12"/>
        </w:numPr>
        <w:jc w:val="both"/>
      </w:pPr>
      <w:r>
        <w:t>Agregar protección ESD de baja capacitancia para USB 2.0 en D+ y D-, ubicada lo más cerca posible del conector, con retorno a referencia por un camino corto. Complementar con la protección que corresponda para VBUS/CC si el conector se expone al usuario.</w:t>
      </w:r>
    </w:p>
    <w:p w14:paraId="2636E833" w14:textId="77777777" w:rsidR="00764DD0" w:rsidRDefault="00764DD0" w:rsidP="00725ED2">
      <w:pPr>
        <w:pStyle w:val="NormalWeb"/>
        <w:numPr>
          <w:ilvl w:val="0"/>
          <w:numId w:val="12"/>
        </w:numPr>
        <w:jc w:val="both"/>
      </w:pPr>
      <w:r>
        <w:t xml:space="preserve">Documentar y confirmar la estrategia de flasheo por USB del ESP32-P4 usado (modo, secuencia de botones, </w:t>
      </w:r>
      <w:proofErr w:type="spellStart"/>
      <w:r>
        <w:t>strapping</w:t>
      </w:r>
      <w:proofErr w:type="spellEnd"/>
      <w:r>
        <w:t xml:space="preserve"> requerido). Si aplica, ajustar el pin de </w:t>
      </w:r>
      <w:proofErr w:type="spellStart"/>
      <w:r>
        <w:t>boot</w:t>
      </w:r>
      <w:proofErr w:type="spellEnd"/>
      <w:r>
        <w:t>/</w:t>
      </w:r>
      <w:proofErr w:type="spellStart"/>
      <w:r>
        <w:t>strapping</w:t>
      </w:r>
      <w:proofErr w:type="spellEnd"/>
      <w:r>
        <w:t xml:space="preserve"> para garantizar ingreso confiable al modo de programación.</w:t>
      </w:r>
    </w:p>
    <w:p w14:paraId="2376A660" w14:textId="77777777" w:rsidR="00764DD0" w:rsidRDefault="00764DD0" w:rsidP="00725ED2">
      <w:pPr>
        <w:pStyle w:val="NormalWeb"/>
        <w:numPr>
          <w:ilvl w:val="0"/>
          <w:numId w:val="12"/>
        </w:numPr>
        <w:jc w:val="both"/>
      </w:pPr>
      <w:r>
        <w:lastRenderedPageBreak/>
        <w:t xml:space="preserve">Definir </w:t>
      </w:r>
      <w:proofErr w:type="spellStart"/>
      <w:r>
        <w:t>LEDs</w:t>
      </w:r>
      <w:proofErr w:type="spellEnd"/>
      <w:r>
        <w:t xml:space="preserve"> mínimos de diagnóstico: al menos POWER_OK y STATUS/COMM, con criterio claro de encendido/parpadeo, y reflejarlo en rotulado/nota técnica.</w:t>
      </w:r>
    </w:p>
    <w:p w14:paraId="19D96D0C" w14:textId="77777777" w:rsidR="00764DD0" w:rsidRDefault="00764DD0" w:rsidP="00725ED2">
      <w:pPr>
        <w:pStyle w:val="NormalWeb"/>
        <w:numPr>
          <w:ilvl w:val="0"/>
          <w:numId w:val="12"/>
        </w:numPr>
        <w:jc w:val="both"/>
      </w:pPr>
      <w:r>
        <w:t>Añadir puntos de prueba dedicados TP_GND y TP_AGND (y, si se considera necesario, TP_A y TP_B del RS485 y señales críticas del ADC) para facilitar verificación y mantenimiento.</w:t>
      </w:r>
    </w:p>
    <w:p w14:paraId="4539135E" w14:textId="77777777" w:rsidR="00764DD0" w:rsidRPr="00764DD0" w:rsidRDefault="00764DD0" w:rsidP="00764DD0">
      <w:pPr>
        <w:pStyle w:val="NormalWeb"/>
        <w:jc w:val="both"/>
        <w:rPr>
          <w:b/>
        </w:rPr>
      </w:pPr>
      <w:proofErr w:type="spellStart"/>
      <w:r w:rsidRPr="00764DD0">
        <w:rPr>
          <w:b/>
        </w:rPr>
        <w:t>Checklist</w:t>
      </w:r>
      <w:proofErr w:type="spellEnd"/>
      <w:r w:rsidRPr="00764DD0">
        <w:rPr>
          <w:b/>
        </w:rPr>
        <w:t xml:space="preserve"> de implementación:</w:t>
      </w:r>
    </w:p>
    <w:p w14:paraId="39A8C4DB" w14:textId="3675D9D5" w:rsidR="00764DD0" w:rsidRDefault="00764DD0" w:rsidP="00764DD0">
      <w:pPr>
        <w:pStyle w:val="NormalWeb"/>
        <w:numPr>
          <w:ilvl w:val="0"/>
          <w:numId w:val="10"/>
        </w:numPr>
        <w:jc w:val="both"/>
      </w:pPr>
      <w:r>
        <w:t>Conectores M12 de alimentación implementados y rotulados</w:t>
      </w:r>
    </w:p>
    <w:p w14:paraId="1A94D8E2" w14:textId="62329E0A" w:rsidR="00764DD0" w:rsidRDefault="00764DD0" w:rsidP="00764DD0">
      <w:pPr>
        <w:pStyle w:val="NormalWeb"/>
        <w:numPr>
          <w:ilvl w:val="0"/>
          <w:numId w:val="10"/>
        </w:numPr>
        <w:jc w:val="both"/>
      </w:pPr>
      <w:r>
        <w:t>Conectores M12 de datos (RS485) implementados y rotulados</w:t>
      </w:r>
    </w:p>
    <w:p w14:paraId="5B5108FA" w14:textId="4AE5C16B" w:rsidR="00764DD0" w:rsidRDefault="00764DD0" w:rsidP="00764DD0">
      <w:pPr>
        <w:pStyle w:val="NormalWeb"/>
        <w:numPr>
          <w:ilvl w:val="0"/>
          <w:numId w:val="10"/>
        </w:numPr>
        <w:jc w:val="both"/>
      </w:pPr>
      <w:r>
        <w:t>Terminación RS485 120 ohmios seleccionable por jumper/</w:t>
      </w:r>
      <w:proofErr w:type="spellStart"/>
      <w:r>
        <w:t>switch</w:t>
      </w:r>
      <w:proofErr w:type="spellEnd"/>
    </w:p>
    <w:p w14:paraId="4ED24579" w14:textId="6B3A1344" w:rsidR="00764DD0" w:rsidRDefault="00764DD0" w:rsidP="00764DD0">
      <w:pPr>
        <w:pStyle w:val="NormalWeb"/>
        <w:numPr>
          <w:ilvl w:val="0"/>
          <w:numId w:val="10"/>
        </w:numPr>
        <w:jc w:val="both"/>
      </w:pPr>
      <w:r>
        <w:t>Red de polarización RS485 seleccionable por jumper/</w:t>
      </w:r>
      <w:proofErr w:type="spellStart"/>
      <w:r>
        <w:t>switch</w:t>
      </w:r>
      <w:proofErr w:type="spellEnd"/>
    </w:p>
    <w:p w14:paraId="73C006F3" w14:textId="2E01F909" w:rsidR="00764DD0" w:rsidRDefault="00764DD0" w:rsidP="00764DD0">
      <w:pPr>
        <w:pStyle w:val="NormalWeb"/>
        <w:numPr>
          <w:ilvl w:val="0"/>
          <w:numId w:val="10"/>
        </w:numPr>
        <w:jc w:val="both"/>
      </w:pPr>
      <w:r>
        <w:t>ESD USB (D+/D-) implementado junto al conector y con retorno corto</w:t>
      </w:r>
    </w:p>
    <w:p w14:paraId="28D789DF" w14:textId="1CBBA650" w:rsidR="00764DD0" w:rsidRDefault="00764DD0" w:rsidP="00764DD0">
      <w:pPr>
        <w:pStyle w:val="NormalWeb"/>
        <w:numPr>
          <w:ilvl w:val="0"/>
          <w:numId w:val="10"/>
        </w:numPr>
        <w:jc w:val="both"/>
      </w:pPr>
      <w:r>
        <w:t>Procedimiento de flasheo por USB documentado y verificado</w:t>
      </w:r>
    </w:p>
    <w:p w14:paraId="6FD0F192" w14:textId="62ED92E2" w:rsidR="00764DD0" w:rsidRDefault="00764DD0" w:rsidP="00764DD0">
      <w:pPr>
        <w:pStyle w:val="NormalWeb"/>
        <w:numPr>
          <w:ilvl w:val="0"/>
          <w:numId w:val="10"/>
        </w:numPr>
        <w:jc w:val="both"/>
      </w:pPr>
      <w:proofErr w:type="spellStart"/>
      <w:r>
        <w:t>LEDs</w:t>
      </w:r>
      <w:proofErr w:type="spellEnd"/>
      <w:r>
        <w:t xml:space="preserve"> mínimos (POWER_OK y STATUS/COMM) definidos y documentados</w:t>
      </w:r>
    </w:p>
    <w:p w14:paraId="3DD06BC5" w14:textId="7656BE49" w:rsidR="00764DD0" w:rsidRDefault="00764DD0" w:rsidP="00764DD0">
      <w:pPr>
        <w:pStyle w:val="NormalWeb"/>
        <w:numPr>
          <w:ilvl w:val="0"/>
          <w:numId w:val="10"/>
        </w:numPr>
        <w:jc w:val="both"/>
      </w:pPr>
      <w:r>
        <w:t>TP_GND y TP_AGND implementados y rotulados</w:t>
      </w:r>
      <w:bookmarkStart w:id="0" w:name="_GoBack"/>
      <w:bookmarkEnd w:id="0"/>
    </w:p>
    <w:p w14:paraId="76E2E290" w14:textId="77777777" w:rsidR="00764DD0" w:rsidRPr="00764DD0" w:rsidRDefault="00764DD0" w:rsidP="00764DD0">
      <w:pPr>
        <w:pStyle w:val="NormalWeb"/>
        <w:jc w:val="both"/>
        <w:rPr>
          <w:b/>
        </w:rPr>
      </w:pPr>
      <w:r w:rsidRPr="00764DD0">
        <w:rPr>
          <w:b/>
        </w:rPr>
        <w:t>Conclusiones.</w:t>
      </w:r>
    </w:p>
    <w:p w14:paraId="7FC3369C" w14:textId="791A94BC" w:rsidR="00764DD0" w:rsidRDefault="00764DD0" w:rsidP="00764DD0">
      <w:pPr>
        <w:pStyle w:val="NormalWeb"/>
        <w:jc w:val="both"/>
      </w:pPr>
      <w:r>
        <w:t xml:space="preserve">El diseño presenta una base electrónica sólida para medición de alta resolución y dispone de protecciones básicas en alimentación y bus. Sin embargo, existen brechas relevantes de cumplimiento y robustez EMC para entorno de campo, principalmente en conectividad industrial (M12), configuración del RS485 (terminación y </w:t>
      </w:r>
      <w:proofErr w:type="spellStart"/>
      <w:r>
        <w:t>bias</w:t>
      </w:r>
      <w:proofErr w:type="spellEnd"/>
      <w:r>
        <w:t>) y protección ESD del USB. La atención de estas recomendaciones es necesaria para mejorar la confiabilidad, mantenibilidad y alineación con lo solicitado para el ítem 30.</w:t>
      </w:r>
    </w:p>
    <w:p w14:paraId="387F9C13" w14:textId="77777777" w:rsidR="00764DD0" w:rsidRPr="00764DD0" w:rsidRDefault="00764DD0" w:rsidP="00764DD0">
      <w:pPr>
        <w:pStyle w:val="NormalWeb"/>
        <w:jc w:val="both"/>
        <w:rPr>
          <w:b/>
        </w:rPr>
      </w:pPr>
      <w:r w:rsidRPr="00764DD0">
        <w:rPr>
          <w:b/>
        </w:rPr>
        <w:t>Observación principal:</w:t>
      </w:r>
    </w:p>
    <w:p w14:paraId="7F12FAE6" w14:textId="12934831" w:rsidR="00764DD0" w:rsidRDefault="00764DD0" w:rsidP="00764DD0">
      <w:pPr>
        <w:pStyle w:val="NormalWeb"/>
        <w:jc w:val="both"/>
      </w:pPr>
      <w:r>
        <w:t xml:space="preserve">Falta implementar conectividad industrial M12 y configuración completa del bus RS485 (terminación y </w:t>
      </w:r>
      <w:proofErr w:type="spellStart"/>
      <w:r>
        <w:t>bias</w:t>
      </w:r>
      <w:proofErr w:type="spellEnd"/>
      <w:r>
        <w:t>) junto con protección ESD adecuada en USB, lo que compromete cumplimiento y robustez EMC en campo.</w:t>
      </w:r>
    </w:p>
    <w:p w14:paraId="4D67835D" w14:textId="77777777" w:rsidR="000447D4" w:rsidRPr="00764DD0" w:rsidRDefault="000447D4" w:rsidP="00764DD0">
      <w:pPr>
        <w:jc w:val="both"/>
      </w:pPr>
    </w:p>
    <w:sectPr w:rsidR="000447D4" w:rsidRPr="00764DD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B47DB7"/>
    <w:multiLevelType w:val="hybridMultilevel"/>
    <w:tmpl w:val="771CE7EC"/>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0B7E1BBB"/>
    <w:multiLevelType w:val="multilevel"/>
    <w:tmpl w:val="31E4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C4827"/>
    <w:multiLevelType w:val="multilevel"/>
    <w:tmpl w:val="7076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E6628"/>
    <w:multiLevelType w:val="multilevel"/>
    <w:tmpl w:val="9266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E2597"/>
    <w:multiLevelType w:val="hybridMultilevel"/>
    <w:tmpl w:val="865865D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33087937"/>
    <w:multiLevelType w:val="multilevel"/>
    <w:tmpl w:val="FCF0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E24DBD"/>
    <w:multiLevelType w:val="multilevel"/>
    <w:tmpl w:val="00A8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9349DF"/>
    <w:multiLevelType w:val="multilevel"/>
    <w:tmpl w:val="5ED8E11C"/>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951CEE"/>
    <w:multiLevelType w:val="multilevel"/>
    <w:tmpl w:val="2540562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027B87"/>
    <w:multiLevelType w:val="multilevel"/>
    <w:tmpl w:val="6C06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7F4A15"/>
    <w:multiLevelType w:val="multilevel"/>
    <w:tmpl w:val="B0E2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1D7599"/>
    <w:multiLevelType w:val="multilevel"/>
    <w:tmpl w:val="7330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
  </w:num>
  <w:num w:numId="3">
    <w:abstractNumId w:val="3"/>
  </w:num>
  <w:num w:numId="4">
    <w:abstractNumId w:val="5"/>
  </w:num>
  <w:num w:numId="5">
    <w:abstractNumId w:val="1"/>
  </w:num>
  <w:num w:numId="6">
    <w:abstractNumId w:val="9"/>
  </w:num>
  <w:num w:numId="7">
    <w:abstractNumId w:val="6"/>
  </w:num>
  <w:num w:numId="8">
    <w:abstractNumId w:val="11"/>
  </w:num>
  <w:num w:numId="9">
    <w:abstractNumId w:val="8"/>
  </w:num>
  <w:num w:numId="10">
    <w:abstractNumId w:val="7"/>
  </w:num>
  <w:num w:numId="11">
    <w:abstractNumId w:val="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F6F"/>
    <w:rsid w:val="000447D4"/>
    <w:rsid w:val="00275F6F"/>
    <w:rsid w:val="00725ED2"/>
    <w:rsid w:val="00764DD0"/>
    <w:rsid w:val="0091560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FC8A1"/>
  <w15:chartTrackingRefBased/>
  <w15:docId w15:val="{E30682B2-18F1-41EC-A757-E6EC20C01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91560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560A"/>
    <w:rPr>
      <w:rFonts w:ascii="Times New Roman" w:eastAsia="Times New Roman" w:hAnsi="Times New Roman" w:cs="Times New Roman"/>
      <w:b/>
      <w:bCs/>
      <w:kern w:val="36"/>
      <w:sz w:val="48"/>
      <w:szCs w:val="48"/>
      <w:lang w:eastAsia="es-EC"/>
    </w:rPr>
  </w:style>
  <w:style w:type="paragraph" w:styleId="NormalWeb">
    <w:name w:val="Normal (Web)"/>
    <w:basedOn w:val="Normal"/>
    <w:uiPriority w:val="99"/>
    <w:semiHidden/>
    <w:unhideWhenUsed/>
    <w:rsid w:val="0091560A"/>
    <w:pPr>
      <w:spacing w:before="100" w:beforeAutospacing="1" w:after="100" w:afterAutospacing="1" w:line="240" w:lineRule="auto"/>
    </w:pPr>
    <w:rPr>
      <w:rFonts w:ascii="Times New Roman" w:eastAsia="Times New Roman" w:hAnsi="Times New Roman" w:cs="Times New Roman"/>
      <w:sz w:val="24"/>
      <w:szCs w:val="24"/>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725347">
      <w:bodyDiv w:val="1"/>
      <w:marLeft w:val="0"/>
      <w:marRight w:val="0"/>
      <w:marTop w:val="0"/>
      <w:marBottom w:val="0"/>
      <w:divBdr>
        <w:top w:val="none" w:sz="0" w:space="0" w:color="auto"/>
        <w:left w:val="none" w:sz="0" w:space="0" w:color="auto"/>
        <w:bottom w:val="none" w:sz="0" w:space="0" w:color="auto"/>
        <w:right w:val="none" w:sz="0" w:space="0" w:color="auto"/>
      </w:divBdr>
    </w:div>
    <w:div w:id="1878616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971</Words>
  <Characters>5343</Characters>
  <Application>Microsoft Office Word</Application>
  <DocSecurity>0</DocSecurity>
  <Lines>44</Lines>
  <Paragraphs>12</Paragraphs>
  <ScaleCrop>false</ScaleCrop>
  <Company/>
  <LinksUpToDate>false</LinksUpToDate>
  <CharactersWithSpaces>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Administrador</dc:creator>
  <cp:keywords/>
  <dc:description/>
  <cp:lastModifiedBy>Remigio Guevara</cp:lastModifiedBy>
  <cp:revision>4</cp:revision>
  <dcterms:created xsi:type="dcterms:W3CDTF">2026-01-03T17:24:00Z</dcterms:created>
  <dcterms:modified xsi:type="dcterms:W3CDTF">2026-01-05T16:01:00Z</dcterms:modified>
</cp:coreProperties>
</file>