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756A" w14:textId="77777777" w:rsidR="00ED2E69" w:rsidRPr="00ED2E69" w:rsidRDefault="00ED2E69" w:rsidP="00ED2E69">
      <w:pPr>
        <w:ind w:left="360"/>
        <w:jc w:val="center"/>
        <w:rPr>
          <w:b/>
          <w:bCs/>
          <w:lang w:eastAsia="es-EC"/>
        </w:rPr>
      </w:pPr>
      <w:r w:rsidRPr="00ED2E69">
        <w:rPr>
          <w:b/>
          <w:bCs/>
          <w:lang w:eastAsia="es-EC"/>
        </w:rPr>
        <w:t>RESPUESTA A RECOMENDACIONES TÉCNICAS EMC – CONTRATISTA</w:t>
      </w:r>
    </w:p>
    <w:p w14:paraId="623F43CA" w14:textId="77777777" w:rsidR="00ED2E69" w:rsidRPr="00ED2E69" w:rsidRDefault="00ED2E69" w:rsidP="00ED2E69">
      <w:pPr>
        <w:rPr>
          <w:lang w:eastAsia="es-EC"/>
        </w:rPr>
      </w:pPr>
      <w:r w:rsidRPr="00ED2E69">
        <w:rPr>
          <w:b/>
          <w:bCs/>
          <w:lang w:eastAsia="es-EC"/>
        </w:rPr>
        <w:t xml:space="preserve">Módulo </w:t>
      </w:r>
      <w:proofErr w:type="spellStart"/>
      <w:r w:rsidRPr="00ED2E69">
        <w:rPr>
          <w:b/>
          <w:bCs/>
          <w:lang w:eastAsia="es-EC"/>
        </w:rPr>
        <w:t>Elongómetro</w:t>
      </w:r>
      <w:proofErr w:type="spellEnd"/>
      <w:r w:rsidRPr="00ED2E69">
        <w:rPr>
          <w:b/>
          <w:bCs/>
          <w:lang w:eastAsia="es-EC"/>
        </w:rPr>
        <w:t xml:space="preserve"> (Ítem 30)</w:t>
      </w:r>
    </w:p>
    <w:p w14:paraId="301885E2" w14:textId="77777777" w:rsidR="00ED2E69" w:rsidRPr="00ED2E69" w:rsidRDefault="00ED2E69" w:rsidP="00ED2E69">
      <w:pPr>
        <w:rPr>
          <w:lang w:eastAsia="es-EC"/>
        </w:rPr>
      </w:pPr>
      <w:r w:rsidRPr="00ED2E69">
        <w:rPr>
          <w:b/>
          <w:bCs/>
          <w:lang w:eastAsia="es-EC"/>
        </w:rPr>
        <w:t>Proyecto:</w:t>
      </w:r>
      <w:r w:rsidRPr="00ED2E69">
        <w:rPr>
          <w:lang w:eastAsia="es-EC"/>
        </w:rPr>
        <w:t xml:space="preserve"> Sistema RSA – Módulo </w:t>
      </w:r>
      <w:proofErr w:type="spellStart"/>
      <w:r w:rsidRPr="00ED2E69">
        <w:rPr>
          <w:lang w:eastAsia="es-EC"/>
        </w:rPr>
        <w:t>Elongómetro</w:t>
      </w:r>
      <w:proofErr w:type="spellEnd"/>
      <w:r w:rsidRPr="00ED2E69">
        <w:rPr>
          <w:lang w:eastAsia="es-EC"/>
        </w:rPr>
        <w:br/>
      </w:r>
      <w:r w:rsidRPr="00ED2E69">
        <w:rPr>
          <w:b/>
          <w:bCs/>
          <w:lang w:eastAsia="es-EC"/>
        </w:rPr>
        <w:t>Ítem contractual:</w:t>
      </w:r>
      <w:r w:rsidRPr="00ED2E69">
        <w:rPr>
          <w:lang w:eastAsia="es-EC"/>
        </w:rPr>
        <w:t xml:space="preserve"> 30 – </w:t>
      </w:r>
      <w:proofErr w:type="spellStart"/>
      <w:r w:rsidRPr="00ED2E69">
        <w:rPr>
          <w:lang w:eastAsia="es-EC"/>
        </w:rPr>
        <w:t>Elongómetro</w:t>
      </w:r>
      <w:proofErr w:type="spellEnd"/>
      <w:r w:rsidRPr="00ED2E69">
        <w:rPr>
          <w:lang w:eastAsia="es-EC"/>
        </w:rPr>
        <w:br/>
      </w:r>
      <w:r w:rsidRPr="00ED2E69">
        <w:rPr>
          <w:b/>
          <w:bCs/>
          <w:lang w:eastAsia="es-EC"/>
        </w:rPr>
        <w:t>Objeto:</w:t>
      </w:r>
      <w:r w:rsidRPr="00ED2E69">
        <w:rPr>
          <w:lang w:eastAsia="es-EC"/>
        </w:rPr>
        <w:t xml:space="preserve"> Respuesta del contratista a Recomendaciones Técnicas EMC</w:t>
      </w:r>
      <w:r w:rsidRPr="00ED2E69">
        <w:rPr>
          <w:lang w:eastAsia="es-EC"/>
        </w:rPr>
        <w:br/>
      </w:r>
      <w:r w:rsidRPr="00ED2E69">
        <w:rPr>
          <w:b/>
          <w:bCs/>
          <w:lang w:eastAsia="es-EC"/>
        </w:rPr>
        <w:t>Fecha:</w:t>
      </w:r>
      <w:r w:rsidRPr="00ED2E69">
        <w:rPr>
          <w:lang w:eastAsia="es-EC"/>
        </w:rPr>
        <w:t xml:space="preserve"> 06/01/2026</w:t>
      </w:r>
    </w:p>
    <w:p w14:paraId="34B32F56" w14:textId="39D4C236" w:rsidR="00ED2E69" w:rsidRPr="00ED2E69" w:rsidRDefault="00ED2E69" w:rsidP="00ED2E69">
      <w:pPr>
        <w:pStyle w:val="Ttulo2"/>
      </w:pPr>
      <w:r w:rsidRPr="00ED2E69">
        <w:t>CONSIDERACIONES GENERALES</w:t>
      </w:r>
    </w:p>
    <w:p w14:paraId="592BB388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El contratista acusa recibo del documento “Recomendaciones Técnicas EMC – Módulo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(Ítem 30)” y agradece el análisis técnico realizado sobre el esquemático y PCB del módulo.</w:t>
      </w:r>
    </w:p>
    <w:p w14:paraId="7C935892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Se deja constancia de que las recomendaciones emitidas:</w:t>
      </w:r>
    </w:p>
    <w:p w14:paraId="3BB9D605" w14:textId="77777777" w:rsidR="00ED2E69" w:rsidRPr="00ED2E69" w:rsidRDefault="00ED2E69" w:rsidP="00ED2E69">
      <w:pPr>
        <w:numPr>
          <w:ilvl w:val="0"/>
          <w:numId w:val="12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no constituyen observaciones de incumplimiento funcional,</w:t>
      </w:r>
    </w:p>
    <w:p w14:paraId="635456C1" w14:textId="77777777" w:rsidR="00ED2E69" w:rsidRPr="00ED2E69" w:rsidRDefault="00ED2E69" w:rsidP="00ED2E69">
      <w:pPr>
        <w:numPr>
          <w:ilvl w:val="0"/>
          <w:numId w:val="12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no implican invalidación del diseño del PCBA,</w:t>
      </w:r>
    </w:p>
    <w:p w14:paraId="35911B42" w14:textId="77777777" w:rsidR="00ED2E69" w:rsidRPr="00ED2E69" w:rsidRDefault="00ED2E69" w:rsidP="00ED2E69">
      <w:pPr>
        <w:numPr>
          <w:ilvl w:val="0"/>
          <w:numId w:val="12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y corresponden a criterios de robustez EMC, conectividad industrial, mantenibilidad y cierre documental, tal como se indica expresamente en el propio documento.</w:t>
      </w:r>
    </w:p>
    <w:p w14:paraId="1ACF7118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La presente respuesta se emite considerando:</w:t>
      </w:r>
    </w:p>
    <w:p w14:paraId="23326F73" w14:textId="77777777" w:rsidR="00ED2E69" w:rsidRPr="00ED2E69" w:rsidRDefault="00ED2E69" w:rsidP="00ED2E69">
      <w:pPr>
        <w:numPr>
          <w:ilvl w:val="0"/>
          <w:numId w:val="13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el alcance contractual del PCBA, como parte del conjunto tarjeta–arnés–sensor–contenedor;</w:t>
      </w:r>
    </w:p>
    <w:p w14:paraId="60EA5E6D" w14:textId="77777777" w:rsidR="00ED2E69" w:rsidRPr="00ED2E69" w:rsidRDefault="00ED2E69" w:rsidP="00ED2E69">
      <w:pPr>
        <w:numPr>
          <w:ilvl w:val="0"/>
          <w:numId w:val="13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el estado real del diseño implementado;</w:t>
      </w:r>
    </w:p>
    <w:p w14:paraId="1A3558A9" w14:textId="77777777" w:rsidR="00ED2E69" w:rsidRPr="00ED2E69" w:rsidRDefault="00ED2E69" w:rsidP="00ED2E69">
      <w:pPr>
        <w:numPr>
          <w:ilvl w:val="0"/>
          <w:numId w:val="13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y que la validación EMC integral solo puede cerrarse a nivel de sistema completo, con hardware físico, cableado real y configuración final de campo.</w:t>
      </w:r>
    </w:p>
    <w:p w14:paraId="3E2C1B1C" w14:textId="1F42AD26" w:rsidR="00ED2E69" w:rsidRPr="00ED2E69" w:rsidRDefault="00ED2E69" w:rsidP="00ED2E69">
      <w:pPr>
        <w:pStyle w:val="Ttulo2"/>
      </w:pPr>
      <w:r w:rsidRPr="00ED2E69">
        <w:t>ARQUITECTURA GENERAL DEL MÓDULO ELONGÓMETRO</w:t>
      </w:r>
    </w:p>
    <w:p w14:paraId="3D18DF82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El diseño del módulo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presenta una arquitectura coherente con el ítem 30, basada en:</w:t>
      </w:r>
    </w:p>
    <w:p w14:paraId="7E434C00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microcontrolador ESP32-P4 con memoria SPI Flash externa;</w:t>
      </w:r>
    </w:p>
    <w:p w14:paraId="76C78AAB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adquisición analógica de alta resolución mediante ADC ADS1256 (24 bits);</w:t>
      </w:r>
    </w:p>
    <w:p w14:paraId="601FA6E6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acondicionamiento analógico con amplificadores de instrumentación INA333, adecuados para señales de muy bajo nivel;</w:t>
      </w:r>
    </w:p>
    <w:p w14:paraId="3952AB3C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comunicación industrial RS485 mediante transceptor SP3485;</w:t>
      </w:r>
    </w:p>
    <w:p w14:paraId="337FE2EE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interfaz USB Tipo-C conectada al USB nativo del ESP32-P4 para programación y servicio;</w:t>
      </w:r>
    </w:p>
    <w:p w14:paraId="4C319EE6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separación de dominios analógico y digital, con acoplamiento controlado mediante ferrita;</w:t>
      </w:r>
    </w:p>
    <w:p w14:paraId="26A9C09D" w14:textId="77777777" w:rsidR="00ED2E69" w:rsidRPr="00ED2E69" w:rsidRDefault="00ED2E69" w:rsidP="00ED2E69">
      <w:pPr>
        <w:numPr>
          <w:ilvl w:val="0"/>
          <w:numId w:val="14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protecciones básicas en la entrada de alimentación.</w:t>
      </w:r>
    </w:p>
    <w:p w14:paraId="594EFF74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Esta arquitectura cumple los requisitos funcionales del ítem 30 en lo aplicable al PCBA del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>.</w:t>
      </w:r>
    </w:p>
    <w:p w14:paraId="28AE4184" w14:textId="79704BDD" w:rsidR="00ED2E69" w:rsidRPr="00ED2E69" w:rsidRDefault="00ED2E69" w:rsidP="00ED2E69">
      <w:pPr>
        <w:pStyle w:val="Ttulo2"/>
      </w:pPr>
      <w:r w:rsidRPr="00ED2E69">
        <w:t>CONECTIVIDAD INDUSTRIAL (M12)</w:t>
      </w:r>
    </w:p>
    <w:p w14:paraId="4014258B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lastRenderedPageBreak/>
        <w:t>Observación del revisor:</w:t>
      </w:r>
      <w:r w:rsidRPr="00ED2E69">
        <w:rPr>
          <w:rFonts w:ascii="Times New Roman" w:hAnsi="Times New Roman" w:cs="Times New Roman"/>
          <w:lang w:eastAsia="es-EC"/>
        </w:rPr>
        <w:br/>
        <w:t>No se evidencian conectores M12; se observan borneras tipo Phoenix.</w:t>
      </w:r>
    </w:p>
    <w:p w14:paraId="5FF10F00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Respuesta del contratista:</w:t>
      </w:r>
      <w:r w:rsidRPr="00ED2E69">
        <w:rPr>
          <w:rFonts w:ascii="Times New Roman" w:hAnsi="Times New Roman" w:cs="Times New Roman"/>
          <w:lang w:eastAsia="es-EC"/>
        </w:rPr>
        <w:br/>
        <w:t>Los conectores M12 especificados contractualmente corresponden al nivel de campo (contenedor) y forman parte del conjunto contenedor–arnés–conector, no del PCBA.</w:t>
      </w:r>
    </w:p>
    <w:p w14:paraId="3DD9541C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El diseño del PCBA define:</w:t>
      </w:r>
    </w:p>
    <w:p w14:paraId="557C793B" w14:textId="77777777" w:rsidR="00ED2E69" w:rsidRPr="00ED2E69" w:rsidRDefault="00ED2E69" w:rsidP="00ED2E69">
      <w:pPr>
        <w:numPr>
          <w:ilvl w:val="0"/>
          <w:numId w:val="15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el </w:t>
      </w:r>
      <w:proofErr w:type="spellStart"/>
      <w:r w:rsidRPr="00ED2E69">
        <w:rPr>
          <w:rFonts w:ascii="Times New Roman" w:hAnsi="Times New Roman" w:cs="Times New Roman"/>
          <w:lang w:eastAsia="es-EC"/>
        </w:rPr>
        <w:t>pinout</w:t>
      </w:r>
      <w:proofErr w:type="spellEnd"/>
      <w:r w:rsidRPr="00ED2E69">
        <w:rPr>
          <w:rFonts w:ascii="Times New Roman" w:hAnsi="Times New Roman" w:cs="Times New Roman"/>
          <w:lang w:eastAsia="es-EC"/>
        </w:rPr>
        <w:t>,</w:t>
      </w:r>
    </w:p>
    <w:p w14:paraId="2343BC14" w14:textId="77777777" w:rsidR="00ED2E69" w:rsidRPr="00ED2E69" w:rsidRDefault="00ED2E69" w:rsidP="00ED2E69">
      <w:pPr>
        <w:numPr>
          <w:ilvl w:val="0"/>
          <w:numId w:val="15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los niveles eléctricos,</w:t>
      </w:r>
    </w:p>
    <w:p w14:paraId="78931777" w14:textId="77777777" w:rsidR="00ED2E69" w:rsidRPr="00ED2E69" w:rsidRDefault="00ED2E69" w:rsidP="00ED2E69">
      <w:pPr>
        <w:numPr>
          <w:ilvl w:val="0"/>
          <w:numId w:val="15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y la interfaz funcional,</w:t>
      </w:r>
    </w:p>
    <w:p w14:paraId="3DF82605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mientras que la selección del conector industrial M12, su codificación y su implementación mecánica se resuelven a nivel de integración del sistema, conforme a prácticas industriales y requisitos IP del contenedor.</w:t>
      </w:r>
    </w:p>
    <w:p w14:paraId="73D755F8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Conclusión:</w:t>
      </w:r>
      <w:r w:rsidRPr="00ED2E69">
        <w:rPr>
          <w:rFonts w:ascii="Times New Roman" w:hAnsi="Times New Roman" w:cs="Times New Roman"/>
          <w:lang w:eastAsia="es-EC"/>
        </w:rPr>
        <w:br/>
        <w:t>La observación no constituye incumplimiento del PCBA. La conectividad M12 será documentada y evidenciada en la documentación de integración del sistema completo.</w:t>
      </w:r>
    </w:p>
    <w:p w14:paraId="46EA59BC" w14:textId="297DEAE0" w:rsidR="00ED2E69" w:rsidRPr="00ED2E69" w:rsidRDefault="00ED2E69" w:rsidP="00ED2E69">
      <w:pPr>
        <w:pStyle w:val="Ttulo2"/>
      </w:pPr>
      <w:r w:rsidRPr="00ED2E69">
        <w:t>RS485 – TERMINACIÓN Y POLARIZACIÓN (BIAS)</w:t>
      </w:r>
    </w:p>
    <w:p w14:paraId="278151C6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Observación del revisor:</w:t>
      </w:r>
      <w:r w:rsidRPr="00ED2E69">
        <w:rPr>
          <w:rFonts w:ascii="Times New Roman" w:hAnsi="Times New Roman" w:cs="Times New Roman"/>
          <w:lang w:eastAsia="es-EC"/>
        </w:rPr>
        <w:br/>
        <w:t>No se evidencia terminación de 120 Ω ni red de polarización configurable.</w:t>
      </w:r>
    </w:p>
    <w:p w14:paraId="272ACF8E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Respuesta del contratista:</w:t>
      </w:r>
      <w:r w:rsidRPr="00ED2E69">
        <w:rPr>
          <w:rFonts w:ascii="Times New Roman" w:hAnsi="Times New Roman" w:cs="Times New Roman"/>
          <w:lang w:eastAsia="es-EC"/>
        </w:rPr>
        <w:br/>
        <w:t>El diseño implementa el transceptor RS485 SP3485 conforme a la arquitectura prevista del sistema.</w:t>
      </w:r>
    </w:p>
    <w:p w14:paraId="30693E06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La estrategia adoptada es:</w:t>
      </w:r>
    </w:p>
    <w:p w14:paraId="507D31F0" w14:textId="77777777" w:rsidR="00ED2E69" w:rsidRPr="00ED2E69" w:rsidRDefault="00ED2E69" w:rsidP="00ED2E69">
      <w:pPr>
        <w:numPr>
          <w:ilvl w:val="0"/>
          <w:numId w:val="16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terminación y polarización del bus RS485 gestionadas a nivel de sistema, en el nodo maestro o en los extremos del segmento,</w:t>
      </w:r>
    </w:p>
    <w:p w14:paraId="6DF1A225" w14:textId="77777777" w:rsidR="00ED2E69" w:rsidRPr="00ED2E69" w:rsidRDefault="00ED2E69" w:rsidP="00ED2E69">
      <w:pPr>
        <w:numPr>
          <w:ilvl w:val="0"/>
          <w:numId w:val="16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evitando </w:t>
      </w:r>
      <w:proofErr w:type="spellStart"/>
      <w:r w:rsidRPr="00ED2E69">
        <w:rPr>
          <w:rFonts w:ascii="Times New Roman" w:hAnsi="Times New Roman" w:cs="Times New Roman"/>
          <w:lang w:eastAsia="es-EC"/>
        </w:rPr>
        <w:t>sobrepolarización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distribuida y mejorando el comportamiento EMC del bus.</w:t>
      </w:r>
    </w:p>
    <w:p w14:paraId="69E65D1A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Este enfoque es habitual en arquitecturas RS485 industriales con topología definida y será documentado formalmente en la descripción del sistema.</w:t>
      </w:r>
    </w:p>
    <w:p w14:paraId="458E8B6E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Las recomendaciones de incorporar terminación y </w:t>
      </w:r>
      <w:proofErr w:type="spellStart"/>
      <w:r w:rsidRPr="00ED2E69">
        <w:rPr>
          <w:rFonts w:ascii="Times New Roman" w:hAnsi="Times New Roman" w:cs="Times New Roman"/>
          <w:lang w:eastAsia="es-EC"/>
        </w:rPr>
        <w:t>bias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seleccionables en el PCBA se consideran mejoras de robustez, a evaluar según el escenario final de instalación.</w:t>
      </w:r>
    </w:p>
    <w:p w14:paraId="0887E4C3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Conclusión:</w:t>
      </w:r>
      <w:r w:rsidRPr="00ED2E69">
        <w:rPr>
          <w:rFonts w:ascii="Times New Roman" w:hAnsi="Times New Roman" w:cs="Times New Roman"/>
          <w:lang w:eastAsia="es-EC"/>
        </w:rPr>
        <w:br/>
        <w:t>No se trata de una omisión funcional. La definición de terminación/</w:t>
      </w:r>
      <w:proofErr w:type="spellStart"/>
      <w:r w:rsidRPr="00ED2E69">
        <w:rPr>
          <w:rFonts w:ascii="Times New Roman" w:hAnsi="Times New Roman" w:cs="Times New Roman"/>
          <w:lang w:eastAsia="es-EC"/>
        </w:rPr>
        <w:t>bias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se cerrará documentalmente a nivel de sistema.</w:t>
      </w:r>
    </w:p>
    <w:p w14:paraId="571F158B" w14:textId="7E6DB42A" w:rsidR="00ED2E69" w:rsidRPr="00ED2E69" w:rsidRDefault="00ED2E69" w:rsidP="00ED2E69">
      <w:pPr>
        <w:pStyle w:val="Ttulo2"/>
      </w:pPr>
      <w:r w:rsidRPr="00ED2E69">
        <w:t>PROTECCIÓN ESD EN USB</w:t>
      </w:r>
    </w:p>
    <w:p w14:paraId="5E8A46CB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Observación del revisor:</w:t>
      </w:r>
      <w:r w:rsidRPr="00ED2E69">
        <w:rPr>
          <w:rFonts w:ascii="Times New Roman" w:hAnsi="Times New Roman" w:cs="Times New Roman"/>
          <w:lang w:eastAsia="es-EC"/>
        </w:rPr>
        <w:br/>
        <w:t>No se evidencia protección ESD dedicada en D+/D− del USB.</w:t>
      </w:r>
    </w:p>
    <w:p w14:paraId="79CAB6A7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Respuesta del contratista:</w:t>
      </w:r>
      <w:r w:rsidRPr="00ED2E69">
        <w:rPr>
          <w:rFonts w:ascii="Times New Roman" w:hAnsi="Times New Roman" w:cs="Times New Roman"/>
          <w:lang w:eastAsia="es-EC"/>
        </w:rPr>
        <w:br/>
        <w:t xml:space="preserve">La interfaz USB Tipo-C del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se concibe como interfaz de servicio (programación, flasheo y diagnóstico), no como puerto operativo permanente de campo.</w:t>
      </w:r>
    </w:p>
    <w:p w14:paraId="70CE2DDC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Las recomendaciones de:</w:t>
      </w:r>
    </w:p>
    <w:p w14:paraId="30C2413E" w14:textId="77777777" w:rsidR="00ED2E69" w:rsidRPr="00ED2E69" w:rsidRDefault="00ED2E69" w:rsidP="00ED2E69">
      <w:pPr>
        <w:numPr>
          <w:ilvl w:val="0"/>
          <w:numId w:val="17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lastRenderedPageBreak/>
        <w:t>ESD de baja capacitancia en D+/D−,</w:t>
      </w:r>
    </w:p>
    <w:p w14:paraId="274DA5CA" w14:textId="77777777" w:rsidR="00ED2E69" w:rsidRPr="00ED2E69" w:rsidRDefault="00ED2E69" w:rsidP="00ED2E69">
      <w:pPr>
        <w:numPr>
          <w:ilvl w:val="0"/>
          <w:numId w:val="17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y estrategia de descarga controlada a GND/chasis,</w:t>
      </w:r>
    </w:p>
    <w:p w14:paraId="68DE0E0C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se consideran mejoras EMC incrementales, a implementar y validar en función de la exposición real del conector en el contenedor final.</w:t>
      </w:r>
    </w:p>
    <w:p w14:paraId="29CDD022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Conclusión:</w:t>
      </w:r>
      <w:r w:rsidRPr="00ED2E69">
        <w:rPr>
          <w:rFonts w:ascii="Times New Roman" w:hAnsi="Times New Roman" w:cs="Times New Roman"/>
          <w:lang w:eastAsia="es-EC"/>
        </w:rPr>
        <w:br/>
        <w:t>La observación no invalida el diseño actual y será atendida en el cierre EMC del sistema completo.</w:t>
      </w:r>
    </w:p>
    <w:p w14:paraId="0A85FED6" w14:textId="22B8FB07" w:rsidR="00ED2E69" w:rsidRPr="00ED2E69" w:rsidRDefault="00ED2E69" w:rsidP="00ED2E69">
      <w:pPr>
        <w:pStyle w:val="Ttulo2"/>
      </w:pPr>
      <w:r w:rsidRPr="00ED2E69">
        <w:t>PROGRAMACIÓN Y PUESTA EN SERVICIO (USB + BOOT)</w:t>
      </w:r>
    </w:p>
    <w:p w14:paraId="518E1688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Observación del revisor:</w:t>
      </w:r>
      <w:r w:rsidRPr="00ED2E69">
        <w:rPr>
          <w:rFonts w:ascii="Times New Roman" w:hAnsi="Times New Roman" w:cs="Times New Roman"/>
          <w:lang w:eastAsia="es-EC"/>
        </w:rPr>
        <w:br/>
        <w:t>Se requiere confirmar estrategia de flasheo por USB.</w:t>
      </w:r>
    </w:p>
    <w:p w14:paraId="5303417D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Respuesta del contratista:</w:t>
      </w:r>
      <w:r w:rsidRPr="00ED2E69">
        <w:rPr>
          <w:rFonts w:ascii="Times New Roman" w:hAnsi="Times New Roman" w:cs="Times New Roman"/>
          <w:lang w:eastAsia="es-EC"/>
        </w:rPr>
        <w:br/>
        <w:t>El diseño incorpora:</w:t>
      </w:r>
    </w:p>
    <w:p w14:paraId="3EF42955" w14:textId="77777777" w:rsidR="00ED2E69" w:rsidRPr="00ED2E69" w:rsidRDefault="00ED2E69" w:rsidP="00ED2E69">
      <w:pPr>
        <w:numPr>
          <w:ilvl w:val="0"/>
          <w:numId w:val="18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conector USB Tipo-C conectado al USB nativo del ESP32-P4,</w:t>
      </w:r>
    </w:p>
    <w:p w14:paraId="37E28250" w14:textId="77777777" w:rsidR="00ED2E69" w:rsidRPr="00ED2E69" w:rsidRDefault="00ED2E69" w:rsidP="00ED2E69">
      <w:pPr>
        <w:numPr>
          <w:ilvl w:val="0"/>
          <w:numId w:val="18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pulsadores dedicados de RESET y BOOT.</w:t>
      </w:r>
    </w:p>
    <w:p w14:paraId="07AE0824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Esto proporciona un mecanismo claro, reproducible y seguro de programación y recuperación del firmware.</w:t>
      </w:r>
    </w:p>
    <w:p w14:paraId="3A7AEEB9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La secuencia de flasheo y el uso del pin de BOOT serán documentados explícitamente como parte de la documentación de puesta en servicio.</w:t>
      </w:r>
    </w:p>
    <w:p w14:paraId="3A4C6064" w14:textId="724469C2" w:rsidR="00ED2E69" w:rsidRPr="00ED2E69" w:rsidRDefault="00ED2E69" w:rsidP="00ED2E69">
      <w:pPr>
        <w:pStyle w:val="Ttulo2"/>
      </w:pPr>
      <w:r w:rsidRPr="00ED2E69">
        <w:t>LEDS INDICADORES</w:t>
      </w:r>
    </w:p>
    <w:p w14:paraId="1F1A9E1E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Observación del revisor:</w:t>
      </w:r>
      <w:r w:rsidRPr="00ED2E69">
        <w:rPr>
          <w:rFonts w:ascii="Times New Roman" w:hAnsi="Times New Roman" w:cs="Times New Roman"/>
          <w:lang w:eastAsia="es-EC"/>
        </w:rPr>
        <w:br/>
      </w:r>
      <w:proofErr w:type="spellStart"/>
      <w:r w:rsidRPr="00ED2E69">
        <w:rPr>
          <w:rFonts w:ascii="Times New Roman" w:hAnsi="Times New Roman" w:cs="Times New Roman"/>
          <w:lang w:eastAsia="es-EC"/>
        </w:rPr>
        <w:t>LEDs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no definidos funcionalmente.</w:t>
      </w:r>
    </w:p>
    <w:p w14:paraId="5B30AACE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Respuesta del contratista:</w:t>
      </w:r>
      <w:r w:rsidRPr="00ED2E69">
        <w:rPr>
          <w:rFonts w:ascii="Times New Roman" w:hAnsi="Times New Roman" w:cs="Times New Roman"/>
          <w:lang w:eastAsia="es-EC"/>
        </w:rPr>
        <w:br/>
        <w:t xml:space="preserve">El diseño sí incorpora </w:t>
      </w:r>
      <w:proofErr w:type="spellStart"/>
      <w:r w:rsidRPr="00ED2E69">
        <w:rPr>
          <w:rFonts w:ascii="Times New Roman" w:hAnsi="Times New Roman" w:cs="Times New Roman"/>
          <w:lang w:eastAsia="es-EC"/>
        </w:rPr>
        <w:t>LEDs</w:t>
      </w:r>
      <w:proofErr w:type="spellEnd"/>
      <w:r w:rsidRPr="00ED2E69">
        <w:rPr>
          <w:rFonts w:ascii="Times New Roman" w:hAnsi="Times New Roman" w:cs="Times New Roman"/>
          <w:lang w:eastAsia="es-EC"/>
        </w:rPr>
        <w:t>, destinados a:</w:t>
      </w:r>
    </w:p>
    <w:p w14:paraId="75158CBB" w14:textId="77777777" w:rsidR="00ED2E69" w:rsidRPr="00ED2E69" w:rsidRDefault="00ED2E69" w:rsidP="00ED2E69">
      <w:pPr>
        <w:numPr>
          <w:ilvl w:val="0"/>
          <w:numId w:val="19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indicación de alimentación,</w:t>
      </w:r>
    </w:p>
    <w:p w14:paraId="56C4D15A" w14:textId="77777777" w:rsidR="00ED2E69" w:rsidRPr="00ED2E69" w:rsidRDefault="00ED2E69" w:rsidP="00ED2E69">
      <w:pPr>
        <w:numPr>
          <w:ilvl w:val="0"/>
          <w:numId w:val="19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señalización controlada por firmware (estado/diagnóstico).</w:t>
      </w:r>
    </w:p>
    <w:p w14:paraId="57A0476E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La recomendación de formalizar </w:t>
      </w:r>
      <w:proofErr w:type="spellStart"/>
      <w:r w:rsidRPr="00ED2E69">
        <w:rPr>
          <w:rFonts w:ascii="Times New Roman" w:hAnsi="Times New Roman" w:cs="Times New Roman"/>
          <w:lang w:eastAsia="es-EC"/>
        </w:rPr>
        <w:t>LEDs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mínimos (POWER, STATUS/COMM) se considera una mejora de mantenibilidad, sin impacto funcional.</w:t>
      </w:r>
    </w:p>
    <w:p w14:paraId="3AE129B8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La función de cada LED será documentada y rotulada en la memoria técnica.</w:t>
      </w:r>
    </w:p>
    <w:p w14:paraId="027CDFD3" w14:textId="53853FF5" w:rsidR="00ED2E69" w:rsidRPr="00ED2E69" w:rsidRDefault="00ED2E69" w:rsidP="00ED2E69">
      <w:pPr>
        <w:pStyle w:val="Ttulo2"/>
      </w:pPr>
      <w:r w:rsidRPr="00ED2E69">
        <w:t>TEST POINTS Y ROTULADO</w:t>
      </w:r>
    </w:p>
    <w:p w14:paraId="0BA34FBD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Observación del revisor:</w:t>
      </w:r>
      <w:r w:rsidRPr="00ED2E69">
        <w:rPr>
          <w:rFonts w:ascii="Times New Roman" w:hAnsi="Times New Roman" w:cs="Times New Roman"/>
          <w:lang w:eastAsia="es-EC"/>
        </w:rPr>
        <w:br/>
        <w:t>Puntos de prueba y rotulado insuficientes.</w:t>
      </w:r>
    </w:p>
    <w:p w14:paraId="1336ADFA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Respuesta del contratista:</w:t>
      </w:r>
      <w:r w:rsidRPr="00ED2E69">
        <w:rPr>
          <w:rFonts w:ascii="Times New Roman" w:hAnsi="Times New Roman" w:cs="Times New Roman"/>
          <w:lang w:eastAsia="es-EC"/>
        </w:rPr>
        <w:br/>
        <w:t>El diseño contempla puntos de prueba funcionales; no obstante, se acepta la recomendación de:</w:t>
      </w:r>
    </w:p>
    <w:p w14:paraId="33BD0FA7" w14:textId="77777777" w:rsidR="00ED2E69" w:rsidRPr="00ED2E69" w:rsidRDefault="00ED2E69" w:rsidP="00ED2E69">
      <w:pPr>
        <w:numPr>
          <w:ilvl w:val="0"/>
          <w:numId w:val="20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incorporar TP_GND y TP_AGND claramente identificados,</w:t>
      </w:r>
    </w:p>
    <w:p w14:paraId="770E3AF7" w14:textId="77777777" w:rsidR="00ED2E69" w:rsidRPr="00ED2E69" w:rsidRDefault="00ED2E69" w:rsidP="00ED2E69">
      <w:pPr>
        <w:numPr>
          <w:ilvl w:val="0"/>
          <w:numId w:val="20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mejorar el rotulado de señales y conectores.</w:t>
      </w:r>
    </w:p>
    <w:p w14:paraId="77F90E40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Estas acciones se consideran mejoras de diagnóstico y mantenimiento, sin requerir rediseño de la arquitectura base.</w:t>
      </w:r>
    </w:p>
    <w:p w14:paraId="4EBC229D" w14:textId="1EE3F597" w:rsidR="00ED2E69" w:rsidRPr="00ED2E69" w:rsidRDefault="00ED2E69" w:rsidP="00ED2E69">
      <w:pPr>
        <w:pStyle w:val="Ttulo2"/>
      </w:pPr>
      <w:r w:rsidRPr="00ED2E69">
        <w:lastRenderedPageBreak/>
        <w:t>ESTADO DE PRUEBAS Y VALIDACIÓN</w:t>
      </w:r>
    </w:p>
    <w:p w14:paraId="2288C331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Se deja constancia de que:</w:t>
      </w:r>
    </w:p>
    <w:p w14:paraId="73B506B0" w14:textId="77777777" w:rsidR="00ED2E69" w:rsidRPr="00ED2E69" w:rsidRDefault="00ED2E69" w:rsidP="00ED2E69">
      <w:pPr>
        <w:numPr>
          <w:ilvl w:val="0"/>
          <w:numId w:val="21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las pruebas funcionales, ajustes y validaciones del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se encuentran actualmente en ejecución,</w:t>
      </w:r>
    </w:p>
    <w:p w14:paraId="02CE909E" w14:textId="77777777" w:rsidR="00ED2E69" w:rsidRPr="00ED2E69" w:rsidRDefault="00ED2E69" w:rsidP="00ED2E69">
      <w:pPr>
        <w:numPr>
          <w:ilvl w:val="0"/>
          <w:numId w:val="21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realizadas sobre hardware físico en China, en coordinación con el equipo técnico del proveedor,</w:t>
      </w:r>
    </w:p>
    <w:p w14:paraId="498EA87B" w14:textId="77777777" w:rsidR="00ED2E69" w:rsidRPr="00ED2E69" w:rsidRDefault="00ED2E69" w:rsidP="00ED2E69">
      <w:pPr>
        <w:numPr>
          <w:ilvl w:val="0"/>
          <w:numId w:val="21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incluyendo ensayos de funcionamiento, estabilidad y verificación de adquisición.</w:t>
      </w:r>
    </w:p>
    <w:p w14:paraId="00E2618A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Los resultados de estas pruebas servirán para cerrar los aspectos EMC y documentales señalados.</w:t>
      </w:r>
    </w:p>
    <w:p w14:paraId="1AD51191" w14:textId="37F2BCD7" w:rsidR="00ED2E69" w:rsidRPr="00ED2E69" w:rsidRDefault="00ED2E69" w:rsidP="00ED2E69">
      <w:pPr>
        <w:pStyle w:val="Ttulo2"/>
      </w:pPr>
      <w:r w:rsidRPr="00ED2E69">
        <w:t>CONCLUSIÓN</w:t>
      </w:r>
    </w:p>
    <w:p w14:paraId="7B0FA42D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El diseño del módulo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presenta una base electrónica sólida y coherente con el ítem 30, adecuada para medición de alta resolución.</w:t>
      </w:r>
    </w:p>
    <w:p w14:paraId="221A5942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Las observaciones incluidas en las Recomendaciones Técnicas EMC corresponden principalmente a:</w:t>
      </w:r>
    </w:p>
    <w:p w14:paraId="67DF016E" w14:textId="77777777" w:rsidR="00ED2E69" w:rsidRPr="00ED2E69" w:rsidRDefault="00ED2E69" w:rsidP="00ED2E69">
      <w:pPr>
        <w:numPr>
          <w:ilvl w:val="0"/>
          <w:numId w:val="22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robustez EMC adicional para entorno de campo,</w:t>
      </w:r>
    </w:p>
    <w:p w14:paraId="7146CB99" w14:textId="77777777" w:rsidR="00ED2E69" w:rsidRPr="00ED2E69" w:rsidRDefault="00ED2E69" w:rsidP="00ED2E69">
      <w:pPr>
        <w:numPr>
          <w:ilvl w:val="0"/>
          <w:numId w:val="22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definición documental del sistema completo,</w:t>
      </w:r>
    </w:p>
    <w:p w14:paraId="43FDA956" w14:textId="77777777" w:rsidR="00ED2E69" w:rsidRPr="00ED2E69" w:rsidRDefault="00ED2E69" w:rsidP="00ED2E69">
      <w:pPr>
        <w:numPr>
          <w:ilvl w:val="0"/>
          <w:numId w:val="22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mejoras de mantenibilidad y diagnóstico.</w:t>
      </w:r>
    </w:p>
    <w:p w14:paraId="755632B6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Estas observaciones no constituyen incumplimientos funcionales, ni requieren rediseño del hardware ya implementado, y serán cerradas mediante:</w:t>
      </w:r>
    </w:p>
    <w:p w14:paraId="06E47498" w14:textId="77777777" w:rsidR="00ED2E69" w:rsidRPr="00ED2E69" w:rsidRDefault="00ED2E69" w:rsidP="00ED2E69">
      <w:pPr>
        <w:numPr>
          <w:ilvl w:val="0"/>
          <w:numId w:val="23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documentación de integración,</w:t>
      </w:r>
    </w:p>
    <w:p w14:paraId="0559A418" w14:textId="77777777" w:rsidR="00ED2E69" w:rsidRPr="00ED2E69" w:rsidRDefault="00ED2E69" w:rsidP="00ED2E69">
      <w:pPr>
        <w:numPr>
          <w:ilvl w:val="0"/>
          <w:numId w:val="23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definición de conectividad industrial a nivel de contenedor,</w:t>
      </w:r>
    </w:p>
    <w:p w14:paraId="5AF8DB06" w14:textId="77777777" w:rsidR="00ED2E69" w:rsidRPr="00ED2E69" w:rsidRDefault="00ED2E69" w:rsidP="00ED2E69">
      <w:pPr>
        <w:numPr>
          <w:ilvl w:val="0"/>
          <w:numId w:val="23"/>
        </w:num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>y validación con hardware físico del sistema completo.</w:t>
      </w:r>
    </w:p>
    <w:p w14:paraId="17F758C3" w14:textId="77777777" w:rsidR="00ED2E69" w:rsidRPr="00ED2E69" w:rsidRDefault="00ED2E69" w:rsidP="00ED2E69">
      <w:pPr>
        <w:rPr>
          <w:rFonts w:ascii="Times New Roman" w:hAnsi="Times New Roman" w:cs="Times New Roman"/>
          <w:lang w:eastAsia="es-EC"/>
        </w:rPr>
      </w:pPr>
      <w:r w:rsidRPr="00ED2E69">
        <w:rPr>
          <w:rFonts w:ascii="Times New Roman" w:hAnsi="Times New Roman" w:cs="Times New Roman"/>
          <w:lang w:eastAsia="es-EC"/>
        </w:rPr>
        <w:t xml:space="preserve">En consecuencia, el módulo </w:t>
      </w:r>
      <w:proofErr w:type="spellStart"/>
      <w:r w:rsidRPr="00ED2E69">
        <w:rPr>
          <w:rFonts w:ascii="Times New Roman" w:hAnsi="Times New Roman" w:cs="Times New Roman"/>
          <w:lang w:eastAsia="es-EC"/>
        </w:rPr>
        <w:t>elongómetro</w:t>
      </w:r>
      <w:proofErr w:type="spellEnd"/>
      <w:r w:rsidRPr="00ED2E69">
        <w:rPr>
          <w:rFonts w:ascii="Times New Roman" w:hAnsi="Times New Roman" w:cs="Times New Roman"/>
          <w:lang w:eastAsia="es-EC"/>
        </w:rPr>
        <w:t xml:space="preserve"> se considera técnicamente conforme en su alcance contractual y apto para continuar con las fases de integración, pruebas y validación del sistema RSA.</w:t>
      </w:r>
    </w:p>
    <w:p w14:paraId="31EE903D" w14:textId="77777777" w:rsidR="00ED2E69" w:rsidRPr="00413752" w:rsidRDefault="00ED2E69" w:rsidP="00413752">
      <w:pPr>
        <w:rPr>
          <w:rFonts w:ascii="Times New Roman" w:hAnsi="Times New Roman" w:cs="Times New Roman"/>
          <w:lang w:eastAsia="es-EC"/>
        </w:rPr>
      </w:pPr>
    </w:p>
    <w:sectPr w:rsidR="00ED2E69" w:rsidRPr="00413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9BD"/>
    <w:multiLevelType w:val="multilevel"/>
    <w:tmpl w:val="8BD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F69"/>
    <w:multiLevelType w:val="multilevel"/>
    <w:tmpl w:val="071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194"/>
    <w:multiLevelType w:val="multilevel"/>
    <w:tmpl w:val="0E7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4F31"/>
    <w:multiLevelType w:val="multilevel"/>
    <w:tmpl w:val="C20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57BE"/>
    <w:multiLevelType w:val="hybridMultilevel"/>
    <w:tmpl w:val="5244555E"/>
    <w:lvl w:ilvl="0" w:tplc="790EADA0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B144A"/>
    <w:multiLevelType w:val="multilevel"/>
    <w:tmpl w:val="28CE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17600"/>
    <w:multiLevelType w:val="multilevel"/>
    <w:tmpl w:val="5706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799"/>
    <w:multiLevelType w:val="multilevel"/>
    <w:tmpl w:val="3ED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86851"/>
    <w:multiLevelType w:val="multilevel"/>
    <w:tmpl w:val="4C1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33A8E"/>
    <w:multiLevelType w:val="multilevel"/>
    <w:tmpl w:val="1B5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F1A81"/>
    <w:multiLevelType w:val="multilevel"/>
    <w:tmpl w:val="E2C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B5100"/>
    <w:multiLevelType w:val="multilevel"/>
    <w:tmpl w:val="884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D0CE8"/>
    <w:multiLevelType w:val="multilevel"/>
    <w:tmpl w:val="9B4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0AD7"/>
    <w:multiLevelType w:val="multilevel"/>
    <w:tmpl w:val="1B1E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E62D4"/>
    <w:multiLevelType w:val="multilevel"/>
    <w:tmpl w:val="6D32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A52BB"/>
    <w:multiLevelType w:val="multilevel"/>
    <w:tmpl w:val="091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8775E"/>
    <w:multiLevelType w:val="multilevel"/>
    <w:tmpl w:val="4F6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77C7F"/>
    <w:multiLevelType w:val="multilevel"/>
    <w:tmpl w:val="EBF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01364"/>
    <w:multiLevelType w:val="multilevel"/>
    <w:tmpl w:val="148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306A2"/>
    <w:multiLevelType w:val="multilevel"/>
    <w:tmpl w:val="44E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23113"/>
    <w:multiLevelType w:val="multilevel"/>
    <w:tmpl w:val="C53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1178F"/>
    <w:multiLevelType w:val="hybridMultilevel"/>
    <w:tmpl w:val="DDDCDD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534F4"/>
    <w:multiLevelType w:val="multilevel"/>
    <w:tmpl w:val="83C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E7119"/>
    <w:multiLevelType w:val="multilevel"/>
    <w:tmpl w:val="1AB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E1035"/>
    <w:multiLevelType w:val="multilevel"/>
    <w:tmpl w:val="CFC4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97542">
    <w:abstractNumId w:val="14"/>
  </w:num>
  <w:num w:numId="2" w16cid:durableId="1818187423">
    <w:abstractNumId w:val="11"/>
  </w:num>
  <w:num w:numId="3" w16cid:durableId="1997954724">
    <w:abstractNumId w:val="22"/>
  </w:num>
  <w:num w:numId="4" w16cid:durableId="1898466966">
    <w:abstractNumId w:val="0"/>
  </w:num>
  <w:num w:numId="5" w16cid:durableId="1754816490">
    <w:abstractNumId w:val="7"/>
  </w:num>
  <w:num w:numId="6" w16cid:durableId="1410689957">
    <w:abstractNumId w:val="20"/>
  </w:num>
  <w:num w:numId="7" w16cid:durableId="1999454172">
    <w:abstractNumId w:val="16"/>
  </w:num>
  <w:num w:numId="8" w16cid:durableId="883294487">
    <w:abstractNumId w:val="6"/>
  </w:num>
  <w:num w:numId="9" w16cid:durableId="650058399">
    <w:abstractNumId w:val="1"/>
  </w:num>
  <w:num w:numId="10" w16cid:durableId="1085230478">
    <w:abstractNumId w:val="2"/>
  </w:num>
  <w:num w:numId="11" w16cid:durableId="1103841033">
    <w:abstractNumId w:val="5"/>
  </w:num>
  <w:num w:numId="12" w16cid:durableId="1703167101">
    <w:abstractNumId w:val="8"/>
  </w:num>
  <w:num w:numId="13" w16cid:durableId="189144171">
    <w:abstractNumId w:val="9"/>
  </w:num>
  <w:num w:numId="14" w16cid:durableId="1442645484">
    <w:abstractNumId w:val="18"/>
  </w:num>
  <w:num w:numId="15" w16cid:durableId="1453094059">
    <w:abstractNumId w:val="15"/>
  </w:num>
  <w:num w:numId="16" w16cid:durableId="29232846">
    <w:abstractNumId w:val="3"/>
  </w:num>
  <w:num w:numId="17" w16cid:durableId="116149649">
    <w:abstractNumId w:val="12"/>
  </w:num>
  <w:num w:numId="18" w16cid:durableId="1076512464">
    <w:abstractNumId w:val="23"/>
  </w:num>
  <w:num w:numId="19" w16cid:durableId="908348738">
    <w:abstractNumId w:val="19"/>
  </w:num>
  <w:num w:numId="20" w16cid:durableId="235168575">
    <w:abstractNumId w:val="10"/>
  </w:num>
  <w:num w:numId="21" w16cid:durableId="1477601679">
    <w:abstractNumId w:val="13"/>
  </w:num>
  <w:num w:numId="22" w16cid:durableId="1651203784">
    <w:abstractNumId w:val="24"/>
  </w:num>
  <w:num w:numId="23" w16cid:durableId="889003371">
    <w:abstractNumId w:val="17"/>
  </w:num>
  <w:num w:numId="24" w16cid:durableId="901334977">
    <w:abstractNumId w:val="21"/>
  </w:num>
  <w:num w:numId="25" w16cid:durableId="440536367">
    <w:abstractNumId w:val="4"/>
  </w:num>
  <w:num w:numId="26" w16cid:durableId="1196188423">
    <w:abstractNumId w:val="4"/>
  </w:num>
  <w:num w:numId="27" w16cid:durableId="81488434">
    <w:abstractNumId w:val="4"/>
  </w:num>
  <w:num w:numId="28" w16cid:durableId="789009017">
    <w:abstractNumId w:val="4"/>
  </w:num>
  <w:num w:numId="29" w16cid:durableId="38432249">
    <w:abstractNumId w:val="4"/>
  </w:num>
  <w:num w:numId="30" w16cid:durableId="1849631910">
    <w:abstractNumId w:val="4"/>
  </w:num>
  <w:num w:numId="31" w16cid:durableId="2044750287">
    <w:abstractNumId w:val="4"/>
  </w:num>
  <w:num w:numId="32" w16cid:durableId="635838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58"/>
    <w:rsid w:val="000447D4"/>
    <w:rsid w:val="003066E6"/>
    <w:rsid w:val="003E3095"/>
    <w:rsid w:val="00413752"/>
    <w:rsid w:val="00714674"/>
    <w:rsid w:val="007D0958"/>
    <w:rsid w:val="009B042A"/>
    <w:rsid w:val="00AC08BC"/>
    <w:rsid w:val="00CB69FD"/>
    <w:rsid w:val="00D66DE6"/>
    <w:rsid w:val="00E54F9B"/>
    <w:rsid w:val="00ED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A031C"/>
  <w15:chartTrackingRefBased/>
  <w15:docId w15:val="{0EEB17F6-3D92-4891-BFB5-DEA38107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0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ED2E69"/>
    <w:pPr>
      <w:numPr>
        <w:numId w:val="25"/>
      </w:numPr>
      <w:ind w:left="0" w:hanging="11"/>
      <w:outlineLvl w:val="1"/>
    </w:pPr>
    <w:rPr>
      <w:rFonts w:ascii="Times New Roman" w:hAnsi="Times New Roman" w:cs="Times New Roman"/>
      <w:b/>
      <w:bCs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7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8BC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AC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D2E69"/>
    <w:rPr>
      <w:rFonts w:ascii="Times New Roman" w:hAnsi="Times New Roman" w:cs="Times New Roman"/>
      <w:b/>
      <w:bCs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7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ED2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1010</Words>
  <Characters>5914</Characters>
  <Application>Microsoft Office Word</Application>
  <DocSecurity>0</DocSecurity>
  <Lines>113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ALEX DAVID CUICHAN USHIÑA</cp:lastModifiedBy>
  <cp:revision>3</cp:revision>
  <dcterms:created xsi:type="dcterms:W3CDTF">2026-01-07T16:12:00Z</dcterms:created>
  <dcterms:modified xsi:type="dcterms:W3CDTF">2026-01-07T16:20:00Z</dcterms:modified>
</cp:coreProperties>
</file>