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665" w:rsidRPr="00DA5665" w:rsidRDefault="00DA5665" w:rsidP="00DA5665">
      <w:pPr>
        <w:pStyle w:val="NormalWeb"/>
        <w:jc w:val="both"/>
        <w:rPr>
          <w:b/>
          <w:sz w:val="28"/>
          <w:szCs w:val="28"/>
        </w:rPr>
      </w:pPr>
      <w:r w:rsidRPr="00DA5665">
        <w:rPr>
          <w:b/>
          <w:sz w:val="28"/>
          <w:szCs w:val="28"/>
        </w:rPr>
        <w:t>NOTA TÉCNICA</w:t>
      </w:r>
    </w:p>
    <w:p w:rsidR="00DA5665" w:rsidRDefault="00DA5665" w:rsidP="00DA5665">
      <w:pPr>
        <w:pStyle w:val="NormalWeb"/>
        <w:jc w:val="both"/>
      </w:pPr>
      <w:r w:rsidRPr="00DA5665">
        <w:rPr>
          <w:b/>
        </w:rPr>
        <w:t>Proyecto:</w:t>
      </w:r>
      <w:r>
        <w:t xml:space="preserve"> Módulo Acelerógrafo – ADXL355Z, </w:t>
      </w:r>
      <w:proofErr w:type="spellStart"/>
      <w:r>
        <w:t>dsPIC</w:t>
      </w:r>
      <w:proofErr w:type="spellEnd"/>
      <w:r>
        <w:t xml:space="preserve"> y cabecera Raspberry Pi</w:t>
      </w:r>
    </w:p>
    <w:p w:rsidR="00DA5665" w:rsidRDefault="00DA5665" w:rsidP="00DA5665">
      <w:pPr>
        <w:pStyle w:val="NormalWeb"/>
        <w:jc w:val="both"/>
      </w:pPr>
      <w:r w:rsidRPr="00DA5665">
        <w:rPr>
          <w:b/>
        </w:rPr>
        <w:t>Objeto:</w:t>
      </w:r>
      <w:r>
        <w:t xml:space="preserve"> Evaluación técnica–contractual del diseño electrónico (esquemático y PCB)</w:t>
      </w:r>
    </w:p>
    <w:p w:rsidR="00DA5665" w:rsidRDefault="00DA5665" w:rsidP="00DA5665">
      <w:pPr>
        <w:pStyle w:val="NormalWeb"/>
        <w:jc w:val="both"/>
      </w:pPr>
      <w:r>
        <w:t>Versión 2</w:t>
      </w:r>
    </w:p>
    <w:p w:rsidR="00DA5665" w:rsidRDefault="00DA5665" w:rsidP="00DA5665">
      <w:pPr>
        <w:pStyle w:val="NormalWeb"/>
        <w:jc w:val="both"/>
      </w:pPr>
      <w:r w:rsidRPr="00DA5665">
        <w:rPr>
          <w:b/>
        </w:rPr>
        <w:t>Fecha:</w:t>
      </w:r>
      <w:r>
        <w:t xml:space="preserve"> 0</w:t>
      </w:r>
      <w:r>
        <w:t>2</w:t>
      </w:r>
      <w:r>
        <w:t>/01/2026</w:t>
      </w:r>
    </w:p>
    <w:p w:rsidR="00DA5665" w:rsidRDefault="00DA5665" w:rsidP="00DA5665">
      <w:pPr>
        <w:pStyle w:val="NormalWeb"/>
        <w:jc w:val="both"/>
      </w:pPr>
      <w:r w:rsidRPr="00DA5665">
        <w:rPr>
          <w:b/>
        </w:rPr>
        <w:t>Antecedentes</w:t>
      </w:r>
      <w:r w:rsidRPr="00DA5665">
        <w:rPr>
          <w:b/>
        </w:rPr>
        <w:br/>
      </w:r>
      <w:r>
        <w:t xml:space="preserve">En el marco del contrato vigente se efectuó una revisión técnica del diseño electrónico del módulo acelerógrafo. Tras una primera revisión y observaciones emitidas, se recibió una segunda versión del esquemático y del PCB (archivos </w:t>
      </w:r>
      <w:proofErr w:type="spellStart"/>
      <w:r>
        <w:t>KiCad</w:t>
      </w:r>
      <w:proofErr w:type="spellEnd"/>
      <w:r>
        <w:t>) para evaluación.</w:t>
      </w:r>
    </w:p>
    <w:p w:rsidR="00DA5665" w:rsidRDefault="00DA5665" w:rsidP="00DA5665">
      <w:pPr>
        <w:pStyle w:val="NormalWeb"/>
        <w:jc w:val="both"/>
      </w:pPr>
      <w:r>
        <w:t>Durante el desarrollo del proyecto, la contraparte técnica emitió un documento aclaratorio indicando la posibilidad de implementar ciertas funciones mediante módulos externos. Dicho documento tuvo carácter orientativo y no constituyó una modificación contractual ni una aceptación formal de cambio de alcance, quedando supeditado a la entrega efectiva, documentada y funcional de cualquier módulo propuesto.</w:t>
      </w:r>
    </w:p>
    <w:p w:rsidR="00DA5665" w:rsidRPr="00DA5665" w:rsidRDefault="00DA5665" w:rsidP="00DA5665">
      <w:pPr>
        <w:pStyle w:val="NormalWeb"/>
        <w:jc w:val="both"/>
        <w:rPr>
          <w:b/>
        </w:rPr>
      </w:pPr>
      <w:r w:rsidRPr="00DA5665">
        <w:rPr>
          <w:b/>
        </w:rPr>
        <w:t>Alcance de la revisión</w:t>
      </w:r>
    </w:p>
    <w:p w:rsidR="00DA5665" w:rsidRDefault="00DA5665" w:rsidP="00DA5665">
      <w:pPr>
        <w:pStyle w:val="NormalWeb"/>
        <w:jc w:val="both"/>
      </w:pPr>
      <w:r>
        <w:t>La presente Nota Técnica evalúa la versión 2 del esquemático y PCB en función de:</w:t>
      </w:r>
    </w:p>
    <w:p w:rsidR="00DA5665" w:rsidRDefault="00DA5665" w:rsidP="00DA5665">
      <w:pPr>
        <w:pStyle w:val="NormalWeb"/>
        <w:numPr>
          <w:ilvl w:val="0"/>
          <w:numId w:val="9"/>
        </w:numPr>
        <w:jc w:val="both"/>
      </w:pPr>
      <w:r>
        <w:t>cierre eléctrico y conectividad del diseño;</w:t>
      </w:r>
    </w:p>
    <w:p w:rsidR="00DA5665" w:rsidRDefault="00DA5665" w:rsidP="00DA5665">
      <w:pPr>
        <w:pStyle w:val="NormalWeb"/>
        <w:numPr>
          <w:ilvl w:val="0"/>
          <w:numId w:val="9"/>
        </w:numPr>
        <w:jc w:val="both"/>
      </w:pPr>
      <w:r>
        <w:t>cumplimiento de Especificaciones Técnicas Generales y Especificaciones Particulares del ítem (ítem 23 del anexo);</w:t>
      </w:r>
    </w:p>
    <w:p w:rsidR="00DA5665" w:rsidRDefault="00DA5665" w:rsidP="00DA5665">
      <w:pPr>
        <w:pStyle w:val="NormalWeb"/>
        <w:numPr>
          <w:ilvl w:val="0"/>
          <w:numId w:val="9"/>
        </w:numPr>
        <w:jc w:val="both"/>
      </w:pPr>
      <w:r>
        <w:t>consistencia documental mínima para liberación a fabricación.</w:t>
      </w:r>
    </w:p>
    <w:p w:rsidR="00DA5665" w:rsidRPr="00DA5665" w:rsidRDefault="00DA5665" w:rsidP="00DA5665">
      <w:pPr>
        <w:pStyle w:val="NormalWeb"/>
        <w:jc w:val="both"/>
        <w:rPr>
          <w:b/>
        </w:rPr>
      </w:pPr>
      <w:r w:rsidRPr="00DA5665">
        <w:rPr>
          <w:b/>
        </w:rPr>
        <w:t>Verificación de conectividad</w:t>
      </w:r>
    </w:p>
    <w:p w:rsidR="00DA5665" w:rsidRDefault="00DA5665" w:rsidP="00DA5665">
      <w:pPr>
        <w:pStyle w:val="NormalWeb"/>
        <w:jc w:val="both"/>
      </w:pPr>
      <w:r>
        <w:t xml:space="preserve">La verificación mediante DRC en </w:t>
      </w:r>
      <w:proofErr w:type="spellStart"/>
      <w:r>
        <w:t>KiCad</w:t>
      </w:r>
      <w:proofErr w:type="spellEnd"/>
      <w:r>
        <w:t xml:space="preserve"> no evidencia elementos no conectados. No se identifican </w:t>
      </w:r>
      <w:proofErr w:type="gramStart"/>
      <w:r>
        <w:t>nets no ruteadas</w:t>
      </w:r>
      <w:proofErr w:type="gramEnd"/>
      <w:r>
        <w:t xml:space="preserve"> ni conexiones pendientes. Las </w:t>
      </w:r>
      <w:proofErr w:type="gramStart"/>
      <w:r>
        <w:t>nets etiquetadas</w:t>
      </w:r>
      <w:proofErr w:type="gramEnd"/>
      <w:r>
        <w:t xml:space="preserve"> como </w:t>
      </w:r>
      <w:proofErr w:type="spellStart"/>
      <w:r>
        <w:t>unconnected</w:t>
      </w:r>
      <w:proofErr w:type="spellEnd"/>
      <w:r>
        <w:t>-(...) corresponden a pines declarados como no utilizados y no representan un defecto de ruteo; no obstante, deben quedar documentadas como NC/no poblado para evitar interpretaciones en revisiones futuras.</w:t>
      </w:r>
    </w:p>
    <w:p w:rsidR="00DA5665" w:rsidRPr="00DA5665" w:rsidRDefault="00DA5665" w:rsidP="00DA5665">
      <w:pPr>
        <w:pStyle w:val="NormalWeb"/>
        <w:jc w:val="both"/>
        <w:rPr>
          <w:b/>
        </w:rPr>
      </w:pPr>
      <w:r w:rsidRPr="00DA5665">
        <w:rPr>
          <w:b/>
        </w:rPr>
        <w:t>Verific</w:t>
      </w:r>
      <w:bookmarkStart w:id="0" w:name="_GoBack"/>
      <w:bookmarkEnd w:id="0"/>
      <w:r w:rsidRPr="00DA5665">
        <w:rPr>
          <w:b/>
        </w:rPr>
        <w:t>ación contra Especificaciones Técnicas (ítem 23)</w:t>
      </w:r>
    </w:p>
    <w:p w:rsidR="00DA5665" w:rsidRDefault="00DA5665" w:rsidP="00DA5665">
      <w:pPr>
        <w:pStyle w:val="NormalWeb"/>
        <w:jc w:val="both"/>
      </w:pPr>
      <w:r>
        <w:t xml:space="preserve">Del contraste directo entre las especificaciones y lo evidenciado en los archivos </w:t>
      </w:r>
      <w:proofErr w:type="spellStart"/>
      <w:r>
        <w:t>KiCad</w:t>
      </w:r>
      <w:proofErr w:type="spellEnd"/>
      <w:r>
        <w:t>, se concluye:</w:t>
      </w:r>
    </w:p>
    <w:p w:rsidR="00DA5665" w:rsidRDefault="00DA5665" w:rsidP="00DA5665">
      <w:pPr>
        <w:pStyle w:val="NormalWeb"/>
        <w:numPr>
          <w:ilvl w:val="0"/>
          <w:numId w:val="5"/>
        </w:numPr>
        <w:jc w:val="both"/>
      </w:pPr>
      <w:r>
        <w:t xml:space="preserve">Telemetría de operación integrada en el PCBA (requisito irrenunciable): no evidenciada. No se identifican sensores ni bloques de medición/arquitectura eléctrica que permitan implementar las variables exigidas (temperatura interna de contenedor, </w:t>
      </w:r>
      <w:r>
        <w:lastRenderedPageBreak/>
        <w:t>temperatura de batería, humedad, presión barométrica, monitoreo de tensiones 12 V, 5 V y 3.3 V, tensión de batería, porcentaje/estado de batería, tiempo estimado de duración, contador de ciclos y fuente de sincronización).</w:t>
      </w:r>
    </w:p>
    <w:p w:rsidR="00DA5665" w:rsidRDefault="00DA5665" w:rsidP="00DA5665">
      <w:pPr>
        <w:pStyle w:val="NormalWeb"/>
        <w:numPr>
          <w:ilvl w:val="0"/>
          <w:numId w:val="5"/>
        </w:numPr>
        <w:jc w:val="both"/>
      </w:pPr>
      <w:r>
        <w:t>Interfaces de comunicación RS485/MODBUS (requisito irrenunciable: dos interfaces): no evidenciadas. No se identifican transceptores RS485, redes diferenciales A/B, terminación (por ejemplo 120 ohm), polarización (</w:t>
      </w:r>
      <w:proofErr w:type="spellStart"/>
      <w:r>
        <w:t>bias</w:t>
      </w:r>
      <w:proofErr w:type="spellEnd"/>
      <w:r>
        <w:t>) ni conectores dedicados asociados a dichas interfaces.</w:t>
      </w:r>
    </w:p>
    <w:p w:rsidR="00DA5665" w:rsidRDefault="00DA5665" w:rsidP="00DA5665">
      <w:pPr>
        <w:pStyle w:val="NormalWeb"/>
        <w:numPr>
          <w:ilvl w:val="0"/>
          <w:numId w:val="5"/>
        </w:numPr>
        <w:jc w:val="both"/>
      </w:pPr>
      <w:r>
        <w:t xml:space="preserve">Puntos de prueba (Test </w:t>
      </w:r>
      <w:proofErr w:type="spellStart"/>
      <w:r>
        <w:t>Points</w:t>
      </w:r>
      <w:proofErr w:type="spellEnd"/>
      <w:r>
        <w:t xml:space="preserve">) para verificación del PCBA: parcialmente evidenciados. Se observan </w:t>
      </w:r>
      <w:proofErr w:type="spellStart"/>
      <w:r>
        <w:t>pads</w:t>
      </w:r>
      <w:proofErr w:type="spellEnd"/>
      <w:r>
        <w:t xml:space="preserve"> tipo </w:t>
      </w:r>
      <w:proofErr w:type="spellStart"/>
      <w:r>
        <w:t>TestPoint</w:t>
      </w:r>
      <w:proofErr w:type="spellEnd"/>
      <w:r>
        <w:t>, pero no se evidencia un conjunto completo, identificado y suficiente para rieles y señales críticas exigibles en verificación (12 V, 5 V, 3.3 V, batería, GND, sincronización, comunicaciones).</w:t>
      </w:r>
    </w:p>
    <w:p w:rsidR="00DA5665" w:rsidRDefault="00DA5665" w:rsidP="00DA5665">
      <w:pPr>
        <w:pStyle w:val="NormalWeb"/>
        <w:numPr>
          <w:ilvl w:val="0"/>
          <w:numId w:val="5"/>
        </w:numPr>
        <w:jc w:val="both"/>
      </w:pPr>
      <w:r>
        <w:t>Conectividad mediante conectores M8/M12: estos conectores corresponden al conjunto chasis–arnés–equipo y no forman parte del PCBA en esta versión. En consecuencia, su implementación no es evaluable en el PCB; sin embargo, se requiere evidencia documental del diseño del conjunto chasis–arnés–PCBA para demostrar el cumplimiento del requisito de conectividad sin ambigüedad establecido en las especificaciones.</w:t>
      </w:r>
    </w:p>
    <w:p w:rsidR="00DA5665" w:rsidRDefault="00DA5665" w:rsidP="00DA5665">
      <w:pPr>
        <w:pStyle w:val="NormalWeb"/>
        <w:numPr>
          <w:ilvl w:val="0"/>
          <w:numId w:val="5"/>
        </w:numPr>
        <w:jc w:val="both"/>
      </w:pPr>
      <w:r>
        <w:t>Protección ESD/transitorios en puertos y conectores del PCBA: no evidenciada de forma sistemática. Si bien existen protecciones TVS en el riel de 12 V, no se evidencia, para todas las interfaces del PCBA, una estrategia completa y documentada de protección ESD/transitorios ni su correcta materialización por conector.</w:t>
      </w:r>
    </w:p>
    <w:p w:rsidR="00DA5665" w:rsidRDefault="00DA5665" w:rsidP="00DA5665">
      <w:pPr>
        <w:pStyle w:val="NormalWeb"/>
        <w:numPr>
          <w:ilvl w:val="0"/>
          <w:numId w:val="5"/>
        </w:numPr>
        <w:jc w:val="both"/>
      </w:pPr>
      <w:r>
        <w:t xml:space="preserve">Requisitos de desempeño (sincronización GPS/RTC, 100 </w:t>
      </w:r>
      <w:proofErr w:type="spellStart"/>
      <w:r>
        <w:t>sps</w:t>
      </w:r>
      <w:proofErr w:type="spellEnd"/>
      <w:r>
        <w:t>, desfase &lt; 1 ms, sin pérdida de datos): no verificables mediante revisión documental de PCB/esquemático. Requieren evidencia de arquitectura completa (hardware y firmware) y resultados de pruebas en prototipos reales.</w:t>
      </w:r>
    </w:p>
    <w:p w:rsidR="00DA5665" w:rsidRPr="00DA5665" w:rsidRDefault="00DA5665" w:rsidP="00DA5665">
      <w:pPr>
        <w:pStyle w:val="NormalWeb"/>
        <w:jc w:val="both"/>
        <w:rPr>
          <w:b/>
        </w:rPr>
      </w:pPr>
      <w:r w:rsidRPr="00DA5665">
        <w:rPr>
          <w:b/>
        </w:rPr>
        <w:t>Conclusión técnica</w:t>
      </w:r>
    </w:p>
    <w:p w:rsidR="00DA5665" w:rsidRDefault="00DA5665" w:rsidP="00DA5665">
      <w:pPr>
        <w:pStyle w:val="NormalWeb"/>
        <w:jc w:val="both"/>
      </w:pPr>
      <w:r>
        <w:t>La versión 2 del diseño presenta cierre correcto de conectividad (DRC conforme). Sin embargo, se evidencian incumplimientos y/o faltantes explícitos frente a requisitos irrenunciables de las especificaciones del ítem, particularmente:</w:t>
      </w:r>
    </w:p>
    <w:p w:rsidR="00DA5665" w:rsidRDefault="00DA5665" w:rsidP="00DA5665">
      <w:pPr>
        <w:pStyle w:val="NormalWeb"/>
        <w:numPr>
          <w:ilvl w:val="0"/>
          <w:numId w:val="7"/>
        </w:numPr>
        <w:jc w:val="both"/>
      </w:pPr>
      <w:r>
        <w:t>telemetría de operación integrada en el PCBA no implementada;</w:t>
      </w:r>
    </w:p>
    <w:p w:rsidR="00DA5665" w:rsidRDefault="00DA5665" w:rsidP="00DA5665">
      <w:pPr>
        <w:pStyle w:val="NormalWeb"/>
        <w:numPr>
          <w:ilvl w:val="0"/>
          <w:numId w:val="7"/>
        </w:numPr>
        <w:jc w:val="both"/>
      </w:pPr>
      <w:r>
        <w:t>dos interfaces RS485/MODBUS no implementadas;</w:t>
      </w:r>
    </w:p>
    <w:p w:rsidR="00DA5665" w:rsidRDefault="00DA5665" w:rsidP="00DA5665">
      <w:pPr>
        <w:pStyle w:val="NormalWeb"/>
        <w:numPr>
          <w:ilvl w:val="0"/>
          <w:numId w:val="7"/>
        </w:numPr>
        <w:jc w:val="both"/>
      </w:pPr>
      <w:r>
        <w:t>puntos de prueba no evidenciados como conjunto completo e identificado;</w:t>
      </w:r>
    </w:p>
    <w:p w:rsidR="00DA5665" w:rsidRDefault="00DA5665" w:rsidP="00DA5665">
      <w:pPr>
        <w:pStyle w:val="NormalWeb"/>
        <w:numPr>
          <w:ilvl w:val="0"/>
          <w:numId w:val="7"/>
        </w:numPr>
        <w:jc w:val="both"/>
      </w:pPr>
      <w:r>
        <w:t>protección ESD/transitorios no documentada de forma integral por interfaz;</w:t>
      </w:r>
    </w:p>
    <w:p w:rsidR="00DA5665" w:rsidRDefault="00DA5665" w:rsidP="00DA5665">
      <w:pPr>
        <w:pStyle w:val="NormalWeb"/>
        <w:numPr>
          <w:ilvl w:val="0"/>
          <w:numId w:val="7"/>
        </w:numPr>
        <w:jc w:val="both"/>
      </w:pPr>
      <w:r>
        <w:t>ausencia de evidencia documental del diseño del conjunto chasis–arnés–PCBA para los conectores M8/M12 exigidos.</w:t>
      </w:r>
    </w:p>
    <w:p w:rsidR="00DA5665" w:rsidRDefault="00DA5665" w:rsidP="00DA5665">
      <w:pPr>
        <w:pStyle w:val="NormalWeb"/>
        <w:jc w:val="both"/>
      </w:pPr>
      <w:r w:rsidRPr="00DA5665">
        <w:rPr>
          <w:b/>
        </w:rPr>
        <w:t>Cierre</w:t>
      </w:r>
      <w:r w:rsidRPr="00DA5665">
        <w:rPr>
          <w:b/>
        </w:rPr>
        <w:br/>
      </w:r>
      <w:r>
        <w:t>En función de lo expuesto, el diseño revisado no se considera apto para liberación, fabricación ni aceptación contractual en su estado actual. Los requisitos señalados deben ser implementados o, en su defecto, cualquier alternativa debe formalizarse contractualmente y evidenciarse con documentación técnica completa y pruebas en hardware real.</w:t>
      </w:r>
    </w:p>
    <w:p w:rsidR="00DA5665" w:rsidRDefault="00DA5665" w:rsidP="00DA5665">
      <w:pPr>
        <w:pStyle w:val="NormalWeb"/>
        <w:jc w:val="both"/>
      </w:pPr>
      <w:r>
        <w:lastRenderedPageBreak/>
        <w:t>La presente Nota Técnica se emite como respaldo técnico–contractual y se da por cerrada para la versión del diseño analizada.</w:t>
      </w:r>
    </w:p>
    <w:p w:rsidR="00DA5665" w:rsidRDefault="00DA5665" w:rsidP="00DA5665">
      <w:pPr>
        <w:pStyle w:val="FirstParagraph"/>
        <w:jc w:val="both"/>
        <w:rPr>
          <w:b/>
          <w:sz w:val="28"/>
          <w:szCs w:val="28"/>
          <w:lang w:val="es-EC"/>
        </w:rPr>
      </w:pPr>
    </w:p>
    <w:sectPr w:rsidR="00DA566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BED221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056928"/>
    <w:multiLevelType w:val="hybridMultilevel"/>
    <w:tmpl w:val="C39CBB3E"/>
    <w:lvl w:ilvl="0" w:tplc="DAB4C2D6">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DE50B54"/>
    <w:multiLevelType w:val="hybridMultilevel"/>
    <w:tmpl w:val="FEF80CB8"/>
    <w:lvl w:ilvl="0" w:tplc="DAB4C2D6">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15C0106"/>
    <w:multiLevelType w:val="hybridMultilevel"/>
    <w:tmpl w:val="07C67136"/>
    <w:lvl w:ilvl="0" w:tplc="1346A59C">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A397860"/>
    <w:multiLevelType w:val="hybridMultilevel"/>
    <w:tmpl w:val="B6FC4F2E"/>
    <w:lvl w:ilvl="0" w:tplc="DAB4C2D6">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26A1FF2"/>
    <w:multiLevelType w:val="hybridMultilevel"/>
    <w:tmpl w:val="5DAAC178"/>
    <w:lvl w:ilvl="0" w:tplc="BB78926A">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3BA3B71"/>
    <w:multiLevelType w:val="multilevel"/>
    <w:tmpl w:val="27346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A470F5"/>
    <w:multiLevelType w:val="hybridMultilevel"/>
    <w:tmpl w:val="5AC81A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25F789B"/>
    <w:multiLevelType w:val="hybridMultilevel"/>
    <w:tmpl w:val="3DD8E494"/>
    <w:lvl w:ilvl="0" w:tplc="1346A59C">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3"/>
  </w:num>
  <w:num w:numId="4">
    <w:abstractNumId w:val="5"/>
  </w:num>
  <w:num w:numId="5">
    <w:abstractNumId w:val="6"/>
  </w:num>
  <w:num w:numId="6">
    <w:abstractNumId w:val="7"/>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DC"/>
    <w:rsid w:val="00503558"/>
    <w:rsid w:val="008F42F1"/>
    <w:rsid w:val="00944EDC"/>
    <w:rsid w:val="00D861D9"/>
    <w:rsid w:val="00DA5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D503"/>
  <w15:docId w15:val="{F711401B-F343-42E9-A707-8AA1DC283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DA5665"/>
    <w:pPr>
      <w:spacing w:before="100" w:beforeAutospacing="1" w:after="100" w:afterAutospacing="1"/>
    </w:pPr>
    <w:rPr>
      <w:rFonts w:ascii="Times New Roman" w:eastAsia="Times New Roman" w:hAnsi="Times New Roman" w:cs="Times New Roman"/>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692345">
      <w:bodyDiv w:val="1"/>
      <w:marLeft w:val="0"/>
      <w:marRight w:val="0"/>
      <w:marTop w:val="0"/>
      <w:marBottom w:val="0"/>
      <w:divBdr>
        <w:top w:val="none" w:sz="0" w:space="0" w:color="auto"/>
        <w:left w:val="none" w:sz="0" w:space="0" w:color="auto"/>
        <w:bottom w:val="none" w:sz="0" w:space="0" w:color="auto"/>
        <w:right w:val="none" w:sz="0" w:space="0" w:color="auto"/>
      </w:divBdr>
    </w:div>
    <w:div w:id="1482502259">
      <w:bodyDiv w:val="1"/>
      <w:marLeft w:val="0"/>
      <w:marRight w:val="0"/>
      <w:marTop w:val="0"/>
      <w:marBottom w:val="0"/>
      <w:divBdr>
        <w:top w:val="none" w:sz="0" w:space="0" w:color="auto"/>
        <w:left w:val="none" w:sz="0" w:space="0" w:color="auto"/>
        <w:bottom w:val="none" w:sz="0" w:space="0" w:color="auto"/>
        <w:right w:val="none" w:sz="0" w:space="0" w:color="auto"/>
      </w:divBdr>
    </w:div>
    <w:div w:id="16776578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757</Words>
  <Characters>4164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Remigio Guevara</dc:creator>
  <cp:keywords/>
  <cp:lastModifiedBy>Administrador</cp:lastModifiedBy>
  <cp:revision>7</cp:revision>
  <dcterms:created xsi:type="dcterms:W3CDTF">2025-12-31T17:40:00Z</dcterms:created>
  <dcterms:modified xsi:type="dcterms:W3CDTF">2026-01-02T15:18:00Z</dcterms:modified>
</cp:coreProperties>
</file>