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C3D" w:rsidRPr="003D1C3D" w:rsidRDefault="003D1C3D" w:rsidP="003D1C3D">
      <w:pPr>
        <w:pStyle w:val="NormalWeb"/>
        <w:jc w:val="both"/>
        <w:rPr>
          <w:b/>
          <w:sz w:val="28"/>
          <w:szCs w:val="28"/>
        </w:rPr>
      </w:pPr>
      <w:r w:rsidRPr="003D1C3D">
        <w:rPr>
          <w:b/>
          <w:sz w:val="28"/>
          <w:szCs w:val="28"/>
        </w:rPr>
        <w:t>Recomendaciones Técnicas EMC</w:t>
      </w:r>
    </w:p>
    <w:p w:rsidR="003D1C3D" w:rsidRDefault="003D1C3D" w:rsidP="003D1C3D">
      <w:pPr>
        <w:pStyle w:val="NormalWeb"/>
        <w:jc w:val="both"/>
      </w:pPr>
      <w:r w:rsidRPr="003D1C3D">
        <w:rPr>
          <w:b/>
        </w:rPr>
        <w:t>Proyecto:</w:t>
      </w:r>
      <w:r>
        <w:t xml:space="preserve"> Módulo Piezómetro</w:t>
      </w:r>
    </w:p>
    <w:p w:rsidR="003D1C3D" w:rsidRDefault="003D1C3D" w:rsidP="003D1C3D">
      <w:pPr>
        <w:pStyle w:val="NormalWeb"/>
        <w:jc w:val="both"/>
      </w:pPr>
      <w:r w:rsidRPr="003D1C3D">
        <w:rPr>
          <w:b/>
        </w:rPr>
        <w:t>Fecha:</w:t>
      </w:r>
      <w:r>
        <w:t xml:space="preserve"> 03/01/2026</w:t>
      </w:r>
    </w:p>
    <w:p w:rsidR="009C5AE2" w:rsidRDefault="003D1C3D" w:rsidP="003D1C3D">
      <w:pPr>
        <w:pStyle w:val="NormalWeb"/>
        <w:jc w:val="both"/>
        <w:rPr>
          <w:b/>
        </w:rPr>
      </w:pPr>
      <w:r w:rsidRPr="003D1C3D">
        <w:rPr>
          <w:b/>
        </w:rPr>
        <w:t>Alcance</w:t>
      </w:r>
      <w:r w:rsidR="009C5AE2">
        <w:rPr>
          <w:b/>
        </w:rPr>
        <w:t>.</w:t>
      </w:r>
    </w:p>
    <w:p w:rsidR="009C5AE2" w:rsidRDefault="003D1C3D" w:rsidP="003D1C3D">
      <w:pPr>
        <w:pStyle w:val="NormalWeb"/>
        <w:jc w:val="both"/>
      </w:pPr>
      <w:r>
        <w:t xml:space="preserve"> </w:t>
      </w:r>
      <w:r w:rsidR="009C5AE2" w:rsidRPr="009C5AE2">
        <w:t>El presente documento recoge recomendaciones técnicas de compatibilidad electromagnética (EMC) asociadas al diseño electrónico del colimador fijo (</w:t>
      </w:r>
      <w:r w:rsidR="009C5AE2">
        <w:t xml:space="preserve">ítem 66 y </w:t>
      </w:r>
      <w:proofErr w:type="spellStart"/>
      <w:r w:rsidR="009C5AE2">
        <w:t>subítem</w:t>
      </w:r>
      <w:proofErr w:type="spellEnd"/>
      <w:r w:rsidR="009C5AE2">
        <w:t xml:space="preserve"> 31</w:t>
      </w:r>
      <w:r w:rsidR="009C5AE2" w:rsidRPr="009C5AE2">
        <w:t>), a partir de:</w:t>
      </w:r>
    </w:p>
    <w:p w:rsidR="009C5AE2" w:rsidRDefault="003D1C3D" w:rsidP="009C5AE2">
      <w:pPr>
        <w:pStyle w:val="NormalWeb"/>
        <w:numPr>
          <w:ilvl w:val="0"/>
          <w:numId w:val="25"/>
        </w:numPr>
        <w:jc w:val="both"/>
      </w:pPr>
      <w:r>
        <w:t xml:space="preserve">Revisión del esquemático y PCB </w:t>
      </w:r>
      <w:proofErr w:type="spellStart"/>
      <w:r>
        <w:t>KiCad</w:t>
      </w:r>
      <w:proofErr w:type="spellEnd"/>
      <w:r>
        <w:t xml:space="preserve"> (versión 2) del módulo Piezómetro, </w:t>
      </w:r>
    </w:p>
    <w:p w:rsidR="009C5AE2" w:rsidRDefault="003D1C3D" w:rsidP="009C5AE2">
      <w:pPr>
        <w:pStyle w:val="NormalWeb"/>
        <w:numPr>
          <w:ilvl w:val="0"/>
          <w:numId w:val="25"/>
        </w:numPr>
        <w:jc w:val="both"/>
      </w:pPr>
      <w:r>
        <w:t xml:space="preserve">verificación de cumplimiento de Recomendaciones Técnicas EMC v1 y </w:t>
      </w:r>
    </w:p>
    <w:p w:rsidR="003D1C3D" w:rsidRDefault="003D1C3D" w:rsidP="009C5AE2">
      <w:pPr>
        <w:pStyle w:val="NormalWeb"/>
        <w:numPr>
          <w:ilvl w:val="0"/>
          <w:numId w:val="25"/>
        </w:numPr>
        <w:jc w:val="both"/>
      </w:pPr>
      <w:r>
        <w:t xml:space="preserve">contraste con Especificaciones Técnicas Particulares (ítem 66 y </w:t>
      </w:r>
      <w:proofErr w:type="spellStart"/>
      <w:r>
        <w:t>subítem</w:t>
      </w:r>
      <w:proofErr w:type="spellEnd"/>
      <w:r>
        <w:t xml:space="preserve"> 31).</w:t>
      </w:r>
    </w:p>
    <w:p w:rsidR="009C5AE2" w:rsidRDefault="009C5AE2" w:rsidP="009C5AE2">
      <w:pPr>
        <w:pStyle w:val="NormalWeb"/>
        <w:jc w:val="both"/>
      </w:pPr>
      <w:r w:rsidRPr="009C5AE2">
        <w:t>Se deja constancia expresa de que este documento no constituye aprobación del diseño ni validación funcional ni de compatibilidad electromagnética (EMC), dado que no se han realizado pruebas con tarjetas físicas, ensayos de laboratorio, pruebas ambientales ni validaciones de hardware o software.</w:t>
      </w:r>
    </w:p>
    <w:p w:rsidR="009C5AE2" w:rsidRDefault="003D1C3D" w:rsidP="003D1C3D">
      <w:pPr>
        <w:pStyle w:val="NormalWeb"/>
        <w:jc w:val="both"/>
      </w:pPr>
      <w:r w:rsidRPr="003D1C3D">
        <w:rPr>
          <w:b/>
        </w:rPr>
        <w:t>Estado</w:t>
      </w:r>
      <w:r w:rsidR="009C5AE2">
        <w:rPr>
          <w:b/>
        </w:rPr>
        <w:t>.</w:t>
      </w:r>
      <w:r>
        <w:t xml:space="preserve"> </w:t>
      </w:r>
    </w:p>
    <w:p w:rsidR="003D1C3D" w:rsidRDefault="003D1C3D" w:rsidP="003D1C3D">
      <w:pPr>
        <w:pStyle w:val="NormalWeb"/>
        <w:jc w:val="both"/>
      </w:pPr>
      <w:r>
        <w:t xml:space="preserve">Recomendaciones de mejora </w:t>
      </w:r>
      <w:r w:rsidR="009C5AE2">
        <w:t xml:space="preserve">V2 </w:t>
      </w:r>
      <w:bookmarkStart w:id="0" w:name="_GoBack"/>
      <w:bookmarkEnd w:id="0"/>
      <w:r>
        <w:t xml:space="preserve">y verificación documental. </w:t>
      </w:r>
    </w:p>
    <w:p w:rsidR="003D1C3D" w:rsidRPr="003D1C3D" w:rsidRDefault="003D1C3D" w:rsidP="003D1C3D">
      <w:pPr>
        <w:pStyle w:val="NormalWeb"/>
        <w:jc w:val="both"/>
        <w:rPr>
          <w:b/>
        </w:rPr>
      </w:pPr>
      <w:r w:rsidRPr="003D1C3D">
        <w:rPr>
          <w:b/>
        </w:rPr>
        <w:t>Información inicial del diseño.</w:t>
      </w:r>
    </w:p>
    <w:p w:rsidR="003D1C3D" w:rsidRDefault="003D1C3D" w:rsidP="003D1C3D">
      <w:pPr>
        <w:pStyle w:val="NormalWeb"/>
        <w:jc w:val="both"/>
      </w:pPr>
      <w:r>
        <w:t xml:space="preserve">El módulo Piezómetro corresponde a la versión 2 del diseño electrónico desarrollado en </w:t>
      </w:r>
      <w:proofErr w:type="spellStart"/>
      <w:r>
        <w:t>KiCad</w:t>
      </w:r>
      <w:proofErr w:type="spellEnd"/>
      <w:r>
        <w:t>. El PCBA integra un microcontrolador ESP32</w:t>
      </w:r>
      <w:r>
        <w:noBreakHyphen/>
        <w:t>P4, una cadena analógica de alta resolución compuesta por INA333, ADS1255 y referencia ADR4525, un transceptor RS</w:t>
      </w:r>
      <w:r>
        <w:noBreakHyphen/>
        <w:t>485 SP3485, memoria SPI W25Q128, una etapa DC</w:t>
      </w:r>
      <w:r>
        <w:noBreakHyphen/>
        <w:t xml:space="preserve">DC tipo </w:t>
      </w:r>
      <w:proofErr w:type="spellStart"/>
      <w:r>
        <w:t>buck</w:t>
      </w:r>
      <w:proofErr w:type="spellEnd"/>
      <w:r>
        <w:t xml:space="preserve"> TLV62565 y reguladores LDO LT1764A. El sensor de presión se conecta mediante cable externo. El equipo se aloja en un contenedor plástico con jaula de Faraday delgada, disponiendo como referencia externa de tierra únicamente la protección (PE) del sistema eléctrico. El puerto USB</w:t>
      </w:r>
      <w:r>
        <w:noBreakHyphen/>
        <w:t>C se utiliza exclusivamente como interfaz de servicio para flasheo del ESP; el RTC no es requerido.</w:t>
      </w:r>
    </w:p>
    <w:p w:rsidR="003D1C3D" w:rsidRPr="003D1C3D" w:rsidRDefault="003D1C3D" w:rsidP="003D1C3D">
      <w:pPr>
        <w:pStyle w:val="NormalWeb"/>
        <w:jc w:val="both"/>
        <w:rPr>
          <w:b/>
        </w:rPr>
      </w:pPr>
      <w:r w:rsidRPr="003D1C3D">
        <w:rPr>
          <w:b/>
        </w:rPr>
        <w:t>Consideraciones generales EMC.</w:t>
      </w:r>
    </w:p>
    <w:p w:rsidR="003D1C3D" w:rsidRDefault="003D1C3D" w:rsidP="003D1C3D">
      <w:pPr>
        <w:pStyle w:val="NormalWeb"/>
        <w:jc w:val="both"/>
      </w:pPr>
      <w:r>
        <w:t>El diseño combina electrónica analógica sensible, procesamiento digital y conversión conmutada de potencia. La compatibilidad electromagnética depende del control de retornos de corriente, continuidad de planos de masa, protección de interfaces cableadas (sensor, RS</w:t>
      </w:r>
      <w:r>
        <w:noBreakHyphen/>
        <w:t>485 y USB de servicio) y de una estrategia clara de referencia masa–jaula–PE, crítica al tratarse de un chasis plástico.</w:t>
      </w:r>
    </w:p>
    <w:p w:rsidR="003D1C3D" w:rsidRPr="00385D6E" w:rsidRDefault="003D1C3D" w:rsidP="003D1C3D">
      <w:pPr>
        <w:pStyle w:val="NormalWeb"/>
        <w:jc w:val="both"/>
        <w:rPr>
          <w:b/>
        </w:rPr>
      </w:pPr>
      <w:r w:rsidRPr="00385D6E">
        <w:rPr>
          <w:b/>
        </w:rPr>
        <w:t>Verificación de cumplimiento – Recomendaciones Técnicas EMC v1.</w:t>
      </w:r>
    </w:p>
    <w:p w:rsidR="003D1C3D" w:rsidRDefault="003D1C3D" w:rsidP="003D1C3D">
      <w:pPr>
        <w:pStyle w:val="NormalWeb"/>
        <w:jc w:val="both"/>
      </w:pPr>
      <w:r>
        <w:t xml:space="preserve">Del contraste directo entre las recomendaciones emitidas en la versión 1 y la evidencia observable en los archivos </w:t>
      </w:r>
      <w:proofErr w:type="spellStart"/>
      <w:r>
        <w:t>KiCad</w:t>
      </w:r>
      <w:proofErr w:type="spellEnd"/>
      <w:r>
        <w:t xml:space="preserve"> v2 se concluye:</w:t>
      </w:r>
    </w:p>
    <w:p w:rsidR="003D1C3D" w:rsidRDefault="003D1C3D" w:rsidP="0043519F">
      <w:pPr>
        <w:pStyle w:val="NormalWeb"/>
        <w:numPr>
          <w:ilvl w:val="0"/>
          <w:numId w:val="24"/>
        </w:numPr>
        <w:jc w:val="both"/>
      </w:pPr>
      <w:r>
        <w:lastRenderedPageBreak/>
        <w:t>Migración a PCB multicapa y mejora general de retornos: Parcialmente cumplido. La PCB multicapa está implementada, pero no se documenta explícitamente la unión AGND–GND ni la estrategia de retorno.</w:t>
      </w:r>
    </w:p>
    <w:p w:rsidR="003D1C3D" w:rsidRDefault="003D1C3D" w:rsidP="0043519F">
      <w:pPr>
        <w:pStyle w:val="NormalWeb"/>
        <w:numPr>
          <w:ilvl w:val="0"/>
          <w:numId w:val="24"/>
        </w:numPr>
        <w:jc w:val="both"/>
      </w:pPr>
      <w:r>
        <w:t>Estrategia masa–jaula–PE: No cumplido. La versión 2 no evidencia una red CHASSIS ni una unión controlada entre GND y la jaula/PE, pese a haber sido recomendada.</w:t>
      </w:r>
    </w:p>
    <w:p w:rsidR="003D1C3D" w:rsidRDefault="003D1C3D" w:rsidP="0043519F">
      <w:pPr>
        <w:pStyle w:val="NormalWeb"/>
        <w:numPr>
          <w:ilvl w:val="0"/>
          <w:numId w:val="24"/>
        </w:numPr>
        <w:jc w:val="both"/>
      </w:pPr>
      <w:r>
        <w:t>Protección de interfaces externas (sensor y RS</w:t>
      </w:r>
      <w:r>
        <w:noBreakHyphen/>
        <w:t>485): Parcialmente cumplido. RS</w:t>
      </w:r>
      <w:r>
        <w:noBreakHyphen/>
        <w:t>485 cuenta con terminación configurable y TVS, pero no se documenta una estrategia integral ni referencia clara a chasis.</w:t>
      </w:r>
    </w:p>
    <w:p w:rsidR="003D1C3D" w:rsidRDefault="003D1C3D" w:rsidP="0043519F">
      <w:pPr>
        <w:pStyle w:val="NormalWeb"/>
        <w:numPr>
          <w:ilvl w:val="0"/>
          <w:numId w:val="24"/>
        </w:numPr>
        <w:jc w:val="both"/>
      </w:pPr>
      <w:r>
        <w:t xml:space="preserve">Puerto USB accesible: No cumplido. En v1 se recomendó protección ESD dedicada; en v2 el USB se usa para </w:t>
      </w:r>
      <w:proofErr w:type="gramStart"/>
      <w:r>
        <w:t>flasheo</w:t>
      </w:r>
      <w:proofErr w:type="gramEnd"/>
      <w:r>
        <w:t xml:space="preserve"> pero no se evidencia dicha protección.</w:t>
      </w:r>
    </w:p>
    <w:p w:rsidR="003D1C3D" w:rsidRDefault="003D1C3D" w:rsidP="0043519F">
      <w:pPr>
        <w:pStyle w:val="NormalWeb"/>
        <w:numPr>
          <w:ilvl w:val="0"/>
          <w:numId w:val="24"/>
        </w:numPr>
        <w:jc w:val="both"/>
      </w:pPr>
      <w:r>
        <w:t xml:space="preserve">Puntos de prueba para verificación: No cumplido. No se identifica un conjunto completo y rotulado de test </w:t>
      </w:r>
      <w:proofErr w:type="spellStart"/>
      <w:r>
        <w:t>points</w:t>
      </w:r>
      <w:proofErr w:type="spellEnd"/>
      <w:r>
        <w:t xml:space="preserve"> para rieles y señales críticas.</w:t>
      </w:r>
    </w:p>
    <w:p w:rsidR="003D1C3D" w:rsidRDefault="003D1C3D" w:rsidP="0043519F">
      <w:pPr>
        <w:pStyle w:val="NormalWeb"/>
        <w:numPr>
          <w:ilvl w:val="0"/>
          <w:numId w:val="24"/>
        </w:numPr>
        <w:jc w:val="both"/>
      </w:pPr>
      <w:r>
        <w:t xml:space="preserve">Señalización y diagnóstico mediante </w:t>
      </w:r>
      <w:proofErr w:type="spellStart"/>
      <w:r>
        <w:t>LEDs</w:t>
      </w:r>
      <w:proofErr w:type="spellEnd"/>
      <w:r>
        <w:t xml:space="preserve">: Parcialmente cumplido. Existen </w:t>
      </w:r>
      <w:proofErr w:type="spellStart"/>
      <w:r>
        <w:t>LEDs</w:t>
      </w:r>
      <w:proofErr w:type="spellEnd"/>
      <w:r>
        <w:t xml:space="preserve"> de rieles y GPIO, pero su función no está documentada conforme a lo solicitado.</w:t>
      </w:r>
    </w:p>
    <w:p w:rsidR="003D1C3D" w:rsidRPr="003D1C3D" w:rsidRDefault="003D1C3D" w:rsidP="003D1C3D">
      <w:pPr>
        <w:pStyle w:val="NormalWeb"/>
        <w:jc w:val="both"/>
        <w:rPr>
          <w:b/>
        </w:rPr>
      </w:pPr>
      <w:r w:rsidRPr="003D1C3D">
        <w:rPr>
          <w:b/>
        </w:rPr>
        <w:t>Observaciones principales:</w:t>
      </w:r>
    </w:p>
    <w:p w:rsidR="003D1C3D" w:rsidRPr="003D1C3D" w:rsidRDefault="003D1C3D" w:rsidP="003D1C3D">
      <w:pPr>
        <w:pStyle w:val="NormalWeb"/>
        <w:jc w:val="both"/>
        <w:rPr>
          <w:b/>
          <w:i/>
        </w:rPr>
      </w:pPr>
      <w:r w:rsidRPr="003D1C3D">
        <w:rPr>
          <w:b/>
          <w:i/>
        </w:rPr>
        <w:t>Alta severidad:</w:t>
      </w:r>
    </w:p>
    <w:p w:rsidR="003D1C3D" w:rsidRDefault="003D1C3D" w:rsidP="0043519F">
      <w:pPr>
        <w:pStyle w:val="NormalWeb"/>
        <w:numPr>
          <w:ilvl w:val="0"/>
          <w:numId w:val="20"/>
        </w:numPr>
        <w:jc w:val="both"/>
      </w:pPr>
      <w:r>
        <w:t>Ausencia de definición explícita de la estrategia masa–jaula–PE.</w:t>
      </w:r>
    </w:p>
    <w:p w:rsidR="003D1C3D" w:rsidRDefault="003D1C3D" w:rsidP="0043519F">
      <w:pPr>
        <w:pStyle w:val="NormalWeb"/>
        <w:numPr>
          <w:ilvl w:val="0"/>
          <w:numId w:val="20"/>
        </w:numPr>
        <w:jc w:val="both"/>
      </w:pPr>
      <w:r>
        <w:t>Falta de protección ESD dedicada en el puerto USB de servicio.</w:t>
      </w:r>
    </w:p>
    <w:p w:rsidR="003D1C3D" w:rsidRDefault="003D1C3D" w:rsidP="0043519F">
      <w:pPr>
        <w:pStyle w:val="NormalWeb"/>
        <w:numPr>
          <w:ilvl w:val="0"/>
          <w:numId w:val="20"/>
        </w:numPr>
        <w:jc w:val="both"/>
      </w:pPr>
      <w:r>
        <w:t>Insuficiencia de puntos de prueba para verificación y diagnóstico.</w:t>
      </w:r>
    </w:p>
    <w:p w:rsidR="003D1C3D" w:rsidRPr="003D1C3D" w:rsidRDefault="003D1C3D" w:rsidP="003D1C3D">
      <w:pPr>
        <w:pStyle w:val="NormalWeb"/>
        <w:jc w:val="both"/>
        <w:rPr>
          <w:b/>
          <w:i/>
        </w:rPr>
      </w:pPr>
      <w:r w:rsidRPr="003D1C3D">
        <w:rPr>
          <w:b/>
          <w:i/>
        </w:rPr>
        <w:t>Media severidad:</w:t>
      </w:r>
    </w:p>
    <w:p w:rsidR="003D1C3D" w:rsidRDefault="003D1C3D" w:rsidP="0043519F">
      <w:pPr>
        <w:pStyle w:val="NormalWeb"/>
        <w:numPr>
          <w:ilvl w:val="0"/>
          <w:numId w:val="20"/>
        </w:numPr>
        <w:jc w:val="both"/>
      </w:pPr>
      <w:r>
        <w:t>Continuidad real del plano GND y punto de unión AGND–GND no documentados.</w:t>
      </w:r>
    </w:p>
    <w:p w:rsidR="003D1C3D" w:rsidRDefault="003D1C3D" w:rsidP="0043519F">
      <w:pPr>
        <w:pStyle w:val="NormalWeb"/>
        <w:numPr>
          <w:ilvl w:val="0"/>
          <w:numId w:val="20"/>
        </w:numPr>
        <w:jc w:val="both"/>
      </w:pPr>
      <w:r>
        <w:t>Protección RS</w:t>
      </w:r>
      <w:r>
        <w:noBreakHyphen/>
        <w:t>485 potencialmente insuficiente frente a condiciones reales de cableado del ítem 66.</w:t>
      </w:r>
    </w:p>
    <w:p w:rsidR="003D1C3D" w:rsidRPr="003D1C3D" w:rsidRDefault="003D1C3D" w:rsidP="003D1C3D">
      <w:pPr>
        <w:pStyle w:val="NormalWeb"/>
        <w:jc w:val="both"/>
        <w:rPr>
          <w:b/>
          <w:i/>
        </w:rPr>
      </w:pPr>
      <w:r w:rsidRPr="003D1C3D">
        <w:rPr>
          <w:b/>
          <w:i/>
        </w:rPr>
        <w:t>Baja severidad:</w:t>
      </w:r>
    </w:p>
    <w:p w:rsidR="003D1C3D" w:rsidRDefault="003D1C3D" w:rsidP="0043519F">
      <w:pPr>
        <w:pStyle w:val="NormalWeb"/>
        <w:numPr>
          <w:ilvl w:val="0"/>
          <w:numId w:val="20"/>
        </w:numPr>
        <w:jc w:val="both"/>
      </w:pPr>
      <w:r>
        <w:t>RTC presente en esquemático pese a no ser requerido (debe declararse DNP).</w:t>
      </w:r>
    </w:p>
    <w:p w:rsidR="003D1C3D" w:rsidRDefault="003D1C3D" w:rsidP="0043519F">
      <w:pPr>
        <w:pStyle w:val="NormalWeb"/>
        <w:numPr>
          <w:ilvl w:val="0"/>
          <w:numId w:val="20"/>
        </w:numPr>
        <w:jc w:val="both"/>
      </w:pPr>
      <w:r>
        <w:t xml:space="preserve">Rotulación y serigrafía mejorables en jumpers, conectores y </w:t>
      </w:r>
      <w:proofErr w:type="spellStart"/>
      <w:r>
        <w:t>LEDs</w:t>
      </w:r>
      <w:proofErr w:type="spellEnd"/>
      <w:r>
        <w:t>.</w:t>
      </w:r>
    </w:p>
    <w:p w:rsidR="003D1C3D" w:rsidRPr="00385D6E" w:rsidRDefault="003D1C3D" w:rsidP="003D1C3D">
      <w:pPr>
        <w:pStyle w:val="NormalWeb"/>
        <w:jc w:val="both"/>
        <w:rPr>
          <w:b/>
        </w:rPr>
      </w:pPr>
      <w:r w:rsidRPr="00385D6E">
        <w:rPr>
          <w:b/>
        </w:rPr>
        <w:t>Recomendaciones de diseño.</w:t>
      </w:r>
    </w:p>
    <w:p w:rsidR="003D1C3D" w:rsidRDefault="003D1C3D" w:rsidP="003D1C3D">
      <w:pPr>
        <w:pStyle w:val="NormalWeb"/>
        <w:numPr>
          <w:ilvl w:val="0"/>
          <w:numId w:val="23"/>
        </w:numPr>
        <w:jc w:val="both"/>
      </w:pPr>
      <w:r>
        <w:t>Definir e implementar una red CHASSIS/SHIELD con unión controlada a GND (opciones 0 Ω, RC y/o descarga ESD), documentando su referencia a PE.</w:t>
      </w:r>
    </w:p>
    <w:p w:rsidR="003D1C3D" w:rsidRDefault="003D1C3D" w:rsidP="003D1C3D">
      <w:pPr>
        <w:pStyle w:val="NormalWeb"/>
        <w:numPr>
          <w:ilvl w:val="0"/>
          <w:numId w:val="23"/>
        </w:numPr>
        <w:jc w:val="both"/>
      </w:pPr>
      <w:r>
        <w:t>Incorporar protección ESD de baja capacitancia en D+ y D− del USB</w:t>
      </w:r>
      <w:r>
        <w:noBreakHyphen/>
        <w:t xml:space="preserve">C y descargar el </w:t>
      </w:r>
      <w:proofErr w:type="spellStart"/>
      <w:r>
        <w:t>shield</w:t>
      </w:r>
      <w:proofErr w:type="spellEnd"/>
      <w:r>
        <w:t xml:space="preserve"> a la jaula.</w:t>
      </w:r>
    </w:p>
    <w:p w:rsidR="003D1C3D" w:rsidRDefault="003D1C3D" w:rsidP="003D1C3D">
      <w:pPr>
        <w:pStyle w:val="NormalWeb"/>
        <w:numPr>
          <w:ilvl w:val="0"/>
          <w:numId w:val="23"/>
        </w:numPr>
        <w:jc w:val="both"/>
      </w:pPr>
      <w:r>
        <w:t>Declarar el RTC como DNP y eliminar rutas asociadas que puedan afectar planos.</w:t>
      </w:r>
    </w:p>
    <w:p w:rsidR="003D1C3D" w:rsidRDefault="003D1C3D" w:rsidP="003D1C3D">
      <w:pPr>
        <w:pStyle w:val="NormalWeb"/>
        <w:numPr>
          <w:ilvl w:val="0"/>
          <w:numId w:val="23"/>
        </w:numPr>
        <w:jc w:val="both"/>
      </w:pPr>
      <w:r>
        <w:t>Verificar y documentar continuidad del plano GND y punto único de unión AGND–GND.</w:t>
      </w:r>
    </w:p>
    <w:p w:rsidR="003D1C3D" w:rsidRDefault="003D1C3D" w:rsidP="003D1C3D">
      <w:pPr>
        <w:pStyle w:val="NormalWeb"/>
        <w:numPr>
          <w:ilvl w:val="0"/>
          <w:numId w:val="23"/>
        </w:numPr>
        <w:jc w:val="both"/>
      </w:pPr>
      <w:r>
        <w:t>Reforzar documentación y, de ser necesario, protección del RS</w:t>
      </w:r>
      <w:r>
        <w:noBreakHyphen/>
        <w:t>485.</w:t>
      </w:r>
    </w:p>
    <w:p w:rsidR="003D1C3D" w:rsidRDefault="003D1C3D" w:rsidP="003D1C3D">
      <w:pPr>
        <w:pStyle w:val="NormalWeb"/>
        <w:numPr>
          <w:ilvl w:val="0"/>
          <w:numId w:val="23"/>
        </w:numPr>
        <w:jc w:val="both"/>
      </w:pPr>
      <w:r>
        <w:t>Incorporar puntos de prueba mínimos y rotulados para alimentación, referencia y comunicaciones.</w:t>
      </w:r>
    </w:p>
    <w:p w:rsidR="003D1C3D" w:rsidRPr="00385D6E" w:rsidRDefault="003D1C3D" w:rsidP="003D1C3D">
      <w:pPr>
        <w:pStyle w:val="NormalWeb"/>
        <w:jc w:val="both"/>
        <w:rPr>
          <w:b/>
        </w:rPr>
      </w:pPr>
      <w:proofErr w:type="spellStart"/>
      <w:r w:rsidRPr="00385D6E">
        <w:rPr>
          <w:b/>
        </w:rPr>
        <w:lastRenderedPageBreak/>
        <w:t>Checklist</w:t>
      </w:r>
      <w:proofErr w:type="spellEnd"/>
      <w:r w:rsidRPr="00385D6E">
        <w:rPr>
          <w:b/>
        </w:rPr>
        <w:t xml:space="preserve"> de implementación:</w:t>
      </w:r>
    </w:p>
    <w:p w:rsidR="003D1C3D" w:rsidRDefault="003D1C3D" w:rsidP="003D1C3D">
      <w:pPr>
        <w:pStyle w:val="NormalWeb"/>
        <w:jc w:val="both"/>
      </w:pPr>
      <w:r>
        <w:t>□ Estrategia masa–jaula–PE definida y documentada.</w:t>
      </w:r>
    </w:p>
    <w:p w:rsidR="003D1C3D" w:rsidRDefault="003D1C3D" w:rsidP="003D1C3D">
      <w:pPr>
        <w:pStyle w:val="NormalWeb"/>
        <w:jc w:val="both"/>
      </w:pPr>
      <w:r>
        <w:t>□ Protección ESD en USB de servicio.</w:t>
      </w:r>
    </w:p>
    <w:p w:rsidR="003D1C3D" w:rsidRDefault="003D1C3D" w:rsidP="003D1C3D">
      <w:pPr>
        <w:pStyle w:val="NormalWeb"/>
        <w:jc w:val="both"/>
      </w:pPr>
      <w:r>
        <w:t>□ RTC definido como DNP.</w:t>
      </w:r>
    </w:p>
    <w:p w:rsidR="003D1C3D" w:rsidRDefault="003D1C3D" w:rsidP="003D1C3D">
      <w:pPr>
        <w:pStyle w:val="NormalWeb"/>
        <w:jc w:val="both"/>
      </w:pPr>
      <w:r>
        <w:t>□ Continuidad de plano GND verificada.</w:t>
      </w:r>
    </w:p>
    <w:p w:rsidR="003D1C3D" w:rsidRDefault="003D1C3D" w:rsidP="003D1C3D">
      <w:pPr>
        <w:pStyle w:val="NormalWeb"/>
        <w:jc w:val="both"/>
      </w:pPr>
      <w:r>
        <w:t>□ RS</w:t>
      </w:r>
      <w:r>
        <w:noBreakHyphen/>
        <w:t>485 protegido y documentado.</w:t>
      </w:r>
    </w:p>
    <w:p w:rsidR="003D1C3D" w:rsidRDefault="003D1C3D" w:rsidP="003D1C3D">
      <w:pPr>
        <w:pStyle w:val="NormalWeb"/>
        <w:jc w:val="both"/>
      </w:pPr>
      <w:r>
        <w:t xml:space="preserve">□ Test </w:t>
      </w:r>
      <w:proofErr w:type="spellStart"/>
      <w:r>
        <w:t>points</w:t>
      </w:r>
      <w:proofErr w:type="spellEnd"/>
      <w:r>
        <w:t xml:space="preserve"> incorporados y rotulados.</w:t>
      </w:r>
    </w:p>
    <w:p w:rsidR="003D1C3D" w:rsidRDefault="003D1C3D" w:rsidP="003D1C3D">
      <w:pPr>
        <w:pStyle w:val="NormalWeb"/>
        <w:jc w:val="both"/>
      </w:pPr>
      <w:r w:rsidRPr="003D1C3D">
        <w:rPr>
          <w:b/>
        </w:rPr>
        <w:t>Conclusiones.</w:t>
      </w:r>
      <w:r w:rsidRPr="003D1C3D">
        <w:rPr>
          <w:b/>
        </w:rPr>
        <w:br/>
      </w:r>
      <w:r>
        <w:t>La versión 2 del módulo Piezómetro muestra avances respecto a la versión inicial, pero no cumple completamente con las Recomendaciones Técnicas EMC v1 ni demuestra de forma inequívoca el cumplimiento de los requisitos técnicos asociados a los ítems 66 y 31. Los pendientes identificados deben resolverse para asegurar robustez EMC y verificabilidad del diseño.</w:t>
      </w:r>
    </w:p>
    <w:p w:rsidR="003D1C3D" w:rsidRPr="006F661E" w:rsidRDefault="003D1C3D" w:rsidP="003D1C3D">
      <w:pPr>
        <w:pStyle w:val="NormalWeb"/>
        <w:jc w:val="both"/>
        <w:rPr>
          <w:b/>
        </w:rPr>
      </w:pPr>
      <w:r w:rsidRPr="006F661E">
        <w:rPr>
          <w:b/>
        </w:rPr>
        <w:t>Observación principal:</w:t>
      </w:r>
    </w:p>
    <w:p w:rsidR="003D1C3D" w:rsidRDefault="003D1C3D" w:rsidP="003D1C3D">
      <w:pPr>
        <w:pStyle w:val="NormalWeb"/>
        <w:jc w:val="both"/>
      </w:pPr>
      <w:r>
        <w:t>El riesgo técnico dominante reside en la falta de una estrategia clara de referencia masa–jaula–PE y en la ausencia de elementos de protección y verificación en interfaces accesibles.</w:t>
      </w:r>
    </w:p>
    <w:p w:rsidR="005B6E37" w:rsidRPr="003D1C3D" w:rsidRDefault="005B6E37" w:rsidP="003D1C3D">
      <w:pPr>
        <w:jc w:val="both"/>
      </w:pPr>
    </w:p>
    <w:sectPr w:rsidR="005B6E37" w:rsidRPr="003D1C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F1A7B"/>
    <w:multiLevelType w:val="multilevel"/>
    <w:tmpl w:val="08F01D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47DB7"/>
    <w:multiLevelType w:val="hybridMultilevel"/>
    <w:tmpl w:val="771CE7E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C30589"/>
    <w:multiLevelType w:val="multilevel"/>
    <w:tmpl w:val="F9BA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E4D26"/>
    <w:multiLevelType w:val="multilevel"/>
    <w:tmpl w:val="FFC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E06EC"/>
    <w:multiLevelType w:val="multilevel"/>
    <w:tmpl w:val="6ED08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51BDC"/>
    <w:multiLevelType w:val="multilevel"/>
    <w:tmpl w:val="DB2E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57BEC"/>
    <w:multiLevelType w:val="multilevel"/>
    <w:tmpl w:val="E2C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F2E03"/>
    <w:multiLevelType w:val="multilevel"/>
    <w:tmpl w:val="6ED08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D6CEE"/>
    <w:multiLevelType w:val="multilevel"/>
    <w:tmpl w:val="888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62BC8"/>
    <w:multiLevelType w:val="multilevel"/>
    <w:tmpl w:val="A0EA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14146"/>
    <w:multiLevelType w:val="hybridMultilevel"/>
    <w:tmpl w:val="5B24E1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B6C0BDF"/>
    <w:multiLevelType w:val="hybridMultilevel"/>
    <w:tmpl w:val="38D6C4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38BC3945"/>
    <w:multiLevelType w:val="multilevel"/>
    <w:tmpl w:val="BA4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D651F"/>
    <w:multiLevelType w:val="multilevel"/>
    <w:tmpl w:val="311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74E63"/>
    <w:multiLevelType w:val="multilevel"/>
    <w:tmpl w:val="D0F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C25C6"/>
    <w:multiLevelType w:val="multilevel"/>
    <w:tmpl w:val="B11A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22414E"/>
    <w:multiLevelType w:val="multilevel"/>
    <w:tmpl w:val="0DF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2426B"/>
    <w:multiLevelType w:val="multilevel"/>
    <w:tmpl w:val="A9E6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0582B"/>
    <w:multiLevelType w:val="multilevel"/>
    <w:tmpl w:val="88E8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FB643A"/>
    <w:multiLevelType w:val="multilevel"/>
    <w:tmpl w:val="9E92D2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596EFC"/>
    <w:multiLevelType w:val="multilevel"/>
    <w:tmpl w:val="09D8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19596D"/>
    <w:multiLevelType w:val="multilevel"/>
    <w:tmpl w:val="6ED08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054B8"/>
    <w:multiLevelType w:val="multilevel"/>
    <w:tmpl w:val="C15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956D8"/>
    <w:multiLevelType w:val="multilevel"/>
    <w:tmpl w:val="EA485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AE13F2"/>
    <w:multiLevelType w:val="multilevel"/>
    <w:tmpl w:val="E1A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
  </w:num>
  <w:num w:numId="3">
    <w:abstractNumId w:val="23"/>
  </w:num>
  <w:num w:numId="4">
    <w:abstractNumId w:val="22"/>
  </w:num>
  <w:num w:numId="5">
    <w:abstractNumId w:val="19"/>
  </w:num>
  <w:num w:numId="6">
    <w:abstractNumId w:val="16"/>
  </w:num>
  <w:num w:numId="7">
    <w:abstractNumId w:val="0"/>
  </w:num>
  <w:num w:numId="8">
    <w:abstractNumId w:val="15"/>
  </w:num>
  <w:num w:numId="9">
    <w:abstractNumId w:val="5"/>
  </w:num>
  <w:num w:numId="10">
    <w:abstractNumId w:val="18"/>
  </w:num>
  <w:num w:numId="11">
    <w:abstractNumId w:val="3"/>
  </w:num>
  <w:num w:numId="12">
    <w:abstractNumId w:val="11"/>
  </w:num>
  <w:num w:numId="13">
    <w:abstractNumId w:val="10"/>
  </w:num>
  <w:num w:numId="14">
    <w:abstractNumId w:val="6"/>
  </w:num>
  <w:num w:numId="15">
    <w:abstractNumId w:val="8"/>
  </w:num>
  <w:num w:numId="16">
    <w:abstractNumId w:val="12"/>
  </w:num>
  <w:num w:numId="17">
    <w:abstractNumId w:val="9"/>
  </w:num>
  <w:num w:numId="18">
    <w:abstractNumId w:val="13"/>
  </w:num>
  <w:num w:numId="19">
    <w:abstractNumId w:val="21"/>
  </w:num>
  <w:num w:numId="20">
    <w:abstractNumId w:val="7"/>
  </w:num>
  <w:num w:numId="21">
    <w:abstractNumId w:val="24"/>
  </w:num>
  <w:num w:numId="22">
    <w:abstractNumId w:val="17"/>
  </w:num>
  <w:num w:numId="23">
    <w:abstractNumId w:val="14"/>
  </w:num>
  <w:num w:numId="24">
    <w:abstractNumId w:val="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6A"/>
    <w:rsid w:val="00052E6A"/>
    <w:rsid w:val="000D5DF1"/>
    <w:rsid w:val="000D7CD2"/>
    <w:rsid w:val="00226C4E"/>
    <w:rsid w:val="00385D6E"/>
    <w:rsid w:val="003D1C3D"/>
    <w:rsid w:val="0043519F"/>
    <w:rsid w:val="005B6E37"/>
    <w:rsid w:val="006F661E"/>
    <w:rsid w:val="007A24D9"/>
    <w:rsid w:val="009C5AE2"/>
    <w:rsid w:val="009D7E6A"/>
    <w:rsid w:val="00BB791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E5BA"/>
  <w15:chartTrackingRefBased/>
  <w15:docId w15:val="{1193E76F-0213-4470-9657-7C9F5DD45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D7E6A"/>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778736">
      <w:bodyDiv w:val="1"/>
      <w:marLeft w:val="0"/>
      <w:marRight w:val="0"/>
      <w:marTop w:val="0"/>
      <w:marBottom w:val="0"/>
      <w:divBdr>
        <w:top w:val="none" w:sz="0" w:space="0" w:color="auto"/>
        <w:left w:val="none" w:sz="0" w:space="0" w:color="auto"/>
        <w:bottom w:val="none" w:sz="0" w:space="0" w:color="auto"/>
        <w:right w:val="none" w:sz="0" w:space="0" w:color="auto"/>
      </w:divBdr>
    </w:div>
    <w:div w:id="1169557421">
      <w:bodyDiv w:val="1"/>
      <w:marLeft w:val="0"/>
      <w:marRight w:val="0"/>
      <w:marTop w:val="0"/>
      <w:marBottom w:val="0"/>
      <w:divBdr>
        <w:top w:val="none" w:sz="0" w:space="0" w:color="auto"/>
        <w:left w:val="none" w:sz="0" w:space="0" w:color="auto"/>
        <w:bottom w:val="none" w:sz="0" w:space="0" w:color="auto"/>
        <w:right w:val="none" w:sz="0" w:space="0" w:color="auto"/>
      </w:divBdr>
    </w:div>
    <w:div w:id="1436099893">
      <w:bodyDiv w:val="1"/>
      <w:marLeft w:val="0"/>
      <w:marRight w:val="0"/>
      <w:marTop w:val="0"/>
      <w:marBottom w:val="0"/>
      <w:divBdr>
        <w:top w:val="none" w:sz="0" w:space="0" w:color="auto"/>
        <w:left w:val="none" w:sz="0" w:space="0" w:color="auto"/>
        <w:bottom w:val="none" w:sz="0" w:space="0" w:color="auto"/>
        <w:right w:val="none" w:sz="0" w:space="0" w:color="auto"/>
      </w:divBdr>
    </w:div>
    <w:div w:id="181155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803</Words>
  <Characters>4418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9</cp:revision>
  <dcterms:created xsi:type="dcterms:W3CDTF">2025-10-20T17:15:00Z</dcterms:created>
  <dcterms:modified xsi:type="dcterms:W3CDTF">2026-01-05T14:41:00Z</dcterms:modified>
</cp:coreProperties>
</file>