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D518E3" w14:textId="449C4884" w:rsidR="000D70DE" w:rsidRPr="000D70DE" w:rsidRDefault="000D70DE" w:rsidP="00581BC1">
      <w:pPr>
        <w:pStyle w:val="NormalWeb"/>
        <w:jc w:val="both"/>
        <w:rPr>
          <w:b/>
          <w:sz w:val="28"/>
          <w:szCs w:val="28"/>
        </w:rPr>
      </w:pPr>
      <w:r w:rsidRPr="000D70DE">
        <w:rPr>
          <w:b/>
          <w:sz w:val="28"/>
          <w:szCs w:val="28"/>
        </w:rPr>
        <w:t>Nota técnica</w:t>
      </w:r>
    </w:p>
    <w:p w14:paraId="0A287CD5" w14:textId="77777777" w:rsidR="000D70DE" w:rsidRDefault="000D70DE" w:rsidP="00581BC1">
      <w:pPr>
        <w:pStyle w:val="NormalWeb"/>
        <w:jc w:val="both"/>
      </w:pPr>
      <w:r w:rsidRPr="000D70DE">
        <w:rPr>
          <w:b/>
        </w:rPr>
        <w:t>Proyecto:</w:t>
      </w:r>
      <w:r>
        <w:t xml:space="preserve"> Módulo de medición de termocupla embebida en presa</w:t>
      </w:r>
      <w:r>
        <w:br/>
      </w:r>
      <w:r w:rsidRPr="000D70DE">
        <w:rPr>
          <w:b/>
        </w:rPr>
        <w:t>Fecha:</w:t>
      </w:r>
      <w:r>
        <w:t xml:space="preserve"> 2026-01-04</w:t>
      </w:r>
    </w:p>
    <w:p w14:paraId="4E49ABFB" w14:textId="77777777" w:rsidR="000D70DE" w:rsidRDefault="000D70DE" w:rsidP="00581BC1">
      <w:pPr>
        <w:pStyle w:val="NormalWeb"/>
        <w:jc w:val="both"/>
      </w:pPr>
      <w:r w:rsidRPr="000D70DE">
        <w:rPr>
          <w:b/>
        </w:rPr>
        <w:t>Objeto.</w:t>
      </w:r>
      <w:r w:rsidRPr="000D70DE">
        <w:rPr>
          <w:b/>
        </w:rPr>
        <w:br/>
      </w:r>
      <w:r>
        <w:t>Evaluación técnica–administrativa del diseño electrónico del módulo de medición de termocupla, como respaldo para decisiones contractuales y de seguimiento técnico.</w:t>
      </w:r>
    </w:p>
    <w:p w14:paraId="7B578ECA" w14:textId="77777777" w:rsidR="000D70DE" w:rsidRDefault="000D70DE" w:rsidP="00581BC1">
      <w:pPr>
        <w:pStyle w:val="NormalWeb"/>
        <w:jc w:val="both"/>
      </w:pPr>
      <w:r w:rsidRPr="000D70DE">
        <w:rPr>
          <w:b/>
        </w:rPr>
        <w:t>Antecedentes.</w:t>
      </w:r>
      <w:r w:rsidRPr="000D70DE">
        <w:rPr>
          <w:b/>
        </w:rPr>
        <w:br/>
      </w:r>
      <w:r>
        <w:t>Se realizó una primera revisión técnica del diseño electrónico, de la cual se emitieron Recomendaciones Técnicas EMC (versión 1). Posteriormente, el contratista entregó una nueva versión del esquemático y PCB, solicitando su revisión considerando las recomendaciones previas y las Especificaciones Técnicas Particulares del ítem 67, parte dos del anexo contractual.</w:t>
      </w:r>
    </w:p>
    <w:p w14:paraId="18A8BD97" w14:textId="77777777" w:rsidR="000D70DE" w:rsidRPr="000D70DE" w:rsidRDefault="000D70DE" w:rsidP="00581BC1">
      <w:pPr>
        <w:pStyle w:val="NormalWeb"/>
        <w:jc w:val="both"/>
        <w:rPr>
          <w:b/>
        </w:rPr>
      </w:pPr>
      <w:r w:rsidRPr="000D70DE">
        <w:rPr>
          <w:b/>
        </w:rPr>
        <w:t>Alcance de la revisión.</w:t>
      </w:r>
    </w:p>
    <w:p w14:paraId="690DD25E" w14:textId="1C7DFD8F" w:rsidR="000D70DE" w:rsidRDefault="000D70DE" w:rsidP="00581BC1">
      <w:pPr>
        <w:pStyle w:val="NormalWeb"/>
        <w:jc w:val="both"/>
      </w:pPr>
      <w:r>
        <w:t xml:space="preserve">La revisión se limita al análisis del esquemático y del diseño de PCB disponibles en los archivos </w:t>
      </w:r>
      <w:proofErr w:type="spellStart"/>
      <w:r>
        <w:t>KiCad</w:t>
      </w:r>
      <w:proofErr w:type="spellEnd"/>
      <w:r>
        <w:t xml:space="preserve"> entregados. No se incluyen pruebas de laboratorio, ensayos EMC, validaciones funcionales, revisión de firmware, ni evaluación del contenedor mecánico más allá de su impacto conceptual en EMC.</w:t>
      </w:r>
    </w:p>
    <w:p w14:paraId="524C4B12" w14:textId="77777777" w:rsidR="000D70DE" w:rsidRPr="000D70DE" w:rsidRDefault="000D70DE" w:rsidP="00581BC1">
      <w:pPr>
        <w:pStyle w:val="NormalWeb"/>
        <w:jc w:val="both"/>
        <w:rPr>
          <w:b/>
        </w:rPr>
      </w:pPr>
      <w:r w:rsidRPr="000D70DE">
        <w:rPr>
          <w:b/>
        </w:rPr>
        <w:t>Verificación de cumplimiento – Recomendaciones Técnicas EMC previas.</w:t>
      </w:r>
    </w:p>
    <w:p w14:paraId="53E8D318" w14:textId="77777777" w:rsidR="000D70DE" w:rsidRDefault="000D70DE" w:rsidP="00581BC1">
      <w:pPr>
        <w:pStyle w:val="NormalWeb"/>
        <w:numPr>
          <w:ilvl w:val="0"/>
          <w:numId w:val="1"/>
        </w:numPr>
        <w:jc w:val="both"/>
      </w:pPr>
      <w:r>
        <w:t>Protección de entrada de termocupla: Parcialmente cumplido. Se observan mejoras, pero no se evidencia una cadena completa de protección escalonada.</w:t>
      </w:r>
    </w:p>
    <w:p w14:paraId="25F72C97" w14:textId="77777777" w:rsidR="000D70DE" w:rsidRDefault="000D70DE" w:rsidP="00581BC1">
      <w:pPr>
        <w:pStyle w:val="NormalWeb"/>
        <w:numPr>
          <w:ilvl w:val="0"/>
          <w:numId w:val="1"/>
        </w:numPr>
        <w:jc w:val="both"/>
      </w:pPr>
      <w:r>
        <w:t>Unión AGND–GND controlada: No cumplido. No se identifica claramente un punto único de unión dedicado.</w:t>
      </w:r>
    </w:p>
    <w:p w14:paraId="167673C6" w14:textId="77777777" w:rsidR="000D70DE" w:rsidRDefault="000D70DE" w:rsidP="00581BC1">
      <w:pPr>
        <w:pStyle w:val="NormalWeb"/>
        <w:numPr>
          <w:ilvl w:val="0"/>
          <w:numId w:val="1"/>
        </w:numPr>
        <w:jc w:val="both"/>
      </w:pPr>
      <w:r>
        <w:t>RS485 con terminación configurable: Cumplido. Se evidencia uso de jumper para terminación.</w:t>
      </w:r>
    </w:p>
    <w:p w14:paraId="59444161" w14:textId="77777777" w:rsidR="000D70DE" w:rsidRDefault="000D70DE" w:rsidP="00581BC1">
      <w:pPr>
        <w:pStyle w:val="NormalWeb"/>
        <w:numPr>
          <w:ilvl w:val="0"/>
          <w:numId w:val="1"/>
        </w:numPr>
        <w:jc w:val="both"/>
      </w:pPr>
      <w:r>
        <w:t>Protección RS485 de campo (TVS, CMC, chasis): Parcialmente cumplido.</w:t>
      </w:r>
    </w:p>
    <w:p w14:paraId="2A8D06E6" w14:textId="77777777" w:rsidR="000D70DE" w:rsidRDefault="000D70DE" w:rsidP="00581BC1">
      <w:pPr>
        <w:pStyle w:val="NormalWeb"/>
        <w:numPr>
          <w:ilvl w:val="0"/>
          <w:numId w:val="1"/>
        </w:numPr>
        <w:jc w:val="both"/>
      </w:pPr>
      <w:r>
        <w:t>Ventana de medición sin conmutación: No evidenciado en el diseño eléctrico.</w:t>
      </w:r>
    </w:p>
    <w:p w14:paraId="7F4E652A" w14:textId="77777777" w:rsidR="000D70DE" w:rsidRDefault="000D70DE" w:rsidP="00581BC1">
      <w:pPr>
        <w:pStyle w:val="NormalWeb"/>
        <w:numPr>
          <w:ilvl w:val="0"/>
          <w:numId w:val="1"/>
        </w:numPr>
        <w:jc w:val="both"/>
      </w:pPr>
      <w:r>
        <w:t xml:space="preserve">Test </w:t>
      </w:r>
      <w:proofErr w:type="spellStart"/>
      <w:r>
        <w:t>points</w:t>
      </w:r>
      <w:proofErr w:type="spellEnd"/>
      <w:r>
        <w:t xml:space="preserve"> para diagnóstico: Parcialmente cumplido.</w:t>
      </w:r>
    </w:p>
    <w:p w14:paraId="7D8C04A0" w14:textId="77777777" w:rsidR="000D70DE" w:rsidRDefault="000D70DE" w:rsidP="00581BC1">
      <w:pPr>
        <w:pStyle w:val="NormalWeb"/>
        <w:numPr>
          <w:ilvl w:val="0"/>
          <w:numId w:val="1"/>
        </w:numPr>
        <w:jc w:val="both"/>
      </w:pPr>
      <w:proofErr w:type="spellStart"/>
      <w:r>
        <w:t>LEDs</w:t>
      </w:r>
      <w:proofErr w:type="spellEnd"/>
      <w:r>
        <w:t xml:space="preserve"> indicadores funcionales: Parcialmente cumplido.</w:t>
      </w:r>
    </w:p>
    <w:p w14:paraId="7F9A5E70" w14:textId="77777777" w:rsidR="000D70DE" w:rsidRDefault="000D70DE" w:rsidP="00581BC1">
      <w:pPr>
        <w:pStyle w:val="NormalWeb"/>
        <w:numPr>
          <w:ilvl w:val="0"/>
          <w:numId w:val="1"/>
        </w:numPr>
        <w:jc w:val="both"/>
      </w:pPr>
      <w:r>
        <w:t>USB solo para flasheo del ESP32: Cumplido a nivel conceptual, sin evidencia de uso operativo.</w:t>
      </w:r>
    </w:p>
    <w:p w14:paraId="2F067349" w14:textId="77777777" w:rsidR="000D70DE" w:rsidRPr="000D70DE" w:rsidRDefault="000D70DE" w:rsidP="00581BC1">
      <w:pPr>
        <w:pStyle w:val="NormalWeb"/>
        <w:jc w:val="both"/>
        <w:rPr>
          <w:b/>
        </w:rPr>
      </w:pPr>
      <w:r w:rsidRPr="000D70DE">
        <w:rPr>
          <w:b/>
        </w:rPr>
        <w:t>Verificación contra Especificaciones Técnicas Particulares.</w:t>
      </w:r>
    </w:p>
    <w:p w14:paraId="6025F9AE" w14:textId="0227BC40" w:rsidR="000D70DE" w:rsidRPr="000D70DE" w:rsidRDefault="000D70DE" w:rsidP="00581BC1">
      <w:pPr>
        <w:pStyle w:val="NormalWeb"/>
        <w:jc w:val="both"/>
        <w:rPr>
          <w:b/>
        </w:rPr>
      </w:pPr>
      <w:r w:rsidRPr="000D70DE">
        <w:rPr>
          <w:b/>
        </w:rPr>
        <w:t>Ítem 67 – Parte dos</w:t>
      </w:r>
      <w:r w:rsidR="001476A9">
        <w:rPr>
          <w:b/>
        </w:rPr>
        <w:t xml:space="preserve"> de las especificaciones</w:t>
      </w:r>
      <w:bookmarkStart w:id="0" w:name="_GoBack"/>
      <w:bookmarkEnd w:id="0"/>
      <w:r w:rsidRPr="000D70DE">
        <w:rPr>
          <w:b/>
        </w:rPr>
        <w:t>:</w:t>
      </w:r>
    </w:p>
    <w:p w14:paraId="2BE85FF4" w14:textId="77777777" w:rsidR="000D70DE" w:rsidRDefault="000D70DE" w:rsidP="00581BC1">
      <w:pPr>
        <w:pStyle w:val="NormalWeb"/>
        <w:numPr>
          <w:ilvl w:val="0"/>
          <w:numId w:val="2"/>
        </w:numPr>
        <w:jc w:val="both"/>
      </w:pPr>
      <w:r>
        <w:t>Operación en batería con control de carga: Evidenciado.</w:t>
      </w:r>
    </w:p>
    <w:p w14:paraId="0CB5E205" w14:textId="77777777" w:rsidR="000D70DE" w:rsidRDefault="000D70DE" w:rsidP="00581BC1">
      <w:pPr>
        <w:pStyle w:val="NormalWeb"/>
        <w:numPr>
          <w:ilvl w:val="0"/>
          <w:numId w:val="2"/>
        </w:numPr>
        <w:jc w:val="both"/>
      </w:pPr>
      <w:r>
        <w:t>Medición interna de variables ambientales para compensación: Parcialmente evidenciado.</w:t>
      </w:r>
    </w:p>
    <w:p w14:paraId="38AC8D25" w14:textId="77777777" w:rsidR="000D70DE" w:rsidRDefault="000D70DE" w:rsidP="00581BC1">
      <w:pPr>
        <w:pStyle w:val="NormalWeb"/>
        <w:numPr>
          <w:ilvl w:val="0"/>
          <w:numId w:val="2"/>
        </w:numPr>
        <w:jc w:val="both"/>
      </w:pPr>
      <w:r>
        <w:t>Protección ESD en interfaces: Parcialmente evidenciado.</w:t>
      </w:r>
    </w:p>
    <w:p w14:paraId="4EAF882D" w14:textId="77777777" w:rsidR="000D70DE" w:rsidRDefault="000D70DE" w:rsidP="00581BC1">
      <w:pPr>
        <w:pStyle w:val="NormalWeb"/>
        <w:numPr>
          <w:ilvl w:val="0"/>
          <w:numId w:val="2"/>
        </w:numPr>
        <w:jc w:val="both"/>
      </w:pPr>
      <w:r>
        <w:t>Comunicaciones RS485: Evidenciado.</w:t>
      </w:r>
    </w:p>
    <w:p w14:paraId="3F0807FB" w14:textId="77777777" w:rsidR="000D70DE" w:rsidRDefault="000D70DE" w:rsidP="00581BC1">
      <w:pPr>
        <w:pStyle w:val="NormalWeb"/>
        <w:numPr>
          <w:ilvl w:val="0"/>
          <w:numId w:val="2"/>
        </w:numPr>
        <w:jc w:val="both"/>
      </w:pPr>
      <w:r>
        <w:t>Uso de conectores adecuados a entorno (IP68, M12): No verificable con la documentación electrónica.</w:t>
      </w:r>
    </w:p>
    <w:p w14:paraId="6202B16A" w14:textId="77777777" w:rsidR="000D70DE" w:rsidRPr="000D70DE" w:rsidRDefault="000D70DE" w:rsidP="00581BC1">
      <w:pPr>
        <w:pStyle w:val="NormalWeb"/>
        <w:jc w:val="both"/>
        <w:rPr>
          <w:b/>
        </w:rPr>
      </w:pPr>
      <w:r w:rsidRPr="000D70DE">
        <w:rPr>
          <w:b/>
        </w:rPr>
        <w:lastRenderedPageBreak/>
        <w:t>Limitaciones de la revisión.</w:t>
      </w:r>
    </w:p>
    <w:p w14:paraId="3226F5A9" w14:textId="1C5D1616" w:rsidR="000D70DE" w:rsidRDefault="000D70DE" w:rsidP="00581BC1">
      <w:pPr>
        <w:pStyle w:val="NormalWeb"/>
        <w:jc w:val="both"/>
      </w:pPr>
      <w:r>
        <w:t>La evaluación se basa exclusivamente en documentación de diseño electrónico. No se dispone de resultados de pruebas, prototipos funcionales, firmware ni evidencias de integración mecánica, lo que limita la verificación de cumplimiento integral.</w:t>
      </w:r>
    </w:p>
    <w:p w14:paraId="3BF0EA2B" w14:textId="77777777" w:rsidR="000D70DE" w:rsidRPr="000D70DE" w:rsidRDefault="000D70DE" w:rsidP="00581BC1">
      <w:pPr>
        <w:pStyle w:val="NormalWeb"/>
        <w:jc w:val="both"/>
        <w:rPr>
          <w:b/>
        </w:rPr>
      </w:pPr>
      <w:r w:rsidRPr="000D70DE">
        <w:rPr>
          <w:b/>
        </w:rPr>
        <w:t>Conclusión técnica.</w:t>
      </w:r>
    </w:p>
    <w:p w14:paraId="1BAB2731" w14:textId="245434D0" w:rsidR="000D70DE" w:rsidRDefault="000D70DE" w:rsidP="00581BC1">
      <w:pPr>
        <w:pStyle w:val="NormalWeb"/>
        <w:jc w:val="both"/>
      </w:pPr>
      <w:r>
        <w:t>La nueva versión del diseño muestra avances respecto a la revisión inicial, pero aún presenta brechas relevantes en protección EMC y arquitectura de tierras que impiden considerar el diseño como técnicamente cerrado.</w:t>
      </w:r>
    </w:p>
    <w:p w14:paraId="79C1667E" w14:textId="295D3DB6" w:rsidR="000D70DE" w:rsidRPr="000D70DE" w:rsidRDefault="000D70DE" w:rsidP="00581BC1">
      <w:pPr>
        <w:pStyle w:val="NormalWeb"/>
        <w:jc w:val="both"/>
        <w:rPr>
          <w:b/>
        </w:rPr>
      </w:pPr>
      <w:r w:rsidRPr="000D70DE">
        <w:rPr>
          <w:b/>
        </w:rPr>
        <w:t>Recomendación.</w:t>
      </w:r>
    </w:p>
    <w:p w14:paraId="100B51A1" w14:textId="0B85DC33" w:rsidR="000D70DE" w:rsidRDefault="000D70DE" w:rsidP="00581BC1">
      <w:pPr>
        <w:pStyle w:val="NormalWeb"/>
        <w:jc w:val="both"/>
      </w:pPr>
      <w:r>
        <w:t>Se recomienda solicitar al contratista una nueva iteración del diseño que incorpore explícitamente las Recomendaciones Técnicas EMC pendientes, así como documentación complementaria que permita verificar el cumplimiento integral de las Especificaciones Técnicas Particulares antes de aceptar o liberar el diseño.</w:t>
      </w:r>
    </w:p>
    <w:p w14:paraId="048544BD" w14:textId="77777777" w:rsidR="000447D4" w:rsidRDefault="000447D4" w:rsidP="00581BC1">
      <w:pPr>
        <w:jc w:val="both"/>
      </w:pPr>
    </w:p>
    <w:sectPr w:rsidR="000447D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0C2428"/>
    <w:multiLevelType w:val="multilevel"/>
    <w:tmpl w:val="9B44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FD4DD3"/>
    <w:multiLevelType w:val="multilevel"/>
    <w:tmpl w:val="DE28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E277B2"/>
    <w:multiLevelType w:val="multilevel"/>
    <w:tmpl w:val="99A8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5D0C24"/>
    <w:multiLevelType w:val="multilevel"/>
    <w:tmpl w:val="E428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9F8"/>
    <w:rsid w:val="000447D4"/>
    <w:rsid w:val="000D70DE"/>
    <w:rsid w:val="001476A9"/>
    <w:rsid w:val="00581BC1"/>
    <w:rsid w:val="00AA39F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01D00"/>
  <w15:chartTrackingRefBased/>
  <w15:docId w15:val="{92954017-723F-467F-A949-217D553E7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0D70DE"/>
    <w:pPr>
      <w:spacing w:before="100" w:beforeAutospacing="1" w:after="100" w:afterAutospacing="1" w:line="240" w:lineRule="auto"/>
    </w:pPr>
    <w:rPr>
      <w:rFonts w:ascii="Times New Roman" w:eastAsia="Times New Roman" w:hAnsi="Times New Roman" w:cs="Times New Roman"/>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8660567">
      <w:bodyDiv w:val="1"/>
      <w:marLeft w:val="0"/>
      <w:marRight w:val="0"/>
      <w:marTop w:val="0"/>
      <w:marBottom w:val="0"/>
      <w:divBdr>
        <w:top w:val="none" w:sz="0" w:space="0" w:color="auto"/>
        <w:left w:val="none" w:sz="0" w:space="0" w:color="auto"/>
        <w:bottom w:val="none" w:sz="0" w:space="0" w:color="auto"/>
        <w:right w:val="none" w:sz="0" w:space="0" w:color="auto"/>
      </w:divBdr>
    </w:div>
    <w:div w:id="2048097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461</Words>
  <Characters>2538</Characters>
  <Application>Microsoft Office Word</Application>
  <DocSecurity>0</DocSecurity>
  <Lines>21</Lines>
  <Paragraphs>5</Paragraphs>
  <ScaleCrop>false</ScaleCrop>
  <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Administrador</dc:creator>
  <cp:keywords/>
  <dc:description/>
  <cp:lastModifiedBy>Remigio Guevara</cp:lastModifiedBy>
  <cp:revision>4</cp:revision>
  <dcterms:created xsi:type="dcterms:W3CDTF">2026-01-04T17:34:00Z</dcterms:created>
  <dcterms:modified xsi:type="dcterms:W3CDTF">2026-01-05T15:47:00Z</dcterms:modified>
</cp:coreProperties>
</file>