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6BF99E" w14:textId="77777777" w:rsidR="008323FD" w:rsidRPr="008323FD" w:rsidRDefault="008323FD" w:rsidP="008323FD">
      <w:pPr>
        <w:pStyle w:val="NormalWeb"/>
        <w:jc w:val="both"/>
        <w:rPr>
          <w:b/>
          <w:sz w:val="28"/>
          <w:szCs w:val="28"/>
        </w:rPr>
      </w:pPr>
      <w:r w:rsidRPr="008323FD">
        <w:rPr>
          <w:b/>
          <w:sz w:val="28"/>
          <w:szCs w:val="28"/>
        </w:rPr>
        <w:t>Recomendaciones Técnicas EMC</w:t>
      </w:r>
    </w:p>
    <w:p w14:paraId="0960DC25" w14:textId="77777777" w:rsidR="008323FD" w:rsidRDefault="008323FD" w:rsidP="008323FD">
      <w:pPr>
        <w:pStyle w:val="NormalWeb"/>
        <w:jc w:val="both"/>
      </w:pPr>
      <w:r w:rsidRPr="008323FD">
        <w:rPr>
          <w:b/>
        </w:rPr>
        <w:t>Proyecto:</w:t>
      </w:r>
      <w:r>
        <w:t xml:space="preserve"> Digitaliz</w:t>
      </w:r>
      <w:bookmarkStart w:id="0" w:name="_GoBack"/>
      <w:bookmarkEnd w:id="0"/>
      <w:r>
        <w:t>ador sísmico – Ítem 25</w:t>
      </w:r>
    </w:p>
    <w:p w14:paraId="0A0B88EA" w14:textId="460E530E" w:rsidR="008323FD" w:rsidRDefault="008323FD" w:rsidP="008323FD">
      <w:pPr>
        <w:pStyle w:val="NormalWeb"/>
        <w:jc w:val="both"/>
      </w:pPr>
      <w:r w:rsidRPr="008323FD">
        <w:rPr>
          <w:b/>
        </w:rPr>
        <w:t>Fecha:</w:t>
      </w:r>
      <w:r>
        <w:t xml:space="preserve"> 0</w:t>
      </w:r>
      <w:r>
        <w:t>5</w:t>
      </w:r>
      <w:r>
        <w:t>/01/2026</w:t>
      </w:r>
    </w:p>
    <w:p w14:paraId="6F905B48" w14:textId="77777777" w:rsidR="008323FD" w:rsidRPr="008323FD" w:rsidRDefault="008323FD" w:rsidP="008323FD">
      <w:pPr>
        <w:pStyle w:val="NormalWeb"/>
        <w:jc w:val="both"/>
        <w:rPr>
          <w:b/>
        </w:rPr>
      </w:pPr>
      <w:r w:rsidRPr="008323FD">
        <w:rPr>
          <w:b/>
        </w:rPr>
        <w:t>Alcance</w:t>
      </w:r>
      <w:r w:rsidRPr="008323FD">
        <w:rPr>
          <w:b/>
        </w:rPr>
        <w:t xml:space="preserve">. </w:t>
      </w:r>
    </w:p>
    <w:p w14:paraId="6BE0BD54" w14:textId="76D1FDCC" w:rsidR="008323FD" w:rsidRDefault="008323FD" w:rsidP="008323FD">
      <w:pPr>
        <w:pStyle w:val="NormalWeb"/>
        <w:jc w:val="both"/>
      </w:pPr>
      <w:r w:rsidRPr="009C5AE2">
        <w:t xml:space="preserve">El presente documento recoge recomendaciones técnicas de compatibilidad electromagnética (EMC) asociadas al diseño electrónico del </w:t>
      </w:r>
      <w:r>
        <w:t xml:space="preserve">Digitalizador sísmico </w:t>
      </w:r>
      <w:r w:rsidRPr="009C5AE2">
        <w:t>(</w:t>
      </w:r>
      <w:r>
        <w:t xml:space="preserve">ítem </w:t>
      </w:r>
      <w:r>
        <w:t>25</w:t>
      </w:r>
      <w:r w:rsidRPr="009C5AE2">
        <w:t>), a partir de:</w:t>
      </w:r>
    </w:p>
    <w:p w14:paraId="27CC2E1D" w14:textId="77777777" w:rsidR="008323FD" w:rsidRDefault="008323FD" w:rsidP="008323FD">
      <w:pPr>
        <w:pStyle w:val="NormalWeb"/>
        <w:numPr>
          <w:ilvl w:val="0"/>
          <w:numId w:val="18"/>
        </w:numPr>
        <w:jc w:val="both"/>
      </w:pPr>
      <w:r>
        <w:t xml:space="preserve">Revisión del esquemático y PCB </w:t>
      </w:r>
      <w:proofErr w:type="spellStart"/>
      <w:r>
        <w:t>KiCad</w:t>
      </w:r>
      <w:proofErr w:type="spellEnd"/>
      <w:r>
        <w:t xml:space="preserve"> (versión 2) del módulo Piezómetro, </w:t>
      </w:r>
    </w:p>
    <w:p w14:paraId="47E23809" w14:textId="676F2B19" w:rsidR="008323FD" w:rsidRDefault="008323FD" w:rsidP="008323FD">
      <w:pPr>
        <w:pStyle w:val="NormalWeb"/>
        <w:numPr>
          <w:ilvl w:val="0"/>
          <w:numId w:val="18"/>
        </w:numPr>
        <w:jc w:val="both"/>
      </w:pPr>
      <w:r>
        <w:t xml:space="preserve">contraste con Especificaciones Técnicas Particulares (ítem </w:t>
      </w:r>
      <w:r>
        <w:t>25</w:t>
      </w:r>
      <w:r>
        <w:t>).</w:t>
      </w:r>
    </w:p>
    <w:p w14:paraId="4C8C9A8B" w14:textId="77777777" w:rsidR="008323FD" w:rsidRDefault="008323FD" w:rsidP="008323FD">
      <w:pPr>
        <w:pStyle w:val="NormalWeb"/>
        <w:jc w:val="both"/>
      </w:pPr>
      <w:r w:rsidRPr="009C5AE2">
        <w:t>Se deja constancia expresa de que este documento no constituye aprobación del diseño ni validación funcional ni de compatibilidad electromagnética (EMC), dado que no se han realizado pruebas con tarjetas físicas, ensayos de laboratorio, pruebas ambientales ni validaciones de hardware o software.</w:t>
      </w:r>
    </w:p>
    <w:p w14:paraId="41798D7E" w14:textId="77777777" w:rsidR="008323FD" w:rsidRPr="008323FD" w:rsidRDefault="008323FD" w:rsidP="008323FD">
      <w:pPr>
        <w:pStyle w:val="NormalWeb"/>
        <w:jc w:val="both"/>
        <w:rPr>
          <w:b/>
        </w:rPr>
      </w:pPr>
      <w:r w:rsidRPr="008323FD">
        <w:rPr>
          <w:b/>
        </w:rPr>
        <w:t>Estado</w:t>
      </w:r>
      <w:r w:rsidRPr="008323FD">
        <w:rPr>
          <w:b/>
        </w:rPr>
        <w:t>.</w:t>
      </w:r>
    </w:p>
    <w:p w14:paraId="0853FF63" w14:textId="03AB4013" w:rsidR="008323FD" w:rsidRPr="008323FD" w:rsidRDefault="008323FD" w:rsidP="008323FD">
      <w:pPr>
        <w:pStyle w:val="NormalWeb"/>
        <w:jc w:val="both"/>
      </w:pPr>
      <w:r w:rsidRPr="008323FD">
        <w:t>Revisión técnica preliminar</w:t>
      </w:r>
    </w:p>
    <w:p w14:paraId="19793C67" w14:textId="77777777" w:rsidR="008323FD" w:rsidRPr="008323FD" w:rsidRDefault="008323FD" w:rsidP="008323FD">
      <w:pPr>
        <w:pStyle w:val="NormalWeb"/>
        <w:jc w:val="both"/>
        <w:rPr>
          <w:b/>
        </w:rPr>
      </w:pPr>
      <w:r w:rsidRPr="008323FD">
        <w:rPr>
          <w:b/>
        </w:rPr>
        <w:t>Información inicial del diseño.</w:t>
      </w:r>
    </w:p>
    <w:p w14:paraId="5B0F012D" w14:textId="77777777" w:rsidR="008323FD" w:rsidRDefault="008323FD" w:rsidP="008323FD">
      <w:pPr>
        <w:pStyle w:val="NormalWeb"/>
        <w:jc w:val="both"/>
      </w:pPr>
      <w:r>
        <w:t xml:space="preserve">El módulo digitalizador corresponde a una tarjeta de adquisición analógica–digital destinada a la conexión de sensores sísmicos (acelerómetros y geófonos), con ADC de 24 bits, </w:t>
      </w:r>
      <w:proofErr w:type="spellStart"/>
      <w:r>
        <w:t>front</w:t>
      </w:r>
      <w:r>
        <w:noBreakHyphen/>
        <w:t>end</w:t>
      </w:r>
      <w:proofErr w:type="spellEnd"/>
      <w:r>
        <w:t xml:space="preserve"> analógico dedicado y conexión a una unidad central basada en </w:t>
      </w:r>
      <w:proofErr w:type="spellStart"/>
      <w:r>
        <w:t>dsPIC</w:t>
      </w:r>
      <w:proofErr w:type="spellEnd"/>
      <w:r>
        <w:t xml:space="preserve">. El diseño fue desarrollado en </w:t>
      </w:r>
      <w:proofErr w:type="spellStart"/>
      <w:r>
        <w:t>KiCad</w:t>
      </w:r>
      <w:proofErr w:type="spellEnd"/>
      <w:r>
        <w:t xml:space="preserve"> y corresponde a un PCB de 4 capas. El sistema contempla sincronización temporal mediante RTC local y GPS externo, así como alimentación de sensores y funciones de telemetría.</w:t>
      </w:r>
    </w:p>
    <w:p w14:paraId="69ACF94E" w14:textId="77777777" w:rsidR="008323FD" w:rsidRPr="008323FD" w:rsidRDefault="008323FD" w:rsidP="008323FD">
      <w:pPr>
        <w:pStyle w:val="NormalWeb"/>
        <w:jc w:val="both"/>
        <w:rPr>
          <w:b/>
        </w:rPr>
      </w:pPr>
      <w:r w:rsidRPr="008323FD">
        <w:rPr>
          <w:b/>
        </w:rPr>
        <w:t>Consideraciones generales EMC.</w:t>
      </w:r>
    </w:p>
    <w:p w14:paraId="2BE51CFF" w14:textId="77777777" w:rsidR="008323FD" w:rsidRDefault="008323FD" w:rsidP="008323FD">
      <w:pPr>
        <w:pStyle w:val="NormalWeb"/>
        <w:jc w:val="both"/>
      </w:pPr>
      <w:r>
        <w:t>El equipo corresponde a un sistema mixto analógico–digital con entradas de muy baja amplitud, por lo que los criterios EMC críticos están asociados al control de retornos, separación de dominios, minimización de ruido interno, gestión de potencia y control de acoples desde dominios digitales y de alimentación hacia las entradas de sensores. El uso de cables externos para sensores y módulos auxiliares incrementa la susceptibilidad a interferencias y exige protección ESD, filtrado y una referencia clara de masa y chasis.</w:t>
      </w:r>
    </w:p>
    <w:p w14:paraId="0F963F8D" w14:textId="77777777" w:rsidR="008323FD" w:rsidRPr="008323FD" w:rsidRDefault="008323FD" w:rsidP="008323FD">
      <w:pPr>
        <w:pStyle w:val="NormalWeb"/>
        <w:jc w:val="both"/>
        <w:rPr>
          <w:b/>
        </w:rPr>
      </w:pPr>
      <w:r w:rsidRPr="008323FD">
        <w:rPr>
          <w:b/>
        </w:rPr>
        <w:t>Observaciones principales:</w:t>
      </w:r>
    </w:p>
    <w:p w14:paraId="1210C0B1" w14:textId="77777777" w:rsidR="008323FD" w:rsidRPr="008323FD" w:rsidRDefault="008323FD" w:rsidP="008323FD">
      <w:pPr>
        <w:pStyle w:val="NormalWeb"/>
        <w:jc w:val="both"/>
        <w:rPr>
          <w:b/>
          <w:i/>
        </w:rPr>
      </w:pPr>
      <w:r w:rsidRPr="008323FD">
        <w:rPr>
          <w:b/>
          <w:i/>
        </w:rPr>
        <w:t>Alta severidad:</w:t>
      </w:r>
    </w:p>
    <w:p w14:paraId="27BD102F" w14:textId="0C8E209B" w:rsidR="008323FD" w:rsidRDefault="008323FD" w:rsidP="008323FD">
      <w:pPr>
        <w:pStyle w:val="NormalWeb"/>
        <w:numPr>
          <w:ilvl w:val="0"/>
          <w:numId w:val="13"/>
        </w:numPr>
        <w:jc w:val="both"/>
      </w:pPr>
      <w:r>
        <w:t xml:space="preserve">No se evidencia una arquitectura claramente documentada para la conexión de sensores sísmicos analógicos (acelerómetros y geófonos), pese a que las entradas son diferenciales y admiten tensiones de hasta ±20 </w:t>
      </w:r>
      <w:proofErr w:type="gramStart"/>
      <w:r>
        <w:t>V</w:t>
      </w:r>
      <w:r>
        <w:t>(</w:t>
      </w:r>
      <w:proofErr w:type="gramEnd"/>
      <w:r>
        <w:t xml:space="preserve">Se puede establecer a  </w:t>
      </w:r>
      <w:r>
        <w:t>±</w:t>
      </w:r>
      <w:r>
        <w:t>12</w:t>
      </w:r>
      <w:r>
        <w:t xml:space="preserve"> </w:t>
      </w:r>
      <w:r>
        <w:lastRenderedPageBreak/>
        <w:t>V</w:t>
      </w:r>
      <w:r>
        <w:t xml:space="preserve"> como </w:t>
      </w:r>
      <w:proofErr w:type="spellStart"/>
      <w:r>
        <w:t>convensional</w:t>
      </w:r>
      <w:proofErr w:type="spellEnd"/>
      <w:r>
        <w:t>)</w:t>
      </w:r>
      <w:r>
        <w:t>. No se demuestra cómo se garantiza un piso de ruido suficientemente bajo para aprovechar el rango dinámico del ADC de 24 bits.</w:t>
      </w:r>
    </w:p>
    <w:p w14:paraId="1B22924D" w14:textId="77777777" w:rsidR="008323FD" w:rsidRDefault="008323FD" w:rsidP="008323FD">
      <w:pPr>
        <w:pStyle w:val="NormalWeb"/>
        <w:numPr>
          <w:ilvl w:val="0"/>
          <w:numId w:val="13"/>
        </w:numPr>
        <w:jc w:val="both"/>
      </w:pPr>
      <w:r>
        <w:t xml:space="preserve">El </w:t>
      </w:r>
      <w:proofErr w:type="spellStart"/>
      <w:r>
        <w:t>front</w:t>
      </w:r>
      <w:r>
        <w:noBreakHyphen/>
        <w:t>end</w:t>
      </w:r>
      <w:proofErr w:type="spellEnd"/>
      <w:r>
        <w:t xml:space="preserve"> analógico mantiene una complejidad de amplificación heredada del diseño de referencia con ADC interno, sin justificarse su necesidad tras la migración a un ADC de 24 bits, lo que introduce riesgo de degradación del ENOB efectivo.</w:t>
      </w:r>
    </w:p>
    <w:p w14:paraId="1853426E" w14:textId="77777777" w:rsidR="008323FD" w:rsidRDefault="008323FD" w:rsidP="008323FD">
      <w:pPr>
        <w:pStyle w:val="NormalWeb"/>
        <w:numPr>
          <w:ilvl w:val="0"/>
          <w:numId w:val="13"/>
        </w:numPr>
        <w:jc w:val="both"/>
      </w:pPr>
      <w:r>
        <w:t>No se evidencia una etapa clara de control de carga ni de gestión de fuente de respaldo del equipo, más allá del respaldo puntual del RTC.</w:t>
      </w:r>
    </w:p>
    <w:p w14:paraId="4D28411D" w14:textId="77777777" w:rsidR="008323FD" w:rsidRDefault="008323FD" w:rsidP="008323FD">
      <w:pPr>
        <w:pStyle w:val="NormalWeb"/>
        <w:numPr>
          <w:ilvl w:val="0"/>
          <w:numId w:val="13"/>
        </w:numPr>
        <w:jc w:val="both"/>
      </w:pPr>
      <w:r>
        <w:t>La integración del GPS como módulo externo no está documentada (interfaz eléctrica, señal 1PPS, protección EMC), por lo que el requisito de sincronización no es verificable documentalmente.</w:t>
      </w:r>
    </w:p>
    <w:p w14:paraId="1C56D67F" w14:textId="77777777" w:rsidR="008323FD" w:rsidRPr="008323FD" w:rsidRDefault="008323FD" w:rsidP="008323FD">
      <w:pPr>
        <w:pStyle w:val="NormalWeb"/>
        <w:jc w:val="both"/>
        <w:rPr>
          <w:b/>
          <w:i/>
        </w:rPr>
      </w:pPr>
      <w:r w:rsidRPr="008323FD">
        <w:rPr>
          <w:b/>
          <w:i/>
        </w:rPr>
        <w:t>Media severidad:</w:t>
      </w:r>
    </w:p>
    <w:p w14:paraId="4A6F7B43" w14:textId="77777777" w:rsidR="008323FD" w:rsidRDefault="008323FD" w:rsidP="008323FD">
      <w:pPr>
        <w:pStyle w:val="NormalWeb"/>
        <w:numPr>
          <w:ilvl w:val="0"/>
          <w:numId w:val="13"/>
        </w:numPr>
        <w:jc w:val="both"/>
      </w:pPr>
      <w:r>
        <w:t>No se documenta de forma explícita la alimentación analógica dedicada para sensores activos (</w:t>
      </w:r>
      <w:proofErr w:type="spellStart"/>
      <w:r>
        <w:t>AVcc_SENS</w:t>
      </w:r>
      <w:proofErr w:type="spellEnd"/>
      <w:r>
        <w:t>) ni el retorno analógico asociado (AGND_SENS), ni su unión controlada a GND.</w:t>
      </w:r>
    </w:p>
    <w:p w14:paraId="31D88ADD" w14:textId="77777777" w:rsidR="008323FD" w:rsidRDefault="008323FD" w:rsidP="008323FD">
      <w:pPr>
        <w:pStyle w:val="NormalWeb"/>
        <w:numPr>
          <w:ilvl w:val="0"/>
          <w:numId w:val="13"/>
        </w:numPr>
        <w:jc w:val="both"/>
      </w:pPr>
      <w:r>
        <w:t>La telemetría implementada es parcial y no incluye medición sistemática de rieles, batería ni corriente hacia sensores.</w:t>
      </w:r>
    </w:p>
    <w:p w14:paraId="5B540BBD" w14:textId="77777777" w:rsidR="008323FD" w:rsidRDefault="008323FD" w:rsidP="008323FD">
      <w:pPr>
        <w:pStyle w:val="NormalWeb"/>
        <w:numPr>
          <w:ilvl w:val="0"/>
          <w:numId w:val="13"/>
        </w:numPr>
        <w:jc w:val="both"/>
      </w:pPr>
      <w:r>
        <w:t>No se evidencian protecciones ESD específicas de baja capacitancia en las entradas analógicas.</w:t>
      </w:r>
    </w:p>
    <w:p w14:paraId="42532821" w14:textId="77777777" w:rsidR="008323FD" w:rsidRPr="008323FD" w:rsidRDefault="008323FD" w:rsidP="008323FD">
      <w:pPr>
        <w:pStyle w:val="NormalWeb"/>
        <w:jc w:val="both"/>
        <w:rPr>
          <w:b/>
          <w:i/>
        </w:rPr>
      </w:pPr>
      <w:r w:rsidRPr="008323FD">
        <w:rPr>
          <w:b/>
          <w:i/>
        </w:rPr>
        <w:t>Baja severidad:</w:t>
      </w:r>
    </w:p>
    <w:p w14:paraId="0B3744FF" w14:textId="77777777" w:rsidR="008323FD" w:rsidRDefault="008323FD" w:rsidP="008323FD">
      <w:pPr>
        <w:pStyle w:val="NormalWeb"/>
        <w:numPr>
          <w:ilvl w:val="0"/>
          <w:numId w:val="13"/>
        </w:numPr>
        <w:jc w:val="both"/>
      </w:pPr>
      <w:r>
        <w:t>Ausencia de pines de prueba claramente identificados para rieles, retornos y señales críticas.</w:t>
      </w:r>
    </w:p>
    <w:p w14:paraId="625E974B" w14:textId="77777777" w:rsidR="008323FD" w:rsidRDefault="008323FD" w:rsidP="008323FD">
      <w:pPr>
        <w:pStyle w:val="NormalWeb"/>
        <w:numPr>
          <w:ilvl w:val="0"/>
          <w:numId w:val="13"/>
        </w:numPr>
        <w:jc w:val="both"/>
      </w:pPr>
      <w:r>
        <w:t>Falta de indicadores visuales (</w:t>
      </w:r>
      <w:proofErr w:type="spellStart"/>
      <w:r>
        <w:t>LEDs</w:t>
      </w:r>
      <w:proofErr w:type="spellEnd"/>
      <w:r>
        <w:t>) de estado del equipo.</w:t>
      </w:r>
    </w:p>
    <w:p w14:paraId="61DEFBF9" w14:textId="77777777" w:rsidR="008323FD" w:rsidRDefault="008323FD" w:rsidP="008323FD">
      <w:pPr>
        <w:pStyle w:val="NormalWeb"/>
        <w:numPr>
          <w:ilvl w:val="0"/>
          <w:numId w:val="13"/>
        </w:numPr>
        <w:jc w:val="both"/>
      </w:pPr>
      <w:r>
        <w:t>Uso de conectores genéricos no polarizados que incrementan el riesgo de error de conexión en campo.</w:t>
      </w:r>
    </w:p>
    <w:p w14:paraId="42757698" w14:textId="77777777" w:rsidR="008323FD" w:rsidRPr="008323FD" w:rsidRDefault="008323FD" w:rsidP="008323FD">
      <w:pPr>
        <w:pStyle w:val="NormalWeb"/>
        <w:jc w:val="both"/>
        <w:rPr>
          <w:b/>
        </w:rPr>
      </w:pPr>
      <w:r w:rsidRPr="008323FD">
        <w:rPr>
          <w:b/>
        </w:rPr>
        <w:t>Recomendaciones de diseño.</w:t>
      </w:r>
    </w:p>
    <w:p w14:paraId="2F5377B7" w14:textId="77777777" w:rsidR="008323FD" w:rsidRDefault="008323FD" w:rsidP="008323FD">
      <w:pPr>
        <w:pStyle w:val="NormalWeb"/>
        <w:numPr>
          <w:ilvl w:val="0"/>
          <w:numId w:val="16"/>
        </w:numPr>
        <w:jc w:val="both"/>
      </w:pPr>
      <w:r>
        <w:t xml:space="preserve">Replantear el </w:t>
      </w:r>
      <w:proofErr w:type="spellStart"/>
      <w:r>
        <w:t>front</w:t>
      </w:r>
      <w:r>
        <w:noBreakHyphen/>
        <w:t>end</w:t>
      </w:r>
      <w:proofErr w:type="spellEnd"/>
      <w:r>
        <w:t xml:space="preserve"> analógico priorizando la reducción de ruido y la estabilidad, minimizando amplificación innecesaria y justificando cuantitativamente cualquier ganancia adicional.</w:t>
      </w:r>
    </w:p>
    <w:p w14:paraId="302480CC" w14:textId="77777777" w:rsidR="008323FD" w:rsidRDefault="008323FD" w:rsidP="008323FD">
      <w:pPr>
        <w:pStyle w:val="NormalWeb"/>
        <w:numPr>
          <w:ilvl w:val="0"/>
          <w:numId w:val="16"/>
        </w:numPr>
        <w:jc w:val="both"/>
      </w:pPr>
      <w:r>
        <w:t>Definir explícitamente la interfaz de sensores: entradas diferenciales, niveles típicos de señal, filtrado de entrada, protección ESD y ruteo diferencial simétrico.</w:t>
      </w:r>
    </w:p>
    <w:p w14:paraId="036DD95F" w14:textId="77777777" w:rsidR="008323FD" w:rsidRDefault="008323FD" w:rsidP="008323FD">
      <w:pPr>
        <w:pStyle w:val="NormalWeb"/>
        <w:numPr>
          <w:ilvl w:val="0"/>
          <w:numId w:val="16"/>
        </w:numPr>
        <w:jc w:val="both"/>
      </w:pPr>
      <w:r>
        <w:t xml:space="preserve">Implementar y documentar </w:t>
      </w:r>
      <w:proofErr w:type="spellStart"/>
      <w:r>
        <w:t>AVcc_SENS</w:t>
      </w:r>
      <w:proofErr w:type="spellEnd"/>
      <w:r>
        <w:t xml:space="preserve"> y AGND_SENS para sensores activos, con filtrado, desacoplo y unión controlada a GND.</w:t>
      </w:r>
    </w:p>
    <w:p w14:paraId="2838BB06" w14:textId="77777777" w:rsidR="008323FD" w:rsidRDefault="008323FD" w:rsidP="008323FD">
      <w:pPr>
        <w:pStyle w:val="NormalWeb"/>
        <w:numPr>
          <w:ilvl w:val="0"/>
          <w:numId w:val="16"/>
        </w:numPr>
        <w:jc w:val="both"/>
      </w:pPr>
      <w:r>
        <w:t>Documentar la arquitectura de sincronización con GPS externo, incluyendo señal 1PPS y criterios EMC.</w:t>
      </w:r>
    </w:p>
    <w:p w14:paraId="236BA0C9" w14:textId="77777777" w:rsidR="008323FD" w:rsidRDefault="008323FD" w:rsidP="008323FD">
      <w:pPr>
        <w:pStyle w:val="NormalWeb"/>
        <w:numPr>
          <w:ilvl w:val="0"/>
          <w:numId w:val="16"/>
        </w:numPr>
        <w:jc w:val="both"/>
      </w:pPr>
      <w:r>
        <w:t xml:space="preserve">Incorporar pines de prueba, </w:t>
      </w:r>
      <w:proofErr w:type="spellStart"/>
      <w:r>
        <w:t>LEDs</w:t>
      </w:r>
      <w:proofErr w:type="spellEnd"/>
      <w:r>
        <w:t xml:space="preserve"> de estado y conectores polarizados adecuados para uso en campo.</w:t>
      </w:r>
    </w:p>
    <w:p w14:paraId="7303FD0F" w14:textId="77777777" w:rsidR="008323FD" w:rsidRPr="008323FD" w:rsidRDefault="008323FD" w:rsidP="008323FD">
      <w:pPr>
        <w:pStyle w:val="NormalWeb"/>
        <w:jc w:val="both"/>
        <w:rPr>
          <w:b/>
        </w:rPr>
      </w:pPr>
      <w:proofErr w:type="spellStart"/>
      <w:r w:rsidRPr="008323FD">
        <w:rPr>
          <w:b/>
        </w:rPr>
        <w:t>Checklist</w:t>
      </w:r>
      <w:proofErr w:type="spellEnd"/>
      <w:r w:rsidRPr="008323FD">
        <w:rPr>
          <w:b/>
        </w:rPr>
        <w:t xml:space="preserve"> de implementación:</w:t>
      </w:r>
    </w:p>
    <w:p w14:paraId="7B101192" w14:textId="77777777" w:rsidR="008323FD" w:rsidRDefault="008323FD" w:rsidP="008323FD">
      <w:pPr>
        <w:pStyle w:val="NormalWeb"/>
        <w:numPr>
          <w:ilvl w:val="0"/>
          <w:numId w:val="19"/>
        </w:numPr>
        <w:jc w:val="both"/>
      </w:pPr>
      <w:r>
        <w:t>Arquitectura de entrada diferencial documentada para acelerómetros y geófonos.</w:t>
      </w:r>
    </w:p>
    <w:p w14:paraId="327F0840" w14:textId="77777777" w:rsidR="008323FD" w:rsidRDefault="008323FD" w:rsidP="008323FD">
      <w:pPr>
        <w:pStyle w:val="NormalWeb"/>
        <w:numPr>
          <w:ilvl w:val="0"/>
          <w:numId w:val="19"/>
        </w:numPr>
        <w:jc w:val="both"/>
      </w:pPr>
      <w:r>
        <w:t>Estrategia de minimización de ruido validable en esquemático y PCB.</w:t>
      </w:r>
    </w:p>
    <w:p w14:paraId="4E6C3C9E" w14:textId="77777777" w:rsidR="008323FD" w:rsidRDefault="008323FD" w:rsidP="008323FD">
      <w:pPr>
        <w:pStyle w:val="NormalWeb"/>
        <w:numPr>
          <w:ilvl w:val="0"/>
          <w:numId w:val="19"/>
        </w:numPr>
        <w:jc w:val="both"/>
      </w:pPr>
      <w:proofErr w:type="spellStart"/>
      <w:r>
        <w:t>AVcc_SENS</w:t>
      </w:r>
      <w:proofErr w:type="spellEnd"/>
      <w:r>
        <w:t xml:space="preserve"> y AGND_SENS definidos y correctamente filtrados.</w:t>
      </w:r>
    </w:p>
    <w:p w14:paraId="295E4A2C" w14:textId="77777777" w:rsidR="008323FD" w:rsidRDefault="008323FD" w:rsidP="008323FD">
      <w:pPr>
        <w:pStyle w:val="NormalWeb"/>
        <w:numPr>
          <w:ilvl w:val="0"/>
          <w:numId w:val="19"/>
        </w:numPr>
        <w:jc w:val="both"/>
      </w:pPr>
      <w:r>
        <w:t>Interfaz GPS externo documentada.</w:t>
      </w:r>
    </w:p>
    <w:p w14:paraId="21504C7C" w14:textId="77777777" w:rsidR="008323FD" w:rsidRDefault="008323FD" w:rsidP="008323FD">
      <w:pPr>
        <w:pStyle w:val="NormalWeb"/>
        <w:numPr>
          <w:ilvl w:val="0"/>
          <w:numId w:val="19"/>
        </w:numPr>
        <w:jc w:val="both"/>
      </w:pPr>
      <w:r>
        <w:lastRenderedPageBreak/>
        <w:t>Control de carga y fuente de respaldo evidenciados.</w:t>
      </w:r>
    </w:p>
    <w:p w14:paraId="2092E400" w14:textId="77777777" w:rsidR="008323FD" w:rsidRDefault="008323FD" w:rsidP="008323FD">
      <w:pPr>
        <w:pStyle w:val="NormalWeb"/>
        <w:numPr>
          <w:ilvl w:val="0"/>
          <w:numId w:val="19"/>
        </w:numPr>
        <w:jc w:val="both"/>
      </w:pPr>
      <w:r>
        <w:t>Telemetría completa implementada.</w:t>
      </w:r>
    </w:p>
    <w:p w14:paraId="3E419B42" w14:textId="77777777" w:rsidR="008323FD" w:rsidRPr="008323FD" w:rsidRDefault="008323FD" w:rsidP="008323FD">
      <w:pPr>
        <w:pStyle w:val="NormalWeb"/>
        <w:jc w:val="both"/>
        <w:rPr>
          <w:b/>
        </w:rPr>
      </w:pPr>
      <w:r w:rsidRPr="008323FD">
        <w:rPr>
          <w:b/>
        </w:rPr>
        <w:t>Conclusiones.</w:t>
      </w:r>
    </w:p>
    <w:p w14:paraId="75EE02D9" w14:textId="77777777" w:rsidR="008323FD" w:rsidRDefault="008323FD" w:rsidP="008323FD">
      <w:pPr>
        <w:pStyle w:val="NormalWeb"/>
        <w:jc w:val="both"/>
      </w:pPr>
      <w:r>
        <w:t>El diseño presenta riesgos EMC relevantes asociados al manejo de entradas analógicas sensibles y a la gestión de potencia y sincronización. En su estado documental actual no es posible verificar el cumplimiento completo de los criterios EMC del ítem 25.</w:t>
      </w:r>
    </w:p>
    <w:p w14:paraId="46F030CC" w14:textId="77777777" w:rsidR="008323FD" w:rsidRPr="008323FD" w:rsidRDefault="008323FD" w:rsidP="008323FD">
      <w:pPr>
        <w:pStyle w:val="NormalWeb"/>
        <w:jc w:val="both"/>
        <w:rPr>
          <w:b/>
        </w:rPr>
      </w:pPr>
      <w:r w:rsidRPr="008323FD">
        <w:rPr>
          <w:b/>
        </w:rPr>
        <w:t>Observación principal:</w:t>
      </w:r>
    </w:p>
    <w:p w14:paraId="078CE698" w14:textId="77777777" w:rsidR="008323FD" w:rsidRDefault="008323FD" w:rsidP="008323FD">
      <w:pPr>
        <w:pStyle w:val="NormalWeb"/>
        <w:jc w:val="both"/>
      </w:pPr>
      <w:r>
        <w:t>El riesgo dominante del diseño es la falta de control documentado del ruido interno en las entradas diferenciales de sensores sísmicos, lo que compromete el rango dinámico efectivo del sistema.</w:t>
      </w:r>
    </w:p>
    <w:p w14:paraId="6CD7F805" w14:textId="77777777" w:rsidR="00F421D3" w:rsidRPr="008323FD" w:rsidRDefault="00F421D3" w:rsidP="008323FD">
      <w:pPr>
        <w:jc w:val="both"/>
      </w:pPr>
    </w:p>
    <w:sectPr w:rsidR="00F421D3" w:rsidRPr="008323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47DB7"/>
    <w:multiLevelType w:val="hybridMultilevel"/>
    <w:tmpl w:val="771CE7E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C9738DC"/>
    <w:multiLevelType w:val="multilevel"/>
    <w:tmpl w:val="25D84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E7591"/>
    <w:multiLevelType w:val="multilevel"/>
    <w:tmpl w:val="F966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A7060"/>
    <w:multiLevelType w:val="multilevel"/>
    <w:tmpl w:val="A47E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C6687"/>
    <w:multiLevelType w:val="multilevel"/>
    <w:tmpl w:val="23D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319A6"/>
    <w:multiLevelType w:val="multilevel"/>
    <w:tmpl w:val="3B6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546D2"/>
    <w:multiLevelType w:val="multilevel"/>
    <w:tmpl w:val="7264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E6E11"/>
    <w:multiLevelType w:val="multilevel"/>
    <w:tmpl w:val="8A3E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C3809"/>
    <w:multiLevelType w:val="multilevel"/>
    <w:tmpl w:val="D1F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1066F"/>
    <w:multiLevelType w:val="multilevel"/>
    <w:tmpl w:val="1F8EF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041CC"/>
    <w:multiLevelType w:val="multilevel"/>
    <w:tmpl w:val="D12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B771F"/>
    <w:multiLevelType w:val="multilevel"/>
    <w:tmpl w:val="8452A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D6844"/>
    <w:multiLevelType w:val="multilevel"/>
    <w:tmpl w:val="9AFC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C6DE2"/>
    <w:multiLevelType w:val="multilevel"/>
    <w:tmpl w:val="6B1C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7511E"/>
    <w:multiLevelType w:val="multilevel"/>
    <w:tmpl w:val="870AEC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3524D"/>
    <w:multiLevelType w:val="multilevel"/>
    <w:tmpl w:val="4932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91FEB"/>
    <w:multiLevelType w:val="multilevel"/>
    <w:tmpl w:val="4E9C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35EF5"/>
    <w:multiLevelType w:val="multilevel"/>
    <w:tmpl w:val="3B069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D52D1"/>
    <w:multiLevelType w:val="multilevel"/>
    <w:tmpl w:val="E0EC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2"/>
  </w:num>
  <w:num w:numId="3">
    <w:abstractNumId w:val="11"/>
  </w:num>
  <w:num w:numId="4">
    <w:abstractNumId w:val="5"/>
  </w:num>
  <w:num w:numId="5">
    <w:abstractNumId w:val="7"/>
  </w:num>
  <w:num w:numId="6">
    <w:abstractNumId w:val="17"/>
  </w:num>
  <w:num w:numId="7">
    <w:abstractNumId w:val="9"/>
  </w:num>
  <w:num w:numId="8">
    <w:abstractNumId w:val="1"/>
  </w:num>
  <w:num w:numId="9">
    <w:abstractNumId w:val="6"/>
  </w:num>
  <w:num w:numId="10">
    <w:abstractNumId w:val="8"/>
  </w:num>
  <w:num w:numId="11">
    <w:abstractNumId w:val="13"/>
  </w:num>
  <w:num w:numId="12">
    <w:abstractNumId w:val="18"/>
  </w:num>
  <w:num w:numId="13">
    <w:abstractNumId w:val="14"/>
  </w:num>
  <w:num w:numId="14">
    <w:abstractNumId w:val="2"/>
  </w:num>
  <w:num w:numId="15">
    <w:abstractNumId w:val="4"/>
  </w:num>
  <w:num w:numId="16">
    <w:abstractNumId w:val="10"/>
  </w:num>
  <w:num w:numId="17">
    <w:abstractNumId w:val="16"/>
  </w:num>
  <w:num w:numId="18">
    <w:abstractNumId w:val="0"/>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91E"/>
    <w:rsid w:val="0052691E"/>
    <w:rsid w:val="00696560"/>
    <w:rsid w:val="008323FD"/>
    <w:rsid w:val="008B14CC"/>
    <w:rsid w:val="00E0175D"/>
    <w:rsid w:val="00E53091"/>
    <w:rsid w:val="00F027B4"/>
    <w:rsid w:val="00F421D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F896"/>
  <w15:chartTrackingRefBased/>
  <w15:docId w15:val="{237782BD-9A3B-4987-851C-44E91C63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E530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3091"/>
    <w:rPr>
      <w:rFonts w:ascii="Times New Roman" w:eastAsia="Times New Roman" w:hAnsi="Times New Roman" w:cs="Times New Roman"/>
      <w:b/>
      <w:bCs/>
      <w:kern w:val="36"/>
      <w:sz w:val="48"/>
      <w:szCs w:val="48"/>
      <w:lang w:eastAsia="es-419"/>
    </w:rPr>
  </w:style>
  <w:style w:type="paragraph" w:styleId="NormalWeb">
    <w:name w:val="Normal (Web)"/>
    <w:basedOn w:val="Normal"/>
    <w:uiPriority w:val="99"/>
    <w:semiHidden/>
    <w:unhideWhenUsed/>
    <w:rsid w:val="00E53091"/>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743346">
      <w:bodyDiv w:val="1"/>
      <w:marLeft w:val="0"/>
      <w:marRight w:val="0"/>
      <w:marTop w:val="0"/>
      <w:marBottom w:val="0"/>
      <w:divBdr>
        <w:top w:val="none" w:sz="0" w:space="0" w:color="auto"/>
        <w:left w:val="none" w:sz="0" w:space="0" w:color="auto"/>
        <w:bottom w:val="none" w:sz="0" w:space="0" w:color="auto"/>
        <w:right w:val="none" w:sz="0" w:space="0" w:color="auto"/>
      </w:divBdr>
    </w:div>
    <w:div w:id="920944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3</Pages>
  <Words>772</Words>
  <Characters>4247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 Guevara</dc:creator>
  <cp:keywords/>
  <dc:description/>
  <cp:lastModifiedBy>Remigio Guevara</cp:lastModifiedBy>
  <cp:revision>5</cp:revision>
  <dcterms:created xsi:type="dcterms:W3CDTF">2026-01-03T02:23:00Z</dcterms:created>
  <dcterms:modified xsi:type="dcterms:W3CDTF">2026-01-05T20:41:00Z</dcterms:modified>
</cp:coreProperties>
</file>