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0CA47A" w14:textId="68A48596" w:rsidR="001167C4" w:rsidRPr="001167C4" w:rsidRDefault="001167C4" w:rsidP="001167C4">
      <w:pPr>
        <w:pStyle w:val="NormalWeb"/>
        <w:jc w:val="both"/>
        <w:rPr>
          <w:b/>
        </w:rPr>
      </w:pPr>
      <w:r w:rsidRPr="001167C4">
        <w:rPr>
          <w:b/>
        </w:rPr>
        <w:t>Nota general para el diseño de las tarjetas.</w:t>
      </w:r>
    </w:p>
    <w:p w14:paraId="5C907D65" w14:textId="107296B7" w:rsidR="001167C4" w:rsidRDefault="001167C4" w:rsidP="001167C4">
      <w:pPr>
        <w:pStyle w:val="NormalWeb"/>
        <w:jc w:val="both"/>
      </w:pPr>
      <w:r>
        <w:t>El uso de la interfaz USB en las tarjetas no debe interpretarse como un canal operativo permanente, sino como un medio necesario para el flasheo y mantenimiento del microcontrolador STP32. Si bien en una etapa previa se indicó que el USB no era requerido, esta afirmación omitía un aspecto fundamental: todo microcontrolador debe disponer de un mecanismo claro, reproducible y seguro para su programación inicial y futuras actualizaciones de firmware. En ese sentido, corresponde al contratista prever y definir explícitamente dicha estrategia de programación.</w:t>
      </w:r>
    </w:p>
    <w:p w14:paraId="2E277EB5" w14:textId="4797E249" w:rsidR="001167C4" w:rsidRDefault="001167C4" w:rsidP="001167C4">
      <w:pPr>
        <w:pStyle w:val="NormalWeb"/>
        <w:jc w:val="both"/>
      </w:pPr>
      <w:r>
        <w:t>Si se opta por no incorporar conectores USB tipo C en el diseño final, debe definirse una alternativa funcional equivalente</w:t>
      </w:r>
      <w:r>
        <w:t>;</w:t>
      </w:r>
      <w:bookmarkStart w:id="0" w:name="_GoBack"/>
      <w:bookmarkEnd w:id="0"/>
      <w:r>
        <w:t xml:space="preserve"> por </w:t>
      </w:r>
      <w:r>
        <w:t>ejemplo,</w:t>
      </w:r>
      <w:r>
        <w:t xml:space="preserve"> mediante el uso del USART del STP32 y un conversor externo USB–USART. Esta solución mantiene la capacidad de flasheo y depuración y, adicionalmente, facilita la integración con conectores industriales M8 o M12 en el contenedor, reduciendo la complejidad mecánica y eléctrica y favoreciendo el uso de interfaces de menor velocidad, más robustas y más adecuadas para el entorno operativo previsto.</w:t>
      </w:r>
    </w:p>
    <w:p w14:paraId="3C34B8A0" w14:textId="77777777" w:rsidR="001167C4" w:rsidRDefault="001167C4" w:rsidP="001167C4">
      <w:pPr>
        <w:pStyle w:val="NormalWeb"/>
        <w:jc w:val="both"/>
      </w:pPr>
      <w:r>
        <w:t>De forma complementaria, el diseño de las tarjetas debe incorporar conectores adecuados que impidan físicamente la conexión invertida de cables, especialmente en alimentación y comunicaciones. Este criterio no es solo una buena práctica de diseño, sino que se alinea con las especificaciones técnicas que exigen evitar ambigüedades en las conexiones, minimizar el riesgo de errores de instalación y garantizar la mantenibilidad y operación segura del sistema, particularmente cuando se emplean conectores M8 y M12 en contenedores IP67/IP68.</w:t>
      </w:r>
    </w:p>
    <w:p w14:paraId="4D9BA7EB" w14:textId="77777777" w:rsidR="001167C4" w:rsidRDefault="001167C4" w:rsidP="001167C4">
      <w:pPr>
        <w:pStyle w:val="NormalWeb"/>
        <w:jc w:val="both"/>
      </w:pPr>
      <w:r>
        <w:t xml:space="preserve">Asimismo, la inclusión de </w:t>
      </w:r>
      <w:proofErr w:type="spellStart"/>
      <w:r>
        <w:t>LEDs</w:t>
      </w:r>
      <w:proofErr w:type="spellEnd"/>
      <w:r>
        <w:t xml:space="preserve"> indicadores en las tarjetas responde a un criterio funcional y de mantenibilidad, ya que permiten una verificación rápida del estado de alimentación, operación y comunicación durante las etapas de integración, puesta en marcha, mantenimiento y diagnóstico. Este aspecto es coherente con las especificaciones técnicas que demandan facilidades para verificación, pruebas, monitoreo del estado del sistema y soporte operativo, y debe considerarse parte integral del diseño del hardware, independientemente de que el equipo opere de forma autónoma en condiciones normales.</w:t>
      </w:r>
    </w:p>
    <w:p w14:paraId="0F054BC2" w14:textId="77777777" w:rsidR="00F421D3" w:rsidRDefault="00F421D3" w:rsidP="001167C4">
      <w:pPr>
        <w:jc w:val="both"/>
      </w:pPr>
    </w:p>
    <w:sectPr w:rsidR="00F421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59A"/>
    <w:rsid w:val="001167C4"/>
    <w:rsid w:val="0037559A"/>
    <w:rsid w:val="00E0175D"/>
    <w:rsid w:val="00F421D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5BB62"/>
  <w15:chartTrackingRefBased/>
  <w15:docId w15:val="{B5FF878C-1E23-4D77-92A7-43FE5FAF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167C4"/>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715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351</Words>
  <Characters>1931</Characters>
  <Application>Microsoft Office Word</Application>
  <DocSecurity>0</DocSecurity>
  <Lines>16</Lines>
  <Paragraphs>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 Guevara</dc:creator>
  <cp:keywords/>
  <dc:description/>
  <cp:lastModifiedBy>Remigio Guevara</cp:lastModifiedBy>
  <cp:revision>2</cp:revision>
  <dcterms:created xsi:type="dcterms:W3CDTF">2026-01-05T21:28:00Z</dcterms:created>
  <dcterms:modified xsi:type="dcterms:W3CDTF">2026-01-05T21:30:00Z</dcterms:modified>
</cp:coreProperties>
</file>