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7B65" w14:textId="7414E6E3" w:rsidR="00207AED" w:rsidRPr="00BD5C80" w:rsidRDefault="00000000" w:rsidP="00BD5C80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BD5C80">
        <w:rPr>
          <w:rFonts w:ascii="Times New Roman" w:hAnsi="Times New Roman" w:cs="Times New Roman"/>
          <w:color w:val="auto"/>
          <w:lang w:val="es-EC"/>
        </w:rPr>
        <w:t>Nota Técnica – Respuesta del Contratista</w:t>
      </w:r>
      <w:r w:rsidRPr="00BD5C80">
        <w:rPr>
          <w:rFonts w:ascii="Times New Roman" w:hAnsi="Times New Roman" w:cs="Times New Roman"/>
          <w:color w:val="auto"/>
          <w:lang w:val="es-EC"/>
        </w:rPr>
        <w:br/>
      </w:r>
      <w:r w:rsidR="0053750D">
        <w:rPr>
          <w:rFonts w:ascii="Times New Roman" w:hAnsi="Times New Roman" w:cs="Times New Roman"/>
          <w:color w:val="auto"/>
          <w:lang w:val="es-EC"/>
        </w:rPr>
        <w:t>Termocuplas</w:t>
      </w:r>
      <w:r w:rsidRPr="00BD5C80">
        <w:rPr>
          <w:rFonts w:ascii="Times New Roman" w:hAnsi="Times New Roman" w:cs="Times New Roman"/>
          <w:color w:val="auto"/>
          <w:lang w:val="es-EC"/>
        </w:rPr>
        <w:t xml:space="preserve"> (Ítem </w:t>
      </w:r>
      <w:r w:rsidR="0053750D">
        <w:rPr>
          <w:rFonts w:ascii="Times New Roman" w:hAnsi="Times New Roman" w:cs="Times New Roman"/>
          <w:color w:val="auto"/>
          <w:lang w:val="es-EC"/>
        </w:rPr>
        <w:t>67</w:t>
      </w:r>
      <w:r w:rsidRPr="00BD5C80">
        <w:rPr>
          <w:rFonts w:ascii="Times New Roman" w:hAnsi="Times New Roman" w:cs="Times New Roman"/>
          <w:color w:val="auto"/>
          <w:lang w:val="es-EC"/>
        </w:rPr>
        <w:t>)</w:t>
      </w:r>
    </w:p>
    <w:p w14:paraId="2420C528" w14:textId="77777777" w:rsidR="00207AED" w:rsidRPr="00BD5C80" w:rsidRDefault="00207AED" w:rsidP="00BA35E7">
      <w:pPr>
        <w:jc w:val="both"/>
        <w:rPr>
          <w:rFonts w:ascii="Times New Roman" w:hAnsi="Times New Roman" w:cs="Times New Roman"/>
          <w:lang w:val="es-EC"/>
        </w:rPr>
      </w:pPr>
    </w:p>
    <w:p w14:paraId="183865ED" w14:textId="3F1D14D1" w:rsidR="00207AED" w:rsidRPr="00BD5C80" w:rsidRDefault="00000000" w:rsidP="00BA35E7">
      <w:pPr>
        <w:jc w:val="both"/>
        <w:rPr>
          <w:rFonts w:ascii="Times New Roman" w:hAnsi="Times New Roman" w:cs="Times New Roman"/>
          <w:lang w:val="es-EC"/>
        </w:rPr>
      </w:pPr>
      <w:r w:rsidRPr="00BD5C80">
        <w:rPr>
          <w:rFonts w:ascii="Times New Roman" w:hAnsi="Times New Roman" w:cs="Times New Roman"/>
          <w:lang w:val="es-EC"/>
        </w:rPr>
        <w:t xml:space="preserve">Proyecto: Sistema RSA – </w:t>
      </w:r>
      <w:r w:rsidR="00F442CC" w:rsidRPr="00BD5C80">
        <w:rPr>
          <w:rFonts w:ascii="Times New Roman" w:hAnsi="Times New Roman" w:cs="Times New Roman"/>
          <w:lang w:val="es-EC"/>
        </w:rPr>
        <w:t>Digitalizador</w:t>
      </w:r>
    </w:p>
    <w:p w14:paraId="46AAF922" w14:textId="0D9F2A64" w:rsidR="00207AED" w:rsidRPr="0053750D" w:rsidRDefault="00000000" w:rsidP="00BA35E7">
      <w:pPr>
        <w:jc w:val="both"/>
        <w:rPr>
          <w:rFonts w:ascii="Times New Roman" w:hAnsi="Times New Roman" w:cs="Times New Roman"/>
          <w:lang w:val="es-EC"/>
        </w:rPr>
      </w:pPr>
      <w:r w:rsidRPr="00BD5C80">
        <w:rPr>
          <w:rFonts w:ascii="Times New Roman" w:hAnsi="Times New Roman" w:cs="Times New Roman"/>
          <w:lang w:val="es-EC"/>
        </w:rPr>
        <w:t xml:space="preserve">Ítem: </w:t>
      </w:r>
      <w:r w:rsidR="0053750D">
        <w:rPr>
          <w:rFonts w:ascii="Times New Roman" w:hAnsi="Times New Roman" w:cs="Times New Roman"/>
          <w:lang w:val="es-EC"/>
        </w:rPr>
        <w:t xml:space="preserve">67 - </w:t>
      </w:r>
      <w:r w:rsidR="0053750D" w:rsidRPr="0053750D">
        <w:rPr>
          <w:rFonts w:ascii="Times New Roman" w:hAnsi="Times New Roman" w:cs="Times New Roman"/>
          <w:lang w:val="es-EC"/>
        </w:rPr>
        <w:t>Circuito impreso para termocuplas</w:t>
      </w:r>
    </w:p>
    <w:p w14:paraId="2824647F" w14:textId="77777777" w:rsidR="00207AED" w:rsidRPr="00BD5C80" w:rsidRDefault="00000000" w:rsidP="00BA35E7">
      <w:pPr>
        <w:jc w:val="both"/>
        <w:rPr>
          <w:rFonts w:ascii="Times New Roman" w:hAnsi="Times New Roman" w:cs="Times New Roman"/>
          <w:lang w:val="es-EC"/>
        </w:rPr>
      </w:pPr>
      <w:r w:rsidRPr="00BD5C80">
        <w:rPr>
          <w:rFonts w:ascii="Times New Roman" w:hAnsi="Times New Roman" w:cs="Times New Roman"/>
          <w:lang w:val="es-EC"/>
        </w:rPr>
        <w:t>Objeto: Respuesta técnica a Nota Técnica EM1 (Versión 2)</w:t>
      </w:r>
    </w:p>
    <w:p w14:paraId="17301922" w14:textId="1AFBDB15" w:rsidR="00207AED" w:rsidRPr="00BD5C80" w:rsidRDefault="00BD5C80" w:rsidP="00BA35E7">
      <w:pPr>
        <w:jc w:val="both"/>
        <w:rPr>
          <w:rFonts w:ascii="Times New Roman" w:hAnsi="Times New Roman" w:cs="Times New Roman"/>
        </w:rPr>
      </w:pPr>
      <w:r w:rsidRPr="00BD5C80">
        <w:rPr>
          <w:rFonts w:ascii="Times New Roman" w:hAnsi="Times New Roman" w:cs="Times New Roman"/>
        </w:rPr>
        <w:t>Fecha: 2026-01-06</w:t>
      </w:r>
    </w:p>
    <w:p w14:paraId="53B27AE6" w14:textId="13EC5E1D" w:rsidR="008B3F38" w:rsidRDefault="008B3F38" w:rsidP="00BA35E7">
      <w:pPr>
        <w:pStyle w:val="Prrafodelista"/>
        <w:numPr>
          <w:ilvl w:val="0"/>
          <w:numId w:val="14"/>
        </w:numPr>
        <w:jc w:val="both"/>
        <w:rPr>
          <w:rStyle w:val="Ttulodellibro"/>
          <w:rFonts w:ascii="Times New Roman" w:hAnsi="Times New Roman" w:cs="Times New Roman"/>
          <w:sz w:val="24"/>
          <w:szCs w:val="24"/>
          <w:lang w:val="es-EC"/>
        </w:rPr>
      </w:pPr>
      <w:r w:rsidRPr="00BD5C80">
        <w:rPr>
          <w:rStyle w:val="Ttulodellibro"/>
          <w:rFonts w:ascii="Times New Roman" w:hAnsi="Times New Roman" w:cs="Times New Roman"/>
          <w:sz w:val="24"/>
          <w:szCs w:val="24"/>
          <w:lang w:val="es-EC"/>
        </w:rPr>
        <w:t>Antecedentes</w:t>
      </w:r>
    </w:p>
    <w:p w14:paraId="57F509BB" w14:textId="6FEE32EB" w:rsidR="00A83FD9" w:rsidRPr="00A83FD9" w:rsidRDefault="00A83FD9" w:rsidP="00A83FD9">
      <w:pPr>
        <w:jc w:val="both"/>
        <w:rPr>
          <w:b/>
          <w:bCs/>
          <w:smallCaps/>
          <w:lang w:val="es-EC"/>
        </w:rPr>
      </w:pPr>
      <w:r w:rsidRPr="00A83FD9">
        <w:rPr>
          <w:rFonts w:ascii="Times New Roman" w:hAnsi="Times New Roman" w:cs="Times New Roman"/>
          <w:lang w:val="es-EC"/>
        </w:rPr>
        <w:t>En el marco del proyecto para el desarrollo del módulo de medición de termocupla embebida en presa, se elaboró el diseño electrónico y esquemático del PCB (versión V2), considerando los requerimientos funcionales de adquisición de señales de baja amplitud, comunicación para lectura/configuración remota y operación en entorno de campo.</w:t>
      </w:r>
    </w:p>
    <w:p w14:paraId="1E44D17A" w14:textId="60DE6837" w:rsidR="008B3F38" w:rsidRDefault="008B3F38" w:rsidP="00BA35E7">
      <w:pPr>
        <w:pStyle w:val="Prrafodelista"/>
        <w:numPr>
          <w:ilvl w:val="0"/>
          <w:numId w:val="14"/>
        </w:numPr>
        <w:jc w:val="both"/>
        <w:rPr>
          <w:rStyle w:val="Ttulodellibro"/>
          <w:rFonts w:ascii="Times New Roman" w:hAnsi="Times New Roman" w:cs="Times New Roman"/>
          <w:sz w:val="24"/>
          <w:szCs w:val="24"/>
          <w:lang w:val="es-EC"/>
        </w:rPr>
      </w:pPr>
      <w:r w:rsidRPr="00BD5C80">
        <w:rPr>
          <w:rStyle w:val="Ttulodellibro"/>
          <w:rFonts w:ascii="Times New Roman" w:hAnsi="Times New Roman" w:cs="Times New Roman"/>
          <w:sz w:val="24"/>
          <w:szCs w:val="24"/>
          <w:lang w:val="es-EC"/>
        </w:rPr>
        <w:t>Alcance de la respuesta</w:t>
      </w:r>
    </w:p>
    <w:p w14:paraId="659CAB37" w14:textId="0A02A335" w:rsidR="00A83FD9" w:rsidRPr="00A83FD9" w:rsidRDefault="00A83FD9" w:rsidP="00A83FD9">
      <w:pPr>
        <w:jc w:val="both"/>
        <w:rPr>
          <w:lang w:val="es-EC"/>
        </w:rPr>
      </w:pPr>
      <w:r w:rsidRPr="00A83FD9">
        <w:rPr>
          <w:lang w:val="es-EC"/>
        </w:rPr>
        <w:t>La presente revisión comprende:</w:t>
      </w:r>
    </w:p>
    <w:p w14:paraId="4661582A" w14:textId="77777777" w:rsidR="00A83FD9" w:rsidRPr="00A83FD9" w:rsidRDefault="00A83FD9" w:rsidP="00A83FD9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s-EC"/>
        </w:rPr>
      </w:pPr>
      <w:r w:rsidRPr="00A83FD9">
        <w:rPr>
          <w:rFonts w:ascii="Times New Roman" w:hAnsi="Times New Roman" w:cs="Times New Roman"/>
          <w:lang w:val="es-EC"/>
        </w:rPr>
        <w:t xml:space="preserve">Análisis del </w:t>
      </w:r>
      <w:r w:rsidRPr="00A83FD9">
        <w:rPr>
          <w:rFonts w:ascii="Times New Roman" w:hAnsi="Times New Roman" w:cs="Times New Roman"/>
          <w:b/>
          <w:bCs/>
          <w:lang w:val="es-EC"/>
        </w:rPr>
        <w:t>esquemático del PCB (V2)</w:t>
      </w:r>
      <w:r w:rsidRPr="00A83FD9">
        <w:rPr>
          <w:rFonts w:ascii="Times New Roman" w:hAnsi="Times New Roman" w:cs="Times New Roman"/>
          <w:lang w:val="es-EC"/>
        </w:rPr>
        <w:t xml:space="preserve"> y contraste con las </w:t>
      </w:r>
      <w:r w:rsidRPr="00A83FD9">
        <w:rPr>
          <w:rFonts w:ascii="Times New Roman" w:hAnsi="Times New Roman" w:cs="Times New Roman"/>
          <w:b/>
          <w:bCs/>
          <w:lang w:val="es-EC"/>
        </w:rPr>
        <w:t>especificaciones originales</w:t>
      </w:r>
      <w:r w:rsidRPr="00A83FD9">
        <w:rPr>
          <w:rFonts w:ascii="Times New Roman" w:hAnsi="Times New Roman" w:cs="Times New Roman"/>
          <w:lang w:val="es-EC"/>
        </w:rPr>
        <w:t xml:space="preserve"> del sistema (control, comunicación, alimentación, requisitos de protección ESD, test </w:t>
      </w:r>
      <w:proofErr w:type="spellStart"/>
      <w:r w:rsidRPr="00A83FD9">
        <w:rPr>
          <w:rFonts w:ascii="Times New Roman" w:hAnsi="Times New Roman" w:cs="Times New Roman"/>
          <w:lang w:val="es-EC"/>
        </w:rPr>
        <w:t>points</w:t>
      </w:r>
      <w:proofErr w:type="spellEnd"/>
      <w:r w:rsidRPr="00A83FD9">
        <w:rPr>
          <w:rFonts w:ascii="Times New Roman" w:hAnsi="Times New Roman" w:cs="Times New Roman"/>
          <w:lang w:val="es-EC"/>
        </w:rPr>
        <w:t xml:space="preserve"> y enfoque DFM/ensamble).</w:t>
      </w:r>
    </w:p>
    <w:p w14:paraId="1F800E6A" w14:textId="77777777" w:rsidR="00A83FD9" w:rsidRPr="00A83FD9" w:rsidRDefault="00A83FD9" w:rsidP="00A83FD9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s-EC"/>
        </w:rPr>
      </w:pPr>
      <w:r w:rsidRPr="00A83FD9">
        <w:rPr>
          <w:rFonts w:ascii="Times New Roman" w:hAnsi="Times New Roman" w:cs="Times New Roman"/>
          <w:lang w:val="es-EC"/>
        </w:rPr>
        <w:t>Revisión técnica de los puntos observados relacionados con:</w:t>
      </w:r>
    </w:p>
    <w:p w14:paraId="0EB5B31B" w14:textId="77777777" w:rsidR="00A83FD9" w:rsidRPr="00A83FD9" w:rsidRDefault="00A83FD9" w:rsidP="00A83FD9">
      <w:pPr>
        <w:numPr>
          <w:ilvl w:val="1"/>
          <w:numId w:val="35"/>
        </w:numPr>
        <w:jc w:val="both"/>
        <w:rPr>
          <w:rFonts w:ascii="Times New Roman" w:hAnsi="Times New Roman" w:cs="Times New Roman"/>
          <w:lang w:val="es-EC"/>
        </w:rPr>
      </w:pPr>
      <w:r w:rsidRPr="00A83FD9">
        <w:rPr>
          <w:rFonts w:ascii="Times New Roman" w:hAnsi="Times New Roman" w:cs="Times New Roman"/>
          <w:lang w:val="es-EC"/>
        </w:rPr>
        <w:t>protección EMC en interfaces de campo (entrada de termocupla y RS485),</w:t>
      </w:r>
    </w:p>
    <w:p w14:paraId="6BA4C7EE" w14:textId="77777777" w:rsidR="00A83FD9" w:rsidRPr="00A83FD9" w:rsidRDefault="00A83FD9" w:rsidP="00A83FD9">
      <w:pPr>
        <w:numPr>
          <w:ilvl w:val="1"/>
          <w:numId w:val="35"/>
        </w:numPr>
        <w:jc w:val="both"/>
        <w:rPr>
          <w:rFonts w:ascii="Times New Roman" w:hAnsi="Times New Roman" w:cs="Times New Roman"/>
          <w:lang w:val="es-EC"/>
        </w:rPr>
      </w:pPr>
      <w:r w:rsidRPr="00A83FD9">
        <w:rPr>
          <w:rFonts w:ascii="Times New Roman" w:hAnsi="Times New Roman" w:cs="Times New Roman"/>
          <w:lang w:val="es-EC"/>
        </w:rPr>
        <w:t>definición de tierras (AGND/GND) y criterio de punto único,</w:t>
      </w:r>
    </w:p>
    <w:p w14:paraId="2B96ED59" w14:textId="77777777" w:rsidR="00A83FD9" w:rsidRPr="00A83FD9" w:rsidRDefault="00A83FD9" w:rsidP="00A83FD9">
      <w:pPr>
        <w:numPr>
          <w:ilvl w:val="1"/>
          <w:numId w:val="35"/>
        </w:numPr>
        <w:jc w:val="both"/>
        <w:rPr>
          <w:rFonts w:ascii="Times New Roman" w:hAnsi="Times New Roman" w:cs="Times New Roman"/>
          <w:lang w:val="es-EC"/>
        </w:rPr>
      </w:pPr>
      <w:proofErr w:type="spellStart"/>
      <w:r w:rsidRPr="00A83FD9">
        <w:rPr>
          <w:rFonts w:ascii="Times New Roman" w:hAnsi="Times New Roman" w:cs="Times New Roman"/>
          <w:lang w:val="es-EC"/>
        </w:rPr>
        <w:t>testabilidad</w:t>
      </w:r>
      <w:proofErr w:type="spellEnd"/>
      <w:r w:rsidRPr="00A83FD9">
        <w:rPr>
          <w:rFonts w:ascii="Times New Roman" w:hAnsi="Times New Roman" w:cs="Times New Roman"/>
          <w:lang w:val="es-EC"/>
        </w:rPr>
        <w:t xml:space="preserve"> (test </w:t>
      </w:r>
      <w:proofErr w:type="spellStart"/>
      <w:r w:rsidRPr="00A83FD9">
        <w:rPr>
          <w:rFonts w:ascii="Times New Roman" w:hAnsi="Times New Roman" w:cs="Times New Roman"/>
          <w:lang w:val="es-EC"/>
        </w:rPr>
        <w:t>points</w:t>
      </w:r>
      <w:proofErr w:type="spellEnd"/>
      <w:r w:rsidRPr="00A83FD9">
        <w:rPr>
          <w:rFonts w:ascii="Times New Roman" w:hAnsi="Times New Roman" w:cs="Times New Roman"/>
          <w:lang w:val="es-EC"/>
        </w:rPr>
        <w:t>) e indicadores (</w:t>
      </w:r>
      <w:proofErr w:type="spellStart"/>
      <w:r w:rsidRPr="00A83FD9">
        <w:rPr>
          <w:rFonts w:ascii="Times New Roman" w:hAnsi="Times New Roman" w:cs="Times New Roman"/>
          <w:lang w:val="es-EC"/>
        </w:rPr>
        <w:t>LEDs</w:t>
      </w:r>
      <w:proofErr w:type="spellEnd"/>
      <w:r w:rsidRPr="00A83FD9">
        <w:rPr>
          <w:rFonts w:ascii="Times New Roman" w:hAnsi="Times New Roman" w:cs="Times New Roman"/>
          <w:lang w:val="es-EC"/>
        </w:rPr>
        <w:t>),</w:t>
      </w:r>
    </w:p>
    <w:p w14:paraId="581C3AC9" w14:textId="77777777" w:rsidR="00A83FD9" w:rsidRPr="00A83FD9" w:rsidRDefault="00A83FD9" w:rsidP="00A83FD9">
      <w:pPr>
        <w:numPr>
          <w:ilvl w:val="1"/>
          <w:numId w:val="35"/>
        </w:numPr>
        <w:jc w:val="both"/>
        <w:rPr>
          <w:rFonts w:ascii="Times New Roman" w:hAnsi="Times New Roman" w:cs="Times New Roman"/>
          <w:lang w:val="es-EC"/>
        </w:rPr>
      </w:pPr>
      <w:r w:rsidRPr="00A83FD9">
        <w:rPr>
          <w:rFonts w:ascii="Times New Roman" w:hAnsi="Times New Roman" w:cs="Times New Roman"/>
          <w:lang w:val="es-EC"/>
        </w:rPr>
        <w:t xml:space="preserve">recomendaciones de </w:t>
      </w:r>
      <w:proofErr w:type="spellStart"/>
      <w:r w:rsidRPr="00A83FD9">
        <w:rPr>
          <w:rFonts w:ascii="Times New Roman" w:hAnsi="Times New Roman" w:cs="Times New Roman"/>
          <w:lang w:val="es-EC"/>
        </w:rPr>
        <w:t>layout</w:t>
      </w:r>
      <w:proofErr w:type="spellEnd"/>
      <w:r w:rsidRPr="00A83FD9">
        <w:rPr>
          <w:rFonts w:ascii="Times New Roman" w:hAnsi="Times New Roman" w:cs="Times New Roman"/>
          <w:lang w:val="es-EC"/>
        </w:rPr>
        <w:t xml:space="preserve"> para reducir </w:t>
      </w:r>
      <w:proofErr w:type="spellStart"/>
      <w:r w:rsidRPr="00A83FD9">
        <w:rPr>
          <w:rFonts w:ascii="Times New Roman" w:hAnsi="Times New Roman" w:cs="Times New Roman"/>
          <w:lang w:val="es-EC"/>
        </w:rPr>
        <w:t>acoplos</w:t>
      </w:r>
      <w:proofErr w:type="spellEnd"/>
      <w:r w:rsidRPr="00A83FD9">
        <w:rPr>
          <w:rFonts w:ascii="Times New Roman" w:hAnsi="Times New Roman" w:cs="Times New Roman"/>
          <w:lang w:val="es-EC"/>
        </w:rPr>
        <w:t xml:space="preserve"> por conmutación de potencia.</w:t>
      </w:r>
    </w:p>
    <w:p w14:paraId="3BE4DD19" w14:textId="78F82AD3" w:rsidR="008B3F38" w:rsidRPr="00BD5C80" w:rsidRDefault="00AB17B1" w:rsidP="006B0295">
      <w:pPr>
        <w:pStyle w:val="Prrafodelista"/>
        <w:numPr>
          <w:ilvl w:val="0"/>
          <w:numId w:val="14"/>
        </w:numPr>
        <w:jc w:val="both"/>
        <w:rPr>
          <w:rStyle w:val="Ttulodellibro"/>
          <w:rFonts w:ascii="Times New Roman" w:hAnsi="Times New Roman" w:cs="Times New Roman"/>
          <w:sz w:val="24"/>
          <w:szCs w:val="24"/>
          <w:lang w:val="es-EC"/>
        </w:rPr>
      </w:pPr>
      <w:r w:rsidRPr="00BD5C80">
        <w:rPr>
          <w:rStyle w:val="Ttulodellibro"/>
          <w:rFonts w:ascii="Times New Roman" w:hAnsi="Times New Roman" w:cs="Times New Roman"/>
          <w:sz w:val="24"/>
          <w:szCs w:val="24"/>
          <w:lang w:val="es-EC"/>
        </w:rPr>
        <w:t xml:space="preserve">Respuesta a observaciones del revisor </w:t>
      </w:r>
    </w:p>
    <w:p w14:paraId="3BC98F19" w14:textId="25DBCDE7" w:rsidR="006B0295" w:rsidRPr="006B0295" w:rsidRDefault="00AB17B1" w:rsidP="006B0295">
      <w:pPr>
        <w:pStyle w:val="Prrafodelista"/>
        <w:numPr>
          <w:ilvl w:val="1"/>
          <w:numId w:val="14"/>
        </w:numPr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 w:rsidRPr="00E316A4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“</w:t>
      </w:r>
      <w:r w:rsidR="00E316A4" w:rsidRPr="00E316A4">
        <w:rPr>
          <w:b/>
          <w:bCs/>
          <w:smallCaps/>
          <w:spacing w:val="5"/>
          <w:lang w:val="es-EC"/>
        </w:rPr>
        <w:t>La entrada de la termocupla no evidencia de forma completa una cadena de protección escalonada adecuada para cables largos expuestos (descarga a chasis, ESD, filtrado diferencial y modo común)</w:t>
      </w:r>
      <w:r w:rsidR="00E316A4">
        <w:rPr>
          <w:b/>
          <w:bCs/>
          <w:smallCaps/>
          <w:spacing w:val="5"/>
          <w:lang w:val="es-EC"/>
        </w:rPr>
        <w:t>.</w:t>
      </w:r>
      <w:r w:rsidRPr="00E316A4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”</w:t>
      </w:r>
    </w:p>
    <w:p w14:paraId="01258A11" w14:textId="23D4DED8" w:rsidR="00E316A4" w:rsidRDefault="00E316A4" w:rsidP="00E316A4">
      <w:pPr>
        <w:ind w:left="360"/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Respuesta:</w:t>
      </w:r>
    </w:p>
    <w:p w14:paraId="0D7E7BAF" w14:textId="58F99EB2" w:rsidR="00FB6081" w:rsidRPr="006B0295" w:rsidRDefault="00FB6081" w:rsidP="00FB6081">
      <w:pPr>
        <w:ind w:left="360"/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 w:rsidRPr="00FB6081">
        <w:rPr>
          <w:rFonts w:ascii="Times New Roman" w:hAnsi="Times New Roman" w:cs="Times New Roman"/>
          <w:lang w:val="es-EC"/>
        </w:rPr>
        <w:t xml:space="preserve">La observación </w:t>
      </w:r>
      <w:r w:rsidR="006B0295" w:rsidRPr="006B0295">
        <w:rPr>
          <w:rFonts w:ascii="Times New Roman" w:hAnsi="Times New Roman" w:cs="Times New Roman"/>
          <w:lang w:val="es-EC"/>
        </w:rPr>
        <w:t xml:space="preserve">tiene </w:t>
      </w:r>
      <w:r w:rsidR="006B0295">
        <w:rPr>
          <w:rFonts w:ascii="Times New Roman" w:hAnsi="Times New Roman" w:cs="Times New Roman"/>
          <w:b/>
          <w:bCs/>
          <w:lang w:val="es-EC"/>
        </w:rPr>
        <w:t xml:space="preserve">poca </w:t>
      </w:r>
      <w:r w:rsidR="006B0295" w:rsidRPr="006B0295">
        <w:rPr>
          <w:rFonts w:ascii="Times New Roman" w:hAnsi="Times New Roman" w:cs="Times New Roman"/>
          <w:b/>
          <w:bCs/>
          <w:lang w:val="es-EC"/>
        </w:rPr>
        <w:t>relevancia respecto a la funcionalidad del sistema</w:t>
      </w:r>
      <w:r w:rsidR="006B0295" w:rsidRPr="006B0295">
        <w:rPr>
          <w:rFonts w:ascii="Times New Roman" w:hAnsi="Times New Roman" w:cs="Times New Roman"/>
          <w:lang w:val="es-EC"/>
        </w:rPr>
        <w:t xml:space="preserve">, ya que no compromete la capacidad de adquisición ni la operación del módulo; corresponde a una </w:t>
      </w:r>
      <w:r w:rsidR="006B0295" w:rsidRPr="006B0295">
        <w:rPr>
          <w:rFonts w:ascii="Times New Roman" w:hAnsi="Times New Roman" w:cs="Times New Roman"/>
          <w:b/>
          <w:bCs/>
          <w:lang w:val="es-EC"/>
        </w:rPr>
        <w:t xml:space="preserve">mejora </w:t>
      </w:r>
      <w:r w:rsidR="006B0295" w:rsidRPr="006B0295">
        <w:rPr>
          <w:rFonts w:ascii="Times New Roman" w:hAnsi="Times New Roman" w:cs="Times New Roman"/>
          <w:b/>
          <w:bCs/>
          <w:lang w:val="es-EC"/>
        </w:rPr>
        <w:lastRenderedPageBreak/>
        <w:t>incremental</w:t>
      </w:r>
      <w:r w:rsidR="006B0295" w:rsidRPr="006B0295">
        <w:rPr>
          <w:rFonts w:ascii="Times New Roman" w:hAnsi="Times New Roman" w:cs="Times New Roman"/>
          <w:lang w:val="es-EC"/>
        </w:rPr>
        <w:t xml:space="preserve"> orientada a elevar márgenes de inmunidad ante transitorios severos (descargas/ESD/ruido conducido) propios de campo.</w:t>
      </w:r>
    </w:p>
    <w:p w14:paraId="59507F7B" w14:textId="1CECE677" w:rsidR="006B0295" w:rsidRPr="006B0295" w:rsidRDefault="006B0295" w:rsidP="00FB6081">
      <w:pPr>
        <w:ind w:left="360"/>
        <w:jc w:val="both"/>
        <w:rPr>
          <w:rFonts w:ascii="Times New Roman" w:hAnsi="Times New Roman" w:cs="Times New Roman"/>
          <w:lang w:val="es-EC"/>
        </w:rPr>
      </w:pPr>
      <w:r w:rsidRPr="006B0295">
        <w:rPr>
          <w:rFonts w:ascii="Times New Roman" w:hAnsi="Times New Roman" w:cs="Times New Roman"/>
          <w:lang w:val="es-EC"/>
        </w:rPr>
        <w:t>Para fines de trazabilidad EMC y cierre documental, se complementará la documentación indicando explícitamente la cadena de protección existente y, de ser requerido por criterio de ensayo, se dejarán opciones/</w:t>
      </w:r>
      <w:proofErr w:type="spellStart"/>
      <w:r w:rsidRPr="006B0295">
        <w:rPr>
          <w:rFonts w:ascii="Times New Roman" w:hAnsi="Times New Roman" w:cs="Times New Roman"/>
          <w:lang w:val="es-EC"/>
        </w:rPr>
        <w:t>footprints</w:t>
      </w:r>
      <w:proofErr w:type="spellEnd"/>
      <w:r w:rsidRPr="006B0295">
        <w:rPr>
          <w:rFonts w:ascii="Times New Roman" w:hAnsi="Times New Roman" w:cs="Times New Roman"/>
          <w:lang w:val="es-EC"/>
        </w:rPr>
        <w:t xml:space="preserve"> para elementos adicionales (p. ej., ESD/TVS dedicado, filtrado modo común/diferencial y referencia a chasis opcional), sin modificar la arquitectura de medición ni los bloques principales del diseño V2</w:t>
      </w:r>
      <w:r>
        <w:rPr>
          <w:rFonts w:ascii="Times New Roman" w:hAnsi="Times New Roman" w:cs="Times New Roman"/>
          <w:lang w:val="es-EC"/>
        </w:rPr>
        <w:t>.</w:t>
      </w:r>
    </w:p>
    <w:p w14:paraId="4FE23086" w14:textId="1DE6FC08" w:rsidR="008C6E50" w:rsidRPr="006B0295" w:rsidRDefault="006B0295" w:rsidP="00BA35E7">
      <w:pPr>
        <w:pStyle w:val="Prrafodelista"/>
        <w:numPr>
          <w:ilvl w:val="1"/>
          <w:numId w:val="14"/>
        </w:numPr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>
        <w:rPr>
          <w:b/>
          <w:bCs/>
          <w:smallCaps/>
          <w:spacing w:val="5"/>
          <w:lang w:val="es-EC"/>
        </w:rPr>
        <w:t>“</w:t>
      </w:r>
      <w:r w:rsidRPr="006B0295">
        <w:rPr>
          <w:b/>
          <w:bCs/>
          <w:smallCaps/>
          <w:spacing w:val="5"/>
          <w:lang w:val="es-EC"/>
        </w:rPr>
        <w:t>La unión entre AGND y GND no se encuentra claramente definida mediante un punto único controlado cercano al ADC y a la referencia de tensión</w:t>
      </w:r>
      <w:r>
        <w:rPr>
          <w:b/>
          <w:bCs/>
          <w:smallCaps/>
          <w:spacing w:val="5"/>
          <w:lang w:val="es-EC"/>
        </w:rPr>
        <w:t>”</w:t>
      </w:r>
    </w:p>
    <w:p w14:paraId="3EA0A361" w14:textId="6CE32B8C" w:rsidR="005A3F7B" w:rsidRDefault="006B0295" w:rsidP="0053750D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 xml:space="preserve">Respuesta: </w:t>
      </w: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br/>
      </w:r>
      <w:r w:rsidR="005A3F7B">
        <w:rPr>
          <w:rFonts w:ascii="Times New Roman" w:hAnsi="Times New Roman" w:cs="Times New Roman"/>
          <w:lang w:val="es-EC"/>
        </w:rPr>
        <w:t>E</w:t>
      </w:r>
      <w:r w:rsidR="005A3F7B" w:rsidRPr="005A3F7B">
        <w:rPr>
          <w:rFonts w:ascii="Times New Roman" w:hAnsi="Times New Roman" w:cs="Times New Roman"/>
          <w:lang w:val="es-EC"/>
        </w:rPr>
        <w:t xml:space="preserve">n el diseño actual la unión entre </w:t>
      </w:r>
      <w:r w:rsidR="005A3F7B" w:rsidRPr="005A3F7B">
        <w:rPr>
          <w:rFonts w:ascii="Times New Roman" w:hAnsi="Times New Roman" w:cs="Times New Roman"/>
          <w:b/>
          <w:bCs/>
          <w:lang w:val="es-EC"/>
        </w:rPr>
        <w:t>AGND y GND</w:t>
      </w:r>
      <w:r w:rsidR="005A3F7B" w:rsidRPr="005A3F7B">
        <w:rPr>
          <w:rFonts w:ascii="Times New Roman" w:hAnsi="Times New Roman" w:cs="Times New Roman"/>
          <w:lang w:val="es-EC"/>
        </w:rPr>
        <w:t xml:space="preserve"> sí está implementada y se realiza únicamente mediante el componente </w:t>
      </w:r>
      <w:r w:rsidR="005A3F7B" w:rsidRPr="005A3F7B">
        <w:rPr>
          <w:rFonts w:ascii="Times New Roman" w:hAnsi="Times New Roman" w:cs="Times New Roman"/>
          <w:b/>
          <w:bCs/>
          <w:lang w:val="es-EC"/>
        </w:rPr>
        <w:t>R69 (0 Ω),</w:t>
      </w:r>
      <w:r w:rsidR="005A3F7B" w:rsidRPr="005A3F7B">
        <w:rPr>
          <w:rFonts w:ascii="Times New Roman" w:hAnsi="Times New Roman" w:cs="Times New Roman"/>
          <w:lang w:val="es-EC"/>
        </w:rPr>
        <w:t xml:space="preserve"> el cual actúa como punto de enlace controlado entre ambos dominios. En consecuencia, no existe una ausencia de unión, ni múltiples puntos de conexión entre tierras; la interconexión está definida de forma intencional y se limita exclusivamente a R69.</w:t>
      </w:r>
    </w:p>
    <w:p w14:paraId="43EDCABF" w14:textId="413A92B2" w:rsidR="005A3F7B" w:rsidRPr="005A3F7B" w:rsidRDefault="005A3F7B" w:rsidP="006B0295">
      <w:pPr>
        <w:pStyle w:val="Prrafodelista"/>
        <w:ind w:left="360"/>
        <w:jc w:val="both"/>
        <w:rPr>
          <w:rFonts w:ascii="Times New Roman" w:hAnsi="Times New Roman" w:cs="Times New Roman"/>
          <w:lang w:val="es-EC"/>
        </w:rPr>
      </w:pPr>
      <w:r w:rsidRPr="005A3F7B">
        <w:rPr>
          <w:rFonts w:ascii="Times New Roman" w:hAnsi="Times New Roman" w:cs="Times New Roman"/>
          <w:lang w:val="es-EC"/>
        </w:rPr>
        <w:t xml:space="preserve">Cumple por implementación; se atiende como </w:t>
      </w:r>
      <w:r w:rsidRPr="005A3F7B">
        <w:rPr>
          <w:rFonts w:ascii="Times New Roman" w:hAnsi="Times New Roman" w:cs="Times New Roman"/>
          <w:b/>
          <w:bCs/>
          <w:lang w:val="es-EC"/>
        </w:rPr>
        <w:t>aclaración documental</w:t>
      </w:r>
      <w:r>
        <w:rPr>
          <w:rFonts w:ascii="Times New Roman" w:hAnsi="Times New Roman" w:cs="Times New Roman"/>
          <w:lang w:val="es-EC"/>
        </w:rPr>
        <w:t>, l</w:t>
      </w:r>
      <w:r w:rsidRPr="005A3F7B">
        <w:rPr>
          <w:rFonts w:ascii="Times New Roman" w:hAnsi="Times New Roman" w:cs="Times New Roman"/>
          <w:lang w:val="es-EC"/>
        </w:rPr>
        <w:t xml:space="preserve">a observación se refiere a la </w:t>
      </w:r>
      <w:r w:rsidRPr="005A3F7B">
        <w:rPr>
          <w:rFonts w:ascii="Times New Roman" w:hAnsi="Times New Roman" w:cs="Times New Roman"/>
          <w:b/>
          <w:bCs/>
          <w:lang w:val="es-EC"/>
        </w:rPr>
        <w:t>claridad con la que se identifica/documenta</w:t>
      </w:r>
      <w:r w:rsidRPr="005A3F7B">
        <w:rPr>
          <w:rFonts w:ascii="Times New Roman" w:hAnsi="Times New Roman" w:cs="Times New Roman"/>
          <w:lang w:val="es-EC"/>
        </w:rPr>
        <w:t xml:space="preserve"> dicho punto único </w:t>
      </w:r>
      <w:r>
        <w:rPr>
          <w:rFonts w:ascii="Times New Roman" w:hAnsi="Times New Roman" w:cs="Times New Roman"/>
          <w:lang w:val="es-EC"/>
        </w:rPr>
        <w:t>y su ubicación,</w:t>
      </w:r>
      <w:r w:rsidRPr="005A3F7B">
        <w:rPr>
          <w:rFonts w:ascii="Times New Roman" w:hAnsi="Times New Roman" w:cs="Times New Roman"/>
          <w:lang w:val="es-EC"/>
        </w:rPr>
        <w:t xml:space="preserve"> mas no a una falla de funcionamiento. Por lo tanto, para fines de trazabilidad y cierre de la recomendación EMC, se incorporará en la documentación de la indicación explícita de que </w:t>
      </w:r>
      <w:r w:rsidRPr="005A3F7B">
        <w:rPr>
          <w:rFonts w:ascii="Times New Roman" w:hAnsi="Times New Roman" w:cs="Times New Roman"/>
          <w:b/>
          <w:bCs/>
          <w:lang w:val="es-EC"/>
        </w:rPr>
        <w:t>R69 constituye el único punto de unión AGND–GND</w:t>
      </w:r>
      <w:r w:rsidRPr="005A3F7B">
        <w:rPr>
          <w:rFonts w:ascii="Times New Roman" w:hAnsi="Times New Roman" w:cs="Times New Roman"/>
          <w:lang w:val="es-EC"/>
        </w:rPr>
        <w:t>, sin que ello implique rediseño ni modificaciones mayores de la arquitectura del sistema.</w:t>
      </w:r>
    </w:p>
    <w:p w14:paraId="5584B03F" w14:textId="1F61139A" w:rsidR="006B0295" w:rsidRDefault="005A3F7B" w:rsidP="005A3F7B">
      <w:pPr>
        <w:pStyle w:val="NormalWeb"/>
        <w:numPr>
          <w:ilvl w:val="1"/>
          <w:numId w:val="14"/>
        </w:numPr>
        <w:jc w:val="both"/>
        <w:rPr>
          <w:rFonts w:asciiTheme="minorHAnsi" w:eastAsiaTheme="minorEastAsia" w:hAnsiTheme="minorHAnsi" w:cstheme="minorBidi"/>
          <w:b/>
          <w:bCs/>
          <w:smallCaps/>
          <w:spacing w:val="5"/>
          <w:sz w:val="22"/>
          <w:szCs w:val="22"/>
          <w:lang w:eastAsia="en-US"/>
        </w:rPr>
      </w:pPr>
      <w:r w:rsidRPr="005A3F7B">
        <w:rPr>
          <w:rFonts w:asciiTheme="minorHAnsi" w:eastAsiaTheme="minorEastAsia" w:hAnsiTheme="minorHAnsi" w:cstheme="minorBidi"/>
          <w:b/>
          <w:bCs/>
          <w:smallCaps/>
          <w:spacing w:val="5"/>
          <w:sz w:val="22"/>
          <w:szCs w:val="22"/>
          <w:lang w:eastAsia="en-US"/>
        </w:rPr>
        <w:t>“La interfaz RS485, aunque cuenta con terminación configurable, no evidencia de manera completa protección EMC de campo (TVS dedicado, choque de modo común y referencia controlada a chasis)”</w:t>
      </w:r>
    </w:p>
    <w:p w14:paraId="3B131345" w14:textId="21C190B8" w:rsidR="00F91F15" w:rsidRDefault="00F91F15" w:rsidP="00F91F15">
      <w:pPr>
        <w:pStyle w:val="NormalWeb"/>
        <w:ind w:left="360"/>
        <w:jc w:val="both"/>
        <w:rPr>
          <w:rFonts w:asciiTheme="minorHAnsi" w:eastAsiaTheme="minorEastAsia" w:hAnsiTheme="minorHAnsi" w:cstheme="minorBidi"/>
          <w:b/>
          <w:bCs/>
          <w:smallCaps/>
          <w:spacing w:val="5"/>
          <w:sz w:val="22"/>
          <w:szCs w:val="22"/>
          <w:lang w:eastAsia="en-US"/>
        </w:rPr>
      </w:pPr>
      <w:r>
        <w:rPr>
          <w:rFonts w:asciiTheme="minorHAnsi" w:eastAsiaTheme="minorEastAsia" w:hAnsiTheme="minorHAnsi" w:cstheme="minorBidi"/>
          <w:b/>
          <w:bCs/>
          <w:smallCaps/>
          <w:spacing w:val="5"/>
          <w:sz w:val="22"/>
          <w:szCs w:val="22"/>
          <w:lang w:eastAsia="en-US"/>
        </w:rPr>
        <w:t>Respuesta:</w:t>
      </w:r>
    </w:p>
    <w:p w14:paraId="197D0A80" w14:textId="5D25CBCF" w:rsidR="005A3F7B" w:rsidRDefault="00F91F15" w:rsidP="00F91F15">
      <w:pPr>
        <w:ind w:left="360"/>
        <w:jc w:val="both"/>
        <w:rPr>
          <w:rFonts w:ascii="Times New Roman" w:hAnsi="Times New Roman" w:cs="Times New Roman"/>
          <w:b/>
          <w:bCs/>
          <w:lang w:val="es-EC"/>
        </w:rPr>
      </w:pPr>
      <w:r w:rsidRPr="00F91F15">
        <w:rPr>
          <w:rFonts w:ascii="Times New Roman" w:hAnsi="Times New Roman" w:cs="Times New Roman"/>
          <w:lang w:val="es-EC"/>
        </w:rPr>
        <w:t xml:space="preserve">Se aclara que la interfaz </w:t>
      </w:r>
      <w:r w:rsidRPr="00F91F15">
        <w:rPr>
          <w:rFonts w:ascii="Times New Roman" w:hAnsi="Times New Roman" w:cs="Times New Roman"/>
          <w:b/>
          <w:bCs/>
          <w:lang w:val="es-EC"/>
        </w:rPr>
        <w:t>RS485</w:t>
      </w:r>
      <w:r w:rsidRPr="00F91F15">
        <w:rPr>
          <w:rFonts w:ascii="Times New Roman" w:hAnsi="Times New Roman" w:cs="Times New Roman"/>
          <w:lang w:val="es-EC"/>
        </w:rPr>
        <w:t xml:space="preserve"> del diseño V2 </w:t>
      </w:r>
      <w:r w:rsidRPr="00F91F15">
        <w:rPr>
          <w:rFonts w:ascii="Times New Roman" w:hAnsi="Times New Roman" w:cs="Times New Roman"/>
          <w:b/>
          <w:bCs/>
          <w:lang w:val="es-EC"/>
        </w:rPr>
        <w:t>sí incorpora protección dedicada contra transitorios/ESD</w:t>
      </w:r>
      <w:r w:rsidRPr="00F91F15">
        <w:rPr>
          <w:rFonts w:ascii="Times New Roman" w:hAnsi="Times New Roman" w:cs="Times New Roman"/>
          <w:lang w:val="es-EC"/>
        </w:rPr>
        <w:t xml:space="preserve">, mediante los supresores </w:t>
      </w:r>
      <w:r w:rsidRPr="00F91F15">
        <w:rPr>
          <w:rFonts w:ascii="Times New Roman" w:hAnsi="Times New Roman" w:cs="Times New Roman"/>
          <w:b/>
          <w:bCs/>
          <w:lang w:val="es-EC"/>
        </w:rPr>
        <w:t>D2 y D3 (SMBJ6.0CA</w:t>
      </w:r>
      <w:r w:rsidRPr="00F91F15">
        <w:rPr>
          <w:rFonts w:ascii="Times New Roman" w:hAnsi="Times New Roman" w:cs="Times New Roman"/>
          <w:lang w:val="es-EC"/>
        </w:rPr>
        <w:t xml:space="preserve">) conectados a las líneas </w:t>
      </w:r>
      <w:r w:rsidRPr="00F91F15">
        <w:rPr>
          <w:rFonts w:ascii="Times New Roman" w:hAnsi="Times New Roman" w:cs="Times New Roman"/>
          <w:b/>
          <w:bCs/>
          <w:lang w:val="es-EC"/>
        </w:rPr>
        <w:t>RS485_P y RS485_N</w:t>
      </w:r>
      <w:r w:rsidRPr="00F91F15">
        <w:rPr>
          <w:rFonts w:ascii="Times New Roman" w:hAnsi="Times New Roman" w:cs="Times New Roman"/>
          <w:lang w:val="es-EC"/>
        </w:rPr>
        <w:t xml:space="preserve">, además de contar con terminación configurable mediante </w:t>
      </w:r>
      <w:r w:rsidRPr="00F91F15">
        <w:rPr>
          <w:rFonts w:ascii="Times New Roman" w:hAnsi="Times New Roman" w:cs="Times New Roman"/>
          <w:b/>
          <w:bCs/>
          <w:lang w:val="es-EC"/>
        </w:rPr>
        <w:t>R11=120Ω y JP1</w:t>
      </w:r>
      <w:r>
        <w:rPr>
          <w:rFonts w:ascii="Times New Roman" w:hAnsi="Times New Roman" w:cs="Times New Roman"/>
          <w:b/>
          <w:bCs/>
          <w:lang w:val="es-EC"/>
        </w:rPr>
        <w:t xml:space="preserve">. </w:t>
      </w:r>
    </w:p>
    <w:p w14:paraId="7E4A18C8" w14:textId="3506698F" w:rsidR="00F91F15" w:rsidRPr="00F91F15" w:rsidRDefault="0053750D" w:rsidP="00F91F15">
      <w:pPr>
        <w:ind w:left="360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lang w:val="es-EC"/>
        </w:rPr>
        <w:t>El comentario</w:t>
      </w:r>
      <w:r w:rsidR="00F91F15" w:rsidRPr="00F91F15">
        <w:rPr>
          <w:rFonts w:ascii="Times New Roman" w:hAnsi="Times New Roman" w:cs="Times New Roman"/>
          <w:lang w:val="es-EC"/>
        </w:rPr>
        <w:t xml:space="preserve"> se interpreta como una recomendación de </w:t>
      </w:r>
      <w:r w:rsidR="00F91F15" w:rsidRPr="00F91F15">
        <w:rPr>
          <w:rFonts w:ascii="Times New Roman" w:hAnsi="Times New Roman" w:cs="Times New Roman"/>
          <w:b/>
          <w:bCs/>
          <w:lang w:val="es-EC"/>
        </w:rPr>
        <w:t>endurecimiento EMC de</w:t>
      </w:r>
      <w:r w:rsidR="00F91F15" w:rsidRPr="00F91F15">
        <w:rPr>
          <w:rFonts w:ascii="Times New Roman" w:hAnsi="Times New Roman" w:cs="Times New Roman"/>
          <w:lang w:val="es-EC"/>
        </w:rPr>
        <w:t xml:space="preserve"> </w:t>
      </w:r>
      <w:r w:rsidR="00F91F15" w:rsidRPr="00F91F15">
        <w:rPr>
          <w:rFonts w:ascii="Times New Roman" w:hAnsi="Times New Roman" w:cs="Times New Roman"/>
          <w:b/>
          <w:bCs/>
          <w:lang w:val="es-EC"/>
        </w:rPr>
        <w:t>campo</w:t>
      </w:r>
      <w:r w:rsidR="00F91F15" w:rsidRPr="00F91F15">
        <w:rPr>
          <w:rFonts w:ascii="Times New Roman" w:hAnsi="Times New Roman" w:cs="Times New Roman"/>
          <w:lang w:val="es-EC"/>
        </w:rPr>
        <w:t xml:space="preserve"> para incrementar márgenes</w:t>
      </w:r>
      <w:r w:rsidR="00F91F15">
        <w:rPr>
          <w:rFonts w:ascii="Times New Roman" w:hAnsi="Times New Roman" w:cs="Times New Roman"/>
          <w:lang w:val="es-EC"/>
        </w:rPr>
        <w:t>.</w:t>
      </w:r>
      <w:r w:rsidR="00F91F15" w:rsidRPr="00F91F15">
        <w:rPr>
          <w:rFonts w:ascii="Times New Roman" w:hAnsi="Times New Roman" w:cs="Times New Roman"/>
          <w:lang w:val="es-EC"/>
        </w:rPr>
        <w:t xml:space="preserve"> Estos ajustes, de considerarse necesarios, son menores y localizados a nivel de borde</w:t>
      </w:r>
      <w:r w:rsidR="00F91F15">
        <w:rPr>
          <w:rFonts w:ascii="Times New Roman" w:hAnsi="Times New Roman" w:cs="Times New Roman"/>
          <w:lang w:val="es-EC"/>
        </w:rPr>
        <w:t xml:space="preserve"> o </w:t>
      </w:r>
      <w:r w:rsidR="00F91F15" w:rsidRPr="00F91F15">
        <w:rPr>
          <w:rFonts w:ascii="Times New Roman" w:hAnsi="Times New Roman" w:cs="Times New Roman"/>
          <w:lang w:val="es-EC"/>
        </w:rPr>
        <w:t xml:space="preserve">conector </w:t>
      </w:r>
      <w:r w:rsidR="00F91F15" w:rsidRPr="00F91F15">
        <w:rPr>
          <w:rFonts w:ascii="Times New Roman" w:hAnsi="Times New Roman" w:cs="Times New Roman"/>
          <w:b/>
          <w:bCs/>
          <w:lang w:val="es-EC"/>
        </w:rPr>
        <w:t>y no implican rediseño del transceptor, del protocolo ni de la lógica de control.</w:t>
      </w:r>
    </w:p>
    <w:p w14:paraId="70C28932" w14:textId="3E601BBA" w:rsidR="008C6E50" w:rsidRDefault="008C6E50" w:rsidP="00BA35E7">
      <w:pPr>
        <w:pStyle w:val="Prrafodelista"/>
        <w:numPr>
          <w:ilvl w:val="1"/>
          <w:numId w:val="14"/>
        </w:numPr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 w:rsidRPr="00BD5C80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“</w:t>
      </w:r>
      <w:r w:rsidR="00F91F15" w:rsidRPr="00F91F15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 xml:space="preserve">La proximidad entre la etapa de conmutación de potencia/carga y el bloque analógico puede inducir </w:t>
      </w:r>
      <w:proofErr w:type="spellStart"/>
      <w:r w:rsidR="00F91F15" w:rsidRPr="00F91F15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acoplos</w:t>
      </w:r>
      <w:proofErr w:type="spellEnd"/>
      <w:r w:rsidR="00F91F15" w:rsidRPr="00F91F15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 xml:space="preserve"> si no se controla estrictamente el ruteo y los lazos de corriente</w:t>
      </w:r>
      <w:r w:rsidR="00F91F15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”</w:t>
      </w:r>
      <w:r w:rsidRPr="00BD5C80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 xml:space="preserve"> </w:t>
      </w:r>
    </w:p>
    <w:p w14:paraId="14E1EB6B" w14:textId="356242DB" w:rsidR="00F91F15" w:rsidRDefault="00F91F15" w:rsidP="00F91F15">
      <w:pPr>
        <w:ind w:left="360"/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Respuesta:</w:t>
      </w:r>
    </w:p>
    <w:p w14:paraId="4DD1E8B7" w14:textId="1954F813" w:rsidR="004D58D1" w:rsidRDefault="004D58D1" w:rsidP="00F91F15">
      <w:pPr>
        <w:ind w:left="360"/>
        <w:jc w:val="both"/>
        <w:rPr>
          <w:rFonts w:ascii="Times New Roman" w:hAnsi="Times New Roman" w:cs="Times New Roman"/>
          <w:lang w:val="es-EC"/>
        </w:rPr>
      </w:pPr>
      <w:r w:rsidRPr="004D58D1">
        <w:rPr>
          <w:rFonts w:ascii="Times New Roman" w:hAnsi="Times New Roman" w:cs="Times New Roman"/>
          <w:b/>
          <w:bCs/>
          <w:lang w:val="es-EC"/>
        </w:rPr>
        <w:lastRenderedPageBreak/>
        <w:t>Se aclara</w:t>
      </w:r>
      <w:r w:rsidRPr="004D58D1">
        <w:rPr>
          <w:rFonts w:ascii="Times New Roman" w:hAnsi="Times New Roman" w:cs="Times New Roman"/>
          <w:lang w:val="es-EC"/>
        </w:rPr>
        <w:t xml:space="preserve"> que la observación corresponde a una consideración de </w:t>
      </w:r>
      <w:proofErr w:type="spellStart"/>
      <w:r w:rsidRPr="004D58D1">
        <w:rPr>
          <w:rFonts w:ascii="Times New Roman" w:hAnsi="Times New Roman" w:cs="Times New Roman"/>
          <w:b/>
          <w:bCs/>
          <w:lang w:val="es-EC"/>
        </w:rPr>
        <w:t>layout</w:t>
      </w:r>
      <w:proofErr w:type="spellEnd"/>
      <w:r w:rsidRPr="004D58D1">
        <w:rPr>
          <w:rFonts w:ascii="Times New Roman" w:hAnsi="Times New Roman" w:cs="Times New Roman"/>
          <w:b/>
          <w:bCs/>
          <w:lang w:val="es-EC"/>
        </w:rPr>
        <w:t>/</w:t>
      </w:r>
      <w:r w:rsidR="0072190C" w:rsidRPr="004D58D1">
        <w:rPr>
          <w:rFonts w:ascii="Times New Roman" w:hAnsi="Times New Roman" w:cs="Times New Roman"/>
          <w:b/>
          <w:bCs/>
          <w:lang w:val="es-EC"/>
        </w:rPr>
        <w:t>ruteo</w:t>
      </w:r>
      <w:r w:rsidR="0072190C" w:rsidRPr="004D58D1">
        <w:rPr>
          <w:rFonts w:ascii="Times New Roman" w:hAnsi="Times New Roman" w:cs="Times New Roman"/>
          <w:lang w:val="es-EC"/>
        </w:rPr>
        <w:t xml:space="preserve"> propio</w:t>
      </w:r>
      <w:r w:rsidRPr="004D58D1">
        <w:rPr>
          <w:rFonts w:ascii="Times New Roman" w:hAnsi="Times New Roman" w:cs="Times New Roman"/>
          <w:lang w:val="es-EC"/>
        </w:rPr>
        <w:t xml:space="preserve"> de diseños mixtos (potencia conmutada + medición analógica), y </w:t>
      </w:r>
      <w:r w:rsidRPr="0072190C">
        <w:rPr>
          <w:rFonts w:ascii="Times New Roman" w:hAnsi="Times New Roman" w:cs="Times New Roman"/>
          <w:lang w:val="es-EC"/>
        </w:rPr>
        <w:t>no</w:t>
      </w:r>
      <w:r w:rsidRPr="004D58D1">
        <w:rPr>
          <w:rFonts w:ascii="Times New Roman" w:hAnsi="Times New Roman" w:cs="Times New Roman"/>
          <w:lang w:val="es-EC"/>
        </w:rPr>
        <w:t xml:space="preserve"> a un incumplimiento del esquemático ni a una falla de arquitectura. El diseño V2</w:t>
      </w:r>
      <w:r w:rsidR="0072190C">
        <w:rPr>
          <w:rFonts w:ascii="Times New Roman" w:hAnsi="Times New Roman" w:cs="Times New Roman"/>
          <w:lang w:val="es-EC"/>
        </w:rPr>
        <w:t xml:space="preserve"> ya</w:t>
      </w:r>
      <w:r w:rsidRPr="004D58D1">
        <w:rPr>
          <w:rFonts w:ascii="Times New Roman" w:hAnsi="Times New Roman" w:cs="Times New Roman"/>
          <w:lang w:val="es-EC"/>
        </w:rPr>
        <w:t xml:space="preserve"> contempla medidas de mitigación desde el esquema, incluyendo </w:t>
      </w:r>
      <w:r w:rsidRPr="004D58D1">
        <w:rPr>
          <w:rFonts w:ascii="Times New Roman" w:hAnsi="Times New Roman" w:cs="Times New Roman"/>
          <w:b/>
          <w:bCs/>
          <w:lang w:val="es-EC"/>
        </w:rPr>
        <w:t>filtrado/aislamiento en la entrada del convertidor (L2)</w:t>
      </w:r>
      <w:r w:rsidRPr="004D58D1">
        <w:rPr>
          <w:rFonts w:ascii="Times New Roman" w:hAnsi="Times New Roman" w:cs="Times New Roman"/>
          <w:lang w:val="es-EC"/>
        </w:rPr>
        <w:t xml:space="preserve"> y </w:t>
      </w:r>
      <w:r w:rsidRPr="004D58D1">
        <w:rPr>
          <w:rFonts w:ascii="Times New Roman" w:hAnsi="Times New Roman" w:cs="Times New Roman"/>
          <w:b/>
          <w:bCs/>
          <w:lang w:val="es-EC"/>
        </w:rPr>
        <w:t>desacoples locales</w:t>
      </w:r>
      <w:r w:rsidRPr="004D58D1">
        <w:rPr>
          <w:rFonts w:ascii="Times New Roman" w:hAnsi="Times New Roman" w:cs="Times New Roman"/>
          <w:lang w:val="es-EC"/>
        </w:rPr>
        <w:t xml:space="preserve"> en entrada y salida, orientados a minimizar la conducción de ruido hacia el resto del sistema.</w:t>
      </w:r>
    </w:p>
    <w:p w14:paraId="713E80F3" w14:textId="3DFF093B" w:rsidR="004D58D1" w:rsidRDefault="004D58D1" w:rsidP="004D58D1">
      <w:pPr>
        <w:pStyle w:val="Prrafodelista"/>
        <w:numPr>
          <w:ilvl w:val="1"/>
          <w:numId w:val="14"/>
        </w:numPr>
        <w:rPr>
          <w:b/>
          <w:bCs/>
          <w:smallCaps/>
          <w:spacing w:val="5"/>
          <w:lang w:val="es-EC"/>
        </w:rPr>
      </w:pP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“</w:t>
      </w:r>
      <w:r w:rsidRPr="004D58D1">
        <w:rPr>
          <w:b/>
          <w:bCs/>
          <w:smallCaps/>
          <w:spacing w:val="5"/>
          <w:lang w:val="es-EC"/>
        </w:rPr>
        <w:t>Los puntos de prueba no están completamente sistematizados para todos los rieles y señales críticas</w:t>
      </w:r>
      <w:r>
        <w:rPr>
          <w:b/>
          <w:bCs/>
          <w:smallCaps/>
          <w:spacing w:val="5"/>
          <w:lang w:val="es-EC"/>
        </w:rPr>
        <w:t>”</w:t>
      </w:r>
    </w:p>
    <w:p w14:paraId="3A1681BF" w14:textId="1029FDEC" w:rsidR="004D58D1" w:rsidRDefault="004D58D1" w:rsidP="004D58D1">
      <w:pPr>
        <w:ind w:left="360"/>
        <w:rPr>
          <w:b/>
          <w:bCs/>
          <w:smallCaps/>
          <w:spacing w:val="5"/>
          <w:lang w:val="es-EC"/>
        </w:rPr>
      </w:pPr>
      <w:r>
        <w:rPr>
          <w:b/>
          <w:bCs/>
          <w:smallCaps/>
          <w:spacing w:val="5"/>
          <w:lang w:val="es-EC"/>
        </w:rPr>
        <w:t>Respuesta:</w:t>
      </w:r>
    </w:p>
    <w:p w14:paraId="04398F49" w14:textId="208B2BEC" w:rsidR="0072190C" w:rsidRPr="0072190C" w:rsidRDefault="0072190C" w:rsidP="0072190C">
      <w:pPr>
        <w:ind w:left="360"/>
        <w:jc w:val="both"/>
        <w:rPr>
          <w:lang w:val="es-EC"/>
        </w:rPr>
      </w:pPr>
      <w:r w:rsidRPr="0072190C">
        <w:rPr>
          <w:lang w:val="es-EC"/>
        </w:rPr>
        <w:t xml:space="preserve">Se aclara que el </w:t>
      </w:r>
      <w:r w:rsidRPr="0072190C">
        <w:rPr>
          <w:b/>
          <w:bCs/>
          <w:lang w:val="es-EC"/>
        </w:rPr>
        <w:t>diseño V2 sí incorpora puntos de prueba (TP)</w:t>
      </w:r>
      <w:r w:rsidRPr="0072190C">
        <w:rPr>
          <w:lang w:val="es-EC"/>
        </w:rPr>
        <w:t xml:space="preserve"> destinados a validación y diagnóstico; por tanto, el requisito de incluir test </w:t>
      </w:r>
      <w:proofErr w:type="spellStart"/>
      <w:r w:rsidRPr="0072190C">
        <w:rPr>
          <w:lang w:val="es-EC"/>
        </w:rPr>
        <w:t>points</w:t>
      </w:r>
      <w:proofErr w:type="spellEnd"/>
      <w:r w:rsidRPr="0072190C">
        <w:rPr>
          <w:lang w:val="es-EC"/>
        </w:rPr>
        <w:t xml:space="preserve"> </w:t>
      </w:r>
      <w:r w:rsidRPr="0072190C">
        <w:rPr>
          <w:b/>
          <w:bCs/>
          <w:lang w:val="es-EC"/>
        </w:rPr>
        <w:t>se encuentra cumplido</w:t>
      </w:r>
      <w:r>
        <w:rPr>
          <w:lang w:val="es-EC"/>
        </w:rPr>
        <w:t>.</w:t>
      </w:r>
    </w:p>
    <w:p w14:paraId="2F3A88FC" w14:textId="10E4F639" w:rsidR="0072190C" w:rsidRDefault="0072190C" w:rsidP="0072190C">
      <w:pPr>
        <w:ind w:left="360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El comentario </w:t>
      </w:r>
      <w:r w:rsidRPr="0072190C">
        <w:rPr>
          <w:rFonts w:ascii="Times New Roman" w:hAnsi="Times New Roman" w:cs="Times New Roman"/>
          <w:b/>
          <w:bCs/>
          <w:lang w:val="es-EC"/>
        </w:rPr>
        <w:t>no afecta el funcionamiento del sistema ni constituye causal de descarte</w:t>
      </w:r>
      <w:r w:rsidRPr="0072190C">
        <w:rPr>
          <w:rFonts w:ascii="Times New Roman" w:hAnsi="Times New Roman" w:cs="Times New Roman"/>
          <w:lang w:val="es-EC"/>
        </w:rPr>
        <w:t xml:space="preserve">, ya que corresponde a un ajuste </w:t>
      </w:r>
      <w:r w:rsidRPr="0072190C">
        <w:rPr>
          <w:rFonts w:ascii="Times New Roman" w:hAnsi="Times New Roman" w:cs="Times New Roman"/>
          <w:b/>
          <w:bCs/>
          <w:lang w:val="es-EC"/>
        </w:rPr>
        <w:t>menor</w:t>
      </w:r>
      <w:r w:rsidRPr="0072190C">
        <w:rPr>
          <w:rFonts w:ascii="Times New Roman" w:hAnsi="Times New Roman" w:cs="Times New Roman"/>
          <w:lang w:val="es-EC"/>
        </w:rPr>
        <w:t xml:space="preserve"> de documentación y</w:t>
      </w:r>
      <w:r>
        <w:rPr>
          <w:rFonts w:ascii="Times New Roman" w:hAnsi="Times New Roman" w:cs="Times New Roman"/>
          <w:lang w:val="es-EC"/>
        </w:rPr>
        <w:t xml:space="preserve"> diseño</w:t>
      </w:r>
      <w:r w:rsidRPr="0072190C">
        <w:rPr>
          <w:rFonts w:ascii="Times New Roman" w:hAnsi="Times New Roman" w:cs="Times New Roman"/>
          <w:lang w:val="es-EC"/>
        </w:rPr>
        <w:t xml:space="preserve">. La arquitectura del diseño no requiere cambios; únicamente se reforzará el </w:t>
      </w:r>
      <w:proofErr w:type="spellStart"/>
      <w:r w:rsidRPr="0072190C">
        <w:rPr>
          <w:rFonts w:ascii="Times New Roman" w:hAnsi="Times New Roman" w:cs="Times New Roman"/>
          <w:lang w:val="es-EC"/>
        </w:rPr>
        <w:t>checklist</w:t>
      </w:r>
      <w:proofErr w:type="spellEnd"/>
      <w:r w:rsidRPr="0072190C">
        <w:rPr>
          <w:rFonts w:ascii="Times New Roman" w:hAnsi="Times New Roman" w:cs="Times New Roman"/>
          <w:lang w:val="es-EC"/>
        </w:rPr>
        <w:t xml:space="preserve"> de TP para hacer la verificación más directa en producción y mantenimiento.</w:t>
      </w:r>
    </w:p>
    <w:p w14:paraId="26CFF6F7" w14:textId="5D1E42D1" w:rsidR="006A6459" w:rsidRPr="004D58D1" w:rsidRDefault="004D58D1" w:rsidP="004D58D1">
      <w:pPr>
        <w:pStyle w:val="Prrafodelista"/>
        <w:numPr>
          <w:ilvl w:val="1"/>
          <w:numId w:val="14"/>
        </w:numPr>
        <w:rPr>
          <w:b/>
          <w:bCs/>
          <w:smallCaps/>
          <w:spacing w:val="5"/>
          <w:lang w:val="es-EC"/>
        </w:rPr>
      </w:pPr>
      <w:r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“</w:t>
      </w:r>
      <w:r w:rsidRPr="004D58D1">
        <w:rPr>
          <w:b/>
          <w:bCs/>
          <w:smallCaps/>
          <w:spacing w:val="5"/>
          <w:lang w:val="es-EC"/>
        </w:rPr>
        <w:t xml:space="preserve">Los </w:t>
      </w:r>
      <w:proofErr w:type="spellStart"/>
      <w:r w:rsidRPr="004D58D1">
        <w:rPr>
          <w:b/>
          <w:bCs/>
          <w:smallCaps/>
          <w:spacing w:val="5"/>
          <w:lang w:val="es-EC"/>
        </w:rPr>
        <w:t>LEDs</w:t>
      </w:r>
      <w:proofErr w:type="spellEnd"/>
      <w:r w:rsidRPr="004D58D1">
        <w:rPr>
          <w:b/>
          <w:bCs/>
          <w:smallCaps/>
          <w:spacing w:val="5"/>
          <w:lang w:val="es-EC"/>
        </w:rPr>
        <w:t xml:space="preserve"> indicadores no presentan una justificación funcional clara documentada (estado de alimentación, comunicación o error).</w:t>
      </w:r>
      <w:r w:rsidRPr="004D58D1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”</w:t>
      </w:r>
    </w:p>
    <w:p w14:paraId="26188E39" w14:textId="31EB5A61" w:rsidR="0072190C" w:rsidRDefault="006A6459" w:rsidP="0072190C">
      <w:pPr>
        <w:ind w:left="360"/>
        <w:jc w:val="both"/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</w:pPr>
      <w:r w:rsidRPr="00BD5C80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Respuesta</w:t>
      </w:r>
      <w:r w:rsidR="0072190C">
        <w:rPr>
          <w:rFonts w:ascii="Times New Roman" w:hAnsi="Times New Roman" w:cs="Times New Roman"/>
          <w:b/>
          <w:bCs/>
          <w:smallCaps/>
          <w:spacing w:val="5"/>
          <w:sz w:val="24"/>
          <w:szCs w:val="24"/>
          <w:lang w:val="es-EC"/>
        </w:rPr>
        <w:t>:</w:t>
      </w:r>
    </w:p>
    <w:p w14:paraId="4AE76467" w14:textId="7E01751C" w:rsidR="0072190C" w:rsidRPr="0072190C" w:rsidRDefault="0072190C" w:rsidP="0072190C">
      <w:pPr>
        <w:ind w:left="360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E</w:t>
      </w:r>
      <w:r w:rsidRPr="0072190C">
        <w:rPr>
          <w:rFonts w:ascii="Times New Roman" w:hAnsi="Times New Roman" w:cs="Times New Roman"/>
          <w:lang w:val="es-EC"/>
        </w:rPr>
        <w:t xml:space="preserve">sta observación tiene carácter </w:t>
      </w:r>
      <w:r w:rsidRPr="0072190C">
        <w:rPr>
          <w:rFonts w:ascii="Times New Roman" w:hAnsi="Times New Roman" w:cs="Times New Roman"/>
          <w:b/>
          <w:bCs/>
          <w:lang w:val="es-EC"/>
        </w:rPr>
        <w:t>documental y de operación/mantenimiento</w:t>
      </w:r>
      <w:r w:rsidRPr="0072190C">
        <w:rPr>
          <w:rFonts w:ascii="Times New Roman" w:hAnsi="Times New Roman" w:cs="Times New Roman"/>
          <w:lang w:val="es-EC"/>
        </w:rPr>
        <w:t xml:space="preserve">, sin impacto en la arquitectura ni necesidad de rediseño. </w:t>
      </w:r>
      <w:r>
        <w:rPr>
          <w:rFonts w:ascii="Times New Roman" w:hAnsi="Times New Roman" w:cs="Times New Roman"/>
          <w:lang w:val="es-EC"/>
        </w:rPr>
        <w:t>Una vez terminada la fase de pruebas</w:t>
      </w:r>
      <w:r w:rsidRPr="0072190C">
        <w:rPr>
          <w:rFonts w:ascii="Times New Roman" w:hAnsi="Times New Roman" w:cs="Times New Roman"/>
          <w:lang w:val="es-EC"/>
        </w:rPr>
        <w:t xml:space="preserve"> se incorporará en la memoria técnica y documentación de firmware una tabla de “LED → condición → comportamiento” (encendido fijo/parpadeo/código), manteniendo el hardware existente.</w:t>
      </w:r>
    </w:p>
    <w:p w14:paraId="2B40DB49" w14:textId="7F99629F" w:rsidR="00207AED" w:rsidRPr="00BD5C80" w:rsidRDefault="002F2F9D" w:rsidP="002F2F9D">
      <w:pPr>
        <w:pStyle w:val="Prrafodelista"/>
        <w:numPr>
          <w:ilvl w:val="0"/>
          <w:numId w:val="14"/>
        </w:numPr>
        <w:jc w:val="both"/>
        <w:rPr>
          <w:rStyle w:val="Ttulodellibro"/>
          <w:rFonts w:ascii="Times New Roman" w:hAnsi="Times New Roman" w:cs="Times New Roman"/>
          <w:sz w:val="24"/>
          <w:szCs w:val="24"/>
        </w:rPr>
      </w:pPr>
      <w:proofErr w:type="spellStart"/>
      <w:r w:rsidRPr="00BD5C80">
        <w:rPr>
          <w:rStyle w:val="Ttulodellibro"/>
          <w:rFonts w:ascii="Times New Roman" w:hAnsi="Times New Roman" w:cs="Times New Roman"/>
          <w:sz w:val="24"/>
          <w:szCs w:val="24"/>
        </w:rPr>
        <w:t>Conclusión</w:t>
      </w:r>
      <w:proofErr w:type="spellEnd"/>
      <w:r w:rsidRPr="00BD5C80">
        <w:rPr>
          <w:rStyle w:val="Ttulodellibro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C80">
        <w:rPr>
          <w:rStyle w:val="Ttulodellibro"/>
          <w:rFonts w:ascii="Times New Roman" w:hAnsi="Times New Roman" w:cs="Times New Roman"/>
          <w:sz w:val="24"/>
          <w:szCs w:val="24"/>
        </w:rPr>
        <w:t>técnica</w:t>
      </w:r>
      <w:proofErr w:type="spellEnd"/>
      <w:r w:rsidRPr="00BD5C80">
        <w:rPr>
          <w:rStyle w:val="Ttulodellibro"/>
          <w:rFonts w:ascii="Times New Roman" w:hAnsi="Times New Roman" w:cs="Times New Roman"/>
          <w:sz w:val="24"/>
          <w:szCs w:val="24"/>
        </w:rPr>
        <w:t xml:space="preserve"> </w:t>
      </w:r>
    </w:p>
    <w:p w14:paraId="3D9F85DB" w14:textId="778802B7" w:rsidR="0053750D" w:rsidRPr="0053750D" w:rsidRDefault="0053750D" w:rsidP="0053750D">
      <w:pPr>
        <w:jc w:val="both"/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</w:pPr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 xml:space="preserve">Con base en la revisión del esquemático y de las observaciones técnicas/EMC recibidas, se concluye que el diseño actual (V2) es funcional y cumple con los requerimientos principales del sistema, manteniendo una arquitectura coherente para adquisición de señales de baja amplitud y comunicación industrial. Las observaciones levantadas corresponden, en su mayoría, a mejoras incrementales de robustez EMC, claridad documental y estandarización de elementos de verificación (p. ej., rotulado/criterio de test </w:t>
      </w:r>
      <w:proofErr w:type="spellStart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points</w:t>
      </w:r>
      <w:proofErr w:type="spellEnd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 xml:space="preserve">, justificación funcional de </w:t>
      </w:r>
      <w:proofErr w:type="spellStart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LEDs</w:t>
      </w:r>
      <w:proofErr w:type="spellEnd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, y criterios de ruteo y lazos de corriente), por lo que no constituyen causales técnicas para desechar el diseño ni implican rediseño.</w:t>
      </w:r>
    </w:p>
    <w:p w14:paraId="232EAFA0" w14:textId="2BDEFB46" w:rsidR="002F2F9D" w:rsidRPr="00BD5C80" w:rsidRDefault="0053750D" w:rsidP="0053750D">
      <w:pPr>
        <w:jc w:val="both"/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</w:pPr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Adicionalmente, se deja constancia de que en el repositorio GitHub, dentro de la carpeta “</w:t>
      </w:r>
      <w:proofErr w:type="spellStart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evidencia_prototipos</w:t>
      </w:r>
      <w:proofErr w:type="spellEnd"/>
      <w:r w:rsidRPr="0053750D">
        <w:rPr>
          <w:rStyle w:val="Ttulodellibro"/>
          <w:rFonts w:ascii="Times New Roman" w:hAnsi="Times New Roman" w:cs="Times New Roman"/>
          <w:b w:val="0"/>
          <w:bCs w:val="0"/>
          <w:smallCaps w:val="0"/>
          <w:spacing w:val="0"/>
          <w:lang w:val="es-EC"/>
        </w:rPr>
        <w:t>”, se dispone de evidencia de los prototipos actualmente en fase de prueba (registro fotográfico y/o audiovisual y documentación asociada), lo cual demuestra el avance del desarrollo y la validación progresiva del hardware en condiciones reales de verificación.</w:t>
      </w:r>
    </w:p>
    <w:sectPr w:rsidR="002F2F9D" w:rsidRPr="00BD5C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4EB5"/>
    <w:multiLevelType w:val="hybridMultilevel"/>
    <w:tmpl w:val="6352B36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0F754A"/>
    <w:multiLevelType w:val="hybridMultilevel"/>
    <w:tmpl w:val="DC786A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B1E34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4C5734"/>
    <w:multiLevelType w:val="multilevel"/>
    <w:tmpl w:val="6234DE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3" w15:restartNumberingAfterBreak="0">
    <w:nsid w:val="16877A34"/>
    <w:multiLevelType w:val="multilevel"/>
    <w:tmpl w:val="ECCA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1D60B4"/>
    <w:multiLevelType w:val="hybridMultilevel"/>
    <w:tmpl w:val="3992062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5D5903"/>
    <w:multiLevelType w:val="multilevel"/>
    <w:tmpl w:val="5F827F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A88154B"/>
    <w:multiLevelType w:val="hybridMultilevel"/>
    <w:tmpl w:val="026084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5F4AD5"/>
    <w:multiLevelType w:val="multilevel"/>
    <w:tmpl w:val="318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4127A"/>
    <w:multiLevelType w:val="hybridMultilevel"/>
    <w:tmpl w:val="177C51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A5888"/>
    <w:multiLevelType w:val="multilevel"/>
    <w:tmpl w:val="6760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77D9A"/>
    <w:multiLevelType w:val="multilevel"/>
    <w:tmpl w:val="978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01AD0"/>
    <w:multiLevelType w:val="hybridMultilevel"/>
    <w:tmpl w:val="246EF1C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830C5B"/>
    <w:multiLevelType w:val="hybridMultilevel"/>
    <w:tmpl w:val="76CAC4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3714A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543778A"/>
    <w:multiLevelType w:val="multilevel"/>
    <w:tmpl w:val="EE7E1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6440BAF"/>
    <w:multiLevelType w:val="multilevel"/>
    <w:tmpl w:val="EEB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53971"/>
    <w:multiLevelType w:val="multilevel"/>
    <w:tmpl w:val="6234DE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7" w15:restartNumberingAfterBreak="0">
    <w:nsid w:val="44180398"/>
    <w:multiLevelType w:val="multilevel"/>
    <w:tmpl w:val="0FC8D6B6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F1BB2"/>
    <w:multiLevelType w:val="multilevel"/>
    <w:tmpl w:val="67606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24E5D"/>
    <w:multiLevelType w:val="multilevel"/>
    <w:tmpl w:val="FDB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1F2"/>
    <w:multiLevelType w:val="multilevel"/>
    <w:tmpl w:val="9E743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2E53A71"/>
    <w:multiLevelType w:val="multilevel"/>
    <w:tmpl w:val="75AA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7F1EA0"/>
    <w:multiLevelType w:val="multilevel"/>
    <w:tmpl w:val="223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D2901"/>
    <w:multiLevelType w:val="multilevel"/>
    <w:tmpl w:val="866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A7DFE"/>
    <w:multiLevelType w:val="multilevel"/>
    <w:tmpl w:val="B53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1309">
    <w:abstractNumId w:val="8"/>
  </w:num>
  <w:num w:numId="2" w16cid:durableId="912012487">
    <w:abstractNumId w:val="6"/>
  </w:num>
  <w:num w:numId="3" w16cid:durableId="121311045">
    <w:abstractNumId w:val="5"/>
  </w:num>
  <w:num w:numId="4" w16cid:durableId="1050610876">
    <w:abstractNumId w:val="4"/>
  </w:num>
  <w:num w:numId="5" w16cid:durableId="918296023">
    <w:abstractNumId w:val="7"/>
  </w:num>
  <w:num w:numId="6" w16cid:durableId="1727870918">
    <w:abstractNumId w:val="3"/>
  </w:num>
  <w:num w:numId="7" w16cid:durableId="2086563623">
    <w:abstractNumId w:val="2"/>
  </w:num>
  <w:num w:numId="8" w16cid:durableId="1088774147">
    <w:abstractNumId w:val="1"/>
  </w:num>
  <w:num w:numId="9" w16cid:durableId="1164736015">
    <w:abstractNumId w:val="0"/>
  </w:num>
  <w:num w:numId="10" w16cid:durableId="721363224">
    <w:abstractNumId w:val="25"/>
  </w:num>
  <w:num w:numId="11" w16cid:durableId="915868578">
    <w:abstractNumId w:val="29"/>
  </w:num>
  <w:num w:numId="12" w16cid:durableId="1091314867">
    <w:abstractNumId w:val="33"/>
  </w:num>
  <w:num w:numId="13" w16cid:durableId="94912515">
    <w:abstractNumId w:val="9"/>
  </w:num>
  <w:num w:numId="14" w16cid:durableId="1172068269">
    <w:abstractNumId w:val="24"/>
  </w:num>
  <w:num w:numId="15" w16cid:durableId="1986813088">
    <w:abstractNumId w:val="18"/>
  </w:num>
  <w:num w:numId="16" w16cid:durableId="1850945711">
    <w:abstractNumId w:val="31"/>
  </w:num>
  <w:num w:numId="17" w16cid:durableId="994378444">
    <w:abstractNumId w:val="20"/>
  </w:num>
  <w:num w:numId="18" w16cid:durableId="179201091">
    <w:abstractNumId w:val="23"/>
  </w:num>
  <w:num w:numId="19" w16cid:durableId="1297830212">
    <w:abstractNumId w:val="32"/>
  </w:num>
  <w:num w:numId="20" w16cid:durableId="583805343">
    <w:abstractNumId w:val="15"/>
  </w:num>
  <w:num w:numId="21" w16cid:durableId="1802648163">
    <w:abstractNumId w:val="14"/>
  </w:num>
  <w:num w:numId="22" w16cid:durableId="1951620789">
    <w:abstractNumId w:val="11"/>
  </w:num>
  <w:num w:numId="23" w16cid:durableId="1547713060">
    <w:abstractNumId w:val="27"/>
  </w:num>
  <w:num w:numId="24" w16cid:durableId="1792624301">
    <w:abstractNumId w:val="21"/>
  </w:num>
  <w:num w:numId="25" w16cid:durableId="1841777098">
    <w:abstractNumId w:val="10"/>
  </w:num>
  <w:num w:numId="26" w16cid:durableId="817309301">
    <w:abstractNumId w:val="16"/>
  </w:num>
  <w:num w:numId="27" w16cid:durableId="154609220">
    <w:abstractNumId w:val="17"/>
  </w:num>
  <w:num w:numId="28" w16cid:durableId="371005492">
    <w:abstractNumId w:val="22"/>
  </w:num>
  <w:num w:numId="29" w16cid:durableId="1215237581">
    <w:abstractNumId w:val="13"/>
  </w:num>
  <w:num w:numId="30" w16cid:durableId="1016617458">
    <w:abstractNumId w:val="30"/>
  </w:num>
  <w:num w:numId="31" w16cid:durableId="1765295947">
    <w:abstractNumId w:val="19"/>
  </w:num>
  <w:num w:numId="32" w16cid:durableId="913979247">
    <w:abstractNumId w:val="28"/>
  </w:num>
  <w:num w:numId="33" w16cid:durableId="1488475835">
    <w:abstractNumId w:val="12"/>
  </w:num>
  <w:num w:numId="34" w16cid:durableId="1583027686">
    <w:abstractNumId w:val="26"/>
  </w:num>
  <w:num w:numId="35" w16cid:durableId="20777772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C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ACF"/>
    <w:rsid w:val="00034616"/>
    <w:rsid w:val="0006063C"/>
    <w:rsid w:val="0015074B"/>
    <w:rsid w:val="00165803"/>
    <w:rsid w:val="00207AED"/>
    <w:rsid w:val="00235E51"/>
    <w:rsid w:val="00266B36"/>
    <w:rsid w:val="0029639D"/>
    <w:rsid w:val="002F2F9D"/>
    <w:rsid w:val="00326F90"/>
    <w:rsid w:val="0039233A"/>
    <w:rsid w:val="003F2382"/>
    <w:rsid w:val="004876EC"/>
    <w:rsid w:val="004D58D1"/>
    <w:rsid w:val="0053750D"/>
    <w:rsid w:val="005A3F7B"/>
    <w:rsid w:val="005B039A"/>
    <w:rsid w:val="006628B7"/>
    <w:rsid w:val="006773A6"/>
    <w:rsid w:val="006A6459"/>
    <w:rsid w:val="006B0295"/>
    <w:rsid w:val="006C60BC"/>
    <w:rsid w:val="0070683B"/>
    <w:rsid w:val="0072190C"/>
    <w:rsid w:val="007A6A7F"/>
    <w:rsid w:val="0088623C"/>
    <w:rsid w:val="008A2B08"/>
    <w:rsid w:val="008B3F38"/>
    <w:rsid w:val="008C6E50"/>
    <w:rsid w:val="008E66E2"/>
    <w:rsid w:val="00962B6C"/>
    <w:rsid w:val="00A75ED7"/>
    <w:rsid w:val="00A83FD9"/>
    <w:rsid w:val="00AA1D8D"/>
    <w:rsid w:val="00AB17B1"/>
    <w:rsid w:val="00AF1C8D"/>
    <w:rsid w:val="00B45C96"/>
    <w:rsid w:val="00B47730"/>
    <w:rsid w:val="00B71634"/>
    <w:rsid w:val="00B85ED4"/>
    <w:rsid w:val="00BA35E7"/>
    <w:rsid w:val="00BD5C80"/>
    <w:rsid w:val="00C00AED"/>
    <w:rsid w:val="00CB0664"/>
    <w:rsid w:val="00CC5ACE"/>
    <w:rsid w:val="00D8485B"/>
    <w:rsid w:val="00DF1103"/>
    <w:rsid w:val="00E316A4"/>
    <w:rsid w:val="00E7122B"/>
    <w:rsid w:val="00F442CC"/>
    <w:rsid w:val="00F91F15"/>
    <w:rsid w:val="00FB6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AFC649"/>
  <w14:defaultImageDpi w14:val="300"/>
  <w15:docId w15:val="{99FB9BEE-CB75-488C-8369-9A80376F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A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985</Words>
  <Characters>5733</Characters>
  <Application>Microsoft Office Word</Application>
  <DocSecurity>0</DocSecurity>
  <Lines>102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DAVID CUICHAN USHIÑA</cp:lastModifiedBy>
  <cp:revision>3</cp:revision>
  <dcterms:created xsi:type="dcterms:W3CDTF">2026-01-07T21:34:00Z</dcterms:created>
  <dcterms:modified xsi:type="dcterms:W3CDTF">2026-01-07T21:46:00Z</dcterms:modified>
  <cp:category/>
</cp:coreProperties>
</file>