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2A5A" w14:textId="1F97915F" w:rsidR="002B13FF" w:rsidRPr="007B75C2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59942446" w14:textId="541BA657" w:rsidR="004D31F9" w:rsidRPr="007B75C2" w:rsidRDefault="00C0113E" w:rsidP="004D31F9">
      <w:pPr>
        <w:pStyle w:val="Paragrafoelenco"/>
        <w:numPr>
          <w:ilvl w:val="0"/>
          <w:numId w:val="1"/>
        </w:numPr>
      </w:pPr>
      <w:r>
        <w:rPr>
          <w:highlight w:val="green"/>
        </w:rPr>
        <w:t>Integrali impropri (o generalizzati)</w:t>
      </w:r>
    </w:p>
    <w:p w14:paraId="3FBE7ACC" w14:textId="10F29020" w:rsidR="004D31F9" w:rsidRPr="007B75C2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Convergenza e divergenza</w:t>
      </w:r>
    </w:p>
    <w:p w14:paraId="61C2E2E3" w14:textId="449296D7" w:rsidR="004D31F9" w:rsidRPr="007B75C2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Integrazione a valor principale</w:t>
      </w:r>
    </w:p>
    <w:p w14:paraId="3F3244A8" w14:textId="2906C55C" w:rsidR="004D31F9" w:rsidRPr="007B75C2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Oss. su integrazione a V.P.</w:t>
      </w:r>
    </w:p>
    <w:p w14:paraId="2A5C7B7A" w14:textId="5CE76F0E" w:rsidR="008E7347" w:rsidRDefault="00C0113E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Esempi fondamentali</w:t>
      </w:r>
    </w:p>
    <w:p w14:paraId="542AB0F1" w14:textId="457A28B4" w:rsidR="00C0113E" w:rsidRP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Oss. sulla divergenza basata sugli asintoti orizzontali</w:t>
      </w:r>
    </w:p>
    <w:p w14:paraId="32ECE080" w14:textId="61185113" w:rsidR="008E7347" w:rsidRPr="00C0113E" w:rsidRDefault="008E7347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B75C2">
        <w:rPr>
          <w:b/>
          <w:bCs/>
          <w:sz w:val="18"/>
          <w:szCs w:val="18"/>
        </w:rPr>
        <w:t xml:space="preserve">1 </w:t>
      </w:r>
      <w:r w:rsidR="000A00A3" w:rsidRPr="007B75C2">
        <w:rPr>
          <w:b/>
          <w:bCs/>
          <w:sz w:val="18"/>
          <w:szCs w:val="18"/>
        </w:rPr>
        <w:t>=</w:t>
      </w:r>
      <w:r w:rsidRPr="007B75C2">
        <w:rPr>
          <w:b/>
          <w:b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≥0→F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 xml:space="preserve"> crescente monotona</m:t>
        </m:r>
      </m:oMath>
    </w:p>
    <w:p w14:paraId="6661A4F0" w14:textId="5F23D2D5" w:rsidR="008E7347" w:rsidRPr="00C0113E" w:rsidRDefault="00C0113E" w:rsidP="008E7347">
      <w:pPr>
        <w:pStyle w:val="Paragrafoelenco"/>
        <w:numPr>
          <w:ilvl w:val="1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2 = </w:t>
      </w:r>
      <w:r>
        <w:rPr>
          <w:sz w:val="18"/>
          <w:szCs w:val="18"/>
        </w:rPr>
        <w:t>Th. del confronto</w:t>
      </w:r>
    </w:p>
    <w:p w14:paraId="7472B57C" w14:textId="37FD0611" w:rsidR="00C0113E" w:rsidRPr="00C0113E" w:rsidRDefault="00C0113E" w:rsidP="008E7347">
      <w:pPr>
        <w:pStyle w:val="Paragrafoelenco"/>
        <w:numPr>
          <w:ilvl w:val="1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3 = </w:t>
      </w:r>
      <w:r>
        <w:rPr>
          <w:sz w:val="18"/>
          <w:szCs w:val="18"/>
        </w:rPr>
        <w:t>Th. del confronto asintotico</w:t>
      </w:r>
    </w:p>
    <w:p w14:paraId="736BD662" w14:textId="0DADC662" w:rsidR="008E7347" w:rsidRPr="007B75C2" w:rsidRDefault="00C0113E" w:rsidP="008E734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Confronto con il valore assoluto</w:t>
      </w:r>
    </w:p>
    <w:p w14:paraId="667D1F62" w14:textId="7856AAFF" w:rsidR="00C0113E" w:rsidRP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 assolutamente integrabile</w:t>
      </w:r>
    </w:p>
    <w:p w14:paraId="1107F415" w14:textId="3ABAC75A" w:rsidR="004D31F9" w:rsidRPr="007B75C2" w:rsidRDefault="004D31F9" w:rsidP="004D31F9">
      <w:pPr>
        <w:pStyle w:val="Paragrafoelenco"/>
        <w:numPr>
          <w:ilvl w:val="0"/>
          <w:numId w:val="1"/>
        </w:numPr>
      </w:pPr>
      <w:r w:rsidRPr="007B75C2">
        <w:rPr>
          <w:highlight w:val="green"/>
        </w:rPr>
        <w:t>Funzion</w:t>
      </w:r>
      <w:r w:rsidR="00C0113E">
        <w:rPr>
          <w:highlight w:val="green"/>
        </w:rPr>
        <w:t>i a più variabil</w:t>
      </w:r>
      <w:r w:rsidRPr="007B75C2">
        <w:rPr>
          <w:highlight w:val="green"/>
        </w:rPr>
        <w:t>i</w:t>
      </w:r>
    </w:p>
    <w:p w14:paraId="6E18AE95" w14:textId="094944BE" w:rsidR="004D31F9" w:rsidRPr="007B75C2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Topologia euclidea</w:t>
      </w:r>
    </w:p>
    <w:p w14:paraId="1099E9EB" w14:textId="405BFBE9" w:rsidR="004D31F9" w:rsidRPr="007B75C2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Proprietà distanza</w:t>
      </w:r>
    </w:p>
    <w:p w14:paraId="58312E8A" w14:textId="361073B9" w:rsidR="004D31F9" w:rsidRPr="007B75C2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Intorno sferico o palla di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</w:p>
    <w:p w14:paraId="7574C180" w14:textId="008C8969" w:rsidR="004D31F9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Oss. sulla distanza</w:t>
      </w:r>
    </w:p>
    <w:p w14:paraId="143BA041" w14:textId="6980AFF5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P.to di accumulazione</w:t>
      </w:r>
    </w:p>
    <w:p w14:paraId="44992FCA" w14:textId="7C43287D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Palla bucata</w:t>
      </w:r>
    </w:p>
    <w:p w14:paraId="293F6951" w14:textId="4D4AA0BF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Limite</w:t>
      </w:r>
    </w:p>
    <w:p w14:paraId="49699104" w14:textId="46F45169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Caratterizzazione del lim. in una f a valori vettoriali</w:t>
      </w:r>
    </w:p>
    <w:p w14:paraId="3553A63D" w14:textId="483AA4CD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Convergenza e divergenza</w:t>
      </w:r>
    </w:p>
    <w:p w14:paraId="51721D4F" w14:textId="35A9003A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Continuità</w:t>
      </w:r>
    </w:p>
    <w:p w14:paraId="0883BD1A" w14:textId="7B2EB21F" w:rsidR="00C0113E" w:rsidRDefault="00C0113E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P.to isolato</w:t>
      </w:r>
    </w:p>
    <w:p w14:paraId="5E4F840A" w14:textId="3B4D5308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Continuità nei limiti</w:t>
      </w:r>
    </w:p>
    <w:p w14:paraId="14432384" w14:textId="1F9668E4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Teorema ponte</w:t>
      </w:r>
    </w:p>
    <w:p w14:paraId="64737C25" w14:textId="396E6AA7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Oss. e appl.  sull'esistenza di un limite</w:t>
      </w:r>
    </w:p>
    <w:p w14:paraId="4A5D9828" w14:textId="3FC37B48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Funzioni omogenee</w:t>
      </w:r>
    </w:p>
    <w:p w14:paraId="1A60082B" w14:textId="12D98600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Continuità funzioni composte</w:t>
      </w:r>
    </w:p>
    <w:p w14:paraId="2E8DC7EF" w14:textId="02A3D14B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Proiezione canonica</w:t>
      </w:r>
    </w:p>
    <w:p w14:paraId="724480F1" w14:textId="4EDD965A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Disuguaglianza di Cauchy-Schwartz</w:t>
      </w:r>
    </w:p>
    <w:p w14:paraId="4ADBD5AE" w14:textId="07C07F4C" w:rsid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doppio confronto</w:t>
      </w:r>
    </w:p>
    <w:p w14:paraId="7C911F1B" w14:textId="31D06E8A" w:rsidR="00C0113E" w:rsidRP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</m:d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sz w:val="18"/>
            <w:szCs w:val="18"/>
          </w:rPr>
          <m:t>0 ↔f(x)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sz w:val="18"/>
            <w:szCs w:val="18"/>
          </w:rPr>
          <m:t>0</m:t>
        </m:r>
      </m:oMath>
    </w:p>
    <w:p w14:paraId="7F85F3CA" w14:textId="7B8CBF50" w:rsidR="00C0113E" w:rsidRP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>Insieme aperto</w:t>
      </w:r>
    </w:p>
    <w:p w14:paraId="1565F535" w14:textId="5A176492" w:rsidR="00C0113E" w:rsidRPr="00C0113E" w:rsidRDefault="00C0113E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>Insieme chiuso</w:t>
      </w:r>
    </w:p>
    <w:p w14:paraId="3E26220E" w14:textId="4791474B" w:rsidR="00C0113E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Non aperto </w:t>
      </w:r>
      <w:r w:rsidRPr="00C0113E">
        <w:rPr>
          <w:rFonts w:ascii="Cambria Math" w:eastAsiaTheme="minorEastAsia" w:hAnsi="Cambria Math" w:cs="Cambria Math"/>
          <w:sz w:val="18"/>
          <w:szCs w:val="18"/>
        </w:rPr>
        <w:t>↛</w:t>
      </w:r>
      <w:r>
        <w:rPr>
          <w:rFonts w:ascii="Cambria Math" w:eastAsiaTheme="minorEastAsia" w:hAnsi="Cambria Math" w:cs="Cambria Math"/>
          <w:sz w:val="18"/>
          <w:szCs w:val="18"/>
        </w:rPr>
        <w:t xml:space="preserve"> </w:t>
      </w:r>
      <w:r w:rsidRPr="00C0113E">
        <w:rPr>
          <w:rFonts w:eastAsiaTheme="minorEastAsia"/>
          <w:sz w:val="18"/>
          <w:szCs w:val="18"/>
        </w:rPr>
        <w:t>chiuso</w:t>
      </w:r>
    </w:p>
    <w:p w14:paraId="71A095DD" w14:textId="6D576D7E" w:rsidR="00C0113E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Frontiera o bordo</w:t>
      </w:r>
    </w:p>
    <w:p w14:paraId="69281C1E" w14:textId="538AD00C" w:rsidR="00C0113E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Chiusura di un insieme</w:t>
      </w:r>
    </w:p>
    <w:p w14:paraId="61781E9A" w14:textId="5F14868E" w:rsidR="00C0113E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Insieme limitato</w:t>
      </w:r>
    </w:p>
    <w:p w14:paraId="5148E530" w14:textId="22B33581" w:rsidR="00C0113E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Massimo e minimo</w:t>
      </w:r>
    </w:p>
    <w:p w14:paraId="5051EE4D" w14:textId="78506E06" w:rsidR="00C0113E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Insieme compatto</w:t>
      </w:r>
    </w:p>
    <w:p w14:paraId="677506B2" w14:textId="2306BEF7" w:rsidR="00C0113E" w:rsidRPr="00D64B64" w:rsidRDefault="00C0113E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sulla compattezza (</w:t>
      </w:r>
      <w:r w:rsidR="00D64B64">
        <w:rPr>
          <w:rFonts w:eastAsiaTheme="minorEastAsia"/>
          <w:sz w:val="18"/>
          <w:szCs w:val="18"/>
        </w:rPr>
        <w:t xml:space="preserve">Insieme compatto </w:t>
      </w:r>
      <w:r w:rsidR="00D64B64" w:rsidRPr="00D64B64">
        <w:rPr>
          <w:rFonts w:ascii="Cambria Math" w:eastAsiaTheme="minorEastAsia" w:hAnsi="Cambria Math" w:cs="Cambria Math"/>
          <w:sz w:val="18"/>
          <w:szCs w:val="18"/>
        </w:rPr>
        <w:t>⇔</w:t>
      </w:r>
      <w:r w:rsidR="00D64B64">
        <w:rPr>
          <w:rFonts w:ascii="Cambria Math" w:eastAsiaTheme="minorEastAsia" w:hAnsi="Cambria Math" w:cs="Cambria Math"/>
          <w:sz w:val="18"/>
          <w:szCs w:val="18"/>
        </w:rPr>
        <w:t xml:space="preserve"> </w:t>
      </w:r>
      <w:r w:rsidR="00D64B64">
        <w:rPr>
          <w:rFonts w:eastAsiaTheme="minorEastAsia" w:cs="Cambria Math"/>
          <w:sz w:val="18"/>
          <w:szCs w:val="18"/>
        </w:rPr>
        <w:t>Insieme sequenzialmente compatto)</w:t>
      </w:r>
    </w:p>
    <w:p w14:paraId="19B72DBD" w14:textId="270FE547" w:rsidR="00D64B64" w:rsidRPr="00D64B64" w:rsidRDefault="00D64B64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 w:cs="Cambria Math"/>
          <w:b/>
          <w:bCs/>
          <w:sz w:val="18"/>
          <w:szCs w:val="18"/>
        </w:rPr>
        <w:t xml:space="preserve">4 = </w:t>
      </w:r>
      <w:r>
        <w:rPr>
          <w:rFonts w:eastAsiaTheme="minorEastAsia" w:cs="Cambria Math"/>
          <w:sz w:val="18"/>
          <w:szCs w:val="18"/>
        </w:rPr>
        <w:t>Th. di Weierstrass</w:t>
      </w:r>
    </w:p>
    <w:p w14:paraId="30D5D963" w14:textId="7CA919FA" w:rsidR="00D64B64" w:rsidRPr="00D64B64" w:rsidRDefault="00D64B64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 w:cs="Cambria Math"/>
          <w:b/>
          <w:bCs/>
          <w:sz w:val="18"/>
          <w:szCs w:val="18"/>
        </w:rPr>
        <w:t xml:space="preserve">5 = </w:t>
      </w:r>
      <w:r>
        <w:rPr>
          <w:rFonts w:eastAsiaTheme="minorEastAsia" w:cs="Cambria Math"/>
          <w:sz w:val="18"/>
          <w:szCs w:val="18"/>
        </w:rPr>
        <w:t>Una f continua trasforma compatto in compatto</w:t>
      </w:r>
    </w:p>
    <w:p w14:paraId="55ABDD84" w14:textId="4557BC12" w:rsidR="00D64B64" w:rsidRDefault="00D64B64" w:rsidP="00C0113E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B aperto/chiuso→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aperto/chiuso</m:t>
        </m:r>
      </m:oMath>
    </w:p>
    <w:p w14:paraId="3F5FB415" w14:textId="02E5E7BC" w:rsid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Unioni e intersezioni tra insiemi aperti/chiusi</w:t>
      </w:r>
    </w:p>
    <w:p w14:paraId="64C36442" w14:textId="32F251A5" w:rsid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Insieme convesso</w:t>
      </w:r>
    </w:p>
    <w:p w14:paraId="5F78786C" w14:textId="55D02A30" w:rsid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Insieme connesso per archi</w:t>
      </w:r>
    </w:p>
    <w:p w14:paraId="159568B5" w14:textId="51B98B89" w:rsidR="00D64B64" w:rsidRP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Convesso→Connesso per archi</m:t>
        </m:r>
      </m:oMath>
    </w:p>
    <w:p w14:paraId="1233828C" w14:textId="3F9332E3" w:rsid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6 = </w:t>
      </w:r>
      <w:r>
        <w:rPr>
          <w:rFonts w:eastAsiaTheme="minorEastAsia"/>
          <w:sz w:val="18"/>
          <w:szCs w:val="18"/>
        </w:rPr>
        <w:t xml:space="preserve">Th. degli zeri per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</w:p>
    <w:p w14:paraId="14372CBF" w14:textId="14B92CD4" w:rsidR="00D64B64" w:rsidRP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 trasforma connessa in connessa</w:t>
      </w:r>
    </w:p>
    <w:p w14:paraId="35A37E15" w14:textId="45596FAC" w:rsidR="00A74B9C" w:rsidRPr="007B75C2" w:rsidRDefault="00D64B64" w:rsidP="00A74B9C">
      <w:pPr>
        <w:pStyle w:val="Paragrafoelenco"/>
        <w:numPr>
          <w:ilvl w:val="0"/>
          <w:numId w:val="1"/>
        </w:numPr>
      </w:pPr>
      <w:r>
        <w:rPr>
          <w:highlight w:val="green"/>
        </w:rPr>
        <w:t>Rapporto incrementale</w:t>
      </w:r>
    </w:p>
    <w:p w14:paraId="5925B5AA" w14:textId="478BD737" w:rsidR="00A74B9C" w:rsidRDefault="00D64B6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Gradiente</w:t>
      </w:r>
    </w:p>
    <w:p w14:paraId="68E2DBA5" w14:textId="4760C727" w:rsidR="00D64B64" w:rsidRDefault="00D64B64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Jacobiano e matrice jacobiana</w:t>
      </w:r>
    </w:p>
    <w:p w14:paraId="7016BFE6" w14:textId="476E7068" w:rsid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Differenziabilità</w:t>
      </w:r>
    </w:p>
    <w:p w14:paraId="5CDFD6D8" w14:textId="72E00AC7" w:rsid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>Miglior approssimazione lineare</w:t>
      </w:r>
    </w:p>
    <w:p w14:paraId="62FBEB21" w14:textId="4509651D" w:rsidR="00D64B64" w:rsidRP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7 = </w:t>
      </w:r>
      <m:oMath>
        <m:r>
          <w:rPr>
            <w:rFonts w:ascii="Cambria Math" w:eastAsiaTheme="minorEastAsia" w:hAnsi="Cambria Math"/>
            <w:sz w:val="18"/>
            <w:szCs w:val="18"/>
          </w:rPr>
          <m:t>Differenziabilità→Continuità</m:t>
        </m:r>
      </m:oMath>
    </w:p>
    <w:p w14:paraId="53F03133" w14:textId="53712CED" w:rsidR="00D64B64" w:rsidRPr="00D64B64" w:rsidRDefault="00D64B64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Cos’è la mappa lineare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sub>
        </m:sSub>
      </m:oMath>
    </w:p>
    <w:p w14:paraId="249F77A1" w14:textId="1699FF2B" w:rsidR="00D64B64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8 = </w:t>
      </w:r>
      <m:oMath>
        <m:r>
          <w:rPr>
            <w:rFonts w:ascii="Cambria Math" w:eastAsiaTheme="minorEastAsia" w:hAnsi="Cambria Math"/>
            <w:sz w:val="18"/>
            <w:szCs w:val="18"/>
          </w:rPr>
          <m:t>Differenziabilità→ ∃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f 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>˄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d>
      </m:oMath>
    </w:p>
    <w:p w14:paraId="4DD6E0F2" w14:textId="5C511832" w:rsidR="00DA26BE" w:rsidRP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9 = </w:t>
      </w:r>
      <m:oMath>
        <m:r>
          <w:rPr>
            <w:rFonts w:ascii="Cambria Math" w:eastAsiaTheme="minorEastAsia" w:hAnsi="Cambria Math"/>
            <w:sz w:val="18"/>
            <w:szCs w:val="18"/>
          </w:rPr>
          <m:t>Differenziabilità→f ha tutte le derivate direzionali</m:t>
        </m:r>
      </m:oMath>
    </w:p>
    <w:p w14:paraId="759722A8" w14:textId="1FD1ED55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del differenziale</w:t>
      </w:r>
    </w:p>
    <w:p w14:paraId="0556D324" w14:textId="6E067B25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Corollario</w:t>
      </w:r>
    </w:p>
    <w:p w14:paraId="22DF7850" w14:textId="035A44EB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Differenziale</w:t>
      </w:r>
    </w:p>
    <w:p w14:paraId="1CA0C2C5" w14:textId="1B6A8DA1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Derivate f. composte</w:t>
      </w:r>
    </w:p>
    <w:p w14:paraId="5560B1FA" w14:textId="1C253822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Corollario</w:t>
      </w:r>
    </w:p>
    <w:p w14:paraId="721C7940" w14:textId="39A90E82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Curva di livello</w:t>
      </w:r>
    </w:p>
    <w:p w14:paraId="45A72914" w14:textId="1894F308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10 = </w:t>
      </w:r>
      <w:r>
        <w:rPr>
          <w:rFonts w:eastAsiaTheme="minorEastAsia"/>
          <w:sz w:val="18"/>
          <w:szCs w:val="18"/>
        </w:rPr>
        <w:t>Ortogonalità tra gradiente e tangente</w:t>
      </w:r>
    </w:p>
    <w:p w14:paraId="150F8774" w14:textId="00458DCC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11 = </w:t>
      </w:r>
      <w:r>
        <w:rPr>
          <w:rFonts w:eastAsiaTheme="minorEastAsia"/>
          <w:sz w:val="18"/>
          <w:szCs w:val="18"/>
        </w:rPr>
        <w:t>Direzione di massima crescita</w:t>
      </w:r>
    </w:p>
    <w:p w14:paraId="258997CD" w14:textId="38DE5707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Massimo/minimo locale di una funzione</w:t>
      </w:r>
    </w:p>
    <w:p w14:paraId="34222965" w14:textId="0A590763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12 = </w:t>
      </w:r>
      <w:r>
        <w:rPr>
          <w:rFonts w:eastAsiaTheme="minorEastAsia"/>
          <w:sz w:val="18"/>
          <w:szCs w:val="18"/>
        </w:rPr>
        <w:t>Th. di Fermat</w:t>
      </w:r>
    </w:p>
    <w:p w14:paraId="51D88936" w14:textId="46D662A3" w:rsidR="00DA26BE" w:rsidRP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P.to critico singolare</w:t>
      </w:r>
    </w:p>
    <w:p w14:paraId="204C04C8" w14:textId="555FA8B8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13 = </w:t>
      </w:r>
      <w:r>
        <w:rPr>
          <w:rFonts w:eastAsiaTheme="minorEastAsia"/>
          <w:sz w:val="18"/>
          <w:szCs w:val="18"/>
        </w:rPr>
        <w:t>Th. di Lagrange</w:t>
      </w:r>
    </w:p>
    <w:p w14:paraId="02C52847" w14:textId="437E595B" w:rsidR="00DA26BE" w:rsidRDefault="00DA26BE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Localmente Lipschitziana</w:t>
      </w:r>
    </w:p>
    <w:p w14:paraId="5E4795B1" w14:textId="25958579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Derivata seconda direzionale</w:t>
      </w:r>
    </w:p>
    <w:p w14:paraId="29B33FEE" w14:textId="4E25DB03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Derivata seconda parziale</w:t>
      </w:r>
    </w:p>
    <w:p w14:paraId="1E05307E" w14:textId="274A91D3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Hessiano</w:t>
      </w:r>
    </w:p>
    <w:p w14:paraId="2560561C" w14:textId="2878A4F0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di Schwartz</w:t>
      </w:r>
    </w:p>
    <w:p w14:paraId="6AB15C59" w14:textId="07257695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Corollario</w:t>
      </w:r>
    </w:p>
    <w:p w14:paraId="7AF8DFC0" w14:textId="7624BD1A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Classi </w:t>
      </w:r>
      <w:r w:rsidRPr="006E3946">
        <w:rPr>
          <w:rFonts w:eastAsiaTheme="minorEastAsia"/>
          <w:sz w:val="18"/>
          <w:szCs w:val="18"/>
        </w:rPr>
        <w:t>C</w:t>
      </w:r>
    </w:p>
    <w:p w14:paraId="5920D72F" w14:textId="472CB81C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Forma quadratica</w:t>
      </w:r>
    </w:p>
    <w:p w14:paraId="266853D9" w14:textId="101F2ABC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Segno di una forma quadratica</w:t>
      </w:r>
    </w:p>
    <w:p w14:paraId="0AFEF5F3" w14:textId="31A87564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Scorciatoia per il segno di una forma quadratica</w:t>
      </w:r>
    </w:p>
    <w:p w14:paraId="3979C23F" w14:textId="69C3B37C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Forma lineare o forma differenziale</w:t>
      </w:r>
    </w:p>
    <w:p w14:paraId="3351D06A" w14:textId="11B41795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14 = </w:t>
      </w:r>
      <w:r>
        <w:rPr>
          <w:rFonts w:eastAsiaTheme="minorEastAsia"/>
          <w:sz w:val="18"/>
          <w:szCs w:val="18"/>
        </w:rPr>
        <w:t xml:space="preserve">Differenziabilità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  <w:r>
        <w:rPr>
          <w:rFonts w:eastAsiaTheme="minorEastAsia"/>
          <w:sz w:val="18"/>
          <w:szCs w:val="18"/>
        </w:rPr>
        <w:t xml:space="preserve"> 2 volte</w:t>
      </w:r>
    </w:p>
    <w:p w14:paraId="2CA4F8DD" w14:textId="4F845F18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Formula di Taylor di ordine 2 per f a più variabili</w:t>
      </w:r>
    </w:p>
    <w:p w14:paraId="6BB75981" w14:textId="23C2980C" w:rsidR="006E3946" w:rsidRDefault="006E3946" w:rsidP="00D64B6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15 = </w:t>
      </w:r>
      <w:r>
        <w:rPr>
          <w:rFonts w:eastAsiaTheme="minorEastAsia"/>
          <w:sz w:val="18"/>
          <w:szCs w:val="18"/>
        </w:rPr>
        <w:t>Condizione sufficiente perché un punto critico sia di estremo locale</w:t>
      </w:r>
    </w:p>
    <w:p w14:paraId="54B23776" w14:textId="4A0E1B2C" w:rsidR="006E3946" w:rsidRPr="006E3946" w:rsidRDefault="006E3946" w:rsidP="006E3946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Condizione necessaria perché un punto critico sia di estremo locale</w:t>
      </w:r>
    </w:p>
    <w:p w14:paraId="5D5DE22D" w14:textId="06F785D2" w:rsidR="00B979D1" w:rsidRPr="007B75C2" w:rsidRDefault="006E3946" w:rsidP="00B979D1">
      <w:pPr>
        <w:pStyle w:val="Paragrafoelenco"/>
        <w:numPr>
          <w:ilvl w:val="0"/>
          <w:numId w:val="1"/>
        </w:numPr>
      </w:pPr>
      <w:r>
        <w:rPr>
          <w:highlight w:val="green"/>
        </w:rPr>
        <w:t>Integrale di Riemann a più variabili</w:t>
      </w:r>
    </w:p>
    <w:p w14:paraId="0F2D0539" w14:textId="31EB6447" w:rsidR="00B979D1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Suddivisione</w:t>
      </w:r>
    </w:p>
    <w:p w14:paraId="03CA5D95" w14:textId="5CEFF6E5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Somma inferiore/superiore</w:t>
      </w:r>
    </w:p>
    <w:p w14:paraId="29DA7276" w14:textId="17560929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F. integrabile</w:t>
      </w:r>
    </w:p>
    <w:p w14:paraId="4F154A91" w14:textId="6EA94BA6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Integrale doppio di funzioni costanti</w:t>
      </w:r>
    </w:p>
    <w:p w14:paraId="7990C2EC" w14:textId="77777777" w:rsidR="00D55647" w:rsidRP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bookmarkStart w:id="0" w:name="_Hlk156927178"/>
      <m:oMath>
        <m:r>
          <w:rPr>
            <w:rFonts w:ascii="Cambria Math" w:eastAsiaTheme="minorEastAsia" w:hAnsi="Cambria Math"/>
            <w:sz w:val="18"/>
            <w:szCs w:val="18"/>
          </w:rPr>
          <m:t>Continuità→Integrabilità</m:t>
        </m:r>
      </m:oMath>
      <w:bookmarkEnd w:id="0"/>
    </w:p>
    <w:p w14:paraId="7A1A7F46" w14:textId="2F96E4A4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Caratterizzazione integrabilità funzione def. su rettangoli</w:t>
      </w:r>
    </w:p>
    <w:p w14:paraId="23004B74" w14:textId="63B38C4E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Formula di riduzione</w:t>
      </w:r>
    </w:p>
    <w:p w14:paraId="652F1D5C" w14:textId="54E5FE43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Scambio dell’ordine di integrazione</w:t>
      </w:r>
    </w:p>
    <w:p w14:paraId="533F4B60" w14:textId="68ACE6BB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F. a var. separabili</w:t>
      </w:r>
    </w:p>
    <w:p w14:paraId="7C01FBB3" w14:textId="3D16B7B6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16 = </w:t>
      </w:r>
      <w:r>
        <w:rPr>
          <w:rFonts w:eastAsiaTheme="minorEastAsia"/>
          <w:sz w:val="18"/>
          <w:szCs w:val="18"/>
        </w:rPr>
        <w:t>Trasformazione f a var. separabili</w:t>
      </w:r>
    </w:p>
    <w:p w14:paraId="325D6915" w14:textId="77777777" w:rsidR="00D55647" w:rsidRP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Integrabilità in Ω c R rettangolo</m:t>
        </m:r>
      </m:oMath>
    </w:p>
    <w:p w14:paraId="5AD57D4C" w14:textId="67A82501" w:rsidR="00863138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Insieme misurabile con misura 0</w:t>
      </w:r>
    </w:p>
    <w:p w14:paraId="031190CB" w14:textId="0C8204DA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Insieme trascurabile</w:t>
      </w:r>
    </w:p>
    <w:p w14:paraId="0214BCDC" w14:textId="5D3E23C1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17 = </w:t>
      </w:r>
      <w:r>
        <w:rPr>
          <w:rFonts w:eastAsiaTheme="minorEastAsia"/>
          <w:sz w:val="18"/>
          <w:szCs w:val="18"/>
        </w:rPr>
        <w:t>Il grafico di una funzione è trascurabile</w:t>
      </w:r>
    </w:p>
    <w:p w14:paraId="61F9CEC1" w14:textId="2E67AEBC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18 = </w:t>
      </w:r>
      <m:oMath>
        <m:r>
          <w:rPr>
            <w:rFonts w:ascii="Cambria Math" w:eastAsiaTheme="minorEastAsia" w:hAnsi="Cambria Math"/>
            <w:sz w:val="18"/>
            <w:szCs w:val="18"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 xml:space="preserve"> misurabile↔∂</m:t>
        </m:r>
        <m:r>
          <w:rPr>
            <w:rFonts w:ascii="Cambria Math" w:eastAsiaTheme="minorEastAsia" w:hAnsi="Cambria Math" w:cs="Courier New"/>
            <w:sz w:val="18"/>
            <w:szCs w:val="18"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 xml:space="preserve"> trascurabile</m:t>
        </m:r>
      </m:oMath>
    </w:p>
    <w:p w14:paraId="58347081" w14:textId="205B1579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Caratteristica di </w:t>
      </w:r>
      <m:oMath>
        <m:r>
          <w:rPr>
            <w:rFonts w:ascii="Cambria Math" w:eastAsiaTheme="minorEastAsia" w:hAnsi="Cambria Math"/>
            <w:sz w:val="18"/>
            <w:szCs w:val="18"/>
          </w:rPr>
          <m:t>Ω</m:t>
        </m:r>
      </m:oMath>
    </w:p>
    <w:p w14:paraId="3348BCD3" w14:textId="5325A65B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Media integrale</w:t>
      </w:r>
    </w:p>
    <w:p w14:paraId="5105E335" w14:textId="07AA1034" w:rsidR="00D55647" w:rsidRDefault="00D55647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Linearità integrale</w:t>
      </w:r>
    </w:p>
    <w:p w14:paraId="65AD7E32" w14:textId="77777777" w:rsidR="007829B3" w:rsidRPr="007829B3" w:rsidRDefault="007829B3" w:rsidP="00B979D1">
      <w:pPr>
        <w:pStyle w:val="Paragrafoelenco"/>
        <w:numPr>
          <w:ilvl w:val="1"/>
          <w:numId w:val="1"/>
        </w:numPr>
        <w:rPr>
          <w:rFonts w:eastAsiaTheme="minorEastAsia"/>
          <w:iCs/>
          <w:sz w:val="18"/>
          <w:szCs w:val="18"/>
        </w:rPr>
      </w:pPr>
      <m:oMath>
        <m:r>
          <w:rPr>
            <w:rFonts w:ascii="Cambria Math" w:eastAsiaTheme="minorEastAsia" w:hAnsi="Cambria Math" w:cs="Courier New"/>
            <w:sz w:val="18"/>
            <w:szCs w:val="18"/>
          </w:rPr>
          <m:t>Γ trascurabile c Ω</m:t>
        </m:r>
        <m:r>
          <w:rPr>
            <w:rFonts w:ascii="Cambria Math" w:eastAsiaTheme="minorEastAsia" w:hAnsi="Cambria Math" w:cs="Courier New"/>
            <w:sz w:val="18"/>
            <w:szCs w:val="18"/>
          </w:rPr>
          <m:t>→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Ω</m:t>
            </m:r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  <w:iCs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f</m:t>
            </m:r>
          </m:e>
        </m:nary>
        <m:r>
          <w:rPr>
            <w:rFonts w:ascii="Cambria Math" w:eastAsiaTheme="minorEastAsia" w:hAnsi="Cambria Math" w:cs="Courier New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sz w:val="18"/>
                <w:szCs w:val="18"/>
              </w:rPr>
              <m:t>\</m:t>
            </m:r>
            <m:r>
              <w:rPr>
                <w:rFonts w:ascii="Cambria Math" w:eastAsiaTheme="minorEastAsia" w:hAnsi="Cambria Math" w:cs="Courier New"/>
                <w:kern w:val="0"/>
                <w:sz w:val="18"/>
                <w:szCs w:val="18"/>
                <w14:ligatures w14:val="none"/>
              </w:rPr>
              <m:t>Γ</m:t>
            </m:r>
            <m:ctrlPr>
              <w:rPr>
                <w:rFonts w:ascii="Cambria Math" w:eastAsiaTheme="minorEastAsia" w:hAnsi="Courier New" w:cs="Courier New"/>
                <w:kern w:val="0"/>
                <w:sz w:val="18"/>
                <w:szCs w:val="18"/>
                <w14:ligatures w14:val="none"/>
              </w:rPr>
            </m:ctrlPr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ourier New"/>
                <w:i/>
                <w:iCs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f</m:t>
            </m:r>
          </m:e>
        </m:nary>
      </m:oMath>
    </w:p>
    <w:p w14:paraId="21ADF6EA" w14:textId="04E1DB13" w:rsidR="007829B3" w:rsidRPr="007829B3" w:rsidRDefault="007829B3" w:rsidP="00B979D1">
      <w:pPr>
        <w:pStyle w:val="Paragrafoelenco"/>
        <w:numPr>
          <w:ilvl w:val="1"/>
          <w:numId w:val="1"/>
        </w:numPr>
        <w:rPr>
          <w:rFonts w:eastAsiaTheme="minorEastAsia"/>
          <w:iCs/>
          <w:sz w:val="18"/>
          <w:szCs w:val="18"/>
        </w:rPr>
      </w:pPr>
      <w:r>
        <w:rPr>
          <w:rFonts w:eastAsiaTheme="minorEastAsia"/>
          <w:sz w:val="18"/>
          <w:szCs w:val="18"/>
        </w:rPr>
        <w:t>Corollario</w:t>
      </w:r>
    </w:p>
    <w:p w14:paraId="7F2F96F6" w14:textId="32648F83" w:rsidR="00D55647" w:rsidRPr="007829B3" w:rsidRDefault="007829B3" w:rsidP="00B979D1">
      <w:pPr>
        <w:pStyle w:val="Paragrafoelenco"/>
        <w:numPr>
          <w:ilvl w:val="1"/>
          <w:numId w:val="1"/>
        </w:numPr>
        <w:rPr>
          <w:rFonts w:eastAsiaTheme="minorEastAsia"/>
          <w:iCs/>
          <w:sz w:val="18"/>
          <w:szCs w:val="18"/>
        </w:rPr>
      </w:pPr>
      <w:r>
        <w:rPr>
          <w:rFonts w:eastAsiaTheme="minorEastAsia"/>
          <w:sz w:val="18"/>
          <w:szCs w:val="18"/>
        </w:rPr>
        <w:t>Funzione</w:t>
      </w:r>
      <w:r w:rsidR="00D55647" w:rsidRPr="007829B3">
        <w:rPr>
          <w:rFonts w:eastAsiaTheme="minorEastAsia"/>
          <w:i/>
          <w:iCs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generalmente continua</w:t>
      </w:r>
    </w:p>
    <w:p w14:paraId="435AD5AF" w14:textId="6027912F" w:rsidR="007829B3" w:rsidRPr="007829B3" w:rsidRDefault="007829B3" w:rsidP="00B979D1">
      <w:pPr>
        <w:pStyle w:val="Paragrafoelenco"/>
        <w:numPr>
          <w:ilvl w:val="1"/>
          <w:numId w:val="1"/>
        </w:numPr>
        <w:rPr>
          <w:rFonts w:eastAsiaTheme="minorEastAsia"/>
          <w:iCs/>
          <w:sz w:val="18"/>
          <w:szCs w:val="18"/>
        </w:rPr>
      </w:pPr>
      <w:r>
        <w:rPr>
          <w:rFonts w:eastAsiaTheme="minorEastAsia"/>
          <w:sz w:val="18"/>
          <w:szCs w:val="18"/>
        </w:rPr>
        <w:t>Generalmente continua e limitata</w:t>
      </w:r>
    </w:p>
    <w:p w14:paraId="4D284419" w14:textId="06A72A8E" w:rsidR="007829B3" w:rsidRPr="007829B3" w:rsidRDefault="007829B3" w:rsidP="00B979D1">
      <w:pPr>
        <w:pStyle w:val="Paragrafoelenco"/>
        <w:numPr>
          <w:ilvl w:val="1"/>
          <w:numId w:val="1"/>
        </w:numPr>
        <w:rPr>
          <w:rFonts w:eastAsiaTheme="minorEastAsia"/>
          <w:iCs/>
          <w:sz w:val="18"/>
          <w:szCs w:val="18"/>
        </w:rPr>
      </w:pPr>
      <w:r>
        <w:rPr>
          <w:rFonts w:eastAsiaTheme="minorEastAsia"/>
          <w:sz w:val="18"/>
          <w:szCs w:val="18"/>
        </w:rPr>
        <w:t>Domini normali (o semplici)</w:t>
      </w:r>
    </w:p>
    <w:p w14:paraId="27A30E84" w14:textId="2F0B3D63" w:rsidR="00863138" w:rsidRPr="007829B3" w:rsidRDefault="007829B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19 = </w:t>
      </w:r>
      <m:oMath>
        <m:r>
          <w:rPr>
            <w:rFonts w:ascii="Cambria Math" w:eastAsiaTheme="minorEastAsia" w:hAnsi="Cambria Math"/>
            <w:sz w:val="18"/>
            <w:szCs w:val="18"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 xml:space="preserve"> normale</m:t>
        </m:r>
        <m:r>
          <w:rPr>
            <w:rFonts w:ascii="Cambria Math" w:eastAsiaTheme="minorEastAsia" w:hAnsi="Cambria Math"/>
            <w:sz w:val="18"/>
            <w:szCs w:val="18"/>
          </w:rPr>
          <m:t>→</m:t>
        </m:r>
        <m:r>
          <w:rPr>
            <w:rFonts w:ascii="Cambria Math" w:eastAsiaTheme="minorEastAsia" w:hAnsi="Cambria Math"/>
            <w:sz w:val="18"/>
            <w:szCs w:val="18"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 xml:space="preserve"> misurabile</m:t>
        </m:r>
      </m:oMath>
    </w:p>
    <w:p w14:paraId="43F958F2" w14:textId="00ACD75C" w:rsidR="007829B3" w:rsidRDefault="007829B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lastRenderedPageBreak/>
        <w:t xml:space="preserve">20 = </w:t>
      </w:r>
      <w:r>
        <w:rPr>
          <w:rFonts w:eastAsiaTheme="minorEastAsia"/>
          <w:sz w:val="18"/>
          <w:szCs w:val="18"/>
        </w:rPr>
        <w:t>Formula di riduzione su domini normali</w:t>
      </w:r>
    </w:p>
    <w:p w14:paraId="6D1F15CD" w14:textId="4B9DCB22" w:rsidR="007829B3" w:rsidRDefault="007829B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Formula del cambio di variabile</w:t>
      </w:r>
    </w:p>
    <w:p w14:paraId="706A7263" w14:textId="442C88AF" w:rsidR="007829B3" w:rsidRPr="007829B3" w:rsidRDefault="007829B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χ trasforma misurabili in misurabili</m:t>
        </m:r>
      </m:oMath>
    </w:p>
    <w:p w14:paraId="745BF26D" w14:textId="50F40980" w:rsidR="007829B3" w:rsidRDefault="007829B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Scelta di χ partendo da </w:t>
      </w:r>
      <w:r w:rsidR="00741AD0">
        <w:rPr>
          <w:rFonts w:eastAsiaTheme="minorEastAsia"/>
          <w:sz w:val="18"/>
          <w:szCs w:val="18"/>
        </w:rPr>
        <w:t>ψ = χ</w:t>
      </w:r>
      <w:r w:rsidR="00741AD0">
        <w:rPr>
          <w:rFonts w:eastAsiaTheme="minorEastAsia"/>
          <w:sz w:val="18"/>
          <w:szCs w:val="18"/>
          <w:vertAlign w:val="superscript"/>
        </w:rPr>
        <w:t>-1</w:t>
      </w:r>
    </w:p>
    <w:p w14:paraId="4E04872F" w14:textId="6E5BEFF3" w:rsidR="00741AD0" w:rsidRPr="00741AD0" w:rsidRDefault="00741AD0" w:rsidP="00741AD0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21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dx=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e>
            </m:rad>
          </m:e>
        </m:nary>
      </m:oMath>
    </w:p>
    <w:p w14:paraId="0E346A03" w14:textId="173E6A44" w:rsidR="00863138" w:rsidRPr="007B75C2" w:rsidRDefault="00741AD0" w:rsidP="00863138">
      <w:pPr>
        <w:pStyle w:val="Paragrafoelenco"/>
        <w:numPr>
          <w:ilvl w:val="0"/>
          <w:numId w:val="1"/>
        </w:numPr>
        <w:jc w:val="both"/>
      </w:pPr>
      <w:r>
        <w:rPr>
          <w:highlight w:val="green"/>
        </w:rPr>
        <w:t>Eq. differenziali</w:t>
      </w:r>
    </w:p>
    <w:p w14:paraId="4EE1FE7F" w14:textId="5A6BD4C7" w:rsidR="00863138" w:rsidRDefault="00741AD0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Laplaciano di f</w:t>
      </w:r>
    </w:p>
    <w:p w14:paraId="15A3D5E3" w14:textId="123EC0B2" w:rsidR="00741AD0" w:rsidRDefault="00741AD0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ODE (Eq. Diff. Ordinarie)</w:t>
      </w:r>
    </w:p>
    <w:p w14:paraId="3B454CFA" w14:textId="3BE06094" w:rsidR="00741AD0" w:rsidRDefault="00741AD0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ODE autonoma</w:t>
      </w:r>
    </w:p>
    <w:p w14:paraId="70CE1B30" w14:textId="54E152E7" w:rsidR="00741AD0" w:rsidRDefault="00741AD0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ODE canonica o normale</w:t>
      </w:r>
    </w:p>
    <w:p w14:paraId="35852A21" w14:textId="1870268C" w:rsidR="00741AD0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ODE omogenea</w:t>
      </w:r>
    </w:p>
    <w:p w14:paraId="4F5C3D59" w14:textId="6C35404A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ODE lineare</w:t>
      </w:r>
    </w:p>
    <w:p w14:paraId="07AF2DC4" w14:textId="0654F170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 localmente lipschitziana</w:t>
      </w:r>
    </w:p>
    <w:p w14:paraId="5592821D" w14:textId="3AB31C44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di Cauchy di esistenza e unicità locale</w:t>
      </w:r>
    </w:p>
    <w:p w14:paraId="117AA481" w14:textId="5274C7B2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di Peano</w:t>
      </w:r>
    </w:p>
    <w:p w14:paraId="47C3C7F4" w14:textId="0FC5129E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 sublineare</w:t>
      </w:r>
    </w:p>
    <w:p w14:paraId="2CB898E4" w14:textId="31F5CB6C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Eq. a var. separabili</w:t>
      </w:r>
    </w:p>
    <w:p w14:paraId="669CF74D" w14:textId="5DACA7FC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Soluzioni singolari</w:t>
      </w:r>
    </w:p>
    <w:p w14:paraId="1F922E04" w14:textId="7BC0F2DD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Eq. lineari di ordine 1</w:t>
      </w:r>
    </w:p>
    <w:p w14:paraId="006ADEEB" w14:textId="732792F5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Eq. lineari di ordine 2</w:t>
      </w:r>
    </w:p>
    <w:p w14:paraId="6A3E560A" w14:textId="3DBC27AB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Eq. lineari di ordine 2 con coeff. Costanti</w:t>
      </w:r>
    </w:p>
    <w:p w14:paraId="2FBB8C70" w14:textId="12EBDCE8" w:rsidR="000A0363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Metodo di variazione delle costanti</w:t>
      </w:r>
    </w:p>
    <w:p w14:paraId="277A1D7A" w14:textId="6F90DF4D" w:rsidR="000A0363" w:rsidRPr="007B75C2" w:rsidRDefault="000A0363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Metodo di similarità</w:t>
      </w:r>
    </w:p>
    <w:p w14:paraId="0060C050" w14:textId="11B9EDB1" w:rsidR="005A1B81" w:rsidRDefault="000A0363" w:rsidP="000A0363">
      <w:pPr>
        <w:pStyle w:val="Paragrafoelenco"/>
        <w:numPr>
          <w:ilvl w:val="0"/>
          <w:numId w:val="1"/>
        </w:numPr>
        <w:jc w:val="both"/>
      </w:pPr>
      <w:r>
        <w:rPr>
          <w:highlight w:val="green"/>
        </w:rPr>
        <w:t>Serie numeriche</w:t>
      </w:r>
    </w:p>
    <w:p w14:paraId="4CF6EC6A" w14:textId="13066156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 w:rsidRPr="000A0363">
        <w:rPr>
          <w:sz w:val="18"/>
          <w:szCs w:val="18"/>
        </w:rPr>
        <w:t>Serie geometriche</w:t>
      </w:r>
    </w:p>
    <w:p w14:paraId="423CB7EB" w14:textId="5F699DF6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22 = </w:t>
      </w:r>
      <w:r>
        <w:rPr>
          <w:sz w:val="18"/>
          <w:szCs w:val="18"/>
        </w:rPr>
        <w:t>Criterio dell’integrale</w:t>
      </w:r>
    </w:p>
    <w:p w14:paraId="645FCBB3" w14:textId="24A5A080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Serie armonica generalizzata</w:t>
      </w:r>
    </w:p>
    <w:p w14:paraId="20CA494D" w14:textId="23EECF7D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23 = </w:t>
      </w:r>
      <w:r>
        <w:rPr>
          <w:sz w:val="18"/>
          <w:szCs w:val="18"/>
        </w:rPr>
        <w:t>Criterio del confronto</w:t>
      </w:r>
    </w:p>
    <w:p w14:paraId="18523B58" w14:textId="05454EDA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24 = </w:t>
      </w:r>
      <w:r>
        <w:rPr>
          <w:sz w:val="18"/>
          <w:szCs w:val="18"/>
        </w:rPr>
        <w:t>Criterio del confronto asintotico</w:t>
      </w:r>
    </w:p>
    <w:p w14:paraId="3468553F" w14:textId="62B2720F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25 = </w:t>
      </w:r>
      <w:r>
        <w:rPr>
          <w:sz w:val="18"/>
          <w:szCs w:val="18"/>
        </w:rPr>
        <w:t>Criterio degli infinitesimi</w:t>
      </w:r>
    </w:p>
    <w:p w14:paraId="77AC3E42" w14:textId="4399A49B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26 = </w:t>
      </w:r>
      <w:r>
        <w:rPr>
          <w:sz w:val="18"/>
          <w:szCs w:val="18"/>
        </w:rPr>
        <w:t>Criterio del rapporto</w:t>
      </w:r>
    </w:p>
    <w:p w14:paraId="2E601C8D" w14:textId="610DF0BE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27 = </w:t>
      </w:r>
      <w:r>
        <w:rPr>
          <w:sz w:val="18"/>
          <w:szCs w:val="18"/>
        </w:rPr>
        <w:t>Criterio delle radici</w:t>
      </w:r>
    </w:p>
    <w:p w14:paraId="2ED0ACA8" w14:textId="0063252D" w:rsidR="000A0363" w:rsidRPr="000A0363" w:rsidRDefault="000A0363" w:rsidP="000A0363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Convergenza assoluta→convergenza</m:t>
        </m:r>
      </m:oMath>
    </w:p>
    <w:p w14:paraId="7148F985" w14:textId="3FA69DD5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Linearità op. di serie</w:t>
      </w:r>
    </w:p>
    <w:p w14:paraId="4033F64A" w14:textId="2AA6BA24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Serie a segni alterni</w:t>
      </w:r>
    </w:p>
    <w:p w14:paraId="7F6CC27B" w14:textId="6D239BB0" w:rsidR="000A0363" w:rsidRDefault="000A0363" w:rsidP="000A0363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Criterio di Leibnitz</w:t>
      </w:r>
    </w:p>
    <w:p w14:paraId="6F6E508C" w14:textId="0C4EA3B3" w:rsidR="000A0363" w:rsidRPr="000A0363" w:rsidRDefault="000A0363" w:rsidP="000A0363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Serie di Mengoli</w:t>
      </w:r>
    </w:p>
    <w:sectPr w:rsidR="000A0363" w:rsidRPr="000A0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6.55pt;height:11.4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93860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40623"/>
    <w:rsid w:val="000A00A3"/>
    <w:rsid w:val="000A0363"/>
    <w:rsid w:val="002B13FF"/>
    <w:rsid w:val="00310804"/>
    <w:rsid w:val="00446941"/>
    <w:rsid w:val="004A3BD4"/>
    <w:rsid w:val="004D31F9"/>
    <w:rsid w:val="00576C7D"/>
    <w:rsid w:val="005A1B81"/>
    <w:rsid w:val="006E3946"/>
    <w:rsid w:val="00741AD0"/>
    <w:rsid w:val="007829B3"/>
    <w:rsid w:val="007B75C2"/>
    <w:rsid w:val="00863138"/>
    <w:rsid w:val="008E7347"/>
    <w:rsid w:val="009C5721"/>
    <w:rsid w:val="009E1FAD"/>
    <w:rsid w:val="00A423AF"/>
    <w:rsid w:val="00A74B9C"/>
    <w:rsid w:val="00B83B41"/>
    <w:rsid w:val="00B979D1"/>
    <w:rsid w:val="00C0113E"/>
    <w:rsid w:val="00C14580"/>
    <w:rsid w:val="00D55647"/>
    <w:rsid w:val="00D64B64"/>
    <w:rsid w:val="00D83826"/>
    <w:rsid w:val="00DA26BE"/>
    <w:rsid w:val="00ED62F9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6</cp:revision>
  <dcterms:created xsi:type="dcterms:W3CDTF">2024-01-25T15:41:00Z</dcterms:created>
  <dcterms:modified xsi:type="dcterms:W3CDTF">2024-01-25T19:15:00Z</dcterms:modified>
</cp:coreProperties>
</file>