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B526" w14:textId="77777777" w:rsidR="00065D70" w:rsidRDefault="002632E4">
      <w:pPr>
        <w:spacing w:after="0" w:line="259" w:lineRule="auto"/>
        <w:ind w:left="70" w:right="0" w:firstLine="0"/>
      </w:pPr>
      <w:r>
        <w:rPr>
          <w:rFonts w:ascii="Calibri" w:eastAsia="Calibri" w:hAnsi="Calibri" w:cs="Calibri"/>
          <w:color w:val="000000"/>
          <w:sz w:val="22"/>
        </w:rPr>
        <w:t xml:space="preserve">Ejercicio UT4 Módulo DIW CFGS DAW2                                               I.E.S. La Arboleda (Alcorcón)  </w:t>
      </w:r>
    </w:p>
    <w:tbl>
      <w:tblPr>
        <w:tblStyle w:val="TableGrid"/>
        <w:tblW w:w="8730" w:type="dxa"/>
        <w:tblInd w:w="-43" w:type="dxa"/>
        <w:tblCellMar>
          <w:top w:w="67" w:type="dxa"/>
          <w:left w:w="0" w:type="dxa"/>
          <w:bottom w:w="0" w:type="dxa"/>
          <w:right w:w="115" w:type="dxa"/>
        </w:tblCellMar>
        <w:tblLook w:val="04A0" w:firstRow="1" w:lastRow="0" w:firstColumn="1" w:lastColumn="0" w:noHBand="0" w:noVBand="1"/>
      </w:tblPr>
      <w:tblGrid>
        <w:gridCol w:w="1114"/>
        <w:gridCol w:w="7616"/>
      </w:tblGrid>
      <w:tr w:rsidR="00065D70" w14:paraId="275565CF" w14:textId="77777777">
        <w:trPr>
          <w:trHeight w:val="629"/>
        </w:trPr>
        <w:tc>
          <w:tcPr>
            <w:tcW w:w="1114" w:type="dxa"/>
            <w:tcBorders>
              <w:top w:val="single" w:sz="4" w:space="0" w:color="000000"/>
              <w:left w:val="single" w:sz="4" w:space="0" w:color="000000"/>
              <w:bottom w:val="single" w:sz="4" w:space="0" w:color="000000"/>
              <w:right w:val="nil"/>
            </w:tcBorders>
          </w:tcPr>
          <w:p w14:paraId="6953258B" w14:textId="71DBD675" w:rsidR="00065D70" w:rsidRDefault="00065D70">
            <w:pPr>
              <w:spacing w:after="0" w:line="259" w:lineRule="auto"/>
              <w:ind w:left="113" w:right="0" w:firstLine="0"/>
            </w:pPr>
          </w:p>
        </w:tc>
        <w:tc>
          <w:tcPr>
            <w:tcW w:w="7617" w:type="dxa"/>
            <w:tcBorders>
              <w:top w:val="single" w:sz="4" w:space="0" w:color="000000"/>
              <w:left w:val="nil"/>
              <w:bottom w:val="single" w:sz="4" w:space="0" w:color="000000"/>
              <w:right w:val="single" w:sz="4" w:space="0" w:color="000000"/>
            </w:tcBorders>
          </w:tcPr>
          <w:p w14:paraId="35D429D3" w14:textId="306D72DA" w:rsidR="00065D70" w:rsidRDefault="00065D70">
            <w:pPr>
              <w:spacing w:after="0" w:line="259" w:lineRule="auto"/>
              <w:ind w:left="0" w:right="0" w:firstLine="0"/>
            </w:pPr>
          </w:p>
        </w:tc>
      </w:tr>
    </w:tbl>
    <w:p w14:paraId="122F8E18" w14:textId="77777777" w:rsidR="00065D70" w:rsidRDefault="002632E4">
      <w:pPr>
        <w:spacing w:after="0" w:line="259" w:lineRule="auto"/>
        <w:ind w:left="70" w:right="0" w:firstLine="0"/>
      </w:pPr>
      <w:r>
        <w:rPr>
          <w:rFonts w:ascii="Calibri" w:eastAsia="Calibri" w:hAnsi="Calibri" w:cs="Calibri"/>
          <w:color w:val="000000"/>
          <w:sz w:val="22"/>
        </w:rPr>
        <w:t xml:space="preserve"> </w:t>
      </w:r>
    </w:p>
    <w:p w14:paraId="456AE4AB" w14:textId="77777777" w:rsidR="00065D70" w:rsidRDefault="002632E4">
      <w:pPr>
        <w:spacing w:after="0" w:line="259" w:lineRule="auto"/>
        <w:ind w:left="65" w:right="0"/>
      </w:pPr>
      <w:r>
        <w:rPr>
          <w:color w:val="800000"/>
          <w:sz w:val="20"/>
          <w:u w:val="single" w:color="800000"/>
        </w:rPr>
        <w:t>Instrucciones</w:t>
      </w:r>
      <w:r>
        <w:rPr>
          <w:color w:val="800000"/>
          <w:sz w:val="20"/>
        </w:rPr>
        <w:t xml:space="preserve"> </w:t>
      </w:r>
    </w:p>
    <w:p w14:paraId="30D34592" w14:textId="77777777" w:rsidR="00065D70" w:rsidRDefault="002632E4">
      <w:pPr>
        <w:ind w:left="65" w:right="720"/>
      </w:pPr>
      <w:r>
        <w:t>En este ejercicio práctico a entregar en formato electrónico se utilizará HTML5, CSS3 y JQuery en el lado clien</w:t>
      </w:r>
      <w:r>
        <w:t xml:space="preserve">te y para realizar las peticiones el servidor (WAMP). </w:t>
      </w:r>
    </w:p>
    <w:p w14:paraId="3420B686" w14:textId="77777777" w:rsidR="00065D70" w:rsidRDefault="002632E4">
      <w:pPr>
        <w:spacing w:after="43"/>
        <w:ind w:left="65" w:right="720"/>
      </w:pPr>
      <w:r>
        <w:t xml:space="preserve">La respuesta del lado servidor podrá procesarse desde (PHP-MySQL, XML), todo ello para implementar el diseño web que se pide. </w:t>
      </w:r>
    </w:p>
    <w:p w14:paraId="66070D44" w14:textId="69DFE528" w:rsidR="00065D70" w:rsidRDefault="002632E4">
      <w:pPr>
        <w:ind w:left="65" w:right="720"/>
      </w:pPr>
      <w:r>
        <w:t xml:space="preserve">La base de datos </w:t>
      </w:r>
      <w:r>
        <w:rPr>
          <w:b/>
        </w:rPr>
        <w:t>MySQL (</w:t>
      </w:r>
      <w:r>
        <w:t>“dgt_bd22</w:t>
      </w:r>
      <w:r>
        <w:t xml:space="preserve">”), </w:t>
      </w:r>
      <w:r>
        <w:t>se importará con el fichero “</w:t>
      </w:r>
      <w:proofErr w:type="spellStart"/>
      <w:proofErr w:type="gramStart"/>
      <w:r>
        <w:rPr>
          <w:rFonts w:ascii="Calibri" w:eastAsia="Calibri" w:hAnsi="Calibri" w:cs="Calibri"/>
          <w:color w:val="000000"/>
          <w:sz w:val="22"/>
        </w:rPr>
        <w:t>etiquetas.sql</w:t>
      </w:r>
      <w:proofErr w:type="spellEnd"/>
      <w:r>
        <w:t xml:space="preserve">  e</w:t>
      </w:r>
      <w:proofErr w:type="gramEnd"/>
      <w:r>
        <w:t xml:space="preserve"> incluye </w:t>
      </w:r>
    </w:p>
    <w:p w14:paraId="3794DAB2" w14:textId="77777777" w:rsidR="00065D70" w:rsidRDefault="002632E4">
      <w:pPr>
        <w:ind w:left="65" w:right="720"/>
      </w:pPr>
      <w:r>
        <w:t xml:space="preserve">1 tabla (que ya contienen datos):  </w:t>
      </w:r>
    </w:p>
    <w:p w14:paraId="6496B534" w14:textId="77777777" w:rsidR="00065D70" w:rsidRDefault="002632E4">
      <w:pPr>
        <w:ind w:left="65" w:right="720"/>
      </w:pPr>
      <w:r>
        <w:t>Tabla “</w:t>
      </w:r>
      <w:r>
        <w:rPr>
          <w:b/>
          <w:u w:val="single" w:color="9C172C"/>
        </w:rPr>
        <w:t>etiquetas</w:t>
      </w:r>
      <w:r>
        <w:t xml:space="preserve">”: Contiene los campos:  </w:t>
      </w:r>
    </w:p>
    <w:p w14:paraId="04B2843B" w14:textId="77777777" w:rsidR="00065D70" w:rsidRDefault="002632E4">
      <w:pPr>
        <w:spacing w:after="0" w:line="259" w:lineRule="auto"/>
        <w:ind w:left="70" w:right="0" w:firstLine="0"/>
      </w:pPr>
      <w:r>
        <w:t xml:space="preserve"> </w:t>
      </w:r>
    </w:p>
    <w:p w14:paraId="4F8773F8" w14:textId="77777777" w:rsidR="00065D70" w:rsidRDefault="002632E4">
      <w:pPr>
        <w:spacing w:after="0" w:line="259" w:lineRule="auto"/>
        <w:ind w:left="0" w:right="637" w:firstLine="0"/>
        <w:jc w:val="right"/>
      </w:pPr>
      <w:r>
        <w:rPr>
          <w:noProof/>
        </w:rPr>
        <w:drawing>
          <wp:inline distT="0" distB="0" distL="0" distR="0" wp14:anchorId="3BA8B280" wp14:editId="34B50FE3">
            <wp:extent cx="5399383" cy="2905125"/>
            <wp:effectExtent l="0" t="0" r="0" b="0"/>
            <wp:docPr id="256" name="Picture 256"/>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a:blip r:embed="rId4"/>
                    <a:stretch>
                      <a:fillRect/>
                    </a:stretch>
                  </pic:blipFill>
                  <pic:spPr>
                    <a:xfrm>
                      <a:off x="0" y="0"/>
                      <a:ext cx="5408016" cy="2909770"/>
                    </a:xfrm>
                    <a:prstGeom prst="rect">
                      <a:avLst/>
                    </a:prstGeom>
                  </pic:spPr>
                </pic:pic>
              </a:graphicData>
            </a:graphic>
          </wp:inline>
        </w:drawing>
      </w:r>
      <w:r>
        <w:t xml:space="preserve"> </w:t>
      </w:r>
    </w:p>
    <w:p w14:paraId="1A78D533" w14:textId="77777777" w:rsidR="00065D70" w:rsidRDefault="002632E4">
      <w:pPr>
        <w:spacing w:after="0" w:line="259" w:lineRule="auto"/>
        <w:ind w:left="65" w:right="0"/>
      </w:pPr>
      <w:r>
        <w:rPr>
          <w:color w:val="800000"/>
          <w:sz w:val="20"/>
          <w:u w:val="single" w:color="800000"/>
        </w:rPr>
        <w:t>Enunciado</w:t>
      </w:r>
      <w:r>
        <w:rPr>
          <w:color w:val="800000"/>
          <w:sz w:val="20"/>
        </w:rPr>
        <w:t xml:space="preserve"> </w:t>
      </w:r>
    </w:p>
    <w:p w14:paraId="2897D2C8" w14:textId="77777777" w:rsidR="00065D70" w:rsidRDefault="002632E4">
      <w:pPr>
        <w:ind w:left="65" w:right="720"/>
      </w:pPr>
      <w:r>
        <w:t>La D.G.T. tras el éxito obtenido por su web para consultar los puntos del carnet de conducir ha decidido di</w:t>
      </w:r>
      <w:r>
        <w:t xml:space="preserve">señar una nueva interfaz web para la gestión de los </w:t>
      </w:r>
      <w:r>
        <w:rPr>
          <w:u w:val="single" w:color="9C172C"/>
        </w:rPr>
        <w:t>distintivos de clasificación</w:t>
      </w:r>
      <w:r>
        <w:t xml:space="preserve"> </w:t>
      </w:r>
      <w:r>
        <w:rPr>
          <w:u w:val="single" w:color="9C172C"/>
        </w:rPr>
        <w:t>ambiental de los vehículos que están matriculados en España</w:t>
      </w:r>
      <w:r>
        <w:t xml:space="preserve">. </w:t>
      </w:r>
    </w:p>
    <w:p w14:paraId="637E008C" w14:textId="77777777" w:rsidR="00065D70" w:rsidRDefault="002632E4">
      <w:pPr>
        <w:spacing w:after="0" w:line="259" w:lineRule="auto"/>
        <w:ind w:left="70" w:right="0" w:firstLine="0"/>
      </w:pPr>
      <w:r>
        <w:t xml:space="preserve"> </w:t>
      </w:r>
    </w:p>
    <w:p w14:paraId="73E7D60B" w14:textId="77777777" w:rsidR="00065D70" w:rsidRDefault="002632E4">
      <w:pPr>
        <w:ind w:left="65" w:right="720"/>
      </w:pPr>
      <w:r>
        <w:t xml:space="preserve">Implementación: </w:t>
      </w:r>
    </w:p>
    <w:p w14:paraId="200B6660" w14:textId="77777777" w:rsidR="00065D70" w:rsidRDefault="002632E4">
      <w:pPr>
        <w:spacing w:after="0" w:line="259" w:lineRule="auto"/>
        <w:ind w:left="70" w:right="0" w:firstLine="0"/>
      </w:pPr>
      <w:r>
        <w:t xml:space="preserve"> </w:t>
      </w:r>
    </w:p>
    <w:p w14:paraId="70632672" w14:textId="4892BCD0" w:rsidR="00065D70" w:rsidRDefault="002632E4">
      <w:pPr>
        <w:ind w:left="65" w:right="720"/>
      </w:pPr>
      <w:r>
        <w:t>A continuación,</w:t>
      </w:r>
      <w:r>
        <w:t xml:space="preserve"> se muestra una captura de la página principal de la interface</w:t>
      </w:r>
      <w:r>
        <w:t xml:space="preserve"> web, observar cóm</w:t>
      </w:r>
      <w:r>
        <w:t>o está centrada en la ventana (</w:t>
      </w:r>
      <w:r>
        <w:rPr>
          <w:u w:val="single" w:color="9C172C"/>
        </w:rPr>
        <w:t>los efectos aparecen en el vídeo que acompaña al</w:t>
      </w:r>
      <w:r>
        <w:t xml:space="preserve"> </w:t>
      </w:r>
      <w:r>
        <w:rPr>
          <w:u w:val="single" w:color="9C172C"/>
        </w:rPr>
        <w:t>enunciado</w:t>
      </w:r>
      <w:r>
        <w:t xml:space="preserve">): </w:t>
      </w:r>
    </w:p>
    <w:p w14:paraId="26C6DEBF" w14:textId="77777777" w:rsidR="00065D70" w:rsidRDefault="002632E4">
      <w:pPr>
        <w:spacing w:after="0" w:line="259" w:lineRule="auto"/>
        <w:ind w:left="70" w:right="0" w:firstLine="0"/>
      </w:pPr>
      <w:r>
        <w:t xml:space="preserve"> </w:t>
      </w:r>
    </w:p>
    <w:p w14:paraId="365C1EA1" w14:textId="77777777" w:rsidR="00065D70" w:rsidRDefault="002632E4">
      <w:pPr>
        <w:spacing w:after="0" w:line="259" w:lineRule="auto"/>
        <w:ind w:left="0" w:right="639" w:firstLine="0"/>
        <w:jc w:val="right"/>
      </w:pPr>
      <w:r>
        <w:rPr>
          <w:noProof/>
        </w:rPr>
        <w:lastRenderedPageBreak/>
        <w:drawing>
          <wp:inline distT="0" distB="0" distL="0" distR="0" wp14:anchorId="66DBF002" wp14:editId="6C1FAAFB">
            <wp:extent cx="5924550" cy="5514390"/>
            <wp:effectExtent l="0" t="0" r="0" b="0"/>
            <wp:docPr id="5232" name="Picture 5232"/>
            <wp:cNvGraphicFramePr/>
            <a:graphic xmlns:a="http://schemas.openxmlformats.org/drawingml/2006/main">
              <a:graphicData uri="http://schemas.openxmlformats.org/drawingml/2006/picture">
                <pic:pic xmlns:pic="http://schemas.openxmlformats.org/drawingml/2006/picture">
                  <pic:nvPicPr>
                    <pic:cNvPr id="5232" name="Picture 5232"/>
                    <pic:cNvPicPr/>
                  </pic:nvPicPr>
                  <pic:blipFill>
                    <a:blip r:embed="rId5"/>
                    <a:stretch>
                      <a:fillRect/>
                    </a:stretch>
                  </pic:blipFill>
                  <pic:spPr>
                    <a:xfrm>
                      <a:off x="0" y="0"/>
                      <a:ext cx="5941002" cy="5529703"/>
                    </a:xfrm>
                    <a:prstGeom prst="rect">
                      <a:avLst/>
                    </a:prstGeom>
                  </pic:spPr>
                </pic:pic>
              </a:graphicData>
            </a:graphic>
          </wp:inline>
        </w:drawing>
      </w:r>
      <w:r>
        <w:t xml:space="preserve"> </w:t>
      </w:r>
    </w:p>
    <w:p w14:paraId="070FC6C8" w14:textId="77777777" w:rsidR="00065D70" w:rsidRDefault="002632E4">
      <w:pPr>
        <w:spacing w:after="0" w:line="259" w:lineRule="auto"/>
        <w:ind w:left="70" w:right="0" w:firstLine="0"/>
      </w:pPr>
      <w:r>
        <w:t xml:space="preserve"> </w:t>
      </w:r>
    </w:p>
    <w:p w14:paraId="0349944B" w14:textId="145B8ACE" w:rsidR="00065D70" w:rsidRDefault="002632E4">
      <w:pPr>
        <w:ind w:left="65" w:right="720"/>
      </w:pPr>
      <w:r>
        <w:t xml:space="preserve">Para poder acceder a la </w:t>
      </w:r>
      <w:r>
        <w:rPr>
          <w:u w:val="single" w:color="9C172C"/>
        </w:rPr>
        <w:t>consulta</w:t>
      </w:r>
      <w:r>
        <w:t xml:space="preserve"> del distintivo ambiental otorgado por la DGT se supondrá que el usuario ha recibido por correo ordinario (Correos) una clav</w:t>
      </w:r>
      <w:r>
        <w:t>e de acceso que se pedirá junto a la matrícula</w:t>
      </w:r>
      <w:r>
        <w:t xml:space="preserve"> del vehículo. </w:t>
      </w:r>
    </w:p>
    <w:p w14:paraId="38CAA61D" w14:textId="77777777" w:rsidR="00065D70" w:rsidRDefault="002632E4">
      <w:pPr>
        <w:ind w:left="65" w:right="720"/>
      </w:pPr>
      <w:r>
        <w:t xml:space="preserve">En el lado cliente </w:t>
      </w:r>
      <w:r>
        <w:rPr>
          <w:u w:val="single" w:color="9C172C"/>
        </w:rPr>
        <w:t>validar</w:t>
      </w:r>
      <w:r>
        <w:t xml:space="preserve"> tanto las antiguas matriculas “XX9999XX” como las modernas “E9999XXX”) y comprobar que la clave tiene 6 caracteres numéricos. </w:t>
      </w:r>
    </w:p>
    <w:p w14:paraId="51536819" w14:textId="2EDF9959" w:rsidR="00065D70" w:rsidRDefault="002632E4">
      <w:pPr>
        <w:ind w:left="65" w:right="720"/>
      </w:pPr>
      <w:r>
        <w:t>Cuando se pulse el botón “Entrar” realizar la petición AJAX al servidor que devolverá tras consultar a la base de datos “dgt_bd22</w:t>
      </w:r>
      <w:r>
        <w:t xml:space="preserve">” y tabla “etiquetas” el distintivo o etiqueta medio ambiental del vehículo (imagen: verde.jpg, azul.jpg, verde.jpg, roja.jpg, </w:t>
      </w:r>
      <w:r>
        <w:t xml:space="preserve">verdeazul.jpg).  </w:t>
      </w:r>
    </w:p>
    <w:p w14:paraId="07CD7575" w14:textId="77777777" w:rsidR="00065D70" w:rsidRDefault="002632E4">
      <w:pPr>
        <w:ind w:left="65" w:right="720"/>
      </w:pPr>
      <w:r>
        <w:t>Completar además la información devuelta por el servidor con la marca y modelo del vehículo y el combustible que utiliza (</w:t>
      </w:r>
      <w:proofErr w:type="spellStart"/>
      <w:r>
        <w:t>diesel</w:t>
      </w:r>
      <w:proofErr w:type="spellEnd"/>
      <w:r>
        <w:t xml:space="preserve">, gasolina, eléctrico, hibrido, eléctrico hibrido). </w:t>
      </w:r>
    </w:p>
    <w:p w14:paraId="701FABF8" w14:textId="77777777" w:rsidR="00065D70" w:rsidRDefault="002632E4">
      <w:pPr>
        <w:spacing w:after="0" w:line="259" w:lineRule="auto"/>
        <w:ind w:left="70" w:right="0" w:firstLine="0"/>
      </w:pPr>
      <w:r>
        <w:t xml:space="preserve"> </w:t>
      </w:r>
    </w:p>
    <w:p w14:paraId="0A153837" w14:textId="77777777" w:rsidR="00065D70" w:rsidRDefault="002632E4">
      <w:pPr>
        <w:spacing w:after="0" w:line="259" w:lineRule="auto"/>
        <w:ind w:left="0" w:right="2982" w:firstLine="0"/>
        <w:jc w:val="center"/>
      </w:pPr>
      <w:r>
        <w:rPr>
          <w:noProof/>
        </w:rPr>
        <w:lastRenderedPageBreak/>
        <w:drawing>
          <wp:inline distT="0" distB="0" distL="0" distR="0" wp14:anchorId="1A9FAE79" wp14:editId="66EBDB64">
            <wp:extent cx="5762625" cy="3362325"/>
            <wp:effectExtent l="0" t="0" r="9525" b="9525"/>
            <wp:docPr id="5233" name="Picture 5233"/>
            <wp:cNvGraphicFramePr/>
            <a:graphic xmlns:a="http://schemas.openxmlformats.org/drawingml/2006/main">
              <a:graphicData uri="http://schemas.openxmlformats.org/drawingml/2006/picture">
                <pic:pic xmlns:pic="http://schemas.openxmlformats.org/drawingml/2006/picture">
                  <pic:nvPicPr>
                    <pic:cNvPr id="5233" name="Picture 5233"/>
                    <pic:cNvPicPr/>
                  </pic:nvPicPr>
                  <pic:blipFill>
                    <a:blip r:embed="rId6"/>
                    <a:stretch>
                      <a:fillRect/>
                    </a:stretch>
                  </pic:blipFill>
                  <pic:spPr>
                    <a:xfrm>
                      <a:off x="0" y="0"/>
                      <a:ext cx="5763393" cy="3362773"/>
                    </a:xfrm>
                    <a:prstGeom prst="rect">
                      <a:avLst/>
                    </a:prstGeom>
                  </pic:spPr>
                </pic:pic>
              </a:graphicData>
            </a:graphic>
          </wp:inline>
        </w:drawing>
      </w:r>
      <w:r>
        <w:t xml:space="preserve"> </w:t>
      </w:r>
    </w:p>
    <w:p w14:paraId="6B1A57D7" w14:textId="0ECF09A8" w:rsidR="00065D70" w:rsidRDefault="002632E4">
      <w:pPr>
        <w:ind w:left="65" w:right="720"/>
      </w:pPr>
      <w:r>
        <w:t xml:space="preserve">Si la matricula y la clave de acceso </w:t>
      </w:r>
      <w:r>
        <w:rPr>
          <w:u w:val="single" w:color="9C172C"/>
        </w:rPr>
        <w:t>no están registradas en la base d</w:t>
      </w:r>
      <w:r>
        <w:rPr>
          <w:u w:val="single" w:color="9C172C"/>
        </w:rPr>
        <w:t>e datos</w:t>
      </w:r>
      <w:r>
        <w:t xml:space="preserve"> “dgt_bd22</w:t>
      </w:r>
      <w:r>
        <w:t xml:space="preserve">” y tabla “etiquetas” mostrar un mensaje de error y dar la oportunidad de registrarse en el portal de distintivo ambiental de la DGT. </w:t>
      </w:r>
    </w:p>
    <w:p w14:paraId="6CA8C658" w14:textId="77777777" w:rsidR="00065D70" w:rsidRDefault="002632E4">
      <w:pPr>
        <w:ind w:left="65" w:right="1025"/>
      </w:pPr>
      <w:r>
        <w:t>Para ello se utilizarán dos datos: la matricula (ya introducida con anterioridad) y el año de matriculac</w:t>
      </w:r>
      <w:r>
        <w:t xml:space="preserve">ión del vehículo por ejemplo “2009”. Validar en el lado cliente sólo el año de matriculación (la matricula ya se validó en la operación de consulta anterior). Cuando se pulse el botón “Entrar” se procederá a completar el registro. </w:t>
      </w:r>
    </w:p>
    <w:p w14:paraId="21CE05E5" w14:textId="77777777" w:rsidR="00065D70" w:rsidRDefault="002632E4">
      <w:pPr>
        <w:spacing w:after="0" w:line="259" w:lineRule="auto"/>
        <w:ind w:left="70" w:right="0" w:firstLine="0"/>
      </w:pPr>
      <w:r>
        <w:t xml:space="preserve"> </w:t>
      </w:r>
    </w:p>
    <w:p w14:paraId="77C4F9A1" w14:textId="77777777" w:rsidR="00065D70" w:rsidRDefault="002632E4">
      <w:pPr>
        <w:spacing w:after="0" w:line="259" w:lineRule="auto"/>
        <w:ind w:left="0" w:right="2982" w:firstLine="0"/>
        <w:jc w:val="center"/>
      </w:pPr>
      <w:r>
        <w:rPr>
          <w:noProof/>
        </w:rPr>
        <w:drawing>
          <wp:inline distT="0" distB="0" distL="0" distR="0" wp14:anchorId="27374251" wp14:editId="1E76D290">
            <wp:extent cx="5743575" cy="4200102"/>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a:stretch>
                      <a:fillRect/>
                    </a:stretch>
                  </pic:blipFill>
                  <pic:spPr>
                    <a:xfrm>
                      <a:off x="0" y="0"/>
                      <a:ext cx="5758309" cy="4210877"/>
                    </a:xfrm>
                    <a:prstGeom prst="rect">
                      <a:avLst/>
                    </a:prstGeom>
                  </pic:spPr>
                </pic:pic>
              </a:graphicData>
            </a:graphic>
          </wp:inline>
        </w:drawing>
      </w:r>
      <w:r>
        <w:t xml:space="preserve"> </w:t>
      </w:r>
    </w:p>
    <w:p w14:paraId="5AA994B7" w14:textId="77777777" w:rsidR="00065D70" w:rsidRDefault="002632E4">
      <w:pPr>
        <w:spacing w:after="102" w:line="259" w:lineRule="auto"/>
        <w:ind w:left="70" w:right="0" w:firstLine="0"/>
      </w:pPr>
      <w:r>
        <w:t xml:space="preserve"> </w:t>
      </w:r>
    </w:p>
    <w:p w14:paraId="36BB1ACE" w14:textId="77777777" w:rsidR="00065D70" w:rsidRDefault="002632E4">
      <w:pPr>
        <w:pBdr>
          <w:top w:val="single" w:sz="6" w:space="0" w:color="000000"/>
          <w:left w:val="single" w:sz="6" w:space="0" w:color="000000"/>
          <w:bottom w:val="single" w:sz="6" w:space="0" w:color="000000"/>
          <w:right w:val="single" w:sz="6" w:space="0" w:color="000000"/>
        </w:pBdr>
        <w:spacing w:after="208" w:line="268" w:lineRule="auto"/>
        <w:ind w:left="109" w:right="0"/>
      </w:pPr>
      <w:r>
        <w:rPr>
          <w:noProof/>
        </w:rPr>
        <w:lastRenderedPageBreak/>
        <w:drawing>
          <wp:anchor distT="0" distB="0" distL="114300" distR="114300" simplePos="0" relativeHeight="251658240" behindDoc="0" locked="0" layoutInCell="1" allowOverlap="0" wp14:anchorId="77D976CB" wp14:editId="72F80890">
            <wp:simplePos x="0" y="0"/>
            <wp:positionH relativeFrom="column">
              <wp:posOffset>59055</wp:posOffset>
            </wp:positionH>
            <wp:positionV relativeFrom="paragraph">
              <wp:posOffset>0</wp:posOffset>
            </wp:positionV>
            <wp:extent cx="3950970" cy="4638675"/>
            <wp:effectExtent l="0" t="0" r="0" b="9525"/>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8"/>
                    <a:stretch>
                      <a:fillRect/>
                    </a:stretch>
                  </pic:blipFill>
                  <pic:spPr>
                    <a:xfrm>
                      <a:off x="0" y="0"/>
                      <a:ext cx="3950970" cy="4638675"/>
                    </a:xfrm>
                    <a:prstGeom prst="rect">
                      <a:avLst/>
                    </a:prstGeom>
                  </pic:spPr>
                </pic:pic>
              </a:graphicData>
            </a:graphic>
            <wp14:sizeRelV relativeFrom="margin">
              <wp14:pctHeight>0</wp14:pctHeight>
            </wp14:sizeRelV>
          </wp:anchor>
        </w:drawing>
      </w:r>
      <w:r>
        <w:rPr>
          <w:rFonts w:ascii="Calibri" w:eastAsia="Calibri" w:hAnsi="Calibri" w:cs="Calibri"/>
          <w:color w:val="000000"/>
          <w:sz w:val="22"/>
        </w:rPr>
        <w:t>El año de matric</w:t>
      </w:r>
      <w:r>
        <w:rPr>
          <w:rFonts w:ascii="Calibri" w:eastAsia="Calibri" w:hAnsi="Calibri" w:cs="Calibri"/>
          <w:color w:val="000000"/>
          <w:sz w:val="22"/>
        </w:rPr>
        <w:t xml:space="preserve">ulación introducido servirá para calcular el color de la etiqueta medio ambiental: </w:t>
      </w:r>
    </w:p>
    <w:p w14:paraId="43002102" w14:textId="77777777" w:rsidR="00065D70" w:rsidRDefault="002632E4">
      <w:pPr>
        <w:pBdr>
          <w:top w:val="single" w:sz="6" w:space="0" w:color="000000"/>
          <w:left w:val="single" w:sz="6" w:space="0" w:color="000000"/>
          <w:bottom w:val="single" w:sz="6" w:space="0" w:color="000000"/>
          <w:right w:val="single" w:sz="6" w:space="0" w:color="000000"/>
        </w:pBdr>
        <w:spacing w:after="208" w:line="268" w:lineRule="auto"/>
        <w:ind w:left="109" w:right="0"/>
      </w:pPr>
      <w:r>
        <w:rPr>
          <w:rFonts w:ascii="Calibri" w:eastAsia="Calibri" w:hAnsi="Calibri" w:cs="Calibri"/>
          <w:color w:val="000000"/>
          <w:sz w:val="22"/>
        </w:rPr>
        <w:t xml:space="preserve">&lt;3 color verde </w:t>
      </w:r>
    </w:p>
    <w:p w14:paraId="76FF3133" w14:textId="77777777" w:rsidR="00065D70" w:rsidRDefault="002632E4">
      <w:pPr>
        <w:pBdr>
          <w:top w:val="single" w:sz="6" w:space="0" w:color="000000"/>
          <w:left w:val="single" w:sz="6" w:space="0" w:color="000000"/>
          <w:bottom w:val="single" w:sz="6" w:space="0" w:color="000000"/>
          <w:right w:val="single" w:sz="6" w:space="0" w:color="000000"/>
        </w:pBdr>
        <w:spacing w:after="208" w:line="268" w:lineRule="auto"/>
        <w:ind w:left="109" w:right="0"/>
      </w:pPr>
      <w:r>
        <w:rPr>
          <w:rFonts w:ascii="Calibri" w:eastAsia="Calibri" w:hAnsi="Calibri" w:cs="Calibri"/>
          <w:color w:val="000000"/>
          <w:sz w:val="22"/>
        </w:rPr>
        <w:t>&gt;=</w:t>
      </w:r>
      <w:proofErr w:type="gramStart"/>
      <w:r>
        <w:rPr>
          <w:rFonts w:ascii="Calibri" w:eastAsia="Calibri" w:hAnsi="Calibri" w:cs="Calibri"/>
          <w:color w:val="000000"/>
          <w:sz w:val="22"/>
        </w:rPr>
        <w:t>3  y</w:t>
      </w:r>
      <w:proofErr w:type="gramEnd"/>
      <w:r>
        <w:rPr>
          <w:rFonts w:ascii="Calibri" w:eastAsia="Calibri" w:hAnsi="Calibri" w:cs="Calibri"/>
          <w:color w:val="000000"/>
          <w:sz w:val="22"/>
        </w:rPr>
        <w:t xml:space="preserve"> &lt;5 color azul </w:t>
      </w:r>
    </w:p>
    <w:p w14:paraId="370F6BD0" w14:textId="77777777" w:rsidR="00065D70" w:rsidRDefault="002632E4">
      <w:pPr>
        <w:pBdr>
          <w:top w:val="single" w:sz="6" w:space="0" w:color="000000"/>
          <w:left w:val="single" w:sz="6" w:space="0" w:color="000000"/>
          <w:bottom w:val="single" w:sz="6" w:space="0" w:color="000000"/>
          <w:right w:val="single" w:sz="6" w:space="0" w:color="000000"/>
        </w:pBdr>
        <w:spacing w:after="208" w:line="268" w:lineRule="auto"/>
        <w:ind w:left="109" w:right="0"/>
      </w:pPr>
      <w:r>
        <w:rPr>
          <w:rFonts w:ascii="Calibri" w:eastAsia="Calibri" w:hAnsi="Calibri" w:cs="Calibri"/>
          <w:color w:val="000000"/>
          <w:sz w:val="22"/>
        </w:rPr>
        <w:t xml:space="preserve">&gt;=5 y &lt; 8 color amarillo </w:t>
      </w:r>
    </w:p>
    <w:p w14:paraId="65A7CED2" w14:textId="77777777" w:rsidR="00065D70" w:rsidRDefault="002632E4">
      <w:pPr>
        <w:pBdr>
          <w:top w:val="single" w:sz="6" w:space="0" w:color="000000"/>
          <w:left w:val="single" w:sz="6" w:space="0" w:color="000000"/>
          <w:bottom w:val="single" w:sz="6" w:space="0" w:color="000000"/>
          <w:right w:val="single" w:sz="6" w:space="0" w:color="000000"/>
        </w:pBdr>
        <w:spacing w:after="268" w:line="268" w:lineRule="auto"/>
        <w:ind w:left="109" w:right="0"/>
      </w:pPr>
      <w:r>
        <w:rPr>
          <w:rFonts w:ascii="Calibri" w:eastAsia="Calibri" w:hAnsi="Calibri" w:cs="Calibri"/>
          <w:color w:val="000000"/>
          <w:sz w:val="22"/>
        </w:rPr>
        <w:t xml:space="preserve">&gt;=8 color rojo </w:t>
      </w:r>
    </w:p>
    <w:p w14:paraId="71B63A55" w14:textId="77777777" w:rsidR="00065D70" w:rsidRDefault="002632E4">
      <w:pPr>
        <w:spacing w:after="0" w:line="259" w:lineRule="auto"/>
        <w:ind w:left="3401" w:right="0" w:firstLine="0"/>
        <w:jc w:val="center"/>
      </w:pPr>
      <w:r>
        <w:t xml:space="preserve"> </w:t>
      </w:r>
    </w:p>
    <w:p w14:paraId="76E8CC3B" w14:textId="77777777" w:rsidR="00065D70" w:rsidRDefault="002632E4">
      <w:pPr>
        <w:spacing w:after="0" w:line="259" w:lineRule="auto"/>
        <w:ind w:left="70" w:right="0" w:firstLine="0"/>
      </w:pPr>
      <w:r>
        <w:t xml:space="preserve"> </w:t>
      </w:r>
    </w:p>
    <w:p w14:paraId="5BEFEF4A" w14:textId="5779952D" w:rsidR="00065D70" w:rsidRDefault="00065D70">
      <w:pPr>
        <w:spacing w:after="43" w:line="259" w:lineRule="auto"/>
        <w:ind w:left="99" w:right="0" w:firstLine="0"/>
      </w:pPr>
    </w:p>
    <w:sectPr w:rsidR="00065D70">
      <w:pgSz w:w="11906" w:h="16838"/>
      <w:pgMar w:top="749" w:right="971" w:bottom="1441" w:left="16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D70"/>
    <w:rsid w:val="00065D70"/>
    <w:rsid w:val="002632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AE367"/>
  <w15:docId w15:val="{3912C697-9367-434C-822F-F7FEEE81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80" w:right="662" w:hanging="10"/>
    </w:pPr>
    <w:rPr>
      <w:rFonts w:ascii="Verdana" w:eastAsia="Verdana" w:hAnsi="Verdana" w:cs="Verdana"/>
      <w:color w:val="9C172C"/>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409</Words>
  <Characters>2252</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USUARIOPORTATILNEW</dc:creator>
  <cp:keywords/>
  <cp:lastModifiedBy>HCMA</cp:lastModifiedBy>
  <cp:revision>2</cp:revision>
  <dcterms:created xsi:type="dcterms:W3CDTF">2022-02-22T09:06:00Z</dcterms:created>
  <dcterms:modified xsi:type="dcterms:W3CDTF">2022-02-22T09:06:00Z</dcterms:modified>
</cp:coreProperties>
</file>