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59F1" w:rsidRPr="002046C4" w:rsidRDefault="001E59F1" w:rsidP="001E59F1">
      <w:pPr>
        <w:outlineLvl w:val="0"/>
        <w:rPr>
          <w:rFonts w:asciiTheme="majorBidi" w:eastAsiaTheme="majorEastAsia" w:hAnsiTheme="majorBidi" w:cstheme="majorBidi"/>
          <w:b/>
          <w:bCs/>
          <w:color w:val="000000" w:themeColor="text1"/>
          <w:sz w:val="20"/>
          <w:szCs w:val="20"/>
          <w:lang w:val="en-GB" w:eastAsia="en-US"/>
        </w:rPr>
      </w:pPr>
      <w:r w:rsidRPr="002046C4">
        <w:rPr>
          <w:rFonts w:asciiTheme="majorBidi" w:eastAsiaTheme="majorEastAsia" w:hAnsiTheme="majorBidi" w:cstheme="majorBidi"/>
          <w:b/>
          <w:bCs/>
          <w:color w:val="000000" w:themeColor="text1"/>
          <w:sz w:val="20"/>
          <w:szCs w:val="20"/>
          <w:lang w:val="en-GB" w:eastAsia="en-US"/>
        </w:rPr>
        <w:t>Supplemental Methods: Variables and causal pathways included in the Directed Acyclic Graph (DAG)</w:t>
      </w:r>
    </w:p>
    <w:p w:rsidR="001E59F1" w:rsidRPr="002046C4" w:rsidRDefault="001E59F1" w:rsidP="001E59F1">
      <w:pPr>
        <w:rPr>
          <w:rFonts w:asciiTheme="majorBidi" w:hAnsiTheme="majorBidi"/>
          <w:color w:val="000000" w:themeColor="text1"/>
          <w:sz w:val="20"/>
          <w:szCs w:val="20"/>
          <w:lang w:val="en-GB"/>
        </w:rPr>
      </w:pPr>
    </w:p>
    <w:p w:rsidR="001E59F1" w:rsidRPr="002046C4" w:rsidRDefault="001E59F1" w:rsidP="001E59F1">
      <w:pPr>
        <w:rPr>
          <w:rFonts w:asciiTheme="majorBidi" w:hAnsiTheme="majorBidi"/>
          <w:color w:val="000000" w:themeColor="text1"/>
          <w:sz w:val="20"/>
          <w:szCs w:val="20"/>
          <w:lang w:val="en-GB"/>
        </w:rPr>
      </w:pPr>
      <w:r w:rsidRPr="002046C4">
        <w:rPr>
          <w:rFonts w:asciiTheme="majorBidi" w:hAnsiTheme="majorBidi"/>
          <w:color w:val="000000" w:themeColor="text1"/>
          <w:sz w:val="20"/>
          <w:szCs w:val="20"/>
          <w:lang w:val="en-GB"/>
        </w:rPr>
        <w:t>The DAG is a conceptual model describing how household drinking water is thought to affect childhood growth and survival. Nodes represent exposures or outcomes. Within the DAG framework, arrows denote causation (i.e. a change in the level or occurrence of the exposure leads to a change in the level or occurrence of the outcome).</w:t>
      </w:r>
      <w:r w:rsidRPr="002046C4">
        <w:rPr>
          <w:rFonts w:asciiTheme="majorBidi" w:hAnsiTheme="majorBidi"/>
          <w:color w:val="000000" w:themeColor="text1"/>
          <w:sz w:val="20"/>
          <w:szCs w:val="20"/>
          <w:lang w:val="en-GB"/>
        </w:rPr>
        <w:fldChar w:fldCharType="begin"/>
      </w:r>
      <w:r w:rsidR="00F84EC6">
        <w:rPr>
          <w:rFonts w:asciiTheme="majorBidi" w:hAnsiTheme="majorBidi"/>
          <w:color w:val="000000" w:themeColor="text1"/>
          <w:sz w:val="20"/>
          <w:szCs w:val="20"/>
          <w:lang w:val="en-GB"/>
        </w:rPr>
        <w:instrText xml:space="preserve"> ADDIN EN.CITE &lt;EndNote&gt;&lt;Cite&gt;&lt;Author&gt;Elwert&lt;/Author&gt;&lt;Year&gt;2013&lt;/Year&gt;&lt;RecNum&gt;5051&lt;/RecNum&gt;&lt;DisplayText&gt;[1]&lt;/DisplayText&gt;&lt;record&gt;&lt;rec-number&gt;5051&lt;/rec-number&gt;&lt;foreign-keys&gt;&lt;key app="EN" db-id="ep9e9dtw7w2a0uev2z0pvdvlprf52xxvwer0" timestamp="1458580198"&gt;5051&lt;/key&gt;&lt;/foreign-keys&gt;&lt;ref-type name="Book Section"&gt;5&lt;/ref-type&gt;&lt;contributors&gt;&lt;authors&gt;&lt;author&gt;Elwert, F.&lt;/author&gt;&lt;/authors&gt;&lt;secondary-authors&gt;&lt;author&gt;Morgan, S.L.&lt;/author&gt;&lt;/secondary-authors&gt;&lt;/contributors&gt;&lt;titles&gt;&lt;title&gt;Graphical Causal Models&lt;/title&gt;&lt;secondary-title&gt;Handbook of Causal Analysis for Social Research&lt;/secondary-title&gt;&lt;tertiary-title&gt;Handbooks of Sociology and Social Research&lt;/tertiary-title&gt;&lt;/titles&gt;&lt;pages&gt;29&lt;/pages&gt;&lt;section&gt;13&lt;/section&gt;&lt;dates&gt;&lt;year&gt;2013&lt;/year&gt;&lt;/dates&gt;&lt;pub-location&gt;Dordrecht, the Netherlands&lt;/pub-location&gt;&lt;publisher&gt;Springer Science + Business Media&lt;/publisher&gt;&lt;urls&gt;&lt;/urls&gt;&lt;electronic-resource-num&gt;10.1007/978-94-007-6094-3_13&lt;/electronic-resource-num&gt;&lt;/record&gt;&lt;/Cite&gt;&lt;/EndNote&gt;</w:instrText>
      </w:r>
      <w:r w:rsidRPr="002046C4">
        <w:rPr>
          <w:rFonts w:asciiTheme="majorBidi" w:hAnsiTheme="majorBidi"/>
          <w:color w:val="000000" w:themeColor="text1"/>
          <w:sz w:val="20"/>
          <w:szCs w:val="20"/>
          <w:lang w:val="en-GB"/>
        </w:rPr>
        <w:fldChar w:fldCharType="separate"/>
      </w:r>
      <w:r w:rsidR="00F84EC6">
        <w:rPr>
          <w:rFonts w:asciiTheme="majorBidi" w:hAnsiTheme="majorBidi"/>
          <w:noProof/>
          <w:color w:val="000000" w:themeColor="text1"/>
          <w:sz w:val="20"/>
          <w:szCs w:val="20"/>
          <w:lang w:val="en-GB"/>
        </w:rPr>
        <w:t>[1]</w:t>
      </w:r>
      <w:r w:rsidRPr="002046C4">
        <w:rPr>
          <w:rFonts w:asciiTheme="majorBidi" w:hAnsiTheme="majorBidi"/>
          <w:color w:val="000000" w:themeColor="text1"/>
          <w:sz w:val="20"/>
          <w:szCs w:val="20"/>
          <w:lang w:val="en-GB"/>
        </w:rPr>
        <w:fldChar w:fldCharType="end"/>
      </w:r>
    </w:p>
    <w:p w:rsidR="001E59F1" w:rsidRPr="002046C4" w:rsidRDefault="001E59F1" w:rsidP="001E59F1">
      <w:pPr>
        <w:rPr>
          <w:rFonts w:asciiTheme="majorBidi" w:hAnsiTheme="majorBidi"/>
          <w:color w:val="000000" w:themeColor="text1"/>
          <w:sz w:val="20"/>
          <w:szCs w:val="20"/>
          <w:lang w:val="en-GB"/>
        </w:rPr>
      </w:pPr>
    </w:p>
    <w:p w:rsidR="001E59F1" w:rsidRPr="006D6EAE" w:rsidRDefault="001E59F1" w:rsidP="001E59F1">
      <w:pPr>
        <w:rPr>
          <w:rFonts w:asciiTheme="majorBidi" w:hAnsiTheme="majorBidi"/>
          <w:color w:val="000000" w:themeColor="text1"/>
          <w:sz w:val="20"/>
          <w:szCs w:val="20"/>
          <w:lang w:val="en-GB"/>
        </w:rPr>
      </w:pP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t xml:space="preserve">We used DAGs for three purposes: (1) To identify variables that require adjustment in the analysis; (2) To avoid adjusting for variables in cases where adjustment may introduce bias by creating conditional statistical associations between variables (i.e. by conditioning on the common outcome of two variables (known as </w:t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sym w:font="Symbol" w:char="F0B2"/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t>colliders</w:t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sym w:font="Symbol" w:char="F0B2"/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t>), thereby introducing a form of selection bias); (3) To make explicit researchers</w:t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sym w:font="Symbol" w:char="F0A2"/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t xml:space="preserve"> understanding of causal relationships and to identify potential limitations in data and knowledge. </w:t>
      </w:r>
      <w:r w:rsidRPr="002046C4">
        <w:rPr>
          <w:rFonts w:asciiTheme="majorBidi" w:hAnsiTheme="majorBidi"/>
          <w:color w:val="000000" w:themeColor="text1"/>
          <w:sz w:val="20"/>
          <w:szCs w:val="20"/>
          <w:lang w:val="en-GB"/>
        </w:rPr>
        <w:t xml:space="preserve">Selection of variables and causal pathways </w:t>
      </w:r>
      <w:r>
        <w:rPr>
          <w:rFonts w:asciiTheme="majorBidi" w:hAnsiTheme="majorBidi"/>
          <w:color w:val="000000" w:themeColor="text1"/>
          <w:sz w:val="20"/>
          <w:szCs w:val="20"/>
          <w:lang w:val="en-GB"/>
        </w:rPr>
        <w:t>was</w:t>
      </w:r>
      <w:r w:rsidRPr="002046C4">
        <w:rPr>
          <w:rFonts w:asciiTheme="majorBidi" w:hAnsiTheme="majorBidi"/>
          <w:color w:val="000000" w:themeColor="text1"/>
          <w:sz w:val="20"/>
          <w:szCs w:val="20"/>
          <w:lang w:val="en-GB"/>
        </w:rPr>
        <w:t xml:space="preserve"> based on reviews and research studies on child nutrition and survival. </w:t>
      </w:r>
      <w:proofErr w:type="spellStart"/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t>Daggity</w:t>
      </w:r>
      <w:proofErr w:type="spellEnd"/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t xml:space="preserve"> statistical software was used to facilitate the procedure of choosing adjustment sets; that is, </w:t>
      </w:r>
      <w:r w:rsidRPr="002046C4">
        <w:rPr>
          <w:rFonts w:asciiTheme="majorBidi" w:hAnsiTheme="majorBidi"/>
          <w:color w:val="000000" w:themeColor="text1"/>
          <w:sz w:val="20"/>
          <w:szCs w:val="20"/>
          <w:lang w:val="en-GB"/>
        </w:rPr>
        <w:t>to identify a limited set of potential confounders as well as to avoid adjustment that may introduce bias through creating conditional associations (“backdoor paths”)</w:t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t>.</w:t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fldChar w:fldCharType="begin"/>
      </w:r>
      <w:r w:rsidR="00F84EC6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instrText xml:space="preserve"> ADDIN EN.CITE &lt;EndNote&gt;&lt;Cite&gt;&lt;Author&gt;Textor&lt;/Author&gt;&lt;Year&gt;2011&lt;/Year&gt;&lt;RecNum&gt;4957&lt;/RecNum&gt;&lt;DisplayText&gt;[2]&lt;/DisplayText&gt;&lt;record&gt;&lt;rec-number&gt;4957&lt;/rec-number&gt;&lt;foreign-keys&gt;&lt;key app="EN" db-id="ep9e9dtw7w2a0uev2z0pvdvlprf52xxvwer0" timestamp="1438718844"&gt;4957&lt;/key&gt;&lt;/foreign-keys&gt;&lt;ref-type name="Journal Article"&gt;17&lt;/ref-type&gt;&lt;contributors&gt;&lt;authors&gt;&lt;author&gt;Textor, J.&lt;/author&gt;&lt;author&gt;Hardt, J.&lt;/author&gt;&lt;author&gt;Knuppel, S.&lt;/author&gt;&lt;/authors&gt;&lt;/contributors&gt;&lt;titles&gt;&lt;title&gt;DAGitty: a graphical tool for analyzing causal diagrams&lt;/title&gt;&lt;secondary-title&gt;Epidemiology&lt;/secondary-title&gt;&lt;alt-title&gt;Epidemiology&lt;/alt-title&gt;&lt;/titles&gt;&lt;periodical&gt;&lt;full-title&gt;Epidemiology&lt;/full-title&gt;&lt;/periodical&gt;&lt;alt-periodical&gt;&lt;full-title&gt;Epidemiology&lt;/full-title&gt;&lt;/alt-periodical&gt;&lt;pages&gt;745&lt;/pages&gt;&lt;volume&gt;22&lt;/volume&gt;&lt;number&gt;5&lt;/number&gt;&lt;keywords&gt;&lt;keyword&gt;Algorithms&lt;/keyword&gt;&lt;keyword&gt;*Causality&lt;/keyword&gt;&lt;keyword&gt;*Computer Graphics&lt;/keyword&gt;&lt;keyword&gt;*Data Interpretation, Statistical&lt;/keyword&gt;&lt;keyword&gt;*Software&lt;/keyword&gt;&lt;keyword&gt;User-Computer Interface&lt;/keyword&gt;&lt;/keywords&gt;&lt;dates&gt;&lt;year&gt;2011&lt;/year&gt;&lt;pub-dates&gt;&lt;date&gt;Sep&lt;/date&gt;&lt;/pub-dates&gt;&lt;/dates&gt;&lt;isbn&gt;1531-5487 (Electronic)&amp;#xD;1044-3983 (Linking)&lt;/isbn&gt;&lt;accession-num&gt;21811114&lt;/accession-num&gt;&lt;urls&gt;&lt;related-urls&gt;&lt;url&gt;http://www.ncbi.nlm.nih.gov/pubmed/21811114&lt;/url&gt;&lt;/related-urls&gt;&lt;/urls&gt;&lt;electronic-resource-num&gt;10.1097/EDE.0b013e318225c2be&lt;/electronic-resource-num&gt;&lt;/record&gt;&lt;/Cite&gt;&lt;/EndNote&gt;</w:instrText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fldChar w:fldCharType="separate"/>
      </w:r>
      <w:r w:rsidR="00F84EC6">
        <w:rPr>
          <w:rFonts w:asciiTheme="majorBidi" w:hAnsiTheme="majorBidi" w:cs="Arial"/>
          <w:noProof/>
          <w:color w:val="000000" w:themeColor="text1"/>
          <w:sz w:val="20"/>
          <w:szCs w:val="20"/>
          <w:lang w:val="en-GB"/>
        </w:rPr>
        <w:t>[2]</w:t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fldChar w:fldCharType="end"/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t xml:space="preserve"> Importantly, our DAG identified household livestock as a potential confounding variable, for which data were not collected. </w:t>
      </w:r>
    </w:p>
    <w:p w:rsidR="001E59F1" w:rsidRPr="002046C4" w:rsidRDefault="001E59F1" w:rsidP="001E59F1">
      <w:pPr>
        <w:rPr>
          <w:rFonts w:asciiTheme="majorBidi" w:hAnsiTheme="majorBidi"/>
          <w:i/>
          <w:color w:val="000000" w:themeColor="text1"/>
          <w:sz w:val="20"/>
          <w:szCs w:val="20"/>
          <w:lang w:val="en-GB"/>
        </w:rPr>
      </w:pPr>
    </w:p>
    <w:p w:rsidR="001E59F1" w:rsidRPr="002046C4" w:rsidRDefault="001E59F1" w:rsidP="001E59F1">
      <w:pPr>
        <w:rPr>
          <w:rFonts w:asciiTheme="majorBidi" w:hAnsiTheme="majorBidi"/>
          <w:i/>
          <w:color w:val="000000" w:themeColor="text1"/>
          <w:sz w:val="20"/>
          <w:szCs w:val="20"/>
          <w:lang w:val="en-GB"/>
        </w:rPr>
      </w:pP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t>Our DAG is explicitly conceptualized within a multilevel framework to account for non-independence of outcomes at the village level. Following Fleischer and Diez-Roux (2007)</w:t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fldChar w:fldCharType="begin"/>
      </w:r>
      <w:r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instrText xml:space="preserve"> ADDIN EN.CITE &lt;EndNote&gt;&lt;Cite&gt;&lt;Author&gt;Fleischer&lt;/Author&gt;&lt;Year&gt;2008&lt;/Year&gt;&lt;RecNum&gt;4974&lt;/RecNum&gt;&lt;DisplayText&gt;[3]&lt;/DisplayText&gt;&lt;record&gt;&lt;rec-number&gt;4974&lt;/rec-number&gt;&lt;foreign-keys&gt;&lt;key app="EN" db-id="ep9e9dtw7w2a0uev2z0pvdvlprf52xxvwer0" timestamp="1440013657"&gt;4974&lt;/key&gt;&lt;/foreign-keys&gt;&lt;ref-type name="Journal Article"&gt;17&lt;/ref-type&gt;&lt;contributors&gt;&lt;authors&gt;&lt;author&gt;Fleischer, N. L.&lt;/author&gt;&lt;author&gt;Diez Roux, A. V.&lt;/author&gt;&lt;/authors&gt;&lt;translated-authors&gt;&lt;author&gt;J. Epidemiol Community Health&lt;/author&gt;&lt;/translated-authors&gt;&lt;/contributors&gt;&lt;auth-address&gt;Center for Social Epidemiology and Population Health, 3rd Floor SPH Tower, 109 Observatory St, Ann Arbor, MI 48109-2029, USA. adiezrou@umich.edu FAU - Diez Roux, A V&lt;/auth-address&gt;&lt;titles&gt;&lt;title&gt;Using directed acyclic graphs to guide analyses of neighbourhood health effects: an introduction&lt;/title&gt;&lt;secondary-title&gt;J Epidemiol Community Health&lt;/secondary-title&gt;&lt;/titles&gt;&lt;periodical&gt;&lt;full-title&gt;J Epidemiol Community Health&lt;/full-title&gt;&lt;/periodical&gt;&lt;pages&gt;842-846&lt;/pages&gt;&lt;volume&gt;62&lt;/volume&gt;&lt;number&gt;9&lt;/number&gt;&lt;dates&gt;&lt;year&gt;2008&lt;/year&gt;&lt;pub-dates&gt;&lt;date&gt;09/01/2008&lt;/date&gt;&lt;/pub-dates&gt;&lt;/dates&gt;&lt;isbn&gt;1470-2738&lt;/isbn&gt;&lt;urls&gt;&lt;/urls&gt;&lt;electronic-resource-num&gt;10.1136/jech.2007.067371&lt;/electronic-resource-num&gt;&lt;remote-database-provider&gt;2008 Sep&lt;/remote-database-provider&gt;&lt;language&gt;eng&lt;/language&gt;&lt;/record&gt;&lt;/Cite&gt;&lt;/EndNote&gt;</w:instrText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fldChar w:fldCharType="separate"/>
      </w:r>
      <w:r>
        <w:rPr>
          <w:rFonts w:asciiTheme="majorBidi" w:hAnsiTheme="majorBidi" w:cs="Arial"/>
          <w:noProof/>
          <w:color w:val="000000" w:themeColor="text1"/>
          <w:sz w:val="20"/>
          <w:szCs w:val="20"/>
          <w:lang w:val="en-GB"/>
        </w:rPr>
        <w:t>[3]</w:t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fldChar w:fldCharType="end"/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t>, the DAGs we present are individual-level DAGs (the units of analysis are individuals and all variables are measured for each individual). We make simplifying assumptions of no heterogeneity of individual effects across higher-level units, and no cross-level interactions.</w:t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fldChar w:fldCharType="begin"/>
      </w:r>
      <w:r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instrText xml:space="preserve"> ADDIN EN.CITE &lt;EndNote&gt;&lt;Cite&gt;&lt;Author&gt;Fleischer&lt;/Author&gt;&lt;Year&gt;2008&lt;/Year&gt;&lt;RecNum&gt;4974&lt;/RecNum&gt;&lt;DisplayText&gt;[3]&lt;/DisplayText&gt;&lt;record&gt;&lt;rec-number&gt;4974&lt;/rec-number&gt;&lt;foreign-keys&gt;&lt;key app="EN" db-id="ep9e9dtw7w2a0uev2z0pvdvlprf52xxvwer0" timestamp="1440013657"&gt;4974&lt;/key&gt;&lt;/foreign-keys&gt;&lt;ref-type name="Journal Article"&gt;17&lt;/ref-type&gt;&lt;contributors&gt;&lt;authors&gt;&lt;author&gt;Fleischer, N. L.&lt;/author&gt;&lt;author&gt;Diez Roux, A. V.&lt;/author&gt;&lt;/authors&gt;&lt;translated-authors&gt;&lt;author&gt;J. Epidemiol Community Health&lt;/author&gt;&lt;/translated-authors&gt;&lt;/contributors&gt;&lt;auth-address&gt;Center for Social Epidemiology and Population Health, 3rd Floor SPH Tower, 109 Observatory St, Ann Arbor, MI 48109-2029, USA. adiezrou@umich.edu FAU - Diez Roux, A V&lt;/auth-address&gt;&lt;titles&gt;&lt;title&gt;Using directed acyclic graphs to guide analyses of neighbourhood health effects: an introduction&lt;/title&gt;&lt;secondary-title&gt;J Epidemiol Community Health&lt;/secondary-title&gt;&lt;/titles&gt;&lt;periodical&gt;&lt;full-title&gt;J Epidemiol Community Health&lt;/full-title&gt;&lt;/periodical&gt;&lt;pages&gt;842-846&lt;/pages&gt;&lt;volume&gt;62&lt;/volume&gt;&lt;number&gt;9&lt;/number&gt;&lt;dates&gt;&lt;year&gt;2008&lt;/year&gt;&lt;pub-dates&gt;&lt;date&gt;09/01/2008&lt;/date&gt;&lt;/pub-dates&gt;&lt;/dates&gt;&lt;isbn&gt;1470-2738&lt;/isbn&gt;&lt;urls&gt;&lt;/urls&gt;&lt;electronic-resource-num&gt;10.1136/jech.2007.067371&lt;/electronic-resource-num&gt;&lt;remote-database-provider&gt;2008 Sep&lt;/remote-database-provider&gt;&lt;language&gt;eng&lt;/language&gt;&lt;/record&gt;&lt;/Cite&gt;&lt;/EndNote&gt;</w:instrText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fldChar w:fldCharType="separate"/>
      </w:r>
      <w:r>
        <w:rPr>
          <w:rFonts w:asciiTheme="majorBidi" w:hAnsiTheme="majorBidi" w:cs="Arial"/>
          <w:noProof/>
          <w:color w:val="000000" w:themeColor="text1"/>
          <w:sz w:val="20"/>
          <w:szCs w:val="20"/>
          <w:lang w:val="en-GB"/>
        </w:rPr>
        <w:t>[3]</w:t>
      </w:r>
      <w:r w:rsidRPr="002046C4">
        <w:rPr>
          <w:rFonts w:asciiTheme="majorBidi" w:hAnsiTheme="majorBidi" w:cs="Arial"/>
          <w:color w:val="000000" w:themeColor="text1"/>
          <w:sz w:val="20"/>
          <w:szCs w:val="20"/>
          <w:lang w:val="en-GB"/>
        </w:rPr>
        <w:fldChar w:fldCharType="end"/>
      </w:r>
    </w:p>
    <w:p w:rsidR="001E59F1" w:rsidRDefault="001E59F1"/>
    <w:p w:rsidR="001E59F1" w:rsidRDefault="001E59F1"/>
    <w:p w:rsidR="00F84EC6" w:rsidRPr="00F84EC6" w:rsidRDefault="001E59F1" w:rsidP="00F84EC6">
      <w:pPr>
        <w:pStyle w:val="EndNoteBibliographyTitle"/>
        <w:rPr>
          <w:b/>
          <w:noProof/>
          <w:sz w:val="36"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r w:rsidR="00F84EC6" w:rsidRPr="00F84EC6">
        <w:rPr>
          <w:b/>
          <w:noProof/>
          <w:sz w:val="36"/>
        </w:rPr>
        <w:t>References</w:t>
      </w:r>
    </w:p>
    <w:p w:rsidR="00F84EC6" w:rsidRPr="00F84EC6" w:rsidRDefault="00F84EC6" w:rsidP="00F84EC6">
      <w:pPr>
        <w:pStyle w:val="EndNoteBibliographyTitle"/>
        <w:rPr>
          <w:b/>
          <w:noProof/>
          <w:sz w:val="36"/>
        </w:rPr>
      </w:pPr>
    </w:p>
    <w:p w:rsidR="00F84EC6" w:rsidRPr="00F84EC6" w:rsidRDefault="00F84EC6" w:rsidP="00F84EC6">
      <w:pPr>
        <w:pStyle w:val="EndNoteBibliography"/>
        <w:rPr>
          <w:noProof/>
        </w:rPr>
      </w:pPr>
      <w:r w:rsidRPr="00F84EC6">
        <w:rPr>
          <w:noProof/>
        </w:rPr>
        <w:t>1.</w:t>
      </w:r>
      <w:r w:rsidRPr="00F84EC6">
        <w:rPr>
          <w:noProof/>
        </w:rPr>
        <w:tab/>
        <w:t>Elwert F. Graphical Causal Models. In: Morgan SL, editor. Handbook of Causal Analysis for Social Research. Handbooks of Sociology and Social Research. Dordrecht, the Netherlands: Springer Science + Business Media; 2013. p. 29.</w:t>
      </w:r>
    </w:p>
    <w:p w:rsidR="00F84EC6" w:rsidRPr="00F84EC6" w:rsidRDefault="00F84EC6" w:rsidP="00F84EC6">
      <w:pPr>
        <w:pStyle w:val="EndNoteBibliography"/>
        <w:rPr>
          <w:noProof/>
        </w:rPr>
      </w:pPr>
      <w:r w:rsidRPr="00F84EC6">
        <w:rPr>
          <w:noProof/>
        </w:rPr>
        <w:t>2.</w:t>
      </w:r>
      <w:r w:rsidRPr="00F84EC6">
        <w:rPr>
          <w:noProof/>
        </w:rPr>
        <w:tab/>
        <w:t>Textor J, Hardt J, Knuppel S. DAGitty: a graphical tool for analyzing causal diagrams. Epidemiology. 2011;22(5):745. doi: 10.1097/EDE.0b013e318225c2be. PubMed PMID: 21811114.</w:t>
      </w:r>
    </w:p>
    <w:p w:rsidR="00922B7F" w:rsidRDefault="00F84EC6" w:rsidP="001E59F1">
      <w:pPr>
        <w:pStyle w:val="EndNoteBibliography"/>
      </w:pPr>
      <w:r w:rsidRPr="00F84EC6">
        <w:rPr>
          <w:noProof/>
        </w:rPr>
        <w:t>3.</w:t>
      </w:r>
      <w:r w:rsidRPr="00F84EC6">
        <w:rPr>
          <w:noProof/>
        </w:rPr>
        <w:tab/>
        <w:t>Fleischer NL, Diez Roux AV. Using directed acyclic graphs to guide analyses of neighbourhood health effects: an introduction. J Epidemiol Community Health. 2008;62(9):842-6. doi: 10.1136/jech.2007.067371.</w:t>
      </w:r>
      <w:bookmarkStart w:id="0" w:name="_GoBack"/>
      <w:bookmarkEnd w:id="0"/>
      <w:r w:rsidR="001E59F1">
        <w:fldChar w:fldCharType="end"/>
      </w:r>
      <w:r>
        <w:t xml:space="preserve"> </w:t>
      </w:r>
      <w:r w:rsidR="001E59F1">
        <w:t xml:space="preserve"> </w:t>
      </w:r>
    </w:p>
    <w:sectPr w:rsidR="00922B7F" w:rsidSect="008400AA">
      <w:pgSz w:w="12240" w:h="15840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PLoS&lt;/Style&gt;&lt;LeftDelim&gt;{&lt;/LeftDelim&gt;&lt;RightDelim&gt;}&lt;/RightDelim&gt;&lt;FontName&gt;Times New Roman&lt;/FontName&gt;&lt;FontSize&gt;12&lt;/FontSize&gt;&lt;ReflistTitle&gt;&lt;style face=&quot;bold&quot; size=&quot;18&quot;&gt;References&lt;/sty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p9e9dtw7w2a0uev2z0pvdvlprf52xxvwer0&quot;&gt;20160413references&lt;record-ids&gt;&lt;item&gt;4957&lt;/item&gt;&lt;item&gt;4974&lt;/item&gt;&lt;item&gt;5051&lt;/item&gt;&lt;/record-ids&gt;&lt;/item&gt;&lt;/Libraries&gt;"/>
  </w:docVars>
  <w:rsids>
    <w:rsidRoot w:val="001E59F1"/>
    <w:rsid w:val="00003029"/>
    <w:rsid w:val="00003423"/>
    <w:rsid w:val="00006994"/>
    <w:rsid w:val="00016EA7"/>
    <w:rsid w:val="00036499"/>
    <w:rsid w:val="0004678A"/>
    <w:rsid w:val="00061AA8"/>
    <w:rsid w:val="00073948"/>
    <w:rsid w:val="00077817"/>
    <w:rsid w:val="0008405E"/>
    <w:rsid w:val="00084CDD"/>
    <w:rsid w:val="000901D8"/>
    <w:rsid w:val="00097CD4"/>
    <w:rsid w:val="000A55D3"/>
    <w:rsid w:val="000C3D85"/>
    <w:rsid w:val="000C4E98"/>
    <w:rsid w:val="000E76B3"/>
    <w:rsid w:val="000F7A7E"/>
    <w:rsid w:val="00101C14"/>
    <w:rsid w:val="0011275E"/>
    <w:rsid w:val="00124BE8"/>
    <w:rsid w:val="001312E1"/>
    <w:rsid w:val="0013147F"/>
    <w:rsid w:val="00147B35"/>
    <w:rsid w:val="0015284D"/>
    <w:rsid w:val="001609EF"/>
    <w:rsid w:val="0019483B"/>
    <w:rsid w:val="001C33A4"/>
    <w:rsid w:val="001E3FC4"/>
    <w:rsid w:val="001E59F1"/>
    <w:rsid w:val="001F6532"/>
    <w:rsid w:val="002301A8"/>
    <w:rsid w:val="00235555"/>
    <w:rsid w:val="0024596D"/>
    <w:rsid w:val="00264328"/>
    <w:rsid w:val="002777F8"/>
    <w:rsid w:val="0029216A"/>
    <w:rsid w:val="002960BC"/>
    <w:rsid w:val="002A6D23"/>
    <w:rsid w:val="002B2A9B"/>
    <w:rsid w:val="002B355A"/>
    <w:rsid w:val="002C1CCD"/>
    <w:rsid w:val="00326B9A"/>
    <w:rsid w:val="003419A6"/>
    <w:rsid w:val="00374627"/>
    <w:rsid w:val="00395724"/>
    <w:rsid w:val="003A5B03"/>
    <w:rsid w:val="003B0C04"/>
    <w:rsid w:val="003E73CA"/>
    <w:rsid w:val="00410130"/>
    <w:rsid w:val="00440E5A"/>
    <w:rsid w:val="004600F0"/>
    <w:rsid w:val="00472DF3"/>
    <w:rsid w:val="004754D9"/>
    <w:rsid w:val="00486C08"/>
    <w:rsid w:val="0049244F"/>
    <w:rsid w:val="004A22F3"/>
    <w:rsid w:val="004B03AA"/>
    <w:rsid w:val="004D159C"/>
    <w:rsid w:val="004E6950"/>
    <w:rsid w:val="004F2C72"/>
    <w:rsid w:val="004F5146"/>
    <w:rsid w:val="004F6992"/>
    <w:rsid w:val="004F73CF"/>
    <w:rsid w:val="004F7C15"/>
    <w:rsid w:val="00517C2F"/>
    <w:rsid w:val="00521450"/>
    <w:rsid w:val="0052389D"/>
    <w:rsid w:val="00562CD4"/>
    <w:rsid w:val="00585117"/>
    <w:rsid w:val="005878EC"/>
    <w:rsid w:val="005904CA"/>
    <w:rsid w:val="005923A0"/>
    <w:rsid w:val="005B2C4B"/>
    <w:rsid w:val="005C2181"/>
    <w:rsid w:val="005F21E7"/>
    <w:rsid w:val="006147EE"/>
    <w:rsid w:val="00627BAA"/>
    <w:rsid w:val="00656B6B"/>
    <w:rsid w:val="00663A09"/>
    <w:rsid w:val="00664F6B"/>
    <w:rsid w:val="006705A0"/>
    <w:rsid w:val="00670B23"/>
    <w:rsid w:val="00671BF1"/>
    <w:rsid w:val="006C07A9"/>
    <w:rsid w:val="006C74E0"/>
    <w:rsid w:val="006E34B5"/>
    <w:rsid w:val="006F3D2E"/>
    <w:rsid w:val="00714DAF"/>
    <w:rsid w:val="00736C32"/>
    <w:rsid w:val="00737182"/>
    <w:rsid w:val="00742353"/>
    <w:rsid w:val="0074377A"/>
    <w:rsid w:val="00743840"/>
    <w:rsid w:val="00751CB1"/>
    <w:rsid w:val="00751D30"/>
    <w:rsid w:val="00763DFF"/>
    <w:rsid w:val="00783F54"/>
    <w:rsid w:val="00791CB8"/>
    <w:rsid w:val="007A59EB"/>
    <w:rsid w:val="007C0F89"/>
    <w:rsid w:val="007E09BA"/>
    <w:rsid w:val="007F1F05"/>
    <w:rsid w:val="008114F8"/>
    <w:rsid w:val="008363AC"/>
    <w:rsid w:val="008400AA"/>
    <w:rsid w:val="00846CF2"/>
    <w:rsid w:val="00892CA9"/>
    <w:rsid w:val="008A0233"/>
    <w:rsid w:val="008A6D68"/>
    <w:rsid w:val="008B31D6"/>
    <w:rsid w:val="008B7C88"/>
    <w:rsid w:val="008C4C1E"/>
    <w:rsid w:val="008E6A4A"/>
    <w:rsid w:val="008F4AE0"/>
    <w:rsid w:val="008F75D5"/>
    <w:rsid w:val="00907EED"/>
    <w:rsid w:val="00931D6E"/>
    <w:rsid w:val="00933374"/>
    <w:rsid w:val="00952E7B"/>
    <w:rsid w:val="009A125E"/>
    <w:rsid w:val="009A259F"/>
    <w:rsid w:val="009A3514"/>
    <w:rsid w:val="009B2570"/>
    <w:rsid w:val="009B6CB2"/>
    <w:rsid w:val="009C0794"/>
    <w:rsid w:val="009D0AA9"/>
    <w:rsid w:val="009D0DE5"/>
    <w:rsid w:val="009F25F4"/>
    <w:rsid w:val="00A45FE9"/>
    <w:rsid w:val="00A4710A"/>
    <w:rsid w:val="00A50775"/>
    <w:rsid w:val="00A532DF"/>
    <w:rsid w:val="00A75E6E"/>
    <w:rsid w:val="00A84FD4"/>
    <w:rsid w:val="00A8788A"/>
    <w:rsid w:val="00AA3FA9"/>
    <w:rsid w:val="00AB5025"/>
    <w:rsid w:val="00AC41FC"/>
    <w:rsid w:val="00AC744D"/>
    <w:rsid w:val="00B00AFA"/>
    <w:rsid w:val="00B00B3B"/>
    <w:rsid w:val="00B13354"/>
    <w:rsid w:val="00B2625A"/>
    <w:rsid w:val="00B2718F"/>
    <w:rsid w:val="00B35189"/>
    <w:rsid w:val="00B361F3"/>
    <w:rsid w:val="00B37AAA"/>
    <w:rsid w:val="00B47AA7"/>
    <w:rsid w:val="00B55429"/>
    <w:rsid w:val="00B565AF"/>
    <w:rsid w:val="00B57D4D"/>
    <w:rsid w:val="00B63063"/>
    <w:rsid w:val="00B733B2"/>
    <w:rsid w:val="00B74256"/>
    <w:rsid w:val="00B95CE1"/>
    <w:rsid w:val="00BA58AD"/>
    <w:rsid w:val="00BB196D"/>
    <w:rsid w:val="00BB5ECF"/>
    <w:rsid w:val="00BC6C44"/>
    <w:rsid w:val="00C06271"/>
    <w:rsid w:val="00C32679"/>
    <w:rsid w:val="00C34EE8"/>
    <w:rsid w:val="00C3662D"/>
    <w:rsid w:val="00C37B97"/>
    <w:rsid w:val="00C62A32"/>
    <w:rsid w:val="00C67D93"/>
    <w:rsid w:val="00C76518"/>
    <w:rsid w:val="00C77ABF"/>
    <w:rsid w:val="00C86EA0"/>
    <w:rsid w:val="00C876CE"/>
    <w:rsid w:val="00C93C42"/>
    <w:rsid w:val="00CC020A"/>
    <w:rsid w:val="00CC295A"/>
    <w:rsid w:val="00CD2DF6"/>
    <w:rsid w:val="00CD6B3C"/>
    <w:rsid w:val="00D009C9"/>
    <w:rsid w:val="00D107EF"/>
    <w:rsid w:val="00D36478"/>
    <w:rsid w:val="00D51A2B"/>
    <w:rsid w:val="00D85B75"/>
    <w:rsid w:val="00D96EBB"/>
    <w:rsid w:val="00DA03FD"/>
    <w:rsid w:val="00DA5798"/>
    <w:rsid w:val="00DC6301"/>
    <w:rsid w:val="00DE598D"/>
    <w:rsid w:val="00E01AB1"/>
    <w:rsid w:val="00E0382E"/>
    <w:rsid w:val="00E03E36"/>
    <w:rsid w:val="00E07F5A"/>
    <w:rsid w:val="00E1011B"/>
    <w:rsid w:val="00E33277"/>
    <w:rsid w:val="00E922ED"/>
    <w:rsid w:val="00EA0704"/>
    <w:rsid w:val="00EC22A8"/>
    <w:rsid w:val="00ED6078"/>
    <w:rsid w:val="00EF0379"/>
    <w:rsid w:val="00F162BB"/>
    <w:rsid w:val="00F3797E"/>
    <w:rsid w:val="00F47B52"/>
    <w:rsid w:val="00F82FA0"/>
    <w:rsid w:val="00F84EC6"/>
    <w:rsid w:val="00F9573B"/>
    <w:rsid w:val="00FC20E9"/>
    <w:rsid w:val="00FD0101"/>
    <w:rsid w:val="00FF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D0B03C7"/>
  <w14:defaultImageDpi w14:val="32767"/>
  <w15:chartTrackingRefBased/>
  <w15:docId w15:val="{14C92539-BEA5-7A47-8A8E-9E015BC1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E59F1"/>
    <w:rPr>
      <w:rFonts w:ascii="Times New Roman" w:eastAsia="MS Mincho" w:hAnsi="Times New Roman" w:cs="Mangal"/>
      <w:lang w:eastAsia="fr-FR" w:bidi="hi-IN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E59F1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eastAsia="en-US" w:bidi="ar-SA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1E59F1"/>
    <w:rPr>
      <w:rFonts w:asciiTheme="majorHAnsi" w:eastAsiaTheme="majorEastAsia" w:hAnsiTheme="majorHAnsi" w:cstheme="majorBidi"/>
      <w:b/>
      <w:bCs/>
      <w:color w:val="4472C4" w:themeColor="accent1"/>
      <w:sz w:val="22"/>
      <w:szCs w:val="22"/>
    </w:rPr>
  </w:style>
  <w:style w:type="paragraph" w:customStyle="1" w:styleId="EndNoteBibliographyTitle">
    <w:name w:val="EndNote Bibliography Title"/>
    <w:basedOn w:val="Normal"/>
    <w:link w:val="EndNoteBibliographyTitleCar"/>
    <w:rsid w:val="001E59F1"/>
    <w:pPr>
      <w:jc w:val="center"/>
    </w:pPr>
    <w:rPr>
      <w:rFonts w:cs="Times New Roman"/>
    </w:rPr>
  </w:style>
  <w:style w:type="character" w:customStyle="1" w:styleId="EndNoteBibliographyTitleCar">
    <w:name w:val="EndNote Bibliography Title Car"/>
    <w:basedOn w:val="Policepardfaut"/>
    <w:link w:val="EndNoteBibliographyTitle"/>
    <w:rsid w:val="001E59F1"/>
    <w:rPr>
      <w:rFonts w:ascii="Times New Roman" w:eastAsia="MS Mincho" w:hAnsi="Times New Roman" w:cs="Times New Roman"/>
      <w:lang w:eastAsia="fr-FR" w:bidi="hi-IN"/>
    </w:rPr>
  </w:style>
  <w:style w:type="paragraph" w:customStyle="1" w:styleId="EndNoteBibliography">
    <w:name w:val="EndNote Bibliography"/>
    <w:basedOn w:val="Normal"/>
    <w:link w:val="EndNoteBibliographyCar"/>
    <w:rsid w:val="001E59F1"/>
    <w:rPr>
      <w:rFonts w:cs="Times New Roman"/>
    </w:rPr>
  </w:style>
  <w:style w:type="character" w:customStyle="1" w:styleId="EndNoteBibliographyCar">
    <w:name w:val="EndNote Bibliography Car"/>
    <w:basedOn w:val="Policepardfaut"/>
    <w:link w:val="EndNoteBibliography"/>
    <w:rsid w:val="001E59F1"/>
    <w:rPr>
      <w:rFonts w:ascii="Times New Roman" w:eastAsia="MS Mincho" w:hAnsi="Times New Roman" w:cs="Times New Roman"/>
      <w:lang w:eastAsia="fr-FR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1181</Words>
  <Characters>6496</Characters>
  <Application>Microsoft Office Word</Application>
  <DocSecurity>0</DocSecurity>
  <Lines>54</Lines>
  <Paragraphs>15</Paragraphs>
  <ScaleCrop>false</ScaleCrop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 Johri</dc:creator>
  <cp:keywords/>
  <dc:description/>
  <cp:lastModifiedBy>Mira Johri</cp:lastModifiedBy>
  <cp:revision>3</cp:revision>
  <dcterms:created xsi:type="dcterms:W3CDTF">2018-12-24T09:39:00Z</dcterms:created>
  <dcterms:modified xsi:type="dcterms:W3CDTF">2018-12-24T09:39:00Z</dcterms:modified>
</cp:coreProperties>
</file>