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EEETitle"/>
      </w:pPr>
      <w:r>
        <w:t>Horizon-RIC: Projection-Enforced Safety for AI-Controlled Radio Access Networks</w:t>
      </w:r>
    </w:p>
    <w:p>
      <w:pPr>
        <w:pStyle w:val="IEEEAuthors"/>
        <w:spacing w:after="20"/>
      </w:pPr>
      <w:r>
        <w:rPr>
          <w:rFonts w:ascii="Times New Roman" w:hAnsi="Times New Roman"/>
          <w:i w:val="0"/>
          <w:sz w:val="22"/>
        </w:rPr>
        <w:t>Daniel Foo¹, Bowen Shen², Feng Li²</w:t>
      </w:r>
    </w:p>
    <w:p>
      <w:pPr>
        <w:pStyle w:val="IEEEAuthors"/>
        <w:spacing w:after="20"/>
      </w:pPr>
      <w:r>
        <w:rPr>
          <w:rFonts w:ascii="Times New Roman" w:hAnsi="Times New Roman"/>
          <w:i/>
          <w:sz w:val="19"/>
        </w:rPr>
        <w:t>¹PreceptualAI, Singapore · ²Nanyang Technological University, Singapore</w:t>
      </w:r>
    </w:p>
    <w:p>
      <w:pPr>
        <w:pStyle w:val="AbstractHeading"/>
        <w:jc w:val="left"/>
      </w:pPr>
      <w:r>
        <w:t>Executive Summary</w:t>
      </w:r>
    </w:p>
    <w:p>
      <w:pPr>
        <w:spacing w:after="50"/>
        <w:ind w:firstLine="0"/>
        <w:jc w:val="both"/>
      </w:pPr>
      <w:r>
        <w:rPr>
          <w:rFonts w:ascii="Times New Roman" w:hAnsi="Times New Roman"/>
          <w:sz w:val="18"/>
        </w:rPr>
        <w:t>Learned control has crossed into live actuation of licensed spectrum, and vendors have opened their rApp ecosystems to one another, so operators will soon actuate spectrum through planners they neither wrote nor can inspect while keeping sole liability for the licence. Existing assurance methods — constrained reinforcement learning, Lagrangian penalties, confidence gating — lower the probability of a violation without bounding it, and bind the argument to one trained artefact. Horizon-RIC moves the constraint out of the objective and into the topology. A projection operator, the Decision Safety Shield, sits between the planner and the southbound interface: the planner emits a proposal, never an action, and only the projected action exists downstream, so an out-of-licence emission is unrepresentable rather than unlikely. A fail-closed guard chain refuses any emission whose corrections were not audited, and every decision and refusal is appended to a hash-chained, Ed25519-signed store. The property survives retraining, vendor substitution and an adversarial planner. The layer is exercised against third-party open-source O-RAN software on real sockets — 12 of 12 policies acknowledged ENFORCED by the production ric-plt/a1 mediator — and driven by ray-traced propagation for 4096 receivers. Across 8000 decisions, 4658 requested actions were out of licence and none passed the emission boundary; 2442 were demanded by the propagation itself rather than by any attack. We ask the Alliance not for money but for what only it can supply: measured environments through its endorsed labs, a member's planner to shield, and a working-group route for the profile.</w:t>
      </w:r>
    </w:p>
    <w:p>
      <w:pPr>
        <w:spacing w:after="40"/>
        <w:jc w:val="both"/>
      </w:pPr>
      <w:r>
        <w:rPr>
          <w:rFonts w:ascii="Times New Roman" w:hAnsi="Times New Roman"/>
          <w:b/>
          <w:i/>
          <w:sz w:val="18"/>
        </w:rPr>
        <w:t xml:space="preserve">Keywords — </w:t>
      </w:r>
      <w:r>
        <w:rPr>
          <w:rFonts w:ascii="Times New Roman" w:hAnsi="Times New Roman"/>
          <w:sz w:val="18"/>
        </w:rPr>
        <w:t>AI-RAN assurance, O-RAN, action projection, safe reinforcement learning, spectrum compliance, tamper-evident evidence, regulatory liability</w:t>
      </w:r>
    </w:p>
    <w:p>
      <w:pPr>
        <w:spacing w:after="40"/>
        <w:jc w:val="both"/>
      </w:pPr>
      <w:r>
        <w:rPr>
          <w:rFonts w:ascii="Times New Roman" w:hAnsi="Times New Roman"/>
          <w:i/>
          <w:sz w:val="16"/>
        </w:rPr>
        <w:t>All code, gates and result files are public: https://github.com/danielfoojunwei/preceptualai-horizon-ric. The claim ledger at docs/CLAIM_LEDGER.md states, for every number in this proposal, which CI job re-executes it and what is not yet gated.</w:t>
      </w:r>
    </w:p>
    <w:p>
      <w:pPr>
        <w:pBdr>
          <w:bottom w:val="single" w:sz="6" w:space="1" w:color="auto"/>
        </w:pBdr>
        <w:spacing w:before="80" w:after="80"/>
      </w:pPr>
    </w:p>
    <w:p>
      <w:pPr>
        <w:keepNext/>
        <w:spacing w:before="80" w:after="40"/>
        <w:jc w:val="center"/>
      </w:pPr>
      <w:r>
        <w:drawing>
          <wp:inline xmlns:a="http://schemas.openxmlformats.org/drawingml/2006/main" xmlns:pic="http://schemas.openxmlformats.org/drawingml/2006/picture">
            <wp:extent cx="5577840" cy="2117303"/>
            <wp:docPr id="1" name="Picture 1"/>
            <wp:cNvGraphicFramePr>
              <a:graphicFrameLocks noChangeAspect="1"/>
            </wp:cNvGraphicFramePr>
            <a:graphic>
              <a:graphicData uri="http://schemas.openxmlformats.org/drawingml/2006/picture">
                <pic:pic>
                  <pic:nvPicPr>
                    <pic:cNvPr id="0" name="fig-arch.png"/>
                    <pic:cNvPicPr/>
                  </pic:nvPicPr>
                  <pic:blipFill>
                    <a:blip r:embed="rId9"/>
                    <a:stretch>
                      <a:fillRect/>
                    </a:stretch>
                  </pic:blipFill>
                  <pic:spPr>
                    <a:xfrm>
                      <a:off x="0" y="0"/>
                      <a:ext cx="5577840" cy="2117303"/>
                    </a:xfrm>
                    <a:prstGeom prst="rect"/>
                  </pic:spPr>
                </pic:pic>
              </a:graphicData>
            </a:graphic>
          </wp:inline>
        </w:drawing>
      </w:r>
    </w:p>
    <w:p>
      <w:pPr>
        <w:spacing w:after="100"/>
        <w:ind w:left="648" w:right="648"/>
        <w:jc w:val="both"/>
      </w:pPr>
      <w:r>
        <w:rPr>
          <w:rFonts w:ascii="Times New Roman" w:hAnsi="Times New Roman"/>
          <w:b/>
          <w:sz w:val="16"/>
        </w:rPr>
        <w:t xml:space="preserve">Fig. 1.  </w:t>
      </w:r>
      <w:r>
        <w:rPr>
          <w:rFonts w:ascii="Times New Roman" w:hAnsi="Times New Roman"/>
          <w:sz w:val="16"/>
        </w:rPr>
        <w:t>Enforcement topology. The planner is untrusted: its output is a proposal, and only the projected action P(a) leaves the non-real-time plane. The guard chain fails closed — an unaudited correction produces a refusal that never reaches the southbound interface. Southbound, the policy traverses third-party open-source software on real sockets. Every certificate and every refusal is appended to the assurance plane, where a single altered record is localised to its exact chain index.</w:t>
      </w:r>
    </w:p>
    <w:p>
      <w:pPr>
        <w:sectPr>
          <w:type w:val="continuous"/>
          <w:pgSz w:w="12240" w:h="15840"/>
          <w:pgMar w:top="1440" w:right="1080" w:bottom="1440" w:left="1080" w:header="720" w:footer="720" w:gutter="0"/>
          <w:cols w:num="1" w:space="720"/>
          <w:docGrid w:linePitch="360"/>
        </w:sectPr>
      </w:pPr>
    </w:p>
    <w:p>
      <w:pPr>
        <w:keepNext/>
        <w:spacing w:before="120" w:after="60"/>
        <w:jc w:val="center"/>
      </w:pPr>
      <w:r>
        <w:rPr>
          <w:rFonts w:ascii="Times New Roman" w:hAnsi="Times New Roman"/>
          <w:b/>
          <w:sz w:val="18"/>
        </w:rPr>
        <w:t>I.  Problem Statement and Market Relevance</w:t>
      </w:r>
    </w:p>
    <w:p>
      <w:pPr>
        <w:spacing w:after="50"/>
        <w:ind w:firstLine="0"/>
        <w:jc w:val="both"/>
      </w:pPr>
      <w:r>
        <w:rPr>
          <w:rFonts w:ascii="Times New Roman" w:hAnsi="Times New Roman"/>
          <w:sz w:val="18"/>
        </w:rPr>
        <w:t>A transmission that exceeds a licensed EIRP ceiling, or falls outside an assigned block, is a regulatory breach rather than a degraded KPI. Any assurance argument for AI in the RAN that terminates in a probability is therefore the wrong shape for the liability the operator carries. That mismatch, not model accuracy, is the practical reason AI is still deployed in advisory rather than actuating roles.</w:t>
      </w:r>
    </w:p>
    <w:p>
      <w:pPr>
        <w:spacing w:after="50"/>
        <w:ind w:firstLine="317"/>
        <w:jc w:val="both"/>
      </w:pPr>
      <w:r>
        <w:rPr>
          <w:rFonts w:ascii="Times New Roman" w:hAnsi="Times New Roman"/>
          <w:sz w:val="18"/>
        </w:rPr>
        <w:t>The industry has now crossed that line anyway. In Q1 2026 an AI uplink-interference rApp was field-trialled across roughly 1500 5G and 1300 4G live cells, lifting 5G SINR 27% under 10% higher uplink traffic, and was assessed at autonomy Level 3.86 on the path to Level 4 [9]. Level 4 removes the human from the per-decision loop. The same trial validated a third-party rApp over R1, and in March 2026 the two largest RAN vendors opened their SMO marketplace and rApp ecosystem to one another over the same interface [10]. The consequence is structural: operators will increasingly actuate licensed spectrum through planners they did not write and cannot inspect, while retaining sole liability for the licence.</w:t>
      </w:r>
    </w:p>
    <w:p>
      <w:pPr>
        <w:spacing w:after="50"/>
        <w:ind w:firstLine="317"/>
        <w:jc w:val="both"/>
      </w:pPr>
      <w:r>
        <w:rPr>
          <w:rFonts w:ascii="Times New Roman" w:hAnsi="Times New Roman"/>
          <w:i/>
          <w:sz w:val="18"/>
        </w:rPr>
        <w:t xml:space="preserve">Market relevance.  </w:t>
      </w:r>
      <w:r>
        <w:rPr>
          <w:rFonts w:ascii="Times New Roman" w:hAnsi="Times New Roman"/>
          <w:sz w:val="18"/>
        </w:rPr>
        <w:t>The buyer is the operator function that owns spectrum compliance and network assurance, and — symmetrically — the vendor that needs its rApp accepted into someone else's network. Two commercial facts fall out of our own measurements rather than from market assertion. First, the exposure is routine, not exceptional: on real campus geometry 46% of measured receivers require more than the licensed EIRP to close their link, so an unshielded planner breaches the licence on an ordinary day. Second, the control is not a performance tax: wherever the optimum is feasible, enforcement surrenders 0.0 dB, which is what makes it adoptable by the RAN team rather than merely mandated at them. We have no operator pilot and no revenue; converting technical readiness into commercial validation is precisely what WP1 and WP3 are for, and we name it as the weakest part of this proposal rather than dress it up.</w:t>
      </w:r>
    </w:p>
    <w:p>
      <w:pPr>
        <w:spacing w:after="50"/>
        <w:ind w:firstLine="317"/>
        <w:jc w:val="both"/>
      </w:pPr>
      <w:r>
        <w:rPr>
          <w:rFonts w:ascii="Times New Roman" w:hAnsi="Times New Roman"/>
          <w:sz w:val="18"/>
        </w:rPr>
        <w:t>What is missing today is an assurance mechanism indifferent to which planner is installed. Constrained reinforcement learning, Lagrangian penalties and confidence gating all reduce the likelihood of a violation without bounding it, and each binds the argument to one trained artefact: retrain, re-reward or substitute a vendor and the argument must be rebuilt from scratch.</w:t>
      </w:r>
    </w:p>
    <w:p>
      <w:pPr>
        <w:keepNext/>
        <w:spacing w:before="120" w:after="60"/>
        <w:jc w:val="center"/>
      </w:pPr>
      <w:r>
        <w:rPr>
          <w:rFonts w:ascii="Times New Roman" w:hAnsi="Times New Roman"/>
          <w:b/>
          <w:sz w:val="18"/>
        </w:rPr>
        <w:t>II.  Innovative Solution and Technical Approach</w:t>
      </w:r>
    </w:p>
    <w:p>
      <w:pPr>
        <w:spacing w:after="50"/>
        <w:ind w:firstLine="0"/>
        <w:jc w:val="both"/>
      </w:pPr>
      <w:r>
        <w:rPr>
          <w:rFonts w:ascii="Times New Roman" w:hAnsi="Times New Roman"/>
          <w:sz w:val="18"/>
        </w:rPr>
        <w:t>Horizon-RIC takes the constraint out of the objective and puts it in the topology. A projection operator — the Decision Safety Shield — is interposed between the planner and the southbound interface. The planner's output is never an action; it is a proposal a, and only P(a) exists downstream. An out-of-licence action is not penalised, it is unrepresentable at the emission point.</w:t>
      </w:r>
    </w:p>
    <w:p>
      <w:pPr>
        <w:spacing w:after="50"/>
        <w:ind w:firstLine="317"/>
        <w:jc w:val="both"/>
      </w:pPr>
      <w:r>
        <w:rPr>
          <w:rFonts w:ascii="Times New Roman" w:hAnsi="Times New Roman"/>
          <w:sz w:val="18"/>
        </w:rPr>
        <w:t>Three consequences follow that are architectural rather than empirical. First, the bound is worst-case rather than distributional and holds for an arbitrary planner, including a hostile one, because nothing in the argument refers to how the planner was trained. Second, it is auditable per decision: each emission carries a certificate naming the invariants that were violated, the corrections applied and the residual margins, appended to a hash-chained, Ed25519-signed store in which one altered record is localised to its exact index. Third, it is falsifiable: every published gate must be shown to fail under an injected regression, and a gate that cannot fail is treated as no gate.</w:t>
      </w:r>
    </w:p>
    <w:p>
      <w:pPr>
        <w:spacing w:after="50"/>
        <w:ind w:firstLine="317"/>
        <w:jc w:val="both"/>
      </w:pPr>
      <w:r>
        <w:rPr>
          <w:rFonts w:ascii="Times New Roman" w:hAnsi="Times New Roman"/>
          <w:i/>
          <w:sz w:val="18"/>
        </w:rPr>
        <w:t xml:space="preserve">The novelty is not shielding as an idea.  </w:t>
      </w:r>
      <w:r>
        <w:rPr>
          <w:rFonts w:ascii="Times New Roman" w:hAnsi="Times New Roman"/>
          <w:sz w:val="18"/>
        </w:rPr>
        <w:t>Action projection for safe reinforcement learning is established prior art [4], [5], and we claim no priority over it. What is new is its realisation as a standards-facing enforcement plane for licensed spectrum: invariants written in the operator's regulatory vocabulary rather than in a reward function — EIRP ceiling, occupied bandwidth, spectral mask, power-flux density, lawful-intercept reachability, protected-slice capacity floor — composed to a fixed point, wrapped in a fail-closed guard chain, emitted over O-RAN A1/R1 as an ordinary rApp, and evidenced in a form a third party can replay without trusting us.</w:t>
      </w:r>
    </w:p>
    <w:p>
      <w:pPr>
        <w:spacing w:after="50"/>
        <w:ind w:firstLine="317"/>
        <w:jc w:val="both"/>
      </w:pPr>
      <w:r>
        <w:rPr>
          <w:rFonts w:ascii="Times New Roman" w:hAnsi="Times New Roman"/>
          <w:i/>
          <w:sz w:val="18"/>
        </w:rPr>
        <w:t xml:space="preserve">Enforcement path.  </w:t>
      </w:r>
      <w:r>
        <w:rPr>
          <w:rFonts w:ascii="Times New Roman" w:hAnsi="Times New Roman"/>
          <w:sz w:val="18"/>
        </w:rPr>
        <w:t>Fig. 1 shows the decomposition. Telemetry enters the non-real-time plane; the planner proposes; the Shield projects; the guard chain refuses anything whose corrections were not audited; the A1 adapter emits the policy together with its certificate under OAuth2 or mTLS. Southbound, the policy crosses a near-real-time RIC into an xApp and onto the RAN. Certificates and refusals land independently in the assurance plane, so the record of what was refused does not depend on the component that refused it.</w:t>
      </w:r>
    </w:p>
    <w:p>
      <w:pPr>
        <w:spacing w:after="50"/>
        <w:ind w:firstLine="317"/>
        <w:jc w:val="both"/>
      </w:pPr>
      <w:r>
        <w:rPr>
          <w:rFonts w:ascii="Times New Roman" w:hAnsi="Times New Roman"/>
          <w:sz w:val="18"/>
        </w:rPr>
        <w:t>The Shield composes invariants, each supplying an evaluate and a project method, applied until a fixed point is reached so that satisfying one cannot silently violate another. They span regulatory limits and service commitments alike. A protected-slice floor, for example, reserves capacity that no planner can reallocate, restoring it pro rata so the allocation remains a valid simplex rather than a clipped vector; where the floor is unreachable the invariant deliberately stays unsatisfied so the guard chain refuses, rather than emitting an allocation that merely appears compliant.</w:t>
      </w:r>
    </w:p>
    <w:p>
      <w:pPr>
        <w:spacing w:after="50"/>
        <w:ind w:firstLine="317"/>
        <w:jc w:val="both"/>
      </w:pPr>
      <w:r>
        <w:rPr>
          <w:rFonts w:ascii="Times New Roman" w:hAnsi="Times New Roman"/>
          <w:sz w:val="18"/>
        </w:rPr>
        <w:t>Three distinct cryptographic mechanisms carry three distinct claims, and we keep them separate rather than calling them all signing: Ed25519 signs each per-decision safety certificate; RSA-PSS, optionally in an HSM over PKCS#11, signs model and dataset artefacts for provenance; RFC-3161 timestamps anchor the SHA-256 evidence chain to an external time authority.</w:t>
      </w:r>
    </w:p>
    <w:p>
      <w:pPr>
        <w:spacing w:after="50"/>
        <w:ind w:firstLine="317"/>
        <w:jc w:val="both"/>
      </w:pPr>
      <w:r>
        <w:rPr>
          <w:rFonts w:ascii="Times New Roman" w:hAnsi="Times New Roman"/>
          <w:i/>
          <w:sz w:val="18"/>
        </w:rPr>
        <w:t xml:space="preserve">Relation to the learning literature.  </w:t>
      </w:r>
      <w:r>
        <w:rPr>
          <w:rFonts w:ascii="Times New Roman" w:hAnsi="Times New Roman"/>
          <w:sz w:val="18"/>
        </w:rPr>
        <w:t>This work sits on the dynamic spectrum access line developed by two of the present authors with Lam — federated deep reinforcement learning for IoT DSA [1], its hierarchical extension [2], and privacy-preserving spectrum pricing and power control for LEO satellite IoT [3]. That trajectory answers how well, and how safely, the learning itself can be conducted. What it does not address is the emission: an agent that selects a channel and a transmit power has produced an action some component must actuate, and securing or privatising the training pipeline does not constrain it. The relationship is complementary, not competitive — those agents decide which spectrum action is best; this layer ensures whichever is chosen is one the operator is licensed to emit.</w:t>
      </w:r>
    </w:p>
    <w:p>
      <w:pPr>
        <w:keepNext/>
        <w:spacing w:before="120" w:after="60"/>
        <w:jc w:val="center"/>
      </w:pPr>
      <w:r>
        <w:rPr>
          <w:rFonts w:ascii="Times New Roman" w:hAnsi="Times New Roman"/>
          <w:b/>
          <w:sz w:val="18"/>
        </w:rPr>
        <w:t>III.  Evidence Achieved to Date</w:t>
      </w:r>
    </w:p>
    <w:p>
      <w:pPr>
        <w:spacing w:after="50"/>
        <w:ind w:firstLine="0"/>
        <w:jc w:val="both"/>
      </w:pPr>
      <w:r>
        <w:rPr>
          <w:rFonts w:ascii="Times New Roman" w:hAnsi="Times New Roman"/>
          <w:sz w:val="18"/>
        </w:rPr>
        <w:t>Every result below is produced against software or data Horizon-RIC does not control, which is what makes it checkable, and each is re-executed by continuous integration on a clean runner — a committed result file is an assertion about a file, and only a gate makes it evidence about the system.</w:t>
      </w:r>
    </w:p>
    <w:p>
      <w:pPr>
        <w:spacing w:after="50"/>
        <w:ind w:firstLine="317"/>
        <w:jc w:val="both"/>
      </w:pPr>
      <w:r>
        <w:rPr>
          <w:rFonts w:ascii="Times New Roman" w:hAnsi="Times New Roman"/>
          <w:i/>
          <w:sz w:val="18"/>
        </w:rPr>
        <w:t xml:space="preserve">O-RAN interoperability.  </w:t>
      </w:r>
      <w:r>
        <w:rPr>
          <w:rFonts w:ascii="Times New Roman" w:hAnsi="Times New Roman"/>
          <w:sz w:val="18"/>
        </w:rPr>
        <w:t>Policy emission was exercised against the O-RAN Software Community A1 simulator (12/12 accepted) and against the production Go A1 mediator ric-plt/a1 with RMR 4.9.4 driving the official ric-app/hw-python xApp: 12/12 enforceStatus = ENFORCED, confirmed by a three-witness proof across emitter, mediator and xApp logs [13]. A workflow rebuilds RMR, the mediator and the xApp from source on a clean runner and re-asserts the result.</w:t>
      </w:r>
    </w:p>
    <w:p>
      <w:pPr>
        <w:spacing w:after="50"/>
        <w:ind w:firstLine="317"/>
        <w:jc w:val="both"/>
      </w:pPr>
      <w:r>
        <w:rPr>
          <w:rFonts w:ascii="Times New Roman" w:hAnsi="Times New Roman"/>
          <w:i/>
          <w:sz w:val="18"/>
        </w:rPr>
        <w:t xml:space="preserve">Measured propagation.  </w:t>
      </w:r>
      <w:r>
        <w:rPr>
          <w:rFonts w:ascii="Times New Roman" w:hAnsi="Times New Roman"/>
          <w:sz w:val="18"/>
        </w:rPr>
        <w:t>All benchmarks are driven by DeepMIMO [6] ray tracing of the ASU campus at 3.5 GHz — 4096 receivers, six 100 MHz subbands, per-path angular data — bound to a checksum-pinned archive that CI rebuilds and compares field by field. Provenance is enforced rather than asserted: perturbing the measurements must move a benchmark's outputs, and four benchmarks instead reject physically inconsistent input, having independently reconstructed gains from ray geometry.</w:t>
      </w:r>
    </w:p>
    <w:p>
      <w:pPr>
        <w:spacing w:after="50"/>
        <w:ind w:firstLine="317"/>
        <w:jc w:val="both"/>
      </w:pPr>
      <w:r>
        <w:rPr>
          <w:rFonts w:ascii="Times New Roman" w:hAnsi="Times New Roman"/>
          <w:i/>
          <w:sz w:val="18"/>
        </w:rPr>
        <w:t xml:space="preserve">Enforcement under real load.  </w:t>
      </w:r>
      <w:r>
        <w:rPr>
          <w:rFonts w:ascii="Times New Roman" w:hAnsi="Times New Roman"/>
          <w:sz w:val="18"/>
        </w:rPr>
        <w:t>The decisive question is not whether zero out-of-licence actions were emitted but how many were attempted. Over 8000 decisions, each serving a measured receiver on its measured best subband at closed-loop power against its measured path gain, 4658 requests were out of licence and 0 passed the emission boundary (Fig. 2a). The composition matters more than the total: 2216 came from a poisoned planner, but 2442 came from the real geometry alone. A further 461 actions were inside the emission mask yet harmful by adjacent-channel leakage; after projection, 0 (Fig. 2b). Legality is adjudicated by an independent emission-mask and ACLR integral that does not share the Shield's constants, so the result cannot be an artefact of the system grading its own work.</w:t>
      </w:r>
    </w:p>
    <w:p>
      <w:pPr>
        <w:spacing w:after="50"/>
        <w:ind w:firstLine="317"/>
        <w:jc w:val="both"/>
      </w:pPr>
      <w:r>
        <w:rPr>
          <w:rFonts w:ascii="Times New Roman" w:hAnsi="Times New Roman"/>
          <w:i/>
          <w:sz w:val="18"/>
        </w:rPr>
        <w:t xml:space="preserve">Utility is not the price.  </w:t>
      </w:r>
      <w:r>
        <w:rPr>
          <w:rFonts w:ascii="Times New Roman" w:hAnsi="Times New Roman"/>
          <w:sz w:val="18"/>
        </w:rPr>
        <w:t>Where the optimum is feasible, enforcement surrenders 0.0 dB. Because the projection maps every over-ceiling proposal onto the same executed action, the reward observed above the ceiling is constant, so a zero-data constant-power policy is already optimal there and measured learning gain is +0.000000; where an interior optimum exists the same learner gains +0.0096 to +0.0696. Both directions are enforced as gates, so no claim of AI benefit can be registered on a task incapable of showing one.</w:t>
      </w:r>
    </w:p>
    <w:p>
      <w:pPr>
        <w:spacing w:after="50"/>
        <w:ind w:firstLine="317"/>
        <w:jc w:val="both"/>
      </w:pPr>
      <w:r>
        <w:rPr>
          <w:rFonts w:ascii="Times New Roman" w:hAnsi="Times New Roman"/>
          <w:sz w:val="18"/>
        </w:rPr>
        <w:t>The same structure bounds an unrelated threat. White-box adversarial perturbation drives the neural receiver's symbol error up to 85 times the classical baseline, yet realised error stays inside a certified 1 dB envelope of that baseline for every attack in every regime, the worst case being 0.370 dB — without the layer having been coded against any of these attacks (Fig. 2d).</w:t>
      </w:r>
    </w:p>
    <w:p>
      <w:pPr>
        <w:spacing w:after="50"/>
        <w:ind w:firstLine="317"/>
        <w:jc w:val="both"/>
      </w:pPr>
      <w:r>
        <w:rPr>
          <w:rFonts w:ascii="Times New Roman" w:hAnsi="Times New Roman"/>
          <w:i/>
          <w:sz w:val="18"/>
        </w:rPr>
        <w:t xml:space="preserve">Integrity and robust aggregation.  </w:t>
      </w:r>
      <w:r>
        <w:rPr>
          <w:rFonts w:ascii="Times New Roman" w:hAnsi="Times New Roman"/>
          <w:sz w:val="18"/>
        </w:rPr>
        <w:t>Traffic captured over the wire while ten real attacks were executed against a live free5GC standalone core [8] is replayed through the artefact gate byte for byte: 11 of 11 probes detected or blocked, none bypassing. Against a model-replacement attack from 3 of 10 clients, FLTrust [7] attains 11.97 dB coverage RMSE against clean FedAvg's 11.92 dB — parity — where Krum costs 14.46 dB. Under a Rényi accountant at a fixed certified ε = 4.1447, calibrating the clip bound on public data moves utility from 340.12 dB to 14.34 dB without altering the guarantee: the same privacy certificate at 24 times less error.</w:t>
      </w:r>
    </w:p>
    <w:p>
      <w:pPr>
        <w:sectPr>
          <w:type w:val="continuous"/>
          <w:pgSz w:w="12240" w:h="15840"/>
          <w:pgMar w:top="1440" w:right="1080" w:bottom="1440" w:left="1080" w:header="720" w:footer="720" w:gutter="0"/>
          <w:cols w:num="2" w:space="360" w:equalWidth="1"/>
          <w:docGrid w:linePitch="360"/>
        </w:sectPr>
      </w:pPr>
    </w:p>
    <w:p>
      <w:pPr>
        <w:keepNext/>
        <w:spacing w:before="80" w:after="40"/>
        <w:jc w:val="center"/>
      </w:pPr>
      <w:r>
        <w:drawing>
          <wp:inline xmlns:a="http://schemas.openxmlformats.org/drawingml/2006/main" xmlns:pic="http://schemas.openxmlformats.org/drawingml/2006/picture">
            <wp:extent cx="5577840" cy="2193145"/>
            <wp:docPr id="2" name="Picture 2"/>
            <wp:cNvGraphicFramePr>
              <a:graphicFrameLocks noChangeAspect="1"/>
            </wp:cNvGraphicFramePr>
            <a:graphic>
              <a:graphicData uri="http://schemas.openxmlformats.org/drawingml/2006/picture">
                <pic:pic>
                  <pic:nvPicPr>
                    <pic:cNvPr id="0" name="fig-enforcement.png"/>
                    <pic:cNvPicPr/>
                  </pic:nvPicPr>
                  <pic:blipFill>
                    <a:blip r:embed="rId10"/>
                    <a:stretch>
                      <a:fillRect/>
                    </a:stretch>
                  </pic:blipFill>
                  <pic:spPr>
                    <a:xfrm>
                      <a:off x="0" y="0"/>
                      <a:ext cx="5577840" cy="2193145"/>
                    </a:xfrm>
                    <a:prstGeom prst="rect"/>
                  </pic:spPr>
                </pic:pic>
              </a:graphicData>
            </a:graphic>
          </wp:inline>
        </w:drawing>
      </w:r>
    </w:p>
    <w:p>
      <w:pPr>
        <w:spacing w:after="100"/>
        <w:ind w:left="648" w:right="648"/>
        <w:jc w:val="both"/>
      </w:pPr>
      <w:r>
        <w:rPr>
          <w:rFonts w:ascii="Times New Roman" w:hAnsi="Times New Roman"/>
          <w:b/>
          <w:sz w:val="16"/>
        </w:rPr>
        <w:t xml:space="preserve">Fig. 2.  </w:t>
      </w:r>
      <w:r>
        <w:rPr>
          <w:rFonts w:ascii="Times New Roman" w:hAnsi="Times New Roman"/>
          <w:sz w:val="16"/>
        </w:rPr>
        <w:t>Measured outcomes on ray-traced propagation, all four panels from the same CI-gated runs. (a) Of 4658 out-of-licence action requests over 8000 decisions, 2442 are demanded by the measured geometry alone and only 2216 by a poisoned planner — the exposure is an everyday one, not an attack artefact. (b) Actions inside the emission mask but harmful by adjacent-channel leakage, adjudicated by an oracle that does not share the Shield's constants. (c) Worst emission over the same run against a 33 dBm licence. (d) Worst-case symbol-error penalty of the neural receiver relative to the certified classical baseline, over five attacks in three propagation regimes; the Shield holds it inside a 1 dB envelope. Scales are per-panel: counts and dBm never share an axis.</w:t>
      </w:r>
    </w:p>
    <w:p>
      <w:pPr>
        <w:sectPr>
          <w:type w:val="continuous"/>
          <w:pgSz w:w="12240" w:h="15840"/>
          <w:pgMar w:top="1440" w:right="1080" w:bottom="1440" w:left="1080" w:header="720" w:footer="720" w:gutter="0"/>
          <w:cols w:num="1" w:space="720"/>
          <w:docGrid w:linePitch="360"/>
        </w:sectPr>
      </w:pPr>
    </w:p>
    <w:p>
      <w:pPr>
        <w:keepNext/>
        <w:spacing w:before="120" w:after="60"/>
        <w:jc w:val="center"/>
      </w:pPr>
      <w:r>
        <w:rPr>
          <w:rFonts w:ascii="Times New Roman" w:hAnsi="Times New Roman"/>
          <w:b/>
          <w:sz w:val="18"/>
        </w:rPr>
        <w:t>IV.  Deployment Feasibility</w:t>
      </w:r>
    </w:p>
    <w:p>
      <w:pPr>
        <w:spacing w:after="50"/>
        <w:ind w:firstLine="0"/>
        <w:jc w:val="both"/>
      </w:pPr>
      <w:r>
        <w:rPr>
          <w:rFonts w:ascii="Times New Roman" w:hAnsi="Times New Roman"/>
          <w:sz w:val="18"/>
        </w:rPr>
        <w:t>Enforcement is transparent to the standard interface. The 12/12 ENFORCED result above was obtained without patching the mediator or the xApp: the layer changes what may be emitted, not how it is emitted, so an operator adopts it without renegotiating its southbound contracts.</w:t>
      </w:r>
    </w:p>
    <w:p>
      <w:pPr>
        <w:spacing w:after="50"/>
        <w:ind w:firstLine="317"/>
        <w:jc w:val="both"/>
      </w:pPr>
      <w:r>
        <w:rPr>
          <w:rFonts w:ascii="Times New Roman" w:hAnsi="Times New Roman"/>
          <w:sz w:val="18"/>
        </w:rPr>
        <w:t>The system ships as an ordinary non-real-time rApp: container images; a Helm chart whose rendered templates are asserted by tests; EIAP and MantaRay onboarding descriptors written against the publicly documented surface; OAuth2 and mTLS credential paths; and a TimescaleDB evidence backend live-tested to SQL-level tamper detection. It is torch-free and installs on stock Python with no accelerator. Enforcement itself costs tens of microseconds per candidate action, so it sits well inside a non-real-time control period with room to spare.</w:t>
      </w:r>
    </w:p>
    <w:p>
      <w:pPr>
        <w:spacing w:after="50"/>
        <w:ind w:firstLine="317"/>
        <w:jc w:val="both"/>
      </w:pPr>
      <w:r>
        <w:rPr>
          <w:rFonts w:ascii="Times New Roman" w:hAnsi="Times New Roman"/>
          <w:sz w:val="18"/>
        </w:rPr>
        <w:t>It is also exercised against the open stack it must coexist with: the O-RAN SC A1 mediator and hw-python xApp [13], FlexRIC for E2SM-KPM, and the Linux Foundation's OCUDU CU/DU built from source with its E2 agent confirmed. Eight verification workflows gate every change; one rebuilds the licence-gated measurements from the pinned archive and re-verifies every published figure field by field.</w:t>
      </w:r>
    </w:p>
    <w:p>
      <w:pPr>
        <w:spacing w:after="50"/>
        <w:ind w:firstLine="317"/>
        <w:jc w:val="both"/>
      </w:pPr>
      <w:r>
        <w:rPr>
          <w:rFonts w:ascii="Times New Roman" w:hAnsi="Times New Roman"/>
          <w:i/>
          <w:sz w:val="18"/>
        </w:rPr>
        <w:t xml:space="preserve">What is not proven.  </w:t>
      </w:r>
      <w:r>
        <w:rPr>
          <w:rFonts w:ascii="Times New Roman" w:hAnsi="Times New Roman"/>
          <w:sz w:val="18"/>
        </w:rPr>
        <w:t>No vendor platform has onboarded this — the EIAP and MantaRay packages are wire-contract tests against documented surfaces, not interoperability results. The RAN software is open-source rather than vendor equipment, the propagation is one scenario, and the OCUDU E2 join runs over a disclosed UDP transport substitution because the host kernel has no SCTP. The single external dependency this programme cannot supply for itself is access to a measured environment, which is why we ask the Alliance for it directly.</w:t>
      </w:r>
    </w:p>
    <w:p>
      <w:pPr>
        <w:keepNext/>
        <w:spacing w:before="120" w:after="60"/>
        <w:jc w:val="center"/>
      </w:pPr>
      <w:r>
        <w:rPr>
          <w:rFonts w:ascii="Times New Roman" w:hAnsi="Times New Roman"/>
          <w:b/>
          <w:sz w:val="18"/>
        </w:rPr>
        <w:t>V.  Twelve-Month Timeline and Milestones</w:t>
      </w:r>
    </w:p>
    <w:p>
      <w:pPr>
        <w:spacing w:after="50"/>
        <w:ind w:firstLine="0"/>
        <w:jc w:val="both"/>
      </w:pPr>
      <w:r>
        <w:rPr>
          <w:rFonts w:ascii="Times New Roman" w:hAnsi="Times New Roman"/>
          <w:sz w:val="18"/>
        </w:rPr>
        <w:t>Fig. 3 gives the schedule, owners and exit gates. Each gate is a falsifiable criterion; where a gate fails, the failure is published.</w:t>
      </w:r>
    </w:p>
    <w:p>
      <w:pPr>
        <w:spacing w:after="50"/>
        <w:ind w:firstLine="317"/>
        <w:jc w:val="both"/>
      </w:pPr>
      <w:r>
        <w:rPr>
          <w:rFonts w:ascii="Times New Roman" w:hAnsi="Times New Roman"/>
          <w:sz w:val="18"/>
        </w:rPr>
        <w:t>WP1, months 1–4 — conformance profile. The invariant and safety-certificate schema are mapped onto O-RAN A1 and E2 and released as a draft profile. Gate G1: a second, independently written planner is shielded without modification to either the planner or the Shield.</w:t>
      </w:r>
    </w:p>
    <w:p>
      <w:pPr>
        <w:spacing w:after="50"/>
        <w:ind w:firstLine="317"/>
        <w:jc w:val="both"/>
      </w:pPr>
      <w:r>
        <w:rPr>
          <w:rFonts w:ascii="Times New Roman" w:hAnsi="Times New Roman"/>
          <w:sz w:val="18"/>
        </w:rPr>
        <w:t>WP2, months 3–6 — second scenario and band. An independent ray-traced scenario with genuine frequency selectivity, at a different carrier. Gate G2: every published gate reproduces without retuning any constant, or the discrepancy is published.</w:t>
      </w:r>
    </w:p>
    <w:p>
      <w:pPr>
        <w:spacing w:after="50"/>
        <w:ind w:firstLine="317"/>
        <w:jc w:val="both"/>
      </w:pPr>
      <w:r>
        <w:rPr>
          <w:rFonts w:ascii="Times New Roman" w:hAnsi="Times New Roman"/>
          <w:sz w:val="18"/>
        </w:rPr>
        <w:t>WP3, months 6–9 — measured coexistence. The modelled incumbent is replaced by a multi-cell or bench-measured interference source. Gate G3: learning gain over the zero-data constant-power policy is positive on measured data — the honest test of whether AI contributes anything in this regime.</w:t>
      </w:r>
    </w:p>
    <w:p>
      <w:pPr>
        <w:spacing w:after="50"/>
        <w:ind w:firstLine="317"/>
        <w:jc w:val="both"/>
      </w:pPr>
      <w:r>
        <w:rPr>
          <w:rFonts w:ascii="Times New Roman" w:hAnsi="Times New Roman"/>
          <w:sz w:val="18"/>
        </w:rPr>
        <w:t>WP4, months 8–12 — audit-grade export and E2 closed loop. Evidence export in a form a spectrum authority can verify offline, and near-real-time enforcement via E2SM-RC. Gate G4: an external party replicates the headline enforcement result from the published archive without contacting us.</w:t>
      </w:r>
    </w:p>
    <w:p>
      <w:pPr>
        <w:keepNext/>
        <w:spacing w:before="80" w:after="40"/>
        <w:jc w:val="center"/>
      </w:pPr>
      <w:r>
        <w:drawing>
          <wp:inline xmlns:a="http://schemas.openxmlformats.org/drawingml/2006/main" xmlns:pic="http://schemas.openxmlformats.org/drawingml/2006/picture">
            <wp:extent cx="3067812" cy="1784697"/>
            <wp:docPr id="3" name="Picture 3"/>
            <wp:cNvGraphicFramePr>
              <a:graphicFrameLocks noChangeAspect="1"/>
            </wp:cNvGraphicFramePr>
            <a:graphic>
              <a:graphicData uri="http://schemas.openxmlformats.org/drawingml/2006/picture">
                <pic:pic>
                  <pic:nvPicPr>
                    <pic:cNvPr id="0" name="fig-plan.png"/>
                    <pic:cNvPicPr/>
                  </pic:nvPicPr>
                  <pic:blipFill>
                    <a:blip r:embed="rId11"/>
                    <a:stretch>
                      <a:fillRect/>
                    </a:stretch>
                  </pic:blipFill>
                  <pic:spPr>
                    <a:xfrm>
                      <a:off x="0" y="0"/>
                      <a:ext cx="3067812" cy="1784697"/>
                    </a:xfrm>
                    <a:prstGeom prst="rect"/>
                  </pic:spPr>
                </pic:pic>
              </a:graphicData>
            </a:graphic>
          </wp:inline>
        </w:drawing>
      </w:r>
    </w:p>
    <w:p>
      <w:pPr>
        <w:spacing w:after="100"/>
        <w:ind w:left="0" w:right="0"/>
        <w:jc w:val="both"/>
      </w:pPr>
      <w:r>
        <w:rPr>
          <w:rFonts w:ascii="Times New Roman" w:hAnsi="Times New Roman"/>
          <w:b/>
          <w:sz w:val="14"/>
        </w:rPr>
        <w:t xml:space="preserve">Fig. 3.  </w:t>
      </w:r>
      <w:r>
        <w:rPr>
          <w:rFonts w:ascii="Times New Roman" w:hAnsi="Times New Roman"/>
          <w:sz w:val="14"/>
        </w:rPr>
        <w:t>Work packages, owners (DF Daniel Foo, BS Bowen Shen, FL Feng Li) and the four exit gates. Each gate is a falsifiable criterion, not a report; a gate that cannot fail is treated as no gate.</w:t>
      </w:r>
    </w:p>
    <w:p>
      <w:pPr>
        <w:keepNext/>
        <w:spacing w:before="120" w:after="60"/>
        <w:jc w:val="center"/>
      </w:pPr>
      <w:r>
        <w:rPr>
          <w:rFonts w:ascii="Times New Roman" w:hAnsi="Times New Roman"/>
          <w:b/>
          <w:sz w:val="18"/>
        </w:rPr>
        <w:t>VI.  Team, and What We Ask of the Alliance</w:t>
      </w:r>
    </w:p>
    <w:p>
      <w:pPr>
        <w:spacing w:after="50"/>
        <w:ind w:firstLine="0"/>
        <w:jc w:val="both"/>
      </w:pPr>
      <w:r>
        <w:rPr>
          <w:rFonts w:ascii="Times New Roman" w:hAnsi="Times New Roman"/>
          <w:sz w:val="18"/>
        </w:rPr>
        <w:t>Daniel Foo (PreceptualAI, Singapore) is the architect and implementer of the enforcement layer, the evidence chain and the O-RAN integration, and leads WP1 and WP4. Bowen Shen (Nanyang Technological University) contributes the federated DSA and satellite-IoT spectrum work this layer sits on [1], [3] and leads WP2. Dr Feng Li (Nanyang Technological University) contributes the dynamic spectrum access and secure-learning programme [1], [2], [3] and leads WP3, with oversight of the measurement methodology across all packages.</w:t>
      </w:r>
    </w:p>
    <w:p>
      <w:pPr>
        <w:spacing w:after="50"/>
        <w:ind w:firstLine="317"/>
        <w:jc w:val="both"/>
      </w:pPr>
      <w:r>
        <w:rPr>
          <w:rFonts w:ascii="Times New Roman" w:hAnsi="Times New Roman"/>
          <w:sz w:val="18"/>
        </w:rPr>
        <w:t>The engineering is not the binding constraint — the layer is built, and the twelve-month plan above is deliverable by this team. What we cannot manufacture for ourselves is access, and it happens to be exactly what the Alliance has spent two years assembling. Its endorsed labs with Keysight Technologies, Northeastern University, Singapore University of Technology and Design and VIAVI Solutions exist for data creation and benchmarking [15]; its Data-for-AI initiative is defining a structured data-management and collection pipeline drawing on both real-time systems and simulators [15]; its Test Methodology initiative is developing standardised evaluation metrics for AI-driven RAN solutions [15]; and its AI-for-RAN working group is the natural home for an assurance profile [14]. Table I sets out what we ask against what we return.</w:t>
      </w:r>
    </w:p>
    <w:p>
      <w:pPr>
        <w:spacing w:after="50"/>
        <w:ind w:firstLine="317"/>
        <w:jc w:val="both"/>
      </w:pPr>
      <w:r>
        <w:rPr>
          <w:rFonts w:ascii="Times New Roman" w:hAnsi="Times New Roman"/>
          <w:sz w:val="18"/>
        </w:rPr>
        <w:t>The asks are ordered by how much they change the evidence. A measured interference source converts our weakest result — a modelled incumbent — into a measured one, and it is the only gate in the plan we cannot attempt alone. A member's planner converts G1 from a demonstration into an industrial result: we can shield a planner without reading it, which means a member risks no disclosure by letting us try, and a failure would be the most useful outcome in the programme because it would name an invariant the profile is missing. An operator willing to run the layer in shadow mode — emitting certificates and refusals with nothing actuated — would close the one criterion on which we are honestly weak.</w:t>
      </w:r>
    </w:p>
    <w:p>
      <w:pPr>
        <w:spacing w:after="50"/>
        <w:ind w:firstLine="317"/>
        <w:jc w:val="both"/>
      </w:pPr>
      <w:r>
        <w:rPr>
          <w:rFonts w:ascii="Times New Roman" w:hAnsi="Times New Roman"/>
          <w:i/>
          <w:sz w:val="18"/>
        </w:rPr>
        <w:t xml:space="preserve">Execution risk.  </w:t>
      </w:r>
      <w:r>
        <w:rPr>
          <w:rFonts w:ascii="Times New Roman" w:hAnsi="Times New Roman"/>
          <w:sz w:val="18"/>
        </w:rPr>
        <w:t>The dominant risk is WP3: if no measured interference source or bench slot can be secured, gate G3 cannot be attempted. The mitigation is sequencing — WP1, WP2 and WP4 carry no external dependency and deliver the profile, the second scenario and the export format regardless — plus a documented fallback to a multi-cell ray-traced incumbent, which we would publish as the weaker result it is rather than present as measured. The second risk is that gate G1 exposes a planner our invariant set cannot express; that outcome is a publishable finding about the profile's coverage, and the schema is versioned so it can absorb it.</w:t>
      </w:r>
    </w:p>
    <w:p>
      <w:pPr>
        <w:keepNext/>
        <w:spacing w:after="30"/>
        <w:jc w:val="both"/>
      </w:pPr>
      <w:r>
        <w:rPr>
          <w:rFonts w:ascii="Times New Roman" w:hAnsi="Times New Roman"/>
          <w:b/>
          <w:sz w:val="15"/>
        </w:rPr>
        <w:t xml:space="preserve">Table I.  </w:t>
      </w:r>
      <w:r>
        <w:rPr>
          <w:rFonts w:ascii="Times New Roman" w:hAnsi="Times New Roman"/>
          <w:sz w:val="15"/>
        </w:rPr>
        <w:t>What we ask of the Alliance, and what goes back in return. No funding is requested.</w:t>
      </w:r>
    </w:p>
    <w:tbl>
      <w:tblPr>
        <w:tblStyle w:val="TableGrid"/>
        <w:tblW w:type="auto" w:w="0"/>
        <w:jc w:val="center"/>
        <w:tblLayout w:type="fixed"/>
        <w:tblLook w:firstColumn="1" w:firstRow="1" w:lastColumn="0" w:lastRow="0" w:noHBand="0" w:noVBand="1" w:val="04A0"/>
      </w:tblPr>
      <w:tblGrid>
        <w:gridCol w:w="8640"/>
      </w:tblGrid>
      <w:tr>
        <w:trPr>
          <w:cantSplit/>
        </w:trPr>
        <w:tc>
          <w:tcPr>
            <w:tcW w:type="dxa" w:w="4860"/>
          </w:tcPr>
          <w:p>
            <w:pPr>
              <w:spacing w:before="10" w:after="10"/>
              <w:jc w:val="both"/>
            </w:pPr>
            <w:r/>
            <w:r>
              <w:rPr>
                <w:rFonts w:ascii="Times New Roman" w:hAnsi="Times New Roman"/>
                <w:b/>
                <w:sz w:val="14"/>
              </w:rPr>
              <w:t xml:space="preserve">Bench time in an endorsed lab, with a real interference source  </w:t>
            </w:r>
            <w:r>
              <w:rPr>
                <w:rFonts w:ascii="Times New Roman" w:hAnsi="Times New Roman"/>
                <w:sz w:val="14"/>
              </w:rPr>
              <w:t>Unblocks WP3 and gate G3 — the only gate this team cannot attempt alone. Replaces the modelled incumbent, the weakest input in the evidence base. In return: the measurement scripts, the pinned manifests and the raw results, published whether or not they favour us.</w:t>
            </w:r>
          </w:p>
        </w:tc>
      </w:tr>
      <w:tr>
        <w:trPr>
          <w:cantSplit/>
        </w:trPr>
        <w:tc>
          <w:tcPr>
            <w:tcW w:type="dxa" w:w="4860"/>
          </w:tcPr>
          <w:p>
            <w:pPr>
              <w:spacing w:before="10" w:after="10"/>
              <w:jc w:val="both"/>
            </w:pPr>
            <w:r/>
            <w:r>
              <w:rPr>
                <w:rFonts w:ascii="Times New Roman" w:hAnsi="Times New Roman"/>
                <w:b/>
                <w:sz w:val="14"/>
              </w:rPr>
              <w:t xml:space="preserve">A member's planner to shield, under NDA or in the open  </w:t>
            </w:r>
            <w:r>
              <w:rPr>
                <w:rFonts w:ascii="Times New Roman" w:hAnsi="Times New Roman"/>
                <w:sz w:val="14"/>
              </w:rPr>
              <w:t>Turns G1 from a demonstration into an industrial result. The layer never reads the planner, so a member discloses nothing by letting us try. A failure is the most useful outcome available: it names an invariant the profile is missing. In return: the member gets a per-decision compliance record for its own planner, at no change to it.</w:t>
            </w:r>
          </w:p>
        </w:tc>
      </w:tr>
      <w:tr>
        <w:trPr>
          <w:cantSplit/>
        </w:trPr>
        <w:tc>
          <w:tcPr>
            <w:tcW w:type="dxa" w:w="4860"/>
          </w:tcPr>
          <w:p>
            <w:pPr>
              <w:spacing w:before="10" w:after="10"/>
              <w:jc w:val="both"/>
            </w:pPr>
            <w:r/>
            <w:r>
              <w:rPr>
                <w:rFonts w:ascii="Times New Roman" w:hAnsi="Times New Roman"/>
                <w:b/>
                <w:sz w:val="14"/>
              </w:rPr>
              <w:t xml:space="preserve">An operator willing to run the layer in shadow mode  </w:t>
            </w:r>
            <w:r>
              <w:rPr>
                <w:rFonts w:ascii="Times New Roman" w:hAnsi="Times New Roman"/>
                <w:sz w:val="14"/>
              </w:rPr>
              <w:t>Certificates and refusals emitted, nothing actuated. Closes the one criterion on which this proposal is honestly weak — no operator pilot. In return: an audit-grade evidence chain over the operator's own control path, and any defect we find reported before it matters.</w:t>
            </w:r>
          </w:p>
        </w:tc>
      </w:tr>
      <w:tr>
        <w:trPr>
          <w:cantSplit/>
        </w:trPr>
        <w:tc>
          <w:tcPr>
            <w:tcW w:type="dxa" w:w="4860"/>
          </w:tcPr>
          <w:p>
            <w:pPr>
              <w:spacing w:before="10" w:after="10"/>
              <w:jc w:val="both"/>
            </w:pPr>
            <w:r/>
            <w:r>
              <w:rPr>
                <w:rFonts w:ascii="Times New Roman" w:hAnsi="Times New Roman"/>
                <w:b/>
                <w:sz w:val="14"/>
              </w:rPr>
              <w:t xml:space="preserve">Alignment with the Data-for-AI collection pipeline  </w:t>
            </w:r>
            <w:r>
              <w:rPr>
                <w:rFonts w:ascii="Times New Roman" w:hAnsi="Times New Roman"/>
                <w:sz w:val="14"/>
              </w:rPr>
              <w:t>Our benchmarks are bound to checksum-pinned archives and our gates fail when the input moves; that discipline is directly reusable as a provenance layer for Alliance datasets. In return: the manifest and data-dependence tooling, and the per-decision evidence chain as a candidate dataset format for assurance work.</w:t>
            </w:r>
          </w:p>
        </w:tc>
      </w:tr>
      <w:tr>
        <w:trPr>
          <w:cantSplit/>
        </w:trPr>
        <w:tc>
          <w:tcPr>
            <w:tcW w:type="dxa" w:w="4860"/>
          </w:tcPr>
          <w:p>
            <w:pPr>
              <w:spacing w:before="10" w:after="10"/>
              <w:jc w:val="both"/>
            </w:pPr>
            <w:r/>
            <w:r>
              <w:rPr>
                <w:rFonts w:ascii="Times New Roman" w:hAnsi="Times New Roman"/>
                <w:b/>
                <w:sz w:val="14"/>
              </w:rPr>
              <w:t xml:space="preserve">A route into Test Methodology and the AI-for-RAN working group  </w:t>
            </w:r>
            <w:r>
              <w:rPr>
                <w:rFonts w:ascii="Times New Roman" w:hAnsi="Times New Roman"/>
                <w:sz w:val="14"/>
              </w:rPr>
              <w:t>The invariant and certificate schema are offered as a candidate assurance profile, and our falsification rule — every published gate must be shown to fail under an injected regression — is offered as a methodology contribution. In return: the profile, the schemas and the harness, permissively licensed.</w:t>
            </w:r>
          </w:p>
        </w:tc>
      </w:tr>
      <w:tr>
        <w:trPr>
          <w:cantSplit/>
        </w:trPr>
        <w:tc>
          <w:tcPr>
            <w:tcW w:type="dxa" w:w="4860"/>
          </w:tcPr>
          <w:p>
            <w:pPr>
              <w:spacing w:before="10" w:after="10"/>
              <w:jc w:val="both"/>
            </w:pPr>
            <w:r/>
            <w:r>
              <w:rPr>
                <w:rFonts w:ascii="Times New Roman" w:hAnsi="Times New Roman"/>
                <w:b/>
                <w:sz w:val="14"/>
              </w:rPr>
              <w:t xml:space="preserve">A second measured scenario or band from a member environment  </w:t>
            </w:r>
            <w:r>
              <w:rPr>
                <w:rFonts w:ascii="Times New Roman" w:hAnsi="Times New Roman"/>
                <w:sz w:val="14"/>
              </w:rPr>
              <w:t>Unblocks WP2 and gate G2, which asks whether every gate reproduces without retuning a single constant. In return: a published reproduction report, including any constant that turns out to have been tuned.</w:t>
            </w:r>
          </w:p>
        </w:tc>
      </w:tr>
    </w:tbl>
    <w:p>
      <w:pPr>
        <w:keepNext/>
        <w:spacing w:before="120" w:after="60"/>
        <w:jc w:val="center"/>
      </w:pPr>
      <w:r>
        <w:rPr>
          <w:rFonts w:ascii="Times New Roman" w:hAnsi="Times New Roman"/>
          <w:b/>
          <w:sz w:val="18"/>
        </w:rPr>
        <w:t>VII.  Expected Deliverables and Impact</w:t>
      </w:r>
    </w:p>
    <w:p>
      <w:pPr>
        <w:spacing w:after="50"/>
        <w:ind w:firstLine="0"/>
        <w:jc w:val="both"/>
      </w:pPr>
      <w:r>
        <w:rPr>
          <w:rFonts w:ascii="Times New Roman" w:hAnsi="Times New Roman"/>
          <w:sz w:val="18"/>
        </w:rPr>
        <w:t>Deliverables map onto the output types the Call anticipates. Prototype: the enforcement layer running as a non-real-time rApp with a live demonstration — policy emission through the production A1 mediator into a real xApp, including a Shield-corrected over-power proposal refused rather than emitted — which runs unattended and is available to the Alliance on request. Algorithms and models: the invariant algebra with its fixed-point composition, the protected-slice floor, and the certificate schema. Benchmarking-ready code: the harness in which every gate is proven to fail under injected regression, runnable by a third party from a pinned archive. Datasets: the pinned measurement manifests and the per-decision evidence chains, with the audit-grade export format from WP4. Standardization contributions: the invariant and certificate schema offered as a candidate assurance profile for enforceable service objectives, and the protected-slice floor as a concrete realisation of capacity an AI cannot reallocate.</w:t>
      </w:r>
    </w:p>
    <w:p>
      <w:pPr>
        <w:spacing w:after="50"/>
        <w:ind w:firstLine="317"/>
        <w:jc w:val="both"/>
      </w:pPr>
      <w:r>
        <w:rPr>
          <w:rFonts w:ascii="Times New Roman" w:hAnsi="Times New Roman"/>
          <w:i/>
          <w:sz w:val="18"/>
        </w:rPr>
        <w:t xml:space="preserve">Impact.  </w:t>
      </w:r>
      <w:r>
        <w:rPr>
          <w:rFonts w:ascii="Times New Roman" w:hAnsi="Times New Roman"/>
          <w:sz w:val="18"/>
        </w:rPr>
        <w:t>The effect is to move a class of deployment blocker from statistical argument to architectural guarantee. An operator can adopt a stronger and less interpretable planner without enlarging regulatory exposure, because exposure is bounded by its own control path rather than by a supplier's model — and can demonstrate that bound to a third party from the evidence chain rather than from validation statistics. A vendor gains a way to have its planner accepted into a network that will not inspect it. Published negative results are part of the deliverable, not an accident of it: the layer, schemas, evidence store and harness are developed in the open under a permissive licence with public CI, and every figure here is reproducible from a checksum-pinned archive.</w:t>
      </w:r>
    </w:p>
    <w:p>
      <w:pPr>
        <w:keepNext/>
        <w:spacing w:before="120" w:after="60"/>
        <w:jc w:val="center"/>
      </w:pPr>
      <w:r>
        <w:rPr>
          <w:rFonts w:ascii="Times New Roman" w:hAnsi="Times New Roman"/>
          <w:b/>
          <w:sz w:val="18"/>
        </w:rPr>
        <w:t>VIII.  Alignment with AI-RAN Alliance Priorities</w:t>
      </w:r>
    </w:p>
    <w:p>
      <w:pPr>
        <w:spacing w:after="50"/>
        <w:ind w:firstLine="0"/>
        <w:jc w:val="both"/>
      </w:pPr>
      <w:r>
        <w:rPr>
          <w:rFonts w:ascii="Times New Roman" w:hAnsi="Times New Roman"/>
          <w:sz w:val="18"/>
        </w:rPr>
        <w:t>The Alliance's problem is not whether AI can improve the RAN — the field trials have answered that — but what has to exist before an operator can let it actuate. This proposal supplies the missing artefact on the assurance side, and is deliberately shaped to be adoptable rather than merely publishable: vendor-neutral by construction, because the layer never reads the planner and so binds a member's model without that member disclosing anything about it; standards-facing, because the schema is offered as a profile rather than a product; and packaged for the exact integration path the March 2026 marketplace reciprocity created [10].</w:t>
      </w:r>
    </w:p>
    <w:p>
      <w:pPr>
        <w:spacing w:after="50"/>
        <w:ind w:firstLine="317"/>
        <w:jc w:val="both"/>
      </w:pPr>
      <w:r>
        <w:rPr>
          <w:rFonts w:ascii="Times New Roman" w:hAnsi="Times New Roman"/>
          <w:sz w:val="18"/>
        </w:rPr>
        <w:t>It also lands on the work the Alliance is already doing rather than beside it. The AI-for-RAN working group's remit is spectral and energy efficiency [14] — which is precisely where a learned planner wants to push against a licence, and therefore precisely where an enforcement layer earns its place. Test Methodology is developing standardised evaluation metrics for AI-driven RAN solutions [15]; our falsification rule, that every published gate must be shown to fail under an injected regression, is offered as a contribution to it, because a metric no one can fail is not a metric. Data-for-AI is building a structured collection pipeline across real-time systems and simulators [15]; the pinned-manifest and data-dependence tooling that binds our results to their inputs transfers directly, and the per-decision evidence chain is itself a candidate dataset format for assurance work.</w:t>
      </w:r>
    </w:p>
    <w:p>
      <w:pPr>
        <w:spacing w:after="50"/>
        <w:ind w:firstLine="317"/>
        <w:jc w:val="both"/>
      </w:pPr>
      <w:r>
        <w:rPr>
          <w:rFonts w:ascii="Times New Roman" w:hAnsi="Times New Roman"/>
          <w:sz w:val="18"/>
        </w:rPr>
        <w:t>The timing is set by the standards calendar. ITU-R M.2160 places security, privacy and resilience among the four design principles that apply to every IMT-2030 usage scenario and admits AI as a first-class scenario driver [11]; 3GPP opened 6G study in Release 20 with normative Release 21 work expected around end-2028 [12]. An assurance profile intended to be normative must exist, be implemented, and have survived falsification before that window closes. Table II maps this document onto the five official evaluation criteria.</w:t>
      </w:r>
    </w:p>
    <w:p>
      <w:pPr>
        <w:keepNext/>
        <w:spacing w:after="30"/>
        <w:jc w:val="both"/>
      </w:pPr>
      <w:r>
        <w:rPr>
          <w:rFonts w:ascii="Times New Roman" w:hAnsi="Times New Roman"/>
          <w:b/>
          <w:sz w:val="15"/>
        </w:rPr>
        <w:t xml:space="preserve">Table II.  </w:t>
      </w:r>
      <w:r>
        <w:rPr>
          <w:rFonts w:ascii="Times New Roman" w:hAnsi="Times New Roman"/>
          <w:sz w:val="15"/>
        </w:rPr>
        <w:t>The five official evaluation criteria, and where this proposal answers them.</w:t>
      </w:r>
    </w:p>
    <w:tbl>
      <w:tblPr>
        <w:tblStyle w:val="TableGrid"/>
        <w:tblW w:type="auto" w:w="0"/>
        <w:jc w:val="center"/>
        <w:tblLayout w:type="fixed"/>
        <w:tblLook w:firstColumn="1" w:firstRow="1" w:lastColumn="0" w:lastRow="0" w:noHBand="0" w:noVBand="1" w:val="04A0"/>
      </w:tblPr>
      <w:tblGrid>
        <w:gridCol w:w="8640"/>
      </w:tblGrid>
      <w:tr>
        <w:trPr>
          <w:cantSplit/>
        </w:trPr>
        <w:tc>
          <w:tcPr>
            <w:tcW w:type="dxa" w:w="4860"/>
          </w:tcPr>
          <w:p>
            <w:pPr>
              <w:spacing w:before="10" w:after="10"/>
              <w:jc w:val="both"/>
            </w:pPr>
            <w:r/>
            <w:r>
              <w:rPr>
                <w:rFonts w:ascii="Times New Roman" w:hAnsi="Times New Roman"/>
                <w:b/>
                <w:sz w:val="14"/>
              </w:rPr>
              <w:t xml:space="preserve">1.  Innovation and technical merit  </w:t>
            </w:r>
            <w:r>
              <w:rPr>
                <w:rFonts w:ascii="Times New Roman" w:hAnsi="Times New Roman"/>
                <w:sz w:val="14"/>
              </w:rPr>
              <w:t>§II, §III — enforcement as a projection on the action space, with prior art [4], [5] conceded; every headline number re-executed by CI, and each gate proven to fail under injected regression.</w:t>
            </w:r>
          </w:p>
        </w:tc>
      </w:tr>
      <w:tr>
        <w:trPr>
          <w:cantSplit/>
        </w:trPr>
        <w:tc>
          <w:tcPr>
            <w:tcW w:type="dxa" w:w="4860"/>
          </w:tcPr>
          <w:p>
            <w:pPr>
              <w:spacing w:before="10" w:after="10"/>
              <w:jc w:val="both"/>
            </w:pPr>
            <w:r/>
            <w:r>
              <w:rPr>
                <w:rFonts w:ascii="Times New Roman" w:hAnsi="Times New Roman"/>
                <w:b/>
                <w:sz w:val="14"/>
              </w:rPr>
              <w:t xml:space="preserve">2.  Relevance to AI-RAN challenges  </w:t>
            </w:r>
            <w:r>
              <w:rPr>
                <w:rFonts w:ascii="Times New Roman" w:hAnsi="Times New Roman"/>
                <w:sz w:val="14"/>
              </w:rPr>
              <w:t>§I, §VIII — addresses the blocker that keeps AI advisory rather than actuating, at the moment autonomy Level 4 [9] and R1 marketplace reciprocity [10] transfer planner authorship away from the operator.</w:t>
            </w:r>
          </w:p>
        </w:tc>
      </w:tr>
      <w:tr>
        <w:trPr>
          <w:cantSplit/>
        </w:trPr>
        <w:tc>
          <w:tcPr>
            <w:tcW w:type="dxa" w:w="4860"/>
          </w:tcPr>
          <w:p>
            <w:pPr>
              <w:spacing w:before="10" w:after="10"/>
              <w:jc w:val="both"/>
            </w:pPr>
            <w:r/>
            <w:r>
              <w:rPr>
                <w:rFonts w:ascii="Times New Roman" w:hAnsi="Times New Roman"/>
                <w:b/>
                <w:sz w:val="14"/>
              </w:rPr>
              <w:t xml:space="preserve">3.  Commercial impact and feasibility  </w:t>
            </w:r>
            <w:r>
              <w:rPr>
                <w:rFonts w:ascii="Times New Roman" w:hAnsi="Times New Roman"/>
                <w:sz w:val="14"/>
              </w:rPr>
              <w:t>§I, §IV — 0.0 dB utility cost where the optimum is feasible; ships as an ordinary rApp with Helm, OAuth2/mTLS and onboarding descriptors. Weakest criterion: no operator pilot and no revenue yet.</w:t>
            </w:r>
          </w:p>
        </w:tc>
      </w:tr>
      <w:tr>
        <w:trPr>
          <w:cantSplit/>
        </w:trPr>
        <w:tc>
          <w:tcPr>
            <w:tcW w:type="dxa" w:w="4860"/>
          </w:tcPr>
          <w:p>
            <w:pPr>
              <w:spacing w:before="10" w:after="10"/>
              <w:jc w:val="both"/>
            </w:pPr>
            <w:r/>
            <w:r>
              <w:rPr>
                <w:rFonts w:ascii="Times New Roman" w:hAnsi="Times New Roman"/>
                <w:b/>
                <w:sz w:val="14"/>
              </w:rPr>
              <w:t xml:space="preserve">4.  Strength of execution plan  </w:t>
            </w:r>
            <w:r>
              <w:rPr>
                <w:rFonts w:ascii="Times New Roman" w:hAnsi="Times New Roman"/>
                <w:sz w:val="14"/>
              </w:rPr>
              <w:t>§V, §VI — four work packages with named owners and falsifiable exit gates, three of which carry no external dependency, plus a stated dominant risk with its mitigation and fallback.</w:t>
            </w:r>
          </w:p>
        </w:tc>
      </w:tr>
      <w:tr>
        <w:trPr>
          <w:cantSplit/>
        </w:trPr>
        <w:tc>
          <w:tcPr>
            <w:tcW w:type="dxa" w:w="4860"/>
          </w:tcPr>
          <w:p>
            <w:pPr>
              <w:spacing w:before="10" w:after="10"/>
              <w:jc w:val="both"/>
            </w:pPr>
            <w:r/>
            <w:r>
              <w:rPr>
                <w:rFonts w:ascii="Times New Roman" w:hAnsi="Times New Roman"/>
                <w:b/>
                <w:sz w:val="14"/>
              </w:rPr>
              <w:t xml:space="preserve">5.  Alignment with AI-RAN priorities  </w:t>
            </w:r>
            <w:r>
              <w:rPr>
                <w:rFonts w:ascii="Times New Roman" w:hAnsi="Times New Roman"/>
                <w:sz w:val="14"/>
              </w:rPr>
              <w:t>§VI, §VII, §VIII — open, permissively licensed, pre-competitive; the schema offered as a candidate assurance profile to AI-for-RAN [14], the falsification rule offered to Test Methodology and the provenance tooling to Data-for-AI [15], ahead of the Release 21 window [11], [12].</w:t>
            </w:r>
          </w:p>
        </w:tc>
      </w:tr>
    </w:tbl>
    <w:p>
      <w:pPr>
        <w:keepNext/>
        <w:spacing w:before="120" w:after="60"/>
        <w:jc w:val="center"/>
      </w:pPr>
      <w:r>
        <w:rPr>
          <w:rFonts w:ascii="Times New Roman" w:hAnsi="Times New Roman"/>
          <w:b/>
          <w:sz w:val="18"/>
        </w:rPr>
        <w:t>IX.  Evidence Boundary and What Is Not Claimed</w:t>
      </w:r>
    </w:p>
    <w:p>
      <w:pPr>
        <w:spacing w:after="50"/>
        <w:ind w:firstLine="0"/>
        <w:jc w:val="both"/>
      </w:pPr>
      <w:r>
        <w:rPr>
          <w:rFonts w:ascii="Times New Roman" w:hAnsi="Times New Roman"/>
          <w:sz w:val="18"/>
        </w:rPr>
        <w:t>We state the boundary precisely, because a proposal that overstates it cannot be checked. The propagation is site-specific ray tracing, not over-the-air capture; it is a single scenario; the RAN software is open-source rather than vendor equipment; the incumbent in the coexistence analysis is modelled. Live-network, vendor-interoperability, RF-conformance and carrier-scale properties are not claimed. “No action reached the radio” would overstate what was tested; the correct form is that no non-compliant action passed the Shield's software emission boundary in the tested O-RAN control path. The structural claim holds within the enumerated invariants, correctly configured limits, trusted telemetry and the guarded adapter path — it does not cover a missing invariant, a misconfigured licence limit, compromised telemetry, or a bypass around the adapter. No 6G or IMT-2030 compliance is claimed or claimable: no such specification yet exists. Closing these gaps is what WP2 and WP3 are for.</w:t>
      </w:r>
    </w:p>
    <w:p>
      <w:pPr>
        <w:spacing w:after="50"/>
        <w:ind w:firstLine="317"/>
        <w:jc w:val="both"/>
      </w:pPr>
      <w:r>
        <w:rPr>
          <w:rFonts w:ascii="Times New Roman" w:hAnsi="Times New Roman"/>
          <w:sz w:val="18"/>
        </w:rPr>
        <w:t>What the work most needs from members is measured environments: multi-cell measurements, a real incumbent, or bench time. Results, including failures, would be co-published.</w:t>
      </w:r>
    </w:p>
    <w:p>
      <w:pPr>
        <w:keepNext/>
        <w:spacing w:before="120" w:after="60"/>
        <w:jc w:val="center"/>
      </w:pPr>
      <w:r>
        <w:rPr>
          <w:rFonts w:ascii="Times New Roman" w:hAnsi="Times New Roman"/>
          <w:b/>
          <w:sz w:val="18"/>
        </w:rPr>
        <w:t>References</w:t>
      </w:r>
    </w:p>
    <w:p>
      <w:pPr>
        <w:spacing w:after="20"/>
        <w:ind w:left="230" w:hanging="230"/>
        <w:jc w:val="left"/>
      </w:pPr>
      <w:r>
        <w:rPr>
          <w:rFonts w:ascii="Times New Roman" w:hAnsi="Times New Roman"/>
          <w:sz w:val="14"/>
        </w:rPr>
        <w:t>[1]  F. Li, B. Shen, J. Guo, K.-Y. Lam, G. Wei, and L. Wang, “Dynamic spectrum access for Internet-of-Things based on federated deep reinforcement learning,” IEEE Trans. Veh. Technol., vol. 71, no. 7, pp. 7952–7956, 2022.</w:t>
      </w:r>
    </w:p>
    <w:p>
      <w:pPr>
        <w:spacing w:after="20"/>
        <w:ind w:left="230" w:hanging="230"/>
        <w:jc w:val="left"/>
      </w:pPr>
      <w:r>
        <w:rPr>
          <w:rFonts w:ascii="Times New Roman" w:hAnsi="Times New Roman"/>
          <w:sz w:val="14"/>
        </w:rPr>
        <w:t>[2]  S. Zhang, K.-Y. Lam, B. Shen, L. Wang, and F. Li, “Dynamic spectrum access for Internet-of-Things with hierarchical federated deep reinforcement learning,” Ad Hoc Networks, vol. 149, 103257, 2023.</w:t>
      </w:r>
    </w:p>
    <w:p>
      <w:pPr>
        <w:spacing w:after="20"/>
        <w:ind w:left="230" w:hanging="230"/>
        <w:jc w:val="left"/>
      </w:pPr>
      <w:r>
        <w:rPr>
          <w:rFonts w:ascii="Times New Roman" w:hAnsi="Times New Roman"/>
          <w:sz w:val="14"/>
        </w:rPr>
        <w:t>[3]  B. Shen, K.-Y. Lam, F. Li, and L. Wang, “Privacy-aware spectrum pricing and power control optimization for LEO satellite Internet-of-Things,” IEEE Trans. Wireless Commun., 2025.</w:t>
      </w:r>
    </w:p>
    <w:p>
      <w:pPr>
        <w:spacing w:after="20"/>
        <w:ind w:left="230" w:hanging="230"/>
        <w:jc w:val="left"/>
      </w:pPr>
      <w:r>
        <w:rPr>
          <w:rFonts w:ascii="Times New Roman" w:hAnsi="Times New Roman"/>
          <w:sz w:val="14"/>
        </w:rPr>
        <w:t>[4]  M. Alshiekh, R. Bloem, R. Ehlers, B. Könighofer, S. Niekum, and U. Topcu, “Safe reinforcement learning via shielding,” in Proc. AAAI, 2018.</w:t>
      </w:r>
    </w:p>
    <w:p>
      <w:pPr>
        <w:spacing w:after="20"/>
        <w:ind w:left="230" w:hanging="230"/>
        <w:jc w:val="left"/>
      </w:pPr>
      <w:r>
        <w:rPr>
          <w:rFonts w:ascii="Times New Roman" w:hAnsi="Times New Roman"/>
          <w:sz w:val="14"/>
        </w:rPr>
        <w:t>[5]  G. Dalal, K. Dvijotham, M. Vecerik, T. Hester, C. Paduraru, and Y. Tassa, “Safe exploration in continuous action spaces,” arXiv:1801.08757, 2018.</w:t>
      </w:r>
    </w:p>
    <w:p>
      <w:pPr>
        <w:spacing w:after="20"/>
        <w:ind w:left="230" w:hanging="230"/>
        <w:jc w:val="left"/>
      </w:pPr>
      <w:r>
        <w:rPr>
          <w:rFonts w:ascii="Times New Roman" w:hAnsi="Times New Roman"/>
          <w:sz w:val="14"/>
        </w:rPr>
        <w:t>[6]  A. Alkhateeb, “DeepMIMO: A generic deep learning dataset for millimeter wave and massive MIMO applications,” in Proc. Inf. Theory and Applications Workshop, 2019.</w:t>
      </w:r>
    </w:p>
    <w:p>
      <w:pPr>
        <w:spacing w:after="20"/>
        <w:ind w:left="230" w:hanging="230"/>
        <w:jc w:val="left"/>
      </w:pPr>
      <w:r>
        <w:rPr>
          <w:rFonts w:ascii="Times New Roman" w:hAnsi="Times New Roman"/>
          <w:sz w:val="14"/>
        </w:rPr>
        <w:t>[7]  X. Cao, M. Fang, J. Liu, and N. Z. Gong, “FLTrust: Byzantine-robust federated learning via trust bootstrapping,” in Proc. NDSS, 2021.</w:t>
      </w:r>
    </w:p>
    <w:p>
      <w:pPr>
        <w:spacing w:after="20"/>
        <w:ind w:left="230" w:hanging="230"/>
        <w:jc w:val="left"/>
      </w:pPr>
      <w:r>
        <w:rPr>
          <w:rFonts w:ascii="Times New Roman" w:hAnsi="Times New Roman"/>
          <w:sz w:val="14"/>
        </w:rPr>
        <w:t>[8]  C. Coldwell et al., “Machine learning 5G attack detection in programmable logic,” in Proc. IEEE Globecom Workshops, 2022. Dataset: 5GAD-2022, Idaho National Laboratory, doi: 10.11578/dc.20220811.1.</w:t>
      </w:r>
    </w:p>
    <w:p>
      <w:pPr>
        <w:spacing w:after="20"/>
        <w:ind w:left="230" w:hanging="230"/>
        <w:jc w:val="left"/>
      </w:pPr>
      <w:r>
        <w:rPr>
          <w:rFonts w:ascii="Times New Roman" w:hAnsi="Times New Roman"/>
          <w:sz w:val="14"/>
        </w:rPr>
        <w:t>[9]  Ericsson, “Ericsson and KDDI succeed in AI uplink optimization field trial, advancing toward Autonomous Networks Level 4,” press release, Feb. 2026.</w:t>
      </w:r>
    </w:p>
    <w:p>
      <w:pPr>
        <w:spacing w:after="20"/>
        <w:ind w:left="230" w:hanging="230"/>
        <w:jc w:val="left"/>
      </w:pPr>
      <w:r>
        <w:rPr>
          <w:rFonts w:ascii="Times New Roman" w:hAnsi="Times New Roman"/>
          <w:sz w:val="14"/>
        </w:rPr>
        <w:t>[10]  Nokia, “Nokia and Ericsson strengthen cooperation to accelerate towards Autonomous Networks,” press release, 1 Mar. 2026. Reciprocal SMO Marketplace and rApp Ecosystem membership over R1.</w:t>
      </w:r>
    </w:p>
    <w:p>
      <w:pPr>
        <w:spacing w:after="20"/>
        <w:ind w:left="230" w:hanging="230"/>
        <w:jc w:val="left"/>
      </w:pPr>
      <w:r>
        <w:rPr>
          <w:rFonts w:ascii="Times New Roman" w:hAnsi="Times New Roman"/>
          <w:sz w:val="14"/>
        </w:rPr>
        <w:t>[11]  Recommendation ITU-R M.2160-0, “Framework and overall objectives of the future development of IMT for 2030 and beyond,” ITU-R, Nov. 2023.</w:t>
      </w:r>
    </w:p>
    <w:p>
      <w:pPr>
        <w:spacing w:after="20"/>
        <w:ind w:left="230" w:hanging="230"/>
        <w:jc w:val="left"/>
      </w:pPr>
      <w:r>
        <w:rPr>
          <w:rFonts w:ascii="Times New Roman" w:hAnsi="Times New Roman"/>
          <w:sz w:val="14"/>
        </w:rPr>
        <w:t>[12]  3GPP, “Release 20,” www.3gpp.org/specifications-technologies/releases/release-20.</w:t>
      </w:r>
    </w:p>
    <w:p>
      <w:pPr>
        <w:spacing w:after="20"/>
        <w:ind w:left="230" w:hanging="230"/>
        <w:jc w:val="left"/>
      </w:pPr>
      <w:r>
        <w:rPr>
          <w:rFonts w:ascii="Times New Roman" w:hAnsi="Times New Roman"/>
          <w:sz w:val="14"/>
        </w:rPr>
        <w:t>[13]  O-RAN Software Community, “RIC platform A1 mediator (ric-plt/a1) and ric-app/hw-python,” gerrit.o-ran-sc.org.</w:t>
      </w:r>
    </w:p>
    <w:p>
      <w:pPr>
        <w:spacing w:after="20"/>
        <w:ind w:left="230" w:hanging="230"/>
        <w:jc w:val="left"/>
      </w:pPr>
      <w:r>
        <w:rPr>
          <w:rFonts w:ascii="Times New Roman" w:hAnsi="Times New Roman"/>
          <w:sz w:val="14"/>
        </w:rPr>
        <w:t>[14]  AI-RAN Alliance working groups: AI-for-RAN, AI-and-RAN and AI-on-RAN. [Online]. Available: ai-ran.org</w:t>
      </w:r>
    </w:p>
    <w:p>
      <w:pPr>
        <w:spacing w:after="20"/>
        <w:ind w:left="230" w:hanging="230"/>
        <w:jc w:val="left"/>
      </w:pPr>
      <w:r>
        <w:rPr>
          <w:rFonts w:ascii="Times New Roman" w:hAnsi="Times New Roman"/>
          <w:sz w:val="14"/>
        </w:rPr>
        <w:t>[15]  AI-RAN Alliance, “Data-for-AI” and “Test Methodology” initiatives, and four AI-RAN Alliance-endorsed labs with Keysight Technologies, Northeastern University, Singapore University of Technology and Design, and VIAVI Solutions, for data creation and benchmarking. Announced at MWC 2025; 75 members across 17 countries at that date.</w:t>
      </w:r>
    </w:p>
    <w:sectPr w:rsidR="00FC693F" w:rsidRPr="0006063C" w:rsidSect="00034616">
      <w:type w:val="continuous"/>
      <w:pgSz w:w="12240" w:h="15840"/>
      <w:pgMar w:top="1440" w:right="1080" w:bottom="1440" w:left="1080" w:header="720" w:footer="720" w:gutter="0"/>
      <w:cols w:num="2" w:space="36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cs="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Title">
    <w:name w:val="IEEETitle"/>
    <w:basedOn w:val="Normal"/>
    <w:pPr>
      <w:spacing w:after="120"/>
      <w:jc w:val="center"/>
    </w:pPr>
    <w:rPr>
      <w:rFonts w:ascii="Times New Roman" w:hAnsi="Times New Roman"/>
      <w:b w:val="0"/>
      <w:sz w:val="48"/>
    </w:rPr>
  </w:style>
  <w:style w:type="paragraph" w:customStyle="1" w:styleId="IEEEAuthors">
    <w:name w:val="IEEEAuthors"/>
    <w:basedOn w:val="Normal"/>
    <w:pPr>
      <w:jc w:val="center"/>
    </w:pPr>
    <w:rPr>
      <w:rFonts w:ascii="Times New Roman" w:hAnsi="Times New Roman"/>
      <w:sz w:val="22"/>
    </w:rPr>
  </w:style>
  <w:style w:type="paragraph" w:customStyle="1" w:styleId="AbstractHeading">
    <w:name w:val="AbstractHeading"/>
    <w:basedOn w:val="Normal"/>
    <w:pPr>
      <w:spacing w:before="120" w:after="40"/>
    </w:pPr>
    <w:rPr>
      <w:rFonts w:ascii="Times New Roman" w:hAnsi="Times New Roman"/>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