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4536" w:leader="none"/>
        </w:tabs>
        <w:rPr>
          <w:sz w:val="2"/>
          <w:lang w:val="lt-LT"/>
        </w:rPr>
      </w:pPr>
      <w:r>
        <w:rPr>
          <w:sz w:val="2"/>
          <w:lang w:val="lt-LT"/>
        </w:rPr>
      </w:r>
      <w:bookmarkStart w:id="0" w:name="_GoBack"/>
      <w:bookmarkStart w:id="1" w:name="_GoBack"/>
      <w:bookmarkEnd w:id="1"/>
    </w:p>
    <w:tbl>
      <w:tblPr>
        <w:tblW w:w="9498" w:type="dxa"/>
        <w:jc w:val="left"/>
        <w:tblInd w:w="109" w:type="dxa"/>
        <w:tblCellMar>
          <w:top w:w="0" w:type="dxa"/>
          <w:left w:w="108" w:type="dxa"/>
          <w:bottom w:w="0" w:type="dxa"/>
          <w:right w:w="108" w:type="dxa"/>
        </w:tblCellMar>
        <w:tblLook w:noVBand="0" w:val="00a0" w:noHBand="0" w:lastColumn="0" w:firstColumn="1" w:lastRow="0" w:firstRow="1"/>
      </w:tblPr>
      <w:tblGrid>
        <w:gridCol w:w="4252"/>
        <w:gridCol w:w="424"/>
        <w:gridCol w:w="4822"/>
      </w:tblGrid>
      <w:tr>
        <w:trPr>
          <w:trHeight w:val="1055" w:hRule="exact"/>
        </w:trPr>
        <w:tc>
          <w:tcPr>
            <w:tcW w:w="9498" w:type="dxa"/>
            <w:gridSpan w:val="3"/>
            <w:tcBorders/>
            <w:shd w:fill="auto" w:val="clear"/>
          </w:tcPr>
          <w:p>
            <w:pPr>
              <w:pStyle w:val="Normal"/>
              <w:spacing w:before="0" w:after="360"/>
              <w:jc w:val="center"/>
              <w:rPr>
                <w:color w:val="000000"/>
                <w:lang w:val="lt-LT"/>
              </w:rPr>
            </w:pPr>
            <w:r>
              <w:rPr/>
              <w:drawing>
                <wp:inline distT="0" distB="0" distL="0" distR="9525">
                  <wp:extent cx="504825" cy="571500"/>
                  <wp:effectExtent l="0" t="0" r="0" b="0"/>
                  <wp:docPr id="1" name="Picture 1" descr="herbas-L_spalv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rbas-L_spalvotas"/>
                          <pic:cNvPicPr>
                            <a:picLocks noChangeAspect="1" noChangeArrowheads="1"/>
                          </pic:cNvPicPr>
                        </pic:nvPicPr>
                        <pic:blipFill>
                          <a:blip r:embed="rId2"/>
                          <a:stretch>
                            <a:fillRect/>
                          </a:stretch>
                        </pic:blipFill>
                        <pic:spPr bwMode="auto">
                          <a:xfrm>
                            <a:off x="0" y="0"/>
                            <a:ext cx="504825" cy="571500"/>
                          </a:xfrm>
                          <a:prstGeom prst="rect">
                            <a:avLst/>
                          </a:prstGeom>
                        </pic:spPr>
                      </pic:pic>
                    </a:graphicData>
                  </a:graphic>
                </wp:inline>
              </w:drawing>
            </w:r>
          </w:p>
        </w:tc>
      </w:tr>
      <w:tr>
        <w:trPr>
          <w:trHeight w:val="930" w:hRule="exact"/>
        </w:trPr>
        <w:tc>
          <w:tcPr>
            <w:tcW w:w="9498" w:type="dxa"/>
            <w:gridSpan w:val="3"/>
            <w:tcBorders/>
            <w:shd w:fill="auto" w:val="clear"/>
          </w:tcPr>
          <w:p>
            <w:pPr>
              <w:pStyle w:val="Heading1"/>
              <w:rPr>
                <w:vanish/>
                <w:color w:val="000000"/>
              </w:rPr>
            </w:pPr>
            <w:r>
              <w:rPr/>
              <w:t>LIETUVOS BANKAS</w:t>
            </w:r>
          </w:p>
        </w:tc>
      </w:tr>
      <w:tr>
        <w:trPr>
          <w:cantSplit w:val="true"/>
        </w:trPr>
        <w:tc>
          <w:tcPr>
            <w:tcW w:w="4252" w:type="dxa"/>
            <w:tcBorders/>
            <w:shd w:fill="auto" w:val="clear"/>
          </w:tcPr>
          <w:p>
            <w:pPr>
              <w:pStyle w:val="Normal"/>
              <w:rPr>
                <w:sz w:val="24"/>
                <w:lang w:val="lt-LT"/>
              </w:rPr>
            </w:pPr>
            <w:r>
              <w:rPr>
                <w:sz w:val="24"/>
                <w:lang w:val="lt-LT"/>
              </w:rPr>
              <w:t>Lietuvos Respublikos trišalei tarybai</w:t>
            </w:r>
          </w:p>
        </w:tc>
        <w:tc>
          <w:tcPr>
            <w:tcW w:w="424" w:type="dxa"/>
            <w:tcBorders/>
            <w:shd w:fill="auto" w:val="clear"/>
          </w:tcPr>
          <w:p>
            <w:pPr>
              <w:pStyle w:val="Normal"/>
              <w:jc w:val="right"/>
              <w:rPr>
                <w:sz w:val="24"/>
                <w:lang w:val="lt-LT"/>
              </w:rPr>
            </w:pPr>
            <w:r>
              <w:rPr>
                <w:sz w:val="24"/>
                <w:lang w:val="lt-LT"/>
              </w:rPr>
            </w:r>
          </w:p>
          <w:p>
            <w:pPr>
              <w:pStyle w:val="Normal"/>
              <w:keepNext w:val="true"/>
              <w:numPr>
                <w:ilvl w:val="0"/>
                <w:numId w:val="0"/>
              </w:numPr>
              <w:jc w:val="both"/>
              <w:outlineLvl w:val="1"/>
              <w:rPr>
                <w:sz w:val="24"/>
                <w:lang w:val="lt-LT"/>
              </w:rPr>
            </w:pPr>
            <w:r>
              <w:rPr>
                <w:sz w:val="24"/>
                <w:lang w:val="lt-LT"/>
              </w:rPr>
              <w:t>Į</w:t>
            </w:r>
          </w:p>
        </w:tc>
        <w:tc>
          <w:tcPr>
            <w:tcW w:w="4822" w:type="dxa"/>
            <w:tcBorders/>
            <w:shd w:fill="auto" w:val="clear"/>
          </w:tcPr>
          <w:p>
            <w:pPr>
              <w:pStyle w:val="Normal"/>
              <w:rPr/>
            </w:pPr>
            <w:r>
              <w:rPr>
                <w:sz w:val="24"/>
                <w:lang w:val="lt-LT"/>
              </w:rPr>
              <w:fldChar w:fldCharType="begin"/>
            </w:r>
            <w:r>
              <w:rPr>
                <w:sz w:val="24"/>
              </w:rPr>
              <w:instrText> DOCPROPERTY "dok_data"</w:instrText>
            </w:r>
            <w:r>
              <w:rPr>
                <w:sz w:val="24"/>
              </w:rPr>
              <w:fldChar w:fldCharType="separate"/>
            </w:r>
            <w:r>
              <w:rPr>
                <w:sz w:val="24"/>
              </w:rPr>
              <w:t>    </w:t>
            </w:r>
            <w:r>
              <w:rPr>
                <w:sz w:val="24"/>
              </w:rPr>
              <w:fldChar w:fldCharType="end"/>
            </w:r>
            <w:r>
              <w:rPr>
                <w:sz w:val="24"/>
                <w:lang w:val="lt-LT"/>
              </w:rPr>
              <w:t xml:space="preserve"> </w:t>
            </w:r>
            <w:r>
              <w:rPr>
                <w:sz w:val="24"/>
                <w:lang w:val="lt-LT"/>
              </w:rPr>
              <w:t xml:space="preserve">Nr. </w:t>
            </w:r>
            <w:r>
              <w:rPr>
                <w:sz w:val="24"/>
                <w:lang w:val="lt-LT"/>
              </w:rPr>
              <w:fldChar w:fldCharType="begin"/>
            </w:r>
            <w:r>
              <w:rPr>
                <w:sz w:val="24"/>
              </w:rPr>
              <w:instrText> DOCPROPERTY "reg_nr"</w:instrText>
            </w:r>
            <w:r>
              <w:rPr>
                <w:sz w:val="24"/>
              </w:rPr>
              <w:fldChar w:fldCharType="separate"/>
            </w:r>
            <w:r>
              <w:rPr>
                <w:sz w:val="24"/>
              </w:rPr>
              <w:t>    </w:t>
            </w:r>
            <w:r>
              <w:rPr>
                <w:sz w:val="24"/>
              </w:rPr>
              <w:fldChar w:fldCharType="end"/>
            </w:r>
          </w:p>
          <w:p>
            <w:pPr>
              <w:pStyle w:val="Normal"/>
              <w:rPr>
                <w:sz w:val="24"/>
                <w:lang w:val="lt-LT"/>
              </w:rPr>
            </w:pPr>
            <w:r>
              <w:rPr>
                <w:sz w:val="24"/>
                <w:lang w:val="lt-LT"/>
              </w:rPr>
              <w:t>2018-08-02 Nr. (33.4-52)SD-4335</w:t>
            </w:r>
          </w:p>
          <w:p>
            <w:pPr>
              <w:pStyle w:val="Normal"/>
              <w:rPr>
                <w:sz w:val="24"/>
                <w:lang w:val="lt-LT"/>
              </w:rPr>
            </w:pPr>
            <w:r>
              <w:rPr>
                <w:sz w:val="24"/>
                <w:lang w:val="lt-LT"/>
              </w:rPr>
            </w:r>
          </w:p>
        </w:tc>
      </w:tr>
      <w:tr>
        <w:trPr/>
        <w:tc>
          <w:tcPr>
            <w:tcW w:w="9498" w:type="dxa"/>
            <w:gridSpan w:val="3"/>
            <w:tcBorders/>
            <w:shd w:fill="auto" w:val="clear"/>
          </w:tcPr>
          <w:p>
            <w:pPr>
              <w:pStyle w:val="Normal"/>
              <w:rPr>
                <w:b/>
                <w:b/>
                <w:sz w:val="24"/>
                <w:lang w:val="lt-LT"/>
              </w:rPr>
            </w:pPr>
            <w:r>
              <w:rPr>
                <w:b/>
                <w:bCs/>
                <w:sz w:val="24"/>
                <w:lang w:val="lt-LT"/>
              </w:rPr>
              <w:t>DĖL</w:t>
            </w:r>
            <w:r>
              <w:rPr>
                <w:b/>
                <w:sz w:val="24"/>
                <w:lang w:val="lt-LT"/>
              </w:rPr>
              <w:t xml:space="preserve"> </w:t>
            </w:r>
            <w:r>
              <w:rPr>
                <w:b/>
                <w:bCs/>
                <w:sz w:val="24"/>
                <w:lang w:val="lt-LT"/>
              </w:rPr>
              <w:t>PAPILDOMOS INFORMACIJOS DĖL MMA SKAIČIAVIMO METODIKOS PARENGIMO</w:t>
            </w:r>
          </w:p>
        </w:tc>
      </w:tr>
    </w:tbl>
    <w:p>
      <w:pPr>
        <w:pStyle w:val="Normal"/>
        <w:rPr>
          <w:sz w:val="24"/>
          <w:lang w:val="lt-LT"/>
        </w:rPr>
      </w:pPr>
      <w:r>
        <w:rPr>
          <w:sz w:val="24"/>
          <w:lang w:val="lt-LT"/>
        </w:rPr>
      </w:r>
    </w:p>
    <w:p>
      <w:pPr>
        <w:pStyle w:val="Normal"/>
        <w:rPr>
          <w:sz w:val="24"/>
          <w:lang w:val="lt-LT"/>
        </w:rPr>
      </w:pPr>
      <w:r>
        <w:rPr>
          <w:sz w:val="24"/>
          <w:lang w:val="lt-LT"/>
        </w:rPr>
      </w:r>
    </w:p>
    <w:p>
      <w:pPr>
        <w:pStyle w:val="Normal"/>
        <w:rPr>
          <w:sz w:val="24"/>
          <w:lang w:val="lt-LT"/>
        </w:rPr>
      </w:pPr>
      <w:r>
        <w:rPr>
          <w:sz w:val="24"/>
          <w:lang w:val="lt-LT"/>
        </w:rPr>
      </w:r>
    </w:p>
    <w:p>
      <w:pPr>
        <w:pStyle w:val="Normal"/>
        <w:ind w:firstLine="426"/>
        <w:rPr>
          <w:sz w:val="24"/>
          <w:lang w:val="lt-LT"/>
        </w:rPr>
      </w:pPr>
      <w:r>
        <w:rPr>
          <w:sz w:val="24"/>
          <w:lang w:val="lt-LT"/>
        </w:rPr>
        <w:t>Pateikiame Lietuvos banko atsakymus į Lietuvos Respublikos trišalės tarybos pateiktus klausimus dėl MMA skaičiavimo metodikos.</w:t>
      </w:r>
    </w:p>
    <w:p>
      <w:pPr>
        <w:pStyle w:val="Normal"/>
        <w:rPr>
          <w:sz w:val="24"/>
          <w:lang w:val="lt-LT"/>
        </w:rPr>
      </w:pPr>
      <w:r>
        <w:rPr>
          <w:sz w:val="24"/>
          <w:lang w:val="lt-LT"/>
        </w:rPr>
      </w:r>
    </w:p>
    <w:p>
      <w:pPr>
        <w:pStyle w:val="Normal"/>
        <w:jc w:val="both"/>
        <w:rPr>
          <w:sz w:val="24"/>
          <w:lang w:val="lt-LT"/>
        </w:rPr>
      </w:pPr>
      <w:r>
        <w:rPr>
          <w:b/>
          <w:sz w:val="24"/>
          <w:lang w:val="lt-LT"/>
        </w:rPr>
        <w:t>1. Prašome paaiškinti, dėl kokių priežasčių nuo 2009 m. nuosekliai didėja nereguliarių premijų dalis VDU? Kokios yra Lietuvos banko prognozės šiam kintamajam sekantiems 3 metams?</w:t>
      </w:r>
      <w:r>
        <w:rPr>
          <w:sz w:val="24"/>
          <w:lang w:val="lt-LT"/>
        </w:rPr>
        <w:t xml:space="preserve"> </w:t>
      </w:r>
    </w:p>
    <w:p>
      <w:pPr>
        <w:pStyle w:val="Normal"/>
        <w:jc w:val="both"/>
        <w:rPr>
          <w:sz w:val="24"/>
          <w:lang w:val="lt-LT"/>
        </w:rPr>
      </w:pPr>
      <w:r>
        <w:rPr>
          <w:sz w:val="24"/>
          <w:lang w:val="lt-LT"/>
        </w:rPr>
      </w:r>
    </w:p>
    <w:p>
      <w:pPr>
        <w:pStyle w:val="Normal"/>
        <w:jc w:val="both"/>
        <w:rPr>
          <w:sz w:val="24"/>
          <w:lang w:val="lt-LT"/>
        </w:rPr>
      </w:pPr>
      <w:r>
        <w:rPr>
          <w:sz w:val="24"/>
          <w:lang w:val="lt-LT"/>
        </w:rPr>
        <w:t>Visų pirma, paminėtina, kad nereguliarios išmokos sudaro santykinai nedidelę vidutinio darbo užmokesčio (VDU) dalį – nuo 2004 m. ji neviršijo 8 proc. Manome, kad VDU nereguliarių išmokų dalis yra sparčiai augančios Lietuvos ekonomikos ir įtampos darbo rinkoje pasekmė. Pažymime, kad per ekonomikos sunkmetį 2009 m. priedai ir premijos buvo gerokai sumažintos, o ekonomikai pradėjus augti, įmonės ėmė aktyviau darbuotojams mokėti priedus ir premijas (žr. 1 pav.). Ekonomikos ciklinis pakilimas kai kuriose srityse (pvz., statyboje, prekyboje ir kt.) jau savaime lemia didesnius priedus ir premijas, nes ekonomikos augimas reiškia didesnius užsakymus ir didėjančią pardavimo apimtį, nuo kurių dažnai priklauso sektoriaus darbuotojų atlyginimai. VDU nereguliarių išmokų dalies didėjimą 2011–2015 m. daugiausia lėmė augusi privačiojo sektoriaus VDU premijų ir priedų dalis (žr. 1 pav.). Nuo 2016 m. VDU privačiajame sektoriuje nereguliarių išmokų dalis reikšmingai nesikeitė, tačiau ši dalis sparčiau didėti pradėjo valstybiniame sektoriuje.</w:t>
      </w:r>
    </w:p>
    <w:p>
      <w:pPr>
        <w:pStyle w:val="Normal"/>
        <w:rPr>
          <w:sz w:val="24"/>
          <w:lang w:val="lt-LT"/>
        </w:rPr>
      </w:pPr>
      <w:r>
        <w:rPr>
          <w:sz w:val="24"/>
          <w:lang w:val="lt-LT"/>
        </w:rPr>
      </w:r>
    </w:p>
    <w:tbl>
      <w:tblPr>
        <w:tblStyle w:val="Lentelstinklelis"/>
        <w:tblW w:w="9742" w:type="dxa"/>
        <w:jc w:val="left"/>
        <w:tblInd w:w="0" w:type="dxa"/>
        <w:tblCellMar>
          <w:top w:w="0" w:type="dxa"/>
          <w:left w:w="108" w:type="dxa"/>
          <w:bottom w:w="0" w:type="dxa"/>
          <w:right w:w="108" w:type="dxa"/>
        </w:tblCellMar>
        <w:tblLook w:noVBand="1" w:val="04a0" w:noHBand="0" w:lastColumn="0" w:firstColumn="1" w:lastRow="0" w:firstRow="1"/>
      </w:tblPr>
      <w:tblGrid>
        <w:gridCol w:w="7425"/>
        <w:gridCol w:w="2316"/>
      </w:tblGrid>
      <w:tr>
        <w:trPr/>
        <w:tc>
          <w:tcPr>
            <w:tcW w:w="7425" w:type="dxa"/>
            <w:tcBorders>
              <w:top w:val="nil"/>
              <w:left w:val="nil"/>
              <w:bottom w:val="nil"/>
              <w:right w:val="nil"/>
            </w:tcBorders>
            <w:shd w:fill="auto" w:val="clear"/>
          </w:tcPr>
          <w:p>
            <w:pPr>
              <w:pStyle w:val="Normal"/>
              <w:rPr>
                <w:sz w:val="24"/>
                <w:lang w:val="lt-LT"/>
              </w:rPr>
            </w:pPr>
            <w:r>
              <w:rPr>
                <w:sz w:val="24"/>
                <w:lang w:val="lt-LT"/>
              </w:rPr>
              <w:t>1 pav. Bruto darbo užmokesčio nereguliarių išmokų dalis</w:t>
            </w:r>
          </w:p>
        </w:tc>
        <w:tc>
          <w:tcPr>
            <w:tcW w:w="2316" w:type="dxa"/>
            <w:tcBorders>
              <w:top w:val="nil"/>
              <w:left w:val="nil"/>
              <w:bottom w:val="nil"/>
              <w:right w:val="nil"/>
            </w:tcBorders>
            <w:shd w:fill="auto" w:val="clear"/>
          </w:tcPr>
          <w:p>
            <w:pPr>
              <w:pStyle w:val="Normal"/>
              <w:rPr/>
            </w:pPr>
            <w:r>
              <w:rPr/>
            </w:r>
          </w:p>
        </w:tc>
      </w:tr>
      <w:tr>
        <w:trPr/>
        <w:tc>
          <w:tcPr>
            <w:tcW w:w="7425" w:type="dxa"/>
            <w:tcBorders>
              <w:top w:val="nil"/>
              <w:left w:val="nil"/>
              <w:bottom w:val="nil"/>
              <w:right w:val="nil"/>
            </w:tcBorders>
            <w:shd w:fill="auto" w:val="clear"/>
          </w:tcPr>
          <w:p>
            <w:pPr>
              <w:pStyle w:val="Normal"/>
              <w:rPr>
                <w:sz w:val="24"/>
                <w:lang w:val="lt-LT"/>
              </w:rPr>
            </w:pPr>
            <w:r>
              <w:rPr/>
              <w:drawing>
                <wp:inline distT="0" distB="0" distL="0" distR="0">
                  <wp:extent cx="4578350" cy="27495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578350" cy="2749550"/>
                          </a:xfrm>
                          <a:prstGeom prst="rect">
                            <a:avLst/>
                          </a:prstGeom>
                        </pic:spPr>
                      </pic:pic>
                    </a:graphicData>
                  </a:graphic>
                </wp:inline>
              </w:drawing>
            </w:r>
          </w:p>
        </w:tc>
        <w:tc>
          <w:tcPr>
            <w:tcW w:w="2316" w:type="dxa"/>
            <w:tcBorders>
              <w:top w:val="nil"/>
              <w:left w:val="nil"/>
              <w:bottom w:val="nil"/>
              <w:right w:val="nil"/>
            </w:tcBorders>
            <w:shd w:fill="auto" w:val="clear"/>
          </w:tcPr>
          <w:p>
            <w:pPr>
              <w:pStyle w:val="Normal"/>
              <w:rPr/>
            </w:pPr>
            <w:r>
              <w:rPr/>
            </w:r>
          </w:p>
        </w:tc>
      </w:tr>
      <w:tr>
        <w:trPr/>
        <w:tc>
          <w:tcPr>
            <w:tcW w:w="9741" w:type="dxa"/>
            <w:gridSpan w:val="2"/>
            <w:tcBorders>
              <w:top w:val="nil"/>
              <w:left w:val="nil"/>
              <w:bottom w:val="nil"/>
              <w:right w:val="nil"/>
            </w:tcBorders>
            <w:shd w:fill="auto" w:val="clear"/>
          </w:tcPr>
          <w:p>
            <w:pPr>
              <w:pStyle w:val="Normal"/>
              <w:rPr>
                <w:i/>
                <w:i/>
                <w:sz w:val="24"/>
                <w:lang w:val="lt-LT"/>
              </w:rPr>
            </w:pPr>
            <w:r>
              <w:rPr>
                <w:i/>
                <w:sz w:val="24"/>
                <w:lang w:val="lt-LT"/>
              </w:rPr>
            </w:r>
          </w:p>
        </w:tc>
      </w:tr>
    </w:tbl>
    <w:p>
      <w:pPr>
        <w:pStyle w:val="Normal"/>
        <w:ind w:firstLine="426"/>
        <w:rPr>
          <w:sz w:val="24"/>
          <w:lang w:val="lt-LT"/>
        </w:rPr>
      </w:pPr>
      <w:r>
        <w:rPr>
          <w:sz w:val="24"/>
          <w:lang w:val="lt-LT"/>
        </w:rPr>
        <w:t>VDU priedų ir premijų dalies dinamikos būsimiems 3 metams negalime pateikti, nes atskirai šio rodiklio Lietuvos bankas (LB) neprognozuoja.</w:t>
      </w:r>
    </w:p>
    <w:p>
      <w:pPr>
        <w:pStyle w:val="Normal"/>
        <w:rPr>
          <w:sz w:val="24"/>
          <w:lang w:val="lt-LT"/>
        </w:rPr>
      </w:pPr>
      <w:r>
        <w:rPr>
          <w:sz w:val="24"/>
          <w:lang w:val="lt-LT"/>
        </w:rPr>
      </w:r>
    </w:p>
    <w:p>
      <w:pPr>
        <w:pStyle w:val="Normal"/>
        <w:jc w:val="both"/>
        <w:rPr>
          <w:sz w:val="24"/>
          <w:lang w:val="lt-LT"/>
        </w:rPr>
      </w:pPr>
      <w:r>
        <w:rPr>
          <w:b/>
          <w:sz w:val="24"/>
          <w:lang w:val="lt-LT"/>
        </w:rPr>
        <w:t>2. Prašome apskaičiuoti ir palyginti 2000–2017 metų VDU be premijų prognozių paklaidas ir pateikti grafinę ataskaitą (kartu su LR Finansų ministerijos paklaidomis).</w:t>
      </w:r>
      <w:r>
        <w:rPr>
          <w:sz w:val="24"/>
          <w:lang w:val="lt-LT"/>
        </w:rPr>
        <w:t xml:space="preserve"> </w:t>
      </w:r>
    </w:p>
    <w:p>
      <w:pPr>
        <w:pStyle w:val="Normal"/>
        <w:jc w:val="both"/>
        <w:rPr>
          <w:sz w:val="24"/>
          <w:lang w:val="lt-LT"/>
        </w:rPr>
      </w:pPr>
      <w:r>
        <w:rPr>
          <w:sz w:val="24"/>
          <w:lang w:val="lt-LT"/>
        </w:rPr>
      </w:r>
    </w:p>
    <w:p>
      <w:pPr>
        <w:pStyle w:val="Normal"/>
        <w:jc w:val="both"/>
        <w:rPr>
          <w:sz w:val="24"/>
          <w:lang w:val="lt-LT"/>
        </w:rPr>
      </w:pPr>
      <w:r>
        <w:rPr>
          <w:sz w:val="24"/>
          <w:lang w:val="lt-LT"/>
        </w:rPr>
        <w:t>VDU prognozę LB pradėjo skelbti nuo 2014 m. gruodžio mėn., anksčiau buvo skelbiama kompensacijos dirbančiajam (nacionalinių sąskaitų rodiklis) prognozė. Nors abu šie rodikliai yra konceptualiai panašūs, jų augimo tempai tam tikrais metais gali reikšmingai skirtis. Be to, kompensacijos dirbančiajam rodiklis buvo peržiūrėtas atlikus gyventojų surašymą ir reikšmingai pakoregavus gyventojų skaičiaus ir kitus darbo rinkos duomenis. Ši korekcija neleidžia atlikti kompensacijos dirbančiajam didelės dalies prognozių paklaidų kokybiškos analizės. Dėl šių priežasčių prognozuojamą ir faktinį VDU augimą objektyviai galime palyginti nuo 2016 m.</w:t>
      </w:r>
    </w:p>
    <w:p>
      <w:pPr>
        <w:pStyle w:val="Normal"/>
        <w:ind w:firstLine="720"/>
        <w:jc w:val="both"/>
        <w:rPr>
          <w:sz w:val="24"/>
          <w:lang w:val="lt-LT"/>
        </w:rPr>
      </w:pPr>
      <w:r>
        <w:rPr>
          <w:sz w:val="24"/>
          <w:lang w:val="lt-LT"/>
        </w:rPr>
        <w:t>LB prognozuoja VDU, į kurį įskaitomi priedai, premijos ir kt. nereguliarios išmokos. Tačiau prielaida, kad VDU su priedais ir kt. augs, kaip ir VDU be priedų ir kt., mūsų manymu, yra pakankamai pagrįsta. Toliau esančioje 1 lentelėje pateikti LB prognozuojami VDU dydžiai paremti prielaida, kad VDU be priedų ir kt. augs, kaip ir VDU su priedais ir kt.</w:t>
      </w:r>
    </w:p>
    <w:p>
      <w:pPr>
        <w:pStyle w:val="Normal"/>
        <w:ind w:firstLine="720"/>
        <w:jc w:val="both"/>
        <w:rPr>
          <w:sz w:val="24"/>
          <w:lang w:val="lt-LT"/>
        </w:rPr>
      </w:pPr>
      <w:r>
        <w:rPr>
          <w:sz w:val="24"/>
          <w:lang w:val="lt-LT"/>
        </w:rPr>
      </w:r>
    </w:p>
    <w:p>
      <w:pPr>
        <w:pStyle w:val="Normal"/>
        <w:jc w:val="both"/>
        <w:rPr>
          <w:sz w:val="24"/>
          <w:lang w:val="lt-LT"/>
        </w:rPr>
      </w:pPr>
      <w:r>
        <w:rPr>
          <w:sz w:val="24"/>
          <w:lang w:val="lt-LT"/>
        </w:rPr>
        <w:t>1 lentelė. VDU be priedų ir kt. augimo prognozės ir faktinis augimas</w:t>
      </w:r>
    </w:p>
    <w:tbl>
      <w:tblPr>
        <w:tblStyle w:val="Lentelstinklelis"/>
        <w:tblW w:w="6540" w:type="dxa"/>
        <w:jc w:val="left"/>
        <w:tblInd w:w="0" w:type="dxa"/>
        <w:tblCellMar>
          <w:top w:w="0" w:type="dxa"/>
          <w:left w:w="108" w:type="dxa"/>
          <w:bottom w:w="0" w:type="dxa"/>
          <w:right w:w="108" w:type="dxa"/>
        </w:tblCellMar>
        <w:tblLook w:noVBand="1" w:val="04a0" w:noHBand="0" w:lastColumn="0" w:firstColumn="1" w:lastRow="0" w:firstRow="1"/>
      </w:tblPr>
      <w:tblGrid>
        <w:gridCol w:w="959"/>
        <w:gridCol w:w="2528"/>
        <w:gridCol w:w="1132"/>
        <w:gridCol w:w="1920"/>
      </w:tblGrid>
      <w:tr>
        <w:trPr>
          <w:trHeight w:val="300" w:hRule="atLeast"/>
        </w:trPr>
        <w:tc>
          <w:tcPr>
            <w:tcW w:w="959" w:type="dxa"/>
            <w:tcBorders/>
            <w:shd w:fill="auto" w:val="clear"/>
          </w:tcPr>
          <w:p>
            <w:pPr>
              <w:pStyle w:val="Normal"/>
              <w:jc w:val="both"/>
              <w:rPr>
                <w:lang w:val="lt-LT"/>
              </w:rPr>
            </w:pPr>
            <w:r>
              <w:rPr>
                <w:lang w:val="lt-LT"/>
              </w:rPr>
            </w:r>
          </w:p>
        </w:tc>
        <w:tc>
          <w:tcPr>
            <w:tcW w:w="2528" w:type="dxa"/>
            <w:tcBorders/>
            <w:shd w:fill="auto" w:val="clear"/>
          </w:tcPr>
          <w:p>
            <w:pPr>
              <w:pStyle w:val="Normal"/>
              <w:jc w:val="both"/>
              <w:rPr>
                <w:lang w:val="lt-LT"/>
              </w:rPr>
            </w:pPr>
            <w:r>
              <w:rPr>
                <w:lang w:val="lt-LT"/>
              </w:rPr>
              <w:t>Faktinis VDU be priedų ir kt., Eur</w:t>
            </w:r>
          </w:p>
        </w:tc>
        <w:tc>
          <w:tcPr>
            <w:tcW w:w="1132" w:type="dxa"/>
            <w:tcBorders/>
            <w:shd w:fill="auto" w:val="clear"/>
          </w:tcPr>
          <w:p>
            <w:pPr>
              <w:pStyle w:val="Normal"/>
              <w:jc w:val="both"/>
              <w:rPr>
                <w:lang w:val="lt-LT"/>
              </w:rPr>
            </w:pPr>
            <w:r>
              <w:rPr>
                <w:lang w:val="lt-LT"/>
              </w:rPr>
              <w:t>LB prognozė*, Eur</w:t>
            </w:r>
          </w:p>
        </w:tc>
        <w:tc>
          <w:tcPr>
            <w:tcW w:w="1920" w:type="dxa"/>
            <w:tcBorders/>
            <w:shd w:fill="auto" w:val="clear"/>
          </w:tcPr>
          <w:p>
            <w:pPr>
              <w:pStyle w:val="Normal"/>
              <w:jc w:val="both"/>
              <w:rPr>
                <w:lang w:val="lt-LT"/>
              </w:rPr>
            </w:pPr>
            <w:r>
              <w:rPr>
                <w:lang w:val="lt-LT"/>
              </w:rPr>
              <w:t>Skirtumas nuo fakto, proc.</w:t>
            </w:r>
          </w:p>
        </w:tc>
      </w:tr>
      <w:tr>
        <w:trPr>
          <w:trHeight w:val="300" w:hRule="atLeast"/>
        </w:trPr>
        <w:tc>
          <w:tcPr>
            <w:tcW w:w="959" w:type="dxa"/>
            <w:tcBorders/>
            <w:shd w:fill="auto" w:val="clear"/>
          </w:tcPr>
          <w:p>
            <w:pPr>
              <w:pStyle w:val="Normal"/>
              <w:jc w:val="both"/>
              <w:rPr>
                <w:lang w:val="lt-LT"/>
              </w:rPr>
            </w:pPr>
            <w:r>
              <w:rPr>
                <w:lang w:val="lt-LT"/>
              </w:rPr>
              <w:t>2016</w:t>
            </w:r>
          </w:p>
        </w:tc>
        <w:tc>
          <w:tcPr>
            <w:tcW w:w="2528" w:type="dxa"/>
            <w:tcBorders/>
            <w:shd w:fill="auto" w:val="clear"/>
          </w:tcPr>
          <w:p>
            <w:pPr>
              <w:pStyle w:val="Normal"/>
              <w:jc w:val="both"/>
              <w:rPr>
                <w:lang w:val="lt-LT"/>
              </w:rPr>
            </w:pPr>
            <w:r>
              <w:rPr>
                <w:lang w:val="lt-LT"/>
              </w:rPr>
              <w:t>723</w:t>
            </w:r>
          </w:p>
        </w:tc>
        <w:tc>
          <w:tcPr>
            <w:tcW w:w="1132" w:type="dxa"/>
            <w:tcBorders/>
            <w:shd w:fill="auto" w:val="clear"/>
          </w:tcPr>
          <w:p>
            <w:pPr>
              <w:pStyle w:val="Normal"/>
              <w:jc w:val="both"/>
              <w:rPr>
                <w:lang w:val="lt-LT"/>
              </w:rPr>
            </w:pPr>
            <w:r>
              <w:rPr>
                <w:lang w:val="lt-LT"/>
              </w:rPr>
              <w:t>705</w:t>
            </w:r>
          </w:p>
        </w:tc>
        <w:tc>
          <w:tcPr>
            <w:tcW w:w="1920" w:type="dxa"/>
            <w:tcBorders/>
            <w:shd w:fill="auto" w:val="clear"/>
          </w:tcPr>
          <w:p>
            <w:pPr>
              <w:pStyle w:val="Normal"/>
              <w:jc w:val="both"/>
              <w:rPr>
                <w:lang w:val="lt-LT"/>
              </w:rPr>
            </w:pPr>
            <w:r>
              <w:rPr>
                <w:lang w:val="lt-LT"/>
              </w:rPr>
              <w:t>–</w:t>
            </w:r>
            <w:r>
              <w:rPr>
                <w:lang w:val="lt-LT"/>
              </w:rPr>
              <w:t>2,6</w:t>
            </w:r>
          </w:p>
        </w:tc>
      </w:tr>
      <w:tr>
        <w:trPr>
          <w:trHeight w:val="300" w:hRule="atLeast"/>
        </w:trPr>
        <w:tc>
          <w:tcPr>
            <w:tcW w:w="959" w:type="dxa"/>
            <w:tcBorders/>
            <w:shd w:fill="auto" w:val="clear"/>
          </w:tcPr>
          <w:p>
            <w:pPr>
              <w:pStyle w:val="Normal"/>
              <w:jc w:val="both"/>
              <w:rPr>
                <w:lang w:val="lt-LT"/>
              </w:rPr>
            </w:pPr>
            <w:r>
              <w:rPr>
                <w:lang w:val="lt-LT"/>
              </w:rPr>
              <w:t>2017</w:t>
            </w:r>
          </w:p>
        </w:tc>
        <w:tc>
          <w:tcPr>
            <w:tcW w:w="2528" w:type="dxa"/>
            <w:tcBorders/>
            <w:shd w:fill="auto" w:val="clear"/>
          </w:tcPr>
          <w:p>
            <w:pPr>
              <w:pStyle w:val="Normal"/>
              <w:jc w:val="both"/>
              <w:rPr>
                <w:lang w:val="lt-LT"/>
              </w:rPr>
            </w:pPr>
            <w:r>
              <w:rPr>
                <w:lang w:val="lt-LT"/>
              </w:rPr>
              <w:t>786</w:t>
            </w:r>
          </w:p>
        </w:tc>
        <w:tc>
          <w:tcPr>
            <w:tcW w:w="1132" w:type="dxa"/>
            <w:tcBorders/>
            <w:shd w:fill="auto" w:val="clear"/>
          </w:tcPr>
          <w:p>
            <w:pPr>
              <w:pStyle w:val="Normal"/>
              <w:jc w:val="both"/>
              <w:rPr>
                <w:lang w:val="lt-LT"/>
              </w:rPr>
            </w:pPr>
            <w:r>
              <w:rPr>
                <w:lang w:val="lt-LT"/>
              </w:rPr>
              <w:t>743</w:t>
            </w:r>
          </w:p>
        </w:tc>
        <w:tc>
          <w:tcPr>
            <w:tcW w:w="1920" w:type="dxa"/>
            <w:tcBorders/>
            <w:shd w:fill="auto" w:val="clear"/>
          </w:tcPr>
          <w:p>
            <w:pPr>
              <w:pStyle w:val="Normal"/>
              <w:jc w:val="both"/>
              <w:rPr>
                <w:lang w:val="lt-LT"/>
              </w:rPr>
            </w:pPr>
            <w:r>
              <w:rPr>
                <w:lang w:val="lt-LT"/>
              </w:rPr>
              <w:t>–</w:t>
            </w:r>
            <w:r>
              <w:rPr>
                <w:lang w:val="lt-LT"/>
              </w:rPr>
              <w:t>5,4</w:t>
            </w:r>
          </w:p>
        </w:tc>
      </w:tr>
    </w:tbl>
    <w:p>
      <w:pPr>
        <w:pStyle w:val="Normal"/>
        <w:jc w:val="both"/>
        <w:rPr>
          <w:i/>
          <w:i/>
          <w:sz w:val="16"/>
          <w:szCs w:val="16"/>
          <w:lang w:val="lt-LT"/>
        </w:rPr>
      </w:pPr>
      <w:r>
        <w:rPr>
          <w:i/>
          <w:sz w:val="16"/>
          <w:szCs w:val="16"/>
          <w:lang w:val="lt-LT"/>
        </w:rPr>
        <w:t>* Nurodytų metų VDU prognozė buvo paskelbta prieš tai einančių metų pavasarį, pvz., 2017 m. VDU prognozė buvo paskelbta 2016 m. kovo mėn. LB VDU be priedų ir kt. neprognozuoja, todėl skaičiai pateikti remiantis prielaida, kad VDU be priedų ir kt. augs, kaip ir VDU su priedais ir kt.</w:t>
      </w:r>
    </w:p>
    <w:p>
      <w:pPr>
        <w:pStyle w:val="Normal"/>
        <w:rPr>
          <w:i/>
          <w:i/>
          <w:sz w:val="16"/>
          <w:szCs w:val="16"/>
          <w:lang w:val="lt-LT"/>
        </w:rPr>
      </w:pPr>
      <w:r>
        <w:rPr>
          <w:i/>
          <w:sz w:val="16"/>
          <w:szCs w:val="16"/>
          <w:lang w:val="lt-LT"/>
        </w:rPr>
        <w:t>Šaltiniai: Lietuvos statistikos departamentas ir LB prognozės.</w:t>
      </w:r>
    </w:p>
    <w:p>
      <w:pPr>
        <w:pStyle w:val="Normal"/>
        <w:jc w:val="both"/>
        <w:rPr>
          <w:sz w:val="24"/>
          <w:lang w:val="lt-LT"/>
        </w:rPr>
      </w:pPr>
      <w:r>
        <w:rPr>
          <w:sz w:val="24"/>
          <w:lang w:val="lt-LT"/>
        </w:rPr>
      </w:r>
    </w:p>
    <w:p>
      <w:pPr>
        <w:pStyle w:val="Normal"/>
        <w:jc w:val="both"/>
        <w:rPr>
          <w:sz w:val="24"/>
          <w:lang w:val="lt-LT"/>
        </w:rPr>
      </w:pPr>
      <w:r>
        <w:rPr>
          <w:sz w:val="24"/>
          <w:lang w:val="lt-LT"/>
        </w:rPr>
        <w:t xml:space="preserve">Svarbu pabrėžti tai, kad 2016–2017 m. VDU prognozių paklaidas nemaža dalimi lėmė tai, jog MMA padidinimą į prognozes LB įtraukia tik tada, kai išleidžiamas tą padidinimą numatantis teisės aktas. Vadovaujantis tokia tvarka 2015–2017 m. VDU buvo prognozuojamas darant prielaidą, jog MMA nebus didinama. Tai lėmė, jog prognozuojamas VDU augimas minėtu laikotarpiu buvo mažesnis nei faktiškai buvęs. </w:t>
      </w:r>
    </w:p>
    <w:p>
      <w:pPr>
        <w:pStyle w:val="Normal"/>
        <w:rPr>
          <w:sz w:val="24"/>
          <w:lang w:val="lt-LT"/>
        </w:rPr>
      </w:pPr>
      <w:r>
        <w:rPr>
          <w:sz w:val="24"/>
          <w:lang w:val="lt-LT"/>
        </w:rPr>
      </w:r>
    </w:p>
    <w:p>
      <w:pPr>
        <w:pStyle w:val="Normal"/>
        <w:rPr>
          <w:sz w:val="24"/>
          <w:lang w:val="lt-LT"/>
        </w:rPr>
      </w:pPr>
      <w:r>
        <w:rPr>
          <w:sz w:val="24"/>
          <w:lang w:val="lt-LT"/>
        </w:rPr>
        <w:t>Manome, kad, siekiant išvengti klaidingų interpretacijų, VDU prognozės paklaidas ir jų interpretaciją pateikti turėtų pati LR finansų ministerija (pavyzdžiui, žinome, kad LR finansų ministerija paklaidas įprastai skaičiuoja ne 1 metų, o 16 mėnesių laikotarpio</w:t>
      </w:r>
      <w:r>
        <w:rPr>
          <w:rStyle w:val="FootnoteAnchor"/>
          <w:sz w:val="24"/>
          <w:lang w:val="lt-LT"/>
        </w:rPr>
        <w:footnoteReference w:id="2"/>
      </w:r>
      <w:r>
        <w:rPr>
          <w:sz w:val="24"/>
          <w:lang w:val="lt-LT"/>
        </w:rPr>
        <w:t>).</w:t>
      </w:r>
    </w:p>
    <w:p>
      <w:pPr>
        <w:pStyle w:val="Normal"/>
        <w:rPr>
          <w:sz w:val="24"/>
          <w:lang w:val="lt-LT"/>
        </w:rPr>
      </w:pPr>
      <w:r>
        <w:rPr>
          <w:sz w:val="24"/>
          <w:lang w:val="lt-LT"/>
        </w:rPr>
      </w:r>
    </w:p>
    <w:p>
      <w:pPr>
        <w:pStyle w:val="Normal"/>
        <w:jc w:val="both"/>
        <w:rPr>
          <w:sz w:val="24"/>
          <w:lang w:val="lt-LT"/>
        </w:rPr>
      </w:pPr>
      <w:r>
        <w:rPr>
          <w:b/>
          <w:sz w:val="24"/>
          <w:lang w:val="lt-LT"/>
        </w:rPr>
        <w:t>3. Prašome apskaičiuoti ir pateikti informaciją, koks būtų buvęs ir būtų ateityje MMA, jeigu būtų remiamasi Lietuvos banko siūloma metodologija (laikotarpis 2000–2021 m.). Atsakymą prašome pateikti lentelės forma, su stulpeliais: faktinis MMA, Lietuvos banko prognozės VDU ir MMA, LR finansų ministerijos prognozės VDU ir MMA, abiejų metodikų prognozių vidurkis VDU ir MMA.</w:t>
      </w:r>
      <w:r>
        <w:rPr>
          <w:sz w:val="24"/>
          <w:lang w:val="lt-LT"/>
        </w:rPr>
        <w:t xml:space="preserve"> </w:t>
      </w:r>
    </w:p>
    <w:p>
      <w:pPr>
        <w:pStyle w:val="Normal"/>
        <w:jc w:val="both"/>
        <w:rPr>
          <w:sz w:val="24"/>
          <w:lang w:val="lt-LT"/>
        </w:rPr>
      </w:pPr>
      <w:r>
        <w:rPr>
          <w:sz w:val="24"/>
          <w:lang w:val="lt-LT"/>
        </w:rPr>
      </w:r>
    </w:p>
    <w:p>
      <w:pPr>
        <w:pStyle w:val="Normal"/>
        <w:jc w:val="both"/>
        <w:rPr>
          <w:sz w:val="24"/>
          <w:lang w:val="lt-LT"/>
        </w:rPr>
      </w:pPr>
      <w:r>
        <w:rPr>
          <w:sz w:val="24"/>
          <w:lang w:val="lt-LT"/>
        </w:rPr>
        <w:t>VDU prognozę LB pradėjo skelbti nuo 2014 m. gruodžio mėn., anksčiau buvo skelbiama kompensacijos dirbantiesiems (nacionalinių sąskaitų rodiklis) prognozė. Dėl šios priežasties tiksliai apskaičiuoti, kokia būtų buvusi MMA taikant LB prognozę, galime nuo 2016 m. Taip pat galime pateikti prognozes iki 2019 m., nes tolesniam laikotarpiui LB nėra sudaręs prognozių.</w:t>
      </w:r>
    </w:p>
    <w:p>
      <w:pPr>
        <w:pStyle w:val="Normal"/>
        <w:rPr>
          <w:sz w:val="24"/>
          <w:lang w:val="lt-LT"/>
        </w:rPr>
      </w:pPr>
      <w:r>
        <w:rPr>
          <w:sz w:val="24"/>
          <w:lang w:val="lt-LT"/>
        </w:rPr>
      </w:r>
    </w:p>
    <w:p>
      <w:pPr>
        <w:pStyle w:val="Normal"/>
        <w:rPr>
          <w:sz w:val="24"/>
          <w:lang w:val="lt-LT"/>
        </w:rPr>
      </w:pPr>
      <w:r>
        <w:rPr>
          <w:sz w:val="24"/>
          <w:lang w:val="lt-LT"/>
        </w:rPr>
        <w:t>2 lentelė. MMA, nustatytos pagal LB siūlomą metodiką, istorinė raida ir prognozė</w:t>
      </w:r>
    </w:p>
    <w:p>
      <w:pPr>
        <w:pStyle w:val="Normal"/>
        <w:rPr>
          <w:sz w:val="24"/>
          <w:lang w:val="lt-LT"/>
        </w:rPr>
      </w:pPr>
      <w:r>
        <w:rPr>
          <w:sz w:val="24"/>
          <w:lang w:val="lt-LT"/>
        </w:rPr>
      </w:r>
    </w:p>
    <w:tbl>
      <w:tblPr>
        <w:tblStyle w:val="Lentelstinklelis"/>
        <w:tblW w:w="9743" w:type="dxa"/>
        <w:jc w:val="left"/>
        <w:tblInd w:w="0" w:type="dxa"/>
        <w:tblCellMar>
          <w:top w:w="0" w:type="dxa"/>
          <w:left w:w="108" w:type="dxa"/>
          <w:bottom w:w="0" w:type="dxa"/>
          <w:right w:w="108" w:type="dxa"/>
        </w:tblCellMar>
        <w:tblLook w:noVBand="1" w:val="04a0" w:noHBand="0" w:lastColumn="0" w:firstColumn="1" w:lastRow="0" w:firstRow="1"/>
      </w:tblPr>
      <w:tblGrid>
        <w:gridCol w:w="660"/>
        <w:gridCol w:w="1658"/>
        <w:gridCol w:w="971"/>
        <w:gridCol w:w="908"/>
        <w:gridCol w:w="1027"/>
        <w:gridCol w:w="1"/>
        <w:gridCol w:w="1275"/>
        <w:gridCol w:w="1384"/>
        <w:gridCol w:w="1026"/>
        <w:gridCol w:w="832"/>
      </w:tblGrid>
      <w:tr>
        <w:trPr>
          <w:trHeight w:val="300" w:hRule="atLeast"/>
        </w:trPr>
        <w:tc>
          <w:tcPr>
            <w:tcW w:w="660" w:type="dxa"/>
            <w:vMerge w:val="restart"/>
            <w:tcBorders/>
            <w:shd w:fill="auto" w:val="clear"/>
          </w:tcPr>
          <w:p>
            <w:pPr>
              <w:pStyle w:val="Normal"/>
              <w:rPr>
                <w:lang w:val="lt-LT"/>
              </w:rPr>
            </w:pPr>
            <w:r>
              <w:rPr>
                <w:lang w:val="lt-LT"/>
              </w:rPr>
            </w:r>
          </w:p>
        </w:tc>
        <w:tc>
          <w:tcPr>
            <w:tcW w:w="1658" w:type="dxa"/>
            <w:vMerge w:val="restart"/>
            <w:tcBorders/>
            <w:shd w:fill="auto" w:val="clear"/>
          </w:tcPr>
          <w:p>
            <w:pPr>
              <w:pStyle w:val="Normal"/>
              <w:rPr>
                <w:lang w:val="lt-LT"/>
              </w:rPr>
            </w:pPr>
            <w:r>
              <w:rPr>
                <w:lang w:val="lt-LT"/>
              </w:rPr>
              <w:t xml:space="preserve">MMA ir VDU santykis, taikomas nustatant MMA </w:t>
            </w:r>
          </w:p>
        </w:tc>
        <w:tc>
          <w:tcPr>
            <w:tcW w:w="2907" w:type="dxa"/>
            <w:gridSpan w:val="4"/>
            <w:tcBorders/>
            <w:shd w:fill="auto" w:val="clear"/>
          </w:tcPr>
          <w:p>
            <w:pPr>
              <w:pStyle w:val="Normal"/>
              <w:rPr>
                <w:lang w:val="lt-LT"/>
              </w:rPr>
            </w:pPr>
            <w:r>
              <w:rPr>
                <w:lang w:val="lt-LT"/>
              </w:rPr>
              <w:t>VDU be priedų ir kt. prognozė*</w:t>
            </w:r>
          </w:p>
        </w:tc>
        <w:tc>
          <w:tcPr>
            <w:tcW w:w="4517" w:type="dxa"/>
            <w:gridSpan w:val="4"/>
            <w:tcBorders/>
            <w:shd w:fill="auto" w:val="clear"/>
          </w:tcPr>
          <w:p>
            <w:pPr>
              <w:pStyle w:val="Normal"/>
              <w:rPr>
                <w:lang w:val="lt-LT"/>
              </w:rPr>
            </w:pPr>
            <w:r>
              <w:rPr>
                <w:lang w:val="lt-LT"/>
              </w:rPr>
              <w:t>MMA, apskaičiuota pagal LB metodiką</w:t>
            </w:r>
          </w:p>
        </w:tc>
      </w:tr>
      <w:tr>
        <w:trPr>
          <w:trHeight w:val="300" w:hRule="atLeast"/>
        </w:trPr>
        <w:tc>
          <w:tcPr>
            <w:tcW w:w="660" w:type="dxa"/>
            <w:vMerge w:val="continue"/>
            <w:tcBorders/>
            <w:shd w:fill="auto" w:val="clear"/>
          </w:tcPr>
          <w:p>
            <w:pPr>
              <w:pStyle w:val="Normal"/>
              <w:rPr>
                <w:lang w:val="lt-LT"/>
              </w:rPr>
            </w:pPr>
            <w:r>
              <w:rPr>
                <w:lang w:val="lt-LT"/>
              </w:rPr>
            </w:r>
          </w:p>
        </w:tc>
        <w:tc>
          <w:tcPr>
            <w:tcW w:w="1658" w:type="dxa"/>
            <w:vMerge w:val="continue"/>
            <w:tcBorders/>
            <w:shd w:fill="auto" w:val="clear"/>
          </w:tcPr>
          <w:p>
            <w:pPr>
              <w:pStyle w:val="Normal"/>
              <w:rPr>
                <w:lang w:val="lt-LT"/>
              </w:rPr>
            </w:pPr>
            <w:r>
              <w:rPr>
                <w:lang w:val="lt-LT"/>
              </w:rPr>
            </w:r>
          </w:p>
        </w:tc>
        <w:tc>
          <w:tcPr>
            <w:tcW w:w="971" w:type="dxa"/>
            <w:tcBorders/>
            <w:shd w:fill="auto" w:val="clear"/>
          </w:tcPr>
          <w:p>
            <w:pPr>
              <w:pStyle w:val="Normal"/>
              <w:rPr>
                <w:lang w:val="lt-LT"/>
              </w:rPr>
            </w:pPr>
            <w:r>
              <w:rPr>
                <w:lang w:val="lt-LT"/>
              </w:rPr>
              <w:t>LB</w:t>
            </w:r>
          </w:p>
        </w:tc>
        <w:tc>
          <w:tcPr>
            <w:tcW w:w="908" w:type="dxa"/>
            <w:tcBorders/>
            <w:shd w:fill="auto" w:val="clear"/>
          </w:tcPr>
          <w:p>
            <w:pPr>
              <w:pStyle w:val="Normal"/>
              <w:rPr>
                <w:lang w:val="lt-LT"/>
              </w:rPr>
            </w:pPr>
            <w:r>
              <w:rPr>
                <w:lang w:val="lt-LT"/>
              </w:rPr>
              <w:t>FM</w:t>
            </w:r>
          </w:p>
        </w:tc>
        <w:tc>
          <w:tcPr>
            <w:tcW w:w="1027" w:type="dxa"/>
            <w:tcBorders/>
            <w:shd w:fill="auto" w:val="clear"/>
          </w:tcPr>
          <w:p>
            <w:pPr>
              <w:pStyle w:val="Normal"/>
              <w:rPr>
                <w:lang w:val="lt-LT"/>
              </w:rPr>
            </w:pPr>
            <w:r>
              <w:rPr>
                <w:lang w:val="lt-LT"/>
              </w:rPr>
              <w:t>pagal LB ir FM prognozių vidurkį</w:t>
            </w:r>
          </w:p>
        </w:tc>
        <w:tc>
          <w:tcPr>
            <w:tcW w:w="1276" w:type="dxa"/>
            <w:gridSpan w:val="2"/>
            <w:tcBorders/>
            <w:shd w:fill="auto" w:val="clear"/>
          </w:tcPr>
          <w:p>
            <w:pPr>
              <w:pStyle w:val="Normal"/>
              <w:rPr>
                <w:lang w:val="lt-LT"/>
              </w:rPr>
            </w:pPr>
            <w:r>
              <w:rPr>
                <w:lang w:val="lt-LT"/>
              </w:rPr>
              <w:t>remiantis LB prognozėmis</w:t>
            </w:r>
          </w:p>
        </w:tc>
        <w:tc>
          <w:tcPr>
            <w:tcW w:w="1384" w:type="dxa"/>
            <w:tcBorders/>
            <w:shd w:fill="auto" w:val="clear"/>
          </w:tcPr>
          <w:p>
            <w:pPr>
              <w:pStyle w:val="Normal"/>
              <w:rPr>
                <w:lang w:val="lt-LT"/>
              </w:rPr>
            </w:pPr>
            <w:r>
              <w:rPr>
                <w:lang w:val="lt-LT"/>
              </w:rPr>
              <w:t>remiantis FM prognozėmis</w:t>
            </w:r>
          </w:p>
        </w:tc>
        <w:tc>
          <w:tcPr>
            <w:tcW w:w="1026" w:type="dxa"/>
            <w:tcBorders/>
            <w:shd w:fill="auto" w:val="clear"/>
          </w:tcPr>
          <w:p>
            <w:pPr>
              <w:pStyle w:val="Normal"/>
              <w:rPr>
                <w:lang w:val="lt-LT"/>
              </w:rPr>
            </w:pPr>
            <w:r>
              <w:rPr>
                <w:lang w:val="lt-LT"/>
              </w:rPr>
              <w:t>pagal LB ir FM prognozių vidurkį</w:t>
            </w:r>
          </w:p>
        </w:tc>
        <w:tc>
          <w:tcPr>
            <w:tcW w:w="832" w:type="dxa"/>
            <w:tcBorders/>
            <w:shd w:fill="auto" w:val="clear"/>
          </w:tcPr>
          <w:p>
            <w:pPr>
              <w:pStyle w:val="Normal"/>
              <w:rPr>
                <w:lang w:val="lt-LT"/>
              </w:rPr>
            </w:pPr>
            <w:r>
              <w:rPr>
                <w:lang w:val="lt-LT"/>
              </w:rPr>
              <w:t>faktinė MMA</w:t>
            </w:r>
          </w:p>
        </w:tc>
      </w:tr>
      <w:tr>
        <w:trPr>
          <w:trHeight w:val="300" w:hRule="atLeast"/>
        </w:trPr>
        <w:tc>
          <w:tcPr>
            <w:tcW w:w="660" w:type="dxa"/>
            <w:tcBorders/>
            <w:shd w:fill="auto" w:val="clear"/>
          </w:tcPr>
          <w:p>
            <w:pPr>
              <w:pStyle w:val="Normal"/>
              <w:rPr>
                <w:lang w:val="lt-LT"/>
              </w:rPr>
            </w:pPr>
            <w:r>
              <w:rPr>
                <w:lang w:val="lt-LT"/>
              </w:rPr>
              <w:t>2008</w:t>
            </w:r>
          </w:p>
        </w:tc>
        <w:tc>
          <w:tcPr>
            <w:tcW w:w="1658" w:type="dxa"/>
            <w:tcBorders/>
            <w:shd w:fill="auto" w:val="clear"/>
            <w:vAlign w:val="bottom"/>
          </w:tcPr>
          <w:p>
            <w:pPr>
              <w:pStyle w:val="Normal"/>
              <w:jc w:val="right"/>
              <w:rPr>
                <w:color w:val="000000"/>
                <w:szCs w:val="22"/>
              </w:rPr>
            </w:pPr>
            <w:r>
              <w:rPr>
                <w:color w:val="000000"/>
                <w:szCs w:val="22"/>
              </w:rPr>
              <w:t>47,2</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530</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250</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232</w:t>
            </w:r>
          </w:p>
        </w:tc>
      </w:tr>
      <w:tr>
        <w:trPr>
          <w:trHeight w:val="300" w:hRule="atLeast"/>
        </w:trPr>
        <w:tc>
          <w:tcPr>
            <w:tcW w:w="660" w:type="dxa"/>
            <w:tcBorders/>
            <w:shd w:fill="auto" w:val="clear"/>
          </w:tcPr>
          <w:p>
            <w:pPr>
              <w:pStyle w:val="Normal"/>
              <w:rPr>
                <w:lang w:val="lt-LT"/>
              </w:rPr>
            </w:pPr>
            <w:r>
              <w:rPr>
                <w:lang w:val="lt-LT"/>
              </w:rPr>
              <w:t>2009</w:t>
            </w:r>
          </w:p>
        </w:tc>
        <w:tc>
          <w:tcPr>
            <w:tcW w:w="1658" w:type="dxa"/>
            <w:tcBorders/>
            <w:shd w:fill="auto" w:val="clear"/>
            <w:vAlign w:val="bottom"/>
          </w:tcPr>
          <w:p>
            <w:pPr>
              <w:pStyle w:val="Normal"/>
              <w:jc w:val="right"/>
              <w:rPr>
                <w:color w:val="000000"/>
                <w:szCs w:val="22"/>
              </w:rPr>
            </w:pPr>
            <w:r>
              <w:rPr>
                <w:color w:val="000000"/>
                <w:szCs w:val="22"/>
              </w:rPr>
              <w:t>47,0</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631</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297</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232</w:t>
            </w:r>
          </w:p>
        </w:tc>
      </w:tr>
      <w:tr>
        <w:trPr>
          <w:trHeight w:val="300" w:hRule="atLeast"/>
        </w:trPr>
        <w:tc>
          <w:tcPr>
            <w:tcW w:w="660" w:type="dxa"/>
            <w:tcBorders/>
            <w:shd w:fill="auto" w:val="clear"/>
          </w:tcPr>
          <w:p>
            <w:pPr>
              <w:pStyle w:val="Normal"/>
              <w:rPr>
                <w:lang w:val="lt-LT"/>
              </w:rPr>
            </w:pPr>
            <w:r>
              <w:rPr>
                <w:lang w:val="lt-LT"/>
              </w:rPr>
              <w:t>2010</w:t>
            </w:r>
          </w:p>
        </w:tc>
        <w:tc>
          <w:tcPr>
            <w:tcW w:w="1658" w:type="dxa"/>
            <w:tcBorders/>
            <w:shd w:fill="auto" w:val="clear"/>
            <w:vAlign w:val="bottom"/>
          </w:tcPr>
          <w:p>
            <w:pPr>
              <w:pStyle w:val="Normal"/>
              <w:jc w:val="right"/>
              <w:rPr>
                <w:color w:val="000000"/>
                <w:szCs w:val="22"/>
              </w:rPr>
            </w:pPr>
            <w:r>
              <w:rPr>
                <w:color w:val="000000"/>
                <w:szCs w:val="22"/>
              </w:rPr>
              <w:t>47,3</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528</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250</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232</w:t>
            </w:r>
          </w:p>
        </w:tc>
      </w:tr>
      <w:tr>
        <w:trPr>
          <w:trHeight w:val="300" w:hRule="atLeast"/>
        </w:trPr>
        <w:tc>
          <w:tcPr>
            <w:tcW w:w="660" w:type="dxa"/>
            <w:tcBorders/>
            <w:shd w:fill="auto" w:val="clear"/>
          </w:tcPr>
          <w:p>
            <w:pPr>
              <w:pStyle w:val="Normal"/>
              <w:rPr>
                <w:lang w:val="lt-LT"/>
              </w:rPr>
            </w:pPr>
            <w:r>
              <w:rPr>
                <w:lang w:val="lt-LT"/>
              </w:rPr>
              <w:t>2011</w:t>
            </w:r>
          </w:p>
        </w:tc>
        <w:tc>
          <w:tcPr>
            <w:tcW w:w="1658" w:type="dxa"/>
            <w:tcBorders/>
            <w:shd w:fill="auto" w:val="clear"/>
            <w:vAlign w:val="bottom"/>
          </w:tcPr>
          <w:p>
            <w:pPr>
              <w:pStyle w:val="Normal"/>
              <w:jc w:val="right"/>
              <w:rPr>
                <w:color w:val="000000"/>
                <w:szCs w:val="22"/>
              </w:rPr>
            </w:pPr>
            <w:r>
              <w:rPr>
                <w:color w:val="000000"/>
                <w:szCs w:val="22"/>
              </w:rPr>
              <w:t>47,4</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541</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256</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232</w:t>
            </w:r>
          </w:p>
        </w:tc>
      </w:tr>
      <w:tr>
        <w:trPr>
          <w:trHeight w:val="300" w:hRule="atLeast"/>
        </w:trPr>
        <w:tc>
          <w:tcPr>
            <w:tcW w:w="660" w:type="dxa"/>
            <w:tcBorders/>
            <w:shd w:fill="auto" w:val="clear"/>
          </w:tcPr>
          <w:p>
            <w:pPr>
              <w:pStyle w:val="Normal"/>
              <w:rPr>
                <w:lang w:val="lt-LT"/>
              </w:rPr>
            </w:pPr>
            <w:r>
              <w:rPr>
                <w:lang w:val="lt-LT"/>
              </w:rPr>
              <w:t>2012</w:t>
            </w:r>
          </w:p>
        </w:tc>
        <w:tc>
          <w:tcPr>
            <w:tcW w:w="1658" w:type="dxa"/>
            <w:tcBorders/>
            <w:shd w:fill="auto" w:val="clear"/>
            <w:vAlign w:val="bottom"/>
          </w:tcPr>
          <w:p>
            <w:pPr>
              <w:pStyle w:val="Normal"/>
              <w:jc w:val="right"/>
              <w:rPr>
                <w:color w:val="000000"/>
                <w:szCs w:val="22"/>
              </w:rPr>
            </w:pPr>
            <w:r>
              <w:rPr>
                <w:color w:val="000000"/>
                <w:szCs w:val="22"/>
              </w:rPr>
              <w:t>46,9</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608</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285</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238</w:t>
            </w:r>
          </w:p>
        </w:tc>
      </w:tr>
      <w:tr>
        <w:trPr>
          <w:trHeight w:val="300" w:hRule="atLeast"/>
        </w:trPr>
        <w:tc>
          <w:tcPr>
            <w:tcW w:w="660" w:type="dxa"/>
            <w:tcBorders/>
            <w:shd w:fill="auto" w:val="clear"/>
          </w:tcPr>
          <w:p>
            <w:pPr>
              <w:pStyle w:val="Normal"/>
              <w:rPr>
                <w:lang w:val="lt-LT"/>
              </w:rPr>
            </w:pPr>
            <w:r>
              <w:rPr>
                <w:lang w:val="lt-LT"/>
              </w:rPr>
              <w:t>2013</w:t>
            </w:r>
          </w:p>
        </w:tc>
        <w:tc>
          <w:tcPr>
            <w:tcW w:w="1658" w:type="dxa"/>
            <w:tcBorders/>
            <w:shd w:fill="auto" w:val="clear"/>
            <w:vAlign w:val="bottom"/>
          </w:tcPr>
          <w:p>
            <w:pPr>
              <w:pStyle w:val="Normal"/>
              <w:jc w:val="right"/>
              <w:rPr>
                <w:color w:val="000000"/>
                <w:szCs w:val="22"/>
              </w:rPr>
            </w:pPr>
            <w:r>
              <w:rPr>
                <w:color w:val="000000"/>
                <w:szCs w:val="22"/>
              </w:rPr>
              <w:t>46,3</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596</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276</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290</w:t>
            </w:r>
          </w:p>
        </w:tc>
      </w:tr>
      <w:tr>
        <w:trPr>
          <w:trHeight w:val="300" w:hRule="atLeast"/>
        </w:trPr>
        <w:tc>
          <w:tcPr>
            <w:tcW w:w="660" w:type="dxa"/>
            <w:tcBorders/>
            <w:shd w:fill="auto" w:val="clear"/>
          </w:tcPr>
          <w:p>
            <w:pPr>
              <w:pStyle w:val="Normal"/>
              <w:rPr>
                <w:lang w:val="lt-LT"/>
              </w:rPr>
            </w:pPr>
            <w:r>
              <w:rPr>
                <w:lang w:val="lt-LT"/>
              </w:rPr>
              <w:t>2014</w:t>
            </w:r>
          </w:p>
        </w:tc>
        <w:tc>
          <w:tcPr>
            <w:tcW w:w="1658" w:type="dxa"/>
            <w:tcBorders/>
            <w:shd w:fill="auto" w:val="clear"/>
            <w:vAlign w:val="bottom"/>
          </w:tcPr>
          <w:p>
            <w:pPr>
              <w:pStyle w:val="Normal"/>
              <w:jc w:val="right"/>
              <w:rPr>
                <w:color w:val="000000"/>
                <w:szCs w:val="22"/>
              </w:rPr>
            </w:pPr>
            <w:r>
              <w:rPr>
                <w:color w:val="000000"/>
                <w:szCs w:val="22"/>
              </w:rPr>
              <w:t>46,5</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641</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298</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292</w:t>
            </w:r>
          </w:p>
        </w:tc>
      </w:tr>
      <w:tr>
        <w:trPr>
          <w:trHeight w:val="300" w:hRule="atLeast"/>
        </w:trPr>
        <w:tc>
          <w:tcPr>
            <w:tcW w:w="660" w:type="dxa"/>
            <w:tcBorders/>
            <w:shd w:fill="auto" w:val="clear"/>
          </w:tcPr>
          <w:p>
            <w:pPr>
              <w:pStyle w:val="Normal"/>
              <w:rPr>
                <w:lang w:val="lt-LT"/>
              </w:rPr>
            </w:pPr>
            <w:r>
              <w:rPr>
                <w:lang w:val="lt-LT"/>
              </w:rPr>
              <w:t>2015</w:t>
            </w:r>
          </w:p>
        </w:tc>
        <w:tc>
          <w:tcPr>
            <w:tcW w:w="1658" w:type="dxa"/>
            <w:tcBorders/>
            <w:shd w:fill="auto" w:val="clear"/>
            <w:vAlign w:val="bottom"/>
          </w:tcPr>
          <w:p>
            <w:pPr>
              <w:pStyle w:val="Normal"/>
              <w:jc w:val="right"/>
              <w:rPr>
                <w:color w:val="000000"/>
                <w:szCs w:val="22"/>
              </w:rPr>
            </w:pPr>
            <w:r>
              <w:rPr>
                <w:color w:val="000000"/>
                <w:szCs w:val="22"/>
              </w:rPr>
              <w:t>46,9</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688</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322</w:t>
            </w:r>
          </w:p>
        </w:tc>
        <w:tc>
          <w:tcPr>
            <w:tcW w:w="1026" w:type="dxa"/>
            <w:tcBorders/>
            <w:shd w:fill="auto" w:val="clear"/>
          </w:tcPr>
          <w:p>
            <w:pPr>
              <w:pStyle w:val="Normal"/>
              <w:rPr>
                <w:lang w:val="lt-LT"/>
              </w:rPr>
            </w:pPr>
            <w:r>
              <w:rPr>
                <w:lang w:val="lt-LT"/>
              </w:rPr>
            </w:r>
          </w:p>
        </w:tc>
        <w:tc>
          <w:tcPr>
            <w:tcW w:w="832" w:type="dxa"/>
            <w:tcBorders/>
            <w:shd w:fill="auto" w:val="clear"/>
            <w:vAlign w:val="bottom"/>
          </w:tcPr>
          <w:p>
            <w:pPr>
              <w:pStyle w:val="Normal"/>
              <w:jc w:val="right"/>
              <w:rPr>
                <w:color w:val="000000"/>
                <w:szCs w:val="22"/>
              </w:rPr>
            </w:pPr>
            <w:r>
              <w:rPr>
                <w:color w:val="000000"/>
                <w:szCs w:val="22"/>
              </w:rPr>
              <w:t>313</w:t>
            </w:r>
          </w:p>
        </w:tc>
      </w:tr>
      <w:tr>
        <w:trPr>
          <w:trHeight w:val="300" w:hRule="atLeast"/>
        </w:trPr>
        <w:tc>
          <w:tcPr>
            <w:tcW w:w="660" w:type="dxa"/>
            <w:tcBorders/>
            <w:shd w:fill="auto" w:val="clear"/>
          </w:tcPr>
          <w:p>
            <w:pPr>
              <w:pStyle w:val="Normal"/>
              <w:rPr>
                <w:lang w:val="lt-LT"/>
              </w:rPr>
            </w:pPr>
            <w:r>
              <w:rPr>
                <w:lang w:val="lt-LT"/>
              </w:rPr>
              <w:t>2016</w:t>
            </w:r>
          </w:p>
        </w:tc>
        <w:tc>
          <w:tcPr>
            <w:tcW w:w="1658" w:type="dxa"/>
            <w:tcBorders/>
            <w:shd w:fill="auto" w:val="clear"/>
            <w:vAlign w:val="bottom"/>
          </w:tcPr>
          <w:p>
            <w:pPr>
              <w:pStyle w:val="Normal"/>
              <w:jc w:val="right"/>
              <w:rPr>
                <w:color w:val="000000"/>
                <w:szCs w:val="22"/>
              </w:rPr>
            </w:pPr>
            <w:r>
              <w:rPr>
                <w:color w:val="000000"/>
                <w:szCs w:val="22"/>
              </w:rPr>
              <w:t>48,3</w:t>
            </w:r>
          </w:p>
        </w:tc>
        <w:tc>
          <w:tcPr>
            <w:tcW w:w="971" w:type="dxa"/>
            <w:tcBorders/>
            <w:shd w:fill="auto" w:val="clear"/>
            <w:vAlign w:val="bottom"/>
          </w:tcPr>
          <w:p>
            <w:pPr>
              <w:pStyle w:val="Normal"/>
              <w:jc w:val="right"/>
              <w:rPr>
                <w:color w:val="000000"/>
                <w:szCs w:val="22"/>
              </w:rPr>
            </w:pPr>
            <w:r>
              <w:rPr>
                <w:color w:val="000000"/>
                <w:szCs w:val="22"/>
              </w:rPr>
              <w:t>705</w:t>
            </w:r>
          </w:p>
        </w:tc>
        <w:tc>
          <w:tcPr>
            <w:tcW w:w="908" w:type="dxa"/>
            <w:tcBorders/>
            <w:shd w:fill="auto" w:val="clear"/>
            <w:vAlign w:val="bottom"/>
          </w:tcPr>
          <w:p>
            <w:pPr>
              <w:pStyle w:val="Normal"/>
              <w:jc w:val="right"/>
              <w:rPr>
                <w:color w:val="000000"/>
                <w:szCs w:val="22"/>
              </w:rPr>
            </w:pPr>
            <w:r>
              <w:rPr>
                <w:color w:val="000000"/>
                <w:szCs w:val="22"/>
              </w:rPr>
              <w:t>705</w:t>
            </w:r>
          </w:p>
        </w:tc>
        <w:tc>
          <w:tcPr>
            <w:tcW w:w="1027" w:type="dxa"/>
            <w:tcBorders/>
            <w:shd w:fill="auto" w:val="clear"/>
            <w:vAlign w:val="bottom"/>
          </w:tcPr>
          <w:p>
            <w:pPr>
              <w:pStyle w:val="Normal"/>
              <w:jc w:val="right"/>
              <w:rPr>
                <w:color w:val="000000"/>
                <w:szCs w:val="22"/>
              </w:rPr>
            </w:pPr>
            <w:r>
              <w:rPr>
                <w:color w:val="000000"/>
                <w:szCs w:val="22"/>
              </w:rPr>
              <w:t>705</w:t>
            </w:r>
          </w:p>
        </w:tc>
        <w:tc>
          <w:tcPr>
            <w:tcW w:w="1276" w:type="dxa"/>
            <w:gridSpan w:val="2"/>
            <w:tcBorders/>
            <w:shd w:fill="auto" w:val="clear"/>
            <w:vAlign w:val="bottom"/>
          </w:tcPr>
          <w:p>
            <w:pPr>
              <w:pStyle w:val="Normal"/>
              <w:jc w:val="right"/>
              <w:rPr>
                <w:color w:val="000000"/>
                <w:szCs w:val="22"/>
              </w:rPr>
            </w:pPr>
            <w:r>
              <w:rPr>
                <w:color w:val="000000"/>
                <w:szCs w:val="22"/>
              </w:rPr>
              <w:t>340</w:t>
            </w:r>
          </w:p>
        </w:tc>
        <w:tc>
          <w:tcPr>
            <w:tcW w:w="1384" w:type="dxa"/>
            <w:tcBorders/>
            <w:shd w:fill="auto" w:val="clear"/>
            <w:vAlign w:val="bottom"/>
          </w:tcPr>
          <w:p>
            <w:pPr>
              <w:pStyle w:val="Normal"/>
              <w:jc w:val="right"/>
              <w:rPr>
                <w:color w:val="000000"/>
                <w:szCs w:val="22"/>
              </w:rPr>
            </w:pPr>
            <w:r>
              <w:rPr>
                <w:color w:val="000000"/>
                <w:szCs w:val="22"/>
              </w:rPr>
              <w:t>340</w:t>
            </w:r>
          </w:p>
        </w:tc>
        <w:tc>
          <w:tcPr>
            <w:tcW w:w="1026" w:type="dxa"/>
            <w:tcBorders/>
            <w:shd w:fill="auto" w:val="clear"/>
          </w:tcPr>
          <w:p>
            <w:pPr>
              <w:pStyle w:val="Normal"/>
              <w:rPr>
                <w:lang w:val="lt-LT"/>
              </w:rPr>
            </w:pPr>
            <w:r>
              <w:rPr>
                <w:lang w:val="lt-LT"/>
              </w:rPr>
              <w:t>340</w:t>
            </w:r>
          </w:p>
        </w:tc>
        <w:tc>
          <w:tcPr>
            <w:tcW w:w="832" w:type="dxa"/>
            <w:tcBorders/>
            <w:shd w:fill="auto" w:val="clear"/>
            <w:vAlign w:val="bottom"/>
          </w:tcPr>
          <w:p>
            <w:pPr>
              <w:pStyle w:val="Normal"/>
              <w:jc w:val="right"/>
              <w:rPr>
                <w:color w:val="000000"/>
                <w:szCs w:val="22"/>
              </w:rPr>
            </w:pPr>
            <w:r>
              <w:rPr>
                <w:color w:val="000000"/>
                <w:szCs w:val="22"/>
              </w:rPr>
              <w:t>365</w:t>
            </w:r>
          </w:p>
        </w:tc>
      </w:tr>
      <w:tr>
        <w:trPr>
          <w:trHeight w:val="300" w:hRule="atLeast"/>
        </w:trPr>
        <w:tc>
          <w:tcPr>
            <w:tcW w:w="660" w:type="dxa"/>
            <w:tcBorders/>
            <w:shd w:fill="auto" w:val="clear"/>
          </w:tcPr>
          <w:p>
            <w:pPr>
              <w:pStyle w:val="Normal"/>
              <w:rPr>
                <w:lang w:val="lt-LT"/>
              </w:rPr>
            </w:pPr>
            <w:r>
              <w:rPr>
                <w:lang w:val="lt-LT"/>
              </w:rPr>
              <w:t>2017</w:t>
            </w:r>
          </w:p>
        </w:tc>
        <w:tc>
          <w:tcPr>
            <w:tcW w:w="1658" w:type="dxa"/>
            <w:tcBorders/>
            <w:shd w:fill="auto" w:val="clear"/>
            <w:vAlign w:val="bottom"/>
          </w:tcPr>
          <w:p>
            <w:pPr>
              <w:pStyle w:val="Normal"/>
              <w:jc w:val="right"/>
              <w:rPr>
                <w:color w:val="000000"/>
                <w:szCs w:val="22"/>
              </w:rPr>
            </w:pPr>
            <w:r>
              <w:rPr>
                <w:color w:val="000000"/>
                <w:szCs w:val="22"/>
              </w:rPr>
              <w:t>47,3</w:t>
            </w:r>
          </w:p>
        </w:tc>
        <w:tc>
          <w:tcPr>
            <w:tcW w:w="971" w:type="dxa"/>
            <w:tcBorders/>
            <w:shd w:fill="auto" w:val="clear"/>
            <w:vAlign w:val="bottom"/>
          </w:tcPr>
          <w:p>
            <w:pPr>
              <w:pStyle w:val="Normal"/>
              <w:jc w:val="right"/>
              <w:rPr>
                <w:color w:val="000000"/>
                <w:szCs w:val="22"/>
              </w:rPr>
            </w:pPr>
            <w:r>
              <w:rPr>
                <w:color w:val="000000"/>
                <w:szCs w:val="22"/>
              </w:rPr>
              <w:t>743</w:t>
            </w:r>
          </w:p>
        </w:tc>
        <w:tc>
          <w:tcPr>
            <w:tcW w:w="908" w:type="dxa"/>
            <w:tcBorders/>
            <w:shd w:fill="auto" w:val="clear"/>
            <w:vAlign w:val="bottom"/>
          </w:tcPr>
          <w:p>
            <w:pPr>
              <w:pStyle w:val="Normal"/>
              <w:jc w:val="right"/>
              <w:rPr>
                <w:color w:val="000000"/>
                <w:szCs w:val="22"/>
              </w:rPr>
            </w:pPr>
            <w:r>
              <w:rPr>
                <w:color w:val="000000"/>
                <w:szCs w:val="22"/>
              </w:rPr>
              <w:t>752</w:t>
            </w:r>
          </w:p>
        </w:tc>
        <w:tc>
          <w:tcPr>
            <w:tcW w:w="1027" w:type="dxa"/>
            <w:tcBorders/>
            <w:shd w:fill="auto" w:val="clear"/>
            <w:vAlign w:val="bottom"/>
          </w:tcPr>
          <w:p>
            <w:pPr>
              <w:pStyle w:val="Normal"/>
              <w:jc w:val="right"/>
              <w:rPr>
                <w:color w:val="000000"/>
                <w:szCs w:val="22"/>
              </w:rPr>
            </w:pPr>
            <w:r>
              <w:rPr>
                <w:color w:val="000000"/>
                <w:szCs w:val="22"/>
              </w:rPr>
              <w:t>747</w:t>
            </w:r>
          </w:p>
        </w:tc>
        <w:tc>
          <w:tcPr>
            <w:tcW w:w="1276" w:type="dxa"/>
            <w:gridSpan w:val="2"/>
            <w:tcBorders/>
            <w:shd w:fill="auto" w:val="clear"/>
            <w:vAlign w:val="bottom"/>
          </w:tcPr>
          <w:p>
            <w:pPr>
              <w:pStyle w:val="Normal"/>
              <w:jc w:val="right"/>
              <w:rPr>
                <w:color w:val="000000"/>
                <w:szCs w:val="22"/>
              </w:rPr>
            </w:pPr>
            <w:r>
              <w:rPr>
                <w:color w:val="000000"/>
                <w:szCs w:val="22"/>
              </w:rPr>
              <w:t>352</w:t>
            </w:r>
          </w:p>
        </w:tc>
        <w:tc>
          <w:tcPr>
            <w:tcW w:w="1384" w:type="dxa"/>
            <w:tcBorders/>
            <w:shd w:fill="auto" w:val="clear"/>
            <w:vAlign w:val="bottom"/>
          </w:tcPr>
          <w:p>
            <w:pPr>
              <w:pStyle w:val="Normal"/>
              <w:jc w:val="right"/>
              <w:rPr>
                <w:color w:val="000000"/>
                <w:szCs w:val="22"/>
              </w:rPr>
            </w:pPr>
            <w:r>
              <w:rPr>
                <w:color w:val="000000"/>
                <w:szCs w:val="22"/>
              </w:rPr>
              <w:t>356</w:t>
            </w:r>
          </w:p>
        </w:tc>
        <w:tc>
          <w:tcPr>
            <w:tcW w:w="1026" w:type="dxa"/>
            <w:tcBorders/>
            <w:shd w:fill="auto" w:val="clear"/>
          </w:tcPr>
          <w:p>
            <w:pPr>
              <w:pStyle w:val="Normal"/>
              <w:rPr>
                <w:lang w:val="lt-LT"/>
              </w:rPr>
            </w:pPr>
            <w:r>
              <w:rPr>
                <w:lang w:val="lt-LT"/>
              </w:rPr>
              <w:t>354</w:t>
            </w:r>
          </w:p>
        </w:tc>
        <w:tc>
          <w:tcPr>
            <w:tcW w:w="832" w:type="dxa"/>
            <w:tcBorders/>
            <w:shd w:fill="auto" w:val="clear"/>
            <w:vAlign w:val="bottom"/>
          </w:tcPr>
          <w:p>
            <w:pPr>
              <w:pStyle w:val="Normal"/>
              <w:jc w:val="right"/>
              <w:rPr>
                <w:color w:val="000000"/>
                <w:szCs w:val="22"/>
              </w:rPr>
            </w:pPr>
            <w:r>
              <w:rPr>
                <w:color w:val="000000"/>
                <w:szCs w:val="22"/>
              </w:rPr>
              <w:t>380</w:t>
            </w:r>
          </w:p>
        </w:tc>
      </w:tr>
      <w:tr>
        <w:trPr>
          <w:trHeight w:val="300" w:hRule="atLeast"/>
        </w:trPr>
        <w:tc>
          <w:tcPr>
            <w:tcW w:w="660" w:type="dxa"/>
            <w:tcBorders/>
            <w:shd w:fill="auto" w:val="clear"/>
          </w:tcPr>
          <w:p>
            <w:pPr>
              <w:pStyle w:val="Normal"/>
              <w:rPr>
                <w:lang w:val="lt-LT"/>
              </w:rPr>
            </w:pPr>
            <w:r>
              <w:rPr>
                <w:lang w:val="lt-LT"/>
              </w:rPr>
              <w:t>2018</w:t>
            </w:r>
          </w:p>
        </w:tc>
        <w:tc>
          <w:tcPr>
            <w:tcW w:w="1658" w:type="dxa"/>
            <w:tcBorders/>
            <w:shd w:fill="auto" w:val="clear"/>
            <w:vAlign w:val="bottom"/>
          </w:tcPr>
          <w:p>
            <w:pPr>
              <w:pStyle w:val="Normal"/>
              <w:jc w:val="right"/>
              <w:rPr>
                <w:color w:val="000000"/>
                <w:szCs w:val="22"/>
              </w:rPr>
            </w:pPr>
            <w:r>
              <w:rPr>
                <w:color w:val="000000"/>
                <w:szCs w:val="22"/>
              </w:rPr>
              <w:t>47,4</w:t>
            </w:r>
          </w:p>
        </w:tc>
        <w:tc>
          <w:tcPr>
            <w:tcW w:w="971" w:type="dxa"/>
            <w:tcBorders/>
            <w:shd w:fill="auto" w:val="clear"/>
            <w:vAlign w:val="bottom"/>
          </w:tcPr>
          <w:p>
            <w:pPr>
              <w:pStyle w:val="Normal"/>
              <w:jc w:val="right"/>
              <w:rPr>
                <w:color w:val="000000"/>
                <w:szCs w:val="22"/>
              </w:rPr>
            </w:pPr>
            <w:r>
              <w:rPr>
                <w:color w:val="000000"/>
                <w:szCs w:val="22"/>
              </w:rPr>
              <w:t>809</w:t>
            </w:r>
          </w:p>
        </w:tc>
        <w:tc>
          <w:tcPr>
            <w:tcW w:w="908" w:type="dxa"/>
            <w:tcBorders/>
            <w:shd w:fill="auto" w:val="clear"/>
            <w:vAlign w:val="bottom"/>
          </w:tcPr>
          <w:p>
            <w:pPr>
              <w:pStyle w:val="Normal"/>
              <w:jc w:val="right"/>
              <w:rPr>
                <w:color w:val="000000"/>
                <w:szCs w:val="22"/>
              </w:rPr>
            </w:pPr>
            <w:r>
              <w:rPr>
                <w:color w:val="000000"/>
                <w:szCs w:val="22"/>
              </w:rPr>
              <w:t>817</w:t>
            </w:r>
          </w:p>
        </w:tc>
        <w:tc>
          <w:tcPr>
            <w:tcW w:w="1027" w:type="dxa"/>
            <w:tcBorders/>
            <w:shd w:fill="auto" w:val="clear"/>
            <w:vAlign w:val="bottom"/>
          </w:tcPr>
          <w:p>
            <w:pPr>
              <w:pStyle w:val="Normal"/>
              <w:jc w:val="right"/>
              <w:rPr>
                <w:color w:val="000000"/>
                <w:szCs w:val="22"/>
              </w:rPr>
            </w:pPr>
            <w:r>
              <w:rPr>
                <w:color w:val="000000"/>
                <w:szCs w:val="22"/>
              </w:rPr>
              <w:t>813</w:t>
            </w:r>
          </w:p>
        </w:tc>
        <w:tc>
          <w:tcPr>
            <w:tcW w:w="1276" w:type="dxa"/>
            <w:gridSpan w:val="2"/>
            <w:tcBorders/>
            <w:shd w:fill="auto" w:val="clear"/>
            <w:vAlign w:val="bottom"/>
          </w:tcPr>
          <w:p>
            <w:pPr>
              <w:pStyle w:val="Normal"/>
              <w:jc w:val="right"/>
              <w:rPr>
                <w:color w:val="000000"/>
                <w:szCs w:val="22"/>
              </w:rPr>
            </w:pPr>
            <w:r>
              <w:rPr>
                <w:color w:val="000000"/>
                <w:szCs w:val="22"/>
              </w:rPr>
              <w:t>383</w:t>
            </w:r>
          </w:p>
        </w:tc>
        <w:tc>
          <w:tcPr>
            <w:tcW w:w="1384" w:type="dxa"/>
            <w:tcBorders/>
            <w:shd w:fill="auto" w:val="clear"/>
            <w:vAlign w:val="bottom"/>
          </w:tcPr>
          <w:p>
            <w:pPr>
              <w:pStyle w:val="Normal"/>
              <w:jc w:val="right"/>
              <w:rPr>
                <w:color w:val="000000"/>
                <w:szCs w:val="22"/>
              </w:rPr>
            </w:pPr>
            <w:r>
              <w:rPr>
                <w:color w:val="000000"/>
                <w:szCs w:val="22"/>
              </w:rPr>
              <w:t>387</w:t>
            </w:r>
          </w:p>
        </w:tc>
        <w:tc>
          <w:tcPr>
            <w:tcW w:w="1026" w:type="dxa"/>
            <w:tcBorders/>
            <w:shd w:fill="auto" w:val="clear"/>
          </w:tcPr>
          <w:p>
            <w:pPr>
              <w:pStyle w:val="Normal"/>
              <w:rPr>
                <w:lang w:val="lt-LT"/>
              </w:rPr>
            </w:pPr>
            <w:r>
              <w:rPr>
                <w:lang w:val="lt-LT"/>
              </w:rPr>
              <w:t>385</w:t>
            </w:r>
          </w:p>
        </w:tc>
        <w:tc>
          <w:tcPr>
            <w:tcW w:w="832" w:type="dxa"/>
            <w:tcBorders/>
            <w:shd w:fill="auto" w:val="clear"/>
            <w:vAlign w:val="bottom"/>
          </w:tcPr>
          <w:p>
            <w:pPr>
              <w:pStyle w:val="Normal"/>
              <w:jc w:val="right"/>
              <w:rPr>
                <w:color w:val="000000"/>
                <w:szCs w:val="22"/>
              </w:rPr>
            </w:pPr>
            <w:r>
              <w:rPr>
                <w:color w:val="000000"/>
                <w:szCs w:val="22"/>
              </w:rPr>
              <w:t>400</w:t>
            </w:r>
          </w:p>
        </w:tc>
      </w:tr>
      <w:tr>
        <w:trPr>
          <w:trHeight w:val="300" w:hRule="atLeast"/>
        </w:trPr>
        <w:tc>
          <w:tcPr>
            <w:tcW w:w="660" w:type="dxa"/>
            <w:tcBorders/>
            <w:shd w:fill="auto" w:val="clear"/>
          </w:tcPr>
          <w:p>
            <w:pPr>
              <w:pStyle w:val="Normal"/>
              <w:rPr>
                <w:lang w:val="lt-LT"/>
              </w:rPr>
            </w:pPr>
            <w:r>
              <w:rPr>
                <w:lang w:val="lt-LT"/>
              </w:rPr>
              <w:t>2019</w:t>
            </w:r>
          </w:p>
        </w:tc>
        <w:tc>
          <w:tcPr>
            <w:tcW w:w="1658" w:type="dxa"/>
            <w:tcBorders/>
            <w:shd w:fill="auto" w:val="clear"/>
            <w:vAlign w:val="bottom"/>
          </w:tcPr>
          <w:p>
            <w:pPr>
              <w:pStyle w:val="Normal"/>
              <w:jc w:val="right"/>
              <w:rPr>
                <w:color w:val="000000"/>
                <w:szCs w:val="22"/>
              </w:rPr>
            </w:pPr>
            <w:r>
              <w:rPr>
                <w:color w:val="000000"/>
                <w:szCs w:val="22"/>
              </w:rPr>
              <w:t>47,3</w:t>
            </w:r>
          </w:p>
        </w:tc>
        <w:tc>
          <w:tcPr>
            <w:tcW w:w="971" w:type="dxa"/>
            <w:tcBorders/>
            <w:shd w:fill="auto" w:val="clear"/>
            <w:vAlign w:val="bottom"/>
          </w:tcPr>
          <w:p>
            <w:pPr>
              <w:pStyle w:val="Normal"/>
              <w:jc w:val="right"/>
              <w:rPr>
                <w:color w:val="000000"/>
                <w:szCs w:val="22"/>
              </w:rPr>
            </w:pPr>
            <w:r>
              <w:rPr>
                <w:color w:val="000000"/>
                <w:szCs w:val="22"/>
              </w:rPr>
              <w:t>888</w:t>
            </w:r>
          </w:p>
        </w:tc>
        <w:tc>
          <w:tcPr>
            <w:tcW w:w="908" w:type="dxa"/>
            <w:tcBorders/>
            <w:shd w:fill="auto" w:val="clear"/>
            <w:vAlign w:val="bottom"/>
          </w:tcPr>
          <w:p>
            <w:pPr>
              <w:pStyle w:val="Normal"/>
              <w:jc w:val="right"/>
              <w:rPr>
                <w:color w:val="000000"/>
                <w:szCs w:val="22"/>
              </w:rPr>
            </w:pPr>
            <w:r>
              <w:rPr>
                <w:color w:val="000000"/>
                <w:szCs w:val="22"/>
              </w:rPr>
              <w:t>889</w:t>
            </w:r>
          </w:p>
        </w:tc>
        <w:tc>
          <w:tcPr>
            <w:tcW w:w="1027" w:type="dxa"/>
            <w:tcBorders/>
            <w:shd w:fill="auto" w:val="clear"/>
            <w:vAlign w:val="bottom"/>
          </w:tcPr>
          <w:p>
            <w:pPr>
              <w:pStyle w:val="Normal"/>
              <w:jc w:val="right"/>
              <w:rPr>
                <w:color w:val="000000"/>
                <w:szCs w:val="22"/>
              </w:rPr>
            </w:pPr>
            <w:r>
              <w:rPr>
                <w:color w:val="000000"/>
                <w:szCs w:val="22"/>
              </w:rPr>
              <w:t>888</w:t>
            </w:r>
          </w:p>
        </w:tc>
        <w:tc>
          <w:tcPr>
            <w:tcW w:w="1276" w:type="dxa"/>
            <w:gridSpan w:val="2"/>
            <w:tcBorders/>
            <w:shd w:fill="auto" w:val="clear"/>
            <w:vAlign w:val="bottom"/>
          </w:tcPr>
          <w:p>
            <w:pPr>
              <w:pStyle w:val="Normal"/>
              <w:jc w:val="right"/>
              <w:rPr>
                <w:color w:val="000000"/>
                <w:szCs w:val="22"/>
              </w:rPr>
            </w:pPr>
            <w:r>
              <w:rPr>
                <w:color w:val="000000"/>
                <w:szCs w:val="22"/>
              </w:rPr>
              <w:t>420**</w:t>
            </w:r>
          </w:p>
        </w:tc>
        <w:tc>
          <w:tcPr>
            <w:tcW w:w="1384" w:type="dxa"/>
            <w:tcBorders/>
            <w:shd w:fill="auto" w:val="clear"/>
            <w:vAlign w:val="bottom"/>
          </w:tcPr>
          <w:p>
            <w:pPr>
              <w:pStyle w:val="Normal"/>
              <w:jc w:val="right"/>
              <w:rPr>
                <w:color w:val="000000"/>
                <w:szCs w:val="22"/>
              </w:rPr>
            </w:pPr>
            <w:r>
              <w:rPr>
                <w:color w:val="000000"/>
                <w:szCs w:val="22"/>
              </w:rPr>
              <w:t>420</w:t>
            </w:r>
          </w:p>
        </w:tc>
        <w:tc>
          <w:tcPr>
            <w:tcW w:w="1026" w:type="dxa"/>
            <w:tcBorders/>
            <w:shd w:fill="auto" w:val="clear"/>
          </w:tcPr>
          <w:p>
            <w:pPr>
              <w:pStyle w:val="Normal"/>
              <w:rPr>
                <w:lang w:val="lt-LT"/>
              </w:rPr>
            </w:pPr>
            <w:r>
              <w:rPr>
                <w:lang w:val="lt-LT"/>
              </w:rPr>
              <w:t>420</w:t>
            </w:r>
          </w:p>
        </w:tc>
        <w:tc>
          <w:tcPr>
            <w:tcW w:w="832" w:type="dxa"/>
            <w:tcBorders/>
            <w:shd w:fill="auto" w:val="clear"/>
          </w:tcPr>
          <w:p>
            <w:pPr>
              <w:pStyle w:val="Normal"/>
              <w:rPr>
                <w:lang w:val="lt-LT"/>
              </w:rPr>
            </w:pPr>
            <w:r>
              <w:rPr>
                <w:lang w:val="lt-LT"/>
              </w:rPr>
            </w:r>
          </w:p>
        </w:tc>
      </w:tr>
      <w:tr>
        <w:trPr>
          <w:trHeight w:val="300" w:hRule="atLeast"/>
        </w:trPr>
        <w:tc>
          <w:tcPr>
            <w:tcW w:w="660" w:type="dxa"/>
            <w:tcBorders/>
            <w:shd w:fill="auto" w:val="clear"/>
          </w:tcPr>
          <w:p>
            <w:pPr>
              <w:pStyle w:val="Normal"/>
              <w:rPr>
                <w:lang w:val="lt-LT"/>
              </w:rPr>
            </w:pPr>
            <w:r>
              <w:rPr>
                <w:lang w:val="lt-LT"/>
              </w:rPr>
              <w:t>2020</w:t>
            </w:r>
          </w:p>
        </w:tc>
        <w:tc>
          <w:tcPr>
            <w:tcW w:w="1658" w:type="dxa"/>
            <w:tcBorders/>
            <w:shd w:fill="auto" w:val="clear"/>
            <w:vAlign w:val="bottom"/>
          </w:tcPr>
          <w:p>
            <w:pPr>
              <w:pStyle w:val="Normal"/>
              <w:jc w:val="right"/>
              <w:rPr>
                <w:color w:val="000000"/>
                <w:szCs w:val="22"/>
              </w:rPr>
            </w:pPr>
            <w:r>
              <w:rPr>
                <w:color w:val="000000"/>
                <w:szCs w:val="22"/>
              </w:rPr>
              <w:t>47,3</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942</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446</w:t>
            </w:r>
          </w:p>
        </w:tc>
        <w:tc>
          <w:tcPr>
            <w:tcW w:w="1026" w:type="dxa"/>
            <w:tcBorders/>
            <w:shd w:fill="auto" w:val="clear"/>
          </w:tcPr>
          <w:p>
            <w:pPr>
              <w:pStyle w:val="Normal"/>
              <w:rPr>
                <w:lang w:val="lt-LT"/>
              </w:rPr>
            </w:pPr>
            <w:r>
              <w:rPr>
                <w:lang w:val="lt-LT"/>
              </w:rPr>
            </w:r>
          </w:p>
        </w:tc>
        <w:tc>
          <w:tcPr>
            <w:tcW w:w="832" w:type="dxa"/>
            <w:tcBorders/>
            <w:shd w:fill="auto" w:val="clear"/>
          </w:tcPr>
          <w:p>
            <w:pPr>
              <w:pStyle w:val="Normal"/>
              <w:rPr>
                <w:lang w:val="lt-LT"/>
              </w:rPr>
            </w:pPr>
            <w:r>
              <w:rPr>
                <w:lang w:val="lt-LT"/>
              </w:rPr>
            </w:r>
          </w:p>
        </w:tc>
      </w:tr>
      <w:tr>
        <w:trPr>
          <w:trHeight w:val="300" w:hRule="atLeast"/>
        </w:trPr>
        <w:tc>
          <w:tcPr>
            <w:tcW w:w="660" w:type="dxa"/>
            <w:tcBorders/>
            <w:shd w:fill="auto" w:val="clear"/>
          </w:tcPr>
          <w:p>
            <w:pPr>
              <w:pStyle w:val="Normal"/>
              <w:rPr>
                <w:lang w:val="lt-LT"/>
              </w:rPr>
            </w:pPr>
            <w:r>
              <w:rPr>
                <w:lang w:val="lt-LT"/>
              </w:rPr>
              <w:t>2021</w:t>
            </w:r>
          </w:p>
        </w:tc>
        <w:tc>
          <w:tcPr>
            <w:tcW w:w="1658" w:type="dxa"/>
            <w:tcBorders/>
            <w:shd w:fill="auto" w:val="clear"/>
            <w:vAlign w:val="bottom"/>
          </w:tcPr>
          <w:p>
            <w:pPr>
              <w:pStyle w:val="Normal"/>
              <w:jc w:val="right"/>
              <w:rPr>
                <w:color w:val="000000"/>
                <w:szCs w:val="22"/>
              </w:rPr>
            </w:pPr>
            <w:r>
              <w:rPr>
                <w:color w:val="000000"/>
                <w:szCs w:val="22"/>
              </w:rPr>
              <w:t>47,3</w:t>
            </w:r>
          </w:p>
        </w:tc>
        <w:tc>
          <w:tcPr>
            <w:tcW w:w="971" w:type="dxa"/>
            <w:tcBorders/>
            <w:shd w:fill="auto" w:val="clear"/>
          </w:tcPr>
          <w:p>
            <w:pPr>
              <w:pStyle w:val="Normal"/>
              <w:rPr>
                <w:lang w:val="lt-LT"/>
              </w:rPr>
            </w:pPr>
            <w:r>
              <w:rPr>
                <w:lang w:val="lt-LT"/>
              </w:rPr>
            </w:r>
          </w:p>
        </w:tc>
        <w:tc>
          <w:tcPr>
            <w:tcW w:w="908" w:type="dxa"/>
            <w:tcBorders/>
            <w:shd w:fill="auto" w:val="clear"/>
            <w:vAlign w:val="bottom"/>
          </w:tcPr>
          <w:p>
            <w:pPr>
              <w:pStyle w:val="Normal"/>
              <w:jc w:val="right"/>
              <w:rPr>
                <w:color w:val="000000"/>
                <w:szCs w:val="22"/>
              </w:rPr>
            </w:pPr>
            <w:r>
              <w:rPr>
                <w:color w:val="000000"/>
                <w:szCs w:val="22"/>
              </w:rPr>
              <w:t>998</w:t>
            </w:r>
          </w:p>
        </w:tc>
        <w:tc>
          <w:tcPr>
            <w:tcW w:w="1027" w:type="dxa"/>
            <w:tcBorders/>
            <w:shd w:fill="auto" w:val="clear"/>
          </w:tcPr>
          <w:p>
            <w:pPr>
              <w:pStyle w:val="Normal"/>
              <w:rPr>
                <w:lang w:val="lt-LT"/>
              </w:rPr>
            </w:pPr>
            <w:r>
              <w:rPr>
                <w:lang w:val="lt-LT"/>
              </w:rPr>
            </w:r>
          </w:p>
        </w:tc>
        <w:tc>
          <w:tcPr>
            <w:tcW w:w="1276" w:type="dxa"/>
            <w:gridSpan w:val="2"/>
            <w:tcBorders/>
            <w:shd w:fill="auto" w:val="clear"/>
          </w:tcPr>
          <w:p>
            <w:pPr>
              <w:pStyle w:val="Normal"/>
              <w:rPr>
                <w:lang w:val="lt-LT"/>
              </w:rPr>
            </w:pPr>
            <w:r>
              <w:rPr>
                <w:lang w:val="lt-LT"/>
              </w:rPr>
            </w:r>
          </w:p>
        </w:tc>
        <w:tc>
          <w:tcPr>
            <w:tcW w:w="1384" w:type="dxa"/>
            <w:tcBorders/>
            <w:shd w:fill="auto" w:val="clear"/>
            <w:vAlign w:val="bottom"/>
          </w:tcPr>
          <w:p>
            <w:pPr>
              <w:pStyle w:val="Normal"/>
              <w:jc w:val="right"/>
              <w:rPr>
                <w:color w:val="000000"/>
                <w:szCs w:val="22"/>
              </w:rPr>
            </w:pPr>
            <w:r>
              <w:rPr>
                <w:color w:val="000000"/>
                <w:szCs w:val="22"/>
              </w:rPr>
              <w:t>472</w:t>
            </w:r>
          </w:p>
        </w:tc>
        <w:tc>
          <w:tcPr>
            <w:tcW w:w="1026" w:type="dxa"/>
            <w:tcBorders/>
            <w:shd w:fill="auto" w:val="clear"/>
          </w:tcPr>
          <w:p>
            <w:pPr>
              <w:pStyle w:val="Normal"/>
              <w:rPr>
                <w:lang w:val="lt-LT"/>
              </w:rPr>
            </w:pPr>
            <w:r>
              <w:rPr>
                <w:lang w:val="lt-LT"/>
              </w:rPr>
            </w:r>
          </w:p>
        </w:tc>
        <w:tc>
          <w:tcPr>
            <w:tcW w:w="832" w:type="dxa"/>
            <w:tcBorders/>
            <w:shd w:fill="auto" w:val="clear"/>
          </w:tcPr>
          <w:p>
            <w:pPr>
              <w:pStyle w:val="Normal"/>
              <w:rPr>
                <w:lang w:val="lt-LT"/>
              </w:rPr>
            </w:pPr>
            <w:r>
              <w:rPr>
                <w:lang w:val="lt-LT"/>
              </w:rPr>
            </w:r>
          </w:p>
        </w:tc>
      </w:tr>
    </w:tbl>
    <w:p>
      <w:pPr>
        <w:pStyle w:val="Normal"/>
        <w:rPr>
          <w:i/>
          <w:i/>
          <w:sz w:val="16"/>
          <w:szCs w:val="16"/>
          <w:lang w:val="lt-LT"/>
        </w:rPr>
      </w:pPr>
      <w:r>
        <w:rPr>
          <w:i/>
          <w:sz w:val="16"/>
          <w:szCs w:val="16"/>
          <w:lang w:val="lt-LT"/>
        </w:rPr>
        <w:t>* Nurodytų metų VDU prognozė buvo paskelbta prieš tai einančių metų pavasarį, pvz., 2019 m. VDU prognozė tiek LB, tiek FM buvo paskelbta 2018 m. kovo mėn. LB ir FM VDU be priedų ir kt. neprognozuoja, todėl skaičiai pateikti remiantis prielaida, kad VDU be priedų ir kt. augs, kaip ir VDU su priedais ir kt.</w:t>
      </w:r>
    </w:p>
    <w:p>
      <w:pPr>
        <w:pStyle w:val="Normal"/>
        <w:rPr>
          <w:i/>
          <w:i/>
          <w:sz w:val="16"/>
          <w:szCs w:val="16"/>
          <w:lang w:val="lt-LT"/>
        </w:rPr>
      </w:pPr>
      <w:r>
        <w:rPr>
          <w:i/>
          <w:sz w:val="16"/>
          <w:szCs w:val="16"/>
          <w:lang w:val="lt-LT"/>
        </w:rPr>
        <w:t>** Šis dydis remiasi 2018 m. kovo mėn. prognozėmis.</w:t>
      </w:r>
    </w:p>
    <w:p>
      <w:pPr>
        <w:pStyle w:val="Normal"/>
        <w:rPr>
          <w:i/>
          <w:i/>
          <w:sz w:val="16"/>
          <w:szCs w:val="16"/>
          <w:lang w:val="lt-LT"/>
        </w:rPr>
      </w:pPr>
      <w:r>
        <w:rPr>
          <w:i/>
          <w:sz w:val="16"/>
          <w:szCs w:val="16"/>
          <w:lang w:val="lt-LT"/>
        </w:rPr>
        <w:t>Šaltiniai: Lietuvos statistikos departamentas ir LB prognozės.</w:t>
      </w:r>
    </w:p>
    <w:p>
      <w:pPr>
        <w:pStyle w:val="Normal"/>
        <w:rPr>
          <w:sz w:val="24"/>
          <w:lang w:val="lt-LT"/>
        </w:rPr>
      </w:pPr>
      <w:r>
        <w:rPr>
          <w:sz w:val="24"/>
          <w:lang w:val="lt-LT"/>
        </w:rPr>
      </w:r>
    </w:p>
    <w:p>
      <w:pPr>
        <w:pStyle w:val="Normal"/>
        <w:jc w:val="both"/>
        <w:rPr>
          <w:sz w:val="24"/>
          <w:lang w:val="lt-LT"/>
        </w:rPr>
      </w:pPr>
      <w:r>
        <w:rPr>
          <w:sz w:val="24"/>
          <w:lang w:val="lt-LT"/>
        </w:rPr>
        <w:t xml:space="preserve">Nustatyti MMA, naudojant pirmiau minėtą kompensacijos dirbantiesiems rodiklį, būtų nekorektiška, todėl MMA, apskaičiuotos pagal tą rodiklį, raida iki 2014 m. 3 lentelėje pateikiama tik iliustraciniais tikslais. </w:t>
      </w:r>
    </w:p>
    <w:p>
      <w:pPr>
        <w:pStyle w:val="Normal"/>
        <w:rPr>
          <w:sz w:val="24"/>
          <w:lang w:val="lt-LT"/>
        </w:rPr>
      </w:pPr>
      <w:r>
        <w:rPr>
          <w:sz w:val="24"/>
          <w:lang w:val="lt-LT"/>
        </w:rPr>
      </w:r>
    </w:p>
    <w:p>
      <w:pPr>
        <w:pStyle w:val="Normal"/>
        <w:rPr>
          <w:sz w:val="24"/>
          <w:lang w:val="lt-LT"/>
        </w:rPr>
      </w:pPr>
      <w:r>
        <w:rPr>
          <w:sz w:val="24"/>
          <w:lang w:val="lt-LT"/>
        </w:rPr>
        <w:t>3 lentelė. MMA, nustatytos pagal LB siūlomą metodiką, tačiau naudojant ne darbo užmokesčio, bet kompensacijos dirbančiajam prognozę, istorinė raida</w:t>
      </w:r>
    </w:p>
    <w:p>
      <w:pPr>
        <w:pStyle w:val="Normal"/>
        <w:rPr>
          <w:sz w:val="24"/>
          <w:lang w:val="lt-LT"/>
        </w:rPr>
      </w:pPr>
      <w:r>
        <w:rPr>
          <w:sz w:val="24"/>
          <w:lang w:val="lt-LT"/>
        </w:rPr>
      </w:r>
    </w:p>
    <w:tbl>
      <w:tblPr>
        <w:tblStyle w:val="Lentelstinklelis"/>
        <w:tblW w:w="9404" w:type="dxa"/>
        <w:jc w:val="left"/>
        <w:tblInd w:w="0" w:type="dxa"/>
        <w:tblCellMar>
          <w:top w:w="0" w:type="dxa"/>
          <w:left w:w="108" w:type="dxa"/>
          <w:bottom w:w="0" w:type="dxa"/>
          <w:right w:w="108" w:type="dxa"/>
        </w:tblCellMar>
        <w:tblLook w:noVBand="1" w:val="04a0" w:noHBand="0" w:lastColumn="0" w:firstColumn="1" w:lastRow="0" w:firstRow="1"/>
      </w:tblPr>
      <w:tblGrid>
        <w:gridCol w:w="674"/>
        <w:gridCol w:w="2267"/>
        <w:gridCol w:w="3543"/>
        <w:gridCol w:w="1783"/>
        <w:gridCol w:w="1137"/>
      </w:tblGrid>
      <w:tr>
        <w:trPr>
          <w:trHeight w:val="300" w:hRule="atLeast"/>
        </w:trPr>
        <w:tc>
          <w:tcPr>
            <w:tcW w:w="674" w:type="dxa"/>
            <w:tcBorders/>
            <w:shd w:fill="auto" w:val="clear"/>
          </w:tcPr>
          <w:p>
            <w:pPr>
              <w:pStyle w:val="Normal"/>
              <w:rPr/>
            </w:pPr>
            <w:r>
              <w:rPr/>
            </w:r>
          </w:p>
        </w:tc>
        <w:tc>
          <w:tcPr>
            <w:tcW w:w="2267" w:type="dxa"/>
            <w:tcBorders/>
            <w:shd w:fill="auto" w:val="clear"/>
          </w:tcPr>
          <w:p>
            <w:pPr>
              <w:pStyle w:val="Normal"/>
              <w:rPr/>
            </w:pPr>
            <w:r>
              <w:rPr/>
              <w:t xml:space="preserve">MMA ir VDU santykis, taikomas nustatant MMA </w:t>
            </w:r>
          </w:p>
        </w:tc>
        <w:tc>
          <w:tcPr>
            <w:tcW w:w="3543" w:type="dxa"/>
            <w:tcBorders/>
            <w:shd w:fill="auto" w:val="clear"/>
          </w:tcPr>
          <w:p>
            <w:pPr>
              <w:pStyle w:val="Normal"/>
              <w:rPr/>
            </w:pPr>
            <w:r>
              <w:rPr/>
              <w:t>VDU be priedų ir kt. prognozė, apskaičiuota pagal kompensacijos dirbančiajam prognozę*</w:t>
            </w:r>
          </w:p>
        </w:tc>
        <w:tc>
          <w:tcPr>
            <w:tcW w:w="1783" w:type="dxa"/>
            <w:tcBorders/>
            <w:shd w:fill="auto" w:val="clear"/>
          </w:tcPr>
          <w:p>
            <w:pPr>
              <w:pStyle w:val="Normal"/>
              <w:rPr/>
            </w:pPr>
            <w:r>
              <w:rPr/>
              <w:t>MMA, apskaičiuota pagal LB metodiką</w:t>
            </w:r>
          </w:p>
        </w:tc>
        <w:tc>
          <w:tcPr>
            <w:tcW w:w="1137" w:type="dxa"/>
            <w:tcBorders/>
            <w:shd w:fill="auto" w:val="clear"/>
          </w:tcPr>
          <w:p>
            <w:pPr>
              <w:pStyle w:val="Normal"/>
              <w:rPr/>
            </w:pPr>
            <w:r>
              <w:rPr/>
              <w:t>Faktinė MMA</w:t>
            </w:r>
          </w:p>
        </w:tc>
      </w:tr>
      <w:tr>
        <w:trPr>
          <w:trHeight w:val="300" w:hRule="atLeast"/>
        </w:trPr>
        <w:tc>
          <w:tcPr>
            <w:tcW w:w="674" w:type="dxa"/>
            <w:tcBorders/>
            <w:shd w:fill="auto" w:val="clear"/>
          </w:tcPr>
          <w:p>
            <w:pPr>
              <w:pStyle w:val="Normal"/>
              <w:rPr/>
            </w:pPr>
            <w:r>
              <w:rPr/>
              <w:t>2008</w:t>
            </w:r>
          </w:p>
        </w:tc>
        <w:tc>
          <w:tcPr>
            <w:tcW w:w="2267" w:type="dxa"/>
            <w:tcBorders/>
            <w:shd w:fill="auto" w:val="clear"/>
          </w:tcPr>
          <w:p>
            <w:pPr>
              <w:pStyle w:val="Normal"/>
              <w:rPr/>
            </w:pPr>
            <w:r>
              <w:rPr/>
              <w:t>47,2</w:t>
            </w:r>
          </w:p>
        </w:tc>
        <w:tc>
          <w:tcPr>
            <w:tcW w:w="3543" w:type="dxa"/>
            <w:tcBorders/>
            <w:shd w:fill="auto" w:val="clear"/>
          </w:tcPr>
          <w:p>
            <w:pPr>
              <w:pStyle w:val="Normal"/>
              <w:rPr/>
            </w:pPr>
            <w:r>
              <w:rPr/>
              <w:t>523</w:t>
            </w:r>
          </w:p>
        </w:tc>
        <w:tc>
          <w:tcPr>
            <w:tcW w:w="1783" w:type="dxa"/>
            <w:tcBorders/>
            <w:shd w:fill="auto" w:val="clear"/>
          </w:tcPr>
          <w:p>
            <w:pPr>
              <w:pStyle w:val="Normal"/>
              <w:rPr/>
            </w:pPr>
            <w:r>
              <w:rPr/>
              <w:t>247</w:t>
            </w:r>
          </w:p>
        </w:tc>
        <w:tc>
          <w:tcPr>
            <w:tcW w:w="1137" w:type="dxa"/>
            <w:tcBorders/>
            <w:shd w:fill="auto" w:val="clear"/>
          </w:tcPr>
          <w:p>
            <w:pPr>
              <w:pStyle w:val="Normal"/>
              <w:rPr/>
            </w:pPr>
            <w:r>
              <w:rPr/>
              <w:t>232</w:t>
            </w:r>
          </w:p>
        </w:tc>
      </w:tr>
      <w:tr>
        <w:trPr>
          <w:trHeight w:val="300" w:hRule="atLeast"/>
        </w:trPr>
        <w:tc>
          <w:tcPr>
            <w:tcW w:w="674" w:type="dxa"/>
            <w:tcBorders/>
            <w:shd w:fill="auto" w:val="clear"/>
          </w:tcPr>
          <w:p>
            <w:pPr>
              <w:pStyle w:val="Normal"/>
              <w:rPr/>
            </w:pPr>
            <w:r>
              <w:rPr/>
              <w:t>2009</w:t>
            </w:r>
          </w:p>
        </w:tc>
        <w:tc>
          <w:tcPr>
            <w:tcW w:w="2267" w:type="dxa"/>
            <w:tcBorders/>
            <w:shd w:fill="auto" w:val="clear"/>
          </w:tcPr>
          <w:p>
            <w:pPr>
              <w:pStyle w:val="Normal"/>
              <w:rPr/>
            </w:pPr>
            <w:r>
              <w:rPr/>
              <w:t>47,0</w:t>
            </w:r>
          </w:p>
        </w:tc>
        <w:tc>
          <w:tcPr>
            <w:tcW w:w="3543" w:type="dxa"/>
            <w:tcBorders/>
            <w:shd w:fill="auto" w:val="clear"/>
          </w:tcPr>
          <w:p>
            <w:pPr>
              <w:pStyle w:val="Normal"/>
              <w:rPr/>
            </w:pPr>
            <w:r>
              <w:rPr/>
              <w:t>593</w:t>
            </w:r>
          </w:p>
        </w:tc>
        <w:tc>
          <w:tcPr>
            <w:tcW w:w="1783" w:type="dxa"/>
            <w:tcBorders/>
            <w:shd w:fill="auto" w:val="clear"/>
          </w:tcPr>
          <w:p>
            <w:pPr>
              <w:pStyle w:val="Normal"/>
              <w:rPr/>
            </w:pPr>
            <w:r>
              <w:rPr/>
              <w:t>279</w:t>
            </w:r>
          </w:p>
        </w:tc>
        <w:tc>
          <w:tcPr>
            <w:tcW w:w="1137" w:type="dxa"/>
            <w:tcBorders/>
            <w:shd w:fill="auto" w:val="clear"/>
          </w:tcPr>
          <w:p>
            <w:pPr>
              <w:pStyle w:val="Normal"/>
              <w:rPr/>
            </w:pPr>
            <w:r>
              <w:rPr/>
              <w:t>232</w:t>
            </w:r>
          </w:p>
        </w:tc>
      </w:tr>
      <w:tr>
        <w:trPr>
          <w:trHeight w:val="300" w:hRule="atLeast"/>
        </w:trPr>
        <w:tc>
          <w:tcPr>
            <w:tcW w:w="674" w:type="dxa"/>
            <w:tcBorders/>
            <w:shd w:fill="auto" w:val="clear"/>
          </w:tcPr>
          <w:p>
            <w:pPr>
              <w:pStyle w:val="Normal"/>
              <w:rPr/>
            </w:pPr>
            <w:r>
              <w:rPr/>
              <w:t>2010</w:t>
            </w:r>
          </w:p>
        </w:tc>
        <w:tc>
          <w:tcPr>
            <w:tcW w:w="2267" w:type="dxa"/>
            <w:tcBorders/>
            <w:shd w:fill="auto" w:val="clear"/>
          </w:tcPr>
          <w:p>
            <w:pPr>
              <w:pStyle w:val="Normal"/>
              <w:rPr/>
            </w:pPr>
            <w:r>
              <w:rPr/>
              <w:t>47,3</w:t>
            </w:r>
          </w:p>
        </w:tc>
        <w:tc>
          <w:tcPr>
            <w:tcW w:w="3543" w:type="dxa"/>
            <w:tcBorders/>
            <w:shd w:fill="auto" w:val="clear"/>
          </w:tcPr>
          <w:p>
            <w:pPr>
              <w:pStyle w:val="Normal"/>
              <w:rPr/>
            </w:pPr>
            <w:r>
              <w:rPr/>
              <w:t>483</w:t>
            </w:r>
          </w:p>
        </w:tc>
        <w:tc>
          <w:tcPr>
            <w:tcW w:w="1783" w:type="dxa"/>
            <w:tcBorders/>
            <w:shd w:fill="auto" w:val="clear"/>
          </w:tcPr>
          <w:p>
            <w:pPr>
              <w:pStyle w:val="Normal"/>
              <w:rPr/>
            </w:pPr>
            <w:r>
              <w:rPr/>
              <w:t>229</w:t>
            </w:r>
          </w:p>
        </w:tc>
        <w:tc>
          <w:tcPr>
            <w:tcW w:w="1137" w:type="dxa"/>
            <w:tcBorders/>
            <w:shd w:fill="auto" w:val="clear"/>
          </w:tcPr>
          <w:p>
            <w:pPr>
              <w:pStyle w:val="Normal"/>
              <w:rPr/>
            </w:pPr>
            <w:r>
              <w:rPr/>
              <w:t>232</w:t>
            </w:r>
          </w:p>
        </w:tc>
      </w:tr>
      <w:tr>
        <w:trPr>
          <w:trHeight w:val="300" w:hRule="atLeast"/>
        </w:trPr>
        <w:tc>
          <w:tcPr>
            <w:tcW w:w="674" w:type="dxa"/>
            <w:tcBorders/>
            <w:shd w:fill="auto" w:val="clear"/>
          </w:tcPr>
          <w:p>
            <w:pPr>
              <w:pStyle w:val="Normal"/>
              <w:rPr/>
            </w:pPr>
            <w:r>
              <w:rPr/>
              <w:t>2011</w:t>
            </w:r>
          </w:p>
        </w:tc>
        <w:tc>
          <w:tcPr>
            <w:tcW w:w="2267" w:type="dxa"/>
            <w:tcBorders/>
            <w:shd w:fill="auto" w:val="clear"/>
          </w:tcPr>
          <w:p>
            <w:pPr>
              <w:pStyle w:val="Normal"/>
              <w:rPr/>
            </w:pPr>
            <w:r>
              <w:rPr/>
              <w:t>47,4</w:t>
            </w:r>
          </w:p>
        </w:tc>
        <w:tc>
          <w:tcPr>
            <w:tcW w:w="3543" w:type="dxa"/>
            <w:tcBorders/>
            <w:shd w:fill="auto" w:val="clear"/>
          </w:tcPr>
          <w:p>
            <w:pPr>
              <w:pStyle w:val="Normal"/>
              <w:rPr/>
            </w:pPr>
            <w:r>
              <w:rPr/>
              <w:t>539</w:t>
            </w:r>
          </w:p>
        </w:tc>
        <w:tc>
          <w:tcPr>
            <w:tcW w:w="1783" w:type="dxa"/>
            <w:tcBorders/>
            <w:shd w:fill="auto" w:val="clear"/>
          </w:tcPr>
          <w:p>
            <w:pPr>
              <w:pStyle w:val="Normal"/>
              <w:rPr/>
            </w:pPr>
            <w:r>
              <w:rPr/>
              <w:t>255</w:t>
            </w:r>
          </w:p>
        </w:tc>
        <w:tc>
          <w:tcPr>
            <w:tcW w:w="1137" w:type="dxa"/>
            <w:tcBorders/>
            <w:shd w:fill="auto" w:val="clear"/>
          </w:tcPr>
          <w:p>
            <w:pPr>
              <w:pStyle w:val="Normal"/>
              <w:rPr/>
            </w:pPr>
            <w:r>
              <w:rPr/>
              <w:t>232</w:t>
            </w:r>
          </w:p>
        </w:tc>
      </w:tr>
      <w:tr>
        <w:trPr>
          <w:trHeight w:val="300" w:hRule="atLeast"/>
        </w:trPr>
        <w:tc>
          <w:tcPr>
            <w:tcW w:w="674" w:type="dxa"/>
            <w:tcBorders/>
            <w:shd w:fill="auto" w:val="clear"/>
          </w:tcPr>
          <w:p>
            <w:pPr>
              <w:pStyle w:val="Normal"/>
              <w:rPr/>
            </w:pPr>
            <w:r>
              <w:rPr/>
              <w:t>2012</w:t>
            </w:r>
          </w:p>
        </w:tc>
        <w:tc>
          <w:tcPr>
            <w:tcW w:w="2267" w:type="dxa"/>
            <w:tcBorders/>
            <w:shd w:fill="auto" w:val="clear"/>
          </w:tcPr>
          <w:p>
            <w:pPr>
              <w:pStyle w:val="Normal"/>
              <w:rPr/>
            </w:pPr>
            <w:r>
              <w:rPr/>
              <w:t>46,9</w:t>
            </w:r>
          </w:p>
        </w:tc>
        <w:tc>
          <w:tcPr>
            <w:tcW w:w="3543" w:type="dxa"/>
            <w:tcBorders/>
            <w:shd w:fill="auto" w:val="clear"/>
          </w:tcPr>
          <w:p>
            <w:pPr>
              <w:pStyle w:val="Normal"/>
              <w:rPr/>
            </w:pPr>
            <w:r>
              <w:rPr/>
              <w:t>595</w:t>
            </w:r>
          </w:p>
        </w:tc>
        <w:tc>
          <w:tcPr>
            <w:tcW w:w="1783" w:type="dxa"/>
            <w:tcBorders/>
            <w:shd w:fill="auto" w:val="clear"/>
          </w:tcPr>
          <w:p>
            <w:pPr>
              <w:pStyle w:val="Normal"/>
              <w:rPr/>
            </w:pPr>
            <w:r>
              <w:rPr/>
              <w:t>279</w:t>
            </w:r>
          </w:p>
        </w:tc>
        <w:tc>
          <w:tcPr>
            <w:tcW w:w="1137" w:type="dxa"/>
            <w:tcBorders/>
            <w:shd w:fill="auto" w:val="clear"/>
          </w:tcPr>
          <w:p>
            <w:pPr>
              <w:pStyle w:val="Normal"/>
              <w:rPr/>
            </w:pPr>
            <w:r>
              <w:rPr/>
              <w:t>238</w:t>
            </w:r>
          </w:p>
        </w:tc>
      </w:tr>
      <w:tr>
        <w:trPr>
          <w:trHeight w:val="300" w:hRule="atLeast"/>
        </w:trPr>
        <w:tc>
          <w:tcPr>
            <w:tcW w:w="674" w:type="dxa"/>
            <w:tcBorders/>
            <w:shd w:fill="auto" w:val="clear"/>
          </w:tcPr>
          <w:p>
            <w:pPr>
              <w:pStyle w:val="Normal"/>
              <w:rPr/>
            </w:pPr>
            <w:r>
              <w:rPr/>
              <w:t>2013</w:t>
            </w:r>
          </w:p>
        </w:tc>
        <w:tc>
          <w:tcPr>
            <w:tcW w:w="2267" w:type="dxa"/>
            <w:tcBorders/>
            <w:shd w:fill="auto" w:val="clear"/>
          </w:tcPr>
          <w:p>
            <w:pPr>
              <w:pStyle w:val="Normal"/>
              <w:rPr/>
            </w:pPr>
            <w:r>
              <w:rPr/>
              <w:t>46,3</w:t>
            </w:r>
          </w:p>
        </w:tc>
        <w:tc>
          <w:tcPr>
            <w:tcW w:w="3543" w:type="dxa"/>
            <w:tcBorders/>
            <w:shd w:fill="auto" w:val="clear"/>
          </w:tcPr>
          <w:p>
            <w:pPr>
              <w:pStyle w:val="Normal"/>
              <w:rPr/>
            </w:pPr>
            <w:r>
              <w:rPr/>
              <w:t>589</w:t>
            </w:r>
          </w:p>
        </w:tc>
        <w:tc>
          <w:tcPr>
            <w:tcW w:w="1783" w:type="dxa"/>
            <w:tcBorders/>
            <w:shd w:fill="auto" w:val="clear"/>
          </w:tcPr>
          <w:p>
            <w:pPr>
              <w:pStyle w:val="Normal"/>
              <w:rPr/>
            </w:pPr>
            <w:r>
              <w:rPr/>
              <w:t>273</w:t>
            </w:r>
          </w:p>
        </w:tc>
        <w:tc>
          <w:tcPr>
            <w:tcW w:w="1137" w:type="dxa"/>
            <w:tcBorders/>
            <w:shd w:fill="auto" w:val="clear"/>
          </w:tcPr>
          <w:p>
            <w:pPr>
              <w:pStyle w:val="Normal"/>
              <w:rPr/>
            </w:pPr>
            <w:r>
              <w:rPr/>
              <w:t>290</w:t>
            </w:r>
          </w:p>
        </w:tc>
      </w:tr>
      <w:tr>
        <w:trPr>
          <w:trHeight w:val="300" w:hRule="atLeast"/>
        </w:trPr>
        <w:tc>
          <w:tcPr>
            <w:tcW w:w="674" w:type="dxa"/>
            <w:tcBorders/>
            <w:shd w:fill="auto" w:val="clear"/>
          </w:tcPr>
          <w:p>
            <w:pPr>
              <w:pStyle w:val="Normal"/>
              <w:rPr/>
            </w:pPr>
            <w:r>
              <w:rPr/>
              <w:t>2014</w:t>
            </w:r>
          </w:p>
        </w:tc>
        <w:tc>
          <w:tcPr>
            <w:tcW w:w="2267" w:type="dxa"/>
            <w:tcBorders/>
            <w:shd w:fill="auto" w:val="clear"/>
          </w:tcPr>
          <w:p>
            <w:pPr>
              <w:pStyle w:val="Normal"/>
              <w:rPr/>
            </w:pPr>
            <w:r>
              <w:rPr/>
              <w:t>46,5</w:t>
            </w:r>
          </w:p>
        </w:tc>
        <w:tc>
          <w:tcPr>
            <w:tcW w:w="3543" w:type="dxa"/>
            <w:tcBorders/>
            <w:shd w:fill="auto" w:val="clear"/>
          </w:tcPr>
          <w:p>
            <w:pPr>
              <w:pStyle w:val="Normal"/>
              <w:rPr/>
            </w:pPr>
            <w:r>
              <w:rPr/>
              <w:t>624</w:t>
            </w:r>
          </w:p>
        </w:tc>
        <w:tc>
          <w:tcPr>
            <w:tcW w:w="1783" w:type="dxa"/>
            <w:tcBorders/>
            <w:shd w:fill="auto" w:val="clear"/>
          </w:tcPr>
          <w:p>
            <w:pPr>
              <w:pStyle w:val="Normal"/>
              <w:rPr/>
            </w:pPr>
            <w:r>
              <w:rPr/>
              <w:t>290</w:t>
            </w:r>
          </w:p>
        </w:tc>
        <w:tc>
          <w:tcPr>
            <w:tcW w:w="1137" w:type="dxa"/>
            <w:tcBorders/>
            <w:shd w:fill="auto" w:val="clear"/>
          </w:tcPr>
          <w:p>
            <w:pPr>
              <w:pStyle w:val="Normal"/>
              <w:rPr/>
            </w:pPr>
            <w:r>
              <w:rPr/>
              <w:t>292</w:t>
            </w:r>
          </w:p>
        </w:tc>
      </w:tr>
      <w:tr>
        <w:trPr>
          <w:trHeight w:val="300" w:hRule="atLeast"/>
        </w:trPr>
        <w:tc>
          <w:tcPr>
            <w:tcW w:w="674" w:type="dxa"/>
            <w:tcBorders/>
            <w:shd w:fill="auto" w:val="clear"/>
          </w:tcPr>
          <w:p>
            <w:pPr>
              <w:pStyle w:val="Normal"/>
              <w:rPr/>
            </w:pPr>
            <w:r>
              <w:rPr/>
              <w:t>2015</w:t>
            </w:r>
          </w:p>
        </w:tc>
        <w:tc>
          <w:tcPr>
            <w:tcW w:w="2267" w:type="dxa"/>
            <w:tcBorders/>
            <w:shd w:fill="auto" w:val="clear"/>
          </w:tcPr>
          <w:p>
            <w:pPr>
              <w:pStyle w:val="Normal"/>
              <w:rPr/>
            </w:pPr>
            <w:r>
              <w:rPr/>
              <w:t>46,9</w:t>
            </w:r>
          </w:p>
        </w:tc>
        <w:tc>
          <w:tcPr>
            <w:tcW w:w="3543" w:type="dxa"/>
            <w:tcBorders/>
            <w:shd w:fill="auto" w:val="clear"/>
          </w:tcPr>
          <w:p>
            <w:pPr>
              <w:pStyle w:val="Normal"/>
              <w:rPr/>
            </w:pPr>
            <w:r>
              <w:rPr/>
              <w:t>660</w:t>
            </w:r>
          </w:p>
        </w:tc>
        <w:tc>
          <w:tcPr>
            <w:tcW w:w="1783" w:type="dxa"/>
            <w:tcBorders/>
            <w:shd w:fill="auto" w:val="clear"/>
          </w:tcPr>
          <w:p>
            <w:pPr>
              <w:pStyle w:val="Normal"/>
              <w:rPr/>
            </w:pPr>
            <w:r>
              <w:rPr/>
              <w:t>309</w:t>
            </w:r>
          </w:p>
        </w:tc>
        <w:tc>
          <w:tcPr>
            <w:tcW w:w="1137" w:type="dxa"/>
            <w:tcBorders/>
            <w:shd w:fill="auto" w:val="clear"/>
          </w:tcPr>
          <w:p>
            <w:pPr>
              <w:pStyle w:val="Normal"/>
              <w:rPr/>
            </w:pPr>
            <w:r>
              <w:rPr/>
              <w:t>313</w:t>
            </w:r>
          </w:p>
        </w:tc>
      </w:tr>
    </w:tbl>
    <w:p>
      <w:pPr>
        <w:pStyle w:val="Normal"/>
        <w:rPr>
          <w:i/>
          <w:i/>
          <w:sz w:val="16"/>
          <w:szCs w:val="16"/>
          <w:lang w:val="lt-LT"/>
        </w:rPr>
      </w:pPr>
      <w:r>
        <w:rPr>
          <w:i/>
          <w:sz w:val="16"/>
          <w:szCs w:val="16"/>
          <w:lang w:val="lt-LT"/>
        </w:rPr>
        <w:t>* Nurodytų metų VDU prognozė buvo paskelbta prieš tai einančių metų pavasarį, pvz., 2015 m. VDU prognozė buvo paskelbta 2014 m. gegužės mėn.</w:t>
      </w:r>
    </w:p>
    <w:p>
      <w:pPr>
        <w:pStyle w:val="Normal"/>
        <w:rPr>
          <w:i/>
          <w:i/>
          <w:sz w:val="16"/>
          <w:szCs w:val="16"/>
          <w:lang w:val="lt-LT"/>
        </w:rPr>
      </w:pPr>
      <w:r>
        <w:rPr>
          <w:i/>
          <w:sz w:val="16"/>
          <w:szCs w:val="16"/>
          <w:lang w:val="lt-LT"/>
        </w:rPr>
        <w:t>Šaltiniai: Lietuvos statistikos departamentas ir LB prognozės.</w:t>
      </w:r>
    </w:p>
    <w:p>
      <w:pPr>
        <w:pStyle w:val="Normal"/>
        <w:rPr>
          <w:sz w:val="24"/>
          <w:lang w:val="lt-LT"/>
        </w:rPr>
      </w:pPr>
      <w:r>
        <w:rPr>
          <w:sz w:val="24"/>
          <w:lang w:val="lt-LT"/>
        </w:rPr>
      </w:r>
    </w:p>
    <w:p>
      <w:pPr>
        <w:pStyle w:val="Normal"/>
        <w:jc w:val="both"/>
        <w:rPr>
          <w:sz w:val="24"/>
          <w:lang w:val="lt-LT"/>
        </w:rPr>
      </w:pPr>
      <w:r>
        <w:rPr>
          <w:sz w:val="24"/>
          <w:lang w:val="lt-LT"/>
        </w:rPr>
        <w:t xml:space="preserve">Pastebėtina, kad siūloma MMA skaičiavimo metodika 2007–2011 m. būtų lėmusi didesnę MMA nei tuo metu buvo nustatytas faktinis MMA dydis. </w:t>
      </w:r>
    </w:p>
    <w:p>
      <w:pPr>
        <w:pStyle w:val="Normal"/>
        <w:rPr>
          <w:sz w:val="24"/>
          <w:lang w:val="lt-LT"/>
        </w:rPr>
      </w:pPr>
      <w:r>
        <w:rPr>
          <w:sz w:val="24"/>
          <w:lang w:val="lt-LT"/>
        </w:rPr>
      </w:r>
    </w:p>
    <w:p>
      <w:pPr>
        <w:pStyle w:val="Normal"/>
        <w:jc w:val="both"/>
        <w:rPr>
          <w:sz w:val="24"/>
          <w:lang w:val="lt-LT"/>
        </w:rPr>
      </w:pPr>
      <w:r>
        <w:rPr>
          <w:b/>
          <w:sz w:val="24"/>
          <w:lang w:val="lt-LT"/>
        </w:rPr>
        <w:t>4.</w:t>
      </w:r>
      <w:r>
        <w:rPr>
          <w:sz w:val="24"/>
          <w:lang w:val="lt-LT"/>
        </w:rPr>
        <w:t xml:space="preserve"> </w:t>
      </w:r>
      <w:r>
        <w:rPr>
          <w:b/>
          <w:sz w:val="24"/>
          <w:lang w:val="lt-LT"/>
        </w:rPr>
        <w:t>Kada Lietuvos bankas atnaujina ateinančių metų savo ekonominės raidos prognozes? Ar Lietuvos bankas nemanytų, jog būtų tikslinga turėti pirmųjų dviejų metų ketvirčių duomenis, tam, kad nustatant MMA būtų sumažinta netikslaus prognozavimo tikimybė?</w:t>
      </w:r>
      <w:r>
        <w:rPr>
          <w:sz w:val="24"/>
          <w:lang w:val="lt-LT"/>
        </w:rPr>
        <w:t xml:space="preserve"> </w:t>
      </w:r>
    </w:p>
    <w:p>
      <w:pPr>
        <w:pStyle w:val="Normal"/>
        <w:jc w:val="both"/>
        <w:rPr>
          <w:sz w:val="24"/>
          <w:lang w:val="lt-LT"/>
        </w:rPr>
      </w:pPr>
      <w:r>
        <w:rPr>
          <w:sz w:val="24"/>
          <w:lang w:val="lt-LT"/>
        </w:rPr>
      </w:r>
    </w:p>
    <w:p>
      <w:pPr>
        <w:pStyle w:val="Normal"/>
        <w:jc w:val="both"/>
        <w:rPr>
          <w:sz w:val="24"/>
          <w:lang w:val="lt-LT"/>
        </w:rPr>
      </w:pPr>
      <w:r>
        <w:rPr>
          <w:sz w:val="24"/>
          <w:lang w:val="lt-LT"/>
        </w:rPr>
        <w:t>LB skelbia dvejų metų laikotarpio makroekonominių rodiklių prognozes. Todėl, pavyzdžiui, rodiklių prognozės, paskelbtos š. m. kovo mėn., apima 2018 ir 2019 metus. Pastarosios prognozės buvo sudarytos pagal duomenis, paskelbtus iki š. m. vasario 14 d., tad sudarant šias prognozes buvo naudojamasi faktiniais laikotarpio iki 2017 m. trečiojo arba ketvirtojo ketvirčio imtinai duomenimis. Tai, kad prognozuojant nenaudojami einamųjų metų duomenys, mažina rodiklių prognozių tikslumą. Dalis metų pirmojo pusmečio duomenų yra naudojami rodiklių prognozėse, kurias LB paskelbia antrąjį metų pusmetį, pvz., rugsėjo arba gruodžio mėn. Naudojant daugiau einamųjų metų duomenų ir nesant staigesnių ekonominių pasikeitimų, rodiklių prognozių tikslumas didėja.</w:t>
      </w:r>
    </w:p>
    <w:p>
      <w:pPr>
        <w:pStyle w:val="Normal"/>
        <w:rPr>
          <w:sz w:val="24"/>
          <w:lang w:val="lt-LT"/>
        </w:rPr>
      </w:pPr>
      <w:r>
        <w:rPr>
          <w:sz w:val="24"/>
          <w:lang w:val="lt-LT"/>
        </w:rPr>
      </w:r>
    </w:p>
    <w:p>
      <w:pPr>
        <w:pStyle w:val="Normal"/>
        <w:jc w:val="both"/>
        <w:rPr>
          <w:b/>
          <w:b/>
          <w:sz w:val="24"/>
          <w:lang w:val="lt-LT"/>
        </w:rPr>
      </w:pPr>
      <w:r>
        <w:rPr>
          <w:b/>
          <w:sz w:val="24"/>
          <w:lang w:val="lt-LT"/>
        </w:rPr>
        <w:t xml:space="preserve">5. Kokių šalių ir kurių metų MMA/VDU santykiai buvo naudojami apskaičiuoti 47,3 koeficientą, kuris siūlomas 2019 metų MMA nustatymui? Prašome įvertinti, kaip kito MMA/VDU santykis (pagal siūlomą metodologiją: 1/4 didžiausių MMA/VDU santykį turinčių šalių vidurkis) per paskutinius 16 metų (2000-2016) ir pateikti šio rodiklio prognozę sekantiems trejiems metams. </w:t>
      </w:r>
    </w:p>
    <w:p>
      <w:pPr>
        <w:pStyle w:val="Normal"/>
        <w:jc w:val="both"/>
        <w:rPr>
          <w:b/>
          <w:b/>
          <w:sz w:val="24"/>
          <w:lang w:val="lt-LT"/>
        </w:rPr>
      </w:pPr>
      <w:r>
        <w:rPr>
          <w:b/>
          <w:sz w:val="24"/>
          <w:lang w:val="lt-LT"/>
        </w:rPr>
      </w:r>
    </w:p>
    <w:p>
      <w:pPr>
        <w:pStyle w:val="Normal"/>
        <w:jc w:val="both"/>
        <w:rPr>
          <w:sz w:val="24"/>
          <w:lang w:val="lt-LT"/>
        </w:rPr>
      </w:pPr>
      <w:r>
        <w:rPr>
          <w:sz w:val="24"/>
          <w:lang w:val="lt-LT"/>
        </w:rPr>
        <w:t>MMA ir VDU santykis, taikomas MMA nustatyti 2019 m., yra apskaičiuotas naudojant 2014–2016 m. duomenis. Santykis apskaičiuotas šių šalių: Slovėnijos (50,9 proc.), Prancūzijos (47,3 proc.), Liuksemburgo (47 proc.), Latvijos (45,8 proc.), Lenkijos (45,6 proc.).</w:t>
      </w:r>
    </w:p>
    <w:p>
      <w:pPr>
        <w:pStyle w:val="Normal"/>
        <w:rPr>
          <w:sz w:val="24"/>
          <w:lang w:val="lt-LT"/>
        </w:rPr>
      </w:pPr>
      <w:r>
        <w:rPr>
          <w:sz w:val="24"/>
          <w:lang w:val="lt-LT"/>
        </w:rPr>
      </w:r>
    </w:p>
    <w:p>
      <w:pPr>
        <w:pStyle w:val="Normal"/>
        <w:rPr>
          <w:sz w:val="24"/>
          <w:lang w:val="lt-LT"/>
        </w:rPr>
      </w:pPr>
      <w:r>
        <w:rPr>
          <w:sz w:val="24"/>
          <w:lang w:val="lt-LT"/>
        </w:rPr>
        <w:t>4 lentelė. MMA ir VDU santykis, apskaičiuotas pagal didžiausią santykį per trejus metus turėjusių ketvirtadalio ES šalių vidurkį.</w:t>
      </w:r>
    </w:p>
    <w:p>
      <w:pPr>
        <w:pStyle w:val="Normal"/>
        <w:rPr>
          <w:sz w:val="24"/>
          <w:lang w:val="lt-LT"/>
        </w:rPr>
      </w:pPr>
      <w:r>
        <w:rPr>
          <w:sz w:val="24"/>
          <w:lang w:val="lt-LT"/>
        </w:rPr>
      </w:r>
    </w:p>
    <w:tbl>
      <w:tblPr>
        <w:tblpPr w:bottomFromText="0" w:horzAnchor="margin" w:leftFromText="180" w:rightFromText="180" w:tblpX="0" w:tblpY="-9" w:topFromText="0" w:vertAnchor="text"/>
        <w:tblW w:w="9606" w:type="dxa"/>
        <w:jc w:val="left"/>
        <w:tblInd w:w="108" w:type="dxa"/>
        <w:tblCellMar>
          <w:top w:w="0" w:type="dxa"/>
          <w:left w:w="108" w:type="dxa"/>
          <w:bottom w:w="0" w:type="dxa"/>
          <w:right w:w="108" w:type="dxa"/>
        </w:tblCellMar>
        <w:tblLook w:noVBand="1" w:val="04a0" w:noHBand="0" w:lastColumn="0" w:firstColumn="1" w:lastRow="0" w:firstRow="1"/>
      </w:tblPr>
      <w:tblGrid>
        <w:gridCol w:w="738"/>
        <w:gridCol w:w="739"/>
        <w:gridCol w:w="739"/>
        <w:gridCol w:w="737"/>
        <w:gridCol w:w="739"/>
        <w:gridCol w:w="739"/>
        <w:gridCol w:w="738"/>
        <w:gridCol w:w="739"/>
        <w:gridCol w:w="739"/>
        <w:gridCol w:w="739"/>
        <w:gridCol w:w="738"/>
        <w:gridCol w:w="739"/>
        <w:gridCol w:w="742"/>
      </w:tblGrid>
      <w:tr>
        <w:trPr>
          <w:trHeight w:val="322" w:hRule="atLeast"/>
        </w:trPr>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2002–2004</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2003–2005</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2004–2006</w:t>
            </w:r>
          </w:p>
        </w:tc>
        <w:tc>
          <w:tcPr>
            <w:tcW w:w="73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2005–2007</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2006–2008</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2007–2009</w:t>
            </w:r>
          </w:p>
        </w:tc>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2008–2010</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2009–2011</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2010–2012</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2011–2013</w:t>
            </w:r>
          </w:p>
        </w:tc>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2012–2014</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2013–2015</w:t>
            </w:r>
          </w:p>
        </w:tc>
        <w:tc>
          <w:tcPr>
            <w:tcW w:w="7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2014–2016</w:t>
            </w:r>
          </w:p>
        </w:tc>
      </w:tr>
      <w:tr>
        <w:trPr>
          <w:trHeight w:val="322" w:hRule="atLeast"/>
        </w:trPr>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47,5</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47,2</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47,0</w:t>
            </w:r>
          </w:p>
        </w:tc>
        <w:tc>
          <w:tcPr>
            <w:tcW w:w="73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47,3</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47,4</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46,9</w:t>
            </w:r>
          </w:p>
        </w:tc>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46,3</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46,5</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46,9</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48,3</w:t>
            </w:r>
          </w:p>
        </w:tc>
        <w:tc>
          <w:tcPr>
            <w:tcW w:w="73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47,3</w:t>
            </w:r>
          </w:p>
        </w:tc>
        <w:tc>
          <w:tcPr>
            <w:tcW w:w="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47,4</w:t>
            </w:r>
          </w:p>
        </w:tc>
        <w:tc>
          <w:tcPr>
            <w:tcW w:w="74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lang w:val="lt-LT"/>
              </w:rPr>
            </w:pPr>
            <w:r>
              <w:rPr>
                <w:lang w:val="lt-LT"/>
              </w:rPr>
              <w:t>47,3</w:t>
            </w:r>
          </w:p>
        </w:tc>
      </w:tr>
    </w:tbl>
    <w:p>
      <w:pPr>
        <w:pStyle w:val="Normal"/>
        <w:rPr>
          <w:i/>
          <w:i/>
          <w:sz w:val="16"/>
          <w:szCs w:val="16"/>
        </w:rPr>
      </w:pPr>
      <w:r>
        <w:rPr>
          <w:i/>
          <w:sz w:val="16"/>
          <w:szCs w:val="16"/>
          <w:lang w:val="lt-LT"/>
        </w:rPr>
        <w:t xml:space="preserve">Pastaba: duomenys iki </w:t>
      </w:r>
      <w:r>
        <w:rPr>
          <w:i/>
          <w:sz w:val="16"/>
          <w:szCs w:val="16"/>
        </w:rPr>
        <w:t>2007</w:t>
      </w:r>
      <w:r>
        <w:rPr>
          <w:i/>
          <w:sz w:val="16"/>
          <w:szCs w:val="16"/>
          <w:lang w:val="lt-LT"/>
        </w:rPr>
        <w:t>–2009 m. laikotarpio (imtinai) nėra palyginami su vėlesnių laikotarpių duomenimis.</w:t>
      </w:r>
    </w:p>
    <w:p>
      <w:pPr>
        <w:pStyle w:val="Normal"/>
        <w:rPr>
          <w:i/>
          <w:i/>
          <w:sz w:val="16"/>
          <w:szCs w:val="16"/>
          <w:lang w:val="lt-LT"/>
        </w:rPr>
      </w:pPr>
      <w:r>
        <w:rPr>
          <w:i/>
          <w:sz w:val="16"/>
          <w:szCs w:val="16"/>
          <w:lang w:val="lt-LT"/>
        </w:rPr>
        <w:t>Šaltiniai: Eurostatas ir LB skaičiavimai.</w:t>
      </w:r>
    </w:p>
    <w:p>
      <w:pPr>
        <w:pStyle w:val="Normal"/>
        <w:rPr>
          <w:sz w:val="24"/>
          <w:lang w:val="lt-LT"/>
        </w:rPr>
      </w:pPr>
      <w:r>
        <w:rPr>
          <w:sz w:val="24"/>
          <w:lang w:val="lt-LT"/>
        </w:rPr>
      </w:r>
    </w:p>
    <w:p>
      <w:pPr>
        <w:pStyle w:val="Normal"/>
        <w:jc w:val="both"/>
        <w:rPr>
          <w:sz w:val="24"/>
          <w:lang w:val="lt-LT"/>
        </w:rPr>
      </w:pPr>
      <w:r>
        <w:rPr>
          <w:sz w:val="24"/>
          <w:lang w:val="lt-LT"/>
        </w:rPr>
        <w:t xml:space="preserve">4 lentelėje esančio santykio prognozės pateikti negalime, nes tam reikėtų prognozuoti kiekvienos ES šalies VDU ir MMA. Prognozuoti MMA kartais apskritai yra neįmanoma, nes jos dydį dažnai lemia ne ekonominiai, o politiniai veiksniai. LB neturi galimybių sudaryti kitų ES šalių MMA prognozes. </w:t>
      </w:r>
    </w:p>
    <w:p>
      <w:pPr>
        <w:pStyle w:val="Normal"/>
        <w:rPr>
          <w:sz w:val="24"/>
          <w:lang w:val="lt-LT"/>
        </w:rPr>
      </w:pPr>
      <w:r>
        <w:rPr>
          <w:sz w:val="24"/>
          <w:lang w:val="lt-LT"/>
        </w:rPr>
      </w:r>
    </w:p>
    <w:p>
      <w:pPr>
        <w:pStyle w:val="Normal"/>
        <w:jc w:val="both"/>
        <w:rPr>
          <w:sz w:val="24"/>
          <w:lang w:val="lt-LT"/>
        </w:rPr>
      </w:pPr>
      <w:r>
        <w:rPr>
          <w:b/>
          <w:sz w:val="24"/>
          <w:lang w:val="lt-LT"/>
        </w:rPr>
        <w:t>6. Prašome pateikti labai detalų algoritmą, kaip siūloma apskaičiuoti MMA/VDU koeficientą, remiantis Eurostat duomenimis (kuriuo „baziniu“ laikotarpiu remiamasi lyginant kitų šalių MMA/VDU vidurkius, kas nutinka, jeigu tuo laikotarpiu trūksta tam tikrų šalių duomenų, kaip nustatoma ketvirtadalio imtis, pvz., jeigu, pavyzdžiui, be Lietuvos tam tikrais baziniais metais būtų 17, ir t.t.).</w:t>
      </w:r>
      <w:r>
        <w:rPr>
          <w:sz w:val="24"/>
          <w:lang w:val="lt-LT"/>
        </w:rPr>
        <w:t xml:space="preserve"> </w:t>
      </w:r>
    </w:p>
    <w:p>
      <w:pPr>
        <w:pStyle w:val="Normal"/>
        <w:jc w:val="both"/>
        <w:rPr>
          <w:sz w:val="24"/>
          <w:lang w:val="lt-LT"/>
        </w:rPr>
      </w:pPr>
      <w:r>
        <w:rPr>
          <w:sz w:val="24"/>
          <w:lang w:val="lt-LT"/>
        </w:rPr>
      </w:r>
    </w:p>
    <w:p>
      <w:pPr>
        <w:pStyle w:val="Normal"/>
        <w:jc w:val="both"/>
        <w:rPr>
          <w:sz w:val="24"/>
          <w:lang w:val="lt-LT"/>
        </w:rPr>
      </w:pPr>
      <w:r>
        <w:rPr>
          <w:sz w:val="24"/>
          <w:lang w:val="lt-LT"/>
        </w:rPr>
        <w:t>MMA ir VDU santykis, remiantis Eurostato duomenimis, skaičiuojamas taip:</w:t>
      </w:r>
    </w:p>
    <w:p>
      <w:pPr>
        <w:pStyle w:val="Normal"/>
        <w:numPr>
          <w:ilvl w:val="0"/>
          <w:numId w:val="1"/>
        </w:numPr>
        <w:rPr>
          <w:sz w:val="24"/>
          <w:lang w:val="lt-LT"/>
        </w:rPr>
      </w:pPr>
      <w:r>
        <w:rPr>
          <w:sz w:val="24"/>
          <w:lang w:val="lt-LT"/>
        </w:rPr>
        <w:t>Kiekvienai šaliai apskaičiuojamas MMA ir VDU be priedų ir kt. santykių 2014–2016 m. laikotarpio vidurkis (žr. 5 lentelę).</w:t>
      </w:r>
    </w:p>
    <w:p>
      <w:pPr>
        <w:pStyle w:val="Normal"/>
        <w:numPr>
          <w:ilvl w:val="0"/>
          <w:numId w:val="1"/>
        </w:numPr>
        <w:rPr>
          <w:sz w:val="24"/>
          <w:lang w:val="lt-LT"/>
        </w:rPr>
      </w:pPr>
      <w:r>
        <w:rPr>
          <w:sz w:val="24"/>
          <w:lang w:val="lt-LT"/>
        </w:rPr>
        <w:t>Atrenkamas ketvirtadalis (5 šalys) didžiausią santykio vidurkį turėjusių šalių (neįskaitant Lietuvos). 2014–2016 m. šios šalys buvo Slovėnija (50,9 proc.), Prancūzija (47,3 proc.), Liuksemburgas (47 proc.), Latvija (45,8 proc.), Lenkija (45,6 proc.).</w:t>
      </w:r>
    </w:p>
    <w:p>
      <w:pPr>
        <w:pStyle w:val="Normal"/>
        <w:numPr>
          <w:ilvl w:val="0"/>
          <w:numId w:val="1"/>
        </w:numPr>
        <w:rPr>
          <w:sz w:val="24"/>
          <w:lang w:val="lt-LT"/>
        </w:rPr>
      </w:pPr>
      <w:r>
        <w:rPr>
          <w:sz w:val="24"/>
          <w:lang w:val="lt-LT"/>
        </w:rPr>
        <w:t>Apskaičiuojamas atrinktų šalių vidurkis (47,3 proc.).</w:t>
      </w:r>
    </w:p>
    <w:p>
      <w:pPr>
        <w:pStyle w:val="Normal"/>
        <w:rPr>
          <w:sz w:val="24"/>
          <w:lang w:val="lt-LT"/>
        </w:rPr>
      </w:pPr>
      <w:r>
        <w:rPr>
          <w:sz w:val="24"/>
          <w:lang w:val="lt-LT"/>
        </w:rPr>
      </w:r>
    </w:p>
    <w:p>
      <w:pPr>
        <w:pStyle w:val="Normal"/>
        <w:ind w:firstLine="360"/>
        <w:jc w:val="both"/>
        <w:rPr>
          <w:sz w:val="24"/>
          <w:lang w:val="lt-LT"/>
        </w:rPr>
      </w:pPr>
      <w:r>
        <w:rPr>
          <w:sz w:val="24"/>
          <w:lang w:val="lt-LT"/>
        </w:rPr>
        <w:t xml:space="preserve">Skaičiuojant santykį reikia nuspręsti, kurių trejų metų šalių santykių vidurkius skaičiuoti. Pvz., 2016 m. duomenų nepateikė tik 3 šalys, tačiau 2017 m. (2018 m. liepos 12 d. duomenimis) – net 17 šalių (žr. 1 lentelę). Taigi, prasmingiau skaičiuoti 2014–2016 m., o ne 2015–2017 m. šalių santykių vidurkius. </w:t>
      </w:r>
    </w:p>
    <w:p>
      <w:pPr>
        <w:pStyle w:val="Normal"/>
        <w:ind w:firstLine="360"/>
        <w:jc w:val="both"/>
        <w:rPr>
          <w:sz w:val="24"/>
          <w:lang w:val="lt-LT"/>
        </w:rPr>
      </w:pPr>
      <w:r>
        <w:rPr>
          <w:sz w:val="24"/>
          <w:lang w:val="lt-LT"/>
        </w:rPr>
        <w:t>Nusprendus, kurių trejų metų vidurkiai bus skaičiuojami, galima situacija, kai šalis nepateikė kurių nors iš trejų metų duomenų. Tokiu atveju vidurkį prasminga skaičiuoti iš tiek duomenų, kiek jų pateikta. Pvz., Belgija pateikia tik 2014 m. duomenis, taigi šios šalies trejų metų santykio vidurkis apskaičiuojamas iš vieno skaičiaus.</w:t>
      </w:r>
    </w:p>
    <w:p>
      <w:pPr>
        <w:pStyle w:val="Normal"/>
        <w:ind w:firstLine="360"/>
        <w:jc w:val="both"/>
        <w:rPr>
          <w:sz w:val="24"/>
          <w:lang w:val="lt-LT"/>
        </w:rPr>
      </w:pPr>
      <w:r>
        <w:rPr>
          <w:sz w:val="24"/>
          <w:lang w:val="lt-LT"/>
        </w:rPr>
        <w:t>Šiuo metu trejų metų vidurkį galima apskaičiuoti 20 šalių (ketvirtadalį sudaro 5 šalys). Svarstant galimas skirtingas situacijas ateityje, paminėtina, kad, pavyzdžiui, jeigu trejų metų vidurkį būtų galima apskaičiuoti 19 arba 21 šaliai, verta nusistatyti, kad ketvirtadalis yra 5 šalys. Jeigu trejų metų vidurkį būtų galima apskaičiuoti tik 17 šalių, vidurkį siūlytume skaičiuoti iš 5 šalių, nes didesnis šalių skaičius padidina MMA ir VDU santykio stabilumą.</w:t>
      </w:r>
    </w:p>
    <w:p>
      <w:pPr>
        <w:pStyle w:val="Normal"/>
        <w:ind w:firstLine="360"/>
        <w:jc w:val="both"/>
        <w:rPr>
          <w:sz w:val="24"/>
          <w:lang w:val="lt-LT"/>
        </w:rPr>
      </w:pPr>
      <w:r>
        <w:rPr>
          <w:sz w:val="24"/>
          <w:lang w:val="lt-LT"/>
        </w:rPr>
      </w:r>
    </w:p>
    <w:p>
      <w:pPr>
        <w:pStyle w:val="Normal"/>
        <w:rPr>
          <w:sz w:val="24"/>
          <w:lang w:val="lt-LT"/>
        </w:rPr>
      </w:pPr>
      <w:r>
        <w:rPr>
          <w:sz w:val="24"/>
          <w:lang w:val="lt-LT"/>
        </w:rPr>
        <w:t xml:space="preserve">5 lentelė. MMA ir VDU be priedų ir kt. santykis ES šalyse (duomenys iš Eurostato atsisiųsti 2017 m. liepos 12 d.) </w:t>
      </w:r>
    </w:p>
    <w:tbl>
      <w:tblPr>
        <w:tblStyle w:val="TableGrid1"/>
        <w:tblW w:w="9577" w:type="dxa"/>
        <w:jc w:val="left"/>
        <w:tblInd w:w="0" w:type="dxa"/>
        <w:tblCellMar>
          <w:top w:w="0" w:type="dxa"/>
          <w:left w:w="108" w:type="dxa"/>
          <w:bottom w:w="0" w:type="dxa"/>
          <w:right w:w="108" w:type="dxa"/>
        </w:tblCellMar>
        <w:tblLook w:noVBand="1" w:val="04a0" w:noHBand="0" w:lastColumn="0" w:firstColumn="1" w:lastRow="0" w:firstRow="1"/>
      </w:tblPr>
      <w:tblGrid>
        <w:gridCol w:w="1469"/>
        <w:gridCol w:w="954"/>
        <w:gridCol w:w="955"/>
        <w:gridCol w:w="955"/>
        <w:gridCol w:w="956"/>
        <w:gridCol w:w="955"/>
        <w:gridCol w:w="955"/>
        <w:gridCol w:w="955"/>
        <w:gridCol w:w="3"/>
        <w:gridCol w:w="1419"/>
      </w:tblGrid>
      <w:tr>
        <w:trPr>
          <w:trHeight w:val="300" w:hRule="atLeast"/>
        </w:trPr>
        <w:tc>
          <w:tcPr>
            <w:tcW w:w="1469" w:type="dxa"/>
            <w:tcBorders/>
            <w:shd w:fill="auto" w:val="clear"/>
          </w:tcPr>
          <w:p>
            <w:pPr>
              <w:pStyle w:val="Normal"/>
              <w:rPr>
                <w:rFonts w:ascii="Times New Roman" w:hAnsi="Times New Roman" w:eastAsia="Times New Roman"/>
                <w:sz w:val="20"/>
                <w:szCs w:val="22"/>
                <w:lang w:val="lt-LT" w:eastAsia="en-US"/>
              </w:rPr>
            </w:pPr>
            <w:r>
              <w:rPr>
                <w:rFonts w:eastAsia="Times New Roman"/>
                <w:sz w:val="20"/>
                <w:szCs w:val="22"/>
                <w:lang w:val="lt-LT" w:eastAsia="en-US"/>
              </w:rPr>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2013</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2015</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2017</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2014–2016 m. vidurkis</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Belgija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44,9</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44,9</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Bulgarija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35,3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37,8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39</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41,6</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Čekija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32,5</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31,7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32,6</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32,8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35,7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34,3</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Danija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Vokietija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41,3</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41,3</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Estija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33,8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33,5</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34,6</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37,4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36,8</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Airija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42,5</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42,3</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Graikija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50,1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Ispanija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34,3</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33,8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34,0</w:t>
            </w:r>
          </w:p>
        </w:tc>
      </w:tr>
      <w:tr>
        <w:trPr>
          <w:trHeight w:val="170" w:hRule="atLeast"/>
        </w:trPr>
        <w:tc>
          <w:tcPr>
            <w:tcW w:w="1469" w:type="dxa"/>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Prancūzija</w:t>
            </w:r>
          </w:p>
        </w:tc>
        <w:tc>
          <w:tcPr>
            <w:tcW w:w="954"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48</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47,9</w:t>
            </w:r>
          </w:p>
        </w:tc>
        <w:tc>
          <w:tcPr>
            <w:tcW w:w="956"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47,4</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47,1</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47,3</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Kroatija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35,6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36,4</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37,8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38,6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38,9</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Italija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Kipras</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Latvija</w:t>
            </w:r>
          </w:p>
        </w:tc>
        <w:tc>
          <w:tcPr>
            <w:tcW w:w="954"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45,1</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43,8</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42,1</w:t>
            </w:r>
          </w:p>
        </w:tc>
        <w:tc>
          <w:tcPr>
            <w:tcW w:w="956"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44,4</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46,9</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45,8</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Lietuva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47,3</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46,6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50,3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47,5</w:t>
            </w:r>
          </w:p>
        </w:tc>
      </w:tr>
      <w:tr>
        <w:trPr>
          <w:trHeight w:val="170" w:hRule="atLeast"/>
        </w:trPr>
        <w:tc>
          <w:tcPr>
            <w:tcW w:w="1469" w:type="dxa"/>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Liuksemburgas</w:t>
            </w:r>
          </w:p>
        </w:tc>
        <w:tc>
          <w:tcPr>
            <w:tcW w:w="954"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46,7</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46,9</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47,7</w:t>
            </w:r>
          </w:p>
        </w:tc>
        <w:tc>
          <w:tcPr>
            <w:tcW w:w="956"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47,6</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47</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46,4</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47,0</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Vengrija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39,1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45,1</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45,5</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45,3</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Malta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46,9</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46,3</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43,6</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45,2</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Nyderlandai</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43,4</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43,0</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Austrija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Lenkija</w:t>
            </w:r>
          </w:p>
        </w:tc>
        <w:tc>
          <w:tcPr>
            <w:tcW w:w="954"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41,3</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43,1</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44,3</w:t>
            </w:r>
          </w:p>
        </w:tc>
        <w:tc>
          <w:tcPr>
            <w:tcW w:w="956"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45,1</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45,4</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46,2</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45,6</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Portugalija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43,1</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44,9</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44,5</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46,3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47,9</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45,2</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Rumunija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35,8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34,2</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35,8</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38,4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42,4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40,4</w:t>
            </w:r>
          </w:p>
        </w:tc>
      </w:tr>
      <w:tr>
        <w:trPr>
          <w:trHeight w:val="170" w:hRule="atLeast"/>
        </w:trPr>
        <w:tc>
          <w:tcPr>
            <w:tcW w:w="1469" w:type="dxa"/>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Slovėnija</w:t>
            </w:r>
          </w:p>
        </w:tc>
        <w:tc>
          <w:tcPr>
            <w:tcW w:w="954"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49</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50</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51,4</w:t>
            </w:r>
          </w:p>
        </w:tc>
        <w:tc>
          <w:tcPr>
            <w:tcW w:w="956"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51,2</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50,8</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50,7</w:t>
            </w:r>
          </w:p>
        </w:tc>
        <w:tc>
          <w:tcPr>
            <w:tcW w:w="955" w:type="dxa"/>
            <w:tcBorders/>
            <w:shd w:color="auto"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color="auto" w:fill="FFFF00" w:val="clear"/>
          </w:tcPr>
          <w:p>
            <w:pPr>
              <w:pStyle w:val="Normal"/>
              <w:rPr>
                <w:rFonts w:ascii="Times New Roman" w:hAnsi="Times New Roman" w:eastAsia="Times New Roman"/>
                <w:sz w:val="20"/>
                <w:lang w:val="lt-LT"/>
              </w:rPr>
            </w:pPr>
            <w:r>
              <w:rPr>
                <w:rFonts w:eastAsia="Times New Roman"/>
                <w:sz w:val="20"/>
                <w:szCs w:val="22"/>
                <w:lang w:val="lt-LT" w:eastAsia="en-US"/>
              </w:rPr>
              <w:t>50,9</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Slovakija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36,9</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36,4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37,9</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38,6</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37,6</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Suomija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Švedija</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w:t>
            </w:r>
          </w:p>
        </w:tc>
      </w:tr>
      <w:tr>
        <w:trPr>
          <w:trHeight w:val="170" w:hRule="atLeast"/>
        </w:trPr>
        <w:tc>
          <w:tcPr>
            <w:tcW w:w="146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Jungtinė Karalystė</w:t>
            </w:r>
          </w:p>
        </w:tc>
        <w:tc>
          <w:tcPr>
            <w:tcW w:w="954"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38,7</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39,3</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39,3</w:t>
            </w:r>
          </w:p>
        </w:tc>
        <w:tc>
          <w:tcPr>
            <w:tcW w:w="956"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40,1</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40,8</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w:t>
            </w:r>
          </w:p>
        </w:tc>
        <w:tc>
          <w:tcPr>
            <w:tcW w:w="955"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44,5</w:t>
            </w:r>
          </w:p>
        </w:tc>
        <w:tc>
          <w:tcPr>
            <w:tcW w:w="1422" w:type="dxa"/>
            <w:gridSpan w:val="2"/>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41,6</w:t>
            </w:r>
          </w:p>
        </w:tc>
      </w:tr>
      <w:tr>
        <w:trPr>
          <w:trHeight w:val="422" w:hRule="atLeast"/>
        </w:trPr>
        <w:tc>
          <w:tcPr>
            <w:tcW w:w="9576" w:type="dxa"/>
            <w:gridSpan w:val="10"/>
            <w:tcBorders/>
            <w:shd w:fill="auto" w:val="clear"/>
          </w:tcPr>
          <w:p>
            <w:pPr>
              <w:pStyle w:val="Normal"/>
              <w:rPr>
                <w:rFonts w:ascii="Calibri" w:hAnsi="Calibri" w:eastAsia="Calibri"/>
                <w:sz w:val="20"/>
                <w:szCs w:val="20"/>
                <w:lang w:val="lt-LT" w:eastAsia="en-US"/>
              </w:rPr>
            </w:pPr>
            <w:r>
              <w:rPr>
                <w:rFonts w:eastAsia="Calibri" w:ascii="Calibri" w:hAnsi="Calibri"/>
                <w:sz w:val="20"/>
                <w:szCs w:val="20"/>
                <w:lang w:val="lt-LT" w:eastAsia="en-US"/>
              </w:rPr>
            </w:r>
          </w:p>
        </w:tc>
      </w:tr>
      <w:tr>
        <w:trPr>
          <w:trHeight w:val="170" w:hRule="atLeast"/>
        </w:trPr>
        <w:tc>
          <w:tcPr>
            <w:tcW w:w="8157" w:type="dxa"/>
            <w:gridSpan w:val="9"/>
            <w:tcBorders/>
            <w:shd w:fill="auto" w:val="clear"/>
          </w:tcPr>
          <w:p>
            <w:pPr>
              <w:pStyle w:val="Normal"/>
              <w:rPr>
                <w:rFonts w:ascii="Times New Roman" w:hAnsi="Times New Roman" w:eastAsia="Times New Roman"/>
                <w:sz w:val="20"/>
                <w:lang w:val="lt-LT"/>
              </w:rPr>
            </w:pPr>
            <w:r>
              <w:rPr>
                <w:rFonts w:eastAsia="Times New Roman"/>
                <w:sz w:val="20"/>
                <w:szCs w:val="20"/>
                <w:lang w:val="lt-LT" w:eastAsia="en-US"/>
              </w:rPr>
              <w:t>Ketvirtadalio didžiausią santykį turėjusių šalių santykių vidurkis</w:t>
            </w:r>
          </w:p>
        </w:tc>
        <w:tc>
          <w:tcPr>
            <w:tcW w:w="1419" w:type="dxa"/>
            <w:tcBorders/>
            <w:shd w:fill="auto" w:val="clear"/>
          </w:tcPr>
          <w:p>
            <w:pPr>
              <w:pStyle w:val="Normal"/>
              <w:rPr>
                <w:rFonts w:ascii="Times New Roman" w:hAnsi="Times New Roman" w:eastAsia="Times New Roman"/>
                <w:sz w:val="20"/>
                <w:lang w:val="lt-LT"/>
              </w:rPr>
            </w:pPr>
            <w:r>
              <w:rPr>
                <w:rFonts w:eastAsia="Times New Roman"/>
                <w:sz w:val="20"/>
                <w:szCs w:val="22"/>
                <w:lang w:val="lt-LT" w:eastAsia="en-US"/>
              </w:rPr>
              <w:t>47,3</w:t>
            </w:r>
          </w:p>
        </w:tc>
      </w:tr>
    </w:tbl>
    <w:p>
      <w:pPr>
        <w:pStyle w:val="Normal"/>
        <w:rPr>
          <w:i/>
          <w:i/>
          <w:sz w:val="16"/>
          <w:szCs w:val="16"/>
          <w:lang w:val="lt-LT"/>
        </w:rPr>
      </w:pPr>
      <w:r>
        <w:rPr>
          <w:i/>
          <w:sz w:val="16"/>
          <w:szCs w:val="16"/>
          <w:lang w:val="lt-LT"/>
        </w:rPr>
        <w:t>Pastaba: iš geltonai pažymėtų šalių skaičiuojamas MMA ir VDU santykio vidurkis, naudojamas MMA 2019 m. nustatyti.</w:t>
      </w:r>
    </w:p>
    <w:p>
      <w:pPr>
        <w:pStyle w:val="Normal"/>
        <w:rPr>
          <w:i/>
          <w:i/>
          <w:sz w:val="16"/>
          <w:szCs w:val="16"/>
          <w:lang w:val="lt-LT"/>
        </w:rPr>
      </w:pPr>
      <w:r>
        <w:rPr>
          <w:i/>
          <w:sz w:val="16"/>
          <w:szCs w:val="16"/>
          <w:lang w:val="lt-LT"/>
        </w:rPr>
        <w:t>Šaltiniai: Eurostatas ir LB skaičiavimai.</w:t>
      </w:r>
    </w:p>
    <w:p>
      <w:pPr>
        <w:pStyle w:val="Normal"/>
        <w:rPr>
          <w:sz w:val="24"/>
          <w:lang w:val="lt-LT"/>
        </w:rPr>
      </w:pPr>
      <w:r>
        <w:rPr>
          <w:sz w:val="24"/>
          <w:lang w:val="lt-LT"/>
        </w:rPr>
      </w:r>
    </w:p>
    <w:p>
      <w:pPr>
        <w:pStyle w:val="Normal"/>
        <w:rPr>
          <w:sz w:val="24"/>
          <w:lang w:val="lt-LT"/>
        </w:rPr>
      </w:pPr>
      <w:r>
        <w:rPr>
          <w:sz w:val="24"/>
          <w:lang w:val="lt-LT"/>
        </w:rPr>
      </w:r>
    </w:p>
    <w:p>
      <w:pPr>
        <w:pStyle w:val="Normal"/>
        <w:rPr>
          <w:sz w:val="24"/>
          <w:lang w:val="lt-LT"/>
        </w:rPr>
      </w:pPr>
      <w:r>
        <w:rPr>
          <w:sz w:val="24"/>
          <w:lang w:val="lt-LT"/>
        </w:rPr>
        <w:t>Valdybos narys,</w:t>
      </w:r>
    </w:p>
    <w:p>
      <w:pPr>
        <w:pStyle w:val="Normal"/>
        <w:rPr>
          <w:sz w:val="24"/>
          <w:lang w:val="lt-LT"/>
        </w:rPr>
      </w:pPr>
      <w:r>
        <w:rPr>
          <w:sz w:val="24"/>
          <w:lang w:val="lt-LT"/>
        </w:rPr>
        <w:t>pavaduojantis Valdybos pirmininką</w:t>
        <w:tab/>
        <w:tab/>
        <w:tab/>
        <w:tab/>
        <w:tab/>
        <w:t>Marius Jurgilas</w:t>
      </w:r>
    </w:p>
    <w:p>
      <w:pPr>
        <w:pStyle w:val="Normal"/>
        <w:rPr>
          <w:sz w:val="24"/>
          <w:lang w:val="lt-LT"/>
        </w:rPr>
      </w:pPr>
      <w:r>
        <w:rPr>
          <w:sz w:val="24"/>
          <w:lang w:val="lt-LT"/>
        </w:rPr>
      </w:r>
    </w:p>
    <w:p>
      <w:pPr>
        <w:pStyle w:val="Normal"/>
        <w:rPr>
          <w:sz w:val="24"/>
          <w:lang w:val="lt-LT"/>
        </w:rPr>
      </w:pPr>
      <w:r>
        <w:rPr>
          <w:sz w:val="24"/>
          <w:lang w:val="lt-LT"/>
        </w:rPr>
      </w:r>
    </w:p>
    <w:p>
      <w:pPr>
        <w:pStyle w:val="Normal"/>
        <w:rPr>
          <w:sz w:val="24"/>
          <w:lang w:val="lt-LT"/>
        </w:rPr>
      </w:pPr>
      <w:r>
        <w:rPr>
          <w:sz w:val="24"/>
          <w:lang w:val="lt-LT"/>
        </w:rPr>
      </w:r>
    </w:p>
    <w:p>
      <w:pPr>
        <w:pStyle w:val="Normal"/>
        <w:rPr/>
      </w:pPr>
      <w:r>
        <w:rPr>
          <w:sz w:val="24"/>
          <w:lang w:val="lt-LT"/>
        </w:rPr>
        <w:t>Tomas Šiaudvytis, tel. (8 5) 268 0134</w:t>
      </w:r>
    </w:p>
    <w:sectPr>
      <w:footerReference w:type="default" r:id="rId4"/>
      <w:footerReference w:type="first" r:id="rId5"/>
      <w:footnotePr>
        <w:numFmt w:val="decimal"/>
      </w:footnotePr>
      <w:type w:val="nextPage"/>
      <w:pgSz w:w="11906" w:h="16838"/>
      <w:pgMar w:left="1701" w:right="680" w:header="0" w:top="1134" w:footer="510" w:bottom="1134" w:gutter="0"/>
      <w:pgNumType w:fmt="decimal"/>
      <w:formProt w:val="false"/>
      <w:titlePg/>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Lentelstinklelis"/>
      <w:tblW w:w="5954" w:type="dxa"/>
      <w:jc w:val="left"/>
      <w:tblInd w:w="109" w:type="dxa"/>
      <w:tblCellMar>
        <w:top w:w="0" w:type="dxa"/>
        <w:left w:w="108" w:type="dxa"/>
        <w:bottom w:w="0" w:type="dxa"/>
        <w:right w:w="108" w:type="dxa"/>
      </w:tblCellMar>
      <w:tblLook w:lastRow="0" w:firstRow="1" w:lastColumn="0" w:firstColumn="1" w:val="04a0" w:noHBand="0" w:noVBand="1"/>
    </w:tblPr>
    <w:tblGrid>
      <w:gridCol w:w="5954"/>
    </w:tblGrid>
    <w:tr>
      <w:trPr>
        <w:trHeight w:val="998" w:hRule="atLeast"/>
      </w:trPr>
      <w:tc>
        <w:tcPr>
          <w:tcW w:w="5954" w:type="dxa"/>
          <w:tcBorders>
            <w:top w:val="nil"/>
            <w:left w:val="nil"/>
            <w:bottom w:val="nil"/>
            <w:right w:val="nil"/>
          </w:tcBorders>
          <w:shd w:fill="auto" w:val="clear"/>
          <w:vAlign w:val="center"/>
        </w:tcPr>
        <w:p>
          <w:pPr>
            <w:pStyle w:val="Normal"/>
            <w:spacing w:before="240" w:after="0"/>
            <w:jc w:val="center"/>
            <w:rPr>
              <w:sz w:val="16"/>
              <w:lang w:val="lt-LT"/>
            </w:rPr>
          </w:pPr>
          <w:r>
            <mc:AlternateContent>
              <mc:Choice Requires="wps">
                <w:drawing>
                  <wp:anchor behindDoc="1" distT="0" distB="0" distL="0" distR="0" simplePos="0" locked="0" layoutInCell="1" allowOverlap="1" relativeHeight="2">
                    <wp:simplePos x="0" y="0"/>
                    <wp:positionH relativeFrom="column">
                      <wp:posOffset>-10795</wp:posOffset>
                    </wp:positionH>
                    <wp:positionV relativeFrom="paragraph">
                      <wp:posOffset>-62865</wp:posOffset>
                    </wp:positionV>
                    <wp:extent cx="6218555" cy="635"/>
                    <wp:effectExtent l="0" t="0" r="11430" b="19050"/>
                    <wp:wrapNone/>
                    <wp:docPr id="3" name="Line 1"/>
                    <a:graphic xmlns:a="http://schemas.openxmlformats.org/drawingml/2006/main">
                      <a:graphicData uri="http://schemas.microsoft.com/office/word/2010/wordprocessingShape">
                        <wps:wsp>
                          <wps:cNvSpPr/>
                          <wps:spPr>
                            <a:xfrm>
                              <a:off x="0" y="0"/>
                              <a:ext cx="6217920" cy="0"/>
                            </a:xfrm>
                            <a:prstGeom prst="line">
                              <a:avLst/>
                            </a:prstGeom>
                            <a:ln w="9360">
                              <a:solidFill>
                                <a:srgbClr val="ff6600"/>
                              </a:solidFill>
                              <a:round/>
                            </a:ln>
                          </wps:spPr>
                          <wps:style>
                            <a:lnRef idx="0"/>
                            <a:fillRef idx="0"/>
                            <a:effectRef idx="0"/>
                            <a:fontRef idx="minor"/>
                          </wps:style>
                          <wps:bodyPr/>
                        </wps:wsp>
                      </a:graphicData>
                    </a:graphic>
                  </wp:anchor>
                </w:drawing>
              </mc:Choice>
              <mc:Fallback>
                <w:pict>
                  <v:line id="shape_0" from="-0.85pt,-4.95pt" to="488.7pt,-4.95pt" ID="Line 1" stroked="t" style="position:absolute">
                    <v:stroke color="#ff6600" weight="9360" joinstyle="round" endcap="flat"/>
                    <v:fill o:detectmouseclick="t" on="false"/>
                  </v:line>
                </w:pict>
              </mc:Fallback>
            </mc:AlternateContent>
            <w:drawing>
              <wp:anchor behindDoc="1" distT="0" distB="0" distL="0" distR="0" simplePos="0" locked="0" layoutInCell="1" allowOverlap="1" relativeHeight="3">
                <wp:simplePos x="0" y="0"/>
                <wp:positionH relativeFrom="margin">
                  <wp:posOffset>4145915</wp:posOffset>
                </wp:positionH>
                <wp:positionV relativeFrom="paragraph">
                  <wp:posOffset>-67945</wp:posOffset>
                </wp:positionV>
                <wp:extent cx="1703705" cy="731520"/>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1703705" cy="731520"/>
                        </a:xfrm>
                        <a:prstGeom prst="rect">
                          <a:avLst/>
                        </a:prstGeom>
                      </pic:spPr>
                    </pic:pic>
                  </a:graphicData>
                </a:graphic>
              </wp:anchor>
            </w:drawing>
          </w:r>
          <w:r>
            <w:rPr>
              <w:sz w:val="16"/>
              <w:lang w:val="lt-LT"/>
            </w:rPr>
            <w:t>Centrinis bankas, Gedimino pr. 6, LT-01103 Vilnius,</w:t>
          </w:r>
        </w:p>
        <w:p>
          <w:pPr>
            <w:pStyle w:val="Normal"/>
            <w:jc w:val="center"/>
            <w:rPr/>
          </w:pPr>
          <w:r>
            <w:rPr>
              <w:sz w:val="16"/>
              <w:lang w:val="lt-LT"/>
            </w:rPr>
            <w:t xml:space="preserve">tel. (8 5) 268 0029, faks. (8 5) 268 0038, el. p. </w:t>
          </w:r>
          <w:hyperlink r:id="rId2">
            <w:r>
              <w:rPr>
                <w:rStyle w:val="InternetLink"/>
                <w:sz w:val="16"/>
                <w:lang w:val="lt-LT"/>
              </w:rPr>
              <w:t>info@lb.lt</w:t>
            </w:r>
          </w:hyperlink>
        </w:p>
        <w:p>
          <w:pPr>
            <w:pStyle w:val="Normal"/>
            <w:jc w:val="center"/>
            <w:rPr>
              <w:sz w:val="16"/>
              <w:lang w:val="lt-LT"/>
            </w:rPr>
          </w:pPr>
          <w:r>
            <w:rPr>
              <w:sz w:val="16"/>
              <w:lang w:val="lt-LT"/>
            </w:rPr>
            <w:t>Duomenys kaupiami ir saugomi Juridinių asmenų registre, kodas 188607684</w:t>
          </w:r>
        </w:p>
      </w:tc>
    </w:tr>
  </w:tbl>
  <w:p>
    <w:pPr>
      <w:pStyle w:val="Normal"/>
      <w:rPr>
        <w:sz w:val="4"/>
        <w:szCs w:val="4"/>
        <w:lang w:val="lt-LT"/>
      </w:rPr>
    </w:pPr>
    <w:r>
      <w:rPr>
        <w:sz w:val="4"/>
        <w:szCs w:val="4"/>
        <w:lang w:val="lt-LT"/>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http://finmin.lrv.lt/uploads/finmin/documents/files/Isvada_2017_saliskumas_internetui_05_14.pdf.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0172"/>
    <w:pPr>
      <w:widowControl w:val="fals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jc w:val="center"/>
      <w:outlineLvl w:val="0"/>
    </w:pPr>
    <w:rPr>
      <w:b/>
      <w:sz w:val="28"/>
      <w:lang w:val="lt-LT"/>
    </w:rPr>
  </w:style>
  <w:style w:type="paragraph" w:styleId="Heading2">
    <w:name w:val="Heading 2"/>
    <w:basedOn w:val="Normal"/>
    <w:next w:val="Normal"/>
    <w:qFormat/>
    <w:pPr>
      <w:keepNext w:val="true"/>
      <w:jc w:val="right"/>
      <w:outlineLvl w:val="1"/>
    </w:pPr>
    <w:rPr>
      <w:sz w:val="24"/>
      <w:lang w:val="lt-LT"/>
    </w:rPr>
  </w:style>
  <w:style w:type="paragraph" w:styleId="Heading3">
    <w:name w:val="Heading 3"/>
    <w:basedOn w:val="Normal"/>
    <w:next w:val="Normal"/>
    <w:qFormat/>
    <w:pPr>
      <w:keepNext w:val="true"/>
      <w:outlineLvl w:val="2"/>
    </w:pPr>
    <w:rPr>
      <w:sz w:val="24"/>
      <w:lang w:val="lt-LT"/>
    </w:rPr>
  </w:style>
  <w:style w:type="character" w:styleId="DefaultParagraphFont" w:default="1">
    <w:name w:val="Default Paragraph Font"/>
    <w:uiPriority w:val="1"/>
    <w:semiHidden/>
    <w:unhideWhenUsed/>
    <w:qFormat/>
    <w:rPr/>
  </w:style>
  <w:style w:type="character" w:styleId="InternetLink">
    <w:name w:val="Internet Link"/>
    <w:semiHidden/>
    <w:rPr>
      <w:color w:val="0000FF"/>
      <w:u w:val="single"/>
    </w:rPr>
  </w:style>
  <w:style w:type="character" w:styleId="BalloonTextChar" w:customStyle="1">
    <w:name w:val="Balloon Text Char"/>
    <w:semiHidden/>
    <w:qFormat/>
    <w:rPr>
      <w:rFonts w:ascii="Tahoma" w:hAnsi="Tahoma" w:cs="Tahoma"/>
      <w:sz w:val="16"/>
      <w:szCs w:val="16"/>
      <w:lang w:val="en-US" w:eastAsia="en-US"/>
    </w:rPr>
  </w:style>
  <w:style w:type="character" w:styleId="PuslapioinaostekstasDiagrama" w:customStyle="1">
    <w:name w:val="Puslapio išnašos tekstas Diagrama"/>
    <w:basedOn w:val="DefaultParagraphFont"/>
    <w:link w:val="Puslapioinaostekstas"/>
    <w:uiPriority w:val="99"/>
    <w:qFormat/>
    <w:rsid w:val="00a9112f"/>
    <w:rPr>
      <w:lang w:val="en-US" w:eastAsia="en-US"/>
    </w:rPr>
  </w:style>
  <w:style w:type="character" w:styleId="FootnoteCharacters">
    <w:name w:val="Footnote Characters"/>
    <w:basedOn w:val="DefaultParagraphFont"/>
    <w:uiPriority w:val="99"/>
    <w:unhideWhenUsed/>
    <w:qFormat/>
    <w:rsid w:val="00a9112f"/>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a9112f"/>
    <w:rPr>
      <w:sz w:val="16"/>
      <w:szCs w:val="16"/>
    </w:rPr>
  </w:style>
  <w:style w:type="character" w:styleId="KomentarotekstasDiagrama" w:customStyle="1">
    <w:name w:val="Komentaro tekstas Diagrama"/>
    <w:basedOn w:val="DefaultParagraphFont"/>
    <w:link w:val="Komentarotekstas"/>
    <w:uiPriority w:val="99"/>
    <w:semiHidden/>
    <w:qFormat/>
    <w:rsid w:val="00a9112f"/>
    <w:rPr>
      <w:lang w:val="en-US" w:eastAsia="en-US"/>
    </w:rPr>
  </w:style>
  <w:style w:type="character" w:styleId="KomentarotemaDiagrama" w:customStyle="1">
    <w:name w:val="Komentaro tema Diagrama"/>
    <w:basedOn w:val="KomentarotekstasDiagrama"/>
    <w:link w:val="Komentarotema"/>
    <w:uiPriority w:val="99"/>
    <w:semiHidden/>
    <w:qFormat/>
    <w:rsid w:val="00a9112f"/>
    <w:rPr>
      <w:b/>
      <w:bCs/>
      <w:lang w:val="en-US" w:eastAsia="en-US"/>
    </w:rPr>
  </w:style>
  <w:style w:type="character" w:styleId="AntratsDiagrama" w:customStyle="1">
    <w:name w:val="Antraštės Diagrama"/>
    <w:basedOn w:val="DefaultParagraphFont"/>
    <w:link w:val="Antrats"/>
    <w:uiPriority w:val="99"/>
    <w:qFormat/>
    <w:rsid w:val="00a9112f"/>
    <w:rPr>
      <w:lang w:val="en-US" w:eastAsia="en-U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rPr>
  </w:style>
  <w:style w:type="character" w:styleId="ListLabel12">
    <w:name w:val="ListLabel 12"/>
    <w:qFormat/>
    <w:rPr>
      <w:sz w:val="16"/>
      <w:lang w:val="lt-L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semiHidden/>
    <w:pPr>
      <w:widowControl/>
      <w:tabs>
        <w:tab w:val="clear" w:pos="720"/>
        <w:tab w:val="center" w:pos="4153" w:leader="none"/>
        <w:tab w:val="right" w:pos="8306" w:leader="none"/>
      </w:tabs>
    </w:pPr>
    <w:rPr>
      <w:sz w:val="24"/>
      <w:lang w:val="en-GB"/>
    </w:rPr>
  </w:style>
  <w:style w:type="paragraph" w:styleId="Tekstas" w:customStyle="1">
    <w:name w:val="tekstas"/>
    <w:basedOn w:val="Normal"/>
    <w:qFormat/>
    <w:pPr>
      <w:widowControl/>
      <w:ind w:firstLine="1298"/>
    </w:pPr>
    <w:rPr>
      <w:sz w:val="24"/>
      <w:lang w:val="lt-LT"/>
    </w:rPr>
  </w:style>
  <w:style w:type="paragraph" w:styleId="Header">
    <w:name w:val="Header"/>
    <w:basedOn w:val="Normal"/>
    <w:link w:val="AntratsDiagrama"/>
    <w:uiPriority w:val="99"/>
    <w:pPr>
      <w:tabs>
        <w:tab w:val="clear" w:pos="720"/>
        <w:tab w:val="center" w:pos="4153" w:leader="none"/>
        <w:tab w:val="right" w:pos="8306" w:leader="none"/>
      </w:tabs>
    </w:pPr>
    <w:rPr/>
  </w:style>
  <w:style w:type="paragraph" w:styleId="BalloonText">
    <w:name w:val="Balloon Text"/>
    <w:basedOn w:val="Normal"/>
    <w:semiHidden/>
    <w:unhideWhenUsed/>
    <w:qFormat/>
    <w:pPr/>
    <w:rPr>
      <w:rFonts w:ascii="Tahoma" w:hAnsi="Tahoma" w:cs="Tahoma"/>
      <w:sz w:val="16"/>
      <w:szCs w:val="16"/>
    </w:rPr>
  </w:style>
  <w:style w:type="paragraph" w:styleId="Footnote">
    <w:name w:val="Footnote Text"/>
    <w:basedOn w:val="Normal"/>
    <w:link w:val="PuslapioinaostekstasDiagrama"/>
    <w:uiPriority w:val="99"/>
    <w:unhideWhenUsed/>
    <w:rsid w:val="00a9112f"/>
    <w:pPr/>
    <w:rPr/>
  </w:style>
  <w:style w:type="paragraph" w:styleId="ListParagraph">
    <w:name w:val="List Paragraph"/>
    <w:basedOn w:val="Normal"/>
    <w:uiPriority w:val="34"/>
    <w:qFormat/>
    <w:rsid w:val="00a9112f"/>
    <w:pPr>
      <w:spacing w:before="0" w:after="0"/>
      <w:ind w:left="720" w:hanging="0"/>
      <w:contextualSpacing/>
    </w:pPr>
    <w:rPr/>
  </w:style>
  <w:style w:type="paragraph" w:styleId="Annotationtext">
    <w:name w:val="annotation text"/>
    <w:basedOn w:val="Normal"/>
    <w:link w:val="KomentarotekstasDiagrama"/>
    <w:uiPriority w:val="99"/>
    <w:semiHidden/>
    <w:unhideWhenUsed/>
    <w:qFormat/>
    <w:rsid w:val="00a9112f"/>
    <w:pPr/>
    <w:rPr/>
  </w:style>
  <w:style w:type="paragraph" w:styleId="Annotationsubject">
    <w:name w:val="annotation subject"/>
    <w:basedOn w:val="Annotationtext"/>
    <w:next w:val="Annotationtext"/>
    <w:link w:val="KomentarotemaDiagrama"/>
    <w:uiPriority w:val="99"/>
    <w:semiHidden/>
    <w:unhideWhenUsed/>
    <w:qFormat/>
    <w:rsid w:val="00a9112f"/>
    <w:pPr/>
    <w:rPr>
      <w:b/>
      <w:bCs/>
    </w:rPr>
  </w:style>
  <w:style w:type="paragraph" w:styleId="Revision">
    <w:name w:val="Revision"/>
    <w:uiPriority w:val="99"/>
    <w:semiHidden/>
    <w:qFormat/>
    <w:rsid w:val="00336910"/>
    <w:pPr>
      <w:widowControl/>
      <w:bidi w:val="0"/>
      <w:jc w:val="left"/>
    </w:pPr>
    <w:rPr>
      <w:rFonts w:ascii="Times New Roman" w:hAnsi="Times New Roman" w:eastAsia="Times New Roman"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table" w:styleId="Lentelstinklelis">
    <w:name w:val="Table Grid"/>
    <w:basedOn w:val="prastojilentel"/>
    <w:uiPriority w:val="59"/>
    <w:rsid w:val="00076b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prastojilentel"/>
    <w:uiPriority w:val="39"/>
    <w:rsid w:val="00a9112f"/>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info@lb.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A722507847044E8AB6567832A2FEC5" ma:contentTypeVersion="0" ma:contentTypeDescription="Create a new document." ma:contentTypeScope="" ma:versionID="75a653c346d6ac586b802709a18fa11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AADCC-315F-44E7-8E12-79CABA295B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AD6742-F1CC-410E-8761-CA83602CC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3EE5DF-AC6A-4064-8B8B-5200EE7A7793}">
  <ds:schemaRefs>
    <ds:schemaRef ds:uri="http://schemas.microsoft.com/sharepoint/v3/contenttype/forms"/>
  </ds:schemaRefs>
</ds:datastoreItem>
</file>

<file path=customXml/itemProps4.xml><?xml version="1.0" encoding="utf-8"?>
<ds:datastoreItem xmlns:ds="http://schemas.openxmlformats.org/officeDocument/2006/customXml" ds:itemID="{E0F80965-E3A8-4C02-AF49-F813E770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LibreOffice/6.2.4.2$Linux_X86_64 LibreOffice_project/20$Build-2</Application>
  <Pages>21</Pages>
  <Words>2008</Words>
  <Characters>11248</Characters>
  <CharactersWithSpaces>12766</CharactersWithSpaces>
  <Paragraphs>494</Paragraphs>
  <Company>Lietuvos bankas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2018-08-21T13:13:00Z</dcterms:created>
  <dc:creator>Evaldas Bareišis</dc:creator>
  <dc:description/>
  <dc:language>en-US</dc:language>
  <cp:lastModifiedBy>Valda Pranckuvienė</cp:lastModifiedBy>
  <cp:lastPrinted>2017-03-28T08:22:00Z</cp:lastPrinted>
  <dcterms:modified xsi:type="dcterms:W3CDTF">2018-08-21T13:13:00Z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Lietuvos bankas</vt:lpwstr>
  </property>
  <property fmtid="{D5CDD505-2E9C-101B-9397-08002B2CF9AE}" pid="4" name="ContentTypeId">
    <vt:lpwstr>0x010100B0A722507847044E8AB6567832A2FEC5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AdHocReviewCycleID">
    <vt:i4>241373751</vt:i4>
  </property>
  <property fmtid="{D5CDD505-2E9C-101B-9397-08002B2CF9AE}" pid="11" name="_AuthorEmail">
    <vt:lpwstr>Valda.Pranckuviene@socmin.lt</vt:lpwstr>
  </property>
  <property fmtid="{D5CDD505-2E9C-101B-9397-08002B2CF9AE}" pid="12" name="_AuthorEmailDisplayName">
    <vt:lpwstr>Valda Pranckuvienė</vt:lpwstr>
  </property>
  <property fmtid="{D5CDD505-2E9C-101B-9397-08002B2CF9AE}" pid="13" name="_EmailSubject">
    <vt:lpwstr>2018-08-27 LR trišalės tarybos posėdis_Lietuvos banko atsakymas</vt:lpwstr>
  </property>
  <property fmtid="{D5CDD505-2E9C-101B-9397-08002B2CF9AE}" pid="14" name="_NewReviewCycle">
    <vt:lpwstr/>
  </property>
</Properties>
</file>