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7B" w:rsidRDefault="0004527B" w:rsidP="0004527B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广东恒健投资控股有限公司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 ~ 2018-06 )违约概率：6.001‰，同行业排名（违约概率由低至高，下同）105/245。在胜遇AA评级中排名777/1431。在公开市场AAA评级中排名209/431。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按照胜遇系统的违约分析，该主体的违约概率极低（低于10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）,信用状况良好。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Pr="0004527B" w:rsidRDefault="0004527B" w:rsidP="0004527B">
      <w:pPr>
        <w:widowControl/>
        <w:ind w:left="39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总体11.7分，盈利能力14.7分，偿债能力32.0分，资本结构17.1分，营运能力66.9分。</w:t>
      </w:r>
    </w:p>
    <w:p w:rsidR="00D23B6B" w:rsidRDefault="00D23B6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A11305" w:rsidRDefault="000F1D77" w:rsidP="000F1D77">
      <w:pPr>
        <w:jc w:val="left"/>
      </w:pPr>
      <w:r w:rsidRPr="000F1D77">
        <w:rPr>
          <w:noProof/>
        </w:rPr>
        <w:drawing>
          <wp:inline distT="0" distB="0" distL="0" distR="0">
            <wp:extent cx="5274310" cy="1672145"/>
            <wp:effectExtent l="0" t="0" r="2540" b="4445"/>
            <wp:docPr id="1" name="图片 1" descr="C:\Users\user\AppData\Local\Temp\WeChat Files\624221376509934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6242213765099343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93" w:rsidRDefault="00F82E93" w:rsidP="00A11305">
      <w:pPr>
        <w:pStyle w:val="a3"/>
        <w:ind w:left="750" w:firstLineChars="0" w:firstLine="0"/>
      </w:pPr>
      <w:r>
        <w:rPr>
          <w:rFonts w:hint="eastAsia"/>
        </w:rPr>
        <w:t>偿债能力：</w:t>
      </w:r>
    </w:p>
    <w:p w:rsidR="00CC6128" w:rsidRDefault="00F82E93" w:rsidP="00AC7F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CC61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流动比率</w:t>
      </w:r>
      <w:r w:rsidR="003A3387" w:rsidRPr="00CC61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</w:p>
    <w:p w:rsidR="00F82E93" w:rsidRPr="00CC6128" w:rsidRDefault="00F82E93" w:rsidP="00AC7F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CC61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现金流动负债保障倍数</w:t>
      </w:r>
    </w:p>
    <w:p w:rsidR="00F82E93" w:rsidRDefault="00F82E93" w:rsidP="00F82E9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    3.</w:t>
      </w:r>
      <w:r w:rsidRPr="00F82E93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速动比率</w:t>
      </w:r>
      <w:r w:rsidR="00A11305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     </w:t>
      </w:r>
    </w:p>
    <w:p w:rsidR="00F82E93" w:rsidRDefault="00F82E93" w:rsidP="000F1D77">
      <w:pPr>
        <w:pStyle w:val="a3"/>
        <w:ind w:left="750" w:firstLineChars="0" w:firstLine="0"/>
      </w:pPr>
      <w:r>
        <w:rPr>
          <w:rFonts w:hint="eastAsia"/>
        </w:rPr>
        <w:t>营运效率</w:t>
      </w:r>
    </w:p>
    <w:p w:rsidR="00F82E93" w:rsidRP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lastRenderedPageBreak/>
        <w:t>营运资本周转率</w:t>
      </w:r>
    </w:p>
    <w:p w:rsidR="00F82E93" w:rsidRP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固定资产周转率</w:t>
      </w:r>
    </w:p>
    <w:p w:rsidR="00F82E93" w:rsidRP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销售费用率与营业收入相关系数</w:t>
      </w:r>
    </w:p>
    <w:p w:rsid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加工成本转换系数</w:t>
      </w:r>
    </w:p>
    <w:p w:rsidR="00F82E93" w:rsidRDefault="00F82E93" w:rsidP="000F1D77">
      <w:pPr>
        <w:pStyle w:val="a3"/>
        <w:ind w:left="750" w:firstLineChars="0" w:firstLine="0"/>
      </w:pPr>
      <w:r>
        <w:rPr>
          <w:rFonts w:hint="eastAsia"/>
        </w:rPr>
        <w:t>盈利能力</w:t>
      </w:r>
    </w:p>
    <w:p w:rsidR="00F82E93" w:rsidRPr="00F82E93" w:rsidRDefault="00F82E93" w:rsidP="00F82E93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总资产净利润率</w:t>
      </w:r>
    </w:p>
    <w:p w:rsidR="00F82E93" w:rsidRPr="00FA0169" w:rsidRDefault="00F82E93" w:rsidP="00F82E93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股东权益报酬率</w:t>
      </w:r>
    </w:p>
    <w:tbl>
      <w:tblPr>
        <w:tblStyle w:val="a8"/>
        <w:tblW w:w="0" w:type="auto"/>
        <w:tblInd w:w="612" w:type="dxa"/>
        <w:tblLook w:val="04A0" w:firstRow="1" w:lastRow="0" w:firstColumn="1" w:lastColumn="0" w:noHBand="0" w:noVBand="1"/>
      </w:tblPr>
      <w:tblGrid>
        <w:gridCol w:w="3140"/>
        <w:gridCol w:w="1900"/>
        <w:gridCol w:w="2040"/>
      </w:tblGrid>
      <w:tr w:rsidR="00FA0169" w:rsidRPr="00FA0169" w:rsidTr="00FA0169">
        <w:trPr>
          <w:trHeight w:val="278"/>
        </w:trPr>
        <w:tc>
          <w:tcPr>
            <w:tcW w:w="3140" w:type="dxa"/>
            <w:noWrap/>
            <w:hideMark/>
          </w:tcPr>
          <w:p w:rsidR="00FA0169" w:rsidRPr="00FA0169" w:rsidRDefault="00FA0169" w:rsidP="00FA0169">
            <w:r w:rsidRPr="00FA0169">
              <w:rPr>
                <w:rFonts w:hint="eastAsia"/>
              </w:rPr>
              <w:t>公司名称</w:t>
            </w:r>
          </w:p>
        </w:tc>
        <w:tc>
          <w:tcPr>
            <w:tcW w:w="1900" w:type="dxa"/>
            <w:noWrap/>
            <w:hideMark/>
          </w:tcPr>
          <w:p w:rsidR="00FA0169" w:rsidRPr="00FA0169" w:rsidRDefault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报告期</w:t>
            </w:r>
          </w:p>
        </w:tc>
        <w:tc>
          <w:tcPr>
            <w:tcW w:w="2040" w:type="dxa"/>
            <w:noWrap/>
            <w:hideMark/>
          </w:tcPr>
          <w:p w:rsidR="00FA0169" w:rsidRPr="00FA0169" w:rsidRDefault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股东权益报酬率</w:t>
            </w:r>
          </w:p>
        </w:tc>
      </w:tr>
      <w:tr w:rsidR="00FA0169" w:rsidRPr="00FA0169" w:rsidTr="00FA0169">
        <w:trPr>
          <w:trHeight w:val="278"/>
        </w:trPr>
        <w:tc>
          <w:tcPr>
            <w:tcW w:w="3140" w:type="dxa"/>
            <w:noWrap/>
            <w:hideMark/>
          </w:tcPr>
          <w:p w:rsidR="00FA0169" w:rsidRPr="00FA0169" w:rsidRDefault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广东恒健投资控股有限公司</w:t>
            </w:r>
          </w:p>
        </w:tc>
        <w:tc>
          <w:tcPr>
            <w:tcW w:w="190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2016/3/31</w:t>
            </w:r>
          </w:p>
        </w:tc>
        <w:tc>
          <w:tcPr>
            <w:tcW w:w="20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0.045170137</w:t>
            </w:r>
          </w:p>
        </w:tc>
      </w:tr>
      <w:tr w:rsidR="00FA0169" w:rsidRPr="00FA0169" w:rsidTr="00FA0169">
        <w:trPr>
          <w:trHeight w:val="278"/>
        </w:trPr>
        <w:tc>
          <w:tcPr>
            <w:tcW w:w="31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广东恒健投资控股有限公司</w:t>
            </w:r>
          </w:p>
        </w:tc>
        <w:tc>
          <w:tcPr>
            <w:tcW w:w="190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2016/6/30</w:t>
            </w:r>
          </w:p>
        </w:tc>
        <w:tc>
          <w:tcPr>
            <w:tcW w:w="20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0.076647078</w:t>
            </w:r>
          </w:p>
        </w:tc>
      </w:tr>
      <w:tr w:rsidR="00FA0169" w:rsidRPr="00FA0169" w:rsidTr="00FA0169">
        <w:trPr>
          <w:trHeight w:val="278"/>
        </w:trPr>
        <w:tc>
          <w:tcPr>
            <w:tcW w:w="31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广东恒健投资控股有限公司</w:t>
            </w:r>
          </w:p>
        </w:tc>
        <w:tc>
          <w:tcPr>
            <w:tcW w:w="190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2016/9/30</w:t>
            </w:r>
          </w:p>
        </w:tc>
        <w:tc>
          <w:tcPr>
            <w:tcW w:w="20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0.030041278</w:t>
            </w:r>
          </w:p>
        </w:tc>
      </w:tr>
      <w:tr w:rsidR="00FA0169" w:rsidRPr="00FA0169" w:rsidTr="00FA0169">
        <w:trPr>
          <w:trHeight w:val="278"/>
        </w:trPr>
        <w:tc>
          <w:tcPr>
            <w:tcW w:w="31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广东恒健投资控股有限公司</w:t>
            </w:r>
          </w:p>
        </w:tc>
        <w:tc>
          <w:tcPr>
            <w:tcW w:w="190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2016/12/31</w:t>
            </w:r>
          </w:p>
        </w:tc>
        <w:tc>
          <w:tcPr>
            <w:tcW w:w="20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0.024104556</w:t>
            </w:r>
          </w:p>
        </w:tc>
      </w:tr>
      <w:tr w:rsidR="00FA0169" w:rsidRPr="00FA0169" w:rsidTr="00FA0169">
        <w:trPr>
          <w:trHeight w:val="278"/>
        </w:trPr>
        <w:tc>
          <w:tcPr>
            <w:tcW w:w="31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广东恒健投资控股有限公司</w:t>
            </w:r>
          </w:p>
        </w:tc>
        <w:tc>
          <w:tcPr>
            <w:tcW w:w="190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2017/3/31</w:t>
            </w:r>
          </w:p>
        </w:tc>
        <w:tc>
          <w:tcPr>
            <w:tcW w:w="2040" w:type="dxa"/>
            <w:noWrap/>
            <w:hideMark/>
          </w:tcPr>
          <w:p w:rsidR="00FA0169" w:rsidRPr="00FA0169" w:rsidRDefault="00FA0169" w:rsidP="00FA0169">
            <w:pPr>
              <w:rPr>
                <w:rFonts w:hint="eastAsia"/>
              </w:rPr>
            </w:pPr>
            <w:r w:rsidRPr="00FA0169">
              <w:rPr>
                <w:rFonts w:hint="eastAsia"/>
              </w:rPr>
              <w:t>0.022884693</w:t>
            </w:r>
          </w:p>
        </w:tc>
      </w:tr>
    </w:tbl>
    <w:p w:rsidR="00F82E93" w:rsidRDefault="00F82E93" w:rsidP="000F1D77">
      <w:pPr>
        <w:pStyle w:val="a3"/>
        <w:ind w:left="750" w:firstLineChars="0" w:firstLine="0"/>
      </w:pPr>
      <w:bookmarkStart w:id="0" w:name="_GoBack"/>
      <w:bookmarkEnd w:id="0"/>
      <w:r>
        <w:rPr>
          <w:rFonts w:hint="eastAsia"/>
        </w:rPr>
        <w:t>资产结构</w:t>
      </w:r>
    </w:p>
    <w:p w:rsidR="00F82E93" w:rsidRPr="00F82E93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总资产的经营性资产占比</w:t>
      </w:r>
    </w:p>
    <w:p w:rsidR="00F82E93" w:rsidRPr="00F82E93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净资产货币资金占比</w:t>
      </w:r>
    </w:p>
    <w:p w:rsidR="00F82E93" w:rsidRPr="00F82E93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总资产的折旧与摊销系数</w:t>
      </w:r>
    </w:p>
    <w:p w:rsidR="00F82E93" w:rsidRPr="0004527B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总资产的固定资产占比</w:t>
      </w:r>
    </w:p>
    <w:sectPr w:rsidR="00F82E93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07A" w:rsidRDefault="00BB507A" w:rsidP="003A3387">
      <w:r>
        <w:separator/>
      </w:r>
    </w:p>
  </w:endnote>
  <w:endnote w:type="continuationSeparator" w:id="0">
    <w:p w:rsidR="00BB507A" w:rsidRDefault="00BB507A" w:rsidP="003A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07A" w:rsidRDefault="00BB507A" w:rsidP="003A3387">
      <w:r>
        <w:separator/>
      </w:r>
    </w:p>
  </w:footnote>
  <w:footnote w:type="continuationSeparator" w:id="0">
    <w:p w:rsidR="00BB507A" w:rsidRDefault="00BB507A" w:rsidP="003A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 w15:restartNumberingAfterBreak="0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0F1D77"/>
    <w:rsid w:val="003A3387"/>
    <w:rsid w:val="0078570A"/>
    <w:rsid w:val="009C5E94"/>
    <w:rsid w:val="00A11305"/>
    <w:rsid w:val="00BB507A"/>
    <w:rsid w:val="00CC6128"/>
    <w:rsid w:val="00D23B6B"/>
    <w:rsid w:val="00F82E93"/>
    <w:rsid w:val="00F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CEB4"/>
  <w15:docId w15:val="{CC11F76D-F8C6-46EF-9EC9-4C88D22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3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387"/>
    <w:rPr>
      <w:sz w:val="18"/>
      <w:szCs w:val="18"/>
    </w:rPr>
  </w:style>
  <w:style w:type="table" w:styleId="a8">
    <w:name w:val="Table Grid"/>
    <w:basedOn w:val="a1"/>
    <w:uiPriority w:val="59"/>
    <w:rsid w:val="00FA0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王子文</cp:lastModifiedBy>
  <cp:revision>3</cp:revision>
  <dcterms:created xsi:type="dcterms:W3CDTF">2017-08-30T07:21:00Z</dcterms:created>
  <dcterms:modified xsi:type="dcterms:W3CDTF">2017-08-30T09:37:00Z</dcterms:modified>
</cp:coreProperties>
</file>