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CFE" w:rsidRPr="004D6CFE" w:rsidRDefault="004D6CFE" w:rsidP="004D6CFE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D6CF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江苏宁沪高速公路股份有限公司</w:t>
      </w:r>
    </w:p>
    <w:p w:rsid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i/>
          <w:color w:val="000000"/>
          <w:kern w:val="0"/>
          <w:sz w:val="20"/>
          <w:szCs w:val="20"/>
        </w:rPr>
        <w:t>一句话描述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4D6CFE" w:rsidRDefault="004D6CFE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本企业1年内(2017-06 ~ 2018-06 )违约概率：0.762‰，同行业排名（违约概率由低至高，下同）2/34。在胜遇AAA评级中排名241/357。在公开市场AAA评级中排名33/431。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点评：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按照胜遇系统的违约分析，该主体的违约概率极低（低于10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‰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）,信用状况良好。</w:t>
      </w:r>
    </w:p>
    <w:p w:rsidR="0004527B" w:rsidRP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信用评分分析：</w:t>
      </w:r>
    </w:p>
    <w:p w:rsidR="0004527B" w:rsidRPr="0004527B" w:rsidRDefault="0004527B" w:rsidP="0004527B">
      <w:pPr>
        <w:widowControl/>
        <w:ind w:left="39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（一）总体得分：</w:t>
      </w:r>
      <w:r w:rsidR="004D6CFE">
        <w:rPr>
          <w:rFonts w:ascii="微软雅黑" w:eastAsia="微软雅黑" w:hAnsi="微软雅黑" w:hint="eastAsia"/>
          <w:color w:val="666666"/>
          <w:shd w:val="clear" w:color="auto" w:fill="FFFFFF"/>
        </w:rPr>
        <w:t>总体96.6分，盈利能力98.6分，偿债能力87.3分，资本结构69.4分，营运能力50.5分。</w:t>
      </w:r>
      <w:r w:rsidR="004D6CFE" w:rsidRPr="0004527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</w:p>
    <w:p w:rsidR="00D23B6B" w:rsidRDefault="00D23B6B"/>
    <w:p w:rsidR="0004527B" w:rsidRDefault="0004527B"/>
    <w:p w:rsidR="0004527B" w:rsidRDefault="0004527B"/>
    <w:p w:rsidR="0004527B" w:rsidRDefault="0004527B"/>
    <w:p w:rsidR="0004527B" w:rsidRDefault="0004527B" w:rsidP="00045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异常指标分析：</w:t>
      </w:r>
    </w:p>
    <w:p w:rsidR="004D6CFE" w:rsidRDefault="004D6CFE" w:rsidP="004D6CFE">
      <w:r>
        <w:rPr>
          <w:noProof/>
        </w:rPr>
        <w:drawing>
          <wp:inline distT="0" distB="0" distL="0" distR="0">
            <wp:extent cx="5274310" cy="1166111"/>
            <wp:effectExtent l="0" t="0" r="2540" b="0"/>
            <wp:docPr id="1" name="图片 1" descr="C:\Users\dell\AppData\Local\Temp\15040798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0407980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CFE" w:rsidRDefault="004D6CFE" w:rsidP="004D6CFE"/>
    <w:p w:rsidR="004D6CFE" w:rsidRDefault="004D6CFE" w:rsidP="004D6CFE"/>
    <w:p w:rsidR="004D6CFE" w:rsidRDefault="004D6CFE" w:rsidP="004D6CFE"/>
    <w:p w:rsidR="004D6CFE" w:rsidRDefault="004D6CFE" w:rsidP="004D6CFE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偿债能力：</w:t>
      </w:r>
    </w:p>
    <w:p w:rsidR="004D6CFE" w:rsidRDefault="004D6CFE" w:rsidP="004D6CFE">
      <w:pPr>
        <w:pStyle w:val="a3"/>
        <w:ind w:left="750" w:firstLineChars="0" w:firstLine="0"/>
      </w:pPr>
      <w:r>
        <w:rPr>
          <w:rFonts w:hint="eastAsia"/>
        </w:rPr>
        <w:t xml:space="preserve">1.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现金流动负债保障倍数</w:t>
      </w:r>
    </w:p>
    <w:p w:rsidR="00F82E93" w:rsidRDefault="00F82E93" w:rsidP="00F82E93">
      <w:r>
        <w:rPr>
          <w:rFonts w:hint="eastAsia"/>
        </w:rPr>
        <w:t xml:space="preserve">       2.</w:t>
      </w:r>
      <w:r w:rsidR="004D6CFE" w:rsidRPr="004D6CFE"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</w:t>
      </w:r>
      <w:r w:rsidR="004D6CFE"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速动比率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      </w:t>
      </w:r>
    </w:p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营运效率</w:t>
      </w:r>
    </w:p>
    <w:p w:rsidR="004D6CFE" w:rsidRPr="004D6CFE" w:rsidRDefault="004D6CFE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存货周转率修正值</w:t>
      </w:r>
    </w:p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盈利能力</w:t>
      </w:r>
    </w:p>
    <w:p w:rsidR="004D6CFE" w:rsidRPr="004D6CFE" w:rsidRDefault="004D6CFE" w:rsidP="00F82E93">
      <w:pPr>
        <w:pStyle w:val="a3"/>
        <w:numPr>
          <w:ilvl w:val="0"/>
          <w:numId w:val="6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成本费用边际利润率</w:t>
      </w:r>
    </w:p>
    <w:p w:rsidR="00F82E93" w:rsidRDefault="00F82E93" w:rsidP="00F82E93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资产结构</w:t>
      </w:r>
    </w:p>
    <w:p w:rsidR="004D6CFE" w:rsidRPr="004D6CFE" w:rsidRDefault="004D6CFE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有形资产总负债率</w:t>
      </w:r>
    </w:p>
    <w:p w:rsidR="004D6CFE" w:rsidRPr="004D6CFE" w:rsidRDefault="004D6CFE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总资产无形资产占比</w:t>
      </w:r>
    </w:p>
    <w:p w:rsidR="004D6CFE" w:rsidRPr="004D6CFE" w:rsidRDefault="004D6CFE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净资产货币资金占比</w:t>
      </w:r>
    </w:p>
    <w:p w:rsidR="00F82E93" w:rsidRPr="0004527B" w:rsidRDefault="004D6CFE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总资产的长期股权投资占比</w:t>
      </w:r>
    </w:p>
    <w:sectPr w:rsidR="00F82E93" w:rsidRPr="0004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FF5" w:rsidRDefault="00F62FF5" w:rsidP="00613E69">
      <w:r>
        <w:separator/>
      </w:r>
    </w:p>
  </w:endnote>
  <w:endnote w:type="continuationSeparator" w:id="0">
    <w:p w:rsidR="00F62FF5" w:rsidRDefault="00F62FF5" w:rsidP="00613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FF5" w:rsidRDefault="00F62FF5" w:rsidP="00613E69">
      <w:r>
        <w:separator/>
      </w:r>
    </w:p>
  </w:footnote>
  <w:footnote w:type="continuationSeparator" w:id="0">
    <w:p w:rsidR="00F62FF5" w:rsidRDefault="00F62FF5" w:rsidP="00613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18D1"/>
    <w:multiLevelType w:val="hybridMultilevel"/>
    <w:tmpl w:val="E432E8D4"/>
    <w:lvl w:ilvl="0" w:tplc="72DE26E8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5F2E3C56"/>
    <w:multiLevelType w:val="hybridMultilevel"/>
    <w:tmpl w:val="023C13B2"/>
    <w:lvl w:ilvl="0" w:tplc="6016B4F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61F96AC8"/>
    <w:multiLevelType w:val="hybridMultilevel"/>
    <w:tmpl w:val="904656CC"/>
    <w:lvl w:ilvl="0" w:tplc="E6A615F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 w15:restartNumberingAfterBreak="0">
    <w:nsid w:val="620D5641"/>
    <w:multiLevelType w:val="hybridMultilevel"/>
    <w:tmpl w:val="0032FBC8"/>
    <w:lvl w:ilvl="0" w:tplc="3184EDB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 w15:restartNumberingAfterBreak="0">
    <w:nsid w:val="6C2F26BB"/>
    <w:multiLevelType w:val="hybridMultilevel"/>
    <w:tmpl w:val="69A682BC"/>
    <w:lvl w:ilvl="0" w:tplc="4F1ECB5E">
      <w:start w:val="1"/>
      <w:numFmt w:val="japaneseCounting"/>
      <w:lvlText w:val="%1，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6E1016"/>
    <w:multiLevelType w:val="hybridMultilevel"/>
    <w:tmpl w:val="5FC0DE6E"/>
    <w:lvl w:ilvl="0" w:tplc="3FC4CA1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6" w15:restartNumberingAfterBreak="0">
    <w:nsid w:val="7E304188"/>
    <w:multiLevelType w:val="hybridMultilevel"/>
    <w:tmpl w:val="F2A8D642"/>
    <w:lvl w:ilvl="0" w:tplc="D396BC86">
      <w:start w:val="1"/>
      <w:numFmt w:val="decimal"/>
      <w:lvlText w:val="%1．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7B"/>
    <w:rsid w:val="0004527B"/>
    <w:rsid w:val="004D6CFE"/>
    <w:rsid w:val="00613E69"/>
    <w:rsid w:val="007D7D93"/>
    <w:rsid w:val="00D23B6B"/>
    <w:rsid w:val="00F62FF5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0F1A"/>
  <w15:docId w15:val="{DD62ABF7-6FA9-481D-8F93-844F8A4C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D6CF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D6CF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13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3E6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3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3E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王子文</cp:lastModifiedBy>
  <cp:revision>3</cp:revision>
  <dcterms:created xsi:type="dcterms:W3CDTF">2017-08-30T08:00:00Z</dcterms:created>
  <dcterms:modified xsi:type="dcterms:W3CDTF">2017-08-30T08:04:00Z</dcterms:modified>
</cp:coreProperties>
</file>