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w:t>
      </w:r>
      <w:r w:rsidDel="00000000" w:rsidR="00000000" w:rsidRPr="00000000">
        <w:rPr>
          <w:rFonts w:ascii="Anton" w:cs="Anton" w:eastAsia="Anton" w:hAnsi="Anton"/>
          <w:i w:val="1"/>
          <w:color w:val="434343"/>
          <w:sz w:val="60"/>
          <w:szCs w:val="60"/>
          <w:shd w:fill="e0ff00" w:val="clear"/>
          <w:rtl w:val="0"/>
        </w:rPr>
        <w:t xml:space="preserve">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7"/>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7"/>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7"/>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r w:rsidDel="00000000" w:rsidR="00000000" w:rsidRPr="00000000">
        <w:rPr>
          <w:rtl w:val="0"/>
        </w:rPr>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ENTREGA INTERMEDIA DEL PROYECTO FINAL</w:t>
      </w:r>
      <w:r w:rsidDel="00000000" w:rsidR="00000000" w:rsidRPr="00000000">
        <w:rPr>
          <w:rtl w:val="0"/>
        </w:rPr>
      </w:r>
    </w:p>
    <w:p w:rsidR="00000000" w:rsidDel="00000000" w:rsidP="00000000" w:rsidRDefault="00000000" w:rsidRPr="00000000" w14:paraId="00000011">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2">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Navbar con cart</w:t>
      </w:r>
    </w:p>
    <w:p w:rsidR="00000000" w:rsidDel="00000000" w:rsidP="00000000" w:rsidRDefault="00000000" w:rsidRPr="00000000" w14:paraId="00000014">
      <w:pPr>
        <w:pageBreakBefore w:val="0"/>
        <w:numPr>
          <w:ilvl w:val="0"/>
          <w:numId w:val="4"/>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Catálogo</w:t>
      </w:r>
    </w:p>
    <w:p w:rsidR="00000000" w:rsidDel="00000000" w:rsidP="00000000" w:rsidRDefault="00000000" w:rsidRPr="00000000" w14:paraId="00000015">
      <w:pPr>
        <w:pageBreakBefore w:val="0"/>
        <w:numPr>
          <w:ilvl w:val="0"/>
          <w:numId w:val="4"/>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Detalle de producto</w:t>
      </w:r>
      <w:r w:rsidDel="00000000" w:rsidR="00000000" w:rsidRPr="00000000">
        <w:rPr>
          <w:rtl w:val="0"/>
        </w:rPr>
      </w:r>
    </w:p>
    <w:p w:rsidR="00000000" w:rsidDel="00000000" w:rsidP="00000000" w:rsidRDefault="00000000" w:rsidRPr="00000000" w14:paraId="00000016">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7">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Catálogo, detalle y navegabilidad </w:t>
      </w: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 último commit de git donde se cumplan los objetivos + GIF mostrando la navegabilidad</w:t>
      </w:r>
      <w:r w:rsidDel="00000000" w:rsidR="00000000" w:rsidRPr="00000000">
        <w:rPr>
          <w:rtl w:val="0"/>
        </w:rPr>
      </w:r>
    </w:p>
    <w:p w:rsidR="00000000" w:rsidDel="00000000" w:rsidP="00000000" w:rsidRDefault="00000000" w:rsidRPr="00000000" w14:paraId="00000019">
      <w:pPr>
        <w:pageBreakBefore w:val="0"/>
        <w:numPr>
          <w:ilvl w:val="0"/>
          <w:numId w:val="6"/>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desarrollar la navegabilidad básica de la aplicación, demostrando que la app permite ver el catálogo, y navegar a un detalle</w:t>
      </w:r>
    </w:p>
    <w:p w:rsidR="00000000" w:rsidDel="00000000" w:rsidP="00000000" w:rsidRDefault="00000000" w:rsidRPr="00000000" w14:paraId="0000001A">
      <w:pPr>
        <w:pageBreakBefore w:val="0"/>
        <w:ind w:left="72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B">
      <w:pPr>
        <w:pageBreakBefore w:val="0"/>
        <w:jc w:val="both"/>
        <w:rPr>
          <w:rFonts w:ascii="Helvetica Neue" w:cs="Helvetica Neue" w:eastAsia="Helvetica Neue" w:hAnsi="Helvetica Neue"/>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 xml:space="preserve">Incluir:</w:t>
      </w:r>
    </w:p>
    <w:p w:rsidR="00000000" w:rsidDel="00000000" w:rsidP="00000000" w:rsidRDefault="00000000" w:rsidRPr="00000000" w14:paraId="0000001C">
      <w:pPr>
        <w:pageBreakBefore w:val="0"/>
        <w:numPr>
          <w:ilvl w:val="0"/>
          <w:numId w:val="1"/>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Readme.md:</w:t>
      </w:r>
      <w:r w:rsidDel="00000000" w:rsidR="00000000" w:rsidRPr="00000000">
        <w:rPr>
          <w:rFonts w:ascii="Helvetica Neue Light" w:cs="Helvetica Neue Light" w:eastAsia="Helvetica Neue Light" w:hAnsi="Helvetica Neue Light"/>
          <w:color w:val="434343"/>
          <w:sz w:val="30"/>
          <w:szCs w:val="30"/>
          <w:rtl w:val="0"/>
        </w:rPr>
        <w:t xml:space="preserve">  El archivo debe estar en el root del proyecto para dar una breve introducción acerca de su proyecto y qué ideas o enfoque eligió para el mismo. Si incluyó dependencias extra por npm (por fuera de las trabajadas en clase), aparte debe hacer un resumen explicando sus decisiones</w:t>
        <w:br w:type="textWrapping"/>
      </w:r>
    </w:p>
    <w:p w:rsidR="00000000" w:rsidDel="00000000" w:rsidP="00000000" w:rsidRDefault="00000000" w:rsidRPr="00000000" w14:paraId="0000001D">
      <w:pPr>
        <w:pageBreakBefore w:val="0"/>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Aspectos a incluir</w:t>
      </w:r>
    </w:p>
    <w:p w:rsidR="00000000" w:rsidDel="00000000" w:rsidP="00000000" w:rsidRDefault="00000000" w:rsidRPr="00000000" w14:paraId="0000001E">
      <w:pPr>
        <w:pageBreakBefore w:val="0"/>
        <w:rPr>
          <w:rFonts w:ascii="Anton" w:cs="Anton" w:eastAsia="Anton" w:hAnsi="Anton"/>
          <w:i w:val="1"/>
          <w:color w:val="434343"/>
          <w:sz w:val="40"/>
          <w:szCs w:val="40"/>
          <w:shd w:fill="e0ff00" w:val="clear"/>
        </w:rPr>
      </w:pPr>
      <w:r w:rsidDel="00000000" w:rsidR="00000000" w:rsidRPr="00000000">
        <w:rPr>
          <w:rtl w:val="0"/>
        </w:rPr>
      </w:r>
    </w:p>
    <w:p w:rsidR="00000000" w:rsidDel="00000000" w:rsidP="00000000" w:rsidRDefault="00000000" w:rsidRPr="00000000" w14:paraId="0000001F">
      <w:pPr>
        <w:pageBreakBefore w:val="0"/>
        <w:numPr>
          <w:ilvl w:val="0"/>
          <w:numId w:val="6"/>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Rutas a configurar</w:t>
      </w:r>
    </w:p>
    <w:p w:rsidR="00000000" w:rsidDel="00000000" w:rsidP="00000000" w:rsidRDefault="00000000" w:rsidRPr="00000000" w14:paraId="00000020">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 navega a &lt;ItemListContainer /&gt;</w:t>
      </w:r>
    </w:p>
    <w:p w:rsidR="00000000" w:rsidDel="00000000" w:rsidP="00000000" w:rsidRDefault="00000000" w:rsidRPr="00000000" w14:paraId="00000021">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‘/category/:id’  &lt;ItemListContainer /&gt;</w:t>
      </w:r>
    </w:p>
    <w:p w:rsidR="00000000" w:rsidDel="00000000" w:rsidP="00000000" w:rsidRDefault="00000000" w:rsidRPr="00000000" w14:paraId="00000022">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‘/item/:id’ navega a &lt;ItemDetailContainer /&gt;</w:t>
        <w:br w:type="textWrapping"/>
      </w:r>
    </w:p>
    <w:p w:rsidR="00000000" w:rsidDel="00000000" w:rsidP="00000000" w:rsidRDefault="00000000" w:rsidRPr="00000000" w14:paraId="00000023">
      <w:pPr>
        <w:pageBreakBefore w:val="0"/>
        <w:numPr>
          <w:ilvl w:val="0"/>
          <w:numId w:val="6"/>
        </w:numPr>
        <w:ind w:left="720" w:hanging="360"/>
        <w:jc w:val="both"/>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Links a configurar</w:t>
      </w:r>
    </w:p>
    <w:p w:rsidR="00000000" w:rsidDel="00000000" w:rsidP="00000000" w:rsidRDefault="00000000" w:rsidRPr="00000000" w14:paraId="00000024">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Clickear en el brand debe navegar a ‘/’</w:t>
      </w:r>
    </w:p>
    <w:p w:rsidR="00000000" w:rsidDel="00000000" w:rsidP="00000000" w:rsidRDefault="00000000" w:rsidRPr="00000000" w14:paraId="00000025">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Clickear un Item.js debe navegar a /item/:id</w:t>
      </w:r>
    </w:p>
    <w:p w:rsidR="00000000" w:rsidDel="00000000" w:rsidP="00000000" w:rsidRDefault="00000000" w:rsidRPr="00000000" w14:paraId="00000026">
      <w:pPr>
        <w:pageBreakBefore w:val="0"/>
        <w:numPr>
          <w:ilvl w:val="1"/>
          <w:numId w:val="6"/>
        </w:numPr>
        <w:ind w:left="144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Clickear en una categoría del navbar debe navegar a /category/:categoryId </w:t>
        <w:br w:type="textWrapping"/>
      </w:r>
    </w:p>
    <w:p w:rsidR="00000000" w:rsidDel="00000000" w:rsidP="00000000" w:rsidRDefault="00000000" w:rsidRPr="00000000" w14:paraId="00000027">
      <w:pPr>
        <w:pageBreakBefore w:val="0"/>
        <w:numPr>
          <w:ilvl w:val="0"/>
          <w:numId w:val="6"/>
        </w:numPr>
        <w:ind w:left="720" w:hanging="360"/>
        <w:jc w:val="both"/>
        <w:rPr>
          <w:rFonts w:ascii="Didact Gothic" w:cs="Didact Gothic" w:eastAsia="Didact Gothic" w:hAnsi="Didact Gothic"/>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Para finalizar deberá integrar los parámetros de tus async-mocks para reaccionar a :itemId y :categoryId ¡utilizando efectos y los hooks de parámetros que vimos en clase! Si te encuentras en una categoría deberías poder detectar la navegación a otra categoría y volver a cargar los productos que correspondan a dicha categoría</w:t>
      </w:r>
    </w:p>
    <w:p w:rsidR="00000000" w:rsidDel="00000000" w:rsidP="00000000" w:rsidRDefault="00000000" w:rsidRPr="00000000" w14:paraId="00000028">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9">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A">
      <w:pPr>
        <w:pageBreakBefore w:val="0"/>
        <w:numPr>
          <w:ilvl w:val="0"/>
          <w:numId w:val="6"/>
        </w:numPr>
        <w:ind w:left="720" w:hanging="360"/>
        <w:jc w:val="both"/>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desarrollar la navegabilidad básica de la aplicación, demostrando que la app permite ver el catálogo, y navegar a un detalle</w:t>
      </w:r>
      <w:r w:rsidDel="00000000" w:rsidR="00000000" w:rsidRPr="00000000">
        <w:rPr>
          <w:rtl w:val="0"/>
        </w:rPr>
      </w:r>
    </w:p>
    <w:p w:rsidR="00000000" w:rsidDel="00000000" w:rsidP="00000000" w:rsidRDefault="00000000" w:rsidRPr="00000000" w14:paraId="0000002B">
      <w:pPr>
        <w:pageBreakBefore w:val="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ab/>
      </w:r>
      <w:r w:rsidDel="00000000" w:rsidR="00000000" w:rsidRPr="00000000">
        <w:rPr>
          <w:rtl w:val="0"/>
        </w:rPr>
      </w:r>
    </w:p>
    <w:p w:rsidR="00000000" w:rsidDel="00000000" w:rsidP="00000000" w:rsidRDefault="00000000" w:rsidRPr="00000000" w14:paraId="0000002C">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D">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2E">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INTERMEDIA DE PROYECTO FINAL</w:t>
      </w:r>
    </w:p>
    <w:p w:rsidR="00000000" w:rsidDel="00000000" w:rsidP="00000000" w:rsidRDefault="00000000" w:rsidRPr="00000000" w14:paraId="0000002F">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40"/>
        <w:gridCol w:w="4260"/>
        <w:gridCol w:w="3870"/>
        <w:tblGridChange w:id="0">
          <w:tblGrid>
            <w:gridCol w:w="2145"/>
            <w:gridCol w:w="3840"/>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Desafío: Navegabilidad / Componentes</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4">
            <w:pPr>
              <w:pStyle w:val="Heading2"/>
              <w:pageBreakBefore w:val="0"/>
              <w:widowControl w:val="0"/>
              <w:rPr>
                <w:rFonts w:ascii="Helvetica Neue Light" w:cs="Helvetica Neue Light" w:eastAsia="Helvetica Neue Light" w:hAnsi="Helvetica Neue Light"/>
              </w:rPr>
            </w:pPr>
            <w:bookmarkStart w:colFirst="0" w:colLast="0" w:name="_y0xs7qrhvnev" w:id="0"/>
            <w:bookmarkEnd w:id="0"/>
            <w:r w:rsidDel="00000000" w:rsidR="00000000" w:rsidRPr="00000000">
              <w:rPr>
                <w:rtl w:val="0"/>
              </w:rPr>
              <w:t xml:space="preserve">Criterios</w:t>
            </w:r>
            <w:r w:rsidDel="00000000" w:rsidR="00000000" w:rsidRPr="00000000">
              <w:rPr>
                <w:rFonts w:ascii="Helvetica Neue Light" w:cs="Helvetica Neue Light" w:eastAsia="Helvetica Neue Light" w:hAnsi="Helvetica Neue Light"/>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8">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A">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pStyle w:val="Heading3"/>
              <w:pageBreakBefore w:val="0"/>
              <w:widowControl w:val="0"/>
              <w:spacing w:line="240" w:lineRule="auto"/>
              <w:rPr/>
            </w:pPr>
            <w:bookmarkStart w:colFirst="0" w:colLast="0" w:name="_usr44rh5xg4l" w:id="1"/>
            <w:bookmarkEnd w:id="1"/>
            <w:r w:rsidDel="00000000" w:rsidR="00000000" w:rsidRPr="00000000">
              <w:rPr>
                <w:rtl w:val="0"/>
              </w:rPr>
              <w:t xml:space="preserve">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numPr>
                <w:ilvl w:val="0"/>
                <w:numId w:val="8"/>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camelCase para eventos</w:t>
            </w:r>
            <w:r w:rsidDel="00000000" w:rsidR="00000000" w:rsidRPr="00000000">
              <w:rPr>
                <w:rtl w:val="0"/>
              </w:rPr>
            </w:r>
          </w:p>
          <w:p w:rsidR="00000000" w:rsidDel="00000000" w:rsidP="00000000" w:rsidRDefault="00000000" w:rsidRPr="00000000" w14:paraId="0000003D">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w:t>
            </w:r>
            <w:r w:rsidDel="00000000" w:rsidR="00000000" w:rsidRPr="00000000">
              <w:rPr>
                <w:rFonts w:ascii="Helvetica Neue Light" w:cs="Helvetica Neue Light" w:eastAsia="Helvetica Neue Light" w:hAnsi="Helvetica Neue Light"/>
                <w:color w:val="434343"/>
                <w:sz w:val="24"/>
                <w:szCs w:val="24"/>
                <w:rtl w:val="0"/>
              </w:rPr>
              <w:t xml:space="preserve">PascalCase</w:t>
            </w:r>
            <w:r w:rsidDel="00000000" w:rsidR="00000000" w:rsidRPr="00000000">
              <w:rPr>
                <w:rFonts w:ascii="Helvetica Neue Light" w:cs="Helvetica Neue Light" w:eastAsia="Helvetica Neue Light" w:hAnsi="Helvetica Neue Light"/>
                <w:color w:val="434343"/>
                <w:sz w:val="24"/>
                <w:szCs w:val="24"/>
                <w:rtl w:val="0"/>
              </w:rPr>
              <w:t xml:space="preserve"> para Componentes</w:t>
            </w:r>
          </w:p>
          <w:p w:rsidR="00000000" w:rsidDel="00000000" w:rsidP="00000000" w:rsidRDefault="00000000" w:rsidRPr="00000000" w14:paraId="0000003E">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algunas convenciones pero aunque sea posible detectar algunos buenos usos, todavía no lo hace de manera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propuestas y lo hace en todas las instancias según lo propuesto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pStyle w:val="Heading3"/>
              <w:pageBreakBefore w:val="0"/>
              <w:widowControl w:val="0"/>
              <w:spacing w:line="240" w:lineRule="auto"/>
              <w:rPr/>
            </w:pPr>
            <w:bookmarkStart w:colFirst="0" w:colLast="0" w:name="_7lcmftengo82" w:id="2"/>
            <w:bookmarkEnd w:id="2"/>
            <w:r w:rsidDel="00000000" w:rsidR="00000000" w:rsidRPr="00000000">
              <w:rPr>
                <w:rtl w:val="0"/>
              </w:rPr>
              <w:t xml:space="preserve">Simpleza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en exceso</w:t>
            </w:r>
          </w:p>
          <w:p w:rsidR="00000000" w:rsidDel="00000000" w:rsidP="00000000" w:rsidRDefault="00000000" w:rsidRPr="00000000" w14:paraId="00000043">
            <w:pPr>
              <w:pageBreakBefore w:val="0"/>
              <w:widowControl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que no utiliza</w:t>
            </w:r>
          </w:p>
          <w:p w:rsidR="00000000" w:rsidDel="00000000" w:rsidP="00000000" w:rsidRDefault="00000000" w:rsidRPr="00000000" w14:paraId="00000044">
            <w:pPr>
              <w:pageBreakBefore w:val="0"/>
              <w:widowControl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componentes en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bien le dió un uso a las librerías que importó, se podría haber resuelto simplemente sin hacerlo</w:t>
            </w:r>
          </w:p>
          <w:p w:rsidR="00000000" w:rsidDel="00000000" w:rsidP="00000000" w:rsidRDefault="00000000" w:rsidRPr="00000000" w14:paraId="00000046">
            <w:pPr>
              <w:pageBreakBefore w:val="0"/>
              <w:widowControl w:val="0"/>
              <w:numPr>
                <w:ilvl w:val="0"/>
                <w:numId w:val="2"/>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features complejos no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Sólo usa librerías que aportan valor no lograble de otro modo</w:t>
            </w:r>
          </w:p>
          <w:p w:rsidR="00000000" w:rsidDel="00000000" w:rsidP="00000000" w:rsidRDefault="00000000" w:rsidRPr="00000000" w14:paraId="00000048">
            <w:pPr>
              <w:pageBreakBefore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dependencias incluidas son de proyectos con mantenimiento</w:t>
            </w:r>
          </w:p>
          <w:p w:rsidR="00000000" w:rsidDel="00000000" w:rsidP="00000000" w:rsidRDefault="00000000" w:rsidRPr="00000000" w14:paraId="00000049">
            <w:pPr>
              <w:pageBreakBefore w:val="0"/>
              <w:numPr>
                <w:ilvl w:val="0"/>
                <w:numId w:val="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abstracciones complejas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pStyle w:val="Heading3"/>
              <w:pageBreakBefore w:val="0"/>
              <w:widowControl w:val="0"/>
              <w:spacing w:line="240" w:lineRule="auto"/>
              <w:rPr/>
            </w:pPr>
            <w:bookmarkStart w:colFirst="0" w:colLast="0" w:name="_50acttts3fau" w:id="3"/>
            <w:bookmarkEnd w:id="3"/>
            <w:r w:rsidDel="00000000" w:rsidR="00000000" w:rsidRPr="00000000">
              <w:rPr>
                <w:rtl w:val="0"/>
              </w:rPr>
              <w:t xml:space="preserve">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logra navegar entre vistas pero las rutas separadas son accesibles</w:t>
            </w:r>
          </w:p>
          <w:p w:rsidR="00000000" w:rsidDel="00000000" w:rsidP="00000000" w:rsidRDefault="00000000" w:rsidRPr="00000000" w14:paraId="0000004C">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navegar a cada ruta separada y logra navegabilidad de catálogo a detalle y viceversa sin 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la navegabilidad completa y usa efectos para evitar desmontar componentes y re-carga al cambiar de categoría o itemId</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pStyle w:val="Heading3"/>
              <w:pageBreakBefore w:val="0"/>
              <w:widowControl w:val="0"/>
              <w:spacing w:line="240" w:lineRule="auto"/>
              <w:rPr/>
            </w:pPr>
            <w:bookmarkStart w:colFirst="0" w:colLast="0" w:name="_daumcncy3yty" w:id="4"/>
            <w:bookmarkEnd w:id="4"/>
            <w:r w:rsidDel="00000000" w:rsidR="00000000" w:rsidRPr="00000000">
              <w:rPr>
                <w:rtl w:val="0"/>
              </w:rPr>
              <w:t xml:space="preserve">Cmp: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navbar, o implementa las categorías escritas a mano cada una ó usa hrefs en vez de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9"/>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el navbar y logra separar los datos del render en alguna variable estática para implementar un categories.map( c =&gt; c), pero puede olvidar de aplicar los Links del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olvida implementar los Links y logra navegaciones sin reload mientras usa una variable estática o una </w:t>
            </w:r>
            <w:r w:rsidDel="00000000" w:rsidR="00000000" w:rsidRPr="00000000">
              <w:rPr>
                <w:rFonts w:ascii="Helvetica Neue" w:cs="Helvetica Neue" w:eastAsia="Helvetica Neue" w:hAnsi="Helvetica Neue"/>
                <w:b w:val="1"/>
                <w:color w:val="434343"/>
                <w:sz w:val="24"/>
                <w:szCs w:val="24"/>
                <w:rtl w:val="0"/>
              </w:rPr>
              <w:t xml:space="preserve">promise</w:t>
            </w:r>
            <w:r w:rsidDel="00000000" w:rsidR="00000000" w:rsidRPr="00000000">
              <w:rPr>
                <w:rFonts w:ascii="Helvetica Neue Light" w:cs="Helvetica Neue Light" w:eastAsia="Helvetica Neue Light" w:hAnsi="Helvetica Neue Light"/>
                <w:color w:val="434343"/>
                <w:sz w:val="24"/>
                <w:szCs w:val="24"/>
                <w:rtl w:val="0"/>
              </w:rPr>
              <w:t xml:space="preserve"> para resolver las categorías (detecta oportunidades basadas en otros conocimientos)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pStyle w:val="Heading3"/>
              <w:pageBreakBefore w:val="0"/>
              <w:widowControl w:val="0"/>
              <w:spacing w:line="240" w:lineRule="auto"/>
              <w:rPr/>
            </w:pPr>
            <w:bookmarkStart w:colFirst="0" w:colLast="0" w:name="_udxe90rr0bd3" w:id="5"/>
            <w:bookmarkEnd w:id="5"/>
            <w:r w:rsidDel="00000000" w:rsidR="00000000" w:rsidRPr="00000000">
              <w:rPr>
                <w:rtl w:val="0"/>
              </w:rPr>
              <w:t xml:space="preserve">Cmp: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separa el itemlist del container, dividiendo las responsabilidades de la view y de los datos</w:t>
            </w:r>
          </w:p>
          <w:p w:rsidR="00000000" w:rsidDel="00000000" w:rsidP="00000000" w:rsidRDefault="00000000" w:rsidRPr="00000000" w14:paraId="00000055">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promises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57">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filtra por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Filtra por categorías implementando correctamente el useParams(:catId), y aprovecha un </w:t>
            </w:r>
            <w:r w:rsidDel="00000000" w:rsidR="00000000" w:rsidRPr="00000000">
              <w:rPr>
                <w:rFonts w:ascii="Helvetica Neue Light" w:cs="Helvetica Neue Light" w:eastAsia="Helvetica Neue Light" w:hAnsi="Helvetica Neue Light"/>
                <w:color w:val="434343"/>
                <w:sz w:val="24"/>
                <w:szCs w:val="24"/>
                <w:rtl w:val="0"/>
              </w:rPr>
              <w:t xml:space="preserve">useEeffect</w:t>
            </w:r>
            <w:r w:rsidDel="00000000" w:rsidR="00000000" w:rsidRPr="00000000">
              <w:rPr>
                <w:rFonts w:ascii="Helvetica Neue Light" w:cs="Helvetica Neue Light" w:eastAsia="Helvetica Neue Light" w:hAnsi="Helvetica Neue Light"/>
                <w:color w:val="434343"/>
                <w:sz w:val="24"/>
                <w:szCs w:val="24"/>
                <w:rtl w:val="0"/>
              </w:rPr>
              <w:t xml:space="preserve"> para detectar sus cambios de ruta y vuelve a disparar las promises</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9">
            <w:pPr>
              <w:pStyle w:val="Heading3"/>
              <w:pageBreakBefore w:val="0"/>
              <w:widowControl w:val="0"/>
              <w:spacing w:line="240" w:lineRule="auto"/>
              <w:rPr/>
            </w:pPr>
            <w:bookmarkStart w:colFirst="0" w:colLast="0" w:name="_u6iovcjx78" w:id="6"/>
            <w:bookmarkEnd w:id="6"/>
            <w:r w:rsidDel="00000000" w:rsidR="00000000" w:rsidRPr="00000000">
              <w:rPr>
                <w:rtl w:val="0"/>
              </w:rPr>
              <w:t xml:space="preserve">Cmp: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numPr>
                <w:ilvl w:val="0"/>
                <w:numId w:val="5"/>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separa el detalle del container</w:t>
            </w:r>
          </w:p>
          <w:p w:rsidR="00000000" w:rsidDel="00000000" w:rsidP="00000000" w:rsidRDefault="00000000" w:rsidRPr="00000000" w14:paraId="0000005B">
            <w:pPr>
              <w:pageBreakBefore w:val="0"/>
              <w:widowControl w:val="0"/>
              <w:numPr>
                <w:ilvl w:val="0"/>
                <w:numId w:val="5"/>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implementa promises </w:t>
            </w:r>
          </w:p>
          <w:p w:rsidR="00000000" w:rsidDel="00000000" w:rsidP="00000000" w:rsidRDefault="00000000" w:rsidRPr="00000000" w14:paraId="0000005C">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funciona el counter, no respeta los límites o no emite el evento a su parent onAdd</w:t>
            </w:r>
          </w:p>
          <w:p w:rsidR="00000000" w:rsidDel="00000000" w:rsidP="00000000" w:rsidRDefault="00000000" w:rsidRPr="00000000" w14:paraId="0000005D">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Faltan más de la mitad de los elementos visuales 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numPr>
                <w:ilvl w:val="0"/>
                <w:numId w:val="5"/>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5F">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optimizaciones tempranas (negativo)</w:t>
            </w:r>
          </w:p>
          <w:p w:rsidR="00000000" w:rsidDel="00000000" w:rsidP="00000000" w:rsidRDefault="00000000" w:rsidRPr="00000000" w14:paraId="00000060">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faltar algún dato (usar solo descripcion o solo titulo, ú olvidarse el precio, pero no 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w:t>
            </w:r>
          </w:p>
          <w:p w:rsidR="00000000" w:rsidDel="00000000" w:rsidP="00000000" w:rsidRDefault="00000000" w:rsidRPr="00000000" w14:paraId="00000062">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 la información solicitada se muestra</w:t>
            </w:r>
          </w:p>
          <w:p w:rsidR="00000000" w:rsidDel="00000000" w:rsidP="00000000" w:rsidRDefault="00000000" w:rsidRPr="00000000" w14:paraId="00000063">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loaders </w:t>
            </w:r>
          </w:p>
          <w:p w:rsidR="00000000" w:rsidDel="00000000" w:rsidP="00000000" w:rsidRDefault="00000000" w:rsidRPr="00000000" w14:paraId="00000064">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sobre-optimiza y se mantiene simple</w:t>
            </w:r>
          </w:p>
        </w:tc>
      </w:tr>
    </w:tbl>
    <w:p w:rsidR="00000000" w:rsidDel="00000000" w:rsidP="00000000" w:rsidRDefault="00000000" w:rsidRPr="00000000" w14:paraId="00000065">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line="24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