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ind w:firstLine="0"/>
        <w:jc w:val="center"/>
      </w:pPr>
      <w:r>
        <w:rPr>
          <w:rFonts w:ascii="Arial" w:cs="Arial" w:eastAsia="黑体" w:hAnsi="Arial"/>
          <w:b/>
          <w:bCs/>
          <w:sz w:val="40"/>
          <w:szCs w:val="40"/>
        </w:rPr>
        <w:t xml:space="preserve">修订说明</w:t>
      </w:r>
    </w:p>
    <w:p>
      <w:pPr>
        <w:spacing w:after="80"/>
        <w:ind w:firstLine="0"/>
        <w:jc w:val="center"/>
      </w:pPr>
      <w:r>
        <w:rPr>
          <w:rFonts w:ascii="Arial" w:cs="Arial" w:eastAsia="黑体" w:hAnsi="Arial"/>
          <w:sz w:val="24"/>
          <w:szCs w:val="24"/>
        </w:rPr>
        <w:t xml:space="preserve">《学不可以已：系统学习的认识论》修订版</w:t>
      </w:r>
    </w:p>
    <w:p>
      <w:pPr>
        <w:spacing w:after="360"/>
        <w:ind w:firstLine="0"/>
        <w:jc w:val="center"/>
      </w:pPr>
      <w:r>
        <w:rPr>
          <w:color w:val="666666"/>
          <w:sz w:val="20"/>
          <w:szCs w:val="20"/>
        </w:rPr>
        <w:t xml:space="preserve">2026 年 9 月 28 日</w:t>
      </w:r>
    </w:p>
    <w:p>
      <w:pPr>
        <w:pStyle w:val="Heading2"/>
      </w:pPr>
      <w:r>
        <w:t xml:space="preserve">一　修订针对的四个问题</w:t>
      </w:r>
    </w:p>
    <w:p>
      <w:r>
        <w:t xml:space="preserve">修订前的评估认为，原稿作为证据处理规范是过关的，作为学习方法论只部分过关，问题集中在四处。第一，限定语过多，几乎每条结论后都跟着“它不证明……”，全文很少作出可能被现实推翻的判断；作者自己提出的框架没有检验方案。第二，证据分级在执行时与自己的定义不一致，等级也不体现证据与读者处境之间的距离。第三，文中残留修订痕迹：不少段落在反驳读者从未见过的前一稿说法。第四，适用范围把评价性判断（品味）排除在外，而这是读者最关心的问题之一。本次修订逐条处理这四个问题，同时把可以执行的内容集中起来。</w:t>
      </w:r>
    </w:p>
    <w:p>
      <w:r>
        <w:t xml:space="preserve">篇幅：原稿正文约 4.97 万个汉字，另有约 2,200 字的参考文献登记。修订版正文约 4.60 万个汉字，其中新增的第十四章约 5,300 字；不计第十四章，原有部分压缩了约 18%。附录扩充到约 6,800 字，新增了操作版、检验方案与维护说明，参考文献登记增加了核验状态一列。</w:t>
      </w:r>
    </w:p>
    <w:p>
      <w:pPr>
        <w:pStyle w:val="Heading2"/>
      </w:pPr>
      <w:r>
        <w:t xml:space="preserve">二　结构变化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9"/>
        <w:gridCol w:w="5777"/>
      </w:tblGrid>
      <w:tr>
        <w:trPr>
          <w:cantSplit w:val="off"/>
          <w:tblHeader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shd w:fill="E6EC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Arial" w:cs="Arial" w:eastAsia="黑体" w:hAnsi="Arial"/>
                <w:b/>
                <w:bCs/>
                <w:sz w:val="18"/>
                <w:szCs w:val="18"/>
              </w:rPr>
              <w:t xml:space="preserve">原稿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shd w:fill="E6EC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Arial" w:cs="Arial" w:eastAsia="黑体" w:hAnsi="Arial"/>
                <w:b/>
                <w:bCs/>
                <w:sz w:val="18"/>
                <w:szCs w:val="18"/>
              </w:rPr>
              <w:t xml:space="preserve">修订版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写在前面：本文的证据协议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读前说明：压缩协议；主张类型改为七类；重写 E1 与 E2 的定义；新增“外推”标记；要求承重的</w:t>
            </w:r>
            <w:r>
              <w:rPr>
                <w:rFonts w:ascii="Times New Roman" w:cs="Times New Roman" w:eastAsia="宋体" w:hAnsi="Times New Roman"/>
                <w:color w:val="4F6478"/>
                <w:sz w:val="18"/>
                <w:szCs w:val="18"/>
              </w:rPr>
              <w:t xml:space="preserve">〔C〕</w:t>
            </w: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框架写出检验方式；证据卡字段表移到附录四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导论、先于方法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保留；验收表新增“评价性判断”一行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第一至十三章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保留原有结构，逐段压缩与更正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（无）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新增第十四章“品味：没有标准答案时怎样校准判断”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第十四至十八章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顺延为第十五至十九章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终章、结语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保留；诊断循环改为表格并写出检验方式；训练实例按六步单元重新编号；“证据更新与版本维护”移到附录四；压缩结语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（无）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新增附录一“操作版”、附录二“作者框架的检验方案”（十二个框架）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参考文献与定量证据登记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改为附录三；新增“核验状态”一列；新增约四十条来源</w:t>
            </w:r>
          </w:p>
        </w:tc>
      </w:tr>
      <w:tr>
        <w:trPr>
          <w:cantSplit w:val="off"/>
          <w:tblHeader w:val="off"/>
        </w:trPr>
        <w:tc>
          <w:tcPr>
            <w:tcW w:type="dxa" w:w="3249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（无）</w:t>
            </w:r>
          </w:p>
        </w:tc>
        <w:tc>
          <w:tcPr>
            <w:tcW w:type="dxa" w:w="5777"/>
            <w:tcBorders>
              <w:top w:val="single" w:color="A0A7B0" w:sz="4"/>
              <w:left w:val="single" w:color="A0A7B0" w:sz="4"/>
              <w:bottom w:val="single" w:color="A0A7B0" w:sz="4"/>
              <w:right w:val="single" w:color="A0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每章末新增“落地”提示，给出该章最值得先做的一件事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三　证据分级的更正</w:t>
      </w:r>
    </w:p>
    <w:p>
      <w:r>
        <w:t xml:space="preserve">重写了两个等级的定义。E2 改为“一项到少数几项研究，领域单一、干预短，或外部效度有限”；E1 改为“单项小样本研究且未见重复，或直接重复失败，或测量尚不稳定”。并写明一条规则：结论主要依赖单一、年代较早的数据集，又缺少近年独立综述核对时，最高标 E3。</w:t>
      </w:r>
    </w:p>
    <w:p>
      <w:r>
        <w:t xml:space="preserve">据此调整的条目：克卢格与德尼西的反馈元分析由 E4 改为 E3（1996 年的单一数据集）；先验知识与归一化增益的关系由 E4 改为 E3（69 项研究、不含随机对照研究、预测区间极宽）；预测训练（Chang 等 2016）标 E2，因为有 2025 年的重新分析削弱了它；美国全国成长型思维实验标 E2；McLean 与 Pontiff 2016 标 E2；Tsay 2013 的一般结论标 E1（换材料后不成立，直接重复失败）。</w:t>
      </w:r>
    </w:p>
    <w:p>
      <w:r>
        <w:t xml:space="preserve">霍加斯的友善与险恶环境原标 E3，它是概念区分，改标</w:t>
      </w:r>
      <w:r>
        <w:rPr>
          <w:color w:val="4F6478"/>
        </w:rPr>
        <w:t xml:space="preserve">〔概念框架〕</w:t>
      </w:r>
      <w:r>
        <w:t xml:space="preserve">；补上的 Grove 等 2000 元分析标 E3，并注明“把它与反馈条件联系起来是本文的推断”。撤稿、勘误与论文更正属于事实登记，改标</w:t>
      </w:r>
      <w:r>
        <w:rPr>
          <w:color w:val="4F6478"/>
        </w:rPr>
        <w:t xml:space="preserve">〔事实登记〕</w:t>
      </w:r>
      <w:r>
        <w:t xml:space="preserve">并注明来源与日期。原稿“组织良好的知识降低工作记忆负担</w:t>
      </w:r>
      <w:r>
        <w:rPr>
          <w:color w:val="4F6478"/>
        </w:rPr>
        <w:t xml:space="preserve">〔E4〕</w:t>
      </w:r>
      <w:r>
        <w:t xml:space="preserve">”拆开：“先验知识越多，学习后的知识水平越高”保留 E4；“组织得好是否额外有益”只有间接线索，标</w:t>
      </w:r>
      <w:r>
        <w:rPr>
          <w:color w:val="4F6478"/>
        </w:rPr>
        <w:t xml:space="preserve">〔C〕</w:t>
      </w:r>
      <w:r>
        <w:t xml:space="preserve">；组块机制标</w:t>
      </w:r>
      <w:r>
        <w:rPr>
          <w:color w:val="4F6478"/>
        </w:rPr>
        <w:t xml:space="preserve">〔机制提案〕</w:t>
      </w:r>
      <w:r>
        <w:t xml:space="preserve">。智识谦逊与判断质量“有稳定相关</w:t>
      </w:r>
      <w:r>
        <w:rPr>
          <w:color w:val="4F6478"/>
        </w:rPr>
        <w:t xml:space="preserve">〔E2〕</w:t>
      </w:r>
      <w:r>
        <w:t xml:space="preserve">”一句找不到来源，已删去。</w:t>
      </w:r>
    </w:p>
    <w:p>
      <w:r>
        <w:t xml:space="preserve">新增的“外推”标记用在四处：中心推论所引的检索与校准证据、对成年人自学推荐检索、把认知负荷研究用到成年人自学、把风格辨别研究用到作品优劣判断。</w:t>
      </w:r>
    </w:p>
    <w:p>
      <w:pPr>
        <w:pStyle w:val="Heading2"/>
      </w:pPr>
      <w:r>
        <w:t xml:space="preserve">四　事实的补充与更正</w:t>
      </w:r>
    </w:p>
    <w:p>
      <w:r>
        <w:t xml:space="preserve">年代与史实：苏格拉底受审在公元前 399 年，孔子卒于公元前 479 年，原稿“同一个世纪”改为“约一个世纪之前”；《美诺篇》的情节设定在公元前五世纪末，改为“柏拉图在公元前四世纪写成的《美诺篇》”；德雷福斯模型补上漏掉的“高级新手”阶段；蔡斯与西蒙发现的大师组块是“几枚棋子组成的常见构型”，原稿“一个有名字的局面”说过了头；因果之梯注明出自 Pearl。</w:t>
      </w:r>
    </w:p>
    <w:p>
      <w:r>
        <w:t xml:space="preserve">先验知识元分析（Simonsmeier 等 2022）：原稿说宽预测区间的来源“目前都没有答案”。该元分析的摘要本身报告了一个调节变量：认知要求低的教学中呈补偿效应，认知要求高的教学中呈马太效应。已更正。</w:t>
      </w:r>
    </w:p>
    <w:p>
      <w:r>
        <w:t xml:space="preserve">教学效应（Kobayashi 2024）：补写比较对象（学后实际去教对单纯学习），补上按“是否预期要教”分组的结果（0.48 对 −0.02），并说明这是研究之间的比较，只能提示预期是起作用的成分。另补 Kobayashi 2019 年的元分析数字。</w:t>
      </w:r>
    </w:p>
    <w:p>
      <w:r>
        <w:t xml:space="preserve">课堂测验（Yang 等 2021）：说明总体估计高于两个分组估计，提示其余对照条件下效应更大；删去“比较对象越弱，检索显得越强”这个没有依据的推断。</w:t>
      </w:r>
    </w:p>
    <w:p>
      <w:r>
        <w:t xml:space="preserve">AI 辅导物理课（Kestin 等 2025）：补写对照条件（课堂主动学习），注明只有即时测验。</w:t>
      </w:r>
    </w:p>
    <w:p>
      <w:r>
        <w:t xml:space="preserve">刻意练习勘误（Macnamara 等 2018）：补上总体相关由 .35 改为 .38，提醒 2014 年原值与勘误值不要混用；说明为什么本次把原稿的核验层级降为“检索·二手”。</w:t>
      </w:r>
    </w:p>
    <w:p>
      <w:r>
        <w:t xml:space="preserve">McLean 与 Pontiff 2016：原稿没有这项研究。修订初稿把样本外下降的 26% 也算作“被广泛采用而贬值”，与原作者的解释不符；终稿改为：26% 是数据挖掘偏差的上限，发表后多出的约 32% 才归因于投资者据论文交易。</w:t>
      </w:r>
    </w:p>
    <w:p>
      <w:r>
        <w:t xml:space="preserve">Kornell 与 Bjork 2008：写明是被试内设计，给出两种呈现方式的正确率（约 61% 对 35%）与偏好比例（64/72），不用流传的“78%”；补上交错与间隔混在一起、后续研究归因于对比辨别。</w:t>
      </w:r>
    </w:p>
    <w:p>
      <w:r>
        <w:t xml:space="preserve">其他补充：Haynes 2009 的具体数字与非随机设计，Urbach 2014 的反向结果，并说明两者差异分不清来自实施方式还是研究设计；Storm 与 Stone 2015 的两个边界条件；认知卸载研究中“表现”指允许卸载时的表现；自我损耗与成长型思维的具体数字（含 Vohs 2021 探索性分析 d ≈ 0.08 显著）；Chen 与 Cheung 2025 中 g⁺ ≈ 2.3 这一异常大的效应；后见之明偏差的元分析与大样本重复；Bastani 研究作者的原话（损害基本消除，也没有观察到正效应），以及 95% 区间按登记值重算为 [−0.029, 0.021]。第十七章两句没有来源的主张（人会高估更长的回答、模型识别不了无法回答的问题）已删去。</w:t>
      </w:r>
    </w:p>
    <w:p>
      <w:pPr>
        <w:pStyle w:val="Heading2"/>
      </w:pPr>
      <w:r>
        <w:t xml:space="preserve">五　修订痕迹、可检验性与语言</w:t>
      </w:r>
    </w:p>
    <w:p>
      <w:r>
        <w:t xml:space="preserve">原稿中“一个常见的说法是……这一步推不出来”“一个常见的诱惑，是宣称……”一类段落，反驳的对象是读者没有见过的前一稿，已改为直接陈述正确的主张。只在反驳真实流行的说法时，保留“先说流行说法、再纠正”的写法：学习风格匹配、一万小时定律、“七加减二”、耶基斯-多德森定律、“快要忘记时复习最好”、工作记忆训练。“记忆一半来自世界、一半来自图式”“每周必须同时有四种时间”“以前的工具只管存储与检索”“四因素相乘的风险公式”等说法，找不到它们作为流行说法存在的依据，已删去对应的反驳。</w:t>
      </w:r>
    </w:p>
    <w:p>
      <w:r>
        <w:t xml:space="preserve">古典文本“不承担证据功能”的声明，原稿在几乎每处引文后重复一次；修订版在读前说明里写一次，给出四条理由，正文不再重复。</w:t>
      </w:r>
    </w:p>
    <w:p>
      <w:r>
        <w:t xml:space="preserve">原稿的核心句“学习是模型的治理术”无法检验。修订版改为“学习是对内部模型的选择、检验与修订”，写出一处可以检验的推论，并如实说明现有证据只支持其中关于保持与校准的部分。附录二为十二个承重框架写出了对照方案、测量与迫使修订的结果，另有三个框架明确说明暂时只是组织材料的方式。</w:t>
      </w:r>
    </w:p>
    <w:p>
      <w:r>
        <w:t xml:space="preserve">按修订要求的用语规则，删除了规则禁止的全部对比句式，包括省去连词、换用近义词的同构写法，一律改为两个独立的陈述句；终稿用正则扫描复查过。装饰性的比喻（房租、燃料、健身房、探照灯、地基开裂、牢笼、交出体检报告、供电等）改为直白陈述，“买入持有”与“租用”保留一次，明确标为便于记忆的说法。“的”字密度，初稿比原稿明显升高，终稿为每千个汉字约 44 个，仍高于原稿的约 40 个，主要因为修订版多用了解释性的定语从句。</w:t>
      </w:r>
    </w:p>
    <w:p>
      <w:pPr>
        <w:pStyle w:val="Heading2"/>
      </w:pPr>
      <w:r>
        <w:t xml:space="preserve">六　新增第十四章“品味”</w:t>
      </w:r>
    </w:p>
    <w:p>
      <w:r>
        <w:t xml:space="preserve">原稿明确把文学、音乐、艺术等评价性学习排除在方法之外。新增的第十四章处理这一空白：把品味拆成分辨力与估值；分辨力来自对比（交错呈现画作、对比案例、缺陷样本）；估值的反馈来源，以及宏观判断为什么必须借用前辈的先验（师承研究）；借来的先验与自己的后验怎样结合，按结构、感知、评价三类说法分别处理；给“校准过的解读者”下了可以核对的定义；专家在评价层面的噪声（葡萄酒比赛、音乐比赛、颜色对气味描述的影响）以及这些证据的限度；品味能迁移多少；在有结果可查的领域，品味体现为事前判断在大样本上的准确度；一个可以重复的品味训练单元。本章引用的实证多为 E1 到 E2，核心规则是作者框架，附录二列出三条相应的检验方案。</w:t>
      </w:r>
    </w:p>
    <w:p>
      <w:pPr>
        <w:pStyle w:val="Heading2"/>
      </w:pPr>
      <w:r>
        <w:t xml:space="preserve">七　核验方法与仍待核验的内容</w:t>
      </w:r>
    </w:p>
    <w:p>
      <w:r>
        <w:t xml:space="preserve">本次修订做了两轮独立的文献核查，分别覆盖原稿中存疑的定量主张与新增的来源；受运行环境限制，核查无法打开论文全文页面，全部依据学术检索结果中的摘要原句、正文片段或二手转述，附录三为每条来源标注了核验状态。修订稿随后经过一轮完整的独立审读，指出 36 处实质问题与约 80 处用语问题，均已处理；之后作者对终稿逐章通读，做了最后的修正。第二轮独立审读在交付时没有完成。会话的检索额度用完后，有七项由作者凭记忆引用、未能复核：Grove 等 2000，Camerer 等 2018，McLean 与 Pontiff 2016，Urbach 等 2014，Kalyuga 等 2003，Rasch 与 Born 2013，Moran 2016。沿用原稿核验的条目，本次没有重新核对。</w:t>
      </w:r>
    </w:p>
    <w:p>
      <w:r>
        <w:t xml:space="preserve">建议正式发布或分享之前，对照原文核对以下几处：刻意练习勘误表中的分领域数字；Kornell 与 Bjork 2008 的正确率与偏好比例；上述七项未复核的条目；Sisk 等 2018 中 k = 43 的单位。</w:t>
      </w:r>
    </w:p>
    <w:sectPr>
      <w:footerReference w:type="default" r:id="rId6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>
      <w:pPr>
        <w:spacing w:after="60" w:line="360"/>
        <w:ind w:firstLine="420"/>
        <w:jc w:val="both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240" w:line="360"/>
      <w:ind w:firstLine="0"/>
      <w:jc w:val="center"/>
      <w:outlineLvl w:val="0"/>
    </w:pPr>
    <w:rPr>
      <w:rFonts w:ascii="Arial" w:cs="Arial" w:eastAsia="黑体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00" w:before="360" w:line="360"/>
      <w:ind w:firstLine="0"/>
      <w:jc w:val="left"/>
      <w:outlineLvl w:val="1"/>
    </w:pPr>
    <w:rPr>
      <w:rFonts w:ascii="Arial" w:cs="Arial" w:eastAsia="黑体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 w:line="360"/>
      <w:ind w:firstLine="0"/>
      <w:jc w:val="left"/>
      <w:outlineLvl w:val="2"/>
    </w:pPr>
    <w:rPr>
      <w:rFonts w:ascii="Arial" w:cs="Arial" w:eastAsia="黑体" w:hAnsi="Arial"/>
      <w:b/>
      <w:bCs/>
      <w:color w:val="1F1F1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学不可以已：系统学习的认识论（修订版）</dc:title>
  <dc:creator>Un-named</dc:creator>
  <dc:description>修订版，2026 年 9 月</dc:description>
  <cp:lastModifiedBy>Un-named</cp:lastModifiedBy>
  <cp:revision>1</cp:revision>
  <dcterms:created xsi:type="dcterms:W3CDTF">2026-09-28T17:25:33.656Z</dcterms:created>
  <dcterms:modified xsi:type="dcterms:W3CDTF">2026-09-28T17:25:33.656Z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