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0"/>
      </w:pPr>
    </w:p>
    <w:p>
      <w:pPr>
        <w:spacing w:after="360"/>
        <w:ind w:firstLine="0"/>
        <w:jc w:val="center"/>
      </w:pPr>
      <w:r>
        <w:rPr>
          <w:rFonts w:ascii="Arial" w:cs="Arial" w:eastAsia="黑体" w:hAnsi="Arial"/>
          <w:b/>
          <w:bCs/>
          <w:sz w:val="56"/>
          <w:szCs w:val="56"/>
        </w:rPr>
        <w:t xml:space="preserve">学不可以已</w:t>
      </w:r>
    </w:p>
    <w:p>
      <w:pPr>
        <w:spacing w:after="240"/>
        <w:ind w:firstLine="0"/>
        <w:jc w:val="center"/>
      </w:pPr>
      <w:r>
        <w:rPr>
          <w:rFonts w:ascii="Arial" w:cs="Arial" w:eastAsia="黑体" w:hAnsi="Arial"/>
          <w:sz w:val="32"/>
          <w:szCs w:val="32"/>
        </w:rPr>
        <w:t xml:space="preserve">系统学习的认识论</w:t>
      </w:r>
    </w:p>
    <w:p>
      <w:pPr>
        <w:spacing w:after="1600"/>
        <w:ind w:firstLine="0"/>
        <w:jc w:val="center"/>
      </w:pPr>
      <w:r>
        <w:rPr>
          <w:color w:val="666666"/>
          <w:sz w:val="22"/>
          <w:szCs w:val="22"/>
        </w:rPr>
        <w:t xml:space="preserve">修订版 · 2026 年 9 月</w:t>
      </w:r>
    </w:p>
    <w:p>
      <w:pPr>
        <w:spacing w:after="160" w:line="320"/>
        <w:ind w:firstLine="0"/>
        <w:jc w:val="center"/>
      </w:pPr>
      <w:r>
        <w:rPr>
          <w:rFonts w:ascii="Times New Roman" w:cs="Times New Roman" w:eastAsia="楷体" w:hAnsi="Times New Roman"/>
          <w:color w:val="404040"/>
          <w:sz w:val="21"/>
          <w:szCs w:val="21"/>
        </w:rPr>
        <w:t xml:space="preserve">学不可以已。——《荀子·劝学》</w:t>
      </w:r>
    </w:p>
    <w:p>
      <w:pPr>
        <w:spacing w:after="160" w:line="320"/>
        <w:ind w:firstLine="0"/>
        <w:jc w:val="center"/>
      </w:pPr>
      <w:r>
        <w:rPr>
          <w:rFonts w:ascii="Times New Roman" w:cs="Times New Roman" w:eastAsia="楷体" w:hAnsi="Times New Roman"/>
          <w:color w:val="404040"/>
          <w:sz w:val="21"/>
          <w:szCs w:val="21"/>
        </w:rPr>
        <w:t xml:space="preserve">Aliud est meminisse, aliud scire.（记得是一回事，知道是另一回事。）——塞涅卡《道德书简》第三十三封</w:t>
      </w:r>
    </w:p>
    <w:p>
      <w:pPr>
        <w:spacing w:after="160" w:line="320"/>
        <w:ind w:firstLine="0"/>
        <w:jc w:val="center"/>
      </w:pPr>
      <w:r>
        <w:rPr>
          <w:rFonts w:ascii="Times New Roman" w:cs="Times New Roman" w:eastAsia="楷体" w:hAnsi="Times New Roman"/>
          <w:color w:val="404040"/>
          <w:sz w:val="21"/>
          <w:szCs w:val="21"/>
        </w:rPr>
        <w:t xml:space="preserve">Do not block the way of inquiry.（不要堵死探究之路。）——皮尔士《逻辑的第一规则》，1898</w:t>
      </w:r>
    </w:p>
    <w:p>
      <w:pPr>
        <w:sectPr>
          <w:pgSz w:w="11906" w:h="16838" w:orient="portrait"/>
          <w:pgMar w:top="1440" w:right="1440" w:bottom="1440" w:left="1440" w:header="720" w:footer="720" w:gutter="0"/>
          <w:pgNumType/>
          <w:docGrid w:linePitch="360"/>
        </w:sectPr>
      </w:pPr>
    </w:p>
    <w:p>
      <w:pPr>
        <w:spacing w:after="360"/>
        <w:ind w:firstLine="0"/>
        <w:jc w:val="center"/>
      </w:pPr>
      <w:r>
        <w:rPr>
          <w:rFonts w:ascii="Arial" w:cs="Arial" w:eastAsia="黑体" w:hAnsi="Arial"/>
          <w:b/>
          <w:bCs/>
          <w:sz w:val="32"/>
          <w:szCs w:val="32"/>
        </w:rPr>
        <w:t xml:space="preserve">目　录</w:t>
      </w:r>
    </w:p>
    <w:p>
      <w:pPr>
        <w:spacing w:after="30" w:before="120" w:line="300"/>
        <w:ind w:left="0" w:firstLine="0"/>
      </w:pPr>
      <w:r>
        <w:rPr>
          <w:rFonts w:ascii="Arial" w:cs="Arial" w:eastAsia="黑体" w:hAnsi="Arial"/>
          <w:b/>
          <w:bCs/>
          <w:sz w:val="21"/>
          <w:szCs w:val="21"/>
        </w:rPr>
        <w:t xml:space="preserve">读前说明</w:t>
      </w:r>
    </w:p>
    <w:p>
      <w:pPr>
        <w:spacing w:after="30" w:before="0" w:line="300"/>
        <w:ind w:left="420" w:firstLine="0"/>
      </w:pPr>
      <w:r>
        <w:rPr>
          <w:rFonts w:ascii="Times New Roman" w:cs="Times New Roman" w:eastAsia="宋体" w:hAnsi="Times New Roman"/>
          <w:b w:val="false"/>
          <w:bCs w:val="false"/>
          <w:sz w:val="21"/>
          <w:szCs w:val="21"/>
        </w:rPr>
        <w:t xml:space="preserve">这篇文章做什么</w:t>
      </w:r>
    </w:p>
    <w:p>
      <w:pPr>
        <w:spacing w:after="30" w:before="0" w:line="300"/>
        <w:ind w:left="420" w:firstLine="0"/>
      </w:pPr>
      <w:r>
        <w:rPr>
          <w:rFonts w:ascii="Times New Roman" w:cs="Times New Roman" w:eastAsia="宋体" w:hAnsi="Times New Roman"/>
          <w:b w:val="false"/>
          <w:bCs w:val="false"/>
          <w:sz w:val="21"/>
          <w:szCs w:val="21"/>
        </w:rPr>
        <w:t xml:space="preserve">怎样读</w:t>
      </w:r>
    </w:p>
    <w:p>
      <w:pPr>
        <w:spacing w:after="30" w:before="0" w:line="300"/>
        <w:ind w:left="420" w:firstLine="0"/>
      </w:pPr>
      <w:r>
        <w:rPr>
          <w:rFonts w:ascii="Times New Roman" w:cs="Times New Roman" w:eastAsia="宋体" w:hAnsi="Times New Roman"/>
          <w:b w:val="false"/>
          <w:bCs w:val="false"/>
          <w:sz w:val="21"/>
          <w:szCs w:val="21"/>
        </w:rPr>
        <w:t xml:space="preserve">证据协议</w:t>
      </w:r>
    </w:p>
    <w:p>
      <w:pPr>
        <w:spacing w:after="30" w:before="0" w:line="300"/>
        <w:ind w:left="420" w:firstLine="0"/>
      </w:pPr>
      <w:r>
        <w:rPr>
          <w:rFonts w:ascii="Times New Roman" w:cs="Times New Roman" w:eastAsia="宋体" w:hAnsi="Times New Roman"/>
          <w:b w:val="false"/>
          <w:bCs w:val="false"/>
          <w:sz w:val="21"/>
          <w:szCs w:val="21"/>
        </w:rPr>
        <w:t xml:space="preserve">范围与术语</w:t>
      </w:r>
    </w:p>
    <w:p>
      <w:pPr>
        <w:spacing w:after="30" w:before="120" w:line="300"/>
        <w:ind w:left="0" w:firstLine="0"/>
      </w:pPr>
      <w:r>
        <w:rPr>
          <w:rFonts w:ascii="Arial" w:cs="Arial" w:eastAsia="黑体" w:hAnsi="Arial"/>
          <w:b/>
          <w:bCs/>
          <w:sz w:val="21"/>
          <w:szCs w:val="21"/>
        </w:rPr>
        <w:t xml:space="preserve">导论　美诺悖论与双重危机</w:t>
      </w:r>
    </w:p>
    <w:p>
      <w:pPr>
        <w:spacing w:after="30" w:before="0" w:line="300"/>
        <w:ind w:left="420" w:firstLine="0"/>
      </w:pPr>
      <w:r>
        <w:rPr>
          <w:rFonts w:ascii="Times New Roman" w:cs="Times New Roman" w:eastAsia="宋体" w:hAnsi="Times New Roman"/>
          <w:b w:val="false"/>
          <w:bCs w:val="false"/>
          <w:sz w:val="21"/>
          <w:szCs w:val="21"/>
        </w:rPr>
        <w:t xml:space="preserve">先于方法：目标、资源与验收</w:t>
      </w:r>
    </w:p>
    <w:p>
      <w:pPr>
        <w:spacing w:after="30" w:before="120" w:line="300"/>
        <w:ind w:left="0" w:firstLine="0"/>
      </w:pPr>
      <w:r>
        <w:rPr>
          <w:rFonts w:ascii="Arial" w:cs="Arial" w:eastAsia="黑体" w:hAnsi="Arial"/>
          <w:b/>
          <w:bCs/>
          <w:sz w:val="21"/>
          <w:szCs w:val="21"/>
        </w:rPr>
        <w:t xml:space="preserve">第一部　标准与入口</w:t>
      </w:r>
    </w:p>
    <w:p>
      <w:pPr>
        <w:spacing w:after="30" w:before="0" w:line="300"/>
        <w:ind w:left="420" w:firstLine="0"/>
      </w:pPr>
      <w:r>
        <w:rPr>
          <w:rFonts w:ascii="Times New Roman" w:cs="Times New Roman" w:eastAsia="宋体" w:hAnsi="Times New Roman"/>
          <w:b w:val="false"/>
          <w:bCs w:val="false"/>
          <w:sz w:val="21"/>
          <w:szCs w:val="21"/>
        </w:rPr>
        <w:t xml:space="preserve">一　理解的五个质量维度</w:t>
      </w:r>
    </w:p>
    <w:p>
      <w:pPr>
        <w:spacing w:after="30" w:before="0" w:line="300"/>
        <w:ind w:left="420" w:firstLine="0"/>
      </w:pPr>
      <w:r>
        <w:rPr>
          <w:rFonts w:ascii="Times New Roman" w:cs="Times New Roman" w:eastAsia="宋体" w:hAnsi="Times New Roman"/>
          <w:b w:val="false"/>
          <w:bCs w:val="false"/>
          <w:sz w:val="21"/>
          <w:szCs w:val="21"/>
        </w:rPr>
        <w:t xml:space="preserve">二　信念如何被固定：皮尔士的四种方法</w:t>
      </w:r>
    </w:p>
    <w:p>
      <w:pPr>
        <w:spacing w:after="30" w:before="0" w:line="300"/>
        <w:ind w:left="420" w:firstLine="0"/>
      </w:pPr>
      <w:r>
        <w:rPr>
          <w:rFonts w:ascii="Times New Roman" w:cs="Times New Roman" w:eastAsia="宋体" w:hAnsi="Times New Roman"/>
          <w:b w:val="false"/>
          <w:bCs w:val="false"/>
          <w:sz w:val="21"/>
          <w:szCs w:val="21"/>
        </w:rPr>
        <w:t xml:space="preserve">三　入口与拒绝：信噪比、衰减速度与内化决策</w:t>
      </w:r>
    </w:p>
    <w:p>
      <w:pPr>
        <w:spacing w:after="30" w:before="120" w:line="300"/>
        <w:ind w:left="0" w:firstLine="0"/>
      </w:pPr>
      <w:r>
        <w:rPr>
          <w:rFonts w:ascii="Arial" w:cs="Arial" w:eastAsia="黑体" w:hAnsi="Arial"/>
          <w:b/>
          <w:bCs/>
          <w:sz w:val="21"/>
          <w:szCs w:val="21"/>
        </w:rPr>
        <w:t xml:space="preserve">第二部　模型的成形</w:t>
      </w:r>
    </w:p>
    <w:p>
      <w:pPr>
        <w:spacing w:after="30" w:before="0" w:line="300"/>
        <w:ind w:left="420" w:firstLine="0"/>
      </w:pPr>
      <w:r>
        <w:rPr>
          <w:rFonts w:ascii="Times New Roman" w:cs="Times New Roman" w:eastAsia="宋体" w:hAnsi="Times New Roman"/>
          <w:b w:val="false"/>
          <w:bCs w:val="false"/>
          <w:sz w:val="21"/>
          <w:szCs w:val="21"/>
        </w:rPr>
        <w:t xml:space="preserve">四　图式：从康德到棋手的眼睛</w:t>
      </w:r>
    </w:p>
    <w:p>
      <w:pPr>
        <w:spacing w:after="30" w:before="0" w:line="300"/>
        <w:ind w:left="420" w:firstLine="0"/>
      </w:pPr>
      <w:r>
        <w:rPr>
          <w:rFonts w:ascii="Times New Roman" w:cs="Times New Roman" w:eastAsia="宋体" w:hAnsi="Times New Roman"/>
          <w:b w:val="false"/>
          <w:bCs w:val="false"/>
          <w:sz w:val="21"/>
          <w:szCs w:val="21"/>
        </w:rPr>
        <w:t xml:space="preserve">五　错误模型的黏性：培根的偶像与信念之网</w:t>
      </w:r>
    </w:p>
    <w:p>
      <w:pPr>
        <w:spacing w:after="30" w:before="120" w:line="300"/>
        <w:ind w:left="0" w:firstLine="0"/>
      </w:pPr>
      <w:r>
        <w:rPr>
          <w:rFonts w:ascii="Arial" w:cs="Arial" w:eastAsia="黑体" w:hAnsi="Arial"/>
          <w:b/>
          <w:bCs/>
          <w:sz w:val="21"/>
          <w:szCs w:val="21"/>
        </w:rPr>
        <w:t xml:space="preserve">第三部　加工的杠杆</w:t>
      </w:r>
    </w:p>
    <w:p>
      <w:pPr>
        <w:spacing w:after="30" w:before="0" w:line="300"/>
        <w:ind w:left="420" w:firstLine="0"/>
      </w:pPr>
      <w:r>
        <w:rPr>
          <w:rFonts w:ascii="Times New Roman" w:cs="Times New Roman" w:eastAsia="宋体" w:hAnsi="Times New Roman"/>
          <w:b w:val="false"/>
          <w:bCs w:val="false"/>
          <w:sz w:val="21"/>
          <w:szCs w:val="21"/>
        </w:rPr>
        <w:t xml:space="preserve">六　检索、间隔与生成：一条长期稳健的证据线</w:t>
      </w:r>
    </w:p>
    <w:p>
      <w:pPr>
        <w:spacing w:after="30" w:before="0" w:line="300"/>
        <w:ind w:left="420" w:firstLine="0"/>
      </w:pPr>
      <w:r>
        <w:rPr>
          <w:rFonts w:ascii="Times New Roman" w:cs="Times New Roman" w:eastAsia="宋体" w:hAnsi="Times New Roman"/>
          <w:b w:val="false"/>
          <w:bCs w:val="false"/>
          <w:sz w:val="21"/>
          <w:szCs w:val="21"/>
        </w:rPr>
        <w:t xml:space="preserve">七　困难的设计：匹配高于强度</w:t>
      </w:r>
    </w:p>
    <w:p>
      <w:pPr>
        <w:spacing w:after="30" w:before="0" w:line="300"/>
        <w:ind w:left="420" w:firstLine="0"/>
      </w:pPr>
      <w:r>
        <w:rPr>
          <w:rFonts w:ascii="Times New Roman" w:cs="Times New Roman" w:eastAsia="宋体" w:hAnsi="Times New Roman"/>
          <w:b w:val="false"/>
          <w:bCs w:val="false"/>
          <w:sz w:val="21"/>
          <w:szCs w:val="21"/>
        </w:rPr>
        <w:t xml:space="preserve">八　迁移与变式：抽象要靠练出来</w:t>
      </w:r>
    </w:p>
    <w:p>
      <w:pPr>
        <w:spacing w:after="30" w:before="120" w:line="300"/>
        <w:ind w:left="0" w:firstLine="0"/>
      </w:pPr>
      <w:r>
        <w:rPr>
          <w:rFonts w:ascii="Arial" w:cs="Arial" w:eastAsia="黑体" w:hAnsi="Arial"/>
          <w:b/>
          <w:bCs/>
          <w:sz w:val="21"/>
          <w:szCs w:val="21"/>
        </w:rPr>
        <w:t xml:space="preserve">第四部　系统的底座</w:t>
      </w:r>
    </w:p>
    <w:p>
      <w:pPr>
        <w:spacing w:after="30" w:before="0" w:line="300"/>
        <w:ind w:left="420" w:firstLine="0"/>
      </w:pPr>
      <w:r>
        <w:rPr>
          <w:rFonts w:ascii="Times New Roman" w:cs="Times New Roman" w:eastAsia="宋体" w:hAnsi="Times New Roman"/>
          <w:b w:val="false"/>
          <w:bCs w:val="false"/>
          <w:sz w:val="21"/>
          <w:szCs w:val="21"/>
        </w:rPr>
        <w:t xml:space="preserve">九　注意力与工作记忆的真实位置</w:t>
      </w:r>
    </w:p>
    <w:p>
      <w:pPr>
        <w:spacing w:after="30" w:before="0" w:line="300"/>
        <w:ind w:left="420" w:firstLine="0"/>
      </w:pPr>
      <w:r>
        <w:rPr>
          <w:rFonts w:ascii="Times New Roman" w:cs="Times New Roman" w:eastAsia="宋体" w:hAnsi="Times New Roman"/>
          <w:b w:val="false"/>
          <w:bCs w:val="false"/>
          <w:sz w:val="21"/>
          <w:szCs w:val="21"/>
        </w:rPr>
        <w:t xml:space="preserve">十　睡眠、压力与情绪：编码的生理边界</w:t>
      </w:r>
    </w:p>
    <w:p>
      <w:pPr>
        <w:spacing w:after="30" w:before="120" w:line="300"/>
        <w:ind w:left="0" w:firstLine="0"/>
      </w:pPr>
      <w:r>
        <w:rPr>
          <w:rFonts w:ascii="Arial" w:cs="Arial" w:eastAsia="黑体" w:hAnsi="Arial"/>
          <w:b/>
          <w:bCs/>
          <w:sz w:val="21"/>
          <w:szCs w:val="21"/>
        </w:rPr>
        <w:t xml:space="preserve">第五部　接触现实</w:t>
      </w:r>
    </w:p>
    <w:p>
      <w:pPr>
        <w:spacing w:after="30" w:before="0" w:line="300"/>
        <w:ind w:left="420" w:firstLine="0"/>
      </w:pPr>
      <w:r>
        <w:rPr>
          <w:rFonts w:ascii="Times New Roman" w:cs="Times New Roman" w:eastAsia="宋体" w:hAnsi="Times New Roman"/>
          <w:b w:val="false"/>
          <w:bCs w:val="false"/>
          <w:sz w:val="21"/>
          <w:szCs w:val="21"/>
        </w:rPr>
        <w:t xml:space="preserve">十一　输出：惰性观念与教学相长</w:t>
      </w:r>
    </w:p>
    <w:p>
      <w:pPr>
        <w:spacing w:after="30" w:before="0" w:line="300"/>
        <w:ind w:left="420" w:firstLine="0"/>
      </w:pPr>
      <w:r>
        <w:rPr>
          <w:rFonts w:ascii="Times New Roman" w:cs="Times New Roman" w:eastAsia="宋体" w:hAnsi="Times New Roman"/>
          <w:b w:val="false"/>
          <w:bCs w:val="false"/>
          <w:sz w:val="21"/>
          <w:szCs w:val="21"/>
        </w:rPr>
        <w:t xml:space="preserve">十二　证据素养：从休谟到复制危机</w:t>
      </w:r>
    </w:p>
    <w:p>
      <w:pPr>
        <w:spacing w:after="30" w:before="0" w:line="300"/>
        <w:ind w:left="420" w:firstLine="0"/>
      </w:pPr>
      <w:r>
        <w:rPr>
          <w:rFonts w:ascii="Times New Roman" w:cs="Times New Roman" w:eastAsia="宋体" w:hAnsi="Times New Roman"/>
          <w:b w:val="false"/>
          <w:bCs w:val="false"/>
          <w:sz w:val="21"/>
          <w:szCs w:val="21"/>
        </w:rPr>
        <w:t xml:space="preserve">十三　校准：知道自己什么时候不知道</w:t>
      </w:r>
    </w:p>
    <w:p>
      <w:pPr>
        <w:spacing w:after="30" w:before="0" w:line="300"/>
        <w:ind w:left="420" w:firstLine="0"/>
      </w:pPr>
      <w:r>
        <w:rPr>
          <w:rFonts w:ascii="Times New Roman" w:cs="Times New Roman" w:eastAsia="宋体" w:hAnsi="Times New Roman"/>
          <w:b w:val="false"/>
          <w:bCs w:val="false"/>
          <w:sz w:val="21"/>
          <w:szCs w:val="21"/>
        </w:rPr>
        <w:t xml:space="preserve">十四　品味：没有标准答案时怎样校准判断</w:t>
      </w:r>
    </w:p>
    <w:p>
      <w:pPr>
        <w:spacing w:after="30" w:before="120" w:line="300"/>
        <w:ind w:left="0" w:firstLine="0"/>
      </w:pPr>
      <w:r>
        <w:rPr>
          <w:rFonts w:ascii="Arial" w:cs="Arial" w:eastAsia="黑体" w:hAnsi="Arial"/>
          <w:b/>
          <w:bCs/>
          <w:sz w:val="21"/>
          <w:szCs w:val="21"/>
        </w:rPr>
        <w:t xml:space="preserve">第六部　颅骨之外</w:t>
      </w:r>
    </w:p>
    <w:p>
      <w:pPr>
        <w:spacing w:after="30" w:before="0" w:line="300"/>
        <w:ind w:left="420" w:firstLine="0"/>
      </w:pPr>
      <w:r>
        <w:rPr>
          <w:rFonts w:ascii="Times New Roman" w:cs="Times New Roman" w:eastAsia="宋体" w:hAnsi="Times New Roman"/>
          <w:b w:val="false"/>
          <w:bCs w:val="false"/>
          <w:sz w:val="21"/>
          <w:szCs w:val="21"/>
        </w:rPr>
        <w:t xml:space="preserve">十五　社会认识论与默会知识：没有人单靠大脑内部学成</w:t>
      </w:r>
    </w:p>
    <w:p>
      <w:pPr>
        <w:spacing w:after="30" w:before="0" w:line="300"/>
        <w:ind w:left="420" w:firstLine="0"/>
      </w:pPr>
      <w:r>
        <w:rPr>
          <w:rFonts w:ascii="Times New Roman" w:cs="Times New Roman" w:eastAsia="宋体" w:hAnsi="Times New Roman"/>
          <w:b w:val="false"/>
          <w:bCs w:val="false"/>
          <w:sz w:val="21"/>
          <w:szCs w:val="21"/>
        </w:rPr>
        <w:t xml:space="preserve">十六　第二大脑：《斐德罗篇》的回声</w:t>
      </w:r>
    </w:p>
    <w:p>
      <w:pPr>
        <w:spacing w:after="30" w:before="0" w:line="300"/>
        <w:ind w:left="420" w:firstLine="0"/>
      </w:pPr>
      <w:r>
        <w:rPr>
          <w:rFonts w:ascii="Times New Roman" w:cs="Times New Roman" w:eastAsia="宋体" w:hAnsi="Times New Roman"/>
          <w:b w:val="false"/>
          <w:bCs w:val="false"/>
          <w:sz w:val="21"/>
          <w:szCs w:val="21"/>
        </w:rPr>
        <w:t xml:space="preserve">十七　生成式人工智能：评估瓶颈与验证不对称</w:t>
      </w:r>
    </w:p>
    <w:p>
      <w:pPr>
        <w:spacing w:after="30" w:before="120" w:line="300"/>
        <w:ind w:left="0" w:firstLine="0"/>
      </w:pPr>
      <w:r>
        <w:rPr>
          <w:rFonts w:ascii="Arial" w:cs="Arial" w:eastAsia="黑体" w:hAnsi="Arial"/>
          <w:b/>
          <w:bCs/>
          <w:sz w:val="21"/>
          <w:szCs w:val="21"/>
        </w:rPr>
        <w:t xml:space="preserve">第七部　时间中的系统</w:t>
      </w:r>
    </w:p>
    <w:p>
      <w:pPr>
        <w:spacing w:after="30" w:before="0" w:line="300"/>
        <w:ind w:left="420" w:firstLine="0"/>
      </w:pPr>
      <w:r>
        <w:rPr>
          <w:rFonts w:ascii="Times New Roman" w:cs="Times New Roman" w:eastAsia="宋体" w:hAnsi="Times New Roman"/>
          <w:b w:val="false"/>
          <w:bCs w:val="false"/>
          <w:sz w:val="21"/>
          <w:szCs w:val="21"/>
        </w:rPr>
        <w:t xml:space="preserve">十八　去学习与探索预算</w:t>
      </w:r>
    </w:p>
    <w:p>
      <w:pPr>
        <w:spacing w:after="30" w:before="0" w:line="300"/>
        <w:ind w:left="420" w:firstLine="0"/>
      </w:pPr>
      <w:r>
        <w:rPr>
          <w:rFonts w:ascii="Times New Roman" w:cs="Times New Roman" w:eastAsia="宋体" w:hAnsi="Times New Roman"/>
          <w:b w:val="false"/>
          <w:bCs w:val="false"/>
          <w:sz w:val="21"/>
          <w:szCs w:val="21"/>
        </w:rPr>
        <w:t xml:space="preserve">十九　瓶颈的鉴别诊断</w:t>
      </w:r>
    </w:p>
    <w:p>
      <w:pPr>
        <w:spacing w:after="30" w:before="120" w:line="300"/>
        <w:ind w:left="0" w:firstLine="0"/>
      </w:pPr>
      <w:r>
        <w:rPr>
          <w:rFonts w:ascii="Arial" w:cs="Arial" w:eastAsia="黑体" w:hAnsi="Arial"/>
          <w:b/>
          <w:bCs/>
          <w:sz w:val="21"/>
          <w:szCs w:val="21"/>
        </w:rPr>
        <w:t xml:space="preserve">终章　总装：诊断循环、训练单元与本文的保质期</w:t>
      </w:r>
    </w:p>
    <w:p>
      <w:pPr>
        <w:spacing w:after="30" w:before="120" w:line="300"/>
        <w:ind w:left="0" w:firstLine="0"/>
      </w:pPr>
      <w:r>
        <w:rPr>
          <w:rFonts w:ascii="Arial" w:cs="Arial" w:eastAsia="黑体" w:hAnsi="Arial"/>
          <w:b/>
          <w:bCs/>
          <w:sz w:val="21"/>
          <w:szCs w:val="21"/>
        </w:rPr>
        <w:t xml:space="preserve">结语　可纠正的心智</w:t>
      </w:r>
    </w:p>
    <w:p>
      <w:pPr>
        <w:spacing w:after="30" w:before="120" w:line="300"/>
        <w:ind w:left="0" w:firstLine="0"/>
      </w:pPr>
      <w:r>
        <w:rPr>
          <w:rFonts w:ascii="Arial" w:cs="Arial" w:eastAsia="黑体" w:hAnsi="Arial"/>
          <w:b/>
          <w:bCs/>
          <w:sz w:val="21"/>
          <w:szCs w:val="21"/>
        </w:rPr>
        <w:t xml:space="preserve">附录一　操作版</w:t>
      </w:r>
    </w:p>
    <w:p>
      <w:pPr>
        <w:spacing w:after="30" w:before="0" w:line="300"/>
        <w:ind w:left="420" w:firstLine="0"/>
      </w:pPr>
      <w:r>
        <w:rPr>
          <w:rFonts w:ascii="Times New Roman" w:cs="Times New Roman" w:eastAsia="宋体" w:hAnsi="Times New Roman"/>
          <w:b w:val="false"/>
          <w:bCs w:val="false"/>
          <w:sz w:val="21"/>
          <w:szCs w:val="21"/>
        </w:rPr>
        <w:t xml:space="preserve">1. 目标卡（每个学习项目一张）</w:t>
      </w:r>
    </w:p>
    <w:p>
      <w:pPr>
        <w:spacing w:after="30" w:before="0" w:line="300"/>
        <w:ind w:left="420" w:firstLine="0"/>
      </w:pPr>
      <w:r>
        <w:rPr>
          <w:rFonts w:ascii="Times New Roman" w:cs="Times New Roman" w:eastAsia="宋体" w:hAnsi="Times New Roman"/>
          <w:b w:val="false"/>
          <w:bCs w:val="false"/>
          <w:sz w:val="21"/>
          <w:szCs w:val="21"/>
        </w:rPr>
        <w:t xml:space="preserve">2. 训练单元六步</w:t>
      </w:r>
    </w:p>
    <w:p>
      <w:pPr>
        <w:spacing w:after="30" w:before="0" w:line="300"/>
        <w:ind w:left="420" w:firstLine="0"/>
      </w:pPr>
      <w:r>
        <w:rPr>
          <w:rFonts w:ascii="Times New Roman" w:cs="Times New Roman" w:eastAsia="宋体" w:hAnsi="Times New Roman"/>
          <w:b w:val="false"/>
          <w:bCs w:val="false"/>
          <w:sz w:val="21"/>
          <w:szCs w:val="21"/>
        </w:rPr>
        <w:t xml:space="preserve">3. 每次学习的默认动作</w:t>
      </w:r>
    </w:p>
    <w:p>
      <w:pPr>
        <w:spacing w:after="30" w:before="0" w:line="300"/>
        <w:ind w:left="420" w:firstLine="0"/>
      </w:pPr>
      <w:r>
        <w:rPr>
          <w:rFonts w:ascii="Times New Roman" w:cs="Times New Roman" w:eastAsia="宋体" w:hAnsi="Times New Roman"/>
          <w:b w:val="false"/>
          <w:bCs w:val="false"/>
          <w:sz w:val="21"/>
          <w:szCs w:val="21"/>
        </w:rPr>
        <w:t xml:space="preserve">4. 预测记录表</w:t>
      </w:r>
    </w:p>
    <w:p>
      <w:pPr>
        <w:spacing w:after="30" w:before="0" w:line="300"/>
        <w:ind w:left="420" w:firstLine="0"/>
      </w:pPr>
      <w:r>
        <w:rPr>
          <w:rFonts w:ascii="Times New Roman" w:cs="Times New Roman" w:eastAsia="宋体" w:hAnsi="Times New Roman"/>
          <w:b w:val="false"/>
          <w:bCs w:val="false"/>
          <w:sz w:val="21"/>
          <w:szCs w:val="21"/>
        </w:rPr>
        <w:t xml:space="preserve">5. 信任审计：采信或转述一个重要结论之前</w:t>
      </w:r>
    </w:p>
    <w:p>
      <w:pPr>
        <w:spacing w:after="30" w:before="0" w:line="300"/>
        <w:ind w:left="420" w:firstLine="0"/>
      </w:pPr>
      <w:r>
        <w:rPr>
          <w:rFonts w:ascii="Times New Roman" w:cs="Times New Roman" w:eastAsia="宋体" w:hAnsi="Times New Roman"/>
          <w:b w:val="false"/>
          <w:bCs w:val="false"/>
          <w:sz w:val="21"/>
          <w:szCs w:val="21"/>
        </w:rPr>
        <w:t xml:space="preserve">6. 品味训练七步</w:t>
      </w:r>
    </w:p>
    <w:p>
      <w:pPr>
        <w:spacing w:after="30" w:before="0" w:line="300"/>
        <w:ind w:left="420" w:firstLine="0"/>
      </w:pPr>
      <w:r>
        <w:rPr>
          <w:rFonts w:ascii="Times New Roman" w:cs="Times New Roman" w:eastAsia="宋体" w:hAnsi="Times New Roman"/>
          <w:b w:val="false"/>
          <w:bCs w:val="false"/>
          <w:sz w:val="21"/>
          <w:szCs w:val="21"/>
        </w:rPr>
        <w:t xml:space="preserve">7. 使用 AI 之前的一问</w:t>
      </w:r>
    </w:p>
    <w:p>
      <w:pPr>
        <w:spacing w:after="30" w:before="0" w:line="300"/>
        <w:ind w:left="420" w:firstLine="0"/>
      </w:pPr>
      <w:r>
        <w:rPr>
          <w:rFonts w:ascii="Times New Roman" w:cs="Times New Roman" w:eastAsia="宋体" w:hAnsi="Times New Roman"/>
          <w:b w:val="false"/>
          <w:bCs w:val="false"/>
          <w:sz w:val="21"/>
          <w:szCs w:val="21"/>
        </w:rPr>
        <w:t xml:space="preserve">8. 每季度的审计</w:t>
      </w:r>
    </w:p>
    <w:p>
      <w:pPr>
        <w:spacing w:after="30" w:before="120" w:line="300"/>
        <w:ind w:left="0" w:firstLine="0"/>
      </w:pPr>
      <w:r>
        <w:rPr>
          <w:rFonts w:ascii="Arial" w:cs="Arial" w:eastAsia="黑体" w:hAnsi="Arial"/>
          <w:b/>
          <w:bCs/>
          <w:sz w:val="21"/>
          <w:szCs w:val="21"/>
        </w:rPr>
        <w:t xml:space="preserve">附录二　作者框架的检验方案</w:t>
      </w:r>
    </w:p>
    <w:p>
      <w:pPr>
        <w:spacing w:after="30" w:before="120" w:line="300"/>
        <w:ind w:left="0" w:firstLine="0"/>
      </w:pPr>
      <w:r>
        <w:rPr>
          <w:rFonts w:ascii="Arial" w:cs="Arial" w:eastAsia="黑体" w:hAnsi="Arial"/>
          <w:b/>
          <w:bCs/>
          <w:sz w:val="21"/>
          <w:szCs w:val="21"/>
        </w:rPr>
        <w:t xml:space="preserve">附录三　参考文献与定量证据登记</w:t>
      </w:r>
    </w:p>
    <w:p>
      <w:pPr>
        <w:spacing w:after="30" w:before="0" w:line="300"/>
        <w:ind w:left="420" w:firstLine="0"/>
      </w:pPr>
      <w:r>
        <w:rPr>
          <w:rFonts w:ascii="Times New Roman" w:cs="Times New Roman" w:eastAsia="宋体" w:hAnsi="Times New Roman"/>
          <w:b w:val="false"/>
          <w:bCs w:val="false"/>
          <w:sz w:val="21"/>
          <w:szCs w:val="21"/>
        </w:rPr>
        <w:t xml:space="preserve">一、学习方法与认知</w:t>
      </w:r>
    </w:p>
    <w:p>
      <w:pPr>
        <w:spacing w:after="30" w:before="0" w:line="300"/>
        <w:ind w:left="420" w:firstLine="0"/>
      </w:pPr>
      <w:r>
        <w:rPr>
          <w:rFonts w:ascii="Times New Roman" w:cs="Times New Roman" w:eastAsia="宋体" w:hAnsi="Times New Roman"/>
          <w:b w:val="false"/>
          <w:bCs w:val="false"/>
          <w:sz w:val="21"/>
          <w:szCs w:val="21"/>
        </w:rPr>
        <w:t xml:space="preserve">二、证据、复制与撤稿</w:t>
      </w:r>
    </w:p>
    <w:p>
      <w:pPr>
        <w:spacing w:after="30" w:before="0" w:line="300"/>
        <w:ind w:left="420" w:firstLine="0"/>
      </w:pPr>
      <w:r>
        <w:rPr>
          <w:rFonts w:ascii="Times New Roman" w:cs="Times New Roman" w:eastAsia="宋体" w:hAnsi="Times New Roman"/>
          <w:b w:val="false"/>
          <w:bCs w:val="false"/>
          <w:sz w:val="21"/>
          <w:szCs w:val="21"/>
        </w:rPr>
        <w:t xml:space="preserve">三、校准、判断与品味</w:t>
      </w:r>
    </w:p>
    <w:p>
      <w:pPr>
        <w:spacing w:after="30" w:before="0" w:line="300"/>
        <w:ind w:left="420" w:firstLine="0"/>
      </w:pPr>
      <w:r>
        <w:rPr>
          <w:rFonts w:ascii="Times New Roman" w:cs="Times New Roman" w:eastAsia="宋体" w:hAnsi="Times New Roman"/>
          <w:b w:val="false"/>
          <w:bCs w:val="false"/>
          <w:sz w:val="21"/>
          <w:szCs w:val="21"/>
        </w:rPr>
        <w:t xml:space="preserve">四、外部认知与生成式 AI</w:t>
      </w:r>
    </w:p>
    <w:p>
      <w:pPr>
        <w:spacing w:after="30" w:before="0" w:line="300"/>
        <w:ind w:left="420" w:firstLine="0"/>
      </w:pPr>
      <w:r>
        <w:rPr>
          <w:rFonts w:ascii="Times New Roman" w:cs="Times New Roman" w:eastAsia="宋体" w:hAnsi="Times New Roman"/>
          <w:b w:val="false"/>
          <w:bCs w:val="false"/>
          <w:sz w:val="21"/>
          <w:szCs w:val="21"/>
        </w:rPr>
        <w:t xml:space="preserve">五、其他引用</w:t>
      </w:r>
    </w:p>
    <w:p>
      <w:pPr>
        <w:spacing w:after="30" w:before="0" w:line="300"/>
        <w:ind w:left="420" w:firstLine="0"/>
      </w:pPr>
      <w:r>
        <w:rPr>
          <w:rFonts w:ascii="Times New Roman" w:cs="Times New Roman" w:eastAsia="宋体" w:hAnsi="Times New Roman"/>
          <w:b w:val="false"/>
          <w:bCs w:val="false"/>
          <w:sz w:val="21"/>
          <w:szCs w:val="21"/>
        </w:rPr>
        <w:t xml:space="preserve">六、未完成的核验</w:t>
      </w:r>
    </w:p>
    <w:p>
      <w:pPr>
        <w:spacing w:after="30" w:before="120" w:line="300"/>
        <w:ind w:left="0" w:firstLine="0"/>
      </w:pPr>
      <w:r>
        <w:rPr>
          <w:rFonts w:ascii="Arial" w:cs="Arial" w:eastAsia="黑体" w:hAnsi="Arial"/>
          <w:b/>
          <w:bCs/>
          <w:sz w:val="21"/>
          <w:szCs w:val="21"/>
        </w:rPr>
        <w:t xml:space="preserve">附录四　维护本文</w:t>
      </w:r>
    </w:p>
    <w:p>
      <w:pPr>
        <w:spacing w:after="30" w:before="0" w:line="300"/>
        <w:ind w:left="420" w:firstLine="0"/>
      </w:pPr>
      <w:r>
        <w:rPr>
          <w:rFonts w:ascii="Times New Roman" w:cs="Times New Roman" w:eastAsia="宋体" w:hAnsi="Times New Roman"/>
          <w:b w:val="false"/>
          <w:bCs w:val="false"/>
          <w:sz w:val="21"/>
          <w:szCs w:val="21"/>
        </w:rPr>
        <w:t xml:space="preserve">证据卡字段</w:t>
      </w:r>
    </w:p>
    <w:p>
      <w:pPr>
        <w:spacing w:after="30" w:before="0" w:line="300"/>
        <w:ind w:left="420" w:firstLine="0"/>
      </w:pPr>
      <w:r>
        <w:rPr>
          <w:rFonts w:ascii="Times New Roman" w:cs="Times New Roman" w:eastAsia="宋体" w:hAnsi="Times New Roman"/>
          <w:b w:val="false"/>
          <w:bCs w:val="false"/>
          <w:sz w:val="21"/>
          <w:szCs w:val="21"/>
        </w:rPr>
        <w:t xml:space="preserve">证据更新与版本维护</w:t>
      </w:r>
    </w:p>
    <w:p>
      <w:pPr>
        <w:sectPr>
          <w:pgSz w:w="11906" w:h="16838" w:orient="portrait"/>
          <w:pgMar w:top="1440" w:right="1440" w:bottom="1440" w:left="1440" w:header="720" w:footer="720" w:gutter="0"/>
          <w:pgNumType/>
          <w:docGrid w:linePitch="360"/>
        </w:sectPr>
      </w:pPr>
    </w:p>
    <w:p>
      <w:pPr>
        <w:pStyle w:val="Heading1"/>
      </w:pPr>
      <w:r>
        <w:t xml:space="preserve">读前说明</w:t>
      </w:r>
    </w:p>
    <w:p>
      <w:pPr>
        <w:pStyle w:val="Heading2"/>
      </w:pPr>
      <w:r>
        <w:t xml:space="preserve">这篇文章做什么</w:t>
      </w:r>
    </w:p>
    <w:p>
      <w:r>
        <w:t xml:space="preserve">本文讨论一个问题：一个人在不确定的世界里，怎样决定相信什么，怎样建立和修订自己的内部模型，怎样让学到的东西能够积累、迁移和校准。它主要处理认识性学习，也就是概念、解释、判断与信念的形成和更新。知觉辨别、动作技能与习惯只在相关处讨论。第十四章专门处理没有标准答案的评价性判断，也就是通常所说的品味。</w:t>
      </w:r>
    </w:p>
    <w:p>
      <w:r>
        <w:t xml:space="preserve">全文的组织原则可以写成一句话：学习是对内部模型的选择、检验与修订</w:t>
      </w:r>
      <w:r>
        <w:rPr>
          <w:color w:val="4F6478"/>
        </w:rPr>
        <w:t xml:space="preserve">〔C〕</w:t>
      </w:r>
      <w:r>
        <w:t xml:space="preserve">，增加输入是其中一个环节。这句话首先是本文安排材料的方式。它也有一处可以接受检验的推论：投入时间相同的条件下，把时间花在检验与修订上的安排（合书回忆、带反馈的练习、预测记录），应当在保持、迁移与校准指标上胜过把时间花在增加输入上的安排（重读、多读、多看）。检索相对重读的证据支持其中关于保持的部分</w:t>
      </w:r>
      <w:r>
        <w:rPr>
          <w:color w:val="4F6478"/>
        </w:rPr>
        <w:t xml:space="preserve">〔E4·外推〕</w:t>
      </w:r>
      <w:r>
        <w:t xml:space="preserve">，对迁移的支持较弱；带反馈的概率训练能改善校准</w:t>
      </w:r>
      <w:r>
        <w:rPr>
          <w:color w:val="4F6478"/>
        </w:rPr>
        <w:t xml:space="preserve">〔E3·外推〕</w:t>
      </w:r>
      <w:r>
        <w:t xml:space="preserve">，这些研究的对照组不接受训练，与同等时间的输入型安排相比会怎样，还没有直接研究。在成年人长期自学复杂领域的情境里，整个推论还没有被直接检验过。</w:t>
      </w:r>
    </w:p>
    <w:p>
      <w:pPr>
        <w:pStyle w:val="Heading2"/>
      </w:pPr>
      <w:r>
        <w:t xml:space="preserve">怎样读</w:t>
      </w:r>
    </w:p>
    <w:p>
      <w:r>
        <w:t xml:space="preserve">想马上行动，先读附录一“操作版”，它用几页纸列出全文可以执行的部分。正文解释每个动作为什么存在，以及它在什么条件下会失效。每章末尾的“落地”一栏，给出该章最值得先做的一件事。附录二列出本文自己提出的框架怎样接受检验，附录三登记承重数字的来源与核验状态，附录四供维护本文的人使用。</w:t>
      </w:r>
    </w:p>
    <w:p>
      <w:pPr>
        <w:pStyle w:val="Heading2"/>
      </w:pPr>
      <w:r>
        <w:t xml:space="preserve">证据协议</w:t>
      </w:r>
    </w:p>
    <w:p>
      <w:r>
        <w:t xml:space="preserve">关于学习的文章容易滑向两个方向。一种只讲努力与自律，仿佛更努力、更专注，知识就会自己进来。另一种把几个科学热词写成神话，仿佛背下“工作记忆”“多巴胺”“贝叶斯大脑”“心流”，就掌握了学习的底层真相。前一种把学习道德化，后一种把学习时髦化。本文用下面这套规则约束自己。</w:t>
      </w:r>
    </w:p>
    <w:p>
      <w:r>
        <w:t xml:space="preserve">先分主张的类型，再评估它得到多少支持。本文区分七类主张。史实与引文：记录版本、位置与解释范围。事实登记：撤稿、勘误与出版信息，记录来源与核验日期。经验主张：记录人群、任务、干预、对照、结果与时距。机制提案：说明其中哪些环节被直接检验过。概念框架与研究纲领：他人提出的理论组织，例如霍加斯的学习环境分类、预测加工理论。实践建议：说明目标、成本与风险前提。作者框架：本文自己提出的概念组织与推断。</w:t>
      </w:r>
    </w:p>
    <w:p>
      <w:r>
        <w:t xml:space="preserve">经验主张使用四级标记。E4 稳健证据：构念与测量清楚，多个独立团队重复，有系统综述或元分析，边界条件较充分。E3 收敛证据：多种方法或多个样本方向一致，异质性仍然明显；结论主要依赖单一、年代较早的数据集，又缺少近年独立综述核对时，最高标 E3。E2 初步证据：一项到少数几项研究，领域单一、干预短，或外部效度有限。E1 单薄证据：单项小样本研究且未见重复，或直接重复失败，或测量尚不稳定。等级只绑定一条具体主张，整章、整个学派或某位研究者都不获得统一的等级。“课堂条件下检索练习平均优于重读”可以是 E4；“生成性加工普遍优于被动的重复接触”是另一条更宽主张，需要它自己的证据。</w:t>
      </w:r>
    </w:p>
    <w:p>
      <w:r>
        <w:t xml:space="preserve">E 等级只对原研究的条件成立。正文把一个结论用到原研究没有覆盖的人群、任务或时距上时，在等级后加“外推”二字，例如</w:t>
      </w:r>
      <w:r>
        <w:rPr>
          <w:color w:val="4F6478"/>
        </w:rPr>
        <w:t xml:space="preserve">〔E4·外推〕</w:t>
      </w:r>
      <w:r>
        <w:t xml:space="preserve">。本文最常见的外推，是从课堂或实验室里的短期学习，推到成年人长期自学复杂领域。外推那一步属于作者推断，它的可靠程度取决于你的处境与原研究有多接近。</w:t>
      </w:r>
    </w:p>
    <w:p>
      <w:r>
        <w:t xml:space="preserve">机制提案、概念框架与研究纲领不进入 E 分级，只标类型：</w:t>
      </w:r>
      <w:r>
        <w:rPr>
          <w:color w:val="4F6478"/>
        </w:rPr>
        <w:t xml:space="preserve">〔机制提案〕</w:t>
      </w:r>
      <w:r>
        <w:rPr>
          <w:color w:val="4F6478"/>
        </w:rPr>
        <w:t xml:space="preserve">〔概念框架〕</w:t>
      </w:r>
      <w:r>
        <w:rPr>
          <w:color w:val="4F6478"/>
        </w:rPr>
        <w:t xml:space="preserve">〔研究纲领〕</w:t>
      </w:r>
      <w:r>
        <w:t xml:space="preserve">。事实登记标</w:t>
      </w:r>
      <w:r>
        <w:rPr>
          <w:color w:val="4F6478"/>
        </w:rPr>
        <w:t xml:space="preserve">〔事实登记〕</w:t>
      </w:r>
      <w:r>
        <w:t xml:space="preserve">，注明核验来源与日期。</w:t>
      </w:r>
    </w:p>
    <w:p>
      <w:r>
        <w:t xml:space="preserve">本文自己提出的框架与推断标</w:t>
      </w:r>
      <w:r>
        <w:rPr>
          <w:color w:val="4F6478"/>
        </w:rPr>
        <w:t xml:space="preserve">〔C〕</w:t>
      </w:r>
      <w:r>
        <w:t xml:space="preserve">。这个标签只标明来源；框架好不好，要看它经不经得起检验。承重的</w:t>
      </w:r>
      <w:r>
        <w:rPr>
          <w:color w:val="4F6478"/>
        </w:rPr>
        <w:t xml:space="preserve">〔C〕</w:t>
      </w:r>
      <w:r>
        <w:t xml:space="preserve">框架都写出检验方式：和哪个更简单的方案比，预期在什么测量上更好，什么结果会迫使修订。附录二集中列出这些方案。暂时写不出检验方式的，本文直接说明它只是组织材料的方式。零散的推断，在正文中随文说明依据。</w:t>
      </w:r>
    </w:p>
    <w:p>
      <w:r>
        <w:t xml:space="preserve">古典文本在本文中承担三种功能：提供问题史，展示人类长期经验里反复出现的观察，帮助记忆。它们不给任何经验结论加分，理由有四条。其一，古典格言语义宽，读者掌握“元认知”“检索练习”这些概念之后，很容易在古书里找到相似的话，这是事后匹配。其二，几千年的文本里能被重新解释的句子极多，被展示出来的只是匹配成功的那些，所谓“古今收敛”是经过挑选的结果。其三，构念不等价：“知之为知之，不知为不知”讲的是求知态度，校准研究测量的是主观概率与实际频率的匹配，两者结构相似，层级不同。其四，即使没有任何传播，人类共有的直觉也会产生相似的格言，而共有的直觉也可能是共有的错误。判断两处古典表达“彼此独立”，本身也是需要证据的历史主张。本文凡称“共鸣”之处，只指语义与功能上的接近。这条规则在这里说一次，正文不再逐处重复。</w:t>
      </w:r>
    </w:p>
    <w:p>
      <w:r>
        <w:t xml:space="preserve">最后一条约束是拒绝伪精确。本文不提供“图式占百分之多少、注意力占百分之多少”这类比例，也不用没有测量基础的因素相乘来冒充模型。需要估算时，写明方法与误差量级。</w:t>
      </w:r>
    </w:p>
    <w:p>
      <w:pPr>
        <w:pStyle w:val="Heading2"/>
      </w:pPr>
      <w:r>
        <w:t xml:space="preserve">范围与术语</w:t>
      </w:r>
    </w:p>
    <w:p>
      <w:r>
        <w:t xml:space="preserve">本文以“模型”作为上位词，覆盖七类结构。它们的更新机制各不相同，一类结构上的证据，不能直接支持另一类结构上的结论：动作技能练习效应，推不出信念修正的规律。</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4"/>
        <w:gridCol w:w="4151"/>
        <w:gridCol w:w="3431"/>
      </w:tblGrid>
      <w:tr>
        <w:trPr>
          <w:cantSplit w:val="off"/>
          <w:tblHeader/>
        </w:trPr>
        <w:tc>
          <w:tcPr>
            <w:tcW w:type="dxa" w:w="1444"/>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类型</w:t>
            </w:r>
          </w:p>
        </w:tc>
        <w:tc>
          <w:tcPr>
            <w:tcW w:type="dxa" w:w="4151"/>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含义</w:t>
            </w:r>
          </w:p>
        </w:tc>
        <w:tc>
          <w:tcPr>
            <w:tcW w:type="dxa" w:w="3431"/>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常用指标</w:t>
            </w:r>
          </w:p>
        </w:tc>
      </w:tr>
      <w:tr>
        <w:trPr>
          <w:cantSplit w:val="off"/>
          <w:tblHeader w:val="off"/>
        </w:trPr>
        <w:tc>
          <w:tcPr>
            <w:tcW w:type="dxa" w:w="144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表征</w:t>
            </w:r>
          </w:p>
        </w:tc>
        <w:tc>
          <w:tcPr>
            <w:tcW w:type="dxa" w:w="415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对对象、事件或关系的内部编码</w:t>
            </w:r>
          </w:p>
        </w:tc>
        <w:tc>
          <w:tcPr>
            <w:tcW w:type="dxa" w:w="343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识别、回忆与再认</w:t>
            </w:r>
          </w:p>
        </w:tc>
      </w:tr>
      <w:tr>
        <w:trPr>
          <w:cantSplit w:val="off"/>
          <w:tblHeader w:val="off"/>
        </w:trPr>
        <w:tc>
          <w:tcPr>
            <w:tcW w:type="dxa" w:w="144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图式</w:t>
            </w:r>
          </w:p>
        </w:tc>
        <w:tc>
          <w:tcPr>
            <w:tcW w:type="dxa" w:w="415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组织信息、引导注意与解释的结构</w:t>
            </w:r>
          </w:p>
        </w:tc>
        <w:tc>
          <w:tcPr>
            <w:tcW w:type="dxa" w:w="343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分类、预期、组块化表现</w:t>
            </w:r>
          </w:p>
        </w:tc>
      </w:tr>
      <w:tr>
        <w:trPr>
          <w:cantSplit w:val="off"/>
          <w:tblHeader w:val="off"/>
        </w:trPr>
        <w:tc>
          <w:tcPr>
            <w:tcW w:type="dxa" w:w="144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因果模型</w:t>
            </w:r>
          </w:p>
        </w:tc>
        <w:tc>
          <w:tcPr>
            <w:tcW w:type="dxa" w:w="415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表示干预、机制与反事实关系的结构</w:t>
            </w:r>
          </w:p>
        </w:tc>
        <w:tc>
          <w:tcPr>
            <w:tcW w:type="dxa" w:w="343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干预预测、反事实判断</w:t>
            </w:r>
          </w:p>
        </w:tc>
      </w:tr>
      <w:tr>
        <w:trPr>
          <w:cantSplit w:val="off"/>
          <w:tblHeader w:val="off"/>
        </w:trPr>
        <w:tc>
          <w:tcPr>
            <w:tcW w:type="dxa" w:w="144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信念</w:t>
            </w:r>
          </w:p>
        </w:tc>
        <w:tc>
          <w:tcPr>
            <w:tcW w:type="dxa" w:w="415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对某个命题为真的承诺程度</w:t>
            </w:r>
          </w:p>
        </w:tc>
        <w:tc>
          <w:tcPr>
            <w:tcW w:type="dxa" w:w="343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主观概率及其与结果的匹配</w:t>
            </w:r>
          </w:p>
        </w:tc>
      </w:tr>
      <w:tr>
        <w:trPr>
          <w:cantSplit w:val="off"/>
          <w:tblHeader w:val="off"/>
        </w:trPr>
        <w:tc>
          <w:tcPr>
            <w:tcW w:type="dxa" w:w="144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策略</w:t>
            </w:r>
          </w:p>
        </w:tc>
        <w:tc>
          <w:tcPr>
            <w:tcW w:type="dxa" w:w="415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在特定状态下采取何种行动的程序</w:t>
            </w:r>
          </w:p>
        </w:tc>
        <w:tc>
          <w:tcPr>
            <w:tcW w:type="dxa" w:w="343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选择是否适配条件</w:t>
            </w:r>
          </w:p>
        </w:tc>
      </w:tr>
      <w:tr>
        <w:trPr>
          <w:cantSplit w:val="off"/>
          <w:tblHeader w:val="off"/>
        </w:trPr>
        <w:tc>
          <w:tcPr>
            <w:tcW w:type="dxa" w:w="144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技能</w:t>
            </w:r>
          </w:p>
        </w:tc>
        <w:tc>
          <w:tcPr>
            <w:tcW w:type="dxa" w:w="415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训练形成的高效表现，大量成分难以言明</w:t>
            </w:r>
          </w:p>
        </w:tc>
        <w:tc>
          <w:tcPr>
            <w:tcW w:type="dxa" w:w="343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约定条件下的稳定执行</w:t>
            </w:r>
          </w:p>
        </w:tc>
      </w:tr>
      <w:tr>
        <w:trPr>
          <w:cantSplit w:val="off"/>
          <w:tblHeader w:val="off"/>
        </w:trPr>
        <w:tc>
          <w:tcPr>
            <w:tcW w:type="dxa" w:w="144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元认知估计</w:t>
            </w:r>
          </w:p>
        </w:tc>
        <w:tc>
          <w:tcPr>
            <w:tcW w:type="dxa" w:w="415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对自己知道多少、答对概率多高、任务多难的判断</w:t>
            </w:r>
          </w:p>
        </w:tc>
        <w:tc>
          <w:tcPr>
            <w:tcW w:type="dxa" w:w="343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判断与实际表现的对应</w:t>
            </w:r>
          </w:p>
        </w:tc>
      </w:tr>
    </w:tbl>
    <w:p>
      <w:pPr>
        <w:spacing w:after="120" w:before="0"/>
      </w:pPr>
    </w:p>
    <w:p>
      <w:r>
        <w:t xml:space="preserve">本文的框架对知觉学习与技能学习只提供部分解释。学钢琴指法、外语发音或运动动作时，大量变化发生在程序化、知觉校准与自动化上，学习者往往说不出其中的结构，“修订模型”在这里未必是最有解释力的层次。给中心命题划出失效的边界，它才有了可以被推翻的地方。</w:t>
      </w:r>
    </w:p>
    <w:p>
      <w:pPr>
        <w:pStyle w:val="Heading1"/>
        <w:pageBreakBefore/>
      </w:pPr>
      <w:r>
        <w:t xml:space="preserve">导论　美诺悖论与双重危机</w:t>
      </w:r>
    </w:p>
    <w:p>
      <w:r>
        <w:t xml:space="preserve">柏拉图在公元前四世纪写成的《美诺篇》里，美诺问苏格拉底：一个人怎样去寻找自己不知道的东西？如果完全不知道，撞见了也认不出；如果已经知道，就无须寻找。柏拉图用灵魂回忆说作答，这个解答早已被放弃，问题本身却抓住了要点：一切学习都从某种已有的部分结构出发。你总是带着一个不完整的模型去搜索世界，这个模型决定你能看见什么、认出什么、把什么当作答案。认知科学后来用“图式”与“先验”称呼这种结构，贝叶斯认识论把它形式化为先验分布。</w:t>
      </w:r>
    </w:p>
    <w:p>
      <w:r>
        <w:t xml:space="preserve">现代学习者面对的是一个部分倒转的美诺问题。古代的瓶颈偏向向导稀缺，知识锁在少数人、少数地方、少数文本里。今天现成答案很多，其中不少是为别的目的生产的；高质量指导同样稀缺，而且更难找到。倒转之后，危机有两重。</w:t>
      </w:r>
    </w:p>
    <w:p>
      <w:r>
        <w:t xml:space="preserve">第一重是丰裕危机。可获取的信息在几十年里大幅增长，人的注意力总量没有增长。西蒙在 1971 年就指出：信息消耗的是接收者的注意力，所以信息富足造成注意力贫乏。供给远超处理能力时，学习的第一道工序从“寻找”变成“拒绝”，这是第三章的主题。</w:t>
      </w:r>
    </w:p>
    <w:p>
      <w:r>
        <w:t xml:space="preserve">第二重是流畅危机。人判断“我是否懂了”，依靠的一直是间接信号：材料读起来顺，概念听起来熟，复述时不卡壳。这里至少有四种判断容易被混为一谈：材料是否熟悉，信息是否真实，解释是否完整，自己能否独立使用。在信息稀缺、加工缓慢的环境里，这四者的相关较高。在被算法、摘要与生成式模型处处优化过的环境里，熟悉感可以被批量制造，后三者要靠核对与练习才能改善。由流畅与重复制造出来的“已经懂了”，本文称为流畅性错觉。重读制造它，顺滑的讲解制造它，多年的经验制造它，生成式人工智能把它规模化。认出它的各种形态，是贯穿全文的一条线索。</w:t>
      </w:r>
    </w:p>
    <w:p>
      <w:r>
        <w:t xml:space="preserve">当代学习有一种典型场景。有人专注地反复阅读、划线，笔记工整，每天严格自律，几周后却发现无法准确复述核心论证，不能把概念用到陌生问题上，也不能在真实决策里调用学过的东西。这个人投入很大，收获的主要是熟悉感。缺少检验环节是这类失败的常见原因之一；材料质量、目标不清、前置知识不足、练习结构、反馈缺失和身体状态，也都可能单独造成同样的结果。后面的十九章，就是把“学了没用”拆成可以分别检查的假设。</w:t>
      </w:r>
    </w:p>
    <w:p>
      <w:r>
        <w:t xml:space="preserve">理解学习的第一步，是承认认识性学习的实际形态是模型更新。模型更新包含两个动作：新信息进入已有结构；已有结构为新信息改造自己。皮亚杰把它们叫作同化与顺应，第四章会正式使用这对概念。很多学习只是同化，很多技能进步也不涉及可以言明的结构改写，这都正常。麻烦出在结构本身已经错了的时候：这时只做同化，系统会越来越稳定地错下去，材料越看越多，新材料却都被用来支持旧的偏见。</w:t>
      </w:r>
    </w:p>
    <w:p>
      <w:r>
        <w:t xml:space="preserve">所以终身学习首先是认识论问题。认识论追问：我凭什么觉得自己知道？怎样区分证据与感觉？怎样处理不确定性？新旧证据冲突时怎样改写自己？一个人在智识上成熟，表现为不那么容易被自己的熟悉感、偏好、过度自信和即时满足欺骗。这种成熟可以在三个层面测量：口头表达的态度，自我报告的开放程度，面对真实反馈时实际发生的修正。三者经常不同步，本文关心的是第三层。</w:t>
      </w:r>
    </w:p>
    <w:p>
      <w:r>
        <w:t xml:space="preserve">全文七部依次讨论：标准与入口，模型的成形，加工方式，身体与执行，接触现实的四种方式，颅骨之外的外部系统，时间中的动力学；终章把它们装配成一个循环。这个次序是默认的诊断次序，真实学习很少按目录顺序发生。</w:t>
      </w:r>
    </w:p>
    <w:p>
      <w:r>
        <w:t xml:space="preserve">本文要帮读者做好四项选择：哪些材料值得采信，哪些加工有助于形成目标能力，哪些外部支持应当保留，什么结果说明应当继续、调整或停止。终章用一个训练实例把这四项选择串起来：区分两个方向的条件概率，并识别缺少基率时无法作出的推断。</w:t>
      </w:r>
    </w:p>
    <w:p>
      <w:pPr>
        <w:pStyle w:val="Heading2"/>
      </w:pPr>
      <w:r>
        <w:t xml:space="preserve">先于方法：目标、资源与验收</w:t>
      </w:r>
    </w:p>
    <w:p>
      <w:r>
        <w:t xml:space="preserve">讨论方法之前，先要回答七个问题：学完之后要完成什么；什么时候用；是否允许使用工具；容许什么错误；有多少时间和资源；怎样算完成；什么情况下退出。没有这七个答案，就无法判断哪种方法更好。</w:t>
      </w:r>
    </w:p>
    <w:p>
      <w:r>
        <w:t xml:space="preserve">同一份材料可以服务完全不同的目标。学一种统计方法，可以是为了看懂新闻里的研究报道、正确使用软件、独立分析数据、理解证明，或者发展新方法。这五个目标需要的事实量、推导能力、练习密度、工具边界与验收标准都不同。脱离目标争论“该记多少”“要不要亲手推导”，问题就没有确定的答案。</w:t>
      </w:r>
    </w:p>
    <w:p>
      <w:r>
        <w:t xml:space="preserve">目标可以分三层。最低要求：能正确识别适用前提，避免危险的误用。期望表现：能独立完成一个代表性任务。可选拓展：能迁移到另一个领域，或推进这个领域本身。达到最低要求之后，因为成本或其他人生目标而暂停，是正常的资源配置。</w:t>
      </w:r>
    </w:p>
    <w:p>
      <w:r>
        <w:t xml:space="preserve">停止规则至少包括四类：目标已经达到；新增学习的预期收益低于机会成本；当前路径反复失败，并且存在更好的替代；继续投入对健康、安全或其他重要责任造成不可接受的负担。暂停时写下重启条件，例如任务改变、出现关键的新证据或获得新资源。没有停止规则的学习系统，会把有限的注意力耗在边际收益最低的地方。</w:t>
      </w:r>
    </w:p>
    <w:p>
      <w:r>
        <w:t xml:space="preserve">目标确定之后，验收标准就不能含糊。不同学习对象适合用不同能力来检查，也各有一类单独不足以验收的指标。</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3"/>
        <w:gridCol w:w="2978"/>
        <w:gridCol w:w="1805"/>
        <w:gridCol w:w="3070"/>
      </w:tblGrid>
      <w:tr>
        <w:trPr>
          <w:cantSplit w:val="off"/>
          <w:tblHeader/>
        </w:trPr>
        <w:tc>
          <w:tcPr>
            <w:tcW w:type="dxa" w:w="1173"/>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学习对象</w:t>
            </w:r>
          </w:p>
        </w:tc>
        <w:tc>
          <w:tcPr>
            <w:tcW w:type="dxa" w:w="2978"/>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适合检查的能力</w:t>
            </w:r>
          </w:p>
        </w:tc>
        <w:tc>
          <w:tcPr>
            <w:tcW w:type="dxa" w:w="1805"/>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单独不足以验收</w:t>
            </w:r>
          </w:p>
        </w:tc>
        <w:tc>
          <w:tcPr>
            <w:tcW w:type="dxa" w:w="3070"/>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常见错误</w:t>
            </w:r>
          </w:p>
        </w:tc>
      </w:tr>
      <w:tr>
        <w:trPr>
          <w:cantSplit w:val="off"/>
          <w:tblHeader w:val="off"/>
        </w:trPr>
        <w:tc>
          <w:tcPr>
            <w:tcW w:type="dxa" w:w="1173"/>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事实与术语</w:t>
            </w:r>
          </w:p>
        </w:tc>
        <w:tc>
          <w:tcPr>
            <w:tcW w:type="dxa" w:w="297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准确识别、提示回忆、必要时独立提取、指出出处</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看起来熟悉、抄写次数</w:t>
            </w:r>
          </w:p>
        </w:tc>
        <w:tc>
          <w:tcPr>
            <w:tcW w:type="dxa" w:w="307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把熟悉当成可调用</w:t>
            </w:r>
          </w:p>
        </w:tc>
      </w:tr>
      <w:tr>
        <w:trPr>
          <w:cantSplit w:val="off"/>
          <w:tblHeader w:val="off"/>
        </w:trPr>
        <w:tc>
          <w:tcPr>
            <w:tcW w:type="dxa" w:w="1173"/>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概念</w:t>
            </w:r>
          </w:p>
        </w:tc>
        <w:tc>
          <w:tcPr>
            <w:tcW w:type="dxa" w:w="297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区分正反例、说明必要前提、解释边界</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能背定义</w:t>
            </w:r>
          </w:p>
        </w:tc>
        <w:tc>
          <w:tcPr>
            <w:tcW w:type="dxa" w:w="307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定义能背，实例认不出</w:t>
            </w:r>
          </w:p>
        </w:tc>
      </w:tr>
      <w:tr>
        <w:trPr>
          <w:cantSplit w:val="off"/>
          <w:tblHeader w:val="off"/>
        </w:trPr>
        <w:tc>
          <w:tcPr>
            <w:tcW w:type="dxa" w:w="1173"/>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因果解释</w:t>
            </w:r>
          </w:p>
        </w:tc>
        <w:tc>
          <w:tcPr>
            <w:tcW w:type="dxa" w:w="297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明确干预、比较替代机制、说明识别假设</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拟合好、故事顺</w:t>
            </w:r>
          </w:p>
        </w:tc>
        <w:tc>
          <w:tcPr>
            <w:tcW w:type="dxa" w:w="307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把相关解释成因果</w:t>
            </w:r>
          </w:p>
        </w:tc>
      </w:tr>
      <w:tr>
        <w:trPr>
          <w:cantSplit w:val="off"/>
          <w:tblHeader w:val="off"/>
        </w:trPr>
        <w:tc>
          <w:tcPr>
            <w:tcW w:type="dxa" w:w="1173"/>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程序与技能</w:t>
            </w:r>
          </w:p>
        </w:tc>
        <w:tc>
          <w:tcPr>
            <w:tcW w:type="dxa" w:w="297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约定条件下正确、稳定地执行，识别异常</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口头说得清</w:t>
            </w:r>
          </w:p>
        </w:tc>
        <w:tc>
          <w:tcPr>
            <w:tcW w:type="dxa" w:w="307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用言语能力代替操作能力</w:t>
            </w:r>
          </w:p>
        </w:tc>
      </w:tr>
      <w:tr>
        <w:trPr>
          <w:cantSplit w:val="off"/>
          <w:tblHeader w:val="off"/>
        </w:trPr>
        <w:tc>
          <w:tcPr>
            <w:tcW w:type="dxa" w:w="1173"/>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迁移</w:t>
            </w:r>
          </w:p>
        </w:tc>
        <w:tc>
          <w:tcPr>
            <w:tcW w:type="dxa" w:w="297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在未练过的表述与情境中认出适用的结构</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原题重做</w:t>
            </w:r>
          </w:p>
        </w:tc>
        <w:tc>
          <w:tcPr>
            <w:tcW w:type="dxa" w:w="307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测试与训练高度重合</w:t>
            </w:r>
          </w:p>
        </w:tc>
      </w:tr>
      <w:tr>
        <w:trPr>
          <w:cantSplit w:val="off"/>
          <w:tblHeader w:val="off"/>
        </w:trPr>
        <w:tc>
          <w:tcPr>
            <w:tcW w:type="dxa" w:w="1173"/>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元认知</w:t>
            </w:r>
          </w:p>
        </w:tc>
        <w:tc>
          <w:tcPr>
            <w:tcW w:type="dxa" w:w="297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置信度与结果的对应、发现错误、决定何时求助</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自称谦逊</w:t>
            </w:r>
          </w:p>
        </w:tc>
        <w:tc>
          <w:tcPr>
            <w:tcW w:type="dxa" w:w="307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把保守表态当成校准</w:t>
            </w:r>
          </w:p>
        </w:tc>
      </w:tr>
      <w:tr>
        <w:trPr>
          <w:cantSplit w:val="off"/>
          <w:tblHeader w:val="off"/>
        </w:trPr>
        <w:tc>
          <w:tcPr>
            <w:tcW w:type="dxa" w:w="1173"/>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评价性判断</w:t>
            </w:r>
          </w:p>
        </w:tc>
        <w:tc>
          <w:tcPr>
            <w:tcW w:type="dxa" w:w="297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能指出的、可以核对的有效差异；隔期盲评的一致性；可核对案例上与校准过的解读者的一致</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能复述评论家的结论</w:t>
            </w:r>
          </w:p>
        </w:tc>
        <w:tc>
          <w:tcPr>
            <w:tcW w:type="dxa" w:w="307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把从众当成品味</w:t>
            </w:r>
          </w:p>
        </w:tc>
      </w:tr>
      <w:tr>
        <w:trPr>
          <w:cantSplit w:val="off"/>
          <w:tblHeader w:val="off"/>
        </w:trPr>
        <w:tc>
          <w:tcPr>
            <w:tcW w:type="dxa" w:w="1173"/>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人机联合能力</w:t>
            </w:r>
          </w:p>
        </w:tc>
        <w:tc>
          <w:tcPr>
            <w:tcW w:type="dxa" w:w="297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任务质量、核验与授权、工具失效时的应对</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有辅助时的产出量</w:t>
            </w:r>
          </w:p>
        </w:tc>
        <w:tc>
          <w:tcPr>
            <w:tcW w:type="dxa" w:w="307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把联合表现算作个人能力</w:t>
            </w:r>
          </w:p>
        </w:tc>
      </w:tr>
    </w:tbl>
    <w:p>
      <w:pPr>
        <w:spacing w:after="120" w:before="0"/>
      </w:pPr>
    </w:p>
    <w:p>
      <w:r>
        <w:t xml:space="preserve">测验本身也有质量问题。题目要覆盖目标内容，难度不能全部挤在一个狭窄区间，评分标准要明确，重复测验要考虑练习效应。语言表达困难可能掩盖概念理解，熟练猜选项可能抬高识别成绩，无辅助的考试可能与实际允许使用工具的任务不一致。</w:t>
      </w:r>
    </w:p>
    <w:p>
      <w:r>
        <w:t xml:space="preserve">评价也不宜只有一个总分。高风险错误单独设为失败条件，速度、准确率与成本分别记录。准确率提高了，但错误集中到了高损失的问题上，这未必是改善。速度提高了，但省略了核验，也不能叫效率提高。</w:t>
      </w:r>
    </w:p>
    <w:p>
      <w:r>
        <w:t xml:space="preserve">文学、音乐、艺术与兴趣学习也可以检验，检验两件事：是否看出了该领域公认重要的差异；判断是否稳定。第十四章给出具体做法。</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为你当前最重要的一项学习写一张目标卡，回答上面七个问题，并给三层目标各写一条验收方式。模板见附录一。</w:t>
      </w:r>
    </w:p>
    <w:p>
      <w:pPr>
        <w:pStyle w:val="Heading1"/>
        <w:pageBreakBefore/>
      </w:pPr>
      <w:r>
        <w:t xml:space="preserve">第一部　标准与入口</w:t>
      </w:r>
    </w:p>
    <w:p>
      <w:pPr>
        <w:spacing w:after="200" w:before="60" w:line="320"/>
        <w:ind w:left="1260" w:right="420" w:firstLine="0"/>
      </w:pPr>
      <w:r>
        <w:rPr>
          <w:rFonts w:ascii="Times New Roman" w:cs="Times New Roman" w:eastAsia="楷体" w:hAnsi="Times New Roman"/>
          <w:color w:val="404040"/>
        </w:rPr>
        <w:t xml:space="preserve">知之为知之，不知为不知，是知也。——《论语·为政》</w:t>
      </w:r>
    </w:p>
    <w:p>
      <w:r>
        <w:t xml:space="preserve">加工开始之前，系统要先回答三个问题：什么才算真正理解；我现有的信念是被什么力量固定下来的；什么内容配进入大脑。这一部先立验收标准，再审信念来源，最后立入口标准。没有验收标准的入口筛选，容易变成只按个人偏好选材；没有信念审计的标准，会把“我喜欢相信的”当成“我有理由相信的”。这个次序是默认路径，目标、共同体或一次失败的任务，都可能先把人带进学习。</w:t>
      </w:r>
    </w:p>
    <w:p>
      <w:pPr>
        <w:pStyle w:val="Heading2"/>
      </w:pPr>
      <w:r>
        <w:t xml:space="preserve">一　理解的五个质量维度</w:t>
      </w:r>
    </w:p>
    <w:p>
      <w:r>
        <w:t xml:space="preserve">公元一世纪，塞涅卡在给卢基里乌斯的第三十三封信里写道：记得，是看守别人托付给记忆的东西；知道，则是把每样东西变成自己的，不依赖范本，不必频频回头看老师。一个人说“我知道”，常常只是见过、听过、记得大概、说得出几个名词，或者在某个圈子里熟练使用那一套语言。这些大多停留在塞涅卡说的“看守”。熟练复述在很多任务里本身就是所需能力的一部分。</w:t>
      </w:r>
    </w:p>
    <w:p>
      <w:r>
        <w:t xml:space="preserve">理解的质量可以从五个维度衡量</w:t>
      </w:r>
      <w:r>
        <w:rPr>
          <w:color w:val="4F6478"/>
        </w:rPr>
        <w:t xml:space="preserve">〔C〕</w:t>
      </w:r>
      <w:r>
        <w:t xml:space="preserve">。它们用来评估对概念、解释与模型的理解；记住一个孤立的事实，例如自己的出生日期，用不上它们。一个局部错误的模型也可能压缩得好、预测得准，所以五个维度要合起来看。</w:t>
      </w:r>
    </w:p>
    <w:p>
      <w:r>
        <w:t xml:space="preserve">真值追踪。信念因可靠的证据而形成，并随真实状态变化。这里分三层：命题是否为真；形成过程是否可靠；你能否说明自己凭什么相信。一个碰巧为真、却由错误机制固定下来的信念，下一次会用同一个机制固定一个错误。</w:t>
      </w:r>
    </w:p>
    <w:p>
      <w:r>
        <w:t xml:space="preserve">解释性压缩。用较少的原则组织较多的事实，同时保留关键差异。算法信息论与最小描述长度原则把解释、模型选择与压缩联系在一起，但严格的形式要求同时编码模型本身与模型没有解释掉的残差，只追求最短的描述，会把欠拟合当成理解。压缩也推不出因果或真理，一个高度压缩的描述可以完全停留在现象层面。所以本文把压缩列为理解的维度之一，它要与其他维度一起使用。</w:t>
      </w:r>
    </w:p>
    <w:p>
      <w:r>
        <w:t xml:space="preserve">压缩原则不意味着记忆具体事实是低级的。词汇、公式、病例特征、法律条文、历史时间线和基本运算事实，常常就是推理的原材料。领域先验知识越多，学习后的知识水平通常越高</w:t>
      </w:r>
      <w:r>
        <w:rPr>
          <w:color w:val="4F6478"/>
        </w:rPr>
        <w:t xml:space="preserve">〔E4〕</w:t>
      </w:r>
      <w:r>
        <w:t xml:space="preserve">（第四章）；知识组织得好是否额外有益，目前只有间接线索</w:t>
      </w:r>
      <w:r>
        <w:rPr>
          <w:color w:val="4F6478"/>
        </w:rPr>
        <w:t xml:space="preserve">〔C〕</w:t>
      </w:r>
      <w:r>
        <w:t xml:space="preserve">。一种常见机制解释是：组织良好的知识以组块的形式被调用，减轻工作记忆的负担</w:t>
      </w:r>
      <w:r>
        <w:rPr>
          <w:color w:val="4F6478"/>
        </w:rPr>
        <w:t xml:space="preserve">〔机制提案〕</w:t>
      </w:r>
      <w:r>
        <w:t xml:space="preserve">，其中组块化这一环有直接实验支持（第四章、第九章）。无结构的逐项记忆迁移效率低，因为它缺少关系、条件与调用练习。</w:t>
      </w:r>
    </w:p>
    <w:p>
      <w:r>
        <w:t xml:space="preserve">预测与反事实敏感性。对经验性的解释要追问：它排除了哪些可能，现有证据为什么更支持它，什么观察会削弱它。皮尔士的实用主义准则说，一个概念的意义，很大程度上在于它所蕴含的可设想的实践后果。这条标准有适用范围：历史解释受现存证据约束，数学证明通过形式关系检查，事实性知识依靠可靠来源，它们不必都转化成对未来的预测才有认知价值。</w:t>
      </w:r>
    </w:p>
    <w:p>
      <w:r>
        <w:t xml:space="preserve">迁移。在一个情境里理解的结构，能在换了外表的另一个情境里被认出来，这是第八章的主题。局部、不迁移的知识也可以有价值；需不需要迁移，由目标决定。</w:t>
      </w:r>
    </w:p>
    <w:p>
      <w:r>
        <w:t xml:space="preserve">范围与校准。能说出结论适用于哪里、可能在哪里失效、当前有多确定、什么证据会推动修订。一个说不出自身失效条件的信念，在认识论上处于很弱的位置。多伊奇补充过一个判据：好的解释难以变动，每个细节都受现象约束，改动一处就解释不了原来要解释的东西；坏的解释可以随意改写，所以什么都能解释，也什么都约束不了。</w:t>
      </w:r>
    </w:p>
    <w:p>
      <w:r>
        <w:t xml:space="preserve">五个维度的权重随任务变化。学习的目标由此变得具体：建立一个更能追踪真相、压缩更好、预测更准、更能迁移、也更清楚自己边界的内部模型。这个模型永远带着误差；一项显著性很高的研究，也只说明在既定的设计与样本下出现了某种结果。</w:t>
      </w:r>
    </w:p>
    <w:p>
      <w:r>
        <w:t xml:space="preserve">因果理解尤其重要。知道两个变量经常一起出现，只是第一步。对因果问题，真正知道意味着还能回答：如果我改变其中一个，会发生什么；这种关系在什么条件下失效；为什么同样的做法对不同的人效果不同。还要说清识别这些关系需要哪些假设。第十二章会搭完这架从相关到干预、再到反事实的梯子。很多经验主义给人“懂得多”的印象，却在复杂世界里频频失灵。经验记录某件事曾经怎样发生；因果模型说明它为什么发生、什么时候不再发生。</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挑一个你自认为懂的主题，写下三样东西：它排除了什么；它在什么条件下失效；你对它有几成把握。写不出来的那一项，就是下一步要学的内容。</w:t>
      </w:r>
    </w:p>
    <w:p>
      <w:pPr>
        <w:pStyle w:val="Heading2"/>
      </w:pPr>
      <w:r>
        <w:t xml:space="preserve">二　信念如何被固定：皮尔士的四种方法</w:t>
      </w:r>
    </w:p>
    <w:p>
      <w:r>
        <w:t xml:space="preserve">立完标准，下一个问题是：你现在的信念，当初是被什么力量固定下来的？1877 年，皮尔士在《信念的固定》里给出一个至今好用的分类。皮尔士的出发点是：怀疑令人不安，信念平息这种不安，平息的方法决定了信念的品质。把全部认知活动归结为解除不适，是皮尔士那篇文章未经心理学检验的前提。</w:t>
      </w:r>
    </w:p>
    <w:p>
      <w:r>
        <w:t xml:space="preserve">皮尔士列出四种方法。固执法：抓住已有的信念，系统地回避可能动摇它的东西，少看反方材料，多与同道来往，把不适感当作立场坚定的证明。权威法：让某个机构、师门或共同体替你固定信念，质疑等于背叛。先验法：接受那些“听起来合乎理性”的东西，体系优雅、自洽、与心性相契的学说，因为令人愉悦的融贯而被采信。科学法：让一个不受任何人意见左右的外部实在作最终裁决，设计观察与实验，让它们有机会推翻你的信念。</w:t>
      </w:r>
    </w:p>
    <w:p>
      <w:r>
        <w:t xml:space="preserve">前三种方法的共同缺陷是自我稳定：系统内部没有让信念被现实纠正的机制。固执法靠回避维持，权威法靠服从维持，先验法靠美感维持，三者都容易把“这个信念让我舒服”当成“这个信念为真”。即使它们碰巧得出正确结论，这种正确也很脆弱，因为固定信念的机制与真假无关。</w:t>
      </w:r>
    </w:p>
    <w:p>
      <w:r>
        <w:t xml:space="preserve">这个分类要松动一处。现实中的科学同样离不开权威、证言、制度与信任：没有人能亲自重复疫苗试验、测量地球曲率或验证粒子物理的结果，科学共同体依靠同行评议、分工、设备校准与机构声誉运转。所以要区分的是两种依赖。身份型权威：因为某人地位高、属于我方、受我敬重，这个人的结论就被豁免检查。可审计的专业依赖：依据专长记录、方法透明度、利益冲突披露、同行纠错、独立重复与预测表现，暂时给予较高的权重，并保留撤回这份权重的程序。成熟的认识论要把依赖变成可追踪、可比较、可撤回的信任关系，第十五章把这件事写成一份清单。</w:t>
      </w:r>
    </w:p>
    <w:p>
      <w:r>
        <w:t xml:space="preserve">放到今天的信息环境里，这个分类引出三个值得检查的问题：我的信息入口是否在系统地回避反例；身份认同是否在替代证据评估；解释的优雅是否在替代可检验性。三种机制都会让人觉得自己在学习，因为信念确实在固定；危险在于，固定信念的力量来自舒适，信念从未接受反例的检验。</w:t>
      </w:r>
    </w:p>
    <w:p>
      <w:r>
        <w:t xml:space="preserve">公元前五世纪，卡拉玛人问佛陀：各路宗师都说自己对、别人错，我们该信谁？《卡拉玛经》记载的回答列出一份不足以作为采信理由的清单：口耳相传、世代传统、经典记载、纯粹推理、表面合理、与己见相符、说者可敬、“这是我的老师”。经文的语境是宗教伦理，这份清单与现代批判性认识论只有局部的相似。</w:t>
      </w:r>
    </w:p>
    <w:p>
      <w:r>
        <w:t xml:space="preserve">对学习者，这一章落到一个审计动作：对每个重要信念，问它当初是被哪种方法固定的。被前三种方法固定的信念，即使碰巧为真，也值得按第四种方法再过一遍：它有什么可检验的后果，什么观察会推翻它，我有没有让这样的观察有机会出现。核验成本按信念的价值与风险分配；对大量低风险的信念，合理的证言依赖就是正确的资源配置。</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选出你最重要的三个信念，分别写下它们是被哪种方法固定的；再为其中最重要的一个写出一条会推翻它的观察。</w:t>
      </w:r>
    </w:p>
    <w:p>
      <w:pPr>
        <w:pStyle w:val="Heading2"/>
      </w:pPr>
      <w:r>
        <w:t xml:space="preserve">三　入口与拒绝：信噪比、衰减速度与内化决策</w:t>
      </w:r>
    </w:p>
    <w:p>
      <w:r>
        <w:t xml:space="preserve">信息匮乏的时代，学习的核心问题是去哪里找知识；信息泛滥的时代，核心问题变成什么东西不该进入大脑。塞涅卡在第二封信里已经写下“书籍的繁多使人涣散”，劝卢基里乌斯与少数经过检验的作者长久相处。过载的结构远早于过载的技术。西蒙在 1971 年给出了机制：注意力是稀缺资源，信息越多，分到每条信息上的注意力越少。</w:t>
      </w:r>
    </w:p>
    <w:p>
      <w:r>
        <w:t xml:space="preserve">当代入口还有一层古人没有的结构：默认信息流经过了目标可能与你不一致的优化。推送内容的系统，目标常常是停留时长与互动率，这与你的模型质量没有必然联系；各平台的目标并不相同，影响有多大，需要针对具体平台的证据。入口纪律首先关乎安全。很多人长期觉得学了很多、进步很慢，原因常常很朴素：入口长年向低信噪比的内容敞开，兴奋、参与感和熟悉感来得很多，结构、判断标准与可迁移的模型因此积累得很少。</w:t>
      </w:r>
    </w:p>
    <w:p>
      <w:r>
        <w:t xml:space="preserve">选材标准直接来自第一章：这东西几个月后是否仍值得占用内部空间；它能否帮你理解更多现象；它能否进入你的判断、表达、工作或创作。不同用途用不同标准：服务近期任务的材料看直接可用性，构建长期知识的材料看生成性与稳定性，探索性材料允许暂时看不出用处。</w:t>
      </w:r>
    </w:p>
    <w:p>
      <w:r>
        <w:t xml:space="preserve">本章的核心问题是：什么该内化，什么该放在外部随用随查。各领域知识的衰减速度并不整齐。数学定理稳定，符号体系、研究前沿与软件工具却会变；生物医学的机制知识会因新的测量技术而重构；历史事实稳定，解释框架与证据权重会变；还有些高频、短寿命的知识值得内化，只因为实时查找的代价太高。</w:t>
      </w:r>
    </w:p>
    <w:p>
      <w:r>
        <w:t xml:space="preserve">所以本文把它写成一个多变量决策</w:t>
      </w:r>
      <w:r>
        <w:rPr>
          <w:color w:val="4F6478"/>
        </w:rPr>
        <w:t xml:space="preserve">〔C〕</w:t>
      </w:r>
      <w:r>
        <w:t xml:space="preserve">，至少综合五个变量：调用频率；调用延迟的代价；工具失效的后果；知识的生成性与迁移价值；更新速度。由此得到四条规则。高频、不容延迟、生成性高、变化慢、工具失效代价高的内容，优先内化。低频、要求精确、变化快、容易可靠检索的内容，优先放在外部。高频但变化快的内容，内化它的结构与判断标准，具体数值持续更新。低频但高风险的内容，建立核验程序与冗余来源。</w:t>
      </w:r>
    </w:p>
    <w:p>
      <w:r>
        <w:t xml:space="preserve">还要补三点，免得它被读成二选一的开关。第一，内化与外置可以组合：有些内容要熟练掌握，同时保留外部核验；有些只需掌握结构和检索路径；有些只需知道什么时候求助。第二，学习成本本身是一个变量：内化一项知识所需的练习量差别很大，同样的收益不值得付出任意高的代价。第三，高风险提高了冗余的价值：关键内容既要记住，也要有外部核验（第十六章）。便于记忆的说法是：变化慢、生成性高的知识值得“买入持有”，因为它持续产生回报；变化快、容易检索的知识“租用”就够了，知道去哪里查、查到后看得懂即可。做决定的仍然是那五个变量。</w:t>
      </w:r>
    </w:p>
    <w:p>
      <w:r>
        <w:t xml:space="preserve">检验方式：让两组学习者分配同样的学习时间，一组按五变量决策分配内化与索引，另一组按“结构内化、细节索引”这条单一规则分配，然后在限时任务与工具失效两种条件下比较完成率与错误率。如果两种条件下两组表现相当，五变量决策就没有带来额外价值，应当退回更简单的规则（附录二）。</w:t>
      </w:r>
    </w:p>
    <w:p>
      <w:r>
        <w:t xml:space="preserve">林迪效应说，思想这类东西已经存活的时间，可能包含关于剩余寿命的信息。判断真实性要另找证据：经典地位同时受制度、教育传统与传播力的影响，时间的筛选既留下真理，也留下传播力强的错误，占星术存活的时间比微积分长得多。</w:t>
      </w:r>
    </w:p>
    <w:p>
      <w:r>
        <w:t xml:space="preserve">对终身学习者，这一切意味着一种不讨喜的纪律：主动错过。错过大部分热点，错过大部分情绪驱动的争论，错过大量不会提升模型质量的内容。这条纪律要与第十八章的探索预算配套：主线筛选可以严格，探索通道用另一套更宽阈值，否则拒绝本身会变成新的封闭。</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列出你最常用的五个信息入口，给每个写下两件事：它的排序目标是什么；过去一个月里，从它进入、后来真正用上的内容有几条。</w:t>
      </w:r>
    </w:p>
    <w:p>
      <w:pPr>
        <w:pStyle w:val="Heading1"/>
        <w:pageBreakBefore/>
      </w:pPr>
      <w:r>
        <w:t xml:space="preserve">第二部　模型的成形</w:t>
      </w:r>
    </w:p>
    <w:p>
      <w:pPr>
        <w:spacing w:after="200" w:before="60" w:line="320"/>
        <w:ind w:left="1260" w:right="420" w:firstLine="0"/>
      </w:pPr>
      <w:r>
        <w:rPr>
          <w:rFonts w:ascii="Times New Roman" w:cs="Times New Roman" w:eastAsia="楷体" w:hAnsi="Times New Roman"/>
          <w:color w:val="404040"/>
        </w:rPr>
        <w:t xml:space="preserve">无内容的思想是空的，无概念的直观是盲的。——康德《纯粹理性批判》</w:t>
      </w:r>
    </w:p>
    <w:p>
      <w:r>
        <w:t xml:space="preserve">材料通过入口之后，发生的事远比“记住”复杂：新信息常常要挂在已有结构上才能成形，已有结构既带来理解的速度，也带来偏差。这一部先看图式怎样造就专家，再看错误的图式怎样使人难以更新。本部的“模型”主要指图式与因果模型。有些学习无须先有概念骨架，知觉学习、统计学习与大量程序性学习，可以在结构被言明之前发生。</w:t>
      </w:r>
    </w:p>
    <w:p>
      <w:pPr>
        <w:pStyle w:val="Heading2"/>
      </w:pPr>
      <w:r>
        <w:t xml:space="preserve">四　图式：从康德到棋手的眼睛</w:t>
      </w:r>
    </w:p>
    <w:p>
      <w:r>
        <w:t xml:space="preserve">如果只能从学习科学里挑一个组织力最强的概念，本文选图式，这是作者的取舍。图式有一条清楚的思想谱系，谱系上的概念同名，定义与测量各不相同。</w:t>
      </w:r>
    </w:p>
    <w:p>
      <w:r>
        <w:t xml:space="preserve">起点在康德。1781 年的《纯粹理性批判》用“图式”称呼连接抽象概念与具体直观的中介程序，这是先验哲学中的一个功能。1932 年，巴特利特把同名的概念带进实验室：让英国被试复述一则陌生文化的民间故事《鬼魂之战》，发现记忆的改变大体朝同一个方向。陌生的细节被删去，异质的逻辑被改写成被试熟悉的因果，整个故事逐渐被拉向英国人的叙事习惯。结论是：记忆带有明显的重建性质</w:t>
      </w:r>
      <w:r>
        <w:rPr>
          <w:color w:val="4F6478"/>
        </w:rPr>
        <w:t xml:space="preserve">〔E4〕</w:t>
      </w:r>
      <w:r>
        <w:t xml:space="preserve">。回忆会受已有知识、解释习惯与提取线索的影响，有些细节被保留，有些被省略、重组或补充；影响的程度随材料、任务与测量条件变化很大，不存在一个固定的比例。</w:t>
      </w:r>
    </w:p>
    <w:p>
      <w:r>
        <w:t xml:space="preserve">皮亚杰给模型更新的两个动作起了名字：同化，把新经验纳入旧结构；顺应，为装不下的新经验改造旧结构。库恩在 1962 年把类似的一对动作放大到科学共同体：常规科学接近集体的同化，范式革命接近集体的顺应。用贝叶斯的语言说，参数更新是在模型内部调整权重，模型修订是更换结构本身。两者的难度没有固定的排序，有些参数更新需要大量数据，有些结构替换只需一次决定性的反例。可以确定的是，认识性学习里真正棘手的情形，常常涉及结构本身。</w:t>
      </w:r>
    </w:p>
    <w:p>
      <w:r>
        <w:t xml:space="preserve">把专家与新手的差别区分得最清楚的，是国际象棋研究。德赫罗特在 1946 年发现，大师对真实棋局的记忆与理解远超新手；蔡斯与西蒙在 1973 年补上了关键的对照：棋子随机摆放时，大师的优势大幅缩小</w:t>
      </w:r>
      <w:r>
        <w:rPr>
          <w:color w:val="4F6478"/>
        </w:rPr>
        <w:t xml:space="preserve">〔E4〕</w:t>
      </w:r>
      <w:r>
        <w:t xml:space="preserve">。大师识别的组块，是几枚棋子组成的常见构型；后来的模板理论表明，专家还调用能快速填入细节的更大结构。专家优势，很大程度上来自提前把复杂度压缩好了。随机局面下大师通常仍有小幅优势，组块化也没有排除一般认知能力、训练机会与选择效应的作用。同样的机制存在于所有严肃领域：有经验的临床医生看病例，看到症状怎样合拢成几个机制假设；训练有素的研究者看论文，会立刻追问样本、设计、测量、识别策略与替代解释。图式改变的，是你最初看到世界的方式。</w:t>
      </w:r>
    </w:p>
    <w:p>
      <w:pPr>
        <w:pStyle w:val="Heading3"/>
      </w:pPr>
      <w:r>
        <w:t xml:space="preserve">先验知识：三个必须分开的数字</w:t>
      </w:r>
    </w:p>
    <w:p>
      <w:r>
        <w:t xml:space="preserve">近年一项大规模元分析，给出了先验知识作用的较精确估计，读的时候要把三个数字分开。西蒙斯迈尔等人的综合研究覆盖 493 篇研究报告、126,050 名参与者、8,776 个效应量。这是整个数据库的规模，下面每个结果各有自己的分母。</w:t>
      </w:r>
    </w:p>
    <w:p>
      <w:r>
        <w:t xml:space="preserve">第一，先验知识与学习后的知识水平明显正相关，r 约为 0.53，来自 476 项研究、7,772 个效应量</w:t>
      </w:r>
      <w:r>
        <w:rPr>
          <w:color w:val="4F6478"/>
        </w:rPr>
        <w:t xml:space="preserve">〔E4〕</w:t>
      </w:r>
      <w:r>
        <w:t xml:space="preserve">。</w:t>
      </w:r>
    </w:p>
    <w:p>
      <w:r>
        <w:t xml:space="preserve">第二，先验知识与“归一化知识增益”的平均相关接近零，r 约为 −0.06，95% 置信区间约为 [−0.15, 0.03]；预测区间很宽，约从 −0.69 到 0.62。这个估计来自 69 项研究、697 个效应量，证据集合明显更小，也不含随机对照研究</w:t>
      </w:r>
      <w:r>
        <w:rPr>
          <w:color w:val="4F6478"/>
        </w:rPr>
        <w:t xml:space="preserve">〔E3〕</w:t>
      </w:r>
      <w:r>
        <w:t xml:space="preserve">。</w:t>
      </w:r>
    </w:p>
    <w:p>
      <w:r>
        <w:t xml:space="preserve">第三点关系到怎样解释，比前两个数字更重要。归一化增益的定义是：</w:t>
      </w:r>
    </w:p>
    <w:p>
      <w:pPr>
        <w:spacing w:after="120" w:before="120" w:line="360"/>
        <w:ind w:firstLine="0"/>
        <w:jc w:val="center"/>
      </w:pPr>
      <w:r>
        <w:t xml:space="preserve">归一化增益 =（后测分数 − 前测分数）÷（量尺上限 − 前测分数）</w:t>
      </w:r>
    </w:p>
    <w:p>
      <w:r>
        <w:t xml:space="preserve">分母是剩余的可提高空间，公式里没有时间。这组结果的含义是：按剩余空间调整之后，起点水平与分数变化之间的平均关系接近零，研究之间的差异很大。要回答“知道得多的人是否学得快”，需要带时间单位的指标。</w:t>
      </w:r>
    </w:p>
    <w:p>
      <w:r>
        <w:t xml:space="preserve">宽的预测区间说明，平均数遮住了强烈的条件差异。这项元分析报告了其中一个来源：在认知要求低的教学中，起点低的学习者增长更多，呈补偿效应（r 约 −0.18）；在认知要求高的教学中，起点高的学习者增长更多，呈马太效应（r 约 0.13）</w:t>
      </w:r>
      <w:r>
        <w:rPr>
          <w:color w:val="4F6478"/>
        </w:rPr>
        <w:t xml:space="preserve">〔E3〕</w:t>
      </w:r>
      <w:r>
        <w:t xml:space="preserve">。知识的组织质量、准确性与任务匹配程度，是另外几个可能的调节变量，专长反转效应（第七章）与定势效应（第十八章）为这个方向提供了独立的线索</w:t>
      </w:r>
      <w:r>
        <w:rPr>
          <w:color w:val="4F6478"/>
        </w:rPr>
        <w:t xml:space="preserve">〔C〕</w:t>
      </w:r>
      <w:r>
        <w:t xml:space="preserve">。宽的预测区间里，有多少来自真实的调节效应，有多少来自天花板效应或指标本身的性质，目前还不清楚。能确定的只有：知识数量、结构、匹配与学习速率是四个不同的量，需要分别测量。</w:t>
      </w:r>
    </w:p>
    <w:p>
      <w:pPr>
        <w:pStyle w:val="Heading3"/>
      </w:pPr>
      <w:r>
        <w:t xml:space="preserve">预测加工</w:t>
      </w:r>
    </w:p>
    <w:p>
      <w:r>
        <w:t xml:space="preserve">当代认知科学为图式提供了一个更一般的框架：预测加工。按照这个框架，大脑持续用内部模型预测感官输入，知觉是预测与输入的比对，学习由预测误差驱动；先验决定什么会让你意外，意外推动更新</w:t>
      </w:r>
      <w:r>
        <w:rPr>
          <w:color w:val="4F6478"/>
        </w:rPr>
        <w:t xml:space="preserve">〔研究纲领〕</w:t>
      </w:r>
      <w:r>
        <w:t xml:space="preserve">。其中一些具体模型有较强的实验支持。预测加工、预测编码、主动推断与贝叶斯脑并不完全同义，各个版本的经验承诺与可检验性不同。它的解释范围很广，这一点恰恰需要警惕：一个声称什么都能解释的框架，必须能说出自己在哪里失效，才值得长期信任。</w:t>
      </w:r>
    </w:p>
    <w:p>
      <w:pPr>
        <w:pStyle w:val="Heading3"/>
      </w:pPr>
      <w:r>
        <w:t xml:space="preserve">为什么入门期特别难</w:t>
      </w:r>
    </w:p>
    <w:p>
      <w:r>
        <w:t xml:space="preserve">“温故而知新，可以为师矣。”重访旧知能生出新知，在图式的知识观里顺理成章：成熟的结构每吸纳一次新经验，都可能重组出此前没有的连接。这也部分解释了为什么认识性学习常常要熬过一个产出很低的前期。进入新领域的初期，读得慢，忘得快，理解连不成块，几乎每一步都让人怀疑自己不适合。这个阶段的长短因领域、先验与教学质量而异，没有普遍适用的时间窗。许多人在这里放弃，或者把它误当成能力的上限。一个常见解释是图式尚未形成：结构出现之前，每个复杂材料都要靠费力的受控注意逐一处理；结构出现之后，理解提速，记忆成块，迁移开始发生</w:t>
      </w:r>
      <w:r>
        <w:rPr>
          <w:color w:val="4F6478"/>
        </w:rPr>
        <w:t xml:space="preserve">〔机制提案〕</w:t>
      </w:r>
      <w:r>
        <w:t xml:space="preserve">。</w:t>
      </w:r>
    </w:p>
    <w:p>
      <w:r>
        <w:t xml:space="preserve">所以进入新领域，通常值得先投入骨架：核心概念、关键区分、基础词汇、代表性问题、经典范例、最常见的错误。先画出这个领域的地形图，再往里加细节。从样例入手、从词汇入手、从一个真实任务倒推，都是可行的入门路径，分别适合不同的材料与目标。这种做法早期反馈不刺激，它的回报要等结构形成之后才显现</w:t>
      </w:r>
      <w:r>
        <w:rPr>
          <w:color w:val="4F6478"/>
        </w:rPr>
        <w:t xml:space="preserve">〔C〕</w:t>
      </w:r>
      <w:r>
        <w:t xml:space="preserve">，检验方式见附录二。</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进入一个新领域的第一周，做一张一页纸的领域地图：十个核心概念、五个关键区分、三个代表性问题、三个最常见的错误。然后请一位内行指出它错在哪里。</w:t>
      </w:r>
    </w:p>
    <w:p>
      <w:pPr>
        <w:pStyle w:val="Heading2"/>
      </w:pPr>
      <w:r>
        <w:t xml:space="preserve">五　错误模型的黏性：培根的偶像与信念之网</w:t>
      </w:r>
    </w:p>
    <w:p>
      <w:r>
        <w:t xml:space="preserve">比无知更难处理的，是带着错误结构的“知道”。一个明确的错误有时比一片空白更容易诊断，因为它至少作出了可以检验的预测；真正棘手的，是既错误又难以证伪的结构。</w:t>
      </w:r>
    </w:p>
    <w:p>
      <w:r>
        <w:t xml:space="preserve">1620 年，培根在《新工具》里对扭曲认识的力量作了最早的系统分类之一，称为四种偶像。种族偶像：植根于人性本身的偏差，比如在随机中看出秩序，偏爱确认性的证据，高估生动的个例。洞穴偶像：来自个人经历、教育与气质的私人扭曲。市场偶像：语言对思想的误导，词语切分世界的方式一旦粗糙，思考就会在错误的地方用力。剧场偶像：成套接受的学说体系，遮住了真实的世界。四百年后的认知偏差研究与这四类偶像有不少呼应。</w:t>
      </w:r>
    </w:p>
    <w:p>
      <w:r>
        <w:t xml:space="preserve">沃森 1960 年的 2-4-6 任务，常被说成确认偏误的第一次实验室展示，这一步跨得太快。任务确实显示，被试倾向于提出符合自己当前假设的例子，很少主动构造可能推翻假设的例子。后来 Klayman 与 Ha 在 1987 年区分了两件事：确认偏误是朝向自身信念的系统性偏向；正向检验策略是选择当前假设预测为真的案例来检验，它在很多环境里是有效启发式，表现好坏取决于假设空间、事件的稀疏程度与任务结构。准确说法是：沃森任务展示了假设检验中的正向检验倾向，在这个任务的结构里，这种倾向妨碍了规则的发现</w:t>
      </w:r>
      <w:r>
        <w:rPr>
          <w:color w:val="4F6478"/>
        </w:rPr>
        <w:t xml:space="preserve">〔E3〕</w:t>
      </w:r>
      <w:r>
        <w:t xml:space="preserve">。</w:t>
      </w:r>
    </w:p>
    <w:p>
      <w:r>
        <w:t xml:space="preserve">错误模型为什么难改？奎因的信念之网给出了结构性的说明。信念成网存在：边缘是具体经验命题，修改代价小；核心是与身份、生计、共同体归属和多年自我叙事相关联的结构，修改代价大。反例出现时，系统在逻辑上总有两个选择：修改核心，或者调整外围的辅助假设来吸收冲击。</w:t>
      </w:r>
    </w:p>
    <w:p>
      <w:r>
        <w:t xml:space="preserve">这里容易把逻辑结论当成心理结论。奎因论证的是逻辑上的整体论：经验检验的对象是整个理论体系，任何单一命题原则上都可以通过调整别处而保留。这条逻辑命题没有识别任何心理防御机制。修改辅助假设有时完全合理，科学史上的大量进展就是这样发生的。判断的标准是：新增的解释有没有独立依据，有没有产生新的可检查后果，是否让整体解释更贴合证据。仅凭某人没有放弃核心信念，不能断定这个人在防御身份。</w:t>
      </w:r>
    </w:p>
    <w:p>
      <w:r>
        <w:t xml:space="preserve">在这些条件之外，拆除错误模型还要求承认损失。承认自己曾经依赖、维护、甚至用来定义身份的东西并不可靠，心理代价很高。很多人抗拒学习，因为学习要求他们先承认过去的投入有一部分作废。拒绝承认的人，容易把新概念套进旧偏见，学习最后变成观点的修饰。</w:t>
      </w:r>
    </w:p>
    <w:p>
      <w:r>
        <w:t xml:space="preserve">错误模型还可能主动制造信心，信心又使人忽视反馈。Esponda 等人 2024 年发表于《美国经济评论》的研究以基率忽视为对象，发现人们反复收到反馈之后，仍可能长期停留在次优判断上；实验证据指向的机制是：错误心理模型带来过度自信，过度自信妨碍从反馈中学习</w:t>
      </w:r>
      <w:r>
        <w:rPr>
          <w:color w:val="4F6478"/>
        </w:rPr>
        <w:t xml:space="preserve">〔E2〕</w:t>
      </w:r>
      <w:r>
        <w:t xml:space="preserve">。这条“错误模型—过度自信—反馈失效”的链条值得单独命名，第十三章讨论怎样松动它。它只能解释“经历很多却判断不准”的一部分；反馈延迟、结果噪声、激励冲突、选择性记忆、样本选择与环境变化，也各自成立。</w:t>
      </w:r>
    </w:p>
    <w:p>
      <w:r>
        <w:t xml:space="preserve">经历要成为老师，前提是你能从中抽出正确的结构；否则一个人可以在错误框架里生活几十年，把同样的偏差重复成“经验丰富”。经验增加时，信心可能上升，判断准确度却可能不变（第六章讨论这取决于学习环境）。</w:t>
      </w:r>
    </w:p>
    <w:p>
      <w:r>
        <w:t xml:space="preserve">所以图式重要，但要补一句：先验知识的价值，取决于它是否组织良好、能否被更新、是否接纳反例。一个僵硬的图式体系可能比图式贫乏更危险：它在表面上效率很高，同时使人越来越难以更新。</w:t>
      </w:r>
    </w:p>
    <w:p>
      <w:r>
        <w:t xml:space="preserve">对付这种顽固的第一件工具，是把预测写下来。预测暴露你实际相信的结构。记录本身不会自动带来修正，它需要四个条件：事件能够裁决；反馈携带信息；评分规则事先固定并保持稳定；结果出来以后，区分偶然的失败、模型的错误与环境变化。在缺少可靠反馈的领域，单靠个人的预测记录不够，需要增加其他证据来源，第十四章讨论其中最难的一类。</w:t>
      </w:r>
    </w:p>
    <w:p>
      <w:pPr>
        <w:pStyle w:val="Heading3"/>
      </w:pPr>
      <w:r>
        <w:t xml:space="preserve">修复错误的流程</w:t>
      </w:r>
    </w:p>
    <w:p>
      <w:r>
        <w:t xml:space="preserve">改掉一个错误模型，需要一个可以执行的流程。下面以一种常见错误推理为例：两个变量相关，所以改变前者就会改变后者。</w:t>
      </w:r>
    </w:p>
    <w:p>
      <w:r>
        <w:t xml:space="preserve">第一步，把原有的推理完整写出来，包括它依赖的观察。第二步，提出竞争解释：共同原因、反向因果、选择偏差、测量伪影。第三步，设计能区分这些解释的观察：什么数据会让共同原因的解释站不住，什么数据会让反向因果站不住。第四步，写明哪些假设当前的数据无法验证，作为遗留的不确定性记下来。</w:t>
      </w:r>
    </w:p>
    <w:p>
      <w:r>
        <w:t xml:space="preserve">修复还需要一个有依据的替代解释：它说明旧模型为什么曾经看起来有道理，哪些新信息改变了判断，旧规则是否还能在受限的范围内使用。只被告知“你错了”的人，在压力下往往退回原来的答案。替代解释还没有形成时，也可以先撤回已被反例推翻的规则，明确保留未知；等到拿到完整的新模型再纠错，就意味着在此之前继续使用旧的错误模型。</w:t>
      </w:r>
    </w:p>
    <w:p>
      <w:r>
        <w:t xml:space="preserve">然后安排延迟检查与新情境检查。讲解之后立刻说出新答案，可能只是短时复述。真正的验收是：在不提示这个错误的情境下，能否认出触发条件，能否说明为什么不能套用旧规则，能否选择合适的行动。</w:t>
      </w:r>
    </w:p>
    <w:p>
      <w:r>
        <w:t xml:space="preserve">最后记录纠错失败发生在哪一层：没有看到证据；不信来源；没有理解新模型；记不住适用条件；现实激励仍在奖励旧行动；或者测验本身有问题。不同原因对应完全不同的处理，“固执”这类人格标签替代不了诊断。</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把一个你最近改变过看法的问题写成一份修复记录：旧的推理、竞争解释、能区分它们的观察、仍然不确定的部分。</w:t>
      </w:r>
    </w:p>
    <w:p>
      <w:pPr>
        <w:pStyle w:val="Heading1"/>
        <w:pageBreakBefore/>
      </w:pPr>
      <w:r>
        <w:t xml:space="preserve">第三部　加工的杠杆</w:t>
      </w:r>
    </w:p>
    <w:p>
      <w:pPr>
        <w:spacing w:after="200" w:before="60" w:line="320"/>
        <w:ind w:left="1260" w:right="420" w:firstLine="0"/>
      </w:pPr>
      <w:r>
        <w:rPr>
          <w:rFonts w:ascii="Times New Roman" w:cs="Times New Roman" w:eastAsia="楷体" w:hAnsi="Times New Roman"/>
          <w:color w:val="404040"/>
        </w:rPr>
        <w:t xml:space="preserve">学而不思则罔，思而不学则殆。——《论语·为政》</w:t>
      </w:r>
    </w:p>
    <w:p>
      <w:r>
        <w:t xml:space="preserve">图式决定新知识有没有入口，加工方式决定你是在加固结构，还是在制造学会了的错觉。这一部回答三个递进的问题：哪些加工方式值得投入；困难在什么边界内才有价值；怎样让学到的东西在陌生情境里还能被认出来。下面讨论的几种策略，各有各的机制与有效条件。</w:t>
      </w:r>
    </w:p>
    <w:p>
      <w:pPr>
        <w:pStyle w:val="Heading2"/>
      </w:pPr>
      <w:r>
        <w:t xml:space="preserve">六　检索、间隔与生成：一条长期稳健的证据线</w:t>
      </w:r>
    </w:p>
    <w:p>
      <w:r>
        <w:t xml:space="preserve">关于学习方法，有一条横跨一百四十年、方向相当稳定的证据线。1885 年，艾宾浩斯以自己为被试，测出了遗忘曲线与间隔效应的早期数据；1890 年，詹姆斯在《心理学原理》里观察到主动背诵胜过反复阅读；1917 年，盖茨用系统实验发现，学习时间中尝试复述的比例越高，记忆成绩越好；2006 年，罗迪格与卡皮克的实验把“测验效应”带回了学习科学的中心；此后的元分析逐层加固。</w:t>
      </w:r>
    </w:p>
    <w:p>
      <w:r>
        <w:t xml:space="preserve">现代定量图景要把几个层级的数字分开。罗兰 2014 年汇总实验室研究，检索相对重读的平均效应 g 约为 0.50，95% 置信区间约为 [0.42, 0.58]，异质性明显。杨春亮等人 2021 年综合真实课堂中的研究，覆盖 222 项独立研究、约 48,478 名学生，总体效应 g 约为 0.50；其中以重读为对照的估计 g 约为 0.33，置信区间约为 [0.26, 0.40]；以其他精加工策略为对照的估计 g 约为 0.10，置信区间约为 [−0.01, 0.19]</w:t>
      </w:r>
      <w:r>
        <w:rPr>
          <w:color w:val="4F6478"/>
        </w:rPr>
        <w:t xml:space="preserve">〔E4，各自限于对应的对照条件〕</w:t>
      </w:r>
      <w:r>
        <w:t xml:space="preserve">。总体估计汇总了所有类型的对照条件，它高于这两个分组的估计，提示其余类型的对照条件下效应更大；那些对照条件具体是哪几类，本文没有核实。</w:t>
      </w:r>
    </w:p>
    <w:p>
      <w:r>
        <w:t xml:space="preserve">这几个数字来自不同的聚合层级，不能互相替换。课堂条件下，检索相对重读的平均优势是稳健的；对照换成概念图、自我解释、整理笔记这类精加工活动时，差异明显缩小，区间跨过了零。比较对象很重要。要判断各类精加工与检索是否等效、是否有共同机制，需要专门的比较研究；“生成性加工整体优于被动的重复接触”这条更宽主张，也需要它自己的证据。</w:t>
      </w:r>
    </w:p>
    <w:p>
      <w:r>
        <w:t xml:space="preserve">这条证据线内部也不平整：稳健效应里仍然有零效应、负效应、边界条件与发表偏倚。稳健意味着核心方向被多次复现，边界条件仍要逐项研究。测验形式、保持间隔与材料类型的具体结论，各自需要对应的分析来支持。</w:t>
      </w:r>
    </w:p>
    <w:p>
      <w:r>
        <w:t xml:space="preserve">在这些限定之下，检索仍然值得优先推荐；对成年人自学，这个推荐属于外推</w:t>
      </w:r>
      <w:r>
        <w:rPr>
          <w:color w:val="4F6478"/>
        </w:rPr>
        <w:t xml:space="preserve">〔E4·外推〕</w:t>
      </w:r>
      <w:r>
        <w:t xml:space="preserve">。理由很具体。它是研究最充分、执行成本最低的练习方式之一。它同时是一种诚实的自我检查：材料摆在眼前时，你分不清“会了”与“看到了”；合上书尝试重建，流畅性错觉当场暴露。它还直接训练很多任务需要的那条通路：考试、决策与对话调用知识的方式，就是无提示的提取。记忆也可能已经存储、却暂时提取不出来，识别、提示回忆与自由回忆测量的是不同可访问水平，测验本身又会改变之后的记忆状态。所以准确说法是：无提示提取是检验知识能否独立调用的严格标准；只有熟悉感，通常不足以证明知识可用。</w:t>
      </w:r>
    </w:p>
    <w:p>
      <w:r>
        <w:t xml:space="preserve">检索要与准确输入、必要讲解、及时纠错、合适提示和延迟验收配合。任务需要独立提取时，练习里要有撤除支持之后的尝试；任务允许使用可靠工具时，也要评价使用工具的准确性与效率。</w:t>
      </w:r>
    </w:p>
    <w:p>
      <w:r>
        <w:t xml:space="preserve">“学而时习之”的“习”，常被解作雏鸟反复试飞，指向按时的重新激活；朱熹读书法讲“熟读精思”；《学记》说“记问之学，不足以为人师”，把靠囤积问答来应对的记忆与理解分开。这些文本提出了同一个问题：为什么费力的重新激活，比顺畅的重读更接近“知道”。</w:t>
      </w:r>
    </w:p>
    <w:p>
      <w:pPr>
        <w:pStyle w:val="Heading3"/>
      </w:pPr>
      <w:r>
        <w:t xml:space="preserve">间隔</w:t>
      </w:r>
    </w:p>
    <w:p>
      <w:r>
        <w:t xml:space="preserve">间隔效应利用了一个反直觉的现象：适度困难的提取，常常比轻松的提取更能加固记忆。流传最广的“快要忘记时复习最好”，只能当作便于传播的启发式。间隔的起效机制也不止“提取困难”一条，编码变异、学习阶段的再提取与巩固过程都有各自的证据。最佳间隔取决于目标保持时间、材料难度、初始掌握程度、反馈条件以及你能接受的失败率。更稳的实践表述是：复习间隔应当让提取适度困难，同时保持足够的成功率与及时反馈；目标保持期越长，通常需要越长的间隔。</w:t>
      </w:r>
    </w:p>
    <w:p>
      <w:r>
        <w:t xml:space="preserve">集中突击的问题由此暴露：它常常带来较高的即时表现和较差的长期保持，而人会拿即时表现当作学习的证据。索德斯特罗姆与比约克把这个区分确立为原则：表现是练习当下可以观察到的成绩，学习是支撑长期保持与迁移的内在变化，两者经常背离</w:t>
      </w:r>
      <w:r>
        <w:rPr>
          <w:color w:val="4F6478"/>
        </w:rPr>
        <w:t xml:space="preserve">〔E4〕</w:t>
      </w:r>
      <w:r>
        <w:t xml:space="preserve">。对称的限定也要写上：短期表现好，并不意味着长期表现差，两者可能分离，也可能一致。</w:t>
      </w:r>
    </w:p>
    <w:p>
      <w:pPr>
        <w:pStyle w:val="Heading3"/>
      </w:pPr>
      <w:r>
        <w:t xml:space="preserve">生成与有成效的失败</w:t>
      </w:r>
    </w:p>
    <w:p>
      <w:r>
        <w:t xml:space="preserve">自己画概念图、写解释、造例子、提问题、把理论改写成外行听得懂的话，这些动作迫使你从被动的理解转向主动的建模。生成的有效性有前提：材料准确，生成的内容与目标相关，并且有反馈。表达流畅说明不了正确，自己编出来的顺畅解释同样可能是错的。《论语》说“不愤不启，不悱不发”：不到学生苦思而不得的时候，不去点拨。</w:t>
      </w:r>
    </w:p>
    <w:p>
      <w:r>
        <w:t xml:space="preserve">先尝试解题、后听讲解的安排，当代研究称为“有成效的失败”。辛哈与卡普尔 2021 年综合 53 项研究、166 个比较，报告“先解题后教学”相对于“先教学后解题”，对概念知识与迁移有中等的正效应，g 约为 0.36，95% 置信区间约为 [0.20, 0.51]；严格按有成效失败的设计实施时，效应更大</w:t>
      </w:r>
      <w:r>
        <w:rPr>
          <w:color w:val="4F6478"/>
        </w:rPr>
        <w:t xml:space="preserve">〔E3〕</w:t>
      </w:r>
      <w:r>
        <w:t xml:space="preserve">。广义的“先解题后教学”，与严格设计的有成效失败要分开。有效条件应当写进结论：问题能激活相关的先验知识；学习者有机会生成多种方案；错误方案在随后的教学中被比较与整合；正式讲解明确指出深层结构；难度不至于只产生随机的试错；最后有反馈与巩固。缺少设计与整合的失败，只会留下失败。</w:t>
      </w:r>
    </w:p>
    <w:p>
      <w:pPr>
        <w:pStyle w:val="Heading3"/>
      </w:pPr>
      <w:r>
        <w:t xml:space="preserve">反馈</w:t>
      </w:r>
    </w:p>
    <w:p>
      <w:r>
        <w:t xml:space="preserve">反馈决定这些策略会不会出错：没有反馈的检索可能把错误练熟，没有反馈的生成可能只是越来越会说得像样。但反馈并不总是有益。克卢格与德尼西 1996 年汇总 607 个效应量、23,663 个观察，平均效应 d 约为 0.41，同时有超过三分之一的反馈干预降低了表现</w:t>
      </w:r>
      <w:r>
        <w:rPr>
          <w:color w:val="4F6478"/>
        </w:rPr>
        <w:t xml:space="preserve">〔E3〕</w:t>
      </w:r>
      <w:r>
        <w:t xml:space="preserve">。607 是效应量的个数，独立实验的个数少于它；负效应比例描述的是估计值分布；受伤害的人占多少，要看个体层面数据。</w:t>
      </w:r>
    </w:p>
    <w:p>
      <w:r>
        <w:t xml:space="preserve">负效应的成因是多变量的。反馈指向自我、脱离具体任务，是其中重要的机制；任务复杂度、反馈时机、目标层级、信息具体程度、学习者控制感与先验知识，也会调节结果。实践中先查四件事：反馈是否可靠；是否针对可以改变的行为；是否说明下次怎样调整；学习者是否具备执行的条件。结果延迟、噪声大或样本选择明显时，一次成功或失败都可能误导人。反馈次数增加，并不保证判断变好。</w:t>
      </w:r>
    </w:p>
    <w:p>
      <w:pPr>
        <w:pStyle w:val="Heading3"/>
      </w:pPr>
      <w:r>
        <w:t xml:space="preserve">学习环境</w:t>
      </w:r>
    </w:p>
    <w:p>
      <w:r>
        <w:t xml:space="preserve">更上游的是环境问题。霍加斯区分过友善与险恶的学习环境</w:t>
      </w:r>
      <w:r>
        <w:rPr>
          <w:color w:val="4F6478"/>
        </w:rPr>
        <w:t xml:space="preserve">〔概念框架〕</w:t>
      </w:r>
      <w:r>
        <w:t xml:space="preserve">。友善的环境里，信号稳定，反馈及时，错误可以恢复，经验确实教人，棋类、运动技能和有标准答案的练习偏向这一端。险恶的环境里，反馈延迟，噪声淹没信号，甚至系统性地误导，选股、面试识人与长周期的决策偏向这一端。一组相关的经验证据来自临床预测研究：Grove 等人 2000 年的元分析汇总了 136 项临床心理与医学中的预测研究，机械预测在约三分之一到接近一半的研究中明显优于临床判断，临床判断明显更好的研究只占约 6% 到 16%</w:t>
      </w:r>
      <w:r>
        <w:rPr>
          <w:color w:val="4F6478"/>
        </w:rPr>
        <w:t xml:space="preserve">〔E3〕</w:t>
      </w:r>
      <w:r>
        <w:t xml:space="preserve">。这项元分析没有测量反馈条件；把它的结果与“反馈稀少、延迟”联系起来，是本文的推断</w:t>
      </w:r>
      <w:r>
        <w:rPr>
          <w:color w:val="4F6478"/>
        </w:rPr>
        <w:t xml:space="preserve">〔C〕</w:t>
      </w:r>
      <w:r>
        <w:t xml:space="preserve">。更好的用法，是把环境拆成四个维度分别打分：信号稳定性、反馈时距、结果噪声、错误可恢复性。向经验学习之前，先给环境打分。</w:t>
      </w:r>
    </w:p>
    <w:p>
      <w:r>
        <w:t xml:space="preserve">学习科学里一个让人不舒服的事实是：高效的学习常常不像学习。它不流畅，不仪式化，不容易让你觉得“今天状态很好”。反过来也要同样节制：费力不证明学习正在发生，流畅也不证明学习没有发生。</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下一次学习时，把一半的重读时间换成合书回忆；回忆完立刻对照原文，标出遗漏和错误；一周后，用没见过的题复测。</w:t>
      </w:r>
    </w:p>
    <w:p>
      <w:pPr>
        <w:pStyle w:val="Heading2"/>
      </w:pPr>
      <w:r>
        <w:t xml:space="preserve">七　困难的设计：匹配高于强度</w:t>
      </w:r>
    </w:p>
    <w:p>
      <w:r>
        <w:t xml:space="preserve">比约克在 1994 年提出的 desirable difficulties，是学习科学里最有价值、也最常被误传的概念之一。它的价值在于把表现与学习的分离变成了设计原则：练习时做得顺，未必学得深；练习时费力，有时意味着更深的编码与提取。口号化之后，它就滑向了“越痛苦越高效”。常见译法“必要的困难”，容易被读成“一切学习都必须困难”，本文称之为有效困难。</w:t>
      </w:r>
    </w:p>
    <w:p>
      <w:r>
        <w:t xml:space="preserve">实际情况更复杂。有些安排降低练习当下的流畅度，同时改善后来的保持或迁移；也有些困难只增加负担。让字体更难认、教室更吵、材料更乱，都能增加主观困难，它们对学习的作用要另外检验。某种困难值不值得保留，看三件事：它是否促进目标加工；学习者是否具备必要的前置知识；错误能否得到纠正。检索、间隔与交错通过不同的机制起效，它们没有共享一条“困难即有益”的总原理，也不能从主观困难感推出效果。</w:t>
      </w:r>
    </w:p>
    <w:p>
      <w:r>
        <w:t xml:space="preserve">困难有上限。斯威勒从 1988 年开始的认知负荷理论把它说清楚了：材料中需要同时在线处理的元素越多，越容易超出工作记忆的容量。对复杂新知识，初期最需要的是减少无关的负荷：样例学习、分步讲解、清晰符号表、典型问题的结构拆解，常常比立刻加大强度更重要</w:t>
      </w:r>
      <w:r>
        <w:rPr>
          <w:color w:val="4F6478"/>
        </w:rPr>
        <w:t xml:space="preserve">〔E4〕</w:t>
      </w:r>
      <w:r>
        <w:t xml:space="preserve">。这些研究多在课堂与实验室中完成，用到成年人自学时属于外推</w:t>
      </w:r>
      <w:r>
        <w:rPr>
          <w:color w:val="4F6478"/>
        </w:rPr>
        <w:t xml:space="preserve">〔E4·外推〕</w:t>
      </w:r>
      <w:r>
        <w:t xml:space="preserve">。复杂度本身取决于学习者已有的知识，不同支持方式也可能引入新负担。更精细的是专长反转效应：对先验知识少的学习者很有帮助的详细样例与逐步引导，对已有相关图式的学习者会变成冗余干扰，拖慢加工</w:t>
      </w:r>
      <w:r>
        <w:rPr>
          <w:color w:val="4F6478"/>
        </w:rPr>
        <w:t xml:space="preserve">〔E3〕</w:t>
      </w:r>
      <w:r>
        <w:t xml:space="preserve">（Kalyuga 等 2003 年的综述）。</w:t>
      </w:r>
    </w:p>
    <w:p>
      <w:r>
        <w:t xml:space="preserve">“阶段”会随任务改变。一个资深程序员学新的数学领域时，仍然是新手；同一个人在同一个领域的不同子任务上，可能同时处在不同水平。起调节作用的，是与任务相关的先验知识。专长反转的方向得到多项研究支持，效果受任务、测量与专长定义的调节。</w:t>
      </w:r>
    </w:p>
    <w:p>
      <w:r>
        <w:t xml:space="preserve">由此得到一条关于支持的规则：学习者进步之后，调整已经冗余的支持，保留仍然有用的工具。清单、计算工具、参考表和标准流程在很多专业里终身有效，它们服务于可靠性；该撤除的，是替代了目标能力本身的支持。</w:t>
      </w:r>
    </w:p>
    <w:p>
      <w:r>
        <w:t xml:space="preserve">《学记》说“不陵节而施之谓孙”，不越过学习者当前的阶段去强加内容；又说“善问者如攻坚木，先其易者，后其节目”。维果茨基的“最近发展区”给相近直觉一个现代形式：教学的有效地带，是学习者独立够不着、在协助下够得着的那一环。</w:t>
      </w:r>
    </w:p>
    <w:p>
      <w:pPr>
        <w:pStyle w:val="Heading3"/>
      </w:pPr>
      <w:r>
        <w:t xml:space="preserve">刻意练习：一次降级</w:t>
      </w:r>
    </w:p>
    <w:p>
      <w:r>
        <w:t xml:space="preserve">谈困难的设计，绕不开埃里克松总结的刻意练习：高强度、针对弱点、有即时反馈的练习。流行文化把它神话成了“一万小时定律”，这里需要降级。麦克纳马拉等人 2014 年的元分析综合 88 项研究、111 个独立样本、157 个效应量、11,135 名参与者，并在 2018 年发布了勘误</w:t>
      </w:r>
      <w:r>
        <w:rPr>
          <w:color w:val="4F6478"/>
        </w:rPr>
        <w:t xml:space="preserve">〔事实登记：检索摘录，2026 年 9 月 28 日〕</w:t>
      </w:r>
      <w:r>
        <w:t xml:space="preserve">。勘误后的总模型中，刻意练习与表现的相关由 0.35 修正为 0.38，解释的方差由 12% 修正为 14%，95% 置信区间为 [11%, 18%]；分领域的解释方差，在游戏、音乐、体育、教育与职业领域分别约为 24%、23%、20%、5% 与 1%，职业一项不显著</w:t>
      </w:r>
      <w:r>
        <w:rPr>
          <w:color w:val="4F6478"/>
        </w:rPr>
        <w:t xml:space="preserve">〔E3〕</w:t>
      </w:r>
      <w:r>
        <w:t xml:space="preserve">。原作者说明这次更正没有改变结论的实质。2014 年原文的分领域数字是 26%、21%、18%、4% 与不足 1%，引用时两组不要混用。</w:t>
      </w:r>
    </w:p>
    <w:p>
      <w:r>
        <w:t xml:space="preserve">这些数字要作严格的因果限定。它们描述的是纳入研究中的统计关联，估计因果贡献需要随机分配练习量的研究；未解释的部分也不能统统归给天赋。回忆式的练习报告、测量误差、范围限制、选择性进入、教练质量、机会结构以及“刻意练习”的定义差异，都会影响估计。它说明领域与测量条件很重要；个人该练多少，看个人的记录（本章下一节）。练习设计之外，时间、健康、金钱、教练、任务机会与安全环境也影响结果，其中许多不由个人控制。在外部条件难以改变时，练习结构通常是学习者能直接影响的重要因素之一，它的回报高度依赖环境是否友善：在反馈系统性误导的环境里堆练习量，练熟的可能是错误本身。分析个人处境时，可以把条件分成三类：完全可控的、可以施加影响的、只能适应的，把精力集中在前两类。</w:t>
      </w:r>
    </w:p>
    <w:p>
      <w:pPr>
        <w:pStyle w:val="Heading3"/>
      </w:pPr>
      <w:r>
        <w:t xml:space="preserve">把个人实验设计到能排除替代解释</w:t>
      </w:r>
    </w:p>
    <w:p>
      <w:r>
        <w:t xml:space="preserve">研究给出的是群体平均效应，平均效应要落到个人身上，需要个人层面的检验。成熟的用法，是把研究结果当作高质量的先验：群体证据给方向，个人试验给落点。朱熹读书法里的“切己体察”，今天可以操作化为自我实验。“试一段时间，感觉更好”排除不了任何替代解释：材料可能变容易了，背景知识可能增加了，练习本身可能带来了与方法无关的进步。</w:t>
      </w:r>
    </w:p>
    <w:p>
      <w:r>
        <w:t xml:space="preserve">先分清目标。改进流程是否可行，与估计某种方法的因果效果，是两件事。前者可以从简单记录开始，后者需要更强控制，结论的强度要与设计相称。</w:t>
      </w:r>
    </w:p>
    <w:p>
      <w:r>
        <w:t xml:space="preserve">以比较两种复习方法为例，一个可用的设计是：选取前置要求、难度与材料类型相近的若干学习单元；把方法随机分配到单元，并交替顺序；尽量匹配总时间、反馈、测试时距与工具条件；用没有直接练过的题检验保持或迁移；保留所有结果，不只报告成功的单元。学习有一个特有的困难：同一内容学会之后，人回不到没学过的状态，所以药物试验里的 ABAB 设计不能直接用于同一知识内容，应当比较等值的内容、不同批次或任务组件，并记录两种方法之间可能的相互影响。一个人、有限材料的结果仍有较大不确定性。事先定义主要指标与最小的重要改善：某方法每次多花二十分钟、只带来极小的提高，值不值得，取决于使用频率与目标风险。结果不稳定时，保留群体证据与可行性的综合判断，不要急于宣布自己属于例外。</w:t>
      </w:r>
    </w:p>
    <w:p>
      <w:r>
        <w:t xml:space="preserve">个人试验应限制在低风险、可恢复的范围内。健康治疗、药物、极端作息以及有重大安全后果的操作，需要相应的专业规范与监督。</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给自己定一条撤除规则：能不看样例独立做对两道同类题，就把这类样例换成只给提示；提示也不再需要时，换成混合题。</w:t>
      </w:r>
    </w:p>
    <w:p>
      <w:pPr>
        <w:pStyle w:val="Heading2"/>
      </w:pPr>
      <w:r>
        <w:t xml:space="preserve">八　迁移与变式：抽象要靠练出来</w:t>
      </w:r>
    </w:p>
    <w:p>
      <w:r>
        <w:t xml:space="preserve">很多人对“学会”的标准停在复述：能背定义，能说出概念，能把老师讲过的话重复一遍。在需要迁移的任务里，价值几乎都出在迁移上：题目换了表面，语境换了，提示拿掉了，变量关系重新组合，你还能不能认出背后的结构。孔子把这一点定为教学的门槛：“举一隅不以三隅反，则不复也。”迁移的远近按任务来定义。</w:t>
      </w:r>
    </w:p>
    <w:p>
      <w:r>
        <w:t xml:space="preserve">迁移研究的历史先破后立。二十世纪初的“形式训练说”相信，学拉丁文、做几何能锻炼普遍的“心智肌肉”；桑代克与伍德沃斯 1901 年的系列实验削弱了它：训练的增益主要出现在与训练任务共享具体成分的范围内。贾德 1908 年的实验补上了另一半：练习水下打靶时，理解了折射原理的那组孩子，在水深改变后调整得更快。一个世纪后的综合图景大致是两者的合成：迁移真实存在，但它昂贵、稀少，需要刻意争取；近迁移常见，远迁移罕见</w:t>
      </w:r>
      <w:r>
        <w:rPr>
          <w:color w:val="4F6478"/>
        </w:rPr>
        <w:t xml:space="preserve">〔E4〕</w:t>
      </w:r>
      <w:r>
        <w:t xml:space="preserve">。第九章会看到，工作记忆训练产业正是在远迁移上站不住。</w:t>
      </w:r>
    </w:p>
    <w:p>
      <w:r>
        <w:t xml:space="preserve">迁移为什么难？人容易抓住表层相似，深层同构要刻意比较才看得出。吉克与霍利约克的经典实验很能说明问题。被试先读一个军事故事：将军分兵多路同时进攻，攻下了要塞。随后面对结构相同的放射治疗问题，能自发想到用多束弱射线从不同方向汇聚到肿瘤的人很少。让被试比较两个同构的故事、自己提炼共同结构之后，迁移率大幅上升</w:t>
      </w:r>
      <w:r>
        <w:rPr>
          <w:color w:val="4F6478"/>
        </w:rPr>
        <w:t xml:space="preserve">〔E4〕</w:t>
      </w:r>
      <w:r>
        <w:t xml:space="preserve">。这一系列实验包含多个条件与不同提示操作，结果差异很大，不能压缩成一个数字。根特纳等人后来把相关机制称为类比编码。</w:t>
      </w:r>
    </w:p>
    <w:p>
      <w:r>
        <w:t xml:space="preserve">并置比较是一条被反复验证的有效路径；直接讲解、因果模型、反事实推理、形式化表示与真实任务的反馈，同样能够促进抽象。“哪些部分变了，哪些部分其实没变”，是变式练习的核心问题。</w:t>
      </w:r>
    </w:p>
    <w:p>
      <w:r>
        <w:t xml:space="preserve">交错练习是这一思路的一种实现。布伦迈尔与里希特 2019 年的元分析（59 项研究、238 个效应量）报告总体效应 g 约为 0.42，材料类型的调节作用明显：绘画等视觉类别材料约为 0.67，数学任务约为 0.34，以词语为材料的研究约为 −0.39，也就是区组练习更好</w:t>
      </w:r>
      <w:r>
        <w:rPr>
          <w:color w:val="4F6478"/>
        </w:rPr>
        <w:t xml:space="preserve">〔E3〕</w:t>
      </w:r>
      <w:r>
        <w:t xml:space="preserve">。交错的价值主要来自类别辨别与策略选择；任务之间差异明显、目标是初步熟练、或者切换成本很高时，区组练习可能更好。可以先用适量的样例形成基本理解，再用混合题检验方法的选择，具体次序依学习表现调整。</w:t>
      </w:r>
    </w:p>
    <w:p>
      <w:r>
        <w:t xml:space="preserve">对终身学习者，这意味着一个动作：每学一个东西，都问一句“我能在另一个问题里认出它吗”。学概率，看能不能在商业、医学、政策与日常判断里看到同样的结构；学反馈回路，看能不能在生理、经济、组织与个人习惯里认出同构；学一条写作原则，看能不能把它从文章迁移到演讲、提案和产品表达。所以要有意设计迁移情境：换例子，换说法，换任务，换介质，换提问方式，并主动把两个表面无关的案例放在一起，追问共同的结构。</w:t>
      </w:r>
    </w:p>
    <w:p>
      <w:r>
        <w:t xml:space="preserve">迁移的验收要具体，至少包括三项。边界例：表面相似但方法不适用的问题，用来检查误用。无提示的新题：不告诉你该用哪种方法。延迟测试：间隔一段时间之后仍能独立完成。还要记一笔成本：为迁移设计的练习通常更慢，当下的表现也更差，这笔支出值不值得，取决于目标是否真的需要迁移。</w:t>
      </w:r>
    </w:p>
    <w:p>
      <w:pPr>
        <w:pStyle w:val="Heading3"/>
      </w:pPr>
      <w:r>
        <w:t xml:space="preserve">同样的“没学会”，不同的下一步</w:t>
      </w:r>
    </w:p>
    <w:p>
      <w:r>
        <w:t xml:space="preserve">这一部讲了检索、间隔、生成、有效困难、认知负荷、专长反转、变式与交错。把它们接到行动上，要回答一个具体问题：同一句“我没学会”，在不同表现下，为什么要求相反的调整。下表依据前三章的材料整理，没有经过个人诊断层面的验证。第二列尤其重要：它写明在这个观察下还不能确定什么。</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4"/>
        <w:gridCol w:w="1805"/>
        <w:gridCol w:w="3068"/>
        <w:gridCol w:w="2529"/>
      </w:tblGrid>
      <w:tr>
        <w:trPr>
          <w:cantSplit w:val="off"/>
          <w:tblHeader/>
        </w:trPr>
        <w:tc>
          <w:tcPr>
            <w:tcW w:type="dxa" w:w="1624"/>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观察到的表现</w:t>
            </w:r>
          </w:p>
        </w:tc>
        <w:tc>
          <w:tcPr>
            <w:tcW w:type="dxa" w:w="1805"/>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还不能确定什么</w:t>
            </w:r>
          </w:p>
        </w:tc>
        <w:tc>
          <w:tcPr>
            <w:tcW w:type="dxa" w:w="3068"/>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优先检查与候选调整</w:t>
            </w:r>
          </w:p>
        </w:tc>
        <w:tc>
          <w:tcPr>
            <w:tcW w:type="dxa" w:w="2529"/>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怎样检查调整是否有用</w:t>
            </w:r>
          </w:p>
        </w:tc>
      </w:tr>
      <w:tr>
        <w:trPr>
          <w:cantSplit w:val="off"/>
          <w:tblHeader w:val="off"/>
        </w:trPr>
        <w:tc>
          <w:tcPr>
            <w:tcW w:type="dxa" w:w="162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看样例都看不懂</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不能归因于练习不足</w:t>
            </w:r>
          </w:p>
        </w:tc>
        <w:tc>
          <w:tcPr>
            <w:tcW w:type="dxa" w:w="306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检查术语、前置知识与步骤跨度；补讲解、分段，或换一个更清楚的样例</w:t>
            </w:r>
          </w:p>
        </w:tc>
        <w:tc>
          <w:tcPr>
            <w:tcW w:type="dxa" w:w="25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换一个新样例，要求解释关键步骤及其理由</w:t>
            </w:r>
          </w:p>
        </w:tc>
      </w:tr>
      <w:tr>
        <w:trPr>
          <w:cantSplit w:val="off"/>
          <w:tblHeader w:val="off"/>
        </w:trPr>
        <w:tc>
          <w:tcPr>
            <w:tcW w:type="dxa" w:w="162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看得懂样例，独立做不出</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不能判定知识从未形成</w:t>
            </w:r>
          </w:p>
        </w:tc>
        <w:tc>
          <w:tcPr>
            <w:tcW w:type="dxa" w:w="306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区分提示依赖、提取困难与步骤不完整；安排补全练习与适度独立尝试</w:t>
            </w:r>
          </w:p>
        </w:tc>
        <w:tc>
          <w:tcPr>
            <w:tcW w:type="dxa" w:w="25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改变题面，撤掉对应的提示后重做</w:t>
            </w:r>
          </w:p>
        </w:tc>
      </w:tr>
      <w:tr>
        <w:trPr>
          <w:cantSplit w:val="off"/>
          <w:tblHeader w:val="off"/>
        </w:trPr>
        <w:tc>
          <w:tcPr>
            <w:tcW w:type="dxa" w:w="162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单类题会做，混合题不会选方法</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不能只靠继续增加同类重复</w:t>
            </w:r>
          </w:p>
        </w:tc>
        <w:tc>
          <w:tcPr>
            <w:tcW w:type="dxa" w:w="306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比较相近的题型与边界例；尝试交错安排</w:t>
            </w:r>
          </w:p>
        </w:tc>
        <w:tc>
          <w:tcPr>
            <w:tcW w:type="dxa" w:w="25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不提示题型，让学习者自选方法并说明理由</w:t>
            </w:r>
          </w:p>
        </w:tc>
      </w:tr>
      <w:tr>
        <w:trPr>
          <w:cantSplit w:val="off"/>
          <w:tblHeader w:val="off"/>
        </w:trPr>
        <w:tc>
          <w:tcPr>
            <w:tcW w:type="dxa" w:w="162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当天会，过一段时间不会</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不能把一次下降直接判为方法无效</w:t>
            </w:r>
          </w:p>
        </w:tc>
        <w:tc>
          <w:tcPr>
            <w:tcW w:type="dxa" w:w="306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检查间隔、干扰、初始掌握程度与提取条件</w:t>
            </w:r>
          </w:p>
        </w:tc>
        <w:tc>
          <w:tcPr>
            <w:tcW w:type="dxa" w:w="25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用没有反复见过的等值材料，在目标时距复测</w:t>
            </w:r>
          </w:p>
        </w:tc>
      </w:tr>
      <w:tr>
        <w:trPr>
          <w:cantSplit w:val="off"/>
          <w:tblHeader w:val="off"/>
        </w:trPr>
        <w:tc>
          <w:tcPr>
            <w:tcW w:type="dxa" w:w="162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答案正确，解释或适用范围错误</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不能只按正确率宣布掌握</w:t>
            </w:r>
          </w:p>
        </w:tc>
        <w:tc>
          <w:tcPr>
            <w:tcW w:type="dxa" w:w="306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加入反例、缺信息的题与方法不适用的题</w:t>
            </w:r>
          </w:p>
        </w:tc>
        <w:tc>
          <w:tcPr>
            <w:tcW w:type="dxa" w:w="25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检查能否拒绝错误的套用，能否指出还缺什么</w:t>
            </w:r>
          </w:p>
        </w:tc>
      </w:tr>
    </w:tbl>
    <w:p>
      <w:pPr>
        <w:spacing w:after="120" w:before="0"/>
      </w:pPr>
    </w:p>
    <w:p>
      <w:r>
        <w:t xml:space="preserve">这张表的作用，是让研究结果改变下一步的选择。表中每一行都是待检验的假设。</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每学一个概念，找两个表面完全不同、结构相同的例子，再找一个表面相似、结构不同的反例，写下区分它们的那个特征。</w:t>
      </w:r>
    </w:p>
    <w:p>
      <w:pPr>
        <w:pStyle w:val="Heading1"/>
        <w:pageBreakBefore/>
      </w:pPr>
      <w:r>
        <w:t xml:space="preserve">第四部　系统的底座</w:t>
      </w:r>
    </w:p>
    <w:p>
      <w:pPr>
        <w:spacing w:after="200" w:before="60" w:line="320"/>
        <w:ind w:left="1260" w:right="420" w:firstLine="0"/>
      </w:pPr>
      <w:r>
        <w:rPr>
          <w:rFonts w:ascii="Times New Roman" w:cs="Times New Roman" w:eastAsia="楷体" w:hAnsi="Times New Roman"/>
          <w:color w:val="404040"/>
        </w:rPr>
        <w:t xml:space="preserve">君子之于学也，藏焉，修焉，息焉，游焉。——《礼记·学记》</w:t>
      </w:r>
    </w:p>
    <w:p>
      <w:r>
        <w:t xml:space="preserve">前三部假定身体状态与执行条件正常。现实里，注意力带宽与身体的状态，是许多加工的物质基础；基础出了问题，方法的效果会在执行层大打折扣。《学记》把休息与游憩直接写进了学习的定义，藏、修、息、游并列，这比当代知识工作文化里对透支的浪漫化清醒得多。这一部把最常被神话、也最常被错怪的两个变量放回真实的位置，并补上最常被忽略的执行条件。</w:t>
      </w:r>
    </w:p>
    <w:p>
      <w:pPr>
        <w:pStyle w:val="Heading2"/>
      </w:pPr>
      <w:r>
        <w:t xml:space="preserve">九　注意力与工作记忆的真实位置</w:t>
      </w:r>
    </w:p>
    <w:p>
      <w:r>
        <w:t xml:space="preserve">注意力重要，作用也有限度。持续分心会明显妨碍复杂内容的学习；进入“深度专注”的状态，也补不上图式不足、方法低效与睡眠亏欠。相当多的人，是在很专注地做低效的事。</w:t>
      </w:r>
    </w:p>
    <w:p>
      <w:r>
        <w:t xml:space="preserve">工作记忆研究提供了一个常被误读的容量估计。米勒在 1956 年给出“七加减二”，考恩在 2001 年控制了复述与组块化之后，把核心容量修正为约三到五个组块</w:t>
      </w:r>
      <w:r>
        <w:rPr>
          <w:color w:val="4F6478"/>
        </w:rPr>
        <w:t xml:space="preserve">〔E3〕</w:t>
      </w:r>
      <w:r>
        <w:t xml:space="preserve">。这个数字会受任务、测量方法、注意控制、材料熟悉度以及“组块”怎样定义的影响，估计本身也依赖特定的建模假设。专家优势很大程度上来自信息组织与长期记忆调用：他们通过更高效的编码、长期工作记忆、预测性注意与领域特定表征，扩大了实际能处理的信息范围。新手一次记一枚棋子，大师一次识别几枚棋子组成的常见构型。由此得出处理复杂材料的策略：减少同时在线的元素数量。用图式把多个元素压成一个结构，用纸笔与图示把一部分负荷放到体外，分段分层，让系统一次只处理一部分。</w:t>
      </w:r>
    </w:p>
    <w:p>
      <w:r>
        <w:t xml:space="preserve">这也解释了工作记忆训练的神话为什么站不住。在训练过的任务上，你确实会变熟，相近任务也可能改善；但问到远迁移，也就是智力、学业成绩与一般认知能力会不会跟着提升，梅尔比-勒沃格与休姆等人的多项元分析在与主动对照组比较时，找不到有说服力的稳定证据</w:t>
      </w:r>
      <w:r>
        <w:rPr>
          <w:color w:val="4F6478"/>
        </w:rPr>
        <w:t xml:space="preserve">〔E4〕</w:t>
      </w:r>
      <w:r>
        <w:t xml:space="preserve">。主动对照是关键条件：和什么都不做的对照组相比，几乎任何训练都能显示出“效果”。对普通学习者，改善外部结构、学习策略、生理基线与任务匹配度，通常是更可靠的投入方向，哪一项回报更高，要看具体情境。</w:t>
      </w:r>
    </w:p>
    <w:p>
      <w:r>
        <w:t xml:space="preserve">注意力高度依赖上游的状态。睡眠不足、慢性压力、情绪耗竭、环境噪声、任务边界不清、目标冲突、焦虑与健康问题，都可能先一步打散注意力，这时用道德语言要求自己“坚持专注”，解决不了问题。这些因素与注意之间的关系是双向的，注意力本身也可以被直接训练和调节。可操作的做法是先列出可能的原因，再观察哪些条件的变化能改善目标任务表现，不预先认定其中某一个。</w:t>
      </w:r>
    </w:p>
    <w:p>
      <w:r>
        <w:t xml:space="preserve">詹姆斯在 1890 年写道：“我的经验，就是我同意去注意的东西。”行使这种选择权，可靠的方式通常是结构。最古老的范本是奥德修斯：明知自己抵挡不了塞壬的歌声，于是趁清醒时让水手把自己绑在桅杆上，并用蜡封住水手们的耳朵。预承诺起作用的前提很简单：事先移除选项，比事后抵抗选项便宜。落到日常，有三条路径。去除环境干扰：把能一次性清除的诱惑物理移走。把任务分块：让每段工作的边界清楚，减少同时悬在脑中的未完成事项。顺着自己的节律排布任务：把认知负荷高的工作放进最清醒的时段。三条路径的相对收益因人而异，值得用自己的记录检验。</w:t>
      </w:r>
    </w:p>
    <w:p>
      <w:pPr>
        <w:pStyle w:val="Heading3"/>
      </w:pPr>
      <w:r>
        <w:t xml:space="preserve">执行层：意图、安排、行为与反馈</w:t>
      </w:r>
    </w:p>
    <w:p>
      <w:r>
        <w:t xml:space="preserve">知道有效的方法，不保证有时间、环境、奖励与支持去执行它。这是学习系统里最常被轻描淡写的一层。值得分开记录四件事：意图，我打算做什么；安排，它在什么时间、什么条件下发生；实际行为，它是否真的发生了；反馈，它是否产生了可见的结果。判断一种方法无效之前，先确认计划是否实施、实施是否符合设计。“没做”与“做了没用”要分开记录。</w:t>
      </w:r>
    </w:p>
    <w:p>
      <w:r>
        <w:t xml:space="preserve">某项计划反复没有执行时，可以做一次未执行审计，逐项检查：目标是否过大；启动步骤是否明确；任务是否要求尚未具备的前置能力；反馈是否太远；安排是否与照护、工作、经济或健康状况冲突；是否存在让人回避的评价压力。不同的障碍要分别处理，既不能统一归为缺乏自律，也不能统一归为方法不对。</w:t>
      </w:r>
    </w:p>
    <w:p>
      <w:r>
        <w:t xml:space="preserve">实际做法是：降低可以避免的启动成本，明确下一项具体任务，调整预期，安排能够获得的支持，并用实际完成情况与学习结果判断是否有效。兴趣、意义、自主选择与社会关系可能影响可持续性，每一项具体因果主张仍然需要相应的证据。</w:t>
      </w:r>
    </w:p>
    <w:p>
      <w:r>
        <w:t xml:space="preserve">无障碍与合理的支持也在这个范围里。字幕、辅助阅读、适配的输入方式、额外的时间与不同表达方式，可能让目标能力更容易被学习或被测量。反对“学习风格匹配论”（第十二章）与提供这些支持是两个问题：前者是关于教学匹配的经验主张，后者关乎可及性。</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记录一周：计划中的学习块有多少真正发生了；没发生的，逐条写下卡在哪一项——目标过大、启动步骤不明、前置能力不足、反馈太远、时间冲突，还是评价压力。</w:t>
      </w:r>
    </w:p>
    <w:p>
      <w:pPr>
        <w:pStyle w:val="Heading2"/>
      </w:pPr>
      <w:r>
        <w:t xml:space="preserve">十　睡眠、压力与情绪：编码的生理边界</w:t>
      </w:r>
    </w:p>
    <w:p>
      <w:r>
        <w:t xml:space="preserve">知识工作者常有一种想象，把大脑当成悬浮在身体之上的纯理性器官，仿佛睡眠、疲劳与压力只影响效率的小数点后几位。实验证据不支持这种想象。1924 年，詹金斯与达伦巴赫发现，在同样的时间间隔里，睡过觉的被试比保持清醒的被试遗忘得少得多。这项研究适合作为思想史的起点，它的设计分不开两种解释：睡眠组遗忘少，也可能是因为清醒期的干扰少。</w:t>
      </w:r>
    </w:p>
    <w:p>
      <w:r>
        <w:t xml:space="preserve">现代定量证据更具体。纽伯里等人 2021 年的元分析区分了两种剥夺。学习之前的完全睡眠剥夺，综合 31 份报告、55 个效应量、927 人，对随后记忆表现的影响 g 约为 0.62，95% 置信区间约为 [0.47, 0.77]。学习之后的完全睡眠剥夺，综合 45 份报告、130 个效应量、1,616 人，影响 g 约为 0.28，置信区间约为 [0.18, 0.38]；剥夺后立即测验时的效应，大于补觉之后再测验</w:t>
      </w:r>
      <w:r>
        <w:rPr>
          <w:color w:val="4F6478"/>
        </w:rPr>
        <w:t xml:space="preserve">〔E4，限于至少一整夜的完全剥夺〕</w:t>
      </w:r>
      <w:r>
        <w:t xml:space="preserve">。两个数字都来自整夜不睡的实验条件，不能换算成“每少睡一小时”的影响：部分睡眠限制、长期睡眠不足与整夜剥夺是不同干预。该元分析报告的偏倚与统计功效限制，应当与效应量一起记住。</w:t>
      </w:r>
    </w:p>
    <w:p>
      <w:r>
        <w:t xml:space="preserve">行为层面的记忆差异与神经机制的解释，属于不同层次。“主动系统巩固”框架认为：睡眠期间，白天编码的记忆痕迹被重新激活、重组，并部分转移到长期存储中，这个框架有大量人类与动物研究支持</w:t>
      </w:r>
      <w:r>
        <w:rPr>
          <w:color w:val="4F6478"/>
        </w:rPr>
        <w:t xml:space="preserve">〔E3〕</w:t>
      </w:r>
      <w:r>
        <w:t xml:space="preserve">（Rasch 与 Born 2013 年的综述）。具体记忆类型与睡眠阶段怎样分工，仍有争论：慢波睡眠与快速眼动睡眠可能分别侧重细节保持与抽象整合，睡一觉之后保留下来的，可能是被整理、压缩、并与已有知识重新连接过的版本</w:t>
      </w:r>
      <w:r>
        <w:rPr>
          <w:color w:val="4F6478"/>
        </w:rPr>
        <w:t xml:space="preserve">〔机制提案〕</w:t>
      </w:r>
      <w:r>
        <w:t xml:space="preserve">。若此说成立，遗忘一部分细节，有时正是抽象的代价与来源。要避免两个方向的夸大：把睡眠的一般重要性扩大为学习的绝对必要条件；把某种阶段分工写成定论。</w:t>
      </w:r>
    </w:p>
    <w:p>
      <w:r>
        <w:t xml:space="preserve">压力在日常语言里被一概当作坏事，这同样不准确。压力对学习的影响取决于时机、强度与任务类型：轻到中等的唤醒能提高警觉与专注，急性压力在某些情境下甚至会强化对核心信息的记忆；长期高负荷是另一个量级的问题。慢性压力与提取困难、灵活性下降、威胁导向增强之间有稳定关联，麦克尤恩的“非稳态负荷”概念，描述了长期透支怎样改变身体的资源分配与可塑性</w:t>
      </w:r>
      <w:r>
        <w:rPr>
          <w:color w:val="4F6478"/>
        </w:rPr>
        <w:t xml:space="preserve">〔E3〕</w:t>
      </w:r>
      <w:r>
        <w:t xml:space="preserve">。要分开四个概念：急性唤醒、心理上的压力体验、慢性的生理负担，以及它们分别作用于编码、巩固还是提取。</w:t>
      </w:r>
    </w:p>
    <w:p>
      <w:r>
        <w:t xml:space="preserve">教科书里的“耶基斯-多德森定律”需要校准。“唤醒与表现呈倒 U 形”这个说法的原始研究，是 1908 年用小鼠做的电击辨别实验，核心结论是任务难度调节最优的刺激强度：难任务的最优强度更低，易任务更高。后人把它泛化成适用于人类的普适“定律”，远远超出了原始证据的范围。把它当作一个依赖任务的启发式即可</w:t>
      </w:r>
      <w:r>
        <w:rPr>
          <w:color w:val="4F6478"/>
        </w:rPr>
        <w:t xml:space="preserve">〔E2〕</w:t>
      </w:r>
      <w:r>
        <w:t xml:space="preserve">。</w:t>
      </w:r>
    </w:p>
    <w:p>
      <w:r>
        <w:t xml:space="preserve">情绪也参与认知的组织。焦虑过高会挤占工作记忆，这一条有较多证据支持</w:t>
      </w:r>
      <w:r>
        <w:rPr>
          <w:color w:val="4F6478"/>
        </w:rPr>
        <w:t xml:space="preserve">〔E3〕</w:t>
      </w:r>
      <w:r>
        <w:t xml:space="preserve">（Moran 2016 年的元分析）；“情绪过于平淡就缺乏驱动”“适度积极情绪能扩展联想”这类说法，在不同任务上的证据强度差别很大，本文只把它们当作值得自我观察的方向。情绪状态是学习系统内部的一个变量。</w:t>
      </w:r>
    </w:p>
    <w:p>
      <w:r>
        <w:t xml:space="preserve">所以，终身学习者要尊重这个底座。睡眠、恢复、压力边界与日间节律，这些朴素的东西，比任何精巧的技巧都更接近学习的前提。运动对认知的影响，本文没有展开证据，不给剂量建议。疲劳、情绪或注意问题长期存在、明显影响日常功能，或者跨情境反复出现时，应当寻求专业评估，调整学习方法替代不了它。</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重要学习的前一晚和后一晚，都不要牺牲整夜的睡眠；考试或汇报前的突击，用第六章的间隔检索代替通宵。</w:t>
      </w:r>
    </w:p>
    <w:p>
      <w:pPr>
        <w:pStyle w:val="Heading1"/>
        <w:pageBreakBefore/>
      </w:pPr>
      <w:r>
        <w:t xml:space="preserve">第五部　接触现实</w:t>
      </w:r>
    </w:p>
    <w:p>
      <w:pPr>
        <w:spacing w:after="200" w:before="60" w:line="320"/>
        <w:ind w:left="1260" w:right="420" w:firstLine="0"/>
      </w:pPr>
      <w:r>
        <w:rPr>
          <w:rFonts w:ascii="Times New Roman" w:cs="Times New Roman" w:eastAsia="楷体" w:hAnsi="Times New Roman"/>
          <w:color w:val="404040"/>
        </w:rPr>
        <w:t xml:space="preserve">Reading maketh a full man; conference a ready man; and writing an exact man.（读书使人充实，讨论使人敏捷，写作使人精确。）——培根《论学问》</w:t>
      </w:r>
    </w:p>
    <w:p>
      <w:r>
        <w:t xml:space="preserve">模型建起来了，底座也稳了，真正的考验是接触现实。这一部讨论四种暴露。输出，把你的理解暴露给任务与他人。证据评估，把外来结论暴露给标准。校准，把你的自信暴露给实际命中率。品味，在没有标准答案的领域，把你的评价性判断暴露给作品、专家与时间。四者各有功能，合起来也没有穷尽求真的方式。</w:t>
      </w:r>
    </w:p>
    <w:p>
      <w:pPr>
        <w:pStyle w:val="Heading2"/>
      </w:pPr>
      <w:r>
        <w:t xml:space="preserve">十一　输出：惰性观念与教学相长</w:t>
      </w:r>
    </w:p>
    <w:p>
      <w:r>
        <w:t xml:space="preserve">很多学习长期停在输入状态：读书、看课、听播客、收藏链接、做摘录，信息持续进入，内部模型却没有同步升级。怀特海在 1929 年把这种状态里的知识叫作“惰性观念”：只被接收进头脑、从未被使用、检验或投入新组合的观念。更早，詹姆斯在《对教师的谈话》（1899）里写道：没有反应就没有接收，没有相应的表达就没有印象。</w:t>
      </w:r>
    </w:p>
    <w:p>
      <w:r>
        <w:t xml:space="preserve">让知识离开大脑，是暴露输入错觉最直接的办法。它一旦要进入一篇文章、一段解释、一个方案、一段代码或一次公开的表达，你通常就会发现哪里是真懂，哪里只是眼熟。《学记》说：“学然后知不足，教然后知困……故曰：教学相长也。”把教学当作学习者自我诊断的手段，这个洞见值得记住。教学也不会自动暴露所有的误解，没有提问与纠错的教学，同样可以顺利地讲完一套错的东西。</w:t>
      </w:r>
    </w:p>
    <w:p>
      <w:r>
        <w:t xml:space="preserve">现代证据要拆成几个独立判断，因为它们来自不同的比较。小林 2024 年的元分析综合 39 项研究，比较“学习之后实际去教”与“单纯学习、不预期要教”，g 约为 0.27，95% 置信区间约为 [0.15, 0.39]</w:t>
      </w:r>
      <w:r>
        <w:rPr>
          <w:color w:val="4F6478"/>
        </w:rPr>
        <w:t xml:space="preserve">〔E3〕</w:t>
      </w:r>
      <w:r>
        <w:t xml:space="preserve">。按学习时有没有“之后要教”的预期分组：有预期的研究，g 约为 0.48；没有预期的研究，g 约为 −0.02。这是研究之间的比较，它提示预期可能是起作用的成分；要确认，需要在同一项研究内操纵预期。同一作者 2019 年较早的元分析（28 项研究）报告，只准备教学 g 约为 0.35，准备之后实际去教 g 约为 0.56；两项元分析的研究集合与比较方式不同，数字不能直接对比。互动式的教是否优于独白式、口头讲解是否优于书面整理，需要专门的直接比较。</w:t>
      </w:r>
    </w:p>
    <w:p>
      <w:r>
        <w:t xml:space="preserve">这组结果与一个机制提案相符：预期要教，改变了你编码材料的方式。你开始问核心主张是什么，逻辑链在哪里，最容易被误解的地方在哪里，哪些例子足以支撑</w:t>
      </w:r>
      <w:r>
        <w:rPr>
          <w:color w:val="4F6478"/>
        </w:rPr>
        <w:t xml:space="preserve">〔机制提案〕</w:t>
      </w:r>
      <w:r>
        <w:t xml:space="preserve">。</w:t>
      </w:r>
    </w:p>
    <w:p>
      <w:r>
        <w:t xml:space="preserve">“像教学”的行为是否有帮助，要看它带来什么压力。做了一份幻灯片，未必解释清楚了什么；复制一套知识卡片，未必完成了压缩；把书中的观点重新排版发出来，也没有重建论证。有用的输出通常带着三种压力。压缩的压力：要从大量材料中选出关键。组织的压力：要让别人看得懂。反馈的压力：别人会提问、误解、指出漏洞。三者不必同时具备，独立写作在没有外部反馈时也可能有益；三者全缺时，所谓输出往往只是换了形式的输入。</w:t>
      </w:r>
    </w:p>
    <w:p>
      <w:pPr>
        <w:pStyle w:val="Heading3"/>
      </w:pPr>
      <w:r>
        <w:t xml:space="preserve">写作</w:t>
      </w:r>
    </w:p>
    <w:p>
      <w:r>
        <w:t xml:space="preserve">写作促进学习，有证据支持：格雷厄姆等人 2020 年综合 56 项实验，覆盖基础教育阶段的多个学科，平均效应约为 0.30</w:t>
      </w:r>
      <w:r>
        <w:rPr>
          <w:color w:val="4F6478"/>
        </w:rPr>
        <w:t xml:space="preserve">〔E3〕</w:t>
      </w:r>
      <w:r>
        <w:t xml:space="preserve">。这个估计限于基础教育情境；写作与教学、编程、实验、设计、对话或真实项目孰优，需要直接比较，目前还没有。</w:t>
      </w:r>
    </w:p>
    <w:p>
      <w:r>
        <w:t xml:space="preserve">本文判断，写作对模型的改造较深</w:t>
      </w:r>
      <w:r>
        <w:rPr>
          <w:color w:val="4F6478"/>
        </w:rPr>
        <w:t xml:space="preserve">〔C〕</w:t>
      </w:r>
      <w:r>
        <w:t xml:space="preserve">，依据是机制推理：写作同时施加外化、线性化、定义概念、补足证据、预演反驳与比较版本六种压力，这六种压力很少在别处同时出现；严格口头辩论、代码审查与形式化建模，各自包含其中的几种。检验方式：让同一批学习者学习等值的材料单元，分别用写作解释、口头讲解与重读来结束一个单元，时间相等，比较一周后的迁移题成绩与错误识别率。如果写作组不优于口头讲解组，这个判断需要修订（附录二）。</w:t>
      </w:r>
    </w:p>
    <w:p>
      <w:r>
        <w:t xml:space="preserve">贝雷特与斯卡达马利亚区分过两种写作。知识陈述式：把脑中已有的内容按顺序倒出来。知识转化式：写的过程中发现原有的理解装不下要说的话，于是被迫重组论证、补查证据、重新定义概念。卢曼把自己的卡片盒称为对话伙伴，理由相同：旧笔记与新想法在盒中相遇并互相抵触，这种来自自己外化思想的反驳，是独自冥想很难产生的。</w:t>
      </w:r>
    </w:p>
    <w:p>
      <w:r>
        <w:t xml:space="preserve">项目制学习常被当作同一论点的延伸，说它比纯粹阅读更能打通图式。这个比较的证据太薄，项目制学习的效果高度依赖项目设计、教师支持、先验知识、团队协作、评估标准、实施时长与比较组。本文把它写成一个设计性主张</w:t>
      </w:r>
      <w:r>
        <w:rPr>
          <w:color w:val="4F6478"/>
        </w:rPr>
        <w:t xml:space="preserve">〔C〕</w:t>
      </w:r>
      <w:r>
        <w:t xml:space="preserve">：真实的项目能提供约束、反馈与后果，因此有潜力促进知识的整合与迁移；效果取决于项目是否真的要求使用目标知识，有没有高质量指导与复盘，最后有没有真实的独立验收。检验方式见附录二。</w:t>
      </w:r>
    </w:p>
    <w:p>
      <w:r>
        <w:t xml:space="preserve">输出要围绕目标设计。需要推理的任务检查论证质量，实践技能检查实际表现，长期保持检查延迟调用，迁移检查新问题。公开发布只是输出的一种安排，在无人纠正的条件下，错误练习会继续累积。所以一个高回报的动作，是尽快让知识接受外部检验：能写的就写，能讲的就讲，能做成原型的就做原型，能在真实任务里测试的就去测试。不要等“彻底学会了”再输出，很多知识正是在输出中才学会的。</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学完一个单元，合上材料，写一页解释给一位聪明的外行，然后请人（或按第十七章的“对抗性陪练”方式）指出其中最弱的三处。</w:t>
      </w:r>
    </w:p>
    <w:p>
      <w:pPr>
        <w:pStyle w:val="Heading2"/>
      </w:pPr>
      <w:r>
        <w:t xml:space="preserve">十二　证据素养：从休谟到复制危机</w:t>
      </w:r>
    </w:p>
    <w:p>
      <w:r>
        <w:t xml:space="preserve">输出回答“我的模型经不经得起使用”。更根本的问题是：我学到的东西本身值不值得信。终身学习真正的危险，常常在于学得快却学错，学得多却信错，学会了一整套能够自洽运转的错误模型。学错的代价是否高于学得慢，取决于这个判断的使用场景与错误后果。</w:t>
      </w:r>
    </w:p>
    <w:p>
      <w:r>
        <w:t xml:space="preserve">休谟在 1748 年指出：无论过去的经验多么整齐，都没有逻辑能保证下一个案例仍然如此，归纳得不到演绎那样的保证。贝叶斯主义、可靠主义、自然化认识论、实用主义与各种归纳辩护，都在尝试说明经验知识为什么仍然可以是合理的，这场哲学争论仍在进行。实践上的推论很清楚：确定性不可得，认知的很大一部分功夫，在于给信念分配恰当的权重。</w:t>
      </w:r>
    </w:p>
    <w:p>
      <w:r>
        <w:t xml:space="preserve">评估一个结论，先看它处在因果之梯的哪一级，这是 Pearl 在《为什么》（2018）里的框架。第一级是相关：两个变量经常一起出现。第二级是干预：改变其中一个，另一个会怎样。第三级是反事实：对这个已经发生的个案，如果当时不同，结果会怎样。日常语言把三级混为一谈，大量流行的“研究表明”只站在第一级。观察数据也能在明确因果假设与研究设计之下支持因果识别，例如自然实验、工具变量、断点回归、双重差分、匹配或因果图调整。列出方法的名称还不够：每种方法都依赖自己的假设，例如平行趋势、排他性约束、连续性、无未观测混杂，判断一项研究是否成立，要看它是否论证了这些假设在该情境中成立。然后继续追问：样本是谁、有多大；测了什么、怎么测的；对照组是什么；效应量有多大，显著与重要是两回事；谁出资、谁受益；结论外推到了多大范围，原文的限定条件在转述中还剩多少。</w:t>
      </w:r>
    </w:p>
    <w:p>
      <w:pPr>
        <w:pStyle w:val="Heading3"/>
      </w:pPr>
      <w:r>
        <w:t xml:space="preserve">读懂一项结果的最小统计工具</w:t>
      </w:r>
    </w:p>
    <w:p>
      <w:r>
        <w:t xml:space="preserve">一项结果要同时报告比较对象、估计量与不确定性。下面八条，是阅读任何实证主张的最低配置。</w:t>
      </w:r>
    </w:p>
    <w:p>
      <w:r>
        <w:t xml:space="preserve">效应类型不能互换。g 和 d 通常描述标准化均值差，r 描述相关；百分比可能是相对变化，也可能是占比；百分点描述两个百分率之间的绝对差。把 g = 0.5 写成“提高 50%”，没有一般的根据。</w:t>
      </w:r>
    </w:p>
    <w:p>
      <w:r>
        <w:t xml:space="preserve">平均估计与预测区间不同。平均效应的置信区间，描述平均估计的不确定性；预测区间，描述新研究或类似条件下真实效应的分布。平均接近零、预测区间很宽，可以与强烈的条件差异共存，它本身指认不出是哪些条件在起作用。</w:t>
      </w:r>
    </w:p>
    <w:p>
      <w:r>
        <w:t xml:space="preserve">不显著、等效、不劣与安全是四件事。不显著只表示某个检验没有达到阈值。等效需要事先定义可以接受的差异范围，并证明结果落在其中。不劣需要事先定义可以接受的损失，并使用对应的设计。安全还涉及结果类型、事件的罕见程度、时距与严重后果，不能由单一学习分数在零附近的估计来决定。</w:t>
      </w:r>
    </w:p>
    <w:p>
      <w:r>
        <w:t xml:space="preserve">“一组显著、另一组不显著”，不等于两组的差异显著。必须检验两者的差值或交互作用。同理，某个亚组效果为正、另一个亚组不显著，不能直接证明亚组特征是有效调节变量。</w:t>
      </w:r>
    </w:p>
    <w:p>
      <w:r>
        <w:t xml:space="preserve">调节变量与机制要分开。某个变量与效应大小相关，可以提示条件的差异；要证明机制，需要合适过程测量、时间顺序与识别设计。统计上的中介本身也可能受未测混杂的影响。只有相关证据的地方，不要出现“因为”。</w:t>
      </w:r>
    </w:p>
    <w:p>
      <w:r>
        <w:t xml:space="preserve">发表偏倚的修正还原不了真值。剪补法、选择模型与敏感性分析各有自己的假设，修正后的数字不能自动当作真实效应。应当并列报告主要估计与关键敏感性结果，说明结论在多大程度上依赖对发表选择机制的假设。</w:t>
      </w:r>
    </w:p>
    <w:p>
      <w:r>
        <w:t xml:space="preserve">样本单位要完整保留。一项研究可以贡献多个效应量，同一个学生可以参加多次测试，同一个班级可以接受同一次随机分配。有效信息量受依赖结构影响，效应量的个数不等于样本数，观察的总量也掩盖不了独立随机单位很少的问题。</w:t>
      </w:r>
    </w:p>
    <w:p>
      <w:r>
        <w:t xml:space="preserve">元分析可以提高精度，也会继承纳入研究的偏差。要检查研究选择、效应依赖、测量差异、设计质量与发表选择。把更多研究放在一起，不保证它们估计的是同一个问题。</w:t>
      </w:r>
    </w:p>
    <w:p>
      <w:pPr>
        <w:pStyle w:val="Heading3"/>
      </w:pPr>
      <w:r>
        <w:t xml:space="preserve">复制危机与学习科学的自检</w:t>
      </w:r>
    </w:p>
    <w:p>
      <w:r>
        <w:t xml:space="preserve">过去十几年，实证科学系统检查了自己的可靠性。2015 年，开放科学合作组织重做了 100 项发表在顶级心理学期刊上的研究：原始研究约 97% 显著，重复研究约 36% 显著，重复得到的效应量平均约为原始的一半。2018 年，卡默勒等人重复了 21 项发表在《自然》与《科学》上的社会科学实验，约 62% 得到同方向的显著结果，效应量平均也只有原始的一半左右。由此可以下一个判断：已发表的心理学与社会科学结果，重复成功率明显低于原始文献所暗示的水平</w:t>
      </w:r>
      <w:r>
        <w:rPr>
          <w:color w:val="4F6478"/>
        </w:rPr>
        <w:t xml:space="preserve">〔E4〕</w:t>
      </w:r>
      <w:r>
        <w:t xml:space="preserve">。这些比例限于被抽中的研究。复制危机揭示了一整套系统性的脆弱机制：小样本碰运气，灵活的分析自由度，发表偏倚，以及对“反直觉发现”的选择性偏爱。对学习者的含义很直接：“有研究表明”只是评估的起点。</w:t>
      </w:r>
    </w:p>
    <w:p>
      <w:r>
        <w:t xml:space="preserve">把同样的标准用回学习科学，结果分明。经受住检验的部分要逐条陈述：测验效应与间隔效应的核心方向被多次复现；认知负荷理论的基本框架有广泛支持，具体教学处方各有自己的证据强度；先验知识对学习后水平的预测力，有大样本综合研究支持。</w:t>
      </w:r>
    </w:p>
    <w:p>
      <w:r>
        <w:t xml:space="preserve">效应大幅缩小的部分，同样要逐条陈述。学习风格匹配论，即按“视觉型”“听觉型”给同一内容配不同的教法，长期拿不出满足关键交互检验要求的证据，帕什勒等人 2008 年的系统检验之后，它主要在商业培训中流行</w:t>
      </w:r>
      <w:r>
        <w:rPr>
          <w:color w:val="4F6478"/>
        </w:rPr>
        <w:t xml:space="preserve">〔E4〕</w:t>
      </w:r>
      <w:r>
        <w:t xml:space="preserve">；针对具体学习困难的情境干预，以及无障碍支持，是另外的问题，各有自己的证据。自我损耗效应在大规模的预注册重复中只得到接近零的效应：哈格等人 2016 年的 23 个实验室、2,141 人，d 约为 0.04；沃斯等人 2021 年的 36 个实验室、3,531 人，验证性检验 d 约为 0.06，不显著，探索性的全样本分析得到 d 约为 0.08，达到显著。准确表述是：经典大效应主张没有经受住高功效预注册检验，关于构念、任务与调节条件的讨论仍在继续</w:t>
      </w:r>
      <w:r>
        <w:rPr>
          <w:color w:val="4F6478"/>
        </w:rPr>
        <w:t xml:space="preserve">〔E3〕</w:t>
      </w:r>
      <w:r>
        <w:t xml:space="preserve">。成长型思维干预的平均效应很小</w:t>
      </w:r>
      <w:r>
        <w:rPr>
          <w:color w:val="4F6478"/>
        </w:rPr>
        <w:t xml:space="preserve">〔E3〕</w:t>
      </w:r>
      <w:r>
        <w:t xml:space="preserve">：Sisk 等人 2018 年的元分析（k = 43，N = 57,155），d 约为 0.08；Macnamara 与 Burgoyne 2023 年的元分析，d 约为 0.05，校正发表偏倚后不再显著，质量最高的一组研究 d 约为 0.02。美国的一项全国性实验显示，它让学业成绩低于中位数的学生，核心课程的平均绩点约提高 0.10 分</w:t>
      </w:r>
      <w:r>
        <w:rPr>
          <w:color w:val="4F6478"/>
        </w:rPr>
        <w:t xml:space="preserve">〔E2〕</w:t>
      </w:r>
      <w:r>
        <w:t xml:space="preserve">。用“传播声量远高于平均效应”来概括它，是准确的。</w:t>
      </w:r>
    </w:p>
    <w:p>
      <w:pPr>
        <w:pStyle w:val="Heading3"/>
      </w:pPr>
      <w:r>
        <w:t xml:space="preserve">一次撤稿的完整记录</w:t>
      </w:r>
    </w:p>
    <w:p>
      <w:r>
        <w:t xml:space="preserve">一个新近的案例值得完整记录。王进与范文翔 2025 年 5 月 6 日在《人文与社会科学通讯》（Humanities and Social Sciences Communications）上发表了一篇汇总 51 项研究的 ChatGPT 学习效果元分析，报告学习表现 g = 0.867，学习感知 g = 0.456，高阶思维 g = 0.457，被广泛传播和引用。2026 年 4 月 22 日，该文被撤稿。撤稿说明指出，编辑发现元分析中存在若干差异，削弱了对分析有效性与结论的信心，作者未回应相关询问</w:t>
      </w:r>
      <w:r>
        <w:rPr>
          <w:color w:val="4F6478"/>
        </w:rPr>
        <w:t xml:space="preserve">〔事实登记：出版方撤稿公告，2026 年 9 月 28 日核验〕</w:t>
      </w:r>
      <w:r>
        <w:t xml:space="preserve">。据二手报道，问题之一是把方法与样本差异过大的研究合并计算。</w:t>
      </w:r>
    </w:p>
    <w:p>
      <w:r>
        <w:t xml:space="preserve">这个案例的教训超出 AI 话题本身。元分析这种位于证据金字塔上层的形式，同样会失效：它依赖纳入研究质量，受发表偏倚的影响，还要承担把异质的研究压进同一个平均数的损耗。更重要的是传播：一篇被大量引用的论文，结论已经嵌进了下游的文献，撤稿并不能自动把它们收回。读者可以用同样标准审计本文引用的每个数字，附录三的证据登记就是为此准备的。</w:t>
      </w:r>
    </w:p>
    <w:p>
      <w:pPr>
        <w:pStyle w:val="Heading3"/>
      </w:pPr>
      <w:r>
        <w:t xml:space="preserve">证据素养的日常形态</w:t>
      </w:r>
    </w:p>
    <w:p>
      <w:r>
        <w:t xml:space="preserve">落到学习实践上，证据素养意味着养成一种内部语言：这件事大概率为真；这件事方向可信，细节还不稳；这件事证据有限，我暂不判断；这件事看上去很动人，更可能只是包装精良的启发式。一个成熟头脑的重要变化，是允许不同确定程度的信念共存，不急于只分对错。</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下一次看到“研究表明”，转述之前先回答五个问题：比较对象是谁；效应有多大；样本单位是什么；有没有独立的重复；结论被外推了多远。</w:t>
      </w:r>
    </w:p>
    <w:p>
      <w:pPr>
        <w:pStyle w:val="Heading2"/>
      </w:pPr>
      <w:r>
        <w:t xml:space="preserve">十三　校准：知道自己什么时候不知道</w:t>
      </w:r>
    </w:p>
    <w:p>
      <w:r>
        <w:t xml:space="preserve">很多人把学习理解为提高正确率。真实世界更苛刻：一个人即使总体正确率不低，只要在不该自信时持续自信，在该暂停判断时持续抢答，最终仍会在高代价的问题上犯重错。所以学习还需要一种能力：校准，即主观的确信程度与实际正确概率之间的匹配。校准只是元认知的一部分，它与正确率、辨别力和行动质量，是四个需要分别评价的量。</w:t>
      </w:r>
    </w:p>
    <w:p>
      <w:r>
        <w:t xml:space="preserve">苏格拉底在雅典的法庭上说，自己唯一的智慧是：别人不知道却自以为知道，而我不知道时，知道自己不知道。约一个世纪之前，孔子在鲁国对子路说：“知之为知之，不知为不知，是知也。”两千多年后，费曼在加州理工学院的毕业演讲里说：第一条原则是你绝不能欺骗自己，而你自己恰恰最容易被骗。</w:t>
      </w:r>
    </w:p>
    <w:p>
      <w:r>
        <w:t xml:space="preserve">现代研究把这类直觉拆出了结构。穆尔与希利区分了三种过度自信</w:t>
      </w:r>
      <w:r>
        <w:rPr>
          <w:color w:val="4F6478"/>
        </w:rPr>
        <w:t xml:space="preserve">〔概念框架〕</w:t>
      </w:r>
      <w:r>
        <w:t xml:space="preserve">。高估：把自己的绝对水平估高。相对高估：把自己相对于他人的排名估高。过度精确：对自己信念的精度过于确信，表现为主观概率分布过窄、对单一答案过度确信。三者之中哪一种危害最大，没有一般的答案，取决于任务与代价的结构：高风险预测中，过度精确可能尤其危险；团队协作中，相对高估可能破坏分工；技能训练中，绝对高估可能直接减少练习量。流畅感、熟悉感、顺滑的表达与漂亮的解释，都可能把置信度推高到证据支持的范围之外。</w:t>
      </w:r>
    </w:p>
    <w:p>
      <w:r>
        <w:t xml:space="preserve">校准可以训练，方法很朴素。利希滕斯坦与菲施霍夫在 1980 年就发现，带即时反馈的概率判断练习能改善校准</w:t>
      </w:r>
      <w:r>
        <w:rPr>
          <w:color w:val="4F6478"/>
        </w:rPr>
        <w:t xml:space="preserve">〔E3〕</w:t>
      </w:r>
      <w:r>
        <w:t xml:space="preserve">；同一批研究也发现，改善向其他任务的迁移有限。这正好印证本文的主题：校准需要按领域训练。</w:t>
      </w:r>
    </w:p>
    <w:p>
      <w:r>
        <w:t xml:space="preserve">具体训练，先满足第五章列出的四个条件：事件能够裁决，反馈携带信息，评分规则事先固定，结果出来后区分偶然、模型错误与环境变化。然后记录判断，以及当时依据的证据。泰特洛克对预测竞赛中顶尖预测者的研究，给出了这套训练的成熟形态：用具体概率说话，六成与八成五是两个不同判断；用布赖尔分数这类严格评分规则记账，让“我感觉我很准”接受评分的检验。在泰特洛克参与主持的“良好判断项目”中，不到一小时的概率推理训练，在四年的预测锦标赛中持续让布赖尔分数比对照组改善约 6% 到 11%（Chang 等 2016）</w:t>
      </w:r>
      <w:r>
        <w:rPr>
          <w:color w:val="4F6478"/>
        </w:rPr>
        <w:t xml:space="preserve">〔E2〕</w:t>
      </w:r>
      <w:r>
        <w:t xml:space="preserve">。2025 年一项用项目反应理论的重新分析认为，控制方法变异之后，训练与组队对潜在预测能力的效应被削弱，个别情况下甚至消失（Hauenstein 等 2025），这个估计要保留余地。</w:t>
      </w:r>
    </w:p>
    <w:p>
      <w:r>
        <w:t xml:space="preserve">关于更新幅度，要纠正一个流行说法：“高频小幅更新，拒绝二元翻转”只在部分情形下成立。可靠的新信息可能要求小幅更新，也可能要求大幅改变；更新幅度取决于证据的诊断价值，以及它与已有信息是否独立。一条被五家媒体转述的消息，不能当作五条独立的新证据，连续五次提高概率。</w:t>
      </w:r>
    </w:p>
    <w:p>
      <w:r>
        <w:t xml:space="preserve">预测必须在结果出来之前写下。菲施霍夫 1975 年的实验显示，知道结果会提高人们事后认定的事件可能性，而他们基本意识不到这种影响，于是高估了自己在不知道结果时能作出的判断。这种后见之明偏差被反复证实：Guilbault 等人 2004 年的元分析汇总 95 项研究，平均效应 d 约为 0.39；2021 年一项 890 人的重复研究，再现了菲施霍夫的第二个实验</w:t>
      </w:r>
      <w:r>
        <w:rPr>
          <w:color w:val="4F6478"/>
        </w:rPr>
        <w:t xml:space="preserve">〔E4〕</w:t>
      </w:r>
      <w:r>
        <w:t xml:space="preserve">。所以事后回想“我当时就觉得会这样”，几乎不能充当校准的数据。这一点对第十四章讨论的“用历史案例练判断”有直接影响。</w:t>
      </w:r>
    </w:p>
    <w:p>
      <w:r>
        <w:t xml:space="preserve">落到日常学习，有几个成本很低的动作：做题之前先写下把握度，再核对答案；写完一段解释，标出自己最没把握的部分；读研究之前先预测它的结论，再看结果；讨论时区分“我确定”“我倾向于”“我暂时猜测”与“我不知道”。</w:t>
      </w:r>
    </w:p>
    <w:p>
      <w:pPr>
        <w:pStyle w:val="Heading3"/>
      </w:pPr>
      <w:r>
        <w:t xml:space="preserve">一个完整的例子：校准、辨别力与决策代价</w:t>
      </w:r>
    </w:p>
    <w:p>
      <w:r>
        <w:t xml:space="preserve">设有 100 个可以明确裁决的事件，其中 70 个发生了。某位预测者对每个事件都报 70%。这些概率与总体发生率完全吻合，布赖尔分数为 0.7 × 0.3² + 0.3 × 0.7² = 0.21。</w:t>
      </w:r>
    </w:p>
    <w:p>
      <w:r>
        <w:t xml:space="preserve">这位预测者没有区分哪件事更可能发生。整体频率吻合，与能分辨高风险和低风险事件，是两件独立的事。另一位预测者把其中 50 个事件报为 90%，实际发生了 45 个；把另外 50 个报为 50%，实际发生了 25 个。后一位预测者的平均报告概率同样是 70%，两组也都校准良好，布赖尔分数却降到了 0.17。所以校准必须与辨别力一起评价。</w:t>
      </w:r>
    </w:p>
    <w:p>
      <w:r>
        <w:t xml:space="preserve">第三层是决策代价。事件损失不同时，同样的概率对应不同行动：同样是 20% 的概率，轻微延误与重大安全事故应当采取不同措施。该不该行动，取决于概率与损失结构的组合：损失越不对称，值得行动的概率门槛越低。</w:t>
      </w:r>
    </w:p>
    <w:p>
      <w:r>
        <w:t xml:space="preserve">画校准图时，按预测概率分组，比较实际发生率，每一组都要报告样本量。改变分组方式可能改变图的外观；小样本的曲线容易波动；不同任务混在一起，可能掩盖某一领域的系统性高估。一张整齐的图，证明不了自己已经校准。</w:t>
      </w:r>
    </w:p>
    <w:p>
      <w:r>
        <w:t xml:space="preserve">智识谦逊常被当作校准的钥匙。态度、概率的准确性与实际纠错行为是三件事，需要分别测量，三者经常不同步；“培养谦逊能提高辨别力”这样的因果主张，需要干预研究来检验。回到第五章那条“错误模型—过度自信—反馈失效”的链条：谦逊可以提供修正的动机，修正要真正发生，还需要可以裁决的事件、携带信息的反馈与稳定评分规则。</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按附录一的模板建一张预测记录表。每周至少写五条可以裁决的预测；每月算一次布赖尔分数，并按概率分组看一次实际的发生率。</w:t>
      </w:r>
    </w:p>
    <w:p>
      <w:pPr>
        <w:pStyle w:val="Heading2"/>
      </w:pPr>
      <w:r>
        <w:t xml:space="preserve">十四　品味：没有标准答案时怎样校准判断</w:t>
      </w:r>
    </w:p>
    <w:p>
      <w:r>
        <w:t xml:space="preserve">本文把品味定义为一种评价性的判断能力：在一个领域里分辨出重要差异，并对这些差异作出稳定、有根据的价值判断</w:t>
      </w:r>
      <w:r>
        <w:rPr>
          <w:color w:val="4F6478"/>
        </w:rPr>
        <w:t xml:space="preserve">〔C〕</w:t>
      </w:r>
      <w:r>
        <w:t xml:space="preserve">。它由两部分组成。分辨力：看得出两个东西哪里不同。估值：知道哪些不同重要、重要多少。两部分的训练机制不同。分辨力可以靠对比与反馈较快地形成；估值只能来自结果反馈，或者从别人那里借。在很多评价性领域，结果反馈稀少、延迟，甚至根本不存在，所以品味训练的核心问题是：拿什么当反馈。本章回答这个问题，并说明品味能迁移多少。</w:t>
      </w:r>
    </w:p>
    <w:p>
      <w:pPr>
        <w:pStyle w:val="Heading3"/>
      </w:pPr>
      <w:r>
        <w:t xml:space="preserve">偏好、品味与社会区分</w:t>
      </w:r>
    </w:p>
    <w:p>
      <w:r>
        <w:t xml:space="preserve">“我喜欢甜咖啡”是偏好。一个人如果能稳定地分辨咖啡的酸质、烘焙缺陷与萃取问题，并说明在什么条件下某种风味表现得好，这就接近品味了。品味通常包含偏好，还包含分辨力、经验与一定程度的校准。不同领域的品味，对象不同，判断标准也不同。饮食里的品味接近训练过的感官辨别；服装、室内设计与建筑更依赖比例、搭配、语境与惯例；文学、电影与音乐涉及结构、节奏、陈词滥调、情绪操纵与形式创新；科学与数学里的“品味”接近训练有素的直觉判断，最终要接受证明、实验与预测的检验。</w:t>
      </w:r>
    </w:p>
    <w:p>
      <w:r>
        <w:t xml:space="preserve">品味还有一层社会含义。布迪厄在《区分》（1979）里强调，很多所谓的“好品味”同时承担着阶层区分与身份标记的功能</w:t>
      </w:r>
      <w:r>
        <w:rPr>
          <w:color w:val="4F6478"/>
        </w:rPr>
        <w:t xml:space="preserve">〔概念框架〕</w:t>
      </w:r>
      <w:r>
        <w:t xml:space="preserve">。所以“有品味”有时描述的，只是对某个群体规范的熟练掌握。这给本章提出了一个要求：品味训练必须有办法把“判断得对”与“和圈子一致”分开。办法有两个：在有结果可查的领域，看事前记录的判断在大样本上是否准确；在没有结果可查的领域，看能否稳定地指出可以核对的差异。</w:t>
      </w:r>
    </w:p>
    <w:p>
      <w:pPr>
        <w:pStyle w:val="Heading3"/>
      </w:pPr>
      <w:r>
        <w:t xml:space="preserve">分辨力：差异要在对比中才看得见</w:t>
      </w:r>
    </w:p>
    <w:p>
      <w:r>
        <w:t xml:space="preserve">分辨力来自对比。康奈尔与比约克在 2008 年让被试学习 12 位画家的风格，每位 6 幅：同一个被试看到的画家里，一半的作品集中连续呈现，另一半与其他画家的作品穿插呈现。随后辨认新画作出自哪位画家时，穿插呈现过的画家，正确率约为 61%；集中呈现过的，约为 35%。而在表达了偏好的被试中，约九成认为集中呈现学得更好</w:t>
      </w:r>
      <w:r>
        <w:rPr>
          <w:color w:val="4F6478"/>
        </w:rPr>
        <w:t xml:space="preserve">〔E3〕</w:t>
      </w:r>
      <w:r>
        <w:t xml:space="preserve">。这项研究有独立重复。原文称这种安排为“间隔”，它的设计里时间间隔与交错混在一起；后续研究把优势主要归于交错带来的对比辨别（Kang 与 Pashler 2012；Birnbaum 等 2013）。第八章引用的交错练习元分析显示，在绘画这类视觉风格材料上，交错的收益是各类材料中最大的之一（g 约为 0.67）。</w:t>
      </w:r>
    </w:p>
    <w:p>
      <w:r>
        <w:t xml:space="preserve">施瓦茨与布兰斯福德在 1998 年的三项课堂研究中，让大学生先分析一组有细微差异的对比案例（简化的经典心理学实验设计与数据），再听讲座。一周后，要他们预测一个新实验结果时，这一组明显优于先总结教材再听讲座的一组，也优于只分析案例、不听讲座的一组；在不需要应用概念的事实性测验上，各组没有差别</w:t>
      </w:r>
      <w:r>
        <w:rPr>
          <w:color w:val="4F6478"/>
        </w:rPr>
        <w:t xml:space="preserve">〔E2〕</w:t>
      </w:r>
      <w:r>
        <w:t xml:space="preserve">。对比让学生注意到了原本看不见的特征，讲解才有了挂靠的位置。后续研究显示，这种收益不必来自学生自己的发现，直接给出比较的结果同样有效（Roelle 与 Berthold 2015）。</w:t>
      </w:r>
    </w:p>
    <w:p>
      <w:r>
        <w:t xml:space="preserve">实践中的感官训练也是这样做的。葡萄酒与咖啡的专业品鉴训练，会专门使用缺陷样本与缺陷气味套件：WSET 的系统品鉴法要求先判断一款酒是否有缺陷，咖啡 Q Grader 考试的嗅觉测试中有一类专门是“芳香瑕疵”。学员先认识“坏”是什么样子。只接触最好作品的人，往往说不出最好的作品好在哪里，因为不知道它和普通作品的差距落在哪些方面</w:t>
      </w:r>
      <w:r>
        <w:rPr>
          <w:color w:val="4F6478"/>
        </w:rPr>
        <w:t xml:space="preserve">〔C〕</w:t>
      </w:r>
      <w:r>
        <w:t xml:space="preserve">。</w:t>
      </w:r>
    </w:p>
    <w:p>
      <w:r>
        <w:t xml:space="preserve">由此得到品味训练的第一条规则：把杰作与普通的作品、差一点的作品放在一起对比。上面的研究测的是风格辨别与概念理解，把它用到优劣判断上属于外推</w:t>
      </w:r>
      <w:r>
        <w:rPr>
          <w:color w:val="4F6478"/>
        </w:rPr>
        <w:t xml:space="preserve">〔E3·外推〕</w:t>
      </w:r>
      <w:r>
        <w:t xml:space="preserve">。杰作的价值，常常要放回它所打破的惯例里才看得出来。贝多芬第九交响曲的合唱终曲为什么是件大事，要先听过海顿、莫扎特和贝多芬自己前八部交响曲的末乐章，知道当时的交响曲“应该”怎样结束。只听贝九的人，会把它的反常当成常态。一个领域的背景分布，也就是那些典型的、平庸的甚至失败的作品，是理解最好作品的必要材料。</w:t>
      </w:r>
    </w:p>
    <w:p>
      <w:pPr>
        <w:pStyle w:val="Heading3"/>
      </w:pPr>
      <w:r>
        <w:t xml:space="preserve">估值：反馈从哪里来</w:t>
      </w:r>
    </w:p>
    <w:p>
      <w:r>
        <w:t xml:space="preserve">卡尼曼与克莱因在 2009 年总结了专家直觉可靠的两个条件：环境中存在可以学习的有效规律；学习者有足够的机会，通过练习与及时反馈掌握这些规律</w:t>
      </w:r>
      <w:r>
        <w:rPr>
          <w:color w:val="4F6478"/>
        </w:rPr>
        <w:t xml:space="preserve">〔概念框架〕</w:t>
      </w:r>
      <w:r>
        <w:t xml:space="preserve">。这两个条件来自对专家判断研究的综述。估值判断的难处在于，第二个条件常常得不到满足。</w:t>
      </w:r>
    </w:p>
    <w:p>
      <w:r>
        <w:t xml:space="preserve">不同时间尺度的判断，能得到的反馈次数相差几个数量级。以研究为例：判断一条实验曲线是否有错、下一个实验该跑哪个，几天就有反馈，一年能积累几百次；判断哪个方向值得投入三年，一个人一辈子也只能验证十次左右，而且每次的结果都混着运气、团队与资源。十个带噪声的样本训练不出可靠直觉。所以宏观的估值判断，几乎不可能单靠个人经验建立。它需要从三处补充数据：别人的历史，也就是替代经验；有品味的前辈，也就是别人已经压缩好的先验；以及从大量微观反馈中归纳出来、再向上迁移的规律</w:t>
      </w:r>
      <w:r>
        <w:rPr>
          <w:color w:val="4F6478"/>
        </w:rPr>
        <w:t xml:space="preserve">〔C〕</w:t>
      </w:r>
      <w:r>
        <w:t xml:space="preserve">，检验方式见附录二。</w:t>
      </w:r>
    </w:p>
    <w:p>
      <w:r>
        <w:t xml:space="preserve">这个推断能解释一个现象：研究品味明显按师承聚集。朱克曼在《科学精英》（1977）里统计，截至 1972 年在美国完成获奖研究的 92 位诺贝尔奖得主中，有 48 位曾在更年长的得主手下做学生、博士后或年轻的合作者；得主们回忆，学徒期最大的收获是“一种更宽的取向，包括工作的标准与思考的方式”，具体知识在其次</w:t>
      </w:r>
      <w:r>
        <w:rPr>
          <w:color w:val="4F6478"/>
        </w:rPr>
        <w:t xml:space="preserve">〔E2〕</w:t>
      </w:r>
      <w:r>
        <w:t xml:space="preserve">。Ma、Mukherjee 与 Uzzi 2020 年分析了四个学科近四万名科学家，发现导师日后获得重要奖项的学生，自己获奖、入选美国国家科学院的可能性高出二到四倍；学生离开导师的研究课题、与导师合著较少时，影响力最高</w:t>
      </w:r>
      <w:r>
        <w:rPr>
          <w:color w:val="4F6478"/>
        </w:rPr>
        <w:t xml:space="preserve">〔E2〕</w:t>
      </w:r>
      <w:r>
        <w:t xml:space="preserve">。这与“从导师那里继承的主要是判断方式”的解释相符。两份数据都有明显选择效应，天分高的学生本来就更容易进入顶级的实验室；师承的因果效应有多大，需要能排除选择效应的设计来估计。</w:t>
      </w:r>
    </w:p>
    <w:p>
      <w:r>
        <w:t xml:space="preserve">在没有客观结果可查的领域，比如音乐欣赏，反馈可以来自三处：可核对案例上与校准过的解读者的一致程度；感知是否得到外部材料的验证，例如乐谱与文献；同一个对象隔一段时间再盲评一次，自己的判断是否一致。本文所说的校准过的解读者，指在可以核对的判断上留有公开记录、且这些记录经得起核对的人：指出的乐谱与史实是对的；说录音里存在的差异，别人也能指认出来；隔一段时间对同一对象的评价大体一致。</w:t>
      </w:r>
    </w:p>
    <w:p>
      <w:pPr>
        <w:pStyle w:val="Heading3"/>
      </w:pPr>
      <w:r>
        <w:t xml:space="preserve">借来的先验与自己的后验</w:t>
      </w:r>
    </w:p>
    <w:p>
      <w:r>
        <w:t xml:space="preserve">假设你读了一位资深研究者的书，用书里的见解去听贝九，然后自己反复地听，听多了就改掉书里的判断：改得越多，越可能越错。在聆听少、未经训练时，这个直觉符合贝叶斯推理。后验由先验与数据共同决定，数据越少、越嘈杂，后验就越接近先验。几个小时未经训练的聆听，信息量很小，合理的后验几乎就是专家判断。“后验重要”的意思只是：你的数据要按它真实的分量进入计算，分量小，结论就几乎不动。</w:t>
      </w:r>
    </w:p>
    <w:p>
      <w:r>
        <w:t xml:space="preserve">那么，自己的聆听有什么用？把专家的说法分成三类，答案就清楚了。</w:t>
      </w:r>
    </w:p>
    <w:p>
      <w:r>
        <w:t xml:space="preserve">第一类是结构与史实：某一段转到了什么调，再现部怎样进入，手稿与首演的情况。这些说法要对照乐谱与文献核实。</w:t>
      </w:r>
    </w:p>
    <w:p>
      <w:r>
        <w:t xml:space="preserve">第二类是感知性的说法：这里听起来像崩塌；这个主题是从前面的某个动机长出来的。这是自己的感知真正起作用的地方：把专家的话当作待检验假设，看自己能不能听出来。听不出来时，最可能的解释是自己的耳朵还没有练出来。这一步把借来的判断变成自己的感知。少了这一步，你掌握的只是专家的句子：能复述对某部作品的现成评价，换一部评论里没有写过的作品，就什么也听不出来。能否迁移到新作品上，是检验你学到的是感知还是说法的办法。</w:t>
      </w:r>
    </w:p>
    <w:p>
      <w:r>
        <w:t xml:space="preserve">第三类是评价：贝九的末乐章到底立不立得住。这一层恰恰是专家分歧最大的地方。施波尔在自传里说末乐章怪异而没有品味，瓦格纳则把第九奉为通向乐剧的转折点；二十世纪以来的接受史研究，例如 Nicholas Cook 1993 年的剑桥手册，梳理了这些争论。在这一层，自己的后验最现实的用处，是在专家之间作选择：读完几位专家的论证，再对着具体的段落去听，看谁的论证更能解释你听到的东西。跟随并检查一篇已经写出的论证，通常比从头提出它容易，新手因此有发言权</w:t>
      </w:r>
      <w:r>
        <w:rPr>
          <w:color w:val="4F6478"/>
        </w:rPr>
        <w:t xml:space="preserve">〔C〕</w:t>
      </w:r>
      <w:r>
        <w:t xml:space="preserve">；检查时，仍要自己走一遍推理（第十七章）。</w:t>
      </w:r>
    </w:p>
    <w:p>
      <w:r>
        <w:t xml:space="preserve">由此得到品味训练的第二条规则：</w:t>
      </w:r>
      <w:r>
        <w:rPr>
          <w:b/>
          <w:bCs/>
        </w:rPr>
        <w:t xml:space="preserve">先证明你能复现校准过的解读者的判断，再谈偏离</w:t>
      </w:r>
      <w:r>
        <w:rPr>
          <w:color w:val="4F6478"/>
        </w:rPr>
        <w:t xml:space="preserve">〔C〕</w:t>
      </w:r>
      <w:r>
        <w:t xml:space="preserve">。当你在可以核对的案例上与他们的一致率已经很高，并且能在作品里指认出他们指出的那些具体差异，你与他们的分歧才开始携带信息；在那之前，分歧大多是噪声或偏好。研究品味适用同一条规则：学生先要能预测导师会怎样判断，自己的偏离才值得认真对待。检验方式见附录二。</w:t>
      </w:r>
    </w:p>
    <w:p>
      <w:r>
        <w:t xml:space="preserve">唯一的例外是你自己的体验。你听贝九有没有被打动，是只有你才有的数据，任何专家都无权替你修改。它是关于你自己的数据，要与关于作品质量的判断分开记录。</w:t>
      </w:r>
    </w:p>
    <w:p>
      <w:pPr>
        <w:pStyle w:val="Heading3"/>
      </w:pPr>
      <w:r>
        <w:t xml:space="preserve">专家也有噪声</w:t>
      </w:r>
    </w:p>
    <w:p>
      <w:r>
        <w:t xml:space="preserve">“花了一辈子”不会自动变成判断准确。投入的时间要在有反馈的环境里才转化为准确度；评价性的感官领域反馈很少，专家评分的一致性也偏低。霍奇森在 2005 到 2008 年考察了美国一项大型葡萄酒比赛：每轮评审中暗插三份从同一瓶酒倒出的样本，只有约一成的评委能让三次评分保持在同一个奖牌档内，另有约一成评委会把同一款酒从铜牌打到金牌</w:t>
      </w:r>
      <w:r>
        <w:rPr>
          <w:color w:val="4F6478"/>
        </w:rPr>
        <w:t xml:space="preserve">〔E2〕</w:t>
      </w:r>
      <w:r>
        <w:t xml:space="preserve">。霍奇森在 2009 年的后续研究中发现，参加过三场以上比赛的 2,440 款酒里，47% 在某一场获得过金奖，这些金奖酒中有 84% 在另一场比赛里一无所获</w:t>
      </w:r>
      <w:r>
        <w:rPr>
          <w:color w:val="4F6478"/>
        </w:rPr>
        <w:t xml:space="preserve">〔E2〕</w:t>
      </w:r>
      <w:r>
        <w:t xml:space="preserve">。</w:t>
      </w:r>
    </w:p>
    <w:p>
      <w:r>
        <w:t xml:space="preserve">另外两项常被引用的研究，要连同后续结果一起读。Tsay 在 2013 年报告，新手和专业音乐人只看 6 秒的无声视频，就能以高于机会的水平选出古典音乐比赛的获胜者，只听声音时做不到；而多数人自称声音最重要</w:t>
      </w:r>
      <w:r>
        <w:rPr>
          <w:color w:val="4F6478"/>
        </w:rPr>
        <w:t xml:space="preserve">〔E1〕</w:t>
      </w:r>
      <w:r>
        <w:t xml:space="preserve">。后来的研究在原材料上重复出了这个结果，但换用其他可比比赛的视频时，只看视频的判断降到机会水平；选手之间水平差距拉大时，能听到声音的判断最准（Mehr 等 2018）；另有一项直接重复没有成功。这组结果能支持的结论只有一条：某些场合下，视觉线索会干扰对演奏的评价</w:t>
      </w:r>
      <w:r>
        <w:rPr>
          <w:color w:val="4F6478"/>
        </w:rPr>
        <w:t xml:space="preserve">〔E2〕</w:t>
      </w:r>
      <w:r>
        <w:t xml:space="preserve">。莫罗等人在 2001 年把白葡萄酒染成红色，54 名酿酒学专业的本科生便用描述红葡萄酒的词汇描述它的气味</w:t>
      </w:r>
      <w:r>
        <w:rPr>
          <w:color w:val="4F6478"/>
        </w:rPr>
        <w:t xml:space="preserve">〔E2〕</w:t>
      </w:r>
      <w:r>
        <w:t xml:space="preserve">；用深色的杯子盲闻时，专家和新手都能把红白葡萄酒分开（Ballester 等 2009）。颜色改变的主要是描述；盲闻时，嗅觉辨别仍然有效。</w:t>
      </w:r>
    </w:p>
    <w:p>
      <w:r>
        <w:t xml:space="preserve">这些证据说明：评价层面的专家一致性与重复一致性，比分析层面低得多，专家判断也会混入噪声与非本质的线索。这些证据削弱了“完全服从专家”的立场。在这些研究里，新手的判断也没有更准。所以合理的调整是：在评价层面给单个专家的权重打折扣，合并多位专家判断，在专家之间比较论证，用盲评与重复评估检查判断的稳定性。“相信自己的感觉”从这些证据里得不到支持。</w:t>
      </w:r>
    </w:p>
    <w:p>
      <w:pPr>
        <w:pStyle w:val="Heading3"/>
      </w:pPr>
      <w:r>
        <w:t xml:space="preserve">品味能迁移多少</w:t>
      </w:r>
    </w:p>
    <w:p>
      <w:r>
        <w:t xml:space="preserve">品味高度依赖领域。第四章讲过，国际象棋大师面对随机摆放的棋子时，优势大幅缩小；专家的表征是在具体领域里练出来的。更广的证据来自远迁移研究：萨拉与戈贝 2017 年的综述认为，下棋、学音乐与工作记忆训练对一般认知能力的迁移效应，研究设计越严格就越小，在与积极对照组比较时接近于零</w:t>
      </w:r>
      <w:r>
        <w:rPr>
          <w:color w:val="4F6478"/>
        </w:rPr>
        <w:t xml:space="preserve">〔E3〕</w:t>
      </w:r>
      <w:r>
        <w:t xml:space="preserve">。音乐训练一项仍有争论：用同一批数据重新分析，得到了小而显著的正效应（Bigand 与 Tillmann 2022，g 约为 0.23）。维塞尔等人 2018 年在《认知》（Cognition）上发表的研究发现，人们对人脸与自然风景的审美偏好彼此一致性较高，对建筑与艺术品这类人造文化产物的一致性低得多，艺术品最低</w:t>
      </w:r>
      <w:r>
        <w:rPr>
          <w:color w:val="4F6478"/>
        </w:rPr>
        <w:t xml:space="preserve">〔E2〕</w:t>
      </w:r>
      <w:r>
        <w:t xml:space="preserve">。这种差别是相对的：即使在人脸吸引力上，个人独有的偏好也占相当大的比重（Hönekopp 2006）。本文由此推断：艺术领域的品味很大程度上是在文化中习得的，而习得按领域进行</w:t>
      </w:r>
      <w:r>
        <w:rPr>
          <w:color w:val="4F6478"/>
        </w:rPr>
        <w:t xml:space="preserve">〔C〕</w:t>
      </w:r>
      <w:r>
        <w:t xml:space="preserve">。</w:t>
      </w:r>
    </w:p>
    <w:p>
      <w:r>
        <w:t xml:space="preserve">跨媒介时还可能出现负迁移。莱辛在 1766 年的《拉奥孔》里论证：诗是时间的艺术，画是空间的艺术，两者遵循不同的规律。一个把交响曲吃透的人，习惯在作品里寻找展开、冲突与解决的时间叙事；带着这种期待看一幅画，可能会在画面里找“剧情”，漏掉同时呈现在眼前的形式关系</w:t>
      </w:r>
      <w:r>
        <w:rPr>
          <w:color w:val="4F6478"/>
        </w:rPr>
        <w:t xml:space="preserve">〔C〕</w:t>
      </w:r>
      <w:r>
        <w:t xml:space="preserve">。</w:t>
      </w:r>
    </w:p>
    <w:p>
      <w:r>
        <w:t xml:space="preserve">能迁移的是三类东西。一是历史与思想背景：熟悉贝九背后的席勒、启蒙理想与崇高观念的人，看同时代的绘画时，这些知识直接有用；领域离得越远，帮助越小。二是跨媒介的抽象概念，比如重复与变化、张力与平衡、整体与局部；它们在新领域里具体落在哪些特征上，需要重新学。三是元能力：知道“真正看懂”是什么体验，习惯长时间的专注，懂得把专家判断与个人偏好分开。这一类最有价值，它主要提高在新领域的学习速度</w:t>
      </w:r>
      <w:r>
        <w:rPr>
          <w:color w:val="4F6478"/>
        </w:rPr>
        <w:t xml:space="preserve">〔C〕</w:t>
      </w:r>
      <w:r>
        <w:t xml:space="preserve">。</w:t>
      </w:r>
    </w:p>
    <w:p>
      <w:r>
        <w:t xml:space="preserve">每进入一个新领域，感知都要重新积累；训练方法可以沿用：借用校准过的先验，用对比建立分辨力，用可以核对的反馈检验估值，先复现、再偏离</w:t>
      </w:r>
      <w:r>
        <w:rPr>
          <w:color w:val="4F6478"/>
        </w:rPr>
        <w:t xml:space="preserve">〔C〕</w:t>
      </w:r>
      <w:r>
        <w:t xml:space="preserve">。沿用方法，能节省摸索“怎么学”的时间。检验方式见附录二。</w:t>
      </w:r>
    </w:p>
    <w:p>
      <w:pPr>
        <w:pStyle w:val="Heading3"/>
      </w:pPr>
      <w:r>
        <w:t xml:space="preserve">有结果可查的领域：品味体现在事前判断的准确度上</w:t>
      </w:r>
    </w:p>
    <w:p>
      <w:r>
        <w:t xml:space="preserve">在研究、投资这类最终有结果可查的领域，品味体现为事前记录的判断在大样本上的准确度。其中信息量最大的一类，是在共识形成之前作出、偏离当时共识、事后被证明正确的判断。这类样本天然稀少，又容易被幸存者偏差放大：我们看到命中的大赌注，很少看到同一个人没有命中的判断。所以可靠办法，是大样本的、事前记录的预测，也就是附录一的预测记录表（第十三章）。</w:t>
      </w:r>
    </w:p>
    <w:p>
      <w:r>
        <w:t xml:space="preserve">用历史案例练判断，思路是好的：把自己限制在当年能知道的信息里，写下概率，再揭晓结局。执行上的硬伤是后见之明偏差（第十三章）：你已经知道结局，写出来的概率大概率已被污染。补救的办法有两个：选择你确实不知道结局的案例，或者请别人挑选案例、隐去结局；更好的办法，是直接对现在下注，在结果出来之前记录。</w:t>
      </w:r>
    </w:p>
    <w:p>
      <w:r>
        <w:t xml:space="preserve">投资领域还有一个特殊之处。麦克莱恩与庞蒂夫在 2016 年考察了 97 个股票收益预测变量：在原研究的样本期之外，收益平均下降约 26%，作者把这部分视为数据挖掘偏差的上限；论文发表之后，收益平均下降约 58%，两者之差约 32%，作者归因于投资者读到论文后据此交易</w:t>
      </w:r>
      <w:r>
        <w:rPr>
          <w:color w:val="4F6478"/>
        </w:rPr>
        <w:t xml:space="preserve">〔E2〕</w:t>
      </w:r>
      <w:r>
        <w:t xml:space="preserve">。由此推到一般的投资判断：一种判断方式被越多人采用，它能带来的超额收益就越低</w:t>
      </w:r>
      <w:r>
        <w:rPr>
          <w:color w:val="4F6478"/>
        </w:rPr>
        <w:t xml:space="preserve">〔C〕</w:t>
      </w:r>
      <w:r>
        <w:t xml:space="preserve">。在艺术欣赏里，借用专家判断的人再多，也不会让这些判断失效。</w:t>
      </w:r>
    </w:p>
    <w:p>
      <w:pPr>
        <w:pStyle w:val="Heading3"/>
      </w:pPr>
      <w:r>
        <w:t xml:space="preserve">一个品味训练单元</w:t>
      </w:r>
    </w:p>
    <w:p>
      <w:r>
        <w:t xml:space="preserve">下面以古典音乐录音的比较为例，把本章的规则写成一个可以重复的单元。换成绘画、咖啡、文章或研究选题，结构不变。</w:t>
      </w:r>
    </w:p>
    <w:p>
      <w:r>
        <w:t xml:space="preserve">第一步，选定一个窄的对象，例如贝九末乐章的开头十分钟，以及一到两位校准过的解读者：他们有公开长期记录，给出的理由指向可以核对的特征，并受过同行严肃批评。</w:t>
      </w:r>
    </w:p>
    <w:p>
      <w:r>
        <w:t xml:space="preserve">第二步，建一组对比材料：同一段落的三到四个录音，其中包括一个公认的典范、一个典型中等版本，最好还有一个公认的失败版本。尽量盲听，隐去演奏者与年代。</w:t>
      </w:r>
    </w:p>
    <w:p>
      <w:r>
        <w:t xml:space="preserve">第三步，读评论之前，先写下你的判断：排序、理由（指向具体时间点与特征），以及你的把握度。</w:t>
      </w:r>
    </w:p>
    <w:p>
      <w:r>
        <w:t xml:space="preserve">第四步，对照评论，统计两件事：你与解读者的一致程度；他们指出、而你没有听出的差异有几处。带着这些差异重听，直到能在录音里指认它们，或者确认自己确实听不出。</w:t>
      </w:r>
    </w:p>
    <w:p>
      <w:r>
        <w:t xml:space="preserve">第五步，换一组新材料重复。记录两条曲线：一致率，以及你能独立指认的有效差异数。几周之后，把同一组录音重新盲听一次，检查自己的判断是否稳定。</w:t>
      </w:r>
    </w:p>
    <w:p>
      <w:r>
        <w:t xml:space="preserve">第六步，偏离的规则。事先设定一个阈值，例如在二十组以上可以核对的案例中，一致率稳定在七成以上。这个阈值只是示例，本文没有证据说明哪个数字最合适。达到阈值之后，你与解读者的分歧才记为“候选偏离”：写下理由，一年后重新检验。</w:t>
      </w:r>
    </w:p>
    <w:p>
      <w:r>
        <w:t xml:space="preserve">第七步，保留你自己的体验记录，把它标注为关于你自己的数据，与关于作品质量的判断分开存放。</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选一个你想培养品味的领域，本周完成一个训练单元的前四步，并记下解读者指出、而你没有感知到的差异有几处。</w:t>
      </w:r>
    </w:p>
    <w:p>
      <w:pPr>
        <w:pStyle w:val="Heading1"/>
        <w:pageBreakBefore/>
      </w:pPr>
      <w:r>
        <w:t xml:space="preserve">第六部　颅骨之外</w:t>
      </w:r>
    </w:p>
    <w:p>
      <w:pPr>
        <w:spacing w:after="200" w:before="60" w:line="320"/>
        <w:ind w:left="1260" w:right="420" w:firstLine="0"/>
      </w:pPr>
      <w:r>
        <w:rPr>
          <w:rFonts w:ascii="Times New Roman" w:cs="Times New Roman" w:eastAsia="楷体" w:hAnsi="Times New Roman"/>
          <w:color w:val="404040"/>
        </w:rPr>
        <w:t xml:space="preserve">君子生非异也，善假于物也。——《荀子·劝学》</w:t>
      </w:r>
    </w:p>
    <w:p>
      <w:r>
        <w:t xml:space="preserve">模型从来不只是一颗孤立大脑的内部事务。荀子说：借助车马的人，脚力寻常却能至千里；借助舟楫的人，不会游泳也能渡过江河。现代学习者的认知系统，延伸到共同体、外部记忆与机器智能之上，这三层互相交叠。这一部逐层讨论，并在每一层追问同一个问题：什么必须留在体内。</w:t>
      </w:r>
    </w:p>
    <w:p>
      <w:pPr>
        <w:pStyle w:val="Heading2"/>
      </w:pPr>
      <w:r>
        <w:t xml:space="preserve">十五　社会认识论与默会知识：没有人单靠大脑内部学成</w:t>
      </w:r>
    </w:p>
    <w:p>
      <w:r>
        <w:t xml:space="preserve">你知道的事情里，亲自验证过的只占很小一部分。地球的形状、你的出生日期、细菌致病、远方正在发生的战争，绝大多数知识经由他人的证言到达你这里。这个比例没有精确的分母，方向是清楚的。所以要回答的问题是依赖谁，以及怎样让纠错持续发生。哲学史上关于证言的休谟—里德之争，大体是默认怀疑还是默认信任之争。</w:t>
      </w:r>
    </w:p>
    <w:p>
      <w:r>
        <w:t xml:space="preserve">一个常见答案是：逐条裁决的成本太高，先选对共同体才可行。风险在于，人通常依据身份认同、价值偏好与既有信念来判断谁是“对的共同体”。这时的“选择共同体”，等于在群体层面使用第二章的固执法与身份型权威。</w:t>
      </w:r>
    </w:p>
    <w:p>
      <w:r>
        <w:t xml:space="preserve">所以需要一套可以审计的信任架构。值得追问的有十个问题：结论能否追溯到原始材料；方法是否透明；是否存在独立团队与竞争性的解释；错误是否被公开记录；修正行为受到奖励还是惩罚；这个共同体过去的预测与判断记录如何；利益冲突是否披露；不同共同体之间能否交叉审计；看似独立的结论是否共享同一个数据来源，人数多替代不了独立性；核验这些条件的成本，是否与这个判断的重要性相称。对低风险判断，合理的证言依赖本身就是正确选择；个人可以利用专业分工，同时保留选择来源、升级核验与撤回信任的程序。把判断整体托付给单一社群，无论那个社群多么正确，机制上仍然是权威法。</w:t>
      </w:r>
    </w:p>
    <w:p>
      <w:r>
        <w:t xml:space="preserve">在这个前提下，共同体的第一项价值是反馈。独自学习最容易出现两种偏差。自我放过：很多漏洞你不会主动去发现。自我拔高：把熟悉感与流畅感误读为能力。把理解暴露给高标准的他人，这两种偏差会很快显形。群体本身不会自动纠错，同质的群体同样可以稳定地一起犯错。《学记》说：“独学而无友，则孤陋而寡闻。”犹太经学传统把它做成了制度：哈弗鲁塔，两人一组逐句研读、互相诘难；《阿伯特篇》把“为自己找一位老师，为自己得一位同伴”并列为求知的基础。</w:t>
      </w:r>
    </w:p>
    <w:p>
      <w:r>
        <w:t xml:space="preserve">第二项价值更深，也更少被文字传统承认：共同体承载着无法完全写下来的知识。波兰尼在 1966 年说“我们知道的多于我们能说出的”，给这类知识起名为默会知识；奥克肖特称之为实践知识，与可以成文的技术知识相对。对这件事最生动的早期陈述之一，出自《庄子·天道》。轮扁对齐桓公说，斫轮“徐则甘而不固，疾则苦而不入，不徐不疾，得之于手而应于心，口不能言，有数存焉于其间”：分寸长在手上、应在心里，嘴上说不出来。轮扁由此断言，圣人之书不过是古人的糟粕。《养生主》里的庖丁解牛是同一命题的正面版本：“官知止而神欲行。”值得注意的是，庖丁也说“每至于族，吾见其难为，怵然为戒，视为止，行为迟”：遇到筋骨交错之处，高手同样会停下来、放慢。熟练的从容，包括知道在哪里不能从容。</w:t>
      </w:r>
    </w:p>
    <w:p>
      <w:r>
        <w:t xml:space="preserve">这里要分开三个常被混同的概念：不可完全言明、不可外显化、不可学习。第一项成立，推不出后两项。默会的成分可以被部分地外显和传递：视频与慢动作分析、模拟训练、案例比较、认知任务分析、专家边做边说、清单与程序化支持、传感器与数据反馈、错误样例库、刻意练习与即时纠正，都在做这件事，在航空、外科与竞技体育里已经做了几十年。准确表述是：长期参与真实实践、观察高手并获得针对性的反馈，是获取默会知识的重要途径之一；文字材料能提供框架与线索，通常难以单独完成全部的传递。师徒制是一条信息量很大的通道，效果取决于示范质量、任务机会与纠错条件，资历与在场本身保证不了所传内容的可靠。莱夫与温格称这条通道为“合法的边缘性参与”。流行写作喜欢用镜像神经元来解释这类传递，那套说法的证据远不足以支撑它的传播度。本文推测，优先级的直觉、对异常信号的敏感、判断证据靠不靠谱的手感、在压力下收缩问题边界的方式，这些拉开差距的能力，主要经由这条通道获得</w:t>
      </w:r>
      <w:r>
        <w:rPr>
          <w:color w:val="4F6478"/>
        </w:rPr>
        <w:t xml:space="preserve">〔C〕</w:t>
      </w:r>
      <w:r>
        <w:t xml:space="preserve">；第十四章讨论的品味，很大一部分也是这样传递的。</w:t>
      </w:r>
    </w:p>
    <w:p>
      <w:r>
        <w:t xml:space="preserve">从更大尺度看，科学是一种社会认识论装置，默顿把“有组织的怀疑”列为它的规范内核。默顿列出的是科学应当遵循的规范，现实中的科学共同体在多大程度上做到了，是一个经验问题。它最珍贵的地方，是建立了一套让错误更容易暴露、让结论更容易追踪与修正的制度。终身学习者可以给自己搭一个小型版本：有可以讨论的人，有能指出漏洞的对象，有需要经受检验的输出，有愿意回头修订的习惯。脱离了纠错环境的个人，容易在自洽中越来越偏离证据。</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为你的主要学习领域，找到至少一位能指出你错误的人。约定每月请对方看你的一份输出，并记录对方指出的问题是否在下一份输出里消失了。</w:t>
      </w:r>
    </w:p>
    <w:p>
      <w:pPr>
        <w:pStyle w:val="Heading2"/>
      </w:pPr>
      <w:r>
        <w:t xml:space="preserve">十六　第二大脑：《斐德罗篇》的回声</w:t>
      </w:r>
    </w:p>
    <w:p>
      <w:r>
        <w:t xml:space="preserve">关于认知外包，最常被引用的文本出自柏拉图的《斐德罗篇》。苏格拉底转述了一个埃及传说：神明图特向国王塔姆斯献上文字，称它是记忆与智慧的良药；塔姆斯回答，这项发明会在学习者的灵魂里播下遗忘，人们将依赖外在的符号，内在的记忆不再被操练，他们得到的只是提醒，只是智慧的外观。这是柏拉图写下的哲学思想实验。</w:t>
      </w:r>
    </w:p>
    <w:p>
      <w:r>
        <w:t xml:space="preserve">事后看，塔姆斯说对了一部分：某些记忆实践确实萎缩了，特定形式的记忆训练在识字社会中不再普遍，虽然多个地区的活态口述史诗传统至今仍有传承。塔姆斯也说错了一部分：文字成了智慧积累的前提，科学、法律与跨代的知识积累都建立在外部记忆之上；这个警告能流传至今，靠的也是柏拉图把它写了下来。更谨慎的结论是：认知外包可能改善当前任务表现，也可能改变内部编码与练习的机会；不同能力的增减不一定等量，也没有被证明的零和关系</w:t>
      </w:r>
      <w:r>
        <w:rPr>
          <w:color w:val="4F6478"/>
        </w:rPr>
        <w:t xml:space="preserve">〔C〕</w:t>
      </w:r>
      <w:r>
        <w:t xml:space="preserve">。要问的是：被交换掉的那种能力，对你的目标是否承重。第十七章把这个问题写成“摩擦记账”：区分哪些摩擦属于有效加工。</w:t>
      </w:r>
    </w:p>
    <w:p>
      <w:r>
        <w:t xml:space="preserve">荀子站在这场辩论的另一端，两端都有道理。“君子生非异也，善假于物也”，把善于借助外物当作高手的特征。塔姆斯与荀子之间的张力，构成了认知外包的设计空间：外包什么，保留什么。学习者一直在这个空间里摸索：文艺复兴的摘录册传统中，伊拉斯谟教学生分类摘抄，洛克发表过自己的索引编法；卢曼的卡片盒是它的一种现代形态。</w:t>
      </w:r>
    </w:p>
    <w:p>
      <w:r>
        <w:t xml:space="preserve">现代认知科学补上了理论与测量，要分三层来看。克拉克与查尔默斯 1998 年的延展心智论题，是哲学上的功能等价论题：一个外部工具被可靠地携带、随时调用、其内容被自动信任时，它在功能上已经是认知系统的一部分。韦格纳的交互记忆研究，是团队层面的实验发现：长期协作的伴侣与团队会自发分工，各自记忆不同领域，整体记忆容量超过任何个体。第三层是个人的能力：前两层都没有直接回答，长期外包会怎样改变个人的独立能力。</w:t>
      </w:r>
    </w:p>
    <w:p>
      <w:r>
        <w:t xml:space="preserve">实验证据在当前任务表现上支持外包。伯内特与里士满的研究报告了两项综合分析：可以把记忆任务卸载给外部工具时，记忆任务表现更好，个体之间的差异也更小</w:t>
      </w:r>
      <w:r>
        <w:rPr>
          <w:color w:val="4F6478"/>
        </w:rPr>
        <w:t xml:space="preserve">〔E3〕</w:t>
      </w:r>
      <w:r>
        <w:t xml:space="preserve">。这两项分析出自同一篇论文，彼此不构成独立的重复。边界条件同样重要：强制卸载的收益大于自选卸载，被试内设计中的收益大于被试间设计；缩小个体差异的效应，在成人身上大于儿童，在前瞻记忆任务上大于回溯记忆任务。这里的“表现”指允许卸载时的任务表现；长期卸载对独立能力的影响，需要纵向研究来回答。</w:t>
      </w:r>
    </w:p>
    <w:p>
      <w:r>
        <w:t xml:space="preserve">外包的代价是有条件的。它有时减少内部编码，有时释放资源、促进更高层的加工，有时还能通过记录、检索与重新组织增强长期记忆。斯托姆与斯通在 2015 年发现，把前一份材料保存下来这个动作，会改善对下一份材料的学习与记忆；当保存被认为不可靠，或者前一份材料少到不足以造成干扰时，这个好处就消失了</w:t>
      </w:r>
      <w:r>
        <w:rPr>
          <w:color w:val="4F6478"/>
        </w:rPr>
        <w:t xml:space="preserve">〔E2〕</w:t>
      </w:r>
      <w:r>
        <w:t xml:space="preserve">。结果取决于外包发生在加工之前、之中还是之后，以及工具是否替代了目标能力本身。这是一个可以设计的变量。</w:t>
      </w:r>
    </w:p>
    <w:p>
      <w:r>
        <w:t xml:space="preserve">分界线要按任务画。“结构内化，细节索引”这个口号抓住了多数的情况，要接上第三章的五变量决策才完整。判断标准、典型模式、核心概念之间的关系、常见错误的样子，通常落在内化的一侧，因为它们承载压缩与迁移；原始出处、引文、案例库、待核对的数据、项目的状态，通常落在索引的一侧。有争议的内容，记下来源与条件；准备长期依赖的内容，多做几轮检索与输出，让它进入真正可以调用的层面。</w:t>
      </w:r>
    </w:p>
    <w:p>
      <w:pPr>
        <w:pStyle w:val="Heading3"/>
      </w:pPr>
      <w:r>
        <w:t xml:space="preserve">高风险知识：内化与核验一起用</w:t>
      </w:r>
    </w:p>
    <w:p>
      <w:r>
        <w:t xml:space="preserve">高风险细节需要多层保障。学习者需要掌握关键概念、危险识别与基本操作能力，同时在适当的环节使用有效版本的规范、计算工具、清单与专业复核。药物剂量、法律时效、工程参数这类细节，会随对象、条件与版本变化，笼统地规定“全部记住、不必查证”，本身就是一种风险来源，也与第三章“低频但高风险的内容，建立核验程序与冗余来源”相冲突。对真正要求即时反应的任务，应当通过合适训练建立可以调用的能力，并预先设计核验、回退与升级方式；条件满足不了安全要求时，暂停或者寻求支持。</w:t>
      </w:r>
    </w:p>
    <w:p>
      <w:r>
        <w:t xml:space="preserve">专业实践保留外部核验，不表示能力不足。世界卫生组织的手术安全核查表是一个制度化的例子。在八个国家、八个城市的八家医院所做的前后对照研究中，引入核查表之后，死亡率从 1.5% 降到 0.8%，住院并发症从 11.0% 降到 7.0%（Haynes 等 2009）；后来加拿大安大略省全省推行核查表之后，没有观察到死亡率或并发症的显著下降（Urbach 等 2014）</w:t>
      </w:r>
      <w:r>
        <w:rPr>
          <w:color w:val="4F6478"/>
        </w:rPr>
        <w:t xml:space="preserve">〔E2〕</w:t>
      </w:r>
      <w:r>
        <w:t xml:space="preserve">。两项研究设计不同：前一项是非随机的前后对照，后一项是全省推行后的观察；效果差异来自实施方式还是研究设计，目前分不开。</w:t>
      </w:r>
    </w:p>
    <w:p>
      <w:pPr>
        <w:pStyle w:val="Heading3"/>
      </w:pPr>
      <w:r>
        <w:t xml:space="preserve">外部知识系统的最低可靠性标准</w:t>
      </w:r>
    </w:p>
    <w:p>
      <w:r>
        <w:t xml:space="preserve">这条边界直接改变记笔记的方式。笔记要能被检索，并能直接用于当前的工作；只往里堆、再也不用的笔记没有价值。要达到可用，至少需要四组标准。</w:t>
      </w:r>
    </w:p>
    <w:p>
      <w:r>
        <w:t xml:space="preserve">内容分层。至少分开原文、作者概括与自己的判断。保存直接出处与具体位置，记录内容对应的日期、版本与对象，对高风险规则记录复核条件，对不确定材料标注状态，免得检索时与确定的结论混在一起。</w:t>
      </w:r>
    </w:p>
    <w:p>
      <w:r>
        <w:t xml:space="preserve">检索验收。每次检索都检查三个问题：找到的是正确对象吗；信息是否仍然有效；它是否真的支持现在的结论。准确引用可能因为对象不同而不适用，真实研究可能只支持很窄的结论，旧规范可能已经被更新。找到链接，不算完成了查询。</w:t>
      </w:r>
    </w:p>
    <w:p>
      <w:r>
        <w:t xml:space="preserve">冗余避免共同来源。两个网站转述同一篇文章，不算双重证实；同一个模型的自我检查，不算独立验证；来自同一个过期数据库的两份答案，可能一起错。独立性要在资料来源、方法与测量三个层面分别检查。</w:t>
      </w:r>
    </w:p>
    <w:p>
      <w:r>
        <w:t xml:space="preserve">故障回退。工具失效时要有明确办法：离线保存关键资料、备份、恢复版本、升级到专业支持的路径，以及停止操作的条件。需要离线可用的知识，可以记在脑中，也可以存在经过验证的离线工具里。</w:t>
      </w:r>
    </w:p>
    <w:p>
      <w:r>
        <w:t xml:space="preserve">人和工具最好的关系，是各自放在最擅长的位置上，下一章检验这句话。</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给你的笔记系统加三个字段：出处与位置；核验日期；状态（确定、待核、有争议）。</w:t>
      </w:r>
    </w:p>
    <w:p>
      <w:pPr>
        <w:pStyle w:val="Heading2"/>
      </w:pPr>
      <w:r>
        <w:t xml:space="preserve">十七　生成式人工智能：评估瓶颈与验证不对称</w:t>
      </w:r>
    </w:p>
    <w:p>
      <w:r>
        <w:t xml:space="preserve">生成式人工智能是认知技术序列里最新的一环：文字、印刷、计算器、搜索引擎，每一项都重新分配过认知的负荷，计算器与许多软件早已在替人执行运算、判断与转换。生成式模型的特殊之处，在于覆盖的范围与形式：它用自然语言承接起草、概括、解释、推导这类开放的任务，而第三部已经说明，这类生成性加工，正是学习的有效成分之一。这一次，工具触及了练习本身。</w:t>
      </w:r>
    </w:p>
    <w:p>
      <w:pPr>
        <w:pStyle w:val="Heading3"/>
      </w:pPr>
      <w:r>
        <w:t xml:space="preserve">当前的证据（整段带保质期）</w:t>
      </w:r>
    </w:p>
    <w:p>
      <w:r>
        <w:t xml:space="preserve">以下证据逐条标注等级，它们都会随模型迭代而过时。</w:t>
      </w:r>
    </w:p>
    <w:p>
      <w:r>
        <w:t xml:space="preserve">最干净的一项随机实验来自巴斯塔尼团队。土耳其一所高中的近千名学生学习数学，分为三组。使用普通 GPT 界面的一组，在有 AI 陪伴的练习中，成绩比对照组相对高约 48%。研究者设计的“导师版”，在提示词里写入了教师提供的解法与常见错误，只给递进的提示，拒绝直接给出完整答案，练习成绩相对高约 127%。这两个数字都是相对变化，读作百分点会夸大差异。撤掉 AI 独立考试时，普通版组比从未使用 AI 的对照组相对低约 17%，导师版组与对照组之间没有检出显著差异</w:t>
      </w:r>
      <w:r>
        <w:rPr>
          <w:color w:val="4F6478"/>
        </w:rPr>
        <w:t xml:space="preserve">〔E2〕</w:t>
      </w:r>
      <w:r>
        <w:t xml:space="preserve">。研究者称之为拐杖效应：学生用模型直接索取答案，练习成绩与真实学习就此脱钩。作者在文中写道，损害在导师版中基本被消除，但他们也没有观察到正效应。</w:t>
      </w:r>
    </w:p>
    <w:p>
      <w:r>
        <w:t xml:space="preserve">这项研究的价值，恰恰在于它自己划下的界线。第一，正式发表时，标题从工作论文阶段的“生成式 AI 会损害学习”，改为“没有护栏的生成式 AI 会损害学习：来自高中数学的证据”；该研究在 2025 年 8 月 20 日发布过一份正式更正，只涉及一位作者的所属单位</w:t>
      </w:r>
      <w:r>
        <w:rPr>
          <w:color w:val="4F6478"/>
        </w:rPr>
        <w:t xml:space="preserve">〔事实登记：原稿记录〕</w:t>
      </w:r>
      <w:r>
        <w:t xml:space="preserve">。标题的修改本身就是边界条件。第二，导师版在独立考试中“没有检出显著差异”，这既没有建立等效，也没有建立不劣，更没有建立长期的安全。该研究结果表中，导师组的考试系数约为 −0.004，标准误约为 0.013；按正态近似，95% 区间约为 [−0.029, 0.021]，若成绩按 0 到 1 的比例计分，对应约 −3 到 +2 个百分点。这是本文所作的近似计算，正式推断以原研究为准。它说明，一个在零附近、不显著的估计，仍然容得下一定程度的损失或收益。第三，导师版同时改变了教师材料、提示策略与答案限制等多个成分，这项实验无法单独证明“只提示、不给答案”就是起作用的那个成分。</w:t>
      </w:r>
    </w:p>
    <w:p>
      <w:r>
        <w:t xml:space="preserve">在这些限定之下，它仍然支持一个谨慎的判断：同一项技术，仅仅因为交互设计不同，撤掉 AI 之后的学习结果，可以从显著为负变为未检出差异。结论限于该样本、该设计、该模型配置、该结果指标与该测量时距。</w:t>
      </w:r>
    </w:p>
    <w:p>
      <w:r>
        <w:t xml:space="preserve">另一端的证据同样要记录。凯斯廷等人 2025 年在哈佛大学的一门物理课上做了一项随机交叉研究，约 194 名学生，两个课次：一个课次在课堂上接受主动学习教学，另一个课次在课外使用按同样教学原则设计的 AI 导师。与课堂主动学习相比，使用 AI 导师时，学生在即时后测中学到更多，用时更少（中位用时约 49 分钟对 60 分钟）</w:t>
      </w:r>
      <w:r>
        <w:rPr>
          <w:color w:val="4F6478"/>
        </w:rPr>
        <w:t xml:space="preserve">〔E2〕</w:t>
      </w:r>
      <w:r>
        <w:t xml:space="preserve">。这项研究只有即时测验，没有延迟的保持测验，课次少、场景单一，不能证明长期保持与远迁移。它与高中数学的研究一起，指向一个更精确的问题：哪一种系统，对哪些学习者，在什么比较与测量条件下有帮助。</w:t>
      </w:r>
    </w:p>
    <w:p>
      <w:r>
        <w:t xml:space="preserve">元分析层面的图景，要拆开来读。Chen 与 Cheung 2025 年汇总 57 项研究、97 个效应量，报告生成式 AI 对大学生学习结果的总体效应 g⁺ 约为 0.80；其中语言技能的效应极大（g⁺ 约为 2.3），学业成绩与情感动机的效应较大，高阶思维为中等，元认知的综合效应不显著</w:t>
      </w:r>
      <w:r>
        <w:rPr>
          <w:color w:val="4F6478"/>
        </w:rPr>
        <w:t xml:space="preserve">〔E2〕</w:t>
      </w:r>
      <w:r>
        <w:t xml:space="preserve">。在教育研究里，2.3 这样的标准化效应极不寻常，更可能提示测量与设计的问题，本文没有重新评估其纳入研究质量与偏倚</w:t>
      </w:r>
      <w:r>
        <w:rPr>
          <w:color w:val="4F6478"/>
        </w:rPr>
        <w:t xml:space="preserve">〔C〕</w:t>
      </w:r>
      <w:r>
        <w:t xml:space="preserve">。过程研究另有发现：Fan 等人 2025 年对 117 名大学生的研究报告，获得 AI 反馈的学习者短期作业更好，自我监控与规划的行为却减少了</w:t>
      </w:r>
      <w:r>
        <w:rPr>
          <w:color w:val="4F6478"/>
        </w:rPr>
        <w:t xml:space="preserve">〔E2〕</w:t>
      </w:r>
      <w:r>
        <w:t xml:space="preserve">。短期行为变化，不能直接等同于永久的能力退化。整个领域异质性高，干预通常很短，模型快速迭代，发表偏倚与对照条件的质量也会影响平均数；第十二章记录的撤稿，正是这个领域增长最快的证据形式出了问题。</w:t>
      </w:r>
    </w:p>
    <w:p>
      <w:r>
        <w:t xml:space="preserve">模型在制造流畅性错觉上有系统性的优势。Peters 与 Chin-Yee 2025 年检验了 10 个模型生成的 4,900 份科学文献概括，发现它们把有限定的结论过度泛化为宽泛断言的倾向，明显高于人类作者，较新的模型也未必更克制</w:t>
      </w:r>
      <w:r>
        <w:rPr>
          <w:color w:val="4F6478"/>
        </w:rPr>
        <w:t xml:space="preserve">〔E2〕</w:t>
      </w:r>
      <w:r>
        <w:t xml:space="preserve">。</w:t>
      </w:r>
    </w:p>
    <w:p>
      <w:pPr>
        <w:pStyle w:val="Heading3"/>
      </w:pPr>
      <w:r>
        <w:t xml:space="preserve">三条结构性原则</w:t>
      </w:r>
    </w:p>
    <w:p>
      <w:r>
        <w:t xml:space="preserve">证据会过时，这一章更重要的任务，是提炼几条在模型换代之后仍可能成立的原则。以下三条都是作者框架</w:t>
      </w:r>
      <w:r>
        <w:rPr>
          <w:color w:val="4F6478"/>
        </w:rPr>
        <w:t xml:space="preserve">〔C〕</w:t>
      </w:r>
      <w:r>
        <w:t xml:space="preserve">，每条附有检验方式。</w:t>
      </w:r>
    </w:p>
    <w:p>
      <w:r>
        <w:t xml:space="preserve">第一条，评估瓶颈。生成变得近乎免费时，稀缺的环节变成三件事：提出问题，判断什么值得做；评估产出，判断一个流畅的东西是否正确、是否够好；最终核验与担责。评估调用的，正是第四章的图式与第一章的压缩：判断一段论证是否成立、一个方案是否漏掉了要害、一处翻译是否准确传达原意，都需要对这个领域有足够的内部结构。评估能力也可以借助外部：通过形式验证、独立专家、测试套件、交叉模型与制度化审查，人可以评估超出个人完整生成能力的产物，整个现代科学与工程制度就建立在这件事上。所以这条原则限定在一种情形：核验依赖与生成相同的领域能力，又缺少独立的验证机制，这时过度外包会削弱个人的质检能力。生成成本与评估价值的关系，也随任务、制度与能力分工而变化。检验方式：让领域知识测验的高分者与低分者使用同一个生成工具完成同类的任务。这条原则预测，两组产出的流畅度差别小，错误检出率与最终质量差别大；如果差别主要出现在流畅度上，而检错率相当，这条原则需要修订。</w:t>
      </w:r>
    </w:p>
    <w:p>
      <w:r>
        <w:t xml:space="preserve">第二条，验证不对称。核验成本是决定是否委托的重要变量，要与核验覆盖、独立性和错误后果一起评估。一类任务，核验相对便宜，而且你确实有核验的能力：代码可以跑测试，计算可以验算，引文可以回查原文。另一类任务，核验所需能力与生成所需能力是同一种：判断一篇综述是否公允，你得熟悉这个领域；判断一个论证是否成立，你得能自己走一遍推理。便宜的核验也不能单独保证安全：代码通过测试，只说明它通过了这些测试；引文能打开，只说明来源存在；答案形式正确，也可能没有回答真正的问题。所以“核验便宜的地方放心外包”，还要加一个条件：核验是否覆盖了真正重要的失败模式。检验方式：在一组任务上分别测量核验成本与核验覆盖率。这条原则预测：在核验便宜、且覆盖关键失败模式的任务上，外包后的最终错误率与人工完成相当或更低；在核验需要同等领域能力的任务上，外包后的错误率上升，而且使用者的领域知识越少，上升越多。</w:t>
      </w:r>
    </w:p>
    <w:p>
      <w:r>
        <w:t xml:space="preserve">第三条，摩擦记账。AI 的默认行为是消除摩擦，而第三部说明，有一类摩擦就是学习本身：提取时的挣扎、讲解之前的碰壁、自己组织解释的负荷。这条原则要求在每个工作流上区分两种摩擦：无关负荷，删掉它是纯收益；有效加工，删掉它就删掉了学习。这个区分需要实际验收：某项摩擦是否属于有效加工，要看撤除支持之后，独立表现是否下降。检验方式：对同一学习目标比较三种安排，全部人工、AI 直接给答案、先独立尝试再由 AI 给反馈。这条原则预测，撤除 AI 之后的独立表现排序为：先尝试后反馈，不低于全部人工，两者都高于直接给答案。这个预测限于已有基本理解的学习者；对先验知识少的学习者，完整样例加讲解可能更好（第七章）。所以更完整的安排是：先形成最低限度的理解（样例与讲解，可以由 AI 提供），再独立尝试，然后请 AI 反馈，最后在撤掉 AI 的条件下验收。巴斯塔尼的结果与“直接给答案”一侧的预测一致；它的导师版同时改变了多个成分，还不能单独检验“先尝试后反馈”这一环。</w:t>
      </w:r>
    </w:p>
    <w:p>
      <w:pPr>
        <w:pStyle w:val="Heading3"/>
      </w:pPr>
      <w:r>
        <w:t xml:space="preserve">用条件期望损失选择工作流</w:t>
      </w:r>
    </w:p>
    <w:p>
      <w:r>
        <w:t xml:space="preserve">比较工作流时，一个可以解释的起点是条件期望损失。先明确工作流 w、任务背景 x，以及可能的错误事件：</w:t>
      </w:r>
    </w:p>
    <w:p>
      <w:pPr>
        <w:spacing w:after="120" w:before="120" w:line="360"/>
        <w:ind w:firstLine="0"/>
        <w:jc w:val="center"/>
      </w:pPr>
      <w:r>
        <w:t xml:space="preserve">预期损失（w｜x）= Σ P（错误事件｜w, x）× 损失（错误事件, w, x）</w:t>
      </w:r>
    </w:p>
    <w:p>
      <w:r>
        <w:t xml:space="preserve">使用它需要满足几个条件。错误事件互斥、且覆盖了相关的结果时，求和直接得到期望损失；错误类别会重叠时，要定义联合状态，避免重复计算同一个后果；概率与损失未知时，报告范围与敏感性，不要填入编造的精确数字。影响错误概率的量，包括核验覆盖、核验者与生成者是否共享错误来源、测试质量、资料质量与模型版本；进入损失的量，包括发现错误的延迟、扩散范围与不可逆性。学习机会成本、核验时间、隐私与授权成本，另行登记。</w:t>
      </w:r>
    </w:p>
    <w:p>
      <w:r>
        <w:t xml:space="preserve">低概率、高损失的问题不能只看均值，要设置硬约束：关键事实未经核实，不交付；未经授权，不执行；涉及无法承受的后果时，必须升级到专业审查。可以接受的风险，由实际责任主体定义。工作流可以按同一套标准比较：全部人工；AI 生成后人工检查；AI 只提供提示；检索约束下的生成；多来源交叉核验；形式化测试；专家签核；沙箱试运行。这个模型是设计框架</w:t>
      </w:r>
      <w:r>
        <w:rPr>
          <w:color w:val="4F6478"/>
        </w:rPr>
        <w:t xml:space="preserve">〔C〕</w:t>
      </w:r>
      <w:r>
        <w:t xml:space="preserve">，它让每个量都有明确含义，能指出哪些已知、哪些未知；真正使用时，仍须收集任务特定的错误率、覆盖率、损失与成本数据。</w:t>
      </w:r>
    </w:p>
    <w:p>
      <w:pPr>
        <w:pStyle w:val="Heading3"/>
      </w:pPr>
      <w:r>
        <w:t xml:space="preserve">四种辅助角色</w:t>
      </w:r>
    </w:p>
    <w:p>
      <w:r>
        <w:t xml:space="preserve">在这些原则之下，生成式 AI 在终身学习里有四类值得考虑的角色。脚手架：快速进入陌生的领域，生成入门地图与问题清单，减少无关的摩擦；前提是随着先验知识的增长而调整，否则它会成为专长反转效应的新来源。变体生成器：让同一个结构以多种表述、例子、类比与练习形式出现，第八章说明过，变式是迁移的原料。对抗性陪练：让它专门反驳你的论证、挑剔你的结构、攻击你的置信区间，把它接入第十三章的校准循环。整理工具：重组材料、比较版本、初步梳理线索。</w:t>
      </w:r>
    </w:p>
    <w:p>
      <w:r>
        <w:t xml:space="preserve">使用时还要登记三项：信息安全与授权边界；来源可追溯性；模型与数据版本。凡涉及最终事实判断、关键结论采信、研究质量辨别与高代价决策，输出都应当进入经过验证的核验与授权流程，核验者可以是合适的人、形式化工具，或两者组合。使用者本人是否还需要保有独立能力，由学习目标与接管要求决定。最有生长性的那部分阻力一旦被全部移除，学习者就只剩阅读 AI 的输出。导论里的流畅性错觉，在这里多了一个来源：机器生成的流畅感。</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每次用 AI 辅助学习之前，先写一行：这次的目标是培养独立的能力，还是可靠地完成工作？前者先形成最低限度的理解，再自己尝试，然后请 AI 反馈，最后撤掉 AI 验收；后者把核验步骤写进流程。</w:t>
      </w:r>
    </w:p>
    <w:p>
      <w:pPr>
        <w:pStyle w:val="Heading1"/>
        <w:pageBreakBefore/>
      </w:pPr>
      <w:r>
        <w:t xml:space="preserve">第七部　时间中的系统</w:t>
      </w:r>
    </w:p>
    <w:p>
      <w:pPr>
        <w:spacing w:after="200" w:before="60" w:line="320"/>
        <w:ind w:left="1260" w:right="420" w:firstLine="0"/>
      </w:pPr>
      <w:r>
        <w:rPr>
          <w:rFonts w:ascii="Times New Roman" w:cs="Times New Roman" w:eastAsia="楷体" w:hAnsi="Times New Roman"/>
          <w:color w:val="404040"/>
        </w:rPr>
        <w:t xml:space="preserve">苟日新，日日新，又日新。——《礼记·大学》引汤之盘铭</w:t>
      </w:r>
    </w:p>
    <w:p>
      <w:r>
        <w:t xml:space="preserve">系统建成只是故事的一半，时间也会改变学习系统。模型会固化，环境会漂移，昨天的最优配置会变成明天的路径依赖。传世文献说商汤把“日新”刻在盥洗用的盘上，这段文字经《大学》转引，器物的来源无法考实。这个意象仍然有用：持续更新违背系统的自然趋势，需要制度化的提醒。这一部处理学习系统的长期动力学：怎样改写旧结构，怎样为探索留出预算，怎样在任务与先验变化时重新诊断瓶颈。</w:t>
      </w:r>
    </w:p>
    <w:p>
      <w:pPr>
        <w:pStyle w:val="Heading2"/>
      </w:pPr>
      <w:r>
        <w:t xml:space="preserve">十八　去学习与探索预算</w:t>
      </w:r>
    </w:p>
    <w:p>
      <w:r>
        <w:t xml:space="preserve">图式一旦太稳，就带来一种危险：它让你越来越擅长处理旧世界，也越来越难看见新世界。结构的稳定带来调用的惯性。</w:t>
      </w:r>
    </w:p>
    <w:p>
      <w:r>
        <w:t xml:space="preserve">这种惯性有八十多年的实验史。卢钦斯 1942 年的量水壶实验中，被试先用一套三步解法连续解题，随后遇到一道有更简单解法的新题，多数人仍然套用旧的三步，这就是定势效应。邓克尔的蜡烛实验展示了它的近亲，功能固着：盒子一旦被看作容器，就很难被看作烛台。两者说的是同一件事：成功的旧框架，会在不适用的情境里仍被优先使用</w:t>
      </w:r>
      <w:r>
        <w:rPr>
          <w:color w:val="4F6478"/>
        </w:rPr>
        <w:t xml:space="preserve">〔E3〕</w:t>
      </w:r>
      <w:r>
        <w:t xml:space="preserve">。经验给你速度，也给你盲区。</w:t>
      </w:r>
    </w:p>
    <w:p>
      <w:r>
        <w:t xml:space="preserve">所以终身学习在累积之外，还需要“去学习”。这个词要定义准确，否则会滑向持续的自我否定。旧知识很少被真正清除，也不该被清除。本文把去学习拆成六件更具体的事</w:t>
      </w:r>
      <w:r>
        <w:rPr>
          <w:color w:val="4F6478"/>
        </w:rPr>
        <w:t xml:space="preserve">〔C〕</w:t>
      </w:r>
      <w:r>
        <w:t xml:space="preserve">，每件都有自己的行为指标。降低旧规则的默认调用优先级：看混合情境中首选新规则的比例。学习新的情境判别线索：看区分适用与不适用情形的准确率。为例外条件建立索引：看能否主动说出已知的例外。增加替代模型：看面对同一个问题能提出几种解释。改写决策阈值：看在什么证据水平上改变行动。在新环境中重新校准：看置信度与实际结果的匹配是否恢复。</w:t>
      </w:r>
    </w:p>
    <w:p>
      <w:r>
        <w:t xml:space="preserve">很多专家的更新，是保留旧模型的适用范围，同时为新情境增加更高层的控制规则。牛顿力学至今仍在使用，它的适用尺度被重新限定了。需要处理的，是那些已经妨碍更新的结构：哪些假设已经过期；哪些方法在新环境里只剩下路径依赖；哪些高效率掩盖了视野的变窄；哪些成功经验开始妨碍你识别例外。</w:t>
      </w:r>
    </w:p>
    <w:p>
      <w:r>
        <w:t xml:space="preserve">朱熹说：“读书无疑者须教有疑，有疑者却要无疑，到这里方是长进。”产生疑问与降低置信度是两件事：前者关乎提出问题，后者关乎分配概率。</w:t>
      </w:r>
    </w:p>
    <w:p>
      <w:r>
        <w:t xml:space="preserve">这也是探索预算的由来。马奇 1991 年对组织学习的分析，给出了这对张力的经典形式：利用，深耕已知的高产区；探索，为未知付出当期的代价。这是组织层面的模型，搬到个人身上需要桥接：个人的时间分配、反馈周期与激励结构，都与组织不同；“利用会挤出探索”在个人层面是一种值得警惕的倾向，还没有被证明为规律。可以确定的是，探索的回报延迟而且不确定，延迟的回报在缺少保护时容易被压缩。所以探索值得以预算的形式受到保护：刻意留出一部分时间与注意力，用于接触陌生的理论、跨领域的结构、反常的案例，以及与你当前立场冲突的高质量材料。主线筛选与探索通道使用不同阈值，第三章“主动错过”的纪律只适用于主线。</w:t>
      </w:r>
    </w:p>
    <w:p>
      <w:r>
        <w:t xml:space="preserve">预算需要两条约束，否则会退化。探索要有问题的牵引：接触的内容仍然要高质量，仍然有可能触发结构同构、问题重述与假设修正；完全随机地接触新奇的内容，容易退化成高级的信息消费。探索要有与资源约束相匹配的停止规则：有些方向可以事先设定退出条件；有些基础性的探索短期看不到成果，仍然可能有价值。停止规则依据资源与目标来定；短期内看不到联系，属于探索的正常状态。</w:t>
      </w:r>
    </w:p>
    <w:p>
      <w:r>
        <w:t xml:space="preserve">一个值得长期保持的习惯，是给自己留一座“反图书馆”：那些你知道重要、却还没读、还没会、还没看懂的材料清单。这个意象通常追溯到埃科的私人藏书与塔勒布的转述；波普尔另有一句相关的话：我们的知识只能是有限的，我们的无知必然是无限的。一堆没打开过的书也可以只是装饰。更好的反图书馆记录四件事：我缺什么；为什么重要；什么事件会触发我去读它；读完之后要回答什么问题。定期删除失去相关性的条目，与继续增加条目同样合理。它的作用，是持续压低你对自己已经闭环的估计。</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每季度列出你最常用的三条规则，逐条写下它最近一次失效的情形；写不出来的，专门安排一次反例搜索。</w:t>
      </w:r>
    </w:p>
    <w:p>
      <w:pPr>
        <w:pStyle w:val="Heading2"/>
      </w:pPr>
      <w:r>
        <w:t xml:space="preserve">十九　瓶颈的鉴别诊断</w:t>
      </w:r>
    </w:p>
    <w:p>
      <w:r>
        <w:t xml:space="preserve">学习系统的瓶颈，会随任务与先验的变化而移动。处在不同位置的人，看似都在“学习”，底层的问题却很不同。约束通常同时存在多个，“最短的那块板决定全局”只是便于起步的简化。</w:t>
      </w:r>
    </w:p>
    <w:p>
      <w:r>
        <w:t xml:space="preserve">德雷福斯兄弟描述过从新手到专家的五个阶段：新手依赖明确的规则；高级新手开始认出情境中的要素；胜任者开始整体规划；精通者直接感知情境的要害；专家判断已经融入直觉。本文把它当作描述性的框架使用</w:t>
      </w:r>
      <w:r>
        <w:rPr>
          <w:color w:val="4F6478"/>
        </w:rPr>
        <w:t xml:space="preserve">〔概念框架〕</w:t>
      </w:r>
      <w:r>
        <w:t xml:space="preserve">。它没有证明所有领域都经历固定的阶段，也推不出“专家主要依赖直觉”“规则对成熟者普遍有害”这类结论：专家在高风险、陌生、时间充裕或异常的情境中，仍然会使用显式的规则、清单、模拟与分析。飞行员和外科医生在最关键的时刻，用的恰恰是清单。</w:t>
      </w:r>
    </w:p>
    <w:p>
      <w:r>
        <w:t xml:space="preserve">作为一份初始假设，它仍然有用。刚入门时，常见约束是图式稀薄、词汇不足、负荷过高、容错率低；到了中段，更多卡在方法不升级、复习不得法、输出不足、迁移不够；到了成熟阶段，常见风险变成路径依赖、过度自信、模型老化与对新证据不敏感。各阶段风险的相对大小没有经过验证，不应读成排名。相应地，入门期最需要耐心与支持，先拥有最基本的词汇表、概念地图与代表性范例；成长期拉开差距的，通常是策略升级与输出循环：更频繁地检索，更有间隔地复习，更主动地解释，更早地把知识用到真实任务里；成熟期要警惕一个陷阱：你已经很会了，于是越来越难发现自己哪里不再对。</w:t>
      </w:r>
    </w:p>
    <w:p>
      <w:r>
        <w:t xml:space="preserve">所以诊断瓶颈比盲目勤奋重要。单个症状只能生成初始假设：看了就忘，可能来自图式不足，也可能来自睡眠不足、干扰、编码过浅、材料缺乏意义或提取线索不匹配；分心，可能来自环境，也可能来自任务过载、焦虑、奖励结构、注意障碍或目标冲突。把假设当结论，正是第五章那条链条在方法层面的翻版。</w:t>
      </w:r>
    </w:p>
    <w:p>
      <w:pPr>
        <w:pStyle w:val="Heading3"/>
      </w:pPr>
      <w:r>
        <w:t xml:space="preserve">鉴别诊断：竞争假设与区分性测试</w:t>
      </w:r>
    </w:p>
    <w:p>
      <w:r>
        <w:t xml:space="preserve">可用的流程是：列出竞争解释；写出每种解释预期会出现什么结果；选择能区分它们的测试；施加最小调整；用难度相近的新材料复测。</w:t>
      </w:r>
    </w:p>
    <w:p>
      <w:r>
        <w:t xml:space="preserve">以“合上书无法复述”为例。竞争解释至少包括：阅读时没有理解术语；关系没有被组织起来；提取线索与学习时不匹配；练习量不足；疲劳或状态问题；测验方式本身不合适。它们的预期不同，因此可以设计区分性观察：给出恰当线索后表现改善，增加了线索不匹配的可能；重新解释术语后改善，增加了前置理解不足的可能；换一种测验方式后改善，增加了测验方式有问题的可能。</w:t>
      </w:r>
    </w:p>
    <w:p>
      <w:r>
        <w:t xml:space="preserve">这里必须写下一个限制，否则这套流程会犯它所批评的错误。这些变化提供证据，确定原因还要排除其他解释。更麻烦的是，测验、提示与讲解本身会改变学习状态，后一轮的结果不能当作对原始状态的独立检查。可行的做法是：使用难度相近的新材料，记录间隔、提示与反馈的条件，在最小调整之后复测。几种解释仍然分不开时，保留不确定性。随手挑一个顺眼的结论，等于把假设又当成了结论。第八章末的分支表，服务的正是这一步。</w:t>
      </w:r>
    </w:p>
    <w:p>
      <w:r>
        <w:t xml:space="preserve">专长反转效应、交错收益对材料的依赖、最优唤醒对任务的依赖，已经从三个方向表明，不存在无条件最优的单一方法。广泛有效的原则仍然存在：检索、间隔、反馈与明确目标，在很大的范围内都值得默认采用，具体参数依任务调整。值得追求的，是动态调整的能力：知道当前最受约束的是哪一个变量，知道旧的瓶颈解决之后，系统会冒出什么新问题。</w:t>
      </w:r>
    </w:p>
    <w:p>
      <w:pPr>
        <w:pBdr>
          <w:left w:val="single" w:color="2E5A88" w:sz="18" w:space="8"/>
        </w:pBdr>
        <w:shd w:fill="EEF3F8" w:color="auto" w:val="clear"/>
        <w:spacing w:after="240" w:before="160" w:line="340"/>
        <w:ind w:left="200" w:right="120" w:firstLine="0"/>
      </w:pPr>
      <w:r>
        <w:rPr>
          <w:rFonts w:ascii="Arial" w:cs="Arial" w:eastAsia="黑体" w:hAnsi="Arial"/>
          <w:b/>
          <w:bCs/>
          <w:color w:val="2E5A88"/>
        </w:rPr>
        <w:t xml:space="preserve">落地　</w:t>
      </w:r>
      <w:r>
        <w:t xml:space="preserve">下一次卡住时，先写出至少三个竞争解释和各自预期的结果，再动手调整。</w:t>
      </w:r>
    </w:p>
    <w:p>
      <w:pPr>
        <w:pStyle w:val="Heading1"/>
        <w:pageBreakBefore/>
      </w:pPr>
      <w:r>
        <w:t xml:space="preserve">终章　总装：诊断循环、训练单元与本文的保质期</w:t>
      </w:r>
    </w:p>
    <w:p>
      <w:pPr>
        <w:spacing w:after="200" w:before="60" w:line="320"/>
        <w:ind w:left="1260" w:right="420" w:firstLine="0"/>
      </w:pPr>
      <w:r>
        <w:rPr>
          <w:rFonts w:ascii="Times New Roman" w:cs="Times New Roman" w:eastAsia="楷体" w:hAnsi="Times New Roman"/>
          <w:color w:val="404040"/>
        </w:rPr>
        <w:t xml:space="preserve">The art of progress is to preserve order amid change and to preserve change amid order.（进步的艺术，是在变化中保持秩序，在秩序中保持变化。）——怀特海《过程与实在》</w:t>
      </w:r>
    </w:p>
    <w:p>
      <w:r>
        <w:t xml:space="preserve">把前面各部分收拢起来，一个可以长期运转的学习系统，有一个常被低估的变量：顺序。顺序一错，越努力，越可能是在错误层面上增加投入。目标、资源、环境与外部系统，同样是并行的约束。</w:t>
      </w:r>
    </w:p>
    <w:p>
      <w:r>
        <w:t xml:space="preserve">真实学习几乎从不按目录的顺序发生：身体状态可能先于选材；输出会暴露骨架的缺陷，逼你退回前面的环节；证据审计会推翻你当初的选材；共同体常常决定你最初能看见哪些问题；外部工具可能先帮你搭起入门的地图；迁移失败会反过来改变你的检索与样例设计；瓶颈诊断随时可能打断整个流程。所以下面的八个环节，是一个默认的诊断循环</w:t>
      </w:r>
      <w:r>
        <w:rPr>
          <w:color w:val="4F6478"/>
        </w:rPr>
        <w:t xml:space="preserve">〔C〕</w:t>
      </w:r>
      <w:r>
        <w:t xml:space="preserve">，没有固定的起点。当前的瓶颈决定你从哪里进入，任何环节的反馈都可能要求回到前面。常见进入方式有三种：从症状进入（我合上书说不出来）；从目标进入（三个月后我要独立完成某项任务）；从环境变化进入（工具换代、岗位变化、出现新证据）。</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cantSplit w:val="off"/>
          <w:tblHeader/>
        </w:trPr>
        <w:tc>
          <w:tcPr>
            <w:tcW w:type="dxa" w:w="2166"/>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环节</w:t>
            </w:r>
          </w:p>
        </w:tc>
        <w:tc>
          <w:tcPr>
            <w:tcW w:type="dxa" w:w="6860"/>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要做的事</w:t>
            </w:r>
          </w:p>
        </w:tc>
      </w:tr>
      <w:tr>
        <w:trPr>
          <w:cantSplit w:val="off"/>
          <w:tblHeader w:val="off"/>
        </w:trPr>
        <w:tc>
          <w:tcPr>
            <w:tcW w:type="dxa" w:w="21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目标与验收（导论末节）</w:t>
            </w:r>
          </w:p>
        </w:tc>
        <w:tc>
          <w:tcPr>
            <w:tcW w:type="dxa" w:w="686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回答导论末节的七个问题，给三层目标各写一条验收方式</w:t>
            </w:r>
          </w:p>
        </w:tc>
      </w:tr>
      <w:tr>
        <w:trPr>
          <w:cantSplit w:val="off"/>
          <w:tblHeader w:val="off"/>
        </w:trPr>
        <w:tc>
          <w:tcPr>
            <w:tcW w:type="dxa" w:w="21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选材与信念审计（第一至三章）</w:t>
            </w:r>
          </w:p>
        </w:tc>
        <w:tc>
          <w:tcPr>
            <w:tcW w:type="dxa" w:w="686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决定什么值得进入系统；审计存量信念是被固执、身份型权威还是美感固定的</w:t>
            </w:r>
          </w:p>
        </w:tc>
      </w:tr>
      <w:tr>
        <w:trPr>
          <w:cantSplit w:val="off"/>
          <w:tblHeader w:val="off"/>
        </w:trPr>
        <w:tc>
          <w:tcPr>
            <w:tcW w:type="dxa" w:w="21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建立骨架（第四、五章）</w:t>
            </w:r>
          </w:p>
        </w:tc>
        <w:tc>
          <w:tcPr>
            <w:tcW w:type="dxa" w:w="686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先搭核心词汇、关键区分、基本原理、代表性问题与典型例子；地图本身也要接受检验</w:t>
            </w:r>
          </w:p>
        </w:tc>
      </w:tr>
      <w:tr>
        <w:trPr>
          <w:cantSplit w:val="off"/>
          <w:tblHeader w:val="off"/>
        </w:trPr>
        <w:tc>
          <w:tcPr>
            <w:tcW w:type="dxa" w:w="21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选对加工方式（第六至八章）</w:t>
            </w:r>
          </w:p>
        </w:tc>
        <w:tc>
          <w:tcPr>
            <w:tcW w:type="dxa" w:w="686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尽快从“看懂”切换到“提取”；按与任务相关的先验知识给难度；为迁移设计变式</w:t>
            </w:r>
          </w:p>
        </w:tc>
      </w:tr>
      <w:tr>
        <w:trPr>
          <w:cantSplit w:val="off"/>
          <w:tblHeader w:val="off"/>
        </w:trPr>
        <w:tc>
          <w:tcPr>
            <w:tcW w:type="dxa" w:w="21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身体与执行条件（第九、十章）</w:t>
            </w:r>
          </w:p>
        </w:tc>
        <w:tc>
          <w:tcPr>
            <w:tcW w:type="dxa" w:w="686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把睡眠、恢复、情绪与可执行的安排放回系统的中心</w:t>
            </w:r>
          </w:p>
        </w:tc>
      </w:tr>
      <w:tr>
        <w:trPr>
          <w:cantSplit w:val="off"/>
          <w:tblHeader w:val="off"/>
        </w:trPr>
        <w:tc>
          <w:tcPr>
            <w:tcW w:type="dxa" w:w="21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输出、证据、校准与品味（第十一至十四章）</w:t>
            </w:r>
          </w:p>
        </w:tc>
        <w:tc>
          <w:tcPr>
            <w:tcW w:type="dxa" w:w="686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让模型暴露空洞；外来结论先过因果之梯与统计工具再入库；给判断标上把握度；评价性判断先复现、再偏离</w:t>
            </w:r>
          </w:p>
        </w:tc>
      </w:tr>
      <w:tr>
        <w:trPr>
          <w:cantSplit w:val="off"/>
          <w:tblHeader w:val="off"/>
        </w:trPr>
        <w:tc>
          <w:tcPr>
            <w:tcW w:type="dxa" w:w="21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外部系统（第十五至十七章）</w:t>
            </w:r>
          </w:p>
        </w:tc>
        <w:tc>
          <w:tcPr>
            <w:tcW w:type="dxa" w:w="686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用信任网络获得纠错；按五变量决策管理外部记忆；高风险环节保留核验与冗余；AI 工作流先写目标，再设计</w:t>
            </w:r>
          </w:p>
        </w:tc>
      </w:tr>
      <w:tr>
        <w:trPr>
          <w:cantSplit w:val="off"/>
          <w:tblHeader w:val="off"/>
        </w:trPr>
        <w:tc>
          <w:tcPr>
            <w:tcW w:type="dxa" w:w="21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周期审计（第十八、十九章）</w:t>
            </w:r>
          </w:p>
        </w:tc>
        <w:tc>
          <w:tcPr>
            <w:tcW w:type="dxa" w:w="686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任务、先验与瓶颈都会变；定期去学习，保护探索，重新诊断</w:t>
            </w:r>
          </w:p>
        </w:tc>
      </w:tr>
    </w:tbl>
    <w:p>
      <w:pPr>
        <w:spacing w:after="120" w:before="0"/>
      </w:pPr>
    </w:p>
    <w:p>
      <w:r>
        <w:t xml:space="preserve">各环节之间双向相连，回到任何前面的环节都正常。选择调整哪一环，依据是条件依赖与预期收益：哪个变量当前约束最强，改动它的成本与预期的改善各是多少。检验方式：比较两种学习者，一种按固定顺序走完整套流程，一种按当前瓶颈进入这个循环，看他们达到同一验收标准所需的时间。如果两者没有差异，这个循环只是一张清单，它的“诊断”部分没有带来额外的价值（附录二）。</w:t>
      </w:r>
    </w:p>
    <w:p>
      <w:pPr>
        <w:pStyle w:val="Heading3"/>
      </w:pPr>
      <w:r>
        <w:t xml:space="preserve">一个完整的训练单元</w:t>
      </w:r>
    </w:p>
    <w:p>
      <w:r>
        <w:t xml:space="preserve">抽象的循环需要一个可以复用的实例。本文把一个完整训练单元定为六步</w:t>
      </w:r>
      <w:r>
        <w:rPr>
          <w:color w:val="4F6478"/>
        </w:rPr>
        <w:t xml:space="preserve">〔C〕</w:t>
      </w:r>
      <w:r>
        <w:t xml:space="preserve">：样例与讲解，解释理由，独立尝试，对照反馈，边界题，延迟新题；每一步的验收目的见附录一。下面用导论提到的学习目标作示范：区分两个方向的条件概率，并识别缺少基率时无法作出的推断。以下数字均为演示设定，计算已经复核；它们不描述任何真实的邮件系统，也不报告任何学习实验结果。</w:t>
      </w:r>
    </w:p>
    <w:p>
      <w:r>
        <w:t xml:space="preserve">步骤一，样例与讲解。设有 1,000 封邮件，其中 100 封是垃圾邮件。某过滤规则标出了 80% 的垃圾邮件，也误标了 5% 的正常邮件。问：被标出的邮件中，垃圾邮件占多大比例？清楚的解答先恢复两类数量：100 封垃圾邮件中，80 封被标出；900 封正常邮件中，45 封被误标；一共有 125 封被标出，其中 80 封是垃圾邮件，比例为 64%。80% 回答的是“垃圾邮件中有多少被标出”，64% 回答的是“被标出的邮件中有多少是垃圾邮件”。分母换了。</w:t>
      </w:r>
    </w:p>
    <w:p>
      <w:r>
        <w:t xml:space="preserve">步骤二，解释理由。要求学习者指出 80% 与 64% 的分母分别是什么，并说明为什么不能互换。只给出正确答案、说不清分母的，这一项没有通过。</w:t>
      </w:r>
    </w:p>
    <w:p>
      <w:r>
        <w:t xml:space="preserve">步骤三，独立尝试。改成 2,000 封邮件，其中只有 20 封是垃圾邮件，过滤规则不变。这时 16 封垃圾邮件被标出，1,980 封正常邮件中有 99 封被误标，结果是 16 ÷ 115，约为 13.9%。题目要求解释：规则没有变，为什么被标出的邮件中垃圾邮件的比例大幅下降。这一步检查的是基率的作用，不按计算速度评分。</w:t>
      </w:r>
    </w:p>
    <w:p>
      <w:r>
        <w:t xml:space="preserve">步骤四，对照反馈。按错误类型分流：计算出错、但分母正确，检查运算；分母弄反，回到两类数量表；缺少基率仍给出单一答案，增加信息不足的题目；只在熟悉的题面下答对，换一种表述与新题再测。</w:t>
      </w:r>
    </w:p>
    <w:p>
      <w:r>
        <w:t xml:space="preserve">步骤五，边界题。只给出“能标出 80% 的垃圾邮件、误标 5% 的正常邮件”，不给垃圾邮件的占比，问能否确定被标出的邮件中垃圾邮件的比例。合格的回答应当指出信息不足，并说明还需要知道或假设什么。能停下一个不成立的计算，本身就是这个学习目标的一部分。</w:t>
      </w:r>
    </w:p>
    <w:p>
      <w:r>
        <w:t xml:space="preserve">步骤六，延迟新题。间隔一段时间之后，换一个情境与一组新数字，例如一项医学筛查，要求学习者独立完成。这道题要另外准备：公开在文章里的题只能作教学示例，读者已经看过答案的题，不能当作迁移的证据。</w:t>
      </w:r>
    </w:p>
    <w:p>
      <w:r>
        <w:t xml:space="preserve">这个单元允许使用计算器，因为目标是理解条件概率与分母；如果另有心算的目标，那是另一个单元、另一套测量。达到事先规定的目标之后，这个单元可以结束；以后是否重测，由实际使用的需要决定。这个实例把目标、材料、解答、验收、失败分流、工具边界与停止条件放进了同一个单元；这套安排是否最优，还没有检验。</w:t>
      </w:r>
    </w:p>
    <w:p>
      <w:r>
        <w:t xml:space="preserve">这个例子也连接着各章。那张两类数量表，就是这个问题的图式（第四章）；步骤二要求独立说出分母，因为再读一遍解答只会增加熟悉感（第六章）；步骤五混入信息不足的题，是为了检查误用（第八章）；每一步之前先写下把握度，再核对结果（第十三章）；允许使用计算器，是一次要接受核验的外包决定（第十七章）。第十四章的品味训练单元，思路相同。</w:t>
      </w:r>
    </w:p>
    <w:p>
      <w:r>
        <w:t xml:space="preserve">练习还要避免训练题污染测验。反复见到同一道题，会把题面的线索变成提取的捷径。新增的题目应保持目标结构一致，同时改变表面的提示；否则看似很高的迁移成绩，可能只反映对原题的再认。</w:t>
      </w:r>
    </w:p>
    <w:p>
      <w:r>
        <w:t xml:space="preserve">这个循环可以压成一个生活节律的模板，按期限、恢复条件与可用的资源，分配四类时间。深度加工主线问题，让结构继续生长。复盘与检索，巩固学过的东西。输出，让知识接受现实与他人的检验。探索与留白，防止系统停止更新。四类时间的比例因阶段而异，某一周完全没有探索，不算失败；连续几个月缺少任何一类，才是值得检查的信号。</w:t>
      </w:r>
    </w:p>
    <w:p>
      <w:pPr>
        <w:pStyle w:val="Heading3"/>
      </w:pPr>
      <w:r>
        <w:t xml:space="preserve">本文的保质期</w:t>
      </w:r>
    </w:p>
    <w:p>
      <w:r>
        <w:t xml:space="preserve">按本文自己的规矩，给本文写保质期。各部分的预期寿命并不一致。</w:t>
      </w:r>
    </w:p>
    <w:p>
      <w:r>
        <w:t xml:space="preserve">第十七章关于生成式 AI 的实证细节，寿命最短，其中的每个数字都应在重要模型版本更新后重新核查；该章的三条原则，被设计为能在模型换代之后存活，它们目前是作者框架，检验方案见附录二。第十四章关于品味的核心规则（借用校准过的先验、用对比建立分辨力、先复现再偏离），同样是作者框架，其中引用的专家可靠性研究多为 E1 到 E2，最需要后续的证据。各项元分析的效应量与边界，会随研究推进缓慢漂移，值得整体复核。少数被多次复现的判断，大概率会比本文活得更久：记得与理解的区别；检索相对重读在课堂条件下的平均优势；先验知识对学习后水平的预测；学习前后整夜睡眠剥夺对记忆表现的影响；后见之明偏差，以及预测必须在结果之前记录的理由。这份清单里的项目类型并不相同，有些是概念的区分，有些是特定比较下的平均效应，它们需要不同检验方式。</w:t>
      </w:r>
    </w:p>
    <w:p>
      <w:r>
        <w:t xml:space="preserve">附录二列出的检验方案，如果长期没有人做成可以测量的研究，这些框架的操作价值就始终没有得到证明。纠错与版本维护的规则见附录四。请定期拿现实与本文比对。</w:t>
      </w:r>
    </w:p>
    <w:p>
      <w:pPr>
        <w:pStyle w:val="Heading1"/>
        <w:pageBreakBefore/>
      </w:pPr>
      <w:r>
        <w:t xml:space="preserve">结语　可纠正的心智</w:t>
      </w:r>
    </w:p>
    <w:p>
      <w:r>
        <w:t xml:space="preserve">学习一旦被理解为系统的认识论，很多旧问题会变得清楚。你会像维护一套复杂系统那样维护自己：确定目标与验收标准，审计信念来源，筛选入口，搭建骨架，选择生成性加工，守住生理与执行的底座，用输出暴露错觉，给证据分级，给自信记账，借用校准过的解读者、共同体与工具，同时保留自己的判断，定期改写旧的框架，给探索留出预算。这些要求同样约束本文的作者：每一条都应当先用在本文自己身上。</w:t>
      </w:r>
    </w:p>
    <w:p>
      <w:r>
        <w:t xml:space="preserve">这个视角不会让学习变得轻松。它取消了许多令人上瘾的简单答案，逼你承认自己最常输给的对手：把熟悉当理解，把努力当方法，把顺滑当学会，把信心当证据，把从众当品味，把工具当判断，把稳定当真理，把古老当正确。它也给你一种更可靠的力量：一旦能识别真正的瓶颈，学习就成了一项可以持续调整的工作。识别出瓶颈，不保证一定有资源修复它；资源约束本身是学习条件的一部分，把它算进来，判断才完整。</w:t>
      </w:r>
    </w:p>
    <w:p>
      <w:r>
        <w:t xml:space="preserve">如果还要再压缩一层，全文可以收进一条原则。皮尔士晚年写下它时说，这条箴言配得上刻在哲学之城的每一面墙上：不要堵死探究之路。它的推论散布在每一章里：没有一个信念豁免于审计，没有一种方法豁免于替换，没有一座图书馆大到可以宣布闭环，也没有一篇文章，包括这一篇，有资格宣布自己不必再改。</w:t>
      </w:r>
    </w:p>
    <w:p>
      <w:r>
        <w:t xml:space="preserve">这条原则需要一个配套的限定：不堵死探究之路，并不要求永不停止。暂时停止、恢复、退出错误路径与主动遗忘，都是本文论证过的健康行为；把学习当作无休止的道德责任，会与开篇反对的自律竞赛合流，也忽略了注意力、生命时间与价值选择的有限。方向错误时，投入越多，损失可能越大；险恶的环境、错误模型的黏性、专长反转与拐杖效应，都是这类情形。摩擦也一样：只有服务于你确实需要的能力、并确认属于有效加工的摩擦，才值得保护。</w:t>
      </w:r>
    </w:p>
    <w:p>
      <w:r>
        <w:t xml:space="preserve">所以，本文的结论是：学习系统最深的失败，发生在它丧失纠错、重启与重新接触现实的能力之时。一个好的学习系统，允许停止、恢复、改变目标和退出低价值的路径；对重要问题，它保留重新检查证据、重建理解与寻求外部支持的能力。支撑这一切的，是三样东西的组合：个人内部的知识与判断，可靠且可以核验的工具，一个愿意公开纠错的共同体。只要这套结构仍然开放，仍然能被证据改变，学习就仍有重新发生的可能。</w:t>
      </w:r>
    </w:p>
    <w:p>
      <w:r>
        <w:t xml:space="preserve">“学不可以已”在本文中被用来表达一种持续求知的态度，这是现代阐释，《劝学》的原始语境包含礼法、修身与教化。在这个意义上，它与皮尔士的箴言指向相近关切。最重要的验收始终是同一条：这套安排是否在有限的资源与实际目标之下，让判断与行动更可靠。</w:t>
      </w:r>
    </w:p>
    <w:p>
      <w:pPr>
        <w:spacing w:after="120" w:before="120" w:line="360"/>
        <w:ind w:firstLine="0"/>
        <w:jc w:val="center"/>
      </w:pPr>
      <w:r>
        <w:t xml:space="preserve">学不可以已。</w:t>
      </w:r>
    </w:p>
    <w:p>
      <w:pPr>
        <w:pStyle w:val="Heading1"/>
        <w:pageBreakBefore/>
      </w:pPr>
      <w:r>
        <w:t xml:space="preserve">附录一　操作版</w:t>
      </w:r>
    </w:p>
    <w:p>
      <w:r>
        <w:t xml:space="preserve">这几页把全文可以执行的部分集中起来。每一条后面的括号，标出它的依据在哪一章。</w:t>
      </w:r>
    </w:p>
    <w:p>
      <w:pPr>
        <w:pStyle w:val="Heading2"/>
      </w:pPr>
      <w:r>
        <w:t xml:space="preserve">1. 目标卡（每个学习项目一张）</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val="off"/>
          <w:tblHeader/>
        </w:trPr>
        <w:tc>
          <w:tcPr>
            <w:tcW w:type="dxa" w:w="2707"/>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问题</w:t>
            </w:r>
          </w:p>
        </w:tc>
        <w:tc>
          <w:tcPr>
            <w:tcW w:type="dxa" w:w="6319"/>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填写</w:t>
            </w:r>
          </w:p>
        </w:tc>
      </w:tr>
      <w:tr>
        <w:trPr>
          <w:cantSplit w:val="off"/>
          <w:tblHeader w:val="off"/>
        </w:trPr>
        <w:tc>
          <w:tcPr>
            <w:tcW w:type="dxa" w:w="2707"/>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学完之后要完成什么</w:t>
            </w:r>
          </w:p>
        </w:tc>
        <w:tc>
          <w:tcPr>
            <w:tcW w:type="dxa" w:w="631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r>
      <w:tr>
        <w:trPr>
          <w:cantSplit w:val="off"/>
          <w:tblHeader w:val="off"/>
        </w:trPr>
        <w:tc>
          <w:tcPr>
            <w:tcW w:type="dxa" w:w="2707"/>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什么时候用</w:t>
            </w:r>
          </w:p>
        </w:tc>
        <w:tc>
          <w:tcPr>
            <w:tcW w:type="dxa" w:w="631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r>
      <w:tr>
        <w:trPr>
          <w:cantSplit w:val="off"/>
          <w:tblHeader w:val="off"/>
        </w:trPr>
        <w:tc>
          <w:tcPr>
            <w:tcW w:type="dxa" w:w="2707"/>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是否允许使用工具，允许哪些</w:t>
            </w:r>
          </w:p>
        </w:tc>
        <w:tc>
          <w:tcPr>
            <w:tcW w:type="dxa" w:w="631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r>
      <w:tr>
        <w:trPr>
          <w:cantSplit w:val="off"/>
          <w:tblHeader w:val="off"/>
        </w:trPr>
        <w:tc>
          <w:tcPr>
            <w:tcW w:type="dxa" w:w="2707"/>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容许什么错误，哪些错误绝对不能犯</w:t>
            </w:r>
          </w:p>
        </w:tc>
        <w:tc>
          <w:tcPr>
            <w:tcW w:type="dxa" w:w="631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r>
      <w:tr>
        <w:trPr>
          <w:cantSplit w:val="off"/>
          <w:tblHeader w:val="off"/>
        </w:trPr>
        <w:tc>
          <w:tcPr>
            <w:tcW w:type="dxa" w:w="2707"/>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有多少时间与资源</w:t>
            </w:r>
          </w:p>
        </w:tc>
        <w:tc>
          <w:tcPr>
            <w:tcW w:type="dxa" w:w="631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r>
      <w:tr>
        <w:trPr>
          <w:cantSplit w:val="off"/>
          <w:tblHeader w:val="off"/>
        </w:trPr>
        <w:tc>
          <w:tcPr>
            <w:tcW w:type="dxa" w:w="2707"/>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怎样算完成</w:t>
            </w:r>
          </w:p>
        </w:tc>
        <w:tc>
          <w:tcPr>
            <w:tcW w:type="dxa" w:w="631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最低要求：　　期望表现：　　可选拓展：</w:t>
            </w:r>
          </w:p>
        </w:tc>
      </w:tr>
      <w:tr>
        <w:trPr>
          <w:cantSplit w:val="off"/>
          <w:tblHeader w:val="off"/>
        </w:trPr>
        <w:tc>
          <w:tcPr>
            <w:tcW w:type="dxa" w:w="2707"/>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什么情况下退出</w:t>
            </w:r>
          </w:p>
        </w:tc>
        <w:tc>
          <w:tcPr>
            <w:tcW w:type="dxa" w:w="631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目标已达到／收益低于机会成本／反复失败且有更好的替代／负担不可接受；重启条件：</w:t>
            </w:r>
          </w:p>
        </w:tc>
      </w:tr>
    </w:tbl>
    <w:p>
      <w:pPr>
        <w:spacing w:after="120" w:before="0"/>
      </w:pPr>
    </w:p>
    <w:p>
      <w:r>
        <w:t xml:space="preserve">（导论末节）</w:t>
      </w:r>
    </w:p>
    <w:p>
      <w:pPr>
        <w:pStyle w:val="Heading2"/>
      </w:pPr>
      <w:r>
        <w:t xml:space="preserve">2. 训练单元六步</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4"/>
        <w:gridCol w:w="3790"/>
        <w:gridCol w:w="3612"/>
      </w:tblGrid>
      <w:tr>
        <w:trPr>
          <w:cantSplit w:val="off"/>
          <w:tblHeader/>
        </w:trPr>
        <w:tc>
          <w:tcPr>
            <w:tcW w:type="dxa" w:w="1624"/>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步骤</w:t>
            </w:r>
          </w:p>
        </w:tc>
        <w:tc>
          <w:tcPr>
            <w:tcW w:type="dxa" w:w="3790"/>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做什么</w:t>
            </w:r>
          </w:p>
        </w:tc>
        <w:tc>
          <w:tcPr>
            <w:tcW w:type="dxa" w:w="3612"/>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验收什么</w:t>
            </w:r>
          </w:p>
        </w:tc>
      </w:tr>
      <w:tr>
        <w:trPr>
          <w:cantSplit w:val="off"/>
          <w:tblHeader w:val="off"/>
        </w:trPr>
        <w:tc>
          <w:tcPr>
            <w:tcW w:type="dxa" w:w="162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样例与讲解</w:t>
            </w:r>
          </w:p>
        </w:tc>
        <w:tc>
          <w:tcPr>
            <w:tcW w:type="dxa" w:w="379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形成最低限度的理解</w:t>
            </w:r>
          </w:p>
        </w:tc>
        <w:tc>
          <w:tcPr>
            <w:tcW w:type="dxa" w:w="3612"/>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输入是否可以理解</w:t>
            </w:r>
          </w:p>
        </w:tc>
      </w:tr>
      <w:tr>
        <w:trPr>
          <w:cantSplit w:val="off"/>
          <w:tblHeader w:val="off"/>
        </w:trPr>
        <w:tc>
          <w:tcPr>
            <w:tcW w:type="dxa" w:w="162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解释理由</w:t>
            </w:r>
          </w:p>
        </w:tc>
        <w:tc>
          <w:tcPr>
            <w:tcW w:type="dxa" w:w="379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自己说出关键步骤为什么成立</w:t>
            </w:r>
          </w:p>
        </w:tc>
        <w:tc>
          <w:tcPr>
            <w:tcW w:type="dxa" w:w="3612"/>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关系是否被组织起来</w:t>
            </w:r>
          </w:p>
        </w:tc>
      </w:tr>
      <w:tr>
        <w:trPr>
          <w:cantSplit w:val="off"/>
          <w:tblHeader w:val="off"/>
        </w:trPr>
        <w:tc>
          <w:tcPr>
            <w:tcW w:type="dxa" w:w="162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独立尝试</w:t>
            </w:r>
          </w:p>
        </w:tc>
        <w:tc>
          <w:tcPr>
            <w:tcW w:type="dxa" w:w="379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不看材料，完成一个相近问题</w:t>
            </w:r>
          </w:p>
        </w:tc>
        <w:tc>
          <w:tcPr>
            <w:tcW w:type="dxa" w:w="3612"/>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知识能否被调用</w:t>
            </w:r>
          </w:p>
        </w:tc>
      </w:tr>
      <w:tr>
        <w:trPr>
          <w:cantSplit w:val="off"/>
          <w:tblHeader w:val="off"/>
        </w:trPr>
        <w:tc>
          <w:tcPr>
            <w:tcW w:type="dxa" w:w="162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对照反馈</w:t>
            </w:r>
          </w:p>
        </w:tc>
        <w:tc>
          <w:tcPr>
            <w:tcW w:type="dxa" w:w="379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标记错误，按错误类型分流并修正</w:t>
            </w:r>
          </w:p>
        </w:tc>
        <w:tc>
          <w:tcPr>
            <w:tcW w:type="dxa" w:w="3612"/>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修复是否发生</w:t>
            </w:r>
          </w:p>
        </w:tc>
      </w:tr>
      <w:tr>
        <w:trPr>
          <w:cantSplit w:val="off"/>
          <w:tblHeader w:val="off"/>
        </w:trPr>
        <w:tc>
          <w:tcPr>
            <w:tcW w:type="dxa" w:w="162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边界题</w:t>
            </w:r>
          </w:p>
        </w:tc>
        <w:tc>
          <w:tcPr>
            <w:tcW w:type="dxa" w:w="379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做表面相似、方法不适用的题</w:t>
            </w:r>
          </w:p>
        </w:tc>
        <w:tc>
          <w:tcPr>
            <w:tcW w:type="dxa" w:w="3612"/>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误用是否被排除</w:t>
            </w:r>
          </w:p>
        </w:tc>
      </w:tr>
      <w:tr>
        <w:trPr>
          <w:cantSplit w:val="off"/>
          <w:tblHeader w:val="off"/>
        </w:trPr>
        <w:tc>
          <w:tcPr>
            <w:tcW w:type="dxa" w:w="162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延迟新题</w:t>
            </w:r>
          </w:p>
        </w:tc>
        <w:tc>
          <w:tcPr>
            <w:tcW w:type="dxa" w:w="3790"/>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间隔一段时间后做没见过的任务</w:t>
            </w:r>
          </w:p>
        </w:tc>
        <w:tc>
          <w:tcPr>
            <w:tcW w:type="dxa" w:w="3612"/>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保持与迁移</w:t>
            </w:r>
          </w:p>
        </w:tc>
      </w:tr>
    </w:tbl>
    <w:p>
      <w:pPr>
        <w:spacing w:after="120" w:before="0"/>
      </w:pPr>
    </w:p>
    <w:p>
      <w:r>
        <w:t xml:space="preserve">（终章；第六至八章）</w:t>
      </w:r>
    </w:p>
    <w:p>
      <w:pPr>
        <w:pStyle w:val="Heading2"/>
      </w:pPr>
      <w:r>
        <w:t xml:space="preserve">3. 每次学习的默认动作</w:t>
      </w:r>
    </w:p>
    <w:p>
      <w:pPr>
        <w:pStyle w:val="ListParagraph"/>
        <w:numPr>
          <w:ilvl w:val="0"/>
          <w:numId w:val="2"/>
        </w:numPr>
        <w:spacing w:after="40" w:line="340"/>
      </w:pPr>
      <w:r>
        <w:t xml:space="preserve">开始之前写下把握度，结束之后核对。（第十三章）</w:t>
      </w:r>
    </w:p>
    <w:p>
      <w:pPr>
        <w:pStyle w:val="ListParagraph"/>
        <w:numPr>
          <w:ilvl w:val="0"/>
          <w:numId w:val="2"/>
        </w:numPr>
        <w:spacing w:after="40" w:line="340"/>
      </w:pPr>
      <w:r>
        <w:t xml:space="preserve">把一半的重读时间换成合书回忆，回忆完立刻对照原文。（第六章）</w:t>
      </w:r>
    </w:p>
    <w:p>
      <w:pPr>
        <w:pStyle w:val="ListParagraph"/>
        <w:numPr>
          <w:ilvl w:val="0"/>
          <w:numId w:val="2"/>
        </w:numPr>
        <w:spacing w:after="40" w:line="340"/>
      </w:pPr>
      <w:r>
        <w:t xml:space="preserve">每个概念配两个结构相同、表面不同的例子，一个表面相似、结构不同的反例。（第八章）</w:t>
      </w:r>
    </w:p>
    <w:p>
      <w:pPr>
        <w:pStyle w:val="ListParagraph"/>
        <w:numPr>
          <w:ilvl w:val="0"/>
          <w:numId w:val="2"/>
        </w:numPr>
        <w:spacing w:after="40" w:line="340"/>
      </w:pPr>
      <w:r>
        <w:t xml:space="preserve">学完一个单元，写一页给聪明外行看的解释，请人指出最弱的三处。（第十一章）</w:t>
      </w:r>
    </w:p>
    <w:p>
      <w:pPr>
        <w:pStyle w:val="ListParagraph"/>
        <w:numPr>
          <w:ilvl w:val="0"/>
          <w:numId w:val="2"/>
        </w:numPr>
        <w:spacing w:after="40" w:line="340"/>
      </w:pPr>
      <w:r>
        <w:t xml:space="preserve">能不看样例独立做对两道同类题，就撤掉这类样例，换成提示；提示也不需要时，换成混合题。（第七章）</w:t>
      </w:r>
    </w:p>
    <w:p>
      <w:pPr>
        <w:pStyle w:val="ListParagraph"/>
        <w:numPr>
          <w:ilvl w:val="0"/>
          <w:numId w:val="2"/>
        </w:numPr>
        <w:spacing w:after="40" w:line="340"/>
      </w:pPr>
      <w:r>
        <w:t xml:space="preserve">重要学习的前一晚与后一晚，不牺牲整夜睡眠。（第十章）</w:t>
      </w:r>
    </w:p>
    <w:p>
      <w:pPr>
        <w:pStyle w:val="Heading2"/>
      </w:pPr>
      <w:r>
        <w:t xml:space="preserve">4. 预测记录表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2"/>
        <w:gridCol w:w="1895"/>
        <w:gridCol w:w="722"/>
        <w:gridCol w:w="1534"/>
        <w:gridCol w:w="992"/>
        <w:gridCol w:w="812"/>
        <w:gridCol w:w="812"/>
        <w:gridCol w:w="1267"/>
      </w:tblGrid>
      <w:tr>
        <w:trPr>
          <w:cantSplit w:val="off"/>
          <w:tblHeader/>
        </w:trPr>
        <w:tc>
          <w:tcPr>
            <w:tcW w:type="dxa" w:w="992"/>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日期</w:t>
            </w:r>
          </w:p>
        </w:tc>
        <w:tc>
          <w:tcPr>
            <w:tcW w:type="dxa" w:w="1895"/>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可以裁决的命题</w:t>
            </w:r>
          </w:p>
        </w:tc>
        <w:tc>
          <w:tcPr>
            <w:tcW w:type="dxa" w:w="722"/>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概率</w:t>
            </w:r>
          </w:p>
        </w:tc>
        <w:tc>
          <w:tcPr>
            <w:tcW w:type="dxa" w:w="1534"/>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主要依据</w:t>
            </w:r>
          </w:p>
        </w:tc>
        <w:tc>
          <w:tcPr>
            <w:tcW w:type="dxa" w:w="992"/>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裁决日期</w:t>
            </w:r>
          </w:p>
        </w:tc>
        <w:tc>
          <w:tcPr>
            <w:tcW w:type="dxa" w:w="812"/>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结果</w:t>
            </w:r>
          </w:p>
        </w:tc>
        <w:tc>
          <w:tcPr>
            <w:tcW w:type="dxa" w:w="812"/>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布赖尔分数</w:t>
            </w:r>
          </w:p>
        </w:tc>
        <w:tc>
          <w:tcPr>
            <w:tcW w:type="dxa" w:w="1267"/>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复盘</w:t>
            </w:r>
          </w:p>
        </w:tc>
      </w:tr>
      <w:tr>
        <w:trPr>
          <w:cantSplit w:val="off"/>
          <w:tblHeader w:val="off"/>
        </w:trPr>
        <w:tc>
          <w:tcPr>
            <w:tcW w:type="dxa" w:w="992"/>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89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722"/>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534"/>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992"/>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812"/>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812"/>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7"/>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r>
    </w:tbl>
    <w:p>
      <w:pPr>
        <w:spacing w:after="120" w:before="0"/>
      </w:pPr>
    </w:p>
    <w:p>
      <w:r>
        <w:t xml:space="preserve">复盘时，把错误归到一类：偶然（运气）；模型错（表征或因果判断错）；估值错（重要性判断错）；环境变化。每月按概率分组，看一次实际发生率，并注明每组的样本量。预测一律在结果出来之前写下。（第五、十三章）</w:t>
      </w:r>
    </w:p>
    <w:p>
      <w:pPr>
        <w:pStyle w:val="Heading2"/>
      </w:pPr>
      <w:r>
        <w:t xml:space="preserve">5. 信任审计：采信或转述一个重要结论之前</w:t>
      </w:r>
    </w:p>
    <w:p>
      <w:pPr>
        <w:pStyle w:val="ListParagraph"/>
        <w:numPr>
          <w:ilvl w:val="0"/>
          <w:numId w:val="2"/>
        </w:numPr>
        <w:spacing w:after="40" w:line="340"/>
      </w:pPr>
      <w:r>
        <w:t xml:space="preserve">能否追溯到原始材料？</w:t>
      </w:r>
    </w:p>
    <w:p>
      <w:pPr>
        <w:pStyle w:val="ListParagraph"/>
        <w:numPr>
          <w:ilvl w:val="0"/>
          <w:numId w:val="2"/>
        </w:numPr>
        <w:spacing w:after="40" w:line="340"/>
      </w:pPr>
      <w:r>
        <w:t xml:space="preserve">方法是否透明？有没有独立重复？</w:t>
      </w:r>
    </w:p>
    <w:p>
      <w:pPr>
        <w:pStyle w:val="ListParagraph"/>
        <w:numPr>
          <w:ilvl w:val="0"/>
          <w:numId w:val="2"/>
        </w:numPr>
        <w:spacing w:after="40" w:line="340"/>
      </w:pPr>
      <w:r>
        <w:t xml:space="preserve">利益冲突是否披露？</w:t>
      </w:r>
    </w:p>
    <w:p>
      <w:pPr>
        <w:pStyle w:val="ListParagraph"/>
        <w:numPr>
          <w:ilvl w:val="0"/>
          <w:numId w:val="2"/>
        </w:numPr>
        <w:spacing w:after="40" w:line="340"/>
      </w:pPr>
      <w:r>
        <w:t xml:space="preserve">几个“独立”的来源，是否其实共享同一个源头？</w:t>
      </w:r>
    </w:p>
    <w:p>
      <w:pPr>
        <w:pStyle w:val="ListParagraph"/>
        <w:numPr>
          <w:ilvl w:val="0"/>
          <w:numId w:val="2"/>
        </w:numPr>
        <w:spacing w:after="40" w:line="340"/>
      </w:pPr>
      <w:r>
        <w:t xml:space="preserve">专家的专长范围，是否覆盖当前这个问题？</w:t>
      </w:r>
    </w:p>
    <w:p>
      <w:pPr>
        <w:pStyle w:val="ListParagraph"/>
        <w:numPr>
          <w:ilvl w:val="0"/>
          <w:numId w:val="2"/>
        </w:numPr>
        <w:spacing w:after="40" w:line="340"/>
      </w:pPr>
      <w:r>
        <w:t xml:space="preserve">比较对象是谁，效应有多大，样本单位是什么，结论被外推了多远？</w:t>
      </w:r>
    </w:p>
    <w:p>
      <w:pPr>
        <w:pStyle w:val="ListParagraph"/>
        <w:numPr>
          <w:ilvl w:val="0"/>
          <w:numId w:val="2"/>
        </w:numPr>
        <w:spacing w:after="40" w:line="340"/>
      </w:pPr>
      <w:r>
        <w:t xml:space="preserve">核验的成本，是否与这个判断的重要性相称？</w:t>
      </w:r>
    </w:p>
    <w:p>
      <w:r>
        <w:t xml:space="preserve">（第二、十二、十五章）</w:t>
      </w:r>
    </w:p>
    <w:p>
      <w:pPr>
        <w:pStyle w:val="Heading2"/>
      </w:pPr>
      <w:r>
        <w:t xml:space="preserve">6. 品味训练七步</w:t>
      </w:r>
    </w:p>
    <w:p>
      <w:pPr>
        <w:pStyle w:val="ListParagraph"/>
        <w:numPr>
          <w:ilvl w:val="0"/>
          <w:numId w:val="2"/>
        </w:numPr>
        <w:spacing w:after="40" w:line="340"/>
      </w:pPr>
      <w:r>
        <w:t xml:space="preserve">选一个窄的对象，以及一到两位校准过的解读者：有公开长期记录，理由指向可以核对的特征。</w:t>
      </w:r>
    </w:p>
    <w:p>
      <w:pPr>
        <w:pStyle w:val="ListParagraph"/>
        <w:numPr>
          <w:ilvl w:val="0"/>
          <w:numId w:val="2"/>
        </w:numPr>
        <w:spacing w:after="40" w:line="340"/>
      </w:pPr>
      <w:r>
        <w:t xml:space="preserve">建一组对比材料：典范、典型中等作品、失败的作品；尽量盲评。</w:t>
      </w:r>
    </w:p>
    <w:p>
      <w:pPr>
        <w:pStyle w:val="ListParagraph"/>
        <w:numPr>
          <w:ilvl w:val="0"/>
          <w:numId w:val="2"/>
        </w:numPr>
        <w:spacing w:after="40" w:line="340"/>
      </w:pPr>
      <w:r>
        <w:t xml:space="preserve">读评论之前，写下排序、理由与把握度。</w:t>
      </w:r>
    </w:p>
    <w:p>
      <w:pPr>
        <w:pStyle w:val="ListParagraph"/>
        <w:numPr>
          <w:ilvl w:val="0"/>
          <w:numId w:val="2"/>
        </w:numPr>
        <w:spacing w:after="40" w:line="340"/>
      </w:pPr>
      <w:r>
        <w:t xml:space="preserve">对照评论，统计一致率，以及解读者指出而你没有感知到的差异数；带着这些差异重新感知。</w:t>
      </w:r>
    </w:p>
    <w:p>
      <w:pPr>
        <w:pStyle w:val="ListParagraph"/>
        <w:numPr>
          <w:ilvl w:val="0"/>
          <w:numId w:val="2"/>
        </w:numPr>
        <w:spacing w:after="40" w:line="340"/>
      </w:pPr>
      <w:r>
        <w:t xml:space="preserve">换一组材料重复；隔几周对同一组材料再盲评一次，检查稳定性。</w:t>
      </w:r>
    </w:p>
    <w:p>
      <w:pPr>
        <w:pStyle w:val="ListParagraph"/>
        <w:numPr>
          <w:ilvl w:val="0"/>
          <w:numId w:val="2"/>
        </w:numPr>
        <w:spacing w:after="40" w:line="340"/>
      </w:pPr>
      <w:r>
        <w:t xml:space="preserve">事先设定偏离阈值（例如二十组以上可核对案例、一致率稳定在七成以上）；达到之前，分歧只记为噪声或偏好。</w:t>
      </w:r>
    </w:p>
    <w:p>
      <w:pPr>
        <w:pStyle w:val="ListParagraph"/>
        <w:numPr>
          <w:ilvl w:val="0"/>
          <w:numId w:val="2"/>
        </w:numPr>
        <w:spacing w:after="40" w:line="340"/>
      </w:pPr>
      <w:r>
        <w:t xml:space="preserve">自己的体验单独记录，标注为“关于我的数据”。</w:t>
      </w:r>
    </w:p>
    <w:p>
      <w:r>
        <w:t xml:space="preserve">（第十四章）</w:t>
      </w:r>
    </w:p>
    <w:p>
      <w:pPr>
        <w:pStyle w:val="Heading2"/>
      </w:pPr>
      <w:r>
        <w:t xml:space="preserve">7. 使用 AI 之前的一问</w:t>
      </w:r>
    </w:p>
    <w:p>
      <w:r>
        <w:t xml:space="preserve">这次的目标是培养独立的能力，还是可靠地完成工作？前者：先形成最低限度的理解（样例与讲解，可以由 AI 提供），再独立尝试，然后请 AI 反馈，最后在撤掉 AI 的条件下验收。后者：写出核验步骤、它覆盖了哪些失败模式、哪些硬约束不能突破。（第十七章）</w:t>
      </w:r>
    </w:p>
    <w:p>
      <w:pPr>
        <w:pStyle w:val="Heading2"/>
      </w:pPr>
      <w:r>
        <w:t xml:space="preserve">8. 每季度的审计</w:t>
      </w:r>
    </w:p>
    <w:p>
      <w:pPr>
        <w:pStyle w:val="ListParagraph"/>
        <w:numPr>
          <w:ilvl w:val="0"/>
          <w:numId w:val="2"/>
        </w:numPr>
        <w:spacing w:after="40" w:line="340"/>
      </w:pPr>
      <w:r>
        <w:t xml:space="preserve">列出最常用的三条规则，写下各自最近一次失效的情形；写不出来的，安排一次反例搜索。（第十八章）</w:t>
      </w:r>
    </w:p>
    <w:p>
      <w:pPr>
        <w:pStyle w:val="ListParagraph"/>
        <w:numPr>
          <w:ilvl w:val="0"/>
          <w:numId w:val="2"/>
        </w:numPr>
        <w:spacing w:after="40" w:line="340"/>
      </w:pPr>
      <w:r>
        <w:t xml:space="preserve">清理“反图书馆”：删掉失去相关性的条目，给保留的条目写上触发条件与要回答的问题。（第十八章）</w:t>
      </w:r>
    </w:p>
    <w:p>
      <w:pPr>
        <w:pStyle w:val="ListParagraph"/>
        <w:numPr>
          <w:ilvl w:val="0"/>
          <w:numId w:val="2"/>
        </w:numPr>
        <w:spacing w:after="40" w:line="340"/>
      </w:pPr>
      <w:r>
        <w:t xml:space="preserve">检查探索预算是否被主线吞掉。（第十八章）</w:t>
      </w:r>
    </w:p>
    <w:p>
      <w:pPr>
        <w:pStyle w:val="ListParagraph"/>
        <w:numPr>
          <w:ilvl w:val="0"/>
          <w:numId w:val="2"/>
        </w:numPr>
        <w:spacing w:after="40" w:line="340"/>
      </w:pPr>
      <w:r>
        <w:t xml:space="preserve">卡住的地方，先写出三个竞争解释与各自预期的结果，再调整。（第十九章）</w:t>
      </w:r>
    </w:p>
    <w:p>
      <w:pPr>
        <w:pStyle w:val="Heading1"/>
        <w:pageBreakBefore/>
      </w:pPr>
      <w:r>
        <w:t xml:space="preserve">附录二　作者框架的检验方案</w:t>
      </w:r>
    </w:p>
    <w:p>
      <w:r>
        <w:t xml:space="preserve">下表列出正文中承重的</w:t>
      </w:r>
      <w:r>
        <w:rPr>
          <w:color w:val="4F6478"/>
        </w:rPr>
        <w:t xml:space="preserve">〔C〕</w:t>
      </w:r>
      <w:r>
        <w:t xml:space="preserve">框架：每个框架与哪个更简单的方案比较，预期在什么测量上更好，以及什么结果会迫使修订。零散的作者推断没有列入，它们的依据在正文中随文说明。表中约一半的检验，可以按第七章的自我实验设计，在个人层面、跨材料单元做成小规模版本，结论强度要与设计相称；其余需要分组比较，要由研究者来做。</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805"/>
        <w:gridCol w:w="2888"/>
        <w:gridCol w:w="2348"/>
      </w:tblGrid>
      <w:tr>
        <w:trPr>
          <w:cantSplit w:val="off"/>
          <w:tblHeader/>
        </w:trPr>
        <w:tc>
          <w:tcPr>
            <w:tcW w:type="dxa" w:w="1985"/>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框架（位置）</w:t>
            </w:r>
          </w:p>
        </w:tc>
        <w:tc>
          <w:tcPr>
            <w:tcW w:type="dxa" w:w="1805"/>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对照方案</w:t>
            </w:r>
          </w:p>
        </w:tc>
        <w:tc>
          <w:tcPr>
            <w:tcW w:type="dxa" w:w="2888"/>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预测与测量</w:t>
            </w:r>
          </w:p>
        </w:tc>
        <w:tc>
          <w:tcPr>
            <w:tcW w:type="dxa" w:w="2348"/>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迫使修订的结果</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学习是对内部模型的选择、检验与修订（读前说明）</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同等时间的输入型安排：重读、多读、多看</w:t>
            </w:r>
          </w:p>
        </w:tc>
        <w:tc>
          <w:tcPr>
            <w:tcW w:type="dxa" w:w="288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检验与修订型安排在保持测验、迁移题成绩与布赖尔分数上更好</w:t>
            </w:r>
          </w:p>
        </w:tc>
        <w:tc>
          <w:tcPr>
            <w:tcW w:type="dxa" w:w="234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同等时间下，两者在保持、迁移与校准上没有差异，或输入型更好</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内化与索引的五变量决策（第三章）</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“结构内化、细节索引”单一规则</w:t>
            </w:r>
          </w:p>
        </w:tc>
        <w:tc>
          <w:tcPr>
            <w:tcW w:type="dxa" w:w="288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在限时任务与工具失效两种条件下，完成率更高、错误更少</w:t>
            </w:r>
          </w:p>
        </w:tc>
        <w:tc>
          <w:tcPr>
            <w:tcW w:type="dxa" w:w="234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两种条件下表现相当</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骨架先行（第四章）</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同等时间、按教材顺序学习</w:t>
            </w:r>
          </w:p>
        </w:tc>
        <w:tc>
          <w:tcPr>
            <w:tcW w:type="dxa" w:w="288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四周后的概念区分题与迁移题成绩更好</w:t>
            </w:r>
          </w:p>
        </w:tc>
        <w:tc>
          <w:tcPr>
            <w:tcW w:type="dxa" w:w="234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两组相当</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写作对模型的改造较深（第十一章）</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同等时间的口头讲解与重读</w:t>
            </w:r>
          </w:p>
        </w:tc>
        <w:tc>
          <w:tcPr>
            <w:tcW w:type="dxa" w:w="288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一周后的迁移题成绩与错误识别率：写作高于口头讲解，口头讲解高于重读</w:t>
            </w:r>
          </w:p>
        </w:tc>
        <w:tc>
          <w:tcPr>
            <w:tcW w:type="dxa" w:w="234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写作组不优于口头讲解组</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项目制学习的设计性主张（第十一章）</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同等时间的阅读与练习</w:t>
            </w:r>
          </w:p>
        </w:tc>
        <w:tc>
          <w:tcPr>
            <w:tcW w:type="dxa" w:w="288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带复盘与独立验收的项目，在迁移任务上优于阅读与练习；缺少复盘与验收的项目没有这个优势</w:t>
            </w:r>
          </w:p>
        </w:tc>
        <w:tc>
          <w:tcPr>
            <w:tcW w:type="dxa" w:w="234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有无复盘与验收的项目表现相当，或都不优于阅读与练习</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宏观估值需要借用先验（第十四章）</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只凭个人经验形成判断</w:t>
            </w:r>
          </w:p>
        </w:tc>
        <w:tc>
          <w:tcPr>
            <w:tcW w:type="dxa" w:w="288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在反馈稀少的领域，用一年内能裁决的替代预测衡量：系统学习前辈判断记录的新手，布赖尔分数更好</w:t>
            </w:r>
          </w:p>
        </w:tc>
        <w:tc>
          <w:tcPr>
            <w:tcW w:type="dxa" w:w="234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两组没有差异</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先复现、再偏离（第十四章）</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从一开始就按个人判断学习</w:t>
            </w:r>
          </w:p>
        </w:tc>
        <w:tc>
          <w:tcPr>
            <w:tcW w:type="dxa" w:w="288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一年后，在新作品上能指出的、可以核对的有效差异更多；同一材料隔期盲评的一致性更高</w:t>
            </w:r>
          </w:p>
        </w:tc>
        <w:tc>
          <w:tcPr>
            <w:tcW w:type="dxa" w:w="234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两组相当，或自主组更好</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品味训练方法可以跨领域沿用（第十四章）</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不经这套训练，直接学习新领域</w:t>
            </w:r>
          </w:p>
        </w:tc>
        <w:tc>
          <w:tcPr>
            <w:tcW w:type="dxa" w:w="288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进入新领域时，达到同样的差异识别水平所需的时间更短</w:t>
            </w:r>
          </w:p>
        </w:tc>
        <w:tc>
          <w:tcPr>
            <w:tcW w:type="dxa" w:w="234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所需时间没有差异</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评估瓶颈（第十七章）</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产出质量主要由生成能力决定</w:t>
            </w:r>
          </w:p>
        </w:tc>
        <w:tc>
          <w:tcPr>
            <w:tcW w:type="dxa" w:w="288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使用同一工具时，领域知识高低两组的流畅度差别小，检错率与最终质量差别大</w:t>
            </w:r>
          </w:p>
        </w:tc>
        <w:tc>
          <w:tcPr>
            <w:tcW w:type="dxa" w:w="234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差别主要在流畅度上，检错率相当</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验证不对称（第十七章）</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外包的风险与核验成本无关</w:t>
            </w:r>
          </w:p>
        </w:tc>
        <w:tc>
          <w:tcPr>
            <w:tcW w:type="dxa" w:w="288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核验便宜、覆盖关键失败模式的任务，外包后错误率不高于人工；核验需要同等能力的任务，外包后错误率上升，且随使用者知识减少而增大</w:t>
            </w:r>
          </w:p>
        </w:tc>
        <w:tc>
          <w:tcPr>
            <w:tcW w:type="dxa" w:w="234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两类任务外包后的错误率变化相同</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摩擦记账（第十七章）</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所有摩擦都可以删除</w:t>
            </w:r>
          </w:p>
        </w:tc>
        <w:tc>
          <w:tcPr>
            <w:tcW w:type="dxa" w:w="288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对已有基本理解的学习者，撤掉 AI 后的独立表现：先尝试后反馈，不低于全部人工，两者都高于直接给答案</w:t>
            </w:r>
          </w:p>
        </w:tc>
        <w:tc>
          <w:tcPr>
            <w:tcW w:type="dxa" w:w="234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直接给答案组的独立表现不低于其他两组</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诊断循环（终章）</w:t>
            </w:r>
          </w:p>
        </w:tc>
        <w:tc>
          <w:tcPr>
            <w:tcW w:type="dxa" w:w="180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按固定顺序走完的学习流程</w:t>
            </w:r>
          </w:p>
        </w:tc>
        <w:tc>
          <w:tcPr>
            <w:tcW w:type="dxa" w:w="288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按当前瓶颈进入的学习者，达到同一验收标准所需的时间更短</w:t>
            </w:r>
          </w:p>
        </w:tc>
        <w:tc>
          <w:tcPr>
            <w:tcW w:type="dxa" w:w="2348"/>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所需时间没有差异</w:t>
            </w:r>
          </w:p>
        </w:tc>
      </w:tr>
    </w:tbl>
    <w:p>
      <w:pPr>
        <w:spacing w:after="120" w:before="0"/>
      </w:pPr>
    </w:p>
    <w:p>
      <w:r>
        <w:t xml:space="preserve">三个框架目前写不出有意义的检验，本文直接说明它们只是组织材料的方式：理解的五个质量维度（第一章）；默会能力主要经由师徒通道获得的推测（第十五章）；条件期望损失模型（第十七章），它要在具体任务中收集到错误率、覆盖率与损失的数据之后，才可能被检验。</w:t>
      </w:r>
    </w:p>
    <w:p>
      <w:pPr>
        <w:pStyle w:val="Heading1"/>
        <w:pageBreakBefore/>
      </w:pPr>
      <w:r>
        <w:t xml:space="preserve">附录三　参考文献与定量证据登记</w:t>
      </w:r>
    </w:p>
    <w:p>
      <w:r>
        <w:t xml:space="preserve">本登记记录承重数字的来源、核验状态与使用限制。凡列出的数值，请连同它的分母与限制一起使用。</w:t>
      </w:r>
    </w:p>
    <w:p>
      <w:r>
        <w:t xml:space="preserve">核验状态的含义如下。“原稿”：沿用原稿记录的核验，多数核到题名、作者、年份与相关结果的位置。“检索·摘要”：本次修订在 2026 年 9 月 28 日通过学术检索，核到摘要原句或官方公告的摘录。“检索·片段”：核到正文片段的转述。“检索·二手”：只见到二手转述。“未复核”：本次未能联网核对，依据作者的记忆，使用前应核对原文。本次修订没有打开任何论文全文，所有“检索”级的核验，都依据检索结果中的摘录。</w:t>
      </w:r>
    </w:p>
    <w:p>
      <w:pPr>
        <w:pStyle w:val="Heading2"/>
      </w:pPr>
      <w:r>
        <w:t xml:space="preserve">一、学习方法与认知</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3429"/>
        <w:gridCol w:w="1985"/>
        <w:gridCol w:w="1266"/>
      </w:tblGrid>
      <w:tr>
        <w:trPr>
          <w:cantSplit w:val="off"/>
          <w:tblHeader/>
        </w:trPr>
        <w:tc>
          <w:tcPr>
            <w:tcW w:type="dxa" w:w="2346"/>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来源</w:t>
            </w:r>
          </w:p>
        </w:tc>
        <w:tc>
          <w:tcPr>
            <w:tcW w:type="dxa" w:w="3429"/>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关键内容与分母</w:t>
            </w:r>
          </w:p>
        </w:tc>
        <w:tc>
          <w:tcPr>
            <w:tcW w:type="dxa" w:w="1985"/>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使用限制</w:t>
            </w:r>
          </w:p>
        </w:tc>
        <w:tc>
          <w:tcPr>
            <w:tcW w:type="dxa" w:w="1266"/>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核验</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Rowland 2014, Psychological Bulletin</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检索相对重读（实验室）：g ≈ 0.50，95% CI 约 [0.42, 0.58]</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异质性明显</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原稿</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Yang, Luo, Vadillo, Yu &amp; Shanks 2021, Psychological Bulletin 147(4)</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课堂测验：222 项独立研究，约 48,478 名学生；总体 g ≈ 0.499；以重读为对照 g ≈ 0.330，CI 约 [0.256, 0.404]（162 个效应量）；以其他精加工为对照 g ≈ 0.095，CI 约 [−0.005, 0.194]（41 个效应量）</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三个估计不在同一聚合层级；两个分组的区间与效应量个数为原稿记录；其余对照条件的类型待核</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Simonsmeier, Flaig, Deiglmayr, Schalk &amp; Schneider 2022, Educational Psychologist 57(1)</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493 篇报告、126,050 人、8,776 个效应量；与后测 r ≈ .53（摘要 .534；原稿记录正文与表 2 为 .531，来自 476 项研究、7,772 个效应量）；与归一化增益 r ≈ −.059，CI [−.150, .034]，PI [−.688, .621]（69 项研究、697 个效应量）；认知要求低的教学中 −.178，要求高的教学中 .128</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归一化增益没有时间分母，不能改写为学习速度；增益的置信区间与研究数为原稿记录；原稿记录的“685 个独立样本”本次未见</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Sinha &amp; Kapur 2021, Review of Educational Research 91(5)</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53 项研究、166 个比较；先解题后教学 g ≈ 0.36 [0.20, 0.51]；高保真实施 0.37–0.58</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广义安排与严格设计要分开</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Kluger &amp; DeNisi 1996, Psychological Bulletin 119(2)</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607 个效应量、23,663 个观察；d ≈ 0.41；超过三分之一的反馈干预降低了表现</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607 是效应量数；常见的“38%”只见二手转述，不用；依赖单一、年代较早的数据集，标 E3</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Macnamara, Hambrick &amp; Oswald 2014, Psychological Science 25（doi:10.1177/0956797614535810）；2018 年勘误，29(7), 1202–1204（doi:10.1177/0956797618769891）</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88 项研究、111 个样本、157 个效应量、11,135 人；勘误后 r 由 .35 改为 .38，解释方差由 12% 改为 14%，CI [11%, 18%]；分领域：游戏 24%、音乐 23%、体育 20%、教育 5%、职业 1%（2014 年原值 26%、21%、18%、4%、不足 1%）</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观察性关联，不能读作因果贡献；职业一项不显著（原稿记录 r = .09，p = .377）；原稿称已核到勘误完整表格，本次检索只见到分领域数字的转述，按本次所见标注</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总体：检索·片段；分领域：检索·二手</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Brunmair &amp; Richter 2019, Psychological Bulletin 145(11)</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59 项研究、238 个效应量；g ≈ 0.42；绘画 0.67；数学 0.34；以词语为材料 −0.39</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说明文与味觉材料不显著；材料平均差异不能确定机制</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Kalyuga, Ayres, Chandler &amp; Sweller 2003, Educational Psychologist 38(1)</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专长反转效应的综述</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未复核</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Kobayashi 2024, Educational Psychology Review 36, Article 26</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39 项研究；学后实际去教对单纯学习 g ≈ 0.27 [0.15, 0.39]；有教学预期 0.48 [0.34, 0.63]；无教学预期 −0.02 [−0.14, 0.11]</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分组是研究之间的比较，不能直接确认预期的因果作用</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Kobayashi 2019, Japanese Psychological Research 61(3)</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28 项研究；只准备教学 g ≈ 0.35；准备后实际去教 0.56</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研究集合与 2024 年不同，不能直接对比</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Graham, Kiuhara &amp; MacKay 2020, Review of Educational Research</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写作促进学习：56 项实验，平均约 0.30</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基础教育情境</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原稿</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Newbury, Crowley, Rastle &amp; Tamminen 2021, Psychological Bulletin 147(11)</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学习前：31 份报告、55 个效应量、927 人，g ≈ 0.621 [0.473, 0.769]；学习后：45 份报告、130 个效应量、1,616 人，g ≈ 0.277 [0.177, 0.377]；剥夺后立即测验的效应大于补觉后测验</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至少一整夜的完全剥夺；不能换算为每少睡一小时</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Rasch &amp; Born 2013, Physiological Reviews</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睡眠与记忆巩固的综述，主动系统巩固框架</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未复核</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Moran 2016, Psychological Bulletin</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焦虑与工作记忆容量的元分析</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效应量本文未引用</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未复核</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Grove, Zald, Lebow, Snitz &amp; Nelson 2000, Psychological Assessment</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临床与机械预测：136 项研究；机械预测明显更优约 33%–47%，临床明显更优约 6%–16%</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没有测量反馈条件；本文把它与学习环境联系起来属于推断</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未复核</w:t>
            </w:r>
          </w:p>
        </w:tc>
      </w:tr>
    </w:tbl>
    <w:p>
      <w:pPr>
        <w:spacing w:after="120" w:before="0"/>
      </w:pPr>
    </w:p>
    <w:p>
      <w:pPr>
        <w:pStyle w:val="Heading2"/>
      </w:pPr>
      <w:r>
        <w:t xml:space="preserve">二、证据、复制与撤稿</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3429"/>
        <w:gridCol w:w="1985"/>
        <w:gridCol w:w="1266"/>
      </w:tblGrid>
      <w:tr>
        <w:trPr>
          <w:cantSplit w:val="off"/>
          <w:tblHeader/>
        </w:trPr>
        <w:tc>
          <w:tcPr>
            <w:tcW w:type="dxa" w:w="2346"/>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来源</w:t>
            </w:r>
          </w:p>
        </w:tc>
        <w:tc>
          <w:tcPr>
            <w:tcW w:type="dxa" w:w="3429"/>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关键内容与分母</w:t>
            </w:r>
          </w:p>
        </w:tc>
        <w:tc>
          <w:tcPr>
            <w:tcW w:type="dxa" w:w="1985"/>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使用限制</w:t>
            </w:r>
          </w:p>
        </w:tc>
        <w:tc>
          <w:tcPr>
            <w:tcW w:type="dxa" w:w="1266"/>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核验</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Open Science Collaboration 2015, Science</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100 项研究；原始约 97% 显著，重复约 36%；效应量约为原始一半</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比例限于被抽中的研究</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原稿</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Camerer 等 2018, Nature Human Behaviour</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21 项《自然》《科学》社会科学实验；约 62% 同方向显著；效应量约为原始一半</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同上</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未复核</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Pashler, McDaniel, Rohrer &amp; Bjork 2008, Psychological Science in the Public Interest</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学习风格匹配缺乏满足交互检验的证据</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与无障碍支持、针对具体困难的干预无关</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原稿</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Hagger 等 2016, Perspectives on Psychological Science 11(4)</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自我损耗：23 个实验室，N = 2,141，d = 0.04 [−0.07, 0.15]</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采用序列任务范式</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Vohs 等 2021, Psychological Science 32(10)</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36 个实验室，N = 3,531；验证性检验 d = 0.06 [−0.02, 0.14]；探索性全样本分析 d = 0.08，显著</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范式性重复</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Sisk 等 2018, Psychological Science 29</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成长型思维干预：k = 43，N = 57,155，d = 0.08 [0.02, 0.14]</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k 的单位（研究数或效应量数）待核</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Macnamara &amp; Burgoyne 2023, Psychological Bulletin 149</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63 项研究，N = 97,672，d = 0.05 [0.02, 0.09]，校正发表偏倚后不显著；质量最高的 6 项 d = 0.02</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Yeager 等 2019, Nature 573</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低于中位数的学生核心课程 GPA +0.10 [0.04, 0.16]</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全样本平均效应本次未核，正文不引用</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Wang &amp; Fan 2025, Humanities and Social Sciences Communications</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51 项研究；学习表现 g = 0.867，学习感知 0.456，高阶思维 0.457；2025-05-06 发表，2026-04-22 撤稿</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原效应不再作为有效证据；“合并差异过大的研究”为二手报道；“作者未回应”为原稿记录</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检索·摘要（撤稿公告）</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上文撤稿前的传播指标</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二手报道：约 48.6 万次浏览、266 次引用、Altmetric 1,023</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未核带时间戳的原始快照，正文不引用</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检索·二手</w:t>
            </w:r>
          </w:p>
        </w:tc>
      </w:tr>
    </w:tbl>
    <w:p>
      <w:pPr>
        <w:spacing w:after="120" w:before="0"/>
      </w:pPr>
    </w:p>
    <w:p>
      <w:pPr>
        <w:pStyle w:val="Heading2"/>
      </w:pPr>
      <w:r>
        <w:t xml:space="preserve">三、校准、判断与品味</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3429"/>
        <w:gridCol w:w="1985"/>
        <w:gridCol w:w="1266"/>
      </w:tblGrid>
      <w:tr>
        <w:trPr>
          <w:cantSplit w:val="off"/>
          <w:tblHeader/>
        </w:trPr>
        <w:tc>
          <w:tcPr>
            <w:tcW w:type="dxa" w:w="2346"/>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来源</w:t>
            </w:r>
          </w:p>
        </w:tc>
        <w:tc>
          <w:tcPr>
            <w:tcW w:type="dxa" w:w="3429"/>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关键内容与分母</w:t>
            </w:r>
          </w:p>
        </w:tc>
        <w:tc>
          <w:tcPr>
            <w:tcW w:type="dxa" w:w="1985"/>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使用限制</w:t>
            </w:r>
          </w:p>
        </w:tc>
        <w:tc>
          <w:tcPr>
            <w:tcW w:type="dxa" w:w="1266"/>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核验</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Lichtenstein &amp; Fischhoff 1980, Organizational Behavior and Human Performance</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带反馈的概率判断训练改善校准；跨任务迁移有限</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原稿</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Chang, Chen, Mellers &amp; Tetlock 2016, Judgment and Decision Making 11(5)</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不到一小时的训练，四年锦标赛中布赖尔分数改善 6%–11%</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见下两行；标 E2</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Mellers 等 2014, Psychological Science 25(5)</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训练、组队、追踪均提高准确度、校准与分辨</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各项百分比本次未核</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Hauenstein, Thomas, Illingworth &amp; Dougherty 2025, Psychological Science</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项目反应理论重新分析：控制方法变异后，训练与组队效应被削弱或消除</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Fischhoff 1975, JEP: Human Perception and Performance 1(3)</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知道结果提高事后认定的可能性，被试意识不到</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Guilbault, Bryant, Brockway &amp; Posavac 2004, Basic and Applied Social Psychology 26</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后见之明偏差：95 项研究、252 个效应量，d = 0.39 [0.36, 0.42]</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Chen 等 2021, Journal of Experimental Social Psychology</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重复 Fischhoff 实验 2：N = 890，d = 0.60</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Esponda 等 2024, American Economic Review</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基率忽视：错误心理模型、过度自信与反馈学习受限</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机制识别细节需全文核对</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原稿</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Kahneman &amp; Klein 2009, American Psychologist 64(6)</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专家直觉可靠的两个条件</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概念框架，依据专家判断研究的综述</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Kornell &amp; Bjork 2008, Psychological Science 19</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被试内设计；12 位画家各 6 幅；实验 1a：穿插呈现的画家正确率约 .61，集中呈现的约 .35；表达偏好的 72 人中 64 人认为集中更好</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间隔与交错混在一起；流传的“78%”未能在原文定位，不用</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检索·片段</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Verkoeijen &amp; Bouwmeester 2014, Frontiers in Psychology 5</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直接重复成功</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Kang &amp; Pashler 2012；Birnbaum, Kornell, Bjork &amp; Bjork 2013</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优势主要来自交错带来的对比辨别</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检索·二手</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Schwartz &amp; Bransford 1998, Cognition and Instruction 16(4)</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三项课堂研究；对比案例加讲座，在一周后的预测任务上优于各对照组；事实性测验无差别</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Roelle &amp; Berthold 2015, Cognition and Instruction 33(3)</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直接给出比较结果同样有效</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Zuckerman 1977, Scientific Elite</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截至 1972 年在美国完成获奖研究的 92 位得主中 48 位曾师从更年长的得主</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回顾性自述；选择效应</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检索·二手</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Ma, Mukherjee &amp; Uzzi 2020, PNAS 117(25)</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生物医学、化学、数学、物理四个学科近四万名科学家；导师日后获奖者的学生获奖等可能性高二到四倍；离开导师课题、与导师合著较少时影响力最高</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匹配后的观察性关联</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Hodgson 2008, Journal of Wine Economics 3(2)</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2005–2008；每轮暗插同一瓶倒出的三份样本；约 10% 的评委三次评分在同一奖牌档；约 10% 会把同一酒从铜牌打到金牌</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Hodgson 2009, Journal of Wine Economics 4(1)</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2,440 款酒；47% 在某场获金奖，其中 84% 在另一场无奖</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检索·片段</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Tsay 2013, PNAS 110(36)</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7 个实验；6 秒片段；只有无声视频条件高于机会水平</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原结论的一般形式标 E1；各条件百分比二手报道不一致，不用</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Mehr, Scannell &amp; Winner 2018, PLOS ONE 13(9)</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原材料上可重复；换其他比赛视频后降到机会水平；水平差距大时声音条件最准</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Wilbiks &amp; Yi 2022, Vision 6(4)</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直接重复失败</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检索·二手</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Morrot, Brochet &amp; Dubourdieu 2001, Brain and Language 79(2)</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54 名酿酒学本科生；嗅闻后的描述受颜色影响</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有“接近强迫选择”的方法批评</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Ballester 等 2009, Chemosensory Perception 2(4)</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深色杯盲闻，专家与新手都能区分红白葡萄酒</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Sala &amp; Gobet 2017, Current Directions in Psychological Science 26(6)</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远迁移效应随设计严格程度提高而缩小</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Bigand &amp; Tillmann 2022, Memory &amp; Cognition 50(2)</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音乐训练重新分析 g ≈ 0.234</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争论未决</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Vessel, Maurer, Denker &amp; Starr 2018, Cognition 179</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共享品味：人脸、风景较高；建筑、艺术品较低，艺术品最低</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具体数值只见二手，不用</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Hönekopp 2006, JEP: Human Perception and Performance 32(2)</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人脸吸引力中，私人品味与共享品味大致各占一半</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检索·二手</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McLean &amp; Pontiff 2016, Journal of Finance</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97 个收益预测变量；样本外收益约低 26%（作者视为数据挖掘偏差的上限），发表后约低 58%</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单项研究，标 E2</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未复核</w:t>
            </w:r>
          </w:p>
        </w:tc>
      </w:tr>
    </w:tbl>
    <w:p>
      <w:pPr>
        <w:spacing w:after="120" w:before="0"/>
      </w:pPr>
    </w:p>
    <w:p>
      <w:pPr>
        <w:pStyle w:val="Heading2"/>
      </w:pPr>
      <w:r>
        <w:t xml:space="preserve">四、外部认知与生成式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3429"/>
        <w:gridCol w:w="1985"/>
        <w:gridCol w:w="1266"/>
      </w:tblGrid>
      <w:tr>
        <w:trPr>
          <w:cantSplit w:val="off"/>
          <w:tblHeader/>
        </w:trPr>
        <w:tc>
          <w:tcPr>
            <w:tcW w:type="dxa" w:w="2346"/>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来源</w:t>
            </w:r>
          </w:p>
        </w:tc>
        <w:tc>
          <w:tcPr>
            <w:tcW w:type="dxa" w:w="3429"/>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关键内容与分母</w:t>
            </w:r>
          </w:p>
        </w:tc>
        <w:tc>
          <w:tcPr>
            <w:tcW w:type="dxa" w:w="1985"/>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使用限制</w:t>
            </w:r>
          </w:p>
        </w:tc>
        <w:tc>
          <w:tcPr>
            <w:tcW w:type="dxa" w:w="1266"/>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核验</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Burnett &amp; Richmond 2026（2025 年在线）, Memory &amp; Cognition 54(1)</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两项元分析：卸载改善当前记忆任务表现、缩小个体差异；强制大于自选，被试内大于被试间；缩小差异的效应成人大于儿童、前瞻记忆大于回溯记忆</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“表现”指允许卸载时；纳入研究数本次未核</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Storm &amp; Stone 2015, Psychological Science 26(2)</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三个实验；保存前一份材料改善对下一份的记忆；保存不可靠或材料过少时效应消失</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Haynes 等 2009, NEJM 360</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八个国家、八个城市的八家医院；死亡率 1.5% 降至 0.8%，住院并发症 11.0% 降至 7.0%</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前后对照，非随机</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Urbach 等 2014, NEJM</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安大略省全省推行核查表后，死亡率与并发症未见显著下降</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推行后的观察研究</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未复核</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Bastani 等 2025, PNAS</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土耳其一所高中近千名学生；有 AI 的练习：普通版相对 +48%，导师版相对 +127%；撤掉 AI 后普通版相对 −17%，导师版未检出差异（系数约 −0.004，标准误约 0.013）</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相对变化；未检出差异不等于等效、不劣或长期安全；换算为百分点需假定成绩按 0 到 1 的比例计分</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原稿</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Bastani 等，正式更正（2025-08-20）</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更正一位作者的所属单位</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书目信息更正，不影响数据与结论</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原稿</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Kestin, Miller, Klales, Milbourne &amp; Ponti 2025, Scientific Reports 15, 17458</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哈佛物理课，N = 194，随机交叉；对照为课堂主动学习；即时后测；中位用时约 49 对 60 分钟</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没有延迟保持测验</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检索·摘要（用时为二手）</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Chen &amp; Cheung 2025, Educational Research Review 49, 100737</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57 项研究、97 个效应量；g⁺ ≈ 0.804；语言技能 g⁺ ≈ 2.331；学业成绩与情感动机较大，高阶思维中等；元认知不显著</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纳入研究质量本文未重评</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检索·摘要</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Fan 等 2025</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117 名大学生；AI 反馈改善短期作业，自我监控与规划行为减少</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短期行为指标</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原稿</w:t>
            </w:r>
          </w:p>
        </w:tc>
      </w:tr>
      <w:tr>
        <w:trPr>
          <w:cantSplit w:val="off"/>
          <w:tblHeader w:val="off"/>
        </w:trPr>
        <w:tc>
          <w:tcPr>
            <w:tcW w:type="dxa" w:w="234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Peters &amp; Chin-Yee 2025</w:t>
            </w:r>
          </w:p>
        </w:tc>
        <w:tc>
          <w:tcPr>
            <w:tcW w:type="dxa" w:w="3429"/>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10 个模型、4,900 份科学概括；过度泛化倾向高于人类作者</w:t>
            </w:r>
          </w:p>
        </w:tc>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仅限所测版本与任务</w:t>
            </w:r>
          </w:p>
        </w:tc>
        <w:tc>
          <w:tcPr>
            <w:tcW w:type="dxa" w:w="1266"/>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原稿</w:t>
            </w:r>
          </w:p>
        </w:tc>
      </w:tr>
    </w:tbl>
    <w:p>
      <w:pPr>
        <w:spacing w:after="120" w:before="0"/>
      </w:pPr>
    </w:p>
    <w:p>
      <w:pPr>
        <w:pStyle w:val="Heading2"/>
      </w:pPr>
      <w:r>
        <w:t xml:space="preserve">五、其他引用</w:t>
      </w:r>
    </w:p>
    <w:p>
      <w:r>
        <w:t xml:space="preserve">以下来源在本文中承担概念、历史或方法上的功能。本文核到可以定位的书目信息，没有逐一完成底本校勘或原始研究的复评。</w:t>
      </w:r>
    </w:p>
    <w:p>
      <w:r>
        <w:t xml:space="preserve">哲学与思想史：柏拉图《美诺篇》《斐德罗篇》《申辩篇》；塞涅卡《道德书简》第二、第三十三封；皮尔士《信念的固定》（1877）与“不要堵死探究之路”（1898 年讲稿）；培根《新工具》（1620）、《论学问》；休谟《人类理智研究》（1748）；里德关于证言的论述；康德《纯粹理性批判》（1781）；奎因关于信念之网的论述；波兰尼《默会的维度》（1966）；奥克肖特关于技术知识与实践知识的区分；克拉克与查尔默斯《延展心智》（1998）；多伊奇《无穷的开始》中“难以变动的解释”；怀特海《教育的目的》（1929）与《过程与实在》；詹姆斯《心理学原理》（1890）与《对教师的谈话》（1899）；波普尔《猜想与反驳》；莱辛《拉奥孔》（1766）；布迪厄《区分》（1979）；Pearl 与 Mackenzie《为什么》（2018）；伊拉斯谟与洛克关于摘录册的著述；费曼 1974 年在加州理工学院的毕业演讲；埃科的藏书与塔勒布《黑天鹅》中的“反图书馆”。所引拉丁文、英文原句的具体版本与中译用词，待正式校核。</w:t>
      </w:r>
    </w:p>
    <w:p>
      <w:r>
        <w:t xml:space="preserve">中国与其他古典文献：《荀子·劝学》；《论语·为政》《述而》；《礼记·学记》《大学》；《庄子·天道》《养生主》；朱熹读书法与《朱子语类》；《卡拉玛经》；塔木德传统中的哈弗鲁塔与《阿伯特篇》。本文对这些文本的使用限于问题史与帮助记忆，卷章、版本与训诂待校。</w:t>
      </w:r>
    </w:p>
    <w:p>
      <w:r>
        <w:t xml:space="preserve">早期实验研究：艾宾浩斯（1885）；盖茨（1917）；桑代克与伍德沃斯（1901）；贾德（1908）；詹金斯与达伦巴赫（1924）；巴特利特（1932）；耶基斯与多德森（1908）；卢钦斯（1942）；邓克尔（1935 年德文版，1945 年英文版）；德赫罗特（1946）；蔡斯与西蒙（1973）；米勒（1956）；沃森（1960）。这些研究的原始版本、样本与任务细节需要回到原文核对，本文把它们当作问题史使用。</w:t>
      </w:r>
    </w:p>
    <w:p>
      <w:r>
        <w:t xml:space="preserve">现代理论与综合研究：皮亚杰；库恩《科学革命的结构》（1962）；西蒙（1971）关于注意力经济的论述；Klayman 与 Ha（1987）关于正向检验策略；斯威勒（1988 年起）的认知负荷理论；比约克（1994）关于有效困难的论述；索德斯特罗姆与比约克（2015）关于表现与学习的区分；罗迪格与卡皮克（2006）；吉克与霍利约克的类比迁移实验，根特纳等人的类比编码；霍加斯关于友善与险恶学习环境的区分；埃里克松的刻意练习；维果茨基的最近发展区；考恩（2001）；梅尔比-勒沃格与休姆等人关于工作记忆训练的元分析；麦克尤恩的非稳态负荷；穆尔与希利（2008）关于三种过度自信的分类；泰特洛克的预测研究；默顿的科学规范；韦格纳的交互记忆；莱夫与温格的合法边缘性参与；贝雷特与斯卡达马利亚的两种写作模型；卢曼的卡片盒；马奇（1991）关于探索与利用；德雷福斯兄弟的技能获得模型；施波尔的自传与瓦格纳关于第九交响曲的论述；Nicholas Cook《贝多芬：第九交响曲》（1993）；WSET 系统品鉴法与 CQI 的 Q Grader 考试说明。</w:t>
      </w:r>
    </w:p>
    <w:p>
      <w:pPr>
        <w:pStyle w:val="Heading2"/>
      </w:pPr>
      <w:r>
        <w:t xml:space="preserve">六、未完成的核验</w:t>
      </w:r>
    </w:p>
    <w:p>
      <w:r>
        <w:t xml:space="preserve">全部古典引文的底本校勘；所有被引研究的完整质量复评；各项元分析原始数据的复算；本登记中标为“未复核”的七项（Grove 等 2000，Camerer 等 2018，McLean 与 Pontiff 2016，Urbach 等 2014，Kalyuga 等 2003，Rasch 与 Born 2013，Moran 2016）；标为“原稿”的条目，本次修订没有重新核对；教学形式的排名、慢性压力与情绪的剂量关系，均未逐项定位到第一手证据。正文已按待核处理这些项目。</w:t>
      </w:r>
    </w:p>
    <w:p>
      <w:pPr>
        <w:pStyle w:val="Heading1"/>
        <w:pageBreakBefore/>
      </w:pPr>
      <w:r>
        <w:t xml:space="preserve">附录四　维护本文</w:t>
      </w:r>
    </w:p>
    <w:p>
      <w:pPr>
        <w:pStyle w:val="Heading2"/>
      </w:pPr>
      <w:r>
        <w:t xml:space="preserve">证据卡字段</w:t>
      </w:r>
    </w:p>
    <w:p>
      <w:r>
        <w:t xml:space="preserve">每张证据卡只支持一个足够具体的主张，避免把一篇论文放在一整段的末尾，让它看似支持段中所有的句子。</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7041"/>
      </w:tblGrid>
      <w:tr>
        <w:trPr>
          <w:cantSplit w:val="off"/>
          <w:tblHeader/>
        </w:trPr>
        <w:tc>
          <w:tcPr>
            <w:tcW w:type="dxa" w:w="1985"/>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字段</w:t>
            </w:r>
          </w:p>
        </w:tc>
        <w:tc>
          <w:tcPr>
            <w:tcW w:type="dxa" w:w="7041"/>
            <w:tcBorders>
              <w:top w:val="single" w:color="A0A7B0" w:sz="4"/>
              <w:left w:val="single" w:color="A0A7B0" w:sz="4"/>
              <w:bottom w:val="single" w:color="A0A7B0" w:sz="4"/>
              <w:right w:val="single" w:color="A0A7B0" w:sz="4"/>
            </w:tcBorders>
            <w:shd w:fill="E6ECF2" w:color="auto" w:val="clear"/>
            <w:tcMar>
              <w:top w:type="dxa" w:w="50"/>
              <w:left w:type="dxa" w:w="90"/>
              <w:bottom w:type="dxa" w:w="50"/>
              <w:right w:type="dxa" w:w="90"/>
            </w:tcMar>
          </w:tcPr>
          <w:p>
            <w:pPr>
              <w:spacing w:after="0" w:before="0" w:line="276"/>
              <w:ind w:firstLine="0"/>
              <w:jc w:val="left"/>
            </w:pPr>
            <w:r>
              <w:rPr>
                <w:rFonts w:ascii="Arial" w:cs="Arial" w:eastAsia="黑体" w:hAnsi="Arial"/>
                <w:b/>
                <w:bCs/>
                <w:sz w:val="18"/>
                <w:szCs w:val="18"/>
              </w:rPr>
              <w:t xml:space="preserve">应填写的内容</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主张与位置</w:t>
            </w:r>
          </w:p>
        </w:tc>
        <w:tc>
          <w:tcPr>
            <w:tcW w:type="dxa" w:w="704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全文唯一编号，涉及的章节与总结位置</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准确主张</w:t>
            </w:r>
          </w:p>
        </w:tc>
        <w:tc>
          <w:tcPr>
            <w:tcW w:type="dxa" w:w="704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包含对象、操作、比较、指标与时距的完整句子</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主张类型</w:t>
            </w:r>
          </w:p>
        </w:tc>
        <w:tc>
          <w:tcPr>
            <w:tcW w:type="dxa" w:w="704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史实、事实登记、经验、机制、概念框架、实践建议或作者框架</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来源</w:t>
            </w:r>
          </w:p>
        </w:tc>
        <w:tc>
          <w:tcPr>
            <w:tcW w:type="dxa" w:w="704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题名、作者、年份、稳定标识、版本</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核验层级</w:t>
            </w:r>
          </w:p>
        </w:tc>
        <w:tc>
          <w:tcPr>
            <w:tcW w:type="dxa" w:w="704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摘要、相关正文、原表、附录、数据或代码</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研究对象与分母</w:t>
            </w:r>
          </w:p>
        </w:tc>
        <w:tc>
          <w:tcPr>
            <w:tcW w:type="dxa" w:w="704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研究数、独立样本数、人数、效应量数，分别写</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设计与比较</w:t>
            </w:r>
          </w:p>
        </w:tc>
        <w:tc>
          <w:tcPr>
            <w:tcW w:type="dxa" w:w="704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随机化单位、对照活动、时间是否等量、盲法与评分方式</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结果</w:t>
            </w:r>
          </w:p>
        </w:tc>
        <w:tc>
          <w:tcPr>
            <w:tcW w:type="dxa" w:w="704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效应指标、方向、估计值、区间、基线、实际单位</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偏倚与边界</w:t>
            </w:r>
          </w:p>
        </w:tc>
        <w:tc>
          <w:tcPr>
            <w:tcW w:type="dxa" w:w="704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失访、选择、依赖、异质性、发表选择、适用条件</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外推</w:t>
            </w:r>
          </w:p>
        </w:tc>
        <w:tc>
          <w:tcPr>
            <w:tcW w:type="dxa" w:w="704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本文把结论用到了哪些原研究没有覆盖的人群、任务或时距</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更新状态</w:t>
            </w:r>
          </w:p>
        </w:tc>
        <w:tc>
          <w:tcPr>
            <w:tcW w:type="dxa" w:w="704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更正、撤稿、反证、最后检查日期及触发条件</w:t>
            </w:r>
          </w:p>
        </w:tc>
      </w:tr>
      <w:tr>
        <w:trPr>
          <w:cantSplit w:val="off"/>
          <w:tblHeader w:val="off"/>
        </w:trPr>
        <w:tc>
          <w:tcPr>
            <w:tcW w:type="dxa" w:w="1985"/>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作者增量</w:t>
            </w:r>
          </w:p>
        </w:tc>
        <w:tc>
          <w:tcPr>
            <w:tcW w:type="dxa" w:w="7041"/>
            <w:tcBorders>
              <w:top w:val="single" w:color="A0A7B0" w:sz="4"/>
              <w:left w:val="single" w:color="A0A7B0" w:sz="4"/>
              <w:bottom w:val="single" w:color="A0A7B0" w:sz="4"/>
              <w:right w:val="single" w:color="A0A7B0" w:sz="4"/>
            </w:tcBorders>
            <w:tcMar>
              <w:top w:type="dxa" w:w="50"/>
              <w:left w:type="dxa" w:w="90"/>
              <w:bottom w:type="dxa" w:w="50"/>
              <w:right w:type="dxa" w:w="90"/>
            </w:tcMar>
          </w:tcPr>
          <w:p>
            <w:pPr>
              <w:spacing w:after="0" w:before="0" w:line="276"/>
              <w:ind w:firstLine="0"/>
              <w:jc w:val="left"/>
            </w:pPr>
            <w:r>
              <w:rPr>
                <w:rFonts w:ascii="Times New Roman" w:cs="Times New Roman" w:eastAsia="宋体" w:hAnsi="Times New Roman"/>
                <w:sz w:val="18"/>
                <w:szCs w:val="18"/>
              </w:rPr>
              <w:t xml:space="preserve">在原研究的直接结论之外，本文增加了哪一步推断</w:t>
            </w:r>
          </w:p>
        </w:tc>
      </w:tr>
    </w:tbl>
    <w:p>
      <w:pPr>
        <w:spacing w:after="120" w:before="0"/>
      </w:pPr>
    </w:p>
    <w:p>
      <w:r>
        <w:t xml:space="preserve">拆分主张可以直接减少最常见的范围扩张。三个例子：课堂测验的证据，要把总体比较、以重读为对照、以其他精加工为对照拆成三条主张；先验知识的证据，要把与后测水平的相关、与归一化增益的相关拆开；生成式 AI 的研究，要把有辅助时的练习成绩与撤掉辅助后的考试成绩拆开。</w:t>
      </w:r>
    </w:p>
    <w:p>
      <w:pPr>
        <w:pStyle w:val="Heading2"/>
      </w:pPr>
      <w:r>
        <w:t xml:space="preserve">证据更新与版本维护</w:t>
      </w:r>
    </w:p>
    <w:p>
      <w:r>
        <w:t xml:space="preserve">一篇以可纠正性为主题的文章，需要一套让纠错真正传播下去的机制。把正文的关键主张编号，记录哪些总结依赖它。研究被撤稿时，先撤掉它承担的权重，再检查该主张是否还有其他独立的依据，随后更新引用它的章节、操作建议与摘要。只在参考文献里加一个撤稿标记、正文却保留原来的确定语气，是最常见的失败方式。</w:t>
      </w:r>
    </w:p>
    <w:p>
      <w:r>
        <w:t xml:space="preserve">更正分为五层：书目信息、数据、方法、结果与结论。书目的更正只需要维护记录；数据与结论的更正，需要重新评估下游的推断。版本的变更要保留日期、改动、理由与影响范围。新来源与旧来源冲突时，说明冲突发生在哪个估计目标、任务或方法条件上。复核的频率由使用风险与变化速度共同决定：高风险规则，在实际使用之前复核；快速变化的工具，在重要版本更新之后重新验收；稳定背景知识，可以低频检查；发生撤稿、关键反证或任务改变时，立即追踪它的影响。完整改动记录另行保存，见随附的修订说明。</w:t>
      </w:r>
    </w:p>
    <w:sectPr>
      <w:footerReference w:type="default" r:id="rId6"/>
      <w:pgSz w:w="11906" w:h="16838" w:orient="portrait"/>
      <w:pgMar w:top="1440" w:right="1440" w:bottom="1440" w:left="1440" w:header="720" w:footer="72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sz w:val="21"/>
        <w:szCs w:val="21"/>
      </w:rPr>
    </w:rPrDefault>
    <w:pPrDefault>
      <w:pPr>
        <w:spacing w:after="60" w:line="360"/>
        <w:ind w:firstLine="420"/>
        <w:jc w:val="both"/>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240" w:line="360"/>
      <w:ind w:firstLine="0"/>
      <w:jc w:val="center"/>
      <w:outlineLvl w:val="0"/>
    </w:pPr>
    <w:rPr>
      <w:rFonts w:ascii="Arial" w:cs="Arial" w:eastAsia="黑体" w:hAnsi="Arial"/>
      <w:b/>
      <w:bCs/>
      <w:color w:val="1F1F1F"/>
      <w:sz w:val="32"/>
      <w:szCs w:val="32"/>
    </w:rPr>
  </w:style>
  <w:style w:type="paragraph" w:styleId="Heading2">
    <w:name w:val="Heading 2"/>
    <w:basedOn w:val="Normal"/>
    <w:next w:val="Normal"/>
    <w:qFormat/>
    <w:pPr>
      <w:keepNext/>
      <w:spacing w:after="200" w:before="360" w:line="360"/>
      <w:ind w:firstLine="0"/>
      <w:jc w:val="left"/>
      <w:outlineLvl w:val="1"/>
    </w:pPr>
    <w:rPr>
      <w:rFonts w:ascii="Arial" w:cs="Arial" w:eastAsia="黑体" w:hAnsi="Arial"/>
      <w:b/>
      <w:bCs/>
      <w:color w:val="1F1F1F"/>
      <w:sz w:val="28"/>
      <w:szCs w:val="28"/>
    </w:rPr>
  </w:style>
  <w:style w:type="paragraph" w:styleId="Heading3">
    <w:name w:val="Heading 3"/>
    <w:basedOn w:val="Normal"/>
    <w:next w:val="Normal"/>
    <w:qFormat/>
    <w:pPr>
      <w:keepNext/>
      <w:spacing w:after="120" w:before="240" w:line="360"/>
      <w:ind w:firstLine="0"/>
      <w:jc w:val="left"/>
      <w:outlineLvl w:val="2"/>
    </w:pPr>
    <w:rPr>
      <w:rFonts w:ascii="Arial" w:cs="Arial" w:eastAsia="黑体" w:hAnsi="Arial"/>
      <w:b/>
      <w:bCs/>
      <w:color w:val="1F1F1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学不可以已：系统学习的认识论（修订版）</dc:title>
  <dc:creator>Un-named</dc:creator>
  <dc:description>修订版，2026 年 9 月</dc:description>
  <cp:lastModifiedBy>Un-named</cp:lastModifiedBy>
  <cp:revision>1</cp:revision>
  <dcterms:created xsi:type="dcterms:W3CDTF">2026-09-28T17:24:56.150Z</dcterms:created>
  <dcterms:modified xsi:type="dcterms:W3CDTF">2026-09-28T17:24:56.153Z</dcterms:modified>
</cp:coreProperties>
</file>

<file path=docProps/custom.xml><?xml version="1.0" encoding="utf-8"?>
<Properties xmlns="http://schemas.openxmlformats.org/officeDocument/2006/custom-properties" xmlns:vt="http://schemas.openxmlformats.org/officeDocument/2006/docPropsVTypes"/>
</file>