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4.png" ContentType="image/png"/>
  <Override PartName="/word/media/rId1498.png" ContentType="image/png"/>
  <Override PartName="/word/media/rId1115.png" ContentType="image/png"/>
  <Override PartName="/word/media/rId135.png" ContentType="image/png"/>
  <Override PartName="/word/media/rId237.png" ContentType="image/png"/>
  <Override PartName="/word/media/rId604.png" ContentType="image/png"/>
  <Override PartName="/word/media/rId999.png" ContentType="image/png"/>
  <Override PartName="/word/media/rId2273.png" ContentType="image/png"/>
  <Override PartName="/word/media/rId2467.png" ContentType="image/png"/>
  <Override PartName="/word/media/rId1122.png" ContentType="image/png"/>
  <Override PartName="/word/media/rId1133.png" ContentType="image/png"/>
  <Override PartName="/word/media/rId982.png" ContentType="image/png"/>
  <Override PartName="/word/media/rId482.png" ContentType="image/png"/>
  <Override PartName="/word/media/rId2161.png" ContentType="image/png"/>
  <Override PartName="/word/media/rId1215.png" ContentType="image/png"/>
  <Override PartName="/word/media/rId1086.png" ContentType="image/png"/>
  <Override PartName="/word/media/rId107.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脑科学原理、证据与常见误解</w:t>
      </w:r>
    </w:p>
    <w:p>
      <w:pPr>
        <w:pStyle w:val="CoverSubtitle"/>
      </w:pPr>
      <w:r>
        <w:t xml:space="preserve">从神经元、脑区到正念冥想：作用、证据与误解</w:t>
      </w:r>
    </w:p>
    <w:p>
      <w:pPr>
        <w:pStyle w:val="CoverMeta"/>
      </w:pPr>
      <w:r>
        <w:t xml:space="preserve">资料检索截至 2026 年 10 月</w:t>
      </w:r>
    </w:p>
    <w:p>
      <w:pPr>
        <w:pStyle w:val="CoverNote"/>
      </w:pPr>
      <w:r>
        <w:t xml:space="preserve">判断标签与置信度的含义见《怎样读这本书》</w:t>
      </w:r>
    </w:p>
    <w:p>
      <w:pPr>
        <w:pStyle w:val="TOCHeadingCustom"/>
      </w:pPr>
      <w:bookmarkStart w:id="20" w:name="front-1"/>
      <w:bookmarkEnd w:id="20"/>
      <w:r>
        <w:t xml:space="preserve">目录</w:t>
      </w:r>
    </w:p>
    <w:p>
      <w:pPr>
        <w:pStyle w:val="TOC1"/>
      </w:pPr>
      <w:r>
        <w:fldChar w:fldCharType="begin"/>
      </w:r>
      <w:r>
        <w:instrText xml:space="preserve"> TOC \o "1-2" \h \z \u </w:instrText>
      </w:r>
      <w:r>
        <w:fldChar w:fldCharType="separate"/>
      </w:r>
      <w:hyperlink w:anchor="front-2" w:history="1">
        <w:r>
          <w:t xml:space="preserve">全书要点</w:t>
        </w:r>
        <w:r>
          <w:tab/>
        </w:r>
        <w:r>
          <w:fldChar w:fldCharType="begin"/>
        </w:r>
        <w:r>
          <w:instrText xml:space="preserve"> PAGEREF front-2 \h </w:instrText>
        </w:r>
        <w:r>
          <w:fldChar w:fldCharType="separate"/>
        </w:r>
        <w:r>
          <w:t>7</w:t>
        </w:r>
        <w:r>
          <w:fldChar w:fldCharType="end"/>
        </w:r>
      </w:hyperlink>
    </w:p>
    <w:p>
      <w:pPr>
        <w:pStyle w:val="TOC1"/>
      </w:pPr>
      <w:hyperlink w:anchor="front-3" w:history="1">
        <w:r>
          <w:t xml:space="preserve">怎样读这本书</w:t>
        </w:r>
        <w:r>
          <w:tab/>
        </w:r>
        <w:r>
          <w:fldChar w:fldCharType="begin"/>
        </w:r>
        <w:r>
          <w:instrText xml:space="preserve"> PAGEREF front-3 \h </w:instrText>
        </w:r>
        <w:r>
          <w:fldChar w:fldCharType="separate"/>
        </w:r>
        <w:r>
          <w:t>9</w:t>
        </w:r>
        <w:r>
          <w:fldChar w:fldCharType="end"/>
        </w:r>
      </w:hyperlink>
    </w:p>
    <w:p>
      <w:pPr>
        <w:pStyle w:val="TOC1"/>
      </w:pPr>
      <w:hyperlink w:anchor="part-1" w:history="1">
        <w:r>
          <w:t xml:space="preserve">第一编　脑科学导论</w:t>
        </w:r>
        <w:r>
          <w:tab/>
        </w:r>
        <w:r>
          <w:fldChar w:fldCharType="begin"/>
        </w:r>
        <w:r>
          <w:instrText xml:space="preserve"> PAGEREF part-1 \h </w:instrText>
        </w:r>
        <w:r>
          <w:fldChar w:fldCharType="separate"/>
        </w:r>
        <w:r>
          <w:t>12</w:t>
        </w:r>
        <w:r>
          <w:fldChar w:fldCharType="end"/>
        </w:r>
      </w:hyperlink>
    </w:p>
    <w:p>
      <w:pPr>
        <w:pStyle w:val="TOC2"/>
      </w:pPr>
      <w:hyperlink w:anchor="ch-1" w:history="1">
        <w:r>
          <w:t xml:space="preserve">第1章　大脑由什么构成：神经元、突触与连接数量</w:t>
        </w:r>
        <w:r>
          <w:tab/>
        </w:r>
        <w:r>
          <w:fldChar w:fldCharType="begin"/>
        </w:r>
        <w:r>
          <w:instrText xml:space="preserve"> PAGEREF ch-1 \h </w:instrText>
        </w:r>
        <w:r>
          <w:fldChar w:fldCharType="separate"/>
        </w:r>
        <w:r>
          <w:t>13</w:t>
        </w:r>
        <w:r>
          <w:fldChar w:fldCharType="end"/>
        </w:r>
      </w:hyperlink>
    </w:p>
    <w:p>
      <w:pPr>
        <w:pStyle w:val="TOC2"/>
      </w:pPr>
      <w:hyperlink w:anchor="ch-2" w:history="1">
        <w:r>
          <w:t xml:space="preserve">第2章　神经系统的空间组织与长程通路</w:t>
        </w:r>
        <w:r>
          <w:tab/>
        </w:r>
        <w:r>
          <w:fldChar w:fldCharType="begin"/>
        </w:r>
        <w:r>
          <w:instrText xml:space="preserve"> PAGEREF ch-2 \h </w:instrText>
        </w:r>
        <w:r>
          <w:fldChar w:fldCharType="separate"/>
        </w:r>
        <w:r>
          <w:t>18</w:t>
        </w:r>
        <w:r>
          <w:fldChar w:fldCharType="end"/>
        </w:r>
      </w:hyperlink>
    </w:p>
    <w:p>
      <w:pPr>
        <w:pStyle w:val="TOC2"/>
      </w:pPr>
      <w:hyperlink w:anchor="ch-3" w:history="1">
        <w:r>
          <w:t xml:space="preserve">第3章　比较神经生物学与脑的演化</w:t>
        </w:r>
        <w:r>
          <w:tab/>
        </w:r>
        <w:r>
          <w:fldChar w:fldCharType="begin"/>
        </w:r>
        <w:r>
          <w:instrText xml:space="preserve"> PAGEREF ch-3 \h </w:instrText>
        </w:r>
        <w:r>
          <w:fldChar w:fldCharType="separate"/>
        </w:r>
        <w:r>
          <w:t>25</w:t>
        </w:r>
        <w:r>
          <w:fldChar w:fldCharType="end"/>
        </w:r>
      </w:hyperlink>
    </w:p>
    <w:p>
      <w:pPr>
        <w:pStyle w:val="TOC2"/>
      </w:pPr>
      <w:hyperlink w:anchor="ch-4" w:history="1">
        <w:r>
          <w:t xml:space="preserve">第4章　动物认知与人类独特性</w:t>
        </w:r>
        <w:r>
          <w:tab/>
        </w:r>
        <w:r>
          <w:fldChar w:fldCharType="begin"/>
        </w:r>
        <w:r>
          <w:instrText xml:space="preserve"> PAGEREF ch-4 \h </w:instrText>
        </w:r>
        <w:r>
          <w:fldChar w:fldCharType="separate"/>
        </w:r>
        <w:r>
          <w:t>29</w:t>
        </w:r>
        <w:r>
          <w:fldChar w:fldCharType="end"/>
        </w:r>
      </w:hyperlink>
    </w:p>
    <w:p>
      <w:pPr>
        <w:pStyle w:val="TOC1"/>
      </w:pPr>
      <w:hyperlink w:anchor="part-2" w:history="1">
        <w:r>
          <w:t xml:space="preserve">第二编　工作原理（一）：细胞、信号与系统</w:t>
        </w:r>
        <w:r>
          <w:tab/>
        </w:r>
        <w:r>
          <w:fldChar w:fldCharType="begin"/>
        </w:r>
        <w:r>
          <w:instrText xml:space="preserve"> PAGEREF part-2 \h </w:instrText>
        </w:r>
        <w:r>
          <w:fldChar w:fldCharType="separate"/>
        </w:r>
        <w:r>
          <w:t>35</w:t>
        </w:r>
        <w:r>
          <w:fldChar w:fldCharType="end"/>
        </w:r>
      </w:hyperlink>
    </w:p>
    <w:p>
      <w:pPr>
        <w:pStyle w:val="TOC2"/>
      </w:pPr>
      <w:hyperlink w:anchor="ch-5" w:history="1">
        <w:r>
          <w:t xml:space="preserve">第5章　神经膜的电化学基础</w:t>
        </w:r>
        <w:r>
          <w:tab/>
        </w:r>
        <w:r>
          <w:fldChar w:fldCharType="begin"/>
        </w:r>
        <w:r>
          <w:instrText xml:space="preserve"> PAGEREF ch-5 \h </w:instrText>
        </w:r>
        <w:r>
          <w:fldChar w:fldCharType="separate"/>
        </w:r>
        <w:r>
          <w:t>36</w:t>
        </w:r>
        <w:r>
          <w:fldChar w:fldCharType="end"/>
        </w:r>
      </w:hyperlink>
    </w:p>
    <w:p>
      <w:pPr>
        <w:pStyle w:val="TOC2"/>
      </w:pPr>
      <w:hyperlink w:anchor="ch-6" w:history="1">
        <w:r>
          <w:t xml:space="preserve">第6章　动作电位、树突计算与电生理测量</w:t>
        </w:r>
        <w:r>
          <w:tab/>
        </w:r>
        <w:r>
          <w:fldChar w:fldCharType="begin"/>
        </w:r>
        <w:r>
          <w:instrText xml:space="preserve"> PAGEREF ch-6 \h </w:instrText>
        </w:r>
        <w:r>
          <w:fldChar w:fldCharType="separate"/>
        </w:r>
        <w:r>
          <w:t>42</w:t>
        </w:r>
        <w:r>
          <w:fldChar w:fldCharType="end"/>
        </w:r>
      </w:hyperlink>
    </w:p>
    <w:p>
      <w:pPr>
        <w:pStyle w:val="TOC2"/>
      </w:pPr>
      <w:hyperlink w:anchor="ch-7" w:history="1">
        <w:r>
          <w:t xml:space="preserve">第7章　突触传递与可塑性的分子机制</w:t>
        </w:r>
        <w:r>
          <w:tab/>
        </w:r>
        <w:r>
          <w:fldChar w:fldCharType="begin"/>
        </w:r>
        <w:r>
          <w:instrText xml:space="preserve"> PAGEREF ch-7 \h </w:instrText>
        </w:r>
        <w:r>
          <w:fldChar w:fldCharType="separate"/>
        </w:r>
        <w:r>
          <w:t>47</w:t>
        </w:r>
        <w:r>
          <w:fldChar w:fldCharType="end"/>
        </w:r>
      </w:hyperlink>
    </w:p>
    <w:p>
      <w:pPr>
        <w:pStyle w:val="TOC2"/>
      </w:pPr>
      <w:hyperlink w:anchor="ch-8" w:history="1">
        <w:r>
          <w:t xml:space="preserve">第8章　受体信号网络与药效学</w:t>
        </w:r>
        <w:r>
          <w:tab/>
        </w:r>
        <w:r>
          <w:fldChar w:fldCharType="begin"/>
        </w:r>
        <w:r>
          <w:instrText xml:space="preserve"> PAGEREF ch-8 \h </w:instrText>
        </w:r>
        <w:r>
          <w:fldChar w:fldCharType="separate"/>
        </w:r>
        <w:r>
          <w:t>54</w:t>
        </w:r>
        <w:r>
          <w:fldChar w:fldCharType="end"/>
        </w:r>
      </w:hyperlink>
    </w:p>
    <w:p>
      <w:pPr>
        <w:pStyle w:val="TOC2"/>
      </w:pPr>
      <w:hyperlink w:anchor="ch-9" w:history="1">
        <w:r>
          <w:t xml:space="preserve">第9章　神经药物的暴露、分布与生物适应</w:t>
        </w:r>
        <w:r>
          <w:tab/>
        </w:r>
        <w:r>
          <w:fldChar w:fldCharType="begin"/>
        </w:r>
        <w:r>
          <w:instrText xml:space="preserve"> PAGEREF ch-9 \h </w:instrText>
        </w:r>
        <w:r>
          <w:fldChar w:fldCharType="separate"/>
        </w:r>
        <w:r>
          <w:t>61</w:t>
        </w:r>
        <w:r>
          <w:fldChar w:fldCharType="end"/>
        </w:r>
      </w:hyperlink>
    </w:p>
    <w:p>
      <w:pPr>
        <w:pStyle w:val="TOC2"/>
      </w:pPr>
      <w:hyperlink w:anchor="ch-10" w:history="1">
        <w:r>
          <w:t xml:space="preserve">第10章　胶质细胞与神经组织的动态稳态</w:t>
        </w:r>
        <w:r>
          <w:tab/>
        </w:r>
        <w:r>
          <w:fldChar w:fldCharType="begin"/>
        </w:r>
        <w:r>
          <w:instrText xml:space="preserve"> PAGEREF ch-10 \h </w:instrText>
        </w:r>
        <w:r>
          <w:fldChar w:fldCharType="separate"/>
        </w:r>
        <w:r>
          <w:t>67</w:t>
        </w:r>
        <w:r>
          <w:fldChar w:fldCharType="end"/>
        </w:r>
      </w:hyperlink>
    </w:p>
    <w:p>
      <w:pPr>
        <w:pStyle w:val="TOC2"/>
      </w:pPr>
      <w:hyperlink w:anchor="ch-11" w:history="1">
        <w:r>
          <w:t xml:space="preserve">第11章　髓鞘、轴突与传导时间的可塑性</w:t>
        </w:r>
        <w:r>
          <w:tab/>
        </w:r>
        <w:r>
          <w:fldChar w:fldCharType="begin"/>
        </w:r>
        <w:r>
          <w:instrText xml:space="preserve"> PAGEREF ch-11 \h </w:instrText>
        </w:r>
        <w:r>
          <w:fldChar w:fldCharType="separate"/>
        </w:r>
        <w:r>
          <w:t>74</w:t>
        </w:r>
        <w:r>
          <w:fldChar w:fldCharType="end"/>
        </w:r>
      </w:hyperlink>
    </w:p>
    <w:p>
      <w:pPr>
        <w:pStyle w:val="TOC2"/>
      </w:pPr>
      <w:hyperlink w:anchor="ch-12" w:history="1">
        <w:r>
          <w:t xml:space="preserve">第12章　神经血管单元与脑内物质交换</w:t>
        </w:r>
        <w:r>
          <w:tab/>
        </w:r>
        <w:r>
          <w:fldChar w:fldCharType="begin"/>
        </w:r>
        <w:r>
          <w:instrText xml:space="preserve"> PAGEREF ch-12 \h </w:instrText>
        </w:r>
        <w:r>
          <w:fldChar w:fldCharType="separate"/>
        </w:r>
        <w:r>
          <w:t>80</w:t>
        </w:r>
        <w:r>
          <w:fldChar w:fldCharType="end"/>
        </w:r>
      </w:hyperlink>
    </w:p>
    <w:p>
      <w:pPr>
        <w:pStyle w:val="TOC2"/>
      </w:pPr>
      <w:hyperlink w:anchor="ch-13" w:history="1">
        <w:r>
          <w:t xml:space="preserve">第13章　神经系统的能量代谢与细胞稳态</w:t>
        </w:r>
        <w:r>
          <w:tab/>
        </w:r>
        <w:r>
          <w:fldChar w:fldCharType="begin"/>
        </w:r>
        <w:r>
          <w:instrText xml:space="preserve"> PAGEREF ch-13 \h </w:instrText>
        </w:r>
        <w:r>
          <w:fldChar w:fldCharType="separate"/>
        </w:r>
        <w:r>
          <w:t>88</w:t>
        </w:r>
        <w:r>
          <w:fldChar w:fldCharType="end"/>
        </w:r>
      </w:hyperlink>
    </w:p>
    <w:p>
      <w:pPr>
        <w:pStyle w:val="TOC2"/>
      </w:pPr>
      <w:hyperlink w:anchor="ch-14" w:history="1">
        <w:r>
          <w:t xml:space="preserve">第14章　神经免疫的空间组织与细胞机制</w:t>
        </w:r>
        <w:r>
          <w:tab/>
        </w:r>
        <w:r>
          <w:fldChar w:fldCharType="begin"/>
        </w:r>
        <w:r>
          <w:instrText xml:space="preserve"> PAGEREF ch-14 \h </w:instrText>
        </w:r>
        <w:r>
          <w:fldChar w:fldCharType="separate"/>
        </w:r>
        <w:r>
          <w:t>93</w:t>
        </w:r>
        <w:r>
          <w:fldChar w:fldCharType="end"/>
        </w:r>
      </w:hyperlink>
    </w:p>
    <w:p>
      <w:pPr>
        <w:pStyle w:val="TOC2"/>
      </w:pPr>
      <w:hyperlink w:anchor="ch-15" w:history="1">
        <w:r>
          <w:t xml:space="preserve">第15章　感觉转导与感觉通路的生物物理基础</w:t>
        </w:r>
        <w:r>
          <w:tab/>
        </w:r>
        <w:r>
          <w:fldChar w:fldCharType="begin"/>
        </w:r>
        <w:r>
          <w:instrText xml:space="preserve"> PAGEREF ch-15 \h </w:instrText>
        </w:r>
        <w:r>
          <w:fldChar w:fldCharType="separate"/>
        </w:r>
        <w:r>
          <w:t>98</w:t>
        </w:r>
        <w:r>
          <w:fldChar w:fldCharType="end"/>
        </w:r>
      </w:hyperlink>
    </w:p>
    <w:p>
      <w:pPr>
        <w:pStyle w:val="TOC2"/>
      </w:pPr>
      <w:hyperlink w:anchor="ch-16" w:history="1">
        <w:r>
          <w:t xml:space="preserve">第16章　从运动单位到全脑运动回路</w:t>
        </w:r>
        <w:r>
          <w:tab/>
        </w:r>
        <w:r>
          <w:fldChar w:fldCharType="begin"/>
        </w:r>
        <w:r>
          <w:instrText xml:space="preserve"> PAGEREF ch-16 \h </w:instrText>
        </w:r>
        <w:r>
          <w:fldChar w:fldCharType="separate"/>
        </w:r>
        <w:r>
          <w:t>104</w:t>
        </w:r>
        <w:r>
          <w:fldChar w:fldCharType="end"/>
        </w:r>
      </w:hyperlink>
    </w:p>
    <w:p>
      <w:pPr>
        <w:pStyle w:val="TOC2"/>
      </w:pPr>
      <w:hyperlink w:anchor="ch-17" w:history="1">
        <w:r>
          <w:t xml:space="preserve">第17章　神经发育与连接形成的细胞机制</w:t>
        </w:r>
        <w:r>
          <w:tab/>
        </w:r>
        <w:r>
          <w:fldChar w:fldCharType="begin"/>
        </w:r>
        <w:r>
          <w:instrText xml:space="preserve"> PAGEREF ch-17 \h </w:instrText>
        </w:r>
        <w:r>
          <w:fldChar w:fldCharType="separate"/>
        </w:r>
        <w:r>
          <w:t>110</w:t>
        </w:r>
        <w:r>
          <w:fldChar w:fldCharType="end"/>
        </w:r>
      </w:hyperlink>
    </w:p>
    <w:p>
      <w:pPr>
        <w:pStyle w:val="TOC2"/>
      </w:pPr>
      <w:hyperlink w:anchor="ch-18" w:history="1">
        <w:r>
          <w:t xml:space="preserve">第18章　单细胞图谱与空间分子组织</w:t>
        </w:r>
        <w:r>
          <w:tab/>
        </w:r>
        <w:r>
          <w:fldChar w:fldCharType="begin"/>
        </w:r>
        <w:r>
          <w:instrText xml:space="preserve"> PAGEREF ch-18 \h </w:instrText>
        </w:r>
        <w:r>
          <w:fldChar w:fldCharType="separate"/>
        </w:r>
        <w:r>
          <w:t>114</w:t>
        </w:r>
        <w:r>
          <w:fldChar w:fldCharType="end"/>
        </w:r>
      </w:hyperlink>
    </w:p>
    <w:p>
      <w:pPr>
        <w:pStyle w:val="TOC2"/>
      </w:pPr>
      <w:hyperlink w:anchor="ch-19" w:history="1">
        <w:r>
          <w:t xml:space="preserve">第19章　连接组与结构—功能关系</w:t>
        </w:r>
        <w:r>
          <w:tab/>
        </w:r>
        <w:r>
          <w:fldChar w:fldCharType="begin"/>
        </w:r>
        <w:r>
          <w:instrText xml:space="preserve"> PAGEREF ch-19 \h </w:instrText>
        </w:r>
        <w:r>
          <w:fldChar w:fldCharType="separate"/>
        </w:r>
        <w:r>
          <w:t>118</w:t>
        </w:r>
        <w:r>
          <w:fldChar w:fldCharType="end"/>
        </w:r>
      </w:hyperlink>
    </w:p>
    <w:p>
      <w:pPr>
        <w:pStyle w:val="TOC1"/>
      </w:pPr>
      <w:hyperlink w:anchor="part-3" w:history="1">
        <w:r>
          <w:t xml:space="preserve">第三编　工作原理（二）：可塑性、学习与记忆</w:t>
        </w:r>
        <w:r>
          <w:tab/>
        </w:r>
        <w:r>
          <w:fldChar w:fldCharType="begin"/>
        </w:r>
        <w:r>
          <w:instrText xml:space="preserve"> PAGEREF part-3 \h </w:instrText>
        </w:r>
        <w:r>
          <w:fldChar w:fldCharType="separate"/>
        </w:r>
        <w:r>
          <w:t>122</w:t>
        </w:r>
        <w:r>
          <w:fldChar w:fldCharType="end"/>
        </w:r>
      </w:hyperlink>
    </w:p>
    <w:p>
      <w:pPr>
        <w:pStyle w:val="TOC2"/>
      </w:pPr>
      <w:hyperlink w:anchor="ch-20" w:history="1">
        <w:r>
          <w:t xml:space="preserve">第20章　神经可塑性的机制与约束</w:t>
        </w:r>
        <w:r>
          <w:tab/>
        </w:r>
        <w:r>
          <w:fldChar w:fldCharType="begin"/>
        </w:r>
        <w:r>
          <w:instrText xml:space="preserve"> PAGEREF ch-20 \h </w:instrText>
        </w:r>
        <w:r>
          <w:fldChar w:fldCharType="separate"/>
        </w:r>
        <w:r>
          <w:t>123</w:t>
        </w:r>
        <w:r>
          <w:fldChar w:fldCharType="end"/>
        </w:r>
      </w:hyperlink>
    </w:p>
    <w:p>
      <w:pPr>
        <w:pStyle w:val="TOC2"/>
      </w:pPr>
      <w:hyperlink w:anchor="ch-21" w:history="1">
        <w:r>
          <w:t xml:space="preserve">第21章　成年后的神经可塑性与改变的条件</w:t>
        </w:r>
        <w:r>
          <w:tab/>
        </w:r>
        <w:r>
          <w:fldChar w:fldCharType="begin"/>
        </w:r>
        <w:r>
          <w:instrText xml:space="preserve"> PAGEREF ch-21 \h </w:instrText>
        </w:r>
        <w:r>
          <w:fldChar w:fldCharType="separate"/>
        </w:r>
        <w:r>
          <w:t>129</w:t>
        </w:r>
        <w:r>
          <w:fldChar w:fldCharType="end"/>
        </w:r>
      </w:hyperlink>
    </w:p>
    <w:p>
      <w:pPr>
        <w:pStyle w:val="TOC2"/>
      </w:pPr>
      <w:hyperlink w:anchor="ch-22" w:history="1">
        <w:r>
          <w:t xml:space="preserve">第22章　关键期、敏感期与终身学习</w:t>
        </w:r>
        <w:r>
          <w:tab/>
        </w:r>
        <w:r>
          <w:fldChar w:fldCharType="begin"/>
        </w:r>
        <w:r>
          <w:instrText xml:space="preserve"> PAGEREF ch-22 \h </w:instrText>
        </w:r>
        <w:r>
          <w:fldChar w:fldCharType="separate"/>
        </w:r>
        <w:r>
          <w:t>135</w:t>
        </w:r>
        <w:r>
          <w:fldChar w:fldCharType="end"/>
        </w:r>
      </w:hyperlink>
    </w:p>
    <w:p>
      <w:pPr>
        <w:pStyle w:val="TOC2"/>
      </w:pPr>
      <w:hyperlink w:anchor="ch-23" w:history="1">
        <w:r>
          <w:t xml:space="preserve">第23章　成人神经发生的证据与未解问题</w:t>
        </w:r>
        <w:r>
          <w:tab/>
        </w:r>
        <w:r>
          <w:fldChar w:fldCharType="begin"/>
        </w:r>
        <w:r>
          <w:instrText xml:space="preserve"> PAGEREF ch-23 \h </w:instrText>
        </w:r>
        <w:r>
          <w:fldChar w:fldCharType="separate"/>
        </w:r>
        <w:r>
          <w:t>141</w:t>
        </w:r>
        <w:r>
          <w:fldChar w:fldCharType="end"/>
        </w:r>
      </w:hyperlink>
    </w:p>
    <w:p>
      <w:pPr>
        <w:pStyle w:val="TOC2"/>
      </w:pPr>
      <w:hyperlink w:anchor="ch-24" w:history="1">
        <w:r>
          <w:t xml:space="preserve">第24章　从突触可塑性到学习机制</w:t>
        </w:r>
        <w:r>
          <w:tab/>
        </w:r>
        <w:r>
          <w:fldChar w:fldCharType="begin"/>
        </w:r>
        <w:r>
          <w:instrText xml:space="preserve"> PAGEREF ch-24 \h </w:instrText>
        </w:r>
        <w:r>
          <w:fldChar w:fldCharType="separate"/>
        </w:r>
        <w:r>
          <w:t>147</w:t>
        </w:r>
        <w:r>
          <w:fldChar w:fldCharType="end"/>
        </w:r>
      </w:hyperlink>
    </w:p>
    <w:p>
      <w:pPr>
        <w:pStyle w:val="TOC2"/>
      </w:pPr>
      <w:hyperlink w:anchor="ch-25" w:history="1">
        <w:r>
          <w:t xml:space="preserve">第25章　记忆系统与知识组织</w:t>
        </w:r>
        <w:r>
          <w:tab/>
        </w:r>
        <w:r>
          <w:fldChar w:fldCharType="begin"/>
        </w:r>
        <w:r>
          <w:instrText xml:space="preserve"> PAGEREF ch-25 \h </w:instrText>
        </w:r>
        <w:r>
          <w:fldChar w:fldCharType="separate"/>
        </w:r>
        <w:r>
          <w:t>154</w:t>
        </w:r>
        <w:r>
          <w:fldChar w:fldCharType="end"/>
        </w:r>
      </w:hyperlink>
    </w:p>
    <w:p>
      <w:pPr>
        <w:pStyle w:val="TOC2"/>
      </w:pPr>
      <w:hyperlink w:anchor="ch-26" w:history="1">
        <w:r>
          <w:t xml:space="preserve">第26章　记忆重建与事实准确性</w:t>
        </w:r>
        <w:r>
          <w:tab/>
        </w:r>
        <w:r>
          <w:fldChar w:fldCharType="begin"/>
        </w:r>
        <w:r>
          <w:instrText xml:space="preserve"> PAGEREF ch-26 \h </w:instrText>
        </w:r>
        <w:r>
          <w:fldChar w:fldCharType="separate"/>
        </w:r>
        <w:r>
          <w:t>162</w:t>
        </w:r>
        <w:r>
          <w:fldChar w:fldCharType="end"/>
        </w:r>
      </w:hyperlink>
    </w:p>
    <w:p>
      <w:pPr>
        <w:pStyle w:val="TOC2"/>
      </w:pPr>
      <w:hyperlink w:anchor="ch-27" w:history="1">
        <w:r>
          <w:t xml:space="preserve">第27章　鲜明感、自信与准确率</w:t>
        </w:r>
        <w:r>
          <w:tab/>
        </w:r>
        <w:r>
          <w:fldChar w:fldCharType="begin"/>
        </w:r>
        <w:r>
          <w:instrText xml:space="preserve"> PAGEREF ch-27 \h </w:instrText>
        </w:r>
        <w:r>
          <w:fldChar w:fldCharType="separate"/>
        </w:r>
        <w:r>
          <w:t>169</w:t>
        </w:r>
        <w:r>
          <w:fldChar w:fldCharType="end"/>
        </w:r>
      </w:hyperlink>
    </w:p>
    <w:p>
      <w:pPr>
        <w:pStyle w:val="TOC2"/>
      </w:pPr>
      <w:hyperlink w:anchor="ch-28" w:history="1">
        <w:r>
          <w:t xml:space="preserve">第28章　再巩固与记忆更新</w:t>
        </w:r>
        <w:r>
          <w:tab/>
        </w:r>
        <w:r>
          <w:fldChar w:fldCharType="begin"/>
        </w:r>
        <w:r>
          <w:instrText xml:space="preserve"> PAGEREF ch-28 \h </w:instrText>
        </w:r>
        <w:r>
          <w:fldChar w:fldCharType="separate"/>
        </w:r>
        <w:r>
          <w:t>174</w:t>
        </w:r>
        <w:r>
          <w:fldChar w:fldCharType="end"/>
        </w:r>
      </w:hyperlink>
    </w:p>
    <w:p>
      <w:pPr>
        <w:pStyle w:val="TOC2"/>
      </w:pPr>
      <w:hyperlink w:anchor="ch-29" w:history="1">
        <w:r>
          <w:t xml:space="preserve">第29章　遗忘创伤与恢复记忆</w:t>
        </w:r>
        <w:r>
          <w:tab/>
        </w:r>
        <w:r>
          <w:fldChar w:fldCharType="begin"/>
        </w:r>
        <w:r>
          <w:instrText xml:space="preserve"> PAGEREF ch-29 \h </w:instrText>
        </w:r>
        <w:r>
          <w:fldChar w:fldCharType="separate"/>
        </w:r>
        <w:r>
          <w:t>179</w:t>
        </w:r>
        <w:r>
          <w:fldChar w:fldCharType="end"/>
        </w:r>
      </w:hyperlink>
    </w:p>
    <w:p>
      <w:pPr>
        <w:pStyle w:val="TOC2"/>
      </w:pPr>
      <w:hyperlink w:anchor="ch-30" w:history="1">
        <w:r>
          <w:t xml:space="preserve">第30章　视觉记忆、表象与特殊记忆能力</w:t>
        </w:r>
        <w:r>
          <w:tab/>
        </w:r>
        <w:r>
          <w:fldChar w:fldCharType="begin"/>
        </w:r>
        <w:r>
          <w:instrText xml:space="preserve"> PAGEREF ch-30 \h </w:instrText>
        </w:r>
        <w:r>
          <w:fldChar w:fldCharType="separate"/>
        </w:r>
        <w:r>
          <w:t>185</w:t>
        </w:r>
        <w:r>
          <w:fldChar w:fldCharType="end"/>
        </w:r>
      </w:hyperlink>
    </w:p>
    <w:p>
      <w:pPr>
        <w:pStyle w:val="TOC2"/>
      </w:pPr>
      <w:hyperlink w:anchor="ch-31" w:history="1">
        <w:r>
          <w:t xml:space="preserve">第31章　提取练习、反馈与知识可用性</w:t>
        </w:r>
        <w:r>
          <w:tab/>
        </w:r>
        <w:r>
          <w:fldChar w:fldCharType="begin"/>
        </w:r>
        <w:r>
          <w:instrText xml:space="preserve"> PAGEREF ch-31 \h </w:instrText>
        </w:r>
        <w:r>
          <w:fldChar w:fldCharType="separate"/>
        </w:r>
        <w:r>
          <w:t>191</w:t>
        </w:r>
        <w:r>
          <w:fldChar w:fldCharType="end"/>
        </w:r>
      </w:hyperlink>
    </w:p>
    <w:p>
      <w:pPr>
        <w:pStyle w:val="TOC2"/>
      </w:pPr>
      <w:hyperlink w:anchor="ch-32" w:history="1">
        <w:r>
          <w:t xml:space="preserve">第32章　间隔、交错与练习调度</w:t>
        </w:r>
        <w:r>
          <w:tab/>
        </w:r>
        <w:r>
          <w:fldChar w:fldCharType="begin"/>
        </w:r>
        <w:r>
          <w:instrText xml:space="preserve"> PAGEREF ch-32 \h </w:instrText>
        </w:r>
        <w:r>
          <w:fldChar w:fldCharType="separate"/>
        </w:r>
        <w:r>
          <w:t>199</w:t>
        </w:r>
        <w:r>
          <w:fldChar w:fldCharType="end"/>
        </w:r>
      </w:hyperlink>
    </w:p>
    <w:p>
      <w:pPr>
        <w:pStyle w:val="TOC2"/>
      </w:pPr>
      <w:hyperlink w:anchor="ch-33" w:history="1">
        <w:r>
          <w:t xml:space="preserve">第33章　认知负荷与教学设计</w:t>
        </w:r>
        <w:r>
          <w:tab/>
        </w:r>
        <w:r>
          <w:fldChar w:fldCharType="begin"/>
        </w:r>
        <w:r>
          <w:instrText xml:space="preserve"> PAGEREF ch-33 \h </w:instrText>
        </w:r>
        <w:r>
          <w:fldChar w:fldCharType="separate"/>
        </w:r>
        <w:r>
          <w:t>208</w:t>
        </w:r>
        <w:r>
          <w:fldChar w:fldCharType="end"/>
        </w:r>
      </w:hyperlink>
    </w:p>
    <w:p>
      <w:pPr>
        <w:pStyle w:val="TOC2"/>
      </w:pPr>
      <w:hyperlink w:anchor="ch-34" w:history="1">
        <w:r>
          <w:t xml:space="preserve">第34章　元认知与自我调节学习</w:t>
        </w:r>
        <w:r>
          <w:tab/>
        </w:r>
        <w:r>
          <w:fldChar w:fldCharType="begin"/>
        </w:r>
        <w:r>
          <w:instrText xml:space="preserve"> PAGEREF ch-34 \h </w:instrText>
        </w:r>
        <w:r>
          <w:fldChar w:fldCharType="separate"/>
        </w:r>
        <w:r>
          <w:t>215</w:t>
        </w:r>
        <w:r>
          <w:fldChar w:fldCharType="end"/>
        </w:r>
      </w:hyperlink>
    </w:p>
    <w:p>
      <w:pPr>
        <w:pStyle w:val="TOC1"/>
      </w:pPr>
      <w:hyperlink w:anchor="part-4" w:history="1">
        <w:r>
          <w:t xml:space="preserve">第四编　工作原理（三）：注意、语言、思维与决策</w:t>
        </w:r>
        <w:r>
          <w:tab/>
        </w:r>
        <w:r>
          <w:fldChar w:fldCharType="begin"/>
        </w:r>
        <w:r>
          <w:instrText xml:space="preserve"> PAGEREF part-4 \h </w:instrText>
        </w:r>
        <w:r>
          <w:fldChar w:fldCharType="separate"/>
        </w:r>
        <w:r>
          <w:t>222</w:t>
        </w:r>
        <w:r>
          <w:fldChar w:fldCharType="end"/>
        </w:r>
      </w:hyperlink>
    </w:p>
    <w:p>
      <w:pPr>
        <w:pStyle w:val="TOC2"/>
      </w:pPr>
      <w:hyperlink w:anchor="ch-35" w:history="1">
        <w:r>
          <w:t xml:space="preserve">第35章　工作记忆、注意控制与复杂认知</w:t>
        </w:r>
        <w:r>
          <w:tab/>
        </w:r>
        <w:r>
          <w:fldChar w:fldCharType="begin"/>
        </w:r>
        <w:r>
          <w:instrText xml:space="preserve"> PAGEREF ch-35 \h </w:instrText>
        </w:r>
        <w:r>
          <w:fldChar w:fldCharType="separate"/>
        </w:r>
        <w:r>
          <w:t>223</w:t>
        </w:r>
        <w:r>
          <w:fldChar w:fldCharType="end"/>
        </w:r>
      </w:hyperlink>
    </w:p>
    <w:p>
      <w:pPr>
        <w:pStyle w:val="TOC2"/>
      </w:pPr>
      <w:hyperlink w:anchor="ch-36" w:history="1">
        <w:r>
          <w:t xml:space="preserve">第36章　持续注意、走神与注意时限</w:t>
        </w:r>
        <w:r>
          <w:tab/>
        </w:r>
        <w:r>
          <w:fldChar w:fldCharType="begin"/>
        </w:r>
        <w:r>
          <w:instrText xml:space="preserve"> PAGEREF ch-36 \h </w:instrText>
        </w:r>
        <w:r>
          <w:fldChar w:fldCharType="separate"/>
        </w:r>
        <w:r>
          <w:t>230</w:t>
        </w:r>
        <w:r>
          <w:fldChar w:fldCharType="end"/>
        </w:r>
      </w:hyperlink>
    </w:p>
    <w:p>
      <w:pPr>
        <w:pStyle w:val="TOC2"/>
      </w:pPr>
      <w:hyperlink w:anchor="ch-37" w:history="1">
        <w:r>
          <w:t xml:space="preserve">第37章　多任务加工与任务切换</w:t>
        </w:r>
        <w:r>
          <w:tab/>
        </w:r>
        <w:r>
          <w:fldChar w:fldCharType="begin"/>
        </w:r>
        <w:r>
          <w:instrText xml:space="preserve"> PAGEREF ch-37 \h </w:instrText>
        </w:r>
        <w:r>
          <w:fldChar w:fldCharType="separate"/>
        </w:r>
        <w:r>
          <w:t>236</w:t>
        </w:r>
        <w:r>
          <w:fldChar w:fldCharType="end"/>
        </w:r>
      </w:hyperlink>
    </w:p>
    <w:p>
      <w:pPr>
        <w:pStyle w:val="TOC2"/>
      </w:pPr>
      <w:hyperlink w:anchor="ch-38" w:history="1">
        <w:r>
          <w:t xml:space="preserve">第38章　知觉推断、注意选择与感觉运动预测</w:t>
        </w:r>
        <w:r>
          <w:tab/>
        </w:r>
        <w:r>
          <w:fldChar w:fldCharType="begin"/>
        </w:r>
        <w:r>
          <w:instrText xml:space="preserve"> PAGEREF ch-38 \h </w:instrText>
        </w:r>
        <w:r>
          <w:fldChar w:fldCharType="separate"/>
        </w:r>
        <w:r>
          <w:t>242</w:t>
        </w:r>
        <w:r>
          <w:fldChar w:fldCharType="end"/>
        </w:r>
      </w:hyperlink>
    </w:p>
    <w:p>
      <w:pPr>
        <w:pStyle w:val="TOC2"/>
      </w:pPr>
      <w:hyperlink w:anchor="ch-39" w:history="1">
        <w:r>
          <w:t xml:space="preserve">第39章　语言、阅读与识字学习</w:t>
        </w:r>
        <w:r>
          <w:tab/>
        </w:r>
        <w:r>
          <w:fldChar w:fldCharType="begin"/>
        </w:r>
        <w:r>
          <w:instrText xml:space="preserve"> PAGEREF ch-39 \h </w:instrText>
        </w:r>
        <w:r>
          <w:fldChar w:fldCharType="separate"/>
        </w:r>
        <w:r>
          <w:t>250</w:t>
        </w:r>
        <w:r>
          <w:fldChar w:fldCharType="end"/>
        </w:r>
      </w:hyperlink>
    </w:p>
    <w:p>
      <w:pPr>
        <w:pStyle w:val="TOC2"/>
      </w:pPr>
      <w:hyperlink w:anchor="ch-40" w:history="1">
        <w:r>
          <w:t xml:space="preserve">第40章　双语经验与执行功能</w:t>
        </w:r>
        <w:r>
          <w:tab/>
        </w:r>
        <w:r>
          <w:fldChar w:fldCharType="begin"/>
        </w:r>
        <w:r>
          <w:instrText xml:space="preserve"> PAGEREF ch-40 \h </w:instrText>
        </w:r>
        <w:r>
          <w:fldChar w:fldCharType="separate"/>
        </w:r>
        <w:r>
          <w:t>259</w:t>
        </w:r>
        <w:r>
          <w:fldChar w:fldCharType="end"/>
        </w:r>
      </w:hyperlink>
    </w:p>
    <w:p>
      <w:pPr>
        <w:pStyle w:val="TOC2"/>
      </w:pPr>
      <w:hyperlink w:anchor="ch-41" w:history="1">
        <w:r>
          <w:t xml:space="preserve">第41章　数学、数量与符号推理</w:t>
        </w:r>
        <w:r>
          <w:tab/>
        </w:r>
        <w:r>
          <w:fldChar w:fldCharType="begin"/>
        </w:r>
        <w:r>
          <w:instrText xml:space="preserve"> PAGEREF ch-41 \h </w:instrText>
        </w:r>
        <w:r>
          <w:fldChar w:fldCharType="separate"/>
        </w:r>
        <w:r>
          <w:t>265</w:t>
        </w:r>
        <w:r>
          <w:fldChar w:fldCharType="end"/>
        </w:r>
      </w:hyperlink>
    </w:p>
    <w:p>
      <w:pPr>
        <w:pStyle w:val="TOC2"/>
      </w:pPr>
      <w:hyperlink w:anchor="ch-42" w:history="1">
        <w:r>
          <w:t xml:space="preserve">第42章　概念、类别与知识表征</w:t>
        </w:r>
        <w:r>
          <w:tab/>
        </w:r>
        <w:r>
          <w:fldChar w:fldCharType="begin"/>
        </w:r>
        <w:r>
          <w:instrText xml:space="preserve"> PAGEREF ch-42 \h </w:instrText>
        </w:r>
        <w:r>
          <w:fldChar w:fldCharType="separate"/>
        </w:r>
        <w:r>
          <w:t>271</w:t>
        </w:r>
        <w:r>
          <w:fldChar w:fldCharType="end"/>
        </w:r>
      </w:hyperlink>
    </w:p>
    <w:p>
      <w:pPr>
        <w:pStyle w:val="TOC2"/>
      </w:pPr>
      <w:hyperlink w:anchor="ch-43" w:history="1">
        <w:r>
          <w:t xml:space="preserve">第43章　因果推理、类比与迁移</w:t>
        </w:r>
        <w:r>
          <w:tab/>
        </w:r>
        <w:r>
          <w:fldChar w:fldCharType="begin"/>
        </w:r>
        <w:r>
          <w:instrText xml:space="preserve"> PAGEREF ch-43 \h </w:instrText>
        </w:r>
        <w:r>
          <w:fldChar w:fldCharType="separate"/>
        </w:r>
        <w:r>
          <w:t>278</w:t>
        </w:r>
        <w:r>
          <w:fldChar w:fldCharType="end"/>
        </w:r>
      </w:hyperlink>
    </w:p>
    <w:p>
      <w:pPr>
        <w:pStyle w:val="TOC2"/>
      </w:pPr>
      <w:hyperlink w:anchor="ch-44" w:history="1">
        <w:r>
          <w:t xml:space="preserve">第44章　空间导航、社会推断与认知地图</w:t>
        </w:r>
        <w:r>
          <w:tab/>
        </w:r>
        <w:r>
          <w:fldChar w:fldCharType="begin"/>
        </w:r>
        <w:r>
          <w:instrText xml:space="preserve"> PAGEREF ch-44 \h </w:instrText>
        </w:r>
        <w:r>
          <w:fldChar w:fldCharType="separate"/>
        </w:r>
        <w:r>
          <w:t>284</w:t>
        </w:r>
        <w:r>
          <w:fldChar w:fldCharType="end"/>
        </w:r>
      </w:hyperlink>
    </w:p>
    <w:p>
      <w:pPr>
        <w:pStyle w:val="TOC2"/>
      </w:pPr>
      <w:hyperlink w:anchor="ch-45" w:history="1">
        <w:r>
          <w:t xml:space="preserve">第45章　强化学习、价值判断与决策控制</w:t>
        </w:r>
        <w:r>
          <w:tab/>
        </w:r>
        <w:r>
          <w:fldChar w:fldCharType="begin"/>
        </w:r>
        <w:r>
          <w:instrText xml:space="preserve"> PAGEREF ch-45 \h </w:instrText>
        </w:r>
        <w:r>
          <w:fldChar w:fldCharType="separate"/>
        </w:r>
        <w:r>
          <w:t>293</w:t>
        </w:r>
        <w:r>
          <w:fldChar w:fldCharType="end"/>
        </w:r>
      </w:hyperlink>
    </w:p>
    <w:p>
      <w:pPr>
        <w:pStyle w:val="TOC2"/>
      </w:pPr>
      <w:hyperlink w:anchor="ch-46" w:history="1">
        <w:r>
          <w:t xml:space="preserve">第46章　情绪与审慎判断怎样共同构成决策</w:t>
        </w:r>
        <w:r>
          <w:tab/>
        </w:r>
        <w:r>
          <w:fldChar w:fldCharType="begin"/>
        </w:r>
        <w:r>
          <w:instrText xml:space="preserve"> PAGEREF ch-46 \h </w:instrText>
        </w:r>
        <w:r>
          <w:fldChar w:fldCharType="separate"/>
        </w:r>
        <w:r>
          <w:t>302</w:t>
        </w:r>
        <w:r>
          <w:fldChar w:fldCharType="end"/>
        </w:r>
      </w:hyperlink>
    </w:p>
    <w:p>
      <w:pPr>
        <w:pStyle w:val="TOC2"/>
      </w:pPr>
      <w:hyperlink w:anchor="ch-47" w:history="1">
        <w:r>
          <w:t xml:space="preserve">第47章　双加工模型与脑结构的对应问题</w:t>
        </w:r>
        <w:r>
          <w:tab/>
        </w:r>
        <w:r>
          <w:fldChar w:fldCharType="begin"/>
        </w:r>
        <w:r>
          <w:instrText xml:space="preserve"> PAGEREF ch-47 \h </w:instrText>
        </w:r>
        <w:r>
          <w:fldChar w:fldCharType="separate"/>
        </w:r>
        <w:r>
          <w:t>308</w:t>
        </w:r>
        <w:r>
          <w:fldChar w:fldCharType="end"/>
        </w:r>
      </w:hyperlink>
    </w:p>
    <w:p>
      <w:pPr>
        <w:pStyle w:val="TOC1"/>
      </w:pPr>
      <w:hyperlink w:anchor="part-5" w:history="1">
        <w:r>
          <w:t xml:space="preserve">第五编　工作原理（四）：睡眠、脑节律与意识</w:t>
        </w:r>
        <w:r>
          <w:tab/>
        </w:r>
        <w:r>
          <w:fldChar w:fldCharType="begin"/>
        </w:r>
        <w:r>
          <w:instrText xml:space="preserve"> PAGEREF part-5 \h </w:instrText>
        </w:r>
        <w:r>
          <w:fldChar w:fldCharType="separate"/>
        </w:r>
        <w:r>
          <w:t>313</w:t>
        </w:r>
        <w:r>
          <w:fldChar w:fldCharType="end"/>
        </w:r>
      </w:hyperlink>
    </w:p>
    <w:p>
      <w:pPr>
        <w:pStyle w:val="TOC2"/>
      </w:pPr>
      <w:hyperlink w:anchor="ch-48" w:history="1">
        <w:r>
          <w:t xml:space="preserve">第48章　睡眠是主动调节的状态</w:t>
        </w:r>
        <w:r>
          <w:tab/>
        </w:r>
        <w:r>
          <w:fldChar w:fldCharType="begin"/>
        </w:r>
        <w:r>
          <w:instrText xml:space="preserve"> PAGEREF ch-48 \h </w:instrText>
        </w:r>
        <w:r>
          <w:fldChar w:fldCharType="separate"/>
        </w:r>
        <w:r>
          <w:t>314</w:t>
        </w:r>
        <w:r>
          <w:fldChar w:fldCharType="end"/>
        </w:r>
      </w:hyperlink>
    </w:p>
    <w:p>
      <w:pPr>
        <w:pStyle w:val="TOC2"/>
      </w:pPr>
      <w:hyperlink w:anchor="ch-49" w:history="1">
        <w:r>
          <w:t xml:space="preserve">第49章　睡眠巩固与睡中新学习</w:t>
        </w:r>
        <w:r>
          <w:tab/>
        </w:r>
        <w:r>
          <w:fldChar w:fldCharType="begin"/>
        </w:r>
        <w:r>
          <w:instrText xml:space="preserve"> PAGEREF ch-49 \h </w:instrText>
        </w:r>
        <w:r>
          <w:fldChar w:fldCharType="separate"/>
        </w:r>
        <w:r>
          <w:t>320</w:t>
        </w:r>
        <w:r>
          <w:fldChar w:fldCharType="end"/>
        </w:r>
      </w:hyperlink>
    </w:p>
    <w:p>
      <w:pPr>
        <w:pStyle w:val="TOC2"/>
      </w:pPr>
      <w:hyperlink w:anchor="ch-50" w:history="1">
        <w:r>
          <w:t xml:space="preserve">第50章　睡眠、脑内液体交换与清除机制</w:t>
        </w:r>
        <w:r>
          <w:tab/>
        </w:r>
        <w:r>
          <w:fldChar w:fldCharType="begin"/>
        </w:r>
        <w:r>
          <w:instrText xml:space="preserve"> PAGEREF ch-50 \h </w:instrText>
        </w:r>
        <w:r>
          <w:fldChar w:fldCharType="separate"/>
        </w:r>
        <w:r>
          <w:t>327</w:t>
        </w:r>
        <w:r>
          <w:fldChar w:fldCharType="end"/>
        </w:r>
      </w:hyperlink>
    </w:p>
    <w:p>
      <w:pPr>
        <w:pStyle w:val="TOC2"/>
      </w:pPr>
      <w:hyperlink w:anchor="ch-51" w:history="1">
        <w:r>
          <w:t xml:space="preserve">第51章　梦境的神经研究与解释边界</w:t>
        </w:r>
        <w:r>
          <w:tab/>
        </w:r>
        <w:r>
          <w:fldChar w:fldCharType="begin"/>
        </w:r>
        <w:r>
          <w:instrText xml:space="preserve"> PAGEREF ch-51 \h </w:instrText>
        </w:r>
        <w:r>
          <w:fldChar w:fldCharType="separate"/>
        </w:r>
        <w:r>
          <w:t>334</w:t>
        </w:r>
        <w:r>
          <w:fldChar w:fldCharType="end"/>
        </w:r>
      </w:hyperlink>
    </w:p>
    <w:p>
      <w:pPr>
        <w:pStyle w:val="TOC2"/>
      </w:pPr>
      <w:hyperlink w:anchor="ch-52" w:history="1">
        <w:r>
          <w:t xml:space="preserve">第52章　脑电节律、频段与认知状态</w:t>
        </w:r>
        <w:r>
          <w:tab/>
        </w:r>
        <w:r>
          <w:fldChar w:fldCharType="begin"/>
        </w:r>
        <w:r>
          <w:instrText xml:space="preserve"> PAGEREF ch-52 \h </w:instrText>
        </w:r>
        <w:r>
          <w:fldChar w:fldCharType="separate"/>
        </w:r>
        <w:r>
          <w:t>340</w:t>
        </w:r>
        <w:r>
          <w:fldChar w:fldCharType="end"/>
        </w:r>
      </w:hyperlink>
    </w:p>
    <w:p>
      <w:pPr>
        <w:pStyle w:val="TOC2"/>
      </w:pPr>
      <w:hyperlink w:anchor="ch-53" w:history="1">
        <w:r>
          <w:t xml:space="preserve">第53章　无意识加工与行为控制</w:t>
        </w:r>
        <w:r>
          <w:tab/>
        </w:r>
        <w:r>
          <w:fldChar w:fldCharType="begin"/>
        </w:r>
        <w:r>
          <w:instrText xml:space="preserve"> PAGEREF ch-53 \h </w:instrText>
        </w:r>
        <w:r>
          <w:fldChar w:fldCharType="separate"/>
        </w:r>
        <w:r>
          <w:t>347</w:t>
        </w:r>
        <w:r>
          <w:fldChar w:fldCharType="end"/>
        </w:r>
      </w:hyperlink>
    </w:p>
    <w:p>
      <w:pPr>
        <w:pStyle w:val="TOC2"/>
      </w:pPr>
      <w:hyperlink w:anchor="ch-54" w:history="1">
        <w:r>
          <w:t xml:space="preserve">第54章　行动前兆、意识时间与自由意志</w:t>
        </w:r>
        <w:r>
          <w:tab/>
        </w:r>
        <w:r>
          <w:fldChar w:fldCharType="begin"/>
        </w:r>
        <w:r>
          <w:instrText xml:space="preserve"> PAGEREF ch-54 \h </w:instrText>
        </w:r>
        <w:r>
          <w:fldChar w:fldCharType="separate"/>
        </w:r>
        <w:r>
          <w:t>352</w:t>
        </w:r>
        <w:r>
          <w:fldChar w:fldCharType="end"/>
        </w:r>
      </w:hyperlink>
    </w:p>
    <w:p>
      <w:pPr>
        <w:pStyle w:val="TOC1"/>
      </w:pPr>
      <w:hyperlink w:anchor="part-6" w:history="1">
        <w:r>
          <w:t xml:space="preserve">第六编　证伪：怎样检验一条脑科学说法</w:t>
        </w:r>
        <w:r>
          <w:tab/>
        </w:r>
        <w:r>
          <w:fldChar w:fldCharType="begin"/>
        </w:r>
        <w:r>
          <w:instrText xml:space="preserve"> PAGEREF part-6 \h </w:instrText>
        </w:r>
        <w:r>
          <w:fldChar w:fldCharType="separate"/>
        </w:r>
        <w:r>
          <w:t>358</w:t>
        </w:r>
        <w:r>
          <w:fldChar w:fldCharType="end"/>
        </w:r>
      </w:hyperlink>
    </w:p>
    <w:p>
      <w:pPr>
        <w:pStyle w:val="TOC2"/>
      </w:pPr>
      <w:hyperlink w:anchor="ch-55" w:history="1">
        <w:r>
          <w:t xml:space="preserve">第55章　读懂脑科学说法的五个前提</w:t>
        </w:r>
        <w:r>
          <w:tab/>
        </w:r>
        <w:r>
          <w:fldChar w:fldCharType="begin"/>
        </w:r>
        <w:r>
          <w:instrText xml:space="preserve"> PAGEREF ch-55 \h </w:instrText>
        </w:r>
        <w:r>
          <w:fldChar w:fldCharType="separate"/>
        </w:r>
        <w:r>
          <w:t>359</w:t>
        </w:r>
        <w:r>
          <w:fldChar w:fldCharType="end"/>
        </w:r>
      </w:hyperlink>
    </w:p>
    <w:p>
      <w:pPr>
        <w:pStyle w:val="TOC2"/>
      </w:pPr>
      <w:hyperlink w:anchor="ch-56" w:history="1">
        <w:r>
          <w:t xml:space="preserve">第56章　怎样把脑科学说法改写成可检验问题</w:t>
        </w:r>
        <w:r>
          <w:tab/>
        </w:r>
        <w:r>
          <w:fldChar w:fldCharType="begin"/>
        </w:r>
        <w:r>
          <w:instrText xml:space="preserve"> PAGEREF ch-56 \h </w:instrText>
        </w:r>
        <w:r>
          <w:fldChar w:fldCharType="separate"/>
        </w:r>
        <w:r>
          <w:t>363</w:t>
        </w:r>
        <w:r>
          <w:fldChar w:fldCharType="end"/>
        </w:r>
      </w:hyperlink>
    </w:p>
    <w:p>
      <w:pPr>
        <w:pStyle w:val="TOC2"/>
      </w:pPr>
      <w:hyperlink w:anchor="ch-57" w:history="1">
        <w:r>
          <w:t xml:space="preserve">第57章　效应量、不确定性与实际意义</w:t>
        </w:r>
        <w:r>
          <w:tab/>
        </w:r>
        <w:r>
          <w:fldChar w:fldCharType="begin"/>
        </w:r>
        <w:r>
          <w:instrText xml:space="preserve"> PAGEREF ch-57 \h </w:instrText>
        </w:r>
        <w:r>
          <w:fldChar w:fldCharType="separate"/>
        </w:r>
        <w:r>
          <w:t>366</w:t>
        </w:r>
        <w:r>
          <w:fldChar w:fldCharType="end"/>
        </w:r>
      </w:hyperlink>
    </w:p>
    <w:p>
      <w:pPr>
        <w:pStyle w:val="TOC2"/>
      </w:pPr>
      <w:hyperlink w:anchor="ch-58" w:history="1">
        <w:r>
          <w:t xml:space="preserve">第58章　研究设计、偏倚与证据综合</w:t>
        </w:r>
        <w:r>
          <w:tab/>
        </w:r>
        <w:r>
          <w:fldChar w:fldCharType="begin"/>
        </w:r>
        <w:r>
          <w:instrText xml:space="preserve"> PAGEREF ch-58 \h </w:instrText>
        </w:r>
        <w:r>
          <w:fldChar w:fldCharType="separate"/>
        </w:r>
        <w:r>
          <w:t>372</w:t>
        </w:r>
        <w:r>
          <w:fldChar w:fldCharType="end"/>
        </w:r>
      </w:hyperlink>
    </w:p>
    <w:p>
      <w:pPr>
        <w:pStyle w:val="TOC2"/>
      </w:pPr>
      <w:hyperlink w:anchor="ch-59" w:history="1">
        <w:r>
          <w:t xml:space="preserve">第59章　可重复性、透明分析与模型验证</w:t>
        </w:r>
        <w:r>
          <w:tab/>
        </w:r>
        <w:r>
          <w:fldChar w:fldCharType="begin"/>
        </w:r>
        <w:r>
          <w:instrText xml:space="preserve"> PAGEREF ch-59 \h </w:instrText>
        </w:r>
        <w:r>
          <w:fldChar w:fldCharType="separate"/>
        </w:r>
        <w:r>
          <w:t>377</w:t>
        </w:r>
        <w:r>
          <w:fldChar w:fldCharType="end"/>
        </w:r>
      </w:hyperlink>
    </w:p>
    <w:p>
      <w:pPr>
        <w:pStyle w:val="TOC2"/>
      </w:pPr>
      <w:hyperlink w:anchor="ch-60" w:history="1">
        <w:r>
          <w:t xml:space="preserve">第60章　神经测量的物理基础与信息边界</w:t>
        </w:r>
        <w:r>
          <w:tab/>
        </w:r>
        <w:r>
          <w:fldChar w:fldCharType="begin"/>
        </w:r>
        <w:r>
          <w:instrText xml:space="preserve"> PAGEREF ch-60 \h </w:instrText>
        </w:r>
        <w:r>
          <w:fldChar w:fldCharType="separate"/>
        </w:r>
        <w:r>
          <w:t>380</w:t>
        </w:r>
        <w:r>
          <w:fldChar w:fldCharType="end"/>
        </w:r>
      </w:hyperlink>
    </w:p>
    <w:p>
      <w:pPr>
        <w:pStyle w:val="TOC2"/>
      </w:pPr>
      <w:hyperlink w:anchor="ch-61" w:history="1">
        <w:r>
          <w:t xml:space="preserve">第61章　功能磁共振究竟测量了什么</w:t>
        </w:r>
        <w:r>
          <w:tab/>
        </w:r>
        <w:r>
          <w:fldChar w:fldCharType="begin"/>
        </w:r>
        <w:r>
          <w:instrText xml:space="preserve"> PAGEREF ch-61 \h </w:instrText>
        </w:r>
        <w:r>
          <w:fldChar w:fldCharType="separate"/>
        </w:r>
        <w:r>
          <w:t>385</w:t>
        </w:r>
        <w:r>
          <w:fldChar w:fldCharType="end"/>
        </w:r>
      </w:hyperlink>
    </w:p>
    <w:p>
      <w:pPr>
        <w:pStyle w:val="TOC2"/>
      </w:pPr>
      <w:hyperlink w:anchor="ch-62" w:history="1">
        <w:r>
          <w:t xml:space="preserve">第62章　神经干预工具与回路因果推断</w:t>
        </w:r>
        <w:r>
          <w:tab/>
        </w:r>
        <w:r>
          <w:fldChar w:fldCharType="begin"/>
        </w:r>
        <w:r>
          <w:instrText xml:space="preserve"> PAGEREF ch-62 \h </w:instrText>
        </w:r>
        <w:r>
          <w:fldChar w:fldCharType="separate"/>
        </w:r>
        <w:r>
          <w:t>391</w:t>
        </w:r>
        <w:r>
          <w:fldChar w:fldCharType="end"/>
        </w:r>
      </w:hyperlink>
    </w:p>
    <w:p>
      <w:pPr>
        <w:pStyle w:val="TOC2"/>
      </w:pPr>
      <w:hyperlink w:anchor="ch-63" w:history="1">
        <w:r>
          <w:t xml:space="preserve">第63章　相关关系与脑—行为因果解释</w:t>
        </w:r>
        <w:r>
          <w:tab/>
        </w:r>
        <w:r>
          <w:fldChar w:fldCharType="begin"/>
        </w:r>
        <w:r>
          <w:instrText xml:space="preserve"> PAGEREF ch-63 \h </w:instrText>
        </w:r>
        <w:r>
          <w:fldChar w:fldCharType="separate"/>
        </w:r>
        <w:r>
          <w:t>397</w:t>
        </w:r>
        <w:r>
          <w:fldChar w:fldCharType="end"/>
        </w:r>
      </w:hyperlink>
    </w:p>
    <w:p>
      <w:pPr>
        <w:pStyle w:val="TOC2"/>
      </w:pPr>
      <w:hyperlink w:anchor="ch-64" w:history="1">
        <w:r>
          <w:t xml:space="preserve">第64章　从脑信号推断心理状态</w:t>
        </w:r>
        <w:r>
          <w:tab/>
        </w:r>
        <w:r>
          <w:fldChar w:fldCharType="begin"/>
        </w:r>
        <w:r>
          <w:instrText xml:space="preserve"> PAGEREF ch-64 \h </w:instrText>
        </w:r>
        <w:r>
          <w:fldChar w:fldCharType="separate"/>
        </w:r>
        <w:r>
          <w:t>404</w:t>
        </w:r>
        <w:r>
          <w:fldChar w:fldCharType="end"/>
        </w:r>
      </w:hyperlink>
    </w:p>
    <w:p>
      <w:pPr>
        <w:pStyle w:val="TOC2"/>
      </w:pPr>
      <w:hyperlink w:anchor="ch-65" w:history="1">
        <w:r>
          <w:t xml:space="preserve">第65章　群体脑差异与个人诊断</w:t>
        </w:r>
        <w:r>
          <w:tab/>
        </w:r>
        <w:r>
          <w:fldChar w:fldCharType="begin"/>
        </w:r>
        <w:r>
          <w:instrText xml:space="preserve"> PAGEREF ch-65 \h </w:instrText>
        </w:r>
        <w:r>
          <w:fldChar w:fldCharType="separate"/>
        </w:r>
        <w:r>
          <w:t>409</w:t>
        </w:r>
        <w:r>
          <w:fldChar w:fldCharType="end"/>
        </w:r>
      </w:hyperlink>
    </w:p>
    <w:p>
      <w:pPr>
        <w:pStyle w:val="TOC2"/>
      </w:pPr>
      <w:hyperlink w:anchor="ch-66" w:history="1">
        <w:r>
          <w:t xml:space="preserve">第66章　心理测量、量表与潜变量</w:t>
        </w:r>
        <w:r>
          <w:tab/>
        </w:r>
        <w:r>
          <w:fldChar w:fldCharType="begin"/>
        </w:r>
        <w:r>
          <w:instrText xml:space="preserve"> PAGEREF ch-66 \h </w:instrText>
        </w:r>
        <w:r>
          <w:fldChar w:fldCharType="separate"/>
        </w:r>
        <w:r>
          <w:t>415</w:t>
        </w:r>
        <w:r>
          <w:fldChar w:fldCharType="end"/>
        </w:r>
      </w:hyperlink>
    </w:p>
    <w:p>
      <w:pPr>
        <w:pStyle w:val="TOC2"/>
      </w:pPr>
      <w:hyperlink w:anchor="ch-67" w:history="1">
        <w:r>
          <w:t xml:space="preserve">第67章　从动物机制到人体治疗</w:t>
        </w:r>
        <w:r>
          <w:tab/>
        </w:r>
        <w:r>
          <w:fldChar w:fldCharType="begin"/>
        </w:r>
        <w:r>
          <w:instrText xml:space="preserve"> PAGEREF ch-67 \h </w:instrText>
        </w:r>
        <w:r>
          <w:fldChar w:fldCharType="separate"/>
        </w:r>
        <w:r>
          <w:t>423</w:t>
        </w:r>
        <w:r>
          <w:fldChar w:fldCharType="end"/>
        </w:r>
      </w:hyperlink>
    </w:p>
    <w:p>
      <w:pPr>
        <w:pStyle w:val="TOC2"/>
      </w:pPr>
      <w:hyperlink w:anchor="ch-68" w:history="1">
        <w:r>
          <w:t xml:space="preserve">第68章　神经科学解释怎样增加真实知识</w:t>
        </w:r>
        <w:r>
          <w:tab/>
        </w:r>
        <w:r>
          <w:fldChar w:fldCharType="begin"/>
        </w:r>
        <w:r>
          <w:instrText xml:space="preserve"> PAGEREF ch-68 \h </w:instrText>
        </w:r>
        <w:r>
          <w:fldChar w:fldCharType="separate"/>
        </w:r>
        <w:r>
          <w:t>429</w:t>
        </w:r>
        <w:r>
          <w:fldChar w:fldCharType="end"/>
        </w:r>
      </w:hyperlink>
    </w:p>
    <w:p>
      <w:pPr>
        <w:pStyle w:val="TOC2"/>
      </w:pPr>
      <w:hyperlink w:anchor="ch-69" w:history="1">
        <w:r>
          <w:t xml:space="preserve">第69章　怎样自己检验一条脑科学说法</w:t>
        </w:r>
        <w:r>
          <w:tab/>
        </w:r>
        <w:r>
          <w:fldChar w:fldCharType="begin"/>
        </w:r>
        <w:r>
          <w:instrText xml:space="preserve"> PAGEREF ch-69 \h </w:instrText>
        </w:r>
        <w:r>
          <w:fldChar w:fldCharType="separate"/>
        </w:r>
        <w:r>
          <w:t>435</w:t>
        </w:r>
        <w:r>
          <w:fldChar w:fldCharType="end"/>
        </w:r>
      </w:hyperlink>
    </w:p>
    <w:p>
      <w:pPr>
        <w:pStyle w:val="TOC1"/>
      </w:pPr>
      <w:hyperlink w:anchor="part-7" w:history="1">
        <w:r>
          <w:t xml:space="preserve">第七编　常见误解辨析</w:t>
        </w:r>
        <w:r>
          <w:tab/>
        </w:r>
        <w:r>
          <w:fldChar w:fldCharType="begin"/>
        </w:r>
        <w:r>
          <w:instrText xml:space="preserve"> PAGEREF part-7 \h </w:instrText>
        </w:r>
        <w:r>
          <w:fldChar w:fldCharType="separate"/>
        </w:r>
        <w:r>
          <w:t>436</w:t>
        </w:r>
        <w:r>
          <w:fldChar w:fldCharType="end"/>
        </w:r>
      </w:hyperlink>
    </w:p>
    <w:p>
      <w:pPr>
        <w:pStyle w:val="TOC2"/>
      </w:pPr>
      <w:hyperlink w:anchor="ch-70" w:history="1">
        <w:r>
          <w:t xml:space="preserve">第70章　常见误解速查总表</w:t>
        </w:r>
        <w:r>
          <w:tab/>
        </w:r>
        <w:r>
          <w:fldChar w:fldCharType="begin"/>
        </w:r>
        <w:r>
          <w:instrText xml:space="preserve"> PAGEREF ch-70 \h </w:instrText>
        </w:r>
        <w:r>
          <w:fldChar w:fldCharType="separate"/>
        </w:r>
        <w:r>
          <w:t>437</w:t>
        </w:r>
        <w:r>
          <w:fldChar w:fldCharType="end"/>
        </w:r>
      </w:hyperlink>
    </w:p>
    <w:p>
      <w:pPr>
        <w:pStyle w:val="TOC2"/>
      </w:pPr>
      <w:hyperlink w:anchor="ch-71" w:history="1">
        <w:r>
          <w:t xml:space="preserve">第71章　这些说法为什么难以消失</w:t>
        </w:r>
        <w:r>
          <w:tab/>
        </w:r>
        <w:r>
          <w:fldChar w:fldCharType="begin"/>
        </w:r>
        <w:r>
          <w:instrText xml:space="preserve"> PAGEREF ch-71 \h </w:instrText>
        </w:r>
        <w:r>
          <w:fldChar w:fldCharType="separate"/>
        </w:r>
        <w:r>
          <w:t>444</w:t>
        </w:r>
        <w:r>
          <w:fldChar w:fldCharType="end"/>
        </w:r>
      </w:hyperlink>
    </w:p>
    <w:p>
      <w:pPr>
        <w:pStyle w:val="TOC2"/>
      </w:pPr>
      <w:hyperlink w:anchor="ch-72" w:history="1">
        <w:r>
          <w:t xml:space="preserve">第72章　三重脑：爬行脑、情绪脑与理性脑</w:t>
        </w:r>
        <w:r>
          <w:tab/>
        </w:r>
        <w:r>
          <w:fldChar w:fldCharType="begin"/>
        </w:r>
        <w:r>
          <w:instrText xml:space="preserve"> PAGEREF ch-72 \h </w:instrText>
        </w:r>
        <w:r>
          <w:fldChar w:fldCharType="separate"/>
        </w:r>
        <w:r>
          <w:t>445</w:t>
        </w:r>
        <w:r>
          <w:fldChar w:fldCharType="end"/>
        </w:r>
      </w:hyperlink>
    </w:p>
    <w:p>
      <w:pPr>
        <w:pStyle w:val="TOC2"/>
      </w:pPr>
      <w:hyperlink w:anchor="ch-73" w:history="1">
        <w:r>
          <w:t xml:space="preserve">第73章　左脑、右脑与“左右脑人格”</w:t>
        </w:r>
        <w:r>
          <w:tab/>
        </w:r>
        <w:r>
          <w:fldChar w:fldCharType="begin"/>
        </w:r>
        <w:r>
          <w:instrText xml:space="preserve"> PAGEREF ch-73 \h </w:instrText>
        </w:r>
        <w:r>
          <w:fldChar w:fldCharType="separate"/>
        </w:r>
        <w:r>
          <w:t>451</w:t>
        </w:r>
        <w:r>
          <w:fldChar w:fldCharType="end"/>
        </w:r>
      </w:hyperlink>
    </w:p>
    <w:p>
      <w:pPr>
        <w:pStyle w:val="TOC2"/>
      </w:pPr>
      <w:hyperlink w:anchor="ch-74" w:history="1">
        <w:r>
          <w:t xml:space="preserve">第74章　“人只用了 10% 的大脑”</w:t>
        </w:r>
        <w:r>
          <w:tab/>
        </w:r>
        <w:r>
          <w:fldChar w:fldCharType="begin"/>
        </w:r>
        <w:r>
          <w:instrText xml:space="preserve"> PAGEREF ch-74 \h </w:instrText>
        </w:r>
        <w:r>
          <w:fldChar w:fldCharType="separate"/>
        </w:r>
        <w:r>
          <w:t>457</w:t>
        </w:r>
        <w:r>
          <w:fldChar w:fldCharType="end"/>
        </w:r>
      </w:hyperlink>
    </w:p>
    <w:p>
      <w:pPr>
        <w:pStyle w:val="TOC2"/>
      </w:pPr>
      <w:hyperlink w:anchor="ch-75" w:history="1">
        <w:r>
          <w:t xml:space="preserve">第75章　镜像神经元与“共情神经元”</w:t>
        </w:r>
        <w:r>
          <w:tab/>
        </w:r>
        <w:r>
          <w:fldChar w:fldCharType="begin"/>
        </w:r>
        <w:r>
          <w:instrText xml:space="preserve"> PAGEREF ch-75 \h </w:instrText>
        </w:r>
        <w:r>
          <w:fldChar w:fldCharType="separate"/>
        </w:r>
        <w:r>
          <w:t>462</w:t>
        </w:r>
        <w:r>
          <w:fldChar w:fldCharType="end"/>
        </w:r>
      </w:hyperlink>
    </w:p>
    <w:p>
      <w:pPr>
        <w:pStyle w:val="TOC2"/>
      </w:pPr>
      <w:hyperlink w:anchor="ch-76" w:history="1">
        <w:r>
          <w:t xml:space="preserve">第76章　“杏仁核劫持”、“6 秒法则”与“情绪只持续 90 秒”</w:t>
        </w:r>
        <w:r>
          <w:tab/>
        </w:r>
        <w:r>
          <w:fldChar w:fldCharType="begin"/>
        </w:r>
        <w:r>
          <w:instrText xml:space="preserve"> PAGEREF ch-76 \h </w:instrText>
        </w:r>
        <w:r>
          <w:fldChar w:fldCharType="separate"/>
        </w:r>
        <w:r>
          <w:t>467</w:t>
        </w:r>
        <w:r>
          <w:fldChar w:fldCharType="end"/>
        </w:r>
      </w:hyperlink>
    </w:p>
    <w:p>
      <w:pPr>
        <w:pStyle w:val="TOC2"/>
      </w:pPr>
      <w:hyperlink w:anchor="ch-77" w:history="1">
        <w:r>
          <w:t xml:space="preserve">第77章　21 天、40%、棉花糖：几个流行数字</w:t>
        </w:r>
        <w:r>
          <w:tab/>
        </w:r>
        <w:r>
          <w:fldChar w:fldCharType="begin"/>
        </w:r>
        <w:r>
          <w:instrText xml:space="preserve"> PAGEREF ch-77 \h </w:instrText>
        </w:r>
        <w:r>
          <w:fldChar w:fldCharType="separate"/>
        </w:r>
        <w:r>
          <w:t>468</w:t>
        </w:r>
        <w:r>
          <w:fldChar w:fldCharType="end"/>
        </w:r>
      </w:hyperlink>
    </w:p>
    <w:p>
      <w:pPr>
        <w:pStyle w:val="TOC2"/>
      </w:pPr>
      <w:hyperlink w:anchor="ch-78" w:history="1">
        <w:r>
          <w:t xml:space="preserve">第78章　意志力会被耗尽吗</w:t>
        </w:r>
        <w:r>
          <w:tab/>
        </w:r>
        <w:r>
          <w:fldChar w:fldCharType="begin"/>
        </w:r>
        <w:r>
          <w:instrText xml:space="preserve"> PAGEREF ch-78 \h </w:instrText>
        </w:r>
        <w:r>
          <w:fldChar w:fldCharType="separate"/>
        </w:r>
        <w:r>
          <w:t>469</w:t>
        </w:r>
        <w:r>
          <w:fldChar w:fldCharType="end"/>
        </w:r>
      </w:hyperlink>
    </w:p>
    <w:p>
      <w:pPr>
        <w:pStyle w:val="TOC2"/>
      </w:pPr>
      <w:hyperlink w:anchor="ch-79" w:history="1">
        <w:r>
          <w:t xml:space="preserve">第79章　菲尼亚斯·盖奇与“大脑可以随意重塑”</w:t>
        </w:r>
        <w:r>
          <w:tab/>
        </w:r>
        <w:r>
          <w:fldChar w:fldCharType="begin"/>
        </w:r>
        <w:r>
          <w:instrText xml:space="preserve"> PAGEREF ch-79 \h </w:instrText>
        </w:r>
        <w:r>
          <w:fldChar w:fldCharType="separate"/>
        </w:r>
        <w:r>
          <w:t>470</w:t>
        </w:r>
        <w:r>
          <w:fldChar w:fldCharType="end"/>
        </w:r>
      </w:hyperlink>
    </w:p>
    <w:p>
      <w:pPr>
        <w:pStyle w:val="TOC2"/>
      </w:pPr>
      <w:hyperlink w:anchor="ch-80" w:history="1">
        <w:r>
          <w:t xml:space="preserve">第80章　“快乐激素”：多巴胺快乐论与“四大快乐激素”</w:t>
        </w:r>
        <w:r>
          <w:tab/>
        </w:r>
        <w:r>
          <w:fldChar w:fldCharType="begin"/>
        </w:r>
        <w:r>
          <w:instrText xml:space="preserve"> PAGEREF ch-80 \h </w:instrText>
        </w:r>
        <w:r>
          <w:fldChar w:fldCharType="separate"/>
        </w:r>
        <w:r>
          <w:t>471</w:t>
        </w:r>
        <w:r>
          <w:fldChar w:fldCharType="end"/>
        </w:r>
      </w:hyperlink>
    </w:p>
    <w:p>
      <w:pPr>
        <w:pStyle w:val="TOC2"/>
      </w:pPr>
      <w:hyperlink w:anchor="ch-81" w:history="1">
        <w:r>
          <w:t xml:space="preserve">第81章　多巴胺排毒与减少数字刺激</w:t>
        </w:r>
        <w:r>
          <w:tab/>
        </w:r>
        <w:r>
          <w:fldChar w:fldCharType="begin"/>
        </w:r>
        <w:r>
          <w:instrText xml:space="preserve"> PAGEREF ch-81 \h </w:instrText>
        </w:r>
        <w:r>
          <w:fldChar w:fldCharType="separate"/>
        </w:r>
        <w:r>
          <w:t>472</w:t>
        </w:r>
        <w:r>
          <w:fldChar w:fldCharType="end"/>
        </w:r>
      </w:hyperlink>
    </w:p>
    <w:p>
      <w:pPr>
        <w:pStyle w:val="TOC2"/>
      </w:pPr>
      <w:hyperlink w:anchor="ch-82" w:history="1">
        <w:r>
          <w:t xml:space="preserve">第82章　学习风格与教学匹配</w:t>
        </w:r>
        <w:r>
          <w:tab/>
        </w:r>
        <w:r>
          <w:fldChar w:fldCharType="begin"/>
        </w:r>
        <w:r>
          <w:instrText xml:space="preserve"> PAGEREF ch-82 \h </w:instrText>
        </w:r>
        <w:r>
          <w:fldChar w:fldCharType="separate"/>
        </w:r>
        <w:r>
          <w:t>478</w:t>
        </w:r>
        <w:r>
          <w:fldChar w:fldCharType="end"/>
        </w:r>
      </w:hyperlink>
    </w:p>
    <w:p>
      <w:pPr>
        <w:pStyle w:val="TOC2"/>
      </w:pPr>
      <w:hyperlink w:anchor="ch-83" w:history="1">
        <w:r>
          <w:t xml:space="preserve">第83章　莫扎特效应与音乐聆听</w:t>
        </w:r>
        <w:r>
          <w:tab/>
        </w:r>
        <w:r>
          <w:fldChar w:fldCharType="begin"/>
        </w:r>
        <w:r>
          <w:instrText xml:space="preserve"> PAGEREF ch-83 \h </w:instrText>
        </w:r>
        <w:r>
          <w:fldChar w:fldCharType="separate"/>
        </w:r>
        <w:r>
          <w:t>483</w:t>
        </w:r>
        <w:r>
          <w:fldChar w:fldCharType="end"/>
        </w:r>
      </w:hyperlink>
    </w:p>
    <w:p>
      <w:pPr>
        <w:pStyle w:val="TOC2"/>
      </w:pPr>
      <w:hyperlink w:anchor="ch-84" w:history="1">
        <w:r>
          <w:t xml:space="preserve">第84章　交叉动作、“健脑操”与学习困难</w:t>
        </w:r>
        <w:r>
          <w:tab/>
        </w:r>
        <w:r>
          <w:fldChar w:fldCharType="begin"/>
        </w:r>
        <w:r>
          <w:instrText xml:space="preserve"> PAGEREF ch-84 \h </w:instrText>
        </w:r>
        <w:r>
          <w:fldChar w:fldCharType="separate"/>
        </w:r>
        <w:r>
          <w:t>488</w:t>
        </w:r>
        <w:r>
          <w:fldChar w:fldCharType="end"/>
        </w:r>
      </w:hyperlink>
    </w:p>
    <w:p>
      <w:pPr>
        <w:pStyle w:val="TOC2"/>
      </w:pPr>
      <w:hyperlink w:anchor="ch-85" w:history="1">
        <w:r>
          <w:t xml:space="preserve">第85章　脑训练游戏与能力迁移</w:t>
        </w:r>
        <w:r>
          <w:tab/>
        </w:r>
        <w:r>
          <w:fldChar w:fldCharType="begin"/>
        </w:r>
        <w:r>
          <w:instrText xml:space="preserve"> PAGEREF ch-85 \h </w:instrText>
        </w:r>
        <w:r>
          <w:fldChar w:fldCharType="separate"/>
        </w:r>
        <w:r>
          <w:t>493</w:t>
        </w:r>
        <w:r>
          <w:fldChar w:fldCharType="end"/>
        </w:r>
      </w:hyperlink>
    </w:p>
    <w:p>
      <w:pPr>
        <w:pStyle w:val="TOC1"/>
      </w:pPr>
      <w:hyperlink w:anchor="part-8" w:history="1">
        <w:r>
          <w:t xml:space="preserve">第八编　特定脑区、网络与功能</w:t>
        </w:r>
        <w:r>
          <w:tab/>
        </w:r>
        <w:r>
          <w:fldChar w:fldCharType="begin"/>
        </w:r>
        <w:r>
          <w:instrText xml:space="preserve"> PAGEREF part-8 \h </w:instrText>
        </w:r>
        <w:r>
          <w:fldChar w:fldCharType="separate"/>
        </w:r>
        <w:r>
          <w:t>499</w:t>
        </w:r>
        <w:r>
          <w:fldChar w:fldCharType="end"/>
        </w:r>
      </w:hyperlink>
    </w:p>
    <w:p>
      <w:pPr>
        <w:pStyle w:val="TOC2"/>
      </w:pPr>
      <w:hyperlink w:anchor="ch-86" w:history="1">
        <w:r>
          <w:t xml:space="preserve">第86章　脑区导览：位置与读法</w:t>
        </w:r>
        <w:r>
          <w:tab/>
        </w:r>
        <w:r>
          <w:fldChar w:fldCharType="begin"/>
        </w:r>
        <w:r>
          <w:instrText xml:space="preserve"> PAGEREF ch-86 \h </w:instrText>
        </w:r>
        <w:r>
          <w:fldChar w:fldCharType="separate"/>
        </w:r>
        <w:r>
          <w:t>500</w:t>
        </w:r>
        <w:r>
          <w:fldChar w:fldCharType="end"/>
        </w:r>
      </w:hyperlink>
    </w:p>
    <w:p>
      <w:pPr>
        <w:pStyle w:val="TOC2"/>
      </w:pPr>
      <w:hyperlink w:anchor="ch-87" w:history="1">
        <w:r>
          <w:t xml:space="preserve">第87章　杏仁核与威胁加工</w:t>
        </w:r>
        <w:r>
          <w:tab/>
        </w:r>
        <w:r>
          <w:fldChar w:fldCharType="begin"/>
        </w:r>
        <w:r>
          <w:instrText xml:space="preserve"> PAGEREF ch-87 \h </w:instrText>
        </w:r>
        <w:r>
          <w:fldChar w:fldCharType="separate"/>
        </w:r>
        <w:r>
          <w:t>503</w:t>
        </w:r>
        <w:r>
          <w:fldChar w:fldCharType="end"/>
        </w:r>
      </w:hyperlink>
    </w:p>
    <w:p>
      <w:pPr>
        <w:pStyle w:val="TOC2"/>
      </w:pPr>
      <w:hyperlink w:anchor="ch-88" w:history="1">
        <w:r>
          <w:t xml:space="preserve">第88章　边缘系统与情绪网络</w:t>
        </w:r>
        <w:r>
          <w:tab/>
        </w:r>
        <w:r>
          <w:fldChar w:fldCharType="begin"/>
        </w:r>
        <w:r>
          <w:instrText xml:space="preserve"> PAGEREF ch-88 \h </w:instrText>
        </w:r>
        <w:r>
          <w:fldChar w:fldCharType="separate"/>
        </w:r>
        <w:r>
          <w:t>509</w:t>
        </w:r>
        <w:r>
          <w:fldChar w:fldCharType="end"/>
        </w:r>
      </w:hyperlink>
    </w:p>
    <w:p>
      <w:pPr>
        <w:pStyle w:val="TOC2"/>
      </w:pPr>
      <w:hyperlink w:anchor="ch-89" w:history="1">
        <w:r>
          <w:t xml:space="preserve">第89章　前额叶与认知控制</w:t>
        </w:r>
        <w:r>
          <w:tab/>
        </w:r>
        <w:r>
          <w:fldChar w:fldCharType="begin"/>
        </w:r>
        <w:r>
          <w:instrText xml:space="preserve"> PAGEREF ch-89 \h </w:instrText>
        </w:r>
        <w:r>
          <w:fldChar w:fldCharType="separate"/>
        </w:r>
        <w:r>
          <w:t>515</w:t>
        </w:r>
        <w:r>
          <w:fldChar w:fldCharType="end"/>
        </w:r>
      </w:hyperlink>
    </w:p>
    <w:p>
      <w:pPr>
        <w:pStyle w:val="TOC2"/>
      </w:pPr>
      <w:hyperlink w:anchor="ch-90" w:history="1">
        <w:r>
          <w:t xml:space="preserve">第90章　前扣带皮层与岛叶</w:t>
        </w:r>
        <w:r>
          <w:tab/>
        </w:r>
        <w:r>
          <w:fldChar w:fldCharType="begin"/>
        </w:r>
        <w:r>
          <w:instrText xml:space="preserve"> PAGEREF ch-90 \h </w:instrText>
        </w:r>
        <w:r>
          <w:fldChar w:fldCharType="separate"/>
        </w:r>
        <w:r>
          <w:t>521</w:t>
        </w:r>
        <w:r>
          <w:fldChar w:fldCharType="end"/>
        </w:r>
      </w:hyperlink>
    </w:p>
    <w:p>
      <w:pPr>
        <w:pStyle w:val="TOC2"/>
      </w:pPr>
      <w:hyperlink w:anchor="ch-91" w:history="1">
        <w:r>
          <w:t xml:space="preserve">第91章　海马</w:t>
        </w:r>
        <w:r>
          <w:tab/>
        </w:r>
        <w:r>
          <w:fldChar w:fldCharType="begin"/>
        </w:r>
        <w:r>
          <w:instrText xml:space="preserve"> PAGEREF ch-91 \h </w:instrText>
        </w:r>
        <w:r>
          <w:fldChar w:fldCharType="separate"/>
        </w:r>
        <w:r>
          <w:t>522</w:t>
        </w:r>
        <w:r>
          <w:fldChar w:fldCharType="end"/>
        </w:r>
      </w:hyperlink>
    </w:p>
    <w:p>
      <w:pPr>
        <w:pStyle w:val="TOC2"/>
      </w:pPr>
      <w:hyperlink w:anchor="ch-92" w:history="1">
        <w:r>
          <w:t xml:space="preserve">第92章　其他常被提及的脑结构</w:t>
        </w:r>
        <w:r>
          <w:tab/>
        </w:r>
        <w:r>
          <w:fldChar w:fldCharType="begin"/>
        </w:r>
        <w:r>
          <w:instrText xml:space="preserve"> PAGEREF ch-92 \h </w:instrText>
        </w:r>
        <w:r>
          <w:fldChar w:fldCharType="separate"/>
        </w:r>
        <w:r>
          <w:t>523</w:t>
        </w:r>
        <w:r>
          <w:fldChar w:fldCharType="end"/>
        </w:r>
      </w:hyperlink>
    </w:p>
    <w:p>
      <w:pPr>
        <w:pStyle w:val="TOC2"/>
      </w:pPr>
      <w:hyperlink w:anchor="ch-93" w:history="1">
        <w:r>
          <w:t xml:space="preserve">第93章　大尺度网络：默认模式、突显与控制网络</w:t>
        </w:r>
        <w:r>
          <w:tab/>
        </w:r>
        <w:r>
          <w:fldChar w:fldCharType="begin"/>
        </w:r>
        <w:r>
          <w:instrText xml:space="preserve"> PAGEREF ch-93 \h </w:instrText>
        </w:r>
        <w:r>
          <w:fldChar w:fldCharType="separate"/>
        </w:r>
        <w:r>
          <w:t>526</w:t>
        </w:r>
        <w:r>
          <w:fldChar w:fldCharType="end"/>
        </w:r>
      </w:hyperlink>
    </w:p>
    <w:p>
      <w:pPr>
        <w:pStyle w:val="TOC1"/>
      </w:pPr>
      <w:hyperlink w:anchor="part-9" w:history="1">
        <w:r>
          <w:t xml:space="preserve">第九编　递质、激素与身体信号</w:t>
        </w:r>
        <w:r>
          <w:tab/>
        </w:r>
        <w:r>
          <w:fldChar w:fldCharType="begin"/>
        </w:r>
        <w:r>
          <w:instrText xml:space="preserve"> PAGEREF part-9 \h </w:instrText>
        </w:r>
        <w:r>
          <w:fldChar w:fldCharType="separate"/>
        </w:r>
        <w:r>
          <w:t>528</w:t>
        </w:r>
        <w:r>
          <w:fldChar w:fldCharType="end"/>
        </w:r>
      </w:hyperlink>
    </w:p>
    <w:p>
      <w:pPr>
        <w:pStyle w:val="TOC2"/>
      </w:pPr>
      <w:hyperlink w:anchor="ch-94" w:history="1">
        <w:r>
          <w:t xml:space="preserve">第94章　怎样测量脑内化学：外周检测、脑成像与补充剂</w:t>
        </w:r>
        <w:r>
          <w:tab/>
        </w:r>
        <w:r>
          <w:fldChar w:fldCharType="begin"/>
        </w:r>
        <w:r>
          <w:instrText xml:space="preserve"> PAGEREF ch-94 \h </w:instrText>
        </w:r>
        <w:r>
          <w:fldChar w:fldCharType="separate"/>
        </w:r>
        <w:r>
          <w:t>529</w:t>
        </w:r>
        <w:r>
          <w:fldChar w:fldCharType="end"/>
        </w:r>
      </w:hyperlink>
    </w:p>
    <w:p>
      <w:pPr>
        <w:pStyle w:val="TOC2"/>
      </w:pPr>
      <w:hyperlink w:anchor="ch-95" w:history="1">
        <w:r>
          <w:t xml:space="preserve">第95章　多巴胺与奖赏的不同组成</w:t>
        </w:r>
        <w:r>
          <w:tab/>
        </w:r>
        <w:r>
          <w:fldChar w:fldCharType="begin"/>
        </w:r>
        <w:r>
          <w:instrText xml:space="preserve"> PAGEREF ch-95 \h </w:instrText>
        </w:r>
        <w:r>
          <w:fldChar w:fldCharType="separate"/>
        </w:r>
        <w:r>
          <w:t>535</w:t>
        </w:r>
        <w:r>
          <w:fldChar w:fldCharType="end"/>
        </w:r>
      </w:hyperlink>
    </w:p>
    <w:p>
      <w:pPr>
        <w:pStyle w:val="TOC2"/>
      </w:pPr>
      <w:hyperlink w:anchor="ch-96" w:history="1">
        <w:r>
          <w:t xml:space="preserve">第96章　血清素、抑郁与抗抑郁药证据</w:t>
        </w:r>
        <w:r>
          <w:tab/>
        </w:r>
        <w:r>
          <w:fldChar w:fldCharType="begin"/>
        </w:r>
        <w:r>
          <w:instrText xml:space="preserve"> PAGEREF ch-96 \h </w:instrText>
        </w:r>
        <w:r>
          <w:fldChar w:fldCharType="separate"/>
        </w:r>
        <w:r>
          <w:t>541</w:t>
        </w:r>
        <w:r>
          <w:fldChar w:fldCharType="end"/>
        </w:r>
      </w:hyperlink>
    </w:p>
    <w:p>
      <w:pPr>
        <w:pStyle w:val="TOC2"/>
      </w:pPr>
      <w:hyperlink w:anchor="ch-97" w:history="1">
        <w:r>
          <w:t xml:space="preserve">第97章　其他递质、调质与神经营养因子</w:t>
        </w:r>
        <w:r>
          <w:tab/>
        </w:r>
        <w:r>
          <w:fldChar w:fldCharType="begin"/>
        </w:r>
        <w:r>
          <w:instrText xml:space="preserve"> PAGEREF ch-97 \h </w:instrText>
        </w:r>
        <w:r>
          <w:fldChar w:fldCharType="separate"/>
        </w:r>
        <w:r>
          <w:t>547</w:t>
        </w:r>
        <w:r>
          <w:fldChar w:fldCharType="end"/>
        </w:r>
      </w:hyperlink>
    </w:p>
    <w:p>
      <w:pPr>
        <w:pStyle w:val="TOC2"/>
      </w:pPr>
      <w:hyperlink w:anchor="ch-98" w:history="1">
        <w:r>
          <w:t xml:space="preserve">第98章　催产素、社会行为与可重复性</w:t>
        </w:r>
        <w:r>
          <w:tab/>
        </w:r>
        <w:r>
          <w:fldChar w:fldCharType="begin"/>
        </w:r>
        <w:r>
          <w:instrText xml:space="preserve"> PAGEREF ch-98 \h </w:instrText>
        </w:r>
        <w:r>
          <w:fldChar w:fldCharType="separate"/>
        </w:r>
        <w:r>
          <w:t>549</w:t>
        </w:r>
        <w:r>
          <w:fldChar w:fldCharType="end"/>
        </w:r>
      </w:hyperlink>
    </w:p>
    <w:p>
      <w:pPr>
        <w:pStyle w:val="TOC2"/>
      </w:pPr>
      <w:hyperlink w:anchor="ch-99" w:history="1">
        <w:r>
          <w:t xml:space="preserve">第99章　皮质醇节律与应激调节</w:t>
        </w:r>
        <w:r>
          <w:tab/>
        </w:r>
        <w:r>
          <w:fldChar w:fldCharType="begin"/>
        </w:r>
        <w:r>
          <w:instrText xml:space="preserve"> PAGEREF ch-99 \h </w:instrText>
        </w:r>
        <w:r>
          <w:fldChar w:fldCharType="separate"/>
        </w:r>
        <w:r>
          <w:t>555</w:t>
        </w:r>
        <w:r>
          <w:fldChar w:fldCharType="end"/>
        </w:r>
      </w:hyperlink>
    </w:p>
    <w:p>
      <w:pPr>
        <w:pStyle w:val="TOC2"/>
      </w:pPr>
      <w:hyperlink w:anchor="ch-100" w:history="1">
        <w:r>
          <w:t xml:space="preserve">第100章　压力下的认知控制与“断电”说</w:t>
        </w:r>
        <w:r>
          <w:tab/>
        </w:r>
        <w:r>
          <w:fldChar w:fldCharType="begin"/>
        </w:r>
        <w:r>
          <w:instrText xml:space="preserve"> PAGEREF ch-100 \h </w:instrText>
        </w:r>
        <w:r>
          <w:fldChar w:fldCharType="separate"/>
        </w:r>
        <w:r>
          <w:t>561</w:t>
        </w:r>
        <w:r>
          <w:fldChar w:fldCharType="end"/>
        </w:r>
      </w:hyperlink>
    </w:p>
    <w:p>
      <w:pPr>
        <w:pStyle w:val="TOC2"/>
      </w:pPr>
      <w:hyperlink w:anchor="ch-101" w:history="1">
        <w:r>
          <w:t xml:space="preserve">第101章　压力、应激与恢复</w:t>
        </w:r>
        <w:r>
          <w:tab/>
        </w:r>
        <w:r>
          <w:fldChar w:fldCharType="begin"/>
        </w:r>
        <w:r>
          <w:instrText xml:space="preserve"> PAGEREF ch-101 \h </w:instrText>
        </w:r>
        <w:r>
          <w:fldChar w:fldCharType="separate"/>
        </w:r>
        <w:r>
          <w:t>567</w:t>
        </w:r>
        <w:r>
          <w:fldChar w:fldCharType="end"/>
        </w:r>
      </w:hyperlink>
    </w:p>
    <w:p>
      <w:pPr>
        <w:pStyle w:val="TOC2"/>
      </w:pPr>
      <w:hyperlink w:anchor="ch-102" w:history="1">
        <w:r>
          <w:t xml:space="preserve">第102章　自主神经与神经内分泌的内稳态控制</w:t>
        </w:r>
        <w:r>
          <w:tab/>
        </w:r>
        <w:r>
          <w:fldChar w:fldCharType="begin"/>
        </w:r>
        <w:r>
          <w:instrText xml:space="preserve"> PAGEREF ch-102 \h </w:instrText>
        </w:r>
        <w:r>
          <w:fldChar w:fldCharType="separate"/>
        </w:r>
        <w:r>
          <w:t>573</w:t>
        </w:r>
        <w:r>
          <w:fldChar w:fldCharType="end"/>
        </w:r>
      </w:hyperlink>
    </w:p>
    <w:p>
      <w:pPr>
        <w:pStyle w:val="TOC2"/>
      </w:pPr>
      <w:hyperlink w:anchor="ch-103" w:history="1">
        <w:r>
          <w:t xml:space="preserve">第103章　迷走神经与多迷走神经理论</w:t>
        </w:r>
        <w:r>
          <w:tab/>
        </w:r>
        <w:r>
          <w:fldChar w:fldCharType="begin"/>
        </w:r>
        <w:r>
          <w:instrText xml:space="preserve"> PAGEREF ch-103 \h </w:instrText>
        </w:r>
        <w:r>
          <w:fldChar w:fldCharType="separate"/>
        </w:r>
        <w:r>
          <w:t>578</w:t>
        </w:r>
        <w:r>
          <w:fldChar w:fldCharType="end"/>
        </w:r>
      </w:hyperlink>
    </w:p>
    <w:p>
      <w:pPr>
        <w:pStyle w:val="TOC2"/>
      </w:pPr>
      <w:hyperlink w:anchor="ch-104" w:history="1">
        <w:r>
          <w:t xml:space="preserve">第104章　呼吸、心率变异性与内感受</w:t>
        </w:r>
        <w:r>
          <w:tab/>
        </w:r>
        <w:r>
          <w:fldChar w:fldCharType="begin"/>
        </w:r>
        <w:r>
          <w:instrText xml:space="preserve"> PAGEREF ch-104 \h </w:instrText>
        </w:r>
        <w:r>
          <w:fldChar w:fldCharType="separate"/>
        </w:r>
        <w:r>
          <w:t>580</w:t>
        </w:r>
        <w:r>
          <w:fldChar w:fldCharType="end"/>
        </w:r>
      </w:hyperlink>
    </w:p>
    <w:p>
      <w:pPr>
        <w:pStyle w:val="TOC2"/>
      </w:pPr>
      <w:hyperlink w:anchor="ch-105" w:history="1">
        <w:r>
          <w:t xml:space="preserve">第105章　脑肠轴与微生物干预的转化边界</w:t>
        </w:r>
        <w:r>
          <w:tab/>
        </w:r>
        <w:r>
          <w:fldChar w:fldCharType="begin"/>
        </w:r>
        <w:r>
          <w:instrText xml:space="preserve"> PAGEREF ch-105 \h </w:instrText>
        </w:r>
        <w:r>
          <w:fldChar w:fldCharType="separate"/>
        </w:r>
        <w:r>
          <w:t>583</w:t>
        </w:r>
        <w:r>
          <w:fldChar w:fldCharType="end"/>
        </w:r>
      </w:hyperlink>
    </w:p>
    <w:p>
      <w:pPr>
        <w:pStyle w:val="TOC2"/>
      </w:pPr>
      <w:hyperlink w:anchor="ch-106" w:history="1">
        <w:r>
          <w:t xml:space="preserve">第106章　脑肠通信的细胞与代谢机制</w:t>
        </w:r>
        <w:r>
          <w:tab/>
        </w:r>
        <w:r>
          <w:fldChar w:fldCharType="begin"/>
        </w:r>
        <w:r>
          <w:instrText xml:space="preserve"> PAGEREF ch-106 \h </w:instrText>
        </w:r>
        <w:r>
          <w:fldChar w:fldCharType="separate"/>
        </w:r>
        <w:r>
          <w:t>588</w:t>
        </w:r>
        <w:r>
          <w:fldChar w:fldCharType="end"/>
        </w:r>
      </w:hyperlink>
    </w:p>
    <w:p>
      <w:pPr>
        <w:pStyle w:val="TOC1"/>
      </w:pPr>
      <w:hyperlink w:anchor="part-10" w:history="1">
        <w:r>
          <w:t xml:space="preserve">第十编　正念冥想与大脑</w:t>
        </w:r>
        <w:r>
          <w:tab/>
        </w:r>
        <w:r>
          <w:fldChar w:fldCharType="begin"/>
        </w:r>
        <w:r>
          <w:instrText xml:space="preserve"> PAGEREF part-10 \h </w:instrText>
        </w:r>
        <w:r>
          <w:fldChar w:fldCharType="separate"/>
        </w:r>
        <w:r>
          <w:t>592</w:t>
        </w:r>
        <w:r>
          <w:fldChar w:fldCharType="end"/>
        </w:r>
      </w:hyperlink>
    </w:p>
    <w:p>
      <w:pPr>
        <w:pStyle w:val="TOC2"/>
      </w:pPr>
      <w:hyperlink w:anchor="ch-107" w:history="1">
        <w:r>
          <w:t xml:space="preserve">第107章　本编要点</w:t>
        </w:r>
        <w:r>
          <w:tab/>
        </w:r>
        <w:r>
          <w:fldChar w:fldCharType="begin"/>
        </w:r>
        <w:r>
          <w:instrText xml:space="preserve"> PAGEREF ch-107 \h </w:instrText>
        </w:r>
        <w:r>
          <w:fldChar w:fldCharType="separate"/>
        </w:r>
        <w:r>
          <w:t>593</w:t>
        </w:r>
        <w:r>
          <w:fldChar w:fldCharType="end"/>
        </w:r>
      </w:hyperlink>
    </w:p>
    <w:p>
      <w:pPr>
        <w:pStyle w:val="TOC2"/>
      </w:pPr>
      <w:hyperlink w:anchor="ch-108" w:history="1">
        <w:r>
          <w:t xml:space="preserve">第108章　冥想是什么，怎样研究它</w:t>
        </w:r>
        <w:r>
          <w:tab/>
        </w:r>
        <w:r>
          <w:fldChar w:fldCharType="begin"/>
        </w:r>
        <w:r>
          <w:instrText xml:space="preserve"> PAGEREF ch-108 \h </w:instrText>
        </w:r>
        <w:r>
          <w:fldChar w:fldCharType="separate"/>
        </w:r>
        <w:r>
          <w:t>595</w:t>
        </w:r>
        <w:r>
          <w:fldChar w:fldCharType="end"/>
        </w:r>
      </w:hyperlink>
    </w:p>
    <w:p>
      <w:pPr>
        <w:pStyle w:val="TOC2"/>
      </w:pPr>
      <w:hyperlink w:anchor="ch-109" w:history="1">
        <w:r>
          <w:t xml:space="preserve">第109章　冥想相关说法速查表</w:t>
        </w:r>
        <w:r>
          <w:tab/>
        </w:r>
        <w:r>
          <w:fldChar w:fldCharType="begin"/>
        </w:r>
        <w:r>
          <w:instrText xml:space="preserve"> PAGEREF ch-109 \h </w:instrText>
        </w:r>
        <w:r>
          <w:fldChar w:fldCharType="separate"/>
        </w:r>
        <w:r>
          <w:t>597</w:t>
        </w:r>
        <w:r>
          <w:fldChar w:fldCharType="end"/>
        </w:r>
      </w:hyperlink>
    </w:p>
    <w:p>
      <w:pPr>
        <w:pStyle w:val="TOC2"/>
      </w:pPr>
      <w:hyperlink w:anchor="ch-110" w:history="1">
        <w:r>
          <w:t xml:space="preserve">第110章　冥想研究中的脑区发现</w:t>
        </w:r>
        <w:r>
          <w:tab/>
        </w:r>
        <w:r>
          <w:fldChar w:fldCharType="begin"/>
        </w:r>
        <w:r>
          <w:instrText xml:space="preserve"> PAGEREF ch-110 \h </w:instrText>
        </w:r>
        <w:r>
          <w:fldChar w:fldCharType="separate"/>
        </w:r>
        <w:r>
          <w:t>612</w:t>
        </w:r>
        <w:r>
          <w:fldChar w:fldCharType="end"/>
        </w:r>
      </w:hyperlink>
    </w:p>
    <w:p>
      <w:pPr>
        <w:pStyle w:val="TOC2"/>
      </w:pPr>
      <w:hyperlink w:anchor="ch-111" w:history="1">
        <w:r>
          <w:t xml:space="preserve">第111章　冥想与大尺度网络</w:t>
        </w:r>
        <w:r>
          <w:tab/>
        </w:r>
        <w:r>
          <w:fldChar w:fldCharType="begin"/>
        </w:r>
        <w:r>
          <w:instrText xml:space="preserve"> PAGEREF ch-111 \h </w:instrText>
        </w:r>
        <w:r>
          <w:fldChar w:fldCharType="separate"/>
        </w:r>
        <w:r>
          <w:t>620</w:t>
        </w:r>
        <w:r>
          <w:fldChar w:fldCharType="end"/>
        </w:r>
      </w:hyperlink>
    </w:p>
    <w:p>
      <w:pPr>
        <w:pStyle w:val="TOC2"/>
      </w:pPr>
      <w:hyperlink w:anchor="ch-112" w:history="1">
        <w:r>
          <w:t xml:space="preserve">第112章　冥想与递质、激素和分子指标</w:t>
        </w:r>
        <w:r>
          <w:tab/>
        </w:r>
        <w:r>
          <w:fldChar w:fldCharType="begin"/>
        </w:r>
        <w:r>
          <w:instrText xml:space="preserve"> PAGEREF ch-112 \h </w:instrText>
        </w:r>
        <w:r>
          <w:fldChar w:fldCharType="separate"/>
        </w:r>
        <w:r>
          <w:t>624</w:t>
        </w:r>
        <w:r>
          <w:fldChar w:fldCharType="end"/>
        </w:r>
      </w:hyperlink>
    </w:p>
    <w:p>
      <w:pPr>
        <w:pStyle w:val="TOC2"/>
      </w:pPr>
      <w:hyperlink w:anchor="ch-113" w:history="1">
        <w:r>
          <w:t xml:space="preserve">第113章　冥想、自主神经与身体觉察</w:t>
        </w:r>
        <w:r>
          <w:tab/>
        </w:r>
        <w:r>
          <w:fldChar w:fldCharType="begin"/>
        </w:r>
        <w:r>
          <w:instrText xml:space="preserve"> PAGEREF ch-113 \h </w:instrText>
        </w:r>
        <w:r>
          <w:fldChar w:fldCharType="separate"/>
        </w:r>
        <w:r>
          <w:t>630</w:t>
        </w:r>
        <w:r>
          <w:fldChar w:fldCharType="end"/>
        </w:r>
      </w:hyperlink>
    </w:p>
    <w:p>
      <w:pPr>
        <w:pStyle w:val="TOC2"/>
      </w:pPr>
      <w:hyperlink w:anchor="ch-114" w:history="1">
        <w:r>
          <w:t xml:space="preserve">第114章　冥想与脑电</w:t>
        </w:r>
        <w:r>
          <w:tab/>
        </w:r>
        <w:r>
          <w:fldChar w:fldCharType="begin"/>
        </w:r>
        <w:r>
          <w:instrText xml:space="preserve"> PAGEREF ch-114 \h </w:instrText>
        </w:r>
        <w:r>
          <w:fldChar w:fldCharType="separate"/>
        </w:r>
        <w:r>
          <w:t>632</w:t>
        </w:r>
        <w:r>
          <w:fldChar w:fldCharType="end"/>
        </w:r>
      </w:hyperlink>
    </w:p>
    <w:p>
      <w:pPr>
        <w:pStyle w:val="TOC2"/>
      </w:pPr>
      <w:hyperlink w:anchor="ch-115" w:history="1">
        <w:r>
          <w:t xml:space="preserve">第115章　关于冥想的几个流行说法</w:t>
        </w:r>
        <w:r>
          <w:tab/>
        </w:r>
        <w:r>
          <w:fldChar w:fldCharType="begin"/>
        </w:r>
        <w:r>
          <w:instrText xml:space="preserve"> PAGEREF ch-115 \h </w:instrText>
        </w:r>
        <w:r>
          <w:fldChar w:fldCharType="separate"/>
        </w:r>
        <w:r>
          <w:t>635</w:t>
        </w:r>
        <w:r>
          <w:fldChar w:fldCharType="end"/>
        </w:r>
      </w:hyperlink>
    </w:p>
    <w:p>
      <w:pPr>
        <w:pStyle w:val="TOC2"/>
      </w:pPr>
      <w:hyperlink w:anchor="ch-116" w:history="1">
        <w:r>
          <w:t xml:space="preserve">第116章　冥想会改变大脑结构吗：一段证据史</w:t>
        </w:r>
        <w:r>
          <w:tab/>
        </w:r>
        <w:r>
          <w:fldChar w:fldCharType="begin"/>
        </w:r>
        <w:r>
          <w:instrText xml:space="preserve"> PAGEREF ch-116 \h </w:instrText>
        </w:r>
        <w:r>
          <w:fldChar w:fldCharType="separate"/>
        </w:r>
        <w:r>
          <w:t>638</w:t>
        </w:r>
        <w:r>
          <w:fldChar w:fldCharType="end"/>
        </w:r>
      </w:hyperlink>
    </w:p>
    <w:p>
      <w:pPr>
        <w:pStyle w:val="TOC2"/>
      </w:pPr>
      <w:hyperlink w:anchor="ch-117" w:history="1">
        <w:r>
          <w:t xml:space="preserve">第117章　临床与行为效果</w:t>
        </w:r>
        <w:r>
          <w:tab/>
        </w:r>
        <w:r>
          <w:fldChar w:fldCharType="begin"/>
        </w:r>
        <w:r>
          <w:instrText xml:space="preserve"> PAGEREF ch-117 \h </w:instrText>
        </w:r>
        <w:r>
          <w:fldChar w:fldCharType="separate"/>
        </w:r>
        <w:r>
          <w:t>643</w:t>
        </w:r>
        <w:r>
          <w:fldChar w:fldCharType="end"/>
        </w:r>
      </w:hyperlink>
    </w:p>
    <w:p>
      <w:pPr>
        <w:pStyle w:val="TOC2"/>
      </w:pPr>
      <w:hyperlink w:anchor="ch-118" w:history="1">
        <w:r>
          <w:t xml:space="preserve">第118章　机制、安全与测量</w:t>
        </w:r>
        <w:r>
          <w:tab/>
        </w:r>
        <w:r>
          <w:fldChar w:fldCharType="begin"/>
        </w:r>
        <w:r>
          <w:instrText xml:space="preserve"> PAGEREF ch-118 \h </w:instrText>
        </w:r>
        <w:r>
          <w:fldChar w:fldCharType="separate"/>
        </w:r>
        <w:r>
          <w:t>651</w:t>
        </w:r>
        <w:r>
          <w:fldChar w:fldCharType="end"/>
        </w:r>
      </w:hyperlink>
    </w:p>
    <w:p>
      <w:pPr>
        <w:pStyle w:val="TOC2"/>
      </w:pPr>
      <w:hyperlink w:anchor="ch-119" w:history="1">
        <w:r>
          <w:t xml:space="preserve">第119章　冥想传统与神经科学怎样对接</w:t>
        </w:r>
        <w:r>
          <w:tab/>
        </w:r>
        <w:r>
          <w:fldChar w:fldCharType="begin"/>
        </w:r>
        <w:r>
          <w:instrText xml:space="preserve"> PAGEREF ch-119 \h </w:instrText>
        </w:r>
        <w:r>
          <w:fldChar w:fldCharType="separate"/>
        </w:r>
        <w:r>
          <w:t>657</w:t>
        </w:r>
        <w:r>
          <w:fldChar w:fldCharType="end"/>
        </w:r>
      </w:hyperlink>
    </w:p>
    <w:p>
      <w:pPr>
        <w:pStyle w:val="TOC2"/>
      </w:pPr>
      <w:hyperlink w:anchor="ch-120" w:history="1">
        <w:r>
          <w:t xml:space="preserve">第120章　容易被忽略的变量与值得关注的信号</w:t>
        </w:r>
        <w:r>
          <w:tab/>
        </w:r>
        <w:r>
          <w:fldChar w:fldCharType="begin"/>
        </w:r>
        <w:r>
          <w:instrText xml:space="preserve"> PAGEREF ch-120 \h </w:instrText>
        </w:r>
        <w:r>
          <w:fldChar w:fldCharType="separate"/>
        </w:r>
        <w:r>
          <w:t>663</w:t>
        </w:r>
        <w:r>
          <w:fldChar w:fldCharType="end"/>
        </w:r>
      </w:hyperlink>
    </w:p>
    <w:p>
      <w:pPr>
        <w:pStyle w:val="TOC1"/>
      </w:pPr>
      <w:hyperlink w:anchor="part-11" w:history="1">
        <w:r>
          <w:t xml:space="preserve">第十一编　发育、个体差异与神经多样性</w:t>
        </w:r>
        <w:r>
          <w:tab/>
        </w:r>
        <w:r>
          <w:fldChar w:fldCharType="begin"/>
        </w:r>
        <w:r>
          <w:instrText xml:space="preserve"> PAGEREF part-11 \h </w:instrText>
        </w:r>
        <w:r>
          <w:fldChar w:fldCharType="separate"/>
        </w:r>
        <w:r>
          <w:t>666</w:t>
        </w:r>
        <w:r>
          <w:fldChar w:fldCharType="end"/>
        </w:r>
      </w:hyperlink>
    </w:p>
    <w:p>
      <w:pPr>
        <w:pStyle w:val="TOC2"/>
      </w:pPr>
      <w:hyperlink w:anchor="ch-121" w:history="1">
        <w:r>
          <w:t xml:space="preserve">第121章　围产期脑发育与早期神经功能的连续轨迹</w:t>
        </w:r>
        <w:r>
          <w:tab/>
        </w:r>
        <w:r>
          <w:fldChar w:fldCharType="begin"/>
        </w:r>
        <w:r>
          <w:instrText xml:space="preserve"> PAGEREF ch-121 \h </w:instrText>
        </w:r>
        <w:r>
          <w:fldChar w:fldCharType="separate"/>
        </w:r>
        <w:r>
          <w:t>667</w:t>
        </w:r>
        <w:r>
          <w:fldChar w:fldCharType="end"/>
        </w:r>
      </w:hyperlink>
    </w:p>
    <w:p>
      <w:pPr>
        <w:pStyle w:val="TOC2"/>
      </w:pPr>
      <w:hyperlink w:anchor="ch-122" w:history="1">
        <w:r>
          <w:t xml:space="preserve">第122章　大脑成熟年龄与发展轨迹</w:t>
        </w:r>
        <w:r>
          <w:tab/>
        </w:r>
        <w:r>
          <w:fldChar w:fldCharType="begin"/>
        </w:r>
        <w:r>
          <w:instrText xml:space="preserve"> PAGEREF ch-122 \h </w:instrText>
        </w:r>
        <w:r>
          <w:fldChar w:fldCharType="separate"/>
        </w:r>
        <w:r>
          <w:t>676</w:t>
        </w:r>
        <w:r>
          <w:fldChar w:fldCharType="end"/>
        </w:r>
      </w:hyperlink>
    </w:p>
    <w:p>
      <w:pPr>
        <w:pStyle w:val="TOC2"/>
      </w:pPr>
      <w:hyperlink w:anchor="ch-123" w:history="1">
        <w:r>
          <w:t xml:space="preserve">第123章　性别相关脑差异与个人能力</w:t>
        </w:r>
        <w:r>
          <w:tab/>
        </w:r>
        <w:r>
          <w:fldChar w:fldCharType="begin"/>
        </w:r>
        <w:r>
          <w:instrText xml:space="preserve"> PAGEREF ch-123 \h </w:instrText>
        </w:r>
        <w:r>
          <w:fldChar w:fldCharType="separate"/>
        </w:r>
        <w:r>
          <w:t>681</w:t>
        </w:r>
        <w:r>
          <w:fldChar w:fldCharType="end"/>
        </w:r>
      </w:hyperlink>
    </w:p>
    <w:p>
      <w:pPr>
        <w:pStyle w:val="TOC2"/>
      </w:pPr>
      <w:hyperlink w:anchor="ch-124" w:history="1">
        <w:r>
          <w:t xml:space="preserve">第124章　脑体积、头围与智力测量</w:t>
        </w:r>
        <w:r>
          <w:tab/>
        </w:r>
        <w:r>
          <w:fldChar w:fldCharType="begin"/>
        </w:r>
        <w:r>
          <w:instrText xml:space="preserve"> PAGEREF ch-124 \h </w:instrText>
        </w:r>
        <w:r>
          <w:fldChar w:fldCharType="separate"/>
        </w:r>
        <w:r>
          <w:t>686</w:t>
        </w:r>
        <w:r>
          <w:fldChar w:fldCharType="end"/>
        </w:r>
      </w:hyperlink>
    </w:p>
    <w:p>
      <w:pPr>
        <w:pStyle w:val="TOC2"/>
      </w:pPr>
      <w:hyperlink w:anchor="ch-125" w:history="1">
        <w:r>
          <w:t xml:space="preserve">第125章　遗传率、可改变性与发展环境</w:t>
        </w:r>
        <w:r>
          <w:tab/>
        </w:r>
        <w:r>
          <w:fldChar w:fldCharType="begin"/>
        </w:r>
        <w:r>
          <w:instrText xml:space="preserve"> PAGEREF ch-125 \h </w:instrText>
        </w:r>
        <w:r>
          <w:fldChar w:fldCharType="separate"/>
        </w:r>
        <w:r>
          <w:t>691</w:t>
        </w:r>
        <w:r>
          <w:fldChar w:fldCharType="end"/>
        </w:r>
      </w:hyperlink>
    </w:p>
    <w:p>
      <w:pPr>
        <w:pStyle w:val="TOC2"/>
      </w:pPr>
      <w:hyperlink w:anchor="ch-126" w:history="1">
        <w:r>
          <w:t xml:space="preserve">第126章　注意缺陷多动障碍的评估与解释</w:t>
        </w:r>
        <w:r>
          <w:tab/>
        </w:r>
        <w:r>
          <w:fldChar w:fldCharType="begin"/>
        </w:r>
        <w:r>
          <w:instrText xml:space="preserve"> PAGEREF ch-126 \h </w:instrText>
        </w:r>
        <w:r>
          <w:fldChar w:fldCharType="separate"/>
        </w:r>
        <w:r>
          <w:t>697</w:t>
        </w:r>
        <w:r>
          <w:fldChar w:fldCharType="end"/>
        </w:r>
      </w:hyperlink>
    </w:p>
    <w:p>
      <w:pPr>
        <w:pStyle w:val="TOC2"/>
      </w:pPr>
      <w:hyperlink w:anchor="ch-127" w:history="1">
        <w:r>
          <w:t xml:space="preserve">第127章　疫苗、自闭症与病因推断</w:t>
        </w:r>
        <w:r>
          <w:tab/>
        </w:r>
        <w:r>
          <w:fldChar w:fldCharType="begin"/>
        </w:r>
        <w:r>
          <w:instrText xml:space="preserve"> PAGEREF ch-127 \h </w:instrText>
        </w:r>
        <w:r>
          <w:fldChar w:fldCharType="separate"/>
        </w:r>
        <w:r>
          <w:t>703</w:t>
        </w:r>
        <w:r>
          <w:fldChar w:fldCharType="end"/>
        </w:r>
      </w:hyperlink>
    </w:p>
    <w:p>
      <w:pPr>
        <w:pStyle w:val="TOC2"/>
      </w:pPr>
      <w:hyperlink w:anchor="ch-128" w:history="1">
        <w:r>
          <w:t xml:space="preserve">第128章　神经多样性、残障与支持目标</w:t>
        </w:r>
        <w:r>
          <w:tab/>
        </w:r>
        <w:r>
          <w:fldChar w:fldCharType="begin"/>
        </w:r>
        <w:r>
          <w:instrText xml:space="preserve"> PAGEREF ch-128 \h </w:instrText>
        </w:r>
        <w:r>
          <w:fldChar w:fldCharType="separate"/>
        </w:r>
        <w:r>
          <w:t>708</w:t>
        </w:r>
        <w:r>
          <w:fldChar w:fldCharType="end"/>
        </w:r>
      </w:hyperlink>
    </w:p>
    <w:p>
      <w:pPr>
        <w:pStyle w:val="TOC1"/>
      </w:pPr>
      <w:hyperlink w:anchor="part-12" w:history="1">
        <w:r>
          <w:t xml:space="preserve">第十二编　心理健康与精神障碍</w:t>
        </w:r>
        <w:r>
          <w:tab/>
        </w:r>
        <w:r>
          <w:fldChar w:fldCharType="begin"/>
        </w:r>
        <w:r>
          <w:instrText xml:space="preserve"> PAGEREF part-12 \h </w:instrText>
        </w:r>
        <w:r>
          <w:fldChar w:fldCharType="separate"/>
        </w:r>
        <w:r>
          <w:t>714</w:t>
        </w:r>
        <w:r>
          <w:fldChar w:fldCharType="end"/>
        </w:r>
      </w:hyperlink>
    </w:p>
    <w:p>
      <w:pPr>
        <w:pStyle w:val="TOC2"/>
      </w:pPr>
      <w:hyperlink w:anchor="ch-129" w:history="1">
        <w:r>
          <w:t xml:space="preserve">第129章　精神障碍的多层次解释</w:t>
        </w:r>
        <w:r>
          <w:tab/>
        </w:r>
        <w:r>
          <w:fldChar w:fldCharType="begin"/>
        </w:r>
        <w:r>
          <w:instrText xml:space="preserve"> PAGEREF ch-129 \h </w:instrText>
        </w:r>
        <w:r>
          <w:fldChar w:fldCharType="separate"/>
        </w:r>
        <w:r>
          <w:t>715</w:t>
        </w:r>
        <w:r>
          <w:fldChar w:fldCharType="end"/>
        </w:r>
      </w:hyperlink>
    </w:p>
    <w:p>
      <w:pPr>
        <w:pStyle w:val="TOC2"/>
      </w:pPr>
      <w:hyperlink w:anchor="ch-130" w:history="1">
        <w:r>
          <w:t xml:space="preserve">第130章　抑郁与双相障碍的症候结构及治疗证据</w:t>
        </w:r>
        <w:r>
          <w:tab/>
        </w:r>
        <w:r>
          <w:fldChar w:fldCharType="begin"/>
        </w:r>
        <w:r>
          <w:instrText xml:space="preserve"> PAGEREF ch-130 \h </w:instrText>
        </w:r>
        <w:r>
          <w:fldChar w:fldCharType="separate"/>
        </w:r>
        <w:r>
          <w:t>721</w:t>
        </w:r>
        <w:r>
          <w:fldChar w:fldCharType="end"/>
        </w:r>
      </w:hyperlink>
    </w:p>
    <w:p>
      <w:pPr>
        <w:pStyle w:val="TOC2"/>
      </w:pPr>
      <w:hyperlink w:anchor="ch-131" w:history="1">
        <w:r>
          <w:t xml:space="preserve">第131章　焦虑、强迫与创伤相关障碍的机制和症候边界</w:t>
        </w:r>
        <w:r>
          <w:tab/>
        </w:r>
        <w:r>
          <w:fldChar w:fldCharType="begin"/>
        </w:r>
        <w:r>
          <w:instrText xml:space="preserve"> PAGEREF ch-131 \h </w:instrText>
        </w:r>
        <w:r>
          <w:fldChar w:fldCharType="separate"/>
        </w:r>
        <w:r>
          <w:t>729</w:t>
        </w:r>
        <w:r>
          <w:fldChar w:fldCharType="end"/>
        </w:r>
      </w:hyperlink>
    </w:p>
    <w:p>
      <w:pPr>
        <w:pStyle w:val="TOC2"/>
      </w:pPr>
      <w:hyperlink w:anchor="ch-132" w:history="1">
        <w:r>
          <w:t xml:space="preserve">第132章　身体反应、创伤记忆与历史真实性</w:t>
        </w:r>
        <w:r>
          <w:tab/>
        </w:r>
        <w:r>
          <w:fldChar w:fldCharType="begin"/>
        </w:r>
        <w:r>
          <w:instrText xml:space="preserve"> PAGEREF ch-132 \h </w:instrText>
        </w:r>
        <w:r>
          <w:fldChar w:fldCharType="separate"/>
        </w:r>
        <w:r>
          <w:t>737</w:t>
        </w:r>
        <w:r>
          <w:fldChar w:fldCharType="end"/>
        </w:r>
      </w:hyperlink>
    </w:p>
    <w:p>
      <w:pPr>
        <w:pStyle w:val="TOC2"/>
      </w:pPr>
      <w:hyperlink w:anchor="ch-133" w:history="1">
        <w:r>
          <w:t xml:space="preserve">第133章　精神病性障碍与精神分裂症的多层机制</w:t>
        </w:r>
        <w:r>
          <w:tab/>
        </w:r>
        <w:r>
          <w:fldChar w:fldCharType="begin"/>
        </w:r>
        <w:r>
          <w:instrText xml:space="preserve"> PAGEREF ch-133 \h </w:instrText>
        </w:r>
        <w:r>
          <w:fldChar w:fldCharType="separate"/>
        </w:r>
        <w:r>
          <w:t>743</w:t>
        </w:r>
        <w:r>
          <w:fldChar w:fldCharType="end"/>
        </w:r>
      </w:hyperlink>
    </w:p>
    <w:p>
      <w:pPr>
        <w:pStyle w:val="TOC2"/>
      </w:pPr>
      <w:hyperlink w:anchor="ch-134" w:history="1">
        <w:r>
          <w:t xml:space="preserve">第134章　成瘾中的学习、动机与持续伤害</w:t>
        </w:r>
        <w:r>
          <w:tab/>
        </w:r>
        <w:r>
          <w:fldChar w:fldCharType="begin"/>
        </w:r>
        <w:r>
          <w:instrText xml:space="preserve"> PAGEREF ch-134 \h </w:instrText>
        </w:r>
        <w:r>
          <w:fldChar w:fldCharType="separate"/>
        </w:r>
        <w:r>
          <w:t>750</w:t>
        </w:r>
        <w:r>
          <w:fldChar w:fldCharType="end"/>
        </w:r>
      </w:hyperlink>
    </w:p>
    <w:p>
      <w:pPr>
        <w:pStyle w:val="TOC1"/>
      </w:pPr>
      <w:hyperlink w:anchor="part-13" w:history="1">
        <w:r>
          <w:t xml:space="preserve">第十三编　神经系统疾病、疼痛与康复</w:t>
        </w:r>
        <w:r>
          <w:tab/>
        </w:r>
        <w:r>
          <w:fldChar w:fldCharType="begin"/>
        </w:r>
        <w:r>
          <w:instrText xml:space="preserve"> PAGEREF part-13 \h </w:instrText>
        </w:r>
        <w:r>
          <w:fldChar w:fldCharType="separate"/>
        </w:r>
        <w:r>
          <w:t>756</w:t>
        </w:r>
        <w:r>
          <w:fldChar w:fldCharType="end"/>
        </w:r>
      </w:hyperlink>
    </w:p>
    <w:p>
      <w:pPr>
        <w:pStyle w:val="TOC2"/>
      </w:pPr>
      <w:hyperlink w:anchor="ch-135" w:history="1">
        <w:r>
          <w:t xml:space="preserve">第135章　疼痛、伤害感受与检查结果</w:t>
        </w:r>
        <w:r>
          <w:tab/>
        </w:r>
        <w:r>
          <w:fldChar w:fldCharType="begin"/>
        </w:r>
        <w:r>
          <w:instrText xml:space="preserve"> PAGEREF ch-135 \h </w:instrText>
        </w:r>
        <w:r>
          <w:fldChar w:fldCharType="separate"/>
        </w:r>
        <w:r>
          <w:t>757</w:t>
        </w:r>
        <w:r>
          <w:fldChar w:fldCharType="end"/>
        </w:r>
      </w:hyperlink>
    </w:p>
    <w:p>
      <w:pPr>
        <w:pStyle w:val="TOC2"/>
      </w:pPr>
      <w:hyperlink w:anchor="ch-136" w:history="1">
        <w:r>
          <w:t xml:space="preserve">第136章　头痛、眩晕与功能性神经症状</w:t>
        </w:r>
        <w:r>
          <w:tab/>
        </w:r>
        <w:r>
          <w:fldChar w:fldCharType="begin"/>
        </w:r>
        <w:r>
          <w:instrText xml:space="preserve"> PAGEREF ch-136 \h </w:instrText>
        </w:r>
        <w:r>
          <w:fldChar w:fldCharType="separate"/>
        </w:r>
        <w:r>
          <w:t>763</w:t>
        </w:r>
        <w:r>
          <w:fldChar w:fldCharType="end"/>
        </w:r>
      </w:hyperlink>
    </w:p>
    <w:p>
      <w:pPr>
        <w:pStyle w:val="TOC2"/>
      </w:pPr>
      <w:hyperlink w:anchor="ch-137" w:history="1">
        <w:r>
          <w:t xml:space="preserve">第137章　睡眠障碍与昼夜节律的临床神经科学</w:t>
        </w:r>
        <w:r>
          <w:tab/>
        </w:r>
        <w:r>
          <w:fldChar w:fldCharType="begin"/>
        </w:r>
        <w:r>
          <w:instrText xml:space="preserve"> PAGEREF ch-137 \h </w:instrText>
        </w:r>
        <w:r>
          <w:fldChar w:fldCharType="separate"/>
        </w:r>
        <w:r>
          <w:t>770</w:t>
        </w:r>
        <w:r>
          <w:fldChar w:fldCharType="end"/>
        </w:r>
      </w:hyperlink>
    </w:p>
    <w:p>
      <w:pPr>
        <w:pStyle w:val="TOC2"/>
      </w:pPr>
      <w:hyperlink w:anchor="ch-138" w:history="1">
        <w:r>
          <w:t xml:space="preserve">第138章　认知老化、储备与痴呆风险降低</w:t>
        </w:r>
        <w:r>
          <w:tab/>
        </w:r>
        <w:r>
          <w:fldChar w:fldCharType="begin"/>
        </w:r>
        <w:r>
          <w:instrText xml:space="preserve"> PAGEREF ch-138 \h </w:instrText>
        </w:r>
        <w:r>
          <w:fldChar w:fldCharType="separate"/>
        </w:r>
        <w:r>
          <w:t>777</w:t>
        </w:r>
        <w:r>
          <w:fldChar w:fldCharType="end"/>
        </w:r>
      </w:hyperlink>
    </w:p>
    <w:p>
      <w:pPr>
        <w:pStyle w:val="TOC2"/>
      </w:pPr>
      <w:hyperlink w:anchor="ch-139" w:history="1">
        <w:r>
          <w:t xml:space="preserve">第139章　营养补充、认知改善与痴呆预防</w:t>
        </w:r>
        <w:r>
          <w:tab/>
        </w:r>
        <w:r>
          <w:fldChar w:fldCharType="begin"/>
        </w:r>
        <w:r>
          <w:instrText xml:space="preserve"> PAGEREF ch-139 \h </w:instrText>
        </w:r>
        <w:r>
          <w:fldChar w:fldCharType="separate"/>
        </w:r>
        <w:r>
          <w:t>784</w:t>
        </w:r>
        <w:r>
          <w:fldChar w:fldCharType="end"/>
        </w:r>
      </w:hyperlink>
    </w:p>
    <w:p>
      <w:pPr>
        <w:pStyle w:val="TOC2"/>
      </w:pPr>
      <w:hyperlink w:anchor="ch-140" w:history="1">
        <w:r>
          <w:t xml:space="preserve">第140章　阿尔茨海默病标志物与疾病修饰治疗</w:t>
        </w:r>
        <w:r>
          <w:tab/>
        </w:r>
        <w:r>
          <w:fldChar w:fldCharType="begin"/>
        </w:r>
        <w:r>
          <w:instrText xml:space="preserve"> PAGEREF ch-140 \h </w:instrText>
        </w:r>
        <w:r>
          <w:fldChar w:fldCharType="separate"/>
        </w:r>
        <w:r>
          <w:t>790</w:t>
        </w:r>
        <w:r>
          <w:fldChar w:fldCharType="end"/>
        </w:r>
      </w:hyperlink>
    </w:p>
    <w:p>
      <w:pPr>
        <w:pStyle w:val="TOC2"/>
      </w:pPr>
      <w:hyperlink w:anchor="ch-141" w:history="1">
        <w:r>
          <w:t xml:space="preserve">第141章　神经免疫、抗体与中枢炎症性疾病</w:t>
        </w:r>
        <w:r>
          <w:tab/>
        </w:r>
        <w:r>
          <w:fldChar w:fldCharType="begin"/>
        </w:r>
        <w:r>
          <w:instrText xml:space="preserve"> PAGEREF ch-141 \h </w:instrText>
        </w:r>
        <w:r>
          <w:fldChar w:fldCharType="separate"/>
        </w:r>
        <w:r>
          <w:t>799</w:t>
        </w:r>
        <w:r>
          <w:fldChar w:fldCharType="end"/>
        </w:r>
      </w:hyperlink>
    </w:p>
    <w:p>
      <w:pPr>
        <w:pStyle w:val="TOC2"/>
      </w:pPr>
      <w:hyperlink w:anchor="ch-142" w:history="1">
        <w:r>
          <w:t xml:space="preserve">第142章　癫痫：神经网络失稳与发作性事件</w:t>
        </w:r>
        <w:r>
          <w:tab/>
        </w:r>
        <w:r>
          <w:fldChar w:fldCharType="begin"/>
        </w:r>
        <w:r>
          <w:instrText xml:space="preserve"> PAGEREF ch-142 \h </w:instrText>
        </w:r>
        <w:r>
          <w:fldChar w:fldCharType="separate"/>
        </w:r>
        <w:r>
          <w:t>806</w:t>
        </w:r>
        <w:r>
          <w:fldChar w:fldCharType="end"/>
        </w:r>
      </w:hyperlink>
    </w:p>
    <w:p>
      <w:pPr>
        <w:pStyle w:val="TOC2"/>
      </w:pPr>
      <w:hyperlink w:anchor="ch-143" w:history="1">
        <w:r>
          <w:t xml:space="preserve">第143章　脑血管病：从血流中断到功能恢复</w:t>
        </w:r>
        <w:r>
          <w:tab/>
        </w:r>
        <w:r>
          <w:fldChar w:fldCharType="begin"/>
        </w:r>
        <w:r>
          <w:instrText xml:space="preserve"> PAGEREF ch-143 \h </w:instrText>
        </w:r>
        <w:r>
          <w:fldChar w:fldCharType="separate"/>
        </w:r>
        <w:r>
          <w:t>814</w:t>
        </w:r>
        <w:r>
          <w:fldChar w:fldCharType="end"/>
        </w:r>
      </w:hyperlink>
    </w:p>
    <w:p>
      <w:pPr>
        <w:pStyle w:val="TOC2"/>
      </w:pPr>
      <w:hyperlink w:anchor="ch-144" w:history="1">
        <w:r>
          <w:t xml:space="preserve">第144章　帕金森综合征与运动障碍的多层解释</w:t>
        </w:r>
        <w:r>
          <w:tab/>
        </w:r>
        <w:r>
          <w:fldChar w:fldCharType="begin"/>
        </w:r>
        <w:r>
          <w:instrText xml:space="preserve"> PAGEREF ch-144 \h </w:instrText>
        </w:r>
        <w:r>
          <w:fldChar w:fldCharType="separate"/>
        </w:r>
        <w:r>
          <w:t>820</w:t>
        </w:r>
        <w:r>
          <w:fldChar w:fldCharType="end"/>
        </w:r>
      </w:hyperlink>
    </w:p>
    <w:p>
      <w:pPr>
        <w:pStyle w:val="TOC2"/>
      </w:pPr>
      <w:hyperlink w:anchor="ch-145" w:history="1">
        <w:r>
          <w:t xml:space="preserve">第145章　脑外伤、脑震荡与长期恢复</w:t>
        </w:r>
        <w:r>
          <w:tab/>
        </w:r>
        <w:r>
          <w:fldChar w:fldCharType="begin"/>
        </w:r>
        <w:r>
          <w:instrText xml:space="preserve"> PAGEREF ch-145 \h </w:instrText>
        </w:r>
        <w:r>
          <w:fldChar w:fldCharType="separate"/>
        </w:r>
        <w:r>
          <w:t>826</w:t>
        </w:r>
        <w:r>
          <w:fldChar w:fldCharType="end"/>
        </w:r>
      </w:hyperlink>
    </w:p>
    <w:p>
      <w:pPr>
        <w:pStyle w:val="TOC2"/>
      </w:pPr>
      <w:hyperlink w:anchor="ch-146" w:history="1">
        <w:r>
          <w:t xml:space="preserve">第146章　神经肿瘤：分子分类、网络作用与功能结局</w:t>
        </w:r>
        <w:r>
          <w:tab/>
        </w:r>
        <w:r>
          <w:fldChar w:fldCharType="begin"/>
        </w:r>
        <w:r>
          <w:instrText xml:space="preserve"> PAGEREF ch-146 \h </w:instrText>
        </w:r>
        <w:r>
          <w:fldChar w:fldCharType="separate"/>
        </w:r>
        <w:r>
          <w:t>832</w:t>
        </w:r>
        <w:r>
          <w:fldChar w:fldCharType="end"/>
        </w:r>
      </w:hyperlink>
    </w:p>
    <w:p>
      <w:pPr>
        <w:pStyle w:val="TOC2"/>
      </w:pPr>
      <w:hyperlink w:anchor="ch-147" w:history="1">
        <w:r>
          <w:t xml:space="preserve">第147章　神经康复：从残存网络到生活参与</w:t>
        </w:r>
        <w:r>
          <w:tab/>
        </w:r>
        <w:r>
          <w:fldChar w:fldCharType="begin"/>
        </w:r>
        <w:r>
          <w:instrText xml:space="preserve"> PAGEREF ch-147 \h </w:instrText>
        </w:r>
        <w:r>
          <w:fldChar w:fldCharType="separate"/>
        </w:r>
        <w:r>
          <w:t>839</w:t>
        </w:r>
        <w:r>
          <w:fldChar w:fldCharType="end"/>
        </w:r>
      </w:hyperlink>
    </w:p>
    <w:p>
      <w:pPr>
        <w:pStyle w:val="TOC1"/>
      </w:pPr>
      <w:hyperlink w:anchor="part-14" w:history="1">
        <w:r>
          <w:t xml:space="preserve">第十四编　前沿问题</w:t>
        </w:r>
        <w:r>
          <w:tab/>
        </w:r>
        <w:r>
          <w:fldChar w:fldCharType="begin"/>
        </w:r>
        <w:r>
          <w:instrText xml:space="preserve"> PAGEREF part-14 \h </w:instrText>
        </w:r>
        <w:r>
          <w:fldChar w:fldCharType="separate"/>
        </w:r>
        <w:r>
          <w:t>846</w:t>
        </w:r>
        <w:r>
          <w:fldChar w:fldCharType="end"/>
        </w:r>
      </w:hyperlink>
    </w:p>
    <w:p>
      <w:pPr>
        <w:pStyle w:val="TOC2"/>
      </w:pPr>
      <w:hyperlink w:anchor="ch-148" w:history="1">
        <w:r>
          <w:t xml:space="preserve">第148章　意识理论、意识障碍与隐匿的认知能力</w:t>
        </w:r>
        <w:r>
          <w:tab/>
        </w:r>
        <w:r>
          <w:fldChar w:fldCharType="begin"/>
        </w:r>
        <w:r>
          <w:instrText xml:space="preserve"> PAGEREF ch-148 \h </w:instrText>
        </w:r>
        <w:r>
          <w:fldChar w:fldCharType="separate"/>
        </w:r>
        <w:r>
          <w:t>847</w:t>
        </w:r>
        <w:r>
          <w:fldChar w:fldCharType="end"/>
        </w:r>
      </w:hyperlink>
    </w:p>
    <w:p>
      <w:pPr>
        <w:pStyle w:val="TOC2"/>
      </w:pPr>
      <w:hyperlink w:anchor="ch-149" w:history="1">
        <w:r>
          <w:t xml:space="preserve">第149章　神经编码、信息与群体动态</w:t>
        </w:r>
        <w:r>
          <w:tab/>
        </w:r>
        <w:r>
          <w:fldChar w:fldCharType="begin"/>
        </w:r>
        <w:r>
          <w:instrText xml:space="preserve"> PAGEREF ch-149 \h </w:instrText>
        </w:r>
        <w:r>
          <w:fldChar w:fldCharType="separate"/>
        </w:r>
        <w:r>
          <w:t>852</w:t>
        </w:r>
        <w:r>
          <w:fldChar w:fldCharType="end"/>
        </w:r>
      </w:hyperlink>
    </w:p>
    <w:p>
      <w:pPr>
        <w:pStyle w:val="TOC2"/>
      </w:pPr>
      <w:hyperlink w:anchor="ch-150" w:history="1">
        <w:r>
          <w:t xml:space="preserve">第150章　计算模型、人工神经网络与生物大脑</w:t>
        </w:r>
        <w:r>
          <w:tab/>
        </w:r>
        <w:r>
          <w:fldChar w:fldCharType="begin"/>
        </w:r>
        <w:r>
          <w:instrText xml:space="preserve"> PAGEREF ch-150 \h </w:instrText>
        </w:r>
        <w:r>
          <w:fldChar w:fldCharType="separate"/>
        </w:r>
        <w:r>
          <w:t>860</w:t>
        </w:r>
        <w:r>
          <w:fldChar w:fldCharType="end"/>
        </w:r>
      </w:hyperlink>
    </w:p>
    <w:p>
      <w:pPr>
        <w:pStyle w:val="TOC2"/>
      </w:pPr>
      <w:hyperlink w:anchor="ch-151" w:history="1">
        <w:r>
          <w:t xml:space="preserve">第151章　计算精神病学与模型的可检验性</w:t>
        </w:r>
        <w:r>
          <w:tab/>
        </w:r>
        <w:r>
          <w:fldChar w:fldCharType="begin"/>
        </w:r>
        <w:r>
          <w:instrText xml:space="preserve"> PAGEREF ch-151 \h </w:instrText>
        </w:r>
        <w:r>
          <w:fldChar w:fldCharType="separate"/>
        </w:r>
        <w:r>
          <w:t>866</w:t>
        </w:r>
        <w:r>
          <w:fldChar w:fldCharType="end"/>
        </w:r>
      </w:hyperlink>
    </w:p>
    <w:p>
      <w:pPr>
        <w:pStyle w:val="TOC2"/>
      </w:pPr>
      <w:hyperlink w:anchor="ch-152" w:history="1">
        <w:r>
          <w:t xml:space="preserve">第152章　脑机接口、神经调控与神经数据治理</w:t>
        </w:r>
        <w:r>
          <w:tab/>
        </w:r>
        <w:r>
          <w:fldChar w:fldCharType="begin"/>
        </w:r>
        <w:r>
          <w:instrText xml:space="preserve"> PAGEREF ch-152 \h </w:instrText>
        </w:r>
        <w:r>
          <w:fldChar w:fldCharType="separate"/>
        </w:r>
        <w:r>
          <w:t>873</w:t>
        </w:r>
        <w:r>
          <w:fldChar w:fldCharType="end"/>
        </w:r>
      </w:hyperlink>
    </w:p>
    <w:p>
      <w:pPr>
        <w:pStyle w:val="TOC2"/>
      </w:pPr>
      <w:hyperlink w:anchor="ch-153" w:history="1">
        <w:r>
          <w:t xml:space="preserve">第153章　人源干细胞、脑类器官与神经组装体</w:t>
        </w:r>
        <w:r>
          <w:tab/>
        </w:r>
        <w:r>
          <w:fldChar w:fldCharType="begin"/>
        </w:r>
        <w:r>
          <w:instrText xml:space="preserve"> PAGEREF ch-153 \h </w:instrText>
        </w:r>
        <w:r>
          <w:fldChar w:fldCharType="separate"/>
        </w:r>
        <w:r>
          <w:t>879</w:t>
        </w:r>
        <w:r>
          <w:fldChar w:fldCharType="end"/>
        </w:r>
      </w:hyperlink>
    </w:p>
    <w:p>
      <w:pPr>
        <w:pStyle w:val="TOC2"/>
      </w:pPr>
      <w:hyperlink w:anchor="ch-154" w:history="1">
        <w:r>
          <w:t xml:space="preserve">第154章　遗传性神经退行性疾病与分子治疗</w:t>
        </w:r>
        <w:r>
          <w:tab/>
        </w:r>
        <w:r>
          <w:fldChar w:fldCharType="begin"/>
        </w:r>
        <w:r>
          <w:instrText xml:space="preserve"> PAGEREF ch-154 \h </w:instrText>
        </w:r>
        <w:r>
          <w:fldChar w:fldCharType="separate"/>
        </w:r>
        <w:r>
          <w:t>887</w:t>
        </w:r>
        <w:r>
          <w:fldChar w:fldCharType="end"/>
        </w:r>
      </w:hyperlink>
    </w:p>
    <w:p>
      <w:pPr>
        <w:pStyle w:val="TOC1"/>
      </w:pPr>
      <w:hyperlink w:anchor="front-4" w:history="1">
        <w:r>
          <w:t xml:space="preserve">术语表</w:t>
        </w:r>
        <w:r>
          <w:tab/>
        </w:r>
        <w:r>
          <w:fldChar w:fldCharType="begin"/>
        </w:r>
        <w:r>
          <w:instrText xml:space="preserve"> PAGEREF front-4 \h </w:instrText>
        </w:r>
        <w:r>
          <w:fldChar w:fldCharType="separate"/>
        </w:r>
        <w:r>
          <w:t>894</w:t>
        </w:r>
        <w:r>
          <w:fldChar w:fldCharType="end"/>
        </w:r>
      </w:hyperlink>
    </w:p>
    <w:p>
      <w:pPr>
        <w:pStyle w:val="TOC1"/>
      </w:pPr>
      <w:hyperlink w:anchor="references" w:history="1">
        <w:r>
          <w:t xml:space="preserve">参考文献</w:t>
        </w:r>
        <w:r>
          <w:tab/>
        </w:r>
        <w:r>
          <w:fldChar w:fldCharType="begin"/>
        </w:r>
        <w:r>
          <w:instrText xml:space="preserve"> PAGEREF references \h </w:instrText>
        </w:r>
        <w:r>
          <w:fldChar w:fldCharType="separate"/>
        </w:r>
        <w:r>
          <w:t>903</w:t>
        </w:r>
        <w:r>
          <w:fldChar w:fldCharType="end"/>
        </w:r>
      </w:hyperlink>
    </w:p>
    <w:p>
      <w:r>
        <w:fldChar w:fldCharType="end"/>
      </w:r>
    </w:p>
    <w:p>
      <w:pPr>
        <w:pStyle w:val="FrontHeading"/>
      </w:pPr>
      <w:bookmarkStart w:id="21" w:name="front-2"/>
      <w:bookmarkEnd w:id="21"/>
      <w:r>
        <w:t xml:space="preserve">全书要点</w:t>
      </w:r>
    </w:p>
    <w:p>
      <w:pPr>
        <w:pStyle w:val="BodyText"/>
      </w:pPr>
      <w:r>
        <w:t xml:space="preserve">下面九条是全书最重要的判断。判断标签与置信度的含义见</w:t>
      </w:r>
      <w:hyperlink w:anchor="tab-labels">
        <w:r>
          <w:rPr>
            <w:rStyle w:val="Hyperlink"/>
          </w:rPr>
          <w:t xml:space="preserve">表 1</w:t>
        </w:r>
      </w:hyperlink>
      <w:r>
        <w:t xml:space="preserve">，每一条的依据都在括注的章节中展开。</w:t>
      </w:r>
    </w:p>
    <w:p>
      <w:pPr>
        <w:pStyle w:val="BodyText"/>
      </w:pPr>
      <w:r>
        <w:rPr>
          <w:bCs/>
          <w:b/>
        </w:rPr>
        <w:t xml:space="preserve">第一，大脑里没有“理性区”“情绪区”“恐惧中枢”这种与日常心理词一一对应的分工。</w:t>
      </w:r>
      <w:r>
        <w:t xml:space="preserve">三重脑（爬行脑—情绪脑—理性脑）、“左脑人和右脑人”、“人只用了 10% 的大脑”这几种说法</w:t>
      </w:r>
      <w:r>
        <w:rPr>
          <w:bCs/>
          <w:b/>
        </w:rPr>
        <w:t xml:space="preserve">错误·高</w:t>
      </w:r>
      <w:r>
        <w:t xml:space="preserve">；杏仁核、前额叶、岛叶各自参与许多功能，一种心理活动也总是动用许多脑区。局部的功能偏好、组织梯度和必要性仍然存在，各部位不能互换：杏仁核对条件化的恐惧学习很关键，双侧杏仁核损毁的人吸入二氧化碳后仍会惊恐发作，主观的恐惧体验也不由它单独产生（</w:t>
      </w:r>
      <w:hyperlink w:anchor="part-8">
        <w:r>
          <w:rPr>
            <w:rStyle w:val="Hyperlink"/>
          </w:rPr>
          <w:t xml:space="preserve">第八编</w:t>
        </w:r>
      </w:hyperlink>
      <w:r>
        <w:t xml:space="preserve">、</w:t>
      </w:r>
      <w:hyperlink w:anchor="part-7">
        <w:r>
          <w:rPr>
            <w:rStyle w:val="Hyperlink"/>
          </w:rPr>
          <w:t xml:space="preserve">第七编</w:t>
        </w:r>
      </w:hyperlink>
      <w:r>
        <w:t xml:space="preserve">）。</w:t>
      </w:r>
    </w:p>
    <w:p>
      <w:pPr>
        <w:pStyle w:val="BodyText"/>
      </w:pPr>
      <w:r>
        <w:rPr>
          <w:bCs/>
          <w:b/>
        </w:rPr>
        <w:t xml:space="preserve">第二，流行的“脑科学数字”大多查无实据。</w:t>
      </w:r>
      <w:r>
        <w:t xml:space="preserve">“21 天养成习惯”“情绪只持续 90 秒”“等 6 秒就能冷静”“幸福的 40% 由自己掌控”“前额叶 25 岁成熟”作为普遍常数</w:t>
      </w:r>
      <w:r>
        <w:rPr>
          <w:bCs/>
          <w:b/>
        </w:rPr>
        <w:t xml:space="preserve">错误·高</w:t>
      </w:r>
      <w:r>
        <w:t xml:space="preserve">，错误的来源各不相同：有的没有对应的测量，只有轶事和私人通信；有的用错了统计口径；有的把连续的发育过程压成了一个整数。多迷走神经理论需要逐条评价：“有髓鞘的心脏迷走调节为哺乳动物所特有”</w:t>
      </w:r>
      <w:r>
        <w:rPr>
          <w:bCs/>
          <w:b/>
        </w:rPr>
        <w:t xml:space="preserve">错误·中</w:t>
      </w:r>
      <w:r>
        <w:t xml:space="preserve">，与比较生理的证据不符；“人在创伤后的冻结或解离由背侧迷走复合体接管”</w:t>
      </w:r>
      <w:r>
        <w:rPr>
          <w:bCs/>
          <w:b/>
        </w:rPr>
        <w:t xml:space="preserve">证据不足·中</w:t>
      </w:r>
      <w:r>
        <w:t xml:space="preserve">，缺少能完成这一映射的直接证据；“单凭呼吸性窦性心律不齐就能读出迷走张力或安全感”</w:t>
      </w:r>
      <w:r>
        <w:rPr>
          <w:bCs/>
          <w:b/>
        </w:rPr>
        <w:t xml:space="preserve">错误·中</w:t>
      </w:r>
      <w:r>
        <w:t xml:space="preserve">。2026 年 39 位相关领域专家的联合评估系统整理了这些证据，理论提出者有回应；判断依据其中的比较解剖、神经记录和实验操作。署名人数本身不构成证据（</w:t>
      </w:r>
      <w:hyperlink w:anchor="part-7">
        <w:r>
          <w:rPr>
            <w:rStyle w:val="Hyperlink"/>
          </w:rPr>
          <w:t xml:space="preserve">第七编</w:t>
        </w:r>
      </w:hyperlink>
      <w:r>
        <w:t xml:space="preserve">、</w:t>
      </w:r>
      <w:hyperlink w:anchor="ch-103">
        <w:r>
          <w:rPr>
            <w:rStyle w:val="Hyperlink"/>
          </w:rPr>
          <w:t xml:space="preserve">第103章</w:t>
        </w:r>
      </w:hyperlink>
      <w:r>
        <w:t xml:space="preserve">、</w:t>
      </w:r>
      <w:hyperlink w:anchor="sec-122-1">
        <w:r>
          <w:rPr>
            <w:rStyle w:val="Hyperlink"/>
          </w:rPr>
          <w:t xml:space="preserve">122.1</w:t>
        </w:r>
      </w:hyperlink>
      <w:r>
        <w:t xml:space="preserve">）。</w:t>
      </w:r>
    </w:p>
    <w:p>
      <w:pPr>
        <w:pStyle w:val="BodyText"/>
      </w:pPr>
      <w:r>
        <w:rPr>
          <w:bCs/>
          <w:b/>
        </w:rPr>
        <w:t xml:space="preserve">第三，一种分子对应一种情绪的说法，几乎都过度简化。</w:t>
      </w:r>
      <w:r>
        <w:t xml:space="preserve">“多巴胺是快乐分子”</w:t>
      </w:r>
      <w:r>
        <w:rPr>
          <w:bCs/>
          <w:b/>
        </w:rPr>
        <w:t xml:space="preserve">过度简化·高</w:t>
      </w:r>
      <w:r>
        <w:t xml:space="preserve">：多巴胺参与运动、学习、动机和部分奖赏过程，它支持的主要是对目标的渴望与追求；“抑郁就是血清素不足”缺少充分支持，部分抗抑郁药另有独立的疗效证据；“催产素是爱的激素”</w:t>
      </w:r>
      <w:r>
        <w:rPr>
          <w:bCs/>
          <w:b/>
        </w:rPr>
        <w:t xml:space="preserve">过度简化·高</w:t>
      </w:r>
      <w:r>
        <w:t xml:space="preserve">；“皮质醇是坏激素”</w:t>
      </w:r>
      <w:r>
        <w:rPr>
          <w:bCs/>
          <w:b/>
        </w:rPr>
        <w:t xml:space="preserve">错误·高</w:t>
      </w:r>
      <w:r>
        <w:t xml:space="preserve">。血液和唾液里测到的浓度代表不了脑内信号，口服同名成分也不一定到达目标部位（</w:t>
      </w:r>
      <w:hyperlink w:anchor="part-9">
        <w:r>
          <w:rPr>
            <w:rStyle w:val="Hyperlink"/>
          </w:rPr>
          <w:t xml:space="preserve">第九编</w:t>
        </w:r>
      </w:hyperlink>
      <w:r>
        <w:t xml:space="preserve">）。</w:t>
      </w:r>
    </w:p>
    <w:p>
      <w:pPr>
        <w:pStyle w:val="BodyText"/>
      </w:pPr>
      <w:r>
        <w:rPr>
          <w:bCs/>
          <w:b/>
        </w:rPr>
        <w:t xml:space="preserve">第四，成年人的大脑仍在随经验改变，改变的速度、范围和持久性受机制、年龄和情境约束。</w:t>
      </w:r>
      <w:r>
        <w:t xml:space="preserve">成年脑保留学习和随经验改变的能力，置信度高；“努力就能无限改造大脑”</w:t>
      </w:r>
      <w:r>
        <w:rPr>
          <w:bCs/>
          <w:b/>
        </w:rPr>
        <w:t xml:space="preserve">夸大·高</w:t>
      </w:r>
      <w:r>
        <w:t xml:space="preserve">，“错过三岁或六岁的关键期就一辈子学不会”</w:t>
      </w:r>
      <w:r>
        <w:rPr>
          <w:bCs/>
          <w:b/>
        </w:rPr>
        <w:t xml:space="preserve">错误·高</w:t>
      </w:r>
      <w:r>
        <w:t xml:space="preserve">；成人海马存在神经发生的证据较多，新生的速率仍有争议。训练效果大多局限于所练的任务，“脑训练游戏提高整体智力”</w:t>
      </w:r>
      <w:r>
        <w:rPr>
          <w:bCs/>
          <w:b/>
        </w:rPr>
        <w:t xml:space="preserve">不成立·高</w:t>
      </w:r>
      <w:r>
        <w:t xml:space="preserve">。学习方法中，适当安排的提取练习和间隔复习有较强的实证支持，按“学习风格”匹配教学</w:t>
      </w:r>
      <w:r>
        <w:rPr>
          <w:bCs/>
          <w:b/>
        </w:rPr>
        <w:t xml:space="preserve">不成立·高</w:t>
      </w:r>
      <w:r>
        <w:t xml:space="preserve">（</w:t>
      </w:r>
      <w:hyperlink w:anchor="part-3">
        <w:r>
          <w:rPr>
            <w:rStyle w:val="Hyperlink"/>
          </w:rPr>
          <w:t xml:space="preserve">第三编</w:t>
        </w:r>
      </w:hyperlink>
      <w:r>
        <w:t xml:space="preserve">、</w:t>
      </w:r>
      <w:hyperlink w:anchor="ch-82">
        <w:r>
          <w:rPr>
            <w:rStyle w:val="Hyperlink"/>
          </w:rPr>
          <w:t xml:space="preserve">第82章</w:t>
        </w:r>
      </w:hyperlink>
      <w:r>
        <w:t xml:space="preserve">、</w:t>
      </w:r>
      <w:hyperlink w:anchor="ch-85">
        <w:r>
          <w:rPr>
            <w:rStyle w:val="Hyperlink"/>
          </w:rPr>
          <w:t xml:space="preserve">第85章</w:t>
        </w:r>
      </w:hyperlink>
      <w:r>
        <w:t xml:space="preserve">）。</w:t>
      </w:r>
    </w:p>
    <w:p>
      <w:pPr>
        <w:pStyle w:val="BodyText"/>
      </w:pPr>
      <w:r>
        <w:rPr>
          <w:bCs/>
          <w:b/>
        </w:rPr>
        <w:t xml:space="preserve">第五，记忆是重建的。</w:t>
      </w:r>
      <w:r>
        <w:t xml:space="preserve">回忆受编码、后续经历、提取线索和来源判断的共同影响，“记忆像录像”</w:t>
      </w:r>
      <w:r>
        <w:rPr>
          <w:bCs/>
          <w:b/>
        </w:rPr>
        <w:t xml:space="preserve">错误·高</w:t>
      </w:r>
      <w:r>
        <w:t xml:space="preserve">；鲜明和自信保证不了准确，在首次、程序合适的辨认中，自信才有较好的预测价值；催眠挖不出“完整封存”的创伤记忆。记忆具有重建性，也不意味着每段回忆都不可靠（</w:t>
      </w:r>
      <w:hyperlink w:anchor="ch-26">
        <w:r>
          <w:rPr>
            <w:rStyle w:val="Hyperlink"/>
          </w:rPr>
          <w:t xml:space="preserve">第26章</w:t>
        </w:r>
      </w:hyperlink>
      <w:r>
        <w:t xml:space="preserve">至</w:t>
      </w:r>
      <w:hyperlink w:anchor="ch-29">
        <w:r>
          <w:rPr>
            <w:rStyle w:val="Hyperlink"/>
          </w:rPr>
          <w:t xml:space="preserve">第29章</w:t>
        </w:r>
      </w:hyperlink>
      <w:r>
        <w:t xml:space="preserve">）。</w:t>
      </w:r>
    </w:p>
    <w:p>
      <w:pPr>
        <w:pStyle w:val="BodyText"/>
      </w:pPr>
      <w:r>
        <w:rPr>
          <w:bCs/>
          <w:b/>
        </w:rPr>
        <w:t xml:space="preserve">第六，睡眠是主动调节的状态，意识与自由意志实验的含义常被夸大。</w:t>
      </w:r>
      <w:r>
        <w:t xml:space="preserve">长期压缩睡眠通常损害表现，主观上的适应保证不了功能已经恢复；睡眠参与巩固清醒时学过的内容，睡着时播放外语替代不了清醒学习。行动之前出现神经信号，是关于行动怎样形成的发现，由此推不出“自由意志不存在”（</w:t>
      </w:r>
      <w:hyperlink w:anchor="part-5">
        <w:r>
          <w:rPr>
            <w:rStyle w:val="Hyperlink"/>
          </w:rPr>
          <w:t xml:space="preserve">第五编</w:t>
        </w:r>
      </w:hyperlink>
      <w:r>
        <w:t xml:space="preserve">）。</w:t>
      </w:r>
    </w:p>
    <w:p>
      <w:pPr>
        <w:pStyle w:val="BodyText"/>
      </w:pPr>
      <w:r>
        <w:rPr>
          <w:bCs/>
          <w:b/>
        </w:rPr>
        <w:t xml:space="preserve">第七，精神障碍、疼痛和神经发育差异需要多层次的解释。</w:t>
      </w:r>
      <w:r>
        <w:t xml:space="preserve">神经机制与社会环境可以同时具有因果作用；疼痛是真实的体验，查不出组织损伤推不出疼痛是想象出来的；注意缺陷多动障碍是有研究基础的临床概念，“疫苗导致自闭症”被高质量综合证据否定。群体平均的脑差异不能直接用来诊断个人（</w:t>
      </w:r>
      <w:hyperlink w:anchor="part-11">
        <w:r>
          <w:rPr>
            <w:rStyle w:val="Hyperlink"/>
          </w:rPr>
          <w:t xml:space="preserve">第十一编</w:t>
        </w:r>
      </w:hyperlink>
      <w:r>
        <w:t xml:space="preserve">、</w:t>
      </w:r>
      <w:hyperlink w:anchor="part-12">
        <w:r>
          <w:rPr>
            <w:rStyle w:val="Hyperlink"/>
          </w:rPr>
          <w:t xml:space="preserve">第十二编</w:t>
        </w:r>
      </w:hyperlink>
      <w:r>
        <w:t xml:space="preserve">、</w:t>
      </w:r>
      <w:hyperlink w:anchor="ch-135">
        <w:r>
          <w:rPr>
            <w:rStyle w:val="Hyperlink"/>
          </w:rPr>
          <w:t xml:space="preserve">第135章</w:t>
        </w:r>
      </w:hyperlink>
      <w:r>
        <w:t xml:space="preserve">）。</w:t>
      </w:r>
    </w:p>
    <w:p>
      <w:pPr>
        <w:pStyle w:val="BodyText"/>
      </w:pPr>
      <w:r>
        <w:rPr>
          <w:bCs/>
          <w:b/>
        </w:rPr>
        <w:t xml:space="preserve">第八，判断一条脑科学说法，先确认行为或体验层面的效应是否存在，再检查脑测量是否增加了可检验、可重复的新信息。</w:t>
      </w:r>
      <w:r>
        <w:t xml:space="preserve">与论证无关的脑图和术语不增加可信度；设计良好、经过外部验证的影像证据可以区分候选机制，也能改变对行为解释的把握。决定可信度的是设计、样本、对照与重复（</w:t>
      </w:r>
      <w:hyperlink w:anchor="part-6">
        <w:r>
          <w:rPr>
            <w:rStyle w:val="Hyperlink"/>
          </w:rPr>
          <w:t xml:space="preserve">第六编</w:t>
        </w:r>
      </w:hyperlink>
      <w:r>
        <w:t xml:space="preserve">）。</w:t>
      </w:r>
    </w:p>
    <w:p>
      <w:pPr>
        <w:pStyle w:val="BodyText"/>
      </w:pPr>
      <w:r>
        <w:rPr>
          <w:bCs/>
          <w:b/>
        </w:rPr>
        <w:t xml:space="preserve">第九，正念冥想有真实而有限的效果，“八周冥想重塑大脑”没有通过严格检验。</w:t>
      </w:r>
      <w:r>
        <w:t xml:space="preserve">标准化正念课程与候补或常规照护相比，能减轻部分成人的焦虑和抑郁症状，效应小到中等，对照越接近真正的治疗，优势越小；正念认知疗法能降低缓解期患者的抑郁复发风险。早期报告的灰质增加和与压力下降相关的杏仁核灰质密度降低，在大样本随机对照中没有出现。冥想也有风险，不良事件的报告比例约 8%，随问法和定义变化很大。冥想研究的要点见</w:t>
      </w:r>
      <w:hyperlink w:anchor="ch-107">
        <w:r>
          <w:rPr>
            <w:rStyle w:val="Hyperlink"/>
          </w:rPr>
          <w:t xml:space="preserve">第107章</w:t>
        </w:r>
      </w:hyperlink>
      <w:r>
        <w:t xml:space="preserve">。</w:t>
      </w:r>
    </w:p>
    <w:p>
      <w:pPr>
        <w:pStyle w:val="FrontHeading"/>
      </w:pPr>
      <w:bookmarkStart w:id="22" w:name="front-3"/>
      <w:bookmarkEnd w:id="22"/>
      <w:r>
        <w:t xml:space="preserve">怎样读这本书</w:t>
      </w:r>
    </w:p>
    <w:p>
      <w:pPr>
        <w:pStyle w:val="BodyText"/>
      </w:pPr>
      <w:r>
        <w:t xml:space="preserve">全书分为十四编。第一编是导论，交代大脑由什么构成、各部分怎样排布、在演化中从何而来；第二至第五编讲工作原理，依次是细胞、信号与系统，可塑性、学习与记忆，注意、语言、思维与决策，睡眠、脑节律与意识；第六编讲怎样检验一条脑科学说法；第七编集中辨析流传最广的误解，其中第一章的速查总表收录全书辨析过的常见说法；第八编逐一讲常被提及的脑区和大尺度网络；第九编讲递质、激素与身体信号；第十编专讲正念冥想与大脑；第十一至第十三编讲发育与个体差异、心理健康与精神障碍、神经系统疾病与康复；第十四编讨论前沿问题。书末附术语表和参考文献。</w:t>
      </w:r>
    </w:p>
    <w:p>
      <w:pPr>
        <w:pStyle w:val="BodyText"/>
      </w:pPr>
      <w:r>
        <w:t xml:space="preserve">可以顺序阅读，也可以按目录或 Word 的导航窗格直接进入某一章。初次系统学习时，可以先读第二编的细胞、电信号与突触基础，再进入后面的机制与主张；阅读具体研究时，可以随时回到第六编；想快速核对某个流行说法，可以从</w:t>
      </w:r>
      <w:hyperlink w:anchor="ch-70">
        <w:r>
          <w:rPr>
            <w:rStyle w:val="Hyperlink"/>
          </w:rPr>
          <w:t xml:space="preserve">第70章</w:t>
        </w:r>
      </w:hyperlink>
      <w:r>
        <w:t xml:space="preserve">的速查总表开始，按表中的章节号找到展开的论证。速查表和各章列出的流行说法是需要检验的对象，列出不代表本书认可。</w:t>
      </w:r>
    </w:p>
    <w:p>
      <w:pPr>
        <w:pStyle w:val="BodyText"/>
      </w:pPr>
      <w:r>
        <w:t xml:space="preserve">书中对具体说法的判断有两种写法。一种是判断标签加置信度，例如“错误·高”“部分成立·中”：判断标签回答“这句话对不对”，置信度回答“这个判断有多牢靠”。两者分开标注，是因为一句话可以被高置信地判为部分成立，也可以被低置信地判为成立。标签绑定的是正文里写明的那个具体命题，包括它的人群、方案、对照、结局和时间范围；同一个话题下的不同命题，会分开标注。另一种是在章首的“核心判断”或正文中写明对某个命题的置信度高、中或低，含义与</w:t>
      </w:r>
      <w:hyperlink w:anchor="tab-labels">
        <w:r>
          <w:rPr>
            <w:rStyle w:val="Hyperlink"/>
          </w:rPr>
          <w:t xml:space="preserve">表 1</w:t>
        </w:r>
      </w:hyperlink>
      <w:r>
        <w:t xml:space="preserve">中的置信度相同。</w:t>
      </w:r>
    </w:p>
    <w:p>
      <w:pPr>
        <w:pStyle w:val="TableCaption"/>
      </w:pPr>
      <w:bookmarkStart w:id="23" w:name="tab-labels"/>
      <w:bookmarkEnd w:id="23"/>
      <w:r>
        <w:rPr>
          <w:bCs/>
          <w:b/>
        </w:rPr>
        <w:t xml:space="preserve">表 1　判断标签与置信度的含义</w:t>
      </w:r>
    </w:p>
    <w:tbl>
      <w:tblPr>
        <w:tblStyle w:val="Table"/>
        <w:tblW w:type="pct" w:w="5000"/>
        <w:jc w:val="start"/>
        <w:tblLook w:firstRow="1" w:lastRow="0" w:firstColumn="0" w:lastColumn="0" w:noHBand="0" w:noVBand="0" w:val="0020"/>
      </w:tblPr>
      <w:tblGrid>
        <w:gridCol w:w="1425"/>
        <w:gridCol w:w="6494"/>
      </w:tblGrid>
      <w:tr>
        <w:trPr>
          <w:tblHeader w:val="true"/>
        </w:trPr>
        <w:tc>
          <w:tcPr>
            <w:shd w:val="clear" w:color="auto" w:fill="1F3A5F"/>
          </w:tcPr>
          <w:p>
            <w:pPr>
              <w:jc w:val="left"/>
            </w:pPr>
            <w:r>
              <w:rPr>
                <w:bCs/>
                <w:b/>
                <w:color w:val="FFFFFF"/>
              </w:rPr>
              <w:t xml:space="preserve">标注</w:t>
            </w:r>
          </w:p>
        </w:tc>
        <w:tc>
          <w:tcPr>
            <w:shd w:val="clear" w:color="auto" w:fill="1F3A5F"/>
          </w:tcPr>
          <w:p>
            <w:pPr>
              <w:jc w:val="left"/>
            </w:pPr>
            <w:r>
              <w:rPr>
                <w:bCs/>
                <w:b/>
                <w:color w:val="FFFFFF"/>
              </w:rPr>
              <w:t xml:space="preserve">含义</w:t>
            </w:r>
          </w:p>
        </w:tc>
      </w:tr>
      <w:tr>
        <w:tc>
          <w:tcPr/>
          <w:p>
            <w:pPr>
              <w:jc w:val="left"/>
            </w:pPr>
            <w:r>
              <w:rPr>
                <w:bCs/>
                <w:b/>
              </w:rPr>
              <w:t xml:space="preserve">成立</w:t>
            </w:r>
          </w:p>
        </w:tc>
        <w:tc>
          <w:tcPr/>
          <w:p>
            <w:pPr>
              <w:jc w:val="left"/>
            </w:pPr>
            <w:r>
              <w:t xml:space="preserve">在说明的人群、方案、对照、结局和时间范围内，与当前最好的证据相符，表述范围也合适。准确转述了一项研究，与这项研究的结论能够推广，是两层判断。</w:t>
            </w:r>
          </w:p>
        </w:tc>
      </w:tr>
      <w:tr>
        <w:tc>
          <w:tcPr/>
          <w:p>
            <w:pPr>
              <w:jc w:val="left"/>
            </w:pPr>
            <w:r>
              <w:rPr>
                <w:bCs/>
                <w:b/>
              </w:rPr>
              <w:t xml:space="preserve">部分成立</w:t>
            </w:r>
          </w:p>
        </w:tc>
        <w:tc>
          <w:tcPr/>
          <w:p>
            <w:pPr>
              <w:jc w:val="left"/>
            </w:pPr>
            <w:r>
              <w:t xml:space="preserve">核心内容有证据，但说法扩大了适用范围、省略了关键条件，或者一个复合说法中只有明确的一部分有证据支持。正文会写明哪一部分有证据、哪一部分缺证据。</w:t>
            </w:r>
          </w:p>
        </w:tc>
      </w:tr>
      <w:tr>
        <w:tc>
          <w:tcPr/>
          <w:p>
            <w:pPr>
              <w:jc w:val="left"/>
            </w:pPr>
            <w:r>
              <w:rPr>
                <w:bCs/>
                <w:b/>
              </w:rPr>
              <w:t xml:space="preserve">过度简化</w:t>
            </w:r>
          </w:p>
        </w:tc>
        <w:tc>
          <w:tcPr/>
          <w:p>
            <w:pPr>
              <w:jc w:val="left"/>
            </w:pPr>
            <w:r>
              <w:t xml:space="preserve">把多因素、多区域、多步骤的过程说成单一原因、单一区域或单一物质。被简化的说法常保留一部分事实，例如某个区域确实偏重某类功能，正文会写明保留的部分。</w:t>
            </w:r>
          </w:p>
        </w:tc>
      </w:tr>
      <w:tr>
        <w:tc>
          <w:tcPr/>
          <w:p>
            <w:pPr>
              <w:jc w:val="left"/>
            </w:pPr>
            <w:r>
              <w:rPr>
                <w:bCs/>
                <w:b/>
              </w:rPr>
              <w:t xml:space="preserve">夸大</w:t>
            </w:r>
          </w:p>
        </w:tc>
        <w:tc>
          <w:tcPr/>
          <w:p>
            <w:pPr>
              <w:jc w:val="left"/>
            </w:pPr>
            <w:r>
              <w:t xml:space="preserve">存在真实但有限的效应，说法把它的幅度、持久性或适用范围放大了。</w:t>
            </w:r>
          </w:p>
        </w:tc>
      </w:tr>
      <w:tr>
        <w:tc>
          <w:tcPr/>
          <w:p>
            <w:pPr>
              <w:jc w:val="left"/>
            </w:pPr>
            <w:r>
              <w:rPr>
                <w:bCs/>
                <w:b/>
              </w:rPr>
              <w:t xml:space="preserve">错误</w:t>
            </w:r>
          </w:p>
        </w:tc>
        <w:tc>
          <w:tcPr/>
          <w:p>
            <w:pPr>
              <w:jc w:val="left"/>
            </w:pPr>
            <w:r>
              <w:t xml:space="preserve">与现有证据相抵触，可以明确指出事实或推理上的错误，或者其前提已被否定。只是检索不到支持它的研究时，不用这个标签。</w:t>
            </w:r>
          </w:p>
        </w:tc>
      </w:tr>
      <w:tr>
        <w:tc>
          <w:tcPr/>
          <w:p>
            <w:pPr>
              <w:jc w:val="left"/>
            </w:pPr>
            <w:r>
              <w:rPr>
                <w:bCs/>
                <w:b/>
              </w:rPr>
              <w:t xml:space="preserve">已被推翻</w:t>
            </w:r>
          </w:p>
        </w:tc>
        <w:tc>
          <w:tcPr/>
          <w:p>
            <w:pPr>
              <w:jc w:val="left"/>
            </w:pPr>
            <w:r>
              <w:t xml:space="preserve">一个定义清楚、可以检验的说法，曾有支持证据，后来受到足够强的反证：更大样本、预注册或更严格的研究给出的估计，精度足以排除最初报告的那种幅度，或者出现了与它关键预测相反的结果。仅仅没有复现出显著性，不用这个标签。这一判断只涉及这个具体说法；更小的或只在特定条件下出现的效应，需要另行检验。</w:t>
            </w:r>
          </w:p>
        </w:tc>
      </w:tr>
      <w:tr>
        <w:tc>
          <w:tcPr/>
          <w:p>
            <w:pPr>
              <w:jc w:val="left"/>
            </w:pPr>
            <w:r>
              <w:rPr>
                <w:bCs/>
                <w:b/>
              </w:rPr>
              <w:t xml:space="preserve">不成立</w:t>
            </w:r>
          </w:p>
        </w:tc>
        <w:tc>
          <w:tcPr/>
          <w:p>
            <w:pPr>
              <w:jc w:val="left"/>
            </w:pPr>
            <w:r>
              <w:t xml:space="preserve">在设计较好的比较中，没有显示出说法所称的具体效果或优势（例如“优于标准治疗”）。这不等于效果严格为零，正文会尽量给出区间，说明能排除多大的效应；“没有建立非劣效”也不等于已证明更差。早期的阳性结果后来没有得到支持、但反证还不够强时，也用这个标签。</w:t>
            </w:r>
          </w:p>
        </w:tc>
      </w:tr>
      <w:tr>
        <w:tc>
          <w:tcPr/>
          <w:p>
            <w:pPr>
              <w:jc w:val="left"/>
            </w:pPr>
            <w:r>
              <w:rPr>
                <w:bCs/>
                <w:b/>
              </w:rPr>
              <w:t xml:space="preserve">证据不足</w:t>
            </w:r>
          </w:p>
        </w:tc>
        <w:tc>
          <w:tcPr/>
          <w:p>
            <w:pPr>
              <w:jc w:val="left"/>
            </w:pPr>
            <w:r>
              <w:t xml:space="preserve">尚未得到可靠检验，暂时既不能肯定也不能否定。不足可能来自研究缺失、偏倚、间接性、不精确或结果冲突，正文会写明是哪一种。“证据不足·高”表示可以高度确信目前缺少可靠的直接证据，例如活人身上还无法测量的过程；它衡量的是对“缺少证据”这一判断的把握。证据本身的质量另行说明。</w:t>
            </w:r>
          </w:p>
        </w:tc>
      </w:tr>
      <w:tr>
        <w:tc>
          <w:tcPr/>
          <w:p>
            <w:pPr>
              <w:jc w:val="left"/>
            </w:pPr>
            <w:r>
              <w:rPr>
                <w:bCs/>
                <w:b/>
              </w:rPr>
              <w:t xml:space="preserve">置信度·高</w:t>
            </w:r>
          </w:p>
        </w:tc>
        <w:tc>
          <w:tcPr/>
          <w:p>
            <w:pPr>
              <w:jc w:val="left"/>
            </w:pPr>
            <w:r>
              <w:t xml:space="preserve">多项独立、设计较好的证据方向一致，或者经过充分检索确认缺少直接证据，短期内需要改变的可能性小。</w:t>
            </w:r>
          </w:p>
        </w:tc>
      </w:tr>
      <w:tr>
        <w:tc>
          <w:tcPr/>
          <w:p>
            <w:pPr>
              <w:jc w:val="left"/>
            </w:pPr>
            <w:r>
              <w:rPr>
                <w:bCs/>
                <w:b/>
              </w:rPr>
              <w:t xml:space="preserve">置信度·中</w:t>
            </w:r>
          </w:p>
        </w:tc>
        <w:tc>
          <w:tcPr/>
          <w:p>
            <w:pPr>
              <w:jc w:val="left"/>
            </w:pPr>
            <w:r>
              <w:t xml:space="preserve">证据方向大体一致，但样本偏小、设计有限、证据间接、存在偏倚风险，或领域内仍有实质争议；正文会写明导致降级的主要限制。</w:t>
            </w:r>
          </w:p>
        </w:tc>
      </w:tr>
      <w:tr>
        <w:tc>
          <w:tcPr/>
          <w:p>
            <w:pPr>
              <w:jc w:val="left"/>
            </w:pPr>
            <w:r>
              <w:rPr>
                <w:bCs/>
                <w:b/>
              </w:rPr>
              <w:t xml:space="preserve">置信度·低</w:t>
            </w:r>
          </w:p>
        </w:tc>
        <w:tc>
          <w:tcPr/>
          <w:p>
            <w:pPr>
              <w:jc w:val="left"/>
            </w:pPr>
            <w:r>
              <w:t xml:space="preserve">主要依据小样本、个案、动物实验或理论推演，新证据很可能改变结论。低把握针对推广出去的说法。研究本身测到的事实，仍可能是准确的。</w:t>
            </w:r>
          </w:p>
        </w:tc>
      </w:tr>
    </w:tbl>
    <w:p>
      <w:pPr>
        <w:pStyle w:val="BodyText"/>
      </w:pPr>
      <w:r>
        <w:t xml:space="preserve">两种标注要分开读：准确转述了一项小样本研究，并不意味着它的结论已经适用于一般人群。复合的说法会尽量拆开，分别标注。置信度是本书对这个判断的把握程度，它参考原研究的证据等级，也考虑各项证据是否一致、检索是否充分。临床研究中用 GRADE 等方法评定的是“证据确定性”，临床部分引用后者时会写明。一项或几项严谨的大样本阴性试验，可以让人较有把握地排除中等以上的效应，同时对很小的效应仍不确定；没有显著差异的结果，正文会尽量给出它允许的范围，区间宽时写“未能确认”，只有在等效检验或明确的贝叶斯比较支持接近零时，才说排除了多大的效应。</w:t>
      </w:r>
    </w:p>
    <w:p>
      <w:pPr>
        <w:pStyle w:val="BodyText"/>
      </w:pPr>
      <w:r>
        <w:t xml:space="preserve">章内区分观察事实、机制解释与尚待验证的推广。置信度的评定未使用统一的概率模型。标为假设的数值和案例用于解释逻辑，不能作为真实研究结果引用。</w:t>
      </w:r>
    </w:p>
    <w:p>
      <w:pPr>
        <w:pStyle w:val="BodyText"/>
      </w:pPr>
      <w:r>
        <w:t xml:space="preserve">文中提到的研究，会尽量交代它属于哪一类设计，因为设计决定了它能回答什么问题。随机对照试验能估计“被分到整套干预”带来的平均变化；干预里的各个成分（例如正念课程中的静坐、身体扫描、教师和团体支持）各起多大作用，需要拆解研究才能分开。纵向但未随机的研究，如果没有处理混杂因素，只能说明“参与者前后有变化”；横断面比较只能说明“某一群人与别人不同”；个案研究提供的是可能性；动物实验和机制推演提供的是候选解释。元分析把同类研究汇总起来，它的可靠程度取决于被汇总的研究本身。</w:t>
      </w:r>
    </w:p>
    <w:p>
      <w:pPr>
        <w:pStyle w:val="BodyText"/>
      </w:pPr>
      <w:r>
        <w:t xml:space="preserve">上标数字对应书末参考文献，按正文中首次引用的先后编号，点击编号可以跳到对应条目。期刊论文附 DOI 或 PubMed 链接，网页与古籍附网址，书籍注明出版者与年份，方便自行核对；在线发表年与正式卷期年可能不同，核对时以 DOI 为准。资料检索至 2026 年 10 月，以 PubMed 为主，辅以 Europe PMC、Crossref、预印本服务器、指南发布机构的网站和相关综述的引文；文中“唯一一项”“尚无研究”“没有找到独立重复”一类说法，指的都是这一检索范围内、按正文写明的研究类型识别到的情况，范围之外可能还有。神经科学进展很快，标为“证据不足”或置信度为“低”的条目最可能因新研究而改变。</w:t>
      </w:r>
    </w:p>
    <w:p>
      <w:pPr>
        <w:pStyle w:val="CalloutPractice"/>
      </w:pPr>
      <w:r>
        <w:rPr>
          <w:bCs/>
          <w:b/>
        </w:rPr>
        <w:t xml:space="preserve">提示　</w:t>
      </w:r>
      <w:r>
        <w:t xml:space="preserve">本书讨论科学证据，书中内容不构成医疗建议。诊断和治疗需要结合具体病史、检查、风险及临床评估；研究机制、平均疗效和个人治疗选择是需要分别完成的判断。有精神病性障碍、双相障碍、严重创伤经历或正在接受精神科治疗的读者，开始密集冥想练习或参加长期静修之前，先读</w:t>
      </w:r>
      <w:r>
        <w:t xml:space="preserve"> </w:t>
      </w:r>
      <w:hyperlink w:anchor="sec-118-2">
        <w:r>
          <w:rPr>
            <w:rStyle w:val="Hyperlink"/>
          </w:rPr>
          <w:t xml:space="preserve">118.2</w:t>
        </w:r>
      </w:hyperlink>
      <w:r>
        <w:t xml:space="preserve">“不良反应与谁要小心”，并与医生或有经验的老师沟通。</w:t>
      </w:r>
    </w:p>
    <w:bookmarkStart w:id="96" w:name="part-1"/>
    <w:p>
      <w:pPr>
        <w:pStyle w:val="Heading1"/>
      </w:pPr>
      <w:r>
        <w:t xml:space="preserve">第一编　脑科学导论</w:t>
      </w:r>
    </w:p>
    <w:p>
      <w:pPr>
        <w:pStyle w:val="PartIntro"/>
      </w:pPr>
      <w:r>
        <w:t xml:space="preserve">这一编交代大脑由什么构成、各部分怎样排布、在演化中从何而来，以及怎样比较不同动物的认知。它们是后面各编的共同背景：讲到某个脑区、某种递质或某种能力时，都要回到“由什么细胞、经过什么连接、在什么演化与发育约束下实现”这几个问题。</w:t>
      </w:r>
    </w:p>
    <w:bookmarkStart w:id="41" w:name="ch-1"/>
    <w:p>
      <w:pPr>
        <w:pStyle w:val="Heading2"/>
      </w:pPr>
      <w:r>
        <w:t xml:space="preserve">第1章　大脑由什么构成：神经元、突触与连接数量</w:t>
      </w:r>
    </w:p>
    <w:bookmarkStart w:id="24" w:name="sec-1-1"/>
    <w:p>
      <w:pPr>
        <w:pStyle w:val="Heading3"/>
      </w:pPr>
      <w:r>
        <w:t xml:space="preserve">1.1　核心判断</w:t>
      </w:r>
    </w:p>
    <w:p>
      <w:pPr>
        <w:pStyle w:val="FirstParagraph"/>
      </w:pPr>
      <w:r>
        <w:t xml:space="preserve">细胞和连接数量可以影响特定回路，但数量本身无法充分决定认知表现。把更多神经元、更多突触、更厚皮层或更高连接强度统一解释成更聪明，混合了不同测量和功能。对拒绝这种通用单调规律的判断，置信度高。</w:t>
      </w:r>
    </w:p>
    <w:p>
      <w:pPr>
        <w:pStyle w:val="BodyText"/>
      </w:pPr>
      <w:r>
        <w:t xml:space="preserve">首先应区分总量、密度和结构比例。神经元总数、单位体积密度、突触总数、每个神经元的突触数和树突棘密度，是不同指标。一个区域体积扩大，密度可以下降而总数不变；某一树突段棘密度提高，整个细胞的树突长度却可能变化；细胞总数不变，树突或血管成分也可以改变；连接强度增加，连接数量未必增加。没有说明分母，数量比较就容易产生错误解释。日常语言中的更多，需要被拆成具体指标。</w:t>
      </w:r>
    </w:p>
    <w:bookmarkEnd w:id="24"/>
    <w:bookmarkStart w:id="25" w:name="sec-1-2"/>
    <w:p>
      <w:pPr>
        <w:pStyle w:val="Heading3"/>
      </w:pPr>
      <w:r>
        <w:t xml:space="preserve">1.2　数量在什么条件下具有意义</w:t>
      </w:r>
    </w:p>
    <w:p>
      <w:pPr>
        <w:pStyle w:val="FirstParagraph"/>
      </w:pPr>
      <w:r>
        <w:t xml:space="preserve">如果某回路失去大量承担关键功能的细胞，能力可能受损。这个观察支持细胞对该功能重要，却不能推出在所有正常范围内不断增加细胞都会提高能力。疾病缺失与正常差异属于不同推断范围。</w:t>
      </w:r>
    </w:p>
    <w:p>
      <w:pPr>
        <w:pStyle w:val="BodyText"/>
      </w:pPr>
      <w:r>
        <w:t xml:space="preserve">回路效果还取决于连接对象。相同数量的连接，可以集中在少数单元之间，也可以分散连接不同系统；可以加强相关信息，也可以增加无关干扰。因而，数量必须与拓扑、细胞类型、权重和时序结合解释。</w:t>
      </w:r>
    </w:p>
    <w:p>
      <w:pPr>
        <w:pStyle w:val="BodyText"/>
      </w:pPr>
      <w:r>
        <w:t xml:space="preserve">一个假设网络中，新增连接若把不相关刺激混在一起，分类可能变差；若新增连接帮助整合互补信息，表现可能提高。这个逻辑例子说明，增加数量对功能的方向需要结构条件。它没有声称现实大脑具有某个统一最佳连接数。</w:t>
      </w:r>
    </w:p>
    <w:bookmarkEnd w:id="25"/>
    <w:bookmarkStart w:id="26" w:name="sec-1-3"/>
    <w:p>
      <w:pPr>
        <w:pStyle w:val="Heading3"/>
      </w:pPr>
      <w:r>
        <w:t xml:space="preserve">1.3　正常发育中的生成与修剪</w:t>
      </w:r>
    </w:p>
    <w:p>
      <w:pPr>
        <w:pStyle w:val="FirstParagraph"/>
      </w:pPr>
      <w:r>
        <w:t xml:space="preserve">Petanjek等通过人脑组织研究前额叶特定锥体细胞的树突棘，发现发育中密度较高后逐步减少，并且相关变化持续较长时间</w:t>
      </w:r>
      <w:r>
        <w:rPr>
          <w:vertAlign w:val="superscript"/>
        </w:rPr>
        <w:t xml:space="preserve">[</w:t>
      </w:r>
      <w:hyperlink w:anchor="ref-1">
        <w:r>
          <w:rPr>
            <w:rStyle w:val="Hyperlink"/>
            <w:vertAlign w:val="superscript"/>
          </w:rPr>
          <w:t xml:space="preserve">1</w:t>
        </w:r>
      </w:hyperlink>
      <w:r>
        <w:rPr>
          <w:vertAlign w:val="superscript"/>
        </w:rPr>
        <w:t xml:space="preserve">]</w:t>
      </w:r>
      <w:r>
        <w:t xml:space="preserve">。这类观察反对把所有连接减少都直接解释成能力损失。</w:t>
      </w:r>
    </w:p>
    <w:p>
      <w:pPr>
        <w:pStyle w:val="BodyText"/>
      </w:pPr>
      <w:r>
        <w:t xml:space="preserve">该研究也不能证明少连接必然更聪明。它没有为每一位捐献者建立智力与突触数的个体因果关系，测量还限于特定区域和细胞。严谨的结论应保留正常发育包含选择性减少这一点，不向相反的数量口号移动。</w:t>
      </w:r>
    </w:p>
    <w:p>
      <w:pPr>
        <w:pStyle w:val="BodyText"/>
      </w:pPr>
      <w:r>
        <w:t xml:space="preserve">修剪这一术语容易让人误以为系统把所有不常使用的连接都永久删除。实际研究需要说明测量的是哪些突触、什么时期和何种条件。树突棘的出现或消失也不能简单转成某条具体知识被添加或删除。</w:t>
      </w:r>
    </w:p>
    <w:bookmarkEnd w:id="26"/>
    <w:bookmarkStart w:id="27" w:name="sec-1-4"/>
    <w:p>
      <w:pPr>
        <w:pStyle w:val="Heading3"/>
      </w:pPr>
      <w:r>
        <w:t xml:space="preserve">1.4　兴奋、抑制与时序</w:t>
      </w:r>
    </w:p>
    <w:p>
      <w:pPr>
        <w:pStyle w:val="FirstParagraph"/>
      </w:pPr>
      <w:r>
        <w:t xml:space="preserve">功能回路需要区分相关输入与背景活动。兴奋性连接帮助活动传播、增加响应，抑制性连接参与选择、稳定、时间控制和竞争；两者的作用都依赖位置与时序。抑制增加在某些情境下可以减少无关活动，在其他情境下可能限制输出；兴奋增加也可能改善信号或产生过度活动。两者的相互关系比简单数量比更有解释力。将所有连接加在一起，容易忽略符号与动态结构。</w:t>
      </w:r>
    </w:p>
    <w:p>
      <w:pPr>
        <w:pStyle w:val="BodyText"/>
      </w:pPr>
      <w:r>
        <w:t xml:space="preserve">同样，连接到达的时间会影响信息整合。即使连接数和平均强度相同，或兴奋与抑制总量相同，时延变化也可能改变同步、响应和行为。一个回路的稳定性取决于连接强度、反馈延迟、细胞阈值和外部输入，研究因此需要记录动态过程，静态计数无法覆盖全部机制。髓鞘等组织特征可以影响传导条件，但宏观影像指标无法直接给出每条纤维的精确时延。临床或教育产品若声称“增加兴奋就提高学习”，需要说明如何避免失衡以及怎样验证目标结果。</w:t>
      </w:r>
    </w:p>
    <w:p>
      <w:pPr>
        <w:pStyle w:val="BodyText"/>
      </w:pPr>
      <w:r>
        <w:t xml:space="preserve">因此，更强连接也没有自动价值。某些任务要求整合不同信息，另一些要求抑制无关联系。评价网络变化应依据具体计算目标，检查它是否提高区分、保持、灵活更新或稳定控制。教学中，学生需要保留正确规则，也需要在规则不适用时停止套用，这与选择性抑制的计算需求相似；这种类比只帮助理解计算需求，不能把心理抑制与某个细胞类型简单对应。</w:t>
      </w:r>
    </w:p>
    <w:bookmarkEnd w:id="27"/>
    <w:bookmarkStart w:id="28" w:name="sec-1-5"/>
    <w:p>
      <w:pPr>
        <w:pStyle w:val="Heading3"/>
      </w:pPr>
      <w:r>
        <w:t xml:space="preserve">1.5　结构连接与功能连接</w:t>
      </w:r>
    </w:p>
    <w:p>
      <w:pPr>
        <w:pStyle w:val="FirstParagraph"/>
      </w:pPr>
      <w:r>
        <w:t xml:space="preserve">结构连接通常涉及解剖路径，功能连接通常描述信号之间的统计关系。两个区域信号相关，可以受到共同输入、状态变化或测量处理影响。相关增强不能直接解释成新增长了纤维。</w:t>
      </w:r>
    </w:p>
    <w:p>
      <w:pPr>
        <w:pStyle w:val="BodyText"/>
      </w:pPr>
      <w:r>
        <w:t xml:space="preserve">不同的功能连接分析也可能给出不同结果。时间窗、频段、去噪、全局信号处理和运动都会影响估计。若研究者只报告更高连接而没有说明指标，读者难以判断其生物含义。</w:t>
      </w:r>
    </w:p>
    <w:p>
      <w:pPr>
        <w:pStyle w:val="BodyText"/>
      </w:pPr>
      <w:r>
        <w:t xml:space="preserve">连接与表现相关后，还需要区分预测与因果。它可能帮助预测某任务成绩，仍未证明人为增强该指标会提高成绩。干预若同时改变多个过程，单个连接变化也未必是决定因素。</w:t>
      </w:r>
    </w:p>
    <w:bookmarkEnd w:id="28"/>
    <w:bookmarkStart w:id="29" w:name="sec-1-6"/>
    <w:p>
      <w:pPr>
        <w:pStyle w:val="Heading3"/>
      </w:pPr>
      <w:r>
        <w:t xml:space="preserve">1.6　跨物种比较的分母</w:t>
      </w:r>
    </w:p>
    <w:p>
      <w:pPr>
        <w:pStyle w:val="FirstParagraph"/>
      </w:pPr>
      <w:r>
        <w:t xml:space="preserve">比较不同物种时，脑体积受到身体大小、感觉运动需求和进化历史影响。细胞大小、密度和脑区比例也可能不同。不能把一个物种的总神经元数直接放入人类个体智力解释。</w:t>
      </w:r>
    </w:p>
    <w:p>
      <w:pPr>
        <w:pStyle w:val="BodyText"/>
      </w:pPr>
      <w:r>
        <w:t xml:space="preserve">同一物种内部的比较同样需要控制年龄、健康和测量条件。群体中的平均相关只能提供概率信息，不能为单个人作精确能力判断。即使某指标与表现相关，个体分布仍可能大幅重叠。</w:t>
      </w:r>
    </w:p>
    <w:p>
      <w:pPr>
        <w:pStyle w:val="BodyText"/>
      </w:pPr>
      <w:r>
        <w:t xml:space="preserve">还要防止生态推断错误。物种平均层面的关系，不保证在每个物种内部成立；脑区之间的关系，也不保证在同一脑区的个体差异中成立。每次改变分析层级，都需要重新检验。</w:t>
      </w:r>
    </w:p>
    <w:bookmarkEnd w:id="29"/>
    <w:bookmarkStart w:id="30" w:name="sec-1-7"/>
    <w:p>
      <w:pPr>
        <w:pStyle w:val="Heading3"/>
      </w:pPr>
      <w:r>
        <w:t xml:space="preserve">1.7　影像指标的解释边界</w:t>
      </w:r>
    </w:p>
    <w:p>
      <w:pPr>
        <w:pStyle w:val="FirstParagraph"/>
      </w:pPr>
      <w:r>
        <w:t xml:space="preserve">皮层厚度、灰质体积和白质扩散指标各有自己的物理与分析基础。更厚或更大可能与某些功能相关，也可能反映发育阶段、组织成分或病理改变。没有一个简单方向可以覆盖所有脑区和年龄。</w:t>
      </w:r>
    </w:p>
    <w:p>
      <w:pPr>
        <w:pStyle w:val="BodyText"/>
      </w:pPr>
      <w:r>
        <w:t xml:space="preserve">训练后指标改变尤其需要纵向对照。若训练组前后不同，却没有排除扫描漂移、头动和其他经历，原因仍不明确。研究应报告预处理、质量控制和多重比较，并在独立数据中复现。</w:t>
      </w:r>
    </w:p>
    <w:p>
      <w:pPr>
        <w:pStyle w:val="BodyText"/>
      </w:pPr>
      <w:r>
        <w:t xml:space="preserve">分析某脑区域体积与认知测验的相关时，需要检查年龄、总体脑大小、身体因素和扫描质量等变量，考虑多重比较和独立验证，并说明相关效应大小及个体预测准确性。将影像作为个人能力测量工具，还需要校准误差和外部验证。一个在群体中显著的平均差异，可以同时具有很弱的个体预测价值。用于教育分流或职业选择时，错误代价更高，所需证据也应更严格。</w:t>
      </w:r>
    </w:p>
    <w:bookmarkEnd w:id="30"/>
    <w:bookmarkStart w:id="31" w:name="sec-1-8"/>
    <w:p>
      <w:pPr>
        <w:pStyle w:val="Heading3"/>
      </w:pPr>
      <w:r>
        <w:t xml:space="preserve">1.8　怎样评价补充连接的产品</w:t>
      </w:r>
    </w:p>
    <w:p>
      <w:pPr>
        <w:pStyle w:val="FirstParagraph"/>
      </w:pPr>
      <w:r>
        <w:t xml:space="preserve">产品若宣称增加突触，首先要说明在人体中用什么方法测得。若依据动物细胞实验，还需说明剂量、组织暴露和物种转换。若只依据某种分子参与突触功能，尚未证明摄入后会按目标方向改变相关回路。</w:t>
      </w:r>
    </w:p>
    <w:p>
      <w:pPr>
        <w:pStyle w:val="BodyText"/>
      </w:pPr>
      <w:r>
        <w:t xml:space="preserve">即使观察到连接增加，还需要功能结局。更多连接可能没有行为收益，也可能增加代价。临床或教育价值不能由微观变化单独担保。研究应同时报告目标能力、不良结果和保持时间。</w:t>
      </w:r>
    </w:p>
    <w:p>
      <w:pPr>
        <w:pStyle w:val="BodyText"/>
      </w:pPr>
      <w:r>
        <w:t xml:space="preserve">最后，要比较更直接的方案。若目标是学习某项知识，明确教学与练习可能比追求抽象连接数量更可评估。神经机制研究可以帮助解释学习，但不会自动取代行为检验。</w:t>
      </w:r>
    </w:p>
    <w:bookmarkEnd w:id="31"/>
    <w:bookmarkStart w:id="32" w:name="sec-1-9"/>
    <w:p>
      <w:pPr>
        <w:pStyle w:val="Heading3"/>
      </w:pPr>
      <w:r>
        <w:t xml:space="preserve">1.9　数量指标的抽样与外推范围</w:t>
      </w:r>
    </w:p>
    <w:p>
      <w:pPr>
        <w:pStyle w:val="FirstParagraph"/>
      </w:pPr>
      <w:r>
        <w:t xml:space="preserve">组织采样决定外推范围。显微分析通常只能观察有限区域、层次、细胞类型和切片；不同制备方法会影响可见结构。研究需要说明抽样、计数方法、组织收缩和误差估计。把一个局部样本的平均密度直接换算成全脑总量，需要强假设。常被引用的“人脑约860亿个神经元”来自Azevedo等2009年的研究：他们把4名50至71岁男性的脑组织制成细胞核悬液后计数，得到神经元平均约861亿，个体间标准差约81亿，非神经元细胞约846亿</w:t>
      </w:r>
      <w:r>
        <w:rPr>
          <w:vertAlign w:val="superscript"/>
        </w:rPr>
        <w:t xml:space="preserve">[</w:t>
      </w:r>
      <w:hyperlink w:anchor="ref-2">
        <w:r>
          <w:rPr>
            <w:rStyle w:val="Hyperlink"/>
            <w:vertAlign w:val="superscript"/>
          </w:rPr>
          <w:t xml:space="preserve">2</w:t>
        </w:r>
      </w:hyperlink>
      <w:r>
        <w:rPr>
          <w:vertAlign w:val="superscript"/>
        </w:rPr>
        <w:t xml:space="preserve">]</w:t>
      </w:r>
      <w:r>
        <w:t xml:space="preserve">。这个数字有明确的方法和误差范围，但只来自4名成年男性，不能当作每个人的精确数量；此前流行的“1000亿个神经元”则缺少同样的系统计数来源。</w:t>
      </w:r>
    </w:p>
    <w:p>
      <w:pPr>
        <w:pStyle w:val="BodyText"/>
      </w:pPr>
      <w:r>
        <w:t xml:space="preserve">人群差异还可能与年龄、病理、死后间隔和组织质量有关。观察研究可以提出形态与功能的关联，但因果方向仍需其他证据。对个体而言，现有常规脑成像无法直接提供完整突触清单，更不能据此精确计算智力。</w:t>
      </w:r>
    </w:p>
    <w:bookmarkEnd w:id="32"/>
    <w:bookmarkStart w:id="33" w:name="sec-1-10"/>
    <w:p>
      <w:pPr>
        <w:pStyle w:val="Heading3"/>
      </w:pPr>
      <w:r>
        <w:t xml:space="preserve">1.10　发育中的形成与选择</w:t>
      </w:r>
    </w:p>
    <w:p>
      <w:pPr>
        <w:pStyle w:val="FirstParagraph"/>
      </w:pPr>
      <w:r>
        <w:t xml:space="preserve">发育过程中，突触形成与消除的时间安排具有区域差异。Huttenlocher与Dabholkar对人类听觉皮层和前额叶组织的研究显示，两区突触密度变化轨迹不同</w:t>
      </w:r>
      <w:r>
        <w:rPr>
          <w:vertAlign w:val="superscript"/>
        </w:rPr>
        <w:t xml:space="preserve">[</w:t>
      </w:r>
      <w:hyperlink w:anchor="ref-3">
        <w:r>
          <w:rPr>
            <w:rStyle w:val="Hyperlink"/>
            <w:vertAlign w:val="superscript"/>
          </w:rPr>
          <w:t xml:space="preserve">3</w:t>
        </w:r>
      </w:hyperlink>
      <w:r>
        <w:rPr>
          <w:vertAlign w:val="superscript"/>
        </w:rPr>
        <w:t xml:space="preserve">]</w:t>
      </w:r>
      <w:r>
        <w:t xml:space="preserve">。该结果支持发育过程具有异时性，研究中的年龄估计仍受样本、指标和区域限制。</w:t>
      </w:r>
    </w:p>
    <w:p>
      <w:pPr>
        <w:pStyle w:val="BodyText"/>
      </w:pPr>
      <w:r>
        <w:t xml:space="preserve">形成较多连接可以增加可能的活动模式，选择与稳定可以提高有用模式的可靠性。连接消除可能减少冗余、竞争或不适当关联，同时也可能在病理条件下造成损害。评价需要了解哪些连接、什么阶段、什么功能发生改变，单看数量下降无法判定正常优化或异常损失。</w:t>
      </w:r>
    </w:p>
    <w:p>
      <w:pPr>
        <w:pStyle w:val="BodyText"/>
      </w:pPr>
      <w:r>
        <w:t xml:space="preserve">教育中经常出现“尽量保住所有突触”的口号，它忽略了连接质量与选择性。学习目标需要建立适当关系，也需要区分相似却不同的内容。让所有刺激都强烈联系在一起，会降低辨别。有效记忆要求在关联和区分之间形成合适结构。</w:t>
      </w:r>
    </w:p>
    <w:bookmarkEnd w:id="33"/>
    <w:bookmarkStart w:id="34" w:name="sec-1-11"/>
    <w:p>
      <w:pPr>
        <w:pStyle w:val="Heading3"/>
      </w:pPr>
      <w:r>
        <w:t xml:space="preserve">1.11　连接权重与拓扑</w:t>
      </w:r>
    </w:p>
    <w:p>
      <w:pPr>
        <w:pStyle w:val="FirstParagraph"/>
      </w:pPr>
      <w:r>
        <w:t xml:space="preserve">两个网络可以有相同节点数和连接数，却具有完全不同的功能。连接是否集中在少数枢纽、是否形成模块、模块之间怎样通信、路径长度和反馈结构如何，都影响信息处理。权重和时延进一步决定同一拓扑中的动态表现。</w:t>
      </w:r>
    </w:p>
    <w:p>
      <w:pPr>
        <w:pStyle w:val="BodyText"/>
      </w:pPr>
      <w:r>
        <w:t xml:space="preserve">网络指标也需要避免单调价值解释。较短路径可能提高整合效率，也可能增加不必要耦合；较强模块化可能支持专门加工，也可能限制跨模块协调。所谓最优结构依赖任务、成本和鲁棒性目标。图论指标应与行为和机制联系，不能单独作为聪明程度分数。</w:t>
      </w:r>
    </w:p>
    <w:bookmarkEnd w:id="34"/>
    <w:bookmarkStart w:id="35" w:name="sec-1-12"/>
    <w:p>
      <w:pPr>
        <w:pStyle w:val="Heading3"/>
      </w:pPr>
      <w:r>
        <w:t xml:space="preserve">1.12　编码容量与干扰</w:t>
      </w:r>
    </w:p>
    <w:p>
      <w:pPr>
        <w:pStyle w:val="FirstParagraph"/>
      </w:pPr>
      <w:r>
        <w:t xml:space="preserve">一个网络可存储多少模式，取决于模式之间的相似性、编码稀疏度、噪声容忍和检索要求。高度相似的材料容易互相竞争，增加节点或连接可能有帮助，也可能带来更多交叉干扰。数量与容量之间的关系需要具体模型。</w:t>
      </w:r>
    </w:p>
    <w:p>
      <w:pPr>
        <w:pStyle w:val="BodyText"/>
      </w:pPr>
      <w:r>
        <w:t xml:space="preserve">设学习者记住多个相似的实验步骤，若每次都只编码共同动作，最后可能混淆关键差异。加入区分线索、比较条件和随机提取，可以改善检索。这里的有效容量改变来自表征组织。把它解释成新增了某个固定数量的突触，超出了行为数据。</w:t>
      </w:r>
    </w:p>
    <w:p>
      <w:pPr>
        <w:pStyle w:val="BodyText"/>
      </w:pPr>
      <w:r>
        <w:t xml:space="preserve">知识结构也会改变表面容量。熟悉领域中，一个复杂句子可以激活已有概念网络，陌生领域中同样长度的句子可能需要逐词处理。容量测量应说明材料熟悉度和先备知识。通用记忆容量与领域知识贡献需要通过设计区分。</w:t>
      </w:r>
    </w:p>
    <w:bookmarkEnd w:id="35"/>
    <w:bookmarkStart w:id="36" w:name="sec-1-13"/>
    <w:p>
      <w:pPr>
        <w:pStyle w:val="Heading3"/>
      </w:pPr>
      <w:r>
        <w:t xml:space="preserve">1.13　代谢与布线成本</w:t>
      </w:r>
    </w:p>
    <w:p>
      <w:pPr>
        <w:pStyle w:val="FirstParagraph"/>
      </w:pPr>
      <w:r>
        <w:t xml:space="preserve">每条连接都需要形成、维持和使用的资源。长距离连接还占据空间并增加传导需求。一个网络若无限增加连接，会面临体积、能量和时间约束。优化需要考虑收益与成本，生物系统没有理由把所有可能连接全部保留。</w:t>
      </w:r>
    </w:p>
    <w:p>
      <w:pPr>
        <w:pStyle w:val="BodyText"/>
      </w:pPr>
      <w:r>
        <w:t xml:space="preserve">局部密集连接可以支持快速内部计算，少量远程连接可以帮助模块整合。不同布局对应不同任务要求和发展历史。研究者用网络模型探索这些权衡，模型结果仍依赖目标函数和参数。脑科学中的“效率”需要明确是能量效率、路径效率、信息效率还是行为效率。</w:t>
      </w:r>
    </w:p>
    <w:p>
      <w:pPr>
        <w:pStyle w:val="BodyText"/>
      </w:pPr>
      <w:r>
        <w:t xml:space="preserve">教育中的资源优化也具有类似逻辑。笔记包含所有字句可能增加记录量，却使关键关系难以寻找；适当组织可以减少检索成本。这个类比说明信息数量与可用性不同，但不能从笔记效果反推某种神经拓扑已经发生特定改变。</w:t>
      </w:r>
    </w:p>
    <w:bookmarkEnd w:id="36"/>
    <w:bookmarkStart w:id="37" w:name="sec-1-14"/>
    <w:p>
      <w:pPr>
        <w:pStyle w:val="Heading3"/>
      </w:pPr>
      <w:r>
        <w:t xml:space="preserve">1.14　结构关联研究怎样避免过度解释</w:t>
      </w:r>
    </w:p>
    <w:p>
      <w:pPr>
        <w:pStyle w:val="FirstParagraph"/>
      </w:pPr>
      <w:r>
        <w:t xml:space="preserve">脑结构指标与认知成绩的关联即使稳健，也可能有多种路径：长期练习改变结构，结构差异影响学习，第三因素同时影响二者，或者不同机制共同作用。纵向数据、自然实验、动物机制和遗传工具可以提供互补证据，各自仍有假设。任何单一方法都需要与问题对应。</w:t>
      </w:r>
    </w:p>
    <w:bookmarkEnd w:id="37"/>
    <w:bookmarkStart w:id="38" w:name="sec-1-15"/>
    <w:p>
      <w:pPr>
        <w:pStyle w:val="Heading3"/>
      </w:pPr>
      <w:r>
        <w:t xml:space="preserve">1.15　数量推理练习</w:t>
      </w:r>
    </w:p>
    <w:p>
      <w:pPr>
        <w:pStyle w:val="FirstParagraph"/>
      </w:pPr>
      <w:r>
        <w:t xml:space="preserve">练习一：甲区域体积为十个假设单位，突触密度为每单位一百；乙区域体积为十二，密度为九十。甲总数为一千，乙为一千零八十。乙密度较低、估计总数较高。这个例子说明，密度变化不能脱离体积解释；真实组织估计还需要抽样误差。</w:t>
      </w:r>
    </w:p>
    <w:p>
      <w:pPr>
        <w:pStyle w:val="BodyText"/>
      </w:pPr>
      <w:r>
        <w:t xml:space="preserve">练习二：训练后某些树突棘增加，另一些消失，总数不变，能否说明没有学习？解析：连接对象和权重可能已经改变，总数不变无法排除重组。要判断学习，需要行为保持与更具体的结构或生理证据。</w:t>
      </w:r>
    </w:p>
    <w:p>
      <w:pPr>
        <w:pStyle w:val="BodyText"/>
      </w:pPr>
      <w:r>
        <w:t xml:space="preserve">练习三：一个模型连接越多，训练集准确率越高，能否推断人脑也应尽量增加连接？解析：模型还需考察新数据泛化、过拟合、能量和稳定性；人工网络参数与生物突触的对应有限。模型内部规律不能未经桥接直接成为人类教育处方。</w:t>
      </w:r>
    </w:p>
    <w:bookmarkEnd w:id="38"/>
    <w:bookmarkStart w:id="39" w:name="sec-1-16"/>
    <w:p>
      <w:pPr>
        <w:pStyle w:val="Heading3"/>
      </w:pPr>
      <w:r>
        <w:t xml:space="preserve">1.16　相同连接数量的三个网络</w:t>
      </w:r>
    </w:p>
    <w:p>
      <w:pPr>
        <w:pStyle w:val="FirstParagraph"/>
      </w:pPr>
      <w:r>
        <w:t xml:space="preserve">考虑六个抽象节点和六条连接。第一种布局把节点连成一个环，信息可沿环传播；第二种布局形成两个各含三个节点的小环，两组之间缺少通道；第三种布局让一个中心节点连接其余节点，再增加一条外围连接。三种系统的节点与连接数量相同，整合、局部处理和故障后果明显不同。</w:t>
      </w:r>
    </w:p>
    <w:p>
      <w:pPr>
        <w:pStyle w:val="BodyText"/>
      </w:pPr>
      <w:r>
        <w:t xml:space="preserve">在第一种布局中，一条连接受损可能延长或切断某个方向的路径；在第二种布局中，两组原本就难以直接共享信息；在第三种布局中，中心节点的状态影响较大。这个例子只描述图结构，不模拟真实脑回路，但足以否定数量能够唯一决定功能的数学想法。</w:t>
      </w:r>
    </w:p>
    <w:p>
      <w:pPr>
        <w:pStyle w:val="BodyText"/>
      </w:pPr>
      <w:r>
        <w:t xml:space="preserve">再给连接赋予权重，差异会进一步扩大。很弱的连接可能在某些输入下几乎不改变输出，较强连接又可能造成循环放大。若加入抑制、延迟和阈值，同一张连接图可以产生稳定、振荡或不稳定动态。完整机制需要拓扑与动力学共同说明。</w:t>
      </w:r>
    </w:p>
    <w:p>
      <w:pPr>
        <w:pStyle w:val="BodyText"/>
      </w:pPr>
      <w:r>
        <w:t xml:space="preserve">用神经网络解释智力时，还需定义任务。识别局部特征、整合远程关系、保持信息和快速改变规则，可能偏好不同结构。一个网络在一类任务中高效，另一类任务中可能受限。所谓“更好大脑”必须说明对哪些目标、以什么成本更好。</w:t>
      </w:r>
    </w:p>
    <w:p>
      <w:pPr>
        <w:pStyle w:val="BodyText"/>
      </w:pPr>
      <w:r>
        <w:t xml:space="preserve">练习：如果一种训练让网络平均连接强度升高，却降低了区分相似刺激的准确率，应怎样评价？解析：神经指标改变已经发生，目标功能却变差。可能机制包括表征过度相似、噪声传播或策略改变，需要进一步检验。指标方向不能预先被规定为收益方向。</w:t>
      </w:r>
    </w:p>
    <w:bookmarkEnd w:id="39"/>
    <w:bookmarkStart w:id="40" w:name="sec-1-17"/>
    <w:p>
      <w:pPr>
        <w:pStyle w:val="Heading3"/>
      </w:pPr>
      <w:r>
        <w:t xml:space="preserve">1.17　推理练习</w:t>
      </w:r>
    </w:p>
    <w:p>
      <w:pPr>
        <w:pStyle w:val="FirstParagraph"/>
      </w:pPr>
      <w:r>
        <w:t xml:space="preserve">练习：甲组某脑区更厚，且平均成绩更高，能否说厚度造成高成绩？解答：需要处理年龄、经历和其他混杂，也需要考虑成绩或训练反向影响结构。相关不足以确定方向。</w:t>
      </w:r>
    </w:p>
    <w:p>
      <w:pPr>
        <w:pStyle w:val="BodyText"/>
      </w:pPr>
      <w:r>
        <w:t xml:space="preserve">练习：正常发育中突触密度下降，能否说越少越好？解答：观察涉及特定时期和回路，不能延伸成无限减少的原则。选择性组织与数量变化需要共同分析。</w:t>
      </w:r>
    </w:p>
    <w:p>
      <w:pPr>
        <w:pStyle w:val="BodyText"/>
      </w:pPr>
      <w:r>
        <w:t xml:space="preserve">练习：两个区域信号相关增强，是否说明它们新长出连接？解答：功能统计关系与解剖连接不同，可能存在共同驱动或状态变化。</w:t>
      </w:r>
    </w:p>
    <w:p>
      <w:pPr>
        <w:pStyle w:val="BodyText"/>
      </w:pPr>
      <w:r>
        <w:t xml:space="preserve">本章最可靠的结论是，数量指标需要被放入细胞类型、组织结构、动态过程与任务目标。评价认知能力，始终要回到实际行为和可靠预测，不能以更大更厚更多的标签替代证据。</w:t>
      </w:r>
    </w:p>
    <w:bookmarkEnd w:id="40"/>
    <w:bookmarkEnd w:id="41"/>
    <w:bookmarkStart w:id="65" w:name="ch-2"/>
    <w:p>
      <w:pPr>
        <w:pStyle w:val="Heading2"/>
      </w:pPr>
      <w:r>
        <w:t xml:space="preserve">第2章　神经系统的空间组织与长程通路</w:t>
      </w:r>
    </w:p>
    <w:bookmarkStart w:id="42" w:name="sec-2-1"/>
    <w:p>
      <w:pPr>
        <w:pStyle w:val="Heading3"/>
      </w:pPr>
      <w:r>
        <w:t xml:space="preserve">2.1　先建立位置再讨论功能</w:t>
      </w:r>
    </w:p>
    <w:p>
      <w:pPr>
        <w:pStyle w:val="FirstParagraph"/>
      </w:pPr>
      <w:r>
        <w:t xml:space="preserve">神经解剖把细胞和回路放入一个连续的三维组织。一个名称可以描述表面区域、深部核团、纤维束、脑室或发育来源，它们不属于同一分类层级。学习时应同时记录结构是什么、位于哪里、与谁相邻、输入和输出经过哪里，再连接到生理功能</w:t>
      </w:r>
      <w:r>
        <w:rPr>
          <w:vertAlign w:val="superscript"/>
        </w:rPr>
        <w:t xml:space="preserve">[</w:t>
      </w:r>
      <w:hyperlink w:anchor="ref-4">
        <w:r>
          <w:rPr>
            <w:rStyle w:val="Hyperlink"/>
            <w:vertAlign w:val="superscript"/>
          </w:rPr>
          <w:t xml:space="preserve">4</w:t>
        </w:r>
      </w:hyperlink>
      <w:r>
        <w:rPr>
          <w:vertAlign w:val="superscript"/>
        </w:rPr>
        <w:t xml:space="preserve">,</w:t>
      </w:r>
      <w:hyperlink w:anchor="ref-5">
        <w:r>
          <w:rPr>
            <w:rStyle w:val="Hyperlink"/>
            <w:vertAlign w:val="superscript"/>
          </w:rPr>
          <w:t xml:space="preserve">5</w:t>
        </w:r>
      </w:hyperlink>
      <w:r>
        <w:rPr>
          <w:vertAlign w:val="superscript"/>
        </w:rPr>
        <w:t xml:space="preserve">]</w:t>
      </w:r>
      <w:r>
        <w:t xml:space="preserve">。</w:t>
      </w:r>
    </w:p>
    <w:p>
      <w:pPr>
        <w:pStyle w:val="BodyText"/>
      </w:pPr>
      <w:r>
        <w:t xml:space="preserve">例如海马位于颞叶内侧深部，但在组织学和发育意义上具有皮层性质；丘脑属于间脑，其内部包含许多核团；内囊是一组重要投射纤维经过的白质区域。把它们都称作脑区可以方便交流，但进一步分析需要恢复各自结构类别。</w:t>
      </w:r>
    </w:p>
    <w:p>
      <w:pPr>
        <w:pStyle w:val="BodyText"/>
      </w:pPr>
      <w:r>
        <w:t xml:space="preserve">位置与功能之间也存在多对多关系。一个核团包含不同细胞和投射，一个功能往往依赖多个结构。解剖知识的价值在于约束可能连接和损伤范围，使功能解释具有明确空间基础。</w:t>
      </w:r>
    </w:p>
    <w:bookmarkEnd w:id="42"/>
    <w:bookmarkStart w:id="43" w:name="sec-2-2"/>
    <w:p>
      <w:pPr>
        <w:pStyle w:val="Heading3"/>
      </w:pPr>
      <w:r>
        <w:t xml:space="preserve">2.2　方向词依赖神经轴的弯曲</w:t>
      </w:r>
    </w:p>
    <w:p>
      <w:pPr>
        <w:pStyle w:val="FirstParagraph"/>
      </w:pPr>
      <w:r>
        <w:t xml:space="preserve">内侧与外侧表示相对于中线的位置，吻侧与尾侧、背侧与腹侧则需要结合所讨论的神经轴。人脑发育中的弯曲，使前脑与脊髓中这些方向词对应的身体方向有所不同。背侧在大脑通常接近上方，在脊髓则接近背部方向</w:t>
      </w:r>
      <w:r>
        <w:rPr>
          <w:vertAlign w:val="superscript"/>
        </w:rPr>
        <w:t xml:space="preserve">[</w:t>
      </w:r>
      <w:hyperlink w:anchor="ref-4">
        <w:r>
          <w:rPr>
            <w:rStyle w:val="Hyperlink"/>
            <w:vertAlign w:val="superscript"/>
          </w:rPr>
          <w:t xml:space="preserve">4</w:t>
        </w:r>
      </w:hyperlink>
      <w:r>
        <w:rPr>
          <w:vertAlign w:val="superscript"/>
        </w:rPr>
        <w:t xml:space="preserve">]</w:t>
      </w:r>
      <w:r>
        <w:t xml:space="preserve">。</w:t>
      </w:r>
    </w:p>
    <w:p>
      <w:pPr>
        <w:pStyle w:val="BodyText"/>
      </w:pPr>
      <w:r>
        <w:t xml:space="preserve">冠状面把组织分成较前与较后部分，矢状面分成左右部分，水平或轴位面分成较上与较下部分。真正理解一个结构，需要在多个平面追踪它的连续形态。某个截面中看似孤立的灰质岛，可能是一个弯曲结构被切出的局部。</w:t>
      </w:r>
    </w:p>
    <w:p>
      <w:pPr>
        <w:pStyle w:val="BodyText"/>
      </w:pPr>
      <w:r>
        <w:t xml:space="preserve">影像显示还应检查左右标记和软件约定。放射学与神经学显示方式可能不同，截图旋转或重采样也会改变直观方向。依赖屏幕左边就是受试者左侧的直觉，容易产生错误定位。</w:t>
      </w:r>
    </w:p>
    <w:bookmarkEnd w:id="43"/>
    <w:bookmarkStart w:id="44" w:name="sec-2-3"/>
    <w:p>
      <w:pPr>
        <w:pStyle w:val="Heading3"/>
      </w:pPr>
      <w:r>
        <w:t xml:space="preserve">2.3　中枢与外周的组织原则</w:t>
      </w:r>
    </w:p>
    <w:p>
      <w:pPr>
        <w:pStyle w:val="FirstParagraph"/>
      </w:pPr>
      <w:r>
        <w:t xml:space="preserve">中枢神经系统包括脑和脊髓，外周系统连接感觉末端、内脏、肌肉和中枢。感觉神经节中的细胞体与中枢内核团，在位置、细胞环境和连接组织上有所不同。神经通常指外周轴突束，束或通路多用于中枢轴突集合，但历史名称存在例外</w:t>
      </w:r>
      <w:r>
        <w:rPr>
          <w:vertAlign w:val="superscript"/>
        </w:rPr>
        <w:t xml:space="preserve">[</w:t>
      </w:r>
      <w:hyperlink w:anchor="ref-6">
        <w:r>
          <w:rPr>
            <w:rStyle w:val="Hyperlink"/>
            <w:vertAlign w:val="superscript"/>
          </w:rPr>
          <w:t xml:space="preserve">6</w:t>
        </w:r>
      </w:hyperlink>
      <w:r>
        <w:rPr>
          <w:vertAlign w:val="superscript"/>
        </w:rPr>
        <w:t xml:space="preserve">]</w:t>
      </w:r>
      <w:r>
        <w:t xml:space="preserve">。</w:t>
      </w:r>
    </w:p>
    <w:p>
      <w:pPr>
        <w:pStyle w:val="BodyText"/>
      </w:pPr>
      <w:r>
        <w:t xml:space="preserve">传入和传出是相对于一个参照结构的方向描述。对中枢而言，感觉信息通常称为传入，运动命令称为传出；对某个核团而言，来自其他中枢区域的投射也可以称为传入。先说明参照物，能够避免同一条轴突被误以为有矛盾的方向名称。</w:t>
      </w:r>
    </w:p>
    <w:p>
      <w:pPr>
        <w:pStyle w:val="BodyText"/>
      </w:pPr>
      <w:r>
        <w:t xml:space="preserve">外周神经内可以同时包含感觉、躯体运动和自主相关纤维。神经损伤后的表现取决于哪些纤维受影响，无法只依据神经名称推断单一功能。轴突直径、髓鞘和末梢类型也会影响不同纤维的易损性。</w:t>
      </w:r>
    </w:p>
    <w:bookmarkEnd w:id="44"/>
    <w:bookmarkStart w:id="45" w:name="sec-2-4"/>
    <w:p>
      <w:pPr>
        <w:pStyle w:val="Heading3"/>
      </w:pPr>
      <w:r>
        <w:t xml:space="preserve">2.4　灰质、白质与神经网</w:t>
      </w:r>
    </w:p>
    <w:p>
      <w:pPr>
        <w:pStyle w:val="FirstParagraph"/>
      </w:pPr>
      <w:r>
        <w:t xml:space="preserve">灰质包含丰富的细胞体、树突、突触和局部轴突，白质包含大量长程轴突及髓鞘相关结构。二者都含有胶质、血管和细胞外成分。灰质中的神经网指细胞体之间由细小突起和突触等构成的密集组织，不能把灰质体积全部理解为神经元数量</w:t>
      </w:r>
      <w:r>
        <w:rPr>
          <w:vertAlign w:val="superscript"/>
        </w:rPr>
        <w:t xml:space="preserve">[</w:t>
      </w:r>
      <w:hyperlink w:anchor="ref-7">
        <w:r>
          <w:rPr>
            <w:rStyle w:val="Hyperlink"/>
            <w:vertAlign w:val="superscript"/>
          </w:rPr>
          <w:t xml:space="preserve">7</w:t>
        </w:r>
      </w:hyperlink>
      <w:r>
        <w:rPr>
          <w:vertAlign w:val="superscript"/>
        </w:rPr>
        <w:t xml:space="preserve">,</w:t>
      </w:r>
      <w:hyperlink w:anchor="ref-8">
        <w:r>
          <w:rPr>
            <w:rStyle w:val="Hyperlink"/>
            <w:vertAlign w:val="superscript"/>
          </w:rPr>
          <w:t xml:space="preserve">8</w:t>
        </w:r>
      </w:hyperlink>
      <w:r>
        <w:rPr>
          <w:vertAlign w:val="superscript"/>
        </w:rPr>
        <w:t xml:space="preserve">]</w:t>
      </w:r>
      <w:r>
        <w:t xml:space="preserve">。</w:t>
      </w:r>
    </w:p>
    <w:p>
      <w:pPr>
        <w:pStyle w:val="BodyText"/>
      </w:pPr>
      <w:r>
        <w:t xml:space="preserve">白质则具有明确方向和分支组织。一个纤维束可以包含来源和终点不同的轴突，同一轴突也可能在途中发出分支。束的宏观边界有助于定位，却不总是与每一种功能连接严格重合。</w:t>
      </w:r>
    </w:p>
    <w:p>
      <w:pPr>
        <w:pStyle w:val="BodyText"/>
      </w:pPr>
      <w:r>
        <w:t xml:space="preserve">从这些组织特点推导，体积变化具有多种可能来源。细胞体大小、树突分支、髓鞘、水分和血管成分都可以贡献。某个区域体积更大，无法单独证明更多神经元、更多知识或更高能力。</w:t>
      </w:r>
    </w:p>
    <w:bookmarkEnd w:id="45"/>
    <w:bookmarkStart w:id="46" w:name="sec-2-5"/>
    <w:p>
      <w:pPr>
        <w:pStyle w:val="Heading3"/>
      </w:pPr>
      <w:r>
        <w:t xml:space="preserve">2.5　脊髓横截面中的基本布局</w:t>
      </w:r>
    </w:p>
    <w:p>
      <w:pPr>
        <w:pStyle w:val="FirstParagraph"/>
      </w:pPr>
      <w:r>
        <w:t xml:space="preserve">脊髓内部灰质围绕中央区域展开，外侧由白质通路包围。后角主要接收和处理感觉输入，前角包含支配骨骼肌的运动神经元，部分节段的中间外侧区域包含自主节前神经元。不同节段因支配对象和通路数量不同，横截面形态也有所差别</w:t>
      </w:r>
      <w:r>
        <w:rPr>
          <w:vertAlign w:val="superscript"/>
        </w:rPr>
        <w:t xml:space="preserve">[</w:t>
      </w:r>
      <w:hyperlink w:anchor="ref-9">
        <w:r>
          <w:rPr>
            <w:rStyle w:val="Hyperlink"/>
            <w:vertAlign w:val="superscript"/>
          </w:rPr>
          <w:t xml:space="preserve">9</w:t>
        </w:r>
      </w:hyperlink>
      <w:r>
        <w:rPr>
          <w:vertAlign w:val="superscript"/>
        </w:rPr>
        <w:t xml:space="preserve">]</w:t>
      </w:r>
      <w:r>
        <w:t xml:space="preserve">。</w:t>
      </w:r>
    </w:p>
    <w:p>
      <w:pPr>
        <w:pStyle w:val="BodyText"/>
      </w:pPr>
      <w:r>
        <w:t xml:space="preserve">后根把感觉轴突带入脊髓，前根把运动相关轴突带出，两者在外周汇合形成混合脊神经。后根神经节细胞的外周分支接近感觉末端，中枢分支进入脊髓。一个感觉细胞因此可以把外周事件传入中枢，并在进入后通过分支影响多个处理层次。</w:t>
      </w:r>
    </w:p>
    <w:p>
      <w:pPr>
        <w:pStyle w:val="BodyText"/>
      </w:pPr>
      <w:r>
        <w:t xml:space="preserve">脊髓节段与椎骨位置并非在整个成年脊柱中一一对应。发育中脊柱和脊髓长度增长不同，使下部神经根需要向下行走后离开。定位时应区分神经根、脊髓节段和椎体三个坐标系统。</w:t>
      </w:r>
    </w:p>
    <w:bookmarkEnd w:id="46"/>
    <w:bookmarkStart w:id="47" w:name="sec-2-6"/>
    <w:p>
      <w:pPr>
        <w:pStyle w:val="Heading3"/>
      </w:pPr>
      <w:r>
        <w:t xml:space="preserve">2.6　脊髓具有局部计算能力</w:t>
      </w:r>
    </w:p>
    <w:p>
      <w:pPr>
        <w:pStyle w:val="FirstParagraph"/>
      </w:pPr>
      <w:r>
        <w:t xml:space="preserve">感觉轴突进入后，可以连接局部中间神经元、运动神经元以及上行投射细胞。局部回路使身体能够在大脑详细分析完成前产生某些快速调整。与此同时，下行系统持续改变这些回路的增益、阈值和协调方式</w:t>
      </w:r>
      <w:r>
        <w:rPr>
          <w:vertAlign w:val="superscript"/>
        </w:rPr>
        <w:t xml:space="preserve">[</w:t>
      </w:r>
      <w:hyperlink w:anchor="ref-9">
        <w:r>
          <w:rPr>
            <w:rStyle w:val="Hyperlink"/>
            <w:vertAlign w:val="superscript"/>
          </w:rPr>
          <w:t xml:space="preserve">9</w:t>
        </w:r>
      </w:hyperlink>
      <w:r>
        <w:rPr>
          <w:vertAlign w:val="superscript"/>
        </w:rPr>
        <w:t xml:space="preserve">,</w:t>
      </w:r>
      <w:hyperlink w:anchor="ref-10">
        <w:r>
          <w:rPr>
            <w:rStyle w:val="Hyperlink"/>
            <w:vertAlign w:val="superscript"/>
          </w:rPr>
          <w:t xml:space="preserve">10</w:t>
        </w:r>
      </w:hyperlink>
      <w:r>
        <w:rPr>
          <w:vertAlign w:val="superscript"/>
        </w:rPr>
        <w:t xml:space="preserve">]</w:t>
      </w:r>
      <w:r>
        <w:t xml:space="preserve">。</w:t>
      </w:r>
    </w:p>
    <w:p>
      <w:pPr>
        <w:pStyle w:val="BodyText"/>
      </w:pPr>
      <w:r>
        <w:t xml:space="preserve">反射并非永远固定的输入输出关系。同样的肌肉伸展，在不同姿势、任务和下行状态下可以引出不同响应。局部回路与全身任务共同决定运动结果，因此自动性与可调节性可以共存。</w:t>
      </w:r>
    </w:p>
    <w:p>
      <w:pPr>
        <w:pStyle w:val="BodyText"/>
      </w:pPr>
      <w:r>
        <w:t xml:space="preserve">从功能分工看，脊髓能够处理快速、局部和重复出现的控制需求，大脑则通过多层回路调整目标、环境关系与长期策略。这个分工避免每个运动细节都必须经过最长路径，同时保留灵活调节。</w:t>
      </w:r>
    </w:p>
    <w:bookmarkEnd w:id="47"/>
    <w:bookmarkStart w:id="48" w:name="sec-2-7"/>
    <w:p>
      <w:pPr>
        <w:pStyle w:val="Heading3"/>
      </w:pPr>
      <w:r>
        <w:t xml:space="preserve">2.7　后索—内侧丘系通路中的信息流</w:t>
      </w:r>
    </w:p>
    <w:p>
      <w:pPr>
        <w:pStyle w:val="FirstParagraph"/>
      </w:pPr>
      <w:r>
        <w:t xml:space="preserve">身体精细触觉和部分本体感觉的重要上行路径经过后索。初级感觉轴突进入脊髓后沿同侧上行，在延髓后索核相关区域接替；随后投射跨越中线，形成内侧丘系，继续到达丘脑腹后外侧核相关区域，再联系躯体感觉皮层</w:t>
      </w:r>
      <w:r>
        <w:rPr>
          <w:vertAlign w:val="superscript"/>
        </w:rPr>
        <w:t xml:space="preserve">[</w:t>
      </w:r>
      <w:hyperlink w:anchor="ref-11">
        <w:r>
          <w:rPr>
            <w:rStyle w:val="Hyperlink"/>
            <w:vertAlign w:val="superscript"/>
          </w:rPr>
          <w:t xml:space="preserve">11</w:t>
        </w:r>
      </w:hyperlink>
      <w:r>
        <w:rPr>
          <w:vertAlign w:val="superscript"/>
        </w:rPr>
        <w:t xml:space="preserve">]</w:t>
      </w:r>
      <w:r>
        <w:t xml:space="preserve">。</w:t>
      </w:r>
    </w:p>
    <w:p>
      <w:pPr>
        <w:pStyle w:val="BodyText"/>
      </w:pPr>
      <w:r>
        <w:t xml:space="preserve">这一顺序解释了为什么损伤所在交叉点之前或之后，会影响不同侧的身体信息。真正定位时，还要考虑通路并行、部分重叠和损伤范围。教学模型用一条线表示主要走向，不能代表全部感觉纤维都具有完全相同路径。</w:t>
      </w:r>
    </w:p>
    <w:p>
      <w:pPr>
        <w:pStyle w:val="BodyText"/>
      </w:pPr>
      <w:r>
        <w:t xml:space="preserve">体部地图沿通路存在系统组织，但在不同水平会发生空间旋转和重新排列。记住一个截面的内外侧关系后，不能无条件搬到整个脑干。连续追踪与多个解剖标志共同定位，通常比孤立背诵一张图更可靠。</w:t>
      </w:r>
    </w:p>
    <w:bookmarkEnd w:id="48"/>
    <w:bookmarkStart w:id="49" w:name="sec-2-8"/>
    <w:p>
      <w:pPr>
        <w:pStyle w:val="Heading3"/>
      </w:pPr>
      <w:r>
        <w:t xml:space="preserve">2.8　前外侧系统与伤害性信息</w:t>
      </w:r>
    </w:p>
    <w:p>
      <w:pPr>
        <w:pStyle w:val="FirstParagraph"/>
      </w:pPr>
      <w:r>
        <w:t xml:space="preserve">伤害性和温度相关输入的重要通路在脊髓后角接替后，经跨中线纤维进入对侧前外侧区域上行。它联系多个脑干和丘脑目标，参与感觉辨别、警觉和身体反应等不同过程。脊髓丘脑束是这一更广系统中的重要部分</w:t>
      </w:r>
      <w:r>
        <w:rPr>
          <w:vertAlign w:val="superscript"/>
        </w:rPr>
        <w:t xml:space="preserve">[</w:t>
      </w:r>
      <w:hyperlink w:anchor="ref-12">
        <w:r>
          <w:rPr>
            <w:rStyle w:val="Hyperlink"/>
            <w:vertAlign w:val="superscript"/>
          </w:rPr>
          <w:t xml:space="preserve">12</w:t>
        </w:r>
      </w:hyperlink>
      <w:r>
        <w:rPr>
          <w:vertAlign w:val="superscript"/>
        </w:rPr>
        <w:t xml:space="preserve">]</w:t>
      </w:r>
      <w:r>
        <w:t xml:space="preserve">。</w:t>
      </w:r>
    </w:p>
    <w:p>
      <w:pPr>
        <w:pStyle w:val="BodyText"/>
      </w:pPr>
      <w:r>
        <w:t xml:space="preserve">疼痛体验还需要与伤害感受区分。外周和脊髓活动提供重要输入，体验则受到状态、情境、预期和下行调节影响。通路图能够解释信息如何传播，但没有把主观体验全部装入一根纤维束。</w:t>
      </w:r>
    </w:p>
    <w:p>
      <w:pPr>
        <w:pStyle w:val="BodyText"/>
      </w:pPr>
      <w:r>
        <w:t xml:space="preserve">同一外周输入也可以通过局部侧支引起撤回动作，并通过上行系统影响注意与学习。多个输出并行发生，使反应速度与行为复杂性能够同时得到支持。某一路受损时，其他路径仍可能保留部分功能。</w:t>
      </w:r>
    </w:p>
    <w:bookmarkEnd w:id="49"/>
    <w:bookmarkStart w:id="50" w:name="sec-2-9"/>
    <w:p>
      <w:pPr>
        <w:pStyle w:val="Heading3"/>
      </w:pPr>
      <w:r>
        <w:t xml:space="preserve">2.9　面部感觉主要通过三叉系统组织</w:t>
      </w:r>
    </w:p>
    <w:p>
      <w:pPr>
        <w:pStyle w:val="FirstParagraph"/>
      </w:pPr>
      <w:r>
        <w:t xml:space="preserve">面部的一般感觉主要通过三叉相关通路进入脑干，并由不同核团处理触觉、本体感觉或伤害性信息。相关上行投射经丘脑腹后内侧核等区域联系皮层。它与身体后索和前外侧系统具有可比较的处理原则，同时拥有独立的外周分布和脑干布局</w:t>
      </w:r>
      <w:r>
        <w:rPr>
          <w:vertAlign w:val="superscript"/>
        </w:rPr>
        <w:t xml:space="preserve">[</w:t>
      </w:r>
      <w:hyperlink w:anchor="ref-13">
        <w:r>
          <w:rPr>
            <w:rStyle w:val="Hyperlink"/>
            <w:vertAlign w:val="superscript"/>
          </w:rPr>
          <w:t xml:space="preserve">13</w:t>
        </w:r>
      </w:hyperlink>
      <w:r>
        <w:rPr>
          <w:vertAlign w:val="superscript"/>
        </w:rPr>
        <w:t xml:space="preserve">]</w:t>
      </w:r>
      <w:r>
        <w:t xml:space="preserve">。</w:t>
      </w:r>
    </w:p>
    <w:p>
      <w:pPr>
        <w:pStyle w:val="BodyText"/>
      </w:pPr>
      <w:r>
        <w:t xml:space="preserve">三叉神经还包含支配咀嚼相关肌肉的运动成分。不过，面部感觉与面部表情运动不能简单归给同一条神经：前者主要涉及三叉系统，后者主要涉及面神经运动通路。舌的触觉与味觉也采用不同纤维成分，需要按感觉类型分别讨论。</w:t>
      </w:r>
    </w:p>
    <w:p>
      <w:pPr>
        <w:pStyle w:val="BodyText"/>
      </w:pPr>
      <w:r>
        <w:t xml:space="preserve">这种区分在学习脑神经时尤其重要。一个器官可以同时接收多条神经的不同功能支配，某条神经也可以把感觉、运动和自主成分组合在一起。以器官为单位和以纤维功能为单位的两种描述方式，应相互对应。</w:t>
      </w:r>
    </w:p>
    <w:bookmarkEnd w:id="50"/>
    <w:bookmarkStart w:id="51" w:name="sec-2-10"/>
    <w:p>
      <w:pPr>
        <w:pStyle w:val="Heading3"/>
      </w:pPr>
      <w:r>
        <w:t xml:space="preserve">2.10　脑干是通路与局部核团的密集交汇</w:t>
      </w:r>
    </w:p>
    <w:p>
      <w:pPr>
        <w:pStyle w:val="FirstParagraph"/>
      </w:pPr>
      <w:r>
        <w:t xml:space="preserve">延髓、脑桥和中脑共同构成脑干。这里包含多种脑神经核、上行和下行通路、调质细胞群，以及参与呼吸、觉醒、姿势和内脏调节的网络。脑干的空间紧凑，使相邻小范围结构可能承担不同功能</w:t>
      </w:r>
      <w:r>
        <w:rPr>
          <w:vertAlign w:val="superscript"/>
        </w:rPr>
        <w:t xml:space="preserve">[</w:t>
      </w:r>
      <w:hyperlink w:anchor="ref-5">
        <w:r>
          <w:rPr>
            <w:rStyle w:val="Hyperlink"/>
            <w:vertAlign w:val="superscript"/>
          </w:rPr>
          <w:t xml:space="preserve">5</w:t>
        </w:r>
      </w:hyperlink>
      <w:r>
        <w:rPr>
          <w:vertAlign w:val="superscript"/>
        </w:rPr>
        <w:t xml:space="preserve">]</w:t>
      </w:r>
      <w:r>
        <w:t xml:space="preserve">。</w:t>
      </w:r>
    </w:p>
    <w:p>
      <w:pPr>
        <w:pStyle w:val="BodyText"/>
      </w:pPr>
      <w:r>
        <w:t xml:space="preserve">中脑背侧的顶盖相关结构参与感觉定向，腹侧与被盖区域包含不同运动和调质通路。脑桥连接皮层相关输入与小脑系统，延髓则容纳多种内脏感觉和运动相关核团。这样的概括只提供定位入口，不能把每一级脑干视为单一功能模块。</w:t>
      </w:r>
    </w:p>
    <w:p>
      <w:pPr>
        <w:pStyle w:val="BodyText"/>
      </w:pPr>
      <w:r>
        <w:t xml:space="preserve">网状结构是一组分布广泛、连接复杂的区域性网络。它的不同部分具有不同细胞和投射，整体名称不等于一个统一的意识开关。讨论觉醒或运动时，应尽量明确涉及哪一群细胞和哪条投射。</w:t>
      </w:r>
    </w:p>
    <w:bookmarkEnd w:id="51"/>
    <w:bookmarkStart w:id="53" w:name="sec-2-11"/>
    <w:p>
      <w:pPr>
        <w:pStyle w:val="Heading3"/>
      </w:pPr>
      <w:r>
        <w:t xml:space="preserve">2.11　十二对脑神经的功能入口</w:t>
      </w:r>
    </w:p>
    <w:p>
      <w:pPr>
        <w:pStyle w:val="FirstParagraph"/>
      </w:pPr>
      <w:r>
        <w:t xml:space="preserve">下表提供脑神经的主要功能入口，省略了细小分支，也没有列全各神经的副交感和感觉成分。脑神经并非全都起源于同一脑干水平，嗅觉和视觉通路具有特殊的前脑及中枢相关组织，副神经的重要运动来源涉及颈髓</w:t>
      </w:r>
      <w:r>
        <w:rPr>
          <w:vertAlign w:val="superscript"/>
        </w:rPr>
        <w:t xml:space="preserve">[</w:t>
      </w:r>
      <w:hyperlink w:anchor="ref-14">
        <w:r>
          <w:rPr>
            <w:rStyle w:val="Hyperlink"/>
            <w:vertAlign w:val="superscript"/>
          </w:rPr>
          <w:t xml:space="preserve">14</w:t>
        </w:r>
      </w:hyperlink>
      <w:r>
        <w:rPr>
          <w:vertAlign w:val="superscript"/>
        </w:rPr>
        <w:t xml:space="preserve">]</w:t>
      </w:r>
      <w:r>
        <w:t xml:space="preserve">。</w:t>
      </w:r>
    </w:p>
    <w:p>
      <w:pPr>
        <w:pStyle w:val="TableCaption"/>
      </w:pPr>
      <w:bookmarkStart w:id="52" w:name="tab-cranial"/>
      <w:bookmarkEnd w:id="52"/>
      <w:r>
        <w:rPr>
          <w:bCs/>
          <w:b/>
        </w:rPr>
        <w:t xml:space="preserve">表 2　十二对脑神经的主要功能入口</w:t>
      </w:r>
    </w:p>
    <w:tbl>
      <w:tblPr>
        <w:tblStyle w:val="Table"/>
        <w:tblW w:type="pct" w:w="5000"/>
        <w:jc w:val="start"/>
        <w:tblLook w:firstRow="1" w:lastRow="0" w:firstColumn="0" w:lastColumn="0" w:noHBand="0" w:noVBand="0" w:val="0020"/>
      </w:tblPr>
      <w:tblGrid>
        <w:gridCol w:w="989"/>
        <w:gridCol w:w="1237"/>
        <w:gridCol w:w="5692"/>
      </w:tblGrid>
      <w:tr>
        <w:trPr>
          <w:tblHeader w:val="true"/>
        </w:trPr>
        <w:tc>
          <w:tcPr>
            <w:shd w:val="clear" w:color="auto" w:fill="1F3A5F"/>
          </w:tcPr>
          <w:p>
            <w:pPr>
              <w:pStyle w:val="Compact"/>
              <w:jc w:val="left"/>
            </w:pPr>
            <w:r>
              <w:rPr>
                <w:bCs/>
                <w:b/>
                <w:color w:val="FFFFFF"/>
              </w:rPr>
              <w:t xml:space="preserve">编号</w:t>
            </w:r>
          </w:p>
        </w:tc>
        <w:tc>
          <w:tcPr>
            <w:shd w:val="clear" w:color="auto" w:fill="1F3A5F"/>
          </w:tcPr>
          <w:p>
            <w:pPr>
              <w:pStyle w:val="Compact"/>
              <w:jc w:val="left"/>
            </w:pPr>
            <w:r>
              <w:rPr>
                <w:bCs/>
                <w:b/>
                <w:color w:val="FFFFFF"/>
              </w:rPr>
              <w:t xml:space="preserve">名称</w:t>
            </w:r>
          </w:p>
        </w:tc>
        <w:tc>
          <w:tcPr>
            <w:shd w:val="clear" w:color="auto" w:fill="1F3A5F"/>
          </w:tcPr>
          <w:p>
            <w:pPr>
              <w:pStyle w:val="Compact"/>
              <w:jc w:val="left"/>
            </w:pPr>
            <w:r>
              <w:rPr>
                <w:bCs/>
                <w:b/>
                <w:color w:val="FFFFFF"/>
              </w:rPr>
              <w:t xml:space="preserve">主要功能入口</w:t>
            </w:r>
          </w:p>
        </w:tc>
      </w:tr>
      <w:tr>
        <w:tc>
          <w:tcPr/>
          <w:p>
            <w:pPr>
              <w:pStyle w:val="Compact"/>
              <w:jc w:val="left"/>
            </w:pPr>
            <w:r>
              <w:t xml:space="preserve">一</w:t>
            </w:r>
          </w:p>
        </w:tc>
        <w:tc>
          <w:tcPr/>
          <w:p>
            <w:pPr>
              <w:pStyle w:val="Compact"/>
              <w:jc w:val="left"/>
            </w:pPr>
            <w:r>
              <w:t xml:space="preserve">嗅神经</w:t>
            </w:r>
          </w:p>
        </w:tc>
        <w:tc>
          <w:tcPr/>
          <w:p>
            <w:pPr>
              <w:pStyle w:val="Compact"/>
              <w:jc w:val="left"/>
            </w:pPr>
            <w:r>
              <w:t xml:space="preserve">嗅上皮到嗅球的气味相关输入</w:t>
            </w:r>
          </w:p>
        </w:tc>
      </w:tr>
      <w:tr>
        <w:tc>
          <w:tcPr/>
          <w:p>
            <w:pPr>
              <w:pStyle w:val="Compact"/>
              <w:jc w:val="left"/>
            </w:pPr>
            <w:r>
              <w:t xml:space="preserve">二</w:t>
            </w:r>
          </w:p>
        </w:tc>
        <w:tc>
          <w:tcPr/>
          <w:p>
            <w:pPr>
              <w:pStyle w:val="Compact"/>
              <w:jc w:val="left"/>
            </w:pPr>
            <w:r>
              <w:t xml:space="preserve">视神经</w:t>
            </w:r>
          </w:p>
        </w:tc>
        <w:tc>
          <w:tcPr/>
          <w:p>
            <w:pPr>
              <w:pStyle w:val="Compact"/>
              <w:jc w:val="left"/>
            </w:pPr>
            <w:r>
              <w:t xml:space="preserve">视网膜神经节细胞的视觉相关输出</w:t>
            </w:r>
          </w:p>
        </w:tc>
      </w:tr>
      <w:tr>
        <w:tc>
          <w:tcPr/>
          <w:p>
            <w:pPr>
              <w:pStyle w:val="Compact"/>
              <w:jc w:val="left"/>
            </w:pPr>
            <w:r>
              <w:t xml:space="preserve">三</w:t>
            </w:r>
          </w:p>
        </w:tc>
        <w:tc>
          <w:tcPr/>
          <w:p>
            <w:pPr>
              <w:pStyle w:val="Compact"/>
              <w:jc w:val="left"/>
            </w:pPr>
            <w:r>
              <w:t xml:space="preserve">动眼神经</w:t>
            </w:r>
          </w:p>
        </w:tc>
        <w:tc>
          <w:tcPr/>
          <w:p>
            <w:pPr>
              <w:pStyle w:val="Compact"/>
              <w:jc w:val="left"/>
            </w:pPr>
            <w:r>
              <w:t xml:space="preserve">多数眼外肌及上睑运动、瞳孔和调焦相关副交感成分</w:t>
            </w:r>
          </w:p>
        </w:tc>
      </w:tr>
      <w:tr>
        <w:tc>
          <w:tcPr/>
          <w:p>
            <w:pPr>
              <w:pStyle w:val="Compact"/>
              <w:jc w:val="left"/>
            </w:pPr>
            <w:r>
              <w:t xml:space="preserve">四</w:t>
            </w:r>
          </w:p>
        </w:tc>
        <w:tc>
          <w:tcPr/>
          <w:p>
            <w:pPr>
              <w:pStyle w:val="Compact"/>
              <w:jc w:val="left"/>
            </w:pPr>
            <w:r>
              <w:t xml:space="preserve">滑车神经</w:t>
            </w:r>
          </w:p>
        </w:tc>
        <w:tc>
          <w:tcPr/>
          <w:p>
            <w:pPr>
              <w:pStyle w:val="Compact"/>
              <w:jc w:val="left"/>
            </w:pPr>
            <w:r>
              <w:t xml:space="preserve">上斜肌运动</w:t>
            </w:r>
          </w:p>
        </w:tc>
      </w:tr>
      <w:tr>
        <w:tc>
          <w:tcPr/>
          <w:p>
            <w:pPr>
              <w:pStyle w:val="Compact"/>
              <w:jc w:val="left"/>
            </w:pPr>
            <w:r>
              <w:t xml:space="preserve">五</w:t>
            </w:r>
          </w:p>
        </w:tc>
        <w:tc>
          <w:tcPr/>
          <w:p>
            <w:pPr>
              <w:pStyle w:val="Compact"/>
              <w:jc w:val="left"/>
            </w:pPr>
            <w:r>
              <w:t xml:space="preserve">三叉神经</w:t>
            </w:r>
          </w:p>
        </w:tc>
        <w:tc>
          <w:tcPr/>
          <w:p>
            <w:pPr>
              <w:pStyle w:val="Compact"/>
              <w:jc w:val="left"/>
            </w:pPr>
            <w:r>
              <w:t xml:space="preserve">面部一般感觉及咀嚼相关运动</w:t>
            </w:r>
          </w:p>
        </w:tc>
      </w:tr>
      <w:tr>
        <w:tc>
          <w:tcPr/>
          <w:p>
            <w:pPr>
              <w:pStyle w:val="Compact"/>
              <w:jc w:val="left"/>
            </w:pPr>
            <w:r>
              <w:t xml:space="preserve">六</w:t>
            </w:r>
          </w:p>
        </w:tc>
        <w:tc>
          <w:tcPr/>
          <w:p>
            <w:pPr>
              <w:pStyle w:val="Compact"/>
              <w:jc w:val="left"/>
            </w:pPr>
            <w:r>
              <w:t xml:space="preserve">展神经</w:t>
            </w:r>
          </w:p>
        </w:tc>
        <w:tc>
          <w:tcPr/>
          <w:p>
            <w:pPr>
              <w:pStyle w:val="Compact"/>
              <w:jc w:val="left"/>
            </w:pPr>
            <w:r>
              <w:t xml:space="preserve">外直肌运动</w:t>
            </w:r>
          </w:p>
        </w:tc>
      </w:tr>
      <w:tr>
        <w:tc>
          <w:tcPr/>
          <w:p>
            <w:pPr>
              <w:pStyle w:val="Compact"/>
              <w:jc w:val="left"/>
            </w:pPr>
            <w:r>
              <w:t xml:space="preserve">七</w:t>
            </w:r>
          </w:p>
        </w:tc>
        <w:tc>
          <w:tcPr/>
          <w:p>
            <w:pPr>
              <w:pStyle w:val="Compact"/>
              <w:jc w:val="left"/>
            </w:pPr>
            <w:r>
              <w:t xml:space="preserve">面神经</w:t>
            </w:r>
          </w:p>
        </w:tc>
        <w:tc>
          <w:tcPr/>
          <w:p>
            <w:pPr>
              <w:pStyle w:val="Compact"/>
              <w:jc w:val="left"/>
            </w:pPr>
            <w:r>
              <w:t xml:space="preserve">表情肌运动、部分味觉及泪腺、唾液腺相关调节</w:t>
            </w:r>
          </w:p>
        </w:tc>
      </w:tr>
      <w:tr>
        <w:tc>
          <w:tcPr/>
          <w:p>
            <w:pPr>
              <w:pStyle w:val="Compact"/>
              <w:jc w:val="left"/>
            </w:pPr>
            <w:r>
              <w:t xml:space="preserve">八</w:t>
            </w:r>
          </w:p>
        </w:tc>
        <w:tc>
          <w:tcPr/>
          <w:p>
            <w:pPr>
              <w:pStyle w:val="Compact"/>
              <w:jc w:val="left"/>
            </w:pPr>
            <w:r>
              <w:t xml:space="preserve">前庭蜗神经</w:t>
            </w:r>
          </w:p>
        </w:tc>
        <w:tc>
          <w:tcPr/>
          <w:p>
            <w:pPr>
              <w:pStyle w:val="Compact"/>
              <w:jc w:val="left"/>
            </w:pPr>
            <w:r>
              <w:t xml:space="preserve">听觉与头部运动平衡相关输入</w:t>
            </w:r>
          </w:p>
        </w:tc>
      </w:tr>
      <w:tr>
        <w:tc>
          <w:tcPr/>
          <w:p>
            <w:pPr>
              <w:pStyle w:val="Compact"/>
              <w:jc w:val="left"/>
            </w:pPr>
            <w:r>
              <w:t xml:space="preserve">九</w:t>
            </w:r>
          </w:p>
        </w:tc>
        <w:tc>
          <w:tcPr/>
          <w:p>
            <w:pPr>
              <w:pStyle w:val="Compact"/>
              <w:jc w:val="left"/>
            </w:pPr>
            <w:r>
              <w:t xml:space="preserve">舌咽神经</w:t>
            </w:r>
          </w:p>
        </w:tc>
        <w:tc>
          <w:tcPr/>
          <w:p>
            <w:pPr>
              <w:pStyle w:val="Compact"/>
              <w:jc w:val="left"/>
            </w:pPr>
            <w:r>
              <w:t xml:space="preserve">部分咽部感觉运动、味觉及腮腺相关调节</w:t>
            </w:r>
          </w:p>
        </w:tc>
      </w:tr>
      <w:tr>
        <w:tc>
          <w:tcPr/>
          <w:p>
            <w:pPr>
              <w:pStyle w:val="Compact"/>
              <w:jc w:val="left"/>
            </w:pPr>
            <w:r>
              <w:t xml:space="preserve">十</w:t>
            </w:r>
          </w:p>
        </w:tc>
        <w:tc>
          <w:tcPr/>
          <w:p>
            <w:pPr>
              <w:pStyle w:val="Compact"/>
              <w:jc w:val="left"/>
            </w:pPr>
            <w:r>
              <w:t xml:space="preserve">迷走神经</w:t>
            </w:r>
          </w:p>
        </w:tc>
        <w:tc>
          <w:tcPr/>
          <w:p>
            <w:pPr>
              <w:pStyle w:val="Compact"/>
              <w:jc w:val="left"/>
            </w:pPr>
            <w:r>
              <w:t xml:space="preserve">咽喉运动及广泛内脏感觉与副交感调节</w:t>
            </w:r>
          </w:p>
        </w:tc>
      </w:tr>
      <w:tr>
        <w:tc>
          <w:tcPr/>
          <w:p>
            <w:pPr>
              <w:pStyle w:val="Compact"/>
              <w:jc w:val="left"/>
            </w:pPr>
            <w:r>
              <w:t xml:space="preserve">十一</w:t>
            </w:r>
          </w:p>
        </w:tc>
        <w:tc>
          <w:tcPr/>
          <w:p>
            <w:pPr>
              <w:pStyle w:val="Compact"/>
              <w:jc w:val="left"/>
            </w:pPr>
            <w:r>
              <w:t xml:space="preserve">副神经</w:t>
            </w:r>
          </w:p>
        </w:tc>
        <w:tc>
          <w:tcPr/>
          <w:p>
            <w:pPr>
              <w:pStyle w:val="Compact"/>
              <w:jc w:val="left"/>
            </w:pPr>
            <w:r>
              <w:t xml:space="preserve">胸锁乳突肌与斜方肌相关运动</w:t>
            </w:r>
          </w:p>
        </w:tc>
      </w:tr>
      <w:tr>
        <w:tc>
          <w:tcPr/>
          <w:p>
            <w:pPr>
              <w:pStyle w:val="Compact"/>
              <w:jc w:val="left"/>
            </w:pPr>
            <w:r>
              <w:t xml:space="preserve">十二</w:t>
            </w:r>
          </w:p>
        </w:tc>
        <w:tc>
          <w:tcPr/>
          <w:p>
            <w:pPr>
              <w:pStyle w:val="Compact"/>
              <w:jc w:val="left"/>
            </w:pPr>
            <w:r>
              <w:t xml:space="preserve">舌下神经</w:t>
            </w:r>
          </w:p>
        </w:tc>
        <w:tc>
          <w:tcPr/>
          <w:p>
            <w:pPr>
              <w:pStyle w:val="Compact"/>
              <w:jc w:val="left"/>
            </w:pPr>
            <w:r>
              <w:t xml:space="preserve">主要舌肌运动</w:t>
            </w:r>
          </w:p>
        </w:tc>
      </w:tr>
    </w:tbl>
    <w:p>
      <w:pPr>
        <w:pStyle w:val="BodyText"/>
      </w:pPr>
      <w:r>
        <w:t xml:space="preserve">表中一个功能标签不代表完整支配范围。学习具体反射时，应分别寻找感觉进入支、脑干接替和运动离开支。例如感觉刺激与肌肉响应可能经过不同脑神经，中间还需要局部中间神经元协调。</w:t>
      </w:r>
    </w:p>
    <w:bookmarkEnd w:id="53"/>
    <w:bookmarkStart w:id="54" w:name="sec-2-12"/>
    <w:p>
      <w:pPr>
        <w:pStyle w:val="Heading3"/>
      </w:pPr>
      <w:r>
        <w:t xml:space="preserve">2.12　皮质脊髓通路连接皮层与脊髓控制</w:t>
      </w:r>
    </w:p>
    <w:p>
      <w:pPr>
        <w:pStyle w:val="FirstParagraph"/>
      </w:pPr>
      <w:r>
        <w:t xml:space="preserve">皮质脊髓投射来自多个额顶相关皮层区域，经深部白质和脑干下行。多数相关轴突在延髓下部交叉后进入对侧脊髓外侧区域，另有不同走向和终止方式的成分。其靶点包括脊髓中间神经元以及某些运动神经元相关连接</w:t>
      </w:r>
      <w:r>
        <w:rPr>
          <w:vertAlign w:val="superscript"/>
        </w:rPr>
        <w:t xml:space="preserve">[</w:t>
      </w:r>
      <w:hyperlink w:anchor="ref-10">
        <w:r>
          <w:rPr>
            <w:rStyle w:val="Hyperlink"/>
            <w:vertAlign w:val="superscript"/>
          </w:rPr>
          <w:t xml:space="preserve">10</w:t>
        </w:r>
      </w:hyperlink>
      <w:r>
        <w:rPr>
          <w:vertAlign w:val="superscript"/>
        </w:rPr>
        <w:t xml:space="preserve">]</w:t>
      </w:r>
      <w:r>
        <w:t xml:space="preserve">。</w:t>
      </w:r>
    </w:p>
    <w:p>
      <w:pPr>
        <w:pStyle w:val="BodyText"/>
      </w:pPr>
      <w:r>
        <w:t xml:space="preserve">这条通路能够影响精细动作和感觉运动整合，但身体运动还依赖脑干下行系统、小脑、基底节和局部脊髓回路。皮质脊髓受损后的功能变化，也会受到这些其他系统保留和代偿程度影响。</w:t>
      </w:r>
    </w:p>
    <w:p>
      <w:pPr>
        <w:pStyle w:val="BodyText"/>
      </w:pPr>
      <w:r>
        <w:t xml:space="preserve">交叉关系提供重要定位线索：同一条主要通路在交叉前后损伤，可能对应不同侧的运动影响。具体临床表现仍受到双侧支配、未交叉成分和损伤范围影响。本章用主要路径建立空间理解，不以简化规则替代完整临床检查。</w:t>
      </w:r>
    </w:p>
    <w:bookmarkEnd w:id="54"/>
    <w:bookmarkStart w:id="55" w:name="sec-2-13"/>
    <w:p>
      <w:pPr>
        <w:pStyle w:val="Heading3"/>
      </w:pPr>
      <w:r>
        <w:t xml:space="preserve">2.13　皮质延髓与眼、头、身体的协调</w:t>
      </w:r>
    </w:p>
    <w:p>
      <w:pPr>
        <w:pStyle w:val="FirstParagraph"/>
      </w:pPr>
      <w:r>
        <w:t xml:space="preserve">皮层还通过皮质延髓及其他下行通路影响脑神经运动核与脑干网络。许多头面部运动具有双侧协调需求，相关投射可具有双侧成分；不同肌群的偏侧组织并不完全相同。眼球运动尤其需要多个核团、连接束和感觉反馈共同配合</w:t>
      </w:r>
      <w:r>
        <w:rPr>
          <w:vertAlign w:val="superscript"/>
        </w:rPr>
        <w:t xml:space="preserve">[</w:t>
      </w:r>
      <w:hyperlink w:anchor="ref-14">
        <w:r>
          <w:rPr>
            <w:rStyle w:val="Hyperlink"/>
            <w:vertAlign w:val="superscript"/>
          </w:rPr>
          <w:t xml:space="preserve">14</w:t>
        </w:r>
      </w:hyperlink>
      <w:r>
        <w:rPr>
          <w:vertAlign w:val="superscript"/>
        </w:rPr>
        <w:t xml:space="preserve">]</w:t>
      </w:r>
      <w:r>
        <w:t xml:space="preserve">。</w:t>
      </w:r>
    </w:p>
    <w:p>
      <w:pPr>
        <w:pStyle w:val="BodyText"/>
      </w:pPr>
      <w:r>
        <w:t xml:space="preserve">看向一个目标时，系统需要把视觉位置转化为眼球转动，同时考虑头部姿势和前庭输入。单个眼外肌运动神经只承担末端输出的一部分，定向行为还依赖上游选择和协调。对一条末梢神经的解剖理解，需要嵌入完整行为回路。</w:t>
      </w:r>
    </w:p>
    <w:p>
      <w:pPr>
        <w:pStyle w:val="BodyText"/>
      </w:pPr>
      <w:r>
        <w:t xml:space="preserve">吞咽、发声和呼吸也存在紧密时序联系。脑干网络通过协调不同肌群和自主过程，支持这些行为安全完成。把它们归为单个反射点，会低估网络组织的复杂性。</w:t>
      </w:r>
    </w:p>
    <w:bookmarkEnd w:id="55"/>
    <w:bookmarkStart w:id="56" w:name="sec-2-14"/>
    <w:p>
      <w:pPr>
        <w:pStyle w:val="Heading3"/>
      </w:pPr>
      <w:r>
        <w:t xml:space="preserve">2.14　丘脑的核团组织</w:t>
      </w:r>
    </w:p>
    <w:p>
      <w:pPr>
        <w:pStyle w:val="FirstParagraph"/>
      </w:pPr>
      <w:r>
        <w:t xml:space="preserve">丘脑由多个具有不同连接的核团组成。外侧膝状体与主要视觉通路相关，内侧膝状体与听觉相关，腹后核群参与躯体感觉，腹前和腹外侧相关区域参与运动回路，内侧背核及枕核等与不同皮层网络相联系。丘脑网状核在外侧形成特殊抑制性相关组织</w:t>
      </w:r>
      <w:r>
        <w:rPr>
          <w:vertAlign w:val="superscript"/>
        </w:rPr>
        <w:t xml:space="preserve">[</w:t>
      </w:r>
      <w:hyperlink w:anchor="ref-5">
        <w:r>
          <w:rPr>
            <w:rStyle w:val="Hyperlink"/>
            <w:vertAlign w:val="superscript"/>
          </w:rPr>
          <w:t xml:space="preserve">5</w:t>
        </w:r>
      </w:hyperlink>
      <w:r>
        <w:rPr>
          <w:vertAlign w:val="superscript"/>
        </w:rPr>
        <w:t xml:space="preserve">,</w:t>
      </w:r>
      <w:hyperlink w:anchor="ref-15">
        <w:r>
          <w:rPr>
            <w:rStyle w:val="Hyperlink"/>
            <w:vertAlign w:val="superscript"/>
          </w:rPr>
          <w:t xml:space="preserve">15</w:t>
        </w:r>
      </w:hyperlink>
      <w:r>
        <w:rPr>
          <w:vertAlign w:val="superscript"/>
        </w:rPr>
        <w:t xml:space="preserve">]</w:t>
      </w:r>
      <w:r>
        <w:t xml:space="preserve">。</w:t>
      </w:r>
    </w:p>
    <w:p>
      <w:pPr>
        <w:pStyle w:val="BodyText"/>
      </w:pPr>
      <w:r>
        <w:t xml:space="preserve">这些名称描述主要联系，不构成一核一功能的封闭清单。许多丘脑细胞同时受到皮层反馈、脑干调质和局部抑制影响，传递模式随状态变化。觉醒、睡眠和注意条件下，相同感觉输入可以经过不同动态处理。</w:t>
      </w:r>
    </w:p>
    <w:p>
      <w:pPr>
        <w:pStyle w:val="BodyText"/>
      </w:pPr>
      <w:r>
        <w:t xml:space="preserve">丘脑与皮层之间存在大量往返连接，因此把丘脑只称作被动中继站会遗漏反馈组织。它可以参与信息选择、时序和区域间协调。具体机制见</w:t>
      </w:r>
      <w:r>
        <w:t xml:space="preserve"> </w:t>
      </w:r>
      <w:hyperlink w:anchor="sec-92-4">
        <w:r>
          <w:rPr>
            <w:rStyle w:val="Hyperlink"/>
          </w:rPr>
          <w:t xml:space="preserve">92.4</w:t>
        </w:r>
      </w:hyperlink>
      <w:r>
        <w:t xml:space="preserve">。</w:t>
      </w:r>
    </w:p>
    <w:bookmarkEnd w:id="56"/>
    <w:bookmarkStart w:id="57" w:name="sec-2-15"/>
    <w:p>
      <w:pPr>
        <w:pStyle w:val="Heading3"/>
      </w:pPr>
      <w:r>
        <w:t xml:space="preserve">2.15　下丘脑连接身体状态与行为组织</w:t>
      </w:r>
    </w:p>
    <w:p>
      <w:pPr>
        <w:pStyle w:val="FirstParagraph"/>
      </w:pPr>
      <w:r>
        <w:t xml:space="preserve">下丘脑位于间脑腹侧，邻近第三脑室，包含多个具有不同神经肽、受体和投射的细胞群。它与垂体、自主神经、脑干和前脑网络相联系，参与体温、能量、渗透、繁殖、节律和应激相关调节</w:t>
      </w:r>
      <w:r>
        <w:rPr>
          <w:vertAlign w:val="superscript"/>
        </w:rPr>
        <w:t xml:space="preserve">[</w:t>
      </w:r>
      <w:hyperlink w:anchor="ref-15">
        <w:r>
          <w:rPr>
            <w:rStyle w:val="Hyperlink"/>
            <w:vertAlign w:val="superscript"/>
          </w:rPr>
          <w:t xml:space="preserve">15</w:t>
        </w:r>
      </w:hyperlink>
      <w:r>
        <w:rPr>
          <w:vertAlign w:val="superscript"/>
        </w:rPr>
        <w:t xml:space="preserve">,</w:t>
      </w:r>
      <w:hyperlink w:anchor="ref-16">
        <w:r>
          <w:rPr>
            <w:rStyle w:val="Hyperlink"/>
            <w:vertAlign w:val="superscript"/>
          </w:rPr>
          <w:t xml:space="preserve">16</w:t>
        </w:r>
      </w:hyperlink>
      <w:r>
        <w:rPr>
          <w:vertAlign w:val="superscript"/>
        </w:rPr>
        <w:t xml:space="preserve">]</w:t>
      </w:r>
      <w:r>
        <w:t xml:space="preserve">。</w:t>
      </w:r>
    </w:p>
    <w:p>
      <w:pPr>
        <w:pStyle w:val="BodyText"/>
      </w:pPr>
      <w:r>
        <w:t xml:space="preserve">空间邻近不意味着所有下丘脑细胞执行同一指令。同一核团内也可以包含功能不同的群体，其活动受到血液信号、神经输入和局部回路共同控制。把下丘脑等同本能中心，会掩盖其精细的细胞与反馈结构。</w:t>
      </w:r>
    </w:p>
    <w:p>
      <w:pPr>
        <w:pStyle w:val="BodyText"/>
      </w:pPr>
      <w:r>
        <w:t xml:space="preserve">下丘脑输出可以同时影响内分泌、器官活动和行为选择。例如身体能量相关状态需要改变激素、代谢和寻找食物的行为。这样的多输出协调，使内稳态具有主动行为成分。</w:t>
      </w:r>
    </w:p>
    <w:bookmarkEnd w:id="57"/>
    <w:bookmarkStart w:id="58" w:name="sec-2-16"/>
    <w:p>
      <w:pPr>
        <w:pStyle w:val="Heading3"/>
      </w:pPr>
      <w:r>
        <w:t xml:space="preserve">2.16　大脑皮层表面与深部结构</w:t>
      </w:r>
    </w:p>
    <w:p>
      <w:pPr>
        <w:pStyle w:val="FirstParagraph"/>
      </w:pPr>
      <w:r>
        <w:t xml:space="preserve">中央沟帮助区分额叶与顶叶的部分边界，外侧裂与颞叶和岛叶的关系提供另一组定位标志。岛叶位于外侧裂深处，扣带相关皮层位于内侧表面。枕叶包含重要视觉皮层，但其他叶同样参与视觉相关网络。脑叶划分具有解剖便利性，无法替代功能连接图</w:t>
      </w:r>
      <w:r>
        <w:rPr>
          <w:vertAlign w:val="superscript"/>
        </w:rPr>
        <w:t xml:space="preserve">[</w:t>
      </w:r>
      <w:hyperlink w:anchor="ref-8">
        <w:r>
          <w:rPr>
            <w:rStyle w:val="Hyperlink"/>
            <w:vertAlign w:val="superscript"/>
          </w:rPr>
          <w:t xml:space="preserve">8</w:t>
        </w:r>
      </w:hyperlink>
      <w:r>
        <w:rPr>
          <w:vertAlign w:val="superscript"/>
        </w:rPr>
        <w:t xml:space="preserve">,</w:t>
      </w:r>
      <w:hyperlink w:anchor="ref-15">
        <w:r>
          <w:rPr>
            <w:rStyle w:val="Hyperlink"/>
            <w:vertAlign w:val="superscript"/>
          </w:rPr>
          <w:t xml:space="preserve">15</w:t>
        </w:r>
      </w:hyperlink>
      <w:r>
        <w:rPr>
          <w:vertAlign w:val="superscript"/>
        </w:rPr>
        <w:t xml:space="preserve">]</w:t>
      </w:r>
      <w:r>
        <w:t xml:space="preserve">。</w:t>
      </w:r>
    </w:p>
    <w:p>
      <w:pPr>
        <w:pStyle w:val="BodyText"/>
      </w:pPr>
      <w:r>
        <w:t xml:space="preserve">皮层折叠使相邻表面位置在三维空间中可能很近，但沿皮层表面的距离较远。影像分析中，应区分体积空间邻近与表面空间邻近。跨沟的两个点可能属于不同区域，即使直线距离很短。</w:t>
      </w:r>
    </w:p>
    <w:p>
      <w:pPr>
        <w:pStyle w:val="BodyText"/>
      </w:pPr>
      <w:r>
        <w:t xml:space="preserve">皮层厚度和层次也因区域而变。初级感觉、运动和联合区域具有不同细胞及连接特征，六层概括不意味着每个区域的每层厚度和功能相同。海马及嗅觉相关皮层还具有不同的层状组织。</w:t>
      </w:r>
    </w:p>
    <w:bookmarkEnd w:id="58"/>
    <w:bookmarkStart w:id="59" w:name="sec-2-17"/>
    <w:p>
      <w:pPr>
        <w:pStyle w:val="Heading3"/>
      </w:pPr>
      <w:r>
        <w:t xml:space="preserve">2.17　深部灰质与内囊的空间关系</w:t>
      </w:r>
    </w:p>
    <w:p>
      <w:pPr>
        <w:pStyle w:val="FirstParagraph"/>
      </w:pPr>
      <w:r>
        <w:t xml:space="preserve">尾状核、壳核、苍白球和伏隔核等位于大脑半球深部，参与不同皮层和脑干回路。内囊穿行于深部灰质之间，是许多上行和下行投射经过的重要区域。丘脑位于其内侧相关位置，豆状核相关结构位于外侧</w:t>
      </w:r>
      <w:r>
        <w:rPr>
          <w:vertAlign w:val="superscript"/>
        </w:rPr>
        <w:t xml:space="preserve">[</w:t>
      </w:r>
      <w:hyperlink w:anchor="ref-8">
        <w:r>
          <w:rPr>
            <w:rStyle w:val="Hyperlink"/>
            <w:vertAlign w:val="superscript"/>
          </w:rPr>
          <w:t xml:space="preserve">8</w:t>
        </w:r>
      </w:hyperlink>
      <w:r>
        <w:rPr>
          <w:vertAlign w:val="superscript"/>
        </w:rPr>
        <w:t xml:space="preserve">,</w:t>
      </w:r>
      <w:hyperlink w:anchor="ref-15">
        <w:r>
          <w:rPr>
            <w:rStyle w:val="Hyperlink"/>
            <w:vertAlign w:val="superscript"/>
          </w:rPr>
          <w:t xml:space="preserve">15</w:t>
        </w:r>
      </w:hyperlink>
      <w:r>
        <w:rPr>
          <w:vertAlign w:val="superscript"/>
        </w:rPr>
        <w:t xml:space="preserve">]</w:t>
      </w:r>
      <w:r>
        <w:t xml:space="preserve">。</w:t>
      </w:r>
    </w:p>
    <w:p>
      <w:pPr>
        <w:pStyle w:val="BodyText"/>
      </w:pPr>
      <w:r>
        <w:t xml:space="preserve">这样的密集布局解释了为什么小范围白质损伤可能影响多种功能。轴突在某些区域汇聚，使解剖体积较小的损伤仍可中断广泛来源的连接。损伤大小与功能后果之间因此缺少简单比例关系。</w:t>
      </w:r>
    </w:p>
    <w:p>
      <w:pPr>
        <w:pStyle w:val="BodyText"/>
      </w:pPr>
      <w:r>
        <w:t xml:space="preserve">尾状核和侧脑室均具有弯曲延伸的形态，在不同截面中可见不同部分。学习时应把头、体、尾等位置放回三维连续结构。只凭一个截面中的圆形或椭圆形轮廓，容易把同一结构的不同部分误认为不同核团。</w:t>
      </w:r>
    </w:p>
    <w:bookmarkEnd w:id="59"/>
    <w:bookmarkStart w:id="60" w:name="sec-2-18"/>
    <w:p>
      <w:pPr>
        <w:pStyle w:val="Heading3"/>
      </w:pPr>
      <w:r>
        <w:t xml:space="preserve">2.18　海马、杏仁核与内侧颞叶</w:t>
      </w:r>
    </w:p>
    <w:p>
      <w:pPr>
        <w:pStyle w:val="FirstParagraph"/>
      </w:pPr>
      <w:r>
        <w:t xml:space="preserve">海马形成位于内侧颞叶，具有折叠的层状结构，并通过内嗅等区域与广泛皮层联系。杏仁核复合体位于其前方相关区域，包含多个不同核群。二者空间接近并存在联系，但内部细胞组织和输入输出不同</w:t>
      </w:r>
      <w:r>
        <w:rPr>
          <w:vertAlign w:val="superscript"/>
        </w:rPr>
        <w:t xml:space="preserve">[</w:t>
      </w:r>
      <w:hyperlink w:anchor="ref-8">
        <w:r>
          <w:rPr>
            <w:rStyle w:val="Hyperlink"/>
            <w:vertAlign w:val="superscript"/>
          </w:rPr>
          <w:t xml:space="preserve">8</w:t>
        </w:r>
      </w:hyperlink>
      <w:r>
        <w:rPr>
          <w:vertAlign w:val="superscript"/>
        </w:rPr>
        <w:t xml:space="preserve">,</w:t>
      </w:r>
      <w:hyperlink w:anchor="ref-15">
        <w:r>
          <w:rPr>
            <w:rStyle w:val="Hyperlink"/>
            <w:vertAlign w:val="superscript"/>
          </w:rPr>
          <w:t xml:space="preserve">15</w:t>
        </w:r>
      </w:hyperlink>
      <w:r>
        <w:rPr>
          <w:vertAlign w:val="superscript"/>
        </w:rPr>
        <w:t xml:space="preserve">]</w:t>
      </w:r>
      <w:r>
        <w:t xml:space="preserve">。</w:t>
      </w:r>
    </w:p>
    <w:p>
      <w:pPr>
        <w:pStyle w:val="BodyText"/>
      </w:pPr>
      <w:r>
        <w:t xml:space="preserve">记忆、情境和情绪相关行为常同时招募多个内侧颞叶结构。观察到一个任务激活该区域时，需要进一步辨认具体亚区与连接。把整个内侧颞叶统称为记忆中心，会忽略不同阶段和不同信息内容的分工。</w:t>
      </w:r>
    </w:p>
    <w:p>
      <w:pPr>
        <w:pStyle w:val="BodyText"/>
      </w:pPr>
      <w:r>
        <w:t xml:space="preserve">穹隆、终纹及其他纤维路径为深部结构与间脑、基底前脑等区域提供联系。其走向受到发育形态影响，常呈弯曲路线。复杂形状具有解剖历史，无法单纯用最短距离原则预测。</w:t>
      </w:r>
    </w:p>
    <w:bookmarkEnd w:id="60"/>
    <w:bookmarkStart w:id="61" w:name="sec-2-19"/>
    <w:p>
      <w:pPr>
        <w:pStyle w:val="Heading3"/>
      </w:pPr>
      <w:r>
        <w:t xml:space="preserve">2.19　连合、联合与投射纤维</w:t>
      </w:r>
    </w:p>
    <w:p>
      <w:pPr>
        <w:pStyle w:val="FirstParagraph"/>
      </w:pPr>
      <w:r>
        <w:t xml:space="preserve">连合纤维连接两侧半球，胼胝体是其中最大的主要结构。联合纤维连接同侧不同皮层区域，包含短程和长程成分。投射纤维连接皮层与丘脑、脑干、脊髓等结构。这些分类按照主要终点关系组织白质，有助于建立宏观连接框架</w:t>
      </w:r>
      <w:r>
        <w:rPr>
          <w:vertAlign w:val="superscript"/>
        </w:rPr>
        <w:t xml:space="preserve">[</w:t>
      </w:r>
      <w:hyperlink w:anchor="ref-8">
        <w:r>
          <w:rPr>
            <w:rStyle w:val="Hyperlink"/>
            <w:vertAlign w:val="superscript"/>
          </w:rPr>
          <w:t xml:space="preserve">8</w:t>
        </w:r>
      </w:hyperlink>
      <w:r>
        <w:rPr>
          <w:vertAlign w:val="superscript"/>
        </w:rPr>
        <w:t xml:space="preserve">]</w:t>
      </w:r>
      <w:r>
        <w:t xml:space="preserve">。</w:t>
      </w:r>
    </w:p>
    <w:p>
      <w:pPr>
        <w:pStyle w:val="BodyText"/>
      </w:pPr>
      <w:r>
        <w:t xml:space="preserve">一条纤维束的名称并不保证所有轴突具有相同终点，也不保证只参与一个认知领域。长程束在途中经过多个区域，末端分支可以形成复杂网络。弥散成像追踪得到的流线则是模型估计，不能直接按流线数量计算真实轴突数量。</w:t>
      </w:r>
    </w:p>
    <w:p>
      <w:pPr>
        <w:pStyle w:val="BodyText"/>
      </w:pPr>
      <w:r>
        <w:t xml:space="preserve">跨半球通信也包含多条路径。胼胝体重要，但皮层下和其他连合连接同样存在。局部连合缺陷或切断后的行为，需要考虑剩余通路和长期适应。解剖基础能够帮助理解这种条件性。</w:t>
      </w:r>
    </w:p>
    <w:bookmarkEnd w:id="61"/>
    <w:bookmarkStart w:id="62" w:name="sec-2-20"/>
    <w:p>
      <w:pPr>
        <w:pStyle w:val="Heading3"/>
      </w:pPr>
      <w:r>
        <w:t xml:space="preserve">2.20　脑室和脑膜提供定位与边界</w:t>
      </w:r>
    </w:p>
    <w:p>
      <w:pPr>
        <w:pStyle w:val="FirstParagraph"/>
      </w:pPr>
      <w:r>
        <w:t xml:space="preserve">侧脑室通过室间孔与第三脑室相通，第三脑室经中脑导水管连接第四脑室，随后与相关蛛网膜下腔通路联系。脑室形状反映了神经管腔及周围组织的发育，也是截面定位的重要标志。脑脊液的多路径交换和外流在</w:t>
      </w:r>
      <w:hyperlink w:anchor="ch-12">
        <w:r>
          <w:rPr>
            <w:rStyle w:val="Hyperlink"/>
          </w:rPr>
          <w:t xml:space="preserve">第12章</w:t>
        </w:r>
      </w:hyperlink>
      <w:r>
        <w:t xml:space="preserve">详细讨论</w:t>
      </w:r>
      <w:r>
        <w:rPr>
          <w:vertAlign w:val="superscript"/>
        </w:rPr>
        <w:t xml:space="preserve">[</w:t>
      </w:r>
      <w:hyperlink w:anchor="ref-17">
        <w:r>
          <w:rPr>
            <w:rStyle w:val="Hyperlink"/>
            <w:vertAlign w:val="superscript"/>
          </w:rPr>
          <w:t xml:space="preserve">17</w:t>
        </w:r>
      </w:hyperlink>
      <w:r>
        <w:rPr>
          <w:vertAlign w:val="superscript"/>
        </w:rPr>
        <w:t xml:space="preserve">]</w:t>
      </w:r>
      <w:r>
        <w:t xml:space="preserve">。</w:t>
      </w:r>
    </w:p>
    <w:p>
      <w:pPr>
        <w:pStyle w:val="BodyText"/>
      </w:pPr>
      <w:r>
        <w:t xml:space="preserve">硬脑膜、蛛网膜和软脑膜构成不同边界。软脑膜紧贴脑表面，蛛网膜下腔包含脑脊液和部分血管。脑膜同时参与机械保护、免疫界面和液体相关过程，现代研究已经扩展了单纯保护层的认识</w:t>
      </w:r>
      <w:r>
        <w:rPr>
          <w:vertAlign w:val="superscript"/>
        </w:rPr>
        <w:t xml:space="preserve">[</w:t>
      </w:r>
      <w:hyperlink w:anchor="ref-18">
        <w:r>
          <w:rPr>
            <w:rStyle w:val="Hyperlink"/>
            <w:vertAlign w:val="superscript"/>
          </w:rPr>
          <w:t xml:space="preserve">18</w:t>
        </w:r>
      </w:hyperlink>
      <w:r>
        <w:rPr>
          <w:vertAlign w:val="superscript"/>
        </w:rPr>
        <w:t xml:space="preserve">,</w:t>
      </w:r>
      <w:hyperlink w:anchor="ref-19">
        <w:r>
          <w:rPr>
            <w:rStyle w:val="Hyperlink"/>
            <w:vertAlign w:val="superscript"/>
          </w:rPr>
          <w:t xml:space="preserve">19</w:t>
        </w:r>
      </w:hyperlink>
      <w:r>
        <w:rPr>
          <w:vertAlign w:val="superscript"/>
        </w:rPr>
        <w:t xml:space="preserve">]</w:t>
      </w:r>
      <w:r>
        <w:t xml:space="preserve">。</w:t>
      </w:r>
    </w:p>
    <w:p>
      <w:pPr>
        <w:pStyle w:val="BodyText"/>
      </w:pPr>
      <w:r>
        <w:t xml:space="preserve">定位液体、出血或肿块时，应明确它位于脑实质、脑室、蛛网膜下腔还是其他间隙。空间区室决定受影响结构与可能传播路径，名称精确具有直接机制意义。</w:t>
      </w:r>
    </w:p>
    <w:bookmarkEnd w:id="62"/>
    <w:bookmarkStart w:id="63" w:name="sec-2-21"/>
    <w:p>
      <w:pPr>
        <w:pStyle w:val="Heading3"/>
      </w:pPr>
      <w:r>
        <w:t xml:space="preserve">2.21　内脏传入把身体信息送回中枢</w:t>
      </w:r>
    </w:p>
    <w:p>
      <w:pPr>
        <w:pStyle w:val="FirstParagraph"/>
      </w:pPr>
      <w:r>
        <w:t xml:space="preserve">内脏感觉通过脊神经和脑神经相关路径进入中枢，局部反射与上行投射共同参与调节。孤束核是多种内脏传入的重要接替和整合区域，并与下丘脑及脑干运动相关网络联系。身体反馈因此能够在多个层级影响器官输出和行为</w:t>
      </w:r>
      <w:r>
        <w:rPr>
          <w:vertAlign w:val="superscript"/>
        </w:rPr>
        <w:t xml:space="preserve">[</w:t>
      </w:r>
      <w:hyperlink w:anchor="ref-16">
        <w:r>
          <w:rPr>
            <w:rStyle w:val="Hyperlink"/>
            <w:vertAlign w:val="superscript"/>
          </w:rPr>
          <w:t xml:space="preserve">16</w:t>
        </w:r>
      </w:hyperlink>
      <w:r>
        <w:rPr>
          <w:vertAlign w:val="superscript"/>
        </w:rPr>
        <w:t xml:space="preserve">]</w:t>
      </w:r>
      <w:r>
        <w:t xml:space="preserve">。</w:t>
      </w:r>
    </w:p>
    <w:p>
      <w:pPr>
        <w:pStyle w:val="BodyText"/>
      </w:pPr>
      <w:r>
        <w:t xml:space="preserve">内脏感觉不总是形成清晰可报告的意识体验。血压、气体、胃肠状态和其他变量可以通过反射持续调整，而只有部分变化进入显著主观感受。感觉存在、被中枢处理和被意识报告，是三个不同层次。</w:t>
      </w:r>
    </w:p>
    <w:p>
      <w:pPr>
        <w:pStyle w:val="BodyText"/>
      </w:pPr>
      <w:r>
        <w:t xml:space="preserve">这一组织也说明脑与身体的关系具有闭环性质。脑输出改变器官，器官变化再改变传入，随后网络继续调整。只画一条大脑指挥身体的箭头，无法表达这种持续反馈。</w:t>
      </w:r>
    </w:p>
    <w:bookmarkEnd w:id="63"/>
    <w:bookmarkStart w:id="64" w:name="sec-2-22"/>
    <w:p>
      <w:pPr>
        <w:pStyle w:val="Heading3"/>
      </w:pPr>
      <w:r>
        <w:t xml:space="preserve">2.22　沿完整通路完成定位推理</w:t>
      </w:r>
    </w:p>
    <w:p>
      <w:pPr>
        <w:pStyle w:val="FirstParagraph"/>
      </w:pPr>
      <w:r>
        <w:t xml:space="preserve">面对一个假设性功能变化，可以按固定因果顺序检查：外周受体是否接收信号，传入轴突是否完整，中枢接替是否存在，长程通路是否交叉，靶区是否能够整合，以及输出是否能到达效应器。这个顺序属于解剖机制推理，能够帮助组织学习。</w:t>
      </w:r>
    </w:p>
    <w:p>
      <w:pPr>
        <w:pStyle w:val="BodyText"/>
      </w:pPr>
      <w:r>
        <w:t xml:space="preserve">例如同样表现为手部操作不准确，候选原因可以涉及触觉反馈、本体感觉、运动输出、协调时间或任务规则。不同通路组合会产生不同伴随现象。功能名称相同，并不意味着损伤位置相同。</w:t>
      </w:r>
    </w:p>
    <w:p>
      <w:pPr>
        <w:pStyle w:val="BodyText"/>
      </w:pPr>
      <w:r>
        <w:t xml:space="preserve">主要神经轴方向、脑干与脊髓分区、已反复建立的感觉运动通路连接，属于高置信度解剖基础；人体个体之间的精细分支差异及特定行为中的实时信息流，仍须结合各自测量判断。由解剖位置直接推出一种复杂心理功能的唯一归属，缺少充分依据</w:t>
      </w:r>
      <w:r>
        <w:rPr>
          <w:vertAlign w:val="superscript"/>
        </w:rPr>
        <w:t xml:space="preserve">[</w:t>
      </w:r>
      <w:hyperlink w:anchor="ref-4">
        <w:r>
          <w:rPr>
            <w:rStyle w:val="Hyperlink"/>
            <w:vertAlign w:val="superscript"/>
          </w:rPr>
          <w:t xml:space="preserve">4</w:t>
        </w:r>
      </w:hyperlink>
      <w:r>
        <w:rPr>
          <w:vertAlign w:val="superscript"/>
        </w:rPr>
        <w:t xml:space="preserve">,</w:t>
      </w:r>
      <w:hyperlink w:anchor="ref-5">
        <w:r>
          <w:rPr>
            <w:rStyle w:val="Hyperlink"/>
            <w:vertAlign w:val="superscript"/>
          </w:rPr>
          <w:t xml:space="preserve">5</w:t>
        </w:r>
      </w:hyperlink>
      <w:r>
        <w:rPr>
          <w:vertAlign w:val="superscript"/>
        </w:rPr>
        <w:t xml:space="preserve">,</w:t>
      </w:r>
      <w:hyperlink w:anchor="ref-10">
        <w:r>
          <w:rPr>
            <w:rStyle w:val="Hyperlink"/>
            <w:vertAlign w:val="superscript"/>
          </w:rPr>
          <w:t xml:space="preserve">10</w:t>
        </w:r>
      </w:hyperlink>
      <w:r>
        <w:rPr>
          <w:vertAlign w:val="superscript"/>
        </w:rPr>
        <w:t xml:space="preserve">,</w:t>
      </w:r>
      <w:hyperlink w:anchor="ref-16">
        <w:r>
          <w:rPr>
            <w:rStyle w:val="Hyperlink"/>
            <w:vertAlign w:val="superscript"/>
          </w:rPr>
          <w:t xml:space="preserve">16</w:t>
        </w:r>
      </w:hyperlink>
      <w:r>
        <w:rPr>
          <w:vertAlign w:val="superscript"/>
        </w:rPr>
        <w:t xml:space="preserve">]</w:t>
      </w:r>
      <w:r>
        <w:t xml:space="preserve">。</w:t>
      </w:r>
    </w:p>
    <w:p>
      <w:pPr>
        <w:pStyle w:val="BodyText"/>
      </w:pPr>
      <w:r>
        <w:t xml:space="preserve">熟悉解剖之后，最重要的提升是从单个位置转向连续路径。把每条路径的起点、接替、交叉、分支和终点连成完整地图，能够为感觉、运动、内稳态和认知机制提供共同的空间语言。</w:t>
      </w:r>
    </w:p>
    <w:bookmarkEnd w:id="64"/>
    <w:bookmarkEnd w:id="65"/>
    <w:bookmarkStart w:id="77" w:name="ch-3"/>
    <w:p>
      <w:pPr>
        <w:pStyle w:val="Heading2"/>
      </w:pPr>
      <w:r>
        <w:t xml:space="preserve">第3章　比较神经生物学与脑的演化</w:t>
      </w:r>
    </w:p>
    <w:bookmarkStart w:id="66" w:name="sec-3-1"/>
    <w:p>
      <w:pPr>
        <w:pStyle w:val="Heading3"/>
      </w:pPr>
      <w:r>
        <w:t xml:space="preserve">3.1　同源关系需要注明比较层级</w:t>
      </w:r>
    </w:p>
    <w:p>
      <w:pPr>
        <w:pStyle w:val="FirstParagraph"/>
      </w:pPr>
      <w:r>
        <w:t xml:space="preserve">比较神经科学研究不同物种之间哪些结构来自共同祖先，哪些机制发生了分化，以及不同组织方式怎样支持行为。基因同源、细胞类型同源、发育区域同源和整个回路同源，属于不同层级。两个区域可以共享某类细胞，却具有不同的整体空间组织；两个回路也可以实现相似功能，同时使用不同的细胞组合。</w:t>
      </w:r>
    </w:p>
    <w:p>
      <w:pPr>
        <w:pStyle w:val="BodyText"/>
      </w:pPr>
      <w:r>
        <w:t xml:space="preserve">鸟类和哺乳动物的端脑比较尤其说明这一点。研究者可以结合发育来源、分子标记、输入输出和细胞生理讨论对应关系。早期分子与连接研究支持部分输入、输出细胞类型之间的关联；后续爬行动物单细胞研究进一步指出，祖先调控程序的保留与细胞类型的分化可以同时存在</w:t>
      </w:r>
      <w:r>
        <w:rPr>
          <w:vertAlign w:val="superscript"/>
        </w:rPr>
        <w:t xml:space="preserve">[</w:t>
      </w:r>
      <w:hyperlink w:anchor="ref-20">
        <w:r>
          <w:rPr>
            <w:rStyle w:val="Hyperlink"/>
            <w:vertAlign w:val="superscript"/>
          </w:rPr>
          <w:t xml:space="preserve">20</w:t>
        </w:r>
      </w:hyperlink>
      <w:r>
        <w:rPr>
          <w:vertAlign w:val="superscript"/>
        </w:rPr>
        <w:t xml:space="preserve">,</w:t>
      </w:r>
      <w:hyperlink w:anchor="ref-21">
        <w:r>
          <w:rPr>
            <w:rStyle w:val="Hyperlink"/>
            <w:vertAlign w:val="superscript"/>
          </w:rPr>
          <w:t xml:space="preserve">21</w:t>
        </w:r>
      </w:hyperlink>
      <w:r>
        <w:rPr>
          <w:vertAlign w:val="superscript"/>
        </w:rPr>
        <w:t xml:space="preserve">]</w:t>
      </w:r>
      <w:r>
        <w:t xml:space="preserve">。这些证据支持分层比较，尚不要求把整个鸟类核团与某一哺乳动物皮层层次建立简单的一对一对应。</w:t>
      </w:r>
    </w:p>
    <w:p>
      <w:pPr>
        <w:pStyle w:val="BodyText"/>
      </w:pPr>
      <w:r>
        <w:t xml:space="preserve">因此，阅读同源主张时需要追问作者比较的是一个基因模块、一类细胞还是一个胚胎区域。若证据只来自少量共享标记，结论应保持在相应层级。功能相似为比较提供线索，祖先来源则需要系统发育和发育证据共同支持。</w:t>
      </w:r>
    </w:p>
    <w:bookmarkEnd w:id="66"/>
    <w:bookmarkStart w:id="67" w:name="sec-3-2"/>
    <w:p>
      <w:pPr>
        <w:pStyle w:val="Heading3"/>
      </w:pPr>
      <w:r>
        <w:t xml:space="preserve">3.2　保守细胞框架允许多种分子分化</w:t>
      </w:r>
    </w:p>
    <w:p>
      <w:pPr>
        <w:pStyle w:val="FirstParagraph"/>
      </w:pPr>
      <w:r>
        <w:t xml:space="preserve">人类与小鼠皮层具有可对应的主要细胞框架，细胞比例、层分布、形态及许多基因表达却存在差异。人类颞中回与小鼠皮层的转录比较直接展示了这种组合</w:t>
      </w:r>
      <w:r>
        <w:rPr>
          <w:vertAlign w:val="superscript"/>
        </w:rPr>
        <w:t xml:space="preserve">[</w:t>
      </w:r>
      <w:hyperlink w:anchor="ref-22">
        <w:r>
          <w:rPr>
            <w:rStyle w:val="Hyperlink"/>
            <w:vertAlign w:val="superscript"/>
          </w:rPr>
          <w:t xml:space="preserve">22</w:t>
        </w:r>
      </w:hyperlink>
      <w:r>
        <w:rPr>
          <w:vertAlign w:val="superscript"/>
        </w:rPr>
        <w:t xml:space="preserve">]</w:t>
      </w:r>
      <w:r>
        <w:t xml:space="preserve">。这种关系说明，同源类型可以保持核心身份，同时改变其生理条件和回路角色。</w:t>
      </w:r>
    </w:p>
    <w:p>
      <w:pPr>
        <w:pStyle w:val="BodyText"/>
      </w:pPr>
      <w:r>
        <w:t xml:space="preserve">一个细胞类型的核心调控程序可能维持递质表型和发育来源，外围表达则改变离子通道、受体、黏附分子和代谢能力。前者有助于跨物种识别，后者可能影响药物敏感性、放电时序和连接选择。给细胞贴上相同名称之后，仍需要检查这些具体属性。</w:t>
      </w:r>
    </w:p>
    <w:p>
      <w:pPr>
        <w:pStyle w:val="BodyText"/>
      </w:pPr>
      <w:r>
        <w:t xml:space="preserve">例如，若两种动物中可对应的抑制细胞表达不同受体亚基，相同配体可能产生不同强度或时间过程。若轴突靶区也发生变化，其对行为的贡献便可能进一步分化。跨物种迁移一个机制假设时，可以把它拆成细胞身份、分子靶点、回路位置和行为使用四个问题，逐项寻找支持。</w:t>
      </w:r>
    </w:p>
    <w:bookmarkEnd w:id="67"/>
    <w:bookmarkStart w:id="68" w:name="sec-3-3"/>
    <w:p>
      <w:pPr>
        <w:pStyle w:val="Heading3"/>
      </w:pPr>
      <w:r>
        <w:t xml:space="preserve">3.3　基因重复提供新的调节材料</w:t>
      </w:r>
    </w:p>
    <w:p>
      <w:pPr>
        <w:pStyle w:val="FirstParagraph"/>
      </w:pPr>
      <w:r>
        <w:t xml:space="preserve">基因重复产生额外拷贝，随后可发生表达区域、剂量或蛋白功能的改变。新的拷贝可能保留祖先作用，也可能获得新的结构片段和相互作用。复制区域的序列高度相似，使参考基因组组装、转录读段定位和拷贝识别更困难。研究人类谱系特有基因时，必须确认实际测到哪个拷贝，以及它是否具有完整功能</w:t>
      </w:r>
      <w:r>
        <w:rPr>
          <w:vertAlign w:val="superscript"/>
        </w:rPr>
        <w:t xml:space="preserve">[</w:t>
      </w:r>
      <w:hyperlink w:anchor="ref-23">
        <w:r>
          <w:rPr>
            <w:rStyle w:val="Hyperlink"/>
            <w:vertAlign w:val="superscript"/>
          </w:rPr>
          <w:t xml:space="preserve">23</w:t>
        </w:r>
      </w:hyperlink>
      <w:r>
        <w:rPr>
          <w:vertAlign w:val="superscript"/>
        </w:rPr>
        <w:t xml:space="preserve">,</w:t>
      </w:r>
      <w:hyperlink w:anchor="ref-24">
        <w:r>
          <w:rPr>
            <w:rStyle w:val="Hyperlink"/>
            <w:vertAlign w:val="superscript"/>
          </w:rPr>
          <w:t xml:space="preserve">24</w:t>
        </w:r>
      </w:hyperlink>
      <w:r>
        <w:rPr>
          <w:vertAlign w:val="superscript"/>
        </w:rPr>
        <w:t xml:space="preserve">]</w:t>
      </w:r>
      <w:r>
        <w:t xml:space="preserve">。</w:t>
      </w:r>
    </w:p>
    <w:p>
      <w:pPr>
        <w:pStyle w:val="BodyText"/>
      </w:pPr>
      <w:r>
        <w:t xml:space="preserve">ARHGAP11B是研究皮层发育演化的一项具体例子。将其表达于胚胎小鼠皮层，可以改变基底祖细胞扩增和部分形态指标，支持该分子具有影响神经发生的能力</w:t>
      </w:r>
      <w:r>
        <w:rPr>
          <w:vertAlign w:val="superscript"/>
        </w:rPr>
        <w:t xml:space="preserve">[</w:t>
      </w:r>
      <w:hyperlink w:anchor="ref-23">
        <w:r>
          <w:rPr>
            <w:rStyle w:val="Hyperlink"/>
            <w:vertAlign w:val="superscript"/>
          </w:rPr>
          <w:t xml:space="preserve">23</w:t>
        </w:r>
      </w:hyperlink>
      <w:r>
        <w:rPr>
          <w:vertAlign w:val="superscript"/>
        </w:rPr>
        <w:t xml:space="preserve">]</w:t>
      </w:r>
      <w:r>
        <w:t xml:space="preserve">。这项实验并没有重建人类演化全过程，也不能把单个分子的效应直接转换成智力或复杂文化能力。</w:t>
      </w:r>
    </w:p>
    <w:p>
      <w:pPr>
        <w:pStyle w:val="BodyText"/>
      </w:pPr>
      <w:r>
        <w:t xml:space="preserve">机制链需要保持完整：基因序列改变首先影响表达或蛋白作用，随后改变某类祖细胞的行为，再改变细胞数量、时序或组织结构，最后才可能影响回路功能。每个箭头都可能受其他基因和发育环境限制。一个分子对早期细胞数量的作用，可以被后续存活、迁移和连接竞争放大或抵消。</w:t>
      </w:r>
    </w:p>
    <w:bookmarkEnd w:id="68"/>
    <w:bookmarkStart w:id="69" w:name="sec-3-4"/>
    <w:p>
      <w:pPr>
        <w:pStyle w:val="Heading3"/>
      </w:pPr>
      <w:r>
        <w:t xml:space="preserve">3.4　发育持续时间改变最终细胞产出</w:t>
      </w:r>
    </w:p>
    <w:p>
      <w:pPr>
        <w:pStyle w:val="FirstParagraph"/>
      </w:pPr>
      <w:r>
        <w:t xml:space="preserve">皮层神经元数量受祖细胞起始规模、细胞周期、对称与不对称分裂比例、分化时间和细胞死亡共同影响。延长自我更新阶段可以增加未来产生神经元的祖细胞数量，但其后果还取决于组织是否能够支持这些细胞迁移、供能和建立连接。</w:t>
      </w:r>
    </w:p>
    <w:p>
      <w:pPr>
        <w:pStyle w:val="BodyText"/>
      </w:pPr>
      <w:r>
        <w:t xml:space="preserve">人类外室下区的外放射状胶质细胞不与脑室面接触，形态和分裂行为都不同于脑室区的放射状胶质；原始活组织研究显示其能够产生并扩增神经祖细胞</w:t>
      </w:r>
      <w:r>
        <w:rPr>
          <w:vertAlign w:val="superscript"/>
        </w:rPr>
        <w:t xml:space="preserve">[</w:t>
      </w:r>
      <w:hyperlink w:anchor="ref-25">
        <w:r>
          <w:rPr>
            <w:rStyle w:val="Hyperlink"/>
            <w:vertAlign w:val="superscript"/>
          </w:rPr>
          <w:t xml:space="preserve">25</w:t>
        </w:r>
      </w:hyperlink>
      <w:r>
        <w:rPr>
          <w:vertAlign w:val="superscript"/>
        </w:rPr>
        <w:t xml:space="preserve">]</w:t>
      </w:r>
      <w:r>
        <w:t xml:space="preserve">。这一发现使皮层扩展具有了更具体的细胞机制。比较物种时，相关细胞的存在、丰度、分裂方式和发育持续时间都应分别测量，单纯判断某类细胞有无会遗漏定量差异。</w:t>
      </w:r>
    </w:p>
    <w:p>
      <w:pPr>
        <w:pStyle w:val="BodyText"/>
      </w:pPr>
      <w:r>
        <w:t xml:space="preserve">NOTCH2NL相关实验表明，人类谱系的这些拷贝能够调节Notch信号和祖细胞分化时间</w:t>
      </w:r>
      <w:r>
        <w:rPr>
          <w:vertAlign w:val="superscript"/>
        </w:rPr>
        <w:t xml:space="preserve">[</w:t>
      </w:r>
      <w:hyperlink w:anchor="ref-24">
        <w:r>
          <w:rPr>
            <w:rStyle w:val="Hyperlink"/>
            <w:vertAlign w:val="superscript"/>
          </w:rPr>
          <w:t xml:space="preserve">24</w:t>
        </w:r>
      </w:hyperlink>
      <w:r>
        <w:rPr>
          <w:vertAlign w:val="superscript"/>
        </w:rPr>
        <w:t xml:space="preserve">]</w:t>
      </w:r>
      <w:r>
        <w:t xml:space="preserve">。延迟分化的机制意义在于改变祖细胞池何时退出增殖。它也提醒我们，同一个信号增强到不同程度、发生于不同时间窗口，可能产生不同结果。演化中的组织扩展需要多个过程彼此协调，持续维持增殖本身并不保证形成正常回路。</w:t>
      </w:r>
    </w:p>
    <w:bookmarkEnd w:id="69"/>
    <w:bookmarkStart w:id="70" w:name="sec-3-5"/>
    <w:p>
      <w:pPr>
        <w:pStyle w:val="Heading3"/>
      </w:pPr>
      <w:r>
        <w:t xml:space="preserve">3.5　发育阶段需要按过程进行对齐</w:t>
      </w:r>
    </w:p>
    <w:p>
      <w:pPr>
        <w:pStyle w:val="FirstParagraph"/>
      </w:pPr>
      <w:r>
        <w:t xml:space="preserve">不同物种的出生时点、性成熟和寿命差别很大。相同出生后天数通常不代表相同的皮层成熟阶段。即使按总体寿命比例换算，也可能错误对齐某些特定过程，因为突触发生、髓鞘形成和内分泌成熟可以具有不同的相对时程。</w:t>
      </w:r>
    </w:p>
    <w:p>
      <w:pPr>
        <w:pStyle w:val="BodyText"/>
      </w:pPr>
      <w:r>
        <w:t xml:space="preserve">比较一个细胞过程时，应选择与该过程直接相关的标记。例如研究皮层神经元产生，可以考虑祖细胞状态和层形成进度；研究运动技能成熟，可以考虑脊髓回路、肌肉和感觉反馈的成熟；研究药物代谢，则还需考虑肝肾及转运系统。过程对齐能够让看似矛盾的跨物种结果获得更准确的时间解释。</w:t>
      </w:r>
    </w:p>
    <w:p>
      <w:pPr>
        <w:pStyle w:val="BodyText"/>
      </w:pPr>
      <w:r>
        <w:t xml:space="preserve">发育较慢也不自动意味着所有能力更强。较长的可塑窗口提供更多经验影响的机会，同时延长了对营养、环境和照护条件的依赖。这是根据发育机制作出的条件性推理。具体优势和代价应在相应物种的生态与生活史中检验。</w:t>
      </w:r>
    </w:p>
    <w:bookmarkEnd w:id="70"/>
    <w:bookmarkStart w:id="71" w:name="sec-3-6"/>
    <w:p>
      <w:pPr>
        <w:pStyle w:val="Heading3"/>
      </w:pPr>
      <w:r>
        <w:t xml:space="preserve">3.6　细胞几何与离子通道共同决定电特性</w:t>
      </w:r>
    </w:p>
    <w:p>
      <w:pPr>
        <w:pStyle w:val="FirstParagraph"/>
      </w:pPr>
      <w:r>
        <w:t xml:space="preserve">神经元体积、膜面积和树突长度的变化会改变电容、轴向电阻和输入整合。若仅把一个小细胞按几何比例放大，电特性一般不会自动保持。不同物种可以通过改变通道密度、分布或细胞形态，对这些物理后果进行补偿。细胞尺寸与膜生理的比较因此能够检验演化中的共同约束。</w:t>
      </w:r>
    </w:p>
    <w:p>
      <w:pPr>
        <w:pStyle w:val="BodyText"/>
      </w:pPr>
      <w:r>
        <w:t xml:space="preserve">跨十种哺乳动物的第五层锥体细胞研究发现，若干离子电导与细胞尺寸之间具有跨物种关系，人类样本在所测钾和HCN电导上呈现偏离</w:t>
      </w:r>
      <w:r>
        <w:rPr>
          <w:vertAlign w:val="superscript"/>
        </w:rPr>
        <w:t xml:space="preserve">[</w:t>
      </w:r>
      <w:hyperlink w:anchor="ref-26">
        <w:r>
          <w:rPr>
            <w:rStyle w:val="Hyperlink"/>
            <w:vertAlign w:val="superscript"/>
          </w:rPr>
          <w:t xml:space="preserve">26</w:t>
        </w:r>
      </w:hyperlink>
      <w:r>
        <w:rPr>
          <w:vertAlign w:val="superscript"/>
        </w:rPr>
        <w:t xml:space="preserve">]</w:t>
      </w:r>
      <w:r>
        <w:t xml:space="preserve">。这项结果适用于研究的细胞层次、脑区和制备条件。将它解释为所有人类神经元都遵循同一特殊规律，会超出证据范围。</w:t>
      </w:r>
    </w:p>
    <w:p>
      <w:pPr>
        <w:pStyle w:val="BodyText"/>
      </w:pPr>
      <w:r>
        <w:t xml:space="preserve">从电缆机制推导，树突变长可以增加输入来源与局部区室，同时也增加远端信号传播的挑战。主动电导可以放大或筛选信号，增加相应离子恢复成本。一个形态特征的功能意义需要连同膜机制解释。单纯数树突分支或突触数量，不能直接给出信息处理质量的统一排名。</w:t>
      </w:r>
    </w:p>
    <w:bookmarkEnd w:id="71"/>
    <w:bookmarkStart w:id="72" w:name="sec-3-7"/>
    <w:p>
      <w:pPr>
        <w:pStyle w:val="Heading3"/>
      </w:pPr>
      <w:r>
        <w:t xml:space="preserve">3.7　回路扩展需要处理传导与连接成本</w:t>
      </w:r>
    </w:p>
    <w:p>
      <w:pPr>
        <w:pStyle w:val="FirstParagraph"/>
      </w:pPr>
      <w:r>
        <w:t xml:space="preserve">脑体积增加会改变区域间距离。较长轴突需要运输更多膜与蛋白，动作电位传播也需要时间。增加轴突直径与髓鞘可以改善传导，却占用空间和维护资源。局部处理、选择性长程连接与分层组织可以缓解这些约束，它们的具体分配随物种和脑区变化。</w:t>
      </w:r>
    </w:p>
    <w:p>
      <w:pPr>
        <w:pStyle w:val="BodyText"/>
      </w:pPr>
      <w:r>
        <w:t xml:space="preserve">可以用一个教学推导说明：若一个系统把每个细胞都与所有远处细胞直接相连，连接数量随节点数迅速增加，同时每条远程轴突都产生体积成本。实际神经系统需要在共享通路、局部汇聚和选择性广播之间组织连接。这个约束解释了为何脑变大时，连接组织也需要变化；它不直接规定唯一最优结构。</w:t>
      </w:r>
    </w:p>
    <w:p>
      <w:pPr>
        <w:pStyle w:val="BodyText"/>
      </w:pPr>
      <w:r>
        <w:t xml:space="preserve">运动皮层的人、狨猴和小鼠多组学比较发现，主要细胞身份保守，同时存在细胞比例、调控和生理方面的物种特征</w:t>
      </w:r>
      <w:r>
        <w:rPr>
          <w:vertAlign w:val="superscript"/>
        </w:rPr>
        <w:t xml:space="preserve">[</w:t>
      </w:r>
      <w:hyperlink w:anchor="ref-27">
        <w:r>
          <w:rPr>
            <w:rStyle w:val="Hyperlink"/>
            <w:vertAlign w:val="superscript"/>
          </w:rPr>
          <w:t xml:space="preserve">27</w:t>
        </w:r>
      </w:hyperlink>
      <w:r>
        <w:rPr>
          <w:vertAlign w:val="superscript"/>
        </w:rPr>
        <w:t xml:space="preserve">]</w:t>
      </w:r>
      <w:r>
        <w:t xml:space="preserve">。对精细运动而言，细胞的下行投射、脊髓接替、手部肌肉结构和感觉反馈共同决定可实现的控制。研究一个脑区的变化，应把它放回整个身体控制路径。</w:t>
      </w:r>
    </w:p>
    <w:bookmarkEnd w:id="72"/>
    <w:bookmarkStart w:id="73" w:name="sec-3-8"/>
    <w:p>
      <w:pPr>
        <w:pStyle w:val="Heading3"/>
      </w:pPr>
      <w:r>
        <w:t xml:space="preserve">3.8　胶质和血管也参与物种差异</w:t>
      </w:r>
    </w:p>
    <w:p>
      <w:pPr>
        <w:pStyle w:val="FirstParagraph"/>
      </w:pPr>
      <w:r>
        <w:t xml:space="preserve">比较研究不能只统计神经元。胶质细胞调节突触环境、髓鞘、代谢支持和免疫反应，血管系统决定供能与清除条件。相同神经元活动若处于不同支持环境中，其持续能力、恢复时间和损伤敏感性都可能不同。</w:t>
      </w:r>
    </w:p>
    <w:p>
      <w:pPr>
        <w:pStyle w:val="BodyText"/>
      </w:pPr>
      <w:r>
        <w:t xml:space="preserve">对人、黑猩猩、大猩猩、猕猴和狨猴颞中回的单核研究发现，部分胶质表达在物种间具有明显差异，同时人类谱系的神经元表达也呈现特定变化</w:t>
      </w:r>
      <w:r>
        <w:rPr>
          <w:vertAlign w:val="superscript"/>
        </w:rPr>
        <w:t xml:space="preserve">[</w:t>
      </w:r>
      <w:hyperlink w:anchor="ref-28">
        <w:r>
          <w:rPr>
            <w:rStyle w:val="Hyperlink"/>
            <w:vertAlign w:val="superscript"/>
          </w:rPr>
          <w:t xml:space="preserve">28</w:t>
        </w:r>
      </w:hyperlink>
      <w:r>
        <w:rPr>
          <w:vertAlign w:val="superscript"/>
        </w:rPr>
        <w:t xml:space="preserve">]</w:t>
      </w:r>
      <w:r>
        <w:t xml:space="preserve">。这一结果提供分子比较线索，不能仅凭表达差异断言某物种具有更优的胶质支持。真实功能需要结合摄取、代谢、形态和细胞间相互作用测量。</w:t>
      </w:r>
    </w:p>
    <w:p>
      <w:pPr>
        <w:pStyle w:val="BodyText"/>
      </w:pPr>
      <w:r>
        <w:t xml:space="preserve">例如，研究某种炎症刺激在不同物种中的神经效应，应检查免疫受体表达、细胞激活阈值、内皮反应及神经元敏感性。只比较神经元中的一个下游指标，可能漏掉差异最初发生的位置。这也解释了为何人源与动物细胞的联合研究能够提高机制定位精度。</w:t>
      </w:r>
    </w:p>
    <w:bookmarkEnd w:id="73"/>
    <w:bookmarkStart w:id="74" w:name="sec-3-9"/>
    <w:p>
      <w:pPr>
        <w:pStyle w:val="Heading3"/>
      </w:pPr>
      <w:r>
        <w:t xml:space="preserve">3.9　感觉生态改变系统必须解决的问题</w:t>
      </w:r>
    </w:p>
    <w:p>
      <w:pPr>
        <w:pStyle w:val="FirstParagraph"/>
      </w:pPr>
      <w:r>
        <w:t xml:space="preserve">物种使用的感觉范围和身体动作决定了它频繁遇到哪些计算问题。嗅觉采样、飞行控制、夜间视觉、精细触觉或回声定位各自具有不同的时间与空间约束。某条回路在一个物种中占有较大资源，可以反映它在该物种生活中的重要性，不能仅用人类日常任务评价其价值。</w:t>
      </w:r>
    </w:p>
    <w:p>
      <w:pPr>
        <w:pStyle w:val="BodyText"/>
      </w:pPr>
      <w:r>
        <w:t xml:space="preserve">跨物种比较感觉功能时，需要保证刺激能够被各物种感知，并匹配相关的物理尺度。对视觉而言，亮度、空间频率和视角需要结合眼部光学与视网膜；对听觉而言，频率应结合可听范围；对触觉而言，身体接触器官和主动动作同样重要。相同实验装置不保证提供了相同的感知任务。</w:t>
      </w:r>
    </w:p>
    <w:p>
      <w:pPr>
        <w:pStyle w:val="BodyText"/>
      </w:pPr>
      <w:r>
        <w:t xml:space="preserve">回路上的相似策略可能在不同谱系中独立形成，例如通过相对时间提取运动或通过侧向相互作用增强局部差别。确认这种功能相似，需要同时观察输入转换、内部计算和行为使用。单一行为表现相似只能作为起点，机制比较能够进一步说明相似发生在哪一层。</w:t>
      </w:r>
    </w:p>
    <w:bookmarkEnd w:id="74"/>
    <w:bookmarkStart w:id="75" w:name="sec-3-10"/>
    <w:p>
      <w:pPr>
        <w:pStyle w:val="Heading3"/>
      </w:pPr>
      <w:r>
        <w:t xml:space="preserve">3.10　演化解释需要考虑可实现性与历史路径</w:t>
      </w:r>
    </w:p>
    <w:p>
      <w:pPr>
        <w:pStyle w:val="FirstParagraph"/>
      </w:pPr>
      <w:r>
        <w:t xml:space="preserve">自然选择作用于已有变异和发育可产生的结构。一个现存特征可能具有适应价值，也可能是其他变化的伴随结果，或保留了历史约束。提出演化功能时，应寻找相关生态比较、系统发育分布和机制后果，避免把每个观察到的细节都解释为专门设计。</w:t>
      </w:r>
    </w:p>
    <w:p>
      <w:pPr>
        <w:pStyle w:val="BodyText"/>
      </w:pPr>
      <w:r>
        <w:t xml:space="preserve">基因的多效性尤其重要。同一调节因子可能在脑发育、免疫或其他器官中发挥作用，因此改变其表达可能同时产生多个后果。某个脑表型的演化无法总被独立优化。发育过程中的相互依赖，也会限制哪些变化可以在保持整体可存活的条件下出现。</w:t>
      </w:r>
    </w:p>
    <w:p>
      <w:pPr>
        <w:pStyle w:val="BodyText"/>
      </w:pPr>
      <w:r>
        <w:t xml:space="preserve">比较多个物种有助于区分共同祖先和独立演化。如果只比较人和一种动物，任何差异都可能属于人类变化、对方谱系变化或二者共同变化。加入更接近的外群，可以帮助判断变化发生的方向。多灵长类图谱正体现了这种比较优势</w:t>
      </w:r>
      <w:r>
        <w:rPr>
          <w:vertAlign w:val="superscript"/>
        </w:rPr>
        <w:t xml:space="preserve">[</w:t>
      </w:r>
      <w:hyperlink w:anchor="ref-28">
        <w:r>
          <w:rPr>
            <w:rStyle w:val="Hyperlink"/>
            <w:vertAlign w:val="superscript"/>
          </w:rPr>
          <w:t xml:space="preserve">28</w:t>
        </w:r>
      </w:hyperlink>
      <w:r>
        <w:rPr>
          <w:vertAlign w:val="superscript"/>
        </w:rPr>
        <w:t xml:space="preserve">]</w:t>
      </w:r>
      <w:r>
        <w:t xml:space="preserve">。</w:t>
      </w:r>
    </w:p>
    <w:bookmarkEnd w:id="75"/>
    <w:bookmarkStart w:id="76" w:name="sec-3-11"/>
    <w:p>
      <w:pPr>
        <w:pStyle w:val="Heading3"/>
      </w:pPr>
      <w:r>
        <w:t xml:space="preserve">3.11　跨物种模型应该围绕具体机制选择</w:t>
      </w:r>
    </w:p>
    <w:p>
      <w:pPr>
        <w:pStyle w:val="FirstParagraph"/>
      </w:pPr>
      <w:r>
        <w:t xml:space="preserve">模型的适用性取决于问题。研究离子通道的基本门控，可以利用较保守的系统；研究皮层长程投射或特定社会行为，则需要更仔细检查细胞和回路对应关系。某动物具有可操作的遗传工具，并不能自动保证所有人类相关机制都保守；直接人类组织也受到取材、年龄与实验条件限制。</w:t>
      </w:r>
    </w:p>
    <w:p>
      <w:pPr>
        <w:pStyle w:val="BodyText"/>
      </w:pPr>
      <w:r>
        <w:t xml:space="preserve">一个可执行的机制比较应列出预期保守的环节和可能分化的环节，然后选择能够区分二者的测量。例如候选药物在动物细胞中改变受体信号之后，可以在人源细胞中确认受体亚基和下游耦联，再在更完整组织中检查回路效果。这条路径的每一步都有明确问题，能够让不同模型各自提供信息。</w:t>
      </w:r>
    </w:p>
    <w:p>
      <w:pPr>
        <w:pStyle w:val="BodyText"/>
      </w:pPr>
      <w:r>
        <w:t xml:space="preserve">本章的置信边界同样分层。共同细胞框架与物种特异分子差异并存、发育时序影响细胞产出、几何变化具有电生理后果，属于较高置信度判断。某个基因在历史演化中的实际贡献份额，以及某种细胞创新对复杂认知的特定作用，多属于需要条件限定的机制推断。把单一分子、单一细胞数量或一个脑区尺寸当作全部认知能力的尺度，缺少可靠依据。</w:t>
      </w:r>
    </w:p>
    <w:bookmarkEnd w:id="76"/>
    <w:bookmarkEnd w:id="77"/>
    <w:bookmarkStart w:id="95" w:name="ch-4"/>
    <w:p>
      <w:pPr>
        <w:pStyle w:val="Heading2"/>
      </w:pPr>
      <w:r>
        <w:t xml:space="preserve">第4章　动物认知与人类独特性</w:t>
      </w:r>
    </w:p>
    <w:bookmarkStart w:id="78" w:name="sec-4-1"/>
    <w:p>
      <w:pPr>
        <w:pStyle w:val="Heading3"/>
      </w:pPr>
      <w:r>
        <w:t xml:space="preserve">4.1　对所有动物的绝对判断为何容易失败</w:t>
      </w:r>
    </w:p>
    <w:p>
      <w:pPr>
        <w:pStyle w:val="FirstParagraph"/>
      </w:pPr>
      <w:r>
        <w:t xml:space="preserve">“非人动物只会即时冲动”已经受到规划和延迟选择实验的反例挑战。对这一否定结论的置信度高。人类在语言、累积文化和长时段抽象计划上具有独特复杂性，但这种差异应逐项研究；它不能把所有非人动物的行为统一归为没有学习和选择的反射</w:t>
      </w:r>
      <w:r>
        <w:rPr>
          <w:vertAlign w:val="superscript"/>
        </w:rPr>
        <w:t xml:space="preserve">[</w:t>
      </w:r>
      <w:hyperlink w:anchor="ref-29">
        <w:r>
          <w:rPr>
            <w:rStyle w:val="Hyperlink"/>
            <w:vertAlign w:val="superscript"/>
          </w:rPr>
          <w:t xml:space="preserve">29</w:t>
        </w:r>
      </w:hyperlink>
      <w:r>
        <w:rPr>
          <w:vertAlign w:val="superscript"/>
        </w:rPr>
        <w:t xml:space="preserve">,</w:t>
      </w:r>
      <w:hyperlink w:anchor="ref-30">
        <w:r>
          <w:rPr>
            <w:rStyle w:val="Hyperlink"/>
            <w:vertAlign w:val="superscript"/>
          </w:rPr>
          <w:t xml:space="preserve">30</w:t>
        </w:r>
      </w:hyperlink>
      <w:r>
        <w:rPr>
          <w:vertAlign w:val="superscript"/>
        </w:rPr>
        <w:t xml:space="preserve">]</w:t>
      </w:r>
      <w:r>
        <w:t xml:space="preserve">。</w:t>
      </w:r>
    </w:p>
    <w:p>
      <w:pPr>
        <w:pStyle w:val="BodyText"/>
      </w:pPr>
      <w:r>
        <w:t xml:space="preserve">这里有一个逻辑差别：证明某物种至少能够完成一种未来相关任务，只需要足够可靠的正面实例；证明它具有与人相同的全部未来思维，则需要覆盖更广的任务和机制。研究失败也有相同的不对称性。动物没有通过某项测试，可能源于能力限制，也可能源于感觉方式、运动要求、动机、训练不足或对实验安排的不理解。</w:t>
      </w:r>
    </w:p>
    <w:p>
      <w:pPr>
        <w:pStyle w:val="BodyText"/>
      </w:pPr>
      <w:r>
        <w:t xml:space="preserve">因此，比较认知的首要工作是建立可比较的任务。人类可以听懂口头规则，动物可能需要多轮训练；人类使用金钱，动物使用食物；不同物种的饥饿、储藏习惯和风险环境不同。若这些差异没有控制，成绩高低无法直接换算为抽象能力的排序。</w:t>
      </w:r>
    </w:p>
    <w:bookmarkEnd w:id="78"/>
    <w:bookmarkStart w:id="79" w:name="sec-4-2"/>
    <w:p>
      <w:pPr>
        <w:pStyle w:val="Heading3"/>
      </w:pPr>
      <w:r>
        <w:t xml:space="preserve">4.2　未来规划中的关键控制</w:t>
      </w:r>
    </w:p>
    <w:p>
      <w:pPr>
        <w:pStyle w:val="FirstParagraph"/>
      </w:pPr>
      <w:r>
        <w:t xml:space="preserve">Mulcahy与Call的研究让类人猿选择并保留稍后才有用途的工具，包含一小时和更长延迟，并有选择时看不到使用装置的条件。结果说明部分个体能够跨越即时情境保留有用物品。这个发现削弱了“所有行动都由眼前装置直接触发”的解释，但仍需区分未来表征、长期学习形成的偏好及任务经验的贡献</w:t>
      </w:r>
      <w:r>
        <w:rPr>
          <w:vertAlign w:val="superscript"/>
        </w:rPr>
        <w:t xml:space="preserve">[</w:t>
      </w:r>
      <w:hyperlink w:anchor="ref-29">
        <w:r>
          <w:rPr>
            <w:rStyle w:val="Hyperlink"/>
            <w:vertAlign w:val="superscript"/>
          </w:rPr>
          <w:t xml:space="preserve">29</w:t>
        </w:r>
      </w:hyperlink>
      <w:r>
        <w:rPr>
          <w:vertAlign w:val="superscript"/>
        </w:rPr>
        <w:t xml:space="preserve">]</w:t>
      </w:r>
      <w:r>
        <w:t xml:space="preserve">。</w:t>
      </w:r>
    </w:p>
    <w:p>
      <w:pPr>
        <w:pStyle w:val="BodyText"/>
      </w:pPr>
      <w:r>
        <w:t xml:space="preserve">理解实验时，不能只看动物最后带走了工具。关键是有无无用工具作为对照，有无当前使用机会，动物能否根据未来任务改变选择，以及它是否在没有相同训练历史的新条件下成功。一个工具被多次奖励以后，动物可能偏好携带它；灵活预测未来需求则要求行为随着需求改变。</w:t>
      </w:r>
    </w:p>
    <w:p>
      <w:pPr>
        <w:pStyle w:val="BodyText"/>
      </w:pPr>
      <w:r>
        <w:t xml:space="preserve">设想一个原创假设实验：动物先观察未来将出现不同开口的取食装置，之后在没有装置的房间选择两种工具。若它总选择过去最常获奖的工具，简单历史价值解释仍然可行；若选择随未来装置而变化，尤其在新组合中也如此，灵活表征得到更强支持。再加入一次性新需求，可以进一步检查动物是否只记住了固定刺激反应链。</w:t>
      </w:r>
    </w:p>
    <w:p>
      <w:pPr>
        <w:pStyle w:val="BodyText"/>
      </w:pPr>
      <w:r>
        <w:t xml:space="preserve">这个例子也显示，“排除简单解释”需要逐一说明简单解释的预测。仅把动物表现称为聪明，无法区分机制；仅把一切成功称为联想，也无法充分解释它。复杂的联想模型本身可以很有预测力，关键是它是否预先说明学习规律，能否在新条件下给出正确预测。</w:t>
      </w:r>
    </w:p>
    <w:bookmarkEnd w:id="79"/>
    <w:bookmarkStart w:id="80" w:name="sec-4-3"/>
    <w:p>
      <w:pPr>
        <w:pStyle w:val="Heading3"/>
      </w:pPr>
      <w:r>
        <w:t xml:space="preserve">4.3　等待能力中的奖励类型与机会成本</w:t>
      </w:r>
    </w:p>
    <w:p>
      <w:pPr>
        <w:pStyle w:val="FirstParagraph"/>
      </w:pPr>
      <w:r>
        <w:t xml:space="preserve">Rosati及同事比较类人猿和人的延迟奖励选择，发现物种表现受到奖励类型与等待条件影响。人对金钱和食物的耐心并不相同，黑猩猩在相关食物任务中能够表现出较强等待。研究支持未来导向选择具有共享基础，也提醒我们不要把一次任务中的等待时间当作永久人格特征</w:t>
      </w:r>
      <w:r>
        <w:rPr>
          <w:vertAlign w:val="superscript"/>
        </w:rPr>
        <w:t xml:space="preserve">[</w:t>
      </w:r>
      <w:hyperlink w:anchor="ref-30">
        <w:r>
          <w:rPr>
            <w:rStyle w:val="Hyperlink"/>
            <w:vertAlign w:val="superscript"/>
          </w:rPr>
          <w:t xml:space="preserve">30</w:t>
        </w:r>
      </w:hyperlink>
      <w:r>
        <w:rPr>
          <w:vertAlign w:val="superscript"/>
        </w:rPr>
        <w:t xml:space="preserve">]</w:t>
      </w:r>
      <w:r>
        <w:t xml:space="preserve">。</w:t>
      </w:r>
    </w:p>
    <w:p>
      <w:pPr>
        <w:pStyle w:val="BodyText"/>
      </w:pPr>
      <w:r>
        <w:t xml:space="preserve">等待的经济含义取决于机会成本。若选择延迟奖励意味着整个实验期间无法做其他事，等待代价较大；若实验者只记录选择但奖励稍后到账，人可能继续工作或休息。两个任务标示相同的延迟时间，却可能具有不同的实际成本。跨物种比较需要尽量统一这一条件，或明确承认无法完全统一。</w:t>
      </w:r>
    </w:p>
    <w:p>
      <w:pPr>
        <w:pStyle w:val="BodyText"/>
      </w:pPr>
      <w:r>
        <w:t xml:space="preserve">奖励可靠性同样关键。立即拿到一个食物，可能比未来承诺两个更可靠。对于长期生活在资源不稳定环境中的个体，较强即时偏好可以反映对环境风险的估计。在不知道这些背景时，把选择贴为“低级冲动”，容易把合理的风险判断和控制困难混为一谈。</w:t>
      </w:r>
    </w:p>
    <w:p>
      <w:pPr>
        <w:pStyle w:val="BodyText"/>
      </w:pPr>
      <w:r>
        <w:t xml:space="preserve">自控还可能受到注意策略影响。把奖励放在眼前、允许移开目光或提供替代活动，可以改变等待的难度。若动物在某种条件下失败，研究者要问任务是否要求持续抵抗显眼食物，还是要求理解未来收益。两种要求可以同时存在，但其神经机制和改进方法未必相同。</w:t>
      </w:r>
    </w:p>
    <w:bookmarkEnd w:id="80"/>
    <w:bookmarkStart w:id="81" w:name="sec-4-4"/>
    <w:p>
      <w:pPr>
        <w:pStyle w:val="Heading3"/>
      </w:pPr>
      <w:r>
        <w:t xml:space="preserve">4.4　能力表现与主观体验应分别讨论</w:t>
      </w:r>
    </w:p>
    <w:p>
      <w:pPr>
        <w:pStyle w:val="FirstParagraph"/>
      </w:pPr>
      <w:r>
        <w:t xml:space="preserve">动物不能按人类访谈方式报告自己的未来体验，这限制了某些结论。它能够为稍后任务选对工具，并不能自动证明它以类似人类的自传式情景想象完成计划。反过来，缺少语言报告也不能证明所有内部表征都不存在。研究可以通过新情境迁移、信息整合和行为灵活性逐步约束解释。</w:t>
      </w:r>
    </w:p>
    <w:p>
      <w:pPr>
        <w:pStyle w:val="BodyText"/>
      </w:pPr>
      <w:r>
        <w:t xml:space="preserve">“意识”“理性”“自我”都需要操作性定义。如果某项实验把理性定义为在已知概率下最大化特定奖励，它只能评价这一标准；动物在社会互动中的行为可能受其他目标约束。人类也经常在不同任务中表现出不一致。把某个规范标准推广为整个物种的总分，会掩盖多种能力之间的差异。</w:t>
      </w:r>
    </w:p>
    <w:p>
      <w:pPr>
        <w:pStyle w:val="BodyText"/>
      </w:pPr>
      <w:r>
        <w:t xml:space="preserve">读者可以把论断分成三层。第一层是观察：动物在某条件下选择了什么。第二层是机制模型：哪些信息处理规则足以产生这种选择。第三层是体验解释：动物是否具有某种主观感受。三层之间可以相互约束，但证据强度通常逐级变化。讲述时应把这种变化清楚写出，不能让一个动人的行为片段承担全部结论。</w:t>
      </w:r>
    </w:p>
    <w:bookmarkEnd w:id="81"/>
    <w:bookmarkStart w:id="82" w:name="sec-4-5"/>
    <w:p>
      <w:pPr>
        <w:pStyle w:val="Heading3"/>
      </w:pPr>
      <w:r>
        <w:t xml:space="preserve">4.5　比较研究中的样本与重复</w:t>
      </w:r>
    </w:p>
    <w:p>
      <w:pPr>
        <w:pStyle w:val="FirstParagraph"/>
      </w:pPr>
      <w:r>
        <w:t xml:space="preserve">非人灵长类实验通常受到可用个体数量和福利条件限制。小样本研究可以提供对绝对命题有价值的反例，却难以估计整个物种的能力分布。若只有一两个高度训练的个体成功，结论应限定为这些个体在这些条件下具有相关能力；要估计典型表现，需要更多独立个体和不同研究地点。</w:t>
      </w:r>
    </w:p>
    <w:p>
      <w:pPr>
        <w:pStyle w:val="BodyText"/>
      </w:pPr>
      <w:r>
        <w:t xml:space="preserve">同一动物完成许多试次，也不能把试次数量直接当作独立动物数量。连续选择受到学习和疲劳影响，个体之间又有长期经历差异。统计模型需要区分试次层面与个体层面，否则标准误可能过小。研究是否重复，还应看独立实验室能否在相近设计中再现关键模式。原团队只增加同一动物的训练次数，不能算作独立重复。</w:t>
      </w:r>
    </w:p>
    <w:p>
      <w:pPr>
        <w:pStyle w:val="BodyText"/>
      </w:pPr>
      <w:r>
        <w:t xml:space="preserve">生态相关性与控制强度之间存在真实取舍。实验室抽象任务可以精确操纵工具、延迟、信息和规则；野外观察以及自然取食、储藏和社会互动任务更接近物种的实际需求，却更难控制先前经验。两类证据回答的问题不同，优势可以互补，结合使用还能帮助区分生态特化能力与较一般的加工机制。一个可信解释应尽量在两种环境下提出相容预测，并说明在哪里预计会出现差异。</w:t>
      </w:r>
    </w:p>
    <w:bookmarkEnd w:id="82"/>
    <w:bookmarkStart w:id="83" w:name="sec-4-6"/>
    <w:p>
      <w:pPr>
        <w:pStyle w:val="Heading3"/>
      </w:pPr>
      <w:r>
        <w:t xml:space="preserve">4.6　人类独特性怎样形成更好的问题</w:t>
      </w:r>
    </w:p>
    <w:p>
      <w:pPr>
        <w:pStyle w:val="FirstParagraph"/>
      </w:pPr>
      <w:r>
        <w:t xml:space="preserve">人类特征可以涉及能力组合。语言让人表达远离当前情境的目标，公共符号帮助保存和共享知识，制度扩大了合作范围。即使其中若干基础能力在其他动物中出现，人类的组合、规模和文化累积仍可能产生不同结果。这个分析保留连续性，也允许真实差异，不需要先设一条把所有行为二分的界线。</w:t>
      </w:r>
    </w:p>
    <w:p>
      <w:pPr>
        <w:pStyle w:val="BodyText"/>
      </w:pPr>
      <w:r>
        <w:t xml:space="preserve">对人类自身，动物研究最有用的启示是寻找共享机制和边界条件。例如，奖励不确定性、等待机会成本和线索显著性能够影响选择，这些变量可以在人类中直接检验。实验没有授权把某个人归类为“动物脑强”，也不能由一项类人猿任务推断某位儿童的教育方法。</w:t>
      </w:r>
    </w:p>
    <w:p>
      <w:pPr>
        <w:pStyle w:val="BodyText"/>
      </w:pPr>
      <w:r>
        <w:t xml:space="preserve">如果一种商业课程宣称训练“人类脑”压制“动物脑”，它需要说明训练具体改变什么可测能力，并用合适对照展示收益。演化标签本身不会提高课程的证据等级。较有价值的效果指标包括任务之外的迁移、持续时间、日常功能及可能代价，且应明确受益范围。</w:t>
      </w:r>
    </w:p>
    <w:bookmarkEnd w:id="83"/>
    <w:bookmarkStart w:id="84" w:name="sec-4-7"/>
    <w:p>
      <w:pPr>
        <w:pStyle w:val="Heading3"/>
      </w:pPr>
      <w:r>
        <w:t xml:space="preserve">4.7　比较任务中的感知可用性</w:t>
      </w:r>
    </w:p>
    <w:p>
      <w:pPr>
        <w:pStyle w:val="FirstParagraph"/>
      </w:pPr>
      <w:r>
        <w:t xml:space="preserve">同一屏幕刺激对不同物种未必同样清晰。屏幕图案的颜色差异取决于感光细胞的光谱性质，气味线索取决于受体组合与采样方式，短促声音是否可区分又受到听觉时间和频率范围影响；视觉分辨、视野和注意习惯的差异也会影响任务成绩。听觉或嗅觉占重要地位的物种，可能在视觉为主的任务中被低估。把人类容易看到的差别直接当成所有动物都容易检测的差别，会把感受器差异混入认知比较。比较前应尽量确认刺激能够被感知，并且反应方式适合其运动能力</w:t>
      </w:r>
      <w:r>
        <w:rPr>
          <w:vertAlign w:val="superscript"/>
        </w:rPr>
        <w:t xml:space="preserve">[</w:t>
      </w:r>
      <w:hyperlink w:anchor="ref-31">
        <w:r>
          <w:rPr>
            <w:rStyle w:val="Hyperlink"/>
            <w:vertAlign w:val="superscript"/>
          </w:rPr>
          <w:t xml:space="preserve">31</w:t>
        </w:r>
      </w:hyperlink>
      <w:r>
        <w:rPr>
          <w:vertAlign w:val="superscript"/>
        </w:rPr>
        <w:t xml:space="preserve">,</w:t>
      </w:r>
      <w:hyperlink w:anchor="ref-32">
        <w:r>
          <w:rPr>
            <w:rStyle w:val="Hyperlink"/>
            <w:vertAlign w:val="superscript"/>
          </w:rPr>
          <w:t xml:space="preserve">32</w:t>
        </w:r>
      </w:hyperlink>
      <w:r>
        <w:rPr>
          <w:vertAlign w:val="superscript"/>
        </w:rPr>
        <w:t xml:space="preserve">,</w:t>
      </w:r>
      <w:hyperlink w:anchor="ref-33">
        <w:r>
          <w:rPr>
            <w:rStyle w:val="Hyperlink"/>
            <w:vertAlign w:val="superscript"/>
          </w:rPr>
          <w:t xml:space="preserve">33</w:t>
        </w:r>
      </w:hyperlink>
      <w:r>
        <w:rPr>
          <w:vertAlign w:val="superscript"/>
        </w:rPr>
        <w:t xml:space="preserve">]</w:t>
      </w:r>
      <w:r>
        <w:t xml:space="preserve">。</w:t>
      </w:r>
    </w:p>
    <w:p>
      <w:pPr>
        <w:pStyle w:val="BodyText"/>
      </w:pPr>
      <w:r>
        <w:t xml:space="preserve">一个动物没有选择实验者认为正确的图形，可能因为它未理解规则，也可能因为两个图形在它的感知系统中差异较小。把这种失败直接解释为没有概念能力，会混淆输入与推理。因此，应先确认动物能在不涉及目标认知过程的简单条件下辨别刺激，再检验记忆、规划或推理；感觉阈限、简单辨认和动机控制可以帮助分离这些来源。若目标任务需要区分容器位置，基础定位能力必须可用；若需要识别食物数量，遮挡、嗅觉和食物体积等线索也会影响信息结构。基础辨别成功仍不保证高级任务成功，但基础辨别失败会阻断对高级能力的可靠判断。</w:t>
      </w:r>
    </w:p>
    <w:p>
      <w:pPr>
        <w:pStyle w:val="BodyText"/>
      </w:pPr>
      <w:r>
        <w:t xml:space="preserve">人类口头说明能够迅速提供规则，动物通常依赖训练。训练历史本身会改变策略。若一方接受详细指令，另一方只通过奖惩学习，两者成绩的差异同时包含理解规则和完成任务的差异。研究需要明确比较目标究竟是什么。</w:t>
      </w:r>
    </w:p>
    <w:bookmarkEnd w:id="84"/>
    <w:bookmarkStart w:id="85" w:name="sec-4-8"/>
    <w:p>
      <w:pPr>
        <w:pStyle w:val="Heading3"/>
      </w:pPr>
      <w:r>
        <w:t xml:space="preserve">4.8　反应偏向与辨别能力</w:t>
      </w:r>
    </w:p>
    <w:p>
      <w:pPr>
        <w:pStyle w:val="FirstParagraph"/>
      </w:pPr>
      <w:r>
        <w:t xml:space="preserve">在检测任务中，命中率受到辨别能力和选择标准共同影响。一个动物经常选择“有信号”，命中率可能很高，但假警报也高。只报告正确反应比例，可能误把较宽松的选择标准当成更强感知或认知能力。</w:t>
      </w:r>
    </w:p>
    <w:p>
      <w:pPr>
        <w:pStyle w:val="BodyText"/>
      </w:pPr>
      <w:r>
        <w:t xml:space="preserve">信号检测框架把命中与假警报放在一起评价，有助于区分信息质量和反应偏向。它也要求检查分布和独立性假设。跨物种研究中，奖励结构可能改变选择标准，因此比较准确率时需要同步考虑错误代价。</w:t>
      </w:r>
    </w:p>
    <w:p>
      <w:pPr>
        <w:pStyle w:val="BodyText"/>
      </w:pPr>
      <w:r>
        <w:t xml:space="preserve">以下是假设例子。甲动物命中90%，假警报50%；乙命中75%，假警报10%。只看命中，甲似乎更强。同时考虑假警报，按等方差信号检测模型估算，甲的辨别力指数d′约为1.3，乙约为2.0，乙的辨别能力反而更强；甲的高命中率主要来自更宽松的选择标准。这个例子没有对应真实实验，作用是说明为什么一个单独百分比不足以刻画能力。</w:t>
      </w:r>
    </w:p>
    <w:bookmarkEnd w:id="85"/>
    <w:bookmarkStart w:id="86" w:name="sec-4-9"/>
    <w:p>
      <w:pPr>
        <w:pStyle w:val="Heading3"/>
      </w:pPr>
      <w:r>
        <w:t xml:space="preserve">4.9　概念学习与特征记忆</w:t>
      </w:r>
    </w:p>
    <w:p>
      <w:pPr>
        <w:pStyle w:val="FirstParagraph"/>
      </w:pPr>
      <w:r>
        <w:t xml:space="preserve">若动物学会区分两类图片，研究者要问它学到的是类别规则还是训练集的表面特征。新图片迁移能够提供约束，但新刺激若仍共享颜色或背景，简单特征模型仍然可行。更强设计会系统改变无关特征，保留理论所指关系。</w:t>
      </w:r>
    </w:p>
    <w:p>
      <w:pPr>
        <w:pStyle w:val="BodyText"/>
      </w:pPr>
      <w:r>
        <w:t xml:space="preserve">关系概念还可以通过新对象组合检验。若任务要求识别相同与不同，动物需要在没见过的对象上迁移，才能较有力地支持关系加工。即使迁移成功，也需要比较能够产生同样行为的模型，避免把一个标签直接当成机制。</w:t>
      </w:r>
    </w:p>
    <w:p>
      <w:pPr>
        <w:pStyle w:val="BodyText"/>
      </w:pPr>
      <w:r>
        <w:t xml:space="preserve">反例设计尤其有价值。研究者可以构造表面特征支持错误答案、关系规则支持正确答案的试次。若动物仍按关系作答，简单特征解释受到更强限制。理论越具体，越容易设计这种具有鉴别力的条件。</w:t>
      </w:r>
    </w:p>
    <w:bookmarkEnd w:id="86"/>
    <w:bookmarkStart w:id="87" w:name="sec-4-10"/>
    <w:p>
      <w:pPr>
        <w:pStyle w:val="Heading3"/>
      </w:pPr>
      <w:r>
        <w:t xml:space="preserve">4.10　学习速度和最终能力</w:t>
      </w:r>
    </w:p>
    <w:p>
      <w:pPr>
        <w:pStyle w:val="FirstParagraph"/>
      </w:pPr>
      <w:r>
        <w:t xml:space="preserve">两个物种达到相同标准所需训练次数不同，可能反映学习速度差异，也可能反映初始经验和任务匹配。最终达到标准后表现相同，也不能抹去学习成本差异。研究应同时报告学习曲线、达到标准的比例和最终迁移。</w:t>
      </w:r>
    </w:p>
    <w:p>
      <w:pPr>
        <w:pStyle w:val="BodyText"/>
      </w:pPr>
      <w:r>
        <w:t xml:space="preserve">若只分析成功学会任务的个体，可能产生选择偏倚。一个物种只有少数个体达到标准，另一个多数达到，最终成功者之间相似不能代表两个物种总体相似。退出和未达标个体同样属于重要结果。</w:t>
      </w:r>
    </w:p>
    <w:p>
      <w:pPr>
        <w:pStyle w:val="BodyText"/>
      </w:pPr>
      <w:r>
        <w:t xml:space="preserve">对于少量稀有动物，详细的个体轨迹可能比一个不稳定平均值更有信息。研究者可以报告每个个体的表现、训练史和重复条件，并明确总体推断受限。对绝对不可能命题的反例，与对典型能力的估计，应使用不同语言。</w:t>
      </w:r>
    </w:p>
    <w:bookmarkEnd w:id="87"/>
    <w:bookmarkStart w:id="88" w:name="sec-4-11"/>
    <w:p>
      <w:pPr>
        <w:pStyle w:val="Heading3"/>
      </w:pPr>
      <w:r>
        <w:t xml:space="preserve">4.11　社会线索与实验者提示</w:t>
      </w:r>
    </w:p>
    <w:p>
      <w:pPr>
        <w:pStyle w:val="FirstParagraph"/>
      </w:pPr>
      <w:r>
        <w:t xml:space="preserve">动物可能利用实验者的目光、姿势、气味或时序提示。若实验者知道正确答案，即使没有有意引导，也可能产生可利用线索。盲法、自动化呈现和预先规定操作可以降低这种影响。控制提示不会否定动物能力，它帮助确定动物到底使用了什么信息。</w:t>
      </w:r>
    </w:p>
    <w:p>
      <w:pPr>
        <w:pStyle w:val="BodyText"/>
      </w:pPr>
      <w:r>
        <w:t xml:space="preserve">人类被试也会推测实验目的，并按预期调整行为。比较研究应对两边都保持相同的怀疑标准。不能对动物成功不断寻找低级解释，同时对人类成功直接接受最复杂解释；也不能只因动物表现令人惊讶，就放弃控制要求。</w:t>
      </w:r>
    </w:p>
    <w:bookmarkEnd w:id="88"/>
    <w:bookmarkStart w:id="89" w:name="sec-4-12"/>
    <w:p>
      <w:pPr>
        <w:pStyle w:val="Heading3"/>
      </w:pPr>
      <w:r>
        <w:t xml:space="preserve">4.12　生态任务与抽象任务的互补</w:t>
      </w:r>
    </w:p>
    <w:p>
      <w:pPr>
        <w:pStyle w:val="FirstParagraph"/>
      </w:pPr>
      <w:r>
        <w:t xml:space="preserve">一个擅长储藏的物种在空间记忆任务中表现好，可能反映生态特化；这不自动意味着它在所有记忆领域都强。人类文化训练也会造成特化，例如数字、书写和图表经验。比较认知应把经验作为真实的因果变量来研究。把经验简单当作需要全部剔除的噪声，会丢掉这一因果来源。</w:t>
      </w:r>
    </w:p>
    <w:bookmarkEnd w:id="89"/>
    <w:bookmarkStart w:id="90" w:name="sec-4-13"/>
    <w:p>
      <w:pPr>
        <w:pStyle w:val="Heading3"/>
      </w:pPr>
      <w:r>
        <w:t xml:space="preserve">4.13　动物福利与推断边界</w:t>
      </w:r>
    </w:p>
    <w:p>
      <w:pPr>
        <w:pStyle w:val="FirstParagraph"/>
      </w:pPr>
      <w:r>
        <w:t xml:space="preserve">研究设计要在信息价值和动物负担之间取得合理平衡。福利条件还会影响行为、动机和生理状态，因此具有方法学意义。一个高度紧张或身体不适的动物，在认知任务中的失败不能被直接解释为物种能力上限。</w:t>
      </w:r>
    </w:p>
    <w:p>
      <w:pPr>
        <w:pStyle w:val="BodyText"/>
      </w:pPr>
      <w:r>
        <w:t xml:space="preserve">实验室表现也不能完整决定动物在自然环境中的福利需求。认知复杂程度、痛苦体验和伦理待遇之间涉及经验与价值判断。神经科学可以提供有关感知、学习和反应的证据，伦理结论还需要明确自己的价值前提。</w:t>
      </w:r>
    </w:p>
    <w:bookmarkEnd w:id="90"/>
    <w:bookmarkStart w:id="91" w:name="sec-4-14"/>
    <w:p>
      <w:pPr>
        <w:pStyle w:val="Heading3"/>
      </w:pPr>
      <w:r>
        <w:t xml:space="preserve">4.14　面向人类判断的可迁移方法</w:t>
      </w:r>
    </w:p>
    <w:p>
      <w:pPr>
        <w:pStyle w:val="FirstParagraph"/>
      </w:pPr>
      <w:r>
        <w:t xml:space="preserve">比较认知最值得借鉴的思维方式，是在解释失败前先检查任务要求，在解释成功前先排除替代机制。对自己和他人也可以采用相同原则：同一结果可能由知识、动机、感觉、环境或执行环节造成。一个总标签通常不足以指导改进。</w:t>
      </w:r>
    </w:p>
    <w:p>
      <w:pPr>
        <w:pStyle w:val="BodyText"/>
      </w:pPr>
      <w:r>
        <w:t xml:space="preserve">真正跨物种稳健的结论，应在不同任务、不同实验室和不同取样条件下保留核心预测。新证据如果只扩大样本却没有改善任务可比性，可能提高精确度却没有解决构念问题。研究质量需要同时评价测量对象和统计不确定性。</w:t>
      </w:r>
    </w:p>
    <w:bookmarkEnd w:id="91"/>
    <w:bookmarkStart w:id="92" w:name="sec-4-15"/>
    <w:p>
      <w:pPr>
        <w:pStyle w:val="Heading3"/>
      </w:pPr>
      <w:r>
        <w:t xml:space="preserve">4.15　物种通过不同感觉通道获得任务信息</w:t>
      </w:r>
    </w:p>
    <w:p>
      <w:pPr>
        <w:pStyle w:val="FirstParagraph"/>
      </w:pPr>
      <w:r>
        <w:t xml:space="preserve">不同的感觉优势可以支持解决同一问题的不同认知解法。假设一类动物更善于记住空间关系，另一类更善于识别气味身份，二者都可能在自然环境中找到延迟出现的食物。若实验只允许空间策略，得到的结果主要限制该任务中的表现。若通过多种感觉形式重复测试，并观察是否出现共同的关系迁移，便能更接近抽象能力问题。这是基于信息可用性的推论，不能据此提前断言所有物种能力相等。</w:t>
      </w:r>
    </w:p>
    <w:bookmarkEnd w:id="92"/>
    <w:bookmarkStart w:id="93" w:name="sec-4-16"/>
    <w:p>
      <w:pPr>
        <w:pStyle w:val="Heading3"/>
      </w:pPr>
      <w:r>
        <w:t xml:space="preserve">4.16　行动能力决定哪些知识能够被表达</w:t>
      </w:r>
    </w:p>
    <w:p>
      <w:pPr>
        <w:pStyle w:val="FirstParagraph"/>
      </w:pPr>
      <w:r>
        <w:t xml:space="preserve">动物已经获得相关信息，仍可能因为运动限制无法执行实验要求。手指精细抓握、喙部操纵、四肢支撑和水中游动具有不同机械自由度。一个需要旋转细小装置的工具任务，会同时测量材料操作能力和问题理解。对动作路径进行分析，有助于区分目标理解、计划形成与执行失败</w:t>
      </w:r>
      <w:r>
        <w:rPr>
          <w:vertAlign w:val="superscript"/>
        </w:rPr>
        <w:t xml:space="preserve">[</w:t>
      </w:r>
      <w:hyperlink w:anchor="ref-34">
        <w:r>
          <w:rPr>
            <w:rStyle w:val="Hyperlink"/>
            <w:vertAlign w:val="superscript"/>
          </w:rPr>
          <w:t xml:space="preserve">34</w:t>
        </w:r>
      </w:hyperlink>
      <w:r>
        <w:rPr>
          <w:vertAlign w:val="superscript"/>
        </w:rPr>
        <w:t xml:space="preserve">,</w:t>
      </w:r>
      <w:hyperlink w:anchor="ref-35">
        <w:r>
          <w:rPr>
            <w:rStyle w:val="Hyperlink"/>
            <w:vertAlign w:val="superscript"/>
          </w:rPr>
          <w:t xml:space="preserve">35</w:t>
        </w:r>
      </w:hyperlink>
      <w:r>
        <w:rPr>
          <w:vertAlign w:val="superscript"/>
        </w:rPr>
        <w:t xml:space="preserve">]</w:t>
      </w:r>
      <w:r>
        <w:t xml:space="preserve">。</w:t>
      </w:r>
    </w:p>
    <w:p>
      <w:pPr>
        <w:pStyle w:val="BodyText"/>
      </w:pPr>
      <w:r>
        <w:t xml:space="preserve">身体尺度还改变等待成本与行动机会。体型、能量储备、消化方式和觅食节律影响某段延迟的生理意义。对于处于不同饥饿程度的个体，相同食物和等待时间未必具有相同价值。比较实验需要把这些条件作为任务结构的一部分，避免把单次耐心排序直接写成物种层面的理性等级。</w:t>
      </w:r>
    </w:p>
    <w:p>
      <w:pPr>
        <w:pStyle w:val="BodyText"/>
      </w:pPr>
      <w:r>
        <w:t xml:space="preserve">主动采样也值得记录。嗅闻次数、观察方向、触摸路径和探索停顿可以揭示动物怎样取得证据。两只动物得到相同正确率，可能一个依赖快速线索，另一个进行了更长探索；它们的最终成绩相近，计算过程却可能不同。对自然采样方式的描述不仅提高公平性，也能产生更具体的机制假设。</w:t>
      </w:r>
    </w:p>
    <w:p>
      <w:pPr>
        <w:pStyle w:val="BodyText"/>
      </w:pPr>
      <w:r>
        <w:t xml:space="preserve">物种比较的有效结论通常具有明确结构：某物种在某种感觉信息、动作要求和学习条件下能够完成某关系或行为。随着任务跨感觉形式、跨情景和跨动作迁移，解释可以逐步扩大。这样的累积路线比单次成功或失败更能揭示认知能力的组成。</w:t>
      </w:r>
    </w:p>
    <w:bookmarkEnd w:id="93"/>
    <w:bookmarkStart w:id="94" w:name="sec-4-17"/>
    <w:p>
      <w:pPr>
        <w:pStyle w:val="Heading3"/>
      </w:pPr>
      <w:r>
        <w:t xml:space="preserve">4.17　本章结论与改变判断的条件</w:t>
      </w:r>
    </w:p>
    <w:p>
      <w:pPr>
        <w:pStyle w:val="FirstParagraph"/>
      </w:pPr>
      <w:r>
        <w:t xml:space="preserve">非人动物存在学习、等待和一定形式的未来相关行为，有直接行为证据。对于这些行为是否依赖人类式情景想象，许多结论仍需保持中等或较低置信。新证据如果能在陌生情境中反复区分机制，并跨独立个体和实验室再现，将明显提高解释强度。真正有信息量的问题是特定物种在何种条件下使用何种表征，以及这种表征能推广多远</w:t>
      </w:r>
      <w:r>
        <w:rPr>
          <w:vertAlign w:val="superscript"/>
        </w:rPr>
        <w:t xml:space="preserve">[</w:t>
      </w:r>
      <w:hyperlink w:anchor="ref-29">
        <w:r>
          <w:rPr>
            <w:rStyle w:val="Hyperlink"/>
            <w:vertAlign w:val="superscript"/>
          </w:rPr>
          <w:t xml:space="preserve">29</w:t>
        </w:r>
      </w:hyperlink>
      <w:r>
        <w:rPr>
          <w:vertAlign w:val="superscript"/>
        </w:rPr>
        <w:t xml:space="preserve">,</w:t>
      </w:r>
      <w:hyperlink w:anchor="ref-30">
        <w:r>
          <w:rPr>
            <w:rStyle w:val="Hyperlink"/>
            <w:vertAlign w:val="superscript"/>
          </w:rPr>
          <w:t xml:space="preserve">30</w:t>
        </w:r>
      </w:hyperlink>
      <w:r>
        <w:rPr>
          <w:vertAlign w:val="superscript"/>
        </w:rPr>
        <w:t xml:space="preserve">]</w:t>
      </w:r>
      <w:r>
        <w:t xml:space="preserve">。</w:t>
      </w:r>
    </w:p>
    <w:bookmarkEnd w:id="94"/>
    <w:bookmarkEnd w:id="95"/>
    <w:bookmarkEnd w:id="96"/>
    <w:bookmarkStart w:id="348" w:name="part-2"/>
    <w:p>
      <w:pPr>
        <w:pStyle w:val="Heading1"/>
      </w:pPr>
      <w:r>
        <w:t xml:space="preserve">第二编　工作原理（一）：细胞、信号与系统</w:t>
      </w:r>
    </w:p>
    <w:p>
      <w:pPr>
        <w:pStyle w:val="PartIntro"/>
      </w:pPr>
      <w:r>
        <w:t xml:space="preserve">这一编从细胞层面讲大脑怎样工作：膜电位与动作电位怎样产生，突触怎样传递和改变，受体与药物怎样起作用，胶质细胞、髓鞘、血管和免疫细胞怎样维持神经组织，感觉与运动系统怎样把物理刺激和肌肉收缩连接到神经活动，发育、细胞图谱与连接组又怎样约束结构与功能的关系。</w:t>
      </w:r>
    </w:p>
    <w:bookmarkStart w:id="116" w:name="ch-5"/>
    <w:p>
      <w:pPr>
        <w:pStyle w:val="Heading2"/>
      </w:pPr>
      <w:r>
        <w:t xml:space="preserve">第5章　神经膜的电化学基础</w:t>
      </w:r>
    </w:p>
    <w:bookmarkStart w:id="97" w:name="sec-5-1"/>
    <w:p>
      <w:pPr>
        <w:pStyle w:val="Heading3"/>
      </w:pPr>
      <w:r>
        <w:t xml:space="preserve">5.1　细胞膜把化学梯度转化为电信号</w:t>
      </w:r>
    </w:p>
    <w:p>
      <w:pPr>
        <w:pStyle w:val="FirstParagraph"/>
      </w:pPr>
      <w:r>
        <w:t xml:space="preserve">神经元内外都含有能够携带电荷的离子，细胞膜把两种溶液分隔开来。脂质双层对多数带电粒子的自由通过形成很大阻力，嵌在膜中的通道、转运体和泵提供选择性路径。电信号因此来自有组织的离子运动，理解它需要同时考虑浓度、膜电位、通透性和能量供应</w:t>
      </w:r>
      <w:r>
        <w:rPr>
          <w:vertAlign w:val="superscript"/>
        </w:rPr>
        <w:t xml:space="preserve">[</w:t>
      </w:r>
      <w:hyperlink w:anchor="ref-36">
        <w:r>
          <w:rPr>
            <w:rStyle w:val="Hyperlink"/>
            <w:vertAlign w:val="superscript"/>
          </w:rPr>
          <w:t xml:space="preserve">36</w:t>
        </w:r>
      </w:hyperlink>
      <w:r>
        <w:rPr>
          <w:vertAlign w:val="superscript"/>
        </w:rPr>
        <w:t xml:space="preserve">,</w:t>
      </w:r>
      <w:hyperlink w:anchor="ref-37">
        <w:r>
          <w:rPr>
            <w:rStyle w:val="Hyperlink"/>
            <w:vertAlign w:val="superscript"/>
          </w:rPr>
          <w:t xml:space="preserve">37</w:t>
        </w:r>
      </w:hyperlink>
      <w:r>
        <w:rPr>
          <w:vertAlign w:val="superscript"/>
        </w:rPr>
        <w:t xml:space="preserve">,</w:t>
      </w:r>
      <w:hyperlink w:anchor="ref-38">
        <w:r>
          <w:rPr>
            <w:rStyle w:val="Hyperlink"/>
            <w:vertAlign w:val="superscript"/>
          </w:rPr>
          <w:t xml:space="preserve">38</w:t>
        </w:r>
      </w:hyperlink>
      <w:r>
        <w:rPr>
          <w:vertAlign w:val="superscript"/>
        </w:rPr>
        <w:t xml:space="preserve">]</w:t>
      </w:r>
      <w:r>
        <w:t xml:space="preserve">。</w:t>
      </w:r>
    </w:p>
    <w:p>
      <w:pPr>
        <w:pStyle w:val="BodyText"/>
      </w:pPr>
      <w:r>
        <w:t xml:space="preserve">膜电位通常定义为细胞内相对于细胞外的电势差。写成负值，表示内部相对更负，并不表示细胞内部所有物质都带负电。细胞内外大部分溶液在体积尺度上仍接近电中性，建立膜电位只需要膜两侧附近少量电荷分离。把整个细胞想成装满负电的容器，会妨碍对离子守恒与电流的理解。</w:t>
      </w:r>
    </w:p>
    <w:p>
      <w:pPr>
        <w:pStyle w:val="BodyText"/>
      </w:pPr>
      <w:r>
        <w:t xml:space="preserve">电势差描述每单位电荷在两个位置之间的能量差。电流描述单位时间通过的电荷量，电导描述在给定驱动力下通路允许电流通过的能力。三者具有不同单位与含义。观察到膜电位改变，可以来自电流变化；观察到电导改变，即使瞬间没有明显电压变化，也可能显著改变细胞对下一输入的响应。</w:t>
      </w:r>
    </w:p>
    <w:bookmarkEnd w:id="97"/>
    <w:bookmarkStart w:id="98" w:name="sec-5-2"/>
    <w:p>
      <w:pPr>
        <w:pStyle w:val="Heading3"/>
      </w:pPr>
      <w:r>
        <w:t xml:space="preserve">5.2　浓度驱动与电场驱动可以相互抵消</w:t>
      </w:r>
    </w:p>
    <w:p>
      <w:pPr>
        <w:pStyle w:val="FirstParagraph"/>
      </w:pPr>
      <w:r>
        <w:t xml:space="preserve">假设一种正离子在细胞内浓度较高，并有只允许这种离子通过的通道。扩散趋势会推动它向外移动。正电荷离开后，内部相对变负，电场又吸引正离子向内。随着电势差建立，两种驱动力可以达到平衡，此时该离子的净通量为零。</w:t>
      </w:r>
    </w:p>
    <w:p>
      <w:pPr>
        <w:pStyle w:val="BodyText"/>
      </w:pPr>
      <w:r>
        <w:t xml:space="preserve">平衡时，离子仍在热运动，也可以双向穿越通道；净通量为零只表示两个方向的平均通量相抵。它不能被理解为每个离子完全停止。类似地，稳定膜电位不要求所有跨膜电流都为零，多个方向的电流可以在总和上相抵。这一区分会贯穿静息膜电位与稳态的分析。</w:t>
      </w:r>
    </w:p>
    <w:p>
      <w:pPr>
        <w:pStyle w:val="BodyText"/>
      </w:pPr>
      <w:r>
        <w:t xml:space="preserve">负离子的电场作用方向与正离子相反，因此方程中的电荷数符号非常重要。若忽略氯离子的负电荷，计算会得到方向相反的结论。判断通道开放后的变化时，应先确定通透离子、其平衡电位和当前膜电位，再讨论去极化、超极化或分流作用。</w:t>
      </w:r>
    </w:p>
    <w:bookmarkEnd w:id="98"/>
    <w:bookmarkStart w:id="99" w:name="sec-5-3"/>
    <w:p>
      <w:pPr>
        <w:pStyle w:val="Heading3"/>
      </w:pPr>
      <w:r>
        <w:t xml:space="preserve">5.3　能斯特关系怎样从能量平衡得到</w:t>
      </w:r>
    </w:p>
    <w:p>
      <w:pPr>
        <w:pStyle w:val="FirstParagraph"/>
      </w:pPr>
      <w:r>
        <w:t xml:space="preserve">对一种离子，化学势差与活动度比的自然对数成正比，电势能差与离子电荷数和膜电位成正比。两者相抵可得到能斯特关系：E离子 = (RT/zF) × ln(a外/a内)。a外和a内分别表示膜外与膜内该离子的活动度；在理想稀溶液近似下，可用相应浓度比替代活动度比。R是气体常数，T是绝对温度，z是离子价数，F是法拉第常数，膜电位仍采用膜内相对膜外的约定</w:t>
      </w:r>
      <w:r>
        <w:rPr>
          <w:vertAlign w:val="superscript"/>
        </w:rPr>
        <w:t xml:space="preserve">[</w:t>
      </w:r>
      <w:hyperlink w:anchor="ref-37">
        <w:r>
          <w:rPr>
            <w:rStyle w:val="Hyperlink"/>
            <w:vertAlign w:val="superscript"/>
          </w:rPr>
          <w:t xml:space="preserve">37</w:t>
        </w:r>
      </w:hyperlink>
      <w:r>
        <w:rPr>
          <w:vertAlign w:val="superscript"/>
        </w:rPr>
        <w:t xml:space="preserve">,</w:t>
      </w:r>
      <w:hyperlink w:anchor="ref-38">
        <w:r>
          <w:rPr>
            <w:rStyle w:val="Hyperlink"/>
            <w:vertAlign w:val="superscript"/>
          </w:rPr>
          <w:t xml:space="preserve">38</w:t>
        </w:r>
      </w:hyperlink>
      <w:r>
        <w:rPr>
          <w:vertAlign w:val="superscript"/>
        </w:rPr>
        <w:t xml:space="preserve">]</w:t>
      </w:r>
      <w:r>
        <w:t xml:space="preserve">。</w:t>
      </w:r>
    </w:p>
    <w:p>
      <w:pPr>
        <w:pStyle w:val="BodyText"/>
      </w:pPr>
      <w:r>
        <w:t xml:space="preserve">这条关系说明平衡电位取决于浓度比，具有对数性质。把外部浓度增加一倍，带来的电位变化与原先绝对浓度无关，但与温度和价数有关。对于二价离子，同样浓度比对应的电位项与一价离子不同。计算时还要统一浓度单位，避免把毫摩尔与微摩尔直接相除。</w:t>
      </w:r>
    </w:p>
    <w:p>
      <w:pPr>
        <w:pStyle w:val="BodyText"/>
      </w:pPr>
      <w:r>
        <w:t xml:space="preserve">在接近37摄氏度的教学计算中，RT除以F再乘以ln10约为61.5毫伏。于是对一价阳离子，可以用61.5乘以浓度比的常用对数估算平衡电位。这个数值来自物理常数和指定温度，不能当成任何离子的固定平衡电位。实际细胞需要代入相应活动度或近似浓度。</w:t>
      </w:r>
    </w:p>
    <w:p>
      <w:pPr>
        <w:pStyle w:val="BodyText"/>
      </w:pPr>
      <w:r>
        <w:t xml:space="preserve">以下数值全部为教学假设。若某一价阳离子外浓度为5、内浓度为140，单位相同，则平衡电位约为负89毫伏；若另一种一价阳离子外浓度为145、内浓度为12，则约为正67毫伏。这两种梯度可以在同一细胞中同时存在，但细胞膜在同一位置只有一个瞬时电位，因此多数离子通常不会同时处于各自电化学平衡。</w:t>
      </w:r>
    </w:p>
    <w:bookmarkEnd w:id="99"/>
    <w:bookmarkStart w:id="100" w:name="sec-5-4"/>
    <w:p>
      <w:pPr>
        <w:pStyle w:val="Heading3"/>
      </w:pPr>
      <w:r>
        <w:t xml:space="preserve">5.4　静息膜电位是多个通路共同作用的结果</w:t>
      </w:r>
    </w:p>
    <w:p>
      <w:pPr>
        <w:pStyle w:val="FirstParagraph"/>
      </w:pPr>
      <w:r>
        <w:t xml:space="preserve">真实膜对多种离子具有通透性。若以简单欧姆型电导近似每条通路，某离子电流可以写成电导乘以膜电位与该离子反转电位之差。总膜电流是各通路电流加上泵等其他电流的总和。稳态时总电流相抵，膜电位就取决于各通路的相对贡献。</w:t>
      </w:r>
    </w:p>
    <w:p>
      <w:pPr>
        <w:pStyle w:val="BodyText"/>
      </w:pPr>
      <w:r>
        <w:t xml:space="preserve">在仅含固定线性电导的简化模型中，稳态膜电位等于各反转电位按电导加权的平均值。某条电导增大，会使电位更接近该通路的反转电位。这是一种方便的直观模型，但实际通道可能依赖电压、时间和配体，反转电位也可能因离子积累而改变。</w:t>
      </w:r>
    </w:p>
    <w:p>
      <w:pPr>
        <w:pStyle w:val="BodyText"/>
      </w:pPr>
      <w:r>
        <w:t xml:space="preserve">Goldman以及Hodgkin与Katz的研究形成了恒定电场框架，即常说的GHK方程，用通透性与离子浓度描述膜电位和电流关系。它与简单电导加权近似具有不同假设，适合不同分析目的</w:t>
      </w:r>
      <w:r>
        <w:rPr>
          <w:vertAlign w:val="superscript"/>
        </w:rPr>
        <w:t xml:space="preserve">[</w:t>
      </w:r>
      <w:hyperlink w:anchor="ref-37">
        <w:r>
          <w:rPr>
            <w:rStyle w:val="Hyperlink"/>
            <w:vertAlign w:val="superscript"/>
          </w:rPr>
          <w:t xml:space="preserve">37</w:t>
        </w:r>
      </w:hyperlink>
      <w:r>
        <w:rPr>
          <w:vertAlign w:val="superscript"/>
        </w:rPr>
        <w:t xml:space="preserve">,</w:t>
      </w:r>
      <w:hyperlink w:anchor="ref-38">
        <w:r>
          <w:rPr>
            <w:rStyle w:val="Hyperlink"/>
            <w:vertAlign w:val="superscript"/>
          </w:rPr>
          <w:t xml:space="preserve">38</w:t>
        </w:r>
      </w:hyperlink>
      <w:r>
        <w:rPr>
          <w:vertAlign w:val="superscript"/>
        </w:rPr>
        <w:t xml:space="preserve">]</w:t>
      </w:r>
      <w:r>
        <w:t xml:space="preserve">。使用任何公式时，都应说明是否假设浓度稳定、电场近似均匀以及离子彼此独立。公式的准确书写不能替代对适用条件的检查。</w:t>
      </w:r>
    </w:p>
    <w:bookmarkEnd w:id="100"/>
    <w:bookmarkStart w:id="101" w:name="sec-5-5"/>
    <w:p>
      <w:pPr>
        <w:pStyle w:val="Heading3"/>
      </w:pPr>
      <w:r>
        <w:t xml:space="preserve">5.5　电流方向和电压方向的统一约定</w:t>
      </w:r>
    </w:p>
    <w:p>
      <w:pPr>
        <w:pStyle w:val="FirstParagraph"/>
      </w:pPr>
      <w:r>
        <w:t xml:space="preserve">电生理常把正电荷向外的膜电流定义为正，向内定义为负。对负离子而言，离子移动方向与等效正电流方向相反。教材和软件也可能采用不同符号约定，阅读图形时应先查看坐标说明。一个向下的电流轨迹，不能脱离保持电位和离子组成就被命名为兴奋。</w:t>
      </w:r>
    </w:p>
    <w:p>
      <w:pPr>
        <w:pStyle w:val="BodyText"/>
      </w:pPr>
      <w:r>
        <w:t xml:space="preserve">假设某通道反转电位为零毫伏，而细胞当前为负70毫伏。开放该通道时，欧姆型模型给出向内电流，通常推动电位向零靠近。若同一通道在正电位下开放，净电流可以向外。受体或通道名称未变，电流方向随驱动力改变，这是反转电位概念的直接结果。</w:t>
      </w:r>
    </w:p>
    <w:p>
      <w:pPr>
        <w:pStyle w:val="BodyText"/>
      </w:pPr>
      <w:r>
        <w:t xml:space="preserve">反转电位可以通过改变保持电位、记录电流电压关系估计。若通道允许多种离子通过，其反转电位由这些离子的相对通透性和梯度共同决定。药物或实验溶液改变选择性与浓度时，反转位置可能移动。测量结果需要考虑液接电位、串联电阻和空间控制等技术因素。</w:t>
      </w:r>
    </w:p>
    <w:bookmarkEnd w:id="101"/>
    <w:bookmarkStart w:id="102" w:name="sec-5-6"/>
    <w:p>
      <w:pPr>
        <w:pStyle w:val="Heading3"/>
      </w:pPr>
      <w:r>
        <w:t xml:space="preserve">5.6　膜电容解释电压为何需要时间改变</w:t>
      </w:r>
    </w:p>
    <w:p>
      <w:pPr>
        <w:pStyle w:val="FirstParagraph"/>
      </w:pPr>
      <w:r>
        <w:t xml:space="preserve">脂质双层把导电溶液分隔开，能够储存相互分离的电荷，因此具有电容。电容关系可写成Q = CV，其中Q是分离电荷，C是电容，V是电势差。改变膜电位需要重新分布电荷，电流首先参与这一过程，电压因此通常不会瞬时跳到新稳态。</w:t>
      </w:r>
    </w:p>
    <w:p>
      <w:pPr>
        <w:pStyle w:val="BodyText"/>
      </w:pPr>
      <w:r>
        <w:t xml:space="preserve">电容电流与电压变化速度成正比，可写成I电容 = C乘以dV除以dt。一个短而强的电流与一个长而弱的电流，若总注入电荷相同，在理想纯电容模型中可以产生相同总电压变化。真实细胞还存在漏电导，长时间注入时部分电流会经膜流失，因此总电荷相同也未必得到相同峰值。</w:t>
      </w:r>
    </w:p>
    <w:p>
      <w:pPr>
        <w:pStyle w:val="BodyText"/>
      </w:pPr>
      <w:r>
        <w:t xml:space="preserve">细胞膜面积增大通常增加总电容，但输入电阻还受通道密度与形态影响。较大细胞对同样电流的电压变化可能较小，不能据此直接判断其功能较弱。比较细胞时，可以报告总电流，也可以按膜电容归一化，但归一化本身依赖面积估计与细胞形态，解释应保持具体。</w:t>
      </w:r>
    </w:p>
    <w:bookmarkEnd w:id="102"/>
    <w:bookmarkStart w:id="103" w:name="sec-5-7"/>
    <w:p>
      <w:pPr>
        <w:pStyle w:val="Heading3"/>
      </w:pPr>
      <w:r>
        <w:t xml:space="preserve">5.7　时间常数把电阻和电容连接起来</w:t>
      </w:r>
    </w:p>
    <w:p>
      <w:pPr>
        <w:pStyle w:val="FirstParagraph"/>
      </w:pPr>
      <w:r>
        <w:t xml:space="preserve">单一被动膜室模型在阶跃电流输入下，以指数形式接近新稳态。其时间常数τ等于膜电阻R与膜电容C的乘积，也等于C除以总电导。经过一个时间常数，电压完成约63%的最终变化；这是指数函数的数学性质，前提是模型参数在该范围内近似恒定。</w:t>
      </w:r>
    </w:p>
    <w:p>
      <w:pPr>
        <w:pStyle w:val="BodyText"/>
      </w:pPr>
      <w:r>
        <w:t xml:space="preserve">时间常数较长时，短时间相邻输入更容易在电压层面积累；时间常数较短时，细胞更快跟随输入变化，较早输入的影响也更快衰减。真实神经元的主动电导会改变这些关系，但被动模型提供了判断时间整合的基础。一个细胞的计算特征因此与膜参数直接相连。</w:t>
      </w:r>
    </w:p>
    <w:p>
      <w:pPr>
        <w:pStyle w:val="BodyText"/>
      </w:pPr>
      <w:r>
        <w:t xml:space="preserve">总电导增加可以缩短时间常数，即使静息电位变化很小。网络活动引起许多突触同时开放时，细胞可能进入较高电导状态，对输入的响应幅度与时间精度都随之变化。仅用平均膜电位描述这种状态，会遗漏重要动力学信息。</w:t>
      </w:r>
    </w:p>
    <w:bookmarkEnd w:id="103"/>
    <w:bookmarkStart w:id="104" w:name="sec-5-8"/>
    <w:p>
      <w:pPr>
        <w:pStyle w:val="Heading3"/>
      </w:pPr>
      <w:r>
        <w:t xml:space="preserve">5.8　空间衰减使突触位置具有意义</w:t>
      </w:r>
    </w:p>
    <w:p>
      <w:pPr>
        <w:pStyle w:val="FirstParagraph"/>
      </w:pPr>
      <w:r>
        <w:t xml:space="preserve">神经元树突和轴突具有长度，电流可以沿细胞内部传播，也可以经膜漏出。沿程内阻和膜阻共同决定电压随距离衰减。被动电缆模型用长度常数描述这种衰减尺度，常见形式为膜单位长度电阻与轴向单位长度电阻之比的平方根。</w:t>
      </w:r>
    </w:p>
    <w:p>
      <w:pPr>
        <w:pStyle w:val="BodyText"/>
      </w:pPr>
      <w:r>
        <w:t xml:space="preserve">树突分支、直径和末端边界都会改变传播。一个远端突触产生的局部电位，在胞体处可能变小并变慢；同样大小的局部电流，在不同位置产生的胞体影响也可能不同。不能只根据突触总数推断其对输出的权重，还需考虑空间位置和局部主动通道。</w:t>
      </w:r>
    </w:p>
    <w:p>
      <w:pPr>
        <w:pStyle w:val="BodyText"/>
      </w:pPr>
      <w:r>
        <w:t xml:space="preserve">增加纤维直径通常降低单位长度的轴向电阻，有利于沿程传播，但也改变膜面积和电容。髓鞘通过不同机制改变有效膜电性质，后续章节将讨论其对传导的影响。形态与膜机制相互作用，无法用一个“线越粗信号越强”的简单规则概括。</w:t>
      </w:r>
    </w:p>
    <w:bookmarkEnd w:id="104"/>
    <w:bookmarkStart w:id="105" w:name="sec-5-9"/>
    <w:p>
      <w:pPr>
        <w:pStyle w:val="Heading3"/>
      </w:pPr>
      <w:r>
        <w:t xml:space="preserve">5.9　离子泵维持梯度所需的能量</w:t>
      </w:r>
    </w:p>
    <w:p>
      <w:pPr>
        <w:pStyle w:val="FirstParagraph"/>
      </w:pPr>
      <w:r>
        <w:t xml:space="preserve">被动通道允许离子沿电化学驱动力运动，持续活动会逐渐消耗原有梯度。钠钾泵利用ATP水解提供能量，维持钠和钾的不对称分布。Skou对神经组织ATP酶的研究为认识这一主动运输系统奠定了实验基础</w:t>
      </w:r>
      <w:r>
        <w:rPr>
          <w:vertAlign w:val="superscript"/>
        </w:rPr>
        <w:t xml:space="preserve">[</w:t>
      </w:r>
      <w:hyperlink w:anchor="ref-39">
        <w:r>
          <w:rPr>
            <w:rStyle w:val="Hyperlink"/>
            <w:vertAlign w:val="superscript"/>
          </w:rPr>
          <w:t xml:space="preserve">39</w:t>
        </w:r>
      </w:hyperlink>
      <w:r>
        <w:rPr>
          <w:vertAlign w:val="superscript"/>
        </w:rPr>
        <w:t xml:space="preserve">]</w:t>
      </w:r>
      <w:r>
        <w:t xml:space="preserve">。</w:t>
      </w:r>
    </w:p>
    <w:p>
      <w:pPr>
        <w:pStyle w:val="BodyText"/>
      </w:pPr>
      <w:r>
        <w:t xml:space="preserve">经典钠钾泵每个循环输出三个钠离子并输入两个钾离子，因此具有净电荷转移，能够直接贡献电流。它更基础的作用是维持通道工作所依赖的长期梯度。一次动作电位的快速复极主要依赖当时的膜电导变化，不能把复极全过程都归给泵立即搬回所有离子</w:t>
      </w:r>
      <w:r>
        <w:rPr>
          <w:vertAlign w:val="superscript"/>
        </w:rPr>
        <w:t xml:space="preserve">[</w:t>
      </w:r>
      <w:hyperlink w:anchor="ref-39">
        <w:r>
          <w:rPr>
            <w:rStyle w:val="Hyperlink"/>
            <w:vertAlign w:val="superscript"/>
          </w:rPr>
          <w:t xml:space="preserve">39</w:t>
        </w:r>
      </w:hyperlink>
      <w:r>
        <w:rPr>
          <w:vertAlign w:val="superscript"/>
        </w:rPr>
        <w:t xml:space="preserve">,</w:t>
      </w:r>
      <w:hyperlink w:anchor="ref-40">
        <w:r>
          <w:rPr>
            <w:rStyle w:val="Hyperlink"/>
            <w:vertAlign w:val="superscript"/>
          </w:rPr>
          <w:t xml:space="preserve">40</w:t>
        </w:r>
      </w:hyperlink>
      <w:r>
        <w:rPr>
          <w:vertAlign w:val="superscript"/>
        </w:rPr>
        <w:t xml:space="preserve">]</w:t>
      </w:r>
      <w:r>
        <w:t xml:space="preserve">。</w:t>
      </w:r>
    </w:p>
    <w:p>
      <w:pPr>
        <w:pStyle w:val="BodyText"/>
      </w:pPr>
      <w:r>
        <w:t xml:space="preserve">能量供应不足时，梯度维持、细胞体积和突触传递都会受到影响。影响顺序取决于活动负荷、储备与局部环境。脑耗能研究因此需要区分静息维持、动作电位、突触电流和其他细胞过程。电活动与代谢并行存在，任何只描述电路而忽略能量边界的模型都有适用限制。</w:t>
      </w:r>
    </w:p>
    <w:bookmarkEnd w:id="105"/>
    <w:bookmarkStart w:id="106" w:name="sec-5-10"/>
    <w:p>
      <w:pPr>
        <w:pStyle w:val="Heading3"/>
      </w:pPr>
      <w:r>
        <w:t xml:space="preserve">5.10　氯梯度说明去极化与兴奋需要分开</w:t>
      </w:r>
    </w:p>
    <w:p>
      <w:pPr>
        <w:pStyle w:val="FirstParagraph"/>
      </w:pPr>
      <w:r>
        <w:t xml:space="preserve">GABA或甘氨酸相关通道的净效应受到氯梯度和其他通透离子影响。KCC2和NKCC1等转运系统参与调节细胞内氯状态，发育、活动和疾病条件都可能改变这种状态。一个通道开放后是否增加动作电位概率，需要结合其反转电位、阈值和分流作用判断</w:t>
      </w:r>
      <w:r>
        <w:rPr>
          <w:vertAlign w:val="superscript"/>
        </w:rPr>
        <w:t xml:space="preserve">[</w:t>
      </w:r>
      <w:hyperlink w:anchor="ref-41">
        <w:r>
          <w:rPr>
            <w:rStyle w:val="Hyperlink"/>
            <w:vertAlign w:val="superscript"/>
          </w:rPr>
          <w:t xml:space="preserve">41</w:t>
        </w:r>
      </w:hyperlink>
      <w:r>
        <w:rPr>
          <w:vertAlign w:val="superscript"/>
        </w:rPr>
        <w:t xml:space="preserve">]</w:t>
      </w:r>
      <w:r>
        <w:t xml:space="preserve">。</w:t>
      </w:r>
    </w:p>
    <w:p>
      <w:pPr>
        <w:pStyle w:val="BodyText"/>
      </w:pPr>
      <w:r>
        <w:t xml:space="preserve">若反转电位略高于静息电位，通道开放可以造成轻度去极化，同时增加总电导，削弱其他输入引起的电压变化。这两种作用可以同时存在。仅观察电压向上移动，就把该通道称为兴奋性，会遗漏对最终放电的影响。</w:t>
      </w:r>
    </w:p>
    <w:p>
      <w:pPr>
        <w:pStyle w:val="BodyText"/>
      </w:pPr>
      <w:r>
        <w:t xml:space="preserve">抑制作用也依赖位置。靠近胞体、轴突起始段或某一树突分支的电导变化，会以不同方式影响输入整合。树突局部抑制可能选择性影响某组突触，胞体附近抑制则可能对多个输入具有较广作用。具体空间关系需要结合细胞形态和回路连接验证。</w:t>
      </w:r>
    </w:p>
    <w:bookmarkEnd w:id="106"/>
    <w:bookmarkStart w:id="111" w:name="sec-5-11"/>
    <w:p>
      <w:pPr>
        <w:pStyle w:val="Heading3"/>
      </w:pPr>
      <w:r>
        <w:t xml:space="preserve">5.11　一个可手算的被动膜教学例子</w:t>
      </w:r>
    </w:p>
    <w:p>
      <w:pPr>
        <w:pStyle w:val="FirstParagraph"/>
      </w:pPr>
      <w:r>
        <w:t xml:space="preserve">设定一个教学模型，钾相关固定电导为10纳西门子，反转电位负90毫伏；另一阳离子电导为1纳西门子，反转电位正60毫伏。忽略其他电流，稳态电位为负76.36毫伏，总电导为11纳西门子。若总电容为100皮法，时间常数约9.09毫秒。这些数值用于演算，不代表某类真实神经元的标准参数。</w:t>
      </w:r>
    </w:p>
    <w:p>
      <w:pPr>
        <w:pStyle w:val="BodyText"/>
      </w:pPr>
      <w:r>
        <w:t xml:space="preserve">现在增加10纳西门子的通道，其反转电位为负75毫伏。新稳态约为负75.71毫伏，较原先略去极化；总电导增加到21纳西门子，时间常数降至约4.76毫秒。细胞看起来更接近某个假设阈值，同时输入电阻显著降低，这说明单看基线电位会产生不完整判断。</w:t>
      </w:r>
    </w:p>
    <w:p>
      <w:pPr>
        <w:pStyle w:val="BodyText"/>
      </w:pPr>
      <w:r>
        <w:t xml:space="preserve">若持续注入300皮安的去极化电流，在原模型中的线性稳态变化为约27.27毫伏，在新模型中约14.29毫伏。假设用负50毫伏作为输出阈值，前一条件可以到达阈值附近，后一条件仍较远。这只是被动模型加阈值判据的演示，超过真实阈值后主动电导会使线性计算失效，但它清楚展示了轻度去极化与抑制输出可以共存。</w:t>
      </w:r>
    </w:p>
    <w:p>
      <w:pPr>
        <w:pStyle w:val="Figure"/>
      </w:pPr>
      <w:r>
        <w:drawing>
          <wp:inline>
            <wp:extent cx="5334000" cy="3407833"/>
            <wp:effectExtent b="0" l="0" r="0" t="0"/>
            <wp:docPr descr="A图1 被动膜模型中的分流效应" title="" id="108" name="Picture"/>
            <a:graphic>
              <a:graphicData uri="http://schemas.openxmlformats.org/drawingml/2006/picture">
                <pic:pic>
                  <pic:nvPicPr>
                    <pic:cNvPr descr="/tmp/claude-0/-home-user-i18ns/3184e246-229e-5a65-b6f3-3f7647a222c4/scratchpad/src/B_media/media/image9.png" id="109" name="Picture"/>
                    <pic:cNvPicPr>
                      <a:picLocks noChangeArrowheads="1" noChangeAspect="1"/>
                    </pic:cNvPicPr>
                  </pic:nvPicPr>
                  <pic:blipFill>
                    <a:blip r:embed="rId107"/>
                    <a:stretch>
                      <a:fillRect/>
                    </a:stretch>
                  </pic:blipFill>
                  <pic:spPr bwMode="auto">
                    <a:xfrm>
                      <a:off x="0" y="0"/>
                      <a:ext cx="5334000" cy="3407833"/>
                    </a:xfrm>
                    <a:prstGeom prst="rect">
                      <a:avLst/>
                    </a:prstGeom>
                    <a:noFill/>
                    <a:ln w="9525">
                      <a:noFill/>
                      <a:headEnd/>
                      <a:tailEnd/>
                    </a:ln>
                  </pic:spPr>
                </pic:pic>
              </a:graphicData>
            </a:graphic>
          </wp:inline>
        </w:drawing>
      </w:r>
    </w:p>
    <w:p>
      <w:pPr>
        <w:pStyle w:val="ImageCaption"/>
      </w:pPr>
      <w:bookmarkStart w:id="110" w:name="fig-a1"/>
      <w:bookmarkEnd w:id="110"/>
      <w:r>
        <w:rPr>
          <w:bCs/>
          <w:b/>
        </w:rPr>
        <w:t xml:space="preserve">图 1　</w:t>
      </w:r>
      <w:r>
        <w:t xml:space="preserve">被动膜模型中的分流效应。全部数值为虚构教学参数。膜电容为100皮法，原有钾电导10纳西门子、反转电位负90毫伏，阳离子电导1纳西门子、反转电位正60毫伏。加入氯电导10纳西门子、反转电位负75毫伏后，静息电位从约负76.36毫伏变为负75.71毫伏，总电导从11增至21纳西门子。相同300皮安去极化电流产生的线性稳态增量从27.27降至14.29毫伏，时间常数从9.09降至4.76毫秒。负50毫伏阈值仅为假设判据，蓝色跨阈值虚线表示被动模型数学外推，图中没有模拟真实动作电位。图示依据膜电容与电导关系原创计算，氯相关作用原则见本章文献</w:t>
      </w:r>
      <w:r>
        <w:rPr>
          <w:vertAlign w:val="superscript"/>
        </w:rPr>
        <w:t xml:space="preserve">[</w:t>
      </w:r>
      <w:hyperlink w:anchor="ref-40">
        <w:r>
          <w:rPr>
            <w:rStyle w:val="Hyperlink"/>
            <w:vertAlign w:val="superscript"/>
          </w:rPr>
          <w:t xml:space="preserve">40</w:t>
        </w:r>
      </w:hyperlink>
      <w:r>
        <w:rPr>
          <w:vertAlign w:val="superscript"/>
        </w:rPr>
        <w:t xml:space="preserve">,</w:t>
      </w:r>
      <w:hyperlink w:anchor="ref-41">
        <w:r>
          <w:rPr>
            <w:rStyle w:val="Hyperlink"/>
            <w:vertAlign w:val="superscript"/>
          </w:rPr>
          <w:t xml:space="preserve">41</w:t>
        </w:r>
      </w:hyperlink>
      <w:r>
        <w:rPr>
          <w:vertAlign w:val="superscript"/>
        </w:rPr>
        <w:t xml:space="preserve">]</w:t>
      </w:r>
      <w:r>
        <w:t xml:space="preserve">。</w:t>
      </w:r>
    </w:p>
    <w:bookmarkEnd w:id="111"/>
    <w:bookmarkStart w:id="112" w:name="sec-5-12"/>
    <w:p>
      <w:pPr>
        <w:pStyle w:val="Heading3"/>
      </w:pPr>
      <w:r>
        <w:t xml:space="preserve">5.12　渗透压与电中性约束细胞体积</w:t>
      </w:r>
    </w:p>
    <w:p>
      <w:pPr>
        <w:pStyle w:val="FirstParagraph"/>
      </w:pPr>
      <w:r>
        <w:t xml:space="preserve">离子移动还会改变溶质分布和水的运动趋势。细胞内不可自由透膜的带电分子、可移动离子和水共同受到电化学与渗透约束。单独增加某种离子而不考虑相伴电荷与渗透压，可能构造出不合理的模型或实验溶液。</w:t>
      </w:r>
    </w:p>
    <w:p>
      <w:pPr>
        <w:pStyle w:val="BodyText"/>
      </w:pPr>
      <w:r>
        <w:t xml:space="preserve">细胞通过转运、代谢和膜结构调节体积，周围胶质与血管系统也影响细胞外空间。活动引起的局部离子变化，能够反过来改变神经元兴奋性和扩散条件。高活动状态下，固定外部浓度的近似可能变差，模型需要加入细胞外离子动态。</w:t>
      </w:r>
    </w:p>
    <w:p>
      <w:pPr>
        <w:pStyle w:val="BodyText"/>
      </w:pPr>
      <w:r>
        <w:t xml:space="preserve">实验替换离子时，因此需要同时控制渗透压、酸碱度和其他离子。若去掉某种离子后活动改变，结果可能来自目标通道驱动力，也可能来自细胞体积、酶活性或其他通路。精确的生物物理操作需要保持这些边界条件清楚。</w:t>
      </w:r>
    </w:p>
    <w:bookmarkEnd w:id="112"/>
    <w:bookmarkStart w:id="114" w:name="sec-5-13"/>
    <w:p>
      <w:pPr>
        <w:pStyle w:val="Heading3"/>
      </w:pPr>
      <w:r>
        <w:t xml:space="preserve">5.13　几类电压量与状态量的区别</w:t>
      </w:r>
    </w:p>
    <w:p>
      <w:pPr>
        <w:pStyle w:val="TableCaption"/>
      </w:pPr>
      <w:bookmarkStart w:id="113" w:name="tab-voltages"/>
      <w:bookmarkEnd w:id="113"/>
      <w:r>
        <w:rPr>
          <w:bCs/>
          <w:b/>
        </w:rPr>
        <w:t xml:space="preserve">表 3　几类电压量与状态量的区别</w:t>
      </w:r>
    </w:p>
    <w:tbl>
      <w:tblPr>
        <w:tblStyle w:val="Table"/>
        <w:tblW w:type="pct" w:w="5000"/>
        <w:jc w:val="start"/>
        <w:tblLook w:firstRow="1" w:lastRow="0" w:firstColumn="0" w:lastColumn="0" w:noHBand="0" w:noVBand="0" w:val="0020"/>
      </w:tblPr>
      <w:tblGrid>
        <w:gridCol w:w="1087"/>
        <w:gridCol w:w="3105"/>
        <w:gridCol w:w="3726"/>
      </w:tblGrid>
      <w:tr>
        <w:trPr>
          <w:tblHeader w:val="true"/>
        </w:trPr>
        <w:tc>
          <w:tcPr>
            <w:shd w:val="clear" w:color="auto" w:fill="1F3A5F"/>
          </w:tcPr>
          <w:p>
            <w:pPr>
              <w:pStyle w:val="Compact"/>
              <w:jc w:val="left"/>
            </w:pPr>
            <w:r>
              <w:rPr>
                <w:bCs/>
                <w:b/>
                <w:color w:val="FFFFFF"/>
              </w:rPr>
              <w:t xml:space="preserve">量或概念</w:t>
            </w:r>
          </w:p>
        </w:tc>
        <w:tc>
          <w:tcPr>
            <w:shd w:val="clear" w:color="auto" w:fill="1F3A5F"/>
          </w:tcPr>
          <w:p>
            <w:pPr>
              <w:pStyle w:val="Compact"/>
              <w:jc w:val="left"/>
            </w:pPr>
            <w:r>
              <w:rPr>
                <w:bCs/>
                <w:b/>
                <w:color w:val="FFFFFF"/>
              </w:rPr>
              <w:t xml:space="preserve">生理含义</w:t>
            </w:r>
          </w:p>
        </w:tc>
        <w:tc>
          <w:tcPr>
            <w:shd w:val="clear" w:color="auto" w:fill="1F3A5F"/>
          </w:tcPr>
          <w:p>
            <w:pPr>
              <w:pStyle w:val="Compact"/>
              <w:jc w:val="left"/>
            </w:pPr>
            <w:r>
              <w:rPr>
                <w:bCs/>
                <w:b/>
                <w:color w:val="FFFFFF"/>
              </w:rPr>
              <w:t xml:space="preserve">使用条件与常见误读</w:t>
            </w:r>
          </w:p>
        </w:tc>
      </w:tr>
      <w:tr>
        <w:tc>
          <w:tcPr/>
          <w:p>
            <w:pPr>
              <w:pStyle w:val="Compact"/>
              <w:jc w:val="left"/>
            </w:pPr>
            <w:r>
              <w:t xml:space="preserve">膜电位</w:t>
            </w:r>
          </w:p>
        </w:tc>
        <w:tc>
          <w:tcPr/>
          <w:p>
            <w:pPr>
              <w:pStyle w:val="Compact"/>
              <w:jc w:val="left"/>
            </w:pPr>
            <w:r>
              <w:t xml:space="preserve">膜内相对膜外的瞬时电势差</w:t>
            </w:r>
          </w:p>
        </w:tc>
        <w:tc>
          <w:tcPr/>
          <w:p>
            <w:pPr>
              <w:pStyle w:val="Compact"/>
              <w:jc w:val="left"/>
            </w:pPr>
            <w:r>
              <w:t xml:space="preserve">需要注明内外参照及记录方式</w:t>
            </w:r>
            <w:r>
              <w:rPr>
                <w:vertAlign w:val="superscript"/>
              </w:rPr>
              <w:t xml:space="preserve">[</w:t>
            </w:r>
            <w:hyperlink w:anchor="ref-36">
              <w:r>
                <w:rPr>
                  <w:rStyle w:val="Hyperlink"/>
                  <w:vertAlign w:val="superscript"/>
                </w:rPr>
                <w:t xml:space="preserve">36</w:t>
              </w:r>
            </w:hyperlink>
            <w:r>
              <w:rPr>
                <w:vertAlign w:val="superscript"/>
              </w:rPr>
              <w:t xml:space="preserve">]</w:t>
            </w:r>
          </w:p>
        </w:tc>
      </w:tr>
      <w:tr>
        <w:tc>
          <w:tcPr/>
          <w:p>
            <w:pPr>
              <w:pStyle w:val="Compact"/>
              <w:jc w:val="left"/>
            </w:pPr>
            <w:r>
              <w:t xml:space="preserve">单离子平衡电位</w:t>
            </w:r>
          </w:p>
        </w:tc>
        <w:tc>
          <w:tcPr/>
          <w:p>
            <w:pPr>
              <w:pStyle w:val="Compact"/>
              <w:jc w:val="left"/>
            </w:pPr>
            <w:r>
              <w:t xml:space="preserve">该离子化学与电场驱动相抵的电压</w:t>
            </w:r>
          </w:p>
        </w:tc>
        <w:tc>
          <w:tcPr/>
          <w:p>
            <w:pPr>
              <w:pStyle w:val="Compact"/>
              <w:jc w:val="left"/>
            </w:pPr>
            <w:r>
              <w:t xml:space="preserve">取决于浓度（活度）、温度与价态</w:t>
            </w:r>
            <w:r>
              <w:rPr>
                <w:vertAlign w:val="superscript"/>
              </w:rPr>
              <w:t xml:space="preserve">[</w:t>
            </w:r>
            <w:hyperlink w:anchor="ref-38">
              <w:r>
                <w:rPr>
                  <w:rStyle w:val="Hyperlink"/>
                  <w:vertAlign w:val="superscript"/>
                </w:rPr>
                <w:t xml:space="preserve">38</w:t>
              </w:r>
            </w:hyperlink>
            <w:r>
              <w:rPr>
                <w:vertAlign w:val="superscript"/>
              </w:rPr>
              <w:t xml:space="preserve">]</w:t>
            </w:r>
          </w:p>
        </w:tc>
      </w:tr>
      <w:tr>
        <w:tc>
          <w:tcPr/>
          <w:p>
            <w:pPr>
              <w:pStyle w:val="Compact"/>
              <w:jc w:val="left"/>
            </w:pPr>
            <w:r>
              <w:t xml:space="preserve">通道反转电位</w:t>
            </w:r>
          </w:p>
        </w:tc>
        <w:tc>
          <w:tcPr/>
          <w:p>
            <w:pPr>
              <w:pStyle w:val="Compact"/>
              <w:jc w:val="left"/>
            </w:pPr>
            <w:r>
              <w:t xml:space="preserve">通过指定通道的净电流改变方向的位置</w:t>
            </w:r>
          </w:p>
        </w:tc>
        <w:tc>
          <w:tcPr/>
          <w:p>
            <w:pPr>
              <w:pStyle w:val="Compact"/>
              <w:jc w:val="left"/>
            </w:pPr>
            <w:r>
              <w:t xml:space="preserve">多离子通道可不同于任一单离子平衡电位</w:t>
            </w:r>
            <w:r>
              <w:rPr>
                <w:vertAlign w:val="superscript"/>
              </w:rPr>
              <w:t xml:space="preserve">[</w:t>
            </w:r>
            <w:hyperlink w:anchor="ref-37">
              <w:r>
                <w:rPr>
                  <w:rStyle w:val="Hyperlink"/>
                  <w:vertAlign w:val="superscript"/>
                </w:rPr>
                <w:t xml:space="preserve">37</w:t>
              </w:r>
            </w:hyperlink>
            <w:r>
              <w:rPr>
                <w:vertAlign w:val="superscript"/>
              </w:rPr>
              <w:t xml:space="preserve">]</w:t>
            </w:r>
          </w:p>
        </w:tc>
      </w:tr>
      <w:tr>
        <w:tc>
          <w:tcPr/>
          <w:p>
            <w:pPr>
              <w:pStyle w:val="Compact"/>
              <w:jc w:val="left"/>
            </w:pPr>
            <w:r>
              <w:t xml:space="preserve">静息膜电位</w:t>
            </w:r>
          </w:p>
        </w:tc>
        <w:tc>
          <w:tcPr/>
          <w:p>
            <w:pPr>
              <w:pStyle w:val="Compact"/>
              <w:jc w:val="left"/>
            </w:pPr>
            <w:r>
              <w:t xml:space="preserve">指定静息条件下多种电流共同形成的状态</w:t>
            </w:r>
          </w:p>
        </w:tc>
        <w:tc>
          <w:tcPr/>
          <w:p>
            <w:pPr>
              <w:pStyle w:val="Compact"/>
              <w:jc w:val="left"/>
            </w:pPr>
            <w:r>
              <w:t xml:space="preserve">随通道电导、泵与环境改变</w:t>
            </w:r>
            <w:r>
              <w:rPr>
                <w:vertAlign w:val="superscript"/>
              </w:rPr>
              <w:t xml:space="preserve">[</w:t>
            </w:r>
            <w:hyperlink w:anchor="ref-40">
              <w:r>
                <w:rPr>
                  <w:rStyle w:val="Hyperlink"/>
                  <w:vertAlign w:val="superscript"/>
                </w:rPr>
                <w:t xml:space="preserve">40</w:t>
              </w:r>
            </w:hyperlink>
            <w:r>
              <w:rPr>
                <w:vertAlign w:val="superscript"/>
              </w:rPr>
              <w:t xml:space="preserve">]</w:t>
            </w:r>
          </w:p>
        </w:tc>
      </w:tr>
      <w:tr>
        <w:tc>
          <w:tcPr/>
          <w:p>
            <w:pPr>
              <w:pStyle w:val="Compact"/>
              <w:jc w:val="left"/>
            </w:pPr>
            <w:r>
              <w:t xml:space="preserve">动作电位阈值</w:t>
            </w:r>
          </w:p>
        </w:tc>
        <w:tc>
          <w:tcPr/>
          <w:p>
            <w:pPr>
              <w:pStyle w:val="Compact"/>
              <w:jc w:val="left"/>
            </w:pPr>
            <w:r>
              <w:t xml:space="preserve">再生性内向电流足以推动快速上升的状态边界</w:t>
            </w:r>
          </w:p>
        </w:tc>
        <w:tc>
          <w:tcPr/>
          <w:p>
            <w:pPr>
              <w:pStyle w:val="Compact"/>
              <w:jc w:val="left"/>
            </w:pPr>
            <w:r>
              <w:t xml:space="preserve">具有时间与历史依赖性</w:t>
            </w:r>
            <w:r>
              <w:rPr>
                <w:vertAlign w:val="superscript"/>
              </w:rPr>
              <w:t xml:space="preserve">[</w:t>
            </w:r>
            <w:hyperlink w:anchor="ref-40">
              <w:r>
                <w:rPr>
                  <w:rStyle w:val="Hyperlink"/>
                  <w:vertAlign w:val="superscript"/>
                </w:rPr>
                <w:t xml:space="preserve">40</w:t>
              </w:r>
            </w:hyperlink>
            <w:r>
              <w:rPr>
                <w:vertAlign w:val="superscript"/>
              </w:rPr>
              <w:t xml:space="preserve">,</w:t>
            </w:r>
            <w:hyperlink w:anchor="ref-42">
              <w:r>
                <w:rPr>
                  <w:rStyle w:val="Hyperlink"/>
                  <w:vertAlign w:val="superscript"/>
                </w:rPr>
                <w:t xml:space="preserve">42</w:t>
              </w:r>
            </w:hyperlink>
            <w:r>
              <w:rPr>
                <w:vertAlign w:val="superscript"/>
              </w:rPr>
              <w:t xml:space="preserve">]</w:t>
            </w:r>
          </w:p>
        </w:tc>
      </w:tr>
      <w:tr>
        <w:tc>
          <w:tcPr/>
          <w:p>
            <w:pPr>
              <w:pStyle w:val="Compact"/>
              <w:jc w:val="left"/>
            </w:pPr>
            <w:r>
              <w:t xml:space="preserve">驱动力</w:t>
            </w:r>
          </w:p>
        </w:tc>
        <w:tc>
          <w:tcPr/>
          <w:p>
            <w:pPr>
              <w:pStyle w:val="Compact"/>
              <w:jc w:val="left"/>
            </w:pPr>
            <w:r>
              <w:t xml:space="preserve">膜电位与相应反转电位的差</w:t>
            </w:r>
          </w:p>
        </w:tc>
        <w:tc>
          <w:tcPr/>
          <w:p>
            <w:pPr>
              <w:pStyle w:val="Compact"/>
              <w:jc w:val="left"/>
            </w:pPr>
            <w:r>
              <w:t xml:space="preserve">电流还需要乘以电导</w:t>
            </w:r>
            <w:r>
              <w:rPr>
                <w:vertAlign w:val="superscript"/>
              </w:rPr>
              <w:t xml:space="preserve">[</w:t>
            </w:r>
            <w:hyperlink w:anchor="ref-37">
              <w:r>
                <w:rPr>
                  <w:rStyle w:val="Hyperlink"/>
                  <w:vertAlign w:val="superscript"/>
                </w:rPr>
                <w:t xml:space="preserve">37</w:t>
              </w:r>
            </w:hyperlink>
            <w:r>
              <w:rPr>
                <w:vertAlign w:val="superscript"/>
              </w:rPr>
              <w:t xml:space="preserve">]</w:t>
            </w:r>
          </w:p>
        </w:tc>
      </w:tr>
      <w:tr>
        <w:tc>
          <w:tcPr/>
          <w:p>
            <w:pPr>
              <w:pStyle w:val="Compact"/>
              <w:jc w:val="left"/>
            </w:pPr>
            <w:r>
              <w:t xml:space="preserve">膜时间常数</w:t>
            </w:r>
          </w:p>
        </w:tc>
        <w:tc>
          <w:tcPr/>
          <w:p>
            <w:pPr>
              <w:pStyle w:val="Compact"/>
              <w:jc w:val="left"/>
            </w:pPr>
            <w:r>
              <w:t xml:space="preserve">被动近似中电压靠近新平衡的特征时间</w:t>
            </w:r>
          </w:p>
        </w:tc>
        <w:tc>
          <w:tcPr/>
          <w:p>
            <w:pPr>
              <w:pStyle w:val="Compact"/>
              <w:jc w:val="left"/>
            </w:pPr>
            <w:r>
              <w:t xml:space="preserve">真实细胞随位置和通道状态改变</w:t>
            </w:r>
            <w:r>
              <w:rPr>
                <w:vertAlign w:val="superscript"/>
              </w:rPr>
              <w:t xml:space="preserve">[</w:t>
            </w:r>
            <w:hyperlink w:anchor="ref-36">
              <w:r>
                <w:rPr>
                  <w:rStyle w:val="Hyperlink"/>
                  <w:vertAlign w:val="superscript"/>
                </w:rPr>
                <w:t xml:space="preserve">36</w:t>
              </w:r>
            </w:hyperlink>
            <w:r>
              <w:rPr>
                <w:vertAlign w:val="superscript"/>
              </w:rPr>
              <w:t xml:space="preserve">]</w:t>
            </w:r>
          </w:p>
        </w:tc>
      </w:tr>
    </w:tbl>
    <w:bookmarkEnd w:id="114"/>
    <w:bookmarkStart w:id="115" w:name="sec-5-14"/>
    <w:p>
      <w:pPr>
        <w:pStyle w:val="Heading3"/>
      </w:pPr>
      <w:r>
        <w:t xml:space="preserve">5.14　从基础膜模型走向真实神经元</w:t>
      </w:r>
    </w:p>
    <w:p>
      <w:pPr>
        <w:pStyle w:val="FirstParagraph"/>
      </w:pPr>
      <w:r>
        <w:t xml:space="preserve">被动膜模型解释了电压、电流、电导和空间整合的核心关系。真实神经元还具有电压依赖门控、钙信号、树突非线性、突触可塑性和细胞内调节。基础模型的价值在于提供明确参照，帮助判断哪些现象需要增加新的机制。</w:t>
      </w:r>
    </w:p>
    <w:p>
      <w:pPr>
        <w:pStyle w:val="BodyText"/>
      </w:pPr>
      <w:r>
        <w:t xml:space="preserve">一个模型若只能拟合某个电压轨迹，尚不能证明所设通道组合唯一正确。不同电导组合可能产生相近输出，新的电压范围、刺激频率或药理干预可以进一步区分。机制解释应同时满足物理守恒、已知分子约束和多条件预测，逐层建立可信度。</w:t>
      </w:r>
    </w:p>
    <w:p>
      <w:pPr>
        <w:pStyle w:val="BodyText"/>
      </w:pPr>
      <w:r>
        <w:t xml:space="preserve">本章的高置信度结论包括：离子梯度与选择性通透构成膜电信号基础，电容决定电压变化需要时间，形态影响空间传播，主动运输维持长期梯度。具体细胞的参数与功能需要实验测量。把神经元简单看成只有开关两种状态的元件，会遗漏其在动作电位出现之前已经进行的大量连续计算。</w:t>
      </w:r>
    </w:p>
    <w:bookmarkEnd w:id="115"/>
    <w:bookmarkEnd w:id="116"/>
    <w:bookmarkStart w:id="132" w:name="ch-6"/>
    <w:p>
      <w:pPr>
        <w:pStyle w:val="Heading2"/>
      </w:pPr>
      <w:r>
        <w:t xml:space="preserve">第6章　动作电位、树突计算与电生理测量</w:t>
      </w:r>
    </w:p>
    <w:bookmarkStart w:id="117" w:name="sec-6-1"/>
    <w:p>
      <w:pPr>
        <w:pStyle w:val="Heading3"/>
      </w:pPr>
      <w:r>
        <w:t xml:space="preserve">6.1　再生性电流怎样形成快速脉冲</w:t>
      </w:r>
    </w:p>
    <w:p>
      <w:pPr>
        <w:pStyle w:val="FirstParagraph"/>
      </w:pPr>
      <w:r>
        <w:t xml:space="preserve">动作电位的快速上升来自正反馈。在许多神经元中，去极化增加电压门控钠通道开放，钠内流又进一步去极化，使更多通道开放。当这股再生性内向电流超过相对抗的电流和电容负担时，膜电位迅速变化。钠通道失活以及钾相关电导随后变化，使脉冲能够结束</w:t>
      </w:r>
      <w:r>
        <w:rPr>
          <w:vertAlign w:val="superscript"/>
        </w:rPr>
        <w:t xml:space="preserve">[</w:t>
      </w:r>
      <w:hyperlink w:anchor="ref-40">
        <w:r>
          <w:rPr>
            <w:rStyle w:val="Hyperlink"/>
            <w:vertAlign w:val="superscript"/>
          </w:rPr>
          <w:t xml:space="preserve">40</w:t>
        </w:r>
      </w:hyperlink>
      <w:r>
        <w:rPr>
          <w:vertAlign w:val="superscript"/>
        </w:rPr>
        <w:t xml:space="preserve">]</w:t>
      </w:r>
      <w:r>
        <w:t xml:space="preserve">。</w:t>
      </w:r>
    </w:p>
    <w:p>
      <w:pPr>
        <w:pStyle w:val="BodyText"/>
      </w:pPr>
      <w:r>
        <w:t xml:space="preserve">这一过程需要同时追踪电压与通道状态。同样的瞬时膜电位，可以对应不同的可用钠通道比例或钾电导，因此下一步变化可能不同。经历过强去极化的细胞，与刚从较负电位返回的细胞，即使当前电压相同，也不一定具有相同兴奋性。历史通过通道状态保留在细胞动力学中。</w:t>
      </w:r>
    </w:p>
    <w:p>
      <w:pPr>
        <w:pStyle w:val="BodyText"/>
      </w:pPr>
      <w:r>
        <w:t xml:space="preserve">脉冲形成并不需要大量离子把整个细胞内外浓度彻底交换。膜两侧电荷分离的变化即可造成明显电压变化，大部分离子梯度在单次脉冲后仍保留。持续高频活动和细小区室中的局部积累则可能逐渐改变梯度，这时固定反转电位的近似需要重新评估。</w:t>
      </w:r>
    </w:p>
    <w:bookmarkEnd w:id="117"/>
    <w:bookmarkStart w:id="118" w:name="sec-6-2"/>
    <w:p>
      <w:pPr>
        <w:pStyle w:val="Heading3"/>
      </w:pPr>
      <w:r>
        <w:t xml:space="preserve">6.2　霍奇金—赫胥黎模型的层次</w:t>
      </w:r>
    </w:p>
    <w:p>
      <w:pPr>
        <w:pStyle w:val="FirstParagraph"/>
      </w:pPr>
      <w:r>
        <w:t xml:space="preserve">霍奇金—赫胥黎模型用电压依赖的电导和门控变量描述膜电流。经典形式包含钠电流、钾电流和漏电流，并通过电容方程连接电流与电压变化。模型在其研究制备中把电压钳数据与动作电位生成联系起来，展示了定量机制解释的力量</w:t>
      </w:r>
      <w:r>
        <w:rPr>
          <w:vertAlign w:val="superscript"/>
        </w:rPr>
        <w:t xml:space="preserve">[</w:t>
      </w:r>
      <w:hyperlink w:anchor="ref-40">
        <w:r>
          <w:rPr>
            <w:rStyle w:val="Hyperlink"/>
            <w:vertAlign w:val="superscript"/>
          </w:rPr>
          <w:t xml:space="preserve">40</w:t>
        </w:r>
      </w:hyperlink>
      <w:r>
        <w:rPr>
          <w:vertAlign w:val="superscript"/>
        </w:rPr>
        <w:t xml:space="preserve">]</w:t>
      </w:r>
      <w:r>
        <w:t xml:space="preserve">。</w:t>
      </w:r>
    </w:p>
    <w:p>
      <w:pPr>
        <w:pStyle w:val="BodyText"/>
      </w:pPr>
      <w:r>
        <w:t xml:space="preserve">门控变量可以理解为某类状态的概率或有效比例，它们随电压以一定速度变化。经典模型中的幂次写法，是对当时数据的有效描述。现代通道结构研究提供了更细致的分子图景，因此不应把每个早期数学变量直接当成一个已经完全对应的独立物理闸门。</w:t>
      </w:r>
    </w:p>
    <w:p>
      <w:pPr>
        <w:pStyle w:val="BodyText"/>
      </w:pPr>
      <w:r>
        <w:t xml:space="preserve">模型成功也有边界。不同细胞具有不同通道种类、密度和形态，不能把枪乌贼巨轴突参数直接搬到所有人脑细胞。若研究对象具有明显钙电流、适应、树突非线性或自发节律，需要增加相应机制。保留核心物理方程，同时改变有证据支持的生物参数，是模型扩展的合理路径。</w:t>
      </w:r>
    </w:p>
    <w:bookmarkEnd w:id="118"/>
    <w:bookmarkStart w:id="119" w:name="sec-6-3"/>
    <w:p>
      <w:pPr>
        <w:pStyle w:val="Heading3"/>
      </w:pPr>
      <w:r>
        <w:t xml:space="preserve">6.3　阈值是动态状态的边界</w:t>
      </w:r>
    </w:p>
    <w:p>
      <w:pPr>
        <w:pStyle w:val="FirstParagraph"/>
      </w:pPr>
      <w:r>
        <w:t xml:space="preserve">教学图常画一条固定阈值线，便于区分亚阈值输入与动作电位。真实阈值受到先前电位、去极化速度、通道失活、膜电导和位置影响。快速输入可能在钾电导充分增加前触发再生过程，缓慢输入则可能允许相对抗的电流逐步建立，因此相同最大电压不必产生相同结果。</w:t>
      </w:r>
    </w:p>
    <w:p>
      <w:pPr>
        <w:pStyle w:val="BodyText"/>
      </w:pPr>
      <w:r>
        <w:t xml:space="preserve">这种动态阈值有计算意义。细胞可以对输入的变化速度、时间同步和历史状态敏感。若多个突触在短时间内同时到达，可能比相同总电荷分散到较长时间更有效。这里的差异来自膜动力学，并不需要给细胞额外假定一个理解同步意义的内部观察者。</w:t>
      </w:r>
    </w:p>
    <w:p>
      <w:pPr>
        <w:pStyle w:val="BodyText"/>
      </w:pPr>
      <w:r>
        <w:t xml:space="preserve">记录中估计阈值时，可以采用电压变化速度达到某标准的位置，但不同标准会给出不同数值。比较实验组应保持定义一致，并报告计算方法。阈值的生理解释还需结合动作电位起始位置与记录位置，胞体电压并不总是最先发生再生过程的局部电压。</w:t>
      </w:r>
    </w:p>
    <w:bookmarkEnd w:id="119"/>
    <w:bookmarkStart w:id="120" w:name="sec-6-4"/>
    <w:p>
      <w:pPr>
        <w:pStyle w:val="Heading3"/>
      </w:pPr>
      <w:r>
        <w:t xml:space="preserve">6.4　不应期限制脉冲连续出现</w:t>
      </w:r>
    </w:p>
    <w:p>
      <w:pPr>
        <w:pStyle w:val="FirstParagraph"/>
      </w:pPr>
      <w:r>
        <w:t xml:space="preserve">动作电位后，一部分钠通道处于失活状态，需要在合适电位下恢复。与此同时，钾相关电导可能仍然较高。两者共同影响随后再次放电的难易，形成绝对与相对不应期的经典现象。具体时长依赖细胞、温度、活动历史和测量标准，不能给所有神经元统一数值。</w:t>
      </w:r>
    </w:p>
    <w:p>
      <w:pPr>
        <w:pStyle w:val="BodyText"/>
      </w:pPr>
      <w:r>
        <w:t xml:space="preserve">不应期帮助限制最大放电频率，并影响输入时间间隔的选择性。两个很近的输入可能只产生一个输出，稍远一些则可能产生两个。若第二个输入更强，有时能够克服相对不应状态，但无法简单克服尚未恢复的关键通道条件。实验应区分这些动力学来源。</w:t>
      </w:r>
    </w:p>
    <w:p>
      <w:pPr>
        <w:pStyle w:val="BodyText"/>
      </w:pPr>
      <w:r>
        <w:t xml:space="preserve">持续强去极化还可能使细胞进入去极化阻滞：电压保持较高，但可用通道不足以持续产生正常脉冲。由此可见，平均膜电位更正或刺激更强，并不保证放电更多。解释药理或光遗传刺激时，应实际测量细胞响应，避免把输入强度直接当作输出活动。</w:t>
      </w:r>
    </w:p>
    <w:bookmarkEnd w:id="120"/>
    <w:bookmarkStart w:id="121" w:name="sec-6-5"/>
    <w:p>
      <w:pPr>
        <w:pStyle w:val="Heading3"/>
      </w:pPr>
      <w:r>
        <w:t xml:space="preserve">6.5　轴突起始段组织输出形成</w:t>
      </w:r>
    </w:p>
    <w:p>
      <w:pPr>
        <w:pStyle w:val="FirstParagraph"/>
      </w:pPr>
      <w:r>
        <w:t xml:space="preserve">许多神经元的动作电位在轴突起始段附近形成，该区域具有特殊的通道和细胞骨架组织。Kole及同事结合电生理与结构相关证据，说明高钠通道密度及其锚定对所研究细胞的动作电位形成具有重要作用</w:t>
      </w:r>
      <w:r>
        <w:rPr>
          <w:vertAlign w:val="superscript"/>
        </w:rPr>
        <w:t xml:space="preserve">[</w:t>
      </w:r>
      <w:hyperlink w:anchor="ref-42">
        <w:r>
          <w:rPr>
            <w:rStyle w:val="Hyperlink"/>
            <w:vertAlign w:val="superscript"/>
          </w:rPr>
          <w:t xml:space="preserve">42</w:t>
        </w:r>
      </w:hyperlink>
      <w:r>
        <w:rPr>
          <w:vertAlign w:val="superscript"/>
        </w:rPr>
        <w:t xml:space="preserve">]</w:t>
      </w:r>
      <w:r>
        <w:t xml:space="preserve">。</w:t>
      </w:r>
    </w:p>
    <w:p>
      <w:pPr>
        <w:pStyle w:val="BodyText"/>
      </w:pPr>
      <w:r>
        <w:t xml:space="preserve">起始段的位置、长度和通道分布，会改变胞体输入如何转化为轴突输出。胞体和树突的电容负担、轴突与胞体之间的电阻耦联，也影响局部再生过程。一个几何结构变化可能通过多个电学因素产生净效应，因此不能只凭起始段离胞体更远就推断兴奋性必然升高或降低。</w:t>
      </w:r>
    </w:p>
    <w:p>
      <w:pPr>
        <w:pStyle w:val="BodyText"/>
      </w:pPr>
      <w:r>
        <w:t xml:space="preserve">起始段还接受特定抑制性输入，并受到细胞内调节。其功能涉及输出概率、时间精度和活动适应。研究若发现某分子在起始段富集，需要进一步检验它影响通道定位、通道门控还是其他结构属性。空间定位提供机制线索，功能因果仍需操作与记录。</w:t>
      </w:r>
    </w:p>
    <w:bookmarkEnd w:id="121"/>
    <w:bookmarkStart w:id="122" w:name="sec-6-6"/>
    <w:p>
      <w:pPr>
        <w:pStyle w:val="Heading3"/>
      </w:pPr>
      <w:r>
        <w:t xml:space="preserve">6.6　反向传播让输出影响树突状态</w:t>
      </w:r>
    </w:p>
    <w:p>
      <w:pPr>
        <w:pStyle w:val="FirstParagraph"/>
      </w:pPr>
      <w:r>
        <w:t xml:space="preserve">轴突形成的动作电位可以向树突方向传播。Stuart与Sakmann的同步记录研究为新皮层锥体细胞树突中的主动反向传播提供了直接证据</w:t>
      </w:r>
      <w:r>
        <w:rPr>
          <w:vertAlign w:val="superscript"/>
        </w:rPr>
        <w:t xml:space="preserve">[</w:t>
      </w:r>
      <w:hyperlink w:anchor="ref-43">
        <w:r>
          <w:rPr>
            <w:rStyle w:val="Hyperlink"/>
            <w:vertAlign w:val="superscript"/>
          </w:rPr>
          <w:t xml:space="preserve">43</w:t>
        </w:r>
      </w:hyperlink>
      <w:r>
        <w:rPr>
          <w:vertAlign w:val="superscript"/>
        </w:rPr>
        <w:t xml:space="preserve">]</w:t>
      </w:r>
      <w:r>
        <w:t xml:space="preserve">。这种信号可把细胞已经产生输出的信息带回输入区室，使局部突触活动与整体输出在时间上相遇。</w:t>
      </w:r>
    </w:p>
    <w:p>
      <w:pPr>
        <w:pStyle w:val="BodyText"/>
      </w:pPr>
      <w:r>
        <w:t xml:space="preserve">反向传播的幅度与可靠性受到树突距离、分支、通道密度和抑制影响。远端树突不一定获得与胞体完全相同的脉冲形状。局部突触输入可以增强或削弱传播，形成状态依赖的反馈。把一枚神经元看成电压处处相同的点，会遗漏这些空间差异。</w:t>
      </w:r>
    </w:p>
    <w:p>
      <w:pPr>
        <w:pStyle w:val="BodyText"/>
      </w:pPr>
      <w:r>
        <w:t xml:space="preserve">反向传播还可能引发局部钙变化，为可塑性提供候选信号。但某个钙瞬变与学习同时出现，不足以证明它是全部记忆规则的唯一触发器。需要操纵其来源、时间和位置，再观察特定突触变化。不同细胞与不同突触可能使用不同组合的可塑性信号。</w:t>
      </w:r>
    </w:p>
    <w:bookmarkEnd w:id="122"/>
    <w:bookmarkStart w:id="123" w:name="sec-6-7"/>
    <w:p>
      <w:pPr>
        <w:pStyle w:val="Heading3"/>
      </w:pPr>
      <w:r>
        <w:t xml:space="preserve">6.7　树突能够生成局部非线性事件</w:t>
      </w:r>
    </w:p>
    <w:p>
      <w:pPr>
        <w:pStyle w:val="FirstParagraph"/>
      </w:pPr>
      <w:r>
        <w:t xml:space="preserve">树突具有电压依赖通道和配体门控受体，可以在特定输入条件下产生局部再生事件。钠、钙和NMDA相关过程具有不同的时间与电压依赖性，因此树突输入相加有时接近线性，有时出现明显超线性或饱和。具体形式取决于输入位置和当时状态。</w:t>
      </w:r>
    </w:p>
    <w:p>
      <w:pPr>
        <w:pStyle w:val="BodyText"/>
      </w:pPr>
      <w:r>
        <w:t xml:space="preserve">Larkum及同事研究了近端输出相关信号与远端树突输入的时间配合，展示了跨层输入通过细胞内非线性相互影响的机制</w:t>
      </w:r>
      <w:r>
        <w:rPr>
          <w:vertAlign w:val="superscript"/>
        </w:rPr>
        <w:t xml:space="preserve">[</w:t>
      </w:r>
      <w:hyperlink w:anchor="ref-44">
        <w:r>
          <w:rPr>
            <w:rStyle w:val="Hyperlink"/>
            <w:vertAlign w:val="superscript"/>
          </w:rPr>
          <w:t xml:space="preserve">44</w:t>
        </w:r>
      </w:hyperlink>
      <w:r>
        <w:rPr>
          <w:vertAlign w:val="superscript"/>
        </w:rPr>
        <w:t xml:space="preserve">]</w:t>
      </w:r>
      <w:r>
        <w:t xml:space="preserve">。这一类结果说明单个神经元内部具有多区室计算能力，并不意味着每个树突分支都承担一个独立心理功能。</w:t>
      </w:r>
    </w:p>
    <w:p>
      <w:pPr>
        <w:pStyle w:val="BodyText"/>
      </w:pPr>
      <w:r>
        <w:t xml:space="preserve">教学上可以把局部树突事件视为一种条件性放大。当若干相近输入共同到达时，局部去极化可能降低某种受体阻断或开启电压通道，使其对胞体的影响超过简单相加。若输入分散在不同分支，局部阈值可能未被达到。由此，输入的空间聚集本身成为可计算变量。</w:t>
      </w:r>
    </w:p>
    <w:bookmarkEnd w:id="123"/>
    <w:bookmarkStart w:id="124" w:name="sec-6-8"/>
    <w:p>
      <w:pPr>
        <w:pStyle w:val="Heading3"/>
      </w:pPr>
      <w:r>
        <w:t xml:space="preserve">6.8　感觉与持续状态怎样在树突上相遇</w:t>
      </w:r>
    </w:p>
    <w:p>
      <w:pPr>
        <w:pStyle w:val="FirstParagraph"/>
      </w:pPr>
      <w:r>
        <w:t xml:space="preserve">脑区之间的输入可以到达同一细胞的不同树突区室。感觉驱动、局部回返、运动相关和状态调节信号，可能在不同时间与位置汇合。细胞的输出因而不仅取决于某一瞬间的外界刺激，也取决于此前的内部状态和输入组合。</w:t>
      </w:r>
    </w:p>
    <w:p>
      <w:pPr>
        <w:pStyle w:val="BodyText"/>
      </w:pPr>
      <w:r>
        <w:t xml:space="preserve">2025年的一项大鼠研究结合在体记录、突触输入重建、多尺度模型和光遗传操作，提出丘脑输入可以在特定树突区室帮助耦合不同输入流，并影响皮层输出的簇发模式</w:t>
      </w:r>
      <w:r>
        <w:rPr>
          <w:vertAlign w:val="superscript"/>
        </w:rPr>
        <w:t xml:space="preserve">[</w:t>
      </w:r>
      <w:hyperlink w:anchor="ref-45">
        <w:r>
          <w:rPr>
            <w:rStyle w:val="Hyperlink"/>
            <w:vertAlign w:val="superscript"/>
          </w:rPr>
          <w:t xml:space="preserve">45</w:t>
        </w:r>
      </w:hyperlink>
      <w:r>
        <w:rPr>
          <w:vertAlign w:val="superscript"/>
        </w:rPr>
        <w:t xml:space="preserve">]</w:t>
      </w:r>
      <w:r>
        <w:t xml:space="preserve">。这一研究为具体细胞回路提供了新约束，对主观知觉或全部皮层计算的更广解释仍属于需要进一步检验的推断。</w:t>
      </w:r>
    </w:p>
    <w:p>
      <w:pPr>
        <w:pStyle w:val="BodyText"/>
      </w:pPr>
      <w:r>
        <w:t xml:space="preserve">这类工作提示未来的重要问题：输入在区室中的排列是否具有可重复规则，局部抑制如何选择允许哪种输入组合，以及不同细胞类型是否采用相同计算。回答这些问题需要把解剖连接、膜性质与自然行为记录结合，单一宏观脑区激活图难以提供足够分辨率。</w:t>
      </w:r>
    </w:p>
    <w:bookmarkEnd w:id="124"/>
    <w:bookmarkStart w:id="125" w:name="sec-6-9"/>
    <w:p>
      <w:pPr>
        <w:pStyle w:val="Heading3"/>
      </w:pPr>
      <w:r>
        <w:t xml:space="preserve">6.9　放电模式由多种通道共同塑造</w:t>
      </w:r>
    </w:p>
    <w:p>
      <w:pPr>
        <w:pStyle w:val="FirstParagraph"/>
      </w:pPr>
      <w:r>
        <w:t xml:space="preserve">不同神经元可以表现为持续放电、快速放电、适应性放电、延迟放电或簇发。膜中的慢钾电流、钙依赖电流、超极化激活电流和不同钙通道等，能够改变输入输出关系。某种放电外观常由多个机制共同形成，不能仅凭一次电流注入波形唯一识别分子组成。</w:t>
      </w:r>
    </w:p>
    <w:p>
      <w:pPr>
        <w:pStyle w:val="BodyText"/>
      </w:pPr>
      <w:r>
        <w:t xml:space="preserve">适应描述持续输入下放电频率逐渐变化，常见为减慢。它可以使细胞对新变化较敏感，减少对持续背景的响应。簇发则在短时间内产生多个脉冲，可能改变下游突触的释放与整合。两者的功能取决于目标突触的动力学，单独观察脉冲列无法决定信息如何被读取。</w:t>
      </w:r>
    </w:p>
    <w:p>
      <w:pPr>
        <w:pStyle w:val="BodyText"/>
      </w:pPr>
      <w:r>
        <w:t xml:space="preserve">在某些细胞中，膜先被超极化，随后低阈值钙相关过程可以产生反弹活动。这样的响应说明抑制输入结束后可能出现时间锁定的兴奋。回路中一次抑制因此能够通过不同阶段产生复杂效果。解释刺激后的行为变化，应关注操作期间和操作结束后的完整时间轨迹。</w:t>
      </w:r>
    </w:p>
    <w:bookmarkEnd w:id="125"/>
    <w:bookmarkStart w:id="126" w:name="sec-6-10"/>
    <w:p>
      <w:pPr>
        <w:pStyle w:val="Heading3"/>
      </w:pPr>
      <w:r>
        <w:t xml:space="preserve">6.10　电压钳把电压作为控制变量</w:t>
      </w:r>
    </w:p>
    <w:p>
      <w:pPr>
        <w:pStyle w:val="FirstParagraph"/>
      </w:pPr>
      <w:r>
        <w:t xml:space="preserve">电压钳利用反馈电路注入电流，使记录部位电位接近命令值，再测量所需电流。这样可以在不同电压下分析通道电流，避免电流与电压相互改变所造成的部分解释困难。经典通道机制研究依赖这一思路，膜片钳的发展进一步提高了单通道与全细胞测量能力</w:t>
      </w:r>
      <w:r>
        <w:rPr>
          <w:vertAlign w:val="superscript"/>
        </w:rPr>
        <w:t xml:space="preserve">[</w:t>
      </w:r>
      <w:hyperlink w:anchor="ref-46">
        <w:r>
          <w:rPr>
            <w:rStyle w:val="Hyperlink"/>
            <w:vertAlign w:val="superscript"/>
          </w:rPr>
          <w:t xml:space="preserve">46</w:t>
        </w:r>
      </w:hyperlink>
      <w:r>
        <w:rPr>
          <w:vertAlign w:val="superscript"/>
        </w:rPr>
        <w:t xml:space="preserve">,</w:t>
      </w:r>
      <w:hyperlink w:anchor="ref-47">
        <w:r>
          <w:rPr>
            <w:rStyle w:val="Hyperlink"/>
            <w:vertAlign w:val="superscript"/>
          </w:rPr>
          <w:t xml:space="preserve">47</w:t>
        </w:r>
      </w:hyperlink>
      <w:r>
        <w:rPr>
          <w:vertAlign w:val="superscript"/>
        </w:rPr>
        <w:t xml:space="preserve">]</w:t>
      </w:r>
      <w:r>
        <w:t xml:space="preserve">。</w:t>
      </w:r>
    </w:p>
    <w:p>
      <w:pPr>
        <w:pStyle w:val="BodyText"/>
      </w:pPr>
      <w:r>
        <w:t xml:space="preserve">真实反馈具有有限速度，电极和细胞之间还存在串联电阻。较大电流经过串联电阻会产生电压误差，细胞实际电位可能偏离命令值。补偿能够减少部分误差，但过度补偿可能导致振荡。解释快速电流尤其需要报告串联电阻、补偿和记录稳定性。</w:t>
      </w:r>
    </w:p>
    <w:p>
      <w:pPr>
        <w:pStyle w:val="BodyText"/>
      </w:pPr>
      <w:r>
        <w:t xml:space="preserve">空间钳制也有局限。胞体电位被控制，并不保证远端树突和轴突电位同样被控制。远端主动事件可能突破控制，造成看起来异常的电流。选择较小细胞、局部膜片或适当模型有助于分析，但每种方案改变了研究对象的某些条件，需要明确取舍。</w:t>
      </w:r>
    </w:p>
    <w:bookmarkEnd w:id="126"/>
    <w:bookmarkStart w:id="127" w:name="sec-6-11"/>
    <w:p>
      <w:pPr>
        <w:pStyle w:val="Heading3"/>
      </w:pPr>
      <w:r>
        <w:t xml:space="preserve">6.11　不同膜片构型保留不同细胞环境</w:t>
      </w:r>
    </w:p>
    <w:p>
      <w:pPr>
        <w:pStyle w:val="FirstParagraph"/>
      </w:pPr>
      <w:r>
        <w:t xml:space="preserve">细胞贴附记录尽量保留细胞内部环境，可以观察局部通道或脉冲相关活动，但膜片电压受到细胞膜电位影响。全细胞记录通过电极与细胞内部连通，便于控制电压和注入电流，同时可能逐渐改变胞内可溶成分。离体膜片构型则便于控制膜两侧溶液，却失去部分完整细胞调节</w:t>
      </w:r>
      <w:r>
        <w:rPr>
          <w:vertAlign w:val="superscript"/>
        </w:rPr>
        <w:t xml:space="preserve">[</w:t>
      </w:r>
      <w:hyperlink w:anchor="ref-47">
        <w:r>
          <w:rPr>
            <w:rStyle w:val="Hyperlink"/>
            <w:vertAlign w:val="superscript"/>
          </w:rPr>
          <w:t xml:space="preserve">47</w:t>
        </w:r>
      </w:hyperlink>
      <w:r>
        <w:rPr>
          <w:vertAlign w:val="superscript"/>
        </w:rPr>
        <w:t xml:space="preserve">]</w:t>
      </w:r>
      <w:r>
        <w:t xml:space="preserve">。</w:t>
      </w:r>
    </w:p>
    <w:p>
      <w:pPr>
        <w:pStyle w:val="BodyText"/>
      </w:pPr>
      <w:r>
        <w:t xml:space="preserve">选择构型应由问题决定。若研究某通道对胞内第二信使的响应，离体膜片有利于精确控制，但需要检查完整细胞中是否发生同样作用。若研究天然氯梯度，全细胞内液可能改变梯度，保持细胞内部环境的方法更有价值。技术便利与生理保真之间需要具体权衡。</w:t>
      </w:r>
    </w:p>
    <w:p>
      <w:pPr>
        <w:pStyle w:val="BodyText"/>
      </w:pPr>
      <w:r>
        <w:t xml:space="preserve">电极内液还会影响离子反转电位、缓冲能力和信号通路。强钙缓冲可能帮助隔离某种电流，也可能抑制真实的钙依赖机制。报告内外液成分和实验温度，属于机制解释的一部分。缺少这些信息，其他研究者很难判断结果差异来自生物学还是制备条件。</w:t>
      </w:r>
    </w:p>
    <w:bookmarkEnd w:id="127"/>
    <w:bookmarkStart w:id="128" w:name="sec-6-12"/>
    <w:p>
      <w:pPr>
        <w:pStyle w:val="Heading3"/>
      </w:pPr>
      <w:r>
        <w:t xml:space="preserve">6.12　单通道记录揭示随机门控</w:t>
      </w:r>
    </w:p>
    <w:p>
      <w:pPr>
        <w:pStyle w:val="FirstParagraph"/>
      </w:pPr>
      <w:r>
        <w:t xml:space="preserve">单通道电流常呈离散开放和关闭事件。Neher与Sakmann的早期记录为直接观察这种单位电流提供了关键证据</w:t>
      </w:r>
      <w:r>
        <w:rPr>
          <w:vertAlign w:val="superscript"/>
        </w:rPr>
        <w:t xml:space="preserve">[</w:t>
      </w:r>
      <w:hyperlink w:anchor="ref-46">
        <w:r>
          <w:rPr>
            <w:rStyle w:val="Hyperlink"/>
            <w:vertAlign w:val="superscript"/>
          </w:rPr>
          <w:t xml:space="preserve">46</w:t>
        </w:r>
      </w:hyperlink>
      <w:r>
        <w:rPr>
          <w:vertAlign w:val="superscript"/>
        </w:rPr>
        <w:t xml:space="preserve">]</w:t>
      </w:r>
      <w:r>
        <w:t xml:space="preserve">。单次开放时间具有随机性，许多通道的平均行为则形成较平滑的宏观电流。分子层随机过程与细胞层稳定响应可以在同一系统中并存。</w:t>
      </w:r>
    </w:p>
    <w:p>
      <w:pPr>
        <w:pStyle w:val="BodyText"/>
      </w:pPr>
      <w:r>
        <w:t xml:space="preserve">开放概率、单通道电导和通道数量共同决定平均电流。药物使宏观电流减少，可能降低开放概率、缩短开放时间、改变电导或减少膜上通道数量。不同机制对电压、浓度和时间的依赖不同，因此需要相应实验区分。</w:t>
      </w:r>
    </w:p>
    <w:p>
      <w:pPr>
        <w:pStyle w:val="BodyText"/>
      </w:pPr>
      <w:r>
        <w:t xml:space="preserve">单通道事件的分析还受滤波与噪声影响。很短的开放可能被漏检，相邻事件可能被合并，记录中的多个通道也可能难以区分。估计动力学时应考虑检测分辨率，避免把仪器无法看见的事件当作生物学不存在。</w:t>
      </w:r>
    </w:p>
    <w:bookmarkEnd w:id="128"/>
    <w:bookmarkStart w:id="129" w:name="sec-6-13"/>
    <w:p>
      <w:pPr>
        <w:pStyle w:val="Heading3"/>
      </w:pPr>
      <w:r>
        <w:t xml:space="preserve">6.13　细胞外电位和细胞内电位不同</w:t>
      </w:r>
    </w:p>
    <w:p>
      <w:pPr>
        <w:pStyle w:val="FirstParagraph"/>
      </w:pPr>
      <w:r>
        <w:t xml:space="preserve">细胞外电极测量附近电流形成的电场变化，其波形受细胞形态、距离、方向、组织电导和其他细胞活动影响。它不能直接等同于跨膜电位波形。一个较大的细胞外脉冲，可能来自更近的记录位置，未必表示该细胞动作电位更强。</w:t>
      </w:r>
    </w:p>
    <w:p>
      <w:pPr>
        <w:pStyle w:val="BodyText"/>
      </w:pPr>
      <w:r>
        <w:t xml:space="preserve">脉冲分类依据波形和多电极空间信息区分候选单元，但组织移动、波形漂移和重叠脉冲会影响质量。一个分类簇未必永久对应同一细胞，尤其在长时间记录中。可靠分析需要评估不应期违规、波形稳定性和隔离程度，并把无法确定的单元保留为不确定。</w:t>
      </w:r>
    </w:p>
    <w:p>
      <w:pPr>
        <w:pStyle w:val="BodyText"/>
      </w:pPr>
      <w:r>
        <w:t xml:space="preserve">局部场电位主要反映一定范围内的群体电流结构，受同步性和几何排列显著影响。场电位幅度变化不能简单翻译为所有神经元放电同时增加。层间记录、电流源密度分析和细胞记录能够提供互补信息，但其解释也依赖组织导电和采样假设。</w:t>
      </w:r>
    </w:p>
    <w:bookmarkEnd w:id="129"/>
    <w:bookmarkStart w:id="130" w:name="sec-6-14"/>
    <w:p>
      <w:pPr>
        <w:pStyle w:val="Heading3"/>
      </w:pPr>
      <w:r>
        <w:t xml:space="preserve">6.14　钙成像提供间接活动窗口</w:t>
      </w:r>
    </w:p>
    <w:p>
      <w:pPr>
        <w:pStyle w:val="FirstParagraph"/>
      </w:pPr>
      <w:r>
        <w:t xml:space="preserve">动作电位和突触活动可以引起细胞内钙变化，钙探针将这种变化转换为光学信号。GCaMP6等工具显著扩展了在多种动物中长期观察细胞活动的能力</w:t>
      </w:r>
      <w:r>
        <w:rPr>
          <w:vertAlign w:val="superscript"/>
        </w:rPr>
        <w:t xml:space="preserve">[</w:t>
      </w:r>
      <w:hyperlink w:anchor="ref-48">
        <w:r>
          <w:rPr>
            <w:rStyle w:val="Hyperlink"/>
            <w:vertAlign w:val="superscript"/>
          </w:rPr>
          <w:t xml:space="preserve">48</w:t>
        </w:r>
      </w:hyperlink>
      <w:r>
        <w:rPr>
          <w:vertAlign w:val="superscript"/>
        </w:rPr>
        <w:t xml:space="preserve">]</w:t>
      </w:r>
      <w:r>
        <w:t xml:space="preserve">。钙信号与脉冲之间的关系受到细胞类型、探针动力学、缓冲和成像条件影响，不能把每一个荧光峰机械对应为一个动作电位。</w:t>
      </w:r>
    </w:p>
    <w:p>
      <w:pPr>
        <w:pStyle w:val="BodyText"/>
      </w:pPr>
      <w:r>
        <w:t xml:space="preserve">探针响应具有上升和衰减时间，快速相邻脉冲可能融合成一个较宽事件。高活动时还可能接近饱和。由荧光推断脉冲需要模型和校准，推断结果应保留误差。不同探针或不同细胞的荧光幅度，未经标定不能直接比较为活动量大小。</w:t>
      </w:r>
    </w:p>
    <w:p>
      <w:pPr>
        <w:pStyle w:val="BodyText"/>
      </w:pPr>
      <w:r>
        <w:t xml:space="preserve">树突和突触局部钙又可能来自多个来源，包括电压通道、受体通透和细胞内储库。相同荧光变化不保证相同来源。结合局部电生理、药理和空间分辨记录，可以进一步定位。成像把隐藏过程变得可见，同时也要求读者清楚看见的是哪一种物理信号。</w:t>
      </w:r>
    </w:p>
    <w:bookmarkEnd w:id="130"/>
    <w:bookmarkStart w:id="131" w:name="sec-6-15"/>
    <w:p>
      <w:pPr>
        <w:pStyle w:val="Heading3"/>
      </w:pPr>
      <w:r>
        <w:t xml:space="preserve">6.15　脉冲列的意义取决于下游读取</w:t>
      </w:r>
    </w:p>
    <w:p>
      <w:pPr>
        <w:pStyle w:val="FirstParagraph"/>
      </w:pPr>
      <w:r>
        <w:t xml:space="preserve">神经编码研究可以分析平均放电率、精确时间、簇发、相位和群体相关结构。哪一种变量携带可用信息，需要结合任务和下游机制判断。某变量与刺激相关，只说明它包含可解码信息；下游是否实际利用，还需要行为与因果证据。</w:t>
      </w:r>
    </w:p>
    <w:p>
      <w:pPr>
        <w:pStyle w:val="BodyText"/>
      </w:pPr>
      <w:r>
        <w:t xml:space="preserve">下游突触可能对短间隔脉冲易化，也可能发生短时抑制，因此相同总脉冲数、不同时间排列可以产生不同效果。神经元的膜时间常数、局部抑制和树突位置又进一步改变读取。这些生物机制说明，信号的时间组织可以在网络中产生真实功能差异。</w:t>
      </w:r>
    </w:p>
    <w:p>
      <w:pPr>
        <w:pStyle w:val="BodyText"/>
      </w:pPr>
      <w:r>
        <w:t xml:space="preserve">高置信度结论是动作电位建立在连续膜过程与随机分子门控之上，树突和轴突各区室参与计算，测量工具观察的是不同层次的物理量。理解一条神经记录，需要同时说明细胞对象、位置、时间、记录方式和行为条件。将所有结果压缩成某处更活跃，会丢失解释脑功能所需的大部分机制信息。</w:t>
      </w:r>
    </w:p>
    <w:bookmarkEnd w:id="131"/>
    <w:bookmarkEnd w:id="132"/>
    <w:bookmarkStart w:id="154" w:name="ch-7"/>
    <w:p>
      <w:pPr>
        <w:pStyle w:val="Heading2"/>
      </w:pPr>
      <w:r>
        <w:t xml:space="preserve">第7章　突触传递与可塑性的分子机制</w:t>
      </w:r>
    </w:p>
    <w:bookmarkStart w:id="133" w:name="sec-7-1"/>
    <w:p>
      <w:pPr>
        <w:pStyle w:val="Heading3"/>
      </w:pPr>
      <w:r>
        <w:t xml:space="preserve">7.1　一个突触包含多个可以分别改变的环节</w:t>
      </w:r>
    </w:p>
    <w:p>
      <w:pPr>
        <w:pStyle w:val="FirstParagraph"/>
      </w:pPr>
      <w:r>
        <w:t xml:space="preserve">突触把一个细胞的活动转化为另一个细胞的输入。研究化学突触时，至少需要区分动作电位能否到达末梢、局部钙信号、囊泡准备与融合、递质在细胞外的扩散和清除、受体响应，以及突触后电流怎样传播到输出区域。实验记录的一个兴奋性突触后电流峰值，把这些环节压缩为一个可观察量。峰值变化可以来自不同位置，单凭大小无法完成机制定位</w:t>
      </w:r>
      <w:r>
        <w:rPr>
          <w:vertAlign w:val="superscript"/>
        </w:rPr>
        <w:t xml:space="preserve">[</w:t>
      </w:r>
      <w:hyperlink w:anchor="ref-49">
        <w:r>
          <w:rPr>
            <w:rStyle w:val="Hyperlink"/>
            <w:vertAlign w:val="superscript"/>
          </w:rPr>
          <w:t xml:space="preserve">49</w:t>
        </w:r>
      </w:hyperlink>
      <w:r>
        <w:rPr>
          <w:vertAlign w:val="superscript"/>
        </w:rPr>
        <w:t xml:space="preserve">]</w:t>
      </w:r>
      <w:r>
        <w:t xml:space="preserve">。</w:t>
      </w:r>
    </w:p>
    <w:p>
      <w:pPr>
        <w:pStyle w:val="BodyText"/>
      </w:pPr>
      <w:r>
        <w:t xml:space="preserve">例如，一次响应减少可以由可释放囊泡减少、释放概率下降、囊泡内递质装载不足、受体数量减少或树突电缆滤波变化引起。只有第一种解释涉及可用囊泡数量，只有部分解释涉及受体。把任何响应减弱都写成连接被剪除，会丢失大量可能机制。连接存在、释放发生、受体可用和细胞产生输出，分别属于不同层次。</w:t>
      </w:r>
    </w:p>
    <w:p>
      <w:pPr>
        <w:pStyle w:val="BodyText"/>
      </w:pPr>
      <w:r>
        <w:t xml:space="preserve">这一分层也解释了可塑性的多样性。一个连接可以在数毫秒内改变传递效能，在数分钟内调整受体，在较长时间内改造支架和形态。不同过程可以重叠，也可以相互抵消。教材中的突触权重，是把这些过程合并后的有效参数；讨论分子机制时，应重新展开其构成。</w:t>
      </w:r>
    </w:p>
    <w:bookmarkEnd w:id="133"/>
    <w:bookmarkStart w:id="134" w:name="sec-7-2"/>
    <w:p>
      <w:pPr>
        <w:pStyle w:val="Heading3"/>
      </w:pPr>
      <w:r>
        <w:t xml:space="preserve">7.2　主动区把钙通道与融合装置组织在一起</w:t>
      </w:r>
    </w:p>
    <w:p>
      <w:pPr>
        <w:pStyle w:val="FirstParagraph"/>
      </w:pPr>
      <w:r>
        <w:t xml:space="preserve">动作电位使突触前膜去极化，电压门控钙通道随之增加开放概率。钙进入末梢后，在通道附近形成随空间和时间快速变化的局部浓度分布。囊泡上的钙感受元件所经历的浓度，可能明显高于整个末梢平均浓度。局部几何关系因此直接影响释放延迟、概率和同步程度</w:t>
      </w:r>
      <w:r>
        <w:rPr>
          <w:vertAlign w:val="superscript"/>
        </w:rPr>
        <w:t xml:space="preserve">[</w:t>
      </w:r>
      <w:hyperlink w:anchor="ref-50">
        <w:r>
          <w:rPr>
            <w:rStyle w:val="Hyperlink"/>
            <w:vertAlign w:val="superscript"/>
          </w:rPr>
          <w:t xml:space="preserve">50</w:t>
        </w:r>
      </w:hyperlink>
      <w:r>
        <w:rPr>
          <w:vertAlign w:val="superscript"/>
        </w:rPr>
        <w:t xml:space="preserve">,</w:t>
      </w:r>
      <w:hyperlink w:anchor="ref-51">
        <w:r>
          <w:rPr>
            <w:rStyle w:val="Hyperlink"/>
            <w:vertAlign w:val="superscript"/>
          </w:rPr>
          <w:t xml:space="preserve">51</w:t>
        </w:r>
      </w:hyperlink>
      <w:r>
        <w:rPr>
          <w:vertAlign w:val="superscript"/>
        </w:rPr>
        <w:t xml:space="preserve">]</w:t>
      </w:r>
      <w:r>
        <w:t xml:space="preserve">。</w:t>
      </w:r>
    </w:p>
    <w:p>
      <w:pPr>
        <w:pStyle w:val="BodyText"/>
      </w:pPr>
      <w:r>
        <w:t xml:space="preserve">主动区提供这种空间组织。支架蛋白、钙通道、囊泡准备装置和细胞骨架共同影响一个囊泡能否处于适合快速融合的位置。仅增加细胞总钙量，未必复制通道旁瞬时钙信号；把钙通道移得更远，也可能在总钙内流相近时降低释放效率。空间位置本身就是机制变量。</w:t>
      </w:r>
    </w:p>
    <w:p>
      <w:pPr>
        <w:pStyle w:val="BodyText"/>
      </w:pPr>
      <w:r>
        <w:t xml:space="preserve">可以用一个教学类比理解，但不应让类比替代物理过程。相同总量的热源，在紧贴温度传感器和远离传感器时会产生不同局部读数。突触的真实过程涉及扩散、缓冲、结合和膜结构，远比这一类比复杂；类比仅帮助说明全局平均值与作用位点浓度可以不同。</w:t>
      </w:r>
    </w:p>
    <w:bookmarkEnd w:id="134"/>
    <w:bookmarkStart w:id="139" w:name="sec-7-3"/>
    <w:p>
      <w:pPr>
        <w:pStyle w:val="Heading3"/>
      </w:pPr>
      <w:r>
        <w:t xml:space="preserve">7.3　钙信号怎样触发膜融合</w:t>
      </w:r>
    </w:p>
    <w:p>
      <w:pPr>
        <w:pStyle w:val="FirstParagraph"/>
      </w:pPr>
      <w:r>
        <w:t xml:space="preserve">囊泡膜与细胞膜接近后，需要克服融合的能量障碍。SNARE相关蛋白复合体参与组织和推动膜融合，SM蛋白、复合素及其他元件参与准备与调控。突触结合蛋白家族中的部分成员具有钙感受作用，使局部钙变化能够迅速改变融合概率。早期分子生化工作与遗传生理实验从不同层面建立了这一框架</w:t>
      </w:r>
      <w:r>
        <w:rPr>
          <w:vertAlign w:val="superscript"/>
        </w:rPr>
        <w:t xml:space="preserve">[</w:t>
      </w:r>
      <w:hyperlink w:anchor="ref-52">
        <w:r>
          <w:rPr>
            <w:rStyle w:val="Hyperlink"/>
            <w:vertAlign w:val="superscript"/>
          </w:rPr>
          <w:t xml:space="preserve">52</w:t>
        </w:r>
      </w:hyperlink>
      <w:r>
        <w:rPr>
          <w:vertAlign w:val="superscript"/>
        </w:rPr>
        <w:t xml:space="preserve">,</w:t>
      </w:r>
      <w:hyperlink w:anchor="ref-53">
        <w:r>
          <w:rPr>
            <w:rStyle w:val="Hyperlink"/>
            <w:vertAlign w:val="superscript"/>
          </w:rPr>
          <w:t xml:space="preserve">53</w:t>
        </w:r>
      </w:hyperlink>
      <w:r>
        <w:rPr>
          <w:vertAlign w:val="superscript"/>
        </w:rPr>
        <w:t xml:space="preserve">]</w:t>
      </w:r>
      <w:r>
        <w:t xml:space="preserve">。</w:t>
      </w:r>
    </w:p>
    <w:p>
      <w:pPr>
        <w:pStyle w:val="BodyText"/>
      </w:pPr>
      <w:r>
        <w:t xml:space="preserve">应把准备、触发和完成融合区分开来。已经停靠的囊泡不一定已经处于可立即释放状态；已经具备释放能力的囊泡也不保证每次动作电位到来都融合。实验中看到膜附近囊泡较多，无法直接推出功能性释放池更大。结构位置与分子状态需要共同解释。</w:t>
      </w:r>
    </w:p>
    <w:p>
      <w:pPr>
        <w:pStyle w:val="BodyText"/>
      </w:pPr>
      <w:r>
        <w:t xml:space="preserve">不同释放形式可以采用不同感受与调控组合。动作电位后高度同步的释放、较迟出现的异步释放，以及没有检测到动作电位时的自发释放，不能一概当作同一个过程加上随机噪声。它们可能共享部分装置，同时在钙来源、感受元件和囊泡状态上存在差别。给一个分子命名为钙传感器，也不能推出它承担所有突触的全部钙依赖效应。</w:t>
      </w:r>
    </w:p>
    <w:p>
      <w:pPr>
        <w:pStyle w:val="Figure"/>
      </w:pPr>
      <w:r>
        <w:drawing>
          <wp:inline>
            <wp:extent cx="5334000" cy="4293219"/>
            <wp:effectExtent b="0" l="0" r="0" t="0"/>
            <wp:docPr descr="A图2 化学突触传递的主要事件与循环" title="" id="136" name="Picture"/>
            <a:graphic>
              <a:graphicData uri="http://schemas.openxmlformats.org/drawingml/2006/picture">
                <pic:pic>
                  <pic:nvPicPr>
                    <pic:cNvPr descr="/tmp/claude-0/-home-user-i18ns/3184e246-229e-5a65-b6f3-3f7647a222c4/scratchpad/src/B_media/media/image10.png" id="137" name="Picture"/>
                    <pic:cNvPicPr>
                      <a:picLocks noChangeArrowheads="1" noChangeAspect="1"/>
                    </pic:cNvPicPr>
                  </pic:nvPicPr>
                  <pic:blipFill>
                    <a:blip r:embed="rId135"/>
                    <a:stretch>
                      <a:fillRect/>
                    </a:stretch>
                  </pic:blipFill>
                  <pic:spPr bwMode="auto">
                    <a:xfrm>
                      <a:off x="0" y="0"/>
                      <a:ext cx="5334000" cy="4293219"/>
                    </a:xfrm>
                    <a:prstGeom prst="rect">
                      <a:avLst/>
                    </a:prstGeom>
                    <a:noFill/>
                    <a:ln w="9525">
                      <a:noFill/>
                      <a:headEnd/>
                      <a:tailEnd/>
                    </a:ln>
                  </pic:spPr>
                </pic:pic>
              </a:graphicData>
            </a:graphic>
          </wp:inline>
        </w:drawing>
      </w:r>
    </w:p>
    <w:p>
      <w:pPr>
        <w:pStyle w:val="ImageCaption"/>
      </w:pPr>
      <w:bookmarkStart w:id="138" w:name="fig-a2"/>
      <w:bookmarkEnd w:id="138"/>
      <w:r>
        <w:rPr>
          <w:bCs/>
          <w:b/>
        </w:rPr>
        <w:t xml:space="preserve">图 2　</w:t>
      </w:r>
      <w:r>
        <w:t xml:space="preserve">化学突触传递的主要事件与循环。典型动作电位依赖释放过程从末梢去极化开始，经钙通道、局部钙信号和融合装置连接到递质释放。离子型受体通过电导和电化学驱动力影响电流，代谢型受体通过G蛋白及相关下游分支改变细胞状态。囊泡膜回收与递质清除分别表示膜运输和细胞外化学过程，图中箭头没有假定递质分子全部原封不动回到原囊泡。各步骤的概率、速度与主导分子随突触类型而变；示意图省略了自发释放、异步释放及部分调节分支</w:t>
      </w:r>
      <w:r>
        <w:rPr>
          <w:vertAlign w:val="superscript"/>
        </w:rPr>
        <w:t xml:space="preserve">[</w:t>
      </w:r>
      <w:hyperlink w:anchor="ref-49">
        <w:r>
          <w:rPr>
            <w:rStyle w:val="Hyperlink"/>
            <w:vertAlign w:val="superscript"/>
          </w:rPr>
          <w:t xml:space="preserve">49</w:t>
        </w:r>
      </w:hyperlink>
      <w:r>
        <w:rPr>
          <w:vertAlign w:val="superscript"/>
        </w:rPr>
        <w:t xml:space="preserve">,</w:t>
      </w:r>
      <w:hyperlink w:anchor="ref-50">
        <w:r>
          <w:rPr>
            <w:rStyle w:val="Hyperlink"/>
            <w:vertAlign w:val="superscript"/>
          </w:rPr>
          <w:t xml:space="preserve">50</w:t>
        </w:r>
      </w:hyperlink>
      <w:r>
        <w:rPr>
          <w:vertAlign w:val="superscript"/>
        </w:rPr>
        <w:t xml:space="preserve">,</w:t>
      </w:r>
      <w:hyperlink w:anchor="ref-52">
        <w:r>
          <w:rPr>
            <w:rStyle w:val="Hyperlink"/>
            <w:vertAlign w:val="superscript"/>
          </w:rPr>
          <w:t xml:space="preserve">52</w:t>
        </w:r>
      </w:hyperlink>
      <w:r>
        <w:rPr>
          <w:vertAlign w:val="superscript"/>
        </w:rPr>
        <w:t xml:space="preserve">,</w:t>
      </w:r>
      <w:hyperlink w:anchor="ref-53">
        <w:r>
          <w:rPr>
            <w:rStyle w:val="Hyperlink"/>
            <w:vertAlign w:val="superscript"/>
          </w:rPr>
          <w:t xml:space="preserve">53</w:t>
        </w:r>
      </w:hyperlink>
      <w:r>
        <w:rPr>
          <w:vertAlign w:val="superscript"/>
        </w:rPr>
        <w:t xml:space="preserve">]</w:t>
      </w:r>
      <w:r>
        <w:t xml:space="preserve">。</w:t>
      </w:r>
    </w:p>
    <w:bookmarkEnd w:id="139"/>
    <w:bookmarkStart w:id="140" w:name="sec-7-4"/>
    <w:p>
      <w:pPr>
        <w:pStyle w:val="Heading3"/>
      </w:pPr>
      <w:r>
        <w:t xml:space="preserve">7.4　释放量子与离散事件</w:t>
      </w:r>
    </w:p>
    <w:p>
      <w:pPr>
        <w:pStyle w:val="FirstParagraph"/>
      </w:pPr>
      <w:r>
        <w:t xml:space="preserve">神经肌肉接头的经典实验显示，突触后响应包含离散释放单位所产生的成分，形成量子释放的基本观念。量子通常对应一个囊泡释放所造成的有效响应，但实际测量中的量子幅度受到递质装载、受体状态、记录位置和噪声影响，未必每次严格相同</w:t>
      </w:r>
      <w:r>
        <w:rPr>
          <w:vertAlign w:val="superscript"/>
        </w:rPr>
        <w:t xml:space="preserve">[</w:t>
      </w:r>
      <w:hyperlink w:anchor="ref-54">
        <w:r>
          <w:rPr>
            <w:rStyle w:val="Hyperlink"/>
            <w:vertAlign w:val="superscript"/>
          </w:rPr>
          <w:t xml:space="preserve">54</w:t>
        </w:r>
      </w:hyperlink>
      <w:r>
        <w:rPr>
          <w:vertAlign w:val="superscript"/>
        </w:rPr>
        <w:t xml:space="preserve">,</w:t>
      </w:r>
      <w:hyperlink w:anchor="ref-55">
        <w:r>
          <w:rPr>
            <w:rStyle w:val="Hyperlink"/>
            <w:vertAlign w:val="superscript"/>
          </w:rPr>
          <w:t xml:space="preserve">55</w:t>
        </w:r>
      </w:hyperlink>
      <w:r>
        <w:rPr>
          <w:vertAlign w:val="superscript"/>
        </w:rPr>
        <w:t xml:space="preserve">]</w:t>
      </w:r>
      <w:r>
        <w:t xml:space="preserve">。</w:t>
      </w:r>
    </w:p>
    <w:p>
      <w:pPr>
        <w:pStyle w:val="BodyText"/>
      </w:pPr>
      <w:r>
        <w:t xml:space="preserve">最简二项模型可以写成平均响应等于n乘p乘q，其中n表示有效释放位点数，p表示每个位点的释放概率，q表示一次释放对所测信号的平均贡献。这个式子是带假设的模型：位点相互独立、释放概率相同、单次贡献稳定，而且测量没有明显饱和。真实突触可以违反其中任何一项。</w:t>
      </w:r>
    </w:p>
    <w:p>
      <w:pPr>
        <w:pStyle w:val="BodyText"/>
      </w:pPr>
      <w:r>
        <w:t xml:space="preserve">以完全虚构的教学数值为例，若n为10、p为0.2、q为5皮安，平均响应为10皮安。若p升至0.4，平均响应可升至20皮安；若q从5升至10皮安，也得到20皮安。平均值相同掩盖了机制差异。第一种改变通常还影响失败比例与变异，第二种改变对这些量的影响不同，因此分布信息可能帮助辨别机制。</w:t>
      </w:r>
    </w:p>
    <w:p>
      <w:pPr>
        <w:pStyle w:val="BodyText"/>
      </w:pPr>
      <w:r>
        <w:t xml:space="preserve">即使观察到符合某个简单模型的变异关系，也要检查受体饱和、多囊泡释放、位点异质性和记录误差。量子分析的价值在于把机制假设写成可检验预测。将参数估计直接当作显微镜看见的分子数量，会夸大模型所提供的信息。</w:t>
      </w:r>
    </w:p>
    <w:bookmarkEnd w:id="140"/>
    <w:bookmarkStart w:id="141" w:name="sec-7-5"/>
    <w:p>
      <w:pPr>
        <w:pStyle w:val="Heading3"/>
      </w:pPr>
      <w:r>
        <w:t xml:space="preserve">7.5　囊泡池与持续活动的资源约束</w:t>
      </w:r>
    </w:p>
    <w:p>
      <w:pPr>
        <w:pStyle w:val="FirstParagraph"/>
      </w:pPr>
      <w:r>
        <w:t xml:space="preserve">释放过一次后，膜和蛋白需要重新组织，递质也需要重新装载。囊泡相关膜可以经不同内吞和再形成过程回收。囊泡腔内的电化学梯度为递质装载提供驱动力，因此囊泡能够继续使用还依赖酸化、转运与代谢供能。把囊泡膜循环和递质分子循环画成一个完全闭合、原封不动返回的箭头，会掩盖这些步骤</w:t>
      </w:r>
      <w:r>
        <w:rPr>
          <w:vertAlign w:val="superscript"/>
        </w:rPr>
        <w:t xml:space="preserve">[</w:t>
      </w:r>
      <w:hyperlink w:anchor="ref-49">
        <w:r>
          <w:rPr>
            <w:rStyle w:val="Hyperlink"/>
            <w:vertAlign w:val="superscript"/>
          </w:rPr>
          <w:t xml:space="preserve">49</w:t>
        </w:r>
      </w:hyperlink>
      <w:r>
        <w:rPr>
          <w:vertAlign w:val="superscript"/>
        </w:rPr>
        <w:t xml:space="preserve">,</w:t>
      </w:r>
      <w:hyperlink w:anchor="ref-50">
        <w:r>
          <w:rPr>
            <w:rStyle w:val="Hyperlink"/>
            <w:vertAlign w:val="superscript"/>
          </w:rPr>
          <w:t xml:space="preserve">50</w:t>
        </w:r>
      </w:hyperlink>
      <w:r>
        <w:rPr>
          <w:vertAlign w:val="superscript"/>
        </w:rPr>
        <w:t xml:space="preserve">]</w:t>
      </w:r>
      <w:r>
        <w:t xml:space="preserve">。</w:t>
      </w:r>
    </w:p>
    <w:p>
      <w:pPr>
        <w:pStyle w:val="BodyText"/>
      </w:pPr>
      <w:r>
        <w:t xml:space="preserve">功能性实验常区分可立即释放的部分、能够较快补充的部分和更慢参与的部分。这些分类来自操控和测量方式，不一定对应边界整齐的三个实体仓库。同一囊泡的功能状态可以随活动历史变化，某种刺激条件下估计的池大小，也不能自动用于另一种刺激频率。</w:t>
      </w:r>
    </w:p>
    <w:p>
      <w:pPr>
        <w:pStyle w:val="BodyText"/>
      </w:pPr>
      <w:r>
        <w:t xml:space="preserve">持续高频输入使释放与补充之间的关系变得关键。如果释放速度短时间超过补充速度，后续响应可能下降；若钙积累提高释放概率，则短时间内也可能先增强再减弱。由此可见，一个末梢能够根据输入历史形成动态滤波。相同数量的动作电位，以不同时间间隔到达，可以产生不同总输出。</w:t>
      </w:r>
    </w:p>
    <w:bookmarkEnd w:id="141"/>
    <w:bookmarkStart w:id="142" w:name="sec-7-6"/>
    <w:p>
      <w:pPr>
        <w:pStyle w:val="Heading3"/>
      </w:pPr>
      <w:r>
        <w:t xml:space="preserve">7.6　递质清除塑造作用的时间和空间</w:t>
      </w:r>
    </w:p>
    <w:p>
      <w:pPr>
        <w:pStyle w:val="FirstParagraph"/>
      </w:pPr>
      <w:r>
        <w:t xml:space="preserve">递质离开囊泡后进入细胞外空间，随后受到扩散、转运体摄取和酶促分解等过程影响。不同递质依赖的清除组合不同。乙酰胆碱的快速终止与酶解密切相关，许多单胺和氨基酸递质则明显依赖相应转运机制。星形胶质细胞参与部分递质与离子的外环境控制</w:t>
      </w:r>
      <w:r>
        <w:rPr>
          <w:vertAlign w:val="superscript"/>
        </w:rPr>
        <w:t xml:space="preserve">[</w:t>
      </w:r>
      <w:hyperlink w:anchor="ref-49">
        <w:r>
          <w:rPr>
            <w:rStyle w:val="Hyperlink"/>
            <w:vertAlign w:val="superscript"/>
          </w:rPr>
          <w:t xml:space="preserve">49</w:t>
        </w:r>
      </w:hyperlink>
      <w:r>
        <w:rPr>
          <w:vertAlign w:val="superscript"/>
        </w:rPr>
        <w:t xml:space="preserve">,</w:t>
      </w:r>
      <w:hyperlink w:anchor="ref-56">
        <w:r>
          <w:rPr>
            <w:rStyle w:val="Hyperlink"/>
            <w:vertAlign w:val="superscript"/>
          </w:rPr>
          <w:t xml:space="preserve">56</w:t>
        </w:r>
      </w:hyperlink>
      <w:r>
        <w:rPr>
          <w:vertAlign w:val="superscript"/>
        </w:rPr>
        <w:t xml:space="preserve">]</w:t>
      </w:r>
      <w:r>
        <w:t xml:space="preserve">。</w:t>
      </w:r>
    </w:p>
    <w:p>
      <w:pPr>
        <w:pStyle w:val="BodyText"/>
      </w:pPr>
      <w:r>
        <w:t xml:space="preserve">清除速度会影响相邻受体能接触递质多长时间，也影响递质是否扩散到相对远处。突触附近的高浓度瞬变与较广区域的低浓度变化，可能招募不同亲和力、位置和动力学的受体。因此，释放增加与清除减慢即使造成相似平均浓度，也可能带来不同的时间结构。</w:t>
      </w:r>
    </w:p>
    <w:p>
      <w:pPr>
        <w:pStyle w:val="BodyText"/>
      </w:pPr>
      <w:r>
        <w:t xml:space="preserve">药物阻断转运体之后，结果还取决于基线释放、反馈受体、细胞外空间和下游受体。不能只用“递质更多”四个字完成药效解释。若自身受体抑制后续释放，或持续暴露引起受体适应，短时浓度变化与较长期网络效应还会发生分离。</w:t>
      </w:r>
    </w:p>
    <w:bookmarkEnd w:id="142"/>
    <w:bookmarkStart w:id="143" w:name="sec-7-7"/>
    <w:p>
      <w:pPr>
        <w:pStyle w:val="Heading3"/>
      </w:pPr>
      <w:r>
        <w:t xml:space="preserve">7.7　受体电流由通道性质和驱动力共同决定</w:t>
      </w:r>
    </w:p>
    <w:p>
      <w:pPr>
        <w:pStyle w:val="FirstParagraph"/>
      </w:pPr>
      <w:r>
        <w:t xml:space="preserve">离子型受体开放后，电流大小同时取决于可用电导和膜电位与反转电位之间的差。某个受体可以让多种离子通过，其反转电位由这些离子的通透性与浓度关系共同决定（见</w:t>
      </w:r>
      <w:r>
        <w:t xml:space="preserve"> </w:t>
      </w:r>
      <w:hyperlink w:anchor="sec-5-5">
        <w:r>
          <w:rPr>
            <w:rStyle w:val="Hyperlink"/>
          </w:rPr>
          <w:t xml:space="preserve">5.5</w:t>
        </w:r>
      </w:hyperlink>
      <w:r>
        <w:t xml:space="preserve">）。受体名称描述分子类别，不能单独给出任何膜电位下的电流方向</w:t>
      </w:r>
      <w:r>
        <w:rPr>
          <w:vertAlign w:val="superscript"/>
        </w:rPr>
        <w:t xml:space="preserve">[</w:t>
      </w:r>
      <w:hyperlink w:anchor="ref-56">
        <w:r>
          <w:rPr>
            <w:rStyle w:val="Hyperlink"/>
            <w:vertAlign w:val="superscript"/>
          </w:rPr>
          <w:t xml:space="preserve">56</w:t>
        </w:r>
      </w:hyperlink>
      <w:r>
        <w:rPr>
          <w:vertAlign w:val="superscript"/>
        </w:rPr>
        <w:t xml:space="preserve">]</w:t>
      </w:r>
      <w:r>
        <w:t xml:space="preserve">。</w:t>
      </w:r>
    </w:p>
    <w:p>
      <w:pPr>
        <w:pStyle w:val="BodyText"/>
      </w:pPr>
      <w:r>
        <w:t xml:space="preserve">兴奋性突触后电流常以负向内流表现，是因为常用记录电位低于其反转电位。改变钳制电位后，同一受体响应可以减小、消失或反向。记录轨迹的正负，还依赖仪器与作图的符号约定。因此，在图中标明钳制电位和电流方向，能够避免把向上或向下直接翻译成兴奋或抑制。</w:t>
      </w:r>
    </w:p>
    <w:p>
      <w:pPr>
        <w:pStyle w:val="BodyText"/>
      </w:pPr>
      <w:r>
        <w:t xml:space="preserve">突触后电位则在电流基础上还受到膜电阻、电容和其他同步输入影响。同样的局部突触电导，在高电导背景下可能产生较小电压变化；在接近阈值且具有主动树突机制的条件下，也可能引出较大非线性响应。电流测量、电位测量与最终放电，应分别报告和解释。</w:t>
      </w:r>
    </w:p>
    <w:bookmarkEnd w:id="143"/>
    <w:bookmarkStart w:id="144" w:name="sec-7-8"/>
    <w:p>
      <w:pPr>
        <w:pStyle w:val="Heading3"/>
      </w:pPr>
      <w:r>
        <w:t xml:space="preserve">7.8　谷氨酸受体提供不同的时间与条件选择</w:t>
      </w:r>
    </w:p>
    <w:p>
      <w:pPr>
        <w:pStyle w:val="FirstParagraph"/>
      </w:pPr>
      <w:r>
        <w:t xml:space="preserve">AMPA类受体通常承担快速兴奋性传递的重要部分。NMDA类受体具有电压相关镁阻滞等特性，使配体结合与局部电位共同影响通道电流。经典单通道研究为镁相关电压依赖性提供了直接证据</w:t>
      </w:r>
      <w:r>
        <w:rPr>
          <w:vertAlign w:val="superscript"/>
        </w:rPr>
        <w:t xml:space="preserve">[</w:t>
      </w:r>
      <w:hyperlink w:anchor="ref-57">
        <w:r>
          <w:rPr>
            <w:rStyle w:val="Hyperlink"/>
            <w:vertAlign w:val="superscript"/>
          </w:rPr>
          <w:t xml:space="preserve">57</w:t>
        </w:r>
      </w:hyperlink>
      <w:r>
        <w:rPr>
          <w:vertAlign w:val="superscript"/>
        </w:rPr>
        <w:t xml:space="preserve">]</w:t>
      </w:r>
      <w:r>
        <w:t xml:space="preserve">。</w:t>
      </w:r>
    </w:p>
    <w:p>
      <w:pPr>
        <w:pStyle w:val="BodyText"/>
      </w:pPr>
      <w:r>
        <w:t xml:space="preserve">这一机制允许突触对输入组合敏感。先前或同步活动造成的去极化，可以改变同一次谷氨酸释放所引起的NMDA相关电流。需要注意，受体功能还受到亚基、共激动剂、局部离子环境和细胞状态影响。用重合检测器概括其一种计算作用是有帮助的，但不应把它理解为只有两个输入严格同时到达才会启动的数字开关。</w:t>
      </w:r>
    </w:p>
    <w:p>
      <w:pPr>
        <w:pStyle w:val="BodyText"/>
      </w:pPr>
      <w:r>
        <w:t xml:space="preserve">钙进入可以连接电活动与生化过程。细胞能够通过钙结合蛋白、激酶、磷酸酶及下游转运过程，把短时输入转为较持久变化。不同时间和空间的钙信号可能产生不同结果，因此钙越多记忆越好的直线推论缺少依据。局部瞬时信号、持续异常升高和全细胞平均值需要区分。</w:t>
      </w:r>
    </w:p>
    <w:bookmarkEnd w:id="144"/>
    <w:bookmarkStart w:id="145" w:name="sec-7-9"/>
    <w:p>
      <w:pPr>
        <w:pStyle w:val="Heading3"/>
      </w:pPr>
      <w:r>
        <w:t xml:space="preserve">7.9　抑制性突触的电流与网络结果</w:t>
      </w:r>
    </w:p>
    <w:p>
      <w:pPr>
        <w:pStyle w:val="FirstParagraph"/>
      </w:pPr>
      <w:r>
        <w:t xml:space="preserve">GABA的主要受体类型包含离子型和代谢型，两者在时间尺度、效应器和作用位置上有所差别。离子型GABA受体相关电流强烈受到氯等离子的电化学梯度影响；代谢型受体可以通过G蛋白调节离子通道与释放过程。氯稳态由转运、细胞体积和活动历史共同影响</w:t>
      </w:r>
      <w:r>
        <w:rPr>
          <w:vertAlign w:val="superscript"/>
        </w:rPr>
        <w:t xml:space="preserve">[</w:t>
      </w:r>
      <w:hyperlink w:anchor="ref-41">
        <w:r>
          <w:rPr>
            <w:rStyle w:val="Hyperlink"/>
            <w:vertAlign w:val="superscript"/>
          </w:rPr>
          <w:t xml:space="preserve">41</w:t>
        </w:r>
      </w:hyperlink>
      <w:r>
        <w:rPr>
          <w:vertAlign w:val="superscript"/>
        </w:rPr>
        <w:t xml:space="preserve">,</w:t>
      </w:r>
      <w:hyperlink w:anchor="ref-56">
        <w:r>
          <w:rPr>
            <w:rStyle w:val="Hyperlink"/>
            <w:vertAlign w:val="superscript"/>
          </w:rPr>
          <w:t xml:space="preserve">56</w:t>
        </w:r>
      </w:hyperlink>
      <w:r>
        <w:rPr>
          <w:vertAlign w:val="superscript"/>
        </w:rPr>
        <w:t xml:space="preserve">]</w:t>
      </w:r>
      <w:r>
        <w:t xml:space="preserve">。</w:t>
      </w:r>
    </w:p>
    <w:p>
      <w:pPr>
        <w:pStyle w:val="BodyText"/>
      </w:pPr>
      <w:r>
        <w:t xml:space="preserve">抑制可以通过超极化降低放电概率，也可以通过提高膜电导削弱其他输入产生的电压变化。分流效应说明，电位变化不大时仍可能有明显抑制作用。反过来，某些条件下GABA相关电流产生去极化，也不能立即推出它必然增加输出；还要检查反转电位相对于放电阈值的位置及电导变化。</w:t>
      </w:r>
    </w:p>
    <w:p>
      <w:pPr>
        <w:pStyle w:val="BodyText"/>
      </w:pPr>
      <w:r>
        <w:t xml:space="preserve">在回路层面，抑制一个抑制性细胞可能使其靶细胞更容易活动，这称为去抑制。结果取决于连接方向和时序。若同一个抑制细胞同时连接不同靶点，整体行为影响还可能包含相互竞争的成分。因此，分子层的抑制性受体、细胞输出的抑制性递质和整个回路的功能效应，需要分别理解。</w:t>
      </w:r>
    </w:p>
    <w:bookmarkEnd w:id="145"/>
    <w:bookmarkStart w:id="146" w:name="sec-7-10"/>
    <w:p>
      <w:pPr>
        <w:pStyle w:val="Heading3"/>
      </w:pPr>
      <w:r>
        <w:t xml:space="preserve">7.10　短时程可塑性让连接记住最近的输入</w:t>
      </w:r>
    </w:p>
    <w:p>
      <w:pPr>
        <w:pStyle w:val="FirstParagraph"/>
      </w:pPr>
      <w:r>
        <w:t xml:space="preserve">短时程易化和抑制，是响应强度随近期活动变化的常见形式。残余钙、释放装置状态、可用囊泡、受体脱敏和其他机制可以共同参与。不同突触的主导因素不同，同一突触也可能在不同时间间隔下表现不同方向的变化</w:t>
      </w:r>
      <w:r>
        <w:rPr>
          <w:vertAlign w:val="superscript"/>
        </w:rPr>
        <w:t xml:space="preserve">[</w:t>
      </w:r>
      <w:hyperlink w:anchor="ref-58">
        <w:r>
          <w:rPr>
            <w:rStyle w:val="Hyperlink"/>
            <w:vertAlign w:val="superscript"/>
          </w:rPr>
          <w:t xml:space="preserve">58</w:t>
        </w:r>
      </w:hyperlink>
      <w:r>
        <w:rPr>
          <w:vertAlign w:val="superscript"/>
        </w:rPr>
        <w:t xml:space="preserve">]</w:t>
      </w:r>
      <w:r>
        <w:t xml:space="preserve">。</w:t>
      </w:r>
    </w:p>
    <w:p>
      <w:pPr>
        <w:pStyle w:val="BodyText"/>
      </w:pPr>
      <w:r>
        <w:t xml:space="preserve">成对脉冲比是第二次响应与第一次响应的比值，常用于描述短时程变化。它具有明确的操作定义，却缺少唯一机制解释。比值增大可以与初始释放概率下降一致，但不能单独证明该变化完全发生在突触前。受体饱和、抑制回路、刺激招募范围和波形重叠，都可能影响估计。</w:t>
      </w:r>
    </w:p>
    <w:p>
      <w:pPr>
        <w:pStyle w:val="BodyText"/>
      </w:pPr>
      <w:r>
        <w:t xml:space="preserve">从计算角度推导，易化连接能够提高对连续活动的相对敏感性；明显短时程抑制的连接则可能突出输入开始或变化。这些是根据动态传递关系得到的功能解释，需要与特定回路的实际输入范围结合。一个连接在低频测试下显示的性质，未必代表动物自然行为中的完整响应。</w:t>
      </w:r>
    </w:p>
    <w:bookmarkEnd w:id="146"/>
    <w:bookmarkStart w:id="147" w:name="sec-7-11"/>
    <w:p>
      <w:pPr>
        <w:pStyle w:val="Heading3"/>
      </w:pPr>
      <w:r>
        <w:t xml:space="preserve">7.11　长时程增强需要区分诱导与表达</w:t>
      </w:r>
    </w:p>
    <w:p>
      <w:pPr>
        <w:pStyle w:val="FirstParagraph"/>
      </w:pPr>
      <w:r>
        <w:t xml:space="preserve">长时程增强描述特定诱导后突触传递持续增强的现象。经典海马实验建立了这一可观察现象的重要范例，但不同脑区和突触存在不同形式的持久可塑性。实验中看到增强，首先应说明测量对象、诱导方法和持续观察时间</w:t>
      </w:r>
      <w:r>
        <w:rPr>
          <w:vertAlign w:val="superscript"/>
        </w:rPr>
        <w:t xml:space="preserve">[</w:t>
      </w:r>
      <w:hyperlink w:anchor="ref-59">
        <w:r>
          <w:rPr>
            <w:rStyle w:val="Hyperlink"/>
            <w:vertAlign w:val="superscript"/>
          </w:rPr>
          <w:t xml:space="preserve">59</w:t>
        </w:r>
      </w:hyperlink>
      <w:r>
        <w:rPr>
          <w:vertAlign w:val="superscript"/>
        </w:rPr>
        <w:t xml:space="preserve">]</w:t>
      </w:r>
      <w:r>
        <w:t xml:space="preserve">。</w:t>
      </w:r>
    </w:p>
    <w:p>
      <w:pPr>
        <w:pStyle w:val="BodyText"/>
      </w:pPr>
      <w:r>
        <w:t xml:space="preserve">诱导机制回答什么事件启动变化，表达机制回答变化通过什么环节表现。一个可塑性过程可以由突触后钙信号诱导，却通过受体转运、通道性质或其他环节表达。另一些突触可以主要改变释放相关过程。把诱导位置与表达位置混为一谈，会导致对药理阻断结果的过度解释。</w:t>
      </w:r>
    </w:p>
    <w:p>
      <w:pPr>
        <w:pStyle w:val="BodyText"/>
      </w:pPr>
      <w:r>
        <w:t xml:space="preserve">维持又是独立问题。最初形成的变化能否持续，可能依赖蛋白合成、局部转运、支架稳定和持续活动等过程。阻断某个过程后增强消失，仍需区分它影响了诱导、早期表达、细胞健康还是较晚维持。只有在时间上安排合适的操控，才能逐步拆开这些可能性。</w:t>
      </w:r>
    </w:p>
    <w:bookmarkEnd w:id="147"/>
    <w:bookmarkStart w:id="148" w:name="sec-7-12"/>
    <w:p>
      <w:pPr>
        <w:pStyle w:val="Heading3"/>
      </w:pPr>
      <w:r>
        <w:t xml:space="preserve">7.12　长时程抑制和可塑性阈值</w:t>
      </w:r>
    </w:p>
    <w:p>
      <w:pPr>
        <w:pStyle w:val="FirstParagraph"/>
      </w:pPr>
      <w:r>
        <w:t xml:space="preserve">连接可以长期增强，也可以长期减弱。减弱有助于网络调整输入权重、更新已经失配的关联，并限制无界增长。但任何一次行为遗忘，都无法仅凭行为结果定位为某一种长时程抑制（LTD）机制；输出下降还可能来自检索条件、抑制学习、状态变化或其他回路过程。</w:t>
      </w:r>
    </w:p>
    <w:p>
      <w:pPr>
        <w:pStyle w:val="BodyText"/>
      </w:pPr>
      <w:r>
        <w:t xml:space="preserve">一个实用的机制框架，是把可塑性看成由活动时序、局部电位、生化状态和调质信号共同决定的变化规则。同样刺激在不同初始状态下，可以产生不同结果。先前活动改变随后可塑性倾向的现象，说明学习规则本身也具有历史依赖性。</w:t>
      </w:r>
    </w:p>
    <w:p>
      <w:pPr>
        <w:pStyle w:val="BodyText"/>
      </w:pPr>
      <w:r>
        <w:t xml:space="preserve">从稳定性推导，若所有相关输入都只能增强，网络活动容易逐渐饱和，后续信息便难以有效区分。允许增强与减弱、局部与全局调节相互配合，可以为持续学习提供更丰富的参数空间。该推导说明某类机制为何可能有用，不能据此证明每个真实脑区都采用相同形式的归一化规则。</w:t>
      </w:r>
    </w:p>
    <w:bookmarkEnd w:id="148"/>
    <w:bookmarkStart w:id="149" w:name="sec-7-13"/>
    <w:p>
      <w:pPr>
        <w:pStyle w:val="Heading3"/>
      </w:pPr>
      <w:r>
        <w:t xml:space="preserve">7.13　静默突触揭示测量条件的重要性</w:t>
      </w:r>
    </w:p>
    <w:p>
      <w:pPr>
        <w:pStyle w:val="FirstParagraph"/>
      </w:pPr>
      <w:r>
        <w:t xml:space="preserve">静默突触是一个条件性术语。某连接在一个记录电位和受体通道下缺少明显响应，同时在另一条件下存在可测信号，就可能被归为静默。海马切片中的经典配对实验显示，部分原先静默的连接可以在可塑性诱导后出现相应突触后响应</w:t>
      </w:r>
      <w:r>
        <w:rPr>
          <w:vertAlign w:val="superscript"/>
        </w:rPr>
        <w:t xml:space="preserve">[</w:t>
      </w:r>
      <w:hyperlink w:anchor="ref-60">
        <w:r>
          <w:rPr>
            <w:rStyle w:val="Hyperlink"/>
            <w:vertAlign w:val="superscript"/>
          </w:rPr>
          <w:t xml:space="preserve">60</w:t>
        </w:r>
      </w:hyperlink>
      <w:r>
        <w:rPr>
          <w:vertAlign w:val="superscript"/>
        </w:rPr>
        <w:t xml:space="preserve">]</w:t>
      </w:r>
      <w:r>
        <w:t xml:space="preserve">。</w:t>
      </w:r>
    </w:p>
    <w:p>
      <w:pPr>
        <w:pStyle w:val="BodyText"/>
      </w:pPr>
      <w:r>
        <w:t xml:space="preserve">这类结果提示，功能连接的可见性可以随受体组成变化。某次实验未记录到响应，既可能因为没有解剖连接，也可能因为释放失败、受体条件不合适或信号低于检测阈值。形态学连接图、受体图和功能响应图，因此可以互相补充。</w:t>
      </w:r>
    </w:p>
    <w:p>
      <w:pPr>
        <w:pStyle w:val="BodyText"/>
      </w:pPr>
      <w:r>
        <w:t xml:space="preserve">这一点也影响发育与学习研究。观察到功能连接增加，未必全部来自新生轴突或新树突棘；已有接触的功能招募也可能贡献。相反，形态上仍保留一个接触，也不能保证其对当前行为有可测影响。结构变化与功能变化的时间关系需要直接测量。</w:t>
      </w:r>
    </w:p>
    <w:bookmarkEnd w:id="149"/>
    <w:bookmarkStart w:id="150" w:name="sec-7-14"/>
    <w:p>
      <w:pPr>
        <w:pStyle w:val="Heading3"/>
      </w:pPr>
      <w:r>
        <w:t xml:space="preserve">7.14　稳态调节使活动范围保持可用</w:t>
      </w:r>
    </w:p>
    <w:p>
      <w:pPr>
        <w:pStyle w:val="FirstParagraph"/>
      </w:pPr>
      <w:r>
        <w:t xml:space="preserve">长期改变网络活动后，细胞可能调整突触响应幅度或自身兴奋性，形成补偿性变化。培养新皮层神经元的经典研究显示了活动相关量子幅度调整，为突触缩放提供了重要实验基础。不同在体回路是否采用相同规则，仍需具体检验</w:t>
      </w:r>
      <w:r>
        <w:rPr>
          <w:vertAlign w:val="superscript"/>
        </w:rPr>
        <w:t xml:space="preserve">[</w:t>
      </w:r>
      <w:hyperlink w:anchor="ref-61">
        <w:r>
          <w:rPr>
            <w:rStyle w:val="Hyperlink"/>
            <w:vertAlign w:val="superscript"/>
          </w:rPr>
          <w:t xml:space="preserve">61</w:t>
        </w:r>
      </w:hyperlink>
      <w:r>
        <w:rPr>
          <w:vertAlign w:val="superscript"/>
        </w:rPr>
        <w:t xml:space="preserve">]</w:t>
      </w:r>
      <w:r>
        <w:t xml:space="preserve">。</w:t>
      </w:r>
    </w:p>
    <w:p>
      <w:pPr>
        <w:pStyle w:val="BodyText"/>
      </w:pPr>
      <w:r>
        <w:t xml:space="preserve">稳态机制与特异性学习之间存在一个需要协调的问题。若所有连接都按照完全相同的绝对量增减，弱连接和强连接的相对关系可能改变；若按比例调整，某些相对差异可以得到保留。两类规则对网络计算产生不同后果，因此应区分数据支持的是加性变化、乘性变化还是更复杂的局部调节。</w:t>
      </w:r>
    </w:p>
    <w:p>
      <w:pPr>
        <w:pStyle w:val="BodyText"/>
      </w:pPr>
      <w:r>
        <w:t xml:space="preserve">稳态目标也未必是把平均放电固定在一个永远不变的数值。细胞需要在发育、睡眠、感觉经验和生理状态变化中保持功能。适合的活动范围可以随情境调整。把所有补偿都视为恢复最初基线，会忽略适应本身可能具有多个时间尺度和目标。</w:t>
      </w:r>
    </w:p>
    <w:bookmarkEnd w:id="150"/>
    <w:bookmarkStart w:id="151" w:name="sec-7-15"/>
    <w:p>
      <w:pPr>
        <w:pStyle w:val="Heading3"/>
      </w:pPr>
      <w:r>
        <w:t xml:space="preserve">7.15　电突触提供另一种细胞间耦联方式</w:t>
      </w:r>
    </w:p>
    <w:p>
      <w:pPr>
        <w:pStyle w:val="FirstParagraph"/>
      </w:pPr>
      <w:r>
        <w:t xml:space="preserve">电突触通过细胞间通道允许电流直接耦联，常与连接蛋白组成的缝隙连接有关。相邻细胞的电压差可以推动电流流动，耦联强度、细胞电阻和网络结构共同决定传播效果。连接蛋白36（Cx36）敲除小鼠研究显示，电突触能够参与某些抑制网络的同步组织</w:t>
      </w:r>
      <w:r>
        <w:rPr>
          <w:vertAlign w:val="superscript"/>
        </w:rPr>
        <w:t xml:space="preserve">[</w:t>
      </w:r>
      <w:hyperlink w:anchor="ref-62">
        <w:r>
          <w:rPr>
            <w:rStyle w:val="Hyperlink"/>
            <w:vertAlign w:val="superscript"/>
          </w:rPr>
          <w:t xml:space="preserve">62</w:t>
        </w:r>
      </w:hyperlink>
      <w:r>
        <w:rPr>
          <w:vertAlign w:val="superscript"/>
        </w:rPr>
        <w:t xml:space="preserve">]</w:t>
      </w:r>
      <w:r>
        <w:t xml:space="preserve">。</w:t>
      </w:r>
    </w:p>
    <w:p>
      <w:pPr>
        <w:pStyle w:val="BodyText"/>
      </w:pPr>
      <w:r>
        <w:t xml:space="preserve">电耦联可以传递缓慢电位变化，也可以以经过滤波的形式传递较快活动。传播效率取决于频率和膜动力学。它也可能带来负载效应：一个被耦联的细胞同时要向邻近细胞提供电流，因此自身电位变化会受到影响。把电突触只画成更快的单向化学突触，会遗漏这些性质。</w:t>
      </w:r>
    </w:p>
    <w:p>
      <w:pPr>
        <w:pStyle w:val="BodyText"/>
      </w:pPr>
      <w:r>
        <w:t xml:space="preserve">部分电突触具有方向不对称或状态调节。耦联也不保证两个细胞在任何情况下完全同步，因为两者的输入、主动通道和网络位置可以不同。同步是多个条件共同产生的网络结果；缺少同步时，不能直接宣布细胞之间不存在电连接。</w:t>
      </w:r>
    </w:p>
    <w:bookmarkEnd w:id="151"/>
    <w:bookmarkStart w:id="152" w:name="sec-7-16"/>
    <w:p>
      <w:pPr>
        <w:pStyle w:val="Heading3"/>
      </w:pPr>
      <w:r>
        <w:t xml:space="preserve">7.16　树突棘把生化过程局部化</w:t>
      </w:r>
    </w:p>
    <w:p>
      <w:pPr>
        <w:pStyle w:val="FirstParagraph"/>
      </w:pPr>
      <w:r>
        <w:t xml:space="preserve">许多兴奋性接触位于树突棘。棘头、棘颈与树突干的几何关系，可以影响分子扩散、电信号耦联和局部钙变化。这样的区室化允许相邻输入在一定程度上保持独立，同时又通过树突膜和细胞内信号相互影响。棘的形态为理解局部可塑性提供重要结构背景</w:t>
      </w:r>
      <w:r>
        <w:rPr>
          <w:vertAlign w:val="superscript"/>
        </w:rPr>
        <w:t xml:space="preserve">[</w:t>
      </w:r>
      <w:hyperlink w:anchor="ref-7">
        <w:r>
          <w:rPr>
            <w:rStyle w:val="Hyperlink"/>
            <w:vertAlign w:val="superscript"/>
          </w:rPr>
          <w:t xml:space="preserve">7</w:t>
        </w:r>
      </w:hyperlink>
      <w:r>
        <w:rPr>
          <w:vertAlign w:val="superscript"/>
        </w:rPr>
        <w:t xml:space="preserve">,</w:t>
      </w:r>
      <w:hyperlink w:anchor="ref-49">
        <w:r>
          <w:rPr>
            <w:rStyle w:val="Hyperlink"/>
            <w:vertAlign w:val="superscript"/>
          </w:rPr>
          <w:t xml:space="preserve">49</w:t>
        </w:r>
      </w:hyperlink>
      <w:r>
        <w:rPr>
          <w:vertAlign w:val="superscript"/>
        </w:rPr>
        <w:t xml:space="preserve">]</w:t>
      </w:r>
      <w:r>
        <w:t xml:space="preserve">。</w:t>
      </w:r>
    </w:p>
    <w:p>
      <w:pPr>
        <w:pStyle w:val="BodyText"/>
      </w:pPr>
      <w:r>
        <w:t xml:space="preserve">形态观察需要避免过度翻译。一个棘变大，不直接等于一个记忆变强；一个棘消失，也不能单独证明某段记忆被删除。树突棘与突触功能通常相关，但关系受到受体、释放、细胞状态和回路读出方式影响。更有力的机制研究会同时连接结构、功能和特定行为条件。</w:t>
      </w:r>
    </w:p>
    <w:p>
      <w:pPr>
        <w:pStyle w:val="BodyText"/>
      </w:pPr>
      <w:r>
        <w:t xml:space="preserve">从信息保存的角度看，局部变化还必须能够被后续活动读取。即使一个分子状态长期持续，若它没有改变相关回路的响应，就未必构成行为上有效的记忆痕迹。因此，研究突触可塑性与记忆时，既要测变化如何形成，也要测变化如何影响后续计算。</w:t>
      </w:r>
    </w:p>
    <w:bookmarkEnd w:id="152"/>
    <w:bookmarkStart w:id="153" w:name="sec-7-17"/>
    <w:p>
      <w:pPr>
        <w:pStyle w:val="Heading3"/>
      </w:pPr>
      <w:r>
        <w:t xml:space="preserve">7.17　从突触改变到记忆解释需要跨越哪些层次</w:t>
      </w:r>
    </w:p>
    <w:p>
      <w:pPr>
        <w:pStyle w:val="FirstParagraph"/>
      </w:pPr>
      <w:r>
        <w:t xml:space="preserve">突触机制提供了学习和记忆的重要物质基础，但记忆表现还涉及哪些细胞参与、不同区域如何协调、何时检索、身体状态和行动要求。一个实验如果只改变某种分子并观察任务成绩，仍可能同时影响注意、感觉、运动或动机。机制解释需要把这些路径逐步区分。</w:t>
      </w:r>
    </w:p>
    <w:p>
      <w:pPr>
        <w:pStyle w:val="BodyText"/>
      </w:pPr>
      <w:r>
        <w:t xml:space="preserve">高置信度结论包括化学突触依赖离子和分子事件的耦合、释放具有概率性、受体与驱动力共同决定电流，以及突触传递能够随历史改变。对于某个分子是否独立储存特定复杂记忆、某种通用可塑性规则是否支配全部认知，目前需要更具体的证据，适宜维持条件化判断。</w:t>
      </w:r>
    </w:p>
    <w:p>
      <w:pPr>
        <w:pStyle w:val="BodyText"/>
      </w:pPr>
      <w:r>
        <w:t xml:space="preserve">学习本章时，可以依次问六个问题：输入如何到达，释放如何发生，递质作用于什么受体，局部电流如何影响输出，活动历史改变了哪个环节，以及这些改变如何在回路中被读取。这样的因果链能够把分子、细胞和行为连接起来，也能准确标出证据尚未跨越的地方。</w:t>
      </w:r>
    </w:p>
    <w:bookmarkEnd w:id="153"/>
    <w:bookmarkEnd w:id="154"/>
    <w:bookmarkStart w:id="175" w:name="ch-8"/>
    <w:p>
      <w:pPr>
        <w:pStyle w:val="Heading2"/>
      </w:pPr>
      <w:r>
        <w:t xml:space="preserve">第8章　受体信号网络与药效学</w:t>
      </w:r>
    </w:p>
    <w:bookmarkStart w:id="155" w:name="sec-8-1"/>
    <w:p>
      <w:pPr>
        <w:pStyle w:val="Heading3"/>
      </w:pPr>
      <w:r>
        <w:t xml:space="preserve">8.1　配体结合只是细胞响应的起点</w:t>
      </w:r>
    </w:p>
    <w:p>
      <w:pPr>
        <w:pStyle w:val="FirstParagraph"/>
      </w:pPr>
      <w:r>
        <w:t xml:space="preserve">一个递质或激素到达细胞附近后，首先需要接触适合的分子靶点。受体具有选择性的结合性质，同时连接细胞内效应过程。相同配体能够作用于多种受体，不同受体也可能共享部分下游元件。因而，递质的功能需要用受体分布、细胞类型、作用位置和时间过程来描述</w:t>
      </w:r>
      <w:r>
        <w:rPr>
          <w:vertAlign w:val="superscript"/>
        </w:rPr>
        <w:t xml:space="preserve">[</w:t>
      </w:r>
      <w:hyperlink w:anchor="ref-56">
        <w:r>
          <w:rPr>
            <w:rStyle w:val="Hyperlink"/>
            <w:vertAlign w:val="superscript"/>
          </w:rPr>
          <w:t xml:space="preserve">56</w:t>
        </w:r>
      </w:hyperlink>
      <w:r>
        <w:rPr>
          <w:vertAlign w:val="superscript"/>
        </w:rPr>
        <w:t xml:space="preserve">]</w:t>
      </w:r>
      <w:r>
        <w:t xml:space="preserve">。</w:t>
      </w:r>
    </w:p>
    <w:p>
      <w:pPr>
        <w:pStyle w:val="BodyText"/>
      </w:pPr>
      <w:r>
        <w:t xml:space="preserve">讨论药物时，还应区分受体、转运体、酶和电压门控通道等靶点。它们都可能影响神经传递，但作用链条不同。转运体抑制改变递质暴露过程，酶抑制改变合成或代谢，受体配体直接影响受体状态。即使最终都表现为某种递质信号增强，也不能把中间机制视为相同。</w:t>
      </w:r>
    </w:p>
    <w:p>
      <w:pPr>
        <w:pStyle w:val="BodyText"/>
      </w:pPr>
      <w:r>
        <w:t xml:space="preserve">细胞响应包含至少三个可分开的关系：游离配体浓度与受体占有，受体占有与信号生成，以及信号生成与观察终点。任何一个关系出现非线性，整体剂量效应曲线都会改变。一个可测终点可能还受到反馈与其他通路影响，因此从终点倒推出配体浓度，通常需要额外信息。</w:t>
      </w:r>
    </w:p>
    <w:bookmarkEnd w:id="155"/>
    <w:bookmarkStart w:id="156" w:name="sec-8-2"/>
    <w:p>
      <w:pPr>
        <w:pStyle w:val="Heading3"/>
      </w:pPr>
      <w:r>
        <w:t xml:space="preserve">8.2　受体是一组动态构象的集合</w:t>
      </w:r>
    </w:p>
    <w:p>
      <w:pPr>
        <w:pStyle w:val="FirstParagraph"/>
      </w:pPr>
      <w:r>
        <w:t xml:space="preserve">受体蛋白可以在多个构象之间变化。配体结合改变这些状态的相对稳定性，从而影响受体与下游蛋白相互作用。将受体画成锁、配体画成钥匙，有助于初步说明选择性；进一步学习时，应加入蛋白构象变化、结合动力学和细胞环境。</w:t>
      </w:r>
    </w:p>
    <w:p>
      <w:pPr>
        <w:pStyle w:val="BodyText"/>
      </w:pPr>
      <w:r>
        <w:t xml:space="preserve">β2肾上腺素受体与Gs蛋白复合体的结构研究展示了激活状态下受体与G蛋白的具体接触及构象变化。这类结构证据把抽象信号箭头连接到分子界面，同时也提醒我们，冷冻或结晶条件中的一个结构代表特定被稳定的状态，不能单独给出完整的动态反应过程</w:t>
      </w:r>
      <w:r>
        <w:rPr>
          <w:vertAlign w:val="superscript"/>
        </w:rPr>
        <w:t xml:space="preserve">[</w:t>
      </w:r>
      <w:hyperlink w:anchor="ref-63">
        <w:r>
          <w:rPr>
            <w:rStyle w:val="Hyperlink"/>
            <w:vertAlign w:val="superscript"/>
          </w:rPr>
          <w:t xml:space="preserve">63</w:t>
        </w:r>
      </w:hyperlink>
      <w:r>
        <w:rPr>
          <w:vertAlign w:val="superscript"/>
        </w:rPr>
        <w:t xml:space="preserve">]</w:t>
      </w:r>
      <w:r>
        <w:t xml:space="preserve">。</w:t>
      </w:r>
    </w:p>
    <w:p>
      <w:pPr>
        <w:pStyle w:val="BodyText"/>
      </w:pPr>
      <w:r>
        <w:t xml:space="preserve">从结构到功能，还需要测量结合、信号输出和细胞效应。一个突变可能改变配体结合，也可能改变膜表达或下游耦联；只有先确认这些层次，才能判断它主要影响哪一步。结构图上距离很近的两个分子，并不自动证明它们在活细胞中持续形成相同复合物。</w:t>
      </w:r>
    </w:p>
    <w:bookmarkEnd w:id="156"/>
    <w:bookmarkStart w:id="157" w:name="sec-8-3"/>
    <w:p>
      <w:pPr>
        <w:pStyle w:val="Heading3"/>
      </w:pPr>
      <w:r>
        <w:t xml:space="preserve">8.3　结合平衡与受体占有</w:t>
      </w:r>
    </w:p>
    <w:p>
      <w:pPr>
        <w:pStyle w:val="FirstParagraph"/>
      </w:pPr>
      <w:r>
        <w:t xml:space="preserve">在最简的一对一可逆结合模型中，配体L与受体R形成复合体LR。解离平衡常数Kd等于游离配体浓度乘游离受体浓度，再除以复合体浓度。若受体对配体的消耗相对于外部配体池可以忽略，占有比例可写为L/(Kd+L)，其中L为游离配体浓度。这个关系属于质量作用定律下的条件推导。</w:t>
      </w:r>
    </w:p>
    <w:p>
      <w:pPr>
        <w:pStyle w:val="BodyText"/>
      </w:pPr>
      <w:r>
        <w:t xml:space="preserve">当游离浓度等于Kd时，模型给出半数受体被占有。若游离浓度是Kd的九倍，占有比例为百分之九十；若是Kd的九分之一，占有比例为百分之十。这些数值来自模型算术，不能直接用于推算任何具体药物所需口服剂量，因为组织暴露、结合蛋白、代谢和受体状态均尚未纳入。</w:t>
      </w:r>
    </w:p>
    <w:p>
      <w:pPr>
        <w:pStyle w:val="BodyText"/>
      </w:pPr>
      <w:r>
        <w:t xml:space="preserve">平衡模型还要求系统有足够时间接近平衡。快速递质脉冲可能在结合与解离尚未平衡时就消失，此时结合速率和解离速率分别具有意义。两个配体即使Kd相近，也可能具有不同停留时间。它们在短时脉冲输入下的占有轨迹，可以明显不同。</w:t>
      </w:r>
    </w:p>
    <w:bookmarkEnd w:id="157"/>
    <w:bookmarkStart w:id="158" w:name="sec-8-4"/>
    <w:p>
      <w:pPr>
        <w:pStyle w:val="Heading3"/>
      </w:pPr>
      <w:r>
        <w:t xml:space="preserve">8.4　亲和力、效价与效能回答不同问题</w:t>
      </w:r>
    </w:p>
    <w:p>
      <w:pPr>
        <w:pStyle w:val="FirstParagraph"/>
      </w:pPr>
      <w:r>
        <w:t xml:space="preserve">亲和力描述结合关系。效价描述达到某个效应所需的浓度或剂量范围。效能描述在指定系统和终点上能够产生多大响应。高亲和力可以帮助低浓度占有受体，但它无法单独决定最大响应。效价也会受到受体数量、信号放大和组织暴露影响</w:t>
      </w:r>
      <w:r>
        <w:rPr>
          <w:vertAlign w:val="superscript"/>
        </w:rPr>
        <w:t xml:space="preserve">[</w:t>
      </w:r>
      <w:hyperlink w:anchor="ref-64">
        <w:r>
          <w:rPr>
            <w:rStyle w:val="Hyperlink"/>
            <w:vertAlign w:val="superscript"/>
          </w:rPr>
          <w:t xml:space="preserve">64</w:t>
        </w:r>
      </w:hyperlink>
      <w:r>
        <w:rPr>
          <w:vertAlign w:val="superscript"/>
        </w:rPr>
        <w:t xml:space="preserve">,</w:t>
      </w:r>
      <w:hyperlink w:anchor="ref-65">
        <w:r>
          <w:rPr>
            <w:rStyle w:val="Hyperlink"/>
            <w:vertAlign w:val="superscript"/>
          </w:rPr>
          <w:t xml:space="preserve">65</w:t>
        </w:r>
      </w:hyperlink>
      <w:r>
        <w:rPr>
          <w:vertAlign w:val="superscript"/>
        </w:rPr>
        <w:t xml:space="preserve">]</w:t>
      </w:r>
      <w:r>
        <w:t xml:space="preserve">。</w:t>
      </w:r>
    </w:p>
    <w:p>
      <w:pPr>
        <w:pStyle w:val="BodyText"/>
      </w:pPr>
      <w:r>
        <w:t xml:space="preserve">比较两条浓度效应曲线时，应先检查横轴是游离浓度、总浓度还是给药剂量，再检查纵轴测的是受体信号、细胞电流还是行为。只在一个细胞系中效价更高，不能直接推出临床更有效。不同终点的最大值也不能随意横向比较，例如酶活性增加与症状改善没有共同的自然单位。</w:t>
      </w:r>
    </w:p>
    <w:p>
      <w:pPr>
        <w:pStyle w:val="BodyText"/>
      </w:pPr>
      <w:r>
        <w:t xml:space="preserve">一个药物在低浓度出现明显细胞信号，可能源于高亲和力，也可能源于大量受体和强烈信号放大。要区分二者，可以结合独立结合实验、受体表达控制和多个效应终点。这样的分解比单独比较一个半最大效应浓度更能解释药物的性质。</w:t>
      </w:r>
    </w:p>
    <w:bookmarkEnd w:id="158"/>
    <w:bookmarkStart w:id="159" w:name="sec-8-5"/>
    <w:p>
      <w:pPr>
        <w:pStyle w:val="Heading3"/>
      </w:pPr>
      <w:r>
        <w:t xml:space="preserve">8.5　受体储备来自系统中的放大关系</w:t>
      </w:r>
    </w:p>
    <w:p>
      <w:pPr>
        <w:pStyle w:val="FirstParagraph"/>
      </w:pPr>
      <w:r>
        <w:t xml:space="preserve">某些系统在受体尚未全部被占有时，就可以达到所测终点的最大响应。这通常被称为受体储备。它体现受体激活与终点之间的非线性和放大，也受到受体数量及下游效应能力影响。操作性药理模型提供了描述这些关系的工具</w:t>
      </w:r>
      <w:r>
        <w:rPr>
          <w:vertAlign w:val="superscript"/>
        </w:rPr>
        <w:t xml:space="preserve">[</w:t>
      </w:r>
      <w:hyperlink w:anchor="ref-64">
        <w:r>
          <w:rPr>
            <w:rStyle w:val="Hyperlink"/>
            <w:vertAlign w:val="superscript"/>
          </w:rPr>
          <w:t xml:space="preserve">64</w:t>
        </w:r>
      </w:hyperlink>
      <w:r>
        <w:rPr>
          <w:vertAlign w:val="superscript"/>
        </w:rPr>
        <w:t xml:space="preserve">]</w:t>
      </w:r>
      <w:r>
        <w:t xml:space="preserve">。</w:t>
      </w:r>
    </w:p>
    <w:p>
      <w:pPr>
        <w:pStyle w:val="BodyText"/>
      </w:pPr>
      <w:r>
        <w:t xml:space="preserve">可以设想一个教学系统：少量活化受体就足以使下游酶达到饱和。继续占有更多受体，测得的酶输出不再增加，但受体本身仍有未使用部分。若移除部分受体，系统可能先表现为曲线右移，直到储备不足才出现最大值下降。这个推导解释了某些实验现象，也说明最大值未变不能证明受体数量未变。</w:t>
      </w:r>
    </w:p>
    <w:p>
      <w:pPr>
        <w:pStyle w:val="BodyText"/>
      </w:pPr>
      <w:r>
        <w:t xml:space="preserve">受体储备具有终点特异性。同一个细胞中，一条下游通路可能高度放大，另一条通路放大较弱。同一配体在前者看似完全激动，在后者可以表现为部分激动。药理类别必须带上实验系统和参照物，才能准确表达其含义。</w:t>
      </w:r>
    </w:p>
    <w:bookmarkEnd w:id="159"/>
    <w:bookmarkStart w:id="160" w:name="sec-8-6"/>
    <w:p>
      <w:pPr>
        <w:pStyle w:val="Heading3"/>
      </w:pPr>
      <w:r>
        <w:t xml:space="preserve">8.6　激动、拮抗与部分激动</w:t>
      </w:r>
    </w:p>
    <w:p>
      <w:pPr>
        <w:pStyle w:val="FirstParagraph"/>
      </w:pPr>
      <w:r>
        <w:t xml:space="preserve">激动剂能够稳定具有信号输出能力的受体状态。中性拮抗剂占据结合位置，但在所测系统中不增加也不减少受体的基础活性。反向激动剂降低构成性活性，因而需要系统具有可检测的基础受体信号。部分激动剂在指定系统中产生的最大响应低于选定完全激动剂</w:t>
      </w:r>
      <w:r>
        <w:rPr>
          <w:vertAlign w:val="superscript"/>
        </w:rPr>
        <w:t xml:space="preserve">[</w:t>
      </w:r>
      <w:hyperlink w:anchor="ref-65">
        <w:r>
          <w:rPr>
            <w:rStyle w:val="Hyperlink"/>
            <w:vertAlign w:val="superscript"/>
          </w:rPr>
          <w:t xml:space="preserve">65</w:t>
        </w:r>
      </w:hyperlink>
      <w:r>
        <w:rPr>
          <w:vertAlign w:val="superscript"/>
        </w:rPr>
        <w:t xml:space="preserve">]</w:t>
      </w:r>
      <w:r>
        <w:t xml:space="preserve">。</w:t>
      </w:r>
    </w:p>
    <w:p>
      <w:pPr>
        <w:pStyle w:val="BodyText"/>
      </w:pPr>
      <w:r>
        <w:t xml:space="preserve">部分激动剂的作用会随环境改变。在内源性激动信号很低时，它可以提高总体响应；在高效激动剂占主导的环境中，它与后者竞争受体后可能降低总体响应。这一结论来自两类配体共享受体和效能不同的组合推导，不能简化成任何情况下自动把神经递质调到理想水平。</w:t>
      </w:r>
    </w:p>
    <w:p>
      <w:pPr>
        <w:pStyle w:val="BodyText"/>
      </w:pPr>
      <w:r>
        <w:t xml:space="preserve">所谓稳定器也需要明确稳定了什么变量。降低波动、限制峰值、维持一定基础信号和改善临床症状，是不同目标。一个分子具有部分激动性质，不保证所有脑区和所有行为都朝有利方向变化。受体分布及回路中的细胞身份仍然重要。</w:t>
      </w:r>
    </w:p>
    <w:bookmarkEnd w:id="160"/>
    <w:bookmarkStart w:id="161" w:name="sec-8-7"/>
    <w:p>
      <w:pPr>
        <w:pStyle w:val="Heading3"/>
      </w:pPr>
      <w:r>
        <w:t xml:space="preserve">8.7　竞争性拮抗与不可逆作用</w:t>
      </w:r>
    </w:p>
    <w:p>
      <w:pPr>
        <w:pStyle w:val="FirstParagraph"/>
      </w:pPr>
      <w:r>
        <w:t xml:space="preserve">在简单可逆竞争条件下，拮抗剂与激动剂争夺同一结合位置，增加激动剂浓度可以提高其占有比例。浓度效应曲线可能向较高浓度方向移动，同时保留理论上的最大响应。这个结论依赖平衡、可逆和测量范围等条件；它不是指导患者自行增加药量的规则</w:t>
      </w:r>
      <w:r>
        <w:rPr>
          <w:vertAlign w:val="superscript"/>
        </w:rPr>
        <w:t xml:space="preserve">[</w:t>
      </w:r>
      <w:hyperlink w:anchor="ref-65">
        <w:r>
          <w:rPr>
            <w:rStyle w:val="Hyperlink"/>
            <w:vertAlign w:val="superscript"/>
          </w:rPr>
          <w:t xml:space="preserve">65</w:t>
        </w:r>
      </w:hyperlink>
      <w:r>
        <w:rPr>
          <w:vertAlign w:val="superscript"/>
        </w:rPr>
        <w:t xml:space="preserve">]</w:t>
      </w:r>
      <w:r>
        <w:t xml:space="preserve">。</w:t>
      </w:r>
    </w:p>
    <w:p>
      <w:pPr>
        <w:pStyle w:val="BodyText"/>
      </w:pPr>
      <w:r>
        <w:t xml:space="preserve">不可逆结合、变构作用或下游效应器抑制，可以产生不同形状的曲线。最大响应下降有时提示难以被激动剂克服的作用，但也可能受到细胞损伤、测量上限或受体储备耗尽影响。仅用曲线形状给出唯一分子机制，需要谨慎。</w:t>
      </w:r>
    </w:p>
    <w:p>
      <w:pPr>
        <w:pStyle w:val="BodyText"/>
      </w:pPr>
      <w:r>
        <w:t xml:space="preserve">对于不可逆或极慢解离作用，血液药物浓度下降后，功能效应仍可能持续。恢复速度可能更多取决于靶蛋白更新、细胞补偿或新蛋白合成。药物在体内停留时间和生物效应持续时间，因此可以存在明显差异。</w:t>
      </w:r>
    </w:p>
    <w:bookmarkEnd w:id="161"/>
    <w:bookmarkStart w:id="162" w:name="sec-8-8"/>
    <w:p>
      <w:pPr>
        <w:pStyle w:val="Heading3"/>
      </w:pPr>
      <w:r>
        <w:t xml:space="preserve">8.8　变构调节为受体增加第二个控制维度</w:t>
      </w:r>
    </w:p>
    <w:p>
      <w:pPr>
        <w:pStyle w:val="FirstParagraph"/>
      </w:pPr>
      <w:r>
        <w:t xml:space="preserve">变构配体结合在与内源性正构配体不同的位置，并改变其结合或信号输出。正向变构调节、负向变构调节和几乎不改变输出的结合，都属于可能情况。变构效应还可能同时影响亲和力与效能，因此需要多个维度描述</w:t>
      </w:r>
      <w:r>
        <w:rPr>
          <w:vertAlign w:val="superscript"/>
        </w:rPr>
        <w:t xml:space="preserve">[</w:t>
      </w:r>
      <w:hyperlink w:anchor="ref-66">
        <w:r>
          <w:rPr>
            <w:rStyle w:val="Hyperlink"/>
            <w:vertAlign w:val="superscript"/>
          </w:rPr>
          <w:t xml:space="preserve">66</w:t>
        </w:r>
      </w:hyperlink>
      <w:r>
        <w:rPr>
          <w:vertAlign w:val="superscript"/>
        </w:rPr>
        <w:t xml:space="preserve">]</w:t>
      </w:r>
      <w:r>
        <w:t xml:space="preserve">。</w:t>
      </w:r>
    </w:p>
    <w:p>
      <w:pPr>
        <w:pStyle w:val="BodyText"/>
      </w:pPr>
      <w:r>
        <w:t xml:space="preserve">一个重要推论是，变构药物的效果可以依赖内源性递质何时、何地出现。若其主要增强已有信号，低递质区域和高递质区域可能出现不同结果。但有些变构配体自身也具有激动作用，不能把所有变构调节都归为只有内源性信号存在才起作用。</w:t>
      </w:r>
    </w:p>
    <w:p>
      <w:pPr>
        <w:pStyle w:val="BodyText"/>
      </w:pPr>
      <w:r>
        <w:t xml:space="preserve">变构作用还可能具有探针依赖性：不同正构配体与同一变构配体组合，产生的效应不同。因此，用一种实验激动剂得到的结论，需要在内源性配体条件下重新检验。某种体外选择性，也不保证体内只影响一个功能回路。</w:t>
      </w:r>
    </w:p>
    <w:bookmarkEnd w:id="162"/>
    <w:bookmarkStart w:id="163" w:name="sec-8-9"/>
    <w:p>
      <w:pPr>
        <w:pStyle w:val="Heading3"/>
      </w:pPr>
      <w:r>
        <w:t xml:space="preserve">8.9　三聚体G蛋白连接受体与效应器</w:t>
      </w:r>
    </w:p>
    <w:p>
      <w:pPr>
        <w:pStyle w:val="FirstParagraph"/>
      </w:pPr>
      <w:r>
        <w:t xml:space="preserve">许多七次跨膜受体通过异源三聚体G蛋白传递信号。受体激活促进Gα上的核苷酸交换，使Gα及Gβγ相关效应发生变化。Gα的GTP水解和调节蛋白共同参与信号终止。不同G蛋白家族与效应器的组合，赋予同一类受体多样输出</w:t>
      </w:r>
      <w:r>
        <w:rPr>
          <w:vertAlign w:val="superscript"/>
        </w:rPr>
        <w:t xml:space="preserve">[</w:t>
      </w:r>
      <w:hyperlink w:anchor="ref-63">
        <w:r>
          <w:rPr>
            <w:rStyle w:val="Hyperlink"/>
            <w:vertAlign w:val="superscript"/>
          </w:rPr>
          <w:t xml:space="preserve">63</w:t>
        </w:r>
      </w:hyperlink>
      <w:r>
        <w:rPr>
          <w:vertAlign w:val="superscript"/>
        </w:rPr>
        <w:t xml:space="preserve">]</w:t>
      </w:r>
      <w:r>
        <w:t xml:space="preserve">。</w:t>
      </w:r>
    </w:p>
    <w:p>
      <w:pPr>
        <w:pStyle w:val="BodyText"/>
      </w:pPr>
      <w:r>
        <w:t xml:space="preserve">Gs常通过腺苷酸环化酶提高cAMP相关信号；Gi或Go相关机制可以降低某些腺苷酸环化酶活动，并通过其他分支调节离子通道；Gq相关通路能够连接磷脂酶C及下游脂质和钙信号。这是理解信号网络的基本对应关系，具体细胞中的方向和幅度仍取决于效应器亚型与局部条件</w:t>
      </w:r>
      <w:r>
        <w:rPr>
          <w:vertAlign w:val="superscript"/>
        </w:rPr>
        <w:t xml:space="preserve">[</w:t>
      </w:r>
      <w:hyperlink w:anchor="ref-56">
        <w:r>
          <w:rPr>
            <w:rStyle w:val="Hyperlink"/>
            <w:vertAlign w:val="superscript"/>
          </w:rPr>
          <w:t xml:space="preserve">56</w:t>
        </w:r>
      </w:hyperlink>
      <w:r>
        <w:rPr>
          <w:vertAlign w:val="superscript"/>
        </w:rPr>
        <w:t xml:space="preserve">]</w:t>
      </w:r>
      <w:r>
        <w:t xml:space="preserve">。</w:t>
      </w:r>
    </w:p>
    <w:p>
      <w:pPr>
        <w:pStyle w:val="BodyText"/>
      </w:pPr>
      <w:r>
        <w:t xml:space="preserve">Gβγ也能够调节某些钾通道、钙通道和酶，因此G蛋白作用不能全部归结为Gα。突触前钙通道受到调节时，释放概率可能变化；突触后钾电导变化时，膜输入电阻和兴奋性会变化。相同受体在两个位置表达，可以产生不同生理后果。</w:t>
      </w:r>
    </w:p>
    <w:bookmarkEnd w:id="163"/>
    <w:bookmarkStart w:id="164" w:name="sec-8-10"/>
    <w:p>
      <w:pPr>
        <w:pStyle w:val="Heading3"/>
      </w:pPr>
      <w:r>
        <w:t xml:space="preserve">8.10　第二信使具有空间区室</w:t>
      </w:r>
    </w:p>
    <w:p>
      <w:pPr>
        <w:pStyle w:val="FirstParagraph"/>
      </w:pPr>
      <w:r>
        <w:t xml:space="preserve">cAMP、钙和脂质相关信号常被称为第二信使，但它们在细胞内并不总是均匀扩散成一个统一浓度。生成位置、降解酶、缓冲蛋白、膜结构和支架蛋白可以形成局部信号区域。一个树突棘、胞体和轴突末梢，可能同时处于不同信号状态。</w:t>
      </w:r>
    </w:p>
    <w:p>
      <w:pPr>
        <w:pStyle w:val="BodyText"/>
      </w:pPr>
      <w:r>
        <w:t xml:space="preserve">从反应扩散原理推导，局部生成越集中、清除越快，信号的有效作用范围就越可能受限。若清除减慢或生成持续，影响范围可能扩大。一个全细胞平均测量，会把这些空间结构压缩，因此平均值不变时仍可能存在重要的局部分布变化。</w:t>
      </w:r>
    </w:p>
    <w:p>
      <w:pPr>
        <w:pStyle w:val="BodyText"/>
      </w:pPr>
      <w:r>
        <w:t xml:space="preserve">支架蛋白还可以让受体、激酶与底物靠近，提高特定反应的效率。信号选择性因此同时来自化学识别与空间组织。细胞内某种分子含量相同，并不能保证它在不同细胞中接触到相同底物。</w:t>
      </w:r>
    </w:p>
    <w:bookmarkEnd w:id="164"/>
    <w:bookmarkStart w:id="165" w:name="sec-8-11"/>
    <w:p>
      <w:pPr>
        <w:pStyle w:val="Heading3"/>
      </w:pPr>
      <w:r>
        <w:t xml:space="preserve">8.11　蛋白磷酸化把短时输入转为状态变化</w:t>
      </w:r>
    </w:p>
    <w:p>
      <w:pPr>
        <w:pStyle w:val="FirstParagraph"/>
      </w:pPr>
      <w:r>
        <w:t xml:space="preserve">蛋白激酶把磷酸基团转移到底物上，磷酸酶则参与去磷酸化。这样的可逆修饰能够改变蛋白活性、相互作用、定位和稳定性。慢突触传递的重要机制之一，是通过激酶与磷酸酶网络影响快速突触传递装置</w:t>
      </w:r>
      <w:r>
        <w:rPr>
          <w:vertAlign w:val="superscript"/>
        </w:rPr>
        <w:t xml:space="preserve">[</w:t>
      </w:r>
      <w:hyperlink w:anchor="ref-67">
        <w:r>
          <w:rPr>
            <w:rStyle w:val="Hyperlink"/>
            <w:vertAlign w:val="superscript"/>
          </w:rPr>
          <w:t xml:space="preserve">67</w:t>
        </w:r>
      </w:hyperlink>
      <w:r>
        <w:rPr>
          <w:vertAlign w:val="superscript"/>
        </w:rPr>
        <w:t xml:space="preserve">]</w:t>
      </w:r>
      <w:r>
        <w:t xml:space="preserve">。</w:t>
      </w:r>
    </w:p>
    <w:p>
      <w:pPr>
        <w:pStyle w:val="BodyText"/>
      </w:pPr>
      <w:r>
        <w:t xml:space="preserve">磷酸化本身没有统一的增强含义。某个位点的修饰可能提高活性，另一个位点可能抑制功能，也可能改变蛋白被运输或降解的概率。解释磷酸化水平升高时，至少应说明蛋白、位点、细胞类型和所测功能。泛称某条通路被激活，容易掩盖内部的相反分支。</w:t>
      </w:r>
    </w:p>
    <w:p>
      <w:pPr>
        <w:pStyle w:val="BodyText"/>
      </w:pPr>
      <w:r>
        <w:t xml:space="preserve">正反馈可以使短暂输入产生持续状态，负反馈可以限制幅度或形成适应。若一个激酶促进自己的间接激活，就可能出现阈值或滞后；若它同时启动抑制因子，响应可能先上升后衰减。这些动力学可以通过具体分子网络检验，不能仅凭曲线形状便确认某个反馈环存在。</w:t>
      </w:r>
    </w:p>
    <w:bookmarkEnd w:id="165"/>
    <w:bookmarkStart w:id="166" w:name="sec-8-12"/>
    <w:p>
      <w:pPr>
        <w:pStyle w:val="Heading3"/>
      </w:pPr>
      <w:r>
        <w:t xml:space="preserve">8.12　受体脱敏、内吞与再循环</w:t>
      </w:r>
    </w:p>
    <w:p>
      <w:pPr>
        <w:pStyle w:val="FirstParagraph"/>
      </w:pPr>
      <w:r>
        <w:t xml:space="preserve">持续配体暴露后，受体响应可能减弱。受体磷酸化、抑制蛋白结合、内吞、下游效应器适应和基因表达变化，都可能参与。β-抑制蛋白除了参与受体调节，还能够组织某些细胞内信号复合体，说明受体停止一种输出时，未必同时停止全部信号</w:t>
      </w:r>
      <w:r>
        <w:rPr>
          <w:vertAlign w:val="superscript"/>
        </w:rPr>
        <w:t xml:space="preserve">[</w:t>
      </w:r>
      <w:hyperlink w:anchor="ref-68">
        <w:r>
          <w:rPr>
            <w:rStyle w:val="Hyperlink"/>
            <w:vertAlign w:val="superscript"/>
          </w:rPr>
          <w:t xml:space="preserve">68</w:t>
        </w:r>
      </w:hyperlink>
      <w:r>
        <w:rPr>
          <w:vertAlign w:val="superscript"/>
        </w:rPr>
        <w:t xml:space="preserve">]</w:t>
      </w:r>
      <w:r>
        <w:t xml:space="preserve">。</w:t>
      </w:r>
    </w:p>
    <w:p>
      <w:pPr>
        <w:pStyle w:val="BodyText"/>
      </w:pPr>
      <w:r>
        <w:t xml:space="preserve">内吞后的受体可以被送回膜表面，也可以进入降解过程；部分受体还可在细胞内区室继续传递信号。因而膜表面受体减少、总蛋白减少和总体效应减弱属于不同观察。只有把定位、数量和功能结合，才能判断具体适应机制。</w:t>
      </w:r>
    </w:p>
    <w:p>
      <w:pPr>
        <w:pStyle w:val="BodyText"/>
      </w:pPr>
      <w:r>
        <w:t xml:space="preserve">脱敏并不必然导致整个人对药物完全耐受。临床效应还包括多个靶点、代谢过程和网络补偿。某个受体的反应减弱可能与其他作用同时存在。停止长期暴露后，系统恢复也可能需要时间，这解释了为什么药物浓度下降与身体适应结束之间可以存在间隔。</w:t>
      </w:r>
    </w:p>
    <w:bookmarkEnd w:id="166"/>
    <w:bookmarkStart w:id="167" w:name="sec-8-13"/>
    <w:p>
      <w:pPr>
        <w:pStyle w:val="Heading3"/>
      </w:pPr>
      <w:r>
        <w:t xml:space="preserve">8.13　偏向性信号需要与系统偏差区分</w:t>
      </w:r>
    </w:p>
    <w:p>
      <w:pPr>
        <w:pStyle w:val="FirstParagraph"/>
      </w:pPr>
      <w:r>
        <w:t xml:space="preserve">某些配体相对于参照配体，更偏向激活受体所连接的一部分通路，这被称为配体偏向性。判断偏向性需要比较多条通路，并控制不同检测系统的放大程度、受体表达和时间过程。只在一个终点上强、另一个终点上弱，尚不足以给出稳健的分子偏向结论</w:t>
      </w:r>
      <w:r>
        <w:rPr>
          <w:vertAlign w:val="superscript"/>
        </w:rPr>
        <w:t xml:space="preserve">[</w:t>
      </w:r>
      <w:hyperlink w:anchor="ref-66">
        <w:r>
          <w:rPr>
            <w:rStyle w:val="Hyperlink"/>
            <w:vertAlign w:val="superscript"/>
          </w:rPr>
          <w:t xml:space="preserve">66</w:t>
        </w:r>
      </w:hyperlink>
      <w:r>
        <w:rPr>
          <w:vertAlign w:val="superscript"/>
        </w:rPr>
        <w:t xml:space="preserve">]</w:t>
      </w:r>
      <w:r>
        <w:t xml:space="preserve">。</w:t>
      </w:r>
    </w:p>
    <w:p>
      <w:pPr>
        <w:pStyle w:val="BodyText"/>
      </w:pPr>
      <w:r>
        <w:t xml:space="preserve">一个教学例子可以说明原因。若通路甲放大十倍，通路乙几乎不放大，一个效能较低的配体可能在甲达到接近最大输出，在乙只产生较小响应。这样的表面差异可以部分来自系统设计。只有与合适参照物比较并考虑转导关系，才能更接近配体本身的相对偏好。</w:t>
      </w:r>
    </w:p>
    <w:p>
      <w:pPr>
        <w:pStyle w:val="BodyText"/>
      </w:pPr>
      <w:r>
        <w:t xml:space="preserve">偏向性也不自动等于更安全。某个细胞终点与临床不良反应之间的因果链需要独立建立。不同组织具有不同信号蛋白组合，体外偏向可能在体内发生变化。药物研发中的机制选择，需要继续接受暴露、疗效和安全性检验。</w:t>
      </w:r>
    </w:p>
    <w:bookmarkEnd w:id="167"/>
    <w:bookmarkStart w:id="168" w:name="sec-8-14"/>
    <w:p>
      <w:pPr>
        <w:pStyle w:val="Heading3"/>
      </w:pPr>
      <w:r>
        <w:t xml:space="preserve">8.14　内源性大麻素提供逆向调节</w:t>
      </w:r>
    </w:p>
    <w:p>
      <w:pPr>
        <w:pStyle w:val="FirstParagraph"/>
      </w:pPr>
      <w:r>
        <w:t xml:space="preserve">部分突触后活动能够促进脂质信号形成，随后通过突触前大麻素受体调节递质释放。海马经典研究为内源性大麻素参与逆向调节抑制性传递提供了证据，展示了突触后细胞能够影响自身输入的一种机制</w:t>
      </w:r>
      <w:r>
        <w:rPr>
          <w:vertAlign w:val="superscript"/>
        </w:rPr>
        <w:t xml:space="preserve">[</w:t>
      </w:r>
      <w:hyperlink w:anchor="ref-69">
        <w:r>
          <w:rPr>
            <w:rStyle w:val="Hyperlink"/>
            <w:vertAlign w:val="superscript"/>
          </w:rPr>
          <w:t xml:space="preserve">69</w:t>
        </w:r>
      </w:hyperlink>
      <w:r>
        <w:rPr>
          <w:vertAlign w:val="superscript"/>
        </w:rPr>
        <w:t xml:space="preserve">]</w:t>
      </w:r>
      <w:r>
        <w:t xml:space="preserve">。</w:t>
      </w:r>
    </w:p>
    <w:p>
      <w:pPr>
        <w:pStyle w:val="BodyText"/>
      </w:pPr>
      <w:r>
        <w:t xml:space="preserve">逆向信号改变了只从轴突末梢到树突的单向图景。一个细胞的电活动或生化状态，可以通过局部反馈改变随后到达的输入。由于不同末梢的受体表达不同，这种反馈可能选择性影响一部分连接。具体方向还取决于被调节的是兴奋性还是抑制性末梢。</w:t>
      </w:r>
    </w:p>
    <w:p>
      <w:pPr>
        <w:pStyle w:val="BodyText"/>
      </w:pPr>
      <w:r>
        <w:t xml:space="preserve">这一生理机制不能直接用于推断外源性大麻制品的整体作用。内源性信号具有局部生成、特定时间和快速代谢等特点；外源性化合物可能造成更广、更久及受体选择性不同的暴露。共同作用于某类受体，只能建立一部分机制联系。</w:t>
      </w:r>
    </w:p>
    <w:bookmarkEnd w:id="168"/>
    <w:bookmarkStart w:id="169" w:name="sec-8-15"/>
    <w:p>
      <w:pPr>
        <w:pStyle w:val="Heading3"/>
      </w:pPr>
      <w:r>
        <w:t xml:space="preserve">8.15　一氧化氮与可扩散信号</w:t>
      </w:r>
    </w:p>
    <w:p>
      <w:pPr>
        <w:pStyle w:val="FirstParagraph"/>
      </w:pPr>
      <w:r>
        <w:t xml:space="preserve">某些细胞信号可以跨膜扩散，并通过邻近细胞中的效应器产生作用。早期研究发现NMDA受体激活后释放的扩散性信号能够联系到cGMP反应，为脑内一氧化氮相关细胞间通信提供了重要线索</w:t>
      </w:r>
      <w:r>
        <w:rPr>
          <w:vertAlign w:val="superscript"/>
        </w:rPr>
        <w:t xml:space="preserve">[</w:t>
      </w:r>
      <w:hyperlink w:anchor="ref-70">
        <w:r>
          <w:rPr>
            <w:rStyle w:val="Hyperlink"/>
            <w:vertAlign w:val="superscript"/>
          </w:rPr>
          <w:t xml:space="preserve">70</w:t>
        </w:r>
      </w:hyperlink>
      <w:r>
        <w:rPr>
          <w:vertAlign w:val="superscript"/>
        </w:rPr>
        <w:t xml:space="preserve">]</w:t>
      </w:r>
      <w:r>
        <w:t xml:space="preserve">。</w:t>
      </w:r>
    </w:p>
    <w:p>
      <w:pPr>
        <w:pStyle w:val="BodyText"/>
      </w:pPr>
      <w:r>
        <w:t xml:space="preserve">这类信号的作用范围取决于生成、扩散、反应和清除的平衡。靠近源头的细胞可以经历较高短时暴露，较远细胞则可能经历较弱或延迟的信号。空间距离与局部化学环境共同参与选择性，因此没有经典突触接触也可能存在细胞间影响。</w:t>
      </w:r>
    </w:p>
    <w:p>
      <w:pPr>
        <w:pStyle w:val="BodyText"/>
      </w:pPr>
      <w:r>
        <w:t xml:space="preserve">信号分子的生理作用与高水平异常暴露的后果可以不同。一个分子参与正常调节，不能据此推断增加其总量总是有益。应明确讨论浓度范围、持续时间、生成位置和相关酶系统，避免把生理信使简单归类为有益或有害。</w:t>
      </w:r>
    </w:p>
    <w:bookmarkEnd w:id="169"/>
    <w:bookmarkStart w:id="170" w:name="sec-8-16"/>
    <w:p>
      <w:pPr>
        <w:pStyle w:val="Heading3"/>
      </w:pPr>
      <w:r>
        <w:t xml:space="preserve">8.16　受体组合使同一递质产生不同回路效应</w:t>
      </w:r>
    </w:p>
    <w:p>
      <w:pPr>
        <w:pStyle w:val="FirstParagraph"/>
      </w:pPr>
      <w:r>
        <w:t xml:space="preserve">同一种递质能够同时作用于突触前自身受体、其他末梢上的异受体、神经元胞体树突及非神经元细胞。自身受体可以形成释放反馈，突触后受体改变兴奋性，胶质或血管相关受体还可以影响局部环境。递质系统因此具有分布式调控特征</w:t>
      </w:r>
      <w:r>
        <w:rPr>
          <w:vertAlign w:val="superscript"/>
        </w:rPr>
        <w:t xml:space="preserve">[</w:t>
      </w:r>
      <w:hyperlink w:anchor="ref-56">
        <w:r>
          <w:rPr>
            <w:rStyle w:val="Hyperlink"/>
            <w:vertAlign w:val="superscript"/>
          </w:rPr>
          <w:t xml:space="preserve">56</w:t>
        </w:r>
      </w:hyperlink>
      <w:r>
        <w:rPr>
          <w:vertAlign w:val="superscript"/>
        </w:rPr>
        <w:t xml:space="preserve">,</w:t>
      </w:r>
      <w:hyperlink w:anchor="ref-67">
        <w:r>
          <w:rPr>
            <w:rStyle w:val="Hyperlink"/>
            <w:vertAlign w:val="superscript"/>
          </w:rPr>
          <w:t xml:space="preserve">67</w:t>
        </w:r>
      </w:hyperlink>
      <w:r>
        <w:rPr>
          <w:vertAlign w:val="superscript"/>
        </w:rPr>
        <w:t xml:space="preserve">]</w:t>
      </w:r>
      <w:r>
        <w:t xml:space="preserve">。</w:t>
      </w:r>
    </w:p>
    <w:p>
      <w:pPr>
        <w:pStyle w:val="BodyText"/>
      </w:pPr>
      <w:r>
        <w:t xml:space="preserve">以一般性回路推导为例，如果某受体降低抑制细胞活动，其靶细胞可能获得去抑制；若同一受体在兴奋细胞中降低活动，网络输出可能下降。配体和受体名称相同，结果却受细胞身份影响。这说明单分子标签不足以替代连接图。</w:t>
      </w:r>
    </w:p>
    <w:p>
      <w:pPr>
        <w:pStyle w:val="BodyText"/>
      </w:pPr>
      <w:r>
        <w:t xml:space="preserve">受体的亚细胞位置也很重要。位于树突远端的调节可能改变特定输入区室，位于轴突起始段的调节可能更直接影响输出阈值。研究中测得一个脑区总受体表达升高，仍不能知道这些受体被增加到哪些细胞和区室。</w:t>
      </w:r>
    </w:p>
    <w:bookmarkEnd w:id="170"/>
    <w:bookmarkStart w:id="171" w:name="sec-8-17"/>
    <w:p>
      <w:pPr>
        <w:pStyle w:val="Heading3"/>
      </w:pPr>
      <w:r>
        <w:t xml:space="preserve">8.17　信号时序决定网络怎样读取化学变化</w:t>
      </w:r>
    </w:p>
    <w:p>
      <w:pPr>
        <w:pStyle w:val="FirstParagraph"/>
      </w:pPr>
      <w:r>
        <w:t xml:space="preserve">一个短暂浓度峰、持续平台和间歇脉冲，即使总暴露面积相同，也可以产生不同受体占有、脱敏和第二信使轨迹。结合与解离、酶催化和蛋白转运各有时间尺度，细胞因此能够对信号的时间形式敏感。</w:t>
      </w:r>
    </w:p>
    <w:p>
      <w:pPr>
        <w:pStyle w:val="BodyText"/>
      </w:pPr>
      <w:r>
        <w:t xml:space="preserve">可以把这一点写成一个条件推导：若受体恢复速度慢于脉冲间隔，后续脉冲可能面对尚未恢复的系统；若下游信使清除较慢，多个脉冲的效应可能累积。若负反馈在持续刺激时逐渐增强，间歇刺激和连续刺激又可能分离。具体哪一种发生，需要测定相应速率。</w:t>
      </w:r>
    </w:p>
    <w:p>
      <w:pPr>
        <w:pStyle w:val="BodyText"/>
      </w:pPr>
      <w:r>
        <w:t xml:space="preserve">这也解释了为什么单次终点检测可能错过重要过程。两组在最后一个时间点具有相同浓度，之前的峰值、适应和恢复可以不同。对机制有意义的时间采样，应围绕所研究的分子与细胞过程安排；统一采用一个方便的检测时刻，容易错过关键阶段。</w:t>
      </w:r>
    </w:p>
    <w:bookmarkEnd w:id="171"/>
    <w:bookmarkStart w:id="173" w:name="sec-8-18"/>
    <w:p>
      <w:pPr>
        <w:pStyle w:val="Heading3"/>
      </w:pPr>
      <w:r>
        <w:t xml:space="preserve">8.18　信号机制与持续时间的比较</w:t>
      </w:r>
    </w:p>
    <w:p>
      <w:pPr>
        <w:pStyle w:val="FirstParagraph"/>
      </w:pPr>
      <w:r>
        <w:t xml:space="preserve">下表的时间描述是相对关系。配体浓度、温度、亚细胞位置和反馈都能改变实际时程，不能将某类受体指定为一个固定秒数。</w:t>
      </w:r>
    </w:p>
    <w:p>
      <w:pPr>
        <w:pStyle w:val="TableCaption"/>
      </w:pPr>
      <w:bookmarkStart w:id="172" w:name="tab-receptor-time"/>
      <w:bookmarkEnd w:id="172"/>
      <w:r>
        <w:rPr>
          <w:bCs/>
          <w:b/>
        </w:rPr>
        <w:t xml:space="preserve">表 4　受体信号机制的时间尺度</w:t>
      </w:r>
    </w:p>
    <w:tbl>
      <w:tblPr>
        <w:tblStyle w:val="Table"/>
        <w:tblW w:type="pct" w:w="5000"/>
        <w:jc w:val="start"/>
        <w:tblLook w:firstRow="1" w:lastRow="0" w:firstColumn="0" w:lastColumn="0" w:noHBand="0" w:noVBand="0" w:val="0020"/>
      </w:tblPr>
      <w:tblGrid>
        <w:gridCol w:w="1108"/>
        <w:gridCol w:w="2534"/>
        <w:gridCol w:w="4276"/>
      </w:tblGrid>
      <w:tr>
        <w:trPr>
          <w:tblHeader w:val="true"/>
        </w:trPr>
        <w:tc>
          <w:tcPr>
            <w:shd w:val="clear" w:color="auto" w:fill="1F3A5F"/>
          </w:tcPr>
          <w:p>
            <w:pPr>
              <w:pStyle w:val="Compact"/>
              <w:jc w:val="left"/>
            </w:pPr>
            <w:r>
              <w:rPr>
                <w:bCs/>
                <w:b/>
                <w:color w:val="FFFFFF"/>
              </w:rPr>
              <w:t xml:space="preserve">机制</w:t>
            </w:r>
          </w:p>
        </w:tc>
        <w:tc>
          <w:tcPr>
            <w:shd w:val="clear" w:color="auto" w:fill="1F3A5F"/>
          </w:tcPr>
          <w:p>
            <w:pPr>
              <w:pStyle w:val="Compact"/>
              <w:jc w:val="left"/>
            </w:pPr>
            <w:r>
              <w:rPr>
                <w:bCs/>
                <w:b/>
                <w:color w:val="FFFFFF"/>
              </w:rPr>
              <w:t xml:space="preserve">主要控制环节</w:t>
            </w:r>
          </w:p>
        </w:tc>
        <w:tc>
          <w:tcPr>
            <w:shd w:val="clear" w:color="auto" w:fill="1F3A5F"/>
          </w:tcPr>
          <w:p>
            <w:pPr>
              <w:pStyle w:val="Compact"/>
              <w:jc w:val="left"/>
            </w:pPr>
            <w:r>
              <w:rPr>
                <w:bCs/>
                <w:b/>
                <w:color w:val="FFFFFF"/>
              </w:rPr>
              <w:t xml:space="preserve">时间解释需要保留的因素</w:t>
            </w:r>
          </w:p>
        </w:tc>
      </w:tr>
      <w:tr>
        <w:tc>
          <w:tcPr/>
          <w:p>
            <w:pPr>
              <w:pStyle w:val="Compact"/>
              <w:jc w:val="left"/>
            </w:pPr>
            <w:r>
              <w:t xml:space="preserve">离子型受体</w:t>
            </w:r>
          </w:p>
        </w:tc>
        <w:tc>
          <w:tcPr/>
          <w:p>
            <w:pPr>
              <w:pStyle w:val="Compact"/>
              <w:jc w:val="left"/>
            </w:pPr>
            <w:r>
              <w:t xml:space="preserve">配体结合直接影响通道门控</w:t>
            </w:r>
          </w:p>
        </w:tc>
        <w:tc>
          <w:tcPr/>
          <w:p>
            <w:pPr>
              <w:pStyle w:val="Compact"/>
              <w:jc w:val="left"/>
            </w:pPr>
            <w:r>
              <w:t xml:space="preserve">门控快速，但脱敏与配体清除可延长或缩短响应</w:t>
            </w:r>
            <w:r>
              <w:rPr>
                <w:vertAlign w:val="superscript"/>
              </w:rPr>
              <w:t xml:space="preserve">[</w:t>
            </w:r>
            <w:hyperlink w:anchor="ref-56">
              <w:r>
                <w:rPr>
                  <w:rStyle w:val="Hyperlink"/>
                  <w:vertAlign w:val="superscript"/>
                </w:rPr>
                <w:t xml:space="preserve">56</w:t>
              </w:r>
            </w:hyperlink>
            <w:r>
              <w:rPr>
                <w:vertAlign w:val="superscript"/>
              </w:rPr>
              <w:t xml:space="preserve">]</w:t>
            </w:r>
          </w:p>
        </w:tc>
      </w:tr>
      <w:tr>
        <w:tc>
          <w:tcPr/>
          <w:p>
            <w:pPr>
              <w:pStyle w:val="Compact"/>
              <w:jc w:val="left"/>
            </w:pPr>
            <w:r>
              <w:t xml:space="preserve">G蛋白偶联受体</w:t>
            </w:r>
          </w:p>
        </w:tc>
        <w:tc>
          <w:tcPr/>
          <w:p>
            <w:pPr>
              <w:pStyle w:val="Compact"/>
              <w:jc w:val="left"/>
            </w:pPr>
            <w:r>
              <w:t xml:space="preserve">G蛋白及效应器改变电流或第二信使</w:t>
            </w:r>
          </w:p>
        </w:tc>
        <w:tc>
          <w:tcPr/>
          <w:p>
            <w:pPr>
              <w:pStyle w:val="Compact"/>
              <w:jc w:val="left"/>
            </w:pPr>
            <w:r>
              <w:t xml:space="preserve">分支、扩散与终止共同决定持续时间</w:t>
            </w:r>
            <w:r>
              <w:rPr>
                <w:vertAlign w:val="superscript"/>
              </w:rPr>
              <w:t xml:space="preserve">[</w:t>
            </w:r>
            <w:hyperlink w:anchor="ref-63">
              <w:r>
                <w:rPr>
                  <w:rStyle w:val="Hyperlink"/>
                  <w:vertAlign w:val="superscript"/>
                </w:rPr>
                <w:t xml:space="preserve">63</w:t>
              </w:r>
            </w:hyperlink>
            <w:r>
              <w:rPr>
                <w:vertAlign w:val="superscript"/>
              </w:rPr>
              <w:t xml:space="preserve">,</w:t>
            </w:r>
            <w:hyperlink w:anchor="ref-67">
              <w:r>
                <w:rPr>
                  <w:rStyle w:val="Hyperlink"/>
                  <w:vertAlign w:val="superscript"/>
                </w:rPr>
                <w:t xml:space="preserve">67</w:t>
              </w:r>
            </w:hyperlink>
            <w:r>
              <w:rPr>
                <w:vertAlign w:val="superscript"/>
              </w:rPr>
              <w:t xml:space="preserve">]</w:t>
            </w:r>
          </w:p>
        </w:tc>
      </w:tr>
      <w:tr>
        <w:tc>
          <w:tcPr/>
          <w:p>
            <w:pPr>
              <w:pStyle w:val="Compact"/>
              <w:jc w:val="left"/>
            </w:pPr>
            <w:r>
              <w:t xml:space="preserve">蛋白磷酸化</w:t>
            </w:r>
          </w:p>
        </w:tc>
        <w:tc>
          <w:tcPr/>
          <w:p>
            <w:pPr>
              <w:pStyle w:val="Compact"/>
              <w:jc w:val="left"/>
            </w:pPr>
            <w:r>
              <w:t xml:space="preserve">激酶与磷酸酶调节靶蛋白状态</w:t>
            </w:r>
          </w:p>
        </w:tc>
        <w:tc>
          <w:tcPr/>
          <w:p>
            <w:pPr>
              <w:pStyle w:val="Compact"/>
              <w:jc w:val="left"/>
            </w:pPr>
            <w:r>
              <w:t xml:space="preserve">同一底物可在不同区室具有不同恢复速度</w:t>
            </w:r>
            <w:r>
              <w:rPr>
                <w:vertAlign w:val="superscript"/>
              </w:rPr>
              <w:t xml:space="preserve">[</w:t>
            </w:r>
            <w:hyperlink w:anchor="ref-67">
              <w:r>
                <w:rPr>
                  <w:rStyle w:val="Hyperlink"/>
                  <w:vertAlign w:val="superscript"/>
                </w:rPr>
                <w:t xml:space="preserve">67</w:t>
              </w:r>
            </w:hyperlink>
            <w:r>
              <w:rPr>
                <w:vertAlign w:val="superscript"/>
              </w:rPr>
              <w:t xml:space="preserve">]</w:t>
            </w:r>
          </w:p>
        </w:tc>
      </w:tr>
      <w:tr>
        <w:tc>
          <w:tcPr/>
          <w:p>
            <w:pPr>
              <w:pStyle w:val="Compact"/>
              <w:jc w:val="left"/>
            </w:pPr>
            <w:r>
              <w:t xml:space="preserve">受体内吞</w:t>
            </w:r>
          </w:p>
        </w:tc>
        <w:tc>
          <w:tcPr/>
          <w:p>
            <w:pPr>
              <w:pStyle w:val="Compact"/>
              <w:jc w:val="left"/>
            </w:pPr>
            <w:r>
              <w:t xml:space="preserve">膜表面受体数量与信号位置发生改变</w:t>
            </w:r>
          </w:p>
        </w:tc>
        <w:tc>
          <w:tcPr/>
          <w:p>
            <w:pPr>
              <w:pStyle w:val="Compact"/>
              <w:jc w:val="left"/>
            </w:pPr>
            <w:r>
              <w:t xml:space="preserve">内吞后仍可能存在信号，并可再循环</w:t>
            </w:r>
            <w:r>
              <w:rPr>
                <w:vertAlign w:val="superscript"/>
              </w:rPr>
              <w:t xml:space="preserve">[</w:t>
            </w:r>
            <w:hyperlink w:anchor="ref-68">
              <w:r>
                <w:rPr>
                  <w:rStyle w:val="Hyperlink"/>
                  <w:vertAlign w:val="superscript"/>
                </w:rPr>
                <w:t xml:space="preserve">68</w:t>
              </w:r>
            </w:hyperlink>
            <w:r>
              <w:rPr>
                <w:vertAlign w:val="superscript"/>
              </w:rPr>
              <w:t xml:space="preserve">]</w:t>
            </w:r>
          </w:p>
        </w:tc>
      </w:tr>
      <w:tr>
        <w:tc>
          <w:tcPr/>
          <w:p>
            <w:pPr>
              <w:pStyle w:val="Compact"/>
              <w:jc w:val="left"/>
            </w:pPr>
            <w:r>
              <w:t xml:space="preserve">内源性大麻素</w:t>
            </w:r>
          </w:p>
        </w:tc>
        <w:tc>
          <w:tcPr/>
          <w:p>
            <w:pPr>
              <w:pStyle w:val="Compact"/>
              <w:jc w:val="left"/>
            </w:pPr>
            <w:r>
              <w:t xml:space="preserve">局部合成并通过受体调节突触</w:t>
            </w:r>
          </w:p>
        </w:tc>
        <w:tc>
          <w:tcPr/>
          <w:p>
            <w:pPr>
              <w:pStyle w:val="Compact"/>
              <w:jc w:val="left"/>
            </w:pPr>
            <w:r>
              <w:t xml:space="preserve">降解、扩散及释放条件限制作用范围</w:t>
            </w:r>
            <w:r>
              <w:rPr>
                <w:vertAlign w:val="superscript"/>
              </w:rPr>
              <w:t xml:space="preserve">[</w:t>
            </w:r>
            <w:hyperlink w:anchor="ref-69">
              <w:r>
                <w:rPr>
                  <w:rStyle w:val="Hyperlink"/>
                  <w:vertAlign w:val="superscript"/>
                </w:rPr>
                <w:t xml:space="preserve">69</w:t>
              </w:r>
            </w:hyperlink>
            <w:r>
              <w:rPr>
                <w:vertAlign w:val="superscript"/>
              </w:rPr>
              <w:t xml:space="preserve">]</w:t>
            </w:r>
          </w:p>
        </w:tc>
      </w:tr>
      <w:tr>
        <w:tc>
          <w:tcPr/>
          <w:p>
            <w:pPr>
              <w:pStyle w:val="Compact"/>
              <w:jc w:val="left"/>
            </w:pPr>
            <w:r>
              <w:t xml:space="preserve">一氧化氮</w:t>
            </w:r>
          </w:p>
        </w:tc>
        <w:tc>
          <w:tcPr/>
          <w:p>
            <w:pPr>
              <w:pStyle w:val="Compact"/>
              <w:jc w:val="left"/>
            </w:pPr>
            <w:r>
              <w:t xml:space="preserve">扩散分子影响邻近细胞效应器</w:t>
            </w:r>
          </w:p>
        </w:tc>
        <w:tc>
          <w:tcPr/>
          <w:p>
            <w:pPr>
              <w:pStyle w:val="Compact"/>
              <w:jc w:val="left"/>
            </w:pPr>
            <w:r>
              <w:t xml:space="preserve">合成、失活、扩散及空间几何共同约束</w:t>
            </w:r>
            <w:r>
              <w:rPr>
                <w:vertAlign w:val="superscript"/>
              </w:rPr>
              <w:t xml:space="preserve">[</w:t>
            </w:r>
            <w:hyperlink w:anchor="ref-70">
              <w:r>
                <w:rPr>
                  <w:rStyle w:val="Hyperlink"/>
                  <w:vertAlign w:val="superscript"/>
                </w:rPr>
                <w:t xml:space="preserve">70</w:t>
              </w:r>
            </w:hyperlink>
            <w:r>
              <w:rPr>
                <w:vertAlign w:val="superscript"/>
              </w:rPr>
              <w:t xml:space="preserve">]</w:t>
            </w:r>
          </w:p>
        </w:tc>
      </w:tr>
      <w:tr>
        <w:tc>
          <w:tcPr/>
          <w:p>
            <w:pPr>
              <w:pStyle w:val="Compact"/>
              <w:jc w:val="left"/>
            </w:pPr>
            <w:r>
              <w:t xml:space="preserve">转录相关效应</w:t>
            </w:r>
          </w:p>
        </w:tc>
        <w:tc>
          <w:tcPr/>
          <w:p>
            <w:pPr>
              <w:pStyle w:val="Compact"/>
              <w:jc w:val="left"/>
            </w:pPr>
            <w:r>
              <w:t xml:space="preserve">信号改变RNA及蛋白合成</w:t>
            </w:r>
          </w:p>
        </w:tc>
        <w:tc>
          <w:tcPr/>
          <w:p>
            <w:pPr>
              <w:pStyle w:val="Compact"/>
              <w:jc w:val="left"/>
            </w:pPr>
            <w:r>
              <w:t xml:space="preserve">可在配体下降后继续影响细胞状态</w:t>
            </w:r>
            <w:r>
              <w:rPr>
                <w:vertAlign w:val="superscript"/>
              </w:rPr>
              <w:t xml:space="preserve">[</w:t>
            </w:r>
            <w:hyperlink w:anchor="ref-67">
              <w:r>
                <w:rPr>
                  <w:rStyle w:val="Hyperlink"/>
                  <w:vertAlign w:val="superscript"/>
                </w:rPr>
                <w:t xml:space="preserve">67</w:t>
              </w:r>
            </w:hyperlink>
            <w:r>
              <w:rPr>
                <w:vertAlign w:val="superscript"/>
              </w:rPr>
              <w:t xml:space="preserve">]</w:t>
            </w:r>
          </w:p>
        </w:tc>
      </w:tr>
    </w:tbl>
    <w:bookmarkEnd w:id="173"/>
    <w:bookmarkStart w:id="174" w:name="sec-8-19"/>
    <w:p>
      <w:pPr>
        <w:pStyle w:val="Heading3"/>
      </w:pPr>
      <w:r>
        <w:t xml:space="preserve">8.19　从分子药效到临床结果的层级</w:t>
      </w:r>
    </w:p>
    <w:p>
      <w:pPr>
        <w:pStyle w:val="FirstParagraph"/>
      </w:pPr>
      <w:r>
        <w:t xml:space="preserve">药物结合靶点、改变细胞信号、影响回路活动和改善临床结局，是连续但可以分别失败的环节。进入脑内并占有受体只能证明一部分靶点接触；它无法保证特定症状得到改善。反过来，临床有效也不要求我们已经完整知道全部下游机制。</w:t>
      </w:r>
    </w:p>
    <w:p>
      <w:pPr>
        <w:pStyle w:val="BodyText"/>
      </w:pPr>
      <w:r>
        <w:t xml:space="preserve">高置信度基础包括质量作用关系下的受体占有、受体信号的系统依赖、效价与效能的区分，以及多种反馈和区室化机制的存在。对某个新分子的临床优势，需要直接的人体证据。体外曲线更漂亮、受体选择性更高或某个信号分支更强，都属于有待转化验证的线索。</w:t>
      </w:r>
    </w:p>
    <w:p>
      <w:pPr>
        <w:pStyle w:val="BodyText"/>
      </w:pPr>
      <w:r>
        <w:t xml:space="preserve">学习药效学时，最有用的习惯是始终给每句话补齐对象和条件：什么游离浓度，在什么细胞，作用于什么受体状态，经过什么效应器，在多长时间内改变什么终点。条件完整后，复杂结果通常会比单一递质标签更容易理解。</w:t>
      </w:r>
    </w:p>
    <w:bookmarkEnd w:id="174"/>
    <w:bookmarkEnd w:id="175"/>
    <w:bookmarkStart w:id="194" w:name="ch-9"/>
    <w:p>
      <w:pPr>
        <w:pStyle w:val="Heading2"/>
      </w:pPr>
      <w:r>
        <w:t xml:space="preserve">第9章　神经药物的暴露、分布与生物适应</w:t>
      </w:r>
    </w:p>
    <w:bookmarkStart w:id="176" w:name="sec-9-1"/>
    <w:p>
      <w:pPr>
        <w:pStyle w:val="Heading3"/>
      </w:pPr>
      <w:r>
        <w:t xml:space="preserve">9.1　药物作用需要跨越连续的生物环节</w:t>
      </w:r>
    </w:p>
    <w:p>
      <w:pPr>
        <w:pStyle w:val="FirstParagraph"/>
      </w:pPr>
      <w:r>
        <w:t xml:space="preserve">神经药理学需要同时解释药物如何到达目标，以及目标改变之后发生什么。一次给药首先经历释放、吸收和分布，部分分子被代谢或排出，能够接近目标的部分再与受体、酶、转运体或核酸相互作用。细胞信号随后进入局部回路、身体调节和行为过程。每个环节都有自己的时间尺度，因此血中出现药物与临床结局出现之间可以相隔多个步骤</w:t>
      </w:r>
      <w:r>
        <w:rPr>
          <w:vertAlign w:val="superscript"/>
        </w:rPr>
        <w:t xml:space="preserve">[</w:t>
      </w:r>
      <w:hyperlink w:anchor="ref-65">
        <w:r>
          <w:rPr>
            <w:rStyle w:val="Hyperlink"/>
            <w:vertAlign w:val="superscript"/>
          </w:rPr>
          <w:t xml:space="preserve">65</w:t>
        </w:r>
      </w:hyperlink>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p>
      <w:pPr>
        <w:pStyle w:val="BodyText"/>
      </w:pPr>
      <w:r>
        <w:t xml:space="preserve">这种连续性有助于定位失败原因。一个候选分子在培养细胞中有效，可能在体内难以达到目标；一个分子能够进入脑，却可能主要停留在不相关区室；靶点受到改变之后，也可能被回路补偿。只有明确实际被改变的环节，才能判断结果对机制意味着什么。</w:t>
      </w:r>
    </w:p>
    <w:bookmarkEnd w:id="176"/>
    <w:bookmarkStart w:id="177" w:name="sec-9-2"/>
    <w:p>
      <w:pPr>
        <w:pStyle w:val="Heading3"/>
      </w:pPr>
      <w:r>
        <w:t xml:space="preserve">9.2　吸收和首过过程决定进入循环的比例</w:t>
      </w:r>
    </w:p>
    <w:p>
      <w:pPr>
        <w:pStyle w:val="FirstParagraph"/>
      </w:pPr>
      <w:r>
        <w:t xml:space="preserve">口服药物需要从制剂中释放并跨过胃肠环境。溶解度、化学稳定性、胃肠转运和膜通透性共同影响进入门静脉的量。肠壁和肝脏还可在药物进入全身循环前进行代谢。给入的总量与实际循环暴露之间因此具有明确区别，制剂改变也可能改变时间曲线</w:t>
      </w:r>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p>
      <w:pPr>
        <w:pStyle w:val="BodyText"/>
      </w:pPr>
      <w:r>
        <w:t xml:space="preserve">峰值高低、达到峰值的时间和总暴露是不同属性。两种递送方式可以形成相近的总暴露，同时具有不同峰谷；某些效应更依赖峰值，另一些效应需要维持较长时间的作用。判断递送方式时，应先明确目标机制对时间的要求。</w:t>
      </w:r>
    </w:p>
    <w:p>
      <w:pPr>
        <w:pStyle w:val="BodyText"/>
      </w:pPr>
      <w:r>
        <w:t xml:space="preserve">这是一个一般推导：若效应取决于短时超过某作用阈值，平滑而较低的曲线可能与尖锐高峰不同；若效应取决于缓慢的基因调节，短暂高峰又可能不足。具体药物的有效阈值和安全边界需要实验确定，本章的推导不能用于自行选择用药方案。</w:t>
      </w:r>
    </w:p>
    <w:bookmarkEnd w:id="177"/>
    <w:bookmarkStart w:id="178" w:name="sec-9-3"/>
    <w:p>
      <w:pPr>
        <w:pStyle w:val="Heading3"/>
      </w:pPr>
      <w:r>
        <w:t xml:space="preserve">9.3　游离浓度与总浓度回答不同问题</w:t>
      </w:r>
    </w:p>
    <w:p>
      <w:pPr>
        <w:pStyle w:val="FirstParagraph"/>
      </w:pPr>
      <w:r>
        <w:t xml:space="preserve">血液中的药物可以与蛋白结合，组织内还可与脂质、蛋白和细胞器结合。总浓度把这些部分一起计入，游离浓度则描述未被相应结合过程占据的部分。对于许多可逆靶点作用，目标附近的游离药物浓度更接近直接决定因素；对细胞内或膜内靶点，还需说明所指区室</w:t>
      </w:r>
      <w:r>
        <w:rPr>
          <w:vertAlign w:val="superscript"/>
        </w:rPr>
        <w:t xml:space="preserve">[</w:t>
      </w:r>
      <w:hyperlink w:anchor="ref-72">
        <w:r>
          <w:rPr>
            <w:rStyle w:val="Hyperlink"/>
            <w:vertAlign w:val="superscript"/>
          </w:rPr>
          <w:t xml:space="preserve">72</w:t>
        </w:r>
      </w:hyperlink>
      <w:r>
        <w:rPr>
          <w:vertAlign w:val="superscript"/>
        </w:rPr>
        <w:t xml:space="preserve">]</w:t>
      </w:r>
      <w:r>
        <w:t xml:space="preserve">。</w:t>
      </w:r>
    </w:p>
    <w:p>
      <w:pPr>
        <w:pStyle w:val="BodyText"/>
      </w:pPr>
      <w:r>
        <w:t xml:space="preserve">脑组织总浓度很高，可以来自大量非特异结合，并不保证脑间质或靶点附近的可用浓度同样高。相反，较低总量的药物若有效到达适当区室，也可能产生作用。药物发现中应分别考虑进入速度、稳态分布与脑内结合，避免用单个脑血总浓度比概括全部输送能力。</w:t>
      </w:r>
    </w:p>
    <w:p>
      <w:pPr>
        <w:pStyle w:val="BodyText"/>
      </w:pPr>
      <w:r>
        <w:t xml:space="preserve">可以设想两种教学用化合物具有相同脑总量，甲多数结合在不相关膜结构，乙在目标附近具有更高游离比例。在其他条件相同的假设下，乙可能具有更强的靶点作用。这个例子说明分析样本的总量与细胞实际接触的有效量之间需要建立联系。</w:t>
      </w:r>
    </w:p>
    <w:bookmarkEnd w:id="178"/>
    <w:bookmarkStart w:id="180" w:name="sec-9-4"/>
    <w:p>
      <w:pPr>
        <w:pStyle w:val="Heading3"/>
      </w:pPr>
      <w:r>
        <w:t xml:space="preserve">9.4　清除和分布参数具有明确维度</w:t>
      </w:r>
    </w:p>
    <w:p>
      <w:pPr>
        <w:pStyle w:val="FirstParagraph"/>
      </w:pPr>
      <w:r>
        <w:t xml:space="preserve">清除率描述单位时间内相当于有多少体积的参考液体被清除药物，常用体积除以时间表示。表观分布容积把体内药量与参考浓度联系起来，它是模型参数，可以大于真实身体液体容积。较大的数值通常提示药物相对于血浆更多分布或结合在组织中，不能把它解释成身体多出了相同体积的空间</w:t>
      </w:r>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p>
      <w:pPr>
        <w:pStyle w:val="BodyText"/>
      </w:pPr>
      <w:r>
        <w:t xml:space="preserve">在单室、线性、一级消除且参数稳定的理想模型中，消除速率常数k等于清除率CL除以分布容积V；消除半衰期等于ln 2除以k，也可写为ln 2乘以V再除以CL。这个关系说明，半衰期同时受清除与分布影响。只有在相应模型条件成立时，才能从一个参数变化推导另一个参数。</w:t>
      </w:r>
    </w:p>
    <w:p>
      <w:pPr>
        <w:pStyle w:val="BodyText"/>
      </w:pPr>
      <w:r>
        <w:t xml:space="preserve">在同样的线性假设下，单次给药的浓度时间曲线下面积与进入循环的药量成正比，与清除率成反比。若吸收比例、代谢饱和或清除随时间变化，简单比例关系便需要修订。多室分布还会产生早期分布相和较慢终末相，不同阶段的下降速度具有不同含义。</w:t>
      </w:r>
    </w:p>
    <w:p>
      <w:pPr>
        <w:pStyle w:val="TableCaption"/>
      </w:pPr>
      <w:bookmarkStart w:id="179" w:name="tab-pk"/>
      <w:bookmarkEnd w:id="179"/>
      <w:r>
        <w:rPr>
          <w:bCs/>
          <w:b/>
        </w:rPr>
        <w:t xml:space="preserve">表 5　药代动力学参数的含义与解释条件</w:t>
      </w:r>
    </w:p>
    <w:tbl>
      <w:tblPr>
        <w:tblStyle w:val="Table"/>
        <w:tblW w:type="pct" w:w="5000"/>
        <w:jc w:val="start"/>
        <w:tblLook w:firstRow="1" w:lastRow="0" w:firstColumn="0" w:lastColumn="0" w:noHBand="0" w:noVBand="0" w:val="0020"/>
      </w:tblPr>
      <w:tblGrid>
        <w:gridCol w:w="1319"/>
        <w:gridCol w:w="3300"/>
        <w:gridCol w:w="3300"/>
      </w:tblGrid>
      <w:tr>
        <w:trPr>
          <w:tblHeader w:val="true"/>
        </w:trPr>
        <w:tc>
          <w:tcPr>
            <w:shd w:val="clear" w:color="auto" w:fill="1F3A5F"/>
          </w:tcPr>
          <w:p>
            <w:pPr>
              <w:jc w:val="left"/>
            </w:pPr>
            <w:r>
              <w:rPr>
                <w:bCs/>
                <w:b/>
                <w:color w:val="FFFFFF"/>
              </w:rPr>
              <w:t xml:space="preserve">参数或观测</w:t>
            </w:r>
          </w:p>
        </w:tc>
        <w:tc>
          <w:tcPr>
            <w:shd w:val="clear" w:color="auto" w:fill="1F3A5F"/>
          </w:tcPr>
          <w:p>
            <w:pPr>
              <w:jc w:val="left"/>
            </w:pPr>
            <w:r>
              <w:rPr>
                <w:bCs/>
                <w:b/>
                <w:color w:val="FFFFFF"/>
              </w:rPr>
              <w:t xml:space="preserve">主要描述</w:t>
            </w:r>
          </w:p>
        </w:tc>
        <w:tc>
          <w:tcPr>
            <w:shd w:val="clear" w:color="auto" w:fill="1F3A5F"/>
          </w:tcPr>
          <w:p>
            <w:pPr>
              <w:jc w:val="left"/>
            </w:pPr>
            <w:r>
              <w:rPr>
                <w:bCs/>
                <w:b/>
                <w:color w:val="FFFFFF"/>
              </w:rPr>
              <w:t xml:space="preserve">需要保留的解释条件</w:t>
            </w:r>
          </w:p>
        </w:tc>
      </w:tr>
      <w:tr>
        <w:tc>
          <w:tcPr/>
          <w:p>
            <w:pPr>
              <w:jc w:val="left"/>
            </w:pPr>
            <w:r>
              <w:t xml:space="preserve">给药量</w:t>
            </w:r>
          </w:p>
        </w:tc>
        <w:tc>
          <w:tcPr/>
          <w:p>
            <w:pPr>
              <w:jc w:val="left"/>
            </w:pPr>
            <w:r>
              <w:t xml:space="preserve">进入递送系统的分子总量</w:t>
            </w:r>
          </w:p>
        </w:tc>
        <w:tc>
          <w:tcPr/>
          <w:p>
            <w:pPr>
              <w:jc w:val="left"/>
            </w:pPr>
            <w:r>
              <w:t xml:space="preserve">实际吸收比例仍需确定</w:t>
            </w:r>
          </w:p>
        </w:tc>
      </w:tr>
      <w:tr>
        <w:tc>
          <w:tcPr/>
          <w:p>
            <w:pPr>
              <w:jc w:val="left"/>
            </w:pPr>
            <w:r>
              <w:t xml:space="preserve">峰浓度</w:t>
            </w:r>
          </w:p>
        </w:tc>
        <w:tc>
          <w:tcPr/>
          <w:p>
            <w:pPr>
              <w:jc w:val="left"/>
            </w:pPr>
            <w:r>
              <w:t xml:space="preserve">参考样本中的最高观测或估计浓度</w:t>
            </w:r>
          </w:p>
        </w:tc>
        <w:tc>
          <w:tcPr/>
          <w:p>
            <w:pPr>
              <w:jc w:val="left"/>
            </w:pPr>
            <w:r>
              <w:t xml:space="preserve">受采样间隔和吸收过程影响</w:t>
            </w:r>
          </w:p>
        </w:tc>
      </w:tr>
      <w:tr>
        <w:tc>
          <w:tcPr/>
          <w:p>
            <w:pPr>
              <w:jc w:val="left"/>
            </w:pPr>
            <w:r>
              <w:t xml:space="preserve">曲线下面积</w:t>
            </w:r>
          </w:p>
        </w:tc>
        <w:tc>
          <w:tcPr/>
          <w:p>
            <w:pPr>
              <w:jc w:val="left"/>
            </w:pPr>
            <w:r>
              <w:t xml:space="preserve">指定时段的参考浓度累积</w:t>
            </w:r>
          </w:p>
        </w:tc>
        <w:tc>
          <w:tcPr/>
          <w:p>
            <w:pPr>
              <w:jc w:val="left"/>
            </w:pPr>
            <w:r>
              <w:t xml:space="preserve">与局部靶点暴露仍有区室差异</w:t>
            </w:r>
          </w:p>
        </w:tc>
      </w:tr>
      <w:tr>
        <w:tc>
          <w:tcPr/>
          <w:p>
            <w:pPr>
              <w:jc w:val="left"/>
            </w:pPr>
            <w:r>
              <w:t xml:space="preserve">清除率</w:t>
            </w:r>
          </w:p>
        </w:tc>
        <w:tc>
          <w:tcPr/>
          <w:p>
            <w:pPr>
              <w:jc w:val="left"/>
            </w:pPr>
            <w:r>
              <w:t xml:space="preserve">参考体积中的等效清除能力</w:t>
            </w:r>
          </w:p>
        </w:tc>
        <w:tc>
          <w:tcPr/>
          <w:p>
            <w:pPr>
              <w:jc w:val="left"/>
            </w:pPr>
            <w:r>
              <w:t xml:space="preserve">不能直接等同于排出质量</w:t>
            </w:r>
          </w:p>
        </w:tc>
      </w:tr>
      <w:tr>
        <w:tc>
          <w:tcPr/>
          <w:p>
            <w:pPr>
              <w:jc w:val="left"/>
            </w:pPr>
            <w:r>
              <w:t xml:space="preserve">表观分布容积</w:t>
            </w:r>
          </w:p>
        </w:tc>
        <w:tc>
          <w:tcPr/>
          <w:p>
            <w:pPr>
              <w:jc w:val="left"/>
            </w:pPr>
            <w:r>
              <w:t xml:space="preserve">药量与参考浓度之比</w:t>
            </w:r>
          </w:p>
        </w:tc>
        <w:tc>
          <w:tcPr/>
          <w:p>
            <w:pPr>
              <w:jc w:val="left"/>
            </w:pPr>
            <w:r>
              <w:t xml:space="preserve">具有模型性质</w:t>
            </w:r>
          </w:p>
        </w:tc>
      </w:tr>
      <w:tr>
        <w:tc>
          <w:tcPr/>
          <w:p>
            <w:pPr>
              <w:jc w:val="left"/>
            </w:pPr>
            <w:r>
              <w:t xml:space="preserve">消除半衰期</w:t>
            </w:r>
          </w:p>
        </w:tc>
        <w:tc>
          <w:tcPr/>
          <w:p>
            <w:pPr>
              <w:jc w:val="left"/>
            </w:pPr>
            <w:r>
              <w:t xml:space="preserve">指定下降阶段减半所需时间</w:t>
            </w:r>
          </w:p>
        </w:tc>
        <w:tc>
          <w:tcPr/>
          <w:p>
            <w:pPr>
              <w:jc w:val="left"/>
            </w:pPr>
            <w:r>
              <w:t xml:space="preserve">多室与非线性过程可有不同半衰期</w:t>
            </w:r>
          </w:p>
        </w:tc>
      </w:tr>
      <w:tr>
        <w:tc>
          <w:tcPr/>
          <w:p>
            <w:pPr>
              <w:jc w:val="left"/>
            </w:pPr>
            <w:r>
              <w:t xml:space="preserve">靶点占有率</w:t>
            </w:r>
          </w:p>
        </w:tc>
        <w:tc>
          <w:tcPr/>
          <w:p>
            <w:pPr>
              <w:jc w:val="left"/>
            </w:pPr>
            <w:r>
              <w:t xml:space="preserve">可测靶点中被药物占据的比例</w:t>
            </w:r>
          </w:p>
        </w:tc>
        <w:tc>
          <w:tcPr/>
          <w:p>
            <w:pPr>
              <w:jc w:val="left"/>
            </w:pPr>
            <w:r>
              <w:t xml:space="preserve">不独立代表临床效应大小</w:t>
            </w:r>
          </w:p>
        </w:tc>
      </w:tr>
    </w:tbl>
    <w:p>
      <w:pPr>
        <w:pStyle w:val="BodyText"/>
      </w:pPr>
      <w:r>
        <w:t xml:space="preserve">表中各参数需要结合药代与药效的定义使用，具体计算应以相应实验模型为前提</w:t>
      </w:r>
      <w:r>
        <w:rPr>
          <w:vertAlign w:val="superscript"/>
        </w:rPr>
        <w:t xml:space="preserve">[</w:t>
      </w:r>
      <w:hyperlink w:anchor="ref-71">
        <w:r>
          <w:rPr>
            <w:rStyle w:val="Hyperlink"/>
            <w:vertAlign w:val="superscript"/>
          </w:rPr>
          <w:t xml:space="preserve">71</w:t>
        </w:r>
      </w:hyperlink>
      <w:r>
        <w:rPr>
          <w:vertAlign w:val="superscript"/>
        </w:rPr>
        <w:t xml:space="preserve">,</w:t>
      </w:r>
      <w:hyperlink w:anchor="ref-73">
        <w:r>
          <w:rPr>
            <w:rStyle w:val="Hyperlink"/>
            <w:vertAlign w:val="superscript"/>
          </w:rPr>
          <w:t xml:space="preserve">73</w:t>
        </w:r>
      </w:hyperlink>
      <w:r>
        <w:rPr>
          <w:vertAlign w:val="superscript"/>
        </w:rPr>
        <w:t xml:space="preserve">]</w:t>
      </w:r>
      <w:r>
        <w:t xml:space="preserve">。</w:t>
      </w:r>
    </w:p>
    <w:bookmarkEnd w:id="180"/>
    <w:bookmarkStart w:id="181" w:name="sec-9-5"/>
    <w:p>
      <w:pPr>
        <w:pStyle w:val="Heading3"/>
      </w:pPr>
      <w:r>
        <w:t xml:space="preserve">9.5　血脑屏障同时限制与选择运输</w:t>
      </w:r>
    </w:p>
    <w:p>
      <w:pPr>
        <w:pStyle w:val="FirstParagraph"/>
      </w:pPr>
      <w:r>
        <w:t xml:space="preserve">脑内皮的紧密连接限制旁细胞通路，分子能否跨细胞还受脂溶性、电荷、转运体和代谢影响。外排转运体可以把部分进入内皮或膜内的药物送回血侧，因而较高被动通透性不一定产生较高脑暴露。小鼠mdr1a缺失实验为P糖蛋白影响脑药物分布提供了直接机制证据</w:t>
      </w:r>
      <w:r>
        <w:rPr>
          <w:vertAlign w:val="superscript"/>
        </w:rPr>
        <w:t xml:space="preserve">[</w:t>
      </w:r>
      <w:hyperlink w:anchor="ref-74">
        <w:r>
          <w:rPr>
            <w:rStyle w:val="Hyperlink"/>
            <w:vertAlign w:val="superscript"/>
          </w:rPr>
          <w:t xml:space="preserve">74</w:t>
        </w:r>
      </w:hyperlink>
      <w:r>
        <w:rPr>
          <w:vertAlign w:val="superscript"/>
        </w:rPr>
        <w:t xml:space="preserve">]</w:t>
      </w:r>
      <w:r>
        <w:t xml:space="preserve">。</w:t>
      </w:r>
    </w:p>
    <w:p>
      <w:pPr>
        <w:pStyle w:val="BodyText"/>
      </w:pPr>
      <w:r>
        <w:t xml:space="preserve">运输具有方向和组织位置。肠道转运影响吸收，肝肾转运影响清除，脑内皮转运影响脑血分配。同一转运体干预若同时作用于多个器官，脑浓度变化可能同时包含循环暴露和局部屏障变化。解释时应把两部分区分开。</w:t>
      </w:r>
    </w:p>
    <w:p>
      <w:pPr>
        <w:pStyle w:val="BodyText"/>
      </w:pPr>
      <w:r>
        <w:t xml:space="preserve">脑脊液也属于独立区室。其浓度受到血脑脊液屏障、脉络丛和流动等因素影响，不保证在任意时间都等于所有脑区间质浓度。对于作用于细胞内的药物，还需要从细胞外进一步进入目标细胞。区室之间的每一步转运都可能引入梯度和延迟。</w:t>
      </w:r>
    </w:p>
    <w:bookmarkEnd w:id="181"/>
    <w:bookmarkStart w:id="182" w:name="sec-9-6"/>
    <w:p>
      <w:pPr>
        <w:pStyle w:val="Heading3"/>
      </w:pPr>
      <w:r>
        <w:t xml:space="preserve">9.6　酸性细胞器可以改变细胞内分布</w:t>
      </w:r>
    </w:p>
    <w:p>
      <w:pPr>
        <w:pStyle w:val="FirstParagraph"/>
      </w:pPr>
      <w:r>
        <w:t xml:space="preserve">部分弱碱性分子的未带电形式较容易穿膜，进入更酸的细胞器后可发生质子化，质子化形式不易再次跨膜离开。这种酸碱分配能够造成溶酶体富集。药物的碱性、膜通透性、细胞器酸度和容积共同决定积累程度</w:t>
      </w:r>
      <w:r>
        <w:rPr>
          <w:vertAlign w:val="superscript"/>
        </w:rPr>
        <w:t xml:space="preserve">[</w:t>
      </w:r>
      <w:hyperlink w:anchor="ref-75">
        <w:r>
          <w:rPr>
            <w:rStyle w:val="Hyperlink"/>
            <w:vertAlign w:val="superscript"/>
          </w:rPr>
          <w:t xml:space="preserve">75</w:t>
        </w:r>
      </w:hyperlink>
      <w:r>
        <w:rPr>
          <w:vertAlign w:val="superscript"/>
        </w:rPr>
        <w:t xml:space="preserve">]</w:t>
      </w:r>
      <w:r>
        <w:t xml:space="preserve">。</w:t>
      </w:r>
    </w:p>
    <w:p>
      <w:pPr>
        <w:pStyle w:val="BodyText"/>
      </w:pPr>
      <w:r>
        <w:t xml:space="preserve">脑切片和细胞培养研究显示，一些精神药物在不同组织与细胞中的摄取可受溶酶体截留影响</w:t>
      </w:r>
      <w:r>
        <w:rPr>
          <w:vertAlign w:val="superscript"/>
        </w:rPr>
        <w:t xml:space="preserve">[</w:t>
      </w:r>
      <w:hyperlink w:anchor="ref-76">
        <w:r>
          <w:rPr>
            <w:rStyle w:val="Hyperlink"/>
            <w:vertAlign w:val="superscript"/>
          </w:rPr>
          <w:t xml:space="preserve">76</w:t>
        </w:r>
      </w:hyperlink>
      <w:r>
        <w:rPr>
          <w:vertAlign w:val="superscript"/>
        </w:rPr>
        <w:t xml:space="preserve">]</w:t>
      </w:r>
      <w:r>
        <w:t xml:space="preserve">。这些结果为细胞内储库提供证据，但具体体内影响还需要考虑实际浓度、细胞状态和其他结合。高细胞总量可能主要反映细胞器蓄积，不能直接作为膜面受体暴露的读数。</w:t>
      </w:r>
    </w:p>
    <w:p>
      <w:pPr>
        <w:pStyle w:val="BodyText"/>
      </w:pPr>
      <w:r>
        <w:t xml:space="preserve">储库也具有时间效应。进入后缓慢释放可以延长局部存在，细胞器酸度变化则可能改变分布。若药物本身影响细胞器功能，分布与作用还可能形成反馈。这个机制解释了为何单次短时测量无法描述全部细胞暴露，也说明开发阶段需要观察适当时长的亚细胞变化。</w:t>
      </w:r>
    </w:p>
    <w:bookmarkEnd w:id="182"/>
    <w:bookmarkStart w:id="183" w:name="sec-9-7"/>
    <w:p>
      <w:pPr>
        <w:pStyle w:val="Heading3"/>
      </w:pPr>
      <w:r>
        <w:t xml:space="preserve">9.7　靶点亲和力与结合持续时间需要分别测量</w:t>
      </w:r>
    </w:p>
    <w:p>
      <w:pPr>
        <w:pStyle w:val="FirstParagraph"/>
      </w:pPr>
      <w:r>
        <w:t xml:space="preserve">平衡亲和力描述在适当条件下结合与解离的总体关系，结合速率和解离速率则描述达到与离开该状态有多快。两个配体可以具有相近的平衡亲和力，同时具有不同的解离速度（见</w:t>
      </w:r>
      <w:r>
        <w:t xml:space="preserve"> </w:t>
      </w:r>
      <w:hyperlink w:anchor="sec-8-3">
        <w:r>
          <w:rPr>
            <w:rStyle w:val="Hyperlink"/>
          </w:rPr>
          <w:t xml:space="preserve">8.3</w:t>
        </w:r>
      </w:hyperlink>
      <w:r>
        <w:t xml:space="preserve">）。药物靶点驻留时间研究强调，这种动力学差异可能影响体内作用持续性</w:t>
      </w:r>
      <w:r>
        <w:rPr>
          <w:vertAlign w:val="superscript"/>
        </w:rPr>
        <w:t xml:space="preserve">[</w:t>
      </w:r>
      <w:hyperlink w:anchor="ref-77">
        <w:r>
          <w:rPr>
            <w:rStyle w:val="Hyperlink"/>
            <w:vertAlign w:val="superscript"/>
          </w:rPr>
          <w:t xml:space="preserve">77</w:t>
        </w:r>
      </w:hyperlink>
      <w:r>
        <w:rPr>
          <w:vertAlign w:val="superscript"/>
        </w:rPr>
        <w:t xml:space="preserve">]</w:t>
      </w:r>
      <w:r>
        <w:t xml:space="preserve">。</w:t>
      </w:r>
    </w:p>
    <w:p>
      <w:pPr>
        <w:pStyle w:val="BodyText"/>
      </w:pPr>
      <w:r>
        <w:t xml:space="preserve">体内浓度持续变化，系统不一定始终达到平衡。若局部游离浓度下降较快，而结合复合物解离较慢，作用可能在血浓度下降后继续。反过来，快速解离且暴露波动较大的药物，靶点作用可能更紧密跟随浓度曲线。实际结果还受局部再结合和靶点更新影响。</w:t>
      </w:r>
    </w:p>
    <w:p>
      <w:pPr>
        <w:pStyle w:val="BodyText"/>
      </w:pPr>
      <w:r>
        <w:t xml:space="preserve">驻留较久也不能直接等同于更好的药物。期望作用可能持续，不期望作用也可能持续；如果目标生理需要快速可逆调节，过长驻留可能限制调节能力。判断价值需要同时考虑作用位置、选择性、时间需求和不良效应。</w:t>
      </w:r>
    </w:p>
    <w:bookmarkEnd w:id="183"/>
    <w:bookmarkStart w:id="184" w:name="sec-9-8"/>
    <w:p>
      <w:pPr>
        <w:pStyle w:val="Heading3"/>
      </w:pPr>
      <w:r>
        <w:t xml:space="preserve">9.8　靶点占有率是重要的中间证据</w:t>
      </w:r>
    </w:p>
    <w:p>
      <w:pPr>
        <w:pStyle w:val="FirstParagraph"/>
      </w:pPr>
      <w:r>
        <w:t xml:space="preserve">正电子发射断层成像可以用适当放射性配体估计某些受体或转运体的可结合性变化。血清素转运体研究显示，药物剂量或血浆浓度与占有率之间可呈明显非线性关系</w:t>
      </w:r>
      <w:r>
        <w:rPr>
          <w:vertAlign w:val="superscript"/>
        </w:rPr>
        <w:t xml:space="preserve">[</w:t>
      </w:r>
      <w:hyperlink w:anchor="ref-73">
        <w:r>
          <w:rPr>
            <w:rStyle w:val="Hyperlink"/>
            <w:vertAlign w:val="superscript"/>
          </w:rPr>
          <w:t xml:space="preserve">73</w:t>
        </w:r>
      </w:hyperlink>
      <w:r>
        <w:rPr>
          <w:vertAlign w:val="superscript"/>
        </w:rPr>
        <w:t xml:space="preserve">]</w:t>
      </w:r>
      <w:r>
        <w:t xml:space="preserve">。这样的证据能够确认药物到达并影响可测目标，尚不能独立说明病理原因或每位患者的症状变化。</w:t>
      </w:r>
    </w:p>
    <w:p>
      <w:pPr>
        <w:pStyle w:val="BodyText"/>
      </w:pPr>
      <w:r>
        <w:t xml:space="preserve">成像观测受到示踪剂选择性、代谢、参考区与模型等条件影响。一个区域的平均结合变化不能直接分辨每种细胞的受体状态。目标数量变化、内源性竞争和药物竞争也可能对读数产生不同贡献，需要按配体性质判断。</w:t>
      </w:r>
    </w:p>
    <w:p>
      <w:pPr>
        <w:pStyle w:val="BodyText"/>
      </w:pPr>
      <w:r>
        <w:t xml:space="preserve">占有率与效应的关系还受受体储备及下游放大影响。一小部分受体被激活后可能引发较大响应，较高阻断也可能在冗余回路中被补偿。把占有率当作机制链中一个明确节点，有助于将输送失败、靶点作用不足和下游生物学问题区分开。</w:t>
      </w:r>
    </w:p>
    <w:bookmarkEnd w:id="184"/>
    <w:bookmarkStart w:id="185" w:name="sec-9-9"/>
    <w:p>
      <w:pPr>
        <w:pStyle w:val="Heading3"/>
      </w:pPr>
      <w:r>
        <w:t xml:space="preserve">9.9　浓度与效应之间可以出现时间滞后</w:t>
      </w:r>
    </w:p>
    <w:p>
      <w:pPr>
        <w:pStyle w:val="FirstParagraph"/>
      </w:pPr>
      <w:r>
        <w:t xml:space="preserve">药物到达作用区室需要时间，受体信号和细胞反应也需要时间。如果把同一参考浓度下的早期与晚期效应画在一起，可能观察到不同结果。这种滞后可以来自分布延迟、活性代谢物、受体适应或下游过程，单凭曲线形状无法唯一指定机制。</w:t>
      </w:r>
    </w:p>
    <w:p>
      <w:pPr>
        <w:pStyle w:val="BodyText"/>
      </w:pPr>
      <w:r>
        <w:t xml:space="preserve">例如，一个酶被抑制后，受影响产物需要经过更新才改变；一个通道电流立即改变后，行为可能仍需要学习或回路状态转换；某种核酸药物改变RNA处理后，还需要蛋白合成与细胞结构恢复。不同延迟对应不同的实验窗口，过早或过晚观察都可能遗漏关键阶段。</w:t>
      </w:r>
    </w:p>
    <w:p>
      <w:pPr>
        <w:pStyle w:val="BodyText"/>
      </w:pPr>
      <w:r>
        <w:t xml:space="preserve">这一点也有助于理解撤除暴露后的变化。药物离开血液、离开目标区室、靶点恢复以及细胞适应恢复，可以具有不同速度。药理半衰期无法独立预测所有临床变化的持续时间。观察必须覆盖与目标机制相关的阶段。</w:t>
      </w:r>
    </w:p>
    <w:bookmarkEnd w:id="185"/>
    <w:bookmarkStart w:id="186" w:name="sec-9-10"/>
    <w:p>
      <w:pPr>
        <w:pStyle w:val="Heading3"/>
      </w:pPr>
      <w:r>
        <w:t xml:space="preserve">9.10　选择性随浓度和组织背景变化</w:t>
      </w:r>
    </w:p>
    <w:p>
      <w:pPr>
        <w:pStyle w:val="FirstParagraph"/>
      </w:pPr>
      <w:r>
        <w:t xml:space="preserve">一个分子可以对多个靶点具有不同亲和力。较低浓度时主要影响高亲和力靶点，浓度继续升高后可能增加其他作用。选择性因此需要与暴露范围一起报告。培养细胞中一个特定终点的选择性，还可能受到受体表达和信号放大差异影响</w:t>
      </w:r>
      <w:r>
        <w:rPr>
          <w:vertAlign w:val="superscript"/>
        </w:rPr>
        <w:t xml:space="preserve">[</w:t>
      </w:r>
      <w:hyperlink w:anchor="ref-64">
        <w:r>
          <w:rPr>
            <w:rStyle w:val="Hyperlink"/>
            <w:vertAlign w:val="superscript"/>
          </w:rPr>
          <w:t xml:space="preserve">64</w:t>
        </w:r>
      </w:hyperlink>
      <w:r>
        <w:rPr>
          <w:vertAlign w:val="superscript"/>
        </w:rPr>
        <w:t xml:space="preserve">,</w:t>
      </w:r>
      <w:hyperlink w:anchor="ref-66">
        <w:r>
          <w:rPr>
            <w:rStyle w:val="Hyperlink"/>
            <w:vertAlign w:val="superscript"/>
          </w:rPr>
          <w:t xml:space="preserve">66</w:t>
        </w:r>
      </w:hyperlink>
      <w:r>
        <w:rPr>
          <w:vertAlign w:val="superscript"/>
        </w:rPr>
        <w:t xml:space="preserve">]</w:t>
      </w:r>
      <w:r>
        <w:t xml:space="preserve">。</w:t>
      </w:r>
    </w:p>
    <w:p>
      <w:pPr>
        <w:pStyle w:val="BodyText"/>
      </w:pPr>
      <w:r>
        <w:t xml:space="preserve">组织分布也会改变表观选择性。脑内有目标，心脏或肠道也可能表达相同或相关分子；药物在这些组织中的暴露不同，会形成不同效应组合。某个外周不良反应不一定表示药物完全偏离已知机制，它可能来自同一分子家族在其他器官的正常功能。</w:t>
      </w:r>
    </w:p>
    <w:p>
      <w:pPr>
        <w:pStyle w:val="BodyText"/>
      </w:pPr>
      <w:r>
        <w:t xml:space="preserve">所谓多靶点作用需要具体列出实际被影响的靶点与可达到的浓度。体外非常高浓度下的弱结合，未必与真实使用条件相关。反过来，活性代谢物可能在母体分子之外增加作用谱。以暴露为条件整理靶点，能够让机制描述更加精确。</w:t>
      </w:r>
    </w:p>
    <w:bookmarkEnd w:id="186"/>
    <w:bookmarkStart w:id="187" w:name="sec-9-11"/>
    <w:p>
      <w:pPr>
        <w:pStyle w:val="Heading3"/>
      </w:pPr>
      <w:r>
        <w:t xml:space="preserve">9.11　代谢酶与转运体形成相互作用网络</w:t>
      </w:r>
    </w:p>
    <w:p>
      <w:pPr>
        <w:pStyle w:val="FirstParagraph"/>
      </w:pPr>
      <w:r>
        <w:t xml:space="preserve">药物可以作为某酶的底物，也可以抑制或诱导酶与转运体。抑制可能直接改变已有蛋白的活性，诱导通常涉及表达与蛋白更新，因此二者发生和消退的时间过程可能不同。监管机构的药物相互作用指南要求在体外与临床研究中区分酶和转运介导的相关风险</w:t>
      </w:r>
      <w:r>
        <w:rPr>
          <w:vertAlign w:val="superscript"/>
        </w:rPr>
        <w:t xml:space="preserve">[</w:t>
      </w:r>
      <w:hyperlink w:anchor="ref-78">
        <w:r>
          <w:rPr>
            <w:rStyle w:val="Hyperlink"/>
            <w:vertAlign w:val="superscript"/>
          </w:rPr>
          <w:t xml:space="preserve">78</w:t>
        </w:r>
      </w:hyperlink>
      <w:r>
        <w:rPr>
          <w:vertAlign w:val="superscript"/>
        </w:rPr>
        <w:t xml:space="preserve">]</w:t>
      </w:r>
      <w:r>
        <w:t xml:space="preserve">。</w:t>
      </w:r>
    </w:p>
    <w:p>
      <w:pPr>
        <w:pStyle w:val="BodyText"/>
      </w:pPr>
      <w:r>
        <w:t xml:space="preserve">如果一种物质降低另一种药物的清除，后者暴露可能升高；若同时影响吸收或活性代谢物生成，净结果又可能改变。多个路径共同作用时，不能只根据一个酶的方向推断最终临床效应。肝肾功能、蛋白结合与并用物质也会改变相关条件。</w:t>
      </w:r>
    </w:p>
    <w:p>
      <w:pPr>
        <w:pStyle w:val="BodyText"/>
      </w:pPr>
      <w:r>
        <w:t xml:space="preserve">中枢药物相互作用还可发生在药效层面。例如两种物质即使互不改变血浓度，仍可能共同影响警觉、呼吸驱动、离子通道或自主反应。药代相互作用和药效相互作用可以同时存在，解释需要分别定位。</w:t>
      </w:r>
    </w:p>
    <w:bookmarkEnd w:id="187"/>
    <w:bookmarkStart w:id="188" w:name="sec-9-12"/>
    <w:p>
      <w:pPr>
        <w:pStyle w:val="Heading3"/>
      </w:pPr>
      <w:r>
        <w:t xml:space="preserve">9.12　基因型提供部分代谢信息</w:t>
      </w:r>
    </w:p>
    <w:p>
      <w:pPr>
        <w:pStyle w:val="FirstParagraph"/>
      </w:pPr>
      <w:r>
        <w:t xml:space="preserve">代谢酶基因差异能够影响某些药物的处理能力。CPIC2023年相关指南支持在特定抗抑郁药处方问题中使用部分CYP基因结果，同时认为当时SLC6A4和HTR2A证据不足以支持相应临床处方使用</w:t>
      </w:r>
      <w:r>
        <w:rPr>
          <w:vertAlign w:val="superscript"/>
        </w:rPr>
        <w:t xml:space="preserve">[</w:t>
      </w:r>
      <w:hyperlink w:anchor="ref-79">
        <w:r>
          <w:rPr>
            <w:rStyle w:val="Hyperlink"/>
            <w:vertAlign w:val="superscript"/>
          </w:rPr>
          <w:t xml:space="preserve">79</w:t>
        </w:r>
      </w:hyperlink>
      <w:r>
        <w:rPr>
          <w:vertAlign w:val="superscript"/>
        </w:rPr>
        <w:t xml:space="preserve">]</w:t>
      </w:r>
      <w:r>
        <w:t xml:space="preserve">。同属药物相关基因，并不表示具有相同证据成熟度。</w:t>
      </w:r>
    </w:p>
    <w:p>
      <w:pPr>
        <w:pStyle w:val="BodyText"/>
      </w:pPr>
      <w:r>
        <w:t xml:space="preserve">基因型也无法完全指定当时的功能表型。并用抑制剂、诱导因素、疾病状态及年龄可以改变实际酶活性。一个遗传上预期代谢较快的人，在强抑制条件下可能表现出不同暴露。解释药物基因检测需要与当前药物、器官状态和临床结果连接。</w:t>
      </w:r>
    </w:p>
    <w:p>
      <w:pPr>
        <w:pStyle w:val="BodyText"/>
      </w:pPr>
      <w:r>
        <w:t xml:space="preserve">这些检测更适于回答明确的问题，例如某条代谢路径是否可能影响暴露。由一个代谢基因直接判断心理疾病病因，或预测一种药物一定有效，均跨越了额外的药效与临床层级。</w:t>
      </w:r>
    </w:p>
    <w:bookmarkEnd w:id="188"/>
    <w:bookmarkStart w:id="189" w:name="sec-9-13"/>
    <w:p>
      <w:pPr>
        <w:pStyle w:val="Heading3"/>
      </w:pPr>
      <w:r>
        <w:t xml:space="preserve">9.13　活性代谢物可以延长和改变作用</w:t>
      </w:r>
    </w:p>
    <w:p>
      <w:pPr>
        <w:pStyle w:val="FirstParagraph"/>
      </w:pPr>
      <w:r>
        <w:t xml:space="preserve">代谢有时使药物失活，也可能形成仍有作用的分子。母体与代谢物可以具有不同分布、清除和靶点谱。若只测母体浓度，可能低估总药理作用；若把二者浓度直接相加，又可能忽略不同效力和作用位置。</w:t>
      </w:r>
    </w:p>
    <w:p>
      <w:pPr>
        <w:pStyle w:val="BodyText"/>
      </w:pPr>
      <w:r>
        <w:t xml:space="preserve">代谢物形成速度与其自身清除共同决定时间曲线。母体快速下降时，代谢物仍可能处于累积阶段。由此可以出现血中母体浓度与效应不平行的情况。要检验这种解释，需要同时识别代谢物、测量其暴露并确认相应活性。</w:t>
      </w:r>
    </w:p>
    <w:p>
      <w:pPr>
        <w:pStyle w:val="BodyText"/>
      </w:pPr>
      <w:r>
        <w:t xml:space="preserve">前药设计利用了另一种转换：给入形式经过酶处理后产生主要活性分子。其成功依赖转换位置和效率。理想的组织选择性转换有助于改善作用分布，实际情况还会受个体酶差异影响。前药名称本身并不保证在所有目标组织中完成相同转换。</w:t>
      </w:r>
    </w:p>
    <w:bookmarkEnd w:id="189"/>
    <w:bookmarkStart w:id="190" w:name="sec-9-14"/>
    <w:p>
      <w:pPr>
        <w:pStyle w:val="Heading3"/>
      </w:pPr>
      <w:r>
        <w:t xml:space="preserve">9.14　大分子递送需要处理细胞运输路线</w:t>
      </w:r>
    </w:p>
    <w:p>
      <w:pPr>
        <w:pStyle w:val="FirstParagraph"/>
      </w:pPr>
      <w:r>
        <w:t xml:space="preserve">抗体与核酸等大分子通常不能简单依靠小分子式的被动扩散进入所有脑区。受体介导跨胞运输提供一种研究方向，但结合内皮受体之后，分子还可能被回收、滞留或送往降解途径。动物抗体工程实验显示，改变对转运受体的亲和力可以改变其脑内释放与分布</w:t>
      </w:r>
      <w:r>
        <w:rPr>
          <w:vertAlign w:val="superscript"/>
        </w:rPr>
        <w:t xml:space="preserve">[</w:t>
      </w:r>
      <w:hyperlink w:anchor="ref-80">
        <w:r>
          <w:rPr>
            <w:rStyle w:val="Hyperlink"/>
            <w:vertAlign w:val="superscript"/>
          </w:rPr>
          <w:t xml:space="preserve">80</w:t>
        </w:r>
      </w:hyperlink>
      <w:r>
        <w:rPr>
          <w:vertAlign w:val="superscript"/>
        </w:rPr>
        <w:t xml:space="preserve">]</w:t>
      </w:r>
      <w:r>
        <w:t xml:space="preserve">。</w:t>
      </w:r>
    </w:p>
    <w:p>
      <w:pPr>
        <w:pStyle w:val="BodyText"/>
      </w:pPr>
      <w:r>
        <w:t xml:space="preserve">这种结果体现了递送中的一个机制权衡：结合足够强有利于被细胞捕获，过强或不合适的结合又可能限制后续释放。价态、受体聚集、内体环境和分选共同决定运输。仅证明抗体与血管结合，尚不能确认它已到达脑实质目标。</w:t>
      </w:r>
    </w:p>
    <w:p>
      <w:pPr>
        <w:pStyle w:val="BodyText"/>
      </w:pPr>
      <w:r>
        <w:t xml:space="preserve">递送之后还需要检查目标位置。作用于细胞外蛋白的分子与需要进入细胞核的分子，面对的后续障碍不同。组织总量、细胞摄取量与有效亚细胞暴露应分别验证。</w:t>
      </w:r>
    </w:p>
    <w:bookmarkEnd w:id="190"/>
    <w:bookmarkStart w:id="191" w:name="sec-9-15"/>
    <w:p>
      <w:pPr>
        <w:pStyle w:val="Heading3"/>
      </w:pPr>
      <w:r>
        <w:t xml:space="preserve">9.15　核酸药物把暴露问题延伸到RNA和蛋白更新</w:t>
      </w:r>
    </w:p>
    <w:p>
      <w:pPr>
        <w:pStyle w:val="FirstParagraph"/>
      </w:pPr>
      <w:r>
        <w:t xml:space="preserve">反义寡核苷酸能够通过特定序列作用于RNA处理或稳定性，其药理效应依赖进入适当细胞及亚细胞区室。针对运动神经元存活相关RNA剪接的动物和非人灵长类研究，提供了中枢递送、组织分布与分子作用之间的连接</w:t>
      </w:r>
      <w:r>
        <w:rPr>
          <w:vertAlign w:val="superscript"/>
        </w:rPr>
        <w:t xml:space="preserve">[</w:t>
      </w:r>
      <w:hyperlink w:anchor="ref-81">
        <w:r>
          <w:rPr>
            <w:rStyle w:val="Hyperlink"/>
            <w:vertAlign w:val="superscript"/>
          </w:rPr>
          <w:t xml:space="preserve">81</w:t>
        </w:r>
      </w:hyperlink>
      <w:r>
        <w:rPr>
          <w:vertAlign w:val="superscript"/>
        </w:rPr>
        <w:t xml:space="preserve">]</w:t>
      </w:r>
      <w:r>
        <w:t xml:space="preserve">。</w:t>
      </w:r>
    </w:p>
    <w:p>
      <w:pPr>
        <w:pStyle w:val="BodyText"/>
      </w:pPr>
      <w:r>
        <w:t xml:space="preserve">相应的婴儿起病脊髓性肌萎缩症随机对照试验，为特定药物、特定疾病和特定临床结局提供了人体证据</w:t>
      </w:r>
      <w:r>
        <w:rPr>
          <w:vertAlign w:val="superscript"/>
        </w:rPr>
        <w:t xml:space="preserve">[</w:t>
      </w:r>
      <w:hyperlink w:anchor="ref-82">
        <w:r>
          <w:rPr>
            <w:rStyle w:val="Hyperlink"/>
            <w:vertAlign w:val="superscript"/>
          </w:rPr>
          <w:t xml:space="preserve">82</w:t>
        </w:r>
      </w:hyperlink>
      <w:r>
        <w:rPr>
          <w:vertAlign w:val="superscript"/>
        </w:rPr>
        <w:t xml:space="preserve">]</w:t>
      </w:r>
      <w:r>
        <w:t xml:space="preserve">。分子机制与临床试验可以相互支撑，但一种核酸药物的成功不能自动保证其他序列、靶点或疾病同样有效。</w:t>
      </w:r>
    </w:p>
    <w:p>
      <w:pPr>
        <w:pStyle w:val="BodyText"/>
      </w:pPr>
      <w:r>
        <w:t xml:space="preserve">RNA改变以后，已有蛋白需要按照自身寿命更新，受损细胞和回路能恢复到何种程度又取决于疾病阶段。较长组织驻留可能支持持续作用，同时也意味着不期望作用的可逆性需要仔细评估。递送、序列特异性和组织病理应共同进入解释。</w:t>
      </w:r>
    </w:p>
    <w:bookmarkEnd w:id="191"/>
    <w:bookmarkStart w:id="192" w:name="sec-9-16"/>
    <w:p>
      <w:pPr>
        <w:pStyle w:val="Heading3"/>
      </w:pPr>
      <w:r>
        <w:t xml:space="preserve">9.16　持续暴露可以引发生物适应</w:t>
      </w:r>
    </w:p>
    <w:p>
      <w:pPr>
        <w:pStyle w:val="FirstParagraph"/>
      </w:pPr>
      <w:r>
        <w:t xml:space="preserve">受体内吞与再循环、信号反馈、基因表达、突触可塑性和回路补偿，都可能在持续暴露中改变药物响应。适应可以发生在多个层级，因此同样的浓度在治疗早期和后期可能产生不同结果。某些变化与获益有关，某些变化与耐受或不良反应有关，具体方向需要逐项证据</w:t>
      </w:r>
      <w:r>
        <w:rPr>
          <w:vertAlign w:val="superscript"/>
        </w:rPr>
        <w:t xml:space="preserve">[</w:t>
      </w:r>
      <w:hyperlink w:anchor="ref-68">
        <w:r>
          <w:rPr>
            <w:rStyle w:val="Hyperlink"/>
            <w:vertAlign w:val="superscript"/>
          </w:rPr>
          <w:t xml:space="preserve">68</w:t>
        </w:r>
      </w:hyperlink>
      <w:r>
        <w:rPr>
          <w:vertAlign w:val="superscript"/>
        </w:rPr>
        <w:t xml:space="preserve">,</w:t>
      </w:r>
      <w:hyperlink w:anchor="ref-83">
        <w:r>
          <w:rPr>
            <w:rStyle w:val="Hyperlink"/>
            <w:vertAlign w:val="superscript"/>
          </w:rPr>
          <w:t xml:space="preserve">83</w:t>
        </w:r>
      </w:hyperlink>
      <w:r>
        <w:rPr>
          <w:vertAlign w:val="superscript"/>
        </w:rPr>
        <w:t xml:space="preserve">]</w:t>
      </w:r>
      <w:r>
        <w:t xml:space="preserve">。</w:t>
      </w:r>
    </w:p>
    <w:p>
      <w:pPr>
        <w:pStyle w:val="BodyText"/>
      </w:pPr>
      <w:r>
        <w:t xml:space="preserve">撤除药物时，直接靶点作用与适应过程可能以不同速度恢复。撤药症状、原疾病复发、生活事件及其他身体变化可能具有重叠表现。临床研究需要保留这些竞争解释，并结合时间过程和症状特征评估</w:t>
      </w:r>
      <w:r>
        <w:rPr>
          <w:vertAlign w:val="superscript"/>
        </w:rPr>
        <w:t xml:space="preserve">[</w:t>
      </w:r>
      <w:hyperlink w:anchor="ref-84">
        <w:r>
          <w:rPr>
            <w:rStyle w:val="Hyperlink"/>
            <w:vertAlign w:val="superscript"/>
          </w:rPr>
          <w:t xml:space="preserve">84</w:t>
        </w:r>
      </w:hyperlink>
      <w:r>
        <w:rPr>
          <w:vertAlign w:val="superscript"/>
        </w:rPr>
        <w:t xml:space="preserve">,</w:t>
      </w:r>
      <w:hyperlink w:anchor="ref-85">
        <w:r>
          <w:rPr>
            <w:rStyle w:val="Hyperlink"/>
            <w:vertAlign w:val="superscript"/>
          </w:rPr>
          <w:t xml:space="preserve">85</w:t>
        </w:r>
      </w:hyperlink>
      <w:r>
        <w:rPr>
          <w:vertAlign w:val="superscript"/>
        </w:rPr>
        <w:t xml:space="preserve">]</w:t>
      </w:r>
      <w:r>
        <w:t xml:space="preserve">。</w:t>
      </w:r>
    </w:p>
    <w:p>
      <w:pPr>
        <w:pStyle w:val="BodyText"/>
      </w:pPr>
      <w:r>
        <w:t xml:space="preserve">2026年的停药策略网络元分析纳入76项随机试验、17379名临床缓解的成人，结果提示，缓慢减量并配合心理支持时，复发风险与继续服药相近，并低于突然停药或快速减量。接受额外心理支持的受试者比例很低，部分比较依赖间接证据，结论还受试验人群、方案和结局定义限制</w:t>
      </w:r>
      <w:r>
        <w:rPr>
          <w:vertAlign w:val="superscript"/>
        </w:rPr>
        <w:t xml:space="preserve">[</w:t>
      </w:r>
      <w:hyperlink w:anchor="ref-85">
        <w:r>
          <w:rPr>
            <w:rStyle w:val="Hyperlink"/>
            <w:vertAlign w:val="superscript"/>
          </w:rPr>
          <w:t xml:space="preserve">85</w:t>
        </w:r>
      </w:hyperlink>
      <w:r>
        <w:rPr>
          <w:vertAlign w:val="superscript"/>
        </w:rPr>
        <w:t xml:space="preserve">]</w:t>
      </w:r>
      <w:r>
        <w:t xml:space="preserve">。这类证据不能被转换成适用于所有人的自行减药步骤。机制教学能够说明为何个体化评估重要，具体调整仍须依据临床情境。</w:t>
      </w:r>
    </w:p>
    <w:bookmarkEnd w:id="192"/>
    <w:bookmarkStart w:id="193" w:name="sec-9-17"/>
    <w:p>
      <w:pPr>
        <w:pStyle w:val="Heading3"/>
      </w:pPr>
      <w:r>
        <w:t xml:space="preserve">9.17　机制证据与治疗结局需要相互约束</w:t>
      </w:r>
    </w:p>
    <w:p>
      <w:pPr>
        <w:pStyle w:val="FirstParagraph"/>
      </w:pPr>
      <w:r>
        <w:t xml:space="preserve">药物研究中，暴露确认回答目标是否可接近，靶点作用回答分子是否被影响，细胞与回路测量回答生物后果，临床结局回答特定人群是否获得实际净收益。一个层级中的成功，可以指导下一步实验，同时需要下一层级独立检验。</w:t>
      </w:r>
    </w:p>
    <w:p>
      <w:pPr>
        <w:pStyle w:val="BodyText"/>
      </w:pPr>
      <w:r>
        <w:t xml:space="preserve">本章关于吸收、分布、清除、结合动力学和细胞适应的基本原理具有高置信度。特定亚细胞储库对某药临床效应的贡献、某种受体变化是否解释全部症状改善，往往属于条件性的中等或较低置信度判断。将血中浓度、脑总量或单一占有率直接当作个人疗效保证，缺少可靠依据。完整的神经药理解释应始终把分子位置、作用时间和真实结局连接起来。</w:t>
      </w:r>
    </w:p>
    <w:bookmarkEnd w:id="193"/>
    <w:bookmarkEnd w:id="194"/>
    <w:bookmarkStart w:id="215" w:name="ch-10"/>
    <w:p>
      <w:pPr>
        <w:pStyle w:val="Heading2"/>
      </w:pPr>
      <w:r>
        <w:t xml:space="preserve">第10章　胶质细胞与神经组织的动态稳态</w:t>
      </w:r>
    </w:p>
    <w:bookmarkStart w:id="195" w:name="sec-10-1"/>
    <w:p>
      <w:pPr>
        <w:pStyle w:val="Heading3"/>
      </w:pPr>
      <w:r>
        <w:t xml:space="preserve">10.1　胶质细胞是一组不同来源和功能的细胞</w:t>
      </w:r>
    </w:p>
    <w:p>
      <w:pPr>
        <w:pStyle w:val="FirstParagraph"/>
      </w:pPr>
      <w:r>
        <w:t xml:space="preserve">中枢神经组织包含神经元、星形胶质细胞、少突胶质细胞及其前体、小胶质细胞，以及血管和脑室边界相关细胞。胶质这个集合名称覆盖了差异很大的细胞谱系。它们参与离子与递质环境、髓鞘、代谢支持、组织防御、发育连接和损伤反应，不能用一种统一的辅助细胞模型概括</w:t>
      </w:r>
      <w:r>
        <w:rPr>
          <w:vertAlign w:val="superscript"/>
        </w:rPr>
        <w:t xml:space="preserve">[</w:t>
      </w:r>
      <w:hyperlink w:anchor="ref-7">
        <w:r>
          <w:rPr>
            <w:rStyle w:val="Hyperlink"/>
            <w:vertAlign w:val="superscript"/>
          </w:rPr>
          <w:t xml:space="preserve">7</w:t>
        </w:r>
      </w:hyperlink>
      <w:r>
        <w:rPr>
          <w:vertAlign w:val="superscript"/>
        </w:rPr>
        <w:t xml:space="preserve">,</w:t>
      </w:r>
      <w:hyperlink w:anchor="ref-86">
        <w:r>
          <w:rPr>
            <w:rStyle w:val="Hyperlink"/>
            <w:vertAlign w:val="superscript"/>
          </w:rPr>
          <w:t xml:space="preserve">86</w:t>
        </w:r>
      </w:hyperlink>
      <w:r>
        <w:rPr>
          <w:vertAlign w:val="superscript"/>
        </w:rPr>
        <w:t xml:space="preserve">]</w:t>
      </w:r>
      <w:r>
        <w:t xml:space="preserve">。</w:t>
      </w:r>
    </w:p>
    <w:p>
      <w:pPr>
        <w:pStyle w:val="BodyText"/>
      </w:pPr>
      <w:r>
        <w:t xml:space="preserve">细胞计数还需要区分胶质与全部非神经元。血管内皮、周细胞和其他非神经元成分并不都属于胶质。某一脑区的比例也不能直接代表全脑，更不能从比例推出智力或信息处理贡献。细胞大小、分支、分布和功能状态，通常比一个笼统数量比更有解释力</w:t>
      </w:r>
      <w:r>
        <w:rPr>
          <w:vertAlign w:val="superscript"/>
        </w:rPr>
        <w:t xml:space="preserve">[</w:t>
      </w:r>
      <w:hyperlink w:anchor="ref-2">
        <w:r>
          <w:rPr>
            <w:rStyle w:val="Hyperlink"/>
            <w:vertAlign w:val="superscript"/>
          </w:rPr>
          <w:t xml:space="preserve">2</w:t>
        </w:r>
      </w:hyperlink>
      <w:r>
        <w:rPr>
          <w:vertAlign w:val="superscript"/>
        </w:rPr>
        <w:t xml:space="preserve">]</w:t>
      </w:r>
      <w:r>
        <w:t xml:space="preserve">。</w:t>
      </w:r>
    </w:p>
    <w:p>
      <w:pPr>
        <w:pStyle w:val="BodyText"/>
      </w:pPr>
      <w:r>
        <w:t xml:space="preserve">本章采用细胞与环境相互作用的视角。神经元产生电活动，同时改变外部钾、递质、代谢底物和信号分子；胶质对这些变化作出反应，进而改变下一轮神经元活动的条件。这种循环使组织稳态具有主动调节和历史依赖性。</w:t>
      </w:r>
    </w:p>
    <w:bookmarkEnd w:id="195"/>
    <w:bookmarkStart w:id="196" w:name="sec-10-2"/>
    <w:p>
      <w:pPr>
        <w:pStyle w:val="Heading3"/>
      </w:pPr>
      <w:r>
        <w:t xml:space="preserve">10.2　星形胶质的形态连接多个微环境</w:t>
      </w:r>
    </w:p>
    <w:p>
      <w:pPr>
        <w:pStyle w:val="FirstParagraph"/>
      </w:pPr>
      <w:r>
        <w:t xml:space="preserve">星形胶质细胞通过复杂分支接近突触、轴突、血管和组织边界。常规显微图中呈现的粗大分支，只展示了部分结构；许多细小突起需要更适合的标记和成像方法才能观察。一个细胞的分子组成和分支形态，也会随脑区、发育阶段及生理状态变化</w:t>
      </w:r>
      <w:r>
        <w:rPr>
          <w:vertAlign w:val="superscript"/>
        </w:rPr>
        <w:t xml:space="preserve">[</w:t>
      </w:r>
      <w:hyperlink w:anchor="ref-86">
        <w:r>
          <w:rPr>
            <w:rStyle w:val="Hyperlink"/>
            <w:vertAlign w:val="superscript"/>
          </w:rPr>
          <w:t xml:space="preserve">86</w:t>
        </w:r>
      </w:hyperlink>
      <w:r>
        <w:rPr>
          <w:vertAlign w:val="superscript"/>
        </w:rPr>
        <w:t xml:space="preserve">,</w:t>
      </w:r>
      <w:hyperlink w:anchor="ref-87">
        <w:r>
          <w:rPr>
            <w:rStyle w:val="Hyperlink"/>
            <w:vertAlign w:val="superscript"/>
          </w:rPr>
          <w:t xml:space="preserve">87</w:t>
        </w:r>
      </w:hyperlink>
      <w:r>
        <w:rPr>
          <w:vertAlign w:val="superscript"/>
        </w:rPr>
        <w:t xml:space="preserve">]</w:t>
      </w:r>
      <w:r>
        <w:t xml:space="preserve">。</w:t>
      </w:r>
    </w:p>
    <w:p>
      <w:pPr>
        <w:pStyle w:val="BodyText"/>
      </w:pPr>
      <w:r>
        <w:t xml:space="preserve">形态决定了可接触的对象。靠近突触的突起能够影响局部扩散与转运，血管周围足突参与神经血管界面的组织。不同位置的膜可以具有不同通道、受体和转运体分布，因此一个星形胶质细胞内部也可能存在功能分区。</w:t>
      </w:r>
    </w:p>
    <w:p>
      <w:pPr>
        <w:pStyle w:val="BodyText"/>
      </w:pPr>
      <w:r>
        <w:t xml:space="preserve">用GFAP等标记观察细胞时，需要记住标记显示的是某种蛋白的分布，无法等同完整细胞轮廓。信号增多可以来自表达增强、突起变化或细胞数量变化。把一个标记面积直接解释成新增了多少胶质细胞，容易混淆这些因素。</w:t>
      </w:r>
    </w:p>
    <w:bookmarkEnd w:id="196"/>
    <w:bookmarkStart w:id="197" w:name="sec-10-3"/>
    <w:p>
      <w:pPr>
        <w:pStyle w:val="Heading3"/>
      </w:pPr>
      <w:r>
        <w:t xml:space="preserve">10.3　细胞外钾浓度连接活动与兴奋性</w:t>
      </w:r>
    </w:p>
    <w:p>
      <w:pPr>
        <w:pStyle w:val="FirstParagraph"/>
      </w:pPr>
      <w:r>
        <w:t xml:space="preserve">神经元活动会通过离子通道改变细胞外局部离子环境。钾离子在细胞外积累时，钾平衡电位发生变化，进而影响神经元膜电位和可用通道状态。星形胶质膜电导、离子泵和细胞间耦联参与钾稳态；Kir4.1条件敲除实验表明，胶质膜性质与钾摄取、递质摄取和突触反应存在相互联系</w:t>
      </w:r>
      <w:r>
        <w:rPr>
          <w:vertAlign w:val="superscript"/>
        </w:rPr>
        <w:t xml:space="preserve">[</w:t>
      </w:r>
      <w:hyperlink w:anchor="ref-88">
        <w:r>
          <w:rPr>
            <w:rStyle w:val="Hyperlink"/>
            <w:vertAlign w:val="superscript"/>
          </w:rPr>
          <w:t xml:space="preserve">88</w:t>
        </w:r>
      </w:hyperlink>
      <w:r>
        <w:rPr>
          <w:vertAlign w:val="superscript"/>
        </w:rPr>
        <w:t xml:space="preserve">]</w:t>
      </w:r>
      <w:r>
        <w:t xml:space="preserve">。</w:t>
      </w:r>
    </w:p>
    <w:p>
      <w:pPr>
        <w:pStyle w:val="BodyText"/>
      </w:pPr>
      <w:r>
        <w:t xml:space="preserve">钾稳态可以从电化学驱动力理解。一个局部区域钾浓度升高后，邻近胶质膜受到新的驱动力，钾通过适当通道与转运机制进入或重新分配。跨细胞网络的电耦联，以及不同区域的浓度差，可以参与空间缓冲。这个过程还与钠钾泵消耗ATP维持梯度相联系。</w:t>
      </w:r>
    </w:p>
    <w:p>
      <w:pPr>
        <w:pStyle w:val="BodyText"/>
      </w:pPr>
      <w:r>
        <w:t xml:space="preserve">缓冲能力具有容量和速度限制。局部活动过强、能量供应不足或细胞结构受损时，原本足够的调节能力可能跟不上扰动。细胞外钾继续上升可以进一步改变神经活动，形成相互强化的过程。具体到疾病时，仍需区分哪一步是起因，哪一步是后续放大。</w:t>
      </w:r>
    </w:p>
    <w:bookmarkEnd w:id="197"/>
    <w:bookmarkStart w:id="198" w:name="sec-10-4"/>
    <w:p>
      <w:pPr>
        <w:pStyle w:val="Heading3"/>
      </w:pPr>
      <w:r>
        <w:t xml:space="preserve">10.4　谷氨酸转运把突触活动连接到代谢</w:t>
      </w:r>
    </w:p>
    <w:p>
      <w:pPr>
        <w:pStyle w:val="FirstParagraph"/>
      </w:pPr>
      <w:r>
        <w:t xml:space="preserve">谷氨酸释放后，细胞膜转运体参与维持较低的细胞外浓度。星形胶质与神经元上的转运系统具有不同分布和贡献。转运过程依赖离子梯度，因此清除递质本身会给细胞离子稳态带来负担，随后需要泵和代谢过程维持条件</w:t>
      </w:r>
      <w:r>
        <w:rPr>
          <w:vertAlign w:val="superscript"/>
        </w:rPr>
        <w:t xml:space="preserve">[</w:t>
      </w:r>
      <w:hyperlink w:anchor="ref-89">
        <w:r>
          <w:rPr>
            <w:rStyle w:val="Hyperlink"/>
            <w:vertAlign w:val="superscript"/>
          </w:rPr>
          <w:t xml:space="preserve">89</w:t>
        </w:r>
      </w:hyperlink>
      <w:r>
        <w:rPr>
          <w:vertAlign w:val="superscript"/>
        </w:rPr>
        <w:t xml:space="preserve">]</w:t>
      </w:r>
      <w:r>
        <w:t xml:space="preserve">。</w:t>
      </w:r>
    </w:p>
    <w:p>
      <w:pPr>
        <w:pStyle w:val="BodyText"/>
      </w:pPr>
      <w:r>
        <w:t xml:space="preserve">这一机制允许从能量守恒理解突触代价。一个突触的能量消耗不仅包括动作电位，还包括恢复膜梯度、回收囊泡、转运递质和重新合成相关物质。局部活动持续增加时，胶质与神经元都需要调整代谢通量。把全部成本只归给神经元放电，会遗漏重要部分。</w:t>
      </w:r>
    </w:p>
    <w:p>
      <w:pPr>
        <w:pStyle w:val="BodyText"/>
      </w:pPr>
      <w:r>
        <w:t xml:space="preserve">谷氨酸摄取也塑造信号空间。转运位置靠近释放点时，可能限制递质扩散到邻近突触或突触外受体；转运能力降低时，递质作用范围和持续时间可能扩大。这里的功能取决于局部几何和动力学，组织总转运体表达量无法完整描述这种空间控制。</w:t>
      </w:r>
    </w:p>
    <w:bookmarkEnd w:id="198"/>
    <w:bookmarkStart w:id="199" w:name="sec-10-5"/>
    <w:p>
      <w:pPr>
        <w:pStyle w:val="Heading3"/>
      </w:pPr>
      <w:r>
        <w:t xml:space="preserve">10.5　谷氨酸—谷氨酰胺循环的含义</w:t>
      </w:r>
    </w:p>
    <w:p>
      <w:pPr>
        <w:pStyle w:val="FirstParagraph"/>
      </w:pPr>
      <w:r>
        <w:t xml:space="preserve">神经元与星形胶质之间存在谷氨酸、谷氨酰胺及相关代谢物的交换。胶质中的酶促转化与转运，可以帮助回收递质相关碳氮骨架；神经元再利用底物参与递质合成。理解这个循环时，应同时考虑递质再供给、氮代谢和能量需求</w:t>
      </w:r>
      <w:r>
        <w:rPr>
          <w:vertAlign w:val="superscript"/>
        </w:rPr>
        <w:t xml:space="preserve">[</w:t>
      </w:r>
      <w:hyperlink w:anchor="ref-89">
        <w:r>
          <w:rPr>
            <w:rStyle w:val="Hyperlink"/>
            <w:vertAlign w:val="superscript"/>
          </w:rPr>
          <w:t xml:space="preserve">89</w:t>
        </w:r>
      </w:hyperlink>
      <w:r>
        <w:rPr>
          <w:vertAlign w:val="superscript"/>
        </w:rPr>
        <w:t xml:space="preserve">]</w:t>
      </w:r>
      <w:r>
        <w:t xml:space="preserve">。</w:t>
      </w:r>
    </w:p>
    <w:p>
      <w:pPr>
        <w:pStyle w:val="BodyText"/>
      </w:pPr>
      <w:r>
        <w:t xml:space="preserve">循环图通常用几条箭头表示，但真实分子并不会全部按一个固定闭环返回原来突触。部分代谢物可以进入其他反应路径，来自血液和细胞内代谢的底物也不断补充。循环描述的是主要流向之间的联系，不能被理解为每个分子都有不可改变的去向。</w:t>
      </w:r>
    </w:p>
    <w:p>
      <w:pPr>
        <w:pStyle w:val="BodyText"/>
      </w:pPr>
      <w:r>
        <w:t xml:space="preserve">当研究报告某个代谢物浓度升高时，应区分池大小与通量。水箱中水更多，可以来自流入增加，也可以来自流出减少；同样，代谢物积累未必代表循环更快。要判断通量，需要适合的示踪、时间测量或代谢模型。</w:t>
      </w:r>
    </w:p>
    <w:bookmarkEnd w:id="199"/>
    <w:bookmarkStart w:id="200" w:name="sec-10-6"/>
    <w:p>
      <w:pPr>
        <w:pStyle w:val="Heading3"/>
      </w:pPr>
      <w:r>
        <w:t xml:space="preserve">10.6　水与渗透稳态影响细胞外空间</w:t>
      </w:r>
    </w:p>
    <w:p>
      <w:pPr>
        <w:pStyle w:val="FirstParagraph"/>
      </w:pPr>
      <w:r>
        <w:t xml:space="preserve">离子与其他溶质重新分布时，会改变渗透驱动力。水通量、细胞体积和细胞外间隙由此相互联系。细胞膨胀可以缩小局部细胞外空间，使相同数量释放分子在更小体积中产生不同浓度变化，也可能影响扩散路径。</w:t>
      </w:r>
    </w:p>
    <w:p>
      <w:pPr>
        <w:pStyle w:val="BodyText"/>
      </w:pPr>
      <w:r>
        <w:t xml:space="preserve">从几何关系推导，细胞外体积分数下降时，局部递质或离子浓度的变化可能被放大；但实际幅度还取决于扩散与清除是否同步变化。细胞体积与突触传递因此并非彼此独立的系统。测量药物或递质浓度时，也应注意组织状态对可分布空间的影响。</w:t>
      </w:r>
    </w:p>
    <w:p>
      <w:pPr>
        <w:pStyle w:val="BodyText"/>
      </w:pPr>
      <w:r>
        <w:t xml:space="preserve">水通道有助于水跨膜移动，但通道开放本身没有提供单向泵水的能量。水的净移动仍取决于相应驱动力。把某个水通道表达增加直接解释成清除效率提高，需要同时掌握方向、压力、渗透和组织结构等条件。</w:t>
      </w:r>
    </w:p>
    <w:bookmarkEnd w:id="200"/>
    <w:bookmarkStart w:id="201" w:name="sec-10-7"/>
    <w:p>
      <w:pPr>
        <w:pStyle w:val="Heading3"/>
      </w:pPr>
      <w:r>
        <w:t xml:space="preserve">10.7　星形胶质钙信号具有局部性和多种来源</w:t>
      </w:r>
    </w:p>
    <w:p>
      <w:pPr>
        <w:pStyle w:val="FirstParagraph"/>
      </w:pPr>
      <w:r>
        <w:t xml:space="preserve">星形胶质能够表现出多种钙活动，包括细小突起中的局部事件及较大范围变化。钙可以来自细胞内储库和跨膜进入等不同来源，受受体、通道和细胞状态影响。观察到钙变化能够说明细胞内状态改变，但无法仅凭这一指标确认随后释放了哪种物质</w:t>
      </w:r>
      <w:r>
        <w:rPr>
          <w:vertAlign w:val="superscript"/>
        </w:rPr>
        <w:t xml:space="preserve">[</w:t>
      </w:r>
      <w:hyperlink w:anchor="ref-87">
        <w:r>
          <w:rPr>
            <w:rStyle w:val="Hyperlink"/>
            <w:vertAlign w:val="superscript"/>
          </w:rPr>
          <w:t xml:space="preserve">87</w:t>
        </w:r>
      </w:hyperlink>
      <w:r>
        <w:rPr>
          <w:vertAlign w:val="superscript"/>
        </w:rPr>
        <w:t xml:space="preserve">,</w:t>
      </w:r>
      <w:hyperlink w:anchor="ref-90">
        <w:r>
          <w:rPr>
            <w:rStyle w:val="Hyperlink"/>
            <w:vertAlign w:val="superscript"/>
          </w:rPr>
          <w:t xml:space="preserve">90</w:t>
        </w:r>
      </w:hyperlink>
      <w:r>
        <w:rPr>
          <w:vertAlign w:val="superscript"/>
        </w:rPr>
        <w:t xml:space="preserve">]</w:t>
      </w:r>
      <w:r>
        <w:t xml:space="preserve">。</w:t>
      </w:r>
    </w:p>
    <w:p>
      <w:pPr>
        <w:pStyle w:val="BodyText"/>
      </w:pPr>
      <w:r>
        <w:t xml:space="preserve">钙成像的空间分辨率尤其重要。胞体信号可能无法代表细小突起中的活动；把整细胞平均信号作为唯一指标，可能漏掉局部变化。探针本身还可能缓冲钙或改变动力学，因此探针表达水平与采样频率会影响可观察的事件范围。</w:t>
      </w:r>
    </w:p>
    <w:p>
      <w:pPr>
        <w:pStyle w:val="BodyText"/>
      </w:pPr>
      <w:r>
        <w:t xml:space="preserve">对胶质钙进行强烈人工操控后观察到神经元变化，可以证明这一操控能够影响系统。要进一步支持自然生理作用，还需要说明自然活动是否产生相同位置、幅度和时间结构的钙信号，以及对应下游通路是否被招募。这是连接操控充分性与自然机制的关键步骤。</w:t>
      </w:r>
    </w:p>
    <w:bookmarkEnd w:id="201"/>
    <w:bookmarkStart w:id="202" w:name="sec-10-8"/>
    <w:p>
      <w:pPr>
        <w:pStyle w:val="Heading3"/>
      </w:pPr>
      <w:r>
        <w:t xml:space="preserve">10.8　胶质递质释放需要按细胞亚群和条件讨论</w:t>
      </w:r>
    </w:p>
    <w:p>
      <w:pPr>
        <w:pStyle w:val="FirstParagraph"/>
      </w:pPr>
      <w:r>
        <w:t xml:space="preserve">星形胶质是否以神经元式囊泡释放普遍参与快速传递，长期存在争论。部分研究强调人工强刺激、细胞特异性不足和释放装置证据的限制。较新的多模态工作报告，特定星形胶质亚群具有谷氨酸释放相关分子和功能特征，为更精细的条件性解释提供了证据</w:t>
      </w:r>
      <w:r>
        <w:rPr>
          <w:vertAlign w:val="superscript"/>
        </w:rPr>
        <w:t xml:space="preserve">[</w:t>
      </w:r>
      <w:hyperlink w:anchor="ref-90">
        <w:r>
          <w:rPr>
            <w:rStyle w:val="Hyperlink"/>
            <w:vertAlign w:val="superscript"/>
          </w:rPr>
          <w:t xml:space="preserve">90</w:t>
        </w:r>
      </w:hyperlink>
      <w:r>
        <w:rPr>
          <w:vertAlign w:val="superscript"/>
        </w:rPr>
        <w:t xml:space="preserve">,</w:t>
      </w:r>
      <w:hyperlink w:anchor="ref-91">
        <w:r>
          <w:rPr>
            <w:rStyle w:val="Hyperlink"/>
            <w:vertAlign w:val="superscript"/>
          </w:rPr>
          <w:t xml:space="preserve">91</w:t>
        </w:r>
      </w:hyperlink>
      <w:r>
        <w:rPr>
          <w:vertAlign w:val="superscript"/>
        </w:rPr>
        <w:t xml:space="preserve">]</w:t>
      </w:r>
      <w:r>
        <w:t xml:space="preserve">。</w:t>
      </w:r>
    </w:p>
    <w:p>
      <w:pPr>
        <w:pStyle w:val="BodyText"/>
      </w:pPr>
      <w:r>
        <w:t xml:space="preserve">目前适合的表达是：胶质对神经活动的影响具有多条机制，其中某些快速释放形式需要在明确亚群、脑区和实验条件下评估。将所有星形胶质都描述为与神经元相同的递质发送器，证据不足；把全部胶质通信都排除，也会忽略转运、离子、代谢和其他信号途径。</w:t>
      </w:r>
    </w:p>
    <w:p>
      <w:pPr>
        <w:pStyle w:val="BodyText"/>
      </w:pPr>
      <w:r>
        <w:t xml:space="preserve">这一争论提供了一个重要的生物学教训。平均转录数据中某个释放分子很少，可能掩盖稀少亚群；在少量细胞中发现该分子，又不足以证明全体普遍具有相同功能。分布、定位、释放事件和因果操控需要相互支持。细胞异质性能够解释部分不一致，但不能被用作任何阴性结果的自动豁免理由。</w:t>
      </w:r>
    </w:p>
    <w:bookmarkEnd w:id="202"/>
    <w:bookmarkStart w:id="203" w:name="sec-10-9"/>
    <w:p>
      <w:pPr>
        <w:pStyle w:val="Heading3"/>
      </w:pPr>
      <w:r>
        <w:t xml:space="preserve">10.9　星形胶质参与突触形成与成熟</w:t>
      </w:r>
    </w:p>
    <w:p>
      <w:pPr>
        <w:pStyle w:val="FirstParagraph"/>
      </w:pPr>
      <w:r>
        <w:t xml:space="preserve">神经元之间形成一个功能连接，需要突触前装置、突触后受体和空间接触协调发展。星形胶质分泌的部分因子能够影响这一过程。关于磷脂酰肌醇蛋白聚糖的研究显示，特定胶质来源分子可以改变兴奋性突触的受体组织与功能成熟</w:t>
      </w:r>
      <w:r>
        <w:rPr>
          <w:vertAlign w:val="superscript"/>
        </w:rPr>
        <w:t xml:space="preserve">[</w:t>
      </w:r>
      <w:hyperlink w:anchor="ref-92">
        <w:r>
          <w:rPr>
            <w:rStyle w:val="Hyperlink"/>
            <w:vertAlign w:val="superscript"/>
          </w:rPr>
          <w:t xml:space="preserve">92</w:t>
        </w:r>
      </w:hyperlink>
      <w:r>
        <w:rPr>
          <w:vertAlign w:val="superscript"/>
        </w:rPr>
        <w:t xml:space="preserve">]</w:t>
      </w:r>
      <w:r>
        <w:t xml:space="preserve">。</w:t>
      </w:r>
    </w:p>
    <w:p>
      <w:pPr>
        <w:pStyle w:val="BodyText"/>
      </w:pPr>
      <w:r>
        <w:t xml:space="preserve">结构形成与功能成熟仍需分开。两个细胞形成接触，不保证已经具备可靠释放与响应；受体在膜表面增加，也不保证被运送到正确接触位置。胶质因子的作用可以集中在其中某个环节，因此最好同时观察形态、分子定位和电生理响应。</w:t>
      </w:r>
    </w:p>
    <w:p>
      <w:pPr>
        <w:pStyle w:val="BodyText"/>
      </w:pPr>
      <w:r>
        <w:t xml:space="preserve">发育中的胶质状态与成年胶质状态也可能不同。把发育培养体系中促进突触形成的分子，直接作为成年人增强记忆的补充物，缺少必要转化依据。连接增加还可能包括不适合当前回路的连接，数量本身没有统一的功能价值。</w:t>
      </w:r>
    </w:p>
    <w:bookmarkEnd w:id="203"/>
    <w:bookmarkStart w:id="204" w:name="sec-10-10"/>
    <w:p>
      <w:pPr>
        <w:pStyle w:val="Heading3"/>
      </w:pPr>
      <w:r>
        <w:t xml:space="preserve">10.10　小胶质的发育来源与组织驻留</w:t>
      </w:r>
    </w:p>
    <w:p>
      <w:pPr>
        <w:pStyle w:val="FirstParagraph"/>
      </w:pPr>
      <w:r>
        <w:t xml:space="preserve">小胶质属于中枢驻留髓系细胞。小鼠发育谱系追踪为其来源于早期胚胎髓系前体提供了重要证据，并表明成年稳态条件下的维持方式具有特殊性。这使它与许多来源和更新过程不同的外周免疫细胞有所区别</w:t>
      </w:r>
      <w:r>
        <w:rPr>
          <w:vertAlign w:val="superscript"/>
        </w:rPr>
        <w:t xml:space="preserve">[</w:t>
      </w:r>
      <w:hyperlink w:anchor="ref-93">
        <w:r>
          <w:rPr>
            <w:rStyle w:val="Hyperlink"/>
            <w:vertAlign w:val="superscript"/>
          </w:rPr>
          <w:t xml:space="preserve">93</w:t>
        </w:r>
      </w:hyperlink>
      <w:r>
        <w:rPr>
          <w:vertAlign w:val="superscript"/>
        </w:rPr>
        <w:t xml:space="preserve">]</w:t>
      </w:r>
      <w:r>
        <w:t xml:space="preserve">。</w:t>
      </w:r>
    </w:p>
    <w:p>
      <w:pPr>
        <w:pStyle w:val="BodyText"/>
      </w:pPr>
      <w:r>
        <w:t xml:space="preserve">来源会影响如何解释实验。若用全身骨髓相关操控改变脑内炎症，结果可能同时涉及外周免疫、血管屏障和进入脑组织的细胞。观察到某种髓系标记阳性细胞，也需要分辨驻留小胶质与浸润细胞。单个共享标记不足以完成身份判定。</w:t>
      </w:r>
    </w:p>
    <w:p>
      <w:pPr>
        <w:pStyle w:val="BodyText"/>
      </w:pPr>
      <w:r>
        <w:t xml:space="preserve">组织环境同样塑造细胞状态。小胶质离开脑环境进入培养后，可能发生明显分子改变。培养实验仍然有价值，但其结果需要考虑失去的神经元、胶质、细胞外基质和代谢信号。细胞来源相同，不保证环境改变后维持原有状态。</w:t>
      </w:r>
    </w:p>
    <w:bookmarkEnd w:id="204"/>
    <w:bookmarkStart w:id="205" w:name="sec-10-11"/>
    <w:p>
      <w:pPr>
        <w:pStyle w:val="Heading3"/>
      </w:pPr>
      <w:r>
        <w:t xml:space="preserve">10.11　监测环境是持续活动</w:t>
      </w:r>
    </w:p>
    <w:p>
      <w:pPr>
        <w:pStyle w:val="FirstParagraph"/>
      </w:pPr>
      <w:r>
        <w:t xml:space="preserve">在体成像显示，通常被称为静息的小胶质，其突起仍然持续伸缩并监测周围组织。这一观察纠正了只有疾病时小胶质才开始活动的静态图景。组织损伤可以使细胞迅速改变运动和定位行为，但基线状态本身已经包含丰富动力学</w:t>
      </w:r>
      <w:r>
        <w:rPr>
          <w:vertAlign w:val="superscript"/>
        </w:rPr>
        <w:t xml:space="preserve">[</w:t>
      </w:r>
      <w:hyperlink w:anchor="ref-94">
        <w:r>
          <w:rPr>
            <w:rStyle w:val="Hyperlink"/>
            <w:vertAlign w:val="superscript"/>
          </w:rPr>
          <w:t xml:space="preserve">94</w:t>
        </w:r>
      </w:hyperlink>
      <w:r>
        <w:rPr>
          <w:vertAlign w:val="superscript"/>
        </w:rPr>
        <w:t xml:space="preserve">]</w:t>
      </w:r>
      <w:r>
        <w:t xml:space="preserve">。</w:t>
      </w:r>
    </w:p>
    <w:p>
      <w:pPr>
        <w:pStyle w:val="BodyText"/>
      </w:pPr>
      <w:r>
        <w:t xml:space="preserve">突起运动、胞体移动、吞噬和分泌是不同功能。一个细胞突起变短，并不自动证明炎症更强；胞体变大，也不能单独确定它正在损伤或保护神经元。形态提供线索，需要与分子及功能观察结合。</w:t>
      </w:r>
    </w:p>
    <w:p>
      <w:pPr>
        <w:pStyle w:val="BodyText"/>
      </w:pPr>
      <w:r>
        <w:t xml:space="preserve">观察窗口也会影响判断。较短成像可能突出快速突起变化，较长成像才能看到迁移、分裂或清除过程。若准备组织时产生局部损伤，记录到的所谓基线可能已经包含对制备的反应。研究应尽量明确这些条件。</w:t>
      </w:r>
    </w:p>
    <w:bookmarkEnd w:id="205"/>
    <w:bookmarkStart w:id="206" w:name="sec-10-12"/>
    <w:p>
      <w:pPr>
        <w:pStyle w:val="Heading3"/>
      </w:pPr>
      <w:r>
        <w:t xml:space="preserve">10.12　吞噬连接清除与选择性保留</w:t>
      </w:r>
    </w:p>
    <w:p>
      <w:pPr>
        <w:pStyle w:val="FirstParagraph"/>
      </w:pPr>
      <w:r>
        <w:t xml:space="preserve">吞噬让小胶质能够摄取细胞碎片、死亡细胞相关材料或特定突触成分。识别、包裹、内吞和溶酶体处理构成连续过程，每一步都可能受到受体和环境信号调节。仅看到细胞内存在神经元标记，仍需判断材料来自活连接、退化结构还是已经释放的碎片。</w:t>
      </w:r>
    </w:p>
    <w:p>
      <w:pPr>
        <w:pStyle w:val="BodyText"/>
      </w:pPr>
      <w:r>
        <w:t xml:space="preserve">从功能角度推导，及时清除损伤材料可以限制异常刺激并支持修复；若识别规则在特定情况下指向仍有功能的连接，也可能造成不利后果。因此，吞噬本身无法统一归为保护或损伤。对象、时机、规模和后续组织变化共同决定结果。</w:t>
      </w:r>
    </w:p>
    <w:p>
      <w:pPr>
        <w:pStyle w:val="BodyText"/>
      </w:pPr>
      <w:r>
        <w:t xml:space="preserve">吞噬实验还需要注意材料消化速度。细胞内标记较多，可能来自摄取增加，也可能来自降解变慢。一个静态时间点只能显示两者平衡后的存量。要判断通量，可以结合时间序列、溶酶体指标和适合的干预。</w:t>
      </w:r>
    </w:p>
    <w:bookmarkEnd w:id="206"/>
    <w:bookmarkStart w:id="207" w:name="sec-10-13"/>
    <w:p>
      <w:pPr>
        <w:pStyle w:val="Heading3"/>
      </w:pPr>
      <w:r>
        <w:t xml:space="preserve">10.13　补体与活动依赖连接塑形</w:t>
      </w:r>
    </w:p>
    <w:p>
      <w:pPr>
        <w:pStyle w:val="FirstParagraph"/>
      </w:pPr>
      <w:r>
        <w:t xml:space="preserve">经典补体相关实验显示，某些发育连接的精细化依赖补体组分。后续视网膜至丘脑回路研究进一步连接了神经活动、小胶质吞噬和补体相关受体机制。这些工作建立了特定系统中免疫相关分子参与连接塑形的因果证据</w:t>
      </w:r>
      <w:r>
        <w:rPr>
          <w:vertAlign w:val="superscript"/>
        </w:rPr>
        <w:t xml:space="preserve">[</w:t>
      </w:r>
      <w:hyperlink w:anchor="ref-95">
        <w:r>
          <w:rPr>
            <w:rStyle w:val="Hyperlink"/>
            <w:vertAlign w:val="superscript"/>
          </w:rPr>
          <w:t xml:space="preserve">95</w:t>
        </w:r>
      </w:hyperlink>
      <w:r>
        <w:rPr>
          <w:vertAlign w:val="superscript"/>
        </w:rPr>
        <w:t xml:space="preserve">,</w:t>
      </w:r>
      <w:hyperlink w:anchor="ref-96">
        <w:r>
          <w:rPr>
            <w:rStyle w:val="Hyperlink"/>
            <w:vertAlign w:val="superscript"/>
          </w:rPr>
          <w:t xml:space="preserve">96</w:t>
        </w:r>
      </w:hyperlink>
      <w:r>
        <w:rPr>
          <w:vertAlign w:val="superscript"/>
        </w:rPr>
        <w:t xml:space="preserve">]</w:t>
      </w:r>
      <w:r>
        <w:t xml:space="preserve">。</w:t>
      </w:r>
    </w:p>
    <w:p>
      <w:pPr>
        <w:pStyle w:val="BodyText"/>
      </w:pPr>
      <w:r>
        <w:t xml:space="preserve">需要保留解剖和发育条件。一个出生后感觉通路中的剪除机制，不能自动解释全部成年学习、所有精神障碍或任何一次遗忘。补体也具有其他免疫和组织功能，因此全身或广泛基因操控的行为结果，需要考虑多条可能路径。</w:t>
      </w:r>
    </w:p>
    <w:p>
      <w:pPr>
        <w:pStyle w:val="BodyText"/>
      </w:pPr>
      <w:r>
        <w:t xml:space="preserve">从选择问题看，回路必须同时决定哪些连接保留、哪些调整以及如何避免过度清除。活动差异、细胞表面信号和局部胶质状态可以共同参与。把补体称作删除标签只是入门概括，真实识别还涉及信号强度、抑制性线索与吞噬细胞的响应能力。</w:t>
      </w:r>
    </w:p>
    <w:bookmarkEnd w:id="207"/>
    <w:bookmarkStart w:id="208" w:name="sec-10-14"/>
    <w:p>
      <w:pPr>
        <w:pStyle w:val="Heading3"/>
      </w:pPr>
      <w:r>
        <w:t xml:space="preserve">10.14　小胶质状态具有多维变化</w:t>
      </w:r>
    </w:p>
    <w:p>
      <w:pPr>
        <w:pStyle w:val="FirstParagraph"/>
      </w:pPr>
      <w:r>
        <w:t xml:space="preserve">小胶质可以在转录、代谢、形态、移动、吞噬和分泌等维度发生变化。这些维度未必同步。领域共识强调，应根据具体条件描述状态，避免把复杂连续变化压缩成简单的静息与激活，或统一的有益与有害类别</w:t>
      </w:r>
      <w:r>
        <w:rPr>
          <w:vertAlign w:val="superscript"/>
        </w:rPr>
        <w:t xml:space="preserve">[</w:t>
      </w:r>
      <w:hyperlink w:anchor="ref-97">
        <w:r>
          <w:rPr>
            <w:rStyle w:val="Hyperlink"/>
            <w:vertAlign w:val="superscript"/>
          </w:rPr>
          <w:t xml:space="preserve">97</w:t>
        </w:r>
      </w:hyperlink>
      <w:r>
        <w:rPr>
          <w:vertAlign w:val="superscript"/>
        </w:rPr>
        <w:t xml:space="preserve">]</w:t>
      </w:r>
      <w:r>
        <w:t xml:space="preserve">。</w:t>
      </w:r>
    </w:p>
    <w:p>
      <w:pPr>
        <w:pStyle w:val="BodyText"/>
      </w:pPr>
      <w:r>
        <w:t xml:space="preserve">一种疾病相关表达簇可以包含多个亚状态，也可能出现在不同疾病或正常老化过程中。名称中的“疾病相关”，只表明最初发现或富集的情境，不能单独证明该状态导致疾病。它可能参与损伤、反映补偿，也可能在不同阶段承担不同作用。</w:t>
      </w:r>
    </w:p>
    <w:p>
      <w:pPr>
        <w:pStyle w:val="BodyText"/>
      </w:pPr>
      <w:r>
        <w:t xml:space="preserve">单细胞分析得到的簇，还受到采样、测序深度和分析分辨率影响。稳定重复出现的分子模式具有研究价值，但把簇名当作一个固定的新器官，会过度实体化数据分类。功能定义仍需定位、时间和操控证据。</w:t>
      </w:r>
    </w:p>
    <w:bookmarkEnd w:id="208"/>
    <w:bookmarkStart w:id="209" w:name="sec-10-15"/>
    <w:p>
      <w:pPr>
        <w:pStyle w:val="Heading3"/>
      </w:pPr>
      <w:r>
        <w:t xml:space="preserve">10.15　星形胶质反应包含防御、修复和功能改变</w:t>
      </w:r>
    </w:p>
    <w:p>
      <w:pPr>
        <w:pStyle w:val="FirstParagraph"/>
      </w:pPr>
      <w:r>
        <w:t xml:space="preserve">损伤、感染和疾病可以引起星形胶质形态及分子重塑。反应性状态可能改变边界组织、细胞外环境、炎症信号和代谢支持。不同条件下的结果可以包含保护、限制扩散、修复困难或神经功能受损。共识建议采用多参数描述，避免把全部反应状态强行分成两个固定类型</w:t>
      </w:r>
      <w:r>
        <w:rPr>
          <w:vertAlign w:val="superscript"/>
        </w:rPr>
        <w:t xml:space="preserve">[</w:t>
      </w:r>
      <w:hyperlink w:anchor="ref-87">
        <w:r>
          <w:rPr>
            <w:rStyle w:val="Hyperlink"/>
            <w:vertAlign w:val="superscript"/>
          </w:rPr>
          <w:t xml:space="preserve">87</w:t>
        </w:r>
      </w:hyperlink>
      <w:r>
        <w:rPr>
          <w:vertAlign w:val="superscript"/>
        </w:rPr>
        <w:t xml:space="preserve">]</w:t>
      </w:r>
      <w:r>
        <w:t xml:space="preserve">。</w:t>
      </w:r>
    </w:p>
    <w:p>
      <w:pPr>
        <w:pStyle w:val="BodyText"/>
      </w:pPr>
      <w:r>
        <w:t xml:space="preserve">反应的空间位置尤其重要。病灶边缘形成的组织边界，与远离病灶处的代谢改变，可能由不同细胞状态承担。同一时间点把整个区域混合检测，会掩盖这种空间分工。时间上早期控制损伤的过程，也可能在长期留下影响可塑性的结构。</w:t>
      </w:r>
    </w:p>
    <w:p>
      <w:pPr>
        <w:pStyle w:val="BodyText"/>
      </w:pPr>
      <w:r>
        <w:t xml:space="preserve">因此，治疗推论应具体到某个功能。全面抑制某种胶质反应，可能同时减弱不利分支和有利分支。更合理的机制目标，是识别在特定阶段真正推动病理的过程，并检验保留必要稳态和防御功能后能否改善结局。</w:t>
      </w:r>
    </w:p>
    <w:bookmarkEnd w:id="209"/>
    <w:bookmarkStart w:id="210" w:name="sec-10-16"/>
    <w:p>
      <w:pPr>
        <w:pStyle w:val="Heading3"/>
      </w:pPr>
      <w:r>
        <w:t xml:space="preserve">10.16　胶质细胞之间形成相互调节网络</w:t>
      </w:r>
    </w:p>
    <w:p>
      <w:pPr>
        <w:pStyle w:val="FirstParagraph"/>
      </w:pPr>
      <w:r>
        <w:t xml:space="preserve">星形胶质、小胶质、少突谱系和血管相关细胞能够通过分泌物、接触信号及局部环境相互影响。一个细胞的反应可能改变另一个细胞的受体表达、代谢需求或成熟状态。组织变化往往来自多个反馈回路叠加，单一细胞类型的命名无法替代因果链。</w:t>
      </w:r>
    </w:p>
    <w:p>
      <w:pPr>
        <w:pStyle w:val="BodyText"/>
      </w:pPr>
      <w:r>
        <w:t xml:space="preserve">以一般性机制推导为例，离子稳态受损会改变神经活动，异常活动又可能引起胶质信号变化；这些信号进一步影响血管或髓鞘支持，最终反过来改变能量供应。这里存在多个可被干预的环节，但哪个环节最先发生，需要真实时间证据。</w:t>
      </w:r>
    </w:p>
    <w:p>
      <w:pPr>
        <w:pStyle w:val="BodyText"/>
      </w:pPr>
      <w:r>
        <w:t xml:space="preserve">多细胞培养与类器官系统可以帮助拆解相互作用，同时也会引入细胞比例和成熟度问题。若一个体系缺少某种免疫或血管成分，实验得到的反馈网络便不完整。解释结果时应把存在与缺失的细胞成分都列入模型。</w:t>
      </w:r>
    </w:p>
    <w:bookmarkEnd w:id="210"/>
    <w:bookmarkStart w:id="211" w:name="sec-10-17"/>
    <w:p>
      <w:pPr>
        <w:pStyle w:val="Heading3"/>
      </w:pPr>
      <w:r>
        <w:t xml:space="preserve">10.17　一个离子扰动的教学推演</w:t>
      </w:r>
    </w:p>
    <w:p>
      <w:pPr>
        <w:pStyle w:val="FirstParagraph"/>
      </w:pPr>
      <w:r>
        <w:t xml:space="preserve">设想一个完全假设的局部神经网络，在短时间内显著增加放电。第一步可能是细胞外钾和递质负荷上升；第二步是转运和泵的工作增加；第三步是局部能量需求与底物供应关系改变。若调节能力充足，扰动可以逐渐恢复。这个推演展示的是一般因果结构，不对应某个具体疾病诊断。</w:t>
      </w:r>
    </w:p>
    <w:p>
      <w:pPr>
        <w:pStyle w:val="BodyText"/>
      </w:pPr>
      <w:r>
        <w:t xml:space="preserve">现在加入一个条件：胶质膜电位较原先更去极化。某些依赖电化学梯度的摄取过程可能受到影响，局部递质暴露与钾稳态发生变化。接着还要问，神经元是否因此更容易放电，是否出现通道失活，以及血流供给能否调整。单个起始扰动可以通过多条路径传播，方向未必始终一致。</w:t>
      </w:r>
    </w:p>
    <w:p>
      <w:pPr>
        <w:pStyle w:val="BodyText"/>
      </w:pPr>
      <w:r>
        <w:t xml:space="preserve">若只在最后测得谷氨酸升高，至少存在释放增加、摄取下降、细胞损伤释放或空间体积变化等候选机制。把胶质膜电位、转运功能、神经元活动与组织完整性一起测量，能够逐步缩小解释范围。这个例子强调了微环境机制的可分解性。</w:t>
      </w:r>
    </w:p>
    <w:bookmarkEnd w:id="211"/>
    <w:bookmarkStart w:id="213" w:name="sec-10-18"/>
    <w:p>
      <w:pPr>
        <w:pStyle w:val="Heading3"/>
      </w:pPr>
      <w:r>
        <w:t xml:space="preserve">10.18　胶质类型和功能证据的边界</w:t>
      </w:r>
    </w:p>
    <w:p>
      <w:pPr>
        <w:pStyle w:val="TableCaption"/>
      </w:pPr>
      <w:bookmarkStart w:id="212" w:name="tab-glia"/>
      <w:bookmarkEnd w:id="212"/>
      <w:r>
        <w:rPr>
          <w:bCs/>
          <w:b/>
        </w:rPr>
        <w:t xml:space="preserve">表 6　胶质细胞类型与功能证据的边界</w:t>
      </w:r>
    </w:p>
    <w:tbl>
      <w:tblPr>
        <w:tblStyle w:val="Table"/>
        <w:tblW w:type="pct" w:w="5000"/>
        <w:jc w:val="start"/>
        <w:tblLook w:firstRow="1" w:lastRow="0" w:firstColumn="0" w:lastColumn="0" w:noHBand="0" w:noVBand="0" w:val="0020"/>
      </w:tblPr>
      <w:tblGrid>
        <w:gridCol w:w="1073"/>
        <w:gridCol w:w="2148"/>
        <w:gridCol w:w="4698"/>
      </w:tblGrid>
      <w:tr>
        <w:trPr>
          <w:tblHeader w:val="true"/>
        </w:trPr>
        <w:tc>
          <w:tcPr>
            <w:shd w:val="clear" w:color="auto" w:fill="1F3A5F"/>
          </w:tcPr>
          <w:p>
            <w:pPr>
              <w:pStyle w:val="Compact"/>
              <w:jc w:val="left"/>
            </w:pPr>
            <w:r>
              <w:rPr>
                <w:bCs/>
                <w:b/>
                <w:color w:val="FFFFFF"/>
              </w:rPr>
              <w:t xml:space="preserve">细胞类别</w:t>
            </w:r>
          </w:p>
        </w:tc>
        <w:tc>
          <w:tcPr>
            <w:shd w:val="clear" w:color="auto" w:fill="1F3A5F"/>
          </w:tcPr>
          <w:p>
            <w:pPr>
              <w:pStyle w:val="Compact"/>
              <w:jc w:val="left"/>
            </w:pPr>
            <w:r>
              <w:rPr>
                <w:bCs/>
                <w:b/>
                <w:color w:val="FFFFFF"/>
              </w:rPr>
              <w:t xml:space="preserve">有较充分支持的参与过程</w:t>
            </w:r>
          </w:p>
        </w:tc>
        <w:tc>
          <w:tcPr>
            <w:shd w:val="clear" w:color="auto" w:fill="1F3A5F"/>
          </w:tcPr>
          <w:p>
            <w:pPr>
              <w:pStyle w:val="Compact"/>
              <w:jc w:val="left"/>
            </w:pPr>
            <w:r>
              <w:rPr>
                <w:bCs/>
                <w:b/>
                <w:color w:val="FFFFFF"/>
              </w:rPr>
              <w:t xml:space="preserve">需要避免的泛化</w:t>
            </w:r>
          </w:p>
        </w:tc>
      </w:tr>
      <w:tr>
        <w:tc>
          <w:tcPr/>
          <w:p>
            <w:pPr>
              <w:pStyle w:val="Compact"/>
              <w:jc w:val="left"/>
            </w:pPr>
            <w:r>
              <w:t xml:space="preserve">星形胶质细胞</w:t>
            </w:r>
          </w:p>
        </w:tc>
        <w:tc>
          <w:tcPr/>
          <w:p>
            <w:pPr>
              <w:pStyle w:val="Compact"/>
              <w:jc w:val="left"/>
            </w:pPr>
            <w:r>
              <w:t xml:space="preserve">离子、递质与水环境调节，以及突触支持</w:t>
            </w:r>
          </w:p>
        </w:tc>
        <w:tc>
          <w:tcPr/>
          <w:p>
            <w:pPr>
              <w:pStyle w:val="Compact"/>
              <w:jc w:val="left"/>
            </w:pPr>
            <w:r>
              <w:t xml:space="preserve">单个亚群的释放现象不能推广到全部细胞</w:t>
            </w:r>
            <w:r>
              <w:rPr>
                <w:vertAlign w:val="superscript"/>
              </w:rPr>
              <w:t xml:space="preserve">[</w:t>
            </w:r>
            <w:hyperlink w:anchor="ref-88">
              <w:r>
                <w:rPr>
                  <w:rStyle w:val="Hyperlink"/>
                  <w:vertAlign w:val="superscript"/>
                </w:rPr>
                <w:t xml:space="preserve">88</w:t>
              </w:r>
            </w:hyperlink>
            <w:r>
              <w:rPr>
                <w:vertAlign w:val="superscript"/>
              </w:rPr>
              <w:t xml:space="preserve">,</w:t>
            </w:r>
            <w:hyperlink w:anchor="ref-89">
              <w:r>
                <w:rPr>
                  <w:rStyle w:val="Hyperlink"/>
                  <w:vertAlign w:val="superscript"/>
                </w:rPr>
                <w:t xml:space="preserve">89</w:t>
              </w:r>
            </w:hyperlink>
            <w:r>
              <w:rPr>
                <w:vertAlign w:val="superscript"/>
              </w:rPr>
              <w:t xml:space="preserve">,</w:t>
            </w:r>
            <w:hyperlink w:anchor="ref-90">
              <w:r>
                <w:rPr>
                  <w:rStyle w:val="Hyperlink"/>
                  <w:vertAlign w:val="superscript"/>
                </w:rPr>
                <w:t xml:space="preserve">90</w:t>
              </w:r>
            </w:hyperlink>
            <w:r>
              <w:rPr>
                <w:vertAlign w:val="superscript"/>
              </w:rPr>
              <w:t xml:space="preserve">]</w:t>
            </w:r>
          </w:p>
        </w:tc>
      </w:tr>
      <w:tr>
        <w:tc>
          <w:tcPr/>
          <w:p>
            <w:pPr>
              <w:pStyle w:val="Compact"/>
              <w:jc w:val="left"/>
            </w:pPr>
            <w:r>
              <w:t xml:space="preserve">少突胶质细胞</w:t>
            </w:r>
          </w:p>
        </w:tc>
        <w:tc>
          <w:tcPr/>
          <w:p>
            <w:pPr>
              <w:pStyle w:val="Compact"/>
              <w:jc w:val="left"/>
            </w:pPr>
            <w:r>
              <w:t xml:space="preserve">中枢髓鞘形成和轴突代谢支持</w:t>
            </w:r>
          </w:p>
        </w:tc>
        <w:tc>
          <w:tcPr/>
          <w:p>
            <w:pPr>
              <w:pStyle w:val="Compact"/>
              <w:jc w:val="left"/>
            </w:pPr>
            <w:r>
              <w:t xml:space="preserve">髓鞘越多不等于各项认知功能越好</w:t>
            </w:r>
            <w:r>
              <w:rPr>
                <w:vertAlign w:val="superscript"/>
              </w:rPr>
              <w:t xml:space="preserve">[</w:t>
            </w:r>
            <w:hyperlink w:anchor="ref-98">
              <w:r>
                <w:rPr>
                  <w:rStyle w:val="Hyperlink"/>
                  <w:vertAlign w:val="superscript"/>
                </w:rPr>
                <w:t xml:space="preserve">98</w:t>
              </w:r>
            </w:hyperlink>
            <w:r>
              <w:rPr>
                <w:vertAlign w:val="superscript"/>
              </w:rPr>
              <w:t xml:space="preserve">,</w:t>
            </w:r>
            <w:hyperlink w:anchor="ref-99">
              <w:r>
                <w:rPr>
                  <w:rStyle w:val="Hyperlink"/>
                  <w:vertAlign w:val="superscript"/>
                </w:rPr>
                <w:t xml:space="preserve">99</w:t>
              </w:r>
            </w:hyperlink>
            <w:r>
              <w:rPr>
                <w:vertAlign w:val="superscript"/>
              </w:rPr>
              <w:t xml:space="preserve">]</w:t>
            </w:r>
          </w:p>
        </w:tc>
      </w:tr>
      <w:tr>
        <w:tc>
          <w:tcPr/>
          <w:p>
            <w:pPr>
              <w:pStyle w:val="Compact"/>
              <w:jc w:val="left"/>
            </w:pPr>
            <w:r>
              <w:t xml:space="preserve">少突胶质前体细胞</w:t>
            </w:r>
          </w:p>
        </w:tc>
        <w:tc>
          <w:tcPr/>
          <w:p>
            <w:pPr>
              <w:pStyle w:val="Compact"/>
              <w:jc w:val="left"/>
            </w:pPr>
            <w:r>
              <w:t xml:space="preserve">增殖、分化，并可接受神经元突触输入</w:t>
            </w:r>
          </w:p>
        </w:tc>
        <w:tc>
          <w:tcPr/>
          <w:p>
            <w:pPr>
              <w:pStyle w:val="Compact"/>
              <w:jc w:val="left"/>
            </w:pPr>
            <w:r>
              <w:t xml:space="preserve">每次收到突触输入不保证立即形成髓鞘</w:t>
            </w:r>
            <w:r>
              <w:rPr>
                <w:vertAlign w:val="superscript"/>
              </w:rPr>
              <w:t xml:space="preserve">[</w:t>
            </w:r>
            <w:hyperlink w:anchor="ref-100">
              <w:r>
                <w:rPr>
                  <w:rStyle w:val="Hyperlink"/>
                  <w:vertAlign w:val="superscript"/>
                </w:rPr>
                <w:t xml:space="preserve">100</w:t>
              </w:r>
            </w:hyperlink>
            <w:r>
              <w:rPr>
                <w:vertAlign w:val="superscript"/>
              </w:rPr>
              <w:t xml:space="preserve">]</w:t>
            </w:r>
          </w:p>
        </w:tc>
      </w:tr>
      <w:tr>
        <w:tc>
          <w:tcPr/>
          <w:p>
            <w:pPr>
              <w:pStyle w:val="Compact"/>
              <w:jc w:val="left"/>
            </w:pPr>
            <w:r>
              <w:t xml:space="preserve">小胶质细胞</w:t>
            </w:r>
          </w:p>
        </w:tc>
        <w:tc>
          <w:tcPr/>
          <w:p>
            <w:pPr>
              <w:pStyle w:val="Compact"/>
              <w:jc w:val="left"/>
            </w:pPr>
            <w:r>
              <w:t xml:space="preserve">环境监测、吞噬和免疫相关调节</w:t>
            </w:r>
          </w:p>
        </w:tc>
        <w:tc>
          <w:tcPr/>
          <w:p>
            <w:pPr>
              <w:pStyle w:val="Compact"/>
              <w:jc w:val="left"/>
            </w:pPr>
            <w:r>
              <w:t xml:space="preserve">功能状态具有多维性，不能仅以好坏两类命名</w:t>
            </w:r>
            <w:r>
              <w:rPr>
                <w:vertAlign w:val="superscript"/>
              </w:rPr>
              <w:t xml:space="preserve">[</w:t>
            </w:r>
            <w:hyperlink w:anchor="ref-94">
              <w:r>
                <w:rPr>
                  <w:rStyle w:val="Hyperlink"/>
                  <w:vertAlign w:val="superscript"/>
                </w:rPr>
                <w:t xml:space="preserve">94</w:t>
              </w:r>
            </w:hyperlink>
            <w:r>
              <w:rPr>
                <w:vertAlign w:val="superscript"/>
              </w:rPr>
              <w:t xml:space="preserve">,</w:t>
            </w:r>
            <w:hyperlink w:anchor="ref-97">
              <w:r>
                <w:rPr>
                  <w:rStyle w:val="Hyperlink"/>
                  <w:vertAlign w:val="superscript"/>
                </w:rPr>
                <w:t xml:space="preserve">97</w:t>
              </w:r>
            </w:hyperlink>
            <w:r>
              <w:rPr>
                <w:vertAlign w:val="superscript"/>
              </w:rPr>
              <w:t xml:space="preserve">]</w:t>
            </w:r>
          </w:p>
        </w:tc>
      </w:tr>
      <w:tr>
        <w:tc>
          <w:tcPr/>
          <w:p>
            <w:pPr>
              <w:pStyle w:val="Compact"/>
              <w:jc w:val="left"/>
            </w:pPr>
            <w:r>
              <w:t xml:space="preserve">反应性星形胶质</w:t>
            </w:r>
          </w:p>
        </w:tc>
        <w:tc>
          <w:tcPr/>
          <w:p>
            <w:pPr>
              <w:pStyle w:val="Compact"/>
              <w:jc w:val="left"/>
            </w:pPr>
            <w:r>
              <w:t xml:space="preserve">随扰动改变表达、形态和组织作用</w:t>
            </w:r>
          </w:p>
        </w:tc>
        <w:tc>
          <w:tcPr/>
          <w:p>
            <w:pPr>
              <w:pStyle w:val="Compact"/>
              <w:jc w:val="left"/>
            </w:pPr>
            <w:r>
              <w:t xml:space="preserve">一个标记升高不能独自判定净保护或净损伤</w:t>
            </w:r>
            <w:r>
              <w:rPr>
                <w:vertAlign w:val="superscript"/>
              </w:rPr>
              <w:t xml:space="preserve">[</w:t>
            </w:r>
            <w:hyperlink w:anchor="ref-87">
              <w:r>
                <w:rPr>
                  <w:rStyle w:val="Hyperlink"/>
                  <w:vertAlign w:val="superscript"/>
                </w:rPr>
                <w:t xml:space="preserve">87</w:t>
              </w:r>
            </w:hyperlink>
            <w:r>
              <w:rPr>
                <w:vertAlign w:val="superscript"/>
              </w:rPr>
              <w:t xml:space="preserve">]</w:t>
            </w:r>
          </w:p>
        </w:tc>
      </w:tr>
      <w:tr>
        <w:tc>
          <w:tcPr/>
          <w:p>
            <w:pPr>
              <w:pStyle w:val="Compact"/>
              <w:jc w:val="left"/>
            </w:pPr>
            <w:r>
              <w:t xml:space="preserve">不同发育期胶质</w:t>
            </w:r>
          </w:p>
        </w:tc>
        <w:tc>
          <w:tcPr/>
          <w:p>
            <w:pPr>
              <w:pStyle w:val="Compact"/>
              <w:jc w:val="left"/>
            </w:pPr>
            <w:r>
              <w:t xml:space="preserve">参与突触形成、选择和组织成熟</w:t>
            </w:r>
          </w:p>
        </w:tc>
        <w:tc>
          <w:tcPr/>
          <w:p>
            <w:pPr>
              <w:pStyle w:val="Compact"/>
              <w:jc w:val="left"/>
            </w:pPr>
            <w:r>
              <w:t xml:space="preserve">发育期结果不能不加条件推广到成人疾病</w:t>
            </w:r>
            <w:r>
              <w:rPr>
                <w:vertAlign w:val="superscript"/>
              </w:rPr>
              <w:t xml:space="preserve">[</w:t>
            </w:r>
            <w:hyperlink w:anchor="ref-92">
              <w:r>
                <w:rPr>
                  <w:rStyle w:val="Hyperlink"/>
                  <w:vertAlign w:val="superscript"/>
                </w:rPr>
                <w:t xml:space="preserve">92</w:t>
              </w:r>
            </w:hyperlink>
            <w:r>
              <w:rPr>
                <w:vertAlign w:val="superscript"/>
              </w:rPr>
              <w:t xml:space="preserve">,</w:t>
            </w:r>
            <w:hyperlink w:anchor="ref-96">
              <w:r>
                <w:rPr>
                  <w:rStyle w:val="Hyperlink"/>
                  <w:vertAlign w:val="superscript"/>
                </w:rPr>
                <w:t xml:space="preserve">96</w:t>
              </w:r>
            </w:hyperlink>
            <w:r>
              <w:rPr>
                <w:vertAlign w:val="superscript"/>
              </w:rPr>
              <w:t xml:space="preserve">]</w:t>
            </w:r>
          </w:p>
        </w:tc>
      </w:tr>
    </w:tbl>
    <w:bookmarkEnd w:id="213"/>
    <w:bookmarkStart w:id="214" w:name="sec-10-19"/>
    <w:p>
      <w:pPr>
        <w:pStyle w:val="Heading3"/>
      </w:pPr>
      <w:r>
        <w:t xml:space="preserve">10.19　胶质研究的证据强度与开放问题</w:t>
      </w:r>
    </w:p>
    <w:p>
      <w:pPr>
        <w:pStyle w:val="FirstParagraph"/>
      </w:pPr>
      <w:r>
        <w:t xml:space="preserve">高置信度结论包括胶质参与离子和递质稳态、髓鞘及代谢支持，基线小胶质具有持续动态活动，以及胶质状态随环境变化。特定发育回路中的补体相关塑形，也具有直接实验支持。对所有脑区统一适用的快速胶质递质释放模型，证据仍需按亚群和条件讨论</w:t>
      </w:r>
      <w:r>
        <w:rPr>
          <w:vertAlign w:val="superscript"/>
        </w:rPr>
        <w:t xml:space="preserve">[</w:t>
      </w:r>
      <w:hyperlink w:anchor="ref-87">
        <w:r>
          <w:rPr>
            <w:rStyle w:val="Hyperlink"/>
            <w:vertAlign w:val="superscript"/>
          </w:rPr>
          <w:t xml:space="preserve">87</w:t>
        </w:r>
      </w:hyperlink>
      <w:r>
        <w:rPr>
          <w:vertAlign w:val="superscript"/>
        </w:rPr>
        <w:t xml:space="preserve">,</w:t>
      </w:r>
      <w:hyperlink w:anchor="ref-90">
        <w:r>
          <w:rPr>
            <w:rStyle w:val="Hyperlink"/>
            <w:vertAlign w:val="superscript"/>
          </w:rPr>
          <w:t xml:space="preserve">90</w:t>
        </w:r>
      </w:hyperlink>
      <w:r>
        <w:rPr>
          <w:vertAlign w:val="superscript"/>
        </w:rPr>
        <w:t xml:space="preserve">,</w:t>
      </w:r>
      <w:hyperlink w:anchor="ref-94">
        <w:r>
          <w:rPr>
            <w:rStyle w:val="Hyperlink"/>
            <w:vertAlign w:val="superscript"/>
          </w:rPr>
          <w:t xml:space="preserve">94</w:t>
        </w:r>
      </w:hyperlink>
      <w:r>
        <w:rPr>
          <w:vertAlign w:val="superscript"/>
        </w:rPr>
        <w:t xml:space="preserve">,</w:t>
      </w:r>
      <w:hyperlink w:anchor="ref-96">
        <w:r>
          <w:rPr>
            <w:rStyle w:val="Hyperlink"/>
            <w:vertAlign w:val="superscript"/>
          </w:rPr>
          <w:t xml:space="preserve">96</w:t>
        </w:r>
      </w:hyperlink>
      <w:r>
        <w:rPr>
          <w:vertAlign w:val="superscript"/>
        </w:rPr>
        <w:t xml:space="preserve">]</w:t>
      </w:r>
      <w:r>
        <w:t xml:space="preserve">。</w:t>
      </w:r>
    </w:p>
    <w:p>
      <w:pPr>
        <w:pStyle w:val="BodyText"/>
      </w:pPr>
      <w:r>
        <w:t xml:space="preserve">重要开放问题包括局部胶质状态怎样协调远距离回路、同一种反应在何时转换功能、不同物种胶质机制有哪些可迁移部分，以及人体中哪些变化真正具有治疗价值。回答这些问题需要把细胞身份、空间位置、时间过程和功能结果连接起来。</w:t>
      </w:r>
    </w:p>
    <w:p>
      <w:pPr>
        <w:pStyle w:val="BodyText"/>
      </w:pPr>
      <w:r>
        <w:t xml:space="preserve">胶质视角能够扩展对脑的理解：电活动始终发生在一个不断被维护和改变的细胞外环境中。神经元计算与组织稳态彼此耦合，任何完整的脑功能模型都需要说明它依赖哪些环境条件，以及这些条件如何被多种细胞共同维持。</w:t>
      </w:r>
    </w:p>
    <w:bookmarkEnd w:id="214"/>
    <w:bookmarkEnd w:id="215"/>
    <w:bookmarkStart w:id="235" w:name="ch-11"/>
    <w:p>
      <w:pPr>
        <w:pStyle w:val="Heading2"/>
      </w:pPr>
      <w:r>
        <w:t xml:space="preserve">第11章　髓鞘、轴突与传导时间的可塑性</w:t>
      </w:r>
    </w:p>
    <w:bookmarkStart w:id="216" w:name="sec-11-1"/>
    <w:p>
      <w:pPr>
        <w:pStyle w:val="Heading3"/>
      </w:pPr>
      <w:r>
        <w:t xml:space="preserve">11.1　髓鞘把轴突与胶质组织成共同工作的结构</w:t>
      </w:r>
    </w:p>
    <w:p>
      <w:pPr>
        <w:pStyle w:val="FirstParagraph"/>
      </w:pPr>
      <w:r>
        <w:t xml:space="preserve">髓鞘由胶质细胞膜形成多层包裹，为轴突提供特殊的电学和代谢环境。中枢的少突胶质细胞能够形成多个髓鞘节段，外周有髓纤维的施万细胞通常与一个轴突节段形成密切单位。两类系统共享部分物理原则，同时具有不同的发育、分子组织和修复特征</w:t>
      </w:r>
      <w:r>
        <w:rPr>
          <w:vertAlign w:val="superscript"/>
        </w:rPr>
        <w:t xml:space="preserve">[</w:t>
      </w:r>
      <w:hyperlink w:anchor="ref-101">
        <w:r>
          <w:rPr>
            <w:rStyle w:val="Hyperlink"/>
            <w:vertAlign w:val="superscript"/>
          </w:rPr>
          <w:t xml:space="preserve">101</w:t>
        </w:r>
      </w:hyperlink>
      <w:r>
        <w:rPr>
          <w:vertAlign w:val="superscript"/>
        </w:rPr>
        <w:t xml:space="preserve">]</w:t>
      </w:r>
      <w:r>
        <w:t xml:space="preserve">。</w:t>
      </w:r>
    </w:p>
    <w:p>
      <w:pPr>
        <w:pStyle w:val="BodyText"/>
      </w:pPr>
      <w:r>
        <w:t xml:space="preserve">有髓轴突沿长度方向并非完全连续覆盖。郎飞结位于相邻髓鞘节段之间，结旁和近结旁区域具有特定的膜蛋白分布与细胞接触。一个完整的传导单元包括轴突内部、轴膜、周轴突空间、髓鞘、胶质细胞质通路及外部环境。</w:t>
      </w:r>
    </w:p>
    <w:p>
      <w:pPr>
        <w:pStyle w:val="BodyText"/>
      </w:pPr>
      <w:r>
        <w:t xml:space="preserve">把髓鞘理解为单纯厚度变量会遗漏重要机制。节段长度、结区长度、轴突直径、通道密度和包裹完整性都影响信号传播。结构正确还需要持续代谢维护；形态上存在的髓鞘，不保证相关轴突处于健康功能状态。</w:t>
      </w:r>
    </w:p>
    <w:bookmarkEnd w:id="216"/>
    <w:bookmarkStart w:id="217" w:name="sec-11-2"/>
    <w:p>
      <w:pPr>
        <w:pStyle w:val="Heading3"/>
      </w:pPr>
      <w:r>
        <w:t xml:space="preserve">11.2　髓鞘怎样改变电流传播</w:t>
      </w:r>
    </w:p>
    <w:p>
      <w:pPr>
        <w:pStyle w:val="FirstParagraph"/>
      </w:pPr>
      <w:r>
        <w:t xml:space="preserve">轴突膜具有电容和电阻。多层包裹改变跨膜电流路径，使节间区域的有效电容降低、跨膜电阻升高，漏电随之减少。局部电流因此能够沿轴突较有效地影响下一处高兴奋性区域，随后在那里再生动作电位。经典外周神经实验为跳跃式传导提供了直接证据</w:t>
      </w:r>
      <w:r>
        <w:rPr>
          <w:vertAlign w:val="superscript"/>
        </w:rPr>
        <w:t xml:space="preserve">[</w:t>
      </w:r>
      <w:hyperlink w:anchor="ref-102">
        <w:r>
          <w:rPr>
            <w:rStyle w:val="Hyperlink"/>
            <w:vertAlign w:val="superscript"/>
          </w:rPr>
          <w:t xml:space="preserve">102</w:t>
        </w:r>
      </w:hyperlink>
      <w:r>
        <w:rPr>
          <w:vertAlign w:val="superscript"/>
        </w:rPr>
        <w:t xml:space="preserve">]</w:t>
      </w:r>
      <w:r>
        <w:t xml:space="preserve">。</w:t>
      </w:r>
    </w:p>
    <w:p>
      <w:pPr>
        <w:pStyle w:val="BodyText"/>
      </w:pPr>
      <w:r>
        <w:t xml:space="preserve">跳跃这个名称描述主要再生位置的离散性。电场和局部电流仍然经过节间区域传播，脉冲不会在物理空间中消失后瞬间出现在远处。理解这个细节有助于解释节间膜损伤为什么能够阻断传播，即使邻近结区仍保留钠通道。</w:t>
      </w:r>
    </w:p>
    <w:p>
      <w:pPr>
        <w:pStyle w:val="BodyText"/>
      </w:pPr>
      <w:r>
        <w:t xml:space="preserve">从电路推导，若节间电容增大，同样电流需要为更多有效电荷容量充电；若膜漏电增加，能够到达下一结区的电流减少。两者都可能延迟或妨碍下一次再生。因此，髓鞘的功能依赖电容、电阻与结区兴奋性之间的配合。</w:t>
      </w:r>
    </w:p>
    <w:bookmarkEnd w:id="217"/>
    <w:bookmarkStart w:id="218" w:name="sec-11-3"/>
    <w:p>
      <w:pPr>
        <w:pStyle w:val="Heading3"/>
      </w:pPr>
      <w:r>
        <w:t xml:space="preserve">11.3　结区分子组织维持高可靠性</w:t>
      </w:r>
    </w:p>
    <w:p>
      <w:pPr>
        <w:pStyle w:val="FirstParagraph"/>
      </w:pPr>
      <w:r>
        <w:t xml:space="preserve">郎飞结具有集中的离子通道和细胞骨架支架。轴突与胶质接触、细胞黏附分子、细胞外基质以及锚蛋白和谱蛋白相关结构，共同参与通道聚集和区室边界形成。结旁区域也有助于限制膜蛋白在不同区域间的混合</w:t>
      </w:r>
      <w:r>
        <w:rPr>
          <w:vertAlign w:val="superscript"/>
        </w:rPr>
        <w:t xml:space="preserve">[</w:t>
      </w:r>
      <w:hyperlink w:anchor="ref-101">
        <w:r>
          <w:rPr>
            <w:rStyle w:val="Hyperlink"/>
            <w:vertAlign w:val="superscript"/>
          </w:rPr>
          <w:t xml:space="preserve">101</w:t>
        </w:r>
      </w:hyperlink>
      <w:r>
        <w:rPr>
          <w:vertAlign w:val="superscript"/>
        </w:rPr>
        <w:t xml:space="preserve">]</w:t>
      </w:r>
      <w:r>
        <w:t xml:space="preserve">。</w:t>
      </w:r>
    </w:p>
    <w:p>
      <w:pPr>
        <w:pStyle w:val="BodyText"/>
      </w:pPr>
      <w:r>
        <w:t xml:space="preserve">由此可见，髓鞘完整性包含比膜层数量更多的内容。若通道定位紊乱，即使包裹看起来仍然存在，传导也可能异常。反过来，局部包裹改变后，轴突可以通过通道重分布进行部分补偿，但新的传导状态可能付出不同的能量和时间代价。</w:t>
      </w:r>
    </w:p>
    <w:p>
      <w:pPr>
        <w:pStyle w:val="BodyText"/>
      </w:pPr>
      <w:r>
        <w:t xml:space="preserve">结区长度也会影响可用通道数量、电容负担和轴向电流关系。过短与过长的效果需要结合具体几何计算。不能假定结区越短越快，或通道越多越好；结构优化涉及多个相互约束的因素。</w:t>
      </w:r>
    </w:p>
    <w:bookmarkEnd w:id="218"/>
    <w:bookmarkStart w:id="219" w:name="sec-11-4"/>
    <w:p>
      <w:pPr>
        <w:pStyle w:val="Heading3"/>
      </w:pPr>
      <w:r>
        <w:t xml:space="preserve">11.4　轴突直径与传导速度</w:t>
      </w:r>
    </w:p>
    <w:p>
      <w:pPr>
        <w:pStyle w:val="FirstParagraph"/>
      </w:pPr>
      <w:r>
        <w:t xml:space="preserve">轴突越粗，其内部电流沿长度传播时的电阻通常越低。无髓与有髓轴突在几何约束相近时，传导速度对直径具有不同依赖。教材中常用简化比例描述这些趋势，但实际速度还受到温度、通道密度、髓鞘结构和活动历史影响</w:t>
      </w:r>
      <w:r>
        <w:rPr>
          <w:vertAlign w:val="superscript"/>
        </w:rPr>
        <w:t xml:space="preserve">[</w:t>
      </w:r>
      <w:hyperlink w:anchor="ref-36">
        <w:r>
          <w:rPr>
            <w:rStyle w:val="Hyperlink"/>
            <w:vertAlign w:val="superscript"/>
          </w:rPr>
          <w:t xml:space="preserve">36</w:t>
        </w:r>
      </w:hyperlink>
      <w:r>
        <w:rPr>
          <w:vertAlign w:val="superscript"/>
        </w:rPr>
        <w:t xml:space="preserve">,</w:t>
      </w:r>
      <w:hyperlink w:anchor="ref-102">
        <w:r>
          <w:rPr>
            <w:rStyle w:val="Hyperlink"/>
            <w:vertAlign w:val="superscript"/>
          </w:rPr>
          <w:t xml:space="preserve">102</w:t>
        </w:r>
      </w:hyperlink>
      <w:r>
        <w:rPr>
          <w:vertAlign w:val="superscript"/>
        </w:rPr>
        <w:t xml:space="preserve">]</w:t>
      </w:r>
      <w:r>
        <w:t xml:space="preserve">。</w:t>
      </w:r>
    </w:p>
    <w:p>
      <w:pPr>
        <w:pStyle w:val="BodyText"/>
      </w:pPr>
      <w:r>
        <w:t xml:space="preserve">粗轴突能够降低某些电学限制，却占据更多空间，并增加细胞维护成本。髓鞘则提供另一种提高传导效率的方式，同时也需要脂质、蛋白和胶质资源。神经系统的结构可以理解为空间、速度、能量和可靠性之间的多目标约束结果。</w:t>
      </w:r>
    </w:p>
    <w:p>
      <w:pPr>
        <w:pStyle w:val="BodyText"/>
      </w:pPr>
      <w:r>
        <w:t xml:space="preserve">比较物种或脑区时，应同时观察长度需求和行为时间尺度。一条较长轴突若保持相同速度，传导延迟自然更大；如果相关行为需要紧密同步，系统可能通过直径、髓鞘或回路结构调整补偿。单独比较某一种纤维更粗，无法直接推出整体认知更快。</w:t>
      </w:r>
    </w:p>
    <w:bookmarkEnd w:id="219"/>
    <w:bookmarkStart w:id="220" w:name="sec-11-5"/>
    <w:p>
      <w:pPr>
        <w:pStyle w:val="Heading3"/>
      </w:pPr>
      <w:r>
        <w:t xml:space="preserve">11.5　髓鞘厚度需要和轴突尺寸一起解释</w:t>
      </w:r>
    </w:p>
    <w:p>
      <w:pPr>
        <w:pStyle w:val="FirstParagraph"/>
      </w:pPr>
      <w:r>
        <w:t xml:space="preserve">常用的g比值表示轴突内径与包含髓鞘后的外径之比。较低比值通常意味着相对于轴突尺寸更厚的包裹，较高比值意味着相对更薄。这个指标把两个几何量压缩为一个比例，因此相同比值可以对应不同绝对直径与不同功能条件。</w:t>
      </w:r>
    </w:p>
    <w:p>
      <w:pPr>
        <w:pStyle w:val="BodyText"/>
      </w:pPr>
      <w:r>
        <w:t xml:space="preserve">不存在一个脱离模型假设、适用于全部轴突的唯一最佳g比值。若优化目标是某种速度与外径的关系，模型可以给出一个最优范围；若同时加入能耗、结间长度和代谢交换，最优条件可能变化。引用一个经典理论数值时，应同时说明它解决的具体优化问题。</w:t>
      </w:r>
    </w:p>
    <w:p>
      <w:pPr>
        <w:pStyle w:val="BodyText"/>
      </w:pPr>
      <w:r>
        <w:t xml:space="preserve">截面测量还可能受到切割角度、包裹不规则和组织处理影响。轴突近似圆形只是方便的几何假设。对于不规则形状，面积等效直径与单条径线测量可能得到不同结果，因此应保持定义一致。</w:t>
      </w:r>
    </w:p>
    <w:bookmarkEnd w:id="220"/>
    <w:bookmarkStart w:id="221" w:name="sec-11-6"/>
    <w:p>
      <w:pPr>
        <w:pStyle w:val="Heading3"/>
      </w:pPr>
      <w:r>
        <w:t xml:space="preserve">11.6　传导安全系数与活动历史</w:t>
      </w:r>
    </w:p>
    <w:p>
      <w:pPr>
        <w:pStyle w:val="FirstParagraph"/>
      </w:pPr>
      <w:r>
        <w:t xml:space="preserve">一个脉冲能否继续传播，取决于到达下游膜的去极化电流是否足以触发再生。实际可提供电流超过最低需要的程度，可概念化为传导的安全余量。髓鞘、结区通道和轴向电阻共同影响这个余量。</w:t>
      </w:r>
    </w:p>
    <w:p>
      <w:pPr>
        <w:pStyle w:val="BodyText"/>
      </w:pPr>
      <w:r>
        <w:t xml:space="preserve">连续高频活动可能改变离子梯度和通道可用性，使后续脉冲面对不同条件。温度变化也会影响通道动力学与膜过程。某些受损轴突在低频测试中能够传导，在较高负荷下却出现失败，因此一次单脉冲测量不能完整描述功能。</w:t>
      </w:r>
    </w:p>
    <w:p>
      <w:pPr>
        <w:pStyle w:val="BodyText"/>
      </w:pPr>
      <w:r>
        <w:t xml:space="preserve">传播失败还可能具有分支特异性。轴突分叉处面对不同下游电容和阻抗，某条分支可能更容易出现传导困难。结构连接图因此不能保证每一次动作电位都以相同方式到达所有末梢。</w:t>
      </w:r>
    </w:p>
    <w:bookmarkEnd w:id="221"/>
    <w:bookmarkStart w:id="222" w:name="sec-11-7"/>
    <w:p>
      <w:pPr>
        <w:pStyle w:val="Heading3"/>
      </w:pPr>
      <w:r>
        <w:t xml:space="preserve">11.7　传导延迟参与回路计算</w:t>
      </w:r>
    </w:p>
    <w:p>
      <w:pPr>
        <w:pStyle w:val="FirstParagraph"/>
      </w:pPr>
      <w:r>
        <w:t xml:space="preserve">对长度L、平均速度v的简化通路，传导时间等于L除以v。这个关系虽然简单，却说明髓鞘改变能够影响信息到达顺序。回路的总延迟还包括突触、细胞整合和其他环节，不能把全部行为反应时间归给轴突传导。</w:t>
      </w:r>
    </w:p>
    <w:p>
      <w:pPr>
        <w:pStyle w:val="BodyText"/>
      </w:pPr>
      <w:r>
        <w:t xml:space="preserve">考虑一个完全虚构的教学例子。通路甲长32毫米、平均速度每秒2米，其传导时间为16毫秒；通路乙长40毫米、平均速度每秒5米，其传导时间为8毫秒。较长路径在这个假设下反而先到达。这个结果来自给定参数，并不描述任何特定人脑纤维束。</w:t>
      </w:r>
    </w:p>
    <w:p>
      <w:pPr>
        <w:pStyle w:val="BodyText"/>
      </w:pPr>
      <w:r>
        <w:t xml:space="preserve">如果靶细胞依赖两路输入在一个较窄窗口内重合，到达时间差就可能改变输出。调整某一路速度可以增加或减少重合。但更同步是否更有利，取决于回路任务。感觉定位、节律协调和序列处理可能需要不同时间关系，因此速度最大化并非所有回路的统一目标。</w:t>
      </w:r>
    </w:p>
    <w:bookmarkEnd w:id="222"/>
    <w:bookmarkStart w:id="223" w:name="sec-11-8"/>
    <w:p>
      <w:pPr>
        <w:pStyle w:val="Heading3"/>
      </w:pPr>
      <w:r>
        <w:t xml:space="preserve">11.8　髓鞘分布沿单根轴突也有差异</w:t>
      </w:r>
    </w:p>
    <w:p>
      <w:pPr>
        <w:pStyle w:val="FirstParagraph"/>
      </w:pPr>
      <w:r>
        <w:t xml:space="preserve">高分辨率电子显微重建显示，小鼠新皮层锥体细胞的髓鞘沿轴突分布可以具有不同模式，某些轴突包含有髓节段与较长无髓区域交替的结构。这使髓鞘分布成为细胞形态与连接特征的一部分</w:t>
      </w:r>
      <w:r>
        <w:rPr>
          <w:vertAlign w:val="superscript"/>
        </w:rPr>
        <w:t xml:space="preserve">[</w:t>
      </w:r>
      <w:hyperlink w:anchor="ref-103">
        <w:r>
          <w:rPr>
            <w:rStyle w:val="Hyperlink"/>
            <w:vertAlign w:val="superscript"/>
          </w:rPr>
          <w:t xml:space="preserve">103</w:t>
        </w:r>
      </w:hyperlink>
      <w:r>
        <w:rPr>
          <w:vertAlign w:val="superscript"/>
        </w:rPr>
        <w:t xml:space="preserve">]</w:t>
      </w:r>
      <w:r>
        <w:t xml:space="preserve">。</w:t>
      </w:r>
    </w:p>
    <w:p>
      <w:pPr>
        <w:pStyle w:val="BodyText"/>
      </w:pPr>
      <w:r>
        <w:t xml:space="preserve">这类发现提醒我们，白质与灰质的二分只是宏观组织概括。灰质中也可以有有髓轴突，白质中也包含细胞体、血管和其他成分。某个区域看起来髓鞘较少，不能说明其中所有轴突都采用相同传导方式。</w:t>
      </w:r>
    </w:p>
    <w:p>
      <w:pPr>
        <w:pStyle w:val="BodyText"/>
      </w:pPr>
      <w:r>
        <w:t xml:space="preserve">局部无髓区域可能与分支、突触形成、结构约束或其他因素有关。对其功能的解释需要直接测量和模型支持，不能看到不连续包裹便断言它专门储存某一种信息。形态图首先告诉我们结构存在，随后才进入机制假设。</w:t>
      </w:r>
    </w:p>
    <w:bookmarkEnd w:id="223"/>
    <w:bookmarkStart w:id="224" w:name="sec-11-9"/>
    <w:p>
      <w:pPr>
        <w:pStyle w:val="Heading3"/>
      </w:pPr>
      <w:r>
        <w:t xml:space="preserve">11.9　抑制性中间神经元也可以有髓鞘</w:t>
      </w:r>
    </w:p>
    <w:p>
      <w:pPr>
        <w:pStyle w:val="FirstParagraph"/>
      </w:pPr>
      <w:r>
        <w:t xml:space="preserve">髓鞘并不限于远距离兴奋性投射。研究在小鼠和人类皮层相关组织中发现，快速放电的部分小白蛋白（PV）中间神经元轴突具有明显髓鞘包裹。这扩展了髓鞘对局部抑制时间组织可能具有作用的范围</w:t>
      </w:r>
      <w:r>
        <w:rPr>
          <w:vertAlign w:val="superscript"/>
        </w:rPr>
        <w:t xml:space="preserve">[</w:t>
      </w:r>
      <w:hyperlink w:anchor="ref-104">
        <w:r>
          <w:rPr>
            <w:rStyle w:val="Hyperlink"/>
            <w:vertAlign w:val="superscript"/>
          </w:rPr>
          <w:t xml:space="preserve">104</w:t>
        </w:r>
      </w:hyperlink>
      <w:r>
        <w:rPr>
          <w:vertAlign w:val="superscript"/>
        </w:rPr>
        <w:t xml:space="preserve">]</w:t>
      </w:r>
      <w:r>
        <w:t xml:space="preserve">。</w:t>
      </w:r>
    </w:p>
    <w:p>
      <w:pPr>
        <w:pStyle w:val="BodyText"/>
      </w:pPr>
      <w:r>
        <w:t xml:space="preserve">局部抑制回路常对时间精度敏感。如果轴突传导发生延迟或波动，抑制到达的相位就可能变化。结合突触释放和靶细胞膜动力学，这可能改变兴奋输入被允许通过的时间窗口。这里描述的是机制推论，具体功能需要在相应回路中检验。</w:t>
      </w:r>
    </w:p>
    <w:p>
      <w:pPr>
        <w:pStyle w:val="BodyText"/>
      </w:pPr>
      <w:r>
        <w:t xml:space="preserve">快速放电细胞还具有持续能量需求。髓鞘带来的代谢与电学支持可能共同重要，不能把观察到的功能变化全部归于速度。区分这两部分，可以结合传导测量、能量状态和细胞生存指标。</w:t>
      </w:r>
    </w:p>
    <w:bookmarkEnd w:id="224"/>
    <w:bookmarkStart w:id="225" w:name="sec-11-10"/>
    <w:p>
      <w:pPr>
        <w:pStyle w:val="Heading3"/>
      </w:pPr>
      <w:r>
        <w:t xml:space="preserve">11.10　少突胶质前体能够感受神经活动</w:t>
      </w:r>
    </w:p>
    <w:p>
      <w:pPr>
        <w:pStyle w:val="FirstParagraph"/>
      </w:pPr>
      <w:r>
        <w:t xml:space="preserve">少突胶质前体细胞分布于成年中枢组织，并可继续增殖和分化。经典电生理研究显示，海马中的这类细胞能够接收谷氨酸相关突触输入，证明神经元活动可以通过直接突触途径与少突谱系相联系</w:t>
      </w:r>
      <w:r>
        <w:rPr>
          <w:vertAlign w:val="superscript"/>
        </w:rPr>
        <w:t xml:space="preserve">[</w:t>
      </w:r>
      <w:hyperlink w:anchor="ref-100">
        <w:r>
          <w:rPr>
            <w:rStyle w:val="Hyperlink"/>
            <w:vertAlign w:val="superscript"/>
          </w:rPr>
          <w:t xml:space="preserve">100</w:t>
        </w:r>
      </w:hyperlink>
      <w:r>
        <w:rPr>
          <w:vertAlign w:val="superscript"/>
        </w:rPr>
        <w:t xml:space="preserve">]</w:t>
      </w:r>
      <w:r>
        <w:t xml:space="preserve">。</w:t>
      </w:r>
    </w:p>
    <w:p>
      <w:pPr>
        <w:pStyle w:val="BodyText"/>
      </w:pPr>
      <w:r>
        <w:t xml:space="preserve">接收输入不等于每次输入都会引起分化。细胞还需要整合生长因子、接触信号、代谢条件和自身发育状态。相同活动模式对不同前体细胞可能产生不同结果，甚至一部分细胞保持前体状态而另一部分进入成熟过程。</w:t>
      </w:r>
    </w:p>
    <w:p>
      <w:pPr>
        <w:pStyle w:val="BodyText"/>
      </w:pPr>
      <w:r>
        <w:t xml:space="preserve">前体数量增加也不能直接等同髓鞘增加。增殖、迁移、分化、生存和实际包裹轴突是连续但可分别受阻的步骤。研究应尽量说明观察到的是哪一阶段，以及变化是否转化为功能性节段。</w:t>
      </w:r>
    </w:p>
    <w:bookmarkEnd w:id="225"/>
    <w:bookmarkStart w:id="226" w:name="sec-11-11"/>
    <w:p>
      <w:pPr>
        <w:pStyle w:val="Heading3"/>
      </w:pPr>
      <w:r>
        <w:t xml:space="preserve">11.11　活动依赖髓鞘改变的证据</w:t>
      </w:r>
    </w:p>
    <w:p>
      <w:pPr>
        <w:pStyle w:val="FirstParagraph"/>
      </w:pPr>
      <w:r>
        <w:t xml:space="preserve">小鼠前运动皮层的光遗传实验显示，神经活动能够影响少突谱系增殖、成熟和髓鞘相关变化，并与特定运动功能改变相联系。这为活动和髓鞘之间的因果作用提供了实验支持，同时保留了刺激方式、年龄和回路条件的限制</w:t>
      </w:r>
      <w:r>
        <w:rPr>
          <w:vertAlign w:val="superscript"/>
        </w:rPr>
        <w:t xml:space="preserve">[</w:t>
      </w:r>
      <w:hyperlink w:anchor="ref-105">
        <w:r>
          <w:rPr>
            <w:rStyle w:val="Hyperlink"/>
            <w:vertAlign w:val="superscript"/>
          </w:rPr>
          <w:t xml:space="preserve">105</w:t>
        </w:r>
      </w:hyperlink>
      <w:r>
        <w:rPr>
          <w:vertAlign w:val="superscript"/>
        </w:rPr>
        <w:t xml:space="preserve">]</w:t>
      </w:r>
      <w:r>
        <w:t xml:space="preserve">。</w:t>
      </w:r>
    </w:p>
    <w:p>
      <w:pPr>
        <w:pStyle w:val="BodyText"/>
      </w:pPr>
      <w:r>
        <w:t xml:space="preserve">活动依赖意味着经验能够参与调节，但具体规则仍需分解。细胞可能对平均放电、短时爆发、同步程度或伴随分泌信号作出不同响应。一个简单活动总量指标，未必足以预测最终包裹位置和节段长度。</w:t>
      </w:r>
    </w:p>
    <w:p>
      <w:pPr>
        <w:pStyle w:val="BodyText"/>
      </w:pPr>
      <w:r>
        <w:t xml:space="preserve">还应区分新生成少突细胞带来的新节段，与已有细胞改变原有节段。二者的时间尺度、资源需求和稳定性可能不同。观察到总体髓鞘标记升高，并不能确定由哪一过程贡献。</w:t>
      </w:r>
    </w:p>
    <w:bookmarkEnd w:id="226"/>
    <w:bookmarkStart w:id="227" w:name="sec-11-12"/>
    <w:p>
      <w:pPr>
        <w:pStyle w:val="Heading3"/>
      </w:pPr>
      <w:r>
        <w:t xml:space="preserve">11.12　学习中的少突谱系贡献</w:t>
      </w:r>
    </w:p>
    <w:p>
      <w:pPr>
        <w:pStyle w:val="FirstParagraph"/>
      </w:pPr>
      <w:r>
        <w:t xml:space="preserve">成年小鼠复杂跑轮学习研究通过限制新的少突胶质细胞形成，观察到新技能学习受到影响；在阻断前已经学会该技能的小鼠，此后仍能正常完成任务</w:t>
      </w:r>
      <w:r>
        <w:rPr>
          <w:vertAlign w:val="superscript"/>
        </w:rPr>
        <w:t xml:space="preserve">[</w:t>
      </w:r>
      <w:hyperlink w:anchor="ref-106">
        <w:r>
          <w:rPr>
            <w:rStyle w:val="Hyperlink"/>
            <w:vertAlign w:val="superscript"/>
          </w:rPr>
          <w:t xml:space="preserve">106</w:t>
        </w:r>
      </w:hyperlink>
      <w:r>
        <w:rPr>
          <w:vertAlign w:val="superscript"/>
        </w:rPr>
        <w:t xml:space="preserve">]</w:t>
      </w:r>
      <w:r>
        <w:t xml:space="preserve">。后续工作进一步把早期学习与新生少突谱系变化联系起来</w:t>
      </w:r>
      <w:r>
        <w:rPr>
          <w:vertAlign w:val="superscript"/>
        </w:rPr>
        <w:t xml:space="preserve">[</w:t>
      </w:r>
      <w:hyperlink w:anchor="ref-107">
        <w:r>
          <w:rPr>
            <w:rStyle w:val="Hyperlink"/>
            <w:vertAlign w:val="superscript"/>
          </w:rPr>
          <w:t xml:space="preserve">107</w:t>
        </w:r>
      </w:hyperlink>
      <w:r>
        <w:rPr>
          <w:vertAlign w:val="superscript"/>
        </w:rPr>
        <w:t xml:space="preserve">]</w:t>
      </w:r>
      <w:r>
        <w:t xml:space="preserve">。这些实验支持少突谱系在特定学习条件中的功能贡献。</w:t>
      </w:r>
    </w:p>
    <w:p>
      <w:pPr>
        <w:pStyle w:val="BodyText"/>
      </w:pPr>
      <w:r>
        <w:t xml:space="preserve">这里需要避免一个时间尺度误解。检测到早期新生细胞标记，不意味着所有新髓鞘层已经在极短时间内完成并承担全部行为效应。新细胞可能通过多个过程影响局部环境，成熟包裹还可能继续发生。将早期细胞变化与较晚结构变化分别测量，有助于建立完整链条。</w:t>
      </w:r>
    </w:p>
    <w:p>
      <w:pPr>
        <w:pStyle w:val="BodyText"/>
      </w:pPr>
      <w:r>
        <w:t xml:space="preserve">也不能把一个运动任务的结果推广为所有知识学习。技能、感觉适应和记忆提取涉及不同回路，髓鞘贡献可能不同。现有机制证据足以扩展学习的细胞基础，但不足以建立一种统一的髓鞘训练处方。</w:t>
      </w:r>
    </w:p>
    <w:bookmarkEnd w:id="227"/>
    <w:bookmarkStart w:id="228" w:name="sec-11-13"/>
    <w:p>
      <w:pPr>
        <w:pStyle w:val="Heading3"/>
      </w:pPr>
      <w:r>
        <w:t xml:space="preserve">11.13　轴突需要持续代谢支持</w:t>
      </w:r>
    </w:p>
    <w:p>
      <w:pPr>
        <w:pStyle w:val="FirstParagraph"/>
      </w:pPr>
      <w:r>
        <w:t xml:space="preserve">长轴突需要在远离胞体的位置维持离子梯度、运输和细胞骨架。少突胶质提供的支持包含代谢物交换。关于单羧酸转运体1（MCT1）的研究显示，少突胶质相关转运功能受损可以引起轴突损伤，提示代谢支持与包裹结构需要分别关注</w:t>
      </w:r>
      <w:r>
        <w:rPr>
          <w:vertAlign w:val="superscript"/>
        </w:rPr>
        <w:t xml:space="preserve">[</w:t>
      </w:r>
      <w:hyperlink w:anchor="ref-98">
        <w:r>
          <w:rPr>
            <w:rStyle w:val="Hyperlink"/>
            <w:vertAlign w:val="superscript"/>
          </w:rPr>
          <w:t xml:space="preserve">98</w:t>
        </w:r>
      </w:hyperlink>
      <w:r>
        <w:rPr>
          <w:vertAlign w:val="superscript"/>
        </w:rPr>
        <w:t xml:space="preserve">]</w:t>
      </w:r>
      <w:r>
        <w:t xml:space="preserve">。</w:t>
      </w:r>
    </w:p>
    <w:p>
      <w:pPr>
        <w:pStyle w:val="BodyText"/>
      </w:pPr>
      <w:r>
        <w:t xml:space="preserve">其他遗传代谢研究也支持成熟少突胶质与轴突之间存在重要能量联系。相关结果并不意味着所有轴突在任何情况下都只依赖胶质提供一种底物；底物来源会随活动、营养和细胞状态变化</w:t>
      </w:r>
      <w:r>
        <w:rPr>
          <w:vertAlign w:val="superscript"/>
        </w:rPr>
        <w:t xml:space="preserve">[</w:t>
      </w:r>
      <w:hyperlink w:anchor="ref-99">
        <w:r>
          <w:rPr>
            <w:rStyle w:val="Hyperlink"/>
            <w:vertAlign w:val="superscript"/>
          </w:rPr>
          <w:t xml:space="preserve">99</w:t>
        </w:r>
      </w:hyperlink>
      <w:r>
        <w:rPr>
          <w:vertAlign w:val="superscript"/>
        </w:rPr>
        <w:t xml:space="preserve">]</w:t>
      </w:r>
      <w:r>
        <w:t xml:space="preserve">。</w:t>
      </w:r>
    </w:p>
    <w:p>
      <w:pPr>
        <w:pStyle w:val="BodyText"/>
      </w:pPr>
      <w:r>
        <w:t xml:space="preserve">从空间结构看，被髓鞘包裹的轴膜与广阔细胞外环境之间存在特殊边界，因此胶质细胞质通路和周轴突空间具有意义。一个包裹得很好但交换受损的轴突，仍然可能逐渐退化。电学绝缘与代谢可达性需要同时维持。</w:t>
      </w:r>
    </w:p>
    <w:bookmarkEnd w:id="228"/>
    <w:bookmarkStart w:id="229" w:name="sec-11-14"/>
    <w:p>
      <w:pPr>
        <w:pStyle w:val="Heading3"/>
      </w:pPr>
      <w:r>
        <w:t xml:space="preserve">11.14　轴突运输把远端需要连接到胞体</w:t>
      </w:r>
    </w:p>
    <w:p>
      <w:pPr>
        <w:pStyle w:val="FirstParagraph"/>
      </w:pPr>
      <w:r>
        <w:t xml:space="preserve">蛋白、细胞器和膜成分需要沿轴突运输。微管为部分长程运输提供轨道，马达蛋白以方向和货物相关的方式移动。线粒体的定位、更新和清除尤其关系到局部能量供应。轴突损伤可以影响运输，运输异常又可能进一步损伤轴突。</w:t>
      </w:r>
    </w:p>
    <w:p>
      <w:pPr>
        <w:pStyle w:val="BodyText"/>
      </w:pPr>
      <w:r>
        <w:t xml:space="preserve">这一结构使神经元特别依赖空间协调。胞体合成的成分到达远端需要时间，远端产生的损伤信号也需要返回或在局部处理。较长轴突可能面对更大的运输和维护负担，因此轴突长度是理解某些选择性易损性的重要变量。</w:t>
      </w:r>
    </w:p>
    <w:p>
      <w:pPr>
        <w:pStyle w:val="BodyText"/>
      </w:pPr>
      <w:r>
        <w:t xml:space="preserve">研究髓鞘相关疾病时，若只统计髓鞘面积，可能漏掉已经发生的运输障碍或轴突内细胞器积累。结构包裹、轴突完整性、运输功能和传导能力需要结合，才能区分病理发展的不同阶段。</w:t>
      </w:r>
    </w:p>
    <w:bookmarkEnd w:id="229"/>
    <w:bookmarkStart w:id="230" w:name="sec-11-15"/>
    <w:p>
      <w:pPr>
        <w:pStyle w:val="Heading3"/>
      </w:pPr>
      <w:r>
        <w:t xml:space="preserve">11.15　脱髓鞘怎样改变传播条件</w:t>
      </w:r>
    </w:p>
    <w:p>
      <w:pPr>
        <w:pStyle w:val="FirstParagraph"/>
      </w:pPr>
      <w:r>
        <w:t xml:space="preserve">髓鞘受损后，原先被包裹的膜可能承担更大电容和漏电负荷，使到达下游的电流减少。暴露区域的通道分布可能暂时不适合有效再生，导致传导减慢或阻断。随着时间变化，轴突可能进行通道重分布，形成部分功能恢复，同时承担不同能量需求。</w:t>
      </w:r>
    </w:p>
    <w:p>
      <w:pPr>
        <w:pStyle w:val="BodyText"/>
      </w:pPr>
      <w:r>
        <w:t xml:space="preserve">脱髓鞘和轴突丧失应明确区分。前者描述包裹受损，后者描述传递结构本身退化。两者可以先后发生，也可以同时存在。重新形成髓鞘可能改善仍存活轴突的条件，却无法单靠包裹恢复已经消失的全部长程连接。</w:t>
      </w:r>
    </w:p>
    <w:p>
      <w:pPr>
        <w:pStyle w:val="BodyText"/>
      </w:pPr>
      <w:r>
        <w:t xml:space="preserve">症状波动也可能与温度、疲劳、离子环境和网络补偿有关。因此，结构损伤程度与某个时点功能表现之间不必严格一一对应。临床评估需要结合多个层面的信息，本章的机制说明不提供个人诊断依据。</w:t>
      </w:r>
    </w:p>
    <w:bookmarkEnd w:id="230"/>
    <w:bookmarkStart w:id="231" w:name="sec-11-16"/>
    <w:p>
      <w:pPr>
        <w:pStyle w:val="Heading3"/>
      </w:pPr>
      <w:r>
        <w:t xml:space="preserve">11.16　再髓鞘化是分阶段的再生过程</w:t>
      </w:r>
    </w:p>
    <w:p>
      <w:pPr>
        <w:pStyle w:val="FirstParagraph"/>
      </w:pPr>
      <w:r>
        <w:t xml:space="preserve">再髓鞘化通常需要前体细胞到达或在局部被招募，进入适当分化状态，与仍然可包裹的轴突接触，形成新膜并组织结区。病灶环境中的炎症、碎片、细胞外基质和代谢条件，可以影响不同步骤。单纯存在前体细胞，并不能保证再生顺利完成。</w:t>
      </w:r>
    </w:p>
    <w:p>
      <w:pPr>
        <w:pStyle w:val="BodyText"/>
      </w:pPr>
      <w:r>
        <w:t xml:space="preserve">年龄相关研究显示，老年组织的再生能力受到细胞内状态与全身环境共同影响。异龄共生实验在特定小鼠损伤模型中改善了再髓鞘化，提示可调节的环境因素存在；这类动物实验不能被翻译为人体接受年轻血液即可修复脑组织的疗效结论</w:t>
      </w:r>
      <w:r>
        <w:rPr>
          <w:vertAlign w:val="superscript"/>
        </w:rPr>
        <w:t xml:space="preserve">[</w:t>
      </w:r>
      <w:hyperlink w:anchor="ref-108">
        <w:r>
          <w:rPr>
            <w:rStyle w:val="Hyperlink"/>
            <w:vertAlign w:val="superscript"/>
          </w:rPr>
          <w:t xml:space="preserve">108</w:t>
        </w:r>
      </w:hyperlink>
      <w:r>
        <w:rPr>
          <w:vertAlign w:val="superscript"/>
        </w:rPr>
        <w:t xml:space="preserve">]</w:t>
      </w:r>
      <w:r>
        <w:t xml:space="preserve">。</w:t>
      </w:r>
    </w:p>
    <w:p>
      <w:pPr>
        <w:pStyle w:val="BodyText"/>
      </w:pPr>
      <w:r>
        <w:t xml:space="preserve">再生后的髓鞘可能在厚度和节段长度上与原结构不同，但仍有可能改善传导和轴突保护。判断成功需要功能指标，不能只要求形态完全复制原状态。长期稳定性和对再次损伤的抵抗能力，同样属于重要结局。</w:t>
      </w:r>
    </w:p>
    <w:bookmarkEnd w:id="231"/>
    <w:bookmarkStart w:id="232" w:name="sec-11-17"/>
    <w:p>
      <w:pPr>
        <w:pStyle w:val="Heading3"/>
      </w:pPr>
      <w:r>
        <w:t xml:space="preserve">11.17　影像中的白质信号包含多种成分</w:t>
      </w:r>
    </w:p>
    <w:p>
      <w:pPr>
        <w:pStyle w:val="FirstParagraph"/>
      </w:pPr>
      <w:r>
        <w:t xml:space="preserve">弥散磁共振测量水分子运动对组织结构的敏感性，磁化转移、弛豫和其他方法反映不同物理过程。多种指标与组织学髓鞘测量存在相关，但特异性和可比性受到轴突密度、方向分布、水分、铁及其他因素影响。系统综述支持使用多模态信息，并强调验证条件的重要性</w:t>
      </w:r>
      <w:r>
        <w:rPr>
          <w:vertAlign w:val="superscript"/>
        </w:rPr>
        <w:t xml:space="preserve">[</w:t>
      </w:r>
      <w:hyperlink w:anchor="ref-109">
        <w:r>
          <w:rPr>
            <w:rStyle w:val="Hyperlink"/>
            <w:vertAlign w:val="superscript"/>
          </w:rPr>
          <w:t xml:space="preserve">109</w:t>
        </w:r>
      </w:hyperlink>
      <w:r>
        <w:rPr>
          <w:vertAlign w:val="superscript"/>
        </w:rPr>
        <w:t xml:space="preserve">]</w:t>
      </w:r>
      <w:r>
        <w:t xml:space="preserve">。</w:t>
      </w:r>
    </w:p>
    <w:p>
      <w:pPr>
        <w:pStyle w:val="BodyText"/>
      </w:pPr>
      <w:r>
        <w:t xml:space="preserve">因此，某个弥散指标变化不能直接等同髓鞘增加或减少。交叉纤维、局部水肿和轴突排列变化都可能改变信号。即使一个指标在某种疾病或动物模型中与髓鞘相关，也需要检查该关系是否适用于另一种人群和组织状态。</w:t>
      </w:r>
    </w:p>
    <w:p>
      <w:pPr>
        <w:pStyle w:val="BodyText"/>
      </w:pPr>
      <w:r>
        <w:t xml:space="preserve">影像最有价值的用途，是在经过验证的模型中提供可重复的宏观观察，并与行为、生理和其他影像量结合。它能够扩展人体纵向研究范围，同时保留对微观机制的条件性解释。</w:t>
      </w:r>
    </w:p>
    <w:bookmarkEnd w:id="232"/>
    <w:bookmarkStart w:id="233" w:name="sec-11-18"/>
    <w:p>
      <w:pPr>
        <w:pStyle w:val="Heading3"/>
      </w:pPr>
      <w:r>
        <w:t xml:space="preserve">11.18　经验改变白质时应追踪具体机制</w:t>
      </w:r>
    </w:p>
    <w:p>
      <w:pPr>
        <w:pStyle w:val="FirstParagraph"/>
      </w:pPr>
      <w:r>
        <w:t xml:space="preserve">训练前后白质影像发生变化，可以提示组织随经验调整。候选机制包括髓鞘、轴突直径、细胞分支、胶质状态和水环境。若研究目标是证明髓鞘参与，最好结合更相关的成像指标、动物组织验证或直接细胞操控。</w:t>
      </w:r>
    </w:p>
    <w:p>
      <w:pPr>
        <w:pStyle w:val="BodyText"/>
      </w:pPr>
      <w:r>
        <w:t xml:space="preserve">时间过程能够帮助筛选机制。极短时间内变化可能优先涉及水和离子环境，较长时间变化可以容纳细胞成熟和膜合成，但时间尺度本身仍不能唯一确定机制。多个过程可能共同参与，且不同阶段的主导因素可以转换。</w:t>
      </w:r>
    </w:p>
    <w:p>
      <w:pPr>
        <w:pStyle w:val="BodyText"/>
      </w:pPr>
      <w:r>
        <w:t xml:space="preserve">对日常学习的实用理解是，练习会使整个神经系统适应，包括突触、细胞兴奋性、胶质和回路协调。没有可靠证据支持仅凭某种训练名称就精确指定它增加了哪条纤维束多少髓鞘。专业解释应保留这种测量边界。</w:t>
      </w:r>
    </w:p>
    <w:bookmarkEnd w:id="233"/>
    <w:bookmarkStart w:id="234" w:name="sec-11-19"/>
    <w:p>
      <w:pPr>
        <w:pStyle w:val="Heading3"/>
      </w:pPr>
      <w:r>
        <w:t xml:space="preserve">11.19　整合电学、结构、代谢与学习</w:t>
      </w:r>
    </w:p>
    <w:p>
      <w:pPr>
        <w:pStyle w:val="FirstParagraph"/>
      </w:pPr>
      <w:r>
        <w:t xml:space="preserve">髓鞘研究连接了四个相互依赖的问题：电流怎样沿轴突传播，分子怎样组织结区，胶质怎样支持长期代谢，以及经验怎样调整连接时间与稳定性。任何一部分变化都可能影响另外三部分，因此单变量解释往往不够完整。</w:t>
      </w:r>
    </w:p>
    <w:p>
      <w:pPr>
        <w:pStyle w:val="BodyText"/>
      </w:pPr>
      <w:r>
        <w:t xml:space="preserve">高置信度结论包括髓鞘和结区组织对可靠传导的重要性、少突谱系的活动响应、以及髓鞘细胞对轴突的代谢支持。特定学习模型提供了新的因果证据，但人类复杂认知中的精确作用规则仍在研究。更快、更厚、更多都缺少普遍的价值方向，功能取决于回路需要和资源约束。</w:t>
      </w:r>
    </w:p>
    <w:p>
      <w:pPr>
        <w:pStyle w:val="BodyText"/>
      </w:pPr>
      <w:r>
        <w:t xml:space="preserve">一个成熟的回路模型应同时标注连接强度和延迟，并说明传导可靠性是否随状态变化。将髓鞘纳入之后，连接图就从静态线条进一步变为具有速度、能量和可塑性的生物通路。</w:t>
      </w:r>
    </w:p>
    <w:bookmarkEnd w:id="234"/>
    <w:bookmarkEnd w:id="235"/>
    <w:bookmarkStart w:id="263" w:name="ch-12"/>
    <w:p>
      <w:pPr>
        <w:pStyle w:val="Heading2"/>
      </w:pPr>
      <w:r>
        <w:t xml:space="preserve">第12章　神经血管单元与脑内物质交换</w:t>
      </w:r>
    </w:p>
    <w:bookmarkStart w:id="236" w:name="sec-12-1"/>
    <w:p>
      <w:pPr>
        <w:pStyle w:val="Heading3"/>
      </w:pPr>
      <w:r>
        <w:t xml:space="preserve">12.1　神经活动依赖持续的物质供给</w:t>
      </w:r>
    </w:p>
    <w:p>
      <w:pPr>
        <w:pStyle w:val="FirstParagraph"/>
      </w:pPr>
      <w:r>
        <w:t xml:space="preserve">维持膜电位、突触传递、蛋白更新和细胞内运输都需要能量及原料。脑血管把氧和营养底物送到组织，同时参与代谢物交换与局部环境控制。神经元、胶质、内皮、血管壁细胞和细胞外基质形成相互作用网络，通常用神经血管单元这一概念组织讨论</w:t>
      </w:r>
      <w:r>
        <w:rPr>
          <w:vertAlign w:val="superscript"/>
        </w:rPr>
        <w:t xml:space="preserve">[</w:t>
      </w:r>
      <w:hyperlink w:anchor="ref-110">
        <w:r>
          <w:rPr>
            <w:rStyle w:val="Hyperlink"/>
            <w:vertAlign w:val="superscript"/>
          </w:rPr>
          <w:t xml:space="preserve">110</w:t>
        </w:r>
      </w:hyperlink>
      <w:r>
        <w:rPr>
          <w:vertAlign w:val="superscript"/>
        </w:rPr>
        <w:t xml:space="preserve">,</w:t>
      </w:r>
      <w:hyperlink w:anchor="ref-111">
        <w:r>
          <w:rPr>
            <w:rStyle w:val="Hyperlink"/>
            <w:vertAlign w:val="superscript"/>
          </w:rPr>
          <w:t xml:space="preserve">111</w:t>
        </w:r>
      </w:hyperlink>
      <w:r>
        <w:rPr>
          <w:vertAlign w:val="superscript"/>
        </w:rPr>
        <w:t xml:space="preserve">]</w:t>
      </w:r>
      <w:r>
        <w:t xml:space="preserve">。</w:t>
      </w:r>
    </w:p>
    <w:p>
      <w:pPr>
        <w:pStyle w:val="BodyText"/>
      </w:pPr>
      <w:r>
        <w:t xml:space="preserve">这个单元具有区域和血管层级差异。大动脉、穿通小动脉、毛细血管和小静脉面对的压力、交换任务及细胞组成并不完全相同。把一张毛细血管横截面图复制到整个血管树，会遗漏上游供血、下游回流和全身生理的作用</w:t>
      </w:r>
      <w:r>
        <w:rPr>
          <w:vertAlign w:val="superscript"/>
        </w:rPr>
        <w:t xml:space="preserve">[</w:t>
      </w:r>
      <w:hyperlink w:anchor="ref-112">
        <w:r>
          <w:rPr>
            <w:rStyle w:val="Hyperlink"/>
            <w:vertAlign w:val="superscript"/>
          </w:rPr>
          <w:t xml:space="preserve">112</w:t>
        </w:r>
      </w:hyperlink>
      <w:r>
        <w:rPr>
          <w:vertAlign w:val="superscript"/>
        </w:rPr>
        <w:t xml:space="preserve">]</w:t>
      </w:r>
      <w:r>
        <w:t xml:space="preserve">。</w:t>
      </w:r>
    </w:p>
    <w:p>
      <w:pPr>
        <w:pStyle w:val="BodyText"/>
      </w:pPr>
      <w:r>
        <w:t xml:space="preserve">神经血管关系同时包含供给与信号。神经活动能够改变血流，血管状态又能改变神经元可获得的氧、底物和离子环境。一个方向的变化可以通过反馈影响另一个方向，因此观察到血流与行为相关时，仍需要判断具体因果路径。</w:t>
      </w:r>
    </w:p>
    <w:bookmarkEnd w:id="236"/>
    <w:bookmarkStart w:id="241" w:name="sec-12-2"/>
    <w:p>
      <w:pPr>
        <w:pStyle w:val="Heading3"/>
      </w:pPr>
      <w:r>
        <w:t xml:space="preserve">12.2　血脑屏障的直接界面位于内皮</w:t>
      </w:r>
    </w:p>
    <w:p>
      <w:pPr>
        <w:pStyle w:val="FirstParagraph"/>
      </w:pPr>
      <w:r>
        <w:t xml:space="preserve">大多数脑实质微血管的直接屏障界面由特化内皮细胞形成。相邻内皮之间的紧密连接限制旁细胞通路，低水平的非选择性转胞吞和特定转运系统共同控制跨细胞交换。周细胞、基底膜和星形胶质足突位于其外侧，参与屏障形成、维护和调节</w:t>
      </w:r>
      <w:r>
        <w:rPr>
          <w:vertAlign w:val="superscript"/>
        </w:rPr>
        <w:t xml:space="preserve">[</w:t>
      </w:r>
      <w:hyperlink w:anchor="ref-113">
        <w:r>
          <w:rPr>
            <w:rStyle w:val="Hyperlink"/>
            <w:vertAlign w:val="superscript"/>
          </w:rPr>
          <w:t xml:space="preserve">113</w:t>
        </w:r>
      </w:hyperlink>
      <w:r>
        <w:rPr>
          <w:vertAlign w:val="superscript"/>
        </w:rPr>
        <w:t xml:space="preserve">,</w:t>
      </w:r>
      <w:hyperlink w:anchor="ref-114">
        <w:r>
          <w:rPr>
            <w:rStyle w:val="Hyperlink"/>
            <w:vertAlign w:val="superscript"/>
          </w:rPr>
          <w:t xml:space="preserve">114</w:t>
        </w:r>
      </w:hyperlink>
      <w:r>
        <w:rPr>
          <w:vertAlign w:val="superscript"/>
        </w:rPr>
        <w:t xml:space="preserve">]</w:t>
      </w:r>
      <w:r>
        <w:t xml:space="preserve">。</w:t>
      </w:r>
    </w:p>
    <w:p>
      <w:pPr>
        <w:pStyle w:val="BodyText"/>
      </w:pPr>
      <w:r>
        <w:t xml:space="preserve">绘图时应把紧密连接放在相邻内皮细胞之间。星形胶质足突接近血管外表面，但它们没有替代内皮成为血液直接接触的连续屏障。周细胞与内皮共享紧密的基底膜相关环境，并通过信号与结构关系影响内皮状态。准确位置能够避免把屏障作用错误归给一层外部胶质包裹。</w:t>
      </w:r>
    </w:p>
    <w:p>
      <w:pPr>
        <w:pStyle w:val="BodyText"/>
      </w:pPr>
      <w:r>
        <w:t xml:space="preserve">屏障的含义是有选择地控制交换。氧、二氧化碳、葡萄糖、氨基酸和多种其他物质仍然需要经过适当路径。完全封闭会使神经组织失去生存条件，过度开放又会破坏精细的细胞外环境。正常功能依赖这种选择性。</w:t>
      </w:r>
    </w:p>
    <w:p>
      <w:pPr>
        <w:pStyle w:val="Figure"/>
      </w:pPr>
      <w:r>
        <w:drawing>
          <wp:inline>
            <wp:extent cx="5334000" cy="3995853"/>
            <wp:effectExtent b="0" l="0" r="0" t="0"/>
            <wp:docPr descr="A图3 神经血管界面的结构与选择性通路" title="" id="238" name="Picture"/>
            <a:graphic>
              <a:graphicData uri="http://schemas.openxmlformats.org/drawingml/2006/picture">
                <pic:pic>
                  <pic:nvPicPr>
                    <pic:cNvPr descr="/tmp/claude-0/-home-user-i18ns/3184e246-229e-5a65-b6f3-3f7647a222c4/scratchpad/src/B_media/media/image11.png" id="239" name="Picture"/>
                    <pic:cNvPicPr>
                      <a:picLocks noChangeArrowheads="1" noChangeAspect="1"/>
                    </pic:cNvPicPr>
                  </pic:nvPicPr>
                  <pic:blipFill>
                    <a:blip r:embed="rId237"/>
                    <a:stretch>
                      <a:fillRect/>
                    </a:stretch>
                  </pic:blipFill>
                  <pic:spPr bwMode="auto">
                    <a:xfrm>
                      <a:off x="0" y="0"/>
                      <a:ext cx="5334000" cy="3995853"/>
                    </a:xfrm>
                    <a:prstGeom prst="rect">
                      <a:avLst/>
                    </a:prstGeom>
                    <a:noFill/>
                    <a:ln w="9525">
                      <a:noFill/>
                      <a:headEnd/>
                      <a:tailEnd/>
                    </a:ln>
                  </pic:spPr>
                </pic:pic>
              </a:graphicData>
            </a:graphic>
          </wp:inline>
        </w:drawing>
      </w:r>
    </w:p>
    <w:p>
      <w:pPr>
        <w:pStyle w:val="ImageCaption"/>
      </w:pPr>
      <w:bookmarkStart w:id="240" w:name="fig-a3"/>
      <w:bookmarkEnd w:id="240"/>
      <w:r>
        <w:rPr>
          <w:bCs/>
          <w:b/>
        </w:rPr>
        <w:t xml:space="preserve">图 3　</w:t>
      </w:r>
      <w:r>
        <w:t xml:space="preserve">神经血管界面的结构与选择性通路。血管腔直接接触内皮，紧密连接位于相邻内皮细胞之间，基底膜及嵌入其中的周细胞位于外侧，星形胶质足突接近血管外表面。图中基底膜在周细胞外形成包绕轮廓，所有结构均为示意且未按真实比例绘制。绿色箭头概括选择性跨内皮进入，棕色箭头概括相关外排过程；具体方向、底物与速率取决于对应转运机制。限制旁细胞通路、控制转胞吞和选择性转运共同构成屏障功能，足突提供周围调节环境</w:t>
      </w:r>
      <w:r>
        <w:rPr>
          <w:vertAlign w:val="superscript"/>
        </w:rPr>
        <w:t xml:space="preserve">[</w:t>
      </w:r>
      <w:hyperlink w:anchor="ref-110">
        <w:r>
          <w:rPr>
            <w:rStyle w:val="Hyperlink"/>
            <w:vertAlign w:val="superscript"/>
          </w:rPr>
          <w:t xml:space="preserve">110</w:t>
        </w:r>
      </w:hyperlink>
      <w:r>
        <w:rPr>
          <w:vertAlign w:val="superscript"/>
        </w:rPr>
        <w:t xml:space="preserve">,</w:t>
      </w:r>
      <w:hyperlink w:anchor="ref-113">
        <w:r>
          <w:rPr>
            <w:rStyle w:val="Hyperlink"/>
            <w:vertAlign w:val="superscript"/>
          </w:rPr>
          <w:t xml:space="preserve">113</w:t>
        </w:r>
      </w:hyperlink>
      <w:r>
        <w:rPr>
          <w:vertAlign w:val="superscript"/>
        </w:rPr>
        <w:t xml:space="preserve">,</w:t>
      </w:r>
      <w:hyperlink w:anchor="ref-114">
        <w:r>
          <w:rPr>
            <w:rStyle w:val="Hyperlink"/>
            <w:vertAlign w:val="superscript"/>
          </w:rPr>
          <w:t xml:space="preserve">114</w:t>
        </w:r>
      </w:hyperlink>
      <w:r>
        <w:rPr>
          <w:vertAlign w:val="superscript"/>
        </w:rPr>
        <w:t xml:space="preserve">,</w:t>
      </w:r>
      <w:hyperlink w:anchor="ref-115">
        <w:r>
          <w:rPr>
            <w:rStyle w:val="Hyperlink"/>
            <w:vertAlign w:val="superscript"/>
          </w:rPr>
          <w:t xml:space="preserve">115</w:t>
        </w:r>
      </w:hyperlink>
      <w:r>
        <w:rPr>
          <w:vertAlign w:val="superscript"/>
        </w:rPr>
        <w:t xml:space="preserve">]</w:t>
      </w:r>
      <w:r>
        <w:t xml:space="preserve">。</w:t>
      </w:r>
    </w:p>
    <w:bookmarkEnd w:id="241"/>
    <w:bookmarkStart w:id="242" w:name="sec-12-3"/>
    <w:p>
      <w:pPr>
        <w:pStyle w:val="Heading3"/>
      </w:pPr>
      <w:r>
        <w:t xml:space="preserve">12.3　紧密连接与跨细胞运输是两个独立维度</w:t>
      </w:r>
    </w:p>
    <w:p>
      <w:pPr>
        <w:pStyle w:val="FirstParagraph"/>
      </w:pPr>
      <w:r>
        <w:t xml:space="preserve">检查屏障时，不能只看紧密连接蛋白。分子可以从细胞间经过，也可以经细胞内囊泡过程跨越内皮。Mfsd2a相关研究显示，转胞吞增加能够在没有明显紧密连接缺陷的条件下伴随屏障通透变化；后续工作把这一过程与内皮脂质环境及小窝相关运输联系起来</w:t>
      </w:r>
      <w:r>
        <w:rPr>
          <w:vertAlign w:val="superscript"/>
        </w:rPr>
        <w:t xml:space="preserve">[</w:t>
      </w:r>
      <w:hyperlink w:anchor="ref-115">
        <w:r>
          <w:rPr>
            <w:rStyle w:val="Hyperlink"/>
            <w:vertAlign w:val="superscript"/>
          </w:rPr>
          <w:t xml:space="preserve">115</w:t>
        </w:r>
      </w:hyperlink>
      <w:r>
        <w:rPr>
          <w:vertAlign w:val="superscript"/>
        </w:rPr>
        <w:t xml:space="preserve">,</w:t>
      </w:r>
      <w:hyperlink w:anchor="ref-116">
        <w:r>
          <w:rPr>
            <w:rStyle w:val="Hyperlink"/>
            <w:vertAlign w:val="superscript"/>
          </w:rPr>
          <w:t xml:space="preserve">116</w:t>
        </w:r>
      </w:hyperlink>
      <w:r>
        <w:rPr>
          <w:vertAlign w:val="superscript"/>
        </w:rPr>
        <w:t xml:space="preserve">]</w:t>
      </w:r>
      <w:r>
        <w:t xml:space="preserve">。</w:t>
      </w:r>
    </w:p>
    <w:p>
      <w:pPr>
        <w:pStyle w:val="BodyText"/>
      </w:pPr>
      <w:r>
        <w:t xml:space="preserve">因此，某种示踪物进入脑组织增加后，候选机制包括连接改变、囊泡运输增加、特定转运体变化、血管损伤和血流条件改变。不同分子大小、性质和给药时程的示踪，可以对这些机制具有不同敏感性。一个指标只能覆盖屏障功能的一部分。</w:t>
      </w:r>
    </w:p>
    <w:p>
      <w:pPr>
        <w:pStyle w:val="BodyText"/>
      </w:pPr>
      <w:r>
        <w:t xml:space="preserve">内皮细胞自身也具有代谢与信号状态。脂质组成改变可以影响膜结构和运输装置，炎症相关信号可以改变黏附分子和细胞间连接。屏障是活细胞的持续工作结果，其稳定性需要基因表达、代谢和周围细胞支持。</w:t>
      </w:r>
    </w:p>
    <w:bookmarkEnd w:id="242"/>
    <w:bookmarkStart w:id="243" w:name="sec-12-4"/>
    <w:p>
      <w:pPr>
        <w:pStyle w:val="Heading3"/>
      </w:pPr>
      <w:r>
        <w:t xml:space="preserve">12.4　周细胞与星形胶质的贡献需要按阶段区分</w:t>
      </w:r>
    </w:p>
    <w:p>
      <w:pPr>
        <w:pStyle w:val="FirstParagraph"/>
      </w:pPr>
      <w:r>
        <w:t xml:space="preserve">发育实验显示，周细胞与内皮的相互作用在星形胶质完全成熟之前就能够参与血脑屏障建立。成年周细胞缺陷模型也显示屏障交换及足突组织的改变。这说明屏障发育和维护由多种细胞在不同阶段共同完成</w:t>
      </w:r>
      <w:r>
        <w:rPr>
          <w:vertAlign w:val="superscript"/>
        </w:rPr>
        <w:t xml:space="preserve">[</w:t>
      </w:r>
      <w:hyperlink w:anchor="ref-113">
        <w:r>
          <w:rPr>
            <w:rStyle w:val="Hyperlink"/>
            <w:vertAlign w:val="superscript"/>
          </w:rPr>
          <w:t xml:space="preserve">113</w:t>
        </w:r>
      </w:hyperlink>
      <w:r>
        <w:rPr>
          <w:vertAlign w:val="superscript"/>
        </w:rPr>
        <w:t xml:space="preserve">,</w:t>
      </w:r>
      <w:hyperlink w:anchor="ref-114">
        <w:r>
          <w:rPr>
            <w:rStyle w:val="Hyperlink"/>
            <w:vertAlign w:val="superscript"/>
          </w:rPr>
          <w:t xml:space="preserve">114</w:t>
        </w:r>
      </w:hyperlink>
      <w:r>
        <w:rPr>
          <w:vertAlign w:val="superscript"/>
        </w:rPr>
        <w:t xml:space="preserve">]</w:t>
      </w:r>
      <w:r>
        <w:t xml:space="preserve">。</w:t>
      </w:r>
    </w:p>
    <w:p>
      <w:pPr>
        <w:pStyle w:val="BodyText"/>
      </w:pPr>
      <w:r>
        <w:t xml:space="preserve">由此不能推出星形胶质不重要。足突、分泌信号、离子与代谢支持可以参与成熟血管环境的维护。问题应具体表述为某类细胞在何时、通过什么过程影响哪项屏障性质。发育诱导、成年维持和损伤修复可能采用部分不同的机制。</w:t>
      </w:r>
    </w:p>
    <w:p>
      <w:pPr>
        <w:pStyle w:val="BodyText"/>
      </w:pPr>
      <w:r>
        <w:t xml:space="preserve">遗传缺陷还可能引起二级改变。例如周细胞减少后，内皮和胶质都发生调整，最终测到的通透性是整个系统变化的结果。时间受控的操控与早期测量，有助于识别较直接的环节。</w:t>
      </w:r>
    </w:p>
    <w:bookmarkEnd w:id="243"/>
    <w:bookmarkStart w:id="244" w:name="sec-12-5"/>
    <w:p>
      <w:pPr>
        <w:pStyle w:val="Heading3"/>
      </w:pPr>
      <w:r>
        <w:t xml:space="preserve">12.5　转运体使屏障具备选择性</w:t>
      </w:r>
    </w:p>
    <w:p>
      <w:pPr>
        <w:pStyle w:val="FirstParagraph"/>
      </w:pPr>
      <w:r>
        <w:t xml:space="preserve">亲水性营养物质通常需要适当转运系统才能高效进入脑组织。葡萄糖与大中性氨基酸等有相应转运路径，某些外源性化合物也可能利用或竞争这些系统。另一方面，外排转运体能够把部分底物送回血侧，限制脑内暴露</w:t>
      </w:r>
      <w:r>
        <w:rPr>
          <w:vertAlign w:val="superscript"/>
        </w:rPr>
        <w:t xml:space="preserve">[</w:t>
      </w:r>
      <w:hyperlink w:anchor="ref-110">
        <w:r>
          <w:rPr>
            <w:rStyle w:val="Hyperlink"/>
            <w:vertAlign w:val="superscript"/>
          </w:rPr>
          <w:t xml:space="preserve">110</w:t>
        </w:r>
      </w:hyperlink>
      <w:r>
        <w:rPr>
          <w:vertAlign w:val="superscript"/>
        </w:rPr>
        <w:t xml:space="preserve">]</w:t>
      </w:r>
      <w:r>
        <w:t xml:space="preserve">。</w:t>
      </w:r>
    </w:p>
    <w:p>
      <w:pPr>
        <w:pStyle w:val="BodyText"/>
      </w:pPr>
      <w:r>
        <w:t xml:space="preserve">转运具有容量和选择性。若多个底物共享同一系统，某一底物在血中增加，可能影响其他底物的进入；但影响幅度取决于亲和力、浓度和转运饱和程度。知道存在共享转运体，并不足以预测一次普通饮食变化对特定突触递质的精确影响。</w:t>
      </w:r>
    </w:p>
    <w:p>
      <w:pPr>
        <w:pStyle w:val="BodyText"/>
      </w:pPr>
      <w:r>
        <w:t xml:space="preserve">内皮两侧的膜并不等价。血侧与脑侧的转运体分布及驱动力共同决定净方向。只在细胞中发现某种转运蛋白，还不能证明它把物质净送入脑内。必须结合定位、底物特性和通量测量。</w:t>
      </w:r>
    </w:p>
    <w:bookmarkEnd w:id="244"/>
    <w:bookmarkStart w:id="245" w:name="sec-12-6"/>
    <w:p>
      <w:pPr>
        <w:pStyle w:val="Heading3"/>
      </w:pPr>
      <w:r>
        <w:t xml:space="preserve">12.6　脂溶性与脑暴露之间还有多个环节</w:t>
      </w:r>
    </w:p>
    <w:p>
      <w:pPr>
        <w:pStyle w:val="FirstParagraph"/>
      </w:pPr>
      <w:r>
        <w:t xml:space="preserve">较容易进入脂膜的分子，可能更有机会通过被动跨膜路径，但脑暴露还受到分子电荷、大小、血浆蛋白结合、代谢、外排和组织结合影响。高度脂溶也可能增加非特异组织滞留或降低游离比例。因此，脂溶性不能单独作为能进入大脑的充分证据</w:t>
      </w:r>
      <w:r>
        <w:rPr>
          <w:vertAlign w:val="superscript"/>
        </w:rPr>
        <w:t xml:space="preserve">[</w:t>
      </w:r>
      <w:hyperlink w:anchor="ref-71">
        <w:r>
          <w:rPr>
            <w:rStyle w:val="Hyperlink"/>
            <w:vertAlign w:val="superscript"/>
          </w:rPr>
          <w:t xml:space="preserve">71</w:t>
        </w:r>
      </w:hyperlink>
      <w:r>
        <w:rPr>
          <w:vertAlign w:val="superscript"/>
        </w:rPr>
        <w:t xml:space="preserve">,</w:t>
      </w:r>
      <w:hyperlink w:anchor="ref-110">
        <w:r>
          <w:rPr>
            <w:rStyle w:val="Hyperlink"/>
            <w:vertAlign w:val="superscript"/>
          </w:rPr>
          <w:t xml:space="preserve">110</w:t>
        </w:r>
      </w:hyperlink>
      <w:r>
        <w:rPr>
          <w:vertAlign w:val="superscript"/>
        </w:rPr>
        <w:t xml:space="preserve">]</w:t>
      </w:r>
      <w:r>
        <w:t xml:space="preserve">。</w:t>
      </w:r>
    </w:p>
    <w:p>
      <w:pPr>
        <w:pStyle w:val="BodyText"/>
      </w:pPr>
      <w:r>
        <w:t xml:space="preserve">组织匀浆浓度包含游离、结合和不同细胞区室中的药物。一个化合物在脑组织总量较高，不保证作用位点的游离浓度足够；总量较低时，也可能因亲和力较高而产生效应。药代动力学和药效学需要在游离浓度与靶点接触处连接。</w:t>
      </w:r>
    </w:p>
    <w:p>
      <w:pPr>
        <w:pStyle w:val="BodyText"/>
      </w:pPr>
      <w:r>
        <w:t xml:space="preserve">脑脊液浓度可以提供有价值信息，但它与每个脑区细胞外液浓度之间没有普遍相等关系。进入脑脊液、从脑脊液分布到实质，以及从血液直接跨脑血管进入实质，是不同路径。具体药物需要具体数据。</w:t>
      </w:r>
    </w:p>
    <w:bookmarkEnd w:id="245"/>
    <w:bookmarkStart w:id="246" w:name="sec-12-7"/>
    <w:p>
      <w:pPr>
        <w:pStyle w:val="Heading3"/>
      </w:pPr>
      <w:r>
        <w:t xml:space="preserve">12.7　脉络丛与血脑脊液屏障</w:t>
      </w:r>
    </w:p>
    <w:p>
      <w:pPr>
        <w:pStyle w:val="FirstParagraph"/>
      </w:pPr>
      <w:r>
        <w:t xml:space="preserve">脉络丛位于脑室系统，具有血管化基质和上皮层，参与脑脊液分泌及其组成调节。这里的重要屏障界面位于脉络丛上皮细胞之间的紧密连接，与脑实质血管内皮屏障在解剖位置上不同。脉络丛毛细血管具有不同的结构特征，不能套用普通脑毛细血管图</w:t>
      </w:r>
      <w:r>
        <w:rPr>
          <w:vertAlign w:val="superscript"/>
        </w:rPr>
        <w:t xml:space="preserve">[</w:t>
      </w:r>
      <w:hyperlink w:anchor="ref-117">
        <w:r>
          <w:rPr>
            <w:rStyle w:val="Hyperlink"/>
            <w:vertAlign w:val="superscript"/>
          </w:rPr>
          <w:t xml:space="preserve">117</w:t>
        </w:r>
      </w:hyperlink>
      <w:r>
        <w:rPr>
          <w:vertAlign w:val="superscript"/>
        </w:rPr>
        <w:t xml:space="preserve">]</w:t>
      </w:r>
      <w:r>
        <w:t xml:space="preserve">。</w:t>
      </w:r>
    </w:p>
    <w:p>
      <w:pPr>
        <w:pStyle w:val="BodyText"/>
      </w:pPr>
      <w:r>
        <w:t xml:space="preserve">血脑脊液屏障允许脑脊液在保持相对独特组成的同时，与全身生理发生受控联系。上皮转运、离子梯度和水移动共同参与分泌过程。脑脊液的形成因此包含主动细胞过程，不能简单理解为血浆被一个筛网过滤后直接流入脑室。</w:t>
      </w:r>
    </w:p>
    <w:p>
      <w:pPr>
        <w:pStyle w:val="BodyText"/>
      </w:pPr>
      <w:r>
        <w:t xml:space="preserve">脑室表面的室管膜、脉络丛上皮和脑膜边界也应分别命名。它们具有不同细胞结构和通透关系。用一个笼统脑屏障名称概括全部界面，会使药物分布、免疫交通和疾病机制解释变得混乱。</w:t>
      </w:r>
    </w:p>
    <w:bookmarkEnd w:id="246"/>
    <w:bookmarkStart w:id="247" w:name="sec-12-8"/>
    <w:p>
      <w:pPr>
        <w:pStyle w:val="Heading3"/>
      </w:pPr>
      <w:r>
        <w:t xml:space="preserve">12.8　特殊脑区具有不同的血液感知方式</w:t>
      </w:r>
    </w:p>
    <w:p>
      <w:pPr>
        <w:pStyle w:val="FirstParagraph"/>
      </w:pPr>
      <w:r>
        <w:t xml:space="preserve">部分室周相关结构具有特殊血管与细胞边界，适于感知血中激素、渗透或其他信号，或参与神经内分泌释放。这些区域的存在说明脑与血液的关系具有空间特化。它们并不意味着整个脑组织都暴露于相同外周浓度。</w:t>
      </w:r>
    </w:p>
    <w:p>
      <w:pPr>
        <w:pStyle w:val="BodyText"/>
      </w:pPr>
      <w:r>
        <w:t xml:space="preserve">局部通透特征需要与周围细胞边界一起理解。一个区域允许某种血液信号接近特定感觉细胞，仍然可以通过其他结构限制其向邻近实质无控制扩散。因此，局部感知和整体环境稳定可以同时存在。</w:t>
      </w:r>
    </w:p>
    <w:p>
      <w:pPr>
        <w:pStyle w:val="BodyText"/>
      </w:pPr>
      <w:r>
        <w:t xml:space="preserve">解释激素作用时，应区分直接进入实质、通过血管或边界细胞转导，以及经外周神经传入这几类路径。同一个外周变化可以通过多条通路影响脑，无需假定该物质大规模自由穿过全部屏障。</w:t>
      </w:r>
    </w:p>
    <w:bookmarkEnd w:id="247"/>
    <w:bookmarkStart w:id="248" w:name="sec-12-9"/>
    <w:p>
      <w:pPr>
        <w:pStyle w:val="Heading3"/>
      </w:pPr>
      <w:r>
        <w:t xml:space="preserve">12.9　脑血流由压力和血管阻力共同决定</w:t>
      </w:r>
    </w:p>
    <w:p>
      <w:pPr>
        <w:pStyle w:val="FirstParagraph"/>
      </w:pPr>
      <w:r>
        <w:t xml:space="preserve">一个简化血流关系是流量等于驱动压力差除以阻力。真实脑血管网络包含分支、脉动、非均匀直径和可调节血管壁，因此这一关系需要在网络层面展开。上游血压、颅内条件、血液黏度和局部血管状态都可能影响灌注</w:t>
      </w:r>
      <w:r>
        <w:rPr>
          <w:vertAlign w:val="superscript"/>
        </w:rPr>
        <w:t xml:space="preserve">[</w:t>
      </w:r>
      <w:hyperlink w:anchor="ref-111">
        <w:r>
          <w:rPr>
            <w:rStyle w:val="Hyperlink"/>
            <w:vertAlign w:val="superscript"/>
          </w:rPr>
          <w:t xml:space="preserve">111</w:t>
        </w:r>
      </w:hyperlink>
      <w:r>
        <w:rPr>
          <w:vertAlign w:val="superscript"/>
        </w:rPr>
        <w:t xml:space="preserve">,</w:t>
      </w:r>
      <w:hyperlink w:anchor="ref-112">
        <w:r>
          <w:rPr>
            <w:rStyle w:val="Hyperlink"/>
            <w:vertAlign w:val="superscript"/>
          </w:rPr>
          <w:t xml:space="preserve">112</w:t>
        </w:r>
      </w:hyperlink>
      <w:r>
        <w:rPr>
          <w:vertAlign w:val="superscript"/>
        </w:rPr>
        <w:t xml:space="preserve">]</w:t>
      </w:r>
      <w:r>
        <w:t xml:space="preserve">。</w:t>
      </w:r>
    </w:p>
    <w:p>
      <w:pPr>
        <w:pStyle w:val="BodyText"/>
      </w:pPr>
      <w:r>
        <w:t xml:space="preserve">血管半径对流动阻力具有很强影响，但把理想圆管的四次方规律直接用于活体所有血管时，需要保留假设。微血管中的红细胞、管壁状态和网络分流，使实际关系更复杂。简化模型适合说明敏感性，无法替代个体血流测量。</w:t>
      </w:r>
    </w:p>
    <w:p>
      <w:pPr>
        <w:pStyle w:val="BodyText"/>
      </w:pPr>
      <w:r>
        <w:t xml:space="preserve">脑血流自动调节描述血管在一定条件下对灌注压力变化作出调整。可维持范围因人群、疾病、药物和时间尺度而异，不能给每个人画一条完全相同的平坦平台。快速压力变化与缓慢变化，也可能招募不同调节过程。</w:t>
      </w:r>
    </w:p>
    <w:bookmarkEnd w:id="248"/>
    <w:bookmarkStart w:id="249" w:name="sec-12-10"/>
    <w:p>
      <w:pPr>
        <w:pStyle w:val="Heading3"/>
      </w:pPr>
      <w:r>
        <w:t xml:space="preserve">12.10　氧输送同时依赖流量和血液含氧量</w:t>
      </w:r>
    </w:p>
    <w:p>
      <w:pPr>
        <w:pStyle w:val="FirstParagraph"/>
      </w:pPr>
      <w:r>
        <w:t xml:space="preserve">组织得到的氧输送取决于血流与动脉血氧含量，实际氧利用还取决于交换和提取。血氧饱和度描述血红蛋白结合氧的比例，它无法单独给出单位血液所携带的全部氧量。血红蛋白浓度改变时，相同饱和度可以对应不同氧输送能力。</w:t>
      </w:r>
    </w:p>
    <w:p>
      <w:pPr>
        <w:pStyle w:val="BodyText"/>
      </w:pPr>
      <w:r>
        <w:t xml:space="preserve">局部耗氧增加后，组织可以通过血流、氧提取和代谢途径调整应对，但各机制有范围限制。若供给严重不足，离子泵和细胞稳态会受到影响，进而改变膜电位和递质环境。这个链条把血管问题与细胞电生理直接连接起来。</w:t>
      </w:r>
    </w:p>
    <w:p>
      <w:pPr>
        <w:pStyle w:val="BodyText"/>
      </w:pPr>
      <w:r>
        <w:t xml:space="preserve">二氧化碳及酸碱状态也能够影响脑血管张力。呼吸变化因此可能改变脑血流与功能影像信号，即使任务相关神经活动没有同等改变。实验和临床解释应同时考虑这些全身因素。</w:t>
      </w:r>
    </w:p>
    <w:bookmarkEnd w:id="249"/>
    <w:bookmarkStart w:id="250" w:name="sec-12-11"/>
    <w:p>
      <w:pPr>
        <w:pStyle w:val="Heading3"/>
      </w:pPr>
      <w:r>
        <w:t xml:space="preserve">12.11　神经血管耦合包含多条并行信号</w:t>
      </w:r>
    </w:p>
    <w:p>
      <w:pPr>
        <w:pStyle w:val="FirstParagraph"/>
      </w:pPr>
      <w:r>
        <w:t xml:space="preserve">局部神经活动能够通过神经元、胶质和血管细胞相关信号，改变血管张力与血流。候选介质和路径包括一氧化氮、离子、脂质相关信号及内皮信号传播等，具体贡献依赖脑区、刺激和生理状态。现代证据支持多细胞、多层级协调的框架</w:t>
      </w:r>
      <w:r>
        <w:rPr>
          <w:vertAlign w:val="superscript"/>
        </w:rPr>
        <w:t xml:space="preserve">[</w:t>
      </w:r>
      <w:hyperlink w:anchor="ref-111">
        <w:r>
          <w:rPr>
            <w:rStyle w:val="Hyperlink"/>
            <w:vertAlign w:val="superscript"/>
          </w:rPr>
          <w:t xml:space="preserve">111</w:t>
        </w:r>
      </w:hyperlink>
      <w:r>
        <w:rPr>
          <w:vertAlign w:val="superscript"/>
        </w:rPr>
        <w:t xml:space="preserve">]</w:t>
      </w:r>
      <w:r>
        <w:t xml:space="preserve">。</w:t>
      </w:r>
    </w:p>
    <w:p>
      <w:pPr>
        <w:pStyle w:val="BodyText"/>
      </w:pPr>
      <w:r>
        <w:t xml:space="preserve">这种耦合具有前馈与反馈成分。活动相关信号可以在明显能量耗竭发生前触发供血调整，局部代谢和离子变化也可以提供后续反馈。把血流增加简单解释为缺氧后被动补救，无法覆盖全部过程。</w:t>
      </w:r>
    </w:p>
    <w:p>
      <w:pPr>
        <w:pStyle w:val="BodyText"/>
      </w:pPr>
      <w:r>
        <w:t xml:space="preserve">不同细胞群对血管的作用还可能与其总体放电量不成比例。某些具有强血管活性信号的细胞，可以在局部网络活动变化较小的情况下影响血流。因此，功能影像所见血流相关变化需要经过神经血管模型解释。</w:t>
      </w:r>
    </w:p>
    <w:bookmarkEnd w:id="250"/>
    <w:bookmarkStart w:id="251" w:name="sec-12-12"/>
    <w:p>
      <w:pPr>
        <w:pStyle w:val="Heading3"/>
      </w:pPr>
      <w:r>
        <w:t xml:space="preserve">12.12　周细胞与平滑肌的作用具有层级和速度差异</w:t>
      </w:r>
    </w:p>
    <w:p>
      <w:pPr>
        <w:pStyle w:val="FirstParagraph"/>
      </w:pPr>
      <w:r>
        <w:t xml:space="preserve">血管壁细胞沿血管树表现出形态和分子差异。靠近小动脉的包裹性细胞，与更远端毛细血管上的细长突起细胞，不能仅凭共享一个标记就视为同一功能群。命名边界与操控范围，曾对周细胞是否调节快速血流的争论产生影响</w:t>
      </w:r>
      <w:r>
        <w:rPr>
          <w:vertAlign w:val="superscript"/>
        </w:rPr>
        <w:t xml:space="preserve">[</w:t>
      </w:r>
      <w:hyperlink w:anchor="ref-110">
        <w:r>
          <w:rPr>
            <w:rStyle w:val="Hyperlink"/>
            <w:vertAlign w:val="superscript"/>
          </w:rPr>
          <w:t xml:space="preserve">110</w:t>
        </w:r>
      </w:hyperlink>
      <w:r>
        <w:rPr>
          <w:vertAlign w:val="superscript"/>
        </w:rPr>
        <w:t xml:space="preserve">,</w:t>
      </w:r>
      <w:hyperlink w:anchor="ref-118">
        <w:r>
          <w:rPr>
            <w:rStyle w:val="Hyperlink"/>
            <w:vertAlign w:val="superscript"/>
          </w:rPr>
          <w:t xml:space="preserve">118</w:t>
        </w:r>
      </w:hyperlink>
      <w:r>
        <w:rPr>
          <w:vertAlign w:val="superscript"/>
        </w:rPr>
        <w:t xml:space="preserve">]</w:t>
      </w:r>
      <w:r>
        <w:t xml:space="preserve">。</w:t>
      </w:r>
    </w:p>
    <w:p>
      <w:pPr>
        <w:pStyle w:val="BodyText"/>
      </w:pPr>
      <w:r>
        <w:t xml:space="preserve">在体操控研究显示，毛细血管周细胞可以影响局部管径和血流，但相关动力学较上游部分壁细胞更慢。这支持按时间尺度和血管层级分工讨论，并不要求所有局部血流变化由同一种细胞完成</w:t>
      </w:r>
      <w:r>
        <w:rPr>
          <w:vertAlign w:val="superscript"/>
        </w:rPr>
        <w:t xml:space="preserve">[</w:t>
      </w:r>
      <w:hyperlink w:anchor="ref-118">
        <w:r>
          <w:rPr>
            <w:rStyle w:val="Hyperlink"/>
            <w:vertAlign w:val="superscript"/>
          </w:rPr>
          <w:t xml:space="preserve">118</w:t>
        </w:r>
      </w:hyperlink>
      <w:r>
        <w:rPr>
          <w:vertAlign w:val="superscript"/>
        </w:rPr>
        <w:t xml:space="preserve">]</w:t>
      </w:r>
      <w:r>
        <w:t xml:space="preserve">。</w:t>
      </w:r>
    </w:p>
    <w:p>
      <w:pPr>
        <w:pStyle w:val="BodyText"/>
      </w:pPr>
      <w:r>
        <w:t xml:space="preserve">对回路计算而言，快速供血调整、较慢基础阻力调节和长期血管结构维护都重要。不同实验若分别测量这些过程，可能得到表面不同但并不互相排斥的结果。比较研究前，应先对齐细胞位置、刺激方式和观察时间。</w:t>
      </w:r>
    </w:p>
    <w:bookmarkEnd w:id="251"/>
    <w:bookmarkStart w:id="252" w:name="sec-12-13"/>
    <w:p>
      <w:pPr>
        <w:pStyle w:val="Heading3"/>
      </w:pPr>
      <w:r>
        <w:t xml:space="preserve">12.13　血氧水平依赖信号怎样产生</w:t>
      </w:r>
    </w:p>
    <w:p>
      <w:pPr>
        <w:pStyle w:val="FirstParagraph"/>
      </w:pPr>
      <w:r>
        <w:t xml:space="preserve">功能磁共振中的BOLD信号受到脱氧血红蛋白相关磁学性质影响。神经活动、局部耗氧、血流和血容量共同决定其变化。经典同时记录研究把电生理与血氧相关影像联系起来，显示该信号与局部神经过程存在系统关系，同时也保留间接性</w:t>
      </w:r>
      <w:r>
        <w:rPr>
          <w:vertAlign w:val="superscript"/>
        </w:rPr>
        <w:t xml:space="preserve">[</w:t>
      </w:r>
      <w:hyperlink w:anchor="ref-119">
        <w:r>
          <w:rPr>
            <w:rStyle w:val="Hyperlink"/>
            <w:vertAlign w:val="superscript"/>
          </w:rPr>
          <w:t xml:space="preserve">119</w:t>
        </w:r>
      </w:hyperlink>
      <w:r>
        <w:rPr>
          <w:vertAlign w:val="superscript"/>
        </w:rPr>
        <w:t xml:space="preserve">]</w:t>
      </w:r>
      <w:r>
        <w:t xml:space="preserve">。</w:t>
      </w:r>
    </w:p>
    <w:p>
      <w:pPr>
        <w:pStyle w:val="BodyText"/>
      </w:pPr>
      <w:r>
        <w:t xml:space="preserve">一种常见情形是局部供血增加超过耗氧增加，脱氧血红蛋白比例下降，形成典型正向响应。但不同区域、血管状态和任务条件可以改变这一关系。信号更大不能直接翻译为更多神经元兴奋，也无法单独区分兴奋性与抑制性细胞贡献。</w:t>
      </w:r>
    </w:p>
    <w:p>
      <w:pPr>
        <w:pStyle w:val="BodyText"/>
      </w:pPr>
      <w:r>
        <w:t xml:space="preserve">时间上，血管响应通常比快速电活动更平滑。相近时间内发生的多个神经事件可以在血流信号中重叠。解释BOLD连接时，还应考虑共同血管和呼吸因素。生理基础明确后，影像推论的范围就更容易准确把握。</w:t>
      </w:r>
    </w:p>
    <w:bookmarkEnd w:id="252"/>
    <w:bookmarkStart w:id="253" w:name="sec-12-14"/>
    <w:p>
      <w:pPr>
        <w:pStyle w:val="Heading3"/>
      </w:pPr>
      <w:r>
        <w:t xml:space="preserve">12.14　细胞外液与脑脊液既相联系又有区别</w:t>
      </w:r>
    </w:p>
    <w:p>
      <w:pPr>
        <w:pStyle w:val="FirstParagraph"/>
      </w:pPr>
      <w:r>
        <w:t xml:space="preserve">脑实质细胞之间的液体称为间质液，属于细胞外液的一部分；脑室及相关脑膜腔隙内则有脑脊液。二者可以通过多个界面交换，但组成、空间结构和流动条件不同。把整个颅内液体当作一个完全混匀的水池，会低估局部区室的重要性。</w:t>
      </w:r>
    </w:p>
    <w:p>
      <w:pPr>
        <w:pStyle w:val="BodyText"/>
      </w:pPr>
      <w:r>
        <w:t xml:space="preserve">细胞外空间具有曲折路径、狭窄间隙和与基质的相互作用。分子运动速度受到大小、电荷、结合和几何限制。即使两个分子在水中扩散速度相近，进入组织后也可能因结合性质不同而表现不同迁移。</w:t>
      </w:r>
    </w:p>
    <w:p>
      <w:pPr>
        <w:pStyle w:val="BodyText"/>
      </w:pPr>
      <w:r>
        <w:t xml:space="preserve">脑脊液中的一次浓度测量因此反映多个来源和清除过程。它可能受到分泌、实质交换、局部代谢、屏障运输和采样位置影响。浓度升高可以来自释放增加，也可以来自清除减慢或液体稀释程度变化。</w:t>
      </w:r>
    </w:p>
    <w:bookmarkEnd w:id="253"/>
    <w:bookmarkStart w:id="254" w:name="sec-12-15"/>
    <w:p>
      <w:pPr>
        <w:pStyle w:val="Heading3"/>
      </w:pPr>
      <w:r>
        <w:t xml:space="preserve">12.15　扩散、对流与振荡移动需要分别定义</w:t>
      </w:r>
    </w:p>
    <w:p>
      <w:pPr>
        <w:pStyle w:val="FirstParagraph"/>
      </w:pPr>
      <w:r>
        <w:t xml:space="preserve">扩散来自分子随机热运动，净通量沿浓度梯度形成。对流表示液体整体运动携带分子。振荡流则可以在一个周期内来回移动，净位移可能较小，但仍可能影响混合和局部交换。三者可以同时存在，贡献随空间尺度和组织条件变化。</w:t>
      </w:r>
    </w:p>
    <w:p>
      <w:pPr>
        <w:pStyle w:val="BodyText"/>
      </w:pPr>
      <w:r>
        <w:t xml:space="preserve">观察到示踪分子移动，并不能仅凭轨迹就确定主导机制。扩散能够产生明显空间扩展，对流可以增加方向性，往复运动又可能造成不同形式的分散。要区分它们，需要结合时间、空间分布、分子大小和适合的物理模型。</w:t>
      </w:r>
    </w:p>
    <w:p>
      <w:pPr>
        <w:pStyle w:val="BodyText"/>
      </w:pPr>
      <w:r>
        <w:t xml:space="preserve">同样，液体流入增加不等于目标代谢物净清除增加。如果进入后又返回，或者目标物质与组织强烈结合，流入和清除之间可能分离。清除应指明从哪个区室移除、移向哪里，以及在多长时间内发生。</w:t>
      </w:r>
    </w:p>
    <w:bookmarkEnd w:id="254"/>
    <w:bookmarkStart w:id="255" w:name="sec-12-16"/>
    <w:p>
      <w:pPr>
        <w:pStyle w:val="Heading3"/>
      </w:pPr>
      <w:r>
        <w:t xml:space="preserve">12.16　血管周围交换与类淋巴假说</w:t>
      </w:r>
    </w:p>
    <w:p>
      <w:pPr>
        <w:pStyle w:val="FirstParagraph"/>
      </w:pPr>
      <w:r>
        <w:t xml:space="preserve">动物示踪研究提出，脑脊液可以沿血管周围相关路径进入并与组织液交换，星形胶质水通道及血管动力学可能参与这一过程。类淋巴这一术语用于组织这组机制假说及相关观察。其核心研究价值在于把脑内物质移动与血管胶质结构联系起来</w:t>
      </w:r>
      <w:r>
        <w:rPr>
          <w:vertAlign w:val="superscript"/>
        </w:rPr>
        <w:t xml:space="preserve">[</w:t>
      </w:r>
      <w:hyperlink w:anchor="ref-120">
        <w:r>
          <w:rPr>
            <w:rStyle w:val="Hyperlink"/>
            <w:vertAlign w:val="superscript"/>
          </w:rPr>
          <w:t xml:space="preserve">120</w:t>
        </w:r>
      </w:hyperlink>
      <w:r>
        <w:rPr>
          <w:vertAlign w:val="superscript"/>
        </w:rPr>
        <w:t xml:space="preserve">]</w:t>
      </w:r>
      <w:r>
        <w:t xml:space="preserve">。</w:t>
      </w:r>
    </w:p>
    <w:p>
      <w:pPr>
        <w:pStyle w:val="BodyText"/>
      </w:pPr>
      <w:r>
        <w:t xml:space="preserve">需要把解剖路径、流体驱动力和特定溶质清除拆开验证。某一血管周围空间存在示踪，并不能直接证明整个实质具有相同方向的持续整体流。水通道相关基因操控影响结果，也可能同时改变细胞外空间和其他组织性质。</w:t>
      </w:r>
    </w:p>
    <w:p>
      <w:pPr>
        <w:pStyle w:val="BodyText"/>
      </w:pPr>
      <w:r>
        <w:t xml:space="preserve">对不同分子而言，净去向还包括跨血管转运、细胞摄取和酶促降解。类淋巴相关路径可以是清除网络的一部分，但不能用一个统一冲洗过程替代所有代谢物的动力学。</w:t>
      </w:r>
    </w:p>
    <w:bookmarkEnd w:id="255"/>
    <w:bookmarkStart w:id="256" w:name="sec-12-17"/>
    <w:p>
      <w:pPr>
        <w:pStyle w:val="Heading3"/>
      </w:pPr>
      <w:r>
        <w:t xml:space="preserve">12.17　脑膜淋巴管构成另一类解剖结构</w:t>
      </w:r>
    </w:p>
    <w:p>
      <w:pPr>
        <w:pStyle w:val="FirstParagraph"/>
      </w:pPr>
      <w:r>
        <w:t xml:space="preserve">脑膜中的淋巴管具有淋巴内皮相关结构与功能，并与颈部淋巴引流联系。原始研究通过解剖和功能观察，推动了对脑膜免疫交通和液体去向的理解。脑膜淋巴管应与脑实质血管周围交换概念区分</w:t>
      </w:r>
      <w:r>
        <w:rPr>
          <w:vertAlign w:val="superscript"/>
        </w:rPr>
        <w:t xml:space="preserve">[</w:t>
      </w:r>
      <w:hyperlink w:anchor="ref-19">
        <w:r>
          <w:rPr>
            <w:rStyle w:val="Hyperlink"/>
            <w:vertAlign w:val="superscript"/>
          </w:rPr>
          <w:t xml:space="preserve">19</w:t>
        </w:r>
      </w:hyperlink>
      <w:r>
        <w:rPr>
          <w:vertAlign w:val="superscript"/>
        </w:rPr>
        <w:t xml:space="preserve">]</w:t>
      </w:r>
      <w:r>
        <w:t xml:space="preserve">。</w:t>
      </w:r>
    </w:p>
    <w:p>
      <w:pPr>
        <w:pStyle w:val="BodyText"/>
      </w:pPr>
      <w:r>
        <w:t xml:space="preserve">两者可以在更大的液体与免疫系统中相互联系，但它们的细胞构成、位置和运输条件不同。把类淋巴写成脑组织内存在一套与全身淋巴管完全相同的管道，会造成解剖误解。</w:t>
      </w:r>
    </w:p>
    <w:p>
      <w:pPr>
        <w:pStyle w:val="BodyText"/>
      </w:pPr>
      <w:r>
        <w:t xml:space="preserve">脑膜、神经周围和其他外流路径的相对贡献，还可能随物种、年龄和状态变化。一个路径能够运送示踪物，证明它具有运输能力；确定正常情况下承担多少总清除，需要定量质量平衡和多路径比较。</w:t>
      </w:r>
    </w:p>
    <w:bookmarkEnd w:id="256"/>
    <w:bookmarkStart w:id="257" w:name="sec-12-18"/>
    <w:p>
      <w:pPr>
        <w:pStyle w:val="Heading3"/>
      </w:pPr>
      <w:r>
        <w:t xml:space="preserve">12.18　睡眠中的液体动态与净清除仍需精确定义</w:t>
      </w:r>
    </w:p>
    <w:p>
      <w:pPr>
        <w:pStyle w:val="FirstParagraph"/>
      </w:pPr>
      <w:r>
        <w:t xml:space="preserve">人体研究观察到非快速眼动睡眠时脑电、血氧相关信号和脑脊液流动之间存在耦合振荡。这为神经状态与宏观液体动力学的联系提供了证据，但该实验没有直接测定所有脑代谢物的净清除率</w:t>
      </w:r>
      <w:r>
        <w:rPr>
          <w:vertAlign w:val="superscript"/>
        </w:rPr>
        <w:t xml:space="preserve">[</w:t>
      </w:r>
      <w:hyperlink w:anchor="ref-121">
        <w:r>
          <w:rPr>
            <w:rStyle w:val="Hyperlink"/>
            <w:vertAlign w:val="superscript"/>
          </w:rPr>
          <w:t xml:space="preserve">121</w:t>
        </w:r>
      </w:hyperlink>
      <w:r>
        <w:rPr>
          <w:vertAlign w:val="superscript"/>
        </w:rPr>
        <w:t xml:space="preserve">]</w:t>
      </w:r>
      <w:r>
        <w:t xml:space="preserve">。</w:t>
      </w:r>
    </w:p>
    <w:p>
      <w:pPr>
        <w:pStyle w:val="BodyText"/>
      </w:pPr>
      <w:r>
        <w:t xml:space="preserve">动物研究的结果与解释仍存在争论。2024年的荧光示踪研究报告，在其测量条件下睡眠和麻醉时清除降低</w:t>
      </w:r>
      <w:r>
        <w:rPr>
          <w:vertAlign w:val="superscript"/>
        </w:rPr>
        <w:t xml:space="preserve">[</w:t>
      </w:r>
      <w:hyperlink w:anchor="ref-122">
        <w:r>
          <w:rPr>
            <w:rStyle w:val="Hyperlink"/>
            <w:vertAlign w:val="superscript"/>
          </w:rPr>
          <w:t xml:space="preserve">122</w:t>
        </w:r>
      </w:hyperlink>
      <w:r>
        <w:rPr>
          <w:vertAlign w:val="superscript"/>
        </w:rPr>
        <w:t xml:space="preserve">]</w:t>
      </w:r>
      <w:r>
        <w:t xml:space="preserve">。 2025年的另一项研究把去甲肾上腺素慢波动、血管运动及脑脊液相关交换联系起来，支持特定睡眠微结构中的流体机制</w:t>
      </w:r>
      <w:r>
        <w:rPr>
          <w:vertAlign w:val="superscript"/>
        </w:rPr>
        <w:t xml:space="preserve">[</w:t>
      </w:r>
      <w:hyperlink w:anchor="ref-123">
        <w:r>
          <w:rPr>
            <w:rStyle w:val="Hyperlink"/>
            <w:vertAlign w:val="superscript"/>
          </w:rPr>
          <w:t xml:space="preserve">123</w:t>
        </w:r>
      </w:hyperlink>
      <w:r>
        <w:rPr>
          <w:vertAlign w:val="superscript"/>
        </w:rPr>
        <w:t xml:space="preserve">]</w:t>
      </w:r>
      <w:r>
        <w:t xml:space="preserve">。 2025年的正式评论与回应又围绕示踪、数学假设和清除定义展开争论</w:t>
      </w:r>
      <w:r>
        <w:rPr>
          <w:vertAlign w:val="superscript"/>
        </w:rPr>
        <w:t xml:space="preserve">[</w:t>
      </w:r>
      <w:hyperlink w:anchor="ref-124">
        <w:r>
          <w:rPr>
            <w:rStyle w:val="Hyperlink"/>
            <w:vertAlign w:val="superscript"/>
          </w:rPr>
          <w:t xml:space="preserve">124</w:t>
        </w:r>
      </w:hyperlink>
      <w:r>
        <w:rPr>
          <w:vertAlign w:val="superscript"/>
        </w:rPr>
        <w:t xml:space="preserve">,</w:t>
      </w:r>
      <w:hyperlink w:anchor="ref-125">
        <w:r>
          <w:rPr>
            <w:rStyle w:val="Hyperlink"/>
            <w:vertAlign w:val="superscript"/>
          </w:rPr>
          <w:t xml:space="preserve">125</w:t>
        </w:r>
      </w:hyperlink>
      <w:r>
        <w:rPr>
          <w:vertAlign w:val="superscript"/>
        </w:rPr>
        <w:t xml:space="preserve">]</w:t>
      </w:r>
      <w:r>
        <w:t xml:space="preserve">。</w:t>
      </w:r>
    </w:p>
    <w:p>
      <w:pPr>
        <w:pStyle w:val="BodyText"/>
      </w:pPr>
      <w:r>
        <w:t xml:space="preserve">这些研究适合按测量对象逐项比较：示踪从哪里进入，观察的是局部扩散、进入、外流还是净减少，动物处于什么状态，注入是否改变压力，以及模型怎样处理组织结合。现有证据不支持把所有争论压缩成睡眠必然提高任何物质清除，或睡眠对脑维护没有作用这类普遍判断。</w:t>
      </w:r>
    </w:p>
    <w:bookmarkEnd w:id="257"/>
    <w:bookmarkStart w:id="258" w:name="sec-12-19"/>
    <w:p>
      <w:pPr>
        <w:pStyle w:val="Heading3"/>
      </w:pPr>
      <w:r>
        <w:t xml:space="preserve">12.19　一个区室质量平衡的教学模型</w:t>
      </w:r>
    </w:p>
    <w:p>
      <w:pPr>
        <w:pStyle w:val="FirstParagraph"/>
      </w:pPr>
      <w:r>
        <w:t xml:space="preserve">设某一脑区中目标物质的总量为M。它的变化率等于局部生成加进入，减去代谢和离开。若写成最简线性模型，可以令清除项为k乘M，其中k是有效一级速率常数。这只是教学近似，真实转运饱和、结合与多区室交换可以使关系非线性。</w:t>
      </w:r>
    </w:p>
    <w:p>
      <w:pPr>
        <w:pStyle w:val="BodyText"/>
      </w:pPr>
      <w:r>
        <w:t xml:space="preserve">在生成率G恒定、没有其他变化的模型中，稳态总量为G除以k。于是同样的总量升高，既可以由生成增加引起，也可以由有效清除下降引起。若只测一个浓度终点，无法在两者之间做出唯一判断。测量体积也很重要，因为浓度等于总量除以可分布体积。</w:t>
      </w:r>
    </w:p>
    <w:p>
      <w:pPr>
        <w:pStyle w:val="BodyText"/>
      </w:pPr>
      <w:r>
        <w:t xml:space="preserve">再加入一个与组织可逆结合的池，游离物质可以先下降而结合池缓慢释放，使整体衰减出现多个时间尺度。用单一指数拟合这种过程时，得到的速率可能依赖观察时间窗口。这个推导解释了为什么不同示踪分子与实验方案可能得到不同清除估计。</w:t>
      </w:r>
    </w:p>
    <w:bookmarkEnd w:id="258"/>
    <w:bookmarkStart w:id="259" w:name="sec-12-20"/>
    <w:p>
      <w:pPr>
        <w:pStyle w:val="Heading3"/>
      </w:pPr>
      <w:r>
        <w:t xml:space="preserve">12.20　屏障通透性与流量限制的区别</w:t>
      </w:r>
    </w:p>
    <w:p>
      <w:pPr>
        <w:pStyle w:val="FirstParagraph"/>
      </w:pPr>
      <w:r>
        <w:t xml:space="preserve">跨界面被动通量可以在简单条件下近似为通透系数乘交换面积，再乘两侧游离浓度差。若通透能力很低，增加血流未必显著提高组织进入；若通透很高而血流供给不足，流量可能成为主要限制。两种条件对应不同药物和底物动力学。</w:t>
      </w:r>
    </w:p>
    <w:p>
      <w:pPr>
        <w:pStyle w:val="BodyText"/>
      </w:pPr>
      <w:r>
        <w:t xml:space="preserve">主动转运还可能表现饱和。一个常见教学形式是最大转运速率乘底物浓度，再除以半饱和参数与浓度之和。当浓度很低时近似线性，较高时逐渐接近容量上限。这个关系说明，血中浓度增加十倍，并不保证脑内进入速率增加十倍。</w:t>
      </w:r>
    </w:p>
    <w:p>
      <w:pPr>
        <w:pStyle w:val="BodyText"/>
      </w:pPr>
      <w:r>
        <w:t xml:space="preserve">这些模型需要根据具体界面和底物验证。载体竞争、外排、代谢以及组织结合可能同时存在，单一通透系数只是有效参数。研究脑内递送时，最好明确它概括了哪些过程。</w:t>
      </w:r>
    </w:p>
    <w:bookmarkEnd w:id="259"/>
    <w:bookmarkStart w:id="260" w:name="sec-12-21"/>
    <w:p>
      <w:pPr>
        <w:pStyle w:val="Heading3"/>
      </w:pPr>
      <w:r>
        <w:t xml:space="preserve">12.21　血管与屏障损伤可以通过多条路径影响神经功能</w:t>
      </w:r>
    </w:p>
    <w:p>
      <w:pPr>
        <w:pStyle w:val="FirstParagraph"/>
      </w:pPr>
      <w:r>
        <w:t xml:space="preserve">供血受限可以减少氧和底物；屏障异常可以改变离子、蛋白和免疫相关成分进入；血管壁炎症又可能影响局部信号与血流调节。不同病理机制可以同时发生，也可以具有不同起点。将所有血管相关损伤统称为脑供血不足，会丢失机制差异。</w:t>
      </w:r>
    </w:p>
    <w:p>
      <w:pPr>
        <w:pStyle w:val="BodyText"/>
      </w:pPr>
      <w:r>
        <w:t xml:space="preserve">液体积聚也有不同来源。细胞内部因离子稳态受损而肿胀，与血管屏障通透改变导致的细胞外液体增加，具有不同过程，实际疾病中可能相互叠加。颅腔容积约束又使血液、脑脊液与组织体积变化彼此关联。</w:t>
      </w:r>
    </w:p>
    <w:p>
      <w:pPr>
        <w:pStyle w:val="BodyText"/>
      </w:pPr>
      <w:r>
        <w:t xml:space="preserve">理解这些机制有助于准确阅读研究，却不能根据一个非特异症状自行确定血管或屏障异常。具体临床判断需要相应病史、检查和专业解释。本章重点是把可观察现象连接到不同生物过程。</w:t>
      </w:r>
    </w:p>
    <w:bookmarkEnd w:id="260"/>
    <w:bookmarkStart w:id="261" w:name="sec-12-22"/>
    <w:p>
      <w:pPr>
        <w:pStyle w:val="Heading3"/>
      </w:pPr>
      <w:r>
        <w:t xml:space="preserve">12.22　脑递送技术需要同时证明到达与有效作用</w:t>
      </w:r>
    </w:p>
    <w:p>
      <w:pPr>
        <w:pStyle w:val="FirstParagraph"/>
      </w:pPr>
      <w:r>
        <w:t xml:space="preserve">把药物送入脑内涉及跨屏障、组织分布、细胞摄取和靶点接触等多个步骤。受体介导运输、载体设计、局部给药和可控屏障调节等策略，分别试图解决不同环节。检测到脑内标记增加，只能证明某种材料或标记到达相关区室。</w:t>
      </w:r>
    </w:p>
    <w:p>
      <w:pPr>
        <w:pStyle w:val="BodyText"/>
      </w:pPr>
      <w:r>
        <w:t xml:space="preserve">还需要区分完整活性分子与降解片段，血管内滞留与实质进入，以及总量与游离有效量。若荧光标签在药物降解后仍存在，影像信号可能高估完整药物的到达。作用验证应连接靶点占有、下游功能和相关结局。</w:t>
      </w:r>
    </w:p>
    <w:p>
      <w:pPr>
        <w:pStyle w:val="BodyText"/>
      </w:pPr>
      <w:r>
        <w:t xml:space="preserve">提高通透性也会改变正常屏障的选择性，因此递送与组织稳态必须共同考虑。具体技术的获益与风险取决于范围、持续时间、剂量和疾病背景。基础机制的可行性需要通过相应转化研究才能成为成熟治疗。</w:t>
      </w:r>
    </w:p>
    <w:bookmarkEnd w:id="261"/>
    <w:bookmarkStart w:id="262" w:name="sec-12-23"/>
    <w:p>
      <w:pPr>
        <w:pStyle w:val="Heading3"/>
      </w:pPr>
      <w:r>
        <w:t xml:space="preserve">12.23　本章的机制框架</w:t>
      </w:r>
    </w:p>
    <w:p>
      <w:pPr>
        <w:pStyle w:val="FirstParagraph"/>
      </w:pPr>
      <w:r>
        <w:t xml:space="preserve">高置信度基础包括内皮直接构成主要血脑屏障界面、紧密连接与转胞吞共同决定限制性、周细胞和胶质参与维护，以及神经活动和血管状态存在多路径耦合。脑脊液、间质液和脑膜淋巴相关结构也具有明确但不同的解剖意义</w:t>
      </w:r>
      <w:r>
        <w:rPr>
          <w:vertAlign w:val="superscript"/>
        </w:rPr>
        <w:t xml:space="preserve">[</w:t>
      </w:r>
      <w:hyperlink w:anchor="ref-19">
        <w:r>
          <w:rPr>
            <w:rStyle w:val="Hyperlink"/>
            <w:vertAlign w:val="superscript"/>
          </w:rPr>
          <w:t xml:space="preserve">19</w:t>
        </w:r>
      </w:hyperlink>
      <w:r>
        <w:rPr>
          <w:vertAlign w:val="superscript"/>
        </w:rPr>
        <w:t xml:space="preserve">,</w:t>
      </w:r>
      <w:hyperlink w:anchor="ref-111">
        <w:r>
          <w:rPr>
            <w:rStyle w:val="Hyperlink"/>
            <w:vertAlign w:val="superscript"/>
          </w:rPr>
          <w:t xml:space="preserve">111</w:t>
        </w:r>
      </w:hyperlink>
      <w:r>
        <w:rPr>
          <w:vertAlign w:val="superscript"/>
        </w:rPr>
        <w:t xml:space="preserve">,</w:t>
      </w:r>
      <w:hyperlink w:anchor="ref-113">
        <w:r>
          <w:rPr>
            <w:rStyle w:val="Hyperlink"/>
            <w:vertAlign w:val="superscript"/>
          </w:rPr>
          <w:t xml:space="preserve">113</w:t>
        </w:r>
      </w:hyperlink>
      <w:r>
        <w:rPr>
          <w:vertAlign w:val="superscript"/>
        </w:rPr>
        <w:t xml:space="preserve">,</w:t>
      </w:r>
      <w:hyperlink w:anchor="ref-114">
        <w:r>
          <w:rPr>
            <w:rStyle w:val="Hyperlink"/>
            <w:vertAlign w:val="superscript"/>
          </w:rPr>
          <w:t xml:space="preserve">114</w:t>
        </w:r>
      </w:hyperlink>
      <w:r>
        <w:rPr>
          <w:vertAlign w:val="superscript"/>
        </w:rPr>
        <w:t xml:space="preserve">,</w:t>
      </w:r>
      <w:hyperlink w:anchor="ref-115">
        <w:r>
          <w:rPr>
            <w:rStyle w:val="Hyperlink"/>
            <w:vertAlign w:val="superscript"/>
          </w:rPr>
          <w:t xml:space="preserve">115</w:t>
        </w:r>
      </w:hyperlink>
      <w:r>
        <w:rPr>
          <w:vertAlign w:val="superscript"/>
        </w:rPr>
        <w:t xml:space="preserve">]</w:t>
      </w:r>
      <w:r>
        <w:t xml:space="preserve">。</w:t>
      </w:r>
    </w:p>
    <w:p>
      <w:pPr>
        <w:pStyle w:val="BodyText"/>
      </w:pPr>
      <w:r>
        <w:t xml:space="preserve">对流体清除的精确方向、睡眠状态下不同溶质的净通量，以及各路径在人类中的相对贡献，应保留条件性结论。用进入、交换、扩散、代谢和离开这些可测过程替代笼统排毒说法，可以使讨论更加准确。</w:t>
      </w:r>
    </w:p>
    <w:p>
      <w:pPr>
        <w:pStyle w:val="BodyText"/>
      </w:pPr>
      <w:r>
        <w:t xml:space="preserve">一个完整神经机制解释，最终需要交代活动所需物质从何而来、通过什么界面、如何到达细胞，以及使用后的成分怎样被再利用或移除。血管和屏障知识为回答这些问题提供了共同基础。</w:t>
      </w:r>
    </w:p>
    <w:bookmarkEnd w:id="262"/>
    <w:bookmarkEnd w:id="263"/>
    <w:bookmarkStart w:id="279" w:name="ch-13"/>
    <w:p>
      <w:pPr>
        <w:pStyle w:val="Heading2"/>
      </w:pPr>
      <w:r>
        <w:t xml:space="preserve">第13章　神经系统的能量代谢与细胞稳态</w:t>
      </w:r>
    </w:p>
    <w:bookmarkStart w:id="264" w:name="sec-13-1"/>
    <w:p>
      <w:pPr>
        <w:pStyle w:val="Heading3"/>
      </w:pPr>
      <w:r>
        <w:t xml:space="preserve">13.1　能量供应贯穿神经活动的每一步</w:t>
      </w:r>
    </w:p>
    <w:p>
      <w:pPr>
        <w:pStyle w:val="FirstParagraph"/>
      </w:pPr>
      <w:r>
        <w:t xml:space="preserve">神经元的电活动依赖离子梯度，离子梯度需要持续恢复。突触囊泡循环、递质装载、钙清除、蛋白更新和轴突运输也消耗能量。胶质细胞同时承担摄取、代谢支持和环境调节。脑能量需求由这些持续过程与活动引起的增量共同构成，安静状态下也存在大量工作</w:t>
      </w:r>
      <w:r>
        <w:rPr>
          <w:vertAlign w:val="superscript"/>
        </w:rPr>
        <w:t xml:space="preserve">[</w:t>
      </w:r>
      <w:hyperlink w:anchor="ref-126">
        <w:r>
          <w:rPr>
            <w:rStyle w:val="Hyperlink"/>
            <w:vertAlign w:val="superscript"/>
          </w:rPr>
          <w:t xml:space="preserve">126</w:t>
        </w:r>
      </w:hyperlink>
      <w:r>
        <w:rPr>
          <w:vertAlign w:val="superscript"/>
        </w:rPr>
        <w:t xml:space="preserve">,</w:t>
      </w:r>
      <w:hyperlink w:anchor="ref-127">
        <w:r>
          <w:rPr>
            <w:rStyle w:val="Hyperlink"/>
            <w:vertAlign w:val="superscript"/>
          </w:rPr>
          <w:t xml:space="preserve">127</w:t>
        </w:r>
      </w:hyperlink>
      <w:r>
        <w:rPr>
          <w:vertAlign w:val="superscript"/>
        </w:rPr>
        <w:t xml:space="preserve">]</w:t>
      </w:r>
      <w:r>
        <w:t xml:space="preserve">。</w:t>
      </w:r>
    </w:p>
    <w:p>
      <w:pPr>
        <w:pStyle w:val="BodyText"/>
      </w:pPr>
      <w:r>
        <w:t xml:space="preserve">能量供应与功能之间具有双向联系。活动增加需求，局部代谢和血流又决定细胞能够维持怎样的活动。某处代谢改变可能是神经活动变化的结果，也可能成为限制活动的原因。确定方向需要关注事件先后、底物供应和具体细胞环节。</w:t>
      </w:r>
    </w:p>
    <w:p>
      <w:pPr>
        <w:pStyle w:val="BodyText"/>
      </w:pPr>
      <w:r>
        <w:t xml:space="preserve">一个脑区平均代谢保持稳定，并不意味着每个细胞或每个突触都稳定。不同细胞可以发生相反变化，局部高需求区室也可能被总体平均掩盖。理解神经供能，需要从全脑总量进一步进入细胞与亚细胞空间。</w:t>
      </w:r>
    </w:p>
    <w:bookmarkEnd w:id="264"/>
    <w:bookmarkStart w:id="265" w:name="sec-13-2"/>
    <w:p>
      <w:pPr>
        <w:pStyle w:val="Heading3"/>
      </w:pPr>
      <w:r>
        <w:t xml:space="preserve">13.2　ATP浓度与ATP周转是不同变量</w:t>
      </w:r>
    </w:p>
    <w:p>
      <w:pPr>
        <w:pStyle w:val="FirstParagraph"/>
      </w:pPr>
      <w:r>
        <w:t xml:space="preserve">ATP水解能够与多种需要能量的反应耦合，其可用自由能取决于ATP、ADP、无机磷酸等化学条件。ATP被消耗后需要通过代谢持续再生。细胞通常维持一定浓度，同时显著改变生成和消耗速率；浓度不变可以反映供需匹配良好。</w:t>
      </w:r>
    </w:p>
    <w:p>
      <w:pPr>
        <w:pStyle w:val="BodyText"/>
      </w:pPr>
      <w:r>
        <w:t xml:space="preserve">因此，观察到活动期间ATP读数变化很小，不能直接判断活动没有能量成本。若生成率随需求同步增加，库存仍可保持。突触前ATP传感研究展示了活动依赖合成与囊泡循环需求之间的联系，短暂阻碍相应供能即可影响部分突触功能</w:t>
      </w:r>
      <w:r>
        <w:rPr>
          <w:vertAlign w:val="superscript"/>
        </w:rPr>
        <w:t xml:space="preserve">[</w:t>
      </w:r>
      <w:hyperlink w:anchor="ref-128">
        <w:r>
          <w:rPr>
            <w:rStyle w:val="Hyperlink"/>
            <w:vertAlign w:val="superscript"/>
          </w:rPr>
          <w:t xml:space="preserve">128</w:t>
        </w:r>
      </w:hyperlink>
      <w:r>
        <w:rPr>
          <w:vertAlign w:val="superscript"/>
        </w:rPr>
        <w:t xml:space="preserve">]</w:t>
      </w:r>
      <w:r>
        <w:t xml:space="preserve">。</w:t>
      </w:r>
    </w:p>
    <w:p>
      <w:pPr>
        <w:pStyle w:val="BodyText"/>
      </w:pPr>
      <w:r>
        <w:t xml:space="preserve">这与水库的类比只在有限范围内成立：水位对应浓度，流入和流出对应通量。类比的用途是区分状态量与过程量。真实细胞还具有区室、扩散限制、化学平衡和缓冲反应，不能用一个均匀储库完整描述。</w:t>
      </w:r>
    </w:p>
    <w:bookmarkEnd w:id="265"/>
    <w:bookmarkStart w:id="266" w:name="sec-13-3"/>
    <w:p>
      <w:pPr>
        <w:pStyle w:val="Heading3"/>
      </w:pPr>
      <w:r>
        <w:t xml:space="preserve">13.3　葡萄糖同时承担供能与合成任务</w:t>
      </w:r>
    </w:p>
    <w:p>
      <w:pPr>
        <w:pStyle w:val="FirstParagraph"/>
      </w:pPr>
      <w:r>
        <w:t xml:space="preserve">葡萄糖经转运进入细胞后，可以进入糖酵解、磷酸戊糖途径、糖原代谢及多种合成支路。糖酵解生成丙酮酸并产生ATP和还原当量；丙酮酸可进入线粒体氧化，也可与乳酸之间相互转换。碳流的选择取决于酶调节、底物、细胞状态和其他代谢需求</w:t>
      </w:r>
      <w:r>
        <w:rPr>
          <w:vertAlign w:val="superscript"/>
        </w:rPr>
        <w:t xml:space="preserve">[</w:t>
      </w:r>
      <w:hyperlink w:anchor="ref-126">
        <w:r>
          <w:rPr>
            <w:rStyle w:val="Hyperlink"/>
            <w:vertAlign w:val="superscript"/>
          </w:rPr>
          <w:t xml:space="preserve">126</w:t>
        </w:r>
      </w:hyperlink>
      <w:r>
        <w:rPr>
          <w:vertAlign w:val="superscript"/>
        </w:rPr>
        <w:t xml:space="preserve">]</w:t>
      </w:r>
      <w:r>
        <w:t xml:space="preserve">。</w:t>
      </w:r>
    </w:p>
    <w:p>
      <w:pPr>
        <w:pStyle w:val="BodyText"/>
      </w:pPr>
      <w:r>
        <w:t xml:space="preserve">线粒体中的三羧酸循环与电子传递链把底物氧化释放的能量转化为跨内膜电化学梯度，ATP合酶利用这一梯度合成ATP。氧作为电子传递末端受体参与过程。氧充足只是必要条件之一，底物运输、线粒体结构和酶功能同样重要。</w:t>
      </w:r>
    </w:p>
    <w:p>
      <w:pPr>
        <w:pStyle w:val="BodyText"/>
      </w:pPr>
      <w:r>
        <w:t xml:space="preserve">葡萄糖碳也进入递质与结构成分，因此减少某条支路的碳流可能影响供能以外的任务。脑代谢研究若只问每个葡萄糖分子产生多少ATP，会漏掉还原力、膜成分和递质补充等需求。正常功能依赖这些用途之间的协调。</w:t>
      </w:r>
    </w:p>
    <w:bookmarkEnd w:id="266"/>
    <w:bookmarkStart w:id="267" w:name="sec-13-4"/>
    <w:p>
      <w:pPr>
        <w:pStyle w:val="Heading3"/>
      </w:pPr>
      <w:r>
        <w:t xml:space="preserve">13.4　糖酵解和氧化代谢可以暂时不同步</w:t>
      </w:r>
    </w:p>
    <w:p>
      <w:pPr>
        <w:pStyle w:val="FirstParagraph"/>
      </w:pPr>
      <w:r>
        <w:t xml:space="preserve">糖酵解的速度可以较快改变，线粒体底物氧化与还原当量转运则受到其他过程限制。即使氧供应充足，局部糖酵解也可能暂时超过氧化处理能力，导致乳酸生成增加。乳酸生成帮助再生糖酵解所需的NAD⁺，并不自动证明组织缺氧。</w:t>
      </w:r>
    </w:p>
    <w:p>
      <w:pPr>
        <w:pStyle w:val="BodyText"/>
      </w:pPr>
      <w:r>
        <w:t xml:space="preserve">神经元代谢传感研究在特定切片和清醒小鼠条件下观察到，刺激能够增加神经元直接使用葡萄糖的相关响应，所测变化不需要先由星形胶质提供乳酸解释</w:t>
      </w:r>
      <w:r>
        <w:rPr>
          <w:vertAlign w:val="superscript"/>
        </w:rPr>
        <w:t xml:space="preserve">[</w:t>
      </w:r>
      <w:hyperlink w:anchor="ref-129">
        <w:r>
          <w:rPr>
            <w:rStyle w:val="Hyperlink"/>
            <w:vertAlign w:val="superscript"/>
          </w:rPr>
          <w:t xml:space="preserve">129</w:t>
        </w:r>
      </w:hyperlink>
      <w:r>
        <w:rPr>
          <w:vertAlign w:val="superscript"/>
        </w:rPr>
        <w:t xml:space="preserve">]</w:t>
      </w:r>
      <w:r>
        <w:t xml:space="preserve">。这类结果支持神经元自身具有可调节的糖代谢能力，同时需要保留脑区、刺激与传感指标的范围。</w:t>
      </w:r>
    </w:p>
    <w:p>
      <w:pPr>
        <w:pStyle w:val="BodyText"/>
      </w:pPr>
      <w:r>
        <w:t xml:space="preserve">不同实验对代谢反应的描述可能涉及不同时间阶段。数秒内的糖酵解变化、数分钟的底物交换和更长时间的酶表达调整，并不要求具有完全相同的主导机制。把时间分辨率写清楚，可以减少表面矛盾。</w:t>
      </w:r>
    </w:p>
    <w:bookmarkEnd w:id="267"/>
    <w:bookmarkStart w:id="268" w:name="sec-13-5"/>
    <w:p>
      <w:pPr>
        <w:pStyle w:val="Heading3"/>
      </w:pPr>
      <w:r>
        <w:t xml:space="preserve">13.5　离子恢复使电信号具有代谢成本</w:t>
      </w:r>
    </w:p>
    <w:p>
      <w:pPr>
        <w:pStyle w:val="FirstParagraph"/>
      </w:pPr>
      <w:r>
        <w:t xml:space="preserve">钠进入与钾外流改变细胞内外梯度，钠钾泵通过ATP水解将其逐步恢复。钙通过泵和交换机制被移出胞质或转移到储存区室，相关交换又依赖其他离子梯度。电活动的能量支出因此会在信号之后继续存在。</w:t>
      </w:r>
    </w:p>
    <w:p>
      <w:pPr>
        <w:pStyle w:val="BodyText"/>
      </w:pPr>
      <w:r>
        <w:t xml:space="preserve">动作电位成本受通道时序和离子电流重叠影响。相同放电次数在不同细胞中未必产生相同离子负荷。突触后电流、维持静息梯度和突触前循环也会占用资源。能量预算模型表明，不同脑区与细胞组织可具有不同支出构成，其比例依赖细胞数量、活动率和生理参数</w:t>
      </w:r>
      <w:r>
        <w:rPr>
          <w:vertAlign w:val="superscript"/>
        </w:rPr>
        <w:t xml:space="preserve">[</w:t>
      </w:r>
      <w:hyperlink w:anchor="ref-127">
        <w:r>
          <w:rPr>
            <w:rStyle w:val="Hyperlink"/>
            <w:vertAlign w:val="superscript"/>
          </w:rPr>
          <w:t xml:space="preserve">127</w:t>
        </w:r>
      </w:hyperlink>
      <w:r>
        <w:rPr>
          <w:vertAlign w:val="superscript"/>
        </w:rPr>
        <w:t xml:space="preserve">]</w:t>
      </w:r>
      <w:r>
        <w:t xml:space="preserve">。</w:t>
      </w:r>
    </w:p>
    <w:p>
      <w:pPr>
        <w:pStyle w:val="BodyText"/>
      </w:pPr>
      <w:r>
        <w:t xml:space="preserve">这些预算有助于检验生物可行性，数值不能脱离假设成为全脑固定比例。例如改变平均突触输入强度，会改变恢复离子梯度所需能量；改变髓鞘和轴突结构，会改变传导相关成本。模型与直接代谢测量相互约束，才能得到适合具体组织的解释。</w:t>
      </w:r>
    </w:p>
    <w:bookmarkEnd w:id="268"/>
    <w:bookmarkStart w:id="269" w:name="sec-13-6"/>
    <w:p>
      <w:pPr>
        <w:pStyle w:val="Heading3"/>
      </w:pPr>
      <w:r>
        <w:t xml:space="preserve">13.6　胶质摄取把突触活动连接到代谢</w:t>
      </w:r>
    </w:p>
    <w:p>
      <w:pPr>
        <w:pStyle w:val="FirstParagraph"/>
      </w:pPr>
      <w:r>
        <w:t xml:space="preserve">星形胶质摄取谷氨酸时伴随离子转运，随后需要恢复梯度并处理摄入分子。原始培养实验表明，这种摄取能够刺激星形胶质的糖酵解和乳酸释放，据此提出了一种把突触释放与胶质代谢联系起来的候选细胞机制</w:t>
      </w:r>
      <w:r>
        <w:rPr>
          <w:vertAlign w:val="superscript"/>
        </w:rPr>
        <w:t xml:space="preserve">[</w:t>
      </w:r>
      <w:hyperlink w:anchor="ref-130">
        <w:r>
          <w:rPr>
            <w:rStyle w:val="Hyperlink"/>
            <w:vertAlign w:val="superscript"/>
          </w:rPr>
          <w:t xml:space="preserve">130</w:t>
        </w:r>
      </w:hyperlink>
      <w:r>
        <w:rPr>
          <w:vertAlign w:val="superscript"/>
        </w:rPr>
        <w:t xml:space="preserve">]</w:t>
      </w:r>
      <w:r>
        <w:t xml:space="preserve">。</w:t>
      </w:r>
    </w:p>
    <w:p>
      <w:pPr>
        <w:pStyle w:val="BodyText"/>
      </w:pPr>
      <w:r>
        <w:t xml:space="preserve">谷氨酸还可在胶质中转为谷氨酰胺，再供神经元相关递质合成使用。这个循环涉及碳骨架、氮和能量，补充与流失都需要考虑。若部分碳被氧化供能，系统还需要通过补充反应维持递质与代谢物池；循环的存在不意味着每个分子都永久在两个细胞间封闭往返（见</w:t>
      </w:r>
      <w:r>
        <w:t xml:space="preserve"> </w:t>
      </w:r>
      <w:hyperlink w:anchor="sec-10-5">
        <w:r>
          <w:rPr>
            <w:rStyle w:val="Hyperlink"/>
          </w:rPr>
          <w:t xml:space="preserve">10.5</w:t>
        </w:r>
      </w:hyperlink>
      <w:r>
        <w:t xml:space="preserve">）</w:t>
      </w:r>
      <w:r>
        <w:rPr>
          <w:vertAlign w:val="superscript"/>
        </w:rPr>
        <w:t xml:space="preserve">[</w:t>
      </w:r>
      <w:hyperlink w:anchor="ref-126">
        <w:r>
          <w:rPr>
            <w:rStyle w:val="Hyperlink"/>
            <w:vertAlign w:val="superscript"/>
          </w:rPr>
          <w:t xml:space="preserve">126</w:t>
        </w:r>
      </w:hyperlink>
      <w:r>
        <w:rPr>
          <w:vertAlign w:val="superscript"/>
        </w:rPr>
        <w:t xml:space="preserve">]</w:t>
      </w:r>
      <w:r>
        <w:t xml:space="preserve">。</w:t>
      </w:r>
    </w:p>
    <w:p>
      <w:pPr>
        <w:pStyle w:val="BodyText"/>
      </w:pPr>
      <w:r>
        <w:t xml:space="preserve">胶质代谢作用也包括局部糖原利用和对轴突的支持。少突胶质相关转运机制与轴突长期维持之间具有实验联系</w:t>
      </w:r>
      <w:r>
        <w:rPr>
          <w:vertAlign w:val="superscript"/>
        </w:rPr>
        <w:t xml:space="preserve">[</w:t>
      </w:r>
      <w:hyperlink w:anchor="ref-98">
        <w:r>
          <w:rPr>
            <w:rStyle w:val="Hyperlink"/>
            <w:vertAlign w:val="superscript"/>
          </w:rPr>
          <w:t xml:space="preserve">98</w:t>
        </w:r>
      </w:hyperlink>
      <w:r>
        <w:rPr>
          <w:vertAlign w:val="superscript"/>
        </w:rPr>
        <w:t xml:space="preserve">]</w:t>
      </w:r>
      <w:r>
        <w:t xml:space="preserve">。这些证据扩展了对胶质功能的认识，具体支持底物、交换方向和相对贡献仍需要按细胞与状态确认。</w:t>
      </w:r>
    </w:p>
    <w:bookmarkEnd w:id="269"/>
    <w:bookmarkStart w:id="270" w:name="sec-13-7"/>
    <w:p>
      <w:pPr>
        <w:pStyle w:val="Heading3"/>
      </w:pPr>
      <w:r>
        <w:t xml:space="preserve">13.7　乳酸交换需要根据实验条件判断</w:t>
      </w:r>
    </w:p>
    <w:p>
      <w:pPr>
        <w:pStyle w:val="FirstParagraph"/>
      </w:pPr>
      <w:r>
        <w:t xml:space="preserve">乳酸可以被生成、释放、摄取和氧化，单羧酸转运体连接这些过程。转运方向受浓度、酸碱条件和细胞利用速度影响。某细胞在一个阶段释放乳酸，在另一阶段摄取乳酸，在机制上可以成立。把细胞永久指定为单向生产者或消费者，容易忽略动态变化。</w:t>
      </w:r>
    </w:p>
    <w:p>
      <w:pPr>
        <w:pStyle w:val="BodyText"/>
      </w:pPr>
      <w:r>
        <w:t xml:space="preserve">大鼠海马学习相关实验提供了糖原动员、乳酸转运与长期记忆形成之间的操纵证据</w:t>
      </w:r>
      <w:r>
        <w:rPr>
          <w:vertAlign w:val="superscript"/>
        </w:rPr>
        <w:t xml:space="preserve">[</w:t>
      </w:r>
      <w:hyperlink w:anchor="ref-131">
        <w:r>
          <w:rPr>
            <w:rStyle w:val="Hyperlink"/>
            <w:vertAlign w:val="superscript"/>
          </w:rPr>
          <w:t xml:space="preserve">131</w:t>
        </w:r>
      </w:hyperlink>
      <w:r>
        <w:rPr>
          <w:vertAlign w:val="superscript"/>
        </w:rPr>
        <w:t xml:space="preserve">]</w:t>
      </w:r>
      <w:r>
        <w:t xml:space="preserve">。与此同时，其他刺激和测量条件下的研究支持神经元直接糖酵解的重要作用</w:t>
      </w:r>
      <w:r>
        <w:rPr>
          <w:vertAlign w:val="superscript"/>
        </w:rPr>
        <w:t xml:space="preserve">[</w:t>
      </w:r>
      <w:hyperlink w:anchor="ref-129">
        <w:r>
          <w:rPr>
            <w:rStyle w:val="Hyperlink"/>
            <w:vertAlign w:val="superscript"/>
          </w:rPr>
          <w:t xml:space="preserve">129</w:t>
        </w:r>
      </w:hyperlink>
      <w:r>
        <w:rPr>
          <w:vertAlign w:val="superscript"/>
        </w:rPr>
        <w:t xml:space="preserve">]</w:t>
      </w:r>
      <w:r>
        <w:t xml:space="preserve">。两类证据需要结合实验部位、任务、干预特异性和时间尺度分析，不能简单推导所有神经活动都依赖同一种主导燃料路径。</w:t>
      </w:r>
    </w:p>
    <w:p>
      <w:pPr>
        <w:pStyle w:val="BodyText"/>
      </w:pPr>
      <w:r>
        <w:t xml:space="preserve">若阻断一种转运体后行为改变，还需考虑转运体对其他底物、酸碱和局部细胞状态的影响。补充乳酸能够挽救某表型时，说明它在该条件下具有补偿能力，是否完整恢复原始生理路径仍需进一步确认。乳酸穿梭是可检验的机制框架，其具体形式与权重应由条件匹配的证据决定。</w:t>
      </w:r>
    </w:p>
    <w:bookmarkEnd w:id="270"/>
    <w:bookmarkStart w:id="271" w:name="sec-13-8"/>
    <w:p>
      <w:pPr>
        <w:pStyle w:val="Heading3"/>
      </w:pPr>
      <w:r>
        <w:t xml:space="preserve">13.8　线粒体的位置决定局部支持能力</w:t>
      </w:r>
    </w:p>
    <w:p>
      <w:pPr>
        <w:pStyle w:val="FirstParagraph"/>
      </w:pPr>
      <w:r>
        <w:t xml:space="preserve">神经元轴突可以很长，线粒体需要沿细胞骨架运输，并在不同需求区域停留。局部活动与钙信号能够影响这种分布。Miro1相关实验把钙感受、运动蛋白联系和线粒体定位连接起来，提供了活动需求与供能位置之间的一条机制</w:t>
      </w:r>
      <w:r>
        <w:rPr>
          <w:vertAlign w:val="superscript"/>
        </w:rPr>
        <w:t xml:space="preserve">[</w:t>
      </w:r>
      <w:hyperlink w:anchor="ref-132">
        <w:r>
          <w:rPr>
            <w:rStyle w:val="Hyperlink"/>
            <w:vertAlign w:val="superscript"/>
          </w:rPr>
          <w:t xml:space="preserve">132</w:t>
        </w:r>
      </w:hyperlink>
      <w:r>
        <w:rPr>
          <w:vertAlign w:val="superscript"/>
        </w:rPr>
        <w:t xml:space="preserve">]</w:t>
      </w:r>
      <w:r>
        <w:t xml:space="preserve">。</w:t>
      </w:r>
    </w:p>
    <w:p>
      <w:pPr>
        <w:pStyle w:val="BodyText"/>
      </w:pPr>
      <w:r>
        <w:t xml:space="preserve">末梢拥有线粒体并不意味着只依赖氧化供能，局部糖酵解也可以参与。相反，没有可见线粒体的短小末梢，可能利用邻近区室扩散或局部糖代谢支持。实际能力取决于距离、需求强度和底物可用性。</w:t>
      </w:r>
    </w:p>
    <w:p>
      <w:pPr>
        <w:pStyle w:val="BodyText"/>
      </w:pPr>
      <w:r>
        <w:t xml:space="preserve">线粒体还参与钙处理和细胞信号。适度钙变化可以把活动与代谢调节相连，过强或持续的钙负担则可能损害功能。能量供应与钙稳态由此形成反馈：供能不足削弱清除，钙负担又进一步增加代谢压力。</w:t>
      </w:r>
    </w:p>
    <w:bookmarkEnd w:id="271"/>
    <w:bookmarkStart w:id="272" w:name="sec-13-9"/>
    <w:p>
      <w:pPr>
        <w:pStyle w:val="Heading3"/>
      </w:pPr>
      <w:r>
        <w:t xml:space="preserve">13.9　质量控制维持可用线粒体群体</w:t>
      </w:r>
    </w:p>
    <w:p>
      <w:pPr>
        <w:pStyle w:val="FirstParagraph"/>
      </w:pPr>
      <w:r>
        <w:t xml:space="preserve">线粒体持续经历蛋白更新、形态变化、运输和清除。融合与分裂能够重新组织内容物和形态，特定损伤识别路径则参与淘汰不适合继续工作的结构。PINK1与Parkin相关细胞实验展示了一种损伤依赖募集和清除机制</w:t>
      </w:r>
      <w:r>
        <w:rPr>
          <w:vertAlign w:val="superscript"/>
        </w:rPr>
        <w:t xml:space="preserve">[</w:t>
      </w:r>
      <w:hyperlink w:anchor="ref-133">
        <w:r>
          <w:rPr>
            <w:rStyle w:val="Hyperlink"/>
            <w:vertAlign w:val="superscript"/>
          </w:rPr>
          <w:t xml:space="preserve">133</w:t>
        </w:r>
      </w:hyperlink>
      <w:r>
        <w:rPr>
          <w:vertAlign w:val="superscript"/>
        </w:rPr>
        <w:t xml:space="preserve">]</w:t>
      </w:r>
      <w:r>
        <w:t xml:space="preserve">。</w:t>
      </w:r>
    </w:p>
    <w:p>
      <w:pPr>
        <w:pStyle w:val="BodyText"/>
      </w:pPr>
      <w:r>
        <w:t xml:space="preserve">这一机制在神经疾病研究中具有重要意义，但所有细胞、所有基础条件的线粒体更新并不一定完全依赖同一条路径。强去极化细胞模型中的响应，需要与长期活体神经元的生理更新区分。遗传关联、急性细胞实验与自然老化观测各自覆盖不同层级。</w:t>
      </w:r>
    </w:p>
    <w:p>
      <w:pPr>
        <w:pStyle w:val="BodyText"/>
      </w:pPr>
      <w:r>
        <w:t xml:space="preserve">对于长轴突，受损线粒体的运输和局部处理还具有空间限制。一个细胞可以在胞体中维持较好总体代谢，同时在远端末梢出现局部支持不足。局部功能测量因此有助于识别平均组织指标遗漏的问题。</w:t>
      </w:r>
    </w:p>
    <w:bookmarkEnd w:id="272"/>
    <w:bookmarkStart w:id="273" w:name="sec-13-10"/>
    <w:p>
      <w:pPr>
        <w:pStyle w:val="Heading3"/>
      </w:pPr>
      <w:r>
        <w:t xml:space="preserve">13.10　还原力分配连接供能与抗氧化</w:t>
      </w:r>
    </w:p>
    <w:p>
      <w:pPr>
        <w:pStyle w:val="FirstParagraph"/>
      </w:pPr>
      <w:r>
        <w:t xml:space="preserve">NADH和NADPH承担不同但相互联系的氧化还原任务。前者广泛参与底物氧化与电子传递，后者对多种合成及抗氧化系统重要。磷酸戊糖途径能够提供NADPH和核糖相关前体，因此葡萄糖分流会影响细胞在供能、修复与合成之间的能力。</w:t>
      </w:r>
    </w:p>
    <w:p>
      <w:pPr>
        <w:pStyle w:val="BodyText"/>
      </w:pPr>
      <w:r>
        <w:t xml:space="preserve">特定神经元模型中的酶降解研究显示，改变关键糖酵解调节酶可以影响葡萄糖分流和抗氧化状态</w:t>
      </w:r>
      <w:r>
        <w:rPr>
          <w:vertAlign w:val="superscript"/>
        </w:rPr>
        <w:t xml:space="preserve">[</w:t>
      </w:r>
      <w:hyperlink w:anchor="ref-134">
        <w:r>
          <w:rPr>
            <w:rStyle w:val="Hyperlink"/>
            <w:vertAlign w:val="superscript"/>
          </w:rPr>
          <w:t xml:space="preserve">134</w:t>
        </w:r>
      </w:hyperlink>
      <w:r>
        <w:rPr>
          <w:vertAlign w:val="superscript"/>
        </w:rPr>
        <w:t xml:space="preserve">]</w:t>
      </w:r>
      <w:r>
        <w:t xml:space="preserve">。这类结果说明，增加一条供能路径可能同时减少另一项保护资源。其具体结论需要保留细胞模型和操纵幅度，不能据此断言神经元在任何刺激下都不能提高糖酵解。</w:t>
      </w:r>
    </w:p>
    <w:p>
      <w:pPr>
        <w:pStyle w:val="BodyText"/>
      </w:pPr>
      <w:r>
        <w:t xml:space="preserve">活性氧也需要分层理解。一定范围内的氧化还原变化参与信号调节，过度或持续负荷则可损伤膜、蛋白和核酸。降低所有氧化信号并不天然等于改善细胞功能。评价相关干预，应确定作用分子、区室和实际损伤指标，避免把抗氧化一词当作统一的临床效果保证。</w:t>
      </w:r>
    </w:p>
    <w:bookmarkEnd w:id="273"/>
    <w:bookmarkStart w:id="274" w:name="sec-13-11"/>
    <w:p>
      <w:pPr>
        <w:pStyle w:val="Heading3"/>
      </w:pPr>
      <w:r>
        <w:t xml:space="preserve">13.11　能量感受通路协调使用与更新</w:t>
      </w:r>
    </w:p>
    <w:p>
      <w:pPr>
        <w:pStyle w:val="FirstParagraph"/>
      </w:pPr>
      <w:r>
        <w:t xml:space="preserve">AMPK可以感受腺嘌呤核苷酸相关状态及其他上游信号，进而调节产能、合成和细胞活动。mTOR相关复合物则整合营养、生长因子等信息，参与蛋白合成、代谢和更新调节。两类通路共同帮助细胞把资源条件与生长维护任务连接起来</w:t>
      </w:r>
      <w:r>
        <w:rPr>
          <w:vertAlign w:val="superscript"/>
        </w:rPr>
        <w:t xml:space="preserve">[</w:t>
      </w:r>
      <w:hyperlink w:anchor="ref-135">
        <w:r>
          <w:rPr>
            <w:rStyle w:val="Hyperlink"/>
            <w:vertAlign w:val="superscript"/>
          </w:rPr>
          <w:t xml:space="preserve">135</w:t>
        </w:r>
      </w:hyperlink>
      <w:r>
        <w:rPr>
          <w:vertAlign w:val="superscript"/>
        </w:rPr>
        <w:t xml:space="preserve">,</w:t>
      </w:r>
      <w:hyperlink w:anchor="ref-136">
        <w:r>
          <w:rPr>
            <w:rStyle w:val="Hyperlink"/>
            <w:vertAlign w:val="superscript"/>
          </w:rPr>
          <w:t xml:space="preserve">136</w:t>
        </w:r>
      </w:hyperlink>
      <w:r>
        <w:rPr>
          <w:vertAlign w:val="superscript"/>
        </w:rPr>
        <w:t xml:space="preserve">]</w:t>
      </w:r>
      <w:r>
        <w:t xml:space="preserve">。</w:t>
      </w:r>
    </w:p>
    <w:p>
      <w:pPr>
        <w:pStyle w:val="BodyText"/>
      </w:pPr>
      <w:r>
        <w:t xml:space="preserve">在神经系统中，短时降低某些合成支出可以保护基本稳态，长期过度抑制又可能影响突触更新和可塑性。相同分子通路的增强或减弱，在不同病理阶段和细胞中可能具有不同后果。不能仅凭一个方向性的分子变化给出普遍健康评价。</w:t>
      </w:r>
    </w:p>
    <w:p>
      <w:pPr>
        <w:pStyle w:val="BodyText"/>
      </w:pPr>
      <w:r>
        <w:t xml:space="preserve">这些通路还把细胞内能量与身体状态联系起来。营养、激素和活动影响细胞信号，细胞反应又改变摄食、代谢与行为输出。全身能量充足与某个神经区室可及时获得足够能量，属于不同判断，需要分别测量。</w:t>
      </w:r>
    </w:p>
    <w:bookmarkEnd w:id="274"/>
    <w:bookmarkStart w:id="275" w:name="sec-13-12"/>
    <w:p>
      <w:pPr>
        <w:pStyle w:val="Heading3"/>
      </w:pPr>
      <w:r>
        <w:t xml:space="preserve">13.12　替代底物体现代谢适应</w:t>
      </w:r>
    </w:p>
    <w:p>
      <w:pPr>
        <w:pStyle w:val="FirstParagraph"/>
      </w:pPr>
      <w:r>
        <w:t xml:space="preserve">在特定生理条件下，脑可以增加利用酮体等底物。经典人体研究在3名接受5至6周禁食的肥胖受试者中，测得β-羟丁酸和乙酰乙酸取代葡萄糖，成为脑代谢的主要燃料</w:t>
      </w:r>
      <w:r>
        <w:rPr>
          <w:vertAlign w:val="superscript"/>
        </w:rPr>
        <w:t xml:space="preserve">[</w:t>
      </w:r>
      <w:hyperlink w:anchor="ref-137">
        <w:r>
          <w:rPr>
            <w:rStyle w:val="Hyperlink"/>
            <w:vertAlign w:val="superscript"/>
          </w:rPr>
          <w:t xml:space="preserve">137</w:t>
        </w:r>
      </w:hyperlink>
      <w:r>
        <w:rPr>
          <w:vertAlign w:val="superscript"/>
        </w:rPr>
        <w:t xml:space="preserve">]</w:t>
      </w:r>
      <w:r>
        <w:t xml:space="preserve">。这说明脑燃料使用具有适应性，同时研究条件非常特殊，不能据此推定日常认知任务需要或适合采用相同营养状态。</w:t>
      </w:r>
    </w:p>
    <w:p>
      <w:pPr>
        <w:pStyle w:val="BodyText"/>
      </w:pPr>
      <w:r>
        <w:t xml:space="preserve">替代底物的利用需要转运和酶系统配合，其变化具有时间过程。即使某种底物提供更多氧化能量，葡萄糖仍参与其他重要代谢支路。能量替代与全部生物合成需求替代并不等价。</w:t>
      </w:r>
    </w:p>
    <w:p>
      <w:pPr>
        <w:pStyle w:val="BodyText"/>
      </w:pPr>
      <w:r>
        <w:t xml:space="preserve">生酮饮食在特定疾病中的临床研究，应与一般健康人认知增强主张分别评价。动物研究还显示，饮食效应可以通过微生物和代谢网络发生</w:t>
      </w:r>
      <w:r>
        <w:rPr>
          <w:vertAlign w:val="superscript"/>
        </w:rPr>
        <w:t xml:space="preserve">[</w:t>
      </w:r>
      <w:hyperlink w:anchor="ref-138">
        <w:r>
          <w:rPr>
            <w:rStyle w:val="Hyperlink"/>
            <w:vertAlign w:val="superscript"/>
          </w:rPr>
          <w:t xml:space="preserve">138</w:t>
        </w:r>
      </w:hyperlink>
      <w:r>
        <w:rPr>
          <w:vertAlign w:val="superscript"/>
        </w:rPr>
        <w:t xml:space="preserve">]</w:t>
      </w:r>
      <w:r>
        <w:t xml:space="preserve">。讨论营养转化时，需要同时关注脑、肝脏、肠道和其他组织，单个脑内代谢通路无法覆盖全部获益与代价。</w:t>
      </w:r>
    </w:p>
    <w:bookmarkEnd w:id="275"/>
    <w:bookmarkStart w:id="276" w:name="sec-13-13"/>
    <w:p>
      <w:pPr>
        <w:pStyle w:val="Heading3"/>
      </w:pPr>
      <w:r>
        <w:t xml:space="preserve">13.13　严重供能失败会改变运输方向</w:t>
      </w:r>
    </w:p>
    <w:p>
      <w:pPr>
        <w:pStyle w:val="FirstParagraph"/>
      </w:pPr>
      <w:r>
        <w:t xml:space="preserve">当氧和底物供应严重不足时，ATP再生下降，离子梯度逐渐失去维持。细胞膜去极化、钙处理和渗透条件随之改变，原本依赖梯度的转运也可能改变方向。严重缺血模拟中的研究显示，谷氨酸转运反向运行能够成为细胞外谷氨酸升高的重要来源</w:t>
      </w:r>
      <w:r>
        <w:rPr>
          <w:vertAlign w:val="superscript"/>
        </w:rPr>
        <w:t xml:space="preserve">[</w:t>
      </w:r>
      <w:hyperlink w:anchor="ref-139">
        <w:r>
          <w:rPr>
            <w:rStyle w:val="Hyperlink"/>
            <w:vertAlign w:val="superscript"/>
          </w:rPr>
          <w:t xml:space="preserve">139</w:t>
        </w:r>
      </w:hyperlink>
      <w:r>
        <w:rPr>
          <w:vertAlign w:val="superscript"/>
        </w:rPr>
        <w:t xml:space="preserve">]</w:t>
      </w:r>
      <w:r>
        <w:t xml:space="preserve">。</w:t>
      </w:r>
    </w:p>
    <w:p>
      <w:pPr>
        <w:pStyle w:val="BodyText"/>
      </w:pPr>
      <w:r>
        <w:t xml:space="preserve">这形成一个危险的正反馈：供能不足削弱梯度，细胞外兴奋性信号增加，受体开放进一步增加离子负荷，恢复梯度的能量需求继续上升。病理过程还包含细胞肿胀、氧化损伤和炎症等环节。具体贡献随缺血程度、组织区域和时间阶段变化。</w:t>
      </w:r>
    </w:p>
    <w:p>
      <w:pPr>
        <w:pStyle w:val="BodyText"/>
      </w:pPr>
      <w:r>
        <w:t xml:space="preserve">这个机制也说明，正常生理中的递质作用与严重供能失败中的作用具有不同环境。不能因为某递质在病理条件下参与损伤，就将其全部正常功能视为有害。目标应是识别失去稳态的具体环节。</w:t>
      </w:r>
    </w:p>
    <w:bookmarkEnd w:id="276"/>
    <w:bookmarkStart w:id="277" w:name="sec-13-14"/>
    <w:p>
      <w:pPr>
        <w:pStyle w:val="Heading3"/>
      </w:pPr>
      <w:r>
        <w:t xml:space="preserve">13.14　代谢成像测量的是特定过程</w:t>
      </w:r>
    </w:p>
    <w:p>
      <w:pPr>
        <w:pStyle w:val="FirstParagraph"/>
      </w:pPr>
      <w:r>
        <w:t xml:space="preserve">脱氧葡萄糖方法通过转运、磷酸化和相对滞留来估计局部葡萄糖利用，经典原始研究建立了相应模型及条件</w:t>
      </w:r>
      <w:r>
        <w:rPr>
          <w:vertAlign w:val="superscript"/>
        </w:rPr>
        <w:t xml:space="preserve">[</w:t>
      </w:r>
      <w:hyperlink w:anchor="ref-140">
        <w:r>
          <w:rPr>
            <w:rStyle w:val="Hyperlink"/>
            <w:vertAlign w:val="superscript"/>
          </w:rPr>
          <w:t xml:space="preserve">140</w:t>
        </w:r>
      </w:hyperlink>
      <w:r>
        <w:rPr>
          <w:vertAlign w:val="superscript"/>
        </w:rPr>
        <w:t xml:space="preserve">]</w:t>
      </w:r>
      <w:r>
        <w:t xml:space="preserve">。这些示踪信号需要经过生理模型解释，不能直接等同于每个分子被完全氧化产生的ATP，也不能在常规空间分辨率下独立指定全部细胞来源。</w:t>
      </w:r>
    </w:p>
    <w:p>
      <w:pPr>
        <w:pStyle w:val="BodyText"/>
      </w:pPr>
      <w:r>
        <w:t xml:space="preserve">血流、氧消耗、葡萄糖利用、乳酸和ATP传感各自提供不同窗口。某些指标随活动同向变化，另一些指标存在不同速度或幅度。将多个窗口结合，能够检验供给、利用和储库之间是否匹配。</w:t>
      </w:r>
    </w:p>
    <w:p>
      <w:pPr>
        <w:pStyle w:val="BodyText"/>
      </w:pPr>
      <w:r>
        <w:t xml:space="preserve">对脑力活动的解释尤其需要谨慎。局部网络重新分配活动，不一定意味着全脑总耗能按主观努力程度同比增加。疲劳、注意和表现也受睡眠、动机、学习和身体状态影响。由一次功能成像变化直接推断日常额外热量消耗，通常缺少足够的测量链。</w:t>
      </w:r>
    </w:p>
    <w:bookmarkEnd w:id="277"/>
    <w:bookmarkStart w:id="278" w:name="sec-13-15"/>
    <w:p>
      <w:pPr>
        <w:pStyle w:val="Heading3"/>
      </w:pPr>
      <w:r>
        <w:t xml:space="preserve">13.15　关键判断的证据边界</w:t>
      </w:r>
    </w:p>
    <w:p>
      <w:pPr>
        <w:pStyle w:val="FirstParagraph"/>
      </w:pPr>
      <w:r>
        <w:t xml:space="preserve">ATP持续再生、离子恢复消耗能量、线粒体与糖酵解共同支持神经功能，属于高置信度基础。特定活动条件下神经元与胶质之间的底物交换方向、乳酸贡献和局部预算比例，需要中等置信度的条件性描述。由单一代谢物或商业补充剂普遍提高健康人认知的主张，不能从这些机制直接推出。</w:t>
      </w:r>
    </w:p>
    <w:p>
      <w:pPr>
        <w:pStyle w:val="BodyText"/>
      </w:pPr>
      <w:r>
        <w:t xml:space="preserve">研究脑能量时，最有解释价值的问题包括底物从哪里来、进入哪个区室、转化为哪种化学与电活动、损耗在哪里发生，以及供给能否及时跟上需求。把这些问题连接起来，能够同时理解正常计算、细胞适应与病理失稳。</w:t>
      </w:r>
    </w:p>
    <w:bookmarkEnd w:id="278"/>
    <w:bookmarkEnd w:id="279"/>
    <w:bookmarkStart w:id="293" w:name="ch-14"/>
    <w:p>
      <w:pPr>
        <w:pStyle w:val="Heading2"/>
      </w:pPr>
      <w:r>
        <w:t xml:space="preserve">第14章　神经免疫的空间组织与细胞机制</w:t>
      </w:r>
    </w:p>
    <w:bookmarkStart w:id="280" w:name="sec-14-1"/>
    <w:p>
      <w:pPr>
        <w:pStyle w:val="Heading3"/>
      </w:pPr>
      <w:r>
        <w:t xml:space="preserve">14.1　免疫调节始终发生在具体组织区室</w:t>
      </w:r>
    </w:p>
    <w:p>
      <w:pPr>
        <w:pStyle w:val="FirstParagraph"/>
      </w:pPr>
      <w:r>
        <w:t xml:space="preserve">神经系统需要处理病原体、受损细胞和组织更新，同时维持精确的离子环境与连接关系。免疫反应因此受到位置、进入途径、细胞身份和持续时间的严格约束。脑实质、脑膜、血管周围空间和脉络丛各有自己的界面与细胞组合；在一个区室发现免疫细胞，不能直接推出这些细胞已经进入全部脑实质</w:t>
      </w:r>
      <w:r>
        <w:rPr>
          <w:vertAlign w:val="superscript"/>
        </w:rPr>
        <w:t xml:space="preserve">[</w:t>
      </w:r>
      <w:hyperlink w:anchor="ref-141">
        <w:r>
          <w:rPr>
            <w:rStyle w:val="Hyperlink"/>
            <w:vertAlign w:val="superscript"/>
          </w:rPr>
          <w:t xml:space="preserve">141</w:t>
        </w:r>
      </w:hyperlink>
      <w:r>
        <w:rPr>
          <w:vertAlign w:val="superscript"/>
        </w:rPr>
        <w:t xml:space="preserve">]</w:t>
      </w:r>
      <w:r>
        <w:t xml:space="preserve">。</w:t>
      </w:r>
    </w:p>
    <w:p>
      <w:pPr>
        <w:pStyle w:val="BodyText"/>
      </w:pPr>
      <w:r>
        <w:t xml:space="preserve">理解空间组织可以避免许多概念混淆。例如，血液中的炎症介质升高、脑血管内皮发生响应、脑膜细胞募集以及神经元附近出现浸润细胞，分别对应不同事件。它们可以构成连续链条，也可能只发生其中一部分。每跨过一道界面，都需要相应运输或细胞迁移机制。</w:t>
      </w:r>
    </w:p>
    <w:p>
      <w:pPr>
        <w:pStyle w:val="BodyText"/>
      </w:pPr>
      <w:r>
        <w:t xml:space="preserve">组织保护还依赖清除过程的终止。若损伤源已经消失而炎症持续，周围正常细胞可能承受额外负担；若反应过早受抑制，清除病原体和碎片的能力可能下降。因此，免疫活动的多少与组织结局之间不存在普遍单调关系。判断一种反应，需要同时测量目标、进程和恢复情况。</w:t>
      </w:r>
    </w:p>
    <w:bookmarkEnd w:id="280"/>
    <w:bookmarkStart w:id="281" w:name="sec-14-2"/>
    <w:p>
      <w:pPr>
        <w:pStyle w:val="Heading3"/>
      </w:pPr>
      <w:r>
        <w:t xml:space="preserve">14.2　驻留小胶质与边界巨噬细胞具有不同生物身份</w:t>
      </w:r>
    </w:p>
    <w:p>
      <w:pPr>
        <w:pStyle w:val="FirstParagraph"/>
      </w:pPr>
      <w:r>
        <w:t xml:space="preserve">小胶质属于脑实质驻留髓系细胞，其胚胎来源和成年维持方式，与通常由骨髓产生并在血中循环的单核细胞有重要区别。命运示踪研究支持小胶质主要来自早期胚胎髓系祖细胞，健康成年条件下可在局部维持（见</w:t>
      </w:r>
      <w:r>
        <w:t xml:space="preserve"> </w:t>
      </w:r>
      <w:hyperlink w:anchor="sec-10-10">
        <w:r>
          <w:rPr>
            <w:rStyle w:val="Hyperlink"/>
          </w:rPr>
          <w:t xml:space="preserve">10.10</w:t>
        </w:r>
      </w:hyperlink>
      <w:r>
        <w:t xml:space="preserve">）。病理状态下进入组织的单核细胞可以获得部分相似表达，却不能据此认定它们具有完全相同的来源和功能</w:t>
      </w:r>
      <w:r>
        <w:rPr>
          <w:vertAlign w:val="superscript"/>
        </w:rPr>
        <w:t xml:space="preserve">[</w:t>
      </w:r>
      <w:hyperlink w:anchor="ref-93">
        <w:r>
          <w:rPr>
            <w:rStyle w:val="Hyperlink"/>
            <w:vertAlign w:val="superscript"/>
          </w:rPr>
          <w:t xml:space="preserve">93</w:t>
        </w:r>
      </w:hyperlink>
      <w:r>
        <w:rPr>
          <w:vertAlign w:val="superscript"/>
        </w:rPr>
        <w:t xml:space="preserve">]</w:t>
      </w:r>
      <w:r>
        <w:t xml:space="preserve">。</w:t>
      </w:r>
    </w:p>
    <w:p>
      <w:pPr>
        <w:pStyle w:val="BodyText"/>
      </w:pPr>
      <w:r>
        <w:t xml:space="preserve">脑膜、血管周围及脉络丛巨噬细胞又构成多样的边界群体。小鼠命运示踪与共生实验发现，其中一些群体可长期保留胚胎来源，脉络丛相关群体则具有更复杂的来源和更新方式。这种区室差异限制了所有脑内巨噬细胞都以同一速度被血液替换的推断</w:t>
      </w:r>
      <w:r>
        <w:rPr>
          <w:vertAlign w:val="superscript"/>
        </w:rPr>
        <w:t xml:space="preserve">[</w:t>
      </w:r>
      <w:hyperlink w:anchor="ref-142">
        <w:r>
          <w:rPr>
            <w:rStyle w:val="Hyperlink"/>
            <w:vertAlign w:val="superscript"/>
          </w:rPr>
          <w:t xml:space="preserve">142</w:t>
        </w:r>
      </w:hyperlink>
      <w:r>
        <w:rPr>
          <w:vertAlign w:val="superscript"/>
        </w:rPr>
        <w:t xml:space="preserve">]</w:t>
      </w:r>
      <w:r>
        <w:t xml:space="preserve">。</w:t>
      </w:r>
    </w:p>
    <w:p>
      <w:pPr>
        <w:pStyle w:val="BodyText"/>
      </w:pPr>
      <w:r>
        <w:t xml:space="preserve">来源、位置与状态应分开记录。一个细胞可以保持谱系身份，同时改变吞噬、脂质代谢、趋化和抗原呈递相关表达。描述它时，给出所在区室、具体标记与功能测量，比用单一激活标签更有解释力。既有命名共识也强调，应按研究条件描述可观察状态，避免将多维反应压缩为固定的保护或损伤两类（见</w:t>
      </w:r>
      <w:r>
        <w:t xml:space="preserve"> </w:t>
      </w:r>
      <w:hyperlink w:anchor="sec-10-14">
        <w:r>
          <w:rPr>
            <w:rStyle w:val="Hyperlink"/>
          </w:rPr>
          <w:t xml:space="preserve">10.14</w:t>
        </w:r>
      </w:hyperlink>
      <w:r>
        <w:t xml:space="preserve">）</w:t>
      </w:r>
      <w:r>
        <w:rPr>
          <w:vertAlign w:val="superscript"/>
        </w:rPr>
        <w:t xml:space="preserve">[</w:t>
      </w:r>
      <w:hyperlink w:anchor="ref-97">
        <w:r>
          <w:rPr>
            <w:rStyle w:val="Hyperlink"/>
            <w:vertAlign w:val="superscript"/>
          </w:rPr>
          <w:t xml:space="preserve">97</w:t>
        </w:r>
      </w:hyperlink>
      <w:r>
        <w:rPr>
          <w:vertAlign w:val="superscript"/>
        </w:rPr>
        <w:t xml:space="preserve">]</w:t>
      </w:r>
      <w:r>
        <w:t xml:space="preserve">。</w:t>
      </w:r>
    </w:p>
    <w:bookmarkEnd w:id="281"/>
    <w:bookmarkStart w:id="282" w:name="sec-14-3"/>
    <w:p>
      <w:pPr>
        <w:pStyle w:val="Heading3"/>
      </w:pPr>
      <w:r>
        <w:t xml:space="preserve">14.3　危险感知与炎症输出之间存在多道调节</w:t>
      </w:r>
    </w:p>
    <w:p>
      <w:pPr>
        <w:pStyle w:val="FirstParagraph"/>
      </w:pPr>
      <w:r>
        <w:t xml:space="preserve">先天免疫受体能够感知某些微生物成分，以及细胞破坏后出现的分子线索。受体接收信号后，可以改变激酶、转录因子、细胞骨架和吞噬装置。产生哪些输出，还取决于细胞原有状态、营养条件和同时到达的抑制信号。相同刺激在不同细胞中可能产生不同响应。</w:t>
      </w:r>
    </w:p>
    <w:p>
      <w:pPr>
        <w:pStyle w:val="BodyText"/>
      </w:pPr>
      <w:r>
        <w:t xml:space="preserve">这里至少需要区分受体表达、受体接触配体、胞内信号启动、效应分子加工和最终释放。转录组中某个炎症相关RNA增加，仅提供这条链中的一段信息。分泌物是否形成、释放到何处、被哪些靶细胞接收，仍需要独立测量。细胞因子又常通过受体和反馈网络改变附近细胞，局部响应可以扩展，也可以被限制。</w:t>
      </w:r>
    </w:p>
    <w:p>
      <w:pPr>
        <w:pStyle w:val="BodyText"/>
      </w:pPr>
      <w:r>
        <w:t xml:space="preserve">炎性小体提供一个具有清楚步骤的例子。以NLRP3相关机制为例，感知和组装过程可连接到半胱天冬酶活化及部分炎症介质的成熟。检测到NLRP3蛋白存在，不能直接等同于复合物已经组装并持续工作。阿尔茨海默病相关研究结合了人组织信号与APP/PS1小鼠的基因干预；因果操纵的直接适用范围首先是所研究的小鼠模型</w:t>
      </w:r>
      <w:r>
        <w:rPr>
          <w:vertAlign w:val="superscript"/>
        </w:rPr>
        <w:t xml:space="preserve">[</w:t>
      </w:r>
      <w:hyperlink w:anchor="ref-143">
        <w:r>
          <w:rPr>
            <w:rStyle w:val="Hyperlink"/>
            <w:vertAlign w:val="superscript"/>
          </w:rPr>
          <w:t xml:space="preserve">143</w:t>
        </w:r>
      </w:hyperlink>
      <w:r>
        <w:rPr>
          <w:vertAlign w:val="superscript"/>
        </w:rPr>
        <w:t xml:space="preserve">]</w:t>
      </w:r>
      <w:r>
        <w:t xml:space="preserve">。</w:t>
      </w:r>
    </w:p>
    <w:bookmarkEnd w:id="282"/>
    <w:bookmarkStart w:id="283" w:name="sec-14-4"/>
    <w:p>
      <w:pPr>
        <w:pStyle w:val="Heading3"/>
      </w:pPr>
      <w:r>
        <w:t xml:space="preserve">14.4　免疫细胞进入神经组织需要分步完成</w:t>
      </w:r>
    </w:p>
    <w:p>
      <w:pPr>
        <w:pStyle w:val="FirstParagraph"/>
      </w:pPr>
      <w:r>
        <w:t xml:space="preserve">循环白细胞接近组织时，需要与血管壁建立接触，接受趋化线索，改变黏附，并通过相应内皮界面。到达血管外或脑膜空间后，继续进入脑实质还可能受到基底膜和胶质边界的限制。血脑屏障、血脑脊液屏障及胶质边界分别由不同细胞构成，不能互换名称</w:t>
      </w:r>
      <w:r>
        <w:rPr>
          <w:vertAlign w:val="superscript"/>
        </w:rPr>
        <w:t xml:space="preserve">[</w:t>
      </w:r>
      <w:hyperlink w:anchor="ref-141">
        <w:r>
          <w:rPr>
            <w:rStyle w:val="Hyperlink"/>
            <w:vertAlign w:val="superscript"/>
          </w:rPr>
          <w:t xml:space="preserve">141</w:t>
        </w:r>
      </w:hyperlink>
      <w:r>
        <w:rPr>
          <w:vertAlign w:val="superscript"/>
        </w:rPr>
        <w:t xml:space="preserve">]</w:t>
      </w:r>
      <w:r>
        <w:t xml:space="preserve">。</w:t>
      </w:r>
    </w:p>
    <w:p>
      <w:pPr>
        <w:pStyle w:val="BodyText"/>
      </w:pPr>
      <w:r>
        <w:t xml:space="preserve">由此可以推导出一个实验要求：组织切片中紧贴血管的免疫细胞，需要与真正进入实质的细胞区别。仅凭二维投影，位于血管腔内、管壁附近或实质中的细胞可能重叠。结合血管标记、三维定位和适当示踪，才能可靠说明迁移到了哪一步。</w:t>
      </w:r>
    </w:p>
    <w:p>
      <w:pPr>
        <w:pStyle w:val="BodyText"/>
      </w:pPr>
      <w:r>
        <w:t xml:space="preserve">分子通透与细胞迁移也应分别讨论。一种小分子跨界面通量增加，不保证大分子或整颗细胞具有相同变化；少数细胞通过局部区域，也不要求全部屏障同时开放。屏障的选择性变化可以具有空间局限、底物特异性和时间依赖性。把这些维度分开，有助于解释看似不一致的实验结果。</w:t>
      </w:r>
    </w:p>
    <w:bookmarkEnd w:id="283"/>
    <w:bookmarkStart w:id="284" w:name="sec-14-5"/>
    <w:p>
      <w:pPr>
        <w:pStyle w:val="Heading3"/>
      </w:pPr>
      <w:r>
        <w:t xml:space="preserve">14.5　脑膜淋巴与硬脑膜静脉窦提供免疫监视界面</w:t>
      </w:r>
    </w:p>
    <w:p>
      <w:pPr>
        <w:pStyle w:val="FirstParagraph"/>
      </w:pPr>
      <w:r>
        <w:t xml:space="preserve">脑膜中的淋巴管与实质内的血管、脑脊液通道各有不同结构。动物研究显示，硬脑膜淋巴网络参与液体、大分子和免疫相关成分向颈部淋巴系统的引流。相关论文使用解剖、示踪与功能实验建立证据；它们不能被概括为脑实质每处都有同样的淋巴管（见</w:t>
      </w:r>
      <w:r>
        <w:t xml:space="preserve"> </w:t>
      </w:r>
      <w:hyperlink w:anchor="sec-12-17">
        <w:r>
          <w:rPr>
            <w:rStyle w:val="Hyperlink"/>
          </w:rPr>
          <w:t xml:space="preserve">12.17</w:t>
        </w:r>
      </w:hyperlink>
      <w:r>
        <w:t xml:space="preserve">）</w:t>
      </w:r>
      <w:r>
        <w:rPr>
          <w:vertAlign w:val="superscript"/>
        </w:rPr>
        <w:t xml:space="preserve">[</w:t>
      </w:r>
      <w:hyperlink w:anchor="ref-19">
        <w:r>
          <w:rPr>
            <w:rStyle w:val="Hyperlink"/>
            <w:vertAlign w:val="superscript"/>
          </w:rPr>
          <w:t xml:space="preserve">19</w:t>
        </w:r>
      </w:hyperlink>
      <w:r>
        <w:rPr>
          <w:vertAlign w:val="superscript"/>
        </w:rPr>
        <w:t xml:space="preserve">,</w:t>
      </w:r>
      <w:hyperlink w:anchor="ref-144">
        <w:r>
          <w:rPr>
            <w:rStyle w:val="Hyperlink"/>
            <w:vertAlign w:val="superscript"/>
          </w:rPr>
          <w:t xml:space="preserve">144</w:t>
        </w:r>
      </w:hyperlink>
      <w:r>
        <w:rPr>
          <w:vertAlign w:val="superscript"/>
        </w:rPr>
        <w:t xml:space="preserve">]</w:t>
      </w:r>
      <w:r>
        <w:t xml:space="preserve">。</w:t>
      </w:r>
    </w:p>
    <w:p>
      <w:pPr>
        <w:pStyle w:val="BodyText"/>
      </w:pPr>
      <w:r>
        <w:t xml:space="preserve">引流具有两个相互联系的意义：帮助物质离开局部区室，也让来自组织的成分接触免疫系统。2021年的研究显示，脑脊液来源抗原可在硬脑膜静脉窦附近被局部呈递细胞捕获，并与巡查的T细胞发生识别关系。主要机制证据来自小鼠，人体组织观察提供部分解剖支持</w:t>
      </w:r>
      <w:r>
        <w:rPr>
          <w:vertAlign w:val="superscript"/>
        </w:rPr>
        <w:t xml:space="preserve">[</w:t>
      </w:r>
      <w:hyperlink w:anchor="ref-145">
        <w:r>
          <w:rPr>
            <w:rStyle w:val="Hyperlink"/>
            <w:vertAlign w:val="superscript"/>
          </w:rPr>
          <w:t xml:space="preserve">145</w:t>
        </w:r>
      </w:hyperlink>
      <w:r>
        <w:rPr>
          <w:vertAlign w:val="superscript"/>
        </w:rPr>
        <w:t xml:space="preserve">]</w:t>
      </w:r>
      <w:r>
        <w:t xml:space="preserve">。</w:t>
      </w:r>
    </w:p>
    <w:p>
      <w:pPr>
        <w:pStyle w:val="BodyText"/>
      </w:pPr>
      <w:r>
        <w:t xml:space="preserve">这些结果把神经免疫理解扩展到边界组织。一个来自脑的抗原可以在边界被监视，随后影响免疫细胞状态；这一过程不需要预设大量淋巴细胞已进入神经元之间。引流效率、抗原呈递与组织损伤也需要分别测量，单一示踪物移动加快不能同时证明三者都得到有利改变。</w:t>
      </w:r>
    </w:p>
    <w:bookmarkEnd w:id="284"/>
    <w:bookmarkStart w:id="285" w:name="sec-14-6"/>
    <w:p>
      <w:pPr>
        <w:pStyle w:val="Heading3"/>
      </w:pPr>
      <w:r>
        <w:t xml:space="preserve">14.6　抗原识别和抗体作用沿着不同路径影响神经功能</w:t>
      </w:r>
    </w:p>
    <w:p>
      <w:pPr>
        <w:pStyle w:val="FirstParagraph"/>
      </w:pPr>
      <w:r>
        <w:t xml:space="preserve">适应性免疫具有抗原选择性。T细胞识别依赖抗原片段与呈递分子的组合，并受到共刺激、细胞状态和局部环境调节。B细胞及其分化后产生的抗体则能够与相应分子表位结合。两类过程可以相互协作，但抗体结合、细胞免疫反应和最终组织效应仍是不同环节。</w:t>
      </w:r>
    </w:p>
    <w:p>
      <w:pPr>
        <w:pStyle w:val="BodyText"/>
      </w:pPr>
      <w:r>
        <w:t xml:space="preserve">抗体造成神经功能改变，可以通过受体交联、表面分子内吞、补体相关损伤或其他效应机制发生。抗NMDA受体脑炎的机制研究发现，患者抗体可在所用神经元模型中改变表面受体数量和突触功能，并显示一定可逆性。这提供了抗体能够直接影响受体组织的具体证据</w:t>
      </w:r>
      <w:r>
        <w:rPr>
          <w:vertAlign w:val="superscript"/>
        </w:rPr>
        <w:t xml:space="preserve">[</w:t>
      </w:r>
      <w:hyperlink w:anchor="ref-146">
        <w:r>
          <w:rPr>
            <w:rStyle w:val="Hyperlink"/>
            <w:vertAlign w:val="superscript"/>
          </w:rPr>
          <w:t xml:space="preserve">146</w:t>
        </w:r>
      </w:hyperlink>
      <w:r>
        <w:rPr>
          <w:vertAlign w:val="superscript"/>
        </w:rPr>
        <w:t xml:space="preserve">]</w:t>
      </w:r>
      <w:r>
        <w:t xml:space="preserve">。</w:t>
      </w:r>
    </w:p>
    <w:p>
      <w:pPr>
        <w:pStyle w:val="BodyText"/>
      </w:pPr>
      <w:r>
        <w:t xml:space="preserve">解释此类结果需要保留靶点、抗体类别、样本来源、实验浓度和临床背景。血中发现某种结合信号，无法独自确定它能否到达相关脑区、是否识别活细胞表面的有效表位，以及是否造成患者表现。分子机制的成立与临床诊断的成立，各自需要完整证据链。</w:t>
      </w:r>
    </w:p>
    <w:p>
      <w:pPr>
        <w:pStyle w:val="BodyText"/>
      </w:pPr>
      <w:r>
        <w:t xml:space="preserve">这个案例也说明，神经功能障碍可在明显细胞丢失之前出现。若主要问题涉及受体定位和网络响应，功能改变可能先于宏观结构变化。相同症状仍可来自其他机制，因此可逆受体作用提供的是一种经实验支持的路径。</w:t>
      </w:r>
    </w:p>
    <w:bookmarkEnd w:id="285"/>
    <w:bookmarkStart w:id="286" w:name="sec-14-7"/>
    <w:p>
      <w:pPr>
        <w:pStyle w:val="Heading3"/>
      </w:pPr>
      <w:r>
        <w:t xml:space="preserve">14.7　补体可以把分子标记连接到局部吞噬</w:t>
      </w:r>
    </w:p>
    <w:p>
      <w:pPr>
        <w:pStyle w:val="FirstParagraph"/>
      </w:pPr>
      <w:r>
        <w:t xml:space="preserve">补体系统包括能够顺序放大和调节的多种成分。部分片段附着于目标表面后，可以影响吞噬细胞的识别。神经发育研究显示，补体相关成分和小胶质参与特定回路中连接的精细化；活动背景及发育阶段决定这些结果的解释范围</w:t>
      </w:r>
      <w:r>
        <w:rPr>
          <w:vertAlign w:val="superscript"/>
        </w:rPr>
        <w:t xml:space="preserve">[</w:t>
      </w:r>
      <w:hyperlink w:anchor="ref-95">
        <w:r>
          <w:rPr>
            <w:rStyle w:val="Hyperlink"/>
            <w:vertAlign w:val="superscript"/>
          </w:rPr>
          <w:t xml:space="preserve">95</w:t>
        </w:r>
      </w:hyperlink>
      <w:r>
        <w:rPr>
          <w:vertAlign w:val="superscript"/>
        </w:rPr>
        <w:t xml:space="preserve">,</w:t>
      </w:r>
      <w:hyperlink w:anchor="ref-96">
        <w:r>
          <w:rPr>
            <w:rStyle w:val="Hyperlink"/>
            <w:vertAlign w:val="superscript"/>
          </w:rPr>
          <w:t xml:space="preserve">96</w:t>
        </w:r>
      </w:hyperlink>
      <w:r>
        <w:rPr>
          <w:vertAlign w:val="superscript"/>
        </w:rPr>
        <w:t xml:space="preserve">]</w:t>
      </w:r>
      <w:r>
        <w:t xml:space="preserve">。</w:t>
      </w:r>
    </w:p>
    <w:p>
      <w:pPr>
        <w:pStyle w:val="BodyText"/>
      </w:pPr>
      <w:r>
        <w:t xml:space="preserve">成年病理模型中，类似分子装置可能在不同条件下重新参与连接变化。阿尔茨海默病小鼠模型研究发现，干预C1q、C3或小胶质补体受体相关环节，可改变早期突触丢失。这建立了特定模型中的因果联系，人体疾病的全部阶段仍需要独立研究</w:t>
      </w:r>
      <w:r>
        <w:rPr>
          <w:vertAlign w:val="superscript"/>
        </w:rPr>
        <w:t xml:space="preserve">[</w:t>
      </w:r>
      <w:hyperlink w:anchor="ref-147">
        <w:r>
          <w:rPr>
            <w:rStyle w:val="Hyperlink"/>
            <w:vertAlign w:val="superscript"/>
          </w:rPr>
          <w:t xml:space="preserve">147</w:t>
        </w:r>
      </w:hyperlink>
      <w:r>
        <w:rPr>
          <w:vertAlign w:val="superscript"/>
        </w:rPr>
        <w:t xml:space="preserve">]</w:t>
      </w:r>
      <w:r>
        <w:t xml:space="preserve">。</w:t>
      </w:r>
    </w:p>
    <w:p>
      <w:pPr>
        <w:pStyle w:val="BodyText"/>
      </w:pPr>
      <w:r>
        <w:t xml:space="preserve">判断吞噬的净效果，关键在于被处理的目标。移除已不可用的碎片、清除受损突触和损伤仍有功能的连接，会产生不同结果。单独统计吞噬细胞或溶酶体数量，不能自动区分这些可能。最好同时测量被包裹成分的来源、摄取前功能、降解过程和后续回路表现。</w:t>
      </w:r>
    </w:p>
    <w:p>
      <w:pPr>
        <w:pStyle w:val="BodyText"/>
      </w:pPr>
      <w:r>
        <w:t xml:space="preserve">吞入也不等于完成清除。目标进入细胞后，仍需要运输、溶酶体加工、代谢处置和废物输出。若其中一个环节受阻，细胞内目标积累可以来自摄取增加，也可以来自降解减慢。实验必须根据具体问题区分通量与储量（见</w:t>
      </w:r>
      <w:r>
        <w:t xml:space="preserve"> </w:t>
      </w:r>
      <w:hyperlink w:anchor="sec-10-12">
        <w:r>
          <w:rPr>
            <w:rStyle w:val="Hyperlink"/>
          </w:rPr>
          <w:t xml:space="preserve">10.12</w:t>
        </w:r>
      </w:hyperlink>
      <w:r>
        <w:t xml:space="preserve">）。</w:t>
      </w:r>
    </w:p>
    <w:bookmarkEnd w:id="286"/>
    <w:bookmarkStart w:id="287" w:name="sec-14-8"/>
    <w:p>
      <w:pPr>
        <w:pStyle w:val="Heading3"/>
      </w:pPr>
      <w:r>
        <w:t xml:space="preserve">14.8　脂质识别把损伤清除连接到细胞生存</w:t>
      </w:r>
    </w:p>
    <w:p>
      <w:pPr>
        <w:pStyle w:val="FirstParagraph"/>
      </w:pPr>
      <w:r>
        <w:t xml:space="preserve">神经组织富含膜与髓鞘，损伤后产生的脂质负担需要专门处理。髓系细胞在接收和消化这些成分时，也必须维持自身能量、膜结构和存活。某种受体影响病变周围细胞数量时，候选机制包括募集、增殖、存活、定位和离开速度，不能只从终点数量指定一种原因。</w:t>
      </w:r>
    </w:p>
    <w:p>
      <w:pPr>
        <w:pStyle w:val="BodyText"/>
      </w:pPr>
      <w:r>
        <w:t xml:space="preserve">TREM2相关研究在阿尔茨海默病小鼠模型中连接了脂质感知与小胶质反应，提示病变周围的细胞组织依赖特定受体和代谢条件</w:t>
      </w:r>
      <w:r>
        <w:rPr>
          <w:vertAlign w:val="superscript"/>
        </w:rPr>
        <w:t xml:space="preserve">[</w:t>
      </w:r>
      <w:hyperlink w:anchor="ref-148">
        <w:r>
          <w:rPr>
            <w:rStyle w:val="Hyperlink"/>
            <w:vertAlign w:val="superscript"/>
          </w:rPr>
          <w:t xml:space="preserve">148</w:t>
        </w:r>
      </w:hyperlink>
      <w:r>
        <w:rPr>
          <w:vertAlign w:val="superscript"/>
        </w:rPr>
        <w:t xml:space="preserve">]</w:t>
      </w:r>
      <w:r>
        <w:t xml:space="preserve">。这一结果要求研究者同时观察清除能力、组织分隔和旁邻损伤。降低某项免疫反应可能减少一种输出，也可能削弱另一种维护功能。</w:t>
      </w:r>
    </w:p>
    <w:p>
      <w:pPr>
        <w:pStyle w:val="BodyText"/>
      </w:pPr>
      <w:r>
        <w:t xml:space="preserve">因此，评价免疫靶点需要说明干预发生在什么阶段。损伤产生之前、碎片快速积累时和慢性组织重塑期，目标细胞面对的任务并不相同。给定药物作用相同，疾病阶段改变也可能改变最终效应。由此提出的阶段性假设，需要通过时间分辨干预检验。</w:t>
      </w:r>
    </w:p>
    <w:bookmarkEnd w:id="287"/>
    <w:bookmarkStart w:id="288" w:name="sec-14-9"/>
    <w:p>
      <w:pPr>
        <w:pStyle w:val="Heading3"/>
      </w:pPr>
      <w:r>
        <w:t xml:space="preserve">14.9　外周炎症可以通过界面信号改变身体与行为</w:t>
      </w:r>
    </w:p>
    <w:p>
      <w:pPr>
        <w:pStyle w:val="FirstParagraph"/>
      </w:pPr>
      <w:r>
        <w:t xml:space="preserve">感染相关的发热、疲倦、食欲变化和活动减少涉及多条身体到脑的信号路径，包括神经传入、血液介质与界面细胞转换。不同表现可以由不同环节承担，不能把全部生病行为视为一个不可分割的输出</w:t>
      </w:r>
      <w:r>
        <w:rPr>
          <w:vertAlign w:val="superscript"/>
        </w:rPr>
        <w:t xml:space="preserve">[</w:t>
      </w:r>
      <w:hyperlink w:anchor="ref-149">
        <w:r>
          <w:rPr>
            <w:rStyle w:val="Hyperlink"/>
            <w:vertAlign w:val="superscript"/>
          </w:rPr>
          <w:t xml:space="preserve">149</w:t>
        </w:r>
      </w:hyperlink>
      <w:r>
        <w:rPr>
          <w:vertAlign w:val="superscript"/>
        </w:rPr>
        <w:t xml:space="preserve">]</w:t>
      </w:r>
      <w:r>
        <w:t xml:space="preserve">。</w:t>
      </w:r>
    </w:p>
    <w:p>
      <w:pPr>
        <w:pStyle w:val="BodyText"/>
      </w:pPr>
      <w:r>
        <w:t xml:space="preserve">脑血管内皮的前列腺素合成提供了明确例子。小鼠中针对内皮相关合成酶的删除可减弱炎症性发热，同时某些活动减少表现仍然存在。该结果支持发热与其他行为变化具有可分离的机制</w:t>
      </w:r>
      <w:r>
        <w:rPr>
          <w:vertAlign w:val="superscript"/>
        </w:rPr>
        <w:t xml:space="preserve">[</w:t>
      </w:r>
      <w:hyperlink w:anchor="ref-150">
        <w:r>
          <w:rPr>
            <w:rStyle w:val="Hyperlink"/>
            <w:vertAlign w:val="superscript"/>
          </w:rPr>
          <w:t xml:space="preserve">150</w:t>
        </w:r>
      </w:hyperlink>
      <w:r>
        <w:rPr>
          <w:vertAlign w:val="superscript"/>
        </w:rPr>
        <w:t xml:space="preserve">]</w:t>
      </w:r>
      <w:r>
        <w:t xml:space="preserve">。外周信号因此可以通过受调节的界面响应影响脑功能，无需预设发生广泛结构破坏。</w:t>
      </w:r>
    </w:p>
    <w:p>
      <w:pPr>
        <w:pStyle w:val="BodyText"/>
      </w:pPr>
      <w:r>
        <w:t xml:space="preserve">人体实验也能检验某些短时环节。一项39人的随机内毒素挑战研究报告了奖赏相关脑反应及短时情绪的变化</w:t>
      </w:r>
      <w:r>
        <w:rPr>
          <w:vertAlign w:val="superscript"/>
        </w:rPr>
        <w:t xml:space="preserve">[</w:t>
      </w:r>
      <w:hyperlink w:anchor="ref-151">
        <w:r>
          <w:rPr>
            <w:rStyle w:val="Hyperlink"/>
            <w:vertAlign w:val="superscript"/>
          </w:rPr>
          <w:t xml:space="preserve">151</w:t>
        </w:r>
      </w:hyperlink>
      <w:r>
        <w:rPr>
          <w:vertAlign w:val="superscript"/>
        </w:rPr>
        <w:t xml:space="preserve">]</w:t>
      </w:r>
      <w:r>
        <w:t xml:space="preserve">。这类实验支持免疫刺激能够影响所测行为与影像终点；它没有单独建立全部抑郁症的病因，也不能把影像信号变化解释成神经元死亡。挑战剂量、时间窗与临床疾病状态的差别需要保留。</w:t>
      </w:r>
    </w:p>
    <w:bookmarkEnd w:id="288"/>
    <w:bookmarkStart w:id="289" w:name="sec-14-10"/>
    <w:p>
      <w:pPr>
        <w:pStyle w:val="Heading3"/>
      </w:pPr>
      <w:r>
        <w:t xml:space="preserve">14.10　先天免疫记忆改变后续反应的条件</w:t>
      </w:r>
    </w:p>
    <w:p>
      <w:pPr>
        <w:pStyle w:val="FirstParagraph"/>
      </w:pPr>
      <w:r>
        <w:t xml:space="preserve">免疫细胞的反应会受既往暴露影响。先前刺激可通过转录调控、染色质状态、代谢和细胞组成变化，改变随后面对相同或其他刺激时的响应。增强反应与减弱反应都可能出现，通常分别在特定条件下讨论训练和耐受。</w:t>
      </w:r>
    </w:p>
    <w:p>
      <w:pPr>
        <w:pStyle w:val="BodyText"/>
      </w:pPr>
      <w:r>
        <w:t xml:space="preserve">小鼠研究显示，外周炎症刺激能够使小胶质产生持续的表观遗传相关变化，并在所用神经病理模型中改变后续结果</w:t>
      </w:r>
      <w:r>
        <w:rPr>
          <w:vertAlign w:val="superscript"/>
        </w:rPr>
        <w:t xml:space="preserve">[</w:t>
      </w:r>
      <w:hyperlink w:anchor="ref-152">
        <w:r>
          <w:rPr>
            <w:rStyle w:val="Hyperlink"/>
            <w:vertAlign w:val="superscript"/>
          </w:rPr>
          <w:t xml:space="preserve">152</w:t>
        </w:r>
      </w:hyperlink>
      <w:r>
        <w:rPr>
          <w:vertAlign w:val="superscript"/>
        </w:rPr>
        <w:t xml:space="preserve">]</w:t>
      </w:r>
      <w:r>
        <w:t xml:space="preserve">。这表明过去的免疫事件可以调整未来组织反应，但适用范围仍受刺激程序、年龄与疾病模型限制。</w:t>
      </w:r>
    </w:p>
    <w:p>
      <w:pPr>
        <w:pStyle w:val="BodyText"/>
      </w:pPr>
      <w:r>
        <w:t xml:space="preserve">这种记忆描述的是细胞对既往输入留下的响应偏置。个人能够报告的经历记忆，还需要感觉表征、回路可塑性、检索与意识等机制。两者可能相互影响，但目前没有依据将一个人的具体生活事件直接译为某一种小胶质状态。由细胞持续变化解释心理经历时，需要跨越明确的测量层次。</w:t>
      </w:r>
    </w:p>
    <w:bookmarkEnd w:id="289"/>
    <w:bookmarkStart w:id="290" w:name="sec-14-11"/>
    <w:p>
      <w:pPr>
        <w:pStyle w:val="Heading3"/>
      </w:pPr>
      <w:r>
        <w:t xml:space="preserve">14.11　神经免疫信号也参与脊髓感觉增益</w:t>
      </w:r>
    </w:p>
    <w:p>
      <w:pPr>
        <w:pStyle w:val="FirstParagraph"/>
      </w:pPr>
      <w:r>
        <w:t xml:space="preserve">外周神经损伤后的疼痛敏化，可以涉及脊髓内神经元与免疫相关细胞之间的交流。早期动物实验把小胶质P2X4受体变化与触觉性痛敏联系起来，并通过多种干预提供机制支持</w:t>
      </w:r>
      <w:r>
        <w:rPr>
          <w:vertAlign w:val="superscript"/>
        </w:rPr>
        <w:t xml:space="preserve">[</w:t>
      </w:r>
      <w:hyperlink w:anchor="ref-153">
        <w:r>
          <w:rPr>
            <w:rStyle w:val="Hyperlink"/>
            <w:vertAlign w:val="superscript"/>
          </w:rPr>
          <w:t xml:space="preserve">153</w:t>
        </w:r>
      </w:hyperlink>
      <w:r>
        <w:rPr>
          <w:vertAlign w:val="superscript"/>
        </w:rPr>
        <w:t xml:space="preserve">]</w:t>
      </w:r>
      <w:r>
        <w:t xml:space="preserve">。这一研究路线使疼痛解释包含局部组织状态对神经信号增益的调节。</w:t>
      </w:r>
    </w:p>
    <w:p>
      <w:pPr>
        <w:pStyle w:val="BodyText"/>
      </w:pPr>
      <w:r>
        <w:t xml:space="preserve">条件差异具有实质意义。另一项小鼠研究发现，特定机械性痛敏模型中，雄性与雌性动物对所测免疫细胞路径的依赖并不一致</w:t>
      </w:r>
      <w:r>
        <w:rPr>
          <w:vertAlign w:val="superscript"/>
        </w:rPr>
        <w:t xml:space="preserve">[</w:t>
      </w:r>
      <w:hyperlink w:anchor="ref-154">
        <w:r>
          <w:rPr>
            <w:rStyle w:val="Hyperlink"/>
            <w:vertAlign w:val="superscript"/>
          </w:rPr>
          <w:t xml:space="preserve">154</w:t>
        </w:r>
      </w:hyperlink>
      <w:r>
        <w:rPr>
          <w:vertAlign w:val="superscript"/>
        </w:rPr>
        <w:t xml:space="preserve">]</w:t>
      </w:r>
      <w:r>
        <w:t xml:space="preserve">。这支持在研究设计中直接检验性别和细胞路径；它不能推出所有雌性疼痛都与小胶质无关，也不能将一个模型扩展成全部人类慢性疼痛的统一规则。</w:t>
      </w:r>
    </w:p>
    <w:p>
      <w:pPr>
        <w:pStyle w:val="BodyText"/>
      </w:pPr>
      <w:r>
        <w:t xml:space="preserve">研究这类机制时，必须把伤害性输入、脊髓放大、运动反射和主观疼痛体验分别定位。动物撤回行为提供可操作终点，人类疼痛还包含情境、预测、情绪和报告。细胞机制能够解释其中的环节，完整体验需要跨层级整合。</w:t>
      </w:r>
    </w:p>
    <w:bookmarkEnd w:id="290"/>
    <w:bookmarkStart w:id="291" w:name="sec-14-12"/>
    <w:p>
      <w:pPr>
        <w:pStyle w:val="Heading3"/>
      </w:pPr>
      <w:r>
        <w:t xml:space="preserve">14.12　测量指标需要对应真正的细胞过程</w:t>
      </w:r>
    </w:p>
    <w:p>
      <w:pPr>
        <w:pStyle w:val="FirstParagraph"/>
      </w:pPr>
      <w:r>
        <w:t xml:space="preserve">炎症相关标记常跨越多个细胞和阶段。TSPO配体成像曾被广泛用来观察神经免疫相关变化，但其细胞表达与状态关系存在物种差异。比较研究发现，小鼠模型中某些活化相关表达变化无法直接推广到所研究的人类神经退行性及神经炎症病理</w:t>
      </w:r>
      <w:r>
        <w:rPr>
          <w:vertAlign w:val="superscript"/>
        </w:rPr>
        <w:t xml:space="preserve">[</w:t>
      </w:r>
      <w:hyperlink w:anchor="ref-155">
        <w:r>
          <w:rPr>
            <w:rStyle w:val="Hyperlink"/>
            <w:vertAlign w:val="superscript"/>
          </w:rPr>
          <w:t xml:space="preserve">155</w:t>
        </w:r>
      </w:hyperlink>
      <w:r>
        <w:rPr>
          <w:vertAlign w:val="superscript"/>
        </w:rPr>
        <w:t xml:space="preserve">]</w:t>
      </w:r>
      <w:r>
        <w:t xml:space="preserve">。</w:t>
      </w:r>
    </w:p>
    <w:p>
      <w:pPr>
        <w:pStyle w:val="BodyText"/>
      </w:pPr>
      <w:r>
        <w:t xml:space="preserve">这要求将影像信号与细胞密度、细胞来源、配体结合和组织环境分开解释。一个总体信号升高，可能反映更多表达细胞、每细胞表达改变或其他测量条件变化。若要断言某一特定损伤性状态增加，应使用足够直接的细胞和功能证据。</w:t>
      </w:r>
    </w:p>
    <w:p>
      <w:pPr>
        <w:pStyle w:val="BodyText"/>
      </w:pPr>
      <w:r>
        <w:t xml:space="preserve">相同原则适用于体液指标。外周某种细胞因子变化，可以来自多个器官与细胞；脑脊液中的成分也受生成、运输、稀释和清除影响。血液、脑脊液、组织表达、细胞功能与行为之间需要分别建立联系。将这些层次连接后，神经免疫研究才能提出可验证的作用路径。</w:t>
      </w:r>
    </w:p>
    <w:bookmarkEnd w:id="291"/>
    <w:bookmarkStart w:id="292" w:name="sec-14-13"/>
    <w:p>
      <w:pPr>
        <w:pStyle w:val="Heading3"/>
      </w:pPr>
      <w:r>
        <w:t xml:space="preserve">14.13　关键判断的置信度与转化边界</w:t>
      </w:r>
    </w:p>
    <w:p>
      <w:pPr>
        <w:pStyle w:val="FirstParagraph"/>
      </w:pPr>
      <w:r>
        <w:t xml:space="preserve">神经系统具有受区室约束的免疫监视，驻留与进入的免疫细胞存在来源和功能差异，免疫介质能够通过具体受体及界面影响神经活动，这些属于高置信度基础。补体、TREM2、炎性小体及免疫记忆在特定动物模型中的作用具有直接机制证据；其在人类不同病程中的相对贡献适宜作中等置信度、条件明确的判断。</w:t>
      </w:r>
    </w:p>
    <w:p>
      <w:pPr>
        <w:pStyle w:val="BodyText"/>
      </w:pPr>
      <w:r>
        <w:t xml:space="preserve">由单个外周标记诊断所有脑内炎症、由某类影像信号判断全部免疫细胞有害，或以普遍抑制免疫来提升健康人认知，缺乏足够证据。具有治疗价值的靶点需要同时满足作用位置、时间、疾病机制及临床获益等要求。机制成立可以指导研究方向，临床应用仍须证明净收益。</w:t>
      </w:r>
    </w:p>
    <w:p>
      <w:pPr>
        <w:pStyle w:val="BodyText"/>
      </w:pPr>
      <w:r>
        <w:t xml:space="preserve">学习神经免疫时，应把问题落实到一条具体链上：哪个区室产生了什么信号，哪些细胞识别它，经过哪些界面和胞内步骤，改变了什么神经过程，以及组织是否完成恢复。这个框架可以容纳防御、适应、修复与病理，也能清楚标出当前证据尚未连接的部分。</w:t>
      </w:r>
    </w:p>
    <w:bookmarkEnd w:id="292"/>
    <w:bookmarkEnd w:id="293"/>
    <w:bookmarkStart w:id="303" w:name="ch-15"/>
    <w:p>
      <w:pPr>
        <w:pStyle w:val="Heading2"/>
      </w:pPr>
      <w:r>
        <w:t xml:space="preserve">第15章　感觉转导与感觉通路的生物物理基础</w:t>
      </w:r>
    </w:p>
    <w:bookmarkStart w:id="294" w:name="sec-15-1"/>
    <w:p>
      <w:pPr>
        <w:pStyle w:val="Heading3"/>
      </w:pPr>
      <w:r>
        <w:t xml:space="preserve">15.1　感觉系统首先解决能量形式之间的转换</w:t>
      </w:r>
    </w:p>
    <w:p>
      <w:pPr>
        <w:pStyle w:val="FirstParagraph"/>
      </w:pPr>
      <w:r>
        <w:t xml:space="preserve">感受器把外界或身体内部的物理化学变化转为细胞膜电流。光子、声压、皮肤形变、挥发性分子与氢离子具有不同性质，因而需要不同转导装置。转导后的共同变量包括膜电位、细胞内钙、递质释放和动作电位。理解一个感觉系统，可以沿四个层次追踪：刺激怎样到达感受表面，分子装置怎样改变电导，细胞怎样生成输出，通路怎样组合来自不同位置和时间的输出。</w:t>
      </w:r>
    </w:p>
    <w:p>
      <w:pPr>
        <w:pStyle w:val="BodyText"/>
      </w:pPr>
      <w:r>
        <w:t xml:space="preserve">感受器细胞与初级感觉神经元的关系随系统变化。嗅感觉神经元自己接触气味分子，其轴突向嗅球传递信号；皮肤感觉末梢通常属于胞体位于感觉神经节的神经元。耳蜗毛细胞和味蕾中的多类感受细胞则把局部转导结果传给感觉神经纤维。视网膜光感受器属于神经元，但通常以渐变膜电位调节递质释放，经过局部回路后主要由神经节细胞的动作电位离开眼球。这些差别决定了疾病可以发生在感受装置、突触或轴突的不同位置</w:t>
      </w:r>
      <w:r>
        <w:rPr>
          <w:vertAlign w:val="superscript"/>
        </w:rPr>
        <w:t xml:space="preserve">[</w:t>
      </w:r>
      <w:hyperlink w:anchor="ref-31">
        <w:r>
          <w:rPr>
            <w:rStyle w:val="Hyperlink"/>
            <w:vertAlign w:val="superscript"/>
          </w:rPr>
          <w:t xml:space="preserve">31</w:t>
        </w:r>
      </w:hyperlink>
      <w:r>
        <w:rPr>
          <w:vertAlign w:val="superscript"/>
        </w:rPr>
        <w:t xml:space="preserve">,</w:t>
      </w:r>
      <w:hyperlink w:anchor="ref-32">
        <w:r>
          <w:rPr>
            <w:rStyle w:val="Hyperlink"/>
            <w:vertAlign w:val="superscript"/>
          </w:rPr>
          <w:t xml:space="preserve">32</w:t>
        </w:r>
      </w:hyperlink>
      <w:r>
        <w:rPr>
          <w:vertAlign w:val="superscript"/>
        </w:rPr>
        <w:t xml:space="preserve">,</w:t>
      </w:r>
      <w:hyperlink w:anchor="ref-156">
        <w:r>
          <w:rPr>
            <w:rStyle w:val="Hyperlink"/>
            <w:vertAlign w:val="superscript"/>
          </w:rPr>
          <w:t xml:space="preserve">156</w:t>
        </w:r>
      </w:hyperlink>
      <w:r>
        <w:rPr>
          <w:vertAlign w:val="superscript"/>
        </w:rPr>
        <w:t xml:space="preserve">,</w:t>
      </w:r>
      <w:hyperlink w:anchor="ref-157">
        <w:r>
          <w:rPr>
            <w:rStyle w:val="Hyperlink"/>
            <w:vertAlign w:val="superscript"/>
          </w:rPr>
          <w:t xml:space="preserve">157</w:t>
        </w:r>
      </w:hyperlink>
      <w:r>
        <w:rPr>
          <w:vertAlign w:val="superscript"/>
        </w:rPr>
        <w:t xml:space="preserve">]</w:t>
      </w:r>
      <w:r>
        <w:t xml:space="preserve">。</w:t>
      </w:r>
    </w:p>
    <w:p>
      <w:pPr>
        <w:pStyle w:val="BodyText"/>
      </w:pPr>
      <w:r>
        <w:t xml:space="preserve">感受器电位的幅度通常随刺激变化，细胞膜又有饱和、适应和噪声。动作电位的幅度受到膜兴奋性机制约束，刺激强弱可通过放电率、时间关系、被招募的细胞群和群体活动轨迹表达。单细胞在强刺激时达到放电上限，不表示整个感觉系统同时失去分辨能力；其他阈值、适应状态或感受野的细胞仍可提供差异。相反，某细胞存在可重复刺激反应，也不能单独证明该动物有相应的主观体验。</w:t>
      </w:r>
    </w:p>
    <w:p>
      <w:pPr>
        <w:pStyle w:val="BodyText"/>
      </w:pPr>
      <w:r>
        <w:t xml:space="preserve">适应可以发生在受体磷酸化、第二信使、离子通道、突触释放和中枢回路等多个位置。它使响应依赖最近的刺激历史。由此产生一个基本实验原则：比较两次刺激时，需要明确两次刺激之前的背景。持续背景改变后，同一瞬时刺激引起不同反应可以是正常增益调节。将这类差别一概归为注意力变化，会遗漏感受器本身的贡献。</w:t>
      </w:r>
    </w:p>
    <w:bookmarkEnd w:id="294"/>
    <w:bookmarkStart w:id="295" w:name="sec-15-2"/>
    <w:p>
      <w:pPr>
        <w:pStyle w:val="Heading3"/>
      </w:pPr>
      <w:r>
        <w:t xml:space="preserve">15.2　视觉从光化学反应到并行视网膜输出</w:t>
      </w:r>
    </w:p>
    <w:p>
      <w:pPr>
        <w:pStyle w:val="Heading4"/>
      </w:pPr>
      <w:r>
        <w:t xml:space="preserve">光使视杆与视锥细胞的暗电流减小</w:t>
      </w:r>
    </w:p>
    <w:p>
      <w:pPr>
        <w:pStyle w:val="FirstParagraph"/>
      </w:pPr>
      <w:r>
        <w:t xml:space="preserve">脊椎动物的视杆和视锥细胞在暗处具有一定开放概率的环核苷酸门控通道。钠和钙经外节通道进入，与内节的外向电流共同决定暗态膜电位。光吸收改变视色素中的视黄醛构型，激活的视蛋白驱动转导蛋白，继而增强磷酸二酯酶对环磷酸鸟苷的降解。环磷酸鸟苷减少使相应通道关闭，细胞超极化，突触末端谷氨酸释放减少。该顺序揭示了光刺激如何通过减少内向电流产生响应</w:t>
      </w:r>
      <w:r>
        <w:rPr>
          <w:vertAlign w:val="superscript"/>
        </w:rPr>
        <w:t xml:space="preserve">[</w:t>
      </w:r>
      <w:hyperlink w:anchor="ref-31">
        <w:r>
          <w:rPr>
            <w:rStyle w:val="Hyperlink"/>
            <w:vertAlign w:val="superscript"/>
          </w:rPr>
          <w:t xml:space="preserve">31</w:t>
        </w:r>
      </w:hyperlink>
      <w:r>
        <w:rPr>
          <w:vertAlign w:val="superscript"/>
        </w:rPr>
        <w:t xml:space="preserve">]</w:t>
      </w:r>
      <w:r>
        <w:t xml:space="preserve">。</w:t>
      </w:r>
    </w:p>
    <w:p>
      <w:pPr>
        <w:pStyle w:val="BodyText"/>
      </w:pPr>
      <w:r>
        <w:t xml:space="preserve">这个机制可以用膜电流平衡理解。在暗处，内向和外向电流相抵。光先削弱内向分量，已有的外向电流短时占优势，膜电位向更负方向变化。教学时若把所有感觉转导都写成刺激打开通道并去极化，就会在视觉系统失效。不同系统采用不同的静息工作点，信息既可以通过输出增加，也可以通过输出降低表达。</w:t>
      </w:r>
    </w:p>
    <w:p>
      <w:pPr>
        <w:pStyle w:val="BodyText"/>
      </w:pPr>
      <w:r>
        <w:t xml:space="preserve">感光级联具有放大作用，同时需要及时终止。受体失活、转导蛋白所结合GTP的水解、环核苷酸重新合成以及钙依赖反馈共同参与恢复。放大有助于低光条件下检测微弱输入，但增益过高和响应拖延会妨碍快速追踪。因此杆细胞与锥细胞的灵敏度、时间响应和适应范围各有侧重。把夜间视觉和日间精细视觉视为同一装置仅改变亮度阈值，会忽视细胞与连接组织的差异</w:t>
      </w:r>
      <w:r>
        <w:rPr>
          <w:vertAlign w:val="superscript"/>
        </w:rPr>
        <w:t xml:space="preserve">[</w:t>
      </w:r>
      <w:hyperlink w:anchor="ref-31">
        <w:r>
          <w:rPr>
            <w:rStyle w:val="Hyperlink"/>
            <w:vertAlign w:val="superscript"/>
          </w:rPr>
          <w:t xml:space="preserve">31</w:t>
        </w:r>
      </w:hyperlink>
      <w:r>
        <w:rPr>
          <w:vertAlign w:val="superscript"/>
        </w:rPr>
        <w:t xml:space="preserve">]</w:t>
      </w:r>
      <w:r>
        <w:t xml:space="preserve">。</w:t>
      </w:r>
    </w:p>
    <w:p>
      <w:pPr>
        <w:pStyle w:val="Heading4"/>
      </w:pPr>
      <w:r>
        <w:t xml:space="preserve">同一种递质可以产生相反的光反应方向</w:t>
      </w:r>
    </w:p>
    <w:p>
      <w:pPr>
        <w:pStyle w:val="FirstParagraph"/>
      </w:pPr>
      <w:r>
        <w:t xml:space="preserve">ON型双极细胞的树突端具有mGluR6相关级联。暗处较强的谷氨酸输入经该级联抑制TRPM1相关阳离子电流，见光后谷氨酸减少，抑制解除，细胞出现去极化方向的反应。OFF型双极细胞使用相应离子型谷氨酸受体，光导致谷氨酸减少时，其兴奋性驱动下降。由此，相同光感受器输出可以分流为对亮度增加和降低敏感的通路。小鼠TRPM1缺失研究为ON通路中的分子环节提供了直接支持</w:t>
      </w:r>
      <w:r>
        <w:rPr>
          <w:vertAlign w:val="superscript"/>
        </w:rPr>
        <w:t xml:space="preserve">[</w:t>
      </w:r>
      <w:hyperlink w:anchor="ref-158">
        <w:r>
          <w:rPr>
            <w:rStyle w:val="Hyperlink"/>
            <w:vertAlign w:val="superscript"/>
          </w:rPr>
          <w:t xml:space="preserve">158</w:t>
        </w:r>
      </w:hyperlink>
      <w:r>
        <w:rPr>
          <w:vertAlign w:val="superscript"/>
        </w:rPr>
        <w:t xml:space="preserve">]</w:t>
      </w:r>
      <w:r>
        <w:t xml:space="preserve">。</w:t>
      </w:r>
    </w:p>
    <w:p>
      <w:pPr>
        <w:pStyle w:val="BodyText"/>
      </w:pPr>
      <w:r>
        <w:t xml:space="preserve">ON与OFF表示相对于局部背景变化的反应偏好。它们不能简单对应快乐与悲伤、积极与消极，也不能直接等同物体颜色。一个明亮物体移动时，其前缘在某些位置形成亮度增加，后缘形成亮度降低，两类通路都可能提供有用信号。通路分流让系统分别调节两个变化方向的增益和时程，并保留快速检测边界的机会。</w:t>
      </w:r>
    </w:p>
    <w:p>
      <w:pPr>
        <w:pStyle w:val="Heading4"/>
      </w:pPr>
      <w:r>
        <w:t xml:space="preserve">感受野在视网膜内部已经被计算</w:t>
      </w:r>
    </w:p>
    <w:p>
      <w:pPr>
        <w:pStyle w:val="FirstParagraph"/>
      </w:pPr>
      <w:r>
        <w:t xml:space="preserve">中心周边组织来自光感受器、水平细胞、双极细胞及内层回路的相互作用。对某些神经节细胞，刺激感受野中心与刺激周边对输出产生相反影响；整个区域均匀增亮时，这些作用可以部分抵消。实际细胞类型的空间尺度、时间响应和非线性不同，中心周边只是重要基础模式之一</w:t>
      </w:r>
      <w:r>
        <w:rPr>
          <w:vertAlign w:val="superscript"/>
        </w:rPr>
        <w:t xml:space="preserve">[</w:t>
      </w:r>
      <w:hyperlink w:anchor="ref-159">
        <w:r>
          <w:rPr>
            <w:rStyle w:val="Hyperlink"/>
            <w:vertAlign w:val="superscript"/>
          </w:rPr>
          <w:t xml:space="preserve">159</w:t>
        </w:r>
      </w:hyperlink>
      <w:r>
        <w:rPr>
          <w:vertAlign w:val="superscript"/>
        </w:rPr>
        <w:t xml:space="preserve">]</w:t>
      </w:r>
      <w:r>
        <w:t xml:space="preserve">。</w:t>
      </w:r>
    </w:p>
    <w:p>
      <w:pPr>
        <w:pStyle w:val="BodyText"/>
      </w:pPr>
      <w:r>
        <w:t xml:space="preserve">考虑一个明确的教学情景：两个物体表面具有相同反射率，一个位于强光中，一个位于阴影中。视网膜收到的绝对光量不同。若下游只能读取单点光量，很难区分照明变化和物体材料差异。局部空间比较提供了补充信息，但仍不足以完全解决这个问题，因为阴影边界本身也会形成强烈对比。更高层系统还需结合边界、纹理、空间结构和经验。这个推导解释了局部适应与整体场景解释为何能同时有价值。</w:t>
      </w:r>
    </w:p>
    <w:p>
      <w:pPr>
        <w:pStyle w:val="BodyText"/>
      </w:pPr>
      <w:r>
        <w:t xml:space="preserve">视网膜也保留与时间变化、运动方向和其他刺激特征相关的并行输出。由局部细胞反应识别某种计算，需要结合其连接对象和自然刺激下的活动。只用少数人工图案定义细胞类别，可能遗漏该细胞在真实光照和运动背景中的工作范围。</w:t>
      </w:r>
    </w:p>
    <w:p>
      <w:pPr>
        <w:pStyle w:val="Heading4"/>
      </w:pPr>
      <w:r>
        <w:t xml:space="preserve">色觉依赖多类感光细胞的比较</w:t>
      </w:r>
    </w:p>
    <w:p>
      <w:pPr>
        <w:pStyle w:val="FirstParagraph"/>
      </w:pPr>
      <w:r>
        <w:t xml:space="preserve">通常人类色觉涉及光谱敏感性不同的S、M、L三类锥细胞。单个锥细胞的响应无法唯一给出光的波长，因为较多的低效吸收光子与较少的高效吸收光子可能产生相似输出。不同锥细胞类别的相对活动为光谱区分增加约束。后续回路还会进行对立组合和背景适应</w:t>
      </w:r>
      <w:r>
        <w:rPr>
          <w:vertAlign w:val="superscript"/>
        </w:rPr>
        <w:t xml:space="preserve">[</w:t>
      </w:r>
      <w:hyperlink w:anchor="ref-160">
        <w:r>
          <w:rPr>
            <w:rStyle w:val="Hyperlink"/>
            <w:vertAlign w:val="superscript"/>
          </w:rPr>
          <w:t xml:space="preserve">160</w:t>
        </w:r>
      </w:hyperlink>
      <w:r>
        <w:rPr>
          <w:vertAlign w:val="superscript"/>
        </w:rPr>
        <w:t xml:space="preserve">]</w:t>
      </w:r>
      <w:r>
        <w:t xml:space="preserve">。</w:t>
      </w:r>
    </w:p>
    <w:p>
      <w:pPr>
        <w:pStyle w:val="BodyText"/>
      </w:pPr>
      <w:r>
        <w:t xml:space="preserve">由此可推导同色异谱：两种物理光谱可以在给定观察条件下产生相近的三类锥细胞响应，因而看起来相近。观察者受体谱、照明和背景改变时，这种匹配可能改变。屏幕产生的颜色也可利用多种基色组合诱发相应相对响应。色觉是由生物采样方式与光谱共同决定的测量结果，颜色标签无法替代完整的光谱记录。</w:t>
      </w:r>
    </w:p>
    <w:p>
      <w:pPr>
        <w:pStyle w:val="BodyText"/>
      </w:pPr>
      <w:r>
        <w:t xml:space="preserve">视神经由视网膜神经节细胞轴突构成。鼻侧视网膜轴突在视交叉跨越中线，使一个大脑半球主要处理对侧视野。主要图像视觉通路经丘脑外侧膝状体到初级视觉皮层，还存在通向上丘、视交叉上核等目标的投射。视觉识别、眼动、定向和昼夜节律使用不同组合的输出。某条通路受损时，其他视觉驱动的生理反应可能仍然存在，不能据一个保留反应推断所有视觉功能完整</w:t>
      </w:r>
      <w:r>
        <w:rPr>
          <w:vertAlign w:val="superscript"/>
        </w:rPr>
        <w:t xml:space="preserve">[</w:t>
      </w:r>
      <w:hyperlink w:anchor="ref-5">
        <w:r>
          <w:rPr>
            <w:rStyle w:val="Hyperlink"/>
            <w:vertAlign w:val="superscript"/>
          </w:rPr>
          <w:t xml:space="preserve">5</w:t>
        </w:r>
      </w:hyperlink>
      <w:r>
        <w:rPr>
          <w:vertAlign w:val="superscript"/>
        </w:rPr>
        <w:t xml:space="preserve">,</w:t>
      </w:r>
      <w:hyperlink w:anchor="ref-15">
        <w:r>
          <w:rPr>
            <w:rStyle w:val="Hyperlink"/>
            <w:vertAlign w:val="superscript"/>
          </w:rPr>
          <w:t xml:space="preserve">15</w:t>
        </w:r>
      </w:hyperlink>
      <w:r>
        <w:rPr>
          <w:vertAlign w:val="superscript"/>
        </w:rPr>
        <w:t xml:space="preserve">]</w:t>
      </w:r>
      <w:r>
        <w:t xml:space="preserve">。</w:t>
      </w:r>
    </w:p>
    <w:bookmarkEnd w:id="295"/>
    <w:bookmarkStart w:id="296" w:name="sec-15-3"/>
    <w:p>
      <w:pPr>
        <w:pStyle w:val="Heading3"/>
      </w:pPr>
      <w:r>
        <w:t xml:space="preserve">15.3　听觉将机械振动转为精确的时间信号</w:t>
      </w:r>
    </w:p>
    <w:p>
      <w:pPr>
        <w:pStyle w:val="Heading4"/>
      </w:pPr>
      <w:r>
        <w:t xml:space="preserve">外耳、中耳与耳蜗共同塑造输入</w:t>
      </w:r>
    </w:p>
    <w:p>
      <w:pPr>
        <w:pStyle w:val="FirstParagraph"/>
      </w:pPr>
      <w:r>
        <w:t xml:space="preserve">声波经过外耳道和鼓膜引起听小骨运动，再把机械能传入耳蜗液体系统。中耳组织影响空气到液体的能量耦合。耳蜗内部不同位置具有不同机械响应特性，基底膜上的行波随频率在不同位置达到较大振幅。靠近基底部的结构更适于较高频率，靠近顶端的结构更适于较低频率。活体耳蜗的敏感度和调谐还依赖主动过程</w:t>
      </w:r>
      <w:r>
        <w:rPr>
          <w:vertAlign w:val="superscript"/>
        </w:rPr>
        <w:t xml:space="preserve">[</w:t>
      </w:r>
      <w:hyperlink w:anchor="ref-161">
        <w:r>
          <w:rPr>
            <w:rStyle w:val="Hyperlink"/>
            <w:vertAlign w:val="superscript"/>
          </w:rPr>
          <w:t xml:space="preserve">161</w:t>
        </w:r>
      </w:hyperlink>
      <w:r>
        <w:rPr>
          <w:vertAlign w:val="superscript"/>
        </w:rPr>
        <w:t xml:space="preserve">]</w:t>
      </w:r>
      <w:r>
        <w:t xml:space="preserve">。</w:t>
      </w:r>
    </w:p>
    <w:p>
      <w:pPr>
        <w:pStyle w:val="BodyText"/>
      </w:pPr>
      <w:r>
        <w:t xml:space="preserve">外毛细胞通过电压相关的长度变化影响局部机械运动，prestin是这一电动性的重要分子。内毛细胞承担向多数传入听神经纤维提供感觉输出的主要任务。把所有毛细胞视为同一种声音探测器，会遗漏主动机械反馈与传入转导之间的分工。Prestin的发现连接了分子蛋白性质与组织层面的运动，但完整耳蜗功能仍取决于毛细胞排列、机械耦合和电化学环境</w:t>
      </w:r>
      <w:r>
        <w:rPr>
          <w:vertAlign w:val="superscript"/>
        </w:rPr>
        <w:t xml:space="preserve">[</w:t>
      </w:r>
      <w:hyperlink w:anchor="ref-162">
        <w:r>
          <w:rPr>
            <w:rStyle w:val="Hyperlink"/>
            <w:vertAlign w:val="superscript"/>
          </w:rPr>
          <w:t xml:space="preserve">162</w:t>
        </w:r>
      </w:hyperlink>
      <w:r>
        <w:rPr>
          <w:vertAlign w:val="superscript"/>
        </w:rPr>
        <w:t xml:space="preserve">]</w:t>
      </w:r>
      <w:r>
        <w:t xml:space="preserve">。</w:t>
      </w:r>
    </w:p>
    <w:p>
      <w:pPr>
        <w:pStyle w:val="BodyText"/>
      </w:pPr>
      <w:r>
        <w:t xml:space="preserve">这一组织也解释了听觉损伤的多样性。机械传导受损、感受器丢失、毛细胞与传入神经之间的突触异常以及中枢处理改变，都可能影响听觉。单一阈值测量对不同环节的敏感度有限。一个人能检测安静环境中的纯音，仍可能在复杂声场中遇到困难；其具体机制需要额外评估，不能仅凭现象定位。</w:t>
      </w:r>
    </w:p>
    <w:p>
      <w:pPr>
        <w:pStyle w:val="Heading4"/>
      </w:pPr>
      <w:r>
        <w:t xml:space="preserve">毛束运动通过机械门控产生受体电位</w:t>
      </w:r>
    </w:p>
    <w:p>
      <w:pPr>
        <w:pStyle w:val="FirstParagraph"/>
      </w:pPr>
      <w:r>
        <w:t xml:space="preserve">毛细胞顶端纤毛束发生特定方向的偏转时，连接和膜结构改变机械转导通道的开放概率。TMC1参与构成脊椎动物内耳机械转导通道的孔结构。毛细胞处于特殊的内淋巴电化学环境，机械通道开放后阳离子进入，受体电位改变，基底侧钙通道及突触释放随之变化</w:t>
      </w:r>
      <w:r>
        <w:rPr>
          <w:vertAlign w:val="superscript"/>
        </w:rPr>
        <w:t xml:space="preserve">[</w:t>
      </w:r>
      <w:hyperlink w:anchor="ref-156">
        <w:r>
          <w:rPr>
            <w:rStyle w:val="Hyperlink"/>
            <w:vertAlign w:val="superscript"/>
          </w:rPr>
          <w:t xml:space="preserve">156</w:t>
        </w:r>
      </w:hyperlink>
      <w:r>
        <w:rPr>
          <w:vertAlign w:val="superscript"/>
        </w:rPr>
        <w:t xml:space="preserve">]</w:t>
      </w:r>
      <w:r>
        <w:t xml:space="preserve">。</w:t>
      </w:r>
    </w:p>
    <w:p>
      <w:pPr>
        <w:pStyle w:val="BodyText"/>
      </w:pPr>
      <w:r>
        <w:t xml:space="preserve">方向选择性来源于毛束的结构极性。沿促进通道开放的方向偏转与相反方向偏转产生相反的输出变化。静息时一定程度的通道开放和递质释放，为双向调制提供工作点。耳蜗毛细胞通过带状突触支持快速而持续的传递，听神经纤维再以放电模式传递信息。电机械耦合的每一级都具有有限速度，因此时间编码的能力受到毛束、膜、突触和轴突等共同限制。</w:t>
      </w:r>
    </w:p>
    <w:p>
      <w:pPr>
        <w:pStyle w:val="BodyText"/>
      </w:pPr>
      <w:r>
        <w:t xml:space="preserve">声音频率可以由耳蜗位置相关的通路活动表达，也可以在一定条件下通过放电与声波周期的相位关系表达。相位锁定能力受到物种、频率、细胞和测量位置影响，不宜给所有听觉通路套用一个绝对截止频率。相位锁定也不要求每个细胞在每个周期都放电；多个细胞的事件分布仍可保留时间结构。声音包络、起始和终止还提供另一组时间信息。</w:t>
      </w:r>
    </w:p>
    <w:p>
      <w:pPr>
        <w:pStyle w:val="Heading4"/>
      </w:pPr>
      <w:r>
        <w:t xml:space="preserve">脑干通过双耳比较估计声源位置</w:t>
      </w:r>
    </w:p>
    <w:p>
      <w:pPr>
        <w:pStyle w:val="FirstParagraph"/>
      </w:pPr>
      <w:r>
        <w:t xml:space="preserve">听神经进入耳蜗核后，信息沿多条并行通路向脑干其他核团、中脑下丘、丘脑内侧膝状体及听觉皮层传递。单侧耳蜗的信息在多个阶段到达双侧网络。头部遮挡、两耳接收时间及耳廓滤波使同一声源在两耳产生差异，中枢将这些差异与频率等线索组合使用</w:t>
      </w:r>
      <w:r>
        <w:rPr>
          <w:vertAlign w:val="superscript"/>
        </w:rPr>
        <w:t xml:space="preserve">[</w:t>
      </w:r>
      <w:hyperlink w:anchor="ref-163">
        <w:r>
          <w:rPr>
            <w:rStyle w:val="Hyperlink"/>
            <w:vertAlign w:val="superscript"/>
          </w:rPr>
          <w:t xml:space="preserve">163</w:t>
        </w:r>
      </w:hyperlink>
      <w:r>
        <w:rPr>
          <w:vertAlign w:val="superscript"/>
        </w:rPr>
        <w:t xml:space="preserve">,</w:t>
      </w:r>
      <w:hyperlink w:anchor="ref-164">
        <w:r>
          <w:rPr>
            <w:rStyle w:val="Hyperlink"/>
            <w:vertAlign w:val="superscript"/>
          </w:rPr>
          <w:t xml:space="preserve">164</w:t>
        </w:r>
      </w:hyperlink>
      <w:r>
        <w:rPr>
          <w:vertAlign w:val="superscript"/>
        </w:rPr>
        <w:t xml:space="preserve">]</w:t>
      </w:r>
      <w:r>
        <w:t xml:space="preserve">。</w:t>
      </w:r>
    </w:p>
    <w:p>
      <w:pPr>
        <w:pStyle w:val="BodyText"/>
      </w:pPr>
      <w:r>
        <w:t xml:space="preserve">双耳时间差的计算需要比较到达时序，双耳强度差的计算则涉及两侧兴奋和抑制的配合。实际神经元还受声强、背景、频率和适应影响。把一个核团命名为时间差处理站，有助于记忆其主要贡献，但不能排除其他变量。下游需要利用群体反应在多个可能的声源位置之间进行约束。</w:t>
      </w:r>
    </w:p>
    <w:p>
      <w:pPr>
        <w:pStyle w:val="BodyText"/>
      </w:pPr>
      <w:r>
        <w:t xml:space="preserve">在反射强烈的房间，同一声音经多条路径到达耳朵。若机械地把每个迟到波峰都当成新声源，定位会不稳定。时间整合和对早期到达线索的权重帮助形成较连贯的听觉对象。此处的教学推导也说明，实验室里单个纯音的最佳频率无法完全概括一个神经元在语言、音乐和混响环境中的贡献。</w:t>
      </w:r>
    </w:p>
    <w:bookmarkEnd w:id="296"/>
    <w:bookmarkStart w:id="297" w:name="sec-15-4"/>
    <w:p>
      <w:pPr>
        <w:pStyle w:val="Heading3"/>
      </w:pPr>
      <w:r>
        <w:t xml:space="preserve">15.4　前庭感觉为头部运动和重力提供身体坐标</w:t>
      </w:r>
    </w:p>
    <w:p>
      <w:pPr>
        <w:pStyle w:val="FirstParagraph"/>
      </w:pPr>
      <w:r>
        <w:t xml:space="preserve">前庭毛细胞同样利用机械转导，但其上游机械结构与耳蜗不同。半规管中的液体运动推动壶腹嵴上的胶状嵴帽，把头部旋转转换为毛束偏转；椭圆囊与球囊的耳石结构对重力和线性加速度所造成的力敏感。半规管响应具有频率与时间依赖性，在常见运动范围内可提供与角速度相关的信息，持续旋转时响应会发生改变。将其描述为永久记录头部角度的仪表会产生错误</w:t>
      </w:r>
      <w:r>
        <w:rPr>
          <w:vertAlign w:val="superscript"/>
        </w:rPr>
        <w:t xml:space="preserve">[</w:t>
      </w:r>
      <w:hyperlink w:anchor="ref-165">
        <w:r>
          <w:rPr>
            <w:rStyle w:val="Hyperlink"/>
            <w:vertAlign w:val="superscript"/>
          </w:rPr>
          <w:t xml:space="preserve">165</w:t>
        </w:r>
      </w:hyperlink>
      <w:r>
        <w:rPr>
          <w:vertAlign w:val="superscript"/>
        </w:rPr>
        <w:t xml:space="preserve">]</w:t>
      </w:r>
      <w:r>
        <w:t xml:space="preserve">。</w:t>
      </w:r>
    </w:p>
    <w:p>
      <w:pPr>
        <w:pStyle w:val="BodyText"/>
      </w:pPr>
      <w:r>
        <w:t xml:space="preserve">左右两侧和不同空间方向的感受器构成互补关系。某方向转头使一组传入活动增强，同时可使相应另一组活动降低。系统因此可以比较双侧差异；任何单侧异常也可能制造与真实运动不一致的不平衡。前庭眼反射使用相关信号驱动眼球，使头部运动时视网膜图像相对稳定。该反射仍可受任务、目标距离和学习调节。</w:t>
      </w:r>
    </w:p>
    <w:p>
      <w:pPr>
        <w:pStyle w:val="BodyText"/>
      </w:pPr>
      <w:r>
        <w:t xml:space="preserve">耳石器官面对一个物理歧义：由重力方向变化造成的力与由直线加速造成的力，在局部感受器上可以具有相同结果。感受器单独无法完全解出两者。中枢需要结合半规管、视觉、本体感觉及运动预测，估计身体相对环境的运动。乘坐加速交通工具、观察大范围移动图案和主动转头，会给予这些信号不同组合，因而可能产生不同知觉。</w:t>
      </w:r>
    </w:p>
    <w:p>
      <w:pPr>
        <w:pStyle w:val="BodyText"/>
      </w:pPr>
      <w:r>
        <w:t xml:space="preserve">主动运动还伴随运动指令的内部副本。若预计到的头部运动与实际反馈一致，某些通路可以降低对自发运动的重复表征，同时保留对意外扰动的敏感性。这种调节依赖细胞类型和通路，无法概括为大脑把所有自发感觉完全关闭。前庭系统研究特别适合说明，感觉输入的意义取决于身体正在执行的行为</w:t>
      </w:r>
      <w:r>
        <w:rPr>
          <w:vertAlign w:val="superscript"/>
        </w:rPr>
        <w:t xml:space="preserve">[</w:t>
      </w:r>
      <w:hyperlink w:anchor="ref-165">
        <w:r>
          <w:rPr>
            <w:rStyle w:val="Hyperlink"/>
            <w:vertAlign w:val="superscript"/>
          </w:rPr>
          <w:t xml:space="preserve">165</w:t>
        </w:r>
      </w:hyperlink>
      <w:r>
        <w:rPr>
          <w:vertAlign w:val="superscript"/>
        </w:rPr>
        <w:t xml:space="preserve">]</w:t>
      </w:r>
      <w:r>
        <w:t xml:space="preserve">。</w:t>
      </w:r>
    </w:p>
    <w:bookmarkEnd w:id="297"/>
    <w:bookmarkStart w:id="298" w:name="sec-15-5"/>
    <w:p>
      <w:pPr>
        <w:pStyle w:val="Heading3"/>
      </w:pPr>
      <w:r>
        <w:t xml:space="preserve">15.5　躯体感觉同时测量接触与身体自身状态</w:t>
      </w:r>
    </w:p>
    <w:p>
      <w:pPr>
        <w:pStyle w:val="Heading4"/>
      </w:pPr>
      <w:r>
        <w:t xml:space="preserve">皮肤机械感受器具有不同的机械滤波结构</w:t>
      </w:r>
    </w:p>
    <w:p>
      <w:pPr>
        <w:pStyle w:val="FirstParagraph"/>
      </w:pPr>
      <w:r>
        <w:t xml:space="preserve">皮肤中的感觉末梢受到周围组织、受体结构和离子通道共同影响。快速适应和慢速适应反应既可能来自通道动力学，也可能来自包绕结构的力学变化。某些末梢对局部压入持续放电，另一些更突出压入开始、结束或振动。不能把适应速度完全归因于单个通道蛋白。</w:t>
      </w:r>
    </w:p>
    <w:p>
      <w:pPr>
        <w:pStyle w:val="BodyText"/>
      </w:pPr>
      <w:r>
        <w:t xml:space="preserve">Piezo通道家族为机械力到电流的转换提供了重要分子机制。小鼠的细胞特异性缺失研究支持Piezo2在多类轻触反应中的关键作用。机械感觉仍包含不同刺激强度、组织和细胞类别，故这些结果不能推出每一种触觉、机械痛和器官机械感受都使用相同的唯一转导途径</w:t>
      </w:r>
      <w:r>
        <w:rPr>
          <w:vertAlign w:val="superscript"/>
        </w:rPr>
        <w:t xml:space="preserve">[</w:t>
      </w:r>
      <w:hyperlink w:anchor="ref-166">
        <w:r>
          <w:rPr>
            <w:rStyle w:val="Hyperlink"/>
            <w:vertAlign w:val="superscript"/>
          </w:rPr>
          <w:t xml:space="preserve">166</w:t>
        </w:r>
      </w:hyperlink>
      <w:r>
        <w:rPr>
          <w:vertAlign w:val="superscript"/>
        </w:rPr>
        <w:t xml:space="preserve">,</w:t>
      </w:r>
      <w:hyperlink w:anchor="ref-167">
        <w:r>
          <w:rPr>
            <w:rStyle w:val="Hyperlink"/>
            <w:vertAlign w:val="superscript"/>
          </w:rPr>
          <w:t xml:space="preserve">167</w:t>
        </w:r>
      </w:hyperlink>
      <w:r>
        <w:rPr>
          <w:vertAlign w:val="superscript"/>
        </w:rPr>
        <w:t xml:space="preserve">]</w:t>
      </w:r>
      <w:r>
        <w:t xml:space="preserve">。</w:t>
      </w:r>
    </w:p>
    <w:p>
      <w:pPr>
        <w:pStyle w:val="BodyText"/>
      </w:pPr>
      <w:r>
        <w:t xml:space="preserve">感受野大小与分布影响空间分辨。假设两个位置激活完全相同的一组传入纤维，且时间和放电模式也相同，下游仅靠这些信号无法区分两位置。更密集的采样、更小的感受野或不同的群体响应可以增加区分依据。手指主动移动时，空间纹理还会转成随时间变化的机械输入，所以静态两点辨别与主动触摸纹理测验可以依赖不同成分。</w:t>
      </w:r>
    </w:p>
    <w:p>
      <w:pPr>
        <w:pStyle w:val="Heading4"/>
      </w:pPr>
      <w:r>
        <w:t xml:space="preserve">本体感觉将肌肉和关节变化传回中枢</w:t>
      </w:r>
    </w:p>
    <w:p>
      <w:pPr>
        <w:pStyle w:val="FirstParagraph"/>
      </w:pPr>
      <w:r>
        <w:t xml:space="preserve">肌梭感受器位于肌肉内部，其输出受到肌肉长度、长度变化、梭内肌状态和运动历史影响。腱器官感受肌腱张力相关变化。肌梭传入常按Ia和II等纤维类别描述，腱器官主要通过Ib传入；这些类别标记轴突与生理属性，不能把每类输出简化为纯粹单变量。关节和皮肤信号也可参与位置和运动估计</w:t>
      </w:r>
      <w:r>
        <w:rPr>
          <w:vertAlign w:val="superscript"/>
        </w:rPr>
        <w:t xml:space="preserve">[</w:t>
      </w:r>
      <w:hyperlink w:anchor="ref-9">
        <w:r>
          <w:rPr>
            <w:rStyle w:val="Hyperlink"/>
            <w:vertAlign w:val="superscript"/>
          </w:rPr>
          <w:t xml:space="preserve">9</w:t>
        </w:r>
      </w:hyperlink>
      <w:r>
        <w:rPr>
          <w:vertAlign w:val="superscript"/>
        </w:rPr>
        <w:t xml:space="preserve">,</w:t>
      </w:r>
      <w:hyperlink w:anchor="ref-11">
        <w:r>
          <w:rPr>
            <w:rStyle w:val="Hyperlink"/>
            <w:vertAlign w:val="superscript"/>
          </w:rPr>
          <w:t xml:space="preserve">11</w:t>
        </w:r>
      </w:hyperlink>
      <w:r>
        <w:rPr>
          <w:vertAlign w:val="superscript"/>
        </w:rPr>
        <w:t xml:space="preserve">]</w:t>
      </w:r>
      <w:r>
        <w:t xml:space="preserve">。</w:t>
      </w:r>
    </w:p>
    <w:p>
      <w:pPr>
        <w:pStyle w:val="BodyText"/>
      </w:pPr>
      <w:r>
        <w:t xml:space="preserve">γ运动神经元调节梭内肌，从而改变肌梭对肌肉状态的敏感性。当肌肉主动缩短时，适当调节可使肌梭继续处于可用工作范围。由此可见，感觉器官的增益受到运动系统主动控制。若记录到相同关节角度下肌梭放电不同，应考虑肌肉收缩、γ驱动和之前运动的影响，不能直接认为位置测量错误。</w:t>
      </w:r>
    </w:p>
    <w:p>
      <w:pPr>
        <w:pStyle w:val="BodyText"/>
      </w:pPr>
      <w:r>
        <w:t xml:space="preserve">两名携带PIEZO2失活变异的患者研究发现，本体感觉和辨别性触觉存在显著障碍，视觉线索能支持部分行为表现。这提供了人类分子机制的证据，同时也显示发育与行为补偿的重要性。罕见变异个案的结果不适合直接预测短时阻断某受体后的全部表现</w:t>
      </w:r>
      <w:r>
        <w:rPr>
          <w:vertAlign w:val="superscript"/>
        </w:rPr>
        <w:t xml:space="preserve">[</w:t>
      </w:r>
      <w:hyperlink w:anchor="ref-168">
        <w:r>
          <w:rPr>
            <w:rStyle w:val="Hyperlink"/>
            <w:vertAlign w:val="superscript"/>
          </w:rPr>
          <w:t xml:space="preserve">168</w:t>
        </w:r>
      </w:hyperlink>
      <w:r>
        <w:rPr>
          <w:vertAlign w:val="superscript"/>
        </w:rPr>
        <w:t xml:space="preserve">]</w:t>
      </w:r>
      <w:r>
        <w:t xml:space="preserve">。</w:t>
      </w:r>
    </w:p>
    <w:p>
      <w:pPr>
        <w:pStyle w:val="Heading4"/>
      </w:pPr>
      <w:r>
        <w:t xml:space="preserve">温度和伤害感受包含并行分子途径</w:t>
      </w:r>
    </w:p>
    <w:p>
      <w:pPr>
        <w:pStyle w:val="FirstParagraph"/>
      </w:pPr>
      <w:r>
        <w:t xml:space="preserve">TRPV1对辣椒素和伤害性热等条件敏感，TRPM8可以对冷刺激及薄荷醇产生反应。化学分子因此能够激活或调节与温度相关的转导机制，使化学刺激产生冷或热的感觉特征。真实温觉还依赖多个受体、神经元类型、皮肤状态和中枢比较，单一通道无法包办所有温度体验</w:t>
      </w:r>
      <w:r>
        <w:rPr>
          <w:vertAlign w:val="superscript"/>
        </w:rPr>
        <w:t xml:space="preserve">[</w:t>
      </w:r>
      <w:hyperlink w:anchor="ref-169">
        <w:r>
          <w:rPr>
            <w:rStyle w:val="Hyperlink"/>
            <w:vertAlign w:val="superscript"/>
          </w:rPr>
          <w:t xml:space="preserve">169</w:t>
        </w:r>
      </w:hyperlink>
      <w:r>
        <w:rPr>
          <w:vertAlign w:val="superscript"/>
        </w:rPr>
        <w:t xml:space="preserve">,</w:t>
      </w:r>
      <w:hyperlink w:anchor="ref-170">
        <w:r>
          <w:rPr>
            <w:rStyle w:val="Hyperlink"/>
            <w:vertAlign w:val="superscript"/>
          </w:rPr>
          <w:t xml:space="preserve">170</w:t>
        </w:r>
      </w:hyperlink>
      <w:r>
        <w:rPr>
          <w:vertAlign w:val="superscript"/>
        </w:rPr>
        <w:t xml:space="preserve">]</w:t>
      </w:r>
      <w:r>
        <w:t xml:space="preserve">。</w:t>
      </w:r>
    </w:p>
    <w:p>
      <w:pPr>
        <w:pStyle w:val="BodyText"/>
      </w:pPr>
      <w:r>
        <w:t xml:space="preserve">伤害感受指神经系统对实际或潜在组织损伤相关刺激的编码过程，疼痛还包含主观感觉与情绪体验。外周炎症可能改变转导阈值和兴奋性，脊髓及脑内回路也能改变输入的传递。</w:t>
      </w:r>
      <w:hyperlink w:anchor="ch-2">
        <w:r>
          <w:rPr>
            <w:rStyle w:val="Hyperlink"/>
          </w:rPr>
          <w:t xml:space="preserve">第2章</w:t>
        </w:r>
      </w:hyperlink>
      <w:r>
        <w:t xml:space="preserve">（</w:t>
      </w:r>
      <w:hyperlink w:anchor="sec-2-8">
        <w:r>
          <w:rPr>
            <w:rStyle w:val="Hyperlink"/>
          </w:rPr>
          <w:t xml:space="preserve">2.8</w:t>
        </w:r>
      </w:hyperlink>
      <w:r>
        <w:t xml:space="preserve">）讲的上行通路与本章的受体机制需一起理解：知道一个伤害性刺激激活了哪类外周纤维，仍不足以唯一确定某次体验的强度。</w:t>
      </w:r>
    </w:p>
    <w:bookmarkEnd w:id="298"/>
    <w:bookmarkStart w:id="299" w:name="sec-15-6"/>
    <w:p>
      <w:pPr>
        <w:pStyle w:val="Heading3"/>
      </w:pPr>
      <w:r>
        <w:t xml:space="preserve">15.6　嗅觉和味觉用分子识别构建化学环境表征</w:t>
      </w:r>
    </w:p>
    <w:p>
      <w:pPr>
        <w:pStyle w:val="Heading4"/>
      </w:pPr>
      <w:r>
        <w:t xml:space="preserve">嗅觉受体家族将化学多样性变成组合活动</w:t>
      </w:r>
    </w:p>
    <w:p>
      <w:pPr>
        <w:pStyle w:val="FirstParagraph"/>
      </w:pPr>
      <w:r>
        <w:t xml:space="preserve">嗅上皮的感觉神经元表达嗅觉受体。经典研究识别了大型七跨膜受体基因家族，后续实验支持不同气味分子以组合方式激活受体群。同一受体可以响应多个分子，同一分子也可激活多个受体，浓度改变还可能改变被招募的组合</w:t>
      </w:r>
      <w:r>
        <w:rPr>
          <w:vertAlign w:val="superscript"/>
        </w:rPr>
        <w:t xml:space="preserve">[</w:t>
      </w:r>
      <w:hyperlink w:anchor="ref-32">
        <w:r>
          <w:rPr>
            <w:rStyle w:val="Hyperlink"/>
            <w:vertAlign w:val="superscript"/>
          </w:rPr>
          <w:t xml:space="preserve">32</w:t>
        </w:r>
      </w:hyperlink>
      <w:r>
        <w:rPr>
          <w:vertAlign w:val="superscript"/>
        </w:rPr>
        <w:t xml:space="preserve">,</w:t>
      </w:r>
      <w:hyperlink w:anchor="ref-33">
        <w:r>
          <w:rPr>
            <w:rStyle w:val="Hyperlink"/>
            <w:vertAlign w:val="superscript"/>
          </w:rPr>
          <w:t xml:space="preserve">33</w:t>
        </w:r>
      </w:hyperlink>
      <w:r>
        <w:rPr>
          <w:vertAlign w:val="superscript"/>
        </w:rPr>
        <w:t xml:space="preserve">]</w:t>
      </w:r>
      <w:r>
        <w:t xml:space="preserve">。</w:t>
      </w:r>
    </w:p>
    <w:p>
      <w:pPr>
        <w:pStyle w:val="BodyText"/>
      </w:pPr>
      <w:r>
        <w:t xml:space="preserve">在典型哺乳动物嗅转导中，受体经相关G蛋白和腺苷酸环化酶提高环磷酸腺苷，使环核苷酸门控通道开放。进入细胞的钙还参与其他电流及适应调节。转导装置位于接触黏液环境的纤毛中，气味到达、溶解、分子结合和清除都会影响反应。因此，同一分子在不同气流、湿度和吸气模式下可以形成不同时间过程</w:t>
      </w:r>
      <w:r>
        <w:rPr>
          <w:vertAlign w:val="superscript"/>
        </w:rPr>
        <w:t xml:space="preserve">[</w:t>
      </w:r>
      <w:hyperlink w:anchor="ref-171">
        <w:r>
          <w:rPr>
            <w:rStyle w:val="Hyperlink"/>
            <w:vertAlign w:val="superscript"/>
          </w:rPr>
          <w:t xml:space="preserve">171</w:t>
        </w:r>
      </w:hyperlink>
      <w:r>
        <w:rPr>
          <w:vertAlign w:val="superscript"/>
        </w:rPr>
        <w:t xml:space="preserve">]</w:t>
      </w:r>
      <w:r>
        <w:t xml:space="preserve">。</w:t>
      </w:r>
    </w:p>
    <w:p>
      <w:pPr>
        <w:pStyle w:val="BodyText"/>
      </w:pPr>
      <w:r>
        <w:t xml:space="preserve">具有相关受体特性的感觉神经元投射在嗅球形成有组织的汇聚，嗅球局部抑制和输出回路进一步变换模式。气味混合物的反应并不保证等于各单一气味反应的算术和，因为受体竞争、适应和回路非线性都可能改变结果。只测单一分子后直接预测复杂香气，需要额外验证。</w:t>
      </w:r>
    </w:p>
    <w:p>
      <w:pPr>
        <w:pStyle w:val="BodyText"/>
      </w:pPr>
      <w:r>
        <w:t xml:space="preserve">嗅觉早期通往皮层的主要路线具有不同于典型视觉和听觉初级通路的丘脑关系，但后续嗅觉加工仍有丘脑及其他系统参与。气味与记忆和情境密切联系，不能据此把嗅觉归入某个独立的原始情绪脑。嗅闻动作本身改变采样，身体运动、呼吸和感知因此组成相互影响的回路。</w:t>
      </w:r>
    </w:p>
    <w:p>
      <w:pPr>
        <w:pStyle w:val="Heading4"/>
      </w:pPr>
      <w:r>
        <w:t xml:space="preserve">味蕾以多种转导方式检测溶解物</w:t>
      </w:r>
    </w:p>
    <w:p>
      <w:pPr>
        <w:pStyle w:val="FirstParagraph"/>
      </w:pPr>
      <w:r>
        <w:t xml:space="preserve">甜、苦、鲜等味质的重要受体属于G蛋白偶联受体体系，相关细胞通过细胞内信号级联与电兴奋性调节产生输出。CALHM1及CALHM3参与相应味细胞向传入纤维释放ATP的通道机制。这一例子表明，递质可以经特化通道释放，化学感觉并不要求所有细胞使用相同的突触囊泡方案</w:t>
      </w:r>
      <w:r>
        <w:rPr>
          <w:vertAlign w:val="superscript"/>
        </w:rPr>
        <w:t xml:space="preserve">[</w:t>
      </w:r>
      <w:hyperlink w:anchor="ref-157">
        <w:r>
          <w:rPr>
            <w:rStyle w:val="Hyperlink"/>
            <w:vertAlign w:val="superscript"/>
          </w:rPr>
          <w:t xml:space="preserve">157</w:t>
        </w:r>
      </w:hyperlink>
      <w:r>
        <w:rPr>
          <w:vertAlign w:val="superscript"/>
        </w:rPr>
        <w:t xml:space="preserve">,</w:t>
      </w:r>
      <w:hyperlink w:anchor="ref-172">
        <w:r>
          <w:rPr>
            <w:rStyle w:val="Hyperlink"/>
            <w:vertAlign w:val="superscript"/>
          </w:rPr>
          <w:t xml:space="preserve">172</w:t>
        </w:r>
      </w:hyperlink>
      <w:r>
        <w:rPr>
          <w:vertAlign w:val="superscript"/>
        </w:rPr>
        <w:t xml:space="preserve">,</w:t>
      </w:r>
      <w:hyperlink w:anchor="ref-173">
        <w:r>
          <w:rPr>
            <w:rStyle w:val="Hyperlink"/>
            <w:vertAlign w:val="superscript"/>
          </w:rPr>
          <w:t xml:space="preserve">173</w:t>
        </w:r>
      </w:hyperlink>
      <w:r>
        <w:rPr>
          <w:vertAlign w:val="superscript"/>
        </w:rPr>
        <w:t xml:space="preserve">]</w:t>
      </w:r>
      <w:r>
        <w:t xml:space="preserve">。</w:t>
      </w:r>
    </w:p>
    <w:p>
      <w:pPr>
        <w:pStyle w:val="BodyText"/>
      </w:pPr>
      <w:r>
        <w:t xml:space="preserve">酸味相关细胞中的OTOP1为质子进入提供重要途径。质子浓度、酸的其他化学性质、细胞内缓冲和电兴奋性共同影响反应。盐味涉及离子和细胞通路，物种、浓度和身体状态均重要；把啮齿动物某一低盐通路完全等同于人类所有盐味机制，目前缺少可靠支持</w:t>
      </w:r>
      <w:r>
        <w:rPr>
          <w:vertAlign w:val="superscript"/>
        </w:rPr>
        <w:t xml:space="preserve">[</w:t>
      </w:r>
      <w:hyperlink w:anchor="ref-174">
        <w:r>
          <w:rPr>
            <w:rStyle w:val="Hyperlink"/>
            <w:vertAlign w:val="superscript"/>
          </w:rPr>
          <w:t xml:space="preserve">174</w:t>
        </w:r>
      </w:hyperlink>
      <w:r>
        <w:rPr>
          <w:vertAlign w:val="superscript"/>
        </w:rPr>
        <w:t xml:space="preserve">]</w:t>
      </w:r>
      <w:r>
        <w:t xml:space="preserve">。</w:t>
      </w:r>
    </w:p>
    <w:p>
      <w:pPr>
        <w:pStyle w:val="BodyText"/>
      </w:pPr>
      <w:r>
        <w:t xml:space="preserve">舌面各区域的感受器分布和敏感度可以不同，但经典的绝对味觉分区图缺乏准确性。味觉传入经面神经、舌咽神经和迷走神经的相关分支进入脑干，再通过后续通路参与味质辨别、自主反应和摄食调节。食物的完整风味还结合鼻后嗅觉、温度、质地及三叉神经化学感觉；辣椒引起的灼热主要涉及化学伤害感受机制，不能简单增列为一种与甜味完全相同的味蕾通道</w:t>
      </w:r>
      <w:r>
        <w:rPr>
          <w:vertAlign w:val="superscript"/>
        </w:rPr>
        <w:t xml:space="preserve">[</w:t>
      </w:r>
      <w:hyperlink w:anchor="ref-14">
        <w:r>
          <w:rPr>
            <w:rStyle w:val="Hyperlink"/>
            <w:vertAlign w:val="superscript"/>
          </w:rPr>
          <w:t xml:space="preserve">14</w:t>
        </w:r>
      </w:hyperlink>
      <w:r>
        <w:rPr>
          <w:vertAlign w:val="superscript"/>
        </w:rPr>
        <w:t xml:space="preserve">,</w:t>
      </w:r>
      <w:hyperlink w:anchor="ref-169">
        <w:r>
          <w:rPr>
            <w:rStyle w:val="Hyperlink"/>
            <w:vertAlign w:val="superscript"/>
          </w:rPr>
          <w:t xml:space="preserve">169</w:t>
        </w:r>
      </w:hyperlink>
      <w:r>
        <w:rPr>
          <w:vertAlign w:val="superscript"/>
        </w:rPr>
        <w:t xml:space="preserve">,</w:t>
      </w:r>
      <w:hyperlink w:anchor="ref-175">
        <w:r>
          <w:rPr>
            <w:rStyle w:val="Hyperlink"/>
            <w:vertAlign w:val="superscript"/>
          </w:rPr>
          <w:t xml:space="preserve">175</w:t>
        </w:r>
      </w:hyperlink>
      <w:r>
        <w:rPr>
          <w:vertAlign w:val="superscript"/>
        </w:rPr>
        <w:t xml:space="preserve">]</w:t>
      </w:r>
      <w:r>
        <w:t xml:space="preserve">。</w:t>
      </w:r>
    </w:p>
    <w:bookmarkEnd w:id="299"/>
    <w:bookmarkStart w:id="301" w:name="sec-15-7"/>
    <w:p>
      <w:pPr>
        <w:pStyle w:val="Heading3"/>
      </w:pPr>
      <w:r>
        <w:t xml:space="preserve">15.7　六类感觉转导的比较</w:t>
      </w:r>
    </w:p>
    <w:p>
      <w:pPr>
        <w:pStyle w:val="TableCaption"/>
      </w:pPr>
      <w:bookmarkStart w:id="300" w:name="tab-transduction"/>
      <w:bookmarkEnd w:id="300"/>
      <w:r>
        <w:rPr>
          <w:bCs/>
          <w:b/>
        </w:rPr>
        <w:t xml:space="preserve">表 7　六类感觉转导的比较</w:t>
      </w:r>
    </w:p>
    <w:tbl>
      <w:tblPr>
        <w:tblStyle w:val="Table"/>
        <w:tblW w:type="pct" w:w="5000"/>
        <w:jc w:val="start"/>
        <w:tblLook w:firstRow="1" w:lastRow="0" w:firstColumn="0" w:lastColumn="0" w:noHBand="0" w:noVBand="0" w:val="0020"/>
      </w:tblPr>
      <w:tblGrid>
        <w:gridCol w:w="792"/>
        <w:gridCol w:w="2507"/>
        <w:gridCol w:w="4619"/>
      </w:tblGrid>
      <w:tr>
        <w:trPr>
          <w:tblHeader w:val="true"/>
        </w:trPr>
        <w:tc>
          <w:tcPr>
            <w:shd w:val="clear" w:color="auto" w:fill="1F3A5F"/>
          </w:tcPr>
          <w:p>
            <w:pPr>
              <w:pStyle w:val="Compact"/>
              <w:jc w:val="left"/>
            </w:pPr>
            <w:r>
              <w:rPr>
                <w:bCs/>
                <w:b/>
                <w:color w:val="FFFFFF"/>
              </w:rPr>
              <w:t xml:space="preserve">感觉系统</w:t>
            </w:r>
          </w:p>
        </w:tc>
        <w:tc>
          <w:tcPr>
            <w:shd w:val="clear" w:color="auto" w:fill="1F3A5F"/>
          </w:tcPr>
          <w:p>
            <w:pPr>
              <w:pStyle w:val="Compact"/>
              <w:jc w:val="left"/>
            </w:pPr>
            <w:r>
              <w:rPr>
                <w:bCs/>
                <w:b/>
                <w:color w:val="FFFFFF"/>
              </w:rPr>
              <w:t xml:space="preserve">代表性转导机制</w:t>
            </w:r>
          </w:p>
        </w:tc>
        <w:tc>
          <w:tcPr>
            <w:shd w:val="clear" w:color="auto" w:fill="1F3A5F"/>
          </w:tcPr>
          <w:p>
            <w:pPr>
              <w:pStyle w:val="Compact"/>
              <w:jc w:val="left"/>
            </w:pPr>
            <w:r>
              <w:rPr>
                <w:bCs/>
                <w:b/>
                <w:color w:val="FFFFFF"/>
              </w:rPr>
              <w:t xml:space="preserve">初级输出组织及解释边界</w:t>
            </w:r>
          </w:p>
        </w:tc>
      </w:tr>
      <w:tr>
        <w:tc>
          <w:tcPr/>
          <w:p>
            <w:pPr>
              <w:pStyle w:val="Compact"/>
              <w:jc w:val="left"/>
            </w:pPr>
            <w:r>
              <w:t xml:space="preserve">视觉</w:t>
            </w:r>
          </w:p>
        </w:tc>
        <w:tc>
          <w:tcPr/>
          <w:p>
            <w:pPr>
              <w:pStyle w:val="Compact"/>
              <w:jc w:val="left"/>
            </w:pPr>
            <w:r>
              <w:t xml:space="preserve">视色素级联降低环磷酸鸟苷并关闭相关通道</w:t>
            </w:r>
          </w:p>
        </w:tc>
        <w:tc>
          <w:tcPr/>
          <w:p>
            <w:pPr>
              <w:pStyle w:val="Compact"/>
              <w:jc w:val="left"/>
            </w:pPr>
            <w:r>
              <w:t xml:space="preserve">视杆与视锥细胞超极化后，信号经视网膜回路分流</w:t>
            </w:r>
            <w:r>
              <w:rPr>
                <w:vertAlign w:val="superscript"/>
              </w:rPr>
              <w:t xml:space="preserve">[</w:t>
            </w:r>
            <w:hyperlink w:anchor="ref-31">
              <w:r>
                <w:rPr>
                  <w:rStyle w:val="Hyperlink"/>
                  <w:vertAlign w:val="superscript"/>
                </w:rPr>
                <w:t xml:space="preserve">31</w:t>
              </w:r>
            </w:hyperlink>
            <w:r>
              <w:rPr>
                <w:vertAlign w:val="superscript"/>
              </w:rPr>
              <w:t xml:space="preserve">,</w:t>
            </w:r>
            <w:hyperlink w:anchor="ref-158">
              <w:r>
                <w:rPr>
                  <w:rStyle w:val="Hyperlink"/>
                  <w:vertAlign w:val="superscript"/>
                </w:rPr>
                <w:t xml:space="preserve">158</w:t>
              </w:r>
            </w:hyperlink>
            <w:r>
              <w:rPr>
                <w:vertAlign w:val="superscript"/>
              </w:rPr>
              <w:t xml:space="preserve">]</w:t>
            </w:r>
          </w:p>
        </w:tc>
      </w:tr>
      <w:tr>
        <w:tc>
          <w:tcPr/>
          <w:p>
            <w:pPr>
              <w:pStyle w:val="Compact"/>
              <w:jc w:val="left"/>
            </w:pPr>
            <w:r>
              <w:t xml:space="preserve">听觉</w:t>
            </w:r>
          </w:p>
        </w:tc>
        <w:tc>
          <w:tcPr/>
          <w:p>
            <w:pPr>
              <w:pStyle w:val="Compact"/>
              <w:jc w:val="left"/>
            </w:pPr>
            <w:r>
              <w:t xml:space="preserve">毛束机械通道及特殊离子环境产生受体电位</w:t>
            </w:r>
          </w:p>
        </w:tc>
        <w:tc>
          <w:tcPr/>
          <w:p>
            <w:pPr>
              <w:pStyle w:val="Compact"/>
              <w:jc w:val="left"/>
            </w:pPr>
            <w:r>
              <w:t xml:space="preserve">毛细胞经突触驱动听神经且受耳蜗力学塑形</w:t>
            </w:r>
            <w:r>
              <w:rPr>
                <w:vertAlign w:val="superscript"/>
              </w:rPr>
              <w:t xml:space="preserve">[</w:t>
            </w:r>
            <w:hyperlink w:anchor="ref-156">
              <w:r>
                <w:rPr>
                  <w:rStyle w:val="Hyperlink"/>
                  <w:vertAlign w:val="superscript"/>
                </w:rPr>
                <w:t xml:space="preserve">156</w:t>
              </w:r>
            </w:hyperlink>
            <w:r>
              <w:rPr>
                <w:vertAlign w:val="superscript"/>
              </w:rPr>
              <w:t xml:space="preserve">,</w:t>
            </w:r>
            <w:hyperlink w:anchor="ref-161">
              <w:r>
                <w:rPr>
                  <w:rStyle w:val="Hyperlink"/>
                  <w:vertAlign w:val="superscript"/>
                </w:rPr>
                <w:t xml:space="preserve">161</w:t>
              </w:r>
            </w:hyperlink>
            <w:r>
              <w:rPr>
                <w:vertAlign w:val="superscript"/>
              </w:rPr>
              <w:t xml:space="preserve">]</w:t>
            </w:r>
          </w:p>
        </w:tc>
      </w:tr>
      <w:tr>
        <w:tc>
          <w:tcPr/>
          <w:p>
            <w:pPr>
              <w:pStyle w:val="Compact"/>
              <w:jc w:val="left"/>
            </w:pPr>
            <w:r>
              <w:t xml:space="preserve">皮肤机械感觉</w:t>
            </w:r>
          </w:p>
        </w:tc>
        <w:tc>
          <w:tcPr/>
          <w:p>
            <w:pPr>
              <w:pStyle w:val="Compact"/>
              <w:jc w:val="left"/>
            </w:pPr>
            <w:r>
              <w:t xml:space="preserve">Piezo2等机制响应力学变化</w:t>
            </w:r>
          </w:p>
        </w:tc>
        <w:tc>
          <w:tcPr/>
          <w:p>
            <w:pPr>
              <w:pStyle w:val="Compact"/>
              <w:jc w:val="left"/>
            </w:pPr>
            <w:r>
              <w:t xml:space="preserve">末梢结构与组织力学共同决定反应</w:t>
            </w:r>
            <w:r>
              <w:rPr>
                <w:vertAlign w:val="superscript"/>
              </w:rPr>
              <w:t xml:space="preserve">[</w:t>
            </w:r>
            <w:hyperlink w:anchor="ref-166">
              <w:r>
                <w:rPr>
                  <w:rStyle w:val="Hyperlink"/>
                  <w:vertAlign w:val="superscript"/>
                </w:rPr>
                <w:t xml:space="preserve">166</w:t>
              </w:r>
            </w:hyperlink>
            <w:r>
              <w:rPr>
                <w:vertAlign w:val="superscript"/>
              </w:rPr>
              <w:t xml:space="preserve">,</w:t>
            </w:r>
            <w:hyperlink w:anchor="ref-167">
              <w:r>
                <w:rPr>
                  <w:rStyle w:val="Hyperlink"/>
                  <w:vertAlign w:val="superscript"/>
                </w:rPr>
                <w:t xml:space="preserve">167</w:t>
              </w:r>
            </w:hyperlink>
            <w:r>
              <w:rPr>
                <w:vertAlign w:val="superscript"/>
              </w:rPr>
              <w:t xml:space="preserve">]</w:t>
            </w:r>
          </w:p>
        </w:tc>
      </w:tr>
      <w:tr>
        <w:tc>
          <w:tcPr/>
          <w:p>
            <w:pPr>
              <w:pStyle w:val="Compact"/>
              <w:jc w:val="left"/>
            </w:pPr>
            <w:r>
              <w:t xml:space="preserve">前庭感觉</w:t>
            </w:r>
          </w:p>
        </w:tc>
        <w:tc>
          <w:tcPr/>
          <w:p>
            <w:pPr>
              <w:pStyle w:val="Compact"/>
              <w:jc w:val="left"/>
            </w:pPr>
            <w:r>
              <w:t xml:space="preserve">半规管或耳石机械结构驱动毛细胞</w:t>
            </w:r>
          </w:p>
        </w:tc>
        <w:tc>
          <w:tcPr/>
          <w:p>
            <w:pPr>
              <w:pStyle w:val="Compact"/>
              <w:jc w:val="left"/>
            </w:pPr>
            <w:r>
              <w:t xml:space="preserve">重力与线加速度的歧义需要多源整合</w:t>
            </w:r>
            <w:r>
              <w:rPr>
                <w:vertAlign w:val="superscript"/>
              </w:rPr>
              <w:t xml:space="preserve">[</w:t>
            </w:r>
            <w:hyperlink w:anchor="ref-165">
              <w:r>
                <w:rPr>
                  <w:rStyle w:val="Hyperlink"/>
                  <w:vertAlign w:val="superscript"/>
                </w:rPr>
                <w:t xml:space="preserve">165</w:t>
              </w:r>
            </w:hyperlink>
            <w:r>
              <w:rPr>
                <w:vertAlign w:val="superscript"/>
              </w:rPr>
              <w:t xml:space="preserve">]</w:t>
            </w:r>
          </w:p>
        </w:tc>
      </w:tr>
      <w:tr>
        <w:tc>
          <w:tcPr/>
          <w:p>
            <w:pPr>
              <w:pStyle w:val="Compact"/>
              <w:jc w:val="left"/>
            </w:pPr>
            <w:r>
              <w:t xml:space="preserve">嗅觉</w:t>
            </w:r>
          </w:p>
        </w:tc>
        <w:tc>
          <w:tcPr/>
          <w:p>
            <w:pPr>
              <w:pStyle w:val="Compact"/>
              <w:jc w:val="left"/>
            </w:pPr>
            <w:r>
              <w:t xml:space="preserve">受体及环磷酸腺苷相关级联</w:t>
            </w:r>
          </w:p>
        </w:tc>
        <w:tc>
          <w:tcPr/>
          <w:p>
            <w:pPr>
              <w:pStyle w:val="Compact"/>
              <w:jc w:val="left"/>
            </w:pPr>
            <w:r>
              <w:t xml:space="preserve">感觉神经元直接产生轴突输出并形成组合活动</w:t>
            </w:r>
            <w:r>
              <w:rPr>
                <w:vertAlign w:val="superscript"/>
              </w:rPr>
              <w:t xml:space="preserve">[</w:t>
            </w:r>
            <w:hyperlink w:anchor="ref-32">
              <w:r>
                <w:rPr>
                  <w:rStyle w:val="Hyperlink"/>
                  <w:vertAlign w:val="superscript"/>
                </w:rPr>
                <w:t xml:space="preserve">32</w:t>
              </w:r>
            </w:hyperlink>
            <w:r>
              <w:rPr>
                <w:vertAlign w:val="superscript"/>
              </w:rPr>
              <w:t xml:space="preserve">,</w:t>
            </w:r>
            <w:hyperlink w:anchor="ref-33">
              <w:r>
                <w:rPr>
                  <w:rStyle w:val="Hyperlink"/>
                  <w:vertAlign w:val="superscript"/>
                </w:rPr>
                <w:t xml:space="preserve">33</w:t>
              </w:r>
            </w:hyperlink>
            <w:r>
              <w:rPr>
                <w:vertAlign w:val="superscript"/>
              </w:rPr>
              <w:t xml:space="preserve">,</w:t>
            </w:r>
            <w:hyperlink w:anchor="ref-171">
              <w:r>
                <w:rPr>
                  <w:rStyle w:val="Hyperlink"/>
                  <w:vertAlign w:val="superscript"/>
                </w:rPr>
                <w:t xml:space="preserve">171</w:t>
              </w:r>
            </w:hyperlink>
            <w:r>
              <w:rPr>
                <w:vertAlign w:val="superscript"/>
              </w:rPr>
              <w:t xml:space="preserve">]</w:t>
            </w:r>
          </w:p>
        </w:tc>
      </w:tr>
      <w:tr>
        <w:tc>
          <w:tcPr/>
          <w:p>
            <w:pPr>
              <w:pStyle w:val="Compact"/>
              <w:jc w:val="left"/>
            </w:pPr>
            <w:r>
              <w:t xml:space="preserve">味觉</w:t>
            </w:r>
          </w:p>
        </w:tc>
        <w:tc>
          <w:tcPr/>
          <w:p>
            <w:pPr>
              <w:pStyle w:val="Compact"/>
              <w:jc w:val="left"/>
            </w:pPr>
            <w:r>
              <w:t xml:space="preserve">不同味质使用GPCR或离子通道等途径</w:t>
            </w:r>
          </w:p>
        </w:tc>
        <w:tc>
          <w:tcPr/>
          <w:p>
            <w:pPr>
              <w:pStyle w:val="Compact"/>
              <w:jc w:val="left"/>
            </w:pPr>
            <w:r>
              <w:t xml:space="preserve">多类味蕾细胞通过不同输出机制联系传入纤维</w:t>
            </w:r>
            <w:r>
              <w:rPr>
                <w:vertAlign w:val="superscript"/>
              </w:rPr>
              <w:t xml:space="preserve">[</w:t>
            </w:r>
            <w:hyperlink w:anchor="ref-157">
              <w:r>
                <w:rPr>
                  <w:rStyle w:val="Hyperlink"/>
                  <w:vertAlign w:val="superscript"/>
                </w:rPr>
                <w:t xml:space="preserve">157</w:t>
              </w:r>
            </w:hyperlink>
            <w:r>
              <w:rPr>
                <w:vertAlign w:val="superscript"/>
              </w:rPr>
              <w:t xml:space="preserve">,</w:t>
            </w:r>
            <w:hyperlink w:anchor="ref-172">
              <w:r>
                <w:rPr>
                  <w:rStyle w:val="Hyperlink"/>
                  <w:vertAlign w:val="superscript"/>
                </w:rPr>
                <w:t xml:space="preserve">172</w:t>
              </w:r>
            </w:hyperlink>
            <w:r>
              <w:rPr>
                <w:vertAlign w:val="superscript"/>
              </w:rPr>
              <w:t xml:space="preserve">,</w:t>
            </w:r>
            <w:hyperlink w:anchor="ref-174">
              <w:r>
                <w:rPr>
                  <w:rStyle w:val="Hyperlink"/>
                  <w:vertAlign w:val="superscript"/>
                </w:rPr>
                <w:t xml:space="preserve">174</w:t>
              </w:r>
            </w:hyperlink>
            <w:r>
              <w:rPr>
                <w:vertAlign w:val="superscript"/>
              </w:rPr>
              <w:t xml:space="preserve">]</w:t>
            </w:r>
          </w:p>
        </w:tc>
      </w:tr>
    </w:tbl>
    <w:bookmarkEnd w:id="301"/>
    <w:bookmarkStart w:id="302" w:name="sec-15-8"/>
    <w:p>
      <w:pPr>
        <w:pStyle w:val="Heading3"/>
      </w:pPr>
      <w:r>
        <w:t xml:space="preserve">15.8　主动采样使感觉与行动形成连续回路</w:t>
      </w:r>
    </w:p>
    <w:p>
      <w:pPr>
        <w:pStyle w:val="FirstParagraph"/>
      </w:pPr>
      <w:r>
        <w:t xml:space="preserve">眼动改变光图像落在视网膜的位置，头部运动改变双耳与前庭输入，手指移动把纹理转为振动，吸气改变气味分子到达过程，咀嚼和吞咽改变味觉及鼻后嗅觉。每种行为都能改变下一时刻被测量的对象。感觉系统因此具有两种相互依赖的任务：解释已经到来的信号，以及通过行动取得更有区分力的新信号。</w:t>
      </w:r>
    </w:p>
    <w:p>
      <w:pPr>
        <w:pStyle w:val="BodyText"/>
      </w:pPr>
      <w:r>
        <w:t xml:space="preserve">一个原创教学例子是辨别两种表面材料。单次静止触碰可能让它们产生相近压力信号；沿表面轻移手指后，两者的振动与摩擦时间过程可能不同。此时行为改善了输入的可辨别程度。学习可以改变触摸速度和施力，也可以改变中枢读取方式。观察到训练后表现提高时，这两部分需要共同考虑。</w:t>
      </w:r>
    </w:p>
    <w:p>
      <w:pPr>
        <w:pStyle w:val="BodyText"/>
      </w:pPr>
      <w:r>
        <w:t xml:space="preserve">本章涉及的分子转导、空间通路和回路机制总体具有较高可信度；具体细胞在自然行为中的功能权重、各通道在不同物种中的完整贡献及主观体验的形成仍具有不同程度的不确定性。量化编码效率、群体相关和下游读取的理论问题可结合神经编码与群体动态章节学习。学习感觉系统时，持续追问刺激、受体、细胞、通路和行为之间每一个转换环节，能够避免把复杂知觉压缩为一个脑区或一个分子标签。</w:t>
      </w:r>
    </w:p>
    <w:bookmarkEnd w:id="302"/>
    <w:bookmarkEnd w:id="303"/>
    <w:bookmarkStart w:id="314" w:name="ch-16"/>
    <w:p>
      <w:pPr>
        <w:pStyle w:val="Heading2"/>
      </w:pPr>
      <w:r>
        <w:t xml:space="preserve">第16章　从运动单位到全脑运动回路</w:t>
      </w:r>
    </w:p>
    <w:bookmarkStart w:id="304" w:name="sec-16-1"/>
    <w:p>
      <w:pPr>
        <w:pStyle w:val="Heading3"/>
      </w:pPr>
      <w:r>
        <w:t xml:space="preserve">16.1　运动控制必须同时满足力学与行为约束</w:t>
      </w:r>
    </w:p>
    <w:p>
      <w:pPr>
        <w:pStyle w:val="FirstParagraph"/>
      </w:pPr>
      <w:r>
        <w:t xml:space="preserve">完成一次伸手需要选择目标、估计手和目标的位置、调节多个关节、维持躯干平衡，并根据接触和视觉反馈修正动作。目标在外部空间中定义，运动神经元却通过肌肉产生力。中间必须处理骨骼几何、肌肉长度、惯性、重力、摩擦和反馈延迟。神经系统的运动功能因此跨越许多层级，任何单一脑区都只能提供其中一部分条件</w:t>
      </w:r>
      <w:r>
        <w:rPr>
          <w:vertAlign w:val="superscript"/>
        </w:rPr>
        <w:t xml:space="preserve">[</w:t>
      </w:r>
      <w:hyperlink w:anchor="ref-34">
        <w:r>
          <w:rPr>
            <w:rStyle w:val="Hyperlink"/>
            <w:vertAlign w:val="superscript"/>
          </w:rPr>
          <w:t xml:space="preserve">34</w:t>
        </w:r>
      </w:hyperlink>
      <w:r>
        <w:rPr>
          <w:vertAlign w:val="superscript"/>
        </w:rPr>
        <w:t xml:space="preserve">]</w:t>
      </w:r>
      <w:r>
        <w:t xml:space="preserve">。</w:t>
      </w:r>
    </w:p>
    <w:p>
      <w:pPr>
        <w:pStyle w:val="BodyText"/>
      </w:pPr>
      <w:r>
        <w:t xml:space="preserve">同一手部终点可以由多种肩肘姿势实现，同一关节力矩也可以来自不同肌肉组合。运动系统面对的是有多个可行解的控制问题。身体的机械性质有时能帮助稳定动作，有时会放大错误。讨论某神经元编码方向或速度时，需要说明这些变量是在眼、头、身体、关节还是外部空间坐标中定义。不同坐标下的同一次动作可以呈现不同规律。</w:t>
      </w:r>
    </w:p>
    <w:p>
      <w:pPr>
        <w:pStyle w:val="BodyText"/>
      </w:pPr>
      <w:r>
        <w:t xml:space="preserve">动作还具有不同目标。把物体快速推开、平稳端起和保持不动，需要不同的误差容许范围。控制系统可以允许对任务影响小的变化，同时严格限制影响目标的变化。最优反馈控制理论为这一现象提供了形式化解释；其价值在于提出可检验的行为关系。该理论的成功拟合不能单独证明脑内使用了某个精确优化算法</w:t>
      </w:r>
      <w:r>
        <w:rPr>
          <w:vertAlign w:val="superscript"/>
        </w:rPr>
        <w:t xml:space="preserve">[</w:t>
      </w:r>
      <w:hyperlink w:anchor="ref-176">
        <w:r>
          <w:rPr>
            <w:rStyle w:val="Hyperlink"/>
            <w:vertAlign w:val="superscript"/>
          </w:rPr>
          <w:t xml:space="preserve">176</w:t>
        </w:r>
      </w:hyperlink>
      <w:r>
        <w:rPr>
          <w:vertAlign w:val="superscript"/>
        </w:rPr>
        <w:t xml:space="preserve">]</w:t>
      </w:r>
      <w:r>
        <w:t xml:space="preserve">。</w:t>
      </w:r>
    </w:p>
    <w:bookmarkEnd w:id="304"/>
    <w:bookmarkStart w:id="305" w:name="sec-16-2"/>
    <w:p>
      <w:pPr>
        <w:pStyle w:val="Heading3"/>
      </w:pPr>
      <w:r>
        <w:t xml:space="preserve">16.2　运动单位把神经放电转为肌肉力</w:t>
      </w:r>
    </w:p>
    <w:p>
      <w:pPr>
        <w:pStyle w:val="Heading4"/>
      </w:pPr>
      <w:r>
        <w:t xml:space="preserve">一个运动神经元可以募集多条肌纤维</w:t>
      </w:r>
    </w:p>
    <w:p>
      <w:pPr>
        <w:pStyle w:val="FirstParagraph"/>
      </w:pPr>
      <w:r>
        <w:t xml:space="preserve">一个α运动神经元与其支配的骨骼肌纤维组成运动单位。运动轴突在肌肉内分支，神经肌肉接头把电信号转换为肌纤维膜兴奋，随后通过兴奋收缩耦联改变细胞内钙和肌丝相互作用。肌肉产生的力还取决于长度、缩短速度、收缩历史和疲劳状态。因此，同样的运动神经元放电并不保证在所有身体姿势中产生相同外部运动</w:t>
      </w:r>
      <w:r>
        <w:rPr>
          <w:vertAlign w:val="superscript"/>
        </w:rPr>
        <w:t xml:space="preserve">[</w:t>
      </w:r>
      <w:hyperlink w:anchor="ref-177">
        <w:r>
          <w:rPr>
            <w:rStyle w:val="Hyperlink"/>
            <w:vertAlign w:val="superscript"/>
          </w:rPr>
          <w:t xml:space="preserve">177</w:t>
        </w:r>
      </w:hyperlink>
      <w:r>
        <w:rPr>
          <w:vertAlign w:val="superscript"/>
        </w:rPr>
        <w:t xml:space="preserve">]</w:t>
      </w:r>
      <w:r>
        <w:t xml:space="preserve">。</w:t>
      </w:r>
    </w:p>
    <w:p>
      <w:pPr>
        <w:pStyle w:val="BodyText"/>
      </w:pPr>
      <w:r>
        <w:t xml:space="preserve">力的调节包含两个基本维度：募集更多运动单位，以及改变已经活动的单位的放电模式。较高放电频率可使单次收缩之间的机械效应重叠，但输出受到肌肉特性与疲劳限制。表面肌电反映许多运动单位电活动的混合，电极位置、皮下组织和运动单位同步等都会改变波形；肌电幅度不能在所有条件下都直接等同于肌肉力</w:t>
      </w:r>
      <w:r>
        <w:rPr>
          <w:vertAlign w:val="superscript"/>
        </w:rPr>
        <w:t xml:space="preserve">[</w:t>
      </w:r>
      <w:hyperlink w:anchor="ref-178">
        <w:r>
          <w:rPr>
            <w:rStyle w:val="Hyperlink"/>
            <w:vertAlign w:val="superscript"/>
          </w:rPr>
          <w:t xml:space="preserve">178</w:t>
        </w:r>
      </w:hyperlink>
      <w:r>
        <w:rPr>
          <w:vertAlign w:val="superscript"/>
        </w:rPr>
        <w:t xml:space="preserve">]</w:t>
      </w:r>
      <w:r>
        <w:t xml:space="preserve">。</w:t>
      </w:r>
    </w:p>
    <w:p>
      <w:pPr>
        <w:pStyle w:val="Heading4"/>
      </w:pPr>
      <w:r>
        <w:t xml:space="preserve">大小原则连接膜性质与募集顺序</w:t>
      </w:r>
    </w:p>
    <w:p>
      <w:pPr>
        <w:pStyle w:val="FirstParagraph"/>
      </w:pPr>
      <w:r>
        <w:t xml:space="preserve">经典大小原则描述，在一定共同输入条件下，较小、输入电阻较高的运动神经元通常较早达到放电条件。随着驱动增加，更多较大运动单位被募集。细胞大小、轴突和肌纤维特性之间的关系，使这一顺序有助于覆盖从较小到较大输出的需求</w:t>
      </w:r>
      <w:r>
        <w:rPr>
          <w:vertAlign w:val="superscript"/>
        </w:rPr>
        <w:t xml:space="preserve">[</w:t>
      </w:r>
      <w:hyperlink w:anchor="ref-179">
        <w:r>
          <w:rPr>
            <w:rStyle w:val="Hyperlink"/>
            <w:vertAlign w:val="superscript"/>
          </w:rPr>
          <w:t xml:space="preserve">179</w:t>
        </w:r>
      </w:hyperlink>
      <w:r>
        <w:rPr>
          <w:vertAlign w:val="superscript"/>
        </w:rPr>
        <w:t xml:space="preserve">]</w:t>
      </w:r>
      <w:r>
        <w:t xml:space="preserve">。</w:t>
      </w:r>
    </w:p>
    <w:p>
      <w:pPr>
        <w:pStyle w:val="BodyText"/>
      </w:pPr>
      <w:r>
        <w:t xml:space="preserve">可用一个被动膜近似理解其部分基础：相同输入电流经过较高输入电阻时产生较大的电压变化，因而更容易到达阈值。真实神经元还存在树突电流、神经调质和不均匀突触分布；若输入选择性地作用于不同细胞，简单共同输入假设就会改变。大小原则具有明确的生理基础和使用范围，不能写成每个运动情境中绝无例外的排序律。</w:t>
      </w:r>
    </w:p>
    <w:p>
      <w:pPr>
        <w:pStyle w:val="BodyText"/>
      </w:pPr>
      <w:r>
        <w:t xml:space="preserve">拮抗肌共同收缩也具有控制意义。两组肌肉产生相反力矩时，净力矩可以很小，但关节对扰动的机械抵抗可能提高。这种策略需要能量，并可能降低动作灵活性。抓住易碎物体、接住未知重量物体和做自由摆动动作时，合适的共同收缩程度可以不同。由净位移很小推断神经驱动很小，常会遗漏这一因素。</w:t>
      </w:r>
    </w:p>
    <w:bookmarkEnd w:id="305"/>
    <w:bookmarkStart w:id="306" w:name="sec-16-3"/>
    <w:p>
      <w:pPr>
        <w:pStyle w:val="Heading3"/>
      </w:pPr>
      <w:r>
        <w:t xml:space="preserve">16.3　脊髓回路参与反射、协调和节律组织</w:t>
      </w:r>
    </w:p>
    <w:p>
      <w:pPr>
        <w:pStyle w:val="Heading4"/>
      </w:pPr>
      <w:r>
        <w:t xml:space="preserve">反射增益受到任务和状态调节</w:t>
      </w:r>
    </w:p>
    <w:p>
      <w:pPr>
        <w:pStyle w:val="FirstParagraph"/>
      </w:pPr>
      <w:r>
        <w:t xml:space="preserve">肌梭传入可通过脊髓连接影响同名肌运动神经元，并经中间神经元影响其他肌群。感觉输入同时向脑干、小脑和大脑传递，局部反馈与较长回路反馈可共同参与调节。一个反射的潜伏期、增益和肌肉组合取决于传入类型、突触链、背景活动和任务状态</w:t>
      </w:r>
      <w:r>
        <w:rPr>
          <w:vertAlign w:val="superscript"/>
        </w:rPr>
        <w:t xml:space="preserve">[</w:t>
      </w:r>
      <w:hyperlink w:anchor="ref-9">
        <w:r>
          <w:rPr>
            <w:rStyle w:val="Hyperlink"/>
            <w:vertAlign w:val="superscript"/>
          </w:rPr>
          <w:t xml:space="preserve">9</w:t>
        </w:r>
      </w:hyperlink>
      <w:r>
        <w:rPr>
          <w:vertAlign w:val="superscript"/>
        </w:rPr>
        <w:t xml:space="preserve">,</w:t>
      </w:r>
      <w:hyperlink w:anchor="ref-180">
        <w:r>
          <w:rPr>
            <w:rStyle w:val="Hyperlink"/>
            <w:vertAlign w:val="superscript"/>
          </w:rPr>
          <w:t xml:space="preserve">180</w:t>
        </w:r>
      </w:hyperlink>
      <w:r>
        <w:rPr>
          <w:vertAlign w:val="superscript"/>
        </w:rPr>
        <w:t xml:space="preserve">]</w:t>
      </w:r>
      <w:r>
        <w:t xml:space="preserve">。</w:t>
      </w:r>
    </w:p>
    <w:p>
      <w:pPr>
        <w:pStyle w:val="BodyText"/>
      </w:pPr>
      <w:r>
        <w:t xml:space="preserve">伸展反射可以帮助抵抗突然的长度变化，但过大的反馈增益与传递延迟结合时可能造成过度修正。可以设想一个教学装置：控制器发现手臂偏离目标后施加反向力，若校正始终滞后且力度过大，手臂会在目标两侧反复摆动。真实运动系统通过预测、机械阻尼、增益调节和多时间尺度反馈减轻这一问题。这个控制推导说明，反射越强并不必然带来更稳定动作。</w:t>
      </w:r>
    </w:p>
    <w:p>
      <w:pPr>
        <w:pStyle w:val="BodyText"/>
      </w:pPr>
      <w:r>
        <w:t xml:space="preserve">脊髓抑制包括对运动神经元及中间神经元的突触作用，也包括调节感觉末梢传递的机制。下行输入可以改变哪些感觉信号在某个动作阶段具有较大影响。行走摆动期与支撑期面对相同皮肤刺激时，需要的动作方向可能不同。反射因此可以随状态重新组织，其功能应结合完整行为阶段解释。</w:t>
      </w:r>
    </w:p>
    <w:p>
      <w:pPr>
        <w:pStyle w:val="Heading4"/>
      </w:pPr>
      <w:r>
        <w:t xml:space="preserve">节律生成与肌肉模式生成需要区分</w:t>
      </w:r>
    </w:p>
    <w:p>
      <w:pPr>
        <w:pStyle w:val="FirstParagraph"/>
      </w:pPr>
      <w:r>
        <w:t xml:space="preserve">脊髓局部网络在合适条件下能够产生节律性活动。中央模式发生器概念用于描述这类内部生成结构化输出的回路能力。节律的周期、左右交替、屈伸配合和不同肌群的活动幅度涉及相互关联的机制。动物研究支持不同分子定义的神经元群在这些维度中具有差异化作用，网络还会随速度和步态重新配置</w:t>
      </w:r>
      <w:r>
        <w:rPr>
          <w:vertAlign w:val="superscript"/>
        </w:rPr>
        <w:t xml:space="preserve">[</w:t>
      </w:r>
      <w:hyperlink w:anchor="ref-35">
        <w:r>
          <w:rPr>
            <w:rStyle w:val="Hyperlink"/>
            <w:vertAlign w:val="superscript"/>
          </w:rPr>
          <w:t xml:space="preserve">35</w:t>
        </w:r>
      </w:hyperlink>
      <w:r>
        <w:rPr>
          <w:vertAlign w:val="superscript"/>
        </w:rPr>
        <w:t xml:space="preserve">]</w:t>
      </w:r>
      <w:r>
        <w:t xml:space="preserve">。</w:t>
      </w:r>
    </w:p>
    <w:p>
      <w:pPr>
        <w:pStyle w:val="BodyText"/>
      </w:pPr>
      <w:r>
        <w:t xml:space="preserve">离体脊髓或去除部分上位输入后观察到节律，并不意味着自然行走完全由一个自主振荡器完成。实际步行仍持续利用负重、足底接触、肌肉长度和身体倾斜的信息。感觉反馈可以重置节律相位，改变支撑与摆动转换，并帮助适应障碍物。环境提供的输入与内部节律共同决定最终步态。</w:t>
      </w:r>
    </w:p>
    <w:p>
      <w:pPr>
        <w:pStyle w:val="BodyText"/>
      </w:pPr>
      <w:r>
        <w:t xml:space="preserve">物种差异也很重要。游泳动物的躯干交替、四足动物的肢体协调和人类双足行走具有不同的机械约束。某类发育谱系在多物种中保守，为比较提供了线索；具体细胞数量、连接和行为作用仍需分别验证。将小鼠的某个标记直接解释为人类步态的唯一发生器，证据不足。</w:t>
      </w:r>
    </w:p>
    <w:bookmarkEnd w:id="306"/>
    <w:bookmarkStart w:id="307" w:name="sec-16-4"/>
    <w:p>
      <w:pPr>
        <w:pStyle w:val="Heading3"/>
      </w:pPr>
      <w:r>
        <w:t xml:space="preserve">16.4　脑干下行系统组织姿势与全身行为</w:t>
      </w:r>
    </w:p>
    <w:p>
      <w:pPr>
        <w:pStyle w:val="FirstParagraph"/>
      </w:pPr>
      <w:r>
        <w:t xml:space="preserve">脑干下行通路连接前庭、网状结构及其他区域与脊髓网络，参与平衡、姿势、头眼协调和移动。许多身体动作要求在局部肢体运动之前或同时调整其他部位。抬起一只手改变身体重心，迈步改变支撑面，转头也影响视觉与前庭输入。脑干及脊髓网络能够把这些要求转换成协调的肌群活动</w:t>
      </w:r>
      <w:r>
        <w:rPr>
          <w:vertAlign w:val="superscript"/>
        </w:rPr>
        <w:t xml:space="preserve">[</w:t>
      </w:r>
      <w:hyperlink w:anchor="ref-10">
        <w:r>
          <w:rPr>
            <w:rStyle w:val="Hyperlink"/>
            <w:vertAlign w:val="superscript"/>
          </w:rPr>
          <w:t xml:space="preserve">10</w:t>
        </w:r>
      </w:hyperlink>
      <w:r>
        <w:rPr>
          <w:vertAlign w:val="superscript"/>
        </w:rPr>
        <w:t xml:space="preserve">,</w:t>
      </w:r>
      <w:hyperlink w:anchor="ref-34">
        <w:r>
          <w:rPr>
            <w:rStyle w:val="Hyperlink"/>
            <w:vertAlign w:val="superscript"/>
          </w:rPr>
          <w:t xml:space="preserve">34</w:t>
        </w:r>
      </w:hyperlink>
      <w:r>
        <w:rPr>
          <w:vertAlign w:val="superscript"/>
        </w:rPr>
        <w:t xml:space="preserve">,</w:t>
      </w:r>
      <w:hyperlink w:anchor="ref-165">
        <w:r>
          <w:rPr>
            <w:rStyle w:val="Hyperlink"/>
            <w:vertAlign w:val="superscript"/>
          </w:rPr>
          <w:t xml:space="preserve">165</w:t>
        </w:r>
      </w:hyperlink>
      <w:r>
        <w:rPr>
          <w:vertAlign w:val="superscript"/>
        </w:rPr>
        <w:t xml:space="preserve">]</w:t>
      </w:r>
      <w:r>
        <w:t xml:space="preserve">。</w:t>
      </w:r>
    </w:p>
    <w:p>
      <w:pPr>
        <w:pStyle w:val="BodyText"/>
      </w:pPr>
      <w:r>
        <w:t xml:space="preserve">细胞类型研究显示，同一个传统脑干区域内可以交织促进运动与抑制运动的不同神经元群。小鼠尾侧脑干中，部分谷氨酸能群与高速移动有关，邻近抑制性群可引起不同形式的行为停止。这个结果支持将位置、递质和连接共同用于定义回路，单一粗略区域名称可能掩盖相反功能</w:t>
      </w:r>
      <w:r>
        <w:rPr>
          <w:vertAlign w:val="superscript"/>
        </w:rPr>
        <w:t xml:space="preserve">[</w:t>
      </w:r>
      <w:hyperlink w:anchor="ref-181">
        <w:r>
          <w:rPr>
            <w:rStyle w:val="Hyperlink"/>
            <w:vertAlign w:val="superscript"/>
          </w:rPr>
          <w:t xml:space="preserve">181</w:t>
        </w:r>
      </w:hyperlink>
      <w:r>
        <w:rPr>
          <w:vertAlign w:val="superscript"/>
        </w:rPr>
        <w:t xml:space="preserve">]</w:t>
      </w:r>
      <w:r>
        <w:t xml:space="preserve">。</w:t>
      </w:r>
    </w:p>
    <w:p>
      <w:pPr>
        <w:pStyle w:val="BodyText"/>
      </w:pPr>
      <w:r>
        <w:t xml:space="preserve">中脑相关核团的兴奋性细胞群也可差异化影响移动速度和步态。特定小鼠实验把不同细胞群与探索和逃避相关运动模式联系起来，其意义在于展示行为模式的细胞通路组织。把这些群直接称为人类的探索按钮或逃跑按钮，会超出证据范围；自然行为还由感觉、动机和身体条件共同决定</w:t>
      </w:r>
      <w:r>
        <w:rPr>
          <w:vertAlign w:val="superscript"/>
        </w:rPr>
        <w:t xml:space="preserve">[</w:t>
      </w:r>
      <w:hyperlink w:anchor="ref-182">
        <w:r>
          <w:rPr>
            <w:rStyle w:val="Hyperlink"/>
            <w:vertAlign w:val="superscript"/>
          </w:rPr>
          <w:t xml:space="preserve">182</w:t>
        </w:r>
      </w:hyperlink>
      <w:r>
        <w:rPr>
          <w:vertAlign w:val="superscript"/>
        </w:rPr>
        <w:t xml:space="preserve">]</w:t>
      </w:r>
      <w:r>
        <w:t xml:space="preserve">。</w:t>
      </w:r>
    </w:p>
    <w:p>
      <w:pPr>
        <w:pStyle w:val="BodyText"/>
      </w:pPr>
      <w:r>
        <w:t xml:space="preserve">停止行为同样具有不同形式：主动站稳、突然冻结、结束一段动作和停止某个肢体运动，对肌肉和姿势的要求各异。统一用一个运动减少指标描述它们，可能把不同控制过程混在一起。回路干预后需观察姿态、步态、速度、肌电和外界反应，才能解释某种活动降低意味着什么。</w:t>
      </w:r>
    </w:p>
    <w:bookmarkEnd w:id="307"/>
    <w:bookmarkStart w:id="308" w:name="sec-16-5"/>
    <w:p>
      <w:pPr>
        <w:pStyle w:val="Heading3"/>
      </w:pPr>
      <w:r>
        <w:t xml:space="preserve">16.5　运动皮层通过多种投射影响动作</w:t>
      </w:r>
    </w:p>
    <w:p>
      <w:pPr>
        <w:pStyle w:val="FirstParagraph"/>
      </w:pPr>
      <w:r>
        <w:t xml:space="preserve">初级运动皮层、运动前区和辅助运动相关区域与顶叶、感觉皮层、丘脑及其他结构存在广泛连接。皮质脊髓束起源于多个皮层区域，并通过直接或间接连接影响脊髓活动。不同物种中皮层到运动神经元的直接连接程度不同，灵长类精细手指控制中相应连接尤其重要。皮层的动作贡献不能完全由某张简化身体地图概括</w:t>
      </w:r>
      <w:r>
        <w:rPr>
          <w:vertAlign w:val="superscript"/>
        </w:rPr>
        <w:t xml:space="preserve">[</w:t>
      </w:r>
      <w:hyperlink w:anchor="ref-10">
        <w:r>
          <w:rPr>
            <w:rStyle w:val="Hyperlink"/>
            <w:vertAlign w:val="superscript"/>
          </w:rPr>
          <w:t xml:space="preserve">10</w:t>
        </w:r>
      </w:hyperlink>
      <w:r>
        <w:rPr>
          <w:vertAlign w:val="superscript"/>
        </w:rPr>
        <w:t xml:space="preserve">]</w:t>
      </w:r>
      <w:r>
        <w:t xml:space="preserve">。</w:t>
      </w:r>
    </w:p>
    <w:p>
      <w:pPr>
        <w:pStyle w:val="BodyText"/>
      </w:pPr>
      <w:r>
        <w:t xml:space="preserve">局部电刺激引起某个身体部位运动，可以证明该区域的活动有机会通过现有网络影响该部位。刺激会募集细胞体和轴突，范围随参数改变。记录中一个神经元与手部方向相关，也可能同时受姿势、力、视觉反馈和目标影响。两类证据分别提供可影响性与自然活动关联，结合起来才能更精确地解释该细胞的功能。</w:t>
      </w:r>
    </w:p>
    <w:p>
      <w:pPr>
        <w:pStyle w:val="BodyText"/>
      </w:pPr>
      <w:r>
        <w:t xml:space="preserve">运动皮层内部和下游具有多种投射细胞类型。通往脑干、纹状体、脊髓和另一侧皮层的细胞可以接收不同输入，并在不同阶段参与。对整个区域求平均可能把准备、执行、纠正和感觉反馈成分叠在一起。更精细的解释需要区分细胞投射与行为时间，也需要测量动作本身。</w:t>
      </w:r>
    </w:p>
    <w:p>
      <w:pPr>
        <w:pStyle w:val="BodyText"/>
      </w:pPr>
      <w:r>
        <w:t xml:space="preserve">以拿杯子为教学情景，杯子位置改变要求重新确定伸手方向，杯子重量改变要求调整力，杯壁湿滑要求调整抓握，目标由饮用改成放回又改变动作序列。即使手的初始轨迹相近，后续控制需求可以完全不同。由一个外显动作标签推断一组固定不变的皮层指令，会遗漏这些内部变量。</w:t>
      </w:r>
    </w:p>
    <w:bookmarkEnd w:id="308"/>
    <w:bookmarkStart w:id="309" w:name="sec-16-6"/>
    <w:p>
      <w:pPr>
        <w:pStyle w:val="Heading3"/>
      </w:pPr>
      <w:r>
        <w:t xml:space="preserve">16.6　基底节通过抑制性输出调节行动通道</w:t>
      </w:r>
    </w:p>
    <w:p>
      <w:pPr>
        <w:pStyle w:val="Heading4"/>
      </w:pPr>
      <w:r>
        <w:t xml:space="preserve">直接、间接和超直接通路构成基本的连接结构</w:t>
      </w:r>
    </w:p>
    <w:p>
      <w:pPr>
        <w:pStyle w:val="FirstParagraph"/>
      </w:pPr>
      <w:r>
        <w:t xml:space="preserve">纹状体接受来自皮层和丘脑等处的兴奋性输入，主要投射神经元以抑制性递质影响基底节其他核团。经典直接通路使纹状体可以抑制内侧苍白球或黑质网状部等输出结构；间接通路经外侧苍白球、丘脑底核等环节影响输出；皮层到丘脑底核的超直接路径提供另一条进入回路的路线。该连接图有助于追踪抑制和去抑制的符号</w:t>
      </w:r>
      <w:r>
        <w:rPr>
          <w:vertAlign w:val="superscript"/>
        </w:rPr>
        <w:t xml:space="preserve">[</w:t>
      </w:r>
      <w:hyperlink w:anchor="ref-183">
        <w:r>
          <w:rPr>
            <w:rStyle w:val="Hyperlink"/>
            <w:vertAlign w:val="superscript"/>
          </w:rPr>
          <w:t xml:space="preserve">183</w:t>
        </w:r>
      </w:hyperlink>
      <w:r>
        <w:rPr>
          <w:vertAlign w:val="superscript"/>
        </w:rPr>
        <w:t xml:space="preserve">]</w:t>
      </w:r>
      <w:r>
        <w:t xml:space="preserve">。</w:t>
      </w:r>
    </w:p>
    <w:p>
      <w:pPr>
        <w:pStyle w:val="BodyText"/>
      </w:pPr>
      <w:r>
        <w:t xml:space="preserve">输出结构对丘脑及脑干目标具有持续的抑制性影响。若某组输出神经元的活动下降，相应目标受到的抑制可减弱，已有的其他兴奋性输入便更容易产生作用。这一逻辑说明，去抑制的效果取决于目标当时的其他输入。仅减小一条抑制通路，在没有足够驱动的目标上未必产生明显运动。</w:t>
      </w:r>
    </w:p>
    <w:p>
      <w:pPr>
        <w:pStyle w:val="BodyText"/>
      </w:pPr>
      <w:r>
        <w:t xml:space="preserve">把一条链上抑制连接的符号相乘，是理解最简回路的起点；真实网络还包含并行支路、轴突侧支、突触动力学、局部抑制和反馈。通路对不同动作通道的选择性也很关键。一个动作被促进的同时，竞争动作可能被限制。总活动量相近的两个时刻，具体被作用的通道可以不同。</w:t>
      </w:r>
    </w:p>
    <w:p>
      <w:pPr>
        <w:pStyle w:val="Heading4"/>
      </w:pPr>
      <w:r>
        <w:t xml:space="preserve">自然活动与强制同步激活回答不同问题</w:t>
      </w:r>
    </w:p>
    <w:p>
      <w:pPr>
        <w:pStyle w:val="FirstParagraph"/>
      </w:pPr>
      <w:r>
        <w:t xml:space="preserve">光遗传实验显示，大范围激活不同纹状体通路可产生相反方向的运动效应；另有小鼠群体钙记录发现，直接和间接通路在动作开始前都可增强活动。两类发现可以同时成立：强制输入改变回路的净输出，自然行为则使用经过选择、具有时序结构的细胞群</w:t>
      </w:r>
      <w:r>
        <w:rPr>
          <w:vertAlign w:val="superscript"/>
        </w:rPr>
        <w:t xml:space="preserve">[</w:t>
      </w:r>
      <w:hyperlink w:anchor="ref-183">
        <w:r>
          <w:rPr>
            <w:rStyle w:val="Hyperlink"/>
            <w:vertAlign w:val="superscript"/>
          </w:rPr>
          <w:t xml:space="preserve">183</w:t>
        </w:r>
      </w:hyperlink>
      <w:r>
        <w:rPr>
          <w:vertAlign w:val="superscript"/>
        </w:rPr>
        <w:t xml:space="preserve">,</w:t>
      </w:r>
      <w:hyperlink w:anchor="ref-184">
        <w:r>
          <w:rPr>
            <w:rStyle w:val="Hyperlink"/>
            <w:vertAlign w:val="superscript"/>
          </w:rPr>
          <w:t xml:space="preserve">184</w:t>
        </w:r>
      </w:hyperlink>
      <w:r>
        <w:rPr>
          <w:vertAlign w:val="superscript"/>
        </w:rPr>
        <w:t xml:space="preserve">]</w:t>
      </w:r>
      <w:r>
        <w:t xml:space="preserve">。</w:t>
      </w:r>
    </w:p>
    <w:p>
      <w:pPr>
        <w:pStyle w:val="BodyText"/>
      </w:pPr>
      <w:r>
        <w:t xml:space="preserve">可用一个明确标注的教学模型帮助理解。假设回路包含三个候选动作通道，行动时一个通道的允许程度提高，另外两个通道的限制增强。对所有直接通路细胞和所有间接通路细胞分别取平均，两个平均量都可能增加。这个模型是可能解释，具体脑区是否以此方式工作仍需细胞分辨记录和因果检验。它足以说明群体同时活跃与选择性控制之间不存在逻辑冲突。</w:t>
      </w:r>
    </w:p>
    <w:p>
      <w:pPr>
        <w:pStyle w:val="BodyText"/>
      </w:pPr>
      <w:r>
        <w:t xml:space="preserve">多巴胺通过不同受体及细胞状态影响纹状体兴奋性、输入整合与可塑性。其作用还依赖时间、释放位置和学习历史。运动迟缓、动作选择、努力投入和强化学习可以受到相关回路影响，但各过程需要分别测量。以一个多巴胺浓度解释所有运动和动机变化，会遗漏受体和连接层面的条件。</w:t>
      </w:r>
    </w:p>
    <w:bookmarkEnd w:id="309"/>
    <w:bookmarkStart w:id="310" w:name="sec-16-7"/>
    <w:p>
      <w:pPr>
        <w:pStyle w:val="Heading3"/>
      </w:pPr>
      <w:r>
        <w:t xml:space="preserve">16.7　小脑将多源输入用于预测、校准和学习</w:t>
      </w:r>
    </w:p>
    <w:p>
      <w:pPr>
        <w:pStyle w:val="Heading4"/>
      </w:pPr>
      <w:r>
        <w:t xml:space="preserve">输入与输出在重复微回路中重新组合</w:t>
      </w:r>
    </w:p>
    <w:p>
      <w:pPr>
        <w:pStyle w:val="FirstParagraph"/>
      </w:pPr>
      <w:r>
        <w:t xml:space="preserve">小脑接收来自脊髓、前庭、脑干和经脑桥传来的皮层相关输入。苔藓纤维影响颗粒细胞，颗粒细胞轴突形成平行纤维，与浦肯野细胞及局部中间神经元建立联系。下橄榄核的攀缘纤维向浦肯野细胞提供另一类强有力输入。浦肯野细胞是小脑皮层唯一的输出神经元，对深部小脑核或相关前庭目标施加抑制</w:t>
      </w:r>
      <w:r>
        <w:rPr>
          <w:vertAlign w:val="superscript"/>
        </w:rPr>
        <w:t xml:space="preserve">[</w:t>
      </w:r>
      <w:hyperlink w:anchor="ref-185">
        <w:r>
          <w:rPr>
            <w:rStyle w:val="Hyperlink"/>
            <w:vertAlign w:val="superscript"/>
          </w:rPr>
          <w:t xml:space="preserve">185</w:t>
        </w:r>
      </w:hyperlink>
      <w:r>
        <w:rPr>
          <w:vertAlign w:val="superscript"/>
        </w:rPr>
        <w:t xml:space="preserve">,</w:t>
      </w:r>
      <w:hyperlink w:anchor="ref-186">
        <w:r>
          <w:rPr>
            <w:rStyle w:val="Hyperlink"/>
            <w:vertAlign w:val="superscript"/>
          </w:rPr>
          <w:t xml:space="preserve">186</w:t>
        </w:r>
      </w:hyperlink>
      <w:r>
        <w:rPr>
          <w:vertAlign w:val="superscript"/>
        </w:rPr>
        <w:t xml:space="preserve">]</w:t>
      </w:r>
      <w:r>
        <w:t xml:space="preserve">。</w:t>
      </w:r>
    </w:p>
    <w:p>
      <w:pPr>
        <w:pStyle w:val="BodyText"/>
      </w:pPr>
      <w:r>
        <w:t xml:space="preserve">小脑核团也接收其他兴奋性输入，因而其输出反映这些驱动与浦肯野细胞抑制的时间组合。小脑输出经丘脑、脑干及其他路线影响皮层和下行控制。小脑与非运动皮层区域也存在回路关系，故小脑功能范围超出肢体协调。各功能需要依连接区域、任务和证据确定，不能把小脑所有神经元都解释成同一种误差计算器</w:t>
      </w:r>
      <w:r>
        <w:rPr>
          <w:vertAlign w:val="superscript"/>
        </w:rPr>
        <w:t xml:space="preserve">[</w:t>
      </w:r>
      <w:hyperlink w:anchor="ref-187">
        <w:r>
          <w:rPr>
            <w:rStyle w:val="Hyperlink"/>
            <w:vertAlign w:val="superscript"/>
          </w:rPr>
          <w:t xml:space="preserve">187</w:t>
        </w:r>
      </w:hyperlink>
      <w:r>
        <w:rPr>
          <w:vertAlign w:val="superscript"/>
        </w:rPr>
        <w:t xml:space="preserve">]</w:t>
      </w:r>
      <w:r>
        <w:t xml:space="preserve">。</w:t>
      </w:r>
    </w:p>
    <w:p>
      <w:pPr>
        <w:pStyle w:val="Heading4"/>
      </w:pPr>
      <w:r>
        <w:t xml:space="preserve">预测可以缓解感觉反馈的延迟</w:t>
      </w:r>
    </w:p>
    <w:p>
      <w:pPr>
        <w:pStyle w:val="FirstParagraph"/>
      </w:pPr>
      <w:r>
        <w:t xml:space="preserve">在快速动作中，某个结果的感觉信号到达中枢时，身体状态已经继续变化。若控制系统保有当前状态估计并利用发出的运动指令预测近期变化，就能在外周反馈到来之前进行部分调整。内部模型概念描述这种关系，不要求模型必须具有显式的数学方程或只位于一个脑区</w:t>
      </w:r>
      <w:r>
        <w:rPr>
          <w:vertAlign w:val="superscript"/>
        </w:rPr>
        <w:t xml:space="preserve">[</w:t>
      </w:r>
      <w:hyperlink w:anchor="ref-188">
        <w:r>
          <w:rPr>
            <w:rStyle w:val="Hyperlink"/>
            <w:vertAlign w:val="superscript"/>
          </w:rPr>
          <w:t xml:space="preserve">188</w:t>
        </w:r>
      </w:hyperlink>
      <w:r>
        <w:rPr>
          <w:vertAlign w:val="superscript"/>
        </w:rPr>
        <w:t xml:space="preserve">]</w:t>
      </w:r>
      <w:r>
        <w:t xml:space="preserve">。</w:t>
      </w:r>
    </w:p>
    <w:p>
      <w:pPr>
        <w:pStyle w:val="BodyText"/>
      </w:pPr>
      <w:r>
        <w:t xml:space="preserve">小鼠研究识别的部分颈段V2a脊髓本体神经元，可通过分支连接参与向小脑相关回路提供内部副本，其干预能扰乱精细伸手。这为运动指令相关信息可以在脊髓层面分流提供了具体证据。所识别回路并不代表所有运动预测的唯一通路，也不能据小鼠结果直接断定人类具有完全相同的行为分工</w:t>
      </w:r>
      <w:r>
        <w:rPr>
          <w:vertAlign w:val="superscript"/>
        </w:rPr>
        <w:t xml:space="preserve">[</w:t>
      </w:r>
      <w:hyperlink w:anchor="ref-189">
        <w:r>
          <w:rPr>
            <w:rStyle w:val="Hyperlink"/>
            <w:vertAlign w:val="superscript"/>
          </w:rPr>
          <w:t xml:space="preserve">189</w:t>
        </w:r>
      </w:hyperlink>
      <w:r>
        <w:rPr>
          <w:vertAlign w:val="superscript"/>
        </w:rPr>
        <w:t xml:space="preserve">]</w:t>
      </w:r>
      <w:r>
        <w:t xml:space="preserve">。</w:t>
      </w:r>
    </w:p>
    <w:p>
      <w:pPr>
        <w:pStyle w:val="BodyText"/>
      </w:pPr>
      <w:r>
        <w:t xml:space="preserve">预测与外周反馈相互校验。若拿起的杯子比预期更重，初始指令可能不足；感觉反馈报告偏差，下一次动作可更新预期。若负荷每次随机变化，系统或许更依赖在线反馈并提高机械稳定性。若负荷长期稳定，预测可变得更有帮助。这里的推导说明训练环境的可预测性会改变最合适的控制策略。</w:t>
      </w:r>
    </w:p>
    <w:p>
      <w:pPr>
        <w:pStyle w:val="Heading4"/>
      </w:pPr>
      <w:r>
        <w:t xml:space="preserve">小脑学习涉及多个位置与时间尺度</w:t>
      </w:r>
    </w:p>
    <w:p>
      <w:pPr>
        <w:pStyle w:val="FirstParagraph"/>
      </w:pPr>
      <w:r>
        <w:t xml:space="preserve">平行纤维到浦肯野细胞的长期可塑性是小脑学习的重要研究对象，攀缘纤维活动可参与教学信号。可塑性还出现在其他突触与细胞兴奋性层面，深部核团和回返回路也参与。教学信号可能包含误差、预测及任务相关变量，其意义随区域和行为变化</w:t>
      </w:r>
      <w:r>
        <w:rPr>
          <w:vertAlign w:val="superscript"/>
        </w:rPr>
        <w:t xml:space="preserve">[</w:t>
      </w:r>
      <w:hyperlink w:anchor="ref-188">
        <w:r>
          <w:rPr>
            <w:rStyle w:val="Hyperlink"/>
            <w:vertAlign w:val="superscript"/>
          </w:rPr>
          <w:t xml:space="preserve">188</w:t>
        </w:r>
      </w:hyperlink>
      <w:r>
        <w:rPr>
          <w:vertAlign w:val="superscript"/>
        </w:rPr>
        <w:t xml:space="preserve">]</w:t>
      </w:r>
      <w:r>
        <w:t xml:space="preserve">。</w:t>
      </w:r>
    </w:p>
    <w:p>
      <w:pPr>
        <w:pStyle w:val="BodyText"/>
      </w:pPr>
      <w:r>
        <w:t xml:space="preserve">短时调整与长期保持需要区分。某次扰动后反应改善，可以来自暂时策略、反馈增益或较持久的回路变化。扰动去除后的后效应、隔日保持和新情景迁移提供不同线索。通过这些行为结构可以提出机制假设，但一个后效应本身仍不能唯一定位到某个突触类型。</w:t>
      </w:r>
    </w:p>
    <w:bookmarkEnd w:id="310"/>
    <w:bookmarkStart w:id="311" w:name="sec-16-8"/>
    <w:p>
      <w:pPr>
        <w:pStyle w:val="Heading3"/>
      </w:pPr>
      <w:r>
        <w:t xml:space="preserve">16.8　一个连续动作可以由多个回路共同完成</w:t>
      </w:r>
    </w:p>
    <w:p>
      <w:pPr>
        <w:pStyle w:val="FirstParagraph"/>
      </w:pPr>
      <w:r>
        <w:t xml:space="preserve">设想伸手抓住正在滑动的物体。视觉系统估计物体轨迹，顶叶和额叶相关回路形成身体与目标的关系，基底节参与行动选择和时机，运动皮层与脑干通路影响脊髓，脊髓和肌肉执行快速输出，小脑相关回路参与预测与校准，触觉和本体感觉持续报告接触与运动。该描述是跨层级教学图景，实际贡献随动作、物种和学习阶段变化</w:t>
      </w:r>
      <w:r>
        <w:rPr>
          <w:vertAlign w:val="superscript"/>
        </w:rPr>
        <w:t xml:space="preserve">[</w:t>
      </w:r>
      <w:hyperlink w:anchor="ref-10">
        <w:r>
          <w:rPr>
            <w:rStyle w:val="Hyperlink"/>
            <w:vertAlign w:val="superscript"/>
          </w:rPr>
          <w:t xml:space="preserve">10</w:t>
        </w:r>
      </w:hyperlink>
      <w:r>
        <w:rPr>
          <w:vertAlign w:val="superscript"/>
        </w:rPr>
        <w:t xml:space="preserve">,</w:t>
      </w:r>
      <w:hyperlink w:anchor="ref-180">
        <w:r>
          <w:rPr>
            <w:rStyle w:val="Hyperlink"/>
            <w:vertAlign w:val="superscript"/>
          </w:rPr>
          <w:t xml:space="preserve">180</w:t>
        </w:r>
      </w:hyperlink>
      <w:r>
        <w:rPr>
          <w:vertAlign w:val="superscript"/>
        </w:rPr>
        <w:t xml:space="preserve">,</w:t>
      </w:r>
      <w:hyperlink w:anchor="ref-188">
        <w:r>
          <w:rPr>
            <w:rStyle w:val="Hyperlink"/>
            <w:vertAlign w:val="superscript"/>
          </w:rPr>
          <w:t xml:space="preserve">188</w:t>
        </w:r>
      </w:hyperlink>
      <w:r>
        <w:rPr>
          <w:vertAlign w:val="superscript"/>
        </w:rPr>
        <w:t xml:space="preserve">]</w:t>
      </w:r>
      <w:r>
        <w:t xml:space="preserve">。</w:t>
      </w:r>
    </w:p>
    <w:p>
      <w:pPr>
        <w:pStyle w:val="BodyText"/>
      </w:pPr>
      <w:r>
        <w:t xml:space="preserve">因此，某次干预使抓取成功率下降时，可能受到视觉定位、身体平衡、动作起始、手指协调、抓握力或反馈修正等不同环节影响。完整行为分解能让回路解释更具体。例如，手能准确到达物体附近但抓握时滑脱，提示需要重点研究接触后的控制；一直无法稳定起步则提出另一组问题。成功率是有用终点，动作分解提供机制约束。</w:t>
      </w:r>
    </w:p>
    <w:p>
      <w:pPr>
        <w:pStyle w:val="BodyText"/>
      </w:pPr>
      <w:r>
        <w:t xml:space="preserve">训练还可使控制的时间组织和回路参与发生改变。初学时更多依赖显式目标与反馈，熟练后可能形成更稳定的序列与预测。熟练也保留适应能力；当物体性质、环境或身体状态变化时，反馈仍可重新进入控制。自动化程度与完全没有感觉参与应保持概念区分。</w:t>
      </w:r>
    </w:p>
    <w:bookmarkEnd w:id="311"/>
    <w:bookmarkStart w:id="313" w:name="sec-16-9"/>
    <w:p>
      <w:pPr>
        <w:pStyle w:val="Heading3"/>
      </w:pPr>
      <w:r>
        <w:t xml:space="preserve">16.9　运动回路的功能范围对照</w:t>
      </w:r>
    </w:p>
    <w:p>
      <w:pPr>
        <w:pStyle w:val="TableCaption"/>
      </w:pPr>
      <w:bookmarkStart w:id="312" w:name="tab-motor"/>
      <w:bookmarkEnd w:id="312"/>
      <w:r>
        <w:rPr>
          <w:bCs/>
          <w:b/>
        </w:rPr>
        <w:t xml:space="preserve">表 8　运动回路各层级的功能范围</w:t>
      </w:r>
    </w:p>
    <w:tbl>
      <w:tblPr>
        <w:tblStyle w:val="Table"/>
        <w:tblW w:type="pct" w:w="5000"/>
        <w:jc w:val="start"/>
        <w:tblLook w:firstRow="1" w:lastRow="0" w:firstColumn="0" w:lastColumn="0" w:noHBand="0" w:noVBand="0" w:val="0020"/>
      </w:tblPr>
      <w:tblGrid>
        <w:gridCol w:w="969"/>
        <w:gridCol w:w="2586"/>
        <w:gridCol w:w="4364"/>
      </w:tblGrid>
      <w:tr>
        <w:trPr>
          <w:tblHeader w:val="true"/>
        </w:trPr>
        <w:tc>
          <w:tcPr>
            <w:shd w:val="clear" w:color="auto" w:fill="1F3A5F"/>
          </w:tcPr>
          <w:p>
            <w:pPr>
              <w:pStyle w:val="Compact"/>
              <w:jc w:val="left"/>
            </w:pPr>
            <w:r>
              <w:rPr>
                <w:bCs/>
                <w:b/>
                <w:color w:val="FFFFFF"/>
              </w:rPr>
              <w:t xml:space="preserve">结构或层级</w:t>
            </w:r>
          </w:p>
        </w:tc>
        <w:tc>
          <w:tcPr>
            <w:shd w:val="clear" w:color="auto" w:fill="1F3A5F"/>
          </w:tcPr>
          <w:p>
            <w:pPr>
              <w:pStyle w:val="Compact"/>
              <w:jc w:val="left"/>
            </w:pPr>
            <w:r>
              <w:rPr>
                <w:bCs/>
                <w:b/>
                <w:color w:val="FFFFFF"/>
              </w:rPr>
              <w:t xml:space="preserve">主要机制贡献</w:t>
            </w:r>
          </w:p>
        </w:tc>
        <w:tc>
          <w:tcPr>
            <w:shd w:val="clear" w:color="auto" w:fill="1F3A5F"/>
          </w:tcPr>
          <w:p>
            <w:pPr>
              <w:pStyle w:val="Compact"/>
              <w:jc w:val="left"/>
            </w:pPr>
            <w:r>
              <w:rPr>
                <w:bCs/>
                <w:b/>
                <w:color w:val="FFFFFF"/>
              </w:rPr>
              <w:t xml:space="preserve">解释时需要保留的条件</w:t>
            </w:r>
          </w:p>
        </w:tc>
      </w:tr>
      <w:tr>
        <w:tc>
          <w:tcPr/>
          <w:p>
            <w:pPr>
              <w:pStyle w:val="Compact"/>
              <w:jc w:val="left"/>
            </w:pPr>
            <w:r>
              <w:t xml:space="preserve">运动单位</w:t>
            </w:r>
          </w:p>
        </w:tc>
        <w:tc>
          <w:tcPr/>
          <w:p>
            <w:pPr>
              <w:pStyle w:val="Compact"/>
              <w:jc w:val="left"/>
            </w:pPr>
            <w:r>
              <w:t xml:space="preserve">将运动神经元输出转成肌纤维活动</w:t>
            </w:r>
          </w:p>
        </w:tc>
        <w:tc>
          <w:tcPr/>
          <w:p>
            <w:pPr>
              <w:pStyle w:val="Compact"/>
              <w:jc w:val="left"/>
            </w:pPr>
            <w:r>
              <w:t xml:space="preserve">力还取决于肌肉长度、速度与疲劳</w:t>
            </w:r>
            <w:r>
              <w:rPr>
                <w:vertAlign w:val="superscript"/>
              </w:rPr>
              <w:t xml:space="preserve">[</w:t>
            </w:r>
            <w:hyperlink w:anchor="ref-177">
              <w:r>
                <w:rPr>
                  <w:rStyle w:val="Hyperlink"/>
                  <w:vertAlign w:val="superscript"/>
                </w:rPr>
                <w:t xml:space="preserve">177</w:t>
              </w:r>
            </w:hyperlink>
            <w:r>
              <w:rPr>
                <w:vertAlign w:val="superscript"/>
              </w:rPr>
              <w:t xml:space="preserve">,</w:t>
            </w:r>
            <w:hyperlink w:anchor="ref-178">
              <w:r>
                <w:rPr>
                  <w:rStyle w:val="Hyperlink"/>
                  <w:vertAlign w:val="superscript"/>
                </w:rPr>
                <w:t xml:space="preserve">178</w:t>
              </w:r>
            </w:hyperlink>
            <w:r>
              <w:rPr>
                <w:vertAlign w:val="superscript"/>
              </w:rPr>
              <w:t xml:space="preserve">]</w:t>
            </w:r>
          </w:p>
        </w:tc>
      </w:tr>
      <w:tr>
        <w:tc>
          <w:tcPr/>
          <w:p>
            <w:pPr>
              <w:pStyle w:val="Compact"/>
              <w:jc w:val="left"/>
            </w:pPr>
            <w:r>
              <w:t xml:space="preserve">脊髓局部网络</w:t>
            </w:r>
          </w:p>
        </w:tc>
        <w:tc>
          <w:tcPr/>
          <w:p>
            <w:pPr>
              <w:pStyle w:val="Compact"/>
              <w:jc w:val="left"/>
            </w:pPr>
            <w:r>
              <w:t xml:space="preserve">感觉反馈、肌群协调和节律组织</w:t>
            </w:r>
          </w:p>
        </w:tc>
        <w:tc>
          <w:tcPr/>
          <w:p>
            <w:pPr>
              <w:pStyle w:val="Compact"/>
              <w:jc w:val="left"/>
            </w:pPr>
            <w:r>
              <w:t xml:space="preserve">网络受到下行输入与身体反馈持续调节</w:t>
            </w:r>
            <w:r>
              <w:rPr>
                <w:vertAlign w:val="superscript"/>
              </w:rPr>
              <w:t xml:space="preserve">[</w:t>
            </w:r>
            <w:hyperlink w:anchor="ref-35">
              <w:r>
                <w:rPr>
                  <w:rStyle w:val="Hyperlink"/>
                  <w:vertAlign w:val="superscript"/>
                </w:rPr>
                <w:t xml:space="preserve">35</w:t>
              </w:r>
            </w:hyperlink>
            <w:r>
              <w:rPr>
                <w:vertAlign w:val="superscript"/>
              </w:rPr>
              <w:t xml:space="preserve">]</w:t>
            </w:r>
          </w:p>
        </w:tc>
      </w:tr>
      <w:tr>
        <w:tc>
          <w:tcPr/>
          <w:p>
            <w:pPr>
              <w:pStyle w:val="Compact"/>
              <w:jc w:val="left"/>
            </w:pPr>
            <w:r>
              <w:t xml:space="preserve">脑干下行群</w:t>
            </w:r>
          </w:p>
        </w:tc>
        <w:tc>
          <w:tcPr/>
          <w:p>
            <w:pPr>
              <w:pStyle w:val="Compact"/>
              <w:jc w:val="left"/>
            </w:pPr>
            <w:r>
              <w:t xml:space="preserve">姿势、平衡、移动及全身协调</w:t>
            </w:r>
          </w:p>
        </w:tc>
        <w:tc>
          <w:tcPr/>
          <w:p>
            <w:pPr>
              <w:pStyle w:val="Compact"/>
              <w:jc w:val="left"/>
            </w:pPr>
            <w:r>
              <w:t xml:space="preserve">同一区域内细胞亚群可有不同效果</w:t>
            </w:r>
            <w:r>
              <w:rPr>
                <w:vertAlign w:val="superscript"/>
              </w:rPr>
              <w:t xml:space="preserve">[</w:t>
            </w:r>
            <w:hyperlink w:anchor="ref-181">
              <w:r>
                <w:rPr>
                  <w:rStyle w:val="Hyperlink"/>
                  <w:vertAlign w:val="superscript"/>
                </w:rPr>
                <w:t xml:space="preserve">181</w:t>
              </w:r>
            </w:hyperlink>
            <w:r>
              <w:rPr>
                <w:vertAlign w:val="superscript"/>
              </w:rPr>
              <w:t xml:space="preserve">,</w:t>
            </w:r>
            <w:hyperlink w:anchor="ref-182">
              <w:r>
                <w:rPr>
                  <w:rStyle w:val="Hyperlink"/>
                  <w:vertAlign w:val="superscript"/>
                </w:rPr>
                <w:t xml:space="preserve">182</w:t>
              </w:r>
            </w:hyperlink>
            <w:r>
              <w:rPr>
                <w:vertAlign w:val="superscript"/>
              </w:rPr>
              <w:t xml:space="preserve">]</w:t>
            </w:r>
          </w:p>
        </w:tc>
      </w:tr>
      <w:tr>
        <w:tc>
          <w:tcPr/>
          <w:p>
            <w:pPr>
              <w:pStyle w:val="Compact"/>
              <w:jc w:val="left"/>
            </w:pPr>
            <w:r>
              <w:t xml:space="preserve">运动皮层</w:t>
            </w:r>
          </w:p>
        </w:tc>
        <w:tc>
          <w:tcPr/>
          <w:p>
            <w:pPr>
              <w:pStyle w:val="Compact"/>
              <w:jc w:val="left"/>
            </w:pPr>
            <w:r>
              <w:t xml:space="preserve">情境相关的精细运动控制及下行影响</w:t>
            </w:r>
          </w:p>
        </w:tc>
        <w:tc>
          <w:tcPr/>
          <w:p>
            <w:pPr>
              <w:pStyle w:val="Compact"/>
              <w:jc w:val="left"/>
            </w:pPr>
            <w:r>
              <w:t xml:space="preserve">投射类型、物种和任务决定具体作用</w:t>
            </w:r>
            <w:r>
              <w:rPr>
                <w:vertAlign w:val="superscript"/>
              </w:rPr>
              <w:t xml:space="preserve">[</w:t>
            </w:r>
            <w:hyperlink w:anchor="ref-10">
              <w:r>
                <w:rPr>
                  <w:rStyle w:val="Hyperlink"/>
                  <w:vertAlign w:val="superscript"/>
                </w:rPr>
                <w:t xml:space="preserve">10</w:t>
              </w:r>
            </w:hyperlink>
            <w:r>
              <w:rPr>
                <w:vertAlign w:val="superscript"/>
              </w:rPr>
              <w:t xml:space="preserve">]</w:t>
            </w:r>
          </w:p>
        </w:tc>
      </w:tr>
      <w:tr>
        <w:tc>
          <w:tcPr/>
          <w:p>
            <w:pPr>
              <w:pStyle w:val="Compact"/>
              <w:jc w:val="left"/>
            </w:pPr>
            <w:r>
              <w:t xml:space="preserve">基底节</w:t>
            </w:r>
          </w:p>
        </w:tc>
        <w:tc>
          <w:tcPr/>
          <w:p>
            <w:pPr>
              <w:pStyle w:val="Compact"/>
              <w:jc w:val="left"/>
            </w:pPr>
            <w:r>
              <w:t xml:space="preserve">行动通道、时序与学习相关调节</w:t>
            </w:r>
          </w:p>
        </w:tc>
        <w:tc>
          <w:tcPr/>
          <w:p>
            <w:pPr>
              <w:pStyle w:val="Compact"/>
              <w:jc w:val="left"/>
            </w:pPr>
            <w:r>
              <w:t xml:space="preserve">直接与间接通路的自然活动可同时增强</w:t>
            </w:r>
            <w:r>
              <w:rPr>
                <w:vertAlign w:val="superscript"/>
              </w:rPr>
              <w:t xml:space="preserve">[</w:t>
            </w:r>
            <w:hyperlink w:anchor="ref-184">
              <w:r>
                <w:rPr>
                  <w:rStyle w:val="Hyperlink"/>
                  <w:vertAlign w:val="superscript"/>
                </w:rPr>
                <w:t xml:space="preserve">184</w:t>
              </w:r>
            </w:hyperlink>
            <w:r>
              <w:rPr>
                <w:vertAlign w:val="superscript"/>
              </w:rPr>
              <w:t xml:space="preserve">]</w:t>
            </w:r>
          </w:p>
        </w:tc>
      </w:tr>
      <w:tr>
        <w:tc>
          <w:tcPr/>
          <w:p>
            <w:pPr>
              <w:pStyle w:val="Compact"/>
              <w:jc w:val="left"/>
            </w:pPr>
            <w:r>
              <w:t xml:space="preserve">小脑</w:t>
            </w:r>
          </w:p>
        </w:tc>
        <w:tc>
          <w:tcPr/>
          <w:p>
            <w:pPr>
              <w:pStyle w:val="Compact"/>
              <w:jc w:val="left"/>
            </w:pPr>
            <w:r>
              <w:t xml:space="preserve">多源输入整合、预测、校准及学习</w:t>
            </w:r>
          </w:p>
        </w:tc>
        <w:tc>
          <w:tcPr/>
          <w:p>
            <w:pPr>
              <w:pStyle w:val="Compact"/>
              <w:jc w:val="left"/>
            </w:pPr>
            <w:r>
              <w:t xml:space="preserve">不同模块和可塑性位置承担不同贡献</w:t>
            </w:r>
            <w:r>
              <w:rPr>
                <w:vertAlign w:val="superscript"/>
              </w:rPr>
              <w:t xml:space="preserve">[</w:t>
            </w:r>
            <w:hyperlink w:anchor="ref-188">
              <w:r>
                <w:rPr>
                  <w:rStyle w:val="Hyperlink"/>
                  <w:vertAlign w:val="superscript"/>
                </w:rPr>
                <w:t xml:space="preserve">188</w:t>
              </w:r>
            </w:hyperlink>
            <w:r>
              <w:rPr>
                <w:vertAlign w:val="superscript"/>
              </w:rPr>
              <w:t xml:space="preserve">]</w:t>
            </w:r>
          </w:p>
        </w:tc>
      </w:tr>
      <w:tr>
        <w:tc>
          <w:tcPr/>
          <w:p>
            <w:pPr>
              <w:pStyle w:val="Compact"/>
              <w:jc w:val="left"/>
            </w:pPr>
            <w:r>
              <w:t xml:space="preserve">感觉回路</w:t>
            </w:r>
          </w:p>
        </w:tc>
        <w:tc>
          <w:tcPr/>
          <w:p>
            <w:pPr>
              <w:pStyle w:val="Compact"/>
              <w:jc w:val="left"/>
            </w:pPr>
            <w:r>
              <w:t xml:space="preserve">身体状态与外界扰动的持续报告</w:t>
            </w:r>
          </w:p>
        </w:tc>
        <w:tc>
          <w:tcPr/>
          <w:p>
            <w:pPr>
              <w:pStyle w:val="Compact"/>
              <w:jc w:val="left"/>
            </w:pPr>
            <w:r>
              <w:t xml:space="preserve">感受器增益和主动采样本身可变化</w:t>
            </w:r>
            <w:r>
              <w:rPr>
                <w:vertAlign w:val="superscript"/>
              </w:rPr>
              <w:t xml:space="preserve">[</w:t>
            </w:r>
            <w:hyperlink w:anchor="ref-180">
              <w:r>
                <w:rPr>
                  <w:rStyle w:val="Hyperlink"/>
                  <w:vertAlign w:val="superscript"/>
                </w:rPr>
                <w:t xml:space="preserve">180</w:t>
              </w:r>
            </w:hyperlink>
            <w:r>
              <w:rPr>
                <w:vertAlign w:val="superscript"/>
              </w:rPr>
              <w:t xml:space="preserve">]</w:t>
            </w:r>
          </w:p>
        </w:tc>
      </w:tr>
    </w:tbl>
    <w:p>
      <w:pPr>
        <w:pStyle w:val="BodyText"/>
      </w:pPr>
      <w:r>
        <w:t xml:space="preserve">运动单位的神经肌肉连接、感觉反馈和主要下行通路的基本组织，属于高置信度知识。某个特定动作由哪些细胞群实现、其群体活动是否对应某一计算模型、不同物种间的详细同源关系，仍需要逐项证据；这类条件性机制适宜维持中等置信度，具体判断随任务和干预证据调整。将肌肉力学、感觉反馈、下行通路和回路学习连接起来，才能把运动行为理解为一个连续运行的生物控制系统。</w:t>
      </w:r>
    </w:p>
    <w:bookmarkEnd w:id="313"/>
    <w:bookmarkEnd w:id="314"/>
    <w:bookmarkStart w:id="324" w:name="ch-17"/>
    <w:p>
      <w:pPr>
        <w:pStyle w:val="Heading2"/>
      </w:pPr>
      <w:r>
        <w:t xml:space="preserve">第17章　神经发育与连接形成的细胞机制</w:t>
      </w:r>
    </w:p>
    <w:bookmarkStart w:id="315" w:name="sec-17-1"/>
    <w:p>
      <w:pPr>
        <w:pStyle w:val="Heading3"/>
      </w:pPr>
      <w:r>
        <w:t xml:space="preserve">17.1　发育把空间信号转为细胞命运</w:t>
      </w:r>
    </w:p>
    <w:p>
      <w:pPr>
        <w:pStyle w:val="FirstParagraph"/>
      </w:pPr>
      <w:r>
        <w:t xml:space="preserve">神经系统发育包含组织形成、细胞增殖、身份分化、迁移、轴突导向、突触组装、选择性存活和回路成熟等相互重叠的过程。每一步都会改变下一步的条件。一个基因影响最终行为，可能经过其中多个环节；仅在成年测量行为，通常不能定位最早发生的改变。</w:t>
      </w:r>
    </w:p>
    <w:p>
      <w:pPr>
        <w:pStyle w:val="BodyText"/>
      </w:pPr>
      <w:r>
        <w:t xml:space="preserve">神经管沿前后和背腹方向形成不同信号环境。以脊髓为例，Sonic hedgehog等诱导信号与转录因子相互作用，使不同位置的祖细胞具有不同命运倾向。细胞对信号的响应取决于浓度、持续时间和已有的调控状态，位置与时间共同进入发育程序</w:t>
      </w:r>
      <w:r>
        <w:rPr>
          <w:vertAlign w:val="superscript"/>
        </w:rPr>
        <w:t xml:space="preserve">[</w:t>
      </w:r>
      <w:hyperlink w:anchor="ref-190">
        <w:r>
          <w:rPr>
            <w:rStyle w:val="Hyperlink"/>
            <w:vertAlign w:val="superscript"/>
          </w:rPr>
          <w:t xml:space="preserve">190</w:t>
        </w:r>
      </w:hyperlink>
      <w:r>
        <w:rPr>
          <w:vertAlign w:val="superscript"/>
        </w:rPr>
        <w:t xml:space="preserve">]</w:t>
      </w:r>
      <w:r>
        <w:t xml:space="preserve">。</w:t>
      </w:r>
    </w:p>
    <w:p>
      <w:pPr>
        <w:pStyle w:val="BodyText"/>
      </w:pPr>
      <w:r>
        <w:t xml:space="preserve">可以用一个教学推导理解组合调控。若两个转录因子彼此限制，并分别受到不同强度信号支持，细胞群可能形成相对明确的表达边界。后续反馈可稳定其中一种状态，使短暂外界差异成为较持久的身份。这个模型说明命运决定能够包含动态选择，实际细胞的调控网络远比两个因子复杂。</w:t>
      </w:r>
    </w:p>
    <w:p>
      <w:pPr>
        <w:pStyle w:val="BodyText"/>
      </w:pPr>
      <w:r>
        <w:t xml:space="preserve">细胞身份也具有层级。某细胞先进入神经谱系，再形成兴奋性或抑制性等较大类别，随后取得投射、形态和成熟生理特征。某个标记在早期出现，不能保证成年时所有功能属性已经确定。理解发育需要把祖细胞身份、出生时间和最终状态连接起来。</w:t>
      </w:r>
    </w:p>
    <w:bookmarkEnd w:id="315"/>
    <w:bookmarkStart w:id="316" w:name="sec-17-2"/>
    <w:p>
      <w:pPr>
        <w:pStyle w:val="Heading3"/>
      </w:pPr>
      <w:r>
        <w:t xml:space="preserve">17.2　干细胞的分裂方式改变组织增长</w:t>
      </w:r>
    </w:p>
    <w:p>
      <w:pPr>
        <w:pStyle w:val="FirstParagraph"/>
      </w:pPr>
      <w:r>
        <w:t xml:space="preserve">神经干细胞与祖细胞通过不同分裂模式维持自身并产生后代。对称分裂可以扩大祖细胞池，也可以生成分化后代；非对称分裂可以让两个后代处于不同状态。细胞极性、与脑室或基底面的接触、胞内成分分配及邻近信号共同影响结果</w:t>
      </w:r>
      <w:r>
        <w:rPr>
          <w:vertAlign w:val="superscript"/>
        </w:rPr>
        <w:t xml:space="preserve">[</w:t>
      </w:r>
      <w:hyperlink w:anchor="ref-191">
        <w:r>
          <w:rPr>
            <w:rStyle w:val="Hyperlink"/>
            <w:vertAlign w:val="superscript"/>
          </w:rPr>
          <w:t xml:space="preserve">191</w:t>
        </w:r>
      </w:hyperlink>
      <w:r>
        <w:rPr>
          <w:vertAlign w:val="superscript"/>
        </w:rPr>
        <w:t xml:space="preserve">]</w:t>
      </w:r>
      <w:r>
        <w:t xml:space="preserve">。</w:t>
      </w:r>
    </w:p>
    <w:p>
      <w:pPr>
        <w:pStyle w:val="BodyText"/>
      </w:pPr>
      <w:r>
        <w:t xml:space="preserve">放射状胶质既具有支持迁移的形态，也可承担产生神经元的祖细胞作用。谱系标记和活细胞观察的经典研究提供了这一关系的直接证据。名称中包含胶质并不表示它在发育期只能执行成人星形胶质的功能，细胞身份需要结合生命阶段解释</w:t>
      </w:r>
      <w:r>
        <w:rPr>
          <w:vertAlign w:val="superscript"/>
        </w:rPr>
        <w:t xml:space="preserve">[</w:t>
      </w:r>
      <w:hyperlink w:anchor="ref-192">
        <w:r>
          <w:rPr>
            <w:rStyle w:val="Hyperlink"/>
            <w:vertAlign w:val="superscript"/>
          </w:rPr>
          <w:t xml:space="preserve">192</w:t>
        </w:r>
      </w:hyperlink>
      <w:r>
        <w:rPr>
          <w:vertAlign w:val="superscript"/>
        </w:rPr>
        <w:t xml:space="preserve">]</w:t>
      </w:r>
      <w:r>
        <w:t xml:space="preserve">。</w:t>
      </w:r>
    </w:p>
    <w:p>
      <w:pPr>
        <w:pStyle w:val="BodyText"/>
      </w:pPr>
      <w:r>
        <w:t xml:space="preserve">一次分裂产生多少细胞与最终形成多少成熟神经元之间仍有距离。后代可能继续增殖、改变命运、迁移或死亡。以某一时点的增殖标记数量推断最终神经元总量，需要追踪后续命运。类似地，组织体积增大可以来自细胞数、细胞大小、突起、血管或细胞外成分的变化，不能单独代表神经发生增加。</w:t>
      </w:r>
    </w:p>
    <w:p>
      <w:pPr>
        <w:pStyle w:val="BodyText"/>
      </w:pPr>
      <w:r>
        <w:t xml:space="preserve">从系统角度看，早期扩大祖细胞池与早期启动分化之间存在时间配置问题。前者可能增加后续产量，后者较早建立可工作的回路。不同物种和脑区采用不同生长时程，其变化可以影响组织规模与细胞组合。这个推导提出了一个比较发育问题；仅凭最终脑大小，不能反推出唯一的分裂策略。</w:t>
      </w:r>
    </w:p>
    <w:bookmarkEnd w:id="316"/>
    <w:bookmarkStart w:id="317" w:name="sec-17-3"/>
    <w:p>
      <w:pPr>
        <w:pStyle w:val="Heading3"/>
      </w:pPr>
      <w:r>
        <w:t xml:space="preserve">17.3　神经元迁移建立皮层与核团的空间组织</w:t>
      </w:r>
    </w:p>
    <w:p>
      <w:pPr>
        <w:pStyle w:val="FirstParagraph"/>
      </w:pPr>
      <w:r>
        <w:t xml:space="preserve">许多皮层兴奋性神经元从产生区域向外迁移，并逐步形成层次。迁移依赖细胞骨架、黏附、外部线索和支架的相互作用。细胞的成熟形态在迁移途中和到位之后逐步形成，迁移和分化可以相互影响。细胞出生时间与最后所在层之间具有重要关系，但具体组织需要按脑区与物种讨论</w:t>
      </w:r>
      <w:r>
        <w:rPr>
          <w:vertAlign w:val="superscript"/>
        </w:rPr>
        <w:t xml:space="preserve">[</w:t>
      </w:r>
      <w:hyperlink w:anchor="ref-192">
        <w:r>
          <w:rPr>
            <w:rStyle w:val="Hyperlink"/>
            <w:vertAlign w:val="superscript"/>
          </w:rPr>
          <w:t xml:space="preserve">192</w:t>
        </w:r>
      </w:hyperlink>
      <w:r>
        <w:rPr>
          <w:vertAlign w:val="superscript"/>
        </w:rPr>
        <w:t xml:space="preserve">,</w:t>
      </w:r>
      <w:hyperlink w:anchor="ref-193">
        <w:r>
          <w:rPr>
            <w:rStyle w:val="Hyperlink"/>
            <w:vertAlign w:val="superscript"/>
          </w:rPr>
          <w:t xml:space="preserve">193</w:t>
        </w:r>
      </w:hyperlink>
      <w:r>
        <w:rPr>
          <w:vertAlign w:val="superscript"/>
        </w:rPr>
        <w:t xml:space="preserve">]</w:t>
      </w:r>
      <w:r>
        <w:t xml:space="preserve">。</w:t>
      </w:r>
    </w:p>
    <w:p>
      <w:pPr>
        <w:pStyle w:val="BodyText"/>
      </w:pPr>
      <w:r>
        <w:t xml:space="preserve">Reelin相关突变研究将细胞外信号与神经元定位、层化联系起来。其功能涉及细胞对环境和邻近结构的响应，不能把它简化成写有最终地址的一张分子标签。定位异常可以进一步改变树突方向、输入分布和长程联系，使较早发育改变在成年呈现多种后果</w:t>
      </w:r>
      <w:r>
        <w:rPr>
          <w:vertAlign w:val="superscript"/>
        </w:rPr>
        <w:t xml:space="preserve">[</w:t>
      </w:r>
      <w:hyperlink w:anchor="ref-193">
        <w:r>
          <w:rPr>
            <w:rStyle w:val="Hyperlink"/>
            <w:vertAlign w:val="superscript"/>
          </w:rPr>
          <w:t xml:space="preserve">193</w:t>
        </w:r>
      </w:hyperlink>
      <w:r>
        <w:rPr>
          <w:vertAlign w:val="superscript"/>
        </w:rPr>
        <w:t xml:space="preserve">]</w:t>
      </w:r>
      <w:r>
        <w:t xml:space="preserve">。</w:t>
      </w:r>
    </w:p>
    <w:p>
      <w:pPr>
        <w:pStyle w:val="BodyText"/>
      </w:pPr>
      <w:r>
        <w:t xml:space="preserve">皮层抑制性中间神经元的部分重要来源位于腹侧端脑，并经历切向迁移。Dlx相关基因研究提供了发育来源与迁移机制的证据。兴奋性细胞与抑制性细胞因此可以通过不同路线汇合到同一区域，再形成局部回路</w:t>
      </w:r>
      <w:r>
        <w:rPr>
          <w:vertAlign w:val="superscript"/>
        </w:rPr>
        <w:t xml:space="preserve">[</w:t>
      </w:r>
      <w:hyperlink w:anchor="ref-194">
        <w:r>
          <w:rPr>
            <w:rStyle w:val="Hyperlink"/>
            <w:vertAlign w:val="superscript"/>
          </w:rPr>
          <w:t xml:space="preserve">194</w:t>
        </w:r>
      </w:hyperlink>
      <w:r>
        <w:rPr>
          <w:vertAlign w:val="superscript"/>
        </w:rPr>
        <w:t xml:space="preserve">]</w:t>
      </w:r>
      <w:r>
        <w:t xml:space="preserve">。</w:t>
      </w:r>
    </w:p>
    <w:p>
      <w:pPr>
        <w:pStyle w:val="BodyText"/>
      </w:pPr>
      <w:r>
        <w:t xml:space="preserve">这个汇合过程说明，成人空间邻近不保证细胞具有相同谱系。相反，来源相近的细胞也可以分布到多个位置。仅依据最终所在脑区推断起源，会遗漏迁移历史；仅依据共同起源推断所有成人功能相同，也会忽视之后的连接和成熟差异。</w:t>
      </w:r>
    </w:p>
    <w:bookmarkEnd w:id="317"/>
    <w:bookmarkStart w:id="318" w:name="sec-17-4"/>
    <w:p>
      <w:pPr>
        <w:pStyle w:val="Heading3"/>
      </w:pPr>
      <w:r>
        <w:t xml:space="preserve">17.4　生长锥将分子线索转为方向变化</w:t>
      </w:r>
    </w:p>
    <w:p>
      <w:pPr>
        <w:pStyle w:val="FirstParagraph"/>
      </w:pPr>
      <w:r>
        <w:t xml:space="preserve">轴突末端的生长锥通过膜受体、黏附结构和细胞骨架探索环境。接触性与可扩散线索可以促进或限制某方向的延伸，多种信号同时存在。轴突路径由这些作用与组织几何共同决定，单个吸引分子无法独立指定全部长程路线</w:t>
      </w:r>
      <w:r>
        <w:rPr>
          <w:vertAlign w:val="superscript"/>
        </w:rPr>
        <w:t xml:space="preserve">[</w:t>
      </w:r>
      <w:hyperlink w:anchor="ref-195">
        <w:r>
          <w:rPr>
            <w:rStyle w:val="Hyperlink"/>
            <w:vertAlign w:val="superscript"/>
          </w:rPr>
          <w:t xml:space="preserve">195</w:t>
        </w:r>
      </w:hyperlink>
      <w:r>
        <w:rPr>
          <w:vertAlign w:val="superscript"/>
        </w:rPr>
        <w:t xml:space="preserve">]</w:t>
      </w:r>
      <w:r>
        <w:t xml:space="preserve">。</w:t>
      </w:r>
    </w:p>
    <w:p>
      <w:pPr>
        <w:pStyle w:val="BodyText"/>
      </w:pPr>
      <w:r>
        <w:t xml:space="preserve">Netrin家族的经典鉴定连接了脊椎动物与线虫的相关分子机制。早期培养实验显示其可促进特定连合轴突生长，支持保守导向线索的存在。体内作用还取决于产生位置、组织结合和受体环境，因此不能把每一种netrin作用都画成一个简单远距离浓度箭头</w:t>
      </w:r>
      <w:r>
        <w:rPr>
          <w:vertAlign w:val="superscript"/>
        </w:rPr>
        <w:t xml:space="preserve">[</w:t>
      </w:r>
      <w:hyperlink w:anchor="ref-196">
        <w:r>
          <w:rPr>
            <w:rStyle w:val="Hyperlink"/>
            <w:vertAlign w:val="superscript"/>
          </w:rPr>
          <w:t xml:space="preserve">196</w:t>
        </w:r>
      </w:hyperlink>
      <w:r>
        <w:rPr>
          <w:vertAlign w:val="superscript"/>
        </w:rPr>
        <w:t xml:space="preserve">]</w:t>
      </w:r>
      <w:r>
        <w:t xml:space="preserve">。</w:t>
      </w:r>
    </w:p>
    <w:p>
      <w:pPr>
        <w:pStyle w:val="BodyText"/>
      </w:pPr>
      <w:r>
        <w:t xml:space="preserve">导向信号的效果可以随受体组合改变。同一分子对一类细胞提供接近线索，对另一类细胞可能有不同作用；轴突跨过某个边界后，也可能改变对原线索的敏感性。若一直保持对同一位置的强吸引，轴突可能停留或反复进入该处。动态调节受体有助于使路线具有阶段性。</w:t>
      </w:r>
    </w:p>
    <w:p>
      <w:pPr>
        <w:pStyle w:val="BodyText"/>
      </w:pPr>
      <w:r>
        <w:t xml:space="preserve">一个原创教学模型是跨越中线的路径。到达中线之前，生长锥需要朝正确区域前进；跨越之后，它需要离开并沿新的方向延伸。前后阶段使用不同受体状态，可以让同一环境产生不同指导结果。真实连合路径由多种分子与局部组织共同控制，模型只是说明状态转换为何重要。</w:t>
      </w:r>
    </w:p>
    <w:bookmarkEnd w:id="318"/>
    <w:bookmarkStart w:id="319" w:name="sec-17-5"/>
    <w:p>
      <w:pPr>
        <w:pStyle w:val="Heading3"/>
      </w:pPr>
      <w:r>
        <w:t xml:space="preserve">17.5　到达目标之后仍需选择突触伙伴</w:t>
      </w:r>
    </w:p>
    <w:p>
      <w:pPr>
        <w:pStyle w:val="FirstParagraph"/>
      </w:pPr>
      <w:r>
        <w:t xml:space="preserve">轴突进入目标区域不保证与所有邻近细胞建立同样联系。细胞表面识别、局部信号、树突位置和活动可以共同影响接触形成及稳定。突触前释放装置与突触后受体还需要成熟，形态上的接触不能自动证明有足够的功能传递</w:t>
      </w:r>
      <w:r>
        <w:rPr>
          <w:vertAlign w:val="superscript"/>
        </w:rPr>
        <w:t xml:space="preserve">[</w:t>
      </w:r>
      <w:hyperlink w:anchor="ref-52">
        <w:r>
          <w:rPr>
            <w:rStyle w:val="Hyperlink"/>
            <w:vertAlign w:val="superscript"/>
          </w:rPr>
          <w:t xml:space="preserve">52</w:t>
        </w:r>
      </w:hyperlink>
      <w:r>
        <w:rPr>
          <w:vertAlign w:val="superscript"/>
        </w:rPr>
        <w:t xml:space="preserve">,</w:t>
      </w:r>
      <w:hyperlink w:anchor="ref-53">
        <w:r>
          <w:rPr>
            <w:rStyle w:val="Hyperlink"/>
            <w:vertAlign w:val="superscript"/>
          </w:rPr>
          <w:t xml:space="preserve">53</w:t>
        </w:r>
      </w:hyperlink>
      <w:r>
        <w:rPr>
          <w:vertAlign w:val="superscript"/>
        </w:rPr>
        <w:t xml:space="preserve">,</w:t>
      </w:r>
      <w:hyperlink w:anchor="ref-92">
        <w:r>
          <w:rPr>
            <w:rStyle w:val="Hyperlink"/>
            <w:vertAlign w:val="superscript"/>
          </w:rPr>
          <w:t xml:space="preserve">92</w:t>
        </w:r>
      </w:hyperlink>
      <w:r>
        <w:rPr>
          <w:vertAlign w:val="superscript"/>
        </w:rPr>
        <w:t xml:space="preserve">]</w:t>
      </w:r>
      <w:r>
        <w:t xml:space="preserve">。</w:t>
      </w:r>
    </w:p>
    <w:p>
      <w:pPr>
        <w:pStyle w:val="BodyText"/>
      </w:pPr>
      <w:r>
        <w:t xml:space="preserve">同一对神经元之间可以形成多个接触，接触的位置又改变对树突整合的影响。靠近细胞体的抑制与远端树突的抑制可以产生不同效果。发育时若突触数量保持相近而位置改变，网络功能仍可能明显变化。这种空间维度说明，仅计数突触不足以概括连接质量</w:t>
      </w:r>
      <w:r>
        <w:rPr>
          <w:vertAlign w:val="superscript"/>
        </w:rPr>
        <w:t xml:space="preserve">[</w:t>
      </w:r>
      <w:hyperlink w:anchor="ref-43">
        <w:r>
          <w:rPr>
            <w:rStyle w:val="Hyperlink"/>
            <w:vertAlign w:val="superscript"/>
          </w:rPr>
          <w:t xml:space="preserve">43</w:t>
        </w:r>
      </w:hyperlink>
      <w:r>
        <w:rPr>
          <w:vertAlign w:val="superscript"/>
        </w:rPr>
        <w:t xml:space="preserve">,</w:t>
      </w:r>
      <w:hyperlink w:anchor="ref-44">
        <w:r>
          <w:rPr>
            <w:rStyle w:val="Hyperlink"/>
            <w:vertAlign w:val="superscript"/>
          </w:rPr>
          <w:t xml:space="preserve">44</w:t>
        </w:r>
      </w:hyperlink>
      <w:r>
        <w:rPr>
          <w:vertAlign w:val="superscript"/>
        </w:rPr>
        <w:t xml:space="preserve">]</w:t>
      </w:r>
      <w:r>
        <w:t xml:space="preserve">。</w:t>
      </w:r>
    </w:p>
    <w:p>
      <w:pPr>
        <w:pStyle w:val="BodyText"/>
      </w:pPr>
      <w:r>
        <w:t xml:space="preserve">神经元与胶质在这一过程中相互作用。星形胶质相关分子可以促进突触形成和成熟，小胶质参与部分连接清除，少突胶质随后影响轴突传导。每类细胞的作用具有时间和环境条件，不能把胶质作为在神经元完成发育之后才加入的被动包装</w:t>
      </w:r>
      <w:r>
        <w:rPr>
          <w:vertAlign w:val="superscript"/>
        </w:rPr>
        <w:t xml:space="preserve">[</w:t>
      </w:r>
      <w:hyperlink w:anchor="ref-92">
        <w:r>
          <w:rPr>
            <w:rStyle w:val="Hyperlink"/>
            <w:vertAlign w:val="superscript"/>
          </w:rPr>
          <w:t xml:space="preserve">92</w:t>
        </w:r>
      </w:hyperlink>
      <w:r>
        <w:rPr>
          <w:vertAlign w:val="superscript"/>
        </w:rPr>
        <w:t xml:space="preserve">,</w:t>
      </w:r>
      <w:hyperlink w:anchor="ref-96">
        <w:r>
          <w:rPr>
            <w:rStyle w:val="Hyperlink"/>
            <w:vertAlign w:val="superscript"/>
          </w:rPr>
          <w:t xml:space="preserve">96</w:t>
        </w:r>
      </w:hyperlink>
      <w:r>
        <w:rPr>
          <w:vertAlign w:val="superscript"/>
        </w:rPr>
        <w:t xml:space="preserve">,</w:t>
      </w:r>
      <w:hyperlink w:anchor="ref-105">
        <w:r>
          <w:rPr>
            <w:rStyle w:val="Hyperlink"/>
            <w:vertAlign w:val="superscript"/>
          </w:rPr>
          <w:t xml:space="preserve">105</w:t>
        </w:r>
      </w:hyperlink>
      <w:r>
        <w:rPr>
          <w:vertAlign w:val="superscript"/>
        </w:rPr>
        <w:t xml:space="preserve">]</w:t>
      </w:r>
      <w:r>
        <w:t xml:space="preserve">。</w:t>
      </w:r>
    </w:p>
    <w:bookmarkEnd w:id="319"/>
    <w:bookmarkStart w:id="320" w:name="sec-17-6"/>
    <w:p>
      <w:pPr>
        <w:pStyle w:val="Heading3"/>
      </w:pPr>
      <w:r>
        <w:t xml:space="preserve">17.6　自发活动在感觉经验前提供结构化输入</w:t>
      </w:r>
    </w:p>
    <w:p>
      <w:pPr>
        <w:pStyle w:val="FirstParagraph"/>
      </w:pPr>
      <w:r>
        <w:t xml:space="preserve">发育期神经系统可以在成熟感觉输入出现之前产生自发活动。视网膜多细胞记录发现具有空间传播和时间聚集结构的活动波。这些模式为相邻细胞的共同活动提供了条件，并提出它们可以参与上游到下游连接精细化的假设</w:t>
      </w:r>
      <w:r>
        <w:rPr>
          <w:vertAlign w:val="superscript"/>
        </w:rPr>
        <w:t xml:space="preserve">[</w:t>
      </w:r>
      <w:hyperlink w:anchor="ref-197">
        <w:r>
          <w:rPr>
            <w:rStyle w:val="Hyperlink"/>
            <w:vertAlign w:val="superscript"/>
          </w:rPr>
          <w:t xml:space="preserve">197</w:t>
        </w:r>
      </w:hyperlink>
      <w:r>
        <w:rPr>
          <w:vertAlign w:val="superscript"/>
        </w:rPr>
        <w:t xml:space="preserve">]</w:t>
      </w:r>
      <w:r>
        <w:t xml:space="preserve">。</w:t>
      </w:r>
    </w:p>
    <w:p>
      <w:pPr>
        <w:pStyle w:val="BodyText"/>
      </w:pPr>
      <w:r>
        <w:t xml:space="preserve">这类活动的意义取决于空间和时间结构。若所有细胞始终以完全相同模式活动，下游很难区分位置关系；若局部邻近群体更常共同活动，就可能提供邻近性的线索。不同眼睛之间的活动关系也能为输入分离提供信息。要确认某一规则，仍需要改变活动模式并测量连接后果。</w:t>
      </w:r>
    </w:p>
    <w:p>
      <w:pPr>
        <w:pStyle w:val="BodyText"/>
      </w:pPr>
      <w:r>
        <w:t xml:space="preserve">由此可以理解基因与活动之间的关系。基因调控受体、通道和组织结构，决定哪些活动模式可以产生；活动又通过钙和其他信号影响基因表达与连接稳定。二者在发育中不断相互作用。把某个特征完全划为先天或后天，通常难以覆盖这些相互依赖的过程。</w:t>
      </w:r>
    </w:p>
    <w:bookmarkEnd w:id="320"/>
    <w:bookmarkStart w:id="321" w:name="sec-17-7"/>
    <w:p>
      <w:pPr>
        <w:pStyle w:val="Heading3"/>
      </w:pPr>
      <w:r>
        <w:t xml:space="preserve">17.7　细胞死亡与突触清除参与组织匹配</w:t>
      </w:r>
    </w:p>
    <w:p>
      <w:pPr>
        <w:pStyle w:val="FirstParagraph"/>
      </w:pPr>
      <w:r>
        <w:t xml:space="preserve">发育期部分细胞会发生程序性死亡。Bax缺失的小鼠研究显示，多处正常发生的神经元死亡可以明显减少，但额外存活细胞并不自动获得正常成熟功能。这个结果直接限制了细胞越多必然越好这一推断</w:t>
      </w:r>
      <w:r>
        <w:rPr>
          <w:vertAlign w:val="superscript"/>
        </w:rPr>
        <w:t xml:space="preserve">[</w:t>
      </w:r>
      <w:hyperlink w:anchor="ref-198">
        <w:r>
          <w:rPr>
            <w:rStyle w:val="Hyperlink"/>
            <w:vertAlign w:val="superscript"/>
          </w:rPr>
          <w:t xml:space="preserve">198</w:t>
        </w:r>
      </w:hyperlink>
      <w:r>
        <w:rPr>
          <w:vertAlign w:val="superscript"/>
        </w:rPr>
        <w:t xml:space="preserve">]</w:t>
      </w:r>
      <w:r>
        <w:t xml:space="preserve">。</w:t>
      </w:r>
    </w:p>
    <w:p>
      <w:pPr>
        <w:pStyle w:val="BodyText"/>
      </w:pPr>
      <w:r>
        <w:t xml:space="preserve">细胞存活取决于营养支持、连接与胞内状态等条件。若某靶组织可提供的支持有限，竞争和反馈可能使细胞数量与目标规模相匹配。突触清除则在保留细胞的同时改变连接。细胞死亡、轴突修剪和单个突触去除是不同过程，需要分别检测。</w:t>
      </w:r>
    </w:p>
    <w:p>
      <w:pPr>
        <w:pStyle w:val="BodyText"/>
      </w:pPr>
      <w:r>
        <w:t xml:space="preserve">在教学上，可以把发育看作持续产生候选连接并选择稳定关系的过程，但这个概括不能把每次清除都赋予预先确定的目的。病理条件下也会发生过度或错误清除。判断某个清除事件是否有利，需要结合时间、目标和最终功能，不能单独依据吞噬标记增加下结论</w:t>
      </w:r>
      <w:r>
        <w:rPr>
          <w:vertAlign w:val="superscript"/>
        </w:rPr>
        <w:t xml:space="preserve">[</w:t>
      </w:r>
      <w:hyperlink w:anchor="ref-95">
        <w:r>
          <w:rPr>
            <w:rStyle w:val="Hyperlink"/>
            <w:vertAlign w:val="superscript"/>
          </w:rPr>
          <w:t xml:space="preserve">95</w:t>
        </w:r>
      </w:hyperlink>
      <w:r>
        <w:rPr>
          <w:vertAlign w:val="superscript"/>
        </w:rPr>
        <w:t xml:space="preserve">,</w:t>
      </w:r>
      <w:hyperlink w:anchor="ref-96">
        <w:r>
          <w:rPr>
            <w:rStyle w:val="Hyperlink"/>
            <w:vertAlign w:val="superscript"/>
          </w:rPr>
          <w:t xml:space="preserve">96</w:t>
        </w:r>
      </w:hyperlink>
      <w:r>
        <w:rPr>
          <w:vertAlign w:val="superscript"/>
        </w:rPr>
        <w:t xml:space="preserve">]</w:t>
      </w:r>
      <w:r>
        <w:t xml:space="preserve">。</w:t>
      </w:r>
    </w:p>
    <w:bookmarkEnd w:id="321"/>
    <w:bookmarkStart w:id="322" w:name="sec-17-8"/>
    <w:p>
      <w:pPr>
        <w:pStyle w:val="Heading3"/>
      </w:pPr>
      <w:r>
        <w:t xml:space="preserve">17.8　兴奋、抑制与髓鞘的成熟改变网络可塑性</w:t>
      </w:r>
    </w:p>
    <w:p>
      <w:pPr>
        <w:pStyle w:val="FirstParagraph"/>
      </w:pPr>
      <w:r>
        <w:t xml:space="preserve">细胞的离子梯度、通道表达和突触结构随发育变化。GABA作用受氯电化学梯度约束，某些早期条件下的去极化作用不等同于所有发育期GABA都促进放电。分流、电压位置和网络状态仍然重要。成熟过程中需要直接测量相应梯度和电流，不能只按年龄推定作用方向</w:t>
      </w:r>
      <w:r>
        <w:rPr>
          <w:vertAlign w:val="superscript"/>
        </w:rPr>
        <w:t xml:space="preserve">[</w:t>
      </w:r>
      <w:hyperlink w:anchor="ref-41">
        <w:r>
          <w:rPr>
            <w:rStyle w:val="Hyperlink"/>
            <w:vertAlign w:val="superscript"/>
          </w:rPr>
          <w:t xml:space="preserve">41</w:t>
        </w:r>
      </w:hyperlink>
      <w:r>
        <w:rPr>
          <w:vertAlign w:val="superscript"/>
        </w:rPr>
        <w:t xml:space="preserve">]</w:t>
      </w:r>
      <w:r>
        <w:t xml:space="preserve">。</w:t>
      </w:r>
    </w:p>
    <w:p>
      <w:pPr>
        <w:pStyle w:val="BodyText"/>
      </w:pPr>
      <w:r>
        <w:t xml:space="preserve">局部抑制成熟、细胞外基质和其他稳定机制会改变经验影响回路的窗口。视觉皮层关键期研究提供了具体细胞背景，但不同系统具有不同时间组织。某一视觉回路的窗口不能直接用作语言、人格或全部学习的统一截止日期</w:t>
      </w:r>
      <w:r>
        <w:rPr>
          <w:vertAlign w:val="superscript"/>
        </w:rPr>
        <w:t xml:space="preserve">[</w:t>
      </w:r>
      <w:hyperlink w:anchor="ref-199">
        <w:r>
          <w:rPr>
            <w:rStyle w:val="Hyperlink"/>
            <w:vertAlign w:val="superscript"/>
          </w:rPr>
          <w:t xml:space="preserve">199</w:t>
        </w:r>
      </w:hyperlink>
      <w:r>
        <w:rPr>
          <w:vertAlign w:val="superscript"/>
        </w:rPr>
        <w:t xml:space="preserve">]</w:t>
      </w:r>
      <w:r>
        <w:t xml:space="preserve">。</w:t>
      </w:r>
    </w:p>
    <w:p>
      <w:pPr>
        <w:pStyle w:val="BodyText"/>
      </w:pPr>
      <w:r>
        <w:t xml:space="preserve">髓鞘形成进一步改变长程时序和轴突支持，学习也可影响部分髓鞘相关过程。成熟因此包含结构稳定与持续适应，两者可以在不同位置并存。成人仍可发生突触和传导相关改变，同时保留发育早期形成的强约束</w:t>
      </w:r>
      <w:r>
        <w:rPr>
          <w:vertAlign w:val="superscript"/>
        </w:rPr>
        <w:t xml:space="preserve">[</w:t>
      </w:r>
      <w:hyperlink w:anchor="ref-106">
        <w:r>
          <w:rPr>
            <w:rStyle w:val="Hyperlink"/>
            <w:vertAlign w:val="superscript"/>
          </w:rPr>
          <w:t xml:space="preserve">106</w:t>
        </w:r>
      </w:hyperlink>
      <w:r>
        <w:rPr>
          <w:vertAlign w:val="superscript"/>
        </w:rPr>
        <w:t xml:space="preserve">,</w:t>
      </w:r>
      <w:hyperlink w:anchor="ref-107">
        <w:r>
          <w:rPr>
            <w:rStyle w:val="Hyperlink"/>
            <w:vertAlign w:val="superscript"/>
          </w:rPr>
          <w:t xml:space="preserve">107</w:t>
        </w:r>
      </w:hyperlink>
      <w:r>
        <w:rPr>
          <w:vertAlign w:val="superscript"/>
        </w:rPr>
        <w:t xml:space="preserve">]</w:t>
      </w:r>
      <w:r>
        <w:t xml:space="preserve">。</w:t>
      </w:r>
    </w:p>
    <w:bookmarkEnd w:id="322"/>
    <w:bookmarkStart w:id="323" w:name="sec-17-9"/>
    <w:p>
      <w:pPr>
        <w:pStyle w:val="Heading3"/>
      </w:pPr>
      <w:r>
        <w:t xml:space="preserve">17.9　发育研究需要追踪事件先后与细胞命运</w:t>
      </w:r>
    </w:p>
    <w:p>
      <w:pPr>
        <w:pStyle w:val="FirstParagraph"/>
      </w:pPr>
      <w:r>
        <w:t xml:space="preserve">谱系示踪回答某细胞来自哪里，活体成像观察它怎样移动和分裂，转录组描述其表达状态，电生理测量其功能，连接追踪检验其伙伴。每种方法提供发育过程的一部分。细胞数量很多不等于独立动物或供体很多，时间点密集也不等于直接观察到每个细胞的连续生命史。</w:t>
      </w:r>
    </w:p>
    <w:p>
      <w:pPr>
        <w:pStyle w:val="BodyText"/>
      </w:pPr>
      <w:r>
        <w:t xml:space="preserve">一个发育干预可以同时影响产生、迁移和存活。若成年时某细胞类型减少，应区分是否最初生成较少、迁移到别处、命运改变或后来死亡。这些机制对补偿与治疗有不同含义。仅观察终点表达标记下降，无法直接指定其中一种。</w:t>
      </w:r>
    </w:p>
    <w:p>
      <w:pPr>
        <w:pStyle w:val="BodyText"/>
      </w:pPr>
      <w:r>
        <w:t xml:space="preserve">神经祖细胞产生、迁移、轴突引导及程序性细胞死亡具有高置信度的基础机制证据</w:t>
      </w:r>
      <w:r>
        <w:rPr>
          <w:vertAlign w:val="superscript"/>
        </w:rPr>
        <w:t xml:space="preserve">[</w:t>
      </w:r>
      <w:hyperlink w:anchor="ref-191">
        <w:r>
          <w:rPr>
            <w:rStyle w:val="Hyperlink"/>
            <w:vertAlign w:val="superscript"/>
          </w:rPr>
          <w:t xml:space="preserve">191</w:t>
        </w:r>
      </w:hyperlink>
      <w:r>
        <w:rPr>
          <w:vertAlign w:val="superscript"/>
        </w:rPr>
        <w:t xml:space="preserve">,</w:t>
      </w:r>
      <w:hyperlink w:anchor="ref-192">
        <w:r>
          <w:rPr>
            <w:rStyle w:val="Hyperlink"/>
            <w:vertAlign w:val="superscript"/>
          </w:rPr>
          <w:t xml:space="preserve">192</w:t>
        </w:r>
      </w:hyperlink>
      <w:r>
        <w:rPr>
          <w:vertAlign w:val="superscript"/>
        </w:rPr>
        <w:t xml:space="preserve">,</w:t>
      </w:r>
      <w:hyperlink w:anchor="ref-196">
        <w:r>
          <w:rPr>
            <w:rStyle w:val="Hyperlink"/>
            <w:vertAlign w:val="superscript"/>
          </w:rPr>
          <w:t xml:space="preserve">196</w:t>
        </w:r>
      </w:hyperlink>
      <w:r>
        <w:rPr>
          <w:vertAlign w:val="superscript"/>
        </w:rPr>
        <w:t xml:space="preserve">,</w:t>
      </w:r>
      <w:hyperlink w:anchor="ref-198">
        <w:r>
          <w:rPr>
            <w:rStyle w:val="Hyperlink"/>
            <w:vertAlign w:val="superscript"/>
          </w:rPr>
          <w:t xml:space="preserve">198</w:t>
        </w:r>
      </w:hyperlink>
      <w:r>
        <w:rPr>
          <w:vertAlign w:val="superscript"/>
        </w:rPr>
        <w:t xml:space="preserve">]</w:t>
      </w:r>
      <w:r>
        <w:t xml:space="preserve">。具体细胞亚型的谱系对应、物种之间的时间换算和人类特有细节，仍需要条件明确的独立验证，不能由单一终点图谱确定。阅读单细胞图谱（</w:t>
      </w:r>
      <w:hyperlink w:anchor="ch-18">
        <w:r>
          <w:rPr>
            <w:rStyle w:val="Hyperlink"/>
          </w:rPr>
          <w:t xml:space="preserve">第18章</w:t>
        </w:r>
      </w:hyperlink>
      <w:r>
        <w:t xml:space="preserve">）、比较演化（</w:t>
      </w:r>
      <w:hyperlink w:anchor="ch-3">
        <w:r>
          <w:rPr>
            <w:rStyle w:val="Hyperlink"/>
          </w:rPr>
          <w:t xml:space="preserve">第3章</w:t>
        </w:r>
      </w:hyperlink>
      <w:r>
        <w:t xml:space="preserve">）和人源模型（</w:t>
      </w:r>
      <w:hyperlink w:anchor="ch-153">
        <w:r>
          <w:rPr>
            <w:rStyle w:val="Hyperlink"/>
          </w:rPr>
          <w:t xml:space="preserve">第153章</w:t>
        </w:r>
      </w:hyperlink>
      <w:r>
        <w:t xml:space="preserve">）研究时，应持续追问细胞所在时间、谱系和组织环境。这样才能把一张静态图谱放回真实的发育过程。</w:t>
      </w:r>
    </w:p>
    <w:bookmarkEnd w:id="323"/>
    <w:bookmarkEnd w:id="324"/>
    <w:bookmarkStart w:id="335" w:name="ch-18"/>
    <w:p>
      <w:pPr>
        <w:pStyle w:val="Heading2"/>
      </w:pPr>
      <w:r>
        <w:t xml:space="preserve">第18章　单细胞图谱与空间分子组织</w:t>
      </w:r>
    </w:p>
    <w:bookmarkStart w:id="325" w:name="sec-18-1"/>
    <w:p>
      <w:pPr>
        <w:pStyle w:val="Heading3"/>
      </w:pPr>
      <w:r>
        <w:t xml:space="preserve">18.1　细胞身份需要多个维度共同描述</w:t>
      </w:r>
    </w:p>
    <w:p>
      <w:pPr>
        <w:pStyle w:val="FirstParagraph"/>
      </w:pPr>
      <w:r>
        <w:t xml:space="preserve">脑细胞的名称可以来自形状、递质、发育来源、基因表达、连接目标或电生理特性。每种命名方式都保留一部分生物信息。例如一个抑制性神经元可以同时具有特定胚胎来源、轴突终末分布和放电适应特征。把这些信息放在同一细胞上，才能检验不同分类体系之间的对应关系。单细胞图谱的价值包括发现异质性、提供共同坐标和提出具体机制假设，其分类边界仍需要多模态证据支持</w:t>
      </w:r>
      <w:r>
        <w:rPr>
          <w:vertAlign w:val="superscript"/>
        </w:rPr>
        <w:t xml:space="preserve">[</w:t>
      </w:r>
      <w:hyperlink w:anchor="ref-86">
        <w:r>
          <w:rPr>
            <w:rStyle w:val="Hyperlink"/>
            <w:vertAlign w:val="superscript"/>
          </w:rPr>
          <w:t xml:space="preserve">86</w:t>
        </w:r>
      </w:hyperlink>
      <w:r>
        <w:rPr>
          <w:vertAlign w:val="superscript"/>
        </w:rPr>
        <w:t xml:space="preserve">,</w:t>
      </w:r>
      <w:hyperlink w:anchor="ref-200">
        <w:r>
          <w:rPr>
            <w:rStyle w:val="Hyperlink"/>
            <w:vertAlign w:val="superscript"/>
          </w:rPr>
          <w:t xml:space="preserve">200</w:t>
        </w:r>
      </w:hyperlink>
      <w:r>
        <w:rPr>
          <w:vertAlign w:val="superscript"/>
        </w:rPr>
        <w:t xml:space="preserve">]</w:t>
      </w:r>
      <w:r>
        <w:t xml:space="preserve">。</w:t>
      </w:r>
    </w:p>
    <w:p>
      <w:pPr>
        <w:pStyle w:val="BodyText"/>
      </w:pPr>
      <w:r>
        <w:t xml:space="preserve">这里应区分细胞类型、细胞状态和细胞所在位置。类型通常指在一定条件范围内较稳定的特征组合；状态可以随活动、代谢、激素、损伤和昼夜阶段变化；位置决定可获得的输入、邻居和血管环境。同一类型可处于不同状态，同一状态相关表达也可出现于多个类型。分类算法观察的是有限测量下的相似性，生物学解释需要把这些维度重新拆开。</w:t>
      </w:r>
    </w:p>
    <w:p>
      <w:pPr>
        <w:pStyle w:val="BodyText"/>
      </w:pPr>
      <w:r>
        <w:t xml:space="preserve">一个实用的阅读顺序是先确定物种、脑区、年龄和取样区室，再看测了哪些分子，随后查看分类依据以及外部验证。若直接从彩色细胞群图跳到心理功能名称，中间会遗漏细胞生理、局部回路和行为条件等多个层级。</w:t>
      </w:r>
    </w:p>
    <w:bookmarkEnd w:id="325"/>
    <w:bookmarkStart w:id="326" w:name="sec-18-2"/>
    <w:p>
      <w:pPr>
        <w:pStyle w:val="Heading3"/>
      </w:pPr>
      <w:r>
        <w:t xml:space="preserve">18.2　单细胞和单细胞核测量不同区室</w:t>
      </w:r>
    </w:p>
    <w:p>
      <w:pPr>
        <w:pStyle w:val="FirstParagraph"/>
      </w:pPr>
      <w:r>
        <w:t xml:space="preserve">单细胞RNA测序需要取得细胞，神经组织中的长轴突和细树突却难以完整保留。所得表达谱主要代表被收集部分的RNA。单细胞核测序能够使用冷冻组织，读取的成分偏向核内转录本和未完全剪接的RNA。两种技术各自选择了不同的可观察窗口。匹配小鼠皮层类型的研究发现，纳入内含子读段有助于单核数据区分相近细胞类型，同时全细胞与细胞核仍具有系统性的转录本组成差异</w:t>
      </w:r>
      <w:r>
        <w:rPr>
          <w:vertAlign w:val="superscript"/>
        </w:rPr>
        <w:t xml:space="preserve">[</w:t>
      </w:r>
      <w:hyperlink w:anchor="ref-201">
        <w:r>
          <w:rPr>
            <w:rStyle w:val="Hyperlink"/>
            <w:vertAlign w:val="superscript"/>
          </w:rPr>
          <w:t xml:space="preserve">201</w:t>
        </w:r>
      </w:hyperlink>
      <w:r>
        <w:rPr>
          <w:vertAlign w:val="superscript"/>
        </w:rPr>
        <w:t xml:space="preserve">]</w:t>
      </w:r>
      <w:r>
        <w:t xml:space="preserve">。</w:t>
      </w:r>
    </w:p>
    <w:p>
      <w:pPr>
        <w:pStyle w:val="BodyText"/>
      </w:pPr>
      <w:r>
        <w:t xml:space="preserve">这种区室差异具有直接的机制含义。树突局部翻译需要先把相关RNA运输到目标区域；细胞核中发现该RNA只能说明其产生与核内存在，无法给出远端运输效率。胞体表达相近的两个细胞，也可能在突触附近形成不同蛋白分布。比较研究若混合全细胞与单核数据，需要避免把核质比例变化误解成整个细胞的基因调节。</w:t>
      </w:r>
    </w:p>
    <w:p>
      <w:pPr>
        <w:pStyle w:val="BodyText"/>
      </w:pPr>
      <w:r>
        <w:t xml:space="preserve">组织解离还会改变细胞状态。酶处理、机械应力、离开原有营养与突触环境，都可能引发快速反应。解离诱导表达的原始研究在肌肉干细胞中直接展示了此问题，其他组织与方案的影响程度须分别验证</w:t>
      </w:r>
      <w:r>
        <w:rPr>
          <w:vertAlign w:val="superscript"/>
        </w:rPr>
        <w:t xml:space="preserve">[</w:t>
      </w:r>
      <w:hyperlink w:anchor="ref-202">
        <w:r>
          <w:rPr>
            <w:rStyle w:val="Hyperlink"/>
            <w:vertAlign w:val="superscript"/>
          </w:rPr>
          <w:t xml:space="preserve">202</w:t>
        </w:r>
      </w:hyperlink>
      <w:r>
        <w:rPr>
          <w:vertAlign w:val="superscript"/>
        </w:rPr>
        <w:t xml:space="preserve">]</w:t>
      </w:r>
      <w:r>
        <w:t xml:space="preserve">。对脑组织而言，比较即时早期基因时尤其需要记录制备温度、时间和样本来源。冷冻单核技术减少了一部分活细胞解离问题，但仍受RNA质量、核提取和选择性损失影响。</w:t>
      </w:r>
    </w:p>
    <w:bookmarkEnd w:id="326"/>
    <w:bookmarkStart w:id="327" w:name="sec-18-3"/>
    <w:p>
      <w:pPr>
        <w:pStyle w:val="Heading3"/>
      </w:pPr>
      <w:r>
        <w:t xml:space="preserve">18.3　从转录本到蛋白功能存在多个调节环节</w:t>
      </w:r>
    </w:p>
    <w:p>
      <w:pPr>
        <w:pStyle w:val="FirstParagraph"/>
      </w:pPr>
      <w:r>
        <w:t xml:space="preserve">RNA丰度反映生成、加工和降解的共同结果。蛋白丰度还取决于翻译效率、蛋白寿命、运输和降解。受体是否发挥作用，又取决于亚基组合、膜定位、配体可用性、耦联分子以及磷酸化等调节。因此，一个受体基因在某类细胞中富集，可以支持提出该类细胞具有某种响应潜力的假设；确认实际响应仍需要蛋白定位和功能实验。</w:t>
      </w:r>
      <w:hyperlink w:anchor="ch-8">
        <w:r>
          <w:rPr>
            <w:rStyle w:val="Hyperlink"/>
          </w:rPr>
          <w:t xml:space="preserve">第8章</w:t>
        </w:r>
      </w:hyperlink>
      <w:r>
        <w:t xml:space="preserve">介绍的受体信号分子机制，解释了这段转换为何具有条件依赖性</w:t>
      </w:r>
      <w:r>
        <w:rPr>
          <w:vertAlign w:val="superscript"/>
        </w:rPr>
        <w:t xml:space="preserve">[</w:t>
      </w:r>
      <w:hyperlink w:anchor="ref-63">
        <w:r>
          <w:rPr>
            <w:rStyle w:val="Hyperlink"/>
            <w:vertAlign w:val="superscript"/>
          </w:rPr>
          <w:t xml:space="preserve">63</w:t>
        </w:r>
      </w:hyperlink>
      <w:r>
        <w:rPr>
          <w:vertAlign w:val="superscript"/>
        </w:rPr>
        <w:t xml:space="preserve">,</w:t>
      </w:r>
      <w:hyperlink w:anchor="ref-67">
        <w:r>
          <w:rPr>
            <w:rStyle w:val="Hyperlink"/>
            <w:vertAlign w:val="superscript"/>
          </w:rPr>
          <w:t xml:space="preserve">67</w:t>
        </w:r>
      </w:hyperlink>
      <w:r>
        <w:rPr>
          <w:vertAlign w:val="superscript"/>
        </w:rPr>
        <w:t xml:space="preserve">,</w:t>
      </w:r>
      <w:hyperlink w:anchor="ref-68">
        <w:r>
          <w:rPr>
            <w:rStyle w:val="Hyperlink"/>
            <w:vertAlign w:val="superscript"/>
          </w:rPr>
          <w:t xml:space="preserve">68</w:t>
        </w:r>
      </w:hyperlink>
      <w:r>
        <w:rPr>
          <w:vertAlign w:val="superscript"/>
        </w:rPr>
        <w:t xml:space="preserve">]</w:t>
      </w:r>
      <w:r>
        <w:t xml:space="preserve">。</w:t>
      </w:r>
    </w:p>
    <w:p>
      <w:pPr>
        <w:pStyle w:val="BodyText"/>
      </w:pPr>
      <w:r>
        <w:t xml:space="preserve">例如，假设两类细胞具有相近的某受体RNA计数，一类将较多成熟受体运输到膜面，另一类主要保留在胞内，两者对相同外源配体可以产生不同响应。这个教学例子说明表达相同不足以指定药理效应。相反，RNA短时下降之后，寿命较长的膜蛋白仍可能维持作用。观察到表达与功能的时间错位，应先检查更新和运输过程。</w:t>
      </w:r>
    </w:p>
    <w:p>
      <w:pPr>
        <w:pStyle w:val="BodyText"/>
      </w:pPr>
      <w:r>
        <w:t xml:space="preserve">同样，检测到合成酶RNA并不足以证明某种递质在该细胞的特定末梢中被释放。合成、囊泡装载、轴突运输、释放装置和刺激条件都属于需要确认的环节。转录图谱可以帮助选择候选细胞，真正的递质表型还需要与化学、解剖和生理证据连接。</w:t>
      </w:r>
    </w:p>
    <w:bookmarkEnd w:id="327"/>
    <w:bookmarkStart w:id="328" w:name="sec-18-4"/>
    <w:p>
      <w:pPr>
        <w:pStyle w:val="Heading3"/>
      </w:pPr>
      <w:r>
        <w:t xml:space="preserve">18.4　连续变化与离散分类可以同时存在</w:t>
      </w:r>
    </w:p>
    <w:p>
      <w:pPr>
        <w:pStyle w:val="FirstParagraph"/>
      </w:pPr>
      <w:r>
        <w:t xml:space="preserve">细胞的某些性质形成明显群组，另一些性质沿皮层深度、发育时间或活动水平连续变化。为了建立可检索图谱，研究者必须选定分类分辨率；更细的分类会把部分连续变化划分为多个簇。簇数增加本身不能证明发现了同样数量的不可再分生物单元。层级分类允许在粗粒度稳定名称与细粒度差异之间移动</w:t>
      </w:r>
      <w:r>
        <w:rPr>
          <w:vertAlign w:val="superscript"/>
        </w:rPr>
        <w:t xml:space="preserve">[</w:t>
      </w:r>
      <w:hyperlink w:anchor="ref-200">
        <w:r>
          <w:rPr>
            <w:rStyle w:val="Hyperlink"/>
            <w:vertAlign w:val="superscript"/>
          </w:rPr>
          <w:t xml:space="preserve">200</w:t>
        </w:r>
      </w:hyperlink>
      <w:r>
        <w:rPr>
          <w:vertAlign w:val="superscript"/>
        </w:rPr>
        <w:t xml:space="preserve">,</w:t>
      </w:r>
      <w:hyperlink w:anchor="ref-203">
        <w:r>
          <w:rPr>
            <w:rStyle w:val="Hyperlink"/>
            <w:vertAlign w:val="superscript"/>
          </w:rPr>
          <w:t xml:space="preserve">203</w:t>
        </w:r>
      </w:hyperlink>
      <w:r>
        <w:rPr>
          <w:vertAlign w:val="superscript"/>
        </w:rPr>
        <w:t xml:space="preserve">]</w:t>
      </w:r>
      <w:r>
        <w:t xml:space="preserve">。</w:t>
      </w:r>
    </w:p>
    <w:p>
      <w:pPr>
        <w:pStyle w:val="BodyText"/>
      </w:pPr>
      <w:r>
        <w:t xml:space="preserve">一种检验思路是问分类能否预测独立属性。若基于RNA划分的细胞群还能预测轴突层分布和电生理特征，这种类型定义获得更多支持。Patch-seq把膜片记录、细胞内标记与转录测量结合。Gouwens等研究获得超过四千二百个小鼠视觉皮层抑制性神经元的转录和内在电生理数据，其中五百一十七个进行了形态重建；这些不同测量的覆盖数量需要分别报告</w:t>
      </w:r>
      <w:r>
        <w:rPr>
          <w:vertAlign w:val="superscript"/>
        </w:rPr>
        <w:t xml:space="preserve">[</w:t>
      </w:r>
      <w:hyperlink w:anchor="ref-200">
        <w:r>
          <w:rPr>
            <w:rStyle w:val="Hyperlink"/>
            <w:vertAlign w:val="superscript"/>
          </w:rPr>
          <w:t xml:space="preserve">200</w:t>
        </w:r>
      </w:hyperlink>
      <w:r>
        <w:rPr>
          <w:vertAlign w:val="superscript"/>
        </w:rPr>
        <w:t xml:space="preserve">]</w:t>
      </w:r>
      <w:r>
        <w:t xml:space="preserve">。</w:t>
      </w:r>
    </w:p>
    <w:p>
      <w:pPr>
        <w:pStyle w:val="BodyText"/>
      </w:pPr>
      <w:r>
        <w:t xml:space="preserve">多模态不要求每个属性完全一一对应。相似转录类型之间可以存在形态连续变化，同一形态大类内部也可具有不同受体组成。对研究问题而言，分类是否足够取决于所需预测：研究轴突靶层时，形态与位置可能尤其关键；研究药物响应时，受体、细胞内信号和暴露条件更直接。</w:t>
      </w:r>
    </w:p>
    <w:bookmarkEnd w:id="328"/>
    <w:bookmarkStart w:id="329" w:name="sec-18-5"/>
    <w:p>
      <w:pPr>
        <w:pStyle w:val="Heading3"/>
      </w:pPr>
      <w:r>
        <w:t xml:space="preserve">18.5　空间组学恢复被解离打散的邻接关系</w:t>
      </w:r>
    </w:p>
    <w:p>
      <w:pPr>
        <w:pStyle w:val="FirstParagraph"/>
      </w:pPr>
      <w:r>
        <w:t xml:space="preserve">空间转录技术保留分子与组织位置之间的联系。原位杂交成像通过多轮探针读取识别RNA；MERFISH使用具有容错能力的组合编码，降低读取错误造成的混淆。STARmap把组织化学、靶向扩增和原位读取结合，用于三维组织中的转录状态测量。条形码捕获阵列则将组织位置编码到测序读段中。不同原理决定了各自的覆盖、分辨率和误差来源</w:t>
      </w:r>
      <w:r>
        <w:rPr>
          <w:vertAlign w:val="superscript"/>
        </w:rPr>
        <w:t xml:space="preserve">[</w:t>
      </w:r>
      <w:hyperlink w:anchor="ref-204">
        <w:r>
          <w:rPr>
            <w:rStyle w:val="Hyperlink"/>
            <w:vertAlign w:val="superscript"/>
          </w:rPr>
          <w:t xml:space="preserve">204</w:t>
        </w:r>
      </w:hyperlink>
      <w:r>
        <w:rPr>
          <w:vertAlign w:val="superscript"/>
        </w:rPr>
        <w:t xml:space="preserve">,</w:t>
      </w:r>
      <w:hyperlink w:anchor="ref-205">
        <w:r>
          <w:rPr>
            <w:rStyle w:val="Hyperlink"/>
            <w:vertAlign w:val="superscript"/>
          </w:rPr>
          <w:t xml:space="preserve">205</w:t>
        </w:r>
      </w:hyperlink>
      <w:r>
        <w:rPr>
          <w:vertAlign w:val="superscript"/>
        </w:rPr>
        <w:t xml:space="preserve">,</w:t>
      </w:r>
      <w:hyperlink w:anchor="ref-206">
        <w:r>
          <w:rPr>
            <w:rStyle w:val="Hyperlink"/>
            <w:vertAlign w:val="superscript"/>
          </w:rPr>
          <w:t xml:space="preserve">206</w:t>
        </w:r>
      </w:hyperlink>
      <w:r>
        <w:rPr>
          <w:vertAlign w:val="superscript"/>
        </w:rPr>
        <w:t xml:space="preserve">]</w:t>
      </w:r>
      <w:r>
        <w:t xml:space="preserve">。</w:t>
      </w:r>
    </w:p>
    <w:p>
      <w:pPr>
        <w:pStyle w:val="BodyText"/>
      </w:pPr>
      <w:r>
        <w:t xml:space="preserve">空间分辨率至少包含三个概念：成像像素或捕获点有多小，单个RNA定位有多精确，以及能否可靠地把RNA归属于真实细胞。小像素并不自动解决细胞边界问题。神经元和胶质细胞突起互相交错，细胞核周围的简单扩张轮廓可能把邻近突起内的RNA分给错误细胞。分析细胞间配体受体关系时，这种归属错误会直接改变候选相互作用。</w:t>
      </w:r>
    </w:p>
    <w:p>
      <w:pPr>
        <w:pStyle w:val="BodyText"/>
      </w:pPr>
      <w:r>
        <w:t xml:space="preserve">检测灵敏度与覆盖范围也需要分别描述。一个包含少数精心选择基因的面板，可以精确定位已知类型，却可能遗漏未预料的状态；广覆盖测序能够发现更多分子，某些低丰度转录本的检出率仍有限。没有检出通常只提供一个依赖技术条件的上限信息。不同技术给出的零值具有不同含义，不能统一当作分子完全不存在。</w:t>
      </w:r>
    </w:p>
    <w:bookmarkEnd w:id="329"/>
    <w:bookmarkStart w:id="330" w:name="sec-18-6"/>
    <w:p>
      <w:pPr>
        <w:pStyle w:val="Heading3"/>
      </w:pPr>
      <w:r>
        <w:t xml:space="preserve">18.6　邻近和共表达提供候选细胞通信机制</w:t>
      </w:r>
    </w:p>
    <w:p>
      <w:pPr>
        <w:pStyle w:val="FirstParagraph"/>
      </w:pPr>
      <w:r>
        <w:t xml:space="preserve">若一个细胞表达配体，附近另一个细胞表达对应受体，可以提出通信假设。这个假设需要进一步回答配体是否被加工和释放、是否到达受体、受体是否位于可接近膜面、局部清除速度是否允许有效浓度，以及下游信号是否真的改变。空间接近提高某些路径的可行性，扩散性分子和长程轴突又使距离与功能关系具有不同尺度。</w:t>
      </w:r>
    </w:p>
    <w:p>
      <w:pPr>
        <w:pStyle w:val="BodyText"/>
      </w:pPr>
      <w:r>
        <w:t xml:space="preserve">以神经肽为例，胞体中的肽前体RNA可能与远处末梢的释放位置分离。仅根据胞体邻接推断肽的实际作用范围，会漏掉轴突运输。以胶质与血管为例，胞体距离较远的星形胶质细胞，其足突仍可以覆盖目标血管。组织中的功能接触需要结合突起结构，二维细胞中心点之间的距离只是一个有限描述</w:t>
      </w:r>
      <w:r>
        <w:rPr>
          <w:vertAlign w:val="superscript"/>
        </w:rPr>
        <w:t xml:space="preserve">[</w:t>
      </w:r>
      <w:hyperlink w:anchor="ref-67">
        <w:r>
          <w:rPr>
            <w:rStyle w:val="Hyperlink"/>
            <w:vertAlign w:val="superscript"/>
          </w:rPr>
          <w:t xml:space="preserve">67</w:t>
        </w:r>
      </w:hyperlink>
      <w:r>
        <w:rPr>
          <w:vertAlign w:val="superscript"/>
        </w:rPr>
        <w:t xml:space="preserve">,</w:t>
      </w:r>
      <w:hyperlink w:anchor="ref-110">
        <w:r>
          <w:rPr>
            <w:rStyle w:val="Hyperlink"/>
            <w:vertAlign w:val="superscript"/>
          </w:rPr>
          <w:t xml:space="preserve">110</w:t>
        </w:r>
      </w:hyperlink>
      <w:r>
        <w:rPr>
          <w:vertAlign w:val="superscript"/>
        </w:rPr>
        <w:t xml:space="preserve">,</w:t>
      </w:r>
      <w:hyperlink w:anchor="ref-203">
        <w:r>
          <w:rPr>
            <w:rStyle w:val="Hyperlink"/>
            <w:vertAlign w:val="superscript"/>
          </w:rPr>
          <w:t xml:space="preserve">203</w:t>
        </w:r>
      </w:hyperlink>
      <w:r>
        <w:rPr>
          <w:vertAlign w:val="superscript"/>
        </w:rPr>
        <w:t xml:space="preserve">]</w:t>
      </w:r>
      <w:r>
        <w:t xml:space="preserve">。</w:t>
      </w:r>
    </w:p>
    <w:p>
      <w:pPr>
        <w:pStyle w:val="BodyText"/>
      </w:pPr>
      <w:r>
        <w:t xml:space="preserve">由此可以设计逐级验证：先用空间数据选择候选接触，再确认蛋白与亚细胞位置，然后测量配体变化及受体依赖响应，最后观察对回路输出的影响。每一步都增加新的机制约束，能够将较宽泛的表达相关逐步收紧到具体通信过程。</w:t>
      </w:r>
    </w:p>
    <w:bookmarkEnd w:id="330"/>
    <w:bookmarkStart w:id="331" w:name="sec-18-7"/>
    <w:p>
      <w:pPr>
        <w:pStyle w:val="Heading3"/>
      </w:pPr>
      <w:r>
        <w:t xml:space="preserve">18.7　多组学将表达差异连接到调控潜力</w:t>
      </w:r>
    </w:p>
    <w:p>
      <w:pPr>
        <w:pStyle w:val="FirstParagraph"/>
      </w:pPr>
      <w:r>
        <w:t xml:space="preserve">染色质可接近性测量反映某些DNA区域更容易被相关酶接近，可以帮助识别候选调控区域。RNA测量反映转录产物。二者在同一细胞核中配对，可减少跨样本对齐的不确定性，但可接近性仍不能单独证明某转录因子已经结合或某增强子正在驱动目标基因。调控位点与基因的连接还受三维染色质接触、细胞状态及其他调节因素影响</w:t>
      </w:r>
      <w:r>
        <w:rPr>
          <w:vertAlign w:val="superscript"/>
        </w:rPr>
        <w:t xml:space="preserve">[</w:t>
      </w:r>
      <w:hyperlink w:anchor="ref-207">
        <w:r>
          <w:rPr>
            <w:rStyle w:val="Hyperlink"/>
            <w:vertAlign w:val="superscript"/>
          </w:rPr>
          <w:t xml:space="preserve">207</w:t>
        </w:r>
      </w:hyperlink>
      <w:r>
        <w:rPr>
          <w:vertAlign w:val="superscript"/>
        </w:rPr>
        <w:t xml:space="preserve">]</w:t>
      </w:r>
      <w:r>
        <w:t xml:space="preserve">。</w:t>
      </w:r>
    </w:p>
    <w:p>
      <w:pPr>
        <w:pStyle w:val="BodyText"/>
      </w:pPr>
      <w:r>
        <w:t xml:space="preserve">2026年的人类皮层多组学研究覆盖六名供体的九个皮层区域，超过三百万个核接受测量，质控后保留超过一百七十万个高质量核。研究描述了区域相关的受体亚基和钙调节分子模式。初始测量数与质控后分析数应分别理解；候选调控网络也应保留其推断性质</w:t>
      </w:r>
      <w:r>
        <w:rPr>
          <w:vertAlign w:val="superscript"/>
        </w:rPr>
        <w:t xml:space="preserve">[</w:t>
      </w:r>
      <w:hyperlink w:anchor="ref-207">
        <w:r>
          <w:rPr>
            <w:rStyle w:val="Hyperlink"/>
            <w:vertAlign w:val="superscript"/>
          </w:rPr>
          <w:t xml:space="preserve">207</w:t>
        </w:r>
      </w:hyperlink>
      <w:r>
        <w:rPr>
          <w:vertAlign w:val="superscript"/>
        </w:rPr>
        <w:t xml:space="preserve">]</w:t>
      </w:r>
      <w:r>
        <w:t xml:space="preserve">。</w:t>
      </w:r>
    </w:p>
    <w:p>
      <w:pPr>
        <w:pStyle w:val="BodyText"/>
      </w:pPr>
      <w:r>
        <w:t xml:space="preserve">一个可检验的机制问题是某调控区域改变是否足以影响受体亚基组成，继而改变突触电流。这样的因果链需要在适当细胞背景中进行扰动，并同时测量分子和生理结局。只观察转录因子与目标基因共同升高，尚不能排除二者受第三个信号共同调节。共表达图中的箭头应视为候选关系，除非有相应方向性实验。</w:t>
      </w:r>
    </w:p>
    <w:bookmarkEnd w:id="331"/>
    <w:bookmarkStart w:id="332" w:name="sec-18-8"/>
    <w:p>
      <w:pPr>
        <w:pStyle w:val="Heading3"/>
      </w:pPr>
      <w:r>
        <w:t xml:space="preserve">18.8　跨个体稳定性决定图谱能否成为通用坐标</w:t>
      </w:r>
    </w:p>
    <w:p>
      <w:pPr>
        <w:pStyle w:val="FirstParagraph"/>
      </w:pPr>
      <w:r>
        <w:t xml:space="preserve">图谱需要在不同供体、脑区和平台之间保持一定可重复性。常见大类往往较容易对应，稀有细胞、疾病状态及细微亚类则可能需要更多样本。脑区取样边界稍有变化，便可能改变层或核团组成；年龄、遗传背景和组织质量又会改变细胞状态。研究者应说明一种类型是否在多个供体中出现，以及哪些特征用于稳定对齐</w:t>
      </w:r>
      <w:r>
        <w:rPr>
          <w:vertAlign w:val="superscript"/>
        </w:rPr>
        <w:t xml:space="preserve">[</w:t>
      </w:r>
      <w:hyperlink w:anchor="ref-86">
        <w:r>
          <w:rPr>
            <w:rStyle w:val="Hyperlink"/>
            <w:vertAlign w:val="superscript"/>
          </w:rPr>
          <w:t xml:space="preserve">86</w:t>
        </w:r>
      </w:hyperlink>
      <w:r>
        <w:rPr>
          <w:vertAlign w:val="superscript"/>
        </w:rPr>
        <w:t xml:space="preserve">,</w:t>
      </w:r>
      <w:hyperlink w:anchor="ref-203">
        <w:r>
          <w:rPr>
            <w:rStyle w:val="Hyperlink"/>
            <w:vertAlign w:val="superscript"/>
          </w:rPr>
          <w:t xml:space="preserve">203</w:t>
        </w:r>
      </w:hyperlink>
      <w:r>
        <w:rPr>
          <w:vertAlign w:val="superscript"/>
        </w:rPr>
        <w:t xml:space="preserve">,</w:t>
      </w:r>
      <w:hyperlink w:anchor="ref-208">
        <w:r>
          <w:rPr>
            <w:rStyle w:val="Hyperlink"/>
            <w:vertAlign w:val="superscript"/>
          </w:rPr>
          <w:t xml:space="preserve">208</w:t>
        </w:r>
      </w:hyperlink>
      <w:r>
        <w:rPr>
          <w:vertAlign w:val="superscript"/>
        </w:rPr>
        <w:t xml:space="preserve">]</w:t>
      </w:r>
      <w:r>
        <w:t xml:space="preserve">。</w:t>
      </w:r>
    </w:p>
    <w:p>
      <w:pPr>
        <w:pStyle w:val="BodyText"/>
      </w:pPr>
      <w:r>
        <w:t xml:space="preserve">细胞数量回答的是组织内部取样细度，供体数量回答的是跨个体变化能被观察到多少。两者都重要。例如同一供体中发现大量具有相似表达的核，可以增加对该组织中该群体的描述精度，却无法直接确定另一年龄或另一遗传背景的人是否具有相同比例。将每个核当作独立的人体重复，会把生物层级混在一起。</w:t>
      </w:r>
    </w:p>
    <w:p>
      <w:pPr>
        <w:pStyle w:val="BodyText"/>
      </w:pPr>
      <w:r>
        <w:t xml:space="preserve">批次整合也有生物代价。技术差异需要校正，真实的区域或年龄差异则应保留。若把所有来源都强行映射到完全重合的细胞簇，可能消除真正有意义的变化。评估整合质量应同时检查技术混合是否改善、已知生物差异是否仍可恢复，以及新发现能否在独立材料中重现。</w:t>
      </w:r>
    </w:p>
    <w:bookmarkEnd w:id="332"/>
    <w:bookmarkStart w:id="333" w:name="sec-18-9"/>
    <w:p>
      <w:pPr>
        <w:pStyle w:val="Heading3"/>
      </w:pPr>
      <w:r>
        <w:t xml:space="preserve">18.9　生命周期和遗传调控扩展了图谱的问题范围</w:t>
      </w:r>
    </w:p>
    <w:p>
      <w:pPr>
        <w:pStyle w:val="FirstParagraph"/>
      </w:pPr>
      <w:r>
        <w:t xml:space="preserve">2026年的背外侧前额叶生命周期图谱分析了二百八十四名供体、质控后一百三十余万个细胞核，描述了发育、中年和老年阶段不同的细胞类型相关转录模式。这是跨年龄供体构成的横断面组织资源；推定的年龄轨迹不能当作对同一个人从出生到衰老的连续跟踪，也不能据此给个人预测疾病</w:t>
      </w:r>
      <w:r>
        <w:rPr>
          <w:vertAlign w:val="superscript"/>
        </w:rPr>
        <w:t xml:space="preserve">[</w:t>
      </w:r>
      <w:hyperlink w:anchor="ref-208">
        <w:r>
          <w:rPr>
            <w:rStyle w:val="Hyperlink"/>
            <w:vertAlign w:val="superscript"/>
          </w:rPr>
          <w:t xml:space="preserve">208</w:t>
        </w:r>
      </w:hyperlink>
      <w:r>
        <w:rPr>
          <w:vertAlign w:val="superscript"/>
        </w:rPr>
        <w:t xml:space="preserve">]</w:t>
      </w:r>
      <w:r>
        <w:t xml:space="preserve">。</w:t>
      </w:r>
    </w:p>
    <w:p>
      <w:pPr>
        <w:pStyle w:val="BodyText"/>
      </w:pPr>
      <w:r>
        <w:t xml:space="preserve">同年的单核遗传调控图谱扩展到一千三百八十四名不同祖源供体和约五百六十万个核，寻找在特定细胞类别中影响基因表达的遗传关联</w:t>
      </w:r>
      <w:r>
        <w:rPr>
          <w:vertAlign w:val="superscript"/>
        </w:rPr>
        <w:t xml:space="preserve">[</w:t>
      </w:r>
      <w:hyperlink w:anchor="ref-209">
        <w:r>
          <w:rPr>
            <w:rStyle w:val="Hyperlink"/>
            <w:vertAlign w:val="superscript"/>
          </w:rPr>
          <w:t xml:space="preserve">209</w:t>
        </w:r>
      </w:hyperlink>
      <w:r>
        <w:rPr>
          <w:vertAlign w:val="superscript"/>
        </w:rPr>
        <w:t xml:space="preserve">]</w:t>
      </w:r>
      <w:r>
        <w:t xml:space="preserve">。这类资源能够把人群遗传位点与候选细胞联系起来。一个风险位点与表达位点共定位，增加了共享机制的可能性；从关联到具体变异、分子作用再到疾病过程，仍需要逐步验证。</w:t>
      </w:r>
    </w:p>
    <w:p>
      <w:pPr>
        <w:pStyle w:val="BodyText"/>
      </w:pPr>
      <w:r>
        <w:t xml:space="preserve">图谱的解释价值还取决于参考人群覆盖。某种类型在一个资源中少见，可能反映其真实稀少、取样遗漏或识别不足。不同祖源、年龄及生活环境的纳入能够扩展推断范围，单个数据集仍无法覆盖全部人类差异。明确适用范围有助于让新图谱与已有知识累积连接。</w:t>
      </w:r>
    </w:p>
    <w:bookmarkEnd w:id="333"/>
    <w:bookmarkStart w:id="334" w:name="sec-18-10"/>
    <w:p>
      <w:pPr>
        <w:pStyle w:val="Heading3"/>
      </w:pPr>
      <w:r>
        <w:t xml:space="preserve">18.10　从细胞地图走向功能机制</w:t>
      </w:r>
    </w:p>
    <w:p>
      <w:pPr>
        <w:pStyle w:val="FirstParagraph"/>
      </w:pPr>
      <w:r>
        <w:t xml:space="preserve">单细胞图谱能够提出更精细的问题：哪类细胞表达候选靶点，处于何种状态，位于什么回路，哪些遗传调控可能改变其作用。随后需要用定位、记录、示踪与扰动把这些层级连接。结构连接章节讨论信息可能经过哪些路径，细胞图谱补充路径中各节点的分子条件，两者共同约束功能解释。</w:t>
      </w:r>
    </w:p>
    <w:p>
      <w:pPr>
        <w:pStyle w:val="BodyText"/>
      </w:pPr>
      <w:r>
        <w:t xml:space="preserve">对本章关键判断可以分层评估。RNA与蛋白属于不同测量层级、细胞核和全细胞具有区室差异、空间分辨率受分割与检出率约束，均有高置信度基础。具体细胞类型跨平台的细粒度边界，以及某些区域表达差异对应的生理后果，通常需要中等置信度的条件性表述。由图谱直接预测个体心理特征、诊断或药物疗效，目前缺少足够可靠的普遍证据。</w:t>
      </w:r>
    </w:p>
    <w:p>
      <w:pPr>
        <w:pStyle w:val="BodyText"/>
      </w:pPr>
      <w:r>
        <w:t xml:space="preserve">最有价值的细胞图谱应允许问题被继续追踪：名称能够回到原始细胞，表达能够回到组织位置，候选机制能够进入功能实验。保持这种可追溯联系，能使快速扩张的数据成为不断改善的生物学知识。</w:t>
      </w:r>
    </w:p>
    <w:bookmarkEnd w:id="334"/>
    <w:bookmarkEnd w:id="335"/>
    <w:bookmarkStart w:id="347" w:name="ch-19"/>
    <w:p>
      <w:pPr>
        <w:pStyle w:val="Heading2"/>
      </w:pPr>
      <w:r>
        <w:t xml:space="preserve">第19章　连接组与结构—功能关系</w:t>
      </w:r>
    </w:p>
    <w:bookmarkStart w:id="336" w:name="sec-19-1"/>
    <w:p>
      <w:pPr>
        <w:pStyle w:val="Heading3"/>
      </w:pPr>
      <w:r>
        <w:t xml:space="preserve">19.1　连接的单位决定地图回答的问题</w:t>
      </w:r>
    </w:p>
    <w:p>
      <w:pPr>
        <w:pStyle w:val="FirstParagraph"/>
      </w:pPr>
      <w:r>
        <w:t xml:space="preserve">连接组可以把脑区、细胞群、单个神经元或突触作为描述单位。脑区之间的一条纤维束包含许多不同起源、靶点和功能的轴突；细胞之间的一条连接又可能包含多个突触接触。不同尺度的图谱彼此关联，但一条粗粒度边无法直接转换成一个具有固定作用的单突触通道。分析前必须明确节点和边代表什么。</w:t>
      </w:r>
    </w:p>
    <w:p>
      <w:pPr>
        <w:pStyle w:val="BodyText"/>
      </w:pPr>
      <w:r>
        <w:t xml:space="preserve">电子显微镜能够辨认细膜结构、囊泡和突触相关特征，为突触水平连接提供关键证据。光学示踪则适合观察较大范围的投射，但通常不能仅凭两个突起靠近就确认突触。小鼠皮层的密集超微结构重建已经显示，局部物理接近不足以完整预测实际突触配对</w:t>
      </w:r>
      <w:r>
        <w:rPr>
          <w:vertAlign w:val="superscript"/>
        </w:rPr>
        <w:t xml:space="preserve">[</w:t>
      </w:r>
      <w:hyperlink w:anchor="ref-210">
        <w:r>
          <w:rPr>
            <w:rStyle w:val="Hyperlink"/>
            <w:vertAlign w:val="superscript"/>
          </w:rPr>
          <w:t xml:space="preserve">210</w:t>
        </w:r>
      </w:hyperlink>
      <w:r>
        <w:rPr>
          <w:vertAlign w:val="superscript"/>
        </w:rPr>
        <w:t xml:space="preserve">]</w:t>
      </w:r>
      <w:r>
        <w:t xml:space="preserve">。因此，轴突经过某处、轴突在那里形成末梢、末梢与特定细胞形成突触，属于逐步增加约束的三个解剖判断。</w:t>
      </w:r>
    </w:p>
    <w:p>
      <w:pPr>
        <w:pStyle w:val="BodyText"/>
      </w:pPr>
      <w:r>
        <w:t xml:space="preserve">连接地图还应说明覆盖的通信方式。多数大规模电镜资源重点标注化学突触。电突触、神经肽体积传递和胶质介导的环境调节可能需要不同检测与注释策略。将一种通信网络绘得很完整，仍需要说明其边界。</w:t>
      </w:r>
    </w:p>
    <w:bookmarkEnd w:id="336"/>
    <w:bookmarkStart w:id="337" w:name="sec-19-2"/>
    <w:p>
      <w:pPr>
        <w:pStyle w:val="Heading3"/>
      </w:pPr>
      <w:r>
        <w:t xml:space="preserve">19.2　从组织切片到连接矩阵存在多步重建</w:t>
      </w:r>
    </w:p>
    <w:p>
      <w:pPr>
        <w:pStyle w:val="FirstParagraph"/>
      </w:pPr>
      <w:r>
        <w:t xml:space="preserve">典型电镜连接组先固定组织，连续成像，再把相邻图像配准并分割膜围成的结构。随后沿切片追踪细小分支，将其归入同一神经元，识别突触前后元素，最后汇总成细胞间的连接。任何一环发生错误，都可能改变后续网络解释。自动化显著扩展了规模，人工校订与误差估计仍有价值</w:t>
      </w:r>
      <w:r>
        <w:rPr>
          <w:vertAlign w:val="superscript"/>
        </w:rPr>
        <w:t xml:space="preserve">[</w:t>
      </w:r>
      <w:hyperlink w:anchor="ref-210">
        <w:r>
          <w:rPr>
            <w:rStyle w:val="Hyperlink"/>
            <w:vertAlign w:val="superscript"/>
          </w:rPr>
          <w:t xml:space="preserve">210</w:t>
        </w:r>
      </w:hyperlink>
      <w:r>
        <w:rPr>
          <w:vertAlign w:val="superscript"/>
        </w:rPr>
        <w:t xml:space="preserve">,</w:t>
      </w:r>
      <w:hyperlink w:anchor="ref-211">
        <w:r>
          <w:rPr>
            <w:rStyle w:val="Hyperlink"/>
            <w:vertAlign w:val="superscript"/>
          </w:rPr>
          <w:t xml:space="preserve">211</w:t>
        </w:r>
      </w:hyperlink>
      <w:r>
        <w:rPr>
          <w:vertAlign w:val="superscript"/>
        </w:rPr>
        <w:t xml:space="preserve">,</w:t>
      </w:r>
      <w:hyperlink w:anchor="ref-212">
        <w:r>
          <w:rPr>
            <w:rStyle w:val="Hyperlink"/>
            <w:vertAlign w:val="superscript"/>
          </w:rPr>
          <w:t xml:space="preserve">212</w:t>
        </w:r>
      </w:hyperlink>
      <w:r>
        <w:rPr>
          <w:vertAlign w:val="superscript"/>
        </w:rPr>
        <w:t xml:space="preserve">]</w:t>
      </w:r>
      <w:r>
        <w:t xml:space="preserve">。</w:t>
      </w:r>
    </w:p>
    <w:p>
      <w:pPr>
        <w:pStyle w:val="BodyText"/>
      </w:pPr>
      <w:r>
        <w:t xml:space="preserve">合并错误会把两个细胞的分支接成同一个对象，使它看起来具有异常广泛的输入或输出；切分错误会把同一轴突分成多个对象，使真实长程路径中断。遗漏一个细小突触和错误连接两条粗长轴突，对网络性质的影响并不相同。一个全局平均准确率可能掩盖对关键通路特别敏感的局部错误。</w:t>
      </w:r>
    </w:p>
    <w:p>
      <w:pPr>
        <w:pStyle w:val="BodyText"/>
      </w:pPr>
      <w:r>
        <w:t xml:space="preserve">教材中的连接矩阵通常整齐明确，实际数据库则可能包含不同校订等级。解释一条罕见但重要的路径时，应回到原始图像与重建状态。若结论依赖少数连接，其可靠性尤其受这些连接的核验程度影响；由大量分散接触支持的整体分布，可能具有不同的误差耐受性。</w:t>
      </w:r>
    </w:p>
    <w:bookmarkEnd w:id="337"/>
    <w:bookmarkStart w:id="338" w:name="sec-19-3"/>
    <w:p>
      <w:pPr>
        <w:pStyle w:val="Heading3"/>
      </w:pPr>
      <w:r>
        <w:t xml:space="preserve">19.3　突触方向需要与生理作用分开理解</w:t>
      </w:r>
    </w:p>
    <w:p>
      <w:pPr>
        <w:pStyle w:val="FirstParagraph"/>
      </w:pPr>
      <w:r>
        <w:t xml:space="preserve">化学突触的超微结构通常有助于辨认释放侧与接收侧，这为路径方向提供依据。方向明确之后，仍要确定递质、受体和离子梯度才能判断生理作用。一个突触的去极化效应还可能与分流作用并存，作用大小取决于膜状态和位置。电镜中标出的箭头只编码其中一部分信息，完整解释需要结合膜电生理和受体机制。</w:t>
      </w:r>
    </w:p>
    <w:p>
      <w:pPr>
        <w:pStyle w:val="BodyText"/>
      </w:pPr>
      <w:r>
        <w:t xml:space="preserve">对于多突触路径，连接方向也不保证作用在任意条件下都能顺利传递。中继细胞可能处于强抑制状态，某末梢释放概率可能很低，调质输入又可能改变整个通路的响应增益。结构允许路径存在，实际运行还需要满足各节点的动力学条件。</w:t>
      </w:r>
    </w:p>
    <w:p>
      <w:pPr>
        <w:pStyle w:val="BodyText"/>
      </w:pPr>
      <w:r>
        <w:t xml:space="preserve">电突触提供另一种情况。缝隙连接允许直接电流耦合，部分连接具有整流特性，传递效果与两侧膜电阻及电压关系有关。把所有电突触都画成对称、固定权重的无向边，会隐藏这些生理条件。包含化学与电连接的线虫图谱说明，连接组需要容纳多种边类型</w:t>
      </w:r>
      <w:r>
        <w:rPr>
          <w:vertAlign w:val="superscript"/>
        </w:rPr>
        <w:t xml:space="preserve">[</w:t>
      </w:r>
      <w:hyperlink w:anchor="ref-213">
        <w:r>
          <w:rPr>
            <w:rStyle w:val="Hyperlink"/>
            <w:vertAlign w:val="superscript"/>
          </w:rPr>
          <w:t xml:space="preserve">213</w:t>
        </w:r>
      </w:hyperlink>
      <w:r>
        <w:rPr>
          <w:vertAlign w:val="superscript"/>
        </w:rPr>
        <w:t xml:space="preserve">]</w:t>
      </w:r>
      <w:r>
        <w:t xml:space="preserve">。</w:t>
      </w:r>
    </w:p>
    <w:bookmarkEnd w:id="338"/>
    <w:bookmarkStart w:id="339" w:name="sec-19-4"/>
    <w:p>
      <w:pPr>
        <w:pStyle w:val="Heading3"/>
      </w:pPr>
      <w:r>
        <w:t xml:space="preserve">19.4　突触数量和大小可以提供线索</w:t>
      </w:r>
    </w:p>
    <w:p>
      <w:pPr>
        <w:pStyle w:val="FirstParagraph"/>
      </w:pPr>
      <w:r>
        <w:t xml:space="preserve">同一对细胞形成更多突触，通常增加了潜在接触资源；较大的突触后结构可能与更多受体或释放装置相关。Holler等将小鼠皮层成对记录与相关电镜结合，在所测连接中发现突触大小与传递强度之间的关系</w:t>
      </w:r>
      <w:r>
        <w:rPr>
          <w:vertAlign w:val="superscript"/>
        </w:rPr>
        <w:t xml:space="preserve">[</w:t>
      </w:r>
      <w:hyperlink w:anchor="ref-214">
        <w:r>
          <w:rPr>
            <w:rStyle w:val="Hyperlink"/>
            <w:vertAlign w:val="superscript"/>
          </w:rPr>
          <w:t xml:space="preserve">214</w:t>
        </w:r>
      </w:hyperlink>
      <w:r>
        <w:rPr>
          <w:vertAlign w:val="superscript"/>
        </w:rPr>
        <w:t xml:space="preserve">]</w:t>
      </w:r>
      <w:r>
        <w:t xml:space="preserve">。这种校准具有明确的细胞类型、制备和测量条件，不能自动成为所有脑区、物种和状态通用的转换公式。</w:t>
      </w:r>
    </w:p>
    <w:p>
      <w:pPr>
        <w:pStyle w:val="BodyText"/>
      </w:pPr>
      <w:r>
        <w:t xml:space="preserve">传递强度还受到释放概率、可释放囊泡数量、受体电导、受体饱和以及短时可塑性影响。两个连接即使平均首次响应相近，连续刺激后的促进或抑制也可能不同。若模型只使用突触总数作为权重，它描述的是一种有用的结构代理，尚未包含完整的时间依赖传递。</w:t>
      </w:r>
    </w:p>
    <w:p>
      <w:pPr>
        <w:pStyle w:val="BodyText"/>
      </w:pPr>
      <w:r>
        <w:t xml:space="preserve">可以用一个明确的教学假设理解这种差别。假设连接甲有多个低释放概率接触，连接乙有较少的高释放概率接触，两者首次平均电流相同。甲在某些刺激序列下可能促进，乙可能更快耗竭。静态矩阵相同的平均值，会对应不同的连续响应。这个推导说明，需要根据问题选择平均权重、释放动力学或更细的突触模型。</w:t>
      </w:r>
    </w:p>
    <w:bookmarkEnd w:id="339"/>
    <w:bookmarkStart w:id="340" w:name="sec-19-5"/>
    <w:p>
      <w:pPr>
        <w:pStyle w:val="Heading3"/>
      </w:pPr>
      <w:r>
        <w:t xml:space="preserve">19.5　突触位于哪里同样影响计算</w:t>
      </w:r>
    </w:p>
    <w:p>
      <w:pPr>
        <w:pStyle w:val="FirstParagraph"/>
      </w:pPr>
      <w:r>
        <w:t xml:space="preserve">神经元具有树突、胞体和轴突起始区等不同区室。相同局部电流在远端细树突与胞体附近产生的输出影响可能不同，因为传播过程中存在电缆衰减、局部膜电导和主动通道。多个输入聚集在同一树枝，还可能参与局部非线性事件。将整个细胞压缩成一个节点，有助于分析大网络，也会省略这些空间计算。</w:t>
      </w:r>
    </w:p>
    <w:p>
      <w:pPr>
        <w:pStyle w:val="BodyText"/>
      </w:pPr>
      <w:r>
        <w:t xml:space="preserve">抑制性接触的位置尤其值得保留。靶向树突的输入可以改变局部整合，靠近胞体或起始区的输入可以更直接影响放电时机。具体效果仍受反转电位和时序约束。多模态细胞分类中，轴突在不同层和区室的分布之所以重要，正因为它提供了与作用位置有关的信息</w:t>
      </w:r>
      <w:r>
        <w:rPr>
          <w:vertAlign w:val="superscript"/>
        </w:rPr>
        <w:t xml:space="preserve">[</w:t>
      </w:r>
      <w:hyperlink w:anchor="ref-200">
        <w:r>
          <w:rPr>
            <w:rStyle w:val="Hyperlink"/>
            <w:vertAlign w:val="superscript"/>
          </w:rPr>
          <w:t xml:space="preserve">200</w:t>
        </w:r>
      </w:hyperlink>
      <w:r>
        <w:rPr>
          <w:vertAlign w:val="superscript"/>
        </w:rPr>
        <w:t xml:space="preserve">]</w:t>
      </w:r>
      <w:r>
        <w:t xml:space="preserve">。</w:t>
      </w:r>
    </w:p>
    <w:p>
      <w:pPr>
        <w:pStyle w:val="BodyText"/>
      </w:pPr>
      <w:r>
        <w:t xml:space="preserve">同一总突触数可以对应集中或分散的空间布局。前者可能形成较强的局部协同，后者可能支持跨树枝整合。连接组研究若保留突触坐标和树突分支，便能够提出这些比单纯连接存在更精细的问题。后续生理记录可以针对相应区室检验。</w:t>
      </w:r>
    </w:p>
    <w:bookmarkEnd w:id="340"/>
    <w:bookmarkStart w:id="341" w:name="sec-19-6"/>
    <w:p>
      <w:pPr>
        <w:pStyle w:val="Heading3"/>
      </w:pPr>
      <w:r>
        <w:t xml:space="preserve">19.6　体积边界影响可见的输入与输出</w:t>
      </w:r>
    </w:p>
    <w:p>
      <w:pPr>
        <w:pStyle w:val="FirstParagraph"/>
      </w:pPr>
      <w:r>
        <w:t xml:space="preserve">局部组织块中的神经元，其轴突和树突可能越过成像边界。一个看似只有少数输出的细胞，可能把主要轴突投射到样本之外；一个输入稀少的细胞，也可能接收大量被切断的远处来源。网络中的低连接度必须结合重建完整性解释。被完整包含的胞体并不保证整个神经元完整。</w:t>
      </w:r>
    </w:p>
    <w:p>
      <w:pPr>
        <w:pStyle w:val="BodyText"/>
      </w:pPr>
      <w:r>
        <w:t xml:space="preserve">人类H01资源重建了手术获取的约一立方毫米颞皮层，包含约五万七千个细胞及一亿五千万个突触。这里的细胞数包含胶质等成分，样本来自一名手术患者的特定组织</w:t>
      </w:r>
      <w:r>
        <w:rPr>
          <w:vertAlign w:val="superscript"/>
        </w:rPr>
        <w:t xml:space="preserve">[</w:t>
      </w:r>
      <w:hyperlink w:anchor="ref-212">
        <w:r>
          <w:rPr>
            <w:rStyle w:val="Hyperlink"/>
            <w:vertAlign w:val="superscript"/>
          </w:rPr>
          <w:t xml:space="preserve">212</w:t>
        </w:r>
      </w:hyperlink>
      <w:r>
        <w:rPr>
          <w:vertAlign w:val="superscript"/>
        </w:rPr>
        <w:t xml:space="preserve">]</w:t>
      </w:r>
      <w:r>
        <w:t xml:space="preserve">。它为局部人类超微结构提供了重要材料，对健康总体、其他脑区和全脑路径的推断仍需要额外证据。</w:t>
      </w:r>
    </w:p>
    <w:p>
      <w:pPr>
        <w:pStyle w:val="BodyText"/>
      </w:pPr>
      <w:r>
        <w:t xml:space="preserve">成年果蝇全脑FlyWire图谱包含十三万九千二百五十五个神经元，显著减少了仅观察局部脑块所造成的路径截断问题</w:t>
      </w:r>
      <w:r>
        <w:rPr>
          <w:vertAlign w:val="superscript"/>
        </w:rPr>
        <w:t xml:space="preserve">[</w:t>
      </w:r>
      <w:hyperlink w:anchor="ref-211">
        <w:r>
          <w:rPr>
            <w:rStyle w:val="Hyperlink"/>
            <w:vertAlign w:val="superscript"/>
          </w:rPr>
          <w:t xml:space="preserve">211</w:t>
        </w:r>
      </w:hyperlink>
      <w:r>
        <w:rPr>
          <w:vertAlign w:val="superscript"/>
        </w:rPr>
        <w:t xml:space="preserve">]</w:t>
      </w:r>
      <w:r>
        <w:t xml:space="preserve">。全脑覆盖仍需要与身体范围区分：外周感觉器、腹神经索及效应器是否包含，取决于具体项目。比较数据库时，首先比较所覆盖的解剖范围，能够避免把不同完整性标准混为一谈。</w:t>
      </w:r>
    </w:p>
    <w:bookmarkEnd w:id="341"/>
    <w:bookmarkStart w:id="342" w:name="sec-19-7"/>
    <w:p>
      <w:pPr>
        <w:pStyle w:val="Heading3"/>
      </w:pPr>
      <w:r>
        <w:t xml:space="preserve">19.7　同一动物的结构与功能测量连接两个证据层级</w:t>
      </w:r>
    </w:p>
    <w:p>
      <w:pPr>
        <w:pStyle w:val="FirstParagraph"/>
      </w:pPr>
      <w:r>
        <w:t xml:space="preserve">MICrONS2025年的资源在同一只清醒小鼠中记录视觉刺激相关钙活动，并与随后重建的电镜结构配准。功能数据涉及约七万五千个神经元，电镜体积包含超过二十万个细胞与约五亿个突触。不同模态的细胞数、实际配对数和经过校订的细胞数需要分别理解</w:t>
      </w:r>
      <w:r>
        <w:rPr>
          <w:vertAlign w:val="superscript"/>
        </w:rPr>
        <w:t xml:space="preserve">[</w:t>
      </w:r>
      <w:hyperlink w:anchor="ref-215">
        <w:r>
          <w:rPr>
            <w:rStyle w:val="Hyperlink"/>
            <w:vertAlign w:val="superscript"/>
          </w:rPr>
          <w:t xml:space="preserve">215</w:t>
        </w:r>
      </w:hyperlink>
      <w:r>
        <w:rPr>
          <w:vertAlign w:val="superscript"/>
        </w:rPr>
        <w:t xml:space="preserve">]</w:t>
      </w:r>
      <w:r>
        <w:t xml:space="preserve">。</w:t>
      </w:r>
    </w:p>
    <w:p>
      <w:pPr>
        <w:pStyle w:val="BodyText"/>
      </w:pPr>
      <w:r>
        <w:t xml:space="preserve">同体配对的重要性在于能够把某个实际细胞的响应与其实际连接联系起来，减少仅依赖跨动物平均对齐的问题。与此同时，大量细胞来自同一动物，无法单独代表全部动物的变化范围；刺激集合只覆盖研究中呈现的自然与合成视觉条件，未必穷尽这些细胞在其他任务与状态下的功能。</w:t>
      </w:r>
    </w:p>
    <w:p>
      <w:pPr>
        <w:pStyle w:val="BodyText"/>
      </w:pPr>
      <w:r>
        <w:t xml:space="preserve">钙成像也有自身的生物物理转换。荧光经过钙进入、缓冲、结合指示器和清除等过程，不能逐时刻等同于膜电压。传感器的灵敏度、时间响应和饱和都会影响事件读取</w:t>
      </w:r>
      <w:r>
        <w:rPr>
          <w:vertAlign w:val="superscript"/>
        </w:rPr>
        <w:t xml:space="preserve">[</w:t>
      </w:r>
      <w:hyperlink w:anchor="ref-48">
        <w:r>
          <w:rPr>
            <w:rStyle w:val="Hyperlink"/>
            <w:vertAlign w:val="superscript"/>
          </w:rPr>
          <w:t xml:space="preserve">48</w:t>
        </w:r>
      </w:hyperlink>
      <w:r>
        <w:rPr>
          <w:vertAlign w:val="superscript"/>
        </w:rPr>
        <w:t xml:space="preserve">]</w:t>
      </w:r>
      <w:r>
        <w:t xml:space="preserve">。因而结构功能关联中的功能一侧，需要明确是视觉调谐、钙事件、估计放电还是其他观测。</w:t>
      </w:r>
    </w:p>
    <w:bookmarkEnd w:id="342"/>
    <w:bookmarkStart w:id="343" w:name="sec-19-8"/>
    <w:p>
      <w:pPr>
        <w:pStyle w:val="Heading3"/>
      </w:pPr>
      <w:r>
        <w:t xml:space="preserve">19.8　连接偏好提供可检验的组织原则</w:t>
      </w:r>
    </w:p>
    <w:p>
      <w:pPr>
        <w:pStyle w:val="FirstParagraph"/>
      </w:pPr>
      <w:r>
        <w:t xml:space="preserve">基于MICrONS的研究发现，在所分析视觉皮层范围内，响应性质相近的兴奋性神经元更倾向连接，这种关系延伸到不同层与区域的若干连接类别</w:t>
      </w:r>
      <w:r>
        <w:rPr>
          <w:vertAlign w:val="superscript"/>
        </w:rPr>
        <w:t xml:space="preserve">[</w:t>
      </w:r>
      <w:hyperlink w:anchor="ref-216">
        <w:r>
          <w:rPr>
            <w:rStyle w:val="Hyperlink"/>
            <w:vertAlign w:val="superscript"/>
          </w:rPr>
          <w:t xml:space="preserve">216</w:t>
        </w:r>
      </w:hyperlink>
      <w:r>
        <w:rPr>
          <w:vertAlign w:val="superscript"/>
        </w:rPr>
        <w:t xml:space="preserve">]</w:t>
      </w:r>
      <w:r>
        <w:t xml:space="preserve">。它支持一个具有条件范围的组织原则，同时保留大量异质和跨特征连接。一个偏好规则能够改变连接概率，无须要求每一条边都符合简单标签。</w:t>
      </w:r>
    </w:p>
    <w:p>
      <w:pPr>
        <w:pStyle w:val="BodyText"/>
      </w:pPr>
      <w:r>
        <w:t xml:space="preserve">从机制角度，可以继续区分几种解释。相近细胞可能共享发育导向，活动相关可塑性可能强化其连接，空间和细胞类型分布也可能影响相遇机会。成人结构中的关联无法单独决定这些过程各自贡献。发育时序和选择性扰动可以帮助检验形成机制。</w:t>
      </w:r>
    </w:p>
    <w:p>
      <w:pPr>
        <w:pStyle w:val="BodyText"/>
      </w:pPr>
      <w:r>
        <w:t xml:space="preserve">局部回路中的三角、反馈环或汇聚结构也具有类似解释要求。观察到反馈连接支持存在返回通路，却不能仅凭闭环形状判断它实现了误差校正、记忆维持还是增益调节。相同结构在不同连接符号、延迟和非线性下可以产生不同功能。模型应把这些条件写清楚，再用生理与行为检验其预测。</w:t>
      </w:r>
    </w:p>
    <w:bookmarkEnd w:id="343"/>
    <w:bookmarkStart w:id="344" w:name="sec-19-9"/>
    <w:p>
      <w:pPr>
        <w:pStyle w:val="Heading3"/>
      </w:pPr>
      <w:r>
        <w:t xml:space="preserve">19.9　脑与神经索共同构成分布式控制路径</w:t>
      </w:r>
    </w:p>
    <w:p>
      <w:pPr>
        <w:pStyle w:val="FirstParagraph"/>
      </w:pPr>
      <w:r>
        <w:t xml:space="preserve">2026年的果蝇脑与腹神经索连接组将更广范围的感觉和效应器路径放在共同结构框架中。研究使用基于突触数量比例的线性传播指标估计节点间的结构影响，并讨论局部反馈与长程上下行模块</w:t>
      </w:r>
      <w:r>
        <w:rPr>
          <w:vertAlign w:val="superscript"/>
        </w:rPr>
        <w:t xml:space="preserve">[</w:t>
      </w:r>
      <w:hyperlink w:anchor="ref-217">
        <w:r>
          <w:rPr>
            <w:rStyle w:val="Hyperlink"/>
            <w:vertAlign w:val="superscript"/>
          </w:rPr>
          <w:t xml:space="preserve">217</w:t>
        </w:r>
      </w:hyperlink>
      <w:r>
        <w:rPr>
          <w:vertAlign w:val="superscript"/>
        </w:rPr>
        <w:t xml:space="preserve">]</w:t>
      </w:r>
      <w:r>
        <w:t xml:space="preserve">。这一指标便于追踪大网络中的潜在路径，其数值依赖模型定义，不应当作真实细胞在任意行为中的因果影响测量。</w:t>
      </w:r>
    </w:p>
    <w:p>
      <w:pPr>
        <w:pStyle w:val="BodyText"/>
      </w:pPr>
      <w:r>
        <w:t xml:space="preserve">结构层面的一个重要启发是，局部回路可以直接连接特定感觉与效应器，同时接受远处状态与任务相关输入。高阶区域因此可以改变局部控制条件，而局部环路仍持续处理快速反馈。运动章节中的脊髓、小脑和脑干分工，也提供了理解这种分布式组织的生理背景。</w:t>
      </w:r>
    </w:p>
    <w:p>
      <w:pPr>
        <w:pStyle w:val="BodyText"/>
      </w:pPr>
      <w:r>
        <w:t xml:space="preserve">验证某个候选模块时，需要测量它在自然行为中何时参与、改变它是否影响预期输出，以及其他路径能否补偿。若结构上存在多条替代路线，单节点干预的结果可能受这些路线重新分配影响。连接组能够提示应该检查哪些替代路径，使干预解释更加具体。</w:t>
      </w:r>
    </w:p>
    <w:bookmarkEnd w:id="344"/>
    <w:bookmarkStart w:id="345" w:name="sec-19-10"/>
    <w:p>
      <w:pPr>
        <w:pStyle w:val="Heading3"/>
      </w:pPr>
      <w:r>
        <w:t xml:space="preserve">19.10　个体和发育差异属于连接组本身的生物学</w:t>
      </w:r>
    </w:p>
    <w:p>
      <w:pPr>
        <w:pStyle w:val="FirstParagraph"/>
      </w:pPr>
      <w:r>
        <w:t xml:space="preserve">一个物种的连接图既包含共同结构，也包含个体差异。跨发育阶段线虫重建显示，在相对保留的几何框架中，化学连接可以发生显著改变；不同个体之间也存在连接差异</w:t>
      </w:r>
      <w:r>
        <w:rPr>
          <w:vertAlign w:val="superscript"/>
        </w:rPr>
        <w:t xml:space="preserve">[</w:t>
      </w:r>
      <w:hyperlink w:anchor="ref-218">
        <w:r>
          <w:rPr>
            <w:rStyle w:val="Hyperlink"/>
            <w:vertAlign w:val="superscript"/>
          </w:rPr>
          <w:t xml:space="preserve">218</w:t>
        </w:r>
      </w:hyperlink>
      <w:r>
        <w:rPr>
          <w:vertAlign w:val="superscript"/>
        </w:rPr>
        <w:t xml:space="preserve">]</w:t>
      </w:r>
      <w:r>
        <w:t xml:space="preserve">。这些结果提醒我们，某张成熟图谱是特定个体与时间点的组织状态，发育和经验会改变它。</w:t>
      </w:r>
    </w:p>
    <w:p>
      <w:pPr>
        <w:pStyle w:val="BodyText"/>
      </w:pPr>
      <w:r>
        <w:t xml:space="preserve">差异的解释需要考虑层级。有的变化发生在同一细胞对的突触数量上，有的变化涉及接触位置，还有的变化改变细胞是否连接。相同功能表现可能由多个不同微观配置支持，某些结构变化也可能在行为上被其他机制补偿。因而结构差异与功能差异之间需要直接建立联系。</w:t>
      </w:r>
    </w:p>
    <w:p>
      <w:pPr>
        <w:pStyle w:val="BodyText"/>
      </w:pPr>
      <w:r>
        <w:t xml:space="preserve">同一组织无法在接受破坏性电镜处理后继续发育。跨年龄电镜通常比较不同个体，活体长期成像则能够追踪部分结构但具有其他分辨率限制。把这些互补观测结合，可以同时关注总体发育规律与单个连接的稳定性。</w:t>
      </w:r>
    </w:p>
    <w:bookmarkEnd w:id="345"/>
    <w:bookmarkStart w:id="346" w:name="sec-19-11"/>
    <w:p>
      <w:pPr>
        <w:pStyle w:val="Heading3"/>
      </w:pPr>
      <w:r>
        <w:t xml:space="preserve">19.11　连接组在解释中的位置</w:t>
      </w:r>
    </w:p>
    <w:p>
      <w:pPr>
        <w:pStyle w:val="FirstParagraph"/>
      </w:pPr>
      <w:r>
        <w:t xml:space="preserve">对于经过充分校订的突触接触和连续分支，结构存在与方向的判断可以具有较高置信度。由接触数、突触大小和网络位置推断平均功能作用，需要注明所用生理校准，通常具有条件性的中等置信度。直接从一张结构图恢复完整心理内容、预测所有行为或断言一个节点的普遍控制地位，目前缺少可靠依据。</w:t>
      </w:r>
    </w:p>
    <w:p>
      <w:pPr>
        <w:pStyle w:val="BodyText"/>
      </w:pPr>
      <w:r>
        <w:t xml:space="preserve">最有解释力的路径是将分子身份、超微结构、动态记录和选择性干预相互约束。分子信息说明细胞具有哪些潜在响应机制，结构说明哪些对象能够接触，生理说明在具体条件下如何传递，干预检验相应变化对行为的作用。连接组在这条链中提供不可替代的空间约束，也需要其余证据共同完成机制解释。</w:t>
      </w:r>
    </w:p>
    <w:bookmarkEnd w:id="346"/>
    <w:bookmarkEnd w:id="347"/>
    <w:bookmarkEnd w:id="348"/>
    <w:bookmarkStart w:id="676" w:name="part-3"/>
    <w:p>
      <w:pPr>
        <w:pStyle w:val="Heading1"/>
      </w:pPr>
      <w:r>
        <w:t xml:space="preserve">第三编　工作原理（二）：可塑性、学习与记忆</w:t>
      </w:r>
    </w:p>
    <w:p>
      <w:pPr>
        <w:pStyle w:val="PartIntro"/>
      </w:pPr>
      <w:r>
        <w:t xml:space="preserve">这一编讲经验怎样改变大脑，以及学习与记忆怎样实现：可塑性的层次与边界，关键期与成年后的改变条件，成人神经发生的证据，记忆怎样被编码、重建、更新和误用，以及提取练习、间隔安排、认知负荷和元认知这些有实证支持的学习原理。</w:t>
      </w:r>
    </w:p>
    <w:bookmarkStart w:id="368" w:name="ch-20"/>
    <w:p>
      <w:pPr>
        <w:pStyle w:val="Heading2"/>
      </w:pPr>
      <w:r>
        <w:t xml:space="preserve">第20章　神经可塑性的机制与约束</w:t>
      </w:r>
    </w:p>
    <w:bookmarkStart w:id="349" w:name="sec-20-1"/>
    <w:p>
      <w:pPr>
        <w:pStyle w:val="Heading3"/>
      </w:pPr>
      <w:r>
        <w:t xml:space="preserve">20.1　核心判断</w:t>
      </w:r>
    </w:p>
    <w:p>
      <w:pPr>
        <w:pStyle w:val="FirstParagraph"/>
      </w:pPr>
      <w:r>
        <w:t xml:space="preserve">神经系统可以随经验改变，变化能力受到回路、年龄、健康、训练内容和环境约束。可塑性存在这一事实，无法证明任意人通过努力都能获得任意目标或无限收益。对这一限制的判断，置信度高；对某个人在具体支持下的最高可达水平，通常具有较大不确定性。</w:t>
      </w:r>
    </w:p>
    <w:p>
      <w:pPr>
        <w:pStyle w:val="BodyText"/>
      </w:pPr>
      <w:r>
        <w:t xml:space="preserve">可塑性是对变化能力的描述，尚未规定变化的方向和价值。熟练技能、习惯、补偿以及某些持续症状都可能涉及学习和适应。反复练习错误步骤可以使错误更熟练，长期回避某种任务可能减少获得纠正经验的机会，环境中的偏差也可以被持续学入。研究需要说明改变的是哪种过程，是否有利于目标功能，以及是否伴随代价。</w:t>
      </w:r>
    </w:p>
    <w:bookmarkEnd w:id="349"/>
    <w:bookmarkStart w:id="350" w:name="sec-20-2"/>
    <w:p>
      <w:pPr>
        <w:pStyle w:val="Heading3"/>
      </w:pPr>
      <w:r>
        <w:t xml:space="preserve">20.2　多层次变化不能互相替代</w:t>
      </w:r>
    </w:p>
    <w:p>
      <w:pPr>
        <w:pStyle w:val="FirstParagraph"/>
      </w:pPr>
      <w:r>
        <w:t xml:space="preserve">在突触层面，连接效能可以改变；在细胞层面，兴奋性、受体和结构可以变化；在回路层面，信息选择和相互协调可以调整；在行为层面，人可以改变策略。不同层次可能相互影响，但一层测量不能自动给出另一层的具体过程。</w:t>
      </w:r>
    </w:p>
    <w:p>
      <w:pPr>
        <w:pStyle w:val="BodyText"/>
      </w:pPr>
      <w:r>
        <w:t xml:space="preserve">例如，MRI观察到局部体积改变，可能涉及多个组织成分。它没有直接计数突触，也没有逐个识别新生神经元。Zatorre等讨论了学习相关灰质和白质影像变化的多种可能来源，提醒研究者避免从宏观指标过度推断微观机制</w:t>
      </w:r>
      <w:r>
        <w:rPr>
          <w:vertAlign w:val="superscript"/>
        </w:rPr>
        <w:t xml:space="preserve">[</w:t>
      </w:r>
      <w:hyperlink w:anchor="ref-219">
        <w:r>
          <w:rPr>
            <w:rStyle w:val="Hyperlink"/>
            <w:vertAlign w:val="superscript"/>
          </w:rPr>
          <w:t xml:space="preserve">219</w:t>
        </w:r>
      </w:hyperlink>
      <w:r>
        <w:rPr>
          <w:vertAlign w:val="superscript"/>
        </w:rPr>
        <w:t xml:space="preserve">]</w:t>
      </w:r>
      <w:r>
        <w:t xml:space="preserve">。</w:t>
      </w:r>
    </w:p>
    <w:p>
      <w:pPr>
        <w:pStyle w:val="BodyText"/>
      </w:pPr>
      <w:r>
        <w:t xml:space="preserve">行为进步同样不必对应某一种固定神经指标。学习者可能使用更有效策略，从而减少某处活动；也可能招募额外过程，从而增加活动。只有预先提出模型并结合多个结果，方向才具有解释力。</w:t>
      </w:r>
    </w:p>
    <w:bookmarkEnd w:id="350"/>
    <w:bookmarkStart w:id="351" w:name="sec-20-3"/>
    <w:p>
      <w:pPr>
        <w:pStyle w:val="Heading3"/>
      </w:pPr>
      <w:r>
        <w:t xml:space="preserve">20.3　变化为何具有特异性</w:t>
      </w:r>
    </w:p>
    <w:p>
      <w:pPr>
        <w:pStyle w:val="FirstParagraph"/>
      </w:pPr>
      <w:r>
        <w:t xml:space="preserve">学习依赖所遇到的信息、反馈与行为要求。如果训练反复要求识别特定刺激，系统可能优化该刺激的处理。若新任务需要不同规则或不同知识，原有优化未必足够。因此，可塑性与迁移限制可以同时存在。</w:t>
      </w:r>
    </w:p>
    <w:p>
      <w:pPr>
        <w:pStyle w:val="BodyText"/>
      </w:pPr>
      <w:r>
        <w:t xml:space="preserve">这也解释了为什么练习量无法单独决定效果。重复错误策略可能巩固低效反应；缺少反馈可能让学习者不知道何处需要调整；任务过难可能减少有效成功经验；任务过易可能缺少新的学习要求。训练设计与执行条件都属于因果链。</w:t>
      </w:r>
    </w:p>
    <w:p>
      <w:pPr>
        <w:pStyle w:val="BodyText"/>
      </w:pPr>
      <w:r>
        <w:t xml:space="preserve">适当难度也没有跨任务通用的数值。对新手，足够清楚的示范可能很重要；对熟练者，变化情境与自主检索可能更有帮助。所谓大脑必须被逼到极限才能成长，没有给出这些条件，因而不能作为普遍处方。</w:t>
      </w:r>
    </w:p>
    <w:bookmarkEnd w:id="351"/>
    <w:bookmarkStart w:id="352" w:name="sec-20-4"/>
    <w:p>
      <w:pPr>
        <w:pStyle w:val="Heading3"/>
      </w:pPr>
      <w:r>
        <w:t xml:space="preserve">20.4　稳定性与可变性之间的关系</w:t>
      </w:r>
    </w:p>
    <w:p>
      <w:pPr>
        <w:pStyle w:val="FirstParagraph"/>
      </w:pPr>
      <w:r>
        <w:t xml:space="preserve">一个能够随所有新信息立即大幅改写连接的系统，可能丢失已有知识或产生不稳定反应；连接若完全固定，新信息又难以吸收。持续学习需要在保留与更新之间协调。不同记忆和技能具有不同的更新速度，背景状态也会影响变化。不同时间尺度的更新、情境区分、选择性巩固和重复提取，都可以作为计算上的候选方案。</w:t>
      </w:r>
    </w:p>
    <w:p>
      <w:pPr>
        <w:pStyle w:val="BodyText"/>
      </w:pPr>
      <w:r>
        <w:t xml:space="preserve">因此，限制可塑性的过程并不都意味着缺陷。某些稳定机制有助于维持熟练表现，避免每次环境波动都破坏已建立的功能。若干预试图扩大变化窗口，需要同时评价是否增加干扰、错误或其他代价。</w:t>
      </w:r>
    </w:p>
    <w:p>
      <w:pPr>
        <w:pStyle w:val="BodyText"/>
      </w:pPr>
      <w:r>
        <w:t xml:space="preserve">这类权衡应通过具体任务检验。例如，训练后新规则学得更快，但旧规则更易遗忘，便需要报告两种结果。只选择改善指标，会把综合代价隐藏起来。临床康复尤其需要关注日常功能和不良影响。</w:t>
      </w:r>
    </w:p>
    <w:bookmarkEnd w:id="352"/>
    <w:bookmarkStart w:id="353" w:name="sec-20-5"/>
    <w:p>
      <w:pPr>
        <w:pStyle w:val="Heading3"/>
      </w:pPr>
      <w:r>
        <w:t xml:space="preserve">20.5　成人结构变化的证据强度</w:t>
      </w:r>
    </w:p>
    <w:p>
      <w:pPr>
        <w:pStyle w:val="FirstParagraph"/>
      </w:pPr>
      <w:r>
        <w:t xml:space="preserve">成人学习相关的结构影像研究反对成年脑完全固定的观点。May对相关文献的综述总结了经验依赖变化的多种观察</w:t>
      </w:r>
      <w:r>
        <w:rPr>
          <w:vertAlign w:val="superscript"/>
        </w:rPr>
        <w:t xml:space="preserve">[</w:t>
      </w:r>
      <w:hyperlink w:anchor="ref-220">
        <w:r>
          <w:rPr>
            <w:rStyle w:val="Hyperlink"/>
            <w:vertAlign w:val="superscript"/>
          </w:rPr>
          <w:t xml:space="preserve">220</w:t>
        </w:r>
      </w:hyperlink>
      <w:r>
        <w:rPr>
          <w:vertAlign w:val="superscript"/>
        </w:rPr>
        <w:t xml:space="preserve">]</w:t>
      </w:r>
      <w:r>
        <w:t xml:space="preserve">。这些证据支持成人仍具有可塑性，但不能单独保证每一种宏观差异都来自相同细胞机制。</w:t>
      </w:r>
    </w:p>
    <w:p>
      <w:pPr>
        <w:pStyle w:val="BodyText"/>
      </w:pPr>
      <w:r>
        <w:t xml:space="preserve">结构影像还面临运动、扫描参数、分析流程和组织水分等影响。一次前后差异需要与合适对照和重复测量结合。若研究样本小、同时测试许多区域，效应的稳定性会受到限制。研究应将可检测变化与有益功能分别评价。</w:t>
      </w:r>
    </w:p>
    <w:p>
      <w:pPr>
        <w:pStyle w:val="BodyText"/>
      </w:pPr>
      <w:r>
        <w:t xml:space="preserve">对训练机制的较强研究可以结合动物细胞记录与人体行为影像，但物种和任务转换仍需要论证。动物中直接观察某些突触变化，可以提高机制可信度；它无法单独证明某种人类课程具有同样过程和收益。</w:t>
      </w:r>
    </w:p>
    <w:bookmarkEnd w:id="353"/>
    <w:bookmarkStart w:id="354" w:name="sec-20-6"/>
    <w:p>
      <w:pPr>
        <w:pStyle w:val="Heading3"/>
      </w:pPr>
      <w:r>
        <w:t xml:space="preserve">20.6　损伤后的恢复与代偿</w:t>
      </w:r>
    </w:p>
    <w:p>
      <w:pPr>
        <w:pStyle w:val="FirstParagraph"/>
      </w:pPr>
      <w:r>
        <w:t xml:space="preserve">恢复可能涉及残存组织重新承担功能、替代策略、环境辅助或任务要求降低。不同路径都可能改善生活，但其含义不同。若患者借助提醒工具恢复按时服药，这是重要功能收益，不能因为没有证明原回路完全恢复就忽略它。</w:t>
      </w:r>
    </w:p>
    <w:p>
      <w:pPr>
        <w:pStyle w:val="BodyText"/>
      </w:pPr>
      <w:r>
        <w:t xml:space="preserve">反过来，实验室任务恢复也不保证日常能力已全面恢复。真实生活包含多种同时要求、疲劳、情绪和环境变化。康复研究应测量目标活动，明确哪些改善来自内部能力，哪些依赖持续支持。</w:t>
      </w:r>
    </w:p>
    <w:p>
      <w:pPr>
        <w:pStyle w:val="BodyText"/>
      </w:pPr>
      <w:r>
        <w:t xml:space="preserve">努力在学习中可以重要，但不能替代可行的训练条件。疼痛、疲劳、感官限制、病理进程、照护资源和训练机会都会改变康复效果；在教育中，可用时间、健康、既有知识、材料难度、资源与社会环境同样影响学习。将恢复不足归咎于意志薄弱，或把未达到目标解释成“不够努力开发大脑”，都超出了可塑性证据，也妨碍识别可改变的环境因素。</w:t>
      </w:r>
    </w:p>
    <w:bookmarkEnd w:id="354"/>
    <w:bookmarkStart w:id="355" w:name="sec-20-7"/>
    <w:p>
      <w:pPr>
        <w:pStyle w:val="Heading3"/>
      </w:pPr>
      <w:r>
        <w:t xml:space="preserve">20.7　上限与平台怎样研究</w:t>
      </w:r>
    </w:p>
    <w:p>
      <w:pPr>
        <w:pStyle w:val="FirstParagraph"/>
      </w:pPr>
      <w:r>
        <w:t xml:space="preserve">学习曲线常包含快速改善、减速、平台和偶发跳跃。快速改善可能来自理解规则或采用新策略，后期改善可能来自执行细化。观察到成绩平台，可以提出多种假说：当前策略达到局部限制，反馈不足，练习剂量不合适，目标测验存在上限，或者生理条件限制继续改善。单一曲线无法独自识别机制；研究需要改变其中某个因素，观察是否出现预测中的变化。</w:t>
      </w:r>
    </w:p>
    <w:p>
      <w:pPr>
        <w:pStyle w:val="BodyText"/>
      </w:pPr>
      <w:r>
        <w:t xml:space="preserve">如果更换策略后再次进步，说明原平台未能代表所有条件下的最大能力。如果多种适当方法都无法继续提高，仍只能逐步缩小可行范围。对一个人的绝对终身上限作精确估计，通常很困难。</w:t>
      </w:r>
    </w:p>
    <w:p>
      <w:pPr>
        <w:pStyle w:val="BodyText"/>
      </w:pPr>
      <w:r>
        <w:t xml:space="preserve">无限潜能说却要求远强于观察到进步的证据。它需要跨年龄、病理和任务都没有不可克服限制。任何有限实验都无法直接证明这种全域承诺。因此，讲可塑性时应强调具体可检验的目标，避免用“无限”一词替代未知。</w:t>
      </w:r>
    </w:p>
    <w:bookmarkEnd w:id="355"/>
    <w:bookmarkStart w:id="356" w:name="sec-20-8"/>
    <w:p>
      <w:pPr>
        <w:pStyle w:val="Heading3"/>
      </w:pPr>
      <w:r>
        <w:t xml:space="preserve">20.8　可塑性研究中的因果设计</w:t>
      </w:r>
    </w:p>
    <w:p>
      <w:pPr>
        <w:pStyle w:val="FirstParagraph"/>
      </w:pPr>
      <w:r>
        <w:t xml:space="preserve">一种基本设计是随机分配训练与主动对照，同时测量行为和神经指标。更强的机制检验还需要操纵所假定的中间过程，或证明其改变在时间上先于行为收益，并排除共同原因。</w:t>
      </w:r>
    </w:p>
    <w:p>
      <w:pPr>
        <w:pStyle w:val="BodyText"/>
      </w:pPr>
      <w:r>
        <w:t xml:space="preserve">前后神经变化与成绩变化相关，可能受到基线测量误差和回归均值影响。若两项变化分数都含有同一次基线噪声，相关解释会更加复杂。研究者应使用可靠测量、适当模型和重复验证，避免把变化相关直接写成机制已确定。</w:t>
      </w:r>
    </w:p>
    <w:p>
      <w:pPr>
        <w:pStyle w:val="BodyText"/>
      </w:pPr>
      <w:r>
        <w:t xml:space="preserve">个体化训练也应经过外部检验。算法在同一批数据上找出最优方案，再用同一批数据报告效果，会产生过度乐观。训练规则应在独立样本中测试，必要时比较与简单方案的额外价值。</w:t>
      </w:r>
    </w:p>
    <w:bookmarkEnd w:id="356"/>
    <w:bookmarkStart w:id="357" w:name="sec-20-9"/>
    <w:p>
      <w:pPr>
        <w:pStyle w:val="Heading3"/>
      </w:pPr>
      <w:r>
        <w:t xml:space="preserve">20.9　一个可塑性承诺的审查实例</w:t>
      </w:r>
    </w:p>
    <w:p>
      <w:pPr>
        <w:pStyle w:val="FirstParagraph"/>
      </w:pPr>
      <w:r>
        <w:t xml:space="preserve">假设课程宣传三个月重塑大脑并恢复所有记忆。第一步应要求明确记忆类型和目标任务；第二步检查对象的年龄与健康状况；第三步寻找随机对照与延迟保持；第四步查看所谓重塑指标是否可靠；第五步评估功能收益和代价。</w:t>
      </w:r>
    </w:p>
    <w:p>
      <w:pPr>
        <w:pStyle w:val="BodyText"/>
      </w:pPr>
      <w:r>
        <w:t xml:space="preserve">如果课程使某类词表回忆提高，可以承认这个有限结果。如果没有日常记忆或其他材料改善，广泛承诺仍不成立。如果影像没有变化，也不能据此否定行为收益，因为测量可能不敏感。行为与机制需要各自承担证据责任。</w:t>
      </w:r>
    </w:p>
    <w:p>
      <w:pPr>
        <w:pStyle w:val="BodyText"/>
      </w:pPr>
      <w:r>
        <w:t xml:space="preserve">对个人学习，较合理的做法是将目标拆成可练成分，安排反馈，记录在新材料上的表现，并根据结果调整。这样的过程允许改进，也保留失败信息。把每次失败都解释为努力不足，会使训练理论失去可检验性。</w:t>
      </w:r>
    </w:p>
    <w:bookmarkEnd w:id="357"/>
    <w:bookmarkStart w:id="358" w:name="sec-20-10"/>
    <w:p>
      <w:pPr>
        <w:pStyle w:val="Heading3"/>
      </w:pPr>
      <w:r>
        <w:t xml:space="preserve">20.10　多层次改变的时间尺度</w:t>
      </w:r>
    </w:p>
    <w:p>
      <w:pPr>
        <w:pStyle w:val="FirstParagraph"/>
      </w:pPr>
      <w:r>
        <w:t xml:space="preserve">学习可以在毫秒至多年的多个时间尺度上表现为改变。短时变化可能涉及突触释放概率和暂时状态，较持久变化可以涉及受体、基因表达、结构连接与回路组织。行为层面还包括策略发现、知识建立和习惯形成。不同层次之间存在联系，单次行为增分无法唯一指定细胞机制。</w:t>
      </w:r>
    </w:p>
    <w:p>
      <w:pPr>
        <w:pStyle w:val="BodyText"/>
      </w:pPr>
      <w:r>
        <w:t xml:space="preserve">研究需要选择与问题相符的时间采样。只在训练前后各扫描一次，可能错过中间的增长和回落；只在训练结束立即测试，可能把暂时适应当成持久学习；只在很久之后测试，又可能无法判断变化发生的时间。多时间点设计可以区分形成、稳定、保持与再学习，但也增加成本和重复测验影响。</w:t>
      </w:r>
    </w:p>
    <w:p>
      <w:pPr>
        <w:pStyle w:val="BodyText"/>
      </w:pPr>
      <w:r>
        <w:t xml:space="preserve">可塑性的方向也应明确。增强某些连接、减弱另一些连接、改变活动阈值、重新分配网络权重，都可能支持学习。一个系统通过选择和稳定有效路径获得性能，整体体积未必持续增加。用单调增长作为学习成功的唯一神经标志，缺乏足够机制基础。</w:t>
      </w:r>
    </w:p>
    <w:bookmarkEnd w:id="358"/>
    <w:bookmarkStart w:id="359" w:name="sec-20-11"/>
    <w:p>
      <w:pPr>
        <w:pStyle w:val="Heading3"/>
      </w:pPr>
      <w:r>
        <w:t xml:space="preserve">20.11　结构变化与重新归一化</w:t>
      </w:r>
    </w:p>
    <w:p>
      <w:pPr>
        <w:pStyle w:val="FirstParagraph"/>
      </w:pPr>
      <w:r>
        <w:t xml:space="preserve">Draganski等以学习杂耍为例（设计与结果见</w:t>
      </w:r>
      <w:r>
        <w:t xml:space="preserve"> </w:t>
      </w:r>
      <w:hyperlink w:anchor="sec-21-2">
        <w:r>
          <w:rPr>
            <w:rStyle w:val="Hyperlink"/>
          </w:rPr>
          <w:t xml:space="preserve">21.2</w:t>
        </w:r>
      </w:hyperlink>
      <w:r>
        <w:t xml:space="preserve">），观察到成人脑部分结构影像指标的选择性、暂时性变化</w:t>
      </w:r>
      <w:r>
        <w:rPr>
          <w:vertAlign w:val="superscript"/>
        </w:rPr>
        <w:t xml:space="preserve">[</w:t>
      </w:r>
      <w:hyperlink w:anchor="ref-221">
        <w:r>
          <w:rPr>
            <w:rStyle w:val="Hyperlink"/>
            <w:vertAlign w:val="superscript"/>
          </w:rPr>
          <w:t xml:space="preserve">221</w:t>
        </w:r>
      </w:hyperlink>
      <w:r>
        <w:rPr>
          <w:vertAlign w:val="superscript"/>
        </w:rPr>
        <w:t xml:space="preserve">]</w:t>
      </w:r>
      <w:r>
        <w:t xml:space="preserve">。训练停止后的变化也需要结合技能保持解释。</w:t>
      </w:r>
    </w:p>
    <w:p>
      <w:pPr>
        <w:pStyle w:val="BodyText"/>
      </w:pPr>
      <w:r>
        <w:t xml:space="preserve">扩张与重新归一化模型提出，技能形成早期可能出现较广的资源改变，随后经过选择和稳定，宏观指标部分回到基线附近。Wenger等把这一模型作为解释成人学习影像变化的理论框架</w:t>
      </w:r>
      <w:r>
        <w:rPr>
          <w:vertAlign w:val="superscript"/>
        </w:rPr>
        <w:t xml:space="preserve">[</w:t>
      </w:r>
      <w:hyperlink w:anchor="ref-222">
        <w:r>
          <w:rPr>
            <w:rStyle w:val="Hyperlink"/>
            <w:vertAlign w:val="superscript"/>
          </w:rPr>
          <w:t xml:space="preserve">222</w:t>
        </w:r>
      </w:hyperlink>
      <w:r>
        <w:rPr>
          <w:vertAlign w:val="superscript"/>
        </w:rPr>
        <w:t xml:space="preserve">]</w:t>
      </w:r>
      <w:r>
        <w:t xml:space="preserve">。模型的预测需要密集纵向数据和跨层测量验证，不能把每次体积下降都解释成成功归一化。</w:t>
      </w:r>
    </w:p>
    <w:p>
      <w:pPr>
        <w:pStyle w:val="BodyText"/>
      </w:pPr>
      <w:r>
        <w:t xml:space="preserve">一个可检验预测是：若早期变化与探索多种解决方式有关，较频繁测量应观察到与训练阶段对应的非线性轨迹；若只有简单累积增长，轨迹应更接近单调。行为改善与结构指标的先后关系也可能帮助区分模型。预先说明预测，能够减少事后为任意曲线寻找解释。</w:t>
      </w:r>
    </w:p>
    <w:bookmarkEnd w:id="359"/>
    <w:bookmarkStart w:id="360" w:name="sec-20-12"/>
    <w:p>
      <w:pPr>
        <w:pStyle w:val="Heading3"/>
      </w:pPr>
      <w:r>
        <w:t xml:space="preserve">20.12　白质与传导时序</w:t>
      </w:r>
    </w:p>
    <w:p>
      <w:pPr>
        <w:pStyle w:val="FirstParagraph"/>
      </w:pPr>
      <w:r>
        <w:t xml:space="preserve">神经信息处理依赖信号到达的时序。轴突直径、髓鞘和节点结构等因素可以影响传导，回路学习因此可能涉及连接使用方式及传导特性。白质影像指标提供间接线索，多个微观变化可以产生相似的扩散测量结果，需要谨慎解释。</w:t>
      </w:r>
    </w:p>
    <w:p>
      <w:pPr>
        <w:pStyle w:val="BodyText"/>
      </w:pPr>
      <w:r>
        <w:t xml:space="preserve">McKenzie等在小鼠中通过遗传方式阻止成年期新少突胶质细胞形成，研究其对复杂转轮技能学习的影响，为新髓鞘相关过程参与特定运动学习提供了因果证据</w:t>
      </w:r>
      <w:r>
        <w:rPr>
          <w:vertAlign w:val="superscript"/>
        </w:rPr>
        <w:t xml:space="preserve">[</w:t>
      </w:r>
      <w:hyperlink w:anchor="ref-106">
        <w:r>
          <w:rPr>
            <w:rStyle w:val="Hyperlink"/>
            <w:vertAlign w:val="superscript"/>
          </w:rPr>
          <w:t xml:space="preserve">106</w:t>
        </w:r>
      </w:hyperlink>
      <w:r>
        <w:rPr>
          <w:vertAlign w:val="superscript"/>
        </w:rPr>
        <w:t xml:space="preserve">]</w:t>
      </w:r>
      <w:r>
        <w:t xml:space="preserve">。物种、任务和操纵范围决定推广边界；它不能直接证明某个人的教育训练依赖完全相同的机制。</w:t>
      </w:r>
    </w:p>
    <w:p>
      <w:pPr>
        <w:pStyle w:val="BodyText"/>
      </w:pPr>
      <w:r>
        <w:t xml:space="preserve">从动物因果证据到人类学习，需要多个桥接环节。人类影像能否捕捉相应过程，训练时序是否一致，行为任务是否共享关键要求，其他细胞变化是否能够解释信号，都需要检验。跨物种研究的价值在于约束可能机制，推论应逐层推进。</w:t>
      </w:r>
    </w:p>
    <w:bookmarkEnd w:id="360"/>
    <w:bookmarkStart w:id="361" w:name="sec-20-13"/>
    <w:p>
      <w:pPr>
        <w:pStyle w:val="Heading3"/>
      </w:pPr>
      <w:r>
        <w:t xml:space="preserve">20.13　稳定性与可学习性的权衡</w:t>
      </w:r>
    </w:p>
    <w:p>
      <w:pPr>
        <w:pStyle w:val="FirstParagraph"/>
      </w:pPr>
      <w:r>
        <w:t xml:space="preserve">可以用一个简化模型说明适应与保持之间的权衡。权重每次按误差乘以学习率更新。学习率较大时，新数据迅速改变权重，噪声也可能造成较大波动；学习率较小时，模型较稳定，却需要更多样本适应变化。真实神经系统远比这个模型复杂，模型仍能帮助提出关于练习频率、环境变化与干扰的条件预测。</w:t>
      </w:r>
    </w:p>
    <w:p>
      <w:pPr>
        <w:pStyle w:val="BodyText"/>
      </w:pPr>
      <w:r>
        <w:t xml:space="preserve">当环境稳定时，保留长期规律具有价值；当环境改变时，更新速度具有价值。学生学习语法规则后遇到例外，需要知道哪些规律继续适用、哪些情境需要调整。教育中的“固化”与“灵活”因此各有适用条件，合适的权衡需要由任务决定。</w:t>
      </w:r>
    </w:p>
    <w:bookmarkEnd w:id="361"/>
    <w:bookmarkStart w:id="362" w:name="sec-20-14"/>
    <w:p>
      <w:pPr>
        <w:pStyle w:val="Heading3"/>
      </w:pPr>
      <w:r>
        <w:t xml:space="preserve">20.14　功能性改善与不利学习</w:t>
      </w:r>
    </w:p>
    <w:p>
      <w:pPr>
        <w:pStyle w:val="FirstParagraph"/>
      </w:pPr>
      <w:r>
        <w:t xml:space="preserve">可塑性本身不保证结果有益，因此反馈质量十分重要。练习应该让学习者知道哪些反应满足目标，错误来自哪一步，以及怎样在下次调整。单纯增加次数可能巩固原有错误。对复杂技能，反馈太频繁又可能让学习者依赖外部提示，因此需要根据阶段逐渐改变支持。</w:t>
      </w:r>
    </w:p>
    <w:bookmarkEnd w:id="362"/>
    <w:bookmarkStart w:id="363" w:name="sec-20-15"/>
    <w:p>
      <w:pPr>
        <w:pStyle w:val="Heading3"/>
      </w:pPr>
      <w:r>
        <w:t xml:space="preserve">20.15　个体差异与训练响应</w:t>
      </w:r>
    </w:p>
    <w:p>
      <w:pPr>
        <w:pStyle w:val="FirstParagraph"/>
      </w:pPr>
      <w:r>
        <w:t xml:space="preserve">同样的训练可以对不同人产生不同结果，原因可能包括起点、策略、任务难度是否合适、感官或运动限制，以及实际练习量。要识别真正的反应差异，需要区分稳定个体差异与测量噪声。一个人在某天表现低，未必说明其可塑性低。</w:t>
      </w:r>
    </w:p>
    <w:p>
      <w:pPr>
        <w:pStyle w:val="BodyText"/>
      </w:pPr>
      <w:r>
        <w:t xml:space="preserve">重复交叉设计可以在适当任务中估计同一个人的变化模式，但学习具有累积和不可逆成分，条件顺序可能造成携带效应。不同训练之间的比较需考虑洗脱是否可能、基线是否仍可恢复。对长期知识学习，平行组设计往往更容易解释某些因果问题。</w:t>
      </w:r>
    </w:p>
    <w:p>
      <w:pPr>
        <w:pStyle w:val="BodyText"/>
      </w:pPr>
      <w:r>
        <w:t xml:space="preserve">任何预测“谁能改变大脑”的工具，都应在独立数据中验证，并报告相对简单行为指标增加了多少预测价值。昂贵的脑测量若不能改善决策，可能没有足够实际收益。一个准确的基线技能测验有时能提供更直接的信息，具体比较需要实证。</w:t>
      </w:r>
    </w:p>
    <w:bookmarkEnd w:id="363"/>
    <w:bookmarkStart w:id="364" w:name="sec-20-16"/>
    <w:p>
      <w:pPr>
        <w:pStyle w:val="Heading3"/>
      </w:pPr>
      <w:r>
        <w:t xml:space="preserve">20.16　学习曲线的形状</w:t>
      </w:r>
    </w:p>
    <w:p>
      <w:pPr>
        <w:pStyle w:val="FirstParagraph"/>
      </w:pPr>
      <w:r>
        <w:t xml:space="preserve">把速度与错误率画在同一坐标中，可以检查是否出现速度准确权衡。若速度持续提高、错误逐步增加，所谓平台突破可能只是标准改变。若新材料上没有进步，原材料曲线可能主要反映熟悉。若延迟后仍保留并能适应变化，学习解释更强。</w:t>
      </w:r>
    </w:p>
    <w:p>
      <w:pPr>
        <w:pStyle w:val="BodyText"/>
      </w:pPr>
      <w:r>
        <w:t xml:space="preserve">教学中可以利用曲线决定何时改变练习。早期需要清楚示范与反馈，中期可以增加变化和自主检索，后期可以安排迁移与异常情境。具体步骤应依据任务要求，无法由“可塑性”一词直接推出通用课程。</w:t>
      </w:r>
    </w:p>
    <w:bookmarkEnd w:id="364"/>
    <w:bookmarkStart w:id="365" w:name="sec-20-17"/>
    <w:p>
      <w:pPr>
        <w:pStyle w:val="Heading3"/>
      </w:pPr>
      <w:r>
        <w:t xml:space="preserve">20.17　可塑性证据的整合练习</w:t>
      </w:r>
    </w:p>
    <w:p>
      <w:pPr>
        <w:pStyle w:val="FirstParagraph"/>
      </w:pPr>
      <w:r>
        <w:t xml:space="preserve">假设一个八周训练研究发现，训练组记忆测验提高、某脑区体积指标增加，两项变化相关。哪些结论有支持？可以支持该训练条件下行为与结构指标共同变化，并提示机制线索。要确认结构变化是行为改善原因，还需要更强因果证据；要确认新增神经元，需要能识别细胞过程的方法；要确认远迁移，需要其他任务。</w:t>
      </w:r>
    </w:p>
    <w:p>
      <w:pPr>
        <w:pStyle w:val="BodyText"/>
      </w:pPr>
      <w:r>
        <w:t xml:space="preserve">如果半年后体积指标接近基线，技能仍保持，不能仅凭体积回落宣布训练失效。应考虑测量噪声、重新组织和不同时间尺度。反过来，脑指标仍改变而行为优势消失，也不能仅凭影像称效果永久。功能结局与机制指标需要分别报告。</w:t>
      </w:r>
    </w:p>
    <w:bookmarkEnd w:id="365"/>
    <w:bookmarkStart w:id="366" w:name="sec-20-18"/>
    <w:p>
      <w:pPr>
        <w:pStyle w:val="Heading3"/>
      </w:pPr>
      <w:r>
        <w:t xml:space="preserve">20.18　误差驱动更新的数值例子</w:t>
      </w:r>
    </w:p>
    <w:p>
      <w:pPr>
        <w:pStyle w:val="FirstParagraph"/>
      </w:pPr>
      <w:r>
        <w:t xml:space="preserve">设一个简化系统对某结果的预测为零点二，实际结果记为一，学习率为零点二。按“新预测等于旧预测加学习率乘预测误差”的规则，更新后为零点三六。再次出现同样结果时，误差变为零点六四，更新后约为零点四九。随着预测接近结果，单次变化逐渐减小。</w:t>
      </w:r>
    </w:p>
    <w:p>
      <w:pPr>
        <w:pStyle w:val="BodyText"/>
      </w:pPr>
      <w:r>
        <w:t xml:space="preserve">这些数值是教学模型，没有对应某类神经元的实测参数。模型说明，即使每次学习规则不变，行为改善也可以逐渐减速。平台未必意味着可塑性完全消失，还可能表示当前误差较小或测验不敏感。</w:t>
      </w:r>
    </w:p>
    <w:p>
      <w:pPr>
        <w:pStyle w:val="BodyText"/>
      </w:pPr>
      <w:r>
        <w:t xml:space="preserve">若结果忽然改变为零，系统会逐步向下更新。较大学习率适应更快，也更易被偶然异常带动。真实学习需要估计环境是否稳定、结果是否可靠以及当前线索属于哪个情境。神经可塑性的解释因此需要连接信息结构与更新规则，单纯描述活动增强还不够。</w:t>
      </w:r>
    </w:p>
    <w:bookmarkEnd w:id="366"/>
    <w:bookmarkStart w:id="367" w:name="sec-20-19"/>
    <w:p>
      <w:pPr>
        <w:pStyle w:val="Heading3"/>
      </w:pPr>
      <w:r>
        <w:t xml:space="preserve">20.19　学习检验与结论</w:t>
      </w:r>
    </w:p>
    <w:p>
      <w:pPr>
        <w:pStyle w:val="FirstParagraph"/>
      </w:pPr>
      <w:r>
        <w:t xml:space="preserve">练习：成人学习后灰质指标上升，能否说长出了新神经元？解答：宏观指标具有多种可能来源，需要细胞层证据才能作具体判断。</w:t>
      </w:r>
    </w:p>
    <w:p>
      <w:pPr>
        <w:pStyle w:val="BodyText"/>
      </w:pPr>
      <w:r>
        <w:t xml:space="preserve">练习：一项技能经过训练提高，是否证明所有能力都可同样提高？解答：训练内容、回路和迁移范围不同。局部存在性结果无法承担普遍无限命题。</w:t>
      </w:r>
    </w:p>
    <w:p>
      <w:pPr>
        <w:pStyle w:val="BodyText"/>
      </w:pPr>
      <w:r>
        <w:t xml:space="preserve">练习：康复依赖外部辅助，是否说明没有真正改善？解答：实际功能可以通过多条路径提高。应明确收益条件，并用生活目标评价。</w:t>
      </w:r>
    </w:p>
    <w:p>
      <w:pPr>
        <w:pStyle w:val="BodyText"/>
      </w:pPr>
      <w:r>
        <w:t xml:space="preserve">可塑性提供改变的可能性，也要求研究具体条件。可信的承诺应说明谁接受什么训练、改善哪项功能、保持多久、付出什么代价。对未知上限保持开放，与拒绝无限保证完全相容。</w:t>
      </w:r>
    </w:p>
    <w:bookmarkEnd w:id="367"/>
    <w:bookmarkEnd w:id="368"/>
    <w:bookmarkStart w:id="385" w:name="ch-21"/>
    <w:p>
      <w:pPr>
        <w:pStyle w:val="Heading2"/>
      </w:pPr>
      <w:r>
        <w:t xml:space="preserve">第21章　成年后的神经可塑性与改变的条件</w:t>
      </w:r>
    </w:p>
    <w:p>
      <w:pPr>
        <w:pStyle w:val="CalloutJudgment"/>
      </w:pPr>
      <w:r>
        <w:rPr>
          <w:bCs/>
          <w:b/>
        </w:rPr>
        <w:t xml:space="preserve">核心判断　成年脑保留学习和经验相关改变的能力，置信度高。具体干预能改变哪些能力、改变多大、保持多久，需要逐项检验。</w:t>
      </w:r>
      <w:r>
        <w:t xml:space="preserve">成年、成熟和停止变化是三个不同概念。成熟描述系统在某些条件下达到相对稳定的组织与功能状态；可塑性描述系统随活动、经验、损伤或内部状态发生变化的能力。一个成熟系统可以持续学习，也可以在疾病和长期不使用中失去功能。</w:t>
      </w:r>
    </w:p>
    <w:bookmarkStart w:id="369" w:name="sec-21-1"/>
    <w:p>
      <w:pPr>
        <w:pStyle w:val="Heading3"/>
      </w:pPr>
      <w:r>
        <w:t xml:space="preserve">21.1　需要分别理解的五个层次</w:t>
      </w:r>
    </w:p>
    <w:p>
      <w:pPr>
        <w:pStyle w:val="FirstParagraph"/>
      </w:pPr>
      <w:r>
        <w:t xml:space="preserve">行为学习是最容易观察的层次：练习后错误减少、速度提高、策略改善。功能改变可以表现为同一任务所需的活动模式改变、脑区之间配合方式改变、完成任务的资源需求改变。突触与细胞改变涉及受体、突触效率、树突棘、胶质以及髓鞘等过程。宏观结构改变是MRI所测量的体积、厚度、扩散或其他组织指标发生变化。生活层面的改变则包括能否独立完成任务、能否把技能用于新的场景，以及症状和生活质量是否改善。这五个层次之间有联系，但任何一层的结果都不足以替代其他层的测量。</w:t>
      </w:r>
    </w:p>
    <w:p>
      <w:pPr>
        <w:pStyle w:val="BodyText"/>
      </w:pPr>
      <w:r>
        <w:t xml:space="preserve">一个成年人学会弹奏新曲，可以明确说明其行为能力发生变化。若同时发现某运动区的功能信号改变，研究就增加了一条神经层面的观察。只有进一步进行合适的干预、时间顺序和中介分析，才可能判断该变化是否参与学习机制。训练课程只展示彩色脑图，仍然没有回答课程是否比其他练习更有效。治疗让患者的实验室测验分数提高，也仍需核对真实生活中的收益。</w:t>
      </w:r>
    </w:p>
    <w:bookmarkEnd w:id="369"/>
    <w:bookmarkStart w:id="370" w:name="sec-21-2"/>
    <w:p>
      <w:pPr>
        <w:pStyle w:val="Heading3"/>
      </w:pPr>
      <w:r>
        <w:t xml:space="preserve">21.2　成年可塑性的关键证据怎样形成</w:t>
      </w:r>
    </w:p>
    <w:p>
      <w:pPr>
        <w:pStyle w:val="FirstParagraph"/>
      </w:pPr>
      <w:r>
        <w:t xml:space="preserve">Draganski等在2004年的杂耍研究使用训练前后反复扫描和未训练对照，发现学习相关视觉运动区域出现暂时性的灰质指标变化。停止练习后，部分变化回落。研究对“成年后结构完全固定”提供了直接反例，但MRI指标不能直接换算成新生神经元数目</w:t>
      </w:r>
      <w:r>
        <w:rPr>
          <w:vertAlign w:val="superscript"/>
        </w:rPr>
        <w:t xml:space="preserve">[</w:t>
      </w:r>
      <w:hyperlink w:anchor="ref-221">
        <w:r>
          <w:rPr>
            <w:rStyle w:val="Hyperlink"/>
            <w:vertAlign w:val="superscript"/>
          </w:rPr>
          <w:t xml:space="preserve">221</w:t>
        </w:r>
      </w:hyperlink>
      <w:r>
        <w:rPr>
          <w:vertAlign w:val="superscript"/>
        </w:rPr>
        <w:t xml:space="preserve">]</w:t>
      </w:r>
      <w:r>
        <w:t xml:space="preserve">。</w:t>
      </w:r>
    </w:p>
    <w:p>
      <w:pPr>
        <w:pStyle w:val="BodyText"/>
      </w:pPr>
      <w:r>
        <w:t xml:space="preserve">一项动物研究把扩散MRI与组织染色相连：72只成年雄性大鼠随机进入不同训练条件，组织学子样本为24只。技能学习组出现任务相关白质及髓鞘染色差异，帮助说明影像变化可能包含髓鞘机制。动物、任务和测量条件限制了向成人临床干预的外推</w:t>
      </w:r>
      <w:r>
        <w:rPr>
          <w:vertAlign w:val="superscript"/>
        </w:rPr>
        <w:t xml:space="preserve">[</w:t>
      </w:r>
      <w:hyperlink w:anchor="ref-223">
        <w:r>
          <w:rPr>
            <w:rStyle w:val="Hyperlink"/>
            <w:vertAlign w:val="superscript"/>
          </w:rPr>
          <w:t xml:space="preserve">223</w:t>
        </w:r>
      </w:hyperlink>
      <w:r>
        <w:rPr>
          <w:vertAlign w:val="superscript"/>
        </w:rPr>
        <w:t xml:space="preserve">]</w:t>
      </w:r>
      <w:r>
        <w:t xml:space="preserve">。</w:t>
      </w:r>
    </w:p>
    <w:p>
      <w:pPr>
        <w:pStyle w:val="BodyText"/>
      </w:pPr>
      <w:r>
        <w:t xml:space="preserve">这些研究具有互补性。人体研究更接近所关心的学习者，却难以直接观察活体组织的微观过程。动物研究允许更多机制操纵，却需要额外证明物种和任务之间的对应关系。合格的解释会把这两类证据连接起来，并保留每一类证据的边界。</w:t>
      </w:r>
    </w:p>
    <w:bookmarkEnd w:id="370"/>
    <w:bookmarkStart w:id="371" w:name="sec-21-3"/>
    <w:p>
      <w:pPr>
        <w:pStyle w:val="Heading3"/>
      </w:pPr>
      <w:r>
        <w:t xml:space="preserve">21.3　连接改变如何产生功能改变</w:t>
      </w:r>
    </w:p>
    <w:p>
      <w:pPr>
        <w:pStyle w:val="FirstParagraph"/>
      </w:pPr>
      <w:r>
        <w:t xml:space="preserve">神经元之间的有效影响可以通过多种方式变化。突触前释放概率改变会影响一次活动产生多少递质作用；突触后受体数量和状态改变会影响输入的效果；抑制性活动的时间安排会影响其他输入能否引发输出；髓鞘和轴突性质会影响传导时序。行为需要多个过程在合适时间配合，因此单条连接变强并不保证整体表现提高。</w:t>
      </w:r>
    </w:p>
    <w:p>
      <w:pPr>
        <w:pStyle w:val="BodyText"/>
      </w:pPr>
      <w:r>
        <w:t xml:space="preserve">学习还包含稳定性问题。如果每次新经验都让全部连接大幅改变，过去形成的能力就可能受到干扰；假设所有共同活动的连接都无限增强，网络活动还可能逐渐失去区分度。如果所有连接完全稳定，新经验又难以留下长期影响；若所有不常使用的连接都迅速消失，过去形成的有用能力也难以保留（另见</w:t>
      </w:r>
      <w:r>
        <w:t xml:space="preserve"> </w:t>
      </w:r>
      <w:hyperlink w:anchor="sec-20-4">
        <w:r>
          <w:rPr>
            <w:rStyle w:val="Hyperlink"/>
          </w:rPr>
          <w:t xml:space="preserve">20.4</w:t>
        </w:r>
      </w:hyperlink>
      <w:r>
        <w:t xml:space="preserve">）。成熟网络因此需要同时具有选择性调整和稳定机制。研究可塑性需要解释系统怎样在保持已有知识与吸收新信息之间维持可用状态；可塑性强弱只有与稳定性、任务需求和时间尺度一起讨论，才具有明确意义。不同任务的训练间隔、反馈方式和环境稳定性可能改变这种权衡。由此可以推导出一个重要限制：加大刺激强度或练习总量，无法自动保证更好的学习。</w:t>
      </w:r>
    </w:p>
    <w:p>
      <w:pPr>
        <w:pStyle w:val="BodyText"/>
      </w:pPr>
      <w:r>
        <w:t xml:space="preserve">连接的选择性也很关键。训练效果能否迁移，取决于新旧任务共享什么。一个动作训练让相关回路更熟练，通常首先提高所练动作，或使用相同刺激、相同动作和相同规则的任务。跨到语言推理、情绪调节、一般智力或现实中复杂多变的活动，需要证明训练改变了它们共同依赖的过程；共同使用“注意”或“记忆”这样的标签，并不保证训练了完全相同的过程。把任何局部影像变化统称为“全脑升级”，会遗漏这一机制要求。迁移必须在未练过、具有实际意义的任务中测量，并尽量使用能控制期待和接触时间的比较条件。</w:t>
      </w:r>
    </w:p>
    <w:bookmarkEnd w:id="371"/>
    <w:bookmarkStart w:id="372" w:name="sec-21-4"/>
    <w:p>
      <w:pPr>
        <w:pStyle w:val="Heading3"/>
      </w:pPr>
      <w:r>
        <w:t xml:space="preserve">21.4　为什么年龄有影响却没有统一终点</w:t>
      </w:r>
    </w:p>
    <w:p>
      <w:pPr>
        <w:pStyle w:val="FirstParagraph"/>
      </w:pPr>
      <w:r>
        <w:t xml:space="preserve">年龄可能改变细胞环境、既有知识、感官功能、睡眠、疾病负担和生活安排。同样的训练因此可能在不同年龄产生不同速度与收益。老年学习者也可能拥有更丰富的背景知识、更成熟的策略或更强的目标感；这些优势可能帮助某些任务，同时无法抵消所有生理变化。解释年龄效应时，应报告具体能力及其测量条件。</w:t>
      </w:r>
    </w:p>
    <w:p>
      <w:pPr>
        <w:pStyle w:val="BodyText"/>
      </w:pPr>
      <w:r>
        <w:t xml:space="preserve">横断面研究比较年轻人与老年人，观察到的差异包含年龄、出生年代、教育经验以及参与研究的选择等因素。纵向研究追踪同一个人，可以减少部分混杂，却会受到反复测验、选择性退出和时间变化的影响。两类设计得出相近结果时，判断更稳健；结果不一致时，应先检查方法和样本，再判断某一类数据是否存在问题。</w:t>
      </w:r>
    </w:p>
    <w:p>
      <w:pPr>
        <w:pStyle w:val="BodyText"/>
      </w:pPr>
      <w:r>
        <w:t xml:space="preserve">训练开始时的水平也影响变化量。初学者可能很快获得明显改善，高水平者的提升较慢。比较相同练习时长时，需要知道两组起点是否相当；比较相同终点时，又需要知道各自投入了多少时间。只挑“进步最快的人”作为宣传，无法估计普通学习者的收益分布。实际评价应包括平均改善、个体差异、未完成训练者以及保持情况。</w:t>
      </w:r>
    </w:p>
    <w:bookmarkEnd w:id="372"/>
    <w:bookmarkStart w:id="373" w:name="sec-21-5"/>
    <w:p>
      <w:pPr>
        <w:pStyle w:val="Heading3"/>
      </w:pPr>
      <w:r>
        <w:t xml:space="preserve">21.5　有利可塑性与有害学习</w:t>
      </w:r>
    </w:p>
    <w:p>
      <w:pPr>
        <w:pStyle w:val="FirstParagraph"/>
      </w:pPr>
      <w:r>
        <w:t xml:space="preserve">可塑性是描述性概念。一个回避模式可以通过反复强化变得稳定，一个疼痛相关警觉模式可以越来越容易触发，一种使用习惯可以在特定线索下反复出现。系统确实发生了学习，这些变化却可能损害生活。因此，“改变了脑”本身没有给干预作正面评价。</w:t>
      </w:r>
    </w:p>
    <w:p>
      <w:pPr>
        <w:pStyle w:val="BodyText"/>
      </w:pPr>
      <w:r>
        <w:t xml:space="preserve">干预目标需要先明确。对语言障碍，目标可能是提高有效沟通；对运动障碍，目标可能是恢复某项动作或找到可行代偿；对创伤症状，目标可能是降低过度警觉和改善睡眠。不同目标允许不同的机制路径。患者通过辅助工具恢复参与机会，也是重要收益。若把唯一成功标准设为脑图回到某个平均值，可能漏掉有意义的改善。</w:t>
      </w:r>
    </w:p>
    <w:bookmarkEnd w:id="373"/>
    <w:bookmarkStart w:id="374" w:name="sec-21-6"/>
    <w:p>
      <w:pPr>
        <w:pStyle w:val="Heading3"/>
      </w:pPr>
      <w:r>
        <w:t xml:space="preserve">21.6　从脑损伤恢复到康复机制</w:t>
      </w:r>
    </w:p>
    <w:p>
      <w:pPr>
        <w:pStyle w:val="FirstParagraph"/>
      </w:pPr>
      <w:r>
        <w:t xml:space="preserve">损伤后的表现变化至少可能包含原有组织功能恢复、其他网络参与、策略调整、环境适配以及辅助设备作用，这些过程可以共同发生。研究必须尽可能区分这些来源。仅观察任务完成时间缩短，无法确定其主要来源；运动轨迹、错误类型和真实生活使用情况能够提供额外信息。某脑区在恢复过程中活动增加，可能承担补偿功能，也可能只是任务更费力的表现。只有改变该活动并观察行为后果，或获得更强的纵向机制证据，才能进一步解释其作用。</w:t>
      </w:r>
    </w:p>
    <w:p>
      <w:pPr>
        <w:pStyle w:val="BodyText"/>
      </w:pPr>
      <w:r>
        <w:t xml:space="preserve">恢复幅度还受到损伤位置、范围、病因、时间、合并疾病以及可获得支持的影响。成人存在可塑性这一事实无法保证所有损伤都能修复。反过来，某种组织缺损无法完全恢复，也不代表沟通、行动和参与机会都没有改善空间。功能目标应以个人需求和可测收益确定，避免把生物修复与生活改善混成一个总分。</w:t>
      </w:r>
    </w:p>
    <w:bookmarkEnd w:id="374"/>
    <w:bookmarkStart w:id="375" w:name="sec-21-7"/>
    <w:p>
      <w:pPr>
        <w:pStyle w:val="Heading3"/>
      </w:pPr>
      <w:r>
        <w:t xml:space="preserve">21.7　怎样设计能够回答问题的成人训练试验</w:t>
      </w:r>
    </w:p>
    <w:p>
      <w:pPr>
        <w:pStyle w:val="FirstParagraph"/>
      </w:pPr>
      <w:r>
        <w:t xml:space="preserve">假设要检验一项八周视觉训练能否改善日常驾驶表现，研究需要先指定主要结局。若主要结局是训练软件分数，试验只能清楚回答软件熟练度。若主张改善驾驶，就应纳入经过验证的驾驶相关测量，必要时使用真实行为记录，并审查其安全性和可解释性。影像可以作为机制指标，无法替代这些功能结局。</w:t>
      </w:r>
    </w:p>
    <w:p>
      <w:pPr>
        <w:pStyle w:val="BodyText"/>
      </w:pPr>
      <w:r>
        <w:t xml:space="preserve">对照条件应让参与者获得相近接触时间、使用体验和改善期待。等待名单容易同时放大关注、社交和期待差异。训练者往往知道自己接受何种活动，研究可以尽量让结局评估者不知道分组，预注册主要分析，记录练习依从性，并报告所有随机分配者的结果。对大量脑区和行为指标进行探索时，应清楚区分预先指定结果与事后线索。</w:t>
      </w:r>
    </w:p>
    <w:p>
      <w:pPr>
        <w:pStyle w:val="BodyText"/>
      </w:pPr>
      <w:r>
        <w:t xml:space="preserve">随访需要检验保持和迁移。结束当天的进步可能包含短期熟悉，三个月后能否保留更接近实用问题。假设训练组提高10分，对照组提高8分，组间增益为2分。宣传只报告训练组的10分，会遗漏测验熟悉、自然变化和其他共同影响。上述数字用于说明比较逻辑，不能当作某项课程的效果估计。</w:t>
      </w:r>
    </w:p>
    <w:bookmarkEnd w:id="375"/>
    <w:bookmarkStart w:id="376" w:name="sec-21-8"/>
    <w:p>
      <w:pPr>
        <w:pStyle w:val="Heading3"/>
      </w:pPr>
      <w:r>
        <w:t xml:space="preserve">21.8　个体改变的证据如何累积</w:t>
      </w:r>
    </w:p>
    <w:p>
      <w:pPr>
        <w:pStyle w:val="FirstParagraph"/>
      </w:pPr>
      <w:r>
        <w:t xml:space="preserve">个人观察可以帮助调整练习，但单次前后比较通常难以区分干预、情绪、睡眠、测验误差和自然波动。可以提前定义具体目标，在可行时记录一段基线，选择稳定测量，避免同时改变太多因素。对于涉及治疗的改变，应由相应临床评估与安全要求约束。自我记录的价值在于改善判断，不能代替随机研究为产品作普遍疗效证明。</w:t>
      </w:r>
    </w:p>
    <w:p>
      <w:pPr>
        <w:pStyle w:val="BodyText"/>
      </w:pPr>
      <w:r>
        <w:t xml:space="preserve">阅读可塑性报道时，还应询问改变的方向是否预先预测。某些报道把活动增加解释为增强，又把活动减少解释为效率提高。如果理论允许所有方向都同样成功，就需要更具体的预测：何种任务、何种阶段、哪个测量量应如何变化，以及什么结果会使解释失败。可塑性研究的进展来自能够区分机制的预测。</w:t>
      </w:r>
    </w:p>
    <w:bookmarkEnd w:id="376"/>
    <w:bookmarkStart w:id="377" w:name="sec-21-9"/>
    <w:p>
      <w:pPr>
        <w:pStyle w:val="Heading3"/>
      </w:pPr>
      <w:r>
        <w:t xml:space="preserve">21.9　改变连接同时需要维持稳定</w:t>
      </w:r>
    </w:p>
    <w:p>
      <w:pPr>
        <w:pStyle w:val="FirstParagraph"/>
      </w:pPr>
      <w:r>
        <w:t xml:space="preserve">稳态可塑性研究关注神经系统怎样在持续扰动下调节兴奋性与连接强度，使活动保持在可工作的范围。Turrigiano 的综合讨论区分了局部和较广泛的稳定机制，并说明它们可以与学习相关的突触变化共同存在。这类机制支持一种重要认识：神经系统的目标涉及可用的动态范围和稳定功能，单向提高兴奋性不等于提高学习能力</w:t>
      </w:r>
      <w:r>
        <w:rPr>
          <w:vertAlign w:val="superscript"/>
        </w:rPr>
        <w:t xml:space="preserve">[</w:t>
      </w:r>
      <w:hyperlink w:anchor="ref-224">
        <w:r>
          <w:rPr>
            <w:rStyle w:val="Hyperlink"/>
            <w:vertAlign w:val="superscript"/>
          </w:rPr>
          <w:t xml:space="preserve">224</w:t>
        </w:r>
      </w:hyperlink>
      <w:r>
        <w:rPr>
          <w:vertAlign w:val="superscript"/>
        </w:rPr>
        <w:t xml:space="preserve">]</w:t>
      </w:r>
      <w:r>
        <w:t xml:space="preserve">。</w:t>
      </w:r>
    </w:p>
    <w:p>
      <w:pPr>
        <w:pStyle w:val="BodyText"/>
      </w:pPr>
      <w:r>
        <w:t xml:space="preserve">可以构造一个简单网络例子。一个神经元接收十路输入，其中两路对当前任务特别有信息。学习可以增强这两路的相对作用，同时通过其他调节保持总体放电不过高。若只测平均放电，可能看不到明显变化；若测输入选择性，却能观察到功能改善。这说明平均活动、连接权重和信息表达属于不同观察层次，“脑活动没有变强”不能独自否定学习发生。</w:t>
      </w:r>
    </w:p>
    <w:bookmarkEnd w:id="377"/>
    <w:bookmarkStart w:id="378" w:name="sec-21-10"/>
    <w:p>
      <w:pPr>
        <w:pStyle w:val="Heading3"/>
      </w:pPr>
      <w:r>
        <w:t xml:space="preserve">21.10　过去经验会改变下一次学习的规则</w:t>
      </w:r>
    </w:p>
    <w:p>
      <w:pPr>
        <w:pStyle w:val="FirstParagraph"/>
      </w:pPr>
      <w:r>
        <w:t xml:space="preserve">同样的训练刺激，在不同历史状态下可以产生不同结果。此前的活动、休息、药物、压力和其他学习可能改变后续可塑性的阈值。元可塑性概念用于描述“产生可塑性本身的条件”发生变化；它可以在基础传递强度没有明显改变时存在。Abraham 和 Bear 对这一概念的早期总结（见</w:t>
      </w:r>
      <w:r>
        <w:t xml:space="preserve"> </w:t>
      </w:r>
      <w:hyperlink w:anchor="sec-24-14">
        <w:r>
          <w:rPr>
            <w:rStyle w:val="Hyperlink"/>
          </w:rPr>
          <w:t xml:space="preserve">24.14</w:t>
        </w:r>
      </w:hyperlink>
      <w:r>
        <w:t xml:space="preserve">）强调了训练历史对于后续长期增强或抑制的影响</w:t>
      </w:r>
      <w:r>
        <w:rPr>
          <w:vertAlign w:val="superscript"/>
        </w:rPr>
        <w:t xml:space="preserve">[</w:t>
      </w:r>
      <w:hyperlink w:anchor="ref-225">
        <w:r>
          <w:rPr>
            <w:rStyle w:val="Hyperlink"/>
            <w:vertAlign w:val="superscript"/>
          </w:rPr>
          <w:t xml:space="preserve">225</w:t>
        </w:r>
      </w:hyperlink>
      <w:r>
        <w:rPr>
          <w:vertAlign w:val="superscript"/>
        </w:rPr>
        <w:t xml:space="preserve">]</w:t>
      </w:r>
      <w:r>
        <w:t xml:space="preserve">。</w:t>
      </w:r>
    </w:p>
    <w:p>
      <w:pPr>
        <w:pStyle w:val="BodyText"/>
      </w:pPr>
      <w:r>
        <w:t xml:space="preserve">这一概念不能直接转换成通用训练秘诀。要为某个具体技能设计安排，需要知道该技能的行为学习规律和实际结果。分子层面的阈值变化，不会自动告诉人们应该间隔几分钟或训练多少次。更合理的推理是把训练历史作为一个可测变量，比较不同安排对保持和迁移的作用，并允许不同任务出现不同最优条件。</w:t>
      </w:r>
    </w:p>
    <w:p>
      <w:pPr>
        <w:pStyle w:val="BodyText"/>
      </w:pPr>
      <w:r>
        <w:t xml:space="preserve">假设两组成人接受相同总量训练，一组连续完成，另一组分散进行。如果分散组一周后的表现更好，可能涉及疲劳减少、记忆巩固、提取练习或间隔内生活经验。若想确定某个神经机制，必须增加能区分这些解释的测量或操纵。行为策略有效与某个生理故事正确，需要分别建立证据。</w:t>
      </w:r>
    </w:p>
    <w:bookmarkEnd w:id="378"/>
    <w:bookmarkStart w:id="379" w:name="sec-21-11"/>
    <w:p>
      <w:pPr>
        <w:pStyle w:val="Heading3"/>
      </w:pPr>
      <w:r>
        <w:t xml:space="preserve">21.11　兴奋与抑制的平衡具有情境依赖</w:t>
      </w:r>
    </w:p>
    <w:p>
      <w:pPr>
        <w:pStyle w:val="FirstParagraph"/>
      </w:pPr>
      <w:r>
        <w:t xml:space="preserve">抑制性活动可以限制无关输入、提高时间精度，也可以影响某些学习窗口。把抑制简单理解为学习的障碍，会遗漏其对选择性和稳定性的作用。一个系统在休息时的最佳活动状态，可能与执行复杂任务时不同；局部回路的兴奋抑制变化，也未必与全脑平均信号同向。</w:t>
      </w:r>
    </w:p>
    <w:p>
      <w:pPr>
        <w:pStyle w:val="BodyText"/>
      </w:pPr>
      <w:r>
        <w:t xml:space="preserve">关键期研究表明，在一些感觉系统中，抑制回路成熟和细胞外结构变化参与经验依赖的调整。Hensch 的工作总结了视觉皮层中这些机制及其操作证据（见</w:t>
      </w:r>
      <w:r>
        <w:t xml:space="preserve"> </w:t>
      </w:r>
      <w:hyperlink w:anchor="sec-22-3">
        <w:r>
          <w:rPr>
            <w:rStyle w:val="Hyperlink"/>
          </w:rPr>
          <w:t xml:space="preserve">22.3</w:t>
        </w:r>
      </w:hyperlink>
      <w:r>
        <w:t xml:space="preserve">、</w:t>
      </w:r>
      <w:hyperlink w:anchor="sec-22-7">
        <w:r>
          <w:rPr>
            <w:rStyle w:val="Hyperlink"/>
          </w:rPr>
          <w:t xml:space="preserve">22.7</w:t>
        </w:r>
      </w:hyperlink>
      <w:r>
        <w:t xml:space="preserve">）。该领域提供了理解可塑性窗口的基础，适用时应保留系统、物种和发育条件，不能把动物视觉回路的一个操作直接推广为成人全面提高智力的方法</w:t>
      </w:r>
      <w:r>
        <w:rPr>
          <w:vertAlign w:val="superscript"/>
        </w:rPr>
        <w:t xml:space="preserve">[</w:t>
      </w:r>
      <w:hyperlink w:anchor="ref-199">
        <w:r>
          <w:rPr>
            <w:rStyle w:val="Hyperlink"/>
            <w:vertAlign w:val="superscript"/>
          </w:rPr>
          <w:t xml:space="preserve">199</w:t>
        </w:r>
      </w:hyperlink>
      <w:r>
        <w:rPr>
          <w:vertAlign w:val="superscript"/>
        </w:rPr>
        <w:t xml:space="preserve">]</w:t>
      </w:r>
      <w:r>
        <w:t xml:space="preserve">。</w:t>
      </w:r>
    </w:p>
    <w:p>
      <w:pPr>
        <w:pStyle w:val="BodyText"/>
      </w:pPr>
      <w:r>
        <w:t xml:space="preserve">药物或刺激如果扩大某种可塑性窗口，也会扩大环境输入的重要性。系统更容易改变时，有益经验和有害经验都可能产生影响，因此“重新开放可塑性”本身并不是完整疗法（转化所需的条件见</w:t>
      </w:r>
      <w:r>
        <w:t xml:space="preserve"> </w:t>
      </w:r>
      <w:hyperlink w:anchor="sec-22-7">
        <w:r>
          <w:rPr>
            <w:rStyle w:val="Hyperlink"/>
          </w:rPr>
          <w:t xml:space="preserve">22.7</w:t>
        </w:r>
      </w:hyperlink>
      <w:r>
        <w:t xml:space="preserve">）。临床转化的关键在于可控的功能结果。</w:t>
      </w:r>
    </w:p>
    <w:bookmarkEnd w:id="379"/>
    <w:bookmarkStart w:id="380" w:name="sec-21-12"/>
    <w:p>
      <w:pPr>
        <w:pStyle w:val="Heading3"/>
      </w:pPr>
      <w:r>
        <w:t xml:space="preserve">21.12　恢复原有方式与学习替代方式</w:t>
      </w:r>
    </w:p>
    <w:p>
      <w:pPr>
        <w:pStyle w:val="FirstParagraph"/>
      </w:pPr>
      <w:r>
        <w:t xml:space="preserve">假设一个人伸手取杯更快，但同时增加了躯干代偿。若目标是独立喝水，这种变化可能有实用价值；若研究问题是手臂原有控制模式是否恢复，则需要进一步分析。康复评估应明确所重视的层面，避免把所有代偿都视为失败，也避免把任何完成任务都写成神经损伤完全修复。</w:t>
      </w:r>
    </w:p>
    <w:p>
      <w:pPr>
        <w:pStyle w:val="BodyText"/>
      </w:pPr>
      <w:r>
        <w:t xml:space="preserve">EXCITE 随机试验在222名卒中后特定阶段、具有一定上肢运动能力的患者中研究限制诱导运动治疗，发现部分实验室表现和日常上肢使用指标优于当时的常规照护。该证据说明有结构的训练能够在筛选人群中改善功能；入组能力、卒中阶段和对照条件限制了推广，不能据此要求所有卒中患者采用相同训练负荷</w:t>
      </w:r>
      <w:r>
        <w:rPr>
          <w:vertAlign w:val="superscript"/>
        </w:rPr>
        <w:t xml:space="preserve">[</w:t>
      </w:r>
      <w:hyperlink w:anchor="ref-226">
        <w:r>
          <w:rPr>
            <w:rStyle w:val="Hyperlink"/>
            <w:vertAlign w:val="superscript"/>
          </w:rPr>
          <w:t xml:space="preserve">226</w:t>
        </w:r>
      </w:hyperlink>
      <w:r>
        <w:rPr>
          <w:vertAlign w:val="superscript"/>
        </w:rPr>
        <w:t xml:space="preserve">]</w:t>
      </w:r>
      <w:r>
        <w:t xml:space="preserve">。</w:t>
      </w:r>
    </w:p>
    <w:bookmarkEnd w:id="380"/>
    <w:bookmarkStart w:id="381" w:name="sec-21-13"/>
    <w:p>
      <w:pPr>
        <w:pStyle w:val="Heading3"/>
      </w:pPr>
      <w:r>
        <w:t xml:space="preserve">21.13　训练剂量包含多个维度</w:t>
      </w:r>
    </w:p>
    <w:p>
      <w:pPr>
        <w:pStyle w:val="FirstParagraph"/>
      </w:pPr>
      <w:r>
        <w:t xml:space="preserve">“训练一小时”并不等于每个人获得相同的学习剂量。任务难度、有效尝试次数、错误反馈、注意投入、疲劳和成功率都会改变实际经历。两位患者在相同时长内完成的高质量尝试数可能差很多。研究若只报告总时长，难以区分训练不足、执行质量不足与干预机制无效。</w:t>
      </w:r>
    </w:p>
    <w:p>
      <w:pPr>
        <w:pStyle w:val="BodyText"/>
      </w:pPr>
      <w:r>
        <w:t xml:space="preserve">难度过低时，表现可能很好却缺少新的挑战；难度过高时，错误过多、挫折和疲劳可能妨碍持续参与。一个合理的个体化方案应让任务与当前能力相匹配，并根据变化调整。这个原则在教学上可以理解为“有效挑战”，但具体阈值需要任务证据和专业判断，不能凭一个普遍百分比规定所有训练。</w:t>
      </w:r>
    </w:p>
    <w:p>
      <w:pPr>
        <w:pStyle w:val="BodyText"/>
      </w:pPr>
      <w:r>
        <w:t xml:space="preserve">反馈也有不同作用。连续外部提示可以提高训练当下表现，却可能使学习者依赖提示；较少提示可能让早期表现较差，同时促进独立检查。是否存在这种权衡，需要测量撤除提示后的保持。研究应区分练习时表现、短期保持、长期保持和迁移，避免只选择最容易看到改善的时间点。</w:t>
      </w:r>
    </w:p>
    <w:bookmarkEnd w:id="381"/>
    <w:bookmarkStart w:id="382" w:name="sec-21-14"/>
    <w:p>
      <w:pPr>
        <w:pStyle w:val="Heading3"/>
      </w:pPr>
      <w:r>
        <w:t xml:space="preserve">21.14　迁移需要相似机制或可用策略</w:t>
      </w:r>
    </w:p>
    <w:p>
      <w:pPr>
        <w:pStyle w:val="FirstParagraph"/>
      </w:pPr>
      <w:r>
        <w:t xml:space="preserve">可以设想训练者熟练记住屏幕上闪现的位置，但日常服药安排没有改善。训练可能确实改变了局部任务能力，同时目标活动还依赖计划、时间线索和环境管理。解决办法是分析日常任务的具体瓶颈，并测试训练是否覆盖这些瓶颈。把所有无迁移结果解释成参加者不够努力，会让理论失去可检验性。</w:t>
      </w:r>
    </w:p>
    <w:p>
      <w:pPr>
        <w:pStyle w:val="BodyText"/>
      </w:pPr>
      <w:r>
        <w:t xml:space="preserve">外部辅助工具也可以构成功能改善。提醒系统、明确标识和任务分解能够降低认知负担，使保留能力更有效地发挥。它们未必需要增加某个脑区体积才具有价值。神经科学能够帮助理解为何工具有效，功能评价仍应以真实活动和个人目标为依据。</w:t>
      </w:r>
    </w:p>
    <w:bookmarkEnd w:id="382"/>
    <w:bookmarkStart w:id="383" w:name="sec-21-15"/>
    <w:p>
      <w:pPr>
        <w:pStyle w:val="Heading3"/>
      </w:pPr>
      <w:r>
        <w:t xml:space="preserve">21.15　个体化预测需要独立验证</w:t>
      </w:r>
    </w:p>
    <w:p>
      <w:pPr>
        <w:pStyle w:val="FirstParagraph"/>
      </w:pPr>
      <w:r>
        <w:t xml:space="preserve">某个基线影像指标与训练后改善相关，可能反映可恢复资源，也可能反映初始严重程度、运动能力或测量回归。研究应比较它在既有临床信息之外增加了多少预测价值，并在独立患者中验证。只在同一小样本中挑出最相关的脑区，容易高估实际用途。</w:t>
      </w:r>
    </w:p>
    <w:p>
      <w:pPr>
        <w:pStyle w:val="BodyText"/>
      </w:pPr>
      <w:r>
        <w:t xml:space="preserve">预测谁自然改善，与预测谁更适合某一种训练也不同。若某指标与两组人的改善都相关，它可能只是一般预后指标。治疗选择需要证明不同指标水平下，两种方案的相对效果不同。这个交互作用问题通常比单组相关更难，需要更大样本和预先规定的分析。</w:t>
      </w:r>
    </w:p>
    <w:p>
      <w:pPr>
        <w:pStyle w:val="BodyText"/>
      </w:pPr>
      <w:r>
        <w:t xml:space="preserve">成人可塑性的临床价值，因此体现为可验证的功能改变、合适的支持条件和可持续的训练过程。它允许希望，同时要求具体。每一个“可以改变”的判断，都应继续回答改变什么、改变多少、保持多久以及付出什么代价。</w:t>
      </w:r>
    </w:p>
    <w:bookmarkEnd w:id="383"/>
    <w:bookmarkStart w:id="384" w:name="sec-21-16"/>
    <w:p>
      <w:pPr>
        <w:pStyle w:val="Heading3"/>
      </w:pPr>
      <w:r>
        <w:t xml:space="preserve">21.16　边界与可推翻条件</w:t>
      </w:r>
    </w:p>
    <w:p>
      <w:pPr>
        <w:pStyle w:val="FirstParagraph"/>
      </w:pPr>
      <w:r>
        <w:t xml:space="preserve">成人仍有可塑性的结论由多种行为与生物学证据支持，单个训练失败不会推翻它。特定训练具有广泛迁移的主张则需要独立试验支持。如果充分效能、合适对照和长期随访都未发现有意义的收益，就应降低对该训练的评价。新技术若声称通过某一细胞机制产生改善，还需证明这一机制确实被改变，而且它与功能收益之间存在可信联系。</w:t>
      </w:r>
    </w:p>
    <w:p>
      <w:pPr>
        <w:pStyle w:val="BodyText"/>
      </w:pPr>
      <w:r>
        <w:t xml:space="preserve">本章的准确表述是：成年神经系统持续受到学习、环境和健康状态的影响；改变具有任务、时间和机制上的条件。评价训练要同时看行为收益、保持、迁移、负担与风险，脑指标只回答其中一部分问题。</w:t>
      </w:r>
    </w:p>
    <w:bookmarkEnd w:id="384"/>
    <w:bookmarkEnd w:id="385"/>
    <w:bookmarkStart w:id="403" w:name="ch-22"/>
    <w:p>
      <w:pPr>
        <w:pStyle w:val="Heading2"/>
      </w:pPr>
      <w:r>
        <w:t xml:space="preserve">第22章　关键期、敏感期与终身学习</w:t>
      </w:r>
    </w:p>
    <w:bookmarkStart w:id="386" w:name="sec-22-1"/>
    <w:p>
      <w:pPr>
        <w:pStyle w:val="Heading3"/>
      </w:pPr>
      <w:r>
        <w:t xml:space="preserve">22.1　核心判断</w:t>
      </w:r>
    </w:p>
    <w:p>
      <w:pPr>
        <w:pStyle w:val="FirstParagraph"/>
      </w:pPr>
      <w:r>
        <w:t xml:space="preserve">某些功能对经验的影响具有发育窗口，早期缺乏必要输入可能产生持久后果；全脑在三岁或六岁统一停止学习的说法缺乏依据。对这一判断的置信度高。不同功能、经验类型和结局具有不同年龄轨迹，不能用一个生日概括。</w:t>
      </w:r>
    </w:p>
    <w:p>
      <w:pPr>
        <w:pStyle w:val="BodyText"/>
      </w:pPr>
      <w:r>
        <w:t xml:space="preserve">关键期与敏感期的定义在文献中存在使用差异。通常，关键期强调某类必要经验在特定窗口内对正常功能建立的重要性，敏感期强调某时期学习更容易或效果更大。研究者应给出操作定义，说明窗口外是完全不可能、效率降低还是最终表现受限。</w:t>
      </w:r>
    </w:p>
    <w:bookmarkEnd w:id="386"/>
    <w:bookmarkStart w:id="387" w:name="sec-22-2"/>
    <w:p>
      <w:pPr>
        <w:pStyle w:val="Heading3"/>
      </w:pPr>
      <w:r>
        <w:t xml:space="preserve">22.2　年龄效应至少包含三个问题</w:t>
      </w:r>
    </w:p>
    <w:p>
      <w:pPr>
        <w:pStyle w:val="FirstParagraph"/>
      </w:pPr>
      <w:r>
        <w:t xml:space="preserve">第一个问题是学习速度：相同时间内，哪个年龄学得更快。第二个问题是最终水平：长时间练习后能达到什么程度。第三个问题是维持成本：需要怎样的练习、支持和环境才能保持。这些结果可能具有不同年龄关系。</w:t>
      </w:r>
    </w:p>
    <w:p>
      <w:pPr>
        <w:pStyle w:val="BodyText"/>
      </w:pPr>
      <w:r>
        <w:t xml:space="preserve">年龄与经验通常一起变化。开始较早的人往往拥有更多累积经验；年龄较大的人接触世界更久，也可能进入不同学校、家庭和社会角色。如果只比较当前成绩，就容易把接触时间与学习能力混合。开始年龄还可能与教育、迁移环境和家庭条件相关。若学习结果随年龄改变，需要区分成熟过程、接触量、接触质量、既有知识和动机等因素；横断面年龄差异只能提供这些因素的组合结果。年龄效应的因果解释因此需要精细设计。</w:t>
      </w:r>
    </w:p>
    <w:p>
      <w:pPr>
        <w:pStyle w:val="BodyText"/>
      </w:pPr>
      <w:r>
        <w:t xml:space="preserve">另一个问题是任务组成。语言包括语音、词汇、语法、语用和读写；音乐包括音高、节奏、动作与知识；阅读也包含多种成分。某一成分具有明显年龄差异，不能直接规定整个领域的统一截止日。</w:t>
      </w:r>
    </w:p>
    <w:bookmarkEnd w:id="387"/>
    <w:bookmarkStart w:id="388" w:name="sec-22-3"/>
    <w:p>
      <w:pPr>
        <w:pStyle w:val="Heading3"/>
      </w:pPr>
      <w:r>
        <w:t xml:space="preserve">22.3　感觉系统提供的强证据</w:t>
      </w:r>
    </w:p>
    <w:p>
      <w:pPr>
        <w:pStyle w:val="FirstParagraph"/>
      </w:pPr>
      <w:r>
        <w:t xml:space="preserve">关键期研究的重要来源，是发育早期感觉经验对回路组织的影响。经典证据来自Wiesel与Hubel对小猫的单眼剥夺实验：在出生后约第4周至第3个月之间缝合一只眼睛，初级视皮层中能被该眼驱动的细胞大幅减少，剥夺持续到这段时期结束后再睁眼，恢复有限；成年猫经历同样的剥夺，影响很小。Hensch对局部皮层回路的综述讨论了抑制系统成熟、经验和窗口调节之间的关系</w:t>
      </w:r>
      <w:r>
        <w:rPr>
          <w:vertAlign w:val="superscript"/>
        </w:rPr>
        <w:t xml:space="preserve">[</w:t>
      </w:r>
      <w:hyperlink w:anchor="ref-199">
        <w:r>
          <w:rPr>
            <w:rStyle w:val="Hyperlink"/>
            <w:vertAlign w:val="superscript"/>
          </w:rPr>
          <w:t xml:space="preserve">199</w:t>
        </w:r>
      </w:hyperlink>
      <w:r>
        <w:rPr>
          <w:vertAlign w:val="superscript"/>
        </w:rPr>
        <w:t xml:space="preserve">]</w:t>
      </w:r>
      <w:r>
        <w:t xml:space="preserve">。这些研究将窗口与具体回路联系起来，提供了可检验机制。</w:t>
      </w:r>
    </w:p>
    <w:p>
      <w:pPr>
        <w:pStyle w:val="BodyText"/>
      </w:pPr>
      <w:r>
        <w:t xml:space="preserve">机制研究的精确性也构成外推限制。视觉系统中的剥夺与恢复，不能直接等同于幼儿没有上某门商业课程。必要感官输入缺失与未接受某种强化教学，具有不同生物含义。宣传若将两者混合，会夸大课程的必要性。</w:t>
      </w:r>
    </w:p>
    <w:p>
      <w:pPr>
        <w:pStyle w:val="BodyText"/>
      </w:pPr>
      <w:r>
        <w:t xml:space="preserve">对于明确的感官或发育困难，早期识别和适当支持可能很重要。否定统一截止日，不能被理解为任何干预都可以无限推迟。实际判断应依据具体功能的证据与临床需要。</w:t>
      </w:r>
    </w:p>
    <w:bookmarkEnd w:id="388"/>
    <w:bookmarkStart w:id="389" w:name="sec-22-4"/>
    <w:p>
      <w:pPr>
        <w:pStyle w:val="Heading3"/>
      </w:pPr>
      <w:r>
        <w:t xml:space="preserve">22.4　第二语言研究的启示与限制</w:t>
      </w:r>
    </w:p>
    <w:p>
      <w:pPr>
        <w:pStyle w:val="FirstParagraph"/>
      </w:pPr>
      <w:r>
        <w:t xml:space="preserve">Hartshorne等2018年分析669498名英语使用者，使用模型区分当前年龄、初次接触年龄和经验年限。模型估计语法学习能力在青春期较晚阶段之前相对保持，随后下降，给出的转折约为17.4岁</w:t>
      </w:r>
      <w:r>
        <w:rPr>
          <w:vertAlign w:val="superscript"/>
        </w:rPr>
        <w:t xml:space="preserve">[</w:t>
      </w:r>
      <w:hyperlink w:anchor="ref-227">
        <w:r>
          <w:rPr>
            <w:rStyle w:val="Hyperlink"/>
            <w:vertAlign w:val="superscript"/>
          </w:rPr>
          <w:t xml:space="preserve">227</w:t>
        </w:r>
      </w:hyperlink>
      <w:r>
        <w:rPr>
          <w:vertAlign w:val="superscript"/>
        </w:rPr>
        <w:t xml:space="preserve">]</w:t>
      </w:r>
      <w:r>
        <w:t xml:space="preserve">。这个模型结果直接限制了三岁或六岁后无法学习语法的口号。</w:t>
      </w:r>
    </w:p>
    <w:p>
      <w:pPr>
        <w:pStyle w:val="BodyText"/>
      </w:pPr>
      <w:r>
        <w:t xml:space="preserve">同时，17.4岁不能被当作每个人的生物截止日。数据来自网络横断面样本，语言经历依赖报告，模型也需要假设。精确的小数表示模型估计的参数，无法消除样本与模型不确定性。</w:t>
      </w:r>
    </w:p>
    <w:p>
      <w:pPr>
        <w:pStyle w:val="BodyText"/>
      </w:pPr>
      <w:r>
        <w:t xml:space="preserve">达到接近母语者水平，还涉及需要多少年输入。一个年龄之前学习能力较高，并不意味着在窗口末端开始就能立即达到长期学习者水平。学习速度、起点与累积经验必须同时考虑。</w:t>
      </w:r>
    </w:p>
    <w:bookmarkEnd w:id="389"/>
    <w:bookmarkStart w:id="390" w:name="sec-22-5"/>
    <w:p>
      <w:pPr>
        <w:pStyle w:val="Heading3"/>
      </w:pPr>
      <w:r>
        <w:t xml:space="preserve">22.5　成人学习的真实机会</w:t>
      </w:r>
    </w:p>
    <w:p>
      <w:pPr>
        <w:pStyle w:val="FirstParagraph"/>
      </w:pPr>
      <w:r>
        <w:t xml:space="preserve">成人可以学习新知识与技能，形成新的策略，也可以在特定训练后出现神经变化。成人学习的存在足以反驳早期后完全锁死的强命题。它没有证明成人与儿童在所有任务上具有相同效率和最终表现。</w:t>
      </w:r>
    </w:p>
    <w:p>
      <w:pPr>
        <w:pStyle w:val="BodyText"/>
      </w:pPr>
      <w:r>
        <w:t xml:space="preserve">成人还具有不同资源。背景知识、目标意识、学习策略和自主选择可能帮助某些任务；时间限制、疲劳、工作责任、既有习惯与感官变化可能增加其他困难。年龄效果因此需要放入具体任务和生活条件，不能只用脑可塑性高低概括。教学可以利用已有概念帮助理解，同时针对旧知识干扰设计比较；学习计划需要考虑持续性与现实使用机会，单纯增加强度可能降低坚持。</w:t>
      </w:r>
    </w:p>
    <w:p>
      <w:pPr>
        <w:pStyle w:val="BodyText"/>
      </w:pPr>
      <w:r>
        <w:t xml:space="preserve">对学习者而言，最有信息价值的是自己的可测进展和方法调整。进步评价可以采用个人起点与功能目标，同时保留适当外部标准；一个学习者未达到最顶尖表现，仍可能获得显著实用能力。把一次困难解释为年龄窗口已经关闭，会过早终止检验。把所有困难解释为努力不足，也会忽略真实约束。目标应保持具体，支持应与实际障碍对应。</w:t>
      </w:r>
    </w:p>
    <w:bookmarkEnd w:id="390"/>
    <w:bookmarkStart w:id="391" w:name="sec-22-6"/>
    <w:p>
      <w:pPr>
        <w:pStyle w:val="Heading3"/>
      </w:pPr>
      <w:r>
        <w:t xml:space="preserve">22.6　为什么早期教育研究容易混淆</w:t>
      </w:r>
    </w:p>
    <w:p>
      <w:pPr>
        <w:pStyle w:val="FirstParagraph"/>
      </w:pPr>
      <w:r>
        <w:t xml:space="preserve">早接受课程的儿童，家庭可能在语言输入、经济资源、教育期待和健康条件上不同。若没有随机分配或可信的准实验，长期差异难以全部归因于课程开始年龄。</w:t>
      </w:r>
    </w:p>
    <w:p>
      <w:pPr>
        <w:pStyle w:val="BodyText"/>
      </w:pPr>
      <w:r>
        <w:t xml:space="preserve">课程本身还可能包含多种成分。家长陪伴、同伴互动、教师反馈和有组织活动都可能产生作用。即使早期课程有效，也需要确定哪些成分必要，是否存在更低成本的替代支持。</w:t>
      </w:r>
    </w:p>
    <w:p>
      <w:pPr>
        <w:pStyle w:val="BodyText"/>
      </w:pPr>
      <w:r>
        <w:t xml:space="preserve">短时优势还需观察保持。某些训练可能使儿童提前掌握课程内容，之后同龄人通过普通教学追上。另一些干预可能改善更持久的技能。只有长期、独立且与目标一致的结果，才能区分提前学会与长期改变。</w:t>
      </w:r>
    </w:p>
    <w:bookmarkEnd w:id="391"/>
    <w:bookmarkStart w:id="392" w:name="sec-22-7"/>
    <w:p>
      <w:pPr>
        <w:pStyle w:val="Heading3"/>
      </w:pPr>
      <w:r>
        <w:t xml:space="preserve">22.7　窗口关闭的机制与可重新开放研究</w:t>
      </w:r>
    </w:p>
    <w:p>
      <w:pPr>
        <w:pStyle w:val="FirstParagraph"/>
      </w:pPr>
      <w:r>
        <w:t xml:space="preserve">动物研究可以通过改变抑制、细胞外环境或其他过程影响可塑性窗口。这些研究说明窗口具有生物调节基础，也为康复提出假说。但实验性操纵的安全性、选择性和物种差异限制人体应用。</w:t>
      </w:r>
    </w:p>
    <w:p>
      <w:pPr>
        <w:pStyle w:val="BodyText"/>
      </w:pPr>
      <w:r>
        <w:t xml:space="preserve">扩大可塑性还需要合适经验。即使某种干预增加变化能力，学习内容和环境仍决定变化方向。缺少针对性训练，或同时存在不利输入，可能无法获得预期收益；错误或不稳定经验也可能被放大。把开放窗口当成自动恢复的充分条件，会遗漏这一环。把动物发现转为人类干预，还需要验证安全、目标选择性、合适经验输入和长期后果。</w:t>
      </w:r>
    </w:p>
    <w:p>
      <w:pPr>
        <w:pStyle w:val="BodyText"/>
      </w:pPr>
      <w:r>
        <w:t xml:space="preserve">对于商业产品，声称“重新打开关键期”或重新打开儿童大脑，需要独立人体证据，并应给出具体生理指标和功能结果。仅有短期成绩提高，无法确定窗口机制；仅有某个分子或脑波变化，也无法确定实际学习收益；机制词汇、动物结果和短时主观体验都不足以支持复杂学习能力的普遍恢复。临床研究应同时评估功能收益与风险。实践中，优化教学、提供反馈、安排足够练习和减少障碍，通常是可以直接评价的路径，其效果可以通过目标技能和保持检验；机制研究可以帮助改进这些路径，无法替代对实际结果的测量。</w:t>
      </w:r>
    </w:p>
    <w:bookmarkEnd w:id="392"/>
    <w:bookmarkStart w:id="393" w:name="sec-22-8"/>
    <w:p>
      <w:pPr>
        <w:pStyle w:val="Heading3"/>
      </w:pPr>
      <w:r>
        <w:t xml:space="preserve">22.8　研究年龄效应的设计选择</w:t>
      </w:r>
    </w:p>
    <w:p>
      <w:pPr>
        <w:pStyle w:val="FirstParagraph"/>
      </w:pPr>
      <w:r>
        <w:t xml:space="preserve">横断面研究比较不同年龄，容易受到代际与经历差异影响；纵向研究追踪同一人，可以观察变化，却面临练习效应、失访和时间成本（另见</w:t>
      </w:r>
      <w:r>
        <w:t xml:space="preserve"> </w:t>
      </w:r>
      <w:hyperlink w:anchor="sec-21-4">
        <w:r>
          <w:rPr>
            <w:rStyle w:val="Hyperlink"/>
          </w:rPr>
          <w:t xml:space="preserve">21.4</w:t>
        </w:r>
      </w:hyperlink>
      <w:r>
        <w:t xml:space="preserve">）。队列序列设计可以结合多年龄群的纵向资料，但分析仍需假设。</w:t>
      </w:r>
    </w:p>
    <w:p>
      <w:pPr>
        <w:pStyle w:val="BodyText"/>
      </w:pPr>
      <w:r>
        <w:t xml:space="preserve">理想的学习研究还应控制训练剂量和基线能力，并测量多个延迟。比较相同训练小时与相同达标程度，回答的是不同问题。若儿童需要更多时间却最终水平更高，或者成人初期更快但长期不同，单一结局会遗漏关键结构。</w:t>
      </w:r>
    </w:p>
    <w:p>
      <w:pPr>
        <w:pStyle w:val="BodyText"/>
      </w:pPr>
      <w:r>
        <w:t xml:space="preserve">窗口理论应给出可推翻预测。若任何年龄的任何结果都可以被解释为尚未关闭、部分关闭或训练不足，理论便失去约束。清楚规定功能、经验、时间和结局，有助于让年龄假说接受真正检验。</w:t>
      </w:r>
    </w:p>
    <w:bookmarkEnd w:id="393"/>
    <w:bookmarkStart w:id="394" w:name="sec-22-9"/>
    <w:p>
      <w:pPr>
        <w:pStyle w:val="Heading3"/>
      </w:pPr>
      <w:r>
        <w:t xml:space="preserve">22.9　教育与家庭中的应用</w:t>
      </w:r>
    </w:p>
    <w:p>
      <w:pPr>
        <w:pStyle w:val="FirstParagraph"/>
      </w:pPr>
      <w:r>
        <w:t xml:space="preserve">对幼儿，应优先关注可获得的语言互动、游戏、睡眠、感官健康和适宜支持。某门课程是否值得上，要看它对应的目标与效果。没有必要依据统一窗口恐惧作出高成本决定。</w:t>
      </w:r>
    </w:p>
    <w:p>
      <w:pPr>
        <w:pStyle w:val="BodyText"/>
      </w:pPr>
      <w:r>
        <w:t xml:space="preserve">对成年人，可以明确学习目标，设置合理的时间与反馈，使用可持续的练习安排。目标应具体且分层：语言学习可以分别设定听懂日常交流、阅读专业材料、准确发音或学术写作；音乐可以分别设定节奏、演奏和欣赏；数学可以分别设定程序熟练与概念解释。若目标是接近日常交流，所需训练与追求母语级语音不同；若目标是职业技能，真实任务中的进展比抽象脑年龄更重要。不同目标具有不同年龄敏感性和训练要求，笼统的“已经太晚”无法指导行动。</w:t>
      </w:r>
    </w:p>
    <w:p>
      <w:pPr>
        <w:pStyle w:val="BodyText"/>
      </w:pPr>
      <w:r>
        <w:t xml:space="preserve">对有明确困难的儿童或成人，应采用具体评估，避免用年龄标签替代检查。不同技能的发展轨迹可能不一致，支持也需要调整。观察进展、错误类型和现实功能能够提供更直接的信息。</w:t>
      </w:r>
    </w:p>
    <w:bookmarkEnd w:id="394"/>
    <w:bookmarkStart w:id="395" w:name="sec-22-10"/>
    <w:p>
      <w:pPr>
        <w:pStyle w:val="Heading3"/>
      </w:pPr>
      <w:r>
        <w:t xml:space="preserve">22.10　敏感期框架与功能特异性</w:t>
      </w:r>
    </w:p>
    <w:p>
      <w:pPr>
        <w:pStyle w:val="FirstParagraph"/>
      </w:pPr>
      <w:r>
        <w:t xml:space="preserve">Knudsen的框架把敏感期界定为经验对脑的影响在发育某段有限时期内特别强的时期；当这段时期的经验为正常发育提供必需信息，并永久改变表现时，称为关键期。该框架同时强调，经验塑造连接结构和稳定性，较晚学习仍可在既有结构约束下发生</w:t>
      </w:r>
      <w:r>
        <w:rPr>
          <w:vertAlign w:val="superscript"/>
        </w:rPr>
        <w:t xml:space="preserve">[</w:t>
      </w:r>
      <w:hyperlink w:anchor="ref-228">
        <w:r>
          <w:rPr>
            <w:rStyle w:val="Hyperlink"/>
            <w:vertAlign w:val="superscript"/>
          </w:rPr>
          <w:t xml:space="preserve">228</w:t>
        </w:r>
      </w:hyperlink>
      <w:r>
        <w:rPr>
          <w:vertAlign w:val="superscript"/>
        </w:rPr>
        <w:t xml:space="preserve">]</w:t>
      </w:r>
      <w:r>
        <w:t xml:space="preserve">。因此，时间敏感性与后续可学习性可以同时成立。</w:t>
      </w:r>
    </w:p>
    <w:p>
      <w:pPr>
        <w:pStyle w:val="BodyText"/>
      </w:pPr>
      <w:r>
        <w:t xml:space="preserve">检验时间窗口需要明确经验、回路和结果。视觉输入、语音类别、词汇、语法和社会技能涉及不同学习问题。即使两个过程都出现年龄相关变化，也不意味着它们具有相同起点、终点和机制。统一“黄金年龄”会丢失这种特异性。</w:t>
      </w:r>
    </w:p>
    <w:bookmarkEnd w:id="395"/>
    <w:bookmarkStart w:id="396" w:name="sec-22-11"/>
    <w:p>
      <w:pPr>
        <w:pStyle w:val="Heading3"/>
      </w:pPr>
      <w:r>
        <w:t xml:space="preserve">22.11　语音知觉中的经验调整</w:t>
      </w:r>
    </w:p>
    <w:p>
      <w:pPr>
        <w:pStyle w:val="FirstParagraph"/>
      </w:pPr>
      <w:r>
        <w:t xml:space="preserve">语言环境提供的声音分布、交互反馈和注意线索，会影响语音类别学习。早期经验与回路成熟相互作用，可能改变对母语和非母语声音差异的敏感性。Werker与Hensch的综合把语音发展与兴奋抑制平衡、可塑性窗口等机制联系起来，同时强调人类与动物证据之间的桥接问题</w:t>
      </w:r>
      <w:r>
        <w:rPr>
          <w:vertAlign w:val="superscript"/>
        </w:rPr>
        <w:t xml:space="preserve">[</w:t>
      </w:r>
      <w:hyperlink w:anchor="ref-229">
        <w:r>
          <w:rPr>
            <w:rStyle w:val="Hyperlink"/>
            <w:vertAlign w:val="superscript"/>
          </w:rPr>
          <w:t xml:space="preserve">229</w:t>
        </w:r>
      </w:hyperlink>
      <w:r>
        <w:rPr>
          <w:vertAlign w:val="superscript"/>
        </w:rPr>
        <w:t xml:space="preserve">]</w:t>
      </w:r>
      <w:r>
        <w:t xml:space="preserve">。</w:t>
      </w:r>
    </w:p>
    <w:p>
      <w:pPr>
        <w:pStyle w:val="BodyText"/>
      </w:pPr>
      <w:r>
        <w:t xml:space="preserve">在实验上，可以改变声音分布、说话者、训练反馈和社会互动条件，观察辨别或类别判断。结果依赖测验要求：婴儿注视变化、成人按钮判断和真实交流中的理解，具有不同测量含义。一个实验中的知觉偏好变化，无法独自确定全部语言能力。</w:t>
      </w:r>
    </w:p>
    <w:p>
      <w:pPr>
        <w:pStyle w:val="BodyText"/>
      </w:pPr>
      <w:r>
        <w:t xml:space="preserve">成人语音学习可以通过有针对性的辨别与产出练习改善，改善幅度和保持随音位、语言背景和训练方式变化。这里需要把“达到母语者所有指标”与“在实际交流中明显进步”分开评价。实际使用目标可以很有价值，研究结局应与目标对应。</w:t>
      </w:r>
    </w:p>
    <w:bookmarkEnd w:id="396"/>
    <w:bookmarkStart w:id="397" w:name="sec-22-12"/>
    <w:p>
      <w:pPr>
        <w:pStyle w:val="Heading3"/>
      </w:pPr>
      <w:r>
        <w:t xml:space="preserve">22.12　第一语言建立与附加语言学习</w:t>
      </w:r>
    </w:p>
    <w:p>
      <w:pPr>
        <w:pStyle w:val="FirstParagraph"/>
      </w:pPr>
      <w:r>
        <w:t xml:space="preserve">已经拥有成熟第一语言的人学习附加语言，可以借助概念、词汇关系、交流经验和学习策略。早期缺少可访问语言输入的人，面临建立基础语言系统的不同任务。把两类人都按“开始年龄”放入同一解释，会遗漏已有语言基础。</w:t>
      </w:r>
    </w:p>
    <w:p>
      <w:pPr>
        <w:pStyle w:val="BodyText"/>
      </w:pPr>
      <w:r>
        <w:t xml:space="preserve">Mayberry与Kluender围绕手语研究讨论了初次语言获得与后续语言学习的差别，并强调儿童早期获得充分、可访问语言输入的重要性</w:t>
      </w:r>
      <w:r>
        <w:rPr>
          <w:vertAlign w:val="superscript"/>
        </w:rPr>
        <w:t xml:space="preserve">[</w:t>
      </w:r>
      <w:hyperlink w:anchor="ref-230">
        <w:r>
          <w:rPr>
            <w:rStyle w:val="Hyperlink"/>
            <w:vertAlign w:val="superscript"/>
          </w:rPr>
          <w:t xml:space="preserve">230</w:t>
        </w:r>
      </w:hyperlink>
      <w:r>
        <w:rPr>
          <w:vertAlign w:val="superscript"/>
        </w:rPr>
        <w:t xml:space="preserve">]</w:t>
      </w:r>
      <w:r>
        <w:t xml:space="preserve">。这类证据支持及时提供语言机会，关于年龄函数和机制的具体理论仍有争议。它也不能成为放弃晚期学习支持的理由。</w:t>
      </w:r>
    </w:p>
    <w:p>
      <w:pPr>
        <w:pStyle w:val="BodyText"/>
      </w:pPr>
      <w:r>
        <w:t xml:space="preserve">语言输入的可访问性需要从学习者实际能够理解与参与的方式评估。家庭、学校和专业支持应关注交流是否建立、词汇和语法是否发展，以及儿童能否表达需求。只统计声音暴露时长，可能无法反映语言信息是否真正被获取。</w:t>
      </w:r>
    </w:p>
    <w:bookmarkEnd w:id="397"/>
    <w:bookmarkStart w:id="398" w:name="sec-22-13"/>
    <w:p>
      <w:pPr>
        <w:pStyle w:val="Heading3"/>
      </w:pPr>
      <w:r>
        <w:t xml:space="preserve">22.13　年龄函数的模型选择</w:t>
      </w:r>
    </w:p>
    <w:p>
      <w:pPr>
        <w:pStyle w:val="FirstParagraph"/>
      </w:pPr>
      <w:r>
        <w:t xml:space="preserve">年龄与最终成绩的关系可以用线性、曲线、分段或其他模型描述。某个分段模型拟合更好，可能提示变化速率不同，也可能来自模型灵活性。比较需要考虑参数数量、预测误差、交叉验证和理论合理性。事后选择最显眼的转折点容易产生过度确定。</w:t>
      </w:r>
    </w:p>
    <w:p>
      <w:pPr>
        <w:pStyle w:val="BodyText"/>
      </w:pPr>
      <w:r>
        <w:t xml:space="preserve">年龄测量也有误差。开始接触、开始系统学习、移居年龄和日常使用开始时间可能不同。一个人幼年偶尔接触，成年后大量使用，单个“起始年龄”无法完整描述经历。研究应尽量记录接触强度和连续性，并检查不同定义下结论是否稳定。</w:t>
      </w:r>
    </w:p>
    <w:bookmarkEnd w:id="398"/>
    <w:bookmarkStart w:id="399" w:name="sec-22-14"/>
    <w:p>
      <w:pPr>
        <w:pStyle w:val="Heading3"/>
      </w:pPr>
      <w:r>
        <w:t xml:space="preserve">22.14　经验质量与学习机会</w:t>
      </w:r>
    </w:p>
    <w:p>
      <w:pPr>
        <w:pStyle w:val="FirstParagraph"/>
      </w:pPr>
      <w:r>
        <w:t xml:space="preserve">相同小时数可以包含非常不同的学习。被动暴露、互动交流、有针对性的反馈、主动产出和独立检索，对任务的贡献不同。年龄效应研究若缺少经验质量测量，无法完整解释个体差异。教育实践可以在可调整的部分提高输入与练习质量。</w:t>
      </w:r>
    </w:p>
    <w:p>
      <w:pPr>
        <w:pStyle w:val="BodyText"/>
      </w:pPr>
      <w:r>
        <w:t xml:space="preserve">资源与机会也会累积。早期获得丰富支持的人可能持续进入更有利环境，初始差异因此扩大。观察到年龄与结果的关系，未必全部来自神经窗口。相反，社会解释的存在也无法自动排除生物时间敏感性。多种机制可以共同贡献，需要设计区分相对作用。</w:t>
      </w:r>
    </w:p>
    <w:p>
      <w:pPr>
        <w:pStyle w:val="BodyText"/>
      </w:pPr>
      <w:r>
        <w:t xml:space="preserve">一个可检验的教育问题是：在同等总资源下，早期分散支持与较晚集中支持对哪些结果不同。随机或准实验研究可以接近这个问题，但伦理和现实限制常使理想设计不可行。解释应清楚说明数据能够识别的范围。</w:t>
      </w:r>
    </w:p>
    <w:bookmarkEnd w:id="399"/>
    <w:bookmarkStart w:id="400" w:name="sec-22-15"/>
    <w:p>
      <w:pPr>
        <w:pStyle w:val="Heading3"/>
      </w:pPr>
      <w:r>
        <w:t xml:space="preserve">22.15　年龄推理综合练习</w:t>
      </w:r>
    </w:p>
    <w:p>
      <w:pPr>
        <w:pStyle w:val="FirstParagraph"/>
      </w:pPr>
      <w:r>
        <w:t xml:space="preserve">练习一：早开始者成年后成绩更高，能否证明存在某个精确关闭年龄？解析：需要排除接触总量、质量、选择和测量差异，并比较不同年龄函数。稳定年龄关联支持时间相关变化，精确窗口需要更有辨别力的证据。</w:t>
      </w:r>
    </w:p>
    <w:p>
      <w:pPr>
        <w:pStyle w:val="BodyText"/>
      </w:pPr>
      <w:r>
        <w:t xml:space="preserve">练习二：某成年个体达到很高水平，能否否定年龄效应？解析：个体成功说明特定结果可以发生，群体分布仍可能随年龄变化。存在性、平均水平与达到极高水平的概率是不同命题。</w:t>
      </w:r>
    </w:p>
    <w:p>
      <w:pPr>
        <w:pStyle w:val="BodyText"/>
      </w:pPr>
      <w:r>
        <w:t xml:space="preserve">练习三：某技能在儿童期更易学习，是否应让儿童尽早进行高强度专项训练？解析：需要进一步比较强度、兴趣、健康、机会成本和长期保持。时间敏感性只提供一个考虑因素，不能独自决定全部教育安排。</w:t>
      </w:r>
    </w:p>
    <w:bookmarkEnd w:id="400"/>
    <w:bookmarkStart w:id="401" w:name="sec-22-16"/>
    <w:p>
      <w:pPr>
        <w:pStyle w:val="Heading3"/>
      </w:pPr>
      <w:r>
        <w:t xml:space="preserve">22.16　起始年龄与学习总量的两条曲线</w:t>
      </w:r>
    </w:p>
    <w:p>
      <w:pPr>
        <w:pStyle w:val="FirstParagraph"/>
      </w:pPr>
      <w:r>
        <w:t xml:space="preserve">设两个假设学习者在不同年龄开始学习同一技能。甲早开始，每周接触少量内容；乙晚开始，但在较短时间内进行更密集、有反馈的练习。若只比较学习一年后的成绩，可能看到乙更快；若比较成年后的长期水平，甲可能拥有更多累计经验。两种结果可以同时出现。</w:t>
      </w:r>
    </w:p>
    <w:p>
      <w:pPr>
        <w:pStyle w:val="BodyText"/>
      </w:pPr>
      <w:r>
        <w:t xml:space="preserve">分析时至少需要三条时间轴：生理年龄、开始以来的时间和累计有效经验。它们彼此相关，却不相同。学习速度与最终水平也不同。任何只用起始年龄解释全部结果的模型，都需要说明其他时间变量如何处理。</w:t>
      </w:r>
    </w:p>
    <w:p>
      <w:pPr>
        <w:pStyle w:val="BodyText"/>
      </w:pPr>
      <w:r>
        <w:t xml:space="preserve">教育决策可以把可调整因素列清楚：目前已有知识、可持续练习时间、反馈质量、真实使用机会和目标标准。年龄是条件之一，许多其他条件仍可以改变。对儿童，应提供适龄且可参与的丰富学习；对成人，应利用已有知识并针对具体困难设计练习。</w:t>
      </w:r>
    </w:p>
    <w:p>
      <w:pPr>
        <w:pStyle w:val="BodyText"/>
      </w:pPr>
      <w:r>
        <w:t xml:space="preserve">这个案例同时限制两种过度推论。某个晚学者快速进步，不能消除群体年龄相关变化；某个早期窗口具有优势，也不能推出窗口后继续学习没有价值。实际问题需要比较目标范围内的可实现收益。</w:t>
      </w:r>
    </w:p>
    <w:bookmarkEnd w:id="401"/>
    <w:bookmarkStart w:id="402" w:name="sec-22-17"/>
    <w:p>
      <w:pPr>
        <w:pStyle w:val="Heading3"/>
      </w:pPr>
      <w:r>
        <w:t xml:space="preserve">22.17　学习检验与结论</w:t>
      </w:r>
    </w:p>
    <w:p>
      <w:pPr>
        <w:pStyle w:val="FirstParagraph"/>
      </w:pPr>
      <w:r>
        <w:t xml:space="preserve">练习：视觉剥夺研究发现早期窗口，能否证明三岁前必须学习编程？解答：功能、经验和结局均不同，缺少可成立的外推链。</w:t>
      </w:r>
    </w:p>
    <w:p>
      <w:pPr>
        <w:pStyle w:val="BodyText"/>
      </w:pPr>
      <w:r>
        <w:t xml:space="preserve">练习：模型估计转折17.4岁，能否据此为个人设置精确截止日期？解答：模型参数来自群体资料与假设，个体差异和测量不确定性不能被小数消除。</w:t>
      </w:r>
    </w:p>
    <w:p>
      <w:pPr>
        <w:pStyle w:val="BodyText"/>
      </w:pPr>
      <w:r>
        <w:t xml:space="preserve">发育窗口具有功能特异性。可信的教育建议既承认早期必要经验的重要性，也保留后续学习与补偿的机会。任何年龄承诺都应明确对应哪项能力、何种经验和多大的实际结果。</w:t>
      </w:r>
    </w:p>
    <w:bookmarkEnd w:id="402"/>
    <w:bookmarkEnd w:id="403"/>
    <w:bookmarkStart w:id="421" w:name="ch-23"/>
    <w:p>
      <w:pPr>
        <w:pStyle w:val="Heading2"/>
      </w:pPr>
      <w:r>
        <w:t xml:space="preserve">第23章　成人神经发生的证据与未解问题</w:t>
      </w:r>
    </w:p>
    <w:p>
      <w:pPr>
        <w:pStyle w:val="CalloutJudgment"/>
      </w:pPr>
      <w:r>
        <w:rPr>
          <w:bCs/>
          <w:b/>
        </w:rPr>
        <w:t xml:space="preserve">核心判断　成人海马中与神经发生有关的细胞和分子证据已经积累，2026年多组学研究提供了新的支持；确切生成速率、成熟整合与认知贡献仍有不确定性。对全脑持续大量更新的说法，证据不支持。</w:t>
      </w:r>
      <w:r>
        <w:t xml:space="preserve">这里必须把细胞出生、细胞成熟、细胞存活和功能改变分开。把其中一个环节观察清楚，仍然没有完成整条机制链。</w:t>
      </w:r>
    </w:p>
    <w:bookmarkStart w:id="404" w:name="sec-23-1"/>
    <w:p>
      <w:pPr>
        <w:pStyle w:val="Heading3"/>
      </w:pPr>
      <w:r>
        <w:t xml:space="preserve">23.1　人体证据的几条路线：概览</w:t>
      </w:r>
    </w:p>
    <w:p>
      <w:pPr>
        <w:pStyle w:val="FirstParagraph"/>
      </w:pPr>
      <w:r>
        <w:t xml:space="preserve">在啮齿类动物中，海马终生产生新神经元，运动和丰富环境能增加新生数量，这一点证据充分。人类的直接证据来自几条方法不同的路线。1998 年的研究分析了 5 名癌症患者的脑组织，他们生前因诊断需要注射过标记分裂细胞的溴脱氧尿苷，尸检时在海马齿状回发现了带标记的神经元</w:t>
      </w:r>
      <w:r>
        <w:rPr>
          <w:vertAlign w:val="superscript"/>
        </w:rPr>
        <w:t xml:space="preserve">[</w:t>
      </w:r>
      <w:hyperlink w:anchor="ref-231">
        <w:r>
          <w:rPr>
            <w:rStyle w:val="Hyperlink"/>
            <w:vertAlign w:val="superscript"/>
          </w:rPr>
          <w:t xml:space="preserve">231</w:t>
        </w:r>
      </w:hyperlink>
      <w:r>
        <w:rPr>
          <w:vertAlign w:val="superscript"/>
        </w:rPr>
        <w:t xml:space="preserve">]</w:t>
      </w:r>
      <w:r>
        <w:t xml:space="preserve">。2013 年，研究者利用冷战时期核试验造成的大气碳-14 浓度变化，推算海马神经元 DNA 的“出生年代”，估计成人每侧海马每天新增约 700 个神经元，海马中会更新的那部分神经元每年约更替 1.75%</w:t>
      </w:r>
      <w:r>
        <w:rPr>
          <w:vertAlign w:val="superscript"/>
        </w:rPr>
        <w:t xml:space="preserve">[</w:t>
      </w:r>
      <w:hyperlink w:anchor="ref-232">
        <w:r>
          <w:rPr>
            <w:rStyle w:val="Hyperlink"/>
            <w:vertAlign w:val="superscript"/>
          </w:rPr>
          <w:t xml:space="preserve">232</w:t>
        </w:r>
      </w:hyperlink>
      <w:r>
        <w:rPr>
          <w:vertAlign w:val="superscript"/>
        </w:rPr>
        <w:t xml:space="preserve">]</w:t>
      </w:r>
      <w:r>
        <w:t xml:space="preserve">；这一推算依赖细胞分选和数学模型的假设（见</w:t>
      </w:r>
      <w:r>
        <w:t xml:space="preserve"> </w:t>
      </w:r>
      <w:hyperlink w:anchor="sec-23-3">
        <w:r>
          <w:rPr>
            <w:rStyle w:val="Hyperlink"/>
          </w:rPr>
          <w:t xml:space="preserve">23.3</w:t>
        </w:r>
      </w:hyperlink>
      <w:r>
        <w:t xml:space="preserve">）。2018 至 2019 年，几项用未成熟神经元标志物的组织学研究得出了相互矛盾的结论</w:t>
      </w:r>
      <w:r>
        <w:rPr>
          <w:vertAlign w:val="superscript"/>
        </w:rPr>
        <w:t xml:space="preserve">[</w:t>
      </w:r>
      <w:hyperlink w:anchor="ref-233">
        <w:r>
          <w:rPr>
            <w:rStyle w:val="Hyperlink"/>
            <w:vertAlign w:val="superscript"/>
          </w:rPr>
          <w:t xml:space="preserve">233</w:t>
        </w:r>
      </w:hyperlink>
      <w:r>
        <w:rPr>
          <w:vertAlign w:val="superscript"/>
        </w:rPr>
        <w:t xml:space="preserve">,</w:t>
      </w:r>
      <w:hyperlink w:anchor="ref-234">
        <w:r>
          <w:rPr>
            <w:rStyle w:val="Hyperlink"/>
            <w:vertAlign w:val="superscript"/>
          </w:rPr>
          <w:t xml:space="preserve">234</w:t>
        </w:r>
      </w:hyperlink>
      <w:r>
        <w:rPr>
          <w:vertAlign w:val="superscript"/>
        </w:rPr>
        <w:t xml:space="preserve">,</w:t>
      </w:r>
      <w:hyperlink w:anchor="ref-235">
        <w:r>
          <w:rPr>
            <w:rStyle w:val="Hyperlink"/>
            <w:vertAlign w:val="superscript"/>
          </w:rPr>
          <w:t xml:space="preserve">235</w:t>
        </w:r>
      </w:hyperlink>
      <w:r>
        <w:rPr>
          <w:vertAlign w:val="superscript"/>
        </w:rPr>
        <w:t xml:space="preserve">]</w:t>
      </w:r>
      <w:r>
        <w:t xml:space="preserve">（见</w:t>
      </w:r>
      <w:r>
        <w:t xml:space="preserve"> </w:t>
      </w:r>
      <w:hyperlink w:anchor="sec-23-4">
        <w:r>
          <w:rPr>
            <w:rStyle w:val="Hyperlink"/>
          </w:rPr>
          <w:t xml:space="preserve">23.4</w:t>
        </w:r>
      </w:hyperlink>
      <w:r>
        <w:t xml:space="preserve">）；标志物阳性的细胞不一定是近期新生的，有些细胞可能长期保持未成熟状态。2025 年一项研究用单细胞核测序、增殖标志物 Ki67 和机器学习，在成年人海马中识别出正在增殖的神经祖细胞，数量在个体之间差异很大，14 名成人中有 5 人没有检测到</w:t>
      </w:r>
      <w:r>
        <w:rPr>
          <w:vertAlign w:val="superscript"/>
        </w:rPr>
        <w:t xml:space="preserve">[</w:t>
      </w:r>
      <w:hyperlink w:anchor="ref-236">
        <w:r>
          <w:rPr>
            <w:rStyle w:val="Hyperlink"/>
            <w:vertAlign w:val="superscript"/>
          </w:rPr>
          <w:t xml:space="preserve">236</w:t>
        </w:r>
      </w:hyperlink>
      <w:r>
        <w:rPr>
          <w:vertAlign w:val="superscript"/>
        </w:rPr>
        <w:t xml:space="preserve">]</w:t>
      </w:r>
      <w:r>
        <w:t xml:space="preserve">；没有检测到，可能是真实的个体差异，也可能与取样、组织质量和检测灵敏度有关（见</w:t>
      </w:r>
      <w:r>
        <w:t xml:space="preserve"> </w:t>
      </w:r>
      <w:hyperlink w:anchor="sec-23-12">
        <w:r>
          <w:rPr>
            <w:rStyle w:val="Hyperlink"/>
          </w:rPr>
          <w:t xml:space="preserve">23.12</w:t>
        </w:r>
      </w:hyperlink>
      <w:r>
        <w:t xml:space="preserve">）。2026 年的两项单细胞多组学研究也在成年人海马中识别出神经干细胞、神经母细胞和未成熟颗粒神经元，并报告这一过程在阿尔茨海默病患者（见</w:t>
      </w:r>
      <w:r>
        <w:t xml:space="preserve"> </w:t>
      </w:r>
      <w:hyperlink w:anchor="sec-23-5">
        <w:r>
          <w:rPr>
            <w:rStyle w:val="Hyperlink"/>
          </w:rPr>
          <w:t xml:space="preserve">23.5</w:t>
        </w:r>
      </w:hyperlink>
      <w:r>
        <w:t xml:space="preserve">）和重性抑郁障碍患者的尸检组织中出现异常</w:t>
      </w:r>
      <w:r>
        <w:rPr>
          <w:vertAlign w:val="superscript"/>
        </w:rPr>
        <w:t xml:space="preserve">[</w:t>
      </w:r>
      <w:hyperlink w:anchor="ref-237">
        <w:r>
          <w:rPr>
            <w:rStyle w:val="Hyperlink"/>
            <w:vertAlign w:val="superscript"/>
          </w:rPr>
          <w:t xml:space="preserve">237</w:t>
        </w:r>
      </w:hyperlink>
      <w:r>
        <w:rPr>
          <w:vertAlign w:val="superscript"/>
        </w:rPr>
        <w:t xml:space="preserve">,</w:t>
      </w:r>
      <w:hyperlink w:anchor="ref-238">
        <w:r>
          <w:rPr>
            <w:rStyle w:val="Hyperlink"/>
            <w:vertAlign w:val="superscript"/>
          </w:rPr>
          <w:t xml:space="preserve">238</w:t>
        </w:r>
      </w:hyperlink>
      <w:r>
        <w:rPr>
          <w:vertAlign w:val="superscript"/>
        </w:rPr>
        <w:t xml:space="preserve">]</w:t>
      </w:r>
      <w:r>
        <w:t xml:space="preserve">；后一项研究的抑郁患者去世前三个月内除苯二氮䓬类外未用精神科药物，其中约七成死于自杀，作者承认难以把抑郁本身与自杀相关的变化区分开。这些研究分析的细胞核数以十万计，供体却只有几十位，统计推断要以供体为单位（见</w:t>
      </w:r>
      <w:r>
        <w:t xml:space="preserve"> </w:t>
      </w:r>
      <w:hyperlink w:anchor="sec-23-6">
        <w:r>
          <w:rPr>
            <w:rStyle w:val="Hyperlink"/>
          </w:rPr>
          <w:t xml:space="preserve">23.6</w:t>
        </w:r>
      </w:hyperlink>
      <w:r>
        <w:t xml:space="preserve">）。转录状态、染色质状态、发育轨迹和机器学习分类加强了对细胞身份的判定，但给不出每个细胞的出生日期，也证明不了它已完成分化、接入神经环路；与溴脱氧尿苷标记、碳-14 年代测定和组织学标记相互印证，才构成多条路线的证据。目前的总体证据是：多条人体证据支持成人海马存在神经发生，新生的速率、随年龄的变化和个体差异仍有争议。</w:t>
      </w:r>
    </w:p>
    <w:p>
      <w:pPr>
        <w:pStyle w:val="CalloutJudgment"/>
      </w:pPr>
      <w:r>
        <w:rPr>
          <w:bCs/>
          <w:b/>
        </w:rPr>
        <w:t xml:space="preserve">判断　</w:t>
      </w:r>
      <w:r>
        <w:t xml:space="preserve">“成年人海马存在神经发生”</w:t>
      </w:r>
      <w:r>
        <w:rPr>
          <w:bCs/>
          <w:b/>
        </w:rPr>
        <w:t xml:space="preserve">成立·中</w:t>
      </w:r>
      <w:r>
        <w:t xml:space="preserve">，对“存在”的把握高于对“成人普遍的新生速率”的把握，后者仍有争议。冥想与神经新生的说法见</w:t>
      </w:r>
      <w:r>
        <w:t xml:space="preserve"> </w:t>
      </w:r>
      <w:hyperlink w:anchor="sec-112-9">
        <w:r>
          <w:rPr>
            <w:rStyle w:val="Hyperlink"/>
          </w:rPr>
          <w:t xml:space="preserve">112.9</w:t>
        </w:r>
      </w:hyperlink>
      <w:r>
        <w:t xml:space="preserve">。</w:t>
      </w:r>
    </w:p>
    <w:bookmarkEnd w:id="404"/>
    <w:bookmarkStart w:id="405" w:name="sec-23-2"/>
    <w:p>
      <w:pPr>
        <w:pStyle w:val="Heading3"/>
      </w:pPr>
      <w:r>
        <w:t xml:space="preserve">23.2　什么叫产生一个新神经元</w:t>
      </w:r>
    </w:p>
    <w:p>
      <w:pPr>
        <w:pStyle w:val="FirstParagraph"/>
      </w:pPr>
      <w:r>
        <w:t xml:space="preserve">严格的神经发生包含前体细胞进入分裂、产生后代、走向神经元命运、获得相应形态与生理性质，并在一定条件下存活和融入回路。观察到增殖标志，只能说明某些细胞处于相关状态；观察到未成熟神经元标志，则说明细胞表达了相应分子程序。二者都需要确认细胞类型与组织位置，排除其他细胞、技术噪声和状态变化。</w:t>
      </w:r>
    </w:p>
    <w:p>
      <w:pPr>
        <w:pStyle w:val="BodyText"/>
      </w:pPr>
      <w:r>
        <w:t xml:space="preserve">人类研究尤其困难。研究者通常无法对健康人的脑进行长期侵入性谱系追踪。死后组织提供细胞层面的信息，却只有某个时刻的样本；手术组织可能来自特殊疾病人群；分子测序可以扩大细胞类型覆盖，却需要从表达模式推断身份。不同方法各自解决一部分问题，研究的可信度依赖它们能否在适当条件下相互支持。</w:t>
      </w:r>
    </w:p>
    <w:p>
      <w:pPr>
        <w:pStyle w:val="BodyText"/>
      </w:pPr>
      <w:r>
        <w:t xml:space="preserve">“未成熟”还存在时间解释。某细胞具有未成熟分子特征，可能最近出生，也可能在较长时间内维持某种未成熟状态。单一时点的未成熟细胞数量大致受到生成、成熟、死亡和迁移共同影响。数量增加既可能来自生成增多，也可能来自成熟变慢或存活延长。研究若要解释“生成速率”，需要额外信息区分这些可能。</w:t>
      </w:r>
    </w:p>
    <w:bookmarkEnd w:id="405"/>
    <w:bookmarkStart w:id="406" w:name="sec-23-3"/>
    <w:p>
      <w:pPr>
        <w:pStyle w:val="Heading3"/>
      </w:pPr>
      <w:r>
        <w:t xml:space="preserve">23.3　碳14方法提供什么信息</w:t>
      </w:r>
    </w:p>
    <w:p>
      <w:pPr>
        <w:pStyle w:val="FirstParagraph"/>
      </w:pPr>
      <w:r>
        <w:t xml:space="preserve">Spalding等2013年利用大气核试验形成的碳14历史变化，测量细胞DNA中的相应信号并建立更新模型，支持成人海马存在神经元更新。其每日数量估计属于模型输出，取决于细胞分离和更新假设；它没有直接逐日数清每个活人的新生细胞</w:t>
      </w:r>
      <w:r>
        <w:rPr>
          <w:vertAlign w:val="superscript"/>
        </w:rPr>
        <w:t xml:space="preserve">[</w:t>
      </w:r>
      <w:hyperlink w:anchor="ref-232">
        <w:r>
          <w:rPr>
            <w:rStyle w:val="Hyperlink"/>
            <w:vertAlign w:val="superscript"/>
          </w:rPr>
          <w:t xml:space="preserve">232</w:t>
        </w:r>
      </w:hyperlink>
      <w:r>
        <w:rPr>
          <w:vertAlign w:val="superscript"/>
        </w:rPr>
        <w:t xml:space="preserve">]</w:t>
      </w:r>
      <w:r>
        <w:t xml:space="preserve">。</w:t>
      </w:r>
    </w:p>
    <w:p>
      <w:pPr>
        <w:pStyle w:val="BodyText"/>
      </w:pPr>
      <w:r>
        <w:t xml:space="preserve">这个设计的关键是利用一个外部时间标记。细胞DNA与环境碳的关系，为细胞形成时间提供信息。但真正的推断还需要考虑样本纯度、细胞类型比例、不同出生时间混合以及拟合模型。模型能够解释数据，不表示只有一个模型可能解释数据。稳健分析应比较替代模型，并评估关键假设变化时结论是否保留。</w:t>
      </w:r>
    </w:p>
    <w:p>
      <w:pPr>
        <w:pStyle w:val="BodyText"/>
      </w:pPr>
      <w:r>
        <w:t xml:space="preserve">从教学角度看，碳14研究展示了“无法直接看到”仍可进行严谨推断。推断的强度来自测量机制与时间历史之间的约束。若换一种细胞更新假设就得到非常不同的速率，存在性与精确速率的置信度就应分别报告。这里没有理由把全部间接证据一概排除，也没有理由把模型数值当作无误差的常数。</w:t>
      </w:r>
    </w:p>
    <w:bookmarkEnd w:id="406"/>
    <w:bookmarkStart w:id="407" w:name="sec-23-4"/>
    <w:p>
      <w:pPr>
        <w:pStyle w:val="Heading3"/>
      </w:pPr>
      <w:r>
        <w:t xml:space="preserve">23.4　组织学争议为什么重要</w:t>
      </w:r>
    </w:p>
    <w:p>
      <w:pPr>
        <w:pStyle w:val="FirstParagraph"/>
      </w:pPr>
      <w:r>
        <w:t xml:space="preserve">Sorrells等2018年报告，齿状回中增殖祖细胞和年轻神经元在出生后第一年急剧减少，7岁和13岁时只见零星年轻神经元；在所检查的成人样本中没有检出年轻神经元，成人材料包括17例死后对照样本与12例癫痫手术样本</w:t>
      </w:r>
      <w:r>
        <w:rPr>
          <w:vertAlign w:val="superscript"/>
        </w:rPr>
        <w:t xml:space="preserve">[</w:t>
      </w:r>
      <w:hyperlink w:anchor="ref-233">
        <w:r>
          <w:rPr>
            <w:rStyle w:val="Hyperlink"/>
            <w:vertAlign w:val="superscript"/>
          </w:rPr>
          <w:t xml:space="preserve">233</w:t>
        </w:r>
      </w:hyperlink>
      <w:r>
        <w:rPr>
          <w:vertAlign w:val="superscript"/>
        </w:rPr>
        <w:t xml:space="preserve">]</w:t>
      </w:r>
      <w:r>
        <w:t xml:space="preserve">。这个结果对当时常见的大量持续神经发生叙述形成重要挑战。同年，Boldrini等对28名14至79岁生前健康者的完整海马作无偏体视学计数，报告各年龄段都有数千个未成熟神经元</w:t>
      </w:r>
      <w:r>
        <w:rPr>
          <w:vertAlign w:val="superscript"/>
        </w:rPr>
        <w:t xml:space="preserve">[</w:t>
      </w:r>
      <w:hyperlink w:anchor="ref-234">
        <w:r>
          <w:rPr>
            <w:rStyle w:val="Hyperlink"/>
            <w:vertAlign w:val="superscript"/>
          </w:rPr>
          <w:t xml:space="preserve">234</w:t>
        </w:r>
      </w:hyperlink>
      <w:r>
        <w:rPr>
          <w:vertAlign w:val="superscript"/>
        </w:rPr>
        <w:t xml:space="preserve">]</w:t>
      </w:r>
      <w:r>
        <w:t xml:space="preserve">；2019年，Moreno-Jiménez等在严格控制组织固定条件后，于13名43至87岁神经系统健康者的齿状回中检出数以千计的未成熟神经元，并报告其在阿尔茨海默病患者中明显减少</w:t>
      </w:r>
      <w:r>
        <w:rPr>
          <w:vertAlign w:val="superscript"/>
        </w:rPr>
        <w:t xml:space="preserve">[</w:t>
      </w:r>
      <w:hyperlink w:anchor="ref-235">
        <w:r>
          <w:rPr>
            <w:rStyle w:val="Hyperlink"/>
            <w:vertAlign w:val="superscript"/>
          </w:rPr>
          <w:t xml:space="preserve">235</w:t>
        </w:r>
      </w:hyperlink>
      <w:r>
        <w:rPr>
          <w:vertAlign w:val="superscript"/>
        </w:rPr>
        <w:t xml:space="preserve">]</w:t>
      </w:r>
      <w:r>
        <w:t xml:space="preserve">。两类结论的解释都受标记特异性、保存状态、组织处理与检出限约束。</w:t>
      </w:r>
    </w:p>
    <w:p>
      <w:pPr>
        <w:pStyle w:val="BodyText"/>
      </w:pPr>
      <w:r>
        <w:t xml:space="preserve">阴性结果需要检出能力。假设一种方法只能稳定发现每单位组织中超过某个数量的目标细胞，未检出只说明真实数量可能低于这一检出水平，无法证明绝对为零。另一方面，阳性染色也需要特异性。若某抗体在其他细胞或损伤状态中同样产生信号，观察到信号无法单独证明新神经元出生。敏感性与特异性两端都必须控制。</w:t>
      </w:r>
    </w:p>
    <w:p>
      <w:pPr>
        <w:pStyle w:val="BodyText"/>
      </w:pPr>
      <w:r>
        <w:t xml:space="preserve">死后延迟、固定时间和抗原保存会影响信号。年龄组若在这些条件上系统不同，就可能让技术差异看起来像生物差异。研究应在可能时统一处理流程，纳入阳性与阴性对照，使用多重标记并核对细胞形态。多种方法一致比单个漂亮图像更可靠。研究之间的分歧可以来自真实人群差异，也可以来自流程差异，需要可重复的比较实验解决。</w:t>
      </w:r>
    </w:p>
    <w:bookmarkEnd w:id="407"/>
    <w:bookmarkStart w:id="408" w:name="sec-23-5"/>
    <w:p>
      <w:pPr>
        <w:pStyle w:val="Heading3"/>
      </w:pPr>
      <w:r>
        <w:t xml:space="preserve">23.5　2026年多组学证据怎样改变判断</w:t>
      </w:r>
    </w:p>
    <w:p>
      <w:pPr>
        <w:pStyle w:val="FirstParagraph"/>
      </w:pPr>
      <w:r>
        <w:t xml:space="preserve">Disouky等2026年分析不同年龄与认知状态的死后海马，联合RNA表达与染色质可及性，研究了355997个细胞核，识别出神经干细胞、神经母细胞和未成熟颗粒神经元相关群体</w:t>
      </w:r>
      <w:r>
        <w:rPr>
          <w:vertAlign w:val="superscript"/>
        </w:rPr>
        <w:t xml:space="preserve">[</w:t>
      </w:r>
      <w:hyperlink w:anchor="ref-237">
        <w:r>
          <w:rPr>
            <w:rStyle w:val="Hyperlink"/>
            <w:vertAlign w:val="superscript"/>
          </w:rPr>
          <w:t xml:space="preserve">237</w:t>
        </w:r>
      </w:hyperlink>
      <w:r>
        <w:rPr>
          <w:vertAlign w:val="superscript"/>
        </w:rPr>
        <w:t xml:space="preserve">]</w:t>
      </w:r>
      <w:r>
        <w:t xml:space="preserve">。细胞核数量不能替代供体人数；同一供体的许多细胞共享遗传、病史和组织处理条件。该研究加强了成人海马神经发生相关状态存在的证据，其摘要仍明确指出认知意义尚待厘清。</w:t>
      </w:r>
    </w:p>
    <w:p>
      <w:pPr>
        <w:pStyle w:val="BodyText"/>
      </w:pPr>
      <w:r>
        <w:t xml:space="preserve">多组学的优势是不同测量可以提供互补约束。RNA表达描述当时被转录的程序，染色质可及性描述某些调控区域处于较容易被利用的状态。如果两个层面的分类与已知发育轨迹相容，细胞身份解释更有依据。但计算聚类本身不构成谱系追踪。研究者仍需排除细胞双重捕获、低质量细胞核、批次效应和标签迁移产生的错误。</w:t>
      </w:r>
    </w:p>
    <w:p>
      <w:pPr>
        <w:pStyle w:val="BodyText"/>
      </w:pPr>
      <w:r>
        <w:t xml:space="preserve">疾病与高龄认知保存组的差异还涉及因果方向。某分子状态可能促进韧性，也可能只是较少病理损害的结果，或与其他保护因素共同出现。比较记忆特别好的高龄者和普通老年人时，还应考虑教育、健康、选择标准和存活偏差。由横断面差异提出机制假说具有价值；确定因果方向需要纵向和干预证据。从这种差异直接推出补充剂、运动方案或药物能通过神经发生改善记忆，目前缺少这类证据。</w:t>
      </w:r>
    </w:p>
    <w:bookmarkEnd w:id="408"/>
    <w:bookmarkStart w:id="409" w:name="sec-23-6"/>
    <w:p>
      <w:pPr>
        <w:pStyle w:val="Heading3"/>
      </w:pPr>
      <w:r>
        <w:t xml:space="preserve">23.6　细胞核很多为何仍须关注供体</w:t>
      </w:r>
    </w:p>
    <w:p>
      <w:pPr>
        <w:pStyle w:val="FirstParagraph"/>
      </w:pPr>
      <w:r>
        <w:t xml:space="preserve">假设两个组各有五位供体，每位供体测出一万个细胞核。数据库共有十万个细胞核，但用于比较人群差异的独立单位仍主要是十位供体。若把每个细胞核都当作完全独立的人，标准误可能被严重低估。细胞层面提供细致结构，供体层面决定结论能够推广到多少独立个体。</w:t>
      </w:r>
    </w:p>
    <w:p>
      <w:pPr>
        <w:pStyle w:val="BodyText"/>
      </w:pPr>
      <w:r>
        <w:t xml:space="preserve">这种数据应使用适合嵌套结构的方法，例如在供体层面整合信息，或采用明确处理供体差异的分层模型。疾病组与对照组在年龄、性别、死后延迟、药物、病理程度和脑区取样上也需要比较。统计调整能够减少部分混杂，无法保证未测因素消失。越罕见的细胞群，越需要检查某个供体是否贡献了主要信号。</w:t>
      </w:r>
    </w:p>
    <w:bookmarkEnd w:id="409"/>
    <w:bookmarkStart w:id="410" w:name="sec-23-7"/>
    <w:p>
      <w:pPr>
        <w:pStyle w:val="Heading3"/>
      </w:pPr>
      <w:r>
        <w:t xml:space="preserve">23.7　功能整合需要哪些额外证据</w:t>
      </w:r>
    </w:p>
    <w:p>
      <w:pPr>
        <w:pStyle w:val="FirstParagraph"/>
      </w:pPr>
      <w:r>
        <w:t xml:space="preserve">即使一个细胞确实在成人时期出生，还要问它能否接收适当输入、产生输出、参与行为相关活动，以及它的存在对行为是否必要或有益。动物研究可通过谱系标记、电生理与干预增加因果信息。人的神经发生功能研究受到伦理和技术限制，常需要把细胞证据、病理、认知表现和其他非侵入性测量结合。</w:t>
      </w:r>
    </w:p>
    <w:p>
      <w:pPr>
        <w:pStyle w:val="BodyText"/>
      </w:pPr>
      <w:r>
        <w:t xml:space="preserve">要证明某干预通过神经发生改善认知，至少需要一条较完整的链条：干预改变相关细胞过程；细胞过程的改变发生在行为收益之前；控制其他路径后关系仍可解释；针对该路径的独立操纵会改变干预收益。若干预同时影响睡眠、血管、炎症、动机和学习机会，仅观察到记忆改善不能确定神经发生是关键中介。</w:t>
      </w:r>
    </w:p>
    <w:p>
      <w:pPr>
        <w:pStyle w:val="BodyText"/>
      </w:pPr>
      <w:r>
        <w:t xml:space="preserve">“多生一些神经元就更聪明”还假定细胞数量与功能呈单调正关系。新细胞需要能量、空间、输入与输出，也可能改变旧回路稳定性。一个局部过程的适当范围需要由功能结果决定。对细胞增殖的无选择促进更涉及肿瘤和异常组织等安全问题，不能由“再生”这个词获得正面保证。</w:t>
      </w:r>
    </w:p>
    <w:bookmarkEnd w:id="410"/>
    <w:bookmarkStart w:id="411" w:name="sec-23-8"/>
    <w:p>
      <w:pPr>
        <w:pStyle w:val="Heading3"/>
      </w:pPr>
      <w:r>
        <w:t xml:space="preserve">23.8　神经元长期存在与可塑性怎样兼容</w:t>
      </w:r>
    </w:p>
    <w:p>
      <w:pPr>
        <w:pStyle w:val="FirstParagraph"/>
      </w:pPr>
      <w:r>
        <w:t xml:space="preserve">许多成人神经元能够长期存活，同时持续改变突触、树突、基因表达和参与的网络状态。一个细胞长期存在，不意味着它携带的所有功能细节永久不变。稳定细胞提供持续的组织基础，可变连接允许学习和适应。神经元更新只是神经系统变化的一部分，无法代表全部可塑性。</w:t>
      </w:r>
    </w:p>
    <w:p>
      <w:pPr>
        <w:pStyle w:val="BodyText"/>
      </w:pPr>
      <w:r>
        <w:t xml:space="preserve">这也解释了为何成人能够学习，却不要求全脑持续大量更换神经元。如果每项新记忆都必须依靠大量新细胞，人类学习能力就会与细胞更新速率严格绑定；目前并无依据把这种绑定作为一般规律。相反，突触和网络层面的变化已经提供多条学习机制。关于成人海马神经发生的争议不应被用来否认成人学习本身。</w:t>
      </w:r>
    </w:p>
    <w:bookmarkEnd w:id="411"/>
    <w:bookmarkStart w:id="412" w:name="sec-23-9"/>
    <w:p>
      <w:pPr>
        <w:pStyle w:val="Heading3"/>
      </w:pPr>
      <w:r>
        <w:t xml:space="preserve">23.9　如何评价声称促进神经再生的产品</w:t>
      </w:r>
    </w:p>
    <w:p>
      <w:pPr>
        <w:pStyle w:val="FirstParagraph"/>
      </w:pPr>
      <w:r>
        <w:t xml:space="preserve">应先问产品声称的作用对象。体外细胞增殖、啮齿动物海马标志、人类血液指标和患者功能改善属于不同证据层次。若只有培养皿或动物标志变化，宣传应停留在机制研究范围。若人体随机试验显示认知收益，还需要知道其幅度、保持、偏倚风险和安全性；在没有直接证据时，机制仍应保持开放。</w:t>
      </w:r>
    </w:p>
    <w:p>
      <w:pPr>
        <w:pStyle w:val="BodyText"/>
      </w:pPr>
      <w:r>
        <w:t xml:space="preserve">还要检查结果是否存在选择性。一个研究测量十种细胞标志，只突出其中改变的一种，可能高估确定性。某产品同时含有多种成分，不能把观察结果归到单一成分。研究资助与作者利益关系需要公开，并通过预注册、独立重复和完整结果报告降低选择性解释的空间。商业利益增加审查要求，研究结果仍应按设计与数据判断。</w:t>
      </w:r>
    </w:p>
    <w:bookmarkEnd w:id="412"/>
    <w:bookmarkStart w:id="413" w:name="sec-23-10"/>
    <w:p>
      <w:pPr>
        <w:pStyle w:val="Heading3"/>
      </w:pPr>
      <w:r>
        <w:t xml:space="preserve">23.10　稀有细胞问题与检出概率</w:t>
      </w:r>
    </w:p>
    <w:p>
      <w:pPr>
        <w:pStyle w:val="FirstParagraph"/>
      </w:pPr>
      <w:r>
        <w:t xml:space="preserve">研究成人神经发生的一个基本困难是目标细胞可能稀少，而且存在于特定区域与阶段。假设某类细胞占目标组织细胞的万分之一，随机取样一万个细胞也不保证一定看到它。若取样区域偏离真正位置，增加其他区域的细胞数帮助有限。阴性结果的解释需要结合采样体积、细胞富集方式和理论检出概率。</w:t>
      </w:r>
    </w:p>
    <w:p>
      <w:pPr>
        <w:pStyle w:val="BodyText"/>
      </w:pPr>
      <w:r>
        <w:t xml:space="preserve">在一个简化独立取样模型中，目标细胞比例为 p，观察 n 个细胞一个都未发现的概率为一减 p 的 n 次方。这个公式可以说明样本量与稀有度的关系，但真实组织取样通常具有空间聚集和技术选择性，独立假设未必成立。研究者需要报告目标区域覆盖，不能只用总细胞数量表示“足够全面”。</w:t>
      </w:r>
    </w:p>
    <w:p>
      <w:pPr>
        <w:pStyle w:val="BodyText"/>
      </w:pPr>
      <w:r>
        <w:t xml:space="preserve">反过来，发现极少数候选细胞也需要警惕假阳性。如果每个细胞被错误分类的概率很低，但分析总量极大，错误候选仍可能多于真正目标。罕见细胞研究对分类特异性的要求往往高于普通细胞类型研究。多种独立标志、空间位置和形态信息能够提高可信度。</w:t>
      </w:r>
    </w:p>
    <w:bookmarkEnd w:id="413"/>
    <w:bookmarkStart w:id="414" w:name="sec-23-11"/>
    <w:p>
      <w:pPr>
        <w:pStyle w:val="Heading3"/>
      </w:pPr>
      <w:r>
        <w:t xml:space="preserve">23.11　单核测序的细胞身份推断</w:t>
      </w:r>
    </w:p>
    <w:p>
      <w:pPr>
        <w:pStyle w:val="FirstParagraph"/>
      </w:pPr>
      <w:r>
        <w:t xml:space="preserve">单核 RNA 测序获得的是每个细胞核中一部分可检测转录本。不同类型可能共享基因，稀疏测量会造成某些标志未被捕获，环境 RNA 也可能污染信号。细胞聚类形成的是统计结构，随后需要结合生物学知识赋予名称。一个聚类被命名为“未成熟神经元”，并不自动证明其出生日期。</w:t>
      </w:r>
    </w:p>
    <w:p>
      <w:pPr>
        <w:pStyle w:val="BodyText"/>
      </w:pPr>
      <w:r>
        <w:t xml:space="preserve">分类器如果主要在儿童组织中学习“祖细胞”特征，应用于老年组织时需要额外验证。老年细胞可能因应激、疾病或其他状态表达部分相似基因。模型置信度高，表示它在自身规则下分类明确；这与生物身份已被完全证明仍有区别。理想验证应使用不同技术、不同供体和独立标记体系。</w:t>
      </w:r>
    </w:p>
    <w:p>
      <w:pPr>
        <w:pStyle w:val="BodyText"/>
      </w:pPr>
      <w:r>
        <w:t xml:space="preserve">双细胞或双核混入也可能形成看似过渡的表达谱。一个样本同时包含胶质和神经元信号，既可能是真实过渡状态，也可能来自技术混合。算法可以筛除明显混合，但边界病例仍需空间与形态检查。把“同时表达两个谱系标志”直接写成“细胞正在转化”，会跳过这一关键替代解释。</w:t>
      </w:r>
    </w:p>
    <w:bookmarkEnd w:id="414"/>
    <w:bookmarkStart w:id="415" w:name="sec-23-12"/>
    <w:p>
      <w:pPr>
        <w:pStyle w:val="Heading3"/>
      </w:pPr>
      <w:r>
        <w:t xml:space="preserve">23.12　2025年的增殖祖细胞证据</w:t>
      </w:r>
    </w:p>
    <w:p>
      <w:pPr>
        <w:pStyle w:val="FirstParagraph"/>
      </w:pPr>
      <w:r>
        <w:t xml:space="preserve">Dumitru 等人在2025年结合单核测序、增殖标志及机器学习，在成人海马中识别出增殖神经祖细胞相关证据，并将候选群体定位于齿状回。研究补充了成人神经发生链条中较难观察的祖细胞阶段。其贡献与2026年多组学研究形成互补，同时仍需把祖细胞增殖、新神经元成熟、长期存活和功能参与分别验证</w:t>
      </w:r>
      <w:r>
        <w:rPr>
          <w:vertAlign w:val="superscript"/>
        </w:rPr>
        <w:t xml:space="preserve">[</w:t>
      </w:r>
      <w:hyperlink w:anchor="ref-236">
        <w:r>
          <w:rPr>
            <w:rStyle w:val="Hyperlink"/>
            <w:vertAlign w:val="superscript"/>
          </w:rPr>
          <w:t xml:space="preserve">236</w:t>
        </w:r>
      </w:hyperlink>
      <w:r>
        <w:rPr>
          <w:vertAlign w:val="superscript"/>
        </w:rPr>
        <w:t xml:space="preserve">]</w:t>
      </w:r>
      <w:r>
        <w:t xml:space="preserve">。</w:t>
      </w:r>
    </w:p>
    <w:p>
      <w:pPr>
        <w:pStyle w:val="BodyText"/>
      </w:pPr>
      <w:r>
        <w:t xml:space="preserve">增殖标志本身通常说明细胞处于特定细胞周期状态，不能单独决定最终命运。一个增殖细胞可以产生不同类型后代，也可能不能长期存活。要证明其属于神经谱系，需要结合多个身份指标；要证明产生了成熟功能性神经元，需要更长时间维度的证据。链条中每增加一个环节，结论就获得更明确的范围。</w:t>
      </w:r>
    </w:p>
    <w:p>
      <w:pPr>
        <w:pStyle w:val="BodyText"/>
      </w:pPr>
      <w:r>
        <w:t xml:space="preserve">人体死后研究尤其难以直接跟踪同一个细胞从分裂到整合。不同年龄或状态的细胞快照可以帮助重建可能路径，但重建依赖连续性和阶段对应假设。将不同供体中的细胞排成一条轨迹，是一种推断方法，不能被描述成研究者在人体内实时拍到了完整出生过程。</w:t>
      </w:r>
    </w:p>
    <w:bookmarkEnd w:id="415"/>
    <w:bookmarkStart w:id="416" w:name="sec-23-13"/>
    <w:p>
      <w:pPr>
        <w:pStyle w:val="Heading3"/>
      </w:pPr>
      <w:r>
        <w:t xml:space="preserve">23.13　伪时间与真实时间</w:t>
      </w:r>
    </w:p>
    <w:p>
      <w:pPr>
        <w:pStyle w:val="FirstParagraph"/>
      </w:pPr>
      <w:r>
        <w:t xml:space="preserve">伪时间分析按表达相似性把细胞排列成可能的状态序列。它可以提出分化方向和中间状态的假说，却不自动给出真实经过多少小时、几天或几个月。不同起点、分支和算法参数可能产生不同轨迹。若没有独立方向信息，某条轨迹也可能混合成熟、应激和疾病状态。</w:t>
      </w:r>
    </w:p>
    <w:p>
      <w:pPr>
        <w:pStyle w:val="BodyText"/>
      </w:pPr>
      <w:r>
        <w:t xml:space="preserve">可以用书页排序作一个有限类比：根据词汇和主题把散页排列，可能恢复大致章节关系，但不能仅凭排列知道作者在哪一天写下每一页。细胞轨迹的证据更复杂，仍有类似的时间标定问题。真实时间需要出生标记、脉冲追踪、纵向观察或其他独立信息。</w:t>
      </w:r>
    </w:p>
    <w:p>
      <w:pPr>
        <w:pStyle w:val="BodyText"/>
      </w:pPr>
      <w:r>
        <w:t xml:space="preserve">RNA 动力学模型尝试利用剪接状态等信息推断变化方向，也需要关于转录、降解和稳态的假设。模型结果与组织学相符时可以增强解释；出现不一致时，应检验假设及样本状态。把复杂算法输出画成箭头，不会使其中的方向自动成为直接观察事实。</w:t>
      </w:r>
    </w:p>
    <w:bookmarkEnd w:id="416"/>
    <w:bookmarkStart w:id="417" w:name="sec-23-14"/>
    <w:p>
      <w:pPr>
        <w:pStyle w:val="Heading3"/>
      </w:pPr>
      <w:r>
        <w:t xml:space="preserve">23.14　谱系追踪为何是强证据</w:t>
      </w:r>
    </w:p>
    <w:p>
      <w:pPr>
        <w:pStyle w:val="FirstParagraph"/>
      </w:pPr>
      <w:r>
        <w:t xml:space="preserve">谱系追踪的目标是把后来的细胞与明确的起始细胞建立关系。关键问题包括标记是否只进入目标起始细胞、是否随时间稳定保留、是否可能在原有神经元中泄漏，以及标记本身是否改变细胞命运。一个显示荧光的神经元，只有在排除其他标记来源后，才能被可靠归为新生成或转化的后代。</w:t>
      </w:r>
    </w:p>
    <w:p>
      <w:pPr>
        <w:pStyle w:val="BodyText"/>
      </w:pPr>
      <w:r>
        <w:t xml:space="preserve">Wang 等人在2021年使用严格谱系方法重新检验某些体内胶质到神经元转化主张，发现所观察到的一些报告基因阳性神经元实际来自既有神经元，并在相应条件下未确认 PTBP1 操作使被追踪星形胶质细胞转成神经元。该结果凸显起始身份和标记特异性的重要性，针对的是被检验方案，不能推广为所有细胞重编程思路都不可能成立</w:t>
      </w:r>
      <w:r>
        <w:rPr>
          <w:vertAlign w:val="superscript"/>
        </w:rPr>
        <w:t xml:space="preserve">[</w:t>
      </w:r>
      <w:hyperlink w:anchor="ref-239">
        <w:r>
          <w:rPr>
            <w:rStyle w:val="Hyperlink"/>
            <w:vertAlign w:val="superscript"/>
          </w:rPr>
          <w:t xml:space="preserve">239</w:t>
        </w:r>
      </w:hyperlink>
      <w:r>
        <w:rPr>
          <w:vertAlign w:val="superscript"/>
        </w:rPr>
        <w:t xml:space="preserve">]</w:t>
      </w:r>
      <w:r>
        <w:t xml:space="preserve">。</w:t>
      </w:r>
    </w:p>
    <w:p>
      <w:pPr>
        <w:pStyle w:val="BodyText"/>
      </w:pPr>
      <w:r>
        <w:t xml:space="preserve">这类研究提供了跨领域方法教训。终点细胞具有神经元外观、表达神经元标志并能放电，说明其终点身份具有神经元性质；要证明“由另一类型转来”，仍需可靠历史信息。终点功能和来源追踪回答不同问题，缺少其中一个都会限制再生主张。</w:t>
      </w:r>
    </w:p>
    <w:bookmarkEnd w:id="417"/>
    <w:bookmarkStart w:id="418" w:name="sec-23-15"/>
    <w:p>
      <w:pPr>
        <w:pStyle w:val="Heading3"/>
      </w:pPr>
      <w:r>
        <w:t xml:space="preserve">23.15　出生率、存活率与净增加量</w:t>
      </w:r>
    </w:p>
    <w:p>
      <w:pPr>
        <w:pStyle w:val="FirstParagraph"/>
      </w:pPr>
      <w:r>
        <w:t xml:space="preserve">神经元生成速率高，不必然导致神经元总数持续增加。若新生细胞死亡率也高，或与旧细胞替换同步，总数可以稳定。相反，总数增加也可能来自测量或区域边界变化。研究应分别估计产生、成熟、存活和死亡，避免用一个环节的指标代表全部过程。</w:t>
      </w:r>
    </w:p>
    <w:p>
      <w:pPr>
        <w:pStyle w:val="BodyText"/>
      </w:pPr>
      <w:r>
        <w:t xml:space="preserve">假设每月生成100个候选细胞，其中20个最终成熟并长期存活，同期有20个旧细胞失去。神经元总数保持稳定，但细胞组成发生更新。如果只测总体数量，会漏掉更新；如果只测早期增殖，会高估最终加入网络的数量。这个假设模型说明不同方法可能对同一系统给出看似不同却能够相容的描述。</w:t>
      </w:r>
    </w:p>
    <w:p>
      <w:pPr>
        <w:pStyle w:val="BodyText"/>
      </w:pPr>
      <w:r>
        <w:t xml:space="preserve">细胞的年龄结构也可能影响功能。少量处于特殊成熟阶段的细胞，理论上可以通过较高可塑性或不同连接模式影响回路；这种可能性不要求它们占总数很大比例。反过来，稀少并不能自动证明功能重要。需要干预其活动或生成过程，并观察特定行为和网络结果。</w:t>
      </w:r>
    </w:p>
    <w:bookmarkEnd w:id="418"/>
    <w:bookmarkStart w:id="419" w:name="sec-23-16"/>
    <w:p>
      <w:pPr>
        <w:pStyle w:val="Heading3"/>
      </w:pPr>
      <w:r>
        <w:t xml:space="preserve">23.16　功能必要性与治疗充分性</w:t>
      </w:r>
    </w:p>
    <w:p>
      <w:pPr>
        <w:pStyle w:val="FirstParagraph"/>
      </w:pPr>
      <w:r>
        <w:t xml:space="preserve">在动物中，阻断某类新生细胞后某项行为受损，可以支持其在给定条件下的必要作用，但阻断方法也可能影响炎症、其他细胞或整体健康。增加细胞后行为改善可以支持潜在收益，仍需排除共同改变。多种方法得到一致结果，比单一药物或单一基因操作更有说服力。</w:t>
      </w:r>
    </w:p>
    <w:p>
      <w:pPr>
        <w:pStyle w:val="BodyText"/>
      </w:pPr>
      <w:r>
        <w:t xml:space="preserve">即使某过程对正常功能必要，也不等于将其提高到正常以上会继续产生收益。氧、葡萄糖和神经活动都具有适宜范围；细胞生成同样可能受网络整合容量与安全性限制。治疗研究需要检验剂量关系、细胞定位、异常连接、癫痫风险和长期稳定性。机制上的“更多”没有普遍等同于功能上的“更好”。</w:t>
      </w:r>
    </w:p>
    <w:p>
      <w:pPr>
        <w:pStyle w:val="BodyText"/>
      </w:pPr>
      <w:r>
        <w:t xml:space="preserve">人体治疗还面临来源和监管问题。自体细胞、异体细胞、体内重编程和刺激内源祖细胞，是不同技术路线，其风险也不同。仅凭成人脑存在某种神经发生，就宣传任何“干细胞补脑”方案有效，缺少了产品身份、递送、存活、整合及临床随机证据。对商业主张，应回到具体方案的实证。</w:t>
      </w:r>
    </w:p>
    <w:bookmarkEnd w:id="419"/>
    <w:bookmarkStart w:id="420" w:name="sec-23-17"/>
    <w:p>
      <w:pPr>
        <w:pStyle w:val="Heading3"/>
      </w:pPr>
      <w:r>
        <w:t xml:space="preserve">23.17　阅读练习与推理</w:t>
      </w:r>
    </w:p>
    <w:p>
      <w:pPr>
        <w:pStyle w:val="FirstParagraph"/>
      </w:pPr>
      <w:r>
        <w:t xml:space="preserve">假设报道说“高记忆组拥有更多未成熟神经元，因此每天提高神经发生就能预防痴呆”。这句话先把细胞状态差异解释为生成速率差异，又把横断面相关解释为因果，再把较好记忆解释为未来疾病预防，最后默认存在安全有效的人体干预。四个环节都需要新证据。更合理的研究方案可以从纵向关系、组织处理一致性和独立样本重复开始，逐步缩小替代解释。</w:t>
      </w:r>
    </w:p>
    <w:p>
      <w:pPr>
        <w:pStyle w:val="BodyText"/>
      </w:pPr>
      <w:r>
        <w:t xml:space="preserve">假设另一报道说“一个实验未检出成人新生神经元，因此所有促进学习的训练都没有生物学基础”。这把一类细胞过程推广到全部学习机制，也忽略了检出限。结论无法由实验推出。判断神经发生应关注细胞证据；判断学习训练应关注行为与相应机制证据。</w:t>
      </w:r>
    </w:p>
    <w:p>
      <w:pPr>
        <w:pStyle w:val="BodyText"/>
      </w:pPr>
      <w:r>
        <w:t xml:space="preserve">当前较稳健的结论是：新的组学、空间技术和分析工具提高了可见度，争议也促使方法更加严格；成人海马中神经发生相关细胞状态获得了多种方法支持，精确规模及功能仍有争议；全脑大量更新、通过单一产品普遍促进再生和认知改善的主张，需要独立的人体证据。</w:t>
      </w:r>
    </w:p>
    <w:bookmarkEnd w:id="420"/>
    <w:bookmarkEnd w:id="421"/>
    <w:bookmarkStart w:id="444" w:name="ch-24"/>
    <w:p>
      <w:pPr>
        <w:pStyle w:val="Heading2"/>
      </w:pPr>
      <w:r>
        <w:t xml:space="preserve">第24章　从突触可塑性到学习机制</w:t>
      </w:r>
    </w:p>
    <w:bookmarkStart w:id="422" w:name="sec-24-1"/>
    <w:p>
      <w:pPr>
        <w:pStyle w:val="Heading3"/>
      </w:pPr>
      <w:r>
        <w:t xml:space="preserve">24.1　学习需要跨时间的行为改变</w:t>
      </w:r>
    </w:p>
    <w:p>
      <w:pPr>
        <w:pStyle w:val="FirstParagraph"/>
      </w:pPr>
      <w:r>
        <w:t xml:space="preserve">学习研究首先需要区分短时表现与持久能力。一个人因为奖励、药物、疲劳减轻或提示而当下答得更好，可能体现状态变化；经历结束后仍能保留并在适当条件下使用信息，更接近学习。生物机制研究进一步询问，经验在什么位置、通过什么过程留下可持续影响。</w:t>
      </w:r>
    </w:p>
    <w:p>
      <w:pPr>
        <w:pStyle w:val="BodyText"/>
      </w:pPr>
      <w:r>
        <w:t xml:space="preserve">突触可塑性提供了一类重要候选机制。神经元之间的连接对活动产生持久反应变化，可以改变同样输入在未来引发的网络输出。它与记忆研究之间的联系具有广泛证据，但记忆还涉及细胞兴奋性、抑制、回路结构和系统间协调。把学习全部压缩为“连接更强”，会漏掉选择、减弱和稳定过程</w:t>
      </w:r>
      <w:r>
        <w:rPr>
          <w:vertAlign w:val="superscript"/>
        </w:rPr>
        <w:t xml:space="preserve">[</w:t>
      </w:r>
      <w:hyperlink w:anchor="ref-240">
        <w:r>
          <w:rPr>
            <w:rStyle w:val="Hyperlink"/>
            <w:vertAlign w:val="superscript"/>
          </w:rPr>
          <w:t xml:space="preserve">240</w:t>
        </w:r>
      </w:hyperlink>
      <w:r>
        <w:rPr>
          <w:vertAlign w:val="superscript"/>
        </w:rPr>
        <w:t xml:space="preserve">]</w:t>
      </w:r>
      <w:r>
        <w:t xml:space="preserve">。</w:t>
      </w:r>
    </w:p>
    <w:p>
      <w:pPr>
        <w:pStyle w:val="BodyText"/>
      </w:pPr>
      <w:r>
        <w:t xml:space="preserve">本章把事实、模型与教育推论分开。特定突触存在活动依赖的持久增强或减弱，证据强；这些机制参与某些动物记忆，因果支持逐渐积累；从某种实验刺激直接推出通用课堂间隔或个人学习上限，仍需要行为与转化证据。三个层次使用不同的实验。</w:t>
      </w:r>
    </w:p>
    <w:bookmarkEnd w:id="422"/>
    <w:bookmarkStart w:id="423" w:name="sec-24-2"/>
    <w:p>
      <w:pPr>
        <w:pStyle w:val="Heading3"/>
      </w:pPr>
      <w:r>
        <w:t xml:space="preserve">24.2　突触效能的含义</w:t>
      </w:r>
    </w:p>
    <w:p>
      <w:pPr>
        <w:pStyle w:val="FirstParagraph"/>
      </w:pPr>
      <w:r>
        <w:t xml:space="preserve">突触效能可以理解为，在指定条件下，一个输入对后续细胞响应的影响程度。改变可能发生在递质释放、受体数量或功能、局部电整合，以及相关细胞状态。研究者需要指定测量的是电流、电位、放电概率还是群体响应。不同指标不能随意互换。</w:t>
      </w:r>
    </w:p>
    <w:p>
      <w:pPr>
        <w:pStyle w:val="BodyText"/>
      </w:pPr>
      <w:r>
        <w:t xml:space="preserve">一个抽象模型把输入记为 x，连接权重记为 w，单个贡献写作 wx。权重增大时，同样输入产生更大贡献。真实突触具有非线性、时间依赖、短时动态和空间位置效应，简单乘法只用于理解概念。它没有声称一个生物突触等同一个静态数字。</w:t>
      </w:r>
    </w:p>
    <w:p>
      <w:pPr>
        <w:pStyle w:val="BodyText"/>
      </w:pPr>
      <w:r>
        <w:t xml:space="preserve">同样的突触变化在不同网络中可能产生不同结果。如果它连接有关信息与合适输出，任务可能改善；如果它放大干扰或增加竞争，任务可能变差。可塑性方向需要相对于回路功能解释。</w:t>
      </w:r>
    </w:p>
    <w:bookmarkEnd w:id="423"/>
    <w:bookmarkStart w:id="424" w:name="sec-24-3"/>
    <w:p>
      <w:pPr>
        <w:pStyle w:val="Heading3"/>
      </w:pPr>
      <w:r>
        <w:t xml:space="preserve">24.3　长时程增强的经典观察</w:t>
      </w:r>
    </w:p>
    <w:p>
      <w:pPr>
        <w:pStyle w:val="FirstParagraph"/>
      </w:pPr>
      <w:r>
        <w:t xml:space="preserve">Bliss与Lømo在麻醉兔中对从内嗅皮层传入齿状回的穿通通路施加高频串刺激，观察到齿状回对之后测试刺激的群体响应能够持续增强。研究同时区分突触响应与群体放电等指标，提出传递效率和细胞兴奋性可能具有不同贡献</w:t>
      </w:r>
      <w:r>
        <w:rPr>
          <w:vertAlign w:val="superscript"/>
        </w:rPr>
        <w:t xml:space="preserve">[</w:t>
      </w:r>
      <w:hyperlink w:anchor="ref-59">
        <w:r>
          <w:rPr>
            <w:rStyle w:val="Hyperlink"/>
            <w:vertAlign w:val="superscript"/>
          </w:rPr>
          <w:t xml:space="preserve">59</w:t>
        </w:r>
      </w:hyperlink>
      <w:r>
        <w:rPr>
          <w:vertAlign w:val="superscript"/>
        </w:rPr>
        <w:t xml:space="preserve">]</w:t>
      </w:r>
      <w:r>
        <w:t xml:space="preserve">。这一工作建立了长期研究的实验基础。</w:t>
      </w:r>
    </w:p>
    <w:p>
      <w:pPr>
        <w:pStyle w:val="BodyText"/>
      </w:pPr>
      <w:r>
        <w:t xml:space="preserve">“长时程”是相对于实验观察窗口的名称，不能自动理解为终生。不同实验中的持续时间、诱导方式和表达机制不同。后来的研究显示，长时程增强与长时程抑制都包含多种形式，脑区与突触类型决定具体机制</w:t>
      </w:r>
      <w:r>
        <w:rPr>
          <w:vertAlign w:val="superscript"/>
        </w:rPr>
        <w:t xml:space="preserve">[</w:t>
      </w:r>
      <w:hyperlink w:anchor="ref-241">
        <w:r>
          <w:rPr>
            <w:rStyle w:val="Hyperlink"/>
            <w:vertAlign w:val="superscript"/>
          </w:rPr>
          <w:t xml:space="preserve">241</w:t>
        </w:r>
      </w:hyperlink>
      <w:r>
        <w:rPr>
          <w:vertAlign w:val="superscript"/>
        </w:rPr>
        <w:t xml:space="preserve">]</w:t>
      </w:r>
      <w:r>
        <w:t xml:space="preserve">。</w:t>
      </w:r>
    </w:p>
    <w:p>
      <w:pPr>
        <w:pStyle w:val="BodyText"/>
      </w:pPr>
      <w:r>
        <w:t xml:space="preserve">经典电刺激通常具有较强、较同步的输入，方便研究机制；自然行为中的神经活动更复杂。实验模型是否代表自然学习，需要在行为、细胞和回路层面继续验证。模型的价值在于能够精确操纵，生态解释需要额外桥接。</w:t>
      </w:r>
    </w:p>
    <w:bookmarkEnd w:id="424"/>
    <w:bookmarkStart w:id="425" w:name="sec-24-4"/>
    <w:p>
      <w:pPr>
        <w:pStyle w:val="Heading3"/>
      </w:pPr>
      <w:r>
        <w:t xml:space="preserve">24.4　基线与输入输出关系</w:t>
      </w:r>
    </w:p>
    <w:p>
      <w:pPr>
        <w:pStyle w:val="FirstParagraph"/>
      </w:pPr>
      <w:r>
        <w:t xml:space="preserve">判断增强之前，需要建立稳定基线。研究者通常在不明显改变连接的条件下反复给予测试刺激，观察响应是否稳定，再施加诱导程序，比较之后的变化。若刺激电极位置、组织状态或记录质量改变，响应差异可能具有其他来源。</w:t>
      </w:r>
    </w:p>
    <w:p>
      <w:pPr>
        <w:pStyle w:val="BodyText"/>
      </w:pPr>
      <w:r>
        <w:t xml:space="preserve">输入输出曲线可以帮助区分刺激强度与响应关系。低强度可能只招募部分纤维，高强度可能招募更多输入并接近饱和。若只在一个强度上比较，可能误判总体变化。实验应选择能够观察增减且不接近极限的工作范围。</w:t>
      </w:r>
    </w:p>
    <w:p>
      <w:pPr>
        <w:pStyle w:val="BodyText"/>
      </w:pPr>
      <w:r>
        <w:t xml:space="preserve">一个假设例子中，基线响应为一个单位，诱导后为一点五个单位，可以描述为相对增加百分之五十。这个比例只针对该指标和条件，无法转成动物记忆提高百分之五十。行为与生理之间需要独立映射。</w:t>
      </w:r>
    </w:p>
    <w:bookmarkEnd w:id="425"/>
    <w:bookmarkStart w:id="426" w:name="sec-24-5"/>
    <w:p>
      <w:pPr>
        <w:pStyle w:val="Heading3"/>
      </w:pPr>
      <w:r>
        <w:t xml:space="preserve">24.5　突触电位与群体放电</w:t>
      </w:r>
    </w:p>
    <w:p>
      <w:pPr>
        <w:pStyle w:val="FirstParagraph"/>
      </w:pPr>
      <w:r>
        <w:t xml:space="preserve">突触后电位反映输入引起的膜电位变化，动作电位输出还受到阈值、抑制和细胞兴奋性的影响。某个群体放电增强，可能由于输入更强，也可能由于细胞更容易达到阈值。区分这些层次有助于定位可塑性表达位置。</w:t>
      </w:r>
    </w:p>
    <w:p>
      <w:pPr>
        <w:pStyle w:val="BodyText"/>
      </w:pPr>
      <w:r>
        <w:t xml:space="preserve">假设输入电位不变，但放电概率提高，研究可以进一步检查阈值或兴奋性；若输入电位提高而放电不变，可能涉及输出饱和或抑制补偿。这个逻辑说明，需要多个指标共同解释。单个波峰变大不能承担全部机制结论。</w:t>
      </w:r>
    </w:p>
    <w:p>
      <w:pPr>
        <w:pStyle w:val="BodyText"/>
      </w:pPr>
      <w:r>
        <w:t xml:space="preserve">神经元的空间结构也影响输入整合。远近不同的树突输入、局部树突事件和细胞体测量之间存在转换。对突触局部过程的推断，最好结合合适空间分辨率的方法。</w:t>
      </w:r>
    </w:p>
    <w:bookmarkEnd w:id="426"/>
    <w:bookmarkStart w:id="427" w:name="sec-24-6"/>
    <w:p>
      <w:pPr>
        <w:pStyle w:val="Heading3"/>
      </w:pPr>
      <w:r>
        <w:t xml:space="preserve">24.6　NMDA受体与活动巧合</w:t>
      </w:r>
    </w:p>
    <w:p>
      <w:pPr>
        <w:pStyle w:val="FirstParagraph"/>
      </w:pPr>
      <w:r>
        <w:t xml:space="preserve">在许多研究充分的兴奋性突触中，NMDA受体相关过程参与诱导活动依赖改变。它同时受到递质结合和膜电位条件影响，为前后活动之间的关系提供一种生物学检测方式。具体机制具有突触类型和状态依赖，不能推广到所有形式可塑性</w:t>
      </w:r>
      <w:r>
        <w:rPr>
          <w:vertAlign w:val="superscript"/>
        </w:rPr>
        <w:t xml:space="preserve">[</w:t>
      </w:r>
      <w:hyperlink w:anchor="ref-241">
        <w:r>
          <w:rPr>
            <w:rStyle w:val="Hyperlink"/>
            <w:vertAlign w:val="superscript"/>
          </w:rPr>
          <w:t xml:space="preserve">241</w:t>
        </w:r>
      </w:hyperlink>
      <w:r>
        <w:rPr>
          <w:vertAlign w:val="superscript"/>
        </w:rPr>
        <w:t xml:space="preserve">,</w:t>
      </w:r>
      <w:hyperlink w:anchor="ref-242">
        <w:r>
          <w:rPr>
            <w:rStyle w:val="Hyperlink"/>
            <w:vertAlign w:val="superscript"/>
          </w:rPr>
          <w:t xml:space="preserve">242</w:t>
        </w:r>
      </w:hyperlink>
      <w:r>
        <w:rPr>
          <w:vertAlign w:val="superscript"/>
        </w:rPr>
        <w:t xml:space="preserve">]</w:t>
      </w:r>
      <w:r>
        <w:t xml:space="preserve">。</w:t>
      </w:r>
    </w:p>
    <w:p>
      <w:pPr>
        <w:pStyle w:val="BodyText"/>
      </w:pPr>
      <w:r>
        <w:t xml:space="preserve">“巧合检测”描述的是一定时间范围内多种条件共同满足。它不意味着神经元理解两个事件在日常语义上有关。细胞层面检测的是电与化学条件，行为层面关联需要通过网络结构和经验组织连接起来。</w:t>
      </w:r>
    </w:p>
    <w:p>
      <w:pPr>
        <w:pStyle w:val="BodyText"/>
      </w:pPr>
      <w:r>
        <w:t xml:space="preserve">这个区分限制了常见教育口号：同时出现两件事可以增加关联机会，却不保证形成正确概念。学生还需要选择有关特征、理解关系、获得反馈。生物可塑性提供实现基础，教学内容决定哪些关系被学入。</w:t>
      </w:r>
    </w:p>
    <w:bookmarkEnd w:id="427"/>
    <w:bookmarkStart w:id="428" w:name="sec-24-7"/>
    <w:p>
      <w:pPr>
        <w:pStyle w:val="Heading3"/>
      </w:pPr>
      <w:r>
        <w:t xml:space="preserve">24.7　钙信号与局部变化</w:t>
      </w:r>
    </w:p>
    <w:p>
      <w:pPr>
        <w:pStyle w:val="FirstParagraph"/>
      </w:pPr>
      <w:r>
        <w:t xml:space="preserve">钙进入可以启动多种细胞内信号过程，信号大小、时间和位置影响后续反应。CaMKII研究提供了一个重要例子：相关激酶活动、受体相互作用和局部结构改变参与某些长时程增强过程</w:t>
      </w:r>
      <w:r>
        <w:rPr>
          <w:vertAlign w:val="superscript"/>
        </w:rPr>
        <w:t xml:space="preserve">[</w:t>
      </w:r>
      <w:hyperlink w:anchor="ref-243">
        <w:r>
          <w:rPr>
            <w:rStyle w:val="Hyperlink"/>
            <w:vertAlign w:val="superscript"/>
          </w:rPr>
          <w:t xml:space="preserve">243</w:t>
        </w:r>
      </w:hyperlink>
      <w:r>
        <w:rPr>
          <w:vertAlign w:val="superscript"/>
        </w:rPr>
        <w:t xml:space="preserve">]</w:t>
      </w:r>
      <w:r>
        <w:t xml:space="preserve">。这是机制链的一部分，其他分子与回路条件同样重要。</w:t>
      </w:r>
    </w:p>
    <w:p>
      <w:pPr>
        <w:pStyle w:val="BodyText"/>
      </w:pPr>
      <w:r>
        <w:t xml:space="preserve">把分子链画成单向流程有教学便利，也可能掩盖反馈、并行和状态依赖。某一步被阻断后效应下降，支持它在该条件下重要；该分子还有其他功能，行为变化可能包含多条路径。因果解释需要与操纵范围匹配。</w:t>
      </w:r>
    </w:p>
    <w:p>
      <w:pPr>
        <w:pStyle w:val="BodyText"/>
      </w:pPr>
      <w:r>
        <w:t xml:space="preserve">局部化有助于保持选择性。如果细胞内每次活动都让所有连接同样改变，系统难以保存具体输入关系。真实机制需要把较广的细胞资源与特定活跃位置联系起来，突触标记等理论正是为解决这类问题提出。</w:t>
      </w:r>
    </w:p>
    <w:bookmarkEnd w:id="428"/>
    <w:bookmarkStart w:id="429" w:name="sec-24-8"/>
    <w:p>
      <w:pPr>
        <w:pStyle w:val="Heading3"/>
      </w:pPr>
      <w:r>
        <w:t xml:space="preserve">24.8　诱导、表达与维持</w:t>
      </w:r>
    </w:p>
    <w:p>
      <w:pPr>
        <w:pStyle w:val="FirstParagraph"/>
      </w:pPr>
      <w:r>
        <w:t xml:space="preserve">诱导是触发改变的条件，表达是改变后响应怎样出现，维持是改变怎样持续。三者可以依赖不同过程。某种操纵阻止诱导，未必能逆转已经形成的改变；另一种操纵影响当前表达，又未必破坏长期痕迹。</w:t>
      </w:r>
    </w:p>
    <w:p>
      <w:pPr>
        <w:pStyle w:val="BodyText"/>
      </w:pPr>
      <w:r>
        <w:t xml:space="preserve">实验可以在训练前、训练中、训练后不同时间实施操纵，比较行为与生理后果。若只在测试时给药，结果可能反映检索或动作输出；若只在学习时给药，结果可能反映编码或状态。时间设计帮助定位，却不能独自排除所有非特异影响。</w:t>
      </w:r>
    </w:p>
    <w:p>
      <w:pPr>
        <w:pStyle w:val="BodyText"/>
      </w:pPr>
      <w:r>
        <w:t xml:space="preserve">一个记忆在某种状态下无法表达，恢复状态后又出现，提示访问与存储需要区分。对突触实验也应保留类似逻辑：响应暂时下降不一定意味着所有结构改变已消失。</w:t>
      </w:r>
    </w:p>
    <w:bookmarkEnd w:id="429"/>
    <w:bookmarkStart w:id="430" w:name="sec-24-9"/>
    <w:p>
      <w:pPr>
        <w:pStyle w:val="Heading3"/>
      </w:pPr>
      <w:r>
        <w:t xml:space="preserve">24.9　长时程抑制与信息选择</w:t>
      </w:r>
    </w:p>
    <w:p>
      <w:pPr>
        <w:pStyle w:val="FirstParagraph"/>
      </w:pPr>
      <w:r>
        <w:t xml:space="preserve">长时程抑制描述指定突触响应的持久减弱。它可以与增强共同塑造选择性，减少不适当关联，调整网络动态。不同突触的诱导条件和分子过程存在差异，简单的“高频增强、低频减弱”只适用于某些实验情境</w:t>
      </w:r>
      <w:r>
        <w:rPr>
          <w:vertAlign w:val="superscript"/>
        </w:rPr>
        <w:t xml:space="preserve">[</w:t>
      </w:r>
      <w:hyperlink w:anchor="ref-241">
        <w:r>
          <w:rPr>
            <w:rStyle w:val="Hyperlink"/>
            <w:vertAlign w:val="superscript"/>
          </w:rPr>
          <w:t xml:space="preserve">241</w:t>
        </w:r>
      </w:hyperlink>
      <w:r>
        <w:rPr>
          <w:vertAlign w:val="superscript"/>
        </w:rPr>
        <w:t xml:space="preserve">]</w:t>
      </w:r>
      <w:r>
        <w:t xml:space="preserve">。</w:t>
      </w:r>
    </w:p>
    <w:p>
      <w:pPr>
        <w:pStyle w:val="BodyText"/>
      </w:pPr>
      <w:r>
        <w:t xml:space="preserve">从计算角度，学习需要同时增加有关关联并限制无关关联。若所有权重只增加，网络可能逐渐失去区分度。减弱提供了调整空间，但它的功能需要结合连接对象和任务。减弱某条关键通路也可能损害表现。</w:t>
      </w:r>
    </w:p>
    <w:p>
      <w:pPr>
        <w:pStyle w:val="BodyText"/>
      </w:pPr>
      <w:r>
        <w:t xml:space="preserve">教育中的纠错可以帮助理解选择需求：学生既要学会正确规则，也要在不适用条件下减少错误规则的使用。这个心理过程不能直接等同某个突触发生长时程抑制，跨层解释仍需证据。</w:t>
      </w:r>
    </w:p>
    <w:bookmarkEnd w:id="430"/>
    <w:bookmarkStart w:id="431" w:name="sec-24-10"/>
    <w:p>
      <w:pPr>
        <w:pStyle w:val="Heading3"/>
      </w:pPr>
      <w:r>
        <w:t xml:space="preserve">24.10　输入特异性与联结性</w:t>
      </w:r>
    </w:p>
    <w:p>
      <w:pPr>
        <w:pStyle w:val="FirstParagraph"/>
      </w:pPr>
      <w:r>
        <w:t xml:space="preserve">输入特异性意味着改变可以偏向参与特定活动的输入。联结性强调较弱输入在与较强活动适当配合时可能获得改变。合作性则涉及足够输入共同活动所形成的条件。这些概念帮助解释怎样在共享细胞上保存选择性关联</w:t>
      </w:r>
      <w:r>
        <w:rPr>
          <w:vertAlign w:val="superscript"/>
        </w:rPr>
        <w:t xml:space="preserve">[</w:t>
      </w:r>
      <w:hyperlink w:anchor="ref-242">
        <w:r>
          <w:rPr>
            <w:rStyle w:val="Hyperlink"/>
            <w:vertAlign w:val="superscript"/>
          </w:rPr>
          <w:t xml:space="preserve">242</w:t>
        </w:r>
      </w:hyperlink>
      <w:r>
        <w:rPr>
          <w:vertAlign w:val="superscript"/>
        </w:rPr>
        <w:t xml:space="preserve">]</w:t>
      </w:r>
      <w:r>
        <w:t xml:space="preserve">。</w:t>
      </w:r>
    </w:p>
    <w:p>
      <w:pPr>
        <w:pStyle w:val="BodyText"/>
      </w:pPr>
      <w:r>
        <w:t xml:space="preserve">一个抽象例子中，输入甲与输出经常共同出现，输入乙出现时输出不活跃。选择性规则可以使甲的影响增加，乙保持较低。若两者总同时出现，系统可能难以区分谁更有预测价值。更复杂学习规则需要处理这种归因问题。</w:t>
      </w:r>
    </w:p>
    <w:p>
      <w:pPr>
        <w:pStyle w:val="BodyText"/>
      </w:pPr>
      <w:r>
        <w:t xml:space="preserve">现实学习中，背景、情绪、材料和动作常同时出现。系统如何选择真正有关的关系，是从细胞关联到认知学习的关键桥梁。注意、奖励、预测误差和已有知识可能提供约束，不能只依赖共同发生。</w:t>
      </w:r>
    </w:p>
    <w:bookmarkEnd w:id="431"/>
    <w:bookmarkStart w:id="432" w:name="sec-24-11"/>
    <w:p>
      <w:pPr>
        <w:pStyle w:val="Heading3"/>
      </w:pPr>
      <w:r>
        <w:t xml:space="preserve">24.11　放电时序依赖可塑性</w:t>
      </w:r>
    </w:p>
    <w:p>
      <w:pPr>
        <w:pStyle w:val="FirstParagraph"/>
      </w:pPr>
      <w:r>
        <w:t xml:space="preserve">Bi与Poo在培养海马神经元中系统研究了突触前后放电时间关系，观察到改变方向和大小依赖时序、初始强度与细胞类型</w:t>
      </w:r>
      <w:r>
        <w:rPr>
          <w:vertAlign w:val="superscript"/>
        </w:rPr>
        <w:t xml:space="preserve">[</w:t>
      </w:r>
      <w:hyperlink w:anchor="ref-244">
        <w:r>
          <w:rPr>
            <w:rStyle w:val="Hyperlink"/>
            <w:vertAlign w:val="superscript"/>
          </w:rPr>
          <w:t xml:space="preserve">244</w:t>
        </w:r>
      </w:hyperlink>
      <w:r>
        <w:rPr>
          <w:vertAlign w:val="superscript"/>
        </w:rPr>
        <w:t xml:space="preserve">]</w:t>
      </w:r>
      <w:r>
        <w:t xml:space="preserve">。这说明毫秒级关系可以影响特定突触的学习规则，同时也显示规则具有条件依赖。</w:t>
      </w:r>
    </w:p>
    <w:p>
      <w:pPr>
        <w:pStyle w:val="BodyText"/>
      </w:pPr>
      <w:r>
        <w:t xml:space="preserve">将这种结果推广到所有脑回路需要谨慎。不同细胞、树突位置、频率和神经调制状态可能产生不同时间窗口。教材中的典型曲线是实验模型，不能当成全脑统一法则，更不能把毫秒窗口直接换成背书时应间隔多少分钟。</w:t>
      </w:r>
    </w:p>
    <w:p>
      <w:pPr>
        <w:pStyle w:val="BodyText"/>
      </w:pPr>
      <w:r>
        <w:t xml:space="preserve">一个模型可以规定，输入略早于输出时权重增加，反向顺序时减弱。这样的规则有助于学习时间预测关系；若事件具有共同原因或复杂延迟，规则还需要额外机制。计算模型可以检验适用任务和失败情境。</w:t>
      </w:r>
    </w:p>
    <w:bookmarkEnd w:id="432"/>
    <w:bookmarkStart w:id="433" w:name="sec-24-12"/>
    <w:p>
      <w:pPr>
        <w:pStyle w:val="Heading3"/>
      </w:pPr>
      <w:r>
        <w:t xml:space="preserve">24.12　突触标记与资源捕获</w:t>
      </w:r>
    </w:p>
    <w:p>
      <w:pPr>
        <w:pStyle w:val="FirstParagraph"/>
      </w:pPr>
      <w:r>
        <w:t xml:space="preserve">Frey与Morris提出并实验检验突触标记思想：较弱活动在局部留下暂时状态，其他活动产生的相关资源可以在一定条件下被该位置利用，使改变更持久</w:t>
      </w:r>
      <w:r>
        <w:rPr>
          <w:vertAlign w:val="superscript"/>
        </w:rPr>
        <w:t xml:space="preserve">[</w:t>
      </w:r>
      <w:hyperlink w:anchor="ref-245">
        <w:r>
          <w:rPr>
            <w:rStyle w:val="Hyperlink"/>
            <w:vertAlign w:val="superscript"/>
          </w:rPr>
          <w:t xml:space="preserve">245</w:t>
        </w:r>
      </w:hyperlink>
      <w:r>
        <w:rPr>
          <w:vertAlign w:val="superscript"/>
        </w:rPr>
        <w:t xml:space="preserve">]</w:t>
      </w:r>
      <w:r>
        <w:t xml:space="preserve">。这个框架解释了局部选择性与较广细胞资源之间的协调问题。</w:t>
      </w:r>
    </w:p>
    <w:p>
      <w:pPr>
        <w:pStyle w:val="BodyText"/>
      </w:pPr>
      <w:r>
        <w:t xml:space="preserve">标记是功能性概念，具体分子实现并不等于一个可见小旗。时间窗口取决于实验条件，不能把某篇研究中的小时数变成通用学习安排。它提出的核心问题是，不同经验之间如何通过共享细胞状态相互影响。</w:t>
      </w:r>
    </w:p>
    <w:p>
      <w:pPr>
        <w:pStyle w:val="BodyText"/>
      </w:pPr>
      <w:r>
        <w:t xml:space="preserve">原创推演：如果两个经验共享部分细胞资源，它们在时间上接近可能产生促进，也可能竞争。结果方向取决于重叠程度、资源限制与具体规则。因此，“所有学习都应尽量挤在一起”与“所有学习都应完全分开”都缺少由该机制直接推出的依据。</w:t>
      </w:r>
    </w:p>
    <w:bookmarkEnd w:id="433"/>
    <w:bookmarkStart w:id="434" w:name="sec-24-13"/>
    <w:p>
      <w:pPr>
        <w:pStyle w:val="Heading3"/>
      </w:pPr>
      <w:r>
        <w:t xml:space="preserve">24.13　稳态调节与活动范围</w:t>
      </w:r>
    </w:p>
    <w:p>
      <w:pPr>
        <w:pStyle w:val="FirstParagraph"/>
      </w:pPr>
      <w:r>
        <w:t xml:space="preserve">Turrigiano等在培养的新皮层神经元中观察到，长时间阻断活动后，兴奋性突触的量子幅度整体按比例增大；长时间提高活动后，量子幅度按比例减小。这种补偿方向的缩放为维持活动范围提供了机制线索</w:t>
      </w:r>
      <w:r>
        <w:rPr>
          <w:vertAlign w:val="superscript"/>
        </w:rPr>
        <w:t xml:space="preserve">[</w:t>
      </w:r>
      <w:hyperlink w:anchor="ref-61">
        <w:r>
          <w:rPr>
            <w:rStyle w:val="Hyperlink"/>
            <w:vertAlign w:val="superscript"/>
          </w:rPr>
          <w:t xml:space="preserve">61</w:t>
        </w:r>
      </w:hyperlink>
      <w:r>
        <w:rPr>
          <w:vertAlign w:val="superscript"/>
        </w:rPr>
        <w:t xml:space="preserve">]</w:t>
      </w:r>
      <w:r>
        <w:t xml:space="preserve">。这类稳态过程与输入特异学习具有不同作用尺度，可以帮助理解网络怎样避免不断放大或沉默。</w:t>
      </w:r>
    </w:p>
    <w:p>
      <w:pPr>
        <w:pStyle w:val="BodyText"/>
      </w:pPr>
      <w:r>
        <w:t xml:space="preserve">一个简化模型中，若所有权重按相同比例缩放，各输入权重之间的比例保持不变，总驱动力随缩放因子改变。真实稳态过程更复杂，选择性和时间尺度可能不同。模型展示的是稳定需求，不能推断每个脑区使用完全相同算法。</w:t>
      </w:r>
    </w:p>
    <w:p>
      <w:pPr>
        <w:pStyle w:val="BodyText"/>
      </w:pPr>
      <w:r>
        <w:t xml:space="preserve">这种机制提醒读者，短期增强之后可能存在补偿。观察时间点不同，得到的指标方向可能不同。要理解学习结果，需要同时考察局部变化、全局活动和行为保持。</w:t>
      </w:r>
    </w:p>
    <w:bookmarkEnd w:id="434"/>
    <w:bookmarkStart w:id="435" w:name="sec-24-14"/>
    <w:p>
      <w:pPr>
        <w:pStyle w:val="Heading3"/>
      </w:pPr>
      <w:r>
        <w:t xml:space="preserve">24.14　元可塑性与经验历史</w:t>
      </w:r>
    </w:p>
    <w:p>
      <w:pPr>
        <w:pStyle w:val="FirstParagraph"/>
      </w:pPr>
      <w:r>
        <w:t xml:space="preserve">元可塑性描述过去活动改变未来可塑性的条件或阈值。Abraham与Bear用这一概念组织实验现象，强调先前经验可以改变下一次刺激的效果，即使当前基线传递未明显改变</w:t>
      </w:r>
      <w:r>
        <w:rPr>
          <w:vertAlign w:val="superscript"/>
        </w:rPr>
        <w:t xml:space="preserve">[</w:t>
      </w:r>
      <w:hyperlink w:anchor="ref-225">
        <w:r>
          <w:rPr>
            <w:rStyle w:val="Hyperlink"/>
            <w:vertAlign w:val="superscript"/>
          </w:rPr>
          <w:t xml:space="preserve">225</w:t>
        </w:r>
      </w:hyperlink>
      <w:r>
        <w:rPr>
          <w:vertAlign w:val="superscript"/>
        </w:rPr>
        <w:t xml:space="preserve">]</w:t>
      </w:r>
      <w:r>
        <w:t xml:space="preserve">。</w:t>
      </w:r>
    </w:p>
    <w:p>
      <w:pPr>
        <w:pStyle w:val="BodyText"/>
      </w:pPr>
      <w:r>
        <w:t xml:space="preserve">因此，相同刺激在两个看似相同的突触上可能产生不同结果，因为其历史状态不同。实验需要记录准备过程和先前活动，行为研究也需要考虑先备知识、近期练习和干扰。两类研究的具体机制不同，却共享“历史影响后续学习”的逻辑结构。</w:t>
      </w:r>
    </w:p>
    <w:p>
      <w:pPr>
        <w:pStyle w:val="BodyText"/>
      </w:pPr>
      <w:r>
        <w:t xml:space="preserve">一个教学模型可以让学习阈值随平均活动调整。持续高活动后，阈值升高，进一步增强更难出现；持续低活动后，阈值降低，增强更容易出现。模型能够探索稳定性，但真实脑中的阈值、分子和回路机制需要独立验证。</w:t>
      </w:r>
    </w:p>
    <w:bookmarkEnd w:id="435"/>
    <w:bookmarkStart w:id="436" w:name="sec-24-15"/>
    <w:p>
      <w:pPr>
        <w:pStyle w:val="Heading3"/>
      </w:pPr>
      <w:r>
        <w:t xml:space="preserve">24.15　从相关到因果的关键证据</w:t>
      </w:r>
    </w:p>
    <w:p>
      <w:pPr>
        <w:pStyle w:val="FirstParagraph"/>
      </w:pPr>
      <w:r>
        <w:t xml:space="preserve">学习后观察到突触变化，说明两者相关。阻断某种变化使学习受损，增加必要性证据；人工改变特定连接并产生或恢复行为，则提供更直接的充分性线索。每种证据都需考虑操纵是否同时影响感知、动作、动机或其他过程</w:t>
      </w:r>
      <w:r>
        <w:rPr>
          <w:vertAlign w:val="superscript"/>
        </w:rPr>
        <w:t xml:space="preserve">[</w:t>
      </w:r>
      <w:hyperlink w:anchor="ref-240">
        <w:r>
          <w:rPr>
            <w:rStyle w:val="Hyperlink"/>
            <w:vertAlign w:val="superscript"/>
          </w:rPr>
          <w:t xml:space="preserve">240</w:t>
        </w:r>
      </w:hyperlink>
      <w:r>
        <w:rPr>
          <w:vertAlign w:val="superscript"/>
        </w:rPr>
        <w:t xml:space="preserve">]</w:t>
      </w:r>
      <w:r>
        <w:t xml:space="preserve">。</w:t>
      </w:r>
    </w:p>
    <w:p>
      <w:pPr>
        <w:pStyle w:val="BodyText"/>
      </w:pPr>
      <w:r>
        <w:t xml:space="preserve">Tsien等通过海马CA1相关NMDA受体遗传操纵，研究突触可塑性与空间记忆关系，发现特定学习受损而某些非空间学习保留</w:t>
      </w:r>
      <w:r>
        <w:rPr>
          <w:vertAlign w:val="superscript"/>
        </w:rPr>
        <w:t xml:space="preserve">[</w:t>
      </w:r>
      <w:hyperlink w:anchor="ref-246">
        <w:r>
          <w:rPr>
            <w:rStyle w:val="Hyperlink"/>
            <w:vertAlign w:val="superscript"/>
          </w:rPr>
          <w:t xml:space="preserve">246</w:t>
        </w:r>
      </w:hyperlink>
      <w:r>
        <w:rPr>
          <w:vertAlign w:val="superscript"/>
        </w:rPr>
        <w:t xml:space="preserve">]</w:t>
      </w:r>
      <w:r>
        <w:t xml:space="preserve">。这种结果帮助定位过程，同时遗传操纵的发育和网络影响仍需考虑。</w:t>
      </w:r>
    </w:p>
    <w:p>
      <w:pPr>
        <w:pStyle w:val="BodyText"/>
      </w:pPr>
      <w:r>
        <w:t xml:space="preserve">Nabavi等在特定动物恐惧回路中用光遗传方式配合增强与减弱程序，改变记忆相关行为表达，为突触效能与特定关联记忆之间提供了因果支持</w:t>
      </w:r>
      <w:r>
        <w:rPr>
          <w:vertAlign w:val="superscript"/>
        </w:rPr>
        <w:t xml:space="preserve">[</w:t>
      </w:r>
      <w:hyperlink w:anchor="ref-247">
        <w:r>
          <w:rPr>
            <w:rStyle w:val="Hyperlink"/>
            <w:vertAlign w:val="superscript"/>
          </w:rPr>
          <w:t xml:space="preserve">247</w:t>
        </w:r>
      </w:hyperlink>
      <w:r>
        <w:rPr>
          <w:vertAlign w:val="superscript"/>
        </w:rPr>
        <w:t xml:space="preserve">]</w:t>
      </w:r>
      <w:r>
        <w:t xml:space="preserve">。精细回路操纵的结论不能直接扩展到任意人类自传记忆。</w:t>
      </w:r>
    </w:p>
    <w:bookmarkEnd w:id="436"/>
    <w:bookmarkStart w:id="437" w:name="sec-24-16"/>
    <w:p>
      <w:pPr>
        <w:pStyle w:val="Heading3"/>
      </w:pPr>
      <w:r>
        <w:t xml:space="preserve">24.16　一个权重学习模型</w:t>
      </w:r>
    </w:p>
    <w:p>
      <w:pPr>
        <w:pStyle w:val="FirstParagraph"/>
      </w:pPr>
      <w:r>
        <w:t xml:space="preserve">考虑两个输入 x1 和 x2，输出 y 由 w1x1 加 w2x2 得到。假设目标结果为 t，可以用误差 t减y 调整权重。若 x1 在目标出现时经常活跃，它的权重可能逐渐增加；若 x2 与目标无稳定关系，它的更新可能相互抵消。这个模型展示了学习如何利用预测关系。</w:t>
      </w:r>
    </w:p>
    <w:p>
      <w:pPr>
        <w:pStyle w:val="BodyText"/>
      </w:pPr>
      <w:r>
        <w:t xml:space="preserve">真实神经系统不会直接获得一个全局标准答案，也不一定使用这种精确规则。模型仍能帮助提出信用分配问题：结果发生后，哪些早先活动应得到调整？时间延迟、多个同时输入和部分观察都使问题复杂。</w:t>
      </w:r>
    </w:p>
    <w:p>
      <w:pPr>
        <w:pStyle w:val="BodyText"/>
      </w:pPr>
      <w:r>
        <w:t xml:space="preserve">教育中的反馈同样面对归因。学生得到总分低，只知道结果不理想；若反馈指出错误步骤，更新更有针对性。这个类比关注信息结构，无法证明教学反馈与某个分子规则一一对应。</w:t>
      </w:r>
    </w:p>
    <w:bookmarkEnd w:id="437"/>
    <w:bookmarkStart w:id="438" w:name="sec-24-17"/>
    <w:p>
      <w:pPr>
        <w:pStyle w:val="Heading3"/>
      </w:pPr>
      <w:r>
        <w:t xml:space="preserve">24.17　权重饱和与竞争的算例</w:t>
      </w:r>
    </w:p>
    <w:p>
      <w:pPr>
        <w:pStyle w:val="FirstParagraph"/>
      </w:pPr>
      <w:r>
        <w:t xml:space="preserve">设两个权重初始都为一，每次共同活动都增加零点一。若没有任何限制，一百次后两者都达到十一。输出会越来越大，但对两个输入的区分没有改善。总活动增加与信息质量提高在这个模型中明显分离。</w:t>
      </w:r>
    </w:p>
    <w:p>
      <w:pPr>
        <w:pStyle w:val="BodyText"/>
      </w:pPr>
      <w:r>
        <w:t xml:space="preserve">若加入总权重归一化，使两者之和保持为二，增强一条连接就需要调整另一条。系统开始形成竞争。若目标确实只依赖其中一个输入，这可能有利；若两条输入都包含必要信息，过强竞争又可能损害表现。规则价值取决于任务结构。</w:t>
      </w:r>
    </w:p>
    <w:p>
      <w:pPr>
        <w:pStyle w:val="BodyText"/>
      </w:pPr>
      <w:r>
        <w:t xml:space="preserve">这个算例说明，不能把单一增强机制孤立当成完整学习系统。稳定、选择、组合和噪声处理都需要考虑。生物脑的多种可塑性形式可以被理解为解决不同约束的候选机制。</w:t>
      </w:r>
    </w:p>
    <w:bookmarkEnd w:id="438"/>
    <w:bookmarkStart w:id="439" w:name="sec-24-18"/>
    <w:p>
      <w:pPr>
        <w:pStyle w:val="Heading3"/>
      </w:pPr>
      <w:r>
        <w:t xml:space="preserve">24.18　遗忘与可塑性</w:t>
      </w:r>
    </w:p>
    <w:p>
      <w:pPr>
        <w:pStyle w:val="FirstParagraph"/>
      </w:pPr>
      <w:r>
        <w:t xml:space="preserve">遗忘可能来自痕迹改变、干扰、提取线索不足、情境不匹配或主动控制等多种过程。突触减弱可以参与某些机制，却无法独自解释所有行为遗忘。一次无法回忆，不能直接推断相关连接已经消失。</w:t>
      </w:r>
    </w:p>
    <w:p>
      <w:pPr>
        <w:pStyle w:val="BodyText"/>
      </w:pPr>
      <w:r>
        <w:t xml:space="preserve">再学习速度、提示恢复和跨情境测试可以提供线索。如果重新学习明显更快，可能说明部分信息仍保留；如果换线索后恢复，说明访问条件重要。结果仍需具体模型解释，不能把任何恢复都当成完整痕迹永久保存的证明。</w:t>
      </w:r>
    </w:p>
    <w:p>
      <w:pPr>
        <w:pStyle w:val="BodyText"/>
      </w:pPr>
      <w:r>
        <w:t xml:space="preserve">从系统角度，适当遗忘可能减少过时信息干扰。任务需要保留什么、更新什么，由环境和目标决定。学习优化应同时关注保持与灵活更新。</w:t>
      </w:r>
    </w:p>
    <w:bookmarkEnd w:id="439"/>
    <w:bookmarkStart w:id="440" w:name="sec-24-19"/>
    <w:p>
      <w:pPr>
        <w:pStyle w:val="Heading3"/>
      </w:pPr>
      <w:r>
        <w:t xml:space="preserve">24.19　突触机制与课堂时间尺度</w:t>
      </w:r>
    </w:p>
    <w:p>
      <w:pPr>
        <w:pStyle w:val="FirstParagraph"/>
      </w:pPr>
      <w:r>
        <w:t xml:space="preserve">课堂中的分钟、天和周，与细胞事件的毫秒、分钟和小时之间存在多层转换。一次复习会重新激活多种表征，改变注意、策略和检索路径，还可能影响之后的睡眠与应用。单一细胞窗口无法直接决定最佳复习日历。</w:t>
      </w:r>
    </w:p>
    <w:p>
      <w:pPr>
        <w:pStyle w:val="BodyText"/>
      </w:pPr>
      <w:r>
        <w:t xml:space="preserve">教育方案应首先依据目标任务的行为证据，再用机制研究帮助解释和提出新预测。若某种间隔方法在可靠课堂研究中有效，机制尚不完全清楚，它仍可具有实践价值；若机制听起来合理而行为结果缺少支持，应用结论需要保持谨慎。</w:t>
      </w:r>
    </w:p>
    <w:p>
      <w:pPr>
        <w:pStyle w:val="BodyText"/>
      </w:pPr>
      <w:r>
        <w:t xml:space="preserve">这也是跨层研究的重要任务：把可测的学习成分与神经过程对应，设计能区分竞争机制的实验。神经解释越具体，越需要明确它覆盖哪一段因果链。</w:t>
      </w:r>
    </w:p>
    <w:bookmarkEnd w:id="440"/>
    <w:bookmarkStart w:id="441" w:name="sec-24-20"/>
    <w:p>
      <w:pPr>
        <w:pStyle w:val="Heading3"/>
      </w:pPr>
      <w:r>
        <w:t xml:space="preserve">24.20　三因素规则与延迟信用分配</w:t>
      </w:r>
    </w:p>
    <w:p>
      <w:pPr>
        <w:pStyle w:val="FirstParagraph"/>
      </w:pPr>
      <w:r>
        <w:t xml:space="preserve">行为结果往往晚于导致它的动作，细胞活动与反馈之间因此存在时间间隔。三因素学习框架提出，局部前后活动可以留下暂时的资格痕迹，之后出现的调节信号决定这些位置怎样改变。Gerstner等综合了相关实验与理论，讨论这种机制如何连接神经事件和行为时间尺度</w:t>
      </w:r>
      <w:r>
        <w:rPr>
          <w:vertAlign w:val="superscript"/>
        </w:rPr>
        <w:t xml:space="preserve">[</w:t>
      </w:r>
      <w:hyperlink w:anchor="ref-248">
        <w:r>
          <w:rPr>
            <w:rStyle w:val="Hyperlink"/>
            <w:vertAlign w:val="superscript"/>
          </w:rPr>
          <w:t xml:space="preserve">248</w:t>
        </w:r>
      </w:hyperlink>
      <w:r>
        <w:rPr>
          <w:vertAlign w:val="superscript"/>
        </w:rPr>
        <w:t xml:space="preserve">]</w:t>
      </w:r>
      <w:r>
        <w:t xml:space="preserve">。</w:t>
      </w:r>
    </w:p>
    <w:p>
      <w:pPr>
        <w:pStyle w:val="BodyText"/>
      </w:pPr>
      <w:r>
        <w:t xml:space="preserve">一个原创模型可以把资格痕迹写成随时间衰减的变量。动作刚发生时痕迹较大，时间过去后逐渐变小；反馈到达时，权重更新量取决于剩余痕迹与反馈信号。痕迹太短，结果到来时已经无法找到有关活动；痕迹太长，许多无关动作也可能获得相似更新。合适时间尺度依任务结构而变。</w:t>
      </w:r>
    </w:p>
    <w:p>
      <w:pPr>
        <w:pStyle w:val="BodyText"/>
      </w:pPr>
      <w:r>
        <w:t xml:space="preserve">设三个动作依次发生，只有最后一个真正导致成功。若反馈在所有痕迹仍相近时到来，系统可能难以确定贡献；若第三个动作拥有更强或更独特痕迹，信用分配可以更精确。这个模型说明，延迟学习需要保存关于先前活动的信息，单个瞬时奖励信号并不足够。</w:t>
      </w:r>
    </w:p>
    <w:p>
      <w:pPr>
        <w:pStyle w:val="BodyText"/>
      </w:pPr>
      <w:r>
        <w:t xml:space="preserve">第三因素可以在理论中表示奖励误差、意外性或其他调节信息，不同回路可能使用不同实现。把所有调节都称为多巴胺，或者把任何多巴胺变化都称为奖励，都会丢失机制差别。具体信号的来源、时序和靶点需要实验识别。</w:t>
      </w:r>
    </w:p>
    <w:p>
      <w:pPr>
        <w:pStyle w:val="BodyText"/>
      </w:pPr>
      <w:r>
        <w:t xml:space="preserve">在教育类比中，及时且指向具体步骤的反馈，能够减少学生把成功或失败归因到无关行为的机会。若只在很久以后给一个总分，学生可能难以知道应该修改哪个环节。这个类比提供任务分析启发，无法由细胞痕迹时间直接推导课堂反馈必须在某一秒内完成。</w:t>
      </w:r>
    </w:p>
    <w:p>
      <w:pPr>
        <w:pStyle w:val="BodyText"/>
      </w:pPr>
      <w:r>
        <w:t xml:space="preserve">更复杂任务还需要层级信用分配。一个解题策略可能在多步之后才显示价值，系统需要表示子目标、规则和长期结果。短时间资格痕迹可以承担局部联系，长期知识和推理又提供其他支持。学习机制因此包含多个相互配合的时间尺度。</w:t>
      </w:r>
    </w:p>
    <w:bookmarkEnd w:id="441"/>
    <w:bookmarkStart w:id="442" w:name="sec-24-21"/>
    <w:p>
      <w:pPr>
        <w:pStyle w:val="Heading3"/>
      </w:pPr>
      <w:r>
        <w:t xml:space="preserve">24.21　研究前沿中的开放问题</w:t>
      </w:r>
    </w:p>
    <w:p>
      <w:pPr>
        <w:pStyle w:val="FirstParagraph"/>
      </w:pPr>
      <w:r>
        <w:t xml:space="preserve">记忆如何在分子持续更新的情况下长期保持，多个记忆怎样共享细胞而减少干扰，哪些连接改变真正承载内容，哪些只是支持状态，仍是重要问题。不同任务、脑区和时间尺度可能需要不同答案</w:t>
      </w:r>
      <w:r>
        <w:rPr>
          <w:vertAlign w:val="superscript"/>
        </w:rPr>
        <w:t xml:space="preserve">[</w:t>
      </w:r>
      <w:hyperlink w:anchor="ref-240">
        <w:r>
          <w:rPr>
            <w:rStyle w:val="Hyperlink"/>
            <w:vertAlign w:val="superscript"/>
          </w:rPr>
          <w:t xml:space="preserve">240</w:t>
        </w:r>
      </w:hyperlink>
      <w:r>
        <w:rPr>
          <w:vertAlign w:val="superscript"/>
        </w:rPr>
        <w:t xml:space="preserve">,</w:t>
      </w:r>
      <w:hyperlink w:anchor="ref-242">
        <w:r>
          <w:rPr>
            <w:rStyle w:val="Hyperlink"/>
            <w:vertAlign w:val="superscript"/>
          </w:rPr>
          <w:t xml:space="preserve">242</w:t>
        </w:r>
      </w:hyperlink>
      <w:r>
        <w:rPr>
          <w:vertAlign w:val="superscript"/>
        </w:rPr>
        <w:t xml:space="preserve">]</w:t>
      </w:r>
      <w:r>
        <w:t xml:space="preserve">。</w:t>
      </w:r>
    </w:p>
    <w:p>
      <w:pPr>
        <w:pStyle w:val="BodyText"/>
      </w:pPr>
      <w:r>
        <w:t xml:space="preserve">新方法可以更精细地记录和操纵细胞群、突触及行为，但精细技术并不会自动解决理论识别。标记的细胞群可能参与编码、检索或动作表达，操纵结果需要结合时序和对照。对“记忆痕迹”的定义应保持操作清楚。</w:t>
      </w:r>
    </w:p>
    <w:p>
      <w:pPr>
        <w:pStyle w:val="BodyText"/>
      </w:pPr>
      <w:r>
        <w:t xml:space="preserve">对本章主要判断，置信度可以分层：活动依赖突触改变广泛存在为高；某些形式参与特定动物学习为高；所有人类知识都可由单一突触规则完整解释为低支持；由某种脑刺激直接获得通用学习增强的承诺仍需具体试验。</w:t>
      </w:r>
    </w:p>
    <w:bookmarkEnd w:id="442"/>
    <w:bookmarkStart w:id="443" w:name="sec-24-22"/>
    <w:p>
      <w:pPr>
        <w:pStyle w:val="Heading3"/>
      </w:pPr>
      <w:r>
        <w:t xml:space="preserve">24.22　综合问题与解析</w:t>
      </w:r>
    </w:p>
    <w:p>
      <w:pPr>
        <w:pStyle w:val="FirstParagraph"/>
      </w:pPr>
      <w:r>
        <w:t xml:space="preserve">问题一：诱导后群体放电变大，突触后电位未变，能否断言突触权重增强？解析：细胞兴奋性或阈值变化可以解释部分结果，需要进一步记录和操纵。生理指标的层级决定推论范围。</w:t>
      </w:r>
    </w:p>
    <w:p>
      <w:pPr>
        <w:pStyle w:val="BodyText"/>
      </w:pPr>
      <w:r>
        <w:t xml:space="preserve">问题二：某分子阻断后动物学习受损，能否证明它专门保存记忆内容？解析：该分子可能同时影响感知、运动、注意或发育。需要时间特异、位置特异和功能控制，才能更接近存储机制。</w:t>
      </w:r>
    </w:p>
    <w:p>
      <w:pPr>
        <w:pStyle w:val="BodyText"/>
      </w:pPr>
      <w:r>
        <w:t xml:space="preserve">问题三：两种训练诱导相同平均增强，却产生不同迁移，可能是什么原因？解析：被改变的连接位置、表征内容、网络组织、策略与提取线索都可能不同。平均增强量无法概括信息结构。</w:t>
      </w:r>
    </w:p>
    <w:p>
      <w:pPr>
        <w:pStyle w:val="BodyText"/>
      </w:pPr>
      <w:r>
        <w:t xml:space="preserve">问题四：一个模型只有增强规则，训练后所有输入都产生很强输出，为什么准确率可能下降？解析：相关与无关输入的区分减少，噪声和竞争可能增加，输出还可能饱和。学习需要选择性和稳定性约束。</w:t>
      </w:r>
    </w:p>
    <w:p>
      <w:pPr>
        <w:pStyle w:val="BodyText"/>
      </w:pPr>
      <w:r>
        <w:t xml:space="preserve">问题五：细胞实验存在数小时标记窗口，是否意味着学生必须在相同小时数内复习？解析：细胞窗口与复杂行为之间存在多层机制，直接时间换算缺少证据。复习安排应依据材料、保持目标和行为研究。</w:t>
      </w:r>
    </w:p>
    <w:p>
      <w:pPr>
        <w:pStyle w:val="BodyText"/>
      </w:pPr>
      <w:r>
        <w:t xml:space="preserve">问题六：某些旧记忆仍能在提示下恢复，这对突触理论有什么约束？解析：理论需要区分存储、访问和表达，并解释提示怎样重新激活有关网络。恢复提示部分信息保留，不能证明全部细节始终完整无误。</w:t>
      </w:r>
    </w:p>
    <w:bookmarkEnd w:id="443"/>
    <w:bookmarkEnd w:id="444"/>
    <w:bookmarkStart w:id="471" w:name="ch-25"/>
    <w:p>
      <w:pPr>
        <w:pStyle w:val="Heading2"/>
      </w:pPr>
      <w:r>
        <w:t xml:space="preserve">第25章　记忆系统与知识组织</w:t>
      </w:r>
    </w:p>
    <w:bookmarkStart w:id="446" w:name="sec-25-1"/>
    <w:p>
      <w:pPr>
        <w:pStyle w:val="Heading3"/>
      </w:pPr>
      <w:r>
        <w:t xml:space="preserve">25.1　记忆问题的任务映射</w:t>
      </w:r>
    </w:p>
    <w:p>
      <w:pPr>
        <w:pStyle w:val="FirstParagraph"/>
      </w:pPr>
      <w:r>
        <w:t xml:space="preserve">下表把记忆研究中的问题映射到可观察任务。每种任务都包含多个过程，结果解释需要结合操作条件</w:t>
      </w:r>
      <w:r>
        <w:rPr>
          <w:vertAlign w:val="superscript"/>
        </w:rPr>
        <w:t xml:space="preserve">[</w:t>
      </w:r>
      <w:hyperlink w:anchor="ref-249">
        <w:r>
          <w:rPr>
            <w:rStyle w:val="Hyperlink"/>
            <w:vertAlign w:val="superscript"/>
          </w:rPr>
          <w:t xml:space="preserve">249</w:t>
        </w:r>
      </w:hyperlink>
      <w:r>
        <w:rPr>
          <w:vertAlign w:val="superscript"/>
        </w:rPr>
        <w:t xml:space="preserve">,</w:t>
      </w:r>
      <w:hyperlink w:anchor="ref-250">
        <w:r>
          <w:rPr>
            <w:rStyle w:val="Hyperlink"/>
            <w:vertAlign w:val="superscript"/>
          </w:rPr>
          <w:t xml:space="preserve">250</w:t>
        </w:r>
      </w:hyperlink>
      <w:r>
        <w:rPr>
          <w:vertAlign w:val="superscript"/>
        </w:rPr>
        <w:t xml:space="preserve">]</w:t>
      </w:r>
      <w:r>
        <w:t xml:space="preserve">。</w:t>
      </w:r>
    </w:p>
    <w:p>
      <w:pPr>
        <w:pStyle w:val="TableCaption"/>
      </w:pPr>
      <w:bookmarkStart w:id="445" w:name="tab-memory-tasks"/>
      <w:bookmarkEnd w:id="445"/>
      <w:r>
        <w:rPr>
          <w:bCs/>
          <w:b/>
        </w:rPr>
        <w:t xml:space="preserve">表 9　记忆研究的问题与可观察任务</w:t>
      </w:r>
    </w:p>
    <w:tbl>
      <w:tblPr>
        <w:tblStyle w:val="Table"/>
        <w:tblW w:type="pct" w:w="5000"/>
        <w:jc w:val="start"/>
        <w:tblLook w:firstRow="1" w:lastRow="0" w:firstColumn="0" w:lastColumn="0" w:noHBand="0" w:noVBand="0" w:val="0020"/>
      </w:tblPr>
      <w:tblGrid>
        <w:gridCol w:w="1458"/>
        <w:gridCol w:w="3126"/>
        <w:gridCol w:w="3334"/>
      </w:tblGrid>
      <w:tr>
        <w:trPr>
          <w:tblHeader w:val="true"/>
        </w:trPr>
        <w:tc>
          <w:tcPr>
            <w:shd w:val="clear" w:color="auto" w:fill="1F3A5F"/>
          </w:tcPr>
          <w:p>
            <w:pPr>
              <w:pStyle w:val="Compact"/>
              <w:jc w:val="left"/>
            </w:pPr>
            <w:r>
              <w:rPr>
                <w:bCs/>
                <w:b/>
                <w:color w:val="FFFFFF"/>
              </w:rPr>
              <w:t xml:space="preserve">研究目标</w:t>
            </w:r>
          </w:p>
        </w:tc>
        <w:tc>
          <w:tcPr>
            <w:shd w:val="clear" w:color="auto" w:fill="1F3A5F"/>
          </w:tcPr>
          <w:p>
            <w:pPr>
              <w:pStyle w:val="Compact"/>
              <w:jc w:val="left"/>
            </w:pPr>
            <w:r>
              <w:rPr>
                <w:bCs/>
                <w:b/>
                <w:color w:val="FFFFFF"/>
              </w:rPr>
              <w:t xml:space="preserve">可用任务与关键表现</w:t>
            </w:r>
          </w:p>
        </w:tc>
        <w:tc>
          <w:tcPr>
            <w:shd w:val="clear" w:color="auto" w:fill="1F3A5F"/>
          </w:tcPr>
          <w:p>
            <w:pPr>
              <w:pStyle w:val="Compact"/>
              <w:jc w:val="left"/>
            </w:pPr>
            <w:r>
              <w:rPr>
                <w:bCs/>
                <w:b/>
                <w:color w:val="FFFFFF"/>
              </w:rPr>
              <w:t xml:space="preserve">主要解释边界</w:t>
            </w:r>
          </w:p>
        </w:tc>
      </w:tr>
      <w:tr>
        <w:tc>
          <w:tcPr/>
          <w:p>
            <w:pPr>
              <w:pStyle w:val="Compact"/>
              <w:jc w:val="left"/>
            </w:pPr>
            <w:r>
              <w:t xml:space="preserve">事件及情境关系</w:t>
            </w:r>
          </w:p>
        </w:tc>
        <w:tc>
          <w:tcPr/>
          <w:p>
            <w:pPr>
              <w:pStyle w:val="Compact"/>
              <w:jc w:val="left"/>
            </w:pPr>
            <w:r>
              <w:t xml:space="preserve">回忆发生过的事件并指出时间、地点</w:t>
            </w:r>
          </w:p>
        </w:tc>
        <w:tc>
          <w:tcPr/>
          <w:p>
            <w:pPr>
              <w:pStyle w:val="Compact"/>
              <w:jc w:val="left"/>
            </w:pPr>
            <w:r>
              <w:t xml:space="preserve">细节报告需要来源核查</w:t>
            </w:r>
          </w:p>
        </w:tc>
      </w:tr>
      <w:tr>
        <w:tc>
          <w:tcPr/>
          <w:p>
            <w:pPr>
              <w:pStyle w:val="Compact"/>
              <w:jc w:val="left"/>
            </w:pPr>
            <w:r>
              <w:t xml:space="preserve">概念知识组织</w:t>
            </w:r>
          </w:p>
        </w:tc>
        <w:tc>
          <w:tcPr/>
          <w:p>
            <w:pPr>
              <w:pStyle w:val="Compact"/>
              <w:jc w:val="left"/>
            </w:pPr>
            <w:r>
              <w:t xml:space="preserve">定义术语并判断新例是否符合概念</w:t>
            </w:r>
          </w:p>
        </w:tc>
        <w:tc>
          <w:tcPr/>
          <w:p>
            <w:pPr>
              <w:pStyle w:val="Compact"/>
              <w:jc w:val="left"/>
            </w:pPr>
            <w:r>
              <w:t xml:space="preserve">熟悉词形不能单独代表理解</w:t>
            </w:r>
          </w:p>
        </w:tc>
      </w:tr>
      <w:tr>
        <w:tc>
          <w:tcPr/>
          <w:p>
            <w:pPr>
              <w:pStyle w:val="Compact"/>
              <w:jc w:val="left"/>
            </w:pPr>
            <w:r>
              <w:t xml:space="preserve">技能逐步获得</w:t>
            </w:r>
          </w:p>
        </w:tc>
        <w:tc>
          <w:tcPr/>
          <w:p>
            <w:pPr>
              <w:pStyle w:val="Compact"/>
              <w:jc w:val="left"/>
            </w:pPr>
            <w:r>
              <w:t xml:space="preserve">比较练习前后执行精度与速度</w:t>
            </w:r>
          </w:p>
        </w:tc>
        <w:tc>
          <w:tcPr/>
          <w:p>
            <w:pPr>
              <w:pStyle w:val="Compact"/>
              <w:jc w:val="left"/>
            </w:pPr>
            <w:r>
              <w:t xml:space="preserve">应区分特定动作熟练与广泛迁移</w:t>
            </w:r>
          </w:p>
        </w:tc>
      </w:tr>
      <w:tr>
        <w:tc>
          <w:tcPr/>
          <w:p>
            <w:pPr>
              <w:pStyle w:val="Compact"/>
              <w:jc w:val="left"/>
            </w:pPr>
            <w:r>
              <w:t xml:space="preserve">熟悉刺激的促进</w:t>
            </w:r>
          </w:p>
        </w:tc>
        <w:tc>
          <w:tcPr/>
          <w:p>
            <w:pPr>
              <w:pStyle w:val="Compact"/>
              <w:jc w:val="left"/>
            </w:pPr>
            <w:r>
              <w:t xml:space="preserve">检验先前接触是否改变后续加工</w:t>
            </w:r>
          </w:p>
        </w:tc>
        <w:tc>
          <w:tcPr/>
          <w:p>
            <w:pPr>
              <w:pStyle w:val="Compact"/>
              <w:jc w:val="left"/>
            </w:pPr>
            <w:r>
              <w:t xml:space="preserve">促进程度不能直接换算成有意识回忆</w:t>
            </w:r>
          </w:p>
        </w:tc>
      </w:tr>
      <w:tr>
        <w:tc>
          <w:tcPr/>
          <w:p>
            <w:pPr>
              <w:pStyle w:val="Compact"/>
              <w:jc w:val="left"/>
            </w:pPr>
            <w:r>
              <w:t xml:space="preserve">未来意图执行</w:t>
            </w:r>
          </w:p>
        </w:tc>
        <w:tc>
          <w:tcPr/>
          <w:p>
            <w:pPr>
              <w:pStyle w:val="Compact"/>
              <w:jc w:val="left"/>
            </w:pPr>
            <w:r>
              <w:t xml:space="preserve">在适当时机完成先前约定的行动</w:t>
            </w:r>
          </w:p>
        </w:tc>
        <w:tc>
          <w:tcPr/>
          <w:p>
            <w:pPr>
              <w:pStyle w:val="Compact"/>
              <w:jc w:val="left"/>
            </w:pPr>
            <w:r>
              <w:t xml:space="preserve">还涉及时间监控与目标管理</w:t>
            </w:r>
          </w:p>
        </w:tc>
      </w:tr>
      <w:tr>
        <w:tc>
          <w:tcPr/>
          <w:p>
            <w:pPr>
              <w:pStyle w:val="Compact"/>
              <w:jc w:val="left"/>
            </w:pPr>
            <w:r>
              <w:t xml:space="preserve">多来源知识整合</w:t>
            </w:r>
          </w:p>
        </w:tc>
        <w:tc>
          <w:tcPr/>
          <w:p>
            <w:pPr>
              <w:pStyle w:val="Compact"/>
              <w:jc w:val="left"/>
            </w:pPr>
            <w:r>
              <w:t xml:space="preserve">把分散信息用于新的关系判断</w:t>
            </w:r>
          </w:p>
        </w:tc>
        <w:tc>
          <w:tcPr/>
          <w:p>
            <w:pPr>
              <w:pStyle w:val="Compact"/>
              <w:jc w:val="left"/>
            </w:pPr>
            <w:r>
              <w:t xml:space="preserve">需要排除仅依赖单一线索的捷径</w:t>
            </w:r>
          </w:p>
        </w:tc>
      </w:tr>
    </w:tbl>
    <w:bookmarkEnd w:id="446"/>
    <w:bookmarkStart w:id="447" w:name="sec-25-2"/>
    <w:p>
      <w:pPr>
        <w:pStyle w:val="Heading3"/>
      </w:pPr>
      <w:r>
        <w:t xml:space="preserve">25.2　记忆的分类服务于解释</w:t>
      </w:r>
    </w:p>
    <w:p>
      <w:pPr>
        <w:pStyle w:val="FirstParagraph"/>
      </w:pPr>
      <w:r>
        <w:t xml:space="preserve">记忆包含多种表现：说出昨天发生的事，知道一个词的含义，熟练系鞋带，在再次见到图形时更快识别，以及遇到某线索产生预期。这些表现提出不同的计算要求。分类的目的，是把可区分的功能与机制组织起来，帮助解释为什么某种损伤或干预影响一类任务，却保留另一类。</w:t>
      </w:r>
    </w:p>
    <w:p>
      <w:pPr>
        <w:pStyle w:val="BodyText"/>
      </w:pPr>
      <w:r>
        <w:t xml:space="preserve">分类也有边界。一个日常任务常同时调用多种过程，类别之间存在互动，实验测量很少具有完全纯度。地图导航可以包含地点记忆、路线习惯、工作记忆和目标选择；写作可以包含语义知识、个人经历和熟练动作。把任务直接贴到一个脑区或单一系统上，会丢失这种协作。</w:t>
      </w:r>
    </w:p>
    <w:p>
      <w:pPr>
        <w:pStyle w:val="BodyText"/>
      </w:pPr>
      <w:r>
        <w:t xml:space="preserve">本章采用功能与机制相结合的视角。多个记忆过程可区分这一判断具有高支持；每个过程具有完全独立、边界固定的脑器官这一强解释缺少支持。研究需要把任务、表征、学习规则和神经网络联系起来</w:t>
      </w:r>
      <w:r>
        <w:rPr>
          <w:vertAlign w:val="superscript"/>
        </w:rPr>
        <w:t xml:space="preserve">[</w:t>
      </w:r>
      <w:hyperlink w:anchor="ref-249">
        <w:r>
          <w:rPr>
            <w:rStyle w:val="Hyperlink"/>
            <w:vertAlign w:val="superscript"/>
          </w:rPr>
          <w:t xml:space="preserve">249</w:t>
        </w:r>
      </w:hyperlink>
      <w:r>
        <w:rPr>
          <w:vertAlign w:val="superscript"/>
        </w:rPr>
        <w:t xml:space="preserve">]</w:t>
      </w:r>
      <w:r>
        <w:t xml:space="preserve">。</w:t>
      </w:r>
    </w:p>
    <w:bookmarkEnd w:id="447"/>
    <w:bookmarkStart w:id="448" w:name="sec-25-3"/>
    <w:p>
      <w:pPr>
        <w:pStyle w:val="Heading3"/>
      </w:pPr>
      <w:r>
        <w:t xml:space="preserve">25.3　即时保持与长期知识</w:t>
      </w:r>
    </w:p>
    <w:p>
      <w:pPr>
        <w:pStyle w:val="FirstParagraph"/>
      </w:pPr>
      <w:r>
        <w:t xml:space="preserve">即时保持用于维持当前任务需要的信息，例如记住刚听到的号码直到拨出。长期知识在较长时间后仍可被提取，例如熟悉的词义和人生经历。两者并非简单由一个时间阈值切开：短时间任务也会借助长期知识，长期回忆又需要当前控制和注意。</w:t>
      </w:r>
    </w:p>
    <w:p>
      <w:pPr>
        <w:pStyle w:val="BodyText"/>
      </w:pPr>
      <w:r>
        <w:t xml:space="preserve">设两个人都听到一串字母，熟悉其中缩写的人可以用已有知识形成组块，陌生者需要逐个保持。任务延迟相同，内部依赖不同。解释容量差异时，需要考虑材料结构和先备知识。</w:t>
      </w:r>
    </w:p>
    <w:p>
      <w:pPr>
        <w:pStyle w:val="BodyText"/>
      </w:pPr>
      <w:r>
        <w:t xml:space="preserve">即时表现也可能因为注意转移而下降，长期知识却仍存在。外部提示恢复任务状态后，内容可以再次被访问。时间长短、存储状态与当前可访问性应分别分析。</w:t>
      </w:r>
    </w:p>
    <w:bookmarkEnd w:id="448"/>
    <w:bookmarkStart w:id="449" w:name="sec-25-4"/>
    <w:p>
      <w:pPr>
        <w:pStyle w:val="Heading3"/>
      </w:pPr>
      <w:r>
        <w:t xml:space="preserve">25.4　陈述性记忆的核心问题</w:t>
      </w:r>
    </w:p>
    <w:p>
      <w:pPr>
        <w:pStyle w:val="FirstParagraph"/>
      </w:pPr>
      <w:r>
        <w:t xml:space="preserve">陈述性记忆通常涉及能够用于回忆或再认的事实与事件。内侧颞叶及相关网络对某些新记忆形成具有重要作用，海马周围皮层也参与这一系统。这个名称描述功能特征，不能把能说出来当成唯一判据，因为语言和报告能力本身可能受限</w:t>
      </w:r>
      <w:r>
        <w:rPr>
          <w:vertAlign w:val="superscript"/>
        </w:rPr>
        <w:t xml:space="preserve">[</w:t>
      </w:r>
      <w:hyperlink w:anchor="ref-249">
        <w:r>
          <w:rPr>
            <w:rStyle w:val="Hyperlink"/>
            <w:vertAlign w:val="superscript"/>
          </w:rPr>
          <w:t xml:space="preserve">249</w:t>
        </w:r>
      </w:hyperlink>
      <w:r>
        <w:rPr>
          <w:vertAlign w:val="superscript"/>
        </w:rPr>
        <w:t xml:space="preserve">]</w:t>
      </w:r>
      <w:r>
        <w:t xml:space="preserve">。</w:t>
      </w:r>
    </w:p>
    <w:p>
      <w:pPr>
        <w:pStyle w:val="BodyText"/>
      </w:pPr>
      <w:r>
        <w:t xml:space="preserve">一个人可以通过指认、选择或非语言重建表达记忆。相反，流畅讲述也可能包含推测和熟悉知识。测验需要说明它要求回忆具体事件、辨认熟悉项目，还是根据一般知识推断。</w:t>
      </w:r>
    </w:p>
    <w:p>
      <w:pPr>
        <w:pStyle w:val="BodyText"/>
      </w:pPr>
      <w:r>
        <w:t xml:space="preserve">陈述性知识有时很快形成，例如一次重要会面；有时通过多次经验逐步建立。学习速度依材料、注意和已有结构，不能把它统一规定为一次学习系统。</w:t>
      </w:r>
    </w:p>
    <w:bookmarkEnd w:id="449"/>
    <w:bookmarkStart w:id="450" w:name="sec-25-5"/>
    <w:p>
      <w:pPr>
        <w:pStyle w:val="Heading3"/>
      </w:pPr>
      <w:r>
        <w:t xml:space="preserve">25.5　失忆研究的历史贡献</w:t>
      </w:r>
    </w:p>
    <w:p>
      <w:pPr>
        <w:pStyle w:val="FirstParagraph"/>
      </w:pPr>
      <w:r>
        <w:t xml:space="preserve">Scoville与Milner对双侧内侧颞叶手术后病例的研究，显示新近经验记忆可以严重受损，同时手术前较早形成的记忆、一般智力和人格相对保留</w:t>
      </w:r>
      <w:r>
        <w:rPr>
          <w:vertAlign w:val="superscript"/>
        </w:rPr>
        <w:t xml:space="preserve">[</w:t>
      </w:r>
      <w:hyperlink w:anchor="ref-251">
        <w:r>
          <w:rPr>
            <w:rStyle w:val="Hyperlink"/>
            <w:vertAlign w:val="superscript"/>
          </w:rPr>
          <w:t xml:space="preserve">251</w:t>
        </w:r>
      </w:hyperlink>
      <w:r>
        <w:rPr>
          <w:vertAlign w:val="superscript"/>
        </w:rPr>
        <w:t xml:space="preserve">]</w:t>
      </w:r>
      <w:r>
        <w:t xml:space="preserve">。这类观察推动了记忆并非单一能力的认识，也说明一般智力与新事件学习可以出现分离。</w:t>
      </w:r>
    </w:p>
    <w:p>
      <w:pPr>
        <w:pStyle w:val="BodyText"/>
      </w:pPr>
      <w:r>
        <w:t xml:space="preserve">历史病例的解剖范围和测量技术存在限制。不能把一位患者的全部表现直接归给海马中某个微小区域，也不能把早期描述视为对所有记忆类别的最终结论。后续解剖、行为和动物研究逐步细化了机制。</w:t>
      </w:r>
    </w:p>
    <w:p>
      <w:pPr>
        <w:pStyle w:val="BodyText"/>
      </w:pPr>
      <w:r>
        <w:t xml:space="preserve">病例价值在于揭示可能的功能结构。极端分离能够限制理论，但群体规律仍需更多样本与不同方法。讲述这些病例时，应尊重患者作为人的完整经历，同时准确使用其科学贡献。</w:t>
      </w:r>
    </w:p>
    <w:bookmarkEnd w:id="450"/>
    <w:bookmarkStart w:id="451" w:name="sec-25-6"/>
    <w:p>
      <w:pPr>
        <w:pStyle w:val="Heading3"/>
      </w:pPr>
      <w:r>
        <w:t xml:space="preserve">25.6　技能学习与事件回忆的分离</w:t>
      </w:r>
    </w:p>
    <w:p>
      <w:pPr>
        <w:pStyle w:val="FirstParagraph"/>
      </w:pPr>
      <w:r>
        <w:t xml:space="preserve">Cohen与Squire研究失忆患者的镜像阅读技能，发现技能学习和保持可以与对训练事件的记忆困难并存</w:t>
      </w:r>
      <w:r>
        <w:rPr>
          <w:vertAlign w:val="superscript"/>
        </w:rPr>
        <w:t xml:space="preserve">[</w:t>
      </w:r>
      <w:hyperlink w:anchor="ref-252">
        <w:r>
          <w:rPr>
            <w:rStyle w:val="Hyperlink"/>
            <w:vertAlign w:val="superscript"/>
          </w:rPr>
          <w:t xml:space="preserve">252</w:t>
        </w:r>
      </w:hyperlink>
      <w:r>
        <w:rPr>
          <w:vertAlign w:val="superscript"/>
        </w:rPr>
        <w:t xml:space="preserve">]</w:t>
      </w:r>
      <w:r>
        <w:t xml:space="preserve">。这个例子说明，经历可以通过表现改变留下影响，即使个人无法正常回忆学习过程。</w:t>
      </w:r>
    </w:p>
    <w:p>
      <w:pPr>
        <w:pStyle w:val="BodyText"/>
      </w:pPr>
      <w:r>
        <w:t xml:space="preserve">技能表现可能包含感知适应、动作协调、策略和规则学习，不同技能的神经依赖不同。“程序性记忆”是一个有用集合，内部仍有多种机制。不能因为某一技能保留，就推断所有习惯和运动学习都完好。</w:t>
      </w:r>
    </w:p>
    <w:p>
      <w:pPr>
        <w:pStyle w:val="BodyText"/>
      </w:pPr>
      <w:r>
        <w:t xml:space="preserve">教育中也常见说得出与做得到不同步。学生可以背出操作步骤，却在实际执行中不稳定；也可以熟练操作，却无法清楚解释原理。教学应分别安排解释与执行任务，再建立二者联系。</w:t>
      </w:r>
    </w:p>
    <w:bookmarkEnd w:id="451"/>
    <w:bookmarkStart w:id="452" w:name="sec-25-7"/>
    <w:p>
      <w:pPr>
        <w:pStyle w:val="Heading3"/>
      </w:pPr>
      <w:r>
        <w:t xml:space="preserve">25.7　启动效应与再认</w:t>
      </w:r>
    </w:p>
    <w:p>
      <w:pPr>
        <w:pStyle w:val="FirstParagraph"/>
      </w:pPr>
      <w:r>
        <w:t xml:space="preserve">启动效应表现为先前经验影响之后处理，例如再次处理某种形式时更有效率。参与者可能不需要有意识回忆先前事件。启动与明确再认可以分离，Gabrieli等的神经心理研究为特定视觉隐性与显性记忆过程的可区分性提供了证据</w:t>
      </w:r>
      <w:r>
        <w:rPr>
          <w:vertAlign w:val="superscript"/>
        </w:rPr>
        <w:t xml:space="preserve">[</w:t>
      </w:r>
      <w:hyperlink w:anchor="ref-253">
        <w:r>
          <w:rPr>
            <w:rStyle w:val="Hyperlink"/>
            <w:vertAlign w:val="superscript"/>
          </w:rPr>
          <w:t xml:space="preserve">253</w:t>
        </w:r>
      </w:hyperlink>
      <w:r>
        <w:rPr>
          <w:vertAlign w:val="superscript"/>
        </w:rPr>
        <w:t xml:space="preserve">]</w:t>
      </w:r>
      <w:r>
        <w:t xml:space="preserve">。</w:t>
      </w:r>
    </w:p>
    <w:p>
      <w:pPr>
        <w:pStyle w:val="BodyText"/>
      </w:pPr>
      <w:r>
        <w:t xml:space="preserve">启动也有多种形式。知觉形式重复、语义关系和反应映射都可能影响表现。研究需要控制刺激重叠、作答重复和策略，避免把所有加速都归为同一种隐性记忆。</w:t>
      </w:r>
    </w:p>
    <w:p>
      <w:pPr>
        <w:pStyle w:val="BodyText"/>
      </w:pPr>
      <w:r>
        <w:t xml:space="preserve">熟悉材料让阅读更流畅，却不保证能够主动回忆或解释。这是学习中熟悉感与掌握感分离的一个机制来源。学习者需要用目标任务检验知识，不能只用再次阅读时的轻松程度判断。</w:t>
      </w:r>
    </w:p>
    <w:bookmarkEnd w:id="452"/>
    <w:bookmarkStart w:id="453" w:name="sec-25-8"/>
    <w:p>
      <w:pPr>
        <w:pStyle w:val="Heading3"/>
      </w:pPr>
      <w:r>
        <w:t xml:space="preserve">25.8　渐进关联与习惯</w:t>
      </w:r>
    </w:p>
    <w:p>
      <w:pPr>
        <w:pStyle w:val="FirstParagraph"/>
      </w:pPr>
      <w:r>
        <w:t xml:space="preserve">Knowlton等比较失忆患者与帕金森病患者在概率分类任务及训练事件记忆中的表现，观察到具有理论意义的分离，为纹状体相关渐进关联学习提供了人类证据</w:t>
      </w:r>
      <w:r>
        <w:rPr>
          <w:vertAlign w:val="superscript"/>
        </w:rPr>
        <w:t xml:space="preserve">[</w:t>
      </w:r>
      <w:hyperlink w:anchor="ref-254">
        <w:r>
          <w:rPr>
            <w:rStyle w:val="Hyperlink"/>
            <w:vertAlign w:val="superscript"/>
          </w:rPr>
          <w:t xml:space="preserve">254</w:t>
        </w:r>
      </w:hyperlink>
      <w:r>
        <w:rPr>
          <w:vertAlign w:val="superscript"/>
        </w:rPr>
        <w:t xml:space="preserve">]</w:t>
      </w:r>
      <w:r>
        <w:t xml:space="preserve">。疾病影响范围、策略和任务参数仍限制对单一系统的归因。</w:t>
      </w:r>
    </w:p>
    <w:p>
      <w:pPr>
        <w:pStyle w:val="BodyText"/>
      </w:pPr>
      <w:r>
        <w:t xml:space="preserve">概率学习要求从不完全可靠的线索中逐渐估计结果。一次反馈可能具有噪声，系统需要整合多次经验。明确记住个别试次与逐渐形成选择倾向，可以同时贡献表现，参与者也可能在不同阶段使用不同策略。</w:t>
      </w:r>
    </w:p>
    <w:p>
      <w:pPr>
        <w:pStyle w:val="BodyText"/>
      </w:pPr>
      <w:r>
        <w:t xml:space="preserve">习惯在日常语言中常指重复行为，实验上通常还需考察行为是否对结果价值或行动结果关系变化敏感。重复次数多并不自动证明形成了某种严格意义的习惯。目标导向与熟练动作也可以共同存在。</w:t>
      </w:r>
    </w:p>
    <w:bookmarkEnd w:id="453"/>
    <w:bookmarkStart w:id="454" w:name="sec-25-9"/>
    <w:p>
      <w:pPr>
        <w:pStyle w:val="Heading3"/>
      </w:pPr>
      <w:r>
        <w:t xml:space="preserve">25.9　情景记忆的自我与时间</w:t>
      </w:r>
    </w:p>
    <w:p>
      <w:pPr>
        <w:pStyle w:val="FirstParagraph"/>
      </w:pPr>
      <w:r>
        <w:t xml:space="preserve">情景记忆涉及对具体过去经历的回忆，通常包含事件发生时的情境以及主观上重新经历的性质。Tulving的理论发展强调自我、主观时间和这种特殊意识体验</w:t>
      </w:r>
      <w:r>
        <w:rPr>
          <w:vertAlign w:val="superscript"/>
        </w:rPr>
        <w:t xml:space="preserve">[</w:t>
      </w:r>
      <w:hyperlink w:anchor="ref-250">
        <w:r>
          <w:rPr>
            <w:rStyle w:val="Hyperlink"/>
            <w:vertAlign w:val="superscript"/>
          </w:rPr>
          <w:t xml:space="preserve">250</w:t>
        </w:r>
      </w:hyperlink>
      <w:r>
        <w:rPr>
          <w:vertAlign w:val="superscript"/>
        </w:rPr>
        <w:t xml:space="preserve">]</w:t>
      </w:r>
      <w:r>
        <w:t xml:space="preserve">。这些概念具有研究价值，测量需要区分体验报告与客观细节准确。</w:t>
      </w:r>
    </w:p>
    <w:p>
      <w:pPr>
        <w:pStyle w:val="BodyText"/>
      </w:pPr>
      <w:r>
        <w:t xml:space="preserve">一个人知道自己曾经去过某城市，可能没有想起任何具体场景；另一种回忆则包含某天的天气、同行者和当时感受。两者都属于个人过去知识，功能与体验有所不同。测验应允许分别描述。</w:t>
      </w:r>
    </w:p>
    <w:p>
      <w:pPr>
        <w:pStyle w:val="BodyText"/>
      </w:pPr>
      <w:r>
        <w:t xml:space="preserve">情景回忆能够支持未来计划，因为具体经验提供情境和后果信息。回忆的重建性质也使它具有灵活组合能力，同时可能产生来源混淆。过去、现在与未来思考之间的关系，需要具体任务分析。</w:t>
      </w:r>
    </w:p>
    <w:bookmarkEnd w:id="454"/>
    <w:bookmarkStart w:id="455" w:name="sec-25-10"/>
    <w:p>
      <w:pPr>
        <w:pStyle w:val="Heading3"/>
      </w:pPr>
      <w:r>
        <w:t xml:space="preserve">25.10　语义知识与个人语义</w:t>
      </w:r>
    </w:p>
    <w:p>
      <w:pPr>
        <w:pStyle w:val="FirstParagraph"/>
      </w:pPr>
      <w:r>
        <w:t xml:space="preserve">语义知识包括词义、概念、事实和关系。它可以在不回想最初学习场景的情况下使用。知道某城市是一国首都，与回忆第一次在课堂学到这件事，提出不同任务。语义知识也会随着经验和文化持续更新。</w:t>
      </w:r>
    </w:p>
    <w:p>
      <w:pPr>
        <w:pStyle w:val="BodyText"/>
      </w:pPr>
      <w:r>
        <w:t xml:space="preserve">个人语义位于一般知识与具体经历之间，例如知道自己曾在哪所学校就读，却没有重现某一天。Renoult等讨论了这一领域及其与情景和语义记忆的关系，提示简单二分可能遗漏重要形式</w:t>
      </w:r>
      <w:r>
        <w:rPr>
          <w:vertAlign w:val="superscript"/>
        </w:rPr>
        <w:t xml:space="preserve">[</w:t>
      </w:r>
      <w:hyperlink w:anchor="ref-255">
        <w:r>
          <w:rPr>
            <w:rStyle w:val="Hyperlink"/>
            <w:vertAlign w:val="superscript"/>
          </w:rPr>
          <w:t xml:space="preserve">255</w:t>
        </w:r>
      </w:hyperlink>
      <w:r>
        <w:rPr>
          <w:vertAlign w:val="superscript"/>
        </w:rPr>
        <w:t xml:space="preserve">]</w:t>
      </w:r>
      <w:r>
        <w:t xml:space="preserve">。</w:t>
      </w:r>
    </w:p>
    <w:p>
      <w:pPr>
        <w:pStyle w:val="BodyText"/>
      </w:pPr>
      <w:r>
        <w:t xml:space="preserve">一个人的自我知识还可能包含概括判断，例如“我通常擅长数学”。这种判断由多次经历和社会反馈形成，未必准确反映每次表现。教育中的自我评价需要结合具体任务证据，避免把概括身份当成固定能力。</w:t>
      </w:r>
    </w:p>
    <w:bookmarkEnd w:id="455"/>
    <w:bookmarkStart w:id="456" w:name="sec-25-11"/>
    <w:p>
      <w:pPr>
        <w:pStyle w:val="Heading3"/>
      </w:pPr>
      <w:r>
        <w:t xml:space="preserve">25.11　海马的关系加工</w:t>
      </w:r>
    </w:p>
    <w:p>
      <w:pPr>
        <w:pStyle w:val="FirstParagraph"/>
      </w:pPr>
      <w:r>
        <w:t xml:space="preserve">海马功能理论涉及事件、空间、时间和关系组织。关系视角关注不同元素如何被绑定，并用于灵活推断；空间视角强调导航和地图相关计算。Eichenbaum与Cohen讨论了两类观点的联系与剩余分歧</w:t>
      </w:r>
      <w:r>
        <w:rPr>
          <w:vertAlign w:val="superscript"/>
        </w:rPr>
        <w:t xml:space="preserve">[</w:t>
      </w:r>
      <w:hyperlink w:anchor="ref-256">
        <w:r>
          <w:rPr>
            <w:rStyle w:val="Hyperlink"/>
            <w:vertAlign w:val="superscript"/>
          </w:rPr>
          <w:t xml:space="preserve">256</w:t>
        </w:r>
      </w:hyperlink>
      <w:r>
        <w:rPr>
          <w:vertAlign w:val="superscript"/>
        </w:rPr>
        <w:t xml:space="preserve">]</w:t>
      </w:r>
      <w:r>
        <w:t xml:space="preserve">。</w:t>
      </w:r>
    </w:p>
    <w:p>
      <w:pPr>
        <w:pStyle w:val="BodyText"/>
      </w:pPr>
      <w:r>
        <w:t xml:space="preserve">一个非空间关系例子是学会甲比乙高、乙比丙高，随后推断甲比丙高。一个空间例子是知道图书馆位于广场东侧、咖啡店位于广场北侧，随后寻找两者关系。表面材料不同，关系组织可以具有共同计算问题。</w:t>
      </w:r>
    </w:p>
    <w:p>
      <w:pPr>
        <w:pStyle w:val="BodyText"/>
      </w:pPr>
      <w:r>
        <w:t xml:space="preserve">共同计算不意味着所有关系任务都完全依赖同一回路。熟练语义知识、工作记忆推理和新事件绑定可能具有不同贡献。实验需要比较新旧材料、直接关系与推断关系，以及不同延迟。</w:t>
      </w:r>
    </w:p>
    <w:bookmarkEnd w:id="456"/>
    <w:bookmarkStart w:id="457" w:name="sec-25-12"/>
    <w:p>
      <w:pPr>
        <w:pStyle w:val="Heading3"/>
      </w:pPr>
      <w:r>
        <w:t xml:space="preserve">25.12　模式分离的功能需求</w:t>
      </w:r>
    </w:p>
    <w:p>
      <w:pPr>
        <w:pStyle w:val="FirstParagraph"/>
      </w:pPr>
      <w:r>
        <w:t xml:space="preserve">相似经历容易互相干扰，例如每天在同一停车场停车，需要区分今天的位置与昨天的位置。模式分离指相似输入在表征层面变得更可区分的计算过程。海马相关研究把它与特定回路组织联系起来，同时行为区分任务只能间接反映该计算</w:t>
      </w:r>
      <w:r>
        <w:rPr>
          <w:vertAlign w:val="superscript"/>
        </w:rPr>
        <w:t xml:space="preserve">[</w:t>
      </w:r>
      <w:hyperlink w:anchor="ref-257">
        <w:r>
          <w:rPr>
            <w:rStyle w:val="Hyperlink"/>
            <w:vertAlign w:val="superscript"/>
          </w:rPr>
          <w:t xml:space="preserve">257</w:t>
        </w:r>
      </w:hyperlink>
      <w:r>
        <w:rPr>
          <w:vertAlign w:val="superscript"/>
        </w:rPr>
        <w:t xml:space="preserve">]</w:t>
      </w:r>
      <w:r>
        <w:t xml:space="preserve">。</w:t>
      </w:r>
    </w:p>
    <w:p>
      <w:pPr>
        <w:pStyle w:val="BodyText"/>
      </w:pPr>
      <w:r>
        <w:t xml:space="preserve">一个抽象模型中，两幅输入共享大部分特征，输出编码却采用较少重叠单元，可以减少相互混淆。这样有利于保留事件独特性，也可能降低从相似经验中直接概括共同结构的效率。学习系统需要在区分与整合之间协调。</w:t>
      </w:r>
    </w:p>
    <w:p>
      <w:pPr>
        <w:pStyle w:val="BodyText"/>
      </w:pPr>
      <w:r>
        <w:t xml:space="preserve">教育中，相似概念的对比练习可以帮助识别诊断性特征。行为改善与模式分离机制在逻辑上相容，仍不能单凭成绩就断言某海马子区已发生特定改变。机制与教学的桥接需要直接证据。</w:t>
      </w:r>
    </w:p>
    <w:bookmarkEnd w:id="457"/>
    <w:bookmarkStart w:id="458" w:name="sec-25-13"/>
    <w:p>
      <w:pPr>
        <w:pStyle w:val="Heading3"/>
      </w:pPr>
      <w:r>
        <w:t xml:space="preserve">25.13　模式补全的功能需求</w:t>
      </w:r>
    </w:p>
    <w:p>
      <w:pPr>
        <w:pStyle w:val="FirstParagraph"/>
      </w:pPr>
      <w:r>
        <w:t xml:space="preserve">模式补全指用部分线索恢复较完整的表征。听到一句熟悉旋律的开头，可能想起后续；看到某处街角，可能想起附近路线。它提高了在信息不完整时的检索能力，同时也可能在错误线索下恢复不适当记忆。</w:t>
      </w:r>
    </w:p>
    <w:p>
      <w:pPr>
        <w:pStyle w:val="BodyText"/>
      </w:pPr>
      <w:r>
        <w:t xml:space="preserve">Nakazawa等在小鼠中操纵CA3相关NMDA受体，发现完整线索条件与部分线索条件下的回忆表现可以出现不同影响，为关联补全机制提供因果线索</w:t>
      </w:r>
      <w:r>
        <w:rPr>
          <w:vertAlign w:val="superscript"/>
        </w:rPr>
        <w:t xml:space="preserve">[</w:t>
      </w:r>
      <w:hyperlink w:anchor="ref-258">
        <w:r>
          <w:rPr>
            <w:rStyle w:val="Hyperlink"/>
            <w:vertAlign w:val="superscript"/>
          </w:rPr>
          <w:t xml:space="preserve">258</w:t>
        </w:r>
      </w:hyperlink>
      <w:r>
        <w:rPr>
          <w:vertAlign w:val="superscript"/>
        </w:rPr>
        <w:t xml:space="preserve">]</w:t>
      </w:r>
      <w:r>
        <w:t xml:space="preserve">。具体回路操纵与任务决定推广范围。</w:t>
      </w:r>
    </w:p>
    <w:p>
      <w:pPr>
        <w:pStyle w:val="BodyText"/>
      </w:pPr>
      <w:r>
        <w:t xml:space="preserve">补全与分离的权衡具有实际意义。过度把相似情境归为同一事件，容易混淆；过度把每次经历视为完全不同，又难以利用规律。任务目标和线索可靠性决定何时更需要哪种计算。</w:t>
      </w:r>
    </w:p>
    <w:bookmarkEnd w:id="458"/>
    <w:bookmarkStart w:id="459" w:name="sec-25-14"/>
    <w:p>
      <w:pPr>
        <w:pStyle w:val="Heading3"/>
      </w:pPr>
      <w:r>
        <w:t xml:space="preserve">25.14　编码与提取的状态竞争</w:t>
      </w:r>
    </w:p>
    <w:p>
      <w:pPr>
        <w:pStyle w:val="FirstParagraph"/>
      </w:pPr>
      <w:r>
        <w:t xml:space="preserve">编码新信息与提取旧信息可能提出不同需求。编码需要对当前输入保持敏感，提取需要利用已有关系补全。若旧知识过早主导，可能忽略新细节；若每次都完全依赖新输入，又可能无法快速利用经验。</w:t>
      </w:r>
    </w:p>
    <w:p>
      <w:pPr>
        <w:pStyle w:val="BodyText"/>
      </w:pPr>
      <w:r>
        <w:t xml:space="preserve">一个学习者阅读新概念时，已有知识可以提供结构，也可能让其把新观点误读成熟悉观点。教学可以先要求准确复述新信息，再比较与旧知识的关系，帮助平衡两种需求。具体顺序应随材料难度调整。</w:t>
      </w:r>
    </w:p>
    <w:p>
      <w:pPr>
        <w:pStyle w:val="BodyText"/>
      </w:pPr>
      <w:r>
        <w:t xml:space="preserve">研究可以通过新旧项目、相似干扰和提取要求操纵这些状态，观察行为和神经模式。单个脑区平均激活很难完整区分编码与提取的细致过程，需要更有针对性的任务设计。</w:t>
      </w:r>
    </w:p>
    <w:bookmarkEnd w:id="459"/>
    <w:bookmarkStart w:id="460" w:name="sec-25-15"/>
    <w:p>
      <w:pPr>
        <w:pStyle w:val="Heading3"/>
      </w:pPr>
      <w:r>
        <w:t xml:space="preserve">25.15　互补学习系统的计算思想</w:t>
      </w:r>
    </w:p>
    <w:p>
      <w:pPr>
        <w:pStyle w:val="FirstParagraph"/>
      </w:pPr>
      <w:r>
        <w:t xml:space="preserve">互补学习系统理论提出，快速保存具体经历与逐渐提取共同结构可以由相互配合的机制支持。McClelland等从连接主义模型的学习与干扰问题出发，讨论海马和新皮层之间的互补作用</w:t>
      </w:r>
      <w:r>
        <w:rPr>
          <w:vertAlign w:val="superscript"/>
        </w:rPr>
        <w:t xml:space="preserve">[</w:t>
      </w:r>
      <w:hyperlink w:anchor="ref-259">
        <w:r>
          <w:rPr>
            <w:rStyle w:val="Hyperlink"/>
            <w:vertAlign w:val="superscript"/>
          </w:rPr>
          <w:t xml:space="preserve">259</w:t>
        </w:r>
      </w:hyperlink>
      <w:r>
        <w:rPr>
          <w:vertAlign w:val="superscript"/>
        </w:rPr>
        <w:t xml:space="preserve">]</w:t>
      </w:r>
      <w:r>
        <w:t xml:space="preserve">。这是重要理论框架，其具体实现和时间尺度持续发展。</w:t>
      </w:r>
    </w:p>
    <w:p>
      <w:pPr>
        <w:pStyle w:val="BodyText"/>
      </w:pPr>
      <w:r>
        <w:t xml:space="preserve">快速学习能够保留一次事件，缓慢交错学习能够降低新信息覆盖旧规律的风险。一个系统若对最新样本立即大幅更新所有知识，可能出现灾难性干扰；若总是缓慢改变，又难以记住独特事件。互补机制提供一种解决思路。</w:t>
      </w:r>
    </w:p>
    <w:p>
      <w:pPr>
        <w:pStyle w:val="BodyText"/>
      </w:pPr>
      <w:r>
        <w:t xml:space="preserve">真实脑并非严格一个快系统加一个慢系统。海马内部也可能支持不同学习性质，Schapiro等的模型尝试协调情景记忆与统计规律学习</w:t>
      </w:r>
      <w:r>
        <w:rPr>
          <w:vertAlign w:val="superscript"/>
        </w:rPr>
        <w:t xml:space="preserve">[</w:t>
      </w:r>
      <w:hyperlink w:anchor="ref-260">
        <w:r>
          <w:rPr>
            <w:rStyle w:val="Hyperlink"/>
            <w:vertAlign w:val="superscript"/>
          </w:rPr>
          <w:t xml:space="preserve">260</w:t>
        </w:r>
      </w:hyperlink>
      <w:r>
        <w:rPr>
          <w:vertAlign w:val="superscript"/>
        </w:rPr>
        <w:t xml:space="preserve">]</w:t>
      </w:r>
      <w:r>
        <w:t xml:space="preserve">。这提醒读者，宏观分类可以指导研究，也需要随新证据细化。</w:t>
      </w:r>
    </w:p>
    <w:bookmarkEnd w:id="460"/>
    <w:bookmarkStart w:id="461" w:name="sec-25-16"/>
    <w:p>
      <w:pPr>
        <w:pStyle w:val="Heading3"/>
      </w:pPr>
      <w:r>
        <w:t xml:space="preserve">25.16　系统巩固与表征改变</w:t>
      </w:r>
    </w:p>
    <w:p>
      <w:pPr>
        <w:pStyle w:val="FirstParagraph"/>
      </w:pPr>
      <w:r>
        <w:t xml:space="preserve">系统巩固关注记忆在脑网络中的依赖和组织怎样随时间变化。某些理论强调海马与新皮层互动使较旧记忆逐渐获得更独立的支持；相关综述同时承认经验结果和理论仍有不一致</w:t>
      </w:r>
      <w:r>
        <w:rPr>
          <w:vertAlign w:val="superscript"/>
        </w:rPr>
        <w:t xml:space="preserve">[</w:t>
      </w:r>
      <w:hyperlink w:anchor="ref-261">
        <w:r>
          <w:rPr>
            <w:rStyle w:val="Hyperlink"/>
            <w:vertAlign w:val="superscript"/>
          </w:rPr>
          <w:t xml:space="preserve">261</w:t>
        </w:r>
      </w:hyperlink>
      <w:r>
        <w:rPr>
          <w:vertAlign w:val="superscript"/>
        </w:rPr>
        <w:t xml:space="preserve">]</w:t>
      </w:r>
      <w:r>
        <w:t xml:space="preserve">。</w:t>
      </w:r>
    </w:p>
    <w:p>
      <w:pPr>
        <w:pStyle w:val="BodyText"/>
      </w:pPr>
      <w:r>
        <w:t xml:space="preserve">其他理论更强调丰富情景细节可能持续需要海马，而较概括知识可以通过转化获得不同支持。Nadel与Moscovitch的工作是这一争论的重要来源之一</w:t>
      </w:r>
      <w:r>
        <w:rPr>
          <w:vertAlign w:val="superscript"/>
        </w:rPr>
        <w:t xml:space="preserve">[</w:t>
      </w:r>
      <w:hyperlink w:anchor="ref-262">
        <w:r>
          <w:rPr>
            <w:rStyle w:val="Hyperlink"/>
            <w:vertAlign w:val="superscript"/>
          </w:rPr>
          <w:t xml:space="preserve">262</w:t>
        </w:r>
      </w:hyperlink>
      <w:r>
        <w:rPr>
          <w:vertAlign w:val="superscript"/>
        </w:rPr>
        <w:t xml:space="preserve">]</w:t>
      </w:r>
      <w:r>
        <w:t xml:space="preserve">。两类解释应被呈现为相互竞争、仍在发展的理论，避免把所有记忆描述成从海马单向转移到皮层。</w:t>
      </w:r>
    </w:p>
    <w:p>
      <w:pPr>
        <w:pStyle w:val="BodyText"/>
      </w:pPr>
      <w:r>
        <w:t xml:space="preserve">记忆内容也可能随时间改变。细节减少、意义概括增强、反复提取形成新联系，都可能改变测试所测对象。比较新旧记忆时，需要尽量匹配内容和测量精度，否则时间效应可能与记忆性质混合。</w:t>
      </w:r>
    </w:p>
    <w:bookmarkEnd w:id="461"/>
    <w:bookmarkStart w:id="462" w:name="sec-25-17"/>
    <w:p>
      <w:pPr>
        <w:pStyle w:val="Heading3"/>
      </w:pPr>
      <w:r>
        <w:t xml:space="preserve">25.17　先备知识与图式</w:t>
      </w:r>
    </w:p>
    <w:p>
      <w:pPr>
        <w:pStyle w:val="FirstParagraph"/>
      </w:pPr>
      <w:r>
        <w:t xml:space="preserve">图式可以理解为已有知识中的结构化关系，帮助解释新信息与预期。Tse等在动物关联任务中研究先前形成的结构，发现它可以改变新信息整合与巩固的时间过程</w:t>
      </w:r>
      <w:r>
        <w:rPr>
          <w:vertAlign w:val="superscript"/>
        </w:rPr>
        <w:t xml:space="preserve">[</w:t>
      </w:r>
      <w:hyperlink w:anchor="ref-263">
        <w:r>
          <w:rPr>
            <w:rStyle w:val="Hyperlink"/>
            <w:vertAlign w:val="superscript"/>
          </w:rPr>
          <w:t xml:space="preserve">263</w:t>
        </w:r>
      </w:hyperlink>
      <w:r>
        <w:rPr>
          <w:vertAlign w:val="superscript"/>
        </w:rPr>
        <w:t xml:space="preserve">]</w:t>
      </w:r>
      <w:r>
        <w:t xml:space="preserve">。这一结果支持先备结构的重要性，动物任务与复杂课堂知识之间仍有距离。</w:t>
      </w:r>
    </w:p>
    <w:p>
      <w:pPr>
        <w:pStyle w:val="BodyText"/>
      </w:pPr>
      <w:r>
        <w:t xml:space="preserve">假设学生已经理解比例关系，学习速度、密度或浓度时，可以把新量放入共同结构。若缺少比例概念，每个公式可能成为独立记忆。先备知识降低某些加工需求，也可能在新概念具有不同条件时造成错误套用。</w:t>
      </w:r>
    </w:p>
    <w:p>
      <w:pPr>
        <w:pStyle w:val="BodyText"/>
      </w:pPr>
      <w:r>
        <w:t xml:space="preserve">教学可以先激活相关知识，再明确新内容与旧结构的共同点和差别。若旧图式本身错误，需要提供能够产生诊断性冲突的例子，并指导学生修正关系。简单告诉学生“联系旧知识”无法保证联系正确。</w:t>
      </w:r>
    </w:p>
    <w:bookmarkEnd w:id="462"/>
    <w:bookmarkStart w:id="463" w:name="sec-25-18"/>
    <w:p>
      <w:pPr>
        <w:pStyle w:val="Heading3"/>
      </w:pPr>
      <w:r>
        <w:t xml:space="preserve">25.18　语义网络与检索路径</w:t>
      </w:r>
    </w:p>
    <w:p>
      <w:pPr>
        <w:pStyle w:val="FirstParagraph"/>
      </w:pPr>
      <w:r>
        <w:t xml:space="preserve">知识可以按类别、因果、时间、空间或用途组织。不同组织方式提供不同检索路径。学习某疾病时，按器官分类有利于系统整理，按症状分类有利于从主诉寻找候选，按机制分类有利于解释相似表现。多种路径可以互相补充。</w:t>
      </w:r>
    </w:p>
    <w:p>
      <w:pPr>
        <w:pStyle w:val="BodyText"/>
      </w:pPr>
      <w:r>
        <w:t xml:space="preserve">如果知识只按课本页码保存，遇到现实问题时可能缺少对应线索。学习者可以练习从不同入口提取：给概念找例子，给例子找概念，给结果推条件，给条件预测结果。这样检验的是关系可用性。</w:t>
      </w:r>
    </w:p>
    <w:p>
      <w:pPr>
        <w:pStyle w:val="BodyText"/>
      </w:pPr>
      <w:r>
        <w:t xml:space="preserve">网络越复杂也可能越难维护。关联需要准确、有区分度和可验证，任意联想可能增加噪声。有效组织应保留概念定义和边界，让检索路径能够回到可靠依据。</w:t>
      </w:r>
    </w:p>
    <w:bookmarkEnd w:id="463"/>
    <w:bookmarkStart w:id="464" w:name="sec-25-19"/>
    <w:p>
      <w:pPr>
        <w:pStyle w:val="Heading3"/>
      </w:pPr>
      <w:r>
        <w:t xml:space="preserve">25.19　前瞻记忆与任务管理</w:t>
      </w:r>
    </w:p>
    <w:p>
      <w:pPr>
        <w:pStyle w:val="FirstParagraph"/>
      </w:pPr>
      <w:r>
        <w:t xml:space="preserve">前瞻记忆涉及在未来适当时刻执行意图，例如到某地点后交文件，或下午某时参加会议。它包含记住要做什么、识别触发时机和实际执行。失败可以发生在任何一环，不能统一归为过去记忆容量低。</w:t>
      </w:r>
    </w:p>
    <w:p>
      <w:pPr>
        <w:pStyle w:val="BodyText"/>
      </w:pPr>
      <w:r>
        <w:t xml:space="preserve">事件线索和时间线索提出不同需求。遇到明显地点可能自然触发意图，按时间执行可能需要监测时钟。外部提醒可以减少监测负担，但提醒出现后仍需理解内容和采取行动。工具应与行为流程连接。</w:t>
      </w:r>
    </w:p>
    <w:p>
      <w:pPr>
        <w:pStyle w:val="BodyText"/>
      </w:pPr>
      <w:r>
        <w:t xml:space="preserve">一个实用意图可以明确触发条件与动作，例如“完成这段阅读后，立即用三句话概括”。条件过于模糊时，执行机会难以识别；动作过大时，启动成本较高。具体效果需要结合任务与个人环境评价。</w:t>
      </w:r>
    </w:p>
    <w:bookmarkEnd w:id="464"/>
    <w:bookmarkStart w:id="465" w:name="sec-25-20"/>
    <w:p>
      <w:pPr>
        <w:pStyle w:val="Heading3"/>
      </w:pPr>
      <w:r>
        <w:t xml:space="preserve">25.20　外部记忆与内部知识</w:t>
      </w:r>
    </w:p>
    <w:p>
      <w:pPr>
        <w:pStyle w:val="FirstParagraph"/>
      </w:pPr>
      <w:r>
        <w:t xml:space="preserve">笔记、日历、搜索和数据库可以保存信息并提供检索线索。外部工具的价值取决于信息质量、组织、可访问性和使用能力。保存文件不保证未来能找到，找到资料也不保证能够判断其适用性。</w:t>
      </w:r>
    </w:p>
    <w:p>
      <w:pPr>
        <w:pStyle w:val="BodyText"/>
      </w:pPr>
      <w:r>
        <w:t xml:space="preserve">内部知识帮助形成检索问题、评估来源和理解结果。若完全缺少领域框架，外部信息越多，选择负担可能越大。工具与知识因此具有互补关系。学习应建立足够基础，使工具能够被有效使用。</w:t>
      </w:r>
    </w:p>
    <w:p>
      <w:pPr>
        <w:pStyle w:val="BodyText"/>
      </w:pPr>
      <w:r>
        <w:t xml:space="preserve">重要知识还需要考虑离线可用性和时间压力。紧急情况下必须迅速提取的信息，与允许查阅的复杂细节，可以采用不同学习安排。目标和错误成本决定记忆系统的分工。</w:t>
      </w:r>
    </w:p>
    <w:bookmarkEnd w:id="465"/>
    <w:bookmarkStart w:id="466" w:name="sec-25-21"/>
    <w:p>
      <w:pPr>
        <w:pStyle w:val="Heading3"/>
      </w:pPr>
      <w:r>
        <w:t xml:space="preserve">25.21　一项完整课程知识的组织案例</w:t>
      </w:r>
    </w:p>
    <w:p>
      <w:pPr>
        <w:pStyle w:val="FirstParagraph"/>
      </w:pPr>
      <w:r>
        <w:t xml:space="preserve">以学习“相关与因果”为例，学生首先需要掌握两个概念的定义和区别，属于语义关系；课堂中的一个具体实验可以提供情景线索；反复判断不同案例可以形成分类技能；写出因果图又需要熟练操作和工作记忆。一次课程可以同时涉及多个记忆过程。</w:t>
      </w:r>
    </w:p>
    <w:p>
      <w:pPr>
        <w:pStyle w:val="BodyText"/>
      </w:pPr>
      <w:r>
        <w:t xml:space="preserve">如果学生只记得课堂故事，却无法判断新案例，情景线索没有充分转化为可用概念；如果能够背定义却在复杂案例中失败，可能缺少关系识别或工作记忆支持；如果判断正确却说不出依据，可能需要增加解释练习。错误模式帮助定位下一步。</w:t>
      </w:r>
    </w:p>
    <w:p>
      <w:pPr>
        <w:pStyle w:val="BodyText"/>
      </w:pPr>
      <w:r>
        <w:t xml:space="preserve">教学可以安排三个层次的提取。第一层回忆定义，第二层解释原例子，第三层分析表面不同的新问题。随后加入反例和边界条件，检查知识是否具有区分度。这样组织能够让多个系统共同服务于可迁移知识。</w:t>
      </w:r>
    </w:p>
    <w:bookmarkEnd w:id="466"/>
    <w:bookmarkStart w:id="467" w:name="sec-25-22"/>
    <w:p>
      <w:pPr>
        <w:pStyle w:val="Heading3"/>
      </w:pPr>
      <w:r>
        <w:t xml:space="preserve">25.22　两种相似事件的区分案例</w:t>
      </w:r>
    </w:p>
    <w:p>
      <w:pPr>
        <w:pStyle w:val="FirstParagraph"/>
      </w:pPr>
      <w:r>
        <w:t xml:space="preserve">设一名学生周一和周三都在同一实验室进行相似操作，唯一重要差异是试剂浓度。若只编码共同步骤，后续可能混淆浓度来源。可以在记录中突出日期、条件和结果关系，并在复习时并列比较两次实验。</w:t>
      </w:r>
    </w:p>
    <w:p>
      <w:pPr>
        <w:pStyle w:val="BodyText"/>
      </w:pPr>
      <w:r>
        <w:t xml:space="preserve">这里需要同时建立共同结构和事件独特性。共同结构帮助理解实验流程，独特标签帮助避免把条件带错。完全分开学习可能失去比较机会，完全混在一起又可能增加干扰。任务设计可以让学生先识别共同点，再主动提取差异。</w:t>
      </w:r>
    </w:p>
    <w:p>
      <w:pPr>
        <w:pStyle w:val="BodyText"/>
      </w:pPr>
      <w:r>
        <w:t xml:space="preserve">若之后出现新浓度条件，学生还需根据机制预测结果，无法只靠记住两次具体事件。情景、语义和推理相互协作，教材中的分类应服务于这种实际过程。</w:t>
      </w:r>
    </w:p>
    <w:bookmarkEnd w:id="467"/>
    <w:bookmarkStart w:id="468" w:name="sec-25-23"/>
    <w:p>
      <w:pPr>
        <w:pStyle w:val="Heading3"/>
      </w:pPr>
      <w:r>
        <w:t xml:space="preserve">25.23　记忆系统图的正确读法</w:t>
      </w:r>
    </w:p>
    <w:p>
      <w:pPr>
        <w:pStyle w:val="FirstParagraph"/>
      </w:pPr>
      <w:r>
        <w:t xml:space="preserve">系统图中的框表示分析层次或功能集合，箭头表示可能的信息依赖和互动。它不表示每个框拥有独立物理边界，也不表示所有箭头都已经具有相同强度的因果证据。脑区、过程与任务之间通常是多对多关系。</w:t>
      </w:r>
    </w:p>
    <w:p>
      <w:pPr>
        <w:pStyle w:val="BodyText"/>
      </w:pPr>
      <w:r>
        <w:t xml:space="preserve">如果图把情景记忆画到海马旁，应理解为相关网络的重要参与，不能理解成所有经历完整存放在一个位置。若把技能与纹状体等结构相连，也需要保留不同技能及其他网络的贡献。图的简化需要在图注中明确。</w:t>
      </w:r>
    </w:p>
    <w:p>
      <w:pPr>
        <w:pStyle w:val="BodyText"/>
      </w:pPr>
      <w:r>
        <w:t xml:space="preserve">阅读任何脑科学图示时，可以问三个问题：框的分类依据是什么，箭头来自哪类证据，哪些功能或条件被省略。图帮助组织知识，文本负责交代边界。</w:t>
      </w:r>
    </w:p>
    <w:bookmarkEnd w:id="468"/>
    <w:bookmarkStart w:id="469" w:name="sec-25-24"/>
    <w:p>
      <w:pPr>
        <w:pStyle w:val="Heading3"/>
      </w:pPr>
      <w:r>
        <w:t xml:space="preserve">25.24　结论边界与置信度</w:t>
      </w:r>
    </w:p>
    <w:p>
      <w:pPr>
        <w:pStyle w:val="FirstParagraph"/>
      </w:pPr>
      <w:r>
        <w:t xml:space="preserve">关于事件记忆、技能学习和部分启动效应能够在适当任务与患者研究中出现分离，证据置信度高；这些分离支持多个相互作用的记忆机制，并不规定每项现实任务只能使用一个系统</w:t>
      </w:r>
      <w:r>
        <w:rPr>
          <w:vertAlign w:val="superscript"/>
        </w:rPr>
        <w:t xml:space="preserve">[</w:t>
      </w:r>
      <w:hyperlink w:anchor="ref-249">
        <w:r>
          <w:rPr>
            <w:rStyle w:val="Hyperlink"/>
            <w:vertAlign w:val="superscript"/>
          </w:rPr>
          <w:t xml:space="preserve">249</w:t>
        </w:r>
      </w:hyperlink>
      <w:r>
        <w:rPr>
          <w:vertAlign w:val="superscript"/>
        </w:rPr>
        <w:t xml:space="preserve">,</w:t>
      </w:r>
      <w:hyperlink w:anchor="ref-251">
        <w:r>
          <w:rPr>
            <w:rStyle w:val="Hyperlink"/>
            <w:vertAlign w:val="superscript"/>
          </w:rPr>
          <w:t xml:space="preserve">251</w:t>
        </w:r>
      </w:hyperlink>
      <w:r>
        <w:rPr>
          <w:vertAlign w:val="superscript"/>
        </w:rPr>
        <w:t xml:space="preserve">,</w:t>
      </w:r>
      <w:hyperlink w:anchor="ref-252">
        <w:r>
          <w:rPr>
            <w:rStyle w:val="Hyperlink"/>
            <w:vertAlign w:val="superscript"/>
          </w:rPr>
          <w:t xml:space="preserve">252</w:t>
        </w:r>
      </w:hyperlink>
      <w:r>
        <w:rPr>
          <w:vertAlign w:val="superscript"/>
        </w:rPr>
        <w:t xml:space="preserve">]</w:t>
      </w:r>
      <w:r>
        <w:t xml:space="preserve">。关于海马与新皮层在学习和巩固中发挥互补作用，置信度较高；具体表征怎样随时间改变、丰富情景细节在何种条件下持续依赖海马，仍有理论分歧</w:t>
      </w:r>
      <w:r>
        <w:rPr>
          <w:vertAlign w:val="superscript"/>
        </w:rPr>
        <w:t xml:space="preserve">[</w:t>
      </w:r>
      <w:hyperlink w:anchor="ref-259">
        <w:r>
          <w:rPr>
            <w:rStyle w:val="Hyperlink"/>
            <w:vertAlign w:val="superscript"/>
          </w:rPr>
          <w:t xml:space="preserve">259</w:t>
        </w:r>
      </w:hyperlink>
      <w:r>
        <w:rPr>
          <w:vertAlign w:val="superscript"/>
        </w:rPr>
        <w:t xml:space="preserve">,</w:t>
      </w:r>
      <w:hyperlink w:anchor="ref-261">
        <w:r>
          <w:rPr>
            <w:rStyle w:val="Hyperlink"/>
            <w:vertAlign w:val="superscript"/>
          </w:rPr>
          <w:t xml:space="preserve">261</w:t>
        </w:r>
      </w:hyperlink>
      <w:r>
        <w:rPr>
          <w:vertAlign w:val="superscript"/>
        </w:rPr>
        <w:t xml:space="preserve">,</w:t>
      </w:r>
      <w:hyperlink w:anchor="ref-262">
        <w:r>
          <w:rPr>
            <w:rStyle w:val="Hyperlink"/>
            <w:vertAlign w:val="superscript"/>
          </w:rPr>
          <w:t xml:space="preserve">262</w:t>
        </w:r>
      </w:hyperlink>
      <w:r>
        <w:rPr>
          <w:vertAlign w:val="superscript"/>
        </w:rPr>
        <w:t xml:space="preserve">]</w:t>
      </w:r>
      <w:r>
        <w:t xml:space="preserve">。把某个计算模型的全部模块直接对应到独立脑区，或由一项再认成绩推断某个学生的完整记忆系统状态，证据不足。教材中的系统划分因此承担机制比较和提出问题的功能。</w:t>
      </w:r>
    </w:p>
    <w:bookmarkEnd w:id="469"/>
    <w:bookmarkStart w:id="470" w:name="sec-25-25"/>
    <w:p>
      <w:pPr>
        <w:pStyle w:val="Heading3"/>
      </w:pPr>
      <w:r>
        <w:t xml:space="preserve">25.25　综合问题与解析</w:t>
      </w:r>
    </w:p>
    <w:p>
      <w:pPr>
        <w:pStyle w:val="FirstParagraph"/>
      </w:pPr>
      <w:r>
        <w:t xml:space="preserve">问题一：某患者能越来越熟练地完成操作，却不记得昨天练习过，说明什么？解析：技能表现与训练事件回忆可以分离，支持多个过程；具体系统归因仍需任务和损伤信息。</w:t>
      </w:r>
    </w:p>
    <w:p>
      <w:pPr>
        <w:pStyle w:val="BodyText"/>
      </w:pPr>
      <w:r>
        <w:t xml:space="preserve">问题二：看到一个词觉得熟悉，能否确定它曾在某篇文章出现？解析：熟悉性可能来自其他来源，来源记忆需要额外线索。再认与来源判断应分别测量。</w:t>
      </w:r>
    </w:p>
    <w:p>
      <w:pPr>
        <w:pStyle w:val="BodyText"/>
      </w:pPr>
      <w:r>
        <w:t xml:space="preserve">问题三：海马活动与非空间推理有关，是否否定所有空间理论？解析：需要比较理论的具体范围和预测，关系与空间计算可能部分共享。一个关联结果无法独自解决全部理论争议。</w:t>
      </w:r>
    </w:p>
    <w:p>
      <w:pPr>
        <w:pStyle w:val="BodyText"/>
      </w:pPr>
      <w:r>
        <w:t xml:space="preserve">问题四：新记忆经过时间后测试更概括，能否说记忆从一个地方完整搬到另一个地方？解析：网络依赖与表征性质可能共同改变，需要区分存储位置、内容和提取方式。系统巩固理论具有多种解释。</w:t>
      </w:r>
    </w:p>
    <w:p>
      <w:pPr>
        <w:pStyle w:val="BodyText"/>
      </w:pPr>
      <w:r>
        <w:t xml:space="preserve">问题五：先备知识帮助学习，为什么也会造成错误？解析：已有结构提供预测和检索路径，但可能把不匹配信息强行纳入旧规则。学习需要同时利用结构和检查例外。</w:t>
      </w:r>
    </w:p>
    <w:p>
      <w:pPr>
        <w:pStyle w:val="BodyText"/>
      </w:pPr>
      <w:r>
        <w:t xml:space="preserve">问题六：一个日历提醒已经出现，个人仍未完成行动，可能是哪一环失败？解析：可能没有注意提醒、忘记动作含义、当前无法执行或缺少后续恢复机制。前瞻记忆需要与行动管理共同分析。</w:t>
      </w:r>
    </w:p>
    <w:p>
      <w:pPr>
        <w:pStyle w:val="BodyText"/>
      </w:pPr>
      <w:r>
        <w:t xml:space="preserve">问题七：对相似概念的学习，为什么既需要比较又需要区分？解析：比较提取共享结构，区分保留诊断性差异。目标是形成可以概括且能够避免混淆的知识组织，两种计算共同服务于迁移。</w:t>
      </w:r>
    </w:p>
    <w:bookmarkEnd w:id="470"/>
    <w:bookmarkEnd w:id="471"/>
    <w:bookmarkStart w:id="495" w:name="ch-26"/>
    <w:p>
      <w:pPr>
        <w:pStyle w:val="Heading2"/>
      </w:pPr>
      <w:r>
        <w:t xml:space="preserve">第26章　记忆重建与事实准确性</w:t>
      </w:r>
    </w:p>
    <w:bookmarkStart w:id="472" w:name="sec-26-1"/>
    <w:p>
      <w:pPr>
        <w:pStyle w:val="Heading3"/>
      </w:pPr>
      <w:r>
        <w:t xml:space="preserve">26.1　核心判断</w:t>
      </w:r>
    </w:p>
    <w:p>
      <w:pPr>
        <w:pStyle w:val="FirstParagraph"/>
      </w:pPr>
      <w:r>
        <w:t xml:space="preserve">记忆报告由编码时的信息、后续经历、提取线索和来源判断共同影响。完整录像式保存、无加工回放的强模型无法解释大量实验结果。对这一判断的置信度高。记忆具有重建性，也不意味着每段回忆都不可靠，或具体事件可以被任意否定。</w:t>
      </w:r>
    </w:p>
    <w:p>
      <w:pPr>
        <w:pStyle w:val="BodyText"/>
      </w:pPr>
      <w:r>
        <w:t xml:space="preserve">首先应区分事件、记忆痕迹、提取体验和报告。事件是外部发生的事情；痕迹涉及经验留下的持续改变；体验包括画面、熟悉感和情绪；报告是当事人最终表达的内容。研究经常只能直接观察最后两层，因此对储存机制的推断需要额外证据。</w:t>
      </w:r>
    </w:p>
    <w:bookmarkEnd w:id="472"/>
    <w:bookmarkStart w:id="473" w:name="sec-26-2"/>
    <w:p>
      <w:pPr>
        <w:pStyle w:val="Heading3"/>
      </w:pPr>
      <w:r>
        <w:t xml:space="preserve">26.2　编码本身具有选择性</w:t>
      </w:r>
    </w:p>
    <w:p>
      <w:pPr>
        <w:pStyle w:val="FirstParagraph"/>
      </w:pPr>
      <w:r>
        <w:t xml:space="preserve">一个场景包含远多于当事人能够同时详细处理的信息。注意、目标、已有知识和感官条件影响哪些细节进入后续记忆。没有记录下来的细节，与记录后遗忘的细节，在行为上可能都表现为想不起来。</w:t>
      </w:r>
    </w:p>
    <w:p>
      <w:pPr>
        <w:pStyle w:val="BodyText"/>
      </w:pPr>
      <w:r>
        <w:t xml:space="preserve">人还会保留事件的意义与结构。例如，记得讨论的核心观点，却无法复现每个原句；记得某人态度急躁，却不确定具体语调。要旨有助于理解和应用，但在需要逐字、逐时核验时，可能不足以支持精细判断。</w:t>
      </w:r>
    </w:p>
    <w:p>
      <w:pPr>
        <w:pStyle w:val="BodyText"/>
      </w:pPr>
      <w:r>
        <w:t xml:space="preserve">因此，回忆准确性的评估需要指定分辨率。大体事件正确、人物正确、时间正确和逐字内容正确，是不同结局。笼统地问记忆是否真实，容易掩盖哪些部分有证据、哪些部分仍不确定。</w:t>
      </w:r>
    </w:p>
    <w:bookmarkEnd w:id="473"/>
    <w:bookmarkStart w:id="474" w:name="sec-26-3"/>
    <w:p>
      <w:pPr>
        <w:pStyle w:val="Heading3"/>
      </w:pPr>
      <w:r>
        <w:t xml:space="preserve">26.3　后续信息怎样进入回忆</w:t>
      </w:r>
    </w:p>
    <w:p>
      <w:pPr>
        <w:pStyle w:val="FirstParagraph"/>
      </w:pPr>
      <w:r>
        <w:t xml:space="preserve">Loftus与Palmer1974年改变事故影片后的提问动词，观察到速度估计改变，随后对影片中不存在的碎玻璃的报告也受到影响</w:t>
      </w:r>
      <w:r>
        <w:rPr>
          <w:vertAlign w:val="superscript"/>
        </w:rPr>
        <w:t xml:space="preserve">[</w:t>
      </w:r>
      <w:hyperlink w:anchor="ref-264">
        <w:r>
          <w:rPr>
            <w:rStyle w:val="Hyperlink"/>
            <w:vertAlign w:val="superscript"/>
          </w:rPr>
          <w:t xml:space="preserve">264</w:t>
        </w:r>
      </w:hyperlink>
      <w:r>
        <w:rPr>
          <w:vertAlign w:val="superscript"/>
        </w:rPr>
        <w:t xml:space="preserve">]</w:t>
      </w:r>
      <w:r>
        <w:t xml:space="preserve">。关键在于原始影片相同，后续语言不同，报告因此发生差异。</w:t>
      </w:r>
    </w:p>
    <w:p>
      <w:pPr>
        <w:pStyle w:val="BodyText"/>
      </w:pPr>
      <w:r>
        <w:t xml:space="preserve">这个设计能够否定报告完全由原始输入决定的强假说，但单凭行为结果，难以唯一决定错误发生在痕迹改变、来源混淆还是回答决策阶段。将所有误导效应直接写成大脑原件已被覆盖，会超过实验能够确定的机制。</w:t>
      </w:r>
    </w:p>
    <w:p>
      <w:pPr>
        <w:pStyle w:val="BodyText"/>
      </w:pPr>
      <w:r>
        <w:t xml:space="preserve">后续信息可以来自他人叙述、新闻、照片、提问和自己的反复想象。它们增加的信息可能正确，也可能错误。研究的重点是信息来源如何被标记和再次判断，不能简单把所有外部提醒都视为污染。</w:t>
      </w:r>
    </w:p>
    <w:bookmarkEnd w:id="474"/>
    <w:bookmarkStart w:id="475" w:name="sec-26-4"/>
    <w:p>
      <w:pPr>
        <w:pStyle w:val="Heading3"/>
      </w:pPr>
      <w:r>
        <w:t xml:space="preserve">26.4　意义加工也会产生错误</w:t>
      </w:r>
    </w:p>
    <w:p>
      <w:pPr>
        <w:pStyle w:val="FirstParagraph"/>
      </w:pPr>
      <w:r>
        <w:t xml:space="preserve">Roediger与McDermott1995年使用围绕某个未呈现主题词组织的词表，观察到参与者错误回忆和再认该主题词</w:t>
      </w:r>
      <w:r>
        <w:rPr>
          <w:vertAlign w:val="superscript"/>
        </w:rPr>
        <w:t xml:space="preserve">[</w:t>
      </w:r>
      <w:hyperlink w:anchor="ref-265">
        <w:r>
          <w:rPr>
            <w:rStyle w:val="Hyperlink"/>
            <w:vertAlign w:val="superscript"/>
          </w:rPr>
          <w:t xml:space="preserve">265</w:t>
        </w:r>
      </w:hyperlink>
      <w:r>
        <w:rPr>
          <w:vertAlign w:val="superscript"/>
        </w:rPr>
        <w:t xml:space="preserve">]</w:t>
      </w:r>
      <w:r>
        <w:t xml:space="preserve">。这说明某些错误可以在没有他人蓄意诱导时产生，语义联系与来源判断本身就能影响报告。</w:t>
      </w:r>
    </w:p>
    <w:p>
      <w:pPr>
        <w:pStyle w:val="BodyText"/>
      </w:pPr>
      <w:r>
        <w:t xml:space="preserve">词表范式具有清楚的客观记录，便于确定哪些词出现过。它的优势是机制控制，限制是与复杂人生事件的距离。实验中某种错误率不能直接用来估计创伤陈述、证人证词或日常回忆的虚假比例。</w:t>
      </w:r>
    </w:p>
    <w:bookmarkEnd w:id="475"/>
    <w:bookmarkStart w:id="476" w:name="sec-26-5"/>
    <w:p>
      <w:pPr>
        <w:pStyle w:val="Heading3"/>
      </w:pPr>
      <w:r>
        <w:t xml:space="preserve">26.5　来源监测与判断标准</w:t>
      </w:r>
    </w:p>
    <w:p>
      <w:pPr>
        <w:pStyle w:val="FirstParagraph"/>
      </w:pPr>
      <w:r>
        <w:t xml:space="preserve">当一个内容浮现时，人需要判断它来自亲眼所见、他人转述、阅读、想象还是推理。Johnson等的来源监测框架把这种判断理解为对感知细节、情境、情绪和认知操作等线索的评估</w:t>
      </w:r>
      <w:r>
        <w:rPr>
          <w:vertAlign w:val="superscript"/>
        </w:rPr>
        <w:t xml:space="preserve">[</w:t>
      </w:r>
      <w:hyperlink w:anchor="ref-266">
        <w:r>
          <w:rPr>
            <w:rStyle w:val="Hyperlink"/>
            <w:vertAlign w:val="superscript"/>
          </w:rPr>
          <w:t xml:space="preserve">266</w:t>
        </w:r>
      </w:hyperlink>
      <w:r>
        <w:rPr>
          <w:vertAlign w:val="superscript"/>
        </w:rPr>
        <w:t xml:space="preserve">]</w:t>
      </w:r>
      <w:r>
        <w:t xml:space="preserve">。任何单一线索都可能不完美，因此清晰感无法独自认证来源。来源记忆还可能与内容熟悉性分离：知道一个说法很熟悉，却忘记最初在哪里见过。</w:t>
      </w:r>
    </w:p>
    <w:p>
      <w:pPr>
        <w:pStyle w:val="BodyText"/>
      </w:pPr>
      <w:r>
        <w:t xml:space="preserve">反复想象可以增加熟悉度，反复听到同一叙述也可能增强可提取性。熟悉度提高之后，当事人可能更容易接受内容，但这与外部事实是否发生仍是两个问题。研究和访谈应记录首次来源，避免在反复传播后失去可追溯性。</w:t>
      </w:r>
    </w:p>
    <w:p>
      <w:pPr>
        <w:pStyle w:val="BodyText"/>
      </w:pPr>
      <w:r>
        <w:t xml:space="preserve">回答标准也会影响报告。若被试被鼓励尽量多说，可能提供更多正确细节，也可能增加错误；若强调只说确定内容，错误可能减少，同时遗漏更多信息。评价记忆必须同时看命中、误报和遗漏，不能只看说得多不多。</w:t>
      </w:r>
    </w:p>
    <w:bookmarkEnd w:id="476"/>
    <w:bookmarkStart w:id="477" w:name="sec-26-6"/>
    <w:p>
      <w:pPr>
        <w:pStyle w:val="Heading3"/>
      </w:pPr>
      <w:r>
        <w:t xml:space="preserve">26.6　提取具有目标依赖性</w:t>
      </w:r>
    </w:p>
    <w:p>
      <w:pPr>
        <w:pStyle w:val="FirstParagraph"/>
      </w:pPr>
      <w:r>
        <w:t xml:space="preserve">同一个经历可以在不同问题下提取不同部分。询问地点、原因或感受，会引导注意不同线索。提问本身因此成为测量条件，不能把所有不同报告都解释成当事人故意改变说法。</w:t>
      </w:r>
    </w:p>
    <w:p>
      <w:pPr>
        <w:pStyle w:val="BodyText"/>
      </w:pPr>
      <w:r>
        <w:t xml:space="preserve">不过，报告随问题改变也不能证明所有内容都同样可信。研究者应区分合理的选择性提取、推断补充与事实矛盾。独立记录和最初陈述能够帮助判断，单靠主观连贯性往往不够。</w:t>
      </w:r>
    </w:p>
    <w:p>
      <w:pPr>
        <w:pStyle w:val="BodyText"/>
      </w:pPr>
      <w:r>
        <w:t xml:space="preserve">提取还可能改变未来可获得的信息。经常回想的部分更容易再次想起，未被回想的部分可能较难获得。具体机制与边界需要研究，不能把每次回忆都概括成全盘重写。</w:t>
      </w:r>
      <w:hyperlink w:anchor="ch-27">
        <w:r>
          <w:rPr>
            <w:rStyle w:val="Hyperlink"/>
          </w:rPr>
          <w:t xml:space="preserve">第27章</w:t>
        </w:r>
      </w:hyperlink>
      <w:r>
        <w:t xml:space="preserve">和</w:t>
      </w:r>
      <w:hyperlink w:anchor="ch-28">
        <w:r>
          <w:rPr>
            <w:rStyle w:val="Hyperlink"/>
          </w:rPr>
          <w:t xml:space="preserve">第28章</w:t>
        </w:r>
      </w:hyperlink>
      <w:r>
        <w:t xml:space="preserve">分别讨论主观确信和记忆更新。</w:t>
      </w:r>
    </w:p>
    <w:bookmarkEnd w:id="477"/>
    <w:bookmarkStart w:id="478" w:name="sec-26-7"/>
    <w:p>
      <w:pPr>
        <w:pStyle w:val="Heading3"/>
      </w:pPr>
      <w:r>
        <w:t xml:space="preserve">26.7　记忆准确性怎样测量</w:t>
      </w:r>
    </w:p>
    <w:p>
      <w:pPr>
        <w:pStyle w:val="FirstParagraph"/>
      </w:pPr>
      <w:r>
        <w:t xml:space="preserve">实验室研究通常保留呈现材料作为标准答案，可以精确计算错误。自传记忆研究则常缺少完整外部记录。此时，一致性、家人验证和文件证据各有局限。两次报告相同，可能因为稳定真实，也可能因为稳定错误。</w:t>
      </w:r>
    </w:p>
    <w:p>
      <w:pPr>
        <w:pStyle w:val="BodyText"/>
      </w:pPr>
      <w:r>
        <w:t xml:space="preserve">两次报告不同，也可能包含纠正。最早报告未必完全正确，后来得到新证据后修改可能提高准确性。因此，一致性应被当作一个指标，不能直接等同于真实性。</w:t>
      </w:r>
    </w:p>
    <w:p>
      <w:pPr>
        <w:pStyle w:val="BodyText"/>
      </w:pPr>
      <w:r>
        <w:t xml:space="preserve">高质量研究会尽量使用独立记录，例如当时日记、时间戳、影像或可核验事件，同时明确这些记录是否完整。即使有记录，也要注意其来源与偏倚。记忆与文件之间的分歧，需要具体分析，不能自动偏向任一方。</w:t>
      </w:r>
    </w:p>
    <w:bookmarkEnd w:id="478"/>
    <w:bookmarkStart w:id="479" w:name="sec-26-8"/>
    <w:p>
      <w:pPr>
        <w:pStyle w:val="Heading3"/>
      </w:pPr>
      <w:r>
        <w:t xml:space="preserve">26.8　对日常自我理解的含义</w:t>
      </w:r>
    </w:p>
    <w:p>
      <w:pPr>
        <w:pStyle w:val="FirstParagraph"/>
      </w:pPr>
      <w:r>
        <w:t xml:space="preserve">回忆可以帮助理解个人经历，但当前情绪和解释框架可能影响选择与组织。一个人在不同阶段重新理解往事，并不必然意味着某次叙述完全虚构；也不能因为新的解释更有情绪力量，就认为其事实细节更准确。</w:t>
      </w:r>
    </w:p>
    <w:p>
      <w:pPr>
        <w:pStyle w:val="BodyText"/>
      </w:pPr>
      <w:r>
        <w:t xml:space="preserve">可以将事实陈述、当时体验和当前解释分开记录。例如，某次会议没有得到回应是可核查事件；当时感到受排斥是主观体验；所有人都看不起自己是进一步解释。三者需要不同证据，分开后更容易发现可修正环节。</w:t>
      </w:r>
    </w:p>
    <w:p>
      <w:pPr>
        <w:pStyle w:val="BodyText"/>
      </w:pPr>
      <w:r>
        <w:t xml:space="preserve">这种区分也有助于避免将记忆科学当作否定工具。知道人会误记，不能据此认定某人说谎。具体评价仍需事件证据、获取条件和询问过程。普遍可错性无法承担个案真假裁决。</w:t>
      </w:r>
    </w:p>
    <w:bookmarkEnd w:id="479"/>
    <w:bookmarkStart w:id="480" w:name="sec-26-9"/>
    <w:p>
      <w:pPr>
        <w:pStyle w:val="Heading3"/>
      </w:pPr>
      <w:r>
        <w:t xml:space="preserve">26.9　一个访谈设计实例</w:t>
      </w:r>
    </w:p>
    <w:p>
      <w:pPr>
        <w:pStyle w:val="FirstParagraph"/>
      </w:pPr>
      <w:r>
        <w:t xml:space="preserve">假设需要了解一次复杂会议。较好的起点是让当事人自由叙述，再围绕已经提到的内容作中性澄清。记录不确定部分、首次出现时间和信息来源，保留原始措辞。</w:t>
      </w:r>
    </w:p>
    <w:p>
      <w:pPr>
        <w:pStyle w:val="BodyText"/>
      </w:pPr>
      <w:r>
        <w:t xml:space="preserve">如果询问者先提供一个详细版本，再问是否如此，当事人可能吸收其中内容。后续叙述与版本一致，也可能只是共享了同一信息源。独立证据应尽量在相互影响之前收集。</w:t>
      </w:r>
    </w:p>
    <w:p>
      <w:pPr>
        <w:pStyle w:val="BodyText"/>
      </w:pPr>
      <w:r>
        <w:t xml:space="preserve">当多名目击者相互讨论过，报告之间的一致性不能简单当作多个独立证据相乘。需要追溯他们是否共同观看媒体、听过彼此说法或接受相同暗示。证据独立性直接影响可信度判断。</w:t>
      </w:r>
    </w:p>
    <w:bookmarkEnd w:id="480"/>
    <w:bookmarkStart w:id="481" w:name="sec-26-10"/>
    <w:p>
      <w:pPr>
        <w:pStyle w:val="Heading3"/>
      </w:pPr>
      <w:r>
        <w:t xml:space="preserve">26.10　事件表征包含多个维度</w:t>
      </w:r>
    </w:p>
    <w:p>
      <w:pPr>
        <w:pStyle w:val="FirstParagraph"/>
      </w:pPr>
      <w:r>
        <w:t xml:space="preserve">一个事件可以同时留下人物、地点、动作、时间、情绪、目标和感知细节。各维度的编码强度与后续可提取性可能不同。记住“发生过争论”，未必记住每句话；记住某句话，未必记住是谁先说；记住场景布置，也未必准确恢复事件顺序。对回忆进行整体真伪判断之前，常需要分解其组成。</w:t>
      </w:r>
    </w:p>
    <w:p>
      <w:pPr>
        <w:pStyle w:val="BodyText"/>
      </w:pPr>
      <w:r>
        <w:t xml:space="preserve">这种分解有助于解释部分正确与部分错误并存。一个人可以准确识别人和地点，却把相似事件中的一句话带入当前回忆。错误不一定均匀分布，也不一定让全部事件失去证据价值。科学分析应逐项核对内容、来源和独立支持。</w:t>
      </w:r>
    </w:p>
    <w:p>
      <w:pPr>
        <w:pStyle w:val="BodyText"/>
      </w:pPr>
      <w:r>
        <w:t xml:space="preserve">编码时注意的选择还会影响信息覆盖。参与者集中观察目标动作，周边物体可能只有较弱表征；后来被要求报告周边细节时，常识和推测就更可能进入回答。这个机制预测，提问内容与当时注意目标的对应关系会影响准确性，需要通过实验操纵检验。</w:t>
      </w:r>
    </w:p>
    <w:bookmarkEnd w:id="481"/>
    <w:bookmarkStart w:id="486" w:name="sec-26-11"/>
    <w:p>
      <w:pPr>
        <w:pStyle w:val="Heading3"/>
      </w:pPr>
      <w:r>
        <w:t xml:space="preserve">26.11　来源监测的计算问题</w:t>
      </w:r>
    </w:p>
    <w:p>
      <w:pPr>
        <w:pStyle w:val="FirstParagraph"/>
      </w:pPr>
      <w:r>
        <w:t xml:space="preserve">可以把来源判断看作多线索分类。某记忆具有丰富视觉细节，可能增加“亲眼看见”的判断；若同时记得自己反复想象的过程，又可能支持“想象来源”。不同线索可靠性随任务改变，判断标准也会随动机和提问调整。这个框架不要求每条记忆带着一个永不出错的来源标签。</w:t>
      </w:r>
    </w:p>
    <w:p>
      <w:pPr>
        <w:pStyle w:val="Figure"/>
      </w:pPr>
      <w:r>
        <w:drawing>
          <wp:inline>
            <wp:extent cx="5334000" cy="4590585"/>
            <wp:effectExtent b="0" l="0" r="0" t="0"/>
            <wp:docPr descr="B图1 回忆形成与来源判断的功能流程" title="" id="483" name="Picture"/>
            <a:graphic>
              <a:graphicData uri="http://schemas.openxmlformats.org/drawingml/2006/picture">
                <pic:pic>
                  <pic:nvPicPr>
                    <pic:cNvPr descr="/tmp/claude-0/-home-user-i18ns/3184e246-229e-5a65-b6f3-3f7647a222c4/scratchpad/src/B_media/media/image5.png" id="484" name="Picture"/>
                    <pic:cNvPicPr>
                      <a:picLocks noChangeArrowheads="1" noChangeAspect="1"/>
                    </pic:cNvPicPr>
                  </pic:nvPicPr>
                  <pic:blipFill>
                    <a:blip r:embed="rId482"/>
                    <a:stretch>
                      <a:fillRect/>
                    </a:stretch>
                  </pic:blipFill>
                  <pic:spPr bwMode="auto">
                    <a:xfrm>
                      <a:off x="0" y="0"/>
                      <a:ext cx="5334000" cy="4590585"/>
                    </a:xfrm>
                    <a:prstGeom prst="rect">
                      <a:avLst/>
                    </a:prstGeom>
                    <a:noFill/>
                    <a:ln w="9525">
                      <a:noFill/>
                      <a:headEnd/>
                      <a:tailEnd/>
                    </a:ln>
                  </pic:spPr>
                </pic:pic>
              </a:graphicData>
            </a:graphic>
          </wp:inline>
        </w:drawing>
      </w:r>
    </w:p>
    <w:p>
      <w:pPr>
        <w:pStyle w:val="ImageCaption"/>
      </w:pPr>
      <w:bookmarkStart w:id="485" w:name="fig-b1"/>
      <w:bookmarkEnd w:id="485"/>
      <w:r>
        <w:rPr>
          <w:bCs/>
          <w:b/>
        </w:rPr>
        <w:t xml:space="preserve">图 4　</w:t>
      </w:r>
      <w:r>
        <w:t xml:space="preserve">回忆形成与来源判断的功能流程。箭头表示便于教学的功能关系，多项过程可以并行并相互影响。后续信息与已有知识能够影响提取及来源判断，因此同一回忆报告可能同时包含正确细节、推断和错误细节。独立记录与外部证据进入事实核对环节，图中没有把它们视为回忆生成的必要内部步骤。该图不表示单一脑区链条，也不提供特定个体回忆真假的判定方法</w:t>
      </w:r>
      <w:r>
        <w:rPr>
          <w:vertAlign w:val="superscript"/>
        </w:rPr>
        <w:t xml:space="preserve">[</w:t>
      </w:r>
      <w:hyperlink w:anchor="ref-264">
        <w:r>
          <w:rPr>
            <w:rStyle w:val="Hyperlink"/>
            <w:vertAlign w:val="superscript"/>
          </w:rPr>
          <w:t xml:space="preserve">264</w:t>
        </w:r>
      </w:hyperlink>
      <w:r>
        <w:rPr>
          <w:vertAlign w:val="superscript"/>
        </w:rPr>
        <w:t xml:space="preserve">,</w:t>
      </w:r>
      <w:hyperlink w:anchor="ref-265">
        <w:r>
          <w:rPr>
            <w:rStyle w:val="Hyperlink"/>
            <w:vertAlign w:val="superscript"/>
          </w:rPr>
          <w:t xml:space="preserve">265</w:t>
        </w:r>
      </w:hyperlink>
      <w:r>
        <w:rPr>
          <w:vertAlign w:val="superscript"/>
        </w:rPr>
        <w:t xml:space="preserve">,</w:t>
      </w:r>
      <w:hyperlink w:anchor="ref-266">
        <w:r>
          <w:rPr>
            <w:rStyle w:val="Hyperlink"/>
            <w:vertAlign w:val="superscript"/>
          </w:rPr>
          <w:t xml:space="preserve">266</w:t>
        </w:r>
      </w:hyperlink>
      <w:r>
        <w:rPr>
          <w:vertAlign w:val="superscript"/>
        </w:rPr>
        <w:t xml:space="preserve">]</w:t>
      </w:r>
      <w:r>
        <w:t xml:space="preserve">。</w:t>
      </w:r>
    </w:p>
    <w:bookmarkEnd w:id="486"/>
    <w:bookmarkStart w:id="487" w:name="sec-26-12"/>
    <w:p>
      <w:pPr>
        <w:pStyle w:val="Heading3"/>
      </w:pPr>
      <w:r>
        <w:t xml:space="preserve">26.12　细节痕迹与意义概括</w:t>
      </w:r>
    </w:p>
    <w:p>
      <w:pPr>
        <w:pStyle w:val="FirstParagraph"/>
      </w:pPr>
      <w:r>
        <w:t xml:space="preserve">模糊痕迹理论区分较具体的逐项信息与较抽象的意义表征，用它们解释某些正确和错误记忆模式</w:t>
      </w:r>
      <w:r>
        <w:rPr>
          <w:vertAlign w:val="superscript"/>
        </w:rPr>
        <w:t xml:space="preserve">[</w:t>
      </w:r>
      <w:hyperlink w:anchor="ref-267">
        <w:r>
          <w:rPr>
            <w:rStyle w:val="Hyperlink"/>
            <w:vertAlign w:val="superscript"/>
          </w:rPr>
          <w:t xml:space="preserve">267</w:t>
        </w:r>
      </w:hyperlink>
      <w:r>
        <w:rPr>
          <w:vertAlign w:val="superscript"/>
        </w:rPr>
        <w:t xml:space="preserve">]</w:t>
      </w:r>
      <w:r>
        <w:t xml:space="preserve">。理论中的区分是功能性建模，不意味着脑内存在两盒互不相连的实体文件。不同任务对两类信息的利用程度可能不同。</w:t>
      </w:r>
    </w:p>
    <w:p>
      <w:pPr>
        <w:pStyle w:val="BodyText"/>
      </w:pPr>
      <w:r>
        <w:t xml:space="preserve">设学生读到“几名居民在暴雨后离开低洼房屋”。后来回忆成“居民因洪水撤离”，可能保留了事件主旨，同时加入文本没有明确说明的因果或程度。若任务只要求概括，回答可能接近目标；若任务要求逐字事实核对，加入的内容就需要标注为推断。准确性标准随问题要求变化。</w:t>
      </w:r>
    </w:p>
    <w:p>
      <w:pPr>
        <w:pStyle w:val="BodyText"/>
      </w:pPr>
      <w:r>
        <w:t xml:space="preserve">意义概括有利于理解与迁移，也可能使相似事件混淆。教学可以同时练习概括和证据定位：先用自己的话解释主旨，再指出原文支持哪些细节、哪些属于合理推测。这样能够把理解优势与事实精度共同训练。</w:t>
      </w:r>
    </w:p>
    <w:bookmarkEnd w:id="487"/>
    <w:bookmarkStart w:id="488" w:name="sec-26-13"/>
    <w:p>
      <w:pPr>
        <w:pStyle w:val="Heading3"/>
      </w:pPr>
      <w:r>
        <w:t xml:space="preserve">26.13　提取线索的匹配与竞争</w:t>
      </w:r>
    </w:p>
    <w:p>
      <w:pPr>
        <w:pStyle w:val="FirstParagraph"/>
      </w:pPr>
      <w:r>
        <w:t xml:space="preserve">提取线索与编码时的表征匹配程度，会影响可访问性。同一个项目可以通过地点、类别、时间或目的被想起。线索过于宽泛时，多个记忆竞争；线索具有独特关系时，目标更容易被区分。忘记某事可能意味着当前线索不足，不能自动证明痕迹完全消失。</w:t>
      </w:r>
    </w:p>
    <w:p>
      <w:pPr>
        <w:pStyle w:val="BodyText"/>
      </w:pPr>
      <w:r>
        <w:t xml:space="preserve">一个假设例子是回忆某位教师的名字。直接问名字时失败，想起授课教室、课程主题和当时同学后成功。新增线索改变了检索条件。这个例子说明访问失败与存储不存在在逻辑上不同，具体机制需要任务证据。</w:t>
      </w:r>
    </w:p>
    <w:p>
      <w:pPr>
        <w:pStyle w:val="BodyText"/>
      </w:pPr>
      <w:r>
        <w:t xml:space="preserve">线索也可能引导错误。若问题暗示某件物品存在，参与者可能在回忆中搜索符合暗示的内容，再把符合情境的推测当成提取结果。中性开放问题通常能够减少这种预设，同时仍需根据任务与人群验证具体效果。准确回忆需要允许“不知道”和“记不清”作为有效回答。</w:t>
      </w:r>
    </w:p>
    <w:bookmarkEnd w:id="488"/>
    <w:bookmarkStart w:id="489" w:name="sec-26-14"/>
    <w:p>
      <w:pPr>
        <w:pStyle w:val="Heading3"/>
      </w:pPr>
      <w:r>
        <w:t xml:space="preserve">26.14　重复回忆的双重作用</w:t>
      </w:r>
    </w:p>
    <w:p>
      <w:pPr>
        <w:pStyle w:val="FirstParagraph"/>
      </w:pPr>
      <w:r>
        <w:t xml:space="preserve">重复提取可以提高以后访问某些内容的机会，也可能反复强化已经混入的错误。每次回忆后的反馈质量因此重要。若错误答案得到确认，熟悉性和信心可能继续增加；若及时获得准确纠正，后续表现可能改善。重复次数本身无法决定最终准确性。</w:t>
      </w:r>
    </w:p>
    <w:p>
      <w:pPr>
        <w:pStyle w:val="BodyText"/>
      </w:pPr>
      <w:r>
        <w:t xml:space="preserve">不同回忆之间还可能相互竞争。集中练习某些项目，可能改变同类其他项目的可访问性；后续环境又可能恢复不同线索。研究需要区分项目保持、类别竞争和测试策略。教学中可以通过覆盖不同项目、变换线索和反馈检查减少偏向。</w:t>
      </w:r>
    </w:p>
    <w:p>
      <w:pPr>
        <w:pStyle w:val="BodyText"/>
      </w:pPr>
      <w:r>
        <w:t xml:space="preserve">对现实事件，反复讲述也会逐渐形成稳定叙事。稳定性可以提高交流效率，却无法单独证明每个细节都与原事件一致。核对早期记录、区分亲历与后知信息，可以帮助保留来源。越晚形成的细节，越需要了解它出现的过程。</w:t>
      </w:r>
    </w:p>
    <w:bookmarkEnd w:id="489"/>
    <w:bookmarkStart w:id="490" w:name="sec-26-15"/>
    <w:p>
      <w:pPr>
        <w:pStyle w:val="Heading3"/>
      </w:pPr>
      <w:r>
        <w:t xml:space="preserve">26.15　想象与事实的边界管理</w:t>
      </w:r>
    </w:p>
    <w:p>
      <w:pPr>
        <w:pStyle w:val="FirstParagraph"/>
      </w:pPr>
      <w:r>
        <w:t xml:space="preserve">想象可以帮助计划、理解和创造，它会调用与经验有关的内容并形成新的组合。使用想象训练时，应清楚标注目标是模拟可能情境还是恢复历史事实。两种任务的评价标准不同：模拟关注可行性与解释力，历史核对关注独立证据。</w:t>
      </w:r>
    </w:p>
    <w:p>
      <w:pPr>
        <w:pStyle w:val="BodyText"/>
      </w:pPr>
      <w:r>
        <w:t xml:space="preserve">一个练习可以让学生分别写下观察、解释和假设。观察记录直接获得的信息，解释说明可能因果，假设提出尚待验证的情况。后续复习时保留这些标签，有助于防止信息来源混合。标签本身也可能遗忘，因此重要判断还需保存原始材料。</w:t>
      </w:r>
    </w:p>
    <w:bookmarkEnd w:id="490"/>
    <w:bookmarkStart w:id="491" w:name="sec-26-16"/>
    <w:p>
      <w:pPr>
        <w:pStyle w:val="Heading3"/>
      </w:pPr>
      <w:r>
        <w:t xml:space="preserve">26.16　记忆错误与适应性推理</w:t>
      </w:r>
    </w:p>
    <w:p>
      <w:pPr>
        <w:pStyle w:val="FirstParagraph"/>
      </w:pPr>
      <w:r>
        <w:t xml:space="preserve">记忆系统需要在有限资源下支持未来行为。保存全部细节成本高，若每次都必须保留全部表面细节，很多推理也会变得困难；概括规律可以帮助理解和预测新情境，具有适应价值。利用先验知识补全缺失信息，通常能加快理解，也会在先验与实际不一致时产生系统性错误，使人把推断误认成经历。科学问题是概括在何种条件下帮助理解，又在何种条件下导致这类错误；两种结果需要同一个受约束机制解释。适应性解释说明可能的计算权衡，不能把每一种错误都自动称为有益。</w:t>
      </w:r>
    </w:p>
    <w:p>
      <w:pPr>
        <w:pStyle w:val="BodyText"/>
      </w:pPr>
      <w:r>
        <w:t xml:space="preserve">例如，日常经验告诉人们餐厅里通常有菜单。回忆一个陌生房间时，若场景被理解为餐厅，菜单可能成为容易生成的细节。这个推断在很多场合实用，在证词和实验核对中却可能造成错误。准确任务需要提高对具体证据的权重。</w:t>
      </w:r>
    </w:p>
    <w:p>
      <w:pPr>
        <w:pStyle w:val="BodyText"/>
      </w:pPr>
      <w:r>
        <w:t xml:space="preserve">学习者可以练习寻找违反预期的细节。把相似事件并列比较，标注共同点与关键差别，有助于形成更可区分的表征。对高风险信息，保留外部记录可以降低对单次回忆重建的依赖。</w:t>
      </w:r>
    </w:p>
    <w:bookmarkEnd w:id="491"/>
    <w:bookmarkStart w:id="492" w:name="sec-26-17"/>
    <w:p>
      <w:pPr>
        <w:pStyle w:val="Heading3"/>
      </w:pPr>
      <w:r>
        <w:t xml:space="preserve">26.17　事实核对的分层练习</w:t>
      </w:r>
    </w:p>
    <w:p>
      <w:pPr>
        <w:pStyle w:val="FirstParagraph"/>
      </w:pPr>
      <w:r>
        <w:t xml:space="preserve">给定一段假设事故回忆：“我听到巨响，看到蓝色车停在路边，司机一定在看手机。”可以分成听觉观察、视觉观察和因果推断三部分。前两部分也可能有误，仍可寻找录音、影像或其他独立证据；第三部分需要额外依据。把整句话视为同一证据强度，会混淆层次。</w:t>
      </w:r>
    </w:p>
    <w:p>
      <w:pPr>
        <w:pStyle w:val="BodyText"/>
      </w:pPr>
      <w:r>
        <w:t xml:space="preserve">若后来朋友说车是绿色，参与者开始怀疑颜色，可以记录信息进入的时间和来源。后续回忆颜色变化可能来自纠正，也可能来自误导，必须用独立材料判断。变化本身不能确定方向。</w:t>
      </w:r>
    </w:p>
    <w:bookmarkEnd w:id="492"/>
    <w:bookmarkStart w:id="493" w:name="sec-26-18"/>
    <w:p>
      <w:pPr>
        <w:pStyle w:val="Heading3"/>
      </w:pPr>
      <w:r>
        <w:t xml:space="preserve">26.18　独立证据与共同来源</w:t>
      </w:r>
    </w:p>
    <w:p>
      <w:pPr>
        <w:pStyle w:val="FirstParagraph"/>
      </w:pPr>
      <w:r>
        <w:t xml:space="preserve">在数字信息环境中，同一句话可以通过多个账号反复出现。重复增加熟悉性，来源却可能仍是最初的一个未经验证说法。假设五个人都说同一条新闻中的细节真实，其中四人从同一个社交账号得知，只有一人亲历事件。五份报告的数量并不等于五份独立观察。若只凭“到处都见过”判断真实性，会把传播次数误当成独立证据数量。证据整合需要追踪信息链，把共同来源连起来，区分多个转载与多个独立观察，避免把转载链反复计入。</w:t>
      </w:r>
    </w:p>
    <w:p>
      <w:pPr>
        <w:pStyle w:val="BodyText"/>
      </w:pPr>
      <w:r>
        <w:t xml:space="preserve">记忆报告也可能通过共同讨论变得相似。参与者互相补充后形成一致叙述，这可以帮助发现遗漏，也可能传播一个人的错误。后续核对最好保存讨论前的独立记录，了解每条细节最早由谁提出。</w:t>
      </w:r>
    </w:p>
    <w:p>
      <w:pPr>
        <w:pStyle w:val="BodyText"/>
      </w:pPr>
      <w:r>
        <w:t xml:space="preserve">一致性与独立性因此是不同概念。完全相同的措辞可能增加对共同来源的怀疑，内容略有差异也不必然表示有人不诚实。真实观察位置、注意和语言表达本来就不同。判断需要结合事件结构与信息路径。</w:t>
      </w:r>
    </w:p>
    <w:p>
      <w:pPr>
        <w:pStyle w:val="BodyText"/>
      </w:pPr>
      <w:r>
        <w:t xml:space="preserve">对学习资料，建立来源表同样有用。把教材结论、原始研究、个人推理和课堂例子分开标注，复习时更容易知道哪些内容可直接引用，哪些仍需验证。来源管理本身就是记忆准确性的一部分。</w:t>
      </w:r>
    </w:p>
    <w:bookmarkEnd w:id="493"/>
    <w:bookmarkStart w:id="494" w:name="sec-26-19"/>
    <w:p>
      <w:pPr>
        <w:pStyle w:val="Heading3"/>
      </w:pPr>
      <w:r>
        <w:t xml:space="preserve">26.19　可推翻条件与学习检验</w:t>
      </w:r>
    </w:p>
    <w:p>
      <w:pPr>
        <w:pStyle w:val="FirstParagraph"/>
      </w:pPr>
      <w:r>
        <w:t xml:space="preserve">录像式强模型若要成立，需要说明为何相同原始经历在后续信息操纵下产生系统性内容差异，并给出能够区别于重建模型的预测。仅把所有错误称为读取故障，却没有独立测量，难以形成可检验解释。</w:t>
      </w:r>
    </w:p>
    <w:p>
      <w:pPr>
        <w:pStyle w:val="BodyText"/>
      </w:pPr>
      <w:r>
        <w:t xml:space="preserve">练习：某人多次讲述同一细节，能否证明该细节真实？解答：重复一致增加了稳定性信息，仍需检查共同来源、反复排练和外部记录。</w:t>
      </w:r>
    </w:p>
    <w:p>
      <w:pPr>
        <w:pStyle w:val="BodyText"/>
      </w:pPr>
      <w:r>
        <w:t xml:space="preserve">练习：词表实验产生错误记忆，是否能据此估计创伤陈述错误率？解答：材料、情绪、时间和社会情境不同，缺乏可成立的直接比例外推。</w:t>
      </w:r>
    </w:p>
    <w:p>
      <w:pPr>
        <w:pStyle w:val="BodyText"/>
      </w:pPr>
      <w:r>
        <w:t xml:space="preserve">练习：后来报告与初次不同，是否必然更差？解答：可能包含新错误，也可能纠正初次错误，需要独立标准判断。</w:t>
      </w:r>
    </w:p>
    <w:p>
      <w:pPr>
        <w:pStyle w:val="BodyText"/>
      </w:pPr>
      <w:r>
        <w:t xml:space="preserve">记忆重建的科学结论要求精细评价每一段信息的来源与证据。它反对无加工回放的强模型，也保留记忆在许多条件下准确、实用和可核验的事实。</w:t>
      </w:r>
    </w:p>
    <w:bookmarkEnd w:id="494"/>
    <w:bookmarkEnd w:id="495"/>
    <w:bookmarkStart w:id="514" w:name="ch-27"/>
    <w:p>
      <w:pPr>
        <w:pStyle w:val="Heading2"/>
      </w:pPr>
      <w:r>
        <w:t xml:space="preserve">第27章　鲜明感、自信与准确率</w:t>
      </w:r>
    </w:p>
    <w:bookmarkStart w:id="496" w:name="sec-27-1"/>
    <w:p>
      <w:pPr>
        <w:pStyle w:val="Heading3"/>
      </w:pPr>
      <w:r>
        <w:t xml:space="preserve">27.1　核心判断</w:t>
      </w:r>
    </w:p>
    <w:p>
      <w:pPr>
        <w:pStyle w:val="FirstParagraph"/>
      </w:pPr>
      <w:r>
        <w:t xml:space="preserve">鲜明回忆与高度自信无法无条件保证准确；在首次、程序合适且未受反馈污染的辨认中，自信可以具有重要预测价值。对这两项判断的置信度高。忽略条件、将自信一概视为可靠或一概视为无用，都会损失证据。</w:t>
      </w:r>
    </w:p>
    <w:p>
      <w:pPr>
        <w:pStyle w:val="BodyText"/>
      </w:pPr>
      <w:r>
        <w:t xml:space="preserve">鲜明度、自信、一致性和准确率必须分别定义。鲜明度是体验质量，自信是对正确性的判断，一致性是不同时间报告的相似程度，准确率是报告与外部事实的符合程度。四者可以相关，也可以分离。</w:t>
      </w:r>
    </w:p>
    <w:bookmarkEnd w:id="496"/>
    <w:bookmarkStart w:id="497" w:name="sec-27-2"/>
    <w:p>
      <w:pPr>
        <w:pStyle w:val="Heading3"/>
      </w:pPr>
      <w:r>
        <w:t xml:space="preserve">27.2　闪光灯记忆的关键发现</w:t>
      </w:r>
    </w:p>
    <w:p>
      <w:pPr>
        <w:pStyle w:val="FirstParagraph"/>
      </w:pPr>
      <w:r>
        <w:t xml:space="preserve">Talarico与Rubin2003年让54名大学生记录听闻重大事件的情境与一个日常事件，再于不同延迟复测。两类报告的一致性都下降，但重大事件的鲜明与确信保持较高</w:t>
      </w:r>
      <w:r>
        <w:rPr>
          <w:vertAlign w:val="superscript"/>
        </w:rPr>
        <w:t xml:space="preserve">[</w:t>
      </w:r>
      <w:hyperlink w:anchor="ref-268">
        <w:r>
          <w:rPr>
            <w:rStyle w:val="Hyperlink"/>
            <w:vertAlign w:val="superscript"/>
          </w:rPr>
          <w:t xml:space="preserve">268</w:t>
        </w:r>
      </w:hyperlink>
      <w:r>
        <w:rPr>
          <w:vertAlign w:val="superscript"/>
        </w:rPr>
        <w:t xml:space="preserve">]</w:t>
      </w:r>
      <w:r>
        <w:t xml:space="preserve">。研究直接测量的是报告一致性，缺少完整外部事件记录时，不能将其完全等同于客观准确率。</w:t>
      </w:r>
    </w:p>
    <w:p>
      <w:pPr>
        <w:pStyle w:val="BodyText"/>
      </w:pPr>
      <w:r>
        <w:t xml:space="preserve">这一限制不削弱核心结果：主观确信可以在内容发生变化时仍然很强。它限制的只是更广的表述，避免把一致性下降直接称为每个细节都被证明错误。</w:t>
      </w:r>
    </w:p>
    <w:p>
      <w:pPr>
        <w:pStyle w:val="BodyText"/>
      </w:pPr>
      <w:r>
        <w:t xml:space="preserve">重大事件可能被反复讲述，也可能接触大量媒体信息。反复提取可以保持连贯感，后续信息却可能改变细节。强烈情绪也可能增强某些核心内容，同时并不保证外围细节完整保存。具体模式需要按任务与条件检验。</w:t>
      </w:r>
    </w:p>
    <w:bookmarkEnd w:id="497"/>
    <w:bookmarkStart w:id="498" w:name="sec-27-3"/>
    <w:p>
      <w:pPr>
        <w:pStyle w:val="Heading3"/>
      </w:pPr>
      <w:r>
        <w:t xml:space="preserve">27.3　首次辨认中的自信为何不同</w:t>
      </w:r>
    </w:p>
    <w:p>
      <w:pPr>
        <w:pStyle w:val="FirstParagraph"/>
      </w:pPr>
      <w:r>
        <w:t xml:space="preserve">Wixted与Wells2017年的综合分析强调，公平的辨认程序、首次未污染测试、管理者不施加影响以及立即记录自信，能够使自信与准确率具有较强关系</w:t>
      </w:r>
      <w:r>
        <w:rPr>
          <w:vertAlign w:val="superscript"/>
        </w:rPr>
        <w:t xml:space="preserve">[</w:t>
      </w:r>
      <w:hyperlink w:anchor="ref-269">
        <w:r>
          <w:rPr>
            <w:rStyle w:val="Hyperlink"/>
            <w:vertAlign w:val="superscript"/>
          </w:rPr>
          <w:t xml:space="preserve">269</w:t>
        </w:r>
      </w:hyperlink>
      <w:r>
        <w:rPr>
          <w:vertAlign w:val="superscript"/>
        </w:rPr>
        <w:t xml:space="preserve">]</w:t>
      </w:r>
      <w:r>
        <w:t xml:space="preserve">。这项结论主要针对相应辨认条件，不能直接推广到所有自传叙述。</w:t>
      </w:r>
    </w:p>
    <w:p>
      <w:pPr>
        <w:pStyle w:val="BodyText"/>
      </w:pPr>
      <w:r>
        <w:t xml:space="preserve">首次测试的重要性在于，它尽量接近尚未经过重复辨认和反馈的记忆判断。后来的自信可能加入他人的确认、媒体信息或反复看到嫌疑人的熟悉感。测量时间改变了指标含义。</w:t>
      </w:r>
    </w:p>
    <w:p>
      <w:pPr>
        <w:pStyle w:val="BodyText"/>
      </w:pPr>
      <w:r>
        <w:t xml:space="preserve">公平程序同样重要。每个阵列应只包含一名嫌疑人，填充人物应符合对作案人的合理描述，避免让嫌疑人在阵列中显得特殊；如果阵列中只有一个人符合描述，选择可能受到显著性影响。主持者最好不知道谁是嫌疑人，或采用减少提示的程序；如果管理者知道目标并给予提示，自信也可能被影响。证人还应事先被告知目标可能不在阵列中</w:t>
      </w:r>
      <w:r>
        <w:rPr>
          <w:vertAlign w:val="superscript"/>
        </w:rPr>
        <w:t xml:space="preserve">[</w:t>
      </w:r>
      <w:hyperlink w:anchor="ref-269">
        <w:r>
          <w:rPr>
            <w:rStyle w:val="Hyperlink"/>
            <w:vertAlign w:val="superscript"/>
          </w:rPr>
          <w:t xml:space="preserve">269</w:t>
        </w:r>
      </w:hyperlink>
      <w:r>
        <w:rPr>
          <w:vertAlign w:val="superscript"/>
        </w:rPr>
        <w:t xml:space="preserve">]</w:t>
      </w:r>
      <w:r>
        <w:t xml:space="preserve">。这些条件不满足时，高自信无法享有同样的解释条件。</w:t>
      </w:r>
    </w:p>
    <w:bookmarkEnd w:id="498"/>
    <w:bookmarkStart w:id="499" w:name="sec-27-4"/>
    <w:p>
      <w:pPr>
        <w:pStyle w:val="Heading3"/>
      </w:pPr>
      <w:r>
        <w:t xml:space="preserve">27.4　校准与区分度</w:t>
      </w:r>
    </w:p>
    <w:p>
      <w:pPr>
        <w:pStyle w:val="FirstParagraph"/>
      </w:pPr>
      <w:r>
        <w:t xml:space="preserve">自信校准关心说自己有八成把握的判断，实际是否约有八成正确；若一组被报告为百分之八十确信的答案，长期只有百分之六十正确，就存在过度自信。区分度关心正确判断是否通常比错误判断更自信。一个人可以具有一定区分度，同时整体过度自信或不足自信。</w:t>
      </w:r>
    </w:p>
    <w:p>
      <w:pPr>
        <w:pStyle w:val="BodyText"/>
      </w:pPr>
      <w:r>
        <w:t xml:space="preserve">评价群体关系时也应区分相关系数和高自信区间准确率。总体相关不高，不必意味着高自信判断没有信息；反过来，某个高自信子组准确率高，也不意味着所有条件都可使用同一比例。</w:t>
      </w:r>
    </w:p>
    <w:bookmarkEnd w:id="499"/>
    <w:bookmarkStart w:id="500" w:name="sec-27-5"/>
    <w:p>
      <w:pPr>
        <w:pStyle w:val="Heading3"/>
      </w:pPr>
      <w:r>
        <w:t xml:space="preserve">27.5　反馈怎样改变自信</w:t>
      </w:r>
    </w:p>
    <w:p>
      <w:pPr>
        <w:pStyle w:val="FirstParagraph"/>
      </w:pPr>
      <w:r>
        <w:t xml:space="preserve">假设当事人作出一次不太确定的辨认，随后被告知选择正确。即使反馈没有提供新的真实记忆信息，它也可能增强对最初体验的解释。之后当事人可能觉得自己当时看得更清楚、更有把握。</w:t>
      </w:r>
    </w:p>
    <w:p>
      <w:pPr>
        <w:pStyle w:val="BodyText"/>
      </w:pPr>
      <w:r>
        <w:t xml:space="preserve">因此，最初自信应及时记录，且最好保留原始表述。后来的高自信有其心理真实性，却不一定准确反映最初记忆质量。程序记录可以帮助区分这两层。</w:t>
      </w:r>
    </w:p>
    <w:p>
      <w:pPr>
        <w:pStyle w:val="BodyText"/>
      </w:pPr>
      <w:r>
        <w:t xml:space="preserve">重复测试也可能改变熟悉来源。某张面孔因多次出现在辨认程序中而熟悉，随后被当作事件中见过；信心随重复辨认增加，也可能只来自第一次选择留下的熟悉性。这个风险要求研究者和实践者重视首次测量与后续信息流，保存所有先前接触记录，避免把重复曝光产生的熟悉当成新的独立支持。不能只在最终场合询问有多确定。</w:t>
      </w:r>
    </w:p>
    <w:bookmarkEnd w:id="500"/>
    <w:bookmarkStart w:id="501" w:name="sec-27-6"/>
    <w:p>
      <w:pPr>
        <w:pStyle w:val="Heading3"/>
      </w:pPr>
      <w:r>
        <w:t xml:space="preserve">27.6　鲜明表象与事实细节</w:t>
      </w:r>
    </w:p>
    <w:p>
      <w:pPr>
        <w:pStyle w:val="FirstParagraph"/>
      </w:pPr>
      <w:r>
        <w:t xml:space="preserve">视觉表象可以非常清晰，却仍需要核对内容来源。想象、梦和回忆都可能具有感官特征。鲜明度提供体验信息，缺少独立标准时无法单独确定事件真实发生。</w:t>
      </w:r>
    </w:p>
    <w:p>
      <w:pPr>
        <w:pStyle w:val="BodyText"/>
      </w:pPr>
      <w:r>
        <w:t xml:space="preserve">相反，真实记忆也可能缺少清晰图像。有些人主要保留语义知识、身体感受或片段线索。画面模糊不能直接否定事件，表达不流畅也不能自动说明虚假。评价应避免把一种叙述风格当作真实性测验。</w:t>
      </w:r>
    </w:p>
    <w:p>
      <w:pPr>
        <w:pStyle w:val="BodyText"/>
      </w:pPr>
      <w:r>
        <w:t xml:space="preserve">情绪强度同样无法唯一识别事实。真实事件可以引发强烈反应，误解、想象和当前威胁也可能引发强烈反应。因此，情绪是需要理解的体验，事实判断仍依赖证据。</w:t>
      </w:r>
    </w:p>
    <w:bookmarkEnd w:id="501"/>
    <w:bookmarkStart w:id="502" w:name="sec-27-7"/>
    <w:p>
      <w:pPr>
        <w:pStyle w:val="Heading3"/>
      </w:pPr>
      <w:r>
        <w:t xml:space="preserve">27.7　从群体研究到个人判断</w:t>
      </w:r>
    </w:p>
    <w:p>
      <w:pPr>
        <w:pStyle w:val="FirstParagraph"/>
      </w:pPr>
      <w:r>
        <w:t xml:space="preserve">研究中的平均规律可以指导程序，却无法直接给某位当事人贴上真假标签。需要知道事件可见度、时间、压力、信息来源和询问方式。缺少这些条件时，引用一般准确率会制造过度精确感。</w:t>
      </w:r>
    </w:p>
    <w:p>
      <w:pPr>
        <w:pStyle w:val="BodyText"/>
      </w:pPr>
      <w:r>
        <w:t xml:space="preserve">当证据不充分，合理的结论可以是某细节尚无法核实。这样的判断保留不确定性，也避免把确信度当作外部事实。对重要决定，可优先寻找独立记录和未受相互影响的证据。</w:t>
      </w:r>
    </w:p>
    <w:p>
      <w:pPr>
        <w:pStyle w:val="BodyText"/>
      </w:pPr>
      <w:r>
        <w:t xml:space="preserve">同一叙述中不同部分可以具有不同可信度。人物身份、地点、顺序和动机推断应分别评价。对某个细节发现错误，不能自动否定全部经历；确认某个核心事实，也不能自动认证所有外围内容。</w:t>
      </w:r>
    </w:p>
    <w:bookmarkEnd w:id="502"/>
    <w:bookmarkStart w:id="503" w:name="sec-27-8"/>
    <w:p>
      <w:pPr>
        <w:pStyle w:val="Heading3"/>
      </w:pPr>
      <w:r>
        <w:t xml:space="preserve">27.8　一个证据整合实例</w:t>
      </w:r>
    </w:p>
    <w:p>
      <w:pPr>
        <w:pStyle w:val="FirstParagraph"/>
      </w:pPr>
      <w:r>
        <w:t xml:space="preserve">假设两人对同一事件高度自信。甲在事件后立即独立记录，乙在多次讨论后形成详细叙述。两人都可能真诚，但报告形成过程不同。评价应比较最初记录、后续信息和可核查细节，不能仅比较谁更激动。</w:t>
      </w:r>
    </w:p>
    <w:p>
      <w:pPr>
        <w:pStyle w:val="BodyText"/>
      </w:pPr>
      <w:r>
        <w:t xml:space="preserve">若甲后来修正一个时间点，而乙保持一致，也不能直接判乙更可靠。甲可能依据新记录纠正，乙可能持续重复原错误。准确性与一致性必须分别检验。</w:t>
      </w:r>
    </w:p>
    <w:p>
      <w:pPr>
        <w:pStyle w:val="BodyText"/>
      </w:pPr>
      <w:r>
        <w:t xml:space="preserve">当多项证据来自同一来源，例如都引用同一段后来叙述，它们不能被当作多个独立确认。追溯来源链条能够避免把传播次数误当成证据数量（见</w:t>
      </w:r>
      <w:r>
        <w:t xml:space="preserve"> </w:t>
      </w:r>
      <w:hyperlink w:anchor="sec-26-18">
        <w:r>
          <w:rPr>
            <w:rStyle w:val="Hyperlink"/>
          </w:rPr>
          <w:t xml:space="preserve">26.18</w:t>
        </w:r>
      </w:hyperlink>
      <w:r>
        <w:t xml:space="preserve">）。</w:t>
      </w:r>
    </w:p>
    <w:bookmarkEnd w:id="503"/>
    <w:bookmarkStart w:id="504" w:name="sec-27-9"/>
    <w:p>
      <w:pPr>
        <w:pStyle w:val="Heading3"/>
      </w:pPr>
      <w:r>
        <w:t xml:space="preserve">27.9　信心可以处在多个时间点</w:t>
      </w:r>
    </w:p>
    <w:p>
      <w:pPr>
        <w:pStyle w:val="FirstParagraph"/>
      </w:pPr>
      <w:r>
        <w:t xml:space="preserve">信心可以在作答前作为预期，在作答后作为对本次答案的评价，也可以在得到反馈后更新。三个时间点的信息来源不同。作答前信心可能依赖一般能力和熟悉感，作答后信心可以利用检索细节，反馈后信心还包含他人的评价。研究和实践应记录时间点。</w:t>
      </w:r>
    </w:p>
    <w:p>
      <w:pPr>
        <w:pStyle w:val="BodyText"/>
      </w:pPr>
      <w:r>
        <w:t xml:space="preserve">同一个人的信心也可以针对不同问题：事件是否发生、某个细节是否正确、来源是否准确、自己能否说服他人。把这些问题都用“有多确定”询问，可能得到难以解释的混合分数。精确提问可以减少测量歧义。</w:t>
      </w:r>
    </w:p>
    <w:p>
      <w:pPr>
        <w:pStyle w:val="BodyText"/>
      </w:pPr>
      <w:r>
        <w:t xml:space="preserve">一个人对事件主旨高度确定，对日期只有低信心，这种分层报告比整体信心更有信息。事实核对可以鼓励逐项评价，同时避免让参与者觉得必须给出完整连贯答案。保留不确定性有助于后续证据整合。</w:t>
      </w:r>
    </w:p>
    <w:bookmarkEnd w:id="504"/>
    <w:bookmarkStart w:id="505" w:name="sec-27-10"/>
    <w:p>
      <w:pPr>
        <w:pStyle w:val="Heading3"/>
      </w:pPr>
      <w:r>
        <w:t xml:space="preserve">27.10　校准与区分度的算例和数据要求</w:t>
      </w:r>
    </w:p>
    <w:p>
      <w:pPr>
        <w:pStyle w:val="FirstParagraph"/>
      </w:pPr>
      <w:r>
        <w:t xml:space="preserve">假设甲对所有答案都给百分之七十信心，恰好总正确率也是百分之七十。他的总体校准很好，却无法用信心区分哪道题会错。乙对正确答案多数给高信心、错误答案给低信心，但整体高估了十个百分点；乙具有较好的区分度，校准仍需改进。教学反馈应明确目标是哪一种。</w:t>
      </w:r>
    </w:p>
    <w:p>
      <w:pPr>
        <w:pStyle w:val="BodyText"/>
      </w:pPr>
      <w:r>
        <w:t xml:space="preserve">信心分箱分析需要足够数据。某个极高信心区间只有两次作答，百分之百正确的比例很不稳定。平滑模型、置信区间和预先设定的分箱方法，可以改善解释。对个体诊断，数据不足时应避免精确结论。</w:t>
      </w:r>
    </w:p>
    <w:bookmarkEnd w:id="505"/>
    <w:bookmarkStart w:id="506" w:name="sec-27-11"/>
    <w:p>
      <w:pPr>
        <w:pStyle w:val="Heading3"/>
      </w:pPr>
      <w:r>
        <w:t xml:space="preserve">27.11　基线概率与证据价值</w:t>
      </w:r>
    </w:p>
    <w:p>
      <w:pPr>
        <w:pStyle w:val="FirstParagraph"/>
      </w:pPr>
      <w:r>
        <w:t xml:space="preserve">同样的证据强度，在不同基线概率下可以得到不同后验概率。设一个假设辨认程序在目标确实存在时有百分之九十高信心正确辨认，在目标不存在时有百分之五高信心错误选择。如果目标存在的先验比例为二分之一，一千次程序中预计有四百五十次前者和二十五次后者，高信心选择中的正确比例约为百分之九十五。</w:t>
      </w:r>
    </w:p>
    <w:p>
      <w:pPr>
        <w:pStyle w:val="BodyText"/>
      </w:pPr>
      <w:r>
        <w:t xml:space="preserve">若目标存在比例只有十分之一，同样一千次程序中预计有九十次正确高信心选择和四十五次错误高信心选择，正确比例降为约百分之六十七。程序的条件表现没有改变，样本构成改变了结果。这个教学例子说明，任何“高信心有多可靠”的数字都需要说明目标存在率和程序条件。</w:t>
      </w:r>
    </w:p>
    <w:p>
      <w:pPr>
        <w:pStyle w:val="BodyText"/>
      </w:pPr>
      <w:r>
        <w:t xml:space="preserve">现实案件中先验概率通常不容易独立确定，也不能把示例数值套用到个案。科学研究可以估计特定条件下的辨别信息，司法判断还需结合其他独立证据。单个心理指标无法承担完整事实裁决。</w:t>
      </w:r>
    </w:p>
    <w:bookmarkEnd w:id="506"/>
    <w:bookmarkStart w:id="507" w:name="sec-27-12"/>
    <w:p>
      <w:pPr>
        <w:pStyle w:val="Heading3"/>
      </w:pPr>
      <w:r>
        <w:t xml:space="preserve">27.12　实地辨认资料中的信心</w:t>
      </w:r>
    </w:p>
    <w:p>
      <w:pPr>
        <w:pStyle w:val="FirstParagraph"/>
      </w:pPr>
      <w:r>
        <w:t xml:space="preserve">Wixted等在真实警方辨认资料中结合信号检测模型研究信心与可靠性，为规范程序下信心具有信息价值提供了实地证据</w:t>
      </w:r>
      <w:r>
        <w:rPr>
          <w:vertAlign w:val="superscript"/>
        </w:rPr>
        <w:t xml:space="preserve">[</w:t>
      </w:r>
      <w:hyperlink w:anchor="ref-270">
        <w:r>
          <w:rPr>
            <w:rStyle w:val="Hyperlink"/>
            <w:vertAlign w:val="superscript"/>
          </w:rPr>
          <w:t xml:space="preserve">270</w:t>
        </w:r>
      </w:hyperlink>
      <w:r>
        <w:rPr>
          <w:vertAlign w:val="superscript"/>
        </w:rPr>
        <w:t xml:space="preserve">]</w:t>
      </w:r>
      <w:r>
        <w:t xml:space="preserve">。实地案件的真实身份状态通常难以全面获得，模型假设和程序条件仍限制精确估计。实验与实地研究需要互相补充。</w:t>
      </w:r>
    </w:p>
    <w:bookmarkEnd w:id="507"/>
    <w:bookmarkStart w:id="508" w:name="sec-27-13"/>
    <w:p>
      <w:pPr>
        <w:pStyle w:val="Heading3"/>
      </w:pPr>
      <w:r>
        <w:t xml:space="preserve">27.13　情绪鲜明度与细节分布</w:t>
      </w:r>
    </w:p>
    <w:p>
      <w:pPr>
        <w:pStyle w:val="FirstParagraph"/>
      </w:pPr>
      <w:r>
        <w:t xml:space="preserve">情绪强烈的事件可能让某些核心内容更显著，同时周边信息仍可能较弱。记住自己当时的惊讶或恐惧，并不自动保证空间位置、时间和具体语言都准确。情绪体验与客观细节应分开测量。</w:t>
      </w:r>
    </w:p>
    <w:p>
      <w:pPr>
        <w:pStyle w:val="BodyText"/>
      </w:pPr>
      <w:r>
        <w:t xml:space="preserve">教育中类似现象也会出现。一个生动演示让学生长期记得课堂气氛，却可能混淆演示的因果机制。教师可以在活动后要求解释原理和边界条件，检查情绪显著性是否转化为目标知识。记得很清楚的体验需要与理解和应用分别评估。</w:t>
      </w:r>
    </w:p>
    <w:bookmarkEnd w:id="508"/>
    <w:bookmarkStart w:id="509" w:name="sec-27-14"/>
    <w:p>
      <w:pPr>
        <w:pStyle w:val="Heading3"/>
      </w:pPr>
      <w:r>
        <w:t xml:space="preserve">27.14　熟悉感如何影响判断</w:t>
      </w:r>
    </w:p>
    <w:p>
      <w:pPr>
        <w:pStyle w:val="FirstParagraph"/>
      </w:pPr>
      <w:r>
        <w:t xml:space="preserve">重复接触使信息更容易处理，流畅性可以成为信心线索。若重复来自真实学习，线索可能有用；若来自重复误导、格式熟悉或答案刚刚可见，线索可能高估以后独立提取。信心的质量取决于它利用了哪些信息。</w:t>
      </w:r>
    </w:p>
    <w:p>
      <w:pPr>
        <w:pStyle w:val="BodyText"/>
      </w:pPr>
      <w:r>
        <w:t xml:space="preserve">一个常见学习例子是看着答案觉得自己完全掌握。答案存在时，阅读流畅；遮住答案后，需要自行生成步骤，难度不同。延迟自测可以让信心建立在实际提取上。这里改善的是判断依据，不能保证所有人立即达到完美校准。</w:t>
      </w:r>
    </w:p>
    <w:p>
      <w:pPr>
        <w:pStyle w:val="BodyText"/>
      </w:pPr>
      <w:r>
        <w:t xml:space="preserve">熟悉与来源可以分离。某个名字因为多次见过而显得可信，学习者却未记住它来自虚构案例。保存来源标签和原始链接可以帮助核对，尤其适用于专业事实。事实的重复次数与证据独立性应分别记录。</w:t>
      </w:r>
    </w:p>
    <w:bookmarkEnd w:id="509"/>
    <w:bookmarkStart w:id="510" w:name="sec-27-15"/>
    <w:p>
      <w:pPr>
        <w:pStyle w:val="Heading3"/>
      </w:pPr>
      <w:r>
        <w:t xml:space="preserve">27.15　学习中的反馈与信心更新</w:t>
      </w:r>
    </w:p>
    <w:p>
      <w:pPr>
        <w:pStyle w:val="FirstParagraph"/>
      </w:pPr>
      <w:r>
        <w:t xml:space="preserve">反馈可以纠正错误，也可以制造错误确信。对答案给出具体证据和解释，能够让学习者了解何处正确、何处需要调整；仅提供笼统肯定，可能让错误细节一起被巩固。反馈应尽量对应实际表现和目标标准。</w:t>
      </w:r>
    </w:p>
    <w:p>
      <w:pPr>
        <w:pStyle w:val="BodyText"/>
      </w:pPr>
      <w:r>
        <w:t xml:space="preserve">高信心错误值得特别检查，因为学习者通常较少主动复习它。处理时可以先让其说明依据，再呈现能够区分原解释与正确解释的证据，最后用新问题检查更新。单纯说“你错了”可能无法改变其核心模型。具体效果取决于知识、动机和反馈设计。</w:t>
      </w:r>
    </w:p>
    <w:p>
      <w:pPr>
        <w:pStyle w:val="BodyText"/>
      </w:pPr>
      <w:r>
        <w:t xml:space="preserve">低信心正确也提供信息。学习者可能掌握了过程，却尚未形成稳定判断；也可能猜中。再次提取、解释理由和变式应用，可以区分这两种情况。教学应同时培养准确答案和对证据质量的认识。</w:t>
      </w:r>
    </w:p>
    <w:bookmarkEnd w:id="510"/>
    <w:bookmarkStart w:id="511" w:name="sec-27-16"/>
    <w:p>
      <w:pPr>
        <w:pStyle w:val="Heading3"/>
      </w:pPr>
      <w:r>
        <w:t xml:space="preserve">27.16　信心数据的练习</w:t>
      </w:r>
    </w:p>
    <w:p>
      <w:pPr>
        <w:pStyle w:val="FirstParagraph"/>
      </w:pPr>
      <w:r>
        <w:t xml:space="preserve">一名学生在二十道题中有十道给高信心，其中八道正确；另外十道给低信心，其中六道正确。高信心组正确率为百分之八十，低信心组为百分之六十，初步显示信心具有区分信息。样本很少，尚不能精确估计其长期元认知水平。</w:t>
      </w:r>
    </w:p>
    <w:p>
      <w:pPr>
        <w:pStyle w:val="BodyText"/>
      </w:pPr>
      <w:r>
        <w:t xml:space="preserve">若下一次测验高信心组全部错误，需要查看知识领域、题型和信心使用方式是否改变。一个人的校准可以依领域而变，某领域表现不能直接推广所有决策。稳定评价需要跨时间和任务的数据。</w:t>
      </w:r>
    </w:p>
    <w:p>
      <w:pPr>
        <w:pStyle w:val="BodyText"/>
      </w:pPr>
      <w:r>
        <w:t xml:space="preserve">在重要事实判断中，可以把信心作为待解释的一条信息，同时记录独立证据、来源质量和替代解释。这样的做法既利用信心的潜在价值，又保留它可能受到反馈、熟悉和推断影响的边界。</w:t>
      </w:r>
    </w:p>
    <w:bookmarkEnd w:id="511"/>
    <w:bookmarkStart w:id="512" w:name="sec-27-17"/>
    <w:p>
      <w:pPr>
        <w:pStyle w:val="Heading3"/>
      </w:pPr>
      <w:r>
        <w:t xml:space="preserve">27.17　概率评分与信心训练</w:t>
      </w:r>
    </w:p>
    <w:p>
      <w:pPr>
        <w:pStyle w:val="FirstParagraph"/>
      </w:pPr>
      <w:r>
        <w:t xml:space="preserve">概率预测可以用适当评分规则评价。一个简单指标是布里尔分数：把每次预测概率与实际结果编码之间的差平方，再取平均。结果发生记为一，未发生记为零；分数越低，概率预测总体越好。这个数学指标同时惩罚过度确信的错误和不够准确的概率分配。</w:t>
      </w:r>
    </w:p>
    <w:p>
      <w:pPr>
        <w:pStyle w:val="BodyText"/>
      </w:pPr>
      <w:r>
        <w:t xml:space="preserve">假设四次判断的预测概率都是零点八，实际结果依次为一、一、一、零。四个平方误差为零点零四、零点零四、零点零四和零点六四，平均为零点一九，即布里尔分数为零点一九。若四次都预测零点五，每次平方误差都是零点二五，布里尔分数为零点二五。前一组在这个小样本中更好，不能据四次结果精确判断长期校准。</w:t>
      </w:r>
    </w:p>
    <w:p>
      <w:pPr>
        <w:pStyle w:val="BodyText"/>
      </w:pPr>
      <w:r>
        <w:t xml:space="preserve">再考虑一个错误答案被给出零点九九信心，其平方误差为零点九八零一。高信心错误受到较大惩罚，有助于提醒学习者区分证据充分与只是感觉熟悉。概率训练需要足够次数和诚实反馈，评分规则不应鼓励把所有答案压成同一模糊概率。</w:t>
      </w:r>
    </w:p>
    <w:p>
      <w:pPr>
        <w:pStyle w:val="BodyText"/>
      </w:pPr>
      <w:r>
        <w:t xml:space="preserve">评价还可分解为校准、区分和任务本身的不确定性。某个领域结果接近随机，任何人都难以给出稳定高置信预测；另一个领域规律明确，过度模糊反而损失信息。信心质量需要相对于可获得证据判断。</w:t>
      </w:r>
    </w:p>
    <w:p>
      <w:pPr>
        <w:pStyle w:val="BodyText"/>
      </w:pPr>
      <w:r>
        <w:t xml:space="preserve">在课堂中，可以让学生对少量关键答案给出概率，再在反馈后说明依据怎样改变。重点是学习如何使用证据，不宜把一次过度自信当成稳定人格缺陷。知识增长和测验经验都会改变校准。</w:t>
      </w:r>
    </w:p>
    <w:p>
      <w:pPr>
        <w:pStyle w:val="BodyText"/>
      </w:pPr>
      <w:r>
        <w:t xml:space="preserve">还应允许概率随新证据更新。开始时六成把握，得到可靠资料后升到九成，是合理变化；如果只是反复听到同一说法，独立证据没有增加，信心上升就需要检查。更新的方向和幅度应与证据质量对应。</w:t>
      </w:r>
    </w:p>
    <w:p>
      <w:pPr>
        <w:pStyle w:val="BodyText"/>
      </w:pPr>
      <w:r>
        <w:t xml:space="preserve">练习：两人总正确率相同，一人能准确识别自己最可能犯错的项目，另一人无法区分。谁更容易有效安排复习？解析：前者拥有更有用的元认知信息，可以优先处理薄弱项目；实际效果还取决于是否据此采取合适行动。知道哪里不确定与有效修正之间仍有控制环节。</w:t>
      </w:r>
    </w:p>
    <w:p>
      <w:pPr>
        <w:pStyle w:val="BodyText"/>
      </w:pPr>
      <w:r>
        <w:t xml:space="preserve">进一步考虑复习成本。某个低信心项目可能需要很长时间才能改善，另一个中等信心项目只需一次针对反馈。学习安排应结合重要性、可改善程度和时间，不能只按信心从低到高机械排序。元认知提供决策信息，最终策略仍需考虑目标和资源。</w:t>
      </w:r>
    </w:p>
    <w:bookmarkEnd w:id="512"/>
    <w:bookmarkStart w:id="513" w:name="sec-27-18"/>
    <w:p>
      <w:pPr>
        <w:pStyle w:val="Heading3"/>
      </w:pPr>
      <w:r>
        <w:t xml:space="preserve">27.18　学习检验与结论</w:t>
      </w:r>
    </w:p>
    <w:p>
      <w:pPr>
        <w:pStyle w:val="FirstParagraph"/>
      </w:pPr>
      <w:r>
        <w:t xml:space="preserve">练习：一项研究发现鲜明度稳定、报告变化，最直接支持什么？解答：主观体验与报告一致性可以分离；没有完整外部标准时，对客观准确率的结论要更窄。</w:t>
      </w:r>
    </w:p>
    <w:p>
      <w:pPr>
        <w:pStyle w:val="BodyText"/>
      </w:pPr>
      <w:r>
        <w:t xml:space="preserve">练习：首次公平辨认中的高自信有预测价值，是否意味着法庭上的高自信同样可靠？解答：后续反馈、重复辨认和程序条件可能改变指标含义。</w:t>
      </w:r>
    </w:p>
    <w:p>
      <w:pPr>
        <w:pStyle w:val="BodyText"/>
      </w:pPr>
      <w:r>
        <w:t xml:space="preserve">练习：某人缺少视觉画面，是否说明往事虚假？解答：不同人的回忆形式不同，真实性需要外部证据与获取过程。</w:t>
      </w:r>
    </w:p>
    <w:p>
      <w:pPr>
        <w:pStyle w:val="BodyText"/>
      </w:pPr>
      <w:r>
        <w:t xml:space="preserve">自信的科学使用依赖校准、时间和程序。最有价值的信息通常是最初判断如何形成，以及之后接触了什么。强烈体验值得认真理解，事实仍需独立核验。</w:t>
      </w:r>
    </w:p>
    <w:bookmarkEnd w:id="513"/>
    <w:bookmarkEnd w:id="514"/>
    <w:bookmarkStart w:id="531" w:name="ch-28"/>
    <w:p>
      <w:pPr>
        <w:pStyle w:val="Heading2"/>
      </w:pPr>
      <w:r>
        <w:t xml:space="preserve">第28章　再巩固与记忆更新</w:t>
      </w:r>
    </w:p>
    <w:bookmarkStart w:id="515" w:name="sec-28-1"/>
    <w:p>
      <w:pPr>
        <w:pStyle w:val="Heading3"/>
      </w:pPr>
      <w:r>
        <w:t xml:space="preserve">28.1　核心判断</w:t>
      </w:r>
    </w:p>
    <w:p>
      <w:pPr>
        <w:pStyle w:val="FirstParagraph"/>
      </w:pPr>
      <w:r>
        <w:t xml:space="preserve">某些已形成记忆在满足特定重新激活条件后可以进入可改变状态；每次回忆都必然完整重写、可以任意永久删除复杂自传记忆的说法没有得到证实。对拒绝这些普遍保证的判断，置信度高。再巩固的具体边界与临床应用仍存在重要争议。</w:t>
      </w:r>
    </w:p>
    <w:p>
      <w:pPr>
        <w:pStyle w:val="BodyText"/>
      </w:pPr>
      <w:r>
        <w:t xml:space="preserve">需要分开描述事实知识、情绪反应、行为习惯和生理指标。一个人仍记得事件，但身体反应减弱，与事件内容无法再提取不同。任何记忆删除主张都必须先说明要删除哪一类结果。</w:t>
      </w:r>
    </w:p>
    <w:bookmarkEnd w:id="515"/>
    <w:bookmarkStart w:id="516" w:name="sec-28-2"/>
    <w:p>
      <w:pPr>
        <w:pStyle w:val="Heading3"/>
      </w:pPr>
      <w:r>
        <w:t xml:space="preserve">28.2　原始动物研究的逻辑</w:t>
      </w:r>
    </w:p>
    <w:p>
      <w:pPr>
        <w:pStyle w:val="FirstParagraph"/>
      </w:pPr>
      <w:r>
        <w:t xml:space="preserve">Nader等2000年在大鼠听觉条件性恐惧研究中，于记忆重新激活后立即向杏仁核外侧核和基底核注射蛋白合成抑制剂茴香霉素，随后观察到长期记忆表现受损；不重新激活或延迟至六小时后注射，没有出现相同结果</w:t>
      </w:r>
      <w:r>
        <w:rPr>
          <w:vertAlign w:val="superscript"/>
        </w:rPr>
        <w:t xml:space="preserve">[</w:t>
      </w:r>
      <w:hyperlink w:anchor="ref-271">
        <w:r>
          <w:rPr>
            <w:rStyle w:val="Hyperlink"/>
            <w:vertAlign w:val="superscript"/>
          </w:rPr>
          <w:t xml:space="preserve">271</w:t>
        </w:r>
      </w:hyperlink>
      <w:r>
        <w:rPr>
          <w:vertAlign w:val="superscript"/>
        </w:rPr>
        <w:t xml:space="preserve">]</w:t>
      </w:r>
      <w:r>
        <w:t xml:space="preserve">。时间和提取对照支持重新激活后存在特定变化窗口。</w:t>
      </w:r>
    </w:p>
    <w:p>
      <w:pPr>
        <w:pStyle w:val="BodyText"/>
      </w:pPr>
      <w:r>
        <w:t xml:space="preserve">这些实验的因果价值来自条件比较，不能只概括成回忆后记忆变弱。若干预本身造成一般运动、感觉或表现损害，也可能影响结果，因此机制研究需要相关控制。动物中的局部干预也无法直接转成人体自助方法。</w:t>
      </w:r>
    </w:p>
    <w:p>
      <w:pPr>
        <w:pStyle w:val="BodyText"/>
      </w:pPr>
      <w:r>
        <w:t xml:space="preserve">行为反应减少仍需要区分储存改变与提取困难。若在另一情境、经过时间或接受提醒后反应恢复，解释会受到影响。没有观察到恢复，也只是测试范围内的证据，无法在有限实验中证明永远完全消失。</w:t>
      </w:r>
    </w:p>
    <w:bookmarkEnd w:id="516"/>
    <w:bookmarkStart w:id="517" w:name="sec-28-3"/>
    <w:p>
      <w:pPr>
        <w:pStyle w:val="Heading3"/>
      </w:pPr>
      <w:r>
        <w:t xml:space="preserve">28.3　提取为何不一定触发同样过程</w:t>
      </w:r>
    </w:p>
    <w:p>
      <w:pPr>
        <w:pStyle w:val="FirstParagraph"/>
      </w:pPr>
      <w:r>
        <w:t xml:space="preserve">重新接触线索可以引起多种结果：加强旧记忆或提高其可访问性、提取后保持不变、产生新联结、改变情境归属、触发消退等新学习，或在某些条件下使原记忆进入可修改状态。这些过程可能在同一实验中部分重叠。刺激时长、记忆年龄、强度和情境可能影响过程。简单地说想起来了，无法确定发生哪一种机制；观察到提取后行为改变，还需要进一步识别哪种过程贡献最大。</w:t>
      </w:r>
    </w:p>
    <w:p>
      <w:pPr>
        <w:pStyle w:val="BodyText"/>
      </w:pPr>
      <w:r>
        <w:t xml:space="preserve">Sevenster等2013年的研究强调预测误差对药理性改变习得恐惧的作用</w:t>
      </w:r>
      <w:r>
        <w:rPr>
          <w:vertAlign w:val="superscript"/>
        </w:rPr>
        <w:t xml:space="preserve">[</w:t>
      </w:r>
      <w:hyperlink w:anchor="ref-272">
        <w:r>
          <w:rPr>
            <w:rStyle w:val="Hyperlink"/>
            <w:vertAlign w:val="superscript"/>
          </w:rPr>
          <w:t xml:space="preserve">272</w:t>
        </w:r>
      </w:hyperlink>
      <w:r>
        <w:rPr>
          <w:vertAlign w:val="superscript"/>
        </w:rPr>
        <w:t xml:space="preserve">]</w:t>
      </w:r>
      <w:r>
        <w:t xml:space="preserve">。这一结果提示，重新激活时是否出现预期违背是重要候选条件。它不能成为万能解释，失败结果仍需通过预先规定的预测来检验。</w:t>
      </w:r>
    </w:p>
    <w:p>
      <w:pPr>
        <w:pStyle w:val="BodyText"/>
      </w:pPr>
      <w:r>
        <w:t xml:space="preserve">预测误差也需要操作化。研究者应说明预期如何建立、实际发生什么、错误预期是否确实发生，以及参与者怎样理解新结果。仅呈现一次旧线索，并不保证触发相同更新过程；口头预期、反应指标和任务操纵可以提供互补信息</w:t>
      </w:r>
      <w:r>
        <w:rPr>
          <w:vertAlign w:val="superscript"/>
        </w:rPr>
        <w:t xml:space="preserve">[</w:t>
      </w:r>
      <w:hyperlink w:anchor="ref-272">
        <w:r>
          <w:rPr>
            <w:rStyle w:val="Hyperlink"/>
            <w:vertAlign w:val="superscript"/>
          </w:rPr>
          <w:t xml:space="preserve">272</w:t>
        </w:r>
      </w:hyperlink>
      <w:r>
        <w:rPr>
          <w:vertAlign w:val="superscript"/>
        </w:rPr>
        <w:t xml:space="preserve">]</w:t>
      </w:r>
      <w:r>
        <w:t xml:space="preserve">。若在结果出现后才把成功称为有预测误差、失败称为没有预测误差，理论就难以被反驳。</w:t>
      </w:r>
    </w:p>
    <w:bookmarkEnd w:id="517"/>
    <w:bookmarkStart w:id="518" w:name="sec-28-4"/>
    <w:p>
      <w:pPr>
        <w:pStyle w:val="Heading3"/>
      </w:pPr>
      <w:r>
        <w:t xml:space="preserve">28.4　消退与删除</w:t>
      </w:r>
    </w:p>
    <w:p>
      <w:pPr>
        <w:pStyle w:val="FirstParagraph"/>
      </w:pPr>
      <w:r>
        <w:t xml:space="preserve">在条件学习中，先前预测某结果的线索反复出现而原结果不再发生，条件反应随之下降，这一过程称为消退。消退可能形成新的安全或无结果学习；行为反应减弱可以由新学习对旧反应的抑制解释，旧关联可能仍在某些条件下重新表现。情境变化、时间经过或再次遇到原结果，都可能使反应返回。Dunsmoor等从计算与神经角度讨论了这些过程及其机制竞争</w:t>
      </w:r>
      <w:r>
        <w:rPr>
          <w:vertAlign w:val="superscript"/>
        </w:rPr>
        <w:t xml:space="preserve">[</w:t>
      </w:r>
      <w:hyperlink w:anchor="ref-273">
        <w:r>
          <w:rPr>
            <w:rStyle w:val="Hyperlink"/>
            <w:vertAlign w:val="superscript"/>
          </w:rPr>
          <w:t xml:space="preserve">273</w:t>
        </w:r>
      </w:hyperlink>
      <w:r>
        <w:rPr>
          <w:vertAlign w:val="superscript"/>
        </w:rPr>
        <w:t xml:space="preserve">]</w:t>
      </w:r>
      <w:r>
        <w:t xml:space="preserve">。</w:t>
      </w:r>
    </w:p>
    <w:p>
      <w:pPr>
        <w:pStyle w:val="BodyText"/>
      </w:pPr>
      <w:r>
        <w:t xml:space="preserve">因此，研究常检查时间经过后的自发恢复、改变情境后的反应返回，以及再次呈现原结果后的反应恢复。不同恢复测试检验不同边界。若只在训练环境中立即测试，无法充分评价长期持久性。</w:t>
      </w:r>
    </w:p>
    <w:p>
      <w:pPr>
        <w:pStyle w:val="BodyText"/>
      </w:pPr>
      <w:r>
        <w:t xml:space="preserve">复杂自传记忆包含多个线索和意义，远比单一条件刺激更丰富。改变一个触发反应，不等于整段人生事件被删除。消退学习的实际价值可以独立于删除证明：新的安全学习、情境识别和行动调整可能帮助功能改善，治疗若帮助当事人重新理解并降低困扰，也可以具有实际价值。研究不必先证明彻底清除所有旧关联，才能确认干预价值；结论应准确描述观察到的改变，与测量一致。</w:t>
      </w:r>
    </w:p>
    <w:bookmarkEnd w:id="518"/>
    <w:bookmarkStart w:id="519" w:name="sec-28-5"/>
    <w:p>
      <w:pPr>
        <w:pStyle w:val="Heading3"/>
      </w:pPr>
      <w:r>
        <w:t xml:space="preserve">28.5　重复研究带来的约束</w:t>
      </w:r>
    </w:p>
    <w:p>
      <w:pPr>
        <w:pStyle w:val="FirstParagraph"/>
      </w:pPr>
      <w:r>
        <w:t xml:space="preserve">Monfils等在大鼠中研究了单次提取后安排消退的时间条件，报告某些条件下恐惧反应返回减少</w:t>
      </w:r>
      <w:r>
        <w:rPr>
          <w:vertAlign w:val="superscript"/>
        </w:rPr>
        <w:t xml:space="preserve">[</w:t>
      </w:r>
      <w:hyperlink w:anchor="ref-274">
        <w:r>
          <w:rPr>
            <w:rStyle w:val="Hyperlink"/>
            <w:vertAlign w:val="superscript"/>
          </w:rPr>
          <w:t xml:space="preserve">274</w:t>
        </w:r>
      </w:hyperlink>
      <w:r>
        <w:rPr>
          <w:vertAlign w:val="superscript"/>
        </w:rPr>
        <w:t xml:space="preserve">]</w:t>
      </w:r>
      <w:r>
        <w:t xml:space="preserve">。随后Schiller等把类似安排用于人体条件性恐惧，早期结果引起了广泛关注</w:t>
      </w:r>
      <w:r>
        <w:rPr>
          <w:vertAlign w:val="superscript"/>
        </w:rPr>
        <w:t xml:space="preserve">[</w:t>
      </w:r>
      <w:hyperlink w:anchor="ref-275">
        <w:r>
          <w:rPr>
            <w:rStyle w:val="Hyperlink"/>
            <w:vertAlign w:val="superscript"/>
          </w:rPr>
          <w:t xml:space="preserve">275</w:t>
        </w:r>
      </w:hyperlink>
      <w:r>
        <w:rPr>
          <w:vertAlign w:val="superscript"/>
        </w:rPr>
        <w:t xml:space="preserve">]</w:t>
      </w:r>
      <w:r>
        <w:t xml:space="preserve">。这条研究路径体现了从动物机制到人体行为的转化尝试，此后的概念重复与直接重复结果并不一致。原人体研究后来发布补充说明，进一步描述排除标准与数据集；独立核验报告分析原始数据后指出，原文报告的恐惧恢复组间差异依赖于原作者所做的定性排除，数据处理与报告还存在其他问题</w:t>
      </w:r>
      <w:r>
        <w:rPr>
          <w:vertAlign w:val="superscript"/>
        </w:rPr>
        <w:t xml:space="preserve">[</w:t>
      </w:r>
      <w:hyperlink w:anchor="ref-276">
        <w:r>
          <w:rPr>
            <w:rStyle w:val="Hyperlink"/>
            <w:vertAlign w:val="superscript"/>
          </w:rPr>
          <w:t xml:space="preserve">276</w:t>
        </w:r>
      </w:hyperlink>
      <w:r>
        <w:rPr>
          <w:vertAlign w:val="superscript"/>
        </w:rPr>
        <w:t xml:space="preserve">,</w:t>
      </w:r>
      <w:hyperlink w:anchor="ref-277">
        <w:r>
          <w:rPr>
            <w:rStyle w:val="Hyperlink"/>
            <w:vertAlign w:val="superscript"/>
          </w:rPr>
          <w:t xml:space="preserve">277</w:t>
        </w:r>
      </w:hyperlink>
      <w:r>
        <w:rPr>
          <w:vertAlign w:val="superscript"/>
        </w:rPr>
        <w:t xml:space="preserve">]</w:t>
      </w:r>
      <w:r>
        <w:t xml:space="preserve">。 Chalkia等2020年另做的预注册直接重复也未观察到相较常规消退的持续优势</w:t>
      </w:r>
      <w:r>
        <w:rPr>
          <w:vertAlign w:val="superscript"/>
        </w:rPr>
        <w:t xml:space="preserve">[</w:t>
      </w:r>
      <w:hyperlink w:anchor="ref-278">
        <w:r>
          <w:rPr>
            <w:rStyle w:val="Hyperlink"/>
            <w:vertAlign w:val="superscript"/>
          </w:rPr>
          <w:t xml:space="preserve">278</w:t>
        </w:r>
      </w:hyperlink>
      <w:r>
        <w:rPr>
          <w:vertAlign w:val="superscript"/>
        </w:rPr>
        <w:t xml:space="preserve">]</w:t>
      </w:r>
      <w:r>
        <w:t xml:space="preserve">。这些证据要求限制对该具体范式稳定性的表述，对宣称可以直接照搬的记忆重写技术保持谨慎，同时说明其他再巩固研究仍需各自评价。</w:t>
      </w:r>
    </w:p>
    <w:p>
      <w:pPr>
        <w:pStyle w:val="BodyText"/>
      </w:pPr>
      <w:r>
        <w:t xml:space="preserve">一次重复失败不能否定全部再巩固机制，但它可以限制具体程序的稳健性。科学上更有意义的下一步，是明确哪些条件能预测成功或失败，并用预先设定的规则检验。若边界条件只在结果失败后不断补充，而无法在新样本中预测，理论解释力会受到限制。可重复的条件预测比单个引人注目的效果更有转化价值。临床承诺尤其不能只引用最积极的早期研究。</w:t>
      </w:r>
    </w:p>
    <w:p>
      <w:pPr>
        <w:pStyle w:val="BodyText"/>
      </w:pPr>
      <w:r>
        <w:t xml:space="preserve">Alberini与LeDoux对再巩固的综述讨论记忆的形成、提取、更新与使用之间关系</w:t>
      </w:r>
      <w:r>
        <w:rPr>
          <w:vertAlign w:val="superscript"/>
        </w:rPr>
        <w:t xml:space="preserve">[</w:t>
      </w:r>
      <w:hyperlink w:anchor="ref-279">
        <w:r>
          <w:rPr>
            <w:rStyle w:val="Hyperlink"/>
            <w:vertAlign w:val="superscript"/>
          </w:rPr>
          <w:t xml:space="preserve">279</w:t>
        </w:r>
      </w:hyperlink>
      <w:r>
        <w:rPr>
          <w:vertAlign w:val="superscript"/>
        </w:rPr>
        <w:t xml:space="preserve">]</w:t>
      </w:r>
      <w:r>
        <w:t xml:space="preserve">。理论框架有助于组织问题，具体疗法仍须由适当的临床结果判断，不能仅凭机制名称获得效力保证。</w:t>
      </w:r>
    </w:p>
    <w:bookmarkEnd w:id="519"/>
    <w:bookmarkStart w:id="520" w:name="sec-28-6"/>
    <w:p>
      <w:pPr>
        <w:pStyle w:val="Heading3"/>
      </w:pPr>
      <w:r>
        <w:t xml:space="preserve">28.6　从实验室到临床的距离</w:t>
      </w:r>
    </w:p>
    <w:p>
      <w:pPr>
        <w:pStyle w:val="FirstParagraph"/>
      </w:pPr>
      <w:r>
        <w:t xml:space="preserve">实验室记忆通常较新、较简单，刺激和结果可控。临床记忆可能持续多年，与多个情境、关系和自我解释相连。不同人还可能存在共病、药物和持续环境压力。转化需要处理这些差异。</w:t>
      </w:r>
    </w:p>
    <w:p>
      <w:pPr>
        <w:pStyle w:val="BodyText"/>
      </w:pPr>
      <w:r>
        <w:t xml:space="preserve">临床试验应比较症状、功能与保持，同时记录不良影响。治疗过程与机制指标可以同时研究，但症状改善无法唯一确定再巩固已经发生。治疗的有效成分也可能包含支持、暴露、新学习、期待、情绪调节和认知解释。若希望把效果归给再巩固，需要能够区分这些机制的对照和过程测量；机制归因比确认整体疗效需要额外证据。</w:t>
      </w:r>
    </w:p>
    <w:p>
      <w:pPr>
        <w:pStyle w:val="BodyText"/>
      </w:pPr>
      <w:r>
        <w:t xml:space="preserve">对治疗者而言，机制解释应保持与证据相称。可以说某方法试图利用记忆更新，若缺少直接机制检验，就不应宣称精确删除了某一脑内痕迹。术语越具体，举证要求越明确。</w:t>
      </w:r>
    </w:p>
    <w:bookmarkEnd w:id="520"/>
    <w:bookmarkStart w:id="521" w:name="sec-28-7"/>
    <w:p>
      <w:pPr>
        <w:pStyle w:val="Heading3"/>
      </w:pPr>
      <w:r>
        <w:t xml:space="preserve">28.7　记忆年龄与强度</w:t>
      </w:r>
    </w:p>
    <w:p>
      <w:pPr>
        <w:pStyle w:val="FirstParagraph"/>
      </w:pPr>
      <w:r>
        <w:t xml:space="preserve">旧记忆可能已经与更多知识和情境联系，重新激活的线索也可能只触及其中一部分。强烈或反复学习的记忆，可能与一次实验习得的关联不同。研究需要报告这些条件，不能将一个窗口长度普遍化。</w:t>
      </w:r>
    </w:p>
    <w:p>
      <w:pPr>
        <w:pStyle w:val="BodyText"/>
      </w:pPr>
      <w:r>
        <w:t xml:space="preserve">同样，重新激活过短可能不足以产生预期过程，过长可能进入另一种学习过程。不同范式的时间范围未必一致。商业课程若声称固定几分钟适用于所有创伤，超出了现有精细研究能够支持的范围。</w:t>
      </w:r>
    </w:p>
    <w:p>
      <w:pPr>
        <w:pStyle w:val="BodyText"/>
      </w:pPr>
      <w:r>
        <w:t xml:space="preserve">这些边界不能成为无穷补充假设。研究应提前选择条件，使用操纵检查，并在独立样本验证。只有这样，理论才会随着证据变得更精确。</w:t>
      </w:r>
    </w:p>
    <w:bookmarkEnd w:id="521"/>
    <w:bookmarkStart w:id="522" w:name="sec-28-8"/>
    <w:p>
      <w:pPr>
        <w:pStyle w:val="Heading3"/>
      </w:pPr>
      <w:r>
        <w:t xml:space="preserve">28.8　一个四条件实验</w:t>
      </w:r>
    </w:p>
    <w:p>
      <w:pPr>
        <w:pStyle w:val="FirstParagraph"/>
      </w:pPr>
      <w:r>
        <w:t xml:space="preserve">设想研究某干预是否依赖重新激活。可设置重新激活加即时干预、无重新激活加干预、重新激活加延迟干预，以及重新激活加对照。各组都在相同延迟和多情境中测试。</w:t>
      </w:r>
    </w:p>
    <w:p>
      <w:pPr>
        <w:pStyle w:val="BodyText"/>
      </w:pPr>
      <w:r>
        <w:t xml:space="preserve">若只有即时条件产生持久改变，结果更符合窗口假说。若所有干预组都减弱，可能存在一般表现作用；若所有重新激活组都减弱，可能是提取或新学习本身；若效果只在短时测试出现，需要检查暂时状态。</w:t>
      </w:r>
    </w:p>
    <w:p>
      <w:pPr>
        <w:pStyle w:val="BodyText"/>
      </w:pPr>
      <w:r>
        <w:t xml:space="preserve">即使模式符合，也还需检验其他解释和重复。科学结论通过多种对照逐步加强，无法由单个前后变化直接确认。对复杂人类经历，这种分层推理尤其重要。</w:t>
      </w:r>
    </w:p>
    <w:bookmarkEnd w:id="522"/>
    <w:bookmarkStart w:id="523" w:name="sec-28-9"/>
    <w:p>
      <w:pPr>
        <w:pStyle w:val="Heading3"/>
      </w:pPr>
      <w:r>
        <w:t xml:space="preserve">28.9　学习与自我改变的含义</w:t>
      </w:r>
    </w:p>
    <w:p>
      <w:pPr>
        <w:pStyle w:val="FirstParagraph"/>
      </w:pPr>
      <w:r>
        <w:t xml:space="preserve">记忆可更新提供了合理希望：旧经验的意义、反应和使用方式可能改变。有效改变不要求抹去事实。一个人可以保留对事件的准确认识，同时在新的安全经验中形成不同反应。</w:t>
      </w:r>
    </w:p>
    <w:p>
      <w:pPr>
        <w:pStyle w:val="BodyText"/>
      </w:pPr>
      <w:r>
        <w:t xml:space="preserve">对教育而言，检索后纠错可以帮助更新知识，但仍需检查错误是否真正减少、是否在新问题中应用。反复回忆也可能加强旧错误，因此反馈质量重要。再巩固术语不能取代对具体学习效果的检验。</w:t>
      </w:r>
    </w:p>
    <w:p>
      <w:pPr>
        <w:pStyle w:val="BodyText"/>
      </w:pPr>
      <w:r>
        <w:t xml:space="preserve">对日常自助产品，最需要警惕的是永久、精准、一次完成和适用于所有人的保证。它们对机制、持久性和个体范围提出很高要求，现有窄实验无法自动承担。</w:t>
      </w:r>
    </w:p>
    <w:bookmarkEnd w:id="523"/>
    <w:bookmarkStart w:id="524" w:name="sec-28-10"/>
    <w:p>
      <w:pPr>
        <w:pStyle w:val="Heading3"/>
      </w:pPr>
      <w:r>
        <w:t xml:space="preserve">28.10　提取后可能发生的多个过程</w:t>
      </w:r>
    </w:p>
    <w:p>
      <w:pPr>
        <w:pStyle w:val="FirstParagraph"/>
      </w:pPr>
      <w:r>
        <w:t xml:space="preserve">研究常通过时间窗口、药理操纵、再激活条件和后续恢复测试区分解释。若改变只在短时表达中出现，可能涉及状态或反应输出；若延迟后保持并跨情境出现，记忆改变解释更强。仍需考虑其他可持续学习机制。</w:t>
      </w:r>
    </w:p>
    <w:p>
      <w:pPr>
        <w:pStyle w:val="BodyText"/>
      </w:pPr>
      <w:r>
        <w:t xml:space="preserve">再巩固理论最有价值的部分，是提出旧记忆在一定条件下可以继续更新。它没有要求每次想起都会完全重新保存所有内容，也没有保证所有强烈或久远记忆具有相同可塑窗口。边界条件是理论本身需要解释的内容。</w:t>
      </w:r>
    </w:p>
    <w:bookmarkEnd w:id="524"/>
    <w:bookmarkStart w:id="525" w:name="sec-28-11"/>
    <w:p>
      <w:pPr>
        <w:pStyle w:val="Heading3"/>
      </w:pPr>
      <w:r>
        <w:t xml:space="preserve">28.11　预测误差的大小与归属</w:t>
      </w:r>
    </w:p>
    <w:p>
      <w:pPr>
        <w:pStyle w:val="FirstParagraph"/>
      </w:pPr>
      <w:r>
        <w:t xml:space="preserve">预测误差表示实际结果与预期之间的差异。若声音一向预测某种结果，结果突然缺失，系统可能更新声音与结果的关系；也可能推断环境已经进入另一个状态。两种解释对后续记忆组织有不同影响。</w:t>
      </w:r>
    </w:p>
    <w:p>
      <w:pPr>
        <w:pStyle w:val="BodyText"/>
      </w:pPr>
      <w:r>
        <w:t xml:space="preserve">一个简化学习规则把关联变化写作学习率乘以预测误差。误差为零时，按该规则关联不发生变化；误差越大，更新幅度越大。真实系统还会判断误差来源、可靠性和情境，因此简单规则只能作为起点。非常异常的事件可能被归为例外，未必大幅改变原有规则。</w:t>
      </w:r>
    </w:p>
    <w:bookmarkEnd w:id="525"/>
    <w:bookmarkStart w:id="526" w:name="sec-28-12"/>
    <w:p>
      <w:pPr>
        <w:pStyle w:val="Heading3"/>
      </w:pPr>
      <w:r>
        <w:t xml:space="preserve">28.12　反应指标之间的分离</w:t>
      </w:r>
    </w:p>
    <w:p>
      <w:pPr>
        <w:pStyle w:val="FirstParagraph"/>
      </w:pPr>
      <w:r>
        <w:t xml:space="preserve">恐惧学习可以通过皮肤电、惊跳、主观预期、回避选择和自报情绪测量。它们反映不同过程，可能变化不同步。某个生理反应下降，参与者仍知道线索曾预测不愉快结果；主观担忧下降，某些自动反应又可能保留。</w:t>
      </w:r>
    </w:p>
    <w:p>
      <w:pPr>
        <w:pStyle w:val="BodyText"/>
      </w:pPr>
      <w:r>
        <w:t xml:space="preserve">因此，研究应先说明目标是改变事实知识、威胁预期、情绪反应还是行为回避。将全部结果称为“记忆强度”，容易掩盖分离。临床功能还涉及日常活动与痛苦，实验室生理指标只能覆盖其中一部分。</w:t>
      </w:r>
    </w:p>
    <w:p>
      <w:pPr>
        <w:pStyle w:val="BodyText"/>
      </w:pPr>
      <w:r>
        <w:t xml:space="preserve">一个假设结果是，干预组惊跳反应下降，皮肤电和预期评分无明显变化。合理结论应指出受影响的指标，并讨论理论如何解释选择性。把它称为所有恐惧记忆已消失，超过数据范围；完全否认任何作用，也忽略了已观察的结果。</w:t>
      </w:r>
    </w:p>
    <w:bookmarkEnd w:id="526"/>
    <w:bookmarkStart w:id="527" w:name="sec-28-13"/>
    <w:p>
      <w:pPr>
        <w:pStyle w:val="Heading3"/>
      </w:pPr>
      <w:r>
        <w:t xml:space="preserve">28.13　临床转化中的机制与结果</w:t>
      </w:r>
    </w:p>
    <w:p>
      <w:pPr>
        <w:pStyle w:val="FirstParagraph"/>
      </w:pPr>
      <w:r>
        <w:t xml:space="preserve">药理研究还涉及药物对注意、唤醒、睡眠和反应输出的其他影响。某种药物在提取后改变表现，不能仅凭时间顺序排除这些路径。药理操纵需要专业研究和安全监测，动物结果不提供个人自行用药的依据。</w:t>
      </w:r>
    </w:p>
    <w:p>
      <w:pPr>
        <w:pStyle w:val="BodyText"/>
      </w:pPr>
      <w:r>
        <w:t xml:space="preserve">对公众的准确表达可以围绕已经观察到的行为或症状结果、适用人群与保持时间。技术名称可以帮助介绍理论，不能替代疗效与风险资料。复杂记忆更新仍是活跃研究领域，可靠转化需要累积证据。</w:t>
      </w:r>
    </w:p>
    <w:bookmarkEnd w:id="527"/>
    <w:bookmarkStart w:id="528" w:name="sec-28-14"/>
    <w:p>
      <w:pPr>
        <w:pStyle w:val="Heading3"/>
      </w:pPr>
      <w:r>
        <w:t xml:space="preserve">28.14　更新机制的思考练习</w:t>
      </w:r>
    </w:p>
    <w:p>
      <w:pPr>
        <w:pStyle w:val="FirstParagraph"/>
      </w:pPr>
      <w:r>
        <w:t xml:space="preserve">练习一：提取后立即给出新信息，次日反应下降，怎样区分再巩固与新学习？解析：需要比较没有提取、不同时间间隔和不同情境的条件，并检查后续恢复、不同指标及理论预测。单次下降与多种机制兼容。</w:t>
      </w:r>
    </w:p>
    <w:p>
      <w:pPr>
        <w:pStyle w:val="BodyText"/>
      </w:pPr>
      <w:r>
        <w:t xml:space="preserve">练习二：一次重复失败后发现参与者没有形成原条件反应，结论应怎样写？解析：若原学习未建立，研究可能无法充分检验后续更新问题；应按预先规则报告全部样本与有效学习情况。事后任意排除又可能制造偏差，需要透明和独立验证。</w:t>
      </w:r>
    </w:p>
    <w:p>
      <w:pPr>
        <w:pStyle w:val="BodyText"/>
      </w:pPr>
      <w:r>
        <w:t xml:space="preserve">练习三：一年后没有观察到反应返回，能否称永久删除？解析：一年随访支持该时间和测试条件下保持，永久性需要无限时间与情境，有限研究无法完成。准确表述可以直接给出随访时间和反应范围。</w:t>
      </w:r>
    </w:p>
    <w:bookmarkEnd w:id="528"/>
    <w:bookmarkStart w:id="529" w:name="sec-28-15"/>
    <w:p>
      <w:pPr>
        <w:pStyle w:val="Heading3"/>
      </w:pPr>
      <w:r>
        <w:t xml:space="preserve">28.15　潜在情境推断的模型案例</w:t>
      </w:r>
    </w:p>
    <w:p>
      <w:pPr>
        <w:pStyle w:val="FirstParagraph"/>
      </w:pPr>
      <w:r>
        <w:t xml:space="preserve">设一个学习者在房间甲中多次看到信号后出现不愉快结果，随后在房间乙中看到同样信号却没有结果。系统可以有两种解释：原来信号与结果的关系发生改变，或者房间乙属于另一种情境。前一种解释更容易更新同一关联，后一种解释更容易保留两套情境特异规则。</w:t>
      </w:r>
    </w:p>
    <w:p>
      <w:pPr>
        <w:pStyle w:val="BodyText"/>
      </w:pPr>
      <w:r>
        <w:t xml:space="preserve">这个潜在情境模型提出，变化是否突然、环境线索是否相似、先前经验是否稳定，可能影响新信息被归入哪一类。模型可以通过跨情境测试产生预测：如果学习只被归入房间乙，回到甲可能恢复旧反应；如果形成更广更新，跨情境保持可能更好。实际结果仍需实验验证。</w:t>
      </w:r>
    </w:p>
    <w:p>
      <w:pPr>
        <w:pStyle w:val="BodyText"/>
      </w:pPr>
      <w:r>
        <w:t xml:space="preserve">模型也解释了为什么很大的预测误差未必总是产生最大旧记忆更新。极端变化可能让系统判定世界进入新状态，从而建立新规则；较适度且与原情境连续的变化，可能更容易被用于修正原预测。这是理论性的条件推理，不能直接成为临床操作处方。</w:t>
      </w:r>
    </w:p>
    <w:p>
      <w:pPr>
        <w:pStyle w:val="BodyText"/>
      </w:pPr>
      <w:r>
        <w:t xml:space="preserve">在教学中，相似问题的条件变化也会引发这种归类。学生可能把一个反例当作孤立例外，原有错误规则继续保留；若教师帮助比较共同结构，学生可能修改一般规则。学习更新涉及新证据怎样被解释，单纯增加反例数量未必足够。</w:t>
      </w:r>
    </w:p>
    <w:p>
      <w:pPr>
        <w:pStyle w:val="BodyText"/>
      </w:pPr>
      <w:r>
        <w:t xml:space="preserve">要检验模型，可以操纵情境相似性和结果变化方式，并在多个情境中测试。若所有条件都用同一个宽泛“再巩固”标签，就失去区分预测的机会。机制理论应说明哪些过程在何种条件下占主导。</w:t>
      </w:r>
    </w:p>
    <w:p>
      <w:pPr>
        <w:pStyle w:val="BodyText"/>
      </w:pPr>
      <w:r>
        <w:t xml:space="preserve">练习：干预后在治疗室中反应减少，回到日常环境后恢复，怎样解释？解析：可能涉及情境特异的新学习、提示差异或其他因素。这个结果提示需要关注泛化，无法单独证明原记忆完全未改变，也无法证明已经被永久删除。结论应具体到环境与指标。</w:t>
      </w:r>
    </w:p>
    <w:bookmarkEnd w:id="529"/>
    <w:bookmarkStart w:id="530" w:name="sec-28-16"/>
    <w:p>
      <w:pPr>
        <w:pStyle w:val="Heading3"/>
      </w:pPr>
      <w:r>
        <w:t xml:space="preserve">28.16　学习检验与结论</w:t>
      </w:r>
    </w:p>
    <w:p>
      <w:pPr>
        <w:pStyle w:val="FirstParagraph"/>
      </w:pPr>
      <w:r>
        <w:t xml:space="preserve">练习：恐惧生理指标降低，是否证明事件事实已删除？解答：不同记忆成分和输出可分离，需直接测事实记忆与其他反应。</w:t>
      </w:r>
    </w:p>
    <w:p>
      <w:pPr>
        <w:pStyle w:val="BodyText"/>
      </w:pPr>
      <w:r>
        <w:t xml:space="preserve">练习：重复研究未成功，是否意味着全部记忆更新不存在？解答：失败约束具体程序和理论预测，不能直接推广到所有记忆机制。</w:t>
      </w:r>
    </w:p>
    <w:p>
      <w:pPr>
        <w:pStyle w:val="BodyText"/>
      </w:pPr>
      <w:r>
        <w:t xml:space="preserve">再巩固研究说明已形成记忆的稳定性具有条件。可靠应用需要明确更新对象、窗口条件、恢复测试与临床结局，保留复杂记忆与实验关联之间的距离。</w:t>
      </w:r>
    </w:p>
    <w:bookmarkEnd w:id="530"/>
    <w:bookmarkEnd w:id="531"/>
    <w:bookmarkStart w:id="551" w:name="ch-29"/>
    <w:p>
      <w:pPr>
        <w:pStyle w:val="Heading2"/>
      </w:pPr>
      <w:r>
        <w:t xml:space="preserve">第29章　遗忘创伤与恢复记忆</w:t>
      </w:r>
    </w:p>
    <w:bookmarkStart w:id="532" w:name="sec-29-1"/>
    <w:p>
      <w:pPr>
        <w:pStyle w:val="Heading3"/>
      </w:pPr>
      <w:r>
        <w:t xml:space="preserve">29.1　核心判断</w:t>
      </w:r>
    </w:p>
    <w:p>
      <w:pPr>
        <w:pStyle w:val="FirstParagraph"/>
      </w:pPr>
      <w:r>
        <w:t xml:space="preserve">后来想起的经历可能真实，也可能包含重建和暗示成分；催眠或其他方法能够从无损潜意识档案中准确取回创伤的保证，缺乏可靠依据。对拒绝准确保证的判断，置信度高。对具体当事人的经历，实验室记忆研究无法替代个案证据。</w:t>
      </w:r>
    </w:p>
    <w:p>
      <w:pPr>
        <w:pStyle w:val="BodyText"/>
      </w:pPr>
      <w:r>
        <w:t xml:space="preserve">这一主题需要同时保护两种准确性要求。真实创伤不能因报告较晚而被自动否定；强烈治疗体验也不能被直接当作事件证据。关心当事人的痛苦，与谨慎判断事实可以同时进行。</w:t>
      </w:r>
    </w:p>
    <w:bookmarkEnd w:id="532"/>
    <w:bookmarkStart w:id="533" w:name="sec-29-2"/>
    <w:p>
      <w:pPr>
        <w:pStyle w:val="Heading3"/>
      </w:pPr>
      <w:r>
        <w:t xml:space="preserve">29.2　未报告与无法回忆</w:t>
      </w:r>
    </w:p>
    <w:p>
      <w:pPr>
        <w:pStyle w:val="FirstParagraph"/>
      </w:pPr>
      <w:r>
        <w:t xml:space="preserve">一个人多年没有说起某事，可能因为不愿谈论、羞耻、缺少合适对象、当时没有理解其意义、普通遗忘或其他原因。未披露只说明没有报告，无法单独确定记忆是否一直不可及。</w:t>
      </w:r>
    </w:p>
    <w:p>
      <w:pPr>
        <w:pStyle w:val="BodyText"/>
      </w:pPr>
      <w:r>
        <w:t xml:space="preserve">后来重新解释经历，也可能改变报告。儿童对事件的语言和社会理解与成人不同，某件当时被当作普通、困惑或无法命名的经历，可能到成年才被理解其性质。意义改变可以使事件变得更显著，并促使报告。这种意义变化与“整段事件被完全压抑、痕迹一直完整封存，后来再恢复”的解释在逻辑上不同，研究需要尽量区分这些路径。</w:t>
      </w:r>
    </w:p>
    <w:p>
      <w:pPr>
        <w:pStyle w:val="BodyText"/>
      </w:pPr>
      <w:r>
        <w:t xml:space="preserve">同样，回忆困难可以来自编码不足、注意、当时状态、提取线索或其他认知因素。将所有困难归入同一种压抑机制，会使理论过于宽泛。机制应有独立预测和可区分证据。</w:t>
      </w:r>
    </w:p>
    <w:bookmarkEnd w:id="533"/>
    <w:bookmarkStart w:id="534" w:name="sec-29-3"/>
    <w:p>
      <w:pPr>
        <w:pStyle w:val="Heading3"/>
      </w:pPr>
      <w:r>
        <w:t xml:space="preserve">29.3　特殊封存假说需要什么证据</w:t>
      </w:r>
    </w:p>
    <w:p>
      <w:pPr>
        <w:pStyle w:val="FirstParagraph"/>
      </w:pPr>
      <w:r>
        <w:t xml:space="preserve">如果主张记忆被完整保存但长期不能访问，需要独立证明事件发生、记忆曾形成、期间确实不可及，以及后来提取准确。每一环都很难测量，不能仅依据当事人现在的解释来同时证明全部过程。</w:t>
      </w:r>
    </w:p>
    <w:p>
      <w:pPr>
        <w:pStyle w:val="BodyText"/>
      </w:pPr>
      <w:r>
        <w:t xml:space="preserve">准确恢复的方法还需要显示辨真能力。研究应同时测量它增加了多少正确细节、多少错误细节，以及信心和来源归属怎样变化，检查它能否区分正确与错误内容、是否比中性访谈更可靠。只让参与者说得更多，可能增加正确内容，也可能增加错误内容；只展示回忆数量增加，无法证明准确率提高。流畅、丰富和情绪强烈都不能替代客观核对。</w:t>
      </w:r>
    </w:p>
    <w:p>
      <w:pPr>
        <w:pStyle w:val="BodyText"/>
      </w:pPr>
      <w:r>
        <w:t xml:space="preserve">若治疗者先从症状推断某事件，再引导当事人想象该事件，最后用出现的画面验证最初推断，会形成循环论证。症状可以真实存在，事件推断仍需要独立证据。</w:t>
      </w:r>
    </w:p>
    <w:bookmarkEnd w:id="534"/>
    <w:bookmarkStart w:id="535" w:name="sec-29-4"/>
    <w:p>
      <w:pPr>
        <w:pStyle w:val="Heading3"/>
      </w:pPr>
      <w:r>
        <w:t xml:space="preserve">29.4　研究分歧应怎样呈现</w:t>
      </w:r>
    </w:p>
    <w:p>
      <w:pPr>
        <w:pStyle w:val="FirstParagraph"/>
      </w:pPr>
      <w:r>
        <w:t xml:space="preserve">Otgaar等2019年审查恢复记忆相关理论与研究，对特殊压抑解释提出强烈质疑</w:t>
      </w:r>
      <w:r>
        <w:rPr>
          <w:vertAlign w:val="superscript"/>
        </w:rPr>
        <w:t xml:space="preserve">[</w:t>
      </w:r>
      <w:hyperlink w:anchor="ref-280">
        <w:r>
          <w:rPr>
            <w:rStyle w:val="Hyperlink"/>
            <w:vertAlign w:val="superscript"/>
          </w:rPr>
          <w:t xml:space="preserve">280</w:t>
        </w:r>
      </w:hyperlink>
      <w:r>
        <w:rPr>
          <w:vertAlign w:val="superscript"/>
        </w:rPr>
        <w:t xml:space="preserve">]</w:t>
      </w:r>
      <w:r>
        <w:t xml:space="preserve">。这是学术争议中的一个明确立场，不能直接称为所有研究者在全部机制上已达成一致。其对证据链和暗示风险的批评，仍具有重要方法学价值。</w:t>
      </w:r>
    </w:p>
    <w:p>
      <w:pPr>
        <w:pStyle w:val="BodyText"/>
      </w:pPr>
      <w:r>
        <w:t xml:space="preserve">临床诊断语言、实验室提取抑制、普通遗忘和精神分析压抑并不完全相同。把这些概念视为同一现象，容易使双方争论不同命题。讨论时需要逐一说明所指的机制及证据，避免用一个术语解决全部争议。</w:t>
      </w:r>
    </w:p>
    <w:p>
      <w:pPr>
        <w:pStyle w:val="BodyText"/>
      </w:pPr>
      <w:r>
        <w:t xml:space="preserve">当前较稳健的结论是，没有一种回忆诱发技术能够凭体验本身认证复杂往事。具体回忆需要外部核实，临床症状需要适当支持。对特殊机制的开放研究，也必须满足可检验和排除竞争解释的标准。</w:t>
      </w:r>
    </w:p>
    <w:bookmarkEnd w:id="535"/>
    <w:bookmarkStart w:id="536" w:name="sec-29-5"/>
    <w:p>
      <w:pPr>
        <w:pStyle w:val="Heading3"/>
      </w:pPr>
      <w:r>
        <w:t xml:space="preserve">29.5　暗示研究究竟证明了什么</w:t>
      </w:r>
    </w:p>
    <w:p>
      <w:pPr>
        <w:pStyle w:val="FirstParagraph"/>
      </w:pPr>
      <w:r>
        <w:t xml:space="preserve">Brewin与Andrews2017年系统综述区分事件信念、回想体验与对体验真实性的确信，比较想象、虚假反馈和植入范式</w:t>
      </w:r>
      <w:r>
        <w:rPr>
          <w:vertAlign w:val="superscript"/>
        </w:rPr>
        <w:t xml:space="preserve">[</w:t>
      </w:r>
      <w:hyperlink w:anchor="ref-281">
        <w:r>
          <w:rPr>
            <w:rStyle w:val="Hyperlink"/>
            <w:vertAlign w:val="superscript"/>
          </w:rPr>
          <w:t xml:space="preserve">281</w:t>
        </w:r>
      </w:hyperlink>
      <w:r>
        <w:rPr>
          <w:vertAlign w:val="superscript"/>
        </w:rPr>
        <w:t xml:space="preserve">]</w:t>
      </w:r>
      <w:r>
        <w:t xml:space="preserve">。这些区分防止将只相信可能发生，误计为形成完整、确信的自传记忆。</w:t>
      </w:r>
    </w:p>
    <w:p>
      <w:pPr>
        <w:pStyle w:val="BodyText"/>
      </w:pPr>
      <w:r>
        <w:t xml:space="preserve">实验表明，在某些条件下，虚假信息可以影响自传信念或产生回想体验。它说明体验出现缺乏真事件专属性。它没有测量现实临床创伤陈述的总体虚假比例，也不能给出某位当事人的概率。</w:t>
      </w:r>
    </w:p>
    <w:p>
      <w:pPr>
        <w:pStyle w:val="BodyText"/>
      </w:pPr>
      <w:r>
        <w:t xml:space="preserve">实验材料通常具有伦理和可操作限制，无法完整复制严重创伤、长期关系和多年治疗。因此，实验支持的是风险机制与推断边界。用于现实判断时，需要明确外推距离。</w:t>
      </w:r>
    </w:p>
    <w:bookmarkEnd w:id="536"/>
    <w:bookmarkStart w:id="537" w:name="sec-29-6"/>
    <w:p>
      <w:pPr>
        <w:pStyle w:val="Heading3"/>
      </w:pPr>
      <w:r>
        <w:t xml:space="preserve">29.6　催眠与其他诱发方法的测量问题</w:t>
      </w:r>
    </w:p>
    <w:p>
      <w:pPr>
        <w:pStyle w:val="FirstParagraph"/>
      </w:pPr>
      <w:r>
        <w:t xml:space="preserve">催眠中的内容可以受到期望、情境、提问和参与者自身生成影响。若方法增加报告数量，研究还必须检查错误和自信变化。数量、鲜明度与准确性应分别评价。</w:t>
      </w:r>
    </w:p>
    <w:p>
      <w:pPr>
        <w:pStyle w:val="BodyText"/>
      </w:pPr>
      <w:r>
        <w:t xml:space="preserve">回溯、引导意象、身体感受解释和反复想象也面临类似证据要求。任何方法若以产生画面作为成功标准，却不检查外部事实，就无法证明其恢复记忆能力。</w:t>
      </w:r>
    </w:p>
    <w:p>
      <w:pPr>
        <w:pStyle w:val="BodyText"/>
      </w:pPr>
      <w:r>
        <w:t xml:space="preserve">治疗体验可以帮助一个人理解情绪或构建个人意义，这属于不同目标。若将象征性或想象性材料转成关于他人的事实指控，证据要求显著提高。专业边界应明确保留这一差异。</w:t>
      </w:r>
    </w:p>
    <w:bookmarkEnd w:id="537"/>
    <w:bookmarkStart w:id="538" w:name="sec-29-7"/>
    <w:p>
      <w:pPr>
        <w:pStyle w:val="Heading3"/>
      </w:pPr>
      <w:r>
        <w:t xml:space="preserve">29.7　独立证据与污染路径</w:t>
      </w:r>
    </w:p>
    <w:p>
      <w:pPr>
        <w:pStyle w:val="FirstParagraph"/>
      </w:pPr>
      <w:r>
        <w:t xml:space="preserve">独立证据可以包括当时记录、物证、可靠时间线和在相互影响前形成的陈述。其质量需要逐项评估。家人后来赞同某种回忆，也可能受到共同讨论影响，因此赞同本身未必独立。</w:t>
      </w:r>
    </w:p>
    <w:p>
      <w:pPr>
        <w:pStyle w:val="BodyText"/>
      </w:pPr>
      <w:r>
        <w:t xml:space="preserve">寻找证据时，应记录回忆最初出现的情境、此前接触的资料、提问方式和后续反馈。这样可以评估哪些细节可能来自外部信息。记录的目的在于提高可追溯性，不能被用来预设当事人虚假。</w:t>
      </w:r>
    </w:p>
    <w:p>
      <w:pPr>
        <w:pStyle w:val="BodyText"/>
      </w:pPr>
      <w:r>
        <w:t xml:space="preserve">证据缺失也不自动证明事件未发生。许多往事本来没有留下记录。合理结论可能维持未知，并对已知痛苦提供支持。将未知强行转成肯定或否定，都会降低判断质量。</w:t>
      </w:r>
    </w:p>
    <w:bookmarkEnd w:id="538"/>
    <w:bookmarkStart w:id="539" w:name="sec-29-8"/>
    <w:p>
      <w:pPr>
        <w:pStyle w:val="Heading3"/>
      </w:pPr>
      <w:r>
        <w:t xml:space="preserve">29.8　症状与病因的关系</w:t>
      </w:r>
    </w:p>
    <w:p>
      <w:pPr>
        <w:pStyle w:val="FirstParagraph"/>
      </w:pPr>
      <w:r>
        <w:t xml:space="preserve">焦虑、失眠、身体不适或人际困难可以有多种原因。某类症状与创伤相关，不意味着出现症状就能反推特定事件。诊断研究应考虑敏感性、特异性和其他解释。</w:t>
      </w:r>
    </w:p>
    <w:p>
      <w:pPr>
        <w:pStyle w:val="BodyText"/>
      </w:pPr>
      <w:r>
        <w:t xml:space="preserve">同样，治疗后症状减轻无法唯一证明治疗中形成的历史解释正确。期待、支持、行为改变和情绪处理都可能影响症状。疗效与历史真实性需要分别检验。</w:t>
      </w:r>
    </w:p>
    <w:p>
      <w:pPr>
        <w:pStyle w:val="BodyText"/>
      </w:pPr>
      <w:r>
        <w:t xml:space="preserve">这一区分保护了治疗判断。可以依据临床结果评价帮助，同时继续对事件细节保持恰当不确定性。一种疗法无需宣称能准确找回隐藏档案，也可以接受“是否改善具体症状”的研究检验。</w:t>
      </w:r>
    </w:p>
    <w:bookmarkEnd w:id="539"/>
    <w:bookmarkStart w:id="540" w:name="sec-29-9"/>
    <w:p>
      <w:pPr>
        <w:pStyle w:val="Heading3"/>
      </w:pPr>
      <w:r>
        <w:t xml:space="preserve">29.9　一个中性访谈实例</w:t>
      </w:r>
    </w:p>
    <w:p>
      <w:pPr>
        <w:pStyle w:val="FirstParagraph"/>
      </w:pPr>
      <w:r>
        <w:t xml:space="preserve">假设当事人说最近出现一段童年画面。合适的初步问题可以围绕画面何时出现、当时在做什么、此前接触过什么信息，以及哪些部分确定、哪些部分模糊。记录原话，避免先给出详细解释。</w:t>
      </w:r>
    </w:p>
    <w:p>
      <w:pPr>
        <w:pStyle w:val="BodyText"/>
      </w:pPr>
      <w:r>
        <w:t xml:space="preserve">如果询问者提出一个具体情节，再要求当事人反复想象，后续细节可能难以区分来源。更好的程序保留开放性，并在需要时由具备相关训练的专业人员处理。事实调查与情绪支持的目标应清楚。</w:t>
      </w:r>
    </w:p>
    <w:p>
      <w:pPr>
        <w:pStyle w:val="BodyText"/>
      </w:pPr>
      <w:r>
        <w:t xml:space="preserve">当回忆涉及重要人际或法律后果，尽量避免仅凭单次体验作不可逆决定。证据核验、程序记录和专业评估能够减少错误。这个原则适用于所有来源不确定的重大指控，并不预设任何一方真假。</w:t>
      </w:r>
    </w:p>
    <w:bookmarkEnd w:id="540"/>
    <w:bookmarkStart w:id="541" w:name="sec-29-10"/>
    <w:p>
      <w:pPr>
        <w:pStyle w:val="Heading3"/>
      </w:pPr>
      <w:r>
        <w:t xml:space="preserve">29.10　多种迟延报告路径</w:t>
      </w:r>
    </w:p>
    <w:p>
      <w:pPr>
        <w:pStyle w:val="FirstParagraph"/>
      </w:pPr>
      <w:r>
        <w:t xml:space="preserve">“以前没有想到”“以前没有告诉别人”“以前认为不重要”和“以前完全无法记起”，是不同自述。询问时需要尽量保留这些差别，避免把它们自动归入同一机制。对过去内在状态的回顾也会受到当前理解影响，研究需承认这种测量限制。</w:t>
      </w:r>
    </w:p>
    <w:p>
      <w:pPr>
        <w:pStyle w:val="BodyText"/>
      </w:pPr>
      <w:r>
        <w:t xml:space="preserve">记忆可访问性可能随线索改变。地点、人物、语言或后续事件可以触发回忆，这与普通检索机制相容。它不能独自证明某种强压抑机制，也不能证明回忆内容准确。机制解释与历史核对承担不同任务。</w:t>
      </w:r>
    </w:p>
    <w:bookmarkEnd w:id="541"/>
    <w:bookmarkStart w:id="542" w:name="sec-29-11"/>
    <w:p>
      <w:pPr>
        <w:pStyle w:val="Heading3"/>
      </w:pPr>
      <w:r>
        <w:t xml:space="preserve">29.11　事件意义可能在后来改变</w:t>
      </w:r>
    </w:p>
    <w:p>
      <w:pPr>
        <w:pStyle w:val="FirstParagraph"/>
      </w:pPr>
      <w:r>
        <w:t xml:space="preserve">研究需要区分新获得的解释与新出现的细节。一个人可能一直记得某行为，后来才认识到其性质；也可能在外部信息影响下加入此前没有报告的内容。两类变化都需要认真记录其时间和来源。准确理解经历不要求预先选择一个单一机制。</w:t>
      </w:r>
    </w:p>
    <w:p>
      <w:pPr>
        <w:pStyle w:val="BodyText"/>
      </w:pPr>
      <w:r>
        <w:t xml:space="preserve">支持个人描述当前感受，与判断过去事件的具体事实，可以分别进行。前者关注痛苦、功能和需求，后者需要独立证据与适当程序。把情绪强度直接换成事实可信度，或者把证据不足直接换成体验无效，都会越过不同层次。</w:t>
      </w:r>
    </w:p>
    <w:bookmarkEnd w:id="542"/>
    <w:bookmarkStart w:id="543" w:name="sec-29-12"/>
    <w:p>
      <w:pPr>
        <w:pStyle w:val="Heading3"/>
      </w:pPr>
      <w:r>
        <w:t xml:space="preserve">29.12　自发回忆与诱导情境</w:t>
      </w:r>
    </w:p>
    <w:p>
      <w:pPr>
        <w:pStyle w:val="FirstParagraph"/>
      </w:pPr>
      <w:r>
        <w:t xml:space="preserve">Geraerts等比较了三类童年性虐待记忆：一直记得的持续记忆、在治疗之外意外想起的间断回忆，以及在治疗中想起的间断回忆，并寻找可获得的佐证。持续记忆组约百分之四十五、治疗外自发恢复组约百分之三十七找到了佐证，治疗中恢复组没有找到佐证</w:t>
      </w:r>
      <w:r>
        <w:rPr>
          <w:vertAlign w:val="superscript"/>
        </w:rPr>
        <w:t xml:space="preserve">[</w:t>
      </w:r>
      <w:hyperlink w:anchor="ref-282">
        <w:r>
          <w:rPr>
            <w:rStyle w:val="Hyperlink"/>
            <w:vertAlign w:val="superscript"/>
          </w:rPr>
          <w:t xml:space="preserve">282</w:t>
        </w:r>
      </w:hyperlink>
      <w:r>
        <w:rPr>
          <w:vertAlign w:val="superscript"/>
        </w:rPr>
        <w:t xml:space="preserve">]</w:t>
      </w:r>
      <w:r>
        <w:t xml:space="preserve">。结果提示不同回忆情境的佐证情况不同，部分自发恢复报告能够获得支持。研究为区分路径提供信息，选择性样本、治疗中恢复组样本较小和佐证获得过程限制总体推断；治疗中恢复的回忆缺少佐证，也不能单独证明这些回忆不真实。</w:t>
      </w:r>
    </w:p>
    <w:p>
      <w:pPr>
        <w:pStyle w:val="BodyText"/>
      </w:pPr>
      <w:r>
        <w:t xml:space="preserve">有佐证需要检查其独立性和内容范围。某人证实当时去过某地点，只支持地点或机会，未必支持全部事件细节；多人重复同一传闻，也未必构成多份独立证据。无佐证则可能涉及事件私密、记录缺失或时间久远，不能单独证明未发生。</w:t>
      </w:r>
    </w:p>
    <w:p>
      <w:pPr>
        <w:pStyle w:val="BodyText"/>
      </w:pPr>
      <w:r>
        <w:t xml:space="preserve">诱导情境需要关注提问是否预设事件、是否反复暗示某种解释、是否把想象体验当成事实发现。科学上可以研究这些操作如何影响报告，个案上仍需具体材料。对任何个人，不能只根据“在治疗中想起”或“突然想起”一个标签裁定真伪。</w:t>
      </w:r>
    </w:p>
    <w:bookmarkEnd w:id="543"/>
    <w:bookmarkStart w:id="544" w:name="sec-29-13"/>
    <w:p>
      <w:pPr>
        <w:pStyle w:val="Heading3"/>
      </w:pPr>
      <w:r>
        <w:t xml:space="preserve">29.13　梦境、身体感觉与隐喻</w:t>
      </w:r>
    </w:p>
    <w:p>
      <w:pPr>
        <w:pStyle w:val="FirstParagraph"/>
      </w:pPr>
      <w:r>
        <w:t xml:space="preserve">梦境、身体感觉和象征图像可以反映当前情绪、经验片段或想象组合，其历史来源通常不唯一。若某人因一个梦而怀疑过去发生过某事，梦本身不能提供足够事实证明。可以记录体验及其影响，同时把历史判断保持开放。</w:t>
      </w:r>
    </w:p>
    <w:p>
      <w:pPr>
        <w:pStyle w:val="BodyText"/>
      </w:pPr>
      <w:r>
        <w:t xml:space="preserve">身体反应也可能由多种路径形成，包括当前威胁评估、学习关联、疾病状态和情境预期。相似反应可能对应不同经历，同一经历也可能产生不同反应。把某个身体位置或感觉直接映射到特定过去事件，缺乏充分识别依据。</w:t>
      </w:r>
    </w:p>
    <w:p>
      <w:pPr>
        <w:pStyle w:val="BodyText"/>
      </w:pPr>
      <w:r>
        <w:t xml:space="preserve">隐喻可以帮助表达难以描述的体验，但需要保留其隐喻性质。把“像被困住”逐步解释成确实曾被某人囚禁，会引入新的事实主张。专业交流应清楚区分体验描述、解释假设和可核对信息。</w:t>
      </w:r>
    </w:p>
    <w:bookmarkEnd w:id="544"/>
    <w:bookmarkStart w:id="545" w:name="sec-29-14"/>
    <w:p>
      <w:pPr>
        <w:pStyle w:val="Heading3"/>
      </w:pPr>
      <w:r>
        <w:t xml:space="preserve">29.14　记忆恢复技术的证据要求</w:t>
      </w:r>
    </w:p>
    <w:p>
      <w:pPr>
        <w:pStyle w:val="FirstParagraph"/>
      </w:pPr>
      <w:r>
        <w:t xml:space="preserve">准确性研究需要已知真值或独立佐证，且评估者尽量不知道条件。对真实童年事件，真值往往难以全面获得，研究结论必须承认这一限制。实验室模拟能控制信息来源，生态复杂性又有限，两类证据需要互补。</w:t>
      </w:r>
    </w:p>
    <w:p>
      <w:pPr>
        <w:pStyle w:val="BodyText"/>
      </w:pPr>
      <w:r>
        <w:t xml:space="preserve">技术的长期影响也应包括功能、痛苦、关系和错误确信风险。某种方法使当前感受改善，并不能自动证明其引出的历史解释准确。某种方法增加确信，也不能自动说明治疗有效。结局应分别报告。</w:t>
      </w:r>
    </w:p>
    <w:bookmarkEnd w:id="545"/>
    <w:bookmarkStart w:id="546" w:name="sec-29-15"/>
    <w:p>
      <w:pPr>
        <w:pStyle w:val="Heading3"/>
      </w:pPr>
      <w:r>
        <w:t xml:space="preserve">29.15　强压抑理论的可检验性</w:t>
      </w:r>
    </w:p>
    <w:p>
      <w:pPr>
        <w:pStyle w:val="FirstParagraph"/>
      </w:pPr>
      <w:r>
        <w:t xml:space="preserve">一个理论若主张某类事件会被特殊机制完全排除，需要给出与普通遗忘、注意不足、回避和选择不报告不同的预测。若任何记得都被解释成机制未发生，任何忘记都被解释成机制发生，理论便难以接受反例检验。可检验性要求事先说明什么结果会削弱主张。</w:t>
      </w:r>
    </w:p>
    <w:p>
      <w:pPr>
        <w:pStyle w:val="BodyText"/>
      </w:pPr>
      <w:r>
        <w:t xml:space="preserve">还需要区分事件存储、提取意愿、意识访问和报告行为。一个人有能力回忆却不愿报告，与无法访问记忆，在行为上可能暂时相似。实验设计可以通过不同激励、线索和隐性指标提供线索，现实个案中通常无法完全分离。</w:t>
      </w:r>
    </w:p>
    <w:p>
      <w:pPr>
        <w:pStyle w:val="BodyText"/>
      </w:pPr>
      <w:r>
        <w:t xml:space="preserve">现有争议包含概念差异、测量限制和临床解释分歧。准确的讲述应标明作者立场与证据层级，保留真实迟延回忆的可能，同时限制特殊准确恢复保证。科学审慎需要对支持与反对方向使用相同标准。</w:t>
      </w:r>
    </w:p>
    <w:bookmarkEnd w:id="546"/>
    <w:bookmarkStart w:id="547" w:name="sec-29-16"/>
    <w:p>
      <w:pPr>
        <w:pStyle w:val="Heading3"/>
      </w:pPr>
      <w:r>
        <w:t xml:space="preserve">29.16　访谈信息如何逐步污染</w:t>
      </w:r>
    </w:p>
    <w:p>
      <w:pPr>
        <w:pStyle w:val="FirstParagraph"/>
      </w:pPr>
      <w:r>
        <w:t xml:space="preserve">设第一次访谈中，参与者只报告一个模糊场景。第二次访谈者提出某种可能细节，第三次参与者把该细节纳入叙述，第四次又因反复叙述而更确信。后来若只保留第四次记录，就难以区分原始记忆与访谈贡献。完整时间线具有重要证据价值。</w:t>
      </w:r>
    </w:p>
    <w:p>
      <w:pPr>
        <w:pStyle w:val="BodyText"/>
      </w:pPr>
      <w:r>
        <w:t xml:space="preserve">访谈者的表情、肯定、惊讶和重复追问，也可能传达哪类答案更符合期待。中性、开放的提问与明确允许不知道，可以减少部分压力。具体访谈标准需遵循适用专业程序，书中的机制分析不替代个案评估。</w:t>
      </w:r>
    </w:p>
    <w:p>
      <w:pPr>
        <w:pStyle w:val="BodyText"/>
      </w:pPr>
      <w:r>
        <w:t xml:space="preserve">记录时可以分别标注自发内容、提示后内容、外部资料和推测。标签有助于后续核对，但不能自动恢复已经混合的信息。越早保留原始叙述和提问过程，越容易理解信息形成路径。</w:t>
      </w:r>
    </w:p>
    <w:bookmarkEnd w:id="547"/>
    <w:bookmarkStart w:id="548" w:name="sec-29-17"/>
    <w:p>
      <w:pPr>
        <w:pStyle w:val="Heading3"/>
      </w:pPr>
      <w:r>
        <w:t xml:space="preserve">29.17　证据判断练习</w:t>
      </w:r>
    </w:p>
    <w:p>
      <w:pPr>
        <w:pStyle w:val="FirstParagraph"/>
      </w:pPr>
      <w:r>
        <w:t xml:space="preserve">练习一：一个人多年后突然想起事件，并伴随强烈身体反应，能否确定事件准确？解析：突然性与身体反应说明体验性质，历史准确性还需内容与独立证据。多种机制可以产生相似体验，结论应保持在证据范围。</w:t>
      </w:r>
    </w:p>
    <w:p>
      <w:pPr>
        <w:pStyle w:val="BodyText"/>
      </w:pPr>
      <w:r>
        <w:t xml:space="preserve">练习二：没有找到佐证，能否确定报告虚假？解析：需要考虑事件可留痕程度、时间、调查范围和证据独立性。缺少证据对不同事件具有不同信息量，不能机械等同未发生。</w:t>
      </w:r>
    </w:p>
    <w:p>
      <w:pPr>
        <w:pStyle w:val="BodyText"/>
      </w:pPr>
      <w:r>
        <w:t xml:space="preserve">练习三：治疗后症状改善，是否证明治疗中形成的解释正确？解析：症状改善可以由支持、学习、情绪调节和其他过程产生。历史解释的正确性需要独立评价，两种结局不能互相替代。</w:t>
      </w:r>
    </w:p>
    <w:p>
      <w:pPr>
        <w:pStyle w:val="BodyText"/>
      </w:pPr>
      <w:r>
        <w:t xml:space="preserve">练习四：怎样保持开放而不陷入所有说法都一样可信？解析：对每条具体主张记录支持、反对和未知证据，比较替代解释是否产生不同预测，并随新信息更新。开放意味着允许更新，证据仍决定当前置信度。</w:t>
      </w:r>
    </w:p>
    <w:bookmarkEnd w:id="548"/>
    <w:bookmarkStart w:id="549" w:name="sec-29-18"/>
    <w:p>
      <w:pPr>
        <w:pStyle w:val="Heading3"/>
      </w:pPr>
      <w:r>
        <w:t xml:space="preserve">29.18　回忆时间线的证据结构</w:t>
      </w:r>
    </w:p>
    <w:p>
      <w:pPr>
        <w:pStyle w:val="FirstParagraph"/>
      </w:pPr>
      <w:r>
        <w:t xml:space="preserve">可以用一条假设时间线练习区分信息。时间点甲，个人在私人记录中写下一个模糊事件；时间点乙，阅读了描述类似事件的文章；时间点丙，与亲友讨论；时间点丁，形成更详细叙述。分析需要分别保存四个阶段的具体内容，不能只以最终叙述回填早期状态。</w:t>
      </w:r>
    </w:p>
    <w:p>
      <w:pPr>
        <w:pStyle w:val="BodyText"/>
      </w:pPr>
      <w:r>
        <w:t xml:space="preserve">如果某个关键细节在甲已出现，它的来源解释与首次出现在丁不同。首次出现较晚也不自动表示虚假，可能由新线索触发准确提取，或由后续信息进入。独立记录可以帮助比较这些候选路径。时间线的价值在于减少推断混合。</w:t>
      </w:r>
    </w:p>
    <w:p>
      <w:pPr>
        <w:pStyle w:val="BodyText"/>
      </w:pPr>
      <w:r>
        <w:t xml:space="preserve">若亲友在丙提供了佐证，还要问其信息是否来自独立经历，还是曾读过甲的记录。后者可能只是共同来源。若外部文件仅支持地点和时间，结论应限定在地点和时间；无法自动补全文件没有记录的行为。</w:t>
      </w:r>
    </w:p>
    <w:p>
      <w:pPr>
        <w:pStyle w:val="BodyText"/>
      </w:pPr>
      <w:r>
        <w:t xml:space="preserve">评价可以使用分项证据表：每条细节列出首次报告时间、触发线索、后续接触、独立支持和仍未知部分。这样的表帮助透明判断，不能提供机械真假分数。对现实个案，适用专业程序与调查权限仍需遵守。</w:t>
      </w:r>
    </w:p>
    <w:p>
      <w:pPr>
        <w:pStyle w:val="BodyText"/>
      </w:pPr>
      <w:r>
        <w:t xml:space="preserve">练习：某细节在多年后出现，但有一份此前从未被当事人接触的同时期文件与之吻合，应怎样更新？解析：独立吻合可以增加该具体细节的可信度，仍需检查文件真实性、细节特异性和可能共同来源。更新幅度取决于证据能够排除多少替代解释，不能自动推广全部叙述。</w:t>
      </w:r>
    </w:p>
    <w:p>
      <w:pPr>
        <w:pStyle w:val="BodyText"/>
      </w:pPr>
      <w:r>
        <w:t xml:space="preserve">再问：某细节与可靠文件冲突，是否意味着整段回忆都虚假？解析：冲突削弱该细节，需要检查时间、对象或来源混淆。其他部分仍需各自评价，整体结论应建立在完整证据结构上。</w:t>
      </w:r>
    </w:p>
    <w:bookmarkEnd w:id="549"/>
    <w:bookmarkStart w:id="550" w:name="sec-29-19"/>
    <w:p>
      <w:pPr>
        <w:pStyle w:val="Heading3"/>
      </w:pPr>
      <w:r>
        <w:t xml:space="preserve">29.19　学习检验与结论</w:t>
      </w:r>
    </w:p>
    <w:p>
      <w:pPr>
        <w:pStyle w:val="FirstParagraph"/>
      </w:pPr>
      <w:r>
        <w:t xml:space="preserve">练习：多年未提到某事件，是否证明当事人完全忘记？解答：未报告与不可回忆不同，需要更多资料区分回避、未披露和记忆困难。</w:t>
      </w:r>
    </w:p>
    <w:p>
      <w:pPr>
        <w:pStyle w:val="BodyText"/>
      </w:pPr>
      <w:r>
        <w:t xml:space="preserve">练习：实验能诱发某些虚假记忆，是否能否定某人的创伤？解答：机制存在无法替代个案核验，也不能给出未经测量的现实错误率。</w:t>
      </w:r>
    </w:p>
    <w:p>
      <w:pPr>
        <w:pStyle w:val="BodyText"/>
      </w:pPr>
      <w:r>
        <w:t xml:space="preserve">恢复记忆议题最需要的是概念精确、程序中性和证据独立。对痛苦保持认真，对历史事实保持可检验，是可以共同实现的要求。</w:t>
      </w:r>
    </w:p>
    <w:bookmarkEnd w:id="550"/>
    <w:bookmarkEnd w:id="551"/>
    <w:bookmarkStart w:id="569" w:name="ch-30"/>
    <w:p>
      <w:pPr>
        <w:pStyle w:val="Heading2"/>
      </w:pPr>
      <w:r>
        <w:t xml:space="preserve">第30章　视觉记忆、表象与特殊记忆能力</w:t>
      </w:r>
    </w:p>
    <w:bookmarkStart w:id="552" w:name="sec-30-1"/>
    <w:p>
      <w:pPr>
        <w:pStyle w:val="Heading3"/>
      </w:pPr>
      <w:r>
        <w:t xml:space="preserve">30.1　优秀记忆包含多种能力</w:t>
      </w:r>
    </w:p>
    <w:p>
      <w:pPr>
        <w:pStyle w:val="FirstParagraph"/>
      </w:pPr>
      <w:r>
        <w:t xml:space="preserve">数字广度、面孔再认、空间导航、专业知识、自传日期回忆和视觉表象鲜明度，分别提出不同的信息要求。一个人在某项任务中表现突出，值得认真研究；推广到其他材料、观看次数和延迟，需要独立检验。“照相式记忆”若被定义为任意材料一次观看后永久逐细节无误保存，便包含非常强的普遍性承诺。</w:t>
      </w:r>
    </w:p>
    <w:p>
      <w:pPr>
        <w:pStyle w:val="BodyText"/>
      </w:pPr>
      <w:r>
        <w:t xml:space="preserve">已有证据支持记忆技能能够明显改善，也支持少数个体在特定范围具有罕见优势。对于通用课程能够让普通学习者普遍获得上述永久无误能力，目前缺乏可靠支持。这个判断的置信度高。对所有罕见表象现象进行存在性否定，则超出了有限研究的能力范围</w:t>
      </w:r>
      <w:r>
        <w:rPr>
          <w:vertAlign w:val="superscript"/>
        </w:rPr>
        <w:t xml:space="preserve">[</w:t>
      </w:r>
      <w:hyperlink w:anchor="ref-283">
        <w:r>
          <w:rPr>
            <w:rStyle w:val="Hyperlink"/>
            <w:vertAlign w:val="superscript"/>
          </w:rPr>
          <w:t xml:space="preserve">283</w:t>
        </w:r>
      </w:hyperlink>
      <w:r>
        <w:rPr>
          <w:vertAlign w:val="superscript"/>
        </w:rPr>
        <w:t xml:space="preserve">,</w:t>
      </w:r>
      <w:hyperlink w:anchor="ref-284">
        <w:r>
          <w:rPr>
            <w:rStyle w:val="Hyperlink"/>
            <w:vertAlign w:val="superscript"/>
          </w:rPr>
          <w:t xml:space="preserve">284</w:t>
        </w:r>
      </w:hyperlink>
      <w:r>
        <w:rPr>
          <w:vertAlign w:val="superscript"/>
        </w:rPr>
        <w:t xml:space="preserve">,</w:t>
      </w:r>
      <w:hyperlink w:anchor="ref-285">
        <w:r>
          <w:rPr>
            <w:rStyle w:val="Hyperlink"/>
            <w:vertAlign w:val="superscript"/>
          </w:rPr>
          <w:t xml:space="preserve">285</w:t>
        </w:r>
      </w:hyperlink>
      <w:r>
        <w:rPr>
          <w:vertAlign w:val="superscript"/>
        </w:rPr>
        <w:t xml:space="preserve">]</w:t>
      </w:r>
      <w:r>
        <w:t xml:space="preserve">。</w:t>
      </w:r>
    </w:p>
    <w:bookmarkEnd w:id="552"/>
    <w:bookmarkStart w:id="553" w:name="sec-30-2"/>
    <w:p>
      <w:pPr>
        <w:pStyle w:val="Heading3"/>
      </w:pPr>
      <w:r>
        <w:t xml:space="preserve">30.2　再认、回忆与重建</w:t>
      </w:r>
    </w:p>
    <w:p>
      <w:pPr>
        <w:pStyle w:val="FirstParagraph"/>
      </w:pPr>
      <w:r>
        <w:t xml:space="preserve">再认任务向参与者提供候选项目，让其判断见过哪一个；自由回忆需要自行生成内容；线索回忆提供部分提示；重建任务要求恢复顺序、位置或特征。它们对检索支持、选择策略与错误的要求不同。某人在两选一图片再认中接近满分，仍可能无法从空白画布完整画出图片。</w:t>
      </w:r>
    </w:p>
    <w:p>
      <w:pPr>
        <w:pStyle w:val="BodyText"/>
      </w:pPr>
      <w:r>
        <w:t xml:space="preserve">视觉长期记忆可以保留大量物体信息。Brady等的研究让参与者学习大量物体图片，并通过有针对性的候选比较检验细节记忆，显示人类视觉记忆的容量与精细度相当可观。任务仍具有明确的材料、延迟和再认形式，不能由此推出任意场景的永久逐像素保存</w:t>
      </w:r>
      <w:r>
        <w:rPr>
          <w:vertAlign w:val="superscript"/>
        </w:rPr>
        <w:t xml:space="preserve">[</w:t>
      </w:r>
      <w:hyperlink w:anchor="ref-286">
        <w:r>
          <w:rPr>
            <w:rStyle w:val="Hyperlink"/>
            <w:vertAlign w:val="superscript"/>
          </w:rPr>
          <w:t xml:space="preserve">286</w:t>
        </w:r>
      </w:hyperlink>
      <w:r>
        <w:rPr>
          <w:vertAlign w:val="superscript"/>
        </w:rPr>
        <w:t xml:space="preserve">]</w:t>
      </w:r>
      <w:r>
        <w:t xml:space="preserve">。</w:t>
      </w:r>
    </w:p>
    <w:p>
      <w:pPr>
        <w:pStyle w:val="BodyText"/>
      </w:pPr>
      <w:r>
        <w:t xml:space="preserve">再认成绩还取决于干扰项。比较一只红色杯子与一辆汽车，通常比比较同一杯子的不同朝向更容易。若测试材料刻意避免相似项目，成绩可以很高，却没有测到精细辨别。严谨测试应说明相似性、类别、语义线索和猜测机会，并报告错误类型。</w:t>
      </w:r>
    </w:p>
    <w:bookmarkEnd w:id="553"/>
    <w:bookmarkStart w:id="554" w:name="sec-30-3"/>
    <w:p>
      <w:pPr>
        <w:pStyle w:val="Heading3"/>
      </w:pPr>
      <w:r>
        <w:t xml:space="preserve">30.3　编码结构与专家优势</w:t>
      </w:r>
    </w:p>
    <w:p>
      <w:pPr>
        <w:pStyle w:val="FirstParagraph"/>
      </w:pPr>
      <w:r>
        <w:t xml:space="preserve">记忆材料可以通过已有知识形成组块。一个日期对陌生人可能是八个数字，对熟悉事件的人可以成为一个有意义的单位。组块降低当下需逐项维持的信息数量，同时依赖长期知识支持。它也具有范围限制：熟悉运动成绩的人可以把数字联系到跑步时间，遇到无关字母或陌生符号时，优势可能缩小。</w:t>
      </w:r>
    </w:p>
    <w:p>
      <w:pPr>
        <w:pStyle w:val="BodyText"/>
      </w:pPr>
      <w:r>
        <w:t xml:space="preserve">Ericsson、Chase与Faloon报告的一名参与者，在超过二百三十小时训练后，把数字广度从七位提高到七十九位。研究揭示了编码和检索结构学习的重要性；单一个案无法给出全体学习者的平均收益，也无法证明所有短时记忆任务同等改善</w:t>
      </w:r>
      <w:r>
        <w:rPr>
          <w:vertAlign w:val="superscript"/>
        </w:rPr>
        <w:t xml:space="preserve">[</w:t>
      </w:r>
      <w:hyperlink w:anchor="ref-283">
        <w:r>
          <w:rPr>
            <w:rStyle w:val="Hyperlink"/>
            <w:vertAlign w:val="superscript"/>
          </w:rPr>
          <w:t xml:space="preserve">283</w:t>
        </w:r>
      </w:hyperlink>
      <w:r>
        <w:rPr>
          <w:vertAlign w:val="superscript"/>
        </w:rPr>
        <w:t xml:space="preserve">]</w:t>
      </w:r>
      <w:r>
        <w:t xml:space="preserve">。这里最有教学价值的观察，是训练改变了材料的组织与提取方式。</w:t>
      </w:r>
    </w:p>
    <w:p>
      <w:pPr>
        <w:pStyle w:val="BodyText"/>
      </w:pPr>
      <w:r>
        <w:t xml:space="preserve">理解机制可以避免低效模仿。学习者若只追求背诵长度，可能形成高度专门的编码系统，却没有增加课程概念之间的关系。医学术语、历史因果、数学证明和外语表达各有结构，策略需要服务于实际使用。记住标题顺序与能够解释机制之间，仍有知识加工环节。</w:t>
      </w:r>
    </w:p>
    <w:bookmarkEnd w:id="554"/>
    <w:bookmarkStart w:id="555" w:name="sec-30-4"/>
    <w:p>
      <w:pPr>
        <w:pStyle w:val="Heading3"/>
      </w:pPr>
      <w:r>
        <w:t xml:space="preserve">30.4　位置记忆法的作用条件</w:t>
      </w:r>
    </w:p>
    <w:p>
      <w:pPr>
        <w:pStyle w:val="FirstParagraph"/>
      </w:pPr>
      <w:r>
        <w:t xml:space="preserve">位置记忆法把待记项目与熟悉空间中的位置建立联系，再按路线提取。它提供顺序和检索线索，生动图像可以增加项目区分度。使用时需要事先熟悉路线、避免位置过度拥挤、检查联想是否能恢复精确内容，并通过提取检验巩固。</w:t>
      </w:r>
    </w:p>
    <w:p>
      <w:pPr>
        <w:pStyle w:val="BodyText"/>
      </w:pPr>
      <w:r>
        <w:t xml:space="preserve">关于记忆运动员和训练的研究发现，记忆技巧训练可以改善指定记忆任务，并伴随脑网络连接模式变化。Dresler等的研究包括优秀记忆运动员的比较和初学者训练，说明可学策略与神经组织变化之间存在可研究联系。脑连接变化的出现并不会自动证明所有学习领域迁移，具体训练材料与样本特征仍决定外推范围</w:t>
      </w:r>
      <w:r>
        <w:rPr>
          <w:vertAlign w:val="superscript"/>
        </w:rPr>
        <w:t xml:space="preserve">[</w:t>
      </w:r>
      <w:hyperlink w:anchor="ref-287">
        <w:r>
          <w:rPr>
            <w:rStyle w:val="Hyperlink"/>
            <w:vertAlign w:val="superscript"/>
          </w:rPr>
          <w:t xml:space="preserve">287</w:t>
        </w:r>
      </w:hyperlink>
      <w:r>
        <w:rPr>
          <w:vertAlign w:val="superscript"/>
        </w:rPr>
        <w:t xml:space="preserve">]</w:t>
      </w:r>
      <w:r>
        <w:t xml:space="preserve">。</w:t>
      </w:r>
    </w:p>
    <w:p>
      <w:pPr>
        <w:pStyle w:val="BodyText"/>
      </w:pPr>
      <w:r>
        <w:t xml:space="preserve">策略也有成本。建立图像需要时间，复杂概念可能在夸张场景中丢失逻辑关系，不同清单重复使用同一位置可能增加干扰。对电话号码、顺序清单或明确项目，位置线索可能合适；对推导、论证和概念网络，还需要因果解释、关系比较与应用练习。评价策略时应把编码时间、准确性、延迟保持和迁移一起纳入。</w:t>
      </w:r>
    </w:p>
    <w:bookmarkEnd w:id="555"/>
    <w:bookmarkStart w:id="556" w:name="sec-30-5"/>
    <w:p>
      <w:pPr>
        <w:pStyle w:val="Heading3"/>
      </w:pPr>
      <w:r>
        <w:t xml:space="preserve">30.5　表象鲜明度与客观准确性</w:t>
      </w:r>
    </w:p>
    <w:p>
      <w:pPr>
        <w:pStyle w:val="FirstParagraph"/>
      </w:pPr>
      <w:r>
        <w:t xml:space="preserve">视觉表象指在缺少当前相应视觉输入时形成的视觉体验。鲜明度反映体验强弱，记忆准确性反映与原信息的符合程度。一个人可以形成非常清晰的想象场景，场景仍可能含有推测或错误。一个人也可以缺少鲜明画面，却用语言、空间或概念知识完成记忆任务。</w:t>
      </w:r>
    </w:p>
    <w:p>
      <w:pPr>
        <w:pStyle w:val="BodyText"/>
      </w:pPr>
      <w:r>
        <w:t xml:space="preserve">表象研究有问卷、心理物理任务和生理指标。Kay等通过想象明暗刺激时的瞳孔变化研究视觉表象，并在缺乏视觉表象体验的人群中观察到不同模式。该结果为主观体验与生理反应之间的关系提供证据，个体诊断仍需考虑测量可靠性和多种方法，不能凭单次体验描述推断一个人的全部视觉记忆能力</w:t>
      </w:r>
      <w:r>
        <w:rPr>
          <w:vertAlign w:val="superscript"/>
        </w:rPr>
        <w:t xml:space="preserve">[</w:t>
      </w:r>
      <w:hyperlink w:anchor="ref-288">
        <w:r>
          <w:rPr>
            <w:rStyle w:val="Hyperlink"/>
            <w:vertAlign w:val="superscript"/>
          </w:rPr>
          <w:t xml:space="preserve">288</w:t>
        </w:r>
      </w:hyperlink>
      <w:r>
        <w:rPr>
          <w:vertAlign w:val="superscript"/>
        </w:rPr>
        <w:t xml:space="preserve">]</w:t>
      </w:r>
      <w:r>
        <w:t xml:space="preserve">。</w:t>
      </w:r>
    </w:p>
    <w:p>
      <w:pPr>
        <w:pStyle w:val="BodyText"/>
      </w:pPr>
      <w:r>
        <w:t xml:space="preserve">遗觉意象等特殊现象需要明确呈现条件、延迟、可检验细节和错误。研究中的术语定义可能与商业课程不同。若声称意象可用于逐字读取未注意过的内容，应使用参与者无法预知的细节、随机抽取的查询和独立核对。现象描述、机制解释和普遍训练可能性需要分别提供证据</w:t>
      </w:r>
      <w:r>
        <w:rPr>
          <w:vertAlign w:val="superscript"/>
        </w:rPr>
        <w:t xml:space="preserve">[</w:t>
      </w:r>
      <w:hyperlink w:anchor="ref-285">
        <w:r>
          <w:rPr>
            <w:rStyle w:val="Hyperlink"/>
            <w:vertAlign w:val="superscript"/>
          </w:rPr>
          <w:t xml:space="preserve">285</w:t>
        </w:r>
      </w:hyperlink>
      <w:r>
        <w:rPr>
          <w:vertAlign w:val="superscript"/>
        </w:rPr>
        <w:t xml:space="preserve">]</w:t>
      </w:r>
      <w:r>
        <w:t xml:space="preserve">。</w:t>
      </w:r>
    </w:p>
    <w:bookmarkEnd w:id="556"/>
    <w:bookmarkStart w:id="557" w:name="sec-30-6"/>
    <w:p>
      <w:pPr>
        <w:pStyle w:val="Heading3"/>
      </w:pPr>
      <w:r>
        <w:t xml:space="preserve">30.6　高度优越自传记忆</w:t>
      </w:r>
    </w:p>
    <w:p>
      <w:pPr>
        <w:pStyle w:val="FirstParagraph"/>
      </w:pPr>
      <w:r>
        <w:t xml:space="preserve">高度优越自传记忆者可以对个人生活日期和事件表现出显著优势。这种能力与记数字比赛、图像表象或一般考试成绩并无简单等同关系。个人事件还具有反复回想、日期组织和情绪意义，研究需要控制生活记录、外部资料与测试方式。</w:t>
      </w:r>
    </w:p>
    <w:p>
      <w:pPr>
        <w:pStyle w:val="BodyText"/>
      </w:pPr>
      <w:r>
        <w:t xml:space="preserve">Patihis等发现，这类个体在多种错误记忆范式中仍可能受到误导或报告未呈现内容。结果说明，突出的自传记忆与记忆可出错性可以同时存在。它限定了“优势可以保证所有材料免受错误”的推广，不会取消其真实的特殊能力</w:t>
      </w:r>
      <w:r>
        <w:rPr>
          <w:vertAlign w:val="superscript"/>
        </w:rPr>
        <w:t xml:space="preserve">[</w:t>
      </w:r>
      <w:hyperlink w:anchor="ref-284">
        <w:r>
          <w:rPr>
            <w:rStyle w:val="Hyperlink"/>
            <w:vertAlign w:val="superscript"/>
          </w:rPr>
          <w:t xml:space="preserve">284</w:t>
        </w:r>
      </w:hyperlink>
      <w:r>
        <w:rPr>
          <w:vertAlign w:val="superscript"/>
        </w:rPr>
        <w:t xml:space="preserve">]</w:t>
      </w:r>
      <w:r>
        <w:t xml:space="preserve">。</w:t>
      </w:r>
    </w:p>
    <w:p>
      <w:pPr>
        <w:pStyle w:val="BodyText"/>
      </w:pPr>
      <w:r>
        <w:t xml:space="preserve">评价特殊个案还要留意选择过程。经筛选发现的极端个体，往往在特定筛选指标上特别优秀。后续研究应使用新的材料和独立评分，并说明对照组的匹配。若同一材料反复用于筛选、训练和正式测试，熟悉效应会增加。评估中还应记录线索依赖和错误分布：若某人能依据日期回忆个人事件，却在缺少日期时明显困难，这提示日期组织可能提供重要检索支持。换用陌生材料、改变提示形式及比较正确与错误的细节类型，可以帮助确定优势的实际范围，避免把单个强项概括为所有记忆系统的普遍增强。个案价值可以很高，其总体流行率和训练可复制性仍需要更广样本。</w:t>
      </w:r>
    </w:p>
    <w:bookmarkEnd w:id="557"/>
    <w:bookmarkStart w:id="558" w:name="sec-30-7"/>
    <w:p>
      <w:pPr>
        <w:pStyle w:val="Heading3"/>
      </w:pPr>
      <w:r>
        <w:t xml:space="preserve">30.7　怎样测试课程承诺</w:t>
      </w:r>
    </w:p>
    <w:p>
      <w:pPr>
        <w:pStyle w:val="FirstParagraph"/>
      </w:pPr>
      <w:r>
        <w:t xml:space="preserve">一个声称普遍改善记忆的课程，应预先明确目标人群、培训时长、所用策略、结果任务与保持时间。测试材料需要独立生成，评分人员尽可能不知道分组。对照条件应平衡学习时间、鼓励、反馈和期待。若课程承诺跨材料优势，还需使用未练过且结构不同的任务。</w:t>
      </w:r>
    </w:p>
    <w:p>
      <w:pPr>
        <w:pStyle w:val="BodyText"/>
      </w:pPr>
      <w:r>
        <w:t xml:space="preserve">永久性承诺尤其困难。有限随访只能支持观察时间内的保持，不能证明未来所有时点都无遗忘。无误性承诺也需要极高检验强度：在有限试次中没有犯错，只能给错误率一个不确定范围。假设一人一百次测试全对，这不等于总体错误概率严格为零；材料覆盖不足还会进一步限制推论。</w:t>
      </w:r>
    </w:p>
    <w:p>
      <w:pPr>
        <w:pStyle w:val="BodyText"/>
      </w:pPr>
      <w:r>
        <w:t xml:space="preserve">训练效果可以很有价值，即使范围明确。学生可能通过提取练习和组织知识，更可靠地记住核心事实；专业人员可能通过检查表和外部工具减少关键遗漏。把能力提升描述得准确，可以帮助使用者选择适合自己任务的策略，并降低不切实际的预期。</w:t>
      </w:r>
    </w:p>
    <w:bookmarkEnd w:id="558"/>
    <w:bookmarkStart w:id="559" w:name="sec-30-8"/>
    <w:p>
      <w:pPr>
        <w:pStyle w:val="Heading3"/>
      </w:pPr>
      <w:r>
        <w:t xml:space="preserve">30.8　一个完整的记忆策略练习</w:t>
      </w:r>
    </w:p>
    <w:p>
      <w:pPr>
        <w:pStyle w:val="FirstParagraph"/>
      </w:pPr>
      <w:r>
        <w:t xml:space="preserve">设学习目标是掌握某条生物通路的六个步骤。首先阅读机制，写出每一步的输入、变化和输出；随后用六个熟悉地点编码步骤名称；遮住材料，按顺序提取；再从随机一步开始解释上游与下游；最后回答删除某一步会怎样影响结果。位置线索服务于顺序提取，因果问题检验机制理解。</w:t>
      </w:r>
    </w:p>
    <w:p>
      <w:pPr>
        <w:pStyle w:val="BodyText"/>
      </w:pPr>
      <w:r>
        <w:t xml:space="preserve">如果学生能顺序说出名称却无法回答删除效应，说明顺序记忆已经形成，关系知识仍需学习。如果能解释机制却偶尔漏掉名称，可以增加针对性的精确提取。两类错误需要不同反馈。把所有困难都归为记忆力差，会掩盖可改善的具体环节。</w:t>
      </w:r>
    </w:p>
    <w:p>
      <w:pPr>
        <w:pStyle w:val="BodyText"/>
      </w:pPr>
      <w:r>
        <w:t xml:space="preserve">进一步加入延迟与迁移。隔一段时间再测试，检查保持；更换例子或要求解释异常情境，检查应用；让学生说明信心并与准确率对照，检查元认知。这个练习把鲜明图像、熟悉感、准确提取和知识运用分别测量，形成更可解释的学习记录。</w:t>
      </w:r>
    </w:p>
    <w:bookmarkEnd w:id="559"/>
    <w:bookmarkStart w:id="560" w:name="sec-30-9"/>
    <w:p>
      <w:pPr>
        <w:pStyle w:val="Heading3"/>
      </w:pPr>
      <w:r>
        <w:t xml:space="preserve">30.9　专家知觉中的结构识别</w:t>
      </w:r>
    </w:p>
    <w:p>
      <w:pPr>
        <w:pStyle w:val="FirstParagraph"/>
      </w:pPr>
      <w:r>
        <w:t xml:space="preserve">专家看到的材料往往具有可利用结构。棋手可以识别棋子关系、战术威胁和常见布局，初学者可能只看到许多独立棋子。Chase与Simon通过棋局重建任务研究不同水平棋手的知觉与记忆组织，为组块和领域知识解释提供经典证据</w:t>
      </w:r>
      <w:r>
        <w:rPr>
          <w:vertAlign w:val="superscript"/>
        </w:rPr>
        <w:t xml:space="preserve">[</w:t>
      </w:r>
      <w:hyperlink w:anchor="ref-289">
        <w:r>
          <w:rPr>
            <w:rStyle w:val="Hyperlink"/>
            <w:vertAlign w:val="superscript"/>
          </w:rPr>
          <w:t xml:space="preserve">289</w:t>
        </w:r>
      </w:hyperlink>
      <w:r>
        <w:rPr>
          <w:vertAlign w:val="superscript"/>
        </w:rPr>
        <w:t xml:space="preserve">]</w:t>
      </w:r>
      <w:r>
        <w:t xml:space="preserve">。</w:t>
      </w:r>
    </w:p>
    <w:p>
      <w:pPr>
        <w:pStyle w:val="BodyText"/>
      </w:pPr>
      <w:r>
        <w:t xml:space="preserve">结构知识可以把多个元素压缩成有意义单元，同时支持预测缺失部分。优势依赖材料是否符合领域规律。若材料被随机打乱，许多已有结构不再适用，专家优势的性质可能改变。研究应同时比较有意义和改变结构的材料，定位知识贡献。</w:t>
      </w:r>
    </w:p>
    <w:p>
      <w:pPr>
        <w:pStyle w:val="BodyText"/>
      </w:pPr>
      <w:r>
        <w:t xml:space="preserve">专家记忆还包含检索路径。看到某个关键关系，可以激活一整套有关模式；一个细节变化又可能提示例外。训练因此需要学习哪些特征有诊断价值，怎样检验模式是否适用。单纯追求视觉画面鲜明，无法替代领域结构学习。</w:t>
      </w:r>
    </w:p>
    <w:bookmarkEnd w:id="560"/>
    <w:bookmarkStart w:id="561" w:name="sec-30-10"/>
    <w:p>
      <w:pPr>
        <w:pStyle w:val="Heading3"/>
      </w:pPr>
      <w:r>
        <w:t xml:space="preserve">30.10　物体信息与空间信息</w:t>
      </w:r>
    </w:p>
    <w:p>
      <w:pPr>
        <w:pStyle w:val="FirstParagraph"/>
      </w:pPr>
      <w:r>
        <w:t xml:space="preserve">视觉记忆可以分别保留物体是什么、有哪些细节、位于哪里以及相互怎样排列。一个人可能记得房间布局，却忘记桌上物体的颜色；也可能记得一件鲜明物品，却不清楚它的位置。不同任务需要不同维度。</w:t>
      </w:r>
    </w:p>
    <w:p>
      <w:pPr>
        <w:pStyle w:val="BodyText"/>
      </w:pPr>
      <w:r>
        <w:t xml:space="preserve">Bainbridge等通过绘图任务研究缺乏视觉表象体验者，观察到物体与空间记忆表现之间的分离</w:t>
      </w:r>
      <w:r>
        <w:rPr>
          <w:vertAlign w:val="superscript"/>
        </w:rPr>
        <w:t xml:space="preserve">[</w:t>
      </w:r>
      <w:hyperlink w:anchor="ref-290">
        <w:r>
          <w:rPr>
            <w:rStyle w:val="Hyperlink"/>
            <w:vertAlign w:val="superscript"/>
          </w:rPr>
          <w:t xml:space="preserve">290</w:t>
        </w:r>
      </w:hyperlink>
      <w:r>
        <w:rPr>
          <w:vertAlign w:val="superscript"/>
        </w:rPr>
        <w:t xml:space="preserve">]</w:t>
      </w:r>
      <w:r>
        <w:t xml:space="preserve">。结果说明，主观表象差异不能简单等同全部视觉记忆能力差异。绘图能力、策略和任务评分也需要考虑，个体表现不能由群体均值决定。</w:t>
      </w:r>
    </w:p>
    <w:p>
      <w:pPr>
        <w:pStyle w:val="BodyText"/>
      </w:pPr>
      <w:r>
        <w:t xml:space="preserve">教学可以根据目标选择表征。学习解剖位置需要空间关系，识别组织特征需要细节比较，理解功能需要因果知识。三者可以互相支持，测验应分别检查。把一张图记得清楚，仍可能无法解释其中结构的作用。</w:t>
      </w:r>
    </w:p>
    <w:bookmarkEnd w:id="561"/>
    <w:bookmarkStart w:id="562" w:name="sec-30-11"/>
    <w:p>
      <w:pPr>
        <w:pStyle w:val="Heading3"/>
      </w:pPr>
      <w:r>
        <w:t xml:space="preserve">30.11　图像编码与语言编码</w:t>
      </w:r>
    </w:p>
    <w:p>
      <w:pPr>
        <w:pStyle w:val="FirstParagraph"/>
      </w:pPr>
      <w:r>
        <w:t xml:space="preserve">图像联想可以增加项目独特性，语言编码可以提供精确类别和关系，空间线索可以组织顺序。多种编码方式能够协作，具体效果取决于材料与学习者已有技能。将任何一种方式规定为所有人的唯一最佳路径，缺少足够依据。</w:t>
      </w:r>
    </w:p>
    <w:p>
      <w:pPr>
        <w:pStyle w:val="BodyText"/>
      </w:pPr>
      <w:r>
        <w:t xml:space="preserve">例如，要记住“线索在结果之前出现”这一关系，可以画时间轴，再用一句话明确先后条件，最后用反例检查。图像支持空间化的顺序，语言支持条件精度，例题支持应用。每个部分承担不同功能。</w:t>
      </w:r>
    </w:p>
    <w:p>
      <w:pPr>
        <w:pStyle w:val="BodyText"/>
      </w:pPr>
      <w:r>
        <w:t xml:space="preserve">过于夸张的图像也可能引入无关细节。若学习者记住了荒诞故事，却忘记故事对应哪个术语，编码失败仍会发生。有效联想需要可逆性：看到线索能恢复目标，看到目标也能解释线索与内容的关系。提取练习可以检查这种对应。</w:t>
      </w:r>
    </w:p>
    <w:bookmarkEnd w:id="562"/>
    <w:bookmarkStart w:id="563" w:name="sec-30-12"/>
    <w:p>
      <w:pPr>
        <w:pStyle w:val="Heading3"/>
      </w:pPr>
      <w:r>
        <w:t xml:space="preserve">30.12　位置记忆法中的索引组织</w:t>
      </w:r>
    </w:p>
    <w:p>
      <w:pPr>
        <w:pStyle w:val="FirstParagraph"/>
      </w:pPr>
      <w:r>
        <w:t xml:space="preserve">空间路线可以作为一组有序索引。每个位置应容易区分，顺序稳定，容量与当前任务相适应。若多个位置过于相似，检索可能跳跃或混淆；若同一位置同时承载许多无关清单，竞争可能增加。路线设计需要考虑后续使用。</w:t>
      </w:r>
    </w:p>
    <w:p>
      <w:pPr>
        <w:pStyle w:val="BodyText"/>
      </w:pPr>
      <w:r>
        <w:t xml:space="preserve">一条路线可以按主题分区，或为不同清单使用不同时间和情境标签。这样的组织有助于区分材料，实际效果仍应通过随机提取和延迟测试检查。顺序回忆流畅不保证能够从任意位置开始，若实际任务需要随机访问，就应练习随机线索。</w:t>
      </w:r>
    </w:p>
    <w:bookmarkEnd w:id="563"/>
    <w:bookmarkStart w:id="564" w:name="sec-30-13"/>
    <w:p>
      <w:pPr>
        <w:pStyle w:val="Heading3"/>
      </w:pPr>
      <w:r>
        <w:t xml:space="preserve">30.13　记忆竞赛与现实知识使用</w:t>
      </w:r>
    </w:p>
    <w:p>
      <w:pPr>
        <w:pStyle w:val="FirstParagraph"/>
      </w:pPr>
      <w:r>
        <w:t xml:space="preserve">竞赛任务通常具有明确材料、时间和评分规则，训练可以高度针对这些要求。现实知识使用可能要求解释、选择、迁移和更新，评分标准更复杂。竞赛技能可以启发编码方法，直接转移多少需要实测。</w:t>
      </w:r>
    </w:p>
    <w:p>
      <w:pPr>
        <w:pStyle w:val="BodyText"/>
      </w:pPr>
      <w:r>
        <w:t xml:space="preserve">假设学生能快速记住一百个疾病名称，却不能区分相似症状的机制。他的列表记忆能力有价值，专业判断仍需建立关系和条件。把名称与症状、机制、检查和例外联系起来，才能支持应用。记忆和理解在这里相互依赖，训练目标应覆盖实际需求。</w:t>
      </w:r>
    </w:p>
    <w:p>
      <w:pPr>
        <w:pStyle w:val="BodyText"/>
      </w:pPr>
      <w:r>
        <w:t xml:space="preserve">现实任务还允许外部工具。查阅可靠资料、使用索引和记录来源，可以提高准确性。目标如果是高质量决策，完全依赖内部记忆未必是最有效安排；如果目标是紧急反应中的快速提取，某些信息又需要高度熟练。工具与内部知识的分工取决于时间和错误成本。</w:t>
      </w:r>
    </w:p>
    <w:bookmarkEnd w:id="564"/>
    <w:bookmarkStart w:id="565" w:name="sec-30-14"/>
    <w:p>
      <w:pPr>
        <w:pStyle w:val="Heading3"/>
      </w:pPr>
      <w:r>
        <w:t xml:space="preserve">30.14　测试材料的覆盖问题</w:t>
      </w:r>
    </w:p>
    <w:p>
      <w:pPr>
        <w:pStyle w:val="FirstParagraph"/>
      </w:pPr>
      <w:r>
        <w:t xml:space="preserve">任何特殊记忆主张都需要说明材料范围。数字、文字、自然图片、随机点阵、陌生符号和复杂场景具有不同结构。一个人在可利用语义材料中表现突出，无法自动证明在随机信息中同样出色。测试应覆盖承诺中的主要类型。</w:t>
      </w:r>
    </w:p>
    <w:p>
      <w:pPr>
        <w:pStyle w:val="BodyText"/>
      </w:pPr>
      <w:r>
        <w:t xml:space="preserve">观看时间、注意指令和测试细节也影响结果。若提前知道要记住颜色，表现与事后突然询问颜色可能不同；若材料可重复查看，任务与一次观看不同。课程展示视频常选择最成功的试次，完整评价需要全部试次和失败情况。</w:t>
      </w:r>
    </w:p>
    <w:p>
      <w:pPr>
        <w:pStyle w:val="BodyText"/>
      </w:pPr>
      <w:r>
        <w:t xml:space="preserve">延迟保持需要多个时间点，且注意中间复习会改变记忆。声称未经复习长期保持时，应记录是否再次接触相关材料。现实环境难以完全控制，研究结论应说明这些限制。</w:t>
      </w:r>
    </w:p>
    <w:bookmarkEnd w:id="565"/>
    <w:bookmarkStart w:id="566" w:name="sec-30-15"/>
    <w:p>
      <w:pPr>
        <w:pStyle w:val="Heading3"/>
      </w:pPr>
      <w:r>
        <w:t xml:space="preserve">30.15　错误结构比总分更有信息</w:t>
      </w:r>
    </w:p>
    <w:p>
      <w:pPr>
        <w:pStyle w:val="FirstParagraph"/>
      </w:pPr>
      <w:r>
        <w:t xml:space="preserve">记忆错误可以是遗漏、顺序交换、相似项目混淆、来源错误或加入未呈现内容。不同策略可能改善一种错误却增加另一种。总分相同的人可能需要不同训练。记录错误结构能够指导改进。</w:t>
      </w:r>
    </w:p>
    <w:p>
      <w:pPr>
        <w:pStyle w:val="BodyText"/>
      </w:pPr>
      <w:r>
        <w:t xml:space="preserve">例如，位置法使用者主要发生位置顺序错误，可以加强路线区分；语义学习者主要把相似概念混淆，可以加入并列比较；高信心加入不存在细节的人，可以加强来源核对。策略选择由错误机制引导，避免统一增加重复次数。</w:t>
      </w:r>
    </w:p>
    <w:p>
      <w:pPr>
        <w:pStyle w:val="BodyText"/>
      </w:pPr>
      <w:r>
        <w:t xml:space="preserve">准确性还与作答标准有关。鼓励尽量多回忆可能增加正确项目和错误项目，允许保留不确定则可能减少错误但增加遗漏。评价需要说明目标是最大覆盖还是高精度，两者权衡在考试、证词和专业工作中不同。</w:t>
      </w:r>
    </w:p>
    <w:bookmarkEnd w:id="566"/>
    <w:bookmarkStart w:id="567" w:name="sec-30-16"/>
    <w:p>
      <w:pPr>
        <w:pStyle w:val="Heading3"/>
      </w:pPr>
      <w:r>
        <w:t xml:space="preserve">30.16　设计个人记忆系统</w:t>
      </w:r>
    </w:p>
    <w:p>
      <w:pPr>
        <w:pStyle w:val="FirstParagraph"/>
      </w:pPr>
      <w:r>
        <w:t xml:space="preserve">一个实用系统可以把信息分成需要快速精确提取、需要理解关系、需要按需查阅三类。第一类采用主动提取与适当间隔，第二类采用解释、比较和变式应用，第三类建立可靠索引和来源。分类根据任务改变，重要信息可能同时属于多类。</w:t>
      </w:r>
    </w:p>
    <w:p>
      <w:pPr>
        <w:pStyle w:val="BodyText"/>
      </w:pPr>
      <w:r>
        <w:t xml:space="preserve">系统还应包含纠错环节。每次发现错误，记录错误类型和正确依据，安排后续独立提取。仅把答案重新读一遍，可能保留熟悉感却未修复检索路径。检查实际提取能够让策略更贴近目标。</w:t>
      </w:r>
    </w:p>
    <w:p>
      <w:pPr>
        <w:pStyle w:val="BodyText"/>
      </w:pPr>
      <w:r>
        <w:t xml:space="preserve">进步可以用延迟准确性、查找时间、应用质量和负担衡量。记忆系统的价值在于帮助完成有意义的任务，特殊能力标签不提供同样具体的反馈。学习者可以获得明显改善，同时保持对范围和错误的清楚认识。</w:t>
      </w:r>
    </w:p>
    <w:bookmarkEnd w:id="567"/>
    <w:bookmarkStart w:id="568" w:name="sec-30-17"/>
    <w:p>
      <w:pPr>
        <w:pStyle w:val="Heading3"/>
      </w:pPr>
      <w:r>
        <w:t xml:space="preserve">30.17　练习与解析</w:t>
      </w:r>
    </w:p>
    <w:p>
      <w:pPr>
        <w:pStyle w:val="FirstParagraph"/>
      </w:pPr>
      <w:r>
        <w:t xml:space="preserve">练习一：一位记忆运动员能背出大量数字，能否保证其记住一次看见的法律条文并正确解释？解析：数字编码技能对特定材料有效，法律理解还涉及语义、结构、条件和推理。需要针对目标任务的测试，任何跨领域结论都需要新证据。</w:t>
      </w:r>
    </w:p>
    <w:p>
      <w:pPr>
        <w:pStyle w:val="BodyText"/>
      </w:pPr>
      <w:r>
        <w:t xml:space="preserve">练习二：某人报告脑中画面像照片一样清晰，如何验证？解析：需要把体验鲜明度与客观细节分开测量，使用未知问题、相似干扰和不同延迟。清晰报告支持主观体验，正确核对支持具体细节准确，两者各有信息。</w:t>
      </w:r>
    </w:p>
    <w:p>
      <w:pPr>
        <w:pStyle w:val="BodyText"/>
      </w:pPr>
      <w:r>
        <w:t xml:space="preserve">练习三：课程中所有学员都在同一套题上进步，是否支持普遍记忆增强？解析：它支持在该题集和教学条件下的改善。材料熟悉、策略练习、评分期待与选择性报告仍需控制；普遍迁移和长期保持需要独立任务与后续观察。</w:t>
      </w:r>
    </w:p>
    <w:bookmarkEnd w:id="568"/>
    <w:bookmarkEnd w:id="569"/>
    <w:bookmarkStart w:id="595" w:name="ch-31"/>
    <w:p>
      <w:pPr>
        <w:pStyle w:val="Heading2"/>
      </w:pPr>
      <w:r>
        <w:t xml:space="preserve">第31章　提取练习、反馈与知识可用性</w:t>
      </w:r>
    </w:p>
    <w:bookmarkStart w:id="570" w:name="sec-31-1"/>
    <w:p>
      <w:pPr>
        <w:pStyle w:val="Heading3"/>
      </w:pPr>
      <w:r>
        <w:t xml:space="preserve">31.1　提取作为学习事件</w:t>
      </w:r>
    </w:p>
    <w:p>
      <w:pPr>
        <w:pStyle w:val="FirstParagraph"/>
      </w:pPr>
      <w:r>
        <w:t xml:space="preserve">提取练习要求学习者在答案暂时不可见时，依据线索重建已经学习的内容。线索可以是一个术语、一张空白图、一段案例或一个需要解释的问题。提取可以产生口头回答、书面说明、操作步骤、图形或选择判断。它的共同特征是当前反应需要调用记忆中的信息。</w:t>
      </w:r>
    </w:p>
    <w:p>
      <w:pPr>
        <w:pStyle w:val="BodyText"/>
      </w:pPr>
      <w:r>
        <w:t xml:space="preserve">一次测验具有多重作用。它可以测量当前掌握程度，可以改变之后的记忆，可以暴露错误，也可以影响学习者对自己能力的判断。分析测验的教学价值，需要分别考虑这些作用。高分测验未必带来最大的新增学习，困难测验也可能因为缺少支持而只产生大量未解决的问题。</w:t>
      </w:r>
    </w:p>
    <w:p>
      <w:pPr>
        <w:pStyle w:val="BodyText"/>
      </w:pPr>
      <w:r>
        <w:t xml:space="preserve">散文学习的经典实验显示，重复学习与重复提取的相对表现取决于最终测验的时间：学习后五分钟测验时，重复学习条件回忆略多；两天和一周后测验时，结果反转，提取条件回忆明显更多。这说明学习结束时的流畅度不足以代表未来保持。对提取练习的判断应使用与学习目标相符的延迟结局</w:t>
      </w:r>
      <w:r>
        <w:rPr>
          <w:vertAlign w:val="superscript"/>
        </w:rPr>
        <w:t xml:space="preserve">[</w:t>
      </w:r>
      <w:hyperlink w:anchor="ref-291">
        <w:r>
          <w:rPr>
            <w:rStyle w:val="Hyperlink"/>
            <w:vertAlign w:val="superscript"/>
          </w:rPr>
          <w:t xml:space="preserve">291</w:t>
        </w:r>
      </w:hyperlink>
      <w:r>
        <w:rPr>
          <w:vertAlign w:val="superscript"/>
        </w:rPr>
        <w:t xml:space="preserve">]</w:t>
      </w:r>
      <w:r>
        <w:t xml:space="preserve">。</w:t>
      </w:r>
    </w:p>
    <w:bookmarkEnd w:id="570"/>
    <w:bookmarkStart w:id="571" w:name="sec-31-2"/>
    <w:p>
      <w:pPr>
        <w:pStyle w:val="Heading3"/>
      </w:pPr>
      <w:r>
        <w:t xml:space="preserve">31.2　从线索到答案的多个步骤</w:t>
      </w:r>
    </w:p>
    <w:p>
      <w:pPr>
        <w:pStyle w:val="FirstParagraph"/>
      </w:pPr>
      <w:r>
        <w:t xml:space="preserve">提取过程可以分解为识别线索、确定搜索范围、激活候选内容、选择相关信息、组织答案和检查正确性。不同题目对这些过程的要求不同。看到“光合作用”后列出术语，与解释光照改变后某个实验结果，所需知识组织和推理跨度不同。</w:t>
      </w:r>
    </w:p>
    <w:p>
      <w:pPr>
        <w:pStyle w:val="BodyText"/>
      </w:pPr>
      <w:r>
        <w:t xml:space="preserve">一个学生可能知道相关事实，却没有把问题线索与知识联系起来。另一个学生能够想到相关概念，却选错了适用条件。还有人掌握了关系，但表达组织不足。这些情况都可能得到不完整答案。反馈应对应实际障碍，帮助学习者建立有效的检索线索、补足条件或改进表达结构。</w:t>
      </w:r>
    </w:p>
    <w:p>
      <w:pPr>
        <w:pStyle w:val="BodyText"/>
      </w:pPr>
      <w:r>
        <w:t xml:space="preserve">设计提取问题时，可以先写出预期知识状态：能够回忆什么、能够解释什么、能够在何种条件下使用什么。随后再选择题型。这样可以避免题库规模很大，却只反复练习术语辨认，忽略课程真正要求的关系理解和应用判断。</w:t>
      </w:r>
    </w:p>
    <w:bookmarkEnd w:id="571"/>
    <w:bookmarkStart w:id="572" w:name="sec-31-3"/>
    <w:p>
      <w:pPr>
        <w:pStyle w:val="Heading3"/>
      </w:pPr>
      <w:r>
        <w:t xml:space="preserve">31.3　提取效应的证据层次</w:t>
      </w:r>
    </w:p>
    <w:p>
      <w:pPr>
        <w:pStyle w:val="FirstParagraph"/>
      </w:pPr>
      <w:r>
        <w:t xml:space="preserve">与重复接触材料相比，提取练习在大量保持研究中具有平均优势。元分析同时显示，初始测验形式、提取要求及其他条件影响效应。关于机制，努力加工、情境变化和记忆强度分布等解释都需要接受进一步区分</w:t>
      </w:r>
      <w:r>
        <w:rPr>
          <w:vertAlign w:val="superscript"/>
        </w:rPr>
        <w:t xml:space="preserve">[</w:t>
      </w:r>
      <w:hyperlink w:anchor="ref-292">
        <w:r>
          <w:rPr>
            <w:rStyle w:val="Hyperlink"/>
            <w:vertAlign w:val="superscript"/>
          </w:rPr>
          <w:t xml:space="preserve">292</w:t>
        </w:r>
      </w:hyperlink>
      <w:r>
        <w:rPr>
          <w:vertAlign w:val="superscript"/>
        </w:rPr>
        <w:t xml:space="preserve">]</w:t>
      </w:r>
      <w:r>
        <w:t xml:space="preserve">。</w:t>
      </w:r>
    </w:p>
    <w:p>
      <w:pPr>
        <w:pStyle w:val="BodyText"/>
      </w:pPr>
      <w:r>
        <w:t xml:space="preserve">课堂综述汇总二百二十二项独立研究、四万八千四百七十八名学生的数据，报告测验活动对学业结果的总体标准化效应约为零点五。这个汇总值跨越多种课程、对照活动和实施方式，适合描述证据总体趋势；它不构成某班学生成绩将提高固定百分比的承诺</w:t>
      </w:r>
      <w:r>
        <w:rPr>
          <w:vertAlign w:val="superscript"/>
        </w:rPr>
        <w:t xml:space="preserve">[</w:t>
      </w:r>
      <w:hyperlink w:anchor="ref-293">
        <w:r>
          <w:rPr>
            <w:rStyle w:val="Hyperlink"/>
            <w:vertAlign w:val="superscript"/>
          </w:rPr>
          <w:t xml:space="preserve">293</w:t>
        </w:r>
      </w:hyperlink>
      <w:r>
        <w:rPr>
          <w:vertAlign w:val="superscript"/>
        </w:rPr>
        <w:t xml:space="preserve">]</w:t>
      </w:r>
      <w:r>
        <w:t xml:space="preserve">。</w:t>
      </w:r>
    </w:p>
    <w:p>
      <w:pPr>
        <w:pStyle w:val="BodyText"/>
      </w:pPr>
      <w:r>
        <w:t xml:space="preserve">证据支持的核心结论具有较高置信度：适当安排的提取活动能够促进很多已学材料的长期可用性。更具体的选择仍有条件性，包括最合适的题型、反馈时机、重复次数、迁移范围和时间成本。把总体结论转化为课程方案时，需要保留这些条件。</w:t>
      </w:r>
    </w:p>
    <w:bookmarkEnd w:id="572"/>
    <w:bookmarkStart w:id="573" w:name="sec-31-4"/>
    <w:p>
      <w:pPr>
        <w:pStyle w:val="Heading3"/>
      </w:pPr>
      <w:r>
        <w:t xml:space="preserve">31.4　与积极学习活动的比较</w:t>
      </w:r>
    </w:p>
    <w:p>
      <w:pPr>
        <w:pStyle w:val="FirstParagraph"/>
      </w:pPr>
      <w:r>
        <w:t xml:space="preserve">教学时间有限，因此比较对象很重要。与不学习相比获益，与重复阅读相比获益，与高质量解释、生成例子或结构化讨论相比获益，回答的是不同问题。某种活动具有学习价值，并不意味着它在所有配置下都应占用最多时间。</w:t>
      </w:r>
    </w:p>
    <w:p>
      <w:pPr>
        <w:pStyle w:val="BodyText"/>
      </w:pPr>
      <w:r>
        <w:t xml:space="preserve">2025年的一项系统综述直接比较提取练习与精加工活动，纳入四十四项研究、一百四十二项比较，发现总体优势较小，并受到反馈及活动类型影响。这个结果提示，应认真设计提取与解释、概念组织和讨论之间的组合，避免把所有积极学习活动简单排成固定优劣顺序</w:t>
      </w:r>
      <w:r>
        <w:rPr>
          <w:vertAlign w:val="superscript"/>
        </w:rPr>
        <w:t xml:space="preserve">[</w:t>
      </w:r>
      <w:hyperlink w:anchor="ref-294">
        <w:r>
          <w:rPr>
            <w:rStyle w:val="Hyperlink"/>
            <w:vertAlign w:val="superscript"/>
          </w:rPr>
          <w:t xml:space="preserve">294</w:t>
        </w:r>
      </w:hyperlink>
      <w:r>
        <w:rPr>
          <w:vertAlign w:val="superscript"/>
        </w:rPr>
        <w:t xml:space="preserve">]</w:t>
      </w:r>
      <w:r>
        <w:t xml:space="preserve">。</w:t>
      </w:r>
    </w:p>
    <w:p>
      <w:pPr>
        <w:pStyle w:val="BodyText"/>
      </w:pPr>
      <w:r>
        <w:t xml:space="preserve">一种合理的课程序列可以先建立概念关系，再让学生关闭材料重建关系，随后用准确材料核查并解释错误。这个组合在逻辑上同时支持组织、提取和纠错。其最佳比例需要根据材料复杂度、初学水平和目标结局确定，不能只从单个环节的有效性推导整个课程的最优配置。</w:t>
      </w:r>
    </w:p>
    <w:bookmarkEnd w:id="573"/>
    <w:bookmarkStart w:id="574" w:name="sec-31-5"/>
    <w:p>
      <w:pPr>
        <w:pStyle w:val="Heading3"/>
      </w:pPr>
      <w:r>
        <w:t xml:space="preserve">31.5　候选机制与可检验预测</w:t>
      </w:r>
    </w:p>
    <w:p>
      <w:pPr>
        <w:pStyle w:val="FirstParagraph"/>
      </w:pPr>
      <w:r>
        <w:t xml:space="preserve">提取可能改变线索与目标之间的关系，提高之后搜索到目标的机会；可能使学习者重新组织知识；也可能帮助区分相似答案。不同机制可以在同一次活动中共存。机制解释应给出能够被观察反驳的预测，例如改变线索、改变情境或控制初始成功率后，优势是否仍然存在。</w:t>
      </w:r>
    </w:p>
    <w:p>
      <w:pPr>
        <w:pStyle w:val="BodyText"/>
      </w:pPr>
      <w:r>
        <w:t xml:space="preserve">情境解释强调，提取需要恢复先前学习相关的情境，并把当前提取经历整合进新的情境表征。这种更新可能帮助后续搜索更准确地指向目标。它提供了一套机制假说，需要与语义精加工、反应练习和其他解释比较</w:t>
      </w:r>
      <w:r>
        <w:rPr>
          <w:vertAlign w:val="superscript"/>
        </w:rPr>
        <w:t xml:space="preserve">[</w:t>
      </w:r>
      <w:hyperlink w:anchor="ref-295">
        <w:r>
          <w:rPr>
            <w:rStyle w:val="Hyperlink"/>
            <w:vertAlign w:val="superscript"/>
          </w:rPr>
          <w:t xml:space="preserve">295</w:t>
        </w:r>
      </w:hyperlink>
      <w:r>
        <w:rPr>
          <w:vertAlign w:val="superscript"/>
        </w:rPr>
        <w:t xml:space="preserve">]</w:t>
      </w:r>
      <w:r>
        <w:t xml:space="preserve">。</w:t>
      </w:r>
    </w:p>
    <w:p>
      <w:pPr>
        <w:pStyle w:val="BodyText"/>
      </w:pPr>
      <w:r>
        <w:t xml:space="preserve">例如，如果一种优势完全依赖练习时的相同线索，那么换用新线索可能明显削弱它。若学习者在提取过程中建立了更丰富的概念关系，新线索也可能获得帮助。通过有计划地改变问题表述和需要调用的关系，可以检验知识的可访问性是否超出了原题。</w:t>
      </w:r>
    </w:p>
    <w:bookmarkEnd w:id="574"/>
    <w:bookmarkStart w:id="575" w:name="sec-31-6"/>
    <w:p>
      <w:pPr>
        <w:pStyle w:val="Heading3"/>
      </w:pPr>
      <w:r>
        <w:t xml:space="preserve">31.6　当前成功与未来保持</w:t>
      </w:r>
    </w:p>
    <w:p>
      <w:pPr>
        <w:pStyle w:val="FirstParagraph"/>
      </w:pPr>
      <w:r>
        <w:t xml:space="preserve">首次正确回答表示在当前线索、当前情境和当前时间点能够完成任务。这个结果很重要，但它没有提供对数日后、线索改变后或干扰增加后的完整保证。把首次成功作为所有练习的终点，可能过早停止对脆弱知识的巩固。</w:t>
      </w:r>
    </w:p>
    <w:p>
      <w:pPr>
        <w:pStyle w:val="BodyText"/>
      </w:pPr>
      <w:r>
        <w:t xml:space="preserve">词汇学习实验中，在首次成功之后继续安排提取，可以改善延迟保持。该结果支持把多次成功与一次成功区分开，同时需要保留材料与安排的边界。初次学习尚未完成、答案有误或概念未理解时，继续学习和纠错仍然必不可少</w:t>
      </w:r>
      <w:r>
        <w:rPr>
          <w:vertAlign w:val="superscript"/>
        </w:rPr>
        <w:t xml:space="preserve">[</w:t>
      </w:r>
      <w:hyperlink w:anchor="ref-296">
        <w:r>
          <w:rPr>
            <w:rStyle w:val="Hyperlink"/>
            <w:vertAlign w:val="superscript"/>
          </w:rPr>
          <w:t xml:space="preserve">296</w:t>
        </w:r>
      </w:hyperlink>
      <w:r>
        <w:rPr>
          <w:vertAlign w:val="superscript"/>
        </w:rPr>
        <w:t xml:space="preserve">]</w:t>
      </w:r>
      <w:r>
        <w:t xml:space="preserve">。</w:t>
      </w:r>
    </w:p>
    <w:p>
      <w:pPr>
        <w:pStyle w:val="BodyText"/>
      </w:pPr>
      <w:r>
        <w:t xml:space="preserve">课程中可以把掌握标准设计成多个维度：准确回忆、解释依据、经过间隔后仍可使用、能够辨认适用条件。对于不需要长久保持的低价值细节，投入可以较少；对于后续课程反复依赖的基础概念，应安排更多持续检验。练习量由知识用途和当前表现共同决定。</w:t>
      </w:r>
    </w:p>
    <w:bookmarkEnd w:id="575"/>
    <w:bookmarkStart w:id="576" w:name="sec-31-7"/>
    <w:p>
      <w:pPr>
        <w:pStyle w:val="Heading3"/>
      </w:pPr>
      <w:r>
        <w:t xml:space="preserve">31.7　困难度与可获得的成功</w:t>
      </w:r>
    </w:p>
    <w:p>
      <w:pPr>
        <w:pStyle w:val="FirstParagraph"/>
      </w:pPr>
      <w:r>
        <w:t xml:space="preserve">提取难度受到线索支持、间隔长度、材料熟悉度和问题要求影响。困难可能促使学习者进行更充分搜索，也可能超过现有知识，使尝试失去方向。单纯增加困难并不能保证增加学习。</w:t>
      </w:r>
    </w:p>
    <w:p>
      <w:pPr>
        <w:pStyle w:val="BodyText"/>
      </w:pPr>
      <w:r>
        <w:t xml:space="preserve">一个实用的分析方式是观察困难出现的位置。如果学习者几乎能回答，只遗漏一个条件，可以用较弱提示帮助完成；如果完全缺乏相关知识，应先提供必要解释；如果答得流畅却反复混淆相近概念，应加入辨析和反例。这样的支持把挑战维持在能够产生有意义加工的范围内。</w:t>
      </w:r>
    </w:p>
    <w:p>
      <w:pPr>
        <w:pStyle w:val="BodyText"/>
      </w:pPr>
      <w:r>
        <w:t xml:space="preserve">难度调节也需要考虑目标。学习应急程序时，关键步骤的正确与及时调用都很重要；学习开放性理论时，允许较长搜索并比较多种解释可能更有价值。对所有内容采用同一速度限制，会把不同能力混入同一分数。</w:t>
      </w:r>
    </w:p>
    <w:bookmarkEnd w:id="576"/>
    <w:bookmarkStart w:id="577" w:name="sec-31-8"/>
    <w:p>
      <w:pPr>
        <w:pStyle w:val="Heading3"/>
      </w:pPr>
      <w:r>
        <w:t xml:space="preserve">31.8　提取失败之后发生什么</w:t>
      </w:r>
    </w:p>
    <w:p>
      <w:pPr>
        <w:pStyle w:val="FirstParagraph"/>
      </w:pPr>
      <w:r>
        <w:t xml:space="preserve">失败尝试可以揭示知识空缺，也可能改变随后对答案的注意。实验研究表明，在之后获得正确答案的条件下，某些未成功的提取尝试仍能促进学习。这个结论依赖随后的学习机会，不能扩展为持续猜错且不纠正也会自动改善知识</w:t>
      </w:r>
      <w:r>
        <w:rPr>
          <w:vertAlign w:val="superscript"/>
        </w:rPr>
        <w:t xml:space="preserve">[</w:t>
      </w:r>
      <w:hyperlink w:anchor="ref-297">
        <w:r>
          <w:rPr>
            <w:rStyle w:val="Hyperlink"/>
            <w:vertAlign w:val="superscript"/>
          </w:rPr>
          <w:t xml:space="preserve">297</w:t>
        </w:r>
      </w:hyperlink>
      <w:r>
        <w:rPr>
          <w:vertAlign w:val="superscript"/>
        </w:rPr>
        <w:t xml:space="preserve">]</w:t>
      </w:r>
      <w:r>
        <w:t xml:space="preserve">。</w:t>
      </w:r>
    </w:p>
    <w:p>
      <w:pPr>
        <w:pStyle w:val="BodyText"/>
      </w:pPr>
      <w:r>
        <w:t xml:space="preserve">失败之后，学习者需要知道目标答案及其理由，并把错误与正确关系区分开。对于概念性错误，仅显示一个正确选项可能不足。可以要求解释原答案在什么条件下才成立，或指出它遗漏了哪个约束，从而把纠错变成结构化的知识更新。</w:t>
      </w:r>
    </w:p>
    <w:p>
      <w:pPr>
        <w:pStyle w:val="BodyText"/>
      </w:pPr>
      <w:r>
        <w:t xml:space="preserve">教师还应观察失败分布。如果整个班级在同一前提上失败，可能需要重教；如果少数学生缺乏先备知识，可提供针对性支持；如果答案正确但推理过程不可靠，应进一步追问。反馈的教学价值取决于后续行动，分数本身只提供有限信息。</w:t>
      </w:r>
    </w:p>
    <w:bookmarkEnd w:id="577"/>
    <w:bookmarkStart w:id="578" w:name="sec-31-9"/>
    <w:p>
      <w:pPr>
        <w:pStyle w:val="Heading3"/>
      </w:pPr>
      <w:r>
        <w:t xml:space="preserve">31.9　反馈的内容层次</w:t>
      </w:r>
    </w:p>
    <w:p>
      <w:pPr>
        <w:pStyle w:val="FirstParagraph"/>
      </w:pPr>
      <w:r>
        <w:t xml:space="preserve">反馈可以只报告正确与否，也可以提供正确答案、解题步骤、错误原因、适用条件或下一次行动建议。反馈越长并不必然越好。过多信息可能使学习者无法确定当前最需要修正的关系。</w:t>
      </w:r>
    </w:p>
    <w:p>
      <w:pPr>
        <w:pStyle w:val="BodyText"/>
      </w:pPr>
      <w:r>
        <w:t xml:space="preserve">可以把反馈分成三个相互联系的部分。首先指出关键差异，例如遗漏了控制条件；其次解释这一差异为何影响结论；最后安排一个小任务检验修正后的理解，例如判断一个只改变该条件的新例子。这个结构使反馈与后续行为相连，减少只浏览评语却没有更新知识的情况。</w:t>
      </w:r>
    </w:p>
    <w:p>
      <w:pPr>
        <w:pStyle w:val="BodyText"/>
      </w:pPr>
      <w:r>
        <w:t xml:space="preserve">反馈还需要可信且可理解。若答案标准含糊、解释自相矛盾或超出学习者知识范围，反馈可能增加混淆。自动生成反馈尤其需要检查事实、推理步骤和边界条件。对于高错误代价的专业知识，教材与教师应提供可追溯的准确依据。</w:t>
      </w:r>
    </w:p>
    <w:bookmarkEnd w:id="578"/>
    <w:bookmarkStart w:id="579" w:name="sec-31-10"/>
    <w:p>
      <w:pPr>
        <w:pStyle w:val="Heading3"/>
      </w:pPr>
      <w:r>
        <w:t xml:space="preserve">31.10　正确答案也可能需要反馈</w:t>
      </w:r>
    </w:p>
    <w:p>
      <w:pPr>
        <w:pStyle w:val="FirstParagraph"/>
      </w:pPr>
      <w:r>
        <w:t xml:space="preserve">答对可能来自稳定知识、合理推理、排除选项或偶然猜测。信心信息可以帮助区分其中一部分情况，但信心本身也会失准。低信心正确答案仍可能需要确认和解释。</w:t>
      </w:r>
    </w:p>
    <w:p>
      <w:pPr>
        <w:pStyle w:val="BodyText"/>
      </w:pPr>
      <w:r>
        <w:t xml:space="preserve">实验发现，对低信心的正确反应提供反馈，可以改善之后的保持。这提示教师不应把所有答对项目都视为已经可靠掌握。与此同时，单次信心评分不足以决定全部教学安排，应结合解释质量和延迟表现</w:t>
      </w:r>
      <w:r>
        <w:rPr>
          <w:vertAlign w:val="superscript"/>
        </w:rPr>
        <w:t xml:space="preserve">[</w:t>
      </w:r>
      <w:hyperlink w:anchor="ref-298">
        <w:r>
          <w:rPr>
            <w:rStyle w:val="Hyperlink"/>
            <w:vertAlign w:val="superscript"/>
          </w:rPr>
          <w:t xml:space="preserve">298</w:t>
        </w:r>
      </w:hyperlink>
      <w:r>
        <w:rPr>
          <w:vertAlign w:val="superscript"/>
        </w:rPr>
        <w:t xml:space="preserve">]</w:t>
      </w:r>
      <w:r>
        <w:t xml:space="preserve">。</w:t>
      </w:r>
    </w:p>
    <w:p>
      <w:pPr>
        <w:pStyle w:val="BodyText"/>
      </w:pPr>
      <w:r>
        <w:t xml:space="preserve">可以让学生在回答后标注“能够解释”“部分确定”“主要猜测”，再用简短理由支持标注。教师根据这些信息安排核查。这样做的目标是帮助学生准确识别知识状态，避免把低信心当作能力差的标签，或把高信心当作无需验证的凭证。</w:t>
      </w:r>
    </w:p>
    <w:bookmarkEnd w:id="579"/>
    <w:bookmarkStart w:id="580" w:name="sec-31-11"/>
    <w:p>
      <w:pPr>
        <w:pStyle w:val="Heading3"/>
      </w:pPr>
      <w:r>
        <w:t xml:space="preserve">31.11　反馈时间的选择</w:t>
      </w:r>
    </w:p>
    <w:p>
      <w:pPr>
        <w:pStyle w:val="FirstParagraph"/>
      </w:pPr>
      <w:r>
        <w:t xml:space="preserve">即时反馈可以快速阻止错误继续扩展，尤其适用于后续步骤依赖当前答案的任务。延迟反馈可以允许学习者先完成一组独立判断，并减少对即时答案的依赖。两种安排都有可能有效，具体比较受到反馈内容、材料、测验时间和初始正确率影响。</w:t>
      </w:r>
    </w:p>
    <w:p>
      <w:pPr>
        <w:pStyle w:val="BodyText"/>
      </w:pPr>
      <w:r>
        <w:t xml:space="preserve">一个教学性的原则是先分析错误传播。如果第一步错了会导致后面所有步骤失去意义，应较快提供必要修正；如果多个问题相互独立，可以在一组完成后集中讨论。对于复杂解释，允许学生先形成完整答案有助于暴露其知识结构，但反馈后应给出重新作答的机会。</w:t>
      </w:r>
    </w:p>
    <w:p>
      <w:pPr>
        <w:pStyle w:val="BodyText"/>
      </w:pPr>
      <w:r>
        <w:t xml:space="preserve">反馈延迟与下一次提取的间隔也应分开。今天完成题目、明天获得答案，与今天获得答案、明天再次独立提取，包含不同学习事件。课程记录应清楚标记各环节，以便判断后续表现变化来自何种安排。</w:t>
      </w:r>
    </w:p>
    <w:bookmarkEnd w:id="580"/>
    <w:bookmarkStart w:id="581" w:name="sec-31-12"/>
    <w:p>
      <w:pPr>
        <w:pStyle w:val="Heading3"/>
      </w:pPr>
      <w:r>
        <w:t xml:space="preserve">31.12　选择题中的线索与干扰项</w:t>
      </w:r>
    </w:p>
    <w:p>
      <w:pPr>
        <w:pStyle w:val="FirstParagraph"/>
      </w:pPr>
      <w:r>
        <w:t xml:space="preserve">选择题提供候选答案，因此可以支持识别，也可能允许排除法。高质量选择题能够检验概念辨析与应用，但正确选项出现后，任务所需的生成程度通常与自由回答不同。比较题型时，必须考虑初始成功率和实际加工。</w:t>
      </w:r>
    </w:p>
    <w:p>
      <w:pPr>
        <w:pStyle w:val="BodyText"/>
      </w:pPr>
      <w:r>
        <w:t xml:space="preserve">系列实验显示，短答、选择和混合形式的相对效果随提取成功条件变化。题型名称不能独立决定学习质量。一个需要解释理由的选择题，可能比只填写术语的短答题更强地要求概念关系加工</w:t>
      </w:r>
      <w:r>
        <w:rPr>
          <w:vertAlign w:val="superscript"/>
        </w:rPr>
        <w:t xml:space="preserve">[</w:t>
      </w:r>
      <w:hyperlink w:anchor="ref-299">
        <w:r>
          <w:rPr>
            <w:rStyle w:val="Hyperlink"/>
            <w:vertAlign w:val="superscript"/>
          </w:rPr>
          <w:t xml:space="preserve">299</w:t>
        </w:r>
      </w:hyperlink>
      <w:r>
        <w:rPr>
          <w:vertAlign w:val="superscript"/>
        </w:rPr>
        <w:t xml:space="preserve">]</w:t>
      </w:r>
      <w:r>
        <w:t xml:space="preserve">。</w:t>
      </w:r>
    </w:p>
    <w:p>
      <w:pPr>
        <w:pStyle w:val="BodyText"/>
      </w:pPr>
      <w:r>
        <w:t xml:space="preserve">干扰项还可能成为后来错误答案的来源。反馈研究发现，提供纠正信息可以提高后续正确率并减少先前干扰选项的侵入。设计题目时，应确保错误选项服务于辨析，并在反馈中明确其错误条件</w:t>
      </w:r>
      <w:r>
        <w:rPr>
          <w:vertAlign w:val="superscript"/>
        </w:rPr>
        <w:t xml:space="preserve">[</w:t>
      </w:r>
      <w:hyperlink w:anchor="ref-300">
        <w:r>
          <w:rPr>
            <w:rStyle w:val="Hyperlink"/>
            <w:vertAlign w:val="superscript"/>
          </w:rPr>
          <w:t xml:space="preserve">300</w:t>
        </w:r>
      </w:hyperlink>
      <w:r>
        <w:rPr>
          <w:vertAlign w:val="superscript"/>
        </w:rPr>
        <w:t xml:space="preserve">]</w:t>
      </w:r>
      <w:r>
        <w:t xml:space="preserve">。</w:t>
      </w:r>
    </w:p>
    <w:bookmarkEnd w:id="581"/>
    <w:bookmarkStart w:id="582" w:name="sec-31-13"/>
    <w:p>
      <w:pPr>
        <w:pStyle w:val="Heading3"/>
      </w:pPr>
      <w:r>
        <w:t xml:space="preserve">31.13　自由回忆与结构化回忆</w:t>
      </w:r>
    </w:p>
    <w:p>
      <w:pPr>
        <w:pStyle w:val="FirstParagraph"/>
      </w:pPr>
      <w:r>
        <w:t xml:space="preserve">自由回忆要求学习者自行决定报告什么及如何组织。它能暴露知识结构，也可能遗漏已经学过但未被自发想起的内容。结构化提示帮助覆盖目标，但过强提示可能掩盖独立组织能力的不足。</w:t>
      </w:r>
    </w:p>
    <w:p>
      <w:pPr>
        <w:pStyle w:val="BodyText"/>
      </w:pPr>
      <w:r>
        <w:t xml:space="preserve">两者可以按目标组合。学习一个机制后，先用空白纸重建主要过程，再用检查单核对必要关系。随后针对遗漏部分进行有线索的提取，最后再次重建整体。这个序列使整体组织与局部补缺相互支持。</w:t>
      </w:r>
    </w:p>
    <w:p>
      <w:pPr>
        <w:pStyle w:val="BodyText"/>
      </w:pPr>
      <w:r>
        <w:t xml:space="preserve">对于图解内容，可以提供空白轮廓、部分节点或完全空白页面。不同支架对应不同难度。评估时应说明允许哪些提示，因为完整图旁填空与无提示画出因果关系代表不同掌握水平。学生也需要知道自己在哪个支持水平上达到了标准。</w:t>
      </w:r>
    </w:p>
    <w:bookmarkEnd w:id="582"/>
    <w:bookmarkStart w:id="583" w:name="sec-31-14"/>
    <w:p>
      <w:pPr>
        <w:pStyle w:val="Heading3"/>
      </w:pPr>
      <w:r>
        <w:t xml:space="preserve">31.14　提取与概念理解</w:t>
      </w:r>
    </w:p>
    <w:p>
      <w:pPr>
        <w:pStyle w:val="FirstParagraph"/>
      </w:pPr>
      <w:r>
        <w:t xml:space="preserve">概念理解涉及关系、条件、例外及解释力。提取活动可以针对这些结构，例如解释为什么某因素改变结果、比较两个相近机制、给出反例或预测新情况。若练习只要求术语，所训练的主要内容也会偏向术语的可访问性。</w:t>
      </w:r>
    </w:p>
    <w:p>
      <w:pPr>
        <w:pStyle w:val="BodyText"/>
      </w:pPr>
      <w:r>
        <w:t xml:space="preserve">一项科学文本研究发现，提取活动能够在某些理解和推理结局上优于特定概念图学习条件。其意义是提取可以参与有意义学习。概念图的质量、训练程度和使用方式存在变化，因此这个实验不能排除其他概念组织方案的价值</w:t>
      </w:r>
      <w:r>
        <w:rPr>
          <w:vertAlign w:val="superscript"/>
        </w:rPr>
        <w:t xml:space="preserve">[</w:t>
      </w:r>
      <w:hyperlink w:anchor="ref-301">
        <w:r>
          <w:rPr>
            <w:rStyle w:val="Hyperlink"/>
            <w:vertAlign w:val="superscript"/>
          </w:rPr>
          <w:t xml:space="preserve">301</w:t>
        </w:r>
      </w:hyperlink>
      <w:r>
        <w:rPr>
          <w:vertAlign w:val="superscript"/>
        </w:rPr>
        <w:t xml:space="preserve">]</w:t>
      </w:r>
      <w:r>
        <w:t xml:space="preserve">。</w:t>
      </w:r>
    </w:p>
    <w:p>
      <w:pPr>
        <w:pStyle w:val="BodyText"/>
      </w:pPr>
      <w:r>
        <w:t xml:space="preserve">实际课程可以把概念图作为提取产物。学生先闭卷重建节点与关系，再与准确版本比较，并解释差异。这样，图的视觉形式与提取过程相结合。最终应检验学生能否用这些关系解决新的问题，避免只把熟悉图形画得更漂亮。</w:t>
      </w:r>
    </w:p>
    <w:bookmarkEnd w:id="583"/>
    <w:bookmarkStart w:id="584" w:name="sec-31-15"/>
    <w:p>
      <w:pPr>
        <w:pStyle w:val="Heading3"/>
      </w:pPr>
      <w:r>
        <w:t xml:space="preserve">31.15　迁移需要任务桥梁</w:t>
      </w:r>
    </w:p>
    <w:p>
      <w:pPr>
        <w:pStyle w:val="FirstParagraph"/>
      </w:pPr>
      <w:r>
        <w:t xml:space="preserve">迁移可以发生在题型、表述、情境或应用问题改变之后。它有不同距离和难度：把同一知识用不同措辞表达，与在陌生领域发现相同深层结构，所需过程不同。</w:t>
      </w:r>
    </w:p>
    <w:p>
      <w:pPr>
        <w:pStyle w:val="BodyText"/>
      </w:pPr>
      <w:r>
        <w:t xml:space="preserve">关于提取迁移的元分析纳入一百二十二项实验，报告相对于再接触对照的平均效应为零点四，置信区间为零点三一至零点五零。迁移大小受到反应对应、提取展开程度和初始成功等特征影响。因此，提取能够支持某些迁移，广泛自动迁移仍缺乏统一保证</w:t>
      </w:r>
      <w:r>
        <w:rPr>
          <w:vertAlign w:val="superscript"/>
        </w:rPr>
        <w:t xml:space="preserve">[</w:t>
      </w:r>
      <w:hyperlink w:anchor="ref-302">
        <w:r>
          <w:rPr>
            <w:rStyle w:val="Hyperlink"/>
            <w:vertAlign w:val="superscript"/>
          </w:rPr>
          <w:t xml:space="preserve">302</w:t>
        </w:r>
      </w:hyperlink>
      <w:r>
        <w:rPr>
          <w:vertAlign w:val="superscript"/>
        </w:rPr>
        <w:t xml:space="preserve">]</w:t>
      </w:r>
      <w:r>
        <w:t xml:space="preserve">。</w:t>
      </w:r>
    </w:p>
    <w:p>
      <w:pPr>
        <w:pStyle w:val="BodyText"/>
      </w:pPr>
      <w:r>
        <w:t xml:space="preserve">教师可以主动建立桥梁。先要求解释原题原理，再改变表面情境，再改变需要求解的变量，最后让学生选择是否适用该原理。每一步都检验一种新的对应关系。练习题的变化应围绕知识结构设计，随机更换故事背景未必足以形成深层迁移。</w:t>
      </w:r>
    </w:p>
    <w:bookmarkEnd w:id="584"/>
    <w:bookmarkStart w:id="586" w:name="sec-31-16"/>
    <w:p>
      <w:pPr>
        <w:pStyle w:val="Heading3"/>
      </w:pPr>
      <w:r>
        <w:t xml:space="preserve">31.16　提取目标与迁移要求</w:t>
      </w:r>
    </w:p>
    <w:p>
      <w:pPr>
        <w:pStyle w:val="TableCaption"/>
      </w:pPr>
      <w:bookmarkStart w:id="585" w:name="tab-retrieval"/>
      <w:bookmarkEnd w:id="585"/>
      <w:r>
        <w:rPr>
          <w:bCs/>
          <w:b/>
        </w:rPr>
        <w:t xml:space="preserve">表 10　提取练习的目标与迁移要求</w:t>
      </w:r>
    </w:p>
    <w:tbl>
      <w:tblPr>
        <w:tblStyle w:val="Table"/>
        <w:tblW w:type="pct" w:w="5000"/>
        <w:jc w:val="start"/>
        <w:tblLook w:firstRow="1" w:lastRow="0" w:firstColumn="0" w:lastColumn="0" w:noHBand="0" w:noVBand="0" w:val="0020"/>
      </w:tblPr>
      <w:tblGrid>
        <w:gridCol w:w="1732"/>
        <w:gridCol w:w="2969"/>
        <w:gridCol w:w="3217"/>
      </w:tblGrid>
      <w:tr>
        <w:trPr>
          <w:tblHeader w:val="true"/>
        </w:trPr>
        <w:tc>
          <w:tcPr>
            <w:shd w:val="clear" w:color="auto" w:fill="1F3A5F"/>
          </w:tcPr>
          <w:p>
            <w:pPr>
              <w:jc w:val="left"/>
            </w:pPr>
            <w:r>
              <w:rPr>
                <w:bCs/>
                <w:b/>
                <w:color w:val="FFFFFF"/>
              </w:rPr>
              <w:t xml:space="preserve">目标变化</w:t>
            </w:r>
          </w:p>
        </w:tc>
        <w:tc>
          <w:tcPr>
            <w:shd w:val="clear" w:color="auto" w:fill="1F3A5F"/>
          </w:tcPr>
          <w:p>
            <w:pPr>
              <w:jc w:val="left"/>
            </w:pPr>
            <w:r>
              <w:rPr>
                <w:bCs/>
                <w:b/>
                <w:color w:val="FFFFFF"/>
              </w:rPr>
              <w:t xml:space="preserve">练习需要增加的关系</w:t>
            </w:r>
          </w:p>
        </w:tc>
        <w:tc>
          <w:tcPr>
            <w:shd w:val="clear" w:color="auto" w:fill="1F3A5F"/>
          </w:tcPr>
          <w:p>
            <w:pPr>
              <w:jc w:val="left"/>
            </w:pPr>
            <w:r>
              <w:rPr>
                <w:bCs/>
                <w:b/>
                <w:color w:val="FFFFFF"/>
              </w:rPr>
              <w:t xml:space="preserve">后续检验</w:t>
            </w:r>
          </w:p>
        </w:tc>
      </w:tr>
      <w:tr>
        <w:tc>
          <w:tcPr/>
          <w:p>
            <w:pPr>
              <w:jc w:val="left"/>
            </w:pPr>
            <w:r>
              <w:t xml:space="preserve">原题延迟保持</w:t>
            </w:r>
          </w:p>
        </w:tc>
        <w:tc>
          <w:tcPr/>
          <w:p>
            <w:pPr>
              <w:jc w:val="left"/>
            </w:pPr>
            <w:r>
              <w:t xml:space="preserve">在间隔后重新恢复答案</w:t>
            </w:r>
          </w:p>
        </w:tc>
        <w:tc>
          <w:tcPr/>
          <w:p>
            <w:pPr>
              <w:jc w:val="left"/>
            </w:pPr>
            <w:r>
              <w:t xml:space="preserve">相同问题的独立作答</w:t>
            </w:r>
          </w:p>
        </w:tc>
      </w:tr>
      <w:tr>
        <w:tc>
          <w:tcPr/>
          <w:p>
            <w:pPr>
              <w:jc w:val="left"/>
            </w:pPr>
            <w:r>
              <w:t xml:space="preserve">同义表述</w:t>
            </w:r>
          </w:p>
        </w:tc>
        <w:tc>
          <w:tcPr/>
          <w:p>
            <w:pPr>
              <w:jc w:val="left"/>
            </w:pPr>
            <w:r>
              <w:t xml:space="preserve">将不同措辞映射到同一概念</w:t>
            </w:r>
          </w:p>
        </w:tc>
        <w:tc>
          <w:tcPr/>
          <w:p>
            <w:pPr>
              <w:jc w:val="left"/>
            </w:pPr>
            <w:r>
              <w:t xml:space="preserve">未见表述下的准确解释</w:t>
            </w:r>
          </w:p>
        </w:tc>
      </w:tr>
      <w:tr>
        <w:tc>
          <w:tcPr/>
          <w:p>
            <w:pPr>
              <w:jc w:val="left"/>
            </w:pPr>
            <w:r>
              <w:t xml:space="preserve">改变题型</w:t>
            </w:r>
          </w:p>
        </w:tc>
        <w:tc>
          <w:tcPr/>
          <w:p>
            <w:pPr>
              <w:jc w:val="left"/>
            </w:pPr>
            <w:r>
              <w:t xml:space="preserve">将知识转换为不同输出形式</w:t>
            </w:r>
          </w:p>
        </w:tc>
        <w:tc>
          <w:tcPr/>
          <w:p>
            <w:pPr>
              <w:jc w:val="left"/>
            </w:pPr>
            <w:r>
              <w:t xml:space="preserve">从选择转为生成或图解</w:t>
            </w:r>
          </w:p>
        </w:tc>
      </w:tr>
      <w:tr>
        <w:tc>
          <w:tcPr/>
          <w:p>
            <w:pPr>
              <w:jc w:val="left"/>
            </w:pPr>
            <w:r>
              <w:t xml:space="preserve">新案例应用</w:t>
            </w:r>
          </w:p>
        </w:tc>
        <w:tc>
          <w:tcPr/>
          <w:p>
            <w:pPr>
              <w:jc w:val="left"/>
            </w:pPr>
            <w:r>
              <w:t xml:space="preserve">识别诊断条件并选择规则</w:t>
            </w:r>
          </w:p>
        </w:tc>
        <w:tc>
          <w:tcPr/>
          <w:p>
            <w:pPr>
              <w:jc w:val="left"/>
            </w:pPr>
            <w:r>
              <w:t xml:space="preserve">表面变化后的策略选择</w:t>
            </w:r>
          </w:p>
        </w:tc>
      </w:tr>
      <w:tr>
        <w:tc>
          <w:tcPr/>
          <w:p>
            <w:pPr>
              <w:jc w:val="left"/>
            </w:pPr>
            <w:r>
              <w:t xml:space="preserve">相近概念辨析</w:t>
            </w:r>
          </w:p>
        </w:tc>
        <w:tc>
          <w:tcPr/>
          <w:p>
            <w:pPr>
              <w:jc w:val="left"/>
            </w:pPr>
            <w:r>
              <w:t xml:space="preserve">明确共同点与关键差异</w:t>
            </w:r>
          </w:p>
        </w:tc>
        <w:tc>
          <w:tcPr/>
          <w:p>
            <w:pPr>
              <w:jc w:val="left"/>
            </w:pPr>
            <w:r>
              <w:t xml:space="preserve">解释易混案例的归属</w:t>
            </w:r>
          </w:p>
        </w:tc>
      </w:tr>
      <w:tr>
        <w:tc>
          <w:tcPr/>
          <w:p>
            <w:pPr>
              <w:jc w:val="left"/>
            </w:pPr>
            <w:r>
              <w:t xml:space="preserve">新领域结构对应</w:t>
            </w:r>
          </w:p>
        </w:tc>
        <w:tc>
          <w:tcPr/>
          <w:p>
            <w:pPr>
              <w:jc w:val="left"/>
            </w:pPr>
            <w:r>
              <w:t xml:space="preserve">找到关系映射与适用限制</w:t>
            </w:r>
          </w:p>
        </w:tc>
        <w:tc>
          <w:tcPr/>
          <w:p>
            <w:pPr>
              <w:jc w:val="left"/>
            </w:pPr>
            <w:r>
              <w:t xml:space="preserve">对未练领域给出有依据的推理</w:t>
            </w:r>
          </w:p>
        </w:tc>
      </w:tr>
    </w:tbl>
    <w:p>
      <w:pPr>
        <w:pStyle w:val="BodyText"/>
      </w:pPr>
      <w:r>
        <w:t xml:space="preserve">表中各层次的难度取决于先备知识和任务结构，不能假定后一行必然由前一行自动产生。提取迁移研究支持保留这种条件化判断</w:t>
      </w:r>
      <w:r>
        <w:rPr>
          <w:vertAlign w:val="superscript"/>
        </w:rPr>
        <w:t xml:space="preserve">[</w:t>
      </w:r>
      <w:hyperlink w:anchor="ref-302">
        <w:r>
          <w:rPr>
            <w:rStyle w:val="Hyperlink"/>
            <w:vertAlign w:val="superscript"/>
          </w:rPr>
          <w:t xml:space="preserve">302</w:t>
        </w:r>
      </w:hyperlink>
      <w:r>
        <w:rPr>
          <w:vertAlign w:val="superscript"/>
        </w:rPr>
        <w:t xml:space="preserve">]</w:t>
      </w:r>
      <w:r>
        <w:t xml:space="preserve">。</w:t>
      </w:r>
    </w:p>
    <w:bookmarkEnd w:id="586"/>
    <w:bookmarkStart w:id="587" w:name="sec-31-17"/>
    <w:p>
      <w:pPr>
        <w:pStyle w:val="Heading3"/>
      </w:pPr>
      <w:r>
        <w:t xml:space="preserve">31.17　选择性练习与知识覆盖</w:t>
      </w:r>
    </w:p>
    <w:p>
      <w:pPr>
        <w:pStyle w:val="FirstParagraph"/>
      </w:pPr>
      <w:r>
        <w:t xml:space="preserve">课程时间常使教师只抽取部分内容练习。这样可以提高重点知识的可访问性，也可能让未练习内容长期缺少检验。练习安排应同时关注局部深入和整体覆盖。</w:t>
      </w:r>
    </w:p>
    <w:p>
      <w:pPr>
        <w:pStyle w:val="BodyText"/>
      </w:pPr>
      <w:r>
        <w:t xml:space="preserve">选择性提取的经典研究发现，练习某些项目时，与其相关但未练习的项目在特定条件下可能更难提取。关于提取诱发遗忘的机制仍有竞争解释，不能据此推导课堂提问会普遍损害学习。它提醒研究者考察被练习内容与相邻知识之间的关系</w:t>
      </w:r>
      <w:r>
        <w:rPr>
          <w:vertAlign w:val="superscript"/>
        </w:rPr>
        <w:t xml:space="preserve">[</w:t>
      </w:r>
      <w:hyperlink w:anchor="ref-303">
        <w:r>
          <w:rPr>
            <w:rStyle w:val="Hyperlink"/>
            <w:vertAlign w:val="superscript"/>
          </w:rPr>
          <w:t xml:space="preserve">303</w:t>
        </w:r>
      </w:hyperlink>
      <w:r>
        <w:rPr>
          <w:vertAlign w:val="superscript"/>
        </w:rPr>
        <w:t xml:space="preserve">]</w:t>
      </w:r>
      <w:r>
        <w:t xml:space="preserve">。</w:t>
      </w:r>
    </w:p>
    <w:p>
      <w:pPr>
        <w:pStyle w:val="BodyText"/>
      </w:pPr>
      <w:r>
        <w:t xml:space="preserve">一种课程层面的应对是定期安排整合性回忆，让学生同时比较相关概念及其区别。重点复习与全章结构重建可以交替进行。对于常被遗漏的条件和例外，应明确纳入题目覆盖表，避免考试频率无意中决定学生只记住哪些知识。</w:t>
      </w:r>
    </w:p>
    <w:bookmarkEnd w:id="587"/>
    <w:bookmarkStart w:id="588" w:name="sec-31-18"/>
    <w:p>
      <w:pPr>
        <w:pStyle w:val="Heading3"/>
      </w:pPr>
      <w:r>
        <w:t xml:space="preserve">31.18　生成答案与核查答案</w:t>
      </w:r>
    </w:p>
    <w:p>
      <w:pPr>
        <w:pStyle w:val="FirstParagraph"/>
      </w:pPr>
      <w:r>
        <w:t xml:space="preserve">生成活动要求学习者构造候选答案，核查活动要求检验候选是否满足条件。二者可以互补。只生成而不检查，错误可能保留；只看答案而不生成，学习者可能高估独立提取能力。</w:t>
      </w:r>
    </w:p>
    <w:p>
      <w:pPr>
        <w:pStyle w:val="BodyText"/>
      </w:pPr>
      <w:r>
        <w:t xml:space="preserve">可以把一次练习分为独立生成、说明依据、对照核查和再次重建。每一步产物应尽量简洁。比如，学生写出一个机制解释后，用不同颜色标出错误关系，再关闭资料重新写出正确关系。颜色本身没有特殊神经效应，它的作用来自让修正位置可见。</w:t>
      </w:r>
    </w:p>
    <w:p>
      <w:pPr>
        <w:pStyle w:val="BodyText"/>
      </w:pPr>
      <w:r>
        <w:t xml:space="preserve">如果学生在查看答案后立刻复制，主要表现出对当前材料的利用。稍后关闭资料再次回答，可以更直接检验修正是否进入可访问知识。需要长期保留时，还应在后续课程中安排延迟提取。</w:t>
      </w:r>
    </w:p>
    <w:bookmarkEnd w:id="588"/>
    <w:bookmarkStart w:id="589" w:name="sec-31-19"/>
    <w:p>
      <w:pPr>
        <w:pStyle w:val="Heading3"/>
      </w:pPr>
      <w:r>
        <w:t xml:space="preserve">31.19　课堂讨论与共同提取</w:t>
      </w:r>
    </w:p>
    <w:p>
      <w:pPr>
        <w:pStyle w:val="FirstParagraph"/>
      </w:pPr>
      <w:r>
        <w:t xml:space="preserve">讨论可以让学生接触不同解释，也可能使部分学生主要听取他人的答案。若教学目标包含每个人的独立提取，应在集体交流前给出短暂个人作答时间。随后比较差异，并要求每人形成修正后的答案。</w:t>
      </w:r>
    </w:p>
    <w:p>
      <w:pPr>
        <w:pStyle w:val="BodyText"/>
      </w:pPr>
      <w:r>
        <w:t xml:space="preserve">小组活动还可以分配互补角色，例如解释机制、寻找反例、检查条件和总结分歧。角色应轮换，避免同一学生长期只承担记录或听取工作。小组最终答案的质量与每个成员的学习程度属于不同结局，需要分别观察。</w:t>
      </w:r>
    </w:p>
    <w:p>
      <w:pPr>
        <w:pStyle w:val="BodyText"/>
      </w:pPr>
      <w:r>
        <w:t xml:space="preserve">同伴解释的准确性十分重要。教师可以提供核查标准、参考来源和必要纠正。鼓励学生说明自己确定的部分与仍需查证的部分，有助于保留推理的可追溯性。课堂氛围应允许修正，避免把公开答错转化为身份评价。</w:t>
      </w:r>
    </w:p>
    <w:bookmarkEnd w:id="589"/>
    <w:bookmarkStart w:id="590" w:name="sec-31-20"/>
    <w:p>
      <w:pPr>
        <w:pStyle w:val="Heading3"/>
      </w:pPr>
      <w:r>
        <w:t xml:space="preserve">31.20　低风险练习与评价压力</w:t>
      </w:r>
    </w:p>
    <w:p>
      <w:pPr>
        <w:pStyle w:val="FirstParagraph"/>
      </w:pPr>
      <w:r>
        <w:t xml:space="preserve">学习性提取可以采用低分值、可重做和有反馈的形式。这样能够让学生把错误作为后续学习的线索。高风险考试涉及评价与机会分配，其情绪和策略影响与日常练习不同，不能仅凭二者都包含题目就假定作用完全相同。</w:t>
      </w:r>
    </w:p>
    <w:p>
      <w:pPr>
        <w:pStyle w:val="BodyText"/>
      </w:pPr>
      <w:r>
        <w:t xml:space="preserve">课程中应清楚说明练习目的、评分方式和允许使用的支持。若学生担心每次错误都会造成不可逆损失，可能转向隐藏不确定性或只练熟悉题目。把一部分练习用于探索知识空缺，可以帮助教师获得更真实的信息。</w:t>
      </w:r>
    </w:p>
    <w:p>
      <w:pPr>
        <w:pStyle w:val="BodyText"/>
      </w:pPr>
      <w:r>
        <w:t xml:space="preserve">对于明显焦虑或需要特殊支持的学生，教学安排应考虑其实际反应和可获得资源。提取练习的有效性证据不要求以羞辱、突袭或过度竞争来实施。支持性环境与严谨知识标准可以同时存在。</w:t>
      </w:r>
    </w:p>
    <w:bookmarkEnd w:id="590"/>
    <w:bookmarkStart w:id="591" w:name="sec-31-21"/>
    <w:p>
      <w:pPr>
        <w:pStyle w:val="Heading3"/>
      </w:pPr>
      <w:r>
        <w:t xml:space="preserve">31.21　一个生物学单元的设计实例</w:t>
      </w:r>
    </w:p>
    <w:p>
      <w:pPr>
        <w:pStyle w:val="FirstParagraph"/>
      </w:pPr>
      <w:r>
        <w:t xml:space="preserve">以下为假设的课程设计，用于展示机制推理。学习目标是解释酶促反应的条件依赖性。初次教学后，学生闭卷画出反应过程，并写出温度、底物浓度和酶状态如何影响结果。教师根据答案区分术语遗漏、因果方向错误和适用范围错误。</w:t>
      </w:r>
    </w:p>
    <w:p>
      <w:pPr>
        <w:pStyle w:val="BodyText"/>
      </w:pPr>
      <w:r>
        <w:t xml:space="preserve">第一次反馈只聚焦关键关系。随后提供两个表面相似但条件不同的案例，让学生预测结果并解释依据。下一节课使用新的图形表述检验同一关系，再要求学生指出一个不能由现有信息确定的结论。这样，练习同时覆盖回忆、条件判断和不确定性识别。</w:t>
      </w:r>
    </w:p>
    <w:p>
      <w:pPr>
        <w:pStyle w:val="BodyText"/>
      </w:pPr>
      <w:r>
        <w:t xml:space="preserve">评价应包括经过间隔后的独立解释，以及新案例中的适用判断。若学生只在原图上表现良好，需要改变线索和表征；若事实准确但因果解释错误，需要重新建立机制。整个方案的价值需要用实际课堂结果检验，本例没有预设固定收益。</w:t>
      </w:r>
    </w:p>
    <w:bookmarkEnd w:id="591"/>
    <w:bookmarkStart w:id="592" w:name="sec-31-22"/>
    <w:p>
      <w:pPr>
        <w:pStyle w:val="Heading3"/>
      </w:pPr>
      <w:r>
        <w:t xml:space="preserve">31.22　一个历史学单元的设计实例</w:t>
      </w:r>
    </w:p>
    <w:p>
      <w:pPr>
        <w:pStyle w:val="FirstParagraph"/>
      </w:pPr>
      <w:r>
        <w:t xml:space="preserve">学习历史事件时，可以分别练习时间顺序、证据来源、因果解释与解释之间的争议。把所有任务变成日期记忆，会遗漏课程的重要目标；完全取消事实提取，也可能使复杂讨论缺乏可靠基础。</w:t>
      </w:r>
    </w:p>
    <w:p>
      <w:pPr>
        <w:pStyle w:val="BodyText"/>
      </w:pPr>
      <w:r>
        <w:t xml:space="preserve">一个假设方案先要求学生独立重建事件序列，再标注哪些节点有直接材料支持，哪些因果关系依赖解释。反馈后，学生比较两种竞争解释，并指出各自能解释和难以解释的现象。下一轮提取换用新的材料片段，让学生判断它如何改变原有结论。</w:t>
      </w:r>
    </w:p>
    <w:p>
      <w:pPr>
        <w:pStyle w:val="BodyText"/>
      </w:pPr>
      <w:r>
        <w:t xml:space="preserve">这里的正确性具有层次。日期和人物名称可以有明确标准，因果论证则需要依据证据质量与推理一致性评价。提取练习应尊重学科的知识性质，既支持准确事实，也支持可修正的解释能力。</w:t>
      </w:r>
    </w:p>
    <w:bookmarkEnd w:id="592"/>
    <w:bookmarkStart w:id="593" w:name="sec-31-23"/>
    <w:p>
      <w:pPr>
        <w:pStyle w:val="Heading3"/>
      </w:pPr>
      <w:r>
        <w:t xml:space="preserve">31.23　练习记录与时间成本</w:t>
      </w:r>
    </w:p>
    <w:p>
      <w:pPr>
        <w:pStyle w:val="FirstParagraph"/>
      </w:pPr>
      <w:r>
        <w:t xml:space="preserve">高质量提取不等于题目越多越好。每道题需要占用作答、核查与后续修正时间。若大量题目只重复已经稳定掌握的内容，新增收益可能有限；若全部题目过难，反馈处理时间可能超过可用资源。</w:t>
      </w:r>
    </w:p>
    <w:p>
      <w:pPr>
        <w:pStyle w:val="BodyText"/>
      </w:pPr>
      <w:r>
        <w:t xml:space="preserve">可以记录最近独立成功时间、错误类型、提示水平和下一次复查条件。记录应服务于决策，避免变成额外负担。一个简单表格就可以标明“能解释且延迟成功”“需要提示”“概念仍混淆”三个状态，并据此分配后续活动。</w:t>
      </w:r>
    </w:p>
    <w:p>
      <w:pPr>
        <w:pStyle w:val="BodyText"/>
      </w:pPr>
      <w:r>
        <w:t xml:space="preserve">效率还包括知识价值。核心概念支持后续多门课程，值得长期维护；偶发细节可以依靠可靠资料查找。学习计划应明确哪些内容需要快速独立调用，哪些内容需要理解并能查证（见</w:t>
      </w:r>
      <w:r>
        <w:t xml:space="preserve"> </w:t>
      </w:r>
      <w:hyperlink w:anchor="sec-32-8">
        <w:r>
          <w:rPr>
            <w:rStyle w:val="Hyperlink"/>
          </w:rPr>
          <w:t xml:space="preserve">32.8</w:t>
        </w:r>
      </w:hyperlink>
      <w:r>
        <w:t xml:space="preserve">）。提取练习的目标由真实使用情境决定。</w:t>
      </w:r>
    </w:p>
    <w:bookmarkEnd w:id="593"/>
    <w:bookmarkStart w:id="594" w:name="sec-31-24"/>
    <w:p>
      <w:pPr>
        <w:pStyle w:val="Heading3"/>
      </w:pPr>
      <w:r>
        <w:t xml:space="preserve">31.24　综合判断练习</w:t>
      </w:r>
    </w:p>
    <w:p>
      <w:pPr>
        <w:pStyle w:val="FirstParagraph"/>
      </w:pPr>
      <w:r>
        <w:t xml:space="preserve">练习一。学生每次看完答案都觉得熟悉，次日闭卷仍答不出。参考分析：当前熟悉感对独立提取的预测有限。可增加关闭资料的生成、对照纠错和后续间隔检验，记录具体线索是否足够。</w:t>
      </w:r>
    </w:p>
    <w:p>
      <w:pPr>
        <w:pStyle w:val="BodyText"/>
      </w:pPr>
      <w:r>
        <w:t xml:space="preserve">练习二。某班增加每日小测后期末分数提高，教师认为全部提高都来自记忆机制。参考分析：小测还可能改变学习时间、课程覆盖、动机与反馈频率。课堂结果可以支持方案有效，机制归因需要更细致证据。</w:t>
      </w:r>
    </w:p>
    <w:p>
      <w:pPr>
        <w:pStyle w:val="BodyText"/>
      </w:pPr>
      <w:r>
        <w:t xml:space="preserve">练习三。一个题库使学生原题正确率很高，新案例表现一般。参考分析：检查练习是否覆盖原理解释、条件辨析和不同线索。增加题目数量只有在新增任务补足这些关系时才更可能帮助迁移。</w:t>
      </w:r>
    </w:p>
    <w:p>
      <w:pPr>
        <w:pStyle w:val="BodyText"/>
      </w:pPr>
      <w:r>
        <w:t xml:space="preserve">练习四。学生对一个错误答案非常自信。参考分析：反馈应明确指出关键矛盾，提供可理解依据，并让学生在新例子中使用修正后的关系。一次口头承认错误不足以确定知识已经更新。</w:t>
      </w:r>
    </w:p>
    <w:bookmarkEnd w:id="594"/>
    <w:bookmarkEnd w:id="595"/>
    <w:bookmarkStart w:id="625" w:name="ch-32"/>
    <w:p>
      <w:pPr>
        <w:pStyle w:val="Heading2"/>
      </w:pPr>
      <w:r>
        <w:t xml:space="preserve">第32章　间隔、交错与练习调度</w:t>
      </w:r>
    </w:p>
    <w:bookmarkStart w:id="596" w:name="sec-32-1"/>
    <w:p>
      <w:pPr>
        <w:pStyle w:val="Heading3"/>
      </w:pPr>
      <w:r>
        <w:t xml:space="preserve">32.1　学习日程中的两个时间尺度</w:t>
      </w:r>
    </w:p>
    <w:p>
      <w:pPr>
        <w:pStyle w:val="FirstParagraph"/>
      </w:pPr>
      <w:r>
        <w:t xml:space="preserve">间隔学习把同一知识的多次学习机会分布在不同时间点。分析这种安排，必须区分重复之间的间隔，以及最后一次学习到目标使用之间的保持期限。两个时间尺度共同决定某个日程是否合适。明天需要使用的内容与半年后仍需掌握的内容，通常不能只靠同一张固定复习表处理。</w:t>
      </w:r>
    </w:p>
    <w:p>
      <w:pPr>
        <w:pStyle w:val="BodyText"/>
      </w:pPr>
      <w:r>
        <w:t xml:space="preserve">研究还需要说明一次学习机会包含什么。它可能是重新阅读、尝试回忆、观看示范或独立解决问题。间隔改变时间结构，提取改变学习活动，反馈改变可获得信息。三种因素可以组合，也可以分别操纵。把它们写成一个模糊的复习次数，会丢失机制信息。</w:t>
      </w:r>
    </w:p>
    <w:p>
      <w:pPr>
        <w:pStyle w:val="BodyText"/>
      </w:pPr>
      <w:r>
        <w:t xml:space="preserve">言语回忆的经典定量综述整合大量实验，支持分散练习的总体价值，同时显示重复间隔与保持期限相互关联。这一证据基础很强，但无法推出所有学科、所有年龄和所有内容共用的一组天数</w:t>
      </w:r>
      <w:r>
        <w:rPr>
          <w:vertAlign w:val="superscript"/>
        </w:rPr>
        <w:t xml:space="preserve">[</w:t>
      </w:r>
      <w:hyperlink w:anchor="ref-304">
        <w:r>
          <w:rPr>
            <w:rStyle w:val="Hyperlink"/>
            <w:vertAlign w:val="superscript"/>
          </w:rPr>
          <w:t xml:space="preserve">304</w:t>
        </w:r>
      </w:hyperlink>
      <w:r>
        <w:rPr>
          <w:vertAlign w:val="superscript"/>
        </w:rPr>
        <w:t xml:space="preserve">]</w:t>
      </w:r>
      <w:r>
        <w:t xml:space="preserve">。</w:t>
      </w:r>
    </w:p>
    <w:bookmarkEnd w:id="596"/>
    <w:bookmarkStart w:id="597" w:name="sec-32-2"/>
    <w:p>
      <w:pPr>
        <w:pStyle w:val="Heading3"/>
      </w:pPr>
      <w:r>
        <w:t xml:space="preserve">32.2　集中练习的即时优势与后续限制</w:t>
      </w:r>
    </w:p>
    <w:p>
      <w:pPr>
        <w:pStyle w:val="FirstParagraph"/>
      </w:pPr>
      <w:r>
        <w:t xml:space="preserve">集中重复时，先前答案和加工步骤仍然容易访问，下一次反应可能非常流畅。这种流畅有助于建立初始技能，也可能使学习者难以判断在较长间隔后是否仍能独立完成。当前速度与之后的持久性属于不同结局。</w:t>
      </w:r>
    </w:p>
    <w:p>
      <w:pPr>
        <w:pStyle w:val="BodyText"/>
      </w:pPr>
      <w:r>
        <w:t xml:space="preserve">集中练习在某些阶段具有明确用途。例如，第一次学习一种工具操作时，连续几次执行可以帮助理解动作顺序；首次接触复杂符号系统时，短时间内保持上下文有助于建立基本对应。问题在于，若长期学习只依赖集中重复，就缺少对间隔后重建能力的训练和检验。</w:t>
      </w:r>
    </w:p>
    <w:p>
      <w:pPr>
        <w:pStyle w:val="BodyText"/>
      </w:pPr>
      <w:r>
        <w:t xml:space="preserve">教学日程可以保留初始的连续示范与练习，同时在之后重新安排使用机会。后续活动应要求学生辨认适用条件、调用步骤并检查结果。这样能够让初步获得与长期维护形成连续过程。</w:t>
      </w:r>
    </w:p>
    <w:bookmarkEnd w:id="597"/>
    <w:bookmarkStart w:id="598" w:name="sec-32-3"/>
    <w:p>
      <w:pPr>
        <w:pStyle w:val="Heading3"/>
      </w:pPr>
      <w:r>
        <w:t xml:space="preserve">32.3　间隔过长与过短</w:t>
      </w:r>
    </w:p>
    <w:p>
      <w:pPr>
        <w:pStyle w:val="FirstParagraph"/>
      </w:pPr>
      <w:r>
        <w:t xml:space="preserve">如果重复发生得过早，前一次加工仍高度可用，新增学习可能有限。如果间隔过长，学习者可能无法恢复目标，后续活动需要更多提示或重新学习。最合适的间隔因此具有条件性，且会随知识强度、线索和目标期限变化。</w:t>
      </w:r>
    </w:p>
    <w:p>
      <w:pPr>
        <w:pStyle w:val="BodyText"/>
      </w:pPr>
      <w:r>
        <w:t xml:space="preserve">一项跨较长时间尺度的事实学习实验发现，给定最终保持期限后，增加重复间隔先改善、随后可能降低表现；较远的目标测验通常对应较长的有效间隔。该研究直接反对把越分散越好当作无条件规律</w:t>
      </w:r>
      <w:r>
        <w:rPr>
          <w:vertAlign w:val="superscript"/>
        </w:rPr>
        <w:t xml:space="preserve">[</w:t>
      </w:r>
      <w:hyperlink w:anchor="ref-305">
        <w:r>
          <w:rPr>
            <w:rStyle w:val="Hyperlink"/>
            <w:vertAlign w:val="superscript"/>
          </w:rPr>
          <w:t xml:space="preserve">305</w:t>
        </w:r>
      </w:hyperlink>
      <w:r>
        <w:rPr>
          <w:vertAlign w:val="superscript"/>
        </w:rPr>
        <w:t xml:space="preserve">]</w:t>
      </w:r>
      <w:r>
        <w:t xml:space="preserve">。</w:t>
      </w:r>
    </w:p>
    <w:p>
      <w:pPr>
        <w:pStyle w:val="BodyText"/>
      </w:pPr>
      <w:r>
        <w:t xml:space="preserve">实际安排应允许调整。连续几轮都能准确解释，并在延迟后保持稳定，可以考虑延长下一次间隔；错误增多、提示需求明显增加或知识用途改变时，可以缩短间隔并补足理解。调整依据应包括真实表现，单凭主观熟悉感容易误判。</w:t>
      </w:r>
    </w:p>
    <w:bookmarkEnd w:id="598"/>
    <w:bookmarkStart w:id="599" w:name="sec-32-4"/>
    <w:p>
      <w:pPr>
        <w:pStyle w:val="Heading3"/>
      </w:pPr>
      <w:r>
        <w:t xml:space="preserve">32.4　多种机制可以共同贡献</w:t>
      </w:r>
    </w:p>
    <w:p>
      <w:pPr>
        <w:pStyle w:val="FirstParagraph"/>
      </w:pPr>
      <w:r>
        <w:t xml:space="preserve">时间分散可能改变编码情境，使同一知识与多个时点、环境或任务线索相联系。它也可能要求重新恢复先前知识，让后一次学习包含更多提取加工。间隔还可能改变注意分配，减少对完全熟悉内容的自动略过。不同机制在不同材料中所占权重可能不同。</w:t>
      </w:r>
    </w:p>
    <w:p>
      <w:pPr>
        <w:pStyle w:val="BodyText"/>
      </w:pPr>
      <w:r>
        <w:t xml:space="preserve">这些解释提出不同预测。情境变化解释关注学习和测试线索之间的覆盖；提取解释关注第二次接触时能否恢复第一次经历；注意解释关注重复材料是否得到充分加工。一个实验观察到间隔优势，通常不足以独立确认其中某一个机制。</w:t>
      </w:r>
    </w:p>
    <w:p>
      <w:pPr>
        <w:pStyle w:val="BodyText"/>
      </w:pPr>
      <w:r>
        <w:t xml:space="preserve">教学者可以据此检查方案是否具备有效加工。如果学生只是间隔几天后快速翻过同一页，时间分散本身未必足够。可以要求重建核心关系、比较新例子或解释先前错误，从而让第二次接触明确包含目标知识的重新使用。</w:t>
      </w:r>
    </w:p>
    <w:bookmarkEnd w:id="599"/>
    <w:bookmarkStart w:id="600" w:name="sec-32-5"/>
    <w:p>
      <w:pPr>
        <w:pStyle w:val="Heading3"/>
      </w:pPr>
      <w:r>
        <w:t xml:space="preserve">32.5　间隔与睡眠的关系</w:t>
      </w:r>
    </w:p>
    <w:p>
      <w:pPr>
        <w:pStyle w:val="FirstParagraph"/>
      </w:pPr>
      <w:r>
        <w:t xml:space="preserve">较长学习间隔常跨越睡眠，也会跨越清醒活动和新的经验。因此，跨日安排的效果不能全部归给睡眠。睡眠研究需要比较时间、昼夜节律、清醒干扰和先前编码状态，学习日程研究也应清楚区分这些因素。</w:t>
      </w:r>
    </w:p>
    <w:p>
      <w:pPr>
        <w:pStyle w:val="BodyText"/>
      </w:pPr>
      <w:r>
        <w:t xml:space="preserve">在课程规划中，合理分散活动可以与充足睡眠相协调。为了完成过密复习而长期压缩睡眠，可能同时损害后续编码与日常表现。相关机制应结合睡眠章节理解，避免把睡前播放材料或特定睡眠设备当作间隔学习的必要条件</w:t>
      </w:r>
      <w:r>
        <w:rPr>
          <w:vertAlign w:val="superscript"/>
        </w:rPr>
        <w:t xml:space="preserve">[</w:t>
      </w:r>
      <w:hyperlink w:anchor="ref-306">
        <w:r>
          <w:rPr>
            <w:rStyle w:val="Hyperlink"/>
            <w:vertAlign w:val="superscript"/>
          </w:rPr>
          <w:t xml:space="preserve">306</w:t>
        </w:r>
      </w:hyperlink>
      <w:r>
        <w:rPr>
          <w:vertAlign w:val="superscript"/>
        </w:rPr>
        <w:t xml:space="preserve">]</w:t>
      </w:r>
      <w:r>
        <w:t xml:space="preserve">。</w:t>
      </w:r>
    </w:p>
    <w:p>
      <w:pPr>
        <w:pStyle w:val="BodyText"/>
      </w:pPr>
      <w:r>
        <w:t xml:space="preserve">一个实用做法是将主要学习安排在能够保持参与的时段，并在后续日期设置简短复查。日程需要可执行，持续性比追求一个未经验证的精确时点更有现实意义。个体作息、课程负担和知识用途应共同进入计划。</w:t>
      </w:r>
    </w:p>
    <w:bookmarkEnd w:id="600"/>
    <w:bookmarkStart w:id="601" w:name="sec-32-6"/>
    <w:p>
      <w:pPr>
        <w:pStyle w:val="Heading3"/>
      </w:pPr>
      <w:r>
        <w:t xml:space="preserve">32.6　等间隔与逐步扩展</w:t>
      </w:r>
    </w:p>
    <w:p>
      <w:pPr>
        <w:pStyle w:val="FirstParagraph"/>
      </w:pPr>
      <w:r>
        <w:t xml:space="preserve">等间隔把重复之间的时间保持相近，逐步扩展则在后续轮次延长间隔。两种方案都能形成分散练习。逐步扩展具有直观吸引力，因为知识逐渐稳定后似乎可以等待更久；实际优势仍取决于首次提取发生的时间和每轮成功情况。</w:t>
      </w:r>
    </w:p>
    <w:p>
      <w:pPr>
        <w:pStyle w:val="BodyText"/>
      </w:pPr>
      <w:r>
        <w:t xml:space="preserve">直接比较研究显示，短期和长期测验可能对两种日程产生不同结果，首次提取是否过于容易也是重要因素。由此不能认定某种固定增长方式跨材料普遍最优</w:t>
      </w:r>
      <w:r>
        <w:rPr>
          <w:vertAlign w:val="superscript"/>
        </w:rPr>
        <w:t xml:space="preserve">[</w:t>
      </w:r>
      <w:hyperlink w:anchor="ref-307">
        <w:r>
          <w:rPr>
            <w:rStyle w:val="Hyperlink"/>
            <w:vertAlign w:val="superscript"/>
          </w:rPr>
          <w:t xml:space="preserve">307</w:t>
        </w:r>
      </w:hyperlink>
      <w:r>
        <w:rPr>
          <w:vertAlign w:val="superscript"/>
        </w:rPr>
        <w:t xml:space="preserve">]</w:t>
      </w:r>
      <w:r>
        <w:t xml:space="preserve">。</w:t>
      </w:r>
    </w:p>
    <w:p>
      <w:pPr>
        <w:pStyle w:val="BodyText"/>
      </w:pPr>
      <w:r>
        <w:t xml:space="preserve">课程中可以先采用容易执行的基础安排，再依据表现调整。如果每次间隔翻倍导致大量项目无法提取，应修改规则；如果固定间隔让学生长期重复已经稳定掌握的内容，可以减少频率。日程是一种决策工具，其质量由实际学习收益与成本检验。</w:t>
      </w:r>
    </w:p>
    <w:bookmarkEnd w:id="601"/>
    <w:bookmarkStart w:id="602" w:name="sec-32-7"/>
    <w:p>
      <w:pPr>
        <w:pStyle w:val="Heading3"/>
      </w:pPr>
      <w:r>
        <w:t xml:space="preserve">32.7　连续再学习的目标</w:t>
      </w:r>
    </w:p>
    <w:p>
      <w:pPr>
        <w:pStyle w:val="FirstParagraph"/>
      </w:pPr>
      <w:r>
        <w:t xml:space="preserve">连续再学习要求在多个分散时段中，反复达到一定正确标准。它把当次成功与跨时段保持结合起来。每次回到材料时，需要重新判断哪些内容仍可独立调用，哪些需要补学。</w:t>
      </w:r>
    </w:p>
    <w:p>
      <w:pPr>
        <w:pStyle w:val="BodyText"/>
      </w:pPr>
      <w:r>
        <w:t xml:space="preserve">相关实验分别操纵初始达标标准和之后再学习的次数，考察长期保持与总练习成本。结果说明，初始学习和后续维护之间存在可分析的权衡，不能只统计第一次学会花了多久</w:t>
      </w:r>
      <w:r>
        <w:rPr>
          <w:vertAlign w:val="superscript"/>
        </w:rPr>
        <w:t xml:space="preserve">[</w:t>
      </w:r>
      <w:hyperlink w:anchor="ref-308">
        <w:r>
          <w:rPr>
            <w:rStyle w:val="Hyperlink"/>
            <w:vertAlign w:val="superscript"/>
          </w:rPr>
          <w:t xml:space="preserve">308</w:t>
        </w:r>
      </w:hyperlink>
      <w:r>
        <w:rPr>
          <w:vertAlign w:val="superscript"/>
        </w:rPr>
        <w:t xml:space="preserve">]</w:t>
      </w:r>
      <w:r>
        <w:t xml:space="preserve">。</w:t>
      </w:r>
    </w:p>
    <w:p>
      <w:pPr>
        <w:pStyle w:val="BodyText"/>
      </w:pPr>
      <w:r>
        <w:t xml:space="preserve">课程研究也显示，连续再学习可以支持考试表现与较长时间后的保持。实施时需要保证答案核查准确，并关注学生实际完成了多少独立尝试。把资料打开后重复抄写，无法完整代表这种安排所要求的提取与再学习过程</w:t>
      </w:r>
      <w:r>
        <w:rPr>
          <w:vertAlign w:val="superscript"/>
        </w:rPr>
        <w:t xml:space="preserve">[</w:t>
      </w:r>
      <w:hyperlink w:anchor="ref-309">
        <w:r>
          <w:rPr>
            <w:rStyle w:val="Hyperlink"/>
            <w:vertAlign w:val="superscript"/>
          </w:rPr>
          <w:t xml:space="preserve">309</w:t>
        </w:r>
      </w:hyperlink>
      <w:r>
        <w:rPr>
          <w:vertAlign w:val="superscript"/>
        </w:rPr>
        <w:t xml:space="preserve">]</w:t>
      </w:r>
      <w:r>
        <w:t xml:space="preserve">。</w:t>
      </w:r>
    </w:p>
    <w:bookmarkEnd w:id="602"/>
    <w:bookmarkStart w:id="603" w:name="sec-32-8"/>
    <w:p>
      <w:pPr>
        <w:pStyle w:val="Heading3"/>
      </w:pPr>
      <w:r>
        <w:t xml:space="preserve">32.8　调度应围绕知识用途</w:t>
      </w:r>
    </w:p>
    <w:p>
      <w:pPr>
        <w:pStyle w:val="FirstParagraph"/>
      </w:pPr>
      <w:r>
        <w:t xml:space="preserve">某些知识需要快速、准确且独立调用，例如后续推理反复依赖的基本定义和关系。另一些信息可以依靠可靠资料查找，只需知道如何定位与评估。两种用途对应不同维护要求。</w:t>
      </w:r>
    </w:p>
    <w:p>
      <w:pPr>
        <w:pStyle w:val="BodyText"/>
      </w:pPr>
      <w:r>
        <w:t xml:space="preserve">可以为每类知识说明使用频率、错误代价、可用线索和目标期限。高频基础知识通常会在真实任务中自然获得重复，低频但关键的内容可能需要专门安排。若真实应用本身已经包含充分提取，额外机械练习的必要性应重新评估。</w:t>
      </w:r>
    </w:p>
    <w:p>
      <w:pPr>
        <w:pStyle w:val="BodyText"/>
      </w:pPr>
      <w:r>
        <w:t xml:space="preserve">一个日程的目标也可能是维持由多个事实和关系组成的整体知识系统。例如，掌握统计推理需要同时维护定义、条件、图形判断和解释能力。仅对术语卡片进行高频复习，可能无法保持完整应用能力。调度单位应与知识结构相对应。</w:t>
      </w:r>
    </w:p>
    <w:bookmarkEnd w:id="603"/>
    <w:bookmarkStart w:id="608" w:name="sec-32-9"/>
    <w:p>
      <w:pPr>
        <w:pStyle w:val="Heading3"/>
      </w:pPr>
      <w:r>
        <w:t xml:space="preserve">32.9　条件化调度框架</w:t>
      </w:r>
    </w:p>
    <w:p>
      <w:pPr>
        <w:pStyle w:val="FirstParagraph"/>
      </w:pPr>
      <w:r>
        <w:t xml:space="preserve">下面的框架把初次学习、间隔后的提取表现和后续支持连接起来。它适合组织教学判断，不预设统一成功率或固定天数。每次决策都需要考虑材料难度、先备知识、线索支持和错误代价。</w:t>
      </w:r>
    </w:p>
    <w:p>
      <w:pPr>
        <w:pStyle w:val="Figure"/>
      </w:pPr>
      <w:r>
        <w:drawing>
          <wp:inline>
            <wp:extent cx="5334000" cy="4516243"/>
            <wp:effectExtent b="0" l="0" r="0" t="0"/>
            <wp:docPr descr="B图3 基于延迟表现的提取调度框架" title="" id="605" name="Picture"/>
            <a:graphic>
              <a:graphicData uri="http://schemas.openxmlformats.org/drawingml/2006/picture">
                <pic:pic>
                  <pic:nvPicPr>
                    <pic:cNvPr descr="/tmp/claude-0/-home-user-i18ns/3184e246-229e-5a65-b6f3-3f7647a222c4/scratchpad/src/B_media/media/image12.png" id="606" name="Picture"/>
                    <pic:cNvPicPr>
                      <a:picLocks noChangeArrowheads="1" noChangeAspect="1"/>
                    </pic:cNvPicPr>
                  </pic:nvPicPr>
                  <pic:blipFill>
                    <a:blip r:embed="rId604"/>
                    <a:stretch>
                      <a:fillRect/>
                    </a:stretch>
                  </pic:blipFill>
                  <pic:spPr bwMode="auto">
                    <a:xfrm>
                      <a:off x="0" y="0"/>
                      <a:ext cx="5334000" cy="4516243"/>
                    </a:xfrm>
                    <a:prstGeom prst="rect">
                      <a:avLst/>
                    </a:prstGeom>
                    <a:noFill/>
                    <a:ln w="9525">
                      <a:noFill/>
                      <a:headEnd/>
                      <a:tailEnd/>
                    </a:ln>
                  </pic:spPr>
                </pic:pic>
              </a:graphicData>
            </a:graphic>
          </wp:inline>
        </w:drawing>
      </w:r>
    </w:p>
    <w:p>
      <w:pPr>
        <w:pStyle w:val="ImageCaption"/>
      </w:pPr>
      <w:bookmarkStart w:id="607" w:name="fig-b3"/>
      <w:bookmarkEnd w:id="607"/>
      <w:r>
        <w:rPr>
          <w:bCs/>
          <w:b/>
        </w:rPr>
        <w:t xml:space="preserve">图 5　</w:t>
      </w:r>
      <w:r>
        <w:t xml:space="preserve">基于延迟表现的提取调度框架。三条分支表示当前表现对应的候选行动，实际安排还需检查答案依据和目标用途。准确且能够解释时，可以考虑延长间隔；部分正确时，需要纠错与再解释；无法提取时，可以提供适当线索或重新学习。所有路径都应回到后续独立检验。该图不规定固定天数、普适成功率或唯一算法，延长与缩短应依据延迟表现持续调整</w:t>
      </w:r>
      <w:r>
        <w:rPr>
          <w:vertAlign w:val="superscript"/>
        </w:rPr>
        <w:t xml:space="preserve">[</w:t>
      </w:r>
      <w:hyperlink w:anchor="ref-305">
        <w:r>
          <w:rPr>
            <w:rStyle w:val="Hyperlink"/>
            <w:vertAlign w:val="superscript"/>
          </w:rPr>
          <w:t xml:space="preserve">305</w:t>
        </w:r>
      </w:hyperlink>
      <w:r>
        <w:rPr>
          <w:vertAlign w:val="superscript"/>
        </w:rPr>
        <w:t xml:space="preserve">,</w:t>
      </w:r>
      <w:hyperlink w:anchor="ref-307">
        <w:r>
          <w:rPr>
            <w:rStyle w:val="Hyperlink"/>
            <w:vertAlign w:val="superscript"/>
          </w:rPr>
          <w:t xml:space="preserve">307</w:t>
        </w:r>
      </w:hyperlink>
      <w:r>
        <w:rPr>
          <w:vertAlign w:val="superscript"/>
        </w:rPr>
        <w:t xml:space="preserve">,</w:t>
      </w:r>
      <w:hyperlink w:anchor="ref-308">
        <w:r>
          <w:rPr>
            <w:rStyle w:val="Hyperlink"/>
            <w:vertAlign w:val="superscript"/>
          </w:rPr>
          <w:t xml:space="preserve">308</w:t>
        </w:r>
      </w:hyperlink>
      <w:r>
        <w:rPr>
          <w:vertAlign w:val="superscript"/>
        </w:rPr>
        <w:t xml:space="preserve">]</w:t>
      </w:r>
      <w:r>
        <w:t xml:space="preserve">。</w:t>
      </w:r>
    </w:p>
    <w:p>
      <w:pPr>
        <w:pStyle w:val="BodyText"/>
      </w:pPr>
      <w:r>
        <w:t xml:space="preserve">对于核心知识，调度记录可以包含最后一次无提示成功时间和最常见错误。对于复杂任务，还应记录是否能选择合适策略。这样能够避免把某道题的答案记熟误判为整个知识结构已经稳定。</w:t>
      </w:r>
    </w:p>
    <w:bookmarkEnd w:id="608"/>
    <w:bookmarkStart w:id="609" w:name="sec-32-10"/>
    <w:p>
      <w:pPr>
        <w:pStyle w:val="Heading3"/>
      </w:pPr>
      <w:r>
        <w:t xml:space="preserve">32.10　交错学习的独立含义</w:t>
      </w:r>
    </w:p>
    <w:p>
      <w:pPr>
        <w:pStyle w:val="FirstParagraph"/>
      </w:pPr>
      <w:r>
        <w:t xml:space="preserve">交错安排在同一练习序列中穿插不同类别或不同解题策略。集中分类练习则先完成某一类，再进入另一类。交错通常同时增加同类项目之间的时间间隔，并使相邻项目更可能属于不同类别。两种变化需要在理论和实验中区分。</w:t>
      </w:r>
    </w:p>
    <w:p>
      <w:pPr>
        <w:pStyle w:val="BodyText"/>
      </w:pPr>
      <w:r>
        <w:t xml:space="preserve">例如，连续做一组同类方程题时，题目所在位置已经提示应使用哪种方法。混合不同类型后，学习者必须根据题目本身识别策略。交错由此可以增加策略选择的练习，而策略选择正是许多真实任务的重要部分。</w:t>
      </w:r>
    </w:p>
    <w:p>
      <w:pPr>
        <w:pStyle w:val="BodyText"/>
      </w:pPr>
      <w:r>
        <w:t xml:space="preserve">交错也可能增加认知负担。如果学生尚不理解任何一种方法，频繁变化可能只带来混乱。教学需要先确保基本概念和规则能够被理解，再通过有目的的混合促进辨析。具体过渡方式应由实际知识状态决定。</w:t>
      </w:r>
    </w:p>
    <w:bookmarkEnd w:id="609"/>
    <w:bookmarkStart w:id="610" w:name="sec-32-11"/>
    <w:p>
      <w:pPr>
        <w:pStyle w:val="Heading3"/>
      </w:pPr>
      <w:r>
        <w:t xml:space="preserve">32.11　类别内共同点与类别间差异</w:t>
      </w:r>
    </w:p>
    <w:p>
      <w:pPr>
        <w:pStyle w:val="FirstParagraph"/>
      </w:pPr>
      <w:r>
        <w:t xml:space="preserve">类别学习需要发现共同特征，也需要判断与相近类别的区别。集中呈现可能使同类共同点更明显，交错呈现可能让相邻类别的差异更容易比较。哪一种需求更关键，取决于材料结构和学习阶段。</w:t>
      </w:r>
    </w:p>
    <w:p>
      <w:pPr>
        <w:pStyle w:val="BodyText"/>
      </w:pPr>
      <w:r>
        <w:t xml:space="preserve">画家风格的经典实验显示，交错观看实例可以提高对新作品的归类。这项结果引出了对类别学习日程的系统研究。由于交错同时改变间隔和相邻比较，后续实验需要进一步分离贡献</w:t>
      </w:r>
      <w:r>
        <w:rPr>
          <w:vertAlign w:val="superscript"/>
        </w:rPr>
        <w:t xml:space="preserve">[</w:t>
      </w:r>
      <w:hyperlink w:anchor="ref-310">
        <w:r>
          <w:rPr>
            <w:rStyle w:val="Hyperlink"/>
            <w:vertAlign w:val="superscript"/>
          </w:rPr>
          <w:t xml:space="preserve">310</w:t>
        </w:r>
      </w:hyperlink>
      <w:r>
        <w:rPr>
          <w:vertAlign w:val="superscript"/>
        </w:rPr>
        <w:t xml:space="preserve">]</w:t>
      </w:r>
      <w:r>
        <w:t xml:space="preserve">。</w:t>
      </w:r>
    </w:p>
    <w:p>
      <w:pPr>
        <w:pStyle w:val="BodyText"/>
      </w:pPr>
      <w:r>
        <w:t xml:space="preserve">针对风格辨别的研究支持类别对比在某些交错优势中的作用。这个机制提示，交错的选择应有知识依据：把容易混淆且需要区分的类别放在适当距离内，通常比任意混合无关材料更符合学习目标</w:t>
      </w:r>
      <w:r>
        <w:rPr>
          <w:vertAlign w:val="superscript"/>
        </w:rPr>
        <w:t xml:space="preserve">[</w:t>
      </w:r>
      <w:hyperlink w:anchor="ref-311">
        <w:r>
          <w:rPr>
            <w:rStyle w:val="Hyperlink"/>
            <w:vertAlign w:val="superscript"/>
          </w:rPr>
          <w:t xml:space="preserve">311</w:t>
        </w:r>
      </w:hyperlink>
      <w:r>
        <w:rPr>
          <w:vertAlign w:val="superscript"/>
        </w:rPr>
        <w:t xml:space="preserve">]</w:t>
      </w:r>
      <w:r>
        <w:t xml:space="preserve">。</w:t>
      </w:r>
    </w:p>
    <w:bookmarkEnd w:id="610"/>
    <w:bookmarkStart w:id="611" w:name="sec-32-12"/>
    <w:p>
      <w:pPr>
        <w:pStyle w:val="Heading3"/>
      </w:pPr>
      <w:r>
        <w:t xml:space="preserve">32.12　相似性如何改变交错效果</w:t>
      </w:r>
    </w:p>
    <w:p>
      <w:pPr>
        <w:pStyle w:val="FirstParagraph"/>
      </w:pPr>
      <w:r>
        <w:t xml:space="preserve">如果不同类别在表面上非常相似，学习者需要关注少数诊断性特征。相邻比较可以帮助发现这些差异。如果每类内部变化很大，学习者还需学习哪些变化应被忽略。交错能否帮助，取决于它是否突出真正有用的维度。</w:t>
      </w:r>
    </w:p>
    <w:p>
      <w:pPr>
        <w:pStyle w:val="BodyText"/>
      </w:pPr>
      <w:r>
        <w:t xml:space="preserve">一项交错元分析发现，材料类型和类别相似性调节效果；视觉类别与数学任务的结果，与词语或说明性文本并不相同。总体均值不能支持把所有学科内容随机混排</w:t>
      </w:r>
      <w:r>
        <w:rPr>
          <w:vertAlign w:val="superscript"/>
        </w:rPr>
        <w:t xml:space="preserve">[</w:t>
      </w:r>
      <w:hyperlink w:anchor="ref-312">
        <w:r>
          <w:rPr>
            <w:rStyle w:val="Hyperlink"/>
            <w:vertAlign w:val="superscript"/>
          </w:rPr>
          <w:t xml:space="preserve">312</w:t>
        </w:r>
      </w:hyperlink>
      <w:r>
        <w:rPr>
          <w:vertAlign w:val="superscript"/>
        </w:rPr>
        <w:t xml:space="preserve">]</w:t>
      </w:r>
      <w:r>
        <w:t xml:space="preserve">。</w:t>
      </w:r>
    </w:p>
    <w:p>
      <w:pPr>
        <w:pStyle w:val="BodyText"/>
      </w:pPr>
      <w:r>
        <w:t xml:space="preserve">教学中可以先列出混淆矩阵。学生经常把哪两类问题混为一谈，常忽略哪个条件，哪种表面线索会误导策略选择。随后围绕这些混淆安排相邻案例，并要求解释区别。交错由此成为有目标的辨析工具。</w:t>
      </w:r>
    </w:p>
    <w:bookmarkEnd w:id="611"/>
    <w:bookmarkStart w:id="612" w:name="sec-32-13"/>
    <w:p>
      <w:pPr>
        <w:pStyle w:val="Heading3"/>
      </w:pPr>
      <w:r>
        <w:t xml:space="preserve">32.13　交错与任务切换成本</w:t>
      </w:r>
    </w:p>
    <w:p>
      <w:pPr>
        <w:pStyle w:val="FirstParagraph"/>
      </w:pPr>
      <w:r>
        <w:t xml:space="preserve">交错练习常使当下表现更慢，因为学习者需要重新确定任务规则。较慢可以反映必要的策略选择，也可能反映无关切换负担。判断其价值，需要查看后续独立表现是否改善。</w:t>
      </w:r>
    </w:p>
    <w:p>
      <w:pPr>
        <w:pStyle w:val="BodyText"/>
      </w:pPr>
      <w:r>
        <w:t xml:space="preserve">把数学、外语和无关视频频繁切换，与在数学内部混合需要辨别的题型，包含不同信息结构。前一种安排可能增加中断和目标恢复需求，后一种安排可以专门训练选择合适方法。二者都出现切换，但预期机制不同。</w:t>
      </w:r>
    </w:p>
    <w:p>
      <w:pPr>
        <w:pStyle w:val="BodyText"/>
      </w:pPr>
      <w:r>
        <w:t xml:space="preserve">设计练习时应保留完成一个有意义处理单元的时间。若学生尚未读完题目就被迫切换，难以完成所需比较。交错的时间粒度可以是相邻题目、相邻实例或相邻短活动，应与认知目标匹配。</w:t>
      </w:r>
    </w:p>
    <w:bookmarkEnd w:id="612"/>
    <w:bookmarkStart w:id="613" w:name="sec-32-14"/>
    <w:p>
      <w:pPr>
        <w:pStyle w:val="Heading3"/>
      </w:pPr>
      <w:r>
        <w:t xml:space="preserve">32.14　数学交错的课堂证据</w:t>
      </w:r>
    </w:p>
    <w:p>
      <w:pPr>
        <w:pStyle w:val="FirstParagraph"/>
      </w:pPr>
      <w:r>
        <w:t xml:space="preserve">一项预注册整群随机试验在五十四个七年级数学班实施数月练习，并在共同复习后进行延迟测验。交错组表现优于集中组，支持在该课程配置下增加策略选择机会的价值。年级、内容、练习材料和最终测验形式限定了具体外推</w:t>
      </w:r>
      <w:r>
        <w:rPr>
          <w:vertAlign w:val="superscript"/>
        </w:rPr>
        <w:t xml:space="preserve">[</w:t>
      </w:r>
      <w:hyperlink w:anchor="ref-313">
        <w:r>
          <w:rPr>
            <w:rStyle w:val="Hyperlink"/>
            <w:vertAlign w:val="superscript"/>
          </w:rPr>
          <w:t xml:space="preserve">313</w:t>
        </w:r>
      </w:hyperlink>
      <w:r>
        <w:rPr>
          <w:vertAlign w:val="superscript"/>
        </w:rPr>
        <w:t xml:space="preserve">]</w:t>
      </w:r>
      <w:r>
        <w:t xml:space="preserve">。</w:t>
      </w:r>
    </w:p>
    <w:p>
      <w:pPr>
        <w:pStyle w:val="BodyText"/>
      </w:pPr>
      <w:r>
        <w:t xml:space="preserve">2025年的数学元分析发现，间隔练习具有小到中等的平均优势；提取相对重学的研究数量较少，其平均效应的置信区间跨越零。这个结果要求区分数学中的时间分散、策略交错和提取活动，避免把其他领域的效应大小直接移植到数学</w:t>
      </w:r>
      <w:r>
        <w:rPr>
          <w:vertAlign w:val="superscript"/>
        </w:rPr>
        <w:t xml:space="preserve">[</w:t>
      </w:r>
      <w:hyperlink w:anchor="ref-314">
        <w:r>
          <w:rPr>
            <w:rStyle w:val="Hyperlink"/>
            <w:vertAlign w:val="superscript"/>
          </w:rPr>
          <w:t xml:space="preserve">314</w:t>
        </w:r>
      </w:hyperlink>
      <w:r>
        <w:rPr>
          <w:vertAlign w:val="superscript"/>
        </w:rPr>
        <w:t xml:space="preserve">]</w:t>
      </w:r>
      <w:r>
        <w:t xml:space="preserve">。</w:t>
      </w:r>
    </w:p>
    <w:p>
      <w:pPr>
        <w:pStyle w:val="BodyText"/>
      </w:pPr>
      <w:r>
        <w:t xml:space="preserve">对数学教学而言，可以分别检验计算执行、策略选择、概念解释和新题应用。如果交错主要改善选择，而计算精度没有变化，这仍是有意义的机制结果。若学生只在熟悉题型集合内获益，则需要继续检验更广泛的迁移。</w:t>
      </w:r>
    </w:p>
    <w:bookmarkEnd w:id="613"/>
    <w:bookmarkStart w:id="614" w:name="sec-32-15"/>
    <w:p>
      <w:pPr>
        <w:pStyle w:val="Heading3"/>
      </w:pPr>
      <w:r>
        <w:t xml:space="preserve">32.15　一个比例与加法关系的辨析实例</w:t>
      </w:r>
    </w:p>
    <w:p>
      <w:pPr>
        <w:pStyle w:val="FirstParagraph"/>
      </w:pPr>
      <w:r>
        <w:t xml:space="preserve">以下为假设课程。学生容易把“增加相同数量”与“扩大相同比例”混淆。教师先确保两类关系各自被理解，再交错呈现表格、文字和图形案例。每道题要求先说明关系类型，再计算结果。</w:t>
      </w:r>
    </w:p>
    <w:p>
      <w:pPr>
        <w:pStyle w:val="BodyText"/>
      </w:pPr>
      <w:r>
        <w:t xml:space="preserve">关键变化可以包括初始数值、单位、叙述背景和求解方向。为了避免表面线索替代概念，不能让所有比例题都使用某一种故事，而所有加法题都使用另一种故事。反馈应指出诊断关系，例如差值是否固定、比值是否固定。</w:t>
      </w:r>
    </w:p>
    <w:p>
      <w:pPr>
        <w:pStyle w:val="BodyText"/>
      </w:pPr>
      <w:r>
        <w:t xml:space="preserve">后续测验加入需要两种关系连续使用的题目，以及信息不足的题目。这样可以检验学生是否只学会二选一，还是理解了每种关系的适用条件。交错的教学目标因此包含分类、执行和边界判断。</w:t>
      </w:r>
    </w:p>
    <w:bookmarkEnd w:id="614"/>
    <w:bookmarkStart w:id="615" w:name="sec-32-16"/>
    <w:p>
      <w:pPr>
        <w:pStyle w:val="Heading3"/>
      </w:pPr>
      <w:r>
        <w:t xml:space="preserve">32.16　儿童学习中的间隔与归纳</w:t>
      </w:r>
    </w:p>
    <w:p>
      <w:pPr>
        <w:pStyle w:val="FirstParagraph"/>
      </w:pPr>
      <w:r>
        <w:t xml:space="preserve">儿童也可以从适当的时间分散中获益，但任务设计必须考虑语言理解、注意持续、先备知识和可获得支持。对成人词汇任务有效的具体间隔，不能直接视为儿童概念教学的处方。</w:t>
      </w:r>
    </w:p>
    <w:p>
      <w:pPr>
        <w:pStyle w:val="BodyText"/>
      </w:pPr>
      <w:r>
        <w:t xml:space="preserve">儿童记忆与类别归纳实验提供了分散呈现能够促进特定学习结果的证据。这些研究的重要性在于，把间隔问题扩展到新实例的归类与概念形成；年龄和材料边界仍需保留</w:t>
      </w:r>
      <w:r>
        <w:rPr>
          <w:vertAlign w:val="superscript"/>
        </w:rPr>
        <w:t xml:space="preserve">[</w:t>
      </w:r>
      <w:hyperlink w:anchor="ref-315">
        <w:r>
          <w:rPr>
            <w:rStyle w:val="Hyperlink"/>
            <w:vertAlign w:val="superscript"/>
          </w:rPr>
          <w:t xml:space="preserve">315</w:t>
        </w:r>
      </w:hyperlink>
      <w:r>
        <w:rPr>
          <w:vertAlign w:val="superscript"/>
        </w:rPr>
        <w:t xml:space="preserve">]</w:t>
      </w:r>
      <w:r>
        <w:t xml:space="preserve">。</w:t>
      </w:r>
    </w:p>
    <w:p>
      <w:pPr>
        <w:pStyle w:val="BodyText"/>
      </w:pPr>
      <w:r>
        <w:t xml:space="preserve">幼儿活动可以在不同情境中重访同一关系，同时保留清楚的对应。例如，先用实物比较容器容量，之后在新的材料中讨论相同概念。教师应帮助儿童联系两次经历，避免表面变化过大使它们完全无法关联。</w:t>
      </w:r>
    </w:p>
    <w:bookmarkEnd w:id="615"/>
    <w:bookmarkStart w:id="616" w:name="sec-32-17"/>
    <w:p>
      <w:pPr>
        <w:pStyle w:val="Heading3"/>
      </w:pPr>
      <w:r>
        <w:t xml:space="preserve">32.17　自动调度算法的能力与限制</w:t>
      </w:r>
    </w:p>
    <w:p>
      <w:pPr>
        <w:pStyle w:val="FirstParagraph"/>
      </w:pPr>
      <w:r>
        <w:t xml:space="preserve">数字学习系统可以根据作答记录预测下一次成功概率，并选择复习时间。算法需要定义知识单位、估计当前状态、决定目标成功率和更新规则。每一步都包含假设，系统显示的精确时间并不意味着对个人记忆过程具有同等精度。</w:t>
      </w:r>
    </w:p>
    <w:p>
      <w:pPr>
        <w:pStyle w:val="BodyText"/>
      </w:pPr>
      <w:r>
        <w:t xml:space="preserve">若系统只记录正确与否，它可能无法区分理解、猜测和记住原题。若只记录反应时，可能把谨慎核查误判为知识薄弱。加入信心、解释质量或不同题型可以提供更多信息，也会增加使用成本和评分复杂度。</w:t>
      </w:r>
    </w:p>
    <w:p>
      <w:pPr>
        <w:pStyle w:val="BodyText"/>
      </w:pPr>
      <w:r>
        <w:t xml:space="preserve">算法评价应关注课程目标，例如延迟保持、迁移和总学习时间。较高的应用内正确率可能来自反复呈现容易题目。对教师而言，能够查看调度依据、修改知识重要性并纠正错误评分，具有实际价值。</w:t>
      </w:r>
    </w:p>
    <w:bookmarkEnd w:id="616"/>
    <w:bookmarkStart w:id="617" w:name="sec-32-18"/>
    <w:p>
      <w:pPr>
        <w:pStyle w:val="Heading3"/>
      </w:pPr>
      <w:r>
        <w:t xml:space="preserve">32.18　一个简化调度模型的推理</w:t>
      </w:r>
    </w:p>
    <w:p>
      <w:pPr>
        <w:pStyle w:val="FirstParagraph"/>
      </w:pPr>
      <w:r>
        <w:t xml:space="preserve">为了理解决策，可以设想一个教学模型：每个知识单元有预测成功率、未来使用价值和复习所需时间。优先级可以随预测失败风险与使用价值增加，随复习成本增加而下降。这个模型只用于展示权衡，不代表已经验证的普适算法。</w:t>
      </w:r>
    </w:p>
    <w:p>
      <w:pPr>
        <w:pStyle w:val="BodyText"/>
      </w:pPr>
      <w:r>
        <w:t xml:space="preserve">假设甲知识未来使用价值为四，预测失败风险为零点二，复习需两分钟；乙知识价值为二，失败风险为零点五，复习需一分钟。若采用价值乘风险再除以时间的简化规则，甲得零点四，乙得一。模型会先安排乙。这个结果依赖所选择的价值和风险估计，不能作为实际教学的唯一标准。</w:t>
      </w:r>
    </w:p>
    <w:p>
      <w:pPr>
        <w:pStyle w:val="BodyText"/>
      </w:pPr>
      <w:r>
        <w:t xml:space="preserve">如果甲涉及后续课程不可替代的前提，教师可能提高其价值权重；如果乙可以随时可靠查找，权重可能降低。模型的作用是让隐含判断可见。它也显示，最优调度始终依赖目标与约束，无法仅由遗忘速度决定。</w:t>
      </w:r>
    </w:p>
    <w:bookmarkEnd w:id="617"/>
    <w:bookmarkStart w:id="618" w:name="sec-32-19"/>
    <w:p>
      <w:pPr>
        <w:pStyle w:val="Heading3"/>
      </w:pPr>
      <w:r>
        <w:t xml:space="preserve">32.19　复习遗漏与积压处理</w:t>
      </w:r>
    </w:p>
    <w:p>
      <w:pPr>
        <w:pStyle w:val="FirstParagraph"/>
      </w:pPr>
      <w:r>
        <w:t xml:space="preserve">真实学习计划会遇到缺课、疾病、任务冲突和复习积压。把错过一次安排视为整个计划失效，容易降低持续性。更合理的做法是重新评估当前知识状态，再选择恢复路径。</w:t>
      </w:r>
    </w:p>
    <w:p>
      <w:pPr>
        <w:pStyle w:val="BodyText"/>
      </w:pPr>
      <w:r>
        <w:t xml:space="preserve">积压时可以优先处理后续学习依赖的基础内容、已经暴露的高频错误和即将使用的知识。对稳定掌握且近期自然使用过的内容，可以减少重复。恢复日程应控制总负担，避免一次补完所有卡片导致疲劳和浅加工。</w:t>
      </w:r>
    </w:p>
    <w:p>
      <w:pPr>
        <w:pStyle w:val="BodyText"/>
      </w:pPr>
      <w:r>
        <w:t xml:space="preserve">记录实际完成情况比维护理想日程更有价值。学习者可以每周查看哪些内容仍需要提示，哪些已经延迟成功，哪些知识用途发生改变。这样的回顾支持持续调整，也让计划能够适应真实生活。</w:t>
      </w:r>
    </w:p>
    <w:bookmarkEnd w:id="618"/>
    <w:bookmarkStart w:id="619" w:name="sec-32-20"/>
    <w:p>
      <w:pPr>
        <w:pStyle w:val="Heading3"/>
      </w:pPr>
      <w:r>
        <w:t xml:space="preserve">32.20　练习日程与课程结构</w:t>
      </w:r>
    </w:p>
    <w:p>
      <w:pPr>
        <w:pStyle w:val="FirstParagraph"/>
      </w:pPr>
      <w:r>
        <w:t xml:space="preserve">分散练习可以嵌入课程，无需每次另设独立复习课。新单元的开始可以调用旧知识，例题可以结合多个已学关系，阶段任务可以要求重新解释早期概念。嵌入方式需要确保学生在任务中实际调用旧知识；旧知识只在材料中出现，起不到复习作用。</w:t>
      </w:r>
    </w:p>
    <w:p>
      <w:pPr>
        <w:pStyle w:val="BodyText"/>
      </w:pPr>
      <w:r>
        <w:t xml:space="preserve">课程可以建立知识依赖图。某个概念支持哪些后续任务，哪些关系容易长期遗忘，哪些技能需要反复执行。依赖图帮助决定自然复现的位置，并避免所有内容在考试前同时堆积。</w:t>
      </w:r>
    </w:p>
    <w:p>
      <w:pPr>
        <w:pStyle w:val="BodyText"/>
      </w:pPr>
      <w:r>
        <w:t xml:space="preserve">跨学科整合也应保留明确桥梁。例如，在物理图表中使用数学比例关系，可以要求学生显式说明对应。若只是把两个学科名称放在同一作业上，未必形成知识联系。调度与迁移的设计需要共同围绕关系结构。</w:t>
      </w:r>
    </w:p>
    <w:bookmarkEnd w:id="619"/>
    <w:bookmarkStart w:id="620" w:name="sec-32-21"/>
    <w:p>
      <w:pPr>
        <w:pStyle w:val="Heading3"/>
      </w:pPr>
      <w:r>
        <w:t xml:space="preserve">32.21　评价间隔方案的实际收益</w:t>
      </w:r>
    </w:p>
    <w:p>
      <w:pPr>
        <w:pStyle w:val="FirstParagraph"/>
      </w:pPr>
      <w:r>
        <w:t xml:space="preserve">一种方案可能提高长期正确率，却需要更多总时间；另一种方案可能保持相近水平，同时减少复习。两者都可能有教育价值，适用选择取决于目标。报告结果时应同时关注持久性、时间成本和可执行性。</w:t>
      </w:r>
    </w:p>
    <w:p>
      <w:pPr>
        <w:pStyle w:val="BodyText"/>
      </w:pPr>
      <w:r>
        <w:t xml:space="preserve">也应区分完成者收益与全体实施效果。难以坚持的精细日程，即使对完成者表现很好，在真实课程中的整体价值也可能受限。简洁、可理解和能够恢复的计划，可能比复杂但经常中断的计划更适合某些环境。</w:t>
      </w:r>
    </w:p>
    <w:p>
      <w:pPr>
        <w:pStyle w:val="BodyText"/>
      </w:pPr>
      <w:r>
        <w:t xml:space="preserve">最终的判断标准是学习者在目标时间和目标情境中能否使用知识。应用中的准确性、解释质量和独立程度，应与日程内的指标相互印证。日程是支持知识使用的手段，其形式可以随证据调整。</w:t>
      </w:r>
    </w:p>
    <w:bookmarkEnd w:id="620"/>
    <w:bookmarkStart w:id="622" w:name="sec-32-22"/>
    <w:p>
      <w:pPr>
        <w:pStyle w:val="Heading3"/>
      </w:pPr>
      <w:r>
        <w:t xml:space="preserve">32.22　学习安排的查阅表</w:t>
      </w:r>
    </w:p>
    <w:p>
      <w:pPr>
        <w:pStyle w:val="TableCaption"/>
      </w:pPr>
      <w:bookmarkStart w:id="621" w:name="tab-schedules"/>
      <w:bookmarkEnd w:id="621"/>
      <w:r>
        <w:rPr>
          <w:bCs/>
          <w:b/>
        </w:rPr>
        <w:t xml:space="preserve">表 11　学习安排查阅表</w:t>
      </w:r>
    </w:p>
    <w:tbl>
      <w:tblPr>
        <w:tblStyle w:val="Table"/>
        <w:tblW w:type="pct" w:w="5000"/>
        <w:jc w:val="start"/>
        <w:tblLook w:firstRow="1" w:lastRow="0" w:firstColumn="0" w:lastColumn="0" w:noHBand="0" w:noVBand="0" w:val="0020"/>
      </w:tblPr>
      <w:tblGrid>
        <w:gridCol w:w="1485"/>
        <w:gridCol w:w="3217"/>
        <w:gridCol w:w="3217"/>
      </w:tblGrid>
      <w:tr>
        <w:trPr>
          <w:tblHeader w:val="true"/>
        </w:trPr>
        <w:tc>
          <w:tcPr>
            <w:shd w:val="clear" w:color="auto" w:fill="1F3A5F"/>
          </w:tcPr>
          <w:p>
            <w:pPr>
              <w:jc w:val="left"/>
            </w:pPr>
            <w:r>
              <w:rPr>
                <w:bCs/>
                <w:b/>
                <w:color w:val="FFFFFF"/>
              </w:rPr>
              <w:t xml:space="preserve">安排</w:t>
            </w:r>
          </w:p>
        </w:tc>
        <w:tc>
          <w:tcPr>
            <w:shd w:val="clear" w:color="auto" w:fill="1F3A5F"/>
          </w:tcPr>
          <w:p>
            <w:pPr>
              <w:jc w:val="left"/>
            </w:pPr>
            <w:r>
              <w:rPr>
                <w:bCs/>
                <w:b/>
                <w:color w:val="FFFFFF"/>
              </w:rPr>
              <w:t xml:space="preserve">主要改变</w:t>
            </w:r>
          </w:p>
        </w:tc>
        <w:tc>
          <w:tcPr>
            <w:shd w:val="clear" w:color="auto" w:fill="1F3A5F"/>
          </w:tcPr>
          <w:p>
            <w:pPr>
              <w:jc w:val="left"/>
            </w:pPr>
            <w:r>
              <w:rPr>
                <w:bCs/>
                <w:b/>
                <w:color w:val="FFFFFF"/>
              </w:rPr>
              <w:t xml:space="preserve">需要监测的边界</w:t>
            </w:r>
          </w:p>
        </w:tc>
      </w:tr>
      <w:tr>
        <w:tc>
          <w:tcPr/>
          <w:p>
            <w:pPr>
              <w:jc w:val="left"/>
            </w:pPr>
            <w:r>
              <w:t xml:space="preserve">重复接触材料</w:t>
            </w:r>
          </w:p>
        </w:tc>
        <w:tc>
          <w:tcPr/>
          <w:p>
            <w:pPr>
              <w:jc w:val="left"/>
            </w:pPr>
            <w:r>
              <w:t xml:space="preserve">增加可见信息的学习机会</w:t>
            </w:r>
          </w:p>
        </w:tc>
        <w:tc>
          <w:tcPr/>
          <w:p>
            <w:pPr>
              <w:jc w:val="left"/>
            </w:pPr>
            <w:r>
              <w:t xml:space="preserve">熟悉感与独立使用之间的差距</w:t>
            </w:r>
          </w:p>
        </w:tc>
      </w:tr>
      <w:tr>
        <w:tc>
          <w:tcPr/>
          <w:p>
            <w:pPr>
              <w:jc w:val="left"/>
            </w:pPr>
            <w:r>
              <w:t xml:space="preserve">提取练习</w:t>
            </w:r>
          </w:p>
        </w:tc>
        <w:tc>
          <w:tcPr/>
          <w:p>
            <w:pPr>
              <w:jc w:val="left"/>
            </w:pPr>
            <w:r>
              <w:t xml:space="preserve">要求从记忆生成或识别目标</w:t>
            </w:r>
          </w:p>
        </w:tc>
        <w:tc>
          <w:tcPr/>
          <w:p>
            <w:pPr>
              <w:jc w:val="left"/>
            </w:pPr>
            <w:r>
              <w:t xml:space="preserve">初始知识、成功率与反馈</w:t>
            </w:r>
          </w:p>
        </w:tc>
      </w:tr>
      <w:tr>
        <w:tc>
          <w:tcPr/>
          <w:p>
            <w:pPr>
              <w:jc w:val="left"/>
            </w:pPr>
            <w:r>
              <w:t xml:space="preserve">时间分散</w:t>
            </w:r>
          </w:p>
        </w:tc>
        <w:tc>
          <w:tcPr/>
          <w:p>
            <w:pPr>
              <w:jc w:val="left"/>
            </w:pPr>
            <w:r>
              <w:t xml:space="preserve">改变同一知识重复的时间距离</w:t>
            </w:r>
          </w:p>
        </w:tc>
        <w:tc>
          <w:tcPr/>
          <w:p>
            <w:pPr>
              <w:jc w:val="left"/>
            </w:pPr>
            <w:r>
              <w:t xml:space="preserve">保持期限与失败后支持</w:t>
            </w:r>
          </w:p>
        </w:tc>
      </w:tr>
      <w:tr>
        <w:tc>
          <w:tcPr/>
          <w:p>
            <w:pPr>
              <w:jc w:val="left"/>
            </w:pPr>
            <w:r>
              <w:t xml:space="preserve">类别交错</w:t>
            </w:r>
          </w:p>
        </w:tc>
        <w:tc>
          <w:tcPr/>
          <w:p>
            <w:pPr>
              <w:jc w:val="left"/>
            </w:pPr>
            <w:r>
              <w:t xml:space="preserve">改变相邻项目的类别关系</w:t>
            </w:r>
          </w:p>
        </w:tc>
        <w:tc>
          <w:tcPr/>
          <w:p>
            <w:pPr>
              <w:jc w:val="left"/>
            </w:pPr>
            <w:r>
              <w:t xml:space="preserve">诊断差异是否被注意</w:t>
            </w:r>
          </w:p>
        </w:tc>
      </w:tr>
      <w:tr>
        <w:tc>
          <w:tcPr/>
          <w:p>
            <w:pPr>
              <w:jc w:val="left"/>
            </w:pPr>
            <w:r>
              <w:t xml:space="preserve">连续再学习</w:t>
            </w:r>
          </w:p>
        </w:tc>
        <w:tc>
          <w:tcPr/>
          <w:p>
            <w:pPr>
              <w:jc w:val="left"/>
            </w:pPr>
            <w:r>
              <w:t xml:space="preserve">跨时段重复达到标准</w:t>
            </w:r>
          </w:p>
        </w:tc>
        <w:tc>
          <w:tcPr/>
          <w:p>
            <w:pPr>
              <w:jc w:val="left"/>
            </w:pPr>
            <w:r>
              <w:t xml:space="preserve">总时间及独立达标的可靠性</w:t>
            </w:r>
          </w:p>
        </w:tc>
      </w:tr>
      <w:tr>
        <w:tc>
          <w:tcPr/>
          <w:p>
            <w:pPr>
              <w:jc w:val="left"/>
            </w:pPr>
            <w:r>
              <w:t xml:space="preserve">自适应调度</w:t>
            </w:r>
          </w:p>
        </w:tc>
        <w:tc>
          <w:tcPr/>
          <w:p>
            <w:pPr>
              <w:jc w:val="left"/>
            </w:pPr>
            <w:r>
              <w:t xml:space="preserve">依据表现修改下次安排</w:t>
            </w:r>
          </w:p>
        </w:tc>
        <w:tc>
          <w:tcPr/>
          <w:p>
            <w:pPr>
              <w:jc w:val="left"/>
            </w:pPr>
            <w:r>
              <w:t xml:space="preserve">预测误差与目标价值设定</w:t>
            </w:r>
          </w:p>
        </w:tc>
      </w:tr>
    </w:tbl>
    <w:p>
      <w:pPr>
        <w:pStyle w:val="BodyText"/>
      </w:pPr>
      <w:r>
        <w:t xml:space="preserve">这些安排可以同时存在，评价时应明确各环节实际发生的改变。辨别与提取机制的交错研究表明，合理分离时间结构和类别结构有助于解释学习结果</w:t>
      </w:r>
      <w:r>
        <w:rPr>
          <w:vertAlign w:val="superscript"/>
        </w:rPr>
        <w:t xml:space="preserve">[</w:t>
      </w:r>
      <w:hyperlink w:anchor="ref-316">
        <w:r>
          <w:rPr>
            <w:rStyle w:val="Hyperlink"/>
            <w:vertAlign w:val="superscript"/>
          </w:rPr>
          <w:t xml:space="preserve">316</w:t>
        </w:r>
      </w:hyperlink>
      <w:r>
        <w:rPr>
          <w:vertAlign w:val="superscript"/>
        </w:rPr>
        <w:t xml:space="preserve">]</w:t>
      </w:r>
      <w:r>
        <w:t xml:space="preserve">。</w:t>
      </w:r>
    </w:p>
    <w:bookmarkEnd w:id="622"/>
    <w:bookmarkStart w:id="623" w:name="sec-32-23"/>
    <w:p>
      <w:pPr>
        <w:pStyle w:val="Heading3"/>
      </w:pPr>
      <w:r>
        <w:t xml:space="preserve">32.23　结论边界与置信度</w:t>
      </w:r>
    </w:p>
    <w:p>
      <w:pPr>
        <w:pStyle w:val="FirstParagraph"/>
      </w:pPr>
      <w:r>
        <w:t xml:space="preserve">关于练习间隔与目标保持期限共同影响延迟表现，置信度高；关于所有材料都应使用同一固定天数表，支持度低</w:t>
      </w:r>
      <w:r>
        <w:rPr>
          <w:vertAlign w:val="superscript"/>
        </w:rPr>
        <w:t xml:space="preserve">[</w:t>
      </w:r>
      <w:hyperlink w:anchor="ref-305">
        <w:r>
          <w:rPr>
            <w:rStyle w:val="Hyperlink"/>
            <w:vertAlign w:val="superscript"/>
          </w:rPr>
          <w:t xml:space="preserve">305</w:t>
        </w:r>
      </w:hyperlink>
      <w:r>
        <w:rPr>
          <w:vertAlign w:val="superscript"/>
        </w:rPr>
        <w:t xml:space="preserve">]</w:t>
      </w:r>
      <w:r>
        <w:t xml:space="preserve">。交错对某些类别辨别和数学任务有可信的平均收益，具体效果依赖需要区分的类别、先备知识及练习内容，向其他学科的推广具有中等或更低置信度</w:t>
      </w:r>
      <w:r>
        <w:rPr>
          <w:vertAlign w:val="superscript"/>
        </w:rPr>
        <w:t xml:space="preserve">[</w:t>
      </w:r>
      <w:hyperlink w:anchor="ref-311">
        <w:r>
          <w:rPr>
            <w:rStyle w:val="Hyperlink"/>
            <w:vertAlign w:val="superscript"/>
          </w:rPr>
          <w:t xml:space="preserve">311</w:t>
        </w:r>
      </w:hyperlink>
      <w:r>
        <w:rPr>
          <w:vertAlign w:val="superscript"/>
        </w:rPr>
        <w:t xml:space="preserve">,</w:t>
      </w:r>
      <w:hyperlink w:anchor="ref-313">
        <w:r>
          <w:rPr>
            <w:rStyle w:val="Hyperlink"/>
            <w:vertAlign w:val="superscript"/>
          </w:rPr>
          <w:t xml:space="preserve">313</w:t>
        </w:r>
      </w:hyperlink>
      <w:r>
        <w:rPr>
          <w:vertAlign w:val="superscript"/>
        </w:rPr>
        <w:t xml:space="preserve">]</w:t>
      </w:r>
      <w:r>
        <w:t xml:space="preserve">。等间隔和扩展间隔的优劣需要结合首次提取时间、成功率与终测延迟判断，现有证据支持条件化选择</w:t>
      </w:r>
      <w:r>
        <w:rPr>
          <w:vertAlign w:val="superscript"/>
        </w:rPr>
        <w:t xml:space="preserve">[</w:t>
      </w:r>
      <w:hyperlink w:anchor="ref-307">
        <w:r>
          <w:rPr>
            <w:rStyle w:val="Hyperlink"/>
            <w:vertAlign w:val="superscript"/>
          </w:rPr>
          <w:t xml:space="preserve">307</w:t>
        </w:r>
      </w:hyperlink>
      <w:r>
        <w:rPr>
          <w:vertAlign w:val="superscript"/>
        </w:rPr>
        <w:t xml:space="preserve">]</w:t>
      </w:r>
      <w:r>
        <w:t xml:space="preserve">。本章的调度图表达可检验的决策原则；它没有为每名学习者提供经过验证的个人最优算法。</w:t>
      </w:r>
    </w:p>
    <w:bookmarkEnd w:id="623"/>
    <w:bookmarkStart w:id="624" w:name="sec-32-24"/>
    <w:p>
      <w:pPr>
        <w:pStyle w:val="Heading3"/>
      </w:pPr>
      <w:r>
        <w:t xml:space="preserve">32.24　综合练习</w:t>
      </w:r>
    </w:p>
    <w:p>
      <w:pPr>
        <w:pStyle w:val="FirstParagraph"/>
      </w:pPr>
      <w:r>
        <w:t xml:space="preserve">练习一。两组总共学习三十分钟，一组当天完成，另一组分三天完成，最后都在第三天结束后立即测验。这个比较还能回答哪些问题？参考分析：它可以比较两种具体安排的即时结果，但两组从最后一次学习到测验的间隔可能不同，需要明确时间轴。若要评价长期保持，还应设置相同后续延迟。</w:t>
      </w:r>
    </w:p>
    <w:p>
      <w:pPr>
        <w:pStyle w:val="BodyText"/>
      </w:pPr>
      <w:r>
        <w:t xml:space="preserve">练习二。教师把全部练习随机混排，学生表现下降。参考分析：检查基本知识是否建立、混合类别是否需要辨别、题目之间是否有合理联系、当下困难是否伴随后续收益。交错的标签不足以保证方案有效。</w:t>
      </w:r>
    </w:p>
    <w:p>
      <w:pPr>
        <w:pStyle w:val="BodyText"/>
      </w:pPr>
      <w:r>
        <w:t xml:space="preserve">练习三。某应用建议所有新知识在固定天数复习。参考分析：可以把该日程视为初始安排，再检查内容难度、独立成功和目标期限。若表现持续不匹配，应修改日程，不能把固定日期当作个人神经规律。</w:t>
      </w:r>
    </w:p>
    <w:p>
      <w:pPr>
        <w:pStyle w:val="BodyText"/>
      </w:pPr>
      <w:r>
        <w:t xml:space="preserve">练习四。学生在混合题中能选择正确方法，却计算出错。参考分析：交错可能已帮助策略辨别，执行技能仍需针对性练习。把两个结局分开，可以保留有效环节并修正不足。</w:t>
      </w:r>
    </w:p>
    <w:bookmarkEnd w:id="624"/>
    <w:bookmarkEnd w:id="625"/>
    <w:bookmarkStart w:id="649" w:name="ch-33"/>
    <w:p>
      <w:pPr>
        <w:pStyle w:val="Heading2"/>
      </w:pPr>
      <w:r>
        <w:t xml:space="preserve">第33章　认知负荷与教学设计</w:t>
      </w:r>
    </w:p>
    <w:bookmarkStart w:id="626" w:name="sec-33-1"/>
    <w:p>
      <w:pPr>
        <w:pStyle w:val="Heading3"/>
      </w:pPr>
      <w:r>
        <w:t xml:space="preserve">33.1　教学活动怎样占用加工能力</w:t>
      </w:r>
    </w:p>
    <w:p>
      <w:pPr>
        <w:pStyle w:val="FirstParagraph"/>
      </w:pPr>
      <w:r>
        <w:t xml:space="preserve">学习一项新知识时，学习者需要辨认材料、理解符号、保持相关信息、建立关系、检查矛盾，并决定下一步行动。这些操作具有时间和加工要求。认知负荷理论关注教学安排如何改变这些要求，以及改变之后能否支持知识获得。</w:t>
      </w:r>
    </w:p>
    <w:p>
      <w:pPr>
        <w:pStyle w:val="BodyText"/>
      </w:pPr>
      <w:r>
        <w:t xml:space="preserve">早期研究强调，求解一道题所需的搜索活动，与从题目中获得可迁移结构所需的加工，可能存在资源竞争。学生可以通过大量试探得到答案，却未必形成清楚的规则。这个问题促使研究者比较例题、指导和不同呈现方式的学习效果</w:t>
      </w:r>
      <w:r>
        <w:rPr>
          <w:vertAlign w:val="superscript"/>
        </w:rPr>
        <w:t xml:space="preserve">[</w:t>
      </w:r>
      <w:hyperlink w:anchor="ref-317">
        <w:r>
          <w:rPr>
            <w:rStyle w:val="Hyperlink"/>
            <w:vertAlign w:val="superscript"/>
          </w:rPr>
          <w:t xml:space="preserve">317</w:t>
        </w:r>
      </w:hyperlink>
      <w:r>
        <w:rPr>
          <w:vertAlign w:val="superscript"/>
        </w:rPr>
        <w:t xml:space="preserve">]</w:t>
      </w:r>
      <w:r>
        <w:t xml:space="preserve">。</w:t>
      </w:r>
    </w:p>
    <w:p>
      <w:pPr>
        <w:pStyle w:val="BodyText"/>
      </w:pPr>
      <w:r>
        <w:t xml:space="preserve">分析负荷的起点应是目标任务。阅读图表时反复寻找图例，可能是可减少的搜索；理解变量之间的关系，则可能正是课程目标要求的加工。教学优化需要确定哪些操作有助于形成目标知识，哪些操作主要来自材料组织不当。</w:t>
      </w:r>
    </w:p>
    <w:bookmarkEnd w:id="626"/>
    <w:bookmarkStart w:id="627" w:name="sec-33-2"/>
    <w:p>
      <w:pPr>
        <w:pStyle w:val="Heading3"/>
      </w:pPr>
      <w:r>
        <w:t xml:space="preserve">33.2　知识改变任务的心理结构</w:t>
      </w:r>
    </w:p>
    <w:p>
      <w:pPr>
        <w:pStyle w:val="FirstParagraph"/>
      </w:pPr>
      <w:r>
        <w:t xml:space="preserve">同一页材料对不同学习者产生的要求可能不同。熟悉相关概念的人可以把多个步骤组织成一个有意义单元，初学者则需要逐项处理。任务的表面长度因此不能独立决定难度。</w:t>
      </w:r>
    </w:p>
    <w:p>
      <w:pPr>
        <w:pStyle w:val="BodyText"/>
      </w:pPr>
      <w:r>
        <w:t xml:space="preserve">认知负荷理论的后续综述把长期知识在组织复杂活动中的作用放在核心位置。理论中对长期记忆容量的宽泛表述，应理解为功能建模中的理想化；它没有证明实际学习不受时间、提取、知识质量或生物条件限制</w:t>
      </w:r>
      <w:r>
        <w:rPr>
          <w:vertAlign w:val="superscript"/>
        </w:rPr>
        <w:t xml:space="preserve">[</w:t>
      </w:r>
      <w:hyperlink w:anchor="ref-318">
        <w:r>
          <w:rPr>
            <w:rStyle w:val="Hyperlink"/>
            <w:vertAlign w:val="superscript"/>
          </w:rPr>
          <w:t xml:space="preserve">318</w:t>
        </w:r>
      </w:hyperlink>
      <w:r>
        <w:rPr>
          <w:vertAlign w:val="superscript"/>
        </w:rPr>
        <w:t xml:space="preserve">]</w:t>
      </w:r>
      <w:r>
        <w:t xml:space="preserve">。</w:t>
      </w:r>
    </w:p>
    <w:p>
      <w:pPr>
        <w:pStyle w:val="BodyText"/>
      </w:pPr>
      <w:r>
        <w:t xml:space="preserve">教学者可以先检查学生是否掌握材料所依赖的符号和关系。若一个物理例题同时引入新公式、新单位和新图形，困难可能来自多个陌生对应同时出现。预先建立部分基础，再处理整体关系，可以改变任务对在线加工的要求。</w:t>
      </w:r>
    </w:p>
    <w:bookmarkEnd w:id="627"/>
    <w:bookmarkStart w:id="628" w:name="sec-33-3"/>
    <w:p>
      <w:pPr>
        <w:pStyle w:val="Heading3"/>
      </w:pPr>
      <w:r>
        <w:t xml:space="preserve">33.3　元素相互作用与关系复杂度</w:t>
      </w:r>
    </w:p>
    <w:p>
      <w:pPr>
        <w:pStyle w:val="FirstParagraph"/>
      </w:pPr>
      <w:r>
        <w:t xml:space="preserve">知识元素之间是否必须同时协调，影响学习难度。单独记住几个标签，与理解这些标签在一个循环系统中的相互作用，包含不同需求。元素相互作用用于描述这种关系要求，但其具体大小取决于学习者已形成的知识组织。</w:t>
      </w:r>
    </w:p>
    <w:p>
      <w:pPr>
        <w:pStyle w:val="BodyText"/>
      </w:pPr>
      <w:r>
        <w:t xml:space="preserve">考虑一个简单电路。知道电池、电阻和导线的名称，只需建立局部对应；判断串并联改变后电流怎样分配，需要协调连接结构、守恒关系和元件性质。即使图中元素数量不变，问题要求也可能显著改变负担。</w:t>
      </w:r>
    </w:p>
    <w:p>
      <w:pPr>
        <w:pStyle w:val="BodyText"/>
      </w:pPr>
      <w:r>
        <w:t xml:space="preserve">分解教学可以先建立局部关系，再逐步组合。但分解需要保留整体目标，否则学生可能掌握零散步骤，却不知道它们如何共同解释系统。一个有效的设计应让每个部分都能回到完整问题中接受检验。</w:t>
      </w:r>
    </w:p>
    <w:bookmarkEnd w:id="628"/>
    <w:bookmarkStart w:id="629" w:name="sec-33-4"/>
    <w:p>
      <w:pPr>
        <w:pStyle w:val="Heading3"/>
      </w:pPr>
      <w:r>
        <w:t xml:space="preserve">33.4　内在要求与呈现引起的额外要求</w:t>
      </w:r>
    </w:p>
    <w:p>
      <w:pPr>
        <w:pStyle w:val="FirstParagraph"/>
      </w:pPr>
      <w:r>
        <w:t xml:space="preserve">教学材料的内在要求与目标知识结构、先备知识有关。额外要求则可能来自无关搜索、含糊指令、重复转换或不必要的界面操作。两者的界限依赖具体目标。例如，在地图阅读课中定位图例可能属于目标技能，在生物机制课中反复寻找图例则可能主要增加额外负担。</w:t>
      </w:r>
    </w:p>
    <w:p>
      <w:pPr>
        <w:pStyle w:val="BodyText"/>
      </w:pPr>
      <w:r>
        <w:t xml:space="preserve">理论中的负荷分类有助于提出设计假说，但不能只靠学习者一句“很难”就精确分离。对相关负荷、内在负荷和外在负荷的定义与测量，学术讨论中存在重要争议。批判性综述提醒研究者避免用分类名称替代可观察的加工证据</w:t>
      </w:r>
      <w:r>
        <w:rPr>
          <w:vertAlign w:val="superscript"/>
        </w:rPr>
        <w:t xml:space="preserve">[</w:t>
      </w:r>
      <w:hyperlink w:anchor="ref-319">
        <w:r>
          <w:rPr>
            <w:rStyle w:val="Hyperlink"/>
            <w:vertAlign w:val="superscript"/>
          </w:rPr>
          <w:t xml:space="preserve">319</w:t>
        </w:r>
      </w:hyperlink>
      <w:r>
        <w:rPr>
          <w:vertAlign w:val="superscript"/>
        </w:rPr>
        <w:t xml:space="preserve">]</w:t>
      </w:r>
      <w:r>
        <w:t xml:space="preserve">。</w:t>
      </w:r>
    </w:p>
    <w:p>
      <w:pPr>
        <w:pStyle w:val="BodyText"/>
      </w:pPr>
      <w:r>
        <w:t xml:space="preserve">教材编排可以采用更直接的问题：学生正在做什么，这个操作帮助建立了哪个关系，能否通过更清楚的呈现保留关系并减少无关工作。这样的分析即使不计算一个负荷总分，也能够产生可检验的设计改进。</w:t>
      </w:r>
    </w:p>
    <w:bookmarkEnd w:id="629"/>
    <w:bookmarkStart w:id="630" w:name="sec-33-5"/>
    <w:p>
      <w:pPr>
        <w:pStyle w:val="Heading3"/>
      </w:pPr>
      <w:r>
        <w:t xml:space="preserve">33.5　学习困难的生产性与非生产性</w:t>
      </w:r>
    </w:p>
    <w:p>
      <w:pPr>
        <w:pStyle w:val="FirstParagraph"/>
      </w:pPr>
      <w:r>
        <w:t xml:space="preserve">学习中的努力可能来自有价值的解释、提取和辨析，也可能来自看不清文字、无法找到材料或猜测教师要求。两类努力都可能让人感觉疲惫，主观强度本身不足以判断学习价值。</w:t>
      </w:r>
    </w:p>
    <w:p>
      <w:pPr>
        <w:pStyle w:val="BodyText"/>
      </w:pPr>
      <w:r>
        <w:t xml:space="preserve">例如，要求学生解释两个相近概念的区别，会增加加工，但这些加工直接服务于理解。把同一解释拆散在多个无标记页面上，也会增加加工，却主要要求寻找和保持位置。教学设计应保留必要的知识加工，同时减少无关障碍。</w:t>
      </w:r>
    </w:p>
    <w:p>
      <w:pPr>
        <w:pStyle w:val="BodyText"/>
      </w:pPr>
      <w:r>
        <w:t xml:space="preserve">困难的价值还受学习阶段影响。已经掌握基础后，独立选择策略可以促进灵活使用；完全不理解规则时，长时间盲目试探可能缺少有效线索。教师需要根据学生当前知识判断支持程度，并用后续独立表现检验判断。</w:t>
      </w:r>
    </w:p>
    <w:bookmarkEnd w:id="630"/>
    <w:bookmarkStart w:id="631" w:name="sec-33-6"/>
    <w:p>
      <w:pPr>
        <w:pStyle w:val="Heading3"/>
      </w:pPr>
      <w:r>
        <w:t xml:space="preserve">33.6　例题的结构功能</w:t>
      </w:r>
    </w:p>
    <w:p>
      <w:pPr>
        <w:pStyle w:val="FirstParagraph"/>
      </w:pPr>
      <w:r>
        <w:t xml:space="preserve">完整例题展示从问题条件到结论的中间关系，使学习者能够观察步骤及其理由。例题可以减少初期无方向搜索，为理解规则提供具体材料。它的效果取决于学习者实际关注了什么。</w:t>
      </w:r>
    </w:p>
    <w:p>
      <w:pPr>
        <w:pStyle w:val="BodyText"/>
      </w:pPr>
      <w:r>
        <w:t xml:space="preserve">例题研究综述强调，例题数量、结构变化、步骤组织和学习者解释活动都会影响获得。一个只列计算符号的答案，与一个说明每步依据的例题，提供的信息不同。初期使用例题后，还需要逐步转向独立解决问题</w:t>
      </w:r>
      <w:r>
        <w:rPr>
          <w:vertAlign w:val="superscript"/>
        </w:rPr>
        <w:t xml:space="preserve">[</w:t>
      </w:r>
      <w:hyperlink w:anchor="ref-320">
        <w:r>
          <w:rPr>
            <w:rStyle w:val="Hyperlink"/>
            <w:vertAlign w:val="superscript"/>
          </w:rPr>
          <w:t xml:space="preserve">320</w:t>
        </w:r>
      </w:hyperlink>
      <w:r>
        <w:rPr>
          <w:vertAlign w:val="superscript"/>
        </w:rPr>
        <w:t xml:space="preserve">]</w:t>
      </w:r>
      <w:r>
        <w:t xml:space="preserve">。</w:t>
      </w:r>
    </w:p>
    <w:p>
      <w:pPr>
        <w:pStyle w:val="BodyText"/>
      </w:pPr>
      <w:r>
        <w:t xml:space="preserve">设计例题时，可以把“当前已知”“本步目标”“所用关系”“结果检查”明确呈现。信息应围绕核心推理组织，避免每一步都加入冗长说明。对容易产生误解的步骤，则可以适当增加条件解释和反例。</w:t>
      </w:r>
    </w:p>
    <w:bookmarkEnd w:id="631"/>
    <w:bookmarkStart w:id="632" w:name="sec-33-7"/>
    <w:p>
      <w:pPr>
        <w:pStyle w:val="Heading3"/>
      </w:pPr>
      <w:r>
        <w:t xml:space="preserve">33.7　自我解释如何连接步骤与原理</w:t>
      </w:r>
    </w:p>
    <w:p>
      <w:pPr>
        <w:pStyle w:val="FirstParagraph"/>
      </w:pPr>
      <w:r>
        <w:t xml:space="preserve">自我解释要求学习者说明某一步为什么成立、它与先前知识有什么关系、在何种条件下需要修改。解释可以暴露缺失关系，使教师或学习者获得进一步修正的线索。</w:t>
      </w:r>
    </w:p>
    <w:p>
      <w:pPr>
        <w:pStyle w:val="BodyText"/>
      </w:pPr>
      <w:r>
        <w:t xml:space="preserve">早期力学学习研究分析学生学习例题时的言语报告，发现不同学习者对步骤和原理的联系存在差异。这为研究自我解释提供了重要线索，但观察到的过程差异不能独立证明任何形式的解释提示都会有效</w:t>
      </w:r>
      <w:r>
        <w:rPr>
          <w:vertAlign w:val="superscript"/>
        </w:rPr>
        <w:t xml:space="preserve">[</w:t>
      </w:r>
      <w:hyperlink w:anchor="ref-321">
        <w:r>
          <w:rPr>
            <w:rStyle w:val="Hyperlink"/>
            <w:vertAlign w:val="superscript"/>
          </w:rPr>
          <w:t xml:space="preserve">321</w:t>
        </w:r>
      </w:hyperlink>
      <w:r>
        <w:rPr>
          <w:vertAlign w:val="superscript"/>
        </w:rPr>
        <w:t xml:space="preserve">]</w:t>
      </w:r>
      <w:r>
        <w:t xml:space="preserve">。</w:t>
      </w:r>
    </w:p>
    <w:p>
      <w:pPr>
        <w:pStyle w:val="BodyText"/>
      </w:pPr>
      <w:r>
        <w:t xml:space="preserve">好的提示应有明确对象。例如，“这一变形保持了什么关系”“若条件改变，哪一步需要重新考虑”“为什么另一种方法不适用”。笼统要求学生每行都说点什么，可能诱发重复朗读。教师应检查解释是否增加了关系信息，并纠正错误解释。</w:t>
      </w:r>
    </w:p>
    <w:bookmarkEnd w:id="632"/>
    <w:bookmarkStart w:id="633" w:name="sec-33-8"/>
    <w:p>
      <w:pPr>
        <w:pStyle w:val="Heading3"/>
      </w:pPr>
      <w:r>
        <w:t xml:space="preserve">33.8　例题补全与支持渐退</w:t>
      </w:r>
    </w:p>
    <w:p>
      <w:pPr>
        <w:pStyle w:val="FirstParagraph"/>
      </w:pPr>
      <w:r>
        <w:t xml:space="preserve">例题补全保留部分步骤，让学习者完成其余部分。它可以把完整示范与完全独立解题连接起来。删除哪一步，会决定学习者练习的是局部计算、规则选择还是整体规划。</w:t>
      </w:r>
    </w:p>
    <w:p>
      <w:pPr>
        <w:pStyle w:val="BodyText"/>
      </w:pPr>
      <w:r>
        <w:t xml:space="preserve">一个假设的渐退序列可以先要求补出最后一步，再逐渐让学生选择中间步骤，最终独立规划。这个顺序具有任务逻辑，但具体安排应根据错误位置调整。如果学生已掌握末端计算，却始终无法选择原理，就需要较早练习原理识别。</w:t>
      </w:r>
    </w:p>
    <w:p>
      <w:pPr>
        <w:pStyle w:val="BodyText"/>
      </w:pPr>
      <w:r>
        <w:t xml:space="preserve">渐退还可以围绕提示强度展开。先提供规则名称，再只提示关键条件，最后撤去提示。每一次撤除都应观察是否仍能正确解释。支持消失后表现骤降，提示知识尚未达到相同独立水平，需要重新设计过渡。</w:t>
      </w:r>
    </w:p>
    <w:bookmarkEnd w:id="633"/>
    <w:bookmarkStart w:id="634" w:name="sec-33-9"/>
    <w:p>
      <w:pPr>
        <w:pStyle w:val="Heading3"/>
      </w:pPr>
      <w:r>
        <w:t xml:space="preserve">33.9　专家反转与支持的适配</w:t>
      </w:r>
    </w:p>
    <w:p>
      <w:pPr>
        <w:pStyle w:val="FirstParagraph"/>
      </w:pPr>
      <w:r>
        <w:t xml:space="preserve">对初学者有帮助的详细解释，可能对熟练者成为重复信息。熟练者已有内部知识结构，额外步骤可能要求他们不断把外部说明与内部方案对照，增加无必要的加工。</w:t>
      </w:r>
    </w:p>
    <w:p>
      <w:pPr>
        <w:pStyle w:val="BodyText"/>
      </w:pPr>
      <w:r>
        <w:t xml:space="preserve">专家反转效应的综述汇集了教学方法与经验水平相互作用的证据。这里的经验应针对具体知识领域测量，年级、年龄和一般自信不能直接替代。一个人在代数中熟练，在几何证明中仍可能需要详细支持</w:t>
      </w:r>
      <w:r>
        <w:rPr>
          <w:vertAlign w:val="superscript"/>
        </w:rPr>
        <w:t xml:space="preserve">[</w:t>
      </w:r>
      <w:hyperlink w:anchor="ref-322">
        <w:r>
          <w:rPr>
            <w:rStyle w:val="Hyperlink"/>
            <w:vertAlign w:val="superscript"/>
          </w:rPr>
          <w:t xml:space="preserve">322</w:t>
        </w:r>
      </w:hyperlink>
      <w:r>
        <w:rPr>
          <w:vertAlign w:val="superscript"/>
        </w:rPr>
        <w:t xml:space="preserve">]</w:t>
      </w:r>
      <w:r>
        <w:t xml:space="preserve">。</w:t>
      </w:r>
    </w:p>
    <w:p>
      <w:pPr>
        <w:pStyle w:val="BodyText"/>
      </w:pPr>
      <w:r>
        <w:t xml:space="preserve">实际材料可以提供分层入口：核心步骤始终可见，详细解释按需展开，较熟练者直接进行应用与边界判断。分层应保持内容一致和导航清楚，避免学生为了寻找合适层次而承担更多界面负担。</w:t>
      </w:r>
    </w:p>
    <w:bookmarkEnd w:id="634"/>
    <w:bookmarkStart w:id="635" w:name="sec-33-10"/>
    <w:p>
      <w:pPr>
        <w:pStyle w:val="Heading3"/>
      </w:pPr>
      <w:r>
        <w:t xml:space="preserve">33.10　分散注意与图文对应</w:t>
      </w:r>
    </w:p>
    <w:p>
      <w:pPr>
        <w:pStyle w:val="FirstParagraph"/>
      </w:pPr>
      <w:r>
        <w:t xml:space="preserve">当理解需要把图形与说明联系起来，而两者相距较远或标记不清时，学习者必须反复搜索并暂时保持信息。把相关内容合理整合，可以减少这种额外协调。</w:t>
      </w:r>
    </w:p>
    <w:p>
      <w:pPr>
        <w:pStyle w:val="BodyText"/>
      </w:pPr>
      <w:r>
        <w:t xml:space="preserve">早期呈现格式实验直接研究图文组织对学习的影响，为分散注意问题提供了证据。这个原则依赖信息之间确实需要相互参照，不能机械推导为所有文字都应塞进图中</w:t>
      </w:r>
      <w:r>
        <w:rPr>
          <w:vertAlign w:val="superscript"/>
        </w:rPr>
        <w:t xml:space="preserve">[</w:t>
      </w:r>
      <w:hyperlink w:anchor="ref-323">
        <w:r>
          <w:rPr>
            <w:rStyle w:val="Hyperlink"/>
            <w:vertAlign w:val="superscript"/>
          </w:rPr>
          <w:t xml:space="preserve">323</w:t>
        </w:r>
      </w:hyperlink>
      <w:r>
        <w:rPr>
          <w:vertAlign w:val="superscript"/>
        </w:rPr>
        <w:t xml:space="preserve">]</w:t>
      </w:r>
      <w:r>
        <w:t xml:space="preserve">。</w:t>
      </w:r>
    </w:p>
    <w:p>
      <w:pPr>
        <w:pStyle w:val="BodyText"/>
      </w:pPr>
      <w:r>
        <w:t xml:space="preserve">后续元分析支持相关文字与图形邻近整合的平均益处。具体布局仍需考虑遮挡、文字密度、视觉搜索和材料复杂度。将标签放近相关结构通常有清楚的逻辑，但过度拥挤会制造新的辨认问题</w:t>
      </w:r>
      <w:r>
        <w:rPr>
          <w:vertAlign w:val="superscript"/>
        </w:rPr>
        <w:t xml:space="preserve">[</w:t>
      </w:r>
      <w:hyperlink w:anchor="ref-324">
        <w:r>
          <w:rPr>
            <w:rStyle w:val="Hyperlink"/>
            <w:vertAlign w:val="superscript"/>
          </w:rPr>
          <w:t xml:space="preserve">324</w:t>
        </w:r>
      </w:hyperlink>
      <w:r>
        <w:rPr>
          <w:vertAlign w:val="superscript"/>
        </w:rPr>
        <w:t xml:space="preserve">]</w:t>
      </w:r>
      <w:r>
        <w:t xml:space="preserve">。</w:t>
      </w:r>
    </w:p>
    <w:bookmarkEnd w:id="635"/>
    <w:bookmarkStart w:id="636" w:name="sec-33-11"/>
    <w:p>
      <w:pPr>
        <w:pStyle w:val="Heading3"/>
      </w:pPr>
      <w:r>
        <w:t xml:space="preserve">33.11　一个机制图的设计实例</w:t>
      </w:r>
    </w:p>
    <w:p>
      <w:pPr>
        <w:pStyle w:val="FirstParagraph"/>
      </w:pPr>
      <w:r>
        <w:t xml:space="preserve">假设需要解释血液在两个循环之间的路径。一个设计把所有结构放在图中，却把说明集中在另一页，学生需要不断翻页查找。另一个设计在关键连接附近标注方向，并用简短说明指出每一段的功能。后者减少位置搜索的可能性，仍需检查学生是否理解关系。</w:t>
      </w:r>
    </w:p>
    <w:p>
      <w:pPr>
        <w:pStyle w:val="BodyText"/>
      </w:pPr>
      <w:r>
        <w:t xml:space="preserve">图中颜色应具有稳定含义，并提供文字或形状等冗余识别线索，使色觉差异或黑白打印条件下仍可使用。箭头应清楚表示流向、因果或信息传递中的哪一种关系。若多种含义混用，视觉整洁也无法保证概念清晰。</w:t>
      </w:r>
    </w:p>
    <w:p>
      <w:pPr>
        <w:pStyle w:val="BodyText"/>
      </w:pPr>
      <w:r>
        <w:t xml:space="preserve">评价可以要求学生在没有原图的情况下解释路径，再判断一个改变连接的假设图是否合理。如果只让学生指出图上位置，测到的主要是定位能力。图的设计与学习结局需要共同服务于机制理解。</w:t>
      </w:r>
    </w:p>
    <w:bookmarkEnd w:id="636"/>
    <w:bookmarkStart w:id="637" w:name="sec-33-12"/>
    <w:p>
      <w:pPr>
        <w:pStyle w:val="Heading3"/>
      </w:pPr>
      <w:r>
        <w:t xml:space="preserve">33.12　动态呈现与信息瞬逝</w:t>
      </w:r>
    </w:p>
    <w:p>
      <w:pPr>
        <w:pStyle w:val="FirstParagraph"/>
      </w:pPr>
      <w:r>
        <w:t xml:space="preserve">动画和口头讲解能够展示随时间变化的过程，同时使先前信息迅速消失。学习者可能需要保持前一状态，才能解释当前变化。若变化太快或关系太多，这种保持要求会增加。</w:t>
      </w:r>
    </w:p>
    <w:p>
      <w:pPr>
        <w:pStyle w:val="BodyText"/>
      </w:pPr>
      <w:r>
        <w:t xml:space="preserve">分段呈现的元分析报告，具有意义的分段通常支持保持和迁移，同时往往增加学习时间。因此，改善可能涉及结构化、更多加工时间和节奏控制的共同贡献，不能只归因于按下暂停键</w:t>
      </w:r>
      <w:r>
        <w:rPr>
          <w:vertAlign w:val="superscript"/>
        </w:rPr>
        <w:t xml:space="preserve">[</w:t>
      </w:r>
      <w:hyperlink w:anchor="ref-325">
        <w:r>
          <w:rPr>
            <w:rStyle w:val="Hyperlink"/>
            <w:vertAlign w:val="superscript"/>
          </w:rPr>
          <w:t xml:space="preserve">325</w:t>
        </w:r>
      </w:hyperlink>
      <w:r>
        <w:rPr>
          <w:vertAlign w:val="superscript"/>
        </w:rPr>
        <w:t xml:space="preserve">]</w:t>
      </w:r>
      <w:r>
        <w:t xml:space="preserve">。</w:t>
      </w:r>
    </w:p>
    <w:p>
      <w:pPr>
        <w:pStyle w:val="BodyText"/>
      </w:pPr>
      <w:r>
        <w:t xml:space="preserve">动画设计可以保留关键状态的静态缩略图，让学习者比较前后变化。暂停点应放在完整因果单元之后，并配有简短预测或解释问题。把连续过程切成过多零碎片段，可能破坏整体连贯，需要适当回看完整流程。</w:t>
      </w:r>
    </w:p>
    <w:bookmarkEnd w:id="637"/>
    <w:bookmarkStart w:id="638" w:name="sec-33-13"/>
    <w:p>
      <w:pPr>
        <w:pStyle w:val="Heading3"/>
      </w:pPr>
      <w:r>
        <w:t xml:space="preserve">33.13　语言、图像与多通道信息</w:t>
      </w:r>
    </w:p>
    <w:p>
      <w:pPr>
        <w:pStyle w:val="FirstParagraph"/>
      </w:pPr>
      <w:r>
        <w:t xml:space="preserve">不同形式可以表达不同关系。语言擅长精确说明条件和抽象命题，图像可以显式呈现空间或数量关系，动作示范可以展示程序时序。它们的价值来自对任务的支持，不能根据个人被归类为某种学习风格就固定分配材料。</w:t>
      </w:r>
    </w:p>
    <w:p>
      <w:pPr>
        <w:pStyle w:val="BodyText"/>
      </w:pPr>
      <w:r>
        <w:t xml:space="preserve">多媒体研究提出多种减少不必要加工和支持整合的设计原则。应用时需要考虑信息是否互补、是否同步、是否可回看，以及学习者是否具备相关表征知识。多增加一种通道并不自动增加理解</w:t>
      </w:r>
      <w:r>
        <w:rPr>
          <w:vertAlign w:val="superscript"/>
        </w:rPr>
        <w:t xml:space="preserve">[</w:t>
      </w:r>
      <w:hyperlink w:anchor="ref-326">
        <w:r>
          <w:rPr>
            <w:rStyle w:val="Hyperlink"/>
            <w:vertAlign w:val="superscript"/>
          </w:rPr>
          <w:t xml:space="preserve">326</w:t>
        </w:r>
      </w:hyperlink>
      <w:r>
        <w:rPr>
          <w:vertAlign w:val="superscript"/>
        </w:rPr>
        <w:t xml:space="preserve">]</w:t>
      </w:r>
      <w:r>
        <w:t xml:space="preserve">。</w:t>
      </w:r>
    </w:p>
    <w:p>
      <w:pPr>
        <w:pStyle w:val="BodyText"/>
      </w:pPr>
      <w:r>
        <w:t xml:space="preserve">例如，屏幕文字、口头逐字朗读和快速动画同时出现时，学生可能需要在不同信息源之间协调。字幕也可能支持听力可及性、第二语言理解和术语核对。设计者应根据实际用途判断必要性，并允许适当控制，避免把平均实验结果变成无条件删除字幕的规则。</w:t>
      </w:r>
    </w:p>
    <w:bookmarkEnd w:id="638"/>
    <w:bookmarkStart w:id="639" w:name="sec-33-14"/>
    <w:p>
      <w:pPr>
        <w:pStyle w:val="Heading3"/>
      </w:pPr>
      <w:r>
        <w:t xml:space="preserve">33.14　吸引性细节与知识相关性</w:t>
      </w:r>
    </w:p>
    <w:p>
      <w:pPr>
        <w:pStyle w:val="FirstParagraph"/>
      </w:pPr>
      <w:r>
        <w:t xml:space="preserve">有趣故事、图片或背景材料可能提高注意，也可能把加工引向与学习目标无关的信息。判断关键在于它们是否帮助解释核心关系，以及学习者是否误把它们当作重点。</w:t>
      </w:r>
    </w:p>
    <w:p>
      <w:pPr>
        <w:pStyle w:val="BodyText"/>
      </w:pPr>
      <w:r>
        <w:t xml:space="preserve">关于诱人细节的早期综述与元分析发现，加入诱人细节总体上降低保持（小到中等效应）和迁移（中等效应），效应大小随研究条件变化，例如学习时间受限时负面影响更明显。2026年的多层元分析汇总五十项研究，报告对整体学习的小幅负向平均效应，并发现若干调节因素。其汇总中介模型支持外在负荷相关路径，但中介拟合本身不能独立确证全部因果过程</w:t>
      </w:r>
      <w:r>
        <w:rPr>
          <w:vertAlign w:val="superscript"/>
        </w:rPr>
        <w:t xml:space="preserve">[</w:t>
      </w:r>
      <w:hyperlink w:anchor="ref-327">
        <w:r>
          <w:rPr>
            <w:rStyle w:val="Hyperlink"/>
            <w:vertAlign w:val="superscript"/>
          </w:rPr>
          <w:t xml:space="preserve">327</w:t>
        </w:r>
      </w:hyperlink>
      <w:r>
        <w:rPr>
          <w:vertAlign w:val="superscript"/>
        </w:rPr>
        <w:t xml:space="preserve">,</w:t>
      </w:r>
      <w:hyperlink w:anchor="ref-328">
        <w:r>
          <w:rPr>
            <w:rStyle w:val="Hyperlink"/>
            <w:vertAlign w:val="superscript"/>
          </w:rPr>
          <w:t xml:space="preserve">328</w:t>
        </w:r>
      </w:hyperlink>
      <w:r>
        <w:rPr>
          <w:vertAlign w:val="superscript"/>
        </w:rPr>
        <w:t xml:space="preserve">]</w:t>
      </w:r>
      <w:r>
        <w:t xml:space="preserve">。</w:t>
      </w:r>
    </w:p>
    <w:p>
      <w:pPr>
        <w:pStyle w:val="BodyText"/>
      </w:pPr>
      <w:r>
        <w:t xml:space="preserve">教材可以保留与机制直接相关的案例和图像，并清楚说明它们承担的解释功能。若故事只用于引入兴趣，可以控制长度并快速连接到目标。删除所有背景也可能使知识失去意义，因此应评价具体内容的相关性和实际学习结果。</w:t>
      </w:r>
    </w:p>
    <w:bookmarkEnd w:id="639"/>
    <w:bookmarkStart w:id="640" w:name="sec-33-15"/>
    <w:p>
      <w:pPr>
        <w:pStyle w:val="Heading3"/>
      </w:pPr>
      <w:r>
        <w:t xml:space="preserve">33.15　探究学习中的指导结构</w:t>
      </w:r>
    </w:p>
    <w:p>
      <w:pPr>
        <w:pStyle w:val="FirstParagraph"/>
      </w:pPr>
      <w:r>
        <w:t xml:space="preserve">探究活动要求提出问题、选择证据、控制条件、分析结果和修正解释。每一个环节都需要知识与策略。初学者可能在探索方向尚不清楚时消耗大量时间，适当指导能够帮助他们把活动组织成有意义的调查。</w:t>
      </w:r>
    </w:p>
    <w:p>
      <w:pPr>
        <w:pStyle w:val="BodyText"/>
      </w:pPr>
      <w:r>
        <w:t xml:space="preserve">发现学习的元分析区分无辅助发现与有支持发现，二者相对于其他教学方式呈现不同模式。这个区分说明，活动名称不足以判断效果，反馈、例题、支架和解释提示是关键配置</w:t>
      </w:r>
      <w:r>
        <w:rPr>
          <w:vertAlign w:val="superscript"/>
        </w:rPr>
        <w:t xml:space="preserve">[</w:t>
      </w:r>
      <w:hyperlink w:anchor="ref-329">
        <w:r>
          <w:rPr>
            <w:rStyle w:val="Hyperlink"/>
            <w:vertAlign w:val="superscript"/>
          </w:rPr>
          <w:t xml:space="preserve">329</w:t>
        </w:r>
      </w:hyperlink>
      <w:r>
        <w:rPr>
          <w:vertAlign w:val="superscript"/>
        </w:rPr>
        <w:t xml:space="preserve">]</w:t>
      </w:r>
      <w:r>
        <w:t xml:space="preserve">。</w:t>
      </w:r>
    </w:p>
    <w:p>
      <w:pPr>
        <w:pStyle w:val="BodyText"/>
      </w:pPr>
      <w:r>
        <w:t xml:space="preserve">探究指导的元分析也支持指导对活动质量和学习结果的平均益处。年龄相关结论受到研究数量限制，不能据此规定某个年龄以下只能接受某一种教学方式</w:t>
      </w:r>
      <w:r>
        <w:rPr>
          <w:vertAlign w:val="superscript"/>
        </w:rPr>
        <w:t xml:space="preserve">[</w:t>
      </w:r>
      <w:hyperlink w:anchor="ref-330">
        <w:r>
          <w:rPr>
            <w:rStyle w:val="Hyperlink"/>
            <w:vertAlign w:val="superscript"/>
          </w:rPr>
          <w:t xml:space="preserve">330</w:t>
        </w:r>
      </w:hyperlink>
      <w:r>
        <w:rPr>
          <w:vertAlign w:val="superscript"/>
        </w:rPr>
        <w:t xml:space="preserve">]</w:t>
      </w:r>
      <w:r>
        <w:t xml:space="preserve">。</w:t>
      </w:r>
    </w:p>
    <w:bookmarkEnd w:id="640"/>
    <w:bookmarkStart w:id="641" w:name="sec-33-16"/>
    <w:p>
      <w:pPr>
        <w:pStyle w:val="Heading3"/>
      </w:pPr>
      <w:r>
        <w:t xml:space="preserve">33.16　保留学习者的推理责任</w:t>
      </w:r>
    </w:p>
    <w:p>
      <w:pPr>
        <w:pStyle w:val="FirstParagraph"/>
      </w:pPr>
      <w:r>
        <w:t xml:space="preserve">指导可以提供目标、资源、约束和检查点，同时让学习者承担证据选择与解释责任。教师直接给出所有结论，可能减少学生练习推理的机会；完全缺少必要信息，又可能使任务缺乏可行路径。有效设计需要明确哪些部分由教师支持，哪些部分由学生完成。</w:t>
      </w:r>
    </w:p>
    <w:p>
      <w:pPr>
        <w:pStyle w:val="BodyText"/>
      </w:pPr>
      <w:r>
        <w:t xml:space="preserve">以研究植物生长为例，教师可以提供可控变量清单和测量方法，让学生选择一个可检验问题；也可以给出相同实验数据，让学生比较不同解释。前者重点练习设计，后者重点练习证据推理。两种任务对知识和资源的要求不同。</w:t>
      </w:r>
    </w:p>
    <w:p>
      <w:pPr>
        <w:pStyle w:val="BodyText"/>
      </w:pPr>
      <w:r>
        <w:t xml:space="preserve">评价应与任务目标一致。若主要目标是控制变量，就应检查变量选择和比较结构；若主要目标是解释不确定结果，就应检查学生是否区分支持、反驳和仍无法判断。把最终作品美观程度当作主要成绩，会削弱对目标认知过程的评价。</w:t>
      </w:r>
    </w:p>
    <w:bookmarkEnd w:id="641"/>
    <w:bookmarkStart w:id="642" w:name="sec-33-17"/>
    <w:p>
      <w:pPr>
        <w:pStyle w:val="Heading3"/>
      </w:pPr>
      <w:r>
        <w:t xml:space="preserve">33.17　合作学习的共享与协调成本</w:t>
      </w:r>
    </w:p>
    <w:p>
      <w:pPr>
        <w:pStyle w:val="FirstParagraph"/>
      </w:pPr>
      <w:r>
        <w:t xml:space="preserve">多人合作可以分担信息处理、提供不同观点和相互解释，也需要沟通、分工与整合。任务过于简单时，协调成本可能超过分担收益；任务过于复杂且缺乏共同基础时，小组也可能难以形成一致理解。</w:t>
      </w:r>
    </w:p>
    <w:p>
      <w:pPr>
        <w:pStyle w:val="BodyText"/>
      </w:pPr>
      <w:r>
        <w:t xml:space="preserve">设计合作任务时，可以明确共享目标、个人责任和最终整合方式。每个人处理一个部分后，需要向其他成员解释，并接受核查。否则小组完成了全部部分，个人却可能只理解自己负责的内容。</w:t>
      </w:r>
    </w:p>
    <w:p>
      <w:pPr>
        <w:pStyle w:val="BodyText"/>
      </w:pPr>
      <w:r>
        <w:t xml:space="preserve">可以安排一个简短的个人迁移问题，检验每个成员是否获得整体知识。若个人表现不足，应检查信息是否真正共享、解释是否准确以及参与是否均衡。合作形式的价值应以目标学习和实际可执行性评价。</w:t>
      </w:r>
    </w:p>
    <w:bookmarkEnd w:id="642"/>
    <w:bookmarkStart w:id="643" w:name="sec-33-18"/>
    <w:p>
      <w:pPr>
        <w:pStyle w:val="Heading3"/>
      </w:pPr>
      <w:r>
        <w:t xml:space="preserve">33.18　负荷测量的解释范围</w:t>
      </w:r>
    </w:p>
    <w:p>
      <w:pPr>
        <w:pStyle w:val="FirstParagraph"/>
      </w:pPr>
      <w:r>
        <w:t xml:space="preserve">主观努力评分、反应时间、错误率、眼动和生理指标，都可以提供与加工状态相关的信息。它们通常具有多种可能来源。主观努力可能反映任务难度、动机或疲劳，反应变慢也可能表示更仔细的检查。</w:t>
      </w:r>
    </w:p>
    <w:p>
      <w:pPr>
        <w:pStyle w:val="BodyText"/>
      </w:pPr>
      <w:r>
        <w:t xml:space="preserve">因此，负荷指标需要与任务操作和学习结局结合。若一种呈现使学生感觉更轻松，同时延迟理解提高，可以支持其有效性；若更轻松却迁移下降，则可能减少了必要加工。单一指标的方向不能替代整体判断。</w:t>
      </w:r>
    </w:p>
    <w:p>
      <w:pPr>
        <w:pStyle w:val="BodyText"/>
      </w:pPr>
      <w:r>
        <w:t xml:space="preserve">在课堂中，教师可以先使用可观察过程证据：学生在哪一步停顿、是否频繁寻找信息、是否遗漏关系、能否解释下一步。复杂设备的测量价值取决于它是否解决了这些问题之外的具体不确定性。</w:t>
      </w:r>
    </w:p>
    <w:bookmarkEnd w:id="643"/>
    <w:bookmarkStart w:id="644" w:name="sec-33-19"/>
    <w:p>
      <w:pPr>
        <w:pStyle w:val="Heading3"/>
      </w:pPr>
      <w:r>
        <w:t xml:space="preserve">33.19　内容难度与呈现难度的分离</w:t>
      </w:r>
    </w:p>
    <w:p>
      <w:pPr>
        <w:pStyle w:val="FirstParagraph"/>
      </w:pPr>
      <w:r>
        <w:t xml:space="preserve">教材可以保持相同核心概念，通过调整符号说明、布局和步骤可见性改变呈现要求。这样的调整有助于判断学生困难是否主要来自材料界面。若优化后仍无法理解，可能需要补足知识或改变解释路径。</w:t>
      </w:r>
    </w:p>
    <w:p>
      <w:pPr>
        <w:pStyle w:val="BodyText"/>
      </w:pPr>
      <w:r>
        <w:t xml:space="preserve">也可以保持呈现清楚，逐步增加概念关系。先比较单一变量，再加入相互作用，最后讨论边界条件。学习者每一步都应知道新增关系如何改变原有结论。难度增加应来自知识结构的扩展，避免同时引入大量无关格式变化。</w:t>
      </w:r>
    </w:p>
    <w:p>
      <w:pPr>
        <w:pStyle w:val="BodyText"/>
      </w:pPr>
      <w:r>
        <w:t xml:space="preserve">这种分离对教材编写尤其重要。专业性可以通过精确概念、完整推理和明确限制体现，长句、密集术语和复杂排版只在承担必要信息时才有价值。可读性与学术深度可以共同提高。</w:t>
      </w:r>
    </w:p>
    <w:bookmarkEnd w:id="644"/>
    <w:bookmarkStart w:id="645" w:name="sec-33-20"/>
    <w:p>
      <w:pPr>
        <w:pStyle w:val="Heading3"/>
      </w:pPr>
      <w:r>
        <w:t xml:space="preserve">33.20　一个统计图表教学实例</w:t>
      </w:r>
    </w:p>
    <w:p>
      <w:pPr>
        <w:pStyle w:val="FirstParagraph"/>
      </w:pPr>
      <w:r>
        <w:t xml:space="preserve">假设目标是理解同一平均值下分布可以不同。初次材料只呈现两组点图，保持坐标和符号一致，让学生比较集中程度和极端值。随后加入均值线，再要求解释均值为何不能完整描述数据。</w:t>
      </w:r>
    </w:p>
    <w:p>
      <w:pPr>
        <w:pStyle w:val="BodyText"/>
      </w:pPr>
      <w:r>
        <w:t xml:space="preserve">第二阶段加入第三组分布，改变样本数量但保留比例关系，让学生区分频数和相对频率。第三阶段才引入箱线图，并把其元素对应到已经理解的分布特征。每一步都有明确新增关系，避免同时教授全部图形约定。</w:t>
      </w:r>
    </w:p>
    <w:p>
      <w:pPr>
        <w:pStyle w:val="BodyText"/>
      </w:pPr>
      <w:r>
        <w:t xml:space="preserve">最后使用陌生数据检验解释。若学生能读出图中数字却无法比较分布，需要加强关系判断；若理解分布但忘记箱线图符号，可以提供短暂图例支持。这个设计展示如何根据错误类型匹配支持，实际成效仍需教学观察。</w:t>
      </w:r>
    </w:p>
    <w:bookmarkEnd w:id="645"/>
    <w:bookmarkStart w:id="646" w:name="sec-33-21"/>
    <w:p>
      <w:pPr>
        <w:pStyle w:val="Heading3"/>
      </w:pPr>
      <w:r>
        <w:t xml:space="preserve">33.21　一个编程教学实例</w:t>
      </w:r>
    </w:p>
    <w:p>
      <w:pPr>
        <w:pStyle w:val="FirstParagraph"/>
      </w:pPr>
      <w:r>
        <w:t xml:space="preserve">学习循环时，初学者需要同时跟踪变量值、执行位置和停止条件。一个完整运行轨迹表可以外化这些状态，让学生看到每轮发生的变化。初次例题应避免同时引入过多新语法。</w:t>
      </w:r>
    </w:p>
    <w:p>
      <w:pPr>
        <w:pStyle w:val="BodyText"/>
      </w:pPr>
      <w:r>
        <w:t xml:space="preserve">随后可以隐藏轨迹表中的部分状态，让学生预测下一步；再改变停止条件，要求说明程序行为如何变化；最后让学生独立构造满足目标的程序。这个序列分别练习状态跟踪、条件理解和方案生成。</w:t>
      </w:r>
    </w:p>
    <w:p>
      <w:pPr>
        <w:pStyle w:val="BodyText"/>
      </w:pPr>
      <w:r>
        <w:t xml:space="preserve">当学生熟练后，完整逐行轨迹可能变得冗余，可以转向边界情况、复杂输入和错误诊断。对于新的数据结构，详细支持可能重新有用。支持应随具体知识变化，不能只按学习时间机械撤除。</w:t>
      </w:r>
    </w:p>
    <w:bookmarkEnd w:id="646"/>
    <w:bookmarkStart w:id="647" w:name="sec-33-22"/>
    <w:p>
      <w:pPr>
        <w:pStyle w:val="Heading3"/>
      </w:pPr>
      <w:r>
        <w:t xml:space="preserve">33.22　教学设计的综合检查</w:t>
      </w:r>
    </w:p>
    <w:p>
      <w:pPr>
        <w:pStyle w:val="FirstParagraph"/>
      </w:pPr>
      <w:r>
        <w:t xml:space="preserve">设计完成后，可以顺着学习者的信息流检查。目标是否清楚；必要先备知识是否可获得；每个表征是否有明确含义；相关信息是否容易对应；变化速度是否允许加工；练习是否要求独立使用；反馈是否帮助修正关系。</w:t>
      </w:r>
    </w:p>
    <w:p>
      <w:pPr>
        <w:pStyle w:val="BodyText"/>
      </w:pPr>
      <w:r>
        <w:t xml:space="preserve">还应检查不同学习者的可及性。文字大小、色彩依赖、听觉要求、操作方式和语言复杂度都会影响参与。合理适配可以减少与目标无关的障碍，同时保留相同的概念标准。适配效果应在实际使用中观察。</w:t>
      </w:r>
    </w:p>
    <w:p>
      <w:pPr>
        <w:pStyle w:val="BodyText"/>
      </w:pPr>
      <w:r>
        <w:t xml:space="preserve">最终，教学设计需要在支持与独立之间逐步过渡。学习者应越来越能够自行组织信息、选择策略、检查错误和解释边界。材料的清晰度服务于这种能力发展，并通过后续独立任务获得检验。</w:t>
      </w:r>
    </w:p>
    <w:bookmarkEnd w:id="647"/>
    <w:bookmarkStart w:id="648" w:name="sec-33-23"/>
    <w:p>
      <w:pPr>
        <w:pStyle w:val="Heading3"/>
      </w:pPr>
      <w:r>
        <w:t xml:space="preserve">33.23　机制判断练习</w:t>
      </w:r>
    </w:p>
    <w:p>
      <w:pPr>
        <w:pStyle w:val="FirstParagraph"/>
      </w:pPr>
      <w:r>
        <w:t xml:space="preserve">练习一。学生看完整例题能够跟上，独立解题时无从开始。参考分析：可能尚未掌握策略选择和目标分解。可以增加解释起始条件、比较相近问题和补全关键选择步骤，随后再次独立检验。</w:t>
      </w:r>
    </w:p>
    <w:p>
      <w:pPr>
        <w:pStyle w:val="BodyText"/>
      </w:pPr>
      <w:r>
        <w:t xml:space="preserve">练习二。动画加速后学生觉得更有趣，却无法解释过程。参考分析：兴趣与机制理解属于不同结局。可以保留参与优势，同时调整节奏、提供关键状态和预测问题，检验理解是否改善。</w:t>
      </w:r>
    </w:p>
    <w:p>
      <w:pPr>
        <w:pStyle w:val="BodyText"/>
      </w:pPr>
      <w:r>
        <w:t xml:space="preserve">练习三。删除所有文字后图形显得简洁，初学者错误增多。参考分析：某些文字承担必要的符号解释与关系提示。简洁应以减少无关加工为目标，不能仅依据元素数量判断。</w:t>
      </w:r>
    </w:p>
    <w:p>
      <w:pPr>
        <w:pStyle w:val="BodyText"/>
      </w:pPr>
      <w:r>
        <w:t xml:space="preserve">练习四。一个熟练学生不愿阅读逐步说明。参考分析：可以检验其独立表现和边界判断。如果知识稳定，可减少冗余支持；如果只会熟悉题目，仍需针对新条件提供适当指导。</w:t>
      </w:r>
    </w:p>
    <w:bookmarkEnd w:id="648"/>
    <w:bookmarkEnd w:id="649"/>
    <w:bookmarkStart w:id="675" w:name="ch-34"/>
    <w:p>
      <w:pPr>
        <w:pStyle w:val="Heading2"/>
      </w:pPr>
      <w:r>
        <w:t xml:space="preserve">第34章　元认知与自我调节学习</w:t>
      </w:r>
    </w:p>
    <w:bookmarkStart w:id="650" w:name="sec-34-1"/>
    <w:p>
      <w:pPr>
        <w:pStyle w:val="Heading3"/>
      </w:pPr>
      <w:r>
        <w:t xml:space="preserve">34.1　对学习状态进行判断</w:t>
      </w:r>
    </w:p>
    <w:p>
      <w:pPr>
        <w:pStyle w:val="FirstParagraph"/>
      </w:pPr>
      <w:r>
        <w:t xml:space="preserve">元认知涉及对自身认知活动的知识、监控和调节。学习者会判断一个概念是否理解、一个答案是否可靠、某种策略是否适用，以及是否需要继续学习。这些判断影响时间分配、求助、复习和停止决策。</w:t>
      </w:r>
    </w:p>
    <w:p>
      <w:pPr>
        <w:pStyle w:val="BodyText"/>
      </w:pPr>
      <w:r>
        <w:t xml:space="preserve">元认知不能简单等同于经常思考自己。一个人可以花很多时间反省，却缺少准确证据；也可以通过简短的独立测验获得很有价值的信息。关键在于判断依据是否与目标能力有关，以及判断能否引导有效行动。</w:t>
      </w:r>
    </w:p>
    <w:p>
      <w:pPr>
        <w:pStyle w:val="BodyText"/>
      </w:pPr>
      <w:r>
        <w:t xml:space="preserve">经典元记忆框架区分监控与控制：监控形成对当前状态的估计，控制据此改变学习过程。两者相互影响，增加练习改变知识状态，新的表现又更新判断。这个功能框架提供分析工具，不要求把它们定位为完全独立的脑模块</w:t>
      </w:r>
      <w:r>
        <w:rPr>
          <w:vertAlign w:val="superscript"/>
        </w:rPr>
        <w:t xml:space="preserve">[</w:t>
      </w:r>
      <w:hyperlink w:anchor="ref-331">
        <w:r>
          <w:rPr>
            <w:rStyle w:val="Hyperlink"/>
            <w:vertAlign w:val="superscript"/>
          </w:rPr>
          <w:t xml:space="preserve">331</w:t>
        </w:r>
      </w:hyperlink>
      <w:r>
        <w:rPr>
          <w:vertAlign w:val="superscript"/>
        </w:rPr>
        <w:t xml:space="preserve">]</w:t>
      </w:r>
      <w:r>
        <w:t xml:space="preserve">。</w:t>
      </w:r>
    </w:p>
    <w:bookmarkEnd w:id="650"/>
    <w:bookmarkStart w:id="651" w:name="sec-34-2"/>
    <w:p>
      <w:pPr>
        <w:pStyle w:val="Heading3"/>
      </w:pPr>
      <w:r>
        <w:t xml:space="preserve">34.2　元认知知识的三个对象</w:t>
      </w:r>
    </w:p>
    <w:p>
      <w:pPr>
        <w:pStyle w:val="FirstParagraph"/>
      </w:pPr>
      <w:r>
        <w:t xml:space="preserve">学习者需要了解任务要求、可用策略和自身当前知识。任务知识包括最终需要辨认、解释、运用还是创造；策略知识包括某种方法能帮助什么，以及在何种条件下可能不合适；自我知识包括当前掌握和仍需支持的部分。</w:t>
      </w:r>
    </w:p>
    <w:p>
      <w:pPr>
        <w:pStyle w:val="BodyText"/>
      </w:pPr>
      <w:r>
        <w:t xml:space="preserve">三类知识可以相互失配。学生知道提取有助于保持，却把所有课程都变成术语卡片，可能缺少任务知识。学生知道课程要求论证，却只反复阅读范文，可能缺少策略选择。学生方法合适，却误以为自己已掌握必要概念，可能缺少准确监控。</w:t>
      </w:r>
    </w:p>
    <w:p>
      <w:pPr>
        <w:pStyle w:val="BodyText"/>
      </w:pPr>
      <w:r>
        <w:t xml:space="preserve">教学可以围绕具体任务示范这些关系。教师说明为什么当前活动要求比较案例、如何判断比较是否成功、遇到哪种错误需要改变策略。这样，策略名称与实际使用条件共同进入知识结构。</w:t>
      </w:r>
    </w:p>
    <w:bookmarkEnd w:id="651"/>
    <w:bookmarkStart w:id="652" w:name="sec-34-3"/>
    <w:p>
      <w:pPr>
        <w:pStyle w:val="Heading3"/>
      </w:pPr>
      <w:r>
        <w:t xml:space="preserve">34.3　判断所依赖的线索</w:t>
      </w:r>
    </w:p>
    <w:p>
      <w:pPr>
        <w:pStyle w:val="FirstParagraph"/>
      </w:pPr>
      <w:r>
        <w:t xml:space="preserve">学习判断通常依据可获得的线索，包括材料难度、重复次数、主观流畅、当前能否想起答案和先前成绩。线索有时预测未来表现，有时只是与学习过程表面相关。</w:t>
      </w:r>
    </w:p>
    <w:p>
      <w:pPr>
        <w:pStyle w:val="BodyText"/>
      </w:pPr>
      <w:r>
        <w:t xml:space="preserve">线索利用理论强调，学习者会综合材料属性、学习条件和记忆体验作判断。某个线索的价值需要在具体任务中检验。例如，熟悉术语的外观可能帮助识别，却未必预测机制解释能力</w:t>
      </w:r>
      <w:r>
        <w:rPr>
          <w:vertAlign w:val="superscript"/>
        </w:rPr>
        <w:t xml:space="preserve">[</w:t>
      </w:r>
      <w:hyperlink w:anchor="ref-332">
        <w:r>
          <w:rPr>
            <w:rStyle w:val="Hyperlink"/>
            <w:vertAlign w:val="superscript"/>
          </w:rPr>
          <w:t xml:space="preserve">332</w:t>
        </w:r>
      </w:hyperlink>
      <w:r>
        <w:rPr>
          <w:vertAlign w:val="superscript"/>
        </w:rPr>
        <w:t xml:space="preserve">]</w:t>
      </w:r>
      <w:r>
        <w:t xml:space="preserve">。</w:t>
      </w:r>
    </w:p>
    <w:p>
      <w:pPr>
        <w:pStyle w:val="BodyText"/>
      </w:pPr>
      <w:r>
        <w:t xml:space="preserve">一个实用训练是让学生为判断写出依据。“我觉得熟悉”提供一种体验；“我能在没有材料时解释三个关键关系，并回答一个新例子”提供更接近目标能力的证据。教师可以帮助学生比较不同依据的预测质量。</w:t>
      </w:r>
    </w:p>
    <w:bookmarkEnd w:id="652"/>
    <w:bookmarkStart w:id="653" w:name="sec-34-4"/>
    <w:p>
      <w:pPr>
        <w:pStyle w:val="Heading3"/>
      </w:pPr>
      <w:r>
        <w:t xml:space="preserve">34.4　答案可见造成的信息差距</w:t>
      </w:r>
    </w:p>
    <w:p>
      <w:pPr>
        <w:pStyle w:val="FirstParagraph"/>
      </w:pPr>
      <w:r>
        <w:t xml:space="preserve">看着答案时，目标信息已经出现在环境中，学习者可以顺着它理解。独立考试或真实应用时，可能只剩问题线索。两种情境中可获得的信息不同，主观判断容易忽略这种差距。</w:t>
      </w:r>
    </w:p>
    <w:p>
      <w:pPr>
        <w:pStyle w:val="BodyText"/>
      </w:pPr>
      <w:r>
        <w:t xml:space="preserve">配对学习实验表明，答案可见时形成的能力判断，可能高估之后仅凭线索提取的能力。这个现象提醒学习者，在评估独立掌握时，应让判断条件尽量接近目标使用条件</w:t>
      </w:r>
      <w:r>
        <w:rPr>
          <w:vertAlign w:val="superscript"/>
        </w:rPr>
        <w:t xml:space="preserve">[</w:t>
      </w:r>
      <w:hyperlink w:anchor="ref-333">
        <w:r>
          <w:rPr>
            <w:rStyle w:val="Hyperlink"/>
            <w:vertAlign w:val="superscript"/>
          </w:rPr>
          <w:t xml:space="preserve">333</w:t>
        </w:r>
      </w:hyperlink>
      <w:r>
        <w:rPr>
          <w:vertAlign w:val="superscript"/>
        </w:rPr>
        <w:t xml:space="preserve">]</w:t>
      </w:r>
      <w:r>
        <w:t xml:space="preserve">。</w:t>
      </w:r>
    </w:p>
    <w:p>
      <w:pPr>
        <w:pStyle w:val="BodyText"/>
      </w:pPr>
      <w:r>
        <w:t xml:space="preserve">实际操作可以很简洁：看完解释后关闭资料，重建关键关系，再核对。若只是觉得每句话都能看懂，却无法自己组织，说明当前理解仍依赖外部支持。这个发现用于决定下一步学习，不应被解释为固定能力不足。</w:t>
      </w:r>
    </w:p>
    <w:bookmarkEnd w:id="653"/>
    <w:bookmarkStart w:id="654" w:name="sec-34-5"/>
    <w:p>
      <w:pPr>
        <w:pStyle w:val="Heading3"/>
      </w:pPr>
      <w:r>
        <w:t xml:space="preserve">34.5　延迟判断与可访问证据</w:t>
      </w:r>
    </w:p>
    <w:p>
      <w:pPr>
        <w:pStyle w:val="FirstParagraph"/>
      </w:pPr>
      <w:r>
        <w:t xml:space="preserve">学习结束后立即判断，容易受到刚刚看过内容的短暂可访问性影响。稍后仅依据线索判断，可以让学习者接触更接近未来提取要求的证据。</w:t>
      </w:r>
    </w:p>
    <w:p>
      <w:pPr>
        <w:pStyle w:val="BodyText"/>
      </w:pPr>
      <w:r>
        <w:t xml:space="preserve">延迟学习判断的经典实验发现，在特定线索条件下，项目之间的后续回忆预测可以显著改善。这个结果具有明确任务边界，复杂理解和长期应用仍需相应任务检验</w:t>
      </w:r>
      <w:r>
        <w:rPr>
          <w:vertAlign w:val="superscript"/>
        </w:rPr>
        <w:t xml:space="preserve">[</w:t>
      </w:r>
      <w:hyperlink w:anchor="ref-334">
        <w:r>
          <w:rPr>
            <w:rStyle w:val="Hyperlink"/>
            <w:vertAlign w:val="superscript"/>
          </w:rPr>
          <w:t xml:space="preserve">334</w:t>
        </w:r>
      </w:hyperlink>
      <w:r>
        <w:rPr>
          <w:vertAlign w:val="superscript"/>
        </w:rPr>
        <w:t xml:space="preserve">]</w:t>
      </w:r>
      <w:r>
        <w:t xml:space="preserve">。</w:t>
      </w:r>
    </w:p>
    <w:p>
      <w:pPr>
        <w:pStyle w:val="BodyText"/>
      </w:pPr>
      <w:r>
        <w:t xml:space="preserve">课程中可以在短暂间隔后要求学生预测哪些内容最需要复习，再进行独立作答并比较。判断与实际结果之间的差异，帮助学生调整以后使用的线索。间隔的具体长度应与课程节奏和目标期限协调。</w:t>
      </w:r>
    </w:p>
    <w:bookmarkEnd w:id="654"/>
    <w:bookmarkStart w:id="655" w:name="sec-34-6"/>
    <w:p>
      <w:pPr>
        <w:pStyle w:val="Heading3"/>
      </w:pPr>
      <w:r>
        <w:t xml:space="preserve">34.6　理解感与解释能力</w:t>
      </w:r>
    </w:p>
    <w:p>
      <w:pPr>
        <w:pStyle w:val="FirstParagraph"/>
      </w:pPr>
      <w:r>
        <w:t xml:space="preserve">熟悉一个物体或社会现象，容易产生能够解释其机制的感觉。真正写出连续因果步骤时，缺失关系才可能显现。解释要求使隐含知识结构变得可检查。</w:t>
      </w:r>
    </w:p>
    <w:p>
      <w:pPr>
        <w:pStyle w:val="BodyText"/>
      </w:pPr>
      <w:r>
        <w:t xml:space="preserve">关于解释深度错觉的实验显示，要求参与者详细说明日常机制，可以降低某些先前过高的理解判断。这个结果适用于所研究的机制任务，不能推导为所有人的所有自评都系统性高估</w:t>
      </w:r>
      <w:r>
        <w:rPr>
          <w:vertAlign w:val="superscript"/>
        </w:rPr>
        <w:t xml:space="preserve">[</w:t>
      </w:r>
      <w:hyperlink w:anchor="ref-335">
        <w:r>
          <w:rPr>
            <w:rStyle w:val="Hyperlink"/>
            <w:vertAlign w:val="superscript"/>
          </w:rPr>
          <w:t xml:space="preserve">335</w:t>
        </w:r>
      </w:hyperlink>
      <w:r>
        <w:rPr>
          <w:vertAlign w:val="superscript"/>
        </w:rPr>
        <w:t xml:space="preserve">]</w:t>
      </w:r>
      <w:r>
        <w:t xml:space="preserve">。</w:t>
      </w:r>
    </w:p>
    <w:p>
      <w:pPr>
        <w:pStyle w:val="BodyText"/>
      </w:pPr>
      <w:r>
        <w:t xml:space="preserve">一个教学例子是要求学生解释冰箱如何把内部热量转移到外部。知道设备名称和使用方法，与能够说明能量流动和部件关系，属于不同知识层次。学习者可以明确自己理解到哪里，并据此寻找资料或请教。</w:t>
      </w:r>
    </w:p>
    <w:bookmarkEnd w:id="655"/>
    <w:bookmarkStart w:id="656" w:name="sec-34-7"/>
    <w:p>
      <w:pPr>
        <w:pStyle w:val="Heading3"/>
      </w:pPr>
      <w:r>
        <w:t xml:space="preserve">34.7　表现与学习的时间差</w:t>
      </w:r>
    </w:p>
    <w:p>
      <w:pPr>
        <w:pStyle w:val="FirstParagraph"/>
      </w:pPr>
      <w:r>
        <w:t xml:space="preserve">当前完成任务的速度和正确率，会受到提示、反馈、材料可见性和短时激活影响。学习则关注较持久的改变，以及在目标情境中能否使用。即时表现为学习提供信息，但需要结合后续保持和迁移判断。</w:t>
      </w:r>
    </w:p>
    <w:p>
      <w:pPr>
        <w:pStyle w:val="BodyText"/>
      </w:pPr>
      <w:r>
        <w:t xml:space="preserve">整合综述汇集了言语和动作学习中即时表现与后续学习分离的证据。由此得到的合理结论是扩大评价时间范围。低表现和高困难本身也不能被当作学习更好的证据</w:t>
      </w:r>
      <w:r>
        <w:rPr>
          <w:vertAlign w:val="superscript"/>
        </w:rPr>
        <w:t xml:space="preserve">[</w:t>
      </w:r>
      <w:hyperlink w:anchor="ref-336">
        <w:r>
          <w:rPr>
            <w:rStyle w:val="Hyperlink"/>
            <w:vertAlign w:val="superscript"/>
          </w:rPr>
          <w:t xml:space="preserve">336</w:t>
        </w:r>
      </w:hyperlink>
      <w:r>
        <w:rPr>
          <w:vertAlign w:val="superscript"/>
        </w:rPr>
        <w:t xml:space="preserve">]</w:t>
      </w:r>
      <w:r>
        <w:t xml:space="preserve">。</w:t>
      </w:r>
    </w:p>
    <w:p>
      <w:pPr>
        <w:pStyle w:val="BodyText"/>
      </w:pPr>
      <w:r>
        <w:t xml:space="preserve">学生可以在学习记录中分别标记“目前能完成”和“间隔后仍能独立完成”。若某种方法当下轻松却后续效果一般，应修改安排；若某种方法当下费力且后续也没有改善，应检查任务是否超出当前基础或支持不足。</w:t>
      </w:r>
    </w:p>
    <w:bookmarkEnd w:id="656"/>
    <w:bookmarkStart w:id="657" w:name="sec-34-8"/>
    <w:p>
      <w:pPr>
        <w:pStyle w:val="Heading3"/>
      </w:pPr>
      <w:r>
        <w:t xml:space="preserve">34.8　监控怎样影响复习选择</w:t>
      </w:r>
    </w:p>
    <w:p>
      <w:pPr>
        <w:pStyle w:val="FirstParagraph"/>
      </w:pPr>
      <w:r>
        <w:t xml:space="preserve">知道哪些内容薄弱，只有在能够据此改变复习时，才会产生完整的调节作用。监控准确但没有时间或资源行动，最终学习仍可能受限。反过来，有足够资源却误判知识状态，也可能把时间投向已经掌握的内容。</w:t>
      </w:r>
    </w:p>
    <w:p>
      <w:pPr>
        <w:pStyle w:val="BodyText"/>
      </w:pPr>
      <w:r>
        <w:t xml:space="preserve">文本学习实验表明，通过合适活动改善监控，可以影响复习选择和后续学习。这个结果把判断、控制和结果联系起来，同时需要保留具体提示和文本条件</w:t>
      </w:r>
      <w:r>
        <w:rPr>
          <w:vertAlign w:val="superscript"/>
        </w:rPr>
        <w:t xml:space="preserve">[</w:t>
      </w:r>
      <w:hyperlink w:anchor="ref-337">
        <w:r>
          <w:rPr>
            <w:rStyle w:val="Hyperlink"/>
            <w:vertAlign w:val="superscript"/>
          </w:rPr>
          <w:t xml:space="preserve">337</w:t>
        </w:r>
      </w:hyperlink>
      <w:r>
        <w:rPr>
          <w:vertAlign w:val="superscript"/>
        </w:rPr>
        <w:t xml:space="preserve">]</w:t>
      </w:r>
      <w:r>
        <w:t xml:space="preserve">。</w:t>
      </w:r>
    </w:p>
    <w:p>
      <w:pPr>
        <w:pStyle w:val="BodyText"/>
      </w:pPr>
      <w:r>
        <w:t xml:space="preserve">在课堂中，可以要求学生先独立指出最不确定的关系，再选择一种修正活动。教师随后检查选择是否针对实际错误。例如，词义不清适合查证定义，因果方向混淆适合画关系图，应用条件不清适合比较反例。</w:t>
      </w:r>
    </w:p>
    <w:bookmarkEnd w:id="657"/>
    <w:bookmarkStart w:id="658" w:name="sec-34-9"/>
    <w:p>
      <w:pPr>
        <w:pStyle w:val="Heading3"/>
      </w:pPr>
      <w:r>
        <w:t xml:space="preserve">34.9　时间分配与可学性</w:t>
      </w:r>
    </w:p>
    <w:p>
      <w:pPr>
        <w:pStyle w:val="FirstParagraph"/>
      </w:pPr>
      <w:r>
        <w:t xml:space="preserve">学习时间有限，最困难内容不一定在当前阶段最值得持续投入。若缺乏关键先备知识，反复尝试同一高级任务可能进展很小。相对容易但尚未掌握的内容，有时能够通过较少时间形成新的基础。</w:t>
      </w:r>
    </w:p>
    <w:p>
      <w:pPr>
        <w:pStyle w:val="BodyText"/>
      </w:pPr>
      <w:r>
        <w:t xml:space="preserve">临近学习区模型强调，选择学习内容和决定何时停止，可以依据可学性与当前进步调整。这是对时间分配的一个理论解释，需要与目标价值、先备依赖和外部要求共同考虑</w:t>
      </w:r>
      <w:r>
        <w:rPr>
          <w:vertAlign w:val="superscript"/>
        </w:rPr>
        <w:t xml:space="preserve">[</w:t>
      </w:r>
      <w:hyperlink w:anchor="ref-338">
        <w:r>
          <w:rPr>
            <w:rStyle w:val="Hyperlink"/>
            <w:vertAlign w:val="superscript"/>
          </w:rPr>
          <w:t xml:space="preserve">338</w:t>
        </w:r>
      </w:hyperlink>
      <w:r>
        <w:rPr>
          <w:vertAlign w:val="superscript"/>
        </w:rPr>
        <w:t xml:space="preserve">]</w:t>
      </w:r>
      <w:r>
        <w:t xml:space="preserve">。</w:t>
      </w:r>
    </w:p>
    <w:p>
      <w:pPr>
        <w:pStyle w:val="BodyText"/>
      </w:pPr>
      <w:r>
        <w:t xml:space="preserve">一个假设例子中，学生有二十分钟复习。甲题只差一个步骤，乙题需要尚未学习的整章理论，丙题已经稳定掌握。合理安排可能先补甲题，再学习乙题所需的基础，并对丙题进行简短延迟核查。具体选择依赖课程目标，不能仅根据难度排名。</w:t>
      </w:r>
    </w:p>
    <w:bookmarkEnd w:id="658"/>
    <w:bookmarkStart w:id="659" w:name="sec-34-10"/>
    <w:p>
      <w:pPr>
        <w:pStyle w:val="Heading3"/>
      </w:pPr>
      <w:r>
        <w:t xml:space="preserve">34.10　目标需要变成可观察行动</w:t>
      </w:r>
    </w:p>
    <w:p>
      <w:pPr>
        <w:pStyle w:val="FirstParagraph"/>
      </w:pPr>
      <w:r>
        <w:t xml:space="preserve">“学好这章”表达了方向，但不足以指导当次活动。可以把目标具体化为解释核心机制、比较相近概念、完成某类新题或指出证据边界。清楚的目标使学习者能够判断何时需要调整。</w:t>
      </w:r>
    </w:p>
    <w:p>
      <w:pPr>
        <w:pStyle w:val="BodyText"/>
      </w:pPr>
      <w:r>
        <w:t xml:space="preserve">目标还需要说明使用条件。允许查资料的报告、闭卷论述、现场操作和开放性研究，对知识调用的要求不同。学习计划应使练习形式逐渐接近目标条件，同时保留必要的理解与反馈。</w:t>
      </w:r>
    </w:p>
    <w:p>
      <w:pPr>
        <w:pStyle w:val="BodyText"/>
      </w:pPr>
      <w:r>
        <w:t xml:space="preserve">目标过细也可能使学习碎片化。因此，局部目标应连接到一个更大的知识结构。完成几个术语后，可以要求解释它们如何共同构成机制；完成几个步骤后，可以说明整体程序解决了什么问题。</w:t>
      </w:r>
    </w:p>
    <w:bookmarkEnd w:id="659"/>
    <w:bookmarkStart w:id="660" w:name="sec-34-11"/>
    <w:p>
      <w:pPr>
        <w:pStyle w:val="Heading3"/>
      </w:pPr>
      <w:r>
        <w:t xml:space="preserve">34.11　前瞻、执行与反思</w:t>
      </w:r>
    </w:p>
    <w:p>
      <w:pPr>
        <w:pStyle w:val="FirstParagraph"/>
      </w:pPr>
      <w:r>
        <w:t xml:space="preserve">自我调节学习的循环框架把学习前的目标与计划、学习中的策略与监控、学习后的评价与调整联系起来。每个阶段都会影响下一轮。这个框架适合组织教学支持，具体内容需要落到任务上</w:t>
      </w:r>
      <w:r>
        <w:rPr>
          <w:vertAlign w:val="superscript"/>
        </w:rPr>
        <w:t xml:space="preserve">[</w:t>
      </w:r>
      <w:hyperlink w:anchor="ref-339">
        <w:r>
          <w:rPr>
            <w:rStyle w:val="Hyperlink"/>
            <w:vertAlign w:val="superscript"/>
          </w:rPr>
          <w:t xml:space="preserve">339</w:t>
        </w:r>
      </w:hyperlink>
      <w:r>
        <w:rPr>
          <w:vertAlign w:val="superscript"/>
        </w:rPr>
        <w:t xml:space="preserve">]</w:t>
      </w:r>
      <w:r>
        <w:t xml:space="preserve">。</w:t>
      </w:r>
    </w:p>
    <w:p>
      <w:pPr>
        <w:pStyle w:val="BodyText"/>
      </w:pPr>
      <w:r>
        <w:t xml:space="preserve">前瞻阶段可以估计需要哪些资源和时间；执行阶段可以设置少量检查点，观察是否偏离目标；反思阶段则比较计划与实际结果，找出可修改因素。反思应产生下一步行动，例如缩小任务、补足先备知识或改变练习形式。</w:t>
      </w:r>
    </w:p>
    <w:p>
      <w:pPr>
        <w:pStyle w:val="BodyText"/>
      </w:pPr>
      <w:r>
        <w:t xml:space="preserve">一个循环可以很短。在阅读一段复杂论证之前预测难点，读后重建结构，再检查遗漏并决定下一段如何读。长期项目则需要更长周期，把阶段产物、反馈和时间安排纳入同一循环。</w:t>
      </w:r>
    </w:p>
    <w:bookmarkEnd w:id="660"/>
    <w:bookmarkStart w:id="661" w:name="sec-34-12"/>
    <w:p>
      <w:pPr>
        <w:pStyle w:val="Heading3"/>
      </w:pPr>
      <w:r>
        <w:t xml:space="preserve">34.12　动机与预期价值</w:t>
      </w:r>
    </w:p>
    <w:p>
      <w:pPr>
        <w:pStyle w:val="FirstParagraph"/>
      </w:pPr>
      <w:r>
        <w:t xml:space="preserve">学习者分配努力时，会考虑目标价值、成功可能、时间成本和其他机会。看起来缺乏投入的行为，可能源于对任务用途不清楚、长期失败预期或资源不足。解释动机需要了解实际条件。</w:t>
      </w:r>
    </w:p>
    <w:p>
      <w:pPr>
        <w:pStyle w:val="BodyText"/>
      </w:pPr>
      <w:r>
        <w:t xml:space="preserve">控制预期价值理论把认知控制的投入理解为权衡预期收益与努力成本的决策过程，为研究努力分配提供可检验框架。它不能把复杂教育行为简化为某个脑区的单一价值信号，也不能替代对学习环境的分析</w:t>
      </w:r>
      <w:r>
        <w:rPr>
          <w:vertAlign w:val="superscript"/>
        </w:rPr>
        <w:t xml:space="preserve">[</w:t>
      </w:r>
      <w:hyperlink w:anchor="ref-340">
        <w:r>
          <w:rPr>
            <w:rStyle w:val="Hyperlink"/>
            <w:vertAlign w:val="superscript"/>
          </w:rPr>
          <w:t xml:space="preserve">340</w:t>
        </w:r>
      </w:hyperlink>
      <w:r>
        <w:rPr>
          <w:vertAlign w:val="superscript"/>
        </w:rPr>
        <w:t xml:space="preserve">]</w:t>
      </w:r>
      <w:r>
        <w:t xml:space="preserve">。</w:t>
      </w:r>
    </w:p>
    <w:p>
      <w:pPr>
        <w:pStyle w:val="BodyText"/>
      </w:pPr>
      <w:r>
        <w:t xml:space="preserve">教学上可以让目标用途可见，提供能够产生进步的起点，并展示当前行动与长期目标的关系。价值说明若只有抽象口号，可能难以改变具体选择。真实例子、可完成的任务和可信反馈，更容易让学习者评估投入的意义。</w:t>
      </w:r>
    </w:p>
    <w:bookmarkEnd w:id="661"/>
    <w:bookmarkStart w:id="662" w:name="sec-34-13"/>
    <w:p>
      <w:pPr>
        <w:pStyle w:val="Heading3"/>
      </w:pPr>
      <w:r>
        <w:t xml:space="preserve">34.13　情绪信息与调节行动</w:t>
      </w:r>
    </w:p>
    <w:p>
      <w:pPr>
        <w:pStyle w:val="FirstParagraph"/>
      </w:pPr>
      <w:r>
        <w:t xml:space="preserve">困惑、挫折、好奇和满意可以为学习者提供状态信息，但情绪与知识掌握并不一一对应。困惑可能提示遇到重要矛盾，也可能提示指令含糊；满意可能来自真实理解，也可能来自熟悉感。</w:t>
      </w:r>
    </w:p>
    <w:p>
      <w:pPr>
        <w:pStyle w:val="BodyText"/>
      </w:pPr>
      <w:r>
        <w:t xml:space="preserve">自我调节可以把情绪转换成可检查的问题。感到卡住时，先确定是词义、步骤、关系还是目标不清；感到过于轻松时，尝试在新条件下独立使用；感到疲惫时，检查是否需要休息或调整任务量。这样的行动比对情绪作固定价值判断更具体。</w:t>
      </w:r>
    </w:p>
    <w:p>
      <w:pPr>
        <w:pStyle w:val="BodyText"/>
      </w:pPr>
      <w:r>
        <w:t xml:space="preserve">支持还应包括可获得的帮助。学习者若长期无法找到解释来源，单纯要求更努力反思可能增加负担。教师、同伴、教材和工具应提供清楚求助路径，让监控发现的问题有机会被解决。</w:t>
      </w:r>
    </w:p>
    <w:bookmarkEnd w:id="662"/>
    <w:bookmarkStart w:id="663" w:name="sec-34-14"/>
    <w:p>
      <w:pPr>
        <w:pStyle w:val="Heading3"/>
      </w:pPr>
      <w:r>
        <w:t xml:space="preserve">34.14　求助作为调节策略</w:t>
      </w:r>
    </w:p>
    <w:p>
      <w:pPr>
        <w:pStyle w:val="FirstParagraph"/>
      </w:pPr>
      <w:r>
        <w:t xml:space="preserve">有效求助需要识别障碍、选择合适对象并提出足够具体的问题。直接请求完整答案可以解决当下任务，却可能减少独立构建的机会。提出“我理解到这一步，下一步为什么成立”更容易获得针对关系的解释。</w:t>
      </w:r>
    </w:p>
    <w:p>
      <w:pPr>
        <w:pStyle w:val="BodyText"/>
      </w:pPr>
      <w:r>
        <w:t xml:space="preserve">教师可以示范不同求助形式：请求定义、请求一个例子、请求指出错误位置、请求比较两种方法，或请求核查证据。学习者获得帮助后，应重新完成相关步骤，并检查是否能够独立解释。</w:t>
      </w:r>
    </w:p>
    <w:p>
      <w:pPr>
        <w:pStyle w:val="BodyText"/>
      </w:pPr>
      <w:r>
        <w:t xml:space="preserve">求助还受课堂文化影响。如果提问被视为能力不足，学生可能隐藏困惑。把合理求助视为学习过程的一部分，有助于让错误更早可见。评价仍应区分有支持完成与独立掌握，以便安排后续过渡。</w:t>
      </w:r>
    </w:p>
    <w:bookmarkEnd w:id="663"/>
    <w:bookmarkStart w:id="664" w:name="sec-34-15"/>
    <w:p>
      <w:pPr>
        <w:pStyle w:val="Heading3"/>
      </w:pPr>
      <w:r>
        <w:t xml:space="preserve">34.15　自主选择需要知识支持</w:t>
      </w:r>
    </w:p>
    <w:p>
      <w:pPr>
        <w:pStyle w:val="FirstParagraph"/>
      </w:pPr>
      <w:r>
        <w:t xml:space="preserve">给予学习者选择权，可以使活动更符合个人需求，也可能让其偏向熟悉、容易或看起来高效的方法。自主性与策略质量属于不同维度，需要共同培养。</w:t>
      </w:r>
    </w:p>
    <w:p>
      <w:pPr>
        <w:pStyle w:val="BodyText"/>
      </w:pPr>
      <w:r>
        <w:t xml:space="preserve">关于自我安排学习的研究显示，学习者的选择可以产生益处，也可能因为误判而过早停止或错误分配时间。自主控制的价值依赖监控质量和对学习机制的认识</w:t>
      </w:r>
      <w:r>
        <w:rPr>
          <w:vertAlign w:val="superscript"/>
        </w:rPr>
        <w:t xml:space="preserve">[</w:t>
      </w:r>
      <w:hyperlink w:anchor="ref-341">
        <w:r>
          <w:rPr>
            <w:rStyle w:val="Hyperlink"/>
            <w:vertAlign w:val="superscript"/>
          </w:rPr>
          <w:t xml:space="preserve">341</w:t>
        </w:r>
      </w:hyperlink>
      <w:r>
        <w:rPr>
          <w:vertAlign w:val="superscript"/>
        </w:rPr>
        <w:t xml:space="preserve">]</w:t>
      </w:r>
      <w:r>
        <w:t xml:space="preserve">。</w:t>
      </w:r>
    </w:p>
    <w:p>
      <w:pPr>
        <w:pStyle w:val="BodyText"/>
      </w:pPr>
      <w:r>
        <w:t xml:space="preserve">教师可以提供有限且有依据的选择。例如，学生先完成诊断任务，再在概念解释、案例辨析和独立练习中选择最合适的一项，并说明理由。后续结果用于调整选择。这样，自主决策与证据反馈形成联系。</w:t>
      </w:r>
    </w:p>
    <w:bookmarkEnd w:id="664"/>
    <w:bookmarkStart w:id="665" w:name="sec-34-16"/>
    <w:p>
      <w:pPr>
        <w:pStyle w:val="Heading3"/>
      </w:pPr>
      <w:r>
        <w:t xml:space="preserve">34.16　学习策略教学的证据</w:t>
      </w:r>
    </w:p>
    <w:p>
      <w:pPr>
        <w:pStyle w:val="FirstParagraph"/>
      </w:pPr>
      <w:r>
        <w:t xml:space="preserve">学习策略的教学可以涉及计划、组织、监控、求助和动机管理。它通常是多成分干预，效果不能简单归给某一个口号或一次提醒。</w:t>
      </w:r>
    </w:p>
    <w:p>
      <w:pPr>
        <w:pStyle w:val="BodyText"/>
      </w:pPr>
      <w:r>
        <w:t xml:space="preserve">一项元分析纳入五十八项研究，发现策略教学总体上能够改善学业表现，同时学科和测量工具影响效应。使用干预者自编测验时结果较大，提醒我们同时关注独立测量和真实课程迁移</w:t>
      </w:r>
      <w:r>
        <w:rPr>
          <w:vertAlign w:val="superscript"/>
        </w:rPr>
        <w:t xml:space="preserve">[</w:t>
      </w:r>
      <w:hyperlink w:anchor="ref-342">
        <w:r>
          <w:rPr>
            <w:rStyle w:val="Hyperlink"/>
            <w:vertAlign w:val="superscript"/>
          </w:rPr>
          <w:t xml:space="preserve">342</w:t>
        </w:r>
      </w:hyperlink>
      <w:r>
        <w:rPr>
          <w:vertAlign w:val="superscript"/>
        </w:rPr>
        <w:t xml:space="preserve">]</w:t>
      </w:r>
      <w:r>
        <w:t xml:space="preserve">。</w:t>
      </w:r>
    </w:p>
    <w:p>
      <w:pPr>
        <w:pStyle w:val="BodyText"/>
      </w:pPr>
      <w:r>
        <w:t xml:space="preserve">针对小学阶段的元分析也支持结构化培养自我调节的可能性。年龄较小的学习者通常需要具体示范、外部提示和共同练习，不能只靠抽象要求自行管理全部学习</w:t>
      </w:r>
      <w:r>
        <w:rPr>
          <w:vertAlign w:val="superscript"/>
        </w:rPr>
        <w:t xml:space="preserve">[</w:t>
      </w:r>
      <w:hyperlink w:anchor="ref-343">
        <w:r>
          <w:rPr>
            <w:rStyle w:val="Hyperlink"/>
            <w:vertAlign w:val="superscript"/>
          </w:rPr>
          <w:t xml:space="preserve">343</w:t>
        </w:r>
      </w:hyperlink>
      <w:r>
        <w:rPr>
          <w:vertAlign w:val="superscript"/>
        </w:rPr>
        <w:t xml:space="preserve">]</w:t>
      </w:r>
      <w:r>
        <w:t xml:space="preserve">。</w:t>
      </w:r>
    </w:p>
    <w:bookmarkEnd w:id="665"/>
    <w:bookmarkStart w:id="666" w:name="sec-34-17"/>
    <w:p>
      <w:pPr>
        <w:pStyle w:val="Heading3"/>
      </w:pPr>
      <w:r>
        <w:t xml:space="preserve">34.17　领域知识与通用策略的结合</w:t>
      </w:r>
    </w:p>
    <w:p>
      <w:pPr>
        <w:pStyle w:val="FirstParagraph"/>
      </w:pPr>
      <w:r>
        <w:t xml:space="preserve">“检查答案”是一项通用建议，真正执行需要领域标准。数学检查可以涉及单位、数量级和约束；历史检查涉及来源与时序；科学解释需要区分观察与假设。缺少领域知识时，学习者可能不知道该检查什么。</w:t>
      </w:r>
    </w:p>
    <w:p>
      <w:pPr>
        <w:pStyle w:val="BodyText"/>
      </w:pPr>
      <w:r>
        <w:t xml:space="preserve">因此，策略教学应嵌入学科任务。教师可以展示一份错误答案，并逐步说明如何定位矛盾；让学生使用同一检查过程处理新例子；随后逐渐减少提示。跨学科迁移需要明确指出共享过程与不同标准。</w:t>
      </w:r>
    </w:p>
    <w:p>
      <w:pPr>
        <w:pStyle w:val="BodyText"/>
      </w:pPr>
      <w:r>
        <w:t xml:space="preserve">通用策略的掌握也应通过实际活动检验。能够说出计划、监控和反思三个词，不等于已经能够有效调节。评价可以关注学生是否改变了行动，以及改变是否改善目标表现。</w:t>
      </w:r>
    </w:p>
    <w:bookmarkEnd w:id="666"/>
    <w:bookmarkStart w:id="667" w:name="sec-34-18"/>
    <w:p>
      <w:pPr>
        <w:pStyle w:val="Heading3"/>
      </w:pPr>
      <w:r>
        <w:t xml:space="preserve">34.18　阅读中的监控循环</w:t>
      </w:r>
    </w:p>
    <w:p>
      <w:pPr>
        <w:pStyle w:val="FirstParagraph"/>
      </w:pPr>
      <w:r>
        <w:t xml:space="preserve">阅读前可以明确问题与背景知识，阅读中检查指代、关系和关键论据，阅读后重建主要结构。若重建困难，应返回具体位置，围绕未理解的关系进行有目标的重读。</w:t>
      </w:r>
    </w:p>
    <w:p>
      <w:pPr>
        <w:pStyle w:val="BodyText"/>
      </w:pPr>
      <w:r>
        <w:t xml:space="preserve">一个假设练习让学生读完短文后关闭材料，写出作者结论、两条理由和一个仍不确定的问题。再打开材料核查。若结论正确但理由遗漏，下一轮阅读重点转向论证结构；若理由记住但结论误解，则需要检查整合与概括。</w:t>
      </w:r>
    </w:p>
    <w:p>
      <w:pPr>
        <w:pStyle w:val="BodyText"/>
      </w:pPr>
      <w:r>
        <w:t xml:space="preserve">当文本较长时，可以在完整意义单元之后暂停，避免每一句都打断整体理解。监控频率应与文本难度和当前熟练度匹配，过多检查也可能消耗注意并破坏连贯。</w:t>
      </w:r>
    </w:p>
    <w:bookmarkEnd w:id="667"/>
    <w:bookmarkStart w:id="668" w:name="sec-34-19"/>
    <w:p>
      <w:pPr>
        <w:pStyle w:val="Heading3"/>
      </w:pPr>
      <w:r>
        <w:t xml:space="preserve">34.19　写作中的监控循环</w:t>
      </w:r>
    </w:p>
    <w:p>
      <w:pPr>
        <w:pStyle w:val="FirstParagraph"/>
      </w:pPr>
      <w:r>
        <w:t xml:space="preserve">写作涉及生成内容、组织论证、表达句子和修订。若在每写几个字时同时检查所有标准，可能使生成过程不断中断。分阶段关注不同目标可以降低无关切换。</w:t>
      </w:r>
    </w:p>
    <w:p>
      <w:pPr>
        <w:pStyle w:val="BodyText"/>
      </w:pPr>
      <w:r>
        <w:t xml:space="preserve">一个假设方案先用提纲确认核心问题和证据，再形成初稿，随后分别检查论证完整性、段落关系和语言表达。阶段之间可以返回修正，但每轮重点清楚。评价标准应提供可观察例子，使学生知道何种修改真正改善文本。</w:t>
      </w:r>
    </w:p>
    <w:p>
      <w:pPr>
        <w:pStyle w:val="BodyText"/>
      </w:pPr>
      <w:r>
        <w:t xml:space="preserve">同伴反馈可以帮助发现作者难以察觉的缺口，但作者仍需判断反馈是否合理。最终修订记录可以说明采纳了哪些建议、为何采纳，以及哪些问题仍未解决。这样的说明把写作决策变成可检查的学习产物。</w:t>
      </w:r>
    </w:p>
    <w:bookmarkEnd w:id="668"/>
    <w:bookmarkStart w:id="669" w:name="sec-34-20"/>
    <w:p>
      <w:pPr>
        <w:pStyle w:val="Heading3"/>
      </w:pPr>
      <w:r>
        <w:t xml:space="preserve">34.20　数学中的监控循环</w:t>
      </w:r>
    </w:p>
    <w:p>
      <w:pPr>
        <w:pStyle w:val="FirstParagraph"/>
      </w:pPr>
      <w:r>
        <w:t xml:space="preserve">数学解题前，需要识别条件、目标和可能策略；过程中，需要检查每步是否保持有效关系；完成后，需要检验答案是否满足原题。三个阶段的错误来源不同。</w:t>
      </w:r>
    </w:p>
    <w:p>
      <w:pPr>
        <w:pStyle w:val="BodyText"/>
      </w:pPr>
      <w:r>
        <w:t xml:space="preserve">一个学生可能每步计算都正确，却一开始选错模型。只检查算术无法解决问题。另一个学生模型正确，却在符号操作中失误，则需要局部核查。学习者可以使用错误日志记录错误发生位置及其触发条件。</w:t>
      </w:r>
    </w:p>
    <w:p>
      <w:pPr>
        <w:pStyle w:val="BodyText"/>
      </w:pPr>
      <w:r>
        <w:t xml:space="preserve">错误日志应简短且具有行动性。例如，记录“把百分比变化误作固定增量”，并附一个对比例子；下一次遇到类似题目时先检查关系类型。反复抄写整道题而不标明错误机制，可能花费很多时间却提供较少调节信息。</w:t>
      </w:r>
    </w:p>
    <w:bookmarkEnd w:id="669"/>
    <w:bookmarkStart w:id="670" w:name="sec-34-21"/>
    <w:p>
      <w:pPr>
        <w:pStyle w:val="Heading3"/>
      </w:pPr>
      <w:r>
        <w:t xml:space="preserve">34.21　数字环境中的判断外包</w:t>
      </w:r>
    </w:p>
    <w:p>
      <w:pPr>
        <w:pStyle w:val="FirstParagraph"/>
      </w:pPr>
      <w:r>
        <w:t xml:space="preserve">搜索、自动提示和生成工具可以提供解释，也会改变学习者对自身知识的估计。能够快速找到一个答案，与能够在没有外部提示时组织知识，属于不同能力。使用工具时应明确当前目标。</w:t>
      </w:r>
    </w:p>
    <w:p>
      <w:pPr>
        <w:pStyle w:val="BodyText"/>
      </w:pPr>
      <w:r>
        <w:t xml:space="preserve">若目标是完成需要查证的研究任务，合理使用外部信息具有价值；若目标是形成基础知识，学习者需要保留独立生成和核查环节。工具返回的流畅文本也需要检查来源、逻辑和适用条件，不能把表达完整当作正确性的保证。</w:t>
      </w:r>
    </w:p>
    <w:p>
      <w:pPr>
        <w:pStyle w:val="BodyText"/>
      </w:pPr>
      <w:r>
        <w:t xml:space="preserve">一种可操作流程是先写出自己的问题表征和初步解释，再使用工具比较，最后关闭工具重建修正后的答案。这个流程的价值来自保留判断责任，具体效果仍取决于工具质量和学习者的核查能力。</w:t>
      </w:r>
    </w:p>
    <w:bookmarkEnd w:id="670"/>
    <w:bookmarkStart w:id="671" w:name="sec-34-22"/>
    <w:p>
      <w:pPr>
        <w:pStyle w:val="Heading3"/>
      </w:pPr>
      <w:r>
        <w:t xml:space="preserve">34.22　长期项目中的计划误差</w:t>
      </w:r>
    </w:p>
    <w:p>
      <w:pPr>
        <w:pStyle w:val="FirstParagraph"/>
      </w:pPr>
      <w:r>
        <w:t xml:space="preserve">长期项目需要估计任务量、依赖关系和不确定性。若只按理想执行速度安排，容易遗漏查证、反馈、返工与整合时间。计划应包含阶段产物和可调整空间。</w:t>
      </w:r>
    </w:p>
    <w:p>
      <w:pPr>
        <w:pStyle w:val="BodyText"/>
      </w:pPr>
      <w:r>
        <w:t xml:space="preserve">可以把项目拆成可检查的里程碑，例如完成资料地图、形成问题、写出初步论证、核验证据和修订表达。每个阶段结束后比较预计与实际耗时，并记录主要差异。未来计划由真实记录更新，减少反复使用过于乐观的估计。</w:t>
      </w:r>
    </w:p>
    <w:p>
      <w:pPr>
        <w:pStyle w:val="BodyText"/>
      </w:pPr>
      <w:r>
        <w:t xml:space="preserve">计划也需要停止规则。资料检索何时足以支持当前问题，何时需要补充关键反证，何时应缩小范围，都应有明确标准。没有停止规则可能导致不断收集信息，却迟迟无法形成完整解释。</w:t>
      </w:r>
    </w:p>
    <w:bookmarkEnd w:id="671"/>
    <w:bookmarkStart w:id="672" w:name="sec-34-23"/>
    <w:p>
      <w:pPr>
        <w:pStyle w:val="Heading3"/>
      </w:pPr>
      <w:r>
        <w:t xml:space="preserve">34.23　判断准确与行动合理的区分</w:t>
      </w:r>
    </w:p>
    <w:p>
      <w:pPr>
        <w:pStyle w:val="FirstParagraph"/>
      </w:pPr>
      <w:r>
        <w:t xml:space="preserve">学习者可能准确知道某个任务困难，却因为目标重要而继续投入；也可能准确知道某个细节尚未掌握，却选择先处理更有价值的内容。这些决策不应仅依据是否选择最薄弱项目来评价。</w:t>
      </w:r>
    </w:p>
    <w:p>
      <w:pPr>
        <w:pStyle w:val="BodyText"/>
      </w:pPr>
      <w:r>
        <w:t xml:space="preserve">一个合理决策需要结合状态估计、目标价值、机会成本和可获得支持。元认知准确提供基础，但实际行动还涉及动机与约束。教师应了解选择理由，避免把所有偏离理想日程的行为解释为缺乏自律。</w:t>
      </w:r>
    </w:p>
    <w:p>
      <w:pPr>
        <w:pStyle w:val="BodyText"/>
      </w:pPr>
      <w:r>
        <w:t xml:space="preserve">对于资源有限的学习者，支持可能包括更清楚的材料、更稳定的学习时间和更容易获得的反馈。改进环境能够使已有监控能力转化为行动，不能把全部责任放到个人反思上。</w:t>
      </w:r>
    </w:p>
    <w:bookmarkEnd w:id="672"/>
    <w:bookmarkStart w:id="673" w:name="sec-34-24"/>
    <w:p>
      <w:pPr>
        <w:pStyle w:val="Heading3"/>
      </w:pPr>
      <w:r>
        <w:t xml:space="preserve">34.24　一周学习循环的实例</w:t>
      </w:r>
    </w:p>
    <w:p>
      <w:pPr>
        <w:pStyle w:val="FirstParagraph"/>
      </w:pPr>
      <w:r>
        <w:t xml:space="preserve">以下为假设的单元计划。第一天建立核心概念并记录预期难点；第二天进行短暂独立提取，比较预测与实际；第三天针对最主要错误选择解释或辨析活动；后续安排新案例应用，并检查是否仍需要提示。</w:t>
      </w:r>
    </w:p>
    <w:p>
      <w:pPr>
        <w:pStyle w:val="BodyText"/>
      </w:pPr>
      <w:r>
        <w:t xml:space="preserve">周末回顾只回答几个具体问题：哪些关系已经延迟成功，哪些错误反复出现，哪些策略没有产生预期效果，下一周最需要改变什么。回顾应简短到能够持续完成，并保留代表性答案作为依据。</w:t>
      </w:r>
    </w:p>
    <w:p>
      <w:pPr>
        <w:pStyle w:val="BodyText"/>
      </w:pPr>
      <w:r>
        <w:t xml:space="preserve">如果某种策略有效，就在相近任务中继续使用；如果效果不稳定，检查材料、时间和支持条件；如果明显无效，调整方法并再次观察。这个循环的核心是让学习决策持续接触可检查的表现证据</w:t>
      </w:r>
      <w:r>
        <w:rPr>
          <w:vertAlign w:val="superscript"/>
        </w:rPr>
        <w:t xml:space="preserve">[</w:t>
      </w:r>
      <w:hyperlink w:anchor="ref-344">
        <w:r>
          <w:rPr>
            <w:rStyle w:val="Hyperlink"/>
            <w:vertAlign w:val="superscript"/>
          </w:rPr>
          <w:t xml:space="preserve">344</w:t>
        </w:r>
      </w:hyperlink>
      <w:r>
        <w:rPr>
          <w:vertAlign w:val="superscript"/>
        </w:rPr>
        <w:t xml:space="preserve">]</w:t>
      </w:r>
      <w:r>
        <w:t xml:space="preserve">。</w:t>
      </w:r>
    </w:p>
    <w:bookmarkEnd w:id="673"/>
    <w:bookmarkStart w:id="674" w:name="sec-34-25"/>
    <w:p>
      <w:pPr>
        <w:pStyle w:val="Heading3"/>
      </w:pPr>
      <w:r>
        <w:t xml:space="preserve">34.25　综合练习</w:t>
      </w:r>
    </w:p>
    <w:p>
      <w:pPr>
        <w:pStyle w:val="FirstParagraph"/>
      </w:pPr>
      <w:r>
        <w:t xml:space="preserve">练习一。学生预测自己能答对大多数题，实际只完成一半。参考分析：先查看预测依据和测试要求是否匹配，再检查错误类型。可以让下一轮判断基于关闭材料后的尝试，避免只依据熟悉感。</w:t>
      </w:r>
    </w:p>
    <w:p>
      <w:pPr>
        <w:pStyle w:val="BodyText"/>
      </w:pPr>
      <w:r>
        <w:t xml:space="preserve">练习二。学生总复习最难章节，却很少进步。参考分析：检查是否缺少先备知识、任务是否过大、反馈是否可理解。可先补足接近掌握的基础，再回到复杂目标。持续投入与有效投入需要通过结果连接。</w:t>
      </w:r>
    </w:p>
    <w:p>
      <w:pPr>
        <w:pStyle w:val="BodyText"/>
      </w:pPr>
      <w:r>
        <w:t xml:space="preserve">练习三。学生自评很低，但实际表现稳定。参考分析：需要帮助其利用真实成功证据校准判断，保留后续挑战。元认知教育也包括纠正过低估计，不能只关注过度自信。</w:t>
      </w:r>
    </w:p>
    <w:p>
      <w:pPr>
        <w:pStyle w:val="BodyText"/>
      </w:pPr>
      <w:r>
        <w:t xml:space="preserve">练习四。教师教会学生一套反思表，学生填写完整却没有改变学习。参考分析：检查表格是否引出具体行动，行动是否可执行，之后是否有反馈。反思产物的形式完整不能替代控制过程的实际变化。</w:t>
      </w:r>
    </w:p>
    <w:bookmarkEnd w:id="674"/>
    <w:bookmarkEnd w:id="675"/>
    <w:bookmarkEnd w:id="676"/>
    <w:bookmarkStart w:id="950" w:name="part-4"/>
    <w:p>
      <w:pPr>
        <w:pStyle w:val="Heading1"/>
      </w:pPr>
      <w:r>
        <w:t xml:space="preserve">第四编　工作原理（三）：注意、语言、思维与决策</w:t>
      </w:r>
    </w:p>
    <w:p>
      <w:pPr>
        <w:pStyle w:val="PartIntro"/>
      </w:pPr>
      <w:r>
        <w:t xml:space="preserve">这一编讲注意、语言、推理和决策这些高级认知功能怎样被研究和解释：工作记忆与注意控制，持续注意与走神，多任务的真实代价，知觉中的推断与预测，阅读、双语、数学与概念学习，因果推理与迁移，空间导航，以及价值学习、情绪与审慎思考怎样共同构成决策。</w:t>
      </w:r>
    </w:p>
    <w:bookmarkStart w:id="699" w:name="ch-35"/>
    <w:p>
      <w:pPr>
        <w:pStyle w:val="Heading2"/>
      </w:pPr>
      <w:r>
        <w:t xml:space="preserve">第35章　工作记忆、注意控制与复杂认知</w:t>
      </w:r>
    </w:p>
    <w:bookmarkStart w:id="677" w:name="sec-35-1"/>
    <w:p>
      <w:pPr>
        <w:pStyle w:val="Heading3"/>
      </w:pPr>
      <w:r>
        <w:t xml:space="preserve">35.1　工作记忆所要解释的问题</w:t>
      </w:r>
    </w:p>
    <w:p>
      <w:pPr>
        <w:pStyle w:val="FirstParagraph"/>
      </w:pPr>
      <w:r>
        <w:t xml:space="preserve">阅读一句带有从句的话，需要暂时保留人物、动作和指代关系；计算多步算式，需要记住中间结果，同时执行下一步运算；听取实验要求，需要在接触器材之前维持目标和限制。工作记忆研究关注这些短时间内可用的信息，以及对信息的选择、维持、操作和更新。这里的时间范围由任务决定，几秒钟的保持只是常见实验条件，不能据此划出与其他记忆系统绝对分离的时间边界。</w:t>
      </w:r>
    </w:p>
    <w:p>
      <w:pPr>
        <w:pStyle w:val="BodyText"/>
      </w:pPr>
      <w:r>
        <w:t xml:space="preserve">分析一个工作记忆任务，至少应问四个问题。当前必须保留什么内容；哪些内容已经进入长期知识；下一步操作需要选择哪个表征；哪些干扰可能使目标与材料失去对应。把这四个问题分开，可以解释同样的材料数量为何产生很不相同的困难。例如，记住三个互不相干的字母与同时比较三个人的承诺，涉及的关系结构和目标管理要求相差很大。</w:t>
      </w:r>
    </w:p>
    <w:p>
      <w:pPr>
        <w:pStyle w:val="BodyText"/>
      </w:pPr>
      <w:r>
        <w:t xml:space="preserve">早期多成分框架通过储存任务与推理任务的并行安排，研究保持和加工之间的关系。它推动了对语音保持、视觉空间保持以及控制过程的分别检验。其历史价值在于提供了能够接受实验约束的功能分解；今天仍需比较不同分解对新现象的解释力</w:t>
      </w:r>
      <w:r>
        <w:rPr>
          <w:vertAlign w:val="superscript"/>
        </w:rPr>
        <w:t xml:space="preserve">[</w:t>
      </w:r>
      <w:hyperlink w:anchor="ref-345">
        <w:r>
          <w:rPr>
            <w:rStyle w:val="Hyperlink"/>
            <w:vertAlign w:val="superscript"/>
          </w:rPr>
          <w:t xml:space="preserve">345</w:t>
        </w:r>
      </w:hyperlink>
      <w:r>
        <w:rPr>
          <w:vertAlign w:val="superscript"/>
        </w:rPr>
        <w:t xml:space="preserve">]</w:t>
      </w:r>
      <w:r>
        <w:t xml:space="preserve">。</w:t>
      </w:r>
    </w:p>
    <w:bookmarkEnd w:id="677"/>
    <w:bookmarkStart w:id="678" w:name="sec-35-2"/>
    <w:p>
      <w:pPr>
        <w:pStyle w:val="Heading3"/>
      </w:pPr>
      <w:r>
        <w:t xml:space="preserve">35.2　储存、保持、加工与控制</w:t>
      </w:r>
    </w:p>
    <w:p>
      <w:pPr>
        <w:pStyle w:val="FirstParagraph"/>
      </w:pPr>
      <w:r>
        <w:t xml:space="preserve">储存表示信息能够在适当条件下影响后续反应。保持表示在需要使用之前，让信息继续可用。加工表示改变表征或基于它产生新结果。控制涉及决定哪个目标优先、哪个内容进入处理、何时更新以及何时停止。四个术语指向不同分析角度，现实活动常同时包含多个过程。</w:t>
      </w:r>
    </w:p>
    <w:p>
      <w:pPr>
        <w:pStyle w:val="BodyText"/>
      </w:pPr>
      <w:r>
        <w:t xml:space="preserve">以心算二十七加三十八为例，可以暂存两个数，把个位相加，保留进位，再处理十位。如果学习者把每个步骤写下来，内部保持需求降低，运算规则需求仍然存在。若一个学生懂加法但总是忘记进位，辅助记录可能很有帮助；若他尚未理解位值制，单纯减少保持负担无法补足概念。这是从任务结构推导出的教学判断，具体效果还需要在相应学习者和课程中检验。</w:t>
      </w:r>
    </w:p>
    <w:p>
      <w:pPr>
        <w:pStyle w:val="BodyText"/>
      </w:pPr>
      <w:r>
        <w:t xml:space="preserve">保持也有主动与被动状态之分。脑中当前正在复述的电话号码具有很高的可访问性，刚刚看过但暂时没有关注的图形也可能在稍后重新成为操作对象。可访问程度、注意优先级与信息是否仍然存在，需要分别测量。一次未能立即报告并不能独立确定信息已经彻底消失。</w:t>
      </w:r>
    </w:p>
    <w:bookmarkEnd w:id="678"/>
    <w:bookmarkStart w:id="679" w:name="sec-35-3"/>
    <w:p>
      <w:pPr>
        <w:pStyle w:val="Heading3"/>
      </w:pPr>
      <w:r>
        <w:t xml:space="preserve">35.3　多成分框架与整合问题</w:t>
      </w:r>
    </w:p>
    <w:p>
      <w:pPr>
        <w:pStyle w:val="FirstParagraph"/>
      </w:pPr>
      <w:r>
        <w:t xml:space="preserve">语音环路用于描述与言语材料短时保持有关的功能，视觉空间成分用于描述视觉形态和空间关系的保持，中央执行成分处理目标与协调。这些术语有助于提出双任务干扰的预测。例如，如果两个活动高度依赖相近的编码与反应过程，它们可能产生较强干扰；具体干扰仍取决于时间安排和策略。</w:t>
      </w:r>
    </w:p>
    <w:p>
      <w:pPr>
        <w:pStyle w:val="BodyText"/>
      </w:pPr>
      <w:r>
        <w:t xml:space="preserve">情景缓冲的提出，回应了一个整合难题：短时任务中可以保持来自不同通道且与长期知识相关的结构化内容。一个故事片段包含语词、人物、场景和关系，难以仅靠彼此孤立的材料清单描述。该模型把整合作为需要解释的功能，但模型中的一个盒子并不自动对应一个独立解剖区域</w:t>
      </w:r>
      <w:r>
        <w:rPr>
          <w:vertAlign w:val="superscript"/>
        </w:rPr>
        <w:t xml:space="preserve">[</w:t>
      </w:r>
      <w:hyperlink w:anchor="ref-346">
        <w:r>
          <w:rPr>
            <w:rStyle w:val="Hyperlink"/>
            <w:vertAlign w:val="superscript"/>
          </w:rPr>
          <w:t xml:space="preserve">346</w:t>
        </w:r>
      </w:hyperlink>
      <w:r>
        <w:rPr>
          <w:vertAlign w:val="superscript"/>
        </w:rPr>
        <w:t xml:space="preserve">]</w:t>
      </w:r>
      <w:r>
        <w:t xml:space="preserve">。</w:t>
      </w:r>
    </w:p>
    <w:p>
      <w:pPr>
        <w:pStyle w:val="BodyText"/>
      </w:pPr>
      <w:r>
        <w:t xml:space="preserve">教学中的合理使用方式是分析表征需求。几何证明要求空间图形与语言命题相互对应，实验报告要求把观察、条件与解释联系起来。若教师只增加图像而没有明确图文映射，额外通道可能增加选择和整合工作。判断一种呈现是否有效，要看它是否减少了任务无关操作，是否支持学习者建立正确关系。</w:t>
      </w:r>
    </w:p>
    <w:bookmarkEnd w:id="679"/>
    <w:bookmarkStart w:id="680" w:name="sec-35-4"/>
    <w:p>
      <w:pPr>
        <w:pStyle w:val="Heading3"/>
      </w:pPr>
      <w:r>
        <w:t xml:space="preserve">35.4　注意焦点与激活的知识</w:t>
      </w:r>
    </w:p>
    <w:p>
      <w:pPr>
        <w:pStyle w:val="FirstParagraph"/>
      </w:pPr>
      <w:r>
        <w:t xml:space="preserve">另一类理论强调长期记忆中暂时获得较高可访问性的内容，以及其中进入注意焦点的部分。这个视角提醒我们，当前加工离不开已有知识。面对熟悉的算式，学习者可以调用成套规则；面对陌生符号，相同视觉长度可能需要逐项保持。</w:t>
      </w:r>
    </w:p>
    <w:p>
      <w:pPr>
        <w:pStyle w:val="BodyText"/>
      </w:pPr>
      <w:r>
        <w:t xml:space="preserve">注意一词具有多种用法。它可以指有限加工能力，也可以指对目标信息的优先选择，还可以指在时间上维持任务参与。把所有用法合并成一种单一的通用加工资源，会使解释难以检验。工作记忆与注意关系的概念综述强调，资源分配和信息选择需要在实验中分别操作化</w:t>
      </w:r>
      <w:r>
        <w:rPr>
          <w:vertAlign w:val="superscript"/>
        </w:rPr>
        <w:t xml:space="preserve">[</w:t>
      </w:r>
      <w:hyperlink w:anchor="ref-347">
        <w:r>
          <w:rPr>
            <w:rStyle w:val="Hyperlink"/>
            <w:vertAlign w:val="superscript"/>
          </w:rPr>
          <w:t xml:space="preserve">347</w:t>
        </w:r>
      </w:hyperlink>
      <w:r>
        <w:rPr>
          <w:vertAlign w:val="superscript"/>
        </w:rPr>
        <w:t xml:space="preserve">]</w:t>
      </w:r>
      <w:r>
        <w:t xml:space="preserve">。</w:t>
      </w:r>
    </w:p>
    <w:p>
      <w:pPr>
        <w:pStyle w:val="BodyText"/>
      </w:pPr>
      <w:r>
        <w:t xml:space="preserve">假设一名学生能够保持五个词，却总在需要改变规则时继续使用旧规则。困难可能出现在目标更新或干扰控制。另一名学生能及时切换规则，却在比较多个关系时遗漏一个条件。两者可能得到相近的总分，却需要不同支持。这个例子说明，总分适用于概括，过程分析适用于定位当前任务的障碍。</w:t>
      </w:r>
    </w:p>
    <w:bookmarkEnd w:id="680"/>
    <w:bookmarkStart w:id="681" w:name="sec-35-5"/>
    <w:p>
      <w:pPr>
        <w:pStyle w:val="Heading3"/>
      </w:pPr>
      <w:r>
        <w:t xml:space="preserve">35.5　简单广度与复杂广度</w:t>
      </w:r>
    </w:p>
    <w:p>
      <w:pPr>
        <w:pStyle w:val="FirstParagraph"/>
      </w:pPr>
      <w:r>
        <w:t xml:space="preserve">简单广度任务要求保持并按一定次序报告数字、词语或位置。复杂广度任务在保持项目之间加入加工活动，例如判断句子是否合理，同时保留指定词语。两类任务都需要理解规则、编码、保持与输出，只是各过程的负担不同。</w:t>
      </w:r>
    </w:p>
    <w:p>
      <w:pPr>
        <w:pStyle w:val="BodyText"/>
      </w:pPr>
      <w:r>
        <w:t xml:space="preserve">阅读广度研究把句子加工和材料保持结合起来，发现任务表现与阅读理解相关。作为研究史上的关键起点，它展示了如何让测试更接近日常理解中的保持与加工要求。相关关系受到语言知识、策略和测量可靠性等因素共同影响；练习阅读广度任务是否提高真实阅读理解，需要另行验证</w:t>
      </w:r>
      <w:r>
        <w:rPr>
          <w:vertAlign w:val="superscript"/>
        </w:rPr>
        <w:t xml:space="preserve">[</w:t>
      </w:r>
      <w:hyperlink w:anchor="ref-348">
        <w:r>
          <w:rPr>
            <w:rStyle w:val="Hyperlink"/>
            <w:vertAlign w:val="superscript"/>
          </w:rPr>
          <w:t xml:space="preserve">348</w:t>
        </w:r>
      </w:hyperlink>
      <w:r>
        <w:rPr>
          <w:vertAlign w:val="superscript"/>
        </w:rPr>
        <w:t xml:space="preserve">]</w:t>
      </w:r>
      <w:r>
        <w:t xml:space="preserve">。</w:t>
      </w:r>
    </w:p>
    <w:p>
      <w:pPr>
        <w:pStyle w:val="BodyText"/>
      </w:pPr>
      <w:r>
        <w:t xml:space="preserve">设计课堂观察时，可以把指令长度与规则复杂度分开。先保持规则不变，仅增加要记住的对象，再保持对象数量不变，增加条件判断。若表现只在第二种变化中明显下降，就应重点检查规则理解和关系整合。这样的分析比直接宣布某个学生容量偏小更有解释价值，也更容易指向可实施的教学调整。</w:t>
      </w:r>
    </w:p>
    <w:bookmarkEnd w:id="681"/>
    <w:bookmarkStart w:id="682" w:name="sec-35-6"/>
    <w:p>
      <w:pPr>
        <w:pStyle w:val="Heading3"/>
      </w:pPr>
      <w:r>
        <w:t xml:space="preserve">35.6　更新任务测量什么</w:t>
      </w:r>
    </w:p>
    <w:p>
      <w:pPr>
        <w:pStyle w:val="FirstParagraph"/>
      </w:pPr>
      <w:r>
        <w:t xml:space="preserve">更新任务要求连续纳入新信息并处理旧信息。例如，听取一串数字后报告最后三个，需要持续确定哪些项目仍然相关。n回溯任务则要求判断当前刺激是否与前面第n个相同。两者涉及保持和更新，仍存在目标组织、时间顺序、熟悉感与反应策略方面的差异。</w:t>
      </w:r>
    </w:p>
    <w:p>
      <w:pPr>
        <w:pStyle w:val="BodyText"/>
      </w:pPr>
      <w:r>
        <w:t xml:space="preserve">一个人可以通过记住局部模式改进某种更新任务，也可以通过更有效地标记位置来减少混淆。这种提高并不自动说明所有工作记忆机制同时改善。理解训练效果，需要查看新任务是否共享刺激结构、时序、决策规则和练习策略。关于训练与迁移的证据，应与具体测量保持对应</w:t>
      </w:r>
      <w:r>
        <w:rPr>
          <w:vertAlign w:val="superscript"/>
        </w:rPr>
        <w:t xml:space="preserve">[</w:t>
      </w:r>
      <w:hyperlink w:anchor="ref-349">
        <w:r>
          <w:rPr>
            <w:rStyle w:val="Hyperlink"/>
            <w:vertAlign w:val="superscript"/>
          </w:rPr>
          <w:t xml:space="preserve">349</w:t>
        </w:r>
      </w:hyperlink>
      <w:r>
        <w:rPr>
          <w:vertAlign w:val="superscript"/>
        </w:rPr>
        <w:t xml:space="preserve">]</w:t>
      </w:r>
      <w:r>
        <w:t xml:space="preserve">。</w:t>
      </w:r>
    </w:p>
    <w:p>
      <w:pPr>
        <w:pStyle w:val="BodyText"/>
      </w:pPr>
      <w:r>
        <w:t xml:space="preserve">在教学评价中，可以记录错误类型。报告倒数第二项提示位置选择错误；把当前项与很早的熟悉项混淆提示时间标记不足；遗漏所有项目可能涉及任务脱离或编码失败。对错误进行有原则的分类，可以产生更精细的支持方案。若错误分类缺乏重复测量可靠性，则只能作为探索线索。</w:t>
      </w:r>
    </w:p>
    <w:bookmarkEnd w:id="682"/>
    <w:bookmarkStart w:id="683" w:name="sec-35-7"/>
    <w:p>
      <w:pPr>
        <w:pStyle w:val="Heading3"/>
      </w:pPr>
      <w:r>
        <w:t xml:space="preserve">35.7　容量数字的适用条件</w:t>
      </w:r>
    </w:p>
    <w:p>
      <w:pPr>
        <w:pStyle w:val="FirstParagraph"/>
      </w:pPr>
      <w:r>
        <w:t xml:space="preserve">短时容量常以组块数量描述。组块是对当前学习者具有组织意义的单元，其大小随知识而变化。熟悉的日期可以成为一个组块，陌生数字可能逐个占用处理。材料表面上的字符数，因此不能直接换算成恒定心理单位。</w:t>
      </w:r>
    </w:p>
    <w:p>
      <w:pPr>
        <w:pStyle w:val="BodyText"/>
      </w:pPr>
      <w:r>
        <w:t xml:space="preserve">关于约四个组块的经典论证，强调限制复述和重新组织后所得到的容量估计。这个估计依赖材料、任务与组块定义，适合帮助研究者提出边界条件。它不能直接规定每张幻灯片只能放四个元素，也不能推导任何人只能理解四个概念</w:t>
      </w:r>
      <w:r>
        <w:rPr>
          <w:vertAlign w:val="superscript"/>
        </w:rPr>
        <w:t xml:space="preserve">[</w:t>
      </w:r>
      <w:hyperlink w:anchor="ref-350">
        <w:r>
          <w:rPr>
            <w:rStyle w:val="Hyperlink"/>
            <w:vertAlign w:val="superscript"/>
          </w:rPr>
          <w:t xml:space="preserve">350</w:t>
        </w:r>
      </w:hyperlink>
      <w:r>
        <w:rPr>
          <w:vertAlign w:val="superscript"/>
        </w:rPr>
        <w:t xml:space="preserve">]</w:t>
      </w:r>
      <w:r>
        <w:t xml:space="preserve">。</w:t>
      </w:r>
    </w:p>
    <w:p>
      <w:pPr>
        <w:pStyle w:val="BodyText"/>
      </w:pPr>
      <w:r>
        <w:t xml:space="preserve">在教学设计中，更可操作的问题是：学生必须同时协调多少个尚未整合的关系。如果一个方程变形需要跟踪等式两边、符号变化和运算顺序，初学者面临的负担可能很高；有经验者已把部分过程组织为可直接调用的规则。减少同时变化的关系、提供中间状态和先解释规则，可以让需求与现有知识更好匹配。</w:t>
      </w:r>
    </w:p>
    <w:bookmarkEnd w:id="683"/>
    <w:bookmarkStart w:id="684" w:name="sec-35-8"/>
    <w:p>
      <w:pPr>
        <w:pStyle w:val="Heading3"/>
      </w:pPr>
      <w:r>
        <w:t xml:space="preserve">35.8　客体数量与表征精度</w:t>
      </w:r>
    </w:p>
    <w:p>
      <w:pPr>
        <w:pStyle w:val="FirstParagraph"/>
      </w:pPr>
      <w:r>
        <w:t xml:space="preserve">视觉变化检测通常呈现若干客体，经过短暂延迟，再判断颜色或位置是否改变。经典实验支持在特定条件下以整合客体描述视觉保持的限制。这为容量模型提供了重要证据，但任务中的正确率还受变化大小、猜测、知觉编码与决策标准影响</w:t>
      </w:r>
      <w:r>
        <w:rPr>
          <w:vertAlign w:val="superscript"/>
        </w:rPr>
        <w:t xml:space="preserve">[</w:t>
      </w:r>
      <w:hyperlink w:anchor="ref-351">
        <w:r>
          <w:rPr>
            <w:rStyle w:val="Hyperlink"/>
            <w:vertAlign w:val="superscript"/>
          </w:rPr>
          <w:t xml:space="preserve">351</w:t>
        </w:r>
      </w:hyperlink>
      <w:r>
        <w:rPr>
          <w:vertAlign w:val="superscript"/>
        </w:rPr>
        <w:t xml:space="preserve">]</w:t>
      </w:r>
      <w:r>
        <w:t xml:space="preserve">。</w:t>
      </w:r>
    </w:p>
    <w:p>
      <w:pPr>
        <w:pStyle w:val="BodyText"/>
      </w:pPr>
      <w:r>
        <w:t xml:space="preserve">连续报告任务要求在颜色环或方向范围中报告记忆值，使误差成为连续量。相关实验显示，优先级和资源分配可以影响表征精度。研究因此需要同时解释记住多少，以及每个内容记得多精确</w:t>
      </w:r>
      <w:r>
        <w:rPr>
          <w:vertAlign w:val="superscript"/>
        </w:rPr>
        <w:t xml:space="preserve">[</w:t>
      </w:r>
      <w:hyperlink w:anchor="ref-352">
        <w:r>
          <w:rPr>
            <w:rStyle w:val="Hyperlink"/>
            <w:vertAlign w:val="superscript"/>
          </w:rPr>
          <w:t xml:space="preserve">352</w:t>
        </w:r>
      </w:hyperlink>
      <w:r>
        <w:rPr>
          <w:vertAlign w:val="superscript"/>
        </w:rPr>
        <w:t xml:space="preserve">]</w:t>
      </w:r>
      <w:r>
        <w:t xml:space="preserve">。</w:t>
      </w:r>
    </w:p>
    <w:p>
      <w:pPr>
        <w:pStyle w:val="BodyText"/>
      </w:pPr>
      <w:r>
        <w:t xml:space="preserve">假设两个学习者都能辨认三幅图属于哪种类别，其中一人还能准确报告图中线段方向，另一人只能报告大致倾斜。若只问类别，两者表现相同；若要求精确临摹，差异明显。测量结局决定我们能观察到哪一类限制。教育中的理解、辨认、近似估算和精确执行，也应分别设定达标标准。</w:t>
      </w:r>
    </w:p>
    <w:bookmarkEnd w:id="684"/>
    <w:bookmarkStart w:id="685" w:name="sec-35-9"/>
    <w:p>
      <w:pPr>
        <w:pStyle w:val="Heading3"/>
      </w:pPr>
      <w:r>
        <w:t xml:space="preserve">35.9　槽位、资源与噪声模型</w:t>
      </w:r>
    </w:p>
    <w:p>
      <w:pPr>
        <w:pStyle w:val="FirstParagraph"/>
      </w:pPr>
      <w:r>
        <w:t xml:space="preserve">离散容量模型强调某些项目得到储存，另一些项目未获得相同储存机会。连续资源模型强调有限精度在项目之间分配，项目增加后通常需要在数量和精确度之间权衡。具体模型可以允许多个状态、可变精度、非均匀分配或混合机制。</w:t>
      </w:r>
    </w:p>
    <w:p>
      <w:pPr>
        <w:pStyle w:val="BodyText"/>
      </w:pPr>
      <w:r>
        <w:t xml:space="preserve">资源观点的代表性综述指出，把噪声和连续误差纳入分析，有助于解释传统总分没有揭示的变化。该观点具有明确的理论立场，模型比较仍需要检验其对完整误差分布和新实验的预测</w:t>
      </w:r>
      <w:r>
        <w:rPr>
          <w:vertAlign w:val="superscript"/>
        </w:rPr>
        <w:t xml:space="preserve">[</w:t>
      </w:r>
      <w:hyperlink w:anchor="ref-353">
        <w:r>
          <w:rPr>
            <w:rStyle w:val="Hyperlink"/>
            <w:vertAlign w:val="superscript"/>
          </w:rPr>
          <w:t xml:space="preserve">353</w:t>
        </w:r>
      </w:hyperlink>
      <w:r>
        <w:rPr>
          <w:vertAlign w:val="superscript"/>
        </w:rPr>
        <w:t xml:space="preserve">]</w:t>
      </w:r>
      <w:r>
        <w:t xml:space="preserve">。</w:t>
      </w:r>
    </w:p>
    <w:p>
      <w:pPr>
        <w:pStyle w:val="BodyText"/>
      </w:pPr>
      <w:r>
        <w:t xml:space="preserve">可以用一个教学性的模型比较理解这个问题。模型甲假定每次最多完整保存三项，其他项目靠猜测；模型乙假定所有项目都获得表征，但数量增加时每项误差变大。如果只统计粗略变化是否被发现，两者可能给出相似预测。加入细小变化、连续报告和优先级操纵，才有机会区分它们。复杂模型若通过更多参数改善拟合，还需检验预测新数据的能力。</w:t>
      </w:r>
    </w:p>
    <w:bookmarkEnd w:id="685"/>
    <w:bookmarkStart w:id="686" w:name="sec-35-10"/>
    <w:p>
      <w:pPr>
        <w:pStyle w:val="Heading3"/>
      </w:pPr>
      <w:r>
        <w:t xml:space="preserve">35.10　绑定错误与交换错误</w:t>
      </w:r>
    </w:p>
    <w:p>
      <w:pPr>
        <w:pStyle w:val="FirstParagraph"/>
      </w:pPr>
      <w:r>
        <w:t xml:space="preserve">记住某个特征与记住它属于哪个对象，是两个可分辨的问题。学生可能记得实验使用红色和蓝色溶液，却把两种溶液对应的处理条件调换；可能记得两个人的观点，却张冠李戴。这类错误涉及特征与对象、对象与位置、内容与来源之间的绑定。</w:t>
      </w:r>
    </w:p>
    <w:p>
      <w:pPr>
        <w:pStyle w:val="BodyText"/>
      </w:pPr>
      <w:r>
        <w:t xml:space="preserve">一个颜色报告偏向另一个已呈现对象的颜色，可以被建模为交换错误。它与随机猜测的行为分布可能不同，但对具体分布的解释还取决于刺激相似性和测量精度。课堂上不能仅凭一次错配判定某种神经机制异常。更稳妥的做法是查看错误是否集中发生在需要同时维护多个对应关系的任务。</w:t>
      </w:r>
    </w:p>
    <w:p>
      <w:pPr>
        <w:pStyle w:val="BodyText"/>
      </w:pPr>
      <w:r>
        <w:t xml:space="preserve">外部表格可以支持关系保持。实验设计表把条件、操作和预期结果放在明确对应的位置；代数步骤把变形理由写在相邻栏；历史比较表把事件、时间和证据来源分别标注。这样的工具把隐含关系显式化，其价值在于支持准确组织。工具撤除后的独立表现，决定相关关系是否已被学习者掌握。</w:t>
      </w:r>
    </w:p>
    <w:bookmarkEnd w:id="686"/>
    <w:bookmarkStart w:id="687" w:name="sec-35-11"/>
    <w:p>
      <w:pPr>
        <w:pStyle w:val="Heading3"/>
      </w:pPr>
      <w:r>
        <w:t xml:space="preserve">35.11　更新门控与干扰管理</w:t>
      </w:r>
    </w:p>
    <w:p>
      <w:pPr>
        <w:pStyle w:val="FirstParagraph"/>
      </w:pPr>
      <w:r>
        <w:t xml:space="preserve">有效工作记忆需要平衡稳定与灵活。当前目标应在无关信息到来时继续有效，相关变化出现时又必须及时更新。过度稳定会保留过时规则，过度更新会让目标被偶然刺激替换。门控是描述这种选择性进入和更新的功能术语，不必假定所有任务使用同一种具体神经机制。</w:t>
      </w:r>
    </w:p>
    <w:p>
      <w:pPr>
        <w:pStyle w:val="BodyText"/>
      </w:pPr>
      <w:r>
        <w:t xml:space="preserve">在一个假设的实验中，被试持续记录公交线路的最近目的地。屏幕上同时出现广告文字和真正的改线通知。需要检验的能力包括识别通知来源、判断相关性、更新目的地以及抑制广告干扰。若被试未理解通知图标，表现下降可以发生在早期识别；若理解图标却仍报告旧目的地，才更支持更新环节的问题。</w:t>
      </w:r>
    </w:p>
    <w:p>
      <w:pPr>
        <w:pStyle w:val="BodyText"/>
      </w:pPr>
      <w:r>
        <w:t xml:space="preserve">教学材料应帮助学生辨认变化的性质。更换题目数字、改变问题目标、加入例外条件与更换解题方法，会产生不同更新需求。教师明确说明哪一部分保持有效、哪一部分需要重新判断，可以降低无关的规则猜测。长期目标仍然是学生能够自行识别条件变化。</w:t>
      </w:r>
    </w:p>
    <w:bookmarkEnd w:id="687"/>
    <w:bookmarkStart w:id="688" w:name="sec-35-12"/>
    <w:p>
      <w:pPr>
        <w:pStyle w:val="Heading3"/>
      </w:pPr>
      <w:r>
        <w:t xml:space="preserve">35.12　衰减、干扰与时间</w:t>
      </w:r>
    </w:p>
    <w:p>
      <w:pPr>
        <w:pStyle w:val="FirstParagraph"/>
      </w:pPr>
      <w:r>
        <w:t xml:space="preserve">保持时间越长，表现有时越差。单凭这一模式，无法确定信息只是随时间自动消退，因为更长时间也可能容纳更多干扰、注意转移与策略变化。识别时间机制，需要比较延迟期间的活动、材料相似度和复述机会。</w:t>
      </w:r>
    </w:p>
    <w:p>
      <w:pPr>
        <w:pStyle w:val="BodyText"/>
      </w:pPr>
      <w:r>
        <w:t xml:space="preserve">假设两组学习者都等待十秒。第一组安静等待，第二组判断与目标相似的词。若第二组更差，结果支持延迟期间活动的重要性，却仍需进一步区分编码干扰、提取竞争和控制负担。若两组相同，也不能证明全部干扰机制不存在，任务可能太容易或测量不够敏感。</w:t>
      </w:r>
    </w:p>
    <w:p>
      <w:pPr>
        <w:pStyle w:val="BodyText"/>
      </w:pPr>
      <w:r>
        <w:t xml:space="preserve">教育应用中，减少无关打断、把关键中间结果写下来、在任务切换后重申目标，具有清楚的任务逻辑。把所有遗忘都归结为固定几秒钟的自然衰减，会遗漏知识不足、线索缺失和关系混淆。教学设计应围绕实际信息流寻找最可能失效的环节。</w:t>
      </w:r>
    </w:p>
    <w:bookmarkEnd w:id="688"/>
    <w:bookmarkStart w:id="689" w:name="sec-35-13"/>
    <w:p>
      <w:pPr>
        <w:pStyle w:val="Heading3"/>
      </w:pPr>
      <w:r>
        <w:t xml:space="preserve">35.13　神经活动与潜在状态</w:t>
      </w:r>
    </w:p>
    <w:p>
      <w:pPr>
        <w:pStyle w:val="FirstParagraph"/>
      </w:pPr>
      <w:r>
        <w:t xml:space="preserve">在一些实验中，延迟期持续的神经活动与待保持内容有关。动态编码框架进一步提出，信息的保持可以涉及随时间变化的活动模式，以及短时改变的网络状态。不同任务和记忆优先级可能使这些机制以不同方式组合</w:t>
      </w:r>
      <w:r>
        <w:rPr>
          <w:vertAlign w:val="superscript"/>
        </w:rPr>
        <w:t xml:space="preserve">[</w:t>
      </w:r>
      <w:hyperlink w:anchor="ref-354">
        <w:r>
          <w:rPr>
            <w:rStyle w:val="Hyperlink"/>
            <w:vertAlign w:val="superscript"/>
          </w:rPr>
          <w:t xml:space="preserve">354</w:t>
        </w:r>
      </w:hyperlink>
      <w:r>
        <w:rPr>
          <w:vertAlign w:val="superscript"/>
        </w:rPr>
        <w:t xml:space="preserve">]</w:t>
      </w:r>
      <w:r>
        <w:t xml:space="preserve">。</w:t>
      </w:r>
    </w:p>
    <w:p>
      <w:pPr>
        <w:pStyle w:val="BodyText"/>
      </w:pPr>
      <w:r>
        <w:t xml:space="preserve">潜在工作记忆再激活研究发现，某些暂时不受注意但仍与任务有关的内容，在扰动后可以重新出现可解码信号。此类结果支持把当前可解码性与后续可访问性分开。它们没有独立证明全部保持都依赖某一种突触过程，也没有证明解码失败期间绝对不存在相关活动</w:t>
      </w:r>
      <w:r>
        <w:rPr>
          <w:vertAlign w:val="superscript"/>
        </w:rPr>
        <w:t xml:space="preserve">[</w:t>
      </w:r>
      <w:hyperlink w:anchor="ref-355">
        <w:r>
          <w:rPr>
            <w:rStyle w:val="Hyperlink"/>
            <w:vertAlign w:val="superscript"/>
          </w:rPr>
          <w:t xml:space="preserve">355</w:t>
        </w:r>
      </w:hyperlink>
      <w:r>
        <w:rPr>
          <w:vertAlign w:val="superscript"/>
        </w:rPr>
        <w:t xml:space="preserve">]</w:t>
      </w:r>
      <w:r>
        <w:t xml:space="preserve">。</w:t>
      </w:r>
    </w:p>
    <w:p>
      <w:pPr>
        <w:pStyle w:val="BodyText"/>
      </w:pPr>
      <w:r>
        <w:t xml:space="preserve">这一区分有助于避免把脑图像当作记忆库存表。某个时间点分类器未能识别内容，可能涉及编码格式变化、信噪比、空间采样或训练数据限制。神经机制解释需要与后续行为、时间结构和因果干预相互约束。教学者不能根据某个脑区短暂激活较弱就断定学生没有在思考。</w:t>
      </w:r>
    </w:p>
    <w:bookmarkEnd w:id="689"/>
    <w:bookmarkStart w:id="690" w:name="sec-35-14"/>
    <w:p>
      <w:pPr>
        <w:pStyle w:val="Heading3"/>
      </w:pPr>
      <w:r>
        <w:t xml:space="preserve">35.14　长期知识如何改变在线要求</w:t>
      </w:r>
    </w:p>
    <w:p>
      <w:pPr>
        <w:pStyle w:val="FirstParagraph"/>
      </w:pPr>
      <w:r>
        <w:t xml:space="preserve">知识可以通过压缩、预测和快速提取改变工作记忆需求。懂语法的人可以把一句话组织成层级结构，熟悉电路的人可以把若干元件视为一个功能模块。这种组织减少了需要逐项追踪的内容，同时也可能引入已有知识造成的偏差。</w:t>
      </w:r>
    </w:p>
    <w:p>
      <w:pPr>
        <w:pStyle w:val="BodyText"/>
      </w:pPr>
      <w:r>
        <w:t xml:space="preserve">个体差异的一类理论把主动维持与从较长期记忆中受控搜索结合起来，解释复杂任务中的表现。这个视角说明，任务成绩可以同时受到当前保持和提取效率影响。它也提示，建立组织良好的领域知识可能改变复杂任务的负担</w:t>
      </w:r>
      <w:r>
        <w:rPr>
          <w:vertAlign w:val="superscript"/>
        </w:rPr>
        <w:t xml:space="preserve">[</w:t>
      </w:r>
      <w:hyperlink w:anchor="ref-356">
        <w:r>
          <w:rPr>
            <w:rStyle w:val="Hyperlink"/>
            <w:vertAlign w:val="superscript"/>
          </w:rPr>
          <w:t xml:space="preserve">356</w:t>
        </w:r>
      </w:hyperlink>
      <w:r>
        <w:rPr>
          <w:vertAlign w:val="superscript"/>
        </w:rPr>
        <w:t xml:space="preserve">]</w:t>
      </w:r>
      <w:r>
        <w:t xml:space="preserve">。</w:t>
      </w:r>
    </w:p>
    <w:p>
      <w:pPr>
        <w:pStyle w:val="BodyText"/>
      </w:pPr>
      <w:r>
        <w:t xml:space="preserve">以学习化学方程式为例，完全陌生的学生可能逐个记住符号；掌握元素、价态和守恒关系后，可以利用结构检查与补全。这里的改善具有领域依赖性。熟悉化学不能自动保证对陌生音乐符号同样熟练。跨领域迁移需要共享关系、可用表征或经过练习的策略桥梁。</w:t>
      </w:r>
    </w:p>
    <w:bookmarkEnd w:id="690"/>
    <w:bookmarkStart w:id="691" w:name="sec-35-15"/>
    <w:p>
      <w:pPr>
        <w:pStyle w:val="Heading3"/>
      </w:pPr>
      <w:r>
        <w:t xml:space="preserve">35.15　阅读理解中的信息维持</w:t>
      </w:r>
    </w:p>
    <w:p>
      <w:pPr>
        <w:pStyle w:val="FirstParagraph"/>
      </w:pPr>
      <w:r>
        <w:t xml:space="preserve">理解长句涉及识别词语、建立句法关系、解析指代和整合语篇信息。一个长句对初学者很难，可能因为词义识别缓慢，也可能因为关系嵌套较多。把原因全部归到容量数字，会掩盖可教学的具体知识。</w:t>
      </w:r>
    </w:p>
    <w:p>
      <w:pPr>
        <w:pStyle w:val="BodyText"/>
      </w:pPr>
      <w:r>
        <w:t xml:space="preserve">假设句子包含三个人物和两个时间点。教师可以先要求学生指出每个代词对应谁，再要求重述事件顺序，最后回答因果问题。若指代准确而因果解释错误，重点应转向语篇推理；若最早人物信息不断丢失，可以使用简短外部标记支持整合。支持措施的选择来自错误结构，最终仍需回到连续文本检验理解。</w:t>
      </w:r>
    </w:p>
    <w:p>
      <w:pPr>
        <w:pStyle w:val="BodyText"/>
      </w:pPr>
      <w:r>
        <w:t xml:space="preserve">朗读、画关系图、分段提问与重述，各自改变了不同加工要求。朗读可能帮助维持语音顺序，也可能增加发音负担；图示可以外化人物关系，也可能在图过复杂时增加搜索成本。教学方案应先确定目标，再选择能支持目标的表征方式。</w:t>
      </w:r>
    </w:p>
    <w:bookmarkEnd w:id="691"/>
    <w:bookmarkStart w:id="692" w:name="sec-35-16"/>
    <w:p>
      <w:pPr>
        <w:pStyle w:val="Heading3"/>
      </w:pPr>
      <w:r>
        <w:t xml:space="preserve">35.16　数学推理中的中间状态</w:t>
      </w:r>
    </w:p>
    <w:p>
      <w:pPr>
        <w:pStyle w:val="FirstParagraph"/>
      </w:pPr>
      <w:r>
        <w:t xml:space="preserve">多步数学任务同时需要保持目标、操作规则、中间结果和约束条件。一个答案错误，可能来自早期概念误解，也可能来自中途丢失条件。逐步记录具有诊断价值，因为它让错误发生的位置可见。</w:t>
      </w:r>
    </w:p>
    <w:p>
      <w:pPr>
        <w:pStyle w:val="BodyText"/>
      </w:pPr>
      <w:r>
        <w:t xml:space="preserve">考虑求两个条件同时成立的未知数。学生可能正确处理第一个条件后忘记第二个，得到一个局部正确的解。教师可以要求在每个候选解旁写出它已经满足和仍待检查的条件。这个方法把目标集合外化，适合研究其对特定多约束任务的帮助；它不能保证学生掌握产生候选解的数学原理。</w:t>
      </w:r>
    </w:p>
    <w:p>
      <w:pPr>
        <w:pStyle w:val="BodyText"/>
      </w:pPr>
      <w:r>
        <w:t xml:space="preserve">随着熟练度提高，应逐步缩减冗余记录，保留能帮助检查的关键步骤。完全撤除与永久依赖之间存在多种安排，例如只记录易混淆的中间量，或在新题型中恢复详细结构。教学支持的强度应随任务难度和当前知识变化。</w:t>
      </w:r>
    </w:p>
    <w:bookmarkEnd w:id="692"/>
    <w:bookmarkStart w:id="693" w:name="sec-35-17"/>
    <w:p>
      <w:pPr>
        <w:pStyle w:val="Heading3"/>
      </w:pPr>
      <w:r>
        <w:t xml:space="preserve">35.17　指令设计与外部记忆</w:t>
      </w:r>
    </w:p>
    <w:p>
      <w:pPr>
        <w:pStyle w:val="FirstParagraph"/>
      </w:pPr>
      <w:r>
        <w:t xml:space="preserve">口头指令会快速消失，书面指令可以回看。把关键约束保留在可见位置，有助于减少对暂时保持的依赖。若任务考查实验推理，允许查看操作顺序可以把更多处理用于变量控制；若任务目标包括熟练执行安全步骤，则还需要独立检验关键步骤是否已经掌握。</w:t>
      </w:r>
    </w:p>
    <w:p>
      <w:pPr>
        <w:pStyle w:val="BodyText"/>
      </w:pPr>
      <w:r>
        <w:t xml:space="preserve">可以把一项复杂任务分成目标、材料、顺序、检查点和完成标准。这样的分解使学习者能够判断当前所处位置，减少反复猜测。分解过细也可能破坏整体理解，因此每个子步骤应与总目标保持可见联系。学生应知道执行步骤服务于什么解释或产物。</w:t>
      </w:r>
    </w:p>
    <w:p>
      <w:pPr>
        <w:pStyle w:val="BodyText"/>
      </w:pPr>
      <w:r>
        <w:t xml:space="preserve">数字工具同样有条件性。提醒可以降低记住时间点的要求，搜索可以提供事实，计算器可以处理运算。使用工具仍需要判断输入是否正确、结果是否合理、信息是否适用。外部记忆的可靠性、可访问性与个人核查能力共同决定最终表现。</w:t>
      </w:r>
    </w:p>
    <w:bookmarkEnd w:id="693"/>
    <w:bookmarkStart w:id="694" w:name="sec-35-18"/>
    <w:p>
      <w:pPr>
        <w:pStyle w:val="Heading3"/>
      </w:pPr>
      <w:r>
        <w:t xml:space="preserve">35.18　个体差异与动态支持</w:t>
      </w:r>
    </w:p>
    <w:p>
      <w:pPr>
        <w:pStyle w:val="FirstParagraph"/>
      </w:pPr>
      <w:r>
        <w:t xml:space="preserve">工作记忆任务成绩具有个体差异，也受到睡眠、情绪、任务理解、语言熟练度、动机和测试环境影响。对具体学生的解释需要多次观察和相关背景信息。一次低分不足以确定稳定能力，更不足以确定教育上限。</w:t>
      </w:r>
    </w:p>
    <w:p>
      <w:pPr>
        <w:pStyle w:val="BodyText"/>
      </w:pPr>
      <w:r>
        <w:t xml:space="preserve">支持应针对实际活动。例如，允许回看指令、减少同时引入的新符号、提供步骤检查单、明确任务切换信号。实施后应观察学习者能否更加独立地完成目标任务，以及帮助是否仍然必要。支持的成功可以表现为更准确的理解、更少的遗漏或更有效的自我检查，未必伴随某个实验室容量指标上升。</w:t>
      </w:r>
    </w:p>
    <w:p>
      <w:pPr>
        <w:pStyle w:val="BodyText"/>
      </w:pPr>
      <w:r>
        <w:t xml:space="preserve">高水平表现也需要保持谨慎解释。擅长某个任务可能反映丰富经验和适配策略，遇到陌生结构仍可能受限。把能力理解为知识、控制与任务要求之间的关系，有利于设计可改变的学习环境，同时保留对真实个体差异的尊重。</w:t>
      </w:r>
    </w:p>
    <w:bookmarkEnd w:id="694"/>
    <w:bookmarkStart w:id="696" w:name="sec-35-19"/>
    <w:p>
      <w:pPr>
        <w:pStyle w:val="Heading3"/>
      </w:pPr>
      <w:r>
        <w:t xml:space="preserve">35.19　常见任务的诊断边界</w:t>
      </w:r>
    </w:p>
    <w:p>
      <w:pPr>
        <w:pStyle w:val="TableCaption"/>
      </w:pPr>
      <w:bookmarkStart w:id="695" w:name="tab-wm-tasks"/>
      <w:bookmarkEnd w:id="695"/>
      <w:r>
        <w:rPr>
          <w:bCs/>
          <w:b/>
        </w:rPr>
        <w:t xml:space="preserve">表 12　工作记忆常见任务的诊断边界</w:t>
      </w:r>
    </w:p>
    <w:tbl>
      <w:tblPr>
        <w:tblStyle w:val="Table"/>
        <w:tblW w:type="pct" w:w="5000"/>
        <w:jc w:val="start"/>
        <w:tblLook w:firstRow="1" w:lastRow="0" w:firstColumn="0" w:lastColumn="0" w:noHBand="0" w:noVBand="0" w:val="0020"/>
      </w:tblPr>
      <w:tblGrid>
        <w:gridCol w:w="2329"/>
        <w:gridCol w:w="2329"/>
        <w:gridCol w:w="3260"/>
      </w:tblGrid>
      <w:tr>
        <w:trPr>
          <w:tblHeader w:val="true"/>
        </w:trPr>
        <w:tc>
          <w:tcPr>
            <w:shd w:val="clear" w:color="auto" w:fill="1F3A5F"/>
          </w:tcPr>
          <w:p>
            <w:pPr>
              <w:pStyle w:val="Compact"/>
              <w:jc w:val="left"/>
            </w:pPr>
            <w:r>
              <w:rPr>
                <w:bCs/>
                <w:b/>
                <w:color w:val="FFFFFF"/>
              </w:rPr>
              <w:t xml:space="preserve">任务安排</w:t>
            </w:r>
          </w:p>
        </w:tc>
        <w:tc>
          <w:tcPr>
            <w:shd w:val="clear" w:color="auto" w:fill="1F3A5F"/>
          </w:tcPr>
          <w:p>
            <w:pPr>
              <w:pStyle w:val="Compact"/>
              <w:jc w:val="left"/>
            </w:pPr>
            <w:r>
              <w:rPr>
                <w:bCs/>
                <w:b/>
                <w:color w:val="FFFFFF"/>
              </w:rPr>
              <w:t xml:space="preserve">主要观察</w:t>
            </w:r>
          </w:p>
        </w:tc>
        <w:tc>
          <w:tcPr>
            <w:shd w:val="clear" w:color="auto" w:fill="1F3A5F"/>
          </w:tcPr>
          <w:p>
            <w:pPr>
              <w:pStyle w:val="Compact"/>
              <w:jc w:val="left"/>
            </w:pPr>
            <w:r>
              <w:rPr>
                <w:bCs/>
                <w:b/>
                <w:color w:val="FFFFFF"/>
              </w:rPr>
              <w:t xml:space="preserve">需要额外检查</w:t>
            </w:r>
          </w:p>
        </w:tc>
      </w:tr>
      <w:tr>
        <w:tc>
          <w:tcPr/>
          <w:p>
            <w:pPr>
              <w:pStyle w:val="Compact"/>
              <w:jc w:val="left"/>
            </w:pPr>
            <w:r>
              <w:t xml:space="preserve">顺序复述数字或位置</w:t>
            </w:r>
          </w:p>
        </w:tc>
        <w:tc>
          <w:tcPr/>
          <w:p>
            <w:pPr>
              <w:pStyle w:val="Compact"/>
              <w:jc w:val="left"/>
            </w:pPr>
            <w:r>
              <w:t xml:space="preserve">保持和顺序报告</w:t>
            </w:r>
          </w:p>
        </w:tc>
        <w:tc>
          <w:tcPr/>
          <w:p>
            <w:pPr>
              <w:pStyle w:val="Compact"/>
              <w:jc w:val="left"/>
            </w:pPr>
            <w:r>
              <w:t xml:space="preserve">编码、复述策略及输出错误</w:t>
            </w:r>
          </w:p>
        </w:tc>
      </w:tr>
      <w:tr>
        <w:tc>
          <w:tcPr/>
          <w:p>
            <w:pPr>
              <w:pStyle w:val="Compact"/>
              <w:jc w:val="left"/>
            </w:pPr>
            <w:r>
              <w:t xml:space="preserve">保持项目同时判断句子</w:t>
            </w:r>
          </w:p>
        </w:tc>
        <w:tc>
          <w:tcPr/>
          <w:p>
            <w:pPr>
              <w:pStyle w:val="Compact"/>
              <w:jc w:val="left"/>
            </w:pPr>
            <w:r>
              <w:t xml:space="preserve">加工与保持的协调</w:t>
            </w:r>
          </w:p>
        </w:tc>
        <w:tc>
          <w:tcPr/>
          <w:p>
            <w:pPr>
              <w:pStyle w:val="Compact"/>
              <w:jc w:val="left"/>
            </w:pPr>
            <w:r>
              <w:t xml:space="preserve">语言理解及加工速度</w:t>
            </w:r>
          </w:p>
        </w:tc>
      </w:tr>
      <w:tr>
        <w:tc>
          <w:tcPr/>
          <w:p>
            <w:pPr>
              <w:pStyle w:val="Compact"/>
              <w:jc w:val="left"/>
            </w:pPr>
            <w:r>
              <w:t xml:space="preserve">连续更新最近项目</w:t>
            </w:r>
          </w:p>
        </w:tc>
        <w:tc>
          <w:tcPr/>
          <w:p>
            <w:pPr>
              <w:pStyle w:val="Compact"/>
              <w:jc w:val="left"/>
            </w:pPr>
            <w:r>
              <w:t xml:space="preserve">旧新信息的选择</w:t>
            </w:r>
          </w:p>
        </w:tc>
        <w:tc>
          <w:tcPr/>
          <w:p>
            <w:pPr>
              <w:pStyle w:val="Compact"/>
              <w:jc w:val="left"/>
            </w:pPr>
            <w:r>
              <w:t xml:space="preserve">时间位置混淆及规则理解</w:t>
            </w:r>
          </w:p>
        </w:tc>
      </w:tr>
      <w:tr>
        <w:tc>
          <w:tcPr/>
          <w:p>
            <w:pPr>
              <w:pStyle w:val="Compact"/>
              <w:jc w:val="left"/>
            </w:pPr>
            <w:r>
              <w:t xml:space="preserve">延迟后报告颜色或方向</w:t>
            </w:r>
          </w:p>
        </w:tc>
        <w:tc>
          <w:tcPr/>
          <w:p>
            <w:pPr>
              <w:pStyle w:val="Compact"/>
              <w:jc w:val="left"/>
            </w:pPr>
            <w:r>
              <w:t xml:space="preserve">表征精度与偏差</w:t>
            </w:r>
          </w:p>
        </w:tc>
        <w:tc>
          <w:tcPr/>
          <w:p>
            <w:pPr>
              <w:pStyle w:val="Compact"/>
              <w:jc w:val="left"/>
            </w:pPr>
            <w:r>
              <w:t xml:space="preserve">知觉噪声、交换错误及反应策略</w:t>
            </w:r>
          </w:p>
        </w:tc>
      </w:tr>
      <w:tr>
        <w:tc>
          <w:tcPr/>
          <w:p>
            <w:pPr>
              <w:pStyle w:val="Compact"/>
              <w:jc w:val="left"/>
            </w:pPr>
            <w:r>
              <w:t xml:space="preserve">保持期间加入无关刺激</w:t>
            </w:r>
          </w:p>
        </w:tc>
        <w:tc>
          <w:tcPr/>
          <w:p>
            <w:pPr>
              <w:pStyle w:val="Compact"/>
              <w:jc w:val="left"/>
            </w:pPr>
            <w:r>
              <w:t xml:space="preserve">干扰条件下的目标维持</w:t>
            </w:r>
          </w:p>
        </w:tc>
        <w:tc>
          <w:tcPr/>
          <w:p>
            <w:pPr>
              <w:pStyle w:val="Compact"/>
              <w:jc w:val="left"/>
            </w:pPr>
            <w:r>
              <w:t xml:space="preserve">干扰的知觉显著性和相关程度</w:t>
            </w:r>
          </w:p>
        </w:tc>
      </w:tr>
      <w:tr>
        <w:tc>
          <w:tcPr/>
          <w:p>
            <w:pPr>
              <w:pStyle w:val="Compact"/>
              <w:jc w:val="left"/>
            </w:pPr>
            <w:r>
              <w:t xml:space="preserve">先提示部分内容再测试</w:t>
            </w:r>
          </w:p>
        </w:tc>
        <w:tc>
          <w:tcPr/>
          <w:p>
            <w:pPr>
              <w:pStyle w:val="Compact"/>
              <w:jc w:val="left"/>
            </w:pPr>
            <w:r>
              <w:t xml:space="preserve">记忆优先级的调整</w:t>
            </w:r>
          </w:p>
        </w:tc>
        <w:tc>
          <w:tcPr/>
          <w:p>
            <w:pPr>
              <w:pStyle w:val="Compact"/>
              <w:jc w:val="left"/>
            </w:pPr>
            <w:r>
              <w:t xml:space="preserve">提示有效率与后续可访问性</w:t>
            </w:r>
          </w:p>
        </w:tc>
      </w:tr>
    </w:tbl>
    <w:p>
      <w:pPr>
        <w:pStyle w:val="BodyText"/>
      </w:pPr>
      <w:r>
        <w:t xml:space="preserve">这些任务分别改变不同加工要求，单项成绩无法独立确定一个人的全部工作记忆机制</w:t>
      </w:r>
      <w:r>
        <w:rPr>
          <w:vertAlign w:val="superscript"/>
        </w:rPr>
        <w:t xml:space="preserve">[</w:t>
      </w:r>
      <w:hyperlink w:anchor="ref-345">
        <w:r>
          <w:rPr>
            <w:rStyle w:val="Hyperlink"/>
            <w:vertAlign w:val="superscript"/>
          </w:rPr>
          <w:t xml:space="preserve">345</w:t>
        </w:r>
      </w:hyperlink>
      <w:r>
        <w:rPr>
          <w:vertAlign w:val="superscript"/>
        </w:rPr>
        <w:t xml:space="preserve">,</w:t>
      </w:r>
      <w:hyperlink w:anchor="ref-347">
        <w:r>
          <w:rPr>
            <w:rStyle w:val="Hyperlink"/>
            <w:vertAlign w:val="superscript"/>
          </w:rPr>
          <w:t xml:space="preserve">347</w:t>
        </w:r>
      </w:hyperlink>
      <w:r>
        <w:rPr>
          <w:vertAlign w:val="superscript"/>
        </w:rPr>
        <w:t xml:space="preserve">,</w:t>
      </w:r>
      <w:hyperlink w:anchor="ref-352">
        <w:r>
          <w:rPr>
            <w:rStyle w:val="Hyperlink"/>
            <w:vertAlign w:val="superscript"/>
          </w:rPr>
          <w:t xml:space="preserve">352</w:t>
        </w:r>
      </w:hyperlink>
      <w:r>
        <w:rPr>
          <w:vertAlign w:val="superscript"/>
        </w:rPr>
        <w:t xml:space="preserve">]</w:t>
      </w:r>
      <w:r>
        <w:t xml:space="preserve">。</w:t>
      </w:r>
    </w:p>
    <w:bookmarkEnd w:id="696"/>
    <w:bookmarkStart w:id="697" w:name="sec-35-20"/>
    <w:p>
      <w:pPr>
        <w:pStyle w:val="Heading3"/>
      </w:pPr>
      <w:r>
        <w:t xml:space="preserve">35.20　结论边界与置信度</w:t>
      </w:r>
    </w:p>
    <w:p>
      <w:pPr>
        <w:pStyle w:val="FirstParagraph"/>
      </w:pPr>
      <w:r>
        <w:t xml:space="preserve">对于短时保持受到材料、干扰、注意分配和已有知识共同限制，置信度高。对于某一种任务给出的容量数字能够代表个人在所有情境中的固定上限，支持度低；组块、精度和提取要求改变时，估计也会变化</w:t>
      </w:r>
      <w:r>
        <w:rPr>
          <w:vertAlign w:val="superscript"/>
        </w:rPr>
        <w:t xml:space="preserve">[</w:t>
      </w:r>
      <w:hyperlink w:anchor="ref-347">
        <w:r>
          <w:rPr>
            <w:rStyle w:val="Hyperlink"/>
            <w:vertAlign w:val="superscript"/>
          </w:rPr>
          <w:t xml:space="preserve">347</w:t>
        </w:r>
      </w:hyperlink>
      <w:r>
        <w:rPr>
          <w:vertAlign w:val="superscript"/>
        </w:rPr>
        <w:t xml:space="preserve">,</w:t>
      </w:r>
      <w:hyperlink w:anchor="ref-350">
        <w:r>
          <w:rPr>
            <w:rStyle w:val="Hyperlink"/>
            <w:vertAlign w:val="superscript"/>
          </w:rPr>
          <w:t xml:space="preserve">350</w:t>
        </w:r>
      </w:hyperlink>
      <w:r>
        <w:rPr>
          <w:vertAlign w:val="superscript"/>
        </w:rPr>
        <w:t xml:space="preserve">,</w:t>
      </w:r>
      <w:hyperlink w:anchor="ref-352">
        <w:r>
          <w:rPr>
            <w:rStyle w:val="Hyperlink"/>
            <w:vertAlign w:val="superscript"/>
          </w:rPr>
          <w:t xml:space="preserve">352</w:t>
        </w:r>
      </w:hyperlink>
      <w:r>
        <w:rPr>
          <w:vertAlign w:val="superscript"/>
        </w:rPr>
        <w:t xml:space="preserve">]</w:t>
      </w:r>
      <w:r>
        <w:t xml:space="preserve">。持续活动、动态活动和潜在状态都为工作记忆机制提供了研究路径；特定任务中的重新激活证据支持潜在表征可以保持可用，但尚不足以确认全部工作记忆内容都由同一种静默机制保存</w:t>
      </w:r>
      <w:r>
        <w:rPr>
          <w:vertAlign w:val="superscript"/>
        </w:rPr>
        <w:t xml:space="preserve">[</w:t>
      </w:r>
      <w:hyperlink w:anchor="ref-354">
        <w:r>
          <w:rPr>
            <w:rStyle w:val="Hyperlink"/>
            <w:vertAlign w:val="superscript"/>
          </w:rPr>
          <w:t xml:space="preserve">354</w:t>
        </w:r>
      </w:hyperlink>
      <w:r>
        <w:rPr>
          <w:vertAlign w:val="superscript"/>
        </w:rPr>
        <w:t xml:space="preserve">,</w:t>
      </w:r>
      <w:hyperlink w:anchor="ref-355">
        <w:r>
          <w:rPr>
            <w:rStyle w:val="Hyperlink"/>
            <w:vertAlign w:val="superscript"/>
          </w:rPr>
          <w:t xml:space="preserve">355</w:t>
        </w:r>
      </w:hyperlink>
      <w:r>
        <w:rPr>
          <w:vertAlign w:val="superscript"/>
        </w:rPr>
        <w:t xml:space="preserve">]</w:t>
      </w:r>
      <w:r>
        <w:t xml:space="preserve">。教学上减少无关保持要求具有清楚的任务逻辑，具体收益仍需结合学习内容与后续独立完成能力判断。</w:t>
      </w:r>
    </w:p>
    <w:bookmarkEnd w:id="697"/>
    <w:bookmarkStart w:id="698" w:name="sec-35-21"/>
    <w:p>
      <w:pPr>
        <w:pStyle w:val="Heading3"/>
      </w:pPr>
      <w:r>
        <w:t xml:space="preserve">35.21　机制分析练习</w:t>
      </w:r>
    </w:p>
    <w:p>
      <w:pPr>
        <w:pStyle w:val="FirstParagraph"/>
      </w:pPr>
      <w:r>
        <w:t xml:space="preserve">练习一。甲乙两组记住相同数量的颜色。甲组事先知道一个位置最重要，乙组不知道。甲组在重要位置更精确，在其他位置稍差。这个结果支持什么？参考分析：结果与优先级改变资源分配一致；还需排除注视、编码时长与决策策略差异。它不能独立证明所有项目都以同一种连续资源储存，也不能据此断言不存在容量边界。</w:t>
      </w:r>
    </w:p>
    <w:p>
      <w:pPr>
        <w:pStyle w:val="BodyText"/>
      </w:pPr>
      <w:r>
        <w:t xml:space="preserve">练习二。学生使用步骤表后数学正确率提高，撤去表格后又下降。应怎样解释？参考分析：步骤表当前支持了任务执行，独立掌握尚未达到同样水平。下一步可以查看依赖发生在哪些步骤，安排逐步减少提示和延迟独立检验。把当下成绩与已经形成的知识分开，有助于制定后续教学。</w:t>
      </w:r>
    </w:p>
    <w:p>
      <w:pPr>
        <w:pStyle w:val="BodyText"/>
      </w:pPr>
      <w:r>
        <w:t xml:space="preserve">练习三。某研究在保持期无法解码待记内容，却在最后测试中发现准确报告。是否矛盾？参考分析：行为可访问性与某种测量下的可解码性属于不同指标。编码格式变化、潜在网络状态与测量灵敏度都是可检验解释。需要通过新的分析和干预区分解释，不能从单一阴性神经结果直接宣布信息不存在。</w:t>
      </w:r>
    </w:p>
    <w:p>
      <w:pPr>
        <w:pStyle w:val="BodyText"/>
      </w:pPr>
      <w:r>
        <w:t xml:space="preserve">练习四。一个学生能复述很长数字串，却无法理解包含多重条件的题目。应优先检查什么？参考分析：检查词义、条件关系、目标保持与推理规则。简单序列保持的强项不能替代对关系整合的测量。合适的辅助方案应建立在实际错误分析上。</w:t>
      </w:r>
    </w:p>
    <w:bookmarkEnd w:id="698"/>
    <w:bookmarkEnd w:id="699"/>
    <w:bookmarkStart w:id="717" w:name="ch-36"/>
    <w:p>
      <w:pPr>
        <w:pStyle w:val="Heading2"/>
      </w:pPr>
      <w:r>
        <w:t xml:space="preserve">第36章　持续注意、走神与注意时限</w:t>
      </w:r>
    </w:p>
    <w:bookmarkStart w:id="700" w:name="sec-36-1"/>
    <w:p>
      <w:pPr>
        <w:pStyle w:val="Heading3"/>
      </w:pPr>
      <w:r>
        <w:t xml:space="preserve">36.1　不存在统一的注意时限</w:t>
      </w:r>
    </w:p>
    <w:p>
      <w:pPr>
        <w:pStyle w:val="FirstParagraph"/>
      </w:pPr>
      <w:r>
        <w:t xml:space="preserve">注意研究涉及对信息的选择、对警报的准备、对冲突的处理，以及随时间维持目标的能力。“现代人只剩八秒注意力”把不同任务、指标和人群压成一个数值，却通常缺少可重复的计时起点、终点和抽样框。网页停留时间可以受目标完成、内容价值、界面摩擦和新信息吸引影响；其单位虽然是秒，测量对象仍需单独界定。</w:t>
      </w:r>
    </w:p>
    <w:p>
      <w:pPr>
        <w:pStyle w:val="BodyText"/>
      </w:pPr>
      <w:r>
        <w:t xml:space="preserve">八秒说法常被追溯到2015年微软加拿大的一份消费者洞察报告，并常与“金鱼注意力九秒”一起传播。该报告中的这组数字转引自一个统计汇编网站，没有可核查的原始测量；目前也没有可追溯的研究测出金鱼的九秒注意时限。Bradbury对流行课堂注意时限的证据链进行检查，指出常被引用的八秒及十到十五分钟说法缺乏足够的实证依据。这个结论撤销的是统一阈值的科学资格。它没有建立一个新的全人类注意上限，也没有否认任何特定环境下可能出现的注意困难</w:t>
      </w:r>
      <w:r>
        <w:rPr>
          <w:vertAlign w:val="superscript"/>
        </w:rPr>
        <w:t xml:space="preserve">[</w:t>
      </w:r>
      <w:hyperlink w:anchor="ref-357">
        <w:r>
          <w:rPr>
            <w:rStyle w:val="Hyperlink"/>
            <w:vertAlign w:val="superscript"/>
          </w:rPr>
          <w:t xml:space="preserve">357</w:t>
        </w:r>
      </w:hyperlink>
      <w:r>
        <w:rPr>
          <w:vertAlign w:val="superscript"/>
        </w:rPr>
        <w:t xml:space="preserve">]</w:t>
      </w:r>
      <w:r>
        <w:t xml:space="preserve">。对“存在一个跨任务的八秒生理上限”持否定判断，置信度高；对数字环境如何长期影响特定能力，判断需要更细化的研究。</w:t>
      </w:r>
    </w:p>
    <w:bookmarkEnd w:id="700"/>
    <w:bookmarkStart w:id="701" w:name="sec-36-2"/>
    <w:p>
      <w:pPr>
        <w:pStyle w:val="Heading3"/>
      </w:pPr>
      <w:r>
        <w:t xml:space="preserve">36.2　注意成分及其操作定义</w:t>
      </w:r>
    </w:p>
    <w:p>
      <w:pPr>
        <w:pStyle w:val="FirstParagraph"/>
      </w:pPr>
      <w:r>
        <w:t xml:space="preserve">警觉指对即将发生事件做好反应准备，定向指把加工优先权分配给某个位置或对象，执行性注意涉及处理竞争与控制目标。注意网络测验通过线索和冲突条件的反应差异，尝试在同一程序中估计这些成分。早期研究在四十名成人中展示了这种操作化的可行性，同时也观察到成分间的交互</w:t>
      </w:r>
      <w:r>
        <w:rPr>
          <w:vertAlign w:val="superscript"/>
        </w:rPr>
        <w:t xml:space="preserve">[</w:t>
      </w:r>
      <w:hyperlink w:anchor="ref-358">
        <w:r>
          <w:rPr>
            <w:rStyle w:val="Hyperlink"/>
            <w:vertAlign w:val="superscript"/>
          </w:rPr>
          <w:t xml:space="preserve">358</w:t>
        </w:r>
      </w:hyperlink>
      <w:r>
        <w:rPr>
          <w:vertAlign w:val="superscript"/>
        </w:rPr>
        <w:t xml:space="preserve">]</w:t>
      </w:r>
      <w:r>
        <w:t xml:space="preserve">。</w:t>
      </w:r>
    </w:p>
    <w:p>
      <w:pPr>
        <w:pStyle w:val="BodyText"/>
      </w:pPr>
      <w:r>
        <w:t xml:space="preserve">这些名称帮助组织研究，却不会把大脑切成三个彼此独立的器官。一个孩子阅读时，既要保持对任务的投入，又要把视线移向有关文字，还要抑制与当前句子无关的解释。一个测验差值也不会纯粹反映一种功能；视觉辨别、运动速度、策略和误差都可能参与。教育或临床评估需要结合多个任务与真实功能信息。</w:t>
      </w:r>
    </w:p>
    <w:p>
      <w:pPr>
        <w:pStyle w:val="BodyText"/>
      </w:pPr>
      <w:r>
        <w:t xml:space="preserve">持续注意研究关注一段时间内的表现。常见程序要求参与者在大量重复刺激中识别少见目标，或者对常见刺激反应、对少见刺激停止。两种任务对频率预期和反应抑制的要求不同，出现错误的机制也可能不同。任务说明中的“保持专注”相同，具体测量的认知过程仍需从刺激和反应规则分析</w:t>
      </w:r>
      <w:r>
        <w:rPr>
          <w:vertAlign w:val="superscript"/>
        </w:rPr>
        <w:t xml:space="preserve">[</w:t>
      </w:r>
      <w:hyperlink w:anchor="ref-359">
        <w:r>
          <w:rPr>
            <w:rStyle w:val="Hyperlink"/>
            <w:vertAlign w:val="superscript"/>
          </w:rPr>
          <w:t xml:space="preserve">359</w:t>
        </w:r>
      </w:hyperlink>
      <w:r>
        <w:rPr>
          <w:vertAlign w:val="superscript"/>
        </w:rPr>
        <w:t xml:space="preserve">]</w:t>
      </w:r>
      <w:r>
        <w:t xml:space="preserve">。</w:t>
      </w:r>
    </w:p>
    <w:bookmarkEnd w:id="701"/>
    <w:bookmarkStart w:id="702" w:name="sec-36-3"/>
    <w:p>
      <w:pPr>
        <w:pStyle w:val="Heading3"/>
      </w:pPr>
      <w:r>
        <w:t xml:space="preserve">36.3　从命中率到信号检测</w:t>
      </w:r>
    </w:p>
    <w:p>
      <w:pPr>
        <w:pStyle w:val="FirstParagraph"/>
      </w:pPr>
      <w:r>
        <w:t xml:space="preserve">假设一个监测任务包含一百次真正目标和九百次非目标。甲发现九十次目标，同时对非目标误报九十次；乙发现八十次目标，误报九次。甲的命中率更高，乙的误报率更低。哪个人更适合任务，需要考虑漏报和误报的实际代价。医院警报、海关检查与课堂测验的代价结构可能不同。</w:t>
      </w:r>
    </w:p>
    <w:p>
      <w:pPr>
        <w:pStyle w:val="BodyText"/>
      </w:pPr>
      <w:r>
        <w:t xml:space="preserve">信号检测框架把敏感性与反应标准分开描述。常用敏感性指标写作 d′，计算为命中率的标准正态分位数减去误报率的标准正态分位数。它依赖相应分布假设，极端零或百分之百的比例还需要预先规定校正。反应标准描述一个人在不确定时倾向报告“有目标”还是“无目标”。训练后命中上升，可能同时伴随误报上升；仅凭命中率不足以判断辨别能力改善。</w:t>
      </w:r>
    </w:p>
    <w:p>
      <w:pPr>
        <w:pStyle w:val="BodyText"/>
      </w:pPr>
      <w:r>
        <w:t xml:space="preserve">上述例子可以延伸到注意时长。某人任务后段漏报增加，可能由于敏感性下降，也可能变得更谨慎或更保守；若误报同步变化，解释会不同。实验还可以测量反应时间变异、遗漏分布和主观走神，但多项指标的选择与解释应提前明确，避免事后挑选最有利的一项。</w:t>
      </w:r>
    </w:p>
    <w:bookmarkEnd w:id="702"/>
    <w:bookmarkStart w:id="703" w:name="sec-36-4"/>
    <w:p>
      <w:pPr>
        <w:pStyle w:val="Heading3"/>
      </w:pPr>
      <w:r>
        <w:t xml:space="preserve">36.4　警觉下降的多种解释</w:t>
      </w:r>
    </w:p>
    <w:p>
      <w:pPr>
        <w:pStyle w:val="FirstParagraph"/>
      </w:pPr>
      <w:r>
        <w:t xml:space="preserve">长时间单调监测中，表现可以随时间恶化。任务负荷、目标稀少、反馈不足、动机变化和疲劳都会影响过程。警觉研究显示，这类任务可以伴随明显的主观努力与压力；安静坐着的外观并不说明任务需求低</w:t>
      </w:r>
      <w:r>
        <w:rPr>
          <w:vertAlign w:val="superscript"/>
        </w:rPr>
        <w:t xml:space="preserve">[</w:t>
      </w:r>
      <w:hyperlink w:anchor="ref-359">
        <w:r>
          <w:rPr>
            <w:rStyle w:val="Hyperlink"/>
            <w:vertAlign w:val="superscript"/>
          </w:rPr>
          <w:t xml:space="preserve">359</w:t>
        </w:r>
      </w:hyperlink>
      <w:r>
        <w:rPr>
          <w:vertAlign w:val="superscript"/>
        </w:rPr>
        <w:t xml:space="preserve">]</w:t>
      </w:r>
      <w:r>
        <w:t xml:space="preserve">。对每种情境，需要分别检验资源限制、目标维持、动机安排和感知辨别的贡献。</w:t>
      </w:r>
    </w:p>
    <w:p>
      <w:pPr>
        <w:pStyle w:val="BodyText"/>
      </w:pPr>
      <w:r>
        <w:t xml:space="preserve">某些下降可以通过休息或任务变化改善，但改善机制需要证据。例如，短暂休息可能缓解疲劳，也可能重新激活目标；奖励可以提高目标价值，却未必消除睡眠不足造成的全部表现损害。把所有情况归结成意志力，容易忽略可调整的任务设计。把所有情况归结成生物容量固定，也会遗漏环境和策略作用。</w:t>
      </w:r>
    </w:p>
    <w:p>
      <w:pPr>
        <w:pStyle w:val="BodyText"/>
      </w:pPr>
      <w:r>
        <w:t xml:space="preserve">持续任务中的表现还会短时起伏。渐变连续执行任务的研究把反应时间变异与脑活动联系起来，提示相对稳定和更易出错的阶段交替出现。特定脑网络活动与表现之间的关系依赖状态和强度，无法用“某网络一开就走神”的简单开关模型概括</w:t>
      </w:r>
      <w:r>
        <w:rPr>
          <w:vertAlign w:val="superscript"/>
        </w:rPr>
        <w:t xml:space="preserve">[</w:t>
      </w:r>
      <w:hyperlink w:anchor="ref-360">
        <w:r>
          <w:rPr>
            <w:rStyle w:val="Hyperlink"/>
            <w:vertAlign w:val="superscript"/>
          </w:rPr>
          <w:t xml:space="preserve">360</w:t>
        </w:r>
      </w:hyperlink>
      <w:r>
        <w:rPr>
          <w:vertAlign w:val="superscript"/>
        </w:rPr>
        <w:t xml:space="preserve">]</w:t>
      </w:r>
      <w:r>
        <w:t xml:space="preserve">。这些结果支持按时间序列研究注意，同时提醒读者：一张平均脑图可能掩盖同一个人在任务内部的变化。</w:t>
      </w:r>
    </w:p>
    <w:bookmarkEnd w:id="703"/>
    <w:bookmarkStart w:id="704" w:name="sec-36-5"/>
    <w:p>
      <w:pPr>
        <w:pStyle w:val="Heading3"/>
      </w:pPr>
      <w:r>
        <w:t xml:space="preserve">36.5　走神报告测到了什么</w:t>
      </w:r>
    </w:p>
    <w:p>
      <w:pPr>
        <w:pStyle w:val="FirstParagraph"/>
      </w:pPr>
      <w:r>
        <w:t xml:space="preserve">经验取样可以在任务中随机提问，询问参与者刚才是否想着任务以外的事情。它为内在体验提供信息，也会打断原活动，并受到提问理解、记忆和自我觉察影响。有些偏离目标的思想发生时能被觉察，有些在提示出现后才被发现；两类情况对任务表现可能有不同关系。</w:t>
      </w:r>
    </w:p>
    <w:p>
      <w:pPr>
        <w:pStyle w:val="BodyText"/>
      </w:pPr>
      <w:r>
        <w:t xml:space="preserve">走神内容的功能也随情境变化。安排晚餐、回想过去、规划论文和想象无关场景都可能出现在任务中。评价需要区分它是否违背当前目标、是否造成可观察错误、是否发生在允许自由思考的阶段。创造性问题中的暂时离开与危险驾驶中的注意脱离具有不同的价值结构，统一道德评价不利于解释行为。</w:t>
      </w:r>
    </w:p>
    <w:p>
      <w:pPr>
        <w:pStyle w:val="BodyText"/>
      </w:pPr>
      <w:r>
        <w:t xml:space="preserve">测量注意时，主观投入与客观表现可以分离。一个人感觉非常用力，却因策略低效而错误很多；另一个人熟练执行任务，主观努力较低却保持稳定。研究需同时说明任务难度与熟练程度。把努力感当成学习量，或者把轻松感当成完全自动化，都可能误判。</w:t>
      </w:r>
    </w:p>
    <w:bookmarkEnd w:id="704"/>
    <w:bookmarkStart w:id="705" w:name="sec-36-6"/>
    <w:p>
      <w:pPr>
        <w:pStyle w:val="Heading3"/>
      </w:pPr>
      <w:r>
        <w:t xml:space="preserve">36.6　走神：46.9% 这个数字</w:t>
      </w:r>
    </w:p>
    <w:p>
      <w:pPr>
        <w:pStyle w:val="FirstParagraph"/>
      </w:pPr>
      <w:r>
        <w:t xml:space="preserve">2010 年，两位哈佛心理学家用手机应用随机询问 2250 名成年人“此刻在做什么、在想什么、心情如何”，在被随机抽到并得到回答的时刻里，约 46.9% 的回答是在想与手头事情无关的事，走神时比专注时更不快乐；作者认为时间先后提示走神更可能是不快乐的原因</w:t>
      </w:r>
      <w:r>
        <w:rPr>
          <w:vertAlign w:val="superscript"/>
        </w:rPr>
        <w:t xml:space="preserve">[</w:t>
      </w:r>
      <w:hyperlink w:anchor="ref-361">
        <w:r>
          <w:rPr>
            <w:rStyle w:val="Hyperlink"/>
            <w:vertAlign w:val="superscript"/>
          </w:rPr>
          <w:t xml:space="preserve">361</w:t>
        </w:r>
      </w:hyperlink>
      <w:r>
        <w:rPr>
          <w:vertAlign w:val="superscript"/>
        </w:rPr>
        <w:t xml:space="preserve">]</w:t>
      </w:r>
      <w:r>
        <w:t xml:space="preserve">。这个比例来自自愿使用这款应用、能及时作答的人，用它推断每个人清醒时有多少时间在走神并不可靠；同一时刻的走神与情绪、前后时刻的先后关系，也都达不到随机实验的因果强度。“走神的心是不快乐的心”从此成为正念课程最常引用的数据。</w:t>
      </w:r>
    </w:p>
    <w:p>
      <w:pPr>
        <w:pStyle w:val="BodyText"/>
      </w:pPr>
      <w:r>
        <w:t xml:space="preserve">后续研究的结果复杂得多。走神所占的比例强烈依赖测量方法：对日常经验取样研究的元分析估计约为 34.5%</w:t>
      </w:r>
      <w:r>
        <w:rPr>
          <w:vertAlign w:val="superscript"/>
        </w:rPr>
        <w:t xml:space="preserve">[</w:t>
      </w:r>
      <w:hyperlink w:anchor="ref-362">
        <w:r>
          <w:rPr>
            <w:rStyle w:val="Hyperlink"/>
            <w:vertAlign w:val="superscript"/>
          </w:rPr>
          <w:t xml:space="preserve">362</w:t>
        </w:r>
      </w:hyperlink>
      <w:r>
        <w:rPr>
          <w:vertAlign w:val="superscript"/>
        </w:rPr>
        <w:t xml:space="preserve">]</w:t>
      </w:r>
      <w:r>
        <w:t xml:space="preserve">。两个比例来自不同的研究、问法和样本，后一个并没有推翻前一个。2024 年一项汇总 64 项研究、两万三千余人的元分析发现，走神与情绪幸福感的总体相关约为 −0.18（走神越多，情绪越差），这一关系的大小乃至方向都随念头的内容、是否有意以及测量方式而变</w:t>
      </w:r>
      <w:r>
        <w:rPr>
          <w:vertAlign w:val="superscript"/>
        </w:rPr>
        <w:t xml:space="preserve">[</w:t>
      </w:r>
      <w:hyperlink w:anchor="ref-363">
        <w:r>
          <w:rPr>
            <w:rStyle w:val="Hyperlink"/>
            <w:vertAlign w:val="superscript"/>
          </w:rPr>
          <w:t xml:space="preserve">363</w:t>
        </w:r>
      </w:hyperlink>
      <w:r>
        <w:rPr>
          <w:vertAlign w:val="superscript"/>
        </w:rPr>
        <w:t xml:space="preserve">]</w:t>
      </w:r>
      <w:r>
        <w:t xml:space="preserve">。因果方向也不清楚：一项七天的手机研究发现，悲伤先于走神出现，走神只有在内容消极时才预测之后的坏心情</w:t>
      </w:r>
      <w:r>
        <w:rPr>
          <w:vertAlign w:val="superscript"/>
        </w:rPr>
        <w:t xml:space="preserve">[</w:t>
      </w:r>
      <w:hyperlink w:anchor="ref-364">
        <w:r>
          <w:rPr>
            <w:rStyle w:val="Hyperlink"/>
            <w:vertAlign w:val="superscript"/>
          </w:rPr>
          <w:t xml:space="preserve">364</w:t>
        </w:r>
      </w:hyperlink>
      <w:r>
        <w:rPr>
          <w:vertAlign w:val="superscript"/>
        </w:rPr>
        <w:t xml:space="preserve">]</w:t>
      </w:r>
      <w:r>
        <w:t xml:space="preserve">。有意的走神与无意的走神需要分开看，与负面结果关系更强的是无意走神</w:t>
      </w:r>
      <w:r>
        <w:rPr>
          <w:vertAlign w:val="superscript"/>
        </w:rPr>
        <w:t xml:space="preserve">[</w:t>
      </w:r>
      <w:hyperlink w:anchor="ref-365">
        <w:r>
          <w:rPr>
            <w:rStyle w:val="Hyperlink"/>
            <w:vertAlign w:val="superscript"/>
          </w:rPr>
          <w:t xml:space="preserve">365</w:t>
        </w:r>
      </w:hyperlink>
      <w:r>
        <w:rPr>
          <w:vertAlign w:val="superscript"/>
        </w:rPr>
        <w:t xml:space="preserve">]</w:t>
      </w:r>
      <w:r>
        <w:t xml:space="preserve">。一种有影响的理论框架把走神放进“自发思维”这一大类里理解：思维受两类约束，一类来自有意的认知控制，一类来自情绪和显著性的自动约束；两类约束都弱时，念头自由流动，走神、创造性联想和做梦属于这一端，被情绪反复牵回同一主题的思维则接近反刍</w:t>
      </w:r>
      <w:r>
        <w:rPr>
          <w:vertAlign w:val="superscript"/>
        </w:rPr>
        <w:t xml:space="preserve">[</w:t>
      </w:r>
      <w:hyperlink w:anchor="ref-366">
        <w:r>
          <w:rPr>
            <w:rStyle w:val="Hyperlink"/>
            <w:vertAlign w:val="superscript"/>
          </w:rPr>
          <w:t xml:space="preserve">366</w:t>
        </w:r>
      </w:hyperlink>
      <w:r>
        <w:rPr>
          <w:vertAlign w:val="superscript"/>
        </w:rPr>
        <w:t xml:space="preserve">]</w:t>
      </w:r>
      <w:r>
        <w:t xml:space="preserve">。按这个框架，与不快乐关系更密切的是被自动约束困住的念头，“走神”本身是一个过宽的类别。走神对创造性“孵化”的作用，研究结果有正有负</w:t>
      </w:r>
      <w:r>
        <w:rPr>
          <w:vertAlign w:val="superscript"/>
        </w:rPr>
        <w:t xml:space="preserve">[</w:t>
      </w:r>
      <w:hyperlink w:anchor="ref-367">
        <w:r>
          <w:rPr>
            <w:rStyle w:val="Hyperlink"/>
            <w:vertAlign w:val="superscript"/>
          </w:rPr>
          <w:t xml:space="preserve">367</w:t>
        </w:r>
      </w:hyperlink>
      <w:r>
        <w:rPr>
          <w:vertAlign w:val="superscript"/>
        </w:rPr>
        <w:t xml:space="preserve">,</w:t>
      </w:r>
      <w:hyperlink w:anchor="ref-368">
        <w:r>
          <w:rPr>
            <w:rStyle w:val="Hyperlink"/>
            <w:vertAlign w:val="superscript"/>
          </w:rPr>
          <w:t xml:space="preserve">368</w:t>
        </w:r>
      </w:hyperlink>
      <w:r>
        <w:rPr>
          <w:vertAlign w:val="superscript"/>
        </w:rPr>
        <w:t xml:space="preserve">]</w:t>
      </w:r>
      <w:r>
        <w:t xml:space="preserve">。</w:t>
      </w:r>
    </w:p>
    <w:p>
      <w:pPr>
        <w:pStyle w:val="CalloutJudgment"/>
      </w:pPr>
      <w:r>
        <w:rPr>
          <w:bCs/>
          <w:b/>
        </w:rPr>
        <w:t xml:space="preserve">判断　</w:t>
      </w:r>
      <w:r>
        <w:t xml:space="preserve">“人有近一半时间在走神”</w:t>
      </w:r>
      <w:r>
        <w:rPr>
          <w:bCs/>
          <w:b/>
        </w:rPr>
        <w:t xml:space="preserve">部分成立·中</w:t>
      </w:r>
      <w:r>
        <w:t xml:space="preserve">：一项手机志愿者样本中，46.9% 的回答报告了与手头无关的念头，跨研究的估计随方法而变；“走神让人不快乐”</w:t>
      </w:r>
      <w:r>
        <w:rPr>
          <w:bCs/>
          <w:b/>
        </w:rPr>
        <w:t xml:space="preserve">过度简化·中</w:t>
      </w:r>
      <w:r>
        <w:t xml:space="preserve">。正念训练与走神的研究见</w:t>
      </w:r>
      <w:r>
        <w:t xml:space="preserve"> </w:t>
      </w:r>
      <w:hyperlink w:anchor="sec-111-2">
        <w:r>
          <w:rPr>
            <w:rStyle w:val="Hyperlink"/>
          </w:rPr>
          <w:t xml:space="preserve">111.2</w:t>
        </w:r>
      </w:hyperlink>
      <w:r>
        <w:t xml:space="preserve">。</w:t>
      </w:r>
    </w:p>
    <w:bookmarkEnd w:id="705"/>
    <w:bookmarkStart w:id="706" w:name="sec-36-7"/>
    <w:p>
      <w:pPr>
        <w:pStyle w:val="Heading3"/>
      </w:pPr>
      <w:r>
        <w:t xml:space="preserve">36.7　数字干扰的因果证据及其边界</w:t>
      </w:r>
    </w:p>
    <w:p>
      <w:pPr>
        <w:pStyle w:val="FirstParagraph"/>
      </w:pPr>
      <w:r>
        <w:t xml:space="preserve">一项2025年随机试验让参与者在两周内屏蔽手机移动互联网，保留电话、短信和其他设备上网。研究报告持续注意任务与自报心理状态改善。四百六十七名纳入者中，一百一十九人达到预先定义的遵守标准，三百二十七人完成前两次自报测量；依从性和失访直接影响推广判断</w:t>
      </w:r>
      <w:r>
        <w:rPr>
          <w:vertAlign w:val="superscript"/>
        </w:rPr>
        <w:t xml:space="preserve">[</w:t>
      </w:r>
      <w:hyperlink w:anchor="ref-369">
        <w:r>
          <w:rPr>
            <w:rStyle w:val="Hyperlink"/>
            <w:vertAlign w:val="superscript"/>
          </w:rPr>
          <w:t xml:space="preserve">369</w:t>
        </w:r>
      </w:hyperlink>
      <w:r>
        <w:rPr>
          <w:vertAlign w:val="superscript"/>
        </w:rPr>
        <w:t xml:space="preserve">]</w:t>
      </w:r>
      <w:r>
        <w:t xml:space="preserve">。</w:t>
      </w:r>
    </w:p>
    <w:p>
      <w:pPr>
        <w:pStyle w:val="BodyText"/>
      </w:pPr>
      <w:r>
        <w:t xml:space="preserve">这项试验改变了整套访问机会，也可能改变时间分配、社交、活动和睡眠相关行为。随机分组支持对这套干预在研究样本中的因果推断，具体中介机制还需要进一步辨别。参与者知道自己的条件，等待对照也无法完全平衡期待。研究结果可以支持探索可执行的连接管理，无法据此给每个人指定相同断网时长，更不能把组内前后标准化变化直接比较成某种临床治疗的替代疗效</w:t>
      </w:r>
      <w:r>
        <w:rPr>
          <w:vertAlign w:val="superscript"/>
        </w:rPr>
        <w:t xml:space="preserve">[</w:t>
      </w:r>
      <w:hyperlink w:anchor="ref-369">
        <w:r>
          <w:rPr>
            <w:rStyle w:val="Hyperlink"/>
            <w:vertAlign w:val="superscript"/>
          </w:rPr>
          <w:t xml:space="preserve">369</w:t>
        </w:r>
      </w:hyperlink>
      <w:r>
        <w:rPr>
          <w:vertAlign w:val="superscript"/>
        </w:rPr>
        <w:t xml:space="preserve">]</w:t>
      </w:r>
      <w:r>
        <w:t xml:space="preserve">。</w:t>
      </w:r>
    </w:p>
    <w:p>
      <w:pPr>
        <w:pStyle w:val="BodyText"/>
      </w:pPr>
      <w:r>
        <w:t xml:space="preserve">个人实践可以从明确定义的问题开始：阅读时每次通知是否导致长时间恢复，睡前浏览是否挤占休息，学习应用是否同时提供高频无关奖励。目标越具体，试验越容易评估。可以比较几个相似工作日中有通知与静音条件下的完成质量，同时记录任务难度与外部事件。这样的个人记录帮助改善环境，不能自动升级为适用于所有人的因果规律。</w:t>
      </w:r>
    </w:p>
    <w:bookmarkEnd w:id="706"/>
    <w:bookmarkStart w:id="707" w:name="sec-36-8"/>
    <w:p>
      <w:pPr>
        <w:pStyle w:val="Heading3"/>
      </w:pPr>
      <w:r>
        <w:t xml:space="preserve">36.8　教学节奏与注意支持</w:t>
      </w:r>
    </w:p>
    <w:p>
      <w:pPr>
        <w:pStyle w:val="FirstParagraph"/>
      </w:pPr>
      <w:r>
        <w:t xml:space="preserve">课堂节奏应围绕学习目标、信息密度和学生的反应证据设计。复杂概念讲解后加入检索问题，可以让教师看见理解是否形成；能够暴露误解的问题，例如要求预测下一步、比较两个相似概念、说明某条件改变后的结果，比单纯询问“听懂了吗”提供更具体的信息。演示前交代观察目标，可以帮助学生把注意分配给有关变化；长任务设置中间检查点，可以让迷失方向的学生重新建立目标。每项设计的价值来自它解决的具体困难。</w:t>
      </w:r>
    </w:p>
    <w:p>
      <w:pPr>
        <w:pStyle w:val="BodyText"/>
      </w:pPr>
      <w:r>
        <w:t xml:space="preserve">固定每八秒换一个画面可能引入额外定向负担。持续不变的讲授也可能缺少反馈和参与机会。两种形式的效果都依赖内容组织、任务难度和学生已有知识：任务太难时，学生可能失去可执行路径；太容易时，目标价值可能下降。适当挑战需要根据先备知识与表现动态调整。最有用的时间单位常是一个有意义的问题、步骤或概念关系，没有一个固定时长能替代这种内容层面的判断。眼睛朝向材料并不保证理解，安静坐着也不保证目标信息被加工；提出问题、画图或短暂回看可能表现为外部动作变化，却服务于理解。教师可以根据回答质量、错误类型、解释和迁移情况调整节奏。注意支持应与知识反馈结合，避免只追求行为安静，也避免只用眼神朝向或安静程度推断全部学习。</w:t>
      </w:r>
    </w:p>
    <w:bookmarkEnd w:id="707"/>
    <w:bookmarkStart w:id="708" w:name="sec-36-9"/>
    <w:p>
      <w:pPr>
        <w:pStyle w:val="Heading3"/>
      </w:pPr>
      <w:r>
        <w:t xml:space="preserve">36.9　目标维持与价值分配</w:t>
      </w:r>
    </w:p>
    <w:p>
      <w:pPr>
        <w:pStyle w:val="FirstParagraph"/>
      </w:pPr>
      <w:r>
        <w:t xml:space="preserve">持续注意需要让当前目标在较长时间中保持行为优先级。外部事件、内部想法和其他任务都可能竞争。某个活动是否具有明确反馈、可见进展或迫近后果，会改变维持投入的动机条件。能力限制与价值选择可以共同影响表现。</w:t>
      </w:r>
    </w:p>
    <w:p>
      <w:pPr>
        <w:pStyle w:val="BodyText"/>
      </w:pPr>
      <w:r>
        <w:t xml:space="preserve">控制预期价值理论把控制分配与潜在收益、成功概率和努力成本联系起来，并提出前扣带等系统参与这一评估的理论框架</w:t>
      </w:r>
      <w:r>
        <w:rPr>
          <w:vertAlign w:val="superscript"/>
        </w:rPr>
        <w:t xml:space="preserve">[</w:t>
      </w:r>
      <w:hyperlink w:anchor="ref-340">
        <w:r>
          <w:rPr>
            <w:rStyle w:val="Hyperlink"/>
            <w:vertAlign w:val="superscript"/>
          </w:rPr>
          <w:t xml:space="preserve">340</w:t>
        </w:r>
      </w:hyperlink>
      <w:r>
        <w:rPr>
          <w:vertAlign w:val="superscript"/>
        </w:rPr>
        <w:t xml:space="preserve">]</w:t>
      </w:r>
      <w:r>
        <w:t xml:space="preserve">。该框架帮助生成关于奖励和难度的预测，不能把任何分心都解释成个人不愿努力，也不能由某个脑区活动直接读取动机。</w:t>
      </w:r>
    </w:p>
    <w:p>
      <w:pPr>
        <w:pStyle w:val="BodyText"/>
      </w:pPr>
      <w:r>
        <w:t xml:space="preserve">假设两个任务同样困难，一个有即时清楚反馈，另一个长期看不到进展。投入差异可能与反馈和目标价值有关。改变反馈结构可以检验这一解释。若干预后注意仍受限，还需考虑睡眠、负荷、感官条件和任务理解等因素。</w:t>
      </w:r>
    </w:p>
    <w:bookmarkEnd w:id="708"/>
    <w:bookmarkStart w:id="709" w:name="sec-36-10"/>
    <w:p>
      <w:pPr>
        <w:pStyle w:val="Heading3"/>
      </w:pPr>
      <w:r>
        <w:t xml:space="preserve">36.10　机会成本与任务退出</w:t>
      </w:r>
    </w:p>
    <w:p>
      <w:pPr>
        <w:pStyle w:val="FirstParagraph"/>
      </w:pPr>
      <w:r>
        <w:t xml:space="preserve">人在一个任务上持续投入，就暂时放弃其他可能活动。随着时间变化，其他目标的价值可能上升，当前任务的边际收益可能下降。离开任务有时反映合理目标切换，有时反映被低价值刺激吸引。判断需要结合整体目标与实际后果。</w:t>
      </w:r>
    </w:p>
    <w:p>
      <w:pPr>
        <w:pStyle w:val="BodyText"/>
      </w:pPr>
      <w:r>
        <w:t xml:space="preserve">例如，阅读某段资料已经获得所需答案，停止阅读可以是高效完成；阅读尚未理解却被通知带走，则可能损害目标。两种行为都表现为停留时间短。平台日志只能记录动作，解释意图需要额外信息。</w:t>
      </w:r>
    </w:p>
    <w:p>
      <w:pPr>
        <w:pStyle w:val="BodyText"/>
      </w:pPr>
      <w:r>
        <w:t xml:space="preserve">教学可以让任务价值和进展更清楚。把较大目标拆成有意义的子问题，提供能够判断理解的反馈，帮助学生看到当前步骤怎样服务于目标。拆分需要保留整体关系，过度碎片化又可能破坏连贯推理。</w:t>
      </w:r>
    </w:p>
    <w:bookmarkEnd w:id="709"/>
    <w:bookmarkStart w:id="710" w:name="sec-36-11"/>
    <w:p>
      <w:pPr>
        <w:pStyle w:val="Heading3"/>
      </w:pPr>
      <w:r>
        <w:t xml:space="preserve">36.11　走神的内容与主动性</w:t>
      </w:r>
    </w:p>
    <w:p>
      <w:pPr>
        <w:pStyle w:val="FirstParagraph"/>
      </w:pPr>
      <w:r>
        <w:t xml:space="preserve">走神可以是自发出现，也可以是有意暂时离开当前任务。内容可能涉及未来计划、过去事件、社会关系或无关想象。Smallwood与Schooler的综合强调，内容、元觉察和当前任务关系影响走神的功能结果</w:t>
      </w:r>
      <w:r>
        <w:rPr>
          <w:vertAlign w:val="superscript"/>
        </w:rPr>
        <w:t xml:space="preserve">[</w:t>
      </w:r>
      <w:hyperlink w:anchor="ref-370">
        <w:r>
          <w:rPr>
            <w:rStyle w:val="Hyperlink"/>
            <w:vertAlign w:val="superscript"/>
          </w:rPr>
          <w:t xml:space="preserve">370</w:t>
        </w:r>
      </w:hyperlink>
      <w:r>
        <w:rPr>
          <w:vertAlign w:val="superscript"/>
        </w:rPr>
        <w:t xml:space="preserve">]</w:t>
      </w:r>
      <w:r>
        <w:t xml:space="preserve">。因此，走神频率单独难以概括全部价值。</w:t>
      </w:r>
    </w:p>
    <w:p>
      <w:pPr>
        <w:pStyle w:val="BodyText"/>
      </w:pPr>
      <w:r>
        <w:t xml:space="preserve">有意规划下一步工作可能服务于更高层目标，却降低眼前监测任务表现；自发担忧可能占用资源而缺少解决进展。研究需要说明评价的是当前任务成本、长期计划价值还是情绪影响。不同时间尺度可能给出不同答案。</w:t>
      </w:r>
    </w:p>
    <w:p>
      <w:pPr>
        <w:pStyle w:val="BodyText"/>
      </w:pPr>
      <w:r>
        <w:t xml:space="preserve">元觉察指注意到自己正在偏离任务。发现偏离后能否返回，取决于目标是否清楚、下一步是否可执行和环境是否继续触发干扰。训练恢复策略可以关注这些环节，不能只要求永远不产生无关想法。</w:t>
      </w:r>
    </w:p>
    <w:bookmarkEnd w:id="710"/>
    <w:bookmarkStart w:id="711" w:name="sec-36-12"/>
    <w:p>
      <w:pPr>
        <w:pStyle w:val="Heading3"/>
      </w:pPr>
      <w:r>
        <w:t xml:space="preserve">36.12　注意波动与时间序列</w:t>
      </w:r>
    </w:p>
    <w:p>
      <w:pPr>
        <w:pStyle w:val="FirstParagraph"/>
      </w:pPr>
      <w:r>
        <w:t xml:space="preserve">平均反应时间把整个任务压成一个数，可能掩盖短暂失误串、稳定阶段和逐渐漂移。时间序列分析可以观察错误是否聚集、反应波动是否提前提示失误，以及任务事件如何改变状态。分析需要避免把随机波动过度解释成稳定状态类别。</w:t>
      </w:r>
    </w:p>
    <w:p>
      <w:pPr>
        <w:pStyle w:val="BodyText"/>
      </w:pPr>
      <w:r>
        <w:t xml:space="preserve">滑动窗口长度决定看到的结构。短窗口对局部变化敏感，噪声也更大；长窗口较稳定，却可能平滑掉关键短时事件。不同窗口的选择应依据理论时间尺度，并检验结论是否依赖某个特定设置。动态指标还需要足够数据支持个体解释。</w:t>
      </w:r>
    </w:p>
    <w:p>
      <w:pPr>
        <w:pStyle w:val="BodyText"/>
      </w:pPr>
      <w:r>
        <w:t xml:space="preserve">如果某个算法根据过去反应预测下一次失误，其预测价值需要通过新数据检验。预测性能应与简单基线比较，并报告误报。频繁提示“你可能走神”本身也会改变任务，实际应用需要评估干预后的总体效果。</w:t>
      </w:r>
    </w:p>
    <w:bookmarkEnd w:id="711"/>
    <w:bookmarkStart w:id="712" w:name="sec-36-13"/>
    <w:p>
      <w:pPr>
        <w:pStyle w:val="Heading3"/>
      </w:pPr>
      <w:r>
        <w:t xml:space="preserve">36.13　稀有目标与反应习惯</w:t>
      </w:r>
    </w:p>
    <w:p>
      <w:pPr>
        <w:pStyle w:val="FirstParagraph"/>
      </w:pPr>
      <w:r>
        <w:t xml:space="preserve">当目标很少出现，参与者可能形成对常见刺激的稳定反应倾向。罕见目标要求打破这种倾向，漏报可能增加。若任务要求对常见刺激按键、对罕见刺激停止，错误又涉及反应抑制。目标频率改变会同时影响预期、标准和动作准备。</w:t>
      </w:r>
    </w:p>
    <w:p>
      <w:pPr>
        <w:pStyle w:val="BodyText"/>
      </w:pPr>
      <w:r>
        <w:t xml:space="preserve">在提示系统设计中，重要提示若淹没在大量无关通知中，用户可能逐渐忽略整个通道。提高信号价值可以通过减少无关提示、明确优先级和提供可行动信息实现。每次都用强烈刺激吸引注意，可能增加总体干扰并削弱区分。警报系统还需要平衡漏报和误报成本：过于敏感的系统可以捕捉更多问题，也可能使用户疲于应对；过于保守又可能错过重要事件。设计应同时考虑实际风险、任务要求及误报后果。</w:t>
      </w:r>
    </w:p>
    <w:bookmarkEnd w:id="712"/>
    <w:bookmarkStart w:id="713" w:name="sec-36-14"/>
    <w:p>
      <w:pPr>
        <w:pStyle w:val="Heading3"/>
      </w:pPr>
      <w:r>
        <w:t xml:space="preserve">36.14　环境设计与外部支架</w:t>
      </w:r>
    </w:p>
    <w:p>
      <w:pPr>
        <w:pStyle w:val="FirstParagraph"/>
      </w:pPr>
      <w:r>
        <w:t xml:space="preserve">环境可以减少需要持续在线控制的次数。把下一步材料放在容易找到的位置，关闭与当前目标无关的通知，明确任务入口，保存中间状态，都可能降低执行负担。效果需要结合具体任务，复杂环境有时也提供必要信息。</w:t>
      </w:r>
    </w:p>
    <w:p>
      <w:pPr>
        <w:pStyle w:val="BodyText"/>
      </w:pPr>
      <w:r>
        <w:t xml:space="preserve">外部支架可以包括时间提示、进度标记、检查表和同伴协作。支架的目标是帮助完成任务，长期使用是否需要逐步减少取决于学习目标。某些工具可以永久保留，因为现实工作本来就允许工具；某些基础技能则需要在无提示条件下检验掌握。</w:t>
      </w:r>
    </w:p>
    <w:p>
      <w:pPr>
        <w:pStyle w:val="BodyText"/>
      </w:pPr>
      <w:r>
        <w:t xml:space="preserve">学习者还可以区分启动困难、维持困难和恢复困难。启动困难可能需要明确第一步；维持困难可能需要调整负荷和反馈；恢复困难可能需要记录中间状态。把这些问题拆开，通常比统一评价“专注力差”更有行动价值。</w:t>
      </w:r>
    </w:p>
    <w:bookmarkEnd w:id="713"/>
    <w:bookmarkStart w:id="714" w:name="sec-36-15"/>
    <w:p>
      <w:pPr>
        <w:pStyle w:val="Heading3"/>
      </w:pPr>
      <w:r>
        <w:t xml:space="preserve">36.15　注意管理案例</w:t>
      </w:r>
    </w:p>
    <w:p>
      <w:pPr>
        <w:pStyle w:val="FirstParagraph"/>
      </w:pPr>
      <w:r>
        <w:t xml:space="preserve">设一位学生阅读时每十分钟查看一次手机，却能准确概括简单材料；阅读复杂证明时相同习惯导致经常忘记推导位置。差异提示任务中间状态的重要性。改进可以先针对复杂证明设置连续工作段与步骤记录，再比较理解和恢复时间。</w:t>
      </w:r>
    </w:p>
    <w:p>
      <w:pPr>
        <w:pStyle w:val="BodyText"/>
      </w:pPr>
      <w:r>
        <w:t xml:space="preserve">若另一位学生把手机移开后仍频繁走神，可以进一步检查材料难度、睡眠状态和任务目标。一次环境调整无效，不意味着问题不可改变，也不意味着必须增加更强刺激。每一步应由具体观察更新工作假设。</w:t>
      </w:r>
    </w:p>
    <w:p>
      <w:pPr>
        <w:pStyle w:val="BodyText"/>
      </w:pPr>
      <w:r>
        <w:t xml:space="preserve">注意管理的成效最终体现在有价值任务的完成、理解、错误和负担。持续时间可以作为过程指标，不能独自定义学习质量。</w:t>
      </w:r>
    </w:p>
    <w:bookmarkEnd w:id="714"/>
    <w:bookmarkStart w:id="715" w:name="sec-36-16"/>
    <w:p>
      <w:pPr>
        <w:pStyle w:val="Heading3"/>
      </w:pPr>
      <w:r>
        <w:t xml:space="preserve">36.16　平均表现与关键失误</w:t>
      </w:r>
    </w:p>
    <w:p>
      <w:pPr>
        <w:pStyle w:val="FirstParagraph"/>
      </w:pPr>
      <w:r>
        <w:t xml:space="preserve">假设两名监测者平均反应时间相同。甲的反应集中在相近范围，乙大多数反应很快，却偶尔出现极长遗漏。平均值掩盖了对安全任务可能重要的差别。任务评价需要根据后果选择分布尾部、遗漏持续时间或恢复速度等指标。</w:t>
      </w:r>
    </w:p>
    <w:p>
      <w:pPr>
        <w:pStyle w:val="BodyText"/>
      </w:pPr>
      <w:r>
        <w:t xml:space="preserve">在普通阅读中，短暂偏离后能够发现并回看，可能只增加少量时间；在不可回放的指令或实时危险场景中，同样偏离可能造成更大损失。注意支持应随任务可恢复性调整。检查点、重播与确认机制可以降低一次失误的后果。</w:t>
      </w:r>
    </w:p>
    <w:p>
      <w:pPr>
        <w:pStyle w:val="BodyText"/>
      </w:pPr>
      <w:r>
        <w:t xml:space="preserve">因此，提升注意表现可以同时包括减少失误、加快发现和改善恢复。只追求完全没有波动，可能忽略更可实施的系统改进。人和工具共同构成的任务环境，应具有对偶发错误的容纳与纠正能力。</w:t>
      </w:r>
    </w:p>
    <w:bookmarkEnd w:id="715"/>
    <w:bookmarkStart w:id="716" w:name="sec-36-17"/>
    <w:p>
      <w:pPr>
        <w:pStyle w:val="Heading3"/>
      </w:pPr>
      <w:r>
        <w:t xml:space="preserve">36.17　练习与解析</w:t>
      </w:r>
    </w:p>
    <w:p>
      <w:pPr>
        <w:pStyle w:val="FirstParagraph"/>
      </w:pPr>
      <w:r>
        <w:t xml:space="preserve">练习一：平台报告用户平均六秒切换短视频，能否推出其注意能力为六秒？解析：切换速度反映该平台、内容和目标下的行为选择。能力测量需要明确任务要求、正确表现和时间函数，还要排除目标完成和价值判断等解释。</w:t>
      </w:r>
    </w:p>
    <w:p>
      <w:pPr>
        <w:pStyle w:val="BodyText"/>
      </w:pPr>
      <w:r>
        <w:t xml:space="preserve">练习二：持续任务后半段错误率上升，但反应速度加快，怎样解释？解析：速度与准确性的权衡可能改变，也可能出现更自动化的反应和目标维持下降。应查看误报、漏报、反应时间分布及条件操纵，单个平均数无法唯一确定原因。</w:t>
      </w:r>
    </w:p>
    <w:p>
      <w:pPr>
        <w:pStyle w:val="BodyText"/>
      </w:pPr>
      <w:r>
        <w:t xml:space="preserve">练习三：手机干预试验中遵守者改善更大，是否证明只要严格遵守就会得到相同收益？解析：遵守行为受到动机、环境、健康与初始困难等因素影响。随机分组的效应与按遵守情况分组的效应承担不同的因果解释任务。个人收益仍存在差异，现实可实施性也是干预价值的一部分。</w:t>
      </w:r>
    </w:p>
    <w:bookmarkEnd w:id="716"/>
    <w:bookmarkEnd w:id="717"/>
    <w:bookmarkStart w:id="733" w:name="ch-37"/>
    <w:p>
      <w:pPr>
        <w:pStyle w:val="Heading2"/>
      </w:pPr>
      <w:r>
        <w:t xml:space="preserve">第37章　多任务加工与任务切换</w:t>
      </w:r>
    </w:p>
    <w:bookmarkStart w:id="718" w:name="sec-37-1"/>
    <w:p>
      <w:pPr>
        <w:pStyle w:val="Heading3"/>
      </w:pPr>
      <w:r>
        <w:t xml:space="preserve">37.1　多任务主张需要指定具体加工环节</w:t>
      </w:r>
    </w:p>
    <w:p>
      <w:pPr>
        <w:pStyle w:val="FirstParagraph"/>
      </w:pPr>
      <w:r>
        <w:t xml:space="preserve">走路时看路标、做饭时留意锅内声音、听演讲时记录关键词，都包含多个同时运行的过程。复杂工作中的多任务主张通常更强：两项各自需要判断、计划和检查的活动，可以在同一时段维持单独执行时的速度与质量。检验这一主张，需要分别测量时间重叠、注意分配、规则转换、信息保持和最终产出。桌面上同时开着多个窗口，只能证明多个工具处于可访问状态。</w:t>
      </w:r>
    </w:p>
    <w:p>
      <w:pPr>
        <w:pStyle w:val="BodyText"/>
      </w:pPr>
      <w:r>
        <w:t xml:space="preserve">任务之间的关系决定了竞争发生的位置。一项活动需要阅读新概念，另一项需要撰写邮件，两者都依赖语言理解和工作记忆，材料还可能互相侵入。步行和简单交谈在熟悉道路上可以配合；道路突然复杂、谈话涉及困难计算时，动作和交谈表现都可能改变。由此产生的条件预测是：任务越依赖相同表征、相同反应系统和相同时间窗口，干扰风险越高。具体大小仍需测量，任何统一效率损失百分比都需要额外证据。</w:t>
      </w:r>
    </w:p>
    <w:p>
      <w:pPr>
        <w:pStyle w:val="BodyText"/>
      </w:pPr>
      <w:r>
        <w:t xml:space="preserve">本章的核心判断具有高置信度：需要控制的任务之间常有可重复的切换成本和双任务干扰。关于某个人在某项职业中能否通过训练把特定成本降到实用上可忽略，判断需要结合任务结构与训练研究。现有理论也容许部分加工并行，脑内许多过程持续共同运行</w:t>
      </w:r>
      <w:r>
        <w:rPr>
          <w:vertAlign w:val="superscript"/>
        </w:rPr>
        <w:t xml:space="preserve">[</w:t>
      </w:r>
      <w:hyperlink w:anchor="ref-371">
        <w:r>
          <w:rPr>
            <w:rStyle w:val="Hyperlink"/>
            <w:vertAlign w:val="superscript"/>
          </w:rPr>
          <w:t xml:space="preserve">371</w:t>
        </w:r>
      </w:hyperlink>
      <w:r>
        <w:rPr>
          <w:vertAlign w:val="superscript"/>
        </w:rPr>
        <w:t xml:space="preserve">,</w:t>
      </w:r>
      <w:hyperlink w:anchor="ref-372">
        <w:r>
          <w:rPr>
            <w:rStyle w:val="Hyperlink"/>
            <w:vertAlign w:val="superscript"/>
          </w:rPr>
          <w:t xml:space="preserve">372</w:t>
        </w:r>
      </w:hyperlink>
      <w:r>
        <w:rPr>
          <w:vertAlign w:val="superscript"/>
        </w:rPr>
        <w:t xml:space="preserve">]</w:t>
      </w:r>
      <w:r>
        <w:t xml:space="preserve">。</w:t>
      </w:r>
    </w:p>
    <w:bookmarkEnd w:id="718"/>
    <w:bookmarkStart w:id="719" w:name="sec-37-2"/>
    <w:p>
      <w:pPr>
        <w:pStyle w:val="Heading3"/>
      </w:pPr>
      <w:r>
        <w:t xml:space="preserve">37.2　三种经常混合的实验比较</w:t>
      </w:r>
    </w:p>
    <w:p>
      <w:pPr>
        <w:pStyle w:val="FirstParagraph"/>
      </w:pPr>
      <w:r>
        <w:t xml:space="preserve">第一种比较研究局部切换成本。实验中，同样的数字有时按奇偶判断，有时按大小判断。某一试次与上一试次规则相同，叫重复试次；规则改变，叫切换试次。切换试次与重复试次的反应时间或错误差异，估计在混合任务环境中改变当前规则的代价。必须平衡刺激难度、反应重复、任务序列和线索形式，否则简单的差值可能混入刺激或动作因素</w:t>
      </w:r>
      <w:r>
        <w:rPr>
          <w:vertAlign w:val="superscript"/>
        </w:rPr>
        <w:t xml:space="preserve">[</w:t>
      </w:r>
      <w:hyperlink w:anchor="ref-371">
        <w:r>
          <w:rPr>
            <w:rStyle w:val="Hyperlink"/>
            <w:vertAlign w:val="superscript"/>
          </w:rPr>
          <w:t xml:space="preserve">371</w:t>
        </w:r>
      </w:hyperlink>
      <w:r>
        <w:rPr>
          <w:vertAlign w:val="superscript"/>
        </w:rPr>
        <w:t xml:space="preserve">]</w:t>
      </w:r>
      <w:r>
        <w:t xml:space="preserve">。</w:t>
      </w:r>
    </w:p>
    <w:p>
      <w:pPr>
        <w:pStyle w:val="BodyText"/>
      </w:pPr>
      <w:r>
        <w:t xml:space="preserve">第二种比较研究混合成本。研究者把混合区组中的重复试次，与整个区组始终只做一种任务的试次比较。即使眼前没有发生规则转换，维持多套可能使用的规则、监测线索和防止旧规则侵入也可能增加需求。因此，发现某人切换差值较小，仍需查看他的混合区组总体表现。一个持续很慢的重复基线可以把差值压小。</w:t>
      </w:r>
    </w:p>
    <w:p>
      <w:pPr>
        <w:pStyle w:val="BodyText"/>
      </w:pPr>
      <w:r>
        <w:t xml:space="preserve">第三种比较研究时间重叠中的双任务干扰。两项刺激在不同间隔出现，分别要求作答。心理不应期范式常观察到：当第二项刺激紧随第一项出现，第二项反应明显延迟。理论把延迟定位到可能发生瓶颈的加工阶段，并结合第一反应、第二反应、任务优先级和刺激间隔进一步区分解释。反应选择、任务安排、共同资源竞争与输出冲突可以共同作用，单个总反应时不能唯一确定机制</w:t>
      </w:r>
      <w:r>
        <w:rPr>
          <w:vertAlign w:val="superscript"/>
        </w:rPr>
        <w:t xml:space="preserve">[</w:t>
      </w:r>
      <w:hyperlink w:anchor="ref-372">
        <w:r>
          <w:rPr>
            <w:rStyle w:val="Hyperlink"/>
            <w:vertAlign w:val="superscript"/>
          </w:rPr>
          <w:t xml:space="preserve">372</w:t>
        </w:r>
      </w:hyperlink>
      <w:r>
        <w:rPr>
          <w:vertAlign w:val="superscript"/>
        </w:rPr>
        <w:t xml:space="preserve">]</w:t>
      </w:r>
      <w:r>
        <w:t xml:space="preserve">。</w:t>
      </w:r>
    </w:p>
    <w:bookmarkEnd w:id="719"/>
    <w:bookmarkStart w:id="720" w:name="sec-37-3"/>
    <w:p>
      <w:pPr>
        <w:pStyle w:val="Heading3"/>
      </w:pPr>
      <w:r>
        <w:t xml:space="preserve">37.3　一个可计算的例子</w:t>
      </w:r>
    </w:p>
    <w:p>
      <w:pPr>
        <w:pStyle w:val="FirstParagraph"/>
      </w:pPr>
      <w:r>
        <w:t xml:space="preserve">设某个假设实验中，单任务区组平均反应时间为五百毫秒，混合区组的重复试次为五百八十毫秒，切换试次为六百五十毫秒。局部切换成本为七十毫秒，混合成本为八十毫秒。三种条件错误率分别为百分之三、百分之四和百分之八。这个例子说明，规则转换同时影响速度和准确性；用每分钟按键次数单独评定效率会漏掉质量变化。这里的数值用于教学，未代表一个真实实验结果。</w:t>
      </w:r>
    </w:p>
    <w:p>
      <w:pPr>
        <w:pStyle w:val="BodyText"/>
      </w:pPr>
      <w:r>
        <w:t xml:space="preserve">再设训练后重复试次降到五百毫秒，切换试次降到五百七十毫秒。两者都加快了八十毫秒，局部切换差值仍为七十毫秒。训练改善了任务表现，局部切换成本没有缩小。另一个人训练后重复试次变慢到六百毫秒、切换试次仍为六百五十毫秒，差值缩小为五十毫秒，却没有获得更好的切换表现。训练结论必须回到各条件的绝对值和错误率。</w:t>
      </w:r>
    </w:p>
    <w:p>
      <w:pPr>
        <w:pStyle w:val="BodyText"/>
      </w:pPr>
      <w:r>
        <w:t xml:space="preserve">当两种条件的反应速度分布不同，单看均值还可能遗漏偶发长延迟。可以进一步报告中位数、反应时间分布、遗漏和个体内波动。对安全监测任务，一次极长的注意脱离可能比少量平均加速更有实际意义（另见</w:t>
      </w:r>
      <w:r>
        <w:t xml:space="preserve"> </w:t>
      </w:r>
      <w:hyperlink w:anchor="sec-36-16">
        <w:r>
          <w:rPr>
            <w:rStyle w:val="Hyperlink"/>
          </w:rPr>
          <w:t xml:space="preserve">36.16</w:t>
        </w:r>
      </w:hyperlink>
      <w:r>
        <w:t xml:space="preserve">）。对高质量写作，最终内容错误和返工时间通常比鼠标切换次数更贴近工作目标。</w:t>
      </w:r>
    </w:p>
    <w:bookmarkEnd w:id="720"/>
    <w:bookmarkStart w:id="721" w:name="sec-37-4"/>
    <w:p>
      <w:pPr>
        <w:pStyle w:val="Heading3"/>
      </w:pPr>
      <w:r>
        <w:t xml:space="preserve">37.4　准备能够改变哪些过程</w:t>
      </w:r>
    </w:p>
    <w:p>
      <w:pPr>
        <w:pStyle w:val="FirstParagraph"/>
      </w:pPr>
      <w:r>
        <w:t xml:space="preserve">提前出现的任务线索可以帮助建立新规则、调整注意对象和准备适当的动作映射。线索到刺激的时间增加后，部分切换代价可能下降；剩余代价与旧任务残留、刺激触发的规则竞争和准备不充分等因素有关。多种解释可以共同符合相似的行为曲线，需要通过更具体的操纵区分</w:t>
      </w:r>
      <w:r>
        <w:rPr>
          <w:vertAlign w:val="superscript"/>
        </w:rPr>
        <w:t xml:space="preserve">[</w:t>
      </w:r>
      <w:hyperlink w:anchor="ref-371">
        <w:r>
          <w:rPr>
            <w:rStyle w:val="Hyperlink"/>
            <w:vertAlign w:val="superscript"/>
          </w:rPr>
          <w:t xml:space="preserve">371</w:t>
        </w:r>
      </w:hyperlink>
      <w:r>
        <w:rPr>
          <w:vertAlign w:val="superscript"/>
        </w:rPr>
        <w:t xml:space="preserve">]</w:t>
      </w:r>
      <w:r>
        <w:t xml:space="preserve">。</w:t>
      </w:r>
    </w:p>
    <w:p>
      <w:pPr>
        <w:pStyle w:val="BodyText"/>
      </w:pPr>
      <w:r>
        <w:t xml:space="preserve">准备时间本身也有成本。如果一个工作系统通过增加十分钟的准备，把每次操作节省一秒，是否值得取决于操作次数、错误后果和准备是否可复用。实验中单次反应时间下降不能直接换成工作日节省比例。日常干扰还带来恢复目标的额外需求：被打断前解决到了哪一步，哪些假设已经排除，接下来准备验证什么。这些未外化的中间状态越多，重新建立上下文就越困难。</w:t>
      </w:r>
    </w:p>
    <w:p>
      <w:pPr>
        <w:pStyle w:val="BodyText"/>
      </w:pPr>
      <w:r>
        <w:t xml:space="preserve">由此可以提出一个工程策略：在必须中断的工作中保存可恢复的状态。记录当前目标、已完成步骤、当前变量值、仍待验证的假设、未解决问题和下一行动，能够减少恢复时对记忆重建的依赖。其效果应通过恢复时间、遗漏率和任务完成质量评估。把任务清单写得更长并不自动有益；记录需保持足够简洁，让阅读记录的负担小于重新推导的负担。对团队协作，记录还需要让其他人理解决策依据，不能只保存作者自己的缩写。</w:t>
      </w:r>
    </w:p>
    <w:bookmarkEnd w:id="721"/>
    <w:bookmarkStart w:id="722" w:name="sec-37-5"/>
    <w:p>
      <w:pPr>
        <w:pStyle w:val="Heading3"/>
      </w:pPr>
      <w:r>
        <w:t xml:space="preserve">37.5　自动化与训练迁移</w:t>
      </w:r>
    </w:p>
    <w:p>
      <w:pPr>
        <w:pStyle w:val="FirstParagraph"/>
      </w:pPr>
      <w:r>
        <w:t xml:space="preserve">练习可以加快特定刺激与反应之间的映射，减少对某些控制步骤的需求。高度熟悉的组合也可能形成协调顺序，使两个任务的高需求阶段错开。这样的改善具有明确价值，但迁移问题需要独立回答：任务材料变更、线索关系反转、反应方式改变或时间限制增强后，优势能否保留？</w:t>
      </w:r>
      <w:r>
        <w:rPr>
          <w:vertAlign w:val="superscript"/>
        </w:rPr>
        <w:t xml:space="preserve">[</w:t>
      </w:r>
      <w:hyperlink w:anchor="ref-371">
        <w:r>
          <w:rPr>
            <w:rStyle w:val="Hyperlink"/>
            <w:vertAlign w:val="superscript"/>
          </w:rPr>
          <w:t xml:space="preserve">371</w:t>
        </w:r>
      </w:hyperlink>
      <w:r>
        <w:rPr>
          <w:vertAlign w:val="superscript"/>
        </w:rPr>
        <w:t xml:space="preserve">,</w:t>
      </w:r>
      <w:hyperlink w:anchor="ref-372">
        <w:r>
          <w:rPr>
            <w:rStyle w:val="Hyperlink"/>
            <w:vertAlign w:val="superscript"/>
          </w:rPr>
          <w:t xml:space="preserve">372</w:t>
        </w:r>
      </w:hyperlink>
      <w:r>
        <w:rPr>
          <w:vertAlign w:val="superscript"/>
        </w:rPr>
        <w:t xml:space="preserve">]</w:t>
      </w:r>
    </w:p>
    <w:p>
      <w:pPr>
        <w:pStyle w:val="BodyText"/>
      </w:pPr>
      <w:r>
        <w:t xml:space="preserve">一个严谨的多任务训练试验至少要区分三种结果。练过的任务组合表现提高，说明组合熟练；使用新材料的相似任务提高，说明某种近迁移；结构不同的工作情境仍提高，才对较远的迁移提供支持。对照组应接受相当的练习时间、反馈、奖励和接触，避免把训练投入差异全部归给多任务训练的特异机制。</w:t>
      </w:r>
    </w:p>
    <w:p>
      <w:pPr>
        <w:pStyle w:val="BodyText"/>
      </w:pPr>
      <w:r>
        <w:t xml:space="preserve">训练还可能改变优先级。参与者在双任务条件中保护主要任务、牺牲次要任务，主要任务的成本便会下降。如果研究只报告主要任务，这种重新分配容易被描述成能力整体上升。应同时呈现两项任务的完整表现，并在设计阶段明确要求优先哪一项、允许怎样的权衡。安全关键场景尤其需要监测那些被牺牲的次要任务是否仍承担报警或复核功能。</w:t>
      </w:r>
    </w:p>
    <w:bookmarkEnd w:id="722"/>
    <w:bookmarkStart w:id="723" w:name="sec-37-6"/>
    <w:p>
      <w:pPr>
        <w:pStyle w:val="Heading3"/>
      </w:pPr>
      <w:r>
        <w:t xml:space="preserve">37.6　媒体多任务的相关研究可以回答什么</w:t>
      </w:r>
    </w:p>
    <w:p>
      <w:pPr>
        <w:pStyle w:val="FirstParagraph"/>
      </w:pPr>
      <w:r>
        <w:t xml:space="preserve">关于重度媒体多任务者的研究，常比较习惯同时使用多种媒体的人与其他人。这类比较常追溯到Ophir等2009年的研究，该研究报告重度媒体多任务者更容易受到无关刺激和无关记忆内容的干扰，任务切换成本也更大。后续结果并不一致：Wiradhany与Nieuwenstein的两项重复研究大多没有重现原结果，其元分析发现媒体多任务与分心的关联总体较弱，校正小样本效应后不再显著。Uncapher与Wagner的综述认为，重度媒体多任务者在工作记忆和持续注意等部分任务上倾向于表现较差，同时也有许多研究未发现组间差异。相关研究中，多任务频率的自报测量、样本构成和所用认知指标存在差异，不少早期比较的样本较小。该综述强调需要区分相关、选择效应与媒体使用导致的变化，现有文献不能把一个人的媒体习惯简单换算成稳定的注意能力高低</w:t>
      </w:r>
      <w:r>
        <w:rPr>
          <w:vertAlign w:val="superscript"/>
        </w:rPr>
        <w:t xml:space="preserve">[</w:t>
      </w:r>
      <w:hyperlink w:anchor="ref-373">
        <w:r>
          <w:rPr>
            <w:rStyle w:val="Hyperlink"/>
            <w:vertAlign w:val="superscript"/>
          </w:rPr>
          <w:t xml:space="preserve">373</w:t>
        </w:r>
      </w:hyperlink>
      <w:r>
        <w:rPr>
          <w:vertAlign w:val="superscript"/>
        </w:rPr>
        <w:t xml:space="preserve">]</w:t>
      </w:r>
      <w:r>
        <w:t xml:space="preserve">。</w:t>
      </w:r>
    </w:p>
    <w:p>
      <w:pPr>
        <w:pStyle w:val="BodyText"/>
      </w:pPr>
      <w:r>
        <w:t xml:space="preserve">可能的因果路径至少有三个。频繁切换可能塑造任务处理习惯；原有的注意控制或刺激寻求倾向可能影响媒体选择；学习和工作环境也可能同时增加媒体使用与注意困难。横断面的组间差异既不提供时间先后，也无法排除后两种路径。纵向研究、随机改变通知条件或媒体访问方式的实验，可以更接近特定因果问题，同时仍需说明干预实际改变了哪些活动。</w:t>
      </w:r>
    </w:p>
    <w:bookmarkEnd w:id="723"/>
    <w:bookmarkStart w:id="724" w:name="sec-37-7"/>
    <w:p>
      <w:pPr>
        <w:pStyle w:val="Heading3"/>
      </w:pPr>
      <w:r>
        <w:t xml:space="preserve">37.7　工作安排的可检验原则</w:t>
      </w:r>
    </w:p>
    <w:p>
      <w:pPr>
        <w:pStyle w:val="FirstParagraph"/>
      </w:pPr>
      <w:r>
        <w:t xml:space="preserve">需要深度推理的工作，可以先界定完成标准，再选择足够长且现实可行的连续工作段。连续时间长短应随任务阶段调整。搜集资料阶段可能需要频繁切换来源，推导论证阶段则可能需要保持较多相互依赖的信息。把所有切换都算成失败会误判有效的信息获取；把所有在线活动都算成工作又会掩盖偏离目标。</w:t>
      </w:r>
    </w:p>
    <w:p>
      <w:pPr>
        <w:pStyle w:val="BodyText"/>
      </w:pPr>
      <w:r>
        <w:t xml:space="preserve">通知处理可以围绕任务价值安排。立即响应具有明确价值的信号可以保留，低价值消息可以集中查看。若采用批量处理，应同时观察延迟是否造成协作损失。好的安排在个人效率和他人等待成本之间取得可评估的平衡。工作质量、返工、团队响应和恢复负荷共同构成结果，单一专注时长难以概括。</w:t>
      </w:r>
    </w:p>
    <w:bookmarkEnd w:id="724"/>
    <w:bookmarkStart w:id="725" w:name="sec-37-8"/>
    <w:p>
      <w:pPr>
        <w:pStyle w:val="Heading3"/>
      </w:pPr>
      <w:r>
        <w:t xml:space="preserve">37.8　规则表征与目标维护</w:t>
      </w:r>
    </w:p>
    <w:p>
      <w:pPr>
        <w:pStyle w:val="FirstParagraph"/>
      </w:pPr>
      <w:r>
        <w:t xml:space="preserve">任务规则把刺激、目标和反应联系起来。看到数字时，可以按大小判断，也可以按奇偶判断；同一刺激对应的正确动作取决于当前规则。多任务环境需要持续知道当前使用哪套映射，并在必要时更新。错误可能来自刺激辨别、规则选择、反应选择或执行，不能只归结为一个笼统的注意不足。</w:t>
      </w:r>
    </w:p>
    <w:p>
      <w:pPr>
        <w:pStyle w:val="BodyText"/>
      </w:pPr>
      <w:r>
        <w:t xml:space="preserve">规则还可以具有层级。写报告时，整体目标是形成论证，子目标可能是核对数据、整理段落或查找引用。切换子任务有时仍服务于同一总体目标，切换到无关消息则可能需要更大范围的目标重建。研究日常多任务时，应明确切换发生在哪个层级。</w:t>
      </w:r>
    </w:p>
    <w:p>
      <w:pPr>
        <w:pStyle w:val="BodyText"/>
      </w:pPr>
      <w:r>
        <w:t xml:space="preserve">执行功能的经典潜在变量研究发现，更新、切换与抑制既有共同部分，也呈现可区分结构</w:t>
      </w:r>
      <w:r>
        <w:rPr>
          <w:vertAlign w:val="superscript"/>
        </w:rPr>
        <w:t xml:space="preserve">[</w:t>
      </w:r>
      <w:hyperlink w:anchor="ref-374">
        <w:r>
          <w:rPr>
            <w:rStyle w:val="Hyperlink"/>
            <w:vertAlign w:val="superscript"/>
          </w:rPr>
          <w:t xml:space="preserve">374</w:t>
        </w:r>
      </w:hyperlink>
      <w:r>
        <w:rPr>
          <w:vertAlign w:val="superscript"/>
        </w:rPr>
        <w:t xml:space="preserve">]</w:t>
      </w:r>
      <w:r>
        <w:t xml:space="preserve">。这帮助解释为什么一个人在规则切换任务上表现好，未必在所有需要控制的任务上都同样突出。具体任务还包含非执行成分，解释应结合操作要求。</w:t>
      </w:r>
    </w:p>
    <w:bookmarkEnd w:id="725"/>
    <w:bookmarkStart w:id="726" w:name="sec-37-9"/>
    <w:p>
      <w:pPr>
        <w:pStyle w:val="Heading3"/>
      </w:pPr>
      <w:r>
        <w:t xml:space="preserve">37.9　中央瓶颈的阶段模型</w:t>
      </w:r>
    </w:p>
    <w:p>
      <w:pPr>
        <w:pStyle w:val="FirstParagraph"/>
      </w:pPr>
      <w:r>
        <w:t xml:space="preserve">一个简化反应任务可以分成感知编码、反应选择和动作输出。若两个任务的感知阶段能够部分重叠，但反应选择需要排队，第二项反应就可能等待第一项选择完成。改变刺激出现间隔，可以观察等待何时出现和消失。</w:t>
      </w:r>
    </w:p>
    <w:p>
      <w:pPr>
        <w:pStyle w:val="BodyText"/>
      </w:pPr>
      <w:r>
        <w:t xml:space="preserve">模型的价值在于产生可检验的相加或交互预测。若把第二任务的感知难度提高，额外处理时间可能在等待期间被部分吸收；若提高其反应选择难度，延迟可能更直接累加。真实数据还受到策略、资源共享和输出限制影响，因此单一模式需要与多个操纵共同解释。</w:t>
      </w:r>
    </w:p>
    <w:p>
      <w:pPr>
        <w:pStyle w:val="BodyText"/>
      </w:pPr>
      <w:r>
        <w:t xml:space="preserve">训练可能缩短某个瓶颈阶段，使任务能够更快轮流通过。Dux等结合行为与成像，提出特定双任务训练的改善与前额叶信息处理加速有关</w:t>
      </w:r>
      <w:r>
        <w:rPr>
          <w:vertAlign w:val="superscript"/>
        </w:rPr>
        <w:t xml:space="preserve">[</w:t>
      </w:r>
      <w:hyperlink w:anchor="ref-375">
        <w:r>
          <w:rPr>
            <w:rStyle w:val="Hyperlink"/>
            <w:vertAlign w:val="superscript"/>
          </w:rPr>
          <w:t xml:space="preserve">375</w:t>
        </w:r>
      </w:hyperlink>
      <w:r>
        <w:rPr>
          <w:vertAlign w:val="superscript"/>
        </w:rPr>
        <w:t xml:space="preserve">]</w:t>
      </w:r>
      <w:r>
        <w:t xml:space="preserve">。这为高效连续处理提供机制例子，研究条件不能推广成所有复杂工作都已实现无成本并行。</w:t>
      </w:r>
    </w:p>
    <w:bookmarkEnd w:id="726"/>
    <w:bookmarkStart w:id="727" w:name="sec-37-10"/>
    <w:p>
      <w:pPr>
        <w:pStyle w:val="Heading3"/>
      </w:pPr>
      <w:r>
        <w:t xml:space="preserve">37.10　任务调度与时间结构</w:t>
      </w:r>
    </w:p>
    <w:p>
      <w:pPr>
        <w:pStyle w:val="FirstParagraph"/>
      </w:pPr>
      <w:r>
        <w:t xml:space="preserve">有些工作包含等待外部结果的阶段，例如程序运行、文件传输或同事回复。把另一项任务安排在等待窗口内，可以提高整体时间利用率。收益来自任务时序的安排，仍需考虑返回主要任务的成本。若等待结束信号不清楚，可能发生过度延迟。</w:t>
      </w:r>
    </w:p>
    <w:p>
      <w:pPr>
        <w:pStyle w:val="BodyText"/>
      </w:pPr>
      <w:r>
        <w:t xml:space="preserve">可以把工作画成依赖图：哪些步骤必须先完成，哪些可以独立进行，哪些需要持续监测。并行安排适合独立或低竞争阶段，高需求决策阶段可能需要更明确的优先级。系统设计可以通过排队、提示和状态保存减少不必要切换。</w:t>
      </w:r>
    </w:p>
    <w:p>
      <w:pPr>
        <w:pStyle w:val="BodyText"/>
      </w:pPr>
      <w:r>
        <w:t xml:space="preserve">一个假设案例是处理数据分析。数据清理完成前，正式统计无法开始；计算等待时可以整理方法描述；解释结果时则需要集中核对模型假设。把所有步骤同时打开不会解除逻辑依赖，适当时序能够减少无效等待和上下文丢失。</w:t>
      </w:r>
    </w:p>
    <w:bookmarkEnd w:id="727"/>
    <w:bookmarkStart w:id="728" w:name="sec-37-11"/>
    <w:p>
      <w:pPr>
        <w:pStyle w:val="Heading3"/>
      </w:pPr>
      <w:r>
        <w:t xml:space="preserve">37.11　中断位置与恢复线索</w:t>
      </w:r>
    </w:p>
    <w:p>
      <w:pPr>
        <w:pStyle w:val="FirstParagraph"/>
      </w:pPr>
      <w:r>
        <w:t xml:space="preserve">中断发生在自然边界时，工作状态可能已经完成一个可保存单元；发生在复杂推导中间时，尚未外化的中间结果更多。由此可以提出条件预测：在其他因素相当时，后者可能需要更长恢复或更易遗漏。实际效果需要对应任务测试。</w:t>
      </w:r>
    </w:p>
    <w:p>
      <w:pPr>
        <w:pStyle w:val="BodyText"/>
      </w:pPr>
      <w:r>
        <w:t xml:space="preserve">中断后的第一步可以是核对状态，再继续操作。直接从记忆猜测上次做到哪里，可能导致重复、跳步或使用旧版本。对安全关键任务，明确检查点与交接程序具有实际意义；具体制度需要依据领域要求制定。</w:t>
      </w:r>
    </w:p>
    <w:bookmarkEnd w:id="728"/>
    <w:bookmarkStart w:id="729" w:name="sec-37-12"/>
    <w:p>
      <w:pPr>
        <w:pStyle w:val="Heading3"/>
      </w:pPr>
      <w:r>
        <w:t xml:space="preserve">37.12　停止与切换的差别</w:t>
      </w:r>
    </w:p>
    <w:p>
      <w:pPr>
        <w:pStyle w:val="FirstParagraph"/>
      </w:pPr>
      <w:r>
        <w:t xml:space="preserve">停止一个动作与改用另一套规则具有联系，也提出不同计算要求。停止信号任务要求参与者通常快速作答，在偶尔出现停止信号时取消反应。模型把进行中的反应与停止过程描述为竞争，停止反应时间是基于分布和假设估计的量</w:t>
      </w:r>
      <w:r>
        <w:rPr>
          <w:vertAlign w:val="superscript"/>
        </w:rPr>
        <w:t xml:space="preserve">[</w:t>
      </w:r>
      <w:hyperlink w:anchor="ref-376">
        <w:r>
          <w:rPr>
            <w:rStyle w:val="Hyperlink"/>
            <w:vertAlign w:val="superscript"/>
          </w:rPr>
          <w:t xml:space="preserve">376</w:t>
        </w:r>
      </w:hyperlink>
      <w:r>
        <w:rPr>
          <w:vertAlign w:val="superscript"/>
        </w:rPr>
        <w:t xml:space="preserve">]</w:t>
      </w:r>
      <w:r>
        <w:t xml:space="preserve">。</w:t>
      </w:r>
    </w:p>
    <w:p>
      <w:pPr>
        <w:pStyle w:val="BodyText"/>
      </w:pPr>
      <w:r>
        <w:t xml:space="preserve">如果参与者为了容易停止而把所有反应都放慢，停止成功率会提高，却未必说明停止过程更快。因此，研究需监测主动等待、遗漏和反应分布。任务参数与分析方法不合适时，停止能力估计可能失真。这个例子说明，多任务训练中的控制指标需要理解其生成机制。</w:t>
      </w:r>
    </w:p>
    <w:p>
      <w:pPr>
        <w:pStyle w:val="BodyText"/>
      </w:pPr>
      <w:r>
        <w:t xml:space="preserve">日常停止还受到目标价值和环境线索影响。手机通知引发查看动作，用户可能在动作开始前改变环境，也可能在冲动出现后尝试停止。前者减少触发机会，后者要求在线控制。两种路径可以互补，其成效应由实际任务完成和负担评价。</w:t>
      </w:r>
    </w:p>
    <w:bookmarkEnd w:id="729"/>
    <w:bookmarkStart w:id="730" w:name="sec-37-13"/>
    <w:p>
      <w:pPr>
        <w:pStyle w:val="Heading3"/>
      </w:pPr>
      <w:r>
        <w:t xml:space="preserve">37.13　协调收益与协调成本</w:t>
      </w:r>
    </w:p>
    <w:p>
      <w:pPr>
        <w:pStyle w:val="FirstParagraph"/>
      </w:pPr>
      <w:r>
        <w:t xml:space="preserve">双人合作也存在类似问题。两个人分工可以同时处理不同部分，协调、传递信息和整合结果需要时间。如果任务高度可分，分工可能有效；若每一步都依赖共享细节，沟通成本可能较高。个体多任务与团队并行具有不同机制，不能用同一效率公式概括。</w:t>
      </w:r>
    </w:p>
    <w:p>
      <w:pPr>
        <w:pStyle w:val="BodyText"/>
      </w:pPr>
      <w:r>
        <w:t xml:space="preserve">工具自动化也需要监督。自动流程可以减少重复操作，却可能增加监控和异常处理需求。用户需要知道系统当前状态、何时需要介入以及怎样恢复。评价自动化收益应包括正常运行与异常情况，平均节省时间不能覆盖所有风险。</w:t>
      </w:r>
    </w:p>
    <w:p>
      <w:pPr>
        <w:pStyle w:val="BodyText"/>
      </w:pPr>
      <w:r>
        <w:t xml:space="preserve">对学习任务，过早自动化某一步可能减少理解练习，适当自动化又能释放资源处理更高层问题。教学需要根据目标决定哪些步骤应由学生掌握，哪些可以交给工具。多任务管理最终服务于任务目标和学习阶段。</w:t>
      </w:r>
    </w:p>
    <w:bookmarkEnd w:id="730"/>
    <w:bookmarkStart w:id="731" w:name="sec-37-14"/>
    <w:p>
      <w:pPr>
        <w:pStyle w:val="Heading3"/>
      </w:pPr>
      <w:r>
        <w:t xml:space="preserve">37.14　从复杂任务中识别瓶颈</w:t>
      </w:r>
    </w:p>
    <w:p>
      <w:pPr>
        <w:pStyle w:val="FirstParagraph"/>
      </w:pPr>
      <w:r>
        <w:t xml:space="preserve">当工作效率低时，可以逐步定位瓶颈：信息是否难找，规则是否不清，是否缺少先备知识，是否频繁中断，是否等待外部依赖，是否需要反复返工。不同瓶颈需要不同改进。仅要求“更专注”可能无法解决材料组织或流程依赖问题。</w:t>
      </w:r>
    </w:p>
    <w:p>
      <w:pPr>
        <w:pStyle w:val="BodyText"/>
      </w:pPr>
      <w:r>
        <w:t xml:space="preserve">可以选取一个具体任务，记录关键阶段时间和错误，再改变一个可控因素。若关闭通知后恢复时间减少，支持干扰管理的价值；若结果仍差，可能需要知识或流程支持。个人分析的目的在于改善工作，推论范围限于观察条件。</w:t>
      </w:r>
    </w:p>
    <w:p>
      <w:pPr>
        <w:pStyle w:val="BodyText"/>
      </w:pPr>
      <w:r>
        <w:t xml:space="preserve">一个成熟的多任务策略包含主动选择：决定什么值得立即处理，什么适合等待，什么可以委托或自动化，以及何时检查整体目标。熟练意味着对任务结构更准确地分配控制，无法仅由窗口数量或忙碌感判断。</w:t>
      </w:r>
    </w:p>
    <w:bookmarkEnd w:id="731"/>
    <w:bookmarkStart w:id="732" w:name="sec-37-15"/>
    <w:p>
      <w:pPr>
        <w:pStyle w:val="Heading3"/>
      </w:pPr>
      <w:r>
        <w:t xml:space="preserve">37.15　练习与解析</w:t>
      </w:r>
    </w:p>
    <w:p>
      <w:pPr>
        <w:pStyle w:val="FirstParagraph"/>
      </w:pPr>
      <w:r>
        <w:t xml:space="preserve">练习一：一项研究发现，多任务训练组在训练题上快了百分之二十；对照组只观看说明视频。作者据此声称训练提高了日常执行功能。评价这个推论。解析：训练题改善有直接支持，练习量和期待差异仍可能解释组间结果。日常迁移需要未训练任务与真实功能指标，并配备接触、奖励和练习时长相当的主动对照。</w:t>
      </w:r>
    </w:p>
    <w:p>
      <w:pPr>
        <w:pStyle w:val="BodyText"/>
      </w:pPr>
      <w:r>
        <w:t xml:space="preserve">练习二：两位工作人员最终都完成十份材料，一位交替处理，另一位逐份完成。怎样比较效率？解析：需要记录总时间、准确率、复杂程度、返工、等待依赖和中断次数。若部分任务等待外部回复，合理交错可能利用空档；若每份材料都有大量需保持的中间状态，切换可能增加恢复需求。结果必须对实际任务结构解释。</w:t>
      </w:r>
    </w:p>
    <w:p>
      <w:pPr>
        <w:pStyle w:val="BodyText"/>
      </w:pPr>
      <w:r>
        <w:t xml:space="preserve">练习三：局部切换成本较小，可以直接说明执行控制更强吗？解析：需要同时检查重复条件基线、整体速度、错误率、可靠性和策略。差值指标包含两个测量的误差，单次小差值无法稳健地描述一个人的通用能力。</w:t>
      </w:r>
    </w:p>
    <w:bookmarkEnd w:id="732"/>
    <w:bookmarkEnd w:id="733"/>
    <w:bookmarkStart w:id="758" w:name="ch-38"/>
    <w:p>
      <w:pPr>
        <w:pStyle w:val="Heading2"/>
      </w:pPr>
      <w:r>
        <w:t xml:space="preserve">第38章　知觉推断、注意选择与感觉运动预测</w:t>
      </w:r>
    </w:p>
    <w:bookmarkStart w:id="734" w:name="sec-38-1"/>
    <w:p>
      <w:pPr>
        <w:pStyle w:val="Heading3"/>
      </w:pPr>
      <w:r>
        <w:t xml:space="preserve">38.1　感觉输入为什么需要解释</w:t>
      </w:r>
    </w:p>
    <w:p>
      <w:pPr>
        <w:pStyle w:val="FirstParagraph"/>
      </w:pPr>
      <w:r>
        <w:t xml:space="preserve">环境中的物体具有位置、形状、材质和运动状态，感官获得的信号还受到光照、遮挡、观察角度和身体状态影响。一个较暗的图像区域可能来自深色材料，也可能来自阴影。同样大小的视网膜投影，可以由较小的近物体或较大的远物体产生。知觉需要在这些可能原因之间作出约束充分的解释。这种从结果估计原因的问题，通常称为逆问题</w:t>
      </w:r>
      <w:r>
        <w:rPr>
          <w:vertAlign w:val="superscript"/>
        </w:rPr>
        <w:t xml:space="preserve">[</w:t>
      </w:r>
      <w:hyperlink w:anchor="ref-377">
        <w:r>
          <w:rPr>
            <w:rStyle w:val="Hyperlink"/>
            <w:vertAlign w:val="superscript"/>
          </w:rPr>
          <w:t xml:space="preserve">377</w:t>
        </w:r>
      </w:hyperlink>
      <w:r>
        <w:rPr>
          <w:vertAlign w:val="superscript"/>
        </w:rPr>
        <w:t xml:space="preserve">]</w:t>
      </w:r>
      <w:r>
        <w:t xml:space="preserve">。</w:t>
      </w:r>
    </w:p>
    <w:p>
      <w:pPr>
        <w:pStyle w:val="BodyText"/>
      </w:pPr>
      <w:r>
        <w:t xml:space="preserve">逆问题的关键困难是多解性。若不同世界状态可以产生相似输入，增加计算速度仍无法自动消除歧义；系统需要更多线索或额外约束。移动头部、结合触觉、利用场景关系和运用过去经验，均可在理论上缩小候选解释范围。观察者的行为也因此可以成为获取信息的组成部分。</w:t>
      </w:r>
    </w:p>
    <w:p>
      <w:pPr>
        <w:pStyle w:val="BodyText"/>
      </w:pPr>
      <w:r>
        <w:t xml:space="preserve">一个原创例子是从一幅照片估计桌子的长度。照片中的像素长度没有直接给出真实米数。已知相机距离、旁边物体的标准尺寸或另一角度照片后，估计才可能更受约束。这个例子说明，知觉判断的准确性依赖输入和背景条件共同提供的信息。</w:t>
      </w:r>
    </w:p>
    <w:bookmarkEnd w:id="734"/>
    <w:bookmarkStart w:id="735" w:name="sec-38-2"/>
    <w:p>
      <w:pPr>
        <w:pStyle w:val="Heading3"/>
      </w:pPr>
      <w:r>
        <w:t xml:space="preserve">38.2　生成过程、似然与先验</w:t>
      </w:r>
    </w:p>
    <w:p>
      <w:pPr>
        <w:pStyle w:val="FirstParagraph"/>
      </w:pPr>
      <w:r>
        <w:t xml:space="preserve">一种形式化思路从生成过程开始：假定物体、光源和观察位置已知，预测感官会收到什么信号。似然描述假如某个候选世界状态成立，出现当前输入的可能性有多大；先验表达观察输入之前对候选状态的约束；后验结合两者。贝叶斯知觉模型用这些量组织推断</w:t>
      </w:r>
      <w:r>
        <w:rPr>
          <w:vertAlign w:val="superscript"/>
        </w:rPr>
        <w:t xml:space="preserve">[</w:t>
      </w:r>
      <w:hyperlink w:anchor="ref-377">
        <w:r>
          <w:rPr>
            <w:rStyle w:val="Hyperlink"/>
            <w:vertAlign w:val="superscript"/>
          </w:rPr>
          <w:t xml:space="preserve">377</w:t>
        </w:r>
      </w:hyperlink>
      <w:r>
        <w:rPr>
          <w:vertAlign w:val="superscript"/>
        </w:rPr>
        <w:t xml:space="preserve">]</w:t>
      </w:r>
      <w:r>
        <w:t xml:space="preserve">。</w:t>
      </w:r>
    </w:p>
    <w:p>
      <w:pPr>
        <w:pStyle w:val="BodyText"/>
      </w:pPr>
      <w:r>
        <w:t xml:space="preserve">在教学中，应避免把先验理解成“主观愿望”。先验可以来自环境统计、长期学习、当前情境或任务提示。它也可能错误。例如在惯常摆放工具的位置寻找剪刀具有合理性，但物品被移走后，原有位置先验会产生偏差。先验的价值取决于过去规律与当前环境之间的关系。</w:t>
      </w:r>
    </w:p>
    <w:p>
      <w:pPr>
        <w:pStyle w:val="BodyText"/>
      </w:pPr>
      <w:r>
        <w:t xml:space="preserve">后验判断还需要连接到行动目标。寻找最可能的位置，与选择最值得首先检查的位置，可能给出不同答案。检查某个位置的成本、错误后果和时间限制都会改变决策。知觉估计与最终行为之间存在可分析的转换步骤，单看按钮选择不足以确定所有感知过程。</w:t>
      </w:r>
    </w:p>
    <w:bookmarkEnd w:id="735"/>
    <w:bookmarkStart w:id="736" w:name="sec-38-3"/>
    <w:p>
      <w:pPr>
        <w:pStyle w:val="Heading3"/>
      </w:pPr>
      <w:r>
        <w:t xml:space="preserve">38.3　不确定性与线索加权</w:t>
      </w:r>
    </w:p>
    <w:p>
      <w:pPr>
        <w:pStyle w:val="FirstParagraph"/>
      </w:pPr>
      <w:r>
        <w:t xml:space="preserve">不同感官线索具有不同误差来源。视觉位置在光照良好时可能较精确，触觉在某些几何判断中更有信息。视觉和触觉整合实验表明，在特定条件下，人的权重可以随线索可靠性变化，并接近统计模型的预测</w:t>
      </w:r>
      <w:r>
        <w:rPr>
          <w:vertAlign w:val="superscript"/>
        </w:rPr>
        <w:t xml:space="preserve">[</w:t>
      </w:r>
      <w:hyperlink w:anchor="ref-378">
        <w:r>
          <w:rPr>
            <w:rStyle w:val="Hyperlink"/>
            <w:vertAlign w:val="superscript"/>
          </w:rPr>
          <w:t xml:space="preserve">378</w:t>
        </w:r>
      </w:hyperlink>
      <w:r>
        <w:rPr>
          <w:vertAlign w:val="superscript"/>
        </w:rPr>
        <w:t xml:space="preserve">]</w:t>
      </w:r>
      <w:r>
        <w:t xml:space="preserve">。这类结果支持精度相关加权具有解释价值。</w:t>
      </w:r>
    </w:p>
    <w:p>
      <w:pPr>
        <w:pStyle w:val="BodyText"/>
      </w:pPr>
      <w:r>
        <w:t xml:space="preserve">以下数值只用于说明模型。假设两个彼此独立、无偏且近似高斯的估计，标准差分别为一和二个单位。在按方差倒数加权的模型中，两个权重分别为零点八和零点二。若第二条线索因训练或观察条件改善而更精确，其合理权重会增加。公式中的变化依据是误差结构，不能直接转成对某种感官的固定偏好。</w:t>
      </w:r>
    </w:p>
    <w:p>
      <w:pPr>
        <w:pStyle w:val="BodyText"/>
      </w:pPr>
      <w:r>
        <w:t xml:space="preserve">上述推导依赖独立性和误差分布。若两条线索共享同一来源的偏差，简单合并可能把重复信息当成新增证据；若其中一条出现偶发巨大错误，平均值也可能受影响。现实知觉系统是否采用某一加权规则，必须针对具体任务检验。统计最优还依赖所定义的目标函数。</w:t>
      </w:r>
    </w:p>
    <w:bookmarkEnd w:id="736"/>
    <w:bookmarkStart w:id="737" w:name="sec-38-4"/>
    <w:p>
      <w:pPr>
        <w:pStyle w:val="Heading3"/>
      </w:pPr>
      <w:r>
        <w:t xml:space="preserve">38.4　整合之前的共同来源问题</w:t>
      </w:r>
    </w:p>
    <w:p>
      <w:pPr>
        <w:pStyle w:val="FirstParagraph"/>
      </w:pPr>
      <w:r>
        <w:t xml:space="preserve">看到嘴唇动作并听到语音时，观察者需要判断两种信息是否来自同一事件。若画面与声音明显错位，强行融合可能降低准确性。多感官因果推断模型在共同来源与不同来源假设之间分配支持，并让这种判断影响整合程度</w:t>
      </w:r>
      <w:r>
        <w:rPr>
          <w:vertAlign w:val="superscript"/>
        </w:rPr>
        <w:t xml:space="preserve">[</w:t>
      </w:r>
      <w:hyperlink w:anchor="ref-379">
        <w:r>
          <w:rPr>
            <w:rStyle w:val="Hyperlink"/>
            <w:vertAlign w:val="superscript"/>
          </w:rPr>
          <w:t xml:space="preserve">379</w:t>
        </w:r>
      </w:hyperlink>
      <w:r>
        <w:rPr>
          <w:vertAlign w:val="superscript"/>
        </w:rPr>
        <w:t xml:space="preserve">]</w:t>
      </w:r>
      <w:r>
        <w:t xml:space="preserve">。</w:t>
      </w:r>
    </w:p>
    <w:p>
      <w:pPr>
        <w:pStyle w:val="BodyText"/>
      </w:pPr>
      <w:r>
        <w:t xml:space="preserve">这里的“因果”指感官信号的潜在共同来源。它与通过干预确定社会事件因果关系具有不同任务要求。共同来源的概率可以受到时间同步、空间接近、内容一致和经验影响。某一种线索差异增大时，系统可能逐渐降低整合权重，具体函数依任务而异。</w:t>
      </w:r>
    </w:p>
    <w:p>
      <w:pPr>
        <w:pStyle w:val="BodyText"/>
      </w:pPr>
      <w:r>
        <w:t xml:space="preserve">原创练习可以用两个扬声器和一段动画说明。声音位置与人物嘴部接近时，学习者考虑共同来源；当声音来自远处且时间明显不同步时，需要考虑独立来源。教学重点是让学生区分“每条线索有多精确”和“这些线索是否属于同一个对象”。两问分别约束整合的强度与资格。</w:t>
      </w:r>
    </w:p>
    <w:bookmarkEnd w:id="737"/>
    <w:bookmarkStart w:id="738" w:name="sec-38-5"/>
    <w:p>
      <w:pPr>
        <w:pStyle w:val="Heading3"/>
      </w:pPr>
      <w:r>
        <w:t xml:space="preserve">38.5　期望、注意与报告的分工</w:t>
      </w:r>
    </w:p>
    <w:p>
      <w:pPr>
        <w:pStyle w:val="FirstParagraph"/>
      </w:pPr>
      <w:r>
        <w:t xml:space="preserve">期望描述某事件发生的预测；注意描述信息在加工与行为控制中获得的优先程度。一个频繁出现的背景图形可以高度可预测，同时与任务无关；一个罕见的目标则可能具有高优先级。期望与注意之间存在交互，但两者需要独立操作和测量</w:t>
      </w:r>
      <w:r>
        <w:rPr>
          <w:vertAlign w:val="superscript"/>
        </w:rPr>
        <w:t xml:space="preserve">[</w:t>
      </w:r>
      <w:hyperlink w:anchor="ref-380">
        <w:r>
          <w:rPr>
            <w:rStyle w:val="Hyperlink"/>
            <w:vertAlign w:val="superscript"/>
          </w:rPr>
          <w:t xml:space="preserve">380</w:t>
        </w:r>
      </w:hyperlink>
      <w:r>
        <w:rPr>
          <w:vertAlign w:val="superscript"/>
        </w:rPr>
        <w:t xml:space="preserve">]</w:t>
      </w:r>
      <w:r>
        <w:t xml:space="preserve">。</w:t>
      </w:r>
    </w:p>
    <w:p>
      <w:pPr>
        <w:pStyle w:val="BodyText"/>
      </w:pPr>
      <w:r>
        <w:t xml:space="preserve">例如要求观察者报告朝左的短线，同时让朝右短线更常出现，可以把任务相关性与出现概率分开。若实验只把常见目标同罕见干扰物比较，行为差异会同时包含概率、相关性和反应准备。清楚的操作化有助于确认究竟哪一种心理变量发挥作用。</w:t>
      </w:r>
    </w:p>
    <w:p>
      <w:pPr>
        <w:pStyle w:val="BodyText"/>
      </w:pPr>
      <w:r>
        <w:t xml:space="preserve">报告还受判断标准影响。在寻找可能出现的微弱信号时，提高“有信号”的先验概率可以增加肯定回答。肯定回答增多可能涉及感觉证据变化，也可能涉及接受证据的门槛变化。需要同时观察命中、误报、反应时和置信度等相互约束的指标，并选择与问题相符的模型。</w:t>
      </w:r>
    </w:p>
    <w:bookmarkEnd w:id="738"/>
    <w:bookmarkStart w:id="739" w:name="sec-38-6"/>
    <w:p>
      <w:pPr>
        <w:pStyle w:val="Heading3"/>
      </w:pPr>
      <w:r>
        <w:t xml:space="preserve">38.6　预测加工包含不同强度的主张</w:t>
      </w:r>
    </w:p>
    <w:p>
      <w:pPr>
        <w:pStyle w:val="FirstParagraph"/>
      </w:pPr>
      <w:r>
        <w:t xml:space="preserve">预测加工可以指经验影响当前知觉，也可以指系统明确表征预期输入，还可以指层级回路利用预测误差更新表征。更强的版本提出，类似计算构成广泛皮层活动的统一组织原则。这些主张的范围逐级扩大，各自需要相应证据。层级预测编码模型提供了具体计算方案，后续回路框架进一步讨论其可能实现</w:t>
      </w:r>
      <w:r>
        <w:rPr>
          <w:vertAlign w:val="superscript"/>
        </w:rPr>
        <w:t xml:space="preserve">[</w:t>
      </w:r>
      <w:hyperlink w:anchor="ref-381">
        <w:r>
          <w:rPr>
            <w:rStyle w:val="Hyperlink"/>
            <w:vertAlign w:val="superscript"/>
          </w:rPr>
          <w:t xml:space="preserve">381</w:t>
        </w:r>
      </w:hyperlink>
      <w:r>
        <w:rPr>
          <w:vertAlign w:val="superscript"/>
        </w:rPr>
        <w:t xml:space="preserve">,</w:t>
      </w:r>
      <w:hyperlink w:anchor="ref-382">
        <w:r>
          <w:rPr>
            <w:rStyle w:val="Hyperlink"/>
            <w:vertAlign w:val="superscript"/>
          </w:rPr>
          <w:t xml:space="preserve">382</w:t>
        </w:r>
      </w:hyperlink>
      <w:r>
        <w:rPr>
          <w:vertAlign w:val="superscript"/>
        </w:rPr>
        <w:t xml:space="preserve">]</w:t>
      </w:r>
      <w:r>
        <w:t xml:space="preserve">。</w:t>
      </w:r>
    </w:p>
    <w:p>
      <w:pPr>
        <w:pStyle w:val="BodyText"/>
      </w:pPr>
      <w:r>
        <w:t xml:space="preserve">经验影响知觉的证据，能够支持第一层主张。它尚不足以单独确定信息沿哪些层级传播、由哪些细胞比较以及是否采用减法。一个模型成功解释某类情境效应，可以说明该模型具有充分解释能力；其他模型是否也能产生相似结果，仍属于必要问题。</w:t>
      </w:r>
    </w:p>
    <w:p>
      <w:pPr>
        <w:pStyle w:val="BodyText"/>
      </w:pPr>
      <w:r>
        <w:t xml:space="preserve">2026年的批判性综述强调，研究中的预测加工定义和误差信号解释仍有重要差异，外观相似的神经响应可能来自不同计算</w:t>
      </w:r>
      <w:r>
        <w:rPr>
          <w:vertAlign w:val="superscript"/>
        </w:rPr>
        <w:t xml:space="preserve">[</w:t>
      </w:r>
      <w:hyperlink w:anchor="ref-383">
        <w:r>
          <w:rPr>
            <w:rStyle w:val="Hyperlink"/>
            <w:vertAlign w:val="superscript"/>
          </w:rPr>
          <w:t xml:space="preserve">383</w:t>
        </w:r>
      </w:hyperlink>
      <w:r>
        <w:rPr>
          <w:vertAlign w:val="superscript"/>
        </w:rPr>
        <w:t xml:space="preserve">]</w:t>
      </w:r>
      <w:r>
        <w:t xml:space="preserve">。这一讨论有助于把宽泛口号转成可检验的局部命题，同时保留预测模型在适当范围内的价值。</w:t>
      </w:r>
    </w:p>
    <w:bookmarkEnd w:id="739"/>
    <w:bookmarkStart w:id="740" w:name="sec-38-7"/>
    <w:p>
      <w:pPr>
        <w:pStyle w:val="Heading3"/>
      </w:pPr>
      <w:r>
        <w:t xml:space="preserve">38.7　误差信号与惊讶的区别</w:t>
      </w:r>
    </w:p>
    <w:p>
      <w:pPr>
        <w:pStyle w:val="FirstParagraph"/>
      </w:pPr>
      <w:r>
        <w:t xml:space="preserve">在简单有符号误差模型中，实际输入大于预测与小于预测具有不同方向。若研究只测“意外事件引起更强响应”，得到的可能是偏差大小、显著性、唤醒或其他变化。要说明某个信号编码特定预测误差，需要明确预测的对象、比较方式和符号含义</w:t>
      </w:r>
      <w:r>
        <w:rPr>
          <w:vertAlign w:val="superscript"/>
        </w:rPr>
        <w:t xml:space="preserve">[</w:t>
      </w:r>
      <w:hyperlink w:anchor="ref-381">
        <w:r>
          <w:rPr>
            <w:rStyle w:val="Hyperlink"/>
            <w:vertAlign w:val="superscript"/>
          </w:rPr>
          <w:t xml:space="preserve">381</w:t>
        </w:r>
      </w:hyperlink>
      <w:r>
        <w:rPr>
          <w:vertAlign w:val="superscript"/>
        </w:rPr>
        <w:t xml:space="preserve">,</w:t>
      </w:r>
      <w:hyperlink w:anchor="ref-383">
        <w:r>
          <w:rPr>
            <w:rStyle w:val="Hyperlink"/>
            <w:vertAlign w:val="superscript"/>
          </w:rPr>
          <w:t xml:space="preserve">383</w:t>
        </w:r>
      </w:hyperlink>
      <w:r>
        <w:rPr>
          <w:vertAlign w:val="superscript"/>
        </w:rPr>
        <w:t xml:space="preserve">]</w:t>
      </w:r>
      <w:r>
        <w:t xml:space="preserve">。</w:t>
      </w:r>
    </w:p>
    <w:p>
      <w:pPr>
        <w:pStyle w:val="BodyText"/>
      </w:pPr>
      <w:r>
        <w:t xml:space="preserve">精度加权又加入另一层条件：同样大小的偏差，在可靠输入与嘈杂输入中可能具有不同更新价值。假设体温计偶尔失灵，一次异常读数应如何影响判断，取决于对仪器可靠性的估计。把这种逻辑用于神经解释时，需要进一步提出精度由何种信号表征、如何调节误差以及何时改变。</w:t>
      </w:r>
    </w:p>
    <w:p>
      <w:pPr>
        <w:pStyle w:val="BodyText"/>
      </w:pPr>
      <w:r>
        <w:t xml:space="preserve">“预测错误”也不能泛指一切失败。没有按计划完成动作、没有得到奖励和看到意外颜色分别涉及任务结果、奖励价值和感觉内容。它们可以共享抽象更新形式，同时具有不同信息来源和神经实现。跨领域统一需要逐项建立联系。</w:t>
      </w:r>
    </w:p>
    <w:bookmarkEnd w:id="740"/>
    <w:bookmarkStart w:id="741" w:name="sec-38-8"/>
    <w:p>
      <w:pPr>
        <w:pStyle w:val="Heading3"/>
      </w:pPr>
      <w:r>
        <w:t xml:space="preserve">38.8　平均响应降低与信息区分</w:t>
      </w:r>
    </w:p>
    <w:p>
      <w:pPr>
        <w:pStyle w:val="FirstParagraph"/>
      </w:pPr>
      <w:r>
        <w:t xml:space="preserve">预期刺激有时伴随较低的平均神经信号。对此可以提出减少冗余、特定细胞抑制、处理效率变化或其他解释。某些功能磁共振研究还报告，期望条件下平均响应减弱，同时不同方向刺激的活动模式更易区分</w:t>
      </w:r>
      <w:r>
        <w:rPr>
          <w:vertAlign w:val="superscript"/>
        </w:rPr>
        <w:t xml:space="preserve">[</w:t>
      </w:r>
      <w:hyperlink w:anchor="ref-384">
        <w:r>
          <w:rPr>
            <w:rStyle w:val="Hyperlink"/>
            <w:vertAlign w:val="superscript"/>
          </w:rPr>
          <w:t xml:space="preserve">384</w:t>
        </w:r>
      </w:hyperlink>
      <w:r>
        <w:rPr>
          <w:vertAlign w:val="superscript"/>
        </w:rPr>
        <w:t xml:space="preserve">]</w:t>
      </w:r>
      <w:r>
        <w:t xml:space="preserve">。两种测量描述不同性质，并无逻辑冲突。</w:t>
      </w:r>
    </w:p>
    <w:p>
      <w:pPr>
        <w:pStyle w:val="BodyText"/>
      </w:pPr>
      <w:r>
        <w:t xml:space="preserve">平均幅度回答整体信号有多强，多变量区分回答不同条件的模式是否具有可识别差异。一个群体中部分细胞响应减弱、另一部分保留选择性，就可能出现不同组合。测量本身不能直接确认每个细胞的作用，也不能确定下游脑区实际采用了分析者的解码规则。</w:t>
      </w:r>
    </w:p>
    <w:p>
      <w:pPr>
        <w:pStyle w:val="BodyText"/>
      </w:pPr>
      <w:r>
        <w:t xml:space="preserve">因此，评价预测模型时要同时关注刺激信息、平均响应、行为表现和回路干预。若模型预言多个指标之间的特定关系，这些联合约束比单一方向的激活变化更有区分力。研究者还需要说明何种结果会使原模型受到挑战。</w:t>
      </w:r>
    </w:p>
    <w:bookmarkEnd w:id="741"/>
    <w:bookmarkStart w:id="742" w:name="sec-38-9"/>
    <w:p>
      <w:pPr>
        <w:pStyle w:val="Heading3"/>
      </w:pPr>
      <w:r>
        <w:t xml:space="preserve">38.9　视觉运动失配的实验争论</w:t>
      </w:r>
    </w:p>
    <w:p>
      <w:pPr>
        <w:pStyle w:val="FirstParagraph"/>
      </w:pPr>
      <w:r>
        <w:t xml:space="preserve">小鼠在虚拟环境中跑动时，视觉流通常随运动变化。突然暂停视觉反馈，可以诱发视觉皮层中的特定响应，早期工作将其作为感觉运动失配的重要证据</w:t>
      </w:r>
      <w:r>
        <w:rPr>
          <w:vertAlign w:val="superscript"/>
        </w:rPr>
        <w:t xml:space="preserve">[</w:t>
      </w:r>
      <w:hyperlink w:anchor="ref-385">
        <w:r>
          <w:rPr>
            <w:rStyle w:val="Hyperlink"/>
            <w:vertAlign w:val="superscript"/>
          </w:rPr>
          <w:t xml:space="preserve">385</w:t>
        </w:r>
      </w:hyperlink>
      <w:r>
        <w:rPr>
          <w:vertAlign w:val="superscript"/>
        </w:rPr>
        <w:t xml:space="preserve">]</w:t>
      </w:r>
      <w:r>
        <w:t xml:space="preserve">。这里的价值在于，运动和视觉输入之间的关系可以由实验者直接操控。</w:t>
      </w:r>
    </w:p>
    <w:p>
      <w:pPr>
        <w:pStyle w:val="BodyText"/>
      </w:pPr>
      <w:r>
        <w:t xml:space="preserve">后续研究指出，视觉特征选择性与跑动相关增益也可以产生类似响应</w:t>
      </w:r>
      <w:r>
        <w:rPr>
          <w:vertAlign w:val="superscript"/>
        </w:rPr>
        <w:t xml:space="preserve">[</w:t>
      </w:r>
      <w:hyperlink w:anchor="ref-386">
        <w:r>
          <w:rPr>
            <w:rStyle w:val="Hyperlink"/>
            <w:vertAlign w:val="superscript"/>
          </w:rPr>
          <w:t xml:space="preserve">386</w:t>
        </w:r>
      </w:hyperlink>
      <w:r>
        <w:rPr>
          <w:vertAlign w:val="superscript"/>
        </w:rPr>
        <w:t xml:space="preserve">]</w:t>
      </w:r>
      <w:r>
        <w:t xml:space="preserve">。另一项数据再分析强调，闭环耦合经验造成的差异难以由统一运动增益充分解释</w:t>
      </w:r>
      <w:r>
        <w:rPr>
          <w:vertAlign w:val="superscript"/>
        </w:rPr>
        <w:t xml:space="preserve">[</w:t>
      </w:r>
      <w:hyperlink w:anchor="ref-387">
        <w:r>
          <w:rPr>
            <w:rStyle w:val="Hyperlink"/>
            <w:vertAlign w:val="superscript"/>
          </w:rPr>
          <w:t xml:space="preserve">387</w:t>
        </w:r>
      </w:hyperlink>
      <w:r>
        <w:rPr>
          <w:vertAlign w:val="superscript"/>
        </w:rPr>
        <w:t xml:space="preserve">]</w:t>
      </w:r>
      <w:r>
        <w:t xml:space="preserve">。回应文章进一步主张，在运动状态匹配的开环与闭环条件之间比较，有助于更严格界定失配选择性</w:t>
      </w:r>
      <w:r>
        <w:rPr>
          <w:vertAlign w:val="superscript"/>
        </w:rPr>
        <w:t xml:space="preserve">[</w:t>
      </w:r>
      <w:hyperlink w:anchor="ref-388">
        <w:r>
          <w:rPr>
            <w:rStyle w:val="Hyperlink"/>
            <w:vertAlign w:val="superscript"/>
          </w:rPr>
          <w:t xml:space="preserve">388</w:t>
        </w:r>
      </w:hyperlink>
      <w:r>
        <w:rPr>
          <w:vertAlign w:val="superscript"/>
        </w:rPr>
        <w:t xml:space="preserve">]</w:t>
      </w:r>
      <w:r>
        <w:t xml:space="preserve">。</w:t>
      </w:r>
    </w:p>
    <w:p>
      <w:pPr>
        <w:pStyle w:val="BodyText"/>
      </w:pPr>
      <w:r>
        <w:t xml:space="preserve">这场争论说明，“神经元对暂停响应”与“神经元编码由动作生成的预测误差”之间还需要若干中间推断环节。需要考虑视觉速度偏好、运动状态、经验历史、单细胞与群体分析差异。某些替代解释能够解释部分现象，部分结果又可能支持经验依赖的预测作用；完整结论应保留这些层次。</w:t>
      </w:r>
    </w:p>
    <w:bookmarkEnd w:id="742"/>
    <w:bookmarkStart w:id="743" w:name="sec-38-10"/>
    <w:p>
      <w:pPr>
        <w:pStyle w:val="Heading3"/>
      </w:pPr>
      <w:r>
        <w:t xml:space="preserve">38.10　如何提出有区分力的预测</w:t>
      </w:r>
    </w:p>
    <w:p>
      <w:pPr>
        <w:pStyle w:val="FirstParagraph"/>
      </w:pPr>
      <w:r>
        <w:t xml:space="preserve">原创研究思考如下。候选机制甲认为响应主要取决于视觉运动停止；机制乙认为响应取决于停止是否违背自身动作的预期。只在跑动时呈现一次停止，两种机制都可能预测较强响应。加入相同视觉序列的回放，并改变动作与反馈的耦合关系，才有机会使预测分离。</w:t>
      </w:r>
    </w:p>
    <w:p>
      <w:pPr>
        <w:pStyle w:val="BodyText"/>
      </w:pPr>
      <w:r>
        <w:t xml:space="preserve">还可以改变动物此前学到的映射。如果视觉流长期以另一种速度对应跑动，预测机制应说明更新后的误差如何变化。特征机制则需要说明响应是否保持原有视觉速度调谐。实际神经系统也可能包含两种机制，实验结果应允许估计各自贡献。</w:t>
      </w:r>
    </w:p>
    <w:p>
      <w:pPr>
        <w:pStyle w:val="BodyText"/>
      </w:pPr>
      <w:r>
        <w:t xml:space="preserve">这样的设计思想适用于人类知觉。研究者可以让两个理论对某个新条件作出不同方向或不同时间进程的预测，再观察结果。若所有可能结果都能通过事后改写“预测”含义得到解释，理论的经验约束会变弱。</w:t>
      </w:r>
    </w:p>
    <w:bookmarkEnd w:id="743"/>
    <w:bookmarkStart w:id="744" w:name="sec-38-11"/>
    <w:p>
      <w:pPr>
        <w:pStyle w:val="Heading3"/>
      </w:pPr>
      <w:r>
        <w:t xml:space="preserve">38.11　注意选择的多个来源</w:t>
      </w:r>
    </w:p>
    <w:p>
      <w:pPr>
        <w:pStyle w:val="FirstParagraph"/>
      </w:pPr>
      <w:r>
        <w:t xml:space="preserve">注意优先级受到当前目标、物理显著性、奖励经历和选择历史影响。过去反复选择过的特征可能继续影响当前搜索，即使它已经不再与目标一致。选择历史的研究推动了对注意控制的更细致划分</w:t>
      </w:r>
      <w:r>
        <w:rPr>
          <w:vertAlign w:val="superscript"/>
        </w:rPr>
        <w:t xml:space="preserve">[</w:t>
      </w:r>
      <w:hyperlink w:anchor="ref-389">
        <w:r>
          <w:rPr>
            <w:rStyle w:val="Hyperlink"/>
            <w:vertAlign w:val="superscript"/>
          </w:rPr>
          <w:t xml:space="preserve">389</w:t>
        </w:r>
      </w:hyperlink>
      <w:r>
        <w:rPr>
          <w:vertAlign w:val="superscript"/>
        </w:rPr>
        <w:t xml:space="preserve">]</w:t>
      </w:r>
      <w:r>
        <w:t xml:space="preserve">。</w:t>
      </w:r>
    </w:p>
    <w:p>
      <w:pPr>
        <w:pStyle w:val="BodyText"/>
      </w:pPr>
      <w:r>
        <w:t xml:space="preserve">一个原创场景是学生寻找红色标记的练习册。红色获得优先级，可能来自当前任务指令；若旧课程长期使用红色提示答案，历史也会参与；若红色物体与背景差异特别大，物理显著性进一步提高。三种因素可以共同作用，仅凭目光落在红色物体上无法确定唯一来源。</w:t>
      </w:r>
    </w:p>
    <w:p>
      <w:pPr>
        <w:pStyle w:val="BodyText"/>
      </w:pPr>
      <w:r>
        <w:t xml:space="preserve">改变目标后，历史影响可能需要时间减弱。课堂设计可据此提出一个可检验假设：持续使用无关而显著的装饰，可能让某些视觉位置形成稳定优先级。是否造成实际学习损害，还要结合眼动、理解和后续记忆结果，避免从注意偏移直接推定所有学习结局。</w:t>
      </w:r>
    </w:p>
    <w:bookmarkEnd w:id="744"/>
    <w:bookmarkStart w:id="745" w:name="sec-38-12"/>
    <w:p>
      <w:pPr>
        <w:pStyle w:val="Heading3"/>
      </w:pPr>
      <w:r>
        <w:t xml:space="preserve">38.12　注意网络与功能协作</w:t>
      </w:r>
    </w:p>
    <w:p>
      <w:pPr>
        <w:pStyle w:val="FirstParagraph"/>
      </w:pPr>
      <w:r>
        <w:t xml:space="preserve">注意网络研究区分了与目标导向选择和刺激驱动重新定向有关的部分系统，并强调它们之间的协作</w:t>
      </w:r>
      <w:r>
        <w:rPr>
          <w:vertAlign w:val="superscript"/>
        </w:rPr>
        <w:t xml:space="preserve">[</w:t>
      </w:r>
      <w:hyperlink w:anchor="ref-390">
        <w:r>
          <w:rPr>
            <w:rStyle w:val="Hyperlink"/>
            <w:vertAlign w:val="superscript"/>
          </w:rPr>
          <w:t xml:space="preserve">390</w:t>
        </w:r>
      </w:hyperlink>
      <w:r>
        <w:rPr>
          <w:vertAlign w:val="superscript"/>
        </w:rPr>
        <w:t xml:space="preserve">]</w:t>
      </w:r>
      <w:r>
        <w:t xml:space="preserve">。这种划分便于描述功能偏重。具体任务中的网络活动还受到目标、预期、空间位置和行为要求影响，脑区标签不能替代对任务的分析。</w:t>
      </w:r>
    </w:p>
    <w:p>
      <w:pPr>
        <w:pStyle w:val="BodyText"/>
      </w:pPr>
      <w:r>
        <w:t xml:space="preserve">例如阅读时，保持在当前句子上需要稳定目标；突然出现与任务相关的提示，可能要求重新分配选择；完成提示后，还需恢复原来的阅读位置。不同过程在短时间内连续发生，观察到某一网络参与并不能把整个事件归为单一注意类型。</w:t>
      </w:r>
    </w:p>
    <w:p>
      <w:pPr>
        <w:pStyle w:val="BodyText"/>
      </w:pPr>
      <w:r>
        <w:t xml:space="preserve">临床或教育场景也需要区分维持、定向、选择和重新定向困难。一个人长时间保持投入，却在切换回原任务时丢失位置，与频繁被无关刺激吸引具有不同问题结构。干预目标应与具体困难对应。</w:t>
      </w:r>
    </w:p>
    <w:bookmarkEnd w:id="745"/>
    <w:bookmarkStart w:id="746" w:name="sec-38-13"/>
    <w:p>
      <w:pPr>
        <w:pStyle w:val="Heading3"/>
      </w:pPr>
      <w:r>
        <w:t xml:space="preserve">38.13　增益、竞争与归一化</w:t>
      </w:r>
    </w:p>
    <w:p>
      <w:pPr>
        <w:pStyle w:val="FirstParagraph"/>
      </w:pPr>
      <w:r>
        <w:t xml:space="preserve">视觉加工中，同时出现的刺激可能相互影响神经响应。注意归一化模型用注意增益和竞争性归一化的结合，解释一些随刺激大小和注意范围改变的响应模式</w:t>
      </w:r>
      <w:r>
        <w:rPr>
          <w:vertAlign w:val="superscript"/>
        </w:rPr>
        <w:t xml:space="preserve">[</w:t>
      </w:r>
      <w:hyperlink w:anchor="ref-391">
        <w:r>
          <w:rPr>
            <w:rStyle w:val="Hyperlink"/>
            <w:vertAlign w:val="superscript"/>
          </w:rPr>
          <w:t xml:space="preserve">391</w:t>
        </w:r>
      </w:hyperlink>
      <w:r>
        <w:rPr>
          <w:vertAlign w:val="superscript"/>
        </w:rPr>
        <w:t xml:space="preserve">]</w:t>
      </w:r>
      <w:r>
        <w:t xml:space="preserve">。该模型展示了同一计算框架如何在不同条件下产生不同表面效果。</w:t>
      </w:r>
    </w:p>
    <w:p>
      <w:pPr>
        <w:pStyle w:val="BodyText"/>
      </w:pPr>
      <w:r>
        <w:t xml:space="preserve">可以用一个有限通道的教学比喻理解：提高某个输入的优先权，其最终结果还取决于其他输入参与竞争的程度。若只考虑目标自身增强，可能遗漏背景对分母式调节的影响。这个比喻用于说明模型关系，不能当成真实脑内通道数量的测量。</w:t>
      </w:r>
    </w:p>
    <w:p>
      <w:pPr>
        <w:pStyle w:val="BodyText"/>
      </w:pPr>
      <w:r>
        <w:t xml:space="preserve">模型的价值还在于提出条件化预测。改变注意范围、目标对比度或周围刺激后，目标响应的增幅未必保持恒定。因此，某项实验发现增强，另一项发现抑制或较小变化，并不自动构成相互否定；需要检查两者在模型中的条件是否一致。</w:t>
      </w:r>
    </w:p>
    <w:bookmarkEnd w:id="746"/>
    <w:bookmarkStart w:id="747" w:name="sec-38-14"/>
    <w:p>
      <w:pPr>
        <w:pStyle w:val="Heading3"/>
      </w:pPr>
      <w:r>
        <w:t xml:space="preserve">38.14　视觉搜索中的模板与场景</w:t>
      </w:r>
    </w:p>
    <w:p>
      <w:pPr>
        <w:pStyle w:val="FirstParagraph"/>
      </w:pPr>
      <w:r>
        <w:t xml:space="preserve">寻找钥匙需要关于目标外观的知识，也需要关于常见位置的知识。引导搜索模型把目标特征、显著性、历史、奖励和场景信息共同纳入搜索过程</w:t>
      </w:r>
      <w:r>
        <w:rPr>
          <w:vertAlign w:val="superscript"/>
        </w:rPr>
        <w:t xml:space="preserve">[</w:t>
      </w:r>
      <w:hyperlink w:anchor="ref-392">
        <w:r>
          <w:rPr>
            <w:rStyle w:val="Hyperlink"/>
            <w:vertAlign w:val="superscript"/>
          </w:rPr>
          <w:t xml:space="preserve">392</w:t>
        </w:r>
      </w:hyperlink>
      <w:r>
        <w:rPr>
          <w:vertAlign w:val="superscript"/>
        </w:rPr>
        <w:t xml:space="preserve">]</w:t>
      </w:r>
      <w:r>
        <w:t xml:space="preserve">。“搜索模板”表示与当前目标相关的特征或结构约束，它可以较具体，也可以较宽泛。</w:t>
      </w:r>
    </w:p>
    <w:p>
      <w:pPr>
        <w:pStyle w:val="BodyText"/>
      </w:pPr>
      <w:r>
        <w:t xml:space="preserve">若目标是“红色圆形按钮”，颜色和形状都能帮助缩小范围；若目标是“能打开这个盒子的工具”，功能关系更重要。目标定义越含糊，候选集合可能越大。场景知识还会改变优先检查的位置，例如先查看桌面和抽屉，随后搜索地面。</w:t>
      </w:r>
    </w:p>
    <w:p>
      <w:pPr>
        <w:pStyle w:val="BodyText"/>
      </w:pPr>
      <w:r>
        <w:t xml:space="preserve">搜索结束也需要决策。没有找到目标可能意味着目标不存在，也可能意味着尚未检查到。时间成本、错误后果和目标出现频率会影响何时停止。教学中的找错任务应明确要求：是否必须确认每一处、允许多长时间、漏掉与误报分别如何计分。不同规则会改变搜索策略。</w:t>
      </w:r>
    </w:p>
    <w:bookmarkEnd w:id="747"/>
    <w:bookmarkStart w:id="748" w:name="sec-38-15"/>
    <w:p>
      <w:pPr>
        <w:pStyle w:val="Heading3"/>
      </w:pPr>
      <w:r>
        <w:t xml:space="preserve">38.15　注意捕获与行为干扰</w:t>
      </w:r>
    </w:p>
    <w:p>
      <w:pPr>
        <w:pStyle w:val="FirstParagraph"/>
      </w:pPr>
      <w:r>
        <w:t xml:space="preserve">一个刺激拖慢反应，可能来自注意转移、反应竞争、感知混淆或任务中断。视觉分心研究中的术语共识建议明确这些概念的使用范围，帮助不同理论进行可比较的讨论</w:t>
      </w:r>
      <w:r>
        <w:rPr>
          <w:vertAlign w:val="superscript"/>
        </w:rPr>
        <w:t xml:space="preserve">[</w:t>
      </w:r>
      <w:hyperlink w:anchor="ref-393">
        <w:r>
          <w:rPr>
            <w:rStyle w:val="Hyperlink"/>
            <w:vertAlign w:val="superscript"/>
          </w:rPr>
          <w:t xml:space="preserve">393</w:t>
        </w:r>
      </w:hyperlink>
      <w:r>
        <w:rPr>
          <w:vertAlign w:val="superscript"/>
        </w:rPr>
        <w:t xml:space="preserve">]</w:t>
      </w:r>
      <w:r>
        <w:t xml:space="preserve">。术语的一致性为争论提供基础，具体机制仍需实验证据。</w:t>
      </w:r>
    </w:p>
    <w:p>
      <w:pPr>
        <w:pStyle w:val="BodyText"/>
      </w:pPr>
      <w:r>
        <w:t xml:space="preserve">假设屏幕旁出现一张无关图片，学生答题慢了。若视线转向图片，可支持外显定向发生；若眼睛未转动，仍可能存在隐蔽注意变化；若学生开始思考图片内容，延迟还可能涉及更持续的内部干扰。单一反应时差不能区分全部路径。</w:t>
      </w:r>
    </w:p>
    <w:p>
      <w:pPr>
        <w:pStyle w:val="BodyText"/>
      </w:pPr>
      <w:r>
        <w:t xml:space="preserve">同样，“忽略成功”也应由任务标准界定。某项信息可能没有进入显性报告，却影响后续反应。另一些情况下，行为稳定可能来自主动抑制或目标加工补偿。评估注意控制时，需要把所测结局说清楚。</w:t>
      </w:r>
    </w:p>
    <w:bookmarkEnd w:id="748"/>
    <w:bookmarkStart w:id="749" w:name="sec-38-16"/>
    <w:p>
      <w:pPr>
        <w:pStyle w:val="Heading3"/>
      </w:pPr>
      <w:r>
        <w:t xml:space="preserve">38.16　无意视盲与变化检测</w:t>
      </w:r>
    </w:p>
    <w:p>
      <w:pPr>
        <w:pStyle w:val="FirstParagraph"/>
      </w:pPr>
      <w:r>
        <w:t xml:space="preserve">无意视盲研究表明，专注于目标任务时，观察者可能漏报明显的意外事件</w:t>
      </w:r>
      <w:r>
        <w:rPr>
          <w:vertAlign w:val="superscript"/>
        </w:rPr>
        <w:t xml:space="preserve">[</w:t>
      </w:r>
      <w:hyperlink w:anchor="ref-394">
        <w:r>
          <w:rPr>
            <w:rStyle w:val="Hyperlink"/>
            <w:vertAlign w:val="superscript"/>
          </w:rPr>
          <w:t xml:space="preserve">394</w:t>
        </w:r>
      </w:hyperlink>
      <w:r>
        <w:rPr>
          <w:vertAlign w:val="superscript"/>
        </w:rPr>
        <w:t xml:space="preserve">]</w:t>
      </w:r>
      <w:r>
        <w:t xml:space="preserve">。这说明可见刺激、注意分配和主观觉察之间存在条件关系。具体遗漏比例取决于任务难度、期待、事件特征和提问方式，无法形成适用于所有人的固定常数。</w:t>
      </w:r>
    </w:p>
    <w:p>
      <w:pPr>
        <w:pStyle w:val="BodyText"/>
      </w:pPr>
      <w:r>
        <w:t xml:space="preserve">变化检测还需要建立前后状态之间的对应。现实互动中的人物更换实验显示，短暂中断后，人们有时没有报告显著变化</w:t>
      </w:r>
      <w:r>
        <w:rPr>
          <w:vertAlign w:val="superscript"/>
        </w:rPr>
        <w:t xml:space="preserve">[</w:t>
      </w:r>
      <w:hyperlink w:anchor="ref-395">
        <w:r>
          <w:rPr>
            <w:rStyle w:val="Hyperlink"/>
            <w:vertAlign w:val="superscript"/>
          </w:rPr>
          <w:t xml:space="preserve">395</w:t>
        </w:r>
      </w:hyperlink>
      <w:r>
        <w:rPr>
          <w:vertAlign w:val="superscript"/>
        </w:rPr>
        <w:t xml:space="preserve">]</w:t>
      </w:r>
      <w:r>
        <w:t xml:space="preserve">。一个变化可能在感觉阶段有所加工，却在比较、记忆保持或报告阶段未能形成可用证据。检测失败本身无法唯一定位失败环节。</w:t>
      </w:r>
    </w:p>
    <w:p>
      <w:pPr>
        <w:pStyle w:val="BodyText"/>
      </w:pPr>
      <w:r>
        <w:t xml:space="preserve">原创课堂练习可以要求学生比较两张复杂图，再逐步减少中断、明确目标位置或提供原图重看。不同支持改变表现的方式，有助于理解搜索、保持和比较的共同要求。练习结果只能说明该任务中的限制，不能用于给学生贴上固定的注意能力标签。</w:t>
      </w:r>
    </w:p>
    <w:bookmarkEnd w:id="749"/>
    <w:bookmarkStart w:id="750" w:name="sec-38-17"/>
    <w:p>
      <w:pPr>
        <w:pStyle w:val="Heading3"/>
      </w:pPr>
      <w:r>
        <w:t xml:space="preserve">38.17　行动作为信息采样</w:t>
      </w:r>
    </w:p>
    <w:p>
      <w:pPr>
        <w:pStyle w:val="FirstParagraph"/>
      </w:pPr>
      <w:r>
        <w:t xml:space="preserve">主动观察包含选择看哪里、从什么角度看以及何时再次取样。检查一个被遮挡的物体时，移动身体可能比继续盯着同一图像更有效。这个逻辑把动作与知觉联系起来：动作改变未来可得到的输入，新的输入又改变后续动作。</w:t>
      </w:r>
    </w:p>
    <w:p>
      <w:pPr>
        <w:pStyle w:val="BodyText"/>
      </w:pPr>
      <w:r>
        <w:t xml:space="preserve">信息采样也有成本。不断重新查看会消耗时间，完全依赖记忆则可能增加错误。合理策略需要在两者之间分配资源。一个原创例子是组装模型时，有些步骤适合先记住一小段再操作，另一些步骤适合持续参考图纸。结构复杂度、错误代价和图纸可达性决定何种安排更合适。</w:t>
      </w:r>
    </w:p>
    <w:p>
      <w:pPr>
        <w:pStyle w:val="BodyText"/>
      </w:pPr>
      <w:r>
        <w:t xml:space="preserve">这种分析还提醒教学者检查环境设计。把关键说明放在难以看到的位置，会增加取样成本；提供稳定、可快速回看的表示，可能减少保持压力。实际效果需要根据任务完成质量和学习保持判断，便利的外部支持也应与最终独立目标协调。</w:t>
      </w:r>
    </w:p>
    <w:bookmarkEnd w:id="750"/>
    <w:bookmarkStart w:id="751" w:name="sec-38-18"/>
    <w:p>
      <w:pPr>
        <w:pStyle w:val="Heading3"/>
      </w:pPr>
      <w:r>
        <w:t xml:space="preserve">38.18　前向模型与状态估计</w:t>
      </w:r>
    </w:p>
    <w:p>
      <w:pPr>
        <w:pStyle w:val="FirstParagraph"/>
      </w:pPr>
      <w:r>
        <w:t xml:space="preserve">动作发出后，感觉反馈存在延迟且带有噪声。前向模型尝试根据当前状态和运动指令预测后续身体状态，再与感觉反馈结合。经典感觉运动研究用内部模型解释了部分状态估计现象</w:t>
      </w:r>
      <w:r>
        <w:rPr>
          <w:vertAlign w:val="superscript"/>
        </w:rPr>
        <w:t xml:space="preserve">[</w:t>
      </w:r>
      <w:hyperlink w:anchor="ref-396">
        <w:r>
          <w:rPr>
            <w:rStyle w:val="Hyperlink"/>
            <w:vertAlign w:val="superscript"/>
          </w:rPr>
          <w:t xml:space="preserve">396</w:t>
        </w:r>
      </w:hyperlink>
      <w:r>
        <w:rPr>
          <w:vertAlign w:val="superscript"/>
        </w:rPr>
        <w:t xml:space="preserve">]</w:t>
      </w:r>
      <w:r>
        <w:t xml:space="preserve">。这种框架说明，系统可以在反馈完全到达前形成暂时预测。</w:t>
      </w:r>
    </w:p>
    <w:p>
      <w:pPr>
        <w:pStyle w:val="BodyText"/>
      </w:pPr>
      <w:r>
        <w:t xml:space="preserve">一个原创类比是控制带有显示延迟的机械臂。操作者若只等待旧画面，可能不断过度修正；若依据指令推算当前位置，又必须在新反馈到达时校正模型偏差。预测与反馈在这里承担互补功能，任何一方长期失准都会影响控制。</w:t>
      </w:r>
    </w:p>
    <w:p>
      <w:pPr>
        <w:pStyle w:val="BodyText"/>
      </w:pPr>
      <w:r>
        <w:t xml:space="preserve">前向模型需要区别于逆向控制。前者从指令估计可能结果，后者根据目标寻找需要的指令。真实行为可以同时包含规划、预测、反馈校正和习惯化控制。把这些过程分开，有助于解释动作准确但主观判断不同，或判断正确但执行受限的情况。</w:t>
      </w:r>
    </w:p>
    <w:bookmarkEnd w:id="751"/>
    <w:bookmarkStart w:id="752" w:name="sec-38-19"/>
    <w:p>
      <w:pPr>
        <w:pStyle w:val="Heading3"/>
      </w:pPr>
      <w:r>
        <w:t xml:space="preserve">38.19　运动适应中的不同误差</w:t>
      </w:r>
    </w:p>
    <w:p>
      <w:pPr>
        <w:pStyle w:val="FirstParagraph"/>
      </w:pPr>
      <w:r>
        <w:t xml:space="preserve">运动适应研究区分目标是否达成的任务误差，以及感觉反馈是否符合预测的误差。视觉旋转、力场或其他扰动可以改变动作与反馈的关系，学习者可能同时调整显式策略和较自动的适应过程</w:t>
      </w:r>
      <w:r>
        <w:rPr>
          <w:vertAlign w:val="superscript"/>
        </w:rPr>
        <w:t xml:space="preserve">[</w:t>
      </w:r>
      <w:hyperlink w:anchor="ref-397">
        <w:r>
          <w:rPr>
            <w:rStyle w:val="Hyperlink"/>
            <w:vertAlign w:val="superscript"/>
          </w:rPr>
          <w:t xml:space="preserve">397</w:t>
        </w:r>
      </w:hyperlink>
      <w:r>
        <w:rPr>
          <w:vertAlign w:val="superscript"/>
        </w:rPr>
        <w:t xml:space="preserve">]</w:t>
      </w:r>
      <w:r>
        <w:t xml:space="preserve">。同样的表面改善可能由不同成分贡献。</w:t>
      </w:r>
    </w:p>
    <w:p>
      <w:pPr>
        <w:pStyle w:val="BodyText"/>
      </w:pPr>
      <w:r>
        <w:t xml:space="preserve">假设光标总向右偏转，参与者可以有意识地向左瞄准。即使暂时命中目标，实际反馈与某些内部预测之间仍可能存在差异。取消扰动后的偏移，可以提供适应留下的线索；但单一后效也需要结合任务说明、策略报告和控制条件解释。</w:t>
      </w:r>
    </w:p>
    <w:p>
      <w:pPr>
        <w:pStyle w:val="BodyText"/>
      </w:pPr>
      <w:r>
        <w:t xml:space="preserve">技能学习又比补偿一个固定扰动更宽。提高速度与精度的协调、学习复杂动作序列、改变策略和提升稳定性，都可能构成技能进步。实验室适应任务为某些机制提供清楚窗口，其结果向长期训练推广时需要保留任务结构差异。</w:t>
      </w:r>
    </w:p>
    <w:bookmarkEnd w:id="752"/>
    <w:bookmarkStart w:id="753" w:name="sec-38-20"/>
    <w:p>
      <w:pPr>
        <w:pStyle w:val="Heading3"/>
      </w:pPr>
      <w:r>
        <w:t xml:space="preserve">38.20　视觉识别与视觉动作</w:t>
      </w:r>
    </w:p>
    <w:p>
      <w:pPr>
        <w:pStyle w:val="FirstParagraph"/>
      </w:pPr>
      <w:r>
        <w:t xml:space="preserve">视觉通路理论区分了服务物体识别和服务动作控制的功能偏重。神经心理学证据推动了对这类分工的研究</w:t>
      </w:r>
      <w:r>
        <w:rPr>
          <w:vertAlign w:val="superscript"/>
        </w:rPr>
        <w:t xml:space="preserve">[</w:t>
      </w:r>
      <w:hyperlink w:anchor="ref-398">
        <w:r>
          <w:rPr>
            <w:rStyle w:val="Hyperlink"/>
            <w:vertAlign w:val="superscript"/>
          </w:rPr>
          <w:t xml:space="preserve">398</w:t>
        </w:r>
      </w:hyperlink>
      <w:r>
        <w:rPr>
          <w:vertAlign w:val="superscript"/>
        </w:rPr>
        <w:t xml:space="preserve">]</w:t>
      </w:r>
      <w:r>
        <w:t xml:space="preserve">。识别物体要求相对稳定的类别和属性信息，实时抓取则需要当前距离、姿态和手部状态等参数。</w:t>
      </w:r>
    </w:p>
    <w:p>
      <w:pPr>
        <w:pStyle w:val="BodyText"/>
      </w:pPr>
      <w:r>
        <w:t xml:space="preserve">这两个目标可以使用重叠输入，却强调不同坐标和时间要求。判断杯子属于哪一类，可以容忍一定角度变化；把手准确伸向杯柄，需要与当前身体位置协调。行动结果还会反过来更新知觉和知识。</w:t>
      </w:r>
    </w:p>
    <w:p>
      <w:pPr>
        <w:pStyle w:val="BodyText"/>
      </w:pPr>
      <w:r>
        <w:t xml:space="preserve">功能偏重不等于通路完全隔离，也不能把两条通路简单对应到有意识与无意识。延迟行动、复杂工具使用和熟悉物体操作都可能涉及更广泛协作。教材图示若画出两条箭头，应明确它们表示主要联系和相对偏重。</w:t>
      </w:r>
    </w:p>
    <w:bookmarkEnd w:id="753"/>
    <w:bookmarkStart w:id="754" w:name="sec-38-21"/>
    <w:p>
      <w:pPr>
        <w:pStyle w:val="Heading3"/>
      </w:pPr>
      <w:r>
        <w:t xml:space="preserve">38.21　自我产生感觉的调节</w:t>
      </w:r>
    </w:p>
    <w:p>
      <w:pPr>
        <w:pStyle w:val="FirstParagraph"/>
      </w:pPr>
      <w:r>
        <w:t xml:space="preserve">自我产生的触觉与外界触觉可能具有不同主观强度。有关自我搔痒的实验将这种差异与动作产生感觉的可预测性联系起来</w:t>
      </w:r>
      <w:r>
        <w:rPr>
          <w:vertAlign w:val="superscript"/>
        </w:rPr>
        <w:t xml:space="preserve">[</w:t>
      </w:r>
      <w:hyperlink w:anchor="ref-399">
        <w:r>
          <w:rPr>
            <w:rStyle w:val="Hyperlink"/>
            <w:vertAlign w:val="superscript"/>
          </w:rPr>
          <w:t xml:space="preserve">399</w:t>
        </w:r>
      </w:hyperlink>
      <w:r>
        <w:rPr>
          <w:vertAlign w:val="superscript"/>
        </w:rPr>
        <w:t xml:space="preserve">]</w:t>
      </w:r>
      <w:r>
        <w:t xml:space="preserve">。该现象支持感觉运动预测能够参与感觉调节，同时需要限定在相应任务条件内。</w:t>
      </w:r>
    </w:p>
    <w:p>
      <w:pPr>
        <w:pStyle w:val="BodyText"/>
      </w:pPr>
      <w:r>
        <w:t xml:space="preserve">人仍然能够感觉自己的动作及其后果。感觉减弱可以帮助区分可预测的自身作用与外界变化，但这种功能解释需要与具体机制证据分开。身体状态、动作时间和反馈关系改变时，主观感觉可能随之变化。</w:t>
      </w:r>
    </w:p>
    <w:p>
      <w:pPr>
        <w:pStyle w:val="BodyText"/>
      </w:pPr>
      <w:r>
        <w:t xml:space="preserve">在康复或交互设计中，可以据此提出研究问题：改变动作反馈的同步性是否影响控制感和动作校正。实际干预效果需要独立研究，基础现象不能直接转成某种疗法已有效的结论。</w:t>
      </w:r>
    </w:p>
    <w:bookmarkEnd w:id="754"/>
    <w:bookmarkStart w:id="755" w:name="sec-38-22"/>
    <w:p>
      <w:pPr>
        <w:pStyle w:val="Heading3"/>
      </w:pPr>
      <w:r>
        <w:t xml:space="preserve">38.22　教学中的知觉支持与限制</w:t>
      </w:r>
    </w:p>
    <w:p>
      <w:pPr>
        <w:pStyle w:val="FirstParagraph"/>
      </w:pPr>
      <w:r>
        <w:t xml:space="preserve">学习材料可以利用清楚的空间关系和稳定标记帮助定位关键内容。若一幅图需要学生追踪因果过程，颜色最好对应有意义的变量，箭头方向应保持明确，图例应便于回看。这里的设计依据是降低解释歧义和取样成本，具体学习效益仍需实际检查。</w:t>
      </w:r>
    </w:p>
    <w:p>
      <w:pPr>
        <w:pStyle w:val="BodyText"/>
      </w:pPr>
      <w:r>
        <w:t xml:space="preserve">熟悉情境也可能产生偏置。学生看见常用题型的外观，可能迅速采用旧解法，忽略新增条件。教师可以安排外观相似但结构不同的例子，让学生说明哪些线索真正决定解法。知觉流畅与概念正确之间需要建立明确联系。</w:t>
      </w:r>
    </w:p>
    <w:p>
      <w:pPr>
        <w:pStyle w:val="BodyText"/>
      </w:pPr>
      <w:r>
        <w:t xml:space="preserve">对注意困难的支持应从任务结构入手。检查目标是否清楚、干扰是否与目标竞争、信息是否过快消失、是否需要频繁切换和是否允许重新取样。这样的分析比把所有问题归于同一种“注意力不足”更能产生具体调整方案。调整后的收益应在目标任务上验证。</w:t>
      </w:r>
    </w:p>
    <w:bookmarkEnd w:id="755"/>
    <w:bookmarkStart w:id="756" w:name="sec-38-23"/>
    <w:p>
      <w:pPr>
        <w:pStyle w:val="Heading3"/>
      </w:pPr>
      <w:r>
        <w:t xml:space="preserve">38.23　结论边界与置信度</w:t>
      </w:r>
    </w:p>
    <w:p>
      <w:pPr>
        <w:pStyle w:val="FirstParagraph"/>
      </w:pPr>
      <w:r>
        <w:t xml:space="preserve">感官信息具有歧义，多种线索和经验能够影响知觉，注意与行动会改变信息获取，这些基本关系具有较稳固支持</w:t>
      </w:r>
      <w:r>
        <w:rPr>
          <w:vertAlign w:val="superscript"/>
        </w:rPr>
        <w:t xml:space="preserve">[</w:t>
      </w:r>
      <w:hyperlink w:anchor="ref-377">
        <w:r>
          <w:rPr>
            <w:rStyle w:val="Hyperlink"/>
            <w:vertAlign w:val="superscript"/>
          </w:rPr>
          <w:t xml:space="preserve">377</w:t>
        </w:r>
      </w:hyperlink>
      <w:r>
        <w:rPr>
          <w:vertAlign w:val="superscript"/>
        </w:rPr>
        <w:t xml:space="preserve">,</w:t>
      </w:r>
      <w:hyperlink w:anchor="ref-378">
        <w:r>
          <w:rPr>
            <w:rStyle w:val="Hyperlink"/>
            <w:vertAlign w:val="superscript"/>
          </w:rPr>
          <w:t xml:space="preserve">378</w:t>
        </w:r>
      </w:hyperlink>
      <w:r>
        <w:rPr>
          <w:vertAlign w:val="superscript"/>
        </w:rPr>
        <w:t xml:space="preserve">,</w:t>
      </w:r>
      <w:hyperlink w:anchor="ref-390">
        <w:r>
          <w:rPr>
            <w:rStyle w:val="Hyperlink"/>
            <w:vertAlign w:val="superscript"/>
          </w:rPr>
          <w:t xml:space="preserve">390</w:t>
        </w:r>
      </w:hyperlink>
      <w:r>
        <w:rPr>
          <w:vertAlign w:val="superscript"/>
        </w:rPr>
        <w:t xml:space="preserve">,</w:t>
      </w:r>
      <w:hyperlink w:anchor="ref-396">
        <w:r>
          <w:rPr>
            <w:rStyle w:val="Hyperlink"/>
            <w:vertAlign w:val="superscript"/>
          </w:rPr>
          <w:t xml:space="preserve">396</w:t>
        </w:r>
      </w:hyperlink>
      <w:r>
        <w:rPr>
          <w:vertAlign w:val="superscript"/>
        </w:rPr>
        <w:t xml:space="preserve">]</w:t>
      </w:r>
      <w:r>
        <w:t xml:space="preserve">。特定的最优加权、层级预测误差和归一化模型，在各自条件下具有解释力，普遍适用程度仍需逐项检验</w:t>
      </w:r>
      <w:r>
        <w:rPr>
          <w:vertAlign w:val="superscript"/>
        </w:rPr>
        <w:t xml:space="preserve">[</w:t>
      </w:r>
      <w:hyperlink w:anchor="ref-379">
        <w:r>
          <w:rPr>
            <w:rStyle w:val="Hyperlink"/>
            <w:vertAlign w:val="superscript"/>
          </w:rPr>
          <w:t xml:space="preserve">379</w:t>
        </w:r>
      </w:hyperlink>
      <w:r>
        <w:rPr>
          <w:vertAlign w:val="superscript"/>
        </w:rPr>
        <w:t xml:space="preserve">,</w:t>
      </w:r>
      <w:hyperlink w:anchor="ref-381">
        <w:r>
          <w:rPr>
            <w:rStyle w:val="Hyperlink"/>
            <w:vertAlign w:val="superscript"/>
          </w:rPr>
          <w:t xml:space="preserve">381</w:t>
        </w:r>
      </w:hyperlink>
      <w:r>
        <w:rPr>
          <w:vertAlign w:val="superscript"/>
        </w:rPr>
        <w:t xml:space="preserve">,</w:t>
      </w:r>
      <w:hyperlink w:anchor="ref-391">
        <w:r>
          <w:rPr>
            <w:rStyle w:val="Hyperlink"/>
            <w:vertAlign w:val="superscript"/>
          </w:rPr>
          <w:t xml:space="preserve">391</w:t>
        </w:r>
      </w:hyperlink>
      <w:r>
        <w:rPr>
          <w:vertAlign w:val="superscript"/>
        </w:rPr>
        <w:t xml:space="preserve">]</w:t>
      </w:r>
      <w:r>
        <w:t xml:space="preserve">。把所有皮层活动统一解释为同一预测算法，当前仍面临定义、回路证据和替代机制等争论</w:t>
      </w:r>
      <w:r>
        <w:rPr>
          <w:vertAlign w:val="superscript"/>
        </w:rPr>
        <w:t xml:space="preserve">[</w:t>
      </w:r>
      <w:hyperlink w:anchor="ref-383">
        <w:r>
          <w:rPr>
            <w:rStyle w:val="Hyperlink"/>
            <w:vertAlign w:val="superscript"/>
          </w:rPr>
          <w:t xml:space="preserve">383</w:t>
        </w:r>
      </w:hyperlink>
      <w:r>
        <w:rPr>
          <w:vertAlign w:val="superscript"/>
        </w:rPr>
        <w:t xml:space="preserve">]</w:t>
      </w:r>
      <w:r>
        <w:t xml:space="preserve">。单项注意任务或知觉演示对教育和临床的长期收益，属于需要直接验证的推广命题。</w:t>
      </w:r>
    </w:p>
    <w:bookmarkEnd w:id="756"/>
    <w:bookmarkStart w:id="757" w:name="sec-38-24"/>
    <w:p>
      <w:pPr>
        <w:pStyle w:val="Heading3"/>
      </w:pPr>
      <w:r>
        <w:t xml:space="preserve">38.24　综合练习</w:t>
      </w:r>
    </w:p>
    <w:p>
      <w:pPr>
        <w:pStyle w:val="FirstParagraph"/>
      </w:pPr>
      <w:r>
        <w:t xml:space="preserve">练习一。声音和画面各自清晰，但两者发生在不同位置和时间。参考分析：高精度并不自动要求强整合，还应判断两种信息是否来自共同事件。</w:t>
      </w:r>
    </w:p>
    <w:p>
      <w:pPr>
        <w:pStyle w:val="BodyText"/>
      </w:pPr>
      <w:r>
        <w:t xml:space="preserve">练习二。一个预期刺激引起较低平均脑信号，却能被更准确解码。参考分析：平均幅度与条件间模式区分测量不同性质，需结合行为及机制证据解释，无法仅凭这一组合确认统一预测理论。</w:t>
      </w:r>
    </w:p>
    <w:p>
      <w:pPr>
        <w:pStyle w:val="BodyText"/>
      </w:pPr>
      <w:r>
        <w:t xml:space="preserve">练习三。跑动中的小鼠对视觉暂停产生强响应。参考分析：应比较视觉特征、运动状态和反馈耦合，尤其检查运动匹配条件下的差异，再判断预测误差解释得到多强支持。</w:t>
      </w:r>
    </w:p>
    <w:p>
      <w:pPr>
        <w:pStyle w:val="BodyText"/>
      </w:pPr>
      <w:r>
        <w:t xml:space="preserve">练习四。学生没有报告明显图片变化。参考分析：可能涉及搜索、编码、保持、比较或报告限制。逐步提供目标位置、回看和较短中断，可以帮助定位任务中的瓶颈。</w:t>
      </w:r>
    </w:p>
    <w:p>
      <w:pPr>
        <w:pStyle w:val="BodyText"/>
      </w:pPr>
      <w:r>
        <w:t xml:space="preserve">练习五。参与者在视觉旋转中提高命中率。参考分析：改善可能包含显式瞄准策略和适应过程，应结合取消扰动后的表现以及任务过程信息，区分贡献。</w:t>
      </w:r>
    </w:p>
    <w:bookmarkEnd w:id="757"/>
    <w:bookmarkEnd w:id="758"/>
    <w:bookmarkStart w:id="789" w:name="ch-39"/>
    <w:p>
      <w:pPr>
        <w:pStyle w:val="Heading2"/>
      </w:pPr>
      <w:r>
        <w:t xml:space="preserve">第39章　语言、阅读与识字学习</w:t>
      </w:r>
    </w:p>
    <w:bookmarkStart w:id="759" w:name="sec-39-1"/>
    <w:p>
      <w:pPr>
        <w:pStyle w:val="Heading3"/>
      </w:pPr>
      <w:r>
        <w:t xml:space="preserve">39.1　语言能力包含相互连接的层次</w:t>
      </w:r>
    </w:p>
    <w:p>
      <w:pPr>
        <w:pStyle w:val="FirstParagraph"/>
      </w:pPr>
      <w:r>
        <w:t xml:space="preserve">语言理解需要把声音或文字组织成可使用的意义。语音加工涉及声音类别和时序，词汇加工涉及词形、读音与意义，句法加工涉及成分之间的结构关系，语篇加工涉及跨句联系，语用加工涉及说话者意图和交流情境。不同任务可以同时调用这些层次。</w:t>
      </w:r>
    </w:p>
    <w:p>
      <w:pPr>
        <w:pStyle w:val="BodyText"/>
      </w:pPr>
      <w:r>
        <w:t xml:space="preserve">一个人能重复一句话，可能主要保留了声音序列；能够改述其意义，需要更充分的语义组织；能够判断这句话在当前情境中的暗示，还需要背景知识和交流推理。教学与评估应明确目标层次，避免把流畅复述当作所有语言理解的替代指标。</w:t>
      </w:r>
    </w:p>
    <w:p>
      <w:pPr>
        <w:pStyle w:val="BodyText"/>
      </w:pPr>
      <w:r>
        <w:t xml:space="preserve">语言学习也涉及表达。把想法组织成句子，需要选择词语、安排结构并监控听者是否能够理解。理解与表达相互支持，但任务要求不同。课堂可以同时观察听、说、读、写，形成更完整的功能图景。</w:t>
      </w:r>
    </w:p>
    <w:bookmarkEnd w:id="759"/>
    <w:bookmarkStart w:id="760" w:name="sec-39-2"/>
    <w:p>
      <w:pPr>
        <w:pStyle w:val="Heading3"/>
      </w:pPr>
      <w:r>
        <w:t xml:space="preserve">39.2　从连续声音中形成词语</w:t>
      </w:r>
    </w:p>
    <w:p>
      <w:pPr>
        <w:pStyle w:val="FirstParagraph"/>
      </w:pPr>
      <w:r>
        <w:t xml:space="preserve">自然语音包含连续变化的声学信号，词之间未必具有整齐的静默间隔。听者需要利用声音模式、语言经验和上下文识别可能的词。相同声学片段在不同语境中可能获得不同解释，因此语音知觉需要同时考虑输入与已有知识。</w:t>
      </w:r>
    </w:p>
    <w:p>
      <w:pPr>
        <w:pStyle w:val="BodyText"/>
      </w:pPr>
      <w:r>
        <w:t xml:space="preserve">语音加工的双流框架提出，理解相关过程与听觉到动作映射相关过程具有不同侧重，并存在广泛网络交互。这个模型有助于区分听懂、复述和发音等任务，不能把所有语音活动压缩为两个孤立通道</w:t>
      </w:r>
      <w:r>
        <w:rPr>
          <w:vertAlign w:val="superscript"/>
        </w:rPr>
        <w:t xml:space="preserve">[</w:t>
      </w:r>
      <w:hyperlink w:anchor="ref-400">
        <w:r>
          <w:rPr>
            <w:rStyle w:val="Hyperlink"/>
            <w:vertAlign w:val="superscript"/>
          </w:rPr>
          <w:t xml:space="preserve">400</w:t>
        </w:r>
      </w:hyperlink>
      <w:r>
        <w:rPr>
          <w:vertAlign w:val="superscript"/>
        </w:rPr>
        <w:t xml:space="preserve">]</w:t>
      </w:r>
      <w:r>
        <w:t xml:space="preserve">。</w:t>
      </w:r>
    </w:p>
    <w:p>
      <w:pPr>
        <w:pStyle w:val="BodyText"/>
      </w:pPr>
      <w:r>
        <w:t xml:space="preserve">学习第二语言时，困难可能出现在声音类别区分、词边界识别、词汇提取或句法整合。相同听力总分可以对应不同问题。针对性练习应先确定障碍，例如比较易混声音、在句中定位词语，或理解已经能识别的词之间的关系。</w:t>
      </w:r>
    </w:p>
    <w:bookmarkEnd w:id="760"/>
    <w:bookmarkStart w:id="761" w:name="sec-39-3"/>
    <w:p>
      <w:pPr>
        <w:pStyle w:val="Heading3"/>
      </w:pPr>
      <w:r>
        <w:t xml:space="preserve">39.3　词汇知识的深度</w:t>
      </w:r>
    </w:p>
    <w:p>
      <w:pPr>
        <w:pStyle w:val="FirstParagraph"/>
      </w:pPr>
      <w:r>
        <w:t xml:space="preserve">知道一个词可以包含多个层次：识别其形式、知道常见读音、理解主要意义、区分相近词、掌握搭配，以及在适当语境中使用。词汇广度与深度共同影响实际理解。</w:t>
      </w:r>
    </w:p>
    <w:p>
      <w:pPr>
        <w:pStyle w:val="BodyText"/>
      </w:pPr>
      <w:r>
        <w:t xml:space="preserve">一个学生能够把“相关”解释为两个变量一起变化，却仍可能在阅读研究报告时误把相关当作因果。这里的困难涉及词义边界和学科使用条件。教学需要用例子、反例和语境变化，使词汇与推理规则连接。</w:t>
      </w:r>
    </w:p>
    <w:p>
      <w:pPr>
        <w:pStyle w:val="BodyText"/>
      </w:pPr>
      <w:r>
        <w:t xml:space="preserve">词汇学习可以围绕语义网络组织，但网络关系需要准确。近义词存在细微使用差异，形似词可能意义无关，同一词也可能在不同学科中具有不同定义。把词语放入句子和解释任务，有助于检查真正的可用性。</w:t>
      </w:r>
    </w:p>
    <w:bookmarkEnd w:id="761"/>
    <w:bookmarkStart w:id="762" w:name="sec-39-4"/>
    <w:p>
      <w:pPr>
        <w:pStyle w:val="Heading3"/>
      </w:pPr>
      <w:r>
        <w:t xml:space="preserve">39.4　句法、语义与语用的协调</w:t>
      </w:r>
    </w:p>
    <w:p>
      <w:pPr>
        <w:pStyle w:val="FirstParagraph"/>
      </w:pPr>
      <w:r>
        <w:t xml:space="preserve">句法结构帮助确定谁做了什么、哪些条件修饰哪些命题，以及否定或数量词作用于哪里。语义整合把词语与关系组合成意义，语用推理把意义放入当前交流目标中。三者通常相互影响。</w:t>
      </w:r>
    </w:p>
    <w:p>
      <w:pPr>
        <w:pStyle w:val="BodyText"/>
      </w:pPr>
      <w:r>
        <w:t xml:space="preserve">例如，“所有学生都没有提交报告”与“并非所有学生都提交了报告”在逻辑范围上不同。读者需要跟踪量词和否定的关系。教学可以使用具体集合情境让学生判断哪些情况符合句子，再让其改写为无歧义表述。</w:t>
      </w:r>
    </w:p>
    <w:p>
      <w:pPr>
        <w:pStyle w:val="BodyText"/>
      </w:pPr>
      <w:r>
        <w:t xml:space="preserve">复杂句困难也可能来自工作记忆和词汇知识。把句子分段可以帮助理解局部关系，但最终仍需要整合完整命题。若只逐词翻译，可能保留词义却丢失句子层次的逻辑结构。</w:t>
      </w:r>
    </w:p>
    <w:bookmarkEnd w:id="762"/>
    <w:bookmarkStart w:id="763" w:name="sec-39-5"/>
    <w:p>
      <w:pPr>
        <w:pStyle w:val="Heading3"/>
      </w:pPr>
      <w:r>
        <w:t xml:space="preserve">39.5　语言网络的组织与个体差异</w:t>
      </w:r>
    </w:p>
    <w:p>
      <w:pPr>
        <w:pStyle w:val="FirstParagraph"/>
      </w:pPr>
      <w:r>
        <w:t xml:space="preserve">个体功能定位研究发现，传统上称为布罗卡区的宏观区域内部，语言选择性区域可以与更广泛任务相关区域相邻。这个结果说明，单一解剖名称不足以确定一个任务的全部认知过程</w:t>
      </w:r>
      <w:r>
        <w:rPr>
          <w:vertAlign w:val="superscript"/>
        </w:rPr>
        <w:t xml:space="preserve">[</w:t>
      </w:r>
      <w:hyperlink w:anchor="ref-401">
        <w:r>
          <w:rPr>
            <w:rStyle w:val="Hyperlink"/>
            <w:vertAlign w:val="superscript"/>
          </w:rPr>
          <w:t xml:space="preserve">401</w:t>
        </w:r>
      </w:hyperlink>
      <w:r>
        <w:rPr>
          <w:vertAlign w:val="superscript"/>
        </w:rPr>
        <w:t xml:space="preserve">]</w:t>
      </w:r>
      <w:r>
        <w:t xml:space="preserve">。</w:t>
      </w:r>
    </w:p>
    <w:p>
      <w:pPr>
        <w:pStyle w:val="BodyText"/>
      </w:pPr>
      <w:r>
        <w:t xml:space="preserve">跨四十五种语言的功能成像研究支持语言网络若干组织特征的稳健性，包括区域间整合和语言选择性。跨语言共性与文字、语音及经验造成的差异可以同时存在；研究结果没有证明所有个体的精细位置和处理策略完全相同</w:t>
      </w:r>
      <w:r>
        <w:rPr>
          <w:vertAlign w:val="superscript"/>
        </w:rPr>
        <w:t xml:space="preserve">[</w:t>
      </w:r>
      <w:hyperlink w:anchor="ref-402">
        <w:r>
          <w:rPr>
            <w:rStyle w:val="Hyperlink"/>
            <w:vertAlign w:val="superscript"/>
          </w:rPr>
          <w:t xml:space="preserve">402</w:t>
        </w:r>
      </w:hyperlink>
      <w:r>
        <w:rPr>
          <w:vertAlign w:val="superscript"/>
        </w:rPr>
        <w:t xml:space="preserve">]</w:t>
      </w:r>
      <w:r>
        <w:t xml:space="preserve">。</w:t>
      </w:r>
    </w:p>
    <w:p>
      <w:pPr>
        <w:pStyle w:val="BodyText"/>
      </w:pPr>
      <w:r>
        <w:t xml:space="preserve">教育应用应依据行为和语言任务的具体表现。脑网络知识有助于理解语言的复杂组织，但目前不能从一次课堂脑成像直接决定某个学生应采用哪一种教学法。领域机制与教学方案之间仍需要直接证据。</w:t>
      </w:r>
    </w:p>
    <w:bookmarkEnd w:id="763"/>
    <w:bookmarkStart w:id="764" w:name="sec-39-6"/>
    <w:p>
      <w:pPr>
        <w:pStyle w:val="Heading3"/>
      </w:pPr>
      <w:r>
        <w:t xml:space="preserve">39.6　阅读需要建立视觉符号与语言的联系</w:t>
      </w:r>
    </w:p>
    <w:p>
      <w:pPr>
        <w:pStyle w:val="FirstParagraph"/>
      </w:pPr>
      <w:r>
        <w:t xml:space="preserve">阅读把视觉符号转换为语言和知识。不同文字系统使用不同单位组织这种联系，有的突出字母与声音片段，有的在字形中结合音节、语素和结构线索。学习者需要掌握自己所学习文字系统的规律及例外。</w:t>
      </w:r>
    </w:p>
    <w:p>
      <w:pPr>
        <w:pStyle w:val="BodyText"/>
      </w:pPr>
      <w:r>
        <w:t xml:space="preserve">关于阅读发展的综合综述强调，字母文字初期解码具有基础作用，熟练阅读还需要流畅词识别、词汇和语言理解。它所讨论的英语教学原则应结合文字系统特点使用，不能不加区分地整体移植到中文</w:t>
      </w:r>
      <w:r>
        <w:rPr>
          <w:vertAlign w:val="superscript"/>
        </w:rPr>
        <w:t xml:space="preserve">[</w:t>
      </w:r>
      <w:hyperlink w:anchor="ref-403">
        <w:r>
          <w:rPr>
            <w:rStyle w:val="Hyperlink"/>
            <w:vertAlign w:val="superscript"/>
          </w:rPr>
          <w:t xml:space="preserve">403</w:t>
        </w:r>
      </w:hyperlink>
      <w:r>
        <w:rPr>
          <w:vertAlign w:val="superscript"/>
        </w:rPr>
        <w:t xml:space="preserve">]</w:t>
      </w:r>
      <w:r>
        <w:t xml:space="preserve">。</w:t>
      </w:r>
    </w:p>
    <w:p>
      <w:pPr>
        <w:pStyle w:val="BodyText"/>
      </w:pPr>
      <w:r>
        <w:t xml:space="preserve">文字学习改变了视觉经验，也让已有口语知识获得新的访问路径。一项功能成像研究比较了六十三名识字经验不同的成人，其中十人未识字，二十二人成年后才识字，三十一人童年时学会阅读。阅读能力越强，左侧梭状回中常称为视觉词形区的部位对书面文字的反应越强，同一部位对面孔的反应略有减弱；枕叶视觉皮层直至初级视觉皮层的反应、颞平面对口语的语音反应也随识字增强，听到口语还能自上而下激活文字表征。多数变化在成年后识字者中同样出现。组间观察仍需要考虑教育和生活经验等共同差异</w:t>
      </w:r>
      <w:r>
        <w:rPr>
          <w:vertAlign w:val="superscript"/>
        </w:rPr>
        <w:t xml:space="preserve">[</w:t>
      </w:r>
      <w:hyperlink w:anchor="ref-404">
        <w:r>
          <w:rPr>
            <w:rStyle w:val="Hyperlink"/>
            <w:vertAlign w:val="superscript"/>
          </w:rPr>
          <w:t xml:space="preserve">404</w:t>
        </w:r>
      </w:hyperlink>
      <w:r>
        <w:rPr>
          <w:vertAlign w:val="superscript"/>
        </w:rPr>
        <w:t xml:space="preserve">]</w:t>
      </w:r>
      <w:r>
        <w:t xml:space="preserve">。</w:t>
      </w:r>
    </w:p>
    <w:bookmarkEnd w:id="764"/>
    <w:bookmarkStart w:id="765" w:name="sec-39-7"/>
    <w:p>
      <w:pPr>
        <w:pStyle w:val="Heading3"/>
      </w:pPr>
      <w:r>
        <w:t xml:space="preserve">39.7　字形、读音与意义的相互联系</w:t>
      </w:r>
    </w:p>
    <w:p>
      <w:pPr>
        <w:pStyle w:val="FirstParagraph"/>
      </w:pPr>
      <w:r>
        <w:t xml:space="preserve">一个熟悉词的身份涉及正字法形式、语音形式和语义信息。三者之间的联系使读者能够识别词、朗读并理解。字形相似、读音相同或意义接近的词，可能在不同任务中产生不同类型的竞争。</w:t>
      </w:r>
    </w:p>
    <w:p>
      <w:pPr>
        <w:pStyle w:val="BodyText"/>
      </w:pPr>
      <w:r>
        <w:t xml:space="preserve">中文研究推动的词汇构成模型把字形、语音和语义视为相互联系的成分，同时强调文字系统对激活过程的约束。这个框架支持研究共性与差异，具体计算实现仍需与其他模型比较</w:t>
      </w:r>
      <w:r>
        <w:rPr>
          <w:vertAlign w:val="superscript"/>
        </w:rPr>
        <w:t xml:space="preserve">[</w:t>
      </w:r>
      <w:hyperlink w:anchor="ref-405">
        <w:r>
          <w:rPr>
            <w:rStyle w:val="Hyperlink"/>
            <w:vertAlign w:val="superscript"/>
          </w:rPr>
          <w:t xml:space="preserve">405</w:t>
        </w:r>
      </w:hyperlink>
      <w:r>
        <w:rPr>
          <w:vertAlign w:val="superscript"/>
        </w:rPr>
        <w:t xml:space="preserve">]</w:t>
      </w:r>
      <w:r>
        <w:t xml:space="preserve">。</w:t>
      </w:r>
    </w:p>
    <w:p>
      <w:pPr>
        <w:pStyle w:val="BodyText"/>
      </w:pPr>
      <w:r>
        <w:t xml:space="preserve">教学可以据此分别检查联系。学生看字能说出读音却不了解意义，需要词义和语境支持；听到词语知道意义却认不出字形，需要建立书面对应；能够辨认却写错关键结构，可能需要更精细的字形表征与输出练习。</w:t>
      </w:r>
    </w:p>
    <w:bookmarkEnd w:id="765"/>
    <w:bookmarkStart w:id="766" w:name="sec-39-8"/>
    <w:p>
      <w:pPr>
        <w:pStyle w:val="Heading3"/>
      </w:pPr>
      <w:r>
        <w:t xml:space="preserve">39.8　字母文字中的解码</w:t>
      </w:r>
    </w:p>
    <w:p>
      <w:pPr>
        <w:pStyle w:val="FirstParagraph"/>
      </w:pPr>
      <w:r>
        <w:t xml:space="preserve">解码要求依据文字与声音之间的对应，构造或识别词的发音。在初学阶段，掌握字母或字母组合的规律，使学习者能够处理部分尚未整体熟悉的词。规律的可靠程度随文字系统和具体组合而变化。</w:t>
      </w:r>
    </w:p>
    <w:p>
      <w:pPr>
        <w:pStyle w:val="BodyText"/>
      </w:pPr>
      <w:r>
        <w:t xml:space="preserve">自我教学假说强调，成功的语音重编码能够为新词的正字法学习提供机会。学习者在阅读中反复把新的书面形式与已知或新学语言信息连接，逐步形成更稳定的词表征。该假说的具体适用方式受文字系统和先备知识约束</w:t>
      </w:r>
      <w:r>
        <w:rPr>
          <w:vertAlign w:val="superscript"/>
        </w:rPr>
        <w:t xml:space="preserve">[</w:t>
      </w:r>
      <w:hyperlink w:anchor="ref-406">
        <w:r>
          <w:rPr>
            <w:rStyle w:val="Hyperlink"/>
            <w:vertAlign w:val="superscript"/>
          </w:rPr>
          <w:t xml:space="preserve">406</w:t>
        </w:r>
      </w:hyperlink>
      <w:r>
        <w:rPr>
          <w:vertAlign w:val="superscript"/>
        </w:rPr>
        <w:t xml:space="preserve">]</w:t>
      </w:r>
      <w:r>
        <w:t xml:space="preserve">。</w:t>
      </w:r>
    </w:p>
    <w:p>
      <w:pPr>
        <w:pStyle w:val="BodyText"/>
      </w:pPr>
      <w:r>
        <w:t xml:space="preserve">解码练习需要与准确反馈和有意义阅读结合。若只练习孤立声音而缺少文字映射，目标联系可能不足；若只依靠故事图片猜词，学习者可能未充分处理字形。课堂应检查学生是否能够依据实际文字识别词，并理解其在句中的意义。</w:t>
      </w:r>
    </w:p>
    <w:bookmarkEnd w:id="766"/>
    <w:bookmarkStart w:id="767" w:name="sec-39-9"/>
    <w:p>
      <w:pPr>
        <w:pStyle w:val="Heading3"/>
      </w:pPr>
      <w:r>
        <w:t xml:space="preserve">39.9　加工粒度与正字法一致性</w:t>
      </w:r>
    </w:p>
    <w:p>
      <w:pPr>
        <w:pStyle w:val="FirstParagraph"/>
      </w:pPr>
      <w:r>
        <w:t xml:space="preserve">语言的声音结构与文字对应方式，影响学习者使用何种单位。可用单位可能包括音素、字母组合、首音和韵、音节、语素或整词。一个熟练阅读系统通常能够利用多个尺度的信息。</w:t>
      </w:r>
    </w:p>
    <w:p>
      <w:pPr>
        <w:pStyle w:val="BodyText"/>
      </w:pPr>
      <w:r>
        <w:t xml:space="preserve">心理语言学粒度理论指出，不同文字系统的对应一致性和可获得单位，能够影响阅读发展的路径。这个理论有助于解释跨语言差异，但教学质量、词汇经验和任务选择同样需要考虑</w:t>
      </w:r>
      <w:r>
        <w:rPr>
          <w:vertAlign w:val="superscript"/>
        </w:rPr>
        <w:t xml:space="preserve">[</w:t>
      </w:r>
      <w:hyperlink w:anchor="ref-407">
        <w:r>
          <w:rPr>
            <w:rStyle w:val="Hyperlink"/>
            <w:vertAlign w:val="superscript"/>
          </w:rPr>
          <w:t xml:space="preserve">407</w:t>
        </w:r>
      </w:hyperlink>
      <w:r>
        <w:rPr>
          <w:vertAlign w:val="superscript"/>
        </w:rPr>
        <w:t xml:space="preserve">]</w:t>
      </w:r>
      <w:r>
        <w:t xml:space="preserve">。</w:t>
      </w:r>
    </w:p>
    <w:p>
      <w:pPr>
        <w:pStyle w:val="BodyText"/>
      </w:pPr>
      <w:r>
        <w:t xml:space="preserve">例如，某种对应在短词中可靠，在特定词形环境中却存在变化。教学可以先明确常见模式，再比较例外和条件。让学习者理解规律的范围，有助于避免把局部规律过度推广。</w:t>
      </w:r>
    </w:p>
    <w:bookmarkEnd w:id="767"/>
    <w:bookmarkStart w:id="768" w:name="sec-39-10"/>
    <w:p>
      <w:pPr>
        <w:pStyle w:val="Heading3"/>
      </w:pPr>
      <w:r>
        <w:t xml:space="preserve">39.10　计算模型怎样解释词识别</w:t>
      </w:r>
    </w:p>
    <w:p>
      <w:pPr>
        <w:pStyle w:val="FirstParagraph"/>
      </w:pPr>
      <w:r>
        <w:t xml:space="preserve">双路线级联模型区分词汇知识支持的过程与基于字形声音对应的过程，用以解释熟悉词、陌生规则字符串和不规则词的朗读模式。它提供可运行预测，模型路线的名称不等于脑中存在两条完全孤立的解剖管道</w:t>
      </w:r>
      <w:r>
        <w:rPr>
          <w:vertAlign w:val="superscript"/>
        </w:rPr>
        <w:t xml:space="preserve">[</w:t>
      </w:r>
      <w:hyperlink w:anchor="ref-408">
        <w:r>
          <w:rPr>
            <w:rStyle w:val="Hyperlink"/>
            <w:vertAlign w:val="superscript"/>
          </w:rPr>
          <w:t xml:space="preserve">408</w:t>
        </w:r>
      </w:hyperlink>
      <w:r>
        <w:rPr>
          <w:vertAlign w:val="superscript"/>
        </w:rPr>
        <w:t xml:space="preserve">]</w:t>
      </w:r>
      <w:r>
        <w:t xml:space="preserve">。</w:t>
      </w:r>
    </w:p>
    <w:p>
      <w:pPr>
        <w:pStyle w:val="BodyText"/>
      </w:pPr>
      <w:r>
        <w:t xml:space="preserve">分布式发展模型强调，学习系统通过经验形成字形与语音之间的映射，规则与例外可以体现为分布式权重和经验统计的不同结果。这类模型同样依赖输入表征、训练材料和学习规则的设定</w:t>
      </w:r>
      <w:r>
        <w:rPr>
          <w:vertAlign w:val="superscript"/>
        </w:rPr>
        <w:t xml:space="preserve">[</w:t>
      </w:r>
      <w:hyperlink w:anchor="ref-409">
        <w:r>
          <w:rPr>
            <w:rStyle w:val="Hyperlink"/>
            <w:vertAlign w:val="superscript"/>
          </w:rPr>
          <w:t xml:space="preserve">409</w:t>
        </w:r>
      </w:hyperlink>
      <w:r>
        <w:rPr>
          <w:vertAlign w:val="superscript"/>
        </w:rPr>
        <w:t xml:space="preserve">]</w:t>
      </w:r>
      <w:r>
        <w:t xml:space="preserve">。</w:t>
      </w:r>
    </w:p>
    <w:p>
      <w:pPr>
        <w:pStyle w:val="BodyText"/>
      </w:pPr>
      <w:r>
        <w:t xml:space="preserve">比较模型应关注它们对具体数据的预测，例如词频、规则性、邻近词和损伤模式如何共同影响反应。模型能够拟合一种现象，并不自动决定教学方式；教学仍需要直接比较不同训练安排对真实学习者的影响。</w:t>
      </w:r>
    </w:p>
    <w:bookmarkEnd w:id="768"/>
    <w:bookmarkStart w:id="769" w:name="sec-39-11"/>
    <w:p>
      <w:pPr>
        <w:pStyle w:val="Heading3"/>
      </w:pPr>
      <w:r>
        <w:t xml:space="preserve">39.11　中文识字中的结构单位</w:t>
      </w:r>
    </w:p>
    <w:p>
      <w:pPr>
        <w:pStyle w:val="FirstParagraph"/>
      </w:pPr>
      <w:r>
        <w:t xml:space="preserve">现代汉字通常具有稳定的空间结构，笔画、部件及其位置为识别提供信息。许多汉字包含可以提示意义或读音的成分，但提示的可靠性存在差异。学习者需要同时获得结构知识、具体字词知识和使用经验。</w:t>
      </w:r>
    </w:p>
    <w:p>
      <w:pPr>
        <w:pStyle w:val="BodyText"/>
      </w:pPr>
      <w:r>
        <w:t xml:space="preserve">字与词也需要区分。一个字可以独立成词，多个字也可以组合成一个词。词义有时容易从组成部分推断，有时需要整体学习。例如，“火车”的意义可以与组成语素联系，“葡萄”等词则不适合机械地给每个字分配独立现代词义。</w:t>
      </w:r>
    </w:p>
    <w:p>
      <w:pPr>
        <w:pStyle w:val="BodyText"/>
      </w:pPr>
      <w:r>
        <w:t xml:space="preserve">教学应避免把每个字都解释为可以逐笔直观推导的图画。适当的部件分析可以支持记忆和辨析，但解释需要符合语言事实。为了帮助记忆而编出的故事，应明确作为记忆辅助，避免与字源或语言规律混淆。</w:t>
      </w:r>
    </w:p>
    <w:bookmarkEnd w:id="769"/>
    <w:bookmarkStart w:id="770" w:name="sec-39-12"/>
    <w:p>
      <w:pPr>
        <w:pStyle w:val="Heading3"/>
      </w:pPr>
      <w:r>
        <w:t xml:space="preserve">39.12　语素意识与词义组织</w:t>
      </w:r>
    </w:p>
    <w:p>
      <w:pPr>
        <w:pStyle w:val="FirstParagraph"/>
      </w:pPr>
      <w:r>
        <w:t xml:space="preserve">语素意识涉及识别和操作有意义的语言单位，理解它们怎样组合成词。中文中，同音字、同形多义和复合词结构，使语素知识对词汇辨析具有重要价值。</w:t>
      </w:r>
    </w:p>
    <w:p>
      <w:pPr>
        <w:pStyle w:val="BodyText"/>
      </w:pPr>
      <w:r>
        <w:t xml:space="preserve">一项中文阅读困难研究发现，语素意识、快速命名和词汇等指标能够区分部分儿童群体，并与识字表现相关。组间与路径分析支持这些构念值得关注，无法据此确定所有儿童共享同一原因</w:t>
      </w:r>
      <w:r>
        <w:rPr>
          <w:vertAlign w:val="superscript"/>
        </w:rPr>
        <w:t xml:space="preserve">[</w:t>
      </w:r>
      <w:hyperlink w:anchor="ref-410">
        <w:r>
          <w:rPr>
            <w:rStyle w:val="Hyperlink"/>
            <w:vertAlign w:val="superscript"/>
          </w:rPr>
          <w:t xml:space="preserve">410</w:t>
        </w:r>
      </w:hyperlink>
      <w:r>
        <w:rPr>
          <w:vertAlign w:val="superscript"/>
        </w:rPr>
        <w:t xml:space="preserve">]</w:t>
      </w:r>
      <w:r>
        <w:t xml:space="preserve">。</w:t>
      </w:r>
    </w:p>
    <w:p>
      <w:pPr>
        <w:pStyle w:val="BodyText"/>
      </w:pPr>
      <w:r>
        <w:t xml:space="preserve">课堂可以比较“书包”“钱包”“包围”等词，讨论相同字在不同词中的功能；也可以比较不同语序形成的词义差异。练习应使用准确例子，并要求学生在新词中判断组成关系。形态知识的价值最终体现在理解和使用。</w:t>
      </w:r>
    </w:p>
    <w:bookmarkEnd w:id="770"/>
    <w:bookmarkStart w:id="771" w:name="sec-39-13"/>
    <w:p>
      <w:pPr>
        <w:pStyle w:val="Heading3"/>
      </w:pPr>
      <w:r>
        <w:t xml:space="preserve">39.13　语音在中文阅读中的作用</w:t>
      </w:r>
    </w:p>
    <w:p>
      <w:pPr>
        <w:pStyle w:val="FirstParagraph"/>
      </w:pPr>
      <w:r>
        <w:t xml:space="preserve">中文的字形与声音联系具有不同于字母文字的组织方式，语音仍参与词汇加工和阅读学习。声调、音节、声母韵母、拼音及声旁知识，在不同学习阶段与任务中可能具有不同作用。</w:t>
      </w:r>
    </w:p>
    <w:p>
      <w:pPr>
        <w:pStyle w:val="BodyText"/>
      </w:pPr>
      <w:r>
        <w:t xml:space="preserve">拼音可以提供语音标记和初期学习支持，但掌握拼音与熟练识别汉字词语仍是不同目标。教学需要建立拼音、字形、读音和意义之间的对应，并逐步检验不依赖拼音时的阅读能力。</w:t>
      </w:r>
    </w:p>
    <w:p>
      <w:pPr>
        <w:pStyle w:val="BodyText"/>
      </w:pPr>
      <w:r>
        <w:t xml:space="preserve">对声旁线索应同时教学常见联系和可靠性限制。学生可以提出一个读音候选，再依据已学词汇、语境和准确资料核查。完全忽视声音关系或把声旁视为无例外规则，都可能限制真实文字知识的形成。</w:t>
      </w:r>
    </w:p>
    <w:bookmarkEnd w:id="771"/>
    <w:bookmarkStart w:id="772" w:name="sec-39-14"/>
    <w:p>
      <w:pPr>
        <w:pStyle w:val="Heading3"/>
      </w:pPr>
      <w:r>
        <w:t xml:space="preserve">39.14　英语形态与中文经验之间的桥梁</w:t>
      </w:r>
    </w:p>
    <w:p>
      <w:pPr>
        <w:pStyle w:val="FirstParagraph"/>
      </w:pPr>
      <w:r>
        <w:t xml:space="preserve">英语词中的词根和词缀可以提供意义及拼写规律。阅读发展综述指出，英语拼写常同时保留读音和语素信息，熟练读者会利用拼写与意义之间的直接联系</w:t>
      </w:r>
      <w:r>
        <w:rPr>
          <w:vertAlign w:val="superscript"/>
        </w:rPr>
        <w:t xml:space="preserve">[</w:t>
      </w:r>
      <w:hyperlink w:anchor="ref-403">
        <w:r>
          <w:rPr>
            <w:rStyle w:val="Hyperlink"/>
            <w:vertAlign w:val="superscript"/>
          </w:rPr>
          <w:t xml:space="preserve">403</w:t>
        </w:r>
      </w:hyperlink>
      <w:r>
        <w:rPr>
          <w:vertAlign w:val="superscript"/>
        </w:rPr>
        <w:t xml:space="preserve">]</w:t>
      </w:r>
      <w:r>
        <w:t xml:space="preserve">。因此，阅读教学不能只停留在单个字母与声音的关系。</w:t>
      </w:r>
    </w:p>
    <w:p>
      <w:pPr>
        <w:pStyle w:val="BodyText"/>
      </w:pPr>
      <w:r>
        <w:t xml:space="preserve">中文学习者学习英语时，可以利用已有的语素组合经验理解部分构词概念，同时需要学习英语特有的词形变化和语法功能。跨语言迁移需要建立明确对应，不能假定同一中文术语在两种语言中具有完全相同的结构。</w:t>
      </w:r>
    </w:p>
    <w:p>
      <w:pPr>
        <w:pStyle w:val="BodyText"/>
      </w:pPr>
      <w:r>
        <w:t xml:space="preserve">例如，理解否定前缀可以帮助推测部分词义，但仍需核查该词是否实际存在、前缀是否具有目标意义以及词类是否改变。规则、例外与语境共同决定词汇使用。</w:t>
      </w:r>
    </w:p>
    <w:bookmarkEnd w:id="772"/>
    <w:bookmarkStart w:id="773" w:name="sec-39-15"/>
    <w:p>
      <w:pPr>
        <w:pStyle w:val="Heading3"/>
      </w:pPr>
      <w:r>
        <w:t xml:space="preserve">39.15　阅读流畅性的多个成分</w:t>
      </w:r>
    </w:p>
    <w:p>
      <w:pPr>
        <w:pStyle w:val="FirstParagraph"/>
      </w:pPr>
      <w:r>
        <w:t xml:space="preserve">流畅阅读涉及准确性、速度和适当的节奏组织。快速读出词语有助于后续整合，但速度本身不能代表理解。朗读韵律也可能反映句法结构和意义组织，需要结合任务观察。</w:t>
      </w:r>
    </w:p>
    <w:p>
      <w:pPr>
        <w:pStyle w:val="BodyText"/>
      </w:pPr>
      <w:r>
        <w:t xml:space="preserve">重复阅读同一段文字可以提高熟悉材料上的流畅性，后续应检查未练文本是否改善。若进步只存在于原文，可能主要反映材料特异熟悉。若新文本也更准确、更顺畅且理解保持，则更支持较广泛的技能改变。</w:t>
      </w:r>
    </w:p>
    <w:p>
      <w:pPr>
        <w:pStyle w:val="BodyText"/>
      </w:pPr>
      <w:r>
        <w:t xml:space="preserve">流畅性练习应避免单纯追求极快速度。对术语密集或逻辑复杂文本，适当减速、回看和核查具有功能价值。学习者需要根据阅读目标选择节奏，并知道何时需要更深入加工。</w:t>
      </w:r>
    </w:p>
    <w:bookmarkEnd w:id="773"/>
    <w:bookmarkStart w:id="774" w:name="sec-39-16"/>
    <w:p>
      <w:pPr>
        <w:pStyle w:val="Heading3"/>
      </w:pPr>
      <w:r>
        <w:t xml:space="preserve">39.16　眼动与阅读信息获取</w:t>
      </w:r>
    </w:p>
    <w:p>
      <w:pPr>
        <w:pStyle w:val="FirstParagraph"/>
      </w:pPr>
      <w:r>
        <w:t xml:space="preserve">阅读时，眼睛通过注视和眼跳获取信息，视觉分辨率和语言加工共同限制一次能够有效处理的内容。回视可以用于修正词识别或重新整合语篇，并不必然表示低效。</w:t>
      </w:r>
    </w:p>
    <w:p>
      <w:pPr>
        <w:pStyle w:val="BodyText"/>
      </w:pPr>
      <w:r>
        <w:t xml:space="preserve">阅读与速读综述指出，速度和理解之间存在任务依赖的权衡。浏览可以更快获得大意或定位信息，深入理解复杂文本需要相应加工时间。改善词汇和阅读熟练度有助于效率，极大提速同时维持全部理解缺少普遍保证</w:t>
      </w:r>
      <w:r>
        <w:rPr>
          <w:vertAlign w:val="superscript"/>
        </w:rPr>
        <w:t xml:space="preserve">[</w:t>
      </w:r>
      <w:hyperlink w:anchor="ref-411">
        <w:r>
          <w:rPr>
            <w:rStyle w:val="Hyperlink"/>
            <w:vertAlign w:val="superscript"/>
          </w:rPr>
          <w:t xml:space="preserve">411</w:t>
        </w:r>
      </w:hyperlink>
      <w:r>
        <w:rPr>
          <w:vertAlign w:val="superscript"/>
        </w:rPr>
        <w:t xml:space="preserve">]</w:t>
      </w:r>
      <w:r>
        <w:t xml:space="preserve">。</w:t>
      </w:r>
    </w:p>
    <w:p>
      <w:pPr>
        <w:pStyle w:val="BodyText"/>
      </w:pPr>
      <w:r>
        <w:t xml:space="preserve">教学可以让学生明确当前是查找、概览还是论证分析。查找任务重在定位，概览任务重在结构，分析任务需要检查依据和条件。不同目标采用不同策略，比只追求每分钟字数更符合知识使用。</w:t>
      </w:r>
    </w:p>
    <w:bookmarkEnd w:id="774"/>
    <w:bookmarkStart w:id="775" w:name="sec-39-17"/>
    <w:p>
      <w:pPr>
        <w:pStyle w:val="Heading3"/>
      </w:pPr>
      <w:r>
        <w:t xml:space="preserve">39.17　从词识别到文本理解</w:t>
      </w:r>
    </w:p>
    <w:p>
      <w:pPr>
        <w:pStyle w:val="FirstParagraph"/>
      </w:pPr>
      <w:r>
        <w:t xml:space="preserve">阅读理解需要准确识别词语，还需要语言知识、背景知识、推理和跨句整合。简明阅读观把解码与语言理解作为重要维度，帮助分析不同困难来源</w:t>
      </w:r>
      <w:r>
        <w:rPr>
          <w:vertAlign w:val="superscript"/>
        </w:rPr>
        <w:t xml:space="preserve">[</w:t>
      </w:r>
      <w:hyperlink w:anchor="ref-412">
        <w:r>
          <w:rPr>
            <w:rStyle w:val="Hyperlink"/>
            <w:vertAlign w:val="superscript"/>
          </w:rPr>
          <w:t xml:space="preserve">412</w:t>
        </w:r>
      </w:hyperlink>
      <w:r>
        <w:rPr>
          <w:vertAlign w:val="superscript"/>
        </w:rPr>
        <w:t xml:space="preserve">]</w:t>
      </w:r>
      <w:r>
        <w:t xml:space="preserve">。</w:t>
      </w:r>
    </w:p>
    <w:p>
      <w:pPr>
        <w:pStyle w:val="BodyText"/>
      </w:pPr>
      <w:r>
        <w:t xml:space="preserve">该框架常用乘法形式表达两者对阅读理解的共同限制。这个表达是一种理论简化，具体数值关系依赖量尺和测量模型。不能把两个标准化常模分数直接相乘，再把结果当作个人理解能力。</w:t>
      </w:r>
    </w:p>
    <w:p>
      <w:pPr>
        <w:pStyle w:val="BodyText"/>
      </w:pPr>
      <w:r>
        <w:t xml:space="preserve">一个教学性例子中，甲学生听故事能理解，自己读相同内容却困难，应重点检查字词识别和流畅性；乙学生朗读准确，但听读理解都弱，则需要检查词汇、句法、背景知识和推理。两种情况可能需要不同的支持组合。</w:t>
      </w:r>
    </w:p>
    <w:bookmarkEnd w:id="775"/>
    <w:bookmarkStart w:id="776" w:name="sec-39-18"/>
    <w:p>
      <w:pPr>
        <w:pStyle w:val="Heading3"/>
      </w:pPr>
      <w:r>
        <w:t xml:space="preserve">39.18　背景知识与文本推理</w:t>
      </w:r>
    </w:p>
    <w:p>
      <w:pPr>
        <w:pStyle w:val="FirstParagraph"/>
      </w:pPr>
      <w:r>
        <w:t xml:space="preserve">文本通常省略大量读者预期知道的信息。理解需要利用背景知识补足合理联系，同时避免把主观推断当作原文事实。学科阅读尤其依赖术语、模型和证据规则。</w:t>
      </w:r>
    </w:p>
    <w:p>
      <w:pPr>
        <w:pStyle w:val="BodyText"/>
      </w:pPr>
      <w:r>
        <w:t xml:space="preserve">例如，一段关于河流侵蚀的文字可能默认读者理解坡度、水流和颗粒搬运。缺少这些知识时，即使逐字识别准确，也难以理解侵蚀机制。预先建立关键概念可以帮助阅读，但背景讲解应与文本目标相关，避免扩大为无边界信息堆积。</w:t>
      </w:r>
    </w:p>
    <w:p>
      <w:pPr>
        <w:pStyle w:val="BodyText"/>
      </w:pPr>
      <w:r>
        <w:t xml:space="preserve">教学可以要求标注“原文直接说明”“依据知识推断”“目前无法确定”。这种区分使理解过程更透明，也帮助学生识别需要查证的缺口。推理能力的发展需要在真实知识内容中练习。</w:t>
      </w:r>
    </w:p>
    <w:bookmarkEnd w:id="776"/>
    <w:bookmarkStart w:id="777" w:name="sec-39-19"/>
    <w:p>
      <w:pPr>
        <w:pStyle w:val="Heading3"/>
      </w:pPr>
      <w:r>
        <w:t xml:space="preserve">39.19　指代与跨句连贯</w:t>
      </w:r>
    </w:p>
    <w:p>
      <w:pPr>
        <w:pStyle w:val="FirstParagraph"/>
      </w:pPr>
      <w:r>
        <w:t xml:space="preserve">代词、省略和同义替换，使文本中的同一对象以不同形式出现。读者需要持续更新人物、事件和关系，确定后一句如何连接前一句。局部词义准确并不能保证整体连贯。</w:t>
      </w:r>
    </w:p>
    <w:p>
      <w:pPr>
        <w:pStyle w:val="BodyText"/>
      </w:pPr>
      <w:r>
        <w:t xml:space="preserve">教师可以使用简短文本检查指代。让学生指出“它”“这一变化”“该观点”分别对应什么，再要求改写为明确表达。如果指代连接正确却仍无法解释主旨，应继续检查因果结构和论证组织。</w:t>
      </w:r>
    </w:p>
    <w:p>
      <w:pPr>
        <w:pStyle w:val="BodyText"/>
      </w:pPr>
      <w:r>
        <w:t xml:space="preserve">对于信息密集文本，关系图或简短笔记可以外化部分保持要求。辅助的目标是支持整合，最终应让学生能够在连续文本中独立追踪关系。永久拆成孤立句子可能限制对完整语篇的理解。</w:t>
      </w:r>
    </w:p>
    <w:bookmarkEnd w:id="777"/>
    <w:bookmarkStart w:id="778" w:name="sec-39-20"/>
    <w:p>
      <w:pPr>
        <w:pStyle w:val="Heading3"/>
      </w:pPr>
      <w:r>
        <w:t xml:space="preserve">39.20　理解困难的差异化支持</w:t>
      </w:r>
    </w:p>
    <w:p>
      <w:pPr>
        <w:pStyle w:val="FirstParagraph"/>
      </w:pPr>
      <w:r>
        <w:t xml:space="preserve">阅读困难可以发生在字词识别、流畅性、口语理解、词汇、句法或推理等不同组合上。相关综述强调，理解困难需要从更广泛的语言发展中分析，单个总分难以揭示全部路径</w:t>
      </w:r>
      <w:r>
        <w:rPr>
          <w:vertAlign w:val="superscript"/>
        </w:rPr>
        <w:t xml:space="preserve">[</w:t>
      </w:r>
      <w:hyperlink w:anchor="ref-413">
        <w:r>
          <w:rPr>
            <w:rStyle w:val="Hyperlink"/>
            <w:vertAlign w:val="superscript"/>
          </w:rPr>
          <w:t xml:space="preserve">413</w:t>
        </w:r>
      </w:hyperlink>
      <w:r>
        <w:rPr>
          <w:vertAlign w:val="superscript"/>
        </w:rPr>
        <w:t xml:space="preserve">]</w:t>
      </w:r>
      <w:r>
        <w:t xml:space="preserve">。</w:t>
      </w:r>
    </w:p>
    <w:p>
      <w:pPr>
        <w:pStyle w:val="BodyText"/>
      </w:pPr>
      <w:r>
        <w:t xml:space="preserve">针对词识别相对较好而理解困难儿童的随机试验，比较了文本理解、口语以及组合干预，为有目标的语言支持提供证据。具体效果仍取决于被选儿童的困难类型和实施条件</w:t>
      </w:r>
      <w:r>
        <w:rPr>
          <w:vertAlign w:val="superscript"/>
        </w:rPr>
        <w:t xml:space="preserve">[</w:t>
      </w:r>
      <w:hyperlink w:anchor="ref-414">
        <w:r>
          <w:rPr>
            <w:rStyle w:val="Hyperlink"/>
            <w:vertAlign w:val="superscript"/>
          </w:rPr>
          <w:t xml:space="preserve">414</w:t>
        </w:r>
      </w:hyperlink>
      <w:r>
        <w:rPr>
          <w:vertAlign w:val="superscript"/>
        </w:rPr>
        <w:t xml:space="preserve">]</w:t>
      </w:r>
      <w:r>
        <w:t xml:space="preserve">。</w:t>
      </w:r>
    </w:p>
    <w:p>
      <w:pPr>
        <w:pStyle w:val="BodyText"/>
      </w:pPr>
      <w:r>
        <w:t xml:space="preserve">教学者可以根据实际表现选择目标，并定期观察进步。若长期缺乏改善，需要重新检查目标是否准确、支持强度是否足够、材料是否适合以及是否存在其他需要专业评估的因素。</w:t>
      </w:r>
    </w:p>
    <w:bookmarkEnd w:id="778"/>
    <w:bookmarkStart w:id="779" w:name="sec-39-21"/>
    <w:p>
      <w:pPr>
        <w:pStyle w:val="Heading3"/>
      </w:pPr>
      <w:r>
        <w:t xml:space="preserve">39.21　中文干预研究的最新边界</w:t>
      </w:r>
    </w:p>
    <w:p>
      <w:pPr>
        <w:pStyle w:val="FirstParagraph"/>
      </w:pPr>
      <w:r>
        <w:t xml:space="preserve">2024年的随机试验元分析汇总二十八项中文儿童阅读干预研究、共四十九个效应量，报告干预对字词读写的总体平均收益为中到大，效应量g约为零点六八。不同方法亚组的研究量差异很大，流畅性亚组仅有三个效应，工作记忆亚组仅有五个效应；研究主要分析即时字词读写结果。因此，不能据亚组均值直接排列长期首选方法，也不能把工作记忆亚组结果扩展为普遍阅读理解迁移</w:t>
      </w:r>
      <w:r>
        <w:rPr>
          <w:vertAlign w:val="superscript"/>
        </w:rPr>
        <w:t xml:space="preserve">[</w:t>
      </w:r>
      <w:hyperlink w:anchor="ref-415">
        <w:r>
          <w:rPr>
            <w:rStyle w:val="Hyperlink"/>
            <w:vertAlign w:val="superscript"/>
          </w:rPr>
          <w:t xml:space="preserve">415</w:t>
        </w:r>
      </w:hyperlink>
      <w:r>
        <w:rPr>
          <w:vertAlign w:val="superscript"/>
        </w:rPr>
        <w:t xml:space="preserve">]</w:t>
      </w:r>
      <w:r>
        <w:t xml:space="preserve">。</w:t>
      </w:r>
    </w:p>
    <w:p>
      <w:pPr>
        <w:pStyle w:val="BodyText"/>
      </w:pPr>
      <w:r>
        <w:t xml:space="preserve">一项正式发表于2025年的随机研究，在六十二名五年级阅读困难儿童中比较语音训练、语素训练和常规活动。两种训练都改善部分阅读结局，未发现两者显著差异。样本量、线上实施和任务范围限制了精细个体处方；部分反应预测相关未通过多重比较校正</w:t>
      </w:r>
      <w:r>
        <w:rPr>
          <w:vertAlign w:val="superscript"/>
        </w:rPr>
        <w:t xml:space="preserve">[</w:t>
      </w:r>
      <w:hyperlink w:anchor="ref-416">
        <w:r>
          <w:rPr>
            <w:rStyle w:val="Hyperlink"/>
            <w:vertAlign w:val="superscript"/>
          </w:rPr>
          <w:t xml:space="preserve">416</w:t>
        </w:r>
      </w:hyperlink>
      <w:r>
        <w:rPr>
          <w:vertAlign w:val="superscript"/>
        </w:rPr>
        <w:t xml:space="preserve">]</w:t>
      </w:r>
      <w:r>
        <w:t xml:space="preserve">。</w:t>
      </w:r>
    </w:p>
    <w:p>
      <w:pPr>
        <w:pStyle w:val="BodyText"/>
      </w:pPr>
      <w:r>
        <w:t xml:space="preserve">这些结果支持中文读写教学需要直接研究，同时保留语音、字形和意义多方面的可能贡献。某个方法的平均优势可以成为设计线索，具体学生仍需依据困难和进步调整。</w:t>
      </w:r>
    </w:p>
    <w:bookmarkEnd w:id="779"/>
    <w:bookmarkStart w:id="780" w:name="sec-39-22"/>
    <w:p>
      <w:pPr>
        <w:pStyle w:val="Heading3"/>
      </w:pPr>
      <w:r>
        <w:t xml:space="preserve">39.22　阅读障碍的多因素理解</w:t>
      </w:r>
    </w:p>
    <w:p>
      <w:pPr>
        <w:pStyle w:val="FirstParagraph"/>
      </w:pPr>
      <w:r>
        <w:t xml:space="preserve">持续的阅读和拼写困难具有个体差异，相关风险涉及多种遗传、认知、语言和环境因素。2025年的德尔菲研究尝试形成定义共识，强调多因素与持续识字困难。共识研究提供专业讨论的整理，不能替代全部因果证据，也不等于全球统一诊断规则</w:t>
      </w:r>
      <w:r>
        <w:rPr>
          <w:vertAlign w:val="superscript"/>
        </w:rPr>
        <w:t xml:space="preserve">[</w:t>
      </w:r>
      <w:hyperlink w:anchor="ref-417">
        <w:r>
          <w:rPr>
            <w:rStyle w:val="Hyperlink"/>
            <w:vertAlign w:val="superscript"/>
          </w:rPr>
          <w:t xml:space="preserve">417</w:t>
        </w:r>
      </w:hyperlink>
      <w:r>
        <w:rPr>
          <w:vertAlign w:val="superscript"/>
        </w:rPr>
        <w:t xml:space="preserve">]</w:t>
      </w:r>
      <w:r>
        <w:t xml:space="preserve">。</w:t>
      </w:r>
    </w:p>
    <w:p>
      <w:pPr>
        <w:pStyle w:val="BodyText"/>
      </w:pPr>
      <w:r>
        <w:t xml:space="preserve">伴随的实践共识强调，对识字困难的支持可以依据已经观察到的需要展开，持续缺乏进步时应考虑专业评估。评估需要结合发展史、教育机会、实际读写表现和其他相关因素</w:t>
      </w:r>
      <w:r>
        <w:rPr>
          <w:vertAlign w:val="superscript"/>
        </w:rPr>
        <w:t xml:space="preserve">[</w:t>
      </w:r>
      <w:hyperlink w:anchor="ref-418">
        <w:r>
          <w:rPr>
            <w:rStyle w:val="Hyperlink"/>
            <w:vertAlign w:val="superscript"/>
          </w:rPr>
          <w:t xml:space="preserve">418</w:t>
        </w:r>
      </w:hyperlink>
      <w:r>
        <w:rPr>
          <w:vertAlign w:val="superscript"/>
        </w:rPr>
        <w:t xml:space="preserve">]</w:t>
      </w:r>
      <w:r>
        <w:t xml:space="preserve">。</w:t>
      </w:r>
    </w:p>
    <w:p>
      <w:pPr>
        <w:pStyle w:val="BodyText"/>
      </w:pPr>
      <w:r>
        <w:t xml:space="preserve">在教育交流中，应描述具体强项与困难，避免把阅读困难等同于懒惰、低智力或固定命运，也避免假定它必然带来某种特殊创造力。尊重个体与提供有证据支持的教学，可以共同进行。</w:t>
      </w:r>
    </w:p>
    <w:bookmarkEnd w:id="780"/>
    <w:bookmarkStart w:id="781" w:name="sec-39-23"/>
    <w:p>
      <w:pPr>
        <w:pStyle w:val="Heading3"/>
      </w:pPr>
      <w:r>
        <w:t xml:space="preserve">39.23　双语与多文字经验</w:t>
      </w:r>
    </w:p>
    <w:p>
      <w:pPr>
        <w:pStyle w:val="FirstParagraph"/>
      </w:pPr>
      <w:r>
        <w:t xml:space="preserve">双语阅读涉及多套词汇与文字对应，语言熟练度和使用机会可能不同。某一语言表现较弱，可以反映接触不足、教学差异或具体学习困难，需要结合两种语言的发展背景判断。</w:t>
      </w:r>
    </w:p>
    <w:p>
      <w:pPr>
        <w:pStyle w:val="BodyText"/>
      </w:pPr>
      <w:r>
        <w:t xml:space="preserve">跨语言共有的概念知识可能帮助理解，具体字形、发音和语法规律则需要分别学习。教师应了解学习者在每种语言中已经掌握什么，并避免只用单语常模简单解释全部表现。相关评估还需符合所在环境的专业要求。</w:t>
      </w:r>
    </w:p>
    <w:p>
      <w:pPr>
        <w:pStyle w:val="BodyText"/>
      </w:pPr>
      <w:r>
        <w:t xml:space="preserve">教学可以显式比较共享概念与不同表达。例如，同一科学机制可以先用熟悉语言建立，再学习另一语言的术语和句法表达。目标是让概念与语言形式相互支持，同时逐步增加目标语言中的独立使用。</w:t>
      </w:r>
    </w:p>
    <w:bookmarkEnd w:id="781"/>
    <w:bookmarkStart w:id="782" w:name="sec-39-24"/>
    <w:p>
      <w:pPr>
        <w:pStyle w:val="Heading3"/>
      </w:pPr>
      <w:r>
        <w:t xml:space="preserve">39.24　书写与正字法学习</w:t>
      </w:r>
    </w:p>
    <w:p>
      <w:pPr>
        <w:pStyle w:val="FirstParagraph"/>
      </w:pPr>
      <w:r>
        <w:t xml:space="preserve">书写要求从意义或声音生成字形，涉及结构提取、顺序安排和动作执行。辨认一个字与完整写出它，具有不同信息需求。书写错误可以暴露字形表征中尚不稳定的部分。</w:t>
      </w:r>
    </w:p>
    <w:p>
      <w:pPr>
        <w:pStyle w:val="BodyText"/>
      </w:pPr>
      <w:r>
        <w:t xml:space="preserve">练习应明确目标。若目标是辨析部件位置，可以比较相近字并从记忆写出关键结构；若目标是文章表达，过度关注每个字的书写细节可能打断论证生成。不同活动可以分阶段进行，并在适当时机整合。</w:t>
      </w:r>
    </w:p>
    <w:p>
      <w:pPr>
        <w:pStyle w:val="BodyText"/>
      </w:pPr>
      <w:r>
        <w:t xml:space="preserve">手写、键盘和语音输入各自改变输入输出要求。工具选择应结合目标、可及性与实际表现。不能从某种方式产生更强脑活动就直接推导其对所有学习内容都更优，最终需要读写质量和延迟掌握证据。</w:t>
      </w:r>
    </w:p>
    <w:bookmarkEnd w:id="782"/>
    <w:bookmarkStart w:id="783" w:name="sec-39-25"/>
    <w:p>
      <w:pPr>
        <w:pStyle w:val="Heading3"/>
      </w:pPr>
      <w:r>
        <w:t xml:space="preserve">39.25　一个中文词汇单元的设计实例</w:t>
      </w:r>
    </w:p>
    <w:p>
      <w:pPr>
        <w:pStyle w:val="FirstParagraph"/>
      </w:pPr>
      <w:r>
        <w:t xml:space="preserve">以下为假设方案。目标是理解一组与水流相关的词语及其使用条件。教师先用明确语境介绍词义，再比较字形中可用的部件线索，同时说明部件只提供部分信息。学生随后在新句子中选择词语并解释理由。</w:t>
      </w:r>
    </w:p>
    <w:p>
      <w:pPr>
        <w:pStyle w:val="BodyText"/>
      </w:pPr>
      <w:r>
        <w:t xml:space="preserve">第二阶段要求从记忆写出目标词，比较易混字的关键结构；再阅读一段包含这些词的科学文本，解释其中关系。这样，字形、声音、意义和文本理解进入同一学习链条。</w:t>
      </w:r>
    </w:p>
    <w:p>
      <w:pPr>
        <w:pStyle w:val="BodyText"/>
      </w:pPr>
      <w:r>
        <w:t xml:space="preserve">延迟检验包括未练句子、无提示书写和文本解释。若只在原句中正确，应增加语境变化；若字形正确但词义混淆，应加强语义辨析；若单词掌握但文本困难，应检查句法和背景知识。</w:t>
      </w:r>
    </w:p>
    <w:bookmarkEnd w:id="783"/>
    <w:bookmarkStart w:id="784" w:name="sec-39-26"/>
    <w:p>
      <w:pPr>
        <w:pStyle w:val="Heading3"/>
      </w:pPr>
      <w:r>
        <w:t xml:space="preserve">39.26　一个外语阅读单元的设计实例</w:t>
      </w:r>
    </w:p>
    <w:p>
      <w:pPr>
        <w:pStyle w:val="FirstParagraph"/>
      </w:pPr>
      <w:r>
        <w:t xml:space="preserve">假设学生已经了解一个科学主题，但目标语言词汇不足。教师可以先确定关键术语和常见句式，安排字形声音对应及词义学习，再进入短文阅读。背景知识减少部分理解负担，语言形式仍需明确教学。</w:t>
      </w:r>
    </w:p>
    <w:p>
      <w:pPr>
        <w:pStyle w:val="BodyText"/>
      </w:pPr>
      <w:r>
        <w:t xml:space="preserve">阅读后，学生关闭文本，用自己的话重建机制，再核对术语和关系。下一轮使用不同表述但相同原理的文本，检验是否建立了可迁移语言理解。若学生只是记住原文顺序，新的表述会暴露依赖。</w:t>
      </w:r>
    </w:p>
    <w:p>
      <w:pPr>
        <w:pStyle w:val="BodyText"/>
      </w:pPr>
      <w:r>
        <w:t xml:space="preserve">评价可以分别报告术语识别、句子理解和整体解释。这样，教师能够知道困难发生在哪个层次，并避免用一个总分掩盖已经取得的局部进步。</w:t>
      </w:r>
    </w:p>
    <w:bookmarkEnd w:id="784"/>
    <w:bookmarkStart w:id="786" w:name="sec-39-27"/>
    <w:p>
      <w:pPr>
        <w:pStyle w:val="Heading3"/>
      </w:pPr>
      <w:r>
        <w:t xml:space="preserve">39.27　阅读任务与错误定位</w:t>
      </w:r>
    </w:p>
    <w:p>
      <w:pPr>
        <w:pStyle w:val="TableCaption"/>
      </w:pPr>
      <w:bookmarkStart w:id="785" w:name="tab-reading"/>
      <w:bookmarkEnd w:id="785"/>
      <w:r>
        <w:rPr>
          <w:bCs/>
          <w:b/>
        </w:rPr>
        <w:t xml:space="preserve">表 13　阅读困难的表现与检查方向</w:t>
      </w:r>
    </w:p>
    <w:tbl>
      <w:tblPr>
        <w:tblStyle w:val="Table"/>
        <w:tblW w:type="pct" w:w="5000"/>
        <w:jc w:val="start"/>
        <w:tblLook w:firstRow="1" w:lastRow="0" w:firstColumn="0" w:lastColumn="0" w:noHBand="0" w:noVBand="0" w:val="0020"/>
      </w:tblPr>
      <w:tblGrid>
        <w:gridCol w:w="2562"/>
        <w:gridCol w:w="2562"/>
        <w:gridCol w:w="2795"/>
      </w:tblGrid>
      <w:tr>
        <w:trPr>
          <w:tblHeader w:val="true"/>
        </w:trPr>
        <w:tc>
          <w:tcPr>
            <w:shd w:val="clear" w:color="auto" w:fill="1F3A5F"/>
          </w:tcPr>
          <w:p>
            <w:pPr>
              <w:jc w:val="left"/>
            </w:pPr>
            <w:r>
              <w:rPr>
                <w:bCs/>
                <w:b/>
                <w:color w:val="FFFFFF"/>
              </w:rPr>
              <w:t xml:space="preserve">观察到的表现</w:t>
            </w:r>
          </w:p>
        </w:tc>
        <w:tc>
          <w:tcPr>
            <w:shd w:val="clear" w:color="auto" w:fill="1F3A5F"/>
          </w:tcPr>
          <w:p>
            <w:pPr>
              <w:jc w:val="left"/>
            </w:pPr>
            <w:r>
              <w:rPr>
                <w:bCs/>
                <w:b/>
                <w:color w:val="FFFFFF"/>
              </w:rPr>
              <w:t xml:space="preserve">候选检查方向</w:t>
            </w:r>
          </w:p>
        </w:tc>
        <w:tc>
          <w:tcPr>
            <w:shd w:val="clear" w:color="auto" w:fill="1F3A5F"/>
          </w:tcPr>
          <w:p>
            <w:pPr>
              <w:jc w:val="left"/>
            </w:pPr>
            <w:r>
              <w:rPr>
                <w:bCs/>
                <w:b/>
                <w:color w:val="FFFFFF"/>
              </w:rPr>
              <w:t xml:space="preserve">可用的补充任务</w:t>
            </w:r>
          </w:p>
        </w:tc>
      </w:tr>
      <w:tr>
        <w:tc>
          <w:tcPr/>
          <w:p>
            <w:pPr>
              <w:jc w:val="left"/>
            </w:pPr>
            <w:r>
              <w:t xml:space="preserve">听懂但自行阅读困难</w:t>
            </w:r>
          </w:p>
        </w:tc>
        <w:tc>
          <w:tcPr/>
          <w:p>
            <w:pPr>
              <w:jc w:val="left"/>
            </w:pPr>
            <w:r>
              <w:t xml:space="preserve">字词识别与流畅性</w:t>
            </w:r>
          </w:p>
        </w:tc>
        <w:tc>
          <w:tcPr/>
          <w:p>
            <w:pPr>
              <w:jc w:val="left"/>
            </w:pPr>
            <w:r>
              <w:t xml:space="preserve">比较听读和自读的相同内容</w:t>
            </w:r>
          </w:p>
        </w:tc>
      </w:tr>
      <w:tr>
        <w:tc>
          <w:tcPr/>
          <w:p>
            <w:pPr>
              <w:jc w:val="left"/>
            </w:pPr>
            <w:r>
              <w:t xml:space="preserve">朗读准确但理解薄弱</w:t>
            </w:r>
          </w:p>
        </w:tc>
        <w:tc>
          <w:tcPr/>
          <w:p>
            <w:pPr>
              <w:jc w:val="left"/>
            </w:pPr>
            <w:r>
              <w:t xml:space="preserve">词汇、句法、背景与推理</w:t>
            </w:r>
          </w:p>
        </w:tc>
        <w:tc>
          <w:tcPr/>
          <w:p>
            <w:pPr>
              <w:jc w:val="left"/>
            </w:pPr>
            <w:r>
              <w:t xml:space="preserve">口语解释和关系判断</w:t>
            </w:r>
          </w:p>
        </w:tc>
      </w:tr>
      <w:tr>
        <w:tc>
          <w:tcPr/>
          <w:p>
            <w:pPr>
              <w:jc w:val="left"/>
            </w:pPr>
            <w:r>
              <w:t xml:space="preserve">熟悉词正确而陌生词困难</w:t>
            </w:r>
          </w:p>
        </w:tc>
        <w:tc>
          <w:tcPr/>
          <w:p>
            <w:pPr>
              <w:jc w:val="left"/>
            </w:pPr>
            <w:r>
              <w:t xml:space="preserve">文字声音规律与新词学习</w:t>
            </w:r>
          </w:p>
        </w:tc>
        <w:tc>
          <w:tcPr/>
          <w:p>
            <w:pPr>
              <w:jc w:val="left"/>
            </w:pPr>
            <w:r>
              <w:t xml:space="preserve">控制知识后的新材料任务</w:t>
            </w:r>
          </w:p>
        </w:tc>
      </w:tr>
      <w:tr>
        <w:tc>
          <w:tcPr/>
          <w:p>
            <w:pPr>
              <w:jc w:val="left"/>
            </w:pPr>
            <w:r>
              <w:t xml:space="preserve">字词掌握但长文混乱</w:t>
            </w:r>
          </w:p>
        </w:tc>
        <w:tc>
          <w:tcPr/>
          <w:p>
            <w:pPr>
              <w:jc w:val="left"/>
            </w:pPr>
            <w:r>
              <w:t xml:space="preserve">指代、连贯与目标维持</w:t>
            </w:r>
          </w:p>
        </w:tc>
        <w:tc>
          <w:tcPr/>
          <w:p>
            <w:pPr>
              <w:jc w:val="left"/>
            </w:pPr>
            <w:r>
              <w:t xml:space="preserve">重建段落关系和论证结构</w:t>
            </w:r>
          </w:p>
        </w:tc>
      </w:tr>
      <w:tr>
        <w:tc>
          <w:tcPr/>
          <w:p>
            <w:pPr>
              <w:jc w:val="left"/>
            </w:pPr>
            <w:r>
              <w:t xml:space="preserve">能辨认却写错部件</w:t>
            </w:r>
          </w:p>
        </w:tc>
        <w:tc>
          <w:tcPr/>
          <w:p>
            <w:pPr>
              <w:jc w:val="left"/>
            </w:pPr>
            <w:r>
              <w:t xml:space="preserve">字形精度与输出提取</w:t>
            </w:r>
          </w:p>
        </w:tc>
        <w:tc>
          <w:tcPr/>
          <w:p>
            <w:pPr>
              <w:jc w:val="left"/>
            </w:pPr>
            <w:r>
              <w:t xml:space="preserve">无提示书写和相近结构比较</w:t>
            </w:r>
          </w:p>
        </w:tc>
      </w:tr>
      <w:tr>
        <w:tc>
          <w:tcPr/>
          <w:p>
            <w:pPr>
              <w:jc w:val="left"/>
            </w:pPr>
            <w:r>
              <w:t xml:space="preserve">原文流畅而新文较弱</w:t>
            </w:r>
          </w:p>
        </w:tc>
        <w:tc>
          <w:tcPr/>
          <w:p>
            <w:pPr>
              <w:jc w:val="left"/>
            </w:pPr>
            <w:r>
              <w:t xml:space="preserve">材料特异熟悉与迁移</w:t>
            </w:r>
          </w:p>
        </w:tc>
        <w:tc>
          <w:tcPr/>
          <w:p>
            <w:pPr>
              <w:jc w:val="left"/>
            </w:pPr>
            <w:r>
              <w:t xml:space="preserve">未练文本的准确性和理解</w:t>
            </w:r>
          </w:p>
        </w:tc>
      </w:tr>
    </w:tbl>
    <w:p>
      <w:pPr>
        <w:pStyle w:val="BodyText"/>
      </w:pPr>
      <w:r>
        <w:t xml:space="preserve">表中方向是分析假说，不能单独构成诊断。多项任务和实际教育背景有助于确定合适支持</w:t>
      </w:r>
      <w:r>
        <w:rPr>
          <w:vertAlign w:val="superscript"/>
        </w:rPr>
        <w:t xml:space="preserve">[</w:t>
      </w:r>
      <w:hyperlink w:anchor="ref-413">
        <w:r>
          <w:rPr>
            <w:rStyle w:val="Hyperlink"/>
            <w:vertAlign w:val="superscript"/>
          </w:rPr>
          <w:t xml:space="preserve">413</w:t>
        </w:r>
      </w:hyperlink>
      <w:r>
        <w:rPr>
          <w:vertAlign w:val="superscript"/>
        </w:rPr>
        <w:t xml:space="preserve">,</w:t>
      </w:r>
      <w:hyperlink w:anchor="ref-418">
        <w:r>
          <w:rPr>
            <w:rStyle w:val="Hyperlink"/>
            <w:vertAlign w:val="superscript"/>
          </w:rPr>
          <w:t xml:space="preserve">418</w:t>
        </w:r>
      </w:hyperlink>
      <w:r>
        <w:rPr>
          <w:vertAlign w:val="superscript"/>
        </w:rPr>
        <w:t xml:space="preserve">]</w:t>
      </w:r>
      <w:r>
        <w:t xml:space="preserve">。</w:t>
      </w:r>
    </w:p>
    <w:bookmarkEnd w:id="786"/>
    <w:bookmarkStart w:id="787" w:name="sec-39-28"/>
    <w:p>
      <w:pPr>
        <w:pStyle w:val="Heading3"/>
      </w:pPr>
      <w:r>
        <w:t xml:space="preserve">39.28　结论边界与置信度</w:t>
      </w:r>
    </w:p>
    <w:p>
      <w:pPr>
        <w:pStyle w:val="FirstParagraph"/>
      </w:pPr>
      <w:r>
        <w:t xml:space="preserve">关于熟练阅读需要字词识别和语言理解协同，置信度高；具体文字系统中语音、字形、语素与经验的相对贡献，需要按年龄和任务分别评价</w:t>
      </w:r>
      <w:r>
        <w:rPr>
          <w:vertAlign w:val="superscript"/>
        </w:rPr>
        <w:t xml:space="preserve">[</w:t>
      </w:r>
      <w:hyperlink w:anchor="ref-403">
        <w:r>
          <w:rPr>
            <w:rStyle w:val="Hyperlink"/>
            <w:vertAlign w:val="superscript"/>
          </w:rPr>
          <w:t xml:space="preserve">403</w:t>
        </w:r>
      </w:hyperlink>
      <w:r>
        <w:rPr>
          <w:vertAlign w:val="superscript"/>
        </w:rPr>
        <w:t xml:space="preserve">,</w:t>
      </w:r>
      <w:hyperlink w:anchor="ref-405">
        <w:r>
          <w:rPr>
            <w:rStyle w:val="Hyperlink"/>
            <w:vertAlign w:val="superscript"/>
          </w:rPr>
          <w:t xml:space="preserve">405</w:t>
        </w:r>
      </w:hyperlink>
      <w:r>
        <w:rPr>
          <w:vertAlign w:val="superscript"/>
        </w:rPr>
        <w:t xml:space="preserve">,</w:t>
      </w:r>
      <w:hyperlink w:anchor="ref-407">
        <w:r>
          <w:rPr>
            <w:rStyle w:val="Hyperlink"/>
            <w:vertAlign w:val="superscript"/>
          </w:rPr>
          <w:t xml:space="preserve">407</w:t>
        </w:r>
      </w:hyperlink>
      <w:r>
        <w:rPr>
          <w:vertAlign w:val="superscript"/>
        </w:rPr>
        <w:t xml:space="preserve">]</w:t>
      </w:r>
      <w:r>
        <w:t xml:space="preserve">。中文阅读干预的汇总结果支持针对性教学可以改善一些识字结局，但各训练方法、保持期限与学习者亚组的证据精度不同</w:t>
      </w:r>
      <w:r>
        <w:rPr>
          <w:vertAlign w:val="superscript"/>
        </w:rPr>
        <w:t xml:space="preserve">[</w:t>
      </w:r>
      <w:hyperlink w:anchor="ref-415">
        <w:r>
          <w:rPr>
            <w:rStyle w:val="Hyperlink"/>
            <w:vertAlign w:val="superscript"/>
          </w:rPr>
          <w:t xml:space="preserve">415</w:t>
        </w:r>
      </w:hyperlink>
      <w:r>
        <w:rPr>
          <w:vertAlign w:val="superscript"/>
        </w:rPr>
        <w:t xml:space="preserve">]</w:t>
      </w:r>
      <w:r>
        <w:t xml:space="preserve">。对某种训练在所有中文阅读困难儿童中最优，或能普遍提升未训练的一般认知能力，现有证据不足。某个试验中两种训练之间未出现显著差异，也不能单独建立二者等效或适用人群完全相同的结论</w:t>
      </w:r>
      <w:r>
        <w:rPr>
          <w:vertAlign w:val="superscript"/>
        </w:rPr>
        <w:t xml:space="preserve">[</w:t>
      </w:r>
      <w:hyperlink w:anchor="ref-416">
        <w:r>
          <w:rPr>
            <w:rStyle w:val="Hyperlink"/>
            <w:vertAlign w:val="superscript"/>
          </w:rPr>
          <w:t xml:space="preserve">416</w:t>
        </w:r>
      </w:hyperlink>
      <w:r>
        <w:rPr>
          <w:vertAlign w:val="superscript"/>
        </w:rPr>
        <w:t xml:space="preserve">]</w:t>
      </w:r>
      <w:r>
        <w:t xml:space="preserve">。</w:t>
      </w:r>
    </w:p>
    <w:bookmarkEnd w:id="787"/>
    <w:bookmarkStart w:id="788" w:name="sec-39-29"/>
    <w:p>
      <w:pPr>
        <w:pStyle w:val="Heading3"/>
      </w:pPr>
      <w:r>
        <w:t xml:space="preserve">39.29　综合练习</w:t>
      </w:r>
    </w:p>
    <w:p>
      <w:pPr>
        <w:pStyle w:val="FirstParagraph"/>
      </w:pPr>
      <w:r>
        <w:t xml:space="preserve">练习一。学生能读出一个术语，却无法解释它。参考分析：读音提取已经具有一定可用性，语义和关系知识仍需检查。应增加定义、例子、反例和应用，随后重新检验。</w:t>
      </w:r>
    </w:p>
    <w:p>
      <w:pPr>
        <w:pStyle w:val="BodyText"/>
      </w:pPr>
      <w:r>
        <w:t xml:space="preserve">练习二。一个孩子在熟悉故事中猜词很准，单独呈现相同词却困难。参考分析：语境支持了表现，字形识别可能尚不稳定。需要直接检查文字处理，同时保留有意义阅读。</w:t>
      </w:r>
    </w:p>
    <w:p>
      <w:pPr>
        <w:pStyle w:val="BodyText"/>
      </w:pPr>
      <w:r>
        <w:t xml:space="preserve">练习三。某干预提高训练词的朗读速度，研究者称阅读理解已经改善。参考分析：训练词流畅性与阅读理解属于不同结局，需要未练文本和理解任务支持进一步结论。</w:t>
      </w:r>
    </w:p>
    <w:p>
      <w:pPr>
        <w:pStyle w:val="BodyText"/>
      </w:pPr>
      <w:r>
        <w:t xml:space="preserve">练习四。中文与英语阅读研究发现不同预测因素。参考分析：先检查文字结构、年龄、教学经验和任务形式，再比较共同过程。跨语言差异无需被解释为完全不同的大脑，也不能被全部忽略。</w:t>
      </w:r>
    </w:p>
    <w:bookmarkEnd w:id="788"/>
    <w:bookmarkEnd w:id="789"/>
    <w:bookmarkStart w:id="808" w:name="ch-40"/>
    <w:p>
      <w:pPr>
        <w:pStyle w:val="Heading2"/>
      </w:pPr>
      <w:r>
        <w:t xml:space="preserve">第40章　双语经验与执行功能</w:t>
      </w:r>
    </w:p>
    <w:bookmarkStart w:id="790" w:name="sec-40-1"/>
    <w:p>
      <w:pPr>
        <w:pStyle w:val="Heading3"/>
      </w:pPr>
      <w:r>
        <w:t xml:space="preserve">40.1　核心判断</w:t>
      </w:r>
    </w:p>
    <w:p>
      <w:pPr>
        <w:pStyle w:val="FirstParagraph"/>
      </w:pPr>
      <w:r>
        <w:t xml:space="preserve">使用多种语言会改变语言加工经验，成人一般执行功能的普遍优势尚未稳定建立。学第二语言就能让所有人全面健脑的承诺超出了证据。否定“必然获益”和“全面获益”这两种扩展说法，置信度高；特定语言实践、年龄和任务中的局部收益仍值得研究。</w:t>
      </w:r>
    </w:p>
    <w:p>
      <w:pPr>
        <w:pStyle w:val="BodyText"/>
      </w:pPr>
      <w:r>
        <w:t xml:space="preserve">双语本身没有统一剂量。习得年龄、熟练度、每天使用比例、切换环境、语言相似程度和社会背景都可能不同。把所有双语者合成一个类别，再寻找通用脑优势，会掩盖这些差异。</w:t>
      </w:r>
    </w:p>
    <w:bookmarkEnd w:id="790"/>
    <w:bookmarkStart w:id="791" w:name="sec-40-2"/>
    <w:p>
      <w:pPr>
        <w:pStyle w:val="Heading3"/>
      </w:pPr>
      <w:r>
        <w:t xml:space="preserve">40.2　机制假说怎样产生</w:t>
      </w:r>
    </w:p>
    <w:p>
      <w:pPr>
        <w:pStyle w:val="FirstParagraph"/>
      </w:pPr>
      <w:r>
        <w:t xml:space="preserve">双语者可能需要选择目标语言、处理竞争和根据情境切换。由此可以提出训练某些控制过程的假说。这个假说具有合理性，但合理机制只是研究起点，实际迁移需要独立测量。</w:t>
      </w:r>
    </w:p>
    <w:p>
      <w:pPr>
        <w:pStyle w:val="BodyText"/>
      </w:pPr>
      <w:r>
        <w:t xml:space="preserve">语言选择可能与一般任务共享部分计算，如目标维持、选择和冲突处理，也可能使用高度熟练的语言特定机制。共享过程提供迁移假设，实际迁移取决于共享程度、训练量和测验灵敏度。若共享有限，长期语言经验未必转化为所有执行任务上的提高。研究需要比较共享成分与迁移范围，不能仅凭都涉及控制就假定等价。</w:t>
      </w:r>
    </w:p>
    <w:p>
      <w:pPr>
        <w:pStyle w:val="BodyText"/>
      </w:pPr>
      <w:r>
        <w:t xml:space="preserve">所谓执行功能也包含多个成分，例如更新、抑制、切换和目标维持。单个任务通常不纯粹，反应时还受到感知和动作速度影响。一个任务的优势无法自动扩展成统一执行力更高。</w:t>
      </w:r>
    </w:p>
    <w:bookmarkEnd w:id="791"/>
    <w:bookmarkStart w:id="792" w:name="sec-40-3"/>
    <w:p>
      <w:pPr>
        <w:pStyle w:val="Heading3"/>
      </w:pPr>
      <w:r>
        <w:t xml:space="preserve">40.3　综合证据如何约束通用优势</w:t>
      </w:r>
    </w:p>
    <w:p>
      <w:pPr>
        <w:pStyle w:val="FirstParagraph"/>
      </w:pPr>
      <w:r>
        <w:t xml:space="preserve">Lehtonen等2018年汇总152项成人研究、891个效应量。部分领域在未校正时出现很小优势，考虑发表偏倚后，整体优势缺乏稳健支持</w:t>
      </w:r>
      <w:r>
        <w:rPr>
          <w:vertAlign w:val="superscript"/>
        </w:rPr>
        <w:t xml:space="preserve">[</w:t>
      </w:r>
      <w:hyperlink w:anchor="ref-419">
        <w:r>
          <w:rPr>
            <w:rStyle w:val="Hyperlink"/>
            <w:vertAlign w:val="superscript"/>
          </w:rPr>
          <w:t xml:space="preserve">419</w:t>
        </w:r>
      </w:hyperlink>
      <w:r>
        <w:rPr>
          <w:vertAlign w:val="superscript"/>
        </w:rPr>
        <w:t xml:space="preserve">]</w:t>
      </w:r>
      <w:r>
        <w:t xml:space="preserve">。这限制了跨领域必然收益的强版本，也提示不同分析假设会影响估计。</w:t>
      </w:r>
    </w:p>
    <w:p>
      <w:pPr>
        <w:pStyle w:val="BodyText"/>
      </w:pPr>
      <w:r>
        <w:t xml:space="preserve">de Bruin等追踪会议报告的发表去向，发现支持双语优势的结果更容易进入正式文献</w:t>
      </w:r>
      <w:r>
        <w:rPr>
          <w:vertAlign w:val="superscript"/>
        </w:rPr>
        <w:t xml:space="preserve">[</w:t>
      </w:r>
      <w:hyperlink w:anchor="ref-420">
        <w:r>
          <w:rPr>
            <w:rStyle w:val="Hyperlink"/>
            <w:vertAlign w:val="superscript"/>
          </w:rPr>
          <w:t xml:space="preserve">420</w:t>
        </w:r>
      </w:hyperlink>
      <w:r>
        <w:rPr>
          <w:vertAlign w:val="superscript"/>
        </w:rPr>
        <w:t xml:space="preserve">]</w:t>
      </w:r>
      <w:r>
        <w:t xml:space="preserve">。这种研究关注证据生产过程。若只读已发表的积极论文，可能看到被选择过的结果分布。</w:t>
      </w:r>
    </w:p>
    <w:p>
      <w:pPr>
        <w:pStyle w:val="BodyText"/>
      </w:pPr>
      <w:r>
        <w:t xml:space="preserve">偏倚校正同样有假设，不能把一个校正后的点估计当作真实效应绝对为零。更合理的结论是，现有资料不足以支持通用处方；新的具体假说应使用预注册、可靠任务和独立样本检验。</w:t>
      </w:r>
    </w:p>
    <w:bookmarkEnd w:id="792"/>
    <w:bookmarkStart w:id="793" w:name="sec-40-4"/>
    <w:p>
      <w:pPr>
        <w:pStyle w:val="Heading3"/>
      </w:pPr>
      <w:r>
        <w:t xml:space="preserve">40.4　观察性比较中的混杂</w:t>
      </w:r>
    </w:p>
    <w:p>
      <w:pPr>
        <w:pStyle w:val="FirstParagraph"/>
      </w:pPr>
      <w:r>
        <w:t xml:space="preserve">双语与教育、移民经历、社会经济资源、文化和职业机会可能相关。这些因素也可能影响认知表现。统计匹配可以减少已知差异，但难以保证所有背景都被准确测量。</w:t>
      </w:r>
    </w:p>
    <w:p>
      <w:pPr>
        <w:pStyle w:val="BodyText"/>
      </w:pPr>
      <w:r>
        <w:t xml:space="preserve">反向选择也可能存在。原本认知、语言或动机条件较好的人，可能更容易学习并持续使用多种语言。一次横断面比较无法完全区分这种选择与训练效应。</w:t>
      </w:r>
    </w:p>
    <w:p>
      <w:pPr>
        <w:pStyle w:val="BodyText"/>
      </w:pPr>
      <w:r>
        <w:t xml:space="preserve">因果研究可以使用纵向追踪、自然实验或随机语言学习干预。但短期课程与终身双语经验并不相同，随机试验也可能缺少足够剂量。因此，研究设计的优点与外推限制需要同时保留。</w:t>
      </w:r>
    </w:p>
    <w:bookmarkEnd w:id="793"/>
    <w:bookmarkStart w:id="794" w:name="sec-40-5"/>
    <w:p>
      <w:pPr>
        <w:pStyle w:val="Heading3"/>
      </w:pPr>
      <w:r>
        <w:t xml:space="preserve">40.5　任务信度与差值分数</w:t>
      </w:r>
    </w:p>
    <w:p>
      <w:pPr>
        <w:pStyle w:val="FirstParagraph"/>
      </w:pPr>
      <w:r>
        <w:t xml:space="preserve">执行任务常使用两个条件的反应时差，例如一致与不一致刺激的差值。两个条件都包含感觉、动作和一般速度成分，取差可以减去部分共同因素，同时也累积两次测量的误差。因此，两种条件本身可能可靠，差值却因共同方差抵消而具有较低的个体差异信度；若真实个体差异很小，差值的排名在重测中可能不稳定。Hedge等在多种经典任务中说明，稳定的群体实验效应与可靠的个体差异测量是不同要求：某个冲突效应在每组都能重复，仍可能难以稳定区分谁的控制更强</w:t>
      </w:r>
      <w:r>
        <w:rPr>
          <w:vertAlign w:val="superscript"/>
        </w:rPr>
        <w:t xml:space="preserve">[</w:t>
      </w:r>
      <w:hyperlink w:anchor="ref-421">
        <w:r>
          <w:rPr>
            <w:rStyle w:val="Hyperlink"/>
            <w:vertAlign w:val="superscript"/>
          </w:rPr>
          <w:t xml:space="preserve">421</w:t>
        </w:r>
      </w:hyperlink>
      <w:r>
        <w:rPr>
          <w:vertAlign w:val="superscript"/>
        </w:rPr>
        <w:t xml:space="preserve">]</w:t>
      </w:r>
      <w:r>
        <w:t xml:space="preserve">。这会直接影响双语组间比较、个体预测和脑行为相关分析。</w:t>
      </w:r>
    </w:p>
    <w:p>
      <w:pPr>
        <w:pStyle w:val="BodyText"/>
      </w:pPr>
      <w:r>
        <w:t xml:space="preserve">若研究只用一个差值任务，小样本中的偶然波动可能较大。更稳健的做法是使用多个任务、足够的有效试次、适当的任务难度和明确的测量模型，同时检查速度准确性权衡。试次越多也可能增加疲劳与练习，设计需要平衡。增加脑影像并不能自动解决行为指标不可靠的问题。可靠性提高不会自动产生真实双语优势，但能让正结果和零附近结果都更可解释。</w:t>
      </w:r>
    </w:p>
    <w:p>
      <w:pPr>
        <w:pStyle w:val="BodyText"/>
      </w:pPr>
      <w:r>
        <w:t xml:space="preserve">双语定义若过于粗糙，也会增加测量误差。只问会几种语言，无法区分每天使用与多年不使用。更详细的语言经历可以改善解释，但变量越多，分析选择越需要预先规定。</w:t>
      </w:r>
    </w:p>
    <w:bookmarkEnd w:id="794"/>
    <w:bookmarkStart w:id="795" w:name="sec-40-6"/>
    <w:p>
      <w:pPr>
        <w:pStyle w:val="Heading3"/>
      </w:pPr>
      <w:r>
        <w:t xml:space="preserve">40.6　从执行功能到衰老的外推</w:t>
      </w:r>
    </w:p>
    <w:p>
      <w:pPr>
        <w:pStyle w:val="FirstParagraph"/>
      </w:pPr>
      <w:r>
        <w:t xml:space="preserve">执行任务表现、认知储备、痴呆发病、就诊年龄、确诊年龄和病理进展属于不同结局。认知储备描述在相似脑病理负荷下维持功能的差异，常通过教育、职业或活动等代理指标研究。确诊较晚可能涉及症状表现、家庭识别、就医条件、文化解释和评估语言，不能直接等同于病理过程减少。双语者若在非优势语言中接受测验，分数可能受到语言要求影响；评估若没有充分考虑语言背景，疾病识别也可能变化。语言经历与其中一个结局相关，无法自动推出所有结局都改变。研究应尽量区分真正认知变化与测量过程，并说明观察的是哪一层。</w:t>
      </w:r>
    </w:p>
    <w:p>
      <w:pPr>
        <w:pStyle w:val="BodyText"/>
      </w:pPr>
      <w:r>
        <w:t xml:space="preserve">2025年一项Nature Aging分析纳入27个欧洲国家的86149人，关联国家层面的多语比例与模型构建的生物行为年龄差</w:t>
      </w:r>
      <w:r>
        <w:rPr>
          <w:vertAlign w:val="superscript"/>
        </w:rPr>
        <w:t xml:space="preserve">[</w:t>
      </w:r>
      <w:hyperlink w:anchor="ref-422">
        <w:r>
          <w:rPr>
            <w:rStyle w:val="Hyperlink"/>
            <w:vertAlign w:val="superscript"/>
          </w:rPr>
          <w:t xml:space="preserve">422</w:t>
        </w:r>
      </w:hyperlink>
      <w:r>
        <w:rPr>
          <w:vertAlign w:val="superscript"/>
        </w:rPr>
        <w:t xml:space="preserve">]</w:t>
      </w:r>
      <w:r>
        <w:t xml:space="preserve">。国家层面暴露和个体层面干预具有不同含义，结果无法直接转成某个人学外语就会减少多少脑龄。</w:t>
      </w:r>
    </w:p>
    <w:p>
      <w:pPr>
        <w:pStyle w:val="BodyText"/>
      </w:pPr>
      <w:r>
        <w:t xml:space="preserve">这项研究的积极关联可以提出新假说，但生态层面的混杂、年龄模型的构成与跨国差异都需要检验。模型预测年龄的误差，也提醒读者不要把年龄差当成精确的个人生物时钟。该论文标题用了“保护”一词，这一措辞应由研究设计限定：关于保护作用的结论，需要结合前瞻性设计、适当暴露测量、疾病结局和混杂处理。即使某些观察结果积极，也不应把语言课程作为保证预防痴呆的产品。语言学习可因交流、兴趣和社会参与而值得开展，其疾病效应需要独立证据。</w:t>
      </w:r>
    </w:p>
    <w:bookmarkEnd w:id="795"/>
    <w:bookmarkStart w:id="796" w:name="sec-40-7"/>
    <w:p>
      <w:pPr>
        <w:pStyle w:val="Heading3"/>
      </w:pPr>
      <w:r>
        <w:t xml:space="preserve">40.7　语言价值如何独立评价</w:t>
      </w:r>
    </w:p>
    <w:p>
      <w:pPr>
        <w:pStyle w:val="FirstParagraph"/>
      </w:pPr>
      <w:r>
        <w:t xml:space="preserve">掌握另一种语言直接扩大交流、阅读和文化参与的范围。快速选择恰当语言、准确理解不同语言中的信息，本身也是领域特异的直接能力。这些结果本身可以构成学习目标，无需借助普遍执行优势来证明价值；是否另有非语言执行优势，是额外的研究问题。把语言价值全部依赖于远迁移，会缩窄教育目标。课程应按语言能力和实际使用效果评价。</w:t>
      </w:r>
    </w:p>
    <w:p>
      <w:pPr>
        <w:pStyle w:val="BodyText"/>
      </w:pPr>
      <w:r>
        <w:t xml:space="preserve">如果学习者希望通过语言训练改善某种非语言能力，可以事先测量该目标，并使用其他活动对照。即使没有迁移，语言学习仍可能成功达到直接目标。把两种价值分开，有助于避免失望和过度承诺。</w:t>
      </w:r>
    </w:p>
    <w:p>
      <w:pPr>
        <w:pStyle w:val="BodyText"/>
      </w:pPr>
      <w:r>
        <w:t xml:space="preserve">双语者在某一语言的词汇测试中表现不同，也需要结合总语言经验解释。单语测验可能低估跨语言知识，或者测量语言熟练度与执行能力的混合。公平比较需要考虑测验语言、文化熟悉度和评分标准。</w:t>
      </w:r>
    </w:p>
    <w:bookmarkEnd w:id="796"/>
    <w:bookmarkStart w:id="797" w:name="sec-40-8"/>
    <w:p>
      <w:pPr>
        <w:pStyle w:val="Heading3"/>
      </w:pPr>
      <w:r>
        <w:t xml:space="preserve">40.8　研究怎样变得更有辨别力</w:t>
      </w:r>
    </w:p>
    <w:p>
      <w:pPr>
        <w:pStyle w:val="FirstParagraph"/>
      </w:pPr>
      <w:r>
        <w:t xml:space="preserve">首先，明确一种语言实践，例如每天频繁在相同对象间切换，或在不同环境分别使用不同语言。其次，提出与该实践对应的具体过程预测。再次，选择多个可靠的未练任务，避免将语言知识优势误认为非语言控制优势。</w:t>
      </w:r>
    </w:p>
    <w:p>
      <w:pPr>
        <w:pStyle w:val="BodyText"/>
      </w:pPr>
      <w:r>
        <w:t xml:space="preserve">研究应同时记录教育、健康和生活环境，预先说明混杂控制策略。若使用纵向数据，应观察语言实践变化是否先于认知变化，并评估退出和测量误差。若使用随机课程，应报告实际完成剂量和课外使用。</w:t>
      </w:r>
    </w:p>
    <w:p>
      <w:pPr>
        <w:pStyle w:val="BodyText"/>
      </w:pPr>
      <w:r>
        <w:t xml:space="preserve">最后，在独立样本中检验效应。若理论只在不断调整双语定义、删除样本或更换任务后成立，可信度会降低。一个边界清楚、效应较小的结果，仍比覆盖所有人的模糊优势更有价值。</w:t>
      </w:r>
    </w:p>
    <w:bookmarkEnd w:id="797"/>
    <w:bookmarkStart w:id="798" w:name="sec-40-9"/>
    <w:p>
      <w:pPr>
        <w:pStyle w:val="Heading3"/>
      </w:pPr>
      <w:r>
        <w:t xml:space="preserve">40.9　一个新研究的阅读实例</w:t>
      </w:r>
    </w:p>
    <w:p>
      <w:pPr>
        <w:pStyle w:val="FirstParagraph"/>
      </w:pPr>
      <w:r>
        <w:t xml:space="preserve">假设标题说双语让大脑年轻五岁。阅读时应先找年龄如何测量：实际发病年龄、影像预测年龄、认知测验换算年龄还是综合模型。每一种数值都具有不同含义。</w:t>
      </w:r>
    </w:p>
    <w:p>
      <w:pPr>
        <w:pStyle w:val="BodyText"/>
      </w:pPr>
      <w:r>
        <w:t xml:space="preserve">接着确认暴露单位。若使用国家多语比例，无法直接知道每位参与者的语言经历；若使用个人报告，还要检查熟练度和使用频率。随后检查设计是否能处理教育、健康和反向选择。</w:t>
      </w:r>
    </w:p>
    <w:p>
      <w:pPr>
        <w:pStyle w:val="BodyText"/>
      </w:pPr>
      <w:r>
        <w:t xml:space="preserve">最后询问该结果是否能转成行动。即使观察关联可靠，也还需要干预证据确定学什么、学多久、对谁有效以及效果是否持续。没有这些条件，五岁这样的表达不能成为个人收益保证。</w:t>
      </w:r>
    </w:p>
    <w:bookmarkEnd w:id="798"/>
    <w:bookmarkStart w:id="799" w:name="sec-40-10"/>
    <w:p>
      <w:pPr>
        <w:pStyle w:val="Heading3"/>
      </w:pPr>
      <w:r>
        <w:t xml:space="preserve">40.10　语言经验的多维坐标</w:t>
      </w:r>
    </w:p>
    <w:p>
      <w:pPr>
        <w:pStyle w:val="FirstParagraph"/>
      </w:pPr>
      <w:r>
        <w:t xml:space="preserve">双语经验可以从习得年龄、熟练度、使用比例、交流对象、语言距离、读写方式和切换情境描述。两个人都被称为双语者，却可能一个在家使用一种语言、工作使用另一种，另一个在同一对话中经常混合两种语言。控制需求和练习机会因此不同。</w:t>
      </w:r>
    </w:p>
    <w:p>
      <w:pPr>
        <w:pStyle w:val="BodyText"/>
      </w:pPr>
      <w:r>
        <w:t xml:space="preserve">把经验视为连续多维变量，有助于提出更具体的预测。DeLuca等研究了不同语言使用经历与脑结构及功能连接之间的关系，强调二元分类可能掩盖经验差异</w:t>
      </w:r>
      <w:r>
        <w:rPr>
          <w:vertAlign w:val="superscript"/>
        </w:rPr>
        <w:t xml:space="preserve">[</w:t>
      </w:r>
      <w:hyperlink w:anchor="ref-423">
        <w:r>
          <w:rPr>
            <w:rStyle w:val="Hyperlink"/>
            <w:vertAlign w:val="superscript"/>
          </w:rPr>
          <w:t xml:space="preserve">423</w:t>
        </w:r>
      </w:hyperlink>
      <w:r>
        <w:rPr>
          <w:vertAlign w:val="superscript"/>
        </w:rPr>
        <w:t xml:space="preserve">]</w:t>
      </w:r>
      <w:r>
        <w:t xml:space="preserve">。这些观察关联支持更细化的研究设计，具体经验导致何种神经改变仍需因果证据。</w:t>
      </w:r>
    </w:p>
    <w:p>
      <w:pPr>
        <w:pStyle w:val="BodyText"/>
      </w:pPr>
      <w:r>
        <w:t xml:space="preserve">语言熟练度也需要多种指标。自报流利、词汇量、快速命名、语法判断和真实交流表现不完全相同。某人专业阅读强、日常口语弱，单个总分会丢失重要结构。研究应选择与理论目标相符的测量，并报告语言之间的不对称。</w:t>
      </w:r>
    </w:p>
    <w:bookmarkEnd w:id="799"/>
    <w:bookmarkStart w:id="800" w:name="sec-40-11"/>
    <w:p>
      <w:pPr>
        <w:pStyle w:val="Heading3"/>
      </w:pPr>
      <w:r>
        <w:t xml:space="preserve">40.11　词汇竞争与语言选择</w:t>
      </w:r>
    </w:p>
    <w:p>
      <w:pPr>
        <w:pStyle w:val="FirstParagraph"/>
      </w:pPr>
      <w:r>
        <w:t xml:space="preserve">交流时，概念、词汇形式、语音或手语动作需要按目标组织。两种语言可能对同一概念提供不同表达，候选项的可用性和熟练度会影响选择。语言控制涉及维持当前交流目标、识别对话对象、监测竞争和调整输出，多个过程可以共同作用。</w:t>
      </w:r>
    </w:p>
    <w:p>
      <w:pPr>
        <w:pStyle w:val="BodyText"/>
      </w:pPr>
      <w:r>
        <w:t xml:space="preserve">自适应控制假说提出，反复出现的交互情境会塑造控制过程的组织。该假说区分单一语言情境（不同环境各自使用一种语言）、双语言情境（同一环境中两种语言都在使用，通常面向不同对象）和密集语码转换情境，三者可能提出不同的控制要求</w:t>
      </w:r>
      <w:r>
        <w:rPr>
          <w:vertAlign w:val="superscript"/>
        </w:rPr>
        <w:t xml:space="preserve">[</w:t>
      </w:r>
      <w:hyperlink w:anchor="ref-424">
        <w:r>
          <w:rPr>
            <w:rStyle w:val="Hyperlink"/>
            <w:vertAlign w:val="superscript"/>
          </w:rPr>
          <w:t xml:space="preserve">424</w:t>
        </w:r>
      </w:hyperlink>
      <w:r>
        <w:rPr>
          <w:vertAlign w:val="superscript"/>
        </w:rPr>
        <w:t xml:space="preserve">]</w:t>
      </w:r>
      <w:r>
        <w:t xml:space="preserve">。这是具有具体预测的理论框架，验证需要在同一个人中测量语言使用、控制任务和变化过程。理论中的多个成分不应被压缩为单一“抑制力更强”。</w:t>
      </w:r>
    </w:p>
    <w:p>
      <w:pPr>
        <w:pStyle w:val="BodyText"/>
      </w:pPr>
      <w:r>
        <w:t xml:space="preserve">一个教学例子可以说明情境差别。在不同地点严格使用不同语言，可能需要根据环境维持规则；在同一房间面对不同语言对象，可能需要快速识别线索并切换；在允许混合的对话中，灵活利用两种表达可能更有效。哪种控制最重要取决于交互规则。</w:t>
      </w:r>
    </w:p>
    <w:bookmarkEnd w:id="800"/>
    <w:bookmarkStart w:id="801" w:name="sec-40-12"/>
    <w:p>
      <w:pPr>
        <w:pStyle w:val="Heading3"/>
      </w:pPr>
      <w:r>
        <w:t xml:space="preserve">40.12　实验室切换与自然交流</w:t>
      </w:r>
    </w:p>
    <w:p>
      <w:pPr>
        <w:pStyle w:val="FirstParagraph"/>
      </w:pPr>
      <w:r>
        <w:t xml:space="preserve">语言切换实验常用颜色或符号提示参与者以某种语言命名图片。提示清楚、刺激简单、反应受限，便于测量切换成本。自然交流则包含语义目标、社会关系、可预测语境和自主选择。两者可以研究相关过程，不能假定成本完全相同。</w:t>
      </w:r>
    </w:p>
    <w:p>
      <w:pPr>
        <w:pStyle w:val="BodyText"/>
      </w:pPr>
      <w:r>
        <w:t xml:space="preserve">自主切换可能发生在某个词更容易提取或更符合语境时，强迫切换则可能要求在不自然时刻改变语言。研究若比较两者，需要考虑选择偏差：自主条件中被选择的切换时机本来就可能更容易。精心匹配材料和时序有助于区分控制需求。</w:t>
      </w:r>
    </w:p>
    <w:p>
      <w:pPr>
        <w:pStyle w:val="BodyText"/>
      </w:pPr>
      <w:r>
        <w:t xml:space="preserve">语言切换成本还受优势语言影响。较熟练语言和较弱语言可能具有不同基线，抑制与重新激活的需求可能不对称。差值解释应结合各条件绝对反应、准确率和词汇熟悉度，避免把一个小差值直接当成通用优势。</w:t>
      </w:r>
    </w:p>
    <w:bookmarkEnd w:id="801"/>
    <w:bookmarkStart w:id="802" w:name="sec-40-13"/>
    <w:p>
      <w:pPr>
        <w:pStyle w:val="Heading3"/>
      </w:pPr>
      <w:r>
        <w:t xml:space="preserve">40.13　语言控制向非语言控制的桥接</w:t>
      </w:r>
    </w:p>
    <w:p>
      <w:pPr>
        <w:pStyle w:val="FirstParagraph"/>
      </w:pPr>
      <w:r>
        <w:t xml:space="preserve">如果理论预测干扰抑制改善，可以选用多种不同材料的干扰任务，并区分刺激竞争、反应竞争与规则维护。如果只有一个任务差值出现优势，可能涉及该任务特异策略。多个任务的共同变化更接近一般过程，但仍需可靠测量和适当统计模型。</w:t>
      </w:r>
    </w:p>
    <w:bookmarkEnd w:id="802"/>
    <w:bookmarkStart w:id="803" w:name="sec-40-14"/>
    <w:p>
      <w:pPr>
        <w:pStyle w:val="Heading3"/>
      </w:pPr>
      <w:r>
        <w:t xml:space="preserve">40.14　语言环境与社会变量</w:t>
      </w:r>
    </w:p>
    <w:p>
      <w:pPr>
        <w:pStyle w:val="FirstParagraph"/>
      </w:pPr>
      <w:r>
        <w:t xml:space="preserve">语言经历常与移居、教育、职业、文化、社会网络和资源联系。统计控制这些变量需要明确因果角色。某变量可能是共同原因，也可能是语言经历影响结果的中介；不加区分地全部控制，可能移除真实路径或引入偏差。</w:t>
      </w:r>
    </w:p>
    <w:p>
      <w:pPr>
        <w:pStyle w:val="BodyText"/>
      </w:pPr>
      <w:r>
        <w:t xml:space="preserve">例如，语言能力可能扩大教育机会，教育又影响认知测验；家庭资源也可能同时促进语言学习和教育。若研究希望估计语言经历的总效应与直接效应，所需模型不同。因果图可以帮助明确假设，数据本身通常无法自动选择唯一正确图。</w:t>
      </w:r>
    </w:p>
    <w:p>
      <w:pPr>
        <w:pStyle w:val="BodyText"/>
      </w:pPr>
      <w:r>
        <w:t xml:space="preserve">跨国家研究还需区分个人暴露与社会环境。一个国家多语使用较普遍，可能同时具有不同教育、医疗和社会条件。国家层面的关联不能直接说明某个人多学一门语言会获得相同收益。多层模型可以处理聚类，仍不能消除所有未测混杂。</w:t>
      </w:r>
    </w:p>
    <w:bookmarkEnd w:id="803"/>
    <w:bookmarkStart w:id="804" w:name="sec-40-15"/>
    <w:p>
      <w:pPr>
        <w:pStyle w:val="Heading3"/>
      </w:pPr>
      <w:r>
        <w:t xml:space="preserve">40.15　双语教育的目标设定</w:t>
      </w:r>
    </w:p>
    <w:p>
      <w:pPr>
        <w:pStyle w:val="FirstParagraph"/>
      </w:pPr>
      <w:r>
        <w:t xml:space="preserve">双语教育可以直接追求两种语言中的理解、表达、读写和文化参与。评价应检查各语言技能及课程内容掌握，并关注不同起点学生的支持需求。学习时间在两种语言间分配，可能使单一语言词汇指标与总概念知识呈现不同图景。</w:t>
      </w:r>
    </w:p>
    <w:p>
      <w:pPr>
        <w:pStyle w:val="BodyText"/>
      </w:pPr>
      <w:r>
        <w:t xml:space="preserve">如果一个概念在两种语言中都能表达，计数规则应说明是词形数量还是概念数量。只测一种语言可能低估部分知识，只把两个词表相加又可能重复计算同一概念。测量选择取决于问题：交流词汇、概念理解和跨语言转换分别需要不同指标。</w:t>
      </w:r>
    </w:p>
    <w:p>
      <w:pPr>
        <w:pStyle w:val="BodyText"/>
      </w:pPr>
      <w:r>
        <w:t xml:space="preserve">课堂中的语言切换也有多种功能，可以用于解释难点、比较表达或管理参与。是否有益取决于目标、熟练度和实施方式。统一禁止或统一鼓励所有切换，都缺少对具体任务的考虑。教师可以用学习结果和交流质量评估策略。</w:t>
      </w:r>
    </w:p>
    <w:bookmarkEnd w:id="804"/>
    <w:bookmarkStart w:id="805" w:name="sec-40-16"/>
    <w:p>
      <w:pPr>
        <w:pStyle w:val="Heading3"/>
      </w:pPr>
      <w:r>
        <w:t xml:space="preserve">40.16　经验分析练习</w:t>
      </w:r>
    </w:p>
    <w:p>
      <w:pPr>
        <w:pStyle w:val="FirstParagraph"/>
      </w:pPr>
      <w:r>
        <w:t xml:space="preserve">练习一：两个双语组在非语言冲突任务中不同，怎样判断是否来自双语程度？解析：先描述熟练度、使用情境和语言历史，再检查教育、年龄及测量可靠性；理论需预测哪一维经验与哪个过程相关。二元标签无法承担全部解释。</w:t>
      </w:r>
    </w:p>
    <w:p>
      <w:pPr>
        <w:pStyle w:val="BodyText"/>
      </w:pPr>
      <w:r>
        <w:t xml:space="preserve">练习二：多语国家的居民平均认知老化指标更好，可以给个人怎样的建议？解析：可以把结果视作社会语言环境与老化关联的研究线索。个人学习收益需要个人层面的研究，课程选择可以首先依据交流与兴趣等直接目标。</w:t>
      </w:r>
    </w:p>
    <w:p>
      <w:pPr>
        <w:pStyle w:val="BodyText"/>
      </w:pPr>
      <w:r>
        <w:t xml:space="preserve">练习三：双语者在一种语言的命名速度较慢，却能处理更多交流情境，如何评价？解析：能力具有任务结构，单项速度与整体交流范围分别提供信息。完整评价应对应使用目标，避免用一个结果概括全部优劣。</w:t>
      </w:r>
    </w:p>
    <w:bookmarkEnd w:id="805"/>
    <w:bookmarkStart w:id="806" w:name="sec-40-17"/>
    <w:p>
      <w:pPr>
        <w:pStyle w:val="Heading3"/>
      </w:pPr>
      <w:r>
        <w:t xml:space="preserve">40.17　词汇计数的一个例子</w:t>
      </w:r>
    </w:p>
    <w:p>
      <w:pPr>
        <w:pStyle w:val="FirstParagraph"/>
      </w:pPr>
      <w:r>
        <w:t xml:space="preserve">设儿童在语言甲中能说出苹果、杯子和桌子，在语言乙中能说出苹果、狗和球。按词形计算，共有六个表达；按概念计算，共覆盖五个概念，因为苹果在两种语言中重复。若只测语言甲，会得到三个词，无法反映全部知识；若把六个词直接称为六个独立概念，也会高估。</w:t>
      </w:r>
    </w:p>
    <w:p>
      <w:pPr>
        <w:pStyle w:val="BodyText"/>
      </w:pPr>
      <w:r>
        <w:t xml:space="preserve">执行功能研究若使用有较高语言要求的任务，还可能把词汇熟练度混入结果。选择非语言材料可以减少部分混入，但任务说明和策略仍可能依赖语言。完全去除所有语言贡献并不容易，研究应说明控制到哪一层。</w:t>
      </w:r>
    </w:p>
    <w:bookmarkEnd w:id="806"/>
    <w:bookmarkStart w:id="807" w:name="sec-40-18"/>
    <w:p>
      <w:pPr>
        <w:pStyle w:val="Heading3"/>
      </w:pPr>
      <w:r>
        <w:t xml:space="preserve">40.18　学习检验与结论</w:t>
      </w:r>
    </w:p>
    <w:p>
      <w:pPr>
        <w:pStyle w:val="FirstParagraph"/>
      </w:pPr>
      <w:r>
        <w:t xml:space="preserve">练习：双语者在一项切换任务中更快，能否证明抑制、记忆和智力全面增强？解答：任务与能力范围不同，需要多个独立测量和迁移检验。</w:t>
      </w:r>
    </w:p>
    <w:p>
      <w:pPr>
        <w:pStyle w:val="BodyText"/>
      </w:pPr>
      <w:r>
        <w:t xml:space="preserve">练习：控制教育后关联仍存在，是否已确定因果？解答：测量误差、其他混杂和反向选择仍可能存在，设计强度决定结论。</w:t>
      </w:r>
    </w:p>
    <w:p>
      <w:pPr>
        <w:pStyle w:val="BodyText"/>
      </w:pPr>
      <w:r>
        <w:t xml:space="preserve">双语经验是丰富的研究对象。最可靠的表述应明确语言实践、任务、人群和结局，保留局部可能性，同时拒绝把语言数量写成通用脑力处方。</w:t>
      </w:r>
    </w:p>
    <w:bookmarkEnd w:id="807"/>
    <w:bookmarkEnd w:id="808"/>
    <w:bookmarkStart w:id="822" w:name="ch-41"/>
    <w:p>
      <w:pPr>
        <w:pStyle w:val="Heading2"/>
      </w:pPr>
      <w:r>
        <w:t xml:space="preserve">第41章　数学、数量与符号推理</w:t>
      </w:r>
    </w:p>
    <w:bookmarkStart w:id="809" w:name="sec-41-1"/>
    <w:p>
      <w:pPr>
        <w:pStyle w:val="Heading3"/>
      </w:pPr>
      <w:r>
        <w:t xml:space="preserve">41.1　数学认知的多层结构</w:t>
      </w:r>
    </w:p>
    <w:p>
      <w:pPr>
        <w:pStyle w:val="FirstParagraph"/>
      </w:pPr>
      <w:r>
        <w:t xml:space="preserve">数学活动连接数量感知、语言、符号、空间关系、长期知识和目标控制。判断两堆物体哪堆较多，报出一组物体的准确数量，计算分数乘法，解释函数变化以及证明一个命题，需要的表征和操作存在明显差异。把这些任务合并成一个“数学脑力”，会掩盖学习困难的来源。较可靠的解释从问题结构出发：输入包含哪些量，符号指代什么，当前允许哪些变换，答案必须满足哪些约束。神经证据支持多个系统参与数处理，顶内沟及相关额顶区域具有重要贡献；语言、记忆和视觉加工也随任务共同参与</w:t>
      </w:r>
      <w:r>
        <w:rPr>
          <w:vertAlign w:val="superscript"/>
        </w:rPr>
        <w:t xml:space="preserve">[</w:t>
      </w:r>
      <w:hyperlink w:anchor="ref-425">
        <w:r>
          <w:rPr>
            <w:rStyle w:val="Hyperlink"/>
            <w:vertAlign w:val="superscript"/>
          </w:rPr>
          <w:t xml:space="preserve">425</w:t>
        </w:r>
      </w:hyperlink>
      <w:r>
        <w:rPr>
          <w:vertAlign w:val="superscript"/>
        </w:rPr>
        <w:t xml:space="preserve">,</w:t>
      </w:r>
      <w:hyperlink w:anchor="ref-426">
        <w:r>
          <w:rPr>
            <w:rStyle w:val="Hyperlink"/>
            <w:vertAlign w:val="superscript"/>
          </w:rPr>
          <w:t xml:space="preserve">426</w:t>
        </w:r>
      </w:hyperlink>
      <w:r>
        <w:rPr>
          <w:vertAlign w:val="superscript"/>
        </w:rPr>
        <w:t xml:space="preserve">]</w:t>
      </w:r>
      <w:r>
        <w:t xml:space="preserve">。</w:t>
      </w:r>
    </w:p>
    <w:p>
      <w:pPr>
        <w:pStyle w:val="BodyText"/>
      </w:pPr>
      <w:r>
        <w:t xml:space="preserve">一个基本例子可以说明这些层次。学生算出十八除以三等于六，可能直接提取熟悉事实，也可能连续减三，或把十八个物体平均分成三组。三个过程能够产生相同答案，却具有不同的时间要求和错误风险。换成“十八米的绳子每三米剪一段”，还需要理解单位和分组关系。换成“十八米比某段绳子长三倍”，语言结构进一步改变。教学应帮助学习者建立数量关系与计算程序之间的联系，并检查他们是否能在关系变化时选择适合的方法。</w:t>
      </w:r>
    </w:p>
    <w:p>
      <w:pPr>
        <w:pStyle w:val="BodyText"/>
      </w:pPr>
      <w:r>
        <w:t xml:space="preserve">数学知识也有多个可分离的质量维度。正确性表示结果是否符合规则，流畅性涉及可接受速度下的稳定完成，灵活性涉及根据问题选择和转换方法，解释能力涉及说明步骤依据，迁移涉及把知识用于新表述和新条件。一个维度提高，可以为其他维度创造条件，但并不自动保证其他维度同步提高。后续各节据此讨论数量发展、算术、分数和代数。</w:t>
      </w:r>
    </w:p>
    <w:bookmarkEnd w:id="809"/>
    <w:bookmarkStart w:id="810" w:name="sec-41-2"/>
    <w:p>
      <w:pPr>
        <w:pStyle w:val="Heading3"/>
      </w:pPr>
      <w:r>
        <w:t xml:space="preserve">41.2　近似数量与连续视觉特征</w:t>
      </w:r>
    </w:p>
    <w:p>
      <w:pPr>
        <w:pStyle w:val="FirstParagraph"/>
      </w:pPr>
      <w:r>
        <w:t xml:space="preserve">快速比较大量点阵时，人们通常难以逐一计数，表现会受到数量比例影响。两个数量的比值越接近一，判断通常越困难；比值离一越远，判断通常越容易。例如，十个点对二十个点通常比九十个点对一百个点容易，尽管两组都相差十个。这类比例依赖现象与近似数量表征相容。解释仍需考虑刺激中的连续视觉信息：点的总面积、单点大小、占据空间、密度、轮廓总长和排列方式经常随点数共同变化。特定实验表明，这些属性能够影响非符号数量判断</w:t>
      </w:r>
      <w:r>
        <w:rPr>
          <w:vertAlign w:val="superscript"/>
        </w:rPr>
        <w:t xml:space="preserve">[</w:t>
      </w:r>
      <w:hyperlink w:anchor="ref-425">
        <w:r>
          <w:rPr>
            <w:rStyle w:val="Hyperlink"/>
            <w:vertAlign w:val="superscript"/>
          </w:rPr>
          <w:t xml:space="preserve">425</w:t>
        </w:r>
      </w:hyperlink>
      <w:r>
        <w:rPr>
          <w:vertAlign w:val="superscript"/>
        </w:rPr>
        <w:t xml:space="preserve">,</w:t>
      </w:r>
      <w:hyperlink w:anchor="ref-427">
        <w:r>
          <w:rPr>
            <w:rStyle w:val="Hyperlink"/>
            <w:vertAlign w:val="superscript"/>
          </w:rPr>
          <w:t xml:space="preserve">427</w:t>
        </w:r>
      </w:hyperlink>
      <w:r>
        <w:rPr>
          <w:vertAlign w:val="superscript"/>
        </w:rPr>
        <w:t xml:space="preserve">]</w:t>
      </w:r>
      <w:r>
        <w:t xml:space="preserve">。</w:t>
      </w:r>
    </w:p>
    <w:p>
      <w:pPr>
        <w:pStyle w:val="BodyText"/>
      </w:pPr>
      <w:r>
        <w:t xml:space="preserve">假设一张图片有十二个大圆，另一张有二十个小圆。前者可能总面积更大，后者点数更多。参与者需要依据“数量”规则抑制面积线索；当所有视觉属性同时支持正确答案时，任务可能较容易。由此可以推导出一个教学性判断：点阵测验的低分可能同时包含数量分辨、视觉特征选择、规则保持和冲突控制的贡献。只根据一次点阵测验给学生贴上“先天数感差”的标签，解释范围过大。</w:t>
      </w:r>
    </w:p>
    <w:p>
      <w:pPr>
        <w:pStyle w:val="BodyText"/>
      </w:pPr>
      <w:r>
        <w:t xml:space="preserve">对连续特征的控制也有数学限制。比较点数不同的两组点阵时，若让两组总面积相等，单点平均大小就必然不同；若让两组的包围面积相等，点的密度就必然不同。实验应报告如何构造不同线索的组合，并检查结果是否跨刺激方案保持。某种操作消除了面积影响，依然可能保留密度或视觉组织差异。另一方面，观察到视觉线索效应，也无法单独推出数量信息完全没有被加工。关于表征的结论需要比较多个可检验预测。</w:t>
      </w:r>
    </w:p>
    <w:p>
      <w:pPr>
        <w:pStyle w:val="BodyText"/>
      </w:pPr>
      <w:r>
        <w:t xml:space="preserve">符号数量比较与非符号数量比较都与数学表现有关，元分析中符号任务的平均关联较强</w:t>
      </w:r>
      <w:r>
        <w:rPr>
          <w:vertAlign w:val="superscript"/>
        </w:rPr>
        <w:t xml:space="preserve">[</w:t>
      </w:r>
      <w:hyperlink w:anchor="ref-428">
        <w:r>
          <w:rPr>
            <w:rStyle w:val="Hyperlink"/>
            <w:vertAlign w:val="superscript"/>
          </w:rPr>
          <w:t xml:space="preserve">428</w:t>
        </w:r>
      </w:hyperlink>
      <w:r>
        <w:rPr>
          <w:vertAlign w:val="superscript"/>
        </w:rPr>
        <w:t xml:space="preserve">]</w:t>
      </w:r>
      <w:r>
        <w:t xml:space="preserve">。符号任务靠近学校数学经验，可能共享数词、序列、位值和运算知识；非符号任务涉及不同的感知与控制要求。这种差异提示，学习者怎样理解符号值得直接评估。它不能单独确定发展因果顺序，更无法证明每天练习点阵比较就能提升代数。</w:t>
      </w:r>
    </w:p>
    <w:bookmarkEnd w:id="810"/>
    <w:bookmarkStart w:id="811" w:name="sec-41-3"/>
    <w:p>
      <w:pPr>
        <w:pStyle w:val="Heading3"/>
      </w:pPr>
      <w:r>
        <w:t xml:space="preserve">41.3　从数词序列到基数原则</w:t>
      </w:r>
    </w:p>
    <w:p>
      <w:pPr>
        <w:pStyle w:val="FirstParagraph"/>
      </w:pPr>
      <w:r>
        <w:t xml:space="preserve">儿童能够流利背诵“一二三四五”，仍可能尚未理解一个数词对应某种准确集合大小。数词序列提供稳定顺序，计数还要求物体与数词一一对应，以及理解最后一个数词说明整个集合的数量。儿童还需逐渐把“增加一个物体”与数词序列中的下一项联系起来。有关儿童计数的实验说明，熟练说出序列、报告末词和完整掌握基数关系可以出现在不同阶段</w:t>
      </w:r>
      <w:r>
        <w:rPr>
          <w:vertAlign w:val="superscript"/>
        </w:rPr>
        <w:t xml:space="preserve">[</w:t>
      </w:r>
      <w:hyperlink w:anchor="ref-429">
        <w:r>
          <w:rPr>
            <w:rStyle w:val="Hyperlink"/>
            <w:vertAlign w:val="superscript"/>
          </w:rPr>
          <w:t xml:space="preserve">429</w:t>
        </w:r>
      </w:hyperlink>
      <w:r>
        <w:rPr>
          <w:vertAlign w:val="superscript"/>
        </w:rPr>
        <w:t xml:space="preserve">]</w:t>
      </w:r>
      <w:r>
        <w:t xml:space="preserve">。</w:t>
      </w:r>
    </w:p>
    <w:p>
      <w:pPr>
        <w:pStyle w:val="BodyText"/>
      </w:pPr>
      <w:r>
        <w:t xml:space="preserve">评估这些知识时，可以让儿童给玩偶拿取指定数量的积木，比较数过以后重新排列的集合，或判断加入一个物体以后数量发生什么变化。任务需要允许儿童真正理解问题。若指令语言过难，表现会混入语言理解障碍；若物体移动太快，表现会混入记忆需求。改变任务形式，能够帮助判断错误是否来自概念、程序或表达。</w:t>
      </w:r>
    </w:p>
    <w:p>
      <w:pPr>
        <w:pStyle w:val="BodyText"/>
      </w:pPr>
      <w:r>
        <w:t xml:space="preserve">教学例子如下。教师把五个纽扣排成一行，儿童正确计数为五。教师把相同纽扣排得更疏，儿童回答七。一个合理的解释假说是，儿童还在依赖空间长度，或者尚未稳定理解重新排列不会改变数量。教师可以让儿童亲自对应移动前后的每个纽扣，并说明没有加入和拿走任何一个。随后的检验应使用另一种物体和另一种排列，观察关系是否保持。这个过程把动作、语言和数量不变量连接起来。</w:t>
      </w:r>
    </w:p>
    <w:p>
      <w:pPr>
        <w:pStyle w:val="BodyText"/>
      </w:pPr>
      <w:r>
        <w:t xml:space="preserve">数词知识需要从小集合扩展到一般规律。一个儿童正确拿取三件物体，可能记住“三”的特定模式；能够解释在任意已知集合上再增加一件的结果，才进一步体现后继关系。发展研究中的阶段描述有助于提出教学问题，但学生个体可能呈现不整齐的组合。课堂应依据实际任务表现调整材料，避免把阶段名称当成固定能力上限。</w:t>
      </w:r>
    </w:p>
    <w:bookmarkEnd w:id="811"/>
    <w:bookmarkStart w:id="812" w:name="sec-41-4"/>
    <w:p>
      <w:pPr>
        <w:pStyle w:val="Heading3"/>
      </w:pPr>
      <w:r>
        <w:t xml:space="preserve">41.4　符号映射、位值与数线</w:t>
      </w:r>
    </w:p>
    <w:p>
      <w:pPr>
        <w:pStyle w:val="FirstParagraph"/>
      </w:pPr>
      <w:r>
        <w:t xml:space="preserve">阿拉伯数字的学习包含至少三种关系：符号与数词之间的关系，符号与数量之间的关系，以及符号之间的顺序和运算关系。“八”与“8”可以指向同一数量；“80”中的8又表示八个十。位值制把有限数字组合成极多数量，其理解要求同时追踪位置、单位和占位符。学生读出数字，不能保证已经掌握每一位的数量贡献。</w:t>
      </w:r>
    </w:p>
    <w:p>
      <w:pPr>
        <w:pStyle w:val="BodyText"/>
      </w:pPr>
      <w:r>
        <w:t xml:space="preserve">例如比较四百零七和四百七十，两个数含有相同的非零数字。若学生只比较看见的数字，容易忽略位值。可以用百、十、个不同单位的材料表示它们，再建立407＝4×100＋0×10＋7与470＝4×100＋7×10＋0的联系。教学目标是理解单位重组。当十个一换成一个十时，总数量保持；当数字移动位置时，该数字所表示的单位发生改变。这些是十进位计算的共同基础。</w:t>
      </w:r>
    </w:p>
    <w:p>
      <w:pPr>
        <w:pStyle w:val="BodyText"/>
      </w:pPr>
      <w:r>
        <w:t xml:space="preserve">数线任务要求把一个数放到标有端点的空间区间中。年龄和经验会改变估计模式，经典研究据此讨论多种数量表征的发展</w:t>
      </w:r>
      <w:r>
        <w:rPr>
          <w:vertAlign w:val="superscript"/>
        </w:rPr>
        <w:t xml:space="preserve">[</w:t>
      </w:r>
      <w:hyperlink w:anchor="ref-430">
        <w:r>
          <w:rPr>
            <w:rStyle w:val="Hyperlink"/>
            <w:vertAlign w:val="superscript"/>
          </w:rPr>
          <w:t xml:space="preserve">430</w:t>
        </w:r>
      </w:hyperlink>
      <w:r>
        <w:rPr>
          <w:vertAlign w:val="superscript"/>
        </w:rPr>
        <w:t xml:space="preserve">]</w:t>
      </w:r>
      <w:r>
        <w:t xml:space="preserve">。后续模型提出，端点、比例判断和中点策略也可以解释某些变化</w:t>
      </w:r>
      <w:r>
        <w:rPr>
          <w:vertAlign w:val="superscript"/>
        </w:rPr>
        <w:t xml:space="preserve">[</w:t>
      </w:r>
      <w:hyperlink w:anchor="ref-431">
        <w:r>
          <w:rPr>
            <w:rStyle w:val="Hyperlink"/>
            <w:vertAlign w:val="superscript"/>
          </w:rPr>
          <w:t xml:space="preserve">431</w:t>
        </w:r>
      </w:hyperlink>
      <w:r>
        <w:rPr>
          <w:vertAlign w:val="superscript"/>
        </w:rPr>
        <w:t xml:space="preserve">]</w:t>
      </w:r>
      <w:r>
        <w:t xml:space="preserve">。因此，一条曲线从弯曲变得较直，不能唯一证明大脑完成了某种特定内部表征转换。数线表现同时反映数值知识和如何利用任务参照。</w:t>
      </w:r>
    </w:p>
    <w:p>
      <w:pPr>
        <w:pStyle w:val="BodyText"/>
      </w:pPr>
      <w:r>
        <w:t xml:space="preserve">数线依然是有价值的教学工具。它能把大小、顺序、间距和相对位置放在同一表示中。教师可以让学生先标出一半，再比较四分之一与四分之三，或要求解释两个相邻刻度之间的单位。关键是不断询问这条线上的“一个单位”是什么。零到一、零到十、负一到一和零到百分之一的数线，外观相似而量尺不同。跨量尺练习有助于检查学生是否真正读懂单位。</w:t>
      </w:r>
    </w:p>
    <w:p>
      <w:pPr>
        <w:pStyle w:val="BodyText"/>
      </w:pPr>
      <w:r>
        <w:t xml:space="preserve">数字棋盘研究表明，结构化游戏能够支持某些学龄前基础数知识</w:t>
      </w:r>
      <w:r>
        <w:rPr>
          <w:vertAlign w:val="superscript"/>
        </w:rPr>
        <w:t xml:space="preserve">[</w:t>
      </w:r>
      <w:hyperlink w:anchor="ref-432">
        <w:r>
          <w:rPr>
            <w:rStyle w:val="Hyperlink"/>
            <w:vertAlign w:val="superscript"/>
          </w:rPr>
          <w:t xml:space="preserve">432</w:t>
        </w:r>
      </w:hyperlink>
      <w:r>
        <w:rPr>
          <w:vertAlign w:val="superscript"/>
        </w:rPr>
        <w:t xml:space="preserve">]</w:t>
      </w:r>
      <w:r>
        <w:t xml:space="preserve">。一个合理机制是，移动格数、口头计数和数字位置在同一活动中反复对应。实际设计应保留这些对应：每次移动一格时说出当前位置，解释从当前位置继续计数的规则，并让儿童预测终点。颜色、奖品或速度本身不能代替这些数量关系。</w:t>
      </w:r>
    </w:p>
    <w:bookmarkEnd w:id="812"/>
    <w:bookmarkStart w:id="813" w:name="sec-41-5"/>
    <w:p>
      <w:pPr>
        <w:pStyle w:val="Heading3"/>
      </w:pPr>
      <w:r>
        <w:t xml:space="preserve">41.5　算术事实、程序与策略选择</w:t>
      </w:r>
    </w:p>
    <w:p>
      <w:pPr>
        <w:pStyle w:val="FirstParagraph"/>
      </w:pPr>
      <w:r>
        <w:t xml:space="preserve">基础算术可以通过事实提取、逐步计数、分解组合以及书面算法完成。成熟表现通常包含多种策略和合适的选择。计算九加六时，可以使用熟悉事实，也可以把六分成一和五，先得到十再加五。后一策略同时利用了十的组合、加法结合关系与结果监控。熟练并不要求每次重复同一串显性步骤。</w:t>
      </w:r>
    </w:p>
    <w:p>
      <w:pPr>
        <w:pStyle w:val="BodyText"/>
      </w:pPr>
      <w:r>
        <w:t xml:space="preserve">事实提取有助于减少后续复杂任务中的中间负担，但错误事实同样可能被提取。因此，训练应建立正确联系，并在需要时保留验证路径。假设学生把七乘八误记为五十四，正确值为五十六，可以用七乘七再加七，或八乘五再加八乘二，发现冲突。教师随后应帮助学生稳定正确事实，避免长期只依赖费时纠错。概念和程序知识之间存在双向促进关系；已有证据不足以支持所有数学内容都采用同一种固定先后顺序</w:t>
      </w:r>
      <w:r>
        <w:rPr>
          <w:vertAlign w:val="superscript"/>
        </w:rPr>
        <w:t xml:space="preserve">[</w:t>
      </w:r>
      <w:hyperlink w:anchor="ref-433">
        <w:r>
          <w:rPr>
            <w:rStyle w:val="Hyperlink"/>
            <w:vertAlign w:val="superscript"/>
          </w:rPr>
          <w:t xml:space="preserve">433</w:t>
        </w:r>
      </w:hyperlink>
      <w:r>
        <w:rPr>
          <w:vertAlign w:val="superscript"/>
        </w:rPr>
        <w:t xml:space="preserve">]</w:t>
      </w:r>
      <w:r>
        <w:t xml:space="preserve">。</w:t>
      </w:r>
    </w:p>
    <w:p>
      <w:pPr>
        <w:pStyle w:val="BodyText"/>
      </w:pPr>
      <w:r>
        <w:t xml:space="preserve">程序知识也包含条件。竖式减法中的退位，需要理解一个十可以重组为十个一；分数约分需要同时处理分子和分母；方程移项需要保持等式两边关系。只背诵动作名称，容易在形式相似但条件不同的问题上误用。有效练习应要求学生判断某步骤何时成立、为什么成立，以及给出一个使它失效的情境。</w:t>
      </w:r>
    </w:p>
    <w:p>
      <w:pPr>
        <w:pStyle w:val="BodyText"/>
      </w:pPr>
      <w:r>
        <w:t xml:space="preserve">脑成像和损伤研究揭示，数量加工、语言相关事实知识以及空间注意可能对不同算术任务产生不同贡献</w:t>
      </w:r>
      <w:r>
        <w:rPr>
          <w:vertAlign w:val="superscript"/>
        </w:rPr>
        <w:t xml:space="preserve">[</w:t>
      </w:r>
      <w:hyperlink w:anchor="ref-426">
        <w:r>
          <w:rPr>
            <w:rStyle w:val="Hyperlink"/>
            <w:vertAlign w:val="superscript"/>
          </w:rPr>
          <w:t xml:space="preserve">426</w:t>
        </w:r>
      </w:hyperlink>
      <w:r>
        <w:rPr>
          <w:vertAlign w:val="superscript"/>
        </w:rPr>
        <w:t xml:space="preserve">]</w:t>
      </w:r>
      <w:r>
        <w:t xml:space="preserve">。这些功能关系具有任务和学习经验依赖性。看见某一区域活动增强，不能直接得出学生正在使用哪一种唯一策略。需要结合错误类型、反应过程、口头报告和任务变化进行判断。</w:t>
      </w:r>
    </w:p>
    <w:p>
      <w:pPr>
        <w:pStyle w:val="BodyText"/>
      </w:pPr>
      <w:r>
        <w:t xml:space="preserve">比较解法的课堂实验为程序灵活性提供了证据，同时也显示不同结局的改善程度可以不同</w:t>
      </w:r>
      <w:r>
        <w:rPr>
          <w:vertAlign w:val="superscript"/>
        </w:rPr>
        <w:t xml:space="preserve">[</w:t>
      </w:r>
      <w:hyperlink w:anchor="ref-434">
        <w:r>
          <w:rPr>
            <w:rStyle w:val="Hyperlink"/>
            <w:vertAlign w:val="superscript"/>
          </w:rPr>
          <w:t xml:space="preserve">434</w:t>
        </w:r>
      </w:hyperlink>
      <w:r>
        <w:rPr>
          <w:vertAlign w:val="superscript"/>
        </w:rPr>
        <w:t xml:space="preserve">]</w:t>
      </w:r>
      <w:r>
        <w:t xml:space="preserve">。比较活动可以围绕具体问题展开：两种方法共享哪些依据，哪种方法步骤更少，哪个条件改变后选择会变化。一次展示过多陌生解法，可能让学生忙于辨认步骤。先确保至少一种方法可理解，再组织有目的的比较，通常更容易解释比较活动承担的学习功能。</w:t>
      </w:r>
    </w:p>
    <w:bookmarkEnd w:id="813"/>
    <w:bookmarkStart w:id="814" w:name="sec-41-6"/>
    <w:p>
      <w:pPr>
        <w:pStyle w:val="Heading3"/>
      </w:pPr>
      <w:r>
        <w:t xml:space="preserve">41.6　分数中的单位与关系</w:t>
      </w:r>
    </w:p>
    <w:p>
      <w:pPr>
        <w:pStyle w:val="FirstParagraph"/>
      </w:pPr>
      <w:r>
        <w:t xml:space="preserve">分数困难常与单位变化和关系表征有关。二分之一可以表示一个整体的二等份之一，也可以作为数线上的一个数、除法结果、比例或缩放操作。相同符号在这些语境中有共同数学结构，学习者需要建立它们之间的联系。只掌握涂色图的一种外观，可能不足以支持分数运算。</w:t>
      </w:r>
    </w:p>
    <w:p>
      <w:pPr>
        <w:pStyle w:val="BodyText"/>
      </w:pPr>
      <w:r>
        <w:t xml:space="preserve">考虑两块大小不同的饼，各取二分之一。两份所占各自整体的比例相同，实际质量可能不同。讨论“谁得到更多”时，必须先说明比较比例还是实际数量。再考虑三个人分两块同样大小的饼，平均每人得到三分之二块。这里分数来自二除以三，单位为“块”。把分母理解为份数、分子理解为选取的份数，有助于入门；更广泛的分数知识还要求理解整体单位与商的关系。</w:t>
      </w:r>
    </w:p>
    <w:p>
      <w:pPr>
        <w:pStyle w:val="BodyText"/>
      </w:pPr>
      <w:r>
        <w:t xml:space="preserve">自然数经验可能在分数中产生过度推广。学生认为八分之一大于六分之一，可能把较大的分母直接当成较大的数；认为三分之二加五分之一等于八分之三，可能把分子分母看作两个独立自然数。纠正这些错误需要解释数的整体含义。单位相同时，把一个整体分成更多等份，每份会更小；相加之前需要确定所计数的单位是否相同。</w:t>
      </w:r>
    </w:p>
    <w:p>
      <w:pPr>
        <w:pStyle w:val="BodyText"/>
      </w:pPr>
      <w:r>
        <w:t xml:space="preserve">以三分之二加五分之一为例，三分之二等于十五分之十，五分之一等于十五分之三，因此和为十五分之十三。通分的功能是建立共同单位。可以先估计答案：三分之二接近零点六七，再加零点二，结果应接近零点八七，超过二分之一且小于一。估计不能替代精确证明，但能发现把结果写成八分之三等明显不相容的错误。</w:t>
      </w:r>
    </w:p>
    <w:p>
      <w:pPr>
        <w:pStyle w:val="BodyText"/>
      </w:pPr>
      <w:r>
        <w:t xml:space="preserve">分数乘法与除法进一步要求重新理解运算。三分之二乘四分之三，可以解释为四分之三的三分之二，因此结果为二分之一；乘上小于一的正数会缩小正数量。三分之二除以四分之三，可以解释为三分之二中包含多少个四分之三，结果为九分之八。用“除以一个数等于乘其倒数”计算，需要同时说明除数不能为零，并把算法连接到等值变换或测量关系。</w:t>
      </w:r>
    </w:p>
    <w:p>
      <w:pPr>
        <w:pStyle w:val="BodyText"/>
      </w:pPr>
      <w:r>
        <w:t xml:space="preserve">分数大小知识与数学成绩的关联，以及早期分数知识对后续成绩的预测，得到多项研究支持</w:t>
      </w:r>
      <w:r>
        <w:rPr>
          <w:vertAlign w:val="superscript"/>
        </w:rPr>
        <w:t xml:space="preserve">[</w:t>
      </w:r>
      <w:hyperlink w:anchor="ref-435">
        <w:r>
          <w:rPr>
            <w:rStyle w:val="Hyperlink"/>
            <w:vertAlign w:val="superscript"/>
          </w:rPr>
          <w:t xml:space="preserve">435</w:t>
        </w:r>
      </w:hyperlink>
      <w:r>
        <w:rPr>
          <w:vertAlign w:val="superscript"/>
        </w:rPr>
        <w:t xml:space="preserve">,</w:t>
      </w:r>
      <w:hyperlink w:anchor="ref-436">
        <w:r>
          <w:rPr>
            <w:rStyle w:val="Hyperlink"/>
            <w:vertAlign w:val="superscript"/>
          </w:rPr>
          <w:t xml:space="preserve">436</w:t>
        </w:r>
      </w:hyperlink>
      <w:r>
        <w:rPr>
          <w:vertAlign w:val="superscript"/>
        </w:rPr>
        <w:t xml:space="preserve">]</w:t>
      </w:r>
      <w:r>
        <w:t xml:space="preserve">。这些结果提高了分数教学的重要性，却不能单独确定任何一种图形或软件的因果效果。教学应跨面积、集合、数线和符号提供互相解释的表示，并检验学生能否追踪单位。在不同表示间转换时，教师需要明确指出保持了什么关系。</w:t>
      </w:r>
    </w:p>
    <w:bookmarkEnd w:id="814"/>
    <w:bookmarkStart w:id="815" w:name="sec-41-7"/>
    <w:p>
      <w:pPr>
        <w:pStyle w:val="Heading3"/>
      </w:pPr>
      <w:r>
        <w:t xml:space="preserve">41.7　等式、变量与代数结构</w:t>
      </w:r>
    </w:p>
    <w:p>
      <w:pPr>
        <w:pStyle w:val="FirstParagraph"/>
      </w:pPr>
      <w:r>
        <w:t xml:space="preserve">代数需要把具体计算推广到关系。等号表达两边相等，学生若长期只见到“算式＝答案”，可能把等号当成要求立刻计算的提示。题目八加四等于空格加五，可以检查学生是否协调两边。填十二反映可能只完成左边计算；填七才保持等式成立。教学可以让学生判断多个等式真假，并解释左右交换后关系是否变化。</w:t>
      </w:r>
    </w:p>
    <w:p>
      <w:pPr>
        <w:pStyle w:val="BodyText"/>
      </w:pPr>
      <w:r>
        <w:t xml:space="preserve">变量的意义也依赖任务。一个未知数可以在方程中等待求解；一个变量可以随输入改变；一个字母也可以表示某一类数中的任意成员。把这些作用混在一起，会产生“所有字母都必须算出一个固定答案”的误解。举例说明，二乘以任意整数再加一描述一类奇数；求解二乘某数加一等于九则要求找到满足条件的特定数。</w:t>
      </w:r>
    </w:p>
    <w:p>
      <w:pPr>
        <w:pStyle w:val="BodyText"/>
      </w:pPr>
      <w:r>
        <w:t xml:space="preserve">代数变换的有效性来自结构保持。等式两边同时加上相同数，仍保持相等；同时乘非零数可逆；两边平方可能引入额外候选解，需要代回原式检查。初学阶段可以通过天平或数量关系支持理解，随后逐步抽象出共同规则。具体模型的适用范围应说清楚，例如物理天平难以直接呈现所有负数与复数关系。</w:t>
      </w:r>
    </w:p>
    <w:p>
      <w:pPr>
        <w:pStyle w:val="BodyText"/>
      </w:pPr>
      <w:r>
        <w:t xml:space="preserve">一个假设课堂任务要求比较两条解法。方程三乘括号内的未知数减二等于十五，一种方法先两边除以三，另一种方法先展开括号。两种方法都可成立；前者步骤较少，后者可能与学生已掌握的分配律更接近。讨论应围绕合法性、效率和适用条件。学生能说出“我更喜欢第一种”，属于偏好描述；能解释在何种结构下先除更方便，体现策略知识。</w:t>
      </w:r>
    </w:p>
    <w:p>
      <w:pPr>
        <w:pStyle w:val="BodyText"/>
      </w:pPr>
      <w:r>
        <w:t xml:space="preserve">证明需要比算出若干例子更强的理由。逐一验算十组偶数相加的结果仍为偶数，可以增加信心；把两个偶数写成二乘以整数，再把它们的和改写为二乘以两个整数的和，才给出覆盖这一类数的结构说明。学习者需要区分观察规律、提出猜想、寻找反例和建立论证。数学中的一般化使个别经验与概念关系产生新的连接。</w:t>
      </w:r>
    </w:p>
    <w:bookmarkEnd w:id="815"/>
    <w:bookmarkStart w:id="816" w:name="sec-41-8"/>
    <w:p>
      <w:pPr>
        <w:pStyle w:val="Heading3"/>
      </w:pPr>
      <w:r>
        <w:t xml:space="preserve">41.8　应用题的语言与情境模型</w:t>
      </w:r>
    </w:p>
    <w:p>
      <w:pPr>
        <w:pStyle w:val="FirstParagraph"/>
      </w:pPr>
      <w:r>
        <w:t xml:space="preserve">应用题需要从叙述中建立数量关系。关键词可能提供线索，却不能稳定决定运算。“多”可以出现在加法或减法问题中；“每”可以涉及乘法、除法或比例。一个学生依靠关键词套公式，在熟悉练习上可能得分良好，遇到顺序改变或多余信息就容易失误。</w:t>
      </w:r>
    </w:p>
    <w:p>
      <w:pPr>
        <w:pStyle w:val="BodyText"/>
      </w:pPr>
      <w:r>
        <w:t xml:space="preserve">例如“甲比乙多五本，甲有十三本，乙有多少本”，需要求十三减五。“乙比甲少五本，甲有十三本”具有同一关系，但语句形式不同。教学可以要求学生先画出两者之间的差，再决定计算。若题目增加“书架高一米二”，学习者还需识别信息与目标的相关性。对阅读困难学生，可以简化语言或提供口头说明，同时保留原有数学关系，以帮助分离语言负担和数学知识。</w:t>
      </w:r>
    </w:p>
    <w:p>
      <w:pPr>
        <w:pStyle w:val="BodyText"/>
      </w:pPr>
      <w:r>
        <w:t xml:space="preserve">单位检查能约束推理。速度乘时间得到距离，单价乘数量得到总价；把米和平方米相加缺少通常的同类数量意义。学生应在计算前说明每个量的单位，并在结果后解释数值在情境中的含义。结果三点四辆车可能在连续比例中有意义，但实际运输安排可能需要四辆；这一取整取决于问题目标。真实问题的答案经常同时依赖数学规则与情境约束。</w:t>
      </w:r>
    </w:p>
    <w:p>
      <w:pPr>
        <w:pStyle w:val="BodyText"/>
      </w:pPr>
      <w:r>
        <w:t xml:space="preserve">图示的作用在于明确关系。条形图可以表示比较和组成，表格可以并列整理共同变化的数量，坐标图可以呈现函数变化。装饰图片增加视觉内容，未必增加关系信息。选择表示时应询问：学生需要看出哪一种不变量，这种表示是否让它更加可见，以及表示转换是否保留了单位和定义域。</w:t>
      </w:r>
    </w:p>
    <w:bookmarkEnd w:id="816"/>
    <w:bookmarkStart w:id="817" w:name="sec-41-9"/>
    <w:p>
      <w:pPr>
        <w:pStyle w:val="Heading3"/>
      </w:pPr>
      <w:r>
        <w:t xml:space="preserve">41.9　数学困难与焦虑</w:t>
      </w:r>
    </w:p>
    <w:p>
      <w:pPr>
        <w:pStyle w:val="FirstParagraph"/>
      </w:pPr>
      <w:r>
        <w:t xml:space="preserve">持续数学困难可能涉及数量关系、符号映射、算术事实、程序、语言、注意或多个环节。成绩低也可能与教育机会、缺课、语言环境和不适合的教学有关。针对数学困难的专业评估需要整合发展史、实际表现、教学经历和相关困难；训练应围绕明确的数学内容与功能需要展开</w:t>
      </w:r>
      <w:r>
        <w:rPr>
          <w:vertAlign w:val="superscript"/>
        </w:rPr>
        <w:t xml:space="preserve">[</w:t>
      </w:r>
      <w:hyperlink w:anchor="ref-437">
        <w:r>
          <w:rPr>
            <w:rStyle w:val="Hyperlink"/>
            <w:vertAlign w:val="superscript"/>
          </w:rPr>
          <w:t xml:space="preserve">437</w:t>
        </w:r>
      </w:hyperlink>
      <w:r>
        <w:rPr>
          <w:vertAlign w:val="superscript"/>
        </w:rPr>
        <w:t xml:space="preserve">]</w:t>
      </w:r>
      <w:r>
        <w:t xml:space="preserve">。一次算术测验、点阵任务或脑扫描，均不足以完整说明困难机制。</w:t>
      </w:r>
    </w:p>
    <w:p>
      <w:pPr>
        <w:pStyle w:val="BodyText"/>
      </w:pPr>
      <w:r>
        <w:t xml:space="preserve">数学焦虑与数学成绩总体呈负相关，元分析估计的平均相关约为负零点二八，同时存在明显研究间差异</w:t>
      </w:r>
      <w:r>
        <w:rPr>
          <w:vertAlign w:val="superscript"/>
        </w:rPr>
        <w:t xml:space="preserve">[</w:t>
      </w:r>
      <w:hyperlink w:anchor="ref-438">
        <w:r>
          <w:rPr>
            <w:rStyle w:val="Hyperlink"/>
            <w:vertAlign w:val="superscript"/>
          </w:rPr>
          <w:t xml:space="preserve">438</w:t>
        </w:r>
      </w:hyperlink>
      <w:r>
        <w:rPr>
          <w:vertAlign w:val="superscript"/>
        </w:rPr>
        <w:t xml:space="preserve">]</w:t>
      </w:r>
      <w:r>
        <w:t xml:space="preserve">。这个关系允许多种路径：困难经历可能提高焦虑，焦虑可能干扰当前注意和策略使用，回避练习可能减少学习机会，共同环境也可能同时影响两者。仅根据相关系数，无法为某个学生确定唯一方向。</w:t>
      </w:r>
    </w:p>
    <w:p>
      <w:pPr>
        <w:pStyle w:val="BodyText"/>
      </w:pPr>
      <w:r>
        <w:t xml:space="preserve">教育支持可以同时处理知识缺口与任务体验。例如把复杂任务分成可理解步骤，允许在低压力条件下解释方法，提供具体反馈，再逐渐提高独立完成要求。长期只降低题目难度，可能减少学生接触必要知识的机会；持续在无法理解的任务上施压，也可能增加回避。合理目标是让挑战与可用支持相匹配，并观察学习和参与是否改善。情绪支持与专业评估的具体安排应依据实际需求。</w:t>
      </w:r>
    </w:p>
    <w:p>
      <w:pPr>
        <w:pStyle w:val="BodyText"/>
      </w:pPr>
      <w:r>
        <w:t xml:space="preserve">对于所谓“数感训练”，应明确训练内容和迁移目标。一项元分析发现，近似数量训练对符号数学的平均迁移较小且不显著，估计对分析选择敏感</w:t>
      </w:r>
      <w:r>
        <w:rPr>
          <w:vertAlign w:val="superscript"/>
        </w:rPr>
        <w:t xml:space="preserve">[</w:t>
      </w:r>
      <w:hyperlink w:anchor="ref-439">
        <w:r>
          <w:rPr>
            <w:rStyle w:val="Hyperlink"/>
            <w:vertAlign w:val="superscript"/>
          </w:rPr>
          <w:t xml:space="preserve">439</w:t>
        </w:r>
      </w:hyperlink>
      <w:r>
        <w:rPr>
          <w:vertAlign w:val="superscript"/>
        </w:rPr>
        <w:t xml:space="preserve">]</w:t>
      </w:r>
      <w:r>
        <w:t xml:space="preserve">。一项2025年小样本随机试验报告了大学生短期算术流畅性的改善</w:t>
      </w:r>
      <w:r>
        <w:rPr>
          <w:vertAlign w:val="superscript"/>
        </w:rPr>
        <w:t xml:space="preserve">[</w:t>
      </w:r>
      <w:hyperlink w:anchor="ref-440">
        <w:r>
          <w:rPr>
            <w:rStyle w:val="Hyperlink"/>
            <w:vertAlign w:val="superscript"/>
          </w:rPr>
          <w:t xml:space="preserve">440</w:t>
        </w:r>
      </w:hyperlink>
      <w:r>
        <w:rPr>
          <w:vertAlign w:val="superscript"/>
        </w:rPr>
        <w:t xml:space="preserve">]</w:t>
      </w:r>
      <w:r>
        <w:t xml:space="preserve">。两类证据共同说明该领域仍需明确人群、任务和持续时间。短期阳性结果增加特定效应的可能性，无法自动覆盖儿童分数理解、长期课程成绩或广泛推理能力。</w:t>
      </w:r>
    </w:p>
    <w:bookmarkEnd w:id="817"/>
    <w:bookmarkStart w:id="819" w:name="sec-41-10"/>
    <w:p>
      <w:pPr>
        <w:pStyle w:val="Heading3"/>
      </w:pPr>
      <w:r>
        <w:t xml:space="preserve">41.10　针对错误的教学设计</w:t>
      </w:r>
    </w:p>
    <w:p>
      <w:pPr>
        <w:pStyle w:val="TableCaption"/>
      </w:pPr>
      <w:bookmarkStart w:id="818" w:name="tab-math-errors"/>
      <w:bookmarkEnd w:id="818"/>
      <w:r>
        <w:rPr>
          <w:bCs/>
          <w:b/>
        </w:rPr>
        <w:t xml:space="preserve">表 14　数学错误与需要检查的知识</w:t>
      </w:r>
    </w:p>
    <w:tbl>
      <w:tblPr>
        <w:tblStyle w:val="Table"/>
        <w:tblW w:type="pct" w:w="5000"/>
        <w:jc w:val="start"/>
        <w:tblLook w:firstRow="1" w:lastRow="0" w:firstColumn="0" w:lastColumn="0" w:noHBand="0" w:noVBand="0" w:val="0020"/>
      </w:tblPr>
      <w:tblGrid>
        <w:gridCol w:w="2810"/>
        <w:gridCol w:w="2299"/>
        <w:gridCol w:w="2810"/>
      </w:tblGrid>
      <w:tr>
        <w:trPr>
          <w:tblHeader w:val="true"/>
        </w:trPr>
        <w:tc>
          <w:tcPr>
            <w:shd w:val="clear" w:color="auto" w:fill="1F3A5F"/>
          </w:tcPr>
          <w:p>
            <w:pPr>
              <w:pStyle w:val="Compact"/>
              <w:jc w:val="left"/>
            </w:pPr>
            <w:r>
              <w:rPr>
                <w:bCs/>
                <w:b/>
                <w:color w:val="FFFFFF"/>
              </w:rPr>
              <w:t xml:space="preserve">观察到的错误</w:t>
            </w:r>
          </w:p>
        </w:tc>
        <w:tc>
          <w:tcPr>
            <w:shd w:val="clear" w:color="auto" w:fill="1F3A5F"/>
          </w:tcPr>
          <w:p>
            <w:pPr>
              <w:pStyle w:val="Compact"/>
              <w:jc w:val="left"/>
            </w:pPr>
            <w:r>
              <w:rPr>
                <w:bCs/>
                <w:b/>
                <w:color w:val="FFFFFF"/>
              </w:rPr>
              <w:t xml:space="preserve">需要检查的知识</w:t>
            </w:r>
          </w:p>
        </w:tc>
        <w:tc>
          <w:tcPr>
            <w:shd w:val="clear" w:color="auto" w:fill="1F3A5F"/>
          </w:tcPr>
          <w:p>
            <w:pPr>
              <w:pStyle w:val="Compact"/>
              <w:jc w:val="left"/>
            </w:pPr>
            <w:r>
              <w:rPr>
                <w:bCs/>
                <w:b/>
                <w:color w:val="FFFFFF"/>
              </w:rPr>
              <w:t xml:space="preserve">可用的后续任务</w:t>
            </w:r>
          </w:p>
        </w:tc>
      </w:tr>
      <w:tr>
        <w:tc>
          <w:tcPr/>
          <w:p>
            <w:pPr>
              <w:pStyle w:val="Compact"/>
              <w:jc w:val="left"/>
            </w:pPr>
            <w:r>
              <w:t xml:space="preserve">重新排列后报数改变</w:t>
            </w:r>
          </w:p>
        </w:tc>
        <w:tc>
          <w:tcPr/>
          <w:p>
            <w:pPr>
              <w:pStyle w:val="Compact"/>
              <w:jc w:val="left"/>
            </w:pPr>
            <w:r>
              <w:t xml:space="preserve">基数与数量保持</w:t>
            </w:r>
          </w:p>
        </w:tc>
        <w:tc>
          <w:tcPr/>
          <w:p>
            <w:pPr>
              <w:pStyle w:val="Compact"/>
              <w:jc w:val="left"/>
            </w:pPr>
            <w:r>
              <w:t xml:space="preserve">一一对应和加入拿走操作</w:t>
            </w:r>
          </w:p>
        </w:tc>
      </w:tr>
      <w:tr>
        <w:tc>
          <w:tcPr/>
          <w:p>
            <w:pPr>
              <w:pStyle w:val="Compact"/>
              <w:jc w:val="left"/>
            </w:pPr>
            <w:r>
              <w:t xml:space="preserve">混淆四百零七与四百七十</w:t>
            </w:r>
          </w:p>
        </w:tc>
        <w:tc>
          <w:tcPr/>
          <w:p>
            <w:pPr>
              <w:pStyle w:val="Compact"/>
              <w:jc w:val="left"/>
            </w:pPr>
            <w:r>
              <w:t xml:space="preserve">位值与零的作用</w:t>
            </w:r>
          </w:p>
        </w:tc>
        <w:tc>
          <w:tcPr/>
          <w:p>
            <w:pPr>
              <w:pStyle w:val="Compact"/>
              <w:jc w:val="left"/>
            </w:pPr>
            <w:r>
              <w:t xml:space="preserve">单位分解及重新组合</w:t>
            </w:r>
          </w:p>
        </w:tc>
      </w:tr>
      <w:tr>
        <w:tc>
          <w:tcPr/>
          <w:p>
            <w:pPr>
              <w:pStyle w:val="Compact"/>
              <w:jc w:val="left"/>
            </w:pPr>
            <w:r>
              <w:t xml:space="preserve">分母越大就判断分数越大</w:t>
            </w:r>
          </w:p>
        </w:tc>
        <w:tc>
          <w:tcPr/>
          <w:p>
            <w:pPr>
              <w:pStyle w:val="Compact"/>
              <w:jc w:val="left"/>
            </w:pPr>
            <w:r>
              <w:t xml:space="preserve">整体单位与等分关系</w:t>
            </w:r>
          </w:p>
        </w:tc>
        <w:tc>
          <w:tcPr/>
          <w:p>
            <w:pPr>
              <w:pStyle w:val="Compact"/>
              <w:jc w:val="left"/>
            </w:pPr>
            <w:r>
              <w:t xml:space="preserve">同整体分割及数线比较</w:t>
            </w:r>
          </w:p>
        </w:tc>
      </w:tr>
      <w:tr>
        <w:tc>
          <w:tcPr/>
          <w:p>
            <w:pPr>
              <w:pStyle w:val="Compact"/>
              <w:jc w:val="left"/>
            </w:pPr>
            <w:r>
              <w:t xml:space="preserve">分数相加时分子、分母分别相加</w:t>
            </w:r>
          </w:p>
        </w:tc>
        <w:tc>
          <w:tcPr/>
          <w:p>
            <w:pPr>
              <w:pStyle w:val="Compact"/>
              <w:jc w:val="left"/>
            </w:pPr>
            <w:r>
              <w:t xml:space="preserve">共同计量单位</w:t>
            </w:r>
          </w:p>
        </w:tc>
        <w:tc>
          <w:tcPr/>
          <w:p>
            <w:pPr>
              <w:pStyle w:val="Compact"/>
              <w:jc w:val="left"/>
            </w:pPr>
            <w:r>
              <w:t xml:space="preserve">估计范围和等值分数</w:t>
            </w:r>
          </w:p>
        </w:tc>
      </w:tr>
      <w:tr>
        <w:tc>
          <w:tcPr/>
          <w:p>
            <w:pPr>
              <w:pStyle w:val="Compact"/>
              <w:jc w:val="left"/>
            </w:pPr>
            <w:r>
              <w:t xml:space="preserve">等号后直接填写左边结果</w:t>
            </w:r>
          </w:p>
        </w:tc>
        <w:tc>
          <w:tcPr/>
          <w:p>
            <w:pPr>
              <w:pStyle w:val="Compact"/>
              <w:jc w:val="left"/>
            </w:pPr>
            <w:r>
              <w:t xml:space="preserve">等价关系</w:t>
            </w:r>
          </w:p>
        </w:tc>
        <w:tc>
          <w:tcPr/>
          <w:p>
            <w:pPr>
              <w:pStyle w:val="Compact"/>
              <w:jc w:val="left"/>
            </w:pPr>
            <w:r>
              <w:t xml:space="preserve">缺项等式与真假判断</w:t>
            </w:r>
          </w:p>
        </w:tc>
      </w:tr>
      <w:tr>
        <w:tc>
          <w:tcPr/>
          <w:p>
            <w:pPr>
              <w:pStyle w:val="Compact"/>
              <w:jc w:val="left"/>
            </w:pPr>
            <w:r>
              <w:t xml:space="preserve">见关键词就固定运算</w:t>
            </w:r>
          </w:p>
        </w:tc>
        <w:tc>
          <w:tcPr/>
          <w:p>
            <w:pPr>
              <w:pStyle w:val="Compact"/>
              <w:jc w:val="left"/>
            </w:pPr>
            <w:r>
              <w:t xml:space="preserve">情境关系与目标</w:t>
            </w:r>
          </w:p>
        </w:tc>
        <w:tc>
          <w:tcPr/>
          <w:p>
            <w:pPr>
              <w:pStyle w:val="Compact"/>
              <w:jc w:val="left"/>
            </w:pPr>
            <w:r>
              <w:t xml:space="preserve">同关系不同措辞题</w:t>
            </w:r>
          </w:p>
        </w:tc>
      </w:tr>
      <w:tr>
        <w:tc>
          <w:tcPr/>
          <w:p>
            <w:pPr>
              <w:pStyle w:val="Compact"/>
              <w:jc w:val="left"/>
            </w:pPr>
            <w:r>
              <w:t xml:space="preserve">熟题很快但新题方法僵硬</w:t>
            </w:r>
          </w:p>
        </w:tc>
        <w:tc>
          <w:tcPr/>
          <w:p>
            <w:pPr>
              <w:pStyle w:val="Compact"/>
              <w:jc w:val="left"/>
            </w:pPr>
            <w:r>
              <w:t xml:space="preserve">策略条件与结构识别</w:t>
            </w:r>
          </w:p>
        </w:tc>
        <w:tc>
          <w:tcPr/>
          <w:p>
            <w:pPr>
              <w:pStyle w:val="Compact"/>
              <w:jc w:val="left"/>
            </w:pPr>
            <w:r>
              <w:t xml:space="preserve">比较合法解法和变化题</w:t>
            </w:r>
          </w:p>
        </w:tc>
      </w:tr>
    </w:tbl>
    <w:p>
      <w:pPr>
        <w:pStyle w:val="BodyText"/>
      </w:pPr>
      <w:r>
        <w:t xml:space="preserve">表中的联系用于形成教学假说，同一种表面错误可能具有多个来源。评估应结合解释、操作和变化任务</w:t>
      </w:r>
      <w:r>
        <w:rPr>
          <w:vertAlign w:val="superscript"/>
        </w:rPr>
        <w:t xml:space="preserve">[</w:t>
      </w:r>
      <w:hyperlink w:anchor="ref-429">
        <w:r>
          <w:rPr>
            <w:rStyle w:val="Hyperlink"/>
            <w:vertAlign w:val="superscript"/>
          </w:rPr>
          <w:t xml:space="preserve">429</w:t>
        </w:r>
      </w:hyperlink>
      <w:r>
        <w:rPr>
          <w:vertAlign w:val="superscript"/>
        </w:rPr>
        <w:t xml:space="preserve">,</w:t>
      </w:r>
      <w:hyperlink w:anchor="ref-433">
        <w:r>
          <w:rPr>
            <w:rStyle w:val="Hyperlink"/>
            <w:vertAlign w:val="superscript"/>
          </w:rPr>
          <w:t xml:space="preserve">433</w:t>
        </w:r>
      </w:hyperlink>
      <w:r>
        <w:rPr>
          <w:vertAlign w:val="superscript"/>
        </w:rPr>
        <w:t xml:space="preserve">,</w:t>
      </w:r>
      <w:hyperlink w:anchor="ref-436">
        <w:r>
          <w:rPr>
            <w:rStyle w:val="Hyperlink"/>
            <w:vertAlign w:val="superscript"/>
          </w:rPr>
          <w:t xml:space="preserve">436</w:t>
        </w:r>
      </w:hyperlink>
      <w:r>
        <w:rPr>
          <w:vertAlign w:val="superscript"/>
        </w:rPr>
        <w:t xml:space="preserve">,</w:t>
      </w:r>
      <w:hyperlink w:anchor="ref-437">
        <w:r>
          <w:rPr>
            <w:rStyle w:val="Hyperlink"/>
            <w:vertAlign w:val="superscript"/>
          </w:rPr>
          <w:t xml:space="preserve">437</w:t>
        </w:r>
      </w:hyperlink>
      <w:r>
        <w:rPr>
          <w:vertAlign w:val="superscript"/>
        </w:rPr>
        <w:t xml:space="preserve">]</w:t>
      </w:r>
      <w:r>
        <w:t xml:space="preserve">。</w:t>
      </w:r>
    </w:p>
    <w:p>
      <w:pPr>
        <w:pStyle w:val="BodyText"/>
      </w:pPr>
      <w:r>
        <w:t xml:space="preserve">一个完整的教学循环可以从学生的实际解答开始。首先确定错误发生在哪个关系或步骤；随后设计一个足够简单的例子，使关键关系可见；再让学生解释并完成一个不同表面的同结构问题；最后安排间隔后的独立应用。每一步都服务于具体数学知识。只统计总正确率，容易遗漏学生仍然依赖提示或偶然策略的情况。</w:t>
      </w:r>
    </w:p>
    <w:bookmarkEnd w:id="819"/>
    <w:bookmarkStart w:id="820" w:name="sec-41-11"/>
    <w:p>
      <w:pPr>
        <w:pStyle w:val="Heading3"/>
      </w:pPr>
      <w:r>
        <w:t xml:space="preserve">41.11　结论边界与置信度</w:t>
      </w:r>
    </w:p>
    <w:p>
      <w:pPr>
        <w:pStyle w:val="FirstParagraph"/>
      </w:pPr>
      <w:r>
        <w:t xml:space="preserve">数学能力包含数量、符号、程序、概念和语言等相互联系的成分，这一判断的置信度高。符号数量加工与数学成绩的相关性较稳健，相关本身不能确定训练某项基础能力会带来多大的成绩增长</w:t>
      </w:r>
      <w:r>
        <w:rPr>
          <w:vertAlign w:val="superscript"/>
        </w:rPr>
        <w:t xml:space="preserve">[</w:t>
      </w:r>
      <w:hyperlink w:anchor="ref-428">
        <w:r>
          <w:rPr>
            <w:rStyle w:val="Hyperlink"/>
            <w:vertAlign w:val="superscript"/>
          </w:rPr>
          <w:t xml:space="preserve">428</w:t>
        </w:r>
      </w:hyperlink>
      <w:r>
        <w:rPr>
          <w:vertAlign w:val="superscript"/>
        </w:rPr>
        <w:t xml:space="preserve">]</w:t>
      </w:r>
      <w:r>
        <w:t xml:space="preserve">。概念知识和程序知识可以相互促进，具体教学顺序需要结合内容与先备知识确定</w:t>
      </w:r>
      <w:r>
        <w:rPr>
          <w:vertAlign w:val="superscript"/>
        </w:rPr>
        <w:t xml:space="preserve">[</w:t>
      </w:r>
      <w:hyperlink w:anchor="ref-433">
        <w:r>
          <w:rPr>
            <w:rStyle w:val="Hyperlink"/>
            <w:vertAlign w:val="superscript"/>
          </w:rPr>
          <w:t xml:space="preserve">433</w:t>
        </w:r>
      </w:hyperlink>
      <w:r>
        <w:rPr>
          <w:vertAlign w:val="superscript"/>
        </w:rPr>
        <w:t xml:space="preserve">]</w:t>
      </w:r>
      <w:r>
        <w:t xml:space="preserve">。对近似数量训练能够稳定带来广泛符号数学迁移，当前置信度低；综合证据与小型阳性研究需要共同考虑</w:t>
      </w:r>
      <w:r>
        <w:rPr>
          <w:vertAlign w:val="superscript"/>
        </w:rPr>
        <w:t xml:space="preserve">[</w:t>
      </w:r>
      <w:hyperlink w:anchor="ref-439">
        <w:r>
          <w:rPr>
            <w:rStyle w:val="Hyperlink"/>
            <w:vertAlign w:val="superscript"/>
          </w:rPr>
          <w:t xml:space="preserve">439</w:t>
        </w:r>
      </w:hyperlink>
      <w:r>
        <w:rPr>
          <w:vertAlign w:val="superscript"/>
        </w:rPr>
        <w:t xml:space="preserve">,</w:t>
      </w:r>
      <w:hyperlink w:anchor="ref-440">
        <w:r>
          <w:rPr>
            <w:rStyle w:val="Hyperlink"/>
            <w:vertAlign w:val="superscript"/>
          </w:rPr>
          <w:t xml:space="preserve">440</w:t>
        </w:r>
      </w:hyperlink>
      <w:r>
        <w:rPr>
          <w:vertAlign w:val="superscript"/>
        </w:rPr>
        <w:t xml:space="preserve">]</w:t>
      </w:r>
      <w:r>
        <w:t xml:space="preserve">。数学焦虑与成绩的负相关具有较高置信度，个体困难的因果方向和最适支持方式仍需具体评估</w:t>
      </w:r>
      <w:r>
        <w:rPr>
          <w:vertAlign w:val="superscript"/>
        </w:rPr>
        <w:t xml:space="preserve">[</w:t>
      </w:r>
      <w:hyperlink w:anchor="ref-438">
        <w:r>
          <w:rPr>
            <w:rStyle w:val="Hyperlink"/>
            <w:vertAlign w:val="superscript"/>
          </w:rPr>
          <w:t xml:space="preserve">438</w:t>
        </w:r>
      </w:hyperlink>
      <w:r>
        <w:rPr>
          <w:vertAlign w:val="superscript"/>
        </w:rPr>
        <w:t xml:space="preserve">]</w:t>
      </w:r>
      <w:r>
        <w:t xml:space="preserve">。</w:t>
      </w:r>
    </w:p>
    <w:bookmarkEnd w:id="820"/>
    <w:bookmarkStart w:id="821" w:name="sec-41-12"/>
    <w:p>
      <w:pPr>
        <w:pStyle w:val="Heading3"/>
      </w:pPr>
      <w:r>
        <w:t xml:space="preserve">41.12　综合练习</w:t>
      </w:r>
    </w:p>
    <w:p>
      <w:pPr>
        <w:pStyle w:val="FirstParagraph"/>
      </w:pPr>
      <w:r>
        <w:t xml:space="preserve">练习一。学生在点阵比较中较慢，在位值、分数和应用题中表现良好。参考分析：点阵任务可能包含特定视觉与控制负担，单个指标不足以概括数学能力。进一步评估应围绕真实学习困难展开。</w:t>
      </w:r>
    </w:p>
    <w:p>
      <w:pPr>
        <w:pStyle w:val="BodyText"/>
      </w:pPr>
      <w:r>
        <w:t xml:space="preserve">练习二。学生正确计算三分之二除以四分之三，却解释为“除法一定让数变小”。参考分析：计算程序与运算概念尚未协调。可以比较除以大于一、小于一和等于一的正数，并让学生以测量单位解释结果。</w:t>
      </w:r>
    </w:p>
    <w:p>
      <w:pPr>
        <w:pStyle w:val="BodyText"/>
      </w:pPr>
      <w:r>
        <w:t xml:space="preserve">练习三。一项训练使即时乘法速度提高，研究者宣称学生的数学证明能力已经增强。参考分析：两个结局需要不同知识与操作。应增加未练习的论证任务、解释和延迟测量，才能判断更广泛的改变。</w:t>
      </w:r>
    </w:p>
    <w:p>
      <w:pPr>
        <w:pStyle w:val="BodyText"/>
      </w:pPr>
      <w:r>
        <w:t xml:space="preserve">练习四。比较两种方程解法时，有学生只记住更短的一种。参考分析：需要追问每一步保持了什么关系，以及改变括号、系数或未知数位置后哪一种方法仍然适用。方法选择的依据是重要学习目标。</w:t>
      </w:r>
    </w:p>
    <w:bookmarkEnd w:id="821"/>
    <w:bookmarkEnd w:id="822"/>
    <w:bookmarkStart w:id="839" w:name="ch-42"/>
    <w:p>
      <w:pPr>
        <w:pStyle w:val="Heading2"/>
      </w:pPr>
      <w:r>
        <w:t xml:space="preserve">第42章　概念、类别与知识表征</w:t>
      </w:r>
    </w:p>
    <w:bookmarkStart w:id="823" w:name="sec-42-1"/>
    <w:p>
      <w:pPr>
        <w:pStyle w:val="Heading3"/>
      </w:pPr>
      <w:r>
        <w:t xml:space="preserve">42.1　概念支持的多种活动</w:t>
      </w:r>
    </w:p>
    <w:p>
      <w:pPr>
        <w:pStyle w:val="FirstParagraph"/>
      </w:pPr>
      <w:r>
        <w:t xml:space="preserve">概念使人能够把不同经历联系起来，识别对象，预测未观察到的属性，理解语言，并组织行动。认识“钥匙”包括辨认外形、理解开锁功能、知道它可能由哪些材料制成，以及理解“问题的钥匙”这样的表达。不同任务会调用不同部分的知识。一个人说不出物体名称，仍可能知道怎样使用；能够说出名称，也可能缺少相应的用途知识。概念能力需要通过多种活动描述。</w:t>
      </w:r>
    </w:p>
    <w:p>
      <w:pPr>
        <w:pStyle w:val="BodyText"/>
      </w:pPr>
      <w:r>
        <w:t xml:space="preserve">“概念”“语义”“表征”“抽象”等术语在不同学科中具有不同用法。2025年发表的跨学科术语工作明确保留了这些构念中的部分分歧</w:t>
      </w:r>
      <w:r>
        <w:rPr>
          <w:vertAlign w:val="superscript"/>
        </w:rPr>
        <w:t xml:space="preserve">[</w:t>
      </w:r>
      <w:hyperlink w:anchor="ref-441">
        <w:r>
          <w:rPr>
            <w:rStyle w:val="Hyperlink"/>
            <w:vertAlign w:val="superscript"/>
          </w:rPr>
          <w:t xml:space="preserve">441</w:t>
        </w:r>
      </w:hyperlink>
      <w:r>
        <w:rPr>
          <w:vertAlign w:val="superscript"/>
        </w:rPr>
        <w:t xml:space="preserve">]</w:t>
      </w:r>
      <w:r>
        <w:t xml:space="preserve">。本章采用工作性定义：概念是支持分类和推断的一组可用知识结构；类别是根据某些关系归在一起的对象、事件或实例；语义认知涵盖知识的学习、组织、提取及情境适配。这样的定义帮助确定研究对象，同时为其他理论表述保留空间。</w:t>
      </w:r>
    </w:p>
    <w:p>
      <w:pPr>
        <w:pStyle w:val="BodyText"/>
      </w:pPr>
      <w:r>
        <w:t xml:space="preserve">概念的价值可以通过一个推断例子说明。第一次见到一把造型特殊的剪刀，人可以根据两个交叉刀片和枢轴关系，预测握住手柄会使刀刃相对运动。这种预测依赖部件之间的关系。若只统计它与熟悉剪刀共享多少颜色和形状特征，就可能遗漏功能结构。另一方面，快速辨认远处的剪刀时，整体外观也可能提供足够线索。概念研究需要解释这种灵活组合。</w:t>
      </w:r>
    </w:p>
    <w:bookmarkEnd w:id="823"/>
    <w:bookmarkStart w:id="824" w:name="sec-42-2"/>
    <w:p>
      <w:pPr>
        <w:pStyle w:val="Heading3"/>
      </w:pPr>
      <w:r>
        <w:t xml:space="preserve">42.2　定义、边界与典型性</w:t>
      </w:r>
    </w:p>
    <w:p>
      <w:pPr>
        <w:pStyle w:val="FirstParagraph"/>
      </w:pPr>
      <w:r>
        <w:t xml:space="preserve">有些类别可以使用明确规则，例如满足特定条件的几何图形。另一些日常类别具有较模糊的边界，例如家具、游戏或零食。即使类别具有正式定义，人们仍可能觉得某些成员更加典型。一个正立的等边三角形容易被认作三角形，一个狭长且倾斜的三角形可能需要更多检查；二者都能满足三条直边构成封闭图形的条件。</w:t>
      </w:r>
    </w:p>
    <w:p>
      <w:pPr>
        <w:pStyle w:val="BodyText"/>
      </w:pPr>
      <w:r>
        <w:t xml:space="preserve">经典分类研究显示，成员的典型性与它拥有的类别共有特征、以及它与相邻类别的区别有关</w:t>
      </w:r>
      <w:r>
        <w:rPr>
          <w:vertAlign w:val="superscript"/>
        </w:rPr>
        <w:t xml:space="preserve">[</w:t>
      </w:r>
      <w:hyperlink w:anchor="ref-442">
        <w:r>
          <w:rPr>
            <w:rStyle w:val="Hyperlink"/>
            <w:vertAlign w:val="superscript"/>
          </w:rPr>
          <w:t xml:space="preserve">442</w:t>
        </w:r>
      </w:hyperlink>
      <w:r>
        <w:rPr>
          <w:vertAlign w:val="superscript"/>
        </w:rPr>
        <w:t xml:space="preserve">]</w:t>
      </w:r>
      <w:r>
        <w:t xml:space="preserve">。典型性能够影响识别和学习，但不能替代类别规则。鲸在外形和生活环境上与鱼共享一些显著特征，生物分类需要使用更广泛的发育、繁殖和亲缘关系。教学应说明当前采用哪一种分类依据，防止不同依据在同一问题中被悄悄替换。</w:t>
      </w:r>
    </w:p>
    <w:p>
      <w:pPr>
        <w:pStyle w:val="BodyText"/>
      </w:pPr>
      <w:r>
        <w:t xml:space="preserve">原型模型通常假定，人们形成某种概括性的中心表示，再根据新实例与中心的相似程度分类。这个中心可以是一组常见特征，也可以是某种平均结构。原型有助于压缩经验，但少数特殊成员可能远离中心。若训练仅提供典型实例，学生可以获得快速直觉，同时形成过窄的类别边界。</w:t>
      </w:r>
    </w:p>
    <w:p>
      <w:pPr>
        <w:pStyle w:val="BodyText"/>
      </w:pPr>
      <w:r>
        <w:t xml:space="preserve">教学中可以把典型例子、边界例子和明确反例组合起来。学习“哺乳动物”时，常见陆地动物可以建立初步结构，鲸和蝙蝠帮助检查水中生活或飞行是否属于决定性属性，鸟类和鱼类则提供相近反例。每次比较都应回到当前科学分类的有效特征。例子数量本身不保证概念精确，例子覆盖的变化维度更值得关注。</w:t>
      </w:r>
    </w:p>
    <w:bookmarkEnd w:id="824"/>
    <w:bookmarkStart w:id="825" w:name="sec-42-3"/>
    <w:p>
      <w:pPr>
        <w:pStyle w:val="Heading3"/>
      </w:pPr>
      <w:r>
        <w:t xml:space="preserve">42.3　样例记忆与注意加权</w:t>
      </w:r>
    </w:p>
    <w:p>
      <w:pPr>
        <w:pStyle w:val="FirstParagraph"/>
      </w:pPr>
      <w:r>
        <w:t xml:space="preserve">样例模型强调，已有具体经验可以参与分类。新物体与多次见过的实例进行相似性比较，多个记忆实例共同影响判断。Nosofsky的模型进一步把注意权重加入相似性计算：对于当前分类重要的维度，可以具有更大心理权重</w:t>
      </w:r>
      <w:r>
        <w:rPr>
          <w:vertAlign w:val="superscript"/>
        </w:rPr>
        <w:t xml:space="preserve">[</w:t>
      </w:r>
      <w:hyperlink w:anchor="ref-443">
        <w:r>
          <w:rPr>
            <w:rStyle w:val="Hyperlink"/>
            <w:vertAlign w:val="superscript"/>
          </w:rPr>
          <w:t xml:space="preserve">443</w:t>
        </w:r>
      </w:hyperlink>
      <w:r>
        <w:rPr>
          <w:vertAlign w:val="superscript"/>
        </w:rPr>
        <w:t xml:space="preserve">]</w:t>
      </w:r>
      <w:r>
        <w:t xml:space="preserve">。同样两个物体，在颜色任务和功能任务中，可能表现出不同的心理相似性。</w:t>
      </w:r>
    </w:p>
    <w:p>
      <w:pPr>
        <w:pStyle w:val="BodyText"/>
      </w:pPr>
      <w:r>
        <w:t xml:space="preserve">假设学习者要区分两种人造矿物，颜色和表面粗糙度都可变化。训练中颜色稳定预测类别，粗糙度几乎没有帮助，学习者可能逐渐把更多注意分配给颜色。如果随后任务改为识别抛光工艺，粗糙度变得重要，既有注意习惯可能需要调整。这个例子说明，分类学习既改变对实例的记忆，也可能改变观察时优先提取的信息。</w:t>
      </w:r>
    </w:p>
    <w:p>
      <w:pPr>
        <w:pStyle w:val="BodyText"/>
      </w:pPr>
      <w:r>
        <w:t xml:space="preserve">典型性效应可以由多个机制产生。一个新实例接近许多熟悉样例时，即使系统没有明确储存平均原型，也可能表现得像在使用原型。因此，看到典型成员反应更快，无法单独证明内部储存形式。研究者需要设计不同模型产生分歧的实例，例如类别中心与高频特殊样例分离的条件。教材中的理论名称应与具体预测连接。</w:t>
      </w:r>
    </w:p>
    <w:p>
      <w:pPr>
        <w:pStyle w:val="BodyText"/>
      </w:pPr>
      <w:r>
        <w:t xml:space="preserve">具体样例还可以保留例外。医生学习疾病、地质学者学习岩石、教师识别学生错误时，都可能使用曾经遇到的案例。然而，相似案例也可能带来错误推广。两个病例在显著症状上相似，关键病因可以不同；两道题表面相似，数学关系也可能不同。样例学习需要同时检查相关维度，以及哪些差异足以改变结论。</w:t>
      </w:r>
    </w:p>
    <w:bookmarkEnd w:id="825"/>
    <w:bookmarkStart w:id="826" w:name="sec-42-4"/>
    <w:p>
      <w:pPr>
        <w:pStyle w:val="Heading3"/>
      </w:pPr>
      <w:r>
        <w:t xml:space="preserve">42.4　规则和关系的作用</w:t>
      </w:r>
    </w:p>
    <w:p>
      <w:pPr>
        <w:pStyle w:val="FirstParagraph"/>
      </w:pPr>
      <w:r>
        <w:t xml:space="preserve">规则分类要求判断条件是否满足。简单规则可以只依赖一个维度，例如温度高于某阈值；复杂规则可能包含合取、析取、例外或关系。关系类别尤其需要明确角色，例如“比另一物体更大”“在两者之间”或“与目标具有相同功能”。同一个物体可以在不同关系中承担不同位置。</w:t>
      </w:r>
    </w:p>
    <w:p>
      <w:pPr>
        <w:pStyle w:val="BodyText"/>
      </w:pPr>
      <w:r>
        <w:t xml:space="preserve">以“容器”为例，外观差异很大的杯、盒和袋都可以容纳物体。把它们归为一类需要考虑内部空间、开口、边界和使用目的。某个有凹陷的石头是否算容器，可能取决于任务和使用方式。关系与功能能够组织类别，使概念超出固定的感官外观</w:t>
      </w:r>
      <w:r>
        <w:rPr>
          <w:vertAlign w:val="superscript"/>
        </w:rPr>
        <w:t xml:space="preserve">[</w:t>
      </w:r>
      <w:hyperlink w:anchor="ref-444">
        <w:r>
          <w:rPr>
            <w:rStyle w:val="Hyperlink"/>
            <w:vertAlign w:val="superscript"/>
          </w:rPr>
          <w:t xml:space="preserve">444</w:t>
        </w:r>
      </w:hyperlink>
      <w:r>
        <w:rPr>
          <w:vertAlign w:val="superscript"/>
        </w:rPr>
        <w:t xml:space="preserve">]</w:t>
      </w:r>
      <w:r>
        <w:t xml:space="preserve">。</w:t>
      </w:r>
    </w:p>
    <w:p>
      <w:pPr>
        <w:pStyle w:val="BodyText"/>
      </w:pPr>
      <w:r>
        <w:t xml:space="preserve">规则知识也有局限。学习者能够复述定义，实际判断时仍可能被显著外观影响。反过来，学习者能够稳定分类，却难以完整描述自己使用的依据。教学应同时安排定义解释和具体判别，检查二者是否协调。对于需要精确定义的学科，应明确哪些经验特征只是常见线索，哪些条件决定概念成立。</w:t>
      </w:r>
    </w:p>
    <w:p>
      <w:pPr>
        <w:pStyle w:val="BodyText"/>
      </w:pPr>
      <w:r>
        <w:t xml:space="preserve">一个假设练习让学生判断“所有正方形是否都是矩形”。学生可能因课本把两种图形分别命名而回答否。教师可以列出矩形要求的条件，再逐项检查正方形。随后再问“所有矩形是否都是正方形”，使学生看见包含关系的方向性。这个练习训练的内容包括定义、必要条件、充分条件和类别层级，不能只以图片识别速度评价。</w:t>
      </w:r>
    </w:p>
    <w:bookmarkEnd w:id="826"/>
    <w:bookmarkStart w:id="827" w:name="sec-42-5"/>
    <w:p>
      <w:pPr>
        <w:pStyle w:val="Heading3"/>
      </w:pPr>
      <w:r>
        <w:t xml:space="preserve">42.5　背景知识与因果组织</w:t>
      </w:r>
    </w:p>
    <w:p>
      <w:pPr>
        <w:pStyle w:val="FirstParagraph"/>
      </w:pPr>
      <w:r>
        <w:t xml:space="preserve">概念中的属性并非始终具有相同地位。有些属性被理解为其他属性的原因，因此在分类和推断中可能更重要。理解鸟的羽毛、翅膀、骨骼和运动方式之间的关系，有助于把多个特征组织成系统；理解人造工具的设计目的，也会影响哪些部件被视为核心。理论性背景知识能够约束什么组合值得学习</w:t>
      </w:r>
      <w:r>
        <w:rPr>
          <w:vertAlign w:val="superscript"/>
        </w:rPr>
        <w:t xml:space="preserve">[</w:t>
      </w:r>
      <w:hyperlink w:anchor="ref-444">
        <w:r>
          <w:rPr>
            <w:rStyle w:val="Hyperlink"/>
            <w:vertAlign w:val="superscript"/>
          </w:rPr>
          <w:t xml:space="preserve">444</w:t>
        </w:r>
      </w:hyperlink>
      <w:r>
        <w:rPr>
          <w:vertAlign w:val="superscript"/>
        </w:rPr>
        <w:t xml:space="preserve">]</w:t>
      </w:r>
      <w:r>
        <w:t xml:space="preserve">。</w:t>
      </w:r>
    </w:p>
    <w:p>
      <w:pPr>
        <w:pStyle w:val="BodyText"/>
      </w:pPr>
      <w:r>
        <w:t xml:space="preserve">这种机制有益，也可能产生偏差。如果学习者错误地相信所有发热都由同一种原因引起，就可能忽略不同疾病的区别。若把植物生长理解为“把土壤吃进身体”，看到施肥以后长得更好可能进一步强化错误解释。单独展示相关事实，未必足以改变因果结构。教学需要明确展示当前解释对哪些情形预测成功，又在哪些情形预测失败。</w:t>
      </w:r>
    </w:p>
    <w:p>
      <w:pPr>
        <w:pStyle w:val="BodyText"/>
      </w:pPr>
      <w:r>
        <w:t xml:space="preserve">考虑一个原创教学例子。两种材料的表面颜色相同，一种内部具有连续导电网络，另一种内部绝缘。学生先依据颜色分类，随后通过结构图和电路测试理解导电性。这里学习的关键变化是发现某个不容易直接看见的内部关系具有解释作用。将表面颜色更换后继续测试，可以检查学生是否把新的概念依据用于泛化。</w:t>
      </w:r>
    </w:p>
    <w:p>
      <w:pPr>
        <w:pStyle w:val="BodyText"/>
      </w:pPr>
      <w:r>
        <w:t xml:space="preserve">因果知识还决定如何理解异常实例。某动物失去一条腿，通常仍属于原来的物种；某机器丢失关键驱动结构，可能失去原有功能，但名称与历史归属仍然保留。分类判断涉及当前属性、起源、设计和使用目的等多个层次。讨论这些层次有助于防止把一个简单特征清单推广到全部概念。</w:t>
      </w:r>
    </w:p>
    <w:bookmarkEnd w:id="827"/>
    <w:bookmarkStart w:id="828" w:name="sec-42-6"/>
    <w:p>
      <w:pPr>
        <w:pStyle w:val="Heading3"/>
      </w:pPr>
      <w:r>
        <w:t xml:space="preserve">42.6　目标与临时类别</w:t>
      </w:r>
    </w:p>
    <w:p>
      <w:pPr>
        <w:pStyle w:val="FirstParagraph"/>
      </w:pPr>
      <w:r>
        <w:t xml:space="preserve">人们可以围绕当前目标临时组织类别，例如“停电时能提供照明的东西”“搬家时需要先打包的物品”或“能够解释这次实验失败的因素”。这些成员在外观和传统分类上可能差异很大，目标赋予它们共同关系。有关临时类别的研究显示，这类集合也可以具有典型性和内部结构</w:t>
      </w:r>
      <w:r>
        <w:rPr>
          <w:vertAlign w:val="superscript"/>
        </w:rPr>
        <w:t xml:space="preserve">[</w:t>
      </w:r>
      <w:hyperlink w:anchor="ref-445">
        <w:r>
          <w:rPr>
            <w:rStyle w:val="Hyperlink"/>
            <w:vertAlign w:val="superscript"/>
          </w:rPr>
          <w:t xml:space="preserve">445</w:t>
        </w:r>
      </w:hyperlink>
      <w:r>
        <w:rPr>
          <w:vertAlign w:val="superscript"/>
        </w:rPr>
        <w:t xml:space="preserve">]</w:t>
      </w:r>
      <w:r>
        <w:t xml:space="preserve">。</w:t>
      </w:r>
    </w:p>
    <w:p>
      <w:pPr>
        <w:pStyle w:val="BodyText"/>
      </w:pPr>
      <w:r>
        <w:t xml:space="preserve">目标改变后，类别成员的价值会重新排序。雨伞在“雨天随身携带物品”中可能较典型，在“长途旅行中减轻重量的物品”中未必同样重要。一个物体具有多种可供使用的属性，当前目标决定哪些属性参与判断。概念的灵活性不要求每次从零重建全部知识，它可以通过选择和组合已有知识实现。</w:t>
      </w:r>
    </w:p>
    <w:p>
      <w:pPr>
        <w:pStyle w:val="BodyText"/>
      </w:pPr>
      <w:r>
        <w:t xml:space="preserve">课堂可利用临时类别训练关系思维。教师提出“能帮助判断一个新闻论断是否可靠的信息”，学生可能列出样本来源、原始数据、利益关系和独立重复。接着要求说明每个项目如何服务判断，以及哪些信息看似相关却无法解决问题。这样形成的类别依赖目标和推理功能，适合与固定知识分类共同教学。</w:t>
      </w:r>
    </w:p>
    <w:p>
      <w:pPr>
        <w:pStyle w:val="BodyText"/>
      </w:pPr>
      <w:r>
        <w:t xml:space="preserve">临时类别也提示一个评估问题：相同的人在不同指令下可能产生不同分类。研究者必须说明要求参与者依据相似性、功能、用途还是自然分类作答。混合这些指令后得到的不一致，可能反映任务目标变化。对个体能力的解释应保留这个情境层次。</w:t>
      </w:r>
    </w:p>
    <w:bookmarkEnd w:id="828"/>
    <w:bookmarkStart w:id="829" w:name="sec-42-7"/>
    <w:p>
      <w:pPr>
        <w:pStyle w:val="Heading3"/>
      </w:pPr>
      <w:r>
        <w:t xml:space="preserve">42.7　语义网络的分布与整合</w:t>
      </w:r>
    </w:p>
    <w:p>
      <w:pPr>
        <w:pStyle w:val="FirstParagraph"/>
      </w:pPr>
      <w:r>
        <w:t xml:space="preserve">认识一个对象可以涉及视觉形状、颜色、声音、触觉、动作和语言知识。分布式语义观点强调，不同信息与相关加工系统存在联系；整合机制则帮助把它们组织成可跨模态使用的概念。前颞叶损伤和语义障碍研究，为跨模态概念整合提供了重要证据</w:t>
      </w:r>
      <w:r>
        <w:rPr>
          <w:vertAlign w:val="superscript"/>
        </w:rPr>
        <w:t xml:space="preserve">[</w:t>
      </w:r>
      <w:hyperlink w:anchor="ref-446">
        <w:r>
          <w:rPr>
            <w:rStyle w:val="Hyperlink"/>
            <w:vertAlign w:val="superscript"/>
          </w:rPr>
          <w:t xml:space="preserve">446</w:t>
        </w:r>
      </w:hyperlink>
      <w:r>
        <w:rPr>
          <w:vertAlign w:val="superscript"/>
        </w:rPr>
        <w:t xml:space="preserve">]</w:t>
      </w:r>
      <w:r>
        <w:t xml:space="preserve">。这些结果推动了枢纽与分布式信息相互作用的理论框架。</w:t>
      </w:r>
    </w:p>
    <w:p>
      <w:pPr>
        <w:pStyle w:val="BodyText"/>
      </w:pPr>
      <w:r>
        <w:t xml:space="preserve">枢纽辐射模型把模态相关信息视为分布在不同区域的成分，把跨成分的学习与整合视为枢纽功能。这个模型中的“枢纽”是一种计算与网络角色，不能直接想象为存放整本词典的单一小仓库。整合后的表征可以支持从名称推断外观，从声音推断来源，以及从部分属性补全其他知识</w:t>
      </w:r>
      <w:r>
        <w:rPr>
          <w:vertAlign w:val="superscript"/>
        </w:rPr>
        <w:t xml:space="preserve">[</w:t>
      </w:r>
      <w:hyperlink w:anchor="ref-447">
        <w:r>
          <w:rPr>
            <w:rStyle w:val="Hyperlink"/>
            <w:vertAlign w:val="superscript"/>
          </w:rPr>
          <w:t xml:space="preserve">447</w:t>
        </w:r>
      </w:hyperlink>
      <w:r>
        <w:rPr>
          <w:vertAlign w:val="superscript"/>
        </w:rPr>
        <w:t xml:space="preserve">]</w:t>
      </w:r>
      <w:r>
        <w:t xml:space="preserve">。</w:t>
      </w:r>
    </w:p>
    <w:p>
      <w:pPr>
        <w:pStyle w:val="BodyText"/>
      </w:pPr>
      <w:r>
        <w:t xml:space="preserve">一个学习系统需要同时保留共同性和区别。狗与马共享动物属性，狗与猫在某些行为和生活情境上更接近；狗与牵引绳共享使用情境。若所有关联都被压缩到一个维度，系统很难在不同任务中提取合适关系。多层次表征能够使类别、属性和情境信息相互约束，同时保留可区分结构</w:t>
      </w:r>
      <w:r>
        <w:rPr>
          <w:vertAlign w:val="superscript"/>
        </w:rPr>
        <w:t xml:space="preserve">[</w:t>
      </w:r>
      <w:hyperlink w:anchor="ref-448">
        <w:r>
          <w:rPr>
            <w:rStyle w:val="Hyperlink"/>
            <w:vertAlign w:val="superscript"/>
          </w:rPr>
          <w:t xml:space="preserve">448</w:t>
        </w:r>
      </w:hyperlink>
      <w:r>
        <w:rPr>
          <w:vertAlign w:val="superscript"/>
        </w:rPr>
        <w:t xml:space="preserve">]</w:t>
      </w:r>
      <w:r>
        <w:t xml:space="preserve">。</w:t>
      </w:r>
    </w:p>
    <w:p>
      <w:pPr>
        <w:pStyle w:val="BodyText"/>
      </w:pPr>
      <w:r>
        <w:t xml:space="preserve">临床资料中的不同错误模式可以帮助提出机制假说。一个人跨图片、名称和声音都逐渐失去某对象知识，与只在命名时困难具有不同解释方向；一个人在强提示下能回答，但在多个竞争选项中明显困难，又可能涉及选择与控制。实际患者经常具有混合影响，诊断需要完整专业评估。神经心理现象的教学价值在于展示功能分解，不能从一个症状直接定位唯一脑区。</w:t>
      </w:r>
    </w:p>
    <w:bookmarkEnd w:id="829"/>
    <w:bookmarkStart w:id="830" w:name="sec-42-8"/>
    <w:p>
      <w:pPr>
        <w:pStyle w:val="Heading3"/>
      </w:pPr>
      <w:r>
        <w:t xml:space="preserve">42.8　语义控制与情境选择</w:t>
      </w:r>
    </w:p>
    <w:p>
      <w:pPr>
        <w:pStyle w:val="FirstParagraph"/>
      </w:pPr>
      <w:r>
        <w:t xml:space="preserve">拥有知识和适时使用知识，是两个需要共同解释的环节。看到“苹果”，谈论水果时需要提取味道和食用属性，讨论产品时可能需要提取技术与品牌关系。情境改变了相关信息，也改变了竞争信息。受控语义认知框架把语义表征与选择、提取和目标适配联系起来</w:t>
      </w:r>
      <w:r>
        <w:rPr>
          <w:vertAlign w:val="superscript"/>
        </w:rPr>
        <w:t xml:space="preserve">[</w:t>
      </w:r>
      <w:hyperlink w:anchor="ref-447">
        <w:r>
          <w:rPr>
            <w:rStyle w:val="Hyperlink"/>
            <w:vertAlign w:val="superscript"/>
          </w:rPr>
          <w:t xml:space="preserve">447</w:t>
        </w:r>
      </w:hyperlink>
      <w:r>
        <w:rPr>
          <w:vertAlign w:val="superscript"/>
        </w:rPr>
        <w:t xml:space="preserve">]</w:t>
      </w:r>
      <w:r>
        <w:t xml:space="preserve">。</w:t>
      </w:r>
    </w:p>
    <w:p>
      <w:pPr>
        <w:pStyle w:val="BodyText"/>
      </w:pPr>
      <w:r>
        <w:t xml:space="preserve">控制需求可以来自不常见关系。问“木材与纸有什么联系”，常见材料关系容易提取；问“木材与记忆有什么联系”，可能需要找到记录、刻字或其他语境关系。回答困难不一定表示有关对象知识缺失，也可能反映关系较弱、目标不清或竞争过多。适当提示有时能够让可用知识重新显现。</w:t>
      </w:r>
    </w:p>
    <w:p>
      <w:pPr>
        <w:pStyle w:val="BodyText"/>
      </w:pPr>
      <w:r>
        <w:t xml:space="preserve">连接主义模型可以把词语共现、感觉动作信息和语境信号放在同一学习框架中，并考察不同损伤怎样改变表现</w:t>
      </w:r>
      <w:r>
        <w:rPr>
          <w:vertAlign w:val="superscript"/>
        </w:rPr>
        <w:t xml:space="preserve">[</w:t>
      </w:r>
      <w:hyperlink w:anchor="ref-448">
        <w:r>
          <w:rPr>
            <w:rStyle w:val="Hyperlink"/>
            <w:vertAlign w:val="superscript"/>
          </w:rPr>
          <w:t xml:space="preserve">448</w:t>
        </w:r>
      </w:hyperlink>
      <w:r>
        <w:rPr>
          <w:vertAlign w:val="superscript"/>
        </w:rPr>
        <w:t xml:space="preserve">]</w:t>
      </w:r>
      <w:r>
        <w:t xml:space="preserve">。这种模型为机制提出了可操作假说。例如，如果问题主要来自控制，改变提示和竞争选项可能显著影响表现；如果关键知识联系已经严重受损，单纯增加提示的帮助可能有限。真实任务中两类影响可以同时存在。</w:t>
      </w:r>
    </w:p>
    <w:p>
      <w:pPr>
        <w:pStyle w:val="BodyText"/>
      </w:pPr>
      <w:r>
        <w:t xml:space="preserve">教学中可以训练“根据问题选择知识”。读完一段材料后，分别要求学生解释原因、比较类别、预测变化和反驳错误结论，同一知识便需要在不同目标下被重新组织。练习应明确当前问题需要哪一种关系。机械背诵整段答案，可能增加熟悉度，却无法展示学习者是否能适配不同提问。</w:t>
      </w:r>
    </w:p>
    <w:bookmarkEnd w:id="830"/>
    <w:bookmarkStart w:id="831" w:name="sec-42-9"/>
    <w:p>
      <w:pPr>
        <w:pStyle w:val="Heading3"/>
      </w:pPr>
      <w:r>
        <w:t xml:space="preserve">42.9　具身、模态与抽象的不同主张</w:t>
      </w:r>
    </w:p>
    <w:p>
      <w:pPr>
        <w:pStyle w:val="FirstParagraph"/>
      </w:pPr>
      <w:r>
        <w:t xml:space="preserve">具身或扎根认知包含强度不同的理论。有的主张感觉和动作经验塑造概念，有的进一步主张在线理解会重新激活部分相关过程，还有的主张特定感觉动作活动是某类概念理解不可缺少的成分。这些主张需要不同证据。感觉动作区域在词语任务中活动，支持参与或联系，尚不足以独立证明其在所有理解情形中的必要性</w:t>
      </w:r>
      <w:r>
        <w:rPr>
          <w:vertAlign w:val="superscript"/>
        </w:rPr>
        <w:t xml:space="preserve">[</w:t>
      </w:r>
      <w:hyperlink w:anchor="ref-449">
        <w:r>
          <w:rPr>
            <w:rStyle w:val="Hyperlink"/>
            <w:vertAlign w:val="superscript"/>
          </w:rPr>
          <w:t xml:space="preserve">449</w:t>
        </w:r>
      </w:hyperlink>
      <w:r>
        <w:rPr>
          <w:vertAlign w:val="superscript"/>
        </w:rPr>
        <w:t xml:space="preserve">,</w:t>
      </w:r>
      <w:hyperlink w:anchor="ref-450">
        <w:r>
          <w:rPr>
            <w:rStyle w:val="Hyperlink"/>
            <w:vertAlign w:val="superscript"/>
          </w:rPr>
          <w:t xml:space="preserve">450</w:t>
        </w:r>
      </w:hyperlink>
      <w:r>
        <w:rPr>
          <w:vertAlign w:val="superscript"/>
        </w:rPr>
        <w:t xml:space="preserve">]</w:t>
      </w:r>
      <w:r>
        <w:t xml:space="preserve">。</w:t>
      </w:r>
    </w:p>
    <w:p>
      <w:pPr>
        <w:pStyle w:val="BodyText"/>
      </w:pPr>
      <w:r>
        <w:t xml:space="preserve">例如理解“踢球”时出现运动相关活动，可能与动作知识、情境模拟或理解后的联想有关。要确定作用，需要操纵任务需求、时间关系和相关神经过程，并检查对理解的影响是否特异。不同理论可能在这些条件下产生相近预测，因此应明确哪些结果能够区分它们。争议不能通过给某种活动贴上“具身”标签解决。</w:t>
      </w:r>
    </w:p>
    <w:p>
      <w:pPr>
        <w:pStyle w:val="BodyText"/>
      </w:pPr>
      <w:r>
        <w:t xml:space="preserve">抽象概念也有内部差异。“公平”包含社会规范和关系，“可能性”包含事件与不确定性，“三角形”包含形式约束，“明天”依赖时间参照。把全部抽象词放在一起，容易遗漏情绪、语言、关系和社会知识的不同贡献。抽象程度、可感知性、熟悉度与语言复杂度也需要分别描述</w:t>
      </w:r>
      <w:r>
        <w:rPr>
          <w:vertAlign w:val="superscript"/>
        </w:rPr>
        <w:t xml:space="preserve">[</w:t>
      </w:r>
      <w:hyperlink w:anchor="ref-441">
        <w:r>
          <w:rPr>
            <w:rStyle w:val="Hyperlink"/>
            <w:vertAlign w:val="superscript"/>
          </w:rPr>
          <w:t xml:space="preserve">441</w:t>
        </w:r>
      </w:hyperlink>
      <w:r>
        <w:rPr>
          <w:vertAlign w:val="superscript"/>
        </w:rPr>
        <w:t xml:space="preserve">]</w:t>
      </w:r>
      <w:r>
        <w:t xml:space="preserve">。</w:t>
      </w:r>
    </w:p>
    <w:p>
      <w:pPr>
        <w:pStyle w:val="BodyText"/>
      </w:pPr>
      <w:r>
        <w:t xml:space="preserve">一个合理的教学推论是，动作和具体材料可以支持某些学习目标，使用时应说明它们体现的关系。用身体移动表示数线方向，可以帮助空间与数值的对应；若学生需要理解负数乘法，只沿直线走动可能还需额外规则。材料的可触摸性本身不保证抽象理解，关键关系需要通过解释、比较和符号转换连接起来。</w:t>
      </w:r>
    </w:p>
    <w:bookmarkEnd w:id="831"/>
    <w:bookmarkStart w:id="832" w:name="sec-42-10"/>
    <w:p>
      <w:pPr>
        <w:pStyle w:val="Heading3"/>
      </w:pPr>
      <w:r>
        <w:t xml:space="preserve">42.10　语言可以支持未亲历的知识</w:t>
      </w:r>
    </w:p>
    <w:p>
      <w:pPr>
        <w:pStyle w:val="FirstParagraph"/>
      </w:pPr>
      <w:r>
        <w:t xml:space="preserve">人类能够学习未直接看见的天体、微观结构、历史事件和社会制度。语言提供名称、关系和解释，使知识超出个人感觉经历。先天盲人的研究尤其有助于区分视觉体验与关于视觉属性的知识。部分研究发现，先天盲人与明眼人在颜色相关的因果推断上存在重要共同点，同时在某些任意颜色事实方面仍有差异</w:t>
      </w:r>
      <w:r>
        <w:rPr>
          <w:vertAlign w:val="superscript"/>
        </w:rPr>
        <w:t xml:space="preserve">[</w:t>
      </w:r>
      <w:hyperlink w:anchor="ref-451">
        <w:r>
          <w:rPr>
            <w:rStyle w:val="Hyperlink"/>
            <w:vertAlign w:val="superscript"/>
          </w:rPr>
          <w:t xml:space="preserve">451</w:t>
        </w:r>
      </w:hyperlink>
      <w:r>
        <w:rPr>
          <w:vertAlign w:val="superscript"/>
        </w:rPr>
        <w:t xml:space="preserve">]</w:t>
      </w:r>
      <w:r>
        <w:t xml:space="preserve">。</w:t>
      </w:r>
    </w:p>
    <w:p>
      <w:pPr>
        <w:pStyle w:val="BodyText"/>
      </w:pPr>
      <w:r>
        <w:t xml:space="preserve">这类证据支持一个较明确的结论：缺少某种直接感觉经验，并不意味着无法形成关于相关对象的丰富关系知识。它没有证明两组具有相同的视觉体验。能够推断某种物体的颜色是否由功能决定，与主观感受某种颜色，属于不同问题。成像研究也发现，先天盲人处理视觉概念涉及前颞叶等区域的组织，但这些关联仍需与学习来源和具体任务共同解释</w:t>
      </w:r>
      <w:r>
        <w:rPr>
          <w:vertAlign w:val="superscript"/>
        </w:rPr>
        <w:t xml:space="preserve">[</w:t>
      </w:r>
      <w:hyperlink w:anchor="ref-452">
        <w:r>
          <w:rPr>
            <w:rStyle w:val="Hyperlink"/>
            <w:vertAlign w:val="superscript"/>
          </w:rPr>
          <w:t xml:space="preserve">452</w:t>
        </w:r>
      </w:hyperlink>
      <w:r>
        <w:rPr>
          <w:vertAlign w:val="superscript"/>
        </w:rPr>
        <w:t xml:space="preserve">]</w:t>
      </w:r>
      <w:r>
        <w:t xml:space="preserve">。</w:t>
      </w:r>
    </w:p>
    <w:p>
      <w:pPr>
        <w:pStyle w:val="BodyText"/>
      </w:pPr>
      <w:r>
        <w:t xml:space="preserve">2026年的学术综述进一步讨论了盲人知识与纯文本模型所呈现的视觉关系知识</w:t>
      </w:r>
      <w:r>
        <w:rPr>
          <w:vertAlign w:val="superscript"/>
        </w:rPr>
        <w:t xml:space="preserve">[</w:t>
      </w:r>
      <w:hyperlink w:anchor="ref-453">
        <w:r>
          <w:rPr>
            <w:rStyle w:val="Hyperlink"/>
            <w:vertAlign w:val="superscript"/>
          </w:rPr>
          <w:t xml:space="preserve">453</w:t>
        </w:r>
      </w:hyperlink>
      <w:r>
        <w:rPr>
          <w:vertAlign w:val="superscript"/>
        </w:rPr>
        <w:t xml:space="preserve">]</w:t>
      </w:r>
      <w:r>
        <w:t xml:space="preserve">。文本能够包含物体尺寸、颜色规律和因果解释，因此某些推断可以从语言统计与结构中获得。人类和模型得到相近答案，仍可能依赖不同学习过程、背景经验和目标结构。行为相似提供比较入口，不能直接把人工系统的内部机制当成人脑机制。</w:t>
      </w:r>
    </w:p>
    <w:p>
      <w:pPr>
        <w:pStyle w:val="BodyText"/>
      </w:pPr>
      <w:r>
        <w:t xml:space="preserve">教育上，直接经验与语言解释可以相互支持。实验让学习者观察现象，语言说明则帮助他们理解未观察到的机制；反过来，已有语言知识也能指导观察。对于无法直接体验的内容，精确类比、模型、关系图和可检验预测具有重要作用。教材应同时指出模型的适用范围，避免学生把方便理解的表达当成对象的全部性质。</w:t>
      </w:r>
    </w:p>
    <w:bookmarkEnd w:id="832"/>
    <w:bookmarkStart w:id="833" w:name="sec-42-11"/>
    <w:p>
      <w:pPr>
        <w:pStyle w:val="Heading3"/>
      </w:pPr>
      <w:r>
        <w:t xml:space="preserve">42.11　概念组合与新的意义</w:t>
      </w:r>
    </w:p>
    <w:p>
      <w:pPr>
        <w:pStyle w:val="FirstParagraph"/>
      </w:pPr>
      <w:r>
        <w:t xml:space="preserve">语言允许人们理解从未遇到过的组合，例如“透明的桥”“会移动的图书馆”或“没有声音的警报”。组合需要保留各成分的关系，并根据情境选择合适解释。透明的桥描述材料或外观；会移动的图书馆可能指车辆上的借阅服务；没有声音的警报可以通过闪光或震动传递信息。意义生成依赖结构和背景知识。</w:t>
      </w:r>
    </w:p>
    <w:p>
      <w:pPr>
        <w:pStyle w:val="BodyText"/>
      </w:pPr>
      <w:r>
        <w:t xml:space="preserve">组合也可能产生新的属性。一个“儿童用的科学实验室”需要考虑设施尺寸、任务难度、安全安排和教学目标，这些要求未必逐条存放在“儿童”或“实验室”的独立定义中。学习者需要把角色和约束结合起来。理论上，这要求概念系统具有一定生产性，能够把有限知识用于新组合</w:t>
      </w:r>
      <w:r>
        <w:rPr>
          <w:vertAlign w:val="superscript"/>
        </w:rPr>
        <w:t xml:space="preserve">[</w:t>
      </w:r>
      <w:hyperlink w:anchor="ref-444">
        <w:r>
          <w:rPr>
            <w:rStyle w:val="Hyperlink"/>
            <w:vertAlign w:val="superscript"/>
          </w:rPr>
          <w:t xml:space="preserve">444</w:t>
        </w:r>
      </w:hyperlink>
      <w:r>
        <w:rPr>
          <w:vertAlign w:val="superscript"/>
        </w:rPr>
        <w:t xml:space="preserve">,</w:t>
      </w:r>
      <w:hyperlink w:anchor="ref-454">
        <w:r>
          <w:rPr>
            <w:rStyle w:val="Hyperlink"/>
            <w:vertAlign w:val="superscript"/>
          </w:rPr>
          <w:t xml:space="preserve">454</w:t>
        </w:r>
      </w:hyperlink>
      <w:r>
        <w:rPr>
          <w:vertAlign w:val="superscript"/>
        </w:rPr>
        <w:t xml:space="preserve">]</w:t>
      </w:r>
      <w:r>
        <w:t xml:space="preserve">。</w:t>
      </w:r>
    </w:p>
    <w:p>
      <w:pPr>
        <w:pStyle w:val="BodyText"/>
      </w:pPr>
      <w:r>
        <w:t xml:space="preserve">关系顺序很重要。“研究学生的教师”与“学生研究的教师”使用相近词语，却分配了不同角色。若只依据词语共现相似性，可能遗漏谁执行行动、谁接受行动以及限定条件。概念组合与语言结构、工作记忆和语境解释共同作用。本章关注知识关系，具体句法与阅读机制可结合语言章节理解。</w:t>
      </w:r>
    </w:p>
    <w:p>
      <w:pPr>
        <w:pStyle w:val="BodyText"/>
      </w:pPr>
      <w:r>
        <w:t xml:space="preserve">一个课堂练习可以要求学生解释“低成本、高精度、全天候的测量设备”，然后识别这些目标之间可能存在的冲突。学生需要把成本、误差和环境适应性组织成约束系统。评价重点可以放在条件是否明确、关系是否一致、提出的方案能否满足要求。这个活动体现概念作为推理资源的功能。</w:t>
      </w:r>
    </w:p>
    <w:bookmarkEnd w:id="833"/>
    <w:bookmarkStart w:id="834" w:name="sec-42-12"/>
    <w:p>
      <w:pPr>
        <w:pStyle w:val="Heading3"/>
      </w:pPr>
      <w:r>
        <w:t xml:space="preserve">42.12　稀疏经验与结构归纳</w:t>
      </w:r>
    </w:p>
    <w:p>
      <w:pPr>
        <w:pStyle w:val="FirstParagraph"/>
      </w:pPr>
      <w:r>
        <w:t xml:space="preserve">人们有时只见到少数例子，就能够作出广泛推断。结构化概率模型尝试解释这种能力：学习者已经具有关于哪些类别、关系和生成过程可能存在的背景假设，新证据改变这些假设的相对可信度</w:t>
      </w:r>
      <w:r>
        <w:rPr>
          <w:vertAlign w:val="superscript"/>
        </w:rPr>
        <w:t xml:space="preserve">[</w:t>
      </w:r>
      <w:hyperlink w:anchor="ref-454">
        <w:r>
          <w:rPr>
            <w:rStyle w:val="Hyperlink"/>
            <w:vertAlign w:val="superscript"/>
          </w:rPr>
          <w:t xml:space="preserve">454</w:t>
        </w:r>
      </w:hyperlink>
      <w:r>
        <w:rPr>
          <w:vertAlign w:val="superscript"/>
        </w:rPr>
        <w:t xml:space="preserve">]</w:t>
      </w:r>
      <w:r>
        <w:t xml:space="preserve">。这类理论强调已有结构与新经验共同约束学习，同时需要检验学习者是否实际使用了模型假定的结构。</w:t>
      </w:r>
    </w:p>
    <w:p>
      <w:pPr>
        <w:pStyle w:val="BodyText"/>
      </w:pPr>
      <w:r>
        <w:t xml:space="preserve">用一个假设情境说明。教师展示三种都具有特定叶脉的植物，并说它们属于同一新类别。学生可能根据叶脉推广；若教师明确说明“这三种都由同一种人工方法培育”，分类依据可能转向起源。相同实例在不同说明下提供不同信息，因为学习者对样本产生方式的理解改变了。学习无法只根据实例数量解释。</w:t>
      </w:r>
    </w:p>
    <w:p>
      <w:pPr>
        <w:pStyle w:val="BodyText"/>
      </w:pPr>
      <w:r>
        <w:t xml:space="preserve">主动选择例子也可以提升信息价值。若当前两种假说分别依据颜色和形状分类，再看一个两种线索都一致的实例，区分力很小；选择颜色与形状产生不同预测的实例，更有助于判断。这个原则可以用于科学概念教学：让学生寻找能够区分解释的现象。选择任务仍需确保学生掌握必要知识，否则他们可能无法发现诊断性变化。</w:t>
      </w:r>
    </w:p>
    <w:p>
      <w:pPr>
        <w:pStyle w:val="BodyText"/>
      </w:pPr>
      <w:r>
        <w:t xml:space="preserve">结构先验也可能限制学习。强烈相信类别必须有单一本质，可能忽略连续变化和多重原因；过度依赖已有图式，可能忽略真正的新结构。因此，教学既应利用背景知识，也应安排能够暴露其适用边界的任务。合理泛化与过度泛化，需要通过后续证据不断区分。</w:t>
      </w:r>
    </w:p>
    <w:bookmarkEnd w:id="834"/>
    <w:bookmarkStart w:id="835" w:name="sec-42-13"/>
    <w:p>
      <w:pPr>
        <w:pStyle w:val="Heading3"/>
      </w:pPr>
      <w:r>
        <w:t xml:space="preserve">42.13　概念改变与旧直觉</w:t>
      </w:r>
    </w:p>
    <w:p>
      <w:pPr>
        <w:pStyle w:val="FirstParagraph"/>
      </w:pPr>
      <w:r>
        <w:t xml:space="preserve">学习科学经常要求调整日常直觉。直觉可能来自有限观察和语言习惯，例如把温度看成物体“含有多少热”，把物种变化理解为个体为了需要主动改变。新知识可以与旧解释发生竞争。快速命题判断研究发现，与早期直觉冲突的科学陈述有时更慢、更易出错，这与旧知识在某些条件下仍参与加工的解释相容</w:t>
      </w:r>
      <w:r>
        <w:rPr>
          <w:vertAlign w:val="superscript"/>
        </w:rPr>
        <w:t xml:space="preserve">[</w:t>
      </w:r>
      <w:hyperlink w:anchor="ref-455">
        <w:r>
          <w:rPr>
            <w:rStyle w:val="Hyperlink"/>
            <w:vertAlign w:val="superscript"/>
          </w:rPr>
          <w:t xml:space="preserve">455</w:t>
        </w:r>
      </w:hyperlink>
      <w:r>
        <w:rPr>
          <w:vertAlign w:val="superscript"/>
        </w:rPr>
        <w:t xml:space="preserve">]</w:t>
      </w:r>
      <w:r>
        <w:t xml:space="preserve">。</w:t>
      </w:r>
    </w:p>
    <w:p>
      <w:pPr>
        <w:pStyle w:val="BodyText"/>
      </w:pPr>
      <w:r>
        <w:t xml:space="preserve">这个结果不能推出所有旧信念都永久保持原样。概念改变可能包含新知识增加、关系重组、条件限定、错误联结减弱和选择控制改善等多种过程。教学应依据实际错误确定需要改变哪一个层次。一个学生能回答标准问题，却在新情境中重现旧解释，提示知识的条件化和使用仍需加强。</w:t>
      </w:r>
    </w:p>
    <w:p>
      <w:pPr>
        <w:pStyle w:val="BodyText"/>
      </w:pPr>
      <w:r>
        <w:t xml:space="preserve">例如学生知道真空中轻重物体的自由下落加速度相同，却在涉及空气阻力的情境中机械套用同一句话。此时需要同时区分模型条件与现实附加因素。概念掌握包含知道何时忽略某因素、何时必须加入。不断增加口号式正确陈述，可能使学生更难看清条件。</w:t>
      </w:r>
    </w:p>
    <w:p>
      <w:pPr>
        <w:pStyle w:val="BodyText"/>
      </w:pPr>
      <w:r>
        <w:t xml:space="preserve">有效的概念讨论可以包含四个互相支持的环节：明确学生当前预测，展示足以检验预测的现象，提供能够解释现象的替代关系，再让学生将新关系用于不同情境。反例本身有时会被解释为特殊情况，因此需要帮助学生理解替代模型怎样连贯地解释多个现象。这是一条教学推论，具体方案仍应由学习结果验证。</w:t>
      </w:r>
    </w:p>
    <w:bookmarkEnd w:id="835"/>
    <w:bookmarkStart w:id="837" w:name="sec-42-14"/>
    <w:p>
      <w:pPr>
        <w:pStyle w:val="Heading3"/>
      </w:pPr>
      <w:r>
        <w:t xml:space="preserve">42.14　概念知识的查验</w:t>
      </w:r>
    </w:p>
    <w:p>
      <w:pPr>
        <w:pStyle w:val="TableCaption"/>
      </w:pPr>
      <w:bookmarkStart w:id="836" w:name="tab-concepts"/>
      <w:bookmarkEnd w:id="836"/>
      <w:r>
        <w:rPr>
          <w:bCs/>
          <w:b/>
        </w:rPr>
        <w:t xml:space="preserve">表 15　概念知识的查验方式</w:t>
      </w:r>
    </w:p>
    <w:tbl>
      <w:tblPr>
        <w:tblStyle w:val="Table"/>
        <w:tblW w:type="pct" w:w="5000"/>
        <w:jc w:val="start"/>
        <w:tblLook w:firstRow="1" w:lastRow="0" w:firstColumn="0" w:lastColumn="0" w:noHBand="0" w:noVBand="0" w:val="0020"/>
      </w:tblPr>
      <w:tblGrid>
        <w:gridCol w:w="1732"/>
        <w:gridCol w:w="3464"/>
        <w:gridCol w:w="2722"/>
      </w:tblGrid>
      <w:tr>
        <w:trPr>
          <w:tblHeader w:val="true"/>
        </w:trPr>
        <w:tc>
          <w:tcPr>
            <w:shd w:val="clear" w:color="auto" w:fill="1F3A5F"/>
          </w:tcPr>
          <w:p>
            <w:pPr>
              <w:jc w:val="left"/>
            </w:pPr>
            <w:r>
              <w:rPr>
                <w:bCs/>
                <w:b/>
                <w:color w:val="FFFFFF"/>
              </w:rPr>
              <w:t xml:space="preserve">需要查验的方面</w:t>
            </w:r>
          </w:p>
        </w:tc>
        <w:tc>
          <w:tcPr>
            <w:shd w:val="clear" w:color="auto" w:fill="1F3A5F"/>
          </w:tcPr>
          <w:p>
            <w:pPr>
              <w:jc w:val="left"/>
            </w:pPr>
            <w:r>
              <w:rPr>
                <w:bCs/>
                <w:b/>
                <w:color w:val="FFFFFF"/>
              </w:rPr>
              <w:t xml:space="preserve">任务示例</w:t>
            </w:r>
          </w:p>
        </w:tc>
        <w:tc>
          <w:tcPr>
            <w:shd w:val="clear" w:color="auto" w:fill="1F3A5F"/>
          </w:tcPr>
          <w:p>
            <w:pPr>
              <w:jc w:val="left"/>
            </w:pPr>
            <w:r>
              <w:rPr>
                <w:bCs/>
                <w:b/>
                <w:color w:val="FFFFFF"/>
              </w:rPr>
              <w:t xml:space="preserve">可以支持的判断</w:t>
            </w:r>
          </w:p>
        </w:tc>
      </w:tr>
      <w:tr>
        <w:tc>
          <w:tcPr/>
          <w:p>
            <w:pPr>
              <w:jc w:val="left"/>
            </w:pPr>
            <w:r>
              <w:t xml:space="preserve">典型成员识别</w:t>
            </w:r>
          </w:p>
        </w:tc>
        <w:tc>
          <w:tcPr/>
          <w:p>
            <w:pPr>
              <w:jc w:val="left"/>
            </w:pPr>
            <w:r>
              <w:t xml:space="preserve">辨认常见例子</w:t>
            </w:r>
          </w:p>
        </w:tc>
        <w:tc>
          <w:tcPr/>
          <w:p>
            <w:pPr>
              <w:jc w:val="left"/>
            </w:pPr>
            <w:r>
              <w:t xml:space="preserve">熟悉类别的基本可用性</w:t>
            </w:r>
          </w:p>
        </w:tc>
      </w:tr>
      <w:tr>
        <w:tc>
          <w:tcPr/>
          <w:p>
            <w:pPr>
              <w:jc w:val="left"/>
            </w:pPr>
            <w:r>
              <w:t xml:space="preserve">边界与条件</w:t>
            </w:r>
          </w:p>
        </w:tc>
        <w:tc>
          <w:tcPr/>
          <w:p>
            <w:pPr>
              <w:jc w:val="left"/>
            </w:pPr>
            <w:r>
              <w:t xml:space="preserve">判断非典型例子和相近反例</w:t>
            </w:r>
          </w:p>
        </w:tc>
        <w:tc>
          <w:tcPr/>
          <w:p>
            <w:pPr>
              <w:jc w:val="left"/>
            </w:pPr>
            <w:r>
              <w:t xml:space="preserve">分类依据是否精确</w:t>
            </w:r>
          </w:p>
        </w:tc>
      </w:tr>
      <w:tr>
        <w:tc>
          <w:tcPr/>
          <w:p>
            <w:pPr>
              <w:jc w:val="left"/>
            </w:pPr>
            <w:r>
              <w:t xml:space="preserve">属性关系</w:t>
            </w:r>
          </w:p>
        </w:tc>
        <w:tc>
          <w:tcPr/>
          <w:p>
            <w:pPr>
              <w:jc w:val="left"/>
            </w:pPr>
            <w:r>
              <w:t xml:space="preserve">解释一个特征为何伴随另一特征</w:t>
            </w:r>
          </w:p>
        </w:tc>
        <w:tc>
          <w:tcPr/>
          <w:p>
            <w:pPr>
              <w:jc w:val="left"/>
            </w:pPr>
            <w:r>
              <w:t xml:space="preserve">知识是否具有解释结构</w:t>
            </w:r>
          </w:p>
        </w:tc>
      </w:tr>
      <w:tr>
        <w:tc>
          <w:tcPr/>
          <w:p>
            <w:pPr>
              <w:jc w:val="left"/>
            </w:pPr>
            <w:r>
              <w:t xml:space="preserve">跨模态联系</w:t>
            </w:r>
          </w:p>
        </w:tc>
        <w:tc>
          <w:tcPr/>
          <w:p>
            <w:pPr>
              <w:jc w:val="left"/>
            </w:pPr>
            <w:r>
              <w:t xml:space="preserve">从名称、声音或用途辨认对象</w:t>
            </w:r>
          </w:p>
        </w:tc>
        <w:tc>
          <w:tcPr/>
          <w:p>
            <w:pPr>
              <w:jc w:val="left"/>
            </w:pPr>
            <w:r>
              <w:t xml:space="preserve">知识能否跨输入形式使用</w:t>
            </w:r>
          </w:p>
        </w:tc>
      </w:tr>
      <w:tr>
        <w:tc>
          <w:tcPr/>
          <w:p>
            <w:pPr>
              <w:jc w:val="left"/>
            </w:pPr>
            <w:r>
              <w:t xml:space="preserve">情境选择</w:t>
            </w:r>
          </w:p>
        </w:tc>
        <w:tc>
          <w:tcPr/>
          <w:p>
            <w:pPr>
              <w:jc w:val="left"/>
            </w:pPr>
            <w:r>
              <w:t xml:space="preserve">对同一概念回答不同目标问题</w:t>
            </w:r>
          </w:p>
        </w:tc>
        <w:tc>
          <w:tcPr/>
          <w:p>
            <w:pPr>
              <w:jc w:val="left"/>
            </w:pPr>
            <w:r>
              <w:t xml:space="preserve">相关知识选择是否灵活</w:t>
            </w:r>
          </w:p>
        </w:tc>
      </w:tr>
      <w:tr>
        <w:tc>
          <w:tcPr/>
          <w:p>
            <w:pPr>
              <w:jc w:val="left"/>
            </w:pPr>
            <w:r>
              <w:t xml:space="preserve">新组合推断</w:t>
            </w:r>
          </w:p>
        </w:tc>
        <w:tc>
          <w:tcPr/>
          <w:p>
            <w:pPr>
              <w:jc w:val="left"/>
            </w:pPr>
            <w:r>
              <w:t xml:space="preserve">解释陌生但有意义的组合</w:t>
            </w:r>
          </w:p>
        </w:tc>
        <w:tc>
          <w:tcPr/>
          <w:p>
            <w:pPr>
              <w:jc w:val="left"/>
            </w:pPr>
            <w:r>
              <w:t xml:space="preserve">角色关系与生成性</w:t>
            </w:r>
          </w:p>
        </w:tc>
      </w:tr>
      <w:tr>
        <w:tc>
          <w:tcPr/>
          <w:p>
            <w:pPr>
              <w:jc w:val="left"/>
            </w:pPr>
            <w:r>
              <w:t xml:space="preserve">条件化迁移</w:t>
            </w:r>
          </w:p>
        </w:tc>
        <w:tc>
          <w:tcPr/>
          <w:p>
            <w:pPr>
              <w:jc w:val="left"/>
            </w:pPr>
            <w:r>
              <w:t xml:space="preserve">改变表面特征和适用条件</w:t>
            </w:r>
          </w:p>
        </w:tc>
        <w:tc>
          <w:tcPr/>
          <w:p>
            <w:pPr>
              <w:jc w:val="left"/>
            </w:pPr>
            <w:r>
              <w:t xml:space="preserve">泛化范围与边界意识</w:t>
            </w:r>
          </w:p>
        </w:tc>
      </w:tr>
    </w:tbl>
    <w:p>
      <w:pPr>
        <w:pStyle w:val="BodyText"/>
      </w:pPr>
      <w:r>
        <w:t xml:space="preserve">这些任务共同提供概念能力的不同侧面。单项成功只能支持相应范围的结论</w:t>
      </w:r>
      <w:r>
        <w:rPr>
          <w:vertAlign w:val="superscript"/>
        </w:rPr>
        <w:t xml:space="preserve">[</w:t>
      </w:r>
      <w:hyperlink w:anchor="ref-441">
        <w:r>
          <w:rPr>
            <w:rStyle w:val="Hyperlink"/>
            <w:vertAlign w:val="superscript"/>
          </w:rPr>
          <w:t xml:space="preserve">441</w:t>
        </w:r>
      </w:hyperlink>
      <w:r>
        <w:rPr>
          <w:vertAlign w:val="superscript"/>
        </w:rPr>
        <w:t xml:space="preserve">,</w:t>
      </w:r>
      <w:hyperlink w:anchor="ref-443">
        <w:r>
          <w:rPr>
            <w:rStyle w:val="Hyperlink"/>
            <w:vertAlign w:val="superscript"/>
          </w:rPr>
          <w:t xml:space="preserve">443</w:t>
        </w:r>
      </w:hyperlink>
      <w:r>
        <w:rPr>
          <w:vertAlign w:val="superscript"/>
        </w:rPr>
        <w:t xml:space="preserve">,</w:t>
      </w:r>
      <w:hyperlink w:anchor="ref-447">
        <w:r>
          <w:rPr>
            <w:rStyle w:val="Hyperlink"/>
            <w:vertAlign w:val="superscript"/>
          </w:rPr>
          <w:t xml:space="preserve">447</w:t>
        </w:r>
      </w:hyperlink>
      <w:r>
        <w:rPr>
          <w:vertAlign w:val="superscript"/>
        </w:rPr>
        <w:t xml:space="preserve">]</w:t>
      </w:r>
      <w:r>
        <w:t xml:space="preserve">。</w:t>
      </w:r>
    </w:p>
    <w:bookmarkEnd w:id="837"/>
    <w:bookmarkStart w:id="838" w:name="sec-42-15"/>
    <w:p>
      <w:pPr>
        <w:pStyle w:val="Heading3"/>
      </w:pPr>
      <w:r>
        <w:t xml:space="preserve">42.15　综合练习</w:t>
      </w:r>
    </w:p>
    <w:p>
      <w:pPr>
        <w:pStyle w:val="FirstParagraph"/>
      </w:pPr>
      <w:r>
        <w:t xml:space="preserve">练习一。学生把所有会飞的动物都归为鸟。参考分析：飞行是显著但不充分的线索。应加入蝙蝠、不会飞的鸟和其他相近例子，明确当前分类依据，并要求解释边界。</w:t>
      </w:r>
    </w:p>
    <w:p>
      <w:pPr>
        <w:pStyle w:val="BodyText"/>
      </w:pPr>
      <w:r>
        <w:t xml:space="preserve">练习二。某研究发现典型成员识别更快，因此宣布大脑只储存平均原型。参考分析：样例相似性也可能产生典型性效应，需要选择不同模型作出分歧预测的材料。</w:t>
      </w:r>
    </w:p>
    <w:p>
      <w:pPr>
        <w:pStyle w:val="BodyText"/>
      </w:pPr>
      <w:r>
        <w:t xml:space="preserve">练习三。学生能够说出一个物体的用途，无法说出名称。参考分析：概念知识与名称提取存在不同可能贡献。应使用匹配、功能解释、模态转换等任务进一步判断，避免只凭命名给出整体知识缺失结论。</w:t>
      </w:r>
    </w:p>
    <w:p>
      <w:pPr>
        <w:pStyle w:val="BodyText"/>
      </w:pPr>
      <w:r>
        <w:t xml:space="preserve">练习四。一个学习者通过语言正确解释颜色的功能规律。参考分析：结果支持有关颜色的关系知识可由语言及其他经验形成；主观视觉体验需要独立讨论。</w:t>
      </w:r>
    </w:p>
    <w:bookmarkEnd w:id="838"/>
    <w:bookmarkEnd w:id="839"/>
    <w:bookmarkStart w:id="855" w:name="ch-43"/>
    <w:p>
      <w:pPr>
        <w:pStyle w:val="Heading2"/>
      </w:pPr>
      <w:r>
        <w:t xml:space="preserve">第43章　因果推理、类比与迁移</w:t>
      </w:r>
    </w:p>
    <w:bookmarkStart w:id="840" w:name="sec-43-1"/>
    <w:p>
      <w:pPr>
        <w:pStyle w:val="Heading3"/>
      </w:pPr>
      <w:r>
        <w:t xml:space="preserve">43.1　从预测走向解释</w:t>
      </w:r>
    </w:p>
    <w:p>
      <w:pPr>
        <w:pStyle w:val="FirstParagraph"/>
      </w:pPr>
      <w:r>
        <w:t xml:space="preserve">学习者经常需要回答三类问题：接下来会发生什么，采取某个行动后会怎样，以及已经发生的结果为什么出现。三个问题共享经验和知识，却要求不同推理。看到乌云可以预测降雨，制造一片看似乌云的布景通常不会带来降雨；知道某种设备故障经常伴随警报，可以通过警报诊断故障，关闭警报本身未必修复设备。因果知识帮助人们在事件、行动和结果之间建立有方向的关系</w:t>
      </w:r>
      <w:r>
        <w:rPr>
          <w:vertAlign w:val="superscript"/>
        </w:rPr>
        <w:t xml:space="preserve">[</w:t>
      </w:r>
      <w:hyperlink w:anchor="ref-456">
        <w:r>
          <w:rPr>
            <w:rStyle w:val="Hyperlink"/>
            <w:vertAlign w:val="superscript"/>
          </w:rPr>
          <w:t xml:space="preserve">456</w:t>
        </w:r>
      </w:hyperlink>
      <w:r>
        <w:rPr>
          <w:vertAlign w:val="superscript"/>
        </w:rPr>
        <w:t xml:space="preserve">]</w:t>
      </w:r>
      <w:r>
        <w:t xml:space="preserve">。</w:t>
      </w:r>
    </w:p>
    <w:p>
      <w:pPr>
        <w:pStyle w:val="BodyText"/>
      </w:pPr>
      <w:r>
        <w:t xml:space="preserve">本章关注人类怎样形成和使用这些关系，以及怎样把一种情境中的知识迁移到另一种情境。统计因果识别的数学基础可结合方法章节阅读。这里的核心问题属于认知机制：人们注意哪些事件，怎样解释样本产生方式，如何选择检验，怎样提取旧经验，何时能够看见两个问题的共同结构。</w:t>
      </w:r>
    </w:p>
    <w:p>
      <w:pPr>
        <w:pStyle w:val="BodyText"/>
      </w:pPr>
      <w:r>
        <w:t xml:space="preserve">因果解释可以使用不同层次。说明电灯亮起，可以讨论开关操作、电路闭合、电子过程或发电系统。合适解释取决于问题目标。儿童要学会操作开关，维修人员要定位故障，物理课程要理解能量转换，所需细节不同。解释的简洁程度应与任务相称，同时保留关键条件。</w:t>
      </w:r>
    </w:p>
    <w:bookmarkEnd w:id="840"/>
    <w:bookmarkStart w:id="841" w:name="sec-43-2"/>
    <w:p>
      <w:pPr>
        <w:pStyle w:val="Heading3"/>
      </w:pPr>
      <w:r>
        <w:t xml:space="preserve">43.2　因果表征中的方向与结构</w:t>
      </w:r>
    </w:p>
    <w:p>
      <w:pPr>
        <w:pStyle w:val="FirstParagraph"/>
      </w:pPr>
      <w:r>
        <w:t xml:space="preserve">一个简单因果链包括起始因素、中间过程和结果。例如持续加热提高水温，在适当条件下使水沸腾。共同原因结构则由一个因素影响多个结果，例如同一个供电故障同时使灯和风扇停止。共同结果结构中，多个因素都可能引发同一结果，例如不同故障都可能触发警报。三种结构可以产生相似的表面共变，却支持不同预测</w:t>
      </w:r>
      <w:r>
        <w:rPr>
          <w:vertAlign w:val="superscript"/>
        </w:rPr>
        <w:t xml:space="preserve">[</w:t>
      </w:r>
      <w:hyperlink w:anchor="ref-456">
        <w:r>
          <w:rPr>
            <w:rStyle w:val="Hyperlink"/>
            <w:vertAlign w:val="superscript"/>
          </w:rPr>
          <w:t xml:space="preserve">456</w:t>
        </w:r>
      </w:hyperlink>
      <w:r>
        <w:rPr>
          <w:vertAlign w:val="superscript"/>
        </w:rPr>
        <w:t xml:space="preserve">,</w:t>
      </w:r>
      <w:hyperlink w:anchor="ref-457">
        <w:r>
          <w:rPr>
            <w:rStyle w:val="Hyperlink"/>
            <w:vertAlign w:val="superscript"/>
          </w:rPr>
          <w:t xml:space="preserve">457</w:t>
        </w:r>
      </w:hyperlink>
      <w:r>
        <w:rPr>
          <w:vertAlign w:val="superscript"/>
        </w:rPr>
        <w:t xml:space="preserve">]</w:t>
      </w:r>
      <w:r>
        <w:t xml:space="preserve">。</w:t>
      </w:r>
    </w:p>
    <w:p>
      <w:pPr>
        <w:pStyle w:val="BodyText"/>
      </w:pPr>
      <w:r>
        <w:t xml:space="preserve">在共同原因情境中，观察灯灭能够提供关于供电状态的信息，进而改变对风扇是否停止的预期；直接拔掉灯的插头，则未必改变风扇状态。学习者如果区分观察和干预，就需要考虑事件是怎样出现的。实验表明，在合适任务说明下，人们能够依据这种区别作出不同预测</w:t>
      </w:r>
      <w:r>
        <w:rPr>
          <w:vertAlign w:val="superscript"/>
        </w:rPr>
        <w:t xml:space="preserve">[</w:t>
      </w:r>
      <w:hyperlink w:anchor="ref-456">
        <w:r>
          <w:rPr>
            <w:rStyle w:val="Hyperlink"/>
            <w:vertAlign w:val="superscript"/>
          </w:rPr>
          <w:t xml:space="preserve">456</w:t>
        </w:r>
      </w:hyperlink>
      <w:r>
        <w:rPr>
          <w:vertAlign w:val="superscript"/>
        </w:rPr>
        <w:t xml:space="preserve">]</w:t>
      </w:r>
      <w:r>
        <w:t xml:space="preserve">。这是一种条件化能力，日常复杂情境中的表现还会受到知识、记忆和误解影响。</w:t>
      </w:r>
    </w:p>
    <w:p>
      <w:pPr>
        <w:pStyle w:val="BodyText"/>
      </w:pPr>
      <w:r>
        <w:t xml:space="preserve">因果图中的箭头表达假定影响方向，不能仅凭绘图确认关系成立。对于心理过程，很多变量还存在随时间变化的反馈。一次成功增加信心，信心又影响后续投入；把两者只画成同时测量的单向箭头，会省略动态。教学中可以先明确时间顺序，再区分本轮结果和下一轮行动，使反馈结构更容易理解。</w:t>
      </w:r>
    </w:p>
    <w:p>
      <w:pPr>
        <w:pStyle w:val="BodyText"/>
      </w:pPr>
      <w:r>
        <w:t xml:space="preserve">学习者也可能持有不完整模型。他知道按钮与声音有关，却不知道是否还需要电池；知道练习与成绩有关，却没有考虑反馈质量。新证据的作用可以是调整关系强度，也可以是加入遗漏因素或改变结构。所有变化都称为“学习更多关联”，容易忽略这些不同的知识更新。</w:t>
      </w:r>
    </w:p>
    <w:bookmarkEnd w:id="841"/>
    <w:bookmarkStart w:id="842" w:name="sec-43-3"/>
    <w:p>
      <w:pPr>
        <w:pStyle w:val="Heading3"/>
      </w:pPr>
      <w:r>
        <w:t xml:space="preserve">43.3　共变与因果效力</w:t>
      </w:r>
    </w:p>
    <w:p>
      <w:pPr>
        <w:pStyle w:val="FirstParagraph"/>
      </w:pPr>
      <w:r>
        <w:t xml:space="preserve">如果一个结果在候选原因存在时更常发生，这种差异提供了相关证据。人们还会考虑结果在原因缺席时的发生机会。因果效力理论尝试在特定生成和独立性假设下，把这类共变与原因产生结果的能力联系起来</w:t>
      </w:r>
      <w:r>
        <w:rPr>
          <w:vertAlign w:val="superscript"/>
        </w:rPr>
        <w:t xml:space="preserve">[</w:t>
      </w:r>
      <w:hyperlink w:anchor="ref-458">
        <w:r>
          <w:rPr>
            <w:rStyle w:val="Hyperlink"/>
            <w:vertAlign w:val="superscript"/>
          </w:rPr>
          <w:t xml:space="preserve">458</w:t>
        </w:r>
      </w:hyperlink>
      <w:r>
        <w:rPr>
          <w:vertAlign w:val="superscript"/>
        </w:rPr>
        <w:t xml:space="preserve">]</w:t>
      </w:r>
      <w:r>
        <w:t xml:space="preserve">。模型的重要价值是把隐藏假设明确化：结果可能有背景原因，候选原因与背景过程的组合规则也会影响推断。</w:t>
      </w:r>
    </w:p>
    <w:p>
      <w:pPr>
        <w:pStyle w:val="BodyText"/>
      </w:pPr>
      <w:r>
        <w:t xml:space="preserve">用一个假设玩具说明。没有放置红块时，机器有时会因内部定时器响起；放置红块后，响起更常见。若只看红块出现后的响声次数，容易把定时器贡献全部算给红块。相反，若机器几乎一直响，候选原因增加响声的空间很小，观察差异也可能受到上限限制。判断“有多大因果作用”需要了解背景过程和测量范围。</w:t>
      </w:r>
    </w:p>
    <w:p>
      <w:pPr>
        <w:pStyle w:val="BodyText"/>
      </w:pPr>
      <w:r>
        <w:t xml:space="preserve">原因还可以是促进性的或抑制性的。按下一个按钮启动机器，按下另一个按钮阻止启动；抑制作用通常需要在机器本来可能启动的条件下观察。学生若只在没有其他启动因素时测试停止按钮，可能看不出它的作用。这个逻辑可以帮助理解为什么“没有观察到变化”需要结合测试条件解释。</w:t>
      </w:r>
    </w:p>
    <w:p>
      <w:pPr>
        <w:pStyle w:val="BodyText"/>
      </w:pPr>
      <w:r>
        <w:t xml:space="preserve">因果学习中的数值模型有助于整理信息，但实际人类判断也受到顺序、显著性和已知机制影响。不能因为某组平均数据接近一个公式，就断定每个人在脑中逐步执行相同运算。更有解释力的证据需要同时检查模型对新任务、条件变化和个体错误的预测。</w:t>
      </w:r>
    </w:p>
    <w:bookmarkEnd w:id="842"/>
    <w:bookmarkStart w:id="843" w:name="sec-43-4"/>
    <w:p>
      <w:pPr>
        <w:pStyle w:val="Heading3"/>
      </w:pPr>
      <w:r>
        <w:t xml:space="preserve">43.4　线索竞争与信息诊断性</w:t>
      </w:r>
    </w:p>
    <w:p>
      <w:pPr>
        <w:pStyle w:val="FirstParagraph"/>
      </w:pPr>
      <w:r>
        <w:t xml:space="preserve">多个候选原因一起出现时，学习者需要分配解释作用。若一盏灯已经可靠预测声音，后来灯与一个新图案一起出现后仍有声音，新图案可能获得较少解释权重。这样的现象可以与预测误差学习联系，也可以在因果模型中根据冗余证据分析。采用哪一种解释，需要明确任务的因果说明和学习历史</w:t>
      </w:r>
      <w:r>
        <w:rPr>
          <w:vertAlign w:val="superscript"/>
        </w:rPr>
        <w:t xml:space="preserve">[</w:t>
      </w:r>
      <w:hyperlink w:anchor="ref-457">
        <w:r>
          <w:rPr>
            <w:rStyle w:val="Hyperlink"/>
            <w:vertAlign w:val="superscript"/>
          </w:rPr>
          <w:t xml:space="preserve">457</w:t>
        </w:r>
      </w:hyperlink>
      <w:r>
        <w:rPr>
          <w:vertAlign w:val="superscript"/>
        </w:rPr>
        <w:t xml:space="preserve">]</w:t>
      </w:r>
      <w:r>
        <w:t xml:space="preserve">。</w:t>
      </w:r>
    </w:p>
    <w:p>
      <w:pPr>
        <w:pStyle w:val="BodyText"/>
      </w:pPr>
      <w:r>
        <w:t xml:space="preserve">一个简单问题可以区分事件次数与信息价值。甲材料和乙材料每次一起放入装置，装置都会亮。观察十次以后，仍难以区分甲独立有效、乙独立有效或两者组合才有效。把其中一种单独测试，可能比再观察十次组合更有区分力。学习需要选择能使候选解释产生不同预测的证据。</w:t>
      </w:r>
    </w:p>
    <w:p>
      <w:pPr>
        <w:pStyle w:val="BodyText"/>
      </w:pPr>
      <w:r>
        <w:t xml:space="preserve">教学可以让学生先列出两种以上可行解释，再预测某个测试在各解释下的结果。例如一个植物生长较慢，可能由于光照不足，也可能由于水分不足。只对其中一个植物同时增加光照和水分，后续长得更好仍无法清楚区分因素。具体设计应符合实际系统的可操作条件，认知目标是理解为何某个比较能回答某个问题。</w:t>
      </w:r>
    </w:p>
    <w:p>
      <w:pPr>
        <w:pStyle w:val="BodyText"/>
      </w:pPr>
      <w:r>
        <w:t xml:space="preserve">学生还需要认识交互作用。两种材料各自无效、组合有效，并不意味着数据矛盾；系统可能需要两种条件同时满足。相反，两个因素各自都足以产生结果，去掉其中一个后结果仍然出现，也不能据此断言被去掉因素在原事件中完全没有贡献。复杂因果系统要求超出单因素开关式直觉。</w:t>
      </w:r>
    </w:p>
    <w:bookmarkEnd w:id="843"/>
    <w:bookmarkStart w:id="844" w:name="sec-43-5"/>
    <w:p>
      <w:pPr>
        <w:pStyle w:val="Heading3"/>
      </w:pPr>
      <w:r>
        <w:t xml:space="preserve">43.5　因果错觉与选择性采样</w:t>
      </w:r>
    </w:p>
    <w:p>
      <w:pPr>
        <w:pStyle w:val="FirstParagraph"/>
      </w:pPr>
      <w:r>
        <w:t xml:space="preserve">当结果本身很常见，人们容易反复遇到“我做了某件事，随后出现结果”的组合。如果行动也很频繁，支持性巧合就更多。因果错觉研究表明，结果频率、行动频率和观察策略能够影响对关系的判断</w:t>
      </w:r>
      <w:r>
        <w:rPr>
          <w:vertAlign w:val="superscript"/>
        </w:rPr>
        <w:t xml:space="preserve">[</w:t>
      </w:r>
      <w:hyperlink w:anchor="ref-459">
        <w:r>
          <w:rPr>
            <w:rStyle w:val="Hyperlink"/>
            <w:vertAlign w:val="superscript"/>
          </w:rPr>
          <w:t xml:space="preserve">459</w:t>
        </w:r>
      </w:hyperlink>
      <w:r>
        <w:rPr>
          <w:vertAlign w:val="superscript"/>
        </w:rPr>
        <w:t xml:space="preserve">]</w:t>
      </w:r>
      <w:r>
        <w:t xml:space="preserve">。这种偏差不要求参与者故意歪曲证据，它可以在日常采样过程中形成。</w:t>
      </w:r>
    </w:p>
    <w:p>
      <w:pPr>
        <w:pStyle w:val="BodyText"/>
      </w:pPr>
      <w:r>
        <w:t xml:space="preserve">假设一个学生在绝大多数作业前都喝某种饮品，并把作业顺利归功于饮品。他几乎没有记录未喝时的表现，也没有区分任务难度。因为饮品出现得太频繁，经验很难提供有用比较。这个例子说明，拥有大量个人经历仍可能缺少诊断信息。教学应引导学生询问自己未观察到哪些条件。</w:t>
      </w:r>
    </w:p>
    <w:p>
      <w:pPr>
        <w:pStyle w:val="BodyText"/>
      </w:pPr>
      <w:r>
        <w:t xml:space="preserve">记忆还可能放大显著成功或失败。一次出乎意料的成功比多次普通表现更容易被讲述，随后又影响未来选择。形成的故事可能具有清晰起因和结果，但故事连贯性本身无法确定关系。对脑科学学习方法尤其需要检查：所谓效果是否来自规律练习、反馈、休息或同时发生的其他改变。</w:t>
      </w:r>
    </w:p>
    <w:p>
      <w:pPr>
        <w:pStyle w:val="BodyText"/>
      </w:pPr>
      <w:r>
        <w:t xml:space="preserve">减少偏差可以从改变信息结构入手。把有行动无结果、无行动有结果等情况同样记录下来，明确可能的替代解释，并区分“帮助达成目标”与“测试关系是否存在”的两种任务。一个人为了达成目标可能合理地总选看似最好的方法，却因此难以评价方法本身的独立效果。两种目标需要不同采样策略。</w:t>
      </w:r>
    </w:p>
    <w:bookmarkEnd w:id="844"/>
    <w:bookmarkStart w:id="845" w:name="sec-43-6"/>
    <w:p>
      <w:pPr>
        <w:pStyle w:val="Heading3"/>
      </w:pPr>
      <w:r>
        <w:t xml:space="preserve">43.6　儿童的因果学习与语言支持</w:t>
      </w:r>
    </w:p>
    <w:p>
      <w:pPr>
        <w:pStyle w:val="FirstParagraph"/>
      </w:pPr>
      <w:r>
        <w:t xml:space="preserve">发展研究显示，幼儿可以在适当的物体和装置任务中利用变化模式推断部分因果关系。因果图与概率学习理论为这些能力提供了计算解释</w:t>
      </w:r>
      <w:r>
        <w:rPr>
          <w:vertAlign w:val="superscript"/>
        </w:rPr>
        <w:t xml:space="preserve">[</w:t>
      </w:r>
      <w:hyperlink w:anchor="ref-457">
        <w:r>
          <w:rPr>
            <w:rStyle w:val="Hyperlink"/>
            <w:vertAlign w:val="superscript"/>
          </w:rPr>
          <w:t xml:space="preserve">457</w:t>
        </w:r>
      </w:hyperlink>
      <w:r>
        <w:rPr>
          <w:vertAlign w:val="superscript"/>
        </w:rPr>
        <w:t xml:space="preserve">]</w:t>
      </w:r>
      <w:r>
        <w:t xml:space="preserve">。儿童表现仍依赖任务可理解性、先备知识和表达方式，不能把某一年龄的成功推广为对所有复杂因果关系的掌握。</w:t>
      </w:r>
    </w:p>
    <w:p>
      <w:pPr>
        <w:pStyle w:val="BodyText"/>
      </w:pPr>
      <w:r>
        <w:t xml:space="preserve">语言能够帮助儿童注意关系、明确未知部分和组织检验。成人问“你觉得哪一块使它响起来”，与只说“再玩一次”可能引导不同探索；说明“我也不知道这个按钮有什么作用”，与宣布“我来教你这个玩具”，也可能改变儿童对证据完整性的理解。近期发展综述强调，语言互动、解释和概率结构需要联合研究</w:t>
      </w:r>
      <w:r>
        <w:rPr>
          <w:vertAlign w:val="superscript"/>
        </w:rPr>
        <w:t xml:space="preserve">[</w:t>
      </w:r>
      <w:hyperlink w:anchor="ref-460">
        <w:r>
          <w:rPr>
            <w:rStyle w:val="Hyperlink"/>
            <w:vertAlign w:val="superscript"/>
          </w:rPr>
          <w:t xml:space="preserve">460</w:t>
        </w:r>
      </w:hyperlink>
      <w:r>
        <w:rPr>
          <w:vertAlign w:val="superscript"/>
        </w:rPr>
        <w:t xml:space="preserve">]</w:t>
      </w:r>
      <w:r>
        <w:t xml:space="preserve">。</w:t>
      </w:r>
    </w:p>
    <w:p>
      <w:pPr>
        <w:pStyle w:val="BodyText"/>
      </w:pPr>
      <w:r>
        <w:t xml:space="preserve">玩具探索实验发现，儿童会依据教学语境调整对未展示功能的探索</w:t>
      </w:r>
      <w:r>
        <w:rPr>
          <w:vertAlign w:val="superscript"/>
        </w:rPr>
        <w:t xml:space="preserve">[</w:t>
      </w:r>
      <w:hyperlink w:anchor="ref-461">
        <w:r>
          <w:rPr>
            <w:rStyle w:val="Hyperlink"/>
            <w:vertAlign w:val="superscript"/>
          </w:rPr>
          <w:t xml:space="preserve">461</w:t>
        </w:r>
      </w:hyperlink>
      <w:r>
        <w:rPr>
          <w:vertAlign w:val="superscript"/>
        </w:rPr>
        <w:t xml:space="preserve">]</w:t>
      </w:r>
      <w:r>
        <w:t xml:space="preserve">。结果支持他们对信息提供者意图敏感，不能推导出直接教学普遍压制创造力。正式课程中的知识目标、时间跨度和支持方式与短期玩具任务不同。合理教学可以明确区分“下面展示一个功能”与“下面完整说明所有功能”，并为继续提问提供空间。</w:t>
      </w:r>
    </w:p>
    <w:p>
      <w:pPr>
        <w:pStyle w:val="BodyText"/>
      </w:pPr>
      <w:r>
        <w:t xml:space="preserve">探索的质量也不能只按动作数量评价。反复按同一个按钮可能说明兴趣，也可能说明儿童在确认稳定性；尝试多个操作可能增加覆盖，也可能缺少清楚目标。观察儿童是否能根据结果调整下一次操作，比单纯统计活动次数更接近因果学习机制。</w:t>
      </w:r>
    </w:p>
    <w:bookmarkEnd w:id="845"/>
    <w:bookmarkStart w:id="846" w:name="sec-43-7"/>
    <w:p>
      <w:pPr>
        <w:pStyle w:val="Heading3"/>
      </w:pPr>
      <w:r>
        <w:t xml:space="preserve">43.7　反事实与已经发生的事件</w:t>
      </w:r>
    </w:p>
    <w:p>
      <w:pPr>
        <w:pStyle w:val="FirstParagraph"/>
      </w:pPr>
      <w:r>
        <w:t xml:space="preserve">反事实推理要求构造一个与现实某处不同的情境，并推断后续变化。“如果没有按下开关，灯会亮吗”涉及移除一个因素；“如果另一条路畅通，行程会缩短吗”涉及改变条件。物理事件中的反事实模拟模型能够解释多种因果判断模式</w:t>
      </w:r>
      <w:r>
        <w:rPr>
          <w:vertAlign w:val="superscript"/>
        </w:rPr>
        <w:t xml:space="preserve">[</w:t>
      </w:r>
      <w:hyperlink w:anchor="ref-462">
        <w:r>
          <w:rPr>
            <w:rStyle w:val="Hyperlink"/>
            <w:vertAlign w:val="superscript"/>
          </w:rPr>
          <w:t xml:space="preserve">462</w:t>
        </w:r>
      </w:hyperlink>
      <w:r>
        <w:rPr>
          <w:vertAlign w:val="superscript"/>
        </w:rPr>
        <w:t xml:space="preserve">]</w:t>
      </w:r>
      <w:r>
        <w:t xml:space="preserve">。模型适用性依赖人们对系统动力学和相关替代情境的理解。</w:t>
      </w:r>
    </w:p>
    <w:p>
      <w:pPr>
        <w:pStyle w:val="BodyText"/>
      </w:pPr>
      <w:r>
        <w:t xml:space="preserve">反事实并非任意想象。改变某个因素以后，哪些条件保持不变、哪些条件随之改变，需要依据模型说明。例如假设司机提前出发，交通状况也可能不同；假设某个材料未加入，其他参与者可能采取补救行动。忽略这些连带变化，会产生过于简单的结论。</w:t>
      </w:r>
    </w:p>
    <w:p>
      <w:pPr>
        <w:pStyle w:val="BodyText"/>
      </w:pPr>
      <w:r>
        <w:t xml:space="preserve">过度决定和替代原因尤其有挑战。如果两个独立系统都能启动警报，现实中两者同时运行，移除其中一个仍会有警报。单一的“没有它结果还会不会出现”问题可能无法完整描述各系统贡献。需要说明比较的是必要性、充分性、实际路径还是某种责任标准。因果描述与道德、法律责任还涉及不同规范，不能直接从实验判断模型推出责任结论。</w:t>
      </w:r>
    </w:p>
    <w:p>
      <w:pPr>
        <w:pStyle w:val="BodyText"/>
      </w:pPr>
      <w:r>
        <w:t xml:space="preserve">在学习中，反事实可以帮助理解规则边界。读完一个实验后，让学生改变一个关键条件，预测结果是否仍然成立；解完一道题后，改变约束并检查原方法。这个练习迫使学习者明确哪些因素承担解释作用，也提供发现隐含假设的机会。</w:t>
      </w:r>
    </w:p>
    <w:bookmarkEnd w:id="846"/>
    <w:bookmarkStart w:id="847" w:name="sec-43-8"/>
    <w:p>
      <w:pPr>
        <w:pStyle w:val="Heading3"/>
      </w:pPr>
      <w:r>
        <w:t xml:space="preserve">43.8　类比的关系映射</w:t>
      </w:r>
    </w:p>
    <w:p>
      <w:pPr>
        <w:pStyle w:val="FirstParagraph"/>
      </w:pPr>
      <w:r>
        <w:t xml:space="preserve">类比把一个较熟悉领域的关系用于理解另一个领域。结构映射理论强调对应关系及其系统性，例如源领域中的两个对象承担怎样的角色，目标领域是否存在相应角色</w:t>
      </w:r>
      <w:r>
        <w:rPr>
          <w:vertAlign w:val="superscript"/>
        </w:rPr>
        <w:t xml:space="preserve">[</w:t>
      </w:r>
      <w:hyperlink w:anchor="ref-463">
        <w:r>
          <w:rPr>
            <w:rStyle w:val="Hyperlink"/>
            <w:vertAlign w:val="superscript"/>
          </w:rPr>
          <w:t xml:space="preserve">463</w:t>
        </w:r>
      </w:hyperlink>
      <w:r>
        <w:rPr>
          <w:vertAlign w:val="superscript"/>
        </w:rPr>
        <w:t xml:space="preserve">]</w:t>
      </w:r>
      <w:r>
        <w:t xml:space="preserve">。类比可以跨越外观差异，但需要保留与推断有关的结构。</w:t>
      </w:r>
    </w:p>
    <w:p>
      <w:pPr>
        <w:pStyle w:val="BodyText"/>
      </w:pPr>
      <w:r>
        <w:t xml:space="preserve">用水流解释电路时，压力差、流量和阻力可以帮助初步理解部分关系。水的可见流动与电荷运动存在差异，实际电路还涉及不能由简单水管图完整表达的过程。教师应明确映射表，并指出类比在哪些问题上失效。类比提供理解路径，其科学正确性仍由目标领域知识约束。</w:t>
      </w:r>
    </w:p>
    <w:p>
      <w:pPr>
        <w:pStyle w:val="BodyText"/>
      </w:pPr>
      <w:r>
        <w:t xml:space="preserve">一个常见错误是把源领域的所有属性搬过去。把记忆称为图书馆，可以帮助理解组织和检索；如果据此推断每段经历都以固定完整文本永久保存，就超出类比支持范围。对脑科学教材，所有比喻都应说明用于解释哪一关系，避免比喻逐渐替代机制。</w:t>
      </w:r>
    </w:p>
    <w:p>
      <w:pPr>
        <w:pStyle w:val="BodyText"/>
      </w:pPr>
      <w:r>
        <w:t xml:space="preserve">另一个错误是只找到对象相似性。两个故事都出现桥梁，并不保证解决方法相同；两个问题使用完全不同物体，也可能共享资源分配或约束满足结构。类比质量需要根据关系对应和可检验推断评价。</w:t>
      </w:r>
    </w:p>
    <w:bookmarkEnd w:id="847"/>
    <w:bookmarkStart w:id="848" w:name="sec-43-9"/>
    <w:p>
      <w:pPr>
        <w:pStyle w:val="Heading3"/>
      </w:pPr>
      <w:r>
        <w:t xml:space="preserve">43.9　提取、映射与应用的不同瓶颈</w:t>
      </w:r>
    </w:p>
    <w:p>
      <w:pPr>
        <w:pStyle w:val="FirstParagraph"/>
      </w:pPr>
      <w:r>
        <w:t xml:space="preserve">成功迁移至少要求学习者拥有相关知识，在新情境中提取它，建立对应，调整方法，并检验结果。某个环节失败，整体表现就可能失败。经典类比实验显示，提示使用相关旧故事能够显著改变某些迁移任务的表现</w:t>
      </w:r>
      <w:r>
        <w:rPr>
          <w:vertAlign w:val="superscript"/>
        </w:rPr>
        <w:t xml:space="preserve">[</w:t>
      </w:r>
      <w:hyperlink w:anchor="ref-464">
        <w:r>
          <w:rPr>
            <w:rStyle w:val="Hyperlink"/>
            <w:vertAlign w:val="superscript"/>
          </w:rPr>
          <w:t xml:space="preserve">464</w:t>
        </w:r>
      </w:hyperlink>
      <w:r>
        <w:rPr>
          <w:vertAlign w:val="superscript"/>
        </w:rPr>
        <w:t xml:space="preserve">]</w:t>
      </w:r>
      <w:r>
        <w:t xml:space="preserve">。这说明“已学过”与“能自发调用”之间存在重要距离。</w:t>
      </w:r>
    </w:p>
    <w:p>
      <w:pPr>
        <w:pStyle w:val="BodyText"/>
      </w:pPr>
      <w:r>
        <w:t xml:space="preserve">假设学生学过比例缩放，面对地图距离题却没有想到比例。提供“考虑图上距离与实际距离的比”后，他能正确解答。结果提示提取或问题识别可能是瓶颈。另一名学生获得同样提示仍无法计算，可能需要补足比例概念或程序。对两人采用相同训练，未必针对各自困难。</w:t>
      </w:r>
    </w:p>
    <w:p>
      <w:pPr>
        <w:pStyle w:val="BodyText"/>
      </w:pPr>
      <w:r>
        <w:t xml:space="preserve">映射也可能出错。某学生把地图比例题的解法用于行程题时，把图上距离对应到速度，把实际距离对应到时间，写出的比例式在形式上相似，却缺少物理意义。让他标明每个量的单位和角色，可以暴露错误对应。应用阶段还需调整参数、边界和例外。迁移具有多个可观察中间步骤，教学反馈应尽量定位到这些步骤。</w:t>
      </w:r>
    </w:p>
    <w:p>
      <w:pPr>
        <w:pStyle w:val="BodyText"/>
      </w:pPr>
      <w:r>
        <w:t xml:space="preserve">儿童类比发展受到关系知识、关系复杂度和干扰控制等因素共同影响</w:t>
      </w:r>
      <w:r>
        <w:rPr>
          <w:vertAlign w:val="superscript"/>
        </w:rPr>
        <w:t xml:space="preserve">[</w:t>
      </w:r>
      <w:hyperlink w:anchor="ref-465">
        <w:r>
          <w:rPr>
            <w:rStyle w:val="Hyperlink"/>
            <w:vertAlign w:val="superscript"/>
          </w:rPr>
          <w:t xml:space="preserve">465</w:t>
        </w:r>
      </w:hyperlink>
      <w:r>
        <w:rPr>
          <w:vertAlign w:val="superscript"/>
        </w:rPr>
        <w:t xml:space="preserve">]</w:t>
      </w:r>
      <w:r>
        <w:t xml:space="preserve">。降低无关视觉干扰或明确关系词，有时能够帮助儿童展示已有能力；这种帮助不能直接视为能力已完全独立。随后仍需检查在较少提示和新材料中的表现。</w:t>
      </w:r>
    </w:p>
    <w:bookmarkEnd w:id="848"/>
    <w:bookmarkStart w:id="849" w:name="sec-43-10"/>
    <w:p>
      <w:pPr>
        <w:pStyle w:val="Heading3"/>
      </w:pPr>
      <w:r>
        <w:t xml:space="preserve">43.10　比较如何促进抽象</w:t>
      </w:r>
    </w:p>
    <w:p>
      <w:pPr>
        <w:pStyle w:val="FirstParagraph"/>
      </w:pPr>
      <w:r>
        <w:t xml:space="preserve">把两个具有共同结构的案例并列，可以让学习者更容易看见哪些细节可以变化、哪些关系保持。图式归纳研究与类比编码实验支持这种路径，但效果依赖比较内容和支持</w:t>
      </w:r>
      <w:r>
        <w:rPr>
          <w:vertAlign w:val="superscript"/>
        </w:rPr>
        <w:t xml:space="preserve">[</w:t>
      </w:r>
      <w:hyperlink w:anchor="ref-466">
        <w:r>
          <w:rPr>
            <w:rStyle w:val="Hyperlink"/>
            <w:vertAlign w:val="superscript"/>
          </w:rPr>
          <w:t xml:space="preserve">466</w:t>
        </w:r>
      </w:hyperlink>
      <w:r>
        <w:rPr>
          <w:vertAlign w:val="superscript"/>
        </w:rPr>
        <w:t xml:space="preserve">,</w:t>
      </w:r>
      <w:hyperlink w:anchor="ref-467">
        <w:r>
          <w:rPr>
            <w:rStyle w:val="Hyperlink"/>
            <w:vertAlign w:val="superscript"/>
          </w:rPr>
          <w:t xml:space="preserve">467</w:t>
        </w:r>
      </w:hyperlink>
      <w:r>
        <w:rPr>
          <w:vertAlign w:val="superscript"/>
        </w:rPr>
        <w:t xml:space="preserve">]</w:t>
      </w:r>
      <w:r>
        <w:t xml:space="preserve">。教师可以要求学生写出对象对应、关系对应和共同原则，再解释差异是否影响解法。</w:t>
      </w:r>
    </w:p>
    <w:p>
      <w:pPr>
        <w:pStyle w:val="BodyText"/>
      </w:pPr>
      <w:r>
        <w:t xml:space="preserve">原创例子如下。第一题是把一项工作分给不同速度的机器，第二题是把运输任务分给不同载重的车辆。表面都涉及“分配”，但有效关系未必相同：工作速度、载重、并行时间和路线约束需要分别建模。如果教师只是让学生寻找相同词语，可能形成误导性抽象。比较应围绕明确的问题结构。</w:t>
      </w:r>
    </w:p>
    <w:p>
      <w:pPr>
        <w:pStyle w:val="BodyText"/>
      </w:pPr>
      <w:r>
        <w:t xml:space="preserve">更适合的配对可以保持同一数学关系，改变故事外观。例如水箱注水量与时间、匀速行驶距离与时间，在条件成立时都呈正比例。学生比较两者后可以抽取“单位时间增加量保持恒定”的关系。再加入存在初始水量或途中停车的例子，检查原关系何时改变。抽象与边界教学可以在同一系列中展开。</w:t>
      </w:r>
    </w:p>
    <w:p>
      <w:pPr>
        <w:pStyle w:val="BodyText"/>
      </w:pPr>
      <w:r>
        <w:t xml:space="preserve">多个例子也需要控制难度。若每个例子都含大量陌生信息，学生可能无法建立对应；若例子只替换名称和数字，比较又可能无法帮助识别真正结构。教学可以先使用清晰、相近的例子建立对应，再逐步增加表面差异和干扰因素。</w:t>
      </w:r>
    </w:p>
    <w:bookmarkEnd w:id="849"/>
    <w:bookmarkStart w:id="850" w:name="sec-43-11"/>
    <w:p>
      <w:pPr>
        <w:pStyle w:val="Heading3"/>
      </w:pPr>
      <w:r>
        <w:t xml:space="preserve">43.11　迁移距离的多个维度</w:t>
      </w:r>
    </w:p>
    <w:p>
      <w:pPr>
        <w:pStyle w:val="FirstParagraph"/>
      </w:pPr>
      <w:r>
        <w:t xml:space="preserve">迁移可以跨内容、情境、时间、社会安排和任务功能。一个学习方法在同一教室里帮助完成新题，与在数月后独立用于真实工作，具有不同要求。迁移分类研究强调，应明确究竟改变了哪些维度</w:t>
      </w:r>
      <w:r>
        <w:rPr>
          <w:vertAlign w:val="superscript"/>
        </w:rPr>
        <w:t xml:space="preserve">[</w:t>
      </w:r>
      <w:hyperlink w:anchor="ref-468">
        <w:r>
          <w:rPr>
            <w:rStyle w:val="Hyperlink"/>
            <w:vertAlign w:val="superscript"/>
          </w:rPr>
          <w:t xml:space="preserve">468</w:t>
        </w:r>
      </w:hyperlink>
      <w:r>
        <w:rPr>
          <w:vertAlign w:val="superscript"/>
        </w:rPr>
        <w:t xml:space="preserve">]</w:t>
      </w:r>
      <w:r>
        <w:t xml:space="preserve">。简单称为“近迁移”或“远迁移”，有时不足以让读者判断实际证据。</w:t>
      </w:r>
    </w:p>
    <w:p>
      <w:pPr>
        <w:pStyle w:val="BodyText"/>
      </w:pPr>
      <w:r>
        <w:t xml:space="preserve">例如一个学生在课堂学会检查论证中的遗漏条件，随后在另一篇同主题文章中做到，这涉及材料变化；在家庭购买情境中主动使用，则还涉及目标识别、动机和社会约束变化；几年后依然使用，又加入保持要求。每一种拓展都需要相应观察。广泛迁移是一组具体问题，无法由一个新测验名称自动建立。</w:t>
      </w:r>
    </w:p>
    <w:p>
      <w:pPr>
        <w:pStyle w:val="BodyText"/>
      </w:pPr>
      <w:r>
        <w:t xml:space="preserve">迁移也可以是负性的。熟悉规则可能在新环境中被过度使用，例如把自然数的大小直觉直接用于分母比较，或把某种编程语言的语法套到另一种语言。负迁移通常提示旧知识确实被提取，却缺少条件区分。教学可以通过相近反例和规则比较，把容易混淆的边界显式化。</w:t>
      </w:r>
    </w:p>
    <w:p>
      <w:pPr>
        <w:pStyle w:val="BodyText"/>
      </w:pPr>
      <w:r>
        <w:t xml:space="preserve">一个实用的课程规划方法，是先列出希望学生将知识用于哪些场景，再为每个场景分析新增要求。若目标包括口头解释、书面计算和现场决策，就需要安排相应练习和评估。训练只覆盖其中一种输出时，其他输出能否自然出现应作为开放问题。</w:t>
      </w:r>
    </w:p>
    <w:bookmarkEnd w:id="850"/>
    <w:bookmarkStart w:id="851" w:name="sec-43-12"/>
    <w:p>
      <w:pPr>
        <w:pStyle w:val="Heading3"/>
      </w:pPr>
      <w:r>
        <w:t xml:space="preserve">43.12　为后续学习做好准备</w:t>
      </w:r>
    </w:p>
    <w:p>
      <w:pPr>
        <w:pStyle w:val="FirstParagraph"/>
      </w:pPr>
      <w:r>
        <w:t xml:space="preserve">迁移可以表现为直接解决新问题，也可以表现为更有效地利用新资料学习。后者包括提出更好的问题、识别关键变量、理解解释和整合反馈。有关迁移的教育理论将这种能力称为对后续学习的准备</w:t>
      </w:r>
      <w:r>
        <w:rPr>
          <w:vertAlign w:val="superscript"/>
        </w:rPr>
        <w:t xml:space="preserve">[</w:t>
      </w:r>
      <w:hyperlink w:anchor="ref-469">
        <w:r>
          <w:rPr>
            <w:rStyle w:val="Hyperlink"/>
            <w:vertAlign w:val="superscript"/>
          </w:rPr>
          <w:t xml:space="preserve">469</w:t>
        </w:r>
      </w:hyperlink>
      <w:r>
        <w:rPr>
          <w:vertAlign w:val="superscript"/>
        </w:rPr>
        <w:t xml:space="preserve">]</w:t>
      </w:r>
      <w:r>
        <w:t xml:space="preserve">。两类结果应分别记录，避免把需要大量新教学后的成功与即时独立迁移混为一谈。</w:t>
      </w:r>
    </w:p>
    <w:p>
      <w:pPr>
        <w:pStyle w:val="BodyText"/>
      </w:pPr>
      <w:r>
        <w:t xml:space="preserve">一个假设课程让两组学生学习陌生系统。第一组熟练完成固定题，第二组比较多种模型但即时准确率略低。随后给两组同样的新解释资料，第二组可能更容易理解新结构。这种模式若得到可靠测量，可以说明前期活动改变了后续学习效率。它不能证明即时表现不重要，也不能忽略学习所消耗的总时间。</w:t>
      </w:r>
    </w:p>
    <w:p>
      <w:pPr>
        <w:pStyle w:val="BodyText"/>
      </w:pPr>
      <w:r>
        <w:t xml:space="preserve">先尝试问题、再进行明确教学的设计，在一些研究中支持概念和迁移学习。元分析强调完整设计与后续教学整合的重要性</w:t>
      </w:r>
      <w:r>
        <w:rPr>
          <w:vertAlign w:val="superscript"/>
        </w:rPr>
        <w:t xml:space="preserve">[</w:t>
      </w:r>
      <w:hyperlink w:anchor="ref-470">
        <w:r>
          <w:rPr>
            <w:rStyle w:val="Hyperlink"/>
            <w:vertAlign w:val="superscript"/>
          </w:rPr>
          <w:t xml:space="preserve">470</w:t>
        </w:r>
      </w:hyperlink>
      <w:r>
        <w:rPr>
          <w:vertAlign w:val="superscript"/>
        </w:rPr>
        <w:t xml:space="preserve">]</w:t>
      </w:r>
      <w:r>
        <w:t xml:space="preserve">。学生的初次尝试可以暴露已有知识和待解决问题，随后解释把这些尝试组织成较准确的结构。若缺少教学整合，持续失败本身无法保证有益学习。</w:t>
      </w:r>
    </w:p>
    <w:p>
      <w:pPr>
        <w:pStyle w:val="BodyText"/>
      </w:pPr>
      <w:r>
        <w:t xml:space="preserve">合理的任务难度应使学生能够提出有内容的尝试，同时遇到值得解释的限制。完全无法理解的问题可能只增加无效搜索；过于简单的问题又难以产生新的学习需要。教师需要观察学生正在比较哪些关系，并据此提供适当提示。</w:t>
      </w:r>
    </w:p>
    <w:bookmarkEnd w:id="851"/>
    <w:bookmarkStart w:id="852" w:name="sec-43-13"/>
    <w:p>
      <w:pPr>
        <w:pStyle w:val="Heading3"/>
      </w:pPr>
      <w:r>
        <w:t xml:space="preserve">43.13　推理教学中的表示与提问</w:t>
      </w:r>
    </w:p>
    <w:p>
      <w:pPr>
        <w:pStyle w:val="FirstParagraph"/>
      </w:pPr>
      <w:r>
        <w:t xml:space="preserve">因果图、时间线、关系表和类比映射表各自突出不同信息。时间线说明先后，因果图表达假设影响，关系表有助于比较角色，公式则可以明确数量约束。学生需要理解这些表示承担的功能。把时间先后箭头误当成已确认因果箭头，是一种重要的表示混淆。</w:t>
      </w:r>
    </w:p>
    <w:p>
      <w:pPr>
        <w:pStyle w:val="BodyText"/>
      </w:pPr>
      <w:r>
        <w:t xml:space="preserve">提问也可以分层。首先问“你认为发生了什么”，检查事件理解；再问“哪些证据支持你的解释”，检查依据；随后问“还有什么解释也能符合这些观察”，打开假设空间；最后问“什么新观察最能区分它们”，转向诊断性检验。这样的序列具有明确认知目的，具体效果仍应根据学生的推理质量评价。</w:t>
      </w:r>
    </w:p>
    <w:p>
      <w:pPr>
        <w:pStyle w:val="BodyText"/>
      </w:pPr>
      <w:r>
        <w:t xml:space="preserve">在类比任务中，可以使用对应、遗漏和失效三个问题。对应问题要求说明源领域与目标领域的角色；遗漏问题询问目标领域有哪些重要部分尚未被解释；失效问题要求找出一个类比会产生错误预测的情形。三者共同帮助学习者既使用类比，也保持边界意识。</w:t>
      </w:r>
    </w:p>
    <w:p>
      <w:pPr>
        <w:pStyle w:val="BodyText"/>
      </w:pPr>
      <w:r>
        <w:t xml:space="preserve">书面解释不应只按长度评分。一个简短答案若明确指出关键因果条件，可能比大量术语堆积更有价值。评价可以看关系是否正确、证据是否匹配、条件是否完整以及能否处理反例。推理训练的成果应体现在新问题中的使用。</w:t>
      </w:r>
    </w:p>
    <w:bookmarkEnd w:id="852"/>
    <w:bookmarkStart w:id="853" w:name="sec-43-14"/>
    <w:p>
      <w:pPr>
        <w:pStyle w:val="Heading3"/>
      </w:pPr>
      <w:r>
        <w:t xml:space="preserve">43.14　结论边界与置信度</w:t>
      </w:r>
    </w:p>
    <w:p>
      <w:pPr>
        <w:pStyle w:val="FirstParagraph"/>
      </w:pPr>
      <w:r>
        <w:t xml:space="preserve">关于已有知识能否被提取、关系对应是否清楚和任务条件是否变化会影响迁移，有较稳固的实验与理论支持</w:t>
      </w:r>
      <w:r>
        <w:rPr>
          <w:vertAlign w:val="superscript"/>
        </w:rPr>
        <w:t xml:space="preserve">[</w:t>
      </w:r>
      <w:hyperlink w:anchor="ref-463">
        <w:r>
          <w:rPr>
            <w:rStyle w:val="Hyperlink"/>
            <w:vertAlign w:val="superscript"/>
          </w:rPr>
          <w:t xml:space="preserve">463</w:t>
        </w:r>
      </w:hyperlink>
      <w:r>
        <w:rPr>
          <w:vertAlign w:val="superscript"/>
        </w:rPr>
        <w:t xml:space="preserve">,</w:t>
      </w:r>
      <w:hyperlink w:anchor="ref-464">
        <w:r>
          <w:rPr>
            <w:rStyle w:val="Hyperlink"/>
            <w:vertAlign w:val="superscript"/>
          </w:rPr>
          <w:t xml:space="preserve">464</w:t>
        </w:r>
      </w:hyperlink>
      <w:r>
        <w:rPr>
          <w:vertAlign w:val="superscript"/>
        </w:rPr>
        <w:t xml:space="preserve">,</w:t>
      </w:r>
      <w:hyperlink w:anchor="ref-468">
        <w:r>
          <w:rPr>
            <w:rStyle w:val="Hyperlink"/>
            <w:vertAlign w:val="superscript"/>
          </w:rPr>
          <w:t xml:space="preserve">468</w:t>
        </w:r>
      </w:hyperlink>
      <w:r>
        <w:rPr>
          <w:vertAlign w:val="superscript"/>
        </w:rPr>
        <w:t xml:space="preserve">]</w:t>
      </w:r>
      <w:r>
        <w:t xml:space="preserve">。案例比较和适当教学支持在特定领域能够改善部分迁移表现，平均效果的大小和持续时间需要依具体设计判断</w:t>
      </w:r>
      <w:r>
        <w:rPr>
          <w:vertAlign w:val="superscript"/>
        </w:rPr>
        <w:t xml:space="preserve">[</w:t>
      </w:r>
      <w:hyperlink w:anchor="ref-467">
        <w:r>
          <w:rPr>
            <w:rStyle w:val="Hyperlink"/>
            <w:vertAlign w:val="superscript"/>
          </w:rPr>
          <w:t xml:space="preserve">467</w:t>
        </w:r>
      </w:hyperlink>
      <w:r>
        <w:rPr>
          <w:vertAlign w:val="superscript"/>
        </w:rPr>
        <w:t xml:space="preserve">,</w:t>
      </w:r>
      <w:hyperlink w:anchor="ref-470">
        <w:r>
          <w:rPr>
            <w:rStyle w:val="Hyperlink"/>
            <w:vertAlign w:val="superscript"/>
          </w:rPr>
          <w:t xml:space="preserve">470</w:t>
        </w:r>
      </w:hyperlink>
      <w:r>
        <w:rPr>
          <w:vertAlign w:val="superscript"/>
        </w:rPr>
        <w:t xml:space="preserve">]</w:t>
      </w:r>
      <w:r>
        <w:t xml:space="preserve">。因果图、概率学习和反事实模拟提供了有解释力的机制方案，各自包含结构与过程假设</w:t>
      </w:r>
      <w:r>
        <w:rPr>
          <w:vertAlign w:val="superscript"/>
        </w:rPr>
        <w:t xml:space="preserve">[</w:t>
      </w:r>
      <w:hyperlink w:anchor="ref-457">
        <w:r>
          <w:rPr>
            <w:rStyle w:val="Hyperlink"/>
            <w:vertAlign w:val="superscript"/>
          </w:rPr>
          <w:t xml:space="preserve">457</w:t>
        </w:r>
      </w:hyperlink>
      <w:r>
        <w:rPr>
          <w:vertAlign w:val="superscript"/>
        </w:rPr>
        <w:t xml:space="preserve">,</w:t>
      </w:r>
      <w:hyperlink w:anchor="ref-462">
        <w:r>
          <w:rPr>
            <w:rStyle w:val="Hyperlink"/>
            <w:vertAlign w:val="superscript"/>
          </w:rPr>
          <w:t xml:space="preserve">462</w:t>
        </w:r>
      </w:hyperlink>
      <w:r>
        <w:rPr>
          <w:vertAlign w:val="superscript"/>
        </w:rPr>
        <w:t xml:space="preserve">]</w:t>
      </w:r>
      <w:r>
        <w:t xml:space="preserve">。对所有年龄、学科和现实决策都有效的通用推理训练，仍需要独立而广泛的验证。</w:t>
      </w:r>
    </w:p>
    <w:bookmarkEnd w:id="853"/>
    <w:bookmarkStart w:id="854" w:name="sec-43-15"/>
    <w:p>
      <w:pPr>
        <w:pStyle w:val="Heading3"/>
      </w:pPr>
      <w:r>
        <w:t xml:space="preserve">43.15　综合练习</w:t>
      </w:r>
    </w:p>
    <w:p>
      <w:pPr>
        <w:pStyle w:val="FirstParagraph"/>
      </w:pPr>
      <w:r>
        <w:t xml:space="preserve">练习一。两个按钮总被同时按下，机器总会响。参考分析：现有证据无法清楚区分单独作用与组合要求，应选择能够使候选解释产生不同预测的测试。</w:t>
      </w:r>
    </w:p>
    <w:p>
      <w:pPr>
        <w:pStyle w:val="BodyText"/>
      </w:pPr>
      <w:r>
        <w:t xml:space="preserve">练习二。学生在提醒后能够把旧公式用于新题，自发作答时失败。参考分析：相关知识可能已有一定掌握，提取和识别条件仍需训练。评估应同时记录无提示与有提示表现。</w:t>
      </w:r>
    </w:p>
    <w:p>
      <w:pPr>
        <w:pStyle w:val="BodyText"/>
      </w:pPr>
      <w:r>
        <w:t xml:space="preserve">练习三。教材用图书馆比喻记忆，学生认为所有经历都完整永久保存。参考分析：比喻的组织和检索关系被过度推广，需要明确重建、遗忘和更新等无法由该比喻充分表达的机制。</w:t>
      </w:r>
    </w:p>
    <w:p>
      <w:pPr>
        <w:pStyle w:val="BodyText"/>
      </w:pPr>
      <w:r>
        <w:t xml:space="preserve">练习四。一项活动使学生以后更容易学会新方法，却未提高当场解题。参考分析：可能涉及后续学习准备，需分别报告即时表现、获得新支持后的增益和总学习成本。</w:t>
      </w:r>
    </w:p>
    <w:bookmarkEnd w:id="854"/>
    <w:bookmarkEnd w:id="855"/>
    <w:bookmarkStart w:id="884" w:name="ch-44"/>
    <w:p>
      <w:pPr>
        <w:pStyle w:val="Heading2"/>
      </w:pPr>
      <w:r>
        <w:t xml:space="preserve">第44章　空间导航、社会推断与认知地图</w:t>
      </w:r>
    </w:p>
    <w:bookmarkStart w:id="856" w:name="sec-44-1"/>
    <w:p>
      <w:pPr>
        <w:pStyle w:val="Heading3"/>
      </w:pPr>
      <w:r>
        <w:t xml:space="preserve">44.1　关系知识怎样支持行动</w:t>
      </w:r>
    </w:p>
    <w:p>
      <w:pPr>
        <w:pStyle w:val="FirstParagraph"/>
      </w:pPr>
      <w:r>
        <w:t xml:space="preserve">寻找目的地、判断别人知道什么和组织社会关系，都需要利用对象之间的关系。空间导航中的关系可以是方向、距离和连通性；社会推断中的关系可以是信息可见性、目标和互动历史。认知地图提供了一种组织关系知识的研究思路，人类导航研究已经把它与多个脑系统联系起来</w:t>
      </w:r>
      <w:r>
        <w:rPr>
          <w:vertAlign w:val="superscript"/>
        </w:rPr>
        <w:t xml:space="preserve">[</w:t>
      </w:r>
      <w:hyperlink w:anchor="ref-471">
        <w:r>
          <w:rPr>
            <w:rStyle w:val="Hyperlink"/>
            <w:vertAlign w:val="superscript"/>
          </w:rPr>
          <w:t xml:space="preserve">471</w:t>
        </w:r>
      </w:hyperlink>
      <w:r>
        <w:rPr>
          <w:vertAlign w:val="superscript"/>
        </w:rPr>
        <w:t xml:space="preserve">]</w:t>
      </w:r>
      <w:r>
        <w:t xml:space="preserve">。</w:t>
      </w:r>
    </w:p>
    <w:p>
      <w:pPr>
        <w:pStyle w:val="BodyText"/>
      </w:pPr>
      <w:r>
        <w:t xml:space="preserve">这些领域共享某些计算问题，例如选择参考框架、保留隐含状态和推断未直接经历的关系。共享问题并不自动保证相同神经算法。一个准确的理论需要说明哪些表示可以跨任务复用，哪些机制依赖特定领域。</w:t>
      </w:r>
    </w:p>
    <w:p>
      <w:pPr>
        <w:pStyle w:val="BodyText"/>
      </w:pPr>
      <w:r>
        <w:t xml:space="preserve">本章先讨论位置、方向和路径的表示，再分析他人信念、目标和交流中的共同知识，最后考察社会关系地图。贯穿其中的问题是：学习者究竟知道了什么关系，这些关系如何支持新的行动或预测。</w:t>
      </w:r>
    </w:p>
    <w:bookmarkEnd w:id="856"/>
    <w:bookmarkStart w:id="857" w:name="sec-44-2"/>
    <w:p>
      <w:pPr>
        <w:pStyle w:val="Heading3"/>
      </w:pPr>
      <w:r>
        <w:t xml:space="preserve">44.2　自我参照与环境参照</w:t>
      </w:r>
    </w:p>
    <w:p>
      <w:pPr>
        <w:pStyle w:val="FirstParagraph"/>
      </w:pPr>
      <w:r>
        <w:t xml:space="preserve">自我参照表示以观察者的身体或当前视角为中心，例如“物体在我的左前方”。环境参照表示以较稳定的外部框架组织关系，例如“图书馆在广场北侧”。两种表示可以同时参与导航，身体转动后需要在它们之间进行协调</w:t>
      </w:r>
      <w:r>
        <w:rPr>
          <w:vertAlign w:val="superscript"/>
        </w:rPr>
        <w:t xml:space="preserve">[</w:t>
      </w:r>
      <w:hyperlink w:anchor="ref-471">
        <w:r>
          <w:rPr>
            <w:rStyle w:val="Hyperlink"/>
            <w:vertAlign w:val="superscript"/>
          </w:rPr>
          <w:t xml:space="preserve">471</w:t>
        </w:r>
      </w:hyperlink>
      <w:r>
        <w:rPr>
          <w:vertAlign w:val="superscript"/>
        </w:rPr>
        <w:t xml:space="preserve">]</w:t>
      </w:r>
      <w:r>
        <w:t xml:space="preserve">。</w:t>
      </w:r>
    </w:p>
    <w:p>
      <w:pPr>
        <w:pStyle w:val="BodyText"/>
      </w:pPr>
      <w:r>
        <w:t xml:space="preserve">原创例子中，学生面对北方时把书包记为在左边，转身面对南方后，书包相对于身体的位置会改变。书包与教室门之间的关系则可能保持稳定。若任务要求伸手取包，当前身体坐标很重要；若要求给另一位同学描述位置，稳定外部关系可能更方便。</w:t>
      </w:r>
    </w:p>
    <w:p>
      <w:pPr>
        <w:pStyle w:val="BodyText"/>
      </w:pPr>
      <w:r>
        <w:t xml:space="preserve">参考框架还可能是局部的。一个人在不同走廊中分别使用“沿走廊前进”和“朝楼梯方向”，这些局部框架不必整合成完全一致的全楼坐标。近期空间认知综述强调，地点位置、方向、环境尺度和路径复杂度共同影响地图样知识的形成</w:t>
      </w:r>
      <w:r>
        <w:rPr>
          <w:vertAlign w:val="superscript"/>
        </w:rPr>
        <w:t xml:space="preserve">[</w:t>
      </w:r>
      <w:hyperlink w:anchor="ref-472">
        <w:r>
          <w:rPr>
            <w:rStyle w:val="Hyperlink"/>
            <w:vertAlign w:val="superscript"/>
          </w:rPr>
          <w:t xml:space="preserve">472</w:t>
        </w:r>
      </w:hyperlink>
      <w:r>
        <w:rPr>
          <w:vertAlign w:val="superscript"/>
        </w:rPr>
        <w:t xml:space="preserve">]</w:t>
      </w:r>
      <w:r>
        <w:t xml:space="preserve">。</w:t>
      </w:r>
    </w:p>
    <w:bookmarkEnd w:id="857"/>
    <w:bookmarkStart w:id="858" w:name="sec-44-3"/>
    <w:p>
      <w:pPr>
        <w:pStyle w:val="Heading3"/>
      </w:pPr>
      <w:r>
        <w:t xml:space="preserve">44.3　地标、路线与总览知识</w:t>
      </w:r>
    </w:p>
    <w:p>
      <w:pPr>
        <w:pStyle w:val="FirstParagraph"/>
      </w:pPr>
      <w:r>
        <w:t xml:space="preserve">认识某个建筑，知道沿途转弯顺序，以及能够估计两个之间未曾直接走过的地点的方向，属于不同空间知识。地标提供可识别的参照，路线知识记录行动序列，总览知识表达地点之间更广泛的关系</w:t>
      </w:r>
      <w:r>
        <w:rPr>
          <w:vertAlign w:val="superscript"/>
        </w:rPr>
        <w:t xml:space="preserve">[</w:t>
      </w:r>
      <w:hyperlink w:anchor="ref-472">
        <w:r>
          <w:rPr>
            <w:rStyle w:val="Hyperlink"/>
            <w:vertAlign w:val="superscript"/>
          </w:rPr>
          <w:t xml:space="preserve">472</w:t>
        </w:r>
      </w:hyperlink>
      <w:r>
        <w:rPr>
          <w:vertAlign w:val="superscript"/>
        </w:rPr>
        <w:t xml:space="preserve">]</w:t>
      </w:r>
      <w:r>
        <w:t xml:space="preserve">。熟悉一条路线不保证能从任意新起点灵活导航。</w:t>
      </w:r>
    </w:p>
    <w:p>
      <w:pPr>
        <w:pStyle w:val="BodyText"/>
      </w:pPr>
      <w:r>
        <w:t xml:space="preserve">假设学生每天按照“出门左转，经过水池，再右转”到教室。若从另一栋楼出发，原行动串未必适用。若他知道教室、水池和两栋楼的相对位置，则可能重新组合路线。表现差异帮助区分记住序列与掌握关系结构。</w:t>
      </w:r>
    </w:p>
    <w:p>
      <w:pPr>
        <w:pStyle w:val="BodyText"/>
      </w:pPr>
      <w:r>
        <w:t xml:space="preserve">总览知识也未必具有精确度量。人可以知道两个地点大致在同一方向，却误估距离；可以知道哪条道路连通，却没有准确角度。评估空间学习时，应分别询问地标识别、路线执行、指向、距离估计和新路线选择。</w:t>
      </w:r>
    </w:p>
    <w:bookmarkEnd w:id="858"/>
    <w:bookmarkStart w:id="859" w:name="sec-44-4"/>
    <w:p>
      <w:pPr>
        <w:pStyle w:val="Heading3"/>
      </w:pPr>
      <w:r>
        <w:t xml:space="preserve">44.4　拓扑关系与度量关系</w:t>
      </w:r>
    </w:p>
    <w:p>
      <w:pPr>
        <w:pStyle w:val="FirstParagraph"/>
      </w:pPr>
      <w:r>
        <w:t xml:space="preserve">拓扑关系关注哪些地点相连、如何跨越边界和有哪些可达路径；度量关系进一步描述长度、角度和比例。地铁示意图可能很好地表达换乘关系，同时压缩或拉伸实际距离。读图者需要知道当前表示保留了哪些信息。</w:t>
      </w:r>
    </w:p>
    <w:p>
      <w:pPr>
        <w:pStyle w:val="BodyText"/>
      </w:pPr>
      <w:r>
        <w:t xml:space="preserve">原创例子是一座有中庭的建筑。两间房直线距离很短，但中间没有通道，步行必须绕行。把直线距离当成实际行走成本，会造成错误。反过来，知道房间连通顺序也不足以估计走完全程需要多久。</w:t>
      </w:r>
    </w:p>
    <w:p>
      <w:pPr>
        <w:pStyle w:val="BodyText"/>
      </w:pPr>
      <w:r>
        <w:t xml:space="preserve">这一区分对认知地图理论很重要。某项任务显示学习者能推断间接连接，可以支持关系结构已经建立；它未必证明脑内拥有比例准确的欧氏平面。有关复杂社会系统的近期综述也指出，关系网络常需要超出简单欧氏地图的表示</w:t>
      </w:r>
      <w:r>
        <w:rPr>
          <w:vertAlign w:val="superscript"/>
        </w:rPr>
        <w:t xml:space="preserve">[</w:t>
      </w:r>
      <w:hyperlink w:anchor="ref-473">
        <w:r>
          <w:rPr>
            <w:rStyle w:val="Hyperlink"/>
            <w:vertAlign w:val="superscript"/>
          </w:rPr>
          <w:t xml:space="preserve">473</w:t>
        </w:r>
      </w:hyperlink>
      <w:r>
        <w:rPr>
          <w:vertAlign w:val="superscript"/>
        </w:rPr>
        <w:t xml:space="preserve">]</w:t>
      </w:r>
      <w:r>
        <w:t xml:space="preserve">。</w:t>
      </w:r>
    </w:p>
    <w:bookmarkEnd w:id="859"/>
    <w:bookmarkStart w:id="860" w:name="sec-44-5"/>
    <w:p>
      <w:pPr>
        <w:pStyle w:val="Heading3"/>
      </w:pPr>
      <w:r>
        <w:t xml:space="preserve">44.5　路径整合与累计误差</w:t>
      </w:r>
    </w:p>
    <w:p>
      <w:pPr>
        <w:pStyle w:val="FirstParagraph"/>
      </w:pPr>
      <w:r>
        <w:t xml:space="preserve">路径整合利用自身移动的信息，持续估计相对于起点的位置。身体感觉、前庭信号、运动指令和视觉流可以为这种估计提供不同线索。哺乳动物研究表明，路径整合通常与地标等外部信息协作，单独累积时会受到误差影响</w:t>
      </w:r>
      <w:r>
        <w:rPr>
          <w:vertAlign w:val="superscript"/>
        </w:rPr>
        <w:t xml:space="preserve">[</w:t>
      </w:r>
      <w:hyperlink w:anchor="ref-474">
        <w:r>
          <w:rPr>
            <w:rStyle w:val="Hyperlink"/>
            <w:vertAlign w:val="superscript"/>
          </w:rPr>
          <w:t xml:space="preserve">474</w:t>
        </w:r>
      </w:hyperlink>
      <w:r>
        <w:rPr>
          <w:vertAlign w:val="superscript"/>
        </w:rPr>
        <w:t xml:space="preserve">]</w:t>
      </w:r>
      <w:r>
        <w:t xml:space="preserve">。</w:t>
      </w:r>
    </w:p>
    <w:p>
      <w:pPr>
        <w:pStyle w:val="BodyText"/>
      </w:pPr>
      <w:r>
        <w:t xml:space="preserve">以下是理想化的原创几何演示。一个人从起点向东走三米，再向北走四米，忽略障碍和测量误差，回到起点的直线距离为五米，沿原路返回的路程为七米。系统需要结合位移方向和长度，才能区分这两种回程要求。</w:t>
      </w:r>
    </w:p>
    <w:p>
      <w:pPr>
        <w:pStyle w:val="BodyText"/>
      </w:pPr>
      <w:r>
        <w:t xml:space="preserve">现实估计中的每一步都可能带有误差。方向的微小偏差在长距离后可以产生明显位置偏离。重新看到可靠地标时，系统有机会校正累积估计。地标本身若被误认或移动，也可能造成错误校正，因此外部线索的可靠性同样重要。</w:t>
      </w:r>
    </w:p>
    <w:bookmarkEnd w:id="860"/>
    <w:bookmarkStart w:id="861" w:name="sec-44-6"/>
    <w:p>
      <w:pPr>
        <w:pStyle w:val="Heading3"/>
      </w:pPr>
      <w:r>
        <w:t xml:space="preserve">44.6　位置细胞的空间相关性</w:t>
      </w:r>
    </w:p>
    <w:p>
      <w:pPr>
        <w:pStyle w:val="FirstParagraph"/>
      </w:pPr>
      <w:r>
        <w:t xml:space="preserve">自由移动大鼠的经典海马记录发现，部分神经元在动物位于环境某些区域时更活跃，为位置细胞研究奠定基础</w:t>
      </w:r>
      <w:r>
        <w:rPr>
          <w:vertAlign w:val="superscript"/>
        </w:rPr>
        <w:t xml:space="preserve">[</w:t>
      </w:r>
      <w:hyperlink w:anchor="ref-475">
        <w:r>
          <w:rPr>
            <w:rStyle w:val="Hyperlink"/>
            <w:vertAlign w:val="superscript"/>
          </w:rPr>
          <w:t xml:space="preserve">475</w:t>
        </w:r>
      </w:hyperlink>
      <w:r>
        <w:rPr>
          <w:vertAlign w:val="superscript"/>
        </w:rPr>
        <w:t xml:space="preserve">]</w:t>
      </w:r>
      <w:r>
        <w:t xml:space="preserve">。位置场描述的是放电与空间位置之间的统计关系。理解这种关系还需要考虑动物在该位置做什么、看向哪里和处于何种任务状态。</w:t>
      </w:r>
    </w:p>
    <w:p>
      <w:pPr>
        <w:pStyle w:val="BodyText"/>
      </w:pPr>
      <w:r>
        <w:t xml:space="preserve">一个细胞的放电峰值不宜被解释为永久独占某个现实地点。环境变化、任务变化和经验可能改变活动关系。群体表征允许多个细胞共同约束位置，也允许同一细胞在不同环境承担不同关系。</w:t>
      </w:r>
    </w:p>
    <w:p>
      <w:pPr>
        <w:pStyle w:val="BodyText"/>
      </w:pPr>
      <w:r>
        <w:t xml:space="preserve">原创分析练习可以设想，动物总在角落获得食物。若某细胞在角落活跃，需要区分位置、奖励、停留行为和接近目标等解释。改变食物位置、移动起点或改变行动要求，可以帮助分析哪些变量与响应更稳定地对应。</w:t>
      </w:r>
    </w:p>
    <w:bookmarkEnd w:id="861"/>
    <w:bookmarkStart w:id="862" w:name="sec-44-7"/>
    <w:p>
      <w:pPr>
        <w:pStyle w:val="Heading3"/>
      </w:pPr>
      <w:r>
        <w:t xml:space="preserve">44.7　网格、方向与边界信号</w:t>
      </w:r>
    </w:p>
    <w:p>
      <w:pPr>
        <w:pStyle w:val="FirstParagraph"/>
      </w:pPr>
      <w:r>
        <w:t xml:space="preserve">内嗅皮层网格细胞在二维环境中可显示重复的空间放电结构，经典研究报告了近似规则网格样排列</w:t>
      </w:r>
      <w:r>
        <w:rPr>
          <w:vertAlign w:val="superscript"/>
        </w:rPr>
        <w:t xml:space="preserve">[</w:t>
      </w:r>
      <w:hyperlink w:anchor="ref-476">
        <w:r>
          <w:rPr>
            <w:rStyle w:val="Hyperlink"/>
            <w:vertAlign w:val="superscript"/>
          </w:rPr>
          <w:t xml:space="preserve">476</w:t>
        </w:r>
      </w:hyperlink>
      <w:r>
        <w:rPr>
          <w:vertAlign w:val="superscript"/>
        </w:rPr>
        <w:t xml:space="preserve">]</w:t>
      </w:r>
      <w:r>
        <w:t xml:space="preserve">。头方向细胞的活动则与动物朝向有关，方向信号与位置本身具有不同信息内容</w:t>
      </w:r>
      <w:r>
        <w:rPr>
          <w:vertAlign w:val="superscript"/>
        </w:rPr>
        <w:t xml:space="preserve">[</w:t>
      </w:r>
      <w:hyperlink w:anchor="ref-477">
        <w:r>
          <w:rPr>
            <w:rStyle w:val="Hyperlink"/>
            <w:vertAlign w:val="superscript"/>
          </w:rPr>
          <w:t xml:space="preserve">477</w:t>
        </w:r>
      </w:hyperlink>
      <w:r>
        <w:rPr>
          <w:vertAlign w:val="superscript"/>
        </w:rPr>
        <w:t xml:space="preserve">]</w:t>
      </w:r>
      <w:r>
        <w:t xml:space="preserve">。边界相关细胞进一步提供与环境几何边缘有关的约束</w:t>
      </w:r>
      <w:r>
        <w:rPr>
          <w:vertAlign w:val="superscript"/>
        </w:rPr>
        <w:t xml:space="preserve">[</w:t>
      </w:r>
      <w:hyperlink w:anchor="ref-478">
        <w:r>
          <w:rPr>
            <w:rStyle w:val="Hyperlink"/>
            <w:vertAlign w:val="superscript"/>
          </w:rPr>
          <w:t xml:space="preserve">478</w:t>
        </w:r>
      </w:hyperlink>
      <w:r>
        <w:rPr>
          <w:vertAlign w:val="superscript"/>
        </w:rPr>
        <w:t xml:space="preserve">]</w:t>
      </w:r>
      <w:r>
        <w:t xml:space="preserve">。</w:t>
      </w:r>
    </w:p>
    <w:p>
      <w:pPr>
        <w:pStyle w:val="BodyText"/>
      </w:pPr>
      <w:r>
        <w:t xml:space="preserve">这些信号能够共同参与定位。位置回答“在哪里”，方向回答“朝哪里”，边界帮助约束可活动的空间范围，运动相关信息支持随移动更新。每种信号都需要在网络和行为中发挥作用，不能由细胞名称直接推定全部功能。</w:t>
      </w:r>
    </w:p>
    <w:p>
      <w:pPr>
        <w:pStyle w:val="BodyText"/>
      </w:pPr>
      <w:r>
        <w:t xml:space="preserve">理想化网格图适合展示周期关系，但真实放电受环境、经验和行为条件影响。不同类型的空间信号也存在相互作用。空间表征综述将这些发现组织为协同系统，同时保留具体动力学实现的多个候选机制</w:t>
      </w:r>
      <w:r>
        <w:rPr>
          <w:vertAlign w:val="superscript"/>
        </w:rPr>
        <w:t xml:space="preserve">[</w:t>
      </w:r>
      <w:hyperlink w:anchor="ref-479">
        <w:r>
          <w:rPr>
            <w:rStyle w:val="Hyperlink"/>
            <w:vertAlign w:val="superscript"/>
          </w:rPr>
          <w:t xml:space="preserve">479</w:t>
        </w:r>
      </w:hyperlink>
      <w:r>
        <w:rPr>
          <w:vertAlign w:val="superscript"/>
        </w:rPr>
        <w:t xml:space="preserve">]</w:t>
      </w:r>
      <w:r>
        <w:t xml:space="preserve">。</w:t>
      </w:r>
    </w:p>
    <w:bookmarkEnd w:id="862"/>
    <w:bookmarkStart w:id="863" w:name="sec-44-8"/>
    <w:p>
      <w:pPr>
        <w:pStyle w:val="Heading3"/>
      </w:pPr>
      <w:r>
        <w:t xml:space="preserve">44.8　重映射与内部状态</w:t>
      </w:r>
    </w:p>
    <w:p>
      <w:pPr>
        <w:pStyle w:val="FirstParagraph"/>
      </w:pPr>
      <w:r>
        <w:t xml:space="preserve">空间表征可以随环境改变而重组。某些变化主要涉及放电率，另一些涉及位置场或群体活动关系的更广泛变化。分析时需要明确所说的重映射指哪一种测量现象，避免把所有活动差异混成同一过程</w:t>
      </w:r>
      <w:r>
        <w:rPr>
          <w:vertAlign w:val="superscript"/>
        </w:rPr>
        <w:t xml:space="preserve">[</w:t>
      </w:r>
      <w:hyperlink w:anchor="ref-479">
        <w:r>
          <w:rPr>
            <w:rStyle w:val="Hyperlink"/>
            <w:vertAlign w:val="superscript"/>
          </w:rPr>
          <w:t xml:space="preserve">479</w:t>
        </w:r>
      </w:hyperlink>
      <w:r>
        <w:rPr>
          <w:vertAlign w:val="superscript"/>
        </w:rPr>
        <w:t xml:space="preserve">]</w:t>
      </w:r>
      <w:r>
        <w:t xml:space="preserve">。</w:t>
      </w:r>
    </w:p>
    <w:p>
      <w:pPr>
        <w:pStyle w:val="BodyText"/>
      </w:pPr>
      <w:r>
        <w:t xml:space="preserve">2026年的机制综述进一步讨论，在外部环境相对稳定时，内部行为状态变化可能与地图重组相关</w:t>
      </w:r>
      <w:r>
        <w:rPr>
          <w:vertAlign w:val="superscript"/>
        </w:rPr>
        <w:t xml:space="preserve">[</w:t>
      </w:r>
      <w:hyperlink w:anchor="ref-480">
        <w:r>
          <w:rPr>
            <w:rStyle w:val="Hyperlink"/>
            <w:vertAlign w:val="superscript"/>
          </w:rPr>
          <w:t xml:space="preserve">480</w:t>
        </w:r>
      </w:hyperlink>
      <w:r>
        <w:rPr>
          <w:vertAlign w:val="superscript"/>
        </w:rPr>
        <w:t xml:space="preserve">]</w:t>
      </w:r>
      <w:r>
        <w:t xml:space="preserve">。这一方向提出，目标、经验和状态能够参与决定系统怎样表示同一个空间。具体因果路径和普遍适用程度仍在研究。</w:t>
      </w:r>
    </w:p>
    <w:p>
      <w:pPr>
        <w:pStyle w:val="BodyText"/>
      </w:pPr>
      <w:r>
        <w:t xml:space="preserve">原创例子是同一厨房在准备早餐和寻找灭火器时具有不同任务结构。物理布局保持不变，相关对象、行动机会和目标位置发生变化。这个例子说明状态相关表示具有功能上的合理性，同时不能替代对真实神经机制的测量。</w:t>
      </w:r>
    </w:p>
    <w:bookmarkEnd w:id="863"/>
    <w:bookmarkStart w:id="864" w:name="sec-44-9"/>
    <w:p>
      <w:pPr>
        <w:pStyle w:val="Heading3"/>
      </w:pPr>
      <w:r>
        <w:t xml:space="preserve">44.9　人类空间编码的证据层次</w:t>
      </w:r>
    </w:p>
    <w:p>
      <w:pPr>
        <w:pStyle w:val="FirstParagraph"/>
      </w:pPr>
      <w:r>
        <w:t xml:space="preserve">临床颅内记录在虚拟导航中发现了位置和导航相关的单神经元活动，为人类空间编码提供较直接的窗口</w:t>
      </w:r>
      <w:r>
        <w:rPr>
          <w:vertAlign w:val="superscript"/>
        </w:rPr>
        <w:t xml:space="preserve">[</w:t>
      </w:r>
      <w:hyperlink w:anchor="ref-481">
        <w:r>
          <w:rPr>
            <w:rStyle w:val="Hyperlink"/>
            <w:vertAlign w:val="superscript"/>
          </w:rPr>
          <w:t xml:space="preserve">481</w:t>
        </w:r>
      </w:hyperlink>
      <w:r>
        <w:rPr>
          <w:vertAlign w:val="superscript"/>
        </w:rPr>
        <w:t xml:space="preserve">]</w:t>
      </w:r>
      <w:r>
        <w:t xml:space="preserve">。这类研究受临床样本、电极位置和任务形式限制，仍需与其他方法相互补充。</w:t>
      </w:r>
    </w:p>
    <w:p>
      <w:pPr>
        <w:pStyle w:val="BodyText"/>
      </w:pPr>
      <w:r>
        <w:t xml:space="preserve">功能磁共振研究还利用与网格组织一致的方向调制，寻找人类网格样表征</w:t>
      </w:r>
      <w:r>
        <w:rPr>
          <w:vertAlign w:val="superscript"/>
        </w:rPr>
        <w:t xml:space="preserve">[</w:t>
      </w:r>
      <w:hyperlink w:anchor="ref-482">
        <w:r>
          <w:rPr>
            <w:rStyle w:val="Hyperlink"/>
            <w:vertAlign w:val="superscript"/>
          </w:rPr>
          <w:t xml:space="preserve">482</w:t>
        </w:r>
      </w:hyperlink>
      <w:r>
        <w:rPr>
          <w:vertAlign w:val="superscript"/>
        </w:rPr>
        <w:t xml:space="preserve">]</w:t>
      </w:r>
      <w:r>
        <w:t xml:space="preserve">。这种信号属于群体层面的间接证据。观察到六重对称的变化模式，不能直接等同于逐个记录到具有理想六角位置场的细胞。</w:t>
      </w:r>
    </w:p>
    <w:p>
      <w:pPr>
        <w:pStyle w:val="BodyText"/>
      </w:pPr>
      <w:r>
        <w:t xml:space="preserve">不同方法回答不同尺度的问题。单细胞记录能够展示局部活动选择性，影像能够观察更广泛网络，行为任务检验这些表示是否支持定位和规划。把三者结合，才能更完整地判断某种空间机制的作用。</w:t>
      </w:r>
    </w:p>
    <w:bookmarkEnd w:id="864"/>
    <w:bookmarkStart w:id="865" w:name="sec-44-10"/>
    <w:p>
      <w:pPr>
        <w:pStyle w:val="Heading3"/>
      </w:pPr>
      <w:r>
        <w:t xml:space="preserve">44.10　场景识别与重新定向</w:t>
      </w:r>
    </w:p>
    <w:p>
      <w:pPr>
        <w:pStyle w:val="FirstParagraph"/>
      </w:pPr>
      <w:r>
        <w:t xml:space="preserve">迷路后需要先确定自己处于哪个环境，再确定当前位置和朝向。识别熟悉建筑与把当前视角对齐到已有空间关系，是可区分的步骤。人类导航研究强调，后部场景相关区域、海马内嗅系统和额叶机制共同参与地标锚定与路线规划</w:t>
      </w:r>
      <w:r>
        <w:rPr>
          <w:vertAlign w:val="superscript"/>
        </w:rPr>
        <w:t xml:space="preserve">[</w:t>
      </w:r>
      <w:hyperlink w:anchor="ref-471">
        <w:r>
          <w:rPr>
            <w:rStyle w:val="Hyperlink"/>
            <w:vertAlign w:val="superscript"/>
          </w:rPr>
          <w:t xml:space="preserve">471</w:t>
        </w:r>
      </w:hyperlink>
      <w:r>
        <w:rPr>
          <w:vertAlign w:val="superscript"/>
        </w:rPr>
        <w:t xml:space="preserve">]</w:t>
      </w:r>
      <w:r>
        <w:t xml:space="preserve">。</w:t>
      </w:r>
    </w:p>
    <w:p>
      <w:pPr>
        <w:pStyle w:val="BodyText"/>
      </w:pPr>
      <w:r>
        <w:t xml:space="preserve">原创例子中，学生认出自己在学校，却无法判断身处哪一栋外观相似的楼。增加楼号可以解决场景身份问题；提供能看见操场的窗口，则可能帮助确定方向。两种支持针对不同的不确定性。</w:t>
      </w:r>
    </w:p>
    <w:p>
      <w:pPr>
        <w:pStyle w:val="BodyText"/>
      </w:pPr>
      <w:r>
        <w:t xml:space="preserve">环境设计可以据此分析导航困难：地标是否容易区分、转弯处是否提供及时信息、楼层之间是否重复相同外观。便利导航的标识还需要与实际可通行路径一致。地图与现场信息冲突时，使用者需要能够发现并纠正冲突。</w:t>
      </w:r>
    </w:p>
    <w:bookmarkEnd w:id="865"/>
    <w:bookmarkStart w:id="866" w:name="sec-44-11"/>
    <w:p>
      <w:pPr>
        <w:pStyle w:val="Heading3"/>
      </w:pPr>
      <w:r>
        <w:t xml:space="preserve">44.11　心理旋转与空间变换</w:t>
      </w:r>
    </w:p>
    <w:p>
      <w:pPr>
        <w:pStyle w:val="FirstParagraph"/>
      </w:pPr>
      <w:r>
        <w:t xml:space="preserve">经典心理旋转实验发现，判断两个三维物体图形是否相同所需时间，会随角度差异系统变化</w:t>
      </w:r>
      <w:r>
        <w:rPr>
          <w:vertAlign w:val="superscript"/>
        </w:rPr>
        <w:t xml:space="preserve">[</w:t>
      </w:r>
      <w:hyperlink w:anchor="ref-483">
        <w:r>
          <w:rPr>
            <w:rStyle w:val="Hyperlink"/>
            <w:vertAlign w:val="superscript"/>
          </w:rPr>
          <w:t xml:space="preserve">483</w:t>
        </w:r>
      </w:hyperlink>
      <w:r>
        <w:rPr>
          <w:vertAlign w:val="superscript"/>
        </w:rPr>
        <w:t xml:space="preserve">]</w:t>
      </w:r>
      <w:r>
        <w:t xml:space="preserve">。这支持在某些任务中存在具有空间变换性质的加工。角度与时间的关系仍可能受到材料熟悉度、局部特征和策略影响。</w:t>
      </w:r>
    </w:p>
    <w:p>
      <w:pPr>
        <w:pStyle w:val="BodyText"/>
      </w:pPr>
      <w:r>
        <w:t xml:space="preserve">空间变换包含旋转物体、改变观察视角、想象折叠和把二维表示对应到三维结构等不同要求。旋转物体保持观察者位置，视角转换改变观察者相对于场景的位置。两者可能需要不同的坐标更新，不能仅因题面都出现立体图就视为同一能力。</w:t>
      </w:r>
    </w:p>
    <w:p>
      <w:pPr>
        <w:pStyle w:val="BodyText"/>
      </w:pPr>
      <w:r>
        <w:t xml:space="preserve">原创教学练习可以让学生先用实物旋转，再在没有实物时预测另一角度的外观，最后解释哪些边的连接保持。这样把变换与结构不变量联系起来。评估应使用新物体和不同角度，检查学生是否获得可用关系知识。</w:t>
      </w:r>
    </w:p>
    <w:bookmarkEnd w:id="866"/>
    <w:bookmarkStart w:id="867" w:name="sec-44-12"/>
    <w:p>
      <w:pPr>
        <w:pStyle w:val="Heading3"/>
      </w:pPr>
      <w:r>
        <w:t xml:space="preserve">44.12　空间训练与学科应用</w:t>
      </w:r>
    </w:p>
    <w:p>
      <w:pPr>
        <w:pStyle w:val="FirstParagraph"/>
      </w:pPr>
      <w:r>
        <w:t xml:space="preserve">空间技能训练元分析支持，空间表现可以通过多种训练改善，并存在一定迁移</w:t>
      </w:r>
      <w:r>
        <w:rPr>
          <w:vertAlign w:val="superscript"/>
        </w:rPr>
        <w:t xml:space="preserve">[</w:t>
      </w:r>
      <w:hyperlink w:anchor="ref-484">
        <w:r>
          <w:rPr>
            <w:rStyle w:val="Hyperlink"/>
            <w:vertAlign w:val="superscript"/>
          </w:rPr>
          <w:t xml:space="preserve">484</w:t>
        </w:r>
      </w:hyperlink>
      <w:r>
        <w:rPr>
          <w:vertAlign w:val="superscript"/>
        </w:rPr>
        <w:t xml:space="preserve">]</w:t>
      </w:r>
      <w:r>
        <w:t xml:space="preserve">。具体收益依技能类型、训练方式和测量范围变化。空间训练带来的数学、工程或其他学科长期收益，需要直接评价相应学习结局。</w:t>
      </w:r>
    </w:p>
    <w:p>
      <w:pPr>
        <w:pStyle w:val="BodyText"/>
      </w:pPr>
      <w:r>
        <w:t xml:space="preserve">在几何中，学生需要理解形状变换后长度、角度或面积哪些保持；在化学中，空间模型帮助表达分子结构；在解剖学中，切面与三维位置需要协调。每个学科都对空间关系提出特定要求，课程应把训练与这些关系显式连接。</w:t>
      </w:r>
    </w:p>
    <w:p>
      <w:pPr>
        <w:pStyle w:val="BodyText"/>
      </w:pPr>
      <w:r>
        <w:t xml:space="preserve">一个原创设计是让学生比较同一结构的实物、透视图、剖面和简图，并说明对应点。难度可以逐步增加，从少量清楚部件发展到更复杂结构。若学生只能完成熟悉拼图，尚不能据此确认目标学科知识已经提升。</w:t>
      </w:r>
    </w:p>
    <w:bookmarkEnd w:id="867"/>
    <w:bookmarkStart w:id="868" w:name="sec-44-13"/>
    <w:p>
      <w:pPr>
        <w:pStyle w:val="Heading3"/>
      </w:pPr>
      <w:r>
        <w:t xml:space="preserve">44.13　从空间结构到抽象关系</w:t>
      </w:r>
    </w:p>
    <w:p>
      <w:pPr>
        <w:pStyle w:val="FirstParagraph"/>
      </w:pPr>
      <w:r>
        <w:t xml:space="preserve">在由两个连续维度构成的人工概念空间中，研究发现了与网格样组织一致的神经信号</w:t>
      </w:r>
      <w:r>
        <w:rPr>
          <w:vertAlign w:val="superscript"/>
        </w:rPr>
        <w:t xml:space="preserve">[</w:t>
      </w:r>
      <w:hyperlink w:anchor="ref-485">
        <w:r>
          <w:rPr>
            <w:rStyle w:val="Hyperlink"/>
            <w:vertAlign w:val="superscript"/>
          </w:rPr>
          <w:t xml:space="preserve">485</w:t>
        </w:r>
      </w:hyperlink>
      <w:r>
        <w:rPr>
          <w:vertAlign w:val="superscript"/>
        </w:rPr>
        <w:t xml:space="preserve">]</w:t>
      </w:r>
      <w:r>
        <w:t xml:space="preserve">。这一结果支持空间编码思想可以用于研究某些非空间关系。人工低维结构与现实概念的高维、离散和语言性质之间仍存在重要差异。</w:t>
      </w:r>
    </w:p>
    <w:p>
      <w:pPr>
        <w:pStyle w:val="BodyText"/>
      </w:pPr>
      <w:r>
        <w:t xml:space="preserve">计算模型尝试分离可泛化的关系结构与具体感觉内容，从而把空间导航和关系记忆联系起来</w:t>
      </w:r>
      <w:r>
        <w:rPr>
          <w:vertAlign w:val="superscript"/>
        </w:rPr>
        <w:t xml:space="preserve">[</w:t>
      </w:r>
      <w:hyperlink w:anchor="ref-486">
        <w:r>
          <w:rPr>
            <w:rStyle w:val="Hyperlink"/>
            <w:vertAlign w:val="superscript"/>
          </w:rPr>
          <w:t xml:space="preserve">486</w:t>
        </w:r>
      </w:hyperlink>
      <w:r>
        <w:rPr>
          <w:vertAlign w:val="superscript"/>
        </w:rPr>
        <w:t xml:space="preserve">]</w:t>
      </w:r>
      <w:r>
        <w:t xml:space="preserve">。这种分离具有清楚的教学含义：相同连接结构可以用于不同对象，例如不同城市的交通网络都包含节点、路径和可达关系。</w:t>
      </w:r>
    </w:p>
    <w:p>
      <w:pPr>
        <w:pStyle w:val="BodyText"/>
      </w:pPr>
      <w:r>
        <w:t xml:space="preserve">模型能够重现部分神经现象，说明它提供一个可能实现。真实脑系统是否采用同样表示、何时复用以及何时需要其他机制，都需要独立证据。认知地图可以是有用的研究框架，同时保持形式上的多样性。</w:t>
      </w:r>
    </w:p>
    <w:bookmarkEnd w:id="868"/>
    <w:bookmarkStart w:id="869" w:name="sec-44-14"/>
    <w:p>
      <w:pPr>
        <w:pStyle w:val="Heading3"/>
      </w:pPr>
      <w:r>
        <w:t xml:space="preserve">44.14　社会推断中的可见与不可见信息</w:t>
      </w:r>
    </w:p>
    <w:p>
      <w:pPr>
        <w:pStyle w:val="FirstParagraph"/>
      </w:pPr>
      <w:r>
        <w:t xml:space="preserve">观察他人时，动作和言语可被直接看到或听到，信念、目标和理解则需要推断。同一动作可以服务不同目标，相同目标也可以通过不同动作实现。逆向规划模型从观察到的行为反推可能目标，形成了一种形式化的社会理解框架</w:t>
      </w:r>
      <w:r>
        <w:rPr>
          <w:vertAlign w:val="superscript"/>
        </w:rPr>
        <w:t xml:space="preserve">[</w:t>
      </w:r>
      <w:hyperlink w:anchor="ref-487">
        <w:r>
          <w:rPr>
            <w:rStyle w:val="Hyperlink"/>
            <w:vertAlign w:val="superscript"/>
          </w:rPr>
          <w:t xml:space="preserve">487</w:t>
        </w:r>
      </w:hyperlink>
      <w:r>
        <w:rPr>
          <w:vertAlign w:val="superscript"/>
        </w:rPr>
        <w:t xml:space="preserve">]</w:t>
      </w:r>
      <w:r>
        <w:t xml:space="preserve">。</w:t>
      </w:r>
    </w:p>
    <w:p>
      <w:pPr>
        <w:pStyle w:val="BodyText"/>
      </w:pPr>
      <w:r>
        <w:t xml:space="preserve">原创例子中，一个人绕远路走向桌子，可能为了避开障碍，也可能为了先取另一个物品。若观察者不知道他看见了什么或拥有哪些限制，就难以唯一确定原因。解释行为时需要把环境约束、信息状态和目标共同纳入。</w:t>
      </w:r>
    </w:p>
    <w:p>
      <w:pPr>
        <w:pStyle w:val="BodyText"/>
      </w:pPr>
      <w:r>
        <w:t xml:space="preserve">社会推断因此具有不确定性。一个合理解释可以与现有证据一致，同时保留其他解释。通过询问、观察后续行为或了解情境，可以获得更多区分信息。把第一次直觉当成对他人内心的直接读取，会超出证据。</w:t>
      </w:r>
    </w:p>
    <w:bookmarkEnd w:id="869"/>
    <w:bookmarkStart w:id="870" w:name="sec-44-15"/>
    <w:p>
      <w:pPr>
        <w:pStyle w:val="Heading3"/>
      </w:pPr>
      <w:r>
        <w:t xml:space="preserve">44.15　信念、欲望与知觉的联合推断</w:t>
      </w:r>
    </w:p>
    <w:p>
      <w:pPr>
        <w:pStyle w:val="FirstParagraph"/>
      </w:pPr>
      <w:r>
        <w:t xml:space="preserve">信念描述行为者如何理解世界，欲望描述他希望达成的结果，知觉经历约束他能够获得什么信息。联合心理推断模型把这些变量联系起来，解释人们如何从动作和信息条件推断他人心理状态</w:t>
      </w:r>
      <w:r>
        <w:rPr>
          <w:vertAlign w:val="superscript"/>
        </w:rPr>
        <w:t xml:space="preserve">[</w:t>
      </w:r>
      <w:hyperlink w:anchor="ref-488">
        <w:r>
          <w:rPr>
            <w:rStyle w:val="Hyperlink"/>
            <w:vertAlign w:val="superscript"/>
          </w:rPr>
          <w:t xml:space="preserve">488</w:t>
        </w:r>
      </w:hyperlink>
      <w:r>
        <w:rPr>
          <w:vertAlign w:val="superscript"/>
        </w:rPr>
        <w:t xml:space="preserve">]</w:t>
      </w:r>
      <w:r>
        <w:t xml:space="preserve">。</w:t>
      </w:r>
    </w:p>
    <w:p>
      <w:pPr>
        <w:pStyle w:val="BodyText"/>
      </w:pPr>
      <w:r>
        <w:t xml:space="preserve">假设甲想取雨伞，却走向空柜子。观察者知道雨伞已移到门边，而甲离开时没有看到移动。如果忽略甲的信息经历，动作显得难以理解；加入“甲仍认为伞在柜中”的候选信念，行为就具有一致性。这里的推断依赖目标、可见信息和环境历史。</w:t>
      </w:r>
    </w:p>
    <w:p>
      <w:pPr>
        <w:pStyle w:val="BodyText"/>
      </w:pPr>
      <w:r>
        <w:t xml:space="preserve">模型中的近似理性假设需要明确。人会疲劳、误操作、受习惯影响，也会拥有观察者不知道的目标。因此，偏离最短路径或最大收益的行为，不能立即证明模型中的信念错误。社会模型应允许行动噪声和目标不完整性。</w:t>
      </w:r>
    </w:p>
    <w:bookmarkEnd w:id="870"/>
    <w:bookmarkStart w:id="871" w:name="sec-44-16"/>
    <w:p>
      <w:pPr>
        <w:pStyle w:val="Heading3"/>
      </w:pPr>
      <w:r>
        <w:t xml:space="preserve">44.16　错误信念任务的认知结构</w:t>
      </w:r>
    </w:p>
    <w:p>
      <w:pPr>
        <w:pStyle w:val="FirstParagraph"/>
      </w:pPr>
      <w:r>
        <w:t xml:space="preserve">错误信念任务要求区分现实状态与另一个人的表征。例如物品在主人离开后被移动，问题询问主人回来会先去哪里找。作答者需要记住事件顺序、追踪主人是否见到变化，并依据主人的信息状态预测行动。</w:t>
      </w:r>
    </w:p>
    <w:p>
      <w:pPr>
        <w:pStyle w:val="BodyText"/>
      </w:pPr>
      <w:r>
        <w:t xml:space="preserve">发展研究元分析显示，错误信念表现随年龄和任务条件系统变化</w:t>
      </w:r>
      <w:r>
        <w:rPr>
          <w:vertAlign w:val="superscript"/>
        </w:rPr>
        <w:t xml:space="preserve">[</w:t>
      </w:r>
      <w:hyperlink w:anchor="ref-489">
        <w:r>
          <w:rPr>
            <w:rStyle w:val="Hyperlink"/>
            <w:vertAlign w:val="superscript"/>
          </w:rPr>
          <w:t xml:space="preserve">489</w:t>
        </w:r>
      </w:hyperlink>
      <w:r>
        <w:rPr>
          <w:vertAlign w:val="superscript"/>
        </w:rPr>
        <w:t xml:space="preserve">]</w:t>
      </w:r>
      <w:r>
        <w:t xml:space="preserve">。这类发展轨迹不能转成某一天突然获得全部社会理解能力的固定开关。欲望理解、知识与无知区分、信念推理和复杂递归推断具有不同要求。</w:t>
      </w:r>
    </w:p>
    <w:p>
      <w:pPr>
        <w:pStyle w:val="BodyText"/>
      </w:pPr>
      <w:r>
        <w:t xml:space="preserve">任务失败也需要具体分析。孩子可能忘记原位置、不理解问题中的时间指向，或难以抑制自己知道的真实位置。确认这些条件有助于解释表现，同时不能预先假设所有失败都来自外围要求。概念理解和表达过程需要分别获得证据。</w:t>
      </w:r>
    </w:p>
    <w:bookmarkEnd w:id="871"/>
    <w:bookmarkStart w:id="872" w:name="sec-44-17"/>
    <w:p>
      <w:pPr>
        <w:pStyle w:val="Heading3"/>
      </w:pPr>
      <w:r>
        <w:t xml:space="preserve">44.17　语言与心理状态理解</w:t>
      </w:r>
    </w:p>
    <w:p>
      <w:pPr>
        <w:pStyle w:val="FirstParagraph"/>
      </w:pPr>
      <w:r>
        <w:t xml:space="preserve">语言能力与错误信念理解具有系统关联，元分析为两者的发展联系提供了重要支持</w:t>
      </w:r>
      <w:r>
        <w:rPr>
          <w:vertAlign w:val="superscript"/>
        </w:rPr>
        <w:t xml:space="preserve">[</w:t>
      </w:r>
      <w:hyperlink w:anchor="ref-490">
        <w:r>
          <w:rPr>
            <w:rStyle w:val="Hyperlink"/>
            <w:vertAlign w:val="superscript"/>
          </w:rPr>
          <w:t xml:space="preserve">490</w:t>
        </w:r>
      </w:hyperlink>
      <w:r>
        <w:rPr>
          <w:vertAlign w:val="superscript"/>
        </w:rPr>
        <w:t xml:space="preserve">]</w:t>
      </w:r>
      <w:r>
        <w:t xml:space="preserve">。语言可能帮助表达嵌套关系、讨论不同视角和追踪谁知道什么；语言任务本身也会增加理解与回答要求。相关关系需要在这些路径之间进一步区分。</w:t>
      </w:r>
    </w:p>
    <w:p>
      <w:pPr>
        <w:pStyle w:val="BodyText"/>
      </w:pPr>
      <w:r>
        <w:t xml:space="preserve">“小林以为盒子里是铅笔”这句话，同时包含现实物体和小林的表征。学习者需要理解“以为”允许表征与现实不同。更复杂的句子如“小林认为小周不知道盒子已经打开”，又增加了一层人物与知识关系。</w:t>
      </w:r>
    </w:p>
    <w:p>
      <w:pPr>
        <w:pStyle w:val="BodyText"/>
      </w:pPr>
      <w:r>
        <w:t xml:space="preserve">原创教学练习可以让学生画出人物、所见事件和当前知识，再用句子描述。这样能够把语法关系与信息来源联系。对语言表达受限的学习者，还可以使用图片选择或行动安排等方式提供补充证据，避免只凭一种输出形式判断全部社会理解。</w:t>
      </w:r>
    </w:p>
    <w:bookmarkEnd w:id="872"/>
    <w:bookmarkStart w:id="873" w:name="sec-44-18"/>
    <w:p>
      <w:pPr>
        <w:pStyle w:val="Heading3"/>
      </w:pPr>
      <w:r>
        <w:t xml:space="preserve">44.18　预期注视研究的边界</w:t>
      </w:r>
    </w:p>
    <w:p>
      <w:pPr>
        <w:pStyle w:val="FirstParagraph"/>
      </w:pPr>
      <w:r>
        <w:t xml:space="preserve">一些早期研究报告，两岁幼儿的注视能够提前指向符合他人错误信念的行动位置</w:t>
      </w:r>
      <w:r>
        <w:rPr>
          <w:vertAlign w:val="superscript"/>
        </w:rPr>
        <w:t xml:space="preserve">[</w:t>
      </w:r>
      <w:hyperlink w:anchor="ref-491">
        <w:r>
          <w:rPr>
            <w:rStyle w:val="Hyperlink"/>
            <w:vertAlign w:val="superscript"/>
          </w:rPr>
          <w:t xml:space="preserve">491</w:t>
        </w:r>
      </w:hyperlink>
      <w:r>
        <w:rPr>
          <w:vertAlign w:val="superscript"/>
        </w:rPr>
        <w:t xml:space="preserve">]</w:t>
      </w:r>
      <w:r>
        <w:t xml:space="preserve">。这种方法试图减少显式回答的语言要求，但仍依赖幼儿是否稳定预期动作以及眼动指标是否可靠。</w:t>
      </w:r>
    </w:p>
    <w:p>
      <w:pPr>
        <w:pStyle w:val="BodyText"/>
      </w:pPr>
      <w:r>
        <w:t xml:space="preserve">一项预注册双实验室直接重复研究招募一百六十名二十四至二十六月龄幼儿，在基础动作预期和错误信念条件中都未获得可靠的预期注视证据</w:t>
      </w:r>
      <w:r>
        <w:rPr>
          <w:vertAlign w:val="superscript"/>
        </w:rPr>
        <w:t xml:space="preserve">[</w:t>
      </w:r>
      <w:hyperlink w:anchor="ref-492">
        <w:r>
          <w:rPr>
            <w:rStyle w:val="Hyperlink"/>
            <w:vertAlign w:val="superscript"/>
          </w:rPr>
          <w:t xml:space="preserve">492</w:t>
        </w:r>
      </w:hyperlink>
      <w:r>
        <w:rPr>
          <w:vertAlign w:val="superscript"/>
        </w:rPr>
        <w:t xml:space="preserve">]</w:t>
      </w:r>
      <w:r>
        <w:t xml:space="preserve">。基础预期未能稳定出现，使结果难以直接判定幼儿具有或缺少错误信念理解。它主要约束了该范式作为测量工具的可靠性。</w:t>
      </w:r>
    </w:p>
    <w:p>
      <w:pPr>
        <w:pStyle w:val="BodyText"/>
      </w:pPr>
      <w:r>
        <w:t xml:space="preserve">ManyBabies2协作项目进一步区分知识与无知任务、幼儿任务适配和成人错误信念阶段；截至2026年10月，项目官网仍分别列示这些阶段的进度</w:t>
      </w:r>
      <w:r>
        <w:rPr>
          <w:vertAlign w:val="superscript"/>
        </w:rPr>
        <w:t xml:space="preserve">[</w:t>
      </w:r>
      <w:hyperlink w:anchor="ref-493">
        <w:r>
          <w:rPr>
            <w:rStyle w:val="Hyperlink"/>
            <w:vertAlign w:val="superscript"/>
          </w:rPr>
          <w:t xml:space="preserve">493</w:t>
        </w:r>
      </w:hyperlink>
      <w:r>
        <w:rPr>
          <w:vertAlign w:val="superscript"/>
        </w:rPr>
        <w:t xml:space="preserve">]</w:t>
      </w:r>
      <w:r>
        <w:t xml:space="preserve">。这些任务检验的心理状态不同，第一阶段结果不能直接替代完整错误信念结论。</w:t>
      </w:r>
    </w:p>
    <w:bookmarkEnd w:id="873"/>
    <w:bookmarkStart w:id="874" w:name="sec-44-19"/>
    <w:p>
      <w:pPr>
        <w:pStyle w:val="Heading3"/>
      </w:pPr>
      <w:r>
        <w:t xml:space="preserve">44.19　心理理论网络与任务差异</w:t>
      </w:r>
    </w:p>
    <w:p>
      <w:pPr>
        <w:pStyle w:val="FirstParagraph"/>
      </w:pPr>
      <w:r>
        <w:t xml:space="preserve">神经影像研究发现，颞顶交界附近区域参与对他人心理内容的推理</w:t>
      </w:r>
      <w:r>
        <w:rPr>
          <w:vertAlign w:val="superscript"/>
        </w:rPr>
        <w:t xml:space="preserve">[</w:t>
      </w:r>
      <w:hyperlink w:anchor="ref-494">
        <w:r>
          <w:rPr>
            <w:rStyle w:val="Hyperlink"/>
            <w:vertAlign w:val="superscript"/>
          </w:rPr>
          <w:t xml:space="preserve">494</w:t>
        </w:r>
      </w:hyperlink>
      <w:r>
        <w:rPr>
          <w:vertAlign w:val="superscript"/>
        </w:rPr>
        <w:t xml:space="preserve">]</w:t>
      </w:r>
      <w:r>
        <w:t xml:space="preserve">。更广泛的元分析表明，不同心理理论任务既具有共享网络，也呈现与任务形式有关的分化</w:t>
      </w:r>
      <w:r>
        <w:rPr>
          <w:vertAlign w:val="superscript"/>
        </w:rPr>
        <w:t xml:space="preserve">[</w:t>
      </w:r>
      <w:hyperlink w:anchor="ref-495">
        <w:r>
          <w:rPr>
            <w:rStyle w:val="Hyperlink"/>
            <w:vertAlign w:val="superscript"/>
          </w:rPr>
          <w:t xml:space="preserve">495</w:t>
        </w:r>
      </w:hyperlink>
      <w:r>
        <w:rPr>
          <w:vertAlign w:val="superscript"/>
        </w:rPr>
        <w:t xml:space="preserve">]</w:t>
      </w:r>
      <w:r>
        <w:t xml:space="preserve">。阅读故事、观看互动和推断情绪，包含不同的输入与加工要求。</w:t>
      </w:r>
    </w:p>
    <w:p>
      <w:pPr>
        <w:pStyle w:val="BodyText"/>
      </w:pPr>
      <w:r>
        <w:t xml:space="preserve">某个区域在信念任务中更活跃，说明该比较条件下的参与关系。它不直接表明该区域储存所有信念，也不能依据一次扫描判断一个人的共情或道德水平。语言复杂度、记忆和注意等成分都需要纳入解释。</w:t>
      </w:r>
    </w:p>
    <w:p>
      <w:pPr>
        <w:pStyle w:val="BodyText"/>
      </w:pPr>
      <w:r>
        <w:t xml:space="preserve">更有约束力的问题是，同一网络如何在不同情境下整合人物、事件和信息来源。若改变某人的知识条件而保持其他材料相近，便可以更清楚地考察信念相关加工。自然互动研究还需要考虑双方行为会相互改变。</w:t>
      </w:r>
    </w:p>
    <w:bookmarkEnd w:id="874"/>
    <w:bookmarkStart w:id="875" w:name="sec-44-20"/>
    <w:p>
      <w:pPr>
        <w:pStyle w:val="Heading3"/>
      </w:pPr>
      <w:r>
        <w:t xml:space="preserve">44.20　视角采择与共同知识</w:t>
      </w:r>
    </w:p>
    <w:p>
      <w:pPr>
        <w:pStyle w:val="FirstParagraph"/>
      </w:pPr>
      <w:r>
        <w:t xml:space="preserve">交流需要判断哪些信息是双方共享的。一个人说“把小杯子递给我”，听者必须知道说话者能够看到哪些杯子。交流实验显示，自我可见信息和对方视角可能在理解过程中产生竞争</w:t>
      </w:r>
      <w:r>
        <w:rPr>
          <w:vertAlign w:val="superscript"/>
        </w:rPr>
        <w:t xml:space="preserve">[</w:t>
      </w:r>
      <w:hyperlink w:anchor="ref-496">
        <w:r>
          <w:rPr>
            <w:rStyle w:val="Hyperlink"/>
            <w:vertAlign w:val="superscript"/>
          </w:rPr>
          <w:t xml:space="preserve">496</w:t>
        </w:r>
      </w:hyperlink>
      <w:r>
        <w:rPr>
          <w:vertAlign w:val="superscript"/>
        </w:rPr>
        <w:t xml:space="preserve">]</w:t>
      </w:r>
      <w:r>
        <w:t xml:space="preserve">。这种竞争提醒人们，知道别人视角与实时使用它之间存在过程要求。</w:t>
      </w:r>
    </w:p>
    <w:p>
      <w:pPr>
        <w:pStyle w:val="BodyText"/>
      </w:pPr>
      <w:r>
        <w:t xml:space="preserve">原创情境中，桌上有三个杯子，最小的一个被挡板遮住，说话者看不见。听者需要在共同可见的集合中解释“小杯子”。若他把自己独有的信息直接带入，会产生指称错误；通过澄清“你指的是蓝色杯子吗”，双方可以减少歧义。</w:t>
      </w:r>
    </w:p>
    <w:p>
      <w:pPr>
        <w:pStyle w:val="BodyText"/>
      </w:pPr>
      <w:r>
        <w:t xml:space="preserve">共同知识还会随交流更新。点头、复述、纠正和共同操作都可以提供对理解状态的证据。一个信息被发送，不保证它已被对方理解；一个人理解，也不保证双方知道彼此已经理解。复杂协作常依赖这种多层协调。</w:t>
      </w:r>
    </w:p>
    <w:bookmarkEnd w:id="875"/>
    <w:bookmarkStart w:id="876" w:name="sec-44-21"/>
    <w:p>
      <w:pPr>
        <w:pStyle w:val="Heading3"/>
      </w:pPr>
      <w:r>
        <w:t xml:space="preserve">44.21　共情、情绪理解与关怀</w:t>
      </w:r>
    </w:p>
    <w:p>
      <w:pPr>
        <w:pStyle w:val="FirstParagraph"/>
      </w:pPr>
      <w:r>
        <w:t xml:space="preserve">共情研究包含情感共享、理解他人状态、关注他人需要等相关成分。社会神经科学综述与元分析强调，这些成分具有部分分化和整合的机制</w:t>
      </w:r>
      <w:r>
        <w:rPr>
          <w:vertAlign w:val="superscript"/>
        </w:rPr>
        <w:t xml:space="preserve">[</w:t>
      </w:r>
      <w:hyperlink w:anchor="ref-497">
        <w:r>
          <w:rPr>
            <w:rStyle w:val="Hyperlink"/>
            <w:vertAlign w:val="superscript"/>
          </w:rPr>
          <w:t xml:space="preserve">497</w:t>
        </w:r>
      </w:hyperlink>
      <w:r>
        <w:rPr>
          <w:vertAlign w:val="superscript"/>
        </w:rPr>
        <w:t xml:space="preserve">,</w:t>
      </w:r>
      <w:hyperlink w:anchor="ref-498">
        <w:r>
          <w:rPr>
            <w:rStyle w:val="Hyperlink"/>
            <w:vertAlign w:val="superscript"/>
          </w:rPr>
          <w:t xml:space="preserve">498</w:t>
        </w:r>
      </w:hyperlink>
      <w:r>
        <w:rPr>
          <w:vertAlign w:val="superscript"/>
        </w:rPr>
        <w:t xml:space="preserve">]</w:t>
      </w:r>
      <w:r>
        <w:t xml:space="preserve">。</w:t>
      </w:r>
    </w:p>
    <w:p>
      <w:pPr>
        <w:pStyle w:val="BodyText"/>
      </w:pPr>
      <w:r>
        <w:t xml:space="preserve">一个人可以准确判断朋友很焦虑，同时自己保持相对平静；也可以受到对方情绪感染，却不知道对方真正担心什么。愿意提供帮助还涉及目标、资源和社会关系。把这些表现合成一个单一强弱标签，会掩盖具体能力和需要。</w:t>
      </w:r>
    </w:p>
    <w:p>
      <w:pPr>
        <w:pStyle w:val="BodyText"/>
      </w:pPr>
      <w:r>
        <w:t xml:space="preserve">原创支持场景中，先询问“你最担心哪一步”，可能比立即猜测情绪原因更能获得信息。理解对方之后，是否采取行动还需考虑对方希望得到什么支持。情绪强度、推断准确性和帮助行为应分别评价。</w:t>
      </w:r>
    </w:p>
    <w:bookmarkEnd w:id="876"/>
    <w:bookmarkStart w:id="877" w:name="sec-44-22"/>
    <w:p>
      <w:pPr>
        <w:pStyle w:val="Heading3"/>
      </w:pPr>
      <w:r>
        <w:t xml:space="preserve">44.22　社会决策中的互动结构</w:t>
      </w:r>
    </w:p>
    <w:p>
      <w:pPr>
        <w:pStyle w:val="FirstParagraph"/>
      </w:pPr>
      <w:r>
        <w:t xml:space="preserve">信任、合作和公平任务把个人收益与他人行动联系起来。社会决策研究使用博弈范式，分析价值、意图判断和互动结构怎样共同影响选择</w:t>
      </w:r>
      <w:r>
        <w:rPr>
          <w:vertAlign w:val="superscript"/>
        </w:rPr>
        <w:t xml:space="preserve">[</w:t>
      </w:r>
      <w:hyperlink w:anchor="ref-499">
        <w:r>
          <w:rPr>
            <w:rStyle w:val="Hyperlink"/>
            <w:vertAlign w:val="superscript"/>
          </w:rPr>
          <w:t xml:space="preserve">499</w:t>
        </w:r>
      </w:hyperlink>
      <w:r>
        <w:rPr>
          <w:vertAlign w:val="superscript"/>
        </w:rPr>
        <w:t xml:space="preserve">]</w:t>
      </w:r>
      <w:r>
        <w:t xml:space="preserve">。同样的转账或分配数额，可以由不同心理原因产生。</w:t>
      </w:r>
    </w:p>
    <w:p>
      <w:pPr>
        <w:pStyle w:val="BodyText"/>
      </w:pPr>
      <w:r>
        <w:t xml:space="preserve">假设参与者给另一人更多资源，可能因为希望合作、期待回报、认为对方更需要，或遵循某种公平规则。若未来还会见面，声誉和互惠也可能参与。只有明确任务中的匿名性、重复性和信息条件，才容易判断某个选择意味着什么。</w:t>
      </w:r>
    </w:p>
    <w:p>
      <w:pPr>
        <w:pStyle w:val="BodyText"/>
      </w:pPr>
      <w:r>
        <w:t xml:space="preserve">真实关系还包含长期历史、权力差异和沟通机会。简化实验有助于分离机制，其结果向家庭、课堂或组织推广时，需要保留这些结构差异。一次博弈选择不能直接等同于稳定的道德品质。</w:t>
      </w:r>
    </w:p>
    <w:bookmarkEnd w:id="877"/>
    <w:bookmarkStart w:id="878" w:name="sec-44-23"/>
    <w:p>
      <w:pPr>
        <w:pStyle w:val="Heading3"/>
      </w:pPr>
      <w:r>
        <w:t xml:space="preserve">44.23　社会关系地图的可能形式</w:t>
      </w:r>
    </w:p>
    <w:p>
      <w:pPr>
        <w:pStyle w:val="FirstParagraph"/>
      </w:pPr>
      <w:r>
        <w:t xml:space="preserve">在特定互动任务中，研究者用权力和亲和等维度描述角色关系，并发现海马相关活动与这种社会空间表示有关</w:t>
      </w:r>
      <w:r>
        <w:rPr>
          <w:vertAlign w:val="superscript"/>
        </w:rPr>
        <w:t xml:space="preserve">[</w:t>
      </w:r>
      <w:hyperlink w:anchor="ref-500">
        <w:r>
          <w:rPr>
            <w:rStyle w:val="Hyperlink"/>
            <w:vertAlign w:val="superscript"/>
          </w:rPr>
          <w:t xml:space="preserve">500</w:t>
        </w:r>
      </w:hyperlink>
      <w:r>
        <w:rPr>
          <w:vertAlign w:val="superscript"/>
        </w:rPr>
        <w:t xml:space="preserve">]</w:t>
      </w:r>
      <w:r>
        <w:t xml:space="preserve">。这种设计提供了可操作的关系坐标，同时并未穷尽现实社会生活。</w:t>
      </w:r>
    </w:p>
    <w:p>
      <w:pPr>
        <w:pStyle w:val="BodyText"/>
      </w:pPr>
      <w:r>
        <w:t xml:space="preserve">社会网络还可以由直接和间接联系组织。谁认识谁、谁能提供某类信息、哪些人属于同一团体，都可以影响行动。前面提到的近期综述（见</w:t>
      </w:r>
      <w:r>
        <w:t xml:space="preserve"> </w:t>
      </w:r>
      <w:hyperlink w:anchor="sec-44-4">
        <w:r>
          <w:rPr>
            <w:rStyle w:val="Hyperlink"/>
          </w:rPr>
          <w:t xml:space="preserve">44.4</w:t>
        </w:r>
      </w:hyperlink>
      <w:r>
        <w:t xml:space="preserve">）也讨论了这类抽象地图，并强调复杂关系往往需要超出简单二维距离的表示</w:t>
      </w:r>
      <w:r>
        <w:rPr>
          <w:vertAlign w:val="superscript"/>
        </w:rPr>
        <w:t xml:space="preserve">[</w:t>
      </w:r>
      <w:hyperlink w:anchor="ref-473">
        <w:r>
          <w:rPr>
            <w:rStyle w:val="Hyperlink"/>
            <w:vertAlign w:val="superscript"/>
          </w:rPr>
          <w:t xml:space="preserve">473</w:t>
        </w:r>
      </w:hyperlink>
      <w:r>
        <w:rPr>
          <w:vertAlign w:val="superscript"/>
        </w:rPr>
        <w:t xml:space="preserve">]</w:t>
      </w:r>
      <w:r>
        <w:t xml:space="preserve">。</w:t>
      </w:r>
    </w:p>
    <w:p>
      <w:pPr>
        <w:pStyle w:val="BodyText"/>
      </w:pPr>
      <w:r>
        <w:t xml:space="preserve">原创反例是甲信任乙，乙信任丙，甲对丙的信任并不能仅由两条边自动确定。关系类型、证据来源和利益冲突都会影响推断。空间距离具有的一些规则，不能无条件套用到信任、权力或知识关系。</w:t>
      </w:r>
    </w:p>
    <w:bookmarkEnd w:id="878"/>
    <w:bookmarkStart w:id="879" w:name="sec-44-24"/>
    <w:p>
      <w:pPr>
        <w:pStyle w:val="Heading3"/>
      </w:pPr>
      <w:r>
        <w:t xml:space="preserve">44.24　共同导航中的认知分工</w:t>
      </w:r>
    </w:p>
    <w:p>
      <w:pPr>
        <w:pStyle w:val="FirstParagraph"/>
      </w:pPr>
      <w:r>
        <w:t xml:space="preserve">两个人一起找路时，可以由一人记路线、另一人看标识，也可以共同讨论不确定位置。2026年的协作导航综述指出，共同知识、互动历史和认知分工可能带来收益，也可能引发协调损失</w:t>
      </w:r>
      <w:r>
        <w:rPr>
          <w:vertAlign w:val="superscript"/>
        </w:rPr>
        <w:t xml:space="preserve">[</w:t>
      </w:r>
      <w:hyperlink w:anchor="ref-501">
        <w:r>
          <w:rPr>
            <w:rStyle w:val="Hyperlink"/>
            <w:vertAlign w:val="superscript"/>
          </w:rPr>
          <w:t xml:space="preserve">501</w:t>
        </w:r>
      </w:hyperlink>
      <w:r>
        <w:rPr>
          <w:vertAlign w:val="superscript"/>
        </w:rPr>
        <w:t xml:space="preserve">]</w:t>
      </w:r>
      <w:r>
        <w:t xml:space="preserve">。团队表现需要在具体任务中检验。</w:t>
      </w:r>
    </w:p>
    <w:p>
      <w:pPr>
        <w:pStyle w:val="BodyText"/>
      </w:pPr>
      <w:r>
        <w:t xml:space="preserve">原创例子中，甲熟悉地图，乙更容易识别现场地标。如果双方及时交流，能力可以互补；若甲持续给出方向却没有确认乙所见位置，错误可能累积。有效协作需要知道对方掌握什么信息，以及何时应重新对齐。</w:t>
      </w:r>
    </w:p>
    <w:p>
      <w:pPr>
        <w:pStyle w:val="BodyText"/>
      </w:pPr>
      <w:r>
        <w:t xml:space="preserve">这也说明群体中的相似行为或脑信号，可能来自共同刺激、相同行动要求和真实互动等不同来源。要说明双方相互影响，需要分析信息传递的时间与条件。单纯同步现象无法决定因果方向。</w:t>
      </w:r>
    </w:p>
    <w:bookmarkEnd w:id="879"/>
    <w:bookmarkStart w:id="880" w:name="sec-44-25"/>
    <w:p>
      <w:pPr>
        <w:pStyle w:val="Heading3"/>
      </w:pPr>
      <w:r>
        <w:t xml:space="preserve">44.25　社会与空间任务的教学比较</w:t>
      </w:r>
    </w:p>
    <w:p>
      <w:pPr>
        <w:pStyle w:val="FirstParagraph"/>
      </w:pPr>
      <w:r>
        <w:t xml:space="preserve">空间参考框架与社会视角都有一个共同教学难点：学习者容易把当前自己知道的信息直接用于他人的位置或知识。可以用明确的角色标记减少混淆，但两种任务仍涉及不同内容。空间视角转换成功，不保证复杂信念推理已经掌握。</w:t>
      </w:r>
    </w:p>
    <w:p>
      <w:pPr>
        <w:pStyle w:val="BodyText"/>
      </w:pPr>
      <w:r>
        <w:t xml:space="preserve">原创课堂活动可以先让两名学生从不同方向观察同一模型，再分别说明看见哪些部件；随后安排一人暂时离开，在模型中移动一个物件，讨论两人的知识如何变化。第一部分突出视角，第二部分突出信息经历。比较两者可以帮助学生识别“看不见”“不知道”和“相信错误位置”的差异。</w:t>
      </w:r>
    </w:p>
    <w:p>
      <w:pPr>
        <w:pStyle w:val="BodyText"/>
      </w:pPr>
      <w:r>
        <w:t xml:space="preserve">评价应要求解释依据。例如“他会去原位置，因为他离开时没有看到移动”，比仅选中一个位置提供更多过程信息。若学生通过熟悉答案模板作答，改变人物、顺序和提问方式可以检验理解的灵活性。</w:t>
      </w:r>
    </w:p>
    <w:bookmarkEnd w:id="880"/>
    <w:bookmarkStart w:id="881" w:name="sec-44-26"/>
    <w:p>
      <w:pPr>
        <w:pStyle w:val="Heading3"/>
      </w:pPr>
      <w:r>
        <w:t xml:space="preserve">44.26　测量差异与个体解释</w:t>
      </w:r>
    </w:p>
    <w:p>
      <w:pPr>
        <w:pStyle w:val="FirstParagraph"/>
      </w:pPr>
      <w:r>
        <w:t xml:space="preserve">空间能力与社会认知都包含多种任务。地图阅读、路线学习、心理旋转、情绪识别、信念推理和日常交流，具有不同输入、记忆和输出要求。一个任务的困难应首先放在其具体结构中解释。</w:t>
      </w:r>
    </w:p>
    <w:p>
      <w:pPr>
        <w:pStyle w:val="BodyText"/>
      </w:pPr>
      <w:r>
        <w:t xml:space="preserve">对个人能力的判断还需要考虑经验和可达条件。例如陌生地图符号会增加学习要求，听不清故事会影响信念题表现，感官过载可能降低现场交流效率。这些因素可以与目标能力相互作用。通过更合适的材料与表达方式，能够获得更有解释力的表现。</w:t>
      </w:r>
    </w:p>
    <w:p>
      <w:pPr>
        <w:pStyle w:val="BodyText"/>
      </w:pPr>
      <w:r>
        <w:t xml:space="preserve">支持方案也应与目标一致。导航困难可以通过稳定地标和步骤提示降低风险，交流困难可以通过明确指称和确认理解减少歧义。效果应以实际独立性、任务成功和生活参与评价，避免把单一实验分数当成一个人的全部认知能力。</w:t>
      </w:r>
    </w:p>
    <w:bookmarkEnd w:id="881"/>
    <w:bookmarkStart w:id="882" w:name="sec-44-27"/>
    <w:p>
      <w:pPr>
        <w:pStyle w:val="Heading3"/>
      </w:pPr>
      <w:r>
        <w:t xml:space="preserve">44.27　结论边界与置信度</w:t>
      </w:r>
    </w:p>
    <w:p>
      <w:pPr>
        <w:pStyle w:val="FirstParagraph"/>
      </w:pPr>
      <w:r>
        <w:t xml:space="preserve">位置、方向、网格和边界相关神经信号具有直接生理证据，人类导航也得到行为、影像和颅内记录的多尺度支持</w:t>
      </w:r>
      <w:r>
        <w:rPr>
          <w:vertAlign w:val="superscript"/>
        </w:rPr>
        <w:t xml:space="preserve">[</w:t>
      </w:r>
      <w:hyperlink w:anchor="ref-475">
        <w:r>
          <w:rPr>
            <w:rStyle w:val="Hyperlink"/>
            <w:vertAlign w:val="superscript"/>
          </w:rPr>
          <w:t xml:space="preserve">475</w:t>
        </w:r>
      </w:hyperlink>
      <w:r>
        <w:rPr>
          <w:vertAlign w:val="superscript"/>
        </w:rPr>
        <w:t xml:space="preserve">,</w:t>
      </w:r>
      <w:hyperlink w:anchor="ref-476">
        <w:r>
          <w:rPr>
            <w:rStyle w:val="Hyperlink"/>
            <w:vertAlign w:val="superscript"/>
          </w:rPr>
          <w:t xml:space="preserve">476</w:t>
        </w:r>
      </w:hyperlink>
      <w:r>
        <w:rPr>
          <w:vertAlign w:val="superscript"/>
        </w:rPr>
        <w:t xml:space="preserve">,</w:t>
      </w:r>
      <w:hyperlink w:anchor="ref-477">
        <w:r>
          <w:rPr>
            <w:rStyle w:val="Hyperlink"/>
            <w:vertAlign w:val="superscript"/>
          </w:rPr>
          <w:t xml:space="preserve">477</w:t>
        </w:r>
      </w:hyperlink>
      <w:r>
        <w:rPr>
          <w:vertAlign w:val="superscript"/>
        </w:rPr>
        <w:t xml:space="preserve">,</w:t>
      </w:r>
      <w:hyperlink w:anchor="ref-478">
        <w:r>
          <w:rPr>
            <w:rStyle w:val="Hyperlink"/>
            <w:vertAlign w:val="superscript"/>
          </w:rPr>
          <w:t xml:space="preserve">478</w:t>
        </w:r>
      </w:hyperlink>
      <w:r>
        <w:rPr>
          <w:vertAlign w:val="superscript"/>
        </w:rPr>
        <w:t xml:space="preserve">,</w:t>
      </w:r>
      <w:hyperlink w:anchor="ref-481">
        <w:r>
          <w:rPr>
            <w:rStyle w:val="Hyperlink"/>
            <w:vertAlign w:val="superscript"/>
          </w:rPr>
          <w:t xml:space="preserve">481</w:t>
        </w:r>
      </w:hyperlink>
      <w:r>
        <w:rPr>
          <w:vertAlign w:val="superscript"/>
        </w:rPr>
        <w:t xml:space="preserve">]</w:t>
      </w:r>
      <w:r>
        <w:t xml:space="preserve">。认知地图的精确形式、内部状态如何重组地图，以及空间机制向抽象社会知识的推广，仍包含活跃争论</w:t>
      </w:r>
      <w:r>
        <w:rPr>
          <w:vertAlign w:val="superscript"/>
        </w:rPr>
        <w:t xml:space="preserve">[</w:t>
      </w:r>
      <w:hyperlink w:anchor="ref-480">
        <w:r>
          <w:rPr>
            <w:rStyle w:val="Hyperlink"/>
            <w:vertAlign w:val="superscript"/>
          </w:rPr>
          <w:t xml:space="preserve">480</w:t>
        </w:r>
      </w:hyperlink>
      <w:r>
        <w:rPr>
          <w:vertAlign w:val="superscript"/>
        </w:rPr>
        <w:t xml:space="preserve">,</w:t>
      </w:r>
      <w:hyperlink w:anchor="ref-485">
        <w:r>
          <w:rPr>
            <w:rStyle w:val="Hyperlink"/>
            <w:vertAlign w:val="superscript"/>
          </w:rPr>
          <w:t xml:space="preserve">485</w:t>
        </w:r>
      </w:hyperlink>
      <w:r>
        <w:rPr>
          <w:vertAlign w:val="superscript"/>
        </w:rPr>
        <w:t xml:space="preserve">,</w:t>
      </w:r>
      <w:hyperlink w:anchor="ref-486">
        <w:r>
          <w:rPr>
            <w:rStyle w:val="Hyperlink"/>
            <w:vertAlign w:val="superscript"/>
          </w:rPr>
          <w:t xml:space="preserve">486</w:t>
        </w:r>
      </w:hyperlink>
      <w:r>
        <w:rPr>
          <w:vertAlign w:val="superscript"/>
        </w:rPr>
        <w:t xml:space="preserve">]</w:t>
      </w:r>
      <w:r>
        <w:t xml:space="preserve">。人类能够利用他人的目标和信息状态进行推断，这一基本关系较稳固；幼儿特定预期注视指标的可靠性以及它能支持多强的心理理论结论，需要更谨慎判断</w:t>
      </w:r>
      <w:r>
        <w:rPr>
          <w:vertAlign w:val="superscript"/>
        </w:rPr>
        <w:t xml:space="preserve">[</w:t>
      </w:r>
      <w:hyperlink w:anchor="ref-487">
        <w:r>
          <w:rPr>
            <w:rStyle w:val="Hyperlink"/>
            <w:vertAlign w:val="superscript"/>
          </w:rPr>
          <w:t xml:space="preserve">487</w:t>
        </w:r>
      </w:hyperlink>
      <w:r>
        <w:rPr>
          <w:vertAlign w:val="superscript"/>
        </w:rPr>
        <w:t xml:space="preserve">,</w:t>
      </w:r>
      <w:hyperlink w:anchor="ref-488">
        <w:r>
          <w:rPr>
            <w:rStyle w:val="Hyperlink"/>
            <w:vertAlign w:val="superscript"/>
          </w:rPr>
          <w:t xml:space="preserve">488</w:t>
        </w:r>
      </w:hyperlink>
      <w:r>
        <w:rPr>
          <w:vertAlign w:val="superscript"/>
        </w:rPr>
        <w:t xml:space="preserve">,</w:t>
      </w:r>
      <w:hyperlink w:anchor="ref-492">
        <w:r>
          <w:rPr>
            <w:rStyle w:val="Hyperlink"/>
            <w:vertAlign w:val="superscript"/>
          </w:rPr>
          <w:t xml:space="preserve">492</w:t>
        </w:r>
      </w:hyperlink>
      <w:r>
        <w:rPr>
          <w:vertAlign w:val="superscript"/>
        </w:rPr>
        <w:t xml:space="preserve">]</w:t>
      </w:r>
      <w:r>
        <w:t xml:space="preserve">。空间或社会训练向长期现实能力的迁移，应依直接效果证据评价。</w:t>
      </w:r>
    </w:p>
    <w:bookmarkEnd w:id="882"/>
    <w:bookmarkStart w:id="883" w:name="sec-44-28"/>
    <w:p>
      <w:pPr>
        <w:pStyle w:val="Heading3"/>
      </w:pPr>
      <w:r>
        <w:t xml:space="preserve">44.28　综合练习</w:t>
      </w:r>
    </w:p>
    <w:p>
      <w:pPr>
        <w:pStyle w:val="FirstParagraph"/>
      </w:pPr>
      <w:r>
        <w:t xml:space="preserve">练习一。学生能沿熟悉路线到达教室，却无法指出教室相对操场的方向。参考分析：路线序列与总览关系知识可能发展不一致，应分别测量。</w:t>
      </w:r>
    </w:p>
    <w:p>
      <w:pPr>
        <w:pStyle w:val="BodyText"/>
      </w:pPr>
      <w:r>
        <w:t xml:space="preserve">练习二。某脑影像信号呈六重方向调制。参考分析：这与网格样组织相容，但属于群体间接证据，还需考虑分析假设与替代来源。</w:t>
      </w:r>
    </w:p>
    <w:p>
      <w:pPr>
        <w:pStyle w:val="BodyText"/>
      </w:pPr>
      <w:r>
        <w:t xml:space="preserve">练习三。幼儿在错误信念条件中没有预期注视，基础动作预期也没有出现。参考分析：测量没有稳定展示必要基础过程，不能直接断言幼儿缺少心理理论。</w:t>
      </w:r>
    </w:p>
    <w:p>
      <w:pPr>
        <w:pStyle w:val="BodyText"/>
      </w:pPr>
      <w:r>
        <w:t xml:space="preserve">练习四。一个人准确判断朋友难过，却没有表现同样情绪。参考分析：心理状态理解与情感共享可以分离，还需单独考察关怀和帮助行为。</w:t>
      </w:r>
    </w:p>
    <w:p>
      <w:pPr>
        <w:pStyle w:val="BodyText"/>
      </w:pPr>
      <w:r>
        <w:t xml:space="preserve">练习五。甲和乙共同看地图时出现相似脑信号。参考分析：共同视觉输入与任务要求可能贡献同步，证明互动因果需要更具体的时间和条件证据。</w:t>
      </w:r>
    </w:p>
    <w:p>
      <w:pPr>
        <w:pStyle w:val="BodyText"/>
      </w:pPr>
      <w:r>
        <w:t xml:space="preserve">练习六。两人导航比一人更慢。参考分析：团队可能增加交流和协调成本，也可能在避免严重错误上获益；应同时评价速度、错误、路线质量和成员学习。</w:t>
      </w:r>
    </w:p>
    <w:bookmarkEnd w:id="883"/>
    <w:bookmarkEnd w:id="884"/>
    <w:bookmarkStart w:id="914" w:name="ch-45"/>
    <w:p>
      <w:pPr>
        <w:pStyle w:val="Heading2"/>
      </w:pPr>
      <w:r>
        <w:t xml:space="preserve">第45章　强化学习、价值判断与决策控制</w:t>
      </w:r>
    </w:p>
    <w:bookmarkStart w:id="885" w:name="sec-45-1"/>
    <w:p>
      <w:pPr>
        <w:pStyle w:val="Heading3"/>
      </w:pPr>
      <w:r>
        <w:t xml:space="preserve">45.1　从结果中学习的基本问题</w:t>
      </w:r>
    </w:p>
    <w:p>
      <w:pPr>
        <w:pStyle w:val="FirstParagraph"/>
      </w:pPr>
      <w:r>
        <w:t xml:space="preserve">行动会带来结果，结果又会影响下一次行动。强化学习框架研究学习者如何利用这种反馈改进行为，尤其关注奖励延迟、环境不确定和行动影响后续机会的情形。时间差分方法为连续经验中的价值更新提供了一个经典算法家族</w:t>
      </w:r>
      <w:r>
        <w:rPr>
          <w:vertAlign w:val="superscript"/>
        </w:rPr>
        <w:t xml:space="preserve">[</w:t>
      </w:r>
      <w:hyperlink w:anchor="ref-502">
        <w:r>
          <w:rPr>
            <w:rStyle w:val="Hyperlink"/>
            <w:vertAlign w:val="superscript"/>
          </w:rPr>
          <w:t xml:space="preserve">502</w:t>
        </w:r>
      </w:hyperlink>
      <w:r>
        <w:rPr>
          <w:vertAlign w:val="superscript"/>
        </w:rPr>
        <w:t xml:space="preserve">]</w:t>
      </w:r>
      <w:r>
        <w:t xml:space="preserve">。在认知科学中，强化学习既可以指一类任务问题，也可以指解决问题的特定算法，两种用法需要区分。</w:t>
      </w:r>
    </w:p>
    <w:p>
      <w:pPr>
        <w:pStyle w:val="BodyText"/>
      </w:pPr>
      <w:r>
        <w:t xml:space="preserve">一个人通过反馈学会正确按键，说明出现了基于结果的学习。具体机制可能包括逐渐形成的价值估计、对最近正确答案的工作记忆、规则推断或对事件的提取。相似学习曲线可以由这些过程的不同组合产生</w:t>
      </w:r>
      <w:r>
        <w:rPr>
          <w:vertAlign w:val="superscript"/>
        </w:rPr>
        <w:t xml:space="preserve">[</w:t>
      </w:r>
      <w:hyperlink w:anchor="ref-503">
        <w:r>
          <w:rPr>
            <w:rStyle w:val="Hyperlink"/>
            <w:vertAlign w:val="superscript"/>
          </w:rPr>
          <w:t xml:space="preserve">503</w:t>
        </w:r>
      </w:hyperlink>
      <w:r>
        <w:rPr>
          <w:vertAlign w:val="superscript"/>
        </w:rPr>
        <w:t xml:space="preserve">,</w:t>
      </w:r>
      <w:hyperlink w:anchor="ref-504">
        <w:r>
          <w:rPr>
            <w:rStyle w:val="Hyperlink"/>
            <w:vertAlign w:val="superscript"/>
          </w:rPr>
          <w:t xml:space="preserve">504</w:t>
        </w:r>
      </w:hyperlink>
      <w:r>
        <w:rPr>
          <w:vertAlign w:val="superscript"/>
        </w:rPr>
        <w:t xml:space="preserve">]</w:t>
      </w:r>
      <w:r>
        <w:t xml:space="preserve">。因此，任务获得奖励与脑内采用某一种强化学习算法之间，需要进一步证据连接。</w:t>
      </w:r>
    </w:p>
    <w:p>
      <w:pPr>
        <w:pStyle w:val="BodyText"/>
      </w:pPr>
      <w:r>
        <w:t xml:space="preserve">本章的分析单位包括状态、行动、结果、策略和价值。状态描述当前决策所需的信息，行动表示可选择的行为，结果包括即时收益和环境变化，策略规定在不同状态下如何选择，价值则评估预期后果。明确这些成分，有助于把笼统的“奖赏反应”拆成具体机制。</w:t>
      </w:r>
    </w:p>
    <w:bookmarkEnd w:id="885"/>
    <w:bookmarkStart w:id="886" w:name="sec-45-2"/>
    <w:p>
      <w:pPr>
        <w:pStyle w:val="Heading3"/>
      </w:pPr>
      <w:r>
        <w:t xml:space="preserve">45.2　状态表征决定可以学到什么</w:t>
      </w:r>
    </w:p>
    <w:p>
      <w:pPr>
        <w:pStyle w:val="FirstParagraph"/>
      </w:pPr>
      <w:r>
        <w:t xml:space="preserve">状态包含哪些信息，会改变学习者能够区分的情形。两次看到同一个图标，如果一次发生在规则甲、一次发生在规则乙，正确行动可能不同。若系统把两次经历合并成同一状态，平均反馈会显得不稳定；若能利用背景或历史区分规则，学习就可能更有针对性。潜在结构学习研究关注这种表征组织问题</w:t>
      </w:r>
      <w:r>
        <w:rPr>
          <w:vertAlign w:val="superscript"/>
        </w:rPr>
        <w:t xml:space="preserve">[</w:t>
      </w:r>
      <w:hyperlink w:anchor="ref-505">
        <w:r>
          <w:rPr>
            <w:rStyle w:val="Hyperlink"/>
            <w:vertAlign w:val="superscript"/>
          </w:rPr>
          <w:t xml:space="preserve">505</w:t>
        </w:r>
      </w:hyperlink>
      <w:r>
        <w:rPr>
          <w:vertAlign w:val="superscript"/>
        </w:rPr>
        <w:t xml:space="preserve">]</w:t>
      </w:r>
      <w:r>
        <w:t xml:space="preserve">。</w:t>
      </w:r>
    </w:p>
    <w:p>
      <w:pPr>
        <w:pStyle w:val="BodyText"/>
      </w:pPr>
      <w:r>
        <w:t xml:space="preserve">原创例子是学习一台有两种模式的机器。蓝灯模式下按钮甲启动加热，黄灯模式下同一按钮启动冷却。忽略模式灯的学习者可能认为按钮结果随机；注意模式灯后，两个确定关系便可以分别学习。这说明表面上的低学习率，有时来自状态划分不足。</w:t>
      </w:r>
    </w:p>
    <w:p>
      <w:pPr>
        <w:pStyle w:val="BodyText"/>
      </w:pPr>
      <w:r>
        <w:t xml:space="preserve">隐藏状态还需要从过去信息推断。假设模式灯熄灭，机器仍保持刚才模式，当前视觉输入就不足以确定状态。学习者必须保留历史或推断内部模式。眶额皮层的任务空间理论提出，该区域可能参与这种与决策有关的状态表征</w:t>
      </w:r>
      <w:r>
        <w:rPr>
          <w:vertAlign w:val="superscript"/>
        </w:rPr>
        <w:t xml:space="preserve">[</w:t>
      </w:r>
      <w:hyperlink w:anchor="ref-506">
        <w:r>
          <w:rPr>
            <w:rStyle w:val="Hyperlink"/>
            <w:vertAlign w:val="superscript"/>
          </w:rPr>
          <w:t xml:space="preserve">506</w:t>
        </w:r>
      </w:hyperlink>
      <w:r>
        <w:rPr>
          <w:vertAlign w:val="superscript"/>
        </w:rPr>
        <w:t xml:space="preserve">]</w:t>
      </w:r>
      <w:r>
        <w:t xml:space="preserve">。这是功能框架，不能据此把所有世界知识定位到一个区域。</w:t>
      </w:r>
    </w:p>
    <w:bookmarkEnd w:id="886"/>
    <w:bookmarkStart w:id="887" w:name="sec-45-3"/>
    <w:p>
      <w:pPr>
        <w:pStyle w:val="Heading3"/>
      </w:pPr>
      <w:r>
        <w:t xml:space="preserve">45.3　奖励、目标与主观价值</w:t>
      </w:r>
    </w:p>
    <w:p>
      <w:pPr>
        <w:pStyle w:val="FirstParagraph"/>
      </w:pPr>
      <w:r>
        <w:t xml:space="preserve">实验中的奖励常由分数、金钱或食物定义，但它们对个体的价值依赖需求、任务理解和环境。目标导向行动需要知道某个行动会产生什么结果，也需要知道该结果当前是否值得追求</w:t>
      </w:r>
      <w:r>
        <w:rPr>
          <w:vertAlign w:val="superscript"/>
        </w:rPr>
        <w:t xml:space="preserve">[</w:t>
      </w:r>
      <w:hyperlink w:anchor="ref-507">
        <w:r>
          <w:rPr>
            <w:rStyle w:val="Hyperlink"/>
            <w:vertAlign w:val="superscript"/>
          </w:rPr>
          <w:t xml:space="preserve">507</w:t>
        </w:r>
      </w:hyperlink>
      <w:r>
        <w:rPr>
          <w:vertAlign w:val="superscript"/>
        </w:rPr>
        <w:t xml:space="preserve">]</w:t>
      </w:r>
      <w:r>
        <w:t xml:space="preserve">。奖励的物理数量与主观价值因此应分别描述。</w:t>
      </w:r>
    </w:p>
    <w:p>
      <w:pPr>
        <w:pStyle w:val="BodyText"/>
      </w:pPr>
      <w:r>
        <w:t xml:space="preserve">假设一名参与者已经吃饱，同一种食物的吸引力可能改变。若他仍然知道哪个按钮产生食物，却减少选择，变化可以来自结果价值。若按钮规则改变后他仍按旧键，则还需要考虑动作结果知识和控制方式。把两种变化合并为“奖励系统失灵”，会丢失重要区分。</w:t>
      </w:r>
    </w:p>
    <w:p>
      <w:pPr>
        <w:pStyle w:val="BodyText"/>
      </w:pPr>
      <w:r>
        <w:t xml:space="preserve">模型中的奖励函数还承担规范性假设。把任务目标写成累计分数最大化，是研究者对该任务的定义。现实生活中的人可能同时重视时间、关系、公平、好奇和避免损失。一个行为偏离单一分数最大化，不足以说明它对行为者的整体目标毫无意义。</w:t>
      </w:r>
    </w:p>
    <w:bookmarkEnd w:id="887"/>
    <w:bookmarkStart w:id="888" w:name="sec-45-4"/>
    <w:p>
      <w:pPr>
        <w:pStyle w:val="Heading3"/>
      </w:pPr>
      <w:r>
        <w:t xml:space="preserve">45.4　预测误差如何驱动增量更新</w:t>
      </w:r>
    </w:p>
    <w:p>
      <w:pPr>
        <w:pStyle w:val="FirstParagraph"/>
      </w:pPr>
      <w:r>
        <w:t xml:space="preserve">最简单的增量模型先形成预期，再比较实际结果与预期，并用差值更新。学习率决定一次新结果改变旧估计的幅度。奖励预测误差理论与部分多巴胺神经响应之间的对应，为这种计算提供了重要神经科学依据</w:t>
      </w:r>
      <w:r>
        <w:rPr>
          <w:vertAlign w:val="superscript"/>
        </w:rPr>
        <w:t xml:space="preserve">[</w:t>
      </w:r>
      <w:hyperlink w:anchor="ref-508">
        <w:r>
          <w:rPr>
            <w:rStyle w:val="Hyperlink"/>
            <w:vertAlign w:val="superscript"/>
          </w:rPr>
          <w:t xml:space="preserve">508</w:t>
        </w:r>
      </w:hyperlink>
      <w:r>
        <w:rPr>
          <w:vertAlign w:val="superscript"/>
        </w:rPr>
        <w:t xml:space="preserve">]</w:t>
      </w:r>
      <w:r>
        <w:t xml:space="preserve">。</w:t>
      </w:r>
    </w:p>
    <w:p>
      <w:pPr>
        <w:pStyle w:val="BodyText"/>
      </w:pPr>
      <w:r>
        <w:t xml:space="preserve">以下是原创数值演示。设某行动当前价值为零点四，得到的奖励为一，误差为零点六。若学习率为零点二，更新量是零点一二，新价值为零点五二。随后获得零奖励，误差为负零点五二，更新后的价值为零点四一六。两个结果都进入估计，先前经验不会在一步中完全消失。</w:t>
      </w:r>
    </w:p>
    <w:p>
      <w:pPr>
        <w:pStyle w:val="BodyText"/>
      </w:pPr>
      <w:r>
        <w:t xml:space="preserve">学习率很高时，估计更快追随最近结果，也更容易受偶发噪声影响；学习率较低时，估计较稳定，环境真正改变后可能调整较慢。这些关系来自更新规则本身。何种学习率更合适，取决于环境变化速度、反馈噪声和可利用的历史信息。</w:t>
      </w:r>
    </w:p>
    <w:bookmarkEnd w:id="888"/>
    <w:bookmarkStart w:id="889" w:name="sec-45-5"/>
    <w:p>
      <w:pPr>
        <w:pStyle w:val="Heading3"/>
      </w:pPr>
      <w:r>
        <w:t xml:space="preserve">45.5　时间差分与延迟结果</w:t>
      </w:r>
    </w:p>
    <w:p>
      <w:pPr>
        <w:pStyle w:val="FirstParagraph"/>
      </w:pPr>
      <w:r>
        <w:t xml:space="preserve">多步任务中，某个行动可能暂时没有奖励，却把学习者带到更有价值的状态。时间差分更新利用即时结果和下一状态的估计价值，修正当前预测</w:t>
      </w:r>
      <w:r>
        <w:rPr>
          <w:vertAlign w:val="superscript"/>
        </w:rPr>
        <w:t xml:space="preserve">[</w:t>
      </w:r>
      <w:hyperlink w:anchor="ref-502">
        <w:r>
          <w:rPr>
            <w:rStyle w:val="Hyperlink"/>
            <w:vertAlign w:val="superscript"/>
          </w:rPr>
          <w:t xml:space="preserve">502</w:t>
        </w:r>
      </w:hyperlink>
      <w:r>
        <w:rPr>
          <w:vertAlign w:val="superscript"/>
        </w:rPr>
        <w:t xml:space="preserve">]</w:t>
      </w:r>
      <w:r>
        <w:t xml:space="preserve">。常见形式为“误差等于即时奖励，加上折扣后的下一状态价值，再减去当前状态价值”。折扣参数规定模型如何处理较远后果。</w:t>
      </w:r>
    </w:p>
    <w:p>
      <w:pPr>
        <w:pStyle w:val="BodyText"/>
      </w:pPr>
      <w:r>
        <w:t xml:space="preserve">原创例子中，从起点走到中间站没有直接得分，中间站后来能够到达奖品。随着中间站获得较高价值，起点的行动也可以通过这一中介获得较高估计。这样，学习信号能够沿经验链逐步传播。传播速度还取决于经历顺序、重复次数和具体更新方式。</w:t>
      </w:r>
    </w:p>
    <w:p>
      <w:pPr>
        <w:pStyle w:val="BodyText"/>
      </w:pPr>
      <w:r>
        <w:t xml:space="preserve">折扣的数学作用与人的耐心之间没有简单等号。模型可能用折扣表示未来机会的不确定、时间成本或计算近似；真实等待选择还涉及对承诺可信度和自身需求的判断。解释参数时应保留它在当前模型中的具体含义。</w:t>
      </w:r>
    </w:p>
    <w:bookmarkEnd w:id="889"/>
    <w:bookmarkStart w:id="890" w:name="sec-45-6"/>
    <w:p>
      <w:pPr>
        <w:pStyle w:val="Heading3"/>
      </w:pPr>
      <w:r>
        <w:t xml:space="preserve">45.6　时间信用分配与竞争线索</w:t>
      </w:r>
    </w:p>
    <w:p>
      <w:pPr>
        <w:pStyle w:val="FirstParagraph"/>
      </w:pPr>
      <w:r>
        <w:t xml:space="preserve">结果到来时，系统需要判断此前哪些事件或行动应得到更新，这就是时间信用分配问题。若多个线索先后出现，最近线索、显著线索和已经具有预测性的线索可能产生不同影响。单纯统计某事件与结果共同出现次数，无法穷尽这类学习。</w:t>
      </w:r>
    </w:p>
    <w:p>
      <w:pPr>
        <w:pStyle w:val="BodyText"/>
      </w:pPr>
      <w:r>
        <w:t xml:space="preserve">一个原创情境是按下多个按钮后机器成功启动。学习者需要区分必要操作、偶然伴随动作和结果已经发生后的无关行为。缩短反馈延迟、明确阶段结果或逐步测试，可以让因果关系更容易识别。这是任务分析所给出的设计推论，实际学习收益需要在具体情境中评价。</w:t>
      </w:r>
    </w:p>
    <w:p>
      <w:pPr>
        <w:pStyle w:val="BodyText"/>
      </w:pPr>
      <w:r>
        <w:t xml:space="preserve">已有线索充分预测奖励时，新线索获得的学习可能受限。针对预测误差信号的光遗传研究表明，在特定奖励时点操控多巴胺神经元，能够改变相应线索学习</w:t>
      </w:r>
      <w:r>
        <w:rPr>
          <w:vertAlign w:val="superscript"/>
        </w:rPr>
        <w:t xml:space="preserve">[</w:t>
      </w:r>
      <w:hyperlink w:anchor="ref-509">
        <w:r>
          <w:rPr>
            <w:rStyle w:val="Hyperlink"/>
            <w:vertAlign w:val="superscript"/>
          </w:rPr>
          <w:t xml:space="preserve">509</w:t>
        </w:r>
      </w:hyperlink>
      <w:r>
        <w:rPr>
          <w:vertAlign w:val="superscript"/>
        </w:rPr>
        <w:t xml:space="preserve">]</w:t>
      </w:r>
      <w:r>
        <w:t xml:space="preserve">。这类因果证据支持某些误差信号参与学习，同时不能把任意神经刺激的效应推广为所有知识学习的共同规则。</w:t>
      </w:r>
    </w:p>
    <w:bookmarkEnd w:id="890"/>
    <w:bookmarkStart w:id="891" w:name="sec-45-7"/>
    <w:p>
      <w:pPr>
        <w:pStyle w:val="Heading3"/>
      </w:pPr>
      <w:r>
        <w:t xml:space="preserve">45.7　多巴胺计算的范围</w:t>
      </w:r>
    </w:p>
    <w:p>
      <w:pPr>
        <w:pStyle w:val="FirstParagraph"/>
      </w:pPr>
      <w:r>
        <w:t xml:space="preserve">奖励预测误差是多巴胺研究中的重要计算解释。不同神经元、投射和任务条件还可能涉及运动、显著性、感觉内容和其他信息。广义预测误差框架尝试把部分非标量价值现象纳入更宽的学习描述</w:t>
      </w:r>
      <w:r>
        <w:rPr>
          <w:vertAlign w:val="superscript"/>
        </w:rPr>
        <w:t xml:space="preserve">[</w:t>
      </w:r>
      <w:hyperlink w:anchor="ref-510">
        <w:r>
          <w:rPr>
            <w:rStyle w:val="Hyperlink"/>
            <w:vertAlign w:val="superscript"/>
          </w:rPr>
          <w:t xml:space="preserve">510</w:t>
        </w:r>
      </w:hyperlink>
      <w:r>
        <w:rPr>
          <w:vertAlign w:val="superscript"/>
        </w:rPr>
        <w:t xml:space="preserve">]</w:t>
      </w:r>
      <w:r>
        <w:t xml:space="preserve">。各种解释之间需要通过具体神经响应和操控进行区分。</w:t>
      </w:r>
    </w:p>
    <w:p>
      <w:pPr>
        <w:pStyle w:val="BodyText"/>
      </w:pPr>
      <w:r>
        <w:t xml:space="preserve">因此，看到一个奖励相关脑区活跃，不能直接读出愉悦程度、欲望强度或学习量。神经活动与哪一种变量相关，需要结合实验对这些变量的独立操作。行为中得到奖励，也不意味着多巴胺活动始终随奖励大小线性增加。</w:t>
      </w:r>
    </w:p>
    <w:p>
      <w:pPr>
        <w:pStyle w:val="BodyText"/>
      </w:pPr>
      <w:r>
        <w:t xml:space="preserve">在本章的模型里，多巴胺可以被讨论为某些更新和行动调节的候选机制。更广泛的递质受体、通路和成瘾问题，需要结合相应生物学章节。计算变量与分子信号之间的映射应保持条件明确。</w:t>
      </w:r>
    </w:p>
    <w:bookmarkEnd w:id="891"/>
    <w:bookmarkStart w:id="892" w:name="sec-45-8"/>
    <w:p>
      <w:pPr>
        <w:pStyle w:val="Heading3"/>
      </w:pPr>
      <w:r>
        <w:t xml:space="preserve">45.8　无模型价值与前瞻规划</w:t>
      </w:r>
    </w:p>
    <w:p>
      <w:pPr>
        <w:pStyle w:val="FirstParagraph"/>
      </w:pPr>
      <w:r>
        <w:t xml:space="preserve">无模型方法可以通过经验缓存行动或状态的价值。选择时直接利用这些估计，能够节省逐步模拟的计算。基于模型的方法保存或学习状态转移和结果结构，再根据当前目标推演后果。两类方法提供了分析行为控制的重要起点</w:t>
      </w:r>
      <w:r>
        <w:rPr>
          <w:vertAlign w:val="superscript"/>
        </w:rPr>
        <w:t xml:space="preserve">[</w:t>
      </w:r>
      <w:hyperlink w:anchor="ref-511">
        <w:r>
          <w:rPr>
            <w:rStyle w:val="Hyperlink"/>
            <w:vertAlign w:val="superscript"/>
          </w:rPr>
          <w:t xml:space="preserve">511</w:t>
        </w:r>
      </w:hyperlink>
      <w:r>
        <w:rPr>
          <w:vertAlign w:val="superscript"/>
        </w:rPr>
        <w:t xml:space="preserve">,</w:t>
      </w:r>
      <w:hyperlink w:anchor="ref-512">
        <w:r>
          <w:rPr>
            <w:rStyle w:val="Hyperlink"/>
            <w:vertAlign w:val="superscript"/>
          </w:rPr>
          <w:t xml:space="preserve">512</w:t>
        </w:r>
      </w:hyperlink>
      <w:r>
        <w:rPr>
          <w:vertAlign w:val="superscript"/>
        </w:rPr>
        <w:t xml:space="preserve">]</w:t>
      </w:r>
      <w:r>
        <w:t xml:space="preserve">。</w:t>
      </w:r>
    </w:p>
    <w:p>
      <w:pPr>
        <w:pStyle w:val="BodyText"/>
      </w:pPr>
      <w:r>
        <w:t xml:space="preserve">原创导航例子中，一个人记住“从家出门向左通常更快”，另一个人根据路网和当前施工情况重新计算路线。前者在稳定环境中可能十分有效；道路变化后，后者若拥有准确模型，可以更快调整。若内部地图过时或规划时间过长，前瞻计算也可能导致较差结果。</w:t>
      </w:r>
    </w:p>
    <w:p>
      <w:pPr>
        <w:pStyle w:val="BodyText"/>
      </w:pPr>
      <w:r>
        <w:t xml:space="preserve">“基于模型”并不要求学习者在主观上逐字解释所有步骤，“无模型”也不表示没有记忆。二者描述的是信息如何参与价值计算。真实系统还可以同时使用缓存、局部搜索、事件记忆和规则，使行为落在多种机制的组合空间中。</w:t>
      </w:r>
    </w:p>
    <w:bookmarkEnd w:id="892"/>
    <w:bookmarkStart w:id="893" w:name="sec-45-9"/>
    <w:p>
      <w:pPr>
        <w:pStyle w:val="Heading3"/>
      </w:pPr>
      <w:r>
        <w:t xml:space="preserve">45.9　两阶段任务究竟区分什么</w:t>
      </w:r>
    </w:p>
    <w:p>
      <w:pPr>
        <w:pStyle w:val="FirstParagraph"/>
      </w:pPr>
      <w:r>
        <w:t xml:space="preserve">经典两阶段任务让第一步选择以较常见或较少见的方式进入第二状态，随后得到结果。若学习者利用转移结构，前一次奖励对下一次选择的影响会依转移类型改变。相关人类研究发现，行为和纹状体信号能够同时包含这种模型利用的影响</w:t>
      </w:r>
      <w:r>
        <w:rPr>
          <w:vertAlign w:val="superscript"/>
        </w:rPr>
        <w:t xml:space="preserve">[</w:t>
      </w:r>
      <w:hyperlink w:anchor="ref-513">
        <w:r>
          <w:rPr>
            <w:rStyle w:val="Hyperlink"/>
            <w:vertAlign w:val="superscript"/>
          </w:rPr>
          <w:t xml:space="preserve">513</w:t>
        </w:r>
      </w:hyperlink>
      <w:r>
        <w:rPr>
          <w:vertAlign w:val="superscript"/>
        </w:rPr>
        <w:t xml:space="preserve">]</w:t>
      </w:r>
      <w:r>
        <w:t xml:space="preserve">。</w:t>
      </w:r>
    </w:p>
    <w:p>
      <w:pPr>
        <w:pStyle w:val="BodyText"/>
      </w:pPr>
      <w:r>
        <w:t xml:space="preserve">例如行动甲通常通向状态红，却偶尔通向状态蓝。如果一次罕见转移到蓝后获得奖励，知道结构的学习者可能选择通常通向蓝的另一行动。单纯重复刚刚获奖行动的策略则给出不同预测。这种差异让任务能够检验特定计算成分。</w:t>
      </w:r>
    </w:p>
    <w:p>
      <w:pPr>
        <w:pStyle w:val="BodyText"/>
      </w:pPr>
      <w:r>
        <w:t xml:space="preserve">任务指标需要结合规则理解、转移学习和策略混合解释。更多模型利用也未必在所有版本中带来更高奖励；计算分析与任务改造研究显示，实际收益高度依赖转移和奖励结构</w:t>
      </w:r>
      <w:r>
        <w:rPr>
          <w:vertAlign w:val="superscript"/>
        </w:rPr>
        <w:t xml:space="preserve">[</w:t>
      </w:r>
      <w:hyperlink w:anchor="ref-514">
        <w:r>
          <w:rPr>
            <w:rStyle w:val="Hyperlink"/>
            <w:vertAlign w:val="superscript"/>
          </w:rPr>
          <w:t xml:space="preserve">514</w:t>
        </w:r>
      </w:hyperlink>
      <w:r>
        <w:rPr>
          <w:vertAlign w:val="superscript"/>
        </w:rPr>
        <w:t xml:space="preserve">]</w:t>
      </w:r>
      <w:r>
        <w:t xml:space="preserve">。因而，这类任务中的一个参数不能直接充当生活理性程度的总评分。</w:t>
      </w:r>
    </w:p>
    <w:bookmarkEnd w:id="893"/>
    <w:bookmarkStart w:id="894" w:name="sec-45-10"/>
    <w:p>
      <w:pPr>
        <w:pStyle w:val="Heading3"/>
      </w:pPr>
      <w:r>
        <w:t xml:space="preserve">45.10　习惯的操作定义与多种机制</w:t>
      </w:r>
    </w:p>
    <w:p>
      <w:pPr>
        <w:pStyle w:val="FirstParagraph"/>
      </w:pPr>
      <w:r>
        <w:t xml:space="preserve">目标导向控制常通过结果贬值或动作结果关系变化来检验。若结果不再有吸引力，学习者在尚未获得新行动反馈时就调整行为，说明当前结果价值能够影响选择。若反应对这些变化较不敏感，可以为习惯控制提供证据，但仍需确认参与者理解变化并能表达知识</w:t>
      </w:r>
      <w:r>
        <w:rPr>
          <w:vertAlign w:val="superscript"/>
        </w:rPr>
        <w:t xml:space="preserve">[</w:t>
      </w:r>
      <w:hyperlink w:anchor="ref-507">
        <w:r>
          <w:rPr>
            <w:rStyle w:val="Hyperlink"/>
            <w:vertAlign w:val="superscript"/>
          </w:rPr>
          <w:t xml:space="preserve">507</w:t>
        </w:r>
      </w:hyperlink>
      <w:r>
        <w:rPr>
          <w:vertAlign w:val="superscript"/>
        </w:rPr>
        <w:t xml:space="preserve">]</w:t>
      </w:r>
      <w:r>
        <w:t xml:space="preserve">。</w:t>
      </w:r>
    </w:p>
    <w:p>
      <w:pPr>
        <w:pStyle w:val="BodyText"/>
      </w:pPr>
      <w:r>
        <w:t xml:space="preserve">跨物种研究支持皮层纹状体回路参与不同形式的行动控制，同时具体区域和任务之间存在边界</w:t>
      </w:r>
      <w:r>
        <w:rPr>
          <w:vertAlign w:val="superscript"/>
        </w:rPr>
        <w:t xml:space="preserve">[</w:t>
      </w:r>
      <w:hyperlink w:anchor="ref-515">
        <w:r>
          <w:rPr>
            <w:rStyle w:val="Hyperlink"/>
            <w:vertAlign w:val="superscript"/>
          </w:rPr>
          <w:t xml:space="preserve">515</w:t>
        </w:r>
      </w:hyperlink>
      <w:r>
        <w:rPr>
          <w:vertAlign w:val="superscript"/>
        </w:rPr>
        <w:t xml:space="preserve">]</w:t>
      </w:r>
      <w:r>
        <w:t xml:space="preserve">。日常所说的熟练、快速和重复，与实验中的结果不敏感性并不完全重合。一个高度熟练的动作仍可能服务于清楚的当前目标。</w:t>
      </w:r>
    </w:p>
    <w:p>
      <w:pPr>
        <w:pStyle w:val="BodyText"/>
      </w:pPr>
      <w:r>
        <w:t xml:space="preserve">习惯也有多种计算解释。价值无关的刺激反应联结模型强调，反复执行本身可以加强某个情境中的行动倾向</w:t>
      </w:r>
      <w:r>
        <w:rPr>
          <w:vertAlign w:val="superscript"/>
        </w:rPr>
        <w:t xml:space="preserve">[</w:t>
      </w:r>
      <w:hyperlink w:anchor="ref-516">
        <w:r>
          <w:rPr>
            <w:rStyle w:val="Hyperlink"/>
            <w:vertAlign w:val="superscript"/>
          </w:rPr>
          <w:t xml:space="preserve">516</w:t>
        </w:r>
      </w:hyperlink>
      <w:r>
        <w:rPr>
          <w:vertAlign w:val="superscript"/>
        </w:rPr>
        <w:t xml:space="preserve">]</w:t>
      </w:r>
      <w:r>
        <w:t xml:space="preserve">。这一方案提醒研究者，持续重复不能自动归因于缓存奖励价值。需要设计让重复次数与结果价值产生不同预测的情形。</w:t>
      </w:r>
    </w:p>
    <w:bookmarkEnd w:id="894"/>
    <w:bookmarkStart w:id="895" w:name="sec-45-11"/>
    <w:p>
      <w:pPr>
        <w:pStyle w:val="Heading3"/>
      </w:pPr>
      <w:r>
        <w:t xml:space="preserve">45.11　后继表征提供的中间方案</w:t>
      </w:r>
    </w:p>
    <w:p>
      <w:pPr>
        <w:pStyle w:val="FirstParagraph"/>
      </w:pPr>
      <w:r>
        <w:t xml:space="preserve">后继表征记录从当前状态出发，在某个策略下未来可能访问哪些状态以及访问程度。把这种预测结构与各状态的奖励结合，可以计算价值</w:t>
      </w:r>
      <w:r>
        <w:rPr>
          <w:vertAlign w:val="superscript"/>
        </w:rPr>
        <w:t xml:space="preserve">[</w:t>
      </w:r>
      <w:hyperlink w:anchor="ref-517">
        <w:r>
          <w:rPr>
            <w:rStyle w:val="Hyperlink"/>
            <w:vertAlign w:val="superscript"/>
          </w:rPr>
          <w:t xml:space="preserve">517</w:t>
        </w:r>
      </w:hyperlink>
      <w:r>
        <w:rPr>
          <w:vertAlign w:val="superscript"/>
        </w:rPr>
        <w:t xml:space="preserve">]</w:t>
      </w:r>
      <w:r>
        <w:t xml:space="preserve">。它把未来占用与奖励赋值分开，因此具有不同于单纯价值缓存的灵活性。</w:t>
      </w:r>
    </w:p>
    <w:p>
      <w:pPr>
        <w:pStyle w:val="BodyText"/>
      </w:pPr>
      <w:r>
        <w:t xml:space="preserve">原创例子中，路线经过车站、商店和公园。若学习者保存这些后续地点的预期访问关系，商店的奖励改变后，可以较快重新评估路线，无需重新走完整条路。若道路连接本身改变，原来的后续访问结构就可能失效，需要更新相应预测。</w:t>
      </w:r>
    </w:p>
    <w:p>
      <w:pPr>
        <w:pStyle w:val="BodyText"/>
      </w:pPr>
      <w:r>
        <w:t xml:space="preserve">这一差异给出清楚的行为问题：学习者对奖励改变和转移改变是否同样灵活。不同表示方式可能在两种变化下产生不同模式。模型名称应与这些可检验性质联系，避免把所有部分灵活行为都装入一个宽泛类别。</w:t>
      </w:r>
    </w:p>
    <w:bookmarkEnd w:id="895"/>
    <w:bookmarkStart w:id="896" w:name="sec-45-12"/>
    <w:p>
      <w:pPr>
        <w:pStyle w:val="Heading3"/>
      </w:pPr>
      <w:r>
        <w:t xml:space="preserve">45.12　工作记忆如何参与奖励学习</w:t>
      </w:r>
    </w:p>
    <w:p>
      <w:pPr>
        <w:pStyle w:val="FirstParagraph"/>
      </w:pPr>
      <w:r>
        <w:t xml:space="preserve">在少量刺激的按键任务中，参与者可能直接记住“刚才这个图形按右键是正确的”。随着需要记住的刺激增多，快速记忆支持可能受到限制。较早的工作记忆与奖励学习研究用集合大小等操控，展示了多过程解释的重要性</w:t>
      </w:r>
      <w:r>
        <w:rPr>
          <w:vertAlign w:val="superscript"/>
        </w:rPr>
        <w:t xml:space="preserve">[</w:t>
      </w:r>
      <w:hyperlink w:anchor="ref-503">
        <w:r>
          <w:rPr>
            <w:rStyle w:val="Hyperlink"/>
            <w:vertAlign w:val="superscript"/>
          </w:rPr>
          <w:t xml:space="preserve">503</w:t>
        </w:r>
      </w:hyperlink>
      <w:r>
        <w:rPr>
          <w:vertAlign w:val="superscript"/>
        </w:rPr>
        <w:t xml:space="preserve">]</w:t>
      </w:r>
      <w:r>
        <w:t xml:space="preserve">。</w:t>
      </w:r>
    </w:p>
    <w:p>
      <w:pPr>
        <w:pStyle w:val="BodyText"/>
      </w:pPr>
      <w:r>
        <w:t xml:space="preserve">2026年正式发表的一项研究重新分析七套数据，共五百九十四名参与者。在所研究的工具性任务中，快速工作记忆过程与较慢习惯联结过程的组合，比所比较的标准强化学习方案更好地解释行为</w:t>
      </w:r>
      <w:r>
        <w:rPr>
          <w:vertAlign w:val="superscript"/>
        </w:rPr>
        <w:t xml:space="preserve">[</w:t>
      </w:r>
      <w:hyperlink w:anchor="ref-518">
        <w:r>
          <w:rPr>
            <w:rStyle w:val="Hyperlink"/>
            <w:vertAlign w:val="superscript"/>
          </w:rPr>
          <w:t xml:space="preserve">518</w:t>
        </w:r>
      </w:hyperlink>
      <w:r>
        <w:rPr>
          <w:vertAlign w:val="superscript"/>
        </w:rPr>
        <w:t xml:space="preserve">]</w:t>
      </w:r>
      <w:r>
        <w:t xml:space="preserve">。结论针对特定任务族和模型比较，不能据此否定所有动物、人类或神经层面的强化学习机制。</w:t>
      </w:r>
    </w:p>
    <w:p>
      <w:pPr>
        <w:pStyle w:val="BodyText"/>
      </w:pPr>
      <w:r>
        <w:t xml:space="preserve">原创推理如下：如果一次正确反馈后表现立即改善，且隔入其他项目后迅速下降，那么保持和干扰机制值得考虑。如果表现随大量练习渐进稳定，且不再强烈依赖最近一次记忆，其他长期机制可能承担更大作用。两种表现可以同时存在，需要分析它们随负荷和时间的变化。</w:t>
      </w:r>
    </w:p>
    <w:bookmarkEnd w:id="896"/>
    <w:bookmarkStart w:id="897" w:name="sec-45-13"/>
    <w:p>
      <w:pPr>
        <w:pStyle w:val="Heading3"/>
      </w:pPr>
      <w:r>
        <w:t xml:space="preserve">45.13　事件记忆与选择的连接</w:t>
      </w:r>
    </w:p>
    <w:p>
      <w:pPr>
        <w:pStyle w:val="FirstParagraph"/>
      </w:pPr>
      <w:r>
        <w:t xml:space="preserve">决策可以利用具体经历，例如想起某次餐馆用餐或某次路线堵塞。事件记忆与强化学习的整合框架讨论，单次经历的提取如何影响价值估计、泛化和多步判断</w:t>
      </w:r>
      <w:r>
        <w:rPr>
          <w:vertAlign w:val="superscript"/>
        </w:rPr>
        <w:t xml:space="preserve">[</w:t>
      </w:r>
      <w:hyperlink w:anchor="ref-504">
        <w:r>
          <w:rPr>
            <w:rStyle w:val="Hyperlink"/>
            <w:vertAlign w:val="superscript"/>
          </w:rPr>
          <w:t xml:space="preserve">504</w:t>
        </w:r>
      </w:hyperlink>
      <w:r>
        <w:rPr>
          <w:vertAlign w:val="superscript"/>
        </w:rPr>
        <w:t xml:space="preserve">]</w:t>
      </w:r>
      <w:r>
        <w:t xml:space="preserve">。具体回忆与跨经历平均值能够提供不同的信息。</w:t>
      </w:r>
    </w:p>
    <w:p>
      <w:pPr>
        <w:pStyle w:val="BodyText"/>
      </w:pPr>
      <w:r>
        <w:t xml:space="preserve">假设一个人对某家店只有一次很糟的经历。直接提取该事件可能使选择强烈偏向回避；使用许多经历的平均值则可能产生较温和评价。两种策略在数据稀少、环境改变或事件异常时具有不同风险。关键问题是，当前提取的经历是否代表未来情境。</w:t>
      </w:r>
    </w:p>
    <w:p>
      <w:pPr>
        <w:pStyle w:val="BodyText"/>
      </w:pPr>
      <w:r>
        <w:t xml:space="preserve">教育中的案例教学也涉及这种机制。鲜明案例容易被想到，但鲜明程度与代表性可以分离。教师可以要求学生说明案例适用于哪些条件，再与其他案例比较。这样能够把事件记忆的可用性同结构化判断联系起来。</w:t>
      </w:r>
    </w:p>
    <w:bookmarkEnd w:id="897"/>
    <w:bookmarkStart w:id="898" w:name="sec-45-14"/>
    <w:p>
      <w:pPr>
        <w:pStyle w:val="Heading3"/>
      </w:pPr>
      <w:r>
        <w:t xml:space="preserve">45.14　规划深度与搜索范围</w:t>
      </w:r>
    </w:p>
    <w:p>
      <w:pPr>
        <w:pStyle w:val="FirstParagraph"/>
      </w:pPr>
      <w:r>
        <w:t xml:space="preserve">规划面临组合增长。若每一步有三个选项，连续考虑四步就有八十一条完整路径；增加一步会进一步扩大候选集合。人通常需要选择搜索哪些分支、深入多少步以及何时停止。近期规划综述讨论了树搜索、启发式和有限计算资源下的多种方案</w:t>
      </w:r>
      <w:r>
        <w:rPr>
          <w:vertAlign w:val="superscript"/>
        </w:rPr>
        <w:t xml:space="preserve">[</w:t>
      </w:r>
      <w:hyperlink w:anchor="ref-519">
        <w:r>
          <w:rPr>
            <w:rStyle w:val="Hyperlink"/>
            <w:vertAlign w:val="superscript"/>
          </w:rPr>
          <w:t xml:space="preserve">519</w:t>
        </w:r>
      </w:hyperlink>
      <w:r>
        <w:rPr>
          <w:vertAlign w:val="superscript"/>
        </w:rPr>
        <w:t xml:space="preserve">]</w:t>
      </w:r>
      <w:r>
        <w:t xml:space="preserve">。</w:t>
      </w:r>
    </w:p>
    <w:p>
      <w:pPr>
        <w:pStyle w:val="BodyText"/>
      </w:pPr>
      <w:r>
        <w:t xml:space="preserve">原创棋盘问题中，某一步具有立即得分，却会让下一步进入无法继续的状态。只看一步会偏爱它，观察更深则可能避免。另一条路径需要跨越较差的中间结果才能获得较高终点收益；过早剪枝可能把它排除。这些例子说明，规划失败可以来自搜索深度、分支选择或终点估值。</w:t>
      </w:r>
    </w:p>
    <w:p>
      <w:pPr>
        <w:pStyle w:val="BodyText"/>
      </w:pPr>
      <w:r>
        <w:t xml:space="preserve">更深搜索也有成本。若环境会在思考期间改变，或内部模型误差随模拟步数累积，继续计算的收益可能下降。训练规划能力时，可以分别练习识别关键分支、建立准确状态模型和监控何时需要重新检查现实信息。</w:t>
      </w:r>
    </w:p>
    <w:bookmarkEnd w:id="898"/>
    <w:bookmarkStart w:id="899" w:name="sec-45-15"/>
    <w:p>
      <w:pPr>
        <w:pStyle w:val="Heading3"/>
      </w:pPr>
      <w:r>
        <w:t xml:space="preserve">45.15　计算控制也需要分配</w:t>
      </w:r>
    </w:p>
    <w:p>
      <w:pPr>
        <w:pStyle w:val="FirstParagraph"/>
      </w:pPr>
      <w:r>
        <w:t xml:space="preserve">学习者可以依据模型可靠性、计算成本和预期收益，改变对不同控制策略的依赖。不确定性竞争模型和成本收益研究从不同角度描述这种分配</w:t>
      </w:r>
      <w:r>
        <w:rPr>
          <w:vertAlign w:val="superscript"/>
        </w:rPr>
        <w:t xml:space="preserve">[</w:t>
      </w:r>
      <w:hyperlink w:anchor="ref-511">
        <w:r>
          <w:rPr>
            <w:rStyle w:val="Hyperlink"/>
            <w:vertAlign w:val="superscript"/>
          </w:rPr>
          <w:t xml:space="preserve">511</w:t>
        </w:r>
      </w:hyperlink>
      <w:r>
        <w:rPr>
          <w:vertAlign w:val="superscript"/>
        </w:rPr>
        <w:t xml:space="preserve">,</w:t>
      </w:r>
      <w:hyperlink w:anchor="ref-520">
        <w:r>
          <w:rPr>
            <w:rStyle w:val="Hyperlink"/>
            <w:vertAlign w:val="superscript"/>
          </w:rPr>
          <w:t xml:space="preserve">520</w:t>
        </w:r>
      </w:hyperlink>
      <w:r>
        <w:rPr>
          <w:vertAlign w:val="superscript"/>
        </w:rPr>
        <w:t xml:space="preserve">]</w:t>
      </w:r>
      <w:r>
        <w:t xml:space="preserve">。它们提供候选机制，具体任务中可能由多个因素共同决定。</w:t>
      </w:r>
    </w:p>
    <w:p>
      <w:pPr>
        <w:pStyle w:val="BodyText"/>
      </w:pPr>
      <w:r>
        <w:t xml:space="preserve">假设一道题只有两种简单解法，额外比较一分钟可能带来很小收益；另一道题具有高错误代价，仔细检查更有价值。合理的计算分配取决于改进选择的可能性和付出的时间。这里的分析允许熟练直觉与深入规划各自在适当条件下发挥作用。</w:t>
      </w:r>
    </w:p>
    <w:p>
      <w:pPr>
        <w:pStyle w:val="BodyText"/>
      </w:pPr>
      <w:r>
        <w:t xml:space="preserve">“努力更多”因此需要具体化：增加搜索深度、比较另一种策略、检查条件还是继续重复同一步。不同追加计算具有不同信息价值。学习者可以通过回顾错误发生在哪个环节，逐渐形成更有针对性的控制策略。</w:t>
      </w:r>
    </w:p>
    <w:bookmarkEnd w:id="899"/>
    <w:bookmarkStart w:id="900" w:name="sec-45-16"/>
    <w:p>
      <w:pPr>
        <w:pStyle w:val="Heading3"/>
      </w:pPr>
      <w:r>
        <w:t xml:space="preserve">45.16　记忆访问与离线更新</w:t>
      </w:r>
    </w:p>
    <w:p>
      <w:pPr>
        <w:pStyle w:val="FirstParagraph"/>
      </w:pPr>
      <w:r>
        <w:t xml:space="preserve">规划不一定只在即将行动时发生。系统可以重新访问过去经历，把新信息传播到相关状态。优先记忆访问模型提出，某段经验值得被重新计算的程度，可以由它对未来选择的潜在收益和再次相关的可能性共同决定</w:t>
      </w:r>
      <w:r>
        <w:rPr>
          <w:vertAlign w:val="superscript"/>
        </w:rPr>
        <w:t xml:space="preserve">[</w:t>
      </w:r>
      <w:hyperlink w:anchor="ref-521">
        <w:r>
          <w:rPr>
            <w:rStyle w:val="Hyperlink"/>
            <w:vertAlign w:val="superscript"/>
          </w:rPr>
          <w:t xml:space="preserve">521</w:t>
        </w:r>
      </w:hyperlink>
      <w:r>
        <w:rPr>
          <w:vertAlign w:val="superscript"/>
        </w:rPr>
        <w:t xml:space="preserve">]</w:t>
      </w:r>
      <w:r>
        <w:t xml:space="preserve">。</w:t>
      </w:r>
    </w:p>
    <w:p>
      <w:pPr>
        <w:pStyle w:val="BodyText"/>
      </w:pPr>
      <w:r>
        <w:t xml:space="preserve">原创例子是得知某条道路封闭后，在出发前重新评估几条常用路线。即使没有实际走这些路线，也可以利用已知关系更新选择。若某条路线很少再用，更新的迫切性可能较低；若明天必须经过，提前检查更有价值。</w:t>
      </w:r>
    </w:p>
    <w:p>
      <w:pPr>
        <w:pStyle w:val="BodyText"/>
      </w:pPr>
      <w:r>
        <w:t xml:space="preserve">海马重放为研究内部序列活动提供了重要窗口。特定重放模式与某种规划模型一致，可以支持该模型的解释力；所有重放是否执行同一种功能，仍需要结合行为时点、内容和干预判断。记忆巩固、提取和规划可能共享部分过程。</w:t>
      </w:r>
    </w:p>
    <w:bookmarkEnd w:id="900"/>
    <w:bookmarkStart w:id="901" w:name="sec-45-17"/>
    <w:p>
      <w:pPr>
        <w:pStyle w:val="Heading3"/>
      </w:pPr>
      <w:r>
        <w:t xml:space="preserve">45.17　探索与利用</w:t>
      </w:r>
    </w:p>
    <w:p>
      <w:pPr>
        <w:pStyle w:val="FirstParagraph"/>
      </w:pPr>
      <w:r>
        <w:t xml:space="preserve">利用已经较好的选项，可以获得当前收益；探索了解不足的选项，可能改善未来选择。早期人类多臂任务研究将这种权衡与可建模的选择及神经信号联系起来</w:t>
      </w:r>
      <w:r>
        <w:rPr>
          <w:vertAlign w:val="superscript"/>
        </w:rPr>
        <w:t xml:space="preserve">[</w:t>
      </w:r>
      <w:hyperlink w:anchor="ref-522">
        <w:r>
          <w:rPr>
            <w:rStyle w:val="Hyperlink"/>
            <w:vertAlign w:val="superscript"/>
          </w:rPr>
          <w:t xml:space="preserve">522</w:t>
        </w:r>
      </w:hyperlink>
      <w:r>
        <w:rPr>
          <w:vertAlign w:val="superscript"/>
        </w:rPr>
        <w:t xml:space="preserve">]</w:t>
      </w:r>
      <w:r>
        <w:t xml:space="preserve">。探索的价值依赖未来是否还有机会使用新信息。</w:t>
      </w:r>
    </w:p>
    <w:p>
      <w:pPr>
        <w:pStyle w:val="BodyText"/>
      </w:pPr>
      <w:r>
        <w:t xml:space="preserve">原创例子中，旅客只在一座城市停留一餐，选择熟悉餐馆可能合理；若将在这里居住一年，尝试新餐馆可能带来长期收益。两种情境即使面对相同即时平均评分，也具有不同的信息价值。探索应同时考虑获得信息的代价和未来利用窗口。</w:t>
      </w:r>
    </w:p>
    <w:p>
      <w:pPr>
        <w:pStyle w:val="BodyText"/>
      </w:pPr>
      <w:r>
        <w:t xml:space="preserve">探索还包括选择问什么、观察什么和何时停止收集。主动改变环境来区分解释，与随机尝试一个选项具有不同结构。研究者需要说明任务中的探索指标究竟反映哪种行为。</w:t>
      </w:r>
    </w:p>
    <w:bookmarkEnd w:id="901"/>
    <w:bookmarkStart w:id="902" w:name="sec-45-18"/>
    <w:p>
      <w:pPr>
        <w:pStyle w:val="Heading3"/>
      </w:pPr>
      <w:r>
        <w:t xml:space="preserve">45.18　定向探索与随机探索</w:t>
      </w:r>
    </w:p>
    <w:p>
      <w:pPr>
        <w:pStyle w:val="FirstParagraph"/>
      </w:pPr>
      <w:r>
        <w:t xml:space="preserve">定向探索偏向信息不足但可能有价值的选项；随机探索通过增加选择变异，使学习者有机会离开当前最佳估计。地平线任务研究发现，未来选择机会较多时，信息寻求和选择变异都可以增加</w:t>
      </w:r>
      <w:r>
        <w:rPr>
          <w:vertAlign w:val="superscript"/>
        </w:rPr>
        <w:t xml:space="preserve">[</w:t>
      </w:r>
      <w:hyperlink w:anchor="ref-523">
        <w:r>
          <w:rPr>
            <w:rStyle w:val="Hyperlink"/>
            <w:vertAlign w:val="superscript"/>
          </w:rPr>
          <w:t xml:space="preserve">523</w:t>
        </w:r>
      </w:hyperlink>
      <w:r>
        <w:rPr>
          <w:vertAlign w:val="superscript"/>
        </w:rPr>
        <w:t xml:space="preserve">]</w:t>
      </w:r>
      <w:r>
        <w:t xml:space="preserve">。两种机制在行为上需要分别识别。</w:t>
      </w:r>
    </w:p>
    <w:p>
      <w:pPr>
        <w:pStyle w:val="BodyText"/>
      </w:pPr>
      <w:r>
        <w:t xml:space="preserve">假设两个选项的平均收益相同，一个已尝试十次，另一个只尝试一次。优先选择了解较少的选项，可以体现信息定向。若两个选项的信息量也相同，增加选择分散程度仍可能带来探索。实际解释还需要排除疲劳、误按和规则遗忘等来源。</w:t>
      </w:r>
    </w:p>
    <w:p>
      <w:pPr>
        <w:pStyle w:val="BodyText"/>
      </w:pPr>
      <w:r>
        <w:t xml:space="preserve">信息寻求的方向也可能有偏差。学习者若只检查自己已经喜欢的选项，就会不断获得关于它的资料，却难以发现替代方案。设计学习活动时，可以要求明确写出尚不确定的关系，再选择最能减少该不确定性的尝试。</w:t>
      </w:r>
    </w:p>
    <w:bookmarkEnd w:id="902"/>
    <w:bookmarkStart w:id="903" w:name="sec-45-19"/>
    <w:p>
      <w:pPr>
        <w:pStyle w:val="Heading3"/>
      </w:pPr>
      <w:r>
        <w:t xml:space="preserve">45.19　波动、噪声与信念更新</w:t>
      </w:r>
    </w:p>
    <w:p>
      <w:pPr>
        <w:pStyle w:val="FirstParagraph"/>
      </w:pPr>
      <w:r>
        <w:t xml:space="preserve">环境中的随机起伏与规律真正改变，需要不同更新方式。若奖励只是围绕稳定均值波动，过度追随每次结果会增加估计噪声；若均值突然改变，继续依赖旧平均值又会延迟适应。动态预测研究用近似贝叶斯框架描述了这种学习率调整</w:t>
      </w:r>
      <w:r>
        <w:rPr>
          <w:vertAlign w:val="superscript"/>
        </w:rPr>
        <w:t xml:space="preserve">[</w:t>
      </w:r>
      <w:hyperlink w:anchor="ref-524">
        <w:r>
          <w:rPr>
            <w:rStyle w:val="Hyperlink"/>
            <w:vertAlign w:val="superscript"/>
          </w:rPr>
          <w:t xml:space="preserve">524</w:t>
        </w:r>
      </w:hyperlink>
      <w:r>
        <w:rPr>
          <w:vertAlign w:val="superscript"/>
        </w:rPr>
        <w:t xml:space="preserve">]</w:t>
      </w:r>
      <w:r>
        <w:t xml:space="preserve">。</w:t>
      </w:r>
    </w:p>
    <w:p>
      <w:pPr>
        <w:pStyle w:val="BodyText"/>
      </w:pPr>
      <w:r>
        <w:t xml:space="preserve">原创例子是估计公交到站时间。偶发一次交通事故，不一定意味着时刻表整体变化；连续多天出现相似延迟，则可能提示新的规律。判断取决于过去稳定性、异常结果大小和当前环境线索。相同预测误差在不同背景下具有不同信息价值。</w:t>
      </w:r>
    </w:p>
    <w:p>
      <w:pPr>
        <w:pStyle w:val="BodyText"/>
      </w:pPr>
      <w:r>
        <w:t xml:space="preserve">学习者还可能把波动解释成多个潜在情境交替。例如工作日和周末具有不同到站规律。此时，仅仅提高学习率可能无法形成最好的表示；区分情境更有帮助。更新速度与状态结构需要共同考虑。</w:t>
      </w:r>
    </w:p>
    <w:bookmarkEnd w:id="903"/>
    <w:bookmarkStart w:id="904" w:name="sec-45-20"/>
    <w:p>
      <w:pPr>
        <w:pStyle w:val="Heading3"/>
      </w:pPr>
      <w:r>
        <w:t xml:space="preserve">45.20　行动倾向与结果效价</w:t>
      </w:r>
    </w:p>
    <w:p>
      <w:pPr>
        <w:pStyle w:val="FirstParagraph"/>
      </w:pPr>
      <w:r>
        <w:t xml:space="preserve">奖励和惩罚可以与行动或抑制行动分别组合。按键获得奖励、保持不动获得奖励、按键避免损失和保持不动避免损失，构成不同要求。相关实验显示，结果效价与行动倾向之间存在交互</w:t>
      </w:r>
      <w:r>
        <w:rPr>
          <w:vertAlign w:val="superscript"/>
        </w:rPr>
        <w:t xml:space="preserve">[</w:t>
      </w:r>
      <w:hyperlink w:anchor="ref-525">
        <w:r>
          <w:rPr>
            <w:rStyle w:val="Hyperlink"/>
            <w:vertAlign w:val="superscript"/>
          </w:rPr>
          <w:t xml:space="preserve">525</w:t>
        </w:r>
      </w:hyperlink>
      <w:r>
        <w:rPr>
          <w:vertAlign w:val="superscript"/>
        </w:rPr>
        <w:t xml:space="preserve">]</w:t>
      </w:r>
      <w:r>
        <w:t xml:space="preserve">。这种任务结构有助于把喜欢结果与准备行动分开。</w:t>
      </w:r>
    </w:p>
    <w:p>
      <w:pPr>
        <w:pStyle w:val="BodyText"/>
      </w:pPr>
      <w:r>
        <w:t xml:space="preserve">例如某个线索预示好结果，可能促进接近或行动准备；任务却要求等待，便产生控制需求。另一个线索预示可能损失，参与者需要积极行动才能避免，自动抑制倾向可能增加困难。具体方向和大小依任务与个体而异。</w:t>
      </w:r>
    </w:p>
    <w:p>
      <w:pPr>
        <w:pStyle w:val="BodyText"/>
      </w:pPr>
      <w:r>
        <w:t xml:space="preserve">现实回避行为还涉及结果概率、行动成本、经验和安全感。实验中的某一种偏向能够提出机制假设，无法直接说明一个人在复杂情境中为何沉默、逃避或冒险。解释个人行为需要更多背景证据。</w:t>
      </w:r>
    </w:p>
    <w:bookmarkEnd w:id="904"/>
    <w:bookmarkStart w:id="905" w:name="sec-45-21"/>
    <w:p>
      <w:pPr>
        <w:pStyle w:val="Heading3"/>
      </w:pPr>
      <w:r>
        <w:t xml:space="preserve">45.21　努力成本与行动活力</w:t>
      </w:r>
    </w:p>
    <w:p>
      <w:pPr>
        <w:pStyle w:val="FirstParagraph"/>
      </w:pPr>
      <w:r>
        <w:t xml:space="preserve">选择一个任务，除了评价奖励，也可能考虑认知努力。努力折扣实验通过比较不同负荷与报酬组合，研究人愿意为减少需求放弃多少收益</w:t>
      </w:r>
      <w:r>
        <w:rPr>
          <w:vertAlign w:val="superscript"/>
        </w:rPr>
        <w:t xml:space="preserve">[</w:t>
      </w:r>
      <w:hyperlink w:anchor="ref-526">
        <w:r>
          <w:rPr>
            <w:rStyle w:val="Hyperlink"/>
            <w:vertAlign w:val="superscript"/>
          </w:rPr>
          <w:t xml:space="preserve">526</w:t>
        </w:r>
      </w:hyperlink>
      <w:r>
        <w:rPr>
          <w:vertAlign w:val="superscript"/>
        </w:rPr>
        <w:t xml:space="preserve">]</w:t>
      </w:r>
      <w:r>
        <w:t xml:space="preserve">。这类选择反映主观成本，能力、失败风险、无聊和奖励价值都可能参与。</w:t>
      </w:r>
    </w:p>
    <w:p>
      <w:pPr>
        <w:pStyle w:val="BodyText"/>
      </w:pPr>
      <w:r>
        <w:t xml:space="preserve">行动活力则涉及多快、多强地执行。机会成本模型提出，时间流逝意味着放弃其他可能奖励，平均奖励率可以影响最值得采用的行动速度</w:t>
      </w:r>
      <w:r>
        <w:rPr>
          <w:vertAlign w:val="superscript"/>
        </w:rPr>
        <w:t xml:space="preserve">[</w:t>
      </w:r>
      <w:hyperlink w:anchor="ref-527">
        <w:r>
          <w:rPr>
            <w:rStyle w:val="Hyperlink"/>
            <w:vertAlign w:val="superscript"/>
          </w:rPr>
          <w:t xml:space="preserve">527</w:t>
        </w:r>
      </w:hyperlink>
      <w:r>
        <w:rPr>
          <w:vertAlign w:val="superscript"/>
        </w:rPr>
        <w:t xml:space="preserve">]</w:t>
      </w:r>
      <w:r>
        <w:t xml:space="preserve">。这是明确的计算假设，其多巴胺实现和普遍适用程度需要额外证据。</w:t>
      </w:r>
    </w:p>
    <w:p>
      <w:pPr>
        <w:pStyle w:val="BodyText"/>
      </w:pPr>
      <w:r>
        <w:t xml:space="preserve">原创学习场景中，学生可能知道一道题有价值，却因预期失败率高而不愿开始。降低起步难度、提供部分结构或让反馈更清楚，可能改变预期成本。实际支持应检查参与和掌握是否同时改善，不能只把完成速度当成动机水平。</w:t>
      </w:r>
    </w:p>
    <w:bookmarkEnd w:id="905"/>
    <w:bookmarkStart w:id="906" w:name="sec-45-22"/>
    <w:p>
      <w:pPr>
        <w:pStyle w:val="Heading3"/>
      </w:pPr>
      <w:r>
        <w:t xml:space="preserve">45.22　风险、概率权重与参考点</w:t>
      </w:r>
    </w:p>
    <w:p>
      <w:pPr>
        <w:pStyle w:val="FirstParagraph"/>
      </w:pPr>
      <w:r>
        <w:t xml:space="preserve">风险选择需要同时处理结果大小、概率和评价方式。累积前景理论用参考点、结果价值变换和决策权重描述部分选择模式</w:t>
      </w:r>
      <w:r>
        <w:rPr>
          <w:vertAlign w:val="superscript"/>
        </w:rPr>
        <w:t xml:space="preserve">[</w:t>
      </w:r>
      <w:hyperlink w:anchor="ref-528">
        <w:r>
          <w:rPr>
            <w:rStyle w:val="Hyperlink"/>
            <w:vertAlign w:val="superscript"/>
          </w:rPr>
          <w:t xml:space="preserve">528</w:t>
        </w:r>
      </w:hyperlink>
      <w:r>
        <w:rPr>
          <w:vertAlign w:val="superscript"/>
        </w:rPr>
        <w:t xml:space="preserve">]</w:t>
      </w:r>
      <w:r>
        <w:t xml:space="preserve">。决策权重是模型中概率对选择的影响方式，不能直接等同于参与者口头相信的概率。</w:t>
      </w:r>
    </w:p>
    <w:p>
      <w:pPr>
        <w:pStyle w:val="BodyText"/>
      </w:pPr>
      <w:r>
        <w:t xml:space="preserve">原创例子中，确定获得十个积分，与一半机会获得二十个积分、另一半机会获得零积分，具有相同的算术期望。选择前者可能反映对波动的偏好，也可能受到任务理解和需求影响。若参与者必须获得至少十五分才能完成目标，两个选项的实际用途又会改变。</w:t>
      </w:r>
    </w:p>
    <w:p>
      <w:pPr>
        <w:pStyle w:val="BodyText"/>
      </w:pPr>
      <w:r>
        <w:t xml:space="preserve">参考点也需要明确。相同总分可能被理解为比预期多或比预期少，从而改变体验和选择。研究者应说明参考点来自初始状态、预期还是明确描述。不能把一个任务中的损失敏感参数当成所有领域稳定不变的人格特征。</w:t>
      </w:r>
    </w:p>
    <w:bookmarkEnd w:id="906"/>
    <w:bookmarkStart w:id="907" w:name="sec-45-23"/>
    <w:p>
      <w:pPr>
        <w:pStyle w:val="Heading3"/>
      </w:pPr>
      <w:r>
        <w:t xml:space="preserve">45.23　延迟选择与未来结果</w:t>
      </w:r>
    </w:p>
    <w:p>
      <w:pPr>
        <w:pStyle w:val="FirstParagraph"/>
      </w:pPr>
      <w:r>
        <w:t xml:space="preserve">跨期选择比较不同时间获得的结果。相关神经影像研究发现，一些脑信号随个体估计的主观折扣价值变化</w:t>
      </w:r>
      <w:r>
        <w:rPr>
          <w:vertAlign w:val="superscript"/>
        </w:rPr>
        <w:t xml:space="preserve">[</w:t>
      </w:r>
      <w:hyperlink w:anchor="ref-529">
        <w:r>
          <w:rPr>
            <w:rStyle w:val="Hyperlink"/>
            <w:vertAlign w:val="superscript"/>
          </w:rPr>
          <w:t xml:space="preserve">529</w:t>
        </w:r>
      </w:hyperlink>
      <w:r>
        <w:rPr>
          <w:vertAlign w:val="superscript"/>
        </w:rPr>
        <w:t xml:space="preserve">]</w:t>
      </w:r>
      <w:r>
        <w:t xml:space="preserve">。这为价值计算提供了证据，同时没有建立一个独占所有价值的脑区。</w:t>
      </w:r>
    </w:p>
    <w:p>
      <w:pPr>
        <w:pStyle w:val="BodyText"/>
      </w:pPr>
      <w:r>
        <w:t xml:space="preserve">原创问题是现在得到十个代币，或一个月后得到十五个代币。选择受到时间偏好、未来兑现可靠性、当前需求和替代机会影响。若后者可能无法兑现，偏好即时结果包含风险判断；若当前急需使用代币，需求状态也会改变价值。</w:t>
      </w:r>
    </w:p>
    <w:p>
      <w:pPr>
        <w:pStyle w:val="BodyText"/>
      </w:pPr>
      <w:r>
        <w:t xml:space="preserve">讨论延迟满足时，应把这些条件与纯粹的等待成本区分。教育目标可以是帮助学生明确长期目标、分解中间步骤并检查反馈，具体作用需要由持续行为和学习结果判断。单次等待选择无法给出一个人的长期成就上限。</w:t>
      </w:r>
    </w:p>
    <w:bookmarkEnd w:id="907"/>
    <w:bookmarkStart w:id="908" w:name="sec-45-24"/>
    <w:p>
      <w:pPr>
        <w:pStyle w:val="Heading3"/>
      </w:pPr>
      <w:r>
        <w:t xml:space="preserve">45.24　证据积累与速度准确性</w:t>
      </w:r>
    </w:p>
    <w:p>
      <w:pPr>
        <w:pStyle w:val="FirstParagraph"/>
      </w:pPr>
      <w:r>
        <w:t xml:space="preserve">决策还涉及何时结束比较。扩散决策模型用随时间累积的带噪证据描述二选一任务，并区分证据质量、决策边界、起始偏向和非决策时间</w:t>
      </w:r>
      <w:r>
        <w:rPr>
          <w:vertAlign w:val="superscript"/>
        </w:rPr>
        <w:t xml:space="preserve">[</w:t>
      </w:r>
      <w:hyperlink w:anchor="ref-530">
        <w:r>
          <w:rPr>
            <w:rStyle w:val="Hyperlink"/>
            <w:vertAlign w:val="superscript"/>
          </w:rPr>
          <w:t xml:space="preserve">530</w:t>
        </w:r>
      </w:hyperlink>
      <w:r>
        <w:rPr>
          <w:vertAlign w:val="superscript"/>
        </w:rPr>
        <w:t xml:space="preserve">]</w:t>
      </w:r>
      <w:r>
        <w:t xml:space="preserve">。它为相同正确率下不同速度，或相同速度下不同正确率，提供可分析解释。</w:t>
      </w:r>
    </w:p>
    <w:p>
      <w:pPr>
        <w:pStyle w:val="BodyText"/>
      </w:pPr>
      <w:r>
        <w:t xml:space="preserve">原创例子中，两名学习者识别字词的正确率相近，一人更慢。原因可能包括更谨慎的停止标准、较慢证据形成或更长的输入输出时间。只用平均反应时判断理解能力，会把这些成分混合。需要结合正确和错误反应的完整表现及任务操控。</w:t>
      </w:r>
    </w:p>
    <w:p>
      <w:pPr>
        <w:pStyle w:val="BodyText"/>
      </w:pPr>
      <w:r>
        <w:t xml:space="preserve">在学习评估中，速度要求本身会改变策略。熟练度评价可以关注在维持准确性的同时提高效率，概念理解任务则可能允许较多思考。不同目标对应不同合理边界，统一追求最快反应会损失信息。</w:t>
      </w:r>
    </w:p>
    <w:bookmarkEnd w:id="908"/>
    <w:bookmarkStart w:id="910" w:name="sec-45-25"/>
    <w:p>
      <w:pPr>
        <w:pStyle w:val="Heading3"/>
      </w:pPr>
      <w:r>
        <w:t xml:space="preserve">45.25　不同控制形式的查阅表</w:t>
      </w:r>
    </w:p>
    <w:p>
      <w:pPr>
        <w:pStyle w:val="TableCaption"/>
      </w:pPr>
      <w:bookmarkStart w:id="909" w:name="tab-control"/>
      <w:bookmarkEnd w:id="909"/>
      <w:r>
        <w:rPr>
          <w:bCs/>
          <w:b/>
        </w:rPr>
        <w:t xml:space="preserve">表 16　价值学习与决策控制形式查阅表</w:t>
      </w:r>
    </w:p>
    <w:tbl>
      <w:tblPr>
        <w:tblStyle w:val="Table"/>
        <w:tblW w:type="pct" w:w="5000"/>
        <w:jc w:val="start"/>
        <w:tblLook w:firstRow="1" w:lastRow="0" w:firstColumn="0" w:lastColumn="0" w:noHBand="0" w:noVBand="0" w:val="0020"/>
      </w:tblPr>
      <w:tblGrid>
        <w:gridCol w:w="1187"/>
        <w:gridCol w:w="2375"/>
        <w:gridCol w:w="4356"/>
      </w:tblGrid>
      <w:tr>
        <w:trPr>
          <w:tblHeader w:val="true"/>
        </w:trPr>
        <w:tc>
          <w:tcPr>
            <w:shd w:val="clear" w:color="auto" w:fill="1F3A5F"/>
          </w:tcPr>
          <w:p>
            <w:pPr>
              <w:pStyle w:val="Compact"/>
              <w:jc w:val="left"/>
            </w:pPr>
            <w:r>
              <w:rPr>
                <w:bCs/>
                <w:b/>
                <w:color w:val="FFFFFF"/>
              </w:rPr>
              <w:t xml:space="preserve">机制或表示</w:t>
            </w:r>
          </w:p>
        </w:tc>
        <w:tc>
          <w:tcPr>
            <w:shd w:val="clear" w:color="auto" w:fill="1F3A5F"/>
          </w:tcPr>
          <w:p>
            <w:pPr>
              <w:pStyle w:val="Compact"/>
              <w:jc w:val="left"/>
            </w:pPr>
            <w:r>
              <w:rPr>
                <w:bCs/>
                <w:b/>
                <w:color w:val="FFFFFF"/>
              </w:rPr>
              <w:t xml:space="preserve">主要可用信息</w:t>
            </w:r>
          </w:p>
        </w:tc>
        <w:tc>
          <w:tcPr>
            <w:shd w:val="clear" w:color="auto" w:fill="1F3A5F"/>
          </w:tcPr>
          <w:p>
            <w:pPr>
              <w:pStyle w:val="Compact"/>
              <w:jc w:val="left"/>
            </w:pPr>
            <w:r>
              <w:rPr>
                <w:bCs/>
                <w:b/>
                <w:color w:val="FFFFFF"/>
              </w:rPr>
              <w:t xml:space="preserve">需要关注的限制</w:t>
            </w:r>
          </w:p>
        </w:tc>
      </w:tr>
      <w:tr>
        <w:tc>
          <w:tcPr/>
          <w:p>
            <w:pPr>
              <w:pStyle w:val="Compact"/>
              <w:jc w:val="left"/>
            </w:pPr>
            <w:r>
              <w:t xml:space="preserve">缓存价值</w:t>
            </w:r>
          </w:p>
        </w:tc>
        <w:tc>
          <w:tcPr/>
          <w:p>
            <w:pPr>
              <w:pStyle w:val="Compact"/>
              <w:jc w:val="left"/>
            </w:pPr>
            <w:r>
              <w:t xml:space="preserve">历史结果形成的价值估计</w:t>
            </w:r>
          </w:p>
        </w:tc>
        <w:tc>
          <w:tcPr/>
          <w:p>
            <w:pPr>
              <w:pStyle w:val="Compact"/>
              <w:jc w:val="left"/>
            </w:pPr>
            <w:r>
              <w:t xml:space="preserve">环境改变后更新可能滞后</w:t>
            </w:r>
            <w:r>
              <w:rPr>
                <w:vertAlign w:val="superscript"/>
              </w:rPr>
              <w:t xml:space="preserve">[</w:t>
            </w:r>
            <w:hyperlink w:anchor="ref-512">
              <w:r>
                <w:rPr>
                  <w:rStyle w:val="Hyperlink"/>
                  <w:vertAlign w:val="superscript"/>
                </w:rPr>
                <w:t xml:space="preserve">512</w:t>
              </w:r>
            </w:hyperlink>
            <w:r>
              <w:rPr>
                <w:vertAlign w:val="superscript"/>
              </w:rPr>
              <w:t xml:space="preserve">]</w:t>
            </w:r>
          </w:p>
        </w:tc>
      </w:tr>
      <w:tr>
        <w:tc>
          <w:tcPr/>
          <w:p>
            <w:pPr>
              <w:pStyle w:val="Compact"/>
              <w:jc w:val="left"/>
            </w:pPr>
            <w:r>
              <w:t xml:space="preserve">前瞻规划</w:t>
            </w:r>
          </w:p>
        </w:tc>
        <w:tc>
          <w:tcPr/>
          <w:p>
            <w:pPr>
              <w:pStyle w:val="Compact"/>
              <w:jc w:val="left"/>
            </w:pPr>
            <w:r>
              <w:t xml:space="preserve">转移结构与当前结果价值</w:t>
            </w:r>
          </w:p>
        </w:tc>
        <w:tc>
          <w:tcPr/>
          <w:p>
            <w:pPr>
              <w:pStyle w:val="Compact"/>
              <w:jc w:val="left"/>
            </w:pPr>
            <w:r>
              <w:t xml:space="preserve">模型误差和计算成本影响收益</w:t>
            </w:r>
            <w:r>
              <w:rPr>
                <w:vertAlign w:val="superscript"/>
              </w:rPr>
              <w:t xml:space="preserve">[</w:t>
            </w:r>
            <w:hyperlink w:anchor="ref-519">
              <w:r>
                <w:rPr>
                  <w:rStyle w:val="Hyperlink"/>
                  <w:vertAlign w:val="superscript"/>
                </w:rPr>
                <w:t xml:space="preserve">519</w:t>
              </w:r>
            </w:hyperlink>
            <w:r>
              <w:rPr>
                <w:vertAlign w:val="superscript"/>
              </w:rPr>
              <w:t xml:space="preserve">]</w:t>
            </w:r>
          </w:p>
        </w:tc>
      </w:tr>
      <w:tr>
        <w:tc>
          <w:tcPr/>
          <w:p>
            <w:pPr>
              <w:pStyle w:val="Compact"/>
              <w:jc w:val="left"/>
            </w:pPr>
            <w:r>
              <w:t xml:space="preserve">后继表征</w:t>
            </w:r>
          </w:p>
        </w:tc>
        <w:tc>
          <w:tcPr/>
          <w:p>
            <w:pPr>
              <w:pStyle w:val="Compact"/>
              <w:jc w:val="left"/>
            </w:pPr>
            <w:r>
              <w:t xml:space="preserve">策略下的未来状态访问关系</w:t>
            </w:r>
          </w:p>
        </w:tc>
        <w:tc>
          <w:tcPr/>
          <w:p>
            <w:pPr>
              <w:pStyle w:val="Compact"/>
              <w:jc w:val="left"/>
            </w:pPr>
            <w:r>
              <w:t xml:space="preserve">转移改变与奖励改变具有不同要求</w:t>
            </w:r>
            <w:r>
              <w:rPr>
                <w:vertAlign w:val="superscript"/>
              </w:rPr>
              <w:t xml:space="preserve">[</w:t>
            </w:r>
            <w:hyperlink w:anchor="ref-517">
              <w:r>
                <w:rPr>
                  <w:rStyle w:val="Hyperlink"/>
                  <w:vertAlign w:val="superscript"/>
                </w:rPr>
                <w:t xml:space="preserve">517</w:t>
              </w:r>
            </w:hyperlink>
            <w:r>
              <w:rPr>
                <w:vertAlign w:val="superscript"/>
              </w:rPr>
              <w:t xml:space="preserve">]</w:t>
            </w:r>
          </w:p>
        </w:tc>
      </w:tr>
      <w:tr>
        <w:tc>
          <w:tcPr/>
          <w:p>
            <w:pPr>
              <w:pStyle w:val="Compact"/>
              <w:jc w:val="left"/>
            </w:pPr>
            <w:r>
              <w:t xml:space="preserve">工作记忆支持</w:t>
            </w:r>
          </w:p>
        </w:tc>
        <w:tc>
          <w:tcPr/>
          <w:p>
            <w:pPr>
              <w:pStyle w:val="Compact"/>
              <w:jc w:val="left"/>
            </w:pPr>
            <w:r>
              <w:t xml:space="preserve">最近刺激、动作与结果的保持</w:t>
            </w:r>
          </w:p>
        </w:tc>
        <w:tc>
          <w:tcPr/>
          <w:p>
            <w:pPr>
              <w:pStyle w:val="Compact"/>
              <w:jc w:val="left"/>
            </w:pPr>
            <w:r>
              <w:t xml:space="preserve">负荷与干扰限制快速学习</w:t>
            </w:r>
            <w:r>
              <w:rPr>
                <w:vertAlign w:val="superscript"/>
              </w:rPr>
              <w:t xml:space="preserve">[</w:t>
            </w:r>
            <w:hyperlink w:anchor="ref-503">
              <w:r>
                <w:rPr>
                  <w:rStyle w:val="Hyperlink"/>
                  <w:vertAlign w:val="superscript"/>
                </w:rPr>
                <w:t xml:space="preserve">503</w:t>
              </w:r>
            </w:hyperlink>
            <w:r>
              <w:rPr>
                <w:vertAlign w:val="superscript"/>
              </w:rPr>
              <w:t xml:space="preserve">]</w:t>
            </w:r>
          </w:p>
        </w:tc>
      </w:tr>
      <w:tr>
        <w:tc>
          <w:tcPr/>
          <w:p>
            <w:pPr>
              <w:pStyle w:val="Compact"/>
              <w:jc w:val="left"/>
            </w:pPr>
            <w:r>
              <w:t xml:space="preserve">事件记忆支持</w:t>
            </w:r>
          </w:p>
        </w:tc>
        <w:tc>
          <w:tcPr/>
          <w:p>
            <w:pPr>
              <w:pStyle w:val="Compact"/>
              <w:jc w:val="left"/>
            </w:pPr>
            <w:r>
              <w:t xml:space="preserve">具体经历及其情境</w:t>
            </w:r>
          </w:p>
        </w:tc>
        <w:tc>
          <w:tcPr/>
          <w:p>
            <w:pPr>
              <w:pStyle w:val="Compact"/>
              <w:jc w:val="left"/>
            </w:pPr>
            <w:r>
              <w:t xml:space="preserve">提取可用性与代表性可能分离</w:t>
            </w:r>
            <w:r>
              <w:rPr>
                <w:vertAlign w:val="superscript"/>
              </w:rPr>
              <w:t xml:space="preserve">[</w:t>
            </w:r>
            <w:hyperlink w:anchor="ref-504">
              <w:r>
                <w:rPr>
                  <w:rStyle w:val="Hyperlink"/>
                  <w:vertAlign w:val="superscript"/>
                </w:rPr>
                <w:t xml:space="preserve">504</w:t>
              </w:r>
            </w:hyperlink>
            <w:r>
              <w:rPr>
                <w:vertAlign w:val="superscript"/>
              </w:rPr>
              <w:t xml:space="preserve">]</w:t>
            </w:r>
          </w:p>
        </w:tc>
      </w:tr>
      <w:tr>
        <w:tc>
          <w:tcPr/>
          <w:p>
            <w:pPr>
              <w:pStyle w:val="Compact"/>
              <w:jc w:val="left"/>
            </w:pPr>
            <w:r>
              <w:t xml:space="preserve">习惯联结</w:t>
            </w:r>
          </w:p>
        </w:tc>
        <w:tc>
          <w:tcPr/>
          <w:p>
            <w:pPr>
              <w:pStyle w:val="Compact"/>
              <w:jc w:val="left"/>
            </w:pPr>
            <w:r>
              <w:t xml:space="preserve">情境中反复执行的行动</w:t>
            </w:r>
          </w:p>
        </w:tc>
        <w:tc>
          <w:tcPr/>
          <w:p>
            <w:pPr>
              <w:pStyle w:val="Compact"/>
              <w:jc w:val="left"/>
            </w:pPr>
            <w:r>
              <w:t xml:space="preserve">结果改变后可能继续表达旧倾向</w:t>
            </w:r>
            <w:r>
              <w:rPr>
                <w:vertAlign w:val="superscript"/>
              </w:rPr>
              <w:t xml:space="preserve">[</w:t>
            </w:r>
            <w:hyperlink w:anchor="ref-516">
              <w:r>
                <w:rPr>
                  <w:rStyle w:val="Hyperlink"/>
                  <w:vertAlign w:val="superscript"/>
                </w:rPr>
                <w:t xml:space="preserve">516</w:t>
              </w:r>
            </w:hyperlink>
            <w:r>
              <w:rPr>
                <w:vertAlign w:val="superscript"/>
              </w:rPr>
              <w:t xml:space="preserve">]</w:t>
            </w:r>
          </w:p>
        </w:tc>
      </w:tr>
      <w:tr>
        <w:tc>
          <w:tcPr/>
          <w:p>
            <w:pPr>
              <w:pStyle w:val="Compact"/>
              <w:jc w:val="left"/>
            </w:pPr>
            <w:r>
              <w:t xml:space="preserve">信息定向探索</w:t>
            </w:r>
          </w:p>
        </w:tc>
        <w:tc>
          <w:tcPr/>
          <w:p>
            <w:pPr>
              <w:pStyle w:val="Compact"/>
              <w:jc w:val="left"/>
            </w:pPr>
            <w:r>
              <w:t xml:space="preserve">当前估计与知识不足</w:t>
            </w:r>
          </w:p>
        </w:tc>
        <w:tc>
          <w:tcPr/>
          <w:p>
            <w:pPr>
              <w:pStyle w:val="Compact"/>
              <w:jc w:val="left"/>
            </w:pPr>
            <w:r>
              <w:t xml:space="preserve">信息价值依未来使用机会改变</w:t>
            </w:r>
            <w:r>
              <w:rPr>
                <w:vertAlign w:val="superscript"/>
              </w:rPr>
              <w:t xml:space="preserve">[</w:t>
            </w:r>
            <w:hyperlink w:anchor="ref-523">
              <w:r>
                <w:rPr>
                  <w:rStyle w:val="Hyperlink"/>
                  <w:vertAlign w:val="superscript"/>
                </w:rPr>
                <w:t xml:space="preserve">523</w:t>
              </w:r>
            </w:hyperlink>
            <w:r>
              <w:rPr>
                <w:vertAlign w:val="superscript"/>
              </w:rPr>
              <w:t xml:space="preserve">]</w:t>
            </w:r>
          </w:p>
        </w:tc>
      </w:tr>
    </w:tbl>
    <w:bookmarkEnd w:id="910"/>
    <w:bookmarkStart w:id="911" w:name="sec-45-26"/>
    <w:p>
      <w:pPr>
        <w:pStyle w:val="Heading3"/>
      </w:pPr>
      <w:r>
        <w:t xml:space="preserve">45.26　教育反馈中的目标一致性</w:t>
      </w:r>
    </w:p>
    <w:p>
      <w:pPr>
        <w:pStyle w:val="FirstParagraph"/>
      </w:pPr>
      <w:r>
        <w:t xml:space="preserve">如果奖励只取决于答题数量，学习者可能优先选择容易题；如果只奖励最终正确答案，可能缺少对推理过程的反馈。这个推论来自奖励函数与行为目标的关系。设计学习活动时，应先明确希望改善的是理解、保持、迁移、准确性还是参与，再决定可观察反馈。</w:t>
      </w:r>
    </w:p>
    <w:p>
      <w:pPr>
        <w:pStyle w:val="BodyText"/>
      </w:pPr>
      <w:r>
        <w:t xml:space="preserve">反馈还需要提供能够更新的信息。只给“错了”可能改变总体价值，却无法说明哪个步骤有问题；指出具体关系或条件，则有助于修改知识结构。学习者需要机会再次尝试，才能检验修正是否有效。知识学习同时涉及奖励、解释、记忆和推理等过程。</w:t>
      </w:r>
    </w:p>
    <w:p>
      <w:pPr>
        <w:pStyle w:val="BodyText"/>
      </w:pPr>
      <w:r>
        <w:t xml:space="preserve">原创设计例子是把一道复杂题拆为建模、选择方法、执行和检查四个阶段。每阶段反馈对应一个明确判断，最后再进行完整题练习。这样可以降低信用分配的不确定性。是否比整体反馈更好，要根据任务复杂度和学习者已有知识判断，避免把所有课程机械拆碎。</w:t>
      </w:r>
    </w:p>
    <w:bookmarkEnd w:id="911"/>
    <w:bookmarkStart w:id="912" w:name="sec-45-27"/>
    <w:p>
      <w:pPr>
        <w:pStyle w:val="Heading3"/>
      </w:pPr>
      <w:r>
        <w:t xml:space="preserve">45.27　结论边界与置信度</w:t>
      </w:r>
    </w:p>
    <w:p>
      <w:pPr>
        <w:pStyle w:val="FirstParagraph"/>
      </w:pPr>
      <w:r>
        <w:t xml:space="preserve">结果、经验、状态表征和当前目标能够影响选择，多种学习与记忆过程参与奖励任务，这些关系具有较稳固支持</w:t>
      </w:r>
      <w:r>
        <w:rPr>
          <w:vertAlign w:val="superscript"/>
        </w:rPr>
        <w:t xml:space="preserve">[</w:t>
      </w:r>
      <w:hyperlink w:anchor="ref-503">
        <w:r>
          <w:rPr>
            <w:rStyle w:val="Hyperlink"/>
            <w:vertAlign w:val="superscript"/>
          </w:rPr>
          <w:t xml:space="preserve">503</w:t>
        </w:r>
      </w:hyperlink>
      <w:r>
        <w:rPr>
          <w:vertAlign w:val="superscript"/>
        </w:rPr>
        <w:t xml:space="preserve">,</w:t>
      </w:r>
      <w:hyperlink w:anchor="ref-504">
        <w:r>
          <w:rPr>
            <w:rStyle w:val="Hyperlink"/>
            <w:vertAlign w:val="superscript"/>
          </w:rPr>
          <w:t xml:space="preserve">504</w:t>
        </w:r>
      </w:hyperlink>
      <w:r>
        <w:rPr>
          <w:vertAlign w:val="superscript"/>
        </w:rPr>
        <w:t xml:space="preserve">,</w:t>
      </w:r>
      <w:hyperlink w:anchor="ref-505">
        <w:r>
          <w:rPr>
            <w:rStyle w:val="Hyperlink"/>
            <w:vertAlign w:val="superscript"/>
          </w:rPr>
          <w:t xml:space="preserve">505</w:t>
        </w:r>
      </w:hyperlink>
      <w:r>
        <w:rPr>
          <w:vertAlign w:val="superscript"/>
        </w:rPr>
        <w:t xml:space="preserve">,</w:t>
      </w:r>
      <w:hyperlink w:anchor="ref-512">
        <w:r>
          <w:rPr>
            <w:rStyle w:val="Hyperlink"/>
            <w:vertAlign w:val="superscript"/>
          </w:rPr>
          <w:t xml:space="preserve">512</w:t>
        </w:r>
      </w:hyperlink>
      <w:r>
        <w:rPr>
          <w:vertAlign w:val="superscript"/>
        </w:rPr>
        <w:t xml:space="preserve">]</w:t>
      </w:r>
      <w:r>
        <w:t xml:space="preserve">。部分神经响应及操控支持奖励预测误差参与特定联结学习，证据范围应限定到相应任务和回路</w:t>
      </w:r>
      <w:r>
        <w:rPr>
          <w:vertAlign w:val="superscript"/>
        </w:rPr>
        <w:t xml:space="preserve">[</w:t>
      </w:r>
      <w:hyperlink w:anchor="ref-508">
        <w:r>
          <w:rPr>
            <w:rStyle w:val="Hyperlink"/>
            <w:vertAlign w:val="superscript"/>
          </w:rPr>
          <w:t xml:space="preserve">508</w:t>
        </w:r>
      </w:hyperlink>
      <w:r>
        <w:rPr>
          <w:vertAlign w:val="superscript"/>
        </w:rPr>
        <w:t xml:space="preserve">,</w:t>
      </w:r>
      <w:hyperlink w:anchor="ref-509">
        <w:r>
          <w:rPr>
            <w:rStyle w:val="Hyperlink"/>
            <w:vertAlign w:val="superscript"/>
          </w:rPr>
          <w:t xml:space="preserve">509</w:t>
        </w:r>
      </w:hyperlink>
      <w:r>
        <w:rPr>
          <w:vertAlign w:val="superscript"/>
        </w:rPr>
        <w:t xml:space="preserve">]</w:t>
      </w:r>
      <w:r>
        <w:t xml:space="preserve">。具体强化学习算法、习惯形成机制和规划控制策略之间仍有竞争解释，2026年的工作记忆与习惯模型研究提供了重要新约束</w:t>
      </w:r>
      <w:r>
        <w:rPr>
          <w:vertAlign w:val="superscript"/>
        </w:rPr>
        <w:t xml:space="preserve">[</w:t>
      </w:r>
      <w:hyperlink w:anchor="ref-518">
        <w:r>
          <w:rPr>
            <w:rStyle w:val="Hyperlink"/>
            <w:vertAlign w:val="superscript"/>
          </w:rPr>
          <w:t xml:space="preserve">518</w:t>
        </w:r>
      </w:hyperlink>
      <w:r>
        <w:rPr>
          <w:vertAlign w:val="superscript"/>
        </w:rPr>
        <w:t xml:space="preserve">]</w:t>
      </w:r>
      <w:r>
        <w:t xml:space="preserve">。从实验参数推断个人长期能力或直接指定临床治疗，当前需要另外建立预测和干预证据。</w:t>
      </w:r>
    </w:p>
    <w:bookmarkEnd w:id="912"/>
    <w:bookmarkStart w:id="913" w:name="sec-45-28"/>
    <w:p>
      <w:pPr>
        <w:pStyle w:val="Heading3"/>
      </w:pPr>
      <w:r>
        <w:t xml:space="preserve">45.28　综合练习</w:t>
      </w:r>
    </w:p>
    <w:p>
      <w:pPr>
        <w:pStyle w:val="FirstParagraph"/>
      </w:pPr>
      <w:r>
        <w:t xml:space="preserve">练习一。学习率为零点二，旧价值零点五，当前得到零奖励。参考分析：误差为负零点五，更新量为负零点一，新价值为零点四；这只是所给增量模型的计算结果。</w:t>
      </w:r>
    </w:p>
    <w:p>
      <w:pPr>
        <w:pStyle w:val="BodyText"/>
      </w:pPr>
      <w:r>
        <w:t xml:space="preserve">练习二。学习者对商店奖励变化迅速调整，对道路变化调整较慢。参考分析：后继表征提供一种候选解释，还需排除两种变化的理解和经验差异。</w:t>
      </w:r>
    </w:p>
    <w:p>
      <w:pPr>
        <w:pStyle w:val="BodyText"/>
      </w:pPr>
      <w:r>
        <w:t xml:space="preserve">练习三。少量项目一次反馈后学会，项目增多后表现下降。参考分析：工作记忆资源可能参与快速学习，应分析负荷、间隔和干扰，避免把全部差异归于奖励学习率。</w:t>
      </w:r>
    </w:p>
    <w:p>
      <w:pPr>
        <w:pStyle w:val="BodyText"/>
      </w:pPr>
      <w:r>
        <w:t xml:space="preserve">练习四。参与者较常选择未知选项。参考分析：需要区分信息定向、选择噪声、好奇和任务误解，并观察未来机会变化是否改变选择。</w:t>
      </w:r>
    </w:p>
    <w:p>
      <w:pPr>
        <w:pStyle w:val="BodyText"/>
      </w:pPr>
      <w:r>
        <w:t xml:space="preserve">练习五。一个人反复执行熟练动作。参考分析：重复和熟练不足以单独建立实验意义上的习惯；还需检查结果价值或动作结果关系变化时行为如何调整。</w:t>
      </w:r>
    </w:p>
    <w:bookmarkEnd w:id="913"/>
    <w:bookmarkEnd w:id="914"/>
    <w:bookmarkStart w:id="932" w:name="ch-46"/>
    <w:p>
      <w:pPr>
        <w:pStyle w:val="Heading2"/>
      </w:pPr>
      <w:r>
        <w:t xml:space="preserve">第46章　情绪与审慎判断怎样共同构成决策</w:t>
      </w:r>
    </w:p>
    <w:bookmarkStart w:id="915" w:name="sec-46-1"/>
    <w:p>
      <w:pPr>
        <w:pStyle w:val="Heading3"/>
      </w:pPr>
      <w:r>
        <w:t xml:space="preserve">46.1　“理性脑区”与“感性脑区”的说法错在哪里</w:t>
      </w:r>
    </w:p>
    <w:p>
      <w:pPr>
        <w:pStyle w:val="FirstParagraph"/>
      </w:pPr>
      <w:r>
        <w:t xml:space="preserve">这个说法一部分来自三重脑，一部分来自教科书里“前额叶管理性、杏仁核管情绪”的简化。三条证据线都和它相冲突。</w:t>
      </w:r>
    </w:p>
    <w:p>
      <w:pPr>
        <w:pStyle w:val="BodyText"/>
      </w:pPr>
      <w:r>
        <w:t xml:space="preserve">第一，情绪与认知在脑内高度交织。前额叶外侧区域的活动会被情绪信息改变，杏仁核也在调节注意和记忆，大脑的连接枢纽同时整合两类信息</w:t>
      </w:r>
      <w:r>
        <w:rPr>
          <w:vertAlign w:val="superscript"/>
        </w:rPr>
        <w:t xml:space="preserve">[</w:t>
      </w:r>
      <w:hyperlink w:anchor="ref-531">
        <w:r>
          <w:rPr>
            <w:rStyle w:val="Hyperlink"/>
            <w:vertAlign w:val="superscript"/>
          </w:rPr>
          <w:t xml:space="preserve">531</w:t>
        </w:r>
      </w:hyperlink>
      <w:r>
        <w:rPr>
          <w:vertAlign w:val="superscript"/>
        </w:rPr>
        <w:t xml:space="preserve">]</w:t>
      </w:r>
      <w:r>
        <w:t xml:space="preserve">。第二，2012 年一项汇总 1990 到 2007 年脑成像研究的元分析发现，恐惧、愤怒、悲伤、厌恶、快乐等离散情绪都找不到专属而一致的脑区，杏仁核的结果用“突显”比用“恐惧”解释得更好；情绪体验由一组通用网络组合而成，其中包括内感受、概念化和注意控制</w:t>
      </w:r>
      <w:r>
        <w:rPr>
          <w:vertAlign w:val="superscript"/>
        </w:rPr>
        <w:t xml:space="preserve">[</w:t>
      </w:r>
      <w:hyperlink w:anchor="ref-532">
        <w:r>
          <w:rPr>
            <w:rStyle w:val="Hyperlink"/>
            <w:vertAlign w:val="superscript"/>
          </w:rPr>
          <w:t xml:space="preserve">532</w:t>
        </w:r>
      </w:hyperlink>
      <w:r>
        <w:rPr>
          <w:vertAlign w:val="superscript"/>
        </w:rPr>
        <w:t xml:space="preserve">]</w:t>
      </w:r>
      <w:r>
        <w:t xml:space="preserve">。这一结果反对“一种情绪对应一个脑区”。单凭它，还证明不了情绪建构论：没有找到专属的单个脑区，仍可能存在多区组合、时间进程、细胞群和连接模式上的区别。另一项研究在三个实验中用多变量模式分析区分出六类诱发的基本情绪，分类能跨诱发方式和跨受试者推广</w:t>
      </w:r>
      <w:r>
        <w:rPr>
          <w:vertAlign w:val="superscript"/>
        </w:rPr>
        <w:t xml:space="preserve">[</w:t>
      </w:r>
      <w:hyperlink w:anchor="ref-533">
        <w:r>
          <w:rPr>
            <w:rStyle w:val="Hyperlink"/>
            <w:vertAlign w:val="superscript"/>
          </w:rPr>
          <w:t xml:space="preserve">533</w:t>
        </w:r>
      </w:hyperlink>
      <w:r>
        <w:rPr>
          <w:vertAlign w:val="superscript"/>
        </w:rPr>
        <w:t xml:space="preserve">]</w:t>
      </w:r>
      <w:r>
        <w:t xml:space="preserve">。这同样不能单独证明每种基本情绪各有独立的先天模块，这类方法的推论也受到建构论研究者的批评</w:t>
      </w:r>
      <w:r>
        <w:rPr>
          <w:vertAlign w:val="superscript"/>
        </w:rPr>
        <w:t xml:space="preserve">[</w:t>
      </w:r>
      <w:hyperlink w:anchor="ref-534">
        <w:r>
          <w:rPr>
            <w:rStyle w:val="Hyperlink"/>
            <w:vertAlign w:val="superscript"/>
          </w:rPr>
          <w:t xml:space="preserve">534</w:t>
        </w:r>
      </w:hyperlink>
      <w:r>
        <w:rPr>
          <w:vertAlign w:val="superscript"/>
        </w:rPr>
        <w:t xml:space="preserve">]</w:t>
      </w:r>
      <w:r>
        <w:t xml:space="preserve">。两种理论都需要给出能被不同实验结果区分开的预测。第三，达马西奥（Antonio Damasio）描述的腹内侧前额叶损伤病人，智力测验正常，日常决策却屡屡失误，说明与情绪和身体状态有关的信号本身就是良好决策的组成部分</w:t>
      </w:r>
      <w:r>
        <w:rPr>
          <w:vertAlign w:val="superscript"/>
        </w:rPr>
        <w:t xml:space="preserve">[</w:t>
      </w:r>
      <w:hyperlink w:anchor="ref-535">
        <w:r>
          <w:rPr>
            <w:rStyle w:val="Hyperlink"/>
            <w:vertAlign w:val="superscript"/>
          </w:rPr>
          <w:t xml:space="preserve">535</w:t>
        </w:r>
      </w:hyperlink>
      <w:r>
        <w:rPr>
          <w:vertAlign w:val="superscript"/>
        </w:rPr>
        <w:t xml:space="preserve">]</w:t>
      </w:r>
      <w:r>
        <w:t xml:space="preserve">。他据此提出的“躯体标记假说”在具体实验上受到不少批评</w:t>
      </w:r>
      <w:r>
        <w:rPr>
          <w:vertAlign w:val="superscript"/>
        </w:rPr>
        <w:t xml:space="preserve">[</w:t>
      </w:r>
      <w:hyperlink w:anchor="ref-536">
        <w:r>
          <w:rPr>
            <w:rStyle w:val="Hyperlink"/>
            <w:vertAlign w:val="superscript"/>
          </w:rPr>
          <w:t xml:space="preserve">536</w:t>
        </w:r>
      </w:hyperlink>
      <w:r>
        <w:rPr>
          <w:vertAlign w:val="superscript"/>
        </w:rPr>
        <w:t xml:space="preserve">]</w:t>
      </w:r>
      <w:r>
        <w:t xml:space="preserve">，关键证据与争论见</w:t>
      </w:r>
      <w:r>
        <w:t xml:space="preserve"> </w:t>
      </w:r>
      <w:hyperlink w:anchor="sec-46-4">
        <w:r>
          <w:rPr>
            <w:rStyle w:val="Hyperlink"/>
          </w:rPr>
          <w:t xml:space="preserve">46.4</w:t>
        </w:r>
      </w:hyperlink>
      <w:r>
        <w:t xml:space="preserve">。“情绪参与理性决策”这一点则已被广泛接受。</w:t>
      </w:r>
    </w:p>
    <w:p>
      <w:pPr>
        <w:pStyle w:val="BodyText"/>
      </w:pPr>
      <w:r>
        <w:t xml:space="preserve">情绪的理论之争仍在继续。“建构论”认为情绪体验是大脑结合身体信号、情境和过往经验得出的整体解释</w:t>
      </w:r>
      <w:r>
        <w:rPr>
          <w:vertAlign w:val="superscript"/>
        </w:rPr>
        <w:t xml:space="preserve">[</w:t>
      </w:r>
      <w:hyperlink w:anchor="ref-537">
        <w:r>
          <w:rPr>
            <w:rStyle w:val="Hyperlink"/>
            <w:vertAlign w:val="superscript"/>
          </w:rPr>
          <w:t xml:space="preserve">537</w:t>
        </w:r>
      </w:hyperlink>
      <w:r>
        <w:rPr>
          <w:vertAlign w:val="superscript"/>
        </w:rPr>
        <w:t xml:space="preserve">]</w:t>
      </w:r>
      <w:r>
        <w:t xml:space="preserve">；另一派研究者认为存在若干进化保守的基本情绪回路，尤其在皮层下结构。两派都不支持“理性区和感性区彼此对立”的看法（情绪理论之争的更多讨论见</w:t>
      </w:r>
      <w:r>
        <w:t xml:space="preserve"> </w:t>
      </w:r>
      <w:hyperlink w:anchor="sec-88-8">
        <w:r>
          <w:rPr>
            <w:rStyle w:val="Hyperlink"/>
          </w:rPr>
          <w:t xml:space="preserve">88.8</w:t>
        </w:r>
      </w:hyperlink>
      <w:r>
        <w:t xml:space="preserve">）。</w:t>
      </w:r>
    </w:p>
    <w:p>
      <w:pPr>
        <w:pStyle w:val="CalloutJudgment"/>
      </w:pPr>
      <w:r>
        <w:rPr>
          <w:bCs/>
          <w:b/>
        </w:rPr>
        <w:t xml:space="preserve">判断　</w:t>
      </w:r>
      <w:r>
        <w:t xml:space="preserve">“理性脑区与感性脑区彼此对立”</w:t>
      </w:r>
      <w:r>
        <w:rPr>
          <w:bCs/>
          <w:b/>
        </w:rPr>
        <w:t xml:space="preserve">错误·高</w:t>
      </w:r>
      <w:r>
        <w:t xml:space="preserve">。冥想语境中的变体见</w:t>
      </w:r>
      <w:r>
        <w:t xml:space="preserve"> </w:t>
      </w:r>
      <w:hyperlink w:anchor="sec-115-3">
        <w:r>
          <w:rPr>
            <w:rStyle w:val="Hyperlink"/>
          </w:rPr>
          <w:t xml:space="preserve">115.3</w:t>
        </w:r>
      </w:hyperlink>
      <w:r>
        <w:t xml:space="preserve">。</w:t>
      </w:r>
    </w:p>
    <w:bookmarkEnd w:id="915"/>
    <w:bookmarkStart w:id="916" w:name="sec-46-2"/>
    <w:p>
      <w:pPr>
        <w:pStyle w:val="Heading3"/>
      </w:pPr>
      <w:r>
        <w:t xml:space="preserve">46.2　好决策需要事实判断也需要目标</w:t>
      </w:r>
    </w:p>
    <w:p>
      <w:pPr>
        <w:pStyle w:val="FirstParagraph"/>
      </w:pPr>
      <w:r>
        <w:t xml:space="preserve">关于某种情绪在某种决策中究竟改善还是损害表现，必须保留任务、强度、时点和个体差异条件</w:t>
      </w:r>
      <w:r>
        <w:rPr>
          <w:vertAlign w:val="superscript"/>
        </w:rPr>
        <w:t xml:space="preserve">[</w:t>
      </w:r>
      <w:hyperlink w:anchor="ref-531">
        <w:r>
          <w:rPr>
            <w:rStyle w:val="Hyperlink"/>
            <w:vertAlign w:val="superscript"/>
          </w:rPr>
          <w:t xml:space="preserve">531</w:t>
        </w:r>
      </w:hyperlink>
      <w:r>
        <w:rPr>
          <w:vertAlign w:val="superscript"/>
        </w:rPr>
        <w:t xml:space="preserve">,</w:t>
      </w:r>
      <w:hyperlink w:anchor="ref-538">
        <w:r>
          <w:rPr>
            <w:rStyle w:val="Hyperlink"/>
            <w:vertAlign w:val="superscript"/>
          </w:rPr>
          <w:t xml:space="preserve">538</w:t>
        </w:r>
      </w:hyperlink>
      <w:r>
        <w:rPr>
          <w:vertAlign w:val="superscript"/>
        </w:rPr>
        <w:t xml:space="preserve">]</w:t>
      </w:r>
      <w:r>
        <w:t xml:space="preserve">。</w:t>
      </w:r>
    </w:p>
    <w:p>
      <w:pPr>
        <w:pStyle w:val="BodyText"/>
      </w:pPr>
      <w:r>
        <w:t xml:space="preserve">一个决策至少涉及可选行动、各行动的可能结果、结果概率、结果对行动者的价值，以及执行行动所需成本。逻辑能够检验推理是否自洽，却无法独自规定一个人应当多看重健康、收入或公平。价值需要进入决策过程，身体状态与情绪有时会改变这些价值估计，也可能提供与当前目标相关的信息。</w:t>
      </w:r>
    </w:p>
    <w:p>
      <w:pPr>
        <w:pStyle w:val="BodyText"/>
      </w:pPr>
      <w:r>
        <w:t xml:space="preserve">这也不意味着感受应当自动获得最终裁决权。某种恐惧可以真实存在，却高估危险概率；某种兴奋可以增强投入，也可能低估代价。科学问题是感受在何种条件下携带有效信息，以及它是否与客观目标相符。评价一个决策好坏，应先说明采用何种结果和时间尺度。</w:t>
      </w:r>
    </w:p>
    <w:bookmarkEnd w:id="916"/>
    <w:bookmarkStart w:id="917" w:name="sec-46-3"/>
    <w:p>
      <w:pPr>
        <w:pStyle w:val="Heading3"/>
      </w:pPr>
      <w:r>
        <w:t xml:space="preserve">46.3　将情绪影响拆成可以检查的环节</w:t>
      </w:r>
    </w:p>
    <w:p>
      <w:pPr>
        <w:pStyle w:val="FirstParagraph"/>
      </w:pPr>
      <w:r>
        <w:t xml:space="preserve">情绪可能改变注意，使某些线索更容易进入处理；也可能改变记忆检索，使相似经历更容易被想起；还可能改变对结果的价值或行动阈值。一次高风险选择的增加，不能独自告诉我们上述哪一环节改变。若研究只测最终选择，需要承认机制仍有多种可能</w:t>
      </w:r>
      <w:r>
        <w:rPr>
          <w:vertAlign w:val="superscript"/>
        </w:rPr>
        <w:t xml:space="preserve">[</w:t>
      </w:r>
      <w:hyperlink w:anchor="ref-531">
        <w:r>
          <w:rPr>
            <w:rStyle w:val="Hyperlink"/>
            <w:vertAlign w:val="superscript"/>
          </w:rPr>
          <w:t xml:space="preserve">531</w:t>
        </w:r>
      </w:hyperlink>
      <w:r>
        <w:rPr>
          <w:vertAlign w:val="superscript"/>
        </w:rPr>
        <w:t xml:space="preserve">,</w:t>
      </w:r>
      <w:hyperlink w:anchor="ref-538">
        <w:r>
          <w:rPr>
            <w:rStyle w:val="Hyperlink"/>
            <w:vertAlign w:val="superscript"/>
          </w:rPr>
          <w:t xml:space="preserve">538</w:t>
        </w:r>
      </w:hyperlink>
      <w:r>
        <w:rPr>
          <w:vertAlign w:val="superscript"/>
        </w:rPr>
        <w:t xml:space="preserve">]</w:t>
      </w:r>
      <w:r>
        <w:t xml:space="preserve">。</w:t>
      </w:r>
    </w:p>
    <w:p>
      <w:pPr>
        <w:pStyle w:val="BodyText"/>
      </w:pPr>
      <w:r>
        <w:t xml:space="preserve">以下为假设例子。三个人在同样的投资题中都选择了高风险方案。甲可能准确知道概率但愿意承担风险；乙可能误解了损失概率；丙可能受时间压力影响，没有阅读关键信息。相同行为可以来自不同过程。相应干预也不同：改变激励未必帮助乙，增加解释时间未必改变甲的偏好。</w:t>
      </w:r>
    </w:p>
    <w:p>
      <w:pPr>
        <w:pStyle w:val="BodyText"/>
      </w:pPr>
      <w:r>
        <w:t xml:space="preserve">把“情绪太强”当作统一解释，会丢失这种可区分性。更好的研究同时记录风险判断、预期价值、信息采样和反应时间，并通过实验改变其中一个环节。生理指标可以提供补充，但仍需明确其对应的是唤醒、注意、努力还是某种特定情绪。</w:t>
      </w:r>
    </w:p>
    <w:bookmarkEnd w:id="917"/>
    <w:bookmarkStart w:id="918" w:name="sec-46-4"/>
    <w:p>
      <w:pPr>
        <w:pStyle w:val="Heading3"/>
      </w:pPr>
      <w:r>
        <w:t xml:space="preserve">46.4　腹内侧前额叶病损告诉我们什么</w:t>
      </w:r>
    </w:p>
    <w:p>
      <w:pPr>
        <w:pStyle w:val="FirstParagraph"/>
      </w:pPr>
      <w:r>
        <w:t xml:space="preserve">Bechara及同事的纸牌任务研究将腹内侧前额叶病损、预期性身体反应与不利选择联系起来。它提示一般认知测验成绩正常的患者仍可能出现价值相关决策困难。由于病损同时影响多个过程，研究不能把所有差异归因于一个被单独移除的情绪变量，也不能证明身体反应必然比可报告知识更早知道正确选择</w:t>
      </w:r>
      <w:r>
        <w:rPr>
          <w:vertAlign w:val="superscript"/>
        </w:rPr>
        <w:t xml:space="preserve">[</w:t>
      </w:r>
      <w:hyperlink w:anchor="ref-539">
        <w:r>
          <w:rPr>
            <w:rStyle w:val="Hyperlink"/>
            <w:vertAlign w:val="superscript"/>
          </w:rPr>
          <w:t xml:space="preserve">539</w:t>
        </w:r>
      </w:hyperlink>
      <w:r>
        <w:rPr>
          <w:vertAlign w:val="superscript"/>
        </w:rPr>
        <w:t xml:space="preserve">]</w:t>
      </w:r>
      <w:r>
        <w:t xml:space="preserve">。</w:t>
      </w:r>
    </w:p>
    <w:p>
      <w:pPr>
        <w:pStyle w:val="BodyText"/>
      </w:pPr>
      <w:r>
        <w:t xml:space="preserve">Maia与McClelland使用更敏感的提问方式发现，参与者对牌堆规则的可报告知识比先前估计更充分。这个结果削弱了从早期行为表现直接推出无意识知识先行的解释。重要的教学含义是：一项研究中“没有报告出知识”可能反映测量不敏感，不能立即等同于没有知识</w:t>
      </w:r>
      <w:r>
        <w:rPr>
          <w:vertAlign w:val="superscript"/>
        </w:rPr>
        <w:t xml:space="preserve">[</w:t>
      </w:r>
      <w:hyperlink w:anchor="ref-540">
        <w:r>
          <w:rPr>
            <w:rStyle w:val="Hyperlink"/>
            <w:vertAlign w:val="superscript"/>
          </w:rPr>
          <w:t xml:space="preserve">540</w:t>
        </w:r>
      </w:hyperlink>
      <w:r>
        <w:rPr>
          <w:vertAlign w:val="superscript"/>
        </w:rPr>
        <w:t xml:space="preserve">]</w:t>
      </w:r>
      <w:r>
        <w:t xml:space="preserve">。</w:t>
      </w:r>
    </w:p>
    <w:p>
      <w:pPr>
        <w:pStyle w:val="BodyText"/>
      </w:pPr>
      <w:r>
        <w:t xml:space="preserve">病损证据的因果价值来自结构受损先于相关功能困难，但定位仍需谨慎。损伤可能涉及白质连接，也可能使远处区域的工作方式改变。慢性病损之后还会出现学习和补偿。研究者需要结合病损范围、任务分解、对照患者和其他测量，才可以缩小机制解释。</w:t>
      </w:r>
    </w:p>
    <w:p>
      <w:pPr>
        <w:pStyle w:val="BodyText"/>
      </w:pPr>
      <w:r>
        <w:t xml:space="preserve">一个常见误读是：既然情绪相关损伤导致某些决策困难，情绪就总能改善决策。这个结论超出了研究。实验说明某些价值或身体相关信息对特定任务有贡献；情绪也可能在信息不可靠时导致偏差。必须分别比较情绪信号的相关性和准确性，才能判断它在当前任务中的作用。</w:t>
      </w:r>
    </w:p>
    <w:bookmarkEnd w:id="918"/>
    <w:bookmarkStart w:id="919" w:name="sec-46-5"/>
    <w:p>
      <w:pPr>
        <w:pStyle w:val="Heading3"/>
      </w:pPr>
      <w:r>
        <w:t xml:space="preserve">46.5　情绪调节本身也包含多种机制</w:t>
      </w:r>
    </w:p>
    <w:p>
      <w:pPr>
        <w:pStyle w:val="FirstParagraph"/>
      </w:pPr>
      <w:r>
        <w:t xml:space="preserve">调节可以发生在情境选择、注意分配、解释方式、反应表达和行为执行的不同阶段。这些阶段的成本与作用时间不同。改变一个人对事件的理解，有时会改变后续感受；压住表情则可能主要改变外显行为。把两者都称为控制情绪，会遗漏干预环节的差别</w:t>
      </w:r>
      <w:r>
        <w:rPr>
          <w:vertAlign w:val="superscript"/>
        </w:rPr>
        <w:t xml:space="preserve">[</w:t>
      </w:r>
      <w:hyperlink w:anchor="ref-531">
        <w:r>
          <w:rPr>
            <w:rStyle w:val="Hyperlink"/>
            <w:vertAlign w:val="superscript"/>
          </w:rPr>
          <w:t xml:space="preserve">531</w:t>
        </w:r>
      </w:hyperlink>
      <w:r>
        <w:rPr>
          <w:vertAlign w:val="superscript"/>
        </w:rPr>
        <w:t xml:space="preserve">,</w:t>
      </w:r>
      <w:hyperlink w:anchor="ref-538">
        <w:r>
          <w:rPr>
            <w:rStyle w:val="Hyperlink"/>
            <w:vertAlign w:val="superscript"/>
          </w:rPr>
          <w:t xml:space="preserve">538</w:t>
        </w:r>
      </w:hyperlink>
      <w:r>
        <w:rPr>
          <w:vertAlign w:val="superscript"/>
        </w:rPr>
        <w:t xml:space="preserve">]</w:t>
      </w:r>
      <w:r>
        <w:t xml:space="preserve">。</w:t>
      </w:r>
    </w:p>
    <w:p>
      <w:pPr>
        <w:pStyle w:val="BodyText"/>
      </w:pPr>
      <w:r>
        <w:t xml:space="preserve">调节目标也需要说明。短时间降低痛苦、保持任务表现、维持关系以及长期解决问题，可能要求不同策略。某种策略可能降低即时情绪，却增加认知负担；另一种策略可能保留感受但改善行动。一种策略在实验中降低了当下评分，不一定改善长期功能。若研究只报告短期主观情绪变化，不能承诺它对所有生活目标都有效。评价应同时考虑目标、时间和代价，长期功能需要直接测量。</w:t>
      </w:r>
    </w:p>
    <w:p>
      <w:pPr>
        <w:pStyle w:val="BodyText"/>
      </w:pPr>
      <w:r>
        <w:t xml:space="preserve">一个可检验的模型应指出策略在什么条件下有利。例如，在信息尚不充分的情境中，暂缓行动可以增加信息采样；在需要快速逃离真实危险时，延迟可能有代价。这个分析根据任务要求判断调节价值。快慢或情绪强弱都不能预先定义为好坏。策略选择的灵活性可以成为研究对象；若把所有成功都称为灵活、失败都称为不灵活，仍然只是重新命名结果。</w:t>
      </w:r>
    </w:p>
    <w:bookmarkEnd w:id="919"/>
    <w:bookmarkStart w:id="920" w:name="sec-46-6"/>
    <w:p>
      <w:pPr>
        <w:pStyle w:val="Heading3"/>
      </w:pPr>
      <w:r>
        <w:t xml:space="preserve">46.6　审慎思考也会产生错误</w:t>
      </w:r>
    </w:p>
    <w:p>
      <w:pPr>
        <w:pStyle w:val="FirstParagraph"/>
      </w:pPr>
      <w:r>
        <w:t xml:space="preserve">慢速加工能够增加计算步骤，也可能让人更充分地为既有立场寻找理由。过程耗时不能保证前提正确，推理复杂也不能保证结论真实。判断推理质量需要检查事实依据、逻辑关系、替代解释和结果预测。神经活动强弱只能提供相关信息，无法替代这些规范标准。</w:t>
      </w:r>
    </w:p>
    <w:p>
      <w:pPr>
        <w:pStyle w:val="BodyText"/>
      </w:pPr>
      <w:r>
        <w:t xml:space="preserve">反过来，熟练行为可以快速且准确。一个人长期学习后，某些信息提取和模式识别不再需要逐步口头推演。这种效率能否迁移到新领域取决于训练范围。专家在熟悉任务中的直觉可靠性，不能自动推广到投资、政治或医学等其他问题。</w:t>
      </w:r>
    </w:p>
    <w:p>
      <w:pPr>
        <w:pStyle w:val="BodyText"/>
      </w:pPr>
      <w:r>
        <w:t xml:space="preserve">因此，“情绪导致错，理性导致对”的分类难以用于研究。较精确的做法是说明某次错误来自概率误估、偏好变化、知识缺失、注意限制还是执行困难。每种机制都有可设计的测量和干预，也允许发现原先解释不成立。</w:t>
      </w:r>
    </w:p>
    <w:bookmarkEnd w:id="920"/>
    <w:bookmarkStart w:id="921" w:name="sec-46-7"/>
    <w:p>
      <w:pPr>
        <w:pStyle w:val="Heading3"/>
      </w:pPr>
      <w:r>
        <w:t xml:space="preserve">46.7　如何检验两种竞争解释</w:t>
      </w:r>
    </w:p>
    <w:p>
      <w:pPr>
        <w:pStyle w:val="FirstParagraph"/>
      </w:pPr>
      <w:r>
        <w:t xml:space="preserve">假设模型甲认为威胁情绪直接增加保守选择，模型乙认为威胁主要减少对远期结果的信息采样。研究可以在威胁和中性条件下分别操纵信息呈现方式。如果所有选项信息必须完整阅读后才能作答，模型乙预期差异减弱；模型甲可能仍预期较强差异。再记录信息查看顺序和风险估计，可以进一步区分机制。</w:t>
      </w:r>
    </w:p>
    <w:p>
      <w:pPr>
        <w:pStyle w:val="BodyText"/>
      </w:pPr>
      <w:r>
        <w:t xml:space="preserve">这个设计中的重要点是，实验在看结果之前规定什么观察支持哪种解释。若结果不符合预期，不能随意修改“情绪”或“理性”的含义来保住模型。反对简单二分，同样要求替代解释接受这种限制。</w:t>
      </w:r>
    </w:p>
    <w:p>
      <w:pPr>
        <w:pStyle w:val="BodyText"/>
      </w:pPr>
      <w:r>
        <w:t xml:space="preserve">在现实判断中，可采用类似程序。先写出自己预计会发生什么，再区分对事实的判断和对结果的偏好；情绪很强时，检查它提供了哪些信息，又遗漏了哪些信息。这个程序是对决策结构的应用推论，具体效果仍需按照任务和人群验证，不能包装为已证明普遍有效的脑训练。</w:t>
      </w:r>
    </w:p>
    <w:bookmarkEnd w:id="921"/>
    <w:bookmarkStart w:id="922" w:name="sec-46-8"/>
    <w:p>
      <w:pPr>
        <w:pStyle w:val="Heading3"/>
      </w:pPr>
      <w:r>
        <w:t xml:space="preserve">46.8　价值、概率和效用不能混成一个数</w:t>
      </w:r>
    </w:p>
    <w:p>
      <w:pPr>
        <w:pStyle w:val="FirstParagraph"/>
      </w:pPr>
      <w:r>
        <w:t xml:space="preserve">决策中的价值可以指客观奖励，也可以指个体对结果的主观效用。相同金额对不同资源背景的人意义可能不同，相同损失也可能因参照点而改变评价。研究若把货币金额直接当成主观价值，需要说明这一简化在任务中是否合理。</w:t>
      </w:r>
    </w:p>
    <w:p>
      <w:pPr>
        <w:pStyle w:val="BodyText"/>
      </w:pPr>
      <w:r>
        <w:t xml:space="preserve">概率判断又与价值不同。一个人可能知道某结果概率低，却极其重视它；也可能只因高估概率而选择。情绪可以影响其中任一环节。若实验只记录最终选择，便无法区分概率变化和效用变化。分别询问或操纵这些变量，能够提高机制解释的精度。</w:t>
      </w:r>
    </w:p>
    <w:p>
      <w:pPr>
        <w:pStyle w:val="BodyText"/>
      </w:pPr>
      <w:r>
        <w:t xml:space="preserve">规范模型可以规定在某些假设下如何选择，例如按照概率加权的预期效用比较选项。这个模型的数学结构不必对应人的实际加工过程。行为符合规范结果，不意味着大脑逐字执行了该公式；行为偏离，也需要检查假设是否适用于任务。</w:t>
      </w:r>
    </w:p>
    <w:bookmarkEnd w:id="922"/>
    <w:bookmarkStart w:id="923" w:name="sec-46-9"/>
    <w:p>
      <w:pPr>
        <w:pStyle w:val="Heading3"/>
      </w:pPr>
      <w:r>
        <w:t xml:space="preserve">46.9　风险与模糊性的不同信息条件</w:t>
      </w:r>
    </w:p>
    <w:p>
      <w:pPr>
        <w:pStyle w:val="FirstParagraph"/>
      </w:pPr>
      <w:r>
        <w:t xml:space="preserve">风险任务提供相对明确的概率，模糊性任务中概率信息不足。两者可以引出不同的信息需求和情绪反应。若参与者面对未知概率而保守选择，不能仅据此认定其风险厌恶很强；他可能在处理信息不确定性。</w:t>
      </w:r>
    </w:p>
    <w:p>
      <w:pPr>
        <w:pStyle w:val="BodyText"/>
      </w:pPr>
      <w:r>
        <w:t xml:space="preserve">研究可以在奖励结果相同的情况下逐步增加概率信息，观察选择和信息采样如何变化。如果行为主要跟随信息完整性变化，说明模糊性处理具有贡献。若在完整概率下仍保留差异，则需要进一步研究价值或风险偏好。</w:t>
      </w:r>
    </w:p>
    <w:p>
      <w:pPr>
        <w:pStyle w:val="BodyText"/>
      </w:pPr>
      <w:r>
        <w:t xml:space="preserve">现实决策往往同时包含风险、模糊性和不可预测变化。把实验中一个固定概率任务直接推广到人生选择，需要承认这种差异。理论应指出哪些计算有希望迁移，哪些依赖实验的简化条件。</w:t>
      </w:r>
    </w:p>
    <w:bookmarkEnd w:id="923"/>
    <w:bookmarkStart w:id="924" w:name="sec-46-10"/>
    <w:p>
      <w:pPr>
        <w:pStyle w:val="Heading3"/>
      </w:pPr>
      <w:r>
        <w:t xml:space="preserve">46.10　内感受信号怎样进入判断</w:t>
      </w:r>
    </w:p>
    <w:p>
      <w:pPr>
        <w:pStyle w:val="FirstParagraph"/>
      </w:pPr>
      <w:r>
        <w:t xml:space="preserve">心率、呼吸、胃肠感觉和其他身体信号可以影响主观状态与判断。它们提供有关身体需求和当前唤醒的信息，但解释受到注意和情境影响。运动后、期待时、面对威胁或突然惊吓时的心跳加快，以及疾病相关的心悸，可以具有部分相似的外周表现，意义却不同；大脑需要结合原因、目标和其他感觉信息解释这些变化。将某一心率数值直接映射成单一情绪，会忽略情境和个体经验。身体信号本身不会自动给出完整社会解释。</w:t>
      </w:r>
    </w:p>
    <w:p>
      <w:pPr>
        <w:pStyle w:val="BodyText"/>
      </w:pPr>
      <w:r>
        <w:t xml:space="preserve">研究要区分身体变化、对变化的检测能力，以及对检测结果的解释。一个人报告身体感受强烈，可能实际生理变化较大，也可能注意更多或采用不同报告标准。多层测量能够帮助分离这些成分，单一自评无法完全确定机制。</w:t>
      </w:r>
    </w:p>
    <w:p>
      <w:pPr>
        <w:pStyle w:val="BodyText"/>
      </w:pPr>
      <w:r>
        <w:t xml:space="preserve">若干理论强调身体反馈在价值学习中的作用，但它们对意识、表征和因果顺序有不同主张。评价时应回到能区分理论的操作。仅发现身体指标与选择相关，无法唯一证明某个完整理论</w:t>
      </w:r>
      <w:r>
        <w:rPr>
          <w:vertAlign w:val="superscript"/>
        </w:rPr>
        <w:t xml:space="preserve">[</w:t>
      </w:r>
      <w:hyperlink w:anchor="ref-539">
        <w:r>
          <w:rPr>
            <w:rStyle w:val="Hyperlink"/>
            <w:vertAlign w:val="superscript"/>
          </w:rPr>
          <w:t xml:space="preserve">539</w:t>
        </w:r>
      </w:hyperlink>
      <w:r>
        <w:rPr>
          <w:vertAlign w:val="superscript"/>
        </w:rPr>
        <w:t xml:space="preserve">,</w:t>
      </w:r>
      <w:hyperlink w:anchor="ref-540">
        <w:r>
          <w:rPr>
            <w:rStyle w:val="Hyperlink"/>
            <w:vertAlign w:val="superscript"/>
          </w:rPr>
          <w:t xml:space="preserve">540</w:t>
        </w:r>
      </w:hyperlink>
      <w:r>
        <w:rPr>
          <w:vertAlign w:val="superscript"/>
        </w:rPr>
        <w:t xml:space="preserve">]</w:t>
      </w:r>
      <w:r>
        <w:t xml:space="preserve">。</w:t>
      </w:r>
    </w:p>
    <w:bookmarkEnd w:id="924"/>
    <w:bookmarkStart w:id="925" w:name="sec-46-11"/>
    <w:p>
      <w:pPr>
        <w:pStyle w:val="Heading3"/>
      </w:pPr>
      <w:r>
        <w:t xml:space="preserve">46.11　偶发情绪与任务相关情绪</w:t>
      </w:r>
    </w:p>
    <w:p>
      <w:pPr>
        <w:pStyle w:val="FirstParagraph"/>
      </w:pPr>
      <w:r>
        <w:t xml:space="preserve">情绪可能直接来自当前选项，也可能来自与决策无关的事件。前者或许包含关于结果的重要信息，后者可能把其他情境的状态带入当前判断。区分来源，可以帮助研究情绪何时提供有用信息、何时造成偏移</w:t>
      </w:r>
      <w:r>
        <w:rPr>
          <w:vertAlign w:val="superscript"/>
        </w:rPr>
        <w:t xml:space="preserve">[</w:t>
      </w:r>
      <w:hyperlink w:anchor="ref-538">
        <w:r>
          <w:rPr>
            <w:rStyle w:val="Hyperlink"/>
            <w:vertAlign w:val="superscript"/>
          </w:rPr>
          <w:t xml:space="preserve">538</w:t>
        </w:r>
      </w:hyperlink>
      <w:r>
        <w:rPr>
          <w:vertAlign w:val="superscript"/>
        </w:rPr>
        <w:t xml:space="preserve">]</w:t>
      </w:r>
      <w:r>
        <w:t xml:space="preserve">。</w:t>
      </w:r>
    </w:p>
    <w:p>
      <w:pPr>
        <w:pStyle w:val="BodyText"/>
      </w:pPr>
      <w:r>
        <w:t xml:space="preserve">一个原创假设设计可以先诱发与任务无关的紧张，再让参与者评价相同选项。若风险估计变化，应检查参与者是否把身体状态归因于选项；若明确告知情绪来源后变化减弱，某种归因解释得到支持。这个例子展示机制检验思路，不代表某一具体干预已获普遍验证。</w:t>
      </w:r>
    </w:p>
    <w:p>
      <w:pPr>
        <w:pStyle w:val="BodyText"/>
      </w:pPr>
      <w:r>
        <w:t xml:space="preserve">任务相关情绪也可能不准确。一个线索与过去危险相联系，但当前情境已经变化，原先反应可能保留。研究需要说明学习和更新条件，不能把情绪来源与事实准确性混为一谈。</w:t>
      </w:r>
    </w:p>
    <w:bookmarkEnd w:id="925"/>
    <w:bookmarkStart w:id="926" w:name="sec-46-12"/>
    <w:p>
      <w:pPr>
        <w:pStyle w:val="Heading3"/>
      </w:pPr>
      <w:r>
        <w:t xml:space="preserve">46.12　计算模型中的参数解释</w:t>
      </w:r>
    </w:p>
    <w:p>
      <w:pPr>
        <w:pStyle w:val="FirstParagraph"/>
      </w:pPr>
      <w:r>
        <w:t xml:space="preserve">强化学习模型常使用学习率、奖励敏感性和选择随机性等参数。它们能够帮助描述行为，但参数值可能互相补偿。一个低学习率模型和一个较高噪声模型，有时都能解释类似选择。参数恢复和模型比较因此很重要。</w:t>
      </w:r>
    </w:p>
    <w:p>
      <w:pPr>
        <w:pStyle w:val="BodyText"/>
      </w:pPr>
      <w:r>
        <w:t xml:space="preserve">把某个拟合参数叫作情绪或多巴胺，会增加额外假设。需要证明该参数与独立测量有稳定关系，并在特定操纵下按预测改变。神经相关能够增加支持，却不能自动消除模型等价性。</w:t>
      </w:r>
    </w:p>
    <w:p>
      <w:pPr>
        <w:pStyle w:val="BodyText"/>
      </w:pPr>
      <w:r>
        <w:t xml:space="preserve">在个体应用中，模型还需要足够可靠。一次短任务估得的参数如果跨日变化很大，可能无法支持稳定人格结论。模型精致程度与个体预测价值应分别评价。</w:t>
      </w:r>
    </w:p>
    <w:bookmarkEnd w:id="926"/>
    <w:bookmarkStart w:id="927" w:name="sec-46-13"/>
    <w:p>
      <w:pPr>
        <w:pStyle w:val="Heading3"/>
      </w:pPr>
      <w:r>
        <w:t xml:space="preserve">46.13　决策改进的反馈条件</w:t>
      </w:r>
    </w:p>
    <w:p>
      <w:pPr>
        <w:pStyle w:val="FirstParagraph"/>
      </w:pPr>
      <w:r>
        <w:t xml:space="preserve">一个人的判断能否通过经验改善，取决于反馈是否及时、清楚和具有代表性。若结果延迟很长、噪声很大或只看到成功案例，直觉学习可能受到限制。增加思考时间也不能自动修复缺失反馈。</w:t>
      </w:r>
    </w:p>
    <w:p>
      <w:pPr>
        <w:pStyle w:val="BodyText"/>
      </w:pPr>
      <w:r>
        <w:t xml:space="preserve">可行的认识改进方式，是提前记录预测、说明不确定性，并在结果出现后检查偏差来源。这个方法直接针对信息与学习过程。它不需要假定两颗脑之间发生胜负，也不保证所有领域都能迅速进步。</w:t>
      </w:r>
    </w:p>
    <w:p>
      <w:pPr>
        <w:pStyle w:val="BodyText"/>
      </w:pPr>
      <w:r>
        <w:t xml:space="preserve">情绪可以提示某个结果对自己重要，但判断事实时仍需外部证据。把感受作为待解释信息，再与数据和目标核对，能够同时保留体验的真实性与结论的可检验性。这是从决策结构推出的方法原则，其具体效果需要在实际任务中持续评估。</w:t>
      </w:r>
    </w:p>
    <w:bookmarkEnd w:id="927"/>
    <w:bookmarkStart w:id="928" w:name="sec-46-14"/>
    <w:p>
      <w:pPr>
        <w:pStyle w:val="Heading3"/>
      </w:pPr>
      <w:r>
        <w:t xml:space="preserve">46.14　内感受传入具有具体的解剖和时间结构</w:t>
      </w:r>
    </w:p>
    <w:p>
      <w:pPr>
        <w:pStyle w:val="FirstParagraph"/>
      </w:pPr>
      <w:r>
        <w:t xml:space="preserve">身体内部状态通过多种感觉途径影响中枢。心血管、呼吸和消化系统的机械化学变化可经迷走、舌咽及脊髓相关传入进入脑干和脊髓，再与丘脑、岛叶、下丘脑及其他区域联系。不同器官使用不同感受器和纤维群，身体感觉本身也包含多个时间尺度。所谓内感受不能被视为一个没有结构的情绪输入</w:t>
      </w:r>
      <w:r>
        <w:rPr>
          <w:vertAlign w:val="superscript"/>
        </w:rPr>
        <w:t xml:space="preserve">[</w:t>
      </w:r>
      <w:hyperlink w:anchor="ref-16">
        <w:r>
          <w:rPr>
            <w:rStyle w:val="Hyperlink"/>
            <w:vertAlign w:val="superscript"/>
          </w:rPr>
          <w:t xml:space="preserve">16</w:t>
        </w:r>
      </w:hyperlink>
      <w:r>
        <w:rPr>
          <w:vertAlign w:val="superscript"/>
        </w:rPr>
        <w:t xml:space="preserve">]</w:t>
      </w:r>
      <w:r>
        <w:t xml:space="preserve">。</w:t>
      </w:r>
    </w:p>
    <w:p>
      <w:pPr>
        <w:pStyle w:val="BodyText"/>
      </w:pPr>
      <w:r>
        <w:t xml:space="preserve">心搏为研究身体与知觉的关系提供了可重复的生理时间基准。一项把刺激与心动周期不同阶段对齐的人体研究发现，恐惧面孔的检测和强度评定随呈现相位变化。它支持身体传入能够调节特定任务的加工；其范围不能扩大为所有判断都由心脏决定，或每种情绪都在同一心搏相位增强</w:t>
      </w:r>
      <w:r>
        <w:rPr>
          <w:vertAlign w:val="superscript"/>
        </w:rPr>
        <w:t xml:space="preserve">[</w:t>
      </w:r>
      <w:hyperlink w:anchor="ref-541">
        <w:r>
          <w:rPr>
            <w:rStyle w:val="Hyperlink"/>
            <w:vertAlign w:val="superscript"/>
          </w:rPr>
          <w:t xml:space="preserve">541</w:t>
        </w:r>
      </w:hyperlink>
      <w:r>
        <w:rPr>
          <w:vertAlign w:val="superscript"/>
        </w:rPr>
        <w:t xml:space="preserve">]</w:t>
      </w:r>
      <w:r>
        <w:t xml:space="preserve">。</w:t>
      </w:r>
    </w:p>
    <w:bookmarkEnd w:id="928"/>
    <w:bookmarkStart w:id="929" w:name="sec-46-15"/>
    <w:p>
      <w:pPr>
        <w:pStyle w:val="Heading3"/>
      </w:pPr>
      <w:r>
        <w:t xml:space="preserve">46.15　行动代价会改变价值计算的输入</w:t>
      </w:r>
    </w:p>
    <w:p>
      <w:pPr>
        <w:pStyle w:val="FirstParagraph"/>
      </w:pPr>
      <w:r>
        <w:t xml:space="preserve">决策中的代价包含时间、体力、风险、注意和机会成本。身体状态可以改变某个行动的实际成本，例如肌肉疲劳增加完成同一运动的困难，缺乏睡眠影响持续注意，饥饿改变食物的即时价值。价值变化可以具有生理合理性，其方向是否有利要结合时间范围和目标评估。</w:t>
      </w:r>
    </w:p>
    <w:p>
      <w:pPr>
        <w:pStyle w:val="BodyText"/>
      </w:pPr>
      <w:r>
        <w:t xml:space="preserve">假设一个人在体力充足时愿意步行去较远地点获得奖励，疲劳后选择较近地点。这个选择差异可以来自努力成本提高，也可以来自奖励价值降低、动作能力下降或对成功概率的估计改变。若直接把差异称为缺乏自控，就会把需要分别解释的因素合并。可以通过改变距离、奖励和休息状态，逐步确定哪一环节最敏感；这一推演围绕具体机制，不依赖给个体贴人格标签。</w:t>
      </w:r>
    </w:p>
    <w:p>
      <w:pPr>
        <w:pStyle w:val="BodyText"/>
      </w:pPr>
      <w:r>
        <w:t xml:space="preserve">身体反馈还可帮助检验预期。如果预期某项行动轻松，实际完成时却出现更强呼吸和肌肉负担，后续选择可以更新。学习将身体结果与环境线索联系起来。对某些任务而言，身体信号提供有用约束；对另一些任务而言，过度注意无关身体波动可能占用加工资源。两种可能都需要在明确任务中检验</w:t>
      </w:r>
      <w:r>
        <w:rPr>
          <w:vertAlign w:val="superscript"/>
        </w:rPr>
        <w:t xml:space="preserve">[</w:t>
      </w:r>
      <w:hyperlink w:anchor="ref-180">
        <w:r>
          <w:rPr>
            <w:rStyle w:val="Hyperlink"/>
            <w:vertAlign w:val="superscript"/>
          </w:rPr>
          <w:t xml:space="preserve">180</w:t>
        </w:r>
      </w:hyperlink>
      <w:r>
        <w:rPr>
          <w:vertAlign w:val="superscript"/>
        </w:rPr>
        <w:t xml:space="preserve">,</w:t>
      </w:r>
      <w:hyperlink w:anchor="ref-538">
        <w:r>
          <w:rPr>
            <w:rStyle w:val="Hyperlink"/>
            <w:vertAlign w:val="superscript"/>
          </w:rPr>
          <w:t xml:space="preserve">538</w:t>
        </w:r>
      </w:hyperlink>
      <w:r>
        <w:rPr>
          <w:vertAlign w:val="superscript"/>
        </w:rPr>
        <w:t xml:space="preserve">]</w:t>
      </w:r>
      <w:r>
        <w:t xml:space="preserve">。</w:t>
      </w:r>
    </w:p>
    <w:bookmarkEnd w:id="929"/>
    <w:bookmarkStart w:id="930" w:name="sec-46-16"/>
    <w:p>
      <w:pPr>
        <w:pStyle w:val="Heading3"/>
      </w:pPr>
      <w:r>
        <w:t xml:space="preserve">46.16　情绪调节可以改变输入与行动之间的关系</w:t>
      </w:r>
    </w:p>
    <w:p>
      <w:pPr>
        <w:pStyle w:val="FirstParagraph"/>
      </w:pPr>
      <w:r>
        <w:t xml:space="preserve">重新解释情境、改变注意位置、调整行动计划或等待新的信息，都可能改变身体反应与决策的耦合。以威胁判断为例，确认噪声来自可控设备后，原先不确定的危险估计得到更新，身体反应和行为倾向也可能随之变化。这个过程涉及记忆、因果知识、感觉检查和自主调节，无法完全概括为一处皮层压制另一处情绪结构。</w:t>
      </w:r>
    </w:p>
    <w:p>
      <w:pPr>
        <w:pStyle w:val="BodyText"/>
      </w:pPr>
      <w:r>
        <w:t xml:space="preserve">同时，保留身体反应不意味着调节失败。一个人仍可感到紧张并执行符合长期目标的行动；例如准备演讲时，适度唤醒可能与投入并存，完全压低感受未必必要。反过来，面对真实人际问题时，反复重新解释可能暂时减轻不适，却没有改变问题本身。评价调节效果需要区分主观不适、身体状态、任务表现和后续恢复，并询问调节是否帮助采取与目标一致的行动。若只用不适是否降到零作为成功标准，可能错过行为灵活性已经改善的情况。</w:t>
      </w:r>
    </w:p>
    <w:p>
      <w:pPr>
        <w:pStyle w:val="BodyText"/>
      </w:pPr>
      <w:r>
        <w:t xml:space="preserve">身体与情绪关系的较强结论是：部分内感受通路会在具体条件下影响知觉、价值和行动。对于某一主观体验怎样由多层身体与脑过程构成，仍有开放理论问题。把身体反馈纳入模型，可以增加解释范围；将它升级为所有情绪和决策的唯一原因，证据不足。</w:t>
      </w:r>
    </w:p>
    <w:bookmarkEnd w:id="930"/>
    <w:bookmarkStart w:id="931" w:name="sec-46-17"/>
    <w:p>
      <w:pPr>
        <w:pStyle w:val="Heading3"/>
      </w:pPr>
      <w:r>
        <w:t xml:space="preserve">46.17　本章结论与理论边界</w:t>
      </w:r>
    </w:p>
    <w:p>
      <w:pPr>
        <w:pStyle w:val="FirstParagraph"/>
      </w:pPr>
      <w:r>
        <w:t xml:space="preserve">情绪、价值、注意、记忆和控制之间存在相互调节，多方法研究支持这一点。某个经典任务的解释受到挑战时，应当缩小对该任务的结论；它不会自动取消全部情绪神经科学。对躯体标记理论、不同情绪理论及双加工模型，可以比较各自可检验的预测。一个理论最有价值的部分，是它在规定条件下能排除哪些结果</w:t>
      </w:r>
      <w:r>
        <w:rPr>
          <w:vertAlign w:val="superscript"/>
        </w:rPr>
        <w:t xml:space="preserve">[</w:t>
      </w:r>
      <w:hyperlink w:anchor="ref-531">
        <w:r>
          <w:rPr>
            <w:rStyle w:val="Hyperlink"/>
            <w:vertAlign w:val="superscript"/>
          </w:rPr>
          <w:t xml:space="preserve">531</w:t>
        </w:r>
      </w:hyperlink>
      <w:r>
        <w:rPr>
          <w:vertAlign w:val="superscript"/>
        </w:rPr>
        <w:t xml:space="preserve">,</w:t>
      </w:r>
      <w:hyperlink w:anchor="ref-538">
        <w:r>
          <w:rPr>
            <w:rStyle w:val="Hyperlink"/>
            <w:vertAlign w:val="superscript"/>
          </w:rPr>
          <w:t xml:space="preserve">538</w:t>
        </w:r>
      </w:hyperlink>
      <w:r>
        <w:rPr>
          <w:vertAlign w:val="superscript"/>
        </w:rPr>
        <w:t xml:space="preserve">,</w:t>
      </w:r>
      <w:hyperlink w:anchor="ref-540">
        <w:r>
          <w:rPr>
            <w:rStyle w:val="Hyperlink"/>
            <w:vertAlign w:val="superscript"/>
          </w:rPr>
          <w:t xml:space="preserve">540</w:t>
        </w:r>
      </w:hyperlink>
      <w:r>
        <w:rPr>
          <w:vertAlign w:val="superscript"/>
        </w:rPr>
        <w:t xml:space="preserve">]</w:t>
      </w:r>
      <w:r>
        <w:t xml:space="preserve">。</w:t>
      </w:r>
    </w:p>
    <w:bookmarkEnd w:id="931"/>
    <w:bookmarkEnd w:id="932"/>
    <w:bookmarkStart w:id="949" w:name="ch-47"/>
    <w:p>
      <w:pPr>
        <w:pStyle w:val="Heading2"/>
      </w:pPr>
      <w:r>
        <w:t xml:space="preserve">第47章　双加工模型与脑结构的对应问题</w:t>
      </w:r>
    </w:p>
    <w:bookmarkStart w:id="933" w:name="sec-47-1"/>
    <w:p>
      <w:pPr>
        <w:pStyle w:val="Heading3"/>
      </w:pPr>
      <w:r>
        <w:t xml:space="preserve">47.1　系统名称描述什么层级</w:t>
      </w:r>
    </w:p>
    <w:p>
      <w:pPr>
        <w:pStyle w:val="FirstParagraph"/>
      </w:pPr>
      <w:r>
        <w:t xml:space="preserve">系统1和系统2属于一组解释加工差异的理论框架，具体版本的定义存在差异。这对名称由心理学家Stanovich与West提出，经Kahneman的著作广为流传；Kahneman本人说明，两个系统是便于叙述的虚构角色，在脑中没有各自固定的位置。Evans与Stanovich后来改用“类型1加工”和“类型2加工”的说法，以免让人误以为存在两套可以分开的脑系统。这些框架可以帮助提出关于自动化、工作记忆和认知脱钩的预测，但不能据此宣布发现两颗互不重叠的脑器官。对这一层级限制的置信度高</w:t>
      </w:r>
      <w:r>
        <w:rPr>
          <w:vertAlign w:val="superscript"/>
        </w:rPr>
        <w:t xml:space="preserve">[</w:t>
      </w:r>
      <w:hyperlink w:anchor="ref-542">
        <w:r>
          <w:rPr>
            <w:rStyle w:val="Hyperlink"/>
            <w:vertAlign w:val="superscript"/>
          </w:rPr>
          <w:t xml:space="preserve">542</w:t>
        </w:r>
      </w:hyperlink>
      <w:r>
        <w:rPr>
          <w:vertAlign w:val="superscript"/>
        </w:rPr>
        <w:t xml:space="preserve">,</w:t>
      </w:r>
      <w:hyperlink w:anchor="ref-543">
        <w:r>
          <w:rPr>
            <w:rStyle w:val="Hyperlink"/>
            <w:vertAlign w:val="superscript"/>
          </w:rPr>
          <w:t xml:space="preserve">543</w:t>
        </w:r>
      </w:hyperlink>
      <w:r>
        <w:rPr>
          <w:vertAlign w:val="superscript"/>
        </w:rPr>
        <w:t xml:space="preserve">]</w:t>
      </w:r>
      <w:r>
        <w:t xml:space="preserve">。</w:t>
      </w:r>
    </w:p>
    <w:p>
      <w:pPr>
        <w:pStyle w:val="BodyText"/>
      </w:pPr>
      <w:r>
        <w:t xml:space="preserve">过程模型可以在行为层面成立，而实现方式分布在多个结构中。一个程序可以有两个可区分步骤，却使用同一组细胞在不同时间进行计算；也可以由不同子网络协同完成同一步骤。过程数目与解剖模块数目之间没有自动的一一关系。</w:t>
      </w:r>
    </w:p>
    <w:p>
      <w:pPr>
        <w:pStyle w:val="BodyText"/>
      </w:pPr>
      <w:r>
        <w:t xml:space="preserve">“快速”“自动”“无意识”“情绪性”“古老”也需要分别测量。它们可能在某些任务中相关，却不要求始终绑定。熟练计算可以很快，情绪评价可以经过长时间思考。把所有属性预先分成两组，会让反例被误判为测量错误</w:t>
      </w:r>
      <w:r>
        <w:rPr>
          <w:vertAlign w:val="superscript"/>
        </w:rPr>
        <w:t xml:space="preserve">[</w:t>
      </w:r>
      <w:hyperlink w:anchor="ref-543">
        <w:r>
          <w:rPr>
            <w:rStyle w:val="Hyperlink"/>
            <w:vertAlign w:val="superscript"/>
          </w:rPr>
          <w:t xml:space="preserve">543</w:t>
        </w:r>
      </w:hyperlink>
      <w:r>
        <w:rPr>
          <w:vertAlign w:val="superscript"/>
        </w:rPr>
        <w:t xml:space="preserve">]</w:t>
      </w:r>
      <w:r>
        <w:t xml:space="preserve">。</w:t>
      </w:r>
    </w:p>
    <w:bookmarkEnd w:id="933"/>
    <w:bookmarkStart w:id="934" w:name="sec-47-2"/>
    <w:p>
      <w:pPr>
        <w:pStyle w:val="Heading3"/>
      </w:pPr>
      <w:r>
        <w:t xml:space="preserve">47.2　资源负荷怎样检验加工要求</w:t>
      </w:r>
    </w:p>
    <w:p>
      <w:pPr>
        <w:pStyle w:val="FirstParagraph"/>
      </w:pPr>
      <w:r>
        <w:t xml:space="preserve">De Neys通过同时执行另一任务来增加执行负荷，检查信念与逻辑冲突时的推理表现。负荷对冲突条件的影响支持相关推理步骤具有资源要求，但这种行为操作没有直接定位两套解剖器官。任务难度、策略选择和参与者理解仍是需要控制的因素</w:t>
      </w:r>
      <w:r>
        <w:rPr>
          <w:vertAlign w:val="superscript"/>
        </w:rPr>
        <w:t xml:space="preserve">[</w:t>
      </w:r>
      <w:hyperlink w:anchor="ref-542">
        <w:r>
          <w:rPr>
            <w:rStyle w:val="Hyperlink"/>
            <w:vertAlign w:val="superscript"/>
          </w:rPr>
          <w:t xml:space="preserve">542</w:t>
        </w:r>
      </w:hyperlink>
      <w:r>
        <w:rPr>
          <w:vertAlign w:val="superscript"/>
        </w:rPr>
        <w:t xml:space="preserve">]</w:t>
      </w:r>
      <w:r>
        <w:t xml:space="preserve">。</w:t>
      </w:r>
    </w:p>
    <w:p>
      <w:pPr>
        <w:pStyle w:val="BodyText"/>
      </w:pPr>
      <w:r>
        <w:t xml:space="preserve">双任务设计的推理依赖一个关键假设：附加任务改变了理论所指的资源，同时没有以其他方式完全解释结果。例如，如果附加任务使人听不清题目，推理下降可能源于输入问题。适当的感知和单任务对照可以帮助判断影响发生在哪里。</w:t>
      </w:r>
    </w:p>
    <w:p>
      <w:pPr>
        <w:pStyle w:val="BodyText"/>
      </w:pPr>
      <w:r>
        <w:t xml:space="preserve">负荷效应也不能简单映射为“越慢越理性”。某些题目中，直觉反应可能与正确答案一致；增加控制未必提高成绩。如果参与者拥有错误规则，更多思考还可能加强错误。正确性需要根据逻辑和事实标准评估，加工方式则需要单独测量。</w:t>
      </w:r>
    </w:p>
    <w:bookmarkEnd w:id="934"/>
    <w:bookmarkStart w:id="935" w:name="sec-47-3"/>
    <w:p>
      <w:pPr>
        <w:pStyle w:val="Heading3"/>
      </w:pPr>
      <w:r>
        <w:t xml:space="preserve">47.3　冲突探测与答案修正可以分离</w:t>
      </w:r>
    </w:p>
    <w:p>
      <w:pPr>
        <w:pStyle w:val="FirstParagraph"/>
      </w:pPr>
      <w:r>
        <w:t xml:space="preserve">一个人可能感觉两个答案冲突，却无法完成后续修正：给出错误答案时，仍可能伴随冲突感或较低信心。这提示发现不一致与成功纠正答案可以分离。研究若只记录最终是否正确，会把没有发现冲突和发现后无法解决混在一起。反应时间、信心、信息查看和生理指标可以提供补充，但仍应谨慎解释它们的特异性。双加工理论能够利用这一分离提出假设，具体任务还要排除熟悉度、题目难度和反应选项数量等因素</w:t>
      </w:r>
      <w:r>
        <w:rPr>
          <w:vertAlign w:val="superscript"/>
        </w:rPr>
        <w:t xml:space="preserve">[</w:t>
      </w:r>
      <w:hyperlink w:anchor="ref-543">
        <w:r>
          <w:rPr>
            <w:rStyle w:val="Hyperlink"/>
            <w:vertAlign w:val="superscript"/>
          </w:rPr>
          <w:t xml:space="preserve">543</w:t>
        </w:r>
      </w:hyperlink>
      <w:r>
        <w:rPr>
          <w:vertAlign w:val="superscript"/>
        </w:rPr>
        <w:t xml:space="preserve">]</w:t>
      </w:r>
      <w:r>
        <w:t xml:space="preserve">。</w:t>
      </w:r>
    </w:p>
    <w:p>
      <w:pPr>
        <w:pStyle w:val="BodyText"/>
      </w:pPr>
      <w:r>
        <w:t xml:space="preserve">假设两种模型对错误有不同解释。模型甲认为参与者完全没有察觉逻辑冲突；模型乙认为察觉了冲突但没有足够知识修正。若错误答案在冲突题中伴随更低信心和更长反应时间，模型甲受到限制，但这些指标也可能反映一般困难或刺激陌生。信心评分本身也需要校准：应比较内容匹配、难度匹配的控制题，例如不涉及逻辑的同等难题，并观察信心是否与具体冲突操纵相关。若在完成答案后询问信心，还需考虑回顾性解释与反馈影响。</w:t>
      </w:r>
    </w:p>
    <w:p>
      <w:pPr>
        <w:pStyle w:val="BodyText"/>
      </w:pPr>
      <w:r>
        <w:t xml:space="preserve">例如，一个推理题可以有诱人的表面答案，同时具有需要计算的正确答案。解题可以拆成获得相关信息、构造候选答案和评估答案三个阶段，每个阶段都可以包含快慢不同的成分。被试没有答对，可能因为没有检测到冲突，也可能已经检测到却缺乏计算知识，或在时间限制下未完成；掌握知识的人也可能没有注意到需要调用它。这些状态对额外提示的响应应不同：提示存在冲突可能帮助第一类，提供算法可能帮助第二类，延长时间可能帮助第三类。实验可以用这些干预检验解释。这种分解也有助于教学：某个学生需要补充规则知识，另一个学生需要练习识别何时应用规则，还有人需要减少工作记忆负担。把所有错误都称为系统1过强，无法区分这些需求。</w:t>
      </w:r>
    </w:p>
    <w:bookmarkEnd w:id="935"/>
    <w:bookmarkStart w:id="936" w:name="sec-47-4"/>
    <w:p>
      <w:pPr>
        <w:pStyle w:val="Heading3"/>
      </w:pPr>
      <w:r>
        <w:t xml:space="preserve">47.4　连续过程与类别模型如何比较</w:t>
      </w:r>
    </w:p>
    <w:p>
      <w:pPr>
        <w:pStyle w:val="FirstParagraph"/>
      </w:pPr>
      <w:r>
        <w:t xml:space="preserve">双加工理论可以采用两个类别，也可以承认许多属性沿连续维度变化。评价时应看模型是否对同一数据作出不同预测。类别模型可能预测某类任务在特定操作下出现质的分离；连续模型可能预测平滑变化。实验需要足够多的难度、时间或负荷水平，才能区分这些模式。</w:t>
      </w:r>
    </w:p>
    <w:p>
      <w:pPr>
        <w:pStyle w:val="BodyText"/>
      </w:pPr>
      <w:r>
        <w:t xml:space="preserve">一个模型能够拟合已有数据，不足以证明它比其他模型更好。增加自由参数通常能够改善拟合，也会增加过拟合风险。较强评价需要独立预测、参数可识别性和对竞争模型的比较。神经数据可以增加约束，但不能单凭一个区域信号消除所有行为模型的等价性。</w:t>
      </w:r>
    </w:p>
    <w:bookmarkEnd w:id="936"/>
    <w:bookmarkStart w:id="937" w:name="sec-47-5"/>
    <w:p>
      <w:pPr>
        <w:pStyle w:val="Heading3"/>
      </w:pPr>
      <w:r>
        <w:t xml:space="preserve">47.5　日常决策中可以保留的应用</w:t>
      </w:r>
    </w:p>
    <w:p>
      <w:pPr>
        <w:pStyle w:val="FirstParagraph"/>
      </w:pPr>
      <w:r>
        <w:t xml:space="preserve">快速判断可能适合熟悉、反馈充分且规律相对稳定的环境；面对概率复杂、代价高或信息冲突的任务，增加检查可能有价值。这是基于任务结构的条件性推论。它不能被简化成所有情况下都应慢想，也不能让一个理论名称代替具体的证据检查。</w:t>
      </w:r>
    </w:p>
    <w:p>
      <w:pPr>
        <w:pStyle w:val="BodyText"/>
      </w:pPr>
      <w:r>
        <w:t xml:space="preserve">实际检查可以针对常见错误来源：数据是否可靠，分母是否一致，是否忽略基准率，是否只寻找支持证据，结果是否受框架改变。这样的操作直接增加可评估信息。它们是否改善长期判断，需要实际反馈和适当研究，不能由脑区标签自动保证。</w:t>
      </w:r>
    </w:p>
    <w:bookmarkEnd w:id="937"/>
    <w:bookmarkStart w:id="938" w:name="sec-47-6"/>
    <w:p>
      <w:pPr>
        <w:pStyle w:val="Heading3"/>
      </w:pPr>
      <w:r>
        <w:t xml:space="preserve">47.6　反应时间分布包含比平均速度更多的信息</w:t>
      </w:r>
    </w:p>
    <w:p>
      <w:pPr>
        <w:pStyle w:val="FirstParagraph"/>
      </w:pPr>
      <w:r>
        <w:t xml:space="preserve">两个人平均反应时间相同，可能具有不同的反应分布。一人多数反应稳定、偶尔极慢，另一人每次都略慢。前者可能受到走神、策略切换或少量困难试次影响，后者可能持续采用较谨慎标准。若只保留平均值，这些差异会消失，快速与缓慢两个类别也难以表达其结构。</w:t>
      </w:r>
    </w:p>
    <w:p>
      <w:pPr>
        <w:pStyle w:val="BodyText"/>
      </w:pPr>
      <w:r>
        <w:t xml:space="preserve">分析时应同时考虑正确率、正确反应时间、错误反应时间及其分布。简单删除所有慢反应会改变研究对象，尤其当慢反应正是理论需要解释的现象。预先规定异常数据处理、区分设备故障与真实行为，并报告稳健性结果，有助于避免把分布尾部当作可以随意移除的噪声。</w:t>
      </w:r>
    </w:p>
    <w:p>
      <w:pPr>
        <w:pStyle w:val="BodyText"/>
      </w:pPr>
      <w:r>
        <w:t xml:space="preserve">试次历史也会影响速度。相同刺激重复出现、前一试次犯错、规则刚刚改变或结果刚刚发生，都可能改变下一反应。把一个人某时刻的快速反应直接称为稳定的直觉系统输出，会忽视这些状态依赖。研究可以通过平衡序列与逐试次模型，把历史效应与当前条件分离。</w:t>
      </w:r>
    </w:p>
    <w:bookmarkEnd w:id="938"/>
    <w:bookmarkStart w:id="939" w:name="sec-47-7"/>
    <w:p>
      <w:pPr>
        <w:pStyle w:val="Heading3"/>
      </w:pPr>
      <w:r>
        <w:t xml:space="preserve">47.7　证据积累模型提供一个补充层次</w:t>
      </w:r>
    </w:p>
    <w:p>
      <w:pPr>
        <w:pStyle w:val="FirstParagraph"/>
      </w:pPr>
      <w:r>
        <w:t xml:space="preserve">扩散决策模型（基本设定见</w:t>
      </w:r>
      <w:r>
        <w:t xml:space="preserve"> </w:t>
      </w:r>
      <w:hyperlink w:anchor="sec-45-24">
        <w:r>
          <w:rPr>
            <w:rStyle w:val="Hyperlink"/>
          </w:rPr>
          <w:t xml:space="preserve">45.24</w:t>
        </w:r>
      </w:hyperlink>
      <w:r>
        <w:t xml:space="preserve">）把部分二选一任务描述为含噪证据逐步积累，直到达到某个反应边界。常见参数分别刻画平均证据质量、边界间距、起始偏向和非决策时间。该框架能够同时约束正确率与反应时间分布，其适用范围依赖具体模型假设</w:t>
      </w:r>
      <w:r>
        <w:rPr>
          <w:vertAlign w:val="superscript"/>
        </w:rPr>
        <w:t xml:space="preserve">[</w:t>
      </w:r>
      <w:hyperlink w:anchor="ref-530">
        <w:r>
          <w:rPr>
            <w:rStyle w:val="Hyperlink"/>
            <w:vertAlign w:val="superscript"/>
          </w:rPr>
          <w:t xml:space="preserve">530</w:t>
        </w:r>
      </w:hyperlink>
      <w:r>
        <w:rPr>
          <w:vertAlign w:val="superscript"/>
        </w:rPr>
        <w:t xml:space="preserve">]</w:t>
      </w:r>
      <w:r>
        <w:t xml:space="preserve">。</w:t>
      </w:r>
    </w:p>
    <w:p>
      <w:pPr>
        <w:pStyle w:val="BodyText"/>
      </w:pPr>
      <w:r>
        <w:t xml:space="preserve">这一框架揭示，反应变快可以来自多条路径。证据更清晰会使积累更有效；降低边界可以更快作答但增加错误；感觉编码或动作执行加快也会缩短总时间。仅观察速度变化，无法唯一确定其中哪一项发生改变。相应地，变慢也不自动表明进行了更多正确推理。</w:t>
      </w:r>
    </w:p>
    <w:p>
      <w:pPr>
        <w:pStyle w:val="BodyText"/>
      </w:pPr>
      <w:r>
        <w:t xml:space="preserve">教学假设中，研究者增加视觉噪声后反应变慢，同时正确率下降，这与证据质量下降相容。若强调准确性后反应变慢且正确率上升，则可能符合边界提高。真实数据还会受到注意波动和策略混合影响，所以模型必须通过拟合检验与预测检验比较，不能把最容易解释的参数名称直接当作事实。</w:t>
      </w:r>
    </w:p>
    <w:p>
      <w:pPr>
        <w:pStyle w:val="BodyText"/>
      </w:pPr>
      <w:r>
        <w:t xml:space="preserve">模型参数具有可识别性问题。样本太少或条件太单一时，不同参数组合可能产生相近数据。使用模拟数据检验参数恢复、报告不确定区间，并在新条件检验预测，可以评估解释的稳健程度。参数与脑区活动相关，也只建立了模型层与测量层之间的一条联系，尚未完成微观机制定位。</w:t>
      </w:r>
    </w:p>
    <w:bookmarkEnd w:id="939"/>
    <w:bookmarkStart w:id="940" w:name="sec-47-8"/>
    <w:p>
      <w:pPr>
        <w:pStyle w:val="Heading3"/>
      </w:pPr>
      <w:r>
        <w:t xml:space="preserve">47.8　专家自动化改变速度与知识的关系</w:t>
      </w:r>
    </w:p>
    <w:p>
      <w:pPr>
        <w:pStyle w:val="FirstParagraph"/>
      </w:pPr>
      <w:r>
        <w:t xml:space="preserve">熟练者可以迅速识别有意义的模式，并调用长期形成的知识结构。速度提高可能来自更有效的表征、更少的搜索或更可靠的线索利用。一个快速回答因此可能包含多年训练累积的复杂信息。与此同时，专业能力通常具有领域边界，对无关领域的直觉判断未必同样准确。</w:t>
      </w:r>
    </w:p>
    <w:p>
      <w:pPr>
        <w:pStyle w:val="BodyText"/>
      </w:pPr>
      <w:r>
        <w:t xml:space="preserve">考察专家时，需比较训练经历、任务熟悉度、反馈质量和样本选择。成功者的回顾性经验报告容易忽略失败者，也容易把结果已知的案例解释得过于连贯。前瞻性预测和有明确评分标准的任务，能够更好地衡量直觉是否经过有效校准。</w:t>
      </w:r>
    </w:p>
    <w:p>
      <w:pPr>
        <w:pStyle w:val="BodyText"/>
      </w:pPr>
      <w:r>
        <w:t xml:space="preserve">环境是否稳定也很关键。若线索与结果之间的关系稳定且反馈及时，学习能够逐步建立可靠映射；若结果延迟、噪声大或经常改变，熟悉感可能增长得比准确性更快。这一推理适用于评价专业直觉，但不能仅凭职业名称确定某人的判断可靠程度。应直接比较预测与结果，并检查不确定性报告。</w:t>
      </w:r>
    </w:p>
    <w:bookmarkEnd w:id="940"/>
    <w:bookmarkStart w:id="941" w:name="sec-47-9"/>
    <w:p>
      <w:pPr>
        <w:pStyle w:val="Heading3"/>
      </w:pPr>
      <w:r>
        <w:t xml:space="preserve">47.9　自动与受控可以是维度和阶段</w:t>
      </w:r>
    </w:p>
    <w:p>
      <w:pPr>
        <w:pStyle w:val="FirstParagraph"/>
      </w:pPr>
      <w:r>
        <w:t xml:space="preserve">加工是否需要工作记忆、是否受意图影响、是否能被中断、是否快速，属于不同维度。它们在很多任务中相关，但不保证总是一起出现。一个动作可以快速而有意启动，一个习惯可以缓慢展开却难以停止，一个熟练计算可以占用很少注意但仍遵守规则。</w:t>
      </w:r>
    </w:p>
    <w:p>
      <w:pPr>
        <w:pStyle w:val="BodyText"/>
      </w:pPr>
      <w:r>
        <w:t xml:space="preserve">因此，双加工模型最有价值的用法，是把这些属性组合成明确、可检验的理论。研究者应说明采用哪一种模型、哪些属性构成核心定义、预测在哪些条件下会失败。若任何快速正确、快速错误、缓慢正确和缓慢错误都能在事后找到解释，理论就需要更强约束。</w:t>
      </w:r>
    </w:p>
    <w:p>
      <w:pPr>
        <w:pStyle w:val="BodyText"/>
      </w:pPr>
      <w:r>
        <w:t xml:space="preserve">在教学和日常决策中，可以据此针对失败环节建立支持。错误来自信息缺失时，提供可靠资料更有帮助；需要重新检查信息时，增加反思时间更合适；同时保持太多条件时，外部记录与分步处理可以降低负担；错误来自动作冲动时，延迟承诺和设计复核点可能更相关；知识不足或知识错误时，需要明确算法、纠正内容并提供反馈；改变默认选项可以减少重复负担。每种方式针对不同因果环节，哪一种方案有效，应通过实际任务中的具体结果检验。把全部改善都解释为同一个慢系统变强，缺乏足够细致的机制内容。这种分解也避免把人群固定分为直觉型和分析型：一个人在熟悉领域可以快速而准确，在陌生领域可以缓慢却仍出错，任务、知识、身体状态和环境信息共同塑造加工方式。</w:t>
      </w:r>
    </w:p>
    <w:bookmarkEnd w:id="941"/>
    <w:bookmarkStart w:id="942" w:name="sec-47-10"/>
    <w:p>
      <w:pPr>
        <w:pStyle w:val="Heading3"/>
      </w:pPr>
      <w:r>
        <w:t xml:space="preserve">47.10　神经实现需要跨层模型连接</w:t>
      </w:r>
    </w:p>
    <w:p>
      <w:pPr>
        <w:pStyle w:val="FirstParagraph"/>
      </w:pPr>
      <w:r>
        <w:t xml:space="preserve">心理学理论中的加工类型、计算模型中的变量和解剖学中的结构，处于不同解释层次。要建立对应关系，需要说明某种神经活动怎样实现某项计算，该计算又怎样产生行为预测。名称相似或活动位置符合直觉，都不能替代这条解释链。</w:t>
      </w:r>
    </w:p>
    <w:p>
      <w:pPr>
        <w:pStyle w:val="BodyText"/>
      </w:pPr>
      <w:r>
        <w:t xml:space="preserve">同一脑区可以在多个阶段发挥不同作用，不同脑区也可以参与相似计算。分布式表征、递归连接和状态变化，使脑结构与心理分类之间通常呈多对多关系。高置信结论是双加工理论不能直接等同于两块独立脑组织；关于某个具体模型的神经实现，应依据其独有预测逐项检验，保留与竞争模型比较的空间。</w:t>
      </w:r>
    </w:p>
    <w:bookmarkEnd w:id="942"/>
    <w:bookmarkStart w:id="943" w:name="sec-47-11"/>
    <w:p>
      <w:pPr>
        <w:pStyle w:val="Heading3"/>
      </w:pPr>
      <w:r>
        <w:t xml:space="preserve">47.11　多条通路可以同时开始并在后续阶段相互约束</w:t>
      </w:r>
    </w:p>
    <w:p>
      <w:pPr>
        <w:pStyle w:val="FirstParagraph"/>
      </w:pPr>
      <w:r>
        <w:t xml:space="preserve">一个刺激出现后，感觉特征、熟悉性、动作准备和任务规则相关活动可以在不同通路中同时变化。最终反应的时间由这些过程的相互作用决定。部分过程很快提供粗略信息，另一些需要更长整合；后来的信息还可能修正早先倾向。双加工术语可以概括某些行为差异，不能由此推出脑内只有两条独立的实体线路</w:t>
      </w:r>
      <w:r>
        <w:rPr>
          <w:vertAlign w:val="superscript"/>
        </w:rPr>
        <w:t xml:space="preserve">[</w:t>
      </w:r>
      <w:hyperlink w:anchor="ref-543">
        <w:r>
          <w:rPr>
            <w:rStyle w:val="Hyperlink"/>
            <w:vertAlign w:val="superscript"/>
          </w:rPr>
          <w:t xml:space="preserve">543</w:t>
        </w:r>
      </w:hyperlink>
      <w:r>
        <w:rPr>
          <w:vertAlign w:val="superscript"/>
        </w:rPr>
        <w:t xml:space="preserve">]</w:t>
      </w:r>
      <w:r>
        <w:t xml:space="preserve">。</w:t>
      </w:r>
    </w:p>
    <w:p>
      <w:pPr>
        <w:pStyle w:val="BodyText"/>
      </w:pPr>
      <w:r>
        <w:t xml:space="preserve">视觉系统提供具体生理背景。亮度增加与降低经不同视网膜通路输出，运动、物体和动作相关处理再经多级回路组合。多条并行路径都属于感觉系统内部，无法统一归为理性或直觉。运动控制又同时使用快速反馈、预测和任务目标，说明不同时间尺度可以在同一行动中合作</w:t>
      </w:r>
      <w:r>
        <w:rPr>
          <w:vertAlign w:val="superscript"/>
        </w:rPr>
        <w:t xml:space="preserve">[</w:t>
      </w:r>
      <w:hyperlink w:anchor="ref-158">
        <w:r>
          <w:rPr>
            <w:rStyle w:val="Hyperlink"/>
            <w:vertAlign w:val="superscript"/>
          </w:rPr>
          <w:t xml:space="preserve">158</w:t>
        </w:r>
      </w:hyperlink>
      <w:r>
        <w:rPr>
          <w:vertAlign w:val="superscript"/>
        </w:rPr>
        <w:t xml:space="preserve">,</w:t>
      </w:r>
      <w:hyperlink w:anchor="ref-159">
        <w:r>
          <w:rPr>
            <w:rStyle w:val="Hyperlink"/>
            <w:vertAlign w:val="superscript"/>
          </w:rPr>
          <w:t xml:space="preserve">159</w:t>
        </w:r>
      </w:hyperlink>
      <w:r>
        <w:rPr>
          <w:vertAlign w:val="superscript"/>
        </w:rPr>
        <w:t xml:space="preserve">,</w:t>
      </w:r>
      <w:hyperlink w:anchor="ref-176">
        <w:r>
          <w:rPr>
            <w:rStyle w:val="Hyperlink"/>
            <w:vertAlign w:val="superscript"/>
          </w:rPr>
          <w:t xml:space="preserve">176</w:t>
        </w:r>
      </w:hyperlink>
      <w:r>
        <w:rPr>
          <w:vertAlign w:val="superscript"/>
        </w:rPr>
        <w:t xml:space="preserve">]</w:t>
      </w:r>
      <w:r>
        <w:t xml:space="preserve">。</w:t>
      </w:r>
    </w:p>
    <w:p>
      <w:pPr>
        <w:pStyle w:val="BodyText"/>
      </w:pPr>
      <w:r>
        <w:t xml:space="preserve">一个教学例子是驾驶者识别前方突然出现的障碍。粗略视觉变化可迅速引起准备，物体身份和道路情况提供后续约束，已学驾驶技能决定可用操作。反应过慢可能危险，过早采取错误动作也可能危险。此处需要的是合适的速度准确度和任务关系，不能仅以快或慢决定某过程是否可靠。</w:t>
      </w:r>
    </w:p>
    <w:bookmarkEnd w:id="943"/>
    <w:bookmarkStart w:id="944" w:name="sec-47-12"/>
    <w:p>
      <w:pPr>
        <w:pStyle w:val="Heading3"/>
      </w:pPr>
      <w:r>
        <w:t xml:space="preserve">47.12　共享输出可以使并行加工表现为串行限制</w:t>
      </w:r>
    </w:p>
    <w:p>
      <w:pPr>
        <w:pStyle w:val="FirstParagraph"/>
      </w:pPr>
      <w:r>
        <w:t xml:space="preserve">多个信息过程可以并行，最终却可能争用同一反应选择或运动输出。假设两个任务分别要求左手按不同按键，它们的感觉分析可以同时开展，但相互不兼容的输出需要协调。若行为显示第二任务延迟，这可能反映共享阶段的瓶颈；它不能证明之前所有感觉与记忆加工都被暂停。</w:t>
      </w:r>
    </w:p>
    <w:p>
      <w:pPr>
        <w:pStyle w:val="BodyText"/>
      </w:pPr>
      <w:r>
        <w:t xml:space="preserve">身体本身也提供限制。口头报告需要发音器官和序列组织，两句话无法完全同时清楚发出；双手和眼动则可以在某些条件下并行。实验反应形式因此影响可观察的加工结构。把某个按钮任务的时间关系直接推广到全部日常思考，需要额外证据。</w:t>
      </w:r>
    </w:p>
    <w:p>
      <w:pPr>
        <w:pStyle w:val="BodyText"/>
      </w:pPr>
      <w:r>
        <w:t xml:space="preserve">资源共享还可以发生在任务目标层面。保持两套规则、切换注意和记住未完成目标都可能造成干扰。干扰大小随熟练度、刺激相似性和任务重叠变化。一个统一的资源桶比喻可以便于入门，但无法直接确定受限的是哪条通路或哪种表征。</w:t>
      </w:r>
    </w:p>
    <w:bookmarkEnd w:id="944"/>
    <w:bookmarkStart w:id="945" w:name="sec-47-13"/>
    <w:p>
      <w:pPr>
        <w:pStyle w:val="Heading3"/>
      </w:pPr>
      <w:r>
        <w:t xml:space="preserve">47.13　正确知识可以以不同速度进入决策</w:t>
      </w:r>
    </w:p>
    <w:p>
      <w:pPr>
        <w:pStyle w:val="FirstParagraph"/>
      </w:pPr>
      <w:r>
        <w:t xml:space="preserve">某些知识需要主动检索步骤，反复使用后也可能较快被提取。专家看到熟悉结构时，可以迅速识别关键关系；面对新问题时，同一专家仍需要较慢推导。速度变化因此可能反映知识组织和线索匹配，不能固定映射为同一脑系统的开关</w:t>
      </w:r>
      <w:r>
        <w:rPr>
          <w:vertAlign w:val="superscript"/>
        </w:rPr>
        <w:t xml:space="preserve">[</w:t>
      </w:r>
      <w:hyperlink w:anchor="ref-543">
        <w:r>
          <w:rPr>
            <w:rStyle w:val="Hyperlink"/>
            <w:vertAlign w:val="superscript"/>
          </w:rPr>
          <w:t xml:space="preserve">543</w:t>
        </w:r>
      </w:hyperlink>
      <w:r>
        <w:rPr>
          <w:vertAlign w:val="superscript"/>
        </w:rPr>
        <w:t xml:space="preserve">]</w:t>
      </w:r>
      <w:r>
        <w:t xml:space="preserve">。</w:t>
      </w:r>
    </w:p>
    <w:p>
      <w:pPr>
        <w:pStyle w:val="BodyText"/>
      </w:pPr>
      <w:r>
        <w:t xml:space="preserve">同时，快速提取也可能把错误经验带入判断。若过去环境中的某线索可靠，而当前环境改变，原先有效的快捷反应会产生偏差。慢思考也可能继续使用错误前提，使同一偏差得到更详细的论证。改善结果需要检查证据与规则，而单纯延长反应时间未必足够。</w:t>
      </w:r>
    </w:p>
    <w:bookmarkEnd w:id="945"/>
    <w:bookmarkStart w:id="946" w:name="sec-47-14"/>
    <w:p>
      <w:pPr>
        <w:pStyle w:val="Heading3"/>
      </w:pPr>
      <w:r>
        <w:t xml:space="preserve">47.14　时间尺度来自膜、突触与网络的共同组织</w:t>
      </w:r>
    </w:p>
    <w:p>
      <w:pPr>
        <w:pStyle w:val="FirstParagraph"/>
      </w:pPr>
      <w:r>
        <w:t xml:space="preserve">单个通道门控、突触电流、受体级联、回返活动和长程传导具有不同的时间性质。局部回路可把短输入变成长状态，也可把缓慢变化转成瞬时阈值事件。心理反应耗时由许多机制组合形成，无法根据毫秒或秒的数量直接指定一个认知系统</w:t>
      </w:r>
      <w:r>
        <w:rPr>
          <w:vertAlign w:val="superscript"/>
        </w:rPr>
        <w:t xml:space="preserve">[</w:t>
      </w:r>
      <w:hyperlink w:anchor="ref-40">
        <w:r>
          <w:rPr>
            <w:rStyle w:val="Hyperlink"/>
            <w:vertAlign w:val="superscript"/>
          </w:rPr>
          <w:t xml:space="preserve">40</w:t>
        </w:r>
      </w:hyperlink>
      <w:r>
        <w:rPr>
          <w:vertAlign w:val="superscript"/>
        </w:rPr>
        <w:t xml:space="preserve">,</w:t>
      </w:r>
      <w:hyperlink w:anchor="ref-58">
        <w:r>
          <w:rPr>
            <w:rStyle w:val="Hyperlink"/>
            <w:vertAlign w:val="superscript"/>
          </w:rPr>
          <w:t xml:space="preserve">58</w:t>
        </w:r>
      </w:hyperlink>
      <w:r>
        <w:rPr>
          <w:vertAlign w:val="superscript"/>
        </w:rPr>
        <w:t xml:space="preserve">,</w:t>
      </w:r>
      <w:hyperlink w:anchor="ref-67">
        <w:r>
          <w:rPr>
            <w:rStyle w:val="Hyperlink"/>
            <w:vertAlign w:val="superscript"/>
          </w:rPr>
          <w:t xml:space="preserve">67</w:t>
        </w:r>
      </w:hyperlink>
      <w:r>
        <w:rPr>
          <w:vertAlign w:val="superscript"/>
        </w:rPr>
        <w:t xml:space="preserve">]</w:t>
      </w:r>
      <w:r>
        <w:t xml:space="preserve">。</w:t>
      </w:r>
    </w:p>
    <w:p>
      <w:pPr>
        <w:pStyle w:val="BodyText"/>
      </w:pPr>
      <w:r>
        <w:t xml:space="preserve">例如，较慢的受体调节可以提前改变网络状态，使之后某个反应更快；一个非常快速的抑制输入又可以延迟后续输出。分子过程的快慢与整个行为的快慢之间不构成简单一对一关系。跨层解释需要说明调节发生在哪个时间点以及影响哪一部分计算。</w:t>
      </w:r>
    </w:p>
    <w:bookmarkEnd w:id="946"/>
    <w:bookmarkStart w:id="947" w:name="sec-47-15"/>
    <w:p>
      <w:pPr>
        <w:pStyle w:val="Heading3"/>
      </w:pPr>
      <w:r>
        <w:t xml:space="preserve">47.15　反应窗口会改变可观察的计算过程</w:t>
      </w:r>
    </w:p>
    <w:p>
      <w:pPr>
        <w:pStyle w:val="FirstParagraph"/>
      </w:pPr>
      <w:r>
        <w:t xml:space="preserve">若实验要求极短时间内作答，部分较晚到达的信息来不及影响结果。延长窗口后，新增信息、记忆提取或错误检查才有机会参与。准确率随时间提高可以由此产生，但提高幅度取决于后续信息是否可靠。若较晚过程引入偏见或错误解释，延长窗口也可能降低某类判断的质量。</w:t>
      </w:r>
    </w:p>
    <w:p>
      <w:pPr>
        <w:pStyle w:val="BodyText"/>
      </w:pPr>
      <w:r>
        <w:t xml:space="preserve">神经记录中需要把刺激锁定和反应锁定的活动分别理解。某过程总在刺激后发生，与总在动作前发生，支持不同的时间解释。反应速度不同会让动作相关活动在刺激平均图上被拉散，造成看似持续时间更长的群体信号。这个测量事实与双加工命名无直接对应，却会影响对快慢机制的判断。</w:t>
      </w:r>
    </w:p>
    <w:p>
      <w:pPr>
        <w:pStyle w:val="BodyText"/>
      </w:pPr>
      <w:r>
        <w:t xml:space="preserve">因此，时间是检验加工结构的重要维度，需要结合行为阶段和通路生理。只比较平均反应时间会压缩许多可能机制；观察整个过程的时间关系才能判断后续信息在何时真正进入选择</w:t>
      </w:r>
      <w:r>
        <w:rPr>
          <w:vertAlign w:val="superscript"/>
        </w:rPr>
        <w:t xml:space="preserve">[</w:t>
      </w:r>
      <w:hyperlink w:anchor="ref-530">
        <w:r>
          <w:rPr>
            <w:rStyle w:val="Hyperlink"/>
            <w:vertAlign w:val="superscript"/>
          </w:rPr>
          <w:t xml:space="preserve">530</w:t>
        </w:r>
      </w:hyperlink>
      <w:r>
        <w:rPr>
          <w:vertAlign w:val="superscript"/>
        </w:rPr>
        <w:t xml:space="preserve">]</w:t>
      </w:r>
      <w:r>
        <w:t xml:space="preserve">。</w:t>
      </w:r>
    </w:p>
    <w:bookmarkEnd w:id="947"/>
    <w:bookmarkStart w:id="948" w:name="sec-47-16"/>
    <w:p>
      <w:pPr>
        <w:pStyle w:val="Heading3"/>
      </w:pPr>
      <w:r>
        <w:t xml:space="preserve">47.16　本章结论</w:t>
      </w:r>
    </w:p>
    <w:p>
      <w:pPr>
        <w:pStyle w:val="FirstParagraph"/>
      </w:pPr>
      <w:r>
        <w:t xml:space="preserve">双加工模型的价值应按版本和任务评估。行为层面的加工差异具有研究意义，解剖上的两颗脑需要额外证据。解释越具体，越能指出何种结果会使它失败；把所有好坏判断分给两个拟人系统，容易失去这种约束</w:t>
      </w:r>
      <w:r>
        <w:rPr>
          <w:vertAlign w:val="superscript"/>
        </w:rPr>
        <w:t xml:space="preserve">[</w:t>
      </w:r>
      <w:hyperlink w:anchor="ref-542">
        <w:r>
          <w:rPr>
            <w:rStyle w:val="Hyperlink"/>
            <w:vertAlign w:val="superscript"/>
          </w:rPr>
          <w:t xml:space="preserve">542</w:t>
        </w:r>
      </w:hyperlink>
      <w:r>
        <w:rPr>
          <w:vertAlign w:val="superscript"/>
        </w:rPr>
        <w:t xml:space="preserve">,</w:t>
      </w:r>
      <w:hyperlink w:anchor="ref-543">
        <w:r>
          <w:rPr>
            <w:rStyle w:val="Hyperlink"/>
            <w:vertAlign w:val="superscript"/>
          </w:rPr>
          <w:t xml:space="preserve">543</w:t>
        </w:r>
      </w:hyperlink>
      <w:r>
        <w:rPr>
          <w:vertAlign w:val="superscript"/>
        </w:rPr>
        <w:t xml:space="preserve">]</w:t>
      </w:r>
      <w:r>
        <w:t xml:space="preserve">。</w:t>
      </w:r>
    </w:p>
    <w:bookmarkEnd w:id="948"/>
    <w:bookmarkEnd w:id="949"/>
    <w:bookmarkEnd w:id="950"/>
    <w:bookmarkStart w:id="1097" w:name="part-5"/>
    <w:p>
      <w:pPr>
        <w:pStyle w:val="Heading1"/>
      </w:pPr>
      <w:r>
        <w:t xml:space="preserve">第五编　工作原理（四）：睡眠、脑节律与意识</w:t>
      </w:r>
    </w:p>
    <w:p>
      <w:pPr>
        <w:pStyle w:val="PartIntro"/>
      </w:pPr>
      <w:r>
        <w:t xml:space="preserve">这一编讲大脑在不同状态之间怎样切换：睡眠的结构、需要与功能，睡眠对记忆的作用和睡中学习的边界，睡眠与脑内液体交换的研究现状，梦的研究，脑电节律能说明什么，以及无意识加工、意识报告与自由意志实验分别证明了什么。</w:t>
      </w:r>
    </w:p>
    <w:bookmarkStart w:id="971" w:name="ch-48"/>
    <w:p>
      <w:pPr>
        <w:pStyle w:val="Heading2"/>
      </w:pPr>
      <w:r>
        <w:t xml:space="preserve">第48章　睡眠是主动调节的状态</w:t>
      </w:r>
    </w:p>
    <w:p>
      <w:pPr>
        <w:pStyle w:val="CalloutJudgment"/>
      </w:pPr>
      <w:r>
        <w:rPr>
          <w:bCs/>
          <w:b/>
        </w:rPr>
        <w:t xml:space="preserve">核心判断　睡眠包含有组织的脑与身体活动，长期压缩睡眠通常会损害表现，主观适应不能保证功能已经恢复，置信度高。</w:t>
      </w:r>
      <w:r>
        <w:t xml:space="preserve">睡眠时间、睡眠质量、昼夜相位和规律性共同影响状态。一个总时长无法概括全部睡眠问题，某个脑波比例也无法独自给睡眠作全面评分。</w:t>
      </w:r>
    </w:p>
    <w:bookmarkStart w:id="951" w:name="sec-48-1"/>
    <w:p>
      <w:pPr>
        <w:pStyle w:val="Heading3"/>
      </w:pPr>
      <w:r>
        <w:t xml:space="preserve">48.1　睡眠结构与测量</w:t>
      </w:r>
    </w:p>
    <w:p>
      <w:pPr>
        <w:pStyle w:val="FirstParagraph"/>
      </w:pPr>
      <w:r>
        <w:t xml:space="preserve">睡眠分期通常结合脑电、眼动和肌电等信号，区分非快速眼动睡眠及快速眼动睡眠。不同阶段在活动模式、肌张力和生理调节上不同，整夜会多次转换</w:t>
      </w:r>
      <w:r>
        <w:rPr>
          <w:vertAlign w:val="superscript"/>
        </w:rPr>
        <w:t xml:space="preserve">[</w:t>
      </w:r>
      <w:hyperlink w:anchor="ref-544">
        <w:r>
          <w:rPr>
            <w:rStyle w:val="Hyperlink"/>
            <w:vertAlign w:val="superscript"/>
          </w:rPr>
          <w:t xml:space="preserve">544</w:t>
        </w:r>
      </w:hyperlink>
      <w:r>
        <w:rPr>
          <w:vertAlign w:val="superscript"/>
        </w:rPr>
        <w:t xml:space="preserve">]</w:t>
      </w:r>
      <w:r>
        <w:t xml:space="preserve">。分期是有用的描述工具，同一阶段内部也可能存在丰富动态，无法把每个阶段理解成完全均一的状态。</w:t>
      </w:r>
    </w:p>
    <w:p>
      <w:pPr>
        <w:pStyle w:val="BodyText"/>
      </w:pPr>
      <w:r>
        <w:t xml:space="preserve">入睡时间、夜间清醒、总睡眠时长和睡眠效率具有不同意义。在床八小时不等于实际睡眠八小时，主观估计与生理测量也可能不同。可穿戴设备通常依据运动和光学信号推断睡眠，算法与人群差异影响准确度。用于长期自我观察的趋势可能有价值，具体疾病诊断需要相应验证。</w:t>
      </w:r>
    </w:p>
    <w:bookmarkEnd w:id="951"/>
    <w:bookmarkStart w:id="952" w:name="sec-48-2"/>
    <w:p>
      <w:pPr>
        <w:pStyle w:val="Heading3"/>
      </w:pPr>
      <w:r>
        <w:t xml:space="preserve">48.2　睡眠需要与昼夜节律</w:t>
      </w:r>
    </w:p>
    <w:p>
      <w:pPr>
        <w:pStyle w:val="FirstParagraph"/>
      </w:pPr>
      <w:r>
        <w:t xml:space="preserve">随清醒时间积累的睡眠压力，与随昼夜周期变化的清醒倾向共同影响何时容易睡着。时区、轮班、光照和生活安排可以使两种过程不同步。人在某个时点难以入睡，不一定说明缺少意志或完全没有睡眠需要；需要检查生物时相和近期睡眠。</w:t>
      </w:r>
    </w:p>
    <w:p>
      <w:pPr>
        <w:pStyle w:val="BodyText"/>
      </w:pPr>
      <w:r>
        <w:t xml:space="preserve">光照的作用与时间有关。相同刺激在不同生物时相可能产生不同影响，简单说所有光都坏或所有晨光都适合每个人，会忽略节律障碍与特殊情况。临床节律干预需要明确时点和目标。日常规律性有一般价值，具体治疗不能由一个通用作息表替代。</w:t>
      </w:r>
    </w:p>
    <w:bookmarkEnd w:id="952"/>
    <w:bookmarkStart w:id="953" w:name="sec-48-3"/>
    <w:p>
      <w:pPr>
        <w:pStyle w:val="Heading3"/>
      </w:pPr>
      <w:r>
        <w:t xml:space="preserve">48.3　睡眠限制的实验依据</w:t>
      </w:r>
    </w:p>
    <w:p>
      <w:pPr>
        <w:pStyle w:val="FirstParagraph"/>
      </w:pPr>
      <w:r>
        <w:t xml:space="preserve">Van Dongen等2003年在48名健康成人中研究不同睡眠限制条件，持续多日的较短在床时间产生累积、剂量相关的认知损害；主观困倦的变化没有充分追踪客观表现下降</w:t>
      </w:r>
      <w:r>
        <w:rPr>
          <w:vertAlign w:val="superscript"/>
        </w:rPr>
        <w:t xml:space="preserve">[</w:t>
      </w:r>
      <w:hyperlink w:anchor="ref-545">
        <w:r>
          <w:rPr>
            <w:rStyle w:val="Hyperlink"/>
            <w:vertAlign w:val="superscript"/>
          </w:rPr>
          <w:t xml:space="preserve">545</w:t>
        </w:r>
      </w:hyperlink>
      <w:r>
        <w:rPr>
          <w:vertAlign w:val="superscript"/>
        </w:rPr>
        <w:t xml:space="preserve">]</w:t>
      </w:r>
      <w:r>
        <w:t xml:space="preserve">。研究说明感觉习惯了无法保证功能无损，实验条件与现实人群的推广仍需注意。</w:t>
      </w:r>
    </w:p>
    <w:p>
      <w:pPr>
        <w:pStyle w:val="BodyText"/>
      </w:pPr>
      <w:r>
        <w:t xml:space="preserve">这一差异具有决策意义。个体可能逐渐把受损状态当作常态，难以仅凭感受判断错误率。持续注意、反应速度和复杂工作可以受到不同程度影响，某项任务还能完成不表示全部能力保持。驾驶和其他安全敏感活动尤其需要客观风险判断，不能以自信替代状态评估。</w:t>
      </w:r>
    </w:p>
    <w:bookmarkEnd w:id="953"/>
    <w:bookmarkStart w:id="954" w:name="sec-48-4"/>
    <w:p>
      <w:pPr>
        <w:pStyle w:val="Heading3"/>
      </w:pPr>
      <w:r>
        <w:t xml:space="preserve">48.4　平均睡眠建议怎样理解</w:t>
      </w:r>
    </w:p>
    <w:p>
      <w:pPr>
        <w:pStyle w:val="FirstParagraph"/>
      </w:pPr>
      <w:r>
        <w:t xml:space="preserve">AASM与睡眠研究学会的成人共识建议，健康成人通常应规律获得至少七小时睡眠，同时强调需要和情境存在差异</w:t>
      </w:r>
      <w:r>
        <w:rPr>
          <w:vertAlign w:val="superscript"/>
        </w:rPr>
        <w:t xml:space="preserve">[</w:t>
      </w:r>
      <w:hyperlink w:anchor="ref-546">
        <w:r>
          <w:rPr>
            <w:rStyle w:val="Hyperlink"/>
            <w:vertAlign w:val="superscript"/>
          </w:rPr>
          <w:t xml:space="preserve">546</w:t>
        </w:r>
      </w:hyperlink>
      <w:r>
        <w:rPr>
          <w:vertAlign w:val="superscript"/>
        </w:rPr>
        <w:t xml:space="preserve">]</w:t>
      </w:r>
      <w:r>
        <w:t xml:space="preserve">。这一建议建立在多种健康结局证据上，不能当作每个人精确到分钟的生物阈值。年龄、疾病、恢复状态和长期习惯需要考虑。</w:t>
      </w:r>
    </w:p>
    <w:p>
      <w:pPr>
        <w:pStyle w:val="BodyText"/>
      </w:pPr>
      <w:r>
        <w:t xml:space="preserve">睡得更久与疾病相关的观察，也存在反向因果：疾病可能增加睡眠时间或在床时间。不能由U形相关直接推出人为缩短较长睡眠会改善健康。判断需要区分睡眠需求、疲劳、抑郁、药物、呼吸障碍和其他原因。</w:t>
      </w:r>
    </w:p>
    <w:bookmarkEnd w:id="954"/>
    <w:bookmarkStart w:id="955" w:name="sec-48-5"/>
    <w:p>
      <w:pPr>
        <w:pStyle w:val="Heading3"/>
      </w:pPr>
      <w:r>
        <w:t xml:space="preserve">48.5　睡眠的多种功能</w:t>
      </w:r>
    </w:p>
    <w:p>
      <w:pPr>
        <w:pStyle w:val="FirstParagraph"/>
      </w:pPr>
      <w:r>
        <w:t xml:space="preserve">睡眠与记忆加工、神经调节、代谢、免疫和身体恢复等过程相关。不同功能可能依赖不同阶段或动态，单一理论未必解释全部现象。即使某个机制仍有争议，睡眠对表现与健康的重要性也有独立证据。理论争议不应被误读为睡眠可有可无。</w:t>
      </w:r>
    </w:p>
    <w:p>
      <w:pPr>
        <w:pStyle w:val="BodyText"/>
      </w:pPr>
      <w:r>
        <w:t xml:space="preserve">记忆巩固研究也不能解释为睡着后能无条件吸收新知识。清醒编码、既有学习、线索重激活和完整新学习具有不同证据要求。声音刺激可能改变睡眠或某些记忆指标，收益、干扰与长期作用都需要验证。这部分内容可与讨论睡眠巩固与睡中学习的章节对照阅读。</w:t>
      </w:r>
    </w:p>
    <w:bookmarkEnd w:id="955"/>
    <w:bookmarkStart w:id="956" w:name="sec-48-6"/>
    <w:p>
      <w:pPr>
        <w:pStyle w:val="Heading3"/>
      </w:pPr>
      <w:r>
        <w:t xml:space="preserve">48.6　失眠与睡眠不足</w:t>
      </w:r>
    </w:p>
    <w:p>
      <w:pPr>
        <w:pStyle w:val="FirstParagraph"/>
      </w:pPr>
      <w:r>
        <w:t xml:space="preserve">睡眠机会不足与在充分机会下仍难以睡眠，具有不同临床含义。前者可能首先涉及时间安排和环境约束，后者可能涉及慢性失眠或其他问题。两者可以并存。只说早睡一点，可能无法解决失眠；只使用治疗技术，也无法补足长期被工作挤占的睡眠机会。</w:t>
      </w:r>
    </w:p>
    <w:p>
      <w:pPr>
        <w:pStyle w:val="BodyText"/>
      </w:pPr>
      <w:r>
        <w:t xml:space="preserve">AASM2021年指南推荐多成分失眠认知行为治疗用于成人慢性失眠，并指出单独睡眠卫生教育通常不足以作为完整治疗</w:t>
      </w:r>
      <w:r>
        <w:rPr>
          <w:vertAlign w:val="superscript"/>
        </w:rPr>
        <w:t xml:space="preserve">[</w:t>
      </w:r>
      <w:hyperlink w:anchor="ref-547">
        <w:r>
          <w:rPr>
            <w:rStyle w:val="Hyperlink"/>
            <w:vertAlign w:val="superscript"/>
          </w:rPr>
          <w:t xml:space="preserve">547</w:t>
        </w:r>
      </w:hyperlink>
      <w:r>
        <w:rPr>
          <w:vertAlign w:val="superscript"/>
        </w:rPr>
        <w:t xml:space="preserve">]</w:t>
      </w:r>
      <w:r>
        <w:t xml:space="preserve">。这一疗法把睡眠机会、刺激关联、认知与行为过程结合起来，临床目标除睡眠本身外，还包括白天功能、困扰和持续性。这说明睡眠问题需要结构化评估和针对性干预。其中的技术各有适用条件和实施边界，例如调整在床时间应根据临床背景实施，不能抽出某个片段要求所有人机械执行，也无法简单变成人人适用的自行限制睡眠方案。</w:t>
      </w:r>
    </w:p>
    <w:bookmarkEnd w:id="956"/>
    <w:bookmarkStart w:id="957" w:name="sec-48-7"/>
    <w:p>
      <w:pPr>
        <w:pStyle w:val="Heading3"/>
      </w:pPr>
      <w:r>
        <w:t xml:space="preserve">48.7　打鼾、睡眠呼吸与白天表现</w:t>
      </w:r>
    </w:p>
    <w:p>
      <w:pPr>
        <w:pStyle w:val="FirstParagraph"/>
      </w:pPr>
      <w:r>
        <w:t xml:space="preserve">打鼾可能与上气道振动有关，部分人还存在阻塞性睡眠呼吸暂停。白天困倦、夜间呼吸异常、心血管背景等信息会影响评估。问卷和设备提示可以帮助筛查，不能独自完成诊断。AASM诊断指南要求综合睡眠评估，并根据情况使用多导睡眠监测或合格居家检测</w:t>
      </w:r>
      <w:r>
        <w:rPr>
          <w:vertAlign w:val="superscript"/>
        </w:rPr>
        <w:t xml:space="preserve">[</w:t>
      </w:r>
      <w:hyperlink w:anchor="ref-548">
        <w:r>
          <w:rPr>
            <w:rStyle w:val="Hyperlink"/>
            <w:vertAlign w:val="superscript"/>
          </w:rPr>
          <w:t xml:space="preserve">548</w:t>
        </w:r>
      </w:hyperlink>
      <w:r>
        <w:rPr>
          <w:vertAlign w:val="superscript"/>
        </w:rPr>
        <w:t xml:space="preserve">]</w:t>
      </w:r>
      <w:r>
        <w:t xml:space="preserve">。</w:t>
      </w:r>
    </w:p>
    <w:p>
      <w:pPr>
        <w:pStyle w:val="BodyText"/>
      </w:pPr>
      <w:r>
        <w:t xml:space="preserve">某次居家检测阴性也需要结合技术质量和临床怀疑程度解释。检测没有充分记录睡眠或呼吸时，阴性结果可能不可靠。治疗目标包括症状、呼吸指标和相应健康风险，不能仅靠一个消费设备的睡眠评分决定。</w:t>
      </w:r>
    </w:p>
    <w:bookmarkEnd w:id="957"/>
    <w:bookmarkStart w:id="958" w:name="sec-48-8"/>
    <w:p>
      <w:pPr>
        <w:pStyle w:val="Heading3"/>
      </w:pPr>
      <w:r>
        <w:t xml:space="preserve">48.8　安眠药与自然睡眠</w:t>
      </w:r>
    </w:p>
    <w:p>
      <w:pPr>
        <w:pStyle w:val="FirstParagraph"/>
      </w:pPr>
      <w:r>
        <w:t xml:space="preserve">药物可以通过不同机制改变睡眠，改善某些结局，同时影响结构、白天状态和其他风险。增加总时长不保证每个睡眠过程都与自然状态相同，结构差异也不能自动解释为临床伤害。需要用人体结局、剂量、疗程和人群判断。</w:t>
      </w:r>
    </w:p>
    <w:p>
      <w:pPr>
        <w:pStyle w:val="BodyText"/>
      </w:pPr>
      <w:r>
        <w:t xml:space="preserve">动物关于某药影响脑清除的研究，不能直接转化为某位患者应该停药的结论。疾病本身、药物作用和未治疗风险都需要比较。具体药物的收益风险具有时效性，临床应参考当前说明与指南。睡眠与脑内清除的机制争议，另见专门讨论睡眠与脑内液体清除的章节。</w:t>
      </w:r>
    </w:p>
    <w:bookmarkEnd w:id="958"/>
    <w:bookmarkStart w:id="959" w:name="sec-48-9"/>
    <w:p>
      <w:pPr>
        <w:pStyle w:val="Heading3"/>
      </w:pPr>
      <w:r>
        <w:t xml:space="preserve">48.9　补觉与恢复</w:t>
      </w:r>
    </w:p>
    <w:p>
      <w:pPr>
        <w:pStyle w:val="FirstParagraph"/>
      </w:pPr>
      <w:r>
        <w:t xml:space="preserve">恢复睡眠可能改善部分受损表现，但不同功能的恢复速度可能不同。周末增加睡眠也可能改变节律和下一周入睡时间。不能把补觉理解为一个精确等额偿还公式，也不能说任何补觉都无价值。研究应区分短期损失、长期模式和具体结局。</w:t>
      </w:r>
    </w:p>
    <w:p>
      <w:pPr>
        <w:pStyle w:val="BodyText"/>
      </w:pPr>
      <w:r>
        <w:t xml:space="preserve">午睡同样受时长、时点、个人夜间睡眠和工作需求影响。短暂休息可能帮助某些状态，过晚或过长午睡可能影响夜间睡眠。个体化安排需要观察真实效果。对明显异常困倦，仍应寻找原因，不能只用更多咖啡或午睡掩盖问题。</w:t>
      </w:r>
    </w:p>
    <w:bookmarkEnd w:id="959"/>
    <w:bookmarkStart w:id="960" w:name="sec-48-10"/>
    <w:p>
      <w:pPr>
        <w:pStyle w:val="Heading3"/>
      </w:pPr>
      <w:r>
        <w:t xml:space="preserve">48.10　状态转换由相互作用的网络稳定</w:t>
      </w:r>
    </w:p>
    <w:p>
      <w:pPr>
        <w:pStyle w:val="FirstParagraph"/>
      </w:pPr>
      <w:r>
        <w:t xml:space="preserve">维持清醒需要感觉输入、动机、脑干和下丘脑调节以及皮层活动之间保持合适关系。促进睡眠的细胞群增加活动时，可以抑制部分觉醒系统；觉醒系统也会反馈影响睡眠相关细胞。这类相互抑制有助于解释为什么睡着和醒来的转换有时相当迅速。Saper等提出的睡眠状态切换框架，把这些回路与稳态压力、昼夜信号和情境需求结合起来</w:t>
      </w:r>
      <w:r>
        <w:rPr>
          <w:vertAlign w:val="superscript"/>
        </w:rPr>
        <w:t xml:space="preserve">[</w:t>
      </w:r>
      <w:hyperlink w:anchor="ref-549">
        <w:r>
          <w:rPr>
            <w:rStyle w:val="Hyperlink"/>
            <w:vertAlign w:val="superscript"/>
          </w:rPr>
          <w:t xml:space="preserve">549</w:t>
        </w:r>
      </w:hyperlink>
      <w:r>
        <w:rPr>
          <w:vertAlign w:val="superscript"/>
        </w:rPr>
        <w:t xml:space="preserve">]</w:t>
      </w:r>
      <w:r>
        <w:t xml:space="preserve">。</w:t>
      </w:r>
    </w:p>
    <w:p>
      <w:pPr>
        <w:pStyle w:val="BodyText"/>
      </w:pPr>
      <w:r>
        <w:t xml:space="preserve">模型中的开关是一种描述网络稳定性的比喻。真实神经系统具有多种递质、细胞类型、时间尺度和区域状态。一个人可以困倦但尚能活动，也可以部分觉醒后出现不完整记忆。入睡、觉醒和阶段转换并非要求全脑所有细胞同一瞬间改变。</w:t>
      </w:r>
    </w:p>
    <w:p>
      <w:pPr>
        <w:pStyle w:val="BodyText"/>
      </w:pPr>
      <w:r>
        <w:t xml:space="preserve">一个双稳态系统可以在两种状态附近相对稳定，也可以在外部输入改变后快速跃迁。假设某输入持续增强清醒网络，达到一定程度时睡眠就不容易维持；去除该输入后，先前积累的睡眠压力仍存在，因此可能迅速入睡。这种动力学解释能够说明行为现象，却不能从中直接推算个人需要多少小时睡眠。后一个问题还涉及年龄、既往睡眠与疾病。</w:t>
      </w:r>
    </w:p>
    <w:bookmarkEnd w:id="960"/>
    <w:bookmarkStart w:id="961" w:name="sec-48-11"/>
    <w:p>
      <w:pPr>
        <w:pStyle w:val="Heading3"/>
      </w:pPr>
      <w:r>
        <w:t xml:space="preserve">48.11　食欲素与清醒稳定性的概念</w:t>
      </w:r>
    </w:p>
    <w:p>
      <w:pPr>
        <w:pStyle w:val="FirstParagraph"/>
      </w:pPr>
      <w:r>
        <w:t xml:space="preserve">食欲素也称下丘脑分泌素，参与维持清醒状态的稳定。某些发作性睡病涉及这一系统的严重异常，状态边界因此可能出现问题</w:t>
      </w:r>
      <w:r>
        <w:rPr>
          <w:vertAlign w:val="superscript"/>
        </w:rPr>
        <w:t xml:space="preserve">[</w:t>
      </w:r>
      <w:hyperlink w:anchor="ref-549">
        <w:r>
          <w:rPr>
            <w:rStyle w:val="Hyperlink"/>
            <w:vertAlign w:val="superscript"/>
          </w:rPr>
          <w:t xml:space="preserve">549</w:t>
        </w:r>
      </w:hyperlink>
      <w:r>
        <w:rPr>
          <w:vertAlign w:val="superscript"/>
        </w:rPr>
        <w:t xml:space="preserve">]</w:t>
      </w:r>
      <w:r>
        <w:t xml:space="preserve">。这说明一个调节分子的作用可以表现为稳定状态转换，无法简单用“使人兴奋”四个字概括全部功能。</w:t>
      </w:r>
    </w:p>
    <w:p>
      <w:pPr>
        <w:pStyle w:val="BodyText"/>
      </w:pPr>
      <w:r>
        <w:t xml:space="preserve">围绕同一递质系统可以出现方向相反的治疗思路。增强某系统与抑制某系统是否有益，取决于目标疾病、时点与基线状态。抑制觉醒信号可能有助于某些失眠目标，觉醒系统不足的疾病则提出不同问题。由同一个分子推出人人都应该提高或降低其水平，会丢失疾病机制的条件。</w:t>
      </w:r>
    </w:p>
    <w:p>
      <w:pPr>
        <w:pStyle w:val="BodyText"/>
      </w:pPr>
      <w:r>
        <w:t xml:space="preserve">受体分布和下游网络也会影响结果。血中某物质浓度并不能自动代表脑内突触作用，脑内总体水平也不能描述每个回路的功能。这里讨论的是机制框架，具体药物的适应证、风险与监测需要当前临床证据，不能根据递质名称自行选择治疗。</w:t>
      </w:r>
    </w:p>
    <w:bookmarkEnd w:id="961"/>
    <w:bookmarkStart w:id="962" w:name="sec-48-12"/>
    <w:p>
      <w:pPr>
        <w:pStyle w:val="Heading3"/>
      </w:pPr>
      <w:r>
        <w:t xml:space="preserve">48.12　全身清醒与局部神经状态可以不同步</w:t>
      </w:r>
    </w:p>
    <w:p>
      <w:pPr>
        <w:pStyle w:val="FirstParagraph"/>
      </w:pPr>
      <w:r>
        <w:t xml:space="preserve">Vyazovskiy等在大鼠持续清醒实验中观察到，局部皮层神经元可短暂进入类似睡眠的停止放电状态，同时动物整体行为与脑电仍呈清醒特征；这类事件与任务表现变差相关</w:t>
      </w:r>
      <w:r>
        <w:rPr>
          <w:vertAlign w:val="superscript"/>
        </w:rPr>
        <w:t xml:space="preserve">[</w:t>
      </w:r>
      <w:hyperlink w:anchor="ref-550">
        <w:r>
          <w:rPr>
            <w:rStyle w:val="Hyperlink"/>
            <w:vertAlign w:val="superscript"/>
          </w:rPr>
          <w:t xml:space="preserve">550</w:t>
        </w:r>
      </w:hyperlink>
      <w:r>
        <w:rPr>
          <w:vertAlign w:val="superscript"/>
        </w:rPr>
        <w:t xml:space="preserve">]</w:t>
      </w:r>
      <w:r>
        <w:t xml:space="preserve">。结果为局部状态概念提供支持，不能据此宣称每次人类走神都能被确认为局部脑睡眠。</w:t>
      </w:r>
    </w:p>
    <w:p>
      <w:pPr>
        <w:pStyle w:val="BodyText"/>
      </w:pPr>
      <w:r>
        <w:t xml:space="preserve">这个发现对测量逻辑有启发。整体平均可能掩盖空间上局限的变化，整段平均也可能掩盖很短的异常时段。如果表现由多个环节串联完成，其中一个关键环节出现间歇性失效，就可能增加遗漏，即使平均反应速度看起来变化很小。</w:t>
      </w:r>
    </w:p>
    <w:p>
      <w:pPr>
        <w:pStyle w:val="BodyText"/>
      </w:pPr>
      <w:r>
        <w:t xml:space="preserve">假设某任务有一百次操作，九十五次表现接近正常，五次出现长时间遗漏。用中位反应时概括，容易忽略严重尾部事件；用错误率或最慢反应分位数，能够发现不同问题。睡眠损失研究中的指标选择因此应与真实风险对应。长期平稳表现和偶尔重大遗漏具有不同的安全意义。</w:t>
      </w:r>
    </w:p>
    <w:bookmarkEnd w:id="962"/>
    <w:bookmarkStart w:id="963" w:name="sec-48-13"/>
    <w:p>
      <w:pPr>
        <w:pStyle w:val="Heading3"/>
      </w:pPr>
      <w:r>
        <w:t xml:space="preserve">48.13　困倦、疲劳与动机不足具有不同线索</w:t>
      </w:r>
    </w:p>
    <w:p>
      <w:pPr>
        <w:pStyle w:val="FirstParagraph"/>
      </w:pPr>
      <w:r>
        <w:t xml:space="preserve">困倦主要涉及进入睡眠的倾向，疲劳涉及主观精力不足或活动耗竭，动机不足涉及行动的价值与启动。三者可以并存，也可以分离。有些人非常疲劳却难以入睡，有些人在单调条件下容易睡着，却未把自己描述为疲劳。</w:t>
      </w:r>
    </w:p>
    <w:p>
      <w:pPr>
        <w:pStyle w:val="BodyText"/>
      </w:pPr>
      <w:r>
        <w:t xml:space="preserve">区分这些词有助于建立机制假设。睡眠机会不足、呼吸障碍和节律错位可以影响困倦；贫血、疼痛、感染、抑郁以及其他疾病可能参与疲劳；奖励、任务结构和心理状态可以影响行动意愿。实际临床需要整合病史，书中的分类不能用来凭几个词完成诊断。</w:t>
      </w:r>
    </w:p>
    <w:p>
      <w:pPr>
        <w:pStyle w:val="BodyText"/>
      </w:pPr>
      <w:r>
        <w:t xml:space="preserve">测量也具有选择性。一个询问白天入睡概率的量表，不会完整测出身体耐力或精神耗竭；维持清醒测试与日常困扰也不完全等价。若研究只改善其中一个维度，结论应保留该维度。把所有精力问题合成一个分数，会降低机制辨别力。</w:t>
      </w:r>
    </w:p>
    <w:bookmarkEnd w:id="963"/>
    <w:bookmarkStart w:id="964" w:name="sec-48-14"/>
    <w:p>
      <w:pPr>
        <w:pStyle w:val="Heading3"/>
      </w:pPr>
      <w:r>
        <w:t xml:space="preserve">48.14　节律相位决定同一时钟时间的不同含义</w:t>
      </w:r>
    </w:p>
    <w:p>
      <w:pPr>
        <w:pStyle w:val="FirstParagraph"/>
      </w:pPr>
      <w:r>
        <w:t xml:space="preserve">墙上时钟显示的是社会时间，生物钟的相位需要通过行为和生理信号推断。两个同样在凌晨难以入睡的人，可能具有不同的睡眠机会、光照暴露和内部相位。相同作息建议对他们的作用可能不同。</w:t>
      </w:r>
    </w:p>
    <w:p>
      <w:pPr>
        <w:pStyle w:val="BodyText"/>
      </w:pPr>
      <w:r>
        <w:t xml:space="preserve">稳态睡眠压力通常随清醒积累，昼夜系统则在一天不同阶段改变清醒倾向。这两个过程可以暂时相互抵消，也可以同向作用。假设长时间清醒者在傍晚仍感觉比较精神，并不能由此认定其睡眠压力已经消失；之后的生物夜可能暴露此前被清醒信号遮蔽的困倦。</w:t>
      </w:r>
    </w:p>
    <w:p>
      <w:pPr>
        <w:pStyle w:val="BodyText"/>
      </w:pPr>
      <w:r>
        <w:t xml:space="preserve">轮班与跨时区旅行还涉及多个节律的重新协调。行为时间可以在一天内改变，内部各系统的适应速度却未必一致。因此，是否已经上床和是否处于适合睡眠的内部时相，是两个相关但独立的问题。研究节律干预时需要说明测量相位的方法，不能只按普通钟点解释全部结果。</w:t>
      </w:r>
    </w:p>
    <w:bookmarkEnd w:id="964"/>
    <w:bookmarkStart w:id="965" w:name="sec-48-15"/>
    <w:p>
      <w:pPr>
        <w:pStyle w:val="Heading3"/>
      </w:pPr>
      <w:r>
        <w:t xml:space="preserve">48.15　觉醒次数与觉醒负担</w:t>
      </w:r>
    </w:p>
    <w:p>
      <w:pPr>
        <w:pStyle w:val="FirstParagraph"/>
      </w:pPr>
      <w:r>
        <w:t xml:space="preserve">夜间短暂觉醒并不罕见，临床意义要结合频率、持续时间、原因及白天结局。一晚有很多非常短的事件，与少数长时间清醒，可能产生不同体验。消费设备无法精确识别每一次微觉醒，算法出现差异也不必然说明某次真实睡眠突然恶化。</w:t>
      </w:r>
    </w:p>
    <w:p>
      <w:pPr>
        <w:pStyle w:val="BodyText"/>
      </w:pPr>
      <w:r>
        <w:t xml:space="preserve">呼吸事件可以通过气流受限、血氧变化、胸腹用力及觉醒影响睡眠。单一事件计数有用，却未必完整表达低氧深度、持续时间和生理负担。解释某个指数时，应了解分母是真实睡眠时间还是记录时间，以及事件识别依赖什么传感器</w:t>
      </w:r>
      <w:r>
        <w:rPr>
          <w:vertAlign w:val="superscript"/>
        </w:rPr>
        <w:t xml:space="preserve">[</w:t>
      </w:r>
      <w:hyperlink w:anchor="ref-548">
        <w:r>
          <w:rPr>
            <w:rStyle w:val="Hyperlink"/>
            <w:vertAlign w:val="superscript"/>
          </w:rPr>
          <w:t xml:space="preserve">548</w:t>
        </w:r>
      </w:hyperlink>
      <w:r>
        <w:rPr>
          <w:vertAlign w:val="superscript"/>
        </w:rPr>
        <w:t xml:space="preserve">]</w:t>
      </w:r>
      <w:r>
        <w:t xml:space="preserve">。</w:t>
      </w:r>
    </w:p>
    <w:p>
      <w:pPr>
        <w:pStyle w:val="BodyText"/>
      </w:pPr>
      <w:r>
        <w:t xml:space="preserve">假设记录八小时，其中真正睡眠只有六小时，同样数目的呼吸事件除以不同分母，会得到不同指数。这个算术关系说明技术定义可以影响疾病分级，不能把设备显示值看成脱离协议的天然常数。临床判断还需要症状、共病与完整记录质量。</w:t>
      </w:r>
    </w:p>
    <w:bookmarkEnd w:id="965"/>
    <w:bookmarkStart w:id="966" w:name="sec-48-16"/>
    <w:p>
      <w:pPr>
        <w:pStyle w:val="Heading3"/>
      </w:pPr>
      <w:r>
        <w:t xml:space="preserve">48.16　条件性觉醒与失眠的维持</w:t>
      </w:r>
    </w:p>
    <w:p>
      <w:pPr>
        <w:pStyle w:val="FirstParagraph"/>
      </w:pPr>
      <w:r>
        <w:t xml:space="preserve">在一些慢性失眠情境中，床、钟表或次日表现的担忧逐渐与清醒和警觉联系起来。越努力监控自己是否睡着，越容易持续评估和紧张。这个反馈框架能够解释为什么充分疲惫仍可能难以入睡，也说明主观意愿与自动状态调节之间存在距离。</w:t>
      </w:r>
    </w:p>
    <w:bookmarkEnd w:id="966"/>
    <w:bookmarkStart w:id="967" w:name="sec-48-17"/>
    <w:p>
      <w:pPr>
        <w:pStyle w:val="Heading3"/>
      </w:pPr>
      <w:r>
        <w:t xml:space="preserve">48.17　睡眠阶段比例不能独自定义最优睡眠</w:t>
      </w:r>
    </w:p>
    <w:p>
      <w:pPr>
        <w:pStyle w:val="FirstParagraph"/>
      </w:pPr>
      <w:r>
        <w:t xml:space="preserve">阶段百分比的分母是总睡眠时间。假设某夜快速眼动睡眠的绝对分钟数保持不变，其他阶段减少，其比例就会上升。比例变化因此未必意味着该阶段生成过程增强。比较报告时，绝对时长、比例、出现时点与片段化程度应分别看待。</w:t>
      </w:r>
    </w:p>
    <w:p>
      <w:pPr>
        <w:pStyle w:val="BodyText"/>
      </w:pPr>
      <w:r>
        <w:t xml:space="preserve">阶段之间还具有组织关系。某些记忆研究关心慢振荡、纺锤和海马活动的时间配合，这类精细关系无法由一个整夜深睡百分比完整代表。单纯追求更多某阶段，可能忽略睡眠连续性、昼夜时相与其他阶段的作用。</w:t>
      </w:r>
    </w:p>
    <w:p>
      <w:pPr>
        <w:pStyle w:val="BodyText"/>
      </w:pPr>
      <w:r>
        <w:t xml:space="preserve">从研究指标到产品承诺还存在额外距离。即使某种刺激改变一项振荡指标，也应验证其是否改善预定行为、是否干扰睡眠，以及效果能否在不同年龄和疾病背景中重复。神经信号更漂亮这一描述本身没有临床判断标准。</w:t>
      </w:r>
    </w:p>
    <w:bookmarkEnd w:id="967"/>
    <w:bookmarkStart w:id="968" w:name="sec-48-18"/>
    <w:p>
      <w:pPr>
        <w:pStyle w:val="Heading3"/>
      </w:pPr>
      <w:r>
        <w:t xml:space="preserve">48.18　睡眠科学中的个人差异</w:t>
      </w:r>
    </w:p>
    <w:p>
      <w:pPr>
        <w:pStyle w:val="FirstParagraph"/>
      </w:pPr>
      <w:r>
        <w:t xml:space="preserve">在相同限制条件下，个体受损程度可以不同。稳定差异可能来自多种因素，也可能受当次状态影响。发现差异可以推动机制研究，不能帮助一个未经长期客观评估的人证明自己属于完全不需要充分睡眠的例外。</w:t>
      </w:r>
    </w:p>
    <w:p>
      <w:pPr>
        <w:pStyle w:val="BodyText"/>
      </w:pPr>
      <w:r>
        <w:t xml:space="preserve">个体预测需要在新的时点和情境中检验。某人一次注意任务表现较好，不保证长时间驾驶、记忆或情绪调节也不受影响。更合理的推理是，为每个具体功能建立证据，并保留预测误差。主观能忍受、短时能完成和长期无损，属于三个不同命题。</w:t>
      </w:r>
    </w:p>
    <w:bookmarkEnd w:id="968"/>
    <w:bookmarkStart w:id="969" w:name="sec-48-19"/>
    <w:p>
      <w:pPr>
        <w:pStyle w:val="Heading3"/>
      </w:pPr>
      <w:r>
        <w:t xml:space="preserve">48.19　睡眠机会受现实生活条件限制</w:t>
      </w:r>
    </w:p>
    <w:p>
      <w:pPr>
        <w:pStyle w:val="FirstParagraph"/>
      </w:pPr>
      <w:r>
        <w:t xml:space="preserve">睡眠需要与能够获得睡眠的机会属于不同层面。夜班、照护职责、拥挤或不安全的居住环境、噪声和不稳定工作安排，可以持续压缩休息。若研究或建议只记录个人意愿，就会漏掉这些实际约束。</w:t>
      </w:r>
    </w:p>
    <w:p>
      <w:pPr>
        <w:pStyle w:val="BodyText"/>
      </w:pPr>
      <w:r>
        <w:t xml:space="preserve">一个人可能清楚知道自己需要睡眠，却无法在当前条件下实现。对这类情况，解释睡眠生理只是第一步，改善排班、环境和支持也可能成为关键。把长期短睡完全归为自控不足，会把社会暴露误写为个人品格。</w:t>
      </w:r>
    </w:p>
    <w:p>
      <w:pPr>
        <w:pStyle w:val="BodyText"/>
      </w:pPr>
      <w:r>
        <w:t xml:space="preserve">睡眠干预的效果也需要结合实施可行性。某个作息方案在实验室得到支持，但要求固定休息时间或安静环境；资源不足者无法照做，不能因此推断其不愿改善。研究应报告适用条件，帮助判断技术怎样进入真实生活。</w:t>
      </w:r>
    </w:p>
    <w:p>
      <w:pPr>
        <w:pStyle w:val="BodyText"/>
      </w:pPr>
      <w:r>
        <w:t xml:space="preserve">对于照护者和轮班人群，目标可能需要分阶段安排，例如先增加稳定的睡眠机会，再处理持续失眠或节律错位。不同问题叠加时，单一技巧很难覆盖全部原因。完整睡眠科学需要把生理调节与行为环境共同纳入解释。</w:t>
      </w:r>
    </w:p>
    <w:bookmarkEnd w:id="969"/>
    <w:bookmarkStart w:id="970" w:name="sec-48-20"/>
    <w:p>
      <w:pPr>
        <w:pStyle w:val="Heading3"/>
      </w:pPr>
      <w:r>
        <w:t xml:space="preserve">48.20　假设例题</w:t>
      </w:r>
    </w:p>
    <w:p>
      <w:pPr>
        <w:pStyle w:val="FirstParagraph"/>
      </w:pPr>
      <w:r>
        <w:t xml:space="preserve">假设一位参与者连续两周减少睡眠后自称适应，反应任务却出现更多遗漏。两个结果可以同时真实：主观标尺已经改变，客观表现仍下降。宣传只引用自我感觉会遗漏关键结局。</w:t>
      </w:r>
    </w:p>
    <w:p>
      <w:pPr>
        <w:pStyle w:val="BodyText"/>
      </w:pPr>
      <w:r>
        <w:t xml:space="preserve">假设设备显示某晚深睡比例下降，但本人白天状态良好。单晚算法输出不足以证明疾病或损伤，需要考虑测量误差、正常波动与持续模式。若困扰持续，则应以症状、病史与适当检测评估。一个数值无法代表整个人的睡眠健康。</w:t>
      </w:r>
    </w:p>
    <w:p>
      <w:pPr>
        <w:pStyle w:val="BodyText"/>
      </w:pPr>
      <w:r>
        <w:t xml:space="preserve">睡眠具有主动、复杂且动态的组织。理解它需要区分时间、节律、结构和功能，并以可靠结局评价干预。意志可以改变行为安排，无法消除所有生理睡眠需求。</w:t>
      </w:r>
    </w:p>
    <w:bookmarkEnd w:id="970"/>
    <w:bookmarkEnd w:id="971"/>
    <w:bookmarkStart w:id="997" w:name="ch-49"/>
    <w:p>
      <w:pPr>
        <w:pStyle w:val="Heading2"/>
      </w:pPr>
      <w:r>
        <w:t xml:space="preserve">第49章　睡眠巩固与睡中新学习</w:t>
      </w:r>
    </w:p>
    <w:bookmarkStart w:id="972" w:name="sec-49-1"/>
    <w:p>
      <w:pPr>
        <w:pStyle w:val="Heading3"/>
      </w:pPr>
      <w:r>
        <w:t xml:space="preserve">49.1　核心判断</w:t>
      </w:r>
    </w:p>
    <w:p>
      <w:pPr>
        <w:pStyle w:val="FirstParagraph"/>
      </w:pPr>
      <w:r>
        <w:t xml:space="preserve">睡眠参与已学内容的巩固，特定实验条件下也能形成某些新的关联；现有证据无法支持睡着播放普通教材就能替代清醒学习、掌握复杂外语的承诺。对这一结论的置信度高。对睡眠学习可以达到的具体范围，仍存在研究空间。</w:t>
      </w:r>
    </w:p>
    <w:p>
      <w:pPr>
        <w:pStyle w:val="BodyText"/>
      </w:pPr>
      <w:r>
        <w:t xml:space="preserve">必须区分三种设计。第一种先在清醒时学习，再比较睡眠与清醒后的保持；第二种先学习，再在睡眠中呈现相关线索；第三种在睡眠中首次呈现新材料。前两种研究主要考察已有记忆的处理，第三种才直接涉及新学习。它们不能共享同一个宣传结论。</w:t>
      </w:r>
    </w:p>
    <w:bookmarkEnd w:id="972"/>
    <w:bookmarkStart w:id="973" w:name="sec-49-2"/>
    <w:p>
      <w:pPr>
        <w:pStyle w:val="Heading3"/>
      </w:pPr>
      <w:r>
        <w:t xml:space="preserve">49.2　巩固包含哪些可测变化</w:t>
      </w:r>
    </w:p>
    <w:p>
      <w:pPr>
        <w:pStyle w:val="FirstParagraph"/>
      </w:pPr>
      <w:r>
        <w:t xml:space="preserve">学习结束后，记忆表现可能继续变化。研究者可以观察保持、抗干扰、概括和不同记忆系统之间的关系。睡眠对这些结果的影响，不一定在每一种材料和任务中相同。研究需要说明学了什么、如何测量以及间隔中发生了什么。</w:t>
      </w:r>
    </w:p>
    <w:p>
      <w:pPr>
        <w:pStyle w:val="BodyText"/>
      </w:pPr>
      <w:r>
        <w:t xml:space="preserve">睡后优于清醒后，也需要排除时段、疲劳与干扰。记忆表现还取决于测试时是否清醒、是否疲劳和是否愿意努力。若睡眠组早晨测试、清醒组晚上或深夜测试，昼夜时点与当时状态便可能共同混入比较。若清醒组接触大量新材料，差异也可能部分来自干扰。严格设计会尽量匹配时间、状态和经历，例如安排相同时间测试、加入不同时间的控制或测量即时状态。</w:t>
      </w:r>
    </w:p>
    <w:p>
      <w:pPr>
        <w:pStyle w:val="BodyText"/>
      </w:pPr>
      <w:r>
        <w:t xml:space="preserve">Rasch与Born对睡眠记忆研究的综合讨论了重新激活与系统间协调等机制，同时强调不同记忆和睡眠阶段的条件</w:t>
      </w:r>
      <w:r>
        <w:rPr>
          <w:vertAlign w:val="superscript"/>
        </w:rPr>
        <w:t xml:space="preserve">[</w:t>
      </w:r>
      <w:hyperlink w:anchor="ref-306">
        <w:r>
          <w:rPr>
            <w:rStyle w:val="Hyperlink"/>
            <w:vertAlign w:val="superscript"/>
          </w:rPr>
          <w:t xml:space="preserve">306</w:t>
        </w:r>
      </w:hyperlink>
      <w:r>
        <w:rPr>
          <w:vertAlign w:val="superscript"/>
        </w:rPr>
        <w:t xml:space="preserve">]</w:t>
      </w:r>
      <w:r>
        <w:t xml:space="preserve">。机制框架能够产生预测，却不能直接为每一款睡眠音频提供疗效证明。</w:t>
      </w:r>
    </w:p>
    <w:bookmarkEnd w:id="973"/>
    <w:bookmarkStart w:id="974" w:name="sec-49-3"/>
    <w:p>
      <w:pPr>
        <w:pStyle w:val="Heading3"/>
      </w:pPr>
      <w:r>
        <w:t xml:space="preserve">49.3　目标记忆再激活的逻辑</w:t>
      </w:r>
    </w:p>
    <w:p>
      <w:pPr>
        <w:pStyle w:val="FirstParagraph"/>
      </w:pPr>
      <w:r>
        <w:t xml:space="preserve">目标记忆再激活（targeted memory reactivation，TMR）通常先把线索与清醒学习的材料建立联系，再在特定睡眠阶段呈现线索，用来影响已有记忆的后续处理。线索可以是声音或气味，干预需要控制时点、强度和是否引起觉醒。</w:t>
      </w:r>
    </w:p>
    <w:p>
      <w:pPr>
        <w:pStyle w:val="BodyText"/>
      </w:pPr>
      <w:r>
        <w:t xml:space="preserve">Schreiner与Rasch先让参与者学习荷兰语词与德语翻译，在非快速眼动睡眠中重放部分词语，观察到提示词的后续翻译保持优势</w:t>
      </w:r>
      <w:r>
        <w:rPr>
          <w:vertAlign w:val="superscript"/>
        </w:rPr>
        <w:t xml:space="preserve">[</w:t>
      </w:r>
      <w:hyperlink w:anchor="ref-551">
        <w:r>
          <w:rPr>
            <w:rStyle w:val="Hyperlink"/>
            <w:vertAlign w:val="superscript"/>
          </w:rPr>
          <w:t xml:space="preserve">551</w:t>
        </w:r>
      </w:hyperlink>
      <w:r>
        <w:rPr>
          <w:vertAlign w:val="superscript"/>
        </w:rPr>
        <w:t xml:space="preserve">]</w:t>
      </w:r>
      <w:r>
        <w:t xml:space="preserve">。第一次学习发生在清醒时，这一事实是解释结果的核心条件。</w:t>
      </w:r>
    </w:p>
    <w:p>
      <w:pPr>
        <w:pStyle w:val="BodyText"/>
      </w:pPr>
      <w:r>
        <w:t xml:space="preserve">Hu等2020年元分析汇总91项实验、2004名参与者，整体效应g约0.29，95%置信区间0.21至0.38，积极结果主要见于所研究的非快速眼动睡眠条件</w:t>
      </w:r>
      <w:r>
        <w:rPr>
          <w:vertAlign w:val="superscript"/>
        </w:rPr>
        <w:t xml:space="preserve">[</w:t>
      </w:r>
      <w:hyperlink w:anchor="ref-552">
        <w:r>
          <w:rPr>
            <w:rStyle w:val="Hyperlink"/>
            <w:vertAlign w:val="superscript"/>
          </w:rPr>
          <w:t xml:space="preserve">552</w:t>
        </w:r>
      </w:hyperlink>
      <w:r>
        <w:rPr>
          <w:vertAlign w:val="superscript"/>
        </w:rPr>
        <w:t xml:space="preserve">]</w:t>
      </w:r>
      <w:r>
        <w:t xml:space="preserve">。平均效应支持技术具有研究价值，也显示其量级与普通广告中的无需学习承诺不同。</w:t>
      </w:r>
    </w:p>
    <w:bookmarkEnd w:id="974"/>
    <w:bookmarkStart w:id="975" w:name="sec-49-4"/>
    <w:p>
      <w:pPr>
        <w:pStyle w:val="Heading3"/>
      </w:pPr>
      <w:r>
        <w:t xml:space="preserve">49.4　睡中新关联的证据</w:t>
      </w:r>
    </w:p>
    <w:p>
      <w:pPr>
        <w:pStyle w:val="FirstParagraph"/>
      </w:pPr>
      <w:r>
        <w:t xml:space="preserve">Züst等在慢波睡眠中呈现新造词与德语词配对，醒后通过隐性分类检验关联痕迹，结果与声音相对慢波的时相有关</w:t>
      </w:r>
      <w:r>
        <w:rPr>
          <w:vertAlign w:val="superscript"/>
        </w:rPr>
        <w:t xml:space="preserve">[</w:t>
      </w:r>
      <w:hyperlink w:anchor="ref-553">
        <w:r>
          <w:rPr>
            <w:rStyle w:val="Hyperlink"/>
            <w:vertAlign w:val="superscript"/>
          </w:rPr>
          <w:t xml:space="preserve">553</w:t>
        </w:r>
      </w:hyperlink>
      <w:r>
        <w:rPr>
          <w:vertAlign w:val="superscript"/>
        </w:rPr>
        <w:t xml:space="preserve">]</w:t>
      </w:r>
      <w:r>
        <w:t xml:space="preserve">。这种设计说明，睡眠中形成某类信息联系具有可能性，不能将睡眠视为完全没有信息加工的状态。</w:t>
      </w:r>
    </w:p>
    <w:p>
      <w:pPr>
        <w:pStyle w:val="BodyText"/>
      </w:pPr>
      <w:r>
        <w:t xml:space="preserve">该结果也有明确边界。二选一判断受到关联影响，与能够主动说出翻译、灵活使用词语、理解语法和开展交流不同。若把隐性判断称为掌握语言，就改变了结局定义。</w:t>
      </w:r>
    </w:p>
    <w:p>
      <w:pPr>
        <w:pStyle w:val="BodyText"/>
      </w:pPr>
      <w:r>
        <w:t xml:space="preserve">睡眠学习研究还需要特别关注微觉醒和短暂清醒编码。参与者事后不知道听过材料，不能独自证明呈现时始终处于睡眠。脑电、肌电、眼电和行为反应可以提供更直接的记录，但任何方法都有分辨率限制，按时间窗评分的睡眠分期也可能漏掉较短的觉醒。研究需要预先规定睡眠期间有效刺激的界定、排除标准和分析时间窗。研究的技术条件是结论的一部分。</w:t>
      </w:r>
    </w:p>
    <w:bookmarkEnd w:id="975"/>
    <w:bookmarkStart w:id="976" w:name="sec-49-5"/>
    <w:p>
      <w:pPr>
        <w:pStyle w:val="Heading3"/>
      </w:pPr>
      <w:r>
        <w:t xml:space="preserve">49.5　为什么语言掌握需要更多环节</w:t>
      </w:r>
    </w:p>
    <w:p>
      <w:pPr>
        <w:pStyle w:val="FirstParagraph"/>
      </w:pPr>
      <w:r>
        <w:t xml:space="preserve">一门语言包含词汇形式、意义、语音区分、句法关系、语境与互动。记住少数词对只覆盖其中一部分。理解新句子还要求组合和推断，交流还需要在时间压力下选择表达、理解对方并获得反馈。</w:t>
      </w:r>
    </w:p>
    <w:p>
      <w:pPr>
        <w:pStyle w:val="BodyText"/>
      </w:pPr>
      <w:r>
        <w:t xml:space="preserve">如果产品宣称睡眠学习能取代这些过程，就需要直接测量它们。仅用词义分类、熟悉感或脑信号变化，无法担保实际语言能力。研究应使用未呈现的句子、新说话者和真实交流任务，观察保持与泛化。</w:t>
      </w:r>
    </w:p>
    <w:p>
      <w:pPr>
        <w:pStyle w:val="BodyText"/>
      </w:pPr>
      <w:r>
        <w:t xml:space="preserve">效率同样重要。即使睡眠中能学到少量关联，也要与相同材料的短时清醒学习比较。若需要整夜播放却只产生很弱的隐性偏向，实际价值可能有限。没有直接比较，就不能称为更高效的学习方法。</w:t>
      </w:r>
    </w:p>
    <w:bookmarkEnd w:id="976"/>
    <w:bookmarkStart w:id="977" w:name="sec-49-6"/>
    <w:p>
      <w:pPr>
        <w:pStyle w:val="Heading3"/>
      </w:pPr>
      <w:r>
        <w:t xml:space="preserve">49.6　音频干预的收益与代价</w:t>
      </w:r>
    </w:p>
    <w:p>
      <w:pPr>
        <w:pStyle w:val="FirstParagraph"/>
      </w:pPr>
      <w:r>
        <w:t xml:space="preserve">外部声音可能帮助再激活，也可能破坏睡眠连续性。总睡眠时间相同，睡眠片段化和阶段结构仍可能不同。评价干预应同时测量学习结果、觉醒、主观恢复感和次日功能。</w:t>
      </w:r>
    </w:p>
    <w:p>
      <w:pPr>
        <w:pStyle w:val="BodyText"/>
      </w:pPr>
      <w:r>
        <w:t xml:space="preserve">声音强度与时点不能由普通应用的宣传标签替代。实验中可能使用实时睡眠监测、个体化阈值和受控呈现；整夜循环播放教材的条件差异很大。把实验效果直接赋予未经验证的产品，会遗漏关键技术环节。</w:t>
      </w:r>
    </w:p>
    <w:p>
      <w:pPr>
        <w:pStyle w:val="BodyText"/>
      </w:pPr>
      <w:r>
        <w:t xml:space="preserve">长期使用还需要研究适应与累积影响。短时实验显示可接受，并不等于数月使用都有同样效果。尤其对存在睡眠问题的人群，具体应用应由相应临床研究评价，不能从健康志愿者的小任务外推。</w:t>
      </w:r>
    </w:p>
    <w:bookmarkEnd w:id="977"/>
    <w:bookmarkStart w:id="978" w:name="sec-49-7"/>
    <w:p>
      <w:pPr>
        <w:pStyle w:val="Heading3"/>
      </w:pPr>
      <w:r>
        <w:t xml:space="preserve">49.7　结果测量中的几个陷阱</w:t>
      </w:r>
    </w:p>
    <w:p>
      <w:pPr>
        <w:pStyle w:val="FirstParagraph"/>
      </w:pPr>
      <w:r>
        <w:t xml:space="preserve">首先，醒后熟悉感可能来自声音形式，与掌握意义不同。研究应设计能够区分声学熟悉和语义学习的任务。其次，机会水平必须计算正确；若分类偏好不均衡，略高于某个简单基线未必代表目标关联。</w:t>
      </w:r>
    </w:p>
    <w:p>
      <w:pPr>
        <w:pStyle w:val="BodyText"/>
      </w:pPr>
      <w:r>
        <w:t xml:space="preserve">再次，研究若尝试很多睡眠阶段、时相、电极和结局，只报告积极组合，会高估可重复性。关键条件应预先规定，探索结果需要独立验证。技术越复杂，分析选择越需要透明。</w:t>
      </w:r>
    </w:p>
    <w:p>
      <w:pPr>
        <w:pStyle w:val="BodyText"/>
      </w:pPr>
      <w:r>
        <w:t xml:space="preserve">最后，睡眠分期是以一定时间片段分类，内部仍存在动态变化。将整段称为慢波睡眠，不意味着每一时刻具有相同加工条件。相位依赖研究正是在研究这些更精细的差异，不能被压缩成所有深睡都能学语言。</w:t>
      </w:r>
    </w:p>
    <w:bookmarkEnd w:id="978"/>
    <w:bookmarkStart w:id="979" w:name="sec-49-8"/>
    <w:p>
      <w:pPr>
        <w:pStyle w:val="Heading3"/>
      </w:pPr>
      <w:r>
        <w:t xml:space="preserve">49.8　一个合格的产品验证方案</w:t>
      </w:r>
    </w:p>
    <w:p>
      <w:pPr>
        <w:pStyle w:val="FirstParagraph"/>
      </w:pPr>
      <w:r>
        <w:t xml:space="preserve">设想验证一种夜间词汇应用。参与者应随机分配到真正提示、匹配声音对照和无声音条件。若要检验新学习，材料必须此前未学；若检验巩固，则应先确认各组清醒学习达到相近水平。</w:t>
      </w:r>
    </w:p>
    <w:p>
      <w:pPr>
        <w:pStyle w:val="BodyText"/>
      </w:pPr>
      <w:r>
        <w:t xml:space="preserve">主要结果应提前设定，包括主动回忆、理解、新语境应用和延迟保持。同步记录睡眠质量和次日警觉。对照音频应尽量匹配音量与觉醒概率，避免将一般声音影响误计为语义作用。</w:t>
      </w:r>
    </w:p>
    <w:p>
      <w:pPr>
        <w:pStyle w:val="BodyText"/>
      </w:pPr>
      <w:r>
        <w:t xml:space="preserve">研究还应直接比较清醒学习的成本。若应用的目标是节省时间，需要报告总学习投入与实际掌握程度。若目标只是补充巩固，则应按补充收益评价，不把它宣传成完整课程替代。</w:t>
      </w:r>
    </w:p>
    <w:bookmarkEnd w:id="979"/>
    <w:bookmarkStart w:id="980" w:name="sec-49-9"/>
    <w:p>
      <w:pPr>
        <w:pStyle w:val="Heading3"/>
      </w:pPr>
      <w:r>
        <w:t xml:space="preserve">49.9　机制推断中的竞争解释</w:t>
      </w:r>
    </w:p>
    <w:p>
      <w:pPr>
        <w:pStyle w:val="FirstParagraph"/>
      </w:pPr>
      <w:r>
        <w:t xml:space="preserve">提示后记忆更好，可能涉及重新激活、注意或觉醒相关过程。研究者可以通过呈现时点、线索特异性和睡眠状态比较，逐步排除某些解释。单个脑电相关无法独自确定全部机制。</w:t>
      </w:r>
    </w:p>
    <w:p>
      <w:pPr>
        <w:pStyle w:val="BodyText"/>
      </w:pPr>
      <w:r>
        <w:t xml:space="preserve">某项效果只出现在特定时相，也可能受到有效试次数、信号检测与样本选择影响。需要确认分析是否提前规定、是否在独立样本重现。精细机制越吸引人，越应该检查可重复性。</w:t>
      </w:r>
    </w:p>
    <w:p>
      <w:pPr>
        <w:pStyle w:val="BodyText"/>
      </w:pPr>
      <w:r>
        <w:t xml:space="preserve">睡眠中的新关联与已学材料巩固也可能相互影响。一个技术若增强某些材料，却削弱未提示材料或其他功能，就需要综合评价。只测受益项目，无法判断整体学习收益。</w:t>
      </w:r>
    </w:p>
    <w:bookmarkEnd w:id="980"/>
    <w:bookmarkStart w:id="981" w:name="sec-49-10"/>
    <w:p>
      <w:pPr>
        <w:pStyle w:val="Heading3"/>
      </w:pPr>
      <w:r>
        <w:t xml:space="preserve">49.10　记忆保持涉及哪些阶段</w:t>
      </w:r>
    </w:p>
    <w:p>
      <w:pPr>
        <w:pStyle w:val="FirstParagraph"/>
      </w:pPr>
      <w:r>
        <w:t xml:space="preserve">一次学习事件可以分为信息获取、初始编码、短时保持、较长时间稳定、后续提取和重新学习。睡眠研究需要定位它影响了哪一阶段。若学习前睡眠不足，第二天表现较差，可能涉及编码状态；若学习后睡眠条件不同，次日保持差异更接近巩固问题。两类设计不能混成同一个解释。</w:t>
      </w:r>
    </w:p>
    <w:p>
      <w:pPr>
        <w:pStyle w:val="BodyText"/>
      </w:pPr>
      <w:r>
        <w:t xml:space="preserve">一个完整流程可以在睡前先测初始学习水平，记录睡眠，次日测保持，再在较晚时间测延迟效果。初始测验本身会产生提取练习，因此需要各条件一致处理。若研究只比较最终分数，应说明初始编码是否可比；若比较保持比例，也要注意分母较低时比例不稳定。</w:t>
      </w:r>
    </w:p>
    <w:bookmarkEnd w:id="981"/>
    <w:bookmarkStart w:id="986" w:name="sec-49-11"/>
    <w:p>
      <w:pPr>
        <w:pStyle w:val="Heading3"/>
      </w:pPr>
      <w:r>
        <w:t xml:space="preserve">49.11　慢振荡、纺锤波与涟漪的协调</w:t>
      </w:r>
    </w:p>
    <w:p>
      <w:pPr>
        <w:pStyle w:val="FirstParagraph"/>
      </w:pPr>
      <w:r>
        <w:t xml:space="preserve">系统巩固理论提出，某些新近记忆在睡眠中通过回路间再激活与协调得到稳定或重新组织。人类颅内记录研究观察到慢振荡、睡眠纺锤波和海马涟漪之间的时间嵌套关系，为不同时间尺度协调提供了证据</w:t>
      </w:r>
      <w:r>
        <w:rPr>
          <w:vertAlign w:val="superscript"/>
        </w:rPr>
        <w:t xml:space="preserve">[</w:t>
      </w:r>
      <w:hyperlink w:anchor="ref-554">
        <w:r>
          <w:rPr>
            <w:rStyle w:val="Hyperlink"/>
            <w:vertAlign w:val="superscript"/>
          </w:rPr>
          <w:t xml:space="preserve">554</w:t>
        </w:r>
      </w:hyperlink>
      <w:r>
        <w:rPr>
          <w:vertAlign w:val="superscript"/>
        </w:rPr>
        <w:t xml:space="preserve">]</w:t>
      </w:r>
      <w:r>
        <w:t xml:space="preserve">。这种耦合支持机制假设，单次相关记录仍无法完整证明信息怎样被转移或存储。</w:t>
      </w:r>
    </w:p>
    <w:p>
      <w:pPr>
        <w:pStyle w:val="BodyText"/>
      </w:pPr>
      <w:r>
        <w:t xml:space="preserve">慢振荡可以提供较长的兴奋性窗口，纺锤波与更短事件可能在窗口内出现，使回路活动有机会在适当时序协调。这里的功能解释依赖理论与多种证据，不能把某个波形看成正在播放具体知识的直接读数。记录到耦合也不保证每一条记忆都得到增强。</w:t>
      </w:r>
    </w:p>
    <w:p>
      <w:pPr>
        <w:pStyle w:val="BodyText"/>
      </w:pPr>
      <w:r>
        <w:t xml:space="preserve">时间对齐问题可以用交通调度类比理解。不同线路拥有不同运行周期，若关键换乘窗口协调，信息更可能在合适时间到达。类比帮助解释时序的重要性，真实脑活动包含多向互动、状态变化和噪声，无法按固定列车表逐项读取。</w:t>
      </w:r>
    </w:p>
    <w:p>
      <w:pPr>
        <w:pStyle w:val="Figure"/>
      </w:pPr>
      <w:r>
        <w:drawing>
          <wp:inline>
            <wp:extent cx="5334000" cy="4367560"/>
            <wp:effectExtent b="0" l="0" r="0" t="0"/>
            <wp:docPr descr="B图2 清醒学习 睡眠过程与后续表现" title="" id="983" name="Picture"/>
            <a:graphic>
              <a:graphicData uri="http://schemas.openxmlformats.org/drawingml/2006/picture">
                <pic:pic>
                  <pic:nvPicPr>
                    <pic:cNvPr descr="/tmp/claude-0/-home-user-i18ns/3184e246-229e-5a65-b6f3-3f7647a222c4/scratchpad/src/B_media/media/image4.png" id="984" name="Picture"/>
                    <pic:cNvPicPr>
                      <a:picLocks noChangeArrowheads="1" noChangeAspect="1"/>
                    </pic:cNvPicPr>
                  </pic:nvPicPr>
                  <pic:blipFill>
                    <a:blip r:embed="rId982"/>
                    <a:stretch>
                      <a:fillRect/>
                    </a:stretch>
                  </pic:blipFill>
                  <pic:spPr bwMode="auto">
                    <a:xfrm>
                      <a:off x="0" y="0"/>
                      <a:ext cx="5334000" cy="4367560"/>
                    </a:xfrm>
                    <a:prstGeom prst="rect">
                      <a:avLst/>
                    </a:prstGeom>
                    <a:noFill/>
                    <a:ln w="9525">
                      <a:noFill/>
                      <a:headEnd/>
                      <a:tailEnd/>
                    </a:ln>
                  </pic:spPr>
                </pic:pic>
              </a:graphicData>
            </a:graphic>
          </wp:inline>
        </w:drawing>
      </w:r>
    </w:p>
    <w:p>
      <w:pPr>
        <w:pStyle w:val="ImageCaption"/>
      </w:pPr>
      <w:bookmarkStart w:id="985" w:name="fig-b2"/>
      <w:bookmarkEnd w:id="985"/>
      <w:r>
        <w:rPr>
          <w:bCs/>
          <w:b/>
        </w:rPr>
        <w:t xml:space="preserve">图 6　</w:t>
      </w:r>
      <w:r>
        <w:t xml:space="preserve">清醒学习、睡眠过程与后续表现。三条波形仅示意慢振荡、纺锤波与海马涟漪之间可能的相对时间协调；振幅和横向尺度没有实测单位，不能据此推导统一频率、固定相位或逐条记忆内容。绿色入口表示目标记忆再激活需要清醒期已经建立的材料与线索联结，并且线索效应受睡眠阶段及刺激条件限制。底部虚线表示闭环刺激研究对时序作用的实验检验，个别实验中的改变不能直接推导家庭设备能够提高长期学习成绩</w:t>
      </w:r>
      <w:r>
        <w:rPr>
          <w:vertAlign w:val="superscript"/>
        </w:rPr>
        <w:t xml:space="preserve">[</w:t>
      </w:r>
      <w:hyperlink w:anchor="ref-552">
        <w:r>
          <w:rPr>
            <w:rStyle w:val="Hyperlink"/>
            <w:vertAlign w:val="superscript"/>
          </w:rPr>
          <w:t xml:space="preserve">552</w:t>
        </w:r>
      </w:hyperlink>
      <w:r>
        <w:rPr>
          <w:vertAlign w:val="superscript"/>
        </w:rPr>
        <w:t xml:space="preserve">,</w:t>
      </w:r>
      <w:hyperlink w:anchor="ref-554">
        <w:r>
          <w:rPr>
            <w:rStyle w:val="Hyperlink"/>
            <w:vertAlign w:val="superscript"/>
          </w:rPr>
          <w:t xml:space="preserve">554</w:t>
        </w:r>
      </w:hyperlink>
      <w:r>
        <w:rPr>
          <w:vertAlign w:val="superscript"/>
        </w:rPr>
        <w:t xml:space="preserve">,</w:t>
      </w:r>
      <w:hyperlink w:anchor="ref-555">
        <w:r>
          <w:rPr>
            <w:rStyle w:val="Hyperlink"/>
            <w:vertAlign w:val="superscript"/>
          </w:rPr>
          <w:t xml:space="preserve">555</w:t>
        </w:r>
      </w:hyperlink>
      <w:r>
        <w:rPr>
          <w:vertAlign w:val="superscript"/>
        </w:rPr>
        <w:t xml:space="preserve">]</w:t>
      </w:r>
      <w:r>
        <w:t xml:space="preserve">。</w:t>
      </w:r>
    </w:p>
    <w:bookmarkEnd w:id="986"/>
    <w:bookmarkStart w:id="987" w:name="sec-49-12"/>
    <w:p>
      <w:pPr>
        <w:pStyle w:val="Heading3"/>
      </w:pPr>
      <w:r>
        <w:t xml:space="preserve">49.12　线索再激活的选择机制</w:t>
      </w:r>
    </w:p>
    <w:p>
      <w:pPr>
        <w:pStyle w:val="FirstParagraph"/>
      </w:pPr>
      <w:r>
        <w:t xml:space="preserve">在目标记忆再激活中，线索提供的是检索入口，其价值依赖清醒时的关联是否形成。若线索与太多材料共享，可能缺少选择性；若线索过弱，可能难以触发有关处理；若刺激太强，又可能扰动睡眠。</w:t>
      </w:r>
    </w:p>
    <w:p>
      <w:pPr>
        <w:pStyle w:val="BodyText"/>
      </w:pPr>
      <w:r>
        <w:t xml:space="preserve">在教学模型中，可以把一条线索连接到多个项目，连接强度取决于先前共同出现和后续提取。睡眠中线索出现时，多个项目可能竞争激活。这个模型预测，线索特异性和学习强度可能调节效果；具体预测需要实验检验。它解释了为什么单纯在夜间播放大量陌生内容，不能直接复制已有材料再激活实验。</w:t>
      </w:r>
    </w:p>
    <w:p>
      <w:pPr>
        <w:pStyle w:val="BodyText"/>
      </w:pPr>
      <w:r>
        <w:t xml:space="preserve">选择性研究还可在同一个人内比较被提示与未提示项目。这样的设计控制了许多个体差异，但项目之间可能互相影响：提示一部分关联材料，可能间接改变同一类别其他材料。分析应考虑材料层级和共同线索，不能假定每个词都是完全独立的数据点。</w:t>
      </w:r>
    </w:p>
    <w:bookmarkEnd w:id="987"/>
    <w:bookmarkStart w:id="988" w:name="sec-49-13"/>
    <w:p>
      <w:pPr>
        <w:pStyle w:val="Heading3"/>
      </w:pPr>
      <w:r>
        <w:t xml:space="preserve">49.13　闭环刺激与开放播放</w:t>
      </w:r>
    </w:p>
    <w:p>
      <w:pPr>
        <w:pStyle w:val="FirstParagraph"/>
      </w:pPr>
      <w:r>
        <w:t xml:space="preserve">闭环方法根据实时测量判断脑状态，并把刺激安排在预定相位或事件附近。开放播放按固定时间表输出声音，通常不知道当时脑处于什么状态。两者的机制目标和技术要求不同。宣传中若把实验室闭环结果直接用于普通音频播放，需要提供桥接证据。</w:t>
      </w:r>
    </w:p>
    <w:p>
      <w:pPr>
        <w:pStyle w:val="BodyText"/>
      </w:pPr>
      <w:r>
        <w:t xml:space="preserve">Ngo等的人体实验把声音与慢振荡的特定相位协调，观察到睡眠节律及陈述性记忆保持变化，异相条件没有呈现同样效果</w:t>
      </w:r>
      <w:r>
        <w:rPr>
          <w:vertAlign w:val="superscript"/>
        </w:rPr>
        <w:t xml:space="preserve">[</w:t>
      </w:r>
      <w:hyperlink w:anchor="ref-555">
        <w:r>
          <w:rPr>
            <w:rStyle w:val="Hyperlink"/>
            <w:vertAlign w:val="superscript"/>
          </w:rPr>
          <w:t xml:space="preserve">555</w:t>
        </w:r>
      </w:hyperlink>
      <w:r>
        <w:rPr>
          <w:vertAlign w:val="superscript"/>
        </w:rPr>
        <w:t xml:space="preserve">]</w:t>
      </w:r>
      <w:r>
        <w:t xml:space="preserve">。这说明时序可以成为有效成分，也提示不能仅凭声音频率或播放时长复制结果。设备识别误差、个体睡眠结构和刺激引起的觉醒，都影响实际效果。</w:t>
      </w:r>
    </w:p>
    <w:p>
      <w:pPr>
        <w:pStyle w:val="BodyText"/>
      </w:pPr>
      <w:r>
        <w:t xml:space="preserve">闭环系统还需要处理延迟。采集、滤波、事件检测、计算和声音输出都会消耗时间，最终刺激可能落在预期相位之外。算法若使用未来数据离线估计相位，得到的精度不能直接代表实时系统。研究必须区分离线分析和真实在线控制。</w:t>
      </w:r>
    </w:p>
    <w:bookmarkEnd w:id="988"/>
    <w:bookmarkStart w:id="989" w:name="sec-49-14"/>
    <w:p>
      <w:pPr>
        <w:pStyle w:val="Heading3"/>
      </w:pPr>
      <w:r>
        <w:t xml:space="preserve">49.14　新学习的证据层级</w:t>
      </w:r>
    </w:p>
    <w:p>
      <w:pPr>
        <w:pStyle w:val="FirstParagraph"/>
      </w:pPr>
      <w:r>
        <w:t xml:space="preserve">睡眠中新学习可以表现为条件化反应、熟悉性变化、隐性分类或明确回忆。这些结果具有不同强度。若参与者在醒后对某类刺激反应略有变化，可以支持特定隐性影响；若能准确说出新词含义并在交流中使用，则支持更复杂的知识获得。现有阳性结果主要属于条件化反应、熟悉性和隐性分类，醒后能明确回忆睡中新呈现材料的结果尚未得到可靠证明。不能用前一类证据承诺后一类结果</w:t>
      </w:r>
      <w:r>
        <w:rPr>
          <w:vertAlign w:val="superscript"/>
        </w:rPr>
        <w:t xml:space="preserve">[</w:t>
      </w:r>
      <w:hyperlink w:anchor="ref-556">
        <w:r>
          <w:rPr>
            <w:rStyle w:val="Hyperlink"/>
            <w:vertAlign w:val="superscript"/>
          </w:rPr>
          <w:t xml:space="preserve">556</w:t>
        </w:r>
      </w:hyperlink>
      <w:r>
        <w:rPr>
          <w:vertAlign w:val="superscript"/>
        </w:rPr>
        <w:t xml:space="preserve">]</w:t>
      </w:r>
      <w:r>
        <w:t xml:space="preserve">。</w:t>
      </w:r>
    </w:p>
    <w:p>
      <w:pPr>
        <w:pStyle w:val="BodyText"/>
      </w:pPr>
      <w:r>
        <w:t xml:space="preserve">测试线索也可能产生新的学习。醒后若反复呈现正确答案，表现提高可能来自测试阶段。研究可以使用初次测试、无反馈条件和对照材料帮助识别来源。最强推论来自多个控制共同缩小替代解释，单个“醒后略高于机会”结果需要结合完整流程理解。</w:t>
      </w:r>
    </w:p>
    <w:bookmarkEnd w:id="989"/>
    <w:bookmarkStart w:id="991" w:name="sec-49-15"/>
    <w:p>
      <w:pPr>
        <w:pStyle w:val="Heading3"/>
      </w:pPr>
      <w:r>
        <w:t xml:space="preserve">49.15　睡眠相关学习现象的区分</w:t>
      </w:r>
    </w:p>
    <w:p>
      <w:pPr>
        <w:pStyle w:val="TableCaption"/>
      </w:pPr>
      <w:bookmarkStart w:id="990" w:name="tab-sleep-learning"/>
      <w:bookmarkEnd w:id="990"/>
      <w:r>
        <w:rPr>
          <w:bCs/>
          <w:b/>
        </w:rPr>
        <w:t xml:space="preserve">表 17　睡眠相关学习现象的区分</w:t>
      </w:r>
    </w:p>
    <w:tbl>
      <w:tblPr>
        <w:tblStyle w:val="Table"/>
        <w:tblW w:type="pct" w:w="5000"/>
        <w:jc w:val="start"/>
        <w:tblLook w:firstRow="1" w:lastRow="0" w:firstColumn="0" w:lastColumn="0" w:noHBand="0" w:noVBand="0" w:val="0020"/>
      </w:tblPr>
      <w:tblGrid>
        <w:gridCol w:w="1926"/>
        <w:gridCol w:w="2782"/>
        <w:gridCol w:w="3210"/>
      </w:tblGrid>
      <w:tr>
        <w:trPr>
          <w:tblHeader w:val="true"/>
        </w:trPr>
        <w:tc>
          <w:tcPr>
            <w:shd w:val="clear" w:color="auto" w:fill="1F3A5F"/>
          </w:tcPr>
          <w:p>
            <w:pPr>
              <w:jc w:val="left"/>
            </w:pPr>
            <w:r>
              <w:rPr>
                <w:bCs/>
                <w:b/>
                <w:color w:val="FFFFFF"/>
              </w:rPr>
              <w:t xml:space="preserve">现象</w:t>
            </w:r>
          </w:p>
        </w:tc>
        <w:tc>
          <w:tcPr>
            <w:shd w:val="clear" w:color="auto" w:fill="1F3A5F"/>
          </w:tcPr>
          <w:p>
            <w:pPr>
              <w:jc w:val="left"/>
            </w:pPr>
            <w:r>
              <w:rPr>
                <w:bCs/>
                <w:b/>
                <w:color w:val="FFFFFF"/>
              </w:rPr>
              <w:t xml:space="preserve">必须说明的学习经历</w:t>
            </w:r>
          </w:p>
        </w:tc>
        <w:tc>
          <w:tcPr>
            <w:shd w:val="clear" w:color="auto" w:fill="1F3A5F"/>
          </w:tcPr>
          <w:p>
            <w:pPr>
              <w:jc w:val="left"/>
            </w:pPr>
            <w:r>
              <w:rPr>
                <w:bCs/>
                <w:b/>
                <w:color w:val="FFFFFF"/>
              </w:rPr>
              <w:t xml:space="preserve">结论范围</w:t>
            </w:r>
          </w:p>
        </w:tc>
      </w:tr>
      <w:tr>
        <w:tc>
          <w:tcPr/>
          <w:p>
            <w:pPr>
              <w:jc w:val="left"/>
            </w:pPr>
            <w:r>
              <w:t xml:space="preserve">清醒学习后的保持</w:t>
            </w:r>
          </w:p>
        </w:tc>
        <w:tc>
          <w:tcPr/>
          <w:p>
            <w:pPr>
              <w:jc w:val="left"/>
            </w:pPr>
            <w:r>
              <w:t xml:space="preserve">入睡前已经编码的材料</w:t>
            </w:r>
          </w:p>
        </w:tc>
        <w:tc>
          <w:tcPr/>
          <w:p>
            <w:pPr>
              <w:jc w:val="left"/>
            </w:pPr>
            <w:r>
              <w:t xml:space="preserve">检验睡眠期间对既有记忆的影响</w:t>
            </w:r>
          </w:p>
        </w:tc>
      </w:tr>
      <w:tr>
        <w:tc>
          <w:tcPr/>
          <w:p>
            <w:pPr>
              <w:jc w:val="left"/>
            </w:pPr>
            <w:r>
              <w:t xml:space="preserve">目标记忆再激活</w:t>
            </w:r>
          </w:p>
        </w:tc>
        <w:tc>
          <w:tcPr/>
          <w:p>
            <w:pPr>
              <w:jc w:val="left"/>
            </w:pPr>
            <w:r>
              <w:t xml:space="preserve">清醒期已建立材料与线索联结</w:t>
            </w:r>
          </w:p>
        </w:tc>
        <w:tc>
          <w:tcPr/>
          <w:p>
            <w:pPr>
              <w:jc w:val="left"/>
            </w:pPr>
            <w:r>
              <w:t xml:space="preserve">线索效果依赖刺激及睡眠条件</w:t>
            </w:r>
          </w:p>
        </w:tc>
      </w:tr>
      <w:tr>
        <w:tc>
          <w:tcPr/>
          <w:p>
            <w:pPr>
              <w:jc w:val="left"/>
            </w:pPr>
            <w:r>
              <w:t xml:space="preserve">睡中新刺激关联</w:t>
            </w:r>
          </w:p>
        </w:tc>
        <w:tc>
          <w:tcPr/>
          <w:p>
            <w:pPr>
              <w:jc w:val="left"/>
            </w:pPr>
            <w:r>
              <w:t xml:space="preserve">目标关系在睡眠阶段呈现</w:t>
            </w:r>
          </w:p>
        </w:tc>
        <w:tc>
          <w:tcPr/>
          <w:p>
            <w:pPr>
              <w:jc w:val="left"/>
            </w:pPr>
            <w:r>
              <w:t xml:space="preserve">需排除微觉醒与清醒接触</w:t>
            </w:r>
          </w:p>
        </w:tc>
      </w:tr>
      <w:tr>
        <w:tc>
          <w:tcPr/>
          <w:p>
            <w:pPr>
              <w:jc w:val="left"/>
            </w:pPr>
            <w:r>
              <w:t xml:space="preserve">睡眠后程序表现变化</w:t>
            </w:r>
          </w:p>
        </w:tc>
        <w:tc>
          <w:tcPr/>
          <w:p>
            <w:pPr>
              <w:jc w:val="left"/>
            </w:pPr>
            <w:r>
              <w:t xml:space="preserve">睡前已练习的技能</w:t>
            </w:r>
          </w:p>
        </w:tc>
        <w:tc>
          <w:tcPr/>
          <w:p>
            <w:pPr>
              <w:jc w:val="left"/>
            </w:pPr>
            <w:r>
              <w:t xml:space="preserve">区分精度、速度与速度准确率权衡</w:t>
            </w:r>
          </w:p>
        </w:tc>
      </w:tr>
      <w:tr>
        <w:tc>
          <w:tcPr/>
          <w:p>
            <w:pPr>
              <w:jc w:val="left"/>
            </w:pPr>
            <w:r>
              <w:t xml:space="preserve">睡眠后概括或整合</w:t>
            </w:r>
          </w:p>
        </w:tc>
        <w:tc>
          <w:tcPr/>
          <w:p>
            <w:pPr>
              <w:jc w:val="left"/>
            </w:pPr>
            <w:r>
              <w:t xml:space="preserve">多个已学习实例之间的关系</w:t>
            </w:r>
          </w:p>
        </w:tc>
        <w:tc>
          <w:tcPr/>
          <w:p>
            <w:pPr>
              <w:jc w:val="left"/>
            </w:pPr>
            <w:r>
              <w:t xml:space="preserve">需要新例推理等独立结局</w:t>
            </w:r>
          </w:p>
        </w:tc>
      </w:tr>
      <w:tr>
        <w:tc>
          <w:tcPr/>
          <w:p>
            <w:pPr>
              <w:jc w:val="left"/>
            </w:pPr>
            <w:r>
              <w:t xml:space="preserve">睡眠不足后的学习</w:t>
            </w:r>
          </w:p>
        </w:tc>
        <w:tc>
          <w:tcPr/>
          <w:p>
            <w:pPr>
              <w:jc w:val="left"/>
            </w:pPr>
            <w:r>
              <w:t xml:space="preserve">后续清醒编码与执行条件</w:t>
            </w:r>
          </w:p>
        </w:tc>
        <w:tc>
          <w:tcPr/>
          <w:p>
            <w:pPr>
              <w:jc w:val="left"/>
            </w:pPr>
            <w:r>
              <w:t xml:space="preserve">不能直接等同于巩固单环节变化</w:t>
            </w:r>
          </w:p>
        </w:tc>
      </w:tr>
    </w:tbl>
    <w:p>
      <w:pPr>
        <w:pStyle w:val="BodyText"/>
      </w:pPr>
      <w:r>
        <w:t xml:space="preserve">表中各类问题需要不同对照和行为指标，同一种睡眠记录不能直接回答全部问题</w:t>
      </w:r>
      <w:r>
        <w:rPr>
          <w:vertAlign w:val="superscript"/>
        </w:rPr>
        <w:t xml:space="preserve">[</w:t>
      </w:r>
      <w:hyperlink w:anchor="ref-306">
        <w:r>
          <w:rPr>
            <w:rStyle w:val="Hyperlink"/>
            <w:vertAlign w:val="superscript"/>
          </w:rPr>
          <w:t xml:space="preserve">306</w:t>
        </w:r>
      </w:hyperlink>
      <w:r>
        <w:rPr>
          <w:vertAlign w:val="superscript"/>
        </w:rPr>
        <w:t xml:space="preserve">,</w:t>
      </w:r>
      <w:hyperlink w:anchor="ref-552">
        <w:r>
          <w:rPr>
            <w:rStyle w:val="Hyperlink"/>
            <w:vertAlign w:val="superscript"/>
          </w:rPr>
          <w:t xml:space="preserve">552</w:t>
        </w:r>
      </w:hyperlink>
      <w:r>
        <w:rPr>
          <w:vertAlign w:val="superscript"/>
        </w:rPr>
        <w:t xml:space="preserve">,</w:t>
      </w:r>
      <w:hyperlink w:anchor="ref-556">
        <w:r>
          <w:rPr>
            <w:rStyle w:val="Hyperlink"/>
            <w:vertAlign w:val="superscript"/>
          </w:rPr>
          <w:t xml:space="preserve">556</w:t>
        </w:r>
      </w:hyperlink>
      <w:r>
        <w:rPr>
          <w:vertAlign w:val="superscript"/>
        </w:rPr>
        <w:t xml:space="preserve">]</w:t>
      </w:r>
      <w:r>
        <w:t xml:space="preserve">。</w:t>
      </w:r>
    </w:p>
    <w:bookmarkEnd w:id="991"/>
    <w:bookmarkStart w:id="992" w:name="sec-49-16"/>
    <w:p>
      <w:pPr>
        <w:pStyle w:val="Heading3"/>
      </w:pPr>
      <w:r>
        <w:t xml:space="preserve">49.16　巩固可能改变表征性质</w:t>
      </w:r>
    </w:p>
    <w:p>
      <w:pPr>
        <w:pStyle w:val="FirstParagraph"/>
      </w:pPr>
      <w:r>
        <w:t xml:space="preserve">记忆保持可以涉及具体细节、抽象规律和情境联系。某种条件下概括增强，细节不一定同步增强；某些任务中细节保持，规律推断未必改善。睡眠研究如果只用一个总分，会掩盖这些不同结果。理论需要说明它预测的是原样保持、整合、抽象还是选择性遗忘。</w:t>
      </w:r>
    </w:p>
    <w:p>
      <w:pPr>
        <w:pStyle w:val="BodyText"/>
      </w:pPr>
      <w:r>
        <w:t xml:space="preserve">一个假设任务让学生学习多个共享结构的例题。次日测试可以包括原题细节、同结构新题和例外条件。若新题改善、原题细节相近，结果与结构提取有关；若只有原题改善，结论更接近项目保持。不同结果都可能有价值，教育应用需要知道希望改善哪一类知识。</w:t>
      </w:r>
    </w:p>
    <w:p>
      <w:pPr>
        <w:pStyle w:val="BodyText"/>
      </w:pPr>
      <w:r>
        <w:t xml:space="preserve">遗忘也可能改变信息竞争。较弱或无关关联减弱后，主要关系可能更容易提取；但关键细节丢失也会降低准确性。任何“睡眠自动筛选重要知识”的说法都需要定义重要性及选择机制。人的目标、奖励、情绪和后续使用可能提供线索，其相对贡献仍需具体研究。</w:t>
      </w:r>
    </w:p>
    <w:bookmarkEnd w:id="992"/>
    <w:bookmarkStart w:id="993" w:name="sec-49-17"/>
    <w:p>
      <w:pPr>
        <w:pStyle w:val="Heading3"/>
      </w:pPr>
      <w:r>
        <w:t xml:space="preserve">49.17　学习安排的条件推理</w:t>
      </w:r>
    </w:p>
    <w:p>
      <w:pPr>
        <w:pStyle w:val="FirstParagraph"/>
      </w:pPr>
      <w:r>
        <w:t xml:space="preserve">若目标是让新材料得到充分编码，可以先确保清醒学习阶段能够理解和提取，再安排适当休息与后续复习。把睡前最后几分钟当成唯一有效窗口，缺少跨任务普遍支持。学习时机还受到个人节律、课程安排和睡眠质量影响。</w:t>
      </w:r>
    </w:p>
    <w:p>
      <w:pPr>
        <w:pStyle w:val="BodyText"/>
      </w:pPr>
      <w:r>
        <w:t xml:space="preserve">若某人播放音频后入睡变慢或夜间觉醒增加，即使线索有潜在记忆价值，总体效果也可能受损。实际方案应同时评估睡眠和白天功能，不能只追求某个实验指标。实验室的低强度、状态监测和停止规则，也不能默认在家庭环境自动满足。</w:t>
      </w:r>
    </w:p>
    <w:p>
      <w:pPr>
        <w:pStyle w:val="BodyText"/>
      </w:pPr>
      <w:r>
        <w:t xml:space="preserve">对学习者最可执行的策略，是把睡眠视为学习安排中的一个必要条件，并用清醒时的理解、提取与反馈建立材料。对睡眠技术的额外收益，则需要独立、条件明确的证据。这样的分工使现实计划不依赖尚未验证的通用夜间教学承诺。</w:t>
      </w:r>
    </w:p>
    <w:bookmarkEnd w:id="993"/>
    <w:bookmarkStart w:id="994" w:name="sec-49-18"/>
    <w:p>
      <w:pPr>
        <w:pStyle w:val="Heading3"/>
      </w:pPr>
      <w:r>
        <w:t xml:space="preserve">49.18　睡眠记忆实验的计算练习</w:t>
      </w:r>
    </w:p>
    <w:p>
      <w:pPr>
        <w:pStyle w:val="FirstParagraph"/>
      </w:pPr>
      <w:r>
        <w:t xml:space="preserve">假设两组学习后立即分别记住四十个和五十个词，次日分别记住三十二个和三十五个。最终正确数较高的是第二组，保持比例较高的是第一组，分别为百分之八十和百分之七十。若初始学习不同，不能仅凭其中一个指标宣布某组巩固更好。需要设计阶段匹配或适当建模初始水平。</w:t>
      </w:r>
    </w:p>
    <w:p>
      <w:pPr>
        <w:pStyle w:val="BodyText"/>
      </w:pPr>
      <w:r>
        <w:t xml:space="preserve">再假设一组中二十个词被提示、二十个未提示，次日被提示词平均多记住两个。研究应检查两类词初始强度是否相同，声音是否与项目一一对应，提示是否影响相关未提示词，以及差异的不确定性。这个例子展示项目选择性推论需要哪些条件。</w:t>
      </w:r>
    </w:p>
    <w:p>
      <w:pPr>
        <w:pStyle w:val="BodyText"/>
      </w:pPr>
      <w:r>
        <w:t xml:space="preserve">若闭环设备在某些夜晚未准确检测阶段，按成功夜晚筛选可能产生选择偏差。研究可以同时报告分配方案的现实效果和技术成功条件下的探索结果。前者回答设备实际部署能带来什么，后者帮助理解机制，两者都需要透明描述。</w:t>
      </w:r>
    </w:p>
    <w:bookmarkEnd w:id="994"/>
    <w:bookmarkStart w:id="995" w:name="sec-49-19"/>
    <w:p>
      <w:pPr>
        <w:pStyle w:val="Heading3"/>
      </w:pPr>
      <w:r>
        <w:t xml:space="preserve">49.19　线索重叠的情境例子</w:t>
      </w:r>
    </w:p>
    <w:p>
      <w:pPr>
        <w:pStyle w:val="FirstParagraph"/>
      </w:pPr>
      <w:r>
        <w:t xml:space="preserve">假设学习者把同一种钟声同时与十个地点名称联系，另一种声音只与一个地点联系。睡眠中播放钟声时，可能激活更广的关联集合；播放独特声音时，线索更具项目特异性。两种提示的结果需要通过项目保持与竞争测验比较，无法仅按播放次数预测。</w:t>
      </w:r>
    </w:p>
    <w:p>
      <w:pPr>
        <w:pStyle w:val="BodyText"/>
      </w:pPr>
      <w:r>
        <w:t xml:space="preserve">若十个地点共享一条路线，广泛激活也可能有助于关系整合；若它们互不相关，竞争又可能更明显。材料结构因此成为机制的重要部分。目标记忆再激活的研究应说明线索与项目之间是一对一、一对多，还是层级关系。</w:t>
      </w:r>
    </w:p>
    <w:p>
      <w:pPr>
        <w:pStyle w:val="BodyText"/>
      </w:pPr>
      <w:r>
        <w:t xml:space="preserve">这个例子帮助理解家庭音频的局限：播放大量词汇同时改变声音数量、关联特异性和睡眠干扰。实验室某种提示有效，并不能通过无限增加内容获得线性收益。学习系统的选择、竞争与睡眠状态需要共同考虑。</w:t>
      </w:r>
    </w:p>
    <w:bookmarkEnd w:id="995"/>
    <w:bookmarkStart w:id="996" w:name="sec-49-20"/>
    <w:p>
      <w:pPr>
        <w:pStyle w:val="Heading3"/>
      </w:pPr>
      <w:r>
        <w:t xml:space="preserve">49.20　学习检验与结论</w:t>
      </w:r>
    </w:p>
    <w:p>
      <w:pPr>
        <w:pStyle w:val="FirstParagraph"/>
      </w:pPr>
      <w:r>
        <w:t xml:space="preserve">练习：研究者先教词汇，再在睡中播放词语，醒后记得更好。它证明了什么？解答：支持特定条件下已有记忆的提示收益，无法证明无需清醒学习即可掌握词汇。</w:t>
      </w:r>
    </w:p>
    <w:p>
      <w:pPr>
        <w:pStyle w:val="BodyText"/>
      </w:pPr>
      <w:r>
        <w:t xml:space="preserve">练习：睡中听过新造词后，分类略高于机会水平，能否说已学会语言？解答：只能支持相应隐性关联；主动提取、语法和交流需要独立测量。</w:t>
      </w:r>
    </w:p>
    <w:p>
      <w:pPr>
        <w:pStyle w:val="BodyText"/>
      </w:pPr>
      <w:r>
        <w:t xml:space="preserve">练习：用户觉得睡眠音频很舒服，是否证明改善记忆？解答：舒适体验是一个结果，学习收益需要独立、延迟的记忆测试。</w:t>
      </w:r>
    </w:p>
    <w:p>
      <w:pPr>
        <w:pStyle w:val="BodyText"/>
      </w:pPr>
      <w:r>
        <w:t xml:space="preserve">睡眠是学习的重要条件，相关技术也具有研究潜力。最稳健的实际理解，是保护睡眠并明确区分巩固、定向提示与新学习；每一种商业承诺都必须对应它真正测量的结局。</w:t>
      </w:r>
    </w:p>
    <w:bookmarkEnd w:id="996"/>
    <w:bookmarkEnd w:id="997"/>
    <w:bookmarkStart w:id="1016" w:name="ch-50"/>
    <w:p>
      <w:pPr>
        <w:pStyle w:val="Heading2"/>
      </w:pPr>
      <w:r>
        <w:t xml:space="preserve">第50章　睡眠、脑内液体交换与清除机制</w:t>
      </w:r>
    </w:p>
    <w:p>
      <w:pPr>
        <w:pStyle w:val="FirstParagraph"/>
      </w:pPr>
      <w:r>
        <w:t xml:space="preserve">睡眠与脑内液体运动之间存在可重复的生理联系；这些联系怎样转化为不同分子的净清除，仍包含重要争论。判断一项研究时，首先辨认研究者实际测到的变量：脑脊液进入某一区域的速度、局部染料浓度随时间的变化、整个脑内残留的标记物数量、血液或淋巴结中出现的标记物，分别对应不同环节。将这些结果全部压缩为“洗脑效率”，会丢失研究最关键的条件。</w:t>
      </w:r>
    </w:p>
    <w:p>
      <w:pPr>
        <w:pStyle w:val="BodyText"/>
      </w:pPr>
      <w:r>
        <w:t xml:space="preserve">本章把证据分为三个层次。睡眠伴随神经、血管及脑脊液动态变化，具有较高置信度。部分动物实验中，睡眠状态改变特定示踪物的运输与清除，具有中等至较高置信度，具体方向取决于实验定义和协议。仅根据某一种液体运动指标，为人类计算“排毒程度”或预测多年后的痴呆风险，目前证据不足。后一层结论需要经过多级验证，不能由前两层自动推出。</w:t>
      </w:r>
    </w:p>
    <w:bookmarkStart w:id="998" w:name="sec-50-1"/>
    <w:p>
      <w:pPr>
        <w:pStyle w:val="Heading3"/>
      </w:pPr>
      <w:r>
        <w:t xml:space="preserve">50.1　脑内液体系统的空间地图</w:t>
      </w:r>
    </w:p>
    <w:p>
      <w:pPr>
        <w:pStyle w:val="FirstParagraph"/>
      </w:pPr>
      <w:r>
        <w:t xml:space="preserve">理解这一领域，需要区分血管腔、脑脊液空间、细胞外间隙、血管周围通路和脑膜淋巴系统。血液受到内皮屏障及相关细胞的调节；脑脊液分布于脑室和蛛网膜下腔；脑实质细胞外间隙具有曲折的微观几何结构。不同空间之间可以交换水分和部分溶质，其速度及选择性受到分子大小、电荷、结合状态、压力、细胞转运与局部结构影响。一个分子进入了血管周围空间，不代表它已经穿过血管壁；进入了脑脊液，也不代表它已经离开颅内。</w:t>
      </w:r>
    </w:p>
    <w:p>
      <w:pPr>
        <w:pStyle w:val="BodyText"/>
      </w:pPr>
      <w:r>
        <w:t xml:space="preserve">“类淋巴”常用于描述与胶质细胞和血管周围通路有关的脑内液体运输框架。脑膜淋巴管则具有淋巴内皮等组织学特征，位于脑膜等边界区域。Louveau 等人在2015年报告硬脑膜窦附近具有功能性的淋巴管结构，能参与脑脊液相关液体与免疫细胞运输，并与颈部淋巴结相联系。这项解剖发现支持脑边界与外周免疫系统之间存在通道；它没有把脑实质中的每条微观间隙都变成经典淋巴管</w:t>
      </w:r>
      <w:r>
        <w:rPr>
          <w:vertAlign w:val="superscript"/>
        </w:rPr>
        <w:t xml:space="preserve">[</w:t>
      </w:r>
      <w:hyperlink w:anchor="ref-19">
        <w:r>
          <w:rPr>
            <w:rStyle w:val="Hyperlink"/>
            <w:vertAlign w:val="superscript"/>
          </w:rPr>
          <w:t xml:space="preserve">19</w:t>
        </w:r>
      </w:hyperlink>
      <w:r>
        <w:rPr>
          <w:vertAlign w:val="superscript"/>
        </w:rPr>
        <w:t xml:space="preserve">]</w:t>
      </w:r>
      <w:r>
        <w:t xml:space="preserve">。</w:t>
      </w:r>
    </w:p>
    <w:p>
      <w:pPr>
        <w:pStyle w:val="BodyText"/>
      </w:pPr>
      <w:r>
        <w:t xml:space="preserve">脑内某种蛋白数量下降，可能由多种过程共同造成：产生减少、酶降解增加、细胞摄取增加、跨血脑屏障外排增加、进入脑脊液后引流，或从一个区域扩散到另一个区域。相反，局部蛋白浓度上升也可能来自释放增加、细胞外空间缩小、清除下降或多个过程叠加。解释任何“垃圾增多”的图像之前，都需要把数量、体积和来源分别说明。</w:t>
      </w:r>
    </w:p>
    <w:bookmarkEnd w:id="998"/>
    <w:bookmarkStart w:id="1003" w:name="sec-50-2"/>
    <w:p>
      <w:pPr>
        <w:pStyle w:val="Heading3"/>
      </w:pPr>
      <w:r>
        <w:t xml:space="preserve">50.2　流入、分布、交换与净清除</w:t>
      </w:r>
    </w:p>
    <w:p>
      <w:pPr>
        <w:pStyle w:val="FirstParagraph"/>
      </w:pPr>
      <w:r>
        <w:t xml:space="preserve">假设研究者向脑脊液加入一种示踪物。随后在皮层观察到更高荧光，最直接的结论是这个位置出现了更多可检测的标记信号。更高信号可以反映流入增加，也可以反映流出减慢、局部滞留增加或体积变化。假设研究者改为向脑实质注入示踪物，之后局部信号下降，下降可能反映离开观察窗口，也可能反映跨越整个器官边界的外排。两种解释对应的生理意义不同。</w:t>
      </w:r>
    </w:p>
    <w:p>
      <w:pPr>
        <w:pStyle w:val="BodyText"/>
      </w:pPr>
      <w:r>
        <w:t xml:space="preserve">在数学上，可用一个简化的质量平衡式组织问题：区域内标记物数量的变化等于流入量减流出量，加局部生成量，减降解量。若记录的是浓度，还要同时测量有效分布体积。数量等于浓度乘体积，体积随状态改变时，浓度变化就不能直接代表数量变化；真实实验中体积和浓度都有测量误差，计算结果的精度需要用误差传播评价。这个关系来自质量守恒，无须预先选定任何一派的脑清除理论。</w:t>
      </w:r>
    </w:p>
    <w:p>
      <w:pPr>
        <w:pStyle w:val="BodyText"/>
      </w:pPr>
      <w:r>
        <w:t xml:space="preserve">进一步设想两个相邻区域。甲区标记物减少、乙区标记物增加，整个脑内总量保持不变。局部测量会显示甲区“清除”加快；器官层面则只发生了再分布。只有观察到整个目标系统的标记数量减少，并解释降解、检测损失等因素后，才可以估计器官净清除。若标记物进入血液后又重新进入脑内，短时外排与长期净损失也会不同。因此研究报告需要明确其系统边界：一个像素、一个脑区、全部脑实质、整个颅内空间，或者脑与外周循环构成的系统。</w:t>
      </w:r>
    </w:p>
    <w:p>
      <w:pPr>
        <w:pStyle w:val="BodyText"/>
      </w:pPr>
      <w:r>
        <w:t xml:space="preserve">清除率可以指单位为“体积/时间”的药代动力学参数，也可以指单位时间移除的比例，或固定时点残留量的差异。名称相似，量纲可能不同。比较论文时，应优先比较测量方程及原始数据，再比较作者给予指标的名称。两篇论文都使用“清除”一词，并不足以证明它们测量了同一个量。</w:t>
      </w:r>
    </w:p>
    <w:p>
      <w:pPr>
        <w:pStyle w:val="Figure"/>
      </w:pPr>
      <w:r>
        <w:drawing>
          <wp:inline>
            <wp:extent cx="5334000" cy="3401121"/>
            <wp:effectExtent b="0" l="0" r="0" t="0"/>
            <wp:docPr descr="C图1 局部信号下降与全脑净清除的不同" title="" id="1000" name="Picture"/>
            <a:graphic>
              <a:graphicData uri="http://schemas.openxmlformats.org/drawingml/2006/picture">
                <pic:pic>
                  <pic:nvPicPr>
                    <pic:cNvPr descr="/tmp/claude-0/-home-user-i18ns/3184e246-229e-5a65-b6f3-3f7647a222c4/scratchpad/src/B_media/media/image13.png" id="1001" name="Picture"/>
                    <pic:cNvPicPr>
                      <a:picLocks noChangeArrowheads="1" noChangeAspect="1"/>
                    </pic:cNvPicPr>
                  </pic:nvPicPr>
                  <pic:blipFill>
                    <a:blip r:embed="rId999"/>
                    <a:stretch>
                      <a:fillRect/>
                    </a:stretch>
                  </pic:blipFill>
                  <pic:spPr bwMode="auto">
                    <a:xfrm>
                      <a:off x="0" y="0"/>
                      <a:ext cx="5334000" cy="3401121"/>
                    </a:xfrm>
                    <a:prstGeom prst="rect">
                      <a:avLst/>
                    </a:prstGeom>
                    <a:noFill/>
                    <a:ln w="9525">
                      <a:noFill/>
                      <a:headEnd/>
                      <a:tailEnd/>
                    </a:ln>
                  </pic:spPr>
                </pic:pic>
              </a:graphicData>
            </a:graphic>
          </wp:inline>
        </w:drawing>
      </w:r>
    </w:p>
    <w:p>
      <w:pPr>
        <w:pStyle w:val="ImageCaption"/>
      </w:pPr>
      <w:bookmarkStart w:id="1002" w:name="fig-c1"/>
      <w:bookmarkEnd w:id="1002"/>
      <w:r>
        <w:rPr>
          <w:bCs/>
          <w:b/>
        </w:rPr>
        <w:t xml:space="preserve">图 7　</w:t>
      </w:r>
      <w:r>
        <w:t xml:space="preserve">局部减少与浓度下降的两种守恒示例。甲图假设40单位物质从脑区甲转移到脑区乙，全脑数量仍为100，外周增加为0，因此局部数量下降40不能单独证明全脑净清除。乙图假设物质数量维持100，可分布的有效体积从10增至12，浓度由10降至约8.33，下降约16.7%，净移除仍为0。所有数字均为教学假设，数量与体积采用任意单位；有效分布体积变化不等于整个脑组织体积按相同比例变化。图用于说明质量守恒和测量解释，没有复现任何一项睡眠实验，也没有估计真实生理效应。不同示踪协议的实证与争议见正文</w:t>
      </w:r>
      <w:r>
        <w:rPr>
          <w:vertAlign w:val="superscript"/>
        </w:rPr>
        <w:t xml:space="preserve">[</w:t>
      </w:r>
      <w:hyperlink w:anchor="ref-122">
        <w:r>
          <w:rPr>
            <w:rStyle w:val="Hyperlink"/>
            <w:vertAlign w:val="superscript"/>
          </w:rPr>
          <w:t xml:space="preserve">122</w:t>
        </w:r>
      </w:hyperlink>
      <w:r>
        <w:rPr>
          <w:vertAlign w:val="superscript"/>
        </w:rPr>
        <w:t xml:space="preserve">,</w:t>
      </w:r>
      <w:hyperlink w:anchor="ref-124">
        <w:r>
          <w:rPr>
            <w:rStyle w:val="Hyperlink"/>
            <w:vertAlign w:val="superscript"/>
          </w:rPr>
          <w:t xml:space="preserve">124</w:t>
        </w:r>
      </w:hyperlink>
      <w:r>
        <w:rPr>
          <w:vertAlign w:val="superscript"/>
        </w:rPr>
        <w:t xml:space="preserve">,</w:t>
      </w:r>
      <w:hyperlink w:anchor="ref-125">
        <w:r>
          <w:rPr>
            <w:rStyle w:val="Hyperlink"/>
            <w:vertAlign w:val="superscript"/>
          </w:rPr>
          <w:t xml:space="preserve">125</w:t>
        </w:r>
      </w:hyperlink>
      <w:r>
        <w:rPr>
          <w:vertAlign w:val="superscript"/>
        </w:rPr>
        <w:t xml:space="preserve">,</w:t>
      </w:r>
      <w:hyperlink w:anchor="ref-557">
        <w:r>
          <w:rPr>
            <w:rStyle w:val="Hyperlink"/>
            <w:vertAlign w:val="superscript"/>
          </w:rPr>
          <w:t xml:space="preserve">557</w:t>
        </w:r>
      </w:hyperlink>
      <w:r>
        <w:rPr>
          <w:vertAlign w:val="superscript"/>
        </w:rPr>
        <w:t xml:space="preserve">]</w:t>
      </w:r>
      <w:r>
        <w:t xml:space="preserve">。</w:t>
      </w:r>
    </w:p>
    <w:bookmarkEnd w:id="1003"/>
    <w:bookmarkStart w:id="1004" w:name="sec-50-3"/>
    <w:p>
      <w:pPr>
        <w:pStyle w:val="Heading3"/>
      </w:pPr>
      <w:r>
        <w:t xml:space="preserve">50.3　扩散、对流与弥散</w:t>
      </w:r>
    </w:p>
    <w:p>
      <w:pPr>
        <w:pStyle w:val="FirstParagraph"/>
      </w:pPr>
      <w:r>
        <w:t xml:space="preserve">扩散来自分子的随机运动。在简单均匀介质中，扩散距离的典型尺度随时间平方根增长；若想使扩散距离翻倍，所需时间约增加到四倍。脑细胞外空间具有曲折路径和结合位点，其有效扩散系数通常需要实测。对流指溶质随平均流体运动被运输，特征距离可以近似随时间线性增长。实际组织还可能存在周期性往复流，使分子的长期扩散范围扩大，这类现象可归入弥散问题。</w:t>
      </w:r>
    </w:p>
    <w:p>
      <w:pPr>
        <w:pStyle w:val="BodyText"/>
      </w:pPr>
      <w:r>
        <w:t xml:space="preserve">这三种运动可以共存。宽阔、低阻力的血管周围空间中出现流体运动，并不决定狭窄脑实质间隙内所有溶质的主导运输机制。将某一尺度的证据迁移到另一尺度，需要说明流速、路径长度、组织阻力和分子扩散系数。常用的无量纲比较是佩克莱数，写作 Pe 等于流速乘特征长度再除以扩散系数。在给定模型中，较小 Pe 提示扩散的重要性较高，较大 Pe 提示平均流动的相对作用增大。这个数不能在缺少可靠参数时充当实测结论。</w:t>
      </w:r>
    </w:p>
    <w:p>
      <w:pPr>
        <w:pStyle w:val="BodyText"/>
      </w:pPr>
      <w:r>
        <w:t xml:space="preserve">Smith 等人在2017年的啮齿动物实验中发现，所测脑实质溶质运动具有明显分子大小依赖，并报告某些条件下 Aqp4 缺失未损害示踪物进入脑内。他们据此支持实质内扩散解释，质疑依赖 AQP4 的广泛对流模型。该研究承认血管周围通路可以参与流体运输。其结果说明争论包含空间尺度和具体运输机制，不能概括为脑内完全有流动或完全无流动的二选一</w:t>
      </w:r>
      <w:r>
        <w:rPr>
          <w:vertAlign w:val="superscript"/>
        </w:rPr>
        <w:t xml:space="preserve">[</w:t>
      </w:r>
      <w:hyperlink w:anchor="ref-558">
        <w:r>
          <w:rPr>
            <w:rStyle w:val="Hyperlink"/>
            <w:vertAlign w:val="superscript"/>
          </w:rPr>
          <w:t xml:space="preserve">558</w:t>
        </w:r>
      </w:hyperlink>
      <w:r>
        <w:rPr>
          <w:vertAlign w:val="superscript"/>
        </w:rPr>
        <w:t xml:space="preserve">]</w:t>
      </w:r>
      <w:r>
        <w:t xml:space="preserve">。</w:t>
      </w:r>
    </w:p>
    <w:bookmarkEnd w:id="1004"/>
    <w:bookmarkStart w:id="1005" w:name="sec-50-4"/>
    <w:p>
      <w:pPr>
        <w:pStyle w:val="Heading3"/>
      </w:pPr>
      <w:r>
        <w:t xml:space="preserve">50.4　水通道与溶质通道的概念边界</w:t>
      </w:r>
    </w:p>
    <w:p>
      <w:pPr>
        <w:pStyle w:val="FirstParagraph"/>
      </w:pPr>
      <w:r>
        <w:t xml:space="preserve">AQP4 是水通道相关蛋白。讨论它与溶质运输的关系时，需要区分水分子通过通道的过程，与较大示踪溶质沿细胞外路径移动的过程。一个溶质受到 AQP4 操纵的影响，可能经过水交换、细胞体积、细胞外空间几何、血管周围结构或状态改变等间接机制。直接观察到基因缺失后示踪物分布改变，仍不能确定所有中间环节。</w:t>
      </w:r>
    </w:p>
    <w:p>
      <w:pPr>
        <w:pStyle w:val="BodyText"/>
      </w:pPr>
      <w:r>
        <w:t xml:space="preserve">基因敲除还具有时间尺度问题。发育期持续缺失某一蛋白，可以诱发代偿；成年后急性干预可能产生另一组效应。不同遗传背景、组织处理、示踪物、注入压力与麻醉方案，可能使实验间的结果存在差异。可靠比较需要把这些因素转化为可以检验的解释。例如同一实验室采用两个品系、两种注射速率和相同成像方法，可以帮助区分遗传背景与测量协议的作用。</w:t>
      </w:r>
    </w:p>
    <w:p>
      <w:pPr>
        <w:pStyle w:val="BodyText"/>
      </w:pPr>
      <w:r>
        <w:t xml:space="preserve">这里的教学要点是，机制名词需要连接到可观察变量。“通道参与”应说明参与哪一个步骤、在哪一种状态、作用有多大，以及是否存在其他通路补偿。只把 AQP4 写成脑的排污阀门，容易暗示整个系统由单一开关控制，也会掩盖水运输和大分子运输之间的区别。</w:t>
      </w:r>
    </w:p>
    <w:bookmarkEnd w:id="1005"/>
    <w:bookmarkStart w:id="1006" w:name="sec-50-5"/>
    <w:p>
      <w:pPr>
        <w:pStyle w:val="Heading3"/>
      </w:pPr>
      <w:r>
        <w:t xml:space="preserve">50.5　2013年的睡眠清除实验</w:t>
      </w:r>
    </w:p>
    <w:p>
      <w:pPr>
        <w:pStyle w:val="FirstParagraph"/>
      </w:pPr>
      <w:r>
        <w:t xml:space="preserve">Xie 等人的2013年研究在小鼠中结合了脑脊液示踪、细胞外空间测量及脑内标记物残留分析。研究报告，自然睡眠和特定麻醉条件下细胞外空间约扩大60%，脑脊液与组织间液的示踪物交换增强；研究还向脑内给予放射标记的 β-淀粉样蛋白和菊粉，并测得睡眠时清除加快。因而，将该论文描述成只测了脑脊液流入，会遗漏其直接清除实验。研究的代表性结论是所用条件下睡眠相关的运输与清除增强，适用范围首先是这些小鼠、示踪物和协议</w:t>
      </w:r>
      <w:r>
        <w:rPr>
          <w:vertAlign w:val="superscript"/>
        </w:rPr>
        <w:t xml:space="preserve">[</w:t>
      </w:r>
      <w:hyperlink w:anchor="ref-557">
        <w:r>
          <w:rPr>
            <w:rStyle w:val="Hyperlink"/>
            <w:vertAlign w:val="superscript"/>
          </w:rPr>
          <w:t xml:space="preserve">557</w:t>
        </w:r>
      </w:hyperlink>
      <w:r>
        <w:rPr>
          <w:vertAlign w:val="superscript"/>
        </w:rPr>
        <w:t xml:space="preserve">]</w:t>
      </w:r>
      <w:r>
        <w:t xml:space="preserve">。</w:t>
      </w:r>
    </w:p>
    <w:p>
      <w:pPr>
        <w:pStyle w:val="BodyText"/>
      </w:pPr>
      <w:r>
        <w:t xml:space="preserve">这个结果包含多个可以进一步检验的层次。细胞外空间改变可以影响扩散可达性；状态变化可以影响神经元释放、血管动力学和水交换；麻醉可以改变生理变量的组合。即使这些变量同向变化，也需要额外干预才能确定哪一个变量是必要原因。若某药同时改变睡眠、呼吸和血压，观察到的示踪物变化未必全部经由睡眠状态这一条路径。</w:t>
      </w:r>
    </w:p>
    <w:p>
      <w:pPr>
        <w:pStyle w:val="BodyText"/>
      </w:pPr>
      <w:r>
        <w:t xml:space="preserve">在实验解释上，适当的肯定应与适当的边界同时存在。该研究为睡眠相关脑清除假说提供了重要实验基础；单个动物协议无法独自规定人类所有睡眠阶段、所有分子及所有疾病中的效应大小。把基础发现转为日常生活的精确“排毒百分比”，会跨过尚未测量的步骤。</w:t>
      </w:r>
    </w:p>
    <w:bookmarkEnd w:id="1006"/>
    <w:bookmarkStart w:id="1007" w:name="sec-50-6"/>
    <w:p>
      <w:pPr>
        <w:pStyle w:val="Heading3"/>
      </w:pPr>
      <w:r>
        <w:t xml:space="preserve">50.6　2024年的相反方向结果</w:t>
      </w:r>
    </w:p>
    <w:p>
      <w:pPr>
        <w:pStyle w:val="FirstParagraph"/>
      </w:pPr>
      <w:r>
        <w:t xml:space="preserve">Miao 等人在2024年采用小鼠脑内染料注入、局部荧光记录和数学建模，研究扩散以及按其模型定义的清除。他们报告，所测扩散指标在不同状态间变化有限，睡眠和麻醉条件下推算的清除降低。其核心结论针对该实验中示踪物的空间时间分布和模型定义。染料类型、注入位置、采样区域、状态控制及参数识别方式，与经典实验存在差别</w:t>
      </w:r>
      <w:r>
        <w:rPr>
          <w:vertAlign w:val="superscript"/>
        </w:rPr>
        <w:t xml:space="preserve">[</w:t>
      </w:r>
      <w:hyperlink w:anchor="ref-122">
        <w:r>
          <w:rPr>
            <w:rStyle w:val="Hyperlink"/>
            <w:vertAlign w:val="superscript"/>
          </w:rPr>
          <w:t xml:space="preserve">122</w:t>
        </w:r>
      </w:hyperlink>
      <w:r>
        <w:rPr>
          <w:vertAlign w:val="superscript"/>
        </w:rPr>
        <w:t xml:space="preserve">]</w:t>
      </w:r>
      <w:r>
        <w:t xml:space="preserve">。</w:t>
      </w:r>
    </w:p>
    <w:p>
      <w:pPr>
        <w:pStyle w:val="BodyText"/>
      </w:pPr>
      <w:r>
        <w:t xml:space="preserve">如果一项研究从浓度曲线推断两个未知参数，参数间可能存在互相补偿。一个参数取较大值、另一个取较小值，也可能拟合近似相同的曲线。这称为参数可辨识性问题。拟合优度很高不保证每个参数都有唯一生理解释。研究可以通过增加独立观测位置、改变注入剂量、测量全脑残留，或测量外周出现量来增加约束。</w:t>
      </w:r>
    </w:p>
    <w:p>
      <w:pPr>
        <w:pStyle w:val="BodyText"/>
      </w:pPr>
      <w:r>
        <w:t xml:space="preserve">另一方面，不能仅因为新结果与广为传播的理论不一致，就忽略其原始数据。真正有意义的问题包括：同一种模型能否解释两套实验；两种示踪物是否具有不同结合与转运性质；睡眠状态的确认是否充分；观察窗口是否覆盖关键排出阶段；注入过程是否造成局部扰动。将争论缩减为“新论文推翻旧论文”或“旧理论已经正确所以新论文错误”，都无法处理这些可检验的问题。</w:t>
      </w:r>
    </w:p>
    <w:bookmarkEnd w:id="1007"/>
    <w:bookmarkStart w:id="1008" w:name="sec-50-7"/>
    <w:p>
      <w:pPr>
        <w:pStyle w:val="Heading3"/>
      </w:pPr>
      <w:r>
        <w:t xml:space="preserve">50.7　2025年的方法学交锋</w:t>
      </w:r>
    </w:p>
    <w:p>
      <w:pPr>
        <w:pStyle w:val="FirstParagraph"/>
      </w:pPr>
      <w:r>
        <w:t xml:space="preserve">Plá 等人在2025年的评论中，集中质疑 Miao 研究中清除概念、数学假设与测量解释；Franks 和 Wisden 在回应中维护其方法及结论。两份文本记录了研究者对于同一观察应该如何映射到生理过程的分歧。评论本身不会自动使原始数据失效，作者回应也不会自动消除所有识别问题。教学上应把相互冲突的论证转换为实验预测，再判断哪些预测有独立支持</w:t>
      </w:r>
      <w:r>
        <w:rPr>
          <w:vertAlign w:val="superscript"/>
        </w:rPr>
        <w:t xml:space="preserve">[</w:t>
      </w:r>
      <w:hyperlink w:anchor="ref-124">
        <w:r>
          <w:rPr>
            <w:rStyle w:val="Hyperlink"/>
            <w:vertAlign w:val="superscript"/>
          </w:rPr>
          <w:t xml:space="preserve">124</w:t>
        </w:r>
      </w:hyperlink>
      <w:r>
        <w:rPr>
          <w:vertAlign w:val="superscript"/>
        </w:rPr>
        <w:t xml:space="preserve">,</w:t>
      </w:r>
      <w:hyperlink w:anchor="ref-125">
        <w:r>
          <w:rPr>
            <w:rStyle w:val="Hyperlink"/>
            <w:vertAlign w:val="superscript"/>
          </w:rPr>
          <w:t xml:space="preserve">125</w:t>
        </w:r>
      </w:hyperlink>
      <w:r>
        <w:rPr>
          <w:vertAlign w:val="superscript"/>
        </w:rPr>
        <w:t xml:space="preserve">]</w:t>
      </w:r>
      <w:r>
        <w:t xml:space="preserve">。</w:t>
      </w:r>
    </w:p>
    <w:p>
      <w:pPr>
        <w:pStyle w:val="BodyText"/>
      </w:pPr>
      <w:r>
        <w:t xml:space="preserve">例如，如果争点涉及注入处附近的再分布，可以在多个距离同步采样；如果争点涉及从脑内真正离开的数量，可以增加器官总量和外周回收量测量；如果争点涉及麻醉引起的呼吸改变，可以在匹配血气的条件下比较；如果争点涉及染料特性，可以并行测量不同分子大小、结合性质及运输途径的标记物。每一种改进都对应明确的歧义，价值高于单纯增加同一种测量的样本量。</w:t>
      </w:r>
    </w:p>
    <w:p>
      <w:pPr>
        <w:pStyle w:val="BodyText"/>
      </w:pPr>
      <w:r>
        <w:t xml:space="preserve">需要区分“两个协议获得不同方向的效应”与“同一协议被重复后无法复制”。前者可能反映条件依赖，也可能暴露模型问题；后者更直接涉及结果稳定性。只有将状态、样本、示踪物和分析方式标准化之后，才可以判断差异主要来自生物学条件还是技术偏差。跨实验室预注册共同协议，是这一领域有价值的推进路径。</w:t>
      </w:r>
    </w:p>
    <w:bookmarkEnd w:id="1008"/>
    <w:bookmarkStart w:id="1009" w:name="sec-50-8"/>
    <w:p>
      <w:pPr>
        <w:pStyle w:val="Heading3"/>
      </w:pPr>
      <w:r>
        <w:t xml:space="preserve">50.8　去甲肾上腺素、血管节律与脑脊液</w:t>
      </w:r>
    </w:p>
    <w:p>
      <w:pPr>
        <w:pStyle w:val="FirstParagraph"/>
      </w:pPr>
      <w:r>
        <w:t xml:space="preserve">Hauglund 等人在2025年的小鼠研究中，记录并操纵去甲肾上腺素相关活动、血管变化和脑脊液动态，提出睡眠中的慢速血管运动参与液体交换。他们还发现，特定实验条件下唑吡坦影响相关振荡与示踪指标。该研究具有多模态观察和实验操纵的优势，也保留了动物、剂量、状态及替代终点的限制。它不支持读者据此自行停用安眠药，也没有直接证明服药者的长期痴呆风险变化</w:t>
      </w:r>
      <w:r>
        <w:rPr>
          <w:vertAlign w:val="superscript"/>
        </w:rPr>
        <w:t xml:space="preserve">[</w:t>
      </w:r>
      <w:hyperlink w:anchor="ref-123">
        <w:r>
          <w:rPr>
            <w:rStyle w:val="Hyperlink"/>
            <w:vertAlign w:val="superscript"/>
          </w:rPr>
          <w:t xml:space="preserve">123</w:t>
        </w:r>
      </w:hyperlink>
      <w:r>
        <w:rPr>
          <w:vertAlign w:val="superscript"/>
        </w:rPr>
        <w:t xml:space="preserve">]</w:t>
      </w:r>
      <w:r>
        <w:t xml:space="preserve">。</w:t>
      </w:r>
    </w:p>
    <w:p>
      <w:pPr>
        <w:pStyle w:val="BodyText"/>
      </w:pPr>
      <w:r>
        <w:t xml:space="preserve">这一结果提醒我们，平均水平与时间结构可以具有不同信息。某种递质在一分钟内的平均浓度相同，若一种状态表现为稳定水平，另一种表现为周期波动，血管和流体系统可能产生不同响应。研究神经调节时，频率、幅度、相位以及与其他生理变量的耦合，可能比单一均值更加关键。</w:t>
      </w:r>
    </w:p>
    <w:p>
      <w:pPr>
        <w:pStyle w:val="BodyText"/>
      </w:pPr>
      <w:r>
        <w:t xml:space="preserve">周期性血管运动也需要谨慎解释。往复运动可以产生混合和局部交换，但从可见振荡推断持续单向净流，需要额外证明。一个往复推拉的流体系统，能够让示踪物在空间中扩散得更快，同时在某些时间窗内没有明显净体积迁移。区分净流、混合与分散，有助于避免把波形的存在直接写成废物排出的完成。</w:t>
      </w:r>
    </w:p>
    <w:bookmarkEnd w:id="1009"/>
    <w:bookmarkStart w:id="1010" w:name="sec-50-9"/>
    <w:p>
      <w:pPr>
        <w:pStyle w:val="Heading3"/>
      </w:pPr>
      <w:r>
        <w:t xml:space="preserve">50.9　昼夜节律与睡眠状态的分离</w:t>
      </w:r>
    </w:p>
    <w:p>
      <w:pPr>
        <w:pStyle w:val="FirstParagraph"/>
      </w:pPr>
      <w:r>
        <w:t xml:space="preserve">Hablitz 等人的小鼠研究提示，脑内示踪流入与脑脊液到外周淋巴结的引流具有昼夜相关变化，而且两个环节的时间模式可以不同。研究在恒定条件与 Aqp4 操纵下考察了节律因素。其结果提供了一个重要概念：当前睡着与否、内部生物钟相位、外界明暗，以及麻醉状态，属于可以相互关联又需要分别测量的变量</w:t>
      </w:r>
      <w:r>
        <w:rPr>
          <w:vertAlign w:val="superscript"/>
        </w:rPr>
        <w:t xml:space="preserve">[</w:t>
      </w:r>
      <w:hyperlink w:anchor="ref-559">
        <w:r>
          <w:rPr>
            <w:rStyle w:val="Hyperlink"/>
            <w:vertAlign w:val="superscript"/>
          </w:rPr>
          <w:t xml:space="preserve">559</w:t>
        </w:r>
      </w:hyperlink>
      <w:r>
        <w:rPr>
          <w:vertAlign w:val="superscript"/>
        </w:rPr>
        <w:t xml:space="preserve">]</w:t>
      </w:r>
      <w:r>
        <w:t xml:space="preserve">。</w:t>
      </w:r>
    </w:p>
    <w:p>
      <w:pPr>
        <w:pStyle w:val="BodyText"/>
      </w:pPr>
      <w:r>
        <w:t xml:space="preserve">设想研究只在白天测睡眠、夜间测清醒。若发现组间差异，睡眠状态和时间相位完全重合，无法估计两者各自的作用。更有辨别力的设计应尽量在多个节律相位比较不同状态，并记录相应生理指标。对于夜行性小鼠，外界白天经常对应主要休息期；把其时间标签直接换成人类的日常钟点，会造成物种层面的误读。</w:t>
      </w:r>
    </w:p>
    <w:p>
      <w:pPr>
        <w:pStyle w:val="BodyText"/>
      </w:pPr>
      <w:r>
        <w:t xml:space="preserve">睡眠剥夺也包含额外因素。为了保持动物清醒，实验者可能增加触碰、活动或环境刺激；这些操作能改变应激、心血管和代谢状态。一个完善的研究需要解释保持清醒的方法，评估操作产生的附带影响，并把睡眠丧失与操作效应尽可能分离。简单的睡着组与被不断唤醒组比较，不能天然排除全部非睡眠解释。</w:t>
      </w:r>
    </w:p>
    <w:bookmarkEnd w:id="1010"/>
    <w:bookmarkStart w:id="1011" w:name="sec-50-10"/>
    <w:p>
      <w:pPr>
        <w:pStyle w:val="Heading3"/>
      </w:pPr>
      <w:r>
        <w:t xml:space="preserve">50.10　人类证据能够说明什么</w:t>
      </w:r>
    </w:p>
    <w:p>
      <w:pPr>
        <w:pStyle w:val="FirstParagraph"/>
      </w:pPr>
      <w:r>
        <w:t xml:space="preserve">Fultz 等人在 2019 年对 13 名受试者同步记录脑电和功能磁共振，发现非快速眼动睡眠中，神经慢波之后出现血流振荡，随后是大幅的脑脊液流动波</w:t>
      </w:r>
      <w:r>
        <w:rPr>
          <w:vertAlign w:val="superscript"/>
        </w:rPr>
        <w:t xml:space="preserve">[</w:t>
      </w:r>
      <w:hyperlink w:anchor="ref-121">
        <w:r>
          <w:rPr>
            <w:rStyle w:val="Hyperlink"/>
            <w:vertAlign w:val="superscript"/>
          </w:rPr>
          <w:t xml:space="preserve">121</w:t>
        </w:r>
      </w:hyperlink>
      <w:r>
        <w:rPr>
          <w:vertAlign w:val="superscript"/>
        </w:rPr>
        <w:t xml:space="preserve">]</w:t>
      </w:r>
      <w:r>
        <w:t xml:space="preserve">。这使动物中提出的神经血管液体联系获得了人类层面的支持。该研究记录的脑脊液动态没有直接给出某种有害蛋白从整个脑移除的总量，也没有测量多年后的疾病发生，它最直接支持的是睡眠中的协调生理波动。呼吸也会带动脑脊液：实时磁共振显示，清醒的人吸气时脑脊液出现明显的流动，屏住呼吸时这种流动被抑制，心跳带来的成分较小</w:t>
      </w:r>
      <w:r>
        <w:rPr>
          <w:vertAlign w:val="superscript"/>
        </w:rPr>
        <w:t xml:space="preserve">[</w:t>
      </w:r>
      <w:hyperlink w:anchor="ref-560">
        <w:r>
          <w:rPr>
            <w:rStyle w:val="Hyperlink"/>
            <w:vertAlign w:val="superscript"/>
          </w:rPr>
          <w:t xml:space="preserve">560</w:t>
        </w:r>
      </w:hyperlink>
      <w:r>
        <w:rPr>
          <w:vertAlign w:val="superscript"/>
        </w:rPr>
        <w:t xml:space="preserve">]</w:t>
      </w:r>
      <w:r>
        <w:t xml:space="preserve">。</w:t>
      </w:r>
    </w:p>
    <w:p>
      <w:pPr>
        <w:pStyle w:val="CalloutJudgment"/>
      </w:pPr>
      <w:r>
        <w:rPr>
          <w:bCs/>
          <w:b/>
        </w:rPr>
        <w:t xml:space="preserve">判断　</w:t>
      </w:r>
      <w:r>
        <w:t xml:space="preserve">“睡眠慢波和呼吸会带动脑脊液流动”</w:t>
      </w:r>
      <w:r>
        <w:rPr>
          <w:bCs/>
          <w:b/>
        </w:rPr>
        <w:t xml:space="preserve">成立·中</w:t>
      </w:r>
      <w:r>
        <w:t xml:space="preserve">；这些研究都没有直接测量人脑中废物被清除的速度。</w:t>
      </w:r>
    </w:p>
    <w:p>
      <w:pPr>
        <w:pStyle w:val="BodyText"/>
      </w:pPr>
      <w:r>
        <w:t xml:space="preserve">人类研究经常需要采用间接指标，原因包括伦理、空间分辨率、深部组织可达性及示踪剂安全性。间接指标可以非常有价值，但需要验证它与目标过程之间的关系。假设某种 MRI 指标与动物中示踪清除相关，仍需确定在人类不同年龄、血管疾病和脑萎缩条件下，该关系是否保持。能够稳定区分两组人的影像参数，未必能作为个体的临床清除率读数。</w:t>
      </w:r>
    </w:p>
    <w:p>
      <w:pPr>
        <w:pStyle w:val="BodyText"/>
      </w:pPr>
      <w:r>
        <w:t xml:space="preserve">疾病研究还面临反向因果。睡眠紊乱可以先于确诊多年出现，部分神经退行性过程也可以改变睡眠调控网络。观察到睡眠差与淀粉样指标相关，可能包含睡眠影响病理、病理影响睡眠、共同危险因素，以及多个方向同时存在。对时间先后进行仔细追踪，可以收窄解释；要证明改善某一睡眠参数能够减少痴呆发生，仍需要相应干预及长期临床结局。</w:t>
      </w:r>
    </w:p>
    <w:bookmarkEnd w:id="1011"/>
    <w:bookmarkStart w:id="1012" w:name="sec-50-11"/>
    <w:p>
      <w:pPr>
        <w:pStyle w:val="Heading3"/>
      </w:pPr>
      <w:r>
        <w:t xml:space="preserve">50.11　麻醉与睡眠的可比性</w:t>
      </w:r>
    </w:p>
    <w:p>
      <w:pPr>
        <w:pStyle w:val="FirstParagraph"/>
      </w:pPr>
      <w:r>
        <w:t xml:space="preserve">麻醉和自然睡眠都可以伴随行为反应下降，但二者在神经调节、呼吸、循环、体温和网络组织上可能存在重要差别。不同麻醉药之间也不能互相替代。若研究在特定麻醉组合下发现示踪物进入增加，该结果应保留药物、剂量和生理条件；将其推广为所有睡眠和所有麻醉的共同规律，需要进一步证据。</w:t>
      </w:r>
    </w:p>
    <w:p>
      <w:pPr>
        <w:pStyle w:val="BodyText"/>
      </w:pPr>
      <w:r>
        <w:t xml:space="preserve">研究者可以利用麻醉控制运动并改善成像稳定性，这带来测量优势，同时改变被测系统。这个权衡没有统一的最优解。清醒和自然睡眠成像更贴近目标状态，却可能增加运动与应激；麻醉成像更易控制，却可能增加状态外推难度。评价时应看研究怎样量化和处理各自限制；只按是否使用麻醉划分研究可信与不可信，会忽略这些差别。</w:t>
      </w:r>
    </w:p>
    <w:p>
      <w:pPr>
        <w:pStyle w:val="BodyText"/>
      </w:pPr>
      <w:r>
        <w:t xml:space="preserve">对于临床药物，机制替代终点还要与患者可感知的收益和风险连接。睡眠质量、跌倒、白天功能、依赖风险、原发疾病及合并药物，都可能参与决定。即使某药使某个动物示踪指标变差，也不能独自给出总体临床净收益的符号。相反，症状改善也不能保证每一种微观生理过程都朝理想方向变化。</w:t>
      </w:r>
    </w:p>
    <w:bookmarkEnd w:id="1012"/>
    <w:bookmarkStart w:id="1013" w:name="sec-50-12"/>
    <w:p>
      <w:pPr>
        <w:pStyle w:val="Heading3"/>
      </w:pPr>
      <w:r>
        <w:t xml:space="preserve">50.12　一个能够减少争议的研究方案</w:t>
      </w:r>
    </w:p>
    <w:p>
      <w:pPr>
        <w:pStyle w:val="FirstParagraph"/>
      </w:pPr>
      <w:r>
        <w:t xml:space="preserve">可以设计一个明确标为假设的多中心实验。实验先规定主要问题：比较自然 NREM 与安静清醒时，预先选择的三类分子离开整个脑的速率。三个分子分别代表小型非结合示踪物、具有明确结合特性的蛋白，以及可通过屏障转运的分子。研究者预注册状态判定、样本排除、采样时间和主要分析，避免在结果出来后更换清除定义。</w:t>
      </w:r>
    </w:p>
    <w:p>
      <w:pPr>
        <w:pStyle w:val="BodyText"/>
      </w:pPr>
      <w:r>
        <w:t xml:space="preserve">记录系统同时包括 EEG 与肌电、呼吸与血气、血压与温度、局部成像、全脑残留及外周回收。注入量和压力受到校准，必要时采用不同注入方式验证操作影响。各中心交换盲化样本，并在至少一个环节使用共同标准材料。分析人员在不知道状态标签时先完成图像质量评估，以降低主观阈值对结果的影响。</w:t>
      </w:r>
    </w:p>
    <w:p>
      <w:pPr>
        <w:pStyle w:val="BodyText"/>
      </w:pPr>
      <w:r>
        <w:t xml:space="preserve">主要模型遵守质量守恒，并公开参数可辨识性分析。研究报告原始浓度曲线、全脑总量及模型推断值，使读者能够区分直接测量与模型产物。对于缺失数据，说明原因是否与状态或异常生理有关；对于排除动物，公布组别分布；对于多个分子和多个终点，预先控制选择性报告。研究结束后，即使三个分子出现不同方向，也应完整呈现，因为分子特异性本身就是有意义的结果。</w:t>
      </w:r>
    </w:p>
    <w:p>
      <w:pPr>
        <w:pStyle w:val="BodyText"/>
      </w:pPr>
      <w:r>
        <w:t xml:space="preserve">这样的设计仍无法直接回答人类痴呆预防。它解决的是动物机制层面的部分歧义。后续人类工作可以先验证生理指标，再研究干预能否改变可靠替代终点，最后研究临床功能和疾病发生。把每一步需要的证据列明，可以帮助公众理解为什么一个精彩基础发现距离常规医疗建议仍有距离。</w:t>
      </w:r>
    </w:p>
    <w:bookmarkEnd w:id="1013"/>
    <w:bookmarkStart w:id="1014" w:name="sec-50-13"/>
    <w:p>
      <w:pPr>
        <w:pStyle w:val="Heading3"/>
      </w:pPr>
      <w:r>
        <w:t xml:space="preserve">50.13　假设计算与解答</w:t>
      </w:r>
    </w:p>
    <w:p>
      <w:pPr>
        <w:pStyle w:val="FirstParagraph"/>
      </w:pPr>
      <w:r>
        <w:t xml:space="preserve">例题一。研究甲采用脑脊液注入，发现睡眠时皮层信号增加；研究乙采用脑实质注入，发现睡眠时局部信号下降更慢。二者是否逻辑冲突？答案取决于模型和边界条件。流入增强与局部停留延长可以同时发生，也可能反映不同分子的性质。只有在两项研究声称测量同一个参数、条件足够可比时，才构成直接矛盾。</w:t>
      </w:r>
    </w:p>
    <w:p>
      <w:pPr>
        <w:pStyle w:val="BodyText"/>
      </w:pPr>
      <w:r>
        <w:t xml:space="preserve">例题二。某药使小鼠示踪指标改变20%，且改善人类失眠量表。能否推断该药使人类痴呆风险改变20%？答案是不能。这里跨越了物种、剂量、测量终点、作用时间和疾病因果链。同一个百分比不能直接从一个层次搬到另一个层次。合理后续问题是哪些中间指标可以在人类测量，哪些结局已有随机证据，以及可能的收益风险能否在同一研究框架下比较。</w:t>
      </w:r>
    </w:p>
    <w:bookmarkEnd w:id="1014"/>
    <w:bookmarkStart w:id="1015" w:name="sec-50-14"/>
    <w:p>
      <w:pPr>
        <w:pStyle w:val="Heading3"/>
      </w:pPr>
      <w:r>
        <w:t xml:space="preserve">50.14　阅读此领域研究的最终检查</w:t>
      </w:r>
    </w:p>
    <w:p>
      <w:pPr>
        <w:pStyle w:val="FirstParagraph"/>
      </w:pPr>
      <w:r>
        <w:t xml:space="preserve">读者可以依次询问：研究的状态怎样判定；比较是否同时改变昼夜时间；示踪物在哪里加入；测量的是浓度还是数量；观察窗口覆盖哪里；“清除”由哪条方程定义；是否同时测量流入和流出；是否记录循环和呼吸；模型参数是否可辨识；结果是否经过独立实验重复；从动物到人类还剩哪些步骤。这些问题能够用于支持任何理论的论文，也能够用于挑战它的论文。</w:t>
      </w:r>
    </w:p>
    <w:p>
      <w:pPr>
        <w:pStyle w:val="BodyText"/>
      </w:pPr>
      <w:r>
        <w:t xml:space="preserve">睡眠的重要性并不依赖某一种清除理论完全成立。睡眠对注意、学习、情绪及身体生理的作用具有各自的证据链。脑内液体研究提供了一个持续发展的机制领域，其价值来自对可测过程的逐步澄清。保留条件、尺度和不确定性，能够让讲述既呈现前沿，也避免把尚未解决的争议包装成确定的生活处方。</w:t>
      </w:r>
    </w:p>
    <w:bookmarkEnd w:id="1015"/>
    <w:bookmarkEnd w:id="1016"/>
    <w:bookmarkStart w:id="1037" w:name="ch-51"/>
    <w:p>
      <w:pPr>
        <w:pStyle w:val="Heading2"/>
      </w:pPr>
      <w:r>
        <w:t xml:space="preserve">第51章　梦境的神经研究与解释边界</w:t>
      </w:r>
    </w:p>
    <w:p>
      <w:pPr>
        <w:pStyle w:val="CalloutJudgment"/>
      </w:pPr>
      <w:r>
        <w:rPr>
          <w:bCs/>
          <w:b/>
        </w:rPr>
        <w:t xml:space="preserve">核心判断　梦境具有可研究的神经相关过程，固定符号词典、单个梦诊断疾病和预言未来的说法缺乏相应证据，置信度高。</w:t>
      </w:r>
      <w:r>
        <w:t xml:space="preserve">梦的内容可能与生活经验和情绪有关，具体含义仍依个人和情境。科学研究能够检验某些规律，无法从一个象征直接读取唯一答案。</w:t>
      </w:r>
    </w:p>
    <w:bookmarkStart w:id="1017" w:name="sec-51-1"/>
    <w:p>
      <w:pPr>
        <w:pStyle w:val="Heading3"/>
      </w:pPr>
      <w:r>
        <w:t xml:space="preserve">51.1　梦报告与梦体验</w:t>
      </w:r>
    </w:p>
    <w:p>
      <w:pPr>
        <w:pStyle w:val="FirstParagraph"/>
      </w:pPr>
      <w:r>
        <w:t xml:space="preserve">研究者通常在醒来后询问梦境，得到的是对刚才体验的记忆报告。报告会受到遗忘、提问方式、醒来时间和表达能力影响。没有报告梦，不必然意味着睡眠中完全没有体验；报告清楚也不能保证每个细节都精确。研究需要尽量缩短延迟并统一提问。</w:t>
      </w:r>
    </w:p>
    <w:p>
      <w:pPr>
        <w:pStyle w:val="BodyText"/>
      </w:pPr>
      <w:r>
        <w:t xml:space="preserve">梦可以出现在REM与NREM睡眠。Siclari等2017年使用高密度脑电与反复唤醒，比较有无梦体验报告，发现局部后部皮层活动与报告相关</w:t>
      </w:r>
      <w:r>
        <w:rPr>
          <w:vertAlign w:val="superscript"/>
        </w:rPr>
        <w:t xml:space="preserve">[</w:t>
      </w:r>
      <w:hyperlink w:anchor="ref-561">
        <w:r>
          <w:rPr>
            <w:rStyle w:val="Hyperlink"/>
            <w:vertAlign w:val="superscript"/>
          </w:rPr>
          <w:t xml:space="preserve">561</w:t>
        </w:r>
      </w:hyperlink>
      <w:r>
        <w:rPr>
          <w:vertAlign w:val="superscript"/>
        </w:rPr>
        <w:t xml:space="preserve">]</w:t>
      </w:r>
      <w:r>
        <w:t xml:space="preserve">。研究支持在同一睡眠状态内研究体验，无法证明单一区域独自生成全部梦境，也无法给梦中符号赋予固定含义。</w:t>
      </w:r>
    </w:p>
    <w:bookmarkEnd w:id="1017"/>
    <w:bookmarkStart w:id="1018" w:name="sec-51-2"/>
    <w:p>
      <w:pPr>
        <w:pStyle w:val="Heading3"/>
      </w:pPr>
      <w:r>
        <w:t xml:space="preserve">51.2　内容与情绪的关联</w:t>
      </w:r>
    </w:p>
    <w:p>
      <w:pPr>
        <w:pStyle w:val="FirstParagraph"/>
      </w:pPr>
      <w:r>
        <w:t xml:space="preserve">清醒经历、关注事项和情绪可能进入梦，但梦通常包含重组、变形和不连续。某主题反复出现，可以作为了解个人当前关注的材料；要证明其对应特定隐藏病因，需要独立数据。一个解释若对任何梦都能给出相似答案，就缺乏区分力。</w:t>
      </w:r>
    </w:p>
    <w:p>
      <w:pPr>
        <w:pStyle w:val="BodyText"/>
      </w:pPr>
      <w:r>
        <w:t xml:space="preserve">例如，考试梦可能与评价压力、近期经历或熟悉记忆有关，也可能出现在没有当前考试的人。把它一律解释为某个童年事件，会超出观察。合理讨论可以询问梦让当事人想到什么，以及这种联系是否与其他资料一致，保持推断身份清楚。</w:t>
      </w:r>
    </w:p>
    <w:bookmarkEnd w:id="1018"/>
    <w:bookmarkStart w:id="1019" w:name="sec-51-3"/>
    <w:p>
      <w:pPr>
        <w:pStyle w:val="Heading3"/>
      </w:pPr>
      <w:r>
        <w:t xml:space="preserve">51.3　固定符号词典为何难以成立</w:t>
      </w:r>
    </w:p>
    <w:p>
      <w:pPr>
        <w:pStyle w:val="FirstParagraph"/>
      </w:pPr>
      <w:r>
        <w:t xml:space="preserve">若同一个符号具有稳定神经学含义，应在不同人群、文化和情境中产生可重复预测。研究需要先规定符号分类和目标结局，再由不知道个人情况的评估者判断，并与基线预测比较。事后根据个人故事调整解释，容易制造看似准确的匹配。</w:t>
      </w:r>
    </w:p>
    <w:p>
      <w:pPr>
        <w:pStyle w:val="BodyText"/>
      </w:pPr>
      <w:r>
        <w:t xml:space="preserve">常见符号本身基率很高。梦见水、追逐、考试或亲人，可能与多种日常经验有关。若解释同样宽泛，就很容易让人觉得符合自己。科学评价需要计算准确率、误报和增量信息，不能只挑少数令人印象深刻的个案。</w:t>
      </w:r>
    </w:p>
    <w:bookmarkEnd w:id="1019"/>
    <w:bookmarkStart w:id="1020" w:name="sec-51-4"/>
    <w:p>
      <w:pPr>
        <w:pStyle w:val="Heading3"/>
      </w:pPr>
      <w:r>
        <w:t xml:space="preserve">51.4　预知梦与选择性记忆</w:t>
      </w:r>
    </w:p>
    <w:p>
      <w:pPr>
        <w:pStyle w:val="FirstParagraph"/>
      </w:pPr>
      <w:r>
        <w:t xml:space="preserve">人每天产生大量思想和梦，现实中也发生大量事件。事后寻找相似处容易形成偶然匹配。未应验的梦通常较少被记住，内容也可能在回忆中变得更贴近事件。要检验预知，需要事先记录具体、可判定的预测，明确时间窗，并由盲法评估所有命中与失败。</w:t>
      </w:r>
    </w:p>
    <w:p>
      <w:pPr>
        <w:pStyle w:val="BodyText"/>
      </w:pPr>
      <w:r>
        <w:t xml:space="preserve">模糊预测缺乏检验价值。“会发生重要变化”可以对应无数事件，无法估计真正预测能力。一个可靠预知主张应在严格条件下超过普通信息和随机基线，并重复出现。现有梦神经研究没有自动提供这种证据。</w:t>
      </w:r>
    </w:p>
    <w:bookmarkEnd w:id="1020"/>
    <w:bookmarkStart w:id="1021" w:name="sec-51-5"/>
    <w:p>
      <w:pPr>
        <w:pStyle w:val="Heading3"/>
      </w:pPr>
      <w:r>
        <w:t xml:space="preserve">51.5　清醒梦与实时交流</w:t>
      </w:r>
    </w:p>
    <w:p>
      <w:pPr>
        <w:pStyle w:val="FirstParagraph"/>
      </w:pPr>
      <w:r>
        <w:t xml:space="preserve">清醒梦指梦中意识到自己正在做梦。Konkoly等2021年在多个实验室尝试与经多导睡眠确认处于REM睡眠的人交流，在36名参与者中，有6人产生合计29次正确回答</w:t>
      </w:r>
      <w:r>
        <w:rPr>
          <w:vertAlign w:val="superscript"/>
        </w:rPr>
        <w:t xml:space="preserve">[</w:t>
      </w:r>
      <w:hyperlink w:anchor="ref-562">
        <w:r>
          <w:rPr>
            <w:rStyle w:val="Hyperlink"/>
            <w:vertAlign w:val="superscript"/>
          </w:rPr>
          <w:t xml:space="preserve">562</w:t>
        </w:r>
      </w:hyperlink>
      <w:r>
        <w:rPr>
          <w:vertAlign w:val="superscript"/>
        </w:rPr>
        <w:t xml:space="preserve">]</w:t>
      </w:r>
      <w:r>
        <w:t xml:space="preserve">。结果展示了一种研究通道，成功集中于部分人和部分尝试，不能描述为已经能够稳定与所有梦者自由对话。</w:t>
      </w:r>
    </w:p>
    <w:p>
      <w:pPr>
        <w:pStyle w:val="BodyText"/>
      </w:pPr>
      <w:r>
        <w:t xml:space="preserve">实时交流能够减少纯粹事后报告的某些局限，但新的问题包括刺激是否引起微觉醒、回答编码是否明确、成功试次怎样选择以及失败如何计数。研究需要完整报告所有尝试与状态判断。技术可行性与普遍能力之间仍有距离。</w:t>
      </w:r>
    </w:p>
    <w:bookmarkEnd w:id="1021"/>
    <w:bookmarkStart w:id="1022" w:name="sec-51-6"/>
    <w:p>
      <w:pPr>
        <w:pStyle w:val="Heading3"/>
      </w:pPr>
      <w:r>
        <w:t xml:space="preserve">51.6　梦与临床症状</w:t>
      </w:r>
    </w:p>
    <w:p>
      <w:pPr>
        <w:pStyle w:val="FirstParagraph"/>
      </w:pPr>
      <w:r>
        <w:t xml:space="preserve">反复噩梦可以造成痛苦与睡眠影响，可能与创伤、药物、睡眠障碍和其他因素有关。其临床意义来自频率、困扰、功能与病程，无法只由梦中某个符号决定。治疗目标可以是减少噩梦负担和改善睡眠，机制与方法需要对应证据。</w:t>
      </w:r>
    </w:p>
    <w:bookmarkEnd w:id="1022"/>
    <w:bookmarkStart w:id="1023" w:name="sec-51-7"/>
    <w:p>
      <w:pPr>
        <w:pStyle w:val="Heading3"/>
      </w:pPr>
      <w:r>
        <w:t xml:space="preserve">51.7　梦研究的因果困难</w:t>
      </w:r>
    </w:p>
    <w:p>
      <w:pPr>
        <w:pStyle w:val="FirstParagraph"/>
      </w:pPr>
      <w:r>
        <w:t xml:space="preserve">脑电相关可能反映体验生成、记忆保持或报告准备中的不同环节。研究通过同状态比较、及时唤醒和多种报告类别减少混杂，仍需更多方法相互验证。一个区域与梦内容相关，不足以说明该区域是内容唯一存储地点。</w:t>
      </w:r>
    </w:p>
    <w:p>
      <w:pPr>
        <w:pStyle w:val="BodyText"/>
      </w:pPr>
      <w:r>
        <w:t xml:space="preserve">刺激研究也需要检查特异性。某刺激改变梦报告，可能通过觉醒程度、注意、记忆或情绪作用。要声称直接改变某种梦内容，应证明效果超出这些替代路径，并在独立样本中重复。研究目标越具体，所需控制越严格。</w:t>
      </w:r>
    </w:p>
    <w:bookmarkEnd w:id="1023"/>
    <w:bookmarkStart w:id="1024" w:name="sec-51-8"/>
    <w:p>
      <w:pPr>
        <w:pStyle w:val="Heading3"/>
      </w:pPr>
      <w:r>
        <w:t xml:space="preserve">51.8　个人反思的合理用途</w:t>
      </w:r>
    </w:p>
    <w:p>
      <w:pPr>
        <w:pStyle w:val="FirstParagraph"/>
      </w:pPr>
      <w:r>
        <w:t xml:space="preserve">梦可以成为自我反思的材料，帮助注意到情绪、关系和担忧。这个用途可以依个人意义成立，无需把解释包装成神经学定律。反思时可以区分明确经历、个人联想和仍不确定的推测，避免把梦当作他人行为的证据。</w:t>
      </w:r>
    </w:p>
    <w:p>
      <w:pPr>
        <w:pStyle w:val="BodyText"/>
      </w:pPr>
      <w:r>
        <w:t xml:space="preserve">尤其不能仅凭梦指控他人、确认过去事件或作重大医学判断。主观体验可以真实而强烈，其指向的外部事实仍需核实。这个原则同样适用于幻觉、身体感觉和其他鲜明体验。</w:t>
      </w:r>
    </w:p>
    <w:bookmarkEnd w:id="1024"/>
    <w:bookmarkStart w:id="1025" w:name="sec-51-9"/>
    <w:p>
      <w:pPr>
        <w:pStyle w:val="Heading3"/>
      </w:pPr>
      <w:r>
        <w:t xml:space="preserve">51.9　梦的现象学包含多个可分离维度</w:t>
      </w:r>
    </w:p>
    <w:p>
      <w:pPr>
        <w:pStyle w:val="FirstParagraph"/>
      </w:pPr>
      <w:r>
        <w:t xml:space="preserve">梦可以具有视觉场景、身体感、情绪、语言或抽象思维，也可能只有模糊的存在感。生动程度、情节连贯、对自身状态的觉察和事后记忆属于不同维度。Nir与Tononi对梦体验与神经过程的综述强调了这些维度以及睡眠状态内部的多样性</w:t>
      </w:r>
      <w:r>
        <w:rPr>
          <w:vertAlign w:val="superscript"/>
        </w:rPr>
        <w:t xml:space="preserve">[</w:t>
      </w:r>
      <w:hyperlink w:anchor="ref-563">
        <w:r>
          <w:rPr>
            <w:rStyle w:val="Hyperlink"/>
            <w:vertAlign w:val="superscript"/>
          </w:rPr>
          <w:t xml:space="preserve">563</w:t>
        </w:r>
      </w:hyperlink>
      <w:r>
        <w:rPr>
          <w:vertAlign w:val="superscript"/>
        </w:rPr>
        <w:t xml:space="preserve">]</w:t>
      </w:r>
      <w:r>
        <w:t xml:space="preserve">。</w:t>
      </w:r>
    </w:p>
    <w:p>
      <w:pPr>
        <w:pStyle w:val="BodyText"/>
      </w:pPr>
      <w:r>
        <w:t xml:space="preserve">把所有梦都定义为电影般的视觉故事，会漏掉部分报告。参与者如果认为没有情节就不算梦，研究者可能误把体验差异与用词差异混合。问卷需要允许无视觉、片段和难以描述的经验，同时避免用过细的问题诱导不存在的细节。</w:t>
      </w:r>
    </w:p>
    <w:p>
      <w:pPr>
        <w:pStyle w:val="BodyText"/>
      </w:pPr>
      <w:r>
        <w:t xml:space="preserve">这种测量问题也出现在其他意识研究中。体验是否发生、能否保留、能否提取和能否用语言表达，是连续链条上的不同环节。任何一环受限都可能降低报告率。一个严谨的梦研究应承认报告依赖性，同时利用实验安排缩小替代解释。</w:t>
      </w:r>
    </w:p>
    <w:bookmarkEnd w:id="1025"/>
    <w:bookmarkStart w:id="1026" w:name="sec-51-10"/>
    <w:p>
      <w:pPr>
        <w:pStyle w:val="Heading3"/>
      </w:pPr>
      <w:r>
        <w:t xml:space="preserve">51.10　有体验却不能报告内容的情况</w:t>
      </w:r>
    </w:p>
    <w:p>
      <w:pPr>
        <w:pStyle w:val="FirstParagraph"/>
      </w:pPr>
      <w:r>
        <w:t xml:space="preserve">有些被唤醒者表示刚才似乎在做梦，却无法说出内容。研究可将这种状态与完全不记得体验、能够详细回忆内容分别编码。若把前两者都归为没有梦，就可能混淆体验存在与内容记忆。</w:t>
      </w:r>
    </w:p>
    <w:p>
      <w:pPr>
        <w:pStyle w:val="BodyText"/>
      </w:pPr>
      <w:r>
        <w:t xml:space="preserve">这个区别影响脑活动分析。某信号与完整内容报告相关，可能参与体验组织，也可能参与保持梦的记忆。若它同样区分有体验却无内容的状态与完全无体验状态，解释会有所不同。仍需考虑分类可靠性和醒来后的判断误差。</w:t>
      </w:r>
    </w:p>
    <w:p>
      <w:pPr>
        <w:pStyle w:val="BodyText"/>
      </w:pPr>
      <w:r>
        <w:t xml:space="preserve">假设一项研究只纳入长篇报告，获得的神经特征可能偏向易记忆、语言组织较强的梦。短暂且难以表述的体验被排除后，结果无法代表全部睡眠意识。这说明入组规则也会塑造我们看见的梦。</w:t>
      </w:r>
    </w:p>
    <w:bookmarkEnd w:id="1026"/>
    <w:bookmarkStart w:id="1027" w:name="sec-51-11"/>
    <w:p>
      <w:pPr>
        <w:pStyle w:val="Heading3"/>
      </w:pPr>
      <w:r>
        <w:t xml:space="preserve">51.11　梦中缺少怀疑与情节不连贯</w:t>
      </w:r>
    </w:p>
    <w:p>
      <w:pPr>
        <w:pStyle w:val="FirstParagraph"/>
      </w:pPr>
      <w:r>
        <w:t xml:space="preserve">清醒时，人通常持续比较感觉、记忆与现实约束。梦中这种检查可能改变，导致不合常理的场景仍被当作正在发生的事件。理解这一点需要区分场景生成、信念接受和元认知监控，不宜把梦境全部归为单一脑区关闭。</w:t>
      </w:r>
    </w:p>
    <w:p>
      <w:pPr>
        <w:pStyle w:val="BodyText"/>
      </w:pPr>
      <w:r>
        <w:t xml:space="preserve">一个梦可以在局部具有强烈真实感，同时在整体上缺少时间连续性。体验者也可能在梦中突然意识到矛盾，进而出现清醒梦。元认知程度具有连续变化，清醒梦与普通梦之间未必是一条由单个信号准确划开的绝对边界。</w:t>
      </w:r>
    </w:p>
    <w:p>
      <w:pPr>
        <w:pStyle w:val="BodyText"/>
      </w:pPr>
      <w:r>
        <w:t xml:space="preserve">任何机制解释都应预测可测现象。例如，某理论如果强调现实检查，应能说明哪些任务或提示改变识别梦状态的概率，以及这种改变是否独立于整体觉醒。仅用清醒时某脑区与执行功能相关，无法完整推出梦中全部心理变化。</w:t>
      </w:r>
    </w:p>
    <w:bookmarkEnd w:id="1027"/>
    <w:bookmarkStart w:id="1028" w:name="sec-51-12"/>
    <w:p>
      <w:pPr>
        <w:pStyle w:val="Heading3"/>
      </w:pPr>
      <w:r>
        <w:t xml:space="preserve">51.12　快速眼动、肌张力与感觉输入</w:t>
      </w:r>
    </w:p>
    <w:p>
      <w:pPr>
        <w:pStyle w:val="FirstParagraph"/>
      </w:pPr>
      <w:r>
        <w:t xml:space="preserve">快速眼动睡眠中的肌张力抑制有助于限制身体把梦中动作完整表达出来。眼动、呼吸、局部肌肉活动和梦体验之间并不存在简单的一一对应。看到眼球运动，不能直接判断梦者正在看哪种物体；没有明显动作，也不能断定梦中完全没有运动体验。</w:t>
      </w:r>
    </w:p>
    <w:p>
      <w:pPr>
        <w:pStyle w:val="BodyText"/>
      </w:pPr>
      <w:r>
        <w:t xml:space="preserve">睡眠中外界输入通常受到不同程度调节，某些声音或触觉仍可能进入体验，也可能引起觉醒。实验若发现刺激被梦报告提及，需要区分它是否真的进入原有梦境，是否在醒来边缘被整合，以及事后报告是否受提问影响。</w:t>
      </w:r>
    </w:p>
    <w:p>
      <w:pPr>
        <w:pStyle w:val="BodyText"/>
      </w:pPr>
      <w:r>
        <w:t xml:space="preserve">同一个声响可以在一个人梦中成为门铃，在另一个人梦中成为电话，也可以完全没有进入报告。这类现象符合已有情境对解释的影响，不能据此证明一种声音具有固定梦义。实验刺激的物理一致性与主观内容的一致性是不同指标。</w:t>
      </w:r>
    </w:p>
    <w:bookmarkEnd w:id="1028"/>
    <w:bookmarkStart w:id="1029" w:name="sec-51-13"/>
    <w:p>
      <w:pPr>
        <w:pStyle w:val="Heading3"/>
      </w:pPr>
      <w:r>
        <w:t xml:space="preserve">51.13　睡眠瘫痪与边界状态</w:t>
      </w:r>
    </w:p>
    <w:p>
      <w:pPr>
        <w:pStyle w:val="FirstParagraph"/>
      </w:pPr>
      <w:r>
        <w:t xml:space="preserve">睡眠和清醒转换过程中，意识、运动控制和感觉解释有时并不完全同步。睡眠瘫痪可伴随清醒感、短暂不能活动和鲜明体验。状态切换框架有助于解释这种组合为何能够出现</w:t>
      </w:r>
      <w:r>
        <w:rPr>
          <w:vertAlign w:val="superscript"/>
        </w:rPr>
        <w:t xml:space="preserve">[</w:t>
      </w:r>
      <w:hyperlink w:anchor="ref-549">
        <w:r>
          <w:rPr>
            <w:rStyle w:val="Hyperlink"/>
            <w:vertAlign w:val="superscript"/>
          </w:rPr>
          <w:t xml:space="preserve">549</w:t>
        </w:r>
      </w:hyperlink>
      <w:r>
        <w:rPr>
          <w:vertAlign w:val="superscript"/>
        </w:rPr>
        <w:t xml:space="preserve">]</w:t>
      </w:r>
      <w:r>
        <w:t xml:space="preserve">。这种体验不应被直接解释为外界存在特殊力量。</w:t>
      </w:r>
    </w:p>
    <w:p>
      <w:pPr>
        <w:pStyle w:val="BodyText"/>
      </w:pPr>
      <w:r>
        <w:t xml:space="preserve">体验可以非常真实并带来强烈恐惧，真实感的强度不构成外部事件的独立证据。同样，单次现象也不能自动确诊发作性睡病或其他疾病。频率、白天困倦、相关症状和完整病史会改变临床判断。</w:t>
      </w:r>
    </w:p>
    <w:p>
      <w:pPr>
        <w:pStyle w:val="BodyText"/>
      </w:pPr>
      <w:r>
        <w:t xml:space="preserve">这里应避免一个常见认识错误：提供生理解释，不会使当事人的恐惧变得虚假。体验的情绪影响与其外部解释可以分开讨论。科学沟通既需要准确机制，也需要承认经历造成的负担。</w:t>
      </w:r>
    </w:p>
    <w:bookmarkEnd w:id="1029"/>
    <w:bookmarkStart w:id="1030" w:name="sec-51-14"/>
    <w:p>
      <w:pPr>
        <w:pStyle w:val="Heading3"/>
      </w:pPr>
      <w:r>
        <w:t xml:space="preserve">51.14　梦境行为化与快速眼动睡眠行为障碍</w:t>
      </w:r>
    </w:p>
    <w:p>
      <w:pPr>
        <w:pStyle w:val="FirstParagraph"/>
      </w:pPr>
      <w:r>
        <w:t xml:space="preserve">快速眼动睡眠行为障碍涉及快速眼动睡眠中正常肌张力抑制受损，可能出现与梦有关的动作和受伤。AASM 2023年的治疗指南区分孤立性、与其他疾病相关以及药物相关等背景，强调需要结合临床和睡眠记录判断</w:t>
      </w:r>
      <w:r>
        <w:rPr>
          <w:vertAlign w:val="superscript"/>
        </w:rPr>
        <w:t xml:space="preserve">[</w:t>
      </w:r>
      <w:hyperlink w:anchor="ref-564">
        <w:r>
          <w:rPr>
            <w:rStyle w:val="Hyperlink"/>
            <w:vertAlign w:val="superscript"/>
          </w:rPr>
          <w:t xml:space="preserve">564</w:t>
        </w:r>
      </w:hyperlink>
      <w:r>
        <w:rPr>
          <w:vertAlign w:val="superscript"/>
        </w:rPr>
        <w:t xml:space="preserve">]</w:t>
      </w:r>
      <w:r>
        <w:t xml:space="preserve">。普通生动梦、偶发说梦话与该障碍不能互相替换。</w:t>
      </w:r>
    </w:p>
    <w:p>
      <w:pPr>
        <w:pStyle w:val="BodyText"/>
      </w:pPr>
      <w:r>
        <w:t xml:space="preserve">这一领域与某些神经退行性疾病存在重要联系，但概率需要依研究对象理解。专科确诊群体的长期风险，不能应用于所有曾经踢被子或做噩梦的人。前者经过病史、记录和排除替代解释，后者只是一种常见描述。</w:t>
      </w:r>
    </w:p>
    <w:p>
      <w:pPr>
        <w:pStyle w:val="BodyText"/>
      </w:pPr>
      <w:r>
        <w:t xml:space="preserve">还应区分症状控制与改变潜在疾病过程。减少夜间动作或伤害，即使有价值，也不能自动证明已经预防未来神经退行。相反，潜在病理风险较高，也不意味着每个人的病程与时间表相同。临床沟通需要把确定诊断、风险估计和未知部分分别表达。</w:t>
      </w:r>
    </w:p>
    <w:bookmarkEnd w:id="1030"/>
    <w:bookmarkStart w:id="1031" w:name="sec-51-15"/>
    <w:p>
      <w:pPr>
        <w:pStyle w:val="Heading3"/>
      </w:pPr>
      <w:r>
        <w:t xml:space="preserve">51.15　不同异常睡眠行为的机制比较</w:t>
      </w:r>
    </w:p>
    <w:p>
      <w:pPr>
        <w:pStyle w:val="FirstParagraph"/>
      </w:pPr>
      <w:r>
        <w:t xml:space="preserve">夜间出现动作或叫喊，可以来自多种机制。部分非快速眼动睡眠相关事件与不完全觉醒有关，快速眼动睡眠行为障碍涉及另一类状态调节问题，夜间癫痫又具有不同的病理过程。相似外观并不保证相同病因。</w:t>
      </w:r>
    </w:p>
    <w:p>
      <w:pPr>
        <w:pStyle w:val="BodyText"/>
      </w:pPr>
      <w:r>
        <w:t xml:space="preserve">区别时通常要考虑发生在夜间什么时段、事件是否高度刻板、持续多久、是否保留记忆、有没有其他症状，以及必要记录中的变化。任何单一线索都可能存在例外。这些维度适合组织临床思考，不能被拼成读者自行确诊的速查规则。</w:t>
      </w:r>
    </w:p>
    <w:p>
      <w:pPr>
        <w:pStyle w:val="BodyText"/>
      </w:pPr>
      <w:r>
        <w:t xml:space="preserve">视频、多导睡眠或脑电记录各有优势，也有捕获不到典型事件的可能。一次正常记录可能降低某些假设的可信度，却未必排除所有低频事件。解释阴性结果需要考虑记录时长、典型事件是否发生及传感器对目标过程的敏感性。</w:t>
      </w:r>
    </w:p>
    <w:bookmarkEnd w:id="1031"/>
    <w:bookmarkStart w:id="1032" w:name="sec-51-16"/>
    <w:p>
      <w:pPr>
        <w:pStyle w:val="Heading3"/>
      </w:pPr>
      <w:r>
        <w:t xml:space="preserve">51.16　噩梦的治疗目标可以独立于符号解释</w:t>
      </w:r>
    </w:p>
    <w:p>
      <w:pPr>
        <w:pStyle w:val="FirstParagraph"/>
      </w:pPr>
      <w:r>
        <w:t xml:space="preserve">反复噩梦的负担来自睡眠中痛苦体验、醒后恐惧、回避睡眠和白天影响。改善这些结局不要求先为每个象征找到唯一含义。AASM2018年立场文件支持意象排演治疗用于噩梦障碍及创伤后相关噩梦，但不同指南与人群的证据分级需要分别查看</w:t>
      </w:r>
      <w:r>
        <w:rPr>
          <w:vertAlign w:val="superscript"/>
        </w:rPr>
        <w:t xml:space="preserve">[</w:t>
      </w:r>
      <w:hyperlink w:anchor="ref-565">
        <w:r>
          <w:rPr>
            <w:rStyle w:val="Hyperlink"/>
            <w:vertAlign w:val="superscript"/>
          </w:rPr>
          <w:t xml:space="preserve">565</w:t>
        </w:r>
      </w:hyperlink>
      <w:r>
        <w:rPr>
          <w:vertAlign w:val="superscript"/>
        </w:rPr>
        <w:t xml:space="preserve">]</w:t>
      </w:r>
      <w:r>
        <w:t xml:space="preserve">。</w:t>
      </w:r>
    </w:p>
    <w:p>
      <w:pPr>
        <w:pStyle w:val="BodyText"/>
      </w:pPr>
      <w:r>
        <w:t xml:space="preserve">意象排演的核心研究问题与梦的固定翻译完全不同。它关注在清醒时改变与噩梦相关的意象和应对方式，能否减轻之后的困扰。疗效即使成立，也不能据此证明原梦包含被压抑历史的精确记录。</w:t>
      </w:r>
    </w:p>
    <w:p>
      <w:pPr>
        <w:pStyle w:val="BodyText"/>
      </w:pPr>
      <w:r>
        <w:t xml:space="preserve">某种治疗可能降低频率却未明显改善白天功能，也可能让频率变化不大但困扰减轻。研究应把两者分别测量。对于创伤背景，完整治疗还涉及其他症状和生活功能，不能由一个梦指标概括恢复程度。</w:t>
      </w:r>
    </w:p>
    <w:bookmarkEnd w:id="1032"/>
    <w:bookmarkStart w:id="1033" w:name="sec-51-17"/>
    <w:p>
      <w:pPr>
        <w:pStyle w:val="Heading3"/>
      </w:pPr>
      <w:r>
        <w:t xml:space="preserve">51.17　内容分析需要处理文化与语言</w:t>
      </w:r>
    </w:p>
    <w:p>
      <w:pPr>
        <w:pStyle w:val="FirstParagraph"/>
      </w:pPr>
      <w:r>
        <w:t xml:space="preserve">梦的报告形式受语言、叙事习惯和文化期待影响。一个常被鼓励记录梦的人，可能报告更多细节；这种差异不一定意味着其夜间体验发生得更多。跨文化研究需要检查测量等价性，不能直接把报告长度当作梦的强度。</w:t>
      </w:r>
    </w:p>
    <w:p>
      <w:pPr>
        <w:pStyle w:val="BodyText"/>
      </w:pPr>
      <w:r>
        <w:t xml:space="preserve">内容分类也存在边界。追逐可以被归为威胁、运动或人际互动，分类规则会改变统计结果。人工编码需要一致性评估，自动语言模型需要独立验证，尤其应检查它是否根据熟悉的文化符号加入了原报告没有的含义。</w:t>
      </w:r>
    </w:p>
    <w:p>
      <w:pPr>
        <w:pStyle w:val="BodyText"/>
      </w:pPr>
      <w:r>
        <w:t xml:space="preserve">如果模型从梦报告预测情绪量表，预测信息可能来自参与者明确写出的悲伤或害怕词语。这个结果具有一定用途，但尚未说明模型能够识别深层病因。需要进一步比较简单词频模型、清醒日记和其他基线信息，判断梦报告究竟增加了什么。</w:t>
      </w:r>
    </w:p>
    <w:bookmarkEnd w:id="1033"/>
    <w:bookmarkStart w:id="1034" w:name="sec-51-18"/>
    <w:p>
      <w:pPr>
        <w:pStyle w:val="Heading3"/>
      </w:pPr>
      <w:r>
        <w:t xml:space="preserve">51.18　梦的功能理论仍需区分层次</w:t>
      </w:r>
    </w:p>
    <w:p>
      <w:pPr>
        <w:pStyle w:val="FirstParagraph"/>
      </w:pPr>
      <w:r>
        <w:t xml:space="preserve">有关梦的理论包括记忆重组、情绪加工、威胁模拟和自发活动的叙事整合等方向。它们可能描述不同层次，也可能在某些预测上竞争。某类内容常见，只能提供现象线索，无法独自证明它具有适应功能。</w:t>
      </w:r>
    </w:p>
    <w:p>
      <w:pPr>
        <w:pStyle w:val="BodyText"/>
      </w:pPr>
      <w:r>
        <w:t xml:space="preserve">要支持功能性解释，需要证明改变相关过程会按预期改变某项独立结局，并尽量区分梦体验与同时发生的睡眠生理。剥夺某阶段会改变许多过程，因此后续记忆下降不能全部归因于没有做梦。</w:t>
      </w:r>
    </w:p>
    <w:p>
      <w:pPr>
        <w:pStyle w:val="BodyText"/>
      </w:pPr>
      <w:r>
        <w:t xml:space="preserve">梦作为研究对象的价值，在于它呈现了外界输入有限时丰富体验如何出现。把这种价值转化为临床或预测承诺时，仍需跨过额外证据环节。现象可以令人惊奇，解释应保持可检验与有边界。</w:t>
      </w:r>
    </w:p>
    <w:bookmarkEnd w:id="1034"/>
    <w:bookmarkStart w:id="1035" w:name="sec-51-19"/>
    <w:p>
      <w:pPr>
        <w:pStyle w:val="Heading3"/>
      </w:pPr>
      <w:r>
        <w:t xml:space="preserve">51.19　梦报告包含私人信息但不等于外部事实</w:t>
      </w:r>
    </w:p>
    <w:p>
      <w:pPr>
        <w:pStyle w:val="FirstParagraph"/>
      </w:pPr>
      <w:r>
        <w:t xml:space="preserve">梦报告可能涉及亲密关系、恐惧、攻击或其他敏感内容。出现某种情节不等于清醒时具有相同意图，也不能直接证明人格或行为。将梦内容用于评价一个人的可信度、职业适合性或道德，会跨过尚无证据支持的推理距离。</w:t>
      </w:r>
    </w:p>
    <w:p>
      <w:pPr>
        <w:pStyle w:val="BodyText"/>
      </w:pPr>
      <w:r>
        <w:t xml:space="preserve">研究者需要考虑参与者是否愿意完整报告。担心被误解的人可能删去内容，形成系统性报告差异。某一人群报告较少某类情节，既可能反映体验差异，也可能与披露意愿有关。对这种资料，缺失本身可能带有信息。</w:t>
      </w:r>
    </w:p>
    <w:p>
      <w:pPr>
        <w:pStyle w:val="BodyText"/>
      </w:pPr>
      <w:r>
        <w:t xml:space="preserve">自动分析还引入新的解释风险。模型可能根据常见故事模式补足逻辑，把原本片段性的内容组织成更连贯的叙事。连贯程度提高并不代表更接近原体验，生成的解释也不应回写为参与者自己的记忆。</w:t>
      </w:r>
    </w:p>
    <w:p>
      <w:pPr>
        <w:pStyle w:val="BodyText"/>
      </w:pPr>
      <w:r>
        <w:t xml:space="preserve">如果要比较不同群体的梦内容，应保留原始报告、明确编码规则，并让评估者尽可能不知道需要比较的个人背景。这里的目的在于减少标签影响，不要求把个人意义完全排除。客观分类和个人联想能够分别研究，但不能混作同一种测量。</w:t>
      </w:r>
    </w:p>
    <w:p>
      <w:pPr>
        <w:pStyle w:val="BodyText"/>
      </w:pPr>
      <w:r>
        <w:t xml:space="preserve">临床使用梦材料时，可以询问它引起什么情绪、如何影响睡眠以及当事人怎样理解它。这样获得的是当下困扰和意义的信息，足以帮助确定一些支持目标。对外部事件的确认，则仍需相应资料。</w:t>
      </w:r>
    </w:p>
    <w:p>
      <w:pPr>
        <w:pStyle w:val="BodyText"/>
      </w:pPr>
      <w:r>
        <w:t xml:space="preserve">梦研究的伦理边界也来自其测量本质：研究访问的是参与者愿意提供的叙述。即使未来神经解码技术更强，推测内容、主观体验与真实生活事件之间仍有层次，不能用一个概率输出取代本人陈述与独立证据。</w:t>
      </w:r>
    </w:p>
    <w:bookmarkEnd w:id="1035"/>
    <w:bookmarkStart w:id="1036" w:name="sec-51-20"/>
    <w:p>
      <w:pPr>
        <w:pStyle w:val="Heading3"/>
      </w:pPr>
      <w:r>
        <w:t xml:space="preserve">51.20　假设例题</w:t>
      </w:r>
    </w:p>
    <w:p>
      <w:pPr>
        <w:pStyle w:val="FirstParagraph"/>
      </w:pPr>
      <w:r>
        <w:t xml:space="preserve">假设一位研究者知道参与者刚经历分手，再把梦中的破门解释为关系结束。解释可能符合个人体验，却没有证明符号具有普遍意义。若要检验词典，应在不知道背景时预测，并比较其他同样可能的解释。</w:t>
      </w:r>
    </w:p>
    <w:p>
      <w:pPr>
        <w:pStyle w:val="BodyText"/>
      </w:pPr>
      <w:r>
        <w:t xml:space="preserve">假设有人事后发现梦中“红色汽车”与一场事故相似，需要知道梦是否事先完整记录、描述有多具体、共有多少未匹配梦和现实事件，以及评估者是否盲法。只展示一个成功故事无法估计预测能力。</w:t>
      </w:r>
    </w:p>
    <w:p>
      <w:pPr>
        <w:pStyle w:val="BodyText"/>
      </w:pPr>
      <w:r>
        <w:t xml:space="preserve">梦境科学能够研究体验与神经活动的关系，也能帮助理解某些临床问题。个人意义、统计关联、神经机制与外部事实的认证，应保持清楚边界。</w:t>
      </w:r>
    </w:p>
    <w:bookmarkEnd w:id="1036"/>
    <w:bookmarkEnd w:id="1037"/>
    <w:bookmarkStart w:id="1059" w:name="ch-52"/>
    <w:p>
      <w:pPr>
        <w:pStyle w:val="Heading2"/>
      </w:pPr>
      <w:r>
        <w:t xml:space="preserve">第52章　脑电节律、频段与认知状态</w:t>
      </w:r>
    </w:p>
    <w:bookmarkStart w:id="1038" w:name="sec-52-1"/>
    <w:p>
      <w:pPr>
        <w:pStyle w:val="Heading3"/>
      </w:pPr>
      <w:r>
        <w:t xml:space="preserve">52.1　脑电测的是什么</w:t>
      </w:r>
    </w:p>
    <w:p>
      <w:pPr>
        <w:pStyle w:val="FirstParagraph"/>
      </w:pPr>
      <w:r>
        <w:t xml:space="preserve">头皮脑电记录的主要是大量排列整齐的皮层锥体神经元在同步活动时，突触后电流叠加形成的宏观电场；它不直接记录单个神经元的放电，也数不出有多少神经元在同时放电，还受参考电极、颅骨导电性以及信号源的方向与深度影响，某个电极下的变化也不能直接定位到它正下方的脑回。研究者按频率把它分成几段：δ（约 1–4 赫兹）、θ（约 4–8 赫兹）、α（约 8–12 赫兹）、β（约 13–30 赫兹）和 γ（约 30 赫兹以上）。分段边界是人为约定，不同实验室略有差异，个人的 α 峰值频率也因年龄和个体各有差异。</w:t>
      </w:r>
    </w:p>
    <w:bookmarkEnd w:id="1038"/>
    <w:bookmarkStart w:id="1039" w:name="sec-52-2"/>
    <w:p>
      <w:pPr>
        <w:pStyle w:val="Heading3"/>
      </w:pPr>
      <w:r>
        <w:t xml:space="preserve">52.2　频段功率怎样解读</w:t>
      </w:r>
    </w:p>
    <w:p>
      <w:pPr>
        <w:pStyle w:val="FirstParagraph"/>
      </w:pPr>
      <w:r>
        <w:t xml:space="preserve">某个频段功率升高，可能反映这一节律的振荡更强、参与同步的神经元更多，也可能只是整个功率谱的背景形状发生了变化。脑电功率谱包含两种成分：在特定频率上突起的周期性振荡，以及随频率升高而平滑下降的非周期成分（常称 1/f 成分）。非周期成分的斜率或整体高度一变，各个频段的功率都会跟着变，看起来就像某个“脑波”增强或减弱；把两种成分分开估计的方法近年才普及</w:t>
      </w:r>
      <w:r>
        <w:rPr>
          <w:vertAlign w:val="superscript"/>
        </w:rPr>
        <w:t xml:space="preserve">[</w:t>
      </w:r>
      <w:hyperlink w:anchor="ref-566">
        <w:r>
          <w:rPr>
            <w:rStyle w:val="Hyperlink"/>
            <w:vertAlign w:val="superscript"/>
          </w:rPr>
          <w:t xml:space="preserve">566</w:t>
        </w:r>
      </w:hyperlink>
      <w:r>
        <w:rPr>
          <w:vertAlign w:val="superscript"/>
        </w:rPr>
        <w:t xml:space="preserve">]</w:t>
      </w:r>
      <w:r>
        <w:t xml:space="preserve">。这也有边界：没有清晰振荡峰时，固定频段的积分功率照样可以变大；分离的结果依赖拟合的频段范围、峰的模型、有没有拐点以及噪声；非周期指数在没有独立验证时，不能定量解读为整个皮层的兴奋抑制比。校正后的指标同样要报告敏感性分析。同一个频段在不同脑区、不同任务中的含义也差别很大。闭眼时枕叶 α 波增强，这是 1929 年就记录到的现象；目前较有影响的解释认为，α 节律与某些任务中的功能性抑制或信息选择有关</w:t>
      </w:r>
      <w:r>
        <w:rPr>
          <w:vertAlign w:val="superscript"/>
        </w:rPr>
        <w:t xml:space="preserve">[</w:t>
      </w:r>
      <w:hyperlink w:anchor="ref-567">
        <w:r>
          <w:rPr>
            <w:rStyle w:val="Hyperlink"/>
            <w:vertAlign w:val="superscript"/>
          </w:rPr>
          <w:t xml:space="preserve">567</w:t>
        </w:r>
      </w:hyperlink>
      <w:r>
        <w:rPr>
          <w:vertAlign w:val="superscript"/>
        </w:rPr>
        <w:t xml:space="preserve">]</w:t>
      </w:r>
      <w:r>
        <w:t xml:space="preserve">，宏观功率升高并不说明某个脑区完全停止了处理；这一解释本身也有争议，直接检验其关键预测的研究不多，结果不一</w:t>
      </w:r>
      <w:r>
        <w:rPr>
          <w:vertAlign w:val="superscript"/>
        </w:rPr>
        <w:t xml:space="preserve">[</w:t>
      </w:r>
      <w:hyperlink w:anchor="ref-568">
        <w:r>
          <w:rPr>
            <w:rStyle w:val="Hyperlink"/>
            <w:vertAlign w:val="superscript"/>
          </w:rPr>
          <w:t xml:space="preserve">568</w:t>
        </w:r>
      </w:hyperlink>
      <w:r>
        <w:rPr>
          <w:vertAlign w:val="superscript"/>
        </w:rPr>
        <w:t xml:space="preserve">]</w:t>
      </w:r>
      <w:r>
        <w:t xml:space="preserve">。额中线 θ 活动是大脑发出“需要加强控制”信号的候选机制</w:t>
      </w:r>
      <w:r>
        <w:rPr>
          <w:vertAlign w:val="superscript"/>
        </w:rPr>
        <w:t xml:space="preserve">[</w:t>
      </w:r>
      <w:hyperlink w:anchor="ref-569">
        <w:r>
          <w:rPr>
            <w:rStyle w:val="Hyperlink"/>
            <w:vertAlign w:val="superscript"/>
          </w:rPr>
          <w:t xml:space="preserve">569</w:t>
        </w:r>
      </w:hyperlink>
      <w:r>
        <w:rPr>
          <w:vertAlign w:val="superscript"/>
        </w:rPr>
        <w:t xml:space="preserve">]</w:t>
      </w:r>
      <w:r>
        <w:t xml:space="preserve">；把 θ 波称为“潜意识”的信号，没有研究依据。</w:t>
      </w:r>
    </w:p>
    <w:bookmarkEnd w:id="1039"/>
    <w:bookmarkStart w:id="1040" w:name="sec-52-3"/>
    <w:p>
      <w:pPr>
        <w:pStyle w:val="Heading3"/>
      </w:pPr>
      <w:r>
        <w:t xml:space="preserve">52.3　高频段与伪迹</w:t>
      </w:r>
    </w:p>
    <w:p>
      <w:pPr>
        <w:pStyle w:val="FirstParagraph"/>
      </w:pPr>
      <w:r>
        <w:t xml:space="preserve">高频段还有一个技术问题。在两名接受完全肌肉松弛的受试者身上，头皮上 20 赫兹以上的功率下降了 10 到 200 倍，说明在那种记录条件下，这一范围的头皮信号大部分来自肌肉电活动</w:t>
      </w:r>
      <w:r>
        <w:rPr>
          <w:vertAlign w:val="superscript"/>
        </w:rPr>
        <w:t xml:space="preserve">[</w:t>
      </w:r>
      <w:hyperlink w:anchor="ref-570">
        <w:r>
          <w:rPr>
            <w:rStyle w:val="Hyperlink"/>
            <w:vertAlign w:val="superscript"/>
          </w:rPr>
          <w:t xml:space="preserve">570</w:t>
        </w:r>
      </w:hyperlink>
      <w:r>
        <w:rPr>
          <w:vertAlign w:val="superscript"/>
        </w:rPr>
        <w:t xml:space="preserve">]</w:t>
      </w:r>
      <w:r>
        <w:t xml:space="preserve">，具体某项研究的污染程度需要各自评估；刺激出现后约 200 到 300 毫秒常见的宽频“诱导性 γ 反应”，可以由眼球微小跳动产生的电位造成</w:t>
      </w:r>
      <w:r>
        <w:rPr>
          <w:vertAlign w:val="superscript"/>
        </w:rPr>
        <w:t xml:space="preserve">[</w:t>
      </w:r>
      <w:hyperlink w:anchor="ref-571">
        <w:r>
          <w:rPr>
            <w:rStyle w:val="Hyperlink"/>
            <w:vertAlign w:val="superscript"/>
          </w:rPr>
          <w:t xml:space="preserve">571</w:t>
        </w:r>
      </w:hyperlink>
      <w:r>
        <w:rPr>
          <w:vertAlign w:val="superscript"/>
        </w:rPr>
        <w:t xml:space="preserve">]</w:t>
      </w:r>
      <w:r>
        <w:t xml:space="preserve">，这同样说明不了所有 γ 都来自眼动。要把高频活动当作冥想等心理状态的特征，研究至少需要报告眼电或眼动、面部和颈部肌电、参考方法、滤波、独立成分分析和数据剔除的规则、保留的数据时长、空间分布，以及数据质量是否随条件改变；独立成分分析只能降低一部分污染，保证不了剩下的信号全部来自大脑。连通性和相干性还要考虑体积传导、共同参考和共同信号源，见</w:t>
      </w:r>
      <w:r>
        <w:t xml:space="preserve"> </w:t>
      </w:r>
      <w:hyperlink w:anchor="sec-52-16">
        <w:r>
          <w:rPr>
            <w:rStyle w:val="Hyperlink"/>
          </w:rPr>
          <w:t xml:space="preserve">52.16</w:t>
        </w:r>
      </w:hyperlink>
      <w:r>
        <w:t xml:space="preserve">。</w:t>
      </w:r>
    </w:p>
    <w:p>
      <w:pPr>
        <w:pStyle w:val="CalloutJudgment"/>
      </w:pPr>
      <w:r>
        <w:rPr>
          <w:bCs/>
          <w:b/>
        </w:rPr>
        <w:t xml:space="preserve">判断　</w:t>
      </w:r>
      <w:r>
        <w:t xml:space="preserve">“每种脑波对应一种心理状态”</w:t>
      </w:r>
      <w:r>
        <w:rPr>
          <w:bCs/>
          <w:b/>
        </w:rPr>
        <w:t xml:space="preserve">错误·高</w:t>
      </w:r>
      <w:r>
        <w:t xml:space="preserve">。频段是描述电活动节律的工具，它的心理含义取决于部位、任务和对照条件。</w:t>
      </w:r>
    </w:p>
    <w:p>
      <w:pPr>
        <w:pStyle w:val="CalloutJudgment"/>
      </w:pPr>
      <w:r>
        <w:rPr>
          <w:bCs/>
          <w:b/>
        </w:rPr>
        <w:t xml:space="preserve">判断　</w:t>
      </w:r>
      <w:r>
        <w:t xml:space="preserve">“α 波 = 放松”</w:t>
      </w:r>
      <w:r>
        <w:rPr>
          <w:bCs/>
          <w:b/>
        </w:rPr>
        <w:t xml:space="preserve">过度简化·高</w:t>
      </w:r>
      <w:r>
        <w:t xml:space="preserve">：α 的含义依部位、任务和对照条件而定；“θ 波 = 潜意识／创造力开关”</w:t>
      </w:r>
      <w:r>
        <w:rPr>
          <w:bCs/>
          <w:b/>
        </w:rPr>
        <w:t xml:space="preserve">错误·高</w:t>
      </w:r>
      <w:r>
        <w:t xml:space="preserve">。冥想研究中的脑电发现见</w:t>
      </w:r>
      <w:hyperlink w:anchor="ch-114">
        <w:r>
          <w:rPr>
            <w:rStyle w:val="Hyperlink"/>
          </w:rPr>
          <w:t xml:space="preserve">第114章</w:t>
        </w:r>
      </w:hyperlink>
      <w:r>
        <w:t xml:space="preserve">。</w:t>
      </w:r>
    </w:p>
    <w:bookmarkEnd w:id="1040"/>
    <w:bookmarkStart w:id="1041" w:name="sec-52-4"/>
    <w:p>
      <w:pPr>
        <w:pStyle w:val="Heading3"/>
      </w:pPr>
      <w:r>
        <w:t xml:space="preserve">52.4　核心判断</w:t>
      </w:r>
    </w:p>
    <w:p>
      <w:pPr>
        <w:pStyle w:val="FirstParagraph"/>
      </w:pPr>
      <w:r>
        <w:t xml:space="preserve">脑电振荡具有重要生理与认知意义，某个频率标签无法单独定义天才、专注、疗愈或情绪状态。外部声音能产生节拍知觉，尚不自动证明全脑以该频率同步，更不自动证明长期能力提高。对拒绝通用频率处方的判断，置信度高。</w:t>
      </w:r>
    </w:p>
    <w:p>
      <w:pPr>
        <w:pStyle w:val="BodyText"/>
      </w:pPr>
      <w:r>
        <w:t xml:space="preserve">需要分开检验刺激、神经响应、心理结果和长期功能。每一层都有自己的测量。若产品只证明使用了某频率，不能跳过后续层次；若用户报告放松，也不能反向确定所宣称的神经同步机制。</w:t>
      </w:r>
    </w:p>
    <w:bookmarkEnd w:id="1041"/>
    <w:bookmarkStart w:id="1042" w:name="sec-52-5"/>
    <w:p>
      <w:pPr>
        <w:pStyle w:val="Heading3"/>
      </w:pPr>
      <w:r>
        <w:t xml:space="preserve">52.5　频率、功率与相位</w:t>
      </w:r>
    </w:p>
    <w:p>
      <w:pPr>
        <w:pStyle w:val="FirstParagraph"/>
      </w:pPr>
      <w:r>
        <w:t xml:space="preserve">频率描述重复变化的速度，功率反映某种频率成分的强度，相位描述周期中所处的位置。两处信号具有相同主频，未必保持稳定相位关系；功率提高，也未必意味着不同区域更同步。把这些量统一称为脑波增强，会丢失关键区别。</w:t>
      </w:r>
    </w:p>
    <w:p>
      <w:pPr>
        <w:pStyle w:val="BodyText"/>
      </w:pPr>
      <w:r>
        <w:t xml:space="preserve">脑电记录来自大量细胞活动和组织传导的综合，头皮电极也受到眼动、肌肉和其他噪声影响。某频段增加需要经过伪迹处理和明确分析。没有质量控制的漂亮频谱，无法直接解释心理状态。</w:t>
      </w:r>
    </w:p>
    <w:p>
      <w:pPr>
        <w:pStyle w:val="BodyText"/>
      </w:pPr>
      <w:r>
        <w:t xml:space="preserve">常用频段边界是分析约定。各频段的大致范围见</w:t>
      </w:r>
      <w:r>
        <w:t xml:space="preserve"> </w:t>
      </w:r>
      <w:hyperlink w:anchor="sec-52-1">
        <w:r>
          <w:rPr>
            <w:rStyle w:val="Hyperlink"/>
          </w:rPr>
          <w:t xml:space="preserve">52.1</w:t>
        </w:r>
      </w:hyperlink>
      <w:r>
        <w:t xml:space="preserve">，不同研究的切分点可以相差一两赫兹。个体峰值和任务条件也可以不同，固定边界可能把一人的峰完整包含，把另一人的峰切开。将一个固定数字写成所有人的最佳频率，需要额外证据。研究者可以采用个体化峰值窗口，但需要足够数据保证峰估计稳定；个体化规则本身应在分析前明确并经过独立验证，不能只在结果最有利时采用。</w:t>
      </w:r>
    </w:p>
    <w:bookmarkEnd w:id="1042"/>
    <w:bookmarkStart w:id="1043" w:name="sec-52-6"/>
    <w:p>
      <w:pPr>
        <w:pStyle w:val="Heading3"/>
      </w:pPr>
      <w:r>
        <w:t xml:space="preserve">52.6　周期成分与非周期背景</w:t>
      </w:r>
    </w:p>
    <w:p>
      <w:pPr>
        <w:pStyle w:val="FirstParagraph"/>
      </w:pPr>
      <w:r>
        <w:t xml:space="preserve">功率谱同时包含周期峰与非周期背景，两者的区别见</w:t>
      </w:r>
      <w:r>
        <w:t xml:space="preserve"> </w:t>
      </w:r>
      <w:hyperlink w:anchor="sec-52-2">
        <w:r>
          <w:rPr>
            <w:rStyle w:val="Hyperlink"/>
          </w:rPr>
          <w:t xml:space="preserve">52.2</w:t>
        </w:r>
      </w:hyperlink>
      <w:r>
        <w:t xml:space="preserve">。Donoghue 等人 2020 年提出把两类成分分开建模的方法，并展示了传统频带分析可能把它们混在一起</w:t>
      </w:r>
      <w:r>
        <w:rPr>
          <w:vertAlign w:val="superscript"/>
        </w:rPr>
        <w:t xml:space="preserve">[</w:t>
      </w:r>
      <w:hyperlink w:anchor="ref-566">
        <w:r>
          <w:rPr>
            <w:rStyle w:val="Hyperlink"/>
            <w:vertAlign w:val="superscript"/>
          </w:rPr>
          <w:t xml:space="preserve">566</w:t>
        </w:r>
      </w:hyperlink>
      <w:r>
        <w:rPr>
          <w:vertAlign w:val="superscript"/>
        </w:rPr>
        <w:t xml:space="preserve">]</w:t>
      </w:r>
      <w:r>
        <w:t xml:space="preserve">。</w:t>
      </w:r>
    </w:p>
    <w:p>
      <w:pPr>
        <w:pStyle w:val="BodyText"/>
      </w:pPr>
      <w:r>
        <w:t xml:space="preserve">这一方法学问题有直接解释后果。假设条件甲与乙都有相同的十赫兹峰，但乙的整个背景更高，直接比较八到十二赫兹总功率会得出乙更高。若研究关心特定振荡，背景差异可能需要另行处理；若研究关心总体信号能量，背景本身又可能是目标，分析选择应由问题决定。如果产品把某频带总功率变化当作特定振荡增强，就可能误认过程。进一步从振荡增强推到学习提升，又增加了一层未验证推断。</w:t>
      </w:r>
    </w:p>
    <w:p>
      <w:pPr>
        <w:pStyle w:val="BodyText"/>
      </w:pPr>
      <w:r>
        <w:t xml:space="preserve">任何参数化方法也有模型假设。拟合的频率范围、数据时长、谱估计、峰宽、峰重叠和噪声都会影响结果。方法改进提高可检验性，不意味着一个算法能够自动给出心理状态或临床诊断。</w:t>
      </w:r>
    </w:p>
    <w:bookmarkEnd w:id="1043"/>
    <w:bookmarkStart w:id="1044" w:name="sec-52-7"/>
    <w:p>
      <w:pPr>
        <w:pStyle w:val="Heading3"/>
      </w:pPr>
      <w:r>
        <w:t xml:space="preserve">52.7　振荡的功能需要回路与任务约束</w:t>
      </w:r>
    </w:p>
    <w:p>
      <w:pPr>
        <w:pStyle w:val="FirstParagraph"/>
      </w:pPr>
      <w:r>
        <w:t xml:space="preserve">不同频率的活动可以参与信息选择、时序协调和记忆处理。Fries提出相干性影响神经群体交流的理论，将频率、相位和兴奋抑制时间结构联系起来</w:t>
      </w:r>
      <w:r>
        <w:rPr>
          <w:vertAlign w:val="superscript"/>
        </w:rPr>
        <w:t xml:space="preserve">[</w:t>
      </w:r>
      <w:hyperlink w:anchor="ref-572">
        <w:r>
          <w:rPr>
            <w:rStyle w:val="Hyperlink"/>
            <w:vertAlign w:val="superscript"/>
          </w:rPr>
          <w:t xml:space="preserve">572</w:t>
        </w:r>
      </w:hyperlink>
      <w:r>
        <w:rPr>
          <w:vertAlign w:val="superscript"/>
        </w:rPr>
        <w:t xml:space="preserve">]</w:t>
      </w:r>
      <w:r>
        <w:t xml:space="preserve">。这是具有具体机制预测的研究框架，不能被简化成某频率等于某种人格或能力。</w:t>
      </w:r>
    </w:p>
    <w:p>
      <w:pPr>
        <w:pStyle w:val="BodyText"/>
      </w:pPr>
      <w:r>
        <w:t xml:space="preserve">同一频带可以在不同部位和任务中承担不同作用。闭眼、动作准备、注意和睡眠状态都可能改变频谱。心理状态无法仅由一个频率名称唯一识别，尤其在缺少任务和基线信息时。</w:t>
      </w:r>
    </w:p>
    <w:p>
      <w:pPr>
        <w:pStyle w:val="BodyText"/>
      </w:pPr>
      <w:r>
        <w:t xml:space="preserve">相关还需要与因果分开。某振荡与良好表现同时出现，可以支持研究假说；人为改变它是否产生收益，需要干预。即使干预有效，还要检查是否通过其他感觉、期待或状态路径起作用。</w:t>
      </w:r>
    </w:p>
    <w:bookmarkEnd w:id="1044"/>
    <w:bookmarkStart w:id="1045" w:name="sec-52-8"/>
    <w:p>
      <w:pPr>
        <w:pStyle w:val="Heading3"/>
      </w:pPr>
      <w:r>
        <w:t xml:space="preserve">52.8　双耳节拍的三个层次</w:t>
      </w:r>
    </w:p>
    <w:p>
      <w:pPr>
        <w:pStyle w:val="FirstParagraph"/>
      </w:pPr>
      <w:r>
        <w:t xml:space="preserve">双耳节拍通常向两耳分别呈现频率略异的声音，听者可感到差频相关的节拍。这是听觉现象。随后需要检验，刺激是否在预定神经指标上产生稳定变化。第三步才是该变化是否改善目标结果。</w:t>
      </w:r>
    </w:p>
    <w:p>
      <w:pPr>
        <w:pStyle w:val="BodyText"/>
      </w:pPr>
      <w:r>
        <w:t xml:space="preserve">商家宣称双耳节拍能把脑波“带入”某个频段，帮助冥想、入睡或专注。一项汇总 22 项研究、35 个效应量的元分析报告，双耳节拍对记忆、注意、焦虑和疼痛有中等的平均效应（g 约 0.45），效应大小随所用频率、暴露时长和暴露时机而变化</w:t>
      </w:r>
      <w:r>
        <w:rPr>
          <w:vertAlign w:val="superscript"/>
        </w:rPr>
        <w:t xml:space="preserve">[</w:t>
      </w:r>
      <w:hyperlink w:anchor="ref-573">
        <w:r>
          <w:rPr>
            <w:rStyle w:val="Hyperlink"/>
            <w:vertAlign w:val="superscript"/>
          </w:rPr>
          <w:t xml:space="preserve">573</w:t>
        </w:r>
      </w:hyperlink>
      <w:r>
        <w:rPr>
          <w:vertAlign w:val="superscript"/>
        </w:rPr>
        <w:t xml:space="preserve">]</w:t>
      </w:r>
      <w:r>
        <w:t xml:space="preserve">；这个平均数合并了不同的结局、任务和人群，不能直接换算成某段声音的临床收益。一项系统综述检查脑电是否真的被“带入”目标频段，14 项脑电研究中 5 项支持、8 项不支持、1 项结果混合</w:t>
      </w:r>
      <w:r>
        <w:rPr>
          <w:vertAlign w:val="superscript"/>
        </w:rPr>
        <w:t xml:space="preserve">[</w:t>
      </w:r>
      <w:hyperlink w:anchor="ref-574">
        <w:r>
          <w:rPr>
            <w:rStyle w:val="Hyperlink"/>
            <w:vertAlign w:val="superscript"/>
          </w:rPr>
          <w:t xml:space="preserve">574</w:t>
        </w:r>
      </w:hyperlink>
      <w:r>
        <w:rPr>
          <w:vertAlign w:val="superscript"/>
        </w:rPr>
        <w:t xml:space="preserve">]</w:t>
      </w:r>
      <w:r>
        <w:t xml:space="preserve">，这是证据分布的计数，没有考虑各研究的精度和偏倚。听到差频的“拍”，与大脑在这个频率上被功能性地带动，是两个不同的命题；行为效应即使存在，也很难归因于“带入”。</w:t>
      </w:r>
    </w:p>
    <w:p>
      <w:pPr>
        <w:pStyle w:val="BodyText"/>
      </w:pPr>
      <w:r>
        <w:t xml:space="preserve">即使某人感到放松，机制也可能包括音乐偏好、减少环境噪声、规律休息和期待。要识别差频本身的额外作用，需要合适声音对照。将无声音作为唯一对照，无法区分所有这些成分。</w:t>
      </w:r>
    </w:p>
    <w:p>
      <w:pPr>
        <w:pStyle w:val="CalloutJudgment"/>
      </w:pPr>
      <w:r>
        <w:rPr>
          <w:bCs/>
          <w:b/>
        </w:rPr>
        <w:t xml:space="preserve">判断　</w:t>
      </w:r>
      <w:r>
        <w:t xml:space="preserve">“双耳节拍能把大脑带入冥想脑波”</w:t>
      </w:r>
      <w:r>
        <w:rPr>
          <w:bCs/>
          <w:b/>
        </w:rPr>
        <w:t xml:space="preserve">证据不足·中</w:t>
      </w:r>
      <w:r>
        <w:t xml:space="preserve">。</w:t>
      </w:r>
    </w:p>
    <w:bookmarkEnd w:id="1045"/>
    <w:bookmarkStart w:id="1046" w:name="sec-52-9"/>
    <w:p>
      <w:pPr>
        <w:pStyle w:val="Heading3"/>
      </w:pPr>
      <w:r>
        <w:t xml:space="preserve">52.9　神经反馈与外部刺激的区别</w:t>
      </w:r>
    </w:p>
    <w:p>
      <w:pPr>
        <w:pStyle w:val="FirstParagraph"/>
      </w:pPr>
      <w:r>
        <w:t xml:space="preserve">神经反馈通常把被测信号转成反馈，参与者尝试改变它；外部刺激直接向感觉系统或神经组织输入能量。普通音频、光刺激、经颅电刺激和临床磁刺激的作用方式、剂量与风险不同。一个技术的有效研究不能自动支持另一种产品。</w:t>
      </w:r>
    </w:p>
    <w:p>
      <w:pPr>
        <w:pStyle w:val="BodyText"/>
      </w:pPr>
      <w:r>
        <w:t xml:space="preserve">神经反馈也需要验证反馈确实对应目标信号。若算法受到眼动或肌肉影响，参与者可能通过眨眼、肌肉紧张或姿势改变来抬高分数，实际学会的是改变伪迹。即使成功调节信号，还需要证明症状或能力改善，并与可信的假反馈或其他训练比较；行为迁移与盲法评分可以帮助判断。</w:t>
      </w:r>
    </w:p>
    <w:p>
      <w:pPr>
        <w:pStyle w:val="BodyText"/>
      </w:pPr>
      <w:r>
        <w:t xml:space="preserve">对健康学习者的短时表现研究，与疾病治疗试验属于不同问题。疗愈一词若没有明确诊断、结局和随访，就无法评价。临床结论需要适当人群、标准化测量和不良事件报告。</w:t>
      </w:r>
    </w:p>
    <w:bookmarkEnd w:id="1046"/>
    <w:bookmarkStart w:id="1047" w:name="sec-52-10"/>
    <w:p>
      <w:pPr>
        <w:pStyle w:val="Heading3"/>
      </w:pPr>
      <w:r>
        <w:t xml:space="preserve">52.10　盲法与期待</w:t>
      </w:r>
    </w:p>
    <w:p>
      <w:pPr>
        <w:pStyle w:val="FirstParagraph"/>
      </w:pPr>
      <w:r>
        <w:t xml:space="preserve">声音体验不同，参与者可能猜到分组。若他们知道某段音频被宣传为专注，主观评分可能受到期待影响。研究应尽量使对照听起来可信，并记录分组猜测与期待。</w:t>
      </w:r>
    </w:p>
    <w:p>
      <w:pPr>
        <w:pStyle w:val="BodyText"/>
      </w:pPr>
      <w:r>
        <w:t xml:space="preserve">主观专注和客观表现可以分离。一个人觉得轻松，未必记得更多；一个任务感觉困难，也可能带来较好保持。研究应预先规定主要结果，避免只选择与期待一致的指标。</w:t>
      </w:r>
    </w:p>
    <w:p>
      <w:pPr>
        <w:pStyle w:val="BodyText"/>
      </w:pPr>
      <w:r>
        <w:t xml:space="preserve">盲法失败并不必然使所有结果无效，但会降低对特殊机制的确定性。尤其当主要结局完全依赖自报时，需要更严格地评估期待和观察偏倚。</w:t>
      </w:r>
    </w:p>
    <w:bookmarkEnd w:id="1047"/>
    <w:bookmarkStart w:id="1048" w:name="sec-52-11"/>
    <w:p>
      <w:pPr>
        <w:pStyle w:val="Heading3"/>
      </w:pPr>
      <w:r>
        <w:t xml:space="preserve">52.11　频率特效的强检验</w:t>
      </w:r>
    </w:p>
    <w:p>
      <w:pPr>
        <w:pStyle w:val="FirstParagraph"/>
      </w:pPr>
      <w:r>
        <w:t xml:space="preserve">如果理论预测某个频率最有效，可以在相近频率、相同音量、相似体验条件下比较，并预先规定效果曲线。若任何频率都可以被解释成调节了某个需要的状态，理论便缺少区分能力。</w:t>
      </w:r>
    </w:p>
    <w:p>
      <w:pPr>
        <w:pStyle w:val="BodyText"/>
      </w:pPr>
      <w:r>
        <w:t xml:space="preserve">个体化理论还应说明如何在训练前选择参数。事后为每个人挑选表现最好的频率，再宣称个体化有效，会受到多次尝试与偶然波动影响。选择阶段与验证阶段应分开。</w:t>
      </w:r>
    </w:p>
    <w:p>
      <w:pPr>
        <w:pStyle w:val="BodyText"/>
      </w:pPr>
      <w:r>
        <w:t xml:space="preserve">长期能力提升的研究还要测量停止刺激后的保持和迁移。若效果只在听音时出现，可能属于状态支持；若离开刺激后仍能在新任务获益，才更接近能力改变。两者都可以有价值，但承诺应与证据一致。</w:t>
      </w:r>
    </w:p>
    <w:bookmarkEnd w:id="1048"/>
    <w:bookmarkStart w:id="1049" w:name="sec-52-12"/>
    <w:p>
      <w:pPr>
        <w:pStyle w:val="Heading3"/>
      </w:pPr>
      <w:r>
        <w:t xml:space="preserve">52.12　一个产品评价实例</w:t>
      </w:r>
    </w:p>
    <w:p>
      <w:pPr>
        <w:pStyle w:val="FirstParagraph"/>
      </w:pPr>
      <w:r>
        <w:t xml:space="preserve">设想某应用提供40赫兹学习模式。首先需要确定40赫兹指声学载波、振幅调制、双耳差频还是设备刺激参数。这些对象不同。随后检查它是否在人体中产生了预定响应，是否有主动对照和独立重复。</w:t>
      </w:r>
    </w:p>
    <w:p>
      <w:pPr>
        <w:pStyle w:val="BodyText"/>
      </w:pPr>
      <w:r>
        <w:t xml:space="preserve">若宣传借用某疾病模型的动物研究，需要说明物种、病理、刺激方式和结局是否相同。动物的细胞或病理标志变化，不能直接证明健康学生学习更好。对特定疾病的潜力也不能扩展成通用增智。</w:t>
      </w:r>
    </w:p>
    <w:p>
      <w:pPr>
        <w:pStyle w:val="BodyText"/>
      </w:pPr>
      <w:r>
        <w:t xml:space="preserve">最后，使用与目标一致的行为测验。学习模式应测量理解、延迟保持和迁移；放松模式应说明测量主观舒适还是症状；睡眠模式应同时测睡眠质量和次日功能。频率本身只描述输入的一部分。</w:t>
      </w:r>
    </w:p>
    <w:bookmarkEnd w:id="1049"/>
    <w:bookmarkStart w:id="1050" w:name="sec-52-13"/>
    <w:p>
      <w:pPr>
        <w:pStyle w:val="Heading3"/>
      </w:pPr>
      <w:r>
        <w:t xml:space="preserve">52.13　从电流到头皮电压</w:t>
      </w:r>
    </w:p>
    <w:p>
      <w:pPr>
        <w:pStyle w:val="FirstParagraph"/>
      </w:pPr>
      <w:r>
        <w:t xml:space="preserve">神经活动产生跨膜电流，许多来源经过组织传播和空间叠加，形成电极记录到的电位差。头皮脑电因此是多个来源的混合，细胞排列、同步程度、距离和参考方式都会影响信号。Buzsáki等对场电位生成机制的综合说明了不同电信号与细胞过程之间的联系和限制</w:t>
      </w:r>
      <w:r>
        <w:rPr>
          <w:vertAlign w:val="superscript"/>
        </w:rPr>
        <w:t xml:space="preserve">[</w:t>
      </w:r>
      <w:hyperlink w:anchor="ref-575">
        <w:r>
          <w:rPr>
            <w:rStyle w:val="Hyperlink"/>
            <w:vertAlign w:val="superscript"/>
          </w:rPr>
          <w:t xml:space="preserve">575</w:t>
        </w:r>
      </w:hyperlink>
      <w:r>
        <w:rPr>
          <w:vertAlign w:val="superscript"/>
        </w:rPr>
        <w:t xml:space="preserve">]</w:t>
      </w:r>
      <w:r>
        <w:t xml:space="preserve">。</w:t>
      </w:r>
    </w:p>
    <w:p>
      <w:pPr>
        <w:pStyle w:val="BodyText"/>
      </w:pPr>
      <w:r>
        <w:t xml:space="preserve">电极上的振幅增加可以涉及来源强度变化，也可以涉及更多细胞在相近时序活动，或者多个来源相互抵消减少。电极位置相同不保证来源完全相同。解释某个头皮区域信号时，需要考虑体积传导和源定位的不适定性：不同源组合可能产生相近的表面分布。</w:t>
      </w:r>
    </w:p>
    <w:p>
      <w:pPr>
        <w:pStyle w:val="BodyText"/>
      </w:pPr>
      <w:r>
        <w:t xml:space="preserve">参考电极也参与结果。脑电记录的是两个位置之间的差，改变参考会改变各通道波形。某种参考适合某类分析，也可能引入特定共享成分。报告应说明参考、滤波、采样和伪迹处理，让读者知道比较的信号经过怎样的变换。</w:t>
      </w:r>
    </w:p>
    <w:bookmarkEnd w:id="1050"/>
    <w:bookmarkStart w:id="1051" w:name="sec-52-14"/>
    <w:p>
      <w:pPr>
        <w:pStyle w:val="Heading3"/>
      </w:pPr>
      <w:r>
        <w:t xml:space="preserve">52.14　频率分解的数学含义</w:t>
      </w:r>
    </w:p>
    <w:p>
      <w:pPr>
        <w:pStyle w:val="FirstParagraph"/>
      </w:pPr>
      <w:r>
        <w:t xml:space="preserve">频谱把时间序列表示为不同频率成分的组合。一个十赫兹正弦波每秒完成十个周期，周期为零点一秒。真实脑信号通常包含瞬时事件、非正弦波形、噪声和非平稳变化。频谱中的峰说明某个频率范围具有较强结构，不能直接给出心理内容。</w:t>
      </w:r>
    </w:p>
    <w:p>
      <w:pPr>
        <w:pStyle w:val="BodyText"/>
      </w:pPr>
      <w:r>
        <w:t xml:space="preserve">观察窗口影响频率分辨率。粗略地说，较长时间窗能够区分更接近的频率，却会平均掉较快的时间变化；较短窗口更易定位变化发生时刻，频率估计则较粗。时间频率分析需要根据问题选择权衡。不同窗口产生的结果差异可能来自分析设置。</w:t>
      </w:r>
    </w:p>
    <w:p>
      <w:pPr>
        <w:pStyle w:val="BodyText"/>
      </w:pPr>
      <w:r>
        <w:t xml:space="preserve">采样率还限制可解析的频率范围。理想条件下，采样率必须超过目标最高频率的两倍，并配合适当抗混叠处理。若高频成分在采样前没有控制，它们可能折叠到较低频段。设备显示一个频段名称，并不能保证采集与处理满足研究要求。</w:t>
      </w:r>
    </w:p>
    <w:bookmarkEnd w:id="1051"/>
    <w:bookmarkStart w:id="1052" w:name="sec-52-15"/>
    <w:p>
      <w:pPr>
        <w:pStyle w:val="Heading3"/>
      </w:pPr>
      <w:r>
        <w:t xml:space="preserve">52.15　波形与谐波</w:t>
      </w:r>
    </w:p>
    <w:p>
      <w:pPr>
        <w:pStyle w:val="FirstParagraph"/>
      </w:pPr>
      <w:r>
        <w:t xml:space="preserve">一个周期性波形偏离完美正弦时，会包含基频及谐波。尖锐的周期波可以在多个整数倍频率上出现功率，因此多个频段峰未必来自多个独立振荡源。分析需要检查时域波形和相位关系，避免把单一非正弦过程拆成多个心理机制。</w:t>
      </w:r>
    </w:p>
    <w:p>
      <w:pPr>
        <w:pStyle w:val="BodyText"/>
      </w:pPr>
      <w:r>
        <w:t xml:space="preserve">瞬时尖峰也会在较宽频率范围产生能量。肌肉活动、眼动和运动伪迹可能被算法显示为高频功率。Yuval-Greenberg等通过同步眼动记录说明（另见</w:t>
      </w:r>
      <w:r>
        <w:t xml:space="preserve"> </w:t>
      </w:r>
      <w:hyperlink w:anchor="sec-52-3">
        <w:r>
          <w:rPr>
            <w:rStyle w:val="Hyperlink"/>
          </w:rPr>
          <w:t xml:space="preserve">52.3</w:t>
        </w:r>
      </w:hyperlink>
      <w:r>
        <w:t xml:space="preserve">），一类常见头皮瞬时伽马反应与微小眼跳有关</w:t>
      </w:r>
      <w:r>
        <w:rPr>
          <w:vertAlign w:val="superscript"/>
        </w:rPr>
        <w:t xml:space="preserve">[</w:t>
      </w:r>
      <w:hyperlink w:anchor="ref-571">
        <w:r>
          <w:rPr>
            <w:rStyle w:val="Hyperlink"/>
            <w:vertAlign w:val="superscript"/>
          </w:rPr>
          <w:t xml:space="preserve">571</w:t>
        </w:r>
      </w:hyperlink>
      <w:r>
        <w:rPr>
          <w:vertAlign w:val="superscript"/>
        </w:rPr>
        <w:t xml:space="preserve">]</w:t>
      </w:r>
      <w:r>
        <w:t xml:space="preserve">。这个发现要求针对伪迹做验证，同时不能推广成所有神经伽马活动都由眼动产生。</w:t>
      </w:r>
    </w:p>
    <w:p>
      <w:pPr>
        <w:pStyle w:val="BodyText"/>
      </w:pPr>
      <w:r>
        <w:t xml:space="preserve">伪迹处理也可能损伤真实信号。过度删除成分或使用不合适滤波，可能改变波形和相位。研究需要报告处理规则、保留数据比例与敏感性分析。消费者设备若把信号压成单个专注分数，用户通常看不到这些中间判断，因此更需要独立验证。</w:t>
      </w:r>
    </w:p>
    <w:bookmarkEnd w:id="1052"/>
    <w:bookmarkStart w:id="1053" w:name="sec-52-16"/>
    <w:p>
      <w:pPr>
        <w:pStyle w:val="Heading3"/>
      </w:pPr>
      <w:r>
        <w:t xml:space="preserve">52.16　功率、相位与相干性</w:t>
      </w:r>
    </w:p>
    <w:p>
      <w:pPr>
        <w:pStyle w:val="FirstParagraph"/>
      </w:pPr>
      <w:r>
        <w:t xml:space="preserve">功率与相位的含义见</w:t>
      </w:r>
      <w:r>
        <w:t xml:space="preserve"> </w:t>
      </w:r>
      <w:hyperlink w:anchor="sec-52-5">
        <w:r>
          <w:rPr>
            <w:rStyle w:val="Hyperlink"/>
          </w:rPr>
          <w:t xml:space="preserve">52.5</w:t>
        </w:r>
      </w:hyperlink>
      <w:r>
        <w:t xml:space="preserve">，功率通常与振幅平方有关；相干性描述两个信号在某频率上的稳定关系。两个区域都具有较高功率，并不保证它们相位协调。相反，功率不大时也可能存在稳定时序关系，只是测量更困难。</w:t>
      </w:r>
    </w:p>
    <w:p>
      <w:pPr>
        <w:pStyle w:val="BodyText"/>
      </w:pPr>
      <w:r>
        <w:t xml:space="preserve">在一个教学例子中，两条十赫兹波振幅相同，若始终同相叠加，合成振幅较大；若始终反相，合成信号可能减小。源本身活动没有减少，表面记录却变小。这个数学例子说明，混合信号的振幅与单个来源的活动不能简单等同。</w:t>
      </w:r>
    </w:p>
    <w:p>
      <w:pPr>
        <w:pStyle w:val="BodyText"/>
      </w:pPr>
      <w:r>
        <w:t xml:space="preserve">相干性也无法自动证明直接通信。共同输入、同一源的体积传导和参考共享，都可能使两个通道相关。方向性分析、时延、源模型和实验操纵可以提供更多信息，但各自依赖假设。科学报告应避免把相关连接图当成确定的信息流路线。</w:t>
      </w:r>
    </w:p>
    <w:bookmarkEnd w:id="1053"/>
    <w:bookmarkStart w:id="1054" w:name="sec-52-17"/>
    <w:p>
      <w:pPr>
        <w:pStyle w:val="Heading3"/>
      </w:pPr>
      <w:r>
        <w:t xml:space="preserve">52.17　外部节律与神经响应</w:t>
      </w:r>
    </w:p>
    <w:p>
      <w:pPr>
        <w:pStyle w:val="FirstParagraph"/>
      </w:pPr>
      <w:r>
        <w:t xml:space="preserve">周期性声音或光刺激可以诱发与刺激时间锁定的反应。观察到相同频率的脑信号，可能反映每次刺激引起的重复反应，也可能涉及内在节律的相位调整。区分这两种机制需要考察刺激停止后持续性、相位动态、非周期条件和其他预测。</w:t>
      </w:r>
    </w:p>
    <w:p>
      <w:pPr>
        <w:pStyle w:val="BodyText"/>
      </w:pPr>
      <w:r>
        <w:t xml:space="preserve">刺激参数还包括强度、持续时间、背景声音、耳机呈现和参与者听觉特征。一个研究中的参数组合不能缩成“某赫兹提高专注”。任务、状态与个体差异可能调节结果，现有双耳节拍研究的异质性正体现了这种复杂性</w:t>
      </w:r>
      <w:r>
        <w:rPr>
          <w:vertAlign w:val="superscript"/>
        </w:rPr>
        <w:t xml:space="preserve">[</w:t>
      </w:r>
      <w:hyperlink w:anchor="ref-574">
        <w:r>
          <w:rPr>
            <w:rStyle w:val="Hyperlink"/>
            <w:vertAlign w:val="superscript"/>
          </w:rPr>
          <w:t xml:space="preserve">574</w:t>
        </w:r>
      </w:hyperlink>
      <w:r>
        <w:rPr>
          <w:vertAlign w:val="superscript"/>
        </w:rPr>
        <w:t xml:space="preserve">]</w:t>
      </w:r>
      <w:r>
        <w:t xml:space="preserve">。</w:t>
      </w:r>
    </w:p>
    <w:bookmarkEnd w:id="1054"/>
    <w:bookmarkStart w:id="1055" w:name="sec-52-18"/>
    <w:p>
      <w:pPr>
        <w:pStyle w:val="Heading3"/>
      </w:pPr>
      <w:r>
        <w:t xml:space="preserve">52.18　分类器分数与心理状态</w:t>
      </w:r>
    </w:p>
    <w:p>
      <w:pPr>
        <w:pStyle w:val="FirstParagraph"/>
      </w:pPr>
      <w:r>
        <w:t xml:space="preserve">设备可能用机器学习把脑电特征转换成放松或专注分数。分类器在训练数据中学到的是标签与特征的统计关系，标签质量决定目标含义。若标签来自闭眼与睁眼，分类器可能主要识别眼睛状态；若标签来自容易与困难任务，它可能混合负荷、动作和努力。</w:t>
      </w:r>
    </w:p>
    <w:p>
      <w:pPr>
        <w:pStyle w:val="BodyText"/>
      </w:pPr>
      <w:r>
        <w:t xml:space="preserve">验证需要在新参与者、新时间和真实任务中检验，避免同一人的相邻数据同时进入训练与测试造成信息泄漏。分类准确率还依赖类别比例，持续输出的平滑分数也可能掩盖短时错误。界面数值看起来平稳，不等于测量稳定。</w:t>
      </w:r>
    </w:p>
    <w:bookmarkEnd w:id="1055"/>
    <w:bookmarkStart w:id="1056" w:name="sec-52-19"/>
    <w:p>
      <w:pPr>
        <w:pStyle w:val="Heading3"/>
      </w:pPr>
      <w:r>
        <w:t xml:space="preserve">52.19　频谱推理练习</w:t>
      </w:r>
    </w:p>
    <w:p>
      <w:pPr>
        <w:pStyle w:val="FirstParagraph"/>
      </w:pPr>
      <w:r>
        <w:t xml:space="preserve">练习一：两个条件的阿尔法频带功率不同，至少列出四种可能解释。解析：真实振荡峰强度变化、背景变化、个体峰位置变化、来源混合变化、眼睛状态或其他伪迹，都可能贡献。下一步应依据设计和信号特征区分。</w:t>
      </w:r>
    </w:p>
    <w:p>
      <w:pPr>
        <w:pStyle w:val="BodyText"/>
      </w:pPr>
      <w:r>
        <w:t xml:space="preserve">练习二：刺激频率为四十赫兹，记录中也出现四十赫兹成分，能否证明内在振荡被持久重塑？解析：重复诱发反应已能产生该成分，需要考察刺激后持续性、相位动力学和适当控制。行为改善还需独立测量。</w:t>
      </w:r>
    </w:p>
    <w:p>
      <w:pPr>
        <w:pStyle w:val="BodyText"/>
      </w:pPr>
      <w:r>
        <w:t xml:space="preserve">练习三：某人闭眼后设备专注分数升高，如何解释？解析：闭眼改变视觉输入、眼动与某些频谱特征，分类器可能对这些变化敏感。没有独立任务表现，分数无法确定专注能力提高。</w:t>
      </w:r>
    </w:p>
    <w:bookmarkEnd w:id="1056"/>
    <w:bookmarkStart w:id="1057" w:name="sec-52-20"/>
    <w:p>
      <w:pPr>
        <w:pStyle w:val="Heading3"/>
      </w:pPr>
      <w:r>
        <w:t xml:space="preserve">52.20　混叠与滤波的数值练习</w:t>
      </w:r>
    </w:p>
    <w:p>
      <w:pPr>
        <w:pStyle w:val="FirstParagraph"/>
      </w:pPr>
      <w:r>
        <w:t xml:space="preserve">设一个设备每秒采样一百次，却记录到未经过充分抗混叠处理的七十赫兹成分。离散采样可能使该成分表现为三十赫兹附近的模式。若研究者只看最终频谱，可能把它归入另一个频带。正确的硬件与采集处理需要在采样之前控制超出可解析范围的信号。</w:t>
      </w:r>
    </w:p>
    <w:p>
      <w:pPr>
        <w:pStyle w:val="BodyText"/>
      </w:pPr>
      <w:r>
        <w:t xml:space="preserve">再设一个尖锐瞬时事件经过带通滤波后出现数个相似波峰。滤波器可以使瞬时变化呈现振铃，输出看起来像短暂振荡。要判断是否存在真实周期过程，需要查看原始波形、滤波设置和相应模拟。视觉上像波浪并不足够。</w:t>
      </w:r>
    </w:p>
    <w:p>
      <w:pPr>
        <w:pStyle w:val="BodyText"/>
      </w:pPr>
      <w:r>
        <w:t xml:space="preserve">相位分析还需要注意滤波延迟。某些在线滤波会让信号滞后，离线双向滤波又可能使用事件之后的数据。若研究声称实时预测下一脑状态，应使用真正因果的处理流程评估。离线重建精度不能直接代表在线设备表现。</w:t>
      </w:r>
    </w:p>
    <w:p>
      <w:pPr>
        <w:pStyle w:val="BodyText"/>
      </w:pPr>
      <w:r>
        <w:t xml:space="preserve">练习：一款耳机宣称测得用户进入固定“学习频率”，但未公布采样率、参考、伪迹处理和独立任务验证，能否据此安排学习？解析：当前信息无法确定信号质量和心理含义。即使频率测量准确，学习效果仍需单独验证。频谱是信号描述，教育决策需要与目标表现连接。</w:t>
      </w:r>
    </w:p>
    <w:p>
      <w:pPr>
        <w:pStyle w:val="BodyText"/>
      </w:pPr>
      <w:r>
        <w:t xml:space="preserve">这些技术细节的目的在于理解证据，普通学习者无需自行完成脑电分析。面对产品主张，可以要求其提供完整、独立、目标明确的验证资料。一个直观分数的可信度取决于其背后的测量链。</w:t>
      </w:r>
    </w:p>
    <w:bookmarkEnd w:id="1057"/>
    <w:bookmarkStart w:id="1058" w:name="sec-52-21"/>
    <w:p>
      <w:pPr>
        <w:pStyle w:val="Heading3"/>
      </w:pPr>
      <w:r>
        <w:t xml:space="preserve">52.21　学习检验与结论</w:t>
      </w:r>
    </w:p>
    <w:p>
      <w:pPr>
        <w:pStyle w:val="FirstParagraph"/>
      </w:pPr>
      <w:r>
        <w:t xml:space="preserve">练习：同频活动出现于专注任务，是否意味着播放同频声音会提高专注？解答：相关到因果、感觉输入到回路活动、回路活动到行为收益，都需要证据。</w:t>
      </w:r>
    </w:p>
    <w:p>
      <w:pPr>
        <w:pStyle w:val="BodyText"/>
      </w:pPr>
      <w:r>
        <w:t xml:space="preserve">练习：用户觉得有效，能否否定其体验？解答：体验可以真实存在，特殊机制和普遍疗效仍需独立验证。</w:t>
      </w:r>
    </w:p>
    <w:p>
      <w:pPr>
        <w:pStyle w:val="BodyText"/>
      </w:pPr>
      <w:r>
        <w:t xml:space="preserve">脑波研究的精确性来自时空位置、信号性质、任务和干预条件。将它压缩成通用心理频率，会损失最有解释力的部分。</w:t>
      </w:r>
    </w:p>
    <w:bookmarkEnd w:id="1058"/>
    <w:bookmarkEnd w:id="1059"/>
    <w:bookmarkStart w:id="1076" w:name="ch-53"/>
    <w:p>
      <w:pPr>
        <w:pStyle w:val="Heading2"/>
      </w:pPr>
      <w:r>
        <w:t xml:space="preserve">第53章　无意识加工与行为控制</w:t>
      </w:r>
    </w:p>
    <w:bookmarkStart w:id="1060" w:name="sec-53-1"/>
    <w:p>
      <w:pPr>
        <w:pStyle w:val="Heading3"/>
      </w:pPr>
      <w:r>
        <w:t xml:space="preserve">53.1　百分比需要一个可以计数的总体</w:t>
      </w:r>
    </w:p>
    <w:p>
      <w:pPr>
        <w:pStyle w:val="FirstParagraph"/>
      </w:pPr>
      <w:r>
        <w:t xml:space="preserve">“潜意识控制百分之九十五的行为”声称了全域比例。要检验它，必须先定义行为单位、观察时间、意识标准和多种过程共同作用时的分类规则。一次购物可以作为一个行为，也可以拆成寻找、比较、点击、付款，进一步拆成眼动和手指动作，甚至每一次感觉计算。分母改变，比例就会改变，不同层级的比例也不能相互换算。若分类规则允许同一行动同时包含有意识目标和自动化步骤，两个类别还可能重叠；没有排他分类规则时，两个百分比之和甚至不必等于百分之百。</w:t>
      </w:r>
    </w:p>
    <w:p>
      <w:pPr>
        <w:pStyle w:val="BodyText"/>
      </w:pPr>
      <w:r>
        <w:t xml:space="preserve">日常词语“潜意识”涵盖多种科学上不同的问题：未达到报告阈值的视觉刺激、熟练动作、无法口述的统计规律学习、暂时未进入注意的信息、事后无法准确解释的选择原因，以及某些心理理论中的被排除内容。把这些现象合并计算，会失去机制上的可解释性。科学交流应直接说明讨论哪一类加工及其测量方法。</w:t>
      </w:r>
    </w:p>
    <w:p>
      <w:pPr>
        <w:pStyle w:val="BodyText"/>
      </w:pPr>
      <w:r>
        <w:t xml:space="preserve">对某些信息加工可以在缺少可报告意识时发生，证据置信度高；具体加工的复杂程度、持续时间和作用范围仍受任务条件约束。对全部行为具有一个稳定的百分之九十五无意识控制比例，可靠总体测量尚未建立；将该数字作为已确立科学事实的支持度低。这个界限同时保留了无意识研究的价值和数字主张的举证责任</w:t>
      </w:r>
      <w:r>
        <w:rPr>
          <w:vertAlign w:val="superscript"/>
        </w:rPr>
        <w:t xml:space="preserve">[</w:t>
      </w:r>
      <w:hyperlink w:anchor="ref-576">
        <w:r>
          <w:rPr>
            <w:rStyle w:val="Hyperlink"/>
            <w:vertAlign w:val="superscript"/>
          </w:rPr>
          <w:t xml:space="preserve">576</w:t>
        </w:r>
      </w:hyperlink>
      <w:r>
        <w:rPr>
          <w:vertAlign w:val="superscript"/>
        </w:rPr>
        <w:t xml:space="preserve">,</w:t>
      </w:r>
      <w:hyperlink w:anchor="ref-577">
        <w:r>
          <w:rPr>
            <w:rStyle w:val="Hyperlink"/>
            <w:vertAlign w:val="superscript"/>
          </w:rPr>
          <w:t xml:space="preserve">577</w:t>
        </w:r>
      </w:hyperlink>
      <w:r>
        <w:rPr>
          <w:vertAlign w:val="superscript"/>
        </w:rPr>
        <w:t xml:space="preserve">]</w:t>
      </w:r>
      <w:r>
        <w:t xml:space="preserve">。科学上可行的是局部问题，例如在某种任务中操纵可报告信息后选择概率怎样改变，或者在双任务负荷下某项熟练反应保持到什么程度。局部估计可以明确重复，无法自动扩展成覆盖全部人生的一个数字。</w:t>
      </w:r>
    </w:p>
    <w:bookmarkEnd w:id="1060"/>
    <w:bookmarkStart w:id="1061" w:name="sec-53-2"/>
    <w:p>
      <w:pPr>
        <w:pStyle w:val="Heading3"/>
      </w:pPr>
      <w:r>
        <w:t xml:space="preserve">53.2　意识报告与客观表现</w:t>
      </w:r>
    </w:p>
    <w:p>
      <w:pPr>
        <w:pStyle w:val="FirstParagraph"/>
      </w:pPr>
      <w:r>
        <w:t xml:space="preserve">知觉意识实验可以缩短刺激呈现时间、加入掩蔽，或者利用注意竞争改变刺激可见度。参与者随后报告看到了什么、判断刺激属性，并评价清晰程度。主观报告与客观辨别为不同证据来源：一个人可能声称没看见，却在强迫选择中略高于机会水平；也可能感觉模糊看见，却无法可靠判断所问属性</w:t>
      </w:r>
      <w:r>
        <w:rPr>
          <w:vertAlign w:val="superscript"/>
        </w:rPr>
        <w:t xml:space="preserve">[</w:t>
      </w:r>
      <w:hyperlink w:anchor="ref-576">
        <w:r>
          <w:rPr>
            <w:rStyle w:val="Hyperlink"/>
            <w:vertAlign w:val="superscript"/>
          </w:rPr>
          <w:t xml:space="preserve">576</w:t>
        </w:r>
      </w:hyperlink>
      <w:r>
        <w:rPr>
          <w:vertAlign w:val="superscript"/>
        </w:rPr>
        <w:t xml:space="preserve">]</w:t>
      </w:r>
      <w:r>
        <w:t xml:space="preserve">。</w:t>
      </w:r>
    </w:p>
    <w:p>
      <w:pPr>
        <w:pStyle w:val="BodyText"/>
      </w:pPr>
      <w:r>
        <w:t xml:space="preserve">解释上述分离时，需要检查测量灵敏度。意识问题是否针对同一个刺激属性，询问是否及时，主观量表是否让参与者把“清楚看见”作为唯一肯定标准，客观任务是否混入额外线索，都会影响结论。若意识测量本身噪声大，研究容易把微弱但存在的信息利用归入“完全无意识”。这类测量问题需要设计解决，不能仅凭参与者一句“不知道”确定全部过程。</w:t>
      </w:r>
    </w:p>
    <w:p>
      <w:pPr>
        <w:pStyle w:val="BodyText"/>
      </w:pPr>
      <w:r>
        <w:t xml:space="preserve">一个假设例子有助于理解。参与者判断屏幕闪过的箭头朝向，正确率为百分之五十二，统计上未显著高于百分之五十。这个结果可能与机会表现一致，也可能由于样本不足而无法检测小效应。要支持“实际接近机会水平”，可以事先设定有意义的等效范围并进行相应分析。未获得显著性不能单独证明意识信息严格为零。</w:t>
      </w:r>
    </w:p>
    <w:bookmarkEnd w:id="1061"/>
    <w:bookmarkStart w:id="1062" w:name="sec-53-3"/>
    <w:p>
      <w:pPr>
        <w:pStyle w:val="Heading3"/>
      </w:pPr>
      <w:r>
        <w:t xml:space="preserve">53.3　自动化可以拆成多个维度</w:t>
      </w:r>
    </w:p>
    <w:p>
      <w:pPr>
        <w:pStyle w:val="FirstParagraph"/>
      </w:pPr>
      <w:r>
        <w:t xml:space="preserve">熟练行为常被称为自动化，但自动化可以分别涉及速度快、需要较少注意、无需明确意图即可启动、难以停止、无法详细口述过程等特征。这些特征可能同时出现，也可能分离。熟练打字很快，仍可以受有意识目标控制；一段干扰性旋律可以不由自主出现，却未必提高任何任务效率。</w:t>
      </w:r>
    </w:p>
    <w:p>
      <w:pPr>
        <w:pStyle w:val="BodyText"/>
      </w:pPr>
      <w:r>
        <w:t xml:space="preserve">因此，研究自动化需要具体的操作。若主张某过程不依赖注意，可加入有明确负荷操纵的第二任务；若主张无法抑制，可让参与者尝试停止并测量残留影响；若主张无需意识，可使用适当的意识测量。不同测试互相补充。把“速度快”直接当成“完全无意识且不可控制”，会越过多个尚未检验的步骤。</w:t>
      </w:r>
    </w:p>
    <w:p>
      <w:pPr>
        <w:pStyle w:val="BodyText"/>
      </w:pPr>
      <w:r>
        <w:t xml:space="preserve">有意识目标与熟练操作能够协同。驾驶者选择目的地、遵守路线，再以熟练的动作控制车辆；突发道路变化要求重新配置注意和动作。这个层级模型帮助解释为什么人无须逐一口述每次肌肉调整，又仍能对目的地和安全规则承担计划与监控。日常行动的组织涉及多个时间尺度。</w:t>
      </w:r>
    </w:p>
    <w:bookmarkEnd w:id="1062"/>
    <w:bookmarkStart w:id="1063" w:name="sec-53-4"/>
    <w:p>
      <w:pPr>
        <w:pStyle w:val="Heading3"/>
      </w:pPr>
      <w:r>
        <w:t xml:space="preserve">53.4　内省的限度如何解释</w:t>
      </w:r>
    </w:p>
    <w:p>
      <w:pPr>
        <w:pStyle w:val="FirstParagraph"/>
      </w:pPr>
      <w:r>
        <w:t xml:space="preserve">人对自己的原因报告有信息价值，也有盲点。选择发生后，参与者可能只记得最显著的线索，可能把社会可接受的解释当成主要原因，也可能因为问题过于笼统而无法表达真实使用的信息。报告与行为之间的差距提示需要多种测量，差距本身无法唯一确定哪种无意识机制起作用。</w:t>
      </w:r>
    </w:p>
    <w:p>
      <w:pPr>
        <w:pStyle w:val="BodyText"/>
      </w:pPr>
      <w:r>
        <w:t xml:space="preserve">Newell与Shanks对多类决策研究的审查强调，意识测量的敏感性、时间和与目标信息的对应关系，会显著影响“无意识影响”的推断。参与者没有完整口述决策规则，并不足以证明他们对所有关键线索都毫无知觉。这一论证针对证据识别问题，不能扩大成对所有隐性加工的全面否定</w:t>
      </w:r>
      <w:r>
        <w:rPr>
          <w:vertAlign w:val="superscript"/>
        </w:rPr>
        <w:t xml:space="preserve">[</w:t>
      </w:r>
      <w:hyperlink w:anchor="ref-577">
        <w:r>
          <w:rPr>
            <w:rStyle w:val="Hyperlink"/>
            <w:vertAlign w:val="superscript"/>
          </w:rPr>
          <w:t xml:space="preserve">577</w:t>
        </w:r>
      </w:hyperlink>
      <w:r>
        <w:rPr>
          <w:vertAlign w:val="superscript"/>
        </w:rPr>
        <w:t xml:space="preserve">]</w:t>
      </w:r>
      <w:r>
        <w:t xml:space="preserve">。</w:t>
      </w:r>
    </w:p>
    <w:p>
      <w:pPr>
        <w:pStyle w:val="BodyText"/>
      </w:pPr>
      <w:r>
        <w:t xml:space="preserve">研究者还应区分知道线索、知道线索与结果的关系、知道自己正在使用线索。这三项可以有不同水平。例如，一个人看见商品价格，知道价格通常与某些质量特征相关，却未准确意识到价格对自己本次评价的影响。科学结论应定位到被测量的那一层，避免把任何一层不完整都称为完全无意识。</w:t>
      </w:r>
    </w:p>
    <w:bookmarkEnd w:id="1063"/>
    <w:bookmarkStart w:id="1064" w:name="sec-53-5"/>
    <w:p>
      <w:pPr>
        <w:pStyle w:val="Heading3"/>
      </w:pPr>
      <w:r>
        <w:t xml:space="preserve">53.5　影响与决定的因果差别</w:t>
      </w:r>
    </w:p>
    <w:p>
      <w:pPr>
        <w:pStyle w:val="FirstParagraph"/>
      </w:pPr>
      <w:r>
        <w:t xml:space="preserve">一个提示改变平均选择概率，说明它在特定条件下具有影响。概率变化可能很小，也可能依赖目标、已有偏好和替代选项。要声称提示“控制”了行为，需要更明确的标准，例如它是否足以稳定改变选择，是否在反向目标下仍生效，是否影响真实后果下的行动。群体平均效应也无法保证某个具体个体一定改变。</w:t>
      </w:r>
    </w:p>
    <w:p>
      <w:pPr>
        <w:pStyle w:val="BodyText"/>
      </w:pPr>
      <w:r>
        <w:t xml:space="preserve">假设广告提示使选择某品牌的比例从百分之四十上升到百分之四十五。绝对差为五个百分点，相对比例增加为百分之十二点五。两种表达描述同一结果，听感可能差异很大。即使该差异具有可靠的因果证据，仍有大多数参与者的选择不能仅靠这个提示预测。把平均概率变化转化成“绕过意识控制所有消费者”的说法，缺少必要的外推证据。</w:t>
      </w:r>
    </w:p>
    <w:p>
      <w:pPr>
        <w:pStyle w:val="BodyText"/>
      </w:pPr>
      <w:r>
        <w:t xml:space="preserve">机制解释也应与作用范围对应。掩蔽刺激、习惯线索、奖励学习和社会暗示可能通过不同路径影响行为。若某个产品把它们都称为“重写潜意识”，需要要求产品给出具体目标、剂量、对照、保持时间和可观察结果。科学词汇不能替代干预试验。</w:t>
      </w:r>
    </w:p>
    <w:bookmarkEnd w:id="1064"/>
    <w:bookmarkStart w:id="1065" w:name="sec-53-6"/>
    <w:p>
      <w:pPr>
        <w:pStyle w:val="Heading3"/>
      </w:pPr>
      <w:r>
        <w:t xml:space="preserve">53.6　意识神经理论的用途与边界</w:t>
      </w:r>
    </w:p>
    <w:p>
      <w:pPr>
        <w:pStyle w:val="FirstParagraph"/>
      </w:pPr>
      <w:r>
        <w:t xml:space="preserve">关于意识的神经理论尝试解释哪些信息能够广泛用于报告、推理和行动，哪些神经过程与这种可访问性相关。某些研究关注信息在脑网络间的传播，某些研究关注局部递归处理或其他组织特征。理论争议涉及现象意识、可报告性、注意和任务要求之间的关系。单个脑区激活或单个时间点的电位变化，难以独自裁定全部意识理论</w:t>
      </w:r>
      <w:r>
        <w:rPr>
          <w:vertAlign w:val="superscript"/>
        </w:rPr>
        <w:t xml:space="preserve">[</w:t>
      </w:r>
      <w:hyperlink w:anchor="ref-576">
        <w:r>
          <w:rPr>
            <w:rStyle w:val="Hyperlink"/>
            <w:vertAlign w:val="superscript"/>
          </w:rPr>
          <w:t xml:space="preserve">576</w:t>
        </w:r>
      </w:hyperlink>
      <w:r>
        <w:rPr>
          <w:vertAlign w:val="superscript"/>
        </w:rPr>
        <w:t xml:space="preserve">]</w:t>
      </w:r>
      <w:r>
        <w:t xml:space="preserve">。</w:t>
      </w:r>
    </w:p>
    <w:p>
      <w:pPr>
        <w:pStyle w:val="BodyText"/>
      </w:pPr>
      <w:r>
        <w:t xml:space="preserve">实验需要处理报告的附加需求。要求按键说明“看见”可能引入决策、动作准备和元认知过程；减少报告又会失去直接的主观信息，改用眼动、瞳孔等间接指标还会增加推断假设。两类设计可以互补，前提是明确各自牺牲了哪些可识别条件。若不同方法得到不同结果，应检查它们究竟测到了什么，不能自动把其中一种视为绝对真值。将实验发现描述为某种理论的支持时，应说明它排除了哪些替代解释，仍与哪些理论兼容。</w:t>
      </w:r>
    </w:p>
    <w:p>
      <w:pPr>
        <w:pStyle w:val="BodyText"/>
      </w:pPr>
      <w:r>
        <w:t xml:space="preserve">意识研究也无法仅靠加工速度估算意识在生活中的份额。神经系统并行处理大量信号，口头报告带宽有限；二者单位、层级与计数对象不同。用神经信号量作分母、用语言输出作分子，会把测量单位不一致的问题伪装成精确比例。</w:t>
      </w:r>
    </w:p>
    <w:bookmarkEnd w:id="1065"/>
    <w:bookmarkStart w:id="1066" w:name="sec-53-7"/>
    <w:p>
      <w:pPr>
        <w:pStyle w:val="Heading3"/>
      </w:pPr>
      <w:r>
        <w:t xml:space="preserve">53.7　行为改变的可执行分析</w:t>
      </w:r>
    </w:p>
    <w:p>
      <w:pPr>
        <w:pStyle w:val="FirstParagraph"/>
      </w:pPr>
      <w:r>
        <w:t xml:space="preserve">若目标是减少拖延，可以具体分析启动线索、任务难度、即时奖励、失败预期、环境干扰和反馈。若目标是建立运动习惯，可以考察活动是否容易开始、安排是否稳定、目标是否可达到。这样的分析把行为分解为可调整因素，能够设计过程指标与结果指标。</w:t>
      </w:r>
    </w:p>
    <w:p>
      <w:pPr>
        <w:pStyle w:val="BodyText"/>
      </w:pPr>
      <w:r>
        <w:t xml:space="preserve">所谓自动化形成，也需要观察它在环境变化中的稳定性。某人只在熟悉地点完成行为，换地点后中断，提示行为对情境线索依赖较强。某人能在多种情境下持续执行，可能建立了更灵活的目标管理。二者都具有实际价值，策略应随需要选择。使用任何“潜意识”课程时，真实行为与持续效果的测量应当优先于对无法观察机制的宣称。</w:t>
      </w:r>
    </w:p>
    <w:bookmarkEnd w:id="1066"/>
    <w:bookmarkStart w:id="1067" w:name="sec-53-8"/>
    <w:p>
      <w:pPr>
        <w:pStyle w:val="Heading3"/>
      </w:pPr>
      <w:r>
        <w:t xml:space="preserve">53.8　意识状态与意识内容</w:t>
      </w:r>
    </w:p>
    <w:p>
      <w:pPr>
        <w:pStyle w:val="FirstParagraph"/>
      </w:pPr>
      <w:r>
        <w:t xml:space="preserve">意识状态描述整体觉醒或可体验水平，意识内容描述某一时刻体验到什么。清醒状态下可以没有注意到某个刺激，睡眠中也可能出现丰富梦境。研究需要说明测量目标属于哪一层，避免把缺少某个内容报告当成整体无意识。</w:t>
      </w:r>
    </w:p>
    <w:p>
      <w:pPr>
        <w:pStyle w:val="BodyText"/>
      </w:pPr>
      <w:r>
        <w:t xml:space="preserve">内容研究还需区分感知、想象、内言语、情绪和身体感受。不同内容可能涉及不同表征与报告方式。一个理论若希望解释意识总体，需要说明怎样连接这些现象；单一视觉任务提供重要证据，覆盖范围仍有限。</w:t>
      </w:r>
    </w:p>
    <w:p>
      <w:pPr>
        <w:pStyle w:val="BodyText"/>
      </w:pPr>
      <w:r>
        <w:t xml:space="preserve">报告能力受到语言、记忆和动作条件影响。无法按键或口述可能来自输出限制，不能自动等同没有体验。另一方面，报告也可能受推测和标准影响。意识研究需要多种证据，并明确每种证据的识别条件。</w:t>
      </w:r>
    </w:p>
    <w:bookmarkEnd w:id="1067"/>
    <w:bookmarkStart w:id="1068" w:name="sec-53-9"/>
    <w:p>
      <w:pPr>
        <w:pStyle w:val="Heading3"/>
      </w:pPr>
      <w:r>
        <w:t xml:space="preserve">53.9　全局可访问性的理论问题</w:t>
      </w:r>
    </w:p>
    <w:p>
      <w:pPr>
        <w:pStyle w:val="FirstParagraph"/>
      </w:pPr>
      <w:r>
        <w:t xml:space="preserve">全局工作空间类理论关注信息怎样变得可用于多个系统，例如推理、记忆、行动和报告。其神经实现假说提出某些信息通过广泛传播与放大获得这种可访问性。理论需要区分局部加工已经完成的内容与广泛可用的信息。</w:t>
      </w:r>
    </w:p>
    <w:p>
      <w:pPr>
        <w:pStyle w:val="BodyText"/>
      </w:pPr>
      <w:r>
        <w:t xml:space="preserve">一个计算类比是共享工作区：多个专门过程可以并行处理信息，当某项内容进入共享状态时，其他过程能够使用它。类比帮助说明功能结构，真实神经实现并非一个中央屏幕或单一观察者。理论必须给出时间、区域和连接方面的可检验预测。</w:t>
      </w:r>
    </w:p>
    <w:p>
      <w:pPr>
        <w:pStyle w:val="BodyText"/>
      </w:pPr>
      <w:r>
        <w:t xml:space="preserve">如果一个刺激影响自动反应，却无法用于灵活的新规则任务，可以作为不同可访问程度的研究线索。若通过提高注意或延长时间使信息能够用于更多任务，理论可以检验这种转变。测量需要排除难度和报告需求的混入。</w:t>
      </w:r>
    </w:p>
    <w:bookmarkEnd w:id="1068"/>
    <w:bookmarkStart w:id="1069" w:name="sec-53-10"/>
    <w:p>
      <w:pPr>
        <w:pStyle w:val="Heading3"/>
      </w:pPr>
      <w:r>
        <w:t xml:space="preserve">53.10　整合信息与神经实现</w:t>
      </w:r>
    </w:p>
    <w:p>
      <w:pPr>
        <w:pStyle w:val="FirstParagraph"/>
      </w:pPr>
      <w:r>
        <w:t xml:space="preserve">整合信息理论从系统内部因果结构讨论体验，提出整体不可约的信息关系与意识有关。其数学概念与实际脑测量之间需要桥接假设。对复杂真实系统，完整计算和测量具有很大困难，经验研究通常检验某些神经实现预测。</w:t>
      </w:r>
    </w:p>
    <w:p>
      <w:pPr>
        <w:pStyle w:val="BodyText"/>
      </w:pPr>
      <w:r>
        <w:t xml:space="preserve">理论预测失败时，需要判断被挑战的是核心数学命题、神经实现假说，还是测量映射。把所有层次混为一谈，会造成过度支持或过度否定。理论也应明确哪些经验结果真正能够削弱它，保持可检验性。</w:t>
      </w:r>
    </w:p>
    <w:p>
      <w:pPr>
        <w:pStyle w:val="BodyText"/>
      </w:pPr>
      <w:r>
        <w:t xml:space="preserve">不同理论有时对同一现象提出相近预测。若实验结果同时符合多个理论，证据不能独自选出唯一解释。更有价值的设计让理论在某些条件下提出不同结果，并提前约定如何判定。</w:t>
      </w:r>
    </w:p>
    <w:bookmarkEnd w:id="1069"/>
    <w:bookmarkStart w:id="1070" w:name="sec-53-11"/>
    <w:p>
      <w:pPr>
        <w:pStyle w:val="Heading3"/>
      </w:pPr>
      <w:r>
        <w:t xml:space="preserve">53.11　2025年对抗性合作的启示</w:t>
      </w:r>
    </w:p>
    <w:p>
      <w:pPr>
        <w:pStyle w:val="FirstParagraph"/>
      </w:pPr>
      <w:r>
        <w:t xml:space="preserve">COGITATE合作项目预先比较全局神经工作空间与整合信息理论的若干分歧预测，在二百五十六名参与者中结合功能磁共振、脑磁和颅内脑电。结果符合两种理论的部分预测，同时对两者若干关键神经实现主张提出挑战</w:t>
      </w:r>
      <w:r>
        <w:rPr>
          <w:vertAlign w:val="superscript"/>
        </w:rPr>
        <w:t xml:space="preserve">[</w:t>
      </w:r>
      <w:hyperlink w:anchor="ref-578">
        <w:r>
          <w:rPr>
            <w:rStyle w:val="Hyperlink"/>
            <w:vertAlign w:val="superscript"/>
          </w:rPr>
          <w:t xml:space="preserve">578</w:t>
        </w:r>
      </w:hyperlink>
      <w:r>
        <w:rPr>
          <w:vertAlign w:val="superscript"/>
        </w:rPr>
        <w:t xml:space="preserve">]</w:t>
      </w:r>
      <w:r>
        <w:t xml:space="preserve">。这项研究没有宣布意识问题已被最终解决，也没有计算无意识控制行为的总体比例。</w:t>
      </w:r>
    </w:p>
    <w:p>
      <w:pPr>
        <w:pStyle w:val="BodyText"/>
      </w:pPr>
      <w:r>
        <w:t xml:space="preserve">其方法学价值在于让理论支持者与中立团队提前明确预测和解释标准。结果出来之后，争议可以集中在预先约定的命题及其测量，而减少任意改写成功标准。后续工作仍需检验其他内容、任务与状态。</w:t>
      </w:r>
    </w:p>
    <w:p>
      <w:pPr>
        <w:pStyle w:val="BodyText"/>
      </w:pPr>
      <w:r>
        <w:t xml:space="preserve">对读者而言，这说明最前沿领域常具有清楚的未知边界。高水平科学表述可以同时说明哪些预测受到支持、哪些受到挑战，以及哪些问题没有被该实验覆盖。确定性程度应随证据变化。</w:t>
      </w:r>
    </w:p>
    <w:bookmarkEnd w:id="1070"/>
    <w:bookmarkStart w:id="1071" w:name="sec-53-12"/>
    <w:p>
      <w:pPr>
        <w:pStyle w:val="Heading3"/>
      </w:pPr>
      <w:r>
        <w:t xml:space="preserve">53.12　无报告范式的取舍</w:t>
      </w:r>
    </w:p>
    <w:p>
      <w:pPr>
        <w:pStyle w:val="FirstParagraph"/>
      </w:pPr>
      <w:r>
        <w:t xml:space="preserve">无报告或减少报告范式尝试降低按键、决策和元认知对神经信号的影响。研究者可能借助眼动、瞳孔或其他间接指标推断知觉状态。这些指标需要先验证与体验的关系，且可能受注意和刺激属性影响。</w:t>
      </w:r>
    </w:p>
    <w:p>
      <w:pPr>
        <w:pStyle w:val="BodyText"/>
      </w:pPr>
      <w:r>
        <w:t xml:space="preserve">对意识内容的神经标记，还需要区分前提条件、体验本身相关过程和报告后果。一个信号出现在看见刺激之前，可能反映注意准备；另一个出现在作答后，可能反映决策或记忆。时间信息帮助定位，因果角色仍需进一步实验。</w:t>
      </w:r>
    </w:p>
    <w:bookmarkEnd w:id="1071"/>
    <w:bookmarkStart w:id="1072" w:name="sec-53-13"/>
    <w:p>
      <w:pPr>
        <w:pStyle w:val="Heading3"/>
      </w:pPr>
      <w:r>
        <w:t xml:space="preserve">53.13　隐性知识的部分可访问性</w:t>
      </w:r>
    </w:p>
    <w:p>
      <w:pPr>
        <w:pStyle w:val="FirstParagraph"/>
      </w:pPr>
      <w:r>
        <w:t xml:space="preserve">隐性学习任务中，参与者可能无法完整说出规律，却掌握部分片段、熟悉性或预测线索。知识可能分布在连续范围，显性与隐性标签需要与具体测量对应。一个全或无分类可能遮蔽中间状态。</w:t>
      </w:r>
    </w:p>
    <w:p>
      <w:pPr>
        <w:pStyle w:val="BodyText"/>
      </w:pPr>
      <w:r>
        <w:t xml:space="preserve">研究可以分别询问局部规则、预测信心和使用策略，并设置能够利用不同知识层次的任务。若参与者能在某种提示下报告知识，原先的无报告可能来自提问方式。若多个敏感测量都支持缺少可访问知识，同时行为仍变化，无意识解释更有依据。</w:t>
      </w:r>
    </w:p>
    <w:p>
      <w:pPr>
        <w:pStyle w:val="BodyText"/>
      </w:pPr>
      <w:r>
        <w:t xml:space="preserve">自我报告还受交流能力影响。一个人能够执行技能，却缺少描述技能的词汇；另一人能流畅解释，却执行不稳定。语言说明与实际控制需要分别测量。教育可以通过示范、操作和解释共同判断掌握程度。</w:t>
      </w:r>
    </w:p>
    <w:bookmarkEnd w:id="1072"/>
    <w:bookmarkStart w:id="1073" w:name="sec-53-14"/>
    <w:p>
      <w:pPr>
        <w:pStyle w:val="Heading3"/>
      </w:pPr>
      <w:r>
        <w:t xml:space="preserve">53.14　行动意图的时间层级</w:t>
      </w:r>
    </w:p>
    <w:p>
      <w:pPr>
        <w:pStyle w:val="FirstParagraph"/>
      </w:pPr>
      <w:r>
        <w:t xml:space="preserve">意图可以在几秒前决定一次动作，也可以在几小时前制定计划，或在长期目标中持续影响行为。实验若测量一个简单按键前的意识时刻，只覆盖特定时间尺度。长期计划如何约束自动化步骤，需要不同研究。</w:t>
      </w:r>
    </w:p>
    <w:p>
      <w:pPr>
        <w:pStyle w:val="BodyText"/>
      </w:pPr>
      <w:r>
        <w:t xml:space="preserve">一个人决定每天学习某门语言，随后许多打开材料、选择题目和重复发音的动作可能逐渐熟练。熟练步骤与长期有意识目标共同组织行为。把每个动作是否被逐项口述作为唯一标准，会遗漏这种层级控制。</w:t>
      </w:r>
    </w:p>
    <w:p>
      <w:pPr>
        <w:pStyle w:val="BodyText"/>
      </w:pPr>
      <w:r>
        <w:t xml:space="preserve">行为改变也可以同时调整多个层级：明确目标，选择环境线索，建立容易启动的步骤，监测偏差并定期修正。其效果可以通过实际行动测量，机制解释无需依赖一个未经定义的潜意识百分比。</w:t>
      </w:r>
    </w:p>
    <w:bookmarkEnd w:id="1073"/>
    <w:bookmarkStart w:id="1074" w:name="sec-53-15"/>
    <w:p>
      <w:pPr>
        <w:pStyle w:val="Heading3"/>
      </w:pPr>
      <w:r>
        <w:t xml:space="preserve">53.15　意识理论阅读练习</w:t>
      </w:r>
    </w:p>
    <w:p>
      <w:pPr>
        <w:pStyle w:val="FirstParagraph"/>
      </w:pPr>
      <w:r>
        <w:t xml:space="preserve">练习一：某脑信号只在需要报告时出现，可以怎样解释？解析：它可能与报告、决策或任务要求有关，也可能是报告条件更充分激活了某种意识相关过程。需要操纵体验与报告，检查竞争预测，单一关联无法裁定。</w:t>
      </w:r>
    </w:p>
    <w:p>
      <w:pPr>
        <w:pStyle w:val="BodyText"/>
      </w:pPr>
      <w:r>
        <w:t xml:space="preserve">练习二：一项研究挑战了某理论的前额叶预测，是否等于否定全部意识理论？解析：结论应定位到预先检验的预测及测量。不同理论和不同实现层次需要分别评价，后续修正也应保持可检验。</w:t>
      </w:r>
    </w:p>
    <w:p>
      <w:pPr>
        <w:pStyle w:val="BodyText"/>
      </w:pPr>
      <w:r>
        <w:t xml:space="preserve">练习三：一个人无法解释购买原因，可以确定广告绕过意识控制了他吗？解析：原因报告不完整、部分线索知识和事后重建都可能解释。需要具体刺激操纵、行为变化和敏感意识测量，才能支持更窄的因果结论。</w:t>
      </w:r>
    </w:p>
    <w:bookmarkEnd w:id="1074"/>
    <w:bookmarkStart w:id="1075" w:name="sec-53-16"/>
    <w:p>
      <w:pPr>
        <w:pStyle w:val="Heading3"/>
      </w:pPr>
      <w:r>
        <w:t xml:space="preserve">53.16　练习与解析</w:t>
      </w:r>
    </w:p>
    <w:p>
      <w:pPr>
        <w:pStyle w:val="FirstParagraph"/>
      </w:pPr>
      <w:r>
        <w:t xml:space="preserve">练习一：参与者无法解释自己怎样学会一项规律，能否判定学习完全没有意识参与？解析：需要查看他们能否辨认局部线索、预测结果或在敏感测验中报告部分知识。无法完整说出规则，只限制了关于完整显性规则的结论。</w:t>
      </w:r>
    </w:p>
    <w:p>
      <w:pPr>
        <w:pStyle w:val="BodyText"/>
      </w:pPr>
      <w:r>
        <w:t xml:space="preserve">练习二：刺激辨别未显著高于机会，刺激却影响后续反应，可以直接称为无意识效应吗？解析：需要检验意识测量的精度、等效范围、试次数、测量时机，以及两项任务是否使用相同信息。若这些条件满足，结论可以更强；未满足时仍存在低水平意识信息的替代解释。</w:t>
      </w:r>
    </w:p>
    <w:p>
      <w:pPr>
        <w:pStyle w:val="BodyText"/>
      </w:pPr>
      <w:r>
        <w:t xml:space="preserve">练习三：一种课程宣称重编了百分之九十五的行为，应该要求什么？解析：先要求定义行为分母和控制标准，再要求预注册目标、独立测量、适当对照与随访。若连待改变的行为集合都无法明确，百分比便不能承担科学证据的角色。</w:t>
      </w:r>
    </w:p>
    <w:bookmarkEnd w:id="1075"/>
    <w:bookmarkEnd w:id="1076"/>
    <w:bookmarkStart w:id="1096" w:name="ch-54"/>
    <w:p>
      <w:pPr>
        <w:pStyle w:val="Heading2"/>
      </w:pPr>
      <w:r>
        <w:t xml:space="preserve">第54章　行动前兆、意识时间与自由意志</w:t>
      </w:r>
    </w:p>
    <w:p>
      <w:pPr>
        <w:pStyle w:val="CalloutJudgment"/>
      </w:pPr>
      <w:r>
        <w:rPr>
          <w:bCs/>
          <w:b/>
        </w:rPr>
        <w:t xml:space="preserve">核心判断与置信度</w:t>
      </w:r>
      <w:r>
        <w:t xml:space="preserve">　行动之前出现神经信号，是关于行动形成过程的经验发现。把这一发现扩展为“所有选择早已完成、意识没有任何作用、责任概念全部失效”，需要额外前提。经典实验无法独自支持这些强结论，置信度高。自由意志的形而上问题仍存在概念和理论分歧</w:t>
      </w:r>
      <w:r>
        <w:rPr>
          <w:vertAlign w:val="superscript"/>
        </w:rPr>
        <w:t xml:space="preserve">[</w:t>
      </w:r>
      <w:hyperlink w:anchor="ref-579">
        <w:r>
          <w:rPr>
            <w:rStyle w:val="Hyperlink"/>
            <w:vertAlign w:val="superscript"/>
          </w:rPr>
          <w:t xml:space="preserve">579</w:t>
        </w:r>
      </w:hyperlink>
      <w:r>
        <w:rPr>
          <w:vertAlign w:val="superscript"/>
        </w:rPr>
        <w:t xml:space="preserve">,</w:t>
      </w:r>
      <w:hyperlink w:anchor="ref-580">
        <w:r>
          <w:rPr>
            <w:rStyle w:val="Hyperlink"/>
            <w:vertAlign w:val="superscript"/>
          </w:rPr>
          <w:t xml:space="preserve">580</w:t>
        </w:r>
      </w:hyperlink>
      <w:r>
        <w:rPr>
          <w:vertAlign w:val="superscript"/>
        </w:rPr>
        <w:t xml:space="preserve">,</w:t>
      </w:r>
      <w:hyperlink w:anchor="ref-581">
        <w:r>
          <w:rPr>
            <w:rStyle w:val="Hyperlink"/>
            <w:vertAlign w:val="superscript"/>
          </w:rPr>
          <w:t xml:space="preserve">581</w:t>
        </w:r>
      </w:hyperlink>
      <w:r>
        <w:rPr>
          <w:vertAlign w:val="superscript"/>
        </w:rPr>
        <w:t xml:space="preserve">]</w:t>
      </w:r>
      <w:r>
        <w:t xml:space="preserve">。</w:t>
      </w:r>
    </w:p>
    <w:bookmarkStart w:id="1077" w:name="sec-54-1"/>
    <w:p>
      <w:pPr>
        <w:pStyle w:val="Heading3"/>
      </w:pPr>
      <w:r>
        <w:t xml:space="preserve">54.1　把四个问题分别定义</w:t>
      </w:r>
    </w:p>
    <w:p>
      <w:pPr>
        <w:pStyle w:val="FirstParagraph"/>
      </w:pPr>
      <w:r>
        <w:t xml:space="preserve">第一个问题是时间顺序：动作之前出现什么神经活动，它与当事人报告的意图时间相差多少。第二个问题是预测：从先前信号能够多准确地预测动作或选择。第三个问题是因果：哪些过程参与行动形成，改变这些过程会怎样。第四个问题是哲学与规范：怎样的能力足以称为自由，怎样的条件足以承担责任。实验可以直接约束前三类问题，对第四类问题的影响依赖概念前提。</w:t>
      </w:r>
    </w:p>
    <w:p>
      <w:pPr>
        <w:pStyle w:val="BodyText"/>
      </w:pPr>
      <w:r>
        <w:t xml:space="preserve">把自由定义成“行为完全没有任何先前原因”，会把问题置于非常强的形而上框架。把自由定义成“能够理解理由、评估后果、修正行为并在适当条件下抑制冲动”，会产生不同的经验指标。两种定义承担不同的哲学问题，它们之间的分歧无法通过同一个准备电位的起点自动消失。讨论前应明确自己在检验哪一项能力或命题，论证中途也不能悄悄切换定义。</w:t>
      </w:r>
    </w:p>
    <w:p>
      <w:pPr>
        <w:pStyle w:val="BodyText"/>
      </w:pPr>
      <w:r>
        <w:t xml:space="preserve">同样，神经机制与个人行动并不构成逻辑上的相互排斥。人的记忆、计划、价值学习和错误修正都通过生理过程实现。证明行动具有神经基础，只回答了实现层次的一部分问题。要证明某种控制能力缺失，还需要测量这项能力以及它对理由、反馈和环境改变的反应。</w:t>
      </w:r>
    </w:p>
    <w:bookmarkEnd w:id="1077"/>
    <w:bookmarkStart w:id="1078" w:name="sec-54-2"/>
    <w:p>
      <w:pPr>
        <w:pStyle w:val="Heading3"/>
      </w:pPr>
      <w:r>
        <w:t xml:space="preserve">54.2　经典准备电位实验的测量对象</w:t>
      </w:r>
    </w:p>
    <w:p>
      <w:pPr>
        <w:pStyle w:val="FirstParagraph"/>
      </w:pPr>
      <w:r>
        <w:t xml:space="preserve">Libet等1983年研究参与者在自行选择的时间进行简单动作时的准备电位，并要求他们借助时钟报告意识到意图的时刻。平均准备活动早于所报告的意图时间。这一结果挑战了把行动起点完全等同于当事人即时叙事的简单图景。实验没有直接测量日常所有决定的完成时间，也没有把所有意识相关过程一次性隔离出来</w:t>
      </w:r>
      <w:r>
        <w:rPr>
          <w:vertAlign w:val="superscript"/>
        </w:rPr>
        <w:t xml:space="preserve">[</w:t>
      </w:r>
      <w:hyperlink w:anchor="ref-579">
        <w:r>
          <w:rPr>
            <w:rStyle w:val="Hyperlink"/>
            <w:vertAlign w:val="superscript"/>
          </w:rPr>
          <w:t xml:space="preserve">579</w:t>
        </w:r>
      </w:hyperlink>
      <w:r>
        <w:rPr>
          <w:vertAlign w:val="superscript"/>
        </w:rPr>
        <w:t xml:space="preserve">]</w:t>
      </w:r>
      <w:r>
        <w:t xml:space="preserve">。</w:t>
      </w:r>
    </w:p>
    <w:p>
      <w:pPr>
        <w:pStyle w:val="BodyText"/>
      </w:pPr>
      <w:r>
        <w:t xml:space="preserve">这里的两种时间测量具有不同性质。准备电位通常通过把多次试验对齐动作时刻后平均得到，信号起点取决于噪声、滤波、基线及分析规则。主观意图时间则依靠注意、记忆和事后报告。把两个估计值相减得到时间差，仍需说明各自误差。毫秒单位的报告不保证毫秒级的心理测量精度。</w:t>
      </w:r>
    </w:p>
    <w:p>
      <w:pPr>
        <w:pStyle w:val="BodyText"/>
      </w:pPr>
      <w:r>
        <w:t xml:space="preserve">“我意识到自己想动”也不是单一无争议事件。一个人可以先接受整段实验任务，持续维持随时可动作的计划，在某一刻产生紧迫感，随后开始动作，最后回报某个主观时点。研究中的报告可能对应其中一个阶段。若把整段意图形成过程压缩成一个点，就容易忽略任务接受和长期目标的贡献。</w:t>
      </w:r>
    </w:p>
    <w:bookmarkEnd w:id="1078"/>
    <w:bookmarkStart w:id="1079" w:name="sec-54-3"/>
    <w:p>
      <w:pPr>
        <w:pStyle w:val="Heading3"/>
      </w:pPr>
      <w:r>
        <w:t xml:space="preserve">54.3　平均波形与单次决定</w:t>
      </w:r>
    </w:p>
    <w:p>
      <w:pPr>
        <w:pStyle w:val="FirstParagraph"/>
      </w:pPr>
      <w:r>
        <w:t xml:space="preserve">平均波形可以显示稳定的统计规律，但平均起点不必对应每次试验都存在的同一种内部事件。假设一种连续波动在超过阈值时更容易触发动作，把许多过阈值事件按动作对齐后平均，动作前就可能形成上升形态（</w:t>
      </w:r>
      <w:hyperlink w:anchor="sec-54-10">
        <w:r>
          <w:rPr>
            <w:rStyle w:val="Hyperlink"/>
          </w:rPr>
          <w:t xml:space="preserve">54.10 节</w:t>
        </w:r>
      </w:hyperlink>
      <w:r>
        <w:t xml:space="preserve">的教学模拟具体展示了这一机制）。这种形态提供了过程信息，却未必标记一个早已完成且不可更改的决定。</w:t>
      </w:r>
    </w:p>
    <w:p>
      <w:pPr>
        <w:pStyle w:val="BodyText"/>
      </w:pPr>
      <w:r>
        <w:t xml:space="preserve">Schurger等2012年提出并检验了随机累积模型，说明某些准备电位特征可以由持续波动、阈值触发和动作对齐解释。其意义在于提供具有可检验预测的竞争机制。模型没有证明所有行动都遵循同一过程，也没有消除意图、目标和环境约束的重要性</w:t>
      </w:r>
      <w:r>
        <w:rPr>
          <w:vertAlign w:val="superscript"/>
        </w:rPr>
        <w:t xml:space="preserve">[</w:t>
      </w:r>
      <w:hyperlink w:anchor="ref-580">
        <w:r>
          <w:rPr>
            <w:rStyle w:val="Hyperlink"/>
            <w:vertAlign w:val="superscript"/>
          </w:rPr>
          <w:t xml:space="preserve">580</w:t>
        </w:r>
      </w:hyperlink>
      <w:r>
        <w:rPr>
          <w:vertAlign w:val="superscript"/>
        </w:rPr>
        <w:t xml:space="preserve">]</w:t>
      </w:r>
      <w:r>
        <w:t xml:space="preserve">。</w:t>
      </w:r>
    </w:p>
    <w:p>
      <w:pPr>
        <w:pStyle w:val="BodyText"/>
      </w:pPr>
      <w:r>
        <w:t xml:space="preserve">竞争模型应比较完整的可观察结果，包括等待时间分布、单次试验变化、动作阈值操纵和提前信号。只要模型A和模型B都能拟合平均曲线，就需要寻找它们预测不同的情形。数据对理论的约束来自这些差异。给同一条曲线换一个心理名称，无法完成机制识别。</w:t>
      </w:r>
    </w:p>
    <w:bookmarkEnd w:id="1079"/>
    <w:bookmarkStart w:id="1080" w:name="sec-54-4"/>
    <w:p>
      <w:pPr>
        <w:pStyle w:val="Heading3"/>
      </w:pPr>
      <w:r>
        <w:t xml:space="preserve">54.4　预测成功的含义</w:t>
      </w:r>
    </w:p>
    <w:p>
      <w:pPr>
        <w:pStyle w:val="FirstParagraph"/>
      </w:pPr>
      <w:r>
        <w:t xml:space="preserve">略高于随机的预测说明先前信号包含一些与后续结果相关的信息。它没有自动说明每次结果都已确定，也没有说明这份信息与行动之间只有一种因果关系。信号可能反映倾向或稳定偏好、先前试次影响、疲劳、任务策略、当前状态，或决策形成中的部分证据。60%的两类预测与100%的确定预测含义不同；远早于动作时存在少量信息，也可能只说明偏向已经出现，后续仍然可以改变。要判断决定是否不可逆，需要专门操纵后续信息或抑制机会。</w:t>
      </w:r>
    </w:p>
    <w:p>
      <w:pPr>
        <w:pStyle w:val="BodyText"/>
      </w:pPr>
      <w:r>
        <w:t xml:space="preserve">预测准确率还要与基准比较。如果参与者有70%的机会选择同一只手，始终预测该手便可达到70%准确率；一个人经常重复上一次选择时，简单行为历史模型也可能超过机会水平。合理评价需要与类别比例、序列依赖、试次时间与顺序等非神经预测基准比较，并报告神经模型在这些基准之上增加了多少预测信息。若模型从动作后的信息或邻近时间窗泄漏中获益，则时间领先结论也可能被夸大。</w:t>
      </w:r>
    </w:p>
    <w:p>
      <w:pPr>
        <w:pStyle w:val="BodyText"/>
      </w:pPr>
      <w:r>
        <w:t xml:space="preserve">即使达到很高预测准确率，因果解释仍需独立判断。街上带伞的人多，可以预测稍后会下雨，带伞本身并不造成下雨。脑信号通常更接近行动系统，但同样可能是共同过程的读出。解码结果可以支持信息存在，不能替代关于因果路径和控制能力的实验。</w:t>
      </w:r>
    </w:p>
    <w:bookmarkEnd w:id="1080"/>
    <w:bookmarkStart w:id="1081" w:name="sec-54-5"/>
    <w:p>
      <w:pPr>
        <w:pStyle w:val="Heading3"/>
      </w:pPr>
      <w:r>
        <w:t xml:space="preserve">54.5　任意选择与有理由的审慎选择</w:t>
      </w:r>
    </w:p>
    <w:p>
      <w:pPr>
        <w:pStyle w:val="FirstParagraph"/>
      </w:pPr>
      <w:r>
        <w:t xml:space="preserve">简单按键任务有重要优点：重复次数多，动作时点明确，外界刺激可控。它刻意减少理由差异，便于研究自发行动时间，也因此省去了许多现实决策成分，例如信息搜集、理由比较、冲突价值和长期后果。任意按键与有理由的选择可以共享运动机制，同时在前期计算上不同。由简单任务推到职业、道德或治疗决定，需要额外研究说明哪些过程共享、哪些过程不同。</w:t>
      </w:r>
    </w:p>
    <w:p>
      <w:pPr>
        <w:pStyle w:val="BodyText"/>
      </w:pPr>
      <w:r>
        <w:t xml:space="preserve">Maoz等2019年比较任意选择与具有实际捐赠意义的审慎选择，观察到任意选择前出现准备电位，审慎选择前准备电位缺失或明显减弱。研究对把任意按键结果推广到全部现实选择提出了限制。这一差异本身不能证明审慎选择没有神经前兆，也不能把某种平均波形缺失解释为脱离物理过程</w:t>
      </w:r>
      <w:r>
        <w:rPr>
          <w:vertAlign w:val="superscript"/>
        </w:rPr>
        <w:t xml:space="preserve">[</w:t>
      </w:r>
      <w:hyperlink w:anchor="ref-581">
        <w:r>
          <w:rPr>
            <w:rStyle w:val="Hyperlink"/>
            <w:vertAlign w:val="superscript"/>
          </w:rPr>
          <w:t xml:space="preserve">581</w:t>
        </w:r>
      </w:hyperlink>
      <w:r>
        <w:rPr>
          <w:vertAlign w:val="superscript"/>
        </w:rPr>
        <w:t xml:space="preserve">]</w:t>
      </w:r>
      <w:r>
        <w:t xml:space="preserve">。</w:t>
      </w:r>
    </w:p>
    <w:p>
      <w:pPr>
        <w:pStyle w:val="BodyText"/>
      </w:pPr>
      <w:r>
        <w:t xml:space="preserve">更完整的决策研究可以在同一参与者中改变信息量、后果重要性、时间压力和反悔机会，并测量证据积累、主观确信、动作准备和最终行为。若理论声称某个时点之后决定已完成，就应预测随后加入的信息不能再改变选择；若可以改变，就需修订“完成”的定义或模型。</w:t>
      </w:r>
    </w:p>
    <w:bookmarkEnd w:id="1081"/>
    <w:bookmarkStart w:id="1082" w:name="sec-54-6"/>
    <w:p>
      <w:pPr>
        <w:pStyle w:val="Heading3"/>
      </w:pPr>
      <w:r>
        <w:t xml:space="preserve">54.6　意识报告与意识作用</w:t>
      </w:r>
    </w:p>
    <w:p>
      <w:pPr>
        <w:pStyle w:val="FirstParagraph"/>
      </w:pPr>
      <w:r>
        <w:t xml:space="preserve">当事人不能准确报告一个过程的全部形成细节，并不意味着这个过程完全没有意识参与。反思可以在较长时间尺度上改变目标、规则和环境选择，而瞬时动作仍受许多未被报告的因素影响。研究需要把意识参与的时间范围和功能定位具体化，例如是否促进跨任务信息共享、错误修正或长期规划。</w:t>
      </w:r>
    </w:p>
    <w:p>
      <w:pPr>
        <w:pStyle w:val="BodyText"/>
      </w:pPr>
      <w:r>
        <w:t xml:space="preserve">同样，存在主观体验也不保证体验的每个方面都对行为具有独立因果作用。研究意识的因果角色，需要能区分体验、报告、注意、工作记忆和动作准备的设计。不同变量常共同变化，使结论容易发生范围扩大。能够明确预测哪些成分可以分离的理论，更容易受到实验检验。</w:t>
      </w:r>
    </w:p>
    <w:p>
      <w:pPr>
        <w:pStyle w:val="BodyText"/>
      </w:pPr>
      <w:r>
        <w:t xml:space="preserve">脑损伤、麻醉和神经疾病可以约束某些意识与行为关系，但各自具有广泛生理影响。不能因为一个操作同时降低报告与脑信号，就把被测信号定为意识唯一来源。需要控制觉醒、感觉输入、运动能力和语言理解等因素，尤其要避免把无法表达直接等同无体验。</w:t>
      </w:r>
    </w:p>
    <w:bookmarkEnd w:id="1082"/>
    <w:bookmarkStart w:id="1083" w:name="sec-54-7"/>
    <w:p>
      <w:pPr>
        <w:pStyle w:val="Heading3"/>
      </w:pPr>
      <w:r>
        <w:t xml:space="preserve">54.7　从实验到责任判断</w:t>
      </w:r>
    </w:p>
    <w:p>
      <w:pPr>
        <w:pStyle w:val="FirstParagraph"/>
      </w:pPr>
      <w:r>
        <w:t xml:space="preserve">责任判断涉及对规则的理解、对后果的预见、控制能力、强迫情境和制度目的等条件。神经证据可能帮助评估某些能力受损的程度，但一种普遍存在于健康人中的行动前兆，无法独自区分谁具备这些能力；某处脑差异存在，也不能自动证明某人缺乏相关能力。用于个案的结论需要与个案相关的具体功能证据。</w:t>
      </w:r>
    </w:p>
    <w:p>
      <w:pPr>
        <w:pStyle w:val="BodyText"/>
      </w:pPr>
      <w:r>
        <w:t xml:space="preserve">如果一个人能够学习理由、根据反馈改变行为并在不同情境下调整选择，那么这些能力是可以研究的现实特征。它们怎样与责任概念连接，仍需要规范论证。把神经决定论当作免除所有责任的充分理由，或者把责任需要当作否认神经机制的理由，都引入了未经说明的哲学前提。</w:t>
      </w:r>
    </w:p>
    <w:p>
      <w:pPr>
        <w:pStyle w:val="BodyText"/>
      </w:pPr>
      <w:r>
        <w:t xml:space="preserve">科学结论也不要求一个人对自己的所有动作形成原因都保持透明。人可以通过观察自身习惯、改变环境和建立程序改善控制。控制能力可以有程度差异，能随情境和健康状态变化。把“自由”当作只能全有或全无的单一属性，会使这些可研究的差异被遮蔽。</w:t>
      </w:r>
    </w:p>
    <w:bookmarkEnd w:id="1083"/>
    <w:bookmarkStart w:id="1084" w:name="sec-54-8"/>
    <w:p>
      <w:pPr>
        <w:pStyle w:val="Heading3"/>
      </w:pPr>
      <w:r>
        <w:t xml:space="preserve">54.8　意图的开始可能具有多个可操作定义</w:t>
      </w:r>
    </w:p>
    <w:p>
      <w:pPr>
        <w:pStyle w:val="FirstParagraph"/>
      </w:pPr>
      <w:r>
        <w:t xml:space="preserve">准备行动、想到可以行动、形成偏好、决定执行、察觉决定和报告决定，可能发生在不同时间。研究若使用不同问题询问参与者，得到的时间估计也可能不同。要比较实验，首先需要确认各自称为意图的具体对象。</w:t>
      </w:r>
    </w:p>
    <w:p>
      <w:pPr>
        <w:pStyle w:val="BodyText"/>
      </w:pPr>
      <w:r>
        <w:t xml:space="preserve">把意图设想为一个瞬间开关，具有实验上的简便性，却未必覆盖自然行为。复杂选择可以经历反复考虑、暂定承诺和修改。即使最终动作具有清楚起点，之前的心理过程也可能逐渐形成。研究需要允许不同过程模型竞争。</w:t>
      </w:r>
    </w:p>
    <w:p>
      <w:pPr>
        <w:pStyle w:val="BodyText"/>
      </w:pPr>
      <w:r>
        <w:t xml:space="preserve">Matsuhashi与Hallett于2008年使用随机声音提示与动作取消任务估计意图时间，16人参加、15人进入报告分析，得到平均约动作前1.42秒的估计。该方法与事后报告时钟位置的任务不同，结果提示意图时间对操作化敏感；它仍依赖参与者对指令的理解与行为执行</w:t>
      </w:r>
      <w:r>
        <w:rPr>
          <w:vertAlign w:val="superscript"/>
        </w:rPr>
        <w:t xml:space="preserve">[</w:t>
      </w:r>
      <w:hyperlink w:anchor="ref-582">
        <w:r>
          <w:rPr>
            <w:rStyle w:val="Hyperlink"/>
            <w:vertAlign w:val="superscript"/>
          </w:rPr>
          <w:t xml:space="preserve">582</w:t>
        </w:r>
      </w:hyperlink>
      <w:r>
        <w:rPr>
          <w:vertAlign w:val="superscript"/>
        </w:rPr>
        <w:t xml:space="preserve">]</w:t>
      </w:r>
      <w:r>
        <w:t xml:space="preserve">。</w:t>
      </w:r>
    </w:p>
    <w:p>
      <w:pPr>
        <w:pStyle w:val="BodyText"/>
      </w:pPr>
      <w:r>
        <w:t xml:space="preserve">对这类结果的适当解释是不同测量接近不同层面的察觉或行动准备。不能直接挑选最早或最晚数值，宣布它是所有行为的唯一意识起点。定义和测量之间的关系本身就是研究对象。</w:t>
      </w:r>
    </w:p>
    <w:bookmarkEnd w:id="1084"/>
    <w:bookmarkStart w:id="1085" w:name="sec-54-9"/>
    <w:p>
      <w:pPr>
        <w:pStyle w:val="Heading3"/>
      </w:pPr>
      <w:r>
        <w:t xml:space="preserve">54.9　时钟报告的误差结构</w:t>
      </w:r>
    </w:p>
    <w:p>
      <w:pPr>
        <w:pStyle w:val="FirstParagraph"/>
      </w:pPr>
      <w:r>
        <w:t xml:space="preserve">事后指出某个内部事件发生时的时钟位置，需要持续观察时钟、注意内部状态、保持记忆并作出空间报告。这些过程可能分散注意，也可能改变原本的动作准备。内部事件的主观时间与外部刺激的主观时间还可能具有不同误差。</w:t>
      </w:r>
    </w:p>
    <w:p>
      <w:pPr>
        <w:pStyle w:val="BodyText"/>
      </w:pPr>
      <w:r>
        <w:t xml:space="preserve">误差未必只是随机抖动。若任务指令引导参与者把某个更晚的阶段称为决定，报告可能系统偏晚；若提前期待行动，报告也可能受到期待影响。研究应使用不同测量方式检验；内部时间标签与仪器时间戳是否具有相同性质，需要单独确认。</w:t>
      </w:r>
    </w:p>
    <w:p>
      <w:pPr>
        <w:pStyle w:val="BodyText"/>
      </w:pPr>
      <w:r>
        <w:t xml:space="preserve">校准外部刺激时间能够提供帮助，同时不能完全校准内部意图。两个事件的感受与报告过程不完全相同。准确研究需要保留这一剩余不确定性，避免用一个小的平均时间差承担过强哲学结论。</w:t>
      </w:r>
    </w:p>
    <w:bookmarkEnd w:id="1085"/>
    <w:bookmarkStart w:id="1090" w:name="sec-54-10"/>
    <w:p>
      <w:pPr>
        <w:pStyle w:val="Heading3"/>
      </w:pPr>
      <w:r>
        <w:t xml:space="preserve">54.10　条件平均为什么可能产生缓慢前兆</w:t>
      </w:r>
    </w:p>
    <w:p>
      <w:pPr>
        <w:pStyle w:val="FirstParagraph"/>
      </w:pPr>
      <w:r>
        <w:t xml:space="preserve">考虑一个纯教学模型：一个状态量在噪声驱动下波动，达到阈值时记录一次事件。若把很多事件按越阈时刻对齐，再平均之前的轨迹，平均曲线就可能在事件前逐渐接近阈值。这个形状可以由选择规则和动态过程共同形成，即使每条轨迹并没有在固定时间开始同样的平滑准备。</w:t>
      </w:r>
    </w:p>
    <w:p>
      <w:pPr>
        <w:pStyle w:val="BodyText"/>
      </w:pPr>
      <w:r>
        <w:t xml:space="preserve">平均曲线中的一个早期偏离点，还受到试次数量、噪声和阈值选择影响。随着样本增加，较小偏离更容易被检测到，统计起点可能提前。这个变化不必表示神经过程真的提早开始。报告起点时，应说明定义和不确定性。</w:t>
      </w:r>
    </w:p>
    <w:p>
      <w:pPr>
        <w:pStyle w:val="BodyText"/>
      </w:pPr>
      <w:r>
        <w:t xml:space="preserve">同样，平均没有明显前兆也不能证明完全没有准备。不同试次的方向、时序或神经来源可能互相抵消。模型比较需要同时面对存在前兆与缺乏前兆的条件，避免把所有结果都事后解释为相同理论的成功。</w:t>
      </w:r>
    </w:p>
    <w:p>
      <w:pPr>
        <w:pStyle w:val="Figure"/>
      </w:pPr>
      <w:r>
        <w:drawing>
          <wp:inline>
            <wp:extent cx="5334000" cy="3259666"/>
            <wp:effectExtent b="0" l="0" r="0" t="0"/>
            <wp:docPr descr="图D5 阈值事件对齐的教学模拟。1200条自相关随机路径在丢弃初始阶段后选取上跨阈值事件，每条路径至多一次，并平均事件前100步；棕线按独立随机时刻取窗。灰线为部分示例路径。状态每步更新为前值的0.98倍加上标准差0.15的零均值高斯扰动，阈值设为1.2。该模拟展示条件选择如何形成平均前兆，不对应真实脑电效应量，也不证明全部准备电位由这种机制产生。[D014]" title="" id="1087" name="Picture"/>
            <a:graphic>
              <a:graphicData uri="http://schemas.openxmlformats.org/drawingml/2006/picture">
                <pic:pic>
                  <pic:nvPicPr>
                    <pic:cNvPr descr="/tmp/claude-0/-home-user-i18ns/3184e246-229e-5a65-b6f3-3f7647a222c4/scratchpad/src/B_media/media/image8.png" id="1088" name="Picture"/>
                    <pic:cNvPicPr>
                      <a:picLocks noChangeArrowheads="1" noChangeAspect="1"/>
                    </pic:cNvPicPr>
                  </pic:nvPicPr>
                  <pic:blipFill>
                    <a:blip r:embed="rId1086"/>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bookmarkStart w:id="1089" w:name="fig-d5"/>
      <w:bookmarkEnd w:id="1089"/>
      <w:r>
        <w:rPr>
          <w:bCs/>
          <w:b/>
        </w:rPr>
        <w:t xml:space="preserve">图 8　</w:t>
      </w:r>
      <w:r>
        <w:t xml:space="preserve">阈值事件对齐的教学模拟。1200条自相关随机路径在丢弃初始阶段后选取上跨阈值事件，每条路径至多一次，并平均事件前100步；棕线按独立随机时刻取窗。灰线为部分示例路径。状态每步更新为前值的0.98倍加上标准差0.15的零均值高斯扰动，阈值设为1.2。该模拟展示条件选择如何形成平均前兆，不对应真实脑电效应量，也不证明全部准备电位由这种机制产生</w:t>
      </w:r>
      <w:r>
        <w:rPr>
          <w:vertAlign w:val="superscript"/>
        </w:rPr>
        <w:t xml:space="preserve">[</w:t>
      </w:r>
      <w:hyperlink w:anchor="ref-580">
        <w:r>
          <w:rPr>
            <w:rStyle w:val="Hyperlink"/>
            <w:vertAlign w:val="superscript"/>
          </w:rPr>
          <w:t xml:space="preserve">580</w:t>
        </w:r>
      </w:hyperlink>
      <w:r>
        <w:rPr>
          <w:vertAlign w:val="superscript"/>
        </w:rPr>
        <w:t xml:space="preserve">]</w:t>
      </w:r>
      <w:r>
        <w:t xml:space="preserve">。</w:t>
      </w:r>
    </w:p>
    <w:bookmarkEnd w:id="1090"/>
    <w:bookmarkStart w:id="1091" w:name="sec-54-11"/>
    <w:p>
      <w:pPr>
        <w:pStyle w:val="Heading3"/>
      </w:pPr>
      <w:r>
        <w:t xml:space="preserve">54.11　动作能够在多晚被取消</w:t>
      </w:r>
    </w:p>
    <w:p>
      <w:pPr>
        <w:pStyle w:val="FirstParagraph"/>
      </w:pPr>
      <w:r>
        <w:t xml:space="preserve">准备过程开始后，行动可能仍然可被取消或修改。停止动作需要感知停止信号、更新任务状态并影响运动输出，因此可取消范围取决于这些过程的时间。无法在动作发生前极短时间完成停止，不等于此前整个准备过程已不可改变。</w:t>
      </w:r>
    </w:p>
    <w:p>
      <w:pPr>
        <w:pStyle w:val="BodyText"/>
      </w:pPr>
      <w:r>
        <w:t xml:space="preserve">Schultze-Kraft等使用实时脑机预测与停止信号研究这一问题，报告的10人分析支持准备电位出现后仍可取消动作；约动作前200毫秒附近出现其任务中的取消边界。该数值属于特定动作、信号和分析条件，不能用作所有决定统一的不可逆时点</w:t>
      </w:r>
      <w:r>
        <w:rPr>
          <w:vertAlign w:val="superscript"/>
        </w:rPr>
        <w:t xml:space="preserve">[</w:t>
      </w:r>
      <w:hyperlink w:anchor="ref-583">
        <w:r>
          <w:rPr>
            <w:rStyle w:val="Hyperlink"/>
            <w:vertAlign w:val="superscript"/>
          </w:rPr>
          <w:t xml:space="preserve">583</w:t>
        </w:r>
      </w:hyperlink>
      <w:r>
        <w:rPr>
          <w:vertAlign w:val="superscript"/>
        </w:rPr>
        <w:t xml:space="preserve">]</w:t>
      </w:r>
      <w:r>
        <w:t xml:space="preserve">。</w:t>
      </w:r>
    </w:p>
    <w:p>
      <w:pPr>
        <w:pStyle w:val="BodyText"/>
      </w:pPr>
      <w:r>
        <w:t xml:space="preserve">还应区分没有启动动作与启动后未完成目标。肌电已经出现，按钮尚未按下，意味着运动过程的不同阶段可以受到不同程度影响。若只看最终按钮结果，会遗漏已经发生的部分动作。清楚定义结局能够改变对取消能力的判断。</w:t>
      </w:r>
    </w:p>
    <w:p>
      <w:pPr>
        <w:pStyle w:val="BodyText"/>
      </w:pPr>
      <w:r>
        <w:t xml:space="preserve">这一实验路径也没有单独解决自由意志的哲学问题。它提供关于行动控制的具体机制证据，说明某些早期前兆不能简单等同于行为已不可阻止。如何把这种控制能力纳入责任或自由的概念，需要另行论证。</w:t>
      </w:r>
    </w:p>
    <w:bookmarkEnd w:id="1091"/>
    <w:bookmarkStart w:id="1092" w:name="sec-54-12"/>
    <w:p>
      <w:pPr>
        <w:pStyle w:val="Heading3"/>
      </w:pPr>
      <w:r>
        <w:t xml:space="preserve">54.12　有理由的选择怎样改变实验问题</w:t>
      </w:r>
    </w:p>
    <w:p>
      <w:pPr>
        <w:pStyle w:val="FirstParagraph"/>
      </w:pPr>
      <w:r>
        <w:t xml:space="preserve">研究有理由选择时，需要控制信息获取、比较难度、行动准备和报告。若某条件需要更长阅读或更复杂计算，神经差异可能包含这些成分。将实验设计得更接近日常选择，同时保持机制可辨识，是一个持续的难题。</w:t>
      </w:r>
    </w:p>
    <w:p>
      <w:pPr>
        <w:pStyle w:val="BodyText"/>
      </w:pPr>
      <w:r>
        <w:t xml:space="preserve">一个重要区别是选择何时行动与选择做什么。参与者可能早已决定最终要按键，只在等待合适时间。此时，所谓决定前兆主要涉及时间安排。把它推广到选择职业、接受治疗或改变价值观，会超出任务直接检验的对象。</w:t>
      </w:r>
    </w:p>
    <w:bookmarkEnd w:id="1092"/>
    <w:bookmarkStart w:id="1093" w:name="sec-54-13"/>
    <w:p>
      <w:pPr>
        <w:pStyle w:val="Heading3"/>
      </w:pPr>
      <w:r>
        <w:t xml:space="preserve">54.13　随机性、确定性与控制能力</w:t>
      </w:r>
    </w:p>
    <w:p>
      <w:pPr>
        <w:pStyle w:val="FirstParagraph"/>
      </w:pPr>
      <w:r>
        <w:t xml:space="preserve">如果一个过程存在随机成分，随机本身不会自动产生对目标负责的控制。完全随机选择可能更难预测，却未必更符合个人理由。可预测程度、随机程度和自主控制因此不能直接等同。</w:t>
      </w:r>
    </w:p>
    <w:p>
      <w:pPr>
        <w:pStyle w:val="BodyText"/>
      </w:pPr>
      <w:r>
        <w:t xml:space="preserve">关于自然规律是否决定所有细节，也需要区分物理理论、实际可预测性和心理描述。一个系统可以遵循规律，同时因复杂性而难以预测；一个统计预测可以准确，同时没有完整机制模型。某次神经实验通常只检验其中很小一部分。</w:t>
      </w:r>
    </w:p>
    <w:bookmarkEnd w:id="1093"/>
    <w:bookmarkStart w:id="1094" w:name="sec-54-14"/>
    <w:p>
      <w:pPr>
        <w:pStyle w:val="Heading3"/>
      </w:pPr>
      <w:r>
        <w:t xml:space="preserve">54.14　从个人能力到社会责任</w:t>
      </w:r>
    </w:p>
    <w:p>
      <w:pPr>
        <w:pStyle w:val="FirstParagraph"/>
      </w:pPr>
      <w:r>
        <w:t xml:space="preserve">社会制度可以考虑控制能力的程度、发展阶段和疾病影响，这些都是可研究的问题。神经科学能够提供关于能力和限制的信息，具体规范仍包含价值和制度选择。把脑数据当作直接给出唯一法律答案的装置，会混淆事实与规范。</w:t>
      </w:r>
    </w:p>
    <w:p>
      <w:pPr>
        <w:pStyle w:val="BodyText"/>
      </w:pPr>
      <w:r>
        <w:t xml:space="preserve">有价值的研究可以进一步测量行动修改、理由理解、学习后果和情境依赖，明确哪些能力在什么条件下受损。这样的能力描述比笼统宣布人类有或没有自由，更容易进入可检验科学与审慎实践。</w:t>
      </w:r>
    </w:p>
    <w:bookmarkEnd w:id="1094"/>
    <w:bookmarkStart w:id="1095" w:name="sec-54-15"/>
    <w:p>
      <w:pPr>
        <w:pStyle w:val="Heading3"/>
      </w:pPr>
      <w:r>
        <w:t xml:space="preserve">54.15　假设论证练习</w:t>
      </w:r>
    </w:p>
    <w:p>
      <w:pPr>
        <w:pStyle w:val="FirstParagraph"/>
      </w:pPr>
      <w:r>
        <w:t xml:space="preserve">有人提出：“模型提前预测我的选择达到60%，因此我的意识在所有决定中都无作用。”假设这60%经过了独立验证，仍只支持在该任务和群体中存在预测信息。要得到后半句，还需证明预测信息代表已完成的不可逆决定，证明意识相关过程没有参与后续调整，并证明该任务足以代表所有决定。缺失的前提应分别检验。</w:t>
      </w:r>
    </w:p>
    <w:p>
      <w:pPr>
        <w:pStyle w:val="BodyText"/>
      </w:pPr>
      <w:r>
        <w:t xml:space="preserve">另一人反驳：“有40%预测错误，所以自由意志已被证明。”这一反驳也不成立。预测误差可以来自噪声、信息不足或模型限制；随机性本身也不等于依据理由的控制。双方都应把可测能力、信息结构和哲学定义展开，避免从单一准确率直接作出形而上结论。</w:t>
      </w:r>
    </w:p>
    <w:p>
      <w:pPr>
        <w:pStyle w:val="BodyText"/>
      </w:pPr>
      <w:r>
        <w:t xml:space="preserve">若希望检验一个较窄命题，可以研究在某一神经信号出现后提供停止提示，参与者能否取消动作，以及取消概率如何随时间变化。这样的设计直接约束控制的时间条件。它仍无法独自裁决全部自由意志，但能产生明确、可重复、可改进的知识。</w:t>
      </w:r>
    </w:p>
    <w:p>
      <w:pPr>
        <w:pStyle w:val="BodyText"/>
      </w:pPr>
      <w:r>
        <w:rPr>
          <w:bCs/>
          <w:b/>
        </w:rPr>
        <w:t xml:space="preserve">本章的结论边界</w:t>
      </w:r>
      <w:r>
        <w:t xml:space="preserve">　行动形成包含超出即时自我报告的过程，相关神经信号值得认真研究。关于所有选择、意识因果力和道德责任的总论，需要额外经验与哲学论证。把局部实验结果保留在其范围内，可以同时承认发现的重要性和理论仍待解决的部分。</w:t>
      </w:r>
    </w:p>
    <w:bookmarkEnd w:id="1095"/>
    <w:bookmarkEnd w:id="1096"/>
    <w:bookmarkEnd w:id="1097"/>
    <w:bookmarkStart w:id="1326" w:name="part-6"/>
    <w:p>
      <w:pPr>
        <w:pStyle w:val="Heading1"/>
      </w:pPr>
      <w:r>
        <w:t xml:space="preserve">第六编　证伪：怎样检验一条脑科学说法</w:t>
      </w:r>
    </w:p>
    <w:p>
      <w:pPr>
        <w:pStyle w:val="PartIntro"/>
      </w:pPr>
      <w:r>
        <w:t xml:space="preserve">这一编讲判断脑科学说法所需要的方法：先把一句说法改写成可以被证据推翻的问题，再看效应有多大、研究设计能支持什么推断、结果能否重复，神经测量本身能提供多少信息，相关怎样走到因果，群体差异能否用于个人，动物结果怎样转化到人体，以及脑科学解释什么时候真正增加了知识。最后一章把这些方法收拢成一份可以随手使用的检查顺序。</w:t>
      </w:r>
    </w:p>
    <w:bookmarkStart w:id="1103" w:name="ch-55"/>
    <w:p>
      <w:pPr>
        <w:pStyle w:val="Heading2"/>
      </w:pPr>
      <w:r>
        <w:t xml:space="preserve">第55章　读懂脑科学说法的五个前提</w:t>
      </w:r>
    </w:p>
    <w:p>
      <w:pPr>
        <w:pStyle w:val="FirstParagraph"/>
      </w:pPr>
      <w:r>
        <w:t xml:space="preserve">读到一条脑科学说法，先对照下面五个前提，通常能较快找到它的主要缺口；全书各章都会用到它们。冥想研究还要多加一个前提：“冥想”是一大类彼此不同的练习，见</w:t>
      </w:r>
      <w:r>
        <w:t xml:space="preserve"> </w:t>
      </w:r>
      <w:hyperlink w:anchor="sec-108-2">
        <w:r>
          <w:rPr>
            <w:rStyle w:val="Hyperlink"/>
          </w:rPr>
          <w:t xml:space="preserve">108.2</w:t>
        </w:r>
      </w:hyperlink>
      <w:r>
        <w:t xml:space="preserve">。</w:t>
      </w:r>
    </w:p>
    <w:bookmarkStart w:id="1098" w:name="sec-55-1"/>
    <w:p>
      <w:pPr>
        <w:pStyle w:val="Heading3"/>
      </w:pPr>
      <w:r>
        <w:t xml:space="preserve">55.1　脑区与功能是多对多的关系</w:t>
      </w:r>
    </w:p>
    <w:p>
      <w:pPr>
        <w:pStyle w:val="FirstParagraph"/>
      </w:pPr>
      <w:r>
        <w:t xml:space="preserve">大脑里没有“恐惧区”“幸福区”“理性区”这种一一对应的分工。一个脑区参与许多功能，一种心理功能也动用许多脑区。杏仁核会对威胁信号起反应，也会对奖赏、新奇刺激和陌生面孔起反应；前扣带皮层和前岛叶在疼痛、注意切换、情绪、决策和身体感觉的任务里几乎都会出现。</w:t>
      </w:r>
    </w:p>
    <w:p>
      <w:pPr>
        <w:pStyle w:val="BodyText"/>
      </w:pPr>
      <w:r>
        <w:t xml:space="preserve">这直接影响对成像结果的解读。研究者看到岛叶激活，就推断被试“身体觉知更强”，这一步叫逆向推断，也就是从脑活动倒推心理过程</w:t>
      </w:r>
      <w:r>
        <w:rPr>
          <w:vertAlign w:val="superscript"/>
        </w:rPr>
        <w:t xml:space="preserve">[</w:t>
      </w:r>
      <w:hyperlink w:anchor="ref-584">
        <w:r>
          <w:rPr>
            <w:rStyle w:val="Hyperlink"/>
            <w:vertAlign w:val="superscript"/>
          </w:rPr>
          <w:t xml:space="preserve">584</w:t>
        </w:r>
      </w:hyperlink>
      <w:r>
        <w:rPr>
          <w:vertAlign w:val="superscript"/>
        </w:rPr>
        <w:t xml:space="preserve">]</w:t>
      </w:r>
      <w:r>
        <w:t xml:space="preserve">。逆向推断的可靠程度取决于这个区域对这个功能有多专一。一个计算示例：按当时的一个文献数据库和特定的激活定义，先验概率取一半时，看到布罗卡区激活，只能把“正在加工语言”的概率提高到约 0.69，相当于似然比约 2.2，证据增量有限</w:t>
      </w:r>
      <w:r>
        <w:rPr>
          <w:vertAlign w:val="superscript"/>
        </w:rPr>
        <w:t xml:space="preserve">[</w:t>
      </w:r>
      <w:hyperlink w:anchor="ref-584">
        <w:r>
          <w:rPr>
            <w:rStyle w:val="Hyperlink"/>
            <w:vertAlign w:val="superscript"/>
          </w:rPr>
          <w:t xml:space="preserve">584</w:t>
        </w:r>
      </w:hyperlink>
      <w:r>
        <w:rPr>
          <w:vertAlign w:val="superscript"/>
        </w:rPr>
        <w:t xml:space="preserve">]</w:t>
      </w:r>
      <w:r>
        <w:t xml:space="preserve">。一项基于大规模文献数据库的研究在引言里举过一个例子：恐惧会稳定地激活杏仁核，许多别的情感与非情感状态也会，所以看到杏仁核激活还不能断定被试在恐惧。它的数据分析进一步显示，背侧前扣带和前岛叶在工作记忆、情绪、疼痛等各类任务中普遍激活，选择性很低</w:t>
      </w:r>
      <w:r>
        <w:rPr>
          <w:vertAlign w:val="superscript"/>
        </w:rPr>
        <w:t xml:space="preserve">[</w:t>
      </w:r>
      <w:hyperlink w:anchor="ref-585">
        <w:r>
          <w:rPr>
            <w:rStyle w:val="Hyperlink"/>
            <w:vertAlign w:val="superscript"/>
          </w:rPr>
          <w:t xml:space="preserve">585</w:t>
        </w:r>
      </w:hyperlink>
      <w:r>
        <w:rPr>
          <w:vertAlign w:val="superscript"/>
        </w:rPr>
        <w:t xml:space="preserve">]</w:t>
      </w:r>
      <w:r>
        <w:t xml:space="preserve">，而它们恰好是冥想研究中最常被报告的区域。反过来，一个脑区对多种任务都有反应，也不说明它在当前任务里没有特定作用；判断要结合任务操控、分区、时间进程、连接，以及损伤或干预研究。区域的选择性、因果上的必要性和预测的准确度，是三个不同的概念。</w:t>
      </w:r>
    </w:p>
    <w:p>
      <w:pPr>
        <w:pStyle w:val="CalloutPractice"/>
      </w:pPr>
      <w:r>
        <w:rPr>
          <w:bCs/>
          <w:b/>
        </w:rPr>
        <w:t xml:space="preserve">练习中的含义　</w:t>
      </w:r>
      <w:r>
        <w:t xml:space="preserve">读到“某某区亮了，说明某某”时，先问一句：这个区在别的任务里亮不亮？如果几乎什么任务都亮，这条推论本身分量很轻，要看实验对比、控制条件和独立的行为指标能不能把它补足。</w:t>
      </w:r>
    </w:p>
    <w:p>
      <w:pPr>
        <w:pStyle w:val="BodyText"/>
      </w:pPr>
      <w:r>
        <w:t xml:space="preserve">近二十年的研究重心已经从单个脑区转向网络，关注哪些区域在时间上协同活动、彼此之间怎样切换。网络层面同样有逆向推断的问题：把一个网络叫作“突显”“控制”或“自我”，并没有自动确定它在当前任务中的功能。大尺度网络见</w:t>
      </w:r>
      <w:hyperlink w:anchor="ch-93">
        <w:r>
          <w:rPr>
            <w:rStyle w:val="Hyperlink"/>
          </w:rPr>
          <w:t xml:space="preserve">第93章</w:t>
        </w:r>
      </w:hyperlink>
      <w:r>
        <w:t xml:space="preserve">。</w:t>
      </w:r>
    </w:p>
    <w:bookmarkEnd w:id="1098"/>
    <w:bookmarkStart w:id="1099" w:name="sec-55-2"/>
    <w:p>
      <w:pPr>
        <w:pStyle w:val="Heading3"/>
      </w:pPr>
      <w:r>
        <w:t xml:space="preserve">55.2　“激活”“变厚”“连接增强”各指什么</w:t>
      </w:r>
    </w:p>
    <w:p>
      <w:pPr>
        <w:pStyle w:val="FirstParagraph"/>
      </w:pPr>
      <w:r>
        <w:t xml:space="preserve">功能磁共振（fMRI）测的是血氧水平依赖信号，反映局部血流与代谢的变化，比神经放电慢几秒，是间接指标。所谓“激活”，是指某个条件下的信号相对于另一个对照条件更高；对照条件选什么，结论就跟着变。冥想研究里说“冥想时默认模式网络活动下降”，比较的对象通常是休息状态，或被试自己的走神时段。任务功能磁共振的重测信度也偏低：一项汇总 90 个实验、一千余人的分析发现，平均组内相关系数约为 0.4</w:t>
      </w:r>
      <w:r>
        <w:rPr>
          <w:vertAlign w:val="superscript"/>
        </w:rPr>
        <w:t xml:space="preserve">[</w:t>
      </w:r>
      <w:hyperlink w:anchor="ref-586">
        <w:r>
          <w:rPr>
            <w:rStyle w:val="Hyperlink"/>
            <w:vertAlign w:val="superscript"/>
          </w:rPr>
          <w:t xml:space="preserve">586</w:t>
        </w:r>
      </w:hyperlink>
      <w:r>
        <w:rPr>
          <w:vertAlign w:val="superscript"/>
        </w:rPr>
        <w:t xml:space="preserve">]</w:t>
      </w:r>
      <w:r>
        <w:t xml:space="preserve">。这主要限制用它区分个人、寻找个人层面的生物标记；组平均层面的任务效应是否稳定，需要另外评估。组内相关系数还取决于样本内真实个体差异的大小，同样的测量误差，放在更同质的样本里会得到更低的系数。</w:t>
      </w:r>
    </w:p>
    <w:p>
      <w:pPr>
        <w:pStyle w:val="BodyText"/>
      </w:pPr>
      <w:r>
        <w:t xml:space="preserve">结构磁共振测的是灰质体积、灰质“密度”或皮层厚度。这里的“密度”是基于体素的形态学方法经过组织分割、配准和平滑得到的图像指标，反映体素中灰质所占的比例；神经元的数量密度要靠组织学测量；皮层厚度的估计还依赖灰白质交界处的对比度，髓鞘化程度和扫描序列都会移动这条交界。这些数字的变化可能来自神经元、胶质细胞、突触、血管或组织含水量，磁共振本身无法区分。几个与训练无关的因素就能让测量值出现可检测的波动：同一个人从早到晚，测得的脑体积会下降</w:t>
      </w:r>
      <w:r>
        <w:rPr>
          <w:vertAlign w:val="superscript"/>
        </w:rPr>
        <w:t xml:space="preserve">[</w:t>
      </w:r>
      <w:hyperlink w:anchor="ref-587">
        <w:r>
          <w:rPr>
            <w:rStyle w:val="Hyperlink"/>
            <w:vertAlign w:val="superscript"/>
          </w:rPr>
          <w:t xml:space="preserve">587</w:t>
        </w:r>
      </w:hyperlink>
      <w:r>
        <w:rPr>
          <w:vertAlign w:val="superscript"/>
        </w:rPr>
        <w:t xml:space="preserve">]</w:t>
      </w:r>
      <w:r>
        <w:t xml:space="preserve">；扫描时头部轻微移动会让灰质体积和皮层厚度的估计系统性偏低</w:t>
      </w:r>
      <w:r>
        <w:rPr>
          <w:vertAlign w:val="superscript"/>
        </w:rPr>
        <w:t xml:space="preserve">[</w:t>
      </w:r>
      <w:hyperlink w:anchor="ref-588">
        <w:r>
          <w:rPr>
            <w:rStyle w:val="Hyperlink"/>
            <w:vertAlign w:val="superscript"/>
          </w:rPr>
          <w:t xml:space="preserve">588</w:t>
        </w:r>
      </w:hyperlink>
      <w:r>
        <w:rPr>
          <w:vertAlign w:val="superscript"/>
        </w:rPr>
        <w:t xml:space="preserve">]</w:t>
      </w:r>
      <w:r>
        <w:t xml:space="preserve">；一项实验中，16 小时不饮水让测得的脑体积平均缩小约 0.55%，补水后回升约 0.72%</w:t>
      </w:r>
      <w:r>
        <w:rPr>
          <w:vertAlign w:val="superscript"/>
        </w:rPr>
        <w:t xml:space="preserve">[</w:t>
      </w:r>
      <w:hyperlink w:anchor="ref-589">
        <w:r>
          <w:rPr>
            <w:rStyle w:val="Hyperlink"/>
            <w:vertAlign w:val="superscript"/>
          </w:rPr>
          <w:t xml:space="preserve">589</w:t>
        </w:r>
      </w:hyperlink>
      <w:r>
        <w:rPr>
          <w:vertAlign w:val="superscript"/>
        </w:rPr>
        <w:t xml:space="preserve">]</w:t>
      </w:r>
      <w:r>
        <w:t xml:space="preserve">，这组数字只说明在那种条件下的幅度；日常饮水造成的普遍误差，需要另外估计；在临床扫描常见的饮水与过夜禁食条件下，一项 20 人的研究没有测到脑体积和脑含水量的明显变化</w:t>
      </w:r>
      <w:r>
        <w:rPr>
          <w:vertAlign w:val="superscript"/>
        </w:rPr>
        <w:t xml:space="preserve">[</w:t>
      </w:r>
      <w:hyperlink w:anchor="ref-590">
        <w:r>
          <w:rPr>
            <w:rStyle w:val="Hyperlink"/>
            <w:vertAlign w:val="superscript"/>
          </w:rPr>
          <w:t xml:space="preserve">590</w:t>
        </w:r>
      </w:hyperlink>
      <w:r>
        <w:rPr>
          <w:vertAlign w:val="superscript"/>
        </w:rPr>
        <w:t xml:space="preserve">]</w:t>
      </w:r>
      <w:r>
        <w:t xml:space="preserve">。一项比较三种常用分析流程的研究发现，同一流程内的重复测量相当可靠，不同流程在组水平上的估计也在多数脑区高度相关；同一个人的绝对厚度却随流程而变，只宜在同一软件内比较；流程之间一致性最低、流程内可靠性也最低的，正是岛叶和旁边缘皮层</w:t>
      </w:r>
      <w:r>
        <w:rPr>
          <w:vertAlign w:val="superscript"/>
        </w:rPr>
        <w:t xml:space="preserve">[</w:t>
      </w:r>
      <w:hyperlink w:anchor="ref-591">
        <w:r>
          <w:rPr>
            <w:rStyle w:val="Hyperlink"/>
            <w:vertAlign w:val="superscript"/>
          </w:rPr>
          <w:t xml:space="preserve">591</w:t>
        </w:r>
      </w:hyperlink>
      <w:r>
        <w:rPr>
          <w:vertAlign w:val="superscript"/>
        </w:rPr>
        <w:t xml:space="preserve">]</w:t>
      </w:r>
      <w:r>
        <w:t xml:space="preserve">，而岛叶是冥想结构研究中报告最多的区域之一。</w:t>
      </w:r>
    </w:p>
    <w:p>
      <w:pPr>
        <w:pStyle w:val="BodyText"/>
      </w:pPr>
      <w:r>
        <w:t xml:space="preserve">功能成像还有一个对冥想研究格外重要的混杂：呼吸。呼吸的深浅和快慢会改变血液中的二氧化碳，二氧化碳又会改变脑血流，从而改变 BOLD 信号；与呼吸变化有关的信号波动分布很广，其中一部分落在默认网络所在的区域</w:t>
      </w:r>
      <w:r>
        <w:rPr>
          <w:vertAlign w:val="superscript"/>
        </w:rPr>
        <w:t xml:space="preserve">[</w:t>
      </w:r>
      <w:hyperlink w:anchor="ref-592">
        <w:r>
          <w:rPr>
            <w:rStyle w:val="Hyperlink"/>
            <w:vertAlign w:val="superscript"/>
          </w:rPr>
          <w:t xml:space="preserve">592</w:t>
        </w:r>
      </w:hyperlink>
      <w:r>
        <w:rPr>
          <w:vertAlign w:val="superscript"/>
        </w:rPr>
        <w:t xml:space="preserve">]</w:t>
      </w:r>
      <w:r>
        <w:t xml:space="preserve">。冥想常常让呼吸变慢，即使被试一动不动，也可能出现看起来像“网络变化”的生理信号。较严谨的研究会同步记录呼吸、心率和呼气末二氧化碳，在分析中加以校正，或者设计呼吸相匹配而注意方式不同的对照。校正之前要先说清研究的问题，也就是事先定义要估计的是哪一种效应：如果关心的是冥想作为整体对脑信号的影响，呼吸的变化本身就是途径的一部分；如果关心的是不经由呼吸的神经机制，才需要把它分离出去。事后把受训练影响的呼吸变量放进模型，可能改变问题本身，也可能引入新的偏差，把与呼吸有关的信号全部回归掉，还可能去掉一部分真实的效应。呼气末二氧化碳、呼吸频率和潮气量提供的信息各不相同，只记录一条呼吸带，不能保证通气变化已被充分控制。</w:t>
      </w:r>
    </w:p>
    <w:p>
      <w:pPr>
        <w:pStyle w:val="BodyText"/>
      </w:pPr>
      <w:r>
        <w:t xml:space="preserve">弥散成像中的各向异性分数（FA）描述水分子沿白质纤维方向扩散的一致程度，常被称作“白质完整性”。按不同的重建算法估计，约六成到九成的白质体素含有交叉纤维</w:t>
      </w:r>
      <w:r>
        <w:rPr>
          <w:vertAlign w:val="superscript"/>
        </w:rPr>
        <w:t xml:space="preserve">[</w:t>
      </w:r>
      <w:hyperlink w:anchor="ref-593">
        <w:r>
          <w:rPr>
            <w:rStyle w:val="Hyperlink"/>
            <w:vertAlign w:val="superscript"/>
          </w:rPr>
          <w:t xml:space="preserve">593</w:t>
        </w:r>
      </w:hyperlink>
      <w:r>
        <w:rPr>
          <w:vertAlign w:val="superscript"/>
        </w:rPr>
        <w:t xml:space="preserve">]</w:t>
      </w:r>
      <w:r>
        <w:t xml:space="preserve">，FA 升高可能来自髓鞘增厚、纤维排列更整齐，也可能来自交叉纤维中一组纤维的丢失，它不能直接读成“白质更好”</w:t>
      </w:r>
      <w:r>
        <w:rPr>
          <w:vertAlign w:val="superscript"/>
        </w:rPr>
        <w:t xml:space="preserve">[</w:t>
      </w:r>
      <w:hyperlink w:anchor="ref-594">
        <w:r>
          <w:rPr>
            <w:rStyle w:val="Hyperlink"/>
            <w:vertAlign w:val="superscript"/>
          </w:rPr>
          <w:t xml:space="preserve">594</w:t>
        </w:r>
      </w:hyperlink>
      <w:r>
        <w:rPr>
          <w:vertAlign w:val="superscript"/>
        </w:rPr>
        <w:t xml:space="preserve">]</w:t>
      </w:r>
      <w:r>
        <w:t xml:space="preserve">。这是常用张量模型的局限；多壳层采集、纤维群模型和定量髓鞘成像能提供更多约束，最终仍需组织学验证。功能连接是两个区域信号在时间上的相关程度，它既不说明两者之间有直接的解剖连线，也不说明信息从哪一边流向哪一边；共同的输入、全脑的生理波动、头动和预处理步骤都能制造相关。列出这些可能性，并不等于每一项连接发现都是伪迹。</w:t>
      </w:r>
    </w:p>
    <w:p>
      <w:pPr>
        <w:pStyle w:val="CalloutJudgment"/>
      </w:pPr>
      <w:r>
        <w:rPr>
          <w:bCs/>
          <w:b/>
        </w:rPr>
        <w:t xml:space="preserve">判断　</w:t>
      </w:r>
      <w:r>
        <w:t xml:space="preserve">“更大、更厚、更活跃、连接更强”本身没有好坏含义。神经变化可以反映学习、注意策略、代偿、疲劳，也可能与不良体验有关，即使没有伴随临床改善，也有研究价值；要主张某个变化是健康改善的标志或机制，需要证明它与相关结局的联系，并检验替代解释。</w:t>
      </w:r>
      <w:r>
        <w:rPr>
          <w:bCs/>
          <w:b/>
        </w:rPr>
        <w:t xml:space="preserve">成立·高</w:t>
      </w:r>
    </w:p>
    <w:p>
      <w:pPr>
        <w:pStyle w:val="BodyText"/>
      </w:pPr>
      <w:r>
        <w:t xml:space="preserve">还有一点常被忽略：学会任何技能，大脑都会发生某种变化。“冥想改变大脑”在最弱的意义上必然成立，但这只是物理实现层面的背景。学习留下的变化能否被现有的磁共振指标测到、在什么尺度上、能维持多久，都要靠实验回答。有信息量的问题是：变化是什么、有多大、是否为冥想所特有、能维持多久、与哪些获益相关。</w:t>
      </w:r>
    </w:p>
    <w:bookmarkEnd w:id="1099"/>
    <w:bookmarkStart w:id="1100" w:name="sec-55-3"/>
    <w:p>
      <w:pPr>
        <w:pStyle w:val="Heading3"/>
      </w:pPr>
      <w:r>
        <w:t xml:space="preserve">55.3　样本量、分析自由度与可重复性</w:t>
      </w:r>
    </w:p>
    <w:p>
      <w:pPr>
        <w:pStyle w:val="FirstParagraph"/>
      </w:pPr>
      <w:r>
        <w:t xml:space="preserve">早期冥想脑成像研究大多每组十几到三十人。神经科学研究的统计功效普遍偏低，2013 年的一项分析汇总了 49 项元分析中的 730 项研究，估计功效的中位数约为 21%</w:t>
      </w:r>
      <w:r>
        <w:rPr>
          <w:vertAlign w:val="superscript"/>
        </w:rPr>
        <w:t xml:space="preserve">[</w:t>
      </w:r>
      <w:hyperlink w:anchor="ref-595">
        <w:r>
          <w:rPr>
            <w:rStyle w:val="Hyperlink"/>
            <w:vertAlign w:val="superscript"/>
          </w:rPr>
          <w:t xml:space="preserve">595</w:t>
        </w:r>
      </w:hyperlink>
      <w:r>
        <w:rPr>
          <w:vertAlign w:val="superscript"/>
        </w:rPr>
        <w:t xml:space="preserve">]</w:t>
      </w:r>
      <w:r>
        <w:t xml:space="preserve">。功效低带来两个后果：真实存在的效应常被漏掉；侥幸达到显著的结果又往往高估了效应的大小。</w:t>
      </w:r>
    </w:p>
    <w:p>
      <w:pPr>
        <w:pStyle w:val="BodyText"/>
      </w:pPr>
      <w:r>
        <w:t xml:space="preserve">个体之间的“脑结构—行为特征”相关研究问题更大。2022 年发表在《自然》上的一项分析使用约五万人的数据，发现这类相关的中位数只有约 0.01，能在独立样本中重复的最大相关约为 0.16；在 25 人的样本里，相关系数的 99% 置信区间宽达正负 0.52，两项研究完全可能得出相反的结论</w:t>
      </w:r>
      <w:r>
        <w:rPr>
          <w:vertAlign w:val="superscript"/>
        </w:rPr>
        <w:t xml:space="preserve">[</w:t>
      </w:r>
      <w:hyperlink w:anchor="ref-596">
        <w:r>
          <w:rPr>
            <w:rStyle w:val="Hyperlink"/>
            <w:vertAlign w:val="superscript"/>
          </w:rPr>
          <w:t xml:space="preserve">596</w:t>
        </w:r>
      </w:hyperlink>
      <w:r>
        <w:rPr>
          <w:vertAlign w:val="superscript"/>
        </w:rPr>
        <w:t xml:space="preserve">]</w:t>
      </w:r>
      <w:r>
        <w:t xml:space="preserve">。另一些研究者指出，用恰当交叉验证的多变量方法，几百人的样本也能得到可重复的结果</w:t>
      </w:r>
      <w:r>
        <w:rPr>
          <w:vertAlign w:val="superscript"/>
        </w:rPr>
        <w:t xml:space="preserve">[</w:t>
      </w:r>
      <w:hyperlink w:anchor="ref-597">
        <w:r>
          <w:rPr>
            <w:rStyle w:val="Hyperlink"/>
            <w:vertAlign w:val="superscript"/>
          </w:rPr>
          <w:t xml:space="preserve">597</w:t>
        </w:r>
      </w:hyperlink>
      <w:r>
        <w:rPr>
          <w:vertAlign w:val="superscript"/>
        </w:rPr>
        <w:t xml:space="preserve">]</w:t>
      </w:r>
      <w:r>
        <w:t xml:space="preserve">。无论哪一方，冥想领域几十人规模的特质相关研究都远远不够。这些警告针对的是跨个体的“脑—特质”相关；同一受试者反复测量的状态对比、组平均的任务效应，误差结构不同，样本要求也不同。样本需要多大，取决于真实效应、噪声、测量可靠性、模型复杂程度和可接受的误差，单一的“需要几千人”标准不适用于所有问题。多变量方法的交叉验证也有前提：特征选择、调参和预处理都要放在训练折内完成，外部测试还要避免同一站点或同一受试者重复出现。</w:t>
      </w:r>
    </w:p>
    <w:p>
      <w:pPr>
        <w:pStyle w:val="BodyText"/>
      </w:pPr>
      <w:r>
        <w:t xml:space="preserve">分析方法的自由度同样关键。2020 年的一项实验把同一份 fMRI 数据交给 70 个独立团队，检验同样的 9 个假设，没有两个团队用了完全相同的分析流程。1 个假设约 84% 的团队报告显著，3 个假设只有约 6% 的团队报告显著，其余 5 个假设报告显著的团队占 21% 到 37%：同一份数据、同一个假设，有的团队报告显著，有的团队报告不显著</w:t>
      </w:r>
      <w:r>
        <w:rPr>
          <w:vertAlign w:val="superscript"/>
        </w:rPr>
        <w:t xml:space="preserve">[</w:t>
      </w:r>
      <w:hyperlink w:anchor="ref-598">
        <w:r>
          <w:rPr>
            <w:rStyle w:val="Hyperlink"/>
            <w:vertAlign w:val="superscript"/>
          </w:rPr>
          <w:t xml:space="preserve">598</w:t>
        </w:r>
      </w:hyperlink>
      <w:r>
        <w:rPr>
          <w:vertAlign w:val="superscript"/>
        </w:rPr>
        <w:t xml:space="preserve">]</w:t>
      </w:r>
      <w:r>
        <w:t xml:space="preserve">。2016 年的一项研究用近五百人的真实静息数据检验当时常用软件的聚类推断方法，发现在某些设置下，即使没有真实效应，至少出现一个假阳性脑区的概率（族错误率）也可高达 70%，远高于名义上的 5%</w:t>
      </w:r>
      <w:r>
        <w:rPr>
          <w:vertAlign w:val="superscript"/>
        </w:rPr>
        <w:t xml:space="preserve">[</w:t>
      </w:r>
      <w:hyperlink w:anchor="ref-599">
        <w:r>
          <w:rPr>
            <w:rStyle w:val="Hyperlink"/>
            <w:vertAlign w:val="superscript"/>
          </w:rPr>
          <w:t xml:space="preserve">599</w:t>
        </w:r>
      </w:hyperlink>
      <w:r>
        <w:rPr>
          <w:vertAlign w:val="superscript"/>
        </w:rPr>
        <w:t xml:space="preserve">]</w:t>
      </w:r>
      <w:r>
        <w:t xml:space="preserve">。这说明当时常用的方法有缺陷。70% 是在没有真实效应的数据上、特定设置下算出的族错误率；把它换算成“已发表研究中 70% 的结论是错的”，并不成立。已发表的脑图受影响的程度，取决于各自所用的软件、阈值和设置。更早的“死鲑鱼”演示用一条死鱼的扫描数据说明，不做多重比较校正时，研究者可以“看到”根本不存在的激活</w:t>
      </w:r>
      <w:r>
        <w:rPr>
          <w:vertAlign w:val="superscript"/>
        </w:rPr>
        <w:t xml:space="preserve">[</w:t>
      </w:r>
      <w:hyperlink w:anchor="ref-600">
        <w:r>
          <w:rPr>
            <w:rStyle w:val="Hyperlink"/>
            <w:vertAlign w:val="superscript"/>
          </w:rPr>
          <w:t xml:space="preserve">600</w:t>
        </w:r>
      </w:hyperlink>
      <w:r>
        <w:rPr>
          <w:vertAlign w:val="superscript"/>
        </w:rPr>
        <w:t xml:space="preserve">]</w:t>
      </w:r>
      <w:r>
        <w:t xml:space="preserve">；它演示了不做校正的风险。做了恰当校正的研究，不能据此同样判为不可靠。</w:t>
      </w:r>
    </w:p>
    <w:p>
      <w:pPr>
        <w:pStyle w:val="BodyText"/>
      </w:pPr>
      <w:r>
        <w:t xml:space="preserve">还有一种常见的重复计数：同一批受试者常被写成多篇论文，分别报告结构、功能、行为、生物指标或新的分析方法；后来的元分析又会纳入此前的单项试验。这些论文增加了结局和分析角度，独立的样本仍只有一个，计数时只能算一次。本书能确认时会注明，例如“资源计划”、Age-Well 试验、TAME 试验的不同阶段、同一位高阶修行者的多篇论文、同一童年逆境队列的不同脑区文章。论文篇数与独立证据数量之间的差距，是这个领域最容易制造“已经反复验证”印象的因素之一。</w:t>
      </w:r>
    </w:p>
    <w:p>
      <w:pPr>
        <w:pStyle w:val="CalloutPractice"/>
      </w:pPr>
      <w:r>
        <w:rPr>
          <w:bCs/>
          <w:b/>
        </w:rPr>
        <w:t xml:space="preserve">练习中的含义　</w:t>
      </w:r>
      <w:r>
        <w:t xml:space="preserve">把单项、几十人规模的脑成像发现当作待检验的假设。可靠性来自多项独立研究的累积：预注册分析方案能减少选择性分析，保证不了盲法、测量效度和外部效度；新研究即使更大，如果换了人群、训练、对照或结局，回答的就是相关但不同的问题。</w:t>
      </w:r>
    </w:p>
    <w:bookmarkEnd w:id="1100"/>
    <w:bookmarkStart w:id="1101" w:name="sec-55-4"/>
    <w:p>
      <w:pPr>
        <w:pStyle w:val="Heading3"/>
      </w:pPr>
      <w:r>
        <w:t xml:space="preserve">55.4　横断面、纵向与随机对照</w:t>
      </w:r>
    </w:p>
    <w:p>
      <w:pPr>
        <w:pStyle w:val="FirstParagraph"/>
      </w:pPr>
      <w:r>
        <w:t xml:space="preserve">很多流行说法来自长期冥想者与普通人的横断面比较。这类比较无法回答谁导致了谁：能坚持冥想几十年的人，可能本来就在性格、健康习惯、饮酒、运动、社会支持和受教育程度上与别人不同。</w:t>
      </w:r>
    </w:p>
    <w:p>
      <w:pPr>
        <w:pStyle w:val="BodyText"/>
      </w:pPr>
      <w:r>
        <w:t xml:space="preserve">只有前后测、没有对照组的研究，混入了时间推移、重复测量带来的熟悉感和参与者的期望。用“候补名单”做对照可以控制时间，控制不了期望、注意力和团体支持。</w:t>
      </w:r>
    </w:p>
    <w:p>
      <w:pPr>
        <w:pStyle w:val="BodyText"/>
      </w:pPr>
      <w:r>
        <w:t xml:space="preserve">最有说服力的设计是随机分组加主动对照。读随机试验时还要看五件事：分配是否隐藏，结果评估者是否设盲，退出和缺失怎样处理，是否按最初的随机分组分析，对照项目的可信度、期待、与施治者的接触和居家投入是否在数据中真的相近；作者声称“主动对照已匹配”，只说明设计意图。随机分组估计的是“被分到整套干预”的平均效果。一套干预往往由多个成分组成，例如正念减压同时包含静坐、身体扫描、瑜伽、教师接触和团体支持，其中哪一部分在起作用，要靠拆解式的设计来回答。冥想研究在对照和设盲上的特殊难处见</w:t>
      </w:r>
      <w:r>
        <w:t xml:space="preserve"> </w:t>
      </w:r>
      <w:hyperlink w:anchor="sec-108-3">
        <w:r>
          <w:rPr>
            <w:rStyle w:val="Hyperlink"/>
          </w:rPr>
          <w:t xml:space="preserve">108.3</w:t>
        </w:r>
      </w:hyperlink>
      <w:r>
        <w:t xml:space="preserve">。</w:t>
      </w:r>
    </w:p>
    <w:bookmarkEnd w:id="1101"/>
    <w:bookmarkStart w:id="1102" w:name="sec-55-5"/>
    <w:p>
      <w:pPr>
        <w:pStyle w:val="Heading3"/>
      </w:pPr>
      <w:r>
        <w:t xml:space="preserve">55.5　利益、立场与神经科学的说服力</w:t>
      </w:r>
    </w:p>
    <w:p>
      <w:pPr>
        <w:pStyle w:val="FirstParagraph"/>
      </w:pPr>
      <w:r>
        <w:t xml:space="preserve">一项经典实验请普通读者评价心理现象的解释。给质量很差的解释附上一段与论证无关的神经科学表述之后，非专业读者对它的满意度明显上升，专家不受影响</w:t>
      </w:r>
      <w:r>
        <w:rPr>
          <w:vertAlign w:val="superscript"/>
        </w:rPr>
        <w:t xml:space="preserve">[</w:t>
      </w:r>
      <w:hyperlink w:anchor="ref-601">
        <w:r>
          <w:rPr>
            <w:rStyle w:val="Hyperlink"/>
            <w:vertAlign w:val="superscript"/>
          </w:rPr>
          <w:t xml:space="preserve">601</w:t>
        </w:r>
      </w:hyperlink>
      <w:r>
        <w:rPr>
          <w:vertAlign w:val="superscript"/>
        </w:rPr>
        <w:t xml:space="preserve">]</w:t>
      </w:r>
      <w:r>
        <w:t xml:space="preserve">。后续研究发现，起作用的是神经科学的文字，脑图本身的作用很小：一项曾报告“附上脑图会让人更相信”的研究，在十次、近两千人的重复中几乎没有效应</w:t>
      </w:r>
      <w:r>
        <w:rPr>
          <w:vertAlign w:val="superscript"/>
        </w:rPr>
        <w:t xml:space="preserve">[</w:t>
      </w:r>
      <w:hyperlink w:anchor="ref-602">
        <w:r>
          <w:rPr>
            <w:rStyle w:val="Hyperlink"/>
            <w:vertAlign w:val="superscript"/>
          </w:rPr>
          <w:t xml:space="preserve">602</w:t>
        </w:r>
      </w:hyperlink>
      <w:r>
        <w:rPr>
          <w:vertAlign w:val="superscript"/>
        </w:rPr>
        <w:t xml:space="preserve">]</w:t>
      </w:r>
      <w:r>
        <w:t xml:space="preserve">；对 60 个实验的元分析发现，多余的神经科学信息有轻微、统计上显著的说服效果，各研究之间差异很大，以文字呈现、评价满意度和理解程度时效果更明显</w:t>
      </w:r>
      <w:r>
        <w:rPr>
          <w:vertAlign w:val="superscript"/>
        </w:rPr>
        <w:t xml:space="preserve">[</w:t>
      </w:r>
      <w:hyperlink w:anchor="ref-603">
        <w:r>
          <w:rPr>
            <w:rStyle w:val="Hyperlink"/>
            <w:vertAlign w:val="superscript"/>
          </w:rPr>
          <w:t xml:space="preserve">603</w:t>
        </w:r>
      </w:hyperlink>
      <w:r>
        <w:rPr>
          <w:vertAlign w:val="superscript"/>
        </w:rPr>
        <w:t xml:space="preserve">]</w:t>
      </w:r>
      <w:r>
        <w:t xml:space="preserve">。</w:t>
      </w:r>
    </w:p>
    <w:p>
      <w:pPr>
        <w:pStyle w:val="BodyText"/>
      </w:pPr>
      <w:r>
        <w:t xml:space="preserve">神经迷思普遍存在。英国和荷兰的 242 名教师平均相信约一半的常见神经迷思，对大脑了解得越多的教师反而越容易相信</w:t>
      </w:r>
      <w:r>
        <w:rPr>
          <w:vertAlign w:val="superscript"/>
        </w:rPr>
        <w:t xml:space="preserve">[</w:t>
      </w:r>
      <w:hyperlink w:anchor="ref-604">
        <w:r>
          <w:rPr>
            <w:rStyle w:val="Hyperlink"/>
            <w:vertAlign w:val="superscript"/>
          </w:rPr>
          <w:t xml:space="preserve">604</w:t>
        </w:r>
      </w:hyperlink>
      <w:r>
        <w:rPr>
          <w:vertAlign w:val="superscript"/>
        </w:rPr>
        <w:t xml:space="preserve">]</w:t>
      </w:r>
      <w:r>
        <w:t xml:space="preserve">，这是调查中的相关，可能受题目构成、作答风格和样本选择影响，</w:t>
      </w:r>
      <w:hyperlink w:anchor="ch-71">
        <w:r>
          <w:rPr>
            <w:rStyle w:val="Hyperlink"/>
          </w:rPr>
          <w:t xml:space="preserve">第71章</w:t>
        </w:r>
      </w:hyperlink>
      <w:r>
        <w:t xml:space="preserve">还会讲到方向相反的结果；美国的一项调查中，公众平均认同 68% 的迷思，神经科学接触较多的人也认同 46%</w:t>
      </w:r>
      <w:r>
        <w:rPr>
          <w:vertAlign w:val="superscript"/>
        </w:rPr>
        <w:t xml:space="preserve">[</w:t>
      </w:r>
      <w:hyperlink w:anchor="ref-605">
        <w:r>
          <w:rPr>
            <w:rStyle w:val="Hyperlink"/>
            <w:vertAlign w:val="superscript"/>
          </w:rPr>
          <w:t xml:space="preserve">605</w:t>
        </w:r>
      </w:hyperlink>
      <w:r>
        <w:rPr>
          <w:vertAlign w:val="superscript"/>
        </w:rPr>
        <w:t xml:space="preserve">]</w:t>
      </w:r>
      <w:r>
        <w:t xml:space="preserve">。</w:t>
      </w:r>
    </w:p>
    <w:p>
      <w:pPr>
        <w:pStyle w:val="BodyText"/>
      </w:pPr>
      <w:r>
        <w:t xml:space="preserve">研究者、开发者和传播者的利益与立场，也会影响证据怎样被产生和呈现。这些因素都不足以否定某一项具体研究。它们提高了正面结论在被采信之前需要满足的复现要求。评估时要看实际的资助来源、知识产权、培训或销售收入、开发者是否参与干预或评估，以及预注册、数据公开和独立重复的情况；批评者、竞争方案的开发者和公共传播者同样可能有立场，同样按具体论证和资料判断。冥想研究特有的利益关系见</w:t>
      </w:r>
      <w:r>
        <w:t xml:space="preserve"> </w:t>
      </w:r>
      <w:hyperlink w:anchor="sec-108-4">
        <w:r>
          <w:rPr>
            <w:rStyle w:val="Hyperlink"/>
          </w:rPr>
          <w:t xml:space="preserve">108.4</w:t>
        </w:r>
      </w:hyperlink>
      <w:r>
        <w:t xml:space="preserve">。</w:t>
      </w:r>
    </w:p>
    <w:p>
      <w:pPr>
        <w:pStyle w:val="CalloutJudgment"/>
      </w:pPr>
      <w:r>
        <w:rPr>
          <w:bCs/>
          <w:b/>
        </w:rPr>
        <w:t xml:space="preserve">判断　</w:t>
      </w:r>
      <w:r>
        <w:t xml:space="preserve">展示一张脑图不构成额外的证明。要评价的是产生这张图的设计、测量、分析和独立验证，以及图中结果对当前说法到底提供了多少新信息；与论证无关的装饰性脑图不增加可信度。</w:t>
      </w:r>
      <w:r>
        <w:rPr>
          <w:bCs/>
          <w:b/>
        </w:rPr>
        <w:t xml:space="preserve">成立·高</w:t>
      </w:r>
    </w:p>
    <w:bookmarkEnd w:id="1102"/>
    <w:bookmarkEnd w:id="1103"/>
    <w:bookmarkStart w:id="1112" w:name="ch-56"/>
    <w:p>
      <w:pPr>
        <w:pStyle w:val="Heading2"/>
      </w:pPr>
      <w:r>
        <w:t xml:space="preserve">第56章　怎样把脑科学说法改写成可检验问题</w:t>
      </w:r>
    </w:p>
    <w:bookmarkStart w:id="1104" w:name="sec-56-1"/>
    <w:p>
      <w:pPr>
        <w:pStyle w:val="Heading3"/>
      </w:pPr>
      <w:r>
        <w:t xml:space="preserve">56.1　先明确主张的逻辑形状</w:t>
      </w:r>
    </w:p>
    <w:p>
      <w:pPr>
        <w:pStyle w:val="FirstParagraph"/>
      </w:pPr>
      <w:r>
        <w:t xml:space="preserve">脑科学中的很多争论从一句含糊的话开始。“压力伤脑”“训练增强连接”“多巴胺让人快乐”“这个指标能预测疾病”看起来都像事实陈述，但它们省略了人群、程度、时间、比较和结局。把这些条件补齐，往往会发现一句话实际包含多个不同问题。本书的判断首先针对明确的命题，置信度也随命题改变。</w:t>
      </w:r>
    </w:p>
    <w:p>
      <w:pPr>
        <w:pStyle w:val="BodyText"/>
      </w:pPr>
      <w:r>
        <w:t xml:space="preserve">普遍命题声称所有符合条件的对象都具有某性质，一个可信反例就可能否定它。平均效应命题声称某人群在特定条件下的平均结果发生变化，个别无效者不能单独推翻它。存在命题只声称至少某些条件下能够发生，一次可靠演示可以支持存在，却不能说明普遍性。概率命题则需要明确频率或风险及其不确定性。不同逻辑形状需要不同反证。</w:t>
      </w:r>
    </w:p>
    <w:p>
      <w:pPr>
        <w:pStyle w:val="BodyText"/>
      </w:pPr>
      <w:r>
        <w:t xml:space="preserve">例如，“任何压力都会不可逆地杀死大量神经元”与“长期严重应激在某些模型中影响特定组织和功能”具有完全不同的证据负担。前一句包含任何压力、所有对象、细胞死亡、大量和不可逆五项强条件。后一句限定了暴露、模型和结局。观察到一种条件下的生理变化，不能同时证明前一句的全部部分。</w:t>
      </w:r>
    </w:p>
    <w:p>
      <w:pPr>
        <w:pStyle w:val="BodyText"/>
      </w:pPr>
      <w:r>
        <w:t xml:space="preserve">“可能”也需要纪律。若只是逻辑上无法排除，可能性几乎没有决策信息；若有机制线索、动物干预或初步人体结果，则应明确是哪一种。把“尚不能排除”写成“很有希望”，会把证据强度向上移动。反过来，证据不足以确认也不等于已证明绝对不可能。</w:t>
      </w:r>
    </w:p>
    <w:bookmarkEnd w:id="1104"/>
    <w:bookmarkStart w:id="1105" w:name="sec-56-2"/>
    <w:p>
      <w:pPr>
        <w:pStyle w:val="Heading3"/>
      </w:pPr>
      <w:r>
        <w:t xml:space="preserve">56.2　对象、人群、暴露、比较、结局和时间</w:t>
      </w:r>
    </w:p>
    <w:p>
      <w:pPr>
        <w:pStyle w:val="FirstParagraph"/>
      </w:pPr>
      <w:r>
        <w:t xml:space="preserve">一个实用问题应说明研究对象是谁，接受或经历什么，与什么比较，观察什么结果，以及在多长时间内观察。临床干预常用PICO框架组织这些要素，加入时间和情境后更接近实际决策。基础实验还需要说明细胞类型、脑区、物种、状态和测量尺度。</w:t>
      </w:r>
    </w:p>
    <w:p>
      <w:pPr>
        <w:pStyle w:val="BodyText"/>
      </w:pPr>
      <w:r>
        <w:t xml:space="preserve">“提高记忆”至少可以指即时回忆、延迟保持、识别准确率、日常忘事、学习速度或痴呆发生。某种训练只改善练习材料的即时回忆时，无法据此承诺日常能力或长期预防。把结局写得具体，有助于看见研究与宣传之间是否发生了替换。</w:t>
      </w:r>
    </w:p>
    <w:p>
      <w:pPr>
        <w:pStyle w:val="BodyText"/>
      </w:pPr>
      <w:r>
        <w:t xml:space="preserve">比较对象同样决定结论。干预与完全不参与相比，可以反映整套活动的效果；与等时间、等期待的主动对照相比，可以更直接检验其特定成分；与已有有效治疗相比，则回答增益或替代价值。不同对照都可能合理，必须与主张匹配。</w:t>
      </w:r>
    </w:p>
    <w:p>
      <w:pPr>
        <w:pStyle w:val="BodyText"/>
      </w:pPr>
      <w:r>
        <w:t xml:space="preserve">时间至少包含干预开始、持续时长、测量时点和随访期限。一次任务中的短时变化，无法自动推到几个月后的保持；观察数年的诊断差异，也需要检查期间其他治疗、失访和结局测量。时点模糊会让不同研究看似冲突，实际上回答不同问题。</w:t>
      </w:r>
    </w:p>
    <w:bookmarkEnd w:id="1105"/>
    <w:bookmarkStart w:id="1106" w:name="sec-56-3"/>
    <w:p>
      <w:pPr>
        <w:pStyle w:val="Heading3"/>
      </w:pPr>
      <w:r>
        <w:t xml:space="preserve">56.3　区分测量、定义、解释和价值</w:t>
      </w:r>
    </w:p>
    <w:p>
      <w:pPr>
        <w:pStyle w:val="FirstParagraph"/>
      </w:pPr>
      <w:r>
        <w:t xml:space="preserve">测量给出某个工具的读数，定义说明概念如何使用，解释提出变量为何共同变化，价值判断说明什么结果值得追求。它们可以互相联系，但承担不同论证任务。例如，某量表分数下降属于测量；是否达到临床改善标准涉及定义和经验验证；下降为何发生属于解释；某种收益是否值得成本涉及价值。</w:t>
      </w:r>
    </w:p>
    <w:p>
      <w:pPr>
        <w:pStyle w:val="BodyText"/>
      </w:pPr>
      <w:r>
        <w:t xml:space="preserve">把复杂概念完全等同于单一指标，会让结论受工具限制。信任博弈中的转账金额、记忆测验中的正确数和脑电某频段功率，都只是特定操作化。研究者应说明它们与目标概念的关系，并使用不同测量检验收敛和差异。一个指标与另一个指标相关，也不自动意味着两者是同一概念。</w:t>
      </w:r>
    </w:p>
    <w:p>
      <w:pPr>
        <w:pStyle w:val="BodyText"/>
      </w:pPr>
      <w:r>
        <w:t xml:space="preserve">价值分歧需要公开目标。有人优先提高学习效率，有人优先减少压力，有人优先保护儿童自主性。同一干预可能在这些目标上产生不同权衡。神经数据可以帮助估计后果，无法把某种价值排序证明为唯一正确。本书因此把事实判断与价值讨论分开表述。</w:t>
      </w:r>
    </w:p>
    <w:bookmarkEnd w:id="1106"/>
    <w:bookmarkStart w:id="1107" w:name="sec-56-4"/>
    <w:p>
      <w:pPr>
        <w:pStyle w:val="Heading3"/>
      </w:pPr>
      <w:r>
        <w:t xml:space="preserve">56.4　四种证据状态</w:t>
      </w:r>
    </w:p>
    <w:p>
      <w:pPr>
        <w:pStyle w:val="FirstParagraph"/>
      </w:pPr>
      <w:r>
        <w:t xml:space="preserve">第一种是有较强反证：主张要求的必要预测没有成立，或出现了可靠反例。第二种是支持不足：现有设计、样本或结果无法支持强结论，但仍容许某些较小或有条件的效果。第三种是模型过度简化：真实分工被压缩成单一区域或分子的专属功能。第四种是定义或层次混淆：测量对象与解释目标发生替换。一个条目可能同时涉及多种状态。</w:t>
      </w:r>
    </w:p>
    <w:p>
      <w:pPr>
        <w:pStyle w:val="BodyText"/>
      </w:pPr>
      <w:r>
        <w:t xml:space="preserve">“没有发现”必须补充检验能力。小样本和粗糙测量可以让实际存在的效应难以检出；高精度结果则可能排除有实际意义的效应范围。无显著差异只是分析结果的一种描述。要判断它对理论有何意义，需要知道理论预测多大变化以及研究能排除多大变化</w:t>
      </w:r>
      <w:r>
        <w:rPr>
          <w:vertAlign w:val="superscript"/>
        </w:rPr>
        <w:t xml:space="preserve">[</w:t>
      </w:r>
      <w:hyperlink w:anchor="ref-606">
        <w:r>
          <w:rPr>
            <w:rStyle w:val="Hyperlink"/>
            <w:vertAlign w:val="superscript"/>
          </w:rPr>
          <w:t xml:space="preserve">606</w:t>
        </w:r>
      </w:hyperlink>
      <w:r>
        <w:rPr>
          <w:vertAlign w:val="superscript"/>
        </w:rPr>
        <w:t xml:space="preserve">]</w:t>
      </w:r>
      <w:r>
        <w:t xml:space="preserve">。</w:t>
      </w:r>
    </w:p>
    <w:p>
      <w:pPr>
        <w:pStyle w:val="BodyText"/>
      </w:pPr>
      <w:r>
        <w:t xml:space="preserve">同样，阳性结果需要考虑效应大小、选择过程和可重复性。研究报告P值很小，可以说明在特定模型下数据与零假设不相容，却无法说明偏倚不存在，也不保证收益足够大。统计判断、机制判断和实践判断应分别完成</w:t>
      </w:r>
      <w:r>
        <w:rPr>
          <w:vertAlign w:val="superscript"/>
        </w:rPr>
        <w:t xml:space="preserve">[</w:t>
      </w:r>
      <w:hyperlink w:anchor="ref-607">
        <w:r>
          <w:rPr>
            <w:rStyle w:val="Hyperlink"/>
            <w:vertAlign w:val="superscript"/>
          </w:rPr>
          <w:t xml:space="preserve">607</w:t>
        </w:r>
      </w:hyperlink>
      <w:r>
        <w:rPr>
          <w:vertAlign w:val="superscript"/>
        </w:rPr>
        <w:t xml:space="preserve">]</w:t>
      </w:r>
      <w:r>
        <w:t xml:space="preserve">。</w:t>
      </w:r>
    </w:p>
    <w:bookmarkEnd w:id="1107"/>
    <w:bookmarkStart w:id="1108" w:name="sec-56-5"/>
    <w:p>
      <w:pPr>
        <w:pStyle w:val="Heading3"/>
      </w:pPr>
      <w:r>
        <w:t xml:space="preserve">56.5　对结论标注置信度的方法</w:t>
      </w:r>
    </w:p>
    <w:p>
      <w:pPr>
        <w:pStyle w:val="FirstParagraph"/>
      </w:pPr>
      <w:r>
        <w:t xml:space="preserve">本书使用高、中、低置信度作为综合判断的语言标记。它们表示对明确命题的证据把握，不冒充由统一算法计算出的概率，也不等同正式GRADE分级。高置信度通常来自清晰定义、多种独立方法和稳定重复；中置信度表示有直接证据，但存在重要限制或结果不一致；低置信度常见于小样本、间接指标、机制推测和未充分验证的推广。</w:t>
      </w:r>
    </w:p>
    <w:p>
      <w:pPr>
        <w:pStyle w:val="BodyText"/>
      </w:pPr>
      <w:r>
        <w:t xml:space="preserve">同一章节可以同时具有不同置信度。例如，对某递质具有特定受体作用的判断较高，对其在某类任务中的平均影响可能中等，对某个口服产品能长期改善所有人的生活则可能较低。把整章或整个研究领域只贴一个等级，会丢失这些差异。</w:t>
      </w:r>
    </w:p>
    <w:p>
      <w:pPr>
        <w:pStyle w:val="BodyText"/>
      </w:pPr>
      <w:r>
        <w:t xml:space="preserve">置信度的更新应依靠新证据和新论证。单次反驳、权威表态和传播热度不足以自动改变结论。新的高质量重复、发现测量错误、确认数据泄漏或出现适用范围不同的人体试验，都可能改变判断。更新时要明确改变了哪一层，避免因为一处错误而放弃全部可靠知识。</w:t>
      </w:r>
    </w:p>
    <w:bookmarkEnd w:id="1108"/>
    <w:bookmarkStart w:id="1109" w:name="sec-56-6"/>
    <w:p>
      <w:pPr>
        <w:pStyle w:val="Heading3"/>
      </w:pPr>
      <w:r>
        <w:t xml:space="preserve">56.6　证据之间怎样相互制约</w:t>
      </w:r>
    </w:p>
    <w:p>
      <w:pPr>
        <w:pStyle w:val="FirstParagraph"/>
      </w:pPr>
      <w:r>
        <w:t xml:space="preserve">多种方法一致可以提高可信度，前提是它们没有共享同一个关键偏倚。同一数据库的多个分析、同一试验的多个随访和同一团队反复处理同一批资料，都不能全部当作独立重复。需要追踪样本来源和分析依赖。</w:t>
      </w:r>
    </w:p>
    <w:p>
      <w:pPr>
        <w:pStyle w:val="BodyText"/>
      </w:pPr>
      <w:r>
        <w:t xml:space="preserve">不同方法也可能出现真正有信息的差异。动物机制研究发现某通路重要，人体试验却未见临床收益，可能提示剂量、疾病阶段或结局转换存在问题。影像相关存在而病损没有明显损害，可能提示冗余、补偿或关联来自其他过程。差异应推动更精确的假说，不能自动用一句“脑很复杂”结束解释。</w:t>
      </w:r>
    </w:p>
    <w:p>
      <w:pPr>
        <w:pStyle w:val="BodyText"/>
      </w:pPr>
      <w:r>
        <w:t xml:space="preserve">一个能同时解释正面与负面结果的模型，必须说明条件如何在事前决定不同预测。如果条件只能在结果出来后任意指定，模型的解释力有限。可预先测量的调节变量、独立验证的亚组规则和明确失败标准，可以把复杂性转变为可检验知识。</w:t>
      </w:r>
    </w:p>
    <w:bookmarkEnd w:id="1109"/>
    <w:bookmarkStart w:id="1110" w:name="sec-56-7"/>
    <w:p>
      <w:pPr>
        <w:pStyle w:val="Heading3"/>
      </w:pPr>
      <w:r>
        <w:t xml:space="preserve">56.7　从新闻标题回到原始证据</w:t>
      </w:r>
    </w:p>
    <w:p>
      <w:pPr>
        <w:pStyle w:val="FirstParagraph"/>
      </w:pPr>
      <w:r>
        <w:t xml:space="preserve">阅读脑科学新闻时，先找研究类型和实际样本。细胞、组织、动物、健康志愿者和临床患者对应不同范围。接着识别主要结局，确认标题中的能力是否真的被测量。然后检查对照、效应量、区间及主要分析是否预先指定。最后查看资助、冲突、数据开放和后续更正。</w:t>
      </w:r>
    </w:p>
    <w:p>
      <w:pPr>
        <w:pStyle w:val="BodyText"/>
      </w:pPr>
      <w:r>
        <w:t xml:space="preserve">摘要适合初筛，方法和结果决定细节。关键数值应回到表格、图注和补充材料，尤其注意随机人数、实际接受干预人数、完成随访人数和进入分析人数的差别。同一篇论文中的不同人数都可能正确，只要它们对应不同阶段。脱离阶段只取最大的数，会让证据显得更充分。</w:t>
      </w:r>
    </w:p>
    <w:p>
      <w:pPr>
        <w:pStyle w:val="BodyText"/>
      </w:pPr>
      <w:r>
        <w:t xml:space="preserve">如果无法获得全文，应该降低对细节判断的确定性。可以保留经过摘要确认的有限结论，但不能补出没有看到的随机化、盲法或亚组方法。读者需要知道结论究竟依赖已见资料中的哪一部分。缺少信息应保持缺少，不能用惯常做法代替。</w:t>
      </w:r>
    </w:p>
    <w:bookmarkEnd w:id="1110"/>
    <w:bookmarkStart w:id="1111" w:name="sec-56-8"/>
    <w:p>
      <w:pPr>
        <w:pStyle w:val="Heading3"/>
      </w:pPr>
      <w:r>
        <w:t xml:space="preserve">56.8　教学案例</w:t>
      </w:r>
    </w:p>
    <w:p>
      <w:pPr>
        <w:pStyle w:val="FirstParagraph"/>
      </w:pPr>
      <w:r>
        <w:t xml:space="preserve">假设一则标题写“某益生菌修复情绪大脑”。原论文是一项小样本附加治疗试验，考察特定制剂在既有治疗基础上的短期症状变化。把题目改写成可检验问题后，应保留制剂、人群、附加使用、对照和时长。由此可以判断后续需要更大样本、长期随访和机制验证。标题中的修复和通用治疗均超出了已经测量的对象。</w:t>
      </w:r>
    </w:p>
    <w:p>
      <w:pPr>
        <w:pStyle w:val="BodyText"/>
      </w:pPr>
      <w:r>
        <w:t xml:space="preserve">再假设一项研究发现某训练改善特定测试，新闻写成“智力已被永久提升”。应分别检验测试是否反映广泛能力、收益是否迁移、是否持续、是否优于适当对照。即使即时测试收益可靠，也只完成了其中一个环节。准确表述让进展的真实范围更清楚。</w:t>
      </w:r>
    </w:p>
    <w:p>
      <w:pPr>
        <w:pStyle w:val="BodyText"/>
      </w:pPr>
      <w:r>
        <w:rPr>
          <w:bCs/>
          <w:b/>
        </w:rPr>
        <w:t xml:space="preserve">阅读原则</w:t>
      </w:r>
      <w:r>
        <w:t xml:space="preserve">　先把主张写清，再选择能检验它的证据。一个结论能够明确说明对象、条件、大小、局限和失败标准，通常比仅有强烈措辞更有判断价值。</w:t>
      </w:r>
    </w:p>
    <w:bookmarkEnd w:id="1111"/>
    <w:bookmarkEnd w:id="1112"/>
    <w:bookmarkStart w:id="1138" w:name="ch-57"/>
    <w:p>
      <w:pPr>
        <w:pStyle w:val="Heading2"/>
      </w:pPr>
      <w:r>
        <w:t xml:space="preserve">第57章　效应量、不确定性与实际意义</w:t>
      </w:r>
    </w:p>
    <w:p>
      <w:pPr>
        <w:pStyle w:val="FirstParagraph"/>
      </w:pPr>
      <w:r>
        <w:rPr>
          <w:bCs/>
          <w:b/>
        </w:rPr>
        <w:t xml:space="preserve">本章的证据边界</w:t>
      </w:r>
      <w:r>
        <w:t xml:space="preserve">　在已写明的模型条件下，本章给出的概率关系、效应量定义与示例运算具有高置信度。真实研究是否满足这些条件，需要另外检验。对单一统计量能够同时证明效应真实、机制成立且具有实际价值的主张，支持不足；这种限制来自不同问题的逻辑结构</w:t>
      </w:r>
      <w:r>
        <w:rPr>
          <w:vertAlign w:val="superscript"/>
        </w:rPr>
        <w:t xml:space="preserve">[</w:t>
      </w:r>
      <w:hyperlink w:anchor="ref-606">
        <w:r>
          <w:rPr>
            <w:rStyle w:val="Hyperlink"/>
            <w:vertAlign w:val="superscript"/>
          </w:rPr>
          <w:t xml:space="preserve">606</w:t>
        </w:r>
      </w:hyperlink>
      <w:r>
        <w:rPr>
          <w:vertAlign w:val="superscript"/>
        </w:rPr>
        <w:t xml:space="preserve">,</w:t>
      </w:r>
      <w:hyperlink w:anchor="ref-607">
        <w:r>
          <w:rPr>
            <w:rStyle w:val="Hyperlink"/>
            <w:vertAlign w:val="superscript"/>
          </w:rPr>
          <w:t xml:space="preserve">607</w:t>
        </w:r>
      </w:hyperlink>
      <w:r>
        <w:rPr>
          <w:vertAlign w:val="superscript"/>
        </w:rPr>
        <w:t xml:space="preserve">]</w:t>
      </w:r>
      <w:r>
        <w:t xml:space="preserve">。</w:t>
      </w:r>
    </w:p>
    <w:bookmarkStart w:id="1113" w:name="sec-57-1"/>
    <w:p>
      <w:pPr>
        <w:pStyle w:val="Heading3"/>
      </w:pPr>
      <w:r>
        <w:t xml:space="preserve">57.1　原始单位应优先保留</w:t>
      </w:r>
    </w:p>
    <w:p>
      <w:pPr>
        <w:pStyle w:val="FirstParagraph"/>
      </w:pPr>
      <w:r>
        <w:t xml:space="preserve">分数提高3分、反应时间缩短40毫秒、每100人少发生5例事件，都保留了可解释的单位。标准化效应量便于跨量表汇总，但会受到样本标准差和测量性质影响。报告标准化数值时，最好同时提供原始单位或具有实际意义的参照。</w:t>
      </w:r>
    </w:p>
    <w:p>
      <w:pPr>
        <w:pStyle w:val="BodyText"/>
      </w:pPr>
      <w:r>
        <w:t xml:space="preserve">假设两项研究都使记忆成绩提高4分。第一项样本的标准差是8分，标准化差异为0.5；第二项标准差是16分，标准化差异为0.25。原始改善相同，标准化效应不同。原因是样本分散程度改变了分母。把0.5机械称作好、0.25机械称作差，会忽视量表含义、基线状态和决策目标。</w:t>
      </w:r>
    </w:p>
    <w:p>
      <w:pPr>
        <w:pStyle w:val="BodyText"/>
      </w:pPr>
      <w:r>
        <w:t xml:space="preserve">标准化效应的正负还依赖编码。某量表越高越好，另一量表越高代表症状越重；合并前需要统一方向。变化分数的标准差与末次测量标准差也不同。读元分析时，应确认效应量定义，否则相似数字可能代表不同统计对象。</w:t>
      </w:r>
    </w:p>
    <w:bookmarkEnd w:id="1113"/>
    <w:bookmarkStart w:id="1114" w:name="sec-57-2"/>
    <w:p>
      <w:pPr>
        <w:pStyle w:val="Heading3"/>
      </w:pPr>
      <w:r>
        <w:t xml:space="preserve">57.2　相对变化与绝对变化</w:t>
      </w:r>
    </w:p>
    <w:p>
      <w:pPr>
        <w:pStyle w:val="FirstParagraph"/>
      </w:pPr>
      <w:r>
        <w:t xml:space="preserve">以下是计算示例。若对照组一年内事件风险20%，干预组15%，绝对风险降低5个百分点，相对风险（即风险比）为0.75，相对风险降低25%。在相同时间范围及条件下，绝对风险差的倒数为20，即平均对20人采用该策略，可对应少发生1例事件。这个需要治疗人数是群体平均估计，不能承诺具体哪一个人受益。</w:t>
      </w:r>
    </w:p>
    <w:p>
      <w:pPr>
        <w:pStyle w:val="BodyText"/>
      </w:pPr>
      <w:r>
        <w:t xml:space="preserve">如果基线风险只有2%，同样相对风险0.75对应1.5%的干预风险，绝对降低0.5个百分点，需要治疗人数为200。相对效应相同，实际收益规模却不同。时间范围、目标人群和基线风险因此必须与数字一起报告。</w:t>
      </w:r>
    </w:p>
    <w:p>
      <w:pPr>
        <w:pStyle w:val="BodyText"/>
      </w:pPr>
      <w:r>
        <w:t xml:space="preserve">相对“减缓下降”还需要特别解释。假设对照组分数下降2分，治疗组下降1.5分，可以说相对下降幅度减少25%，两组仍然都发生下降。改善速度、减缓恶化、恢复正常和治愈属于不同结局。需要把绝对分数、量表范围和随访时间保留在解释中。</w:t>
      </w:r>
    </w:p>
    <w:p>
      <w:pPr>
        <w:pStyle w:val="BodyText"/>
      </w:pPr>
      <w:r>
        <w:t xml:space="preserve">比值比与风险比也不能随意互换。事件较少时，两者数值可能接近；事件较常见时，差别可以很大。若对照风险50%、治疗风险25%，风险比为0.5，而比值比为三分之一左右。把比值比直接读成风险降低比例，会夸大某些结论。</w:t>
      </w:r>
    </w:p>
    <w:bookmarkEnd w:id="1114"/>
    <w:bookmarkStart w:id="1119" w:name="sec-57-3"/>
    <w:p>
      <w:pPr>
        <w:pStyle w:val="Heading3"/>
      </w:pPr>
      <w:r>
        <w:t xml:space="preserve">57.3　群体分布与个人差异</w:t>
      </w:r>
    </w:p>
    <w:p>
      <w:pPr>
        <w:pStyle w:val="FirstParagraph"/>
      </w:pPr>
      <w:r>
        <w:t xml:space="preserve">设两个群体的指标均近似正态且标准差相同，均值相差0.5个标准差。计算可得两条分布的重叠面积约80.3%，随机选取干预组一人其分数高于对照组一人的概率约63.8%。这组数字由模型假设推得，仅用于说明模型关系。平均差异可以清楚存在，同时对单个人的区分仍然有限。</w:t>
      </w:r>
    </w:p>
    <w:p>
      <w:pPr>
        <w:pStyle w:val="Figure"/>
      </w:pPr>
      <w:r>
        <w:drawing>
          <wp:inline>
            <wp:extent cx="5334000" cy="2929943"/>
            <wp:effectExtent b="0" l="0" r="0" t="0"/>
            <wp:docPr descr="图D1 假设两组均值相差半个标准差时的分布重叠" title="" id="1116" name="Picture"/>
            <a:graphic>
              <a:graphicData uri="http://schemas.openxmlformats.org/drawingml/2006/picture">
                <pic:pic>
                  <pic:nvPicPr>
                    <pic:cNvPr descr="/tmp/claude-0/-home-user-i18ns/3184e246-229e-5a65-b6f3-3f7647a222c4/scratchpad/src/B_media/media/image1.png" id="1117" name="Picture"/>
                    <pic:cNvPicPr>
                      <a:picLocks noChangeArrowheads="1" noChangeAspect="1"/>
                    </pic:cNvPicPr>
                  </pic:nvPicPr>
                  <pic:blipFill>
                    <a:blip r:embed="rId1115"/>
                    <a:stretch>
                      <a:fillRect/>
                    </a:stretch>
                  </pic:blipFill>
                  <pic:spPr bwMode="auto">
                    <a:xfrm>
                      <a:off x="0" y="0"/>
                      <a:ext cx="5334000" cy="2929943"/>
                    </a:xfrm>
                    <a:prstGeom prst="rect">
                      <a:avLst/>
                    </a:prstGeom>
                    <a:noFill/>
                    <a:ln w="9525">
                      <a:noFill/>
                      <a:headEnd/>
                      <a:tailEnd/>
                    </a:ln>
                  </pic:spPr>
                </pic:pic>
              </a:graphicData>
            </a:graphic>
          </wp:inline>
        </w:drawing>
      </w:r>
    </w:p>
    <w:p>
      <w:pPr>
        <w:pStyle w:val="ImageCaption"/>
      </w:pPr>
      <w:bookmarkStart w:id="1118" w:name="fig-d1"/>
      <w:bookmarkEnd w:id="1118"/>
      <w:r>
        <w:rPr>
          <w:bCs/>
          <w:b/>
        </w:rPr>
        <w:t xml:space="preserve">图 9　</w:t>
      </w:r>
      <w:r>
        <w:t xml:space="preserve">假设两组均值相差半个标准差时的分布重叠</w:t>
      </w:r>
    </w:p>
    <w:p>
      <w:pPr>
        <w:pStyle w:val="BodyText"/>
      </w:pPr>
      <w:hyperlink w:anchor="fig-d1">
        <w:r>
          <w:rPr>
            <w:rStyle w:val="Hyperlink"/>
          </w:rPr>
          <w:t xml:space="preserve">图 9</w:t>
        </w:r>
      </w:hyperlink>
      <w:r>
        <w:t xml:space="preserve">中的分布来自明确假设，不能用于直接估计现实患者的结果。现实数据可能偏斜、具有不同方差或包含多个亚群。其教学价值是区分平均移动和个人确定性。若研究只报告组均值，应进一步查找分布、区间和个体层面的反应模式。</w:t>
      </w:r>
    </w:p>
    <w:p>
      <w:pPr>
        <w:pStyle w:val="BodyText"/>
      </w:pPr>
      <w:r>
        <w:t xml:space="preserve">平均收益也可能掩盖异质性。一部分人明显受益，另一部分几乎不变，甚至少数受损，都会影响平均值。识别这种差异需要足够资料和预先定义的分析。把随机波动造成的个体变化直接命名为“响应者类型”，可能夸大可预测的个体差异。</w:t>
      </w:r>
    </w:p>
    <w:bookmarkEnd w:id="1119"/>
    <w:bookmarkStart w:id="1120" w:name="sec-57-4"/>
    <w:p>
      <w:pPr>
        <w:pStyle w:val="Heading3"/>
      </w:pPr>
      <w:r>
        <w:t xml:space="preserve">57.4　置信区间怎样理解</w:t>
      </w:r>
    </w:p>
    <w:p>
      <w:pPr>
        <w:pStyle w:val="FirstParagraph"/>
      </w:pPr>
      <w:r>
        <w:t xml:space="preserve">频率学派的95%置信区间来自一种重复抽样程序：在模型与设计假设成立时，长期重复这种程序生成的区间约95%覆盖固定的真实参数。对已经得到的特定区间，不应直接套用“真实参数有95%概率在里面”的解释。日常阅读可以把它视为与数据和模型相容程度较高的一段估计范围，同时记住偏倚和模型错误可能未被包含。</w:t>
      </w:r>
    </w:p>
    <w:p>
      <w:pPr>
        <w:pStyle w:val="BodyText"/>
      </w:pPr>
      <w:r>
        <w:t xml:space="preserve">区间窄表示随机不确定性较小，不保证系统偏倚较小。一个巨大但严重混杂的数据库可以给出非常窄的区间，精确估计某种有偏关联。一个较小的随机试验可能区间更宽，却对特定因果问题更直接。精度与有效性必须分别评价。</w:t>
      </w:r>
    </w:p>
    <w:p>
      <w:pPr>
        <w:pStyle w:val="BodyText"/>
      </w:pPr>
      <w:r>
        <w:t xml:space="preserve">区间跨过零，不等于所有可能效应都很小。估计为0.1、区间从−0.5到0.7，仍容许相当不同的结果；估计为0.01、区间从−0.02到0.04，则对大效应形成更强约束。两者都可能没有达到传统显著阈值，科学含义明显不同。</w:t>
      </w:r>
    </w:p>
    <w:bookmarkEnd w:id="1120"/>
    <w:bookmarkStart w:id="1121" w:name="sec-57-5"/>
    <w:p>
      <w:pPr>
        <w:pStyle w:val="Heading3"/>
      </w:pPr>
      <w:r>
        <w:t xml:space="preserve">57.5　P值回答的有限问题</w:t>
      </w:r>
    </w:p>
    <w:p>
      <w:pPr>
        <w:pStyle w:val="FirstParagraph"/>
      </w:pPr>
      <w:r>
        <w:t xml:space="preserve">P值是在指定零假设与其他统计假设成立时，得到当前或更极端统计结果的概率。它没有直接给出零假设为真的概率，也没有给出结果由偶然造成的概率。它依赖研究设计、模型、检验统计量和分析选择</w:t>
      </w:r>
      <w:r>
        <w:rPr>
          <w:vertAlign w:val="superscript"/>
        </w:rPr>
        <w:t xml:space="preserve">[</w:t>
      </w:r>
      <w:hyperlink w:anchor="ref-607">
        <w:r>
          <w:rPr>
            <w:rStyle w:val="Hyperlink"/>
            <w:vertAlign w:val="superscript"/>
          </w:rPr>
          <w:t xml:space="preserve">607</w:t>
        </w:r>
      </w:hyperlink>
      <w:r>
        <w:rPr>
          <w:vertAlign w:val="superscript"/>
        </w:rPr>
        <w:t xml:space="preserve">]</w:t>
      </w:r>
      <w:r>
        <w:t xml:space="preserve">。</w:t>
      </w:r>
    </w:p>
    <w:p>
      <w:pPr>
        <w:pStyle w:val="BodyText"/>
      </w:pPr>
      <w:r>
        <w:t xml:space="preserve">同样大小的真实效应，在较大样本中通常更容易得到较小P值；较小P值因此无法直接代表更大的临床或心理收益。研究需要同时报告效应估计和不确定性，并讨论实际阈值。只以是否小于0.05决定一切，会丢失连续证据。</w:t>
      </w:r>
    </w:p>
    <w:p>
      <w:pPr>
        <w:pStyle w:val="BodyText"/>
      </w:pPr>
      <w:r>
        <w:t xml:space="preserve">设甲亚组效应估计0.30，P为0.04；乙亚组效应估计0.28，P为0.06。不能仅凭两侧跨过阈值不同，就宣布治疗只对甲有效。真正要检验的是两个效应的差异，也就是交互。Gelman与Stern系统说明过这种显著性比较错误</w:t>
      </w:r>
      <w:r>
        <w:rPr>
          <w:vertAlign w:val="superscript"/>
        </w:rPr>
        <w:t xml:space="preserve">[</w:t>
      </w:r>
      <w:hyperlink w:anchor="ref-608">
        <w:r>
          <w:rPr>
            <w:rStyle w:val="Hyperlink"/>
            <w:vertAlign w:val="superscript"/>
          </w:rPr>
          <w:t xml:space="preserve">608</w:t>
        </w:r>
      </w:hyperlink>
      <w:r>
        <w:rPr>
          <w:vertAlign w:val="superscript"/>
        </w:rPr>
        <w:t xml:space="preserve">]</w:t>
      </w:r>
      <w:r>
        <w:t xml:space="preserve">。</w:t>
      </w:r>
    </w:p>
    <w:bookmarkEnd w:id="1121"/>
    <w:bookmarkStart w:id="1126" w:name="sec-57-6"/>
    <w:p>
      <w:pPr>
        <w:pStyle w:val="Heading3"/>
      </w:pPr>
      <w:r>
        <w:t xml:space="preserve">57.6　等效检验与最小有意义效应</w:t>
      </w:r>
    </w:p>
    <w:p>
      <w:pPr>
        <w:pStyle w:val="FirstParagraph"/>
      </w:pPr>
      <w:r>
        <w:t xml:space="preserve">等效检验先指定实际可忽略的范围，再评估数据是否足以把效应限制在范围内。范围应来自理论、测量精度、成本收益或领域判断，最好在看数据之前确定。若事后把范围扩大到刚好包住结果，结论的约束力会下降</w:t>
      </w:r>
      <w:r>
        <w:rPr>
          <w:vertAlign w:val="superscript"/>
        </w:rPr>
        <w:t xml:space="preserve">[</w:t>
      </w:r>
      <w:hyperlink w:anchor="ref-606">
        <w:r>
          <w:rPr>
            <w:rStyle w:val="Hyperlink"/>
            <w:vertAlign w:val="superscript"/>
          </w:rPr>
          <w:t xml:space="preserve">606</w:t>
        </w:r>
      </w:hyperlink>
      <w:r>
        <w:rPr>
          <w:vertAlign w:val="superscript"/>
        </w:rPr>
        <w:t xml:space="preserve">]</w:t>
      </w:r>
      <w:r>
        <w:t xml:space="preserve">。</w:t>
      </w:r>
    </w:p>
    <w:p>
      <w:pPr>
        <w:pStyle w:val="BodyText"/>
      </w:pPr>
      <w:r>
        <w:t xml:space="preserve">等效与传统显著性可以形成四种组合：差异明确，但不能确定效应落在可忽略范围内；差异可忽略且无法区分零；差异很小但精确地偏离零；资料不足以判断是否有差异或是否等效。第一种情况若要进一步主张效应超过实用范围，需要区间整体落在等效界值之外。第三种情况提醒我们，统计显著与实际微小可以同时成立。第四种情况应明确称为不确定。</w:t>
      </w:r>
    </w:p>
    <w:p>
      <w:pPr>
        <w:pStyle w:val="Figure"/>
      </w:pPr>
      <w:r>
        <w:drawing>
          <wp:inline>
            <wp:extent cx="5334000" cy="3155323"/>
            <wp:effectExtent b="0" l="0" r="0" t="0"/>
            <wp:docPr descr="图D2 假设效应中的显著性和等效性" title="" id="1123" name="Picture"/>
            <a:graphic>
              <a:graphicData uri="http://schemas.openxmlformats.org/drawingml/2006/picture">
                <pic:pic>
                  <pic:nvPicPr>
                    <pic:cNvPr descr="/tmp/claude-0/-home-user-i18ns/3184e246-229e-5a65-b6f3-3f7647a222c4/scratchpad/src/B_media/media/image2.png" id="1124" name="Picture"/>
                    <pic:cNvPicPr>
                      <a:picLocks noChangeArrowheads="1" noChangeAspect="1"/>
                    </pic:cNvPicPr>
                  </pic:nvPicPr>
                  <pic:blipFill>
                    <a:blip r:embed="rId1122"/>
                    <a:stretch>
                      <a:fillRect/>
                    </a:stretch>
                  </pic:blipFill>
                  <pic:spPr bwMode="auto">
                    <a:xfrm>
                      <a:off x="0" y="0"/>
                      <a:ext cx="5334000" cy="3155323"/>
                    </a:xfrm>
                    <a:prstGeom prst="rect">
                      <a:avLst/>
                    </a:prstGeom>
                    <a:noFill/>
                    <a:ln w="9525">
                      <a:noFill/>
                      <a:headEnd/>
                      <a:tailEnd/>
                    </a:ln>
                  </pic:spPr>
                </pic:pic>
              </a:graphicData>
            </a:graphic>
          </wp:inline>
        </w:drawing>
      </w:r>
    </w:p>
    <w:p>
      <w:pPr>
        <w:pStyle w:val="ImageCaption"/>
      </w:pPr>
      <w:bookmarkStart w:id="1125" w:name="fig-d2"/>
      <w:bookmarkEnd w:id="1125"/>
      <w:r>
        <w:rPr>
          <w:bCs/>
          <w:b/>
        </w:rPr>
        <w:t xml:space="preserve">图 10　</w:t>
      </w:r>
      <w:r>
        <w:t xml:space="preserve">假设效应中的显著性和等效性</w:t>
      </w:r>
    </w:p>
    <w:p>
      <w:pPr>
        <w:pStyle w:val="BodyText"/>
      </w:pPr>
      <w:hyperlink w:anchor="fig-d2">
        <w:r>
          <w:rPr>
            <w:rStyle w:val="Hyperlink"/>
          </w:rPr>
          <w:t xml:space="preserve">图 10</w:t>
        </w:r>
      </w:hyperlink>
      <w:r>
        <w:t xml:space="preserve">使用假设的正态近似估计，展示95%区间与90%区间，并把±0.10设为教学用等效界值。实际研究需要论证自己的界值。两单侧检验在每侧α为0.05时与90%双侧区间的关系，是特定检验框架下的对应；不能把任意95%区间都机械当成同一种等效检验。</w:t>
      </w:r>
    </w:p>
    <w:bookmarkEnd w:id="1126"/>
    <w:bookmarkStart w:id="1127" w:name="sec-57-7"/>
    <w:p>
      <w:pPr>
        <w:pStyle w:val="Heading3"/>
      </w:pPr>
      <w:r>
        <w:t xml:space="preserve">57.7　贝叶斯推断的条件</w:t>
      </w:r>
    </w:p>
    <w:p>
      <w:pPr>
        <w:pStyle w:val="FirstParagraph"/>
      </w:pPr>
      <w:r>
        <w:t xml:space="preserve">贝叶斯推断把先验信息与当前数据的似然结合，得到后验分布。它能够在明确模型下直接表达参数的条件概率。结果依赖先验和似然假设，因此应检查合理先验变化是否改变结论。使用贝叶斯方法不会自动消除选择偏倚、测量错误或模型错误。</w:t>
      </w:r>
    </w:p>
    <w:p>
      <w:pPr>
        <w:pStyle w:val="BodyText"/>
      </w:pPr>
      <w:r>
        <w:t xml:space="preserve">贝叶斯因子比较两个模型对数据的预测支持，不能脱离所比较模型和先验范围解释。一个很宽的备择先验可能给观察到的小效应较低预测密度，使零模型看起来更有优势。报告时需要展示先验依据及敏感性，避免把单个数值当作普遍真理。</w:t>
      </w:r>
    </w:p>
    <w:p>
      <w:pPr>
        <w:pStyle w:val="BodyText"/>
      </w:pPr>
      <w:r>
        <w:t xml:space="preserve">后验概率、置信区间、P值和预测区间服务不同问题。它们可以互相补充，但不能直接换名。尤其要区分参数不确定性和新个体结果的不确定性。平均效应估计得很精确，新个体反应仍可能分散很大。</w:t>
      </w:r>
    </w:p>
    <w:bookmarkEnd w:id="1127"/>
    <w:bookmarkStart w:id="1128" w:name="sec-57-8"/>
    <w:p>
      <w:pPr>
        <w:pStyle w:val="Heading3"/>
      </w:pPr>
      <w:r>
        <w:t xml:space="preserve">57.8　测量误差与效应衰减</w:t>
      </w:r>
    </w:p>
    <w:p>
      <w:pPr>
        <w:pStyle w:val="FirstParagraph"/>
      </w:pPr>
      <w:r>
        <w:t xml:space="preserve">在简化的经典测量误差模型下，两个测量的观察相关受到各自信度影响。若真实相关为0.50，两个指标信度均为0.64，观察相关可约为0.32。这是模型推导的教学例子。它说明较低相关有时包含测量误差，但不能因此把所有弱相关都解释为潜在强机制。</w:t>
      </w:r>
    </w:p>
    <w:p>
      <w:pPr>
        <w:pStyle w:val="BodyText"/>
      </w:pPr>
      <w:r>
        <w:t xml:space="preserve">校正衰减需要可靠的信度估计和合适假设。误差若与变量、组别或结果相关，简单公式可能失效。通过增加高质量测量和改善任务设计降低误差，通常比事后依靠强假设校正更有说服力。</w:t>
      </w:r>
    </w:p>
    <w:p>
      <w:pPr>
        <w:pStyle w:val="BodyText"/>
      </w:pPr>
      <w:r>
        <w:t xml:space="preserve">差值分数具有特殊问题。两个高度相关的测量相减后，稳定个体差异可能被抵消，剩余差异包含较多误差。因此，一项能稳定诱发群体任务效应的任务，未必适合测量个人特质。Hedge等的实证研究对这一问题提供了清楚提醒</w:t>
      </w:r>
      <w:r>
        <w:rPr>
          <w:vertAlign w:val="superscript"/>
        </w:rPr>
        <w:t xml:space="preserve">[</w:t>
      </w:r>
      <w:hyperlink w:anchor="ref-421">
        <w:r>
          <w:rPr>
            <w:rStyle w:val="Hyperlink"/>
            <w:vertAlign w:val="superscript"/>
          </w:rPr>
          <w:t xml:space="preserve">421</w:t>
        </w:r>
      </w:hyperlink>
      <w:r>
        <w:rPr>
          <w:vertAlign w:val="superscript"/>
        </w:rPr>
        <w:t xml:space="preserve">]</w:t>
      </w:r>
      <w:r>
        <w:t xml:space="preserve">。</w:t>
      </w:r>
    </w:p>
    <w:bookmarkEnd w:id="1128"/>
    <w:bookmarkStart w:id="1129" w:name="sec-57-9"/>
    <w:p>
      <w:pPr>
        <w:pStyle w:val="Heading3"/>
      </w:pPr>
      <w:r>
        <w:t xml:space="preserve">57.9　多重检验与选择</w:t>
      </w:r>
    </w:p>
    <w:p>
      <w:pPr>
        <w:pStyle w:val="FirstParagraph"/>
      </w:pPr>
      <w:r>
        <w:t xml:space="preserve">若100个相互独立的零效应检验各使用0.05阈值，至少出现一次假阳性的概率约为99.4%。这个计算假设独立；现实影像检验通常相关，因此不能直接用这个数估计实际错误率。它的作用是说明，只展示大量尝试中的一个阳性会夸大证据。</w:t>
      </w:r>
    </w:p>
    <w:p>
      <w:pPr>
        <w:pStyle w:val="BodyText"/>
      </w:pPr>
      <w:r>
        <w:t xml:space="preserve">控制家族错误率关注某组检验中至少出现一次假阳性的概率。控制错误发现率关注被宣布为阳性的结果中假阳性所占比例的期望值。两种目标不同，应根据研究目的选择。校正方法需要与检验依赖结构和分析流程相匹配。</w:t>
      </w:r>
    </w:p>
    <w:p>
      <w:pPr>
        <w:pStyle w:val="BodyText"/>
      </w:pPr>
      <w:r>
        <w:t xml:space="preserve">多重性也来自研究者选择：测很多结局、尝试多个排除标准、选择最佳时间窗或在看到数据后更换模型。预注册、透明报告和独立验证可以减少部分选择空间。探索本身有价值，关键是标明它产生了新假说，随后使用新资料检验</w:t>
      </w:r>
      <w:r>
        <w:rPr>
          <w:vertAlign w:val="superscript"/>
        </w:rPr>
        <w:t xml:space="preserve">[</w:t>
      </w:r>
      <w:hyperlink w:anchor="ref-609">
        <w:r>
          <w:rPr>
            <w:rStyle w:val="Hyperlink"/>
            <w:vertAlign w:val="superscript"/>
          </w:rPr>
          <w:t xml:space="preserve">609</w:t>
        </w:r>
      </w:hyperlink>
      <w:r>
        <w:rPr>
          <w:vertAlign w:val="superscript"/>
        </w:rPr>
        <w:t xml:space="preserve">,</w:t>
      </w:r>
      <w:hyperlink w:anchor="ref-610">
        <w:r>
          <w:rPr>
            <w:rStyle w:val="Hyperlink"/>
            <w:vertAlign w:val="superscript"/>
          </w:rPr>
          <w:t xml:space="preserve">610</w:t>
        </w:r>
      </w:hyperlink>
      <w:r>
        <w:rPr>
          <w:vertAlign w:val="superscript"/>
        </w:rPr>
        <w:t xml:space="preserve">]</w:t>
      </w:r>
      <w:r>
        <w:t xml:space="preserve">。</w:t>
      </w:r>
    </w:p>
    <w:bookmarkEnd w:id="1129"/>
    <w:bookmarkStart w:id="1130" w:name="sec-57-10"/>
    <w:p>
      <w:pPr>
        <w:pStyle w:val="Heading3"/>
      </w:pPr>
      <w:r>
        <w:t xml:space="preserve">57.10　样本量与功效的规划</w:t>
      </w:r>
    </w:p>
    <w:p>
      <w:pPr>
        <w:pStyle w:val="FirstParagraph"/>
      </w:pPr>
      <w:r>
        <w:t xml:space="preserve">功效是在指定真实效应和设计假设下拒绝零假设的概率。规划时应使用有科学意义的效应范围，并考虑信度、失访、聚类和多重比较。以一项小样本研究中最大的效应作为唯一依据，可能因为效应膨胀而低估所需样本</w:t>
      </w:r>
      <w:r>
        <w:rPr>
          <w:vertAlign w:val="superscript"/>
        </w:rPr>
        <w:t xml:space="preserve">[</w:t>
      </w:r>
      <w:hyperlink w:anchor="ref-595">
        <w:r>
          <w:rPr>
            <w:rStyle w:val="Hyperlink"/>
            <w:vertAlign w:val="superscript"/>
          </w:rPr>
          <w:t xml:space="preserve">595</w:t>
        </w:r>
      </w:hyperlink>
      <w:r>
        <w:rPr>
          <w:vertAlign w:val="superscript"/>
        </w:rPr>
        <w:t xml:space="preserve">]</w:t>
      </w:r>
      <w:r>
        <w:t xml:space="preserve">。</w:t>
      </w:r>
    </w:p>
    <w:p>
      <w:pPr>
        <w:pStyle w:val="BodyText"/>
      </w:pPr>
      <w:r>
        <w:t xml:space="preserve">精度规划关注希望把区间缩窄到什么程度，常比只追求显著更贴近科学问题。如果目标是排除大到具有实际意义的收益，应该围绕该界值设计研究。若目标是估计不同亚组差异，需要为交互分析提供足够信息，不能默认主效应样本量同样充分。</w:t>
      </w:r>
    </w:p>
    <w:p>
      <w:pPr>
        <w:pStyle w:val="BodyText"/>
      </w:pPr>
      <w:r>
        <w:t xml:space="preserve">更多试次可以提高某些测量的精度，但参与者、细胞、笼和试次之间存在层级。样本量计算必须对应随机化单位和推断对象。把多个层次简单相加，会夸大信息量</w:t>
      </w:r>
      <w:r>
        <w:rPr>
          <w:vertAlign w:val="superscript"/>
        </w:rPr>
        <w:t xml:space="preserve">[</w:t>
      </w:r>
      <w:hyperlink w:anchor="ref-611">
        <w:r>
          <w:rPr>
            <w:rStyle w:val="Hyperlink"/>
            <w:vertAlign w:val="superscript"/>
          </w:rPr>
          <w:t xml:space="preserve">611</w:t>
        </w:r>
      </w:hyperlink>
      <w:r>
        <w:rPr>
          <w:vertAlign w:val="superscript"/>
        </w:rPr>
        <w:t xml:space="preserve">]</w:t>
      </w:r>
      <w:r>
        <w:t xml:space="preserve">。</w:t>
      </w:r>
    </w:p>
    <w:bookmarkEnd w:id="1130"/>
    <w:bookmarkStart w:id="1132" w:name="sec-57-11"/>
    <w:p>
      <w:pPr>
        <w:pStyle w:val="Heading3"/>
      </w:pPr>
      <w:r>
        <w:t xml:space="preserve">57.11　常见统计量回答的问题</w:t>
      </w:r>
    </w:p>
    <w:p>
      <w:pPr>
        <w:pStyle w:val="FirstParagraph"/>
      </w:pPr>
      <w:r>
        <w:t xml:space="preserve">下表把常见统计表达放回其对应问题。各项指标可同时报告，解释时需要保留模型、设计与目标量；其中没有一个数字能独自概括全部证据质量</w:t>
      </w:r>
      <w:r>
        <w:rPr>
          <w:vertAlign w:val="superscript"/>
        </w:rPr>
        <w:t xml:space="preserve">[</w:t>
      </w:r>
      <w:hyperlink w:anchor="ref-606">
        <w:r>
          <w:rPr>
            <w:rStyle w:val="Hyperlink"/>
            <w:vertAlign w:val="superscript"/>
          </w:rPr>
          <w:t xml:space="preserve">606</w:t>
        </w:r>
      </w:hyperlink>
      <w:r>
        <w:rPr>
          <w:vertAlign w:val="superscript"/>
        </w:rPr>
        <w:t xml:space="preserve">,</w:t>
      </w:r>
      <w:hyperlink w:anchor="ref-607">
        <w:r>
          <w:rPr>
            <w:rStyle w:val="Hyperlink"/>
            <w:vertAlign w:val="superscript"/>
          </w:rPr>
          <w:t xml:space="preserve">607</w:t>
        </w:r>
      </w:hyperlink>
      <w:r>
        <w:rPr>
          <w:vertAlign w:val="superscript"/>
        </w:rPr>
        <w:t xml:space="preserve">,</w:t>
      </w:r>
      <w:hyperlink w:anchor="ref-608">
        <w:r>
          <w:rPr>
            <w:rStyle w:val="Hyperlink"/>
            <w:vertAlign w:val="superscript"/>
          </w:rPr>
          <w:t xml:space="preserve">608</w:t>
        </w:r>
      </w:hyperlink>
      <w:r>
        <w:rPr>
          <w:vertAlign w:val="superscript"/>
        </w:rPr>
        <w:t xml:space="preserve">]</w:t>
      </w:r>
      <w:r>
        <w:t xml:space="preserve">。</w:t>
      </w:r>
    </w:p>
    <w:p>
      <w:pPr>
        <w:pStyle w:val="TableCaption"/>
      </w:pPr>
      <w:bookmarkStart w:id="1131" w:name="tab-stat-expr"/>
      <w:bookmarkEnd w:id="1131"/>
      <w:r>
        <w:rPr>
          <w:bCs/>
          <w:b/>
        </w:rPr>
        <w:t xml:space="preserve">表 18　常见统计表达与它们直接回答的问题</w:t>
      </w:r>
    </w:p>
    <w:tbl>
      <w:tblPr>
        <w:tblStyle w:val="Table"/>
        <w:tblW w:type="pct" w:w="5000"/>
        <w:jc w:val="start"/>
        <w:tblLook w:firstRow="1" w:lastRow="0" w:firstColumn="0" w:lastColumn="0" w:noHBand="0" w:noVBand="0" w:val="0020"/>
      </w:tblPr>
      <w:tblGrid>
        <w:gridCol w:w="742"/>
        <w:gridCol w:w="3712"/>
        <w:gridCol w:w="3464"/>
      </w:tblGrid>
      <w:tr>
        <w:trPr>
          <w:tblHeader w:val="true"/>
        </w:trPr>
        <w:tc>
          <w:tcPr>
            <w:shd w:val="clear" w:color="auto" w:fill="1F3A5F"/>
          </w:tcPr>
          <w:p>
            <w:pPr>
              <w:jc w:val="left"/>
            </w:pPr>
            <w:r>
              <w:rPr>
                <w:bCs/>
                <w:b/>
                <w:color w:val="FFFFFF"/>
              </w:rPr>
              <w:t xml:space="preserve">表达</w:t>
            </w:r>
          </w:p>
        </w:tc>
        <w:tc>
          <w:tcPr>
            <w:shd w:val="clear" w:color="auto" w:fill="1F3A5F"/>
          </w:tcPr>
          <w:p>
            <w:pPr>
              <w:jc w:val="left"/>
            </w:pPr>
            <w:r>
              <w:rPr>
                <w:bCs/>
                <w:b/>
                <w:color w:val="FFFFFF"/>
              </w:rPr>
              <w:t xml:space="preserve">直接回答的问题</w:t>
            </w:r>
          </w:p>
        </w:tc>
        <w:tc>
          <w:tcPr>
            <w:shd w:val="clear" w:color="auto" w:fill="1F3A5F"/>
          </w:tcPr>
          <w:p>
            <w:pPr>
              <w:jc w:val="left"/>
            </w:pPr>
            <w:r>
              <w:rPr>
                <w:bCs/>
                <w:b/>
                <w:color w:val="FFFFFF"/>
              </w:rPr>
              <w:t xml:space="preserve">解释时必须保留的条件</w:t>
            </w:r>
          </w:p>
        </w:tc>
      </w:tr>
      <w:tr>
        <w:tc>
          <w:tcPr/>
          <w:p>
            <w:pPr>
              <w:jc w:val="left"/>
            </w:pPr>
            <w:r>
              <w:t xml:space="preserve">原始单位差值</w:t>
            </w:r>
          </w:p>
        </w:tc>
        <w:tc>
          <w:tcPr/>
          <w:p>
            <w:pPr>
              <w:jc w:val="left"/>
            </w:pPr>
            <w:r>
              <w:t xml:space="preserve">两种条件在所测量结局上相差多少</w:t>
            </w:r>
          </w:p>
        </w:tc>
        <w:tc>
          <w:tcPr/>
          <w:p>
            <w:pPr>
              <w:jc w:val="left"/>
            </w:pPr>
            <w:r>
              <w:t xml:space="preserve">单位、基线、时间、比较方向与不确定区间</w:t>
            </w:r>
          </w:p>
        </w:tc>
      </w:tr>
      <w:tr>
        <w:tc>
          <w:tcPr/>
          <w:p>
            <w:pPr>
              <w:jc w:val="left"/>
            </w:pPr>
            <w:r>
              <w:t xml:space="preserve">标准化差值</w:t>
            </w:r>
          </w:p>
        </w:tc>
        <w:tc>
          <w:tcPr/>
          <w:p>
            <w:pPr>
              <w:jc w:val="left"/>
            </w:pPr>
            <w:r>
              <w:t xml:space="preserve">差异相对于所用标准差有多大</w:t>
            </w:r>
          </w:p>
        </w:tc>
        <w:tc>
          <w:tcPr/>
          <w:p>
            <w:pPr>
              <w:jc w:val="left"/>
            </w:pPr>
            <w:r>
              <w:t xml:space="preserve">标准差定义、测量信度和人群异质性；不能直接当临床收益</w:t>
            </w:r>
          </w:p>
        </w:tc>
      </w:tr>
      <w:tr>
        <w:tc>
          <w:tcPr/>
          <w:p>
            <w:pPr>
              <w:jc w:val="left"/>
            </w:pPr>
            <w:r>
              <w:t xml:space="preserve">风险比</w:t>
            </w:r>
          </w:p>
        </w:tc>
        <w:tc>
          <w:tcPr/>
          <w:p>
            <w:pPr>
              <w:jc w:val="left"/>
            </w:pPr>
            <w:r>
              <w:t xml:space="preserve">一组风险相对另一组风险的比例</w:t>
            </w:r>
          </w:p>
        </w:tc>
        <w:tc>
          <w:tcPr/>
          <w:p>
            <w:pPr>
              <w:jc w:val="left"/>
            </w:pPr>
            <w:r>
              <w:t xml:space="preserve">同期基础风险；相同比例可能对应很不同的绝对变化</w:t>
            </w:r>
          </w:p>
        </w:tc>
      </w:tr>
      <w:tr>
        <w:tc>
          <w:tcPr/>
          <w:p>
            <w:pPr>
              <w:jc w:val="left"/>
            </w:pPr>
            <w:r>
              <w:t xml:space="preserve">风险差</w:t>
            </w:r>
          </w:p>
        </w:tc>
        <w:tc>
          <w:tcPr/>
          <w:p>
            <w:pPr>
              <w:jc w:val="left"/>
            </w:pPr>
            <w:r>
              <w:t xml:space="preserve">两组事件概率相差多少个百分点</w:t>
            </w:r>
          </w:p>
        </w:tc>
        <w:tc>
          <w:tcPr/>
          <w:p>
            <w:pPr>
              <w:jc w:val="left"/>
            </w:pPr>
            <w:r>
              <w:t xml:space="preserve">随访长度、目标人群和事件定义</w:t>
            </w:r>
          </w:p>
        </w:tc>
      </w:tr>
      <w:tr>
        <w:tc>
          <w:tcPr/>
          <w:p>
            <w:pPr>
              <w:jc w:val="left"/>
            </w:pPr>
            <w:r>
              <w:t xml:space="preserve">p值</w:t>
            </w:r>
          </w:p>
        </w:tc>
        <w:tc>
          <w:tcPr/>
          <w:p>
            <w:pPr>
              <w:jc w:val="left"/>
            </w:pPr>
            <w:r>
              <w:t xml:space="preserve">在指定零假设及模型成立时，数据达到至少如此极端的程度有多常见</w:t>
            </w:r>
          </w:p>
        </w:tc>
        <w:tc>
          <w:tcPr/>
          <w:p>
            <w:pPr>
              <w:jc w:val="left"/>
            </w:pPr>
            <w:r>
              <w:t xml:space="preserve">检验规则、选择过程和多重比较；不能直接读成假说为假的概率</w:t>
            </w:r>
          </w:p>
        </w:tc>
      </w:tr>
      <w:tr>
        <w:tc>
          <w:tcPr/>
          <w:p>
            <w:pPr>
              <w:jc w:val="left"/>
            </w:pPr>
            <w:r>
              <w:t xml:space="preserve">置信区间</w:t>
            </w:r>
          </w:p>
        </w:tc>
        <w:tc>
          <w:tcPr/>
          <w:p>
            <w:pPr>
              <w:jc w:val="left"/>
            </w:pPr>
            <w:r>
              <w:t xml:space="preserve">与估计程序和所设覆盖率相对应的参数范围</w:t>
            </w:r>
          </w:p>
        </w:tc>
        <w:tc>
          <w:tcPr/>
          <w:p>
            <w:pPr>
              <w:jc w:val="left"/>
            </w:pPr>
            <w:r>
              <w:t xml:space="preserve">覆盖率是重复程序性质；偏倚与模型错误未必包含在内</w:t>
            </w:r>
          </w:p>
        </w:tc>
      </w:tr>
      <w:tr>
        <w:tc>
          <w:tcPr/>
          <w:p>
            <w:pPr>
              <w:jc w:val="left"/>
            </w:pPr>
            <w:r>
              <w:t xml:space="preserve">等效性检验</w:t>
            </w:r>
          </w:p>
        </w:tc>
        <w:tc>
          <w:tcPr/>
          <w:p>
            <w:pPr>
              <w:jc w:val="left"/>
            </w:pPr>
            <w:r>
              <w:t xml:space="preserve">数据是否足以排除预先界定的实质差异</w:t>
            </w:r>
          </w:p>
        </w:tc>
        <w:tc>
          <w:tcPr/>
          <w:p>
            <w:pPr>
              <w:jc w:val="left"/>
            </w:pPr>
            <w:r>
              <w:t xml:space="preserve">等效界值需独立论证；无显著差异不足以完成等效判断</w:t>
            </w:r>
          </w:p>
        </w:tc>
      </w:tr>
      <w:tr>
        <w:tc>
          <w:tcPr/>
          <w:p>
            <w:pPr>
              <w:jc w:val="left"/>
            </w:pPr>
            <w:r>
              <w:t xml:space="preserve">贝叶斯后验</w:t>
            </w:r>
          </w:p>
        </w:tc>
        <w:tc>
          <w:tcPr/>
          <w:p>
            <w:pPr>
              <w:jc w:val="left"/>
            </w:pPr>
            <w:r>
              <w:t xml:space="preserve">给定先验、似然和数据后的参数或模型不确定性</w:t>
            </w:r>
          </w:p>
        </w:tc>
        <w:tc>
          <w:tcPr/>
          <w:p>
            <w:pPr>
              <w:jc w:val="left"/>
            </w:pPr>
            <w:r>
              <w:t xml:space="preserve">先验、模型集合及敏感性分析；后验精确不保证模型正确</w:t>
            </w:r>
          </w:p>
        </w:tc>
      </w:tr>
    </w:tbl>
    <w:bookmarkEnd w:id="1132"/>
    <w:bookmarkStart w:id="1137" w:name="sec-57-12"/>
    <w:p>
      <w:pPr>
        <w:pStyle w:val="Heading3"/>
      </w:pPr>
      <w:r>
        <w:t xml:space="preserve">57.12　计算练习与答案</w:t>
      </w:r>
    </w:p>
    <w:p>
      <w:pPr>
        <w:pStyle w:val="FirstParagraph"/>
      </w:pPr>
      <w:r>
        <w:t xml:space="preserve">题目一：10000人中目标疾病比例1%，检测敏感度与特异度均95%。预计真阳性95人，假阳性495人，总阳性590人，阳性预测值约16.1%。这说明高敏感度、高特异度的检测在低基率筛查中仍可能出现很多假阳性。若用于不同人群，还需重新检查性能是否保持。</w:t>
      </w:r>
    </w:p>
    <w:p>
      <w:pPr>
        <w:pStyle w:val="Figure"/>
      </w:pPr>
      <w:r>
        <w:drawing>
          <wp:inline>
            <wp:extent cx="5334000" cy="2929943"/>
            <wp:effectExtent b="0" l="0" r="0" t="0"/>
            <wp:docPr descr="图D3 假设检测的阳性预测值随基率改变" title="" id="1134" name="Picture"/>
            <a:graphic>
              <a:graphicData uri="http://schemas.openxmlformats.org/drawingml/2006/picture">
                <pic:pic>
                  <pic:nvPicPr>
                    <pic:cNvPr descr="/tmp/claude-0/-home-user-i18ns/3184e246-229e-5a65-b6f3-3f7647a222c4/scratchpad/src/B_media/media/image3.png" id="1135" name="Picture"/>
                    <pic:cNvPicPr>
                      <a:picLocks noChangeArrowheads="1" noChangeAspect="1"/>
                    </pic:cNvPicPr>
                  </pic:nvPicPr>
                  <pic:blipFill>
                    <a:blip r:embed="rId1133"/>
                    <a:stretch>
                      <a:fillRect/>
                    </a:stretch>
                  </pic:blipFill>
                  <pic:spPr bwMode="auto">
                    <a:xfrm>
                      <a:off x="0" y="0"/>
                      <a:ext cx="5334000" cy="2929943"/>
                    </a:xfrm>
                    <a:prstGeom prst="rect">
                      <a:avLst/>
                    </a:prstGeom>
                    <a:noFill/>
                    <a:ln w="9525">
                      <a:noFill/>
                      <a:headEnd/>
                      <a:tailEnd/>
                    </a:ln>
                  </pic:spPr>
                </pic:pic>
              </a:graphicData>
            </a:graphic>
          </wp:inline>
        </w:drawing>
      </w:r>
    </w:p>
    <w:p>
      <w:pPr>
        <w:pStyle w:val="ImageCaption"/>
      </w:pPr>
      <w:bookmarkStart w:id="1136" w:name="fig-d3"/>
      <w:bookmarkEnd w:id="1136"/>
      <w:r>
        <w:rPr>
          <w:bCs/>
          <w:b/>
        </w:rPr>
        <w:t xml:space="preserve">图 11　</w:t>
      </w:r>
      <w:r>
        <w:t xml:space="preserve">假设检测的阳性预测值随基率改变</w:t>
      </w:r>
    </w:p>
    <w:p>
      <w:pPr>
        <w:pStyle w:val="BodyText"/>
      </w:pPr>
      <w:r>
        <w:t xml:space="preserve">题目二：甲组平均改善6分，乙组平均改善4分。两组在各自组内都显著改善，是否能证明甲优于乙？需要直接估计两组改善差的2分及其区间，并考虑基线和设计。组内显著性无法替代组间比较。</w:t>
      </w:r>
    </w:p>
    <w:p>
      <w:pPr>
        <w:pStyle w:val="BodyText"/>
      </w:pPr>
      <w:r>
        <w:t xml:space="preserve">题目三：某治疗风险比0.80，95%区间0.60至1.07。结果可以容许相当程度的风险降低，也容许轻度升高。准确结论应保留这种不确定性。单凭区间跨1，不能宣称已证明无效；单凭点估计降低20%，也不能承诺确定收益。</w:t>
      </w:r>
    </w:p>
    <w:p>
      <w:pPr>
        <w:pStyle w:val="BodyText"/>
      </w:pPr>
      <w:r>
        <w:t xml:space="preserve">题目四：同一干预在100次探索分析中只有一种得到P为0.03，研究者没有报告其他分析。这个P值无法在忽略选择过程的情况下按单一预设检验解释。下一步需要完整报告探索范围，并在新数据中检验明确假说。</w:t>
      </w:r>
    </w:p>
    <w:p>
      <w:pPr>
        <w:pStyle w:val="BodyText"/>
      </w:pPr>
      <w:r>
        <w:rPr>
          <w:bCs/>
          <w:b/>
        </w:rPr>
        <w:t xml:space="preserve">方法结论</w:t>
      </w:r>
      <w:r>
        <w:t xml:space="preserve">　数字的价值来自它们所回答的问题、采用的假设和保留的不确定性。原始单位、分布、区间、比较对象与实际阈值应共同进入判断。</w:t>
      </w:r>
    </w:p>
    <w:bookmarkEnd w:id="1137"/>
    <w:bookmarkEnd w:id="1138"/>
    <w:bookmarkStart w:id="1152" w:name="ch-58"/>
    <w:p>
      <w:pPr>
        <w:pStyle w:val="Heading2"/>
      </w:pPr>
      <w:r>
        <w:t xml:space="preserve">第58章　研究设计、偏倚与证据综合</w:t>
      </w:r>
    </w:p>
    <w:p>
      <w:pPr>
        <w:pStyle w:val="FirstParagraph"/>
      </w:pPr>
      <w:r>
        <w:rPr>
          <w:bCs/>
          <w:b/>
        </w:rPr>
        <w:t xml:space="preserve">本章的证据边界</w:t>
      </w:r>
      <w:r>
        <w:t xml:space="preserve">　研究问题、比较策略、测量与分析必须相互匹配，这一判断的置信度高。具体研究的可信度取决于各环节实际执行情况。对一种设计名称、一张偏倚评分表或一个合并效应能够自动决定全部证据质量的主张，支持不足；正式评价应针对明确结局和用途</w:t>
      </w:r>
      <w:r>
        <w:rPr>
          <w:vertAlign w:val="superscript"/>
        </w:rPr>
        <w:t xml:space="preserve">[</w:t>
      </w:r>
      <w:hyperlink w:anchor="ref-612">
        <w:r>
          <w:rPr>
            <w:rStyle w:val="Hyperlink"/>
            <w:vertAlign w:val="superscript"/>
          </w:rPr>
          <w:t xml:space="preserve">612</w:t>
        </w:r>
      </w:hyperlink>
      <w:r>
        <w:rPr>
          <w:vertAlign w:val="superscript"/>
        </w:rPr>
        <w:t xml:space="preserve">,</w:t>
      </w:r>
      <w:hyperlink w:anchor="ref-613">
        <w:r>
          <w:rPr>
            <w:rStyle w:val="Hyperlink"/>
            <w:vertAlign w:val="superscript"/>
          </w:rPr>
          <w:t xml:space="preserve">613</w:t>
        </w:r>
      </w:hyperlink>
      <w:r>
        <w:rPr>
          <w:vertAlign w:val="superscript"/>
        </w:rPr>
        <w:t xml:space="preserve">,</w:t>
      </w:r>
      <w:hyperlink w:anchor="ref-614">
        <w:r>
          <w:rPr>
            <w:rStyle w:val="Hyperlink"/>
            <w:vertAlign w:val="superscript"/>
          </w:rPr>
          <w:t xml:space="preserve">614</w:t>
        </w:r>
      </w:hyperlink>
      <w:r>
        <w:rPr>
          <w:vertAlign w:val="superscript"/>
        </w:rPr>
        <w:t xml:space="preserve">,</w:t>
      </w:r>
      <w:hyperlink w:anchor="ref-615">
        <w:r>
          <w:rPr>
            <w:rStyle w:val="Hyperlink"/>
            <w:vertAlign w:val="superscript"/>
          </w:rPr>
          <w:t xml:space="preserve">615</w:t>
        </w:r>
      </w:hyperlink>
      <w:r>
        <w:rPr>
          <w:vertAlign w:val="superscript"/>
        </w:rPr>
        <w:t xml:space="preserve">]</w:t>
      </w:r>
      <w:r>
        <w:t xml:space="preserve">。</w:t>
      </w:r>
    </w:p>
    <w:bookmarkStart w:id="1139" w:name="sec-58-1"/>
    <w:p>
      <w:pPr>
        <w:pStyle w:val="Heading3"/>
      </w:pPr>
      <w:r>
        <w:t xml:space="preserve">58.1　证据的可信度需要匹配问题</w:t>
      </w:r>
    </w:p>
    <w:p>
      <w:pPr>
        <w:pStyle w:val="FirstParagraph"/>
      </w:pPr>
      <w:r>
        <w:t xml:space="preserve">随机试验适合估计可实施干预的比较效果，观察研究适合描述自然发生的风险、长期轨迹和某些难以随机化的暴露，病损和刺激研究可以约束功能机制，细胞和动物实验可以深入生物过程。研究类型各有适用目标。用统一排名替代对具体问题的分析，会忽略某些重要证据。</w:t>
      </w:r>
    </w:p>
    <w:p>
      <w:pPr>
        <w:pStyle w:val="BodyText"/>
      </w:pPr>
      <w:r>
        <w:t xml:space="preserve">例如，要判断一种药是否改善患者功能，随机对照具有直接价值；要识别极罕见而长期出现的风险，大型观察资料可能更有信息；要理解一个离子通道如何改变兴奋性，细胞电生理可能最合适。结论强度取决于设计能排除哪些竞争解释，以及研究结果怎样连接到目标问题。</w:t>
      </w:r>
    </w:p>
    <w:p>
      <w:pPr>
        <w:pStyle w:val="BodyText"/>
      </w:pPr>
      <w:r>
        <w:t xml:space="preserve">系统综述和元分析也不能自动获得最高可信度。它们综合的原始研究若存在共同偏倚，合并后仍可能系统性错误。一个大而严格的试验，有时会比许多小而偏倚较大的试验更能改变判断。综述的价值来自透明选择、正确提取、偏倚评估和合理综合。</w:t>
      </w:r>
    </w:p>
    <w:bookmarkEnd w:id="1139"/>
    <w:bookmarkStart w:id="1140" w:name="sec-58-2"/>
    <w:p>
      <w:pPr>
        <w:pStyle w:val="Heading3"/>
      </w:pPr>
      <w:r>
        <w:t xml:space="preserve">58.2　随机试验的关键环节</w:t>
      </w:r>
    </w:p>
    <w:p>
      <w:pPr>
        <w:pStyle w:val="FirstParagraph"/>
      </w:pPr>
      <w:r>
        <w:t xml:space="preserve">随机序列决定分配如何产生，分配隐藏防止招募者提前知道下一位参与者进入哪组，盲法减少参与者或评估者因知道分组而改变行为或测量。三个环节解决不同问题。论文只写“随机双盲”，仍需要具体说明实施方式及谁真正不知道分组。</w:t>
      </w:r>
    </w:p>
    <w:p>
      <w:pPr>
        <w:pStyle w:val="BodyText"/>
      </w:pPr>
      <w:r>
        <w:t xml:space="preserve">对于运动、教育和心理干预，参与者往往知道自己在做什么。此时可以通过评估者盲法、匹配期待的主动对照、客观结局和透明分析减少部分偏倚。盲法不完全时，研究不会因此被自动否定，但结论应说明哪些结果更容易受到期待和报告影响。</w:t>
      </w:r>
    </w:p>
    <w:p>
      <w:pPr>
        <w:pStyle w:val="BodyText"/>
      </w:pPr>
      <w:r>
        <w:t xml:space="preserve">失访可能破坏原有可比性。如果症状恶化者更容易退出某组，完成者均值可能显得更好。需要知道失访人数、原因及其与结局的可能关系，并开展合理的敏感性分析。多重插补等方法依赖缺失机制假设，无法把所有未观察结果变成已知事实。</w:t>
      </w:r>
    </w:p>
    <w:p>
      <w:pPr>
        <w:pStyle w:val="BodyText"/>
      </w:pPr>
      <w:r>
        <w:t xml:space="preserve">主要结局和分析应在看到结果之前确定。多个量表、时间点和亚组中挑选最有利结果，会提高夸大风险。注册资料、方案和统计分析计划可以帮助读者判断报告是否忠实于原问题。CONSORT 2025更新了随机试验报告要求，强调透明报告与开放科学相关信息；遵循报告规范本身仍不能保证设计和执行没有偏倚</w:t>
      </w:r>
      <w:r>
        <w:rPr>
          <w:vertAlign w:val="superscript"/>
        </w:rPr>
        <w:t xml:space="preserve">[</w:t>
      </w:r>
      <w:hyperlink w:anchor="ref-612">
        <w:r>
          <w:rPr>
            <w:rStyle w:val="Hyperlink"/>
            <w:vertAlign w:val="superscript"/>
          </w:rPr>
          <w:t xml:space="preserve">612</w:t>
        </w:r>
      </w:hyperlink>
      <w:r>
        <w:rPr>
          <w:vertAlign w:val="superscript"/>
        </w:rPr>
        <w:t xml:space="preserve">]</w:t>
      </w:r>
      <w:r>
        <w:t xml:space="preserve">。</w:t>
      </w:r>
    </w:p>
    <w:bookmarkEnd w:id="1140"/>
    <w:bookmarkStart w:id="1141" w:name="sec-58-3"/>
    <w:p>
      <w:pPr>
        <w:pStyle w:val="Heading3"/>
      </w:pPr>
      <w:r>
        <w:t xml:space="preserve">58.3　聚类、交叉和单人研究</w:t>
      </w:r>
    </w:p>
    <w:p>
      <w:pPr>
        <w:pStyle w:val="FirstParagraph"/>
      </w:pPr>
      <w:r>
        <w:t xml:space="preserve">当干预按学校、班级、病房或社区分配，参与者之间可能共享环境与执行者。分析需要考虑聚类，样本量也要依据群内相关和群数量规划。1000名学生分布在4所学校，与1000名独立随机参与者提供的信息结构不同。群数量过少时，即使人数很多也可能难以可靠估计组间差异。</w:t>
      </w:r>
    </w:p>
    <w:p>
      <w:pPr>
        <w:pStyle w:val="BodyText"/>
      </w:pPr>
      <w:r>
        <w:t xml:space="preserve">交叉试验让同一个人依次接受不同条件，可以减少稳定个体差异的影响。它需要考虑携带效应、顺序、洗脱和疾病状态随时间改变。若干预产生长期学习，后一个条件可能受到前一条件影响，简单交叉设计就不合适。设计优势必须与可满足的假设一起评价。</w:t>
      </w:r>
    </w:p>
    <w:p>
      <w:pPr>
        <w:pStyle w:val="BodyText"/>
      </w:pPr>
      <w:r>
        <w:t xml:space="preserve">单人密集研究可以精确刻画某个个体的反应，尤其适合重复、可逆且相对稳定的干预。它对该个体的证据可以很强，对其他人的推广仍需额外样本。少数人贡献大量数据时，应同时报告独立人数和重复次数，避免把精密个案误写成广泛人群证明。</w:t>
      </w:r>
    </w:p>
    <w:bookmarkEnd w:id="1141"/>
    <w:bookmarkStart w:id="1142" w:name="sec-58-4"/>
    <w:p>
      <w:pPr>
        <w:pStyle w:val="Heading3"/>
      </w:pPr>
      <w:r>
        <w:t xml:space="preserve">58.4　观察研究中的几类偏倚</w:t>
      </w:r>
    </w:p>
    <w:p>
      <w:pPr>
        <w:pStyle w:val="FirstParagraph"/>
      </w:pPr>
      <w:r>
        <w:t xml:space="preserve">混杂来自暴露与结局的共同原因。例如，教育和健康条件可能同时影响生活方式与认知。选择偏倚来自进入样本或留在研究中的机制，例如高健康意识者更愿意参加长期研究。信息偏倚来自测量过程，例如患者与对照以不同方式回忆过去暴露。三者可能同时存在。</w:t>
      </w:r>
    </w:p>
    <w:p>
      <w:pPr>
        <w:pStyle w:val="BodyText"/>
      </w:pPr>
      <w:r>
        <w:t xml:space="preserve">调整变量应以因果结构为依据。测得的变量有误差时，即使纳入模型也可能残留混杂。对未测变量只能通过设计、外部资料或敏感性分析讨论，不能因为模型包含很多协变量就宣布因果关系确定。ROBINS-I强调按照具体干预问题和可能偏倚路径评价观察研究</w:t>
      </w:r>
      <w:r>
        <w:rPr>
          <w:vertAlign w:val="superscript"/>
        </w:rPr>
        <w:t xml:space="preserve">[</w:t>
      </w:r>
      <w:hyperlink w:anchor="ref-615">
        <w:r>
          <w:rPr>
            <w:rStyle w:val="Hyperlink"/>
            <w:vertAlign w:val="superscript"/>
          </w:rPr>
          <w:t xml:space="preserve">615</w:t>
        </w:r>
      </w:hyperlink>
      <w:r>
        <w:rPr>
          <w:vertAlign w:val="superscript"/>
        </w:rPr>
        <w:t xml:space="preserve">]</w:t>
      </w:r>
      <w:r>
        <w:t xml:space="preserve">。</w:t>
      </w:r>
    </w:p>
    <w:p>
      <w:pPr>
        <w:pStyle w:val="BodyText"/>
      </w:pPr>
      <w:r>
        <w:t xml:space="preserve">时间相关偏倚也值得注意。如果把必须存活到某个时点才能进入暴露组的人，从更早时间就算作已暴露，可能人为制造保护性关联。治疗启动、入组资格、随访起点和分组规则应在同一时间框架下对齐。目标试验思路有助于把这些要素写清</w:t>
      </w:r>
      <w:r>
        <w:rPr>
          <w:vertAlign w:val="superscript"/>
        </w:rPr>
        <w:t xml:space="preserve">[</w:t>
      </w:r>
      <w:hyperlink w:anchor="ref-616">
        <w:r>
          <w:rPr>
            <w:rStyle w:val="Hyperlink"/>
            <w:vertAlign w:val="superscript"/>
          </w:rPr>
          <w:t xml:space="preserve">616</w:t>
        </w:r>
      </w:hyperlink>
      <w:r>
        <w:rPr>
          <w:vertAlign w:val="superscript"/>
        </w:rPr>
        <w:t xml:space="preserve">]</w:t>
      </w:r>
      <w:r>
        <w:t xml:space="preserve">。</w:t>
      </w:r>
    </w:p>
    <w:bookmarkEnd w:id="1142"/>
    <w:bookmarkStart w:id="1143" w:name="sec-58-5"/>
    <w:p>
      <w:pPr>
        <w:pStyle w:val="Heading3"/>
      </w:pPr>
      <w:r>
        <w:t xml:space="preserve">58.5　基线差异与回归均值</w:t>
      </w:r>
    </w:p>
    <w:p>
      <w:pPr>
        <w:pStyle w:val="FirstParagraph"/>
      </w:pPr>
      <w:r>
        <w:t xml:space="preserve">人们常在症状特别严重或表现特别差时开始干预。即使没有有效治疗，下一次测量也可能向其长期平均水平回落，因为极端观测包含暂时因素和误差。这种回归均值可以让前后比较看起来有效。适当对照和多次基线有助于区分它与干预效果。</w:t>
      </w:r>
    </w:p>
    <w:p>
      <w:pPr>
        <w:pStyle w:val="BodyText"/>
      </w:pPr>
      <w:r>
        <w:t xml:space="preserve">基线严重度还可能影响变化空间。分数已经接近量表上限者难以继续提高，症状较重者则可能有更大绝对变化。比较变化量时，需要明确基线结构和分析目标。把高起点组与低起点组直接比较改善百分比，容易制造误导。</w:t>
      </w:r>
    </w:p>
    <w:p>
      <w:pPr>
        <w:pStyle w:val="BodyText"/>
      </w:pPr>
      <w:r>
        <w:t xml:space="preserve">自发恢复、季节变化、成熟和重复测试也会影响前后结果。一个人在课程结束后表现更好，可能同时经历了普通学校教学、睡眠调整和测试熟悉。没有对照时可以描述变化，因果归属应保持有限。</w:t>
      </w:r>
    </w:p>
    <w:bookmarkEnd w:id="1143"/>
    <w:bookmarkStart w:id="1144" w:name="sec-58-6"/>
    <w:p>
      <w:pPr>
        <w:pStyle w:val="Heading3"/>
      </w:pPr>
      <w:r>
        <w:t xml:space="preserve">58.6　系统综述如何形成可检查的结论</w:t>
      </w:r>
    </w:p>
    <w:p>
      <w:pPr>
        <w:pStyle w:val="FirstParagraph"/>
      </w:pPr>
      <w:r>
        <w:t xml:space="preserve">系统综述首先定义问题和纳入标准，随后检索多个适当数据库及其他来源，记录筛选过程，提取研究特征与结果，评价偏倚，最后决定是否适合统计合并。每一步都可能改变结论，因此需要公开可复核的信息。PRISMA 2020提供报告规范，它本身不等同对综述质量的认证</w:t>
      </w:r>
      <w:r>
        <w:rPr>
          <w:vertAlign w:val="superscript"/>
        </w:rPr>
        <w:t xml:space="preserve">[</w:t>
      </w:r>
      <w:hyperlink w:anchor="ref-613">
        <w:r>
          <w:rPr>
            <w:rStyle w:val="Hyperlink"/>
            <w:vertAlign w:val="superscript"/>
          </w:rPr>
          <w:t xml:space="preserve">613</w:t>
        </w:r>
      </w:hyperlink>
      <w:r>
        <w:rPr>
          <w:vertAlign w:val="superscript"/>
        </w:rPr>
        <w:t xml:space="preserve">]</w:t>
      </w:r>
      <w:r>
        <w:t xml:space="preserve">。</w:t>
      </w:r>
    </w:p>
    <w:p>
      <w:pPr>
        <w:pStyle w:val="BodyText"/>
      </w:pPr>
      <w:r>
        <w:t xml:space="preserve">搜索词应覆盖不同命名和历史术语，时间范围应与问题匹配。只检索支持某机制的关键词，会漏掉失败试验或使用不同标签的研究。语言、发表状态和数据库覆盖限制也应说明。无法取得全文的研究不能默默消失，应记录原因和可能影响。</w:t>
      </w:r>
    </w:p>
    <w:p>
      <w:pPr>
        <w:pStyle w:val="BodyText"/>
      </w:pPr>
      <w:r>
        <w:t xml:space="preserve">提取时需要区分随机人数与分析人数、多个干预臂与共享对照、同一试验的多个报告及重复随访。把同一参与者的结果当作多个独立研究，会夸大样本与精度。一个研究报告很多相关结局时，也不能不处理依赖性就全部当作独立效应。</w:t>
      </w:r>
    </w:p>
    <w:bookmarkEnd w:id="1144"/>
    <w:bookmarkStart w:id="1145" w:name="sec-58-7"/>
    <w:p>
      <w:pPr>
        <w:pStyle w:val="Heading3"/>
      </w:pPr>
      <w:r>
        <w:t xml:space="preserve">58.7　什么情况下不宜合并</w:t>
      </w:r>
    </w:p>
    <w:p>
      <w:pPr>
        <w:pStyle w:val="FirstParagraph"/>
      </w:pPr>
      <w:r>
        <w:t xml:space="preserve">如果研究在人群、干预、对照、结局或时间上差异过大，单一合并数值可能没有清楚意义。统计方法可以处理某些效应差异，却不能修复概念不一致。应先判断研究是否回答足够相似的问题，再决定使用分层综合、叙述综合或其他方法。</w:t>
      </w:r>
    </w:p>
    <w:p>
      <w:pPr>
        <w:pStyle w:val="BodyText"/>
      </w:pPr>
      <w:r>
        <w:t xml:space="preserve">固定效应与随机效应模型对应不同假设。随机效应允许真实效应在研究间变化，估计某个效应分布的平均；它不会自动让异质研究变得可比较。研究很少时，异质性估计可能不稳定，区间和预测区间都应谨慎解释。</w:t>
      </w:r>
    </w:p>
    <w:p>
      <w:pPr>
        <w:pStyle w:val="BodyText"/>
      </w:pPr>
      <w:r>
        <w:t xml:space="preserve">异质性统计量反映的内容也有限。I²与研究精度有关，不能单独说明差异是否具有临床意义。一个较小但精确的研究间差异可能得到较高I²；一个资料稀少的领域也可能无法准确估计异质性。应结合森林图、原始单位、研究设计与可能调节因素判断。</w:t>
      </w:r>
    </w:p>
    <w:bookmarkEnd w:id="1145"/>
    <w:bookmarkStart w:id="1146" w:name="sec-58-8"/>
    <w:p>
      <w:pPr>
        <w:pStyle w:val="Heading3"/>
      </w:pPr>
      <w:r>
        <w:t xml:space="preserve">58.8　发表偏倚与小研究效应</w:t>
      </w:r>
    </w:p>
    <w:p>
      <w:pPr>
        <w:pStyle w:val="FirstParagraph"/>
      </w:pPr>
      <w:r>
        <w:t xml:space="preserve">阳性结果更容易被发表或强调时，公开文献可能高估收益。漏斗图不对称可以提示问题，但也可能来自真实异质性、方法差异或偶然。对称也不能证明不存在偏倚，尤其研究数较少时。应同时检查注册记录、未发表结果、结果选择和研究规模分布。</w:t>
      </w:r>
    </w:p>
    <w:p>
      <w:pPr>
        <w:pStyle w:val="BodyText"/>
      </w:pPr>
      <w:r>
        <w:t xml:space="preserve">统计校正需要假设。不同选择模型、截补方法或稳健分析可能给出不同结果。它们适合展示结论对偏倚机制的敏感性，无法直接恢复所有缺失研究的真实内容。把“校正后显著”当作完全消除发表偏倚，会再次夸大确定性。</w:t>
      </w:r>
    </w:p>
    <w:p>
      <w:pPr>
        <w:pStyle w:val="BodyText"/>
      </w:pPr>
      <w:r>
        <w:t xml:space="preserve">大型预注册试验与小型探索研究的结果若存在系统差异，应深入检查对照、盲法、执行质量和样本构成。不能只按研究数量投票。研究之间的信息价值不同，结论应综合精度和偏倚风险。</w:t>
      </w:r>
    </w:p>
    <w:bookmarkEnd w:id="1146"/>
    <w:bookmarkStart w:id="1147" w:name="sec-58-9"/>
    <w:p>
      <w:pPr>
        <w:pStyle w:val="Heading3"/>
      </w:pPr>
      <w:r>
        <w:t xml:space="preserve">58.9　偏倚评价与证据确定性</w:t>
      </w:r>
    </w:p>
    <w:p>
      <w:pPr>
        <w:pStyle w:val="FirstParagraph"/>
      </w:pPr>
      <w:r>
        <w:t xml:space="preserve">RoB 2按照具体结果评估随机试验中的偏倚风险，关注随机化、偏离预定干预、缺失结果、结局测量和报告选择等环节。它强调每项判断的理由。给研究一个总分再机械相加，容易让一个严重问题被其他无关优点抵消</w:t>
      </w:r>
      <w:r>
        <w:rPr>
          <w:vertAlign w:val="superscript"/>
        </w:rPr>
        <w:t xml:space="preserve">[</w:t>
      </w:r>
      <w:hyperlink w:anchor="ref-614">
        <w:r>
          <w:rPr>
            <w:rStyle w:val="Hyperlink"/>
            <w:vertAlign w:val="superscript"/>
          </w:rPr>
          <w:t xml:space="preserve">614</w:t>
        </w:r>
      </w:hyperlink>
      <w:r>
        <w:rPr>
          <w:vertAlign w:val="superscript"/>
        </w:rPr>
        <w:t xml:space="preserve">]</w:t>
      </w:r>
      <w:r>
        <w:t xml:space="preserve">。</w:t>
      </w:r>
    </w:p>
    <w:p>
      <w:pPr>
        <w:pStyle w:val="BodyText"/>
      </w:pPr>
      <w:r>
        <w:t xml:space="preserve">证据确定性还涉及结果不一致、间接性、不精确和发表偏倚。某项结果可以来自设计严谨的试验，但因样本少、区间宽而仍不确定；一组观察证据也可能因效应巨大、重复一致和偏倚方向明确而提供重要信息。正式评级需要遵循相应方法，本书的置信度标注不冒充这种完整过程。</w:t>
      </w:r>
    </w:p>
    <w:p>
      <w:pPr>
        <w:pStyle w:val="BodyText"/>
      </w:pPr>
      <w:r>
        <w:t xml:space="preserve">亚组结论尤其容易不稳定。应优先查看亚组是否预先指定、交互是否直接检验、比较次数、效应方向是否具有机制依据，以及是否在新资料中验证。仅在一个亚组中显著，不足以宣布另一亚组无效。探索性亚组可以形成后续研究问题，不能直接变成精准治疗承诺。</w:t>
      </w:r>
    </w:p>
    <w:bookmarkEnd w:id="1147"/>
    <w:bookmarkStart w:id="1148" w:name="sec-58-10"/>
    <w:p>
      <w:pPr>
        <w:pStyle w:val="Heading3"/>
      </w:pPr>
      <w:r>
        <w:t xml:space="preserve">58.10　网络元分析与排名</w:t>
      </w:r>
    </w:p>
    <w:p>
      <w:pPr>
        <w:pStyle w:val="FirstParagraph"/>
      </w:pPr>
      <w:r>
        <w:t xml:space="preserve">网络元分析可以通过共同对照连接多个干预，结合直接与间接证据。其有效性依赖传递性（也称相似性或可交换性）和一致性等条件：不同研究中的效应修饰因素不能系统性地破坏比较。例如，某治疗只在轻症人群试验，另一治疗只在重症人群试验，简单跨网络排名可能混合疾病差异。</w:t>
      </w:r>
    </w:p>
    <w:p>
      <w:pPr>
        <w:pStyle w:val="BodyText"/>
      </w:pPr>
      <w:r>
        <w:t xml:space="preserve">排名概率也需要与效果大小和区间一起阅读。若多个治疗差异很小且不确定，排第一的概率不意味着具有明确临床优势。可接受性、不良反应、长期结果和实际可用性可能改变选择。一个排名数字无法承担全部决策。</w:t>
      </w:r>
    </w:p>
    <w:bookmarkEnd w:id="1148"/>
    <w:bookmarkStart w:id="1149" w:name="sec-58-11"/>
    <w:p>
      <w:pPr>
        <w:pStyle w:val="Heading3"/>
      </w:pPr>
      <w:r>
        <w:t xml:space="preserve">58.11　教学审读案例</w:t>
      </w:r>
    </w:p>
    <w:p>
      <w:pPr>
        <w:pStyle w:val="FirstParagraph"/>
      </w:pPr>
      <w:r>
        <w:t xml:space="preserve">假设元分析纳入20项“脑训练”研究，合并效应0.35。检查后发现，其中12项使用等待名单对照，5项使用主动对照，3项没有随机分配；不同研究测量训练任务、相近任务和日常功能。首要问题是合并结果究竟对应什么结局和比较。需要按任务距离、设计和偏倚风险分层，随后观察原结论是否保持。</w:t>
      </w:r>
    </w:p>
    <w:p>
      <w:pPr>
        <w:pStyle w:val="BodyText"/>
      </w:pPr>
      <w:r>
        <w:t xml:space="preserve">如果高质量主动对照研究的区间集中在很小范围，宣传中的广泛收益应收窄。如果某个特定方案在长期功能结局上出现可重复效果，应单独保留该证据。合理综合可以同时承认局部有效与通用承诺不足，这取决于问题被分解得是否准确。</w:t>
      </w:r>
    </w:p>
    <w:bookmarkEnd w:id="1149"/>
    <w:bookmarkStart w:id="1151" w:name="sec-58-12"/>
    <w:p>
      <w:pPr>
        <w:pStyle w:val="Heading3"/>
      </w:pPr>
      <w:r>
        <w:t xml:space="preserve">58.12　研究设计与可支持的推断</w:t>
      </w:r>
    </w:p>
    <w:p>
      <w:pPr>
        <w:pStyle w:val="FirstParagraph"/>
      </w:pPr>
      <w:r>
        <w:t xml:space="preserve">设计应与目标问题配对。随机试验并不适合回答所有发生机制，观察资料也可能在清楚的识别条件下提供重要因果信息。下表列出常见贡献与需要继续检查的限制</w:t>
      </w:r>
      <w:r>
        <w:rPr>
          <w:vertAlign w:val="superscript"/>
        </w:rPr>
        <w:t xml:space="preserve">[</w:t>
      </w:r>
      <w:hyperlink w:anchor="ref-612">
        <w:r>
          <w:rPr>
            <w:rStyle w:val="Hyperlink"/>
            <w:vertAlign w:val="superscript"/>
          </w:rPr>
          <w:t xml:space="preserve">612</w:t>
        </w:r>
      </w:hyperlink>
      <w:r>
        <w:rPr>
          <w:vertAlign w:val="superscript"/>
        </w:rPr>
        <w:t xml:space="preserve">,</w:t>
      </w:r>
      <w:hyperlink w:anchor="ref-613">
        <w:r>
          <w:rPr>
            <w:rStyle w:val="Hyperlink"/>
            <w:vertAlign w:val="superscript"/>
          </w:rPr>
          <w:t xml:space="preserve">613</w:t>
        </w:r>
      </w:hyperlink>
      <w:r>
        <w:rPr>
          <w:vertAlign w:val="superscript"/>
        </w:rPr>
        <w:t xml:space="preserve">,</w:t>
      </w:r>
      <w:hyperlink w:anchor="ref-614">
        <w:r>
          <w:rPr>
            <w:rStyle w:val="Hyperlink"/>
            <w:vertAlign w:val="superscript"/>
          </w:rPr>
          <w:t xml:space="preserve">614</w:t>
        </w:r>
      </w:hyperlink>
      <w:r>
        <w:rPr>
          <w:vertAlign w:val="superscript"/>
        </w:rPr>
        <w:t xml:space="preserve">,</w:t>
      </w:r>
      <w:hyperlink w:anchor="ref-615">
        <w:r>
          <w:rPr>
            <w:rStyle w:val="Hyperlink"/>
            <w:vertAlign w:val="superscript"/>
          </w:rPr>
          <w:t xml:space="preserve">615</w:t>
        </w:r>
      </w:hyperlink>
      <w:r>
        <w:rPr>
          <w:vertAlign w:val="superscript"/>
        </w:rPr>
        <w:t xml:space="preserve">,</w:t>
      </w:r>
      <w:hyperlink w:anchor="ref-616">
        <w:r>
          <w:rPr>
            <w:rStyle w:val="Hyperlink"/>
            <w:vertAlign w:val="superscript"/>
          </w:rPr>
          <w:t xml:space="preserve">616</w:t>
        </w:r>
      </w:hyperlink>
      <w:r>
        <w:rPr>
          <w:vertAlign w:val="superscript"/>
        </w:rPr>
        <w:t xml:space="preserve">,</w:t>
      </w:r>
      <w:hyperlink w:anchor="ref-617">
        <w:r>
          <w:rPr>
            <w:rStyle w:val="Hyperlink"/>
            <w:vertAlign w:val="superscript"/>
          </w:rPr>
          <w:t xml:space="preserve">617</w:t>
        </w:r>
      </w:hyperlink>
      <w:r>
        <w:rPr>
          <w:vertAlign w:val="superscript"/>
        </w:rPr>
        <w:t xml:space="preserve">]</w:t>
      </w:r>
      <w:r>
        <w:t xml:space="preserve">。</w:t>
      </w:r>
    </w:p>
    <w:p>
      <w:pPr>
        <w:pStyle w:val="TableCaption"/>
      </w:pPr>
      <w:bookmarkStart w:id="1150" w:name="tab-designs"/>
      <w:bookmarkEnd w:id="1150"/>
      <w:r>
        <w:rPr>
          <w:bCs/>
          <w:b/>
        </w:rPr>
        <w:t xml:space="preserve">表 19　常见研究设计的贡献与解释边界</w:t>
      </w:r>
    </w:p>
    <w:tbl>
      <w:tblPr>
        <w:tblStyle w:val="Table"/>
        <w:tblW w:type="pct" w:w="5000"/>
        <w:jc w:val="start"/>
        <w:tblLook w:firstRow="1" w:lastRow="0" w:firstColumn="0" w:lastColumn="0" w:noHBand="0" w:noVBand="0" w:val="0020"/>
      </w:tblPr>
      <w:tblGrid>
        <w:gridCol w:w="1242"/>
        <w:gridCol w:w="2950"/>
        <w:gridCol w:w="3726"/>
      </w:tblGrid>
      <w:tr>
        <w:trPr>
          <w:tblHeader w:val="true"/>
        </w:trPr>
        <w:tc>
          <w:tcPr>
            <w:shd w:val="clear" w:color="auto" w:fill="1F3A5F"/>
          </w:tcPr>
          <w:p>
            <w:pPr>
              <w:jc w:val="left"/>
            </w:pPr>
            <w:r>
              <w:rPr>
                <w:bCs/>
                <w:b/>
                <w:color w:val="FFFFFF"/>
              </w:rPr>
              <w:t xml:space="preserve">设计或资料</w:t>
            </w:r>
          </w:p>
        </w:tc>
        <w:tc>
          <w:tcPr>
            <w:shd w:val="clear" w:color="auto" w:fill="1F3A5F"/>
          </w:tcPr>
          <w:p>
            <w:pPr>
              <w:jc w:val="left"/>
            </w:pPr>
            <w:r>
              <w:rPr>
                <w:bCs/>
                <w:b/>
                <w:color w:val="FFFFFF"/>
              </w:rPr>
              <w:t xml:space="preserve">常见科学贡献</w:t>
            </w:r>
          </w:p>
        </w:tc>
        <w:tc>
          <w:tcPr>
            <w:shd w:val="clear" w:color="auto" w:fill="1F3A5F"/>
          </w:tcPr>
          <w:p>
            <w:pPr>
              <w:jc w:val="left"/>
            </w:pPr>
            <w:r>
              <w:rPr>
                <w:bCs/>
                <w:b/>
                <w:color w:val="FFFFFF"/>
              </w:rPr>
              <w:t xml:space="preserve">关键解释边界</w:t>
            </w:r>
          </w:p>
        </w:tc>
      </w:tr>
      <w:tr>
        <w:tc>
          <w:tcPr/>
          <w:p>
            <w:pPr>
              <w:jc w:val="left"/>
            </w:pPr>
            <w:r>
              <w:t xml:space="preserve">随机对照试验</w:t>
            </w:r>
          </w:p>
        </w:tc>
        <w:tc>
          <w:tcPr/>
          <w:p>
            <w:pPr>
              <w:jc w:val="left"/>
            </w:pPr>
            <w:r>
              <w:t xml:space="preserve">估计指定分配策略在试验条件下的平均效应</w:t>
            </w:r>
          </w:p>
        </w:tc>
        <w:tc>
          <w:tcPr/>
          <w:p>
            <w:pPr>
              <w:jc w:val="left"/>
            </w:pPr>
            <w:r>
              <w:t xml:space="preserve">失访、依从、盲法、结局选择及人群适用性仍需评估</w:t>
            </w:r>
          </w:p>
        </w:tc>
      </w:tr>
      <w:tr>
        <w:tc>
          <w:tcPr/>
          <w:p>
            <w:pPr>
              <w:jc w:val="left"/>
            </w:pPr>
            <w:r>
              <w:t xml:space="preserve">纵向队列</w:t>
            </w:r>
          </w:p>
        </w:tc>
        <w:tc>
          <w:tcPr/>
          <w:p>
            <w:pPr>
              <w:jc w:val="left"/>
            </w:pPr>
            <w:r>
              <w:t xml:space="preserve">描述时间顺序、轨迹、风险和状态变化</w:t>
            </w:r>
          </w:p>
        </w:tc>
        <w:tc>
          <w:tcPr/>
          <w:p>
            <w:pPr>
              <w:jc w:val="left"/>
            </w:pPr>
            <w:r>
              <w:t xml:space="preserve">时间先后不能独自消除混杂、反向作用与选择偏倚</w:t>
            </w:r>
          </w:p>
        </w:tc>
      </w:tr>
      <w:tr>
        <w:tc>
          <w:tcPr/>
          <w:p>
            <w:pPr>
              <w:jc w:val="left"/>
            </w:pPr>
            <w:r>
              <w:t xml:space="preserve">横断面比较</w:t>
            </w:r>
          </w:p>
        </w:tc>
        <w:tc>
          <w:tcPr/>
          <w:p>
            <w:pPr>
              <w:jc w:val="left"/>
            </w:pPr>
            <w:r>
              <w:t xml:space="preserve">描述同一时期的人群差异或关联</w:t>
            </w:r>
          </w:p>
        </w:tc>
        <w:tc>
          <w:tcPr/>
          <w:p>
            <w:pPr>
              <w:jc w:val="left"/>
            </w:pPr>
            <w:r>
              <w:t xml:space="preserve">无法直接确定个体变化路径与因果先后</w:t>
            </w:r>
          </w:p>
        </w:tc>
      </w:tr>
      <w:tr>
        <w:tc>
          <w:tcPr/>
          <w:p>
            <w:pPr>
              <w:jc w:val="left"/>
            </w:pPr>
            <w:r>
              <w:t xml:space="preserve">病例与病损研究</w:t>
            </w:r>
          </w:p>
        </w:tc>
        <w:tc>
          <w:tcPr/>
          <w:p>
            <w:pPr>
              <w:jc w:val="left"/>
            </w:pPr>
            <w:r>
              <w:t xml:space="preserve">发现罕见机制、能力分离和新的临床现象</w:t>
            </w:r>
          </w:p>
        </w:tc>
        <w:tc>
          <w:tcPr/>
          <w:p>
            <w:pPr>
              <w:jc w:val="left"/>
            </w:pPr>
            <w:r>
              <w:t xml:space="preserve">病损范围、并存变化与选择过程限制普遍推广</w:t>
            </w:r>
          </w:p>
        </w:tc>
      </w:tr>
      <w:tr>
        <w:tc>
          <w:tcPr/>
          <w:p>
            <w:pPr>
              <w:jc w:val="left"/>
            </w:pPr>
            <w:r>
              <w:t xml:space="preserve">自然实验或准实验</w:t>
            </w:r>
          </w:p>
        </w:tc>
        <w:tc>
          <w:tcPr/>
          <w:p>
            <w:pPr>
              <w:jc w:val="left"/>
            </w:pPr>
            <w:r>
              <w:t xml:space="preserve">利用外部规则或时序变化识别特定效应</w:t>
            </w:r>
          </w:p>
        </w:tc>
        <w:tc>
          <w:tcPr/>
          <w:p>
            <w:pPr>
              <w:jc w:val="left"/>
            </w:pPr>
            <w:r>
              <w:t xml:space="preserve">断点、工具变量或平行趋势等假设需逐项论证</w:t>
            </w:r>
          </w:p>
        </w:tc>
      </w:tr>
      <w:tr>
        <w:tc>
          <w:tcPr/>
          <w:p>
            <w:pPr>
              <w:jc w:val="left"/>
            </w:pPr>
            <w:r>
              <w:t xml:space="preserve">细胞及动物干预</w:t>
            </w:r>
          </w:p>
        </w:tc>
        <w:tc>
          <w:tcPr/>
          <w:p>
            <w:pPr>
              <w:jc w:val="left"/>
            </w:pPr>
            <w:r>
              <w:t xml:space="preserve">控制条件并定位分子、细胞和回路机制</w:t>
            </w:r>
          </w:p>
        </w:tc>
        <w:tc>
          <w:tcPr/>
          <w:p>
            <w:pPr>
              <w:jc w:val="left"/>
            </w:pPr>
            <w:r>
              <w:t xml:space="preserve">模型效度、物种、剂量、病程及行为对应决定转化范围</w:t>
            </w:r>
          </w:p>
        </w:tc>
      </w:tr>
      <w:tr>
        <w:tc>
          <w:tcPr/>
          <w:p>
            <w:pPr>
              <w:jc w:val="left"/>
            </w:pPr>
            <w:r>
              <w:t xml:space="preserve">系统综述与元分析</w:t>
            </w:r>
          </w:p>
        </w:tc>
        <w:tc>
          <w:tcPr/>
          <w:p>
            <w:pPr>
              <w:jc w:val="left"/>
            </w:pPr>
            <w:r>
              <w:t xml:space="preserve">汇总可比证据并量化一致性和不确定性</w:t>
            </w:r>
          </w:p>
        </w:tc>
        <w:tc>
          <w:tcPr/>
          <w:p>
            <w:pPr>
              <w:jc w:val="left"/>
            </w:pPr>
            <w:r>
              <w:t xml:space="preserve">不能自动修复原研究偏倚、重复样本与缺失研究</w:t>
            </w:r>
          </w:p>
        </w:tc>
      </w:tr>
      <w:tr>
        <w:tc>
          <w:tcPr/>
          <w:p>
            <w:pPr>
              <w:jc w:val="left"/>
            </w:pPr>
            <w:r>
              <w:t xml:space="preserve">预注册或注册报告</w:t>
            </w:r>
          </w:p>
        </w:tc>
        <w:tc>
          <w:tcPr/>
          <w:p>
            <w:pPr>
              <w:jc w:val="left"/>
            </w:pPr>
            <w:r>
              <w:t xml:space="preserve">明确预先计划并约束结果依赖的选择</w:t>
            </w:r>
          </w:p>
        </w:tc>
        <w:tc>
          <w:tcPr/>
          <w:p>
            <w:pPr>
              <w:jc w:val="left"/>
            </w:pPr>
            <w:r>
              <w:t xml:space="preserve">设计质量和测量有效性仍需单独评价，偏离计划要解释</w:t>
            </w:r>
          </w:p>
        </w:tc>
      </w:tr>
    </w:tbl>
    <w:p>
      <w:pPr>
        <w:pStyle w:val="BodyText"/>
      </w:pPr>
      <w:r>
        <w:rPr>
          <w:bCs/>
          <w:b/>
        </w:rPr>
        <w:t xml:space="preserve">方法结论</w:t>
      </w:r>
      <w:r>
        <w:t xml:space="preserve">　证据综合的任务是说明研究如何共同约束结论。研究数量、期刊声望和合并P值都无法替代对设计、偏倚、间接性及实际意义的判断。</w:t>
      </w:r>
    </w:p>
    <w:bookmarkEnd w:id="1151"/>
    <w:bookmarkEnd w:id="1152"/>
    <w:bookmarkStart w:id="1161" w:name="ch-59"/>
    <w:p>
      <w:pPr>
        <w:pStyle w:val="Heading2"/>
      </w:pPr>
      <w:r>
        <w:t xml:space="preserve">第59章　可重复性、透明分析与模型验证</w:t>
      </w:r>
    </w:p>
    <w:p>
      <w:pPr>
        <w:pStyle w:val="FirstParagraph"/>
      </w:pPr>
      <w:r>
        <w:rPr>
          <w:bCs/>
          <w:b/>
        </w:rPr>
        <w:t xml:space="preserve">本章的证据边界</w:t>
      </w:r>
      <w:r>
        <w:t xml:space="preserve">　选择过程、分析自由度及数据泄漏能够改变所报告结果的含义，这一判断的置信度高。预注册、共享代码与独立验证各自约束部分问题；它们对具体项目改善多少，需要结合实际设计评估。只带有某项开放科学标识（如开放数据或预注册标记）时，对研究已经可靠的判断仍缺少充分依据</w:t>
      </w:r>
      <w:r>
        <w:rPr>
          <w:vertAlign w:val="superscript"/>
        </w:rPr>
        <w:t xml:space="preserve">[</w:t>
      </w:r>
      <w:hyperlink w:anchor="ref-609">
        <w:r>
          <w:rPr>
            <w:rStyle w:val="Hyperlink"/>
            <w:vertAlign w:val="superscript"/>
          </w:rPr>
          <w:t xml:space="preserve">609</w:t>
        </w:r>
      </w:hyperlink>
      <w:r>
        <w:rPr>
          <w:vertAlign w:val="superscript"/>
        </w:rPr>
        <w:t xml:space="preserve">,</w:t>
      </w:r>
      <w:hyperlink w:anchor="ref-610">
        <w:r>
          <w:rPr>
            <w:rStyle w:val="Hyperlink"/>
            <w:vertAlign w:val="superscript"/>
          </w:rPr>
          <w:t xml:space="preserve">610</w:t>
        </w:r>
      </w:hyperlink>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r>
        <w:t xml:space="preserve">。</w:t>
      </w:r>
    </w:p>
    <w:bookmarkStart w:id="1153" w:name="sec-59-1"/>
    <w:p>
      <w:pPr>
        <w:pStyle w:val="Heading3"/>
      </w:pPr>
      <w:r>
        <w:t xml:space="preserve">59.1　重复一词包含不同目标</w:t>
      </w:r>
    </w:p>
    <w:p>
      <w:pPr>
        <w:pStyle w:val="FirstParagraph"/>
      </w:pPr>
      <w:r>
        <w:t xml:space="preserve">使用同一数据和代码得到相同结果，检验的是计算复现。使用新数据检验同一主张，检验的是独立重复。改变样本、情境或测量后考察结果，检验的是泛化。使用不同合理分析得到相近判断，检验的是稳健性。四者互相关联，却不能相互替代。</w:t>
      </w:r>
    </w:p>
    <w:p>
      <w:pPr>
        <w:pStyle w:val="BodyText"/>
      </w:pPr>
      <w:r>
        <w:t xml:space="preserve">一个计算结果能够完全复现，仍可能存在错误设计或偏倚。一个新样本没有重复出显著性，也需要检查效应区间、功效和条件差异。对重复成功或失败的判断，应围绕明确预测和效应范围展开，避免只比较两个P值是否跨过阈值。</w:t>
      </w:r>
    </w:p>
    <w:p>
      <w:pPr>
        <w:pStyle w:val="BodyText"/>
      </w:pPr>
      <w:r>
        <w:t xml:space="preserve">公开数据使独立检查成为可能，但数据本身还需要说明变量、单位、排除、缺失和处理历史。没有这些信息，文件即使可以下载也可能难以理解。代码应记录软件版本、随机种子和依赖条件；结果应能从输入经过明确步骤重建。</w:t>
      </w:r>
    </w:p>
    <w:bookmarkEnd w:id="1153"/>
    <w:bookmarkStart w:id="1154" w:name="sec-59-2"/>
    <w:p>
      <w:pPr>
        <w:pStyle w:val="Heading3"/>
      </w:pPr>
      <w:r>
        <w:t xml:space="preserve">59.2　分析自由度的实证提醒</w:t>
      </w:r>
    </w:p>
    <w:p>
      <w:pPr>
        <w:pStyle w:val="FirstParagraph"/>
      </w:pPr>
      <w:hyperlink w:anchor="sec-55-3">
        <w:r>
          <w:rPr>
            <w:rStyle w:val="Hyperlink"/>
          </w:rPr>
          <w:t xml:space="preserve">55.3 节</w:t>
        </w:r>
      </w:hyperlink>
      <w:r>
        <w:t xml:space="preserve">介绍的NARPS项目让70个团队分析同一影像数据并检验9个预设假说，观察到不同分析流程导致的结果差异。这说明研究者在预处理、模型和阈值上的合理选择会影响结论。该发现支持透明报告与多流程检查，无法推出所有影像结果都任意可得</w:t>
      </w:r>
      <w:r>
        <w:rPr>
          <w:vertAlign w:val="superscript"/>
        </w:rPr>
        <w:t xml:space="preserve">[</w:t>
      </w:r>
      <w:hyperlink w:anchor="ref-598">
        <w:r>
          <w:rPr>
            <w:rStyle w:val="Hyperlink"/>
            <w:vertAlign w:val="superscript"/>
          </w:rPr>
          <w:t xml:space="preserve">598</w:t>
        </w:r>
      </w:hyperlink>
      <w:r>
        <w:rPr>
          <w:vertAlign w:val="superscript"/>
        </w:rPr>
        <w:t xml:space="preserve">]</w:t>
      </w:r>
      <w:r>
        <w:t xml:space="preserve">。</w:t>
      </w:r>
    </w:p>
    <w:p>
      <w:pPr>
        <w:pStyle w:val="BodyText"/>
      </w:pPr>
      <w:r>
        <w:t xml:space="preserve">Eklund等2016年检验某些fMRI簇推断方法，发现特定条件下假阳性率高于名义水平。其正式更正收窄了关于受影响文献数量的措辞。因此，不能继续把它传播成“证明四万篇研究错误”或“所有fMRI都有70%错误率”。方法问题应按照具体算法、参数、数据结构和校正方式理解</w:t>
      </w:r>
      <w:r>
        <w:rPr>
          <w:vertAlign w:val="superscript"/>
        </w:rPr>
        <w:t xml:space="preserve">[</w:t>
      </w:r>
      <w:hyperlink w:anchor="ref-599">
        <w:r>
          <w:rPr>
            <w:rStyle w:val="Hyperlink"/>
            <w:vertAlign w:val="superscript"/>
          </w:rPr>
          <w:t xml:space="preserve">599</w:t>
        </w:r>
      </w:hyperlink>
      <w:r>
        <w:rPr>
          <w:vertAlign w:val="superscript"/>
        </w:rPr>
        <w:t xml:space="preserve">]</w:t>
      </w:r>
      <w:r>
        <w:t xml:space="preserve">。</w:t>
      </w:r>
    </w:p>
    <w:p>
      <w:pPr>
        <w:pStyle w:val="BodyText"/>
      </w:pPr>
      <w:r>
        <w:t xml:space="preserve">这两个实例说明，对方法批评也要避免扩大范围。指出特定流程的问题有助于改进研究；把局部问题扩展成整个领域无效，则缺少必要证据。科学可靠性来自持续发现和修正可定位的问题。</w:t>
      </w:r>
    </w:p>
    <w:bookmarkEnd w:id="1154"/>
    <w:bookmarkStart w:id="1155" w:name="sec-59-3"/>
    <w:p>
      <w:pPr>
        <w:pStyle w:val="Heading3"/>
      </w:pPr>
      <w:r>
        <w:t xml:space="preserve">59.3　预注册能减少什么问题</w:t>
      </w:r>
    </w:p>
    <w:p>
      <w:pPr>
        <w:pStyle w:val="FirstParagraph"/>
      </w:pPr>
      <w:r>
        <w:t xml:space="preserve">预注册把主要问题、样本计划、结局和分析写在观察结果之前，帮助区分验证与探索。它可以减少事后选择最有利结果的空间，但无法保证理论正确、测量有效或执行无偏。模糊注册仍可能保留大量选择，执行偏离也需要说明</w:t>
      </w:r>
      <w:r>
        <w:rPr>
          <w:vertAlign w:val="superscript"/>
        </w:rPr>
        <w:t xml:space="preserve">[</w:t>
      </w:r>
      <w:hyperlink w:anchor="ref-609">
        <w:r>
          <w:rPr>
            <w:rStyle w:val="Hyperlink"/>
            <w:vertAlign w:val="superscript"/>
          </w:rPr>
          <w:t xml:space="preserve">609</w:t>
        </w:r>
      </w:hyperlink>
      <w:r>
        <w:rPr>
          <w:vertAlign w:val="superscript"/>
        </w:rPr>
        <w:t xml:space="preserve">]</w:t>
      </w:r>
      <w:r>
        <w:t xml:space="preserve">。</w:t>
      </w:r>
    </w:p>
    <w:p>
      <w:pPr>
        <w:pStyle w:val="BodyText"/>
      </w:pPr>
      <w:r>
        <w:t xml:space="preserve">探索分析不应被禁止。许多新发现来自未预料的模式。关键是清楚标注探索，并在后续独立资料中检验。把探索结果改写成事前预测，会使读者高估证据强度。透明区分有助于积累知识，并不贬低探索的价值。</w:t>
      </w:r>
    </w:p>
    <w:p>
      <w:pPr>
        <w:pStyle w:val="BodyText"/>
      </w:pPr>
      <w:r>
        <w:t xml:space="preserve">注册报告把同行评审提前到数据结果出来之前，可以降低发表结果依赖。但它同样需要高质量问题和方法。一个预先注册却测量错误的实验，仍然可能无法回答目标问题。程序性保障应与实质科学判断配合。</w:t>
      </w:r>
    </w:p>
    <w:bookmarkEnd w:id="1155"/>
    <w:bookmarkStart w:id="1156" w:name="sec-59-4"/>
    <w:p>
      <w:pPr>
        <w:pStyle w:val="Heading3"/>
      </w:pPr>
      <w:r>
        <w:t xml:space="preserve">59.4　多流程分析与合理范围</w:t>
      </w:r>
    </w:p>
    <w:p>
      <w:pPr>
        <w:pStyle w:val="FirstParagraph"/>
      </w:pPr>
      <w:r>
        <w:t xml:space="preserve">多流程分析应覆盖具有科学理由的选择，例如不同但合理的头动处理、模型设定或结局定义。它不能通过加入大量明显错误流程来制造混乱，也不能只收集最支持结论的流程。研究者应说明选择集合的依据，并展示哪些决定最影响结果。</w:t>
      </w:r>
    </w:p>
    <w:p>
      <w:pPr>
        <w:pStyle w:val="BodyText"/>
      </w:pPr>
      <w:r>
        <w:t xml:space="preserve">如果所有合理流程都指向相近效应，稳健性提高。如果结论依赖一个特定排除标准或时间窗，应降低确定性并进一步研究原因。敏感性本身可以成为发现，例如某效应只在特定生理状态中出现，但这一调节假说需要独立验证。</w:t>
      </w:r>
    </w:p>
    <w:p>
      <w:pPr>
        <w:pStyle w:val="BodyText"/>
      </w:pPr>
      <w:r>
        <w:t xml:space="preserve">多重分析带来的相关性也应考虑。100个几乎相同的流程不等于100份独立证据。图示可以帮助呈现结果分布，结论仍需结合数据与方法的共同来源。数量繁多的分析不能通过投票替代推断。</w:t>
      </w:r>
    </w:p>
    <w:bookmarkEnd w:id="1156"/>
    <w:bookmarkStart w:id="1157" w:name="sec-59-5"/>
    <w:p>
      <w:pPr>
        <w:pStyle w:val="Heading3"/>
      </w:pPr>
      <w:r>
        <w:t xml:space="preserve">59.5　机器学习中的独立性</w:t>
      </w:r>
    </w:p>
    <w:p>
      <w:pPr>
        <w:pStyle w:val="FirstParagraph"/>
      </w:pPr>
      <w:r>
        <w:t xml:space="preserve">数据应按目标推广单位划分。希望预测新个体，就按人分；希望推广到新中心，就留出中心；希望预测未来，就使用时间外资料。多个扫描、多个细胞和多个语句来自同一对象时，随机按记录切分可能造成泄漏。</w:t>
      </w:r>
    </w:p>
    <w:p>
      <w:pPr>
        <w:pStyle w:val="BodyText"/>
      </w:pPr>
      <w:r>
        <w:t xml:space="preserve">预处理也属于模型的一部分。标准化、缺失填补、特征选择和降维应在训练资料中确定，再应用到测试资料。若在全数据上先做这些步骤，测试信息可能进入学习过程。最终分类器没有见过测试标签，并不足以保证整体流程独立。</w:t>
      </w:r>
    </w:p>
    <w:p>
      <w:pPr>
        <w:pStyle w:val="BodyText"/>
      </w:pPr>
      <w:r>
        <w:t xml:space="preserve">超参数选择需要与最终评价分离。嵌套交叉验证可以在外层保留评价资料，在内层选择模型。反复查看同一测试集并调整模型，会逐渐把测试集变成训练的一部分。真正的外部验证需要新的、未用于选择的资料</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r>
        <w:t xml:space="preserve">。</w:t>
      </w:r>
    </w:p>
    <w:bookmarkEnd w:id="1157"/>
    <w:bookmarkStart w:id="1158" w:name="sec-59-6"/>
    <w:p>
      <w:pPr>
        <w:pStyle w:val="Heading3"/>
      </w:pPr>
      <w:r>
        <w:t xml:space="preserve">59.6　校准、公平性与分布变化</w:t>
      </w:r>
    </w:p>
    <w:p>
      <w:pPr>
        <w:pStyle w:val="FirstParagraph"/>
      </w:pPr>
      <w:r>
        <w:t xml:space="preserve">一个模型在总体上表现良好，仍可能在某些年龄、性别、语言、疾病严重度或设备条件下表现较差。分层报告可以暴露问题，但小亚组的区间也可能很宽。应同时考虑代表性、测量方式和错误代价，避免只给每个亚组一个看似精确的点估计。</w:t>
      </w:r>
    </w:p>
    <w:p>
      <w:pPr>
        <w:pStyle w:val="BodyText"/>
      </w:pPr>
      <w:r>
        <w:t xml:space="preserve">公平性包含多个可能相冲突的目标，例如不同群体中的错误率、校准和机会分配。统计指标无法单独决定价值排序。需要说明应用目的、可接受错误和谁承担代价，并检验模型是否在现实流程中扩大不平等。</w:t>
      </w:r>
    </w:p>
    <w:p>
      <w:pPr>
        <w:pStyle w:val="BodyText"/>
      </w:pPr>
      <w:r>
        <w:t xml:space="preserve">分布变化可能来自设备更新、诊断标准变化、治疗普及或人群构成改变。模型上线后的持续监测因此属于验证的一部分。过去表现良好无法保证未来永久有效。更新模型也需要重新评价，不能默认版本改变只带来改进。</w:t>
      </w:r>
    </w:p>
    <w:bookmarkEnd w:id="1158"/>
    <w:bookmarkStart w:id="1159" w:name="sec-59-7"/>
    <w:p>
      <w:pPr>
        <w:pStyle w:val="Heading3"/>
      </w:pPr>
      <w:r>
        <w:t xml:space="preserve">59.7　数据开放与隐私</w:t>
      </w:r>
    </w:p>
    <w:p>
      <w:pPr>
        <w:pStyle w:val="FirstParagraph"/>
      </w:pPr>
      <w:r>
        <w:t xml:space="preserve">神经数据可能包含健康、身份和行为信息。开放研究应与知情同意、访问控制和数据最小化配合。删除姓名并不保证所有重新识别风险消失，尤其多种数据源可以连接时。研究应说明可共享内容、限制和申请路径。</w:t>
      </w:r>
    </w:p>
    <w:p>
      <w:pPr>
        <w:pStyle w:val="BodyText"/>
      </w:pPr>
      <w:r>
        <w:t xml:space="preserve">透明度不要求把敏感资料无限公开。可采用受控访问、可执行代码、合成演示数据和完整分析说明等方式支持复核。选择需要兼顾可验证性与参与者权益，并明确哪些限制影响复现。</w:t>
      </w:r>
    </w:p>
    <w:bookmarkEnd w:id="1159"/>
    <w:bookmarkStart w:id="1160" w:name="sec-59-8"/>
    <w:p>
      <w:pPr>
        <w:pStyle w:val="Heading3"/>
      </w:pPr>
      <w:r>
        <w:t xml:space="preserve">59.8　教学检查实例</w:t>
      </w:r>
    </w:p>
    <w:p>
      <w:pPr>
        <w:pStyle w:val="FirstParagraph"/>
      </w:pPr>
      <w:r>
        <w:t xml:space="preserve">某论文把每位参与者的10个时间窗随机分进训练和测试，得到很高准确率。若目标是预测新参与者，应重新按人划分。若准确率明显下降，不能把下降全部归为算法变差；新分析回答了更严格且更接近用途的问题。</w:t>
      </w:r>
    </w:p>
    <w:p>
      <w:pPr>
        <w:pStyle w:val="BodyText"/>
      </w:pPr>
      <w:r>
        <w:t xml:space="preserve">某研究在同一测试集上尝试30种网络，最后报告最佳一种的成绩及普通置信区间。区间通常没有包含模型选择带来的乐观偏差。需要独立验证或正确的嵌套流程。给模型加上“深度学习”名称不会改变这一统计问题。</w:t>
      </w:r>
    </w:p>
    <w:p>
      <w:pPr>
        <w:pStyle w:val="BodyText"/>
      </w:pPr>
      <w:r>
        <w:rPr>
          <w:bCs/>
          <w:b/>
        </w:rPr>
        <w:t xml:space="preserve">方法结论</w:t>
      </w:r>
      <w:r>
        <w:t xml:space="preserve">　可靠研究允许他人重建结果、检验选择、追踪样本并挑战解释。透明程序与严谨设计共同增加知识的可信度，任何单项标签都不能承担全部保证。</w:t>
      </w:r>
    </w:p>
    <w:bookmarkEnd w:id="1160"/>
    <w:bookmarkEnd w:id="1161"/>
    <w:bookmarkStart w:id="1174" w:name="ch-60"/>
    <w:p>
      <w:pPr>
        <w:pStyle w:val="Heading2"/>
      </w:pPr>
      <w:r>
        <w:t xml:space="preserve">第60章　神经测量的物理基础与信息边界</w:t>
      </w:r>
    </w:p>
    <w:p>
      <w:pPr>
        <w:pStyle w:val="FirstParagraph"/>
      </w:pPr>
      <w:r>
        <w:rPr>
          <w:bCs/>
          <w:b/>
        </w:rPr>
        <w:t xml:space="preserve">本章的证据边界</w:t>
      </w:r>
      <w:r>
        <w:t xml:space="preserve">　仪器记录的物理量、生成机制和反演模型共同限定解释，这一判断的置信度高。不同技术对某类细胞活动或心理过程的对应精度，需要在指定组织、状态与任务中验证。把一种技术的性能无条件推广到全部脑区和全部人群，通常只有低置信度</w:t>
      </w:r>
      <w:r>
        <w:rPr>
          <w:vertAlign w:val="superscript"/>
        </w:rPr>
        <w:t xml:space="preserve">[</w:t>
      </w:r>
      <w:hyperlink w:anchor="ref-575">
        <w:r>
          <w:rPr>
            <w:rStyle w:val="Hyperlink"/>
            <w:vertAlign w:val="superscript"/>
          </w:rPr>
          <w:t xml:space="preserve">575</w:t>
        </w:r>
      </w:hyperlink>
      <w:r>
        <w:rPr>
          <w:vertAlign w:val="superscript"/>
        </w:rPr>
        <w:t xml:space="preserve">,</w:t>
      </w:r>
      <w:hyperlink w:anchor="ref-620">
        <w:r>
          <w:rPr>
            <w:rStyle w:val="Hyperlink"/>
            <w:vertAlign w:val="superscript"/>
          </w:rPr>
          <w:t xml:space="preserve">620</w:t>
        </w:r>
      </w:hyperlink>
      <w:r>
        <w:rPr>
          <w:vertAlign w:val="superscript"/>
        </w:rPr>
        <w:t xml:space="preserve">,</w:t>
      </w:r>
      <w:hyperlink w:anchor="ref-621">
        <w:r>
          <w:rPr>
            <w:rStyle w:val="Hyperlink"/>
            <w:vertAlign w:val="superscript"/>
          </w:rPr>
          <w:t xml:space="preserve">621</w:t>
        </w:r>
      </w:hyperlink>
      <w:r>
        <w:rPr>
          <w:vertAlign w:val="superscript"/>
        </w:rPr>
        <w:t xml:space="preserve">,</w:t>
      </w:r>
      <w:hyperlink w:anchor="ref-622">
        <w:r>
          <w:rPr>
            <w:rStyle w:val="Hyperlink"/>
            <w:vertAlign w:val="superscript"/>
          </w:rPr>
          <w:t xml:space="preserve">622</w:t>
        </w:r>
      </w:hyperlink>
      <w:r>
        <w:rPr>
          <w:vertAlign w:val="superscript"/>
        </w:rPr>
        <w:t xml:space="preserve">]</w:t>
      </w:r>
      <w:r>
        <w:t xml:space="preserve">。</w:t>
      </w:r>
    </w:p>
    <w:bookmarkStart w:id="1163" w:name="sec-60-1"/>
    <w:p>
      <w:pPr>
        <w:pStyle w:val="Heading3"/>
      </w:pPr>
      <w:r>
        <w:t xml:space="preserve">60.1　测量链决定能够回答的问题</w:t>
      </w:r>
    </w:p>
    <w:p>
      <w:pPr>
        <w:pStyle w:val="FirstParagraph"/>
      </w:pPr>
      <w:r>
        <w:t xml:space="preserve">研究神经系统时，仪器首先接触电压、磁场、光子、放射性事件或磁共振信号。神经活动通过一定物理过程影响这些信号，分析程序再把它们转换成特征与统计量。理解这条链，可以解释为什么两种可靠技术仍可能得到不同结果，也可以识别从仪器读数到心理功能之间缺少哪些推断。</w:t>
      </w:r>
    </w:p>
    <w:p>
      <w:pPr>
        <w:pStyle w:val="BodyText"/>
      </w:pPr>
      <w:r>
        <w:t xml:space="preserve">“直接”与“间接”需要说明参照层次。电极记录与跨膜电流有紧密物理联系，但仍可能混合许多细胞；钙成像记录与细胞内钙变化有关的荧光，钙变化与放电之间仍有动力学转换；BOLD依赖血流和氧合变化。各种方法都需要测量模型，区别体现在转换环节及其约束</w:t>
      </w:r>
      <w:r>
        <w:rPr>
          <w:vertAlign w:val="superscript"/>
        </w:rPr>
        <w:t xml:space="preserve">[</w:t>
      </w:r>
      <w:hyperlink w:anchor="ref-48">
        <w:r>
          <w:rPr>
            <w:rStyle w:val="Hyperlink"/>
            <w:vertAlign w:val="superscript"/>
          </w:rPr>
          <w:t xml:space="preserve">48</w:t>
        </w:r>
      </w:hyperlink>
      <w:r>
        <w:rPr>
          <w:vertAlign w:val="superscript"/>
        </w:rPr>
        <w:t xml:space="preserve">,</w:t>
      </w:r>
      <w:hyperlink w:anchor="ref-119">
        <w:r>
          <w:rPr>
            <w:rStyle w:val="Hyperlink"/>
            <w:vertAlign w:val="superscript"/>
          </w:rPr>
          <w:t xml:space="preserve">119</w:t>
        </w:r>
      </w:hyperlink>
      <w:r>
        <w:rPr>
          <w:vertAlign w:val="superscript"/>
        </w:rPr>
        <w:t xml:space="preserve">,</w:t>
      </w:r>
      <w:hyperlink w:anchor="ref-575">
        <w:r>
          <w:rPr>
            <w:rStyle w:val="Hyperlink"/>
            <w:vertAlign w:val="superscript"/>
          </w:rPr>
          <w:t xml:space="preserve">575</w:t>
        </w:r>
      </w:hyperlink>
      <w:r>
        <w:rPr>
          <w:vertAlign w:val="superscript"/>
        </w:rPr>
        <w:t xml:space="preserve">]</w:t>
      </w:r>
      <w:r>
        <w:t xml:space="preserve">。</w:t>
      </w:r>
    </w:p>
    <w:p>
      <w:pPr>
        <w:pStyle w:val="BodyText"/>
      </w:pPr>
      <w:r>
        <w:t xml:space="preserve">时间分辨率、空间分辨率、覆盖范围、细胞选择性和可重复使用性构成多维权衡。更高采样频率可以记录更多时间点，却无法突破原始生理信号本身的缓慢变化。更小的图像体素可以改善某些空间问题，同时降低信噪比。任何“最高精度”的宣传都应说明精度维度和适用条件。</w:t>
      </w:r>
    </w:p>
    <w:p>
      <w:pPr>
        <w:pStyle w:val="TableCaption"/>
      </w:pPr>
      <w:bookmarkStart w:id="1162" w:name="tab-neuro-methods"/>
      <w:bookmarkEnd w:id="1162"/>
      <w:r>
        <w:rPr>
          <w:bCs/>
          <w:b/>
        </w:rPr>
        <w:t xml:space="preserve">表 20　神经测量方法的测量对象与解释条件</w:t>
      </w:r>
    </w:p>
    <w:tbl>
      <w:tblPr>
        <w:tblStyle w:val="Table"/>
        <w:tblW w:type="pct" w:w="5000"/>
        <w:jc w:val="start"/>
        <w:tblLook w:firstRow="1" w:lastRow="0" w:firstColumn="0" w:lastColumn="0" w:noHBand="0" w:noVBand="0" w:val="0020"/>
      </w:tblPr>
      <w:tblGrid>
        <w:gridCol w:w="1875"/>
        <w:gridCol w:w="2292"/>
        <w:gridCol w:w="3751"/>
      </w:tblGrid>
      <w:tr>
        <w:trPr>
          <w:tblHeader w:val="true"/>
        </w:trPr>
        <w:tc>
          <w:tcPr>
            <w:shd w:val="clear" w:color="auto" w:fill="1F3A5F"/>
          </w:tcPr>
          <w:p>
            <w:pPr>
              <w:jc w:val="left"/>
            </w:pPr>
            <w:r>
              <w:rPr>
                <w:bCs/>
                <w:b/>
                <w:color w:val="FFFFFF"/>
              </w:rPr>
              <w:t xml:space="preserve">方法</w:t>
            </w:r>
          </w:p>
        </w:tc>
        <w:tc>
          <w:tcPr>
            <w:shd w:val="clear" w:color="auto" w:fill="1F3A5F"/>
          </w:tcPr>
          <w:p>
            <w:pPr>
              <w:jc w:val="left"/>
            </w:pPr>
            <w:r>
              <w:rPr>
                <w:bCs/>
                <w:b/>
                <w:color w:val="FFFFFF"/>
              </w:rPr>
              <w:t xml:space="preserve">主要测量对象</w:t>
            </w:r>
          </w:p>
        </w:tc>
        <w:tc>
          <w:tcPr>
            <w:shd w:val="clear" w:color="auto" w:fill="1F3A5F"/>
          </w:tcPr>
          <w:p>
            <w:pPr>
              <w:jc w:val="left"/>
            </w:pPr>
            <w:r>
              <w:rPr>
                <w:bCs/>
                <w:b/>
                <w:color w:val="FFFFFF"/>
              </w:rPr>
              <w:t xml:space="preserve">解释时必须保留的条件</w:t>
            </w:r>
          </w:p>
        </w:tc>
      </w:tr>
      <w:tr>
        <w:tc>
          <w:tcPr/>
          <w:p>
            <w:pPr>
              <w:jc w:val="left"/>
            </w:pPr>
            <w:r>
              <w:t xml:space="preserve">头皮脑电</w:t>
            </w:r>
          </w:p>
        </w:tc>
        <w:tc>
          <w:tcPr/>
          <w:p>
            <w:pPr>
              <w:jc w:val="left"/>
            </w:pPr>
            <w:r>
              <w:t xml:space="preserve">电极间电势差</w:t>
            </w:r>
          </w:p>
        </w:tc>
        <w:tc>
          <w:tcPr/>
          <w:p>
            <w:pPr>
              <w:jc w:val="left"/>
            </w:pPr>
            <w:r>
              <w:t xml:space="preserve">参考方式、空间混合、伪迹与逆问题</w:t>
            </w:r>
          </w:p>
        </w:tc>
      </w:tr>
      <w:tr>
        <w:tc>
          <w:tcPr/>
          <w:p>
            <w:pPr>
              <w:jc w:val="left"/>
            </w:pPr>
            <w:r>
              <w:t xml:space="preserve">脑磁图</w:t>
            </w:r>
          </w:p>
        </w:tc>
        <w:tc>
          <w:tcPr/>
          <w:p>
            <w:pPr>
              <w:jc w:val="left"/>
            </w:pPr>
            <w:r>
              <w:t xml:space="preserve">神经电流产生的磁场</w:t>
            </w:r>
          </w:p>
        </w:tc>
        <w:tc>
          <w:tcPr/>
          <w:p>
            <w:pPr>
              <w:jc w:val="left"/>
            </w:pPr>
            <w:r>
              <w:t xml:space="preserve">源方向、深度、头部位置及逆模型</w:t>
            </w:r>
          </w:p>
        </w:tc>
      </w:tr>
      <w:tr>
        <w:tc>
          <w:tcPr/>
          <w:p>
            <w:pPr>
              <w:jc w:val="left"/>
            </w:pPr>
            <w:r>
              <w:t xml:space="preserve">皮层内电生理</w:t>
            </w:r>
          </w:p>
        </w:tc>
        <w:tc>
          <w:tcPr/>
          <w:p>
            <w:pPr>
              <w:jc w:val="left"/>
            </w:pPr>
            <w:r>
              <w:t xml:space="preserve">局部细胞外电压变化</w:t>
            </w:r>
          </w:p>
        </w:tc>
        <w:tc>
          <w:tcPr/>
          <w:p>
            <w:pPr>
              <w:jc w:val="left"/>
            </w:pPr>
            <w:r>
              <w:t xml:space="preserve">采样偏倚、波形分离、稳定性与细胞识别</w:t>
            </w:r>
          </w:p>
        </w:tc>
      </w:tr>
      <w:tr>
        <w:tc>
          <w:tcPr/>
          <w:p>
            <w:pPr>
              <w:jc w:val="left"/>
            </w:pPr>
            <w:r>
              <w:t xml:space="preserve">钙成像</w:t>
            </w:r>
          </w:p>
        </w:tc>
        <w:tc>
          <w:tcPr/>
          <w:p>
            <w:pPr>
              <w:jc w:val="left"/>
            </w:pPr>
            <w:r>
              <w:t xml:space="preserve">钙指示器的荧光变化</w:t>
            </w:r>
          </w:p>
        </w:tc>
        <w:tc>
          <w:tcPr/>
          <w:p>
            <w:pPr>
              <w:jc w:val="left"/>
            </w:pPr>
            <w:r>
              <w:t xml:space="preserve">指示器动力学、饱和、运动与背景</w:t>
            </w:r>
          </w:p>
        </w:tc>
      </w:tr>
      <w:tr>
        <w:tc>
          <w:tcPr/>
          <w:p>
            <w:pPr>
              <w:jc w:val="left"/>
            </w:pPr>
            <w:r>
              <w:t xml:space="preserve">功能近红外</w:t>
            </w:r>
          </w:p>
        </w:tc>
        <w:tc>
          <w:tcPr/>
          <w:p>
            <w:pPr>
              <w:jc w:val="left"/>
            </w:pPr>
            <w:r>
              <w:t xml:space="preserve">组织光吸收变化</w:t>
            </w:r>
          </w:p>
        </w:tc>
        <w:tc>
          <w:tcPr/>
          <w:p>
            <w:pPr>
              <w:jc w:val="left"/>
            </w:pPr>
            <w:r>
              <w:t xml:space="preserve">血红蛋白模型、头皮贡献与深度限制</w:t>
            </w:r>
          </w:p>
        </w:tc>
      </w:tr>
      <w:tr>
        <w:tc>
          <w:tcPr/>
          <w:p>
            <w:pPr>
              <w:jc w:val="left"/>
            </w:pPr>
            <w:r>
              <w:t xml:space="preserve">PET</w:t>
            </w:r>
          </w:p>
        </w:tc>
        <w:tc>
          <w:tcPr/>
          <w:p>
            <w:pPr>
              <w:jc w:val="left"/>
            </w:pPr>
            <w:r>
              <w:t xml:space="preserve">示踪剂相关放射事件</w:t>
            </w:r>
          </w:p>
        </w:tc>
        <w:tc>
          <w:tcPr/>
          <w:p>
            <w:pPr>
              <w:jc w:val="left"/>
            </w:pPr>
            <w:r>
              <w:t xml:space="preserve">动力学模型、结合特异性与参照区域</w:t>
            </w:r>
          </w:p>
        </w:tc>
      </w:tr>
      <w:tr>
        <w:tc>
          <w:tcPr/>
          <w:p>
            <w:pPr>
              <w:jc w:val="left"/>
            </w:pPr>
            <w:r>
              <w:t xml:space="preserve">扩散MRI</w:t>
            </w:r>
          </w:p>
        </w:tc>
        <w:tc>
          <w:tcPr/>
          <w:p>
            <w:pPr>
              <w:jc w:val="left"/>
            </w:pPr>
            <w:r>
              <w:t xml:space="preserve">水分子位移对信号的影响</w:t>
            </w:r>
          </w:p>
        </w:tc>
        <w:tc>
          <w:tcPr/>
          <w:p>
            <w:pPr>
              <w:jc w:val="left"/>
            </w:pPr>
            <w:r>
              <w:t xml:space="preserve">组织微结构、模型假设及路径不确定性</w:t>
            </w:r>
          </w:p>
        </w:tc>
      </w:tr>
      <w:tr>
        <w:tc>
          <w:tcPr/>
          <w:p>
            <w:pPr>
              <w:jc w:val="left"/>
            </w:pPr>
            <w:r>
              <w:t xml:space="preserve">BOLD功能MRI</w:t>
            </w:r>
          </w:p>
        </w:tc>
        <w:tc>
          <w:tcPr/>
          <w:p>
            <w:pPr>
              <w:jc w:val="left"/>
            </w:pPr>
            <w:r>
              <w:t xml:space="preserve">氧合相关磁共振变化</w:t>
            </w:r>
          </w:p>
        </w:tc>
        <w:tc>
          <w:tcPr/>
          <w:p>
            <w:pPr>
              <w:jc w:val="left"/>
            </w:pPr>
            <w:r>
              <w:t xml:space="preserve">神经血管耦合、对照和生理混杂</w:t>
            </w:r>
          </w:p>
        </w:tc>
      </w:tr>
    </w:tbl>
    <w:p>
      <w:pPr>
        <w:pStyle w:val="BodyText"/>
      </w:pPr>
      <w:r>
        <w:t xml:space="preserve">这张表是方法选择的起点。每一类内部仍有多个采集与分析方案，不能以技术名称替代具体实验条件。参考文献中的方法研究和原始工具论文展示了这些测量链的不同实现</w:t>
      </w:r>
      <w:r>
        <w:rPr>
          <w:vertAlign w:val="superscript"/>
        </w:rPr>
        <w:t xml:space="preserve">[</w:t>
      </w:r>
      <w:hyperlink w:anchor="ref-48">
        <w:r>
          <w:rPr>
            <w:rStyle w:val="Hyperlink"/>
            <w:vertAlign w:val="superscript"/>
          </w:rPr>
          <w:t xml:space="preserve">48</w:t>
        </w:r>
      </w:hyperlink>
      <w:r>
        <w:rPr>
          <w:vertAlign w:val="superscript"/>
        </w:rPr>
        <w:t xml:space="preserve">,</w:t>
      </w:r>
      <w:hyperlink w:anchor="ref-575">
        <w:r>
          <w:rPr>
            <w:rStyle w:val="Hyperlink"/>
            <w:vertAlign w:val="superscript"/>
          </w:rPr>
          <w:t xml:space="preserve">575</w:t>
        </w:r>
      </w:hyperlink>
      <w:r>
        <w:rPr>
          <w:vertAlign w:val="superscript"/>
        </w:rPr>
        <w:t xml:space="preserve">,</w:t>
      </w:r>
      <w:hyperlink w:anchor="ref-620">
        <w:r>
          <w:rPr>
            <w:rStyle w:val="Hyperlink"/>
            <w:vertAlign w:val="superscript"/>
          </w:rPr>
          <w:t xml:space="preserve">620</w:t>
        </w:r>
      </w:hyperlink>
      <w:r>
        <w:rPr>
          <w:vertAlign w:val="superscript"/>
        </w:rPr>
        <w:t xml:space="preserve">,</w:t>
      </w:r>
      <w:hyperlink w:anchor="ref-621">
        <w:r>
          <w:rPr>
            <w:rStyle w:val="Hyperlink"/>
            <w:vertAlign w:val="superscript"/>
          </w:rPr>
          <w:t xml:space="preserve">621</w:t>
        </w:r>
      </w:hyperlink>
      <w:r>
        <w:rPr>
          <w:vertAlign w:val="superscript"/>
        </w:rPr>
        <w:t xml:space="preserve">,</w:t>
      </w:r>
      <w:hyperlink w:anchor="ref-622">
        <w:r>
          <w:rPr>
            <w:rStyle w:val="Hyperlink"/>
            <w:vertAlign w:val="superscript"/>
          </w:rPr>
          <w:t xml:space="preserve">622</w:t>
        </w:r>
      </w:hyperlink>
      <w:r>
        <w:rPr>
          <w:vertAlign w:val="superscript"/>
        </w:rPr>
        <w:t xml:space="preserve">,</w:t>
      </w:r>
      <w:hyperlink w:anchor="ref-623">
        <w:r>
          <w:rPr>
            <w:rStyle w:val="Hyperlink"/>
            <w:vertAlign w:val="superscript"/>
          </w:rPr>
          <w:t xml:space="preserve">623</w:t>
        </w:r>
      </w:hyperlink>
      <w:r>
        <w:rPr>
          <w:vertAlign w:val="superscript"/>
        </w:rPr>
        <w:t xml:space="preserve">]</w:t>
      </w:r>
      <w:r>
        <w:t xml:space="preserve">。</w:t>
      </w:r>
    </w:p>
    <w:bookmarkEnd w:id="1163"/>
    <w:bookmarkStart w:id="1164" w:name="sec-60-2"/>
    <w:p>
      <w:pPr>
        <w:pStyle w:val="Heading3"/>
      </w:pPr>
      <w:r>
        <w:t xml:space="preserve">60.2　细胞外电场为什么不能等同于放电数</w:t>
      </w:r>
    </w:p>
    <w:p>
      <w:pPr>
        <w:pStyle w:val="FirstParagraph"/>
      </w:pPr>
      <w:r>
        <w:t xml:space="preserve">神经细胞的跨膜电流在导电组织中形成电势分布。细胞形态、排列方向、同步程度、距离和组织传导共同影响电极记录。突触相关电流通常具有重要贡献，动作电位和其他膜电流也能影响不同频率与空间尺度的信号</w:t>
      </w:r>
      <w:r>
        <w:rPr>
          <w:vertAlign w:val="superscript"/>
        </w:rPr>
        <w:t xml:space="preserve">[</w:t>
      </w:r>
      <w:hyperlink w:anchor="ref-575">
        <w:r>
          <w:rPr>
            <w:rStyle w:val="Hyperlink"/>
            <w:vertAlign w:val="superscript"/>
          </w:rPr>
          <w:t xml:space="preserve">575</w:t>
        </w:r>
      </w:hyperlink>
      <w:r>
        <w:rPr>
          <w:vertAlign w:val="superscript"/>
        </w:rPr>
        <w:t xml:space="preserve">]</w:t>
      </w:r>
      <w:r>
        <w:t xml:space="preserve">。</w:t>
      </w:r>
    </w:p>
    <w:p>
      <w:pPr>
        <w:pStyle w:val="BodyText"/>
      </w:pPr>
      <w:r>
        <w:t xml:space="preserve">两个细胞群可以具有相近的平均放电率，却因同步程度与空间排列不同产生不同场信号。反过来，较大的场电位也不能直接说明记录范围内每个细胞都更活跃。把场信号幅度换算成神经元数量，需要额外模型和验证，通常无法仅凭一个电极完成。</w:t>
      </w:r>
    </w:p>
    <w:p>
      <w:pPr>
        <w:pStyle w:val="BodyText"/>
      </w:pPr>
      <w:r>
        <w:t xml:space="preserve">电流源与电流汇的解释也依赖组织几何。细胞外某处观察到电流汇，可以与局部跨膜流入有关，但回流路径及附近其他结构会影响空间分布。电流源密度分析通过空间导数强调局部变化，其有效性依赖采样密度、几何和电导假设。统计图上的正负颜色不能直接命名为兴奋与抑制。</w:t>
      </w:r>
    </w:p>
    <w:p>
      <w:pPr>
        <w:pStyle w:val="BodyText"/>
      </w:pPr>
      <w:r>
        <w:t xml:space="preserve">电极间电压是相对量。改变参考电极会改变单个通道的波形与拓扑，因此论文应说明参考方式和重新参考过程。某区域的电压变化若主要来自共同参考，可能制造虚假的共同活动。使用双极或其他空间处理可以减轻部分影响，也可能削弱真正的广泛信号。</w:t>
      </w:r>
    </w:p>
    <w:bookmarkEnd w:id="1164"/>
    <w:bookmarkStart w:id="1165" w:name="sec-60-3"/>
    <w:p>
      <w:pPr>
        <w:pStyle w:val="Heading3"/>
      </w:pPr>
      <w:r>
        <w:t xml:space="preserve">60.3　采样、滤波与时间解释</w:t>
      </w:r>
    </w:p>
    <w:p>
      <w:pPr>
        <w:pStyle w:val="FirstParagraph"/>
      </w:pPr>
      <w:r>
        <w:t xml:space="preserve">数字记录以有限频率取样。若原信号包含超过可分辨范围的频率而未适当滤除，高频成分可能在采样后表现为错误的低频，这称为混叠。提高采样率和使用合适的抗混叠滤波能够处理不同环节，二者需要共同设计。</w:t>
      </w:r>
    </w:p>
    <w:p>
      <w:pPr>
        <w:pStyle w:val="BodyText"/>
      </w:pPr>
      <w:r>
        <w:t xml:space="preserve">滤波改变的不只是噪声，也可能改变波形和时间关系。某些滤波器存在相位延迟；双向零相位滤波使用未来时间点的信息，适合某些离线分析，却不能直接代表实时系统的因果处理。研究讨论刺激前信号时，尤其需要检查处理是否把刺激后的信息传播到较早时间。</w:t>
      </w:r>
    </w:p>
    <w:p>
      <w:pPr>
        <w:pStyle w:val="BodyText"/>
      </w:pPr>
      <w:r>
        <w:t xml:space="preserve">滤波边缘也可能产生振铃或其他伪形态。一个尖锐变化经过窄带滤波后可以出现看似持续振荡的波形。判断神经振荡时，应查看原始信号、频谱结构、时频结果和处理参数，避免把滤波器预设的频段直接当作脑内存在稳定节律的证明。</w:t>
      </w:r>
    </w:p>
    <w:p>
      <w:pPr>
        <w:pStyle w:val="BodyText"/>
      </w:pPr>
      <w:r>
        <w:t xml:space="preserve">平均可以提高与事件稳定对齐的信号，同时降低试次间不同步的成分。因此，事件相关电位和单试次振荡分析回答不同问题。平均波形中缺少某成分，可能来自真正缺失，也可能来自时间抖动。需要根据研究问题选择对齐和统计方式。</w:t>
      </w:r>
    </w:p>
    <w:bookmarkEnd w:id="1165"/>
    <w:bookmarkStart w:id="1166" w:name="sec-60-4"/>
    <w:p>
      <w:pPr>
        <w:pStyle w:val="Heading3"/>
      </w:pPr>
      <w:r>
        <w:t xml:space="preserve">60.4　脑电和脑磁的空间逆问题</w:t>
      </w:r>
    </w:p>
    <w:p>
      <w:pPr>
        <w:pStyle w:val="FirstParagraph"/>
      </w:pPr>
      <w:r>
        <w:t xml:space="preserve">给定一组脑内电流及头部模型，可以预测传感器读数，这是正向问题。由有限传感器读数推回脑内来源，是逆问题。逆问题没有唯一解：即使数据完全没有噪声，也存在无穷多种来源分布能够产生完全相同的头外读数，亥姆霍兹在1853年已证明这一性质。噪声和有限的传感器数量又使更多来源组合难以区分。因此，求解必须加入位置、平滑、稀疏或解剖等约束</w:t>
      </w:r>
      <w:r>
        <w:rPr>
          <w:vertAlign w:val="superscript"/>
        </w:rPr>
        <w:t xml:space="preserve">[</w:t>
      </w:r>
      <w:hyperlink w:anchor="ref-620">
        <w:r>
          <w:rPr>
            <w:rStyle w:val="Hyperlink"/>
            <w:vertAlign w:val="superscript"/>
          </w:rPr>
          <w:t xml:space="preserve">620</w:t>
        </w:r>
      </w:hyperlink>
      <w:r>
        <w:rPr>
          <w:vertAlign w:val="superscript"/>
        </w:rPr>
        <w:t xml:space="preserve">]</w:t>
      </w:r>
      <w:r>
        <w:t xml:space="preserve">。</w:t>
      </w:r>
    </w:p>
    <w:p>
      <w:pPr>
        <w:pStyle w:val="BodyText"/>
      </w:pPr>
      <w:r>
        <w:t xml:space="preserve">约束能够使问题可计算，同时影响结果。某个逆方法倾向于平滑分布，另一个方法偏向少数集中来源，两者图像不同不必意味着某一个数据错误。研究应说明采用的先验及其合理性，并检查关键结论对方法变化是否稳健。</w:t>
      </w:r>
    </w:p>
    <w:p>
      <w:pPr>
        <w:pStyle w:val="BodyText"/>
      </w:pPr>
      <w:r>
        <w:t xml:space="preserve">脑磁图对源方向与深度具有不同敏感性，头部与传感器的相对位置也会改变测量。不能简单声称它完全不受组织结构影响，或者完全看不到某类来源。准确的判断应基于几何、信噪比和具体设备。脑电与脑磁的互补价值来自不同敏感性，而共同的逆问题仍需处理</w:t>
      </w:r>
      <w:r>
        <w:rPr>
          <w:vertAlign w:val="superscript"/>
        </w:rPr>
        <w:t xml:space="preserve">[</w:t>
      </w:r>
      <w:hyperlink w:anchor="ref-620">
        <w:r>
          <w:rPr>
            <w:rStyle w:val="Hyperlink"/>
            <w:vertAlign w:val="superscript"/>
          </w:rPr>
          <w:t xml:space="preserve">620</w:t>
        </w:r>
      </w:hyperlink>
      <w:r>
        <w:rPr>
          <w:vertAlign w:val="superscript"/>
        </w:rPr>
        <w:t xml:space="preserve">]</w:t>
      </w:r>
      <w:r>
        <w:t xml:space="preserve">。</w:t>
      </w:r>
    </w:p>
    <w:p>
      <w:pPr>
        <w:pStyle w:val="BodyText"/>
      </w:pPr>
      <w:r>
        <w:t xml:space="preserve">源定位的空间精度也不能只用重建图的像素大小表述。可以把结果绘制成非常细的网格，但真实定位误差仍由资料质量与模型限制决定。网格密度是显示或计算选择，独立定位验证才更接近精度证据。</w:t>
      </w:r>
    </w:p>
    <w:bookmarkEnd w:id="1166"/>
    <w:bookmarkStart w:id="1167" w:name="sec-60-5"/>
    <w:p>
      <w:pPr>
        <w:pStyle w:val="Heading3"/>
      </w:pPr>
      <w:r>
        <w:t xml:space="preserve">60.5　连接指标与共同来源</w:t>
      </w:r>
    </w:p>
    <w:p>
      <w:pPr>
        <w:pStyle w:val="FirstParagraph"/>
      </w:pPr>
      <w:r>
        <w:t xml:space="preserve">两个电极同时变化可能来自真正的神经相互作用，也可能因为同一电场传播到两个位置。共同输入、参考方式和体积传导都会影响相关与相干。把电极之间的相关矩阵直接画成脑区之间的通信图，会把观测空间与神经来源空间混合。</w:t>
      </w:r>
    </w:p>
    <w:p>
      <w:pPr>
        <w:pStyle w:val="BodyText"/>
      </w:pPr>
      <w:r>
        <w:t xml:space="preserve">某些指标刻意降低零时滞共同信号的影响，可以帮助处理一类混杂，同时也可能忽略真实的近零时滞互动。没有一种指标能够通过名称保证得到纯粹连接。需要明确它排除了什么假设，保留了什么不确定性，并用模拟和独立资料检验。</w:t>
      </w:r>
    </w:p>
    <w:p>
      <w:pPr>
        <w:pStyle w:val="BodyText"/>
      </w:pPr>
      <w:r>
        <w:t xml:space="preserve">方向性分析同样受到采样率、滤波、隐藏共同原因和模型阶数影响。一个信号改善另一个信号的时间预测，支持特定预测方向；是否构成生物因果作用还需干预或额外识别条件。时间先后具有信息价值，仍无法自动消除未测变量。</w:t>
      </w:r>
    </w:p>
    <w:p>
      <w:pPr>
        <w:pStyle w:val="BodyText"/>
      </w:pPr>
      <w:r>
        <w:t xml:space="preserve">跨频耦合也可能受到波形形状影响。非正弦周期波形本身包含谐波，可能形成看似不同频率之间相互作用的模式。解释相位与振幅关系时，应检查波形、频谱和替代资料。需要把真实跨过程互动与单一非正弦过程产生的数学关系区分开。</w:t>
      </w:r>
    </w:p>
    <w:bookmarkEnd w:id="1167"/>
    <w:bookmarkStart w:id="1168" w:name="sec-60-6"/>
    <w:p>
      <w:pPr>
        <w:pStyle w:val="Heading3"/>
      </w:pPr>
      <w:r>
        <w:t xml:space="preserve">60.6　高密度记录与放电分离</w:t>
      </w:r>
    </w:p>
    <w:p>
      <w:pPr>
        <w:pStyle w:val="FirstParagraph"/>
      </w:pPr>
      <w:r>
        <w:t xml:space="preserve">高密度硅探针能够同时获取许多记录位点的细胞外信号，推动神经群体研究。Neuropixels原始工具和后续2.0版本分别展示了高密度集成及长期记录方面的进展。位点数量、可分离单元数量与动物数量属于不同统计层次</w:t>
      </w:r>
      <w:r>
        <w:rPr>
          <w:vertAlign w:val="superscript"/>
        </w:rPr>
        <w:t xml:space="preserve">[</w:t>
      </w:r>
      <w:hyperlink w:anchor="ref-624">
        <w:r>
          <w:rPr>
            <w:rStyle w:val="Hyperlink"/>
            <w:vertAlign w:val="superscript"/>
          </w:rPr>
          <w:t xml:space="preserve">624</w:t>
        </w:r>
      </w:hyperlink>
      <w:r>
        <w:rPr>
          <w:vertAlign w:val="superscript"/>
        </w:rPr>
        <w:t xml:space="preserve">,</w:t>
      </w:r>
      <w:hyperlink w:anchor="ref-625">
        <w:r>
          <w:rPr>
            <w:rStyle w:val="Hyperlink"/>
            <w:vertAlign w:val="superscript"/>
          </w:rPr>
          <w:t xml:space="preserve">625</w:t>
        </w:r>
      </w:hyperlink>
      <w:r>
        <w:rPr>
          <w:vertAlign w:val="superscript"/>
        </w:rPr>
        <w:t xml:space="preserve">]</w:t>
      </w:r>
      <w:r>
        <w:t xml:space="preserve">。</w:t>
      </w:r>
    </w:p>
    <w:p>
      <w:pPr>
        <w:pStyle w:val="BodyText"/>
      </w:pPr>
      <w:r>
        <w:t xml:space="preserve">放电分离根据波形及其空间分布，尝试将事件归属于不同神经元。困难包括相邻细胞波形相近、同时放电重叠、噪声与电极相对位置变化。算法输出一个簇，只说明资料在指定模型下形成一组，仍需要质量评估来判断它是否对应稳定的单细胞。</w:t>
      </w:r>
    </w:p>
    <w:p>
      <w:pPr>
        <w:pStyle w:val="BodyText"/>
      </w:pPr>
      <w:r>
        <w:t xml:space="preserve">质量指标可以检查不应出现的过短间隔、波形稳定性、分离程度和事件丢失。单个指标合格不能保证所有错误都消失。例如，两个稀疏放电细胞合并后未必产生明显的短间隔违规；细胞漂移也可能被错误分成多个单元。需要多种指标和人工或独立验证共同约束。</w:t>
      </w:r>
    </w:p>
    <w:p>
      <w:pPr>
        <w:pStyle w:val="BodyText"/>
      </w:pPr>
      <w:r>
        <w:t xml:space="preserve">长期追踪提出另一个身份问题：今天与下周的相似波形是否来自同一个细胞。空间轨迹、波形、放电特征和算法匹配可以提高可信度，但仍应报告身份不确定性。误匹配会影响关于稳定表征或细胞变化的结论</w:t>
      </w:r>
      <w:r>
        <w:rPr>
          <w:vertAlign w:val="superscript"/>
        </w:rPr>
        <w:t xml:space="preserve">[</w:t>
      </w:r>
      <w:hyperlink w:anchor="ref-625">
        <w:r>
          <w:rPr>
            <w:rStyle w:val="Hyperlink"/>
            <w:vertAlign w:val="superscript"/>
          </w:rPr>
          <w:t xml:space="preserve">625</w:t>
        </w:r>
      </w:hyperlink>
      <w:r>
        <w:rPr>
          <w:vertAlign w:val="superscript"/>
        </w:rPr>
        <w:t xml:space="preserve">]</w:t>
      </w:r>
      <w:r>
        <w:t xml:space="preserve">。</w:t>
      </w:r>
    </w:p>
    <w:p>
      <w:pPr>
        <w:pStyle w:val="BodyText"/>
      </w:pPr>
      <w:r>
        <w:t xml:space="preserve">采样还具有生物偏倚。较大、较近、放电较多或波形较清楚的细胞可能更容易进入分析。大量记录不会自动产生对所有细胞类型的均匀代表。若研究要比较类型，通常需要额外的解剖、遗传或生理标定。</w:t>
      </w:r>
    </w:p>
    <w:bookmarkEnd w:id="1168"/>
    <w:bookmarkStart w:id="1169" w:name="sec-60-7"/>
    <w:p>
      <w:pPr>
        <w:pStyle w:val="Heading3"/>
      </w:pPr>
      <w:r>
        <w:t xml:space="preserve">60.7　钙成像与电压成像</w:t>
      </w:r>
    </w:p>
    <w:p>
      <w:pPr>
        <w:pStyle w:val="FirstParagraph"/>
      </w:pPr>
      <w:r>
        <w:t xml:space="preserve">遗传编码钙指示器通过荧光报告钙变化，为细胞群和局部亚细胞结构的长期观察提供工具。GCaMP6的开发展示了灵敏度和动力学方面的重要改进。荧光变化与动作电位之间仍受细胞类型、钙进入和清除以及指示器响应影响</w:t>
      </w:r>
      <w:r>
        <w:rPr>
          <w:vertAlign w:val="superscript"/>
        </w:rPr>
        <w:t xml:space="preserve">[</w:t>
      </w:r>
      <w:hyperlink w:anchor="ref-48">
        <w:r>
          <w:rPr>
            <w:rStyle w:val="Hyperlink"/>
            <w:vertAlign w:val="superscript"/>
          </w:rPr>
          <w:t xml:space="preserve">48</w:t>
        </w:r>
      </w:hyperlink>
      <w:r>
        <w:rPr>
          <w:vertAlign w:val="superscript"/>
        </w:rPr>
        <w:t xml:space="preserve">]</w:t>
      </w:r>
      <w:r>
        <w:t xml:space="preserve">。</w:t>
      </w:r>
    </w:p>
    <w:p>
      <w:pPr>
        <w:pStyle w:val="BodyText"/>
      </w:pPr>
      <w:r>
        <w:t xml:space="preserve">一个短促的放电事件可以形成较长的荧光响应，多个相邻事件也可能重叠。去卷积算法尝试从缓慢轨迹估计潜在事件，其结果依赖响应模型和噪声假设。算法给出尖峰样事件，不意味着仪器已经直接测得每个动作电位。需要同步电生理或其他标定检验准确性。</w:t>
      </w:r>
    </w:p>
    <w:p>
      <w:pPr>
        <w:pStyle w:val="BodyText"/>
      </w:pPr>
      <w:r>
        <w:t xml:space="preserve">荧光还可能受到饱和、漂白、运动、背景和邻近神经纤维信号影响。背景扣除可以减少污染，同时可能移除真实共同活动。分析应记录分割、背景模型和运动校正对结果的影响。细胞轮廓清晰并不保证该轮廓内全部光子都来自目标细胞。</w:t>
      </w:r>
    </w:p>
    <w:p>
      <w:pPr>
        <w:pStyle w:val="BodyText"/>
      </w:pPr>
      <w:r>
        <w:t xml:space="preserve">电压指示器旨在更紧密地追踪膜电位变化，通常面对速度、亮度、信噪比和光学负担等权衡。某个系统具有更快响应，并不表示在任何组织深度和行为条件下都能获得同等质量。选择技术时应围绕问题需要的时间和空间信息。</w:t>
      </w:r>
    </w:p>
    <w:p>
      <w:pPr>
        <w:pStyle w:val="BodyText"/>
      </w:pPr>
      <w:r>
        <w:t xml:space="preserve">群体光纤记录则进一步汇总多个细胞和过程。观察到某类表达细胞的总体信号上升，可以说明群体层面变化，却可能掩盖内部不同方向的响应。将汇总信号称作每个细胞都执行同一种计算，需要单细胞层面的额外证据。</w:t>
      </w:r>
    </w:p>
    <w:bookmarkEnd w:id="1169"/>
    <w:bookmarkStart w:id="1170" w:name="sec-60-8"/>
    <w:p>
      <w:pPr>
        <w:pStyle w:val="Heading3"/>
      </w:pPr>
      <w:r>
        <w:t xml:space="preserve">60.8　近红外测量与表浅组织</w:t>
      </w:r>
    </w:p>
    <w:p>
      <w:pPr>
        <w:pStyle w:val="FirstParagraph"/>
      </w:pPr>
      <w:r>
        <w:t xml:space="preserve">功能近红外光谱利用不同波长的光吸收性质估计血红蛋白相关变化。它适合某些自然互动和移动要求较高的研究情境，同时测量仍受到头皮、颅骨、头发、光路与系统性生理变化影响。领域报告规范要求清楚描述设备、通道、波长、处理和质量控制</w:t>
      </w:r>
      <w:r>
        <w:rPr>
          <w:vertAlign w:val="superscript"/>
        </w:rPr>
        <w:t xml:space="preserve">[</w:t>
      </w:r>
      <w:hyperlink w:anchor="ref-621">
        <w:r>
          <w:rPr>
            <w:rStyle w:val="Hyperlink"/>
            <w:vertAlign w:val="superscript"/>
          </w:rPr>
          <w:t xml:space="preserve">621</w:t>
        </w:r>
      </w:hyperlink>
      <w:r>
        <w:rPr>
          <w:vertAlign w:val="superscript"/>
        </w:rPr>
        <w:t xml:space="preserve">]</w:t>
      </w:r>
      <w:r>
        <w:t xml:space="preserve">。</w:t>
      </w:r>
    </w:p>
    <w:p>
      <w:pPr>
        <w:pStyle w:val="BodyText"/>
      </w:pPr>
      <w:r>
        <w:t xml:space="preserve">源与探测器之间的距离影响被采样组织的深度分布。短距离通道可以帮助估计部分表浅变化，用于减少头皮血流等贡献；这种校正仍依赖模型，无法简单保证剩余信号全部来自皮层。头部几何和个体差异需要进入解释。</w:t>
      </w:r>
    </w:p>
    <w:p>
      <w:pPr>
        <w:pStyle w:val="BodyText"/>
      </w:pPr>
      <w:r>
        <w:t xml:space="preserve">两个人同时互动时，各自呼吸、动作、声音和共同刺激可能产生同步信号。观察到跨脑相关，需要区分共享环境、行为耦合、生理同步和神经信息交换。社会互动具有真实的共同变化，研究目标则决定需要排除哪些共同原因。</w:t>
      </w:r>
    </w:p>
    <w:p>
      <w:pPr>
        <w:pStyle w:val="BodyText"/>
      </w:pPr>
      <w:r>
        <w:t xml:space="preserve">可穿戴设备提高了某些生态有效性，同时也使运动与环境控制更困难。实验室中的强控制和真实生活中的丰富行为各有价值。最有信息的研究通常明确其取舍，并设计条件让关键推断在不同环境中接受检验。</w:t>
      </w:r>
    </w:p>
    <w:bookmarkEnd w:id="1170"/>
    <w:bookmarkStart w:id="1171" w:name="sec-60-9"/>
    <w:p>
      <w:pPr>
        <w:pStyle w:val="Heading3"/>
      </w:pPr>
      <w:r>
        <w:t xml:space="preserve">60.9　PET结合信号怎样解释</w:t>
      </w:r>
    </w:p>
    <w:p>
      <w:pPr>
        <w:pStyle w:val="FirstParagraph"/>
      </w:pPr>
      <w:r>
        <w:t xml:space="preserve">PET使用示踪剂相关放射事件估计其空间和时间分布。用于受体或转运体研究时，结合参数依赖可用结合位点、亲和力、非特异结合、自由分数和动力学模型等条件。共识术语的目的之一，就是避免不同参数被混用</w:t>
      </w:r>
      <w:r>
        <w:rPr>
          <w:vertAlign w:val="superscript"/>
        </w:rPr>
        <w:t xml:space="preserve">[</w:t>
      </w:r>
      <w:hyperlink w:anchor="ref-622">
        <w:r>
          <w:rPr>
            <w:rStyle w:val="Hyperlink"/>
            <w:vertAlign w:val="superscript"/>
          </w:rPr>
          <w:t xml:space="preserve">622</w:t>
        </w:r>
      </w:hyperlink>
      <w:r>
        <w:rPr>
          <w:vertAlign w:val="superscript"/>
        </w:rPr>
        <w:t xml:space="preserve">]</w:t>
      </w:r>
      <w:r>
        <w:t xml:space="preserve">。</w:t>
      </w:r>
    </w:p>
    <w:p>
      <w:pPr>
        <w:pStyle w:val="BodyText"/>
      </w:pPr>
      <w:r>
        <w:t xml:space="preserve">较低结合信号可以具有不同解释，例如可用位点减少、内源性配体竞争增加，或模型与生理条件变化。要把它解释为某递质浓度升高，需要适合的示踪剂、设计和验证。受体可用性、释放变化与合成能力分别属于不同测量目标。</w:t>
      </w:r>
    </w:p>
    <w:p>
      <w:pPr>
        <w:pStyle w:val="BodyText"/>
      </w:pPr>
      <w:r>
        <w:t xml:space="preserve">参照区域方法使用某区域估计非特异性成分，其前提是该区域满足特定条件。如果疾病或药物也改变参照区域，估计可能偏移。动脉输入、代谢校正和不同动力学模型可以解决不同问题，同时增加操作复杂度。论文中的参数简称应与模型定义一起阅读。</w:t>
      </w:r>
    </w:p>
    <w:p>
      <w:pPr>
        <w:pStyle w:val="BodyText"/>
      </w:pPr>
      <w:r>
        <w:t xml:space="preserve">空间分辨率还会造成部分容积效应。相邻组织混合可能使萎缩区域的信号看起来降低，即使残余组织中的目标密度变化较小。结构校正能够帮助处理，但引入额外分割和模型假设。分子解释应同时考虑解剖变化。</w:t>
      </w:r>
    </w:p>
    <w:bookmarkEnd w:id="1171"/>
    <w:bookmarkStart w:id="1172" w:name="sec-60-10"/>
    <w:p>
      <w:pPr>
        <w:pStyle w:val="Heading3"/>
      </w:pPr>
      <w:r>
        <w:t xml:space="preserve">60.10　扩散MRI与纤维追踪</w:t>
      </w:r>
    </w:p>
    <w:p>
      <w:pPr>
        <w:pStyle w:val="FirstParagraph"/>
      </w:pPr>
      <w:r>
        <w:t xml:space="preserve">扩散MRI利用水分子位移对磁共振信号的影响，推断组织微结构方向及其限制。白质中的方向性与纤维组织相关，但一个体素可能包含交叉、分叉、弯曲或不同组织成分。单一张量模型在复杂结构中具有明确局限。</w:t>
      </w:r>
    </w:p>
    <w:p>
      <w:pPr>
        <w:pStyle w:val="BodyText"/>
      </w:pPr>
      <w:r>
        <w:t xml:space="preserve">纤维追踪把局部方向估计连接成计算路径。路径称为流线，无法直接等同于一根轴突，流线数量也无法无条件换算成真实纤维数量。算法参数、种子位置和停止规则都会影响重建。2017年的方法挑战研究清楚展示了路径重建的假阳性与假阴性困难</w:t>
      </w:r>
      <w:r>
        <w:rPr>
          <w:vertAlign w:val="superscript"/>
        </w:rPr>
        <w:t xml:space="preserve">[</w:t>
      </w:r>
      <w:hyperlink w:anchor="ref-623">
        <w:r>
          <w:rPr>
            <w:rStyle w:val="Hyperlink"/>
            <w:vertAlign w:val="superscript"/>
          </w:rPr>
          <w:t xml:space="preserve">623</w:t>
        </w:r>
      </w:hyperlink>
      <w:r>
        <w:rPr>
          <w:vertAlign w:val="superscript"/>
        </w:rPr>
        <w:t xml:space="preserve">]</w:t>
      </w:r>
      <w:r>
        <w:t xml:space="preserve">。</w:t>
      </w:r>
    </w:p>
    <w:p>
      <w:pPr>
        <w:pStyle w:val="BodyText"/>
      </w:pPr>
      <w:r>
        <w:t xml:space="preserve">方向信息不足以确定突触连接和信号传播方向。两条经过相近区域的流线也不能证明两种细胞群发生功能通信。将扩散结果与解剖追踪、病损和功能资料结合，可以缩小解释范围。不同模态一致时，仍需确认它们是否共享同一种配准或分区偏倚。</w:t>
      </w:r>
    </w:p>
    <w:p>
      <w:pPr>
        <w:pStyle w:val="BodyText"/>
      </w:pPr>
      <w:r>
        <w:t xml:space="preserve">各向异性变化也不具有单一病理含义。髓鞘、轴突排列、细胞密度、组织水分和交叉纤维比例均可能影响指标。某指标升高不能普遍命名为“连接更好”，降低也不能普遍命名为“脑受损”。解释必须结合组织、年龄、病程和其他测量。</w:t>
      </w:r>
    </w:p>
    <w:bookmarkEnd w:id="1172"/>
    <w:bookmarkStart w:id="1173" w:name="sec-60-11"/>
    <w:p>
      <w:pPr>
        <w:pStyle w:val="Heading3"/>
      </w:pPr>
      <w:r>
        <w:t xml:space="preserve">60.11　从技术比较形成实验方案</w:t>
      </w:r>
    </w:p>
    <w:p>
      <w:pPr>
        <w:pStyle w:val="FirstParagraph"/>
      </w:pPr>
      <w:r>
        <w:t xml:space="preserve">假设问题是一个感觉判断中的信息先后顺序，毫秒级记录和合适任务操作可能更直接；若问题是受体可用性，分子成像可能更相关；若问题是某类细胞对行为的因果贡献，则需要可验证的干预。技术的先进程度只有在与问题匹配时才转化为证据价值。</w:t>
      </w:r>
    </w:p>
    <w:p>
      <w:pPr>
        <w:pStyle w:val="BodyText"/>
      </w:pPr>
      <w:r>
        <w:t xml:space="preserve">多模态组合应明确每一种方法新增哪项约束。记录更多数据却没有提前定义整合逻辑，可能增加分析自由度和解释混乱。可以先列出竞争机制，指出它们分别预测什么电信号、血流信号或行为变化，再选择最能区分这些预测的组合。</w:t>
      </w:r>
    </w:p>
    <w:p>
      <w:pPr>
        <w:pStyle w:val="BodyText"/>
      </w:pPr>
      <w:r>
        <w:rPr>
          <w:bCs/>
          <w:b/>
        </w:rPr>
        <w:t xml:space="preserve">方法结论</w:t>
      </w:r>
      <w:r>
        <w:t xml:space="preserve">　神经测量的可靠解释从物理量开始，经过生理转换、统计模型和实验任务逐层建立。仪器更灵敏、数据更多和图像更细，都不能自动消除测量对象与理论对象之间的距离。把这段距离明确写出，是精确脑科学的重要组成部分。</w:t>
      </w:r>
    </w:p>
    <w:bookmarkEnd w:id="1173"/>
    <w:bookmarkEnd w:id="1174"/>
    <w:bookmarkStart w:id="1189" w:name="ch-61"/>
    <w:p>
      <w:pPr>
        <w:pStyle w:val="Heading2"/>
      </w:pPr>
      <w:r>
        <w:t xml:space="preserve">第61章　功能磁共振究竟测量了什么</w:t>
      </w:r>
    </w:p>
    <w:p>
      <w:pPr>
        <w:pStyle w:val="FirstParagraph"/>
      </w:pPr>
      <w:r>
        <w:rPr>
          <w:bCs/>
          <w:b/>
        </w:rPr>
        <w:t xml:space="preserve">核心判断与置信度</w:t>
      </w:r>
      <w:r>
        <w:t xml:space="preserve">　BOLD功能磁共振提供与神经活动相关的血氧动力学信息。它能够检验有明确条件的神经科学假说；单张彩图无法直接显示一个人的思想。对这一测量层次的区分，置信度高。不同细胞活动与血流反应之间的精确对应仍依赖脑区、状态和测量尺度</w:t>
      </w:r>
      <w:r>
        <w:rPr>
          <w:vertAlign w:val="superscript"/>
        </w:rPr>
        <w:t xml:space="preserve">[</w:t>
      </w:r>
      <w:hyperlink w:anchor="ref-119">
        <w:r>
          <w:rPr>
            <w:rStyle w:val="Hyperlink"/>
            <w:vertAlign w:val="superscript"/>
          </w:rPr>
          <w:t xml:space="preserve">119</w:t>
        </w:r>
      </w:hyperlink>
      <w:r>
        <w:rPr>
          <w:vertAlign w:val="superscript"/>
        </w:rPr>
        <w:t xml:space="preserve">,</w:t>
      </w:r>
      <w:hyperlink w:anchor="ref-626">
        <w:r>
          <w:rPr>
            <w:rStyle w:val="Hyperlink"/>
            <w:vertAlign w:val="superscript"/>
          </w:rPr>
          <w:t xml:space="preserve">626</w:t>
        </w:r>
      </w:hyperlink>
      <w:r>
        <w:rPr>
          <w:vertAlign w:val="superscript"/>
        </w:rPr>
        <w:t xml:space="preserve">]</w:t>
      </w:r>
      <w:r>
        <w:t xml:space="preserve">。</w:t>
      </w:r>
    </w:p>
    <w:bookmarkStart w:id="1175" w:name="sec-61-1"/>
    <w:p>
      <w:pPr>
        <w:pStyle w:val="Heading3"/>
      </w:pPr>
      <w:r>
        <w:t xml:space="preserve">61.1　从物理信号到心理解释的五个层次</w:t>
      </w:r>
    </w:p>
    <w:p>
      <w:pPr>
        <w:pStyle w:val="FirstParagraph"/>
      </w:pPr>
      <w:r>
        <w:t xml:space="preserve">理解一项影像结果，首先要把五件事逐一说清：仪器采集的物理信号，处理后得到的数值，统计模型检验的差异，实验任务试图诱发的心理过程，以及研究者希望解释的现实行为。每次跨层都增加一个需要证据支持的映射。例如，从血氧变化到局部神经活动需要神经血管耦合的依据；从神经活动到恐惧需要任务和心理测量的依据；从实验室恐惧到日常焦虑障碍还需要人群与情境的验证。前一层的精密度不会自动传递成后一层的确定性。</w:t>
      </w:r>
    </w:p>
    <w:p>
      <w:pPr>
        <w:pStyle w:val="BodyText"/>
      </w:pPr>
      <w:r>
        <w:t xml:space="preserve">磁共振成像利用置于磁场中的原子核自旋及其受射频激发后的信号。序列设计改变不同组织和物理过程对图像的贡献。常规结构像、扩散像、灌注像和BOLD像具有不同的测量目标。所谓“脑扫描”包含多种技术，不能给它们统一附上读心、损伤诊断或神经元计数能力。解释影像时，序列名称、采样方式和分析方法都是结论的一部分。</w:t>
      </w:r>
    </w:p>
    <w:p>
      <w:pPr>
        <w:pStyle w:val="BodyText"/>
      </w:pPr>
      <w:r>
        <w:t xml:space="preserve">BOLD中的关键对比来自血红蛋白氧合状态对局部磁场及信号衰减的影响。局部神经活动变化能够引起供血、血容量和氧代谢的协调调整，最终改变测得信号。这里同时包含神经活动和血管反应。因此，年龄、血管状态、二氧化碳、药物及其他生理因素可能影响读数。判断某个组间差异是否主要反映神经加工，需要检查这些因素能否构成竞争解释</w:t>
      </w:r>
      <w:r>
        <w:rPr>
          <w:vertAlign w:val="superscript"/>
        </w:rPr>
        <w:t xml:space="preserve">[</w:t>
      </w:r>
      <w:hyperlink w:anchor="ref-626">
        <w:r>
          <w:rPr>
            <w:rStyle w:val="Hyperlink"/>
            <w:vertAlign w:val="superscript"/>
          </w:rPr>
          <w:t xml:space="preserve">626</w:t>
        </w:r>
      </w:hyperlink>
      <w:r>
        <w:rPr>
          <w:vertAlign w:val="superscript"/>
        </w:rPr>
        <w:t xml:space="preserve">]</w:t>
      </w:r>
      <w:r>
        <w:t xml:space="preserve">。</w:t>
      </w:r>
    </w:p>
    <w:p>
      <w:pPr>
        <w:pStyle w:val="BodyText"/>
      </w:pPr>
      <w:r>
        <w:t xml:space="preserve">最容易误解的词是“激活”。在许多论文中，它指某项统计比较达到预设标准。例如，条件甲的估计反应高于条件乙。它没有承诺条件乙完全没有神经活动，也没有承诺该区域只有兴奋性神经元参与。抑制性细胞的活动与突触处理同样需要能量，局部能量消耗和某类输出放电之间也没有永远固定的换算关系。因此，看到正BOLD就说“这个功能被打开”，已经添加了未经检验的解释。</w:t>
      </w:r>
    </w:p>
    <w:bookmarkEnd w:id="1175"/>
    <w:bookmarkStart w:id="1176" w:name="sec-61-2"/>
    <w:p>
      <w:pPr>
        <w:pStyle w:val="Heading3"/>
      </w:pPr>
      <w:r>
        <w:t xml:space="preserve">61.2　同步记录实验提供了什么依据</w:t>
      </w:r>
    </w:p>
    <w:p>
      <w:pPr>
        <w:pStyle w:val="FirstParagraph"/>
      </w:pPr>
      <w:r>
        <w:t xml:space="preserve">Logothetis等在2001年的猴视觉皮层实验中同步比较局部场电位、单单位或多单位放电以及BOLD反应。在所研究的条件下，局部场电位对BOLD的预测较好，瞬时响应位点的结果尤其提示局部输入和皮层内处理的重要性。这项工作支持BOLD与电生理过程之间存在可研究的关系，同时约束了把BOLD当作神经元输出计数器的解释。该结论来自特定物种、区域和刺激条件，不能据此规定每个人类脑区、每个时间尺度上的唯一换算规则</w:t>
      </w:r>
      <w:r>
        <w:rPr>
          <w:vertAlign w:val="superscript"/>
        </w:rPr>
        <w:t xml:space="preserve">[</w:t>
      </w:r>
      <w:hyperlink w:anchor="ref-119">
        <w:r>
          <w:rPr>
            <w:rStyle w:val="Hyperlink"/>
            <w:vertAlign w:val="superscript"/>
          </w:rPr>
          <w:t xml:space="preserve">119</w:t>
        </w:r>
      </w:hyperlink>
      <w:r>
        <w:rPr>
          <w:vertAlign w:val="superscript"/>
        </w:rPr>
        <w:t xml:space="preserve">]</w:t>
      </w:r>
      <w:r>
        <w:t xml:space="preserve">。</w:t>
      </w:r>
    </w:p>
    <w:p>
      <w:pPr>
        <w:pStyle w:val="BodyText"/>
      </w:pPr>
      <w:r>
        <w:t xml:space="preserve">这一设计的逻辑价值来自同步测量。如果只在一组动物记录电活动，在另一组动物记录血流，再比较两个群体均值，状态差异便可能影响结论。同步记录缩小了这类不确定性，但仍有空间尺度问题：电极主要采样附近组织，影像体素则汇总更大范围的信号；血管还可能把空间贡献带到邻近区域。两个方法都可靠，也可能因为观察尺度不同而显示不同的波形。</w:t>
      </w:r>
    </w:p>
    <w:p>
      <w:pPr>
        <w:pStyle w:val="BodyText"/>
      </w:pPr>
      <w:r>
        <w:t xml:space="preserve">“局部场电位更相关”也没有自动说明局部场电位是BOLD的单一直接原因。多种细胞过程可以共同改变电位和代谢，相关程度还受到噪声、滤波、模型形式与测量范围影响。更强的机制研究需要操纵细胞类型或生理通路，观察血流和神经读数如何共同改变，并排除温度、麻醉和全身状态的影响。测量之间的相关为机制研究提供约束，不能完成所有因果识别。</w:t>
      </w:r>
    </w:p>
    <w:bookmarkEnd w:id="1176"/>
    <w:bookmarkStart w:id="1177" w:name="sec-61-3"/>
    <w:p>
      <w:pPr>
        <w:pStyle w:val="Heading3"/>
      </w:pPr>
      <w:r>
        <w:t xml:space="preserve">61.3　一张统计图怎样生成</w:t>
      </w:r>
    </w:p>
    <w:p>
      <w:pPr>
        <w:pStyle w:val="FirstParagraph"/>
      </w:pPr>
      <w:r>
        <w:t xml:space="preserve">典型任务研究先定义事件或区块，再用某种血流响应模型把事件时间转换为预测信号。随后把头动、生理或其他解释变量纳入模型，估计每种条件的参数及其不确定性，最后检验指定对比。不同预处理和模型选择可能改变结果。图像是这一整套流程的输出，读者需要知道它代表参数估计、检验统计量、概率、效应量还是分类权重。</w:t>
      </w:r>
    </w:p>
    <w:p>
      <w:pPr>
        <w:pStyle w:val="BodyText"/>
      </w:pPr>
      <w:r>
        <w:t xml:space="preserve">颜色本身没有统一的生理单位。一张图中红色可以表示较高的t值，另一张图中红色可以表示较大的百分比变化，第三张图中红色可能仅表示一个类别。即使两张图都显示t值，t值也同时受到效应大小和标准误影响。样本更多、噪声更小的研究，可能让同样大小的效应看上去更“鲜红”。因此，不能根据颜色深浅比较不同论文中的脑活动强度。</w:t>
      </w:r>
    </w:p>
    <w:p>
      <w:pPr>
        <w:pStyle w:val="BodyText"/>
      </w:pPr>
      <w:r>
        <w:t xml:space="preserve">阈值决定哪些结果被显示。把阈值调严格，显著区域可能缩小；把阈值放宽，显示区域可能扩大。阈值变化不会改变已采集的数据，却会改变读者看见的信息。研究应同时提供适当的效应估计、校正方法和尽可能完整的统计图，使读者能够分辨“没有被画出”和“存在证据支持接近零”这两种状态。</w:t>
      </w:r>
    </w:p>
    <w:p>
      <w:pPr>
        <w:pStyle w:val="BodyText"/>
      </w:pPr>
      <w:r>
        <w:t xml:space="preserve">平滑和配准具有明确用途，也带来代价。平滑可以在一定条件下提高信噪比，但会降低空间细节并使相邻位置的信息混合。配准让不同人的解剖位置进入共同坐标，方便群体分析；个体脑沟、功能边界及血管结构的差异仍可能存在。一个群体平均热点并不保证每个人在同一坐标都具有完全相同的反应。研究个体差异时尤其需要检查这一点。</w:t>
      </w:r>
    </w:p>
    <w:bookmarkEnd w:id="1177"/>
    <w:bookmarkStart w:id="1178" w:name="sec-61-4"/>
    <w:p>
      <w:pPr>
        <w:pStyle w:val="Heading3"/>
      </w:pPr>
      <w:r>
        <w:t xml:space="preserve">61.4　对照条件决定问题的含义</w:t>
      </w:r>
    </w:p>
    <w:p>
      <w:pPr>
        <w:pStyle w:val="FirstParagraph"/>
      </w:pPr>
      <w:r>
        <w:t xml:space="preserve">设研究要求参与者阅读句子。以静息为对照，会同时保留视觉输入、眼动、词语识别、语义处理、任务维持等差异。以无意义字串为对照，可以减少部分视觉和操作差异，但仍可能受到难度、注意投入和熟悉度影响。以语义相近的听觉故事为对照，又会突出输入通道等差异。三种比较得到不同图像完全可能合理，因为它们检验了不同问题。</w:t>
      </w:r>
    </w:p>
    <w:p>
      <w:pPr>
        <w:pStyle w:val="BodyText"/>
      </w:pPr>
      <w:r>
        <w:t xml:space="preserve">理想的减法推理要求被减去的过程在两个条件中保持可比。然而，认知过程常相互影响。把一个任务成分加入实验，可能同时改变策略、工作记忆负担和错误监测。研究者需要行为数据和更精细的操纵检查这些变化。多因素设计、参数化设计及竞争模型有助于区分解释，但每种设计仍需承担自己的假设。</w:t>
      </w:r>
    </w:p>
    <w:p>
      <w:pPr>
        <w:pStyle w:val="BodyText"/>
      </w:pPr>
      <w:r>
        <w:t xml:space="preserve">一个实用的阅读方法是把论文结论写回实验句子。例如，“某网络参与理解他人信念”可以展开为“在这些参与者完成这些故事判断时，与指定对照相比，预先定义或全脑识别的某些区域显示某种反应差异”。这一步会暴露原结论省略的人群、任务和比较条件。经过额外研究后，概括可以扩大；首次报告时就省略全部条件，容易使读者误以为已建立普遍功能定位。</w:t>
      </w:r>
    </w:p>
    <w:bookmarkEnd w:id="1178"/>
    <w:bookmarkStart w:id="1179" w:name="sec-61-5"/>
    <w:p>
      <w:pPr>
        <w:pStyle w:val="Heading3"/>
      </w:pPr>
      <w:r>
        <w:t xml:space="preserve">61.5　时间分辨率与事件顺序</w:t>
      </w:r>
    </w:p>
    <w:p>
      <w:pPr>
        <w:pStyle w:val="FirstParagraph"/>
      </w:pPr>
      <w:r>
        <w:t xml:space="preserve">神经事件能够在毫秒级发生，血氧动力学反应具有更慢的时间进程。增加扫描采样频率可以更密集地记录血流信号，但不会自动消除血流响应的延迟和个体差异。两个区域的BOLD峰值先后，可能同时受到神经时序与局部血管响应影响。因此，从峰值顺序直接判断哪个脑区先发出信息，需要额外依据。</w:t>
      </w:r>
    </w:p>
    <w:p>
      <w:pPr>
        <w:pStyle w:val="BodyText"/>
      </w:pPr>
      <w:r>
        <w:t xml:space="preserve">关于快速心智过程，联合电生理、行为时序及影像可以提供互补约束。EEG或MEG具有较高时间敏感性，但源定位存在逆问题；侵入性记录可以提供更局部的信号，但覆盖范围和入组人群受限。技术互补的意义是让一种方法的弱点受到另一种方法的检验。不同技术结果一致会增加可信度；结果不一致时应首先检查它们是否测量同一对象。</w:t>
      </w:r>
    </w:p>
    <w:bookmarkEnd w:id="1179"/>
    <w:bookmarkStart w:id="1180" w:name="sec-61-6"/>
    <w:p>
      <w:pPr>
        <w:pStyle w:val="Heading3"/>
      </w:pPr>
      <w:r>
        <w:t xml:space="preserve">61.6　零结果与阴性BOLD</w:t>
      </w:r>
    </w:p>
    <w:p>
      <w:pPr>
        <w:pStyle w:val="FirstParagraph"/>
      </w:pPr>
      <w:r>
        <w:t xml:space="preserve">没有显著结果至少可能来自真实效应很小、测量噪声较大、样本不足、任务操纵不足或模型不合适。要支持“在实际意义上接近零”，需要事先定义可忽略效应范围，并证明区间足够窄。仅报告P值大于某个阈值，无法同时排除这些解释</w:t>
      </w:r>
      <w:r>
        <w:rPr>
          <w:vertAlign w:val="superscript"/>
        </w:rPr>
        <w:t xml:space="preserve">[</w:t>
      </w:r>
      <w:hyperlink w:anchor="ref-606">
        <w:r>
          <w:rPr>
            <w:rStyle w:val="Hyperlink"/>
            <w:vertAlign w:val="superscript"/>
          </w:rPr>
          <w:t xml:space="preserve">606</w:t>
        </w:r>
      </w:hyperlink>
      <w:r>
        <w:rPr>
          <w:vertAlign w:val="superscript"/>
        </w:rPr>
        <w:t xml:space="preserve">]</w:t>
      </w:r>
      <w:r>
        <w:t xml:space="preserve">。</w:t>
      </w:r>
    </w:p>
    <w:p>
      <w:pPr>
        <w:pStyle w:val="BodyText"/>
      </w:pPr>
      <w:r>
        <w:t xml:space="preserve">阴性BOLD是相对于参考条件的信号下降。它可能与局部神经活动下降有关，也可能受到血管、生理背景及参考条件的影响。应围绕具体机制讨论。把它笼统解释成“这个脑区关闭”，会遗失连续变化和条件依赖。正、负和接近零的读数都需要对照背景。</w:t>
      </w:r>
    </w:p>
    <w:p>
      <w:pPr>
        <w:pStyle w:val="BodyText"/>
      </w:pPr>
      <w:r>
        <w:t xml:space="preserve">同样，任务中的某区域未达到阈值，并不能证明它没有任何功能。研究有时只检验某个对比，两个条件可能共同使用该区域。必要性问题还涉及干预：该区域受损或被扰动后，目标表现是否改变，改变是否具有任务选择性，以及其他网络是否能够补偿。影像激活与病损研究回答的问题有关联，但结论不能互相代写。</w:t>
      </w:r>
    </w:p>
    <w:bookmarkEnd w:id="1180"/>
    <w:bookmarkStart w:id="1181" w:name="sec-61-7"/>
    <w:p>
      <w:pPr>
        <w:pStyle w:val="Heading3"/>
      </w:pPr>
      <w:r>
        <w:t xml:space="preserve">61.7　血流响应模型与参数可辨识性</w:t>
      </w:r>
    </w:p>
    <w:p>
      <w:pPr>
        <w:pStyle w:val="FirstParagraph"/>
      </w:pPr>
      <w:r>
        <w:t xml:space="preserve">任务事件通常通过一个假定的血流响应形状进入统计模型。模型用这一形状预测某条件出现后信号怎样随时间变化，再估计不同条件的贡献。如果真实响应形状与假定形状明显不同，幅度估计可能同时包含神经差异和模型不匹配。</w:t>
      </w:r>
    </w:p>
    <w:p>
      <w:pPr>
        <w:pStyle w:val="BodyText"/>
      </w:pPr>
      <w:r>
        <w:t xml:space="preserve">加入时间或形状变化的参数，可以处理部分差异，同时增加需要估计的自由度。资料如果不足以区分幅度变化与延迟变化，模型输出多个参数也不代表每个参数都已被可靠识别。研究应检查设计矩阵的相关结构、参数不确定性以及对合理响应模型的敏感性。</w:t>
      </w:r>
    </w:p>
    <w:p>
      <w:pPr>
        <w:pStyle w:val="BodyText"/>
      </w:pPr>
      <w:r>
        <w:t xml:space="preserve">当两个任务事件总是紧接着或以固定间隔出现时，它们对应的预测信号容易重叠，统计贡献可能高度相关。即使扫描仪采样很密，两项贡献仍可能无法被稳定分离。事件相关设计能否分离不同事件的平均响应，取决于设计效率、试次数量、事件间隔、噪声结构和模型适配。通过改变事件间隔、交错顺序或增加可识别对照，往往比单纯增加时间点更直接地改善设计。仪器采样密度与实验可辨识性属于不同条件。</w:t>
      </w:r>
    </w:p>
    <w:p>
      <w:pPr>
        <w:pStyle w:val="BodyText"/>
      </w:pPr>
      <w:r>
        <w:t xml:space="preserve">响应持续时间也值得单独研究。短促而强的活动与较弱但持续较久的活动，可能产生相近的整体血流信号。若理论关心神经过程持续多久，需要能够区分这些候选时间过程的设计，并结合时间更敏感的测量。</w:t>
      </w:r>
    </w:p>
    <w:bookmarkEnd w:id="1181"/>
    <w:bookmarkStart w:id="1182" w:name="sec-61-8"/>
    <w:p>
      <w:pPr>
        <w:pStyle w:val="Heading3"/>
      </w:pPr>
      <w:r>
        <w:t xml:space="preserve">61.8　头动与生理噪声的机制</w:t>
      </w:r>
    </w:p>
    <w:p>
      <w:pPr>
        <w:pStyle w:val="FirstParagraph"/>
      </w:pPr>
      <w:r>
        <w:t xml:space="preserve">头动可以改变体素所包含的组织、磁场环境和时间序列连续性。它还可能与年龄、症状、任务难度或状态有关，因此组间头动差异能够进入目标比较。只在模型中加入少数运动参数，不能保证所有相关影响均已消除。</w:t>
      </w:r>
    </w:p>
    <w:p>
      <w:pPr>
        <w:pStyle w:val="BodyText"/>
      </w:pPr>
      <w:r>
        <w:t xml:space="preserve">删除运动较大时间点可以减少污染，同时改变可用资料量和样本组成。如果某组更容易被删除，最后分析的人群可能不再代表原始群体。应报告质量控制造成的排除及其组间差异，并评估保留资料是否足够支持比较。</w:t>
      </w:r>
    </w:p>
    <w:p>
      <w:pPr>
        <w:pStyle w:val="BodyText"/>
      </w:pPr>
      <w:r>
        <w:t xml:space="preserve">呼吸、心搏和二氧化碳变化能够影响血流相关信号。任务若改变呼吸方式，生理变化与心理任务便可能共同出现。记录生理变量、采用适当模型及比较不同处理策略，可以帮助判断目标结论是否依赖这些共同变化</w:t>
      </w:r>
      <w:r>
        <w:rPr>
          <w:vertAlign w:val="superscript"/>
        </w:rPr>
        <w:t xml:space="preserve">[</w:t>
      </w:r>
      <w:hyperlink w:anchor="ref-626">
        <w:r>
          <w:rPr>
            <w:rStyle w:val="Hyperlink"/>
            <w:vertAlign w:val="superscript"/>
          </w:rPr>
          <w:t xml:space="preserve">626</w:t>
        </w:r>
      </w:hyperlink>
      <w:r>
        <w:rPr>
          <w:vertAlign w:val="superscript"/>
        </w:rPr>
        <w:t xml:space="preserve">]</w:t>
      </w:r>
      <w:r>
        <w:t xml:space="preserve">。</w:t>
      </w:r>
    </w:p>
    <w:p>
      <w:pPr>
        <w:pStyle w:val="BodyText"/>
      </w:pPr>
      <w:r>
        <w:t xml:space="preserve">全局信号处理也涉及取舍。某些广泛变化来自噪声，另一些可能反映真实神经或唤醒状态。移除全局成分会改变相关结构，研究应说明处理目的和对结论的影响。把所有广泛信号视作噪声，或把全部广泛信号视作神经共同活动，都缺少足够约束。</w:t>
      </w:r>
    </w:p>
    <w:bookmarkEnd w:id="1182"/>
    <w:bookmarkStart w:id="1183" w:name="sec-61-9"/>
    <w:p>
      <w:pPr>
        <w:pStyle w:val="Heading3"/>
      </w:pPr>
      <w:r>
        <w:t xml:space="preserve">61.9　时间自相关与自由度</w:t>
      </w:r>
    </w:p>
    <w:p>
      <w:pPr>
        <w:pStyle w:val="FirstParagraph"/>
      </w:pPr>
      <w:r>
        <w:t xml:space="preserve">连续影像时间点通常相互关联。若把所有时间点当成完全独立观察，标准误和显著性可能被错误估计。统计模型需要对相关结构作出适当处理，并检查残差是否仍存在明显依赖。</w:t>
      </w:r>
    </w:p>
    <w:p>
      <w:pPr>
        <w:pStyle w:val="BodyText"/>
      </w:pPr>
      <w:r>
        <w:t xml:space="preserve">滤波、去趋势和其他预处理也改变可用信息及模型结构。先处理数据、后使用不匹配的统计假设，可能产生不可靠推断。完整流程应保持采样、滤波、回归和误差模型之间的一致性，不能只看最后一个检验函数是否常用。</w:t>
      </w:r>
    </w:p>
    <w:p>
      <w:pPr>
        <w:pStyle w:val="BodyText"/>
      </w:pPr>
      <w:r>
        <w:t xml:space="preserve">个体内大量时间点主要提高对该个体特定任务反应的估计。推广到群体时，参与者之间的变异仍需进入模型。把一个人的很多扫描时间点当作很多人的证据，会形成伪重复。研究应明确每一层随机变异与目标推断范围。</w:t>
      </w:r>
    </w:p>
    <w:bookmarkEnd w:id="1183"/>
    <w:bookmarkStart w:id="1184" w:name="sec-61-10"/>
    <w:p>
      <w:pPr>
        <w:pStyle w:val="Heading3"/>
      </w:pPr>
      <w:r>
        <w:t xml:space="preserve">61.10　区域选择和循环分析</w:t>
      </w:r>
    </w:p>
    <w:p>
      <w:pPr>
        <w:pStyle w:val="FirstParagraph"/>
      </w:pPr>
      <w:r>
        <w:t xml:space="preserve">若研究先在全脑寻找与行为最相关的位置，再在同一资料中报告该位置的相关强度，选择过程会使估计偏高。问题来自同一噪声既参与选择又参与评价。预先定义区域、使用独立功能定位或分离训练与评价资料，都能减少这种循环。</w:t>
      </w:r>
    </w:p>
    <w:p>
      <w:pPr>
        <w:pStyle w:val="BodyText"/>
      </w:pPr>
      <w:r>
        <w:t xml:space="preserve">独立性还要追踪到资料层次。两个任务条件来自同一次扫描，可能共享噪声；两个分析使用不同指标，也可能共享同一批参与者与选择规则。声称独立定位时，需要说明它与主要检验在何种意义上独立。</w:t>
      </w:r>
    </w:p>
    <w:p>
      <w:pPr>
        <w:pStyle w:val="BodyText"/>
      </w:pPr>
      <w:r>
        <w:t xml:space="preserve">区域平均能够降低某些噪声，同时可能掩盖内部相反方向的模式。单体素分析保留空间细节，却增加多重比较和测量误差。选择尺度应由机制预测决定，并通过独立资料验证，不能在看到结果后只保留最显著尺度。</w:t>
      </w:r>
    </w:p>
    <w:bookmarkEnd w:id="1184"/>
    <w:bookmarkStart w:id="1185" w:name="sec-61-11"/>
    <w:p>
      <w:pPr>
        <w:pStyle w:val="Heading3"/>
      </w:pPr>
      <w:r>
        <w:t xml:space="preserve">61.11　空间多重比较与集群解释</w:t>
      </w:r>
    </w:p>
    <w:p>
      <w:pPr>
        <w:pStyle w:val="FirstParagraph"/>
      </w:pPr>
      <w:r>
        <w:t xml:space="preserve">体素检验和集群检验回答不同空间问题。某个集群整体达到阈值，不代表其中每个体素都各自获得同等证据，更不能把集群边界视为精确功能边界。阈值、平滑和统计假设共同影响集群形态。</w:t>
      </w:r>
    </w:p>
    <w:p>
      <w:pPr>
        <w:pStyle w:val="BodyText"/>
      </w:pPr>
      <w:r>
        <w:t xml:space="preserve">这类集群推断曾在 Eklund 等人 2016 年的检验中显示出特定条件下偏高的假阳性率，这项研究及其更正的含义见</w:t>
      </w:r>
      <w:r>
        <w:t xml:space="preserve"> </w:t>
      </w:r>
      <w:hyperlink w:anchor="sec-59-2">
        <w:r>
          <w:rPr>
            <w:rStyle w:val="Hyperlink"/>
          </w:rPr>
          <w:t xml:space="preserve">59.2</w:t>
        </w:r>
      </w:hyperlink>
      <w:r>
        <w:rPr>
          <w:vertAlign w:val="superscript"/>
        </w:rPr>
        <w:t xml:space="preserve">[</w:t>
      </w:r>
      <w:hyperlink w:anchor="ref-599">
        <w:r>
          <w:rPr>
            <w:rStyle w:val="Hyperlink"/>
            <w:vertAlign w:val="superscript"/>
          </w:rPr>
          <w:t xml:space="preserve">599</w:t>
        </w:r>
      </w:hyperlink>
      <w:r>
        <w:rPr>
          <w:vertAlign w:val="superscript"/>
        </w:rPr>
        <w:t xml:space="preserve">]</w:t>
      </w:r>
      <w:r>
        <w:t xml:space="preserve">。准确引用应保留被评估的方法与条件，不能改写为全部功能磁共振研究都无效。</w:t>
      </w:r>
    </w:p>
    <w:p>
      <w:pPr>
        <w:pStyle w:val="BodyText"/>
      </w:pPr>
      <w:r>
        <w:t xml:space="preserve">这一案例提示方法审计需要分辨算法实现、统计假设和科学结论。发现某种推断方式存在问题，应重新评估受该方式影响的结果。其他方法、独立重复、行为证据和机制干预仍需分别判断。局部方法错误的范围应由证据确定。</w:t>
      </w:r>
    </w:p>
    <w:bookmarkEnd w:id="1185"/>
    <w:bookmarkStart w:id="1186" w:name="sec-61-12"/>
    <w:p>
      <w:pPr>
        <w:pStyle w:val="Heading3"/>
      </w:pPr>
      <w:r>
        <w:t xml:space="preserve">61.12　从平均脑图到个体功能组织</w:t>
      </w:r>
    </w:p>
    <w:p>
      <w:pPr>
        <w:pStyle w:val="FirstParagraph"/>
      </w:pPr>
      <w:r>
        <w:t xml:space="preserve">群体平均适合回答某些普遍分布问题，同时可能模糊个体的组织特征。密集个体测量可以更精细地研究某人的稳定模式，但其结果推广到其他人仍需要比较。个体精细度与群体代表性构成两种不同优势。设计应说明研究希望建立一般规律、个体模型，还是两者之间的映射。</w:t>
      </w:r>
    </w:p>
    <w:p>
      <w:pPr>
        <w:pStyle w:val="BodyText"/>
      </w:pPr>
      <w:r>
        <w:t xml:space="preserve">观察到训练前后功能图变化时，还应区分真实重组、测量噪声和阈值变化。某区域从未达阈值变为达到阈值，并不等于前后差异本身显著。直接检验变化、报告连续估计并评估重测稳定性，能够提供更准确判断</w:t>
      </w:r>
      <w:r>
        <w:rPr>
          <w:vertAlign w:val="superscript"/>
        </w:rPr>
        <w:t xml:space="preserve">[</w:t>
      </w:r>
      <w:hyperlink w:anchor="ref-586">
        <w:r>
          <w:rPr>
            <w:rStyle w:val="Hyperlink"/>
            <w:vertAlign w:val="superscript"/>
          </w:rPr>
          <w:t xml:space="preserve">586</w:t>
        </w:r>
      </w:hyperlink>
      <w:r>
        <w:rPr>
          <w:vertAlign w:val="superscript"/>
        </w:rPr>
        <w:t xml:space="preserve">]</w:t>
      </w:r>
      <w:r>
        <w:t xml:space="preserve">。</w:t>
      </w:r>
    </w:p>
    <w:bookmarkEnd w:id="1186"/>
    <w:bookmarkStart w:id="1187" w:name="sec-61-13"/>
    <w:p>
      <w:pPr>
        <w:pStyle w:val="Heading3"/>
      </w:pPr>
      <w:r>
        <w:t xml:space="preserve">61.13　多团队分析的解释价值</w:t>
      </w:r>
    </w:p>
    <w:p>
      <w:pPr>
        <w:pStyle w:val="FirstParagraph"/>
      </w:pPr>
      <w:r>
        <w:t xml:space="preserve">同一原始资料可以经过多种有理由的处理路径。NARPS 让多个团队分析同一影像资料，结果显示分析选择能够影响结论（见</w:t>
      </w:r>
      <w:r>
        <w:t xml:space="preserve"> </w:t>
      </w:r>
      <w:hyperlink w:anchor="sec-59-2">
        <w:r>
          <w:rPr>
            <w:rStyle w:val="Hyperlink"/>
          </w:rPr>
          <w:t xml:space="preserve">59.2</w:t>
        </w:r>
      </w:hyperlink>
      <w:r>
        <w:t xml:space="preserve">）</w:t>
      </w:r>
      <w:r>
        <w:rPr>
          <w:vertAlign w:val="superscript"/>
        </w:rPr>
        <w:t xml:space="preserve">[</w:t>
      </w:r>
      <w:hyperlink w:anchor="ref-598">
        <w:r>
          <w:rPr>
            <w:rStyle w:val="Hyperlink"/>
            <w:vertAlign w:val="superscript"/>
          </w:rPr>
          <w:t xml:space="preserve">598</w:t>
        </w:r>
      </w:hyperlink>
      <w:r>
        <w:rPr>
          <w:vertAlign w:val="superscript"/>
        </w:rPr>
        <w:t xml:space="preserve">]</w:t>
      </w:r>
      <w:r>
        <w:t xml:space="preserve">。这类研究的价值在于暴露结论对流程的依赖，并推动更透明的分析和比较。</w:t>
      </w:r>
    </w:p>
    <w:p>
      <w:pPr>
        <w:pStyle w:val="BodyText"/>
      </w:pPr>
      <w:r>
        <w:t xml:space="preserve">面对多流程结果，应关注哪些结论在合理选择范围内稳定，哪些只在少数路径出现。不能把全部流程机械平均后称作唯一真值，也不能因为存在差异就宣称没有任何知识。需要理解不同选择对应的测量与统计假设。</w:t>
      </w:r>
    </w:p>
    <w:p>
      <w:pPr>
        <w:pStyle w:val="BodyText"/>
      </w:pPr>
      <w:r>
        <w:t xml:space="preserve">研究报告最好同时提供足以复现处理的细节，以及读者能够理解的结论边界。完整脚本帮助技术复核，清楚说明对照与参数含义帮助科学判断。两者共同构成可审核的影像证据。</w:t>
      </w:r>
    </w:p>
    <w:bookmarkEnd w:id="1187"/>
    <w:bookmarkStart w:id="1188" w:name="sec-61-14"/>
    <w:p>
      <w:pPr>
        <w:pStyle w:val="Heading3"/>
      </w:pPr>
      <w:r>
        <w:t xml:space="preserve">61.14　假设案例与推理练习</w:t>
      </w:r>
    </w:p>
    <w:p>
      <w:pPr>
        <w:pStyle w:val="FirstParagraph"/>
      </w:pPr>
      <w:r>
        <w:t xml:space="preserve">假设甲乙两组各有100人完成同一任务。甲组某区平均反应为0.7，乙组为0.5，单位是研究定义的百分比信号变化。甲组准确率较低，头动更大，任务主观困难也更高。研究者宣布“甲组使用大脑更多，所以智力更高”。这一推论同时缺少三个环节：反应更大是否反映目标过程；该过程与智力的关系是否经过验证；组间难度和噪声能否解释差异。准确的暂时结论只应保留测量到的组间差异及其不确定性。</w:t>
      </w:r>
    </w:p>
    <w:p>
      <w:pPr>
        <w:pStyle w:val="BodyText"/>
      </w:pPr>
      <w:r>
        <w:t xml:space="preserve">可行的后续设计包括匹配任务难度、检查头动处理的稳健性、使用独立智力测量、预注册感兴趣区域及在独立样本验证预测。即使这些检查全部通过，也仍需区分“较高分数者具有较高反应”和“提高此反应就能提高分数”。后者需要干预证据。影像可以帮助形成机制假设，完整机制仍需要额外检验。</w:t>
      </w:r>
    </w:p>
    <w:p>
      <w:pPr>
        <w:pStyle w:val="BodyText"/>
      </w:pPr>
      <w:r>
        <w:t xml:space="preserve">另一个假设实验发现训练后达到统计阈值的体素数量增加一倍。不能据此说神经元数量增加一倍。体素数量取决于效应、噪声、平滑、阈值和图像分辨率。要支持细胞增殖，需要适合细胞层次的问题和方法。把体素、细胞、突触和功能能力混为一个数量，是跨尺度解释中常见的错误。</w:t>
      </w:r>
    </w:p>
    <w:p>
      <w:pPr>
        <w:pStyle w:val="BodyText"/>
      </w:pPr>
      <w:r>
        <w:rPr>
          <w:bCs/>
          <w:b/>
        </w:rPr>
        <w:t xml:space="preserve">本章的结论边界</w:t>
      </w:r>
      <w:r>
        <w:t xml:space="preserve">　fMRI具有实质科学价值，前提是把测量对象、统计比较、任务含义及推广范围分别说明。对“彩图直接拍到思想”的否定具有高置信度；对某项具体心理过程的神经实现，结论强度取决于研究设计和相互独立的证据</w:t>
      </w:r>
      <w:r>
        <w:rPr>
          <w:vertAlign w:val="superscript"/>
        </w:rPr>
        <w:t xml:space="preserve">[</w:t>
      </w:r>
      <w:hyperlink w:anchor="ref-119">
        <w:r>
          <w:rPr>
            <w:rStyle w:val="Hyperlink"/>
            <w:vertAlign w:val="superscript"/>
          </w:rPr>
          <w:t xml:space="preserve">119</w:t>
        </w:r>
      </w:hyperlink>
      <w:r>
        <w:rPr>
          <w:vertAlign w:val="superscript"/>
        </w:rPr>
        <w:t xml:space="preserve">,</w:t>
      </w:r>
      <w:hyperlink w:anchor="ref-584">
        <w:r>
          <w:rPr>
            <w:rStyle w:val="Hyperlink"/>
            <w:vertAlign w:val="superscript"/>
          </w:rPr>
          <w:t xml:space="preserve">584</w:t>
        </w:r>
      </w:hyperlink>
      <w:r>
        <w:rPr>
          <w:vertAlign w:val="superscript"/>
        </w:rPr>
        <w:t xml:space="preserve">,</w:t>
      </w:r>
      <w:hyperlink w:anchor="ref-626">
        <w:r>
          <w:rPr>
            <w:rStyle w:val="Hyperlink"/>
            <w:vertAlign w:val="superscript"/>
          </w:rPr>
          <w:t xml:space="preserve">626</w:t>
        </w:r>
      </w:hyperlink>
      <w:r>
        <w:rPr>
          <w:vertAlign w:val="superscript"/>
        </w:rPr>
        <w:t xml:space="preserve">]</w:t>
      </w:r>
      <w:r>
        <w:t xml:space="preserve">。</w:t>
      </w:r>
    </w:p>
    <w:bookmarkEnd w:id="1188"/>
    <w:bookmarkEnd w:id="1189"/>
    <w:bookmarkStart w:id="1205" w:name="ch-62"/>
    <w:p>
      <w:pPr>
        <w:pStyle w:val="Heading2"/>
      </w:pPr>
      <w:r>
        <w:t xml:space="preserve">第62章　神经干预工具与回路因果推断</w:t>
      </w:r>
    </w:p>
    <w:p>
      <w:pPr>
        <w:pStyle w:val="FirstParagraph"/>
      </w:pPr>
      <w:r>
        <w:rPr>
          <w:bCs/>
          <w:b/>
        </w:rPr>
        <w:t xml:space="preserve">本章的证据边界</w:t>
      </w:r>
      <w:r>
        <w:t xml:space="preserve">　经过验证的实验干预能够为因果判断增加约束，这一判断的置信度高。某一实验究竟改变了哪些细胞、通路和行为过程，需要工具与任务层面的独立验证。对少量干预结果已经确定完整心理机制，或能够直接保证人体疗效的主张，置信度低</w:t>
      </w:r>
      <w:r>
        <w:rPr>
          <w:vertAlign w:val="superscript"/>
        </w:rPr>
        <w:t xml:space="preserve">[</w:t>
      </w:r>
      <w:hyperlink w:anchor="ref-617">
        <w:r>
          <w:rPr>
            <w:rStyle w:val="Hyperlink"/>
            <w:vertAlign w:val="superscript"/>
          </w:rPr>
          <w:t xml:space="preserve">617</w:t>
        </w:r>
      </w:hyperlink>
      <w:r>
        <w:rPr>
          <w:vertAlign w:val="superscript"/>
        </w:rPr>
        <w:t xml:space="preserve">,</w:t>
      </w:r>
      <w:hyperlink w:anchor="ref-627">
        <w:r>
          <w:rPr>
            <w:rStyle w:val="Hyperlink"/>
            <w:vertAlign w:val="superscript"/>
          </w:rPr>
          <w:t xml:space="preserve">627</w:t>
        </w:r>
      </w:hyperlink>
      <w:r>
        <w:rPr>
          <w:vertAlign w:val="superscript"/>
        </w:rPr>
        <w:t xml:space="preserve">,</w:t>
      </w:r>
      <w:hyperlink w:anchor="ref-628">
        <w:r>
          <w:rPr>
            <w:rStyle w:val="Hyperlink"/>
            <w:vertAlign w:val="superscript"/>
          </w:rPr>
          <w:t xml:space="preserve">628</w:t>
        </w:r>
      </w:hyperlink>
      <w:r>
        <w:rPr>
          <w:vertAlign w:val="superscript"/>
        </w:rPr>
        <w:t xml:space="preserve">]</w:t>
      </w:r>
      <w:r>
        <w:t xml:space="preserve">。</w:t>
      </w:r>
    </w:p>
    <w:bookmarkStart w:id="1190" w:name="sec-62-1"/>
    <w:p>
      <w:pPr>
        <w:pStyle w:val="Heading3"/>
      </w:pPr>
      <w:r>
        <w:t xml:space="preserve">62.1　干预把相关问题改写为什么问题</w:t>
      </w:r>
    </w:p>
    <w:p>
      <w:pPr>
        <w:pStyle w:val="FirstParagraph"/>
      </w:pPr>
      <w:r>
        <w:t xml:space="preserve">观察某组细胞在行为中活跃，可以支持其活动与行为相关。改变这组细胞后观察行为变化，则能够检验特定干预的因果效应。两类证据承担不同任务。干预并不会自动说明被改变的唯一成分，也不会自动确定该成分在自然条件下执行哪种计算。</w:t>
      </w:r>
    </w:p>
    <w:p>
      <w:pPr>
        <w:pStyle w:val="BodyText"/>
      </w:pPr>
      <w:r>
        <w:t xml:space="preserve">一个完整因果描述应保留干预对象、实施方式、时间、状态、比较条件和结局。例如，在任务选择阶段短暂抑制某类细胞，导致选择反应变慢，与从发育期起删除某受体后成年动物学习较慢，涉及明显不同机制。只写“该脑区控制学习”会掩盖干预的具体含义。</w:t>
      </w:r>
    </w:p>
    <w:p>
      <w:pPr>
        <w:pStyle w:val="BodyText"/>
      </w:pPr>
      <w:r>
        <w:t xml:space="preserve">干预效应还可能通过多个路径产生。刺激改变感觉、唤醒、动作或动机，都可能改变同一个任务分数。任务结果具有多重决定因素，因此需要设计能够区分机制的控制。较强的因果证据来自干预与预测之间的精确匹配，并通过互补方法得到约束。</w:t>
      </w:r>
    </w:p>
    <w:bookmarkEnd w:id="1190"/>
    <w:bookmarkStart w:id="1191" w:name="sec-62-2"/>
    <w:p>
      <w:pPr>
        <w:pStyle w:val="Heading3"/>
      </w:pPr>
      <w:r>
        <w:t xml:space="preserve">62.2　必要性与充分性如何限定</w:t>
      </w:r>
    </w:p>
    <w:p>
      <w:pPr>
        <w:pStyle w:val="FirstParagraph"/>
      </w:pPr>
      <w:r>
        <w:t xml:space="preserve">如果在适当控制下，抑制某过程使目标行为受损，可以支持该过程对当前条件下正常表现具有必要贡献。这不要求它是唯一实现途径，也不意味着在所有条件下都不可替代。长期训练、其他回路或不同策略可能改变依赖关系。</w:t>
      </w:r>
    </w:p>
    <w:p>
      <w:pPr>
        <w:pStyle w:val="BodyText"/>
      </w:pPr>
      <w:r>
        <w:t xml:space="preserve">如果激活某过程能够引出某结果，可以支持该操作在给定背景下足以促成该结果。结果仍依赖背景系统，例如动作输出通路、感受器状态或先前学习。这里的充分性通常是条件性的，无法解释为孤立细胞群独立完成整个心理过程。</w:t>
      </w:r>
    </w:p>
    <w:p>
      <w:pPr>
        <w:pStyle w:val="BodyText"/>
      </w:pPr>
      <w:r>
        <w:t xml:space="preserve">必要性与充分性也不能简单合并成完整机制。某节点可能因为维持整体唤醒而对很多行为必要，强烈刺激它也可以引出广泛行动，但这仍未揭示目标任务如何编码和计算。机制研究需要进一步定位信息、时间和连接关系。</w:t>
      </w:r>
    </w:p>
    <w:p>
      <w:pPr>
        <w:pStyle w:val="BodyText"/>
      </w:pPr>
      <w:r>
        <w:t xml:space="preserve">一个假设回路具有甲、乙两条平行路径。短时抑制甲造成任务下降，说明当前状态依赖甲；长期失去甲后，乙可能逐渐补偿。两种结果可以同时成立。若把补偿后的恢复解释为甲从来没有作用，就忽略了时间和适应过程。</w:t>
      </w:r>
    </w:p>
    <w:bookmarkEnd w:id="1191"/>
    <w:bookmarkStart w:id="1192" w:name="sec-62-3"/>
    <w:p>
      <w:pPr>
        <w:pStyle w:val="Heading3"/>
      </w:pPr>
      <w:r>
        <w:t xml:space="preserve">62.3　光遗传的选择性来自多个环节</w:t>
      </w:r>
    </w:p>
    <w:p>
      <w:pPr>
        <w:pStyle w:val="FirstParagraph"/>
      </w:pPr>
      <w:r>
        <w:t xml:space="preserve">光遗传工具将对光敏感的分子与目标细胞联系起来，再通过光照改变细胞活动。2005年的原始工具研究展示了以较快时间尺度控制神经活动的可能性，随后这一路径成为回路研究的重要方法</w:t>
      </w:r>
      <w:r>
        <w:rPr>
          <w:vertAlign w:val="superscript"/>
        </w:rPr>
        <w:t xml:space="preserve">[</w:t>
      </w:r>
      <w:hyperlink w:anchor="ref-627">
        <w:r>
          <w:rPr>
            <w:rStyle w:val="Hyperlink"/>
            <w:vertAlign w:val="superscript"/>
          </w:rPr>
          <w:t xml:space="preserve">627</w:t>
        </w:r>
      </w:hyperlink>
      <w:r>
        <w:rPr>
          <w:vertAlign w:val="superscript"/>
        </w:rPr>
        <w:t xml:space="preserve">]</w:t>
      </w:r>
      <w:r>
        <w:t xml:space="preserve">。</w:t>
      </w:r>
    </w:p>
    <w:p>
      <w:pPr>
        <w:pStyle w:val="BodyText"/>
      </w:pPr>
      <w:r>
        <w:t xml:space="preserve">实际选择性依赖分子表达、细胞定位、光传播和生理作用。遗传标记指向一类细胞，并不保证所有表达细胞都具有相同功能，也不保证目标区域之外完全没有表达。组织验证、表达范围检查和功能记录因此属于解释的基础。</w:t>
      </w:r>
    </w:p>
    <w:p>
      <w:pPr>
        <w:pStyle w:val="BodyText"/>
      </w:pPr>
      <w:r>
        <w:t xml:space="preserve">光照位置与受影响位置也可能不同。光在组织中散射和衰减，光敏蛋白分布又可能包括细胞体、轴突和末梢。刺激某投射末梢时，需要考虑是否影响其他分支、局部递质释放以及可能向细胞体传播的活动。把末梢照光直接命名为单向、唯一通路操作，需要额外验证。</w:t>
      </w:r>
    </w:p>
    <w:p>
      <w:pPr>
        <w:pStyle w:val="BodyText"/>
      </w:pPr>
      <w:r>
        <w:t xml:space="preserve">光本身也可能产生热、视觉或其他非目标效应。合适对照可以包括接受相同光照但缺少功能性工具的动物，以及具有工具表达但未接受目标操作的条件。对照选择应围绕实际混杂路径，无法仅凭存在一个“对照组”就证明特异性。</w:t>
      </w:r>
    </w:p>
    <w:p>
      <w:pPr>
        <w:pStyle w:val="BodyText"/>
      </w:pPr>
      <w:r>
        <w:t xml:space="preserve">刺激模式还影响外推。同步驱动许多细胞可能产生自然行为中很少出现的活动组合。即使这种操作引出行为，也需要比较自然活动的频率、时序、参与比例和状态依赖。人工可驱动性与自然编码方式属于相互联系但不同的问题。</w:t>
      </w:r>
    </w:p>
    <w:bookmarkEnd w:id="1192"/>
    <w:bookmarkStart w:id="1193" w:name="sec-62-4"/>
    <w:p>
      <w:pPr>
        <w:pStyle w:val="Heading3"/>
      </w:pPr>
      <w:r>
        <w:t xml:space="preserve">62.4　抑制工具也需要确认真实效应</w:t>
      </w:r>
    </w:p>
    <w:p>
      <w:pPr>
        <w:pStyle w:val="FirstParagraph"/>
      </w:pPr>
      <w:r>
        <w:t xml:space="preserve">研究者把某分子工具称作抑制性工具，不能替代在目标条件下测量它的实际效果。细胞类型、离子梯度、表达位置和刺激持续时间均可能影响响应。局部被抑制后，网络内其他细胞还可能因解除抑制而增强活动。</w:t>
      </w:r>
    </w:p>
    <w:p>
      <w:pPr>
        <w:pStyle w:val="BodyText"/>
      </w:pPr>
      <w:r>
        <w:t xml:space="preserve">“该区域被关闭”的表述通常过强。干预可能只覆盖部分细胞、部分时间或部分信号成分，残余活动仍然存在。应尽量报告被测到的作用，例如某些单元放电降低、某种突触输出减少，或者特定任务相关信号改变。</w:t>
      </w:r>
    </w:p>
    <w:p>
      <w:pPr>
        <w:pStyle w:val="BodyText"/>
      </w:pPr>
      <w:r>
        <w:t xml:space="preserve">行为无变化时，也应区分机制不必要、干预不足和任务不敏感。如果没有证明目标过程实际受到足够影响，阴性结果对理论的约束有限。相反，确认干预有效且结局测量精确后，阴性结果可以排除某些强依赖假说。</w:t>
      </w:r>
    </w:p>
    <w:p>
      <w:pPr>
        <w:pStyle w:val="BodyText"/>
      </w:pPr>
      <w:r>
        <w:t xml:space="preserve">恢复期或反弹效应还会影响时序解释。停止干预后系统可能短暂偏离基线，任务若紧接着发生，就可能受到这一阶段影响。实验需要把干预期间、停止后的早期阶段和较长期适应分别考虑。</w:t>
      </w:r>
    </w:p>
    <w:bookmarkEnd w:id="1193"/>
    <w:bookmarkStart w:id="1194" w:name="sec-62-5"/>
    <w:p>
      <w:pPr>
        <w:pStyle w:val="Heading3"/>
      </w:pPr>
      <w:r>
        <w:t xml:space="preserve">62.5　化学遗传的药理环节</w:t>
      </w:r>
    </w:p>
    <w:p>
      <w:pPr>
        <w:pStyle w:val="FirstParagraph"/>
      </w:pPr>
      <w:r>
        <w:t xml:space="preserve">化学遗传方法使用工程化受体和外源配体来调节细胞。其时间尺度与药物分布、代谢和受体作用相关，通常需要把分子工具与药代过程共同理解。名称中的设计性不能保证配体对其他靶点完全没有作用。</w:t>
      </w:r>
    </w:p>
    <w:p>
      <w:pPr>
        <w:pStyle w:val="BodyText"/>
      </w:pPr>
      <w:r>
        <w:t xml:space="preserve">Gomez等2017年的研究显示，在所研究条件下，CNO转化得到的氯氮平能够参与DREADD受体占据与激活。这一结果提示实验必须评估代谢产物及非目标药理效应。结论应保留配体、受体、物种和给药条件，不能推广为所有化学遗传工具均具有相同问题</w:t>
      </w:r>
      <w:r>
        <w:rPr>
          <w:vertAlign w:val="superscript"/>
        </w:rPr>
        <w:t xml:space="preserve">[</w:t>
      </w:r>
      <w:hyperlink w:anchor="ref-628">
        <w:r>
          <w:rPr>
            <w:rStyle w:val="Hyperlink"/>
            <w:vertAlign w:val="superscript"/>
          </w:rPr>
          <w:t xml:space="preserve">628</w:t>
        </w:r>
      </w:hyperlink>
      <w:r>
        <w:rPr>
          <w:vertAlign w:val="superscript"/>
        </w:rPr>
        <w:t xml:space="preserve">]</w:t>
      </w:r>
      <w:r>
        <w:t xml:space="preserve">。</w:t>
      </w:r>
    </w:p>
    <w:p>
      <w:pPr>
        <w:pStyle w:val="BodyText"/>
      </w:pPr>
      <w:r>
        <w:t xml:space="preserve">一个有帮助的设计框架同时考虑工具表达与配体暴露。只有工具组接受药物、对照组完全不接受药物，会使工具作用与药物本身作用混合。通过适当组合，可以估计配体在无目标工具条件下的影响，并考察目标工具带来的额外效应。</w:t>
      </w:r>
    </w:p>
    <w:p>
      <w:pPr>
        <w:pStyle w:val="BodyText"/>
      </w:pPr>
      <w:r>
        <w:t xml:space="preserve">给药后观察时间同样重要。血中浓度、脑中浓度、受体占据和下游反应可以具有不同时间过程。某时点行为变化与给药有关，仍需确定是否落在预期靶点作用窗口内。机制解释最好包含经过验证的时间关系。</w:t>
      </w:r>
    </w:p>
    <w:p>
      <w:pPr>
        <w:pStyle w:val="BodyText"/>
      </w:pPr>
      <w:r>
        <w:t xml:space="preserve">重复暴露还可能引发适应、耐受或受体调节。单次操作与长期操作可能回答不同问题。对于跨日行为训练，需要说明每次干预是否具有相近作用，以及累积效应是否改变了学习之外的状态。</w:t>
      </w:r>
    </w:p>
    <w:bookmarkEnd w:id="1194"/>
    <w:bookmarkStart w:id="1195" w:name="sec-62-6"/>
    <w:p>
      <w:pPr>
        <w:pStyle w:val="Heading3"/>
      </w:pPr>
      <w:r>
        <w:t xml:space="preserve">62.6　药物实验中的靶点占据与功能</w:t>
      </w:r>
    </w:p>
    <w:p>
      <w:pPr>
        <w:pStyle w:val="FirstParagraph"/>
      </w:pPr>
      <w:r>
        <w:t xml:space="preserve">药物能够影响受体、转运体、酶或其他分子过程，其选择性具有浓度和环境依赖。体外结合亲和力不等同于体内实际占据，脑内可用浓度还受到吸收、分布、代谢和屏障影响。由一种药物的行为作用推到某单一递质的全部心理功能，需要谨慎。</w:t>
      </w:r>
    </w:p>
    <w:p>
      <w:pPr>
        <w:pStyle w:val="BodyText"/>
      </w:pPr>
      <w:r>
        <w:t xml:space="preserve">靶点占据表明药物与目标分子发生了足够联系，但是否产生预期下游改变仍需验证。下游生物标志物变化也不能直接代表患者重要结局改善。因此，药物机制链至少包括暴露、结合、信号、回路、行为及临床结果等层次。</w:t>
      </w:r>
    </w:p>
    <w:p>
      <w:pPr>
        <w:pStyle w:val="BodyText"/>
      </w:pPr>
      <w:r>
        <w:t xml:space="preserve">剂量反应可以帮助区分解释，但形状不一定单调。多个受体、不同敏感性回路或补偿机制可能形成复杂曲线。若低剂量和高剂量产生不同方向，研究应考虑药理选择性与系统状态变化，不能简单把其中最有利结果作为普遍方向。</w:t>
      </w:r>
    </w:p>
    <w:p>
      <w:pPr>
        <w:pStyle w:val="BodyText"/>
      </w:pPr>
      <w:r>
        <w:t xml:space="preserve">药物影响任务分数时，还应检查困倦、动作速度、恶心或主观期待等非目标路径。即使这些变化也是药物真实效应，若研究声称提高某种特定认知过程，就需要将其与一般状态变化区分。</w:t>
      </w:r>
    </w:p>
    <w:bookmarkEnd w:id="1195"/>
    <w:bookmarkStart w:id="1196" w:name="sec-62-7"/>
    <w:p>
      <w:pPr>
        <w:pStyle w:val="Heading3"/>
      </w:pPr>
      <w:r>
        <w:t xml:space="preserve">62.7　电刺激、经颅刺激与网络传播</w:t>
      </w:r>
    </w:p>
    <w:p>
      <w:pPr>
        <w:pStyle w:val="FirstParagraph"/>
      </w:pPr>
      <w:r>
        <w:t xml:space="preserve">电刺激的作用范围取决于电场、组织导电性质、细胞形态和轴突方向。刺激一个位置可以影响附近细胞和经过该处的纤维，并通过网络产生远处变化。因此，坐标精确不等于功能只限于该坐标。</w:t>
      </w:r>
    </w:p>
    <w:p>
      <w:pPr>
        <w:pStyle w:val="BodyText"/>
      </w:pPr>
      <w:r>
        <w:t xml:space="preserve">经颅磁刺激等方法还伴随声音、头皮感觉和期待变化。若任务表现改变，需要判断这些伴随因素是否能够解释结果。合适的假刺激、不同位置比较以及感觉匹配可以处理部分问题，但每种对照都有自己的限制。</w:t>
      </w:r>
    </w:p>
    <w:p>
      <w:pPr>
        <w:pStyle w:val="BodyText"/>
      </w:pPr>
      <w:r>
        <w:t xml:space="preserve">刺激与任务的相对时间能够提供计算阶段线索。只在某个短暂阶段干预时出现损害，可以支持该阶段的重要性；若干预效应持续或传播，则时间解释需要更宽的范围。观察到精确刺激时点，不能自动认定生理作用也只持续同样短的时间。</w:t>
      </w:r>
    </w:p>
    <w:p>
      <w:pPr>
        <w:pStyle w:val="BodyText"/>
      </w:pPr>
      <w:r>
        <w:t xml:space="preserve">刺激造成表现下降有时被称作虚拟病损。这个比喻有助于理解干预思路，但真实效应可能包括噪声增加、网络重配或特定输入改变。将其视为完全局部且瞬时的功能删除，会简化实际生理过程。</w:t>
      </w:r>
    </w:p>
    <w:bookmarkEnd w:id="1196"/>
    <w:bookmarkStart w:id="1197" w:name="sec-62-8"/>
    <w:p>
      <w:pPr>
        <w:pStyle w:val="Heading3"/>
      </w:pPr>
      <w:r>
        <w:t xml:space="preserve">62.8　病损研究的自然实验价值</w:t>
      </w:r>
    </w:p>
    <w:p>
      <w:pPr>
        <w:pStyle w:val="FirstParagraph"/>
      </w:pPr>
      <w:r>
        <w:t xml:space="preserve">局部损伤与功能改变之间的关系，为脑机制提供了长期而重要的证据。其优势是能够观察系统某部分受损后的真实功能后果；困难包括损伤分布不随机、范围相互关联、病因不同及恢复过程变化。</w:t>
      </w:r>
    </w:p>
    <w:p>
      <w:pPr>
        <w:pStyle w:val="BodyText"/>
      </w:pPr>
      <w:r>
        <w:t xml:space="preserve">血管病变常按血管分布影响多个相邻结构，某结构与症状共同受损，可能来自邻近关键通路。统计校正和病损映射可以帮助定位，但资料覆盖不足的区域仍然难以评价。没有患者损伤某处，无法据此证明该处无关。</w:t>
      </w:r>
    </w:p>
    <w:p>
      <w:pPr>
        <w:pStyle w:val="BodyText"/>
      </w:pPr>
      <w:r>
        <w:t xml:space="preserve">远隔效应也可能重要。一个位置受损后，通过连接影响其他区域的活动与代谢。症状可能来自局部组织缺失、连接中断和网络状态改变的组合。将所有功能变化都归于损伤中心的独立功能，会漏掉这些路径。</w:t>
      </w:r>
    </w:p>
    <w:p>
      <w:pPr>
        <w:pStyle w:val="BodyText"/>
      </w:pPr>
      <w:r>
        <w:t xml:space="preserve">恢复过程具有双重价值。早期结果更接近直接损伤影响，同时受到急性生理变化干扰；较晚结果更稳定，却包含补偿、再学习和环境适应。研究应明确考察哪个阶段，避免把不同阶段的结果简单对立。</w:t>
      </w:r>
    </w:p>
    <w:bookmarkEnd w:id="1197"/>
    <w:bookmarkStart w:id="1198" w:name="sec-62-9"/>
    <w:p>
      <w:pPr>
        <w:pStyle w:val="Heading3"/>
      </w:pPr>
      <w:r>
        <w:t xml:space="preserve">62.9　双重分离与功能架构</w:t>
      </w:r>
    </w:p>
    <w:p>
      <w:pPr>
        <w:pStyle w:val="FirstParagraph"/>
      </w:pPr>
      <w:r>
        <w:t xml:space="preserve">假设患者甲在任务一明显受损、任务二相对保留，患者乙呈现相反模式。这样的双重分离能够对单一能力下降解释形成约束，支持功能组成存在一定区别。它仍需要控制任务难度、测量信度和总体受损程度。</w:t>
      </w:r>
    </w:p>
    <w:p>
      <w:pPr>
        <w:pStyle w:val="BodyText"/>
      </w:pPr>
      <w:r>
        <w:t xml:space="preserve">任务之间共享过程并不妨碍出现分离，两个任务也可能对同一连续资源具有不同敏感性。要从分离推到完全独立模块，需要更强模型比较。定量预测、多个任务和多位患者可以提高架构判断的可信度。</w:t>
      </w:r>
    </w:p>
    <w:p>
      <w:pPr>
        <w:pStyle w:val="BodyText"/>
      </w:pPr>
      <w:r>
        <w:t xml:space="preserve">单例研究可以非常有价值，尤其在罕见损伤和精细行为分析中。价值来自测量深度、明确对照和理论约束，不能因人数少就自动排除。与此同时，对群体比例和普遍适用性的推断仍受样本范围限制。</w:t>
      </w:r>
    </w:p>
    <w:bookmarkEnd w:id="1198"/>
    <w:bookmarkStart w:id="1199" w:name="sec-62-10"/>
    <w:p>
      <w:pPr>
        <w:pStyle w:val="Heading3"/>
      </w:pPr>
      <w:r>
        <w:t xml:space="preserve">62.10　遗传操控与发育补偿</w:t>
      </w:r>
    </w:p>
    <w:p>
      <w:pPr>
        <w:pStyle w:val="FirstParagraph"/>
      </w:pPr>
      <w:r>
        <w:t xml:space="preserve">遗传工具能够改变某分子、细胞群或连接的功能。若改变从发育早期持续存在，成年表型可能包含直接作用与长期补偿。急性操作和发育期操作因此不能简单互换。两者结合可以区分当下功能依赖与形成过程。</w:t>
      </w:r>
    </w:p>
    <w:p>
      <w:pPr>
        <w:pStyle w:val="BodyText"/>
      </w:pPr>
      <w:r>
        <w:t xml:space="preserve">驱动系统的表达范围需要实证验证。某标记在不同年龄、脑区或状态下可能具有不同分布，历史表达也可能与当前表达不一致。研究应说明标记反映的是当前细胞状态还是发育谱系，避免把两者混为同一种细胞身份。</w:t>
      </w:r>
    </w:p>
    <w:p>
      <w:pPr>
        <w:pStyle w:val="BodyText"/>
      </w:pPr>
      <w:r>
        <w:t xml:space="preserve">基因背景、性别、年龄和环境条件会影响表型。即使目标基因相同，不同遗传背景下的补偿网络也可能不同。对照需要尽量匹配这些条件，报告中应提供足以判断适用范围的信息</w:t>
      </w:r>
      <w:r>
        <w:rPr>
          <w:vertAlign w:val="superscript"/>
        </w:rPr>
        <w:t xml:space="preserve">[</w:t>
      </w:r>
      <w:hyperlink w:anchor="ref-617">
        <w:r>
          <w:rPr>
            <w:rStyle w:val="Hyperlink"/>
            <w:vertAlign w:val="superscript"/>
          </w:rPr>
          <w:t xml:space="preserve">617</w:t>
        </w:r>
      </w:hyperlink>
      <w:r>
        <w:rPr>
          <w:vertAlign w:val="superscript"/>
        </w:rPr>
        <w:t xml:space="preserve">]</w:t>
      </w:r>
      <w:r>
        <w:t xml:space="preserve">。</w:t>
      </w:r>
    </w:p>
    <w:p>
      <w:pPr>
        <w:pStyle w:val="BodyText"/>
      </w:pPr>
      <w:r>
        <w:t xml:space="preserve">救援实验能够增加因果约束。例如，恢复目标分子后某表型改善，可以支持该分子参与形成表型；但救援方式若同时改变其他过程，仍需分析特异性。恢复一个下游过程也可能绕过原有损伤，因此救援成功不必证明完整自然路径已经被重建。</w:t>
      </w:r>
    </w:p>
    <w:bookmarkEnd w:id="1199"/>
    <w:bookmarkStart w:id="1200" w:name="sec-62-11"/>
    <w:p>
      <w:pPr>
        <w:pStyle w:val="Heading3"/>
      </w:pPr>
      <w:r>
        <w:t xml:space="preserve">62.11　通路特异性与共同释放</w:t>
      </w:r>
    </w:p>
    <w:p>
      <w:pPr>
        <w:pStyle w:val="FirstParagraph"/>
      </w:pPr>
      <w:r>
        <w:t xml:space="preserve">一个细胞群可能投射到多个目标，也可能释放多种信号。操控其细胞体会同时改变多处输出；操控某类末梢则仍需考虑局部与反向影响。把细胞群名称等同于单一通路，常会低估连接复杂性。</w:t>
      </w:r>
    </w:p>
    <w:p>
      <w:pPr>
        <w:pStyle w:val="BodyText"/>
      </w:pPr>
      <w:r>
        <w:t xml:space="preserve">同一种递质在不同受体和细胞上可以产生不同作用。观察到某类投射的总体效应，无法仅凭递质名称推断所有下游细胞变化方向。研究需要结合受体分布、突触生理和局部网络组织，才能建立较具体机制。</w:t>
      </w:r>
    </w:p>
    <w:p>
      <w:pPr>
        <w:pStyle w:val="BodyText"/>
      </w:pPr>
      <w:r>
        <w:t xml:space="preserve">共同释放还使解释进一步复杂。若某投射同时影响快递质和调质信号，只阻断其中一种可能保留另一种贡献。比较不同受体阻断、末梢记录和时序特征，可以帮助分解作用。机制结论应保留实际被操作和测量到的部分。</w:t>
      </w:r>
    </w:p>
    <w:bookmarkEnd w:id="1200"/>
    <w:bookmarkStart w:id="1201" w:name="sec-62-12"/>
    <w:p>
      <w:pPr>
        <w:pStyle w:val="Heading3"/>
      </w:pPr>
      <w:r>
        <w:t xml:space="preserve">62.12　行为结局的特异性检验</w:t>
      </w:r>
    </w:p>
    <w:p>
      <w:pPr>
        <w:pStyle w:val="FirstParagraph"/>
      </w:pPr>
      <w:r>
        <w:t xml:space="preserve">动物在某任务中的选择或运动变化，通常包含感觉、动机、学习和动作的组合。举例说，进入某区域的次数减少，可能与该区域价值下降有关，也可能与整体活动减少、感觉受损或运动困难有关。需要使用与具体解释相匹配的独立测量。</w:t>
      </w:r>
    </w:p>
    <w:p>
      <w:pPr>
        <w:pStyle w:val="BodyText"/>
      </w:pPr>
      <w:r>
        <w:t xml:space="preserve">任务控制也应避免过度。若控制条件移除了理论真正依赖的过程，比较可能不再回答原问题。例如，完全消除动机差异后，再研究动机回路对选择的影响，可能改变了目标机制。控制变量应根据因果结构选择，不能以控制越多越好作为标准。</w:t>
      </w:r>
    </w:p>
    <w:p>
      <w:pPr>
        <w:pStyle w:val="BodyText"/>
      </w:pPr>
      <w:r>
        <w:t xml:space="preserve">神经表型和行为表型的关联还需要时间顺序。干预改变神经信号并改变行为，并不自动说明前者中介后者。二者可能来自同一个更上游作用。中介解释需要进一步操作、时间信息或明确识别假设支持。</w:t>
      </w:r>
    </w:p>
    <w:bookmarkEnd w:id="1201"/>
    <w:bookmarkStart w:id="1202" w:name="sec-62-13"/>
    <w:p>
      <w:pPr>
        <w:pStyle w:val="Heading3"/>
      </w:pPr>
      <w:r>
        <w:t xml:space="preserve">62.13　多种干预如何形成收敛证据</w:t>
      </w:r>
    </w:p>
    <w:p>
      <w:pPr>
        <w:pStyle w:val="FirstParagraph"/>
      </w:pPr>
      <w:r>
        <w:t xml:space="preserve">互补方法可以减少单一工具偏倚。若药理、短时细胞操控和病损观察都支持某项明确预测，结论通常更有约束。但独立性需要检查：这些方法可能共同影响唤醒或动作，仍未排除同一种替代解释。</w:t>
      </w:r>
    </w:p>
    <w:p>
      <w:pPr>
        <w:pStyle w:val="BodyText"/>
      </w:pPr>
      <w:r>
        <w:t xml:space="preserve">相互矛盾的结果可以揭示状态或时间差异。急性抑制产生损害，慢性删除没有明显影响，可能提示补偿；细胞体刺激与末梢刺激方向不同，可能提示分支或局部网络作用。应把差异改写成新的可检验问题，避免用统一标签掩盖。</w:t>
      </w:r>
    </w:p>
    <w:p>
      <w:pPr>
        <w:pStyle w:val="BodyText"/>
      </w:pPr>
      <w:r>
        <w:t xml:space="preserve">跨物种一致也需要定义层次。相同分子或回路组织能够支持保守机制，但行为任务和生态意义可能不同。将动物任务直接称为人类疾病，容易扩大模型范围。动物模型的构念效度、表面效度及预测效度需要分别评价</w:t>
      </w:r>
      <w:r>
        <w:rPr>
          <w:vertAlign w:val="superscript"/>
        </w:rPr>
        <w:t xml:space="preserve">[</w:t>
      </w:r>
      <w:hyperlink w:anchor="ref-629">
        <w:r>
          <w:rPr>
            <w:rStyle w:val="Hyperlink"/>
            <w:vertAlign w:val="superscript"/>
          </w:rPr>
          <w:t xml:space="preserve">629</w:t>
        </w:r>
      </w:hyperlink>
      <w:r>
        <w:rPr>
          <w:vertAlign w:val="superscript"/>
        </w:rPr>
        <w:t xml:space="preserve">]</w:t>
      </w:r>
      <w:r>
        <w:t xml:space="preserve">。</w:t>
      </w:r>
    </w:p>
    <w:bookmarkEnd w:id="1202"/>
    <w:bookmarkStart w:id="1203" w:name="sec-62-14"/>
    <w:p>
      <w:pPr>
        <w:pStyle w:val="Heading3"/>
      </w:pPr>
      <w:r>
        <w:t xml:space="preserve">62.14　干预证据的伦理与可重复性</w:t>
      </w:r>
    </w:p>
    <w:p>
      <w:pPr>
        <w:pStyle w:val="FirstParagraph"/>
      </w:pPr>
      <w:r>
        <w:t xml:space="preserve">动物研究应围绕明确问题选择必要的模型与程序，并遵守适用伦理要求。报告随机化、盲法、排除、样本单位和不良影响，有助于让研究受到独立评估。ARRIVE提供的是透明报告框架，不能仅凭填写清单就保证设计没有偏倚</w:t>
      </w:r>
      <w:r>
        <w:rPr>
          <w:vertAlign w:val="superscript"/>
        </w:rPr>
        <w:t xml:space="preserve">[</w:t>
      </w:r>
      <w:hyperlink w:anchor="ref-617">
        <w:r>
          <w:rPr>
            <w:rStyle w:val="Hyperlink"/>
            <w:vertAlign w:val="superscript"/>
          </w:rPr>
          <w:t xml:space="preserve">617</w:t>
        </w:r>
      </w:hyperlink>
      <w:r>
        <w:rPr>
          <w:vertAlign w:val="superscript"/>
        </w:rPr>
        <w:t xml:space="preserve">]</w:t>
      </w:r>
      <w:r>
        <w:t xml:space="preserve">。</w:t>
      </w:r>
    </w:p>
    <w:p>
      <w:pPr>
        <w:pStyle w:val="BodyText"/>
      </w:pPr>
      <w:r>
        <w:t xml:space="preserve">人体神经干预研究还需要关注同意能力、预期收益、替代选择及长期后果。治疗性研究与健康人增强研究的风险收益背景不同。对于植入和持续依赖设备的研究，后续照护与研究结束后的安排属于研究责任的一部分</w:t>
      </w:r>
      <w:r>
        <w:rPr>
          <w:vertAlign w:val="superscript"/>
        </w:rPr>
        <w:t xml:space="preserve">[</w:t>
      </w:r>
      <w:hyperlink w:anchor="ref-630">
        <w:r>
          <w:rPr>
            <w:rStyle w:val="Hyperlink"/>
            <w:vertAlign w:val="superscript"/>
          </w:rPr>
          <w:t xml:space="preserve">630</w:t>
        </w:r>
      </w:hyperlink>
      <w:r>
        <w:rPr>
          <w:vertAlign w:val="superscript"/>
        </w:rPr>
        <w:t xml:space="preserve">]</w:t>
      </w:r>
      <w:r>
        <w:t xml:space="preserve">。</w:t>
      </w:r>
    </w:p>
    <w:p>
      <w:pPr>
        <w:pStyle w:val="BodyText"/>
      </w:pPr>
      <w:r>
        <w:t xml:space="preserve">预先规定主要行为结局与机制预测，有助于减少只展示有利结果。透明记录工具表达失败、设备故障、排除个体和阴性分析，能够让后续研究判断可重复性。失败信息常能揭示工具适用条件，具有独立科学价值。</w:t>
      </w:r>
    </w:p>
    <w:bookmarkEnd w:id="1203"/>
    <w:bookmarkStart w:id="1204" w:name="sec-62-15"/>
    <w:p>
      <w:pPr>
        <w:pStyle w:val="Heading3"/>
      </w:pPr>
      <w:r>
        <w:t xml:space="preserve">62.15　假设回路研究的完整推理</w:t>
      </w:r>
    </w:p>
    <w:p>
      <w:pPr>
        <w:pStyle w:val="FirstParagraph"/>
      </w:pPr>
      <w:r>
        <w:t xml:space="preserve">设研究声称某投射在威胁出现时促进行动准备。首先应测量自然条件下的活动与时间关系；随后在相关窗口进行干预，并同时观察目标动作、一般运动和感觉检测；再通过局部生理确认操作确实影响预期输出。每一步都服务于同一具体机制，避免只累积互不衔接的阳性结果。</w:t>
      </w:r>
    </w:p>
    <w:p>
      <w:pPr>
        <w:pStyle w:val="BodyText"/>
      </w:pPr>
      <w:r>
        <w:t xml:space="preserve">如果干预改变行为但没有改变预期局部信号，应重新检查工具、测量或机制路径。若局部信号变化明确但行为不变，可能说明冗余、任务条件不足或机制假说过强。若只有极强人工刺激引出行为，而自然活动范围内操作无效，则应限制对自然作用的推广。</w:t>
      </w:r>
    </w:p>
    <w:p>
      <w:pPr>
        <w:pStyle w:val="BodyText"/>
      </w:pPr>
      <w:r>
        <w:t xml:space="preserve">最后可以提出预测：在另一种需要同样计算但动作输出不同的任务中，是否仍有相应效应；在不需要该计算的控制任务中，效应是否减弱。这样的迁移与选择性检验，使回路解释逐渐从行为标签走向具体计算。</w:t>
      </w:r>
    </w:p>
    <w:p>
      <w:pPr>
        <w:pStyle w:val="BodyText"/>
      </w:pPr>
      <w:r>
        <w:rPr>
          <w:bCs/>
          <w:b/>
        </w:rPr>
        <w:t xml:space="preserve">方法结论</w:t>
      </w:r>
      <w:r>
        <w:t xml:space="preserve">　神经干预提供了观察研究无法独立获得的因果约束，同时依赖工具特异性、操作验证和任务解释。最有价值的结论会说明干预改变了哪一层、通过哪些已验证路径影响什么结果，以及哪些替代机制仍然存在。</w:t>
      </w:r>
    </w:p>
    <w:bookmarkEnd w:id="1204"/>
    <w:bookmarkEnd w:id="1205"/>
    <w:bookmarkStart w:id="1230" w:name="ch-63"/>
    <w:p>
      <w:pPr>
        <w:pStyle w:val="Heading2"/>
      </w:pPr>
      <w:r>
        <w:t xml:space="preserve">第63章　相关关系与脑—行为因果解释</w:t>
      </w:r>
    </w:p>
    <w:p>
      <w:pPr>
        <w:pStyle w:val="CalloutJudgment"/>
      </w:pPr>
      <w:r>
        <w:rPr>
          <w:bCs/>
          <w:b/>
        </w:rPr>
        <w:t xml:space="preserve">核心判断与置信度</w:t>
      </w:r>
      <w:r>
        <w:t xml:space="preserve">　脑与行为的相关无法单独确定因果方向。纵向、随机干预、病损、刺激和自然实验可以分别排除部分竞争解释；把它们结合时，仍需公开各自假设。对此判断，置信度高</w:t>
      </w:r>
      <w:r>
        <w:rPr>
          <w:vertAlign w:val="superscript"/>
        </w:rPr>
        <w:t xml:space="preserve">[</w:t>
      </w:r>
      <w:hyperlink w:anchor="ref-616">
        <w:r>
          <w:rPr>
            <w:rStyle w:val="Hyperlink"/>
            <w:vertAlign w:val="superscript"/>
          </w:rPr>
          <w:t xml:space="preserve">616</w:t>
        </w:r>
      </w:hyperlink>
      <w:r>
        <w:rPr>
          <w:vertAlign w:val="superscript"/>
        </w:rPr>
        <w:t xml:space="preserve">,</w:t>
      </w:r>
      <w:hyperlink w:anchor="ref-631">
        <w:r>
          <w:rPr>
            <w:rStyle w:val="Hyperlink"/>
            <w:vertAlign w:val="superscript"/>
          </w:rPr>
          <w:t xml:space="preserve">631</w:t>
        </w:r>
      </w:hyperlink>
      <w:r>
        <w:rPr>
          <w:vertAlign w:val="superscript"/>
        </w:rPr>
        <w:t xml:space="preserve">]</w:t>
      </w:r>
      <w:r>
        <w:t xml:space="preserve">。</w:t>
      </w:r>
    </w:p>
    <w:bookmarkStart w:id="1206" w:name="sec-63-1"/>
    <w:p>
      <w:pPr>
        <w:pStyle w:val="Heading3"/>
      </w:pPr>
      <w:r>
        <w:t xml:space="preserve">63.1　因果问题需要写出干预</w:t>
      </w:r>
    </w:p>
    <w:p>
      <w:pPr>
        <w:pStyle w:val="FirstParagraph"/>
      </w:pPr>
      <w:r>
        <w:t xml:space="preserve">“较大海马者记忆更好”是观察性陈述。“让某人的海马体积增大就能改善记忆”是干预陈述。第二句没有定义怎样增大、增加的是哪种组织成分、在何种病理背景下发生，也没有说明是否存在其他同步变化。一个结构数值可以经由许多机制变化，而不同机制可能对行为产生不同影响。</w:t>
      </w:r>
    </w:p>
    <w:p>
      <w:pPr>
        <w:pStyle w:val="BodyText"/>
      </w:pPr>
      <w:r>
        <w:t xml:space="preserve">因此，好的因果问题常写成具体方案的比较：某人群接受指定训练与接受匹配对照，在指定时间的记忆表现有何差异。这样可以明确操作、比较和结局。继续追问效果是否通过某个脑变化产生，则进入机制和中介问题，需要更多设计。</w:t>
      </w:r>
    </w:p>
    <w:p>
      <w:pPr>
        <w:pStyle w:val="BodyText"/>
      </w:pPr>
      <w:r>
        <w:t xml:space="preserve">“因果”也有时间尺度。某种突触过程可能是一次学习的近端机制；睡眠、营养和教育机会可能改变这一过程的发生条件；遗传和发育历史又可能影响更早的系统组织。多个尺度上的因果贡献可以同时存在。用一个尺度的证据抹去其他尺度，会损害解释的完整性。</w:t>
      </w:r>
    </w:p>
    <w:bookmarkEnd w:id="1206"/>
    <w:bookmarkStart w:id="1207" w:name="sec-63-2"/>
    <w:p>
      <w:pPr>
        <w:pStyle w:val="Heading3"/>
      </w:pPr>
      <w:r>
        <w:t xml:space="preserve">63.2　三种方向与更多竞争结构</w:t>
      </w:r>
    </w:p>
    <w:p>
      <w:pPr>
        <w:pStyle w:val="FirstParagraph"/>
      </w:pPr>
      <w:r>
        <w:t xml:space="preserve">最基本的候选是脑特征影响行为，行为经验影响脑特征，以及某个共同原因影响两者。除此之外，选择进入样本的方式也可能制造相关，测量误差可以改变相关方向或大小，变量之间还可能存在反馈。因此，看到相关后，第一步应列出可能的数据生成过程。</w:t>
      </w:r>
    </w:p>
    <w:p>
      <w:pPr>
        <w:pStyle w:val="BodyText"/>
      </w:pPr>
      <w:r>
        <w:t xml:space="preserve">假设教育机会同时增加练习量并影响某项脑指标，练习量又提高测试成绩。观察到脑指标与成绩相关时，教育机会构成需要考虑的共同原因。若把练习量作为调整变量，实际估计的问题又会变化，因为它可能处在教育机会影响成绩的路径上。选择协变量需要依据因果结构，不能机械地把所有可测变量都纳入。</w:t>
      </w:r>
    </w:p>
    <w:p>
      <w:pPr>
        <w:pStyle w:val="BodyText"/>
      </w:pPr>
      <w:r>
        <w:t xml:space="preserve">另一个假设情形涉及样本选择。某研究只招募通过严格筛选的高成就者，而录取同时取决于认知能力和家庭资源。在这群人内部，能力与资源可能出现由筛选机制导致的关联。进一步观察脑特征时，也可能把这种选择相关误读为普遍规律。研究者需要检查入组条件和退出机制，尤其不能把高度选择性样本直接代表整个社会。</w:t>
      </w:r>
    </w:p>
    <w:bookmarkEnd w:id="1207"/>
    <w:bookmarkStart w:id="1208" w:name="sec-63-3"/>
    <w:p>
      <w:pPr>
        <w:pStyle w:val="Heading3"/>
      </w:pPr>
      <w:r>
        <w:t xml:space="preserve">63.3　时间先后能排除什么</w:t>
      </w:r>
    </w:p>
    <w:p>
      <w:pPr>
        <w:pStyle w:val="FirstParagraph"/>
      </w:pPr>
      <w:r>
        <w:t xml:space="preserve">纵向研究可以确定测量时间的顺序，但早测变量并不自动成为后测变量的原因。一个未测的长期过程可能同时影响早期脑指标和后期行为。早期症状也可能已经改变了脑指标，只是正式诊断发生较晚。因此，“在诊断之前出现”可以支持风险标志物的价值，仍需要区分病因、前驱表现和共同原因。</w:t>
      </w:r>
    </w:p>
    <w:p>
      <w:pPr>
        <w:pStyle w:val="BodyText"/>
      </w:pPr>
      <w:r>
        <w:t xml:space="preserve">多次测量能够分析变化轨迹，并检验某类时间顺序。模型需要考虑稳定个体差异、测量间隔和时间变动混杂。测量间隔若远长于实际因果过程，真实的先后顺序可能被采样方式掩盖，例如每年一次问卷可能无法区分短期状态变化与行为调整的先后；间隔过短而测量误差较大，又可能让变化估计很不稳定，密集测量还会带来依从性和反应性问题。纵向设计的价值取决于问题和采样时间尺度是否匹配，适合的时间尺度应来自机制问题。</w:t>
      </w:r>
    </w:p>
    <w:bookmarkEnd w:id="1208"/>
    <w:bookmarkStart w:id="1209" w:name="sec-63-4"/>
    <w:p>
      <w:pPr>
        <w:pStyle w:val="Heading3"/>
      </w:pPr>
      <w:r>
        <w:t xml:space="preserve">63.4　随机化支持什么结论</w:t>
      </w:r>
    </w:p>
    <w:p>
      <w:pPr>
        <w:pStyle w:val="FirstParagraph"/>
      </w:pPr>
      <w:r>
        <w:t xml:space="preserve">随机分配在期望上平衡已知和未知的基线因素，使组间结果差异更有依据归于分配策略。它并不保证每个小样本恰好平衡，也不会自动消除失访、测量偏差、依从性差异或试验结束后的分析选择。研究应报告随机序列、分配隐藏、盲法、实际执行及所有预设结局。</w:t>
      </w:r>
    </w:p>
    <w:p>
      <w:pPr>
        <w:pStyle w:val="BodyText"/>
      </w:pPr>
      <w:r>
        <w:t xml:space="preserve">意向治疗分析估计分配到某策略的效果，保留随机化结构。按实际接受治疗重新分组，可能重新引入混杂，因为依从者与不依从者可能在动机、健康或社会条件上不同。按方案效应是有意义的问题，但需要对应的识别方法。两种估计不能不加说明地互换。</w:t>
      </w:r>
    </w:p>
    <w:p>
      <w:pPr>
        <w:pStyle w:val="BodyText"/>
      </w:pPr>
      <w:r>
        <w:t xml:space="preserve">如果训练组得到更多教师关注、社交互动和成功反馈，随机化可以支持整套训练方案的效果，却不能单独确定哪一成分有效。要识别特定成分，可以使用匹配主动对照、析因设计或机制操纵。控制组越弱，观察到组间差异后可排除的解释通常越少。</w:t>
      </w:r>
    </w:p>
    <w:bookmarkEnd w:id="1209"/>
    <w:bookmarkStart w:id="1210" w:name="sec-63-5"/>
    <w:p>
      <w:pPr>
        <w:pStyle w:val="Heading3"/>
      </w:pPr>
      <w:r>
        <w:t xml:space="preserve">63.5　脑变化作为中介的难点</w:t>
      </w:r>
    </w:p>
    <w:p>
      <w:pPr>
        <w:pStyle w:val="FirstParagraph"/>
      </w:pPr>
      <w:r>
        <w:t xml:space="preserve">假设随机训练使成绩和某个脑指标都改善。训练分配是随机的，脑指标的变化通常没有随机化。动机提升、练习质量、睡眠改善或其他过程可能同时影响脑变化与成绩。因此，“训练有效”和“训练经由该脑指标有效”是两个需要分别建立的结论。</w:t>
      </w:r>
    </w:p>
    <w:p>
      <w:pPr>
        <w:pStyle w:val="BodyText"/>
      </w:pPr>
      <w:r>
        <w:t xml:space="preserve">中介分析还需要合理时间顺序。若脑指标和成绩在同一天测量，很难判断谁先变化。测量误差会使中介路径估计偏离。中介与结果之间的未测共同原因尤其关键：随机化治疗分配不能自动随机化中介，这类共同原因可能制造路径；若训练还改变另一个同时影响中介和结果的变量，解释会更复杂。统计模型画出一条箭头，不会使箭头具有实验支持。更强证据可以来自对中介过程的额外操纵、密集时间测量和多个方法的收敛</w:t>
      </w:r>
      <w:r>
        <w:rPr>
          <w:vertAlign w:val="superscript"/>
        </w:rPr>
        <w:t xml:space="preserve">[</w:t>
      </w:r>
      <w:hyperlink w:anchor="ref-632">
        <w:r>
          <w:rPr>
            <w:rStyle w:val="Hyperlink"/>
            <w:vertAlign w:val="superscript"/>
          </w:rPr>
          <w:t xml:space="preserve">632</w:t>
        </w:r>
      </w:hyperlink>
      <w:r>
        <w:rPr>
          <w:vertAlign w:val="superscript"/>
        </w:rPr>
        <w:t xml:space="preserve">]</w:t>
      </w:r>
      <w:r>
        <w:t xml:space="preserve">。</w:t>
      </w:r>
    </w:p>
    <w:p>
      <w:pPr>
        <w:pStyle w:val="BodyText"/>
      </w:pPr>
      <w:r>
        <w:t xml:space="preserve">必要性与充分性也应区分（见</w:t>
      </w:r>
      <w:r>
        <w:t xml:space="preserve"> </w:t>
      </w:r>
      <w:hyperlink w:anchor="sec-62-2">
        <w:r>
          <w:rPr>
            <w:rStyle w:val="Hyperlink"/>
          </w:rPr>
          <w:t xml:space="preserve">62.2</w:t>
        </w:r>
      </w:hyperlink>
      <w:r>
        <w:t xml:space="preserve">）。若阻断某过程使训练收益消失，可以支持该过程在相应条件下的必要作用，但阻断可能具有非特异影响。若直接增强该过程改善表现，可以支持某种充分作用，但不说明日常学习全靠同一路径。机制结论应保留操作条件和可能的替代路径。</w:t>
      </w:r>
    </w:p>
    <w:bookmarkEnd w:id="1210"/>
    <w:bookmarkStart w:id="1211" w:name="sec-63-6"/>
    <w:p>
      <w:pPr>
        <w:pStyle w:val="Heading3"/>
      </w:pPr>
      <w:r>
        <w:t xml:space="preserve">63.6　病损研究与刺激研究</w:t>
      </w:r>
    </w:p>
    <w:p>
      <w:pPr>
        <w:pStyle w:val="FirstParagraph"/>
      </w:pPr>
      <w:r>
        <w:t xml:space="preserve">病损研究的分布、远隔效应和恢复阶段问题见</w:t>
      </w:r>
      <w:r>
        <w:t xml:space="preserve"> </w:t>
      </w:r>
      <w:hyperlink w:anchor="sec-62-8">
        <w:r>
          <w:rPr>
            <w:rStyle w:val="Hyperlink"/>
          </w:rPr>
          <w:t xml:space="preserve">62.8</w:t>
        </w:r>
      </w:hyperlink>
      <w:r>
        <w:t xml:space="preserve">，刺激研究的作用范围与对照问题见</w:t>
      </w:r>
      <w:r>
        <w:t xml:space="preserve"> </w:t>
      </w:r>
      <w:hyperlink w:anchor="sec-62-7">
        <w:r>
          <w:rPr>
            <w:rStyle w:val="Hyperlink"/>
          </w:rPr>
          <w:t xml:space="preserve">62.7</w:t>
        </w:r>
      </w:hyperlink>
      <w:r>
        <w:t xml:space="preserve">。一个区域受损后能力下降，可以支持它对正常系统的重要性，仍不意味着该能力完整储存在该处。</w:t>
      </w:r>
    </w:p>
    <w:p>
      <w:pPr>
        <w:pStyle w:val="BodyText"/>
      </w:pPr>
      <w:r>
        <w:t xml:space="preserve">一项刺激研究没有观察到效果，也不能直接证明目标区域无关。刺激可能没有充分改变所需过程，任务可能允许补偿，测量可能不敏感。反之，有效果也需要检查是否具有任务选择性。因果方法的力量来自明确定义的操纵及其验证，不能仅凭“做了干预”获得无限解释权。</w:t>
      </w:r>
    </w:p>
    <w:bookmarkEnd w:id="1211"/>
    <w:bookmarkStart w:id="1212" w:name="sec-63-7"/>
    <w:p>
      <w:pPr>
        <w:pStyle w:val="Heading3"/>
      </w:pPr>
      <w:r>
        <w:t xml:space="preserve">63.7　样本量与可重复的关联</w:t>
      </w:r>
    </w:p>
    <w:p>
      <w:pPr>
        <w:pStyle w:val="FirstParagraph"/>
      </w:pPr>
      <w:hyperlink w:anchor="sec-55-3">
        <w:r>
          <w:rPr>
            <w:rStyle w:val="Hyperlink"/>
          </w:rPr>
          <w:t xml:space="preserve">55.3 节</w:t>
        </w:r>
      </w:hyperlink>
      <w:r>
        <w:t xml:space="preserve">提到的Marek等2022年研究利用三个大型影像数据集、总计约5万人考察脑广泛关联的稳定性。许多个体间关联较小，在小样本中容易出现效应膨胀和重复失败，样本达到数千后重复性改善。这一结论针对特定个体差异研究，不能机械扩展为所有脑科学实验都必须数千人</w:t>
      </w:r>
      <w:r>
        <w:rPr>
          <w:vertAlign w:val="superscript"/>
        </w:rPr>
        <w:t xml:space="preserve">[</w:t>
      </w:r>
      <w:hyperlink w:anchor="ref-596">
        <w:r>
          <w:rPr>
            <w:rStyle w:val="Hyperlink"/>
            <w:vertAlign w:val="superscript"/>
          </w:rPr>
          <w:t xml:space="preserve">596</w:t>
        </w:r>
      </w:hyperlink>
      <w:r>
        <w:rPr>
          <w:vertAlign w:val="superscript"/>
        </w:rPr>
        <w:t xml:space="preserve">]</w:t>
      </w:r>
      <w:r>
        <w:t xml:space="preserve">。</w:t>
      </w:r>
    </w:p>
    <w:p>
      <w:pPr>
        <w:pStyle w:val="BodyText"/>
      </w:pPr>
      <w:r>
        <w:t xml:space="preserve">样本量应依据目标效应、测量信度、设计结构、模型复杂度和误差代价规划。重复测量可以提高个体内估计精度，但大量试次不能等同大量独立参与者。若希望推广到人群，独立参与者数量仍然重要。若研究问题是少数人的稳定生理机制，密集测量则可能具有很高价值。需要先确定推断对象。</w:t>
      </w:r>
    </w:p>
    <w:p>
      <w:pPr>
        <w:pStyle w:val="BodyText"/>
      </w:pPr>
      <w:r>
        <w:t xml:space="preserve">小样本中的极大相关尤其值得检查。研究者若筛选了许多脑区，再报告最强一个，它同时包含真实信号和选择带来的上浮。独立验证、预设区域、分层模型和完整报告都能帮助控制这一问题。把最强结果直接当作总体真实效应规划下一项研究，容易继续低估所需样本。</w:t>
      </w:r>
    </w:p>
    <w:bookmarkEnd w:id="1212"/>
    <w:bookmarkStart w:id="1213" w:name="sec-63-8"/>
    <w:p>
      <w:pPr>
        <w:pStyle w:val="Heading3"/>
      </w:pPr>
      <w:r>
        <w:t xml:space="preserve">63.8　因果图能够帮助什么</w:t>
      </w:r>
    </w:p>
    <w:p>
      <w:pPr>
        <w:pStyle w:val="FirstParagraph"/>
      </w:pPr>
      <w:r>
        <w:t xml:space="preserve">因果图把研究者对变量关系的假设公开表达。它可以帮助识别哪些路径需要控制，哪些调整可能阻断目标作用，以及哪些选择变量可能引入偏差。图本身不会提供证据证明箭头正确，箭头需要由时间顺序、机制和其他证据支持；图的价值在于让假设可讨论、可检查，并让不同结构产生不同分析要求</w:t>
      </w:r>
      <w:r>
        <w:rPr>
          <w:vertAlign w:val="superscript"/>
        </w:rPr>
        <w:t xml:space="preserve">[</w:t>
      </w:r>
      <w:hyperlink w:anchor="ref-631">
        <w:r>
          <w:rPr>
            <w:rStyle w:val="Hyperlink"/>
            <w:vertAlign w:val="superscript"/>
          </w:rPr>
          <w:t xml:space="preserve">631</w:t>
        </w:r>
      </w:hyperlink>
      <w:r>
        <w:rPr>
          <w:vertAlign w:val="superscript"/>
        </w:rPr>
        <w:t xml:space="preserve">]</w:t>
      </w:r>
      <w:r>
        <w:t xml:space="preserve">。</w:t>
      </w:r>
    </w:p>
    <w:p>
      <w:pPr>
        <w:pStyle w:val="BodyText"/>
      </w:pPr>
      <w:r>
        <w:t xml:space="preserve">构建因果图时应区分变量的测量时间。治疗前严重度、治疗后的依从性和最终结局具有不同角色；同一变量在不同问题中也可以扮演不同角色，例如基线睡眠可以是混杂因素，治疗后的睡眠也可能是中介。把治疗后变量当作普通基线协变量调整，可能改变估计目标或引入偏差。报告“控制了很多变量”缺少足够信息，必须说明控制理由及其对目标效应的含义。先定义目标，再画出时间明确的结构，能够避免机械调整。</w:t>
      </w:r>
    </w:p>
    <w:p>
      <w:pPr>
        <w:pStyle w:val="BodyText"/>
      </w:pPr>
      <w:r>
        <w:t xml:space="preserve">敏感性分析可以询问：未测混杂需要多强才能解释观察关联，结果对缺失机制有多敏感，替代模型会如何改变估计。它通常提供条件化结论，不能证明所有混杂已经消失。稳健性应跨越有科学理由的假设集合，同时公开哪些合理假设会改变结论。</w:t>
      </w:r>
    </w:p>
    <w:bookmarkEnd w:id="1213"/>
    <w:bookmarkStart w:id="1214" w:name="sec-63-9"/>
    <w:p>
      <w:pPr>
        <w:pStyle w:val="Heading3"/>
      </w:pPr>
      <w:r>
        <w:t xml:space="preserve">63.9　因果效应的三个基本识别条件</w:t>
      </w:r>
    </w:p>
    <w:p>
      <w:pPr>
        <w:pStyle w:val="FirstParagraph"/>
      </w:pPr>
      <w:r>
        <w:t xml:space="preserve">从观察资料估计某种干预效应，通常需要明确的一致性、可交换性和正值性条件。一致性要求所说的干预具有足够清楚的定义，使观察到的处理能够对应目标处理；可交换性要求在已考虑条件下，处理分配与相关潜在结局之间不存在未处理的系统差异；正值性（也称重叠性）要求目标人群的各相关条件下都存在接受每种比较处理的机会</w:t>
      </w:r>
      <w:r>
        <w:rPr>
          <w:vertAlign w:val="superscript"/>
        </w:rPr>
        <w:t xml:space="preserve">[</w:t>
      </w:r>
      <w:hyperlink w:anchor="ref-616">
        <w:r>
          <w:rPr>
            <w:rStyle w:val="Hyperlink"/>
            <w:vertAlign w:val="superscript"/>
          </w:rPr>
          <w:t xml:space="preserve">616</w:t>
        </w:r>
      </w:hyperlink>
      <w:r>
        <w:rPr>
          <w:vertAlign w:val="superscript"/>
        </w:rPr>
        <w:t xml:space="preserve">]</w:t>
      </w:r>
      <w:r>
        <w:t xml:space="preserve">。</w:t>
      </w:r>
    </w:p>
    <w:p>
      <w:pPr>
        <w:pStyle w:val="BodyText"/>
      </w:pPr>
      <w:r>
        <w:t xml:space="preserve">这些条件可以用假设训练研究说明。“参加脑训练”如果包含完全不同的时长、内容和支持方式，就可能没有单一清楚的干预版本。主动选择训练的人若同时更有动机，简单调整年龄不足以保证可比。如果某类严重患者从来不能参加训练，资料也无法直接告诉我们他们参加后的结果。</w:t>
      </w:r>
    </w:p>
    <w:p>
      <w:pPr>
        <w:pStyle w:val="BodyText"/>
      </w:pPr>
      <w:r>
        <w:t xml:space="preserve">条件无法仅靠一个统计软件检验通过。研究需要结合设计、领域知识、资料分布和敏感性分析说明其合理性。模型拟合良好不能证明未测混杂不存在；极大样本也不能自动补出从未观察到的比较。</w:t>
      </w:r>
    </w:p>
    <w:bookmarkEnd w:id="1214"/>
    <w:bookmarkStart w:id="1219" w:name="sec-63-10"/>
    <w:p>
      <w:pPr>
        <w:pStyle w:val="Heading3"/>
      </w:pPr>
      <w:r>
        <w:t xml:space="preserve">63.10　共同原因、中介与碰撞变量</w:t>
      </w:r>
    </w:p>
    <w:p>
      <w:pPr>
        <w:pStyle w:val="FirstParagraph"/>
      </w:pPr>
      <w:r>
        <w:t xml:space="preserve">共同原因同时影响暴露和结果，可能制造混杂。中介处于暴露到结果的路径上，调整它可能移除部分目标作用。碰撞变量同时受到两个变量影响，对它进行条件化可能在原本独立的原因之间引入关联。变量角色由因果结构决定，无法只看相关系数判断</w:t>
      </w:r>
      <w:r>
        <w:rPr>
          <w:vertAlign w:val="superscript"/>
        </w:rPr>
        <w:t xml:space="preserve">[</w:t>
      </w:r>
      <w:hyperlink w:anchor="ref-631">
        <w:r>
          <w:rPr>
            <w:rStyle w:val="Hyperlink"/>
            <w:vertAlign w:val="superscript"/>
          </w:rPr>
          <w:t xml:space="preserve">631</w:t>
        </w:r>
      </w:hyperlink>
      <w:r>
        <w:rPr>
          <w:vertAlign w:val="superscript"/>
        </w:rPr>
        <w:t xml:space="preserve">]</w:t>
      </w:r>
      <w:r>
        <w:t xml:space="preserve">。</w:t>
      </w:r>
    </w:p>
    <w:p>
      <w:pPr>
        <w:pStyle w:val="Figure"/>
      </w:pPr>
      <w:r>
        <w:drawing>
          <wp:inline>
            <wp:extent cx="5334000" cy="2509024"/>
            <wp:effectExtent b="0" l="0" r="0" t="0"/>
            <wp:docPr descr="图D4 共同原因、中介与碰撞点。箭头表示所假设的因果方向。控制共同原因、中介或碰撞点具有不同后果；具体调整集仍需依据目标效应、完整因果结构及识别假设决定。本图仅为概念示意。[D028][D029]" title="" id="1216" name="Picture"/>
            <a:graphic>
              <a:graphicData uri="http://schemas.openxmlformats.org/drawingml/2006/picture">
                <pic:pic>
                  <pic:nvPicPr>
                    <pic:cNvPr descr="/tmp/claude-0/-home-user-i18ns/3184e246-229e-5a65-b6f3-3f7647a222c4/scratchpad/src/B_media/media/image7.png" id="1217" name="Picture"/>
                    <pic:cNvPicPr>
                      <a:picLocks noChangeArrowheads="1" noChangeAspect="1"/>
                    </pic:cNvPicPr>
                  </pic:nvPicPr>
                  <pic:blipFill>
                    <a:blip r:embed="rId1215"/>
                    <a:stretch>
                      <a:fillRect/>
                    </a:stretch>
                  </pic:blipFill>
                  <pic:spPr bwMode="auto">
                    <a:xfrm>
                      <a:off x="0" y="0"/>
                      <a:ext cx="5334000" cy="2509024"/>
                    </a:xfrm>
                    <a:prstGeom prst="rect">
                      <a:avLst/>
                    </a:prstGeom>
                    <a:noFill/>
                    <a:ln w="9525">
                      <a:noFill/>
                      <a:headEnd/>
                      <a:tailEnd/>
                    </a:ln>
                  </pic:spPr>
                </pic:pic>
              </a:graphicData>
            </a:graphic>
          </wp:inline>
        </w:drawing>
      </w:r>
    </w:p>
    <w:p>
      <w:pPr>
        <w:pStyle w:val="ImageCaption"/>
      </w:pPr>
      <w:bookmarkStart w:id="1218" w:name="fig-d4"/>
      <w:bookmarkEnd w:id="1218"/>
      <w:r>
        <w:rPr>
          <w:bCs/>
          <w:b/>
        </w:rPr>
        <w:t xml:space="preserve">图 12　</w:t>
      </w:r>
      <w:r>
        <w:t xml:space="preserve">共同原因、中介与碰撞点。箭头表示所假设的因果方向。控制共同原因、中介或碰撞点具有不同后果；具体调整集仍需依据目标效应、完整因果结构及识别假设决定。本图仅为概念示意</w:t>
      </w:r>
      <w:r>
        <w:rPr>
          <w:vertAlign w:val="superscript"/>
        </w:rPr>
        <w:t xml:space="preserve">[</w:t>
      </w:r>
      <w:hyperlink w:anchor="ref-616">
        <w:r>
          <w:rPr>
            <w:rStyle w:val="Hyperlink"/>
            <w:vertAlign w:val="superscript"/>
          </w:rPr>
          <w:t xml:space="preserve">616</w:t>
        </w:r>
      </w:hyperlink>
      <w:r>
        <w:rPr>
          <w:vertAlign w:val="superscript"/>
        </w:rPr>
        <w:t xml:space="preserve">,</w:t>
      </w:r>
      <w:hyperlink w:anchor="ref-631">
        <w:r>
          <w:rPr>
            <w:rStyle w:val="Hyperlink"/>
            <w:vertAlign w:val="superscript"/>
          </w:rPr>
          <w:t xml:space="preserve">631</w:t>
        </w:r>
      </w:hyperlink>
      <w:r>
        <w:rPr>
          <w:vertAlign w:val="superscript"/>
        </w:rPr>
        <w:t xml:space="preserve">]</w:t>
      </w:r>
      <w:r>
        <w:t xml:space="preserve">。</w:t>
      </w:r>
    </w:p>
    <w:bookmarkEnd w:id="1219"/>
    <w:bookmarkStart w:id="1220" w:name="sec-63-11"/>
    <w:p>
      <w:pPr>
        <w:pStyle w:val="Heading3"/>
      </w:pPr>
      <w:r>
        <w:t xml:space="preserve">63.11　时间变化的混杂与反馈</w:t>
      </w:r>
    </w:p>
    <w:p>
      <w:pPr>
        <w:pStyle w:val="FirstParagraph"/>
      </w:pPr>
      <w:r>
        <w:t xml:space="preserve">长期研究常出现处理与状态相互影响。早期训练改变症状，症状又影响后续训练参与，而后续训练继续影响结局。此时，后续症状既与过去处理有关，又影响未来处理。普通回归中简单加入全部症状记录，可能阻断部分作用并引入其他偏差。</w:t>
      </w:r>
    </w:p>
    <w:p>
      <w:pPr>
        <w:pStyle w:val="BodyText"/>
      </w:pPr>
      <w:r>
        <w:t xml:space="preserve">针对这类结构的因果方法尝试通过建模处理、结局或权重来估计明确策略的效果。它们仍依赖混杂测量、模型和可获得性条件，不能通过方法名称获得无条件因果结论。分析报告应说明目标策略以及每个时点如何处理资料</w:t>
      </w:r>
      <w:r>
        <w:rPr>
          <w:vertAlign w:val="superscript"/>
        </w:rPr>
        <w:t xml:space="preserve">[</w:t>
      </w:r>
      <w:hyperlink w:anchor="ref-633">
        <w:r>
          <w:rPr>
            <w:rStyle w:val="Hyperlink"/>
            <w:vertAlign w:val="superscript"/>
          </w:rPr>
          <w:t xml:space="preserve">633</w:t>
        </w:r>
      </w:hyperlink>
      <w:r>
        <w:rPr>
          <w:vertAlign w:val="superscript"/>
        </w:rPr>
        <w:t xml:space="preserve">]</w:t>
      </w:r>
      <w:r>
        <w:t xml:space="preserve">。</w:t>
      </w:r>
    </w:p>
    <w:bookmarkEnd w:id="1220"/>
    <w:bookmarkStart w:id="1221" w:name="sec-63-12"/>
    <w:p>
      <w:pPr>
        <w:pStyle w:val="Heading3"/>
      </w:pPr>
      <w:r>
        <w:t xml:space="preserve">63.12　个体内关联与个体间关联</w:t>
      </w:r>
    </w:p>
    <w:p>
      <w:pPr>
        <w:pStyle w:val="FirstParagraph"/>
      </w:pPr>
      <w:r>
        <w:t xml:space="preserve">经常运动的人平均记忆较好，属于个体间比较；同一个人在运动更多的阶段记忆是否改善，属于个体内比较。两种关系可能方向相同，也可能不同。群体间差异不能自动代表一个人改变行为后的结果。同样，平均睡得更多的人平均注意表现较好，不能据此精确预测同一个人某晚多睡一小时的效果，因为人与人之间的健康、工作和年龄差异可能参与关联。研究个体内变化，需要在同一个人中反复测量，并处理随时间变化的背景因素。</w:t>
      </w:r>
    </w:p>
    <w:p>
      <w:pPr>
        <w:pStyle w:val="BodyText"/>
      </w:pPr>
      <w:r>
        <w:t xml:space="preserve">即使采用个体内设计，时间变化的健康、睡眠和压力仍可能同时影响运动和记忆。个体固定特征得到部分控制，并不意味着所有混杂都消失。需要根据研究时间结构继续考虑共同变化及反向作用。</w:t>
      </w:r>
    </w:p>
    <w:p>
      <w:pPr>
        <w:pStyle w:val="BodyText"/>
      </w:pPr>
      <w:r>
        <w:t xml:space="preserve">一个假设例子中，身体状态较好的人平时运动更多，认知表现也更好；但同一个人在运动很疲劳的当天测验表现暂时下降。两种结果并不矛盾，它们涉及不同时间尺度和比较对象。解释应保留这些层次。</w:t>
      </w:r>
    </w:p>
    <w:bookmarkEnd w:id="1221"/>
    <w:bookmarkStart w:id="1222" w:name="sec-63-13"/>
    <w:p>
      <w:pPr>
        <w:pStyle w:val="Heading3"/>
      </w:pPr>
      <w:r>
        <w:t xml:space="preserve">63.13　反向因果与疾病前期</w:t>
      </w:r>
    </w:p>
    <w:p>
      <w:pPr>
        <w:pStyle w:val="FirstParagraph"/>
      </w:pPr>
      <w:r>
        <w:t xml:space="preserve">神经退行性过程可能在诊断前多年影响活动、睡眠、社会参与或饮食。观察到某行为与后来诊断相关时，该行为可能是原因、早期表现，或两者都有。排除紧邻诊断的资料可以帮助评估部分反向因果，但无法保证全部疾病前期影响已消失。</w:t>
      </w:r>
    </w:p>
    <w:p>
      <w:pPr>
        <w:pStyle w:val="BodyText"/>
      </w:pPr>
      <w:r>
        <w:t xml:space="preserve">纵向资料、不同起始年龄、重复测量和机制证据能够提供互补约束。若相关只在诊断前很短时间明显，早期表现解释更值得考虑；若长期稳定并符合其他证据，某些因果假说可能更有支持。任何单一模式仍需结合替代解释。</w:t>
      </w:r>
    </w:p>
    <w:p>
      <w:pPr>
        <w:pStyle w:val="BodyText"/>
      </w:pPr>
      <w:r>
        <w:t xml:space="preserve">这种问题对生活方式研究尤其重要。观察关联具有预防假说价值，但实际干预收益应尽量通过适合的试验或更强识别设计评价。统计调整无法自动把疾病早期表现转换成可干预病因。</w:t>
      </w:r>
    </w:p>
    <w:bookmarkEnd w:id="1222"/>
    <w:bookmarkStart w:id="1223" w:name="sec-63-14"/>
    <w:p>
      <w:pPr>
        <w:pStyle w:val="Heading3"/>
      </w:pPr>
      <w:r>
        <w:t xml:space="preserve">63.14　工具变量与遗传工具的条件</w:t>
      </w:r>
    </w:p>
    <w:p>
      <w:pPr>
        <w:pStyle w:val="FirstParagraph"/>
      </w:pPr>
      <w:r>
        <w:t xml:space="preserve">工具变量方法寻找能够影响暴露、同时满足特定排除条件的变量。核心难点包括工具是否足够关联暴露，是否存在共同原因，以及工具是否通过暴露之外的路径影响结果。这些条件需要实质性论证。</w:t>
      </w:r>
    </w:p>
    <w:p>
      <w:pPr>
        <w:pStyle w:val="BodyText"/>
      </w:pPr>
      <w:r>
        <w:t xml:space="preserve">遗传变异有时被用作工具，但基因可以通过多个生物路径作用，群体结构和家族环境也可能影响关联。因此，孟德尔随机化不能仅凭遗传来源就被视为等同随机临床试验。敏感性分析能够检验部分不一致，无法证明所有排除条件成立。</w:t>
      </w:r>
    </w:p>
    <w:p>
      <w:pPr>
        <w:pStyle w:val="BodyText"/>
      </w:pPr>
      <w:r>
        <w:t xml:space="preserve">工具变量所得效应也可能对应特定人群或暴露变化方式。遗传造成的长期微小差异，与成年后短期干预可能不同。解释应说明估计目标，避免将一种暴露版本直接换成另一种治疗方案</w:t>
      </w:r>
      <w:r>
        <w:rPr>
          <w:vertAlign w:val="superscript"/>
        </w:rPr>
        <w:t xml:space="preserve">[</w:t>
      </w:r>
      <w:hyperlink w:anchor="ref-634">
        <w:r>
          <w:rPr>
            <w:rStyle w:val="Hyperlink"/>
            <w:vertAlign w:val="superscript"/>
          </w:rPr>
          <w:t xml:space="preserve">634</w:t>
        </w:r>
      </w:hyperlink>
      <w:r>
        <w:rPr>
          <w:vertAlign w:val="superscript"/>
        </w:rPr>
        <w:t xml:space="preserve">]</w:t>
      </w:r>
      <w:r>
        <w:t xml:space="preserve">。</w:t>
      </w:r>
    </w:p>
    <w:bookmarkEnd w:id="1223"/>
    <w:bookmarkStart w:id="1224" w:name="sec-63-15"/>
    <w:p>
      <w:pPr>
        <w:pStyle w:val="Heading3"/>
      </w:pPr>
      <w:r>
        <w:t xml:space="preserve">63.15　中介问题的不同目标</w:t>
      </w:r>
    </w:p>
    <w:p>
      <w:pPr>
        <w:pStyle w:val="FirstParagraph"/>
      </w:pPr>
      <w:r>
        <w:t xml:space="preserve">研究者可能关心治疗总效应、保持某中介固定时的直接效应，或通过某中介路径传递的作用比例。这些目标需要不同假设。一个简单路径图可以把它们画在一起，但统计识别并不因此相同。</w:t>
      </w:r>
    </w:p>
    <w:p>
      <w:pPr>
        <w:pStyle w:val="BodyText"/>
      </w:pPr>
      <w:r>
        <w:t xml:space="preserve">“中介比例”也可能在总效应很小或不同路径方向相反时难以解释。一个很大的百分比未必意味着该机制占据稳定主导地位。应同时报告各路径的实际大小、方向和不确定性，并说明比例的数学条件。</w:t>
      </w:r>
    </w:p>
    <w:bookmarkEnd w:id="1224"/>
    <w:bookmarkStart w:id="1225" w:name="sec-63-16"/>
    <w:p>
      <w:pPr>
        <w:pStyle w:val="Heading3"/>
      </w:pPr>
      <w:r>
        <w:t xml:space="preserve">63.16　运输与外部适用性</w:t>
      </w:r>
    </w:p>
    <w:p>
      <w:pPr>
        <w:pStyle w:val="FirstParagraph"/>
      </w:pPr>
      <w:r>
        <w:t xml:space="preserve">在某个样本中识别了干预效应，仍需判断它能否适用于另一个人群。年龄、疾病阶段、资源、共同治疗和依从方式都可能改变效应。外部适用性需要识别哪些因素会调节作用，以及目标人群中这些因素如何分布。</w:t>
      </w:r>
    </w:p>
    <w:p>
      <w:pPr>
        <w:pStyle w:val="BodyText"/>
      </w:pPr>
      <w:r>
        <w:t xml:space="preserve">多中心研究能够增加情境范围，同时不同中心可能共享相似入组规则和研究资源。中心数量多并不保证覆盖真实临床的所有关键差异。报告应描述参与者与服务条件，使读者能够判断自己关心的人群是否被代表。</w:t>
      </w:r>
    </w:p>
    <w:p>
      <w:pPr>
        <w:pStyle w:val="BodyText"/>
      </w:pPr>
      <w:r>
        <w:t xml:space="preserve">当目标人群与研究样本在关键条件上几乎没有重叠时，统计外推需要更强模型假设。此时更诚实的结论可以是证据仍缺少直接覆盖。明确缺口有助于规划下一项研究，也避免把不确定性隐藏在复杂模型之后。</w:t>
      </w:r>
    </w:p>
    <w:bookmarkEnd w:id="1225"/>
    <w:bookmarkStart w:id="1226" w:name="sec-63-17"/>
    <w:p>
      <w:pPr>
        <w:pStyle w:val="Heading3"/>
      </w:pPr>
      <w:r>
        <w:t xml:space="preserve">63.17　因果解释与决策信息</w:t>
      </w:r>
    </w:p>
    <w:p>
      <w:pPr>
        <w:pStyle w:val="FirstParagraph"/>
      </w:pPr>
      <w:r>
        <w:t xml:space="preserve">某个因素可以准确预测结果，却无法被有效改变；另一个因素预测作用较小，针对它的干预仍可能产生重要收益。预测重要性与干预价值因此需要分别评价。脑区相关强度、模型特征权重和治疗靶点优先级不能直接互换。</w:t>
      </w:r>
    </w:p>
    <w:p>
      <w:pPr>
        <w:pStyle w:val="BodyText"/>
      </w:pPr>
      <w:r>
        <w:t xml:space="preserve">决策还需要比较可实现的替代方案。证明减少某风险因素可能有益后，仍需知道怎样减少、代价多大、是否产生其他影响以及与现有选择相比如何。因果研究的最终问题应保持足够具体，让证据能够进入行动。</w:t>
      </w:r>
    </w:p>
    <w:p>
      <w:pPr>
        <w:pStyle w:val="BodyText"/>
      </w:pPr>
      <w:r>
        <w:t xml:space="preserve">精确的因果语言有助于保留知识层次：观察到关联、识别某种操作效应、支持特定路径，以及推广到实际策略，属于逐步增加的论证。每一步都可以形成有价值结论，同时明确尚未完成的部分。</w:t>
      </w:r>
    </w:p>
    <w:bookmarkEnd w:id="1226"/>
    <w:bookmarkStart w:id="1228" w:name="sec-63-18"/>
    <w:p>
      <w:pPr>
        <w:pStyle w:val="Heading3"/>
      </w:pPr>
      <w:r>
        <w:t xml:space="preserve">63.18　变量角色与调整的后果</w:t>
      </w:r>
    </w:p>
    <w:p>
      <w:pPr>
        <w:pStyle w:val="FirstParagraph"/>
      </w:pPr>
      <w:r>
        <w:t xml:space="preserve">变量的角色由因果结构和目标效应决定，同一个变量在不同问题中可以承担不同角色。下表仅概括基本情形，实际分析还需考虑未测变量、时间变化、测量误差和选择机制</w:t>
      </w:r>
      <w:r>
        <w:rPr>
          <w:vertAlign w:val="superscript"/>
        </w:rPr>
        <w:t xml:space="preserve">[</w:t>
      </w:r>
      <w:hyperlink w:anchor="ref-616">
        <w:r>
          <w:rPr>
            <w:rStyle w:val="Hyperlink"/>
            <w:vertAlign w:val="superscript"/>
          </w:rPr>
          <w:t xml:space="preserve">616</w:t>
        </w:r>
      </w:hyperlink>
      <w:r>
        <w:rPr>
          <w:vertAlign w:val="superscript"/>
        </w:rPr>
        <w:t xml:space="preserve">,</w:t>
      </w:r>
      <w:hyperlink w:anchor="ref-631">
        <w:r>
          <w:rPr>
            <w:rStyle w:val="Hyperlink"/>
            <w:vertAlign w:val="superscript"/>
          </w:rPr>
          <w:t xml:space="preserve">631</w:t>
        </w:r>
      </w:hyperlink>
      <w:r>
        <w:rPr>
          <w:vertAlign w:val="superscript"/>
        </w:rPr>
        <w:t xml:space="preserve">,</w:t>
      </w:r>
      <w:hyperlink w:anchor="ref-632">
        <w:r>
          <w:rPr>
            <w:rStyle w:val="Hyperlink"/>
            <w:vertAlign w:val="superscript"/>
          </w:rPr>
          <w:t xml:space="preserve">632</w:t>
        </w:r>
      </w:hyperlink>
      <w:r>
        <w:rPr>
          <w:vertAlign w:val="superscript"/>
        </w:rPr>
        <w:t xml:space="preserve">,</w:t>
      </w:r>
      <w:hyperlink w:anchor="ref-633">
        <w:r>
          <w:rPr>
            <w:rStyle w:val="Hyperlink"/>
            <w:vertAlign w:val="superscript"/>
          </w:rPr>
          <w:t xml:space="preserve">633</w:t>
        </w:r>
      </w:hyperlink>
      <w:r>
        <w:rPr>
          <w:vertAlign w:val="superscript"/>
        </w:rPr>
        <w:t xml:space="preserve">,</w:t>
      </w:r>
      <w:hyperlink w:anchor="ref-634">
        <w:r>
          <w:rPr>
            <w:rStyle w:val="Hyperlink"/>
            <w:vertAlign w:val="superscript"/>
          </w:rPr>
          <w:t xml:space="preserve">634</w:t>
        </w:r>
      </w:hyperlink>
      <w:r>
        <w:rPr>
          <w:vertAlign w:val="superscript"/>
        </w:rPr>
        <w:t xml:space="preserve">]</w:t>
      </w:r>
      <w:r>
        <w:t xml:space="preserve">。</w:t>
      </w:r>
    </w:p>
    <w:p>
      <w:pPr>
        <w:pStyle w:val="TableCaption"/>
      </w:pPr>
      <w:bookmarkStart w:id="1227" w:name="tab-variable-roles"/>
      <w:bookmarkEnd w:id="1227"/>
      <w:r>
        <w:rPr>
          <w:bCs/>
          <w:b/>
        </w:rPr>
        <w:t xml:space="preserve">表 21　变量在因果结构中的角色与调整后果</w:t>
      </w:r>
    </w:p>
    <w:tbl>
      <w:tblPr>
        <w:tblStyle w:val="Table"/>
        <w:tblW w:type="pct" w:w="5000"/>
        <w:jc w:val="start"/>
        <w:tblLook w:firstRow="1" w:lastRow="0" w:firstColumn="0" w:lastColumn="0" w:noHBand="0" w:noVBand="0" w:val="0020"/>
      </w:tblPr>
      <w:tblGrid>
        <w:gridCol w:w="1760"/>
        <w:gridCol w:w="2388"/>
        <w:gridCol w:w="3771"/>
      </w:tblGrid>
      <w:tr>
        <w:trPr>
          <w:tblHeader w:val="true"/>
        </w:trPr>
        <w:tc>
          <w:tcPr>
            <w:shd w:val="clear" w:color="auto" w:fill="1F3A5F"/>
          </w:tcPr>
          <w:p>
            <w:pPr>
              <w:jc w:val="left"/>
            </w:pPr>
            <w:r>
              <w:rPr>
                <w:bCs/>
                <w:b/>
                <w:color w:val="FFFFFF"/>
              </w:rPr>
              <w:t xml:space="preserve">变量角色</w:t>
            </w:r>
          </w:p>
        </w:tc>
        <w:tc>
          <w:tcPr>
            <w:shd w:val="clear" w:color="auto" w:fill="1F3A5F"/>
          </w:tcPr>
          <w:p>
            <w:pPr>
              <w:jc w:val="left"/>
            </w:pPr>
            <w:r>
              <w:rPr>
                <w:bCs/>
                <w:b/>
                <w:color w:val="FFFFFF"/>
              </w:rPr>
              <w:t xml:space="preserve">结构中的位置</w:t>
            </w:r>
          </w:p>
        </w:tc>
        <w:tc>
          <w:tcPr>
            <w:shd w:val="clear" w:color="auto" w:fill="1F3A5F"/>
          </w:tcPr>
          <w:p>
            <w:pPr>
              <w:jc w:val="left"/>
            </w:pPr>
            <w:r>
              <w:rPr>
                <w:bCs/>
                <w:b/>
                <w:color w:val="FFFFFF"/>
              </w:rPr>
              <w:t xml:space="preserve">调整或选择时需要考虑的后果</w:t>
            </w:r>
          </w:p>
        </w:tc>
      </w:tr>
      <w:tr>
        <w:tc>
          <w:tcPr/>
          <w:p>
            <w:pPr>
              <w:jc w:val="left"/>
            </w:pPr>
            <w:r>
              <w:t xml:space="preserve">共同原因</w:t>
            </w:r>
          </w:p>
        </w:tc>
        <w:tc>
          <w:tcPr/>
          <w:p>
            <w:pPr>
              <w:jc w:val="left"/>
            </w:pPr>
            <w:r>
              <w:t xml:space="preserve">同时影响暴露与结局</w:t>
            </w:r>
          </w:p>
        </w:tc>
        <w:tc>
          <w:tcPr/>
          <w:p>
            <w:pPr>
              <w:jc w:val="left"/>
            </w:pPr>
            <w:r>
              <w:t xml:space="preserve">合理控制可以关闭相应混杂路径；误测与遗漏仍可能留下偏倚</w:t>
            </w:r>
          </w:p>
        </w:tc>
      </w:tr>
      <w:tr>
        <w:tc>
          <w:tcPr/>
          <w:p>
            <w:pPr>
              <w:jc w:val="left"/>
            </w:pPr>
            <w:r>
              <w:t xml:space="preserve">中介</w:t>
            </w:r>
          </w:p>
        </w:tc>
        <w:tc>
          <w:tcPr/>
          <w:p>
            <w:pPr>
              <w:jc w:val="left"/>
            </w:pPr>
            <w:r>
              <w:t xml:space="preserve">位于暴露影响结局的路径上</w:t>
            </w:r>
          </w:p>
        </w:tc>
        <w:tc>
          <w:tcPr/>
          <w:p>
            <w:pPr>
              <w:jc w:val="left"/>
            </w:pPr>
            <w:r>
              <w:t xml:space="preserve">控制后通常改变所估目标，直接效应还需要额外识别条件</w:t>
            </w:r>
          </w:p>
        </w:tc>
      </w:tr>
      <w:tr>
        <w:tc>
          <w:tcPr/>
          <w:p>
            <w:pPr>
              <w:jc w:val="left"/>
            </w:pPr>
            <w:r>
              <w:t xml:space="preserve">碰撞点</w:t>
            </w:r>
          </w:p>
        </w:tc>
        <w:tc>
          <w:tcPr/>
          <w:p>
            <w:pPr>
              <w:jc w:val="left"/>
            </w:pPr>
            <w:r>
              <w:t xml:space="preserve">同时受到两条路径影响</w:t>
            </w:r>
          </w:p>
        </w:tc>
        <w:tc>
          <w:tcPr/>
          <w:p>
            <w:pPr>
              <w:jc w:val="left"/>
            </w:pPr>
            <w:r>
              <w:t xml:space="preserve">按其取值选择或调整，可能使原来关闭的路径开放</w:t>
            </w:r>
          </w:p>
        </w:tc>
      </w:tr>
      <w:tr>
        <w:tc>
          <w:tcPr/>
          <w:p>
            <w:pPr>
              <w:jc w:val="left"/>
            </w:pPr>
            <w:r>
              <w:t xml:space="preserve">效应修饰变量</w:t>
            </w:r>
          </w:p>
        </w:tc>
        <w:tc>
          <w:tcPr/>
          <w:p>
            <w:pPr>
              <w:jc w:val="left"/>
            </w:pPr>
            <w:r>
              <w:t xml:space="preserve">不同取值下目标效应可能不同</w:t>
            </w:r>
          </w:p>
        </w:tc>
        <w:tc>
          <w:tcPr/>
          <w:p>
            <w:pPr>
              <w:jc w:val="left"/>
            </w:pPr>
            <w:r>
              <w:t xml:space="preserve">需预先说明效应尺度并直接检验差异；一个组显著不足以证明修饰</w:t>
            </w:r>
          </w:p>
        </w:tc>
      </w:tr>
      <w:tr>
        <w:tc>
          <w:tcPr/>
          <w:p>
            <w:pPr>
              <w:jc w:val="left"/>
            </w:pPr>
            <w:r>
              <w:t xml:space="preserve">工具变量</w:t>
            </w:r>
          </w:p>
        </w:tc>
        <w:tc>
          <w:tcPr/>
          <w:p>
            <w:pPr>
              <w:jc w:val="left"/>
            </w:pPr>
            <w:r>
              <w:t xml:space="preserve">通过暴露影响结局且满足特定独立条件</w:t>
            </w:r>
          </w:p>
        </w:tc>
        <w:tc>
          <w:tcPr/>
          <w:p>
            <w:pPr>
              <w:jc w:val="left"/>
            </w:pPr>
            <w:r>
              <w:t xml:space="preserve">排除限制等假设难以仅靠数据完全验证；识别对象可能限于特定人群</w:t>
            </w:r>
          </w:p>
        </w:tc>
      </w:tr>
      <w:tr>
        <w:tc>
          <w:tcPr/>
          <w:p>
            <w:pPr>
              <w:jc w:val="left"/>
            </w:pPr>
            <w:r>
              <w:t xml:space="preserve">受既往处理影响的时间变化混杂</w:t>
            </w:r>
          </w:p>
        </w:tc>
        <w:tc>
          <w:tcPr/>
          <w:p>
            <w:pPr>
              <w:jc w:val="left"/>
            </w:pPr>
            <w:r>
              <w:t xml:space="preserve">既受前期处理影响，又影响后期处理与结局</w:t>
            </w:r>
          </w:p>
        </w:tc>
        <w:tc>
          <w:tcPr/>
          <w:p>
            <w:pPr>
              <w:jc w:val="left"/>
            </w:pPr>
            <w:r>
              <w:t xml:space="preserve">普通同时回归可能不足，应依据纵向结构选择识别与估计方法</w:t>
            </w:r>
          </w:p>
        </w:tc>
      </w:tr>
    </w:tbl>
    <w:bookmarkEnd w:id="1228"/>
    <w:bookmarkStart w:id="1229" w:name="sec-63-19"/>
    <w:p>
      <w:pPr>
        <w:pStyle w:val="Heading3"/>
      </w:pPr>
      <w:r>
        <w:t xml:space="preserve">63.19　假设案例与完整推理</w:t>
      </w:r>
    </w:p>
    <w:p>
      <w:pPr>
        <w:pStyle w:val="FirstParagraph"/>
      </w:pPr>
      <w:r>
        <w:t xml:space="preserve">某研究发现每周运动更多者海马体积更大，记忆成绩更好。候选解释包括运动改善相关生理过程，认知和健康状态影响运动能力，教育和社会资源同时影响两者，以及较健康者更愿意参加扫描。横断面数据不能自动在这些解释中选择。下一步可设计随机运动干预，同时使用匹配社交和期待的主动对照，并记录心肺、睡眠、依从性和认知结局。</w:t>
      </w:r>
    </w:p>
    <w:p>
      <w:pPr>
        <w:pStyle w:val="BodyText"/>
      </w:pPr>
      <w:r>
        <w:t xml:space="preserve">即使随机干预改善记忆，脑体积也同步变化，仍需要谨慎处理“体积中介”主张。MRI体积是宏观指标，可能受到多个组织和生理因素影响。若目标是识别具体细胞机制，应增加适合该层次的实验，或明确把结论保留在宏观测量层次。不同层次的研究可以相互支持，无法相互冒充。</w:t>
      </w:r>
    </w:p>
    <w:p>
      <w:pPr>
        <w:pStyle w:val="BodyText"/>
      </w:pPr>
      <w:r>
        <w:t xml:space="preserve">另一研究只分析坚持训练到最后的人，发现其脑指标和成绩变化很大。如果退出与疲劳、病情或训练无效有关，完成者分析可能高估效果。应报告全部随机参与者的流向，分析不同缺失假设，并明确实际估计的是分配策略、依从者效果还是完成者中的变化。结果漂亮无法补足缺失的反事实。</w:t>
      </w:r>
    </w:p>
    <w:p>
      <w:pPr>
        <w:pStyle w:val="BodyText"/>
      </w:pPr>
      <w:r>
        <w:rPr>
          <w:bCs/>
          <w:b/>
        </w:rPr>
        <w:t xml:space="preserve">本章的结论边界</w:t>
      </w:r>
      <w:r>
        <w:t xml:space="preserve">　可靠相关是重要线索。因果解释还需要明确干预、时间顺序、混杂结构、选择机制和测量误差。能把这些条件逐一检验的研究，比单独增加脑区名称或模型复杂度提供更多可评估的信息</w:t>
      </w:r>
      <w:r>
        <w:rPr>
          <w:vertAlign w:val="superscript"/>
        </w:rPr>
        <w:t xml:space="preserve">[</w:t>
      </w:r>
      <w:hyperlink w:anchor="ref-596">
        <w:r>
          <w:rPr>
            <w:rStyle w:val="Hyperlink"/>
            <w:vertAlign w:val="superscript"/>
          </w:rPr>
          <w:t xml:space="preserve">596</w:t>
        </w:r>
      </w:hyperlink>
      <w:r>
        <w:rPr>
          <w:vertAlign w:val="superscript"/>
        </w:rPr>
        <w:t xml:space="preserve">,</w:t>
      </w:r>
      <w:hyperlink w:anchor="ref-616">
        <w:r>
          <w:rPr>
            <w:rStyle w:val="Hyperlink"/>
            <w:vertAlign w:val="superscript"/>
          </w:rPr>
          <w:t xml:space="preserve">616</w:t>
        </w:r>
      </w:hyperlink>
      <w:r>
        <w:rPr>
          <w:vertAlign w:val="superscript"/>
        </w:rPr>
        <w:t xml:space="preserve">,</w:t>
      </w:r>
      <w:hyperlink w:anchor="ref-631">
        <w:r>
          <w:rPr>
            <w:rStyle w:val="Hyperlink"/>
            <w:vertAlign w:val="superscript"/>
          </w:rPr>
          <w:t xml:space="preserve">631</w:t>
        </w:r>
      </w:hyperlink>
      <w:r>
        <w:rPr>
          <w:vertAlign w:val="superscript"/>
        </w:rPr>
        <w:t xml:space="preserve">]</w:t>
      </w:r>
      <w:r>
        <w:t xml:space="preserve">。</w:t>
      </w:r>
    </w:p>
    <w:bookmarkEnd w:id="1229"/>
    <w:bookmarkEnd w:id="1230"/>
    <w:bookmarkStart w:id="1246" w:name="ch-64"/>
    <w:p>
      <w:pPr>
        <w:pStyle w:val="Heading2"/>
      </w:pPr>
      <w:r>
        <w:t xml:space="preserve">第64章　从脑信号推断心理状态</w:t>
      </w:r>
    </w:p>
    <w:p>
      <w:pPr>
        <w:pStyle w:val="CalloutJudgment"/>
      </w:pPr>
      <w:r>
        <w:rPr>
          <w:bCs/>
          <w:b/>
        </w:rPr>
        <w:t xml:space="preserve">核心判断与置信度</w:t>
      </w:r>
      <w:r>
        <w:t xml:space="preserve">　某区域在一种心理任务中经常响应，不能单独确定一次响应意味着什么。经过独立验证的多变量模型可以提取部分心理信息。两类论断的证据要求不同；关于选择性、基率和泛化必要性的判断，置信度高</w:t>
      </w:r>
      <w:r>
        <w:rPr>
          <w:vertAlign w:val="superscript"/>
        </w:rPr>
        <w:t xml:space="preserve">[</w:t>
      </w:r>
      <w:hyperlink w:anchor="ref-584">
        <w:r>
          <w:rPr>
            <w:rStyle w:val="Hyperlink"/>
            <w:vertAlign w:val="superscript"/>
          </w:rPr>
          <w:t xml:space="preserve">584</w:t>
        </w:r>
      </w:hyperlink>
      <w:r>
        <w:rPr>
          <w:vertAlign w:val="superscript"/>
        </w:rPr>
        <w:t xml:space="preserve">,</w:t>
      </w:r>
      <w:hyperlink w:anchor="ref-635">
        <w:r>
          <w:rPr>
            <w:rStyle w:val="Hyperlink"/>
            <w:vertAlign w:val="superscript"/>
          </w:rPr>
          <w:t xml:space="preserve">635</w:t>
        </w:r>
      </w:hyperlink>
      <w:r>
        <w:rPr>
          <w:vertAlign w:val="superscript"/>
        </w:rPr>
        <w:t xml:space="preserve">,</w:t>
      </w:r>
      <w:hyperlink w:anchor="ref-636">
        <w:r>
          <w:rPr>
            <w:rStyle w:val="Hyperlink"/>
            <w:vertAlign w:val="superscript"/>
          </w:rPr>
          <w:t xml:space="preserve">636</w:t>
        </w:r>
      </w:hyperlink>
      <w:r>
        <w:rPr>
          <w:vertAlign w:val="superscript"/>
        </w:rPr>
        <w:t xml:space="preserve">]</w:t>
      </w:r>
      <w:r>
        <w:t xml:space="preserve">。</w:t>
      </w:r>
    </w:p>
    <w:bookmarkStart w:id="1231" w:name="sec-64-1"/>
    <w:p>
      <w:pPr>
        <w:pStyle w:val="Heading3"/>
      </w:pPr>
      <w:r>
        <w:t xml:space="preserve">64.1　条件概率必须保持方向</w:t>
      </w:r>
    </w:p>
    <w:p>
      <w:pPr>
        <w:pStyle w:val="FirstParagraph"/>
      </w:pPr>
      <w:r>
        <w:t xml:space="preserve">“恐惧时某区容易响应”给出的是在恐惧条件下观察信号的概率。“观察到信号时，此人有多大概率恐惧”需要同时知道其他状态产生相同信号的概率，以及在目标场景中恐惧出现的频率。把两者当作同一个数，会制造看似确定的读心结果。许多心理过程共享注意、唤醒、任务难度和记忆成分，同一脑区因此可能出现在多种任务中。</w:t>
      </w:r>
    </w:p>
    <w:p>
      <w:pPr>
        <w:pStyle w:val="BodyText"/>
      </w:pPr>
      <w:r>
        <w:t xml:space="preserve">下面的数字完全是假设教学数据。1000次情境中，100次存在目标状态，900次不存在。检测在目标状态中有80次阳性，在其余状态中有180次阳性。所有阳性共260次，其中80次来自目标状态，阳性预测值约30.8%。检测对目标状态相当敏感，却仍然经常出现另一种解释。准确理解这一结果，需要同时观察真阳性和假阳性的来源。</w:t>
      </w:r>
    </w:p>
    <w:p>
      <w:pPr>
        <w:pStyle w:val="BodyText"/>
      </w:pPr>
      <w:r>
        <w:t xml:space="preserve">若把检测用于目标状态更常见的情境，例如一半时刻都存在目标状态，并暂时假定敏感度80%、特异度80%保持不变，那么1000次中会出现400次真阳性与100次假阳性，阳性预测值变为80%。同一技术的结果因应用场景而改变。现实中性能本身也可能随情境变化，因此仅替换基率还是一种简化。</w:t>
      </w:r>
    </w:p>
    <w:p>
      <w:pPr>
        <w:pStyle w:val="BodyText"/>
      </w:pPr>
      <w:r>
        <w:t xml:space="preserve">基率不能从研究者选择的病例对照比例直接推回社会中的真实比例。一项研究刻意选100名患者和100名健康人，病例比例为50%是抽样设计的结果。临床筛查对象的患病比例可能不同，共病及相似疾病也更常见。把研究中的阳性预测值直接写进商业广告，可能夸大真实使用价值。</w:t>
      </w:r>
    </w:p>
    <w:bookmarkEnd w:id="1231"/>
    <w:bookmarkStart w:id="1232" w:name="sec-64-2"/>
    <w:p>
      <w:pPr>
        <w:pStyle w:val="Heading3"/>
      </w:pPr>
      <w:r>
        <w:t xml:space="preserve">64.2　逆向推断何时有意义</w:t>
      </w:r>
    </w:p>
    <w:p>
      <w:pPr>
        <w:pStyle w:val="FirstParagraph"/>
      </w:pPr>
      <w:r>
        <w:t xml:space="preserve">Poldrack提出的关键方法问题是选择性：若一个区域在很多不同任务中都响应，某次响应对特定过程提供的额外证据便有限。数据库和贝叶斯分析可以帮助估计这种额外支持，但数据库收录的任务分布、发表偏倚和概念标签也影响结果。逆向推断可以作为有条件的概率推理；它需要公开其前提</w:t>
      </w:r>
      <w:r>
        <w:rPr>
          <w:vertAlign w:val="superscript"/>
        </w:rPr>
        <w:t xml:space="preserve">[</w:t>
      </w:r>
      <w:hyperlink w:anchor="ref-584">
        <w:r>
          <w:rPr>
            <w:rStyle w:val="Hyperlink"/>
            <w:vertAlign w:val="superscript"/>
          </w:rPr>
          <w:t xml:space="preserve">584</w:t>
        </w:r>
      </w:hyperlink>
      <w:r>
        <w:rPr>
          <w:vertAlign w:val="superscript"/>
        </w:rPr>
        <w:t xml:space="preserve">]</w:t>
      </w:r>
      <w:r>
        <w:t xml:space="preserve">。</w:t>
      </w:r>
    </w:p>
    <w:p>
      <w:pPr>
        <w:pStyle w:val="BodyText"/>
      </w:pPr>
      <w:r>
        <w:t xml:space="preserve">一个良好的心理状态推断，通常同时依靠实验操纵、行为表现、自我报告、刺激特征和神经数据。若多种资料指向同一解释，且竞争解释有不同预测，可信度可以提高。仅添加一个脑区名称却不改变任何预测，不会使推断更加充分。</w:t>
      </w:r>
    </w:p>
    <w:p>
      <w:pPr>
        <w:pStyle w:val="BodyText"/>
      </w:pPr>
      <w:r>
        <w:t xml:space="preserve">选择性也有尺度差异。某个较大脑区可能参与多种任务，其中不同细胞群或空间模式却包含可区分信息。两个条件可以具有相同的区域平均信号，却在内部空间模式上不同；单变量平均信号看不出差异，不代表所有分布式信息都相同。相反，一个分类器能够区分两种条件，也不能证明整个区域专门负责该区分。模型可能依靠伴随变量，例如刺激亮度、运动反应或任务难度；模式差异也可能由细微运动、生理变化或采集条件造成。</w:t>
      </w:r>
    </w:p>
    <w:bookmarkEnd w:id="1232"/>
    <w:bookmarkStart w:id="1233" w:name="sec-64-3"/>
    <w:p>
      <w:pPr>
        <w:pStyle w:val="Heading3"/>
      </w:pPr>
      <w:r>
        <w:t xml:space="preserve">64.3　编码与解码的两个方向</w:t>
      </w:r>
    </w:p>
    <w:p>
      <w:pPr>
        <w:pStyle w:val="FirstParagraph"/>
      </w:pPr>
      <w:r>
        <w:t xml:space="preserve">编码模型以刺激或任务特征预测脑反应，解码模型以脑数据预测外部标签、刺激内容或报告。两者都可用于检验定量关系，但目的和错误结构不同。编码成功说明选定特征能够解释一部分神经变化；解码成功说明数据中含有可供模型利用的统计信息。任何一个方向都需要在未参与拟合的数据上评价。</w:t>
      </w:r>
    </w:p>
    <w:p>
      <w:pPr>
        <w:pStyle w:val="BodyText"/>
      </w:pPr>
      <w:r>
        <w:t xml:space="preserve">所谓“未参与拟合”应覆盖所有影响模型的步骤。特征选择、标准化参数、降维、超参数选择和阈值调整都属于学习流程。若先用全部数据挑选与标签最相关的体素，再把数据分成训练与测试，测试集已经影响了模型。即使最后分类器只在训练集拟合，仍然存在信息泄漏。</w:t>
      </w:r>
    </w:p>
    <w:p>
      <w:pPr>
        <w:pStyle w:val="BodyText"/>
      </w:pPr>
      <w:r>
        <w:t xml:space="preserve">重复扫描带来另一种隐蔽泄漏。一个人贡献多次扫描，如果扫描随机分到不同集合，模型可能识别个体特征，再利用这个人的诊断标签完成分类。对新扫描有效与对新参与者有效具有不同含义。目标是新患者时，应按参与者划分；目标是新医院时，应进一步采用独立中心检验；目标是未来时间时，还需要时间外验证。</w:t>
      </w:r>
    </w:p>
    <w:bookmarkEnd w:id="1233"/>
    <w:bookmarkStart w:id="1234" w:name="sec-64-4"/>
    <w:p>
      <w:pPr>
        <w:pStyle w:val="Heading3"/>
      </w:pPr>
      <w:r>
        <w:t xml:space="preserve">64.4　语言解码的真实进展</w:t>
      </w:r>
    </w:p>
    <w:p>
      <w:pPr>
        <w:pStyle w:val="FirstParagraph"/>
      </w:pPr>
      <w:r>
        <w:t xml:space="preserve">Tang等2023年在3名参与者中使用约16小时听故事期间的fMRI数据建立个体模型，再重建未见材料的部分语义。结果包含实质信息，同时受到个体训练、配合和模型先验的约束。输出与原句意义相近的情况，不等于逐字提取原始想法</w:t>
      </w:r>
      <w:r>
        <w:rPr>
          <w:vertAlign w:val="superscript"/>
        </w:rPr>
        <w:t xml:space="preserve">[</w:t>
      </w:r>
      <w:hyperlink w:anchor="ref-635">
        <w:r>
          <w:rPr>
            <w:rStyle w:val="Hyperlink"/>
            <w:vertAlign w:val="superscript"/>
          </w:rPr>
          <w:t xml:space="preserve">635</w:t>
        </w:r>
      </w:hyperlink>
      <w:r>
        <w:rPr>
          <w:vertAlign w:val="superscript"/>
        </w:rPr>
        <w:t xml:space="preserve">]</w:t>
      </w:r>
      <w:r>
        <w:t xml:space="preserve">。</w:t>
      </w:r>
    </w:p>
    <w:p>
      <w:pPr>
        <w:pStyle w:val="BodyText"/>
      </w:pPr>
      <w:r>
        <w:t xml:space="preserve">Tang与Huth在2025年利用功能对齐，把参考参与者的解码器转移到目标参与者；对齐材料可以包含没有语言内容的影片。这一进展缩小了对目标参与者语言训练资料的依赖。因此，某篇早期论文的训练时长不应被写成永久技术门槛。不过，功能对齐仍需要目标参与者配合采集一定量的脑数据；称为跨人模型，并不自动意味着新用户完全无需校准。阅读这类结果时，需要明确对齐是否使用了目标人的资料、使用多少以及包含哪些任务。跨人转移的结果仍需要按所测对象、任务和评价指标理解，不能推广为对任何人所有思想的无条件读取</w:t>
      </w:r>
      <w:r>
        <w:rPr>
          <w:vertAlign w:val="superscript"/>
        </w:rPr>
        <w:t xml:space="preserve">[</w:t>
      </w:r>
      <w:hyperlink w:anchor="ref-636">
        <w:r>
          <w:rPr>
            <w:rStyle w:val="Hyperlink"/>
            <w:vertAlign w:val="superscript"/>
          </w:rPr>
          <w:t xml:space="preserve">636</w:t>
        </w:r>
      </w:hyperlink>
      <w:r>
        <w:rPr>
          <w:vertAlign w:val="superscript"/>
        </w:rPr>
        <w:t xml:space="preserve">]</w:t>
      </w:r>
      <w:r>
        <w:t xml:space="preserve">。</w:t>
      </w:r>
    </w:p>
    <w:p>
      <w:pPr>
        <w:pStyle w:val="BodyText"/>
      </w:pPr>
      <w:r>
        <w:t xml:space="preserve">两个研究之间更值得学习的是问题如何被分解。研究者先建立信号与语义特征的统计关系，再研究这种关系有多少跨人共享，最后检验如何把共享结构用于资料较少的人。每一步都有可失败的预测。单纯说“AI会读心”则把训练、对齐、解码和语言生成的贡献压缩成一个不透明词语。</w:t>
      </w:r>
    </w:p>
    <w:bookmarkEnd w:id="1234"/>
    <w:bookmarkStart w:id="1235" w:name="sec-64-5"/>
    <w:p>
      <w:pPr>
        <w:pStyle w:val="Heading3"/>
      </w:pPr>
      <w:r>
        <w:t xml:space="preserve">64.5　语言模型先验怎样影响输出</w:t>
      </w:r>
    </w:p>
    <w:p>
      <w:pPr>
        <w:pStyle w:val="FirstParagraph"/>
      </w:pPr>
      <w:r>
        <w:t xml:space="preserve">假设脑数据只支持“某人未完成某项资格”的宽泛意义。语言模型可能生成“她还没有拿到证书”，也可能生成“他尚未取得驾驶资格”。句子通顺来自语言统计约束；人物、物品和细节的正确程度必须分别检验。流畅性可提高可读性，却不能作为真实性指标。</w:t>
      </w:r>
    </w:p>
    <w:p>
      <w:pPr>
        <w:pStyle w:val="BodyText"/>
      </w:pPr>
      <w:r>
        <w:t xml:space="preserve">因此，应比较至少三种条件：完整脑信号模型、只保留语言先验和任务提示的模型，以及打乱或替换脑信号的模型。替换脑信号时应保留合理的时间与噪声结构，避免制造过于容易的对照。如果后两者已经能生成看似合理的内容，完整模型的价值就需要体现在对真实目标的额外恢复上。评价还应包含未见话题、不同语言和异常内容，因为模型先验最容易把少见但真实的内容改写为常见叙事。</w:t>
      </w:r>
    </w:p>
    <w:p>
      <w:pPr>
        <w:pStyle w:val="BodyText"/>
      </w:pPr>
      <w:r>
        <w:t xml:space="preserve">语言重建可以在字词、句法、语义或整体情境层面评价。语义相似度、逐字准确率、关键词恢复和人类评审各有用途，研究应同时说明评价标准与候选内容空间。输出与原文意思相近，未必逐字准确；逐字匹配较高，也可能由重复固定句式造成；用完全不同词语表达相同意图的输出，逐词指标可能较差。一个指标高分，还可能忽略否定、身份、时间顺序或因果关系的错误。例如，“此人没有实施行为”与“此人实施了行为”在词汇上高度相似，实际意义差异却很大。多种指标与人工盲评可以互补，人工评价本身也需要可靠性检验。涉及医疗、法律或个人意图时，必须单独评估这类高代价错误。</w:t>
      </w:r>
    </w:p>
    <w:bookmarkEnd w:id="1235"/>
    <w:bookmarkStart w:id="1236" w:name="sec-64-6"/>
    <w:p>
      <w:pPr>
        <w:pStyle w:val="Heading3"/>
      </w:pPr>
      <w:r>
        <w:t xml:space="preserve">64.6　预测信息与机制信息</w:t>
      </w:r>
    </w:p>
    <w:p>
      <w:pPr>
        <w:pStyle w:val="FirstParagraph"/>
      </w:pPr>
      <w:r>
        <w:t xml:space="preserve">模型能从某区域的信号预测任务，并不自动证明该区域独自执行任务。信号可能来自输入、输出、共同原因或任务伴随反应。一个训练有素的模型甚至可以从眼动、心率或肌电中推断实验条件。预测有效说明存在可利用信息；机制定位需要干预、时序及竞争模型等额外约束。</w:t>
      </w:r>
    </w:p>
    <w:p>
      <w:pPr>
        <w:pStyle w:val="BodyText"/>
      </w:pPr>
      <w:r>
        <w:t xml:space="preserve">模型权重也不能直接当作神经重要性地图。高度相关的特征会相互分配权重，某个特征的权重大小取决于其他特征是否纳入、是否正则化及如何缩放。若两个区域提供相近信息，模型可以在它们之间分配不同权重而保持相似预测；一个特征获得大权重，也可能只因为它帮助抵消其他特征的噪声。较小的权重则可能出现在包含大量相关信息的区域。模型参数不稳定，未必意味着总体预测不稳定；预测稳定也不能保证权重具有唯一机制含义。删除特征后性能变化同样需要谨慎解释，因为模型是否重训、删除是否造成分布异常，都会影响结果。解释权重需要结合特征协方差、预处理和模型形式，并在独立数据中检验。预测工具、表征描述和因果机制应分别评价</w:t>
      </w:r>
      <w:r>
        <w:rPr>
          <w:vertAlign w:val="superscript"/>
        </w:rPr>
        <w:t xml:space="preserve">[</w:t>
      </w:r>
      <w:hyperlink w:anchor="ref-584">
        <w:r>
          <w:rPr>
            <w:rStyle w:val="Hyperlink"/>
            <w:vertAlign w:val="superscript"/>
          </w:rPr>
          <w:t xml:space="preserve">584</w:t>
        </w:r>
      </w:hyperlink>
      <w:r>
        <w:rPr>
          <w:vertAlign w:val="superscript"/>
        </w:rPr>
        <w:t xml:space="preserve">,</w:t>
      </w:r>
      <w:hyperlink w:anchor="ref-637">
        <w:r>
          <w:rPr>
            <w:rStyle w:val="Hyperlink"/>
            <w:vertAlign w:val="superscript"/>
          </w:rPr>
          <w:t xml:space="preserve">637</w:t>
        </w:r>
      </w:hyperlink>
      <w:r>
        <w:rPr>
          <w:vertAlign w:val="superscript"/>
        </w:rPr>
        <w:t xml:space="preserve">]</w:t>
      </w:r>
      <w:r>
        <w:t xml:space="preserve">。</w:t>
      </w:r>
    </w:p>
    <w:p>
      <w:pPr>
        <w:pStyle w:val="BodyText"/>
      </w:pPr>
      <w:r>
        <w:t xml:space="preserve">一个较强的机制主张应承担更具体的预测。例如，某种表征在任务阶段甲出现，干扰该阶段会选择性损害某项行为，而对匹配难度的控制任务影响较小。即使观察到这种模式，也要检查刺激传播、非特异觉醒和补偿策略。因果解释通常需要多种有不同偏倚的方法形成一致约束。</w:t>
      </w:r>
    </w:p>
    <w:bookmarkEnd w:id="1236"/>
    <w:bookmarkStart w:id="1237" w:name="sec-64-7"/>
    <w:p>
      <w:pPr>
        <w:pStyle w:val="Heading3"/>
      </w:pPr>
      <w:r>
        <w:t xml:space="preserve">64.7　神经测谎与现实场景</w:t>
      </w:r>
    </w:p>
    <w:p>
      <w:pPr>
        <w:pStyle w:val="FirstParagraph"/>
      </w:pPr>
      <w:r>
        <w:t xml:space="preserve">实验室常让参与者按要求对已知事实说真话或说谎。这可以研究特定指令下的控制、记忆及冲突加工，但现实说谎可能伴随恐惧、熟练脚本、误记、自我欺骗、动机差异和反制行为。任务中的标签干净，不代表现实中的真相已知。应用到司法等场景时，标签本身的可靠性是额外难题。</w:t>
      </w:r>
    </w:p>
    <w:p>
      <w:pPr>
        <w:pStyle w:val="BodyText"/>
      </w:pPr>
      <w:r>
        <w:t xml:space="preserve">任何声称能识别谎言的工具都应报告对无辜者的错误、对有罪者的漏检、无结论比例及针对反制的稳健性。只报整体准确率容易隐藏少数类错误。研究还需要明确是在识别任务指令、已知信息、紧张程度还是故意欺骗。不同目标之间不能仅凭同一张脑图互换。</w:t>
      </w:r>
    </w:p>
    <w:p>
      <w:pPr>
        <w:pStyle w:val="BodyText"/>
      </w:pPr>
      <w:r>
        <w:t xml:space="preserve">是否允许某种检测进入司法，还涉及证据规则、知情同意和错误代价等价值与制度判断。神经科学可以估计性能和局限，无法单独决定社会应接受怎样的风险。这一层应与关于仪器准确度的事实争论分开处理。</w:t>
      </w:r>
    </w:p>
    <w:bookmarkEnd w:id="1237"/>
    <w:bookmarkStart w:id="1238" w:name="sec-64-8"/>
    <w:p>
      <w:pPr>
        <w:pStyle w:val="Heading3"/>
      </w:pPr>
      <w:r>
        <w:t xml:space="preserve">64.8　一个分类标签怎样形成</w:t>
      </w:r>
    </w:p>
    <w:p>
      <w:pPr>
        <w:pStyle w:val="FirstParagraph"/>
      </w:pPr>
      <w:r>
        <w:t xml:space="preserve">心理分类器首先需要训练标签。标签可能来自实验指令、行为回答、临床诊断或自我报告，每一种都具有测量误差和概念限制。模型如果学习到标签，最直接的成功是预测这个操作化目标；是否预测更广泛心理构念，需要额外验证。</w:t>
      </w:r>
    </w:p>
    <w:p>
      <w:pPr>
        <w:pStyle w:val="BodyText"/>
      </w:pPr>
      <w:r>
        <w:t xml:space="preserve">假设训练任务把看到威胁图片的试次标为恐惧，把看到中性图片的试次标为无恐惧。模型可能利用视觉差异、唤醒、注意或任务难度进行分类。即使分类成功，也需要用物理特征相近、主观体验不同的条件，检验它是否真正追踪所声称的体验。</w:t>
      </w:r>
    </w:p>
    <w:p>
      <w:pPr>
        <w:pStyle w:val="BodyText"/>
      </w:pPr>
      <w:r>
        <w:t xml:space="preserve">标签误差还可能与群体系统关联。不同文化、语言或年龄的人对同一量表项目具有不同理解，模型可能学习这种测量差异。跨人群使用时，应先检查构念与测量是否可比。算法公平性问题常从标签定义阶段就已经出现。</w:t>
      </w:r>
    </w:p>
    <w:bookmarkEnd w:id="1238"/>
    <w:bookmarkStart w:id="1239" w:name="sec-64-9"/>
    <w:p>
      <w:pPr>
        <w:pStyle w:val="Heading3"/>
      </w:pPr>
      <w:r>
        <w:t xml:space="preserve">64.9　多变量模式分析的检验</w:t>
      </w:r>
    </w:p>
    <w:p>
      <w:pPr>
        <w:pStyle w:val="FirstParagraph"/>
      </w:pPr>
      <w:r>
        <w:t xml:space="preserve">多变量模型利用区域内部的空间模式时，研究应检查它是否利用了目标相关神经信息。可以比较有理由的替代特征、控制潜在混杂、改变任务条件，并检验跨运行或跨会话泛化。模型在同一采集条件中表现好，仍可能依赖环境稳定性。</w:t>
      </w:r>
    </w:p>
    <w:p>
      <w:pPr>
        <w:pStyle w:val="BodyText"/>
      </w:pPr>
      <w:r>
        <w:t xml:space="preserve">分类失败也具有有限含义。它可以来自信息不足、噪声、标签不可靠、模型家族不合适或样本不足。要声称某区域不含任何目标信息，需要比一个分类器未达阈值更强的证据。阴性结果应与可排除的效果范围和模型范围一起报告。</w:t>
      </w:r>
    </w:p>
    <w:bookmarkEnd w:id="1239"/>
    <w:bookmarkStart w:id="1240" w:name="sec-64-10"/>
    <w:p>
      <w:pPr>
        <w:pStyle w:val="Heading3"/>
      </w:pPr>
      <w:r>
        <w:t xml:space="preserve">64.10　训练与测试的真实距离</w:t>
      </w:r>
    </w:p>
    <w:p>
      <w:pPr>
        <w:pStyle w:val="FirstParagraph"/>
      </w:pPr>
      <w:r>
        <w:t xml:space="preserve">留出部分试次并不总能形成充分独立的测试。相邻时间点共享慢变化，同一故事片段共享语义上下文，同一个人跨运行共享稳定特征。模型可能利用这些依赖获得较高分数。测试划分应与声称的泛化范围匹配。</w:t>
      </w:r>
    </w:p>
    <w:p>
      <w:pPr>
        <w:pStyle w:val="BodyText"/>
      </w:pPr>
      <w:r>
        <w:t xml:space="preserve">若主张跨新故事泛化，应避免训练与测试出现高度相似片段；若主张跨人泛化，应在未参与训练的人身上评价；若主张跨设备使用，还需检验设备和流程变化。每扩大一层适用范围，都增加一组需要验证的条件。</w:t>
      </w:r>
    </w:p>
    <w:bookmarkEnd w:id="1240"/>
    <w:bookmarkStart w:id="1241" w:name="sec-64-11"/>
    <w:p>
      <w:pPr>
        <w:pStyle w:val="Heading3"/>
      </w:pPr>
      <w:r>
        <w:t xml:space="preserve">64.11　表征与行为之间的联系</w:t>
      </w:r>
    </w:p>
    <w:p>
      <w:pPr>
        <w:pStyle w:val="FirstParagraph"/>
      </w:pPr>
      <w:r>
        <w:t xml:space="preserve">神经信号能够解码某刺激特征，说明测量中存在与该特征有关的信息。系统实际决策是否使用这部分信息，仍需行为或干预证据。某些可解码信息可能只是输入留下的伴随痕迹。</w:t>
      </w:r>
    </w:p>
    <w:p>
      <w:pPr>
        <w:pStyle w:val="BodyText"/>
      </w:pPr>
      <w:r>
        <w:t xml:space="preserve">可以通过改变任务相关性来检验这一点。同一特征在一个任务中决定答案，在另一个任务中无关；如果神经模式持续存在，但与选择的关系改变，就能帮助分离感觉表征和决策读取。进一步操控相关活动，可以检验信息是否对行为具有因果贡献。</w:t>
      </w:r>
    </w:p>
    <w:p>
      <w:pPr>
        <w:pStyle w:val="BodyText"/>
      </w:pPr>
      <w:r>
        <w:t xml:space="preserve">神经解码的时间过程也需要结合测量转换。较早出现的可解码信息可能反映快速输入，较晚信息可能混合记忆与反应准备。若两种测量具有不同生理响应速度，不能直接比较它们的峰值时间来排列计算顺序。</w:t>
      </w:r>
    </w:p>
    <w:bookmarkEnd w:id="1241"/>
    <w:bookmarkStart w:id="1242" w:name="sec-64-12"/>
    <w:p>
      <w:pPr>
        <w:pStyle w:val="Heading3"/>
      </w:pPr>
      <w:r>
        <w:t xml:space="preserve">64.12　多个心理过程共享同一信号</w:t>
      </w:r>
    </w:p>
    <w:p>
      <w:pPr>
        <w:pStyle w:val="FirstParagraph"/>
      </w:pPr>
      <w:r>
        <w:t xml:space="preserve">同一个脑模式可能在注意、唤醒、困难、疼痛或情绪任务中共同变化。这种共享可以揭示一般过程，也可能降低对单一心理标签的特异性。命名应尽量贴近跨任务验证结果，避免把首次发现情境永久写成唯一功能。</w:t>
      </w:r>
    </w:p>
    <w:p>
      <w:pPr>
        <w:pStyle w:val="BodyText"/>
      </w:pPr>
      <w:r>
        <w:t xml:space="preserve">特异性检验需要选择有挑战性的对照。与休息状态容易区分的模式，面对具有相似唤醒和动作需求的另一状态时可能表现较差。只有在合理竞争状态中进行比较，才能判断某标志对目标构念增加了多少信息。</w:t>
      </w:r>
    </w:p>
    <w:bookmarkEnd w:id="1242"/>
    <w:bookmarkStart w:id="1243" w:name="sec-64-13"/>
    <w:p>
      <w:pPr>
        <w:pStyle w:val="Heading3"/>
      </w:pPr>
      <w:r>
        <w:t xml:space="preserve">64.13　神经隐私的能力边界与实际风险</w:t>
      </w:r>
    </w:p>
    <w:p>
      <w:pPr>
        <w:pStyle w:val="FirstParagraph"/>
      </w:pPr>
      <w:r>
        <w:t xml:space="preserve">目前的解码能力通常依赖特定设备、训练、合作或校准条件。公开这些条件有助于避免夸大，同时也不能据此忽略隐私。有限信息仍可能涉及健康、偏好或身份，未来算法也可能从同一资料提取新的关系。</w:t>
      </w:r>
    </w:p>
    <w:p>
      <w:pPr>
        <w:pStyle w:val="BodyText"/>
      </w:pPr>
      <w:r>
        <w:t xml:space="preserve">隐私评价应考虑数据生命周期：采集时的授权、模型训练中的用途、输出的访问权限，以及后来与其他资料连接的可能。一个系统今天只能预测有限标签，保存原始资料后可能出现新的推断用途。因此，能力限制与数据治理需要同时讨论。</w:t>
      </w:r>
    </w:p>
    <w:p>
      <w:pPr>
        <w:pStyle w:val="BodyText"/>
      </w:pPr>
      <w:r>
        <w:t xml:space="preserve">使用者抵制、注意转移或任务策略改变，可能影响某些解码系统表现。这类现象说明模型依赖具体状态与合作条件；它们无法被简单推广为所有技术的可靠防护。研究需要分别测试技术能力与用户控制机制。</w:t>
      </w:r>
    </w:p>
    <w:bookmarkEnd w:id="1243"/>
    <w:bookmarkStart w:id="1244" w:name="sec-64-14"/>
    <w:p>
      <w:pPr>
        <w:pStyle w:val="Heading3"/>
      </w:pPr>
      <w:r>
        <w:t xml:space="preserve">64.14　从解码演示到可依赖结论</w:t>
      </w:r>
    </w:p>
    <w:p>
      <w:pPr>
        <w:pStyle w:val="FirstParagraph"/>
      </w:pPr>
      <w:r>
        <w:t xml:space="preserve">一项有说服力的解码演示应明确目标、标签、训练资料、测试范围、机会水平及误差类型。进一步用于科学解释，需要比较竞争机制；用于实际决策，需要评价真实场景、纠错、风险和用户收益。每一阶段都有独立证据要求。</w:t>
      </w:r>
    </w:p>
    <w:p>
      <w:pPr>
        <w:pStyle w:val="BodyText"/>
      </w:pPr>
      <w:r>
        <w:t xml:space="preserve">准确的表述应让读者知道系统识别的是哪些经过训练的状态、在什么条件下、以怎样的不确定性完成。这样的限定可以充分承认技术突破，并为下一步独立验证提供清晰目标。</w:t>
      </w:r>
    </w:p>
    <w:bookmarkEnd w:id="1244"/>
    <w:bookmarkStart w:id="1245" w:name="sec-64-15"/>
    <w:p>
      <w:pPr>
        <w:pStyle w:val="Heading3"/>
      </w:pPr>
      <w:r>
        <w:t xml:space="preserve">64.15　假设案例与分析答案</w:t>
      </w:r>
    </w:p>
    <w:p>
      <w:pPr>
        <w:pStyle w:val="FirstParagraph"/>
      </w:pPr>
      <w:r>
        <w:t xml:space="preserve">某创业团队报告分类器在200份扫描中准确率90%。进一步检查发现每位参与者有10份扫描，共20人，诊断标签在人内保持不变。训练与测试按扫描随机切分。此时有效独立人数是20，测试可能识别了已见个体。下一步应按人切分并在新群体复现；原先的90%不能直接用来承诺新患者性能。</w:t>
      </w:r>
    </w:p>
    <w:p>
      <w:pPr>
        <w:pStyle w:val="BodyText"/>
      </w:pPr>
      <w:r>
        <w:t xml:space="preserve">另一个团队在100个候选模型中选择测试集表现最高者，然后公布其测试准确率。这个测试集已经被用于模型选择，结果包含选择带来的乐观偏差。正确评价需要保留全新资料，或在嵌套验证中把模型选择与最终评价分开。选择过模型后再给测试集改名，不会恢复独立性。</w:t>
      </w:r>
    </w:p>
    <w:p>
      <w:pPr>
        <w:pStyle w:val="BodyText"/>
      </w:pPr>
      <w:r>
        <w:t xml:space="preserve">最后假设一个语义解码器在图片描述任务中表现较好。研究者据此宣称已经读取参与者对画面的真实情感。该研究只验证了描述内容，情感标签没有被独立测量。需要新增情感测量、对照解释和独立验证。技术成就可以成立，超出所测目标的宣传仍然缺少证据。</w:t>
      </w:r>
    </w:p>
    <w:p>
      <w:pPr>
        <w:pStyle w:val="BodyText"/>
      </w:pPr>
      <w:r>
        <w:rPr>
          <w:bCs/>
          <w:b/>
        </w:rPr>
        <w:t xml:space="preserve">本章的结论边界</w:t>
      </w:r>
      <w:r>
        <w:t xml:space="preserve">　脑数据包含可解码信息已经获得多类研究支持。某个模型究竟能推断什么，需要由输入条件、训练资料、错误结构和独立测试共同界定。对未来的无限可能或永久不可能，都应保留低置信度；对当前实验范围内的具体成绩，可以依据可复现结果作更明确判断</w:t>
      </w:r>
      <w:r>
        <w:rPr>
          <w:vertAlign w:val="superscript"/>
        </w:rPr>
        <w:t xml:space="preserve">[</w:t>
      </w:r>
      <w:hyperlink w:anchor="ref-635">
        <w:r>
          <w:rPr>
            <w:rStyle w:val="Hyperlink"/>
            <w:vertAlign w:val="superscript"/>
          </w:rPr>
          <w:t xml:space="preserve">635</w:t>
        </w:r>
      </w:hyperlink>
      <w:r>
        <w:rPr>
          <w:vertAlign w:val="superscript"/>
        </w:rPr>
        <w:t xml:space="preserve">,</w:t>
      </w:r>
      <w:hyperlink w:anchor="ref-636">
        <w:r>
          <w:rPr>
            <w:rStyle w:val="Hyperlink"/>
            <w:vertAlign w:val="superscript"/>
          </w:rPr>
          <w:t xml:space="preserve">636</w:t>
        </w:r>
      </w:hyperlink>
      <w:r>
        <w:rPr>
          <w:vertAlign w:val="superscript"/>
        </w:rPr>
        <w:t xml:space="preserve">,</w:t>
      </w:r>
      <w:hyperlink w:anchor="ref-637">
        <w:r>
          <w:rPr>
            <w:rStyle w:val="Hyperlink"/>
            <w:vertAlign w:val="superscript"/>
          </w:rPr>
          <w:t xml:space="preserve">637</w:t>
        </w:r>
      </w:hyperlink>
      <w:r>
        <w:rPr>
          <w:vertAlign w:val="superscript"/>
        </w:rPr>
        <w:t xml:space="preserve">]</w:t>
      </w:r>
      <w:r>
        <w:t xml:space="preserve">。</w:t>
      </w:r>
    </w:p>
    <w:bookmarkEnd w:id="1245"/>
    <w:bookmarkEnd w:id="1246"/>
    <w:bookmarkStart w:id="1263" w:name="ch-65"/>
    <w:p>
      <w:pPr>
        <w:pStyle w:val="Heading2"/>
      </w:pPr>
      <w:r>
        <w:t xml:space="preserve">第65章　群体脑差异与个人诊断</w:t>
      </w:r>
    </w:p>
    <w:p>
      <w:pPr>
        <w:pStyle w:val="CalloutJudgment"/>
      </w:pPr>
      <w:r>
        <w:rPr>
          <w:bCs/>
          <w:b/>
        </w:rPr>
        <w:t xml:space="preserve">核心判断与置信度</w:t>
      </w:r>
      <w:r>
        <w:t xml:space="preserve">　群体平均差异不能直接充当个人诊断规则。影像模型的临床价值需要针对明确用途检验区分能力、校准、外部泛化和决策收益。对这些要求，置信度高。某些特定工具将来能达到怎样的价值，必须由对应研究回答</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hyperlink w:anchor="ref-637">
        <w:r>
          <w:rPr>
            <w:rStyle w:val="Hyperlink"/>
            <w:vertAlign w:val="superscript"/>
          </w:rPr>
          <w:t xml:space="preserve">637</w:t>
        </w:r>
      </w:hyperlink>
      <w:r>
        <w:rPr>
          <w:vertAlign w:val="superscript"/>
        </w:rPr>
        <w:t xml:space="preserve">]</w:t>
      </w:r>
      <w:r>
        <w:t xml:space="preserve">。</w:t>
      </w:r>
    </w:p>
    <w:bookmarkStart w:id="1247" w:name="sec-65-1"/>
    <w:p>
      <w:pPr>
        <w:pStyle w:val="Heading3"/>
      </w:pPr>
      <w:r>
        <w:t xml:space="preserve">65.1　诊断究竟要解决什么问题</w:t>
      </w:r>
    </w:p>
    <w:p>
      <w:pPr>
        <w:pStyle w:val="FirstParagraph"/>
      </w:pPr>
      <w:r>
        <w:t xml:space="preserve">讨论“脑扫描能否确诊”之前，应先确定目标。排除占位性病变、识别急性血管病变、估计未来风险、区分两种精神障碍、选择治疗和监测复发，分别具有不同的验证要求。对于某些问题，结构异常本身就是重要证据；对于另一些问题，症状的时间过程、功能损害和病史是定义的一部分。把所有问题合称为脑诊断，会隐藏最重要的用途差异。</w:t>
      </w:r>
    </w:p>
    <w:p>
      <w:pPr>
        <w:pStyle w:val="BodyText"/>
      </w:pPr>
      <w:r>
        <w:t xml:space="preserve">诊断标签也有不同性质。病原体检测、组织病理、临床综合征和连续维度评分使用不同参照标准。若一种精神障碍通过症状组合定义，影像模型首先是在预测这个临床标签。它与标签高度一致，不自动说明找到了该障碍的单一病因；一致性不足，也可能来自疾病异质性、标签测量误差或模型能力不足。必须逐一检查这些可能。</w:t>
      </w:r>
    </w:p>
    <w:p>
      <w:pPr>
        <w:pStyle w:val="BodyText"/>
      </w:pPr>
      <w:r>
        <w:t xml:space="preserve">参照标准并不总是完美的。临床诊断本身可能受到访谈质量、症状波动和资料不完整影响；设专家评估本身具有一定不一致，模型与专家的差异就不能全部归给模型错误。但这一点也不能被用来豁免验证。可行做法包括盲法多评估者、明确诊断规则、随访及对有争议个案的独立评议，并报告参照标准的不确定性。只有承认标签如何产生，才能理解模型性能的上限与含义。</w:t>
      </w:r>
    </w:p>
    <w:bookmarkEnd w:id="1247"/>
    <w:bookmarkStart w:id="1248" w:name="sec-65-2"/>
    <w:p>
      <w:pPr>
        <w:pStyle w:val="Heading3"/>
      </w:pPr>
      <w:r>
        <w:t xml:space="preserve">65.2　平均差异怎样与大量重叠共存</w:t>
      </w:r>
    </w:p>
    <w:p>
      <w:pPr>
        <w:pStyle w:val="FirstParagraph"/>
      </w:pPr>
      <w:r>
        <w:t xml:space="preserve">设两组某指标都近似正态且标准差相同，组间均值差为半个标准差。这个差异在足够大的样本中可以非常显著，两组分布仍会广泛重叠。处在重叠区域的人，单凭该指标难以准确分类。统计显著性说明数据在某个零假设下是否常见；诊断要求对新个体作出可用区分。这两个任务的成功条件不同。</w:t>
      </w:r>
    </w:p>
    <w:p>
      <w:pPr>
        <w:pStyle w:val="BodyText"/>
      </w:pPr>
      <w:r>
        <w:t xml:space="preserve">增加样本可以更精确地估计均值差，却不能消除真实分布的重叠。增加多个互补指标有时可以提高区分力，但需要证明它们提供独立信息。把许多高度相关的指标同时输入算法，可能只是增加复杂度和过拟合机会。模型的复杂程度不能替代新样本上的表现。</w:t>
      </w:r>
    </w:p>
    <w:p>
      <w:pPr>
        <w:pStyle w:val="BodyText"/>
      </w:pPr>
      <w:r>
        <w:t xml:space="preserve">对个体来说，连续风险估计往往比强行贴上二元标签保留更多信息。但连续概率同样需要校准。如果报告30%风险的人群实际只有5%出现结局，数值虽然看起来精确，决策价值仍然可能很差。没有经过校准的概率应谨慎称作模型分数，不能直接解释为个人真实风险。</w:t>
      </w:r>
    </w:p>
    <w:bookmarkEnd w:id="1248"/>
    <w:bookmarkStart w:id="1249" w:name="sec-65-3"/>
    <w:p>
      <w:pPr>
        <w:pStyle w:val="Heading3"/>
      </w:pPr>
      <w:r>
        <w:t xml:space="preserve">65.3　四种常见性能指标</w:t>
      </w:r>
    </w:p>
    <w:p>
      <w:pPr>
        <w:pStyle w:val="FirstParagraph"/>
      </w:pPr>
      <w:r>
        <w:t xml:space="preserve">敏感度描述在确有目标状态的人中检出多少。特异度描述在没有目标状态的人中正确判阴性多少。阳性预测值描述所有阳性结果中有多少真实属于目标状态。阴性预测值描述所有阴性结果中有多少真实没有目标状态。前两项仍会受到病例谱和测量条件影响，后两项还直接依赖目标群体中的基率。</w:t>
      </w:r>
    </w:p>
    <w:p>
      <w:pPr>
        <w:pStyle w:val="BodyText"/>
      </w:pPr>
      <w:r>
        <w:t xml:space="preserve">准确率把不同错误合并成一个比例。假设某筛查人群只有1%患病，把所有人都判为阴性便有99%准确率，同时漏掉全部患者。这个极端例子说明准确率必须结合混淆矩阵、类别比例和错误代价阅读。对筛查、确诊、治疗分层和资源分配，允许的错误结构可能完全不同。</w:t>
      </w:r>
    </w:p>
    <w:p>
      <w:pPr>
        <w:pStyle w:val="BodyText"/>
      </w:pPr>
      <w:r>
        <w:t xml:space="preserve">受试者工作特征曲线可以展示阈值变化时敏感度与假阳性率的权衡。曲线下面积反映一种排序能力，并不指定哪个阈值最适合临床，也不直接告诉人们阳性后风险有多高。选择阈值需要把检测后行动、治疗风险、漏诊代价和资源约束明确写出。</w:t>
      </w:r>
    </w:p>
    <w:p>
      <w:pPr>
        <w:pStyle w:val="BodyText"/>
      </w:pPr>
      <w:r>
        <w:t xml:space="preserve">校准则询问预测风险与观察风险是否相符；区分能力关注高风险者是否通常被排在低风险者之前。区分力好而校准差的模型可以把高风险者排在前面，却把风险大小整体估错，例如系统地把10%的风险预测成40%。这种模型在某些排名任务中有价值，在需要绝对概率的决策中则可能造成误导。换医院、换年龄结构或换疾病流行水平后，这种问题尤其值得检查。重新校准可以改善风险估计，但常用的重新校准只调整截距和斜率，不改变病例排序，因此无法修复新人群中已经下降的区分能力；净收益也要在重新校准后重新评估</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hyperlink w:anchor="ref-638">
        <w:r>
          <w:rPr>
            <w:rStyle w:val="Hyperlink"/>
            <w:vertAlign w:val="superscript"/>
          </w:rPr>
          <w:t xml:space="preserve">638</w:t>
        </w:r>
      </w:hyperlink>
      <w:r>
        <w:rPr>
          <w:vertAlign w:val="superscript"/>
        </w:rPr>
        <w:t xml:space="preserve">]</w:t>
      </w:r>
      <w:r>
        <w:t xml:space="preserve">。</w:t>
      </w:r>
    </w:p>
    <w:bookmarkEnd w:id="1249"/>
    <w:bookmarkStart w:id="1250" w:name="sec-65-4"/>
    <w:p>
      <w:pPr>
        <w:pStyle w:val="Heading3"/>
      </w:pPr>
      <w:r>
        <w:t xml:space="preserve">65.4　从研究分类到门诊使用</w:t>
      </w:r>
    </w:p>
    <w:p>
      <w:pPr>
        <w:pStyle w:val="FirstParagraph"/>
      </w:pPr>
      <w:r>
        <w:t xml:space="preserve">研究常从诊断明确且满足多个排除条件的人群开始，便于探索信号。真实门诊包含共病、不同严重程度、既往治疗、睡眠不足、疼痛、药物使用和其他相似症状。病例谱变复杂后，模型可能失去区分力。因此，健康对照研究只能提供发展阶段的证据，不能直接代表诊断困难人群中的表现。用于初筛的研究应包含现实筛查人群，并追踪后续确认；用于鉴别诊断的研究应纳入容易混淆的其他疾病与共病。只比较典型患者和完全健康对照，会避开临床上最困难的边界，可能使分类性能显得过高。</w:t>
      </w:r>
    </w:p>
    <w:p>
      <w:pPr>
        <w:pStyle w:val="BodyText"/>
      </w:pPr>
      <w:r>
        <w:t xml:space="preserve">病例和对照如果来自不同扫描中心，模型可能利用设备差异。若患者更多服用药物，模型可能学习药物相关信号。若一组更容易头动，模型可能识别运动伪影。消除这些影响需要设计和分析共同配合：尽量平衡采集条件，记录相关变量，在合理假设下建模，并测试模型在不同中心和不同背景中是否仍有效。</w:t>
      </w:r>
    </w:p>
    <w:p>
      <w:pPr>
        <w:pStyle w:val="BodyText"/>
      </w:pPr>
      <w:r>
        <w:t xml:space="preserve">只把设备名称作为协变量纳入模型，有时不足以解决问题。设备效应可能复杂地影响多个特征，并与诊断标签高度共线。如果所有患者来自甲院，所有对照来自乙院，统计模型无法从数据中可靠分开医院与诊断。某些问题需要重新收集具有交叉结构的样本，单靠算法无法恢复根本缺失的信息。</w:t>
      </w:r>
    </w:p>
    <w:bookmarkEnd w:id="1250"/>
    <w:bookmarkStart w:id="1251" w:name="sec-65-5"/>
    <w:p>
      <w:pPr>
        <w:pStyle w:val="Heading3"/>
      </w:pPr>
      <w:r>
        <w:t xml:space="preserve">65.5　信度与临床稳定性</w:t>
      </w:r>
    </w:p>
    <w:p>
      <w:pPr>
        <w:pStyle w:val="FirstParagraph"/>
      </w:pPr>
      <w:r>
        <w:t xml:space="preserve">用于稳定个体差异的指标，应在目标时间尺度上具有足够信度。Elliott等2020年对90项实验、1008人的任务fMRI资料进行元分析，报告平均组内相关系数约0.397。这对把常见任务对比直接作为稳定个人标志物提出了限制。结果不等于每一种影像测量都同样低信度，也不否定某些任务具有稳定的群体效应</w:t>
      </w:r>
      <w:r>
        <w:rPr>
          <w:vertAlign w:val="superscript"/>
        </w:rPr>
        <w:t xml:space="preserve">[</w:t>
      </w:r>
      <w:hyperlink w:anchor="ref-586">
        <w:r>
          <w:rPr>
            <w:rStyle w:val="Hyperlink"/>
            <w:vertAlign w:val="superscript"/>
          </w:rPr>
          <w:t xml:space="preserve">586</w:t>
        </w:r>
      </w:hyperlink>
      <w:r>
        <w:rPr>
          <w:vertAlign w:val="superscript"/>
        </w:rPr>
        <w:t xml:space="preserve">]</w:t>
      </w:r>
      <w:r>
        <w:t xml:space="preserve">。</w:t>
      </w:r>
    </w:p>
    <w:p>
      <w:pPr>
        <w:pStyle w:val="BodyText"/>
      </w:pPr>
      <w:r>
        <w:t xml:space="preserve">信度必须结合用途理解。用于测量短时状态的指标，本来就可能随状态变化；用于判断长期特质的指标，则应区分真实变化与测量误差。同一个人两次读数不同，既可能是仪器不稳定，也可能是睡眠、药物或症状状态真实改变。研究应明确希望保持稳定的部分，并通过重复测量设计分离这些来源。</w:t>
      </w:r>
    </w:p>
    <w:p>
      <w:pPr>
        <w:pStyle w:val="BodyText"/>
      </w:pPr>
      <w:r>
        <w:t xml:space="preserve">一个容易忽略的悖论是，稳定的群体任务效应可以伴随较差的个体排序信度。如果每个人在任务甲都比任务乙反应稍强，群体差异可以很可靠；如果人与人之间的真实差异很小，测量误差便容易改变个人排名。用适合检验共同机制的任务直接测人格或疾病差异，必须重新验证。</w:t>
      </w:r>
    </w:p>
    <w:bookmarkEnd w:id="1251"/>
    <w:bookmarkStart w:id="1252" w:name="sec-65-6"/>
    <w:p>
      <w:pPr>
        <w:pStyle w:val="Heading3"/>
      </w:pPr>
      <w:r>
        <w:t xml:space="preserve">65.6　额外信息与实际决策收益</w:t>
      </w:r>
    </w:p>
    <w:p>
      <w:pPr>
        <w:pStyle w:val="FirstParagraph"/>
      </w:pPr>
      <w:r>
        <w:t xml:space="preserve">一项昂贵检测应说明在已有病史、症状量表和常规评估之外增加了什么。模型单独表现不错，并不能保证加入现有流程后改善决策。若它主要重复临床医生已经掌握的信息，增量价值可能有限；技术复杂也不自动意味着增量价值更大。更有力的评估应比较完整临床流程在加入检测前后的诊断、治疗选择、患者结局和代价</w:t>
      </w:r>
      <w:r>
        <w:rPr>
          <w:vertAlign w:val="superscript"/>
        </w:rPr>
        <w:t xml:space="preserve">[</w:t>
      </w:r>
      <w:hyperlink w:anchor="ref-637">
        <w:r>
          <w:rPr>
            <w:rStyle w:val="Hyperlink"/>
            <w:vertAlign w:val="superscript"/>
          </w:rPr>
          <w:t xml:space="preserve">637</w:t>
        </w:r>
      </w:hyperlink>
      <w:r>
        <w:rPr>
          <w:vertAlign w:val="superscript"/>
        </w:rPr>
        <w:t xml:space="preserve">]</w:t>
      </w:r>
      <w:r>
        <w:t xml:space="preserve">。</w:t>
      </w:r>
    </w:p>
    <w:p>
      <w:pPr>
        <w:pStyle w:val="BodyText"/>
      </w:pPr>
      <w:r>
        <w:t xml:space="preserve">决策收益与纯预测表现也可能分离。假设一种检测能略微改善分类，但所有阳性者都接受具有较大风险的侵入操作，额外假阳性可能抵消收益。另一种检测分类改善不大，却能把一部分患者导向安全有效的支持措施，可能具有不同价值。一个模型提高某统计指标，却导致大量低价值检查，整体效用也可能有限。需要把预测与后续行动连起来评价，范围包括被改变的行动、患者重要收益、错误后果、额外检查及成本。</w:t>
      </w:r>
    </w:p>
    <w:p>
      <w:pPr>
        <w:pStyle w:val="BodyText"/>
      </w:pPr>
      <w:r>
        <w:t xml:space="preserve">模型的临床效用最好在实际使用路径中检验。模型开发完成后，可以先将其冻结，在新资料中评价性能；随后检验把结果交给临床团队是否改善决策与结局。例如，随机比较允许医生参考模型与沿用常规评估的策略，再观察有意义的结果。这样的试验检验的是整套决策策略，包括医生如何理解和使用结果：医生可能忽略结果，也可能过度依赖结果，两种行为都会影响实际效果。仅证明算法离线准确，尚未覆盖现实使用中的行为变化。</w:t>
      </w:r>
    </w:p>
    <w:bookmarkEnd w:id="1252"/>
    <w:bookmarkStart w:id="1253" w:name="sec-65-7"/>
    <w:p>
      <w:pPr>
        <w:pStyle w:val="Heading3"/>
      </w:pPr>
      <w:r>
        <w:t xml:space="preserve">65.7　个体预测与个体因果效应</w:t>
      </w:r>
    </w:p>
    <w:p>
      <w:pPr>
        <w:pStyle w:val="FirstParagraph"/>
      </w:pPr>
      <w:r>
        <w:t xml:space="preserve">预测谁在治疗后好转，可能主要识别谁本来就更容易好转。真正的治疗选择问题是同一个人在不同治疗方案下会有什么差异。这需要治疗效应异质性的证据。若只有一个治疗组，模型通常无法区分自然恢复、一般预后与治疗特异收益。</w:t>
      </w:r>
    </w:p>
    <w:p>
      <w:pPr>
        <w:pStyle w:val="BodyText"/>
      </w:pPr>
      <w:r>
        <w:t xml:space="preserve">随机试验可以支持平均治疗效果，探索谁受益更多还需要预先定义或严格验证的交互分析。把治疗组中的改善者与未改善者比较，容易受到基线严重度、回归均值和结果选择的影响。预测标志物与治疗选择标志物应分别命名和验证。</w:t>
      </w:r>
    </w:p>
    <w:p>
      <w:pPr>
        <w:pStyle w:val="BodyText"/>
      </w:pPr>
      <w:r>
        <w:t xml:space="preserve">个体治疗效应要比较同一个人在两种方案下的潜在结局，而同一时间只能观察到其中一种。模型给出的是在假设条件下的估计。报告时应说明信息来自随机化、观察性调整还是外部模型，并展示不确定性。精确到小数点的输出不会消除反事实识别问题。</w:t>
      </w:r>
    </w:p>
    <w:bookmarkEnd w:id="1253"/>
    <w:bookmarkStart w:id="1254" w:name="sec-65-8"/>
    <w:p>
      <w:pPr>
        <w:pStyle w:val="Heading3"/>
      </w:pPr>
      <w:r>
        <w:t xml:space="preserve">65.8　参照标准也会有误差</w:t>
      </w:r>
    </w:p>
    <w:p>
      <w:pPr>
        <w:pStyle w:val="FirstParagraph"/>
      </w:pPr>
      <w:r>
        <w:t xml:space="preserve">参照标准与待评估测试之间应尽量保持独立。如果诊断者已经看过影像结果，影像又被拿来预测诊断，便可能形成循环。即使没有直接看结果，某些入组规则也可能包含与测试高度相关的信息。研究应说明诊断过程与盲法。</w:t>
      </w:r>
    </w:p>
    <w:p>
      <w:pPr>
        <w:pStyle w:val="BodyText"/>
      </w:pPr>
      <w:r>
        <w:t xml:space="preserve">对于连续变化的现象，强行划成两类也会制造边界。一个接近阈值的人在两次评估中可能得到不同标签，模型错误未必完全来自神经测量。可以同时研究连续症状、功能和长期轨迹，使标签的不确定性进入分析。</w:t>
      </w:r>
    </w:p>
    <w:bookmarkEnd w:id="1254"/>
    <w:bookmarkStart w:id="1255" w:name="sec-65-9"/>
    <w:p>
      <w:pPr>
        <w:pStyle w:val="Heading3"/>
      </w:pPr>
      <w:r>
        <w:t xml:space="preserve">65.9　校准与区分能力</w:t>
      </w:r>
    </w:p>
    <w:p>
      <w:pPr>
        <w:pStyle w:val="FirstParagraph"/>
      </w:pPr>
      <w:r>
        <w:t xml:space="preserve">校准应在目标人群中评价，并观察不同风险范围。总体平均预测正确，不保证低风险与高风险端都准确。样本较少时，分组校准曲线也可能剧烈波动，需提供不确定性并避免过度分箱。</w:t>
      </w:r>
    </w:p>
    <w:p>
      <w:pPr>
        <w:pStyle w:val="BodyText"/>
      </w:pPr>
      <w:r>
        <w:t xml:space="preserve">外部人群的基率和病情谱变化后，模型可能需要重新校准。部署后还需要监测分布变化：新的设备、诊断标准或治疗改变，可能使旧模型逐渐失配，持续监测与更新规则需要在部署之前考虑。重新校准与重新训练属于不同程度的调整，也需要新的验证。调整后再在同一资料中报告表现，会低估部署不确定性。模型更新应被视为新的评价环节，每次重大更新都应保留可追溯的验证</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r>
        <w:t xml:space="preserve">。</w:t>
      </w:r>
    </w:p>
    <w:bookmarkEnd w:id="1255"/>
    <w:bookmarkStart w:id="1256" w:name="sec-65-10"/>
    <w:p>
      <w:pPr>
        <w:pStyle w:val="Heading3"/>
      </w:pPr>
      <w:r>
        <w:t xml:space="preserve">65.10　阈值选择与错误代价</w:t>
      </w:r>
    </w:p>
    <w:p>
      <w:pPr>
        <w:pStyle w:val="FirstParagraph"/>
      </w:pPr>
      <w:r>
        <w:t xml:space="preserve">提高判阳性阈值通常减少阳性结果，同时可能漏掉更多真实病例。阈值选择依赖后续行动的收益与伤害。进一步做一次低负担评估，与启动具有较大风险的治疗，所需证据和阈值可以不同。</w:t>
      </w:r>
    </w:p>
    <w:p>
      <w:pPr>
        <w:pStyle w:val="BodyText"/>
      </w:pPr>
      <w:r>
        <w:t xml:space="preserve">以下为纯教学计算。设1000人中有100人符合目标状态，某测试敏感度与特异度均为80%，则得到80个真阳性和180个假阳性。若某决策把阈值概率设为20%，按常见净获益定义计算，结果为80除以1000，减去180除以1000乘以0.20除以0.80，等于0.035</w:t>
      </w:r>
      <w:r>
        <w:rPr>
          <w:vertAlign w:val="superscript"/>
        </w:rPr>
        <w:t xml:space="preserve">[</w:t>
      </w:r>
      <w:hyperlink w:anchor="ref-639">
        <w:r>
          <w:rPr>
            <w:rStyle w:val="Hyperlink"/>
            <w:vertAlign w:val="superscript"/>
          </w:rPr>
          <w:t xml:space="preserve">639</w:t>
        </w:r>
      </w:hyperlink>
      <w:r>
        <w:rPr>
          <w:vertAlign w:val="superscript"/>
        </w:rPr>
        <w:t xml:space="preserve">]</w:t>
      </w:r>
      <w:r>
        <w:t xml:space="preserve">。</w:t>
      </w:r>
    </w:p>
    <w:p>
      <w:pPr>
        <w:pStyle w:val="BodyText"/>
      </w:pPr>
      <w:r>
        <w:t xml:space="preserve">这个数值可以用于同一决策框架下比较策略，不能直接解释为所有临床情境均净获益3.5%。公式中的权重隐含了误判与正确行动之间的相对代价，真实使用时必须论证。阈值和收益定义来自临床问题，算法无法替代价值判断。</w:t>
      </w:r>
    </w:p>
    <w:p>
      <w:pPr>
        <w:pStyle w:val="BodyText"/>
      </w:pPr>
      <w:r>
        <w:t xml:space="preserve">如果后续行动本身没有经过疗效验证，良好的预测也可能无法改善生活。更准确地识别风险，只有在能够采取适当行动时才可能形成决策收益。预测研究与干预研究需要在证据链中接续。</w:t>
      </w:r>
    </w:p>
    <w:bookmarkEnd w:id="1256"/>
    <w:bookmarkStart w:id="1257" w:name="sec-65-11"/>
    <w:p>
      <w:pPr>
        <w:pStyle w:val="Heading3"/>
      </w:pPr>
      <w:r>
        <w:t xml:space="preserve">65.11　分层表现与公平性</w:t>
      </w:r>
    </w:p>
    <w:p>
      <w:pPr>
        <w:pStyle w:val="FirstParagraph"/>
      </w:pPr>
      <w:r>
        <w:t xml:space="preserve">总体性能可以掩盖不同年龄、性别、语言、设备和病情组之间的差异。研究需要在有理由的亚组中检查误差，同时避免样本太少导致不稳定结论。多组比较也应考虑不确定性与分析选择。</w:t>
      </w:r>
    </w:p>
    <w:p>
      <w:pPr>
        <w:pStyle w:val="BodyText"/>
      </w:pPr>
      <w:r>
        <w:t xml:space="preserve">不同公平性指标可能无法同时满足。若各组基率不同，保持相同预测概率含义与保持相同误判比例之间可能出现权衡。应明确优先保护什么利益、错误会如何影响人，并让相关群体参与评价。仅把模型称为客观无法解决这些问题。</w:t>
      </w:r>
    </w:p>
    <w:p>
      <w:pPr>
        <w:pStyle w:val="BodyText"/>
      </w:pPr>
      <w:r>
        <w:t xml:space="preserve">训练数据中的缺席也会造成风险。一个群体几乎没有进入开发样本，模型即使对其他人表现稳定，也缺乏对该群体的直接验证。报告适用范围应包含这一缺口，不能把技术名称当作跨人群保证。</w:t>
      </w:r>
    </w:p>
    <w:bookmarkEnd w:id="1257"/>
    <w:bookmarkStart w:id="1258" w:name="sec-65-12"/>
    <w:p>
      <w:pPr>
        <w:pStyle w:val="Heading3"/>
      </w:pPr>
      <w:r>
        <w:t xml:space="preserve">65.12　失访与无法检测者</w:t>
      </w:r>
    </w:p>
    <w:p>
      <w:pPr>
        <w:pStyle w:val="FirstParagraph"/>
      </w:pPr>
      <w:r>
        <w:t xml:space="preserve">影像质量不足、无法保持静止、设备不适和病情严重，均可能导致资料缺失。如果最困难或最需要帮助的人更容易被排除，最终性能就只适用于能够完成检测的亚群。临床可用率应把无法完成测试的情况计入。</w:t>
      </w:r>
    </w:p>
    <w:p>
      <w:pPr>
        <w:pStyle w:val="BodyText"/>
      </w:pPr>
      <w:r>
        <w:t xml:space="preserve">报告一个模型的总体价值时，可以同时呈现成功完成测试的比例，以及完成者中的分类性能。仅报告后者，会隐藏流程层面的失败。缺失是否与目标状态有关，也需要进入偏倚评价。</w:t>
      </w:r>
    </w:p>
    <w:p>
      <w:pPr>
        <w:pStyle w:val="BodyText"/>
      </w:pPr>
      <w:r>
        <w:t xml:space="preserve">随访中的失访同样可能改变预后估计。若病情恶化者较少回访，模型看起来可能过于乐观；若较健康者不再返回，方向也可能相反。敏感性分析应围绕有临床理由的缺失机制，不能默认资料随机缺失。</w:t>
      </w:r>
    </w:p>
    <w:bookmarkEnd w:id="1258"/>
    <w:bookmarkStart w:id="1259" w:name="sec-65-13"/>
    <w:p>
      <w:pPr>
        <w:pStyle w:val="Heading3"/>
      </w:pPr>
      <w:r>
        <w:t xml:space="preserve">65.13　个体变化的可靠性</w:t>
      </w:r>
    </w:p>
    <w:p>
      <w:pPr>
        <w:pStyle w:val="FirstParagraph"/>
      </w:pPr>
      <w:r>
        <w:t xml:space="preserve">用于追踪疗效的指标需要能够可靠测量个体变化。群体平均在治疗后发生改变，不保证每个人的前后差异足够稳定。测量误差、回归均值和自然波动会影响个体解释</w:t>
      </w:r>
      <w:r>
        <w:rPr>
          <w:vertAlign w:val="superscript"/>
        </w:rPr>
        <w:t xml:space="preserve">[</w:t>
      </w:r>
      <w:hyperlink w:anchor="ref-586">
        <w:r>
          <w:rPr>
            <w:rStyle w:val="Hyperlink"/>
            <w:vertAlign w:val="superscript"/>
          </w:rPr>
          <w:t xml:space="preserve">586</w:t>
        </w:r>
      </w:hyperlink>
      <w:r>
        <w:rPr>
          <w:vertAlign w:val="superscript"/>
        </w:rPr>
        <w:t xml:space="preserve">]</w:t>
      </w:r>
      <w:r>
        <w:t xml:space="preserve">。</w:t>
      </w:r>
    </w:p>
    <w:p>
      <w:pPr>
        <w:pStyle w:val="BodyText"/>
      </w:pPr>
      <w:r>
        <w:t xml:space="preserve">一个人本次值比上次高，并不自动说明病情恶化。需要考虑两次测量条件、重测变异和具有实际意义的变化范围。可靠变化与临床重要变化也属于不同标准（见</w:t>
      </w:r>
      <w:r>
        <w:t xml:space="preserve"> </w:t>
      </w:r>
      <w:hyperlink w:anchor="sec-66-18">
        <w:r>
          <w:rPr>
            <w:rStyle w:val="Hyperlink"/>
          </w:rPr>
          <w:t xml:space="preserve">66.18</w:t>
        </w:r>
      </w:hyperlink>
      <w:r>
        <w:t xml:space="preserve">）：前者关注能否超过测量噪声，后者关注生活或治疗意义。</w:t>
      </w:r>
    </w:p>
    <w:p>
      <w:pPr>
        <w:pStyle w:val="BodyText"/>
      </w:pPr>
      <w:r>
        <w:t xml:space="preserve">反复检测还可能导致选择性关注。若每次查看很多脑区，总能发现一些明显变化。预先指定关注指标和解释规则，可以减少这种风险。临床监测应围绕明确行动目的，避免无目的追踪造成错误警报。</w:t>
      </w:r>
    </w:p>
    <w:bookmarkEnd w:id="1259"/>
    <w:bookmarkStart w:id="1261" w:name="sec-65-14"/>
    <w:p>
      <w:pPr>
        <w:pStyle w:val="Heading3"/>
      </w:pPr>
      <w:r>
        <w:t xml:space="preserve">65.14　临床预测的不同目标</w:t>
      </w:r>
    </w:p>
    <w:p>
      <w:pPr>
        <w:pStyle w:val="FirstParagraph"/>
      </w:pPr>
      <w:r>
        <w:t xml:space="preserve">同一个模型可能具有多种输出，但每种用途都需要相应验证。区分能力、概率校准与实际净收益分别描述不同性质，应结合临床路径解释</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hyperlink w:anchor="ref-637">
        <w:r>
          <w:rPr>
            <w:rStyle w:val="Hyperlink"/>
            <w:vertAlign w:val="superscript"/>
          </w:rPr>
          <w:t xml:space="preserve">637</w:t>
        </w:r>
      </w:hyperlink>
      <w:r>
        <w:rPr>
          <w:vertAlign w:val="superscript"/>
        </w:rPr>
        <w:t xml:space="preserve">,</w:t>
      </w:r>
      <w:hyperlink w:anchor="ref-638">
        <w:r>
          <w:rPr>
            <w:rStyle w:val="Hyperlink"/>
            <w:vertAlign w:val="superscript"/>
          </w:rPr>
          <w:t xml:space="preserve">638</w:t>
        </w:r>
      </w:hyperlink>
      <w:r>
        <w:rPr>
          <w:vertAlign w:val="superscript"/>
        </w:rPr>
        <w:t xml:space="preserve">,</w:t>
      </w:r>
      <w:hyperlink w:anchor="ref-639">
        <w:r>
          <w:rPr>
            <w:rStyle w:val="Hyperlink"/>
            <w:vertAlign w:val="superscript"/>
          </w:rPr>
          <w:t xml:space="preserve">639</w:t>
        </w:r>
      </w:hyperlink>
      <w:r>
        <w:rPr>
          <w:vertAlign w:val="superscript"/>
        </w:rPr>
        <w:t xml:space="preserve">]</w:t>
      </w:r>
      <w:r>
        <w:t xml:space="preserve">。</w:t>
      </w:r>
    </w:p>
    <w:p>
      <w:pPr>
        <w:pStyle w:val="TableCaption"/>
      </w:pPr>
      <w:bookmarkStart w:id="1260" w:name="tab-model-uses"/>
      <w:bookmarkEnd w:id="1260"/>
      <w:r>
        <w:rPr>
          <w:bCs/>
          <w:b/>
        </w:rPr>
        <w:t xml:space="preserve">表 22　脑测量模型的不同用途与验证重点</w:t>
      </w:r>
    </w:p>
    <w:tbl>
      <w:tblPr>
        <w:tblStyle w:val="Table"/>
        <w:tblW w:type="pct" w:w="5000"/>
        <w:jc w:val="start"/>
        <w:tblLook w:firstRow="1" w:lastRow="0" w:firstColumn="0" w:lastColumn="0" w:noHBand="0" w:noVBand="0" w:val="0020"/>
      </w:tblPr>
      <w:tblGrid>
        <w:gridCol w:w="1055"/>
        <w:gridCol w:w="2816"/>
        <w:gridCol w:w="4047"/>
      </w:tblGrid>
      <w:tr>
        <w:trPr>
          <w:tblHeader w:val="true"/>
        </w:trPr>
        <w:tc>
          <w:tcPr>
            <w:shd w:val="clear" w:color="auto" w:fill="1F3A5F"/>
          </w:tcPr>
          <w:p>
            <w:pPr>
              <w:jc w:val="left"/>
            </w:pPr>
            <w:r>
              <w:rPr>
                <w:bCs/>
                <w:b/>
                <w:color w:val="FFFFFF"/>
              </w:rPr>
              <w:t xml:space="preserve">目标</w:t>
            </w:r>
          </w:p>
        </w:tc>
        <w:tc>
          <w:tcPr>
            <w:shd w:val="clear" w:color="auto" w:fill="1F3A5F"/>
          </w:tcPr>
          <w:p>
            <w:pPr>
              <w:jc w:val="left"/>
            </w:pPr>
            <w:r>
              <w:rPr>
                <w:bCs/>
                <w:b/>
                <w:color w:val="FFFFFF"/>
              </w:rPr>
              <w:t xml:space="preserve">输出所针对的问题</w:t>
            </w:r>
          </w:p>
        </w:tc>
        <w:tc>
          <w:tcPr>
            <w:shd w:val="clear" w:color="auto" w:fill="1F3A5F"/>
          </w:tcPr>
          <w:p>
            <w:pPr>
              <w:jc w:val="left"/>
            </w:pPr>
            <w:r>
              <w:rPr>
                <w:bCs/>
                <w:b/>
                <w:color w:val="FFFFFF"/>
              </w:rPr>
              <w:t xml:space="preserve">合适的验证重点</w:t>
            </w:r>
          </w:p>
        </w:tc>
      </w:tr>
      <w:tr>
        <w:tc>
          <w:tcPr/>
          <w:p>
            <w:pPr>
              <w:jc w:val="left"/>
            </w:pPr>
            <w:r>
              <w:t xml:space="preserve">当前状态分类</w:t>
            </w:r>
          </w:p>
        </w:tc>
        <w:tc>
          <w:tcPr/>
          <w:p>
            <w:pPr>
              <w:jc w:val="left"/>
            </w:pPr>
            <w:r>
              <w:t xml:space="preserve">此人现在是否满足所定义状态</w:t>
            </w:r>
          </w:p>
        </w:tc>
        <w:tc>
          <w:tcPr/>
          <w:p>
            <w:pPr>
              <w:jc w:val="left"/>
            </w:pPr>
            <w:r>
              <w:t xml:space="preserve">参照标准、敏感度、特异度与真实人群中的预测值</w:t>
            </w:r>
          </w:p>
        </w:tc>
      </w:tr>
      <w:tr>
        <w:tc>
          <w:tcPr/>
          <w:p>
            <w:pPr>
              <w:jc w:val="left"/>
            </w:pPr>
            <w:r>
              <w:t xml:space="preserve">未来风险预测</w:t>
            </w:r>
          </w:p>
        </w:tc>
        <w:tc>
          <w:tcPr/>
          <w:p>
            <w:pPr>
              <w:jc w:val="left"/>
            </w:pPr>
            <w:r>
              <w:t xml:space="preserve">此人在指定期限内发生结局的概率</w:t>
            </w:r>
          </w:p>
        </w:tc>
        <w:tc>
          <w:tcPr/>
          <w:p>
            <w:pPr>
              <w:jc w:val="left"/>
            </w:pPr>
            <w:r>
              <w:t xml:space="preserve">时间范围、校准、竞争风险与外部人群表现</w:t>
            </w:r>
          </w:p>
        </w:tc>
      </w:tr>
      <w:tr>
        <w:tc>
          <w:tcPr/>
          <w:p>
            <w:pPr>
              <w:jc w:val="left"/>
            </w:pPr>
            <w:r>
              <w:t xml:space="preserve">治疗效果预测</w:t>
            </w:r>
          </w:p>
        </w:tc>
        <w:tc>
          <w:tcPr/>
          <w:p>
            <w:pPr>
              <w:jc w:val="left"/>
            </w:pPr>
            <w:r>
              <w:t xml:space="preserve">某种治疗相对另一选择对谁更有益</w:t>
            </w:r>
          </w:p>
        </w:tc>
        <w:tc>
          <w:tcPr/>
          <w:p>
            <w:pPr>
              <w:jc w:val="left"/>
            </w:pPr>
            <w:r>
              <w:t xml:space="preserve">治疗交互或个体效应识别；单纯预后不等于治疗获益</w:t>
            </w:r>
          </w:p>
        </w:tc>
      </w:tr>
      <w:tr>
        <w:tc>
          <w:tcPr/>
          <w:p>
            <w:pPr>
              <w:jc w:val="left"/>
            </w:pPr>
            <w:r>
              <w:t xml:space="preserve">疾病监测</w:t>
            </w:r>
          </w:p>
        </w:tc>
        <w:tc>
          <w:tcPr/>
          <w:p>
            <w:pPr>
              <w:jc w:val="left"/>
            </w:pPr>
            <w:r>
              <w:t xml:space="preserve">指标变化是否反映病程变化</w:t>
            </w:r>
          </w:p>
        </w:tc>
        <w:tc>
          <w:tcPr/>
          <w:p>
            <w:pPr>
              <w:jc w:val="left"/>
            </w:pPr>
            <w:r>
              <w:t xml:space="preserve">测量误差、重复性、自然波动及与临床变化的对应</w:t>
            </w:r>
          </w:p>
        </w:tc>
      </w:tr>
      <w:tr>
        <w:tc>
          <w:tcPr/>
          <w:p>
            <w:pPr>
              <w:jc w:val="left"/>
            </w:pPr>
            <w:r>
              <w:t xml:space="preserve">研究富集</w:t>
            </w:r>
          </w:p>
        </w:tc>
        <w:tc>
          <w:tcPr/>
          <w:p>
            <w:pPr>
              <w:jc w:val="left"/>
            </w:pPr>
            <w:r>
              <w:t xml:space="preserve">指标能否帮助选择适合某试验的人群</w:t>
            </w:r>
          </w:p>
        </w:tc>
        <w:tc>
          <w:tcPr/>
          <w:p>
            <w:pPr>
              <w:jc w:val="left"/>
            </w:pPr>
            <w:r>
              <w:t xml:space="preserve">富集策略对可推广性、效率及遗漏人群的影响</w:t>
            </w:r>
          </w:p>
        </w:tc>
      </w:tr>
      <w:tr>
        <w:tc>
          <w:tcPr/>
          <w:p>
            <w:pPr>
              <w:jc w:val="left"/>
            </w:pPr>
            <w:r>
              <w:t xml:space="preserve">决策支持</w:t>
            </w:r>
          </w:p>
        </w:tc>
        <w:tc>
          <w:tcPr/>
          <w:p>
            <w:pPr>
              <w:jc w:val="left"/>
            </w:pPr>
            <w:r>
              <w:t xml:space="preserve">使用模型后是否改善患者相关结局</w:t>
            </w:r>
          </w:p>
        </w:tc>
        <w:tc>
          <w:tcPr/>
          <w:p>
            <w:pPr>
              <w:jc w:val="left"/>
            </w:pPr>
            <w:r>
              <w:t xml:space="preserve">前瞻性影响评价、错误代价、工作流程及净收益</w:t>
            </w:r>
          </w:p>
        </w:tc>
      </w:tr>
    </w:tbl>
    <w:bookmarkEnd w:id="1261"/>
    <w:bookmarkStart w:id="1262" w:name="sec-65-15"/>
    <w:p>
      <w:pPr>
        <w:pStyle w:val="Heading3"/>
      </w:pPr>
      <w:r>
        <w:t xml:space="preserve">65.15　假设案例与决策分析</w:t>
      </w:r>
    </w:p>
    <w:p>
      <w:pPr>
        <w:pStyle w:val="FirstParagraph"/>
      </w:pPr>
      <w:r>
        <w:t xml:space="preserve">沿用</w:t>
      </w:r>
      <w:r>
        <w:t xml:space="preserve"> </w:t>
      </w:r>
      <w:hyperlink w:anchor="sec-65-10">
        <w:r>
          <w:rPr>
            <w:rStyle w:val="Hyperlink"/>
          </w:rPr>
          <w:t xml:space="preserve">65.10 节</w:t>
        </w:r>
      </w:hyperlink>
      <w:r>
        <w:t xml:space="preserve">的教学设定：1000名接受筛查的人中有100名真正患病，检测敏感度与特异度均为80%，预计得到80名真阳性、20名假阴性、180名假阳性和720名真阴性。阳性预测值为80除以260，约30.8%；阴性预测值为720除以740，约97.3%。如果广告只说“敏感度和特异度都达到80%”，读者可能误以为阳性就有80%概率患病。完整列出人数可以直接避免这种误读。</w:t>
      </w:r>
    </w:p>
    <w:p>
      <w:pPr>
        <w:pStyle w:val="BodyText"/>
      </w:pPr>
      <w:r>
        <w:t xml:space="preserve">再假设提高阈值后，敏感度降为50%，特异度提高至95%。同一人群中预计50名真阳性、45名假阳性和50名漏诊者。阳性预测值约52.6%。阳性结果更可靠，但漏诊更多。哪种阈值更合适取决于下一步行动及其代价。这个教学例子无法替任何具体产品选择阈值，却能明确选择所需的信息。</w:t>
      </w:r>
    </w:p>
    <w:p>
      <w:pPr>
        <w:pStyle w:val="BodyText"/>
      </w:pPr>
      <w:r>
        <w:t xml:space="preserve">若最终诊断还要经过独立临床评估，检测可以承担分流功能。分流功能的验证目标应是等待时间、必要评估比例、漏诊及患者结局。把分流工具宣传为独立确诊工具，会超出已经检验的用途。适用范围应进入产品说明和研究结论的核心句子。</w:t>
      </w:r>
    </w:p>
    <w:p>
      <w:pPr>
        <w:pStyle w:val="BodyText"/>
      </w:pPr>
      <w:r>
        <w:rPr>
          <w:bCs/>
          <w:b/>
        </w:rPr>
        <w:t xml:space="preserve">本章的结论边界</w:t>
      </w:r>
      <w:r>
        <w:t xml:space="preserve">　目前的群体影像发现可以增进理解，也可以为临床工具提供候选特征。某项具体工具的可靠性，需要在目标人群、目标用途和后续行动中验证。没有明显结构异常不能排除所有真实困难，存在群体差异也不能自动确诊个人</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hyperlink w:anchor="ref-637">
        <w:r>
          <w:rPr>
            <w:rStyle w:val="Hyperlink"/>
            <w:vertAlign w:val="superscript"/>
          </w:rPr>
          <w:t xml:space="preserve">637</w:t>
        </w:r>
      </w:hyperlink>
      <w:r>
        <w:rPr>
          <w:vertAlign w:val="superscript"/>
        </w:rPr>
        <w:t xml:space="preserve">]</w:t>
      </w:r>
      <w:r>
        <w:t xml:space="preserve">。</w:t>
      </w:r>
    </w:p>
    <w:bookmarkEnd w:id="1262"/>
    <w:bookmarkEnd w:id="1263"/>
    <w:bookmarkStart w:id="1289" w:name="ch-66"/>
    <w:p>
      <w:pPr>
        <w:pStyle w:val="Heading2"/>
      </w:pPr>
      <w:r>
        <w:t xml:space="preserve">第66章　心理测量、量表与潜变量</w:t>
      </w:r>
    </w:p>
    <w:p>
      <w:pPr>
        <w:pStyle w:val="CalloutJudgment"/>
      </w:pPr>
      <w:r>
        <w:rPr>
          <w:bCs/>
          <w:b/>
        </w:rPr>
        <w:t xml:space="preserve">核心判断与置信度</w:t>
      </w:r>
      <w:r>
        <w:t xml:space="preserve">　行为任务、量表、访谈和日常观察都通过特定程序获得资料。分数可以具有可靠用途，其含义依赖测量对象、施测条件、模型和目标人群。一个工具在某种用途下有效，不保证它适合所有用途。关于测量质量必须进入神经科学推断的判断，置信度高；关于单一分数能够完整表示一个人的心智、人格或病因的主张，证据不足</w:t>
      </w:r>
      <w:r>
        <w:rPr>
          <w:vertAlign w:val="superscript"/>
        </w:rPr>
        <w:t xml:space="preserve">[</w:t>
      </w:r>
      <w:hyperlink w:anchor="ref-640">
        <w:r>
          <w:rPr>
            <w:rStyle w:val="Hyperlink"/>
            <w:vertAlign w:val="superscript"/>
          </w:rPr>
          <w:t xml:space="preserve">640</w:t>
        </w:r>
      </w:hyperlink>
      <w:r>
        <w:rPr>
          <w:vertAlign w:val="superscript"/>
        </w:rPr>
        <w:t xml:space="preserve">,</w:t>
      </w:r>
      <w:hyperlink w:anchor="ref-641">
        <w:r>
          <w:rPr>
            <w:rStyle w:val="Hyperlink"/>
            <w:vertAlign w:val="superscript"/>
          </w:rPr>
          <w:t xml:space="preserve">641</w:t>
        </w:r>
      </w:hyperlink>
      <w:r>
        <w:rPr>
          <w:vertAlign w:val="superscript"/>
        </w:rPr>
        <w:t xml:space="preserve">]</w:t>
      </w:r>
      <w:r>
        <w:t xml:space="preserve">。</w:t>
      </w:r>
    </w:p>
    <w:bookmarkStart w:id="1264" w:name="sec-66-1"/>
    <w:p>
      <w:pPr>
        <w:pStyle w:val="Heading3"/>
      </w:pPr>
      <w:r>
        <w:t xml:space="preserve">66.1　构念与操作的关系</w:t>
      </w:r>
    </w:p>
    <w:p>
      <w:pPr>
        <w:pStyle w:val="FirstParagraph"/>
      </w:pPr>
      <w:r>
        <w:t xml:space="preserve">构念是研究希望理解的属性或过程，例如工作记忆、焦虑、抑制控制或社会信任。操作是研究者实际安排的任务、问题和评分。一个操作可以受到多个过程影响，同一个构念也可能需要多个操作共同刻画。把任务名称直接当作其测量内容，会忽略需要验证的关系。</w:t>
      </w:r>
    </w:p>
    <w:p>
      <w:pPr>
        <w:pStyle w:val="BodyText"/>
      </w:pPr>
      <w:r>
        <w:t xml:space="preserve">例如，限时记忆任务的低分可能与编码、保持、提取、注意、语言理解、视觉、动作速度或策略有关。哪一种解释较合适，需要改变任务条件、使用独立测量或分析错误模式。分数本身提供观察，机制归因需要继续检验。</w:t>
      </w:r>
    </w:p>
    <w:p>
      <w:pPr>
        <w:pStyle w:val="BodyText"/>
      </w:pPr>
      <w:r>
        <w:t xml:space="preserve">构念定义也需要限制范围。“执行功能”可以涵盖维持目标、更新、切换和抑制等多种过程；“记忆”则包含不同材料、时间尺度和提取方式。研究应说明当前任务覆盖哪一部分，避免将局部成绩扩大为整体心理属性</w:t>
      </w:r>
      <w:r>
        <w:rPr>
          <w:vertAlign w:val="superscript"/>
        </w:rPr>
        <w:t xml:space="preserve">[</w:t>
      </w:r>
      <w:hyperlink w:anchor="ref-640">
        <w:r>
          <w:rPr>
            <w:rStyle w:val="Hyperlink"/>
            <w:vertAlign w:val="superscript"/>
          </w:rPr>
          <w:t xml:space="preserve">640</w:t>
        </w:r>
      </w:hyperlink>
      <w:r>
        <w:rPr>
          <w:vertAlign w:val="superscript"/>
        </w:rPr>
        <w:t xml:space="preserve">]</w:t>
      </w:r>
      <w:r>
        <w:t xml:space="preserve">。</w:t>
      </w:r>
    </w:p>
    <w:bookmarkEnd w:id="1264"/>
    <w:bookmarkStart w:id="1265" w:name="sec-66-2"/>
    <w:p>
      <w:pPr>
        <w:pStyle w:val="Heading3"/>
      </w:pPr>
      <w:r>
        <w:t xml:space="preserve">66.2　效度是需要论证的解释</w:t>
      </w:r>
    </w:p>
    <w:p>
      <w:pPr>
        <w:pStyle w:val="FirstParagraph"/>
      </w:pPr>
      <w:r>
        <w:t xml:space="preserve">效度讨论的核心是，现有证据是否支持给分数赋予某种含义和用途。检验可以涉及内容覆盖、反应过程、内部结构、与其他变量的关系，以及实际使用后果。不同理论对效度概念的范围和因果要求存在讨论，本书保留这些分歧</w:t>
      </w:r>
      <w:r>
        <w:rPr>
          <w:vertAlign w:val="superscript"/>
        </w:rPr>
        <w:t xml:space="preserve">[</w:t>
      </w:r>
      <w:hyperlink w:anchor="ref-640">
        <w:r>
          <w:rPr>
            <w:rStyle w:val="Hyperlink"/>
            <w:vertAlign w:val="superscript"/>
          </w:rPr>
          <w:t xml:space="preserve">640</w:t>
        </w:r>
      </w:hyperlink>
      <w:r>
        <w:rPr>
          <w:vertAlign w:val="superscript"/>
        </w:rPr>
        <w:t xml:space="preserve">,</w:t>
      </w:r>
      <w:hyperlink w:anchor="ref-642">
        <w:r>
          <w:rPr>
            <w:rStyle w:val="Hyperlink"/>
            <w:vertAlign w:val="superscript"/>
          </w:rPr>
          <w:t xml:space="preserve">642</w:t>
        </w:r>
      </w:hyperlink>
      <w:r>
        <w:rPr>
          <w:vertAlign w:val="superscript"/>
        </w:rPr>
        <w:t xml:space="preserve">]</w:t>
      </w:r>
      <w:r>
        <w:t xml:space="preserve">。</w:t>
      </w:r>
    </w:p>
    <w:p>
      <w:pPr>
        <w:pStyle w:val="BodyText"/>
      </w:pPr>
      <w:r>
        <w:t xml:space="preserve">一种观点强调，将属性解释为被测量对象时，应说明该属性如何对响应产生作用。另一类论证更重视分数解释和使用所获得的综合支持。两种思路都要求超过“题目看起来合理”的表面判断。不能凭一个统计系数宣布工具已经永久有效。</w:t>
      </w:r>
    </w:p>
    <w:p>
      <w:pPr>
        <w:pStyle w:val="BodyText"/>
      </w:pPr>
      <w:r>
        <w:t xml:space="preserve">效度证据还会随用途变化。能够区分群体平均水平的任务，可能缺乏精确排列个体的能力；能监测短期症状的问卷，未必适合预测长期复发。把原用途下的证据转移到新用途，需要补充相应研究。</w:t>
      </w:r>
    </w:p>
    <w:bookmarkEnd w:id="1265"/>
    <w:bookmarkStart w:id="1266" w:name="sec-66-3"/>
    <w:p>
      <w:pPr>
        <w:pStyle w:val="Heading3"/>
      </w:pPr>
      <w:r>
        <w:t xml:space="preserve">66.3　内容覆盖与反应过程</w:t>
      </w:r>
    </w:p>
    <w:p>
      <w:pPr>
        <w:pStyle w:val="FirstParagraph"/>
      </w:pPr>
      <w:r>
        <w:t xml:space="preserve">一个量表应明确希望覆盖哪些表现，以及为什么选择这些项目。如果只保留最容易得到一致回答的项目，可能提高内部一致性，却缩窄了构念内容。例如，将复杂功能全部替换成几道相似的速度题，会使测量偏向速度。</w:t>
      </w:r>
    </w:p>
    <w:p>
      <w:pPr>
        <w:pStyle w:val="BodyText"/>
      </w:pPr>
      <w:r>
        <w:t xml:space="preserve">反应过程包括参与者怎样理解问题、检索经历、作出判断和选择答案。相同选项可能来自不同理解；语言、文化、年龄、阅读能力与情境都可能改变这些步骤。认知访谈、实际任务观察和错误分析能够提供分数之外的证据。</w:t>
      </w:r>
    </w:p>
    <w:p>
      <w:pPr>
        <w:pStyle w:val="BodyText"/>
      </w:pPr>
      <w:r>
        <w:t xml:space="preserve">工具修改也需要重新论证。删除项目、缩短时间、改变评分、加入线上施测或更换提示，可能改变测量关系。旧工具的名称和文献引用不能自动覆盖修改后的程序。研究应报告修改细节与相应验证</w:t>
      </w:r>
      <w:r>
        <w:rPr>
          <w:vertAlign w:val="superscript"/>
        </w:rPr>
        <w:t xml:space="preserve">[</w:t>
      </w:r>
      <w:hyperlink w:anchor="ref-641">
        <w:r>
          <w:rPr>
            <w:rStyle w:val="Hyperlink"/>
            <w:vertAlign w:val="superscript"/>
          </w:rPr>
          <w:t xml:space="preserve">641</w:t>
        </w:r>
      </w:hyperlink>
      <w:r>
        <w:rPr>
          <w:vertAlign w:val="superscript"/>
        </w:rPr>
        <w:t xml:space="preserve">]</w:t>
      </w:r>
      <w:r>
        <w:t xml:space="preserve">。</w:t>
      </w:r>
    </w:p>
    <w:bookmarkEnd w:id="1266"/>
    <w:bookmarkStart w:id="1267" w:name="sec-66-4"/>
    <w:p>
      <w:pPr>
        <w:pStyle w:val="Heading3"/>
      </w:pPr>
      <w:r>
        <w:t xml:space="preserve">66.4　经典测量模型中的真分数</w:t>
      </w:r>
    </w:p>
    <w:p>
      <w:pPr>
        <w:pStyle w:val="FirstParagraph"/>
      </w:pPr>
      <w:r>
        <w:t xml:space="preserve">经典测量理论常把观察分数写成真分数与误差之和。这里的真分数通常定义为在指定重复测量条件下的期望分数，并不表示一个人不受环境影响的永恒本质。改变施测条件或目标范围，所讨论的期望也可能改变。</w:t>
      </w:r>
    </w:p>
    <w:p>
      <w:pPr>
        <w:pStyle w:val="BodyText"/>
      </w:pPr>
      <w:r>
        <w:t xml:space="preserve">广义的测量偏差可以包含随机波动和稳定的系统偏差。严格按照经典真分数定义，误差项是在指定重复条件下相对期望分数的偏离；稳定存在的校准错误或方法偏差可以进入该期望分数，因而不会必然降低重测信度。若所有参与者都在同一错误校准的设备上测试，结果可能稳定却偏离目标；持续的语言理解偏差也不会仅靠重复施测消失。</w:t>
      </w:r>
    </w:p>
    <w:p>
      <w:pPr>
        <w:pStyle w:val="BodyText"/>
      </w:pPr>
      <w:r>
        <w:t xml:space="preserve">因此，可靠与准确需要分别分析。一个测量可以重复得很好，同时测到了与目标不完全相同的内容。降低随机误差是重要进步，仍需证明测量与构念之间的关系。</w:t>
      </w:r>
    </w:p>
    <w:bookmarkEnd w:id="1267"/>
    <w:bookmarkStart w:id="1268" w:name="sec-66-5"/>
    <w:p>
      <w:pPr>
        <w:pStyle w:val="Heading3"/>
      </w:pPr>
      <w:r>
        <w:t xml:space="preserve">66.5　信度为何依赖样本与用途</w:t>
      </w:r>
    </w:p>
    <w:p>
      <w:pPr>
        <w:pStyle w:val="FirstParagraph"/>
      </w:pPr>
      <w:r>
        <w:t xml:space="preserve">在常见模型中，信度表示观察分数变异中可归于所定义真分数变异的比例。它与样本中个体差异的范围有关。如果研究对象高度同质，稳定的个体差异很小，同样的测量误差可能导致较低信度；更异质的样本则可能得到较高值。</w:t>
      </w:r>
    </w:p>
    <w:p>
      <w:pPr>
        <w:pStyle w:val="BodyText"/>
      </w:pPr>
      <w:hyperlink w:anchor="sec-65-5">
        <w:r>
          <w:rPr>
            <w:rStyle w:val="Hyperlink"/>
          </w:rPr>
          <w:t xml:space="preserve">65.5 节</w:t>
        </w:r>
      </w:hyperlink>
      <w:r>
        <w:t xml:space="preserve">已指出，一个任务可以稳定引起平均实验效应，同时不能稳定排列参与者。群体平均比较利用重复试次降低平均误差，个体差异分析则依赖每个人之间的可靠变化。两种研究目标对测量有不同要求</w:t>
      </w:r>
      <w:r>
        <w:rPr>
          <w:vertAlign w:val="superscript"/>
        </w:rPr>
        <w:t xml:space="preserve">[</w:t>
      </w:r>
      <w:hyperlink w:anchor="ref-421">
        <w:r>
          <w:rPr>
            <w:rStyle w:val="Hyperlink"/>
            <w:vertAlign w:val="superscript"/>
          </w:rPr>
          <w:t xml:space="preserve">421</w:t>
        </w:r>
      </w:hyperlink>
      <w:r>
        <w:rPr>
          <w:vertAlign w:val="superscript"/>
        </w:rPr>
        <w:t xml:space="preserve">]</w:t>
      </w:r>
      <w:r>
        <w:t xml:space="preserve">。</w:t>
      </w:r>
    </w:p>
    <w:p>
      <w:pPr>
        <w:pStyle w:val="BodyText"/>
      </w:pPr>
      <w:r>
        <w:t xml:space="preserve">不能仅引用过去研究的信度来保证当前资料。任务版本、设备、年龄、语言和施测环境变化后，应重新评估适用性。研究个体风险或变化时，尤其需要报告目标人群中的重复性与误差尺度。</w:t>
      </w:r>
    </w:p>
    <w:bookmarkEnd w:id="1268"/>
    <w:bookmarkStart w:id="1269" w:name="sec-66-6"/>
    <w:p>
      <w:pPr>
        <w:pStyle w:val="Heading3"/>
      </w:pPr>
      <w:r>
        <w:t xml:space="preserve">66.6　内部一致性与因子结构</w:t>
      </w:r>
    </w:p>
    <w:p>
      <w:pPr>
        <w:pStyle w:val="FirstParagraph"/>
      </w:pPr>
      <w:r>
        <w:t xml:space="preserve">内部一致性衡量项目之间某种共同变化。Cronbach α经常被使用，但其解释依赖项目关系和误差结构；高α也可能由大量近似重复项目产生。它不能独自证明单维结构，更不能单独建立构念效度</w:t>
      </w:r>
      <w:r>
        <w:rPr>
          <w:vertAlign w:val="superscript"/>
        </w:rPr>
        <w:t xml:space="preserve">[</w:t>
      </w:r>
      <w:hyperlink w:anchor="ref-643">
        <w:r>
          <w:rPr>
            <w:rStyle w:val="Hyperlink"/>
            <w:vertAlign w:val="superscript"/>
          </w:rPr>
          <w:t xml:space="preserve">643</w:t>
        </w:r>
      </w:hyperlink>
      <w:r>
        <w:rPr>
          <w:vertAlign w:val="superscript"/>
        </w:rPr>
        <w:t xml:space="preserve">]</w:t>
      </w:r>
      <w:r>
        <w:t xml:space="preserve">。</w:t>
      </w:r>
    </w:p>
    <w:p>
      <w:pPr>
        <w:pStyle w:val="BodyText"/>
      </w:pPr>
      <w:r>
        <w:t xml:space="preserve">不同的ω系数建立在不同因子模型上，可以帮助描述总分中哪些变异来自共同因子。选择ω并不会自动解决问题，因为模型若不合适，估计仍可能误导。应说明采用的因子结构、相关误差、项目尺度与不确定区间。</w:t>
      </w:r>
    </w:p>
    <w:p>
      <w:pPr>
        <w:pStyle w:val="BodyText"/>
      </w:pPr>
      <w:r>
        <w:t xml:space="preserve">量表需要在内容广度和测量精度之间取得合理平衡。过度追求单一一致性数值，可能删除罕见但重要的表现。对于由不同症状共同描述的临床状态，项目不完全相似本身也可能符合内容定义。</w:t>
      </w:r>
    </w:p>
    <w:bookmarkEnd w:id="1269"/>
    <w:bookmarkStart w:id="1270" w:name="sec-66-7"/>
    <w:p>
      <w:pPr>
        <w:pStyle w:val="Heading3"/>
      </w:pPr>
      <w:r>
        <w:t xml:space="preserve">66.7　相关与一致性的不同含义</w:t>
      </w:r>
    </w:p>
    <w:p>
      <w:pPr>
        <w:pStyle w:val="FirstParagraph"/>
      </w:pPr>
      <w:r>
        <w:t xml:space="preserve">设同一批人在两次测验中保持完全相同的排序，但第二次每人都增加10分。两次分数的相关可以为1，同时存在明显的系统差异。如果目标是评价绝对变化或跨设备可互换性，仅报告相关并不充分。</w:t>
      </w:r>
    </w:p>
    <w:p>
      <w:pPr>
        <w:pStyle w:val="BodyText"/>
      </w:pPr>
      <w:r>
        <w:t xml:space="preserve">组内相关系数有不同形式，可能关注一致性或绝对一致，也可能针对单次测量或多次平均。研究应明确所用模型与用途。一个未说明定义的ICC数值，很难判断是否满足当前要求</w:t>
      </w:r>
      <w:r>
        <w:rPr>
          <w:vertAlign w:val="superscript"/>
        </w:rPr>
        <w:t xml:space="preserve">[</w:t>
      </w:r>
      <w:hyperlink w:anchor="ref-586">
        <w:r>
          <w:rPr>
            <w:rStyle w:val="Hyperlink"/>
            <w:vertAlign w:val="superscript"/>
          </w:rPr>
          <w:t xml:space="preserve">586</w:t>
        </w:r>
      </w:hyperlink>
      <w:r>
        <w:rPr>
          <w:vertAlign w:val="superscript"/>
        </w:rPr>
        <w:t xml:space="preserve">]</w:t>
      </w:r>
      <w:r>
        <w:t xml:space="preserve">。</w:t>
      </w:r>
    </w:p>
    <w:p>
      <w:pPr>
        <w:pStyle w:val="BodyText"/>
      </w:pPr>
      <w:r>
        <w:t xml:space="preserve">重复性还需要适当时间间隔。间隔太短可能受到记忆和练习影响，太长则可能包含真实变化。对于本来会随状态改变的现象，低重测相关未必全是测量错误；需要把状态变化与误差分开建模。</w:t>
      </w:r>
    </w:p>
    <w:bookmarkEnd w:id="1270"/>
    <w:bookmarkStart w:id="1271" w:name="sec-66-8"/>
    <w:p>
      <w:pPr>
        <w:pStyle w:val="Heading3"/>
      </w:pPr>
      <w:r>
        <w:t xml:space="preserve">66.8　聚合效度、区分效度与方法成分</w:t>
      </w:r>
    </w:p>
    <w:p>
      <w:pPr>
        <w:pStyle w:val="FirstParagraph"/>
      </w:pPr>
      <w:r>
        <w:t xml:space="preserve">如果两种不同方法都希望测量同一属性，适当的对应可以提供聚合证据；如果不同属性在测量上无法区分，则需要检查定义或方法。Campbell与Fiske提出的多特质多方法思路，强调同时考察特质关系与共同方法影响</w:t>
      </w:r>
      <w:r>
        <w:rPr>
          <w:vertAlign w:val="superscript"/>
        </w:rPr>
        <w:t xml:space="preserve">[</w:t>
      </w:r>
      <w:hyperlink w:anchor="ref-644">
        <w:r>
          <w:rPr>
            <w:rStyle w:val="Hyperlink"/>
            <w:vertAlign w:val="superscript"/>
          </w:rPr>
          <w:t xml:space="preserve">644</w:t>
        </w:r>
      </w:hyperlink>
      <w:r>
        <w:rPr>
          <w:vertAlign w:val="superscript"/>
        </w:rPr>
        <w:t xml:space="preserve">]</w:t>
      </w:r>
      <w:r>
        <w:t xml:space="preserve">。</w:t>
      </w:r>
    </w:p>
    <w:p>
      <w:pPr>
        <w:pStyle w:val="BodyText"/>
      </w:pPr>
      <w:r>
        <w:t xml:space="preserve">两个自评问卷相关较高，可能部分来自相同的答题风格、情绪状态或措辞。自评与行为任务相关较低，也可能反映时间尺度、情境和测量对象不同。不能只凭一个相关系数就断言两者完全相同或其中一个毫无价值。</w:t>
      </w:r>
    </w:p>
    <w:p>
      <w:pPr>
        <w:pStyle w:val="BodyText"/>
      </w:pPr>
      <w:r>
        <w:t xml:space="preserve">较好的设计会使用多种方法，并预先说明预期关系。具体数值应结合测量误差、样本范围和理论预测解释。固定采用一个通用相关阈值，往往不足以解决复杂构念的区分问题。</w:t>
      </w:r>
    </w:p>
    <w:bookmarkEnd w:id="1271"/>
    <w:bookmarkStart w:id="1272" w:name="sec-66-9"/>
    <w:p>
      <w:pPr>
        <w:pStyle w:val="Heading3"/>
      </w:pPr>
      <w:r>
        <w:t xml:space="preserve">66.9　因子模型能够与不能说明什么</w:t>
      </w:r>
    </w:p>
    <w:p>
      <w:pPr>
        <w:pStyle w:val="FirstParagraph"/>
      </w:pPr>
      <w:r>
        <w:t xml:space="preserve">因子分析利用项目之间的协方差，建立少数潜在维度对共同变化的解释。一个简单模型可以写为：观察值等于截距，加上载荷乘以潜在变量，再加残差。载荷表示模型中的对应关系，残差包含尚未由共同因子解释的部分。</w:t>
      </w:r>
    </w:p>
    <w:p>
      <w:pPr>
        <w:pStyle w:val="BodyText"/>
      </w:pPr>
      <w:r>
        <w:t xml:space="preserve">同一协方差结构可能由不同机制产生，包括共同原因、项目之间的相互作用、共享环境或方法因素。因此，找到一个因子不能单独证明脑内存在与该因子同名的独立器官。统计结构与生物实现之间需要额外证据。</w:t>
      </w:r>
    </w:p>
    <w:p>
      <w:pPr>
        <w:pStyle w:val="BodyText"/>
      </w:pPr>
      <w:r>
        <w:t xml:space="preserve">探索性因子分析允许寻找可能结构；验证性分析检验事先规定的结构。不断查看修正指数后修改模型，会使原来的验证转为探索。模型比较应考虑理论、局部残差、复杂度和独立重复，不能只挑选一个整体拟合指标。</w:t>
      </w:r>
    </w:p>
    <w:bookmarkEnd w:id="1272"/>
    <w:bookmarkStart w:id="1273" w:name="sec-66-10"/>
    <w:p>
      <w:pPr>
        <w:pStyle w:val="Heading3"/>
      </w:pPr>
      <w:r>
        <w:t xml:space="preserve">66.10　模型识别与因子分数</w:t>
      </w:r>
    </w:p>
    <w:p>
      <w:pPr>
        <w:pStyle w:val="FirstParagraph"/>
      </w:pPr>
      <w:r>
        <w:t xml:space="preserve">潜变量通常需要固定尺度，例如指定某个载荷或因子方差。不同尺度选择可以改变参数数值，同时保留相同的模型含义。报告时应解释标准化方式，避免把模型坐标当成具有天然单位的生物量。</w:t>
      </w:r>
    </w:p>
    <w:p>
      <w:pPr>
        <w:pStyle w:val="BodyText"/>
      </w:pPr>
      <w:r>
        <w:t xml:space="preserve">因子分数是根据模型和观察响应估计的值，通常具有不确定性。不同估计方法或模型可以给出略不同的个体分数。将估计分数直接用于后续回归时，应考虑误差传播，特别是在需要精确个体判断时。</w:t>
      </w:r>
    </w:p>
    <w:p>
      <w:pPr>
        <w:pStyle w:val="BodyText"/>
      </w:pPr>
      <w:r>
        <w:t xml:space="preserve">样本量要求取决于参数数量、载荷、项目分布、缺失、模型复杂度和目标精度。简单规定每个项目配若干人，无法保证所有模型都可靠。模拟设计和独立验证可以帮助评估具体方案。</w:t>
      </w:r>
    </w:p>
    <w:bookmarkEnd w:id="1273"/>
    <w:bookmarkStart w:id="1274" w:name="sec-66-11"/>
    <w:p>
      <w:pPr>
        <w:pStyle w:val="Heading3"/>
      </w:pPr>
      <w:r>
        <w:t xml:space="preserve">66.11　反映式指标与组成式指标</w:t>
      </w:r>
    </w:p>
    <w:p>
      <w:pPr>
        <w:pStyle w:val="FirstParagraph"/>
      </w:pPr>
      <w:r>
        <w:t xml:space="preserve">有些模型把潜在属性视为多个响应的共同来源，项目被当作属性的表现。另一些指标则由不同组成部分定义，例如把若干生活功能相加形成综合分数。两种构造对项目相关、删除项目和因果解释有不同含义。</w:t>
      </w:r>
    </w:p>
    <w:p>
      <w:pPr>
        <w:pStyle w:val="BodyText"/>
      </w:pPr>
      <w:r>
        <w:t xml:space="preserve">如果一个综合指标包括行动、交流和自理，删除其中一项可能直接改变所定义的功能范围。不能因为该项与其他项相关较低，就认定它无用。相反，若模型主张所有项目都反映同一潜变量，较低相关可能提示误差或模型不合。</w:t>
      </w:r>
    </w:p>
    <w:p>
      <w:pPr>
        <w:pStyle w:val="BodyText"/>
      </w:pPr>
      <w:r>
        <w:t xml:space="preserve">还应区分因果指标与组合指标。因果指标模型提出某些变量对潜在属性具有结构作用，并允许该属性仍有未被这些变量决定的残差；组合指标则按定义构成一个加权分数，权重规定计算规则，不能直接解释为因果效应。“形成式”一词在文献中使用并不完全一致，报告方程、残差假设与变量定义比只画箭头更清楚。协变量还可能用于调整混杂，却并不属于构念的测量内容</w:t>
      </w:r>
      <w:r>
        <w:rPr>
          <w:vertAlign w:val="superscript"/>
        </w:rPr>
        <w:t xml:space="preserve">[</w:t>
      </w:r>
      <w:hyperlink w:anchor="ref-645">
        <w:r>
          <w:rPr>
            <w:rStyle w:val="Hyperlink"/>
            <w:vertAlign w:val="superscript"/>
          </w:rPr>
          <w:t xml:space="preserve">645</w:t>
        </w:r>
      </w:hyperlink>
      <w:r>
        <w:rPr>
          <w:vertAlign w:val="superscript"/>
        </w:rPr>
        <w:t xml:space="preserve">]</w:t>
      </w:r>
      <w:r>
        <w:t xml:space="preserve">。</w:t>
      </w:r>
    </w:p>
    <w:p>
      <w:pPr>
        <w:pStyle w:val="BodyText"/>
      </w:pPr>
      <w:r>
        <w:t xml:space="preserve">临床症状还可能彼此影响，例如睡眠、疲劳与注意形成动态联系。仅凭横断面相关难以区分共同潜变量与症状网络。研究需要结合时间资料、干预与明确理论；某种图形模型在经过这些检验之前，不能当成已经证实的病因结构</w:t>
      </w:r>
      <w:r>
        <w:rPr>
          <w:vertAlign w:val="superscript"/>
        </w:rPr>
        <w:t xml:space="preserve">[</w:t>
      </w:r>
      <w:hyperlink w:anchor="ref-641">
        <w:r>
          <w:rPr>
            <w:rStyle w:val="Hyperlink"/>
            <w:vertAlign w:val="superscript"/>
          </w:rPr>
          <w:t xml:space="preserve">641</w:t>
        </w:r>
      </w:hyperlink>
      <w:r>
        <w:rPr>
          <w:vertAlign w:val="superscript"/>
        </w:rPr>
        <w:t xml:space="preserve">,</w:t>
      </w:r>
      <w:hyperlink w:anchor="ref-642">
        <w:r>
          <w:rPr>
            <w:rStyle w:val="Hyperlink"/>
            <w:vertAlign w:val="superscript"/>
          </w:rPr>
          <w:t xml:space="preserve">642</w:t>
        </w:r>
      </w:hyperlink>
      <w:r>
        <w:rPr>
          <w:vertAlign w:val="superscript"/>
        </w:rPr>
        <w:t xml:space="preserve">]</w:t>
      </w:r>
      <w:r>
        <w:t xml:space="preserve">。</w:t>
      </w:r>
    </w:p>
    <w:bookmarkEnd w:id="1274"/>
    <w:bookmarkStart w:id="1275" w:name="sec-66-12"/>
    <w:p>
      <w:pPr>
        <w:pStyle w:val="Heading3"/>
      </w:pPr>
      <w:r>
        <w:t xml:space="preserve">66.12　有序选项与分数间距</w:t>
      </w:r>
    </w:p>
    <w:p>
      <w:pPr>
        <w:pStyle w:val="FirstParagraph"/>
      </w:pPr>
      <w:r>
        <w:t xml:space="preserve">问卷中的“从不、偶尔、经常、几乎总是”具有顺序，但相邻选项之间是否等距需要假设。把它们编码为0、1、2、3，便于计算，并不自动证明心理距离相同。统计方法应与项目尺度、分布和用途相匹配。</w:t>
      </w:r>
    </w:p>
    <w:p>
      <w:pPr>
        <w:pStyle w:val="BodyText"/>
      </w:pPr>
      <w:r>
        <w:t xml:space="preserve">有序变量模型可以通过潜在连续响应与阈值描述选项。多分相关等方法也依赖相应分布假设。使用更复杂方法时，应检查模型适配和解释稳定性，避免只因技术名称更高级就忽略假设。</w:t>
      </w:r>
    </w:p>
    <w:p>
      <w:pPr>
        <w:pStyle w:val="BodyText"/>
      </w:pPr>
      <w:r>
        <w:t xml:space="preserve">总分常具有实用价值，但不同项目组合可以产生同样总分。两个相同分数的参与者可能具有不同困难结构，需要结合分项、病程与实际功能解释。总分越被用于具体行动，越需要检查这些差异。</w:t>
      </w:r>
    </w:p>
    <w:bookmarkEnd w:id="1275"/>
    <w:bookmarkStart w:id="1276" w:name="sec-66-13"/>
    <w:p>
      <w:pPr>
        <w:pStyle w:val="Heading3"/>
      </w:pPr>
      <w:r>
        <w:t xml:space="preserve">66.13　项目反应模型的基本思想</w:t>
      </w:r>
    </w:p>
    <w:p>
      <w:pPr>
        <w:pStyle w:val="FirstParagraph"/>
      </w:pPr>
      <w:r>
        <w:t xml:space="preserve">项目反应理论把某个项目的响应概率与潜在属性及项目参数联系起来。一个简化的二参数逻辑模型可以写成P(答对|θ)=1/[1+exp(−a(θ−b))]。其中θ表示所定义的能力位置，b表示项目位置，a表示曲线区分程度；这些含义都依赖模型与尺度约束</w:t>
      </w:r>
      <w:r>
        <w:rPr>
          <w:vertAlign w:val="superscript"/>
        </w:rPr>
        <w:t xml:space="preserve">[</w:t>
      </w:r>
      <w:hyperlink w:anchor="ref-646">
        <w:r>
          <w:rPr>
            <w:rStyle w:val="Hyperlink"/>
            <w:vertAlign w:val="superscript"/>
          </w:rPr>
          <w:t xml:space="preserve">646</w:t>
        </w:r>
      </w:hyperlink>
      <w:r>
        <w:rPr>
          <w:vertAlign w:val="superscript"/>
        </w:rPr>
        <w:t xml:space="preserve">]</w:t>
      </w:r>
      <w:r>
        <w:t xml:space="preserve">。</w:t>
      </w:r>
    </w:p>
    <w:p>
      <w:pPr>
        <w:pStyle w:val="BodyText"/>
      </w:pPr>
      <w:r>
        <w:t xml:space="preserve">在该教学模型中，当θ等于b时，答对概率为0.5；当a等于1且θ比b高1个尺度单位时，概率约为0.731。这里没有加入猜测参数、局部依赖或多维能力。模型数值可以帮助理解关系，不能直接用于解释任意现实试题。</w:t>
      </w:r>
    </w:p>
    <w:p>
      <w:pPr>
        <w:pStyle w:val="BodyText"/>
      </w:pPr>
      <w:r>
        <w:t xml:space="preserve">项目难度的解释依赖所用模型和人群间的可比性条件。模型成立并经过适当链接时，参数可以在相关人群间具有较好可比性；如果语言、课程或策略改变了响应机制，原参数可能不再适用。所谓参数不变性需要证据。</w:t>
      </w:r>
    </w:p>
    <w:bookmarkEnd w:id="1276"/>
    <w:bookmarkStart w:id="1277" w:name="sec-66-14"/>
    <w:p>
      <w:pPr>
        <w:pStyle w:val="Heading3"/>
      </w:pPr>
      <w:r>
        <w:t xml:space="preserve">66.14　测量信息随能力位置变化</w:t>
      </w:r>
    </w:p>
    <w:p>
      <w:pPr>
        <w:pStyle w:val="FirstParagraph"/>
      </w:pPr>
      <w:r>
        <w:t xml:space="preserve">一个测验在中间范围可能区分精细，在极高或极低范围则几乎无人出错或几乎无人答对。这意味着测量精度随属性位置变化。用一个总体信度概括所有个人，可能掩盖两端的较大误差。</w:t>
      </w:r>
    </w:p>
    <w:p>
      <w:pPr>
        <w:pStyle w:val="BodyText"/>
      </w:pPr>
      <w:r>
        <w:t xml:space="preserve">自适应测验依据当前估计选择后续项目，以提高某些条件下的效率。它仍需可靠题库、内容平衡、停止规则、项目安全与适当模型。计算机根据答题选择下一题，不自动说明结果比固定测验准确。</w:t>
      </w:r>
    </w:p>
    <w:p>
      <w:pPr>
        <w:pStyle w:val="BodyText"/>
      </w:pPr>
      <w:r>
        <w:t xml:space="preserve">临床和教育用途还要避免只追求数学信息。某些安全、功能或课程领域即使在统计上难以提供高区分度，仍可能需要评估。内容目标与测量精度应共同进入设计。</w:t>
      </w:r>
    </w:p>
    <w:bookmarkEnd w:id="1277"/>
    <w:bookmarkStart w:id="1278" w:name="sec-66-15"/>
    <w:p>
      <w:pPr>
        <w:pStyle w:val="Heading3"/>
      </w:pPr>
      <w:r>
        <w:t xml:space="preserve">66.15　差异项目功能与公平解释</w:t>
      </w:r>
    </w:p>
    <w:p>
      <w:pPr>
        <w:pStyle w:val="FirstParagraph"/>
      </w:pPr>
      <w:r>
        <w:t xml:space="preserve">差异项目功能关注在模型所界定的相同潜在属性水平下，不同群体对某项目是否具有不同响应概率。它可以提示语言、经验、策略或内容适配问题。群体平均分数不同与差异项目功能属于不同问题，不能直接互相替代。</w:t>
      </w:r>
    </w:p>
    <w:p>
      <w:pPr>
        <w:pStyle w:val="BodyText"/>
      </w:pPr>
      <w:r>
        <w:t xml:space="preserve">检验依赖能够连接群体的锚项目与模型。若锚本身存在偏差，结果也可能失真。发现统计差异后，还需通过内容和反应过程判断原因。差异项目功能并不自动证明歧视，也不应被忽略。</w:t>
      </w:r>
    </w:p>
    <w:p>
      <w:pPr>
        <w:pStyle w:val="BodyText"/>
      </w:pPr>
      <w:r>
        <w:t xml:space="preserve">公平性还涉及测验可及性、施测条件、合理支持、使用后果与目标定义。仅通过某一统计检验，无法完成全部公平判断；仅存在群体差异，也不足以确定某种生物原因</w:t>
      </w:r>
      <w:r>
        <w:rPr>
          <w:vertAlign w:val="superscript"/>
        </w:rPr>
        <w:t xml:space="preserve">[</w:t>
      </w:r>
      <w:hyperlink w:anchor="ref-647">
        <w:r>
          <w:rPr>
            <w:rStyle w:val="Hyperlink"/>
            <w:vertAlign w:val="superscript"/>
          </w:rPr>
          <w:t xml:space="preserve">647</w:t>
        </w:r>
      </w:hyperlink>
      <w:r>
        <w:rPr>
          <w:vertAlign w:val="superscript"/>
        </w:rPr>
        <w:t xml:space="preserve">]</w:t>
      </w:r>
      <w:r>
        <w:t xml:space="preserve">。</w:t>
      </w:r>
    </w:p>
    <w:bookmarkEnd w:id="1278"/>
    <w:bookmarkStart w:id="1279" w:name="sec-66-16"/>
    <w:p>
      <w:pPr>
        <w:pStyle w:val="Heading3"/>
      </w:pPr>
      <w:r>
        <w:t xml:space="preserve">66.16　测量不变性与群体比较</w:t>
      </w:r>
    </w:p>
    <w:p>
      <w:pPr>
        <w:pStyle w:val="FirstParagraph"/>
      </w:pPr>
      <w:r>
        <w:t xml:space="preserve">比较群体或时间点之前，需要考虑测量关系是否足够一致。常见层次包括结构形式相近、载荷可比、截距或阈值可比，以及更严格的残差条件。不同层次支持的比较不同，不能把某一层次的检验通过推广为全部层次都可比</w:t>
      </w:r>
      <w:r>
        <w:rPr>
          <w:vertAlign w:val="superscript"/>
        </w:rPr>
        <w:t xml:space="preserve">[</w:t>
      </w:r>
      <w:hyperlink w:anchor="ref-647">
        <w:r>
          <w:rPr>
            <w:rStyle w:val="Hyperlink"/>
            <w:vertAlign w:val="superscript"/>
          </w:rPr>
          <w:t xml:space="preserve">647</w:t>
        </w:r>
      </w:hyperlink>
      <w:r>
        <w:rPr>
          <w:vertAlign w:val="superscript"/>
        </w:rPr>
        <w:t xml:space="preserve">]</w:t>
      </w:r>
      <w:r>
        <w:t xml:space="preserve">。</w:t>
      </w:r>
    </w:p>
    <w:p>
      <w:pPr>
        <w:pStyle w:val="BodyText"/>
      </w:pPr>
      <w:r>
        <w:t xml:space="preserve">例如，比较潜在均值通常需要对截距或阈值作出适当约束。如果某群体在相同潜在状态下更倾向选择较高选项，观察平均差异可能包含响应方式的作用。对于纵向资料，项目含义随年龄或治疗改变也会造成问题。</w:t>
      </w:r>
    </w:p>
    <w:p>
      <w:pPr>
        <w:pStyle w:val="BodyText"/>
      </w:pPr>
      <w:r>
        <w:t xml:space="preserve">实际资料可能只支持部分不变性。研究应明确哪些项目被释放、选择依据是什么，以及结论对这些决定是否敏感。把不合模型的项目逐项删除直到得到理想结果，可能改变构念并增加选择偏倚。</w:t>
      </w:r>
    </w:p>
    <w:bookmarkEnd w:id="1279"/>
    <w:bookmarkStart w:id="1280" w:name="sec-66-17"/>
    <w:p>
      <w:pPr>
        <w:pStyle w:val="Heading3"/>
      </w:pPr>
      <w:r>
        <w:t xml:space="preserve">66.17　常模与参照人群</w:t>
      </w:r>
    </w:p>
    <w:p>
      <w:pPr>
        <w:pStyle w:val="FirstParagraph"/>
      </w:pPr>
      <w:r>
        <w:t xml:space="preserve">常模把个人表现放入某个参照群体的分布。解释需要知道该群体的抽样、年龄、语言、教育、文化与健康状况，以及资料收集时间。一个百分位只表示相对于相应常模的位置，不能自动转成绝对能力或疾病概率。</w:t>
      </w:r>
    </w:p>
    <w:p>
      <w:pPr>
        <w:pStyle w:val="BodyText"/>
      </w:pPr>
      <w:r>
        <w:t xml:space="preserve">标准分也依赖转换规则。均值和标准差被设定为某些数值，只是建立可比较尺度；它没有使测量误差消失，也没有说明不同分数间的实际功能差异恒定。对极端分数尤其需要检查样本量和估计稳定性。</w:t>
      </w:r>
    </w:p>
    <w:p>
      <w:pPr>
        <w:pStyle w:val="BodyText"/>
      </w:pPr>
      <w:r>
        <w:t xml:space="preserve">跨语言使用通常需要翻译、文化适配和实证检验。反向翻译可以发现部分措辞问题，却不能保证相同的生活经验、难度和响应过程。更换常模或施测方式后，历史结果的直接比较也需要谨慎。</w:t>
      </w:r>
    </w:p>
    <w:bookmarkEnd w:id="1280"/>
    <w:bookmarkStart w:id="1281" w:name="sec-66-18"/>
    <w:p>
      <w:pPr>
        <w:pStyle w:val="Heading3"/>
      </w:pPr>
      <w:r>
        <w:t xml:space="preserve">66.18　可靠变化与重要变化</w:t>
      </w:r>
    </w:p>
    <w:p>
      <w:pPr>
        <w:pStyle w:val="FirstParagraph"/>
      </w:pPr>
      <w:r>
        <w:t xml:space="preserve">可靠变化关注观察到的差异是否超过测量误差所能合理解释的范围；重要变化关注差异是否对生活、症状或目标具有实质意义。两者可以同时成立，也可以分离。很小但测量精确的变化可能可靠，却没有明显实际收益；重要改善也可能因测量噪声较大而估计不精确</w:t>
      </w:r>
      <w:r>
        <w:rPr>
          <w:vertAlign w:val="superscript"/>
        </w:rPr>
        <w:t xml:space="preserve">[</w:t>
      </w:r>
      <w:hyperlink w:anchor="ref-648">
        <w:r>
          <w:rPr>
            <w:rStyle w:val="Hyperlink"/>
            <w:vertAlign w:val="superscript"/>
          </w:rPr>
          <w:t xml:space="preserve">648</w:t>
        </w:r>
      </w:hyperlink>
      <w:r>
        <w:rPr>
          <w:vertAlign w:val="superscript"/>
        </w:rPr>
        <w:t xml:space="preserve">]</w:t>
      </w:r>
      <w:r>
        <w:t xml:space="preserve">。</w:t>
      </w:r>
    </w:p>
    <w:p>
      <w:pPr>
        <w:pStyle w:val="BodyText"/>
      </w:pPr>
      <w:r>
        <w:t xml:space="preserve">在一个经典假设例子中，分数标准差为10，信度为0.84，单次测量标准误为10乘以0.16的平方根，即4。若两次测量误差独立且具有相同方差，差值标准误约为5.66。分数变化8分对应的可靠变化指数约为1.41，未达到常用双侧1.96界值。</w:t>
      </w:r>
    </w:p>
    <w:p>
      <w:pPr>
        <w:pStyle w:val="BodyText"/>
      </w:pPr>
      <w:r>
        <w:t xml:space="preserve">这只是教学模型。实际重复测量可能存在练习、相关误差、不同方差和真实状态变化；需要使用适合人群与工具的参数。可靠变化界值也不能独自确定诊断、康复或治疗选择。Jacobson与Truax提出的方法框架将可靠改变与临床意义分别考虑，其应用需要保留这些条件</w:t>
      </w:r>
      <w:r>
        <w:rPr>
          <w:vertAlign w:val="superscript"/>
        </w:rPr>
        <w:t xml:space="preserve">[</w:t>
      </w:r>
      <w:hyperlink w:anchor="ref-648">
        <w:r>
          <w:rPr>
            <w:rStyle w:val="Hyperlink"/>
            <w:vertAlign w:val="superscript"/>
          </w:rPr>
          <w:t xml:space="preserve">648</w:t>
        </w:r>
      </w:hyperlink>
      <w:r>
        <w:rPr>
          <w:vertAlign w:val="superscript"/>
        </w:rPr>
        <w:t xml:space="preserve">]</w:t>
      </w:r>
      <w:r>
        <w:t xml:space="preserve">。</w:t>
      </w:r>
    </w:p>
    <w:bookmarkEnd w:id="1281"/>
    <w:bookmarkStart w:id="1282" w:name="sec-66-19"/>
    <w:p>
      <w:pPr>
        <w:pStyle w:val="Heading3"/>
      </w:pPr>
      <w:r>
        <w:t xml:space="preserve">66.19　回归均值、练习与天花板</w:t>
      </w:r>
    </w:p>
    <w:p>
      <w:pPr>
        <w:pStyle w:val="FirstParagraph"/>
      </w:pPr>
      <w:r>
        <w:t xml:space="preserve">按一次极端分数选择参与者时，其中一部分极端程度可能来自暂时波动。再次测量即使没有有效干预，也可能更靠近群体平均。这个现象需要通过对照、重复基线或合适模型区分，不能把全部回升都归因于训练或治疗。</w:t>
      </w:r>
    </w:p>
    <w:p>
      <w:pPr>
        <w:pStyle w:val="BodyText"/>
      </w:pPr>
      <w:r>
        <w:t xml:space="preserve">重复测试还会带来熟悉材料、理解规则和策略调整。平行版本可以减少某些记忆影响，但版本等值仍需检验。若新版本更简单，分数改善不能完全解释为能力变化。</w:t>
      </w:r>
    </w:p>
    <w:p>
      <w:pPr>
        <w:pStyle w:val="BodyText"/>
      </w:pPr>
      <w:r>
        <w:t xml:space="preserve">天花板与地板效应会限制可观察变化。起点已接近最高分的人可能继续学会重要技能，却难以在该量表上提高；低端聚集则可能掩盖不同程度的困难。选择测量时应使其范围覆盖预期变化。</w:t>
      </w:r>
    </w:p>
    <w:bookmarkEnd w:id="1282"/>
    <w:bookmarkStart w:id="1283" w:name="sec-66-20"/>
    <w:p>
      <w:pPr>
        <w:pStyle w:val="Heading3"/>
      </w:pPr>
      <w:r>
        <w:t xml:space="preserve">66.20　多项测验与低分基率</w:t>
      </w:r>
    </w:p>
    <w:p>
      <w:pPr>
        <w:pStyle w:val="FirstParagraph"/>
      </w:pPr>
      <w:r>
        <w:t xml:space="preserve">健康参照人群中也会出现较低分数，尤其在同一次评估包含许多测验时。不能只要某一项低于阈值，就推断存在特定疾病。解释应结合低分的联合分布、病史、功能变化和测量误差。</w:t>
      </w:r>
    </w:p>
    <w:p>
      <w:pPr>
        <w:pStyle w:val="BodyText"/>
      </w:pPr>
      <w:r>
        <w:t xml:space="preserve">设十项测验完全独立，每项在标准正态参照中低于−1.5个标准差的概率约为6.68%。至少一项低于该界值的概率约为49.9%。这是独立正态假设下的教学计算；现实测验通常相关，因此具体联合概率需要适当常模资料。</w:t>
      </w:r>
    </w:p>
    <w:p>
      <w:pPr>
        <w:pStyle w:val="BodyText"/>
      </w:pPr>
      <w:r>
        <w:t xml:space="preserve">不同分项的差异同样需要基率。一个人的语言分数高于空间分数，并不自动构成异常分离；应检查这种差异在相应人群中有多常见，以及两项误差和相关。显著的组间平均差异也不能直接诊断个人。</w:t>
      </w:r>
    </w:p>
    <w:bookmarkEnd w:id="1283"/>
    <w:bookmarkStart w:id="1284" w:name="sec-66-21"/>
    <w:p>
      <w:pPr>
        <w:pStyle w:val="Heading3"/>
      </w:pPr>
      <w:r>
        <w:t xml:space="preserve">66.21　多信息来源与情境差异</w:t>
      </w:r>
    </w:p>
    <w:p>
      <w:pPr>
        <w:pStyle w:val="FirstParagraph"/>
      </w:pPr>
      <w:r>
        <w:t xml:space="preserve">本人、家长、教师、伴侣和临床观察者看到的行为可能不同，因为他们接触的情境、时间与任务不同。信息不一致可以反映误差，也可以揭示真实的情境依赖。简单取平均或只选一个最符合预期的来源，可能丢失重要信息。</w:t>
      </w:r>
    </w:p>
    <w:p>
      <w:pPr>
        <w:pStyle w:val="BodyText"/>
      </w:pPr>
      <w:r>
        <w:t xml:space="preserve">应先明确各来源能够观察什么。例如，主观痛苦、睡眠体验和隐蔽想法主要依赖本人报告；课堂行为、日常任务完成和外显动作则可能由不同观察者提供补充。来源优先级需要与问题匹配。</w:t>
      </w:r>
    </w:p>
    <w:p>
      <w:pPr>
        <w:pStyle w:val="BodyText"/>
      </w:pPr>
      <w:r>
        <w:t xml:space="preserve">访谈和标准量表可以相互支持。标准程序提高可比性，开放询问帮助发现工具未覆盖的内容。研究若只用一类分数定义全部状态，应明确其覆盖范围。</w:t>
      </w:r>
    </w:p>
    <w:bookmarkEnd w:id="1284"/>
    <w:bookmarkStart w:id="1285" w:name="sec-66-22"/>
    <w:p>
      <w:pPr>
        <w:pStyle w:val="Heading3"/>
      </w:pPr>
      <w:r>
        <w:t xml:space="preserve">66.22　数字测量与日常行为数据</w:t>
      </w:r>
    </w:p>
    <w:p>
      <w:pPr>
        <w:pStyle w:val="FirstParagraph"/>
      </w:pPr>
      <w:r>
        <w:t xml:space="preserve">手机、可穿戴设备和在线任务可以提供密集资料，但传感器记录仍需解释。屏幕使用时间、步数、语音停顿或打字节律可能与多种行为和环境相关，不能直接命名为情绪、注意或疾病。</w:t>
      </w:r>
    </w:p>
    <w:p>
      <w:pPr>
        <w:pStyle w:val="BodyText"/>
      </w:pPr>
      <w:r>
        <w:t xml:space="preserve">设备型号、佩戴方式、操作系统、网络、生活工作安排和缺失机制都可能影响数据。一个人在生病或压力较大时减少使用设备，会使缺失本身与研究状态相关。只分析完整资料可能偏向特定人群。</w:t>
      </w:r>
    </w:p>
    <w:p>
      <w:pPr>
        <w:pStyle w:val="BodyText"/>
      </w:pPr>
      <w:r>
        <w:t xml:space="preserve">数字工具还应说明测量目的、可见范围和数据控制。更多采样不会自动带来更好的构念效度。对个人风险或临床用途的承诺，需要独立人群、时间外验证与实际使用评价</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hyperlink w:anchor="ref-641">
        <w:r>
          <w:rPr>
            <w:rStyle w:val="Hyperlink"/>
            <w:vertAlign w:val="superscript"/>
          </w:rPr>
          <w:t xml:space="preserve">641</w:t>
        </w:r>
      </w:hyperlink>
      <w:r>
        <w:rPr>
          <w:vertAlign w:val="superscript"/>
        </w:rPr>
        <w:t xml:space="preserve">]</w:t>
      </w:r>
      <w:r>
        <w:t xml:space="preserve">。</w:t>
      </w:r>
    </w:p>
    <w:bookmarkEnd w:id="1285"/>
    <w:bookmarkStart w:id="1286" w:name="sec-66-23"/>
    <w:p>
      <w:pPr>
        <w:pStyle w:val="Heading3"/>
      </w:pPr>
      <w:r>
        <w:t xml:space="preserve">66.23　神经测量如何连接心理分数</w:t>
      </w:r>
    </w:p>
    <w:p>
      <w:pPr>
        <w:pStyle w:val="FirstParagraph"/>
      </w:pPr>
      <w:r>
        <w:t xml:space="preserve">将一个脑指标与量表相关，可以增加关于二者关系的信息，却不能自动解决量表的解释问题。若行为指标本身混合了速度、动机和记忆，脑关联也可能包含这些成分。神经数据需要与测量理论共同进入模型。</w:t>
      </w:r>
    </w:p>
    <w:p>
      <w:pPr>
        <w:pStyle w:val="BodyText"/>
      </w:pPr>
      <w:r>
        <w:t xml:space="preserve">对潜变量进行脑关联研究时，应传播因子估计和测量误差的不确定性，并检查模型在不同群体中的可比性。先在整个样本上选取最有利分数，再验证脑关联，会增加结果依赖的选择。</w:t>
      </w:r>
    </w:p>
    <w:p>
      <w:pPr>
        <w:pStyle w:val="BodyText"/>
      </w:pPr>
      <w:r>
        <w:t xml:space="preserve">更有约束力的研究可以同时改变任务过程、测量神经时间进程并预测具体错误。量表和脑信号各自提供独立限制，共同支持机制解释。若两类指标不一致，应寻找测量与理论层面的原因。</w:t>
      </w:r>
    </w:p>
    <w:bookmarkEnd w:id="1286"/>
    <w:bookmarkStart w:id="1288" w:name="sec-66-24"/>
    <w:p>
      <w:pPr>
        <w:pStyle w:val="Heading3"/>
      </w:pPr>
      <w:r>
        <w:t xml:space="preserve">66.24　关键概念对照</w:t>
      </w:r>
    </w:p>
    <w:p>
      <w:pPr>
        <w:pStyle w:val="TableCaption"/>
      </w:pPr>
      <w:bookmarkStart w:id="1287" w:name="tab-psychometric"/>
      <w:bookmarkEnd w:id="1287"/>
      <w:r>
        <w:rPr>
          <w:bCs/>
          <w:b/>
        </w:rPr>
        <w:t xml:space="preserve">表 23　心理测量关键概念对照</w:t>
      </w:r>
    </w:p>
    <w:tbl>
      <w:tblPr>
        <w:tblStyle w:val="Table"/>
        <w:tblW w:type="pct" w:w="5000"/>
        <w:jc w:val="start"/>
        <w:tblLook w:firstRow="1" w:lastRow="0" w:firstColumn="0" w:lastColumn="0" w:noHBand="0" w:noVBand="0" w:val="0020"/>
      </w:tblPr>
      <w:tblGrid>
        <w:gridCol w:w="1159"/>
        <w:gridCol w:w="3090"/>
        <w:gridCol w:w="3670"/>
      </w:tblGrid>
      <w:tr>
        <w:trPr>
          <w:tblHeader w:val="true"/>
        </w:trPr>
        <w:tc>
          <w:tcPr>
            <w:shd w:val="clear" w:color="auto" w:fill="1F3A5F"/>
          </w:tcPr>
          <w:p>
            <w:pPr>
              <w:jc w:val="left"/>
            </w:pPr>
            <w:r>
              <w:rPr>
                <w:bCs/>
                <w:b/>
                <w:color w:val="FFFFFF"/>
              </w:rPr>
              <w:t xml:space="preserve">概念</w:t>
            </w:r>
          </w:p>
        </w:tc>
        <w:tc>
          <w:tcPr>
            <w:shd w:val="clear" w:color="auto" w:fill="1F3A5F"/>
          </w:tcPr>
          <w:p>
            <w:pPr>
              <w:jc w:val="left"/>
            </w:pPr>
            <w:r>
              <w:rPr>
                <w:bCs/>
                <w:b/>
                <w:color w:val="FFFFFF"/>
              </w:rPr>
              <w:t xml:space="preserve">主要问题</w:t>
            </w:r>
          </w:p>
        </w:tc>
        <w:tc>
          <w:tcPr>
            <w:shd w:val="clear" w:color="auto" w:fill="1F3A5F"/>
          </w:tcPr>
          <w:p>
            <w:pPr>
              <w:jc w:val="left"/>
            </w:pPr>
            <w:r>
              <w:rPr>
                <w:bCs/>
                <w:b/>
                <w:color w:val="FFFFFF"/>
              </w:rPr>
              <w:t xml:space="preserve">常见错误推广</w:t>
            </w:r>
          </w:p>
        </w:tc>
      </w:tr>
      <w:tr>
        <w:tc>
          <w:tcPr/>
          <w:p>
            <w:pPr>
              <w:jc w:val="left"/>
            </w:pPr>
            <w:r>
              <w:t xml:space="preserve">信度</w:t>
            </w:r>
          </w:p>
        </w:tc>
        <w:tc>
          <w:tcPr/>
          <w:p>
            <w:pPr>
              <w:jc w:val="left"/>
            </w:pPr>
            <w:r>
              <w:t xml:space="preserve">在指定条件下有多少可靠差异</w:t>
            </w:r>
          </w:p>
        </w:tc>
        <w:tc>
          <w:tcPr/>
          <w:p>
            <w:pPr>
              <w:jc w:val="left"/>
            </w:pPr>
            <w:r>
              <w:t xml:space="preserve">把稳定性直接当作测到正确构念</w:t>
            </w:r>
          </w:p>
        </w:tc>
      </w:tr>
      <w:tr>
        <w:tc>
          <w:tcPr/>
          <w:p>
            <w:pPr>
              <w:jc w:val="left"/>
            </w:pPr>
            <w:r>
              <w:t xml:space="preserve">构念效度</w:t>
            </w:r>
          </w:p>
        </w:tc>
        <w:tc>
          <w:tcPr/>
          <w:p>
            <w:pPr>
              <w:jc w:val="left"/>
            </w:pPr>
            <w:r>
              <w:t xml:space="preserve">证据是否支持所赋予的含义</w:t>
            </w:r>
          </w:p>
        </w:tc>
        <w:tc>
          <w:tcPr/>
          <w:p>
            <w:pPr>
              <w:jc w:val="left"/>
            </w:pPr>
            <w:r>
              <w:t xml:space="preserve">以工具名称或单一相关代替完整论证</w:t>
            </w:r>
          </w:p>
        </w:tc>
      </w:tr>
      <w:tr>
        <w:tc>
          <w:tcPr/>
          <w:p>
            <w:pPr>
              <w:jc w:val="left"/>
            </w:pPr>
            <w:r>
              <w:t xml:space="preserve">测量不变性</w:t>
            </w:r>
          </w:p>
        </w:tc>
        <w:tc>
          <w:tcPr/>
          <w:p>
            <w:pPr>
              <w:jc w:val="left"/>
            </w:pPr>
            <w:r>
              <w:t xml:space="preserve">不同群体或时间的测量关系是否可比</w:t>
            </w:r>
          </w:p>
        </w:tc>
        <w:tc>
          <w:tcPr/>
          <w:p>
            <w:pPr>
              <w:jc w:val="left"/>
            </w:pPr>
            <w:r>
              <w:t xml:space="preserve">一个层次通过后默认所有均值与变化都可比</w:t>
            </w:r>
          </w:p>
        </w:tc>
      </w:tr>
      <w:tr>
        <w:tc>
          <w:tcPr/>
          <w:p>
            <w:pPr>
              <w:jc w:val="left"/>
            </w:pPr>
            <w:r>
              <w:t xml:space="preserve">可靠变化</w:t>
            </w:r>
          </w:p>
        </w:tc>
        <w:tc>
          <w:tcPr/>
          <w:p>
            <w:pPr>
              <w:jc w:val="left"/>
            </w:pPr>
            <w:r>
              <w:t xml:space="preserve">差异是否超过相应测量误差范围</w:t>
            </w:r>
          </w:p>
        </w:tc>
        <w:tc>
          <w:tcPr/>
          <w:p>
            <w:pPr>
              <w:jc w:val="left"/>
            </w:pPr>
            <w:r>
              <w:t xml:space="preserve">直接解释为临床重要或治疗造成</w:t>
            </w:r>
          </w:p>
        </w:tc>
      </w:tr>
      <w:tr>
        <w:tc>
          <w:tcPr/>
          <w:p>
            <w:pPr>
              <w:jc w:val="left"/>
            </w:pPr>
            <w:r>
              <w:t xml:space="preserve">最小重要变化</w:t>
            </w:r>
          </w:p>
        </w:tc>
        <w:tc>
          <w:tcPr/>
          <w:p>
            <w:pPr>
              <w:jc w:val="left"/>
            </w:pPr>
            <w:r>
              <w:t xml:space="preserve">差异对目标人群与实际功能是否重要</w:t>
            </w:r>
          </w:p>
        </w:tc>
        <w:tc>
          <w:tcPr/>
          <w:p>
            <w:pPr>
              <w:jc w:val="left"/>
            </w:pPr>
            <w:r>
              <w:t xml:space="preserve">假定同一界值适合所有基线、人群和时间</w:t>
            </w:r>
          </w:p>
        </w:tc>
      </w:tr>
      <w:tr>
        <w:tc>
          <w:tcPr/>
          <w:p>
            <w:pPr>
              <w:jc w:val="left"/>
            </w:pPr>
            <w:r>
              <w:t xml:space="preserve">常模位置</w:t>
            </w:r>
          </w:p>
        </w:tc>
        <w:tc>
          <w:tcPr/>
          <w:p>
            <w:pPr>
              <w:jc w:val="left"/>
            </w:pPr>
            <w:r>
              <w:t xml:space="preserve">相对于指定参照群体处在何处</w:t>
            </w:r>
          </w:p>
        </w:tc>
        <w:tc>
          <w:tcPr/>
          <w:p>
            <w:pPr>
              <w:jc w:val="left"/>
            </w:pPr>
            <w:r>
              <w:t xml:space="preserve">当作疾病概率、固定本质或能力上限</w:t>
            </w:r>
          </w:p>
        </w:tc>
      </w:tr>
      <w:tr>
        <w:tc>
          <w:tcPr/>
          <w:p>
            <w:pPr>
              <w:jc w:val="left"/>
            </w:pPr>
            <w:r>
              <w:t xml:space="preserve">差异项目功能</w:t>
            </w:r>
          </w:p>
        </w:tc>
        <w:tc>
          <w:tcPr/>
          <w:p>
            <w:pPr>
              <w:jc w:val="left"/>
            </w:pPr>
            <w:r>
              <w:t xml:space="preserve">相同潜在水平下群体响应是否不同</w:t>
            </w:r>
          </w:p>
        </w:tc>
        <w:tc>
          <w:tcPr/>
          <w:p>
            <w:pPr>
              <w:jc w:val="left"/>
            </w:pPr>
            <w:r>
              <w:t xml:space="preserve">直接等同群体平均差异或已经证明不公平</w:t>
            </w:r>
          </w:p>
        </w:tc>
      </w:tr>
    </w:tbl>
    <w:p>
      <w:pPr>
        <w:pStyle w:val="BodyText"/>
      </w:pPr>
      <w:r>
        <w:rPr>
          <w:bCs/>
          <w:b/>
        </w:rPr>
        <w:t xml:space="preserve">本章结论</w:t>
      </w:r>
      <w:r>
        <w:t xml:space="preserve">　任何脑科学解释都需要先理解所用行为和心理测量。可靠性、效度、可比性、变化与实际用途是相互关联的检验。把这些环节说明清楚，能够让神经机制与人的真实表现建立更精确的联系。</w:t>
      </w:r>
    </w:p>
    <w:bookmarkEnd w:id="1288"/>
    <w:bookmarkEnd w:id="1289"/>
    <w:bookmarkStart w:id="1306" w:name="ch-67"/>
    <w:p>
      <w:pPr>
        <w:pStyle w:val="Heading2"/>
      </w:pPr>
      <w:r>
        <w:t xml:space="preserve">第67章　从动物机制到人体治疗</w:t>
      </w:r>
    </w:p>
    <w:p>
      <w:pPr>
        <w:pStyle w:val="CalloutJudgment"/>
      </w:pPr>
      <w:r>
        <w:rPr>
          <w:bCs/>
          <w:b/>
        </w:rPr>
        <w:t xml:space="preserve">核心判断与置信度</w:t>
      </w:r>
      <w:r>
        <w:t xml:space="preserve">　动物实验可以发现机制并检验干预，但其结果推广到人体需要逐项验证物种、疾病阶段、暴露和临床结局。动物有效无法保证人体获益，这一判断置信度高。具体模型的价值应按研究目的和预测记录评价</w:t>
      </w:r>
      <w:r>
        <w:rPr>
          <w:vertAlign w:val="superscript"/>
        </w:rPr>
        <w:t xml:space="preserve">[</w:t>
      </w:r>
      <w:hyperlink w:anchor="ref-617">
        <w:r>
          <w:rPr>
            <w:rStyle w:val="Hyperlink"/>
            <w:vertAlign w:val="superscript"/>
          </w:rPr>
          <w:t xml:space="preserve">617</w:t>
        </w:r>
      </w:hyperlink>
      <w:r>
        <w:rPr>
          <w:vertAlign w:val="superscript"/>
        </w:rPr>
        <w:t xml:space="preserve">,</w:t>
      </w:r>
      <w:hyperlink w:anchor="ref-649">
        <w:r>
          <w:rPr>
            <w:rStyle w:val="Hyperlink"/>
            <w:vertAlign w:val="superscript"/>
          </w:rPr>
          <w:t xml:space="preserve">649</w:t>
        </w:r>
      </w:hyperlink>
      <w:r>
        <w:rPr>
          <w:vertAlign w:val="superscript"/>
        </w:rPr>
        <w:t xml:space="preserve">]</w:t>
      </w:r>
      <w:r>
        <w:t xml:space="preserve">。</w:t>
      </w:r>
    </w:p>
    <w:bookmarkStart w:id="1290" w:name="sec-67-1"/>
    <w:p>
      <w:pPr>
        <w:pStyle w:val="Heading3"/>
      </w:pPr>
      <w:r>
        <w:t xml:space="preserve">67.1　模型首先模拟疾病的某个方面</w:t>
      </w:r>
    </w:p>
    <w:p>
      <w:pPr>
        <w:pStyle w:val="FirstParagraph"/>
      </w:pPr>
      <w:r>
        <w:t xml:space="preserve">疾病模型可以模拟一种分子变化、某段病理过程、特定行为表现或对已知治疗的反应。这些用途彼此不同。一个模型对研究突触损伤很好，未必适合评价复杂社会功能；一个任务能够检出镇静药影响，未必准确模拟人的抑郁心境。人类疾病常包含多种病理途径和临床亚型，一个模型可能只覆盖其中一条途径，仍具有重要机制价值；报告应说明模拟了哪一部分以及遗漏什么。模型名称不能替代构念验证，把模型名称直接写成人类疾病本身，会掩盖这种范围限定。</w:t>
      </w:r>
    </w:p>
    <w:p>
      <w:pPr>
        <w:pStyle w:val="BodyText"/>
      </w:pPr>
      <w:r>
        <w:t xml:space="preserve">表面相似、机制相似和预测有效需要分开，三者大致对应表面效度、构念效度和预测效度。表面相似指动物行为看起来像某个人类症状；机制相似指模型中的关键病理与人体具有可信对应；预测有效指模型对干预效果作出可靠预测。这些层次可以相互支持，但无法互相替代：一个动物表现类似某症状，不保证病因和治疗反应也相同。某种模型可以在其中一个方面有用，在其他方面存在明显限制，评价应明确是哪一种用途</w:t>
      </w:r>
      <w:r>
        <w:rPr>
          <w:vertAlign w:val="superscript"/>
        </w:rPr>
        <w:t xml:space="preserve">[</w:t>
      </w:r>
      <w:hyperlink w:anchor="ref-629">
        <w:r>
          <w:rPr>
            <w:rStyle w:val="Hyperlink"/>
            <w:vertAlign w:val="superscript"/>
          </w:rPr>
          <w:t xml:space="preserve">629</w:t>
        </w:r>
      </w:hyperlink>
      <w:r>
        <w:rPr>
          <w:vertAlign w:val="superscript"/>
        </w:rPr>
        <w:t xml:space="preserve">]</w:t>
      </w:r>
      <w:r>
        <w:t xml:space="preserve">。</w:t>
      </w:r>
    </w:p>
    <w:p>
      <w:pPr>
        <w:pStyle w:val="BodyText"/>
      </w:pPr>
      <w:r>
        <w:t xml:space="preserve">行为任务还受运动、感觉、食欲和应激影响。假设药物让动物在某任务中活动增加，可能来自运动能力改变、焦虑下降、探索动机增强或其他原因。要把结果解释为目标心理过程改善，需要控制任务并排除这些解释。给行为贴上“抑郁样”标签，无法完成这个推理。</w:t>
      </w:r>
    </w:p>
    <w:bookmarkEnd w:id="1290"/>
    <w:bookmarkStart w:id="1291" w:name="sec-67-2"/>
    <w:p>
      <w:pPr>
        <w:pStyle w:val="Heading3"/>
      </w:pPr>
      <w:r>
        <w:t xml:space="preserve">67.2　实验单位与样本独立性</w:t>
      </w:r>
    </w:p>
    <w:p>
      <w:pPr>
        <w:pStyle w:val="FirstParagraph"/>
      </w:pPr>
      <w:r>
        <w:t xml:space="preserve">一只动物提供100个细胞记录，不等于100只独立动物。细胞共享遗传、发育、饲养、处理和实验条件。若把所有细胞当作独立样本，标准误可能被低估，结果显得过于精确。需要说明推断对象是细胞、动物还是更广泛物种，并使用符合层级结构的分析。</w:t>
      </w:r>
    </w:p>
    <w:p>
      <w:pPr>
        <w:pStyle w:val="BodyText"/>
      </w:pPr>
      <w:r>
        <w:t xml:space="preserve">同一窝、同一笼或同一批次也会产生相关性。若某处理按整笼分配，处理效应的独立单位可能是笼；若只随机细胞却所有处理来自不同动物，动物差异可能与处理混杂。设计时应先确定随机化单位，分析时再对应数据层级</w:t>
      </w:r>
      <w:r>
        <w:rPr>
          <w:vertAlign w:val="superscript"/>
        </w:rPr>
        <w:t xml:space="preserve">[</w:t>
      </w:r>
      <w:hyperlink w:anchor="ref-617">
        <w:r>
          <w:rPr>
            <w:rStyle w:val="Hyperlink"/>
            <w:vertAlign w:val="superscript"/>
          </w:rPr>
          <w:t xml:space="preserve">617</w:t>
        </w:r>
      </w:hyperlink>
      <w:r>
        <w:rPr>
          <w:vertAlign w:val="superscript"/>
        </w:rPr>
        <w:t xml:space="preserve">]</w:t>
      </w:r>
      <w:r>
        <w:t xml:space="preserve">。</w:t>
      </w:r>
    </w:p>
    <w:p>
      <w:pPr>
        <w:pStyle w:val="BodyText"/>
      </w:pPr>
      <w:r>
        <w:t xml:space="preserve">重复实验还要区分技术重复和生物学重复。同一组织样本重复测量有助于了解测量误差，无法代替来自不同动物的重复。跨实验室、不同遗传背景及不同生理条件的重复，可以检验结果是否过度依赖某个局部环境。</w:t>
      </w:r>
    </w:p>
    <w:bookmarkEnd w:id="1291"/>
    <w:bookmarkStart w:id="1292" w:name="sec-67-3"/>
    <w:p>
      <w:pPr>
        <w:pStyle w:val="Heading3"/>
      </w:pPr>
      <w:r>
        <w:t xml:space="preserve">67.3　从给药剂量到作用部位暴露</w:t>
      </w:r>
    </w:p>
    <w:p>
      <w:pPr>
        <w:pStyle w:val="FirstParagraph"/>
      </w:pPr>
      <w:r>
        <w:t xml:space="preserve">动物与人之间的剂量不能只按体重简单换算。吸收、代谢、蛋白结合、清除、血脑屏障及活性代谢物都可能不同。研究真正需要比较的是靶组织在相关时间内达到的有效暴露，以及这种暴露是否具有可接受的风险。相同毫克每公斤并不保证相同药理作用。</w:t>
      </w:r>
    </w:p>
    <w:p>
      <w:pPr>
        <w:pStyle w:val="BodyText"/>
      </w:pPr>
      <w:r>
        <w:t xml:space="preserve">靶点存在也不能保证作用方向相同。受体表达、细胞类型分布、网络状态和疾病阶段会改变干预结果。过度理想化的模型可以帮助隔离机制，同时限制临床外推。</w:t>
      </w:r>
    </w:p>
    <w:bookmarkEnd w:id="1292"/>
    <w:bookmarkStart w:id="1293" w:name="sec-67-4"/>
    <w:p>
      <w:pPr>
        <w:pStyle w:val="Heading3"/>
      </w:pPr>
      <w:r>
        <w:t xml:space="preserve">67.4　替代终点与患者重要结局</w:t>
      </w:r>
    </w:p>
    <w:p>
      <w:pPr>
        <w:pStyle w:val="FirstParagraph"/>
      </w:pPr>
      <w:r>
        <w:t xml:space="preserve">减少某种蛋白聚集、降低炎症标记或改变影像读数，可以提供生物学信号。患者看重的结局可能是记忆、行走、交流、独立生活、疼痛或生存。机制标志物显示某生物过程受到影响，替代终点则希望能够可靠代表这些患者重要结局。一个指标与病情相关、能够预测病程或受到治疗改变，都不自动说明人为改变该指标就改善病程。判断替代性需要观察不同干预和研究中，指标变化与重要结局变化是否具有足够稳定关系；只在单一药物中出现对应，可能依赖该药物的其他作用。越是要用指标替代长期临床结果，证据要求越高。</w:t>
      </w:r>
    </w:p>
    <w:p>
      <w:pPr>
        <w:pStyle w:val="BodyText"/>
      </w:pPr>
      <w:r>
        <w:t xml:space="preserve">假设疾病同时导致标记物升高和功能下降，标记物可能是病理旁支。直接降低标记物，可能不影响主要损伤通路。另一种情况是药物同时影响标记物和功能，但功能收益来自其他作用；治疗还可能通过多条路径影响结局，其中有利和不利作用可能互相抵消。临床结局和机制结局应同时测量，并避免把两者相互代替。影像和分子指标对机制研究具有独立价值，不必都承担替代终点角色；清楚说明指标用途，可以避免把有意义的生物进展夸大为已经改善生活或延长寿命。</w:t>
      </w:r>
    </w:p>
    <w:p>
      <w:pPr>
        <w:pStyle w:val="BodyText"/>
      </w:pPr>
      <w:r>
        <w:t xml:space="preserve">动物功能任务也需要与人体结局建立具体联系。迷宫成绩改善可能受视觉、游泳能力、应激或动机影响；患者记忆涉及语言、日常环境和长期使用。任务间存在某些共同过程，可以成为转化研究的基础，仍需通过中间层实验检查。降低某组织标志、改善某短时任务和延长存活属于不同目标；若临床要改善独立生活能力，就应尽可能建立模型结局与这一目标之间的桥梁，不能只选择最容易出现变化的指标。</w:t>
      </w:r>
    </w:p>
    <w:bookmarkEnd w:id="1293"/>
    <w:bookmarkStart w:id="1294" w:name="sec-67-5"/>
    <w:p>
      <w:pPr>
        <w:pStyle w:val="Heading3"/>
      </w:pPr>
      <w:r>
        <w:t xml:space="preserve">67.5　转化失败的一个明确实例</w:t>
      </w:r>
    </w:p>
    <w:p>
      <w:pPr>
        <w:pStyle w:val="FirstParagraph"/>
      </w:pPr>
      <w:r>
        <w:t xml:space="preserve">SAINT II将3306名急性缺血性卒中患者纳入随机双盲试验，在症状后6小时内开始NXY-059或安慰剂输注。主要功能结局未证实获益：以改良Rankin量表评估的残疾分布在两组间没有差异，报告的比值比为0.94，95%置信区间0.83至1.06。该结果说明有前景的临床前证据不能保证人体疗效。它不能被用来计算所有动物研究的总体失败率，也不能否定每一种动物模型</w:t>
      </w:r>
      <w:r>
        <w:rPr>
          <w:vertAlign w:val="superscript"/>
        </w:rPr>
        <w:t xml:space="preserve">[</w:t>
      </w:r>
      <w:hyperlink w:anchor="ref-649">
        <w:r>
          <w:rPr>
            <w:rStyle w:val="Hyperlink"/>
            <w:vertAlign w:val="superscript"/>
          </w:rPr>
          <w:t xml:space="preserve">649</w:t>
        </w:r>
      </w:hyperlink>
      <w:r>
        <w:rPr>
          <w:vertAlign w:val="superscript"/>
        </w:rPr>
        <w:t xml:space="preserve">]</w:t>
      </w:r>
      <w:r>
        <w:t xml:space="preserve">。</w:t>
      </w:r>
    </w:p>
    <w:p>
      <w:pPr>
        <w:pStyle w:val="BodyText"/>
      </w:pPr>
      <w:r>
        <w:t xml:space="preserve">一次失败之后，需要区分多种解释：机制在人类中不够重要，暴露不足，给药时间不合适，入组人群太异质，动物证据受到偏倚，或所选结局没有反映目标收益。不同解释需要不同数据。不能为了保留原理论，事后任意改变所有条件。若每次阴性结果都被解释为剂量不对、时间不对或患者不对，而这些条件从未形成可预先检验的标准，理论就难以受到约束。合理修订应预先给出可区分的新预测，并在独立资料中承担失败风险。</w:t>
      </w:r>
    </w:p>
    <w:p>
      <w:pPr>
        <w:pStyle w:val="BodyText"/>
      </w:pPr>
      <w:r>
        <w:t xml:space="preserve">同样，临床失败不一定说明分子与疾病毫无关系。病理参与、可干预性和净临床收益属于不同问题。一个分子可能参与损伤，同时承担必要生理功能，阻断它便可能既有收益又有代价。药物能否在适当时间和组织实现净收益，需要直接验证。</w:t>
      </w:r>
    </w:p>
    <w:bookmarkEnd w:id="1294"/>
    <w:bookmarkStart w:id="1295" w:name="sec-67-6"/>
    <w:p>
      <w:pPr>
        <w:pStyle w:val="Heading3"/>
      </w:pPr>
      <w:r>
        <w:t xml:space="preserve">67.6　偏倚怎样进入动物证据</w:t>
      </w:r>
    </w:p>
    <w:p>
      <w:pPr>
        <w:pStyle w:val="FirstParagraph"/>
      </w:pPr>
      <w:r>
        <w:t xml:space="preserve">小样本、缺少随机化、评估者知道分组、只报告有效实验、事后排除动物及多重结局选择，都会影响可信度。动物行为和组织计量常包含判断环节，盲法尤其重要。实验失败的批次若从文献中消失，后续综述可能高估效果。</w:t>
      </w:r>
    </w:p>
    <w:p>
      <w:pPr>
        <w:pStyle w:val="BodyText"/>
      </w:pPr>
      <w:r>
        <w:t xml:space="preserve">预先定义排除规则有助于避免按结果决定谁进入分析。动物死亡、手术失败或严重不良反应本身也可能是干预结果的一部分，不能一律删去。研究应说明每个阶段动物数量及原因，并区分与处理无关的技术问题和可能由处理造成的损害</w:t>
      </w:r>
      <w:r>
        <w:rPr>
          <w:vertAlign w:val="superscript"/>
        </w:rPr>
        <w:t xml:space="preserve">[</w:t>
      </w:r>
      <w:hyperlink w:anchor="ref-617">
        <w:r>
          <w:rPr>
            <w:rStyle w:val="Hyperlink"/>
            <w:vertAlign w:val="superscript"/>
          </w:rPr>
          <w:t xml:space="preserve">617</w:t>
        </w:r>
      </w:hyperlink>
      <w:r>
        <w:rPr>
          <w:vertAlign w:val="superscript"/>
        </w:rPr>
        <w:t xml:space="preserve">]</w:t>
      </w:r>
      <w:r>
        <w:t xml:space="preserve">。</w:t>
      </w:r>
    </w:p>
    <w:bookmarkEnd w:id="1295"/>
    <w:bookmarkStart w:id="1296" w:name="sec-67-7"/>
    <w:p>
      <w:pPr>
        <w:pStyle w:val="Heading3"/>
      </w:pPr>
      <w:r>
        <w:t xml:space="preserve">67.7　人体研究如何逐步接续</w:t>
      </w:r>
    </w:p>
    <w:p>
      <w:pPr>
        <w:pStyle w:val="FirstParagraph"/>
      </w:pPr>
      <w:r>
        <w:t xml:space="preserve">早期人体研究常以安全、耐受、药代、可行性和靶点作用为主要目标，后续研究才逐步明确剂量、适应证和临床效果。不同阶段的阳性含义不同。证明药物到达靶点，无法替代证明患者功能改善。样本小、缺少合适对照或主要观察短期变化时，不能据此给出稳定的疗效估计；初步小样本信号也无法代替充分对照的验证性试验。探索性症状改善可以形成下一步假说，仍需明确其分析地位。</w:t>
      </w:r>
    </w:p>
    <w:p>
      <w:pPr>
        <w:pStyle w:val="BodyText"/>
      </w:pPr>
      <w:r>
        <w:t xml:space="preserve">随机试验仍需检查真实临床意义。平均分数改善可能很小，严重不良事件可能抵消收益，随访时间可能不足以判断持续性。应同时报告绝对效应、区间、退出和风险。治疗选择还需要结合患者状态、其他可用方案和可接受代价。</w:t>
      </w:r>
    </w:p>
    <w:p>
      <w:pPr>
        <w:pStyle w:val="BodyText"/>
      </w:pPr>
      <w:r>
        <w:t xml:space="preserve">某些疾病或罕见情况难以开展大型试验，证据路径可能使用适应性设计、自然史对照或其他方法。这些方法可以有价值，但需要更加明确的假设和偏倚评估。研究难度高不改变证据究竟支持什么，不能据此把不确定性从结论中删去。</w:t>
      </w:r>
    </w:p>
    <w:bookmarkEnd w:id="1296"/>
    <w:bookmarkStart w:id="1297" w:name="sec-67-8"/>
    <w:p>
      <w:pPr>
        <w:pStyle w:val="Heading3"/>
      </w:pPr>
      <w:r>
        <w:t xml:space="preserve">67.8　疾病阶段与干预时间</w:t>
      </w:r>
    </w:p>
    <w:p>
      <w:pPr>
        <w:pStyle w:val="FirstParagraph"/>
      </w:pPr>
      <w:r>
        <w:t xml:space="preserve">实验模型常具有清楚的起始时点，研究者能够在病变发生前或紧接发生时干预，某些实验还在损伤前预处理。临床患者通常在症状出现后才接受治疗，有些人在长期隐匿过程后才被识别。前后时间条件不同，能够改变靶点是否仍可逆、代偿是否形成以及组织是否已经丢失。</w:t>
      </w:r>
    </w:p>
    <w:p>
      <w:pPr>
        <w:pStyle w:val="BodyText"/>
      </w:pPr>
      <w:r>
        <w:t xml:space="preserve">预防损伤与逆转既有损伤是不同任务。预防性操作成功不能自动证明晚期治疗有效；论文若只检验前者，新闻不能自动写成后者。相反，晚期试验失败也未必否定早期靶点参与病程。要区分这些解释，需要在不同阶段验证靶点活动、组织状态和可实现干预窗口。</w:t>
      </w:r>
    </w:p>
    <w:p>
      <w:pPr>
        <w:pStyle w:val="BodyText"/>
      </w:pPr>
      <w:r>
        <w:t xml:space="preserve">临床时钟还包括发现、运输、评估和开始治疗的实际延迟。动物实验中的理想窗口即使可靠，也需要证明在现实流程中能够达到。转化研究应将服务系统与生物机制共同纳入可行性判断。</w:t>
      </w:r>
    </w:p>
    <w:bookmarkEnd w:id="1297"/>
    <w:bookmarkStart w:id="1298" w:name="sec-67-9"/>
    <w:p>
      <w:pPr>
        <w:pStyle w:val="Heading3"/>
      </w:pPr>
      <w:r>
        <w:t xml:space="preserve">67.9　年龄、共病与背景治疗</w:t>
      </w:r>
    </w:p>
    <w:p>
      <w:pPr>
        <w:pStyle w:val="FirstParagraph"/>
      </w:pPr>
      <w:r>
        <w:t xml:space="preserve">年轻、健康、遗传背景较一致的动物有助于减少部分变异，却可能缺少患者常见的衰老、血管风险、代谢疾病和既有治疗。若一种药在健康幼年动物中有效，人体目标却是患有多种疾病且接受其他药物的老年人，转化需要覆盖这些差异，因为目标通路在这些条件下的作用可能改变。扩展模型范围有助于检验结果稳健性，但应围绕有理由的调节因素安排。</w:t>
      </w:r>
    </w:p>
    <w:p>
      <w:pPr>
        <w:pStyle w:val="BodyText"/>
      </w:pPr>
      <w:r>
        <w:t xml:space="preserve">性别和生殖状态也可能影响药代、免疫及神经反应。仅在一种条件中发现效果，无法无条件推广到所有对象。完整报告让读者判断哪些群体得到直接检验，哪些仍依赖外推</w:t>
      </w:r>
      <w:r>
        <w:rPr>
          <w:vertAlign w:val="superscript"/>
        </w:rPr>
        <w:t xml:space="preserve">[</w:t>
      </w:r>
      <w:hyperlink w:anchor="ref-617">
        <w:r>
          <w:rPr>
            <w:rStyle w:val="Hyperlink"/>
            <w:vertAlign w:val="superscript"/>
          </w:rPr>
          <w:t xml:space="preserve">617</w:t>
        </w:r>
      </w:hyperlink>
      <w:r>
        <w:rPr>
          <w:vertAlign w:val="superscript"/>
        </w:rPr>
        <w:t xml:space="preserve">]</w:t>
      </w:r>
      <w:r>
        <w:t xml:space="preserve">。</w:t>
      </w:r>
    </w:p>
    <w:p>
      <w:pPr>
        <w:pStyle w:val="BodyText"/>
      </w:pPr>
      <w:r>
        <w:t xml:space="preserve">背景治疗尤其影响附加价值。如果人体患者已经接受有效治疗，新药需要在这一背景上增加收益；动物实验若完全没有相应背景，可能估计的是不同问题。治疗之间的相互作用需要在适当阶段进入研究。</w:t>
      </w:r>
    </w:p>
    <w:bookmarkEnd w:id="1298"/>
    <w:bookmarkStart w:id="1299" w:name="sec-67-10"/>
    <w:p>
      <w:pPr>
        <w:pStyle w:val="Heading3"/>
      </w:pPr>
      <w:r>
        <w:t xml:space="preserve">67.10　靶点参与和靶点可治疗性</w:t>
      </w:r>
    </w:p>
    <w:p>
      <w:pPr>
        <w:pStyle w:val="FirstParagraph"/>
      </w:pPr>
      <w:r>
        <w:t xml:space="preserve">某分子参与疾病形成，并不保证在症状出现后调节它能够改善疾病。它可能只在早期关键窗口起作用，也可能同时具有保护与损伤功能。治疗性判断需要明确方向、时间、组织及作用程度。</w:t>
      </w:r>
    </w:p>
    <w:p>
      <w:pPr>
        <w:pStyle w:val="BodyText"/>
      </w:pPr>
      <w:r>
        <w:t xml:space="preserve">遗传删除与药物调节也可能不同。终身缺少某分子能够引发补偿，短期药物可能只部分阻断某些作用；系统性给药还会影响脑外组织。由基因模型推到药物方案，需要继续验证暴露、选择性与功能后果。</w:t>
      </w:r>
    </w:p>
    <w:p>
      <w:pPr>
        <w:pStyle w:val="BodyText"/>
      </w:pPr>
      <w:r>
        <w:t xml:space="preserve">靶点参与的证据、药物到达靶点的证据和患者受益的证据应分开。临床试验失败时，如果没有证明足够靶点作用，就难以区分药物失败与机制失败；如果靶点作用已确认且重要结局仍无改善，则某些治疗假说受到更强挑战。</w:t>
      </w:r>
    </w:p>
    <w:bookmarkEnd w:id="1299"/>
    <w:bookmarkStart w:id="1300" w:name="sec-67-11"/>
    <w:p>
      <w:pPr>
        <w:pStyle w:val="Heading3"/>
      </w:pPr>
      <w:r>
        <w:t xml:space="preserve">67.11　NXY-059证据链怎样完整理解</w:t>
      </w:r>
    </w:p>
    <w:p>
      <w:pPr>
        <w:pStyle w:val="FirstParagraph"/>
      </w:pPr>
      <w:r>
        <w:t xml:space="preserve">SAINT II没有确认临床获益；随后SAINT I与II的合并分析在4894名进入该结局比较者中，改良Rankin量表残疾分布的比值比为1.02，95%置信区间0.92至1.13。这是两项试验资料的合并，不能再当作第三项独立随机试验</w:t>
      </w:r>
      <w:r>
        <w:rPr>
          <w:vertAlign w:val="superscript"/>
        </w:rPr>
        <w:t xml:space="preserve">[</w:t>
      </w:r>
      <w:hyperlink w:anchor="ref-650">
        <w:r>
          <w:rPr>
            <w:rStyle w:val="Hyperlink"/>
            <w:vertAlign w:val="superscript"/>
          </w:rPr>
          <w:t xml:space="preserve">650</w:t>
        </w:r>
      </w:hyperlink>
      <w:r>
        <w:rPr>
          <w:vertAlign w:val="superscript"/>
        </w:rPr>
        <w:t xml:space="preserve">]</w:t>
      </w:r>
      <w:r>
        <w:t xml:space="preserve">。</w:t>
      </w:r>
    </w:p>
    <w:p>
      <w:pPr>
        <w:pStyle w:val="BodyText"/>
      </w:pPr>
      <w:r>
        <w:t xml:space="preserve">2008年的动物研究系统综述指出，未报告若干关键质量措施的研究给出了更大效果估计。它提示动物证据可能受到方法和报告质量影响，但质量项目之间的关联属于研究间观察，不能凭此精确分解所有失败原因</w:t>
      </w:r>
      <w:r>
        <w:rPr>
          <w:vertAlign w:val="superscript"/>
        </w:rPr>
        <w:t xml:space="preserve">[</w:t>
      </w:r>
      <w:hyperlink w:anchor="ref-651">
        <w:r>
          <w:rPr>
            <w:rStyle w:val="Hyperlink"/>
            <w:vertAlign w:val="superscript"/>
          </w:rPr>
          <w:t xml:space="preserve">651</w:t>
        </w:r>
      </w:hyperlink>
      <w:r>
        <w:rPr>
          <w:vertAlign w:val="superscript"/>
        </w:rPr>
        <w:t xml:space="preserve">]</w:t>
      </w:r>
      <w:r>
        <w:t xml:space="preserve">。</w:t>
      </w:r>
    </w:p>
    <w:p>
      <w:pPr>
        <w:pStyle w:val="BodyText"/>
      </w:pPr>
      <w:r>
        <w:t xml:space="preserve">2009年的个体动物资料元分析进一步整理动物证据，同时指出仅依据发表报告评价实际实施质量可能发生误判。这类分歧强调两点：研究设计与透明报告都重要；对旧研究缺失的信息，应区分未实施与未报告</w:t>
      </w:r>
      <w:r>
        <w:rPr>
          <w:vertAlign w:val="superscript"/>
        </w:rPr>
        <w:t xml:space="preserve">[</w:t>
      </w:r>
      <w:hyperlink w:anchor="ref-652">
        <w:r>
          <w:rPr>
            <w:rStyle w:val="Hyperlink"/>
            <w:vertAlign w:val="superscript"/>
          </w:rPr>
          <w:t xml:space="preserve">652</w:t>
        </w:r>
      </w:hyperlink>
      <w:r>
        <w:rPr>
          <w:vertAlign w:val="superscript"/>
        </w:rPr>
        <w:t xml:space="preserve">]</w:t>
      </w:r>
      <w:r>
        <w:t xml:space="preserve">。</w:t>
      </w:r>
    </w:p>
    <w:bookmarkEnd w:id="1300"/>
    <w:bookmarkStart w:id="1301" w:name="sec-67-12"/>
    <w:p>
      <w:pPr>
        <w:pStyle w:val="Heading3"/>
      </w:pPr>
      <w:r>
        <w:t xml:space="preserve">67.12　多中心动物研究与系统综述</w:t>
      </w:r>
    </w:p>
    <w:p>
      <w:pPr>
        <w:pStyle w:val="FirstParagraph"/>
      </w:pPr>
      <w:r>
        <w:t xml:space="preserve">标准化能减少部分噪声，但极端统一的环境也可能使结果依赖特定条件。不同实验室重复可以检验结果对操作和环境的依赖。若多个中心采用预先协调的设计、随机化与盲法，并有计划地纳入条件差异，能够提供与单实验室不同的稳健性信息，也能检查外部效度。中心间差异可能揭示关键条件，值得如实报告；目标是理解哪些条件改变效应，随后建立具有边界的预测。仅在单一条件下得到极其稳定的结果，仍然不能保证跨条件泛化。</w:t>
      </w:r>
    </w:p>
    <w:p>
      <w:pPr>
        <w:pStyle w:val="BodyText"/>
      </w:pPr>
      <w:r>
        <w:t xml:space="preserve">动物研究的系统综述应尽量追踪未发表结果、重复样本和不同结局。只合并公开阳性研究，可能高估总体效果。个体动物资料有助于统一分析和检查调节因素，同时受到资料可获取性限制。</w:t>
      </w:r>
    </w:p>
    <w:p>
      <w:pPr>
        <w:pStyle w:val="BodyText"/>
      </w:pPr>
      <w:r>
        <w:t xml:space="preserve">多中心与大样本也有成本，设计应由科学问题和决策阶段决定。早期机制探索可能更重视细胞分辨率与干预精确性，接近临床转化时则更需要稳健性、异质性和真实条件。不同阶段需要不同验证重点。</w:t>
      </w:r>
    </w:p>
    <w:bookmarkEnd w:id="1301"/>
    <w:bookmarkStart w:id="1302" w:name="sec-67-13"/>
    <w:p>
      <w:pPr>
        <w:pStyle w:val="Heading3"/>
      </w:pPr>
      <w:r>
        <w:t xml:space="preserve">67.13　人源模型的补充作用</w:t>
      </w:r>
    </w:p>
    <w:p>
      <w:pPr>
        <w:pStyle w:val="FirstParagraph"/>
      </w:pPr>
      <w:r>
        <w:t xml:space="preserve">人源细胞、诱导多能干细胞和类器官能够研究某些人类遗传与细胞过程，为动物证据提供补充。其优势与限制依赖成熟度、细胞组成、空间组织和培养环境。一个人源模型包含人类细胞，仍不等于完整人体疾病系统。</w:t>
      </w:r>
    </w:p>
    <w:p>
      <w:pPr>
        <w:pStyle w:val="BodyText"/>
      </w:pPr>
      <w:r>
        <w:t xml:space="preserve">供体数量与细胞数量需要分别计数。同一供体产生很多培养孔，可以提高某些技术估计，却不能代表很多独立遗传背景。克隆、批次和培养条件也可能与组别混合。有效设计应明确这些层次并避免伪重复。</w:t>
      </w:r>
    </w:p>
    <w:p>
      <w:pPr>
        <w:pStyle w:val="BodyText"/>
      </w:pPr>
      <w:r>
        <w:t xml:space="preserve">模型中纠正一个分子异常，可能改善特定细胞表型；是否改善患者认知或功能，需要跨层次证据。动物、人源模型和临床观察可以相互约束，每一种都保留自己的观察范围。</w:t>
      </w:r>
    </w:p>
    <w:bookmarkEnd w:id="1302"/>
    <w:bookmarkStart w:id="1303" w:name="sec-67-14"/>
    <w:p>
      <w:pPr>
        <w:pStyle w:val="Heading3"/>
      </w:pPr>
      <w:r>
        <w:t xml:space="preserve">67.14　早期人体试验与疗效承诺</w:t>
      </w:r>
    </w:p>
    <w:p>
      <w:pPr>
        <w:pStyle w:val="FirstParagraph"/>
      </w:pPr>
      <w:r>
        <w:t xml:space="preserve">进入较大试验后，应预先确定主要结局、临床重要差异、随访和缺失处理。亚组发现需要检验交互及独立验证。若整体主要结果不支持获益，不能仅凭事后最有利亚组宣布治疗成功。</w:t>
      </w:r>
    </w:p>
    <w:p>
      <w:pPr>
        <w:pStyle w:val="BodyText"/>
      </w:pPr>
      <w:r>
        <w:t xml:space="preserve">安全性也随规模和时间积累。小试验没有观察到罕见事件，不能排除其存在。长期使用、合并治疗和不同病情可能产生新的风险。适用范围应随证据逐步扩展，不能从早期可行性直接跳到普遍安全有效。</w:t>
      </w:r>
    </w:p>
    <w:bookmarkEnd w:id="1303"/>
    <w:bookmarkStart w:id="1304" w:name="sec-67-15"/>
    <w:p>
      <w:pPr>
        <w:pStyle w:val="Heading3"/>
      </w:pPr>
      <w:r>
        <w:t xml:space="preserve">67.15　失败结果能够如何改善理论</w:t>
      </w:r>
    </w:p>
    <w:p>
      <w:pPr>
        <w:pStyle w:val="FirstParagraph"/>
      </w:pPr>
      <w:r>
        <w:t xml:space="preserve">一个高质量阴性试验可以排除有实际意义的效应范围，揭示靶点或实施条件的问题。它的科学价值取决于试验是否真正检验了目标假说，包括足够暴露、合适人群和可靠结局。失败需要被清楚定位。</w:t>
      </w:r>
    </w:p>
    <w:p>
      <w:pPr>
        <w:pStyle w:val="BodyText"/>
      </w:pPr>
      <w:r>
        <w:t xml:space="preserve">转化的目标是建立能够指导实际行动的可靠关系。动物和细胞机制提供起点，人体研究检验适用性与收益，临床实践再评估真实条件。每一阶段都能增加重要知识，同时需要明确标出证据链中哪些环节尚未得到验证。</w:t>
      </w:r>
    </w:p>
    <w:bookmarkEnd w:id="1304"/>
    <w:bookmarkStart w:id="1305" w:name="sec-67-16"/>
    <w:p>
      <w:pPr>
        <w:pStyle w:val="Heading3"/>
      </w:pPr>
      <w:r>
        <w:t xml:space="preserve">67.16　假设转化练习</w:t>
      </w:r>
    </w:p>
    <w:p>
      <w:pPr>
        <w:pStyle w:val="FirstParagraph"/>
      </w:pPr>
      <w:r>
        <w:t xml:space="preserve">某小鼠研究显示药物使迷宫表现提高20%。要评价临床意义，首先要问20%以何种指标计算，是错误次数、逃逸时间还是达到标准的比例；其次确认随机化、盲法、独立动物数、死亡和排除；随后检查药物是否改变运动与感觉；再确认模型、年龄、性别、剂量和时点。只有这些信息齐全，才能判断它为下一步人体研究提供多强依据。</w:t>
      </w:r>
    </w:p>
    <w:p>
      <w:pPr>
        <w:pStyle w:val="BodyText"/>
      </w:pPr>
      <w:r>
        <w:t xml:space="preserve">如果研究只测到一种炎症蛋白下降，不能把20%写成记忆提升。若所有动物由同一笼分组，不能把每个细胞当作独立复制。若处理在损伤前开始，结论应明确预处理条件。每个限定都保护了结果的真实含义，也帮助下一项研究找到最需要验证的环节。</w:t>
      </w:r>
    </w:p>
    <w:p>
      <w:pPr>
        <w:pStyle w:val="BodyText"/>
      </w:pPr>
      <w:r>
        <w:t xml:space="preserve">最后，应提出会改变判断的证据。例如，在独立实验室、相关年龄和合并疾病模型中复现功能收益，获得可比的人体暴露，并在严格人体试验中观察到患者重要结局改善，会逐步增强治疗主张。相反，只有替代标记持续改善而功能始终不变，应降低对临床用途的信心。</w:t>
      </w:r>
    </w:p>
    <w:p>
      <w:pPr>
        <w:pStyle w:val="BodyText"/>
      </w:pPr>
      <w:r>
        <w:rPr>
          <w:bCs/>
          <w:b/>
        </w:rPr>
        <w:t xml:space="preserve">本章的结论边界</w:t>
      </w:r>
      <w:r>
        <w:t xml:space="preserve">　动物研究的科学价值来自对具体机制和条件的可检验贡献。人体治疗承诺还需要人体证据。将两者之间每个条件写清，可以同时保护基础研究的价值和临床判断的准确性。</w:t>
      </w:r>
    </w:p>
    <w:bookmarkEnd w:id="1305"/>
    <w:bookmarkEnd w:id="1306"/>
    <w:bookmarkStart w:id="1324" w:name="ch-68"/>
    <w:p>
      <w:pPr>
        <w:pStyle w:val="Heading2"/>
      </w:pPr>
      <w:r>
        <w:t xml:space="preserve">第68章　神经科学解释怎样增加真实知识</w:t>
      </w:r>
    </w:p>
    <w:p>
      <w:pPr>
        <w:pStyle w:val="CalloutJudgment"/>
      </w:pPr>
      <w:r>
        <w:rPr>
          <w:bCs/>
          <w:b/>
        </w:rPr>
        <w:t xml:space="preserve">核心判断与置信度</w:t>
      </w:r>
      <w:r>
        <w:t xml:space="preserve">　专业术语、脑区名称和彩图不会自动增加解释力。有效解释需要可靠前提、相关证据、明确机制和可区分预测。对这一规范判断，置信度高。神经信息对读者说服力的实际影响，需要按呈现形式与实验设计分别评价</w:t>
      </w:r>
      <w:r>
        <w:rPr>
          <w:vertAlign w:val="superscript"/>
        </w:rPr>
        <w:t xml:space="preserve">[</w:t>
      </w:r>
      <w:hyperlink w:anchor="ref-601">
        <w:r>
          <w:rPr>
            <w:rStyle w:val="Hyperlink"/>
            <w:vertAlign w:val="superscript"/>
          </w:rPr>
          <w:t xml:space="preserve">601</w:t>
        </w:r>
      </w:hyperlink>
      <w:r>
        <w:rPr>
          <w:vertAlign w:val="superscript"/>
        </w:rPr>
        <w:t xml:space="preserve">,</w:t>
      </w:r>
      <w:hyperlink w:anchor="ref-602">
        <w:r>
          <w:rPr>
            <w:rStyle w:val="Hyperlink"/>
            <w:vertAlign w:val="superscript"/>
          </w:rPr>
          <w:t xml:space="preserve">602</w:t>
        </w:r>
      </w:hyperlink>
      <w:r>
        <w:rPr>
          <w:vertAlign w:val="superscript"/>
        </w:rPr>
        <w:t xml:space="preserve">,</w:t>
      </w:r>
      <w:hyperlink w:anchor="ref-603">
        <w:r>
          <w:rPr>
            <w:rStyle w:val="Hyperlink"/>
            <w:vertAlign w:val="superscript"/>
          </w:rPr>
          <w:t xml:space="preserve">603</w:t>
        </w:r>
      </w:hyperlink>
      <w:r>
        <w:rPr>
          <w:vertAlign w:val="superscript"/>
        </w:rPr>
        <w:t xml:space="preserve">]</w:t>
      </w:r>
      <w:r>
        <w:t xml:space="preserve">。</w:t>
      </w:r>
    </w:p>
    <w:bookmarkStart w:id="1307" w:name="sec-68-1"/>
    <w:p>
      <w:pPr>
        <w:pStyle w:val="Heading3"/>
      </w:pPr>
      <w:r>
        <w:t xml:space="preserve">68.1　一个解释必须承担预测</w:t>
      </w:r>
    </w:p>
    <w:p>
      <w:pPr>
        <w:pStyle w:val="FirstParagraph"/>
      </w:pPr>
      <w:r>
        <w:t xml:space="preserve">假设有人说某学习产品有效，因为它“激活神经可塑性”。这句话需要继续说明产品的独特操作是什么，改变哪种可测过程，在何种时间内提高什么能力，以及相同练习强度的对照是否也会产生效果。如果所有学习都能被描述成涉及可塑性，那么这个词本身没有解释产品的增量价值。</w:t>
      </w:r>
    </w:p>
    <w:p>
      <w:pPr>
        <w:pStyle w:val="BodyText"/>
      </w:pPr>
      <w:r>
        <w:t xml:space="preserve">一个解释越允许任意修改，越难受到证据约束。例如，结果提高时归因为脑被激活，结果降低时归因为脑在重组，完全不变时归因为效果潜伏。如果没有事先规定何种结果算失败，同一套词语便能适应所有数据。这类叙述无法有效区分真实机制和事后编排。</w:t>
      </w:r>
    </w:p>
    <w:p>
      <w:pPr>
        <w:pStyle w:val="BodyText"/>
      </w:pPr>
      <w:r>
        <w:t xml:space="preserve">好的解释应说明必要条件和失败条件。某训练如果依靠提取练习，则在控制总时间后改变提取次数应产生可预测影响；若依靠睡眠中的特定过程，则改变相关时间条件应改变效果。具体预测让理论承担风险，也让失败结果帮助修订解释。</w:t>
      </w:r>
    </w:p>
    <w:bookmarkEnd w:id="1307"/>
    <w:bookmarkStart w:id="1308" w:name="sec-68-2"/>
    <w:p>
      <w:pPr>
        <w:pStyle w:val="Heading3"/>
      </w:pPr>
      <w:r>
        <w:t xml:space="preserve">68.2　命名与解释的区别</w:t>
      </w:r>
    </w:p>
    <w:p>
      <w:pPr>
        <w:pStyle w:val="FirstParagraph"/>
      </w:pPr>
      <w:r>
        <w:t xml:space="preserve">“注意力差是因为注意网络功能差”可能只是同一现象的重新命名。只有当网络指标通过独立测量获得，并能预测尚未观察到的行为、区分竞争病因或指导有效干预时，它才增加新信息。解释链中的每一环都应有独立含义。</w:t>
      </w:r>
    </w:p>
    <w:p>
      <w:pPr>
        <w:pStyle w:val="BodyText"/>
      </w:pPr>
      <w:r>
        <w:t xml:space="preserve">脑区名称还容易把复杂概念实体化。把某区域叫作“控制中心”，会让人误以为该区域内部还有一个负责下命令的主体。完整机制需要说明输入、表征、计算、输出及反馈。神经科学的进步常发生在把这些环节拆开并检验关系时。</w:t>
      </w:r>
    </w:p>
    <w:p>
      <w:pPr>
        <w:pStyle w:val="BodyText"/>
      </w:pPr>
      <w:r>
        <w:t xml:space="preserve">同样，“多巴胺驱动”若不说明通路、释放位置、受体、时间尺度、下游细胞状态和行为条件，常只提供宽泛标签。一个分子参与多个过程，同一行为也可以通过多种通路实现；把所有作用压缩成一种固定心理标签，会丢失能够解释相反结果的条件。机制解释需要保留足够细节，使改变其中某个条件会产生不同预测。条件的增加也应有独立证据，不能在结果出现后无限添加补丁。</w:t>
      </w:r>
    </w:p>
    <w:bookmarkEnd w:id="1308"/>
    <w:bookmarkStart w:id="1309" w:name="sec-68-3"/>
    <w:p>
      <w:pPr>
        <w:pStyle w:val="Heading3"/>
      </w:pPr>
      <w:r>
        <w:t xml:space="preserve">68.3　说服力研究的实际结果</w:t>
      </w:r>
    </w:p>
    <w:p>
      <w:pPr>
        <w:pStyle w:val="FirstParagraph"/>
      </w:pPr>
      <w:r>
        <w:t xml:space="preserve">Weisberg等2008年比较好坏解释以及是否加入与逻辑无关的神经信息。非专家参与者对含神经信息的解释更满意，这种信息还能掩盖某些差解释的问题。研究检验的是特定材料下的评价，无法直接证明所有读者和所有场合都会被相同方式影响</w:t>
      </w:r>
      <w:r>
        <w:rPr>
          <w:vertAlign w:val="superscript"/>
        </w:rPr>
        <w:t xml:space="preserve">[</w:t>
      </w:r>
      <w:hyperlink w:anchor="ref-601">
        <w:r>
          <w:rPr>
            <w:rStyle w:val="Hyperlink"/>
            <w:vertAlign w:val="superscript"/>
          </w:rPr>
          <w:t xml:space="preserve">601</w:t>
        </w:r>
      </w:hyperlink>
      <w:r>
        <w:rPr>
          <w:vertAlign w:val="superscript"/>
        </w:rPr>
        <w:t xml:space="preserve">]</w:t>
      </w:r>
      <w:r>
        <w:t xml:space="preserve">。</w:t>
      </w:r>
    </w:p>
    <w:p>
      <w:pPr>
        <w:pStyle w:val="BodyText"/>
      </w:pPr>
      <w:r>
        <w:t xml:space="preserve">Bennett与McLaughlin在2024年的系统综述与元分析支持无关神经信息对自评满意和理解的吸引作用，同时显示呈现形式和设计会改变效应。Michael等2013年的10次重复、接近2000名参与者的研究，则发现单纯脑图片的额外说服作用很小或缺乏稳定支持。因此，文字术语与脑图的效果需要区分</w:t>
      </w:r>
      <w:r>
        <w:rPr>
          <w:vertAlign w:val="superscript"/>
        </w:rPr>
        <w:t xml:space="preserve">[</w:t>
      </w:r>
      <w:hyperlink w:anchor="ref-602">
        <w:r>
          <w:rPr>
            <w:rStyle w:val="Hyperlink"/>
            <w:vertAlign w:val="superscript"/>
          </w:rPr>
          <w:t xml:space="preserve">602</w:t>
        </w:r>
      </w:hyperlink>
      <w:r>
        <w:rPr>
          <w:vertAlign w:val="superscript"/>
        </w:rPr>
        <w:t xml:space="preserve">,</w:t>
      </w:r>
      <w:hyperlink w:anchor="ref-603">
        <w:r>
          <w:rPr>
            <w:rStyle w:val="Hyperlink"/>
            <w:vertAlign w:val="superscript"/>
          </w:rPr>
          <w:t xml:space="preserve">603</w:t>
        </w:r>
      </w:hyperlink>
      <w:r>
        <w:rPr>
          <w:vertAlign w:val="superscript"/>
        </w:rPr>
        <w:t xml:space="preserve">]</w:t>
      </w:r>
      <w:r>
        <w:t xml:space="preserve">。</w:t>
      </w:r>
    </w:p>
    <w:p>
      <w:pPr>
        <w:pStyle w:val="BodyText"/>
      </w:pPr>
      <w:r>
        <w:t xml:space="preserve">这些研究本身也要接受同一标准。评价实验中的平均差异不能用于诊断某个人是否容易轻信，实验中的满意度也不等同长期信念或实际购买行为。用研究批评宣传时，应保留原研究的测量对象，避免在反驳过程中制造另一种夸大。</w:t>
      </w:r>
    </w:p>
    <w:bookmarkEnd w:id="1309"/>
    <w:bookmarkStart w:id="1310" w:name="sec-68-4"/>
    <w:p>
      <w:pPr>
        <w:pStyle w:val="Heading3"/>
      </w:pPr>
      <w:r>
        <w:t xml:space="preserve">68.4　多层次解释怎样相互连接</w:t>
      </w:r>
    </w:p>
    <w:p>
      <w:pPr>
        <w:pStyle w:val="FirstParagraph"/>
      </w:pPr>
      <w:r>
        <w:t xml:space="preserve">心理学描述学习、注意、记忆和动机的规律，神经科学研究它们的生物实现，社会科学研究制度、关系和资源的影响。这些层次可以回答互相关联的不同问题。一个充分的教育干预解释，可能同时需要课堂结构、认知过程和生理条件。</w:t>
      </w:r>
    </w:p>
    <w:p>
      <w:pPr>
        <w:pStyle w:val="BodyText"/>
      </w:pPr>
      <w:r>
        <w:t xml:space="preserve">某项干预即使暂时没有明确神经机制，也可以通过严格试验证实其实际效果。机制研究随后可以帮助改进适用范围和设计。另一方面，某个神经机制非常可信，也无法保证具体商业产品有效，因为产品是否充分作用于机制、是否产生净收益，都需要直接证据。</w:t>
      </w:r>
    </w:p>
    <w:p>
      <w:pPr>
        <w:pStyle w:val="BodyText"/>
      </w:pPr>
      <w:r>
        <w:t xml:space="preserve">实证研究应避免把层次高低当作可信度高低。一个小样本影像相关可能比一个大型随机教育试验更难回答产品是否有效。不同问题需要匹配的方法，判断应围绕研究设计和结局展开。</w:t>
      </w:r>
    </w:p>
    <w:bookmarkEnd w:id="1310"/>
    <w:bookmarkStart w:id="1311" w:name="sec-68-5"/>
    <w:p>
      <w:pPr>
        <w:pStyle w:val="Heading3"/>
      </w:pPr>
      <w:r>
        <w:t xml:space="preserve">68.5　证据链中的常见缺口</w:t>
      </w:r>
    </w:p>
    <w:p>
      <w:pPr>
        <w:pStyle w:val="FirstParagraph"/>
      </w:pPr>
      <w:r>
        <w:t xml:space="preserve">从生物机制到产品收益，至少可能涉及靶点作用、有效暴露、心理过程改变、行为收益和长期功能。每一步都可能失败。例如，设备改变脑电频谱，但目标任务无改善；任务分数提高，但只限练习过的题目；短期提高存在，长期效果消失。宣传若只展示链条中最有利的一环，读者就容易误把它当成完整证明。</w:t>
      </w:r>
    </w:p>
    <w:p>
      <w:pPr>
        <w:pStyle w:val="BodyText"/>
      </w:pPr>
      <w:r>
        <w:t xml:space="preserve">另一种缺口是比较对象。产品比不做任何事好，不说明比相同时间的普通练习好；比等待名单好，不说明其特定神经机制得到证实。比较条件应与主张相匹配。如果承诺特殊技术带来额外收益，就需要能隔离这种特殊成分的对照。</w:t>
      </w:r>
    </w:p>
    <w:p>
      <w:pPr>
        <w:pStyle w:val="BodyText"/>
      </w:pPr>
      <w:r>
        <w:t xml:space="preserve">还有一个缺口是人群。患者中的治疗效果无法直接推广给健康人，成人中的训练结果无法自动推广给幼儿，严格筛选志愿者的结果也未必适合普通用户。适用范围需要进入结论本身，不能只藏在文末限制中。</w:t>
      </w:r>
    </w:p>
    <w:bookmarkEnd w:id="1311"/>
    <w:bookmarkStart w:id="1312" w:name="sec-68-6"/>
    <w:p>
      <w:pPr>
        <w:pStyle w:val="Heading3"/>
      </w:pPr>
      <w:r>
        <w:t xml:space="preserve">68.6　利益冲突与知识可信度</w:t>
      </w:r>
    </w:p>
    <w:p>
      <w:pPr>
        <w:pStyle w:val="FirstParagraph"/>
      </w:pPr>
      <w:r>
        <w:t xml:space="preserve">资助、专利、顾问费、产品所有权和职业声誉可能影响研究问题、设计选择和传播方式。利益冲突不会自动使结果错误，也不应被忽略。判断时应检查独立重复、预注册、完整数据、对照质量和不利结果是否公开。研究者身份能够提供背景，无法替代对证据的分析。</w:t>
      </w:r>
    </w:p>
    <w:p>
      <w:pPr>
        <w:pStyle w:val="BodyText"/>
      </w:pPr>
      <w:r>
        <w:t xml:space="preserve">学术立场也可能形成偏倚。理论提出者有动力选择支持自己的任务和解释，批评者也可能更注意失败结果。预先约定预测、对抗合作和独立分析可以减少部分问题。所谓独立评审应说明独立在哪些环节，例如研究设计、数据采集、分析或解释。</w:t>
      </w:r>
    </w:p>
    <w:p>
      <w:pPr>
        <w:pStyle w:val="BodyText"/>
      </w:pPr>
      <w:r>
        <w:t xml:space="preserve">发表平台和引用次数提供传播与同行关注的信息，不能独自证明结论正确。较旧研究可能经过多次重复，也可能只被反复转述。较新研究可能方法更强，也可能尚未经历独立检验。阅读时应追踪证据链，寻找真正新增的数据和可能改变结论的研究。</w:t>
      </w:r>
    </w:p>
    <w:bookmarkEnd w:id="1312"/>
    <w:bookmarkStart w:id="1313" w:name="sec-68-7"/>
    <w:p>
      <w:pPr>
        <w:pStyle w:val="Heading3"/>
      </w:pPr>
      <w:r>
        <w:t xml:space="preserve">68.7　如何判断一个解释是否有约束力</w:t>
      </w:r>
    </w:p>
    <w:p>
      <w:pPr>
        <w:pStyle w:val="FirstParagraph"/>
      </w:pPr>
      <w:r>
        <w:t xml:space="preserve">可以尝试改变解释中的一个关键环节，询问原有现象还能否被同样轻松地说明。如果任何脑区、任何递质、任何方向的变化都能替换进去，解释可能缺乏约束。若某个机制要求特定时间窗、特定细胞类型和明确行为预测，那么改变这些条件就会导致不同结果，解释更容易检验。</w:t>
      </w:r>
    </w:p>
    <w:p>
      <w:pPr>
        <w:pStyle w:val="BodyText"/>
      </w:pPr>
      <w:r>
        <w:t xml:space="preserve">这项练习也适用于反对意见。批评者若对任何阳性结果都说存在偏倚，对任何阴性结果都说神话被证伪，却不说明何种设计会使自己改变判断，同样缺乏可检验性。可靠怀疑应给出证据门槛，并愿意在达到门槛时更新结论。</w:t>
      </w:r>
    </w:p>
    <w:p>
      <w:pPr>
        <w:pStyle w:val="BodyText"/>
      </w:pPr>
      <w:r>
        <w:t xml:space="preserve">结论置信度应与证据类型一致。直接测量和多次独立重复支持较高信心，单一小样本和高度依赖模型的推断支持较低信心。价值判断则应说明目标，例如优先减少漏诊、优先保护自主权或优先提高效率。把价值前提写成脑科学事实，会使争论无法真正解决。</w:t>
      </w:r>
    </w:p>
    <w:bookmarkEnd w:id="1313"/>
    <w:bookmarkStart w:id="1314" w:name="sec-68-8"/>
    <w:p>
      <w:pPr>
        <w:pStyle w:val="Heading3"/>
      </w:pPr>
      <w:r>
        <w:t xml:space="preserve">68.8　从词语到可观察的承诺</w:t>
      </w:r>
    </w:p>
    <w:p>
      <w:pPr>
        <w:pStyle w:val="FirstParagraph"/>
      </w:pPr>
      <w:r>
        <w:t xml:space="preserve">一个陈述可以沿着概念、操作和观测三个层次展开。概念层说明讨论什么，例如记忆保持；操作层说明如何改变或测量它，例如延迟后的自由回忆；观测层说明实际得到什么分数。三层一致时，读者才能知道证据检验了多少原主张。测量单词回忆的研究，对复杂生活记忆只能提供有限推广。</w:t>
      </w:r>
    </w:p>
    <w:p>
      <w:pPr>
        <w:pStyle w:val="BodyText"/>
      </w:pPr>
      <w:r>
        <w:t xml:space="preserve">词语的范围越宽，越需要把关键含义拆开。“增强大脑”可能指任务速度、主观清醒、长期知识、日常独立生活或疾病风险。它们具有不同时间尺度、测量误差与价值。把其中一个小幅变化概括为全部能力增强，会在语言层面扩大证据。</w:t>
      </w:r>
    </w:p>
    <w:p>
      <w:pPr>
        <w:pStyle w:val="BodyText"/>
      </w:pPr>
      <w:r>
        <w:t xml:space="preserve">同一术语在不同领域也可能具有不同技术含义。神经网络中的注意机制、心理学任务中的选择性注意和日常所说的认真投入，不能仅凭共同名称直接等同。解释时应给出局部定义，再说明哪些关系只是类比，哪些已经被实验支持。</w:t>
      </w:r>
    </w:p>
    <w:bookmarkEnd w:id="1314"/>
    <w:bookmarkStart w:id="1315" w:name="sec-68-9"/>
    <w:p>
      <w:pPr>
        <w:pStyle w:val="Heading3"/>
      </w:pPr>
      <w:r>
        <w:t xml:space="preserve">68.9　比喻怎样帮助理解又保持边界</w:t>
      </w:r>
    </w:p>
    <w:p>
      <w:pPr>
        <w:pStyle w:val="FirstParagraph"/>
      </w:pPr>
      <w:r>
        <w:t xml:space="preserve">“电路”“地图”“门控”“存储”等比喻能够降低入门难度，但每个比喻都突出部分性质并隐藏其他性质。地图可以说明空间关系，却容易让人忽略时间变化；存储可以说明信息延续，却容易让人想成内容固定不变的文件。教材应在引入比喻时指出相应限制。</w:t>
      </w:r>
    </w:p>
    <w:p>
      <w:pPr>
        <w:pStyle w:val="BodyText"/>
      </w:pPr>
      <w:r>
        <w:t xml:space="preserve">一个有效练习是询问比喻能预测什么。如果把突触比作可调连接，它能够帮助理解输入影响的变化；若由此推出脑内存在与计算机完全相同的文件目录，便超过了比喻原有用途。类比的可用范围需要随推理一步步检查。</w:t>
      </w:r>
    </w:p>
    <w:p>
      <w:pPr>
        <w:pStyle w:val="BodyText"/>
      </w:pPr>
      <w:r>
        <w:t xml:space="preserve">专业词汇也可能成为隐蔽比喻。例如，“奖赏信号”通常涉及特定任务下可操作的关系，不能自动理解为主观快乐强度。“控制”可以表示某变量影响行为选择，不必假定系统中存在一个独立指挥者。精确解释应把这些暗示转化为可测关系。</w:t>
      </w:r>
    </w:p>
    <w:bookmarkEnd w:id="1315"/>
    <w:bookmarkStart w:id="1316" w:name="sec-68-10"/>
    <w:p>
      <w:pPr>
        <w:pStyle w:val="Heading3"/>
      </w:pPr>
      <w:r>
        <w:t xml:space="preserve">68.10　机制中的组成、组织与情境</w:t>
      </w:r>
    </w:p>
    <w:p>
      <w:pPr>
        <w:pStyle w:val="FirstParagraph"/>
      </w:pPr>
      <w:r>
        <w:t xml:space="preserve">列出参与分子或脑区，只完成了机制说明的一部分。完整机制还需要描述这些成分如何相互作用，什么时间启动，在何种状态下发生，以及它们怎样共同产生现象。相同成分可以通过不同组织形成不同功能；组织相似也可能因状态改变而产生不同结果。</w:t>
      </w:r>
    </w:p>
    <w:p>
      <w:pPr>
        <w:pStyle w:val="BodyText"/>
      </w:pPr>
      <w:r>
        <w:t xml:space="preserve">机制图应显示已经得到较直接证据的连接与仍属假设的连接。箭头的方向、作用类型和时间尺度尤其重要。把相关画成因果，把多步过程画成直接作用，把反馈隐藏掉，都会增加读者误解。图的清晰程度取决于逻辑是否准确。</w:t>
      </w:r>
    </w:p>
    <w:bookmarkEnd w:id="1316"/>
    <w:bookmarkStart w:id="1317" w:name="sec-68-11"/>
    <w:p>
      <w:pPr>
        <w:pStyle w:val="Heading3"/>
      </w:pPr>
      <w:r>
        <w:t xml:space="preserve">68.11　解释力、预测力与使用价值</w:t>
      </w:r>
    </w:p>
    <w:p>
      <w:pPr>
        <w:pStyle w:val="FirstParagraph"/>
      </w:pPr>
      <w:r>
        <w:t xml:space="preserve">一个预测工具可以在机制尚不清楚时具有实际价值，只要它在目标场景中可靠，并经过相应的收益与风险评估。一个机制理论也可以暂时缺乏个人预测精度，因为测量能力和参数估计仍有限。这两种价值需要各自评价，不能通过其中一项成绩替代另一项。</w:t>
      </w:r>
    </w:p>
    <w:p>
      <w:pPr>
        <w:pStyle w:val="BodyText"/>
      </w:pPr>
      <w:r>
        <w:t xml:space="preserve">解释通常要求说明为什么观察会发生，以及条件改变时应怎样变化。预测强调尚未观察的数据能否被准确估计。使用价值还涉及成本、可执行性、错误后果与目标人群。某模型在平均误差上略有改进，是否值得采用，需要放入实际决策中判断。</w:t>
      </w:r>
    </w:p>
    <w:p>
      <w:pPr>
        <w:pStyle w:val="BodyText"/>
      </w:pPr>
      <w:r>
        <w:t xml:space="preserve">同样，教育解释是否易懂，与它是否准确属于不同指标。一个简单但错误的故事可以提高即时记忆；一个准确但过于拥挤的说明可能难以使用。好的教学需要保持结构清晰，同时逐步加入必要条件，让理解便利与事实精度共同接受检查。</w:t>
      </w:r>
    </w:p>
    <w:bookmarkEnd w:id="1317"/>
    <w:bookmarkStart w:id="1318" w:name="sec-68-12"/>
    <w:p>
      <w:pPr>
        <w:pStyle w:val="Heading3"/>
      </w:pPr>
      <w:r>
        <w:t xml:space="preserve">68.12　统计结论进入自然语言时的变化</w:t>
      </w:r>
    </w:p>
    <w:p>
      <w:pPr>
        <w:pStyle w:val="FirstParagraph"/>
      </w:pPr>
      <w:r>
        <w:t xml:space="preserve">“组间平均差异”在传播中常被改成“每个人都会提高”，“观察到相关”常被改成“造成”，“未达到显著”常被改成“完全无效”。这些变化都增加了原统计结果没有提供的内容。核对结论时，需要逐一对应人群、比较、结局、时间和不确定区间。</w:t>
      </w:r>
    </w:p>
    <w:p>
      <w:pPr>
        <w:pStyle w:val="BodyText"/>
      </w:pPr>
      <w:r>
        <w:t xml:space="preserve">方向一致也不意味着幅度相同。两个研究都报告正向估计，可能一个较精确、一个极不确定；两者测量的结局也可能不一致。反过来，一个显著、一个不显著，不足以证明两项研究之间存在可靠差异。比较结论应直接检验需要比较的量</w:t>
      </w:r>
      <w:r>
        <w:rPr>
          <w:vertAlign w:val="superscript"/>
        </w:rPr>
        <w:t xml:space="preserve">[</w:t>
      </w:r>
      <w:hyperlink w:anchor="ref-608">
        <w:r>
          <w:rPr>
            <w:rStyle w:val="Hyperlink"/>
            <w:vertAlign w:val="superscript"/>
          </w:rPr>
          <w:t xml:space="preserve">608</w:t>
        </w:r>
      </w:hyperlink>
      <w:r>
        <w:rPr>
          <w:vertAlign w:val="superscript"/>
        </w:rPr>
        <w:t xml:space="preserve">]</w:t>
      </w:r>
      <w:r>
        <w:t xml:space="preserve">。</w:t>
      </w:r>
    </w:p>
    <w:p>
      <w:pPr>
        <w:pStyle w:val="BodyText"/>
      </w:pPr>
      <w:r>
        <w:t xml:space="preserve">概率语言也要保留条件。某检测阳性之后的患病概率依赖基础风险与检测性能；某模型的预测概率依赖训练和验证环境。省略条件会使同一个数字在新场景中失去原有含义。可靠表达应让关键条件与数字一起出现。</w:t>
      </w:r>
    </w:p>
    <w:bookmarkEnd w:id="1318"/>
    <w:bookmarkStart w:id="1319" w:name="sec-68-13"/>
    <w:p>
      <w:pPr>
        <w:pStyle w:val="Heading3"/>
      </w:pPr>
      <w:r>
        <w:t xml:space="preserve">68.13　文献数量与独立信息量</w:t>
      </w:r>
    </w:p>
    <w:p>
      <w:pPr>
        <w:pStyle w:val="FirstParagraph"/>
      </w:pPr>
      <w:r>
        <w:t xml:space="preserve">多篇论文可能来自同一批参与者、同一登记试验、同一数据库或同一实验的不同分析。它们可以回答新的问题，但不能被当成完全独立的重复。阅读综述时，需要区分论文数量、研究数量、样本数量与独立研究团队数量。</w:t>
      </w:r>
    </w:p>
    <w:p>
      <w:pPr>
        <w:pStyle w:val="BodyText"/>
      </w:pPr>
      <w:r>
        <w:t xml:space="preserve">同样，一篇论文中的几十个结局也不等于几十份互相独立的证据。结局可能高度相关，还可能经历选择性报告。证据数量的增加应结合设计质量、信息独立性和直接性理解。简单累加支持文章数，很容易高估置信度。</w:t>
      </w:r>
    </w:p>
    <w:p>
      <w:pPr>
        <w:pStyle w:val="BodyText"/>
      </w:pPr>
      <w:r>
        <w:t xml:space="preserve">重复分析若使用新的方法，可以揭示稳健性或方法依赖。它的贡献是真实的，同时应明确仍共享原始采样限制。独立采集的新数据能够检验更多环节，但也可能复制同样的设计偏倚。独立性需要具体到研究链条的层面。</w:t>
      </w:r>
    </w:p>
    <w:bookmarkEnd w:id="1319"/>
    <w:bookmarkStart w:id="1320" w:name="sec-68-14"/>
    <w:p>
      <w:pPr>
        <w:pStyle w:val="Heading3"/>
      </w:pPr>
      <w:r>
        <w:t xml:space="preserve">68.14　未知怎样被准确表达</w:t>
      </w:r>
    </w:p>
    <w:p>
      <w:pPr>
        <w:pStyle w:val="FirstParagraph"/>
      </w:pPr>
      <w:r>
        <w:t xml:space="preserve">“没有证据”可能表示尚未研究、研究无法提供精确估计、结果互相冲突，或可靠研究支持效应很小。这几种情况需要不同表达。把它们合并成一个否定句，会隐藏接下来最需要做什么研究。</w:t>
      </w:r>
    </w:p>
    <w:p>
      <w:pPr>
        <w:pStyle w:val="BodyText"/>
      </w:pPr>
      <w:r>
        <w:t xml:space="preserve">未知也有范围。某项药物的平均效果可以较清楚，而长期罕见风险仍不确定；某机制在细胞层面有支持，而在人类复杂行为中的贡献仍不清楚。置信度应该附着于具体命题，不能把整项主题统一标成已证实或未证实。</w:t>
      </w:r>
    </w:p>
    <w:p>
      <w:pPr>
        <w:pStyle w:val="BodyText"/>
      </w:pPr>
      <w:r>
        <w:t xml:space="preserve">准确表达不确定性可以很直接。例如，“在这些条件下观察到变化，跨年龄推广尚未验证”，就同时保留了结果与限制。避免过强结论不要求把所有内容写成含糊措辞。知道哪些部分比较稳定，本身就是重要知识。</w:t>
      </w:r>
    </w:p>
    <w:bookmarkEnd w:id="1320"/>
    <w:bookmarkStart w:id="1321" w:name="sec-68-15"/>
    <w:p>
      <w:pPr>
        <w:pStyle w:val="Heading3"/>
      </w:pPr>
      <w:r>
        <w:t xml:space="preserve">68.15　价值判断与事实判断的连接</w:t>
      </w:r>
    </w:p>
    <w:p>
      <w:pPr>
        <w:pStyle w:val="FirstParagraph"/>
      </w:pPr>
      <w:r>
        <w:t xml:space="preserve">科学可以帮助估计行动的后果，却通常不能独自决定所有价值取舍。提高平均表现、减少差异、保护隐私、降低成本和保留个人选择，可能互相支持，也可能发生冲突。争论需要把事实预测与价值优先顺序分别说明。</w:t>
      </w:r>
    </w:p>
    <w:p>
      <w:pPr>
        <w:pStyle w:val="BodyText"/>
      </w:pPr>
      <w:r>
        <w:t xml:space="preserve">例如，某种监测技术即使准确，也仍需要讨论使用场景、同意、数据控制和退出权。准确性不能自动决定它适合学校、雇佣或司法。相反，对某种用途持伦理保留，也不等于它的测量方法在科学上必然无效。各项判断都应给出自己的依据。</w:t>
      </w:r>
    </w:p>
    <w:p>
      <w:pPr>
        <w:pStyle w:val="BodyText"/>
      </w:pPr>
      <w:r>
        <w:t xml:space="preserve">公共表达还应避免从群体差异直接推导个体能力与待遇。平均值不足以判断特定个人，差异的原因也可能包含环境与测量因素。政策选择需要考虑实际任务、个体证据和公平目标，不能由一张脑图替代这些判断。</w:t>
      </w:r>
    </w:p>
    <w:bookmarkEnd w:id="1321"/>
    <w:bookmarkStart w:id="1322" w:name="sec-68-16"/>
    <w:p>
      <w:pPr>
        <w:pStyle w:val="Heading3"/>
      </w:pPr>
      <w:r>
        <w:t xml:space="preserve">68.16　能够更新的知识结构</w:t>
      </w:r>
    </w:p>
    <w:p>
      <w:pPr>
        <w:pStyle w:val="FirstParagraph"/>
      </w:pPr>
      <w:r>
        <w:t xml:space="preserve">可靠的知识表述应写明结论在什么条件下需要更新。哪些新研究会改变效应估计，哪些结果会迫使机制修订，哪些发现只扩大适用范围，都可以提前说明。这种结构使知识保持连续，同时容纳新的反例。</w:t>
      </w:r>
    </w:p>
    <w:p>
      <w:pPr>
        <w:pStyle w:val="BodyText"/>
      </w:pPr>
      <w:r>
        <w:t xml:space="preserve">读者可以把每个重要结论整理成一段完整论证：主张是什么，最直接的证据是什么，有哪些替代解释，哪些条件限制推广，以及下一步观察怎样改变信心。这项训练有助于把术语知识转变成可使用的判断能力。</w:t>
      </w:r>
    </w:p>
    <w:p>
      <w:pPr>
        <w:pStyle w:val="BodyText"/>
      </w:pPr>
      <w:r>
        <w:t xml:space="preserve">最终的理解应能够解释正常现象、异常现象和边界条件，并允许新的数据推翻其中一部分。脑科学的精确性来自这种持续受约束的积累。文字的复杂程度、图像的精美程度和论述者的地位，都应接受同一证据要求。</w:t>
      </w:r>
    </w:p>
    <w:bookmarkEnd w:id="1322"/>
    <w:bookmarkStart w:id="1323" w:name="sec-68-17"/>
    <w:p>
      <w:pPr>
        <w:pStyle w:val="Heading3"/>
      </w:pPr>
      <w:r>
        <w:t xml:space="preserve">68.17　假设广告审读练习</w:t>
      </w:r>
    </w:p>
    <w:p>
      <w:pPr>
        <w:pStyle w:val="FirstParagraph"/>
      </w:pPr>
      <w:r>
        <w:t xml:space="preserve">某广告宣称：“每天使用15分钟，可通过提高额叶连接使孩子成绩提升30%。”需要逐项识别：15分钟是试验剂量还是营销安排；连接是结构、功能相关还是模型参数；30%对应原始分数、相对变化还是经过挑选的亚组；是否有随机对照、盲法评估和独立重复；效果持续多久，是否覆盖目标年龄。缺少其中某些信息，结论就应相应收窄。</w:t>
      </w:r>
    </w:p>
    <w:p>
      <w:pPr>
        <w:pStyle w:val="BodyText"/>
      </w:pPr>
      <w:r>
        <w:t xml:space="preserve">假设研究只有20名儿童使用前后的比较，成绩从60分升到78分。相对基线确实提高30%，绝对提高18分，但没有对照时无法分离自然学习、重复测试、教师帮助和回归均值。神经连接同步变化也不会补出缺失的对照。正确结论可以保留观察变化，同时明确原因未被识别。</w:t>
      </w:r>
    </w:p>
    <w:p>
      <w:pPr>
        <w:pStyle w:val="BodyText"/>
      </w:pPr>
      <w:r>
        <w:t xml:space="preserve">若后续大型随机试验在相同时间主动对照下仍观察到稳定收益，应提高对产品效果的信心。若神经指标没有相应变化，产品可能通过其他机制起效；若神经指标改变而成绩没有改善，则不能继续承诺成绩收益。让各环节分别接受检验，能够使证据更新具有明确方向。</w:t>
      </w:r>
    </w:p>
    <w:p>
      <w:pPr>
        <w:pStyle w:val="BodyText"/>
      </w:pPr>
      <w:r>
        <w:rPr>
          <w:bCs/>
          <w:b/>
        </w:rPr>
        <w:t xml:space="preserve">本章的结论边界</w:t>
      </w:r>
      <w:r>
        <w:t xml:space="preserve">　脑科学能够提供强有力的机制证据和预测工具。真正增加知识的是被测量、被操纵、被独立检验的关系。对术语的熟悉、图像的吸引力和解释带来的满意感，都需要与这些证据分开评价。</w:t>
      </w:r>
    </w:p>
    <w:bookmarkEnd w:id="1323"/>
    <w:bookmarkEnd w:id="1324"/>
    <w:bookmarkStart w:id="1325" w:name="ch-69"/>
    <w:p>
      <w:pPr>
        <w:pStyle w:val="Heading2"/>
      </w:pPr>
      <w:r>
        <w:t xml:space="preserve">第69章　怎样自己检验一条脑科学说法</w:t>
      </w:r>
    </w:p>
    <w:p>
      <w:pPr>
        <w:pStyle w:val="FirstParagraph"/>
      </w:pPr>
      <w:r>
        <w:t xml:space="preserve">下面七个问题，按顺序问下去，前几问通常就能找到一条说法的主要缺口。</w:t>
      </w:r>
    </w:p>
    <w:p>
      <w:pPr>
        <w:pStyle w:val="BodyText"/>
      </w:pPr>
      <w:r>
        <w:t xml:space="preserve">第一问：它说的是哪个脑区、哪个分子，用什么方法测的？说不出测量方法、也追不到原始出处的说法，可核验性很低，可以暂缓采用，这并不等于它已被证明是假的。分子说法要多问一句：是在大脑里测的，还是在血液、唾液里测的？即使在同一种组织中测，采样时间、状态、任务和药物也会影响测到的是哪一个生物过程。</w:t>
      </w:r>
    </w:p>
    <w:p>
      <w:pPr>
        <w:pStyle w:val="BodyText"/>
      </w:pPr>
      <w:r>
        <w:t xml:space="preserve">第二问：比较对象是什么？和休息比、和新手比、和候补组比、和主动对照比，能得出的结论完全不同。还要看背景治疗、接触时间、期待、是否获得了新的照护机会、交叉治疗，以及两组是否同等询问不良事件；候补对照能估计提供课程的实际效果，拆分特定机制则很难；主动对照的质量也可能很低。只看标签，确定不了是否已经排除了所有共同成分。</w:t>
      </w:r>
    </w:p>
    <w:p>
      <w:pPr>
        <w:pStyle w:val="BodyText"/>
      </w:pPr>
      <w:r>
        <w:t xml:space="preserve">第三问：研究设计是什么？随机对照、纵向非随机、横断面，还是个案、动物实验或理论推演？“随机对照”的标签还要看分配隐藏、预设的主要结局、评估设盲、缺失处理、依从、污染和结果的选择性报告；一项设计不良的小型随机试验，不一定优于为特定问题设计严谨的纵向研究，对治疗的因果效应，仍应优先采用合适的随机证据。</w:t>
      </w:r>
    </w:p>
    <w:p>
      <w:pPr>
        <w:pStyle w:val="BodyText"/>
      </w:pPr>
      <w:r>
        <w:t xml:space="preserve">第四问：样本多大，有没有被独立重复？主要结局是不是事先定好的？试验做了登记，不等于每一项分析都事先定好。几篇论文是不是出自同一项试验？本书中的例子：2016 年的复发个体数据分析与 2026 年的恶化分析用的是同一批九项试验；2025 年的难治抑郁试验进入了 2026 年的个体数据元分析；两篇 153 人的接纳拆解论文出自同一项试验；TAME 试验 2024 年的次要分析与线下 276 人共享样本，2025 年的远程 202 人是同一登记下的新阶段；正念降压课程的血压论文与饮食和内感受论文用的是同一批 201 人。几十人的单项研究，在被更大样本重复之前，通常只是一个值得检验的线索；样本量也要与问题匹配，严格的个体内实验或药物阻断能回答特定的问题，几千人的横断面问卷仍然回答不了因果。</w:t>
      </w:r>
    </w:p>
    <w:p>
      <w:pPr>
        <w:pStyle w:val="BodyText"/>
      </w:pPr>
      <w:r>
        <w:t xml:space="preserve">第五问：效应有多大，置信区间有多宽，和其他方法相比如何？“显著”不等于“大”，“有效”不等于“比别的更有效”。还要看原始单位、绝对风险、时间窗、临床阈值、预测区间和是否有多个主要结局；是否报告了缓解率、恶化率和退出率，小的均值变化是否掩盖了两极分化，主要结局与宣传所说的是否是同一个。</w:t>
      </w:r>
    </w:p>
    <w:p>
      <w:pPr>
        <w:pStyle w:val="BodyText"/>
      </w:pPr>
      <w:r>
        <w:t xml:space="preserve">第六问：谁在说，有没有利益关系？对所有说法都应使用同一套方法标准。课程、应用、设备的推广方，以此为职业身份的研究者，以及立场鲜明的批评者，都可能有经济、职业或理论上的利益，这时更要看利益是否披露、数据和分析是否独立、结果是否被别人重复。有利益关系不等于结论错误，没有商业资助也不保证没有偏倚。</w:t>
      </w:r>
    </w:p>
    <w:p>
      <w:pPr>
        <w:pStyle w:val="BodyText"/>
      </w:pPr>
      <w:r>
        <w:t xml:space="preserve">第七问：把脑区名称去掉，这个说法还剩下什么？如果剩下的是“练习八周后，人们的焦虑评分平均下降了一些”，这就是这条说法真正的证据内容。如果脑指标没有提供独立的机制或预测信息，它就不能提高这条临床获益说法的证据等级；有预设假说、独立重复、特异操纵或靶点验证的神经证据，可以提高对某个机制的信心，仍然代替不了对患者重要的结局。这条规则适用于评价健康宣传和个人的治疗选择；基础研究本来就研究脑过程，有它自己的价值，机制发现与临床证据也可以互相促进。</w:t>
      </w:r>
    </w:p>
    <w:p>
      <w:pPr>
        <w:pStyle w:val="CalloutPractice"/>
      </w:pPr>
      <w:r>
        <w:rPr>
          <w:bCs/>
          <w:b/>
        </w:rPr>
        <w:t xml:space="preserve">要点　</w:t>
      </w:r>
      <w:r>
        <w:t xml:space="preserve">最实用的一条：先看行为与体验层面的证据是否扎实，再看脑科学怎样解释它。顺序反过来，就容易被一张脑图说服。</w:t>
      </w:r>
    </w:p>
    <w:bookmarkEnd w:id="1325"/>
    <w:bookmarkEnd w:id="1326"/>
    <w:bookmarkStart w:id="1493" w:name="part-7"/>
    <w:p>
      <w:pPr>
        <w:pStyle w:val="Heading1"/>
      </w:pPr>
      <w:r>
        <w:t xml:space="preserve">第七编　常见误解辨析</w:t>
      </w:r>
    </w:p>
    <w:p>
      <w:pPr>
        <w:pStyle w:val="PartIntro"/>
      </w:pPr>
      <w:r>
        <w:t xml:space="preserve">这一编集中处理流传最广的脑科学误解：三重脑、左右脑人格、“只用了 10% 的大脑”、镜像神经元万能论、杏仁核劫持与几个情绪秒数、21 天等几个流行数字、意志力耗尽、菲尼亚斯·盖奇与“大脑可以随意重塑”、“快乐激素”、多巴胺排毒、学习风格、莫扎特效应、健脑操和脑训练游戏。本编第一章（</w:t>
      </w:r>
      <w:hyperlink w:anchor="ch-70">
        <w:r>
          <w:rPr>
            <w:rStyle w:val="Hyperlink"/>
          </w:rPr>
          <w:t xml:space="preserve">第70章</w:t>
        </w:r>
      </w:hyperlink>
      <w:r>
        <w:t xml:space="preserve">）的速查总表收录全书辨析过的全部常见说法，包括分散在其他各编中的条目，并给出判断与所在章节。</w:t>
      </w:r>
      <w:hyperlink w:anchor="ch-71">
        <w:r>
          <w:rPr>
            <w:rStyle w:val="Hyperlink"/>
          </w:rPr>
          <w:t xml:space="preserve">第71章</w:t>
        </w:r>
      </w:hyperlink>
      <w:r>
        <w:t xml:space="preserve">分析这些说法为什么难以消失，其余各章交代每个说法的来龙去脉，以及其中哪一部分可以保留。</w:t>
      </w:r>
    </w:p>
    <w:bookmarkStart w:id="1328" w:name="ch-70"/>
    <w:p>
      <w:pPr>
        <w:pStyle w:val="Heading2"/>
      </w:pPr>
      <w:r>
        <w:t xml:space="preserve">第70章　常见误解速查总表</w:t>
      </w:r>
    </w:p>
    <w:p>
      <w:pPr>
        <w:pStyle w:val="FirstParagraph"/>
      </w:pPr>
      <w:r>
        <w:t xml:space="preserve">下表收录全书辨析过的常见说法，按主题分组。“判断”一栏的标签和置信度含义见</w:t>
      </w:r>
      <w:hyperlink w:anchor="tab-labels">
        <w:r>
          <w:rPr>
            <w:rStyle w:val="Hyperlink"/>
          </w:rPr>
          <w:t xml:space="preserve">表 1</w:t>
        </w:r>
      </w:hyperlink>
      <w:r>
        <w:t xml:space="preserve">；每个标签只针对表中写明的那条说法，适用的人群、条件和比较对象以正文为准。“详见”一栏给出展开论证的章节，依据和文献都在那里。列入本表的说法是需要检验的对象，列出不代表认可。</w:t>
      </w:r>
    </w:p>
    <w:p>
      <w:pPr>
        <w:pStyle w:val="TableCaption"/>
      </w:pPr>
      <w:bookmarkStart w:id="1327" w:name="tab-myths"/>
      <w:bookmarkEnd w:id="1327"/>
      <w:r>
        <w:rPr>
          <w:bCs/>
          <w:b/>
        </w:rPr>
        <w:t xml:space="preserve">表 24　常见误解速查总表</w:t>
      </w:r>
    </w:p>
    <w:tbl>
      <w:tblPr>
        <w:tblStyle w:val="Table"/>
        <w:tblW w:type="pct" w:w="5000"/>
        <w:jc w:val="start"/>
        <w:tblLook w:firstRow="1" w:lastRow="0" w:firstColumn="0" w:lastColumn="0" w:noHBand="0" w:noVBand="0" w:val="0020"/>
      </w:tblPr>
      <w:tblGrid>
        <w:gridCol w:w="1980"/>
        <w:gridCol w:w="3167"/>
        <w:gridCol w:w="1452"/>
        <w:gridCol w:w="1320"/>
      </w:tblGrid>
      <w:tr>
        <w:trPr>
          <w:tblHeader w:val="true"/>
        </w:trPr>
        <w:tc>
          <w:tcPr>
            <w:shd w:val="clear" w:color="auto" w:fill="1F3A5F"/>
          </w:tcPr>
          <w:p>
            <w:pPr>
              <w:pStyle w:val="Compact"/>
              <w:jc w:val="left"/>
            </w:pPr>
            <w:r>
              <w:rPr>
                <w:color w:val="FFFFFF"/>
              </w:rPr>
              <w:t xml:space="preserve">说法</w:t>
            </w:r>
          </w:p>
        </w:tc>
        <w:tc>
          <w:tcPr>
            <w:shd w:val="clear" w:color="auto" w:fill="1F3A5F"/>
          </w:tcPr>
          <w:p>
            <w:pPr>
              <w:pStyle w:val="Compact"/>
              <w:jc w:val="left"/>
            </w:pPr>
            <w:r>
              <w:rPr>
                <w:color w:val="FFFFFF"/>
              </w:rPr>
              <w:t xml:space="preserve">实况</w:t>
            </w:r>
          </w:p>
        </w:tc>
        <w:tc>
          <w:tcPr>
            <w:shd w:val="clear" w:color="auto" w:fill="1F3A5F"/>
          </w:tcPr>
          <w:p>
            <w:pPr>
              <w:pStyle w:val="Compact"/>
              <w:jc w:val="left"/>
            </w:pPr>
            <w:r>
              <w:rPr>
                <w:color w:val="FFFFFF"/>
              </w:rPr>
              <w:t xml:space="preserve">判断</w:t>
            </w:r>
          </w:p>
        </w:tc>
        <w:tc>
          <w:tcPr>
            <w:shd w:val="clear" w:color="auto" w:fill="1F3A5F"/>
          </w:tcPr>
          <w:p>
            <w:pPr>
              <w:pStyle w:val="Compact"/>
              <w:jc w:val="left"/>
            </w:pPr>
            <w:r>
              <w:rPr>
                <w:color w:val="FFFFFF"/>
              </w:rPr>
              <w:t xml:space="preserve">详见</w:t>
            </w:r>
          </w:p>
        </w:tc>
      </w:tr>
      <w:tr>
        <w:tc>
          <w:tcPr/>
          <w:p>
            <w:pPr>
              <w:pStyle w:val="Compact"/>
              <w:jc w:val="left"/>
            </w:pPr>
            <w:r>
              <w:rPr>
                <w:bCs/>
                <w:b/>
              </w:rPr>
              <w:t xml:space="preserve">一、大脑的构成与演化</w:t>
            </w:r>
          </w:p>
        </w:tc>
        <w:tc>
          <w:tcPr/>
          <w:p/>
        </w:tc>
        <w:tc>
          <w:tcPr/>
          <w:p/>
        </w:tc>
        <w:tc>
          <w:tcPr/>
          <w:p/>
        </w:tc>
      </w:tr>
      <w:tr>
        <w:tc>
          <w:tcPr/>
          <w:p>
            <w:pPr>
              <w:pStyle w:val="Compact"/>
              <w:jc w:val="left"/>
            </w:pPr>
            <w:r>
              <w:t xml:space="preserve">人脑由爬行脑、情绪脑和理性脑逐层叠成</w:t>
            </w:r>
          </w:p>
        </w:tc>
        <w:tc>
          <w:tcPr/>
          <w:p>
            <w:pPr>
              <w:pStyle w:val="Compact"/>
              <w:jc w:val="left"/>
            </w:pPr>
            <w:r>
              <w:t xml:space="preserve">脊椎动物共享基本脑分区，各支系的整个脑都在演化中被改造</w:t>
            </w:r>
          </w:p>
        </w:tc>
        <w:tc>
          <w:tcPr/>
          <w:p>
            <w:pPr>
              <w:pStyle w:val="Compact"/>
              <w:jc w:val="left"/>
            </w:pPr>
            <w:r>
              <w:rPr>
                <w:bCs/>
                <w:b/>
              </w:rPr>
              <w:t xml:space="preserve">错误·高</w:t>
            </w:r>
          </w:p>
        </w:tc>
        <w:tc>
          <w:tcPr/>
          <w:p>
            <w:pPr>
              <w:pStyle w:val="Compact"/>
              <w:jc w:val="left"/>
            </w:pPr>
            <w:hyperlink w:anchor="ch-72">
              <w:r>
                <w:rPr>
                  <w:rStyle w:val="Hyperlink"/>
                </w:rPr>
                <w:t xml:space="preserve">第72章</w:t>
              </w:r>
            </w:hyperlink>
          </w:p>
        </w:tc>
      </w:tr>
      <w:tr>
        <w:tc>
          <w:tcPr/>
          <w:p>
            <w:pPr>
              <w:pStyle w:val="Compact"/>
              <w:jc w:val="left"/>
            </w:pPr>
            <w:r>
              <w:t xml:space="preserve">动物脑只会冲动，人类脑才会思考</w:t>
            </w:r>
          </w:p>
        </w:tc>
        <w:tc>
          <w:tcPr/>
          <w:p>
            <w:pPr>
              <w:pStyle w:val="Compact"/>
              <w:jc w:val="left"/>
            </w:pPr>
            <w:r>
              <w:t xml:space="preserve">规划和延迟选择实验提供了反例；人类的独特之处要逐项研究</w:t>
            </w:r>
          </w:p>
        </w:tc>
        <w:tc>
          <w:tcPr/>
          <w:p>
            <w:pPr>
              <w:pStyle w:val="Compact"/>
              <w:jc w:val="left"/>
            </w:pPr>
            <w:r>
              <w:rPr>
                <w:bCs/>
                <w:b/>
              </w:rPr>
              <w:t xml:space="preserve">错误·高</w:t>
            </w:r>
          </w:p>
        </w:tc>
        <w:tc>
          <w:tcPr/>
          <w:p>
            <w:pPr>
              <w:pStyle w:val="Compact"/>
              <w:jc w:val="left"/>
            </w:pPr>
            <w:hyperlink w:anchor="ch-4">
              <w:r>
                <w:rPr>
                  <w:rStyle w:val="Hyperlink"/>
                </w:rPr>
                <w:t xml:space="preserve">第4章</w:t>
              </w:r>
            </w:hyperlink>
          </w:p>
        </w:tc>
      </w:tr>
      <w:tr>
        <w:tc>
          <w:tcPr/>
          <w:p>
            <w:pPr>
              <w:pStyle w:val="Compact"/>
              <w:jc w:val="left"/>
            </w:pPr>
            <w:r>
              <w:t xml:space="preserve">神经元、突触或连接越多，大脑就越聪明</w:t>
            </w:r>
          </w:p>
        </w:tc>
        <w:tc>
          <w:tcPr/>
          <w:p>
            <w:pPr>
              <w:pStyle w:val="Compact"/>
              <w:jc w:val="left"/>
            </w:pPr>
            <w:r>
              <w:t xml:space="preserve">数量会影响特定回路，单凭数量决定不了认知表现</w:t>
            </w:r>
          </w:p>
        </w:tc>
        <w:tc>
          <w:tcPr/>
          <w:p>
            <w:pPr>
              <w:pStyle w:val="Compact"/>
              <w:jc w:val="left"/>
            </w:pPr>
            <w:r>
              <w:rPr>
                <w:bCs/>
                <w:b/>
              </w:rPr>
              <w:t xml:space="preserve">过度简化·高</w:t>
            </w:r>
          </w:p>
        </w:tc>
        <w:tc>
          <w:tcPr/>
          <w:p>
            <w:pPr>
              <w:pStyle w:val="Compact"/>
              <w:jc w:val="left"/>
            </w:pPr>
            <w:hyperlink w:anchor="ch-1">
              <w:r>
                <w:rPr>
                  <w:rStyle w:val="Hyperlink"/>
                </w:rPr>
                <w:t xml:space="preserve">第1章</w:t>
              </w:r>
            </w:hyperlink>
          </w:p>
        </w:tc>
      </w:tr>
      <w:tr>
        <w:tc>
          <w:tcPr/>
          <w:p>
            <w:pPr>
              <w:pStyle w:val="Compact"/>
              <w:jc w:val="left"/>
            </w:pPr>
            <w:r>
              <w:t xml:space="preserve">脑越大、头越大就越聪明</w:t>
            </w:r>
          </w:p>
        </w:tc>
        <w:tc>
          <w:tcPr/>
          <w:p>
            <w:pPr>
              <w:pStyle w:val="Compact"/>
              <w:jc w:val="left"/>
            </w:pPr>
            <w:r>
              <w:t xml:space="preserve">活体脑体积与智力测验分数有有限的正相关，预测不了个人能力</w:t>
            </w:r>
          </w:p>
        </w:tc>
        <w:tc>
          <w:tcPr/>
          <w:p>
            <w:pPr>
              <w:pStyle w:val="Compact"/>
              <w:jc w:val="left"/>
            </w:pPr>
            <w:r>
              <w:rPr>
                <w:bCs/>
                <w:b/>
              </w:rPr>
              <w:t xml:space="preserve">过度简化·高</w:t>
            </w:r>
          </w:p>
        </w:tc>
        <w:tc>
          <w:tcPr/>
          <w:p>
            <w:pPr>
              <w:pStyle w:val="Compact"/>
              <w:jc w:val="left"/>
            </w:pPr>
            <w:hyperlink w:anchor="ch-124">
              <w:r>
                <w:rPr>
                  <w:rStyle w:val="Hyperlink"/>
                </w:rPr>
                <w:t xml:space="preserve">第124章</w:t>
              </w:r>
            </w:hyperlink>
          </w:p>
        </w:tc>
      </w:tr>
      <w:tr>
        <w:tc>
          <w:tcPr/>
          <w:p>
            <w:pPr>
              <w:pStyle w:val="Compact"/>
              <w:jc w:val="left"/>
            </w:pPr>
            <w:r>
              <w:t xml:space="preserve">人只用了 10% 的大脑</w:t>
            </w:r>
          </w:p>
        </w:tc>
        <w:tc>
          <w:tcPr/>
          <w:p>
            <w:pPr>
              <w:pStyle w:val="Compact"/>
              <w:jc w:val="left"/>
            </w:pPr>
            <w:r>
              <w:t xml:space="preserve">一天中几乎所有脑区都会活动，多数部位受损都会造成功能缺失</w:t>
            </w:r>
          </w:p>
        </w:tc>
        <w:tc>
          <w:tcPr/>
          <w:p>
            <w:pPr>
              <w:pStyle w:val="Compact"/>
              <w:jc w:val="left"/>
            </w:pPr>
            <w:r>
              <w:rPr>
                <w:bCs/>
                <w:b/>
              </w:rPr>
              <w:t xml:space="preserve">错误·高</w:t>
            </w:r>
          </w:p>
        </w:tc>
        <w:tc>
          <w:tcPr/>
          <w:p>
            <w:pPr>
              <w:pStyle w:val="Compact"/>
              <w:jc w:val="left"/>
            </w:pPr>
            <w:hyperlink w:anchor="ch-74">
              <w:r>
                <w:rPr>
                  <w:rStyle w:val="Hyperlink"/>
                </w:rPr>
                <w:t xml:space="preserve">第74章</w:t>
              </w:r>
            </w:hyperlink>
          </w:p>
        </w:tc>
      </w:tr>
      <w:tr>
        <w:tc>
          <w:tcPr/>
          <w:p>
            <w:pPr>
              <w:pStyle w:val="Compact"/>
              <w:jc w:val="left"/>
            </w:pPr>
            <w:r>
              <w:t xml:space="preserve">大脑就是电脑，人工神经网络已经复制了人脑</w:t>
            </w:r>
          </w:p>
        </w:tc>
        <w:tc>
          <w:tcPr/>
          <w:p>
            <w:pPr>
              <w:pStyle w:val="Compact"/>
              <w:jc w:val="left"/>
            </w:pPr>
            <w:r>
              <w:t xml:space="preserve">人工网络可以作为某些脑功能的定量模型；任务表现相似与机制相同要分别证明</w:t>
            </w:r>
          </w:p>
        </w:tc>
        <w:tc>
          <w:tcPr/>
          <w:p>
            <w:pPr>
              <w:pStyle w:val="Compact"/>
              <w:jc w:val="left"/>
            </w:pPr>
            <w:r>
              <w:rPr>
                <w:bCs/>
                <w:b/>
              </w:rPr>
              <w:t xml:space="preserve">错误·高</w:t>
            </w:r>
          </w:p>
        </w:tc>
        <w:tc>
          <w:tcPr/>
          <w:p>
            <w:pPr>
              <w:pStyle w:val="Compact"/>
              <w:jc w:val="left"/>
            </w:pPr>
            <w:hyperlink w:anchor="ch-150">
              <w:r>
                <w:rPr>
                  <w:rStyle w:val="Hyperlink"/>
                </w:rPr>
                <w:t xml:space="preserve">第150章</w:t>
              </w:r>
            </w:hyperlink>
          </w:p>
        </w:tc>
      </w:tr>
      <w:tr>
        <w:tc>
          <w:tcPr/>
          <w:p>
            <w:pPr>
              <w:pStyle w:val="Compact"/>
              <w:jc w:val="left"/>
            </w:pPr>
            <w:r>
              <w:rPr>
                <w:bCs/>
                <w:b/>
              </w:rPr>
              <w:t xml:space="preserve">二、脑区与网络</w:t>
            </w:r>
          </w:p>
        </w:tc>
        <w:tc>
          <w:tcPr/>
          <w:p/>
        </w:tc>
        <w:tc>
          <w:tcPr/>
          <w:p/>
        </w:tc>
        <w:tc>
          <w:tcPr/>
          <w:p/>
        </w:tc>
      </w:tr>
      <w:tr>
        <w:tc>
          <w:tcPr/>
          <w:p>
            <w:pPr>
              <w:pStyle w:val="Compact"/>
              <w:jc w:val="left"/>
            </w:pPr>
            <w:r>
              <w:t xml:space="preserve">左脑管逻辑、右脑管创意，人分左脑型和右脑型</w:t>
            </w:r>
          </w:p>
        </w:tc>
        <w:tc>
          <w:tcPr/>
          <w:p>
            <w:pPr>
              <w:pStyle w:val="Compact"/>
              <w:jc w:val="left"/>
            </w:pPr>
            <w:r>
              <w:t xml:space="preserve">局部功能存在偏侧化；个体分不出“左脑型”和“右脑型”</w:t>
            </w:r>
          </w:p>
        </w:tc>
        <w:tc>
          <w:tcPr/>
          <w:p>
            <w:pPr>
              <w:pStyle w:val="Compact"/>
              <w:jc w:val="left"/>
            </w:pPr>
            <w:r>
              <w:rPr>
                <w:bCs/>
                <w:b/>
              </w:rPr>
              <w:t xml:space="preserve">错误·高</w:t>
            </w:r>
          </w:p>
        </w:tc>
        <w:tc>
          <w:tcPr/>
          <w:p>
            <w:pPr>
              <w:pStyle w:val="Compact"/>
              <w:jc w:val="left"/>
            </w:pPr>
            <w:hyperlink w:anchor="ch-73">
              <w:r>
                <w:rPr>
                  <w:rStyle w:val="Hyperlink"/>
                </w:rPr>
                <w:t xml:space="preserve">第73章</w:t>
              </w:r>
            </w:hyperlink>
          </w:p>
        </w:tc>
      </w:tr>
      <w:tr>
        <w:tc>
          <w:tcPr/>
          <w:p>
            <w:pPr>
              <w:pStyle w:val="Compact"/>
              <w:jc w:val="left"/>
            </w:pPr>
            <w:r>
              <w:t xml:space="preserve">理性脑区与感性脑区彼此对立、互相争权</w:t>
            </w:r>
          </w:p>
        </w:tc>
        <w:tc>
          <w:tcPr/>
          <w:p>
            <w:pPr>
              <w:pStyle w:val="Compact"/>
              <w:jc w:val="left"/>
            </w:pPr>
            <w:r>
              <w:t xml:space="preserve">情绪与认知在脑内高度交织，情绪信号是许多良好决策的组成部分</w:t>
            </w:r>
          </w:p>
        </w:tc>
        <w:tc>
          <w:tcPr/>
          <w:p>
            <w:pPr>
              <w:pStyle w:val="Compact"/>
              <w:jc w:val="left"/>
            </w:pPr>
            <w:r>
              <w:rPr>
                <w:bCs/>
                <w:b/>
              </w:rPr>
              <w:t xml:space="preserve">错误·高</w:t>
            </w:r>
          </w:p>
        </w:tc>
        <w:tc>
          <w:tcPr/>
          <w:p>
            <w:pPr>
              <w:pStyle w:val="Compact"/>
              <w:jc w:val="left"/>
            </w:pPr>
            <w:hyperlink w:anchor="ch-46">
              <w:r>
                <w:rPr>
                  <w:rStyle w:val="Hyperlink"/>
                </w:rPr>
                <w:t xml:space="preserve">第46章</w:t>
              </w:r>
            </w:hyperlink>
          </w:p>
        </w:tc>
      </w:tr>
      <w:tr>
        <w:tc>
          <w:tcPr/>
          <w:p>
            <w:pPr>
              <w:pStyle w:val="Compact"/>
              <w:jc w:val="left"/>
            </w:pPr>
            <w:r>
              <w:t xml:space="preserve">压力下“上层脑断电”，由“下层脑”接管</w:t>
            </w:r>
          </w:p>
        </w:tc>
        <w:tc>
          <w:tcPr/>
          <w:p>
            <w:pPr>
              <w:pStyle w:val="Compact"/>
              <w:jc w:val="left"/>
            </w:pPr>
            <w:r>
              <w:t xml:space="preserve">强烈压力会影响工作记忆和行为调节，变化依脑区、细胞类型和任务而定</w:t>
            </w:r>
          </w:p>
        </w:tc>
        <w:tc>
          <w:tcPr/>
          <w:p>
            <w:pPr>
              <w:pStyle w:val="Compact"/>
              <w:jc w:val="left"/>
            </w:pPr>
            <w:r>
              <w:rPr>
                <w:bCs/>
                <w:b/>
              </w:rPr>
              <w:t xml:space="preserve">过度简化·高</w:t>
            </w:r>
          </w:p>
        </w:tc>
        <w:tc>
          <w:tcPr/>
          <w:p>
            <w:pPr>
              <w:pStyle w:val="Compact"/>
              <w:jc w:val="left"/>
            </w:pPr>
            <w:hyperlink w:anchor="ch-100">
              <w:r>
                <w:rPr>
                  <w:rStyle w:val="Hyperlink"/>
                </w:rPr>
                <w:t xml:space="preserve">第100章</w:t>
              </w:r>
            </w:hyperlink>
          </w:p>
        </w:tc>
      </w:tr>
      <w:tr>
        <w:tc>
          <w:tcPr/>
          <w:p>
            <w:pPr>
              <w:pStyle w:val="Compact"/>
              <w:jc w:val="left"/>
            </w:pPr>
            <w:r>
              <w:t xml:space="preserve">边缘系统是统一的情绪中心</w:t>
            </w:r>
          </w:p>
        </w:tc>
        <w:tc>
          <w:tcPr/>
          <w:p>
            <w:pPr>
              <w:pStyle w:val="Compact"/>
              <w:jc w:val="left"/>
            </w:pPr>
            <w:r>
              <w:t xml:space="preserve">边缘系统是一个边界不一的历史解剖分类，情绪涉及多个网络</w:t>
            </w:r>
          </w:p>
        </w:tc>
        <w:tc>
          <w:tcPr/>
          <w:p>
            <w:pPr>
              <w:pStyle w:val="Compact"/>
              <w:jc w:val="left"/>
            </w:pPr>
            <w:r>
              <w:rPr>
                <w:bCs/>
                <w:b/>
              </w:rPr>
              <w:t xml:space="preserve">过度简化·高</w:t>
            </w:r>
          </w:p>
        </w:tc>
        <w:tc>
          <w:tcPr/>
          <w:p>
            <w:pPr>
              <w:pStyle w:val="Compact"/>
              <w:jc w:val="left"/>
            </w:pPr>
            <w:hyperlink w:anchor="ch-88">
              <w:r>
                <w:rPr>
                  <w:rStyle w:val="Hyperlink"/>
                </w:rPr>
                <w:t xml:space="preserve">第88章</w:t>
              </w:r>
            </w:hyperlink>
          </w:p>
        </w:tc>
      </w:tr>
      <w:tr>
        <w:tc>
          <w:tcPr/>
          <w:p>
            <w:pPr>
              <w:pStyle w:val="Compact"/>
              <w:jc w:val="left"/>
            </w:pPr>
            <w:r>
              <w:t xml:space="preserve">杏仁核是“恐惧中枢”“恐惧开关”</w:t>
            </w:r>
          </w:p>
        </w:tc>
        <w:tc>
          <w:tcPr/>
          <w:p>
            <w:pPr>
              <w:pStyle w:val="Compact"/>
              <w:jc w:val="left"/>
            </w:pPr>
            <w:r>
              <w:t xml:space="preserve">杏仁核参与威胁学习和多种价值加工；双侧损毁者吸入二氧化碳仍会惊恐发作</w:t>
            </w:r>
          </w:p>
        </w:tc>
        <w:tc>
          <w:tcPr/>
          <w:p>
            <w:pPr>
              <w:pStyle w:val="Compact"/>
              <w:jc w:val="left"/>
            </w:pPr>
            <w:r>
              <w:rPr>
                <w:bCs/>
                <w:b/>
              </w:rPr>
              <w:t xml:space="preserve">过度简化·高</w:t>
            </w:r>
          </w:p>
        </w:tc>
        <w:tc>
          <w:tcPr/>
          <w:p>
            <w:pPr>
              <w:pStyle w:val="Compact"/>
              <w:jc w:val="left"/>
            </w:pPr>
            <w:hyperlink w:anchor="ch-87">
              <w:r>
                <w:rPr>
                  <w:rStyle w:val="Hyperlink"/>
                </w:rPr>
                <w:t xml:space="preserve">第87章</w:t>
              </w:r>
            </w:hyperlink>
          </w:p>
        </w:tc>
      </w:tr>
      <w:tr>
        <w:tc>
          <w:tcPr/>
          <w:p>
            <w:pPr>
              <w:pStyle w:val="Compact"/>
              <w:jc w:val="left"/>
            </w:pPr>
            <w:r>
              <w:t xml:space="preserve">发脾气是“杏仁核劫持”</w:t>
            </w:r>
          </w:p>
        </w:tc>
        <w:tc>
          <w:tcPr/>
          <w:p>
            <w:pPr>
              <w:pStyle w:val="Compact"/>
              <w:jc w:val="left"/>
            </w:pPr>
            <w:r>
              <w:t xml:space="preserve">急性压力会影响前额叶功能；“杏仁核经一条通路关停前额叶”没有证据</w:t>
            </w:r>
          </w:p>
        </w:tc>
        <w:tc>
          <w:tcPr/>
          <w:p>
            <w:pPr>
              <w:pStyle w:val="Compact"/>
              <w:jc w:val="left"/>
            </w:pPr>
            <w:r>
              <w:rPr>
                <w:bCs/>
                <w:b/>
              </w:rPr>
              <w:t xml:space="preserve">过度简化·高</w:t>
            </w:r>
          </w:p>
        </w:tc>
        <w:tc>
          <w:tcPr/>
          <w:p>
            <w:pPr>
              <w:pStyle w:val="Compact"/>
              <w:jc w:val="left"/>
            </w:pPr>
            <w:hyperlink w:anchor="ch-76">
              <w:r>
                <w:rPr>
                  <w:rStyle w:val="Hyperlink"/>
                </w:rPr>
                <w:t xml:space="preserve">第76章</w:t>
              </w:r>
            </w:hyperlink>
          </w:p>
        </w:tc>
      </w:tr>
      <w:tr>
        <w:tc>
          <w:tcPr/>
          <w:p>
            <w:pPr>
              <w:pStyle w:val="Compact"/>
              <w:jc w:val="left"/>
            </w:pPr>
            <w:r>
              <w:t xml:space="preserve">“6 秒法则”与“情绪只持续 90 秒”</w:t>
            </w:r>
          </w:p>
        </w:tc>
        <w:tc>
          <w:tcPr/>
          <w:p>
            <w:pPr>
              <w:pStyle w:val="Compact"/>
              <w:jc w:val="left"/>
            </w:pPr>
            <w:r>
              <w:t xml:space="preserve">两个数字分别出自机构网页和个人回忆录；情绪持续时间常以小时计，差异很大</w:t>
            </w:r>
          </w:p>
        </w:tc>
        <w:tc>
          <w:tcPr/>
          <w:p>
            <w:pPr>
              <w:pStyle w:val="Compact"/>
              <w:jc w:val="left"/>
            </w:pPr>
            <w:r>
              <w:rPr>
                <w:bCs/>
                <w:b/>
              </w:rPr>
              <w:t xml:space="preserve">错误·高</w:t>
            </w:r>
          </w:p>
        </w:tc>
        <w:tc>
          <w:tcPr/>
          <w:p>
            <w:pPr>
              <w:pStyle w:val="Compact"/>
              <w:jc w:val="left"/>
            </w:pPr>
            <w:hyperlink w:anchor="ch-76">
              <w:r>
                <w:rPr>
                  <w:rStyle w:val="Hyperlink"/>
                </w:rPr>
                <w:t xml:space="preserve">第76章</w:t>
              </w:r>
            </w:hyperlink>
          </w:p>
        </w:tc>
      </w:tr>
      <w:tr>
        <w:tc>
          <w:tcPr/>
          <w:p>
            <w:pPr>
              <w:pStyle w:val="Compact"/>
              <w:jc w:val="left"/>
            </w:pPr>
            <w:r>
              <w:t xml:space="preserve">前额叶是理性总司令，负责压住其他脑区</w:t>
            </w:r>
          </w:p>
        </w:tc>
        <w:tc>
          <w:tcPr/>
          <w:p>
            <w:pPr>
              <w:pStyle w:val="Compact"/>
              <w:jc w:val="left"/>
            </w:pPr>
            <w:r>
              <w:t xml:space="preserve">前额叶对维持目标和使用规则贡献重要，它与基底节、丘脑等结构协同工作</w:t>
            </w:r>
          </w:p>
        </w:tc>
        <w:tc>
          <w:tcPr/>
          <w:p>
            <w:pPr>
              <w:pStyle w:val="Compact"/>
              <w:jc w:val="left"/>
            </w:pPr>
            <w:r>
              <w:rPr>
                <w:bCs/>
                <w:b/>
              </w:rPr>
              <w:t xml:space="preserve">过度简化·高</w:t>
            </w:r>
          </w:p>
        </w:tc>
        <w:tc>
          <w:tcPr/>
          <w:p>
            <w:pPr>
              <w:pStyle w:val="Compact"/>
              <w:jc w:val="left"/>
            </w:pPr>
            <w:hyperlink w:anchor="ch-89">
              <w:r>
                <w:rPr>
                  <w:rStyle w:val="Hyperlink"/>
                </w:rPr>
                <w:t xml:space="preserve">第89章</w:t>
              </w:r>
            </w:hyperlink>
          </w:p>
        </w:tc>
      </w:tr>
      <w:tr>
        <w:tc>
          <w:tcPr/>
          <w:p>
            <w:pPr>
              <w:pStyle w:val="Compact"/>
              <w:jc w:val="left"/>
            </w:pPr>
            <w:r>
              <w:t xml:space="preserve">大脑有一个“抽象区”</w:t>
            </w:r>
          </w:p>
        </w:tc>
        <w:tc>
          <w:tcPr/>
          <w:p>
            <w:pPr>
              <w:pStyle w:val="Compact"/>
              <w:jc w:val="left"/>
            </w:pPr>
            <w:r>
              <w:t xml:space="preserve">抽象思维分布在额、顶、颞多处，前额极在多重关系的整合中作用突出</w:t>
            </w:r>
          </w:p>
        </w:tc>
        <w:tc>
          <w:tcPr/>
          <w:p>
            <w:pPr>
              <w:pStyle w:val="Compact"/>
              <w:jc w:val="left"/>
            </w:pPr>
            <w:r>
              <w:rPr>
                <w:bCs/>
                <w:b/>
              </w:rPr>
              <w:t xml:space="preserve">过度简化·高</w:t>
            </w:r>
          </w:p>
        </w:tc>
        <w:tc>
          <w:tcPr/>
          <w:p>
            <w:pPr>
              <w:pStyle w:val="Compact"/>
              <w:jc w:val="left"/>
            </w:pPr>
            <w:hyperlink w:anchor="sec-89-2">
              <w:r>
                <w:rPr>
                  <w:rStyle w:val="Hyperlink"/>
                </w:rPr>
                <w:t xml:space="preserve">89.2</w:t>
              </w:r>
            </w:hyperlink>
          </w:p>
        </w:tc>
      </w:tr>
      <w:tr>
        <w:tc>
          <w:tcPr/>
          <w:p>
            <w:pPr>
              <w:pStyle w:val="Compact"/>
              <w:jc w:val="left"/>
            </w:pPr>
            <w:r>
              <w:t xml:space="preserve">前扣带是“注意力中枢”；社交痛就是身体痛</w:t>
            </w:r>
          </w:p>
        </w:tc>
        <w:tc>
          <w:tcPr/>
          <w:p>
            <w:pPr>
              <w:pStyle w:val="Compact"/>
              <w:jc w:val="left"/>
            </w:pPr>
            <w:r>
              <w:t xml:space="preserve">前扣带参与冲突监测和控制权衡；两种痛的多变量模式在所用模型中可以区分</w:t>
            </w:r>
          </w:p>
        </w:tc>
        <w:tc>
          <w:tcPr/>
          <w:p>
            <w:pPr>
              <w:pStyle w:val="Compact"/>
              <w:jc w:val="left"/>
            </w:pPr>
            <w:r>
              <w:t xml:space="preserve">注意力中枢：</w:t>
            </w:r>
            <w:r>
              <w:rPr>
                <w:bCs/>
                <w:b/>
              </w:rPr>
              <w:t xml:space="preserve">过度简化·高</w:t>
            </w:r>
            <w:r>
              <w:br/>
            </w:r>
            <w:r>
              <w:t xml:space="preserve">社交痛即身体痛：</w:t>
            </w:r>
            <w:r>
              <w:rPr>
                <w:bCs/>
                <w:b/>
              </w:rPr>
              <w:t xml:space="preserve">过度简化·中</w:t>
            </w:r>
          </w:p>
        </w:tc>
        <w:tc>
          <w:tcPr/>
          <w:p>
            <w:pPr>
              <w:pStyle w:val="Compact"/>
              <w:jc w:val="left"/>
            </w:pPr>
            <w:hyperlink w:anchor="sec-90-1">
              <w:r>
                <w:rPr>
                  <w:rStyle w:val="Hyperlink"/>
                </w:rPr>
                <w:t xml:space="preserve">90.1</w:t>
              </w:r>
            </w:hyperlink>
          </w:p>
        </w:tc>
      </w:tr>
      <w:tr>
        <w:tc>
          <w:tcPr/>
          <w:p>
            <w:pPr>
              <w:pStyle w:val="Compact"/>
              <w:jc w:val="left"/>
            </w:pPr>
            <w:r>
              <w:t xml:space="preserve">岛叶是自我意识所在</w:t>
            </w:r>
          </w:p>
        </w:tc>
        <w:tc>
          <w:tcPr/>
          <w:p>
            <w:pPr>
              <w:pStyle w:val="Compact"/>
              <w:jc w:val="left"/>
            </w:pPr>
            <w:r>
              <w:t xml:space="preserve">双侧岛叶损毁者保留了自我觉知与感受</w:t>
            </w:r>
          </w:p>
        </w:tc>
        <w:tc>
          <w:tcPr/>
          <w:p>
            <w:pPr>
              <w:pStyle w:val="Compact"/>
              <w:jc w:val="left"/>
            </w:pPr>
            <w:r>
              <w:rPr>
                <w:bCs/>
                <w:b/>
              </w:rPr>
              <w:t xml:space="preserve">错误·中</w:t>
            </w:r>
          </w:p>
        </w:tc>
        <w:tc>
          <w:tcPr/>
          <w:p>
            <w:pPr>
              <w:pStyle w:val="Compact"/>
              <w:jc w:val="left"/>
            </w:pPr>
            <w:hyperlink w:anchor="sec-90-2">
              <w:r>
                <w:rPr>
                  <w:rStyle w:val="Hyperlink"/>
                </w:rPr>
                <w:t xml:space="preserve">90.2</w:t>
              </w:r>
            </w:hyperlink>
          </w:p>
        </w:tc>
      </w:tr>
      <w:tr>
        <w:tc>
          <w:tcPr/>
          <w:p>
            <w:pPr>
              <w:pStyle w:val="Compact"/>
              <w:jc w:val="left"/>
            </w:pPr>
            <w:r>
              <w:t xml:space="preserve">丘脑只是中继站</w:t>
            </w:r>
          </w:p>
        </w:tc>
        <w:tc>
          <w:tcPr/>
          <w:p>
            <w:pPr>
              <w:pStyle w:val="Compact"/>
              <w:jc w:val="left"/>
            </w:pPr>
            <w:r>
              <w:t xml:space="preserve">丘脑还参与注意选择、觉醒和跨皮层协调</w:t>
            </w:r>
          </w:p>
        </w:tc>
        <w:tc>
          <w:tcPr/>
          <w:p>
            <w:pPr>
              <w:pStyle w:val="Compact"/>
              <w:jc w:val="left"/>
            </w:pPr>
            <w:r>
              <w:rPr>
                <w:bCs/>
                <w:b/>
              </w:rPr>
              <w:t xml:space="preserve">错误·高</w:t>
            </w:r>
          </w:p>
        </w:tc>
        <w:tc>
          <w:tcPr/>
          <w:p>
            <w:pPr>
              <w:pStyle w:val="Compact"/>
              <w:jc w:val="left"/>
            </w:pPr>
            <w:hyperlink w:anchor="sec-92-4">
              <w:r>
                <w:rPr>
                  <w:rStyle w:val="Hyperlink"/>
                </w:rPr>
                <w:t xml:space="preserve">92.4</w:t>
              </w:r>
            </w:hyperlink>
          </w:p>
        </w:tc>
      </w:tr>
      <w:tr>
        <w:tc>
          <w:tcPr/>
          <w:p>
            <w:pPr>
              <w:pStyle w:val="Compact"/>
              <w:jc w:val="left"/>
            </w:pPr>
            <w:r>
              <w:t xml:space="preserve">小脑只管运动</w:t>
            </w:r>
          </w:p>
        </w:tc>
        <w:tc>
          <w:tcPr/>
          <w:p>
            <w:pPr>
              <w:pStyle w:val="Compact"/>
              <w:jc w:val="left"/>
            </w:pPr>
            <w:r>
              <w:t xml:space="preserve">小脑后叶损伤会导致认知和情绪改变，小脑大部分区域与大脑的联合网络对应</w:t>
            </w:r>
          </w:p>
        </w:tc>
        <w:tc>
          <w:tcPr/>
          <w:p>
            <w:pPr>
              <w:pStyle w:val="Compact"/>
              <w:jc w:val="left"/>
            </w:pPr>
            <w:r>
              <w:rPr>
                <w:bCs/>
                <w:b/>
              </w:rPr>
              <w:t xml:space="preserve">错误·高</w:t>
            </w:r>
          </w:p>
        </w:tc>
        <w:tc>
          <w:tcPr/>
          <w:p>
            <w:pPr>
              <w:pStyle w:val="Compact"/>
              <w:jc w:val="left"/>
            </w:pPr>
            <w:hyperlink w:anchor="sec-92-6">
              <w:r>
                <w:rPr>
                  <w:rStyle w:val="Hyperlink"/>
                </w:rPr>
                <w:t xml:space="preserve">92.6</w:t>
              </w:r>
            </w:hyperlink>
          </w:p>
        </w:tc>
      </w:tr>
      <w:tr>
        <w:tc>
          <w:tcPr/>
          <w:p>
            <w:pPr>
              <w:pStyle w:val="Compact"/>
              <w:jc w:val="left"/>
            </w:pPr>
            <w:r>
              <w:t xml:space="preserve">屏状核是意识开关</w:t>
            </w:r>
          </w:p>
        </w:tc>
        <w:tc>
          <w:tcPr/>
          <w:p>
            <w:pPr>
              <w:pStyle w:val="Compact"/>
              <w:jc w:val="left"/>
            </w:pPr>
            <w:r>
              <w:t xml:space="preserve">这一假说由克里克和科赫于 2005 年提出；支持“开关”说的只有一例刺激报告，5 名病人屏状核内刺激没有导致意识丧失</w:t>
            </w:r>
          </w:p>
        </w:tc>
        <w:tc>
          <w:tcPr/>
          <w:p>
            <w:pPr>
              <w:pStyle w:val="Compact"/>
              <w:jc w:val="left"/>
            </w:pPr>
            <w:r>
              <w:rPr>
                <w:bCs/>
                <w:b/>
              </w:rPr>
              <w:t xml:space="preserve">证据不足·中</w:t>
            </w:r>
          </w:p>
        </w:tc>
        <w:tc>
          <w:tcPr/>
          <w:p>
            <w:pPr>
              <w:pStyle w:val="Compact"/>
              <w:jc w:val="left"/>
            </w:pPr>
            <w:hyperlink w:anchor="sec-92-9">
              <w:r>
                <w:rPr>
                  <w:rStyle w:val="Hyperlink"/>
                </w:rPr>
                <w:t xml:space="preserve">92.9</w:t>
              </w:r>
            </w:hyperlink>
          </w:p>
        </w:tc>
      </w:tr>
      <w:tr>
        <w:tc>
          <w:tcPr/>
          <w:p>
            <w:pPr>
              <w:pStyle w:val="Compact"/>
              <w:jc w:val="left"/>
            </w:pPr>
            <w:r>
              <w:t xml:space="preserve">松果体是“第三只眼”，能释放致幻剂量的 DMT</w:t>
            </w:r>
          </w:p>
        </w:tc>
        <w:tc>
          <w:tcPr/>
          <w:p>
            <w:pPr>
              <w:pStyle w:val="Compact"/>
              <w:jc w:val="left"/>
            </w:pPr>
            <w:r>
              <w:t xml:space="preserve">“第三只眼”没有可检验的定义；人脑内的微量 DMT 很可能不足以产生精神作用</w:t>
            </w:r>
          </w:p>
        </w:tc>
        <w:tc>
          <w:tcPr/>
          <w:p>
            <w:pPr>
              <w:pStyle w:val="Compact"/>
              <w:jc w:val="left"/>
            </w:pPr>
            <w:r>
              <w:t xml:space="preserve">释放致幻剂量 DMT：</w:t>
            </w:r>
            <w:r>
              <w:rPr>
                <w:bCs/>
                <w:b/>
              </w:rPr>
              <w:t xml:space="preserve">证据不足·高</w:t>
            </w:r>
          </w:p>
        </w:tc>
        <w:tc>
          <w:tcPr/>
          <w:p>
            <w:pPr>
              <w:pStyle w:val="Compact"/>
              <w:jc w:val="left"/>
            </w:pPr>
            <w:hyperlink w:anchor="sec-92-10">
              <w:r>
                <w:rPr>
                  <w:rStyle w:val="Hyperlink"/>
                </w:rPr>
                <w:t xml:space="preserve">92.10</w:t>
              </w:r>
            </w:hyperlink>
            <w:r>
              <w:t xml:space="preserve">、</w:t>
            </w:r>
            <w:hyperlink w:anchor="sec-110-13">
              <w:r>
                <w:rPr>
                  <w:rStyle w:val="Hyperlink"/>
                </w:rPr>
                <w:t xml:space="preserve">110.13</w:t>
              </w:r>
            </w:hyperlink>
          </w:p>
        </w:tc>
      </w:tr>
      <w:tr>
        <w:tc>
          <w:tcPr/>
          <w:p>
            <w:pPr>
              <w:pStyle w:val="Compact"/>
              <w:jc w:val="left"/>
            </w:pPr>
            <w:r>
              <w:t xml:space="preserve">镜像神经元就是共情神经元</w:t>
            </w:r>
          </w:p>
        </w:tc>
        <w:tc>
          <w:tcPr/>
          <w:p>
            <w:pPr>
              <w:pStyle w:val="Compact"/>
              <w:jc w:val="left"/>
            </w:pPr>
            <w:r>
              <w:t xml:space="preserve">镜像响应确实存在；它对理解意图和共情是否必需，仍有争议</w:t>
            </w:r>
          </w:p>
        </w:tc>
        <w:tc>
          <w:tcPr/>
          <w:p>
            <w:pPr>
              <w:pStyle w:val="Compact"/>
              <w:jc w:val="left"/>
            </w:pPr>
            <w:r>
              <w:rPr>
                <w:bCs/>
                <w:b/>
              </w:rPr>
              <w:t xml:space="preserve">证据不足·中</w:t>
            </w:r>
          </w:p>
        </w:tc>
        <w:tc>
          <w:tcPr/>
          <w:p>
            <w:pPr>
              <w:pStyle w:val="Compact"/>
              <w:jc w:val="left"/>
            </w:pPr>
            <w:hyperlink w:anchor="ch-75">
              <w:r>
                <w:rPr>
                  <w:rStyle w:val="Hyperlink"/>
                </w:rPr>
                <w:t xml:space="preserve">第75章</w:t>
              </w:r>
            </w:hyperlink>
          </w:p>
        </w:tc>
      </w:tr>
      <w:tr>
        <w:tc>
          <w:tcPr/>
          <w:p>
            <w:pPr>
              <w:pStyle w:val="Compact"/>
              <w:jc w:val="left"/>
            </w:pPr>
            <w:r>
              <w:t xml:space="preserve">自闭症源于镜像系统破碎</w:t>
            </w:r>
          </w:p>
        </w:tc>
        <w:tc>
          <w:tcPr/>
          <w:p>
            <w:pPr>
              <w:pStyle w:val="Compact"/>
              <w:jc w:val="left"/>
            </w:pPr>
            <w:r>
              <w:t xml:space="preserve">25 项研究的系统综述不支持这一强假说</w:t>
            </w:r>
          </w:p>
        </w:tc>
        <w:tc>
          <w:tcPr/>
          <w:p>
            <w:pPr>
              <w:pStyle w:val="Compact"/>
              <w:jc w:val="left"/>
            </w:pPr>
            <w:r>
              <w:rPr>
                <w:bCs/>
                <w:b/>
              </w:rPr>
              <w:t xml:space="preserve">错误·高</w:t>
            </w:r>
          </w:p>
        </w:tc>
        <w:tc>
          <w:tcPr/>
          <w:p>
            <w:pPr>
              <w:pStyle w:val="Compact"/>
              <w:jc w:val="left"/>
            </w:pPr>
            <w:hyperlink w:anchor="ch-75">
              <w:r>
                <w:rPr>
                  <w:rStyle w:val="Hyperlink"/>
                </w:rPr>
                <w:t xml:space="preserve">第75章</w:t>
              </w:r>
            </w:hyperlink>
          </w:p>
        </w:tc>
      </w:tr>
      <w:tr>
        <w:tc>
          <w:tcPr/>
          <w:p>
            <w:pPr>
              <w:pStyle w:val="Compact"/>
              <w:jc w:val="left"/>
            </w:pPr>
            <w:r>
              <w:t xml:space="preserve">默认模式网络是痛苦之源，可以被关掉；抑郁就是它过度活跃</w:t>
            </w:r>
          </w:p>
        </w:tc>
        <w:tc>
          <w:tcPr/>
          <w:p>
            <w:pPr>
              <w:pStyle w:val="Compact"/>
              <w:jc w:val="left"/>
            </w:pPr>
            <w:r>
              <w:t xml:space="preserve">默认网络参与自传记忆、想象和理解他人；大样本数据未见抑郁患者网络内部过度连接</w:t>
            </w:r>
          </w:p>
        </w:tc>
        <w:tc>
          <w:tcPr/>
          <w:p>
            <w:pPr>
              <w:pStyle w:val="Compact"/>
              <w:jc w:val="left"/>
            </w:pPr>
            <w:r>
              <w:t xml:space="preserve">关掉：</w:t>
            </w:r>
            <w:r>
              <w:rPr>
                <w:bCs/>
                <w:b/>
              </w:rPr>
              <w:t xml:space="preserve">错误·高</w:t>
            </w:r>
            <w:r>
              <w:br/>
            </w:r>
            <w:r>
              <w:t xml:space="preserve">抑郁即过度活跃：</w:t>
            </w:r>
            <w:r>
              <w:rPr>
                <w:bCs/>
                <w:b/>
              </w:rPr>
              <w:t xml:space="preserve">过度简化·中</w:t>
            </w:r>
          </w:p>
        </w:tc>
        <w:tc>
          <w:tcPr/>
          <w:p>
            <w:pPr>
              <w:pStyle w:val="Compact"/>
              <w:jc w:val="left"/>
            </w:pPr>
            <w:hyperlink w:anchor="sec-93-1">
              <w:r>
                <w:rPr>
                  <w:rStyle w:val="Hyperlink"/>
                </w:rPr>
                <w:t xml:space="preserve">93.1</w:t>
              </w:r>
            </w:hyperlink>
            <w:r>
              <w:t xml:space="preserve">、</w:t>
            </w:r>
            <w:hyperlink w:anchor="sec-111-1">
              <w:r>
                <w:rPr>
                  <w:rStyle w:val="Hyperlink"/>
                </w:rPr>
                <w:t xml:space="preserve">111.1</w:t>
              </w:r>
            </w:hyperlink>
          </w:p>
        </w:tc>
      </w:tr>
      <w:tr>
        <w:tc>
          <w:tcPr/>
          <w:p>
            <w:pPr>
              <w:pStyle w:val="Compact"/>
              <w:jc w:val="left"/>
            </w:pPr>
            <w:r>
              <w:rPr>
                <w:bCs/>
                <w:b/>
              </w:rPr>
              <w:t xml:space="preserve">三、递质、激素与身体信号</w:t>
            </w:r>
          </w:p>
        </w:tc>
        <w:tc>
          <w:tcPr/>
          <w:p/>
        </w:tc>
        <w:tc>
          <w:tcPr/>
          <w:p/>
        </w:tc>
        <w:tc>
          <w:tcPr/>
          <w:p/>
        </w:tc>
      </w:tr>
      <w:tr>
        <w:tc>
          <w:tcPr/>
          <w:p>
            <w:pPr>
              <w:pStyle w:val="Compact"/>
              <w:jc w:val="left"/>
            </w:pPr>
            <w:r>
              <w:t xml:space="preserve">多巴胺是快乐分子，越多越幸福</w:t>
            </w:r>
          </w:p>
        </w:tc>
        <w:tc>
          <w:tcPr/>
          <w:p>
            <w:pPr>
              <w:pStyle w:val="Compact"/>
              <w:jc w:val="left"/>
            </w:pPr>
            <w:r>
              <w:t xml:space="preserve">多巴胺参与运动、学习、动机和部分奖赏过程，与“想要”和预测误差关系更密切</w:t>
            </w:r>
          </w:p>
        </w:tc>
        <w:tc>
          <w:tcPr/>
          <w:p>
            <w:pPr>
              <w:pStyle w:val="Compact"/>
              <w:jc w:val="left"/>
            </w:pPr>
            <w:r>
              <w:rPr>
                <w:bCs/>
                <w:b/>
              </w:rPr>
              <w:t xml:space="preserve">过度简化·高</w:t>
            </w:r>
          </w:p>
        </w:tc>
        <w:tc>
          <w:tcPr/>
          <w:p>
            <w:pPr>
              <w:pStyle w:val="Compact"/>
              <w:jc w:val="left"/>
            </w:pPr>
            <w:hyperlink w:anchor="ch-95">
              <w:r>
                <w:rPr>
                  <w:rStyle w:val="Hyperlink"/>
                </w:rPr>
                <w:t xml:space="preserve">第95章</w:t>
              </w:r>
            </w:hyperlink>
          </w:p>
        </w:tc>
      </w:tr>
      <w:tr>
        <w:tc>
          <w:tcPr/>
          <w:p>
            <w:pPr>
              <w:pStyle w:val="Compact"/>
              <w:jc w:val="left"/>
            </w:pPr>
            <w:r>
              <w:t xml:space="preserve">多巴胺管短期快乐，内啡肽管长期快乐</w:t>
            </w:r>
          </w:p>
        </w:tc>
        <w:tc>
          <w:tcPr/>
          <w:p>
            <w:pPr>
              <w:pStyle w:val="Compact"/>
              <w:jc w:val="left"/>
            </w:pPr>
            <w:r>
              <w:t xml:space="preserve">找不到科学来源；两者都在秒到分钟的时间尺度上起作用</w:t>
            </w:r>
          </w:p>
        </w:tc>
        <w:tc>
          <w:tcPr/>
          <w:p>
            <w:pPr>
              <w:pStyle w:val="Compact"/>
              <w:jc w:val="left"/>
            </w:pPr>
            <w:r>
              <w:rPr>
                <w:bCs/>
                <w:b/>
              </w:rPr>
              <w:t xml:space="preserve">错误·高</w:t>
            </w:r>
          </w:p>
        </w:tc>
        <w:tc>
          <w:tcPr/>
          <w:p>
            <w:pPr>
              <w:pStyle w:val="Compact"/>
              <w:jc w:val="left"/>
            </w:pPr>
            <w:hyperlink w:anchor="ch-80">
              <w:r>
                <w:rPr>
                  <w:rStyle w:val="Hyperlink"/>
                </w:rPr>
                <w:t xml:space="preserve">第80章</w:t>
              </w:r>
            </w:hyperlink>
          </w:p>
        </w:tc>
      </w:tr>
      <w:tr>
        <w:tc>
          <w:tcPr/>
          <w:p>
            <w:pPr>
              <w:pStyle w:val="Compact"/>
              <w:jc w:val="left"/>
            </w:pPr>
            <w:r>
              <w:t xml:space="preserve">“四大快乐激素”各管一种快乐</w:t>
            </w:r>
          </w:p>
        </w:tc>
        <w:tc>
          <w:tcPr/>
          <w:p>
            <w:pPr>
              <w:pStyle w:val="Compact"/>
              <w:jc w:val="left"/>
            </w:pPr>
            <w:r>
              <w:t xml:space="preserve">每种物质都通过不同受体和回路参与多种功能</w:t>
            </w:r>
          </w:p>
        </w:tc>
        <w:tc>
          <w:tcPr/>
          <w:p>
            <w:pPr>
              <w:pStyle w:val="Compact"/>
              <w:jc w:val="left"/>
            </w:pPr>
            <w:r>
              <w:rPr>
                <w:bCs/>
                <w:b/>
              </w:rPr>
              <w:t xml:space="preserve">过度简化·高</w:t>
            </w:r>
          </w:p>
        </w:tc>
        <w:tc>
          <w:tcPr/>
          <w:p>
            <w:pPr>
              <w:pStyle w:val="Compact"/>
              <w:jc w:val="left"/>
            </w:pPr>
            <w:hyperlink w:anchor="ch-80">
              <w:r>
                <w:rPr>
                  <w:rStyle w:val="Hyperlink"/>
                </w:rPr>
                <w:t xml:space="preserve">第80章</w:t>
              </w:r>
            </w:hyperlink>
          </w:p>
        </w:tc>
      </w:tr>
      <w:tr>
        <w:tc>
          <w:tcPr/>
          <w:p>
            <w:pPr>
              <w:pStyle w:val="Compact"/>
              <w:jc w:val="left"/>
            </w:pPr>
            <w:r>
              <w:t xml:space="preserve">多巴胺排毒能重置受体；刷短视频会耗尽多巴胺</w:t>
            </w:r>
          </w:p>
        </w:tc>
        <w:tc>
          <w:tcPr/>
          <w:p>
            <w:pPr>
              <w:pStyle w:val="Compact"/>
              <w:jc w:val="left"/>
            </w:pPr>
            <w:r>
              <w:t xml:space="preserve">原版是限制特定冲动行为的练习；“重置”没有证据，“耗尽”与生理学不符</w:t>
            </w:r>
          </w:p>
        </w:tc>
        <w:tc>
          <w:tcPr/>
          <w:p>
            <w:pPr>
              <w:pStyle w:val="Compact"/>
              <w:jc w:val="left"/>
            </w:pPr>
            <w:r>
              <w:t xml:space="preserve">重置受体：</w:t>
            </w:r>
            <w:r>
              <w:rPr>
                <w:bCs/>
                <w:b/>
              </w:rPr>
              <w:t xml:space="preserve">证据不足·高</w:t>
            </w:r>
            <w:r>
              <w:br/>
            </w:r>
            <w:r>
              <w:t xml:space="preserve">耗尽：</w:t>
            </w:r>
            <w:r>
              <w:rPr>
                <w:bCs/>
                <w:b/>
              </w:rPr>
              <w:t xml:space="preserve">错误·中</w:t>
            </w:r>
          </w:p>
        </w:tc>
        <w:tc>
          <w:tcPr/>
          <w:p>
            <w:pPr>
              <w:pStyle w:val="Compact"/>
              <w:jc w:val="left"/>
            </w:pPr>
            <w:hyperlink w:anchor="ch-81">
              <w:r>
                <w:rPr>
                  <w:rStyle w:val="Hyperlink"/>
                </w:rPr>
                <w:t xml:space="preserve">第81章</w:t>
              </w:r>
            </w:hyperlink>
          </w:p>
        </w:tc>
      </w:tr>
      <w:tr>
        <w:tc>
          <w:tcPr/>
          <w:p>
            <w:pPr>
              <w:pStyle w:val="Compact"/>
              <w:jc w:val="left"/>
            </w:pPr>
            <w:r>
              <w:t xml:space="preserve">成瘾就是多巴胺太多，喜欢什么就会对什么上瘾</w:t>
            </w:r>
          </w:p>
        </w:tc>
        <w:tc>
          <w:tcPr/>
          <w:p>
            <w:pPr>
              <w:pStyle w:val="Compact"/>
              <w:jc w:val="left"/>
            </w:pPr>
            <w:r>
              <w:t xml:space="preserve">成瘾要看持续的控制困难、明显的不利后果和功能受损</w:t>
            </w:r>
          </w:p>
        </w:tc>
        <w:tc>
          <w:tcPr/>
          <w:p>
            <w:pPr>
              <w:pStyle w:val="Compact"/>
              <w:jc w:val="left"/>
            </w:pPr>
            <w:r>
              <w:rPr>
                <w:bCs/>
                <w:b/>
              </w:rPr>
              <w:t xml:space="preserve">过度简化·高</w:t>
            </w:r>
          </w:p>
        </w:tc>
        <w:tc>
          <w:tcPr/>
          <w:p>
            <w:pPr>
              <w:pStyle w:val="Compact"/>
              <w:jc w:val="left"/>
            </w:pPr>
            <w:hyperlink w:anchor="ch-134">
              <w:r>
                <w:rPr>
                  <w:rStyle w:val="Hyperlink"/>
                </w:rPr>
                <w:t xml:space="preserve">第134章</w:t>
              </w:r>
            </w:hyperlink>
          </w:p>
        </w:tc>
      </w:tr>
      <w:tr>
        <w:tc>
          <w:tcPr/>
          <w:p>
            <w:pPr>
              <w:pStyle w:val="Compact"/>
              <w:jc w:val="left"/>
            </w:pPr>
            <w:r>
              <w:t xml:space="preserve">抑郁就是血清素不足；血清素是“幸福激素”</w:t>
            </w:r>
          </w:p>
        </w:tc>
        <w:tc>
          <w:tcPr/>
          <w:p>
            <w:pPr>
              <w:pStyle w:val="Compact"/>
              <w:jc w:val="left"/>
            </w:pPr>
            <w:r>
              <w:t xml:space="preserve">统一的血清素缺乏模型缺少支持；部分抗抑郁药另有独立的疗效证据</w:t>
            </w:r>
          </w:p>
        </w:tc>
        <w:tc>
          <w:tcPr/>
          <w:p>
            <w:pPr>
              <w:pStyle w:val="Compact"/>
              <w:jc w:val="left"/>
            </w:pPr>
            <w:r>
              <w:rPr>
                <w:bCs/>
                <w:b/>
              </w:rPr>
              <w:t xml:space="preserve">过度简化·高</w:t>
            </w:r>
          </w:p>
        </w:tc>
        <w:tc>
          <w:tcPr/>
          <w:p>
            <w:pPr>
              <w:pStyle w:val="Compact"/>
              <w:jc w:val="left"/>
            </w:pPr>
            <w:hyperlink w:anchor="ch-96">
              <w:r>
                <w:rPr>
                  <w:rStyle w:val="Hyperlink"/>
                </w:rPr>
                <w:t xml:space="preserve">第96章</w:t>
              </w:r>
            </w:hyperlink>
          </w:p>
        </w:tc>
      </w:tr>
      <w:tr>
        <w:tc>
          <w:tcPr/>
          <w:p>
            <w:pPr>
              <w:pStyle w:val="Compact"/>
              <w:jc w:val="left"/>
            </w:pPr>
            <w:r>
              <w:t xml:space="preserve">跑步的快感来自内啡肽</w:t>
            </w:r>
          </w:p>
        </w:tc>
        <w:tc>
          <w:tcPr/>
          <w:p>
            <w:pPr>
              <w:pStyle w:val="Compact"/>
              <w:jc w:val="left"/>
            </w:pPr>
            <w:r>
              <w:t xml:space="preserve">阿片受体阻断剂没有阻断跑后的愉悦感，内源性大麻素是重要的候选机制</w:t>
            </w:r>
          </w:p>
        </w:tc>
        <w:tc>
          <w:tcPr/>
          <w:p>
            <w:pPr>
              <w:pStyle w:val="Compact"/>
              <w:jc w:val="left"/>
            </w:pPr>
            <w:r>
              <w:rPr>
                <w:bCs/>
                <w:b/>
              </w:rPr>
              <w:t xml:space="preserve">过度简化·中</w:t>
            </w:r>
          </w:p>
        </w:tc>
        <w:tc>
          <w:tcPr/>
          <w:p>
            <w:pPr>
              <w:pStyle w:val="Compact"/>
              <w:jc w:val="left"/>
            </w:pPr>
            <w:hyperlink w:anchor="sec-97-1">
              <w:r>
                <w:rPr>
                  <w:rStyle w:val="Hyperlink"/>
                </w:rPr>
                <w:t xml:space="preserve">97.1</w:t>
              </w:r>
            </w:hyperlink>
          </w:p>
        </w:tc>
      </w:tr>
      <w:tr>
        <w:tc>
          <w:tcPr/>
          <w:p>
            <w:pPr>
              <w:pStyle w:val="Compact"/>
              <w:jc w:val="left"/>
            </w:pPr>
            <w:r>
              <w:t xml:space="preserve">催产素是爱与信任的激素</w:t>
            </w:r>
          </w:p>
        </w:tc>
        <w:tc>
          <w:tcPr/>
          <w:p>
            <w:pPr>
              <w:pStyle w:val="Compact"/>
              <w:jc w:val="left"/>
            </w:pPr>
            <w:r>
              <w:t xml:space="preserve">催产素有明确的生理作用；社会效应依情境和个体而变，信任实验的注册重复没有支持早期结果</w:t>
            </w:r>
          </w:p>
        </w:tc>
        <w:tc>
          <w:tcPr/>
          <w:p>
            <w:pPr>
              <w:pStyle w:val="Compact"/>
              <w:jc w:val="left"/>
            </w:pPr>
            <w:r>
              <w:rPr>
                <w:bCs/>
                <w:b/>
              </w:rPr>
              <w:t xml:space="preserve">过度简化·高</w:t>
            </w:r>
          </w:p>
        </w:tc>
        <w:tc>
          <w:tcPr/>
          <w:p>
            <w:pPr>
              <w:pStyle w:val="Compact"/>
              <w:jc w:val="left"/>
            </w:pPr>
            <w:hyperlink w:anchor="ch-98">
              <w:r>
                <w:rPr>
                  <w:rStyle w:val="Hyperlink"/>
                </w:rPr>
                <w:t xml:space="preserve">第98章</w:t>
              </w:r>
            </w:hyperlink>
          </w:p>
        </w:tc>
      </w:tr>
      <w:tr>
        <w:tc>
          <w:tcPr/>
          <w:p>
            <w:pPr>
              <w:pStyle w:val="Compact"/>
              <w:jc w:val="left"/>
            </w:pPr>
            <w:r>
              <w:t xml:space="preserve">皮质醇是坏激素，越低越好</w:t>
            </w:r>
          </w:p>
        </w:tc>
        <w:tc>
          <w:tcPr/>
          <w:p>
            <w:pPr>
              <w:pStyle w:val="Compact"/>
              <w:jc w:val="left"/>
            </w:pPr>
            <w:r>
              <w:t xml:space="preserve">皮质醇维持正常生理，过少和持续不适当的过多都会出问题</w:t>
            </w:r>
          </w:p>
        </w:tc>
        <w:tc>
          <w:tcPr/>
          <w:p>
            <w:pPr>
              <w:pStyle w:val="Compact"/>
              <w:jc w:val="left"/>
            </w:pPr>
            <w:r>
              <w:rPr>
                <w:bCs/>
                <w:b/>
              </w:rPr>
              <w:t xml:space="preserve">错误·高</w:t>
            </w:r>
          </w:p>
        </w:tc>
        <w:tc>
          <w:tcPr/>
          <w:p>
            <w:pPr>
              <w:pStyle w:val="Compact"/>
              <w:jc w:val="left"/>
            </w:pPr>
            <w:hyperlink w:anchor="ch-99">
              <w:r>
                <w:rPr>
                  <w:rStyle w:val="Hyperlink"/>
                </w:rPr>
                <w:t xml:space="preserve">第99章</w:t>
              </w:r>
            </w:hyperlink>
          </w:p>
        </w:tc>
      </w:tr>
      <w:tr>
        <w:tc>
          <w:tcPr/>
          <w:p>
            <w:pPr>
              <w:pStyle w:val="Compact"/>
              <w:jc w:val="left"/>
            </w:pPr>
            <w:r>
              <w:t xml:space="preserve">抽血或补充一种递质，就能查清或补好情绪</w:t>
            </w:r>
          </w:p>
        </w:tc>
        <w:tc>
          <w:tcPr/>
          <w:p>
            <w:pPr>
              <w:pStyle w:val="Compact"/>
              <w:jc w:val="left"/>
            </w:pPr>
            <w:r>
              <w:t xml:space="preserve">外周浓度代表不了脑内信号，口服成分不一定到达目标部位</w:t>
            </w:r>
          </w:p>
        </w:tc>
        <w:tc>
          <w:tcPr/>
          <w:p>
            <w:pPr>
              <w:pStyle w:val="Compact"/>
              <w:jc w:val="left"/>
            </w:pPr>
            <w:r>
              <w:rPr>
                <w:bCs/>
                <w:b/>
              </w:rPr>
              <w:t xml:space="preserve">错误·高</w:t>
            </w:r>
          </w:p>
        </w:tc>
        <w:tc>
          <w:tcPr/>
          <w:p>
            <w:pPr>
              <w:pStyle w:val="Compact"/>
              <w:jc w:val="left"/>
            </w:pPr>
            <w:hyperlink w:anchor="ch-94">
              <w:r>
                <w:rPr>
                  <w:rStyle w:val="Hyperlink"/>
                </w:rPr>
                <w:t xml:space="preserve">第94章</w:t>
              </w:r>
            </w:hyperlink>
          </w:p>
        </w:tc>
      </w:tr>
      <w:tr>
        <w:tc>
          <w:tcPr/>
          <w:p>
            <w:pPr>
              <w:pStyle w:val="Compact"/>
              <w:jc w:val="left"/>
            </w:pPr>
            <w:r>
              <w:t xml:space="preserve">肠道是会思考的“第二大脑”，益生菌能普遍治疗情绪病</w:t>
            </w:r>
          </w:p>
        </w:tc>
        <w:tc>
          <w:tcPr/>
          <w:p>
            <w:pPr>
              <w:pStyle w:val="Compact"/>
              <w:jc w:val="left"/>
            </w:pPr>
            <w:r>
              <w:t xml:space="preserve">脑肠之间有真实的双向联系；益生菌的效果要按具体制剂和人群检验，普遍治疗情绪病没有证据</w:t>
            </w:r>
          </w:p>
        </w:tc>
        <w:tc>
          <w:tcPr/>
          <w:p>
            <w:pPr>
              <w:pStyle w:val="Compact"/>
              <w:jc w:val="left"/>
            </w:pPr>
            <w:r>
              <w:rPr>
                <w:bCs/>
                <w:b/>
              </w:rPr>
              <w:t xml:space="preserve">夸大·高</w:t>
            </w:r>
          </w:p>
        </w:tc>
        <w:tc>
          <w:tcPr/>
          <w:p>
            <w:pPr>
              <w:pStyle w:val="Compact"/>
              <w:jc w:val="left"/>
            </w:pPr>
            <w:hyperlink w:anchor="ch-105">
              <w:r>
                <w:rPr>
                  <w:rStyle w:val="Hyperlink"/>
                </w:rPr>
                <w:t xml:space="preserve">第105章</w:t>
              </w:r>
            </w:hyperlink>
          </w:p>
        </w:tc>
      </w:tr>
      <w:tr>
        <w:tc>
          <w:tcPr/>
          <w:p>
            <w:pPr>
              <w:pStyle w:val="Compact"/>
              <w:jc w:val="left"/>
            </w:pPr>
            <w:r>
              <w:t xml:space="preserve">多迷走神经理论的核心生理与进化命题</w:t>
            </w:r>
          </w:p>
        </w:tc>
        <w:tc>
          <w:tcPr/>
          <w:p>
            <w:pPr>
              <w:pStyle w:val="Compact"/>
              <w:jc w:val="left"/>
            </w:pPr>
            <w:r>
              <w:t xml:space="preserve">与鱼类、爬行类的比较生理证据不符；常用的心率指标受呼吸强烈影响</w:t>
            </w:r>
          </w:p>
        </w:tc>
        <w:tc>
          <w:tcPr/>
          <w:p>
            <w:pPr>
              <w:pStyle w:val="Compact"/>
              <w:jc w:val="left"/>
            </w:pPr>
            <w:r>
              <w:t xml:space="preserve">哺乳动物特有：</w:t>
            </w:r>
            <w:r>
              <w:rPr>
                <w:bCs/>
                <w:b/>
              </w:rPr>
              <w:t xml:space="preserve">错误·中</w:t>
            </w:r>
            <w:r>
              <w:br/>
            </w:r>
            <w:r>
              <w:t xml:space="preserve">背侧迷走主导冻结：</w:t>
            </w:r>
            <w:r>
              <w:rPr>
                <w:bCs/>
                <w:b/>
              </w:rPr>
              <w:t xml:space="preserve">证据不足·中</w:t>
            </w:r>
            <w:r>
              <w:br/>
            </w:r>
            <w:r>
              <w:t xml:space="preserve">心率指标读出安全感：</w:t>
            </w:r>
            <w:r>
              <w:rPr>
                <w:bCs/>
                <w:b/>
              </w:rPr>
              <w:t xml:space="preserve">错误·中</w:t>
            </w:r>
          </w:p>
        </w:tc>
        <w:tc>
          <w:tcPr/>
          <w:p>
            <w:pPr>
              <w:pStyle w:val="Compact"/>
              <w:jc w:val="left"/>
            </w:pPr>
            <w:hyperlink w:anchor="ch-103">
              <w:r>
                <w:rPr>
                  <w:rStyle w:val="Hyperlink"/>
                </w:rPr>
                <w:t xml:space="preserve">第103章</w:t>
              </w:r>
            </w:hyperlink>
          </w:p>
        </w:tc>
      </w:tr>
      <w:tr>
        <w:tc>
          <w:tcPr/>
          <w:p>
            <w:pPr>
              <w:pStyle w:val="Compact"/>
              <w:jc w:val="left"/>
            </w:pPr>
            <w:r>
              <w:t xml:space="preserve">各种“迷走神经激活技巧”</w:t>
            </w:r>
          </w:p>
        </w:tc>
        <w:tc>
          <w:tcPr/>
          <w:p>
            <w:pPr>
              <w:pStyle w:val="Compact"/>
              <w:jc w:val="left"/>
            </w:pPr>
            <w:r>
              <w:t xml:space="preserve">慢呼吸能即时提高部分心率变异性指标，长期健康效果缺少证据</w:t>
            </w:r>
          </w:p>
        </w:tc>
        <w:tc>
          <w:tcPr/>
          <w:p>
            <w:pPr>
              <w:pStyle w:val="Compact"/>
              <w:jc w:val="left"/>
            </w:pPr>
            <w:r>
              <w:rPr>
                <w:bCs/>
                <w:b/>
              </w:rPr>
              <w:t xml:space="preserve">部分成立·中</w:t>
            </w:r>
          </w:p>
        </w:tc>
        <w:tc>
          <w:tcPr/>
          <w:p>
            <w:pPr>
              <w:pStyle w:val="Compact"/>
              <w:jc w:val="left"/>
            </w:pPr>
            <w:hyperlink w:anchor="ch-103">
              <w:r>
                <w:rPr>
                  <w:rStyle w:val="Hyperlink"/>
                </w:rPr>
                <w:t xml:space="preserve">第103章</w:t>
              </w:r>
            </w:hyperlink>
          </w:p>
        </w:tc>
      </w:tr>
      <w:tr>
        <w:tc>
          <w:tcPr/>
          <w:p>
            <w:pPr>
              <w:pStyle w:val="Compact"/>
              <w:jc w:val="left"/>
            </w:pPr>
            <w:r>
              <w:t xml:space="preserve">维姆·霍夫呼吸法也是一种放松呼吸</w:t>
            </w:r>
          </w:p>
        </w:tc>
        <w:tc>
          <w:tcPr/>
          <w:p>
            <w:pPr>
              <w:pStyle w:val="Compact"/>
              <w:jc w:val="left"/>
            </w:pPr>
            <w:r>
              <w:t xml:space="preserve">过度换气加屏气会急性动员交感神经和肾上腺素；在水中练习有溺水风险</w:t>
            </w:r>
          </w:p>
        </w:tc>
        <w:tc>
          <w:tcPr/>
          <w:p>
            <w:pPr>
              <w:pStyle w:val="Compact"/>
              <w:jc w:val="left"/>
            </w:pPr>
            <w:r>
              <w:rPr>
                <w:bCs/>
                <w:b/>
              </w:rPr>
              <w:t xml:space="preserve">错误·高</w:t>
            </w:r>
          </w:p>
        </w:tc>
        <w:tc>
          <w:tcPr/>
          <w:p>
            <w:pPr>
              <w:pStyle w:val="Compact"/>
              <w:jc w:val="left"/>
            </w:pPr>
            <w:hyperlink w:anchor="sec-104-2">
              <w:r>
                <w:rPr>
                  <w:rStyle w:val="Hyperlink"/>
                </w:rPr>
                <w:t xml:space="preserve">104.2</w:t>
              </w:r>
            </w:hyperlink>
          </w:p>
        </w:tc>
      </w:tr>
      <w:tr>
        <w:tc>
          <w:tcPr/>
          <w:p>
            <w:pPr>
              <w:pStyle w:val="Compact"/>
              <w:jc w:val="left"/>
            </w:pPr>
            <w:r>
              <w:t xml:space="preserve">每次压力都会杀死脑细胞，伤害无法恢复</w:t>
            </w:r>
          </w:p>
        </w:tc>
        <w:tc>
          <w:tcPr/>
          <w:p>
            <w:pPr>
              <w:pStyle w:val="Compact"/>
              <w:jc w:val="left"/>
            </w:pPr>
            <w:r>
              <w:t xml:space="preserve">长期失调可能增加风险；“每次紧张都致神经元死亡”缺乏依据</w:t>
            </w:r>
          </w:p>
        </w:tc>
        <w:tc>
          <w:tcPr/>
          <w:p>
            <w:pPr>
              <w:pStyle w:val="Compact"/>
              <w:jc w:val="left"/>
            </w:pPr>
            <w:r>
              <w:rPr>
                <w:bCs/>
                <w:b/>
              </w:rPr>
              <w:t xml:space="preserve">错误·高</w:t>
            </w:r>
          </w:p>
        </w:tc>
        <w:tc>
          <w:tcPr/>
          <w:p>
            <w:pPr>
              <w:pStyle w:val="Compact"/>
              <w:jc w:val="left"/>
            </w:pPr>
            <w:hyperlink w:anchor="ch-101">
              <w:r>
                <w:rPr>
                  <w:rStyle w:val="Hyperlink"/>
                </w:rPr>
                <w:t xml:space="preserve">第101章</w:t>
              </w:r>
            </w:hyperlink>
          </w:p>
        </w:tc>
      </w:tr>
      <w:tr>
        <w:tc>
          <w:tcPr/>
          <w:p>
            <w:pPr>
              <w:pStyle w:val="Compact"/>
              <w:jc w:val="left"/>
            </w:pPr>
            <w:r>
              <w:rPr>
                <w:bCs/>
                <w:b/>
              </w:rPr>
              <w:t xml:space="preserve">四、可塑性、学习与记忆</w:t>
            </w:r>
          </w:p>
        </w:tc>
        <w:tc>
          <w:tcPr/>
          <w:p/>
        </w:tc>
        <w:tc>
          <w:tcPr/>
          <w:p/>
        </w:tc>
        <w:tc>
          <w:tcPr/>
          <w:p/>
        </w:tc>
      </w:tr>
      <w:tr>
        <w:tc>
          <w:tcPr/>
          <w:p>
            <w:pPr>
              <w:pStyle w:val="Compact"/>
              <w:jc w:val="left"/>
            </w:pPr>
            <w:r>
              <w:t xml:space="preserve">神经可塑性说明努力就能无限改造大脑</w:t>
            </w:r>
          </w:p>
        </w:tc>
        <w:tc>
          <w:tcPr/>
          <w:p>
            <w:pPr>
              <w:pStyle w:val="Compact"/>
              <w:jc w:val="left"/>
            </w:pPr>
            <w:r>
              <w:t xml:space="preserve">可塑性真实存在，速度、范围和持久性受机制、年龄和情境约束</w:t>
            </w:r>
          </w:p>
        </w:tc>
        <w:tc>
          <w:tcPr/>
          <w:p>
            <w:pPr>
              <w:pStyle w:val="Compact"/>
              <w:jc w:val="left"/>
            </w:pPr>
            <w:r>
              <w:rPr>
                <w:bCs/>
                <w:b/>
              </w:rPr>
              <w:t xml:space="preserve">夸大·高</w:t>
            </w:r>
          </w:p>
        </w:tc>
        <w:tc>
          <w:tcPr/>
          <w:p>
            <w:pPr>
              <w:pStyle w:val="Compact"/>
              <w:jc w:val="left"/>
            </w:pPr>
            <w:hyperlink w:anchor="ch-20">
              <w:r>
                <w:rPr>
                  <w:rStyle w:val="Hyperlink"/>
                </w:rPr>
                <w:t xml:space="preserve">第20章</w:t>
              </w:r>
            </w:hyperlink>
          </w:p>
        </w:tc>
      </w:tr>
      <w:tr>
        <w:tc>
          <w:tcPr/>
          <w:p>
            <w:pPr>
              <w:pStyle w:val="Compact"/>
              <w:jc w:val="left"/>
            </w:pPr>
            <w:r>
              <w:t xml:space="preserve">成年后大脑定型，再也不会改变</w:t>
            </w:r>
          </w:p>
        </w:tc>
        <w:tc>
          <w:tcPr/>
          <w:p>
            <w:pPr>
              <w:pStyle w:val="Compact"/>
              <w:jc w:val="left"/>
            </w:pPr>
            <w:r>
              <w:t xml:space="preserve">成年脑保留学习和随经验改变的能力</w:t>
            </w:r>
          </w:p>
        </w:tc>
        <w:tc>
          <w:tcPr/>
          <w:p>
            <w:pPr>
              <w:pStyle w:val="Compact"/>
              <w:jc w:val="left"/>
            </w:pPr>
            <w:r>
              <w:rPr>
                <w:bCs/>
                <w:b/>
              </w:rPr>
              <w:t xml:space="preserve">错误·高</w:t>
            </w:r>
          </w:p>
        </w:tc>
        <w:tc>
          <w:tcPr/>
          <w:p>
            <w:pPr>
              <w:pStyle w:val="Compact"/>
              <w:jc w:val="left"/>
            </w:pPr>
            <w:hyperlink w:anchor="ch-21">
              <w:r>
                <w:rPr>
                  <w:rStyle w:val="Hyperlink"/>
                </w:rPr>
                <w:t xml:space="preserve">第21章</w:t>
              </w:r>
            </w:hyperlink>
          </w:p>
        </w:tc>
      </w:tr>
      <w:tr>
        <w:tc>
          <w:tcPr/>
          <w:p>
            <w:pPr>
              <w:pStyle w:val="Compact"/>
              <w:jc w:val="left"/>
            </w:pPr>
            <w:r>
              <w:t xml:space="preserve">神经元死一个少一个；或者成人大脑随时大量换新</w:t>
            </w:r>
          </w:p>
        </w:tc>
        <w:tc>
          <w:tcPr/>
          <w:p>
            <w:pPr>
              <w:pStyle w:val="Compact"/>
              <w:jc w:val="left"/>
            </w:pPr>
            <w:r>
              <w:t xml:space="preserve">成人海马存在神经发生的证据较多，速率仍有争议；全脑大量更新没有证据</w:t>
            </w:r>
          </w:p>
        </w:tc>
        <w:tc>
          <w:tcPr/>
          <w:p>
            <w:pPr>
              <w:pStyle w:val="Compact"/>
              <w:jc w:val="left"/>
            </w:pPr>
            <w:r>
              <w:rPr>
                <w:bCs/>
                <w:b/>
              </w:rPr>
              <w:t xml:space="preserve">错误·中</w:t>
            </w:r>
          </w:p>
        </w:tc>
        <w:tc>
          <w:tcPr/>
          <w:p>
            <w:pPr>
              <w:pStyle w:val="Compact"/>
              <w:jc w:val="left"/>
            </w:pPr>
            <w:hyperlink w:anchor="ch-23">
              <w:r>
                <w:rPr>
                  <w:rStyle w:val="Hyperlink"/>
                </w:rPr>
                <w:t xml:space="preserve">第23章</w:t>
              </w:r>
            </w:hyperlink>
          </w:p>
        </w:tc>
      </w:tr>
      <w:tr>
        <w:tc>
          <w:tcPr/>
          <w:p>
            <w:pPr>
              <w:pStyle w:val="Compact"/>
              <w:jc w:val="left"/>
            </w:pPr>
            <w:r>
              <w:t xml:space="preserve">错过三岁或六岁的关键期，一辈子就学不会</w:t>
            </w:r>
          </w:p>
        </w:tc>
        <w:tc>
          <w:tcPr/>
          <w:p>
            <w:pPr>
              <w:pStyle w:val="Compact"/>
              <w:jc w:val="left"/>
            </w:pPr>
            <w:r>
              <w:t xml:space="preserve">部分功能有发育窗口，不同功能的年龄轨迹各不相同</w:t>
            </w:r>
          </w:p>
        </w:tc>
        <w:tc>
          <w:tcPr/>
          <w:p>
            <w:pPr>
              <w:pStyle w:val="Compact"/>
              <w:jc w:val="left"/>
            </w:pPr>
            <w:r>
              <w:rPr>
                <w:bCs/>
                <w:b/>
              </w:rPr>
              <w:t xml:space="preserve">错误·高</w:t>
            </w:r>
          </w:p>
        </w:tc>
        <w:tc>
          <w:tcPr/>
          <w:p>
            <w:pPr>
              <w:pStyle w:val="Compact"/>
              <w:jc w:val="left"/>
            </w:pPr>
            <w:hyperlink w:anchor="ch-22">
              <w:r>
                <w:rPr>
                  <w:rStyle w:val="Hyperlink"/>
                </w:rPr>
                <w:t xml:space="preserve">第22章</w:t>
              </w:r>
            </w:hyperlink>
          </w:p>
        </w:tc>
      </w:tr>
      <w:tr>
        <w:tc>
          <w:tcPr/>
          <w:p>
            <w:pPr>
              <w:pStyle w:val="Compact"/>
              <w:jc w:val="left"/>
            </w:pPr>
            <w:r>
              <w:t xml:space="preserve">人分视觉型、听觉型、动觉型，教学应按类型匹配</w:t>
            </w:r>
          </w:p>
        </w:tc>
        <w:tc>
          <w:tcPr/>
          <w:p>
            <w:pPr>
              <w:pStyle w:val="Compact"/>
              <w:jc w:val="left"/>
            </w:pPr>
            <w:r>
              <w:t xml:space="preserve">学习偏好存在；有少量正结果，但符合交叉匹配优势的结局只占约四分之一，普遍按类型施教缺乏证据</w:t>
            </w:r>
          </w:p>
        </w:tc>
        <w:tc>
          <w:tcPr/>
          <w:p>
            <w:pPr>
              <w:pStyle w:val="Compact"/>
              <w:jc w:val="left"/>
            </w:pPr>
            <w:r>
              <w:rPr>
                <w:bCs/>
                <w:b/>
              </w:rPr>
              <w:t xml:space="preserve">不成立·高</w:t>
            </w:r>
          </w:p>
        </w:tc>
        <w:tc>
          <w:tcPr/>
          <w:p>
            <w:pPr>
              <w:pStyle w:val="Compact"/>
              <w:jc w:val="left"/>
            </w:pPr>
            <w:hyperlink w:anchor="ch-82">
              <w:r>
                <w:rPr>
                  <w:rStyle w:val="Hyperlink"/>
                </w:rPr>
                <w:t xml:space="preserve">第82章</w:t>
              </w:r>
            </w:hyperlink>
          </w:p>
        </w:tc>
      </w:tr>
      <w:tr>
        <w:tc>
          <w:tcPr/>
          <w:p>
            <w:pPr>
              <w:pStyle w:val="Compact"/>
              <w:jc w:val="left"/>
            </w:pPr>
            <w:r>
              <w:t xml:space="preserve">听莫扎特能持久提高智商，婴儿听了更聪明</w:t>
            </w:r>
          </w:p>
        </w:tc>
        <w:tc>
          <w:tcPr/>
          <w:p>
            <w:pPr>
              <w:pStyle w:val="Compact"/>
              <w:jc w:val="left"/>
            </w:pPr>
            <w:r>
              <w:t xml:space="preserve">音乐能影响当时的情绪和唤醒；持久提高一般智力缺乏支持</w:t>
            </w:r>
          </w:p>
        </w:tc>
        <w:tc>
          <w:tcPr/>
          <w:p>
            <w:pPr>
              <w:pStyle w:val="Compact"/>
              <w:jc w:val="left"/>
            </w:pPr>
            <w:r>
              <w:rPr>
                <w:bCs/>
                <w:b/>
              </w:rPr>
              <w:t xml:space="preserve">夸大·高</w:t>
            </w:r>
          </w:p>
        </w:tc>
        <w:tc>
          <w:tcPr/>
          <w:p>
            <w:pPr>
              <w:pStyle w:val="Compact"/>
              <w:jc w:val="left"/>
            </w:pPr>
            <w:hyperlink w:anchor="ch-83">
              <w:r>
                <w:rPr>
                  <w:rStyle w:val="Hyperlink"/>
                </w:rPr>
                <w:t xml:space="preserve">第83章</w:t>
              </w:r>
            </w:hyperlink>
          </w:p>
        </w:tc>
      </w:tr>
      <w:tr>
        <w:tc>
          <w:tcPr/>
          <w:p>
            <w:pPr>
              <w:pStyle w:val="Compact"/>
              <w:jc w:val="left"/>
            </w:pPr>
            <w:r>
              <w:t xml:space="preserve">交叉爬行、画 8 字能打通左右脑，治疗学习困难</w:t>
            </w:r>
          </w:p>
        </w:tc>
        <w:tc>
          <w:tcPr/>
          <w:p>
            <w:pPr>
              <w:pStyle w:val="Compact"/>
              <w:jc w:val="left"/>
            </w:pPr>
            <w:r>
              <w:t xml:space="preserve">“半球阻塞”的机制没有依据，具体疗效要有针对具体人群的直接试验</w:t>
            </w:r>
          </w:p>
        </w:tc>
        <w:tc>
          <w:tcPr/>
          <w:p>
            <w:pPr>
              <w:pStyle w:val="Compact"/>
              <w:jc w:val="left"/>
            </w:pPr>
            <w:r>
              <w:rPr>
                <w:bCs/>
                <w:b/>
              </w:rPr>
              <w:t xml:space="preserve">错误·高</w:t>
            </w:r>
          </w:p>
        </w:tc>
        <w:tc>
          <w:tcPr/>
          <w:p>
            <w:pPr>
              <w:pStyle w:val="Compact"/>
              <w:jc w:val="left"/>
            </w:pPr>
            <w:hyperlink w:anchor="ch-84">
              <w:r>
                <w:rPr>
                  <w:rStyle w:val="Hyperlink"/>
                </w:rPr>
                <w:t xml:space="preserve">第84章</w:t>
              </w:r>
            </w:hyperlink>
          </w:p>
        </w:tc>
      </w:tr>
      <w:tr>
        <w:tc>
          <w:tcPr/>
          <w:p>
            <w:pPr>
              <w:pStyle w:val="Compact"/>
              <w:jc w:val="left"/>
            </w:pPr>
            <w:r>
              <w:t xml:space="preserve">脑训练游戏玩得更好，说明整体智力和工作能力提高了</w:t>
            </w:r>
          </w:p>
        </w:tc>
        <w:tc>
          <w:tcPr/>
          <w:p>
            <w:pPr>
              <w:pStyle w:val="Compact"/>
              <w:jc w:val="left"/>
            </w:pPr>
            <w:r>
              <w:t xml:space="preserve">训练效果多局限于所练任务，向日常能力的远迁移证据少</w:t>
            </w:r>
          </w:p>
        </w:tc>
        <w:tc>
          <w:tcPr/>
          <w:p>
            <w:pPr>
              <w:pStyle w:val="Compact"/>
              <w:jc w:val="left"/>
            </w:pPr>
            <w:r>
              <w:rPr>
                <w:bCs/>
                <w:b/>
              </w:rPr>
              <w:t xml:space="preserve">不成立·高</w:t>
            </w:r>
          </w:p>
        </w:tc>
        <w:tc>
          <w:tcPr/>
          <w:p>
            <w:pPr>
              <w:pStyle w:val="Compact"/>
              <w:jc w:val="left"/>
            </w:pPr>
            <w:hyperlink w:anchor="ch-85">
              <w:r>
                <w:rPr>
                  <w:rStyle w:val="Hyperlink"/>
                </w:rPr>
                <w:t xml:space="preserve">第85章</w:t>
              </w:r>
            </w:hyperlink>
          </w:p>
        </w:tc>
      </w:tr>
      <w:tr>
        <w:tc>
          <w:tcPr/>
          <w:p>
            <w:pPr>
              <w:pStyle w:val="Compact"/>
              <w:jc w:val="left"/>
            </w:pPr>
            <w:r>
              <w:t xml:space="preserve">睡着时播放外语，就能替代清醒学习</w:t>
            </w:r>
          </w:p>
        </w:tc>
        <w:tc>
          <w:tcPr/>
          <w:p>
            <w:pPr>
              <w:pStyle w:val="Compact"/>
              <w:jc w:val="left"/>
            </w:pPr>
            <w:r>
              <w:t xml:space="preserve">睡眠参与巩固清醒时学过的内容；睡眠中的新学习，目前只在特定条件下观察到较简单的隐性关联</w:t>
            </w:r>
          </w:p>
        </w:tc>
        <w:tc>
          <w:tcPr/>
          <w:p>
            <w:pPr>
              <w:pStyle w:val="Compact"/>
              <w:jc w:val="left"/>
            </w:pPr>
            <w:r>
              <w:rPr>
                <w:bCs/>
                <w:b/>
              </w:rPr>
              <w:t xml:space="preserve">不成立·高</w:t>
            </w:r>
          </w:p>
        </w:tc>
        <w:tc>
          <w:tcPr/>
          <w:p>
            <w:pPr>
              <w:pStyle w:val="Compact"/>
              <w:jc w:val="left"/>
            </w:pPr>
            <w:hyperlink w:anchor="ch-49">
              <w:r>
                <w:rPr>
                  <w:rStyle w:val="Hyperlink"/>
                </w:rPr>
                <w:t xml:space="preserve">第49章</w:t>
              </w:r>
            </w:hyperlink>
          </w:p>
        </w:tc>
      </w:tr>
      <w:tr>
        <w:tc>
          <w:tcPr/>
          <w:p>
            <w:pPr>
              <w:pStyle w:val="Compact"/>
              <w:jc w:val="left"/>
            </w:pPr>
            <w:r>
              <w:t xml:space="preserve">学双语必然提高通用执行功能</w:t>
            </w:r>
          </w:p>
        </w:tc>
        <w:tc>
          <w:tcPr/>
          <w:p>
            <w:pPr>
              <w:pStyle w:val="Compact"/>
              <w:jc w:val="left"/>
            </w:pPr>
            <w:r>
              <w:t xml:space="preserve">成人的普遍执行功能优势没有稳定建立</w:t>
            </w:r>
          </w:p>
        </w:tc>
        <w:tc>
          <w:tcPr/>
          <w:p>
            <w:pPr>
              <w:pStyle w:val="Compact"/>
              <w:jc w:val="left"/>
            </w:pPr>
            <w:r>
              <w:rPr>
                <w:bCs/>
                <w:b/>
              </w:rPr>
              <w:t xml:space="preserve">不成立·高</w:t>
            </w:r>
          </w:p>
        </w:tc>
        <w:tc>
          <w:tcPr/>
          <w:p>
            <w:pPr>
              <w:pStyle w:val="Compact"/>
              <w:jc w:val="left"/>
            </w:pPr>
            <w:hyperlink w:anchor="ch-40">
              <w:r>
                <w:rPr>
                  <w:rStyle w:val="Hyperlink"/>
                </w:rPr>
                <w:t xml:space="preserve">第40章</w:t>
              </w:r>
            </w:hyperlink>
          </w:p>
        </w:tc>
      </w:tr>
      <w:tr>
        <w:tc>
          <w:tcPr/>
          <w:p>
            <w:pPr>
              <w:pStyle w:val="Compact"/>
              <w:jc w:val="left"/>
            </w:pPr>
            <w:r>
              <w:t xml:space="preserve">记忆像录像，回忆就是读取原始文件</w:t>
            </w:r>
          </w:p>
        </w:tc>
        <w:tc>
          <w:tcPr/>
          <w:p>
            <w:pPr>
              <w:pStyle w:val="Compact"/>
              <w:jc w:val="left"/>
            </w:pPr>
            <w:r>
              <w:t xml:space="preserve">回忆受编码、后续经历、提取线索和来源判断的共同影响</w:t>
            </w:r>
          </w:p>
        </w:tc>
        <w:tc>
          <w:tcPr/>
          <w:p>
            <w:pPr>
              <w:pStyle w:val="Compact"/>
              <w:jc w:val="left"/>
            </w:pPr>
            <w:r>
              <w:rPr>
                <w:bCs/>
                <w:b/>
              </w:rPr>
              <w:t xml:space="preserve">错误·高</w:t>
            </w:r>
          </w:p>
        </w:tc>
        <w:tc>
          <w:tcPr/>
          <w:p>
            <w:pPr>
              <w:pStyle w:val="Compact"/>
              <w:jc w:val="left"/>
            </w:pPr>
            <w:hyperlink w:anchor="ch-26">
              <w:r>
                <w:rPr>
                  <w:rStyle w:val="Hyperlink"/>
                </w:rPr>
                <w:t xml:space="preserve">第26章</w:t>
              </w:r>
            </w:hyperlink>
          </w:p>
        </w:tc>
      </w:tr>
      <w:tr>
        <w:tc>
          <w:tcPr/>
          <w:p>
            <w:pPr>
              <w:pStyle w:val="Compact"/>
              <w:jc w:val="left"/>
            </w:pPr>
            <w:r>
              <w:t xml:space="preserve">记得越鲜明、越自信就越准确</w:t>
            </w:r>
          </w:p>
        </w:tc>
        <w:tc>
          <w:tcPr/>
          <w:p>
            <w:pPr>
              <w:pStyle w:val="Compact"/>
              <w:jc w:val="left"/>
            </w:pPr>
            <w:r>
              <w:t xml:space="preserve">鲜明和自信保证不了准确；在首次、程序合适的辨认中，自信有预测价值</w:t>
            </w:r>
          </w:p>
        </w:tc>
        <w:tc>
          <w:tcPr/>
          <w:p>
            <w:pPr>
              <w:pStyle w:val="Compact"/>
              <w:jc w:val="left"/>
            </w:pPr>
            <w:r>
              <w:rPr>
                <w:bCs/>
                <w:b/>
              </w:rPr>
              <w:t xml:space="preserve">过度简化·高</w:t>
            </w:r>
          </w:p>
        </w:tc>
        <w:tc>
          <w:tcPr/>
          <w:p>
            <w:pPr>
              <w:pStyle w:val="Compact"/>
              <w:jc w:val="left"/>
            </w:pPr>
            <w:hyperlink w:anchor="ch-27">
              <w:r>
                <w:rPr>
                  <w:rStyle w:val="Hyperlink"/>
                </w:rPr>
                <w:t xml:space="preserve">第27章</w:t>
              </w:r>
            </w:hyperlink>
          </w:p>
        </w:tc>
      </w:tr>
      <w:tr>
        <w:tc>
          <w:tcPr/>
          <w:p>
            <w:pPr>
              <w:pStyle w:val="Compact"/>
              <w:jc w:val="left"/>
            </w:pPr>
            <w:r>
              <w:t xml:space="preserve">创伤会完整封存在潜意识，催眠能准确挖出来</w:t>
            </w:r>
          </w:p>
        </w:tc>
        <w:tc>
          <w:tcPr/>
          <w:p>
            <w:pPr>
              <w:pStyle w:val="Compact"/>
              <w:jc w:val="left"/>
            </w:pPr>
            <w:r>
              <w:t xml:space="preserve">后来想起的经历可能真实，也可能含有重建和暗示的成分</w:t>
            </w:r>
          </w:p>
        </w:tc>
        <w:tc>
          <w:tcPr/>
          <w:p>
            <w:pPr>
              <w:pStyle w:val="Compact"/>
              <w:jc w:val="left"/>
            </w:pPr>
            <w:r>
              <w:rPr>
                <w:bCs/>
                <w:b/>
              </w:rPr>
              <w:t xml:space="preserve">错误·高</w:t>
            </w:r>
          </w:p>
        </w:tc>
        <w:tc>
          <w:tcPr/>
          <w:p>
            <w:pPr>
              <w:pStyle w:val="Compact"/>
              <w:jc w:val="left"/>
            </w:pPr>
            <w:hyperlink w:anchor="ch-29">
              <w:r>
                <w:rPr>
                  <w:rStyle w:val="Hyperlink"/>
                </w:rPr>
                <w:t xml:space="preserve">第29章</w:t>
              </w:r>
            </w:hyperlink>
          </w:p>
        </w:tc>
      </w:tr>
      <w:tr>
        <w:tc>
          <w:tcPr/>
          <w:p>
            <w:pPr>
              <w:pStyle w:val="Compact"/>
              <w:jc w:val="left"/>
            </w:pPr>
            <w:r>
              <w:t xml:space="preserve">每次回忆都会重写记忆，因此可以随意删除坏记忆</w:t>
            </w:r>
          </w:p>
        </w:tc>
        <w:tc>
          <w:tcPr/>
          <w:p>
            <w:pPr>
              <w:pStyle w:val="Compact"/>
              <w:jc w:val="left"/>
            </w:pPr>
            <w:r>
              <w:t xml:space="preserve">特定条件下重新激活的记忆可以被修改，复杂的自传记忆无法随意永久删除</w:t>
            </w:r>
          </w:p>
        </w:tc>
        <w:tc>
          <w:tcPr/>
          <w:p>
            <w:pPr>
              <w:pStyle w:val="Compact"/>
              <w:jc w:val="left"/>
            </w:pPr>
            <w:r>
              <w:rPr>
                <w:bCs/>
                <w:b/>
              </w:rPr>
              <w:t xml:space="preserve">夸大·高</w:t>
            </w:r>
          </w:p>
        </w:tc>
        <w:tc>
          <w:tcPr/>
          <w:p>
            <w:pPr>
              <w:pStyle w:val="Compact"/>
              <w:jc w:val="left"/>
            </w:pPr>
            <w:hyperlink w:anchor="ch-28">
              <w:r>
                <w:rPr>
                  <w:rStyle w:val="Hyperlink"/>
                </w:rPr>
                <w:t xml:space="preserve">第28章</w:t>
              </w:r>
            </w:hyperlink>
          </w:p>
        </w:tc>
      </w:tr>
      <w:tr>
        <w:tc>
          <w:tcPr/>
          <w:p>
            <w:pPr>
              <w:pStyle w:val="Compact"/>
              <w:jc w:val="left"/>
            </w:pPr>
            <w:r>
              <w:t xml:space="preserve">过目不忘的照相式记忆可以靠课程普遍训练出来</w:t>
            </w:r>
          </w:p>
        </w:tc>
        <w:tc>
          <w:tcPr/>
          <w:p>
            <w:pPr>
              <w:pStyle w:val="Compact"/>
              <w:jc w:val="left"/>
            </w:pPr>
            <w:r>
              <w:t xml:space="preserve">突出的记忆表现通常限于特定材料和策略，推广需要独立检验</w:t>
            </w:r>
          </w:p>
        </w:tc>
        <w:tc>
          <w:tcPr/>
          <w:p>
            <w:pPr>
              <w:pStyle w:val="Compact"/>
              <w:jc w:val="left"/>
            </w:pPr>
            <w:r>
              <w:rPr>
                <w:bCs/>
                <w:b/>
              </w:rPr>
              <w:t xml:space="preserve">错误·高</w:t>
            </w:r>
          </w:p>
        </w:tc>
        <w:tc>
          <w:tcPr/>
          <w:p>
            <w:pPr>
              <w:pStyle w:val="Compact"/>
              <w:jc w:val="left"/>
            </w:pPr>
            <w:hyperlink w:anchor="ch-30">
              <w:r>
                <w:rPr>
                  <w:rStyle w:val="Hyperlink"/>
                </w:rPr>
                <w:t xml:space="preserve">第30章</w:t>
              </w:r>
            </w:hyperlink>
          </w:p>
        </w:tc>
      </w:tr>
      <w:tr>
        <w:tc>
          <w:tcPr/>
          <w:p>
            <w:pPr>
              <w:pStyle w:val="Compact"/>
              <w:jc w:val="left"/>
            </w:pPr>
            <w:r>
              <w:t xml:space="preserve">21 天养成一个习惯</w:t>
            </w:r>
          </w:p>
        </w:tc>
        <w:tc>
          <w:tcPr/>
          <w:p>
            <w:pPr>
              <w:pStyle w:val="Compact"/>
              <w:jc w:val="left"/>
            </w:pPr>
            <w:r>
              <w:t xml:space="preserve">说法出自 1960 年一本自助书；2010 年一项研究的模型估计从 18 天到 254 天不等，中位数约 66 天</w:t>
            </w:r>
          </w:p>
        </w:tc>
        <w:tc>
          <w:tcPr/>
          <w:p>
            <w:pPr>
              <w:pStyle w:val="Compact"/>
              <w:jc w:val="left"/>
            </w:pPr>
            <w:r>
              <w:rPr>
                <w:bCs/>
                <w:b/>
              </w:rPr>
              <w:t xml:space="preserve">错误·高</w:t>
            </w:r>
          </w:p>
        </w:tc>
        <w:tc>
          <w:tcPr/>
          <w:p>
            <w:pPr>
              <w:pStyle w:val="Compact"/>
              <w:jc w:val="left"/>
            </w:pPr>
            <w:hyperlink w:anchor="ch-77">
              <w:r>
                <w:rPr>
                  <w:rStyle w:val="Hyperlink"/>
                </w:rPr>
                <w:t xml:space="preserve">第77章</w:t>
              </w:r>
            </w:hyperlink>
          </w:p>
        </w:tc>
      </w:tr>
      <w:tr>
        <w:tc>
          <w:tcPr/>
          <w:p>
            <w:pPr>
              <w:pStyle w:val="Compact"/>
              <w:jc w:val="left"/>
            </w:pPr>
            <w:r>
              <w:t xml:space="preserve">菲尼亚斯·盖奇受伤后从此一蹶不振</w:t>
            </w:r>
          </w:p>
        </w:tc>
        <w:tc>
          <w:tcPr/>
          <w:p>
            <w:pPr>
              <w:pStyle w:val="Compact"/>
              <w:jc w:val="left"/>
            </w:pPr>
            <w:r>
              <w:t xml:space="preserve">盖奇后来恢复了相当程度的工作和社会功能，曾长期驾驶驿站马车</w:t>
            </w:r>
          </w:p>
        </w:tc>
        <w:tc>
          <w:tcPr/>
          <w:p>
            <w:pPr>
              <w:pStyle w:val="Compact"/>
              <w:jc w:val="left"/>
            </w:pPr>
            <w:r>
              <w:rPr>
                <w:bCs/>
                <w:b/>
              </w:rPr>
              <w:t xml:space="preserve">错误·中</w:t>
            </w:r>
          </w:p>
        </w:tc>
        <w:tc>
          <w:tcPr/>
          <w:p>
            <w:pPr>
              <w:pStyle w:val="Compact"/>
              <w:jc w:val="left"/>
            </w:pPr>
            <w:hyperlink w:anchor="ch-79">
              <w:r>
                <w:rPr>
                  <w:rStyle w:val="Hyperlink"/>
                </w:rPr>
                <w:t xml:space="preserve">第79章</w:t>
              </w:r>
            </w:hyperlink>
          </w:p>
        </w:tc>
      </w:tr>
      <w:tr>
        <w:tc>
          <w:tcPr/>
          <w:p>
            <w:pPr>
              <w:pStyle w:val="Compact"/>
              <w:jc w:val="left"/>
            </w:pPr>
            <w:r>
              <w:rPr>
                <w:bCs/>
                <w:b/>
              </w:rPr>
              <w:t xml:space="preserve">五、注意、思维与自我控制</w:t>
            </w:r>
          </w:p>
        </w:tc>
        <w:tc>
          <w:tcPr/>
          <w:p/>
        </w:tc>
        <w:tc>
          <w:tcPr/>
          <w:p/>
        </w:tc>
        <w:tc>
          <w:tcPr/>
          <w:p/>
        </w:tc>
      </w:tr>
      <w:tr>
        <w:tc>
          <w:tcPr/>
          <w:p>
            <w:pPr>
              <w:pStyle w:val="Compact"/>
              <w:jc w:val="left"/>
            </w:pPr>
            <w:r>
              <w:t xml:space="preserve">多任务练得越多，就越能同时高效处理复杂工作</w:t>
            </w:r>
          </w:p>
        </w:tc>
        <w:tc>
          <w:tcPr/>
          <w:p>
            <w:pPr>
              <w:pStyle w:val="Compact"/>
              <w:jc w:val="left"/>
            </w:pPr>
            <w:r>
              <w:t xml:space="preserve">切换成本和双任务干扰可以重复测到，训练能降低的成本限于具体任务</w:t>
            </w:r>
          </w:p>
        </w:tc>
        <w:tc>
          <w:tcPr/>
          <w:p>
            <w:pPr>
              <w:pStyle w:val="Compact"/>
              <w:jc w:val="left"/>
            </w:pPr>
            <w:r>
              <w:rPr>
                <w:bCs/>
                <w:b/>
              </w:rPr>
              <w:t xml:space="preserve">夸大·高</w:t>
            </w:r>
          </w:p>
        </w:tc>
        <w:tc>
          <w:tcPr/>
          <w:p>
            <w:pPr>
              <w:pStyle w:val="Compact"/>
              <w:jc w:val="left"/>
            </w:pPr>
            <w:hyperlink w:anchor="ch-37">
              <w:r>
                <w:rPr>
                  <w:rStyle w:val="Hyperlink"/>
                </w:rPr>
                <w:t xml:space="preserve">第37章</w:t>
              </w:r>
            </w:hyperlink>
          </w:p>
        </w:tc>
      </w:tr>
      <w:tr>
        <w:tc>
          <w:tcPr/>
          <w:p>
            <w:pPr>
              <w:pStyle w:val="Compact"/>
              <w:jc w:val="left"/>
            </w:pPr>
            <w:r>
              <w:t xml:space="preserve">现代人的注意力只剩 8 秒，比金鱼还短</w:t>
            </w:r>
          </w:p>
        </w:tc>
        <w:tc>
          <w:tcPr/>
          <w:p>
            <w:pPr>
              <w:pStyle w:val="Compact"/>
              <w:jc w:val="left"/>
            </w:pPr>
            <w:r>
              <w:t xml:space="preserve">这个数字把不同任务、指标和人群压成一个数值，找不到可追溯的测量</w:t>
            </w:r>
          </w:p>
        </w:tc>
        <w:tc>
          <w:tcPr/>
          <w:p>
            <w:pPr>
              <w:pStyle w:val="Compact"/>
              <w:jc w:val="left"/>
            </w:pPr>
            <w:r>
              <w:rPr>
                <w:bCs/>
                <w:b/>
              </w:rPr>
              <w:t xml:space="preserve">错误·高</w:t>
            </w:r>
          </w:p>
        </w:tc>
        <w:tc>
          <w:tcPr/>
          <w:p>
            <w:pPr>
              <w:pStyle w:val="Compact"/>
              <w:jc w:val="left"/>
            </w:pPr>
            <w:hyperlink w:anchor="ch-36">
              <w:r>
                <w:rPr>
                  <w:rStyle w:val="Hyperlink"/>
                </w:rPr>
                <w:t xml:space="preserve">第36章</w:t>
              </w:r>
            </w:hyperlink>
          </w:p>
        </w:tc>
      </w:tr>
      <w:tr>
        <w:tc>
          <w:tcPr/>
          <w:p>
            <w:pPr>
              <w:pStyle w:val="Compact"/>
              <w:jc w:val="left"/>
            </w:pPr>
            <w:r>
              <w:t xml:space="preserve">人有近一半时间在走神</w:t>
            </w:r>
          </w:p>
        </w:tc>
        <w:tc>
          <w:tcPr/>
          <w:p>
            <w:pPr>
              <w:pStyle w:val="Compact"/>
              <w:jc w:val="left"/>
            </w:pPr>
            <w:r>
              <w:t xml:space="preserve">46.9% 来自一项手机志愿者样本，日常经验取样研究的汇总估计约 34.5%</w:t>
            </w:r>
          </w:p>
        </w:tc>
        <w:tc>
          <w:tcPr/>
          <w:p>
            <w:pPr>
              <w:pStyle w:val="Compact"/>
              <w:jc w:val="left"/>
            </w:pPr>
            <w:r>
              <w:rPr>
                <w:bCs/>
                <w:b/>
              </w:rPr>
              <w:t xml:space="preserve">部分成立·中</w:t>
            </w:r>
          </w:p>
        </w:tc>
        <w:tc>
          <w:tcPr/>
          <w:p>
            <w:pPr>
              <w:pStyle w:val="Compact"/>
              <w:jc w:val="left"/>
            </w:pPr>
            <w:hyperlink w:anchor="sec-36-6">
              <w:r>
                <w:rPr>
                  <w:rStyle w:val="Hyperlink"/>
                </w:rPr>
                <w:t xml:space="preserve">36.6</w:t>
              </w:r>
            </w:hyperlink>
          </w:p>
        </w:tc>
      </w:tr>
      <w:tr>
        <w:tc>
          <w:tcPr/>
          <w:p>
            <w:pPr>
              <w:pStyle w:val="Compact"/>
              <w:jc w:val="left"/>
            </w:pPr>
            <w:r>
              <w:t xml:space="preserve">走神让人不快乐</w:t>
            </w:r>
          </w:p>
        </w:tc>
        <w:tc>
          <w:tcPr/>
          <w:p>
            <w:pPr>
              <w:pStyle w:val="Compact"/>
              <w:jc w:val="left"/>
            </w:pPr>
            <w:r>
              <w:t xml:space="preserve">走神与情绪的总体相关约 −0.18，大小和方向随念头内容和测量方式而变</w:t>
            </w:r>
          </w:p>
        </w:tc>
        <w:tc>
          <w:tcPr/>
          <w:p>
            <w:pPr>
              <w:pStyle w:val="Compact"/>
              <w:jc w:val="left"/>
            </w:pPr>
            <w:r>
              <w:rPr>
                <w:bCs/>
                <w:b/>
              </w:rPr>
              <w:t xml:space="preserve">过度简化·中</w:t>
            </w:r>
          </w:p>
        </w:tc>
        <w:tc>
          <w:tcPr/>
          <w:p>
            <w:pPr>
              <w:pStyle w:val="Compact"/>
              <w:jc w:val="left"/>
            </w:pPr>
            <w:hyperlink w:anchor="sec-36-6">
              <w:r>
                <w:rPr>
                  <w:rStyle w:val="Hyperlink"/>
                </w:rPr>
                <w:t xml:space="preserve">36.6</w:t>
              </w:r>
            </w:hyperlink>
          </w:p>
        </w:tc>
      </w:tr>
      <w:tr>
        <w:tc>
          <w:tcPr/>
          <w:p>
            <w:pPr>
              <w:pStyle w:val="Compact"/>
              <w:jc w:val="left"/>
            </w:pPr>
            <w:r>
              <w:t xml:space="preserve">潜意识控制 95% 的行为</w:t>
            </w:r>
          </w:p>
        </w:tc>
        <w:tc>
          <w:tcPr/>
          <w:p>
            <w:pPr>
              <w:pStyle w:val="Compact"/>
              <w:jc w:val="left"/>
            </w:pPr>
            <w:r>
              <w:t xml:space="preserve">这个比例没有可定义的行为单位和分母</w:t>
            </w:r>
          </w:p>
        </w:tc>
        <w:tc>
          <w:tcPr/>
          <w:p>
            <w:pPr>
              <w:pStyle w:val="Compact"/>
              <w:jc w:val="left"/>
            </w:pPr>
            <w:r>
              <w:rPr>
                <w:bCs/>
                <w:b/>
              </w:rPr>
              <w:t xml:space="preserve">错误·高</w:t>
            </w:r>
          </w:p>
        </w:tc>
        <w:tc>
          <w:tcPr/>
          <w:p>
            <w:pPr>
              <w:pStyle w:val="Compact"/>
              <w:jc w:val="left"/>
            </w:pPr>
            <w:hyperlink w:anchor="ch-53">
              <w:r>
                <w:rPr>
                  <w:rStyle w:val="Hyperlink"/>
                </w:rPr>
                <w:t xml:space="preserve">第53章</w:t>
              </w:r>
            </w:hyperlink>
          </w:p>
        </w:tc>
      </w:tr>
      <w:tr>
        <w:tc>
          <w:tcPr/>
          <w:p>
            <w:pPr>
              <w:pStyle w:val="Compact"/>
              <w:jc w:val="left"/>
            </w:pPr>
            <w:r>
              <w:t xml:space="preserve">系统 1 和系统 2 是两套可分开的脑器官</w:t>
            </w:r>
          </w:p>
        </w:tc>
        <w:tc>
          <w:tcPr/>
          <w:p>
            <w:pPr>
              <w:pStyle w:val="Compact"/>
              <w:jc w:val="left"/>
            </w:pPr>
            <w:r>
              <w:t xml:space="preserve">双加工是解释加工差异的理论框架，脑内找不到两套互不重叠的结构</w:t>
            </w:r>
          </w:p>
        </w:tc>
        <w:tc>
          <w:tcPr/>
          <w:p>
            <w:pPr>
              <w:pStyle w:val="Compact"/>
              <w:jc w:val="left"/>
            </w:pPr>
            <w:r>
              <w:rPr>
                <w:bCs/>
                <w:b/>
              </w:rPr>
              <w:t xml:space="preserve">过度简化·高</w:t>
            </w:r>
          </w:p>
        </w:tc>
        <w:tc>
          <w:tcPr/>
          <w:p>
            <w:pPr>
              <w:pStyle w:val="Compact"/>
              <w:jc w:val="left"/>
            </w:pPr>
            <w:hyperlink w:anchor="ch-47">
              <w:r>
                <w:rPr>
                  <w:rStyle w:val="Hyperlink"/>
                </w:rPr>
                <w:t xml:space="preserve">第47章</w:t>
              </w:r>
            </w:hyperlink>
          </w:p>
        </w:tc>
      </w:tr>
      <w:tr>
        <w:tc>
          <w:tcPr/>
          <w:p>
            <w:pPr>
              <w:pStyle w:val="Compact"/>
              <w:jc w:val="left"/>
            </w:pPr>
            <w:r>
              <w:t xml:space="preserve">意志力会被耗尽</w:t>
            </w:r>
          </w:p>
        </w:tc>
        <w:tc>
          <w:tcPr/>
          <w:p>
            <w:pPr>
              <w:pStyle w:val="Compact"/>
              <w:jc w:val="left"/>
            </w:pPr>
            <w:r>
              <w:t xml:space="preserve">短时任务的效应在多实验室预注册重复中接近零；长时间高强度任务后出现部分可重复的下降</w:t>
            </w:r>
          </w:p>
        </w:tc>
        <w:tc>
          <w:tcPr/>
          <w:p>
            <w:pPr>
              <w:pStyle w:val="Compact"/>
              <w:jc w:val="left"/>
            </w:pPr>
            <w:r>
              <w:t xml:space="preserve">短时任务后必然下降：</w:t>
            </w:r>
            <w:r>
              <w:rPr>
                <w:bCs/>
                <w:b/>
              </w:rPr>
              <w:t xml:space="preserve">已被推翻·中</w:t>
            </w:r>
            <w:r>
              <w:br/>
            </w:r>
            <w:r>
              <w:t xml:space="preserve">长时任务后下降：</w:t>
            </w:r>
            <w:r>
              <w:rPr>
                <w:bCs/>
                <w:b/>
              </w:rPr>
              <w:t xml:space="preserve">部分成立·低</w:t>
            </w:r>
            <w:r>
              <w:br/>
            </w:r>
            <w:r>
              <w:t xml:space="preserve">固定资源机制：</w:t>
            </w:r>
            <w:r>
              <w:rPr>
                <w:bCs/>
                <w:b/>
              </w:rPr>
              <w:t xml:space="preserve">不成立·中</w:t>
            </w:r>
          </w:p>
        </w:tc>
        <w:tc>
          <w:tcPr/>
          <w:p>
            <w:pPr>
              <w:pStyle w:val="Compact"/>
              <w:jc w:val="left"/>
            </w:pPr>
            <w:hyperlink w:anchor="ch-78">
              <w:r>
                <w:rPr>
                  <w:rStyle w:val="Hyperlink"/>
                </w:rPr>
                <w:t xml:space="preserve">第78章</w:t>
              </w:r>
            </w:hyperlink>
          </w:p>
        </w:tc>
      </w:tr>
      <w:tr>
        <w:tc>
          <w:tcPr/>
          <w:p>
            <w:pPr>
              <w:pStyle w:val="Compact"/>
              <w:jc w:val="left"/>
            </w:pPr>
            <w:r>
              <w:t xml:space="preserve">幸福的 40% 由自己掌控</w:t>
            </w:r>
          </w:p>
        </w:tc>
        <w:tc>
          <w:tcPr/>
          <w:p>
            <w:pPr>
              <w:pStyle w:val="Compact"/>
              <w:jc w:val="left"/>
            </w:pPr>
            <w:r>
              <w:t xml:space="preserve">人群方差的分解拆分不了一个人的幸福，原作者承认饼图过于简化</w:t>
            </w:r>
          </w:p>
        </w:tc>
        <w:tc>
          <w:tcPr/>
          <w:p>
            <w:pPr>
              <w:pStyle w:val="Compact"/>
              <w:jc w:val="left"/>
            </w:pPr>
            <w:r>
              <w:rPr>
                <w:bCs/>
                <w:b/>
              </w:rPr>
              <w:t xml:space="preserve">错误·高</w:t>
            </w:r>
          </w:p>
        </w:tc>
        <w:tc>
          <w:tcPr/>
          <w:p>
            <w:pPr>
              <w:pStyle w:val="Compact"/>
              <w:jc w:val="left"/>
            </w:pPr>
            <w:hyperlink w:anchor="ch-77">
              <w:r>
                <w:rPr>
                  <w:rStyle w:val="Hyperlink"/>
                </w:rPr>
                <w:t xml:space="preserve">第77章</w:t>
              </w:r>
            </w:hyperlink>
          </w:p>
        </w:tc>
      </w:tr>
      <w:tr>
        <w:tc>
          <w:tcPr/>
          <w:p>
            <w:pPr>
              <w:pStyle w:val="Compact"/>
              <w:jc w:val="left"/>
            </w:pPr>
            <w:r>
              <w:t xml:space="preserve">棉花糖实验能预测人生成就</w:t>
            </w:r>
          </w:p>
        </w:tc>
        <w:tc>
          <w:tcPr/>
          <w:p>
            <w:pPr>
              <w:pStyle w:val="Compact"/>
              <w:jc w:val="left"/>
            </w:pPr>
            <w:r>
              <w:t xml:space="preserve">大样本重复中关联约为原研究的一半，控制家庭背景和早期能力后进一步缩小</w:t>
            </w:r>
          </w:p>
        </w:tc>
        <w:tc>
          <w:tcPr/>
          <w:p>
            <w:pPr>
              <w:pStyle w:val="Compact"/>
              <w:jc w:val="left"/>
            </w:pPr>
            <w:r>
              <w:rPr>
                <w:bCs/>
                <w:b/>
              </w:rPr>
              <w:t xml:space="preserve">过度简化·高</w:t>
            </w:r>
          </w:p>
        </w:tc>
        <w:tc>
          <w:tcPr/>
          <w:p>
            <w:pPr>
              <w:pStyle w:val="Compact"/>
              <w:jc w:val="left"/>
            </w:pPr>
            <w:hyperlink w:anchor="ch-77">
              <w:r>
                <w:rPr>
                  <w:rStyle w:val="Hyperlink"/>
                </w:rPr>
                <w:t xml:space="preserve">第77章</w:t>
              </w:r>
            </w:hyperlink>
          </w:p>
        </w:tc>
      </w:tr>
      <w:tr>
        <w:tc>
          <w:tcPr/>
          <w:p>
            <w:pPr>
              <w:pStyle w:val="Compact"/>
              <w:jc w:val="left"/>
            </w:pPr>
            <w:r>
              <w:rPr>
                <w:bCs/>
                <w:b/>
              </w:rPr>
              <w:t xml:space="preserve">六、睡眠、脑电与意识</w:t>
            </w:r>
          </w:p>
        </w:tc>
        <w:tc>
          <w:tcPr/>
          <w:p/>
        </w:tc>
        <w:tc>
          <w:tcPr/>
          <w:p/>
        </w:tc>
        <w:tc>
          <w:tcPr/>
          <w:p/>
        </w:tc>
      </w:tr>
      <w:tr>
        <w:tc>
          <w:tcPr/>
          <w:p>
            <w:pPr>
              <w:pStyle w:val="Compact"/>
              <w:jc w:val="left"/>
            </w:pPr>
            <w:r>
              <w:t xml:space="preserve">睡眠就是大脑关机，少睡可以靠意志长期补偿</w:t>
            </w:r>
          </w:p>
        </w:tc>
        <w:tc>
          <w:tcPr/>
          <w:p>
            <w:pPr>
              <w:pStyle w:val="Compact"/>
              <w:jc w:val="left"/>
            </w:pPr>
            <w:r>
              <w:t xml:space="preserve">睡眠是有组织的脑与身体活动，长期压缩睡眠通常损害表现</w:t>
            </w:r>
          </w:p>
        </w:tc>
        <w:tc>
          <w:tcPr/>
          <w:p>
            <w:pPr>
              <w:pStyle w:val="Compact"/>
              <w:jc w:val="left"/>
            </w:pPr>
            <w:r>
              <w:rPr>
                <w:bCs/>
                <w:b/>
              </w:rPr>
              <w:t xml:space="preserve">错误·高</w:t>
            </w:r>
          </w:p>
        </w:tc>
        <w:tc>
          <w:tcPr/>
          <w:p>
            <w:pPr>
              <w:pStyle w:val="Compact"/>
              <w:jc w:val="left"/>
            </w:pPr>
            <w:hyperlink w:anchor="ch-48">
              <w:r>
                <w:rPr>
                  <w:rStyle w:val="Hyperlink"/>
                </w:rPr>
                <w:t xml:space="preserve">第48章</w:t>
              </w:r>
            </w:hyperlink>
          </w:p>
        </w:tc>
      </w:tr>
      <w:tr>
        <w:tc>
          <w:tcPr/>
          <w:p>
            <w:pPr>
              <w:pStyle w:val="Compact"/>
              <w:jc w:val="left"/>
            </w:pPr>
            <w:r>
              <w:t xml:space="preserve">每种梦都有固定含义，梦能诊断疾病或预言未来</w:t>
            </w:r>
          </w:p>
        </w:tc>
        <w:tc>
          <w:tcPr/>
          <w:p>
            <w:pPr>
              <w:pStyle w:val="Compact"/>
              <w:jc w:val="left"/>
            </w:pPr>
            <w:r>
              <w:t xml:space="preserve">梦的内容可能与生活经验和情绪有关；固定的符号词典和预言没有证据</w:t>
            </w:r>
          </w:p>
        </w:tc>
        <w:tc>
          <w:tcPr/>
          <w:p>
            <w:pPr>
              <w:pStyle w:val="Compact"/>
              <w:jc w:val="left"/>
            </w:pPr>
            <w:r>
              <w:rPr>
                <w:bCs/>
                <w:b/>
              </w:rPr>
              <w:t xml:space="preserve">证据不足·高</w:t>
            </w:r>
          </w:p>
        </w:tc>
        <w:tc>
          <w:tcPr/>
          <w:p>
            <w:pPr>
              <w:pStyle w:val="Compact"/>
              <w:jc w:val="left"/>
            </w:pPr>
            <w:hyperlink w:anchor="ch-51">
              <w:r>
                <w:rPr>
                  <w:rStyle w:val="Hyperlink"/>
                </w:rPr>
                <w:t xml:space="preserve">第51章</w:t>
              </w:r>
            </w:hyperlink>
          </w:p>
        </w:tc>
      </w:tr>
      <w:tr>
        <w:tc>
          <w:tcPr/>
          <w:p>
            <w:pPr>
              <w:pStyle w:val="Compact"/>
              <w:jc w:val="left"/>
            </w:pPr>
            <w:r>
              <w:t xml:space="preserve">某种脑波频率能把人调到天才学习或疗愈模式</w:t>
            </w:r>
          </w:p>
        </w:tc>
        <w:tc>
          <w:tcPr/>
          <w:p>
            <w:pPr>
              <w:pStyle w:val="Compact"/>
              <w:jc w:val="left"/>
            </w:pPr>
            <w:r>
              <w:t xml:space="preserve">频段标签不能单独定义心理状态，声音诱发的节拍知觉不等于全脑同步</w:t>
            </w:r>
          </w:p>
        </w:tc>
        <w:tc>
          <w:tcPr/>
          <w:p>
            <w:pPr>
              <w:pStyle w:val="Compact"/>
              <w:jc w:val="left"/>
            </w:pPr>
            <w:r>
              <w:rPr>
                <w:bCs/>
                <w:b/>
              </w:rPr>
              <w:t xml:space="preserve">错误·高</w:t>
            </w:r>
          </w:p>
        </w:tc>
        <w:tc>
          <w:tcPr/>
          <w:p>
            <w:pPr>
              <w:pStyle w:val="Compact"/>
              <w:jc w:val="left"/>
            </w:pPr>
            <w:hyperlink w:anchor="ch-52">
              <w:r>
                <w:rPr>
                  <w:rStyle w:val="Hyperlink"/>
                </w:rPr>
                <w:t xml:space="preserve">第52章</w:t>
              </w:r>
            </w:hyperlink>
          </w:p>
        </w:tc>
      </w:tr>
      <w:tr>
        <w:tc>
          <w:tcPr/>
          <w:p>
            <w:pPr>
              <w:pStyle w:val="Compact"/>
              <w:jc w:val="left"/>
            </w:pPr>
            <w:r>
              <w:t xml:space="preserve">α 波等于放松；θ 波是潜意识或潜能开关</w:t>
            </w:r>
          </w:p>
        </w:tc>
        <w:tc>
          <w:tcPr/>
          <w:p>
            <w:pPr>
              <w:pStyle w:val="Compact"/>
              <w:jc w:val="left"/>
            </w:pPr>
            <w:r>
              <w:t xml:space="preserve">α 的含义依部位、任务和对照而定；θ 与潜意识的对应没有研究依据</w:t>
            </w:r>
          </w:p>
        </w:tc>
        <w:tc>
          <w:tcPr/>
          <w:p>
            <w:pPr>
              <w:pStyle w:val="Compact"/>
              <w:jc w:val="left"/>
            </w:pPr>
            <w:r>
              <w:t xml:space="preserve">α=放松：</w:t>
            </w:r>
            <w:r>
              <w:rPr>
                <w:bCs/>
                <w:b/>
              </w:rPr>
              <w:t xml:space="preserve">过度简化·高</w:t>
            </w:r>
            <w:r>
              <w:br/>
            </w:r>
            <w:r>
              <w:t xml:space="preserve">θ=潜意识：</w:t>
            </w:r>
            <w:r>
              <w:rPr>
                <w:bCs/>
                <w:b/>
              </w:rPr>
              <w:t xml:space="preserve">错误·高</w:t>
            </w:r>
          </w:p>
        </w:tc>
        <w:tc>
          <w:tcPr/>
          <w:p>
            <w:pPr>
              <w:pStyle w:val="Compact"/>
              <w:jc w:val="left"/>
            </w:pPr>
            <w:hyperlink w:anchor="sec-52-2">
              <w:r>
                <w:rPr>
                  <w:rStyle w:val="Hyperlink"/>
                </w:rPr>
                <w:t xml:space="preserve">52.2</w:t>
              </w:r>
            </w:hyperlink>
          </w:p>
        </w:tc>
      </w:tr>
      <w:tr>
        <w:tc>
          <w:tcPr/>
          <w:p>
            <w:pPr>
              <w:pStyle w:val="Compact"/>
              <w:jc w:val="left"/>
            </w:pPr>
            <w:r>
              <w:t xml:space="preserve">双耳节拍能把大脑带入冥想脑波</w:t>
            </w:r>
          </w:p>
        </w:tc>
        <w:tc>
          <w:tcPr/>
          <w:p>
            <w:pPr>
              <w:pStyle w:val="Compact"/>
              <w:jc w:val="left"/>
            </w:pPr>
            <w:r>
              <w:t xml:space="preserve">能否引起脑电同步，研究结果不一致；对心理状态的作用证据不足</w:t>
            </w:r>
          </w:p>
        </w:tc>
        <w:tc>
          <w:tcPr/>
          <w:p>
            <w:pPr>
              <w:pStyle w:val="Compact"/>
              <w:jc w:val="left"/>
            </w:pPr>
            <w:r>
              <w:rPr>
                <w:bCs/>
                <w:b/>
              </w:rPr>
              <w:t xml:space="preserve">证据不足·中</w:t>
            </w:r>
          </w:p>
        </w:tc>
        <w:tc>
          <w:tcPr/>
          <w:p>
            <w:pPr>
              <w:pStyle w:val="Compact"/>
              <w:jc w:val="left"/>
            </w:pPr>
            <w:hyperlink w:anchor="sec-52-8">
              <w:r>
                <w:rPr>
                  <w:rStyle w:val="Hyperlink"/>
                </w:rPr>
                <w:t xml:space="preserve">52.8</w:t>
              </w:r>
            </w:hyperlink>
          </w:p>
        </w:tc>
      </w:tr>
      <w:tr>
        <w:tc>
          <w:tcPr/>
          <w:p>
            <w:pPr>
              <w:pStyle w:val="Compact"/>
              <w:jc w:val="left"/>
            </w:pPr>
            <w:r>
              <w:t xml:space="preserve">脑信号早于意识，已经证明自由意志不存在</w:t>
            </w:r>
          </w:p>
        </w:tc>
        <w:tc>
          <w:tcPr/>
          <w:p>
            <w:pPr>
              <w:pStyle w:val="Compact"/>
              <w:jc w:val="left"/>
            </w:pPr>
            <w:r>
              <w:t xml:space="preserve">行动前的神经信号是关于行动形成的发现；推出“选择早已完成”需要额外前提</w:t>
            </w:r>
          </w:p>
        </w:tc>
        <w:tc>
          <w:tcPr/>
          <w:p>
            <w:pPr>
              <w:pStyle w:val="Compact"/>
              <w:jc w:val="left"/>
            </w:pPr>
            <w:r>
              <w:rPr>
                <w:bCs/>
                <w:b/>
              </w:rPr>
              <w:t xml:space="preserve">错误·高</w:t>
            </w:r>
          </w:p>
        </w:tc>
        <w:tc>
          <w:tcPr/>
          <w:p>
            <w:pPr>
              <w:pStyle w:val="Compact"/>
              <w:jc w:val="left"/>
            </w:pPr>
            <w:hyperlink w:anchor="ch-54">
              <w:r>
                <w:rPr>
                  <w:rStyle w:val="Hyperlink"/>
                </w:rPr>
                <w:t xml:space="preserve">第54章</w:t>
              </w:r>
            </w:hyperlink>
          </w:p>
        </w:tc>
      </w:tr>
      <w:tr>
        <w:tc>
          <w:tcPr/>
          <w:p>
            <w:pPr>
              <w:pStyle w:val="Compact"/>
              <w:jc w:val="left"/>
            </w:pPr>
            <w:r>
              <w:rPr>
                <w:bCs/>
                <w:b/>
              </w:rPr>
              <w:t xml:space="preserve">七、发育与个体差异</w:t>
            </w:r>
          </w:p>
        </w:tc>
        <w:tc>
          <w:tcPr/>
          <w:p/>
        </w:tc>
        <w:tc>
          <w:tcPr/>
          <w:p/>
        </w:tc>
        <w:tc>
          <w:tcPr/>
          <w:p/>
        </w:tc>
      </w:tr>
      <w:tr>
        <w:tc>
          <w:tcPr/>
          <w:p>
            <w:pPr>
              <w:pStyle w:val="Compact"/>
              <w:jc w:val="left"/>
            </w:pPr>
            <w:r>
              <w:t xml:space="preserve">大脑到 25 岁才完全成熟</w:t>
            </w:r>
          </w:p>
        </w:tc>
        <w:tc>
          <w:tcPr/>
          <w:p>
            <w:pPr>
              <w:pStyle w:val="Compact"/>
              <w:jc w:val="left"/>
            </w:pPr>
            <w:r>
              <w:t xml:space="preserve">常被引用的早期研究数据止于 21 岁；各项指标的发展不同步，没有统一的成熟开关</w:t>
            </w:r>
          </w:p>
        </w:tc>
        <w:tc>
          <w:tcPr/>
          <w:p>
            <w:pPr>
              <w:pStyle w:val="Compact"/>
              <w:jc w:val="left"/>
            </w:pPr>
            <w:r>
              <w:rPr>
                <w:bCs/>
                <w:b/>
              </w:rPr>
              <w:t xml:space="preserve">错误·高</w:t>
            </w:r>
          </w:p>
        </w:tc>
        <w:tc>
          <w:tcPr/>
          <w:p>
            <w:pPr>
              <w:pStyle w:val="Compact"/>
              <w:jc w:val="left"/>
            </w:pPr>
            <w:hyperlink w:anchor="ch-122">
              <w:r>
                <w:rPr>
                  <w:rStyle w:val="Hyperlink"/>
                </w:rPr>
                <w:t xml:space="preserve">第122章</w:t>
              </w:r>
            </w:hyperlink>
          </w:p>
        </w:tc>
      </w:tr>
      <w:tr>
        <w:tc>
          <w:tcPr/>
          <w:p>
            <w:pPr>
              <w:pStyle w:val="Compact"/>
              <w:jc w:val="left"/>
            </w:pPr>
            <w:r>
              <w:t xml:space="preserve">男脑女脑是两种固定脑型，决定职业与性格</w:t>
            </w:r>
          </w:p>
        </w:tc>
        <w:tc>
          <w:tcPr/>
          <w:p>
            <w:pPr>
              <w:pStyle w:val="Compact"/>
              <w:jc w:val="left"/>
            </w:pPr>
            <w:r>
              <w:t xml:space="preserve">部分脑指标有可重复的平均差异，不足以建立两种固定脑型</w:t>
            </w:r>
          </w:p>
        </w:tc>
        <w:tc>
          <w:tcPr/>
          <w:p>
            <w:pPr>
              <w:pStyle w:val="Compact"/>
              <w:jc w:val="left"/>
            </w:pPr>
            <w:r>
              <w:rPr>
                <w:bCs/>
                <w:b/>
              </w:rPr>
              <w:t xml:space="preserve">错误·高</w:t>
            </w:r>
          </w:p>
        </w:tc>
        <w:tc>
          <w:tcPr/>
          <w:p>
            <w:pPr>
              <w:pStyle w:val="Compact"/>
              <w:jc w:val="left"/>
            </w:pPr>
            <w:hyperlink w:anchor="ch-123">
              <w:r>
                <w:rPr>
                  <w:rStyle w:val="Hyperlink"/>
                </w:rPr>
                <w:t xml:space="preserve">第123章</w:t>
              </w:r>
            </w:hyperlink>
          </w:p>
        </w:tc>
      </w:tr>
      <w:tr>
        <w:tc>
          <w:tcPr/>
          <w:p>
            <w:pPr>
              <w:pStyle w:val="Compact"/>
              <w:jc w:val="left"/>
            </w:pPr>
            <w:r>
              <w:t xml:space="preserve">智力或性格有遗传性，就说明后天无法改变</w:t>
            </w:r>
          </w:p>
        </w:tc>
        <w:tc>
          <w:tcPr/>
          <w:p>
            <w:pPr>
              <w:pStyle w:val="Compact"/>
              <w:jc w:val="left"/>
            </w:pPr>
            <w:r>
              <w:t xml:space="preserve">遗传率描述特定人群和环境中的差异结构，决定不了干预是否有效</w:t>
            </w:r>
          </w:p>
        </w:tc>
        <w:tc>
          <w:tcPr/>
          <w:p>
            <w:pPr>
              <w:pStyle w:val="Compact"/>
              <w:jc w:val="left"/>
            </w:pPr>
            <w:r>
              <w:rPr>
                <w:bCs/>
                <w:b/>
              </w:rPr>
              <w:t xml:space="preserve">错误·高</w:t>
            </w:r>
          </w:p>
        </w:tc>
        <w:tc>
          <w:tcPr/>
          <w:p>
            <w:pPr>
              <w:pStyle w:val="Compact"/>
              <w:jc w:val="left"/>
            </w:pPr>
            <w:hyperlink w:anchor="ch-125">
              <w:r>
                <w:rPr>
                  <w:rStyle w:val="Hyperlink"/>
                </w:rPr>
                <w:t xml:space="preserve">第125章</w:t>
              </w:r>
            </w:hyperlink>
          </w:p>
        </w:tc>
      </w:tr>
      <w:tr>
        <w:tc>
          <w:tcPr/>
          <w:p>
            <w:pPr>
              <w:pStyle w:val="Compact"/>
              <w:jc w:val="left"/>
            </w:pPr>
            <w:r>
              <w:t xml:space="preserve">注意缺陷多动障碍就是懒、不自律或手机玩多了</w:t>
            </w:r>
          </w:p>
        </w:tc>
        <w:tc>
          <w:tcPr/>
          <w:p>
            <w:pPr>
              <w:pStyle w:val="Compact"/>
              <w:jc w:val="left"/>
            </w:pPr>
            <w:r>
              <w:t xml:space="preserve">它是有研究基础的神经发育性临床概念，诊断需要完整评估</w:t>
            </w:r>
          </w:p>
        </w:tc>
        <w:tc>
          <w:tcPr/>
          <w:p>
            <w:pPr>
              <w:pStyle w:val="Compact"/>
              <w:jc w:val="left"/>
            </w:pPr>
            <w:r>
              <w:rPr>
                <w:bCs/>
                <w:b/>
              </w:rPr>
              <w:t xml:space="preserve">错误·高</w:t>
            </w:r>
          </w:p>
        </w:tc>
        <w:tc>
          <w:tcPr/>
          <w:p>
            <w:pPr>
              <w:pStyle w:val="Compact"/>
              <w:jc w:val="left"/>
            </w:pPr>
            <w:hyperlink w:anchor="ch-126">
              <w:r>
                <w:rPr>
                  <w:rStyle w:val="Hyperlink"/>
                </w:rPr>
                <w:t xml:space="preserve">第126章</w:t>
              </w:r>
            </w:hyperlink>
          </w:p>
        </w:tc>
      </w:tr>
      <w:tr>
        <w:tc>
          <w:tcPr/>
          <w:p>
            <w:pPr>
              <w:pStyle w:val="Compact"/>
              <w:jc w:val="left"/>
            </w:pPr>
            <w:r>
              <w:t xml:space="preserve">疫苗导致自闭症；自闭症是父母缺爱造成的</w:t>
            </w:r>
          </w:p>
        </w:tc>
        <w:tc>
          <w:tcPr/>
          <w:p>
            <w:pPr>
              <w:pStyle w:val="Compact"/>
              <w:jc w:val="left"/>
            </w:pPr>
            <w:r>
              <w:t xml:space="preserve">高质量综合证据反对疫苗致病的说法，父母归因同样缺乏依据</w:t>
            </w:r>
          </w:p>
        </w:tc>
        <w:tc>
          <w:tcPr/>
          <w:p>
            <w:pPr>
              <w:pStyle w:val="Compact"/>
              <w:jc w:val="left"/>
            </w:pPr>
            <w:r>
              <w:rPr>
                <w:bCs/>
                <w:b/>
              </w:rPr>
              <w:t xml:space="preserve">错误·高</w:t>
            </w:r>
          </w:p>
        </w:tc>
        <w:tc>
          <w:tcPr/>
          <w:p>
            <w:pPr>
              <w:pStyle w:val="Compact"/>
              <w:jc w:val="left"/>
            </w:pPr>
            <w:hyperlink w:anchor="ch-127">
              <w:r>
                <w:rPr>
                  <w:rStyle w:val="Hyperlink"/>
                </w:rPr>
                <w:t xml:space="preserve">第127章</w:t>
              </w:r>
            </w:hyperlink>
          </w:p>
        </w:tc>
      </w:tr>
      <w:tr>
        <w:tc>
          <w:tcPr/>
          <w:p>
            <w:pPr>
              <w:pStyle w:val="Compact"/>
              <w:jc w:val="left"/>
            </w:pPr>
            <w:r>
              <w:t xml:space="preserve">尊重神经多样性，就意味着没有障碍、也不需要支持</w:t>
            </w:r>
          </w:p>
        </w:tc>
        <w:tc>
          <w:tcPr/>
          <w:p>
            <w:pPr>
              <w:pStyle w:val="Compact"/>
              <w:jc w:val="left"/>
            </w:pPr>
            <w:r>
              <w:t xml:space="preserve">尊重神经差异可以与承认残障、减少痛苦和提供支持同时成立</w:t>
            </w:r>
          </w:p>
        </w:tc>
        <w:tc>
          <w:tcPr/>
          <w:p>
            <w:pPr>
              <w:pStyle w:val="Compact"/>
              <w:jc w:val="left"/>
            </w:pPr>
            <w:r>
              <w:rPr>
                <w:bCs/>
                <w:b/>
              </w:rPr>
              <w:t xml:space="preserve">错误·高</w:t>
            </w:r>
          </w:p>
        </w:tc>
        <w:tc>
          <w:tcPr/>
          <w:p>
            <w:pPr>
              <w:pStyle w:val="Compact"/>
              <w:jc w:val="left"/>
            </w:pPr>
            <w:hyperlink w:anchor="ch-128">
              <w:r>
                <w:rPr>
                  <w:rStyle w:val="Hyperlink"/>
                </w:rPr>
                <w:t xml:space="preserve">第128章</w:t>
              </w:r>
            </w:hyperlink>
          </w:p>
        </w:tc>
      </w:tr>
      <w:tr>
        <w:tc>
          <w:tcPr/>
          <w:p>
            <w:pPr>
              <w:pStyle w:val="Compact"/>
              <w:jc w:val="left"/>
            </w:pPr>
            <w:r>
              <w:rPr>
                <w:bCs/>
                <w:b/>
              </w:rPr>
              <w:t xml:space="preserve">八、心理健康、疼痛与神经疾病</w:t>
            </w:r>
          </w:p>
        </w:tc>
        <w:tc>
          <w:tcPr/>
          <w:p/>
        </w:tc>
        <w:tc>
          <w:tcPr/>
          <w:p/>
        </w:tc>
        <w:tc>
          <w:tcPr/>
          <w:p/>
        </w:tc>
      </w:tr>
      <w:tr>
        <w:tc>
          <w:tcPr/>
          <w:p>
            <w:pPr>
              <w:pStyle w:val="Compact"/>
              <w:jc w:val="left"/>
            </w:pPr>
            <w:r>
              <w:t xml:space="preserve">心理疾病只是想太多；发现了脑机制就排除了环境因素</w:t>
            </w:r>
          </w:p>
        </w:tc>
        <w:tc>
          <w:tcPr/>
          <w:p>
            <w:pPr>
              <w:pStyle w:val="Compact"/>
              <w:jc w:val="left"/>
            </w:pPr>
            <w:r>
              <w:t xml:space="preserve">神经机制与社会环境可以同时具有因果作用</w:t>
            </w:r>
          </w:p>
        </w:tc>
        <w:tc>
          <w:tcPr/>
          <w:p>
            <w:pPr>
              <w:pStyle w:val="Compact"/>
              <w:jc w:val="left"/>
            </w:pPr>
            <w:r>
              <w:rPr>
                <w:bCs/>
                <w:b/>
              </w:rPr>
              <w:t xml:space="preserve">错误·高</w:t>
            </w:r>
          </w:p>
        </w:tc>
        <w:tc>
          <w:tcPr/>
          <w:p>
            <w:pPr>
              <w:pStyle w:val="Compact"/>
              <w:jc w:val="left"/>
            </w:pPr>
            <w:hyperlink w:anchor="ch-129">
              <w:r>
                <w:rPr>
                  <w:rStyle w:val="Hyperlink"/>
                </w:rPr>
                <w:t xml:space="preserve">第129章</w:t>
              </w:r>
            </w:hyperlink>
          </w:p>
        </w:tc>
      </w:tr>
      <w:tr>
        <w:tc>
          <w:tcPr/>
          <w:p>
            <w:pPr>
              <w:pStyle w:val="Compact"/>
              <w:jc w:val="left"/>
            </w:pPr>
            <w:r>
              <w:t xml:space="preserve">创伤储存在肌肉或筋膜里，释放感能证明往事</w:t>
            </w:r>
          </w:p>
        </w:tc>
        <w:tc>
          <w:tcPr/>
          <w:p>
            <w:pPr>
              <w:pStyle w:val="Compact"/>
              <w:jc w:val="left"/>
            </w:pPr>
            <w:r>
              <w:t xml:space="preserve">经历可以通过学习影响身体反应，身体感受证明不了某段历史</w:t>
            </w:r>
          </w:p>
        </w:tc>
        <w:tc>
          <w:tcPr/>
          <w:p>
            <w:pPr>
              <w:pStyle w:val="Compact"/>
              <w:jc w:val="left"/>
            </w:pPr>
            <w:r>
              <w:rPr>
                <w:bCs/>
                <w:b/>
              </w:rPr>
              <w:t xml:space="preserve">错误·高</w:t>
            </w:r>
          </w:p>
        </w:tc>
        <w:tc>
          <w:tcPr/>
          <w:p>
            <w:pPr>
              <w:pStyle w:val="Compact"/>
              <w:jc w:val="left"/>
            </w:pPr>
            <w:hyperlink w:anchor="ch-132">
              <w:r>
                <w:rPr>
                  <w:rStyle w:val="Hyperlink"/>
                </w:rPr>
                <w:t xml:space="preserve">第132章</w:t>
              </w:r>
            </w:hyperlink>
          </w:p>
        </w:tc>
      </w:tr>
      <w:tr>
        <w:tc>
          <w:tcPr/>
          <w:p>
            <w:pPr>
              <w:pStyle w:val="Compact"/>
              <w:jc w:val="left"/>
            </w:pPr>
            <w:r>
              <w:t xml:space="preserve">疼痛由大脑产生，查不出损伤就是想象出来的</w:t>
            </w:r>
          </w:p>
        </w:tc>
        <w:tc>
          <w:tcPr/>
          <w:p>
            <w:pPr>
              <w:pStyle w:val="Compact"/>
              <w:jc w:val="left"/>
            </w:pPr>
            <w:r>
              <w:t xml:space="preserve">疼痛是真实的体验，组织损伤与疼痛强度之间没有固定的一一对应</w:t>
            </w:r>
          </w:p>
        </w:tc>
        <w:tc>
          <w:tcPr/>
          <w:p>
            <w:pPr>
              <w:pStyle w:val="Compact"/>
              <w:jc w:val="left"/>
            </w:pPr>
            <w:r>
              <w:rPr>
                <w:bCs/>
                <w:b/>
              </w:rPr>
              <w:t xml:space="preserve">错误·高</w:t>
            </w:r>
          </w:p>
        </w:tc>
        <w:tc>
          <w:tcPr/>
          <w:p>
            <w:pPr>
              <w:pStyle w:val="Compact"/>
              <w:jc w:val="left"/>
            </w:pPr>
            <w:hyperlink w:anchor="ch-135">
              <w:r>
                <w:rPr>
                  <w:rStyle w:val="Hyperlink"/>
                </w:rPr>
                <w:t xml:space="preserve">第135章</w:t>
              </w:r>
            </w:hyperlink>
          </w:p>
        </w:tc>
      </w:tr>
      <w:tr>
        <w:tc>
          <w:tcPr/>
          <w:p>
            <w:pPr>
              <w:pStyle w:val="Compact"/>
              <w:jc w:val="left"/>
            </w:pPr>
            <w:r>
              <w:t xml:space="preserve">补脑保健品能普遍提高记忆或预防痴呆</w:t>
            </w:r>
          </w:p>
        </w:tc>
        <w:tc>
          <w:tcPr/>
          <w:p>
            <w:pPr>
              <w:pStyle w:val="Compact"/>
              <w:jc w:val="left"/>
            </w:pPr>
            <w:r>
              <w:t xml:space="preserve">需要按成分、剂量、人群和结局分别评价，预防痴呆没有得到证实</w:t>
            </w:r>
          </w:p>
        </w:tc>
        <w:tc>
          <w:tcPr/>
          <w:p>
            <w:pPr>
              <w:pStyle w:val="Compact"/>
              <w:jc w:val="left"/>
            </w:pPr>
            <w:r>
              <w:rPr>
                <w:bCs/>
                <w:b/>
              </w:rPr>
              <w:t xml:space="preserve">不成立·高</w:t>
            </w:r>
          </w:p>
        </w:tc>
        <w:tc>
          <w:tcPr/>
          <w:p>
            <w:pPr>
              <w:pStyle w:val="Compact"/>
              <w:jc w:val="left"/>
            </w:pPr>
            <w:hyperlink w:anchor="ch-139">
              <w:r>
                <w:rPr>
                  <w:rStyle w:val="Hyperlink"/>
                </w:rPr>
                <w:t xml:space="preserve">第139章</w:t>
              </w:r>
            </w:hyperlink>
          </w:p>
        </w:tc>
      </w:tr>
      <w:tr>
        <w:tc>
          <w:tcPr/>
          <w:p>
            <w:pPr>
              <w:pStyle w:val="Compact"/>
              <w:jc w:val="left"/>
            </w:pPr>
            <w:r>
              <w:rPr>
                <w:bCs/>
                <w:b/>
              </w:rPr>
              <w:t xml:space="preserve">九、读懂脑科学研究</w:t>
            </w:r>
          </w:p>
        </w:tc>
        <w:tc>
          <w:tcPr/>
          <w:p/>
        </w:tc>
        <w:tc>
          <w:tcPr/>
          <w:p/>
        </w:tc>
        <w:tc>
          <w:tcPr/>
          <w:p/>
        </w:tc>
      </w:tr>
      <w:tr>
        <w:tc>
          <w:tcPr/>
          <w:p>
            <w:pPr>
              <w:pStyle w:val="Compact"/>
              <w:jc w:val="left"/>
            </w:pPr>
            <w:r>
              <w:t xml:space="preserve">功能磁共振彩图直接拍到了神经元在想什么</w:t>
            </w:r>
          </w:p>
        </w:tc>
        <w:tc>
          <w:tcPr/>
          <w:p>
            <w:pPr>
              <w:pStyle w:val="Compact"/>
              <w:jc w:val="left"/>
            </w:pPr>
            <w:r>
              <w:t xml:space="preserve">血氧信号与神经活动相关，单张彩图显示不了思想内容</w:t>
            </w:r>
          </w:p>
        </w:tc>
        <w:tc>
          <w:tcPr/>
          <w:p>
            <w:pPr>
              <w:pStyle w:val="Compact"/>
              <w:jc w:val="left"/>
            </w:pPr>
            <w:r>
              <w:rPr>
                <w:bCs/>
                <w:b/>
              </w:rPr>
              <w:t xml:space="preserve">错误·高</w:t>
            </w:r>
          </w:p>
        </w:tc>
        <w:tc>
          <w:tcPr/>
          <w:p>
            <w:pPr>
              <w:pStyle w:val="Compact"/>
              <w:jc w:val="left"/>
            </w:pPr>
            <w:hyperlink w:anchor="ch-61">
              <w:r>
                <w:rPr>
                  <w:rStyle w:val="Hyperlink"/>
                </w:rPr>
                <w:t xml:space="preserve">第61章</w:t>
              </w:r>
            </w:hyperlink>
          </w:p>
        </w:tc>
      </w:tr>
      <w:tr>
        <w:tc>
          <w:tcPr/>
          <w:p>
            <w:pPr>
              <w:pStyle w:val="Compact"/>
              <w:jc w:val="left"/>
            </w:pPr>
            <w:r>
              <w:t xml:space="preserve">某个脑区亮了，就证明人在害怕、说谎或恋爱</w:t>
            </w:r>
          </w:p>
        </w:tc>
        <w:tc>
          <w:tcPr/>
          <w:p>
            <w:pPr>
              <w:pStyle w:val="Compact"/>
              <w:jc w:val="left"/>
            </w:pPr>
            <w:r>
              <w:t xml:space="preserve">同一脑区参与多种过程，从激活反推心理状态需要基率和独立验证</w:t>
            </w:r>
          </w:p>
        </w:tc>
        <w:tc>
          <w:tcPr/>
          <w:p>
            <w:pPr>
              <w:pStyle w:val="Compact"/>
              <w:jc w:val="left"/>
            </w:pPr>
            <w:r>
              <w:rPr>
                <w:bCs/>
                <w:b/>
              </w:rPr>
              <w:t xml:space="preserve">错误·高</w:t>
            </w:r>
          </w:p>
        </w:tc>
        <w:tc>
          <w:tcPr/>
          <w:p>
            <w:pPr>
              <w:pStyle w:val="Compact"/>
              <w:jc w:val="left"/>
            </w:pPr>
            <w:hyperlink w:anchor="ch-64">
              <w:r>
                <w:rPr>
                  <w:rStyle w:val="Hyperlink"/>
                </w:rPr>
                <w:t xml:space="preserve">第64章</w:t>
              </w:r>
            </w:hyperlink>
          </w:p>
        </w:tc>
      </w:tr>
      <w:tr>
        <w:tc>
          <w:tcPr/>
          <w:p>
            <w:pPr>
              <w:pStyle w:val="Compact"/>
              <w:jc w:val="left"/>
            </w:pPr>
            <w:r>
              <w:t xml:space="preserve">拍一张脑片就能确诊多动症、抑郁或人格类型</w:t>
            </w:r>
          </w:p>
        </w:tc>
        <w:tc>
          <w:tcPr/>
          <w:p>
            <w:pPr>
              <w:pStyle w:val="Compact"/>
              <w:jc w:val="left"/>
            </w:pPr>
            <w:r>
              <w:t xml:space="preserve">群体平均差异不能直接充当个人诊断规则</w:t>
            </w:r>
          </w:p>
        </w:tc>
        <w:tc>
          <w:tcPr/>
          <w:p>
            <w:pPr>
              <w:pStyle w:val="Compact"/>
              <w:jc w:val="left"/>
            </w:pPr>
            <w:r>
              <w:rPr>
                <w:bCs/>
                <w:b/>
              </w:rPr>
              <w:t xml:space="preserve">错误·高</w:t>
            </w:r>
          </w:p>
        </w:tc>
        <w:tc>
          <w:tcPr/>
          <w:p>
            <w:pPr>
              <w:pStyle w:val="Compact"/>
              <w:jc w:val="left"/>
            </w:pPr>
            <w:hyperlink w:anchor="ch-65">
              <w:r>
                <w:rPr>
                  <w:rStyle w:val="Hyperlink"/>
                </w:rPr>
                <w:t xml:space="preserve">第65章</w:t>
              </w:r>
            </w:hyperlink>
          </w:p>
        </w:tc>
      </w:tr>
      <w:tr>
        <w:tc>
          <w:tcPr/>
          <w:p>
            <w:pPr>
              <w:pStyle w:val="Compact"/>
              <w:jc w:val="left"/>
            </w:pPr>
            <w:r>
              <w:t xml:space="preserve">脑结构与行为相关，就证明脑的变化导致了行为</w:t>
            </w:r>
          </w:p>
        </w:tc>
        <w:tc>
          <w:tcPr/>
          <w:p>
            <w:pPr>
              <w:pStyle w:val="Compact"/>
              <w:jc w:val="left"/>
            </w:pPr>
            <w:r>
              <w:t xml:space="preserve">相关无法单独确定因果方向</w:t>
            </w:r>
          </w:p>
        </w:tc>
        <w:tc>
          <w:tcPr/>
          <w:p>
            <w:pPr>
              <w:pStyle w:val="Compact"/>
              <w:jc w:val="left"/>
            </w:pPr>
            <w:r>
              <w:rPr>
                <w:bCs/>
                <w:b/>
              </w:rPr>
              <w:t xml:space="preserve">错误·高</w:t>
            </w:r>
          </w:p>
        </w:tc>
        <w:tc>
          <w:tcPr/>
          <w:p>
            <w:pPr>
              <w:pStyle w:val="Compact"/>
              <w:jc w:val="left"/>
            </w:pPr>
            <w:hyperlink w:anchor="ch-63">
              <w:r>
                <w:rPr>
                  <w:rStyle w:val="Hyperlink"/>
                </w:rPr>
                <w:t xml:space="preserve">第63章</w:t>
              </w:r>
            </w:hyperlink>
          </w:p>
        </w:tc>
      </w:tr>
      <w:tr>
        <w:tc>
          <w:tcPr/>
          <w:p>
            <w:pPr>
              <w:pStyle w:val="Compact"/>
              <w:jc w:val="left"/>
            </w:pPr>
            <w:r>
              <w:t xml:space="preserve">小鼠研究有效，就说明人类已经有了疗法</w:t>
            </w:r>
          </w:p>
        </w:tc>
        <w:tc>
          <w:tcPr/>
          <w:p>
            <w:pPr>
              <w:pStyle w:val="Compact"/>
              <w:jc w:val="left"/>
            </w:pPr>
            <w:r>
              <w:t xml:space="preserve">动物结果推广到人体，要逐项验证物种、病程、剂量和临床结局</w:t>
            </w:r>
          </w:p>
        </w:tc>
        <w:tc>
          <w:tcPr/>
          <w:p>
            <w:pPr>
              <w:pStyle w:val="Compact"/>
              <w:jc w:val="left"/>
            </w:pPr>
            <w:r>
              <w:rPr>
                <w:bCs/>
                <w:b/>
              </w:rPr>
              <w:t xml:space="preserve">错误·高</w:t>
            </w:r>
          </w:p>
        </w:tc>
        <w:tc>
          <w:tcPr/>
          <w:p>
            <w:pPr>
              <w:pStyle w:val="Compact"/>
              <w:jc w:val="left"/>
            </w:pPr>
            <w:hyperlink w:anchor="ch-67">
              <w:r>
                <w:rPr>
                  <w:rStyle w:val="Hyperlink"/>
                </w:rPr>
                <w:t xml:space="preserve">第67章</w:t>
              </w:r>
            </w:hyperlink>
          </w:p>
        </w:tc>
      </w:tr>
      <w:tr>
        <w:tc>
          <w:tcPr/>
          <w:p>
            <w:pPr>
              <w:pStyle w:val="Compact"/>
              <w:jc w:val="left"/>
            </w:pPr>
            <w:r>
              <w:t xml:space="preserve">加上脑区、递质或脑扫描，解释就更科学</w:t>
            </w:r>
          </w:p>
        </w:tc>
        <w:tc>
          <w:tcPr/>
          <w:p>
            <w:pPr>
              <w:pStyle w:val="Compact"/>
              <w:jc w:val="left"/>
            </w:pPr>
            <w:r>
              <w:t xml:space="preserve">术语和彩图本身不增加解释力，与论证无关的神经科学文字会提高外行读者对解释的满意度</w:t>
            </w:r>
          </w:p>
        </w:tc>
        <w:tc>
          <w:tcPr/>
          <w:p>
            <w:pPr>
              <w:pStyle w:val="Compact"/>
              <w:jc w:val="left"/>
            </w:pPr>
            <w:r>
              <w:rPr>
                <w:bCs/>
                <w:b/>
              </w:rPr>
              <w:t xml:space="preserve">错误·高</w:t>
            </w:r>
          </w:p>
        </w:tc>
        <w:tc>
          <w:tcPr/>
          <w:p>
            <w:pPr>
              <w:pStyle w:val="Compact"/>
              <w:jc w:val="left"/>
            </w:pPr>
            <w:hyperlink w:anchor="ch-68">
              <w:r>
                <w:rPr>
                  <w:rStyle w:val="Hyperlink"/>
                </w:rPr>
                <w:t xml:space="preserve">第68章</w:t>
              </w:r>
            </w:hyperlink>
          </w:p>
        </w:tc>
      </w:tr>
      <w:tr>
        <w:tc>
          <w:tcPr/>
          <w:p>
            <w:pPr>
              <w:pStyle w:val="Compact"/>
              <w:jc w:val="left"/>
            </w:pPr>
            <w:r>
              <w:rPr>
                <w:bCs/>
                <w:b/>
              </w:rPr>
              <w:t xml:space="preserve">十、正念冥想</w:t>
            </w:r>
          </w:p>
        </w:tc>
        <w:tc>
          <w:tcPr/>
          <w:p/>
        </w:tc>
        <w:tc>
          <w:tcPr/>
          <w:p/>
        </w:tc>
        <w:tc>
          <w:tcPr/>
          <w:p/>
        </w:tc>
      </w:tr>
      <w:tr>
        <w:tc>
          <w:tcPr/>
          <w:p>
            <w:pPr>
              <w:pStyle w:val="Compact"/>
              <w:jc w:val="left"/>
            </w:pPr>
            <w:r>
              <w:t xml:space="preserve">冥想能永久升级大脑，对所有人有效，也没有副作用</w:t>
            </w:r>
          </w:p>
        </w:tc>
        <w:tc>
          <w:tcPr/>
          <w:p>
            <w:pPr>
              <w:pStyle w:val="Compact"/>
              <w:jc w:val="left"/>
            </w:pPr>
            <w:r>
              <w:t xml:space="preserve">规范化课程对部分症状有有限的平均收益；八周课程改变大脑结构的说法在大样本随机对照中没有得到支持；不良事件的报告比例约 8%，随问法和定义变化很大</w:t>
            </w:r>
          </w:p>
        </w:tc>
        <w:tc>
          <w:tcPr/>
          <w:p>
            <w:pPr>
              <w:pStyle w:val="Compact"/>
              <w:jc w:val="left"/>
            </w:pPr>
            <w:r>
              <w:rPr>
                <w:bCs/>
                <w:b/>
              </w:rPr>
              <w:t xml:space="preserve">错误·高</w:t>
            </w:r>
          </w:p>
        </w:tc>
        <w:tc>
          <w:tcPr/>
          <w:p>
            <w:pPr>
              <w:pStyle w:val="Compact"/>
              <w:jc w:val="left"/>
            </w:pPr>
            <w:hyperlink w:anchor="ch-116">
              <w:r>
                <w:rPr>
                  <w:rStyle w:val="Hyperlink"/>
                </w:rPr>
                <w:t xml:space="preserve">第116章</w:t>
              </w:r>
            </w:hyperlink>
            <w:r>
              <w:t xml:space="preserve">、</w:t>
            </w:r>
            <w:hyperlink w:anchor="sec-118-2">
              <w:r>
                <w:rPr>
                  <w:rStyle w:val="Hyperlink"/>
                </w:rPr>
                <w:t xml:space="preserve">118.2</w:t>
              </w:r>
            </w:hyperlink>
          </w:p>
        </w:tc>
      </w:tr>
      <w:tr>
        <w:tc>
          <w:tcPr/>
          <w:p>
            <w:pPr>
              <w:pStyle w:val="Compact"/>
              <w:jc w:val="left"/>
            </w:pPr>
            <w:r>
              <w:t xml:space="preserve">其他与冥想有关的说法</w:t>
            </w:r>
          </w:p>
        </w:tc>
        <w:tc>
          <w:tcPr/>
          <w:p>
            <w:pPr>
              <w:pStyle w:val="Compact"/>
              <w:jc w:val="left"/>
            </w:pPr>
            <w:r>
              <w:t xml:space="preserve">分脑区、分子、网络与脑电、临床结局和常被引用的研究列在冥想速查表中</w:t>
            </w:r>
          </w:p>
        </w:tc>
        <w:tc>
          <w:tcPr/>
          <w:p>
            <w:pPr>
              <w:pStyle w:val="Compact"/>
              <w:jc w:val="left"/>
            </w:pPr>
            <w:r>
              <w:t xml:space="preserve">见右栏</w:t>
            </w:r>
          </w:p>
        </w:tc>
        <w:tc>
          <w:tcPr/>
          <w:p>
            <w:pPr>
              <w:pStyle w:val="Compact"/>
              <w:jc w:val="left"/>
            </w:pPr>
            <w:hyperlink w:anchor="ch-109">
              <w:r>
                <w:rPr>
                  <w:rStyle w:val="Hyperlink"/>
                </w:rPr>
                <w:t xml:space="preserve">第109章</w:t>
              </w:r>
            </w:hyperlink>
          </w:p>
        </w:tc>
      </w:tr>
    </w:tbl>
    <w:bookmarkEnd w:id="1328"/>
    <w:bookmarkStart w:id="1329" w:name="ch-71"/>
    <w:p>
      <w:pPr>
        <w:pStyle w:val="Heading2"/>
      </w:pPr>
      <w:r>
        <w:t xml:space="preserve">第71章　这些说法为什么难以消失</w:t>
      </w:r>
    </w:p>
    <w:p>
      <w:pPr>
        <w:pStyle w:val="FirstParagraph"/>
      </w:pPr>
      <w:r>
        <w:t xml:space="preserve">上述说法有几个共同特点：每一个都有一个真实的出发点（裂脑研究、动物防御回路、青少年脑发育、习惯形成研究），在传播中被裁剪成一个整数、一个区域或一个比喻；它们给人一种可以自我操作的控制感；它们借用了神经科学的术语，神经科学的文字本身就能提高说服力</w:t>
      </w:r>
      <w:r>
        <w:rPr>
          <w:vertAlign w:val="superscript"/>
        </w:rPr>
        <w:t xml:space="preserve">[</w:t>
      </w:r>
      <w:hyperlink w:anchor="ref-601">
        <w:r>
          <w:rPr>
            <w:rStyle w:val="Hyperlink"/>
            <w:vertAlign w:val="superscript"/>
          </w:rPr>
          <w:t xml:space="preserve">601</w:t>
        </w:r>
      </w:hyperlink>
      <w:r>
        <w:rPr>
          <w:vertAlign w:val="superscript"/>
        </w:rPr>
        <w:t xml:space="preserve">,</w:t>
      </w:r>
      <w:hyperlink w:anchor="ref-653">
        <w:r>
          <w:rPr>
            <w:rStyle w:val="Hyperlink"/>
            <w:vertAlign w:val="superscript"/>
          </w:rPr>
          <w:t xml:space="preserve">653</w:t>
        </w:r>
      </w:hyperlink>
      <w:r>
        <w:rPr>
          <w:vertAlign w:val="superscript"/>
        </w:rPr>
        <w:t xml:space="preserve">]</w:t>
      </w:r>
      <w:r>
        <w:t xml:space="preserve">。研究者用“神经实在论”描述一种倾向：把脑成像当作某种现象“真实存在”的视觉证明</w:t>
      </w:r>
      <w:r>
        <w:rPr>
          <w:vertAlign w:val="superscript"/>
        </w:rPr>
        <w:t xml:space="preserve">[</w:t>
      </w:r>
      <w:hyperlink w:anchor="ref-654">
        <w:r>
          <w:rPr>
            <w:rStyle w:val="Hyperlink"/>
            <w:vertAlign w:val="superscript"/>
          </w:rPr>
          <w:t xml:space="preserve">654</w:t>
        </w:r>
      </w:hyperlink>
      <w:r>
        <w:rPr>
          <w:vertAlign w:val="superscript"/>
        </w:rPr>
        <w:t xml:space="preserve">]</w:t>
      </w:r>
      <w:r>
        <w:t xml:space="preserve">。</w:t>
      </w:r>
    </w:p>
    <w:p>
      <w:pPr>
        <w:pStyle w:val="BodyText"/>
      </w:pPr>
      <w:r>
        <w:t xml:space="preserve">了解更多脑知识也不一定能防止误信。英国和荷兰教师中，一般脑知识越多的人越容易相信神经迷思</w:t>
      </w:r>
      <w:r>
        <w:rPr>
          <w:vertAlign w:val="superscript"/>
        </w:rPr>
        <w:t xml:space="preserve">[</w:t>
      </w:r>
      <w:hyperlink w:anchor="ref-604">
        <w:r>
          <w:rPr>
            <w:rStyle w:val="Hyperlink"/>
            <w:vertAlign w:val="superscript"/>
          </w:rPr>
          <w:t xml:space="preserve">604</w:t>
        </w:r>
      </w:hyperlink>
      <w:r>
        <w:rPr>
          <w:vertAlign w:val="superscript"/>
        </w:rPr>
        <w:t xml:space="preserve">]</w:t>
      </w:r>
      <w:r>
        <w:t xml:space="preserve">，这是相关。学习脑知识是否会让人更迷信，它回答不了；中国大陆 436 名教育工作者的调查中，职前教师的一般脑知识越多，神经迷思信念也越强</w:t>
      </w:r>
      <w:r>
        <w:rPr>
          <w:vertAlign w:val="superscript"/>
        </w:rPr>
        <w:t xml:space="preserve">[</w:t>
      </w:r>
      <w:hyperlink w:anchor="ref-655">
        <w:r>
          <w:rPr>
            <w:rStyle w:val="Hyperlink"/>
            <w:vertAlign w:val="superscript"/>
          </w:rPr>
          <w:t xml:space="preserve">655</w:t>
        </w:r>
      </w:hyperlink>
      <w:r>
        <w:rPr>
          <w:vertAlign w:val="superscript"/>
        </w:rPr>
        <w:t xml:space="preserve">]</w:t>
      </w:r>
      <w:r>
        <w:t xml:space="preserve">；香港 968 名职前教师的调查结果方向相反，一般脑知识是识别神经迷思能力的唯一预测因素</w:t>
      </w:r>
      <w:r>
        <w:rPr>
          <w:vertAlign w:val="superscript"/>
        </w:rPr>
        <w:t xml:space="preserve">[</w:t>
      </w:r>
      <w:hyperlink w:anchor="ref-656">
        <w:r>
          <w:rPr>
            <w:rStyle w:val="Hyperlink"/>
            <w:vertAlign w:val="superscript"/>
          </w:rPr>
          <w:t xml:space="preserve">656</w:t>
        </w:r>
      </w:hyperlink>
      <w:r>
        <w:rPr>
          <w:vertAlign w:val="superscript"/>
        </w:rPr>
        <w:t xml:space="preserve">]</w:t>
      </w:r>
      <w:r>
        <w:t xml:space="preserve">。脑知识能否防止误信，因人群和测量方式而异。有针对性的教育可以起作用：一项研究先调查了西班牙加泰罗尼亚 203 所学校的 807 名中小学教师，再让其中一部分教师参加 15 小时的在线神经科学课程并与对照组比较，课程明显减少了迷思信念，效果在随访时仍然保持</w:t>
      </w:r>
      <w:r>
        <w:rPr>
          <w:vertAlign w:val="superscript"/>
        </w:rPr>
        <w:t xml:space="preserve">[</w:t>
      </w:r>
      <w:hyperlink w:anchor="ref-657">
        <w:r>
          <w:rPr>
            <w:rStyle w:val="Hyperlink"/>
            <w:vertAlign w:val="superscript"/>
          </w:rPr>
          <w:t xml:space="preserve">657</w:t>
        </w:r>
      </w:hyperlink>
      <w:r>
        <w:rPr>
          <w:vertAlign w:val="superscript"/>
        </w:rPr>
        <w:t xml:space="preserve">]</w:t>
      </w:r>
      <w:r>
        <w:t xml:space="preserve">。就本书追查到的来源看，这些说法在中文传播中常见于畅销书框架、公众号科普文章、商业课程和翻译的自助读物，典型的文章往往把一项真实研究与一个无从查证的常数混在一起；这是观察性的概括，没有经过系统的内容抽样分析。印象中的“常见”，要经过测量才能变成流行程度的数字。</w:t>
      </w:r>
    </w:p>
    <w:p>
      <w:pPr>
        <w:pStyle w:val="BodyText"/>
      </w:pPr>
      <w:r>
        <w:t xml:space="preserve">对正念练习者来说，换掉其中与冥想有关的说法（冥想语境中的变体见</w:t>
      </w:r>
      <w:hyperlink w:anchor="ch-115">
        <w:r>
          <w:rPr>
            <w:rStyle w:val="Hyperlink"/>
          </w:rPr>
          <w:t xml:space="preserve">第115章</w:t>
        </w:r>
      </w:hyperlink>
      <w:r>
        <w:t xml:space="preserve">），并不会让正念变得没用。去掉这些夸大的说法之后，留下来的是更朴素也更可检验的描述：注意力可以训练，与念头和情绪的关系可以改变，身体的生理唤醒可以通过呼吸和姿势调节。有些状态变化在单次练习中就会出现，临床上的变化通常在几周的课程里测量，长期的特质改变需要更长的随访；练得多与效果好不一定成正比，效果大小也因人而异。</w:t>
      </w:r>
    </w:p>
    <w:bookmarkEnd w:id="1329"/>
    <w:bookmarkStart w:id="1347" w:name="ch-72"/>
    <w:p>
      <w:pPr>
        <w:pStyle w:val="Heading2"/>
      </w:pPr>
      <w:r>
        <w:t xml:space="preserve">第72章　三重脑：爬行脑、情绪脑与理性脑</w:t>
      </w:r>
    </w:p>
    <w:bookmarkStart w:id="1330" w:name="sec-72-1"/>
    <w:p>
      <w:pPr>
        <w:pStyle w:val="Heading3"/>
      </w:pPr>
      <w:r>
        <w:t xml:space="preserve">72.1　模型从哪里来</w:t>
      </w:r>
    </w:p>
    <w:p>
      <w:pPr>
        <w:pStyle w:val="FirstParagraph"/>
      </w:pPr>
      <w:r>
        <w:t xml:space="preserve">三重脑模型由美国神经科学家保罗·麦克莱恩（Paul MacLean）在 1960 年代提出，1990 年写成专著</w:t>
      </w:r>
      <w:r>
        <w:rPr>
          <w:vertAlign w:val="superscript"/>
        </w:rPr>
        <w:t xml:space="preserve">[</w:t>
      </w:r>
      <w:hyperlink w:anchor="ref-658">
        <w:r>
          <w:rPr>
            <w:rStyle w:val="Hyperlink"/>
            <w:vertAlign w:val="superscript"/>
          </w:rPr>
          <w:t xml:space="preserve">658</w:t>
        </w:r>
      </w:hyperlink>
      <w:r>
        <w:rPr>
          <w:vertAlign w:val="superscript"/>
        </w:rPr>
        <w:t xml:space="preserve">]</w:t>
      </w:r>
      <w:r>
        <w:t xml:space="preserve">，《科学》杂志同年刊登的书评就提出了批评</w:t>
      </w:r>
      <w:r>
        <w:rPr>
          <w:vertAlign w:val="superscript"/>
        </w:rPr>
        <w:t xml:space="preserve">[</w:t>
      </w:r>
      <w:hyperlink w:anchor="ref-659">
        <w:r>
          <w:rPr>
            <w:rStyle w:val="Hyperlink"/>
            <w:vertAlign w:val="superscript"/>
          </w:rPr>
          <w:t xml:space="preserve">659</w:t>
        </w:r>
      </w:hyperlink>
      <w:r>
        <w:rPr>
          <w:vertAlign w:val="superscript"/>
        </w:rPr>
        <w:t xml:space="preserve">]</w:t>
      </w:r>
      <w:r>
        <w:t xml:space="preserve">。按这个模型，人脑由三层叠成：最里层是从爬行动物继承的“爬行脑”，负责本能与生存；中间层是早期哺乳动物加上去的“边缘系统”，负责情绪；最外层是灵长类才高度发展的“新皮层”，负责理性。卡尔·萨根 1977 年的畅销书《伊甸园的飞龙》常被认为把它带进了大众文化。中文网络上常见的版本是“爬行脑—情绪脑—理性脑”或“蜥蜴脑”，畅销书《认知觉醒》用的“本能脑—情绪脑—理智脑”也是同一个框架</w:t>
      </w:r>
      <w:r>
        <w:rPr>
          <w:vertAlign w:val="superscript"/>
        </w:rPr>
        <w:t xml:space="preserve">[</w:t>
      </w:r>
      <w:hyperlink w:anchor="ref-660">
        <w:r>
          <w:rPr>
            <w:rStyle w:val="Hyperlink"/>
            <w:vertAlign w:val="superscript"/>
          </w:rPr>
          <w:t xml:space="preserve">660</w:t>
        </w:r>
      </w:hyperlink>
      <w:r>
        <w:rPr>
          <w:vertAlign w:val="superscript"/>
        </w:rPr>
        <w:t xml:space="preserve">]</w:t>
      </w:r>
      <w:r>
        <w:t xml:space="preserve">。</w:t>
      </w:r>
    </w:p>
    <w:bookmarkEnd w:id="1330"/>
    <w:bookmarkStart w:id="1331" w:name="sec-72-2"/>
    <w:p>
      <w:pPr>
        <w:pStyle w:val="Heading3"/>
      </w:pPr>
      <w:r>
        <w:t xml:space="preserve">72.2　比较解剖学为什么放弃了它</w:t>
      </w:r>
    </w:p>
    <w:p>
      <w:pPr>
        <w:pStyle w:val="FirstParagraph"/>
      </w:pPr>
      <w:r>
        <w:t xml:space="preserve">比较神经解剖学早已放弃这个模型</w:t>
      </w:r>
      <w:r>
        <w:rPr>
          <w:vertAlign w:val="superscript"/>
        </w:rPr>
        <w:t xml:space="preserve">[</w:t>
      </w:r>
      <w:hyperlink w:anchor="ref-661">
        <w:r>
          <w:rPr>
            <w:rStyle w:val="Hyperlink"/>
            <w:vertAlign w:val="superscript"/>
          </w:rPr>
          <w:t xml:space="preserve">661</w:t>
        </w:r>
      </w:hyperlink>
      <w:r>
        <w:rPr>
          <w:vertAlign w:val="superscript"/>
        </w:rPr>
        <w:t xml:space="preserve">]</w:t>
      </w:r>
      <w:r>
        <w:t xml:space="preserve">。所有脊椎动物共享同一套基本脑分区，端脑背侧的皮质（pallium）在各个谱系中有共同的进化和发育来源，组织形式和细胞组成又差别很大：2025 年对鸟类皮质的研究发现，鸟类与其他羊膜动物共享多数抑制性神经元类型，兴奋性神经元在海马相关区域较为保守，在其他皮质区域已经分化</w:t>
      </w:r>
      <w:r>
        <w:rPr>
          <w:vertAlign w:val="superscript"/>
        </w:rPr>
        <w:t xml:space="preserve">[</w:t>
      </w:r>
      <w:hyperlink w:anchor="ref-662">
        <w:r>
          <w:rPr>
            <w:rStyle w:val="Hyperlink"/>
            <w:vertAlign w:val="superscript"/>
          </w:rPr>
          <w:t xml:space="preserve">662</w:t>
        </w:r>
      </w:hyperlink>
      <w:r>
        <w:rPr>
          <w:vertAlign w:val="superscript"/>
        </w:rPr>
        <w:t xml:space="preserve">]</w:t>
      </w:r>
      <w:r>
        <w:t xml:space="preserve">，宏观结构、细胞类型和回路功能三个层级的比较需要分开讨论（见</w:t>
      </w:r>
      <w:r>
        <w:t xml:space="preserve"> </w:t>
      </w:r>
      <w:hyperlink w:anchor="sec-72-4">
        <w:r>
          <w:rPr>
            <w:rStyle w:val="Hyperlink"/>
          </w:rPr>
          <w:t xml:space="preserve">72.4</w:t>
        </w:r>
      </w:hyperlink>
      <w:r>
        <w:t xml:space="preserve">）；鸟类脑结构的研究进展甚至让国际鸟脑命名论坛在 2002 年通过了一套新命名，2004 年正式发表</w:t>
      </w:r>
      <w:r>
        <w:rPr>
          <w:vertAlign w:val="superscript"/>
        </w:rPr>
        <w:t xml:space="preserve">[</w:t>
      </w:r>
      <w:hyperlink w:anchor="ref-663">
        <w:r>
          <w:rPr>
            <w:rStyle w:val="Hyperlink"/>
            <w:vertAlign w:val="superscript"/>
          </w:rPr>
          <w:t xml:space="preserve">663</w:t>
        </w:r>
      </w:hyperlink>
      <w:r>
        <w:rPr>
          <w:vertAlign w:val="superscript"/>
        </w:rPr>
        <w:t xml:space="preserve">]</w:t>
      </w:r>
      <w:r>
        <w:t xml:space="preserve">，2005 年又在综述中做了系统阐述</w:t>
      </w:r>
      <w:r>
        <w:rPr>
          <w:vertAlign w:val="superscript"/>
        </w:rPr>
        <w:t xml:space="preserve">[</w:t>
      </w:r>
      <w:hyperlink w:anchor="ref-664">
        <w:r>
          <w:rPr>
            <w:rStyle w:val="Hyperlink"/>
            <w:vertAlign w:val="superscript"/>
          </w:rPr>
          <w:t xml:space="preserve">664</w:t>
        </w:r>
      </w:hyperlink>
      <w:r>
        <w:rPr>
          <w:vertAlign w:val="superscript"/>
        </w:rPr>
        <w:t xml:space="preserve">]</w:t>
      </w:r>
      <w:r>
        <w:t xml:space="preserve">。进化改造的是整个脑。新结构并没有像洋葱一样一层层包在旧结构外面。鸟类没有六层的新皮层，鸦科和鹦鹉却能使用工具、做因果推理，它们前脑皮质区的神经元密度甚至高于许多哺乳动物</w:t>
      </w:r>
      <w:r>
        <w:rPr>
          <w:vertAlign w:val="superscript"/>
        </w:rPr>
        <w:t xml:space="preserve">[</w:t>
      </w:r>
      <w:hyperlink w:anchor="ref-665">
        <w:r>
          <w:rPr>
            <w:rStyle w:val="Hyperlink"/>
            <w:vertAlign w:val="superscript"/>
          </w:rPr>
          <w:t xml:space="preserve">665</w:t>
        </w:r>
      </w:hyperlink>
      <w:r>
        <w:rPr>
          <w:vertAlign w:val="superscript"/>
        </w:rPr>
        <w:t xml:space="preserve">]</w:t>
      </w:r>
      <w:r>
        <w:t xml:space="preserve">；密度、细胞类型、连接和行为任务是不同层面的事。密度高，推不出在所有认知任务上更强。人类大脑皮层只含全脑约 19% 的神经元，这个比例与其他灵长类和啮齿类相近</w:t>
      </w:r>
      <w:r>
        <w:rPr>
          <w:vertAlign w:val="superscript"/>
        </w:rPr>
        <w:t xml:space="preserve">[</w:t>
      </w:r>
      <w:hyperlink w:anchor="ref-2">
        <w:r>
          <w:rPr>
            <w:rStyle w:val="Hyperlink"/>
            <w:vertAlign w:val="superscript"/>
          </w:rPr>
          <w:t xml:space="preserve">2</w:t>
        </w:r>
      </w:hyperlink>
      <w:r>
        <w:rPr>
          <w:vertAlign w:val="superscript"/>
        </w:rPr>
        <w:t xml:space="preserve">]</w:t>
      </w:r>
      <w:r>
        <w:t xml:space="preserve">；这一估算来自 4 名 50 到 71 岁男性的大脑（皮层约占全脑重量的 82%，神经元只占约 19%），适合用来纠正“哪部分重量大，神经元就一定多”之类的混淆。给智能或意识分配百分比，它做不到。</w:t>
      </w:r>
    </w:p>
    <w:p>
      <w:pPr>
        <w:pStyle w:val="BodyText"/>
      </w:pPr>
      <w:r>
        <w:t xml:space="preserve">功能上同样对不上。情绪体验离不开皮层（岛叶、前扣带、内侧前额叶都深度参与），而被认为属于“理性脑”的决策过程，也依赖与情绪和身体状态有关的信号（见</w:t>
      </w:r>
      <w:hyperlink w:anchor="ch-46">
        <w:r>
          <w:rPr>
            <w:rStyle w:val="Hyperlink"/>
          </w:rPr>
          <w:t xml:space="preserve">第46章</w:t>
        </w:r>
      </w:hyperlink>
      <w:r>
        <w:t xml:space="preserve">）。</w:t>
      </w:r>
    </w:p>
    <w:p>
      <w:pPr>
        <w:pStyle w:val="BodyText"/>
      </w:pPr>
      <w:r>
        <w:t xml:space="preserve">三重脑之所以流行，是因为它好记，还附带一个现成的道德故事：情绪失控是“蜥蜴脑”接管了身体，冥想让“理性脑”重新掌舵。这个故事贴近体验，可它把解剖、进化和心理功能三件事都讲错了。</w:t>
      </w:r>
    </w:p>
    <w:p>
      <w:pPr>
        <w:pStyle w:val="CalloutJudgment"/>
      </w:pPr>
      <w:r>
        <w:rPr>
          <w:bCs/>
          <w:b/>
        </w:rPr>
        <w:t xml:space="preserve">判断　</w:t>
      </w:r>
      <w:r>
        <w:t xml:space="preserve">三重脑作为解剖与进化模型</w:t>
      </w:r>
      <w:r>
        <w:rPr>
          <w:bCs/>
          <w:b/>
        </w:rPr>
        <w:t xml:space="preserve">错误·高</w:t>
      </w:r>
      <w:r>
        <w:t xml:space="preserve">；作为“有时身体反应先于思考”的通俗提醒，它所指的现象真实存在，只是解释错了。</w:t>
      </w:r>
    </w:p>
    <w:p>
      <w:pPr>
        <w:pStyle w:val="CalloutPractice"/>
      </w:pPr>
      <w:r>
        <w:rPr>
          <w:bCs/>
          <w:b/>
        </w:rPr>
        <w:t xml:space="preserve">练习中的含义　</w:t>
      </w:r>
      <w:r>
        <w:t xml:space="preserve">把“蜥蜴脑接管了”换成更准确的描述：“身体处在高度警觉状态，注意力被威胁线索占满。”这个描述直接指向能做的事：可以试试舒适、不用力的呼吸，睁眼看看周围环境，或者调整一下姿势，再根据实际的反应选择。对有呼吸恐慌、与创伤有关的身体触发或解离倾向的人，把注意转向身体可能让不适加重；唤醒回落需要多久，也因人因事而异。</w:t>
      </w:r>
    </w:p>
    <w:bookmarkEnd w:id="1331"/>
    <w:bookmarkStart w:id="1332" w:name="sec-72-3"/>
    <w:p>
      <w:pPr>
        <w:pStyle w:val="Heading3"/>
      </w:pPr>
      <w:r>
        <w:t xml:space="preserve">72.3　演化史需要独立于直觉图像建立</w:t>
      </w:r>
    </w:p>
    <w:p>
      <w:pPr>
        <w:pStyle w:val="FirstParagraph"/>
      </w:pPr>
      <w:r>
        <w:t xml:space="preserve">关于脑的演化，较可靠的结论是：脊椎动物共享大量祖先结构，各支系持续发生区域扩展、细胞分化、连接变化和发育调节。对这一总体判断的置信度高；对某些细胞亚型和核团在远缘物种中的严格同源对应，置信度应按具体对象分别评估</w:t>
      </w:r>
      <w:r>
        <w:rPr>
          <w:vertAlign w:val="superscript"/>
        </w:rPr>
        <w:t xml:space="preserve">[</w:t>
      </w:r>
      <w:hyperlink w:anchor="ref-20">
        <w:r>
          <w:rPr>
            <w:rStyle w:val="Hyperlink"/>
            <w:vertAlign w:val="superscript"/>
          </w:rPr>
          <w:t xml:space="preserve">20</w:t>
        </w:r>
      </w:hyperlink>
      <w:r>
        <w:rPr>
          <w:vertAlign w:val="superscript"/>
        </w:rPr>
        <w:t xml:space="preserve">,</w:t>
      </w:r>
      <w:hyperlink w:anchor="ref-664">
        <w:r>
          <w:rPr>
            <w:rStyle w:val="Hyperlink"/>
            <w:vertAlign w:val="superscript"/>
          </w:rPr>
          <w:t xml:space="preserve">664</w:t>
        </w:r>
      </w:hyperlink>
      <w:r>
        <w:rPr>
          <w:vertAlign w:val="superscript"/>
        </w:rPr>
        <w:t xml:space="preserve">]</w:t>
      </w:r>
      <w:r>
        <w:t xml:space="preserve">。</w:t>
      </w:r>
    </w:p>
    <w:p>
      <w:pPr>
        <w:pStyle w:val="BodyText"/>
      </w:pPr>
      <w:r>
        <w:t xml:space="preserve">“古老”至少有三种含义。它可以指某个发育程序在共同祖先中已经出现，可以指某类细胞保留较多祖先特征，也可以指某种行为在多个支系中存在。这三个时间尺度不能互换。一个古老的细胞类型能够组成较新的连接方式；一种看似相同的行为也可能由分别演化的回路支持。讨论人类行为时，先说明谈论的是哪种时间尺度，才有可能给出可检验的演化解释。</w:t>
      </w:r>
    </w:p>
    <w:p>
      <w:pPr>
        <w:pStyle w:val="BodyText"/>
      </w:pPr>
      <w:r>
        <w:t xml:space="preserve">现生物种组成分支谱系。今天的蜥蜴、鸟、鼠、猿和人都经历了从共同祖先到现在的演化。把这些物种按“原始到高级”排列，容易把现生动物当成祖先的原样保存。一个支系在某种感觉任务上特别复杂，也不要求它在所有认知维度上领先。比较研究关心性状何时出现、在哪些支系发生改变、这些改变与生态和发育条件如何联系</w:t>
      </w:r>
      <w:r>
        <w:rPr>
          <w:vertAlign w:val="superscript"/>
        </w:rPr>
        <w:t xml:space="preserve">[</w:t>
      </w:r>
      <w:hyperlink w:anchor="ref-20">
        <w:r>
          <w:rPr>
            <w:rStyle w:val="Hyperlink"/>
            <w:vertAlign w:val="superscript"/>
          </w:rPr>
          <w:t xml:space="preserve">20</w:t>
        </w:r>
      </w:hyperlink>
      <w:r>
        <w:rPr>
          <w:vertAlign w:val="superscript"/>
        </w:rPr>
        <w:t xml:space="preserve">,</w:t>
      </w:r>
      <w:hyperlink w:anchor="ref-664">
        <w:r>
          <w:rPr>
            <w:rStyle w:val="Hyperlink"/>
            <w:vertAlign w:val="superscript"/>
          </w:rPr>
          <w:t xml:space="preserve">664</w:t>
        </w:r>
      </w:hyperlink>
      <w:r>
        <w:rPr>
          <w:vertAlign w:val="superscript"/>
        </w:rPr>
        <w:t xml:space="preserve">]</w:t>
      </w:r>
      <w:r>
        <w:t xml:space="preserve">。</w:t>
      </w:r>
    </w:p>
    <w:p>
      <w:pPr>
        <w:pStyle w:val="BodyText"/>
      </w:pPr>
      <w:r>
        <w:t xml:space="preserve">因此，一张人脑切面中的内外位置不能充当时间证据。组织处在深部，可能与胚胎发育、迁移或形态变化有关；外部组织也可以包含古老的细胞类别。需要确定年代时，研究者比较多个物种的发育来源、基因调控、细胞形态、连接与功能，并利用系统发育关系约束解释。只有这些证据互相配合，才可以较有把握地谈祖先特征和衍生特征。</w:t>
      </w:r>
    </w:p>
    <w:bookmarkEnd w:id="1332"/>
    <w:bookmarkStart w:id="1333" w:name="sec-72-4"/>
    <w:p>
      <w:pPr>
        <w:pStyle w:val="Heading3"/>
      </w:pPr>
      <w:r>
        <w:t xml:space="preserve">72.4　解剖名称为什么会改变认识</w:t>
      </w:r>
    </w:p>
    <w:p>
      <w:pPr>
        <w:pStyle w:val="FirstParagraph"/>
      </w:pPr>
      <w:r>
        <w:t xml:space="preserve">早期鸟脑命名把大量前脑组织称为纹状体，容易让人以为鸟类主要依赖类似哺乳动物基底节的结构。后来的比较资料显示，相当部分组织属于端脑外套，具有支持复杂感知和行为的组织形式。命名调整提醒我们：标签可以继承历史假设，名称中的“新”“原始”或“边缘”本身不能提供功能结论</w:t>
      </w:r>
      <w:r>
        <w:rPr>
          <w:vertAlign w:val="superscript"/>
        </w:rPr>
        <w:t xml:space="preserve">[</w:t>
      </w:r>
      <w:hyperlink w:anchor="ref-664">
        <w:r>
          <w:rPr>
            <w:rStyle w:val="Hyperlink"/>
            <w:vertAlign w:val="superscript"/>
          </w:rPr>
          <w:t xml:space="preserve">664</w:t>
        </w:r>
      </w:hyperlink>
      <w:r>
        <w:rPr>
          <w:vertAlign w:val="superscript"/>
        </w:rPr>
        <w:t xml:space="preserve">]</w:t>
      </w:r>
      <w:r>
        <w:t xml:space="preserve">。</w:t>
      </w:r>
    </w:p>
    <w:p>
      <w:pPr>
        <w:pStyle w:val="BodyText"/>
      </w:pPr>
      <w:r>
        <w:t xml:space="preserve">判断两个区域是否同源，需要明确比较层级。两个整体区域可能具有共同发育来源，却包含不同细胞组合；两类细胞可能具有保守的转录调控程序，却处在差异很大的区域中。区域同源、细胞类型同源和回路功能相似分别回答不同问题。把它们混在一起，会产生“某动物没有人类某一区域名称，所以没有相关能力”的错误推断。</w:t>
      </w:r>
    </w:p>
    <w:p>
      <w:pPr>
        <w:pStyle w:val="BodyText"/>
      </w:pPr>
      <w:r>
        <w:t xml:space="preserve">功能相似也不能单独证明共同来源。设想两个物种都能从视觉线索预测食物。它们可能保留了共同祖先的某种基本回路，也可能在各自的感觉系统中独立形成相近的计算方式。要区分两种解释，需要增加发育、分子和连接资料。行为实验能够告诉我们动物完成了什么任务，对其脑结构的历史则只提供部分约束。</w:t>
      </w:r>
    </w:p>
    <w:p>
      <w:pPr>
        <w:pStyle w:val="BodyText"/>
      </w:pPr>
      <w:r>
        <w:t xml:space="preserve">同样，组织外观相似不能自动证明心理体验相同。层状排列、核团排列和细胞密度差异具有计算上的潜在意义，但“有几层”无法直接换算为某种动物的理性程度。形态指标要经过功能验证，才能支持关于信息整合、学习或行为灵活性的具体结论。</w:t>
      </w:r>
    </w:p>
    <w:bookmarkEnd w:id="1333"/>
    <w:bookmarkStart w:id="1334" w:name="sec-72-5"/>
    <w:p>
      <w:pPr>
        <w:pStyle w:val="Heading3"/>
      </w:pPr>
      <w:r>
        <w:t xml:space="preserve">72.5　单细胞证据带来的约束</w:t>
      </w:r>
    </w:p>
    <w:p>
      <w:pPr>
        <w:pStyle w:val="FirstParagraph"/>
      </w:pPr>
      <w:r>
        <w:t xml:space="preserve">Tosches及同事对两种爬行动物外套开展单细胞转录组研究，并与哺乳动物资料比较。研究提示，一些GABA能中间神经元大类具有保守来源，哺乳动物新皮层中的多类兴奋性细胞则涉及祖先调控程序的进一步分化。这一结果支持保守性与创新同时存在。研究不能直接恢复祖先的全部神经活动，也不能单凭表达相似决定功能完全相同</w:t>
      </w:r>
      <w:r>
        <w:rPr>
          <w:vertAlign w:val="superscript"/>
        </w:rPr>
        <w:t xml:space="preserve">[</w:t>
      </w:r>
      <w:hyperlink w:anchor="ref-20">
        <w:r>
          <w:rPr>
            <w:rStyle w:val="Hyperlink"/>
            <w:vertAlign w:val="superscript"/>
          </w:rPr>
          <w:t xml:space="preserve">20</w:t>
        </w:r>
      </w:hyperlink>
      <w:r>
        <w:rPr>
          <w:vertAlign w:val="superscript"/>
        </w:rPr>
        <w:t xml:space="preserve">]</w:t>
      </w:r>
      <w:r>
        <w:t xml:space="preserve">。</w:t>
      </w:r>
    </w:p>
    <w:p>
      <w:pPr>
        <w:pStyle w:val="BodyText"/>
      </w:pPr>
      <w:r>
        <w:t xml:space="preserve">这里最有价值的推理约束是：若解释声称较旧组织原样保留、较新组织后来整体覆盖，它必须说明为何细胞类别和发育程序呈现跨区域、跨支系的部分保守与部分分化。一个能够随意把任何保守结果叫“旧脑”、把任何差异叫“新脑”的解释，预测力很弱。严谨模型需要事先说明哪些特征应共同保留，哪些特征可以独立变化。</w:t>
      </w:r>
    </w:p>
    <w:p>
      <w:pPr>
        <w:pStyle w:val="BodyText"/>
      </w:pPr>
      <w:r>
        <w:t xml:space="preserve">单细胞分类也具有尺度问题。聚类算法可以把连续的表达变化划为多个类别，样本处理方式也会影响分类结果。某个基因表达偏高可以帮助识别细胞，但不能代替对其轴突投射、膜电性质和突触伙伴的测量</w:t>
      </w:r>
      <w:r>
        <w:rPr>
          <w:vertAlign w:val="superscript"/>
        </w:rPr>
        <w:t xml:space="preserve">[</w:t>
      </w:r>
      <w:hyperlink w:anchor="ref-20">
        <w:r>
          <w:rPr>
            <w:rStyle w:val="Hyperlink"/>
            <w:vertAlign w:val="superscript"/>
          </w:rPr>
          <w:t xml:space="preserve">20</w:t>
        </w:r>
      </w:hyperlink>
      <w:r>
        <w:rPr>
          <w:vertAlign w:val="superscript"/>
        </w:rPr>
        <w:t xml:space="preserve">,</w:t>
      </w:r>
      <w:hyperlink w:anchor="ref-86">
        <w:r>
          <w:rPr>
            <w:rStyle w:val="Hyperlink"/>
            <w:vertAlign w:val="superscript"/>
          </w:rPr>
          <w:t xml:space="preserve">86</w:t>
        </w:r>
      </w:hyperlink>
      <w:r>
        <w:rPr>
          <w:vertAlign w:val="superscript"/>
        </w:rPr>
        <w:t xml:space="preserve">]</w:t>
      </w:r>
      <w:r>
        <w:t xml:space="preserve">。</w:t>
      </w:r>
    </w:p>
    <w:p>
      <w:pPr>
        <w:pStyle w:val="BodyText"/>
      </w:pPr>
      <w:r>
        <w:t xml:space="preserve">对于读者，判断一幅细胞图谱时可以依次问三个问题。样本覆盖哪些物种、年龄和区域？分类依据是表达、形态、电生理还是多种资料？作者声称的是相似性、同源假说，还是已经验证的功能对应？这三个问题的答案不同，允许得出的结论也不同。</w:t>
      </w:r>
    </w:p>
    <w:bookmarkEnd w:id="1334"/>
    <w:bookmarkStart w:id="1335" w:name="sec-72-6"/>
    <w:p>
      <w:pPr>
        <w:pStyle w:val="Heading3"/>
      </w:pPr>
      <w:r>
        <w:t xml:space="preserve">72.6　心理功能不能沿解剖表面直接切分</w:t>
      </w:r>
    </w:p>
    <w:p>
      <w:pPr>
        <w:pStyle w:val="FirstParagraph"/>
      </w:pPr>
      <w:r>
        <w:t xml:space="preserve">“生存”“情绪”“理性”都包含多个过程。寻找食物涉及感知、记忆、价值评估、行动选择和学习；决定是否表达愤怒涉及社会规则、身体状态、预期后果和语言；数学推理也需要注意、工作记忆和动机。若把每类活动全部放入一个区域，许多真实的交互便无法解释</w:t>
      </w:r>
      <w:r>
        <w:rPr>
          <w:vertAlign w:val="superscript"/>
        </w:rPr>
        <w:t xml:space="preserve">[</w:t>
      </w:r>
      <w:hyperlink w:anchor="ref-531">
        <w:r>
          <w:rPr>
            <w:rStyle w:val="Hyperlink"/>
            <w:vertAlign w:val="superscript"/>
          </w:rPr>
          <w:t xml:space="preserve">531</w:t>
        </w:r>
      </w:hyperlink>
      <w:r>
        <w:rPr>
          <w:vertAlign w:val="superscript"/>
        </w:rPr>
        <w:t xml:space="preserve">,</w:t>
      </w:r>
      <w:hyperlink w:anchor="ref-538">
        <w:r>
          <w:rPr>
            <w:rStyle w:val="Hyperlink"/>
            <w:vertAlign w:val="superscript"/>
          </w:rPr>
          <w:t xml:space="preserve">538</w:t>
        </w:r>
      </w:hyperlink>
      <w:r>
        <w:rPr>
          <w:vertAlign w:val="superscript"/>
        </w:rPr>
        <w:t xml:space="preserve">]</w:t>
      </w:r>
      <w:r>
        <w:t xml:space="preserve">。</w:t>
      </w:r>
    </w:p>
    <w:p>
      <w:pPr>
        <w:pStyle w:val="BodyText"/>
      </w:pPr>
      <w:r>
        <w:t xml:space="preserve">这不要求所有区域承担相同功能。不同结构具有不同细胞、输入输出和时间尺度，因而对某些任务更重要。问题是如何从这些差异推到心理功能。局部病损造成某类缺陷，可以支持该结构对任务的重要贡献；它不能证明该结构独自完成全部过程。一个复杂行为通常还依赖输入质量、相关记忆和其他输出通路。</w:t>
      </w:r>
    </w:p>
    <w:p>
      <w:pPr>
        <w:pStyle w:val="BodyText"/>
      </w:pPr>
      <w:r>
        <w:t xml:space="preserve">“新结构控制旧结构”有时能够描述某条具体投射中的调节方向，但不能概括整个脑。反馈可以是双向的，皮层下结构可以通过丘脑影响皮层，皮层也可以改变感觉和运动处理。判断谁影响谁，需要在具体时间窗口和任务中测量或操纵相应通路。把空间上的上下位置直接读成心理上的支配关系，会丢失这种条件性。</w:t>
      </w:r>
    </w:p>
    <w:bookmarkEnd w:id="1335"/>
    <w:bookmarkStart w:id="1336" w:name="sec-72-7"/>
    <w:p>
      <w:pPr>
        <w:pStyle w:val="Heading3"/>
      </w:pPr>
      <w:r>
        <w:t xml:space="preserve">72.7　一个能够区分解释的假设实验</w:t>
      </w:r>
    </w:p>
    <w:p>
      <w:pPr>
        <w:pStyle w:val="FirstParagraph"/>
      </w:pPr>
      <w:r>
        <w:t xml:space="preserve">以下是假设研究设计，用于展示论证方法。某模型声称，压力只会降低一个理性层的活动，并使独立的情绪层接管。另一模型声称，压力改变任务相关表征的稳定性、感觉优先级和行动阈值。研究者可以在相同压力条件下比较规则维持、威胁识别和熟练动作三类任务，并测量时间分辨的活动模式。</w:t>
      </w:r>
    </w:p>
    <w:p>
      <w:pPr>
        <w:pStyle w:val="BodyText"/>
      </w:pPr>
      <w:r>
        <w:t xml:space="preserve">如果第一种模型要保留“整体接管”含义，它应预先说明哪些活动会一致降低，哪些行为会一致增强。如果不同控制任务出现不同方向的变化、前额叶某些信号增强且另一些减弱，模型需要实质修订。第二种模型则要对具体表征和时间窗口给出预测；不能在任何结果出现后，都用“网络复杂”解释过去。</w:t>
      </w:r>
    </w:p>
    <w:p>
      <w:pPr>
        <w:pStyle w:val="BodyText"/>
      </w:pPr>
      <w:r>
        <w:t xml:space="preserve">这一设计强调，批评简单模型并不能自动证明复杂模型。多区域模型同样要承担预测责任。它应指定何种操作改变何种信号、这些变化怎样影响行为，以及哪些结果将迫使研究者放弃当前解释。</w:t>
      </w:r>
    </w:p>
    <w:bookmarkEnd w:id="1336"/>
    <w:bookmarkStart w:id="1337" w:name="sec-72-8"/>
    <w:p>
      <w:pPr>
        <w:pStyle w:val="Heading3"/>
      </w:pPr>
      <w:r>
        <w:t xml:space="preserve">72.8　教学和自我理解中的正确用法</w:t>
      </w:r>
    </w:p>
    <w:p>
      <w:pPr>
        <w:pStyle w:val="FirstParagraph"/>
      </w:pPr>
      <w:r>
        <w:t xml:space="preserve">演化知识可以帮助人理解某些反应具有生物基础，但不能据此给行为贴上不可改变的标签。某种反应有保守机制，与它能否通过学习、环境调整或治疗改变，是两个需要不同证据的问题。一个历史上出现较晚的功能也可能在特定情境中表现不可靠。</w:t>
      </w:r>
    </w:p>
    <w:p>
      <w:pPr>
        <w:pStyle w:val="BodyText"/>
      </w:pPr>
      <w:r>
        <w:t xml:space="preserve">在教育或心理交流中，简化图示的作用应当可说明。它可以帮助人记住强烈压力时有时需要减少刺激、增加思考时间。但如果图示进一步声称已经识别一颗“爬虫脑”，或能够通过特定动作关闭它，就增加了没有得到支持的解剖与干预承诺。图示的易懂程度无法承担这些承诺的举证责任。</w:t>
      </w:r>
    </w:p>
    <w:p>
      <w:pPr>
        <w:pStyle w:val="BodyText"/>
      </w:pPr>
      <w:r>
        <w:t xml:space="preserve">较精确的表达是：不同脑结构具有可比较的演化和发育历史，它们通过连接共同参与行为。对于一次具体行为，解释应落实到任务、输入、学习史、身体状态和回路操作。仅用“古老脑赢了”命名现象，几乎没有增加能够检验的信息。</w:t>
      </w:r>
    </w:p>
    <w:bookmarkEnd w:id="1337"/>
    <w:bookmarkStart w:id="1338" w:name="sec-72-9"/>
    <w:p>
      <w:pPr>
        <w:pStyle w:val="Heading3"/>
      </w:pPr>
      <w:r>
        <w:t xml:space="preserve">72.9　发育来源如何限制演化假说</w:t>
      </w:r>
    </w:p>
    <w:p>
      <w:pPr>
        <w:pStyle w:val="FirstParagraph"/>
      </w:pPr>
      <w:r>
        <w:t xml:space="preserve">成年脑的形状只是演化比较的一类信息。胚胎中的区域化、细胞出生位置、迁移路线和基因调控，为同源假说提供另一组约束。若两个成年结构看起来相似，却来自明显不同的发育程序，研究者需要解释这种差异；若成年外观差异很大，却共享发育与分子特征，则不能只凭外观排除共同来源</w:t>
      </w:r>
      <w:r>
        <w:rPr>
          <w:vertAlign w:val="superscript"/>
        </w:rPr>
        <w:t xml:space="preserve">[</w:t>
      </w:r>
      <w:hyperlink w:anchor="ref-20">
        <w:r>
          <w:rPr>
            <w:rStyle w:val="Hyperlink"/>
            <w:vertAlign w:val="superscript"/>
          </w:rPr>
          <w:t xml:space="preserve">20</w:t>
        </w:r>
      </w:hyperlink>
      <w:r>
        <w:rPr>
          <w:vertAlign w:val="superscript"/>
        </w:rPr>
        <w:t xml:space="preserve">]</w:t>
      </w:r>
      <w:r>
        <w:t xml:space="preserve">。</w:t>
      </w:r>
    </w:p>
    <w:p>
      <w:pPr>
        <w:pStyle w:val="BodyText"/>
      </w:pPr>
      <w:r>
        <w:t xml:space="preserve">神经组织的发育包含增殖、命运决定、迁移、分化、轴突导向、突触形成与后续重塑等过程。演化改变可以作用于其中任一步骤。例如，延长某类祖细胞的增殖时段，可能改变细胞数量；改变迁移方式，可能改变空间排列；改变轴突导向或受体表达，可能改变连接。这些机制能产生形态创新，未必需要添加一颗完整的新脑。</w:t>
      </w:r>
    </w:p>
    <w:p>
      <w:pPr>
        <w:pStyle w:val="BodyText"/>
      </w:pPr>
      <w:r>
        <w:t xml:space="preserve">一个重要的因果区别是细胞数量变化与细胞类型变化。某区域变大可以因为原有类型更多，也可以因为增加新的类型或改变细胞大小与纤维比例。不同机制对计算的预测不同。若只测体积，无法在它们之间作选择。需要细胞计数、形态、表达和连接资料共同判断。</w:t>
      </w:r>
    </w:p>
    <w:p>
      <w:pPr>
        <w:pStyle w:val="BodyText"/>
      </w:pPr>
      <w:r>
        <w:t xml:space="preserve">发育时间也具有多重作用。出生顺序可以与细胞位置和连接有关，但时间相关不自动证明出生顺序单独决定命运。细胞所处微环境、信号梯度和迁移经历也可能参与。实验需要改变特定发育环节并观察后果，才可以从相关的时间图谱走向机制。</w:t>
      </w:r>
    </w:p>
    <w:p>
      <w:pPr>
        <w:pStyle w:val="BodyText"/>
      </w:pPr>
      <w:r>
        <w:t xml:space="preserve">对于人类研究，直接操作受伦理和可行性限制。研究者会结合自然遗传差异、人体组织、类器官和动物实验。各材料提供不同层次信息。类器官可以帮助研究某些细胞发育过程，但缺少完整身体、成熟输入输出及长期经验，不能被当作一个等比例的人脑。</w:t>
      </w:r>
    </w:p>
    <w:bookmarkEnd w:id="1338"/>
    <w:bookmarkStart w:id="1339" w:name="sec-72-10"/>
    <w:p>
      <w:pPr>
        <w:pStyle w:val="Heading3"/>
      </w:pPr>
      <w:r>
        <w:t xml:space="preserve">72.10　保守细胞与新计算如何同时出现</w:t>
      </w:r>
    </w:p>
    <w:p>
      <w:pPr>
        <w:pStyle w:val="FirstParagraph"/>
      </w:pPr>
      <w:r>
        <w:t xml:space="preserve">共享细胞类别不要求共享全部行为。网络功能受到细胞数量、连接对象、突触强度和时序影响。同类细胞在不同连接组织中可以参与不同计算，较新的行为也可能利用较古老的机制组合。因此，从某个保守分子或细胞推到某种固定心理能力，需要额外连接证据。</w:t>
      </w:r>
    </w:p>
    <w:p>
      <w:pPr>
        <w:pStyle w:val="BodyText"/>
      </w:pPr>
      <w:r>
        <w:t xml:space="preserve">这里可以用一个原创的抽象网络例子说明。假设三类细胞分别偏向输入整合、局部抑制和输出。若输出主要由当前感觉驱动，网络可能快速反应；若加入能维持活动的反馈联系，它可能保留先前信息；若再受到任务规则输入调节，相同感觉可以触发不同输出。细胞种类没有必然增加，网络的可实现行为已经变化。这个例子说明连接组织为何不能从细胞标签中省略。</w:t>
      </w:r>
    </w:p>
    <w:p>
      <w:pPr>
        <w:pStyle w:val="BodyText"/>
      </w:pPr>
      <w:r>
        <w:t xml:space="preserve">反方向也成立。新细胞类型出现，不自动保证某种新认知能力。它可能改善代谢、发育稳健性、感觉分辨或传导时序。确定功能需要记录和操作，不能用“新”直接推导“理性”。演化解释的难点恰好在于把历史变化与功能变化连接起来。</w:t>
      </w:r>
    </w:p>
    <w:bookmarkEnd w:id="1339"/>
    <w:bookmarkStart w:id="1340" w:name="sec-72-11"/>
    <w:p>
      <w:pPr>
        <w:pStyle w:val="Heading3"/>
      </w:pPr>
      <w:r>
        <w:t xml:space="preserve">72.11　同源性不能依靠单一标记裁决</w:t>
      </w:r>
    </w:p>
    <w:p>
      <w:pPr>
        <w:pStyle w:val="FirstParagraph"/>
      </w:pPr>
      <w:r>
        <w:t xml:space="preserve">一个标记基因可以在多类细胞中表达，也可能随状态、年龄和物种变化。单一标记一致，支持相似性的力度有限；标记不同，也不必证明没有同源关系。更稳健的比较使用多基因程序，并结合解剖位置、发育与电生理等资料</w:t>
      </w:r>
      <w:r>
        <w:rPr>
          <w:vertAlign w:val="superscript"/>
        </w:rPr>
        <w:t xml:space="preserve">[</w:t>
      </w:r>
      <w:hyperlink w:anchor="ref-20">
        <w:r>
          <w:rPr>
            <w:rStyle w:val="Hyperlink"/>
            <w:vertAlign w:val="superscript"/>
          </w:rPr>
          <w:t xml:space="preserve">20</w:t>
        </w:r>
      </w:hyperlink>
      <w:r>
        <w:rPr>
          <w:vertAlign w:val="superscript"/>
        </w:rPr>
        <w:t xml:space="preserve">]</w:t>
      </w:r>
      <w:r>
        <w:t xml:space="preserve">。</w:t>
      </w:r>
    </w:p>
    <w:p>
      <w:pPr>
        <w:pStyle w:val="BodyText"/>
      </w:pPr>
      <w:r>
        <w:t xml:space="preserve">跨物种表达比较还要处理基因的一对一对应、测序深度和取样差异。若一个物种只采到浅层组织，另一个采到整个区域，聚类差异可能来自覆盖范围。若某类细胞很稀少，未检出也不能直接等同于不存在。证据报告应说明检测能力与样本范围。</w:t>
      </w:r>
    </w:p>
    <w:p>
      <w:pPr>
        <w:pStyle w:val="BodyText"/>
      </w:pPr>
      <w:r>
        <w:t xml:space="preserve">算法对齐会引入先验假设。强制每个细胞类型在另一物种找到一个对应，可能掩盖真实创新；完全不允许对应，又可能夸大差异。研究者需要检验不同合理分析选择是否改变结论，并用独立资料验证关键对应。</w:t>
      </w:r>
    </w:p>
    <w:bookmarkEnd w:id="1340"/>
    <w:bookmarkStart w:id="1341" w:name="sec-72-12"/>
    <w:p>
      <w:pPr>
        <w:pStyle w:val="Heading3"/>
      </w:pPr>
      <w:r>
        <w:t xml:space="preserve">72.12　适应解释与约束解释</w:t>
      </w:r>
    </w:p>
    <w:p>
      <w:pPr>
        <w:pStyle w:val="FirstParagraph"/>
      </w:pPr>
      <w:r>
        <w:t xml:space="preserve">某个特征可以因选择优势被保留，也可能是发育约束、物理限制或其他变化的伴随结果。看到一种结构与某种行为共同出现，无法立即宣布该结构就是为此行为演化。需要比较相关支系、时间顺序与替代解释。</w:t>
      </w:r>
    </w:p>
    <w:p>
      <w:pPr>
        <w:pStyle w:val="BodyText"/>
      </w:pPr>
      <w:r>
        <w:t xml:space="preserve">系统发育比较还要避免把共享祖先当作独立重复。两个近缘物种具有相似脑结构和行为，可能主要继承共同祖先；它们不能简单算成两次完全独立的适应事件。适当方法需要把谱系相关纳入分析，才有机会估计结构与生态变量的关系。</w:t>
      </w:r>
    </w:p>
    <w:p>
      <w:pPr>
        <w:pStyle w:val="BodyText"/>
      </w:pPr>
      <w:r>
        <w:t xml:space="preserve">一个严谨的适应假说应提出可失败的预测。例如，若某类空间需求推动某结构改变，应在控制体型和谱系后，仍观察到预期关系，并且功能实验显示相关结构对该需求有贡献。若只在成功案例中寻找解释，假说很容易事后适配任何结果。</w:t>
      </w:r>
    </w:p>
    <w:bookmarkEnd w:id="1341"/>
    <w:bookmarkStart w:id="1342" w:name="sec-72-13"/>
    <w:p>
      <w:pPr>
        <w:pStyle w:val="Heading3"/>
      </w:pPr>
      <w:r>
        <w:t xml:space="preserve">72.13　功能层级与道德等级没有直接关系</w:t>
      </w:r>
    </w:p>
    <w:p>
      <w:pPr>
        <w:pStyle w:val="FirstParagraph"/>
      </w:pPr>
      <w:r>
        <w:t xml:space="preserve">神经系统可以具有层级组织，局部回路、跨区域联系和较广泛调节以不同尺度运行。这里的层级是关于信息关系和时间尺度的描述。它不能直接转换为行为的道德好坏，也不能把皮层下过程定义为低劣。</w:t>
      </w:r>
    </w:p>
    <w:p>
      <w:pPr>
        <w:pStyle w:val="BodyText"/>
      </w:pPr>
      <w:r>
        <w:t xml:space="preserve">例如，快速防御在真实危险中可能具有价值，缓慢推理也可能建立在错误前提上。评价行为需要目标与后果标准。神经位置告诉我们实现条件的一部分，不提供价值结论。这一边界对于避免用脑科学合理化偏见尤其重要。</w:t>
      </w:r>
    </w:p>
    <w:bookmarkEnd w:id="1342"/>
    <w:bookmarkStart w:id="1343" w:name="sec-72-14"/>
    <w:p>
      <w:pPr>
        <w:pStyle w:val="Heading3"/>
      </w:pPr>
      <w:r>
        <w:t xml:space="preserve">72.14　分子改变可以重设既有回路的工作范围</w:t>
      </w:r>
    </w:p>
    <w:p>
      <w:pPr>
        <w:pStyle w:val="FirstParagraph"/>
      </w:pPr>
      <w:r>
        <w:t xml:space="preserve">演化创新可以发生在已有细胞的亚细胞区室中。LRRC37B相关研究把某些人类皮层神经元的轴突初始段分子组成与兴奋性联系起来，并在异源表达和人脑切片中检验其作用。这项工作提供了从基因、蛋白位置到膜生理的具体联系；它没有证明一个基因可以单独解释人类推理或语言，也没有给整个物种赋予统一的兴奋性高低</w:t>
      </w:r>
      <w:r>
        <w:rPr>
          <w:vertAlign w:val="superscript"/>
        </w:rPr>
        <w:t xml:space="preserve">[</w:t>
      </w:r>
      <w:hyperlink w:anchor="ref-666">
        <w:r>
          <w:rPr>
            <w:rStyle w:val="Hyperlink"/>
            <w:vertAlign w:val="superscript"/>
          </w:rPr>
          <w:t xml:space="preserve">666</w:t>
        </w:r>
      </w:hyperlink>
      <w:r>
        <w:rPr>
          <w:vertAlign w:val="superscript"/>
        </w:rPr>
        <w:t xml:space="preserve">]</w:t>
      </w:r>
      <w:r>
        <w:t xml:space="preserve">。</w:t>
      </w:r>
    </w:p>
    <w:p>
      <w:pPr>
        <w:pStyle w:val="BodyText"/>
      </w:pPr>
      <w:r>
        <w:t xml:space="preserve">这一例子提示一种可操作的演化推理。若一个分子改变轴突初始段对输入的响应，首先可以预测发放阈值、输入输出关系或时间精度发生变化。接下来要研究这种变化出现于哪些细胞、这些细胞接收什么输入、它们的轴突到达哪里。只有把这些层级连接起来，才有理由提出特定回路计算改变的假设。跨越中间层级直接命名高级心理能力，会失去可检验的机制链。</w:t>
      </w:r>
    </w:p>
    <w:p>
      <w:pPr>
        <w:pStyle w:val="BodyText"/>
      </w:pPr>
      <w:r>
        <w:t xml:space="preserve">神经元兴奋性降低也不自动表示计算能力下降。假设一个局部网络存在很多弱而无关的输入，较高阈值可能限制这些输入进入输出；假设任务需要检测极弱的单次事件，同样的改变又可能降低敏感度。结果取决于输入分布、回路补偿及行为目标。这个教学推导说明，演化比较中的大、小、快、慢都需要在具体功能条件下解释。</w:t>
      </w:r>
    </w:p>
    <w:bookmarkEnd w:id="1343"/>
    <w:bookmarkStart w:id="1344" w:name="sec-72-15"/>
    <w:p>
      <w:pPr>
        <w:pStyle w:val="Heading3"/>
      </w:pPr>
      <w:r>
        <w:t xml:space="preserve">72.15　组织扩张需要同时解决运输与布线问题</w:t>
      </w:r>
    </w:p>
    <w:p>
      <w:pPr>
        <w:pStyle w:val="FirstParagraph"/>
      </w:pPr>
      <w:r>
        <w:t xml:space="preserve">当某一脑区扩张时，轴突距离、细胞间相对位置和代谢需求都可能改变。更远距离的联系需要考虑传导时间、髓鞘和轴突直径；更复杂的树突结构需要在膜面积、衰减和代谢维护之间取得可行状态。血管和胶质也必须支持新增组织。扩大细胞数量只是系统变化的一部分</w:t>
      </w:r>
      <w:r>
        <w:rPr>
          <w:vertAlign w:val="superscript"/>
        </w:rPr>
        <w:t xml:space="preserve">[</w:t>
      </w:r>
      <w:hyperlink w:anchor="ref-98">
        <w:r>
          <w:rPr>
            <w:rStyle w:val="Hyperlink"/>
            <w:vertAlign w:val="superscript"/>
          </w:rPr>
          <w:t xml:space="preserve">98</w:t>
        </w:r>
      </w:hyperlink>
      <w:r>
        <w:rPr>
          <w:vertAlign w:val="superscript"/>
        </w:rPr>
        <w:t xml:space="preserve">,</w:t>
      </w:r>
      <w:hyperlink w:anchor="ref-101">
        <w:r>
          <w:rPr>
            <w:rStyle w:val="Hyperlink"/>
            <w:vertAlign w:val="superscript"/>
          </w:rPr>
          <w:t xml:space="preserve">101</w:t>
        </w:r>
      </w:hyperlink>
      <w:r>
        <w:rPr>
          <w:vertAlign w:val="superscript"/>
        </w:rPr>
        <w:t xml:space="preserve">,</w:t>
      </w:r>
      <w:hyperlink w:anchor="ref-111">
        <w:r>
          <w:rPr>
            <w:rStyle w:val="Hyperlink"/>
            <w:vertAlign w:val="superscript"/>
          </w:rPr>
          <w:t xml:space="preserve">111</w:t>
        </w:r>
      </w:hyperlink>
      <w:r>
        <w:rPr>
          <w:vertAlign w:val="superscript"/>
        </w:rPr>
        <w:t xml:space="preserve">]</w:t>
      </w:r>
      <w:r>
        <w:t xml:space="preserve">。</w:t>
      </w:r>
    </w:p>
    <w:p>
      <w:pPr>
        <w:pStyle w:val="BodyText"/>
      </w:pPr>
      <w:r>
        <w:t xml:space="preserve">可提出一个明确的推论：如果两个物种的局部细胞性质相近，但脑区之间距离不同，它们仍可能需要不同的时间协调策略。若只比较单细胞基因表达，容易遗漏这种空间约束；若只比较脑区体积，又容易遗漏相同体积内部的细胞差异。比较演化研究应同时保留分子、细胞、连接与身体尺度，才能解释多种结构变化为何可以共同产生稳定行为。</w:t>
      </w:r>
    </w:p>
    <w:bookmarkEnd w:id="1344"/>
    <w:bookmarkStart w:id="1345" w:name="sec-72-16"/>
    <w:p>
      <w:pPr>
        <w:pStyle w:val="Heading3"/>
      </w:pPr>
      <w:r>
        <w:t xml:space="preserve">72.16　可改变本章结论的证据类型</w:t>
      </w:r>
    </w:p>
    <w:p>
      <w:pPr>
        <w:pStyle w:val="FirstParagraph"/>
      </w:pPr>
      <w:r>
        <w:t xml:space="preserve">如果有人希望恢复某种三层模型，需要给出清楚的新版本：每层的成员、发育来源、功能边界和信息交互分别是什么，并说明它在何种数据上优于其他模型。一个被严格重新定义的局部层级模型可以值得研究，但它的成功范围应按预测界定，不能借用旧叙事的全部含义。</w:t>
      </w:r>
    </w:p>
    <w:p>
      <w:pPr>
        <w:pStyle w:val="BodyText"/>
      </w:pPr>
      <w:r>
        <w:t xml:space="preserve">相反，新的单细胞或连接组资料也不应被宣布为演化问题已经解决。图谱增加了可比较特征，功能与历史解释仍需多种证据。研究进展的标志，是可排除的解释越来越多，未确定的对应关系越来越清楚。</w:t>
      </w:r>
    </w:p>
    <w:bookmarkEnd w:id="1345"/>
    <w:bookmarkStart w:id="1346" w:name="sec-72-17"/>
    <w:p>
      <w:pPr>
        <w:pStyle w:val="Heading3"/>
      </w:pPr>
      <w:r>
        <w:t xml:space="preserve">72.17　本章结论与开放问题</w:t>
      </w:r>
    </w:p>
    <w:p>
      <w:pPr>
        <w:pStyle w:val="FirstParagraph"/>
      </w:pPr>
      <w:r>
        <w:t xml:space="preserve">三颗独立功能脑按顺序套叠的强版本，与比较解剖、发育及细胞资料不相容，判断置信度高。区域的真实分工、某些功能的层级组织和祖先机制的保守性仍应保留。最值得继续研究的问题包括，细胞类型怎样产生新的连接组织，发育程序如何改变区域大小，以及相似计算能否在不同组织形式中实现。这些问题都允许提出具体证据要求</w:t>
      </w:r>
      <w:r>
        <w:rPr>
          <w:vertAlign w:val="superscript"/>
        </w:rPr>
        <w:t xml:space="preserve">[</w:t>
      </w:r>
      <w:hyperlink w:anchor="ref-20">
        <w:r>
          <w:rPr>
            <w:rStyle w:val="Hyperlink"/>
            <w:vertAlign w:val="superscript"/>
          </w:rPr>
          <w:t xml:space="preserve">20</w:t>
        </w:r>
      </w:hyperlink>
      <w:r>
        <w:rPr>
          <w:vertAlign w:val="superscript"/>
        </w:rPr>
        <w:t xml:space="preserve">,</w:t>
      </w:r>
      <w:hyperlink w:anchor="ref-86">
        <w:r>
          <w:rPr>
            <w:rStyle w:val="Hyperlink"/>
            <w:vertAlign w:val="superscript"/>
          </w:rPr>
          <w:t xml:space="preserve">86</w:t>
        </w:r>
      </w:hyperlink>
      <w:r>
        <w:rPr>
          <w:vertAlign w:val="superscript"/>
        </w:rPr>
        <w:t xml:space="preserve">,</w:t>
      </w:r>
      <w:hyperlink w:anchor="ref-664">
        <w:r>
          <w:rPr>
            <w:rStyle w:val="Hyperlink"/>
            <w:vertAlign w:val="superscript"/>
          </w:rPr>
          <w:t xml:space="preserve">664</w:t>
        </w:r>
      </w:hyperlink>
      <w:r>
        <w:rPr>
          <w:vertAlign w:val="superscript"/>
        </w:rPr>
        <w:t xml:space="preserve">]</w:t>
      </w:r>
      <w:r>
        <w:t xml:space="preserve">。</w:t>
      </w:r>
    </w:p>
    <w:bookmarkEnd w:id="1346"/>
    <w:bookmarkEnd w:id="1347"/>
    <w:bookmarkStart w:id="1367" w:name="ch-73"/>
    <w:p>
      <w:pPr>
        <w:pStyle w:val="Heading2"/>
      </w:pPr>
      <w:r>
        <w:t xml:space="preserve">第73章　左脑、右脑与“左右脑人格”</w:t>
      </w:r>
    </w:p>
    <w:bookmarkStart w:id="1348" w:name="sec-73-1"/>
    <w:p>
      <w:pPr>
        <w:pStyle w:val="Heading3"/>
      </w:pPr>
      <w:r>
        <w:t xml:space="preserve">73.1　从裂脑研究到“右脑开发”</w:t>
      </w:r>
    </w:p>
    <w:p>
      <w:pPr>
        <w:pStyle w:val="FirstParagraph"/>
      </w:pPr>
      <w:r>
        <w:t xml:space="preserve">罗杰·斯佩里（Roger Sperry）等人研究了为治疗癫痫而切断胼胝体的“裂脑”病人，发现两半球在某些任务上有分工，斯佩里因此获得 1981 年诺贝尔奖</w:t>
      </w:r>
      <w:r>
        <w:rPr>
          <w:vertAlign w:val="superscript"/>
        </w:rPr>
        <w:t xml:space="preserve">[</w:t>
      </w:r>
      <w:hyperlink w:anchor="ref-667">
        <w:r>
          <w:rPr>
            <w:rStyle w:val="Hyperlink"/>
            <w:vertAlign w:val="superscript"/>
          </w:rPr>
          <w:t xml:space="preserve">667</w:t>
        </w:r>
      </w:hyperlink>
      <w:r>
        <w:rPr>
          <w:vertAlign w:val="superscript"/>
        </w:rPr>
        <w:t xml:space="preserve">]</w:t>
      </w:r>
      <w:r>
        <w:t xml:space="preserve">。流行文化把它发展成两种性格：“左脑型的人理性、擅长逻辑，右脑型的人感性、有创造力”。中文语境里还有一个变体：“左脑管抽象思维，右脑管形象思维”，并衍生出面向儿童的“右脑开发”“全脑开发”课程，有学者称这种分型是“彻头彻尾的伪科学”</w:t>
      </w:r>
      <w:r>
        <w:rPr>
          <w:vertAlign w:val="superscript"/>
        </w:rPr>
        <w:t xml:space="preserve">[</w:t>
      </w:r>
      <w:hyperlink w:anchor="ref-668">
        <w:r>
          <w:rPr>
            <w:rStyle w:val="Hyperlink"/>
            <w:vertAlign w:val="superscript"/>
          </w:rPr>
          <w:t xml:space="preserve">668</w:t>
        </w:r>
      </w:hyperlink>
      <w:r>
        <w:rPr>
          <w:vertAlign w:val="superscript"/>
        </w:rPr>
        <w:t xml:space="preserve">]</w:t>
      </w:r>
      <w:r>
        <w:t xml:space="preserve">。</w:t>
      </w:r>
    </w:p>
    <w:p>
      <w:pPr>
        <w:pStyle w:val="BodyText"/>
      </w:pPr>
      <w:r>
        <w:t xml:space="preserve">偏侧化确实存在。多数人的语言加工主要依赖左半球，这一比例随用手习惯而变：语言由右半球主导的比例，在强右利手中约 4%，在强左利手中约 27%</w:t>
      </w:r>
      <w:r>
        <w:rPr>
          <w:vertAlign w:val="superscript"/>
        </w:rPr>
        <w:t xml:space="preserve">[</w:t>
      </w:r>
      <w:hyperlink w:anchor="ref-669">
        <w:r>
          <w:rPr>
            <w:rStyle w:val="Hyperlink"/>
            <w:vertAlign w:val="superscript"/>
          </w:rPr>
          <w:t xml:space="preserve">669</w:t>
        </w:r>
      </w:hyperlink>
      <w:r>
        <w:rPr>
          <w:vertAlign w:val="superscript"/>
        </w:rPr>
        <w:t xml:space="preserve">]</w:t>
      </w:r>
      <w:r>
        <w:t xml:space="preserve">，这是一项 326 名健康人的研究用经颅多普勒和词语生成任务测得的数字，换了任务和测量方法，比例会不同。人群却分不出“左脑型”和“右脑型”：一项 1011 人的静息态研究发现，偏侧化是局部网络的属性，个体并不表现为整个大脑偏向某一侧</w:t>
      </w:r>
      <w:r>
        <w:rPr>
          <w:vertAlign w:val="superscript"/>
        </w:rPr>
        <w:t xml:space="preserve">[</w:t>
      </w:r>
      <w:hyperlink w:anchor="ref-670">
        <w:r>
          <w:rPr>
            <w:rStyle w:val="Hyperlink"/>
            <w:vertAlign w:val="superscript"/>
          </w:rPr>
          <w:t xml:space="preserve">670</w:t>
        </w:r>
      </w:hyperlink>
      <w:r>
        <w:rPr>
          <w:vertAlign w:val="superscript"/>
        </w:rPr>
        <w:t xml:space="preserve">]</w:t>
      </w:r>
      <w:r>
        <w:t xml:space="preserve">（这项研究的设计与边界见</w:t>
      </w:r>
      <w:r>
        <w:t xml:space="preserve"> </w:t>
      </w:r>
      <w:hyperlink w:anchor="sec-73-4">
        <w:r>
          <w:rPr>
            <w:rStyle w:val="Hyperlink"/>
          </w:rPr>
          <w:t xml:space="preserve">73.4</w:t>
        </w:r>
      </w:hyperlink>
      <w:r>
        <w:t xml:space="preserve">）。它与语言、空间注意、面孔加工等局部偏侧化的证据合起来，足以否定流行的两型人格模型。一篇综述概括说，脑成像显示创造性思维激活一个分布在两侧半球的大范围网络</w:t>
      </w:r>
      <w:r>
        <w:rPr>
          <w:vertAlign w:val="superscript"/>
        </w:rPr>
        <w:t xml:space="preserve">[</w:t>
      </w:r>
      <w:hyperlink w:anchor="ref-671">
        <w:r>
          <w:rPr>
            <w:rStyle w:val="Hyperlink"/>
            <w:vertAlign w:val="superscript"/>
          </w:rPr>
          <w:t xml:space="preserve">671</w:t>
        </w:r>
      </w:hyperlink>
      <w:r>
        <w:rPr>
          <w:vertAlign w:val="superscript"/>
        </w:rPr>
        <w:t xml:space="preserve">]</w:t>
      </w:r>
      <w:r>
        <w:t xml:space="preserve">。据此推不出人可以分成“逻辑左脑”和“创意右脑”两类，不同的创造性过程仍可能各有一定的偏侧化；职业数学家思考高等数学时，激活的也是双侧额叶、顶内沟和腹外侧颞叶</w:t>
      </w:r>
      <w:r>
        <w:rPr>
          <w:vertAlign w:val="superscript"/>
        </w:rPr>
        <w:t xml:space="preserve">[</w:t>
      </w:r>
      <w:hyperlink w:anchor="ref-672">
        <w:r>
          <w:rPr>
            <w:rStyle w:val="Hyperlink"/>
            <w:vertAlign w:val="superscript"/>
          </w:rPr>
          <w:t xml:space="preserve">672</w:t>
        </w:r>
      </w:hyperlink>
      <w:r>
        <w:rPr>
          <w:vertAlign w:val="superscript"/>
        </w:rPr>
        <w:t xml:space="preserve">]</w:t>
      </w:r>
      <w:r>
        <w:t xml:space="preserve">。情绪加工在灵长类中普遍带有一定的右半球优势</w:t>
      </w:r>
      <w:r>
        <w:rPr>
          <w:vertAlign w:val="superscript"/>
        </w:rPr>
        <w:t xml:space="preserve">[</w:t>
      </w:r>
      <w:hyperlink w:anchor="ref-671">
        <w:r>
          <w:rPr>
            <w:rStyle w:val="Hyperlink"/>
            <w:vertAlign w:val="superscript"/>
          </w:rPr>
          <w:t xml:space="preserve">671</w:t>
        </w:r>
      </w:hyperlink>
      <w:r>
        <w:rPr>
          <w:vertAlign w:val="superscript"/>
        </w:rPr>
        <w:t xml:space="preserve">]</w:t>
      </w:r>
      <w:r>
        <w:t xml:space="preserve">，这是局部功能的偏侧化，同样推不出存在“右脑型”的人。即便是裂脑研究本身，也比教科书讲的复杂：两名胼胝体完全切断的病人，用任何一只手或任何方式回应，都能觉察整个视野中的刺激；作者据此认为，知觉被分开了，意识并没有被一分为二</w:t>
      </w:r>
      <w:r>
        <w:rPr>
          <w:vertAlign w:val="superscript"/>
        </w:rPr>
        <w:t xml:space="preserve">[</w:t>
      </w:r>
      <w:hyperlink w:anchor="ref-673">
        <w:r>
          <w:rPr>
            <w:rStyle w:val="Hyperlink"/>
            <w:vertAlign w:val="superscript"/>
          </w:rPr>
          <w:t xml:space="preserve">673</w:t>
        </w:r>
      </w:hyperlink>
      <w:r>
        <w:rPr>
          <w:vertAlign w:val="superscript"/>
        </w:rPr>
        <w:t xml:space="preserve">]</w:t>
      </w:r>
      <w:r>
        <w:t xml:space="preserve">，这一解释仍有争议。</w:t>
      </w:r>
    </w:p>
    <w:p>
      <w:pPr>
        <w:pStyle w:val="CalloutJudgment"/>
      </w:pPr>
      <w:r>
        <w:rPr>
          <w:bCs/>
          <w:b/>
        </w:rPr>
        <w:t xml:space="preserve">判断　</w:t>
      </w:r>
      <w:r>
        <w:t xml:space="preserve">“左脑人／右脑人”“左脑抽象、右脑形象”</w:t>
      </w:r>
      <w:r>
        <w:rPr>
          <w:bCs/>
          <w:b/>
        </w:rPr>
        <w:t xml:space="preserve">错误·高</w:t>
      </w:r>
      <w:r>
        <w:t xml:space="preserve">；“两半球在部分功能上有侧重”</w:t>
      </w:r>
      <w:r>
        <w:rPr>
          <w:bCs/>
          <w:b/>
        </w:rPr>
        <w:t xml:space="preserve">成立·高</w:t>
      </w:r>
      <w:r>
        <w:t xml:space="preserve">。</w:t>
      </w:r>
    </w:p>
    <w:bookmarkEnd w:id="1348"/>
    <w:bookmarkStart w:id="1349" w:name="sec-73-2"/>
    <w:p>
      <w:pPr>
        <w:pStyle w:val="Heading3"/>
      </w:pPr>
      <w:r>
        <w:t xml:space="preserve">73.2　真实的侧化与未经验证的人格分类</w:t>
      </w:r>
    </w:p>
    <w:p>
      <w:pPr>
        <w:pStyle w:val="FirstParagraph"/>
      </w:pPr>
      <w:r>
        <w:t xml:space="preserve">人脑某些功能存在半球侧化，证据置信度高；把整个人分成逻辑型左脑人和创意型右脑人，缺少相应的分类与预测证据。两句话可以同时成立。侧化描述具体任务、区域或连接中的不对称，不能自动变成一个人的全部认知身份</w:t>
      </w:r>
      <w:r>
        <w:rPr>
          <w:vertAlign w:val="superscript"/>
        </w:rPr>
        <w:t xml:space="preserve">[</w:t>
      </w:r>
      <w:hyperlink w:anchor="ref-670">
        <w:r>
          <w:rPr>
            <w:rStyle w:val="Hyperlink"/>
            <w:vertAlign w:val="superscript"/>
          </w:rPr>
          <w:t xml:space="preserve">670</w:t>
        </w:r>
      </w:hyperlink>
      <w:r>
        <w:rPr>
          <w:vertAlign w:val="superscript"/>
        </w:rPr>
        <w:t xml:space="preserve">,</w:t>
      </w:r>
      <w:hyperlink w:anchor="ref-674">
        <w:r>
          <w:rPr>
            <w:rStyle w:val="Hyperlink"/>
            <w:vertAlign w:val="superscript"/>
          </w:rPr>
          <w:t xml:space="preserve">674</w:t>
        </w:r>
      </w:hyperlink>
      <w:r>
        <w:rPr>
          <w:vertAlign w:val="superscript"/>
        </w:rPr>
        <w:t xml:space="preserve">]</w:t>
      </w:r>
      <w:r>
        <w:t xml:space="preserve">。</w:t>
      </w:r>
    </w:p>
    <w:p>
      <w:pPr>
        <w:pStyle w:val="BodyText"/>
      </w:pPr>
      <w:r>
        <w:t xml:space="preserve">“优势”需要明确参照。如果语言任务中某一侧的平均信号更强，优势指该任务条件下的相对差异；如果某一侧病损更容易造成语言困难，优势涉及损伤对功能的影响。这两个指标有关联，但测量原理不同。它们都不能直接推出这一侧更聪明、更发达，或在所有活动中更有支配力。</w:t>
      </w:r>
    </w:p>
    <w:p>
      <w:pPr>
        <w:pStyle w:val="BodyText"/>
      </w:pPr>
      <w:r>
        <w:t xml:space="preserve">同一个人可以在语言某些方面较左侧化，在空间注意某些方面较右侧化，也可以在一个任务的不同阶段使用不同组合。人格分类若声称存在整体偏向，就必须展示跨任务和跨时间的稳定共同变化。仅凭一张图片中某一侧颜色较亮，无法完成这种证明。</w:t>
      </w:r>
    </w:p>
    <w:bookmarkEnd w:id="1349"/>
    <w:bookmarkStart w:id="1350" w:name="sec-73-3"/>
    <w:p>
      <w:pPr>
        <w:pStyle w:val="Heading3"/>
      </w:pPr>
      <w:r>
        <w:t xml:space="preserve">73.3　侧化指数为什么依赖测量选择</w:t>
      </w:r>
    </w:p>
    <w:p>
      <w:pPr>
        <w:pStyle w:val="FirstParagraph"/>
      </w:pPr>
      <w:r>
        <w:t xml:space="preserve">研究常用两侧某项指标的差异相对其总量构造侧化指数。这个思路很直观，但结果取决于选择的区域、任务对照、信号阈值和统计方法。如果一侧出现强信号，另一侧出现较弱但有意义的信号，使用高阈值可能让图像看起来近乎单侧；降低阈值又可能得到双侧模式。</w:t>
      </w:r>
    </w:p>
    <w:p>
      <w:pPr>
        <w:pStyle w:val="BodyText"/>
      </w:pPr>
      <w:r>
        <w:t xml:space="preserve">这种方法依赖不意味着侧化全是人为制造。它说明任何侧化结论都应与操作定义一同报告。稳定的侧化应能在合理参数范围内重现，并尽量得到行为、病损或其他测量支持。若一个人的分类随着任意阈值剧烈变化，这个分类就不适合指导其职业或教育选择。</w:t>
      </w:r>
    </w:p>
    <w:p>
      <w:pPr>
        <w:pStyle w:val="BodyText"/>
      </w:pPr>
      <w:r>
        <w:t xml:space="preserve">跨个体比较还需要区分平均差异和分布重叠。假设一组人在某任务中平均更左侧化，组内仍可能包含弱侧化和右侧化个体。群体平均不能直接判断一个人的表现。反之，一个个体表现特殊，也不能据此推翻所有群体规律。两种推理都需要与数据层级一致。</w:t>
      </w:r>
    </w:p>
    <w:bookmarkEnd w:id="1350"/>
    <w:bookmarkStart w:id="1351" w:name="sec-73-4"/>
    <w:p>
      <w:pPr>
        <w:pStyle w:val="Heading3"/>
      </w:pPr>
      <w:r>
        <w:t xml:space="preserve">73.4　一项大样本连接研究实际排除了什么</w:t>
      </w:r>
    </w:p>
    <w:p>
      <w:pPr>
        <w:pStyle w:val="FirstParagraph"/>
      </w:pPr>
      <w:r>
        <w:t xml:space="preserve">Nielsen及同事分析1011名7至29岁参与者的公开静息态fMRI资料，研究局部连接侧化是否进一步组成全脑统一的左侧或右侧优势。结果支持局部网络侧化：左侧化枢纽多位于默认网络和语言相关区域，右侧化枢纽多位于注意控制相关区域；同一个人身上却没有出现流行叙事所需的整体半球主导模式。该研究没有测量人格或认知风格，样本也不涵盖全年龄范围。它检验的是左右脑人格说依赖的神经前提。结论应限定为：在所测静息态连接中，个体没有表现出全脑一致的单侧优势，这削弱了把人格归于整体半球优势的依据</w:t>
      </w:r>
      <w:r>
        <w:rPr>
          <w:vertAlign w:val="superscript"/>
        </w:rPr>
        <w:t xml:space="preserve">[</w:t>
      </w:r>
      <w:hyperlink w:anchor="ref-670">
        <w:r>
          <w:rPr>
            <w:rStyle w:val="Hyperlink"/>
            <w:vertAlign w:val="superscript"/>
          </w:rPr>
          <w:t xml:space="preserve">670</w:t>
        </w:r>
      </w:hyperlink>
      <w:r>
        <w:rPr>
          <w:vertAlign w:val="superscript"/>
        </w:rPr>
        <w:t xml:space="preserve">]</w:t>
      </w:r>
      <w:r>
        <w:t xml:space="preserve">。</w:t>
      </w:r>
    </w:p>
    <w:p>
      <w:pPr>
        <w:pStyle w:val="BodyText"/>
      </w:pPr>
      <w:r>
        <w:t xml:space="preserve">这项研究最适合作为逻辑例子：局部不对称的存在，与所有局部不对称在同一个人身上方向一致，是两个独立问题。即使一个人某条左侧化连接很强，也不能预期所有左侧化连接都相应增强。把区域特征累加成人格标签，需要额外检验特征之间是否共同变化。</w:t>
      </w:r>
    </w:p>
    <w:p>
      <w:pPr>
        <w:pStyle w:val="BodyText"/>
      </w:pPr>
      <w:r>
        <w:t xml:space="preserve">静息态功能连接本身表达信号时间序列之间的统计联系，不能直接观察两个区域交换了何种信息。呼吸、运动、扫描参数和预处理都会影响估计。因而一项连接研究的结果应与其他方法结合。它足以限制某种宏观组织假设，但不会给出人格形成的完整原因。</w:t>
      </w:r>
    </w:p>
    <w:bookmarkEnd w:id="1351"/>
    <w:bookmarkStart w:id="1352" w:name="sec-73-5"/>
    <w:p>
      <w:pPr>
        <w:pStyle w:val="Heading3"/>
      </w:pPr>
      <w:r>
        <w:t xml:space="preserve">73.5　创造力包含产生与筛选等不同过程</w:t>
      </w:r>
    </w:p>
    <w:p>
      <w:pPr>
        <w:pStyle w:val="FirstParagraph"/>
      </w:pPr>
      <w:r>
        <w:t xml:space="preserve">Beaty及同事在特定发散思维任务中发现默认网络与执行相关网络的协作，最终分析样本为25人。研究支持创造性想法产生涉及分布式过程，无法支持把一切艺术创造归给一个半球。小样本和特定任务限制了推广范围，网络协作也不能直接换算为个人的创造力总量</w:t>
      </w:r>
      <w:r>
        <w:rPr>
          <w:vertAlign w:val="superscript"/>
        </w:rPr>
        <w:t xml:space="preserve">[</w:t>
      </w:r>
      <w:hyperlink w:anchor="ref-674">
        <w:r>
          <w:rPr>
            <w:rStyle w:val="Hyperlink"/>
            <w:vertAlign w:val="superscript"/>
          </w:rPr>
          <w:t xml:space="preserve">674</w:t>
        </w:r>
      </w:hyperlink>
      <w:r>
        <w:rPr>
          <w:vertAlign w:val="superscript"/>
        </w:rPr>
        <w:t xml:space="preserve">]</w:t>
      </w:r>
      <w:r>
        <w:t xml:space="preserve">。</w:t>
      </w:r>
    </w:p>
    <w:p>
      <w:pPr>
        <w:pStyle w:val="BodyText"/>
      </w:pPr>
      <w:r>
        <w:t xml:space="preserve">创造任务至少包括取出相关知识、生成候选想法、检查用途、判断新颖性和表达答案。不同阶段可以提出不同的神经预测。一个人产生许多奇特答案，但无法区分有效与无效方案，与一个人想法较少但筛选准确，可能获得不同任务分数。若研究把所有表现合为一个指标，需要解释这个指标怎样对应实际创造活动。</w:t>
      </w:r>
    </w:p>
    <w:p>
      <w:pPr>
        <w:pStyle w:val="BodyText"/>
      </w:pPr>
      <w:r>
        <w:t xml:space="preserve">逻辑任务同样包含多环节。理解句子、保留规则、检验有效性以及选择反应，都可能涉及不同网络。把逻辑等同于一个半球，会漏掉任务中的语言、记忆和注意需求。解释具体困难时，逐项检查这些环节通常比脑型标签更有信息量。</w:t>
      </w:r>
    </w:p>
    <w:bookmarkEnd w:id="1352"/>
    <w:bookmarkStart w:id="1353" w:name="sec-73-6"/>
    <w:p>
      <w:pPr>
        <w:pStyle w:val="Heading3"/>
      </w:pPr>
      <w:r>
        <w:t xml:space="preserve">73.6　裂脑研究为何不能直接证明两种人格</w:t>
      </w:r>
    </w:p>
    <w:p>
      <w:pPr>
        <w:pStyle w:val="FirstParagraph"/>
      </w:pPr>
      <w:r>
        <w:t xml:space="preserve">胼胝体等通路连接两半球，某些临床手术或病损为研究跨半球信息传递提供机会。实验可以利用视野、反应方式和任务条件，观察信息在两侧的可利用程度。这样的结果表明连接对信息整合的重要性；把表现概括为同一个人内部两个完整人格，则增加了需要独立论证的心理假设。</w:t>
      </w:r>
    </w:p>
    <w:p>
      <w:pPr>
        <w:pStyle w:val="BodyText"/>
      </w:pPr>
      <w:r>
        <w:t xml:space="preserve">特殊病损后的实验条件与健康人的日常生活不同。许多任务允许眼动、身体转向、语言提示和其他途径共享信息。实验中的信息隔离程度需要谨慎控制。解释结果时还应区分知觉、报告、行动选择和主观体验，避免把无法口头说出某物直接等同于完全没有加工它。</w:t>
      </w:r>
    </w:p>
    <w:p>
      <w:pPr>
        <w:pStyle w:val="BodyText"/>
      </w:pPr>
      <w:r>
        <w:t xml:space="preserve">从病损研究推到健康人，还要考虑长期适应和剩余通路。临床病损或手术后的表现受到保留通路、受损范围、恢复时间和学习策略影响；对同一患者，视觉、触觉、语言和动作任务也可能显现不同的限制。任何重要结论都应说明病损范围、测验条件与补偿可能。裂脑研究可以揭示跨半球信息传递受到限制时的行为后果，不能简单复制到完整大脑中的普通个体差异。教材可以利用这些研究解释半球协作，但不应据此要求学生“只训练右脑”，也不能把左右手动作表现当成人格诊断。</w:t>
      </w:r>
    </w:p>
    <w:bookmarkEnd w:id="1353"/>
    <w:bookmarkStart w:id="1354" w:name="sec-73-7"/>
    <w:p>
      <w:pPr>
        <w:pStyle w:val="Heading3"/>
      </w:pPr>
      <w:r>
        <w:t xml:space="preserve">73.7　教学匹配需要独立的干预证据</w:t>
      </w:r>
    </w:p>
    <w:p>
      <w:pPr>
        <w:pStyle w:val="FirstParagraph"/>
      </w:pPr>
      <w:r>
        <w:t xml:space="preserve">一种脑型分类若要指导教学，至少要先通过稳定性和预测效度检验。接着需要把不同类型学生随机分配到不同教学方式，检验类型与教学方法之间的交互作用。某种方法对所有学生平均更好，无法证明匹配分类有效；某类学生整体成绩较高，也无法证明特定方法只适合他们。</w:t>
      </w:r>
    </w:p>
    <w:p>
      <w:pPr>
        <w:pStyle w:val="BodyText"/>
      </w:pPr>
      <w:r>
        <w:t xml:space="preserve">以下为假设例子。若图示教学帮助两类学生同样多，结论支持图示在该任务中的普遍价值。若所谓右脑学生在所有方法下成绩都高，结果可能反映先前知识或测验构成。只有可重复的差异收益模式，才接近支持匹配。分类若由训练后成绩反向定义，结论还会陷入循环。</w:t>
      </w:r>
    </w:p>
    <w:p>
      <w:pPr>
        <w:pStyle w:val="BodyText"/>
      </w:pPr>
      <w:r>
        <w:t xml:space="preserve">教育实践中更可检验的变量包括先前知识、阅读能力、任务难点、练习质量和反馈；职业选择则更需要直接表现、兴趣、机会和训练资料。这些变量可以直接测量，并用于调整教学和选择。神经定位对手术、病损评估和基础研究具有价值；一个复杂的脑测量是否值得用于教育或职业决策，应看它在这些已有信息之外增加了多少可靠预测。脑型标签若没有增量预测力，即使名称听起来具体，也不会自动改进决策。</w:t>
      </w:r>
    </w:p>
    <w:bookmarkEnd w:id="1354"/>
    <w:bookmarkStart w:id="1355" w:name="sec-73-8"/>
    <w:p>
      <w:pPr>
        <w:pStyle w:val="Heading3"/>
      </w:pPr>
      <w:r>
        <w:t xml:space="preserve">73.8　语言定位的临床意义</w:t>
      </w:r>
    </w:p>
    <w:p>
      <w:pPr>
        <w:pStyle w:val="FirstParagraph"/>
      </w:pPr>
      <w:r>
        <w:t xml:space="preserve">语言功能具有真实的定位和侧化意义，尤其在手术规划中。病损研究、临床刺激、Wada试验和功能成像使用不同原理评估相关功能。它们共同说明，拒绝左右脑人格标签不应削弱对真实功能差异的认识</w:t>
      </w:r>
      <w:r>
        <w:rPr>
          <w:vertAlign w:val="superscript"/>
        </w:rPr>
        <w:t xml:space="preserve">[</w:t>
      </w:r>
      <w:hyperlink w:anchor="ref-675">
        <w:r>
          <w:rPr>
            <w:rStyle w:val="Hyperlink"/>
            <w:vertAlign w:val="superscript"/>
          </w:rPr>
          <w:t xml:space="preserve">675</w:t>
        </w:r>
      </w:hyperlink>
      <w:r>
        <w:rPr>
          <w:vertAlign w:val="superscript"/>
        </w:rPr>
        <w:t xml:space="preserve">]</w:t>
      </w:r>
      <w:r>
        <w:t xml:space="preserve">。</w:t>
      </w:r>
    </w:p>
    <w:p>
      <w:pPr>
        <w:pStyle w:val="BodyText"/>
      </w:pPr>
      <w:r>
        <w:t xml:space="preserve">语言也不能整体等同于一个小区域。声音分析、词汇访问、词义、句法组合、语义记忆、发音控制和篇章理解包含不同需求，也具有不同的时间和空间组织；任务之间的重叠与差异需要具体检验。一个任务得到左侧更强的平均响应，不等于该任务所有成分都只在左侧完成。一个人说话困难，可能来自语言表征、运动控制或其他环节。定位时，临床需要区分这些过程和病损范围</w:t>
      </w:r>
      <w:r>
        <w:rPr>
          <w:vertAlign w:val="superscript"/>
        </w:rPr>
        <w:t xml:space="preserve">[</w:t>
      </w:r>
      <w:hyperlink w:anchor="ref-675">
        <w:r>
          <w:rPr>
            <w:rStyle w:val="Hyperlink"/>
            <w:vertAlign w:val="superscript"/>
          </w:rPr>
          <w:t xml:space="preserve">675</w:t>
        </w:r>
      </w:hyperlink>
      <w:r>
        <w:rPr>
          <w:vertAlign w:val="superscript"/>
        </w:rPr>
        <w:t xml:space="preserve">,</w:t>
      </w:r>
      <w:hyperlink w:anchor="ref-676">
        <w:r>
          <w:rPr>
            <w:rStyle w:val="Hyperlink"/>
            <w:vertAlign w:val="superscript"/>
          </w:rPr>
          <w:t xml:space="preserve">676</w:t>
        </w:r>
      </w:hyperlink>
      <w:r>
        <w:rPr>
          <w:vertAlign w:val="superscript"/>
        </w:rPr>
        <w:t xml:space="preserve">]</w:t>
      </w:r>
      <w:r>
        <w:t xml:space="preserve">。</w:t>
      </w:r>
    </w:p>
    <w:p>
      <w:pPr>
        <w:pStyle w:val="BodyText"/>
      </w:pPr>
      <w:r>
        <w:t xml:space="preserve">Wada试验通过短暂改变一侧功能，帮助评估语言和记忆等临床问题；fMRI利用任务相关血氧变化，电刺激则检查局部干扰对行为的影响。各方法有自己的风险、时间尺度和空间解释。它们的共同作用是帮助回答具体临床问题，不能被转用为一般人格测试。</w:t>
      </w:r>
    </w:p>
    <w:p>
      <w:pPr>
        <w:pStyle w:val="BodyText"/>
      </w:pPr>
      <w:r>
        <w:t xml:space="preserve">任务设计影响语言侧化估计。听词、读句、命名图片和生成动词可能得到不同模式，因为它们包含不同感知和输出要求。若一项测验显示较弱侧化，应先检查任务、配合程度和分析方法，再考虑个体功能组织。不能直接用“语言不发达”概括。</w:t>
      </w:r>
    </w:p>
    <w:bookmarkEnd w:id="1355"/>
    <w:bookmarkStart w:id="1356" w:name="sec-73-9"/>
    <w:p>
      <w:pPr>
        <w:pStyle w:val="Heading3"/>
      </w:pPr>
      <w:r>
        <w:t xml:space="preserve">73.9　个体定位与群体平均</w:t>
      </w:r>
    </w:p>
    <w:p>
      <w:pPr>
        <w:pStyle w:val="FirstParagraph"/>
      </w:pPr>
      <w:r>
        <w:t xml:space="preserve">群体成像把不同人的脑映射到共同空间，便于寻找平均规律；个体区域位置的差异可能使相邻功能在平均图上重叠。Fedorenko及同事使用个体功能定位，研究高层语言处理与其他任务的选择性，说明分析尺度会影响功能特异性判断</w:t>
      </w:r>
      <w:r>
        <w:rPr>
          <w:vertAlign w:val="superscript"/>
        </w:rPr>
        <w:t xml:space="preserve">[</w:t>
      </w:r>
      <w:hyperlink w:anchor="ref-676">
        <w:r>
          <w:rPr>
            <w:rStyle w:val="Hyperlink"/>
            <w:vertAlign w:val="superscript"/>
          </w:rPr>
          <w:t xml:space="preserve">676</w:t>
        </w:r>
      </w:hyperlink>
      <w:r>
        <w:rPr>
          <w:vertAlign w:val="superscript"/>
        </w:rPr>
        <w:t xml:space="preserve">]</w:t>
      </w:r>
      <w:r>
        <w:t xml:space="preserve">。</w:t>
      </w:r>
    </w:p>
    <w:p>
      <w:pPr>
        <w:pStyle w:val="BodyText"/>
      </w:pPr>
      <w:r>
        <w:t xml:space="preserve">这种问题在半球讨论中很重要。一个人在某位置的语言相关区域，可能与另一个人的位置不完全一致。如果直接平均，真实选择性可能被模糊；如果只挑单个最佳位置，又可能过拟合。独立定位任务和独立测试任务可以减少循环分析。</w:t>
      </w:r>
    </w:p>
    <w:p>
      <w:pPr>
        <w:pStyle w:val="BodyText"/>
      </w:pPr>
      <w:r>
        <w:t xml:space="preserve">个体定位也不能自动保证临床预测。一个人某区域在语言任务中活跃，仍需判断它是否必要、是否存在替代组织，以及测量是否可靠。应用需要与手术后或其他实际结局比较，不能仅靠图像看起来清楚。</w:t>
      </w:r>
    </w:p>
    <w:bookmarkEnd w:id="1356"/>
    <w:bookmarkStart w:id="1357" w:name="sec-73-10"/>
    <w:p>
      <w:pPr>
        <w:pStyle w:val="Heading3"/>
      </w:pPr>
      <w:r>
        <w:t xml:space="preserve">73.10　胼胝体联系的多种作用</w:t>
      </w:r>
    </w:p>
    <w:p>
      <w:pPr>
        <w:pStyle w:val="FirstParagraph"/>
      </w:pPr>
      <w:r>
        <w:t xml:space="preserve">胼胝体提供大量跨半球联系。其作用可以涉及信息共享、时序协调和局部回路调节，具体功能依投射对象而变。不能把所有跨半球联系统一理解为互相抑制，也不能预设联系越多越好。神经信号进入目标回路后，可能通过不同细胞路径产生不同作用。</w:t>
      </w:r>
    </w:p>
    <w:p>
      <w:pPr>
        <w:pStyle w:val="BodyText"/>
      </w:pPr>
      <w:r>
        <w:t xml:space="preserve">先天胼胝体缺如与后天切断提供不同研究窗口。前者允许发育期适应，后者在已有组织上改变联系。两类情况即使出现相似行为，也可能使用不同补偿机制。比较时需要记录其他结构差异和发育经历，避免把所有结果归于单一通路。</w:t>
      </w:r>
    </w:p>
    <w:p>
      <w:pPr>
        <w:pStyle w:val="BodyText"/>
      </w:pPr>
      <w:r>
        <w:t xml:space="preserve">一项脑磁图研究比较25名胼胝体发育缺如者（完全缺如13名、部分缺如12名）与21名对照，发现缺如者在动词生成和图片命名等语言任务中的侧化程度减弱，双侧或右侧活动更多，完全缺如者尤其明显。它支持跨半球联系参与语言侧化的形成，但自然发育差异包含多种因素，无法单独决定唯一机制</w:t>
      </w:r>
      <w:r>
        <w:rPr>
          <w:vertAlign w:val="superscript"/>
        </w:rPr>
        <w:t xml:space="preserve">[</w:t>
      </w:r>
      <w:hyperlink w:anchor="ref-677">
        <w:r>
          <w:rPr>
            <w:rStyle w:val="Hyperlink"/>
            <w:vertAlign w:val="superscript"/>
          </w:rPr>
          <w:t xml:space="preserve">677</w:t>
        </w:r>
      </w:hyperlink>
      <w:r>
        <w:rPr>
          <w:vertAlign w:val="superscript"/>
        </w:rPr>
        <w:t xml:space="preserve">]</w:t>
      </w:r>
      <w:r>
        <w:t xml:space="preserve">。</w:t>
      </w:r>
    </w:p>
    <w:bookmarkEnd w:id="1357"/>
    <w:bookmarkStart w:id="1358" w:name="sec-73-11"/>
    <w:p>
      <w:pPr>
        <w:pStyle w:val="Heading3"/>
      </w:pPr>
      <w:r>
        <w:t xml:space="preserve">73.11　利手与半球优势的关系</w:t>
      </w:r>
    </w:p>
    <w:p>
      <w:pPr>
        <w:pStyle w:val="FirstParagraph"/>
      </w:pPr>
      <w:r>
        <w:t xml:space="preserve">利手是行为偏好，语言侧化是功能组织指标。它们在群体中可以相关，却不能被当作同一变量。一个人的左利手或右利手不能直接给出全部语言定位，更不能决定创造力、情绪或职业潜能。个体推断需要相应测量。</w:t>
      </w:r>
    </w:p>
    <w:p>
      <w:pPr>
        <w:pStyle w:val="BodyText"/>
      </w:pPr>
      <w:r>
        <w:t xml:space="preserve">“训练非优势手开发另一半脑”的宣传混合了运动学习和广泛迁移。练习某只手可能改善相关动作表现，是否提高其他能力需要直接检验。某种训练使两侧活动改变，也不能自动证明一般智力或人格发生有益变化。</w:t>
      </w:r>
    </w:p>
    <w:p>
      <w:pPr>
        <w:pStyle w:val="BodyText"/>
      </w:pPr>
      <w:r>
        <w:t xml:space="preserve">训练结局应与原任务区分。若课程主要练习画图，最后又用相似画图测验评价，进步可能来自特定技能。要证明广泛迁移，需要预先指定不同任务、合适主动对照和较长随访。侧化机制无法替代这些要求。</w:t>
      </w:r>
    </w:p>
    <w:bookmarkEnd w:id="1358"/>
    <w:bookmarkStart w:id="1359" w:name="sec-73-12"/>
    <w:p>
      <w:pPr>
        <w:pStyle w:val="Heading3"/>
      </w:pPr>
      <w:r>
        <w:t xml:space="preserve">73.12　半球差异的量化误差</w:t>
      </w:r>
    </w:p>
    <w:p>
      <w:pPr>
        <w:pStyle w:val="FirstParagraph"/>
      </w:pPr>
      <w:r>
        <w:t xml:space="preserve">差值指标可能受到两侧测量误差共同影响。如果两侧信号都很小，差值除以总量的指数可能不稳定。某些极端值可能来自分母问题，未必代表极端功能组织。研究应说明质量控制和不确定性。</w:t>
      </w:r>
    </w:p>
    <w:p>
      <w:pPr>
        <w:pStyle w:val="BodyText"/>
      </w:pPr>
      <w:r>
        <w:t xml:space="preserve">分类阈值也会改变人数。连续分布被切成左、双侧和右三类，临界附近的人可能在重复测量中跨类别。若应用把这种分类当作固定身份，会忽略测量精度。报告连续值与区间，通常比只给标签更有信息。</w:t>
      </w:r>
    </w:p>
    <w:p>
      <w:pPr>
        <w:pStyle w:val="BodyText"/>
      </w:pPr>
      <w:r>
        <w:t xml:space="preserve">跨时间稳定性需要实际测量。一次扫描的侧化可以受疲劳、策略和任务表现影响。若一个指标要指导长期教育或职业选择，应证明它跨时间稳定并有增量预测力。可靠性不足会直接限制相关和预测的上限。</w:t>
      </w:r>
    </w:p>
    <w:bookmarkEnd w:id="1359"/>
    <w:bookmarkStart w:id="1360" w:name="sec-73-13"/>
    <w:p>
      <w:pPr>
        <w:pStyle w:val="Heading3"/>
      </w:pPr>
      <w:r>
        <w:t xml:space="preserve">73.13　识别神经分类的循环论证</w:t>
      </w:r>
    </w:p>
    <w:p>
      <w:pPr>
        <w:pStyle w:val="FirstParagraph"/>
      </w:pPr>
      <w:r>
        <w:t xml:space="preserve">一种常见循环是，先根据艺术兴趣把人称为右脑型，再把其艺术兴趣当作右脑型的证明。这里没有独立脑指标，也没有检验分类能预测什么新信息。科学分类需要先定义规则，再在独立资料中检验。</w:t>
      </w:r>
    </w:p>
    <w:p>
      <w:pPr>
        <w:pStyle w:val="BodyText"/>
      </w:pPr>
      <w:r>
        <w:t xml:space="preserve">另一个问题是结果解释双向开放。若某人擅长数学，称其左脑强；若也擅长音乐，又称两脑协同好。若每种能力组合都能被分类解释，就需要问它排除了什么结果。缺少排除能力的标签，不能作为因果解释。</w:t>
      </w:r>
    </w:p>
    <w:bookmarkEnd w:id="1360"/>
    <w:bookmarkStart w:id="1361" w:name="sec-73-14"/>
    <w:p>
      <w:pPr>
        <w:pStyle w:val="Heading3"/>
      </w:pPr>
      <w:r>
        <w:t xml:space="preserve">73.14　从局部事实走向实际决策</w:t>
      </w:r>
    </w:p>
    <w:p>
      <w:pPr>
        <w:pStyle w:val="FirstParagraph"/>
      </w:pPr>
      <w:r>
        <w:t xml:space="preserve">对于个人，合理的学习选择可以通过实际任务、反馈和一段时间的观察调整。把一次未经验证的脑型测试当作长期能力上限，会过早限制尝试。这个风险来自错误分类的决策后果，研究者和产品提供者应承担相应验证责任。</w:t>
      </w:r>
    </w:p>
    <w:bookmarkEnd w:id="1361"/>
    <w:bookmarkStart w:id="1362" w:name="sec-73-15"/>
    <w:p>
      <w:pPr>
        <w:pStyle w:val="Heading3"/>
      </w:pPr>
      <w:r>
        <w:t xml:space="preserve">73.15　跨半球交流依赖有方向和层次的连接</w:t>
      </w:r>
    </w:p>
    <w:p>
      <w:pPr>
        <w:pStyle w:val="FirstParagraph"/>
      </w:pPr>
      <w:r>
        <w:t xml:space="preserve">胼胝体包含连接两侧大脑皮层的轴突，不同部分联系不同皮层区域。跨半球投射可以直接兴奋目标细胞，也可以通过招募目标区域的抑制性中间神经元产生间接抑制。因此，从一侧刺激另一侧后看到抑制效应，不能推断所有胼胝轴突本身都释放抑制性递质</w:t>
      </w:r>
      <w:r>
        <w:rPr>
          <w:vertAlign w:val="superscript"/>
        </w:rPr>
        <w:t xml:space="preserve">[</w:t>
      </w:r>
      <w:hyperlink w:anchor="ref-7">
        <w:r>
          <w:rPr>
            <w:rStyle w:val="Hyperlink"/>
            <w:vertAlign w:val="superscript"/>
          </w:rPr>
          <w:t xml:space="preserve">7</w:t>
        </w:r>
      </w:hyperlink>
      <w:r>
        <w:rPr>
          <w:vertAlign w:val="superscript"/>
        </w:rPr>
        <w:t xml:space="preserve">]</w:t>
      </w:r>
      <w:r>
        <w:t xml:space="preserve">。</w:t>
      </w:r>
    </w:p>
    <w:p>
      <w:pPr>
        <w:pStyle w:val="BodyText"/>
      </w:pPr>
      <w:r>
        <w:t xml:space="preserve">局部网络状态决定同一输入的后果。目标细胞接近阈值时，较弱的跨半球兴奋也可能改变放电；处于强抑制或不同振荡相位时，同样输入可能影响较小。研究半球联系时，结构完整、信号到达和行为上实际利用应分别描述。连接存在提供了通信可能，具体信息是否参与某次任务由动态条件决定。</w:t>
      </w:r>
    </w:p>
    <w:p>
      <w:pPr>
        <w:pStyle w:val="BodyText"/>
      </w:pPr>
      <w:r>
        <w:t xml:space="preserve">跨半球交流还需要时间。轴突长度、直径、髓鞘和节点结构共同影响传导，局部突触整合增加额外延迟。两个脑区同时出现相关信号，可以来自快速相互作用，也可以来自共同驱动；时间接近本身不能决定信息流方向。理解这些限制有助于避免把两个半球画成可以瞬时共享所有信息的两个完整处理器</w:t>
      </w:r>
      <w:r>
        <w:rPr>
          <w:vertAlign w:val="superscript"/>
        </w:rPr>
        <w:t xml:space="preserve">[</w:t>
      </w:r>
      <w:hyperlink w:anchor="ref-101">
        <w:r>
          <w:rPr>
            <w:rStyle w:val="Hyperlink"/>
            <w:vertAlign w:val="superscript"/>
          </w:rPr>
          <w:t xml:space="preserve">101</w:t>
        </w:r>
      </w:hyperlink>
      <w:r>
        <w:rPr>
          <w:vertAlign w:val="superscript"/>
        </w:rPr>
        <w:t xml:space="preserve">,</w:t>
      </w:r>
      <w:hyperlink w:anchor="ref-102">
        <w:r>
          <w:rPr>
            <w:rStyle w:val="Hyperlink"/>
            <w:vertAlign w:val="superscript"/>
          </w:rPr>
          <w:t xml:space="preserve">102</w:t>
        </w:r>
      </w:hyperlink>
      <w:r>
        <w:rPr>
          <w:vertAlign w:val="superscript"/>
        </w:rPr>
        <w:t xml:space="preserve">]</w:t>
      </w:r>
      <w:r>
        <w:t xml:space="preserve">。</w:t>
      </w:r>
    </w:p>
    <w:bookmarkEnd w:id="1362"/>
    <w:bookmarkStart w:id="1363" w:name="sec-73-16"/>
    <w:p>
      <w:pPr>
        <w:pStyle w:val="Heading3"/>
      </w:pPr>
      <w:r>
        <w:t xml:space="preserve">73.16　双手行为展示分工与合作的并存</w:t>
      </w:r>
    </w:p>
    <w:p>
      <w:pPr>
        <w:pStyle w:val="FirstParagraph"/>
      </w:pPr>
      <w:r>
        <w:t xml:space="preserve">扣纽扣、打开瓶盖和演奏乐器时，两只手通常承担不同但相关的动作。一个部位负责稳定，另一个负责旋转或定位。需要协调的变量包括动作时序、相对力、空间位置和感觉反馈。双手活动不要求左右半球具有完全相同的活动模式，任务也不要求它们始终彼此抑制。</w:t>
      </w:r>
    </w:p>
    <w:p>
      <w:pPr>
        <w:pStyle w:val="BodyText"/>
      </w:pPr>
      <w:r>
        <w:t xml:space="preserve">可以设计一个教学情景：一只手固定纸张，另一只手书写。当纸张突然移动时，固定手需要增强稳定，书写手需要调整轨迹。调整涉及各自的感觉反馈和共同任务目标。若只比较两侧运动皮层活动是否相等，无法判断协调是否良好；更有意义的指标是错误是否被及时纠正、相对位置是否稳定以及任务是否完成。</w:t>
      </w:r>
    </w:p>
    <w:bookmarkEnd w:id="1363"/>
    <w:bookmarkStart w:id="1364" w:name="sec-73-17"/>
    <w:p>
      <w:pPr>
        <w:pStyle w:val="Heading3"/>
      </w:pPr>
      <w:r>
        <w:t xml:space="preserve">73.17　侧化可以随处理阶段和测量变量改变</w:t>
      </w:r>
    </w:p>
    <w:p>
      <w:pPr>
        <w:pStyle w:val="FirstParagraph"/>
      </w:pPr>
      <w:r>
        <w:t xml:space="preserve">同一个人的结构和功能侧化可以在不同尺度上并存。微观轴突连接、局部细胞组织、脑区平均活动和大尺度网络相关各自提供不同信息。把其中一个指标压缩成左脑型或右脑型身份，会丢弃尺度和任务条件。更精确的描述是某种功能在特定任务下表现出多大侧化，以及该侧化与行为的哪些部分相关。</w:t>
      </w:r>
    </w:p>
    <w:p>
      <w:pPr>
        <w:pStyle w:val="BodyText"/>
      </w:pPr>
      <w:r>
        <w:t xml:space="preserve">恢复和训练问题也需要保持同样精度。某侧受损后另一侧活动增强，可能反映有效补偿、任务变难、原有抑制改变或低效率招募。观察到增强本身无法决定哪种解释正确。将活动变化与具体行为改善、时间进程及必要性证据结合，才能判断跨半球重组的作用。</w:t>
      </w:r>
    </w:p>
    <w:bookmarkEnd w:id="1364"/>
    <w:bookmarkStart w:id="1365" w:name="sec-73-18"/>
    <w:p>
      <w:pPr>
        <w:pStyle w:val="Heading3"/>
      </w:pPr>
      <w:r>
        <w:t xml:space="preserve">73.18　同步与延迟可以服务不同任务</w:t>
      </w:r>
    </w:p>
    <w:p>
      <w:pPr>
        <w:pStyle w:val="FirstParagraph"/>
      </w:pPr>
      <w:r>
        <w:t xml:space="preserve">双侧同时施力需要一定时间协调，轮流操作则需要稳定的先后关系。若把所有跨半球协作都定义为零延迟同步，就无法解释后一类任务。轴突传导和局部整合给回路提供实际时延，学习可能通过提前准备或调节输出时机补偿部分延迟。任务要求的协调精度也不同，缓慢搬运物体和快速双手敲击所容许的误差范围不能直接互换。</w:t>
      </w:r>
    </w:p>
    <w:p>
      <w:pPr>
        <w:pStyle w:val="BodyText"/>
      </w:pPr>
      <w:r>
        <w:t xml:space="preserve">因此，研究半球联系时应报告具体行为时间关系。相位稳定、先后顺序正确和反应速度快属于不同结果。某干预使两侧活动更同步，可能有利于一种任务，也可能妨碍需要独立控制的另一种任务。这个条件性推论来自控制目标与通信时间的关系，不支持把更多同步当成普遍更健康的指标</w:t>
      </w:r>
      <w:r>
        <w:rPr>
          <w:vertAlign w:val="superscript"/>
        </w:rPr>
        <w:t xml:space="preserve">[</w:t>
      </w:r>
      <w:hyperlink w:anchor="ref-34">
        <w:r>
          <w:rPr>
            <w:rStyle w:val="Hyperlink"/>
            <w:vertAlign w:val="superscript"/>
          </w:rPr>
          <w:t xml:space="preserve">34</w:t>
        </w:r>
      </w:hyperlink>
      <w:r>
        <w:rPr>
          <w:vertAlign w:val="superscript"/>
        </w:rPr>
        <w:t xml:space="preserve">,</w:t>
      </w:r>
      <w:hyperlink w:anchor="ref-101">
        <w:r>
          <w:rPr>
            <w:rStyle w:val="Hyperlink"/>
            <w:vertAlign w:val="superscript"/>
          </w:rPr>
          <w:t xml:space="preserve">101</w:t>
        </w:r>
      </w:hyperlink>
      <w:r>
        <w:rPr>
          <w:vertAlign w:val="superscript"/>
        </w:rPr>
        <w:t xml:space="preserve">]</w:t>
      </w:r>
      <w:r>
        <w:t xml:space="preserve">。</w:t>
      </w:r>
    </w:p>
    <w:bookmarkEnd w:id="1365"/>
    <w:bookmarkStart w:id="1366" w:name="sec-73-19"/>
    <w:p>
      <w:pPr>
        <w:pStyle w:val="Heading3"/>
      </w:pPr>
      <w:r>
        <w:t xml:space="preserve">73.19　本章结论</w:t>
      </w:r>
    </w:p>
    <w:p>
      <w:pPr>
        <w:pStyle w:val="FirstParagraph"/>
      </w:pPr>
      <w:r>
        <w:t xml:space="preserve">应保留具体功能侧化的事实，同时拒绝用它为全局人格二分背书。对一个人的学习或职业判断，需要与相关任务和实际表现联系；半球图像无法替代这种证据。未来若出现跨独立样本、跨任务、跨时间稳定的脑指标，仍需进一步证明其预测增益和干预价值，才能考虑应用</w:t>
      </w:r>
      <w:r>
        <w:rPr>
          <w:vertAlign w:val="superscript"/>
        </w:rPr>
        <w:t xml:space="preserve">[</w:t>
      </w:r>
      <w:hyperlink w:anchor="ref-670">
        <w:r>
          <w:rPr>
            <w:rStyle w:val="Hyperlink"/>
            <w:vertAlign w:val="superscript"/>
          </w:rPr>
          <w:t xml:space="preserve">670</w:t>
        </w:r>
      </w:hyperlink>
      <w:r>
        <w:rPr>
          <w:vertAlign w:val="superscript"/>
        </w:rPr>
        <w:t xml:space="preserve">,</w:t>
      </w:r>
      <w:hyperlink w:anchor="ref-674">
        <w:r>
          <w:rPr>
            <w:rStyle w:val="Hyperlink"/>
            <w:vertAlign w:val="superscript"/>
          </w:rPr>
          <w:t xml:space="preserve">674</w:t>
        </w:r>
      </w:hyperlink>
      <w:r>
        <w:rPr>
          <w:vertAlign w:val="superscript"/>
        </w:rPr>
        <w:t xml:space="preserve">]</w:t>
      </w:r>
      <w:r>
        <w:t xml:space="preserve">。</w:t>
      </w:r>
    </w:p>
    <w:bookmarkEnd w:id="1366"/>
    <w:bookmarkEnd w:id="1367"/>
    <w:bookmarkStart w:id="1381" w:name="ch-74"/>
    <w:p>
      <w:pPr>
        <w:pStyle w:val="Heading2"/>
      </w:pPr>
      <w:r>
        <w:t xml:space="preserve">第74章　“人只用了 10% 的大脑”</w:t>
      </w:r>
    </w:p>
    <w:bookmarkStart w:id="1368" w:name="sec-74-1"/>
    <w:p>
      <w:pPr>
        <w:pStyle w:val="Heading3"/>
      </w:pPr>
      <w:r>
        <w:t xml:space="preserve">74.1　这个数字从哪里来，为什么不成立</w:t>
      </w:r>
    </w:p>
    <w:p>
      <w:pPr>
        <w:pStyle w:val="FirstParagraph"/>
      </w:pPr>
      <w:r>
        <w:t xml:space="preserve">这个说法流传超过一百年。常见的追溯包括：心理学家威廉·詹姆斯说过人只发挥了一小部分“潜在的心智能量”，没有给出百分比；1936 年卡耐基《人性的弱点》一书的序言把“只发展了 10%”归于詹姆斯；早年神经外科研究者发现电刺激某些皮层“没有反应”，这些区域后来被证明是联合皮层；“爱因斯坦说过”则查无实据；广告和电影（如《超体》）又不断放大它</w:t>
      </w:r>
      <w:r>
        <w:rPr>
          <w:vertAlign w:val="superscript"/>
        </w:rPr>
        <w:t xml:space="preserve">[</w:t>
      </w:r>
      <w:hyperlink w:anchor="ref-678">
        <w:r>
          <w:rPr>
            <w:rStyle w:val="Hyperlink"/>
            <w:vertAlign w:val="superscript"/>
          </w:rPr>
          <w:t xml:space="preserve">678</w:t>
        </w:r>
      </w:hyperlink>
      <w:r>
        <w:rPr>
          <w:vertAlign w:val="superscript"/>
        </w:rPr>
        <w:t xml:space="preserve">]</w:t>
      </w:r>
      <w:r>
        <w:t xml:space="preserve">。功能成像显示，一天之中几乎所有脑区都会活动；大多数部位的损伤都会造成可检测的功能缺失；大脑只占体重约 2%，却消耗约 20% 的静息能量</w:t>
      </w:r>
      <w:r>
        <w:rPr>
          <w:vertAlign w:val="superscript"/>
        </w:rPr>
        <w:t xml:space="preserve">[</w:t>
      </w:r>
      <w:hyperlink w:anchor="ref-679">
        <w:r>
          <w:rPr>
            <w:rStyle w:val="Hyperlink"/>
            <w:vertAlign w:val="superscript"/>
          </w:rPr>
          <w:t xml:space="preserve">679</w:t>
        </w:r>
      </w:hyperlink>
      <w:r>
        <w:rPr>
          <w:vertAlign w:val="superscript"/>
        </w:rPr>
        <w:t xml:space="preserve">]</w:t>
      </w:r>
      <w:r>
        <w:t xml:space="preserve">，演化很难维持如此昂贵而九成闲置的器官；这一条只是辅助论证，更直接的证据来自成像和损伤研究。</w:t>
      </w:r>
    </w:p>
    <w:p>
      <w:pPr>
        <w:pStyle w:val="BodyText"/>
      </w:pPr>
      <w:r>
        <w:t xml:space="preserve">这个说法里有一个容易引起误会的事实：由于放电代价高昂，同一时刻能显著活跃的皮层神经元只占很小一部分，一项根据能量预算的理论估算认为可能不到 1%</w:t>
      </w:r>
      <w:r>
        <w:rPr>
          <w:vertAlign w:val="superscript"/>
        </w:rPr>
        <w:t xml:space="preserve">[</w:t>
      </w:r>
      <w:hyperlink w:anchor="ref-680">
        <w:r>
          <w:rPr>
            <w:rStyle w:val="Hyperlink"/>
            <w:vertAlign w:val="superscript"/>
          </w:rPr>
          <w:t xml:space="preserve">680</w:t>
        </w:r>
      </w:hyperlink>
      <w:r>
        <w:rPr>
          <w:vertAlign w:val="superscript"/>
        </w:rPr>
        <w:t xml:space="preserve">]</w:t>
      </w:r>
      <w:r>
        <w:t xml:space="preserve">，这是模型给出的粗略上限。这与稀疏编码的思路有关，说明大脑用得节省。说“用了多少大脑”，至少要分清四种口径：结构是否存在、是否维持代谢、是否有低频活动、是否在某一瞬间高频放电。按前三种口径，几乎全部脑组织都在工作；按最后一种口径，能量模型说明大规模、持续的高频放电受到约束，同一瞬间显著活跃的比例取决于“显著活跃”的定义、时间窗和模型假设，不能用 1% 或 10% 这样的数字概括日常的脑功能；不同神经元轮流承担任务，也推不出九成大脑闲置。这个迷思的流行程度很高，英国和荷兰 242 名对脑科学感兴趣的教师中，近一半相信它</w:t>
      </w:r>
      <w:r>
        <w:rPr>
          <w:vertAlign w:val="superscript"/>
        </w:rPr>
        <w:t xml:space="preserve">[</w:t>
      </w:r>
      <w:hyperlink w:anchor="ref-604">
        <w:r>
          <w:rPr>
            <w:rStyle w:val="Hyperlink"/>
            <w:vertAlign w:val="superscript"/>
          </w:rPr>
          <w:t xml:space="preserve">604</w:t>
        </w:r>
      </w:hyperlink>
      <w:r>
        <w:rPr>
          <w:vertAlign w:val="superscript"/>
        </w:rPr>
        <w:t xml:space="preserve">]</w:t>
      </w:r>
      <w:r>
        <w:t xml:space="preserve">。</w:t>
      </w:r>
    </w:p>
    <w:p>
      <w:pPr>
        <w:pStyle w:val="CalloutJudgment"/>
      </w:pPr>
      <w:r>
        <w:rPr>
          <w:bCs/>
          <w:b/>
        </w:rPr>
        <w:t xml:space="preserve">判断　</w:t>
      </w:r>
      <w:r>
        <w:t xml:space="preserve">“人只用了 10% 的大脑”</w:t>
      </w:r>
      <w:r>
        <w:rPr>
          <w:bCs/>
          <w:b/>
        </w:rPr>
        <w:t xml:space="preserve">错误·高</w:t>
      </w:r>
      <w:r>
        <w:t xml:space="preserve">。</w:t>
      </w:r>
    </w:p>
    <w:bookmarkEnd w:id="1368"/>
    <w:bookmarkStart w:id="1369" w:name="sec-74-2"/>
    <w:p>
      <w:pPr>
        <w:pStyle w:val="Heading3"/>
      </w:pPr>
      <w:r>
        <w:t xml:space="preserve">74.2　核心判断与命题边界</w:t>
      </w:r>
    </w:p>
    <w:p>
      <w:pPr>
        <w:pStyle w:val="FirstParagraph"/>
      </w:pPr>
      <w:r>
        <w:t xml:space="preserve">正常人拥有一大片长期无功能的脑组织、占全脑约九成、等待某种训练统一唤醒，这项主张缺乏解剖学和生理学依据。对这一判断的置信度高。某项能力尚有提升空间，某些神经元在某个时刻没有发放动作电位，以及某个扫描比较没有显著信号，是三个需要各自测量的问题。它们都不能直接给出全脑潜能的使用百分比。</w:t>
      </w:r>
    </w:p>
    <w:p>
      <w:pPr>
        <w:pStyle w:val="BodyText"/>
      </w:pPr>
      <w:r>
        <w:t xml:space="preserve">讨论利用率之前必须指定分母。按体积计算，要先说明哪些组织算使用；按细胞计算，要说明神经元、胶质细胞和血管细胞是否具有相同权重；按放电计算，要说明统计一个瞬间还是一整天；按任务成绩计算，要先定义最大可达成绩。四种比例可以相差很大。把它们混合，能够制造听起来精确却无法重复的数字。</w:t>
      </w:r>
    </w:p>
    <w:p>
      <w:pPr>
        <w:pStyle w:val="BodyText"/>
      </w:pPr>
      <w:r>
        <w:t xml:space="preserve">神经系统的作用还包括维持适当的低活动状态。抑制性回路可限制无关反应，选择性响应可减少不同信息之间的干扰，活动时序可区分刺激。用同时放电神经元数的最大值作为脑功能的理想值，会遗漏这些计算要求。对于一个具体回路，评价标准应包括编码的信息、错误率、反应速度、代谢代价和稳定性。活动总量只覆盖其中一个维度。</w:t>
      </w:r>
    </w:p>
    <w:p>
      <w:pPr>
        <w:pStyle w:val="BodyText"/>
      </w:pPr>
      <w:r>
        <w:t xml:space="preserve">本章最有用的替代问题是：这项学习任务受什么限制，训练改变了哪个可测过程，改变能保留多久，又能应用到哪些新情境。提出这种问题无需假设存在巨大闲置区域，也无需否认学习能够带来显著改善。</w:t>
      </w:r>
    </w:p>
    <w:bookmarkEnd w:id="1369"/>
    <w:bookmarkStart w:id="1370" w:name="sec-74-3"/>
    <w:p>
      <w:pPr>
        <w:pStyle w:val="Heading3"/>
      </w:pPr>
      <w:r>
        <w:t xml:space="preserve">74.3　从测量对象理解未激活</w:t>
      </w:r>
    </w:p>
    <w:p>
      <w:pPr>
        <w:pStyle w:val="FirstParagraph"/>
      </w:pPr>
      <w:r>
        <w:t xml:space="preserve">任务态成像通常比较两个条件。例如，研究者比较阅读词语与观看符号时的血氧水平依赖信号。某处达到统计阈值，表示其信号与比较条件之间的差异满足分析标准；没有达到阈值，可能涉及两种条件都在活动、效应较小、测量噪声较大或统计功效不足。阈值本身是分析设置：提高阈值会缩小彩色区域，降低阈值会扩大区域，参与者的脑使用比例并不随软件设置改变。图上的颜色覆盖面积因此不能直接转成工作脑组织面积。报告完整效应估计、不确定性和分析方案，比展示更亮的图像更有解释力。</w:t>
      </w:r>
    </w:p>
    <w:p>
      <w:pPr>
        <w:pStyle w:val="BodyText"/>
      </w:pPr>
      <w:r>
        <w:t xml:space="preserve">这里存在一个基础的减法问题。假设某区域在条件甲的指标为105，在条件乙为100，图中可能显示差值5。另一处在两个条件中都是150，差值为零。第二处的绝对指标可以更高，却没有出现在差异图上。这个数字例子只说明比较逻辑，不代表真实血流单位或特定实验结果。由差值图推断绝对静默，需要增加一个没有得到满足的前提。</w:t>
      </w:r>
    </w:p>
    <w:p>
      <w:pPr>
        <w:pStyle w:val="BodyText"/>
      </w:pPr>
      <w:r>
        <w:t xml:space="preserve">静息测量同样需要解释。实验中的静息通常只规定参与者没有执行指定任务，可能要求闭眼、睁眼或注视固定点。维持觉醒、处理身体信号、进行自发思考和调整行为准备仍然涉及脑活动。Raichle与Mintun对代谢及成像研究的综合说明，脑的持续内在活动占有重要地位，外加任务所引起的变化只呈现其中一部分</w:t>
      </w:r>
      <w:r>
        <w:rPr>
          <w:vertAlign w:val="superscript"/>
        </w:rPr>
        <w:t xml:space="preserve">[</w:t>
      </w:r>
      <w:hyperlink w:anchor="ref-681">
        <w:r>
          <w:rPr>
            <w:rStyle w:val="Hyperlink"/>
            <w:vertAlign w:val="superscript"/>
          </w:rPr>
          <w:t xml:space="preserve">681</w:t>
        </w:r>
      </w:hyperlink>
      <w:r>
        <w:rPr>
          <w:vertAlign w:val="superscript"/>
        </w:rPr>
        <w:t xml:space="preserve">]</w:t>
      </w:r>
      <w:r>
        <w:t xml:space="preserve">。</w:t>
      </w:r>
    </w:p>
    <w:p>
      <w:pPr>
        <w:pStyle w:val="BodyText"/>
      </w:pPr>
      <w:r>
        <w:t xml:space="preserve">不过，代谢高本身只能表明组织存在能量需求。它无法单独证明每一处组织承担怎样的心理功能。严谨的反驳应整合代谢、神经记录、结构连接、任务测量和损伤后果。用一项现象解释全部脑功能，会重复原说法中的层次跨越。</w:t>
      </w:r>
    </w:p>
    <w:bookmarkEnd w:id="1370"/>
    <w:bookmarkStart w:id="1371" w:name="sec-74-4"/>
    <w:p>
      <w:pPr>
        <w:pStyle w:val="Heading3"/>
      </w:pPr>
      <w:r>
        <w:t xml:space="preserve">74.4　稀疏活动与功能储备</w:t>
      </w:r>
    </w:p>
    <w:p>
      <w:pPr>
        <w:pStyle w:val="FirstParagraph"/>
      </w:pPr>
      <w:r>
        <w:t xml:space="preserve">许多神经元对特定输入或行为条件具有选择性。研究者若只呈现有限刺激，可能遇到在该实验中反应很少的细胞。这种结果至少有三种解释：相关刺激没有被纳入；细胞参与的时间尺度与记录方式不匹配；其作用包含低频或调节性活动。要证明永久无用，需要远比一次实验更广的证据。</w:t>
      </w:r>
    </w:p>
    <w:p>
      <w:pPr>
        <w:pStyle w:val="BodyText"/>
      </w:pPr>
      <w:r>
        <w:t xml:space="preserve">稀疏编码描述的是某类表征在一定时空范围内由相对少量活跃单元承担。它不要求一批固定细胞永远闲置。不同输入可以选择不同单元，背景状态可以改变阈值，学习可以改变响应。稀疏程度也是一个带有阈值与时间窗的统计量。阈值改变，活跃比例就可能改变，因此不能把一个编码研究中的比例直接用于全脑开发宣传。</w:t>
      </w:r>
    </w:p>
    <w:p>
      <w:pPr>
        <w:pStyle w:val="BodyText"/>
      </w:pPr>
      <w:r>
        <w:t xml:space="preserve">功能储备也有多个含义。某些任务可由多种策略完成，网络中的冗余路径可能帮助抵御局部损害，既有知识可以减少即时计算负担。储备可以表现为达到相同性能所需的资源较少，也可以表现为负荷升高后仍能保持表现。专家用长期知识减少需要临时计算的关系，外部笔记保存中间状态，团队分工把复杂问题拆成可协调部分；这类策略和工具扩大了可完成任务的范围，却不需要假设一批原本休眠的细胞突然投入使用。每一种含义都需要任务和对照来界定。它们都没有承诺随时存在一个可无代价调用的九成剩余容量。</w:t>
      </w:r>
    </w:p>
    <w:p>
      <w:pPr>
        <w:pStyle w:val="BodyText"/>
      </w:pPr>
      <w:r>
        <w:t xml:space="preserve">一个常见误读是看到熟练者的脑信号下降，就认为他们用脑更少、因此潜能更大。信号下降可能符合加工更高效的解释，也可能涉及策略变化、任务变容易、注意下降、血管因素或测量差异。相反，信号上升也可能反映学习、额外努力或补偿。初学者可能逐项检查，熟练者可能使用整体结构，两者完成同一表面任务时内部步骤已经不同；若研究只比较脑信号而未记录策略，就难以判断变化来自哪一种过程。解释方向需要行为结果和具体模型约束，最好通过行为操纵让候选机制产生不同预测，不能事后把任何方向都写成增强。</w:t>
      </w:r>
    </w:p>
    <w:bookmarkEnd w:id="1371"/>
    <w:bookmarkStart w:id="1372" w:name="sec-74-5"/>
    <w:p>
      <w:pPr>
        <w:pStyle w:val="Heading3"/>
      </w:pPr>
      <w:r>
        <w:t xml:space="preserve">74.5　病损与可塑性能够说明什么</w:t>
      </w:r>
    </w:p>
    <w:p>
      <w:pPr>
        <w:pStyle w:val="FirstParagraph"/>
      </w:pPr>
      <w:r>
        <w:t xml:space="preserve">局部脑损伤可能造成特定功能受损，为组织作用提供证据。但病损研究还需要考虑损伤范围、通过该区域的纤维、远端网络影响、测验是否覆盖所有有关能力、观察距离损伤多久以及病前能力。这些条件决定了“必要性”的含义：某一区域对一种常用策略必要，并不保证它对所有可能策略都必要；一条替代路径存在，也不保证代价足够小。某位患者在失去部分组织后仍能生活，可能涉及替代策略、剩余组织支持、慢性适应或测验不够敏感，说明有些功能能够由剩余系统维持；不能据此推算健康人大部分脑组织本来没有作用。</w:t>
      </w:r>
    </w:p>
    <w:p>
      <w:pPr>
        <w:pStyle w:val="BodyText"/>
      </w:pPr>
      <w:r>
        <w:t xml:space="preserve">同理，一个人在缓慢发展的病变中出现较好的代偿，与突然损伤后的结果可能不同。发生时间改变了系统适应机会。若只依据最终影像体积判断此前功能，会遗漏这一过程。用极少见病例建立全人类使用比例，既混淆了时间，也忽略了选择性报告。</w:t>
      </w:r>
    </w:p>
    <w:p>
      <w:pPr>
        <w:pStyle w:val="BodyText"/>
      </w:pPr>
      <w:r>
        <w:t xml:space="preserve">可塑性体现系统在经验和生理条件下的变化能力。它可以改变突触效能、回路使用和行为策略；宏观影像也可能发生可检测变化。学习相关的灰质和白质信号具有多种可能细胞来源，无法直接读成新增了多少神经元</w:t>
      </w:r>
      <w:r>
        <w:rPr>
          <w:vertAlign w:val="superscript"/>
        </w:rPr>
        <w:t xml:space="preserve">[</w:t>
      </w:r>
      <w:hyperlink w:anchor="ref-219">
        <w:r>
          <w:rPr>
            <w:rStyle w:val="Hyperlink"/>
            <w:vertAlign w:val="superscript"/>
          </w:rPr>
          <w:t xml:space="preserve">219</w:t>
        </w:r>
      </w:hyperlink>
      <w:r>
        <w:rPr>
          <w:vertAlign w:val="superscript"/>
        </w:rPr>
        <w:t xml:space="preserve">]</w:t>
      </w:r>
      <w:r>
        <w:t xml:space="preserve">。因而，训练前后表现提高可以支持训练有某种作用，尚不足以确认宣传中的解锁机制。</w:t>
      </w:r>
    </w:p>
    <w:p>
      <w:pPr>
        <w:pStyle w:val="BodyText"/>
      </w:pPr>
      <w:r>
        <w:t xml:space="preserve">判断训练机制时，应要求中间环节具有独立测量。若课程先说九成大脑关闭，结束后又以课程测验提高作为关闭已解除的证据，论证会形成自我确认。更严格的研究需要在训练前规定关闭的可观察指标，训练后检验指标是否改变，并证明改变与目标收益之间存在因果联系。</w:t>
      </w:r>
    </w:p>
    <w:bookmarkEnd w:id="1372"/>
    <w:bookmarkStart w:id="1373" w:name="sec-74-6"/>
    <w:p>
      <w:pPr>
        <w:pStyle w:val="Heading3"/>
      </w:pPr>
      <w:r>
        <w:t xml:space="preserve">74.6　能力上限为何难以压缩成一个数</w:t>
      </w:r>
    </w:p>
    <w:p>
      <w:pPr>
        <w:pStyle w:val="FirstParagraph"/>
      </w:pPr>
      <w:r>
        <w:t xml:space="preserve">人的表现受知识、策略、感官条件、动机、时间和任务规则共同影响。一个人学习打字可能大幅提高速度，却未同步提高陌生语言的听辨。另一个人在熟悉领域能快速发现错误，换到陌生领域便需要更多逐步推理。这种特异性要求把潜能拆成具体可学习的能力。</w:t>
      </w:r>
    </w:p>
    <w:p>
      <w:pPr>
        <w:pStyle w:val="BodyText"/>
      </w:pPr>
      <w:r>
        <w:t xml:space="preserve">所谓最大能力本身还依赖约束。允许外部记事工具、给予充足时间、让人合作或者提供训练，都会改变可达表现。若宣传中的潜能没有规定这些条件，就无法计算已经使用了多少。一个无明确定义的上限，不能产生有意义的利用率。</w:t>
      </w:r>
    </w:p>
    <w:p>
      <w:pPr>
        <w:pStyle w:val="BodyText"/>
      </w:pPr>
      <w:r>
        <w:t xml:space="preserve">学习还可能具有收益递减与机会成本。最初几次练习可解决明显错误，后续改进需要更多精细调整。时间投入一个领域，也会减少投入另一个领域的时间。观察到平台不一定说明生物极限已经达到；它也可能提示教学方式、反馈或任务设计需要改变。反过来，平台能被突破，也不能证明所有领域都没有约束。</w:t>
      </w:r>
    </w:p>
    <w:p>
      <w:pPr>
        <w:pStyle w:val="BodyText"/>
      </w:pPr>
      <w:r>
        <w:t xml:space="preserve">理解这些限制的实际价值，是把目标从抽象增智转成可检验的改变。例如，学生希望提高阅读理解，就应测量对新文本的概括、推理与保持；工作者希望减少计算错误，就应测量真实工作样本中的错误及检查时间。全脑开发这个标签无法替代目标定义。</w:t>
      </w:r>
    </w:p>
    <w:bookmarkEnd w:id="1373"/>
    <w:bookmarkStart w:id="1374" w:name="sec-74-7"/>
    <w:p>
      <w:pPr>
        <w:pStyle w:val="Heading3"/>
      </w:pPr>
      <w:r>
        <w:t xml:space="preserve">74.7　一个完整的训练评价实例</w:t>
      </w:r>
    </w:p>
    <w:p>
      <w:pPr>
        <w:pStyle w:val="FirstParagraph"/>
      </w:pPr>
      <w:r>
        <w:t xml:space="preserve">设想某课程声称四周唤醒闲置脑区，并展示学员在课程游戏上的平均分提高。第一步应确认游戏分数是否可以通过熟悉题型、记住答案或改变速度准确性权衡而提升。如果可以，课程成绩只说明对课程任务更熟练。</w:t>
      </w:r>
    </w:p>
    <w:p>
      <w:pPr>
        <w:pStyle w:val="BodyText"/>
      </w:pPr>
      <w:r>
        <w:t xml:space="preserve">第二步选择与承诺一致的独立结果。若承诺阅读，使用未接触文本；若承诺记忆，使用不同材料与延迟；若承诺工作能力，使用实际工作的可复核样本。主要结果应提前规定。事后从许多指标中挑选一个提高的项目，容易夸大证据。</w:t>
      </w:r>
    </w:p>
    <w:p>
      <w:pPr>
        <w:pStyle w:val="BodyText"/>
      </w:pPr>
      <w:r>
        <w:t xml:space="preserve">第三步设置能排除竞争解释的对照。一般活动、与教师相处的时间、奖励和对课程的期待都可能影响表现。对照条件应尽量匹配这些因素。随机分配可减少已知与未知基线差异，但仍要检查失访、执行程度和测量偏倚。</w:t>
      </w:r>
    </w:p>
    <w:p>
      <w:pPr>
        <w:pStyle w:val="BodyText"/>
      </w:pPr>
      <w:r>
        <w:t xml:space="preserve">第四步将行为疗效和机制结论分别判断。假如课程对新阅读文本有保持收益，可以承认这一效果。假如其脑机制没有被测量，九成闲置的解释仍然缺少依据。研究者无需在效果存在与机制正确之间作捆绑选择。</w:t>
      </w:r>
    </w:p>
    <w:p>
      <w:pPr>
        <w:pStyle w:val="BodyText"/>
      </w:pPr>
      <w:r>
        <w:t xml:space="preserve">第五步评估成本和持续性。短时分数提高可能不抵偿大量时间投入，收益也可能在停止训练后减少。如果十小时训练带来小幅改善，另一种直接学习方法在同样时间带来更大改善，选择就需要比较机会成本。实际决策需要同时报告平均效果、个体差异、退出、负担、随访和替代方案的表现。单个惊人案例对这些问题提供的信息很有限。</w:t>
      </w:r>
    </w:p>
    <w:bookmarkEnd w:id="1374"/>
    <w:bookmarkStart w:id="1375" w:name="sec-74-8"/>
    <w:p>
      <w:pPr>
        <w:pStyle w:val="Heading3"/>
      </w:pPr>
      <w:r>
        <w:t xml:space="preserve">74.8　可推翻证据与学习检验</w:t>
      </w:r>
    </w:p>
    <w:p>
      <w:pPr>
        <w:pStyle w:val="FirstParagraph"/>
      </w:pPr>
      <w:r>
        <w:t xml:space="preserve">本章判断会被什么证据改变？如果研究者能够以多个独立方法识别大规模长期无功能的正常组织，并在有合适对照的干预后证明其开始承担过去不具备的功能，便会直接挑战现有结论。证据还必须排除原有功能未被测到、任务策略变化和组织代偿。这样的可推翻条件比笼统要求找到一个天才个案更严格，也更有科学意义。</w:t>
      </w:r>
    </w:p>
    <w:p>
      <w:pPr>
        <w:pStyle w:val="BodyText"/>
      </w:pPr>
      <w:r>
        <w:t xml:space="preserve">思考题：扫描图中20%的体素显著增加，是否意味着使用了20%的脑？解答：不能。这里统计的是指定比较和阈值下的差异体素，分母也只是被纳入分析的体素。其他体素可在两个条件中都活跃，或存在未达到阈值的变化。</w:t>
      </w:r>
    </w:p>
    <w:p>
      <w:pPr>
        <w:pStyle w:val="BodyText"/>
      </w:pPr>
      <w:r>
        <w:t xml:space="preserve">思考题：某训练使任务成绩提高50%，能否称利用率提高50%？解答：百分比的分母不同。成绩增幅可能受到量表起点、上限和练习特异性的影响；必须先证明成绩与所谓利用率具有可重复的定量关系。</w:t>
      </w:r>
    </w:p>
    <w:p>
      <w:pPr>
        <w:pStyle w:val="BodyText"/>
      </w:pPr>
      <w:r>
        <w:t xml:space="preserve">思考题：一位患者保留很少脑组织却能完成日常任务，是否足以反驳本章？解答：该病例可用于研究代偿与测量边界，但需要病程、残留组织、具体任务和系统性检查。它无法直接证明正常人存在固定比例的无用组织。</w:t>
      </w:r>
    </w:p>
    <w:bookmarkEnd w:id="1375"/>
    <w:bookmarkStart w:id="1376" w:name="sec-74-9"/>
    <w:p>
      <w:pPr>
        <w:pStyle w:val="Heading3"/>
      </w:pPr>
      <w:r>
        <w:t xml:space="preserve">74.9　能量约束与计算效率</w:t>
      </w:r>
    </w:p>
    <w:p>
      <w:pPr>
        <w:pStyle w:val="FirstParagraph"/>
      </w:pPr>
      <w:r>
        <w:t xml:space="preserve">讨论脑潜能时，可以把神经系统理解成在能量、时间、连接和噪声约束下完成任务的系统。一次活动增加可能改善信息传递，也可能增加无关信号、代谢成本或竞争。对“更多活动”的评价因此取决于它带来的信息收益。高效的系统能够在需要时选择有关信号，在不需要时维持较低的无关反应。</w:t>
      </w:r>
    </w:p>
    <w:p>
      <w:pPr>
        <w:pStyle w:val="BodyText"/>
      </w:pPr>
      <w:r>
        <w:t xml:space="preserve">能量预算模型尝试估计动作电位、突触电流和其他细胞过程的成本，再与总体代谢预算对应。</w:t>
      </w:r>
      <w:hyperlink w:anchor="sec-74-1">
        <w:r>
          <w:rPr>
            <w:rStyle w:val="Hyperlink"/>
          </w:rPr>
          <w:t xml:space="preserve">74.1 节</w:t>
        </w:r>
      </w:hyperlink>
      <w:r>
        <w:t xml:space="preserve">提到的Lennie早期皮层计算分析展示了这种推理，并强调强活动在同一时刻所占比例受到能量约束。模型参数、细胞构成、活动定义和跨物种外推影响估计，文中的低比例不能作为全脑未开发百分比使用</w:t>
      </w:r>
      <w:r>
        <w:rPr>
          <w:vertAlign w:val="superscript"/>
        </w:rPr>
        <w:t xml:space="preserve">[</w:t>
      </w:r>
      <w:hyperlink w:anchor="ref-680">
        <w:r>
          <w:rPr>
            <w:rStyle w:val="Hyperlink"/>
            <w:vertAlign w:val="superscript"/>
          </w:rPr>
          <w:t xml:space="preserve">680</w:t>
        </w:r>
      </w:hyperlink>
      <w:r>
        <w:rPr>
          <w:vertAlign w:val="superscript"/>
        </w:rPr>
        <w:t xml:space="preserve">]</w:t>
      </w:r>
      <w:r>
        <w:t xml:space="preserve">。这类模型的科学用途是提出约束及可检验预测。</w:t>
      </w:r>
    </w:p>
    <w:p>
      <w:pPr>
        <w:pStyle w:val="BodyText"/>
      </w:pPr>
      <w:r>
        <w:t xml:space="preserve">一个教学模型可以把系统目标写成：任务价值减去能量成本、延迟成本和错误成本。假设两种策略准确率相同，一种需要更多神经与行为资源，另一种通过知识组织减少计算步骤。在其他条件相当时，较低资源需求可以代表熟练。若任务变得更难，额外资源招募又可能帮助保持成绩。因此，同一个人训练后脑信号降低和升高，都有可能与改善并存；需要结合任务难度与行为结果解释。</w:t>
      </w:r>
    </w:p>
    <w:bookmarkEnd w:id="1376"/>
    <w:bookmarkStart w:id="1377" w:name="sec-74-10"/>
    <w:p>
      <w:pPr>
        <w:pStyle w:val="Heading3"/>
      </w:pPr>
      <w:r>
        <w:t xml:space="preserve">74.10　从神经放电到成像信号</w:t>
      </w:r>
    </w:p>
    <w:p>
      <w:pPr>
        <w:pStyle w:val="FirstParagraph"/>
      </w:pPr>
      <w:r>
        <w:t xml:space="preserve">神经元的动作电位、局部场电位和血氧水平依赖信号属于不同测量层级。动作电位记录细胞输出事件，局部场电位反映一定范围内电活动的混合，血氧水平依赖信号通过血流与氧合变化间接反映活动相关过程。其空间范围、时间分辨率和生成机制都不同。</w:t>
      </w:r>
    </w:p>
    <w:p>
      <w:pPr>
        <w:pStyle w:val="BodyText"/>
      </w:pPr>
      <w:r>
        <w:t xml:space="preserve">Logothetis等在猴视觉皮层同时记录神经信号与功能磁共振信号，发现局部场电位在其研究条件下能较好解释血氧反应，并指出血流响应具有位置与个体依赖性</w:t>
      </w:r>
      <w:r>
        <w:rPr>
          <w:vertAlign w:val="superscript"/>
        </w:rPr>
        <w:t xml:space="preserve">[</w:t>
      </w:r>
      <w:hyperlink w:anchor="ref-119">
        <w:r>
          <w:rPr>
            <w:rStyle w:val="Hyperlink"/>
            <w:vertAlign w:val="superscript"/>
          </w:rPr>
          <w:t xml:space="preserve">119</w:t>
        </w:r>
      </w:hyperlink>
      <w:r>
        <w:rPr>
          <w:vertAlign w:val="superscript"/>
        </w:rPr>
        <w:t xml:space="preserve">]</w:t>
      </w:r>
      <w:r>
        <w:t xml:space="preserve">。这一结果要求读者谨慎解释成像中的“激活”：颜色差异无法直接换算成正在放电的神经元数量，也无法唯一确定一个区域对外输出的强弱。</w:t>
      </w:r>
    </w:p>
    <w:p>
      <w:pPr>
        <w:pStyle w:val="BodyText"/>
      </w:pPr>
      <w:r>
        <w:t xml:space="preserve">假设某课程使一项任务中的血氧信号增加，至少需要依次回答：行为改善是否存在；效应能否排除扫描噪声与多重比较；任务难度和策略是否一致；信号变化是否与行为改善有可靠联系；该联系是否经过独立样本验证。若研究进一步宣称某脑区变化是改善的原因，还需要因果操纵或足够有辨别力的设计。相关中介模型可以组织假设，无法自动消除未测混杂。</w:t>
      </w:r>
    </w:p>
    <w:bookmarkEnd w:id="1377"/>
    <w:bookmarkStart w:id="1378" w:name="sec-74-11"/>
    <w:p>
      <w:pPr>
        <w:pStyle w:val="Heading3"/>
      </w:pPr>
      <w:r>
        <w:t xml:space="preserve">74.11　储备容量需要负荷函数</w:t>
      </w:r>
    </w:p>
    <w:p>
      <w:pPr>
        <w:pStyle w:val="FirstParagraph"/>
      </w:pPr>
      <w:r>
        <w:t xml:space="preserve">若想估计某种功能的储备，可以逐步增加负荷并观察性能曲线。例如，逐渐增加同时需保持的项目数量，观察准确率、反应时间和策略何时改变。单个低负荷测量可能出现天花板效应，使不同能力的人看起来相同；单个极高负荷测量可能出现地板效应，同样掩盖差异。</w:t>
      </w:r>
    </w:p>
    <w:p>
      <w:pPr>
        <w:pStyle w:val="BodyText"/>
      </w:pPr>
      <w:r>
        <w:t xml:space="preserve">一个完整负荷函数可以区分起点、增长斜率和失效区间。甲在低负荷更快，负荷增加后下降明显；乙起点稍慢，却在较高负荷保持准确。两者的优势取决于实际工作需要。把他们分别压成一个“脑开发率”，会丢掉决定任务表现的结构。</w:t>
      </w:r>
    </w:p>
    <w:bookmarkEnd w:id="1378"/>
    <w:bookmarkStart w:id="1379" w:name="sec-74-12"/>
    <w:p>
      <w:pPr>
        <w:pStyle w:val="Heading3"/>
      </w:pPr>
      <w:r>
        <w:t xml:space="preserve">74.12　潜能主张的分层评价</w:t>
      </w:r>
    </w:p>
    <w:p>
      <w:pPr>
        <w:pStyle w:val="FirstParagraph"/>
      </w:pPr>
      <w:r>
        <w:t xml:space="preserve">可以把潜能产品的承诺拆成四层。第一层是参与者喜欢课程并愿意坚持；第二层是练过的任务提高；第三层是相关新任务提高；第四层是现实生活中有价值的持久改善。每层都有独立测量，前一层不能独自代替后一层。课程可以在前两层有价值，同时尚缺后两层证据。</w:t>
      </w:r>
    </w:p>
    <w:p>
      <w:pPr>
        <w:pStyle w:val="BodyText"/>
      </w:pPr>
      <w:r>
        <w:t xml:space="preserve">一个可审查的潜能陈述应写成明确形式：对某类学习者，经过某种时长的训练，与某种对照相比，在某个预先定义的任务中平均改善多少，保持到哪个时间点。这样的表达可以接受重复和反例检验，也允许承认个体差异。没有定义分母的全脑百分比无法提供这些决策信息。</w:t>
      </w:r>
    </w:p>
    <w:bookmarkEnd w:id="1379"/>
    <w:bookmarkStart w:id="1380" w:name="sec-74-13"/>
    <w:p>
      <w:pPr>
        <w:pStyle w:val="Heading3"/>
      </w:pPr>
      <w:r>
        <w:t xml:space="preserve">74.13　本章结论</w:t>
      </w:r>
    </w:p>
    <w:p>
      <w:pPr>
        <w:pStyle w:val="FirstParagraph"/>
      </w:pPr>
      <w:r>
        <w:t xml:space="preserve">利用率百分比需要明确测量对象和分母。脑活动、脑组织功能、学习空间和现实能力分别属于不同问题。对“只用了百分之十”之类的宣传数字，最有力的检验是要求它给出定义、独立指标、对照与可重复预测。对自己的学习，最有价值的行动是选择具体目标，通过反馈和独立测验判断是否进步。</w:t>
      </w:r>
    </w:p>
    <w:bookmarkEnd w:id="1380"/>
    <w:bookmarkEnd w:id="1381"/>
    <w:bookmarkStart w:id="1398" w:name="ch-75"/>
    <w:p>
      <w:pPr>
        <w:pStyle w:val="Heading2"/>
      </w:pPr>
      <w:r>
        <w:t xml:space="preserve">第75章　镜像神经元与“共情神经元”</w:t>
      </w:r>
    </w:p>
    <w:bookmarkStart w:id="1382" w:name="sec-75-1"/>
    <w:p>
      <w:pPr>
        <w:pStyle w:val="Heading3"/>
      </w:pPr>
      <w:r>
        <w:t xml:space="preserve">75.1　发现与扩张</w:t>
      </w:r>
    </w:p>
    <w:p>
      <w:pPr>
        <w:pStyle w:val="FirstParagraph"/>
      </w:pPr>
      <w:r>
        <w:t xml:space="preserve">1990 年代，意大利帕尔马的研究团队在猕猴运动前皮层发现一类神经元：猴子自己抓取食物时放电，看到别人做同样动作时也放电</w:t>
      </w:r>
      <w:r>
        <w:rPr>
          <w:vertAlign w:val="superscript"/>
        </w:rPr>
        <w:t xml:space="preserve">[</w:t>
      </w:r>
      <w:hyperlink w:anchor="ref-682">
        <w:r>
          <w:rPr>
            <w:rStyle w:val="Hyperlink"/>
            <w:vertAlign w:val="superscript"/>
          </w:rPr>
          <w:t xml:space="preserve">682</w:t>
        </w:r>
      </w:hyperlink>
      <w:r>
        <w:rPr>
          <w:vertAlign w:val="superscript"/>
        </w:rPr>
        <w:t xml:space="preserve">]</w:t>
      </w:r>
      <w:r>
        <w:t xml:space="preserve">；在一项记录中，来自两只猴子的 532 个神经元里有 92 个具有这种性质</w:t>
      </w:r>
      <w:r>
        <w:rPr>
          <w:vertAlign w:val="superscript"/>
        </w:rPr>
        <w:t xml:space="preserve">[</w:t>
      </w:r>
      <w:hyperlink w:anchor="ref-683">
        <w:r>
          <w:rPr>
            <w:rStyle w:val="Hyperlink"/>
            <w:vertAlign w:val="superscript"/>
          </w:rPr>
          <w:t xml:space="preserve">683</w:t>
        </w:r>
      </w:hyperlink>
      <w:r>
        <w:rPr>
          <w:vertAlign w:val="superscript"/>
        </w:rPr>
        <w:t xml:space="preserve">]</w:t>
      </w:r>
      <w:r>
        <w:t xml:space="preserve">；细胞数虽多，独立的动物只有两只，这个比例还取决于记录部位和筛选标准，推不出整个大脑的比例。这是一个真实而重要的发现。之后它被迅速用来解释共情、语言、文化学习乃至自闭症，大众读物里常称为“共情神经元”。</w:t>
      </w:r>
    </w:p>
    <w:p>
      <w:pPr>
        <w:pStyle w:val="BodyText"/>
      </w:pPr>
      <w:r>
        <w:t xml:space="preserve">实际证据要窄得多。人类镜像系统的证据大多是间接的（脑成像、脑电），细胞层面的直接记录很少（见</w:t>
      </w:r>
      <w:r>
        <w:t xml:space="preserve"> </w:t>
      </w:r>
      <w:hyperlink w:anchor="sec-75-2">
        <w:r>
          <w:rPr>
            <w:rStyle w:val="Hyperlink"/>
          </w:rPr>
          <w:t xml:space="preserve">75.2</w:t>
        </w:r>
      </w:hyperlink>
      <w:r>
        <w:t xml:space="preserve">）。镜像响应的存在是明确的；它们对理解动作和意图是否必需、从何而来、在复杂的社会认知中起多大作用，仍有很大争议</w:t>
      </w:r>
      <w:r>
        <w:rPr>
          <w:vertAlign w:val="superscript"/>
        </w:rPr>
        <w:t xml:space="preserve">[</w:t>
      </w:r>
      <w:hyperlink w:anchor="ref-684">
        <w:r>
          <w:rPr>
            <w:rStyle w:val="Hyperlink"/>
            <w:vertAlign w:val="superscript"/>
          </w:rPr>
          <w:t xml:space="preserve">684</w:t>
        </w:r>
      </w:hyperlink>
      <w:r>
        <w:rPr>
          <w:vertAlign w:val="superscript"/>
        </w:rPr>
        <w:t xml:space="preserve">,</w:t>
      </w:r>
      <w:hyperlink w:anchor="ref-685">
        <w:r>
          <w:rPr>
            <w:rStyle w:val="Hyperlink"/>
            <w:vertAlign w:val="superscript"/>
          </w:rPr>
          <w:t xml:space="preserve">685</w:t>
        </w:r>
      </w:hyperlink>
      <w:r>
        <w:rPr>
          <w:vertAlign w:val="superscript"/>
        </w:rPr>
        <w:t xml:space="preserve">]</w:t>
      </w:r>
      <w:r>
        <w:t xml:space="preserve">；也有研究者认为，镜像神经元是联想学习的产物，没有专门为社会认知演化出来</w:t>
      </w:r>
      <w:r>
        <w:rPr>
          <w:vertAlign w:val="superscript"/>
        </w:rPr>
        <w:t xml:space="preserve">[</w:t>
      </w:r>
      <w:hyperlink w:anchor="ref-686">
        <w:r>
          <w:rPr>
            <w:rStyle w:val="Hyperlink"/>
            <w:vertAlign w:val="superscript"/>
          </w:rPr>
          <w:t xml:space="preserve">686</w:t>
        </w:r>
      </w:hyperlink>
      <w:r>
        <w:rPr>
          <w:vertAlign w:val="superscript"/>
        </w:rPr>
        <w:t xml:space="preserve">]</w:t>
      </w:r>
      <w:r>
        <w:t xml:space="preserve">。“镜像系统破碎导致自闭症”的假说没有得到系统综述的支持（</w:t>
      </w:r>
      <w:hyperlink w:anchor="sec-75-6">
        <w:r>
          <w:rPr>
            <w:rStyle w:val="Hyperlink"/>
          </w:rPr>
          <w:t xml:space="preserve">75.6</w:t>
        </w:r>
      </w:hyperlink>
      <w:r>
        <w:t xml:space="preserve">）</w:t>
      </w:r>
      <w:r>
        <w:rPr>
          <w:vertAlign w:val="superscript"/>
        </w:rPr>
        <w:t xml:space="preserve">[</w:t>
      </w:r>
      <w:hyperlink w:anchor="ref-687">
        <w:r>
          <w:rPr>
            <w:rStyle w:val="Hyperlink"/>
            <w:vertAlign w:val="superscript"/>
          </w:rPr>
          <w:t xml:space="preserve">687</w:t>
        </w:r>
      </w:hyperlink>
      <w:r>
        <w:rPr>
          <w:vertAlign w:val="superscript"/>
        </w:rPr>
        <w:t xml:space="preserve">]</w:t>
      </w:r>
      <w:r>
        <w:t xml:space="preserve">，这否定的是强的单一病因版本；自闭症人群在部分动作观察指标上是否存在较小的差异，需要另外回答；自闭症本身异质性很大，机制也是多样的。共情的神经基础涉及多个网络，至少可以区分情绪共鸣、观点采择和关怀动机这几个成分（慈悲训练的研究见</w:t>
      </w:r>
      <w:r>
        <w:t xml:space="preserve"> </w:t>
      </w:r>
      <w:hyperlink w:anchor="sec-119-3">
        <w:r>
          <w:rPr>
            <w:rStyle w:val="Hyperlink"/>
          </w:rPr>
          <w:t xml:space="preserve">119.3</w:t>
        </w:r>
      </w:hyperlink>
      <w:r>
        <w:t xml:space="preserve">）。</w:t>
      </w:r>
    </w:p>
    <w:p>
      <w:pPr>
        <w:pStyle w:val="CalloutJudgment"/>
      </w:pPr>
      <w:r>
        <w:rPr>
          <w:bCs/>
          <w:b/>
        </w:rPr>
        <w:t xml:space="preserve">判断　</w:t>
      </w:r>
      <w:r>
        <w:t xml:space="preserve">“镜像神经元存在”</w:t>
      </w:r>
      <w:r>
        <w:rPr>
          <w:bCs/>
          <w:b/>
        </w:rPr>
        <w:t xml:space="preserve">成立·高</w:t>
      </w:r>
      <w:r>
        <w:t xml:space="preserve">；“镜像神经元是共情的来源”</w:t>
      </w:r>
      <w:r>
        <w:rPr>
          <w:bCs/>
          <w:b/>
        </w:rPr>
        <w:t xml:space="preserve">证据不足·中</w:t>
      </w:r>
      <w:r>
        <w:t xml:space="preserve">；“自闭症源于镜像系统破碎”</w:t>
      </w:r>
      <w:r>
        <w:rPr>
          <w:bCs/>
          <w:b/>
        </w:rPr>
        <w:t xml:space="preserve">错误·高</w:t>
      </w:r>
      <w:r>
        <w:t xml:space="preserve">。</w:t>
      </w:r>
    </w:p>
    <w:bookmarkEnd w:id="1382"/>
    <w:bookmarkStart w:id="1383" w:name="sec-75-2"/>
    <w:p>
      <w:pPr>
        <w:pStyle w:val="Heading3"/>
      </w:pPr>
      <w:r>
        <w:t xml:space="preserve">75.2　先定义观察到的神经现象</w:t>
      </w:r>
    </w:p>
    <w:p>
      <w:pPr>
        <w:pStyle w:val="FirstParagraph"/>
      </w:pPr>
      <w:r>
        <w:t xml:space="preserve">镜像样响应通常指细胞在自己执行某类动作和观察相关动作时均出现特定反应。人类也有直接细胞记录证据。对现象存在的置信度高；对它统一解释共情、读心、语言或自闭症的主张，证据明显不足。每一种功能都需要单独定义和检验</w:t>
      </w:r>
      <w:r>
        <w:rPr>
          <w:vertAlign w:val="superscript"/>
        </w:rPr>
        <w:t xml:space="preserve">[</w:t>
      </w:r>
      <w:hyperlink w:anchor="ref-684">
        <w:r>
          <w:rPr>
            <w:rStyle w:val="Hyperlink"/>
            <w:vertAlign w:val="superscript"/>
          </w:rPr>
          <w:t xml:space="preserve">684</w:t>
        </w:r>
      </w:hyperlink>
      <w:r>
        <w:rPr>
          <w:vertAlign w:val="superscript"/>
        </w:rPr>
        <w:t xml:space="preserve">,</w:t>
      </w:r>
      <w:hyperlink w:anchor="ref-687">
        <w:r>
          <w:rPr>
            <w:rStyle w:val="Hyperlink"/>
            <w:vertAlign w:val="superscript"/>
          </w:rPr>
          <w:t xml:space="preserve">687</w:t>
        </w:r>
      </w:hyperlink>
      <w:r>
        <w:rPr>
          <w:vertAlign w:val="superscript"/>
        </w:rPr>
        <w:t xml:space="preserve">,</w:t>
      </w:r>
      <w:hyperlink w:anchor="ref-688">
        <w:r>
          <w:rPr>
            <w:rStyle w:val="Hyperlink"/>
            <w:vertAlign w:val="superscript"/>
          </w:rPr>
          <w:t xml:space="preserve">688</w:t>
        </w:r>
      </w:hyperlink>
      <w:r>
        <w:rPr>
          <w:vertAlign w:val="superscript"/>
        </w:rPr>
        <w:t xml:space="preserve">]</w:t>
      </w:r>
      <w:r>
        <w:t xml:space="preserve">。</w:t>
      </w:r>
    </w:p>
    <w:p>
      <w:pPr>
        <w:pStyle w:val="BodyText"/>
      </w:pPr>
      <w:r>
        <w:t xml:space="preserve">在宏观影像中，同一脑区在执行和观察条件下都活跃，不能保证同一批神经元承担两种响应。一个体素包含大量细胞与血管，两个条件可能激活其中不同子群。单细胞记录缩小了这一不确定性，但又受到采样位置、细胞识别和临床人群的限制。</w:t>
      </w:r>
    </w:p>
    <w:p>
      <w:pPr>
        <w:pStyle w:val="BodyText"/>
      </w:pPr>
      <w:r>
        <w:t xml:space="preserve">Mukamel 等人记录了 21 名因治疗癫痫而植入电极的患者的 1177 个神经元，在辅助运动区和海马中观察到一部分细胞在执行和观察动作时都放电，也有细胞在两种条件下的反应方向相反；记录部位由临床需要决定</w:t>
      </w:r>
      <w:r>
        <w:rPr>
          <w:vertAlign w:val="superscript"/>
        </w:rPr>
        <w:t xml:space="preserve">[</w:t>
      </w:r>
      <w:hyperlink w:anchor="ref-688">
        <w:r>
          <w:rPr>
            <w:rStyle w:val="Hyperlink"/>
            <w:vertAlign w:val="superscript"/>
          </w:rPr>
          <w:t xml:space="preserve">688</w:t>
        </w:r>
      </w:hyperlink>
      <w:r>
        <w:rPr>
          <w:vertAlign w:val="superscript"/>
        </w:rPr>
        <w:t xml:space="preserve">]</w:t>
      </w:r>
      <w:r>
        <w:t xml:space="preserve">。这个结果支持人类的动作观察与执行在细胞层面存在联系，没有直接证明这些细胞是复杂社会理解的唯一原因。</w:t>
      </w:r>
    </w:p>
    <w:bookmarkEnd w:id="1383"/>
    <w:bookmarkStart w:id="1384" w:name="sec-75-3"/>
    <w:p>
      <w:pPr>
        <w:pStyle w:val="Heading3"/>
      </w:pPr>
      <w:r>
        <w:t xml:space="preserve">75.3　动作识别与意图理解需要区分</w:t>
      </w:r>
    </w:p>
    <w:p>
      <w:pPr>
        <w:pStyle w:val="FirstParagraph"/>
      </w:pPr>
      <w:r>
        <w:t xml:space="preserve">看到一只手抓杯子，可以识别手的轨迹和动作形式，预测接触位置，判断目标是拿起杯子，还可以推测对方想喝水、递杯或收拾桌面。这些层次依赖的信息不同。手部运动线索足以支持动作识别和某些轨迹预测，却很难单独区分喝水、递杯或检查杯子是否破损；意图判断还需要场景、先前经历、语言和对方信念。一个细胞响应抓握动作，无法单独证明它已经表示所有社会语义；若实验只区分抓取与放下，也不能直接把神经反应命名为对复杂社会意图的读取。</w:t>
      </w:r>
    </w:p>
    <w:p>
      <w:pPr>
        <w:pStyle w:val="BodyText"/>
      </w:pPr>
      <w:r>
        <w:t xml:space="preserve">同一动作在不同情境中可能具有不同意图，同一意图也可以通过不同动作实现。如果一个机制被认为解释意图，它应当在动作形式变化但意图保留时显示相应稳定性，并在动作相同而意图变化时显示可区分信息。仅在执行与观看之间发现重叠，尚未满足这两个要求。</w:t>
      </w:r>
    </w:p>
    <w:p>
      <w:pPr>
        <w:pStyle w:val="BodyText"/>
      </w:pPr>
      <w:r>
        <w:t xml:space="preserve">这种检验也适用于计算模型。一个模型如果能够识别视频中的动作类别，不必能够理解行动者的信念。评价应使用与理论结论相匹配的任务，不能用一个较容易的识别成绩替代更复杂的心理推断能力。</w:t>
      </w:r>
    </w:p>
    <w:bookmarkEnd w:id="1384"/>
    <w:bookmarkStart w:id="1385" w:name="sec-75-4"/>
    <w:p>
      <w:pPr>
        <w:pStyle w:val="Heading3"/>
      </w:pPr>
      <w:r>
        <w:t xml:space="preserve">75.4　共情具有多种成分</w:t>
      </w:r>
    </w:p>
    <w:p>
      <w:pPr>
        <w:pStyle w:val="FirstParagraph"/>
      </w:pPr>
      <w:r>
        <w:t xml:space="preserve">共情可以指识别他人状态、对他人情感的感受反应（情绪共鸣）、理解他人处境（观点采择）、区分自己与他人的状态，或产生关怀动机和帮助行为。这些成分可以部分分离。一个人理解对方疼痛，却未产生强烈相同感觉；另一个人感到强烈不适，却无法准确判断对方需要什么，甚至因自身不适而回避；能准确识别痛苦的人，也未必愿意帮助。把全部成分压缩为一个镜像指标或单一高低标签，会丢失重要差异，并削弱对实际行为的预测。</w:t>
      </w:r>
    </w:p>
    <w:p>
      <w:pPr>
        <w:pStyle w:val="BodyText"/>
      </w:pPr>
      <w:r>
        <w:t xml:space="preserve">研究需要说明测量的是主观报告、行为选择、生理共变还是神经活动。自评共情高，不自动保证实际判断准确；神经活动相似，也不能直接证明同等主观体验。观察他人受伤时的动作或感觉相关响应，可以成为理解对方身体状态的一部分证据；是否产生关怀，还受到关系、规范、成本和情境影响。若研究声称某项训练提高共情，应检查它改变的是自评、识别正确率、即时情绪还是真实帮助行为，并确认这些指标能否在后续情境保持。不同指标的关系本身就是需要研究的问题。</w:t>
      </w:r>
    </w:p>
    <w:p>
      <w:pPr>
        <w:pStyle w:val="BodyText"/>
      </w:pPr>
      <w:r>
        <w:t xml:space="preserve">必要性证据尤其重要。如果某机制对一种社会理解不可缺少，选择性干扰应使相应理解受损，同时尽量保留视觉、语言、记忆和动作反应。否则，任务失败可能来自一般困难。充分性也需要相应结局：改变某信号并引出一种动作倾向，无法直接证明完整共情已经产生</w:t>
      </w:r>
      <w:r>
        <w:rPr>
          <w:vertAlign w:val="superscript"/>
        </w:rPr>
        <w:t xml:space="preserve">[</w:t>
      </w:r>
      <w:hyperlink w:anchor="ref-684">
        <w:r>
          <w:rPr>
            <w:rStyle w:val="Hyperlink"/>
            <w:vertAlign w:val="superscript"/>
          </w:rPr>
          <w:t xml:space="preserve">684</w:t>
        </w:r>
      </w:hyperlink>
      <w:r>
        <w:rPr>
          <w:vertAlign w:val="superscript"/>
        </w:rPr>
        <w:t xml:space="preserve">]</w:t>
      </w:r>
      <w:r>
        <w:t xml:space="preserve">。</w:t>
      </w:r>
    </w:p>
    <w:bookmarkEnd w:id="1385"/>
    <w:bookmarkStart w:id="1386" w:name="sec-75-5"/>
    <w:p>
      <w:pPr>
        <w:pStyle w:val="Heading3"/>
      </w:pPr>
      <w:r>
        <w:t xml:space="preserve">75.5　学习史与经验可能怎样改变响应</w:t>
      </w:r>
    </w:p>
    <w:p>
      <w:pPr>
        <w:pStyle w:val="FirstParagraph"/>
      </w:pPr>
      <w:r>
        <w:t xml:space="preserve">观察和执行之间的联系可以受到经验影响。感觉与动作经常在学习中共同出现：婴幼儿观察自己的手、成人练习技能、人与人相互模仿，都能提供关联经验，关联学习理论据此解释部分观察与执行之间的映射。研究需要区分先天组织、日常感觉运动学习和实验训练的贡献；先天结构与经验塑造也可以同时发挥作用。两种响应相关，并不能单独决定它们如何形成。若模型声称某种映射天生固定，就应预测在不同经验条件下的稳定性；若模型强调学习，则应给出训练能够改变哪些关联的预测。关键问题是哪些关系在何种经历下形成、改变或保持稳定</w:t>
      </w:r>
      <w:r>
        <w:rPr>
          <w:vertAlign w:val="superscript"/>
        </w:rPr>
        <w:t xml:space="preserve">[</w:t>
      </w:r>
      <w:hyperlink w:anchor="ref-686">
        <w:r>
          <w:rPr>
            <w:rStyle w:val="Hyperlink"/>
            <w:vertAlign w:val="superscript"/>
          </w:rPr>
          <w:t xml:space="preserve">686</w:t>
        </w:r>
      </w:hyperlink>
      <w:r>
        <w:rPr>
          <w:vertAlign w:val="superscript"/>
        </w:rPr>
        <w:t xml:space="preserve">]</w:t>
      </w:r>
      <w:r>
        <w:t xml:space="preserve">。</w:t>
      </w:r>
    </w:p>
    <w:p>
      <w:pPr>
        <w:pStyle w:val="BodyText"/>
      </w:pPr>
      <w:r>
        <w:t xml:space="preserve">这类问题已有直接的训练实验。Catmur及同事让参与者在看到食指动作时做小指动作、看到小指动作时做食指动作。经过这种与镜像关系相反的配对训练，观察动作时由经颅磁刺激诱发的手部肌肉响应模式随新的配对关系发生反转。这类训练出现改变时，支持可塑性；没有改变时，仍需检查训练量、任务参与和测量敏感性。即使出现变化，也只能说明系统在成人阶段具有可塑性，不能证明全部初始响应都由相同学习过程形成。单次成人训练无法完整重建发育过程，形成机制与成人可改变性属于相关但不同的问题，结论应限定于训练条件下的可变部分</w:t>
      </w:r>
      <w:r>
        <w:rPr>
          <w:vertAlign w:val="superscript"/>
        </w:rPr>
        <w:t xml:space="preserve">[</w:t>
      </w:r>
      <w:hyperlink w:anchor="ref-686">
        <w:r>
          <w:rPr>
            <w:rStyle w:val="Hyperlink"/>
            <w:vertAlign w:val="superscript"/>
          </w:rPr>
          <w:t xml:space="preserve">686</w:t>
        </w:r>
      </w:hyperlink>
      <w:r>
        <w:rPr>
          <w:vertAlign w:val="superscript"/>
        </w:rPr>
        <w:t xml:space="preserve">]</w:t>
      </w:r>
      <w:r>
        <w:t xml:space="preserve">。</w:t>
      </w:r>
    </w:p>
    <w:p>
      <w:pPr>
        <w:pStyle w:val="BodyText"/>
      </w:pPr>
      <w:r>
        <w:t xml:space="preserve">专业经验也会影响任务熟悉度和注意。舞者、运动员或音乐家观看熟悉动作时的神经差异，可能同时反映运动知识、动作预测、视觉经验、动作准备和注意投入。专家可能更准确预测关键接触点，也可能更有效地忽略无关细节，其平均活动更高或更低都可能出现；单一活动方向不足以判定学习机制。把专业经验视为单一变量，会隐藏这些共同变化。跨文化、跨技能和发育比较能扩充解释，但同样需要控制熟悉度、视觉经验和任务理解。研究要区分这些成分，需要加入只观看、不执行的训练组，以及执行训练但视觉暴露与之匹配的组。</w:t>
      </w:r>
    </w:p>
    <w:bookmarkEnd w:id="1386"/>
    <w:bookmarkStart w:id="1387" w:name="sec-75-6"/>
    <w:p>
      <w:pPr>
        <w:pStyle w:val="Heading3"/>
      </w:pPr>
      <w:r>
        <w:t xml:space="preserve">75.6　自闭症统一镜像缺陷说的问题</w:t>
      </w:r>
    </w:p>
    <w:p>
      <w:pPr>
        <w:pStyle w:val="FirstParagraph"/>
      </w:pPr>
      <w:r>
        <w:t xml:space="preserve">Hamilton的系统综述评估25篇使用多类神经方法的研究，发现结果混合，缺少支持普遍镜像系统破损的稳定模式。它限制了全局病因理论，也提醒研究者检查注意、任务理解、运动经验和个体差异。某一测量正常，不能证明全部社会困难都不存在；某一测量异常，也不能直接确定统一病因</w:t>
      </w:r>
      <w:r>
        <w:rPr>
          <w:vertAlign w:val="superscript"/>
        </w:rPr>
        <w:t xml:space="preserve">[</w:t>
      </w:r>
      <w:hyperlink w:anchor="ref-687">
        <w:r>
          <w:rPr>
            <w:rStyle w:val="Hyperlink"/>
            <w:vertAlign w:val="superscript"/>
          </w:rPr>
          <w:t xml:space="preserve">687</w:t>
        </w:r>
      </w:hyperlink>
      <w:r>
        <w:rPr>
          <w:vertAlign w:val="superscript"/>
        </w:rPr>
        <w:t xml:space="preserve">]</w:t>
      </w:r>
      <w:r>
        <w:t xml:space="preserve">。</w:t>
      </w:r>
    </w:p>
    <w:p>
      <w:pPr>
        <w:pStyle w:val="BodyText"/>
      </w:pPr>
      <w:r>
        <w:t xml:space="preserve">自闭症具有明显异质性。把所有个体放在同一组比较平均值，可能掩盖不同路径和支持需求。若理论转向某个子群体，需要预先定义该群体，并在独立样本中检验。不能在每次结果不符合预期后重新寻找一个“真正受损”的子群体，再把它当作原理论已经成功。在个体层面，应尊重语言、感觉、注意、动作和社会经验的不同组合；脑研究可以帮助理解某些过程，同时不能由一个实验代理指标推断一个人的情感价值或道德品质。</w:t>
      </w:r>
    </w:p>
    <w:p>
      <w:pPr>
        <w:pStyle w:val="BodyText"/>
      </w:pPr>
      <w:r>
        <w:t xml:space="preserve">因果方向也很重要。社会经验差异可能影响动作观察任务表现，任务表现差异又可能与后续经验相互作用。横断面相关无法决定哪个环节最先出现。纵向研究可以帮助确定时序，干预研究可以检查某个环节改变后是否带来预期的功能变化。</w:t>
      </w:r>
    </w:p>
    <w:bookmarkEnd w:id="1387"/>
    <w:bookmarkStart w:id="1388" w:name="sec-75-7"/>
    <w:p>
      <w:pPr>
        <w:pStyle w:val="Heading3"/>
      </w:pPr>
      <w:r>
        <w:t xml:space="preserve">75.7　康复和教学中的证据不能由名称转借</w:t>
      </w:r>
    </w:p>
    <w:p>
      <w:pPr>
        <w:pStyle w:val="FirstParagraph"/>
      </w:pPr>
      <w:r>
        <w:t xml:space="preserve">某种观察动作训练、模仿训练或镜像反馈方法是否有临床价值，需要按具体疾病、功能结局和对照检验。即使某方法有效，也不能自动证明效果全部通过镜像神经元实现。训练可能同时提供视觉反馈、增加练习、改变注意或期待。</w:t>
      </w:r>
    </w:p>
    <w:p>
      <w:pPr>
        <w:pStyle w:val="BodyText"/>
      </w:pPr>
      <w:r>
        <w:t xml:space="preserve">若一个产品宣称能够通过激活镜像神经元提高共情，应说明具体训练内容、临床或生活结局、维持时间，以及与相同投入的对照相比是否有增益。脑区名称不会弥补缺失的疗效试验。</w:t>
      </w:r>
    </w:p>
    <w:bookmarkEnd w:id="1388"/>
    <w:bookmarkStart w:id="1389" w:name="sec-75-8"/>
    <w:p>
      <w:pPr>
        <w:pStyle w:val="Heading3"/>
      </w:pPr>
      <w:r>
        <w:t xml:space="preserve">75.8　同一细胞的响应与群体信号重叠</w:t>
      </w:r>
    </w:p>
    <w:p>
      <w:pPr>
        <w:pStyle w:val="FirstParagraph"/>
      </w:pPr>
      <w:r>
        <w:t xml:space="preserve">细胞对两类事件响应，也需要进一步检验其选择性。若细胞对所有视觉刺激和所有动作都响应，共享活动对特定动作匹配的说明力有限。研究可比较动作种类、目标、观察角度、运动学特征和任务要求，判断响应究竟共享何种信息。即使发现选择性匹配，功能解释仍需考虑预测、学习、动作准备和注意等候选过程</w:t>
      </w:r>
      <w:r>
        <w:rPr>
          <w:vertAlign w:val="superscript"/>
        </w:rPr>
        <w:t xml:space="preserve">[</w:t>
      </w:r>
      <w:hyperlink w:anchor="ref-684">
        <w:r>
          <w:rPr>
            <w:rStyle w:val="Hyperlink"/>
            <w:vertAlign w:val="superscript"/>
          </w:rPr>
          <w:t xml:space="preserve">684</w:t>
        </w:r>
      </w:hyperlink>
      <w:r>
        <w:rPr>
          <w:vertAlign w:val="superscript"/>
        </w:rPr>
        <w:t xml:space="preserve">,</w:t>
      </w:r>
      <w:hyperlink w:anchor="ref-688">
        <w:r>
          <w:rPr>
            <w:rStyle w:val="Hyperlink"/>
            <w:vertAlign w:val="superscript"/>
          </w:rPr>
          <w:t xml:space="preserve">688</w:t>
        </w:r>
      </w:hyperlink>
      <w:r>
        <w:rPr>
          <w:vertAlign w:val="superscript"/>
        </w:rPr>
        <w:t xml:space="preserve">,</w:t>
      </w:r>
      <w:hyperlink w:anchor="ref-689">
        <w:r>
          <w:rPr>
            <w:rStyle w:val="Hyperlink"/>
            <w:vertAlign w:val="superscript"/>
          </w:rPr>
          <w:t xml:space="preserve">689</w:t>
        </w:r>
      </w:hyperlink>
      <w:r>
        <w:rPr>
          <w:vertAlign w:val="superscript"/>
        </w:rPr>
        <w:t xml:space="preserve">]</w:t>
      </w:r>
      <w:r>
        <w:t xml:space="preserve">。</w:t>
      </w:r>
    </w:p>
    <w:p>
      <w:pPr>
        <w:pStyle w:val="BodyText"/>
      </w:pPr>
      <w:r>
        <w:t xml:space="preserve">群体水平可采用跨条件解码：在执行动作条件训练分类器，观察其能否识别观察条件中的动作类别。这比只比较整体活动重叠提出更强的表征约束，但成功仍可能来自两个条件共享的其他特征。若执行和观察都伴随同一种文字标签、节奏或预期，这些因素也可能支持泛化。实验设计需要把希望研究的共享内容与附带线索分开。</w:t>
      </w:r>
    </w:p>
    <w:bookmarkEnd w:id="1389"/>
    <w:bookmarkStart w:id="1390" w:name="sec-75-9"/>
    <w:p>
      <w:pPr>
        <w:pStyle w:val="Heading3"/>
      </w:pPr>
      <w:r>
        <w:t xml:space="preserve">75.9　脑电节律怎样成为间接指标</w:t>
      </w:r>
    </w:p>
    <w:p>
      <w:pPr>
        <w:pStyle w:val="FirstParagraph"/>
      </w:pPr>
      <w:r>
        <w:t xml:space="preserve">头皮脑电测量大规模同步电流形成的电位差。所谓mu节律抑制，指某些感觉运动相关频段的功率相对基线下降。功率下降能够显示群体状态变化，却无法独自指出是哪一类单细胞在放电，也无法确定观察与执行条件是否由同一细胞群驱动。将其用作镜像机制的代理指标，需要额外的效度证据</w:t>
      </w:r>
      <w:r>
        <w:rPr>
          <w:vertAlign w:val="superscript"/>
        </w:rPr>
        <w:t xml:space="preserve">[</w:t>
      </w:r>
      <w:hyperlink w:anchor="ref-690">
        <w:r>
          <w:rPr>
            <w:rStyle w:val="Hyperlink"/>
            <w:vertAlign w:val="superscript"/>
          </w:rPr>
          <w:t xml:space="preserve">690</w:t>
        </w:r>
      </w:hyperlink>
      <w:r>
        <w:rPr>
          <w:vertAlign w:val="superscript"/>
        </w:rPr>
        <w:t xml:space="preserve">]</w:t>
      </w:r>
      <w:r>
        <w:t xml:space="preserve">。</w:t>
      </w:r>
    </w:p>
    <w:p>
      <w:pPr>
        <w:pStyle w:val="BodyText"/>
      </w:pPr>
      <w:r>
        <w:t xml:space="preserve">Hobson与Bishop的实验及方法研究检验了mu抑制的选择性，强调基线、视觉注意和枕部alpha活动等因素对解释的影响。相关领域仍有关于适当设计和可用范围的讨论。可靠的结论是该指标具有条件性，单一头皮功率变化不足以直接测量一个人的镜像神经元数量或共情能力</w:t>
      </w:r>
      <w:r>
        <w:rPr>
          <w:vertAlign w:val="superscript"/>
        </w:rPr>
        <w:t xml:space="preserve">[</w:t>
      </w:r>
      <w:hyperlink w:anchor="ref-690">
        <w:r>
          <w:rPr>
            <w:rStyle w:val="Hyperlink"/>
            <w:vertAlign w:val="superscript"/>
          </w:rPr>
          <w:t xml:space="preserve">690</w:t>
        </w:r>
      </w:hyperlink>
      <w:r>
        <w:rPr>
          <w:vertAlign w:val="superscript"/>
        </w:rPr>
        <w:t xml:space="preserve">,</w:t>
      </w:r>
      <w:hyperlink w:anchor="ref-691">
        <w:r>
          <w:rPr>
            <w:rStyle w:val="Hyperlink"/>
            <w:vertAlign w:val="superscript"/>
          </w:rPr>
          <w:t xml:space="preserve">691</w:t>
        </w:r>
      </w:hyperlink>
      <w:r>
        <w:rPr>
          <w:vertAlign w:val="superscript"/>
        </w:rPr>
        <w:t xml:space="preserve">]</w:t>
      </w:r>
      <w:r>
        <w:t xml:space="preserve">。</w:t>
      </w:r>
    </w:p>
    <w:p>
      <w:pPr>
        <w:pStyle w:val="BodyText"/>
      </w:pPr>
      <w:r>
        <w:t xml:space="preserve">选择基线会改变估计值。若基线是闭眼静息，观察视频时的视觉输入变化可能产生大范围节律差异；若基线是动态但没有生物动作的图案，则视觉运动控制更接近，但注意、复杂度和意义仍可能不同。合理方案应预先说明比较意图，同时检查中央与枕部电极的空间分布，并处理眼动和肌肉伪迹。</w:t>
      </w:r>
    </w:p>
    <w:p>
      <w:pPr>
        <w:pStyle w:val="BodyText"/>
      </w:pPr>
      <w:r>
        <w:t xml:space="preserve">节律功率的单位、变换和归一化也会影响可比性。百分比变化、对数比值与绝对功率对应不同统计性质。跨组比较时，若基线功率本来不同，相同变化比例可能对应不同绝对变化。公开分析代码、报告基线分布和进行预先规定的稳健性分析，可以使结论更透明。研究者应避免遍历频段、电极与时间窗后，只报告最符合假设的一组结果。</w:t>
      </w:r>
    </w:p>
    <w:bookmarkEnd w:id="1390"/>
    <w:bookmarkStart w:id="1391" w:name="sec-75-10"/>
    <w:p>
      <w:pPr>
        <w:pStyle w:val="Heading3"/>
      </w:pPr>
      <w:r>
        <w:t xml:space="preserve">75.10　动作理解需要界定成功标准</w:t>
      </w:r>
    </w:p>
    <w:p>
      <w:pPr>
        <w:pStyle w:val="FirstParagraph"/>
      </w:pPr>
      <w:r>
        <w:t xml:space="preserve">如果研究把识别轨迹、预测接触、判断目标和推断意图等不同任务都称为动作理解，理论便容易把任何相关结果算作支持。更有判别力的实验应明确正确答案是什么、哪些信息足以作答，以及移除哪种信息会使表现下降。动作系统对预测可见运动的贡献，可以与对隐藏信念的推断分开测量，避免一个宽泛词语包揽全部社会认知。</w:t>
      </w:r>
    </w:p>
    <w:p>
      <w:pPr>
        <w:pStyle w:val="BodyText"/>
      </w:pPr>
      <w:r>
        <w:t xml:space="preserve">还可检验参与者不具备相应运动技能时的理解。若能正确推断某个动作的目标，说明完整执行能力并非该任务成功的普遍必要条件；这种结果仍允许运动经验改善预测速度或细节精度。必要、促进和伴随是不同强度的主张，应为每一种主张选择相应设计。</w:t>
      </w:r>
    </w:p>
    <w:bookmarkEnd w:id="1391"/>
    <w:bookmarkStart w:id="1392" w:name="sec-75-11"/>
    <w:p>
      <w:pPr>
        <w:pStyle w:val="Heading3"/>
      </w:pPr>
      <w:r>
        <w:t xml:space="preserve">75.11　前向模型提供可检验的计算关系</w:t>
      </w:r>
    </w:p>
    <w:p>
      <w:pPr>
        <w:pStyle w:val="FirstParagraph"/>
      </w:pPr>
      <w:r>
        <w:t xml:space="preserve">运动控制中的前向模型指利用当前状态和运动指令预测近期感觉后果的计算关系。相关理论提出，部分相似的预测问题也可能出现在动作观察和社会互动中：观察者根据动作线索推测接下来会出现什么。该框架提供研究假设，单靠计算相似性无法证明镜像神经元承担全部预测或理解</w:t>
      </w:r>
      <w:r>
        <w:rPr>
          <w:vertAlign w:val="superscript"/>
        </w:rPr>
        <w:t xml:space="preserve">[</w:t>
      </w:r>
      <w:hyperlink w:anchor="ref-692">
        <w:r>
          <w:rPr>
            <w:rStyle w:val="Hyperlink"/>
            <w:vertAlign w:val="superscript"/>
          </w:rPr>
          <w:t xml:space="preserve">692</w:t>
        </w:r>
      </w:hyperlink>
      <w:r>
        <w:rPr>
          <w:vertAlign w:val="superscript"/>
        </w:rPr>
        <w:t xml:space="preserve">]</w:t>
      </w:r>
      <w:r>
        <w:t xml:space="preserve">。</w:t>
      </w:r>
    </w:p>
    <w:p>
      <w:pPr>
        <w:pStyle w:val="BodyText"/>
      </w:pPr>
      <w:r>
        <w:t xml:space="preserve">一个教学推演是比较两种观看条件。第一种提供完整手部轨迹但遮住物体，第二种显示物体与场景但遮住部分轨迹。前者强调运动学，后者强调情境预测。若某细胞群在两种条件下作用不同，可以进一步研究其信息来源。若两者均参与，也仍需区分是否来自共同注意、眼动或一般预测需求。</w:t>
      </w:r>
    </w:p>
    <w:bookmarkEnd w:id="1392"/>
    <w:bookmarkStart w:id="1393" w:name="sec-75-12"/>
    <w:p>
      <w:pPr>
        <w:pStyle w:val="Heading3"/>
      </w:pPr>
      <w:r>
        <w:t xml:space="preserve">75.12　自身动作经验与视觉经验可以分别影响反应</w:t>
      </w:r>
    </w:p>
    <w:p>
      <w:pPr>
        <w:pStyle w:val="FirstParagraph"/>
      </w:pPr>
      <w:r>
        <w:t xml:space="preserve">练习某动作时，运动指令、视觉、触觉和本体感觉往往同时发生。后来看到相似动作时，相关网络可能因这种共同经历被激活。单纯观看训练也可能改善视觉预测，却没有完全相同的身体反馈。把两类经验分别操纵，有助于区分感知学习、感觉运动联系与先天约束</w:t>
      </w:r>
      <w:r>
        <w:rPr>
          <w:vertAlign w:val="superscript"/>
        </w:rPr>
        <w:t xml:space="preserve">[</w:t>
      </w:r>
      <w:hyperlink w:anchor="ref-180">
        <w:r>
          <w:rPr>
            <w:rStyle w:val="Hyperlink"/>
            <w:vertAlign w:val="superscript"/>
          </w:rPr>
          <w:t xml:space="preserve">180</w:t>
        </w:r>
      </w:hyperlink>
      <w:r>
        <w:rPr>
          <w:vertAlign w:val="superscript"/>
        </w:rPr>
        <w:t xml:space="preserve">,</w:t>
      </w:r>
      <w:hyperlink w:anchor="ref-686">
        <w:r>
          <w:rPr>
            <w:rStyle w:val="Hyperlink"/>
            <w:vertAlign w:val="superscript"/>
          </w:rPr>
          <w:t xml:space="preserve">686</w:t>
        </w:r>
      </w:hyperlink>
      <w:r>
        <w:rPr>
          <w:vertAlign w:val="superscript"/>
        </w:rPr>
        <w:t xml:space="preserve">]</w:t>
      </w:r>
      <w:r>
        <w:t xml:space="preserve">。</w:t>
      </w:r>
    </w:p>
    <w:p>
      <w:pPr>
        <w:pStyle w:val="BodyText"/>
      </w:pPr>
      <w:r>
        <w:t xml:space="preserve">身体构造限制可执行动作的范围。人可以识别鸟类飞行、机械臂旋转和自己无法完成的杂技动作，这些能力说明动作理解可以利用视觉规律和情境知识。运动系统的参与仍可能在某些任务中提供帮助，但不能仅据参与就认定每一种理解都必须先完整复现同样的运动程序。</w:t>
      </w:r>
    </w:p>
    <w:bookmarkEnd w:id="1393"/>
    <w:bookmarkStart w:id="1394" w:name="sec-75-13"/>
    <w:p>
      <w:pPr>
        <w:pStyle w:val="Heading3"/>
      </w:pPr>
      <w:r>
        <w:t xml:space="preserve">75.13　模仿需要处理自身身体与他人身体的对应</w:t>
      </w:r>
    </w:p>
    <w:p>
      <w:pPr>
        <w:pStyle w:val="FirstParagraph"/>
      </w:pPr>
      <w:r>
        <w:t xml:space="preserve">模仿对方举起右手时，观察者可以采用镜面对应，也可以采用身体解剖上的同侧对应。两种规则都能合理完成某些社会任务，但需要不同的空间变换。观察到一类动作相关响应，并不能告诉我们它实现了哪种对应；需要改变观察视角、效应器和模仿规则。</w:t>
      </w:r>
    </w:p>
    <w:p>
      <w:pPr>
        <w:pStyle w:val="BodyText"/>
      </w:pPr>
      <w:r>
        <w:t xml:space="preserve">镜面映射还会受到视角与物体坐标影响。面对面、并排和通过视频观看同一动作，对视网膜运动方向的要求不同。稳定的动作识别需要在这些变化中保留某些关系，同时让姿势控制使用当前身体坐标。动作观察网络因此可能参与多层变换，其输出还需与身体力学和任务规则结合</w:t>
      </w:r>
      <w:r>
        <w:rPr>
          <w:vertAlign w:val="superscript"/>
        </w:rPr>
        <w:t xml:space="preserve">[</w:t>
      </w:r>
      <w:hyperlink w:anchor="ref-10">
        <w:r>
          <w:rPr>
            <w:rStyle w:val="Hyperlink"/>
            <w:vertAlign w:val="superscript"/>
          </w:rPr>
          <w:t xml:space="preserve">10</w:t>
        </w:r>
      </w:hyperlink>
      <w:r>
        <w:rPr>
          <w:vertAlign w:val="superscript"/>
        </w:rPr>
        <w:t xml:space="preserve">,</w:t>
      </w:r>
      <w:hyperlink w:anchor="ref-692">
        <w:r>
          <w:rPr>
            <w:rStyle w:val="Hyperlink"/>
            <w:vertAlign w:val="superscript"/>
          </w:rPr>
          <w:t xml:space="preserve">692</w:t>
        </w:r>
      </w:hyperlink>
      <w:r>
        <w:rPr>
          <w:vertAlign w:val="superscript"/>
        </w:rPr>
        <w:t xml:space="preserve">]</w:t>
      </w:r>
      <w:r>
        <w:t xml:space="preserve">。</w:t>
      </w:r>
    </w:p>
    <w:bookmarkEnd w:id="1394"/>
    <w:bookmarkStart w:id="1395" w:name="sec-75-14"/>
    <w:p>
      <w:pPr>
        <w:pStyle w:val="Heading3"/>
      </w:pPr>
      <w:r>
        <w:t xml:space="preserve">75.14　互动中的预测必须容许对方具有独立目标</w:t>
      </w:r>
    </w:p>
    <w:p>
      <w:pPr>
        <w:pStyle w:val="FirstParagraph"/>
      </w:pPr>
      <w:r>
        <w:t xml:space="preserve">两人共同搬运物体时，可以通过对方动作预测下一时刻的力，并调整自己的输出。对方也会反过来调整，因此互动产生循环。若只把一方作为固定输入，可能忽略双方共同形成的节奏和误差修正。预测能力有助于协调，但对方的目标和选择仍可能改变，模型需要随新信息更新。</w:t>
      </w:r>
    </w:p>
    <w:p>
      <w:pPr>
        <w:pStyle w:val="BodyText"/>
      </w:pPr>
      <w:r>
        <w:t xml:space="preserve">这种机制分析可以解释部分合作行为，不能直接推出共情或道德品质。准确预测他人动作与关心其处境是不同维度；一个人可能预测准确但缺乏帮助意愿，也可能关心对方但对动作线索理解困难。公共传播中应保留这些区分，避免把一个神经元类别当作社会善意的单一来源。</w:t>
      </w:r>
    </w:p>
    <w:bookmarkEnd w:id="1395"/>
    <w:bookmarkStart w:id="1396" w:name="sec-75-15"/>
    <w:p>
      <w:pPr>
        <w:pStyle w:val="Heading3"/>
      </w:pPr>
      <w:r>
        <w:t xml:space="preserve">75.15　观察动作时需要抑制不合时宜的执行</w:t>
      </w:r>
    </w:p>
    <w:p>
      <w:pPr>
        <w:pStyle w:val="FirstParagraph"/>
      </w:pPr>
      <w:r>
        <w:t xml:space="preserve">看到别人抓取物体时，观察者通常无需自己也抓取。若动作观察激活部分感觉运动表征，输出仍需要受任务和身体状态约束。运动准备、脊髓兴奋性与真正肌肉收缩之间存在多个控制环节。观察反应与执行反应重叠，不能直接说明完整运动指令已经被无条件发出</w:t>
      </w:r>
      <w:r>
        <w:rPr>
          <w:vertAlign w:val="superscript"/>
        </w:rPr>
        <w:t xml:space="preserve">[</w:t>
      </w:r>
      <w:hyperlink w:anchor="ref-10">
        <w:r>
          <w:rPr>
            <w:rStyle w:val="Hyperlink"/>
            <w:vertAlign w:val="superscript"/>
          </w:rPr>
          <w:t xml:space="preserve">10</w:t>
        </w:r>
      </w:hyperlink>
      <w:r>
        <w:rPr>
          <w:vertAlign w:val="superscript"/>
        </w:rPr>
        <w:t xml:space="preserve">,</w:t>
      </w:r>
      <w:hyperlink w:anchor="ref-688">
        <w:r>
          <w:rPr>
            <w:rStyle w:val="Hyperlink"/>
            <w:vertAlign w:val="superscript"/>
          </w:rPr>
          <w:t xml:space="preserve">688</w:t>
        </w:r>
      </w:hyperlink>
      <w:r>
        <w:rPr>
          <w:vertAlign w:val="superscript"/>
        </w:rPr>
        <w:t xml:space="preserve">]</w:t>
      </w:r>
      <w:r>
        <w:t xml:space="preserve">。</w:t>
      </w:r>
    </w:p>
    <w:p>
      <w:pPr>
        <w:pStyle w:val="BodyText"/>
      </w:pPr>
      <w:r>
        <w:t xml:space="preserve">这也提出一个机制问题：共享表征怎样在观察时用于预测，在执行时用于控制。可能的解法包括投射细胞差异、局部抑制、下游阈值及情境门控，各项都需要具体证据。仅比较两个任务中的平均信号相似性无法选择这些解释。进一步记录肌电、眼动、动作准备和细胞投射，可使共享活动的含义更清楚。</w:t>
      </w:r>
    </w:p>
    <w:bookmarkEnd w:id="1396"/>
    <w:bookmarkStart w:id="1397" w:name="sec-75-16"/>
    <w:p>
      <w:pPr>
        <w:pStyle w:val="Heading3"/>
      </w:pPr>
      <w:r>
        <w:t xml:space="preserve">75.16　本章结论</w:t>
      </w:r>
    </w:p>
    <w:p>
      <w:pPr>
        <w:pStyle w:val="FirstParagraph"/>
      </w:pPr>
      <w:r>
        <w:t xml:space="preserve">镜像样响应是可研究的真实现象，其功能需要按任务和机制逐项检验。接受现象存在，与拒绝统一社会能力解释完全相容。高价值的后续研究包括细胞层面选择性、经验依赖、因果必要性和个体异质性；它们能够让理论承担具体预测责任</w:t>
      </w:r>
      <w:r>
        <w:rPr>
          <w:vertAlign w:val="superscript"/>
        </w:rPr>
        <w:t xml:space="preserve">[</w:t>
      </w:r>
      <w:hyperlink w:anchor="ref-684">
        <w:r>
          <w:rPr>
            <w:rStyle w:val="Hyperlink"/>
            <w:vertAlign w:val="superscript"/>
          </w:rPr>
          <w:t xml:space="preserve">684</w:t>
        </w:r>
      </w:hyperlink>
      <w:r>
        <w:rPr>
          <w:vertAlign w:val="superscript"/>
        </w:rPr>
        <w:t xml:space="preserve">,</w:t>
      </w:r>
      <w:hyperlink w:anchor="ref-687">
        <w:r>
          <w:rPr>
            <w:rStyle w:val="Hyperlink"/>
            <w:vertAlign w:val="superscript"/>
          </w:rPr>
          <w:t xml:space="preserve">687</w:t>
        </w:r>
      </w:hyperlink>
      <w:r>
        <w:rPr>
          <w:vertAlign w:val="superscript"/>
        </w:rPr>
        <w:t xml:space="preserve">,</w:t>
      </w:r>
      <w:hyperlink w:anchor="ref-688">
        <w:r>
          <w:rPr>
            <w:rStyle w:val="Hyperlink"/>
            <w:vertAlign w:val="superscript"/>
          </w:rPr>
          <w:t xml:space="preserve">688</w:t>
        </w:r>
      </w:hyperlink>
      <w:r>
        <w:rPr>
          <w:vertAlign w:val="superscript"/>
        </w:rPr>
        <w:t xml:space="preserve">,</w:t>
      </w:r>
      <w:hyperlink w:anchor="ref-689">
        <w:r>
          <w:rPr>
            <w:rStyle w:val="Hyperlink"/>
            <w:vertAlign w:val="superscript"/>
          </w:rPr>
          <w:t xml:space="preserve">689</w:t>
        </w:r>
      </w:hyperlink>
      <w:r>
        <w:rPr>
          <w:vertAlign w:val="superscript"/>
        </w:rPr>
        <w:t xml:space="preserve">]</w:t>
      </w:r>
      <w:r>
        <w:t xml:space="preserve">。</w:t>
      </w:r>
    </w:p>
    <w:bookmarkEnd w:id="1397"/>
    <w:bookmarkEnd w:id="1398"/>
    <w:bookmarkStart w:id="1399" w:name="ch-76"/>
    <w:p>
      <w:pPr>
        <w:pStyle w:val="Heading2"/>
      </w:pPr>
      <w:r>
        <w:t xml:space="preserve">第76章　“杏仁核劫持”、“6 秒法则”与“情绪只持续 90 秒”</w:t>
      </w:r>
    </w:p>
    <w:p>
      <w:pPr>
        <w:pStyle w:val="FirstParagraph"/>
      </w:pPr>
      <w:r>
        <w:t xml:space="preserve">“杏仁核劫持”出自丹尼尔·戈尔曼 1995 年的畅销书《情商》</w:t>
      </w:r>
      <w:r>
        <w:rPr>
          <w:vertAlign w:val="superscript"/>
        </w:rPr>
        <w:t xml:space="preserve">[</w:t>
      </w:r>
      <w:hyperlink w:anchor="ref-693">
        <w:r>
          <w:rPr>
            <w:rStyle w:val="Hyperlink"/>
            <w:vertAlign w:val="superscript"/>
          </w:rPr>
          <w:t xml:space="preserve">693</w:t>
        </w:r>
      </w:hyperlink>
      <w:r>
        <w:rPr>
          <w:vertAlign w:val="superscript"/>
        </w:rPr>
        <w:t xml:space="preserve">]</w:t>
      </w:r>
      <w:r>
        <w:t xml:space="preserve">，借用了勒杜（Joseph LeDoux）关于威胁信息可经丘脑快速通路到达杏仁核的动物研究。人类颅内记录确实发现，杏仁核对恐惧面孔的粗略反应最早在 74 毫秒出现，早于同一研究在视觉皮层记录到的恐惧相关反应</w:t>
      </w:r>
      <w:r>
        <w:rPr>
          <w:vertAlign w:val="superscript"/>
        </w:rPr>
        <w:t xml:space="preserve">[</w:t>
      </w:r>
      <w:hyperlink w:anchor="ref-694">
        <w:r>
          <w:rPr>
            <w:rStyle w:val="Hyperlink"/>
            <w:vertAlign w:val="superscript"/>
          </w:rPr>
          <w:t xml:space="preserve">694</w:t>
        </w:r>
      </w:hyperlink>
      <w:r>
        <w:rPr>
          <w:vertAlign w:val="superscript"/>
        </w:rPr>
        <w:t xml:space="preserve">]</w:t>
      </w:r>
      <w:r>
        <w:t xml:space="preserve">；这支持存在快速粗略通路的可能。人类情绪是否普遍绕过皮层，它回答不了；恐惧面孔引起反应的时间，也不能直接当作主观恐惧开始的时间；也有研究者认为，人类主要依靠多条经由皮层的通路</w:t>
      </w:r>
      <w:r>
        <w:rPr>
          <w:vertAlign w:val="superscript"/>
        </w:rPr>
        <w:t xml:space="preserve">[</w:t>
      </w:r>
      <w:hyperlink w:anchor="ref-695">
        <w:r>
          <w:rPr>
            <w:rStyle w:val="Hyperlink"/>
            <w:vertAlign w:val="superscript"/>
          </w:rPr>
          <w:t xml:space="preserve">695</w:t>
        </w:r>
      </w:hyperlink>
      <w:r>
        <w:rPr>
          <w:vertAlign w:val="superscript"/>
        </w:rPr>
        <w:t xml:space="preserve">]</w:t>
      </w:r>
      <w:r>
        <w:t xml:space="preserve">。作为比喻，“劫持”描述了一个常见体验：强烈的情绪反应抢在深思之前发生。作为神经科学描述，它有三处偏差：杏仁核并不独自产生恐惧或愤怒的体验；没有证据表明快速信号会让前额叶“失灵”，急性压力确实会影响前额叶功能，这与“杏仁核经一条通路关停前额叶”需要分开检验；勒杜本人后来明确区分了自动的防御反应回路与有意识的恐惧体验（见</w:t>
      </w:r>
      <w:r>
        <w:t xml:space="preserve"> </w:t>
      </w:r>
      <w:hyperlink w:anchor="sec-87-1">
        <w:r>
          <w:rPr>
            <w:rStyle w:val="Hyperlink"/>
          </w:rPr>
          <w:t xml:space="preserve">87.1</w:t>
        </w:r>
      </w:hyperlink>
      <w:r>
        <w:t xml:space="preserve">）</w:t>
      </w:r>
      <w:r>
        <w:rPr>
          <w:vertAlign w:val="superscript"/>
        </w:rPr>
        <w:t xml:space="preserve">[</w:t>
      </w:r>
      <w:hyperlink w:anchor="ref-696">
        <w:r>
          <w:rPr>
            <w:rStyle w:val="Hyperlink"/>
            <w:vertAlign w:val="superscript"/>
          </w:rPr>
          <w:t xml:space="preserve">696</w:t>
        </w:r>
      </w:hyperlink>
      <w:r>
        <w:rPr>
          <w:vertAlign w:val="superscript"/>
        </w:rPr>
        <w:t xml:space="preserve">]</w:t>
      </w:r>
      <w:r>
        <w:t xml:space="preserve">。</w:t>
      </w:r>
    </w:p>
    <w:p>
      <w:pPr>
        <w:pStyle w:val="BodyText"/>
      </w:pPr>
      <w:r>
        <w:t xml:space="preserve">“6 秒法则”（情绪化学物质 6 秒后代谢掉，等 6 秒就能冷静）出自一家情商培训机构的一位创始人 1997 年为机构取名时说的一句话，机构官网给出的神经科学依据是 2001 年与一位神经药理学家的私人通信，没有引用任何已发表的研究</w:t>
      </w:r>
      <w:r>
        <w:rPr>
          <w:vertAlign w:val="superscript"/>
        </w:rPr>
        <w:t xml:space="preserve">[</w:t>
      </w:r>
      <w:hyperlink w:anchor="ref-697">
        <w:r>
          <w:rPr>
            <w:rStyle w:val="Hyperlink"/>
            <w:vertAlign w:val="superscript"/>
          </w:rPr>
          <w:t xml:space="preserve">697</w:t>
        </w:r>
      </w:hyperlink>
      <w:r>
        <w:rPr>
          <w:vertAlign w:val="superscript"/>
        </w:rPr>
        <w:t xml:space="preserve">]</w:t>
      </w:r>
      <w:r>
        <w:t xml:space="preserve">；网页把情绪的持续等同于化学物质在体内停留的时间，这缺乏可操作的定义和实验支持，这个网页可以当作说法来源的一手记录。“情绪只持续 90 秒”来自神经解剖学家吉尔·博尔特·泰勒（Jill Bolte Taylor）的科普回忆录，书中说情绪的生化反应在 90 秒内被冲刷干净，之后的持续是自己的选择，书里没有引用任何研究</w:t>
      </w:r>
      <w:r>
        <w:rPr>
          <w:vertAlign w:val="superscript"/>
        </w:rPr>
        <w:t xml:space="preserve">[</w:t>
      </w:r>
      <w:hyperlink w:anchor="ref-698">
        <w:r>
          <w:rPr>
            <w:rStyle w:val="Hyperlink"/>
            <w:vertAlign w:val="superscript"/>
          </w:rPr>
          <w:t xml:space="preserve">698</w:t>
        </w:r>
      </w:hyperlink>
      <w:r>
        <w:rPr>
          <w:vertAlign w:val="superscript"/>
        </w:rPr>
        <w:t xml:space="preserve">]</w:t>
      </w:r>
      <w:r>
        <w:t xml:space="preserve">。两个数字都没有对应的实验测量，激素在血液中停留的时间也长得多：一项对 48 名先天性肾上腺增生的儿童和青年静脉注射氢化可的松的研究中，皮质醇的血浆半衰期平均约 76 分钟，个体之间从 40 分钟到约 225 分钟不等</w:t>
      </w:r>
      <w:r>
        <w:rPr>
          <w:vertAlign w:val="superscript"/>
        </w:rPr>
        <w:t xml:space="preserve">[</w:t>
      </w:r>
      <w:hyperlink w:anchor="ref-699">
        <w:r>
          <w:rPr>
            <w:rStyle w:val="Hyperlink"/>
            <w:vertAlign w:val="superscript"/>
          </w:rPr>
          <w:t xml:space="preserve">699</w:t>
        </w:r>
      </w:hyperlink>
      <w:r>
        <w:rPr>
          <w:vertAlign w:val="superscript"/>
        </w:rPr>
        <w:t xml:space="preserve">]</w:t>
      </w:r>
      <w:r>
        <w:t xml:space="preserve">；血液中激素的清除速度与主观情绪的起落并不同步，两者不能互相换算，这类数字也不能给所有人的情绪统一计时。一项让 233 名高中生（平均 17 岁）回忆近期情绪经历并报告持续时间的问卷研究中，情绪持续时间的中位数约为 2 小时（以情绪第一次回落到原有水平计）或 5 小时（以彻底回落、不再反复计）；在 27 种情绪中，悲伤持续最久，可达持续最短的羞愧的 240 倍；事件的重要性和反复回想解释了不同情绪之间 43% 的持续时间差异，同时控制情绪强度后降为 13%</w:t>
      </w:r>
      <w:r>
        <w:rPr>
          <w:vertAlign w:val="superscript"/>
        </w:rPr>
        <w:t xml:space="preserve">[</w:t>
      </w:r>
      <w:hyperlink w:anchor="ref-700">
        <w:r>
          <w:rPr>
            <w:rStyle w:val="Hyperlink"/>
            <w:vertAlign w:val="superscript"/>
          </w:rPr>
          <w:t xml:space="preserve">700</w:t>
        </w:r>
      </w:hyperlink>
      <w:r>
        <w:rPr>
          <w:vertAlign w:val="superscript"/>
        </w:rPr>
        <w:t xml:space="preserve">]</w:t>
      </w:r>
      <w:r>
        <w:t xml:space="preserve">；这类回忆报告依赖记忆，属于粗略的主观估计。</w:t>
      </w:r>
    </w:p>
    <w:p>
      <w:pPr>
        <w:pStyle w:val="CalloutJudgment"/>
      </w:pPr>
      <w:r>
        <w:rPr>
          <w:bCs/>
          <w:b/>
        </w:rPr>
        <w:t xml:space="preserve">判断　</w:t>
      </w:r>
      <w:r>
        <w:t xml:space="preserve">“杏仁核劫持”作为神经科学描述</w:t>
      </w:r>
      <w:r>
        <w:rPr>
          <w:bCs/>
          <w:b/>
        </w:rPr>
        <w:t xml:space="preserve">过度简化·高</w:t>
      </w:r>
      <w:r>
        <w:t xml:space="preserve">：快速粗略的威胁信号可能存在，杏仁核不独自产生恐惧，也没有证据表明它让前额叶“失灵”；“6 秒”“90 秒”作为生理学事实</w:t>
      </w:r>
      <w:r>
        <w:rPr>
          <w:bCs/>
          <w:b/>
        </w:rPr>
        <w:t xml:space="preserve">错误·高</w:t>
      </w:r>
      <w:r>
        <w:t xml:space="preserve">。可以保留的是“先停一下、别立刻冲动回应”这条建议，它的用处与具体秒数无关：对持续的情绪，先辨认它的原因和需要，再根据情境选择转移注意、接纳、解决问题或寻求专业支持。反刍、问题解决、哀伤和创伤加工是不同的过程，强行停止念头可能增加困扰，持续难受也不能归咎于没有在规定秒数内“放下”。</w:t>
      </w:r>
    </w:p>
    <w:bookmarkEnd w:id="1399"/>
    <w:bookmarkStart w:id="1400" w:name="ch-77"/>
    <w:p>
      <w:pPr>
        <w:pStyle w:val="Heading2"/>
      </w:pPr>
      <w:r>
        <w:t xml:space="preserve">第77章　21 天、40%、棉花糖：几个流行数字</w:t>
      </w:r>
    </w:p>
    <w:p>
      <w:pPr>
        <w:pStyle w:val="FirstParagraph"/>
      </w:pPr>
      <w:r>
        <w:t xml:space="preserve">“21 天养成一个习惯”通常追溯到整形外科医生马克斯韦尔·马尔茨 1960 年的自助书《心理控制论》</w:t>
      </w:r>
      <w:r>
        <w:rPr>
          <w:vertAlign w:val="superscript"/>
        </w:rPr>
        <w:t xml:space="preserve">[</w:t>
      </w:r>
      <w:hyperlink w:anchor="ref-701">
        <w:r>
          <w:rPr>
            <w:rStyle w:val="Hyperlink"/>
            <w:vertAlign w:val="superscript"/>
          </w:rPr>
          <w:t xml:space="preserve">701</w:t>
        </w:r>
      </w:hyperlink>
      <w:r>
        <w:rPr>
          <w:vertAlign w:val="superscript"/>
        </w:rPr>
        <w:t xml:space="preserve">]</w:t>
      </w:r>
      <w:r>
        <w:t xml:space="preserve">，原话讲的是病人适应新面容、新居所这类变化“通常至少需要大约 21 天”，后来被挪用到了习惯上。实证研究给出的数字长得多，个体差异也大得多。2010 年一项研究招募 96 名志愿者，让他们在固定情境中每天重复一个自选的健康行为，观察 84 天：82 人提供了足够的数据，模型能为其中 62 人拟合出习惯曲线，拟合良好的有 39 人；按这 39 人的模型估计，自动化程度达到平台值 95% 所需的时间从 18 天到 254 天不等，中位数约 66 天，超过 84 天的数字是观察期之外的外推</w:t>
      </w:r>
      <w:r>
        <w:rPr>
          <w:vertAlign w:val="superscript"/>
        </w:rPr>
        <w:t xml:space="preserve">[</w:t>
      </w:r>
      <w:hyperlink w:anchor="ref-702">
        <w:r>
          <w:rPr>
            <w:rStyle w:val="Hyperlink"/>
            <w:vertAlign w:val="superscript"/>
          </w:rPr>
          <w:t xml:space="preserve">702</w:t>
        </w:r>
      </w:hyperlink>
      <w:r>
        <w:rPr>
          <w:vertAlign w:val="superscript"/>
        </w:rPr>
        <w:t xml:space="preserve">]</w:t>
      </w:r>
      <w:r>
        <w:t xml:space="preserve">。这些是模型估计，拟合良好的人也未必代表其余参与者，筛选可能排除了没有形成明显平台的人；平台值的 95% 是模型设定的阈值，达到之后行为仍可能中断，也仍可能需要努力；偶尔漏掉一天对习惯曲线的影响不大，这一点也只在这类简单的日常行为中观察过。2024 年一项系统综述纳入 20 项研究、2601 人，其中只有 4 项报告了养成习惯所需的时间：中位数在 59 到 66 天之间，平均数约在 91 到 154 天之间，个体差异极大，综述没有对养成时间做合并分析</w:t>
      </w:r>
      <w:r>
        <w:rPr>
          <w:vertAlign w:val="superscript"/>
        </w:rPr>
        <w:t xml:space="preserve">[</w:t>
      </w:r>
      <w:hyperlink w:anchor="ref-703">
        <w:r>
          <w:rPr>
            <w:rStyle w:val="Hyperlink"/>
            <w:vertAlign w:val="superscript"/>
          </w:rPr>
          <w:t xml:space="preserve">703</w:t>
        </w:r>
      </w:hyperlink>
      <w:r>
        <w:rPr>
          <w:vertAlign w:val="superscript"/>
        </w:rPr>
        <w:t xml:space="preserve">]</w:t>
      </w:r>
      <w:r>
        <w:t xml:space="preserve">。把“59 到 66 天”当成新的标准天数，会重复“21 天”的错误；稳定的情境和反复练习比某个天数更能解释习惯的形成。习惯与正念的目标也不完全相同：习惯研究测的是固定情境诱发某个行为的自动程度，正念练习还涉及有意的注意和对自身状态的觉察。能按时坐下来练习之后，练习的质量、注意的稳定和症状的改善未必也随之“自动化”；连续打卡的天数可以记录行为。神经上的改变需要另外测量。</w:t>
      </w:r>
    </w:p>
    <w:p>
      <w:pPr>
        <w:pStyle w:val="BodyText"/>
      </w:pPr>
      <w:r>
        <w:t xml:space="preserve">“幸福的 40% 由你自己掌控”来自 2005 年一篇综述中的饼图（遗传约 50%、环境约 10%、有意活动约 40%）</w:t>
      </w:r>
      <w:r>
        <w:rPr>
          <w:vertAlign w:val="superscript"/>
        </w:rPr>
        <w:t xml:space="preserve">[</w:t>
      </w:r>
      <w:hyperlink w:anchor="ref-704">
        <w:r>
          <w:rPr>
            <w:rStyle w:val="Hyperlink"/>
            <w:vertAlign w:val="superscript"/>
          </w:rPr>
          <w:t xml:space="preserve">704</w:t>
        </w:r>
      </w:hyperlink>
      <w:r>
        <w:rPr>
          <w:vertAlign w:val="superscript"/>
        </w:rPr>
        <w:t xml:space="preserve">]</w:t>
      </w:r>
      <w:r>
        <w:t xml:space="preserve">。批评者指出，这种分解几乎没有实证依据；更根本的错误在于，这些百分比描述人与人之间差异的来源。一个人的幸福有几成可以自己改变，它们回答不了</w:t>
      </w:r>
      <w:r>
        <w:rPr>
          <w:vertAlign w:val="superscript"/>
        </w:rPr>
        <w:t xml:space="preserve">[</w:t>
      </w:r>
      <w:hyperlink w:anchor="ref-705">
        <w:r>
          <w:rPr>
            <w:rStyle w:val="Hyperlink"/>
            <w:vertAlign w:val="superscript"/>
          </w:rPr>
          <w:t xml:space="preserve">705</w:t>
        </w:r>
      </w:hyperlink>
      <w:r>
        <w:rPr>
          <w:vertAlign w:val="superscript"/>
        </w:rPr>
        <w:t xml:space="preserve">]</w:t>
      </w:r>
      <w:r>
        <w:t xml:space="preserve">。遗传率分解特定人群和环境中的个体差异；某项干预能改变多少，它同样回答不了；遗传的影响可能经由环境和行为起作用，剩下的方差里还包含测量误差，不能全部归给意志的选择。原作者回应时接受了许多批评，承认数字只是粗略估计，饼图“过于简化”，同时坚持幸福感可以通过努力提升</w:t>
      </w:r>
      <w:r>
        <w:rPr>
          <w:vertAlign w:val="superscript"/>
        </w:rPr>
        <w:t xml:space="preserve">[</w:t>
      </w:r>
      <w:hyperlink w:anchor="ref-706">
        <w:r>
          <w:rPr>
            <w:rStyle w:val="Hyperlink"/>
            <w:vertAlign w:val="superscript"/>
          </w:rPr>
          <w:t xml:space="preserve">706</w:t>
        </w:r>
      </w:hyperlink>
      <w:r>
        <w:rPr>
          <w:vertAlign w:val="superscript"/>
        </w:rPr>
        <w:t xml:space="preserve">]</w:t>
      </w:r>
      <w:r>
        <w:t xml:space="preserve">。</w:t>
      </w:r>
    </w:p>
    <w:p>
      <w:pPr>
        <w:pStyle w:val="BodyText"/>
      </w:pPr>
      <w:r>
        <w:t xml:space="preserve">“棉花糖实验”常被用来说明“自控力决定人生成就”，正念课程也借它推销专注力训练。2018 年一项概念重复使用美国儿童追踪数据（全样本 918 人），重点分析母亲未完成大学教育的 552 名儿童，发现幼儿延迟满足与 15 岁时学业成绩的关联只有原研究的大约一半，控制家庭背景、早期认知能力和家庭环境后又缩小了约三分之二</w:t>
      </w:r>
      <w:r>
        <w:rPr>
          <w:vertAlign w:val="superscript"/>
        </w:rPr>
        <w:t xml:space="preserve">[</w:t>
      </w:r>
      <w:hyperlink w:anchor="ref-707">
        <w:r>
          <w:rPr>
            <w:rStyle w:val="Hyperlink"/>
            <w:vertAlign w:val="superscript"/>
          </w:rPr>
          <w:t xml:space="preserve">707</w:t>
        </w:r>
      </w:hyperlink>
      <w:r>
        <w:rPr>
          <w:vertAlign w:val="superscript"/>
        </w:rPr>
        <w:t xml:space="preserve">]</w:t>
      </w:r>
      <w:r>
        <w:t xml:space="preserve">；被控制的变量里也可能包含自我调节长期发展的路径，剩下的关联不能直接当作自控能力的全部因果作用。原斯坦福样本追踪到四十多岁时，学前期的等待时间对 11 项中年结局几乎没有预测力</w:t>
      </w:r>
      <w:r>
        <w:rPr>
          <w:vertAlign w:val="superscript"/>
        </w:rPr>
        <w:t xml:space="preserve">[</w:t>
      </w:r>
      <w:hyperlink w:anchor="ref-708">
        <w:r>
          <w:rPr>
            <w:rStyle w:val="Hyperlink"/>
            <w:vertAlign w:val="superscript"/>
          </w:rPr>
          <w:t xml:space="preserve">708</w:t>
        </w:r>
      </w:hyperlink>
      <w:r>
        <w:rPr>
          <w:vertAlign w:val="superscript"/>
        </w:rPr>
        <w:t xml:space="preserve">]</w:t>
      </w:r>
      <w:r>
        <w:t xml:space="preserve">，这个阴性结果也受留样、样本同质性和结局测量范围的影响。孩子等多久也取决于对环境的信任：实验者此前守信时，孩子会等得更久</w:t>
      </w:r>
      <w:r>
        <w:rPr>
          <w:vertAlign w:val="superscript"/>
        </w:rPr>
        <w:t xml:space="preserve">[</w:t>
      </w:r>
      <w:hyperlink w:anchor="ref-709">
        <w:r>
          <w:rPr>
            <w:rStyle w:val="Hyperlink"/>
            <w:vertAlign w:val="superscript"/>
          </w:rPr>
          <w:t xml:space="preserve">709</w:t>
        </w:r>
      </w:hyperlink>
      <w:r>
        <w:rPr>
          <w:vertAlign w:val="superscript"/>
        </w:rPr>
        <w:t xml:space="preserve">]</w:t>
      </w:r>
      <w:r>
        <w:t xml:space="preserve">，这支持情境的影响。家庭条件或成人是否守信能否解释全部的个体差异，它回答不了。</w:t>
      </w:r>
    </w:p>
    <w:p>
      <w:pPr>
        <w:pStyle w:val="CalloutJudgment"/>
      </w:pPr>
      <w:r>
        <w:rPr>
          <w:bCs/>
          <w:b/>
        </w:rPr>
        <w:t xml:space="preserve">判断　</w:t>
      </w:r>
      <w:r>
        <w:t xml:space="preserve">“21 天养成一个习惯”“幸福的 40% 由自己掌控”</w:t>
      </w:r>
      <w:r>
        <w:rPr>
          <w:bCs/>
          <w:b/>
        </w:rPr>
        <w:t xml:space="preserve">错误·高</w:t>
      </w:r>
      <w:r>
        <w:t xml:space="preserve">；“棉花糖实验预测人生成就”</w:t>
      </w:r>
      <w:r>
        <w:rPr>
          <w:bCs/>
          <w:b/>
        </w:rPr>
        <w:t xml:space="preserve">过度简化·高</w:t>
      </w:r>
      <w:r>
        <w:t xml:space="preserve">。可以保留的是方向：习惯需要持续重复，已有研究中所需时间的中位数约为两个月，个体差异很大；有意的活动对幸福感有影响，但影响大小无法用一个百分比概括；自我调节能力有意义，同时深受环境影响。</w:t>
      </w:r>
    </w:p>
    <w:bookmarkEnd w:id="1400"/>
    <w:bookmarkStart w:id="1401" w:name="ch-78"/>
    <w:p>
      <w:pPr>
        <w:pStyle w:val="Heading2"/>
      </w:pPr>
      <w:r>
        <w:t xml:space="preserve">第78章　意志力会被耗尽吗</w:t>
      </w:r>
    </w:p>
    <w:p>
      <w:pPr>
        <w:pStyle w:val="FirstParagraph"/>
      </w:pPr>
      <w:r>
        <w:t xml:space="preserve">“自我损耗”理论认为意志力像肌肉一样会用完，用完后自控就会失败。2016 年一项由 23 个实验室、两千多名被试完成的预注册重复研究，测得的效应接近于零</w:t>
      </w:r>
      <w:r>
        <w:rPr>
          <w:vertAlign w:val="superscript"/>
        </w:rPr>
        <w:t xml:space="preserve">[</w:t>
      </w:r>
      <w:hyperlink w:anchor="ref-710">
        <w:r>
          <w:rPr>
            <w:rStyle w:val="Hyperlink"/>
            <w:vertAlign w:val="superscript"/>
          </w:rPr>
          <w:t xml:space="preserve">710</w:t>
        </w:r>
      </w:hyperlink>
      <w:r>
        <w:rPr>
          <w:vertAlign w:val="superscript"/>
        </w:rPr>
        <w:t xml:space="preserve">]</w:t>
      </w:r>
      <w:r>
        <w:t xml:space="preserve">；2021 年另一项由该理论的支持者牵头的多中心研究，36 个实验室共测试 3531 人，按预注册的标准排除后约 2460 人进入主要分析，效应量 d = 0.06（95% 置信区间 −0.02 到 0.14），贝叶斯分析中数据在零假设下的可能性约为另一假设下的 4 倍，属于中等程度的支持</w:t>
      </w:r>
      <w:r>
        <w:rPr>
          <w:vertAlign w:val="superscript"/>
        </w:rPr>
        <w:t xml:space="preserve">[</w:t>
      </w:r>
      <w:hyperlink w:anchor="ref-711">
        <w:r>
          <w:rPr>
            <w:rStyle w:val="Hyperlink"/>
            <w:vertAlign w:val="superscript"/>
          </w:rPr>
          <w:t xml:space="preserve">711</w:t>
        </w:r>
      </w:hyperlink>
      <w:r>
        <w:rPr>
          <w:vertAlign w:val="superscript"/>
        </w:rPr>
        <w:t xml:space="preserve">]</w:t>
      </w:r>
      <w:r>
        <w:t xml:space="preserve">。这个区间排除了早年元分析报告的那种中到大的效应。2025 年一项汇总 14 个样本、2078 人的多实验室研究改用更强、更长的操控：先做约 30 到 40 分钟、720 个试次的反眼跳任务，再做 Go/No-go 任务，No-go 错误数相对等时长的对照多约 0.35 个标准差（95% 置信区间 0.25 到 0.45），相对短时对照多约 0.31（0.18 到 0.44），Go 错误和反应时没有差别；最初的实验和第一轮重复预注册了方案，短时对照和在线样本两部分没有预注册</w:t>
      </w:r>
      <w:r>
        <w:rPr>
          <w:vertAlign w:val="superscript"/>
        </w:rPr>
        <w:t xml:space="preserve">[</w:t>
      </w:r>
      <w:hyperlink w:anchor="ref-712">
        <w:r>
          <w:rPr>
            <w:rStyle w:val="Hyperlink"/>
            <w:vertAlign w:val="superscript"/>
          </w:rPr>
          <w:t xml:space="preserve">712</w:t>
        </w:r>
      </w:hyperlink>
      <w:r>
        <w:rPr>
          <w:vertAlign w:val="superscript"/>
        </w:rPr>
        <w:t xml:space="preserve">]</w:t>
      </w:r>
      <w:r>
        <w:t xml:space="preserve">。这说明操控的强度、时长和后续任务可能决定效应是否出现。它测到了一种后续表现的下降。一种统一的、会被耗尽的心理资源并没有被测出来，疲劳、学习、冲突适应、动机和注意转移都能解释这种下降；用葡萄糖解释意志力的证据也很弱，已发表的结果受发表偏倚影响</w:t>
      </w:r>
      <w:r>
        <w:rPr>
          <w:vertAlign w:val="superscript"/>
        </w:rPr>
        <w:t xml:space="preserve">[</w:t>
      </w:r>
      <w:hyperlink w:anchor="ref-713">
        <w:r>
          <w:rPr>
            <w:rStyle w:val="Hyperlink"/>
            <w:vertAlign w:val="superscript"/>
          </w:rPr>
          <w:t xml:space="preserve">713</w:t>
        </w:r>
      </w:hyperlink>
      <w:r>
        <w:rPr>
          <w:vertAlign w:val="superscript"/>
        </w:rPr>
        <w:t xml:space="preserve">]</w:t>
      </w:r>
      <w:r>
        <w:t xml:space="preserve">。合理的结论分三层：经典的短时“自我损耗”效应的稳健性受到了强有力的挑战；较强、较长的任务之后，存在部分可重复的后续表现下降；“意志力是一种固定额度、靠葡萄糖补充的资源”这一机制解释缺乏足够支持。很多正念课程借这个理论解释“为什么要练专注”，这条论证需要换掉。</w:t>
      </w:r>
    </w:p>
    <w:p>
      <w:pPr>
        <w:pStyle w:val="CalloutJudgment"/>
      </w:pPr>
      <w:r>
        <w:rPr>
          <w:bCs/>
          <w:b/>
        </w:rPr>
        <w:t xml:space="preserve">判断　</w:t>
      </w:r>
      <w:r>
        <w:t xml:space="preserve">“短时的自控任务之后，自控必然明显下降”</w:t>
      </w:r>
      <w:r>
        <w:rPr>
          <w:bCs/>
          <w:b/>
        </w:rPr>
        <w:t xml:space="preserve">已被推翻·中</w:t>
      </w:r>
      <w:r>
        <w:t xml:space="preserve">：大型预注册重复的区间排除了早年报告的效应幅度；“较长时间的高强度控制之后，后续表现会下降”</w:t>
      </w:r>
      <w:r>
        <w:rPr>
          <w:bCs/>
          <w:b/>
        </w:rPr>
        <w:t xml:space="preserve">部分成立·低</w:t>
      </w:r>
      <w:r>
        <w:t xml:space="preserve">：一项部分预注册的多实验室研究支持，仍需独立重复；“意志力是靠葡萄糖补充的固定资源”这一机制解释</w:t>
      </w:r>
      <w:r>
        <w:rPr>
          <w:bCs/>
          <w:b/>
        </w:rPr>
        <w:t xml:space="preserve">不成立·中</w:t>
      </w:r>
      <w:r>
        <w:t xml:space="preserve">。与自控有关的另一个流行说法“前额叶 25 岁才成熟”，见</w:t>
      </w:r>
      <w:r>
        <w:t xml:space="preserve"> </w:t>
      </w:r>
      <w:hyperlink w:anchor="sec-122-1">
        <w:r>
          <w:rPr>
            <w:rStyle w:val="Hyperlink"/>
          </w:rPr>
          <w:t xml:space="preserve">122.1</w:t>
        </w:r>
      </w:hyperlink>
      <w:r>
        <w:t xml:space="preserve">。</w:t>
      </w:r>
    </w:p>
    <w:bookmarkEnd w:id="1401"/>
    <w:bookmarkStart w:id="1402" w:name="ch-79"/>
    <w:p>
      <w:pPr>
        <w:pStyle w:val="Heading2"/>
      </w:pPr>
      <w:r>
        <w:t xml:space="preserve">第79章　菲尼亚斯·盖奇与“大脑可以随意重塑”</w:t>
      </w:r>
    </w:p>
    <w:p>
      <w:pPr>
        <w:pStyle w:val="FirstParagraph"/>
      </w:pPr>
      <w:r>
        <w:t xml:space="preserve">1848 年，铁路工头菲尼亚斯·盖奇被一根铁棍贯穿额叶，事后性格大变，这是讲“前额叶管理性”时最常用的故事。历史学家发现，约六成心理学导论教材都写到他，许多细节并不准确，有些特征是从其他额叶病例借来的</w:t>
      </w:r>
      <w:r>
        <w:rPr>
          <w:vertAlign w:val="superscript"/>
        </w:rPr>
        <w:t xml:space="preserve">[</w:t>
      </w:r>
      <w:hyperlink w:anchor="ref-714">
        <w:r>
          <w:rPr>
            <w:rStyle w:val="Hyperlink"/>
            <w:vertAlign w:val="superscript"/>
          </w:rPr>
          <w:t xml:space="preserve">714</w:t>
        </w:r>
      </w:hyperlink>
      <w:r>
        <w:rPr>
          <w:vertAlign w:val="superscript"/>
        </w:rPr>
        <w:t xml:space="preserve">]</w:t>
      </w:r>
      <w:r>
        <w:t xml:space="preserve">。按现有史料，盖奇后来恢复了相当程度的工作和社会功能，曾在智利长期担任驿站马车车夫</w:t>
      </w:r>
      <w:r>
        <w:rPr>
          <w:vertAlign w:val="superscript"/>
        </w:rPr>
        <w:t xml:space="preserve">[</w:t>
      </w:r>
      <w:hyperlink w:anchor="ref-715">
        <w:r>
          <w:rPr>
            <w:rStyle w:val="Hyperlink"/>
            <w:vertAlign w:val="superscript"/>
          </w:rPr>
          <w:t xml:space="preserve">715</w:t>
        </w:r>
      </w:hyperlink>
      <w:r>
        <w:rPr>
          <w:vertAlign w:val="superscript"/>
        </w:rPr>
        <w:t xml:space="preserve">]</w:t>
      </w:r>
      <w:r>
        <w:t xml:space="preserve">，这是一条功能上的证据，量化不了所有认知领域。这推翻了“一生彻底失能”的叙述，他的人格和社会功能是否完全恢复，史料还回答不了。他的损伤范围只能从颅骨推测：1994 年的一项重建认为损伤累及两侧前额叶</w:t>
      </w:r>
      <w:r>
        <w:rPr>
          <w:vertAlign w:val="superscript"/>
        </w:rPr>
        <w:t xml:space="preserve">[</w:t>
      </w:r>
      <w:hyperlink w:anchor="ref-716">
        <w:r>
          <w:rPr>
            <w:rStyle w:val="Hyperlink"/>
            <w:vertAlign w:val="superscript"/>
          </w:rPr>
          <w:t xml:space="preserve">716</w:t>
        </w:r>
      </w:hyperlink>
      <w:r>
        <w:rPr>
          <w:vertAlign w:val="superscript"/>
        </w:rPr>
        <w:t xml:space="preserve">]</w:t>
      </w:r>
      <w:r>
        <w:t xml:space="preserve">，2004 年基于颅骨计算机断层扫描的重建认为损伤主要局限于左侧额叶</w:t>
      </w:r>
      <w:r>
        <w:rPr>
          <w:vertAlign w:val="superscript"/>
        </w:rPr>
        <w:t xml:space="preserve">[</w:t>
      </w:r>
      <w:hyperlink w:anchor="ref-717">
        <w:r>
          <w:rPr>
            <w:rStyle w:val="Hyperlink"/>
            <w:vertAlign w:val="superscript"/>
          </w:rPr>
          <w:t xml:space="preserve">717</w:t>
        </w:r>
      </w:hyperlink>
      <w:r>
        <w:rPr>
          <w:vertAlign w:val="superscript"/>
        </w:rPr>
        <w:t xml:space="preserve">]</w:t>
      </w:r>
      <w:r>
        <w:t xml:space="preserve">。“性格改变”有一定依据，“从此一蹶不振”则是后人的加工。</w:t>
      </w:r>
    </w:p>
    <w:p>
      <w:pPr>
        <w:pStyle w:val="BodyText"/>
      </w:pPr>
      <w:r>
        <w:t xml:space="preserve">“大脑可以随意重塑”是另一个被放大的事实。经验确实能改变成人大脑：伦敦出租车学员中，通过执照考试的人四年间海马灰质增加，没通过的人和对照组没有变化</w:t>
      </w:r>
      <w:r>
        <w:rPr>
          <w:vertAlign w:val="superscript"/>
        </w:rPr>
        <w:t xml:space="preserve">[</w:t>
      </w:r>
      <w:hyperlink w:anchor="ref-718">
        <w:r>
          <w:rPr>
            <w:rStyle w:val="Hyperlink"/>
            <w:vertAlign w:val="superscript"/>
          </w:rPr>
          <w:t xml:space="preserve">718</w:t>
        </w:r>
      </w:hyperlink>
      <w:r>
        <w:rPr>
          <w:vertAlign w:val="superscript"/>
        </w:rPr>
        <w:t xml:space="preserve">]</w:t>
      </w:r>
      <w:r>
        <w:t xml:space="preserve">；能否通过考试不是随机分配的，动机和投入的差异也可能有影响；学会伦敦的路线与参加冥想课程是不同的干预。前者的结构变化，证明不了后者的某个磁共振变化。商业“大脑训练”的证据则有限：受训任务上的进步证据充分，相近任务上的证据较少，差别大的任务和日常认知上几乎没有证据</w:t>
      </w:r>
      <w:r>
        <w:rPr>
          <w:vertAlign w:val="superscript"/>
        </w:rPr>
        <w:t xml:space="preserve">[</w:t>
      </w:r>
      <w:hyperlink w:anchor="ref-719">
        <w:r>
          <w:rPr>
            <w:rStyle w:val="Hyperlink"/>
            <w:vertAlign w:val="superscript"/>
          </w:rPr>
          <w:t xml:space="preserve">719</w:t>
        </w:r>
      </w:hyperlink>
      <w:r>
        <w:rPr>
          <w:vertAlign w:val="superscript"/>
        </w:rPr>
        <w:t xml:space="preserve">]</w:t>
      </w:r>
      <w:r>
        <w:t xml:space="preserve">，这个判断要按具体任务和对照来看。把它扩大成“所有认知训练都不能迁移”，并不成立。冥想的情况见</w:t>
      </w:r>
      <w:hyperlink w:anchor="ch-116">
        <w:r>
          <w:rPr>
            <w:rStyle w:val="Hyperlink"/>
          </w:rPr>
          <w:t xml:space="preserve">第116章</w:t>
        </w:r>
      </w:hyperlink>
      <w:r>
        <w:t xml:space="preserve">：八周课程在严格检验中没有带来可检测的结构变化。</w:t>
      </w:r>
    </w:p>
    <w:p>
      <w:pPr>
        <w:pStyle w:val="CalloutJudgment"/>
      </w:pPr>
      <w:r>
        <w:rPr>
          <w:bCs/>
          <w:b/>
        </w:rPr>
        <w:t xml:space="preserve">判断　</w:t>
      </w:r>
      <w:r>
        <w:t xml:space="preserve">“盖奇从此变成另一个人、再也没有恢复”</w:t>
      </w:r>
      <w:r>
        <w:rPr>
          <w:bCs/>
          <w:b/>
        </w:rPr>
        <w:t xml:space="preserve">错误·中</w:t>
      </w:r>
      <w:r>
        <w:t xml:space="preserve">；“大脑可塑”</w:t>
      </w:r>
      <w:r>
        <w:rPr>
          <w:bCs/>
          <w:b/>
        </w:rPr>
        <w:t xml:space="preserve">成立·高</w:t>
      </w:r>
      <w:r>
        <w:t xml:space="preserve">；“大脑可以随意重塑，训练必然带来广泛的益处”</w:t>
      </w:r>
      <w:r>
        <w:rPr>
          <w:bCs/>
          <w:b/>
        </w:rPr>
        <w:t xml:space="preserve">夸大·高</w:t>
      </w:r>
      <w:r>
        <w:t xml:space="preserve">：可塑性发生在从毫秒到数年的不同尺度上，训练效果的范围、速度和持续性受生物和情境条件约束，需要具体检验。</w:t>
      </w:r>
    </w:p>
    <w:bookmarkEnd w:id="1402"/>
    <w:bookmarkStart w:id="1403" w:name="ch-80"/>
    <w:p>
      <w:pPr>
        <w:pStyle w:val="Heading2"/>
      </w:pPr>
      <w:r>
        <w:t xml:space="preserve">第80章　“快乐激素”：多巴胺快乐论与“四大快乐激素”</w:t>
      </w:r>
    </w:p>
    <w:p>
      <w:pPr>
        <w:pStyle w:val="FirstParagraph"/>
      </w:pPr>
      <w:r>
        <w:t xml:space="preserve">流行说法与实况的差距在多巴胺这里最大。“多巴胺是快乐分子”把“想要”说成了“快乐”（实际作用见</w:t>
      </w:r>
      <w:r>
        <w:t xml:space="preserve"> </w:t>
      </w:r>
      <w:hyperlink w:anchor="sec-95-1">
        <w:r>
          <w:rPr>
            <w:rStyle w:val="Hyperlink"/>
          </w:rPr>
          <w:t xml:space="preserve">95.1</w:t>
        </w:r>
      </w:hyperlink>
      <w:r>
        <w:t xml:space="preserve">）。中文网络流行的“多巴胺是短期快乐，内啡肽是长期快乐”找不到科学来源：两者都在秒到分钟的时间尺度上起作用，长期的满足感与生活质量无法归结到某一种分子；东南大学附属中大医院心身医学科主任袁勇贵接受采访时说，这种说法只是网友的一种比喻，与临床上的概念并不完全相符</w:t>
      </w:r>
      <w:r>
        <w:rPr>
          <w:vertAlign w:val="superscript"/>
        </w:rPr>
        <w:t xml:space="preserve">[</w:t>
      </w:r>
      <w:hyperlink w:anchor="ref-720">
        <w:r>
          <w:rPr>
            <w:rStyle w:val="Hyperlink"/>
            <w:vertAlign w:val="superscript"/>
          </w:rPr>
          <w:t xml:space="preserve">720</w:t>
        </w:r>
      </w:hyperlink>
      <w:r>
        <w:rPr>
          <w:vertAlign w:val="superscript"/>
        </w:rPr>
        <w:t xml:space="preserve">]</w:t>
      </w:r>
      <w:r>
        <w:t xml:space="preserve">。</w:t>
      </w:r>
    </w:p>
    <w:p>
      <w:pPr>
        <w:pStyle w:val="BodyText"/>
      </w:pPr>
      <w:r>
        <w:t xml:space="preserve">多巴胺、催产素、血清素、内啡肽并称“四大快乐激素”，在中文自媒体和健康类书籍中极为常见，配套建议通常是“完成目标得多巴胺、拥抱得催产素、晒太阳得血清素、运动得内啡肽”。这个框架在大众心理读物中流行起来，能追溯到的较早传播来源之一是 2011 年前后的一篇博客文章，作者后来把它写成了畅销书</w:t>
      </w:r>
      <w:r>
        <w:rPr>
          <w:vertAlign w:val="superscript"/>
        </w:rPr>
        <w:t xml:space="preserve">[</w:t>
      </w:r>
      <w:hyperlink w:anchor="ref-721">
        <w:r>
          <w:rPr>
            <w:rStyle w:val="Hyperlink"/>
            <w:vertAlign w:val="superscript"/>
          </w:rPr>
          <w:t xml:space="preserve">721</w:t>
        </w:r>
      </w:hyperlink>
      <w:r>
        <w:rPr>
          <w:vertAlign w:val="superscript"/>
        </w:rPr>
        <w:t xml:space="preserve">,</w:t>
      </w:r>
      <w:hyperlink w:anchor="ref-722">
        <w:r>
          <w:rPr>
            <w:rStyle w:val="Hyperlink"/>
            <w:vertAlign w:val="superscript"/>
          </w:rPr>
          <w:t xml:space="preserve">722</w:t>
        </w:r>
      </w:hyperlink>
      <w:r>
        <w:rPr>
          <w:vertAlign w:val="superscript"/>
        </w:rPr>
        <w:t xml:space="preserve">]</w:t>
      </w:r>
      <w:r>
        <w:t xml:space="preserve">；英文里还流行把四者首字母拼成“DOSE”。它有三个问题：这四类分子的化学性质、释放部位和作用方式各不相同，其中有单胺，也有肽类，各自可以充当神经递质、神经调节物质或激素，每一种都通过不同受体和回路参与多种功能，没有哪一种能概括为“快乐”（见</w:t>
      </w:r>
      <w:hyperlink w:anchor="ch-95">
        <w:r>
          <w:rPr>
            <w:rStyle w:val="Hyperlink"/>
          </w:rPr>
          <w:t xml:space="preserve">第95章</w:t>
        </w:r>
      </w:hyperlink>
      <w:r>
        <w:t xml:space="preserve">至</w:t>
      </w:r>
      <w:hyperlink w:anchor="ch-98">
        <w:r>
          <w:rPr>
            <w:rStyle w:val="Hyperlink"/>
          </w:rPr>
          <w:t xml:space="preserve">第98章</w:t>
        </w:r>
      </w:hyperlink>
      <w:r>
        <w:t xml:space="preserve">）；外周水平与脑内作用相去甚远；情绪与幸福感来自许多脑网络的协同，任何一种分子都无法单独承担，内源性大麻素、GABA、去甲肾上腺素等也被这个框架忽略了。</w:t>
      </w:r>
    </w:p>
    <w:p>
      <w:pPr>
        <w:pStyle w:val="BodyText"/>
      </w:pPr>
      <w:r>
        <w:t xml:space="preserve">它所推荐的行为（运动、晒太阳、亲密关系、完成有意义的事）各有研究证据，收益随剂量、情境和个人条件而变，价值要按各自的心理、行为和临床结果评估；四种分子的框架并没有提供额外的个体诊断或处方能力。</w:t>
      </w:r>
    </w:p>
    <w:p>
      <w:pPr>
        <w:pStyle w:val="CalloutJudgment"/>
      </w:pPr>
      <w:r>
        <w:rPr>
          <w:bCs/>
          <w:b/>
        </w:rPr>
        <w:t xml:space="preserve">判断　</w:t>
      </w:r>
      <w:r>
        <w:t xml:space="preserve">“多巴胺是快乐分子”</w:t>
      </w:r>
      <w:r>
        <w:rPr>
          <w:bCs/>
          <w:b/>
        </w:rPr>
        <w:t xml:space="preserve">过度简化·高</w:t>
      </w:r>
      <w:r>
        <w:t xml:space="preserve">；“多巴胺短期快乐、内啡肽长期快乐”</w:t>
      </w:r>
      <w:r>
        <w:rPr>
          <w:bCs/>
          <w:b/>
        </w:rPr>
        <w:t xml:space="preserve">错误·高</w:t>
      </w:r>
      <w:r>
        <w:t xml:space="preserve">；“内啡肽带来长期快乐”</w:t>
      </w:r>
      <w:r>
        <w:rPr>
          <w:bCs/>
          <w:b/>
        </w:rPr>
        <w:t xml:space="preserve">错误·高</w:t>
      </w:r>
      <w:r>
        <w:t xml:space="preserve">；“四大快乐激素各管一种快乐”</w:t>
      </w:r>
      <w:r>
        <w:rPr>
          <w:bCs/>
          <w:b/>
        </w:rPr>
        <w:t xml:space="preserve">过度简化·高</w:t>
      </w:r>
      <w:r>
        <w:t xml:space="preserve">。</w:t>
      </w:r>
    </w:p>
    <w:bookmarkEnd w:id="1403"/>
    <w:bookmarkStart w:id="1423" w:name="ch-81"/>
    <w:p>
      <w:pPr>
        <w:pStyle w:val="Heading2"/>
      </w:pPr>
      <w:r>
        <w:t xml:space="preserve">第81章　多巴胺排毒与减少数字刺激</w:t>
      </w:r>
    </w:p>
    <w:bookmarkStart w:id="1404" w:name="sec-81-1"/>
    <w:p>
      <w:pPr>
        <w:pStyle w:val="Heading3"/>
      </w:pPr>
      <w:r>
        <w:t xml:space="preserve">81.1　“多巴胺排毒”从哪里来</w:t>
      </w:r>
    </w:p>
    <w:p>
      <w:pPr>
        <w:pStyle w:val="FirstParagraph"/>
      </w:pPr>
      <w:r>
        <w:t xml:space="preserve">“多巴胺排毒”原本是心理学家卡梅伦·塞帕（Cameron Sepah）在 2019 年提出的认知行为练习，内容是在固定时段限制容易冲动沉迷的特定行为</w:t>
      </w:r>
      <w:r>
        <w:rPr>
          <w:vertAlign w:val="superscript"/>
        </w:rPr>
        <w:t xml:space="preserve">[</w:t>
      </w:r>
      <w:hyperlink w:anchor="ref-723">
        <w:r>
          <w:rPr>
            <w:rStyle w:val="Hyperlink"/>
            <w:vertAlign w:val="superscript"/>
          </w:rPr>
          <w:t xml:space="preserve">723</w:t>
        </w:r>
      </w:hyperlink>
      <w:r>
        <w:rPr>
          <w:vertAlign w:val="superscript"/>
        </w:rPr>
        <w:t xml:space="preserve">]</w:t>
      </w:r>
      <w:r>
        <w:t xml:space="preserve">。据哈佛健康博客转述，塞帕接受《纽约时报》采访时解释，他借多巴胺来说明成瘾如何被强化，起这个名字是为了好记，字面意思不必当真</w:t>
      </w:r>
      <w:r>
        <w:rPr>
          <w:vertAlign w:val="superscript"/>
        </w:rPr>
        <w:t xml:space="preserve">[</w:t>
      </w:r>
      <w:hyperlink w:anchor="ref-724">
        <w:r>
          <w:rPr>
            <w:rStyle w:val="Hyperlink"/>
            <w:vertAlign w:val="superscript"/>
          </w:rPr>
          <w:t xml:space="preserve">724</w:t>
        </w:r>
      </w:hyperlink>
      <w:r>
        <w:rPr>
          <w:vertAlign w:val="superscript"/>
        </w:rPr>
        <w:t xml:space="preserve">]</w:t>
      </w:r>
      <w:r>
        <w:t xml:space="preserve">。流行版本变成了“断绝一切刺激，让多巴胺受体重置”，这种“清零”“重置”的承诺没有实验证据支持</w:t>
      </w:r>
      <w:r>
        <w:rPr>
          <w:vertAlign w:val="superscript"/>
        </w:rPr>
        <w:t xml:space="preserve">[</w:t>
      </w:r>
      <w:hyperlink w:anchor="ref-724">
        <w:r>
          <w:rPr>
            <w:rStyle w:val="Hyperlink"/>
            <w:vertAlign w:val="superscript"/>
          </w:rPr>
          <w:t xml:space="preserve">724</w:t>
        </w:r>
      </w:hyperlink>
      <w:r>
        <w:rPr>
          <w:vertAlign w:val="superscript"/>
        </w:rPr>
        <w:t xml:space="preserve">]</w:t>
      </w:r>
      <w:r>
        <w:t xml:space="preserve">。“刷短视频耗尽多巴胺”同样缺少依据：多巴胺神经元持续合成和回收递质，没有证据显示日常刷屏会把脑内的多巴胺储备用光。观看个性化推荐的短视频确实会激活腹侧被盖区。这一结果来自血氧信号，多巴胺释放量要靠配体成像才能定量；同一研究对年轻成年使用者的问卷调查估计，约 5.9% 可能存在明显的问题性使用</w:t>
      </w:r>
      <w:r>
        <w:rPr>
          <w:vertAlign w:val="superscript"/>
        </w:rPr>
        <w:t xml:space="preserve">[</w:t>
      </w:r>
      <w:hyperlink w:anchor="ref-725">
        <w:r>
          <w:rPr>
            <w:rStyle w:val="Hyperlink"/>
            <w:vertAlign w:val="superscript"/>
          </w:rPr>
          <w:t xml:space="preserve">725</w:t>
        </w:r>
      </w:hyperlink>
      <w:r>
        <w:rPr>
          <w:vertAlign w:val="superscript"/>
        </w:rPr>
        <w:t xml:space="preserve">]</w:t>
      </w:r>
      <w:r>
        <w:t xml:space="preserve">，这是该样本按所用量表得出的比例。全体用户的流行率，需要另做有代表性的抽样调查。“储备用光”没有证据，高强度使用是否伴随学习、习惯或调节方面的变化，则需要各自研究。刷屏问题更接近于习惯学习和线索驱动的冲动，可以从行为层面处理。</w:t>
      </w:r>
    </w:p>
    <w:p>
      <w:pPr>
        <w:pStyle w:val="CalloutJudgment"/>
      </w:pPr>
      <w:r>
        <w:rPr>
          <w:bCs/>
          <w:b/>
        </w:rPr>
        <w:t xml:space="preserve">判断　</w:t>
      </w:r>
      <w:r>
        <w:t xml:space="preserve">“多巴胺排毒能重置受体”</w:t>
      </w:r>
      <w:r>
        <w:rPr>
          <w:bCs/>
          <w:b/>
        </w:rPr>
        <w:t xml:space="preserve">证据不足·高</w:t>
      </w:r>
      <w:r>
        <w:t xml:space="preserve">；“刷屏会耗尽多巴胺”</w:t>
      </w:r>
      <w:r>
        <w:rPr>
          <w:bCs/>
          <w:b/>
        </w:rPr>
        <w:t xml:space="preserve">错误·中</w:t>
      </w:r>
      <w:r>
        <w:t xml:space="preserve">。</w:t>
      </w:r>
    </w:p>
    <w:bookmarkEnd w:id="1404"/>
    <w:bookmarkStart w:id="1405" w:name="sec-81-2"/>
    <w:p>
      <w:pPr>
        <w:pStyle w:val="Heading3"/>
      </w:pPr>
      <w:r>
        <w:t xml:space="preserve">81.2　行为目标应先明确</w:t>
      </w:r>
    </w:p>
    <w:p>
      <w:pPr>
        <w:pStyle w:val="FirstParagraph"/>
      </w:pPr>
      <w:r>
        <w:t xml:space="preserve">减少通知、限制某些应用或安排休息，可以成为可检验的行为改变。把收益归因于清空多巴胺、重置受体或恢复出厂状态，缺少相应机制证据。对这一限制的置信度高。是否有用，应先围绕睡眠、工作完成、情绪和自主选择等具体目标评估</w:t>
      </w:r>
      <w:r>
        <w:rPr>
          <w:vertAlign w:val="superscript"/>
        </w:rPr>
        <w:t xml:space="preserve">[</w:t>
      </w:r>
      <w:hyperlink w:anchor="ref-508">
        <w:r>
          <w:rPr>
            <w:rStyle w:val="Hyperlink"/>
            <w:vertAlign w:val="superscript"/>
          </w:rPr>
          <w:t xml:space="preserve">508</w:t>
        </w:r>
      </w:hyperlink>
      <w:r>
        <w:rPr>
          <w:vertAlign w:val="superscript"/>
        </w:rPr>
        <w:t xml:space="preserve">,</w:t>
      </w:r>
      <w:hyperlink w:anchor="ref-726">
        <w:r>
          <w:rPr>
            <w:rStyle w:val="Hyperlink"/>
            <w:vertAlign w:val="superscript"/>
          </w:rPr>
          <w:t xml:space="preserve">726</w:t>
        </w:r>
      </w:hyperlink>
      <w:r>
        <w:rPr>
          <w:vertAlign w:val="superscript"/>
        </w:rPr>
        <w:t xml:space="preserve">]</w:t>
      </w:r>
      <w:r>
        <w:t xml:space="preserve">。</w:t>
      </w:r>
    </w:p>
    <w:p>
      <w:pPr>
        <w:pStyle w:val="BodyText"/>
      </w:pPr>
      <w:r>
        <w:t xml:space="preserve">“排毒”需要说明毒性物质、暴露途径、剂量、清除方式和临床结局。多巴胺参与正常神经功能，日常娱乐也不自动构成毒物暴露。若某方案只是减少某种行为，使用排毒名称容易让读者误以为已经测得某种生化异常。</w:t>
      </w:r>
    </w:p>
    <w:p>
      <w:pPr>
        <w:pStyle w:val="BodyText"/>
      </w:pPr>
      <w:r>
        <w:t xml:space="preserve">“重置”也需要定义。究竟是受体数量、受体敏感性、释放概率、线索价值还是习惯行为发生变化？各变量使用不同测量，有不同时间尺度。若理论把任何改善都叫重置，它便失去可检验的边界。</w:t>
      </w:r>
    </w:p>
    <w:bookmarkEnd w:id="1405"/>
    <w:bookmarkStart w:id="1406" w:name="sec-81-3"/>
    <w:p>
      <w:pPr>
        <w:pStyle w:val="Heading3"/>
      </w:pPr>
      <w:r>
        <w:t xml:space="preserve">81.3　线索与行为之间的学习关系</w:t>
      </w:r>
    </w:p>
    <w:p>
      <w:pPr>
        <w:pStyle w:val="FirstParagraph"/>
      </w:pPr>
      <w:r>
        <w:t xml:space="preserve">可见图标、声音通知、固定地点、某段时间和某些情绪，都可以成为行为提示。重复的提示与结果关系，使行为更容易在相似情境中发生。减少或移除提示可能降低自动启动的机会，改变可获得的替代活动也可能影响选择。行为启动次数降低可以由线索访问减少解释，不需要预设脑内多巴胺被清空或某受体完成统一重置。这些是可以独立研究的行为机制，具体产品或设置的效果仍需实际测量</w:t>
      </w:r>
      <w:r>
        <w:rPr>
          <w:vertAlign w:val="superscript"/>
        </w:rPr>
        <w:t xml:space="preserve">[</w:t>
      </w:r>
      <w:hyperlink w:anchor="ref-508">
        <w:r>
          <w:rPr>
            <w:rStyle w:val="Hyperlink"/>
            <w:vertAlign w:val="superscript"/>
          </w:rPr>
          <w:t xml:space="preserve">508</w:t>
        </w:r>
      </w:hyperlink>
      <w:r>
        <w:rPr>
          <w:vertAlign w:val="superscript"/>
        </w:rPr>
        <w:t xml:space="preserve">,</w:t>
      </w:r>
      <w:hyperlink w:anchor="ref-727">
        <w:r>
          <w:rPr>
            <w:rStyle w:val="Hyperlink"/>
            <w:vertAlign w:val="superscript"/>
          </w:rPr>
          <w:t xml:space="preserve">727</w:t>
        </w:r>
      </w:hyperlink>
      <w:r>
        <w:rPr>
          <w:vertAlign w:val="superscript"/>
        </w:rPr>
        <w:t xml:space="preserve">]</w:t>
      </w:r>
      <w:r>
        <w:t xml:space="preserve">。</w:t>
      </w:r>
    </w:p>
    <w:p>
      <w:pPr>
        <w:pStyle w:val="BodyText"/>
      </w:pPr>
      <w:r>
        <w:t xml:space="preserve">一个人减少应用使用后获得更多睡眠，第二天注意改善，可能存在睡眠中介；另一个人把空出的时间用于运动或与朋友见面，收益路径又不同。若研究没有测量这些路径，不能把全部效果归于同一种神经化学变化。</w:t>
      </w:r>
    </w:p>
    <w:p>
      <w:pPr>
        <w:pStyle w:val="BodyText"/>
      </w:pPr>
      <w:r>
        <w:t xml:space="preserve">原先行为的功能也需要分析。它可能提供信息、社交联系、娱乐、回避不适或工作机会。完全停止可能减少干扰，也可能造成孤立或工作不便。合理干预应与具体问题匹配，并观察净效果，不能假定刺激越少越好。</w:t>
      </w:r>
    </w:p>
    <w:bookmarkEnd w:id="1406"/>
    <w:bookmarkStart w:id="1407" w:name="sec-81-4"/>
    <w:p>
      <w:pPr>
        <w:pStyle w:val="Heading3"/>
      </w:pPr>
      <w:r>
        <w:t xml:space="preserve">81.4　随机试验支持多窄的结论</w:t>
      </w:r>
    </w:p>
    <w:p>
      <w:pPr>
        <w:pStyle w:val="FirstParagraph"/>
      </w:pPr>
      <w:r>
        <w:t xml:space="preserve">Lambert及同事将154人随机分配为暂停社交媒体一周或维持使用，报告短期幸福感、抑郁和焦虑量表的平均改善。试验没有测量多巴胺清空或受体重置，随访时间和盲法限制也影响推广。它支持特定短期行为改变值得进一步研究，不能证明所有人长期停用都获益</w:t>
      </w:r>
      <w:r>
        <w:rPr>
          <w:vertAlign w:val="superscript"/>
        </w:rPr>
        <w:t xml:space="preserve">[</w:t>
      </w:r>
      <w:hyperlink w:anchor="ref-726">
        <w:r>
          <w:rPr>
            <w:rStyle w:val="Hyperlink"/>
            <w:vertAlign w:val="superscript"/>
          </w:rPr>
          <w:t xml:space="preserve">726</w:t>
        </w:r>
      </w:hyperlink>
      <w:r>
        <w:rPr>
          <w:vertAlign w:val="superscript"/>
        </w:rPr>
        <w:t xml:space="preserve">]</w:t>
      </w:r>
      <w:r>
        <w:t xml:space="preserve">。</w:t>
      </w:r>
    </w:p>
    <w:p>
      <w:pPr>
        <w:pStyle w:val="BodyText"/>
      </w:pPr>
      <w:r>
        <w:t xml:space="preserve">随机分组有助于平均平衡起点差异，但参与者知道自己是否停用，期待和自我报告可能影响结果。理想研究可以增加客观使用日志、行为功能指标和更长随访，并用相同投入的对照减少期待差异。不同平台、年龄和使用目的也需要分别检查。</w:t>
      </w:r>
    </w:p>
    <w:p>
      <w:pPr>
        <w:pStyle w:val="BodyText"/>
      </w:pPr>
      <w:r>
        <w:t xml:space="preserve">如果一个研究只纳入愿意暂停的人，它对不愿暂停或高度依赖平台工作的人适用性有限。试验中的依从性和实际减少幅度应与结果一起报告。被随机分到停止组，与真正持续停止，是不同变量。</w:t>
      </w:r>
    </w:p>
    <w:bookmarkEnd w:id="1407"/>
    <w:bookmarkStart w:id="1408" w:name="sec-81-5"/>
    <w:p>
      <w:pPr>
        <w:pStyle w:val="Heading3"/>
      </w:pPr>
      <w:r>
        <w:t xml:space="preserve">81.5　怎样设计个人层面的可评估尝试</w:t>
      </w:r>
    </w:p>
    <w:p>
      <w:pPr>
        <w:pStyle w:val="FirstParagraph"/>
      </w:pPr>
      <w:r>
        <w:t xml:space="preserve">以下是行为评估的示范框架，尚未作为个体治疗方案得到验证。先确定一个具体问题，例如睡前使用是否挤占睡眠；再记录一段基线，包括睡觉时间、使用时长和白天功能；随后只改变一个主要条件，如固定时间关闭通知，并持续记录相同指标。</w:t>
      </w:r>
    </w:p>
    <w:p>
      <w:pPr>
        <w:pStyle w:val="BodyText"/>
      </w:pPr>
      <w:r>
        <w:t xml:space="preserve">这个设计比只凭一两天感觉更有信息，但仍有季节、工作负担和期待等干扰。若条件允许，可以在多个相近时段重复比较，观察改善是否跟随干预出现。结果支持的是个人在这些条件下的变化，不能自动推广为神经递质机制。</w:t>
      </w:r>
    </w:p>
    <w:p>
      <w:pPr>
        <w:pStyle w:val="BodyText"/>
      </w:pPr>
      <w:r>
        <w:t xml:space="preserve">评价时同时记录代价。减少应用后是否错过重要沟通，是否用另一种同样耗时的活动替代，是否因严格规则增加反复自责。一个干预的净价值取决于收益和成本，评价应使用行为与生活结果。行为减少本身不应被当作唯一成功标准：查看次数下降但重要工作遗漏增多，净效益需要重新判断；使用时长变化不大但使用方式更符合目标，也可能具有价值。这些结局比推测某个受体是否恢复更接近可观察的证据。</w:t>
      </w:r>
    </w:p>
    <w:bookmarkEnd w:id="1408"/>
    <w:bookmarkStart w:id="1409" w:name="sec-81-6"/>
    <w:p>
      <w:pPr>
        <w:pStyle w:val="Heading3"/>
      </w:pPr>
      <w:r>
        <w:t xml:space="preserve">81.6　与成瘾治疗的边界</w:t>
      </w:r>
    </w:p>
    <w:p>
      <w:pPr>
        <w:pStyle w:val="FirstParagraph"/>
      </w:pPr>
      <w:r>
        <w:t xml:space="preserve">持续失控和显著功能伤害需要专门评估。一般的数字休息研究不能代替成瘾治疗证据，也不能把药物依赖中的神经适应直接移植到所有娱乐。普通爱好、频繁使用和临床障碍之间需要明确区分</w:t>
      </w:r>
      <w:r>
        <w:rPr>
          <w:vertAlign w:val="superscript"/>
        </w:rPr>
        <w:t xml:space="preserve">[</w:t>
      </w:r>
      <w:hyperlink w:anchor="ref-728">
        <w:r>
          <w:rPr>
            <w:rStyle w:val="Hyperlink"/>
            <w:vertAlign w:val="superscript"/>
          </w:rPr>
          <w:t xml:space="preserve">728</w:t>
        </w:r>
      </w:hyperlink>
      <w:r>
        <w:rPr>
          <w:vertAlign w:val="superscript"/>
        </w:rPr>
        <w:t xml:space="preserve">]</w:t>
      </w:r>
      <w:r>
        <w:t xml:space="preserve">。</w:t>
      </w:r>
    </w:p>
    <w:p>
      <w:pPr>
        <w:pStyle w:val="BodyText"/>
      </w:pPr>
      <w:r>
        <w:t xml:space="preserve">对已经接受治疗的人，商业排毒课程不能成为自行停药或停止专业照护的依据。行为支持可以与正规治疗结合，其作用仍需按具体问题检查。本书讨论机制上的误解，不对个人给出未经评估的治疗替代方案。</w:t>
      </w:r>
    </w:p>
    <w:bookmarkEnd w:id="1409"/>
    <w:bookmarkStart w:id="1410" w:name="sec-81-7"/>
    <w:p>
      <w:pPr>
        <w:pStyle w:val="Heading3"/>
      </w:pPr>
      <w:r>
        <w:t xml:space="preserve">81.7　干预中的活性成分需要拆分</w:t>
      </w:r>
    </w:p>
    <w:p>
      <w:pPr>
        <w:pStyle w:val="FirstParagraph"/>
      </w:pPr>
      <w:r>
        <w:t xml:space="preserve">减少手机或社交媒体使用，会同时改变许多事情：通知次数、信息内容、社交互动、睡前活动、坐着的时间、任务中断和可用于其他活动的时间。例如，减少夜间使用可能减少睡眠被打断的机会，减少白天通知可能减少频繁切换，两条路径的时间尺度不同。若情绪随后改善，实验需要记录实际发生的行为变化，并判断哪些变化真正参与了结果。把整个干预归结为一种递质恢复，会使这些可直接检验的因素失去位置。</w:t>
      </w:r>
    </w:p>
    <w:p>
      <w:pPr>
        <w:pStyle w:val="BodyText"/>
      </w:pPr>
      <w:r>
        <w:t xml:space="preserve">一个有解释力的干预应明确目标行为。每日总时长、睡前时长、被动浏览比例、通知频率和任务切换次数可以分别变化。两个人每天使用同样时长，可能一个主要用于主动联系亲友，另一个主要在工作中反复被打断。若只限制总分钟数，得到的平均效应会混合这些不同活动结构。</w:t>
      </w:r>
    </w:p>
    <w:p>
      <w:pPr>
        <w:pStyle w:val="BodyText"/>
      </w:pPr>
      <w:r>
        <w:t xml:space="preserve">替代活动属于干预的一部分。释放的时间可以用于睡眠、运动、阅读、线下交往，也可能转到另一平台。若没有记录替代行为，便无法判断改善来自减少某内容，还是增加另一有益活动。为减少偏倚，记录方式本身也应适度，过密提醒可能成为新的干预。</w:t>
      </w:r>
    </w:p>
    <w:bookmarkEnd w:id="1410"/>
    <w:bookmarkStart w:id="1411" w:name="sec-81-8"/>
    <w:p>
      <w:pPr>
        <w:pStyle w:val="Heading3"/>
      </w:pPr>
      <w:r>
        <w:t xml:space="preserve">81.8　随机分组之后仍要检验实际暴露</w:t>
      </w:r>
    </w:p>
    <w:p>
      <w:pPr>
        <w:pStyle w:val="FirstParagraph"/>
      </w:pPr>
      <w:r>
        <w:t xml:space="preserve">随机分组使分配在平均意义上与基线特征独立，但它不保证所有人照做，也不保证两组最终使用差异足够大。van Wezel及同事的一项76人试验比较较大与较小幅度的社交媒体限制，部分对照参与者自行减少使用，削弱了预定组间暴露差异。该结果说明操纵核验对解释阴性和阳性结果都很重要</w:t>
      </w:r>
      <w:r>
        <w:rPr>
          <w:vertAlign w:val="superscript"/>
        </w:rPr>
        <w:t xml:space="preserve">[</w:t>
      </w:r>
      <w:hyperlink w:anchor="ref-729">
        <w:r>
          <w:rPr>
            <w:rStyle w:val="Hyperlink"/>
            <w:vertAlign w:val="superscript"/>
          </w:rPr>
          <w:t xml:space="preserve">729</w:t>
        </w:r>
      </w:hyperlink>
      <w:r>
        <w:rPr>
          <w:vertAlign w:val="superscript"/>
        </w:rPr>
        <w:t xml:space="preserve">]</w:t>
      </w:r>
      <w:r>
        <w:t xml:space="preserve">。</w:t>
      </w:r>
    </w:p>
    <w:p>
      <w:pPr>
        <w:pStyle w:val="BodyText"/>
      </w:pPr>
      <w:r>
        <w:t xml:space="preserve">意向性分析估计被分配到某方案的效果，能够保留随机化优势。只分析完全遵从者，可能重新引入差异：更愿意遵从的人也可能更有动力改变睡眠或情绪。两类分析回答不同问题。研究可以同时报告预先规定的分析，并明确其估计目标，避免在结果不理想时随意切换。</w:t>
      </w:r>
    </w:p>
    <w:p>
      <w:pPr>
        <w:pStyle w:val="BodyText"/>
      </w:pPr>
      <w:r>
        <w:t xml:space="preserve">手机系统记录相对客观，但仍需检查它覆盖哪些设备、应用和使用方式。电脑上的同类平台、浏览器访问、后台播放和共享设备可能不在记录中。自报可以补充使用目的与体验，却容易受到回忆和期待影响。组合使用这些资料，有助于提高暴露测量的解释力。</w:t>
      </w:r>
    </w:p>
    <w:bookmarkEnd w:id="1411"/>
    <w:bookmarkStart w:id="1412" w:name="sec-81-9"/>
    <w:p>
      <w:pPr>
        <w:pStyle w:val="Heading3"/>
      </w:pPr>
      <w:r>
        <w:t xml:space="preserve">81.9　开放行为试验如何处理期待</w:t>
      </w:r>
    </w:p>
    <w:p>
      <w:pPr>
        <w:pStyle w:val="FirstParagraph"/>
      </w:pPr>
      <w:r>
        <w:t xml:space="preserve">参与者通常知道自己是否减少使用，因此很难对行为干预完全盲法。知道参加一个改善心理健康的项目，可能改变自评方式，也可能促使其他生活改变。这些变化可以构成整体干预效应的一部分，却会影响对某个特定机制的归因。</w:t>
      </w:r>
    </w:p>
    <w:p>
      <w:pPr>
        <w:pStyle w:val="BodyText"/>
      </w:pPr>
      <w:r>
        <w:t xml:space="preserve">主动对照可以帮助区分共同因素。例如，两组都接受同等关注和行为记录，一组改变通知结构，另一组改变一个理论上较弱相关的数字习惯。对照也必须有合理性，不能明显显得毫无价值，否则期待差异仍然存在。还应在干预前测量参与者对各方案的可信度，并尽量让结局评分者不知道分组。</w:t>
      </w:r>
    </w:p>
    <w:p>
      <w:pPr>
        <w:pStyle w:val="BodyText"/>
      </w:pPr>
      <w:r>
        <w:t xml:space="preserve">等待名单对照适合某些务实问题，但它与主动对照估计的效应不同。若等待组认为没有获得帮助，差异可能包含失望或接触量差异。将不同对照类型的研究直接合并，需要检查这种结构差异是否改变结果。统计合并的精度提高，不能自动补偿设计上的不可比性。</w:t>
      </w:r>
    </w:p>
    <w:bookmarkEnd w:id="1412"/>
    <w:bookmarkStart w:id="1413" w:name="sec-81-10"/>
    <w:p>
      <w:pPr>
        <w:pStyle w:val="Heading3"/>
      </w:pPr>
      <w:r>
        <w:t xml:space="preserve">81.10　短期改善和长期可持续性</w:t>
      </w:r>
    </w:p>
    <w:p>
      <w:pPr>
        <w:pStyle w:val="FirstParagraph"/>
      </w:pPr>
      <w:r>
        <w:t xml:space="preserve">一周内的变化能够回答短期问题。长期效果还取决于能否维持、是否产生补偿使用、社交或工作需求怎样变化，以及最初新鲜感是否消退。短期严格限制可以帮助识别某些习惯，但并没有自动证明长期同等限制适合所有人。</w:t>
      </w:r>
    </w:p>
    <w:p>
      <w:pPr>
        <w:pStyle w:val="BodyText"/>
      </w:pPr>
      <w:r>
        <w:t xml:space="preserve">随访需要记录干预结束后的行为轨迹。若使用量恢复但情绪改善仍保持，可能意味着参与者形成了新的使用方式或其他生活改变；若改善迅速消失，则提示持续支持或其他机制的重要性。无论哪一种结果，都比简单比较开始与结束两个时间点提供更多信息。短期限制结束后回到原环境，原有线索和机会再次出现，行为可能回升。这提示环境与学习条件需要长期匹配；单凭行为回升，既推不出大脑被永久损坏，也推不出短期干预毫无价值。形成可持续安排时，应关注可执行的规则、替代活动和反馈，神经化学标签无法替代这些具体条件。</w:t>
      </w:r>
    </w:p>
    <w:p>
      <w:pPr>
        <w:pStyle w:val="BodyText"/>
      </w:pPr>
      <w:r>
        <w:t xml:space="preserve">持续性也包括代价。数字行为可以承担工作、学习、社交和支持功能，某些人通过网络获得社会支持、工作机会、无障碍信息或少数群体社群联系。减少使用可能同时减少困扰与支持，限制越严格也不必然带来更好的净结果。研究应测量这些结局，才能判断净效果；长期目标可以围绕使用是否符合任务、是否影响睡眠、能否按计划停止以及是否带来持续功能损害来定义。把平均获益直接翻译成对所有人的统一禁用规则，会掩盖人群之间重要差异。</w:t>
      </w:r>
    </w:p>
    <w:bookmarkEnd w:id="1413"/>
    <w:bookmarkStart w:id="1414" w:name="sec-81-11"/>
    <w:p>
      <w:pPr>
        <w:pStyle w:val="Heading3"/>
      </w:pPr>
      <w:r>
        <w:t xml:space="preserve">81.11　个体差异应由交互作用检验</w:t>
      </w:r>
    </w:p>
    <w:p>
      <w:pPr>
        <w:pStyle w:val="FirstParagraph"/>
      </w:pPr>
      <w:r>
        <w:t xml:space="preserve">如果研究发现高基线使用者改善较多，可能是他们有更大的改变空间，也可能涉及回归均值。要证明某类人对干预具有不同效应，应比较分组与基线特征之间的交互作用，并最好预先规定。单独在一组得到显著结果、另一组没有显著结果，不能独自证明两组效应不同。</w:t>
      </w:r>
    </w:p>
    <w:p>
      <w:pPr>
        <w:pStyle w:val="BodyText"/>
      </w:pPr>
      <w:r>
        <w:t xml:space="preserve">探索性亚组结果需要充足样本。把人群按年龄、性别、平台、症状、人格和使用目的不断切分，会迅速产生许多比较。少量显著发现可能偶然出现。报告全部分析、控制多重比较并在独立样本复核，有助于区别可重复差异与偶然信号。</w:t>
      </w:r>
    </w:p>
    <w:p>
      <w:pPr>
        <w:pStyle w:val="BodyText"/>
      </w:pPr>
      <w:r>
        <w:t xml:space="preserve">个体试验也可以提供实用信息，但需要适当设计。一个人可以先记录稳定基线，再预先选择具体改变和评估周期，观察工作完成度、睡眠机会或主观困扰。这样的观察能够帮助个人调整，却很难单独确认神经机制，因为同时发生的生活事件和期待仍可能解释变化。</w:t>
      </w:r>
    </w:p>
    <w:bookmarkEnd w:id="1414"/>
    <w:bookmarkStart w:id="1415" w:name="sec-81-12"/>
    <w:p>
      <w:pPr>
        <w:pStyle w:val="Heading3"/>
      </w:pPr>
      <w:r>
        <w:t xml:space="preserve">81.12　中介机制需要时间与因果条件</w:t>
      </w:r>
    </w:p>
    <w:p>
      <w:pPr>
        <w:pStyle w:val="FirstParagraph"/>
      </w:pPr>
      <w:r>
        <w:t xml:space="preserve">假设减少夜间浏览改善睡眠，睡眠改善进一步改善情绪。要支持这条中介链，至少要在时间上记录使用变化先于睡眠变化、睡眠变化先于结局，并考虑影响睡眠与情绪的其他因素。仅看到三者相关，不能确认中介方向；情绪改善也可能让人更早入睡并减少浏览。</w:t>
      </w:r>
    </w:p>
    <w:p>
      <w:pPr>
        <w:pStyle w:val="BodyText"/>
      </w:pPr>
      <w:r>
        <w:t xml:space="preserve">统计中介模型依赖额外假设。即使干预分配随机，睡眠本身通常没有随机分配，睡眠与情绪之间仍可能存在未测混杂。更强设计可以独立操纵候选中介，或者采用多个相互补充的实验。机制推断应按这些假设的可信度分级，不能因为路径图有箭头就认为因果已确定。</w:t>
      </w:r>
    </w:p>
    <w:p>
      <w:pPr>
        <w:pStyle w:val="BodyText"/>
      </w:pPr>
      <w:r>
        <w:t xml:space="preserve">若直接声称多巴胺中介，需要可靠的中枢相关测量与时间设计。外周尿液、主观动力评分或使用时长都不能自动充当脑内释放的替代指标。即使观察到某种中枢信号变化，也要检验其是否介导行为改善，还是两者共同受到第三过程影响。当前普通数字行为调整研究不能支持统一的多巴胺清空和重置时间表。</w:t>
      </w:r>
    </w:p>
    <w:bookmarkEnd w:id="1415"/>
    <w:bookmarkStart w:id="1416" w:name="sec-81-13"/>
    <w:p>
      <w:pPr>
        <w:pStyle w:val="Heading3"/>
      </w:pPr>
      <w:r>
        <w:t xml:space="preserve">81.13　有用的实践目标应能够观察和修改</w:t>
      </w:r>
    </w:p>
    <w:p>
      <w:pPr>
        <w:pStyle w:val="FirstParagraph"/>
      </w:pPr>
      <w:r>
        <w:t xml:space="preserve">围绕具体困难设定目标，比追求不可测的递质纯净状态更容易检验。若主要问题是工作被通知打断，可以测试集中处理通知是否提高任务连续性；若问题是睡前使用挤占睡眠机会，可以调整设备放置与结束时间；若困扰来自某类内容，可以改变订阅和互动方式。这些方案各有明确的行为对象。</w:t>
      </w:r>
    </w:p>
    <w:p>
      <w:pPr>
        <w:pStyle w:val="BodyText"/>
      </w:pPr>
      <w:r>
        <w:t xml:space="preserve">记录结果时，应同时注意改善与代价。例如，工作中断减少但重要联络延迟，说明方案需要为关键联系保留通道。计划执行失败也可以提供信息：限制过严、工作要求不匹配或替代活动缺乏，都可能导致难以持续。将失败归为意志或多巴胺受损，缺少足够依据。</w:t>
      </w:r>
    </w:p>
    <w:p>
      <w:pPr>
        <w:pStyle w:val="BodyText"/>
      </w:pPr>
      <w:r>
        <w:t xml:space="preserve">避免把正常愉悦活动一概视为有毒刺激。饮食、运动、音乐、亲密关系和探索都具有多种生理与心理意义，不能因为涉及奖赏相关通路就纳入统一剥夺。对确有持续失控和功能损害的情况，应该按其具体行为与健康后果进行评估。高置信结论是行为调整可以被实验检验；统一的多巴胺排毒机制缺少可靠证据</w:t>
      </w:r>
      <w:r>
        <w:rPr>
          <w:vertAlign w:val="superscript"/>
        </w:rPr>
        <w:t xml:space="preserve">[</w:t>
      </w:r>
      <w:hyperlink w:anchor="ref-726">
        <w:r>
          <w:rPr>
            <w:rStyle w:val="Hyperlink"/>
            <w:vertAlign w:val="superscript"/>
          </w:rPr>
          <w:t xml:space="preserve">726</w:t>
        </w:r>
      </w:hyperlink>
      <w:r>
        <w:rPr>
          <w:vertAlign w:val="superscript"/>
        </w:rPr>
        <w:t xml:space="preserve">,</w:t>
      </w:r>
      <w:hyperlink w:anchor="ref-729">
        <w:r>
          <w:rPr>
            <w:rStyle w:val="Hyperlink"/>
            <w:vertAlign w:val="superscript"/>
          </w:rPr>
          <w:t xml:space="preserve">729</w:t>
        </w:r>
      </w:hyperlink>
      <w:r>
        <w:rPr>
          <w:vertAlign w:val="superscript"/>
        </w:rPr>
        <w:t xml:space="preserve">]</w:t>
      </w:r>
      <w:r>
        <w:t xml:space="preserve">。</w:t>
      </w:r>
    </w:p>
    <w:bookmarkEnd w:id="1416"/>
    <w:bookmarkStart w:id="1417" w:name="sec-81-14"/>
    <w:p>
      <w:pPr>
        <w:pStyle w:val="Heading3"/>
      </w:pPr>
      <w:r>
        <w:t xml:space="preserve">81.14　研究结果进入公共传播时需要保留分母</w:t>
      </w:r>
    </w:p>
    <w:p>
      <w:pPr>
        <w:pStyle w:val="FirstParagraph"/>
      </w:pPr>
      <w:r>
        <w:t xml:space="preserve">新闻标题容易只报告改善多少，却省略参与者是谁、比较方案是什么以及结局持续多久。若研究招募的是愿意减少使用的年轻志愿者，结果不能直接代表必须依赖社交平台工作的成年人。若主要结局是自评量表，不能直接称为确诊疾病治愈。若排除高风险人群，安全性也不能简单推广。</w:t>
      </w:r>
    </w:p>
    <w:p>
      <w:pPr>
        <w:pStyle w:val="BodyText"/>
      </w:pPr>
      <w:r>
        <w:t xml:space="preserve">一个严谨的公众表述至少应包含干预内容、对照条件、时间范围、主要结果与不确定性。这样的信息能帮助读者判断研究与自身问题的相似程度，也能防止把一次试验的平均变化包装成人人适用的生物学定律。科学解释应随证据具体化，行为获益与未经验证的神经故事需要分别评价。</w:t>
      </w:r>
    </w:p>
    <w:bookmarkEnd w:id="1417"/>
    <w:bookmarkStart w:id="1418" w:name="sec-81-15"/>
    <w:p>
      <w:pPr>
        <w:pStyle w:val="Heading3"/>
      </w:pPr>
      <w:r>
        <w:t xml:space="preserve">81.15　线索可用性会改变行为启动的次数</w:t>
      </w:r>
    </w:p>
    <w:p>
      <w:pPr>
        <w:pStyle w:val="FirstParagraph"/>
      </w:pPr>
      <w:r>
        <w:t xml:space="preserve">可构造一个教学情景：一个人把常用设备从桌面移到另一个房间。此后查看次数减少，至少可能涉及视觉提示减少、动作成本增加和任务切换减少。三种变化可以同时发生。若要知道哪种最重要，需要分别改变提示位置、距离和访问步骤。行为改变具有可分解的机制，不能仅依据结果给它命名为神经排毒。</w:t>
      </w:r>
    </w:p>
    <w:bookmarkEnd w:id="1418"/>
    <w:bookmarkStart w:id="1419" w:name="sec-81-16"/>
    <w:p>
      <w:pPr>
        <w:pStyle w:val="Heading3"/>
      </w:pPr>
      <w:r>
        <w:t xml:space="preserve">81.16　替代行为提供新的可学习关系</w:t>
      </w:r>
    </w:p>
    <w:p>
      <w:pPr>
        <w:pStyle w:val="FirstParagraph"/>
      </w:pPr>
      <w:r>
        <w:t xml:space="preserve">减少一种行为后，空出的时间和注意可以被其他活动占据。若替代活动具有明确反馈、社会联系或可完成目标，它可能形成新的行动与结果关系；若只是长期保持无事可做，也可能产生无聊或转向其他高频行为。替代条件因此直接影响持续效果。</w:t>
      </w:r>
    </w:p>
    <w:p>
      <w:pPr>
        <w:pStyle w:val="BodyText"/>
      </w:pPr>
      <w:r>
        <w:t xml:space="preserve">神经可塑性依赖活动模式和调节状态，学习新行为不只是减少旧行为的次数。新的任务可以改变感觉采样、运动序列和结果预期，逐步形成不同的线索关系。关于某种具体数字产品停用是否造成某类突触改变，目前不能从一般可塑性机制直接推出结论</w:t>
      </w:r>
      <w:r>
        <w:rPr>
          <w:vertAlign w:val="superscript"/>
        </w:rPr>
        <w:t xml:space="preserve">[</w:t>
      </w:r>
      <w:hyperlink w:anchor="ref-61">
        <w:r>
          <w:rPr>
            <w:rStyle w:val="Hyperlink"/>
            <w:vertAlign w:val="superscript"/>
          </w:rPr>
          <w:t xml:space="preserve">61</w:t>
        </w:r>
      </w:hyperlink>
      <w:r>
        <w:rPr>
          <w:vertAlign w:val="superscript"/>
        </w:rPr>
        <w:t xml:space="preserve">,</w:t>
      </w:r>
      <w:hyperlink w:anchor="ref-730">
        <w:r>
          <w:rPr>
            <w:rStyle w:val="Hyperlink"/>
            <w:vertAlign w:val="superscript"/>
          </w:rPr>
          <w:t xml:space="preserve">730</w:t>
        </w:r>
      </w:hyperlink>
      <w:r>
        <w:rPr>
          <w:vertAlign w:val="superscript"/>
        </w:rPr>
        <w:t xml:space="preserve">]</w:t>
      </w:r>
      <w:r>
        <w:t xml:space="preserve">。</w:t>
      </w:r>
    </w:p>
    <w:bookmarkEnd w:id="1419"/>
    <w:bookmarkStart w:id="1420" w:name="sec-81-17"/>
    <w:p>
      <w:pPr>
        <w:pStyle w:val="Heading3"/>
      </w:pPr>
      <w:r>
        <w:t xml:space="preserve">81.17　减少外界打断可以降低任务转换需求</w:t>
      </w:r>
    </w:p>
    <w:p>
      <w:pPr>
        <w:pStyle w:val="FirstParagraph"/>
      </w:pPr>
      <w:r>
        <w:t xml:space="preserve">从控制角度看，外界打断会迫使系统保存当前目标、处理新线索并重新进入原任务。移除一些打断可能减少这些转换需求。这个推导说明，即使多巴胺系统保持正常生理功能，环境结构改变也足以产生行为差异。改善的实际大小取决于任务和原先中断模式，不能保证每个人都得到同样结果</w:t>
      </w:r>
      <w:r>
        <w:rPr>
          <w:vertAlign w:val="superscript"/>
        </w:rPr>
        <w:t xml:space="preserve">[</w:t>
      </w:r>
      <w:hyperlink w:anchor="ref-340">
        <w:r>
          <w:rPr>
            <w:rStyle w:val="Hyperlink"/>
            <w:vertAlign w:val="superscript"/>
          </w:rPr>
          <w:t xml:space="preserve">340</w:t>
        </w:r>
      </w:hyperlink>
      <w:r>
        <w:rPr>
          <w:vertAlign w:val="superscript"/>
        </w:rPr>
        <w:t xml:space="preserve">,</w:t>
      </w:r>
      <w:hyperlink w:anchor="ref-731">
        <w:r>
          <w:rPr>
            <w:rStyle w:val="Hyperlink"/>
            <w:vertAlign w:val="superscript"/>
          </w:rPr>
          <w:t xml:space="preserve">731</w:t>
        </w:r>
      </w:hyperlink>
      <w:r>
        <w:rPr>
          <w:vertAlign w:val="superscript"/>
        </w:rPr>
        <w:t xml:space="preserve">]</w:t>
      </w:r>
      <w:r>
        <w:t xml:space="preserve">。</w:t>
      </w:r>
    </w:p>
    <w:bookmarkEnd w:id="1420"/>
    <w:bookmarkStart w:id="1421" w:name="sec-81-18"/>
    <w:p>
      <w:pPr>
        <w:pStyle w:val="Heading3"/>
      </w:pPr>
      <w:r>
        <w:t xml:space="preserve">81.18　预先安排可以改变未来选择的成本</w:t>
      </w:r>
    </w:p>
    <w:p>
      <w:pPr>
        <w:pStyle w:val="FirstParagraph"/>
      </w:pPr>
      <w:r>
        <w:t xml:space="preserve">在平静时决定何时查看消息、把需要完成的材料放在易见位置，或预先设置不被打断的工作阶段，都能改变之后的线索与行动成本。这类安排把部分控制需求移到较早时刻。其逻辑与脑内化学物质清洗无关，机制可由实际环境变化解释。</w:t>
      </w:r>
    </w:p>
    <w:p>
      <w:pPr>
        <w:pStyle w:val="BodyText"/>
      </w:pPr>
      <w:r>
        <w:t xml:space="preserve">预先安排还需要容许例外。临时工作要求、照护责任和紧急联系会改变最合适的访问方式。一个无法适应现实任务的严格规则可能增加压力和失败感。科学评价应关注规则能否支持预定功能，以及在新条件下是否可调整。稳定执行、灵活修订和必要访问可以同时成为目标，完全禁用只是某些情境下的一种选择。</w:t>
      </w:r>
    </w:p>
    <w:bookmarkEnd w:id="1421"/>
    <w:bookmarkStart w:id="1422" w:name="sec-81-19"/>
    <w:p>
      <w:pPr>
        <w:pStyle w:val="Heading3"/>
      </w:pPr>
      <w:r>
        <w:t xml:space="preserve">81.19　本章结论</w:t>
      </w:r>
    </w:p>
    <w:p>
      <w:pPr>
        <w:pStyle w:val="FirstParagraph"/>
      </w:pPr>
      <w:r>
        <w:t xml:space="preserve">可以直接研究数字使用方式如何影响生活功能。现有行为收益不会自动证明生化排毒，机制故事不成立也不会自动取消行为改变的价值。把目标、操作和结局说清楚，能够让个人经验和研究结果接受相同的证据检查</w:t>
      </w:r>
      <w:r>
        <w:rPr>
          <w:vertAlign w:val="superscript"/>
        </w:rPr>
        <w:t xml:space="preserve">[</w:t>
      </w:r>
      <w:hyperlink w:anchor="ref-726">
        <w:r>
          <w:rPr>
            <w:rStyle w:val="Hyperlink"/>
            <w:vertAlign w:val="superscript"/>
          </w:rPr>
          <w:t xml:space="preserve">726</w:t>
        </w:r>
      </w:hyperlink>
      <w:r>
        <w:rPr>
          <w:vertAlign w:val="superscript"/>
        </w:rPr>
        <w:t xml:space="preserve">]</w:t>
      </w:r>
      <w:r>
        <w:t xml:space="preserve">。</w:t>
      </w:r>
    </w:p>
    <w:bookmarkEnd w:id="1422"/>
    <w:bookmarkEnd w:id="1423"/>
    <w:bookmarkStart w:id="1439" w:name="ch-82"/>
    <w:p>
      <w:pPr>
        <w:pStyle w:val="Heading2"/>
      </w:pPr>
      <w:r>
        <w:t xml:space="preserve">第82章　学习风格与教学匹配</w:t>
      </w:r>
    </w:p>
    <w:bookmarkStart w:id="1424" w:name="sec-82-1"/>
    <w:p>
      <w:pPr>
        <w:pStyle w:val="Heading3"/>
      </w:pPr>
      <w:r>
        <w:t xml:space="preserve">82.1　核心判断与证据强度</w:t>
      </w:r>
    </w:p>
    <w:p>
      <w:pPr>
        <w:pStyle w:val="FirstParagraph"/>
      </w:pPr>
      <w:r>
        <w:t xml:space="preserve">个人具有学习偏好，也可能在阅读、听辨、空间处理和动作技能方面存在差异。把这些差异概括成固定的视觉型、听觉型、动觉型脑类型，并依据问卷给所有课程匹配一种形式，尚缺乏足以支持普遍实施的证据。对拒绝普遍处方的判断，置信度高；对每一种具体分类在每一种情境中效应恰为零的判断，证据不足。</w:t>
      </w:r>
    </w:p>
    <w:p>
      <w:pPr>
        <w:pStyle w:val="BodyText"/>
      </w:pPr>
      <w:r>
        <w:t xml:space="preserve">这一区分尤其重要，因为研究文献存在部分正结果。2024年的一项元分析纳入21项研究、101个效应量、1712名参与者，摘要报告匹配教学的平均效应g为0.31，95%置信区间为0.05至0.57；正文主分析的对应估计略有差异。符合至少两类风格交叉匹配优势的结局仅约26%，研究质量也限制解释。作者据此未建议广泛应用</w:t>
      </w:r>
      <w:r>
        <w:rPr>
          <w:vertAlign w:val="superscript"/>
        </w:rPr>
        <w:t xml:space="preserve">[</w:t>
      </w:r>
      <w:hyperlink w:anchor="ref-732">
        <w:r>
          <w:rPr>
            <w:rStyle w:val="Hyperlink"/>
            <w:vertAlign w:val="superscript"/>
          </w:rPr>
          <w:t xml:space="preserve">732</w:t>
        </w:r>
      </w:hyperlink>
      <w:r>
        <w:rPr>
          <w:vertAlign w:val="superscript"/>
        </w:rPr>
        <w:t xml:space="preserve">]</w:t>
      </w:r>
      <w:r>
        <w:t xml:space="preserve">。因此，正向信号和方法上的限制需要同时呈现。</w:t>
      </w:r>
    </w:p>
    <w:p>
      <w:pPr>
        <w:pStyle w:val="BodyText"/>
      </w:pPr>
      <w:r>
        <w:t xml:space="preserve">学习风格的实际争点是分配规则。学生喜欢听课是否应影响课堂体验，属于可讨论的教学选择；学生听课必然学得更好，则是一项比较效果主张。后者需要在相同内容、相近时间和共同评价下证明额外收益。满意度与知识保持应分别测量。</w:t>
      </w:r>
    </w:p>
    <w:bookmarkEnd w:id="1424"/>
    <w:bookmarkStart w:id="1425" w:name="sec-82-2"/>
    <w:p>
      <w:pPr>
        <w:pStyle w:val="Heading3"/>
      </w:pPr>
      <w:r>
        <w:t xml:space="preserve">82.2　四种容易混淆的个人差异</w:t>
      </w:r>
    </w:p>
    <w:p>
      <w:pPr>
        <w:pStyle w:val="FirstParagraph"/>
      </w:pPr>
      <w:r>
        <w:t xml:space="preserve">偏好反映一个人愿意选择什么。它可能随内容、熟悉度、疲劳和情境改变。能力反映在指定任务中的表现，例如区分语音、阅读复杂文本或操作工具。策略反映为完成任务采取的方法，例如先画图、朗读、做笔记或先看例子。无障碍需求涉及能否接收和输出信息，例如视力、听力、运动和阅读方面的限制。</w:t>
      </w:r>
    </w:p>
    <w:p>
      <w:pPr>
        <w:pStyle w:val="BodyText"/>
      </w:pPr>
      <w:r>
        <w:t xml:space="preserve">这四种差异可以重叠，也可以分离。喜欢音频的人可能在有复杂公式的材料上更需要可回看的文字；阅读流利的人可能在学习陌生口音时更需要声音；有视觉障碍的人需要替代呈现方式，其必要性来自信息可达性。将它们都称为一种脑类型，会削弱对真实需求的识别。</w:t>
      </w:r>
    </w:p>
    <w:p>
      <w:pPr>
        <w:pStyle w:val="BodyText"/>
      </w:pPr>
      <w:r>
        <w:t xml:space="preserve">偏好问卷还有测量学问题。若同一个人短时间内的分类变化很大，分配规则便难以稳定实施。若不同问卷将同一个人放入不同类别，理论需要解释这种差异。即使分类稳定，也只能说明量表重复性较好，尚需验证它能预测哪种方法更有效。测得稳定的偏好不自动获得教学处方资格。</w:t>
      </w:r>
    </w:p>
    <w:bookmarkEnd w:id="1425"/>
    <w:bookmarkStart w:id="1426" w:name="sec-82-3"/>
    <w:p>
      <w:pPr>
        <w:pStyle w:val="Heading3"/>
      </w:pPr>
      <w:r>
        <w:t xml:space="preserve">82.3　匹配假说需要怎样的交互</w:t>
      </w:r>
    </w:p>
    <w:p>
      <w:pPr>
        <w:pStyle w:val="FirstParagraph"/>
      </w:pPr>
      <w:r>
        <w:t xml:space="preserve">设想将参与者分成视觉偏好组与听觉偏好组，再在每组内部随机分配文字或音频。共同测验需要覆盖材料的理解和保持。如果视觉偏好组在文字中得分更高，听觉偏好组在音频中得分更高，便出现足以考虑分类处方的交叉模式。Pashler等提出，这类模式是评价匹配主张的关键证据</w:t>
      </w:r>
      <w:r>
        <w:rPr>
          <w:vertAlign w:val="superscript"/>
        </w:rPr>
        <w:t xml:space="preserve">[</w:t>
      </w:r>
      <w:hyperlink w:anchor="ref-733">
        <w:r>
          <w:rPr>
            <w:rStyle w:val="Hyperlink"/>
            <w:vertAlign w:val="superscript"/>
          </w:rPr>
          <w:t xml:space="preserve">733</w:t>
        </w:r>
      </w:hyperlink>
      <w:r>
        <w:rPr>
          <w:vertAlign w:val="superscript"/>
        </w:rPr>
        <w:t xml:space="preserve">]</w:t>
      </w:r>
      <w:r>
        <w:t xml:space="preserve">。</w:t>
      </w:r>
    </w:p>
    <w:p>
      <w:pPr>
        <w:pStyle w:val="BodyText"/>
      </w:pPr>
      <w:r>
        <w:t xml:space="preserve">以下为假设数据，只用于说明推理。视觉偏好组在文字条件得80分、音频条件70分；听觉偏好组在文字条件75分、音频条件85分。组内最佳方法不同，教法优势发生方向变化，这就是交叉交互，分类可能具有决策价值。是否具有实际意义，还需考虑样本误差、效果大小、量表可靠性、分组形成过程、预先设定的结果、分类成本和独立重复。四个均值画出交叉形状，也可能来自小样本噪声。</w:t>
      </w:r>
    </w:p>
    <w:p>
      <w:pPr>
        <w:pStyle w:val="BodyText"/>
      </w:pPr>
      <w:r>
        <w:t xml:space="preserve">另一组假设数据是视觉偏好组文字80分、音频70分，听觉偏好组文字75分、音频65分。两组都从文字受益。这里有教学形式的总体优势，却没有依据按风格分配不同方法。如果将任何匹配组的进步都算成功，就会把一般教学收益误计为分类收益。</w:t>
      </w:r>
    </w:p>
    <w:p>
      <w:pPr>
        <w:pStyle w:val="BodyText"/>
      </w:pPr>
      <w:r>
        <w:t xml:space="preserve">第三种情况是视觉偏好组文字80分、音频78分，听觉偏好组文字78分、音频80分。交叉方向存在，但每组内部只差2分。统计上的显著交互、教育上值得采用的交互和能够在新学校重复的交互是不同要求。大样本可以检出很小的效应，但实施分类仍可能不划算。</w:t>
      </w:r>
    </w:p>
    <w:bookmarkEnd w:id="1426"/>
    <w:bookmarkStart w:id="1427" w:name="sec-82-4"/>
    <w:p>
      <w:pPr>
        <w:pStyle w:val="Heading3"/>
      </w:pPr>
      <w:r>
        <w:t xml:space="preserve">82.4　原始实验与综合证据</w:t>
      </w:r>
    </w:p>
    <w:p>
      <w:pPr>
        <w:pStyle w:val="FirstParagraph"/>
      </w:pPr>
      <w:r>
        <w:t xml:space="preserve">Rogowsky等先测成人的听觉与文字偏好，再随机使用有声书或电子文本呈现相同材料，安排即时及两周后的理解测验。结果没有显示理论所需的偏好与呈现形式匹配收益，也没有发现偏好按预测对应理解能力</w:t>
      </w:r>
      <w:r>
        <w:rPr>
          <w:vertAlign w:val="superscript"/>
        </w:rPr>
        <w:t xml:space="preserve">[</w:t>
      </w:r>
      <w:hyperlink w:anchor="ref-734">
        <w:r>
          <w:rPr>
            <w:rStyle w:val="Hyperlink"/>
            <w:vertAlign w:val="superscript"/>
          </w:rPr>
          <w:t xml:space="preserve">734</w:t>
        </w:r>
      </w:hyperlink>
      <w:r>
        <w:rPr>
          <w:vertAlign w:val="superscript"/>
        </w:rPr>
        <w:t xml:space="preserve">]</w:t>
      </w:r>
      <w:r>
        <w:t xml:space="preserve">。该研究支持对通用匹配处方保持怀疑，但其对象和材料也限定了外推范围。</w:t>
      </w:r>
    </w:p>
    <w:p>
      <w:pPr>
        <w:pStyle w:val="BodyText"/>
      </w:pPr>
      <w:r>
        <w:t xml:space="preserve">2024年元分析带来的重要推进，是将平均匹配效应与交叉证据分别检查。一个总体正效应可能来自方法质量差异、特定材料适配、参与者分配或研究偏倚。若要按类别制定不同教学方案，需要确认效应真正随类别反转或达到明确的决策阈值。只报告一个总体平均值，尚不足以回答谁应该采用哪种方法。</w:t>
      </w:r>
    </w:p>
    <w:p>
      <w:pPr>
        <w:pStyle w:val="BodyText"/>
      </w:pPr>
      <w:r>
        <w:t xml:space="preserve">正结果也需要承担与负结果相同的解释标准。样本较小、分类工具不稳定、测验与某种呈现形式过度接近，都会限制结论。反过来，未显著结果只有在置信区间足够窄时，才能有效排除具有实际意义的优势。评价一篇论文时，应同时检查效应量、区间和设计。</w:t>
      </w:r>
    </w:p>
    <w:bookmarkEnd w:id="1427"/>
    <w:bookmarkStart w:id="1428" w:name="sec-82-5"/>
    <w:p>
      <w:pPr>
        <w:pStyle w:val="Heading3"/>
      </w:pPr>
      <w:r>
        <w:t xml:space="preserve">82.5　学科内容怎样约束呈现方式</w:t>
      </w:r>
    </w:p>
    <w:p>
      <w:pPr>
        <w:pStyle w:val="FirstParagraph"/>
      </w:pPr>
      <w:r>
        <w:t xml:space="preserve">教学材料本身包含信息要求。几何关系适合利用图形展示位置；语音学习需要听见声音差别；动作技能需要实际操作和反馈；复杂论证需要保留前提、步骤和证据。这些安排可以由任务结构直接论证，无需先把学生划成固定类型。</w:t>
      </w:r>
    </w:p>
    <w:p>
      <w:pPr>
        <w:pStyle w:val="BodyText"/>
      </w:pPr>
      <w:r>
        <w:t xml:space="preserve">同一内容也可以使用互补形式。介绍一种机械结构时，图示帮助定位部件，文字解释功能，动作演示说明变化。能否改善学习，取决于这些形式是否分担信息、是否一致、是否增加无关负担，以及学习者是否已掌握必要知识。多模态本身没有自动优势；重复过多或同时竞争注意也可能妨碍理解。</w:t>
      </w:r>
    </w:p>
    <w:p>
      <w:pPr>
        <w:pStyle w:val="BodyText"/>
      </w:pPr>
      <w:r>
        <w:t xml:space="preserve">因此，教学适配可以围绕错误类型开展。学生认不出字形，需要检查识别与解码；能读字却不懂段落，需要检查词汇、句法和背景知识；能复述却不能迁移，需要检查概念边界与应用练习。每一种诊断都提供更具体的教学目标。一个视觉型标签无法解释这些差异。</w:t>
      </w:r>
    </w:p>
    <w:bookmarkEnd w:id="1428"/>
    <w:bookmarkStart w:id="1429" w:name="sec-82-6"/>
    <w:p>
      <w:pPr>
        <w:pStyle w:val="Heading3"/>
      </w:pPr>
      <w:r>
        <w:t xml:space="preserve">82.6　分类处方的决策成本</w:t>
      </w:r>
    </w:p>
    <w:p>
      <w:pPr>
        <w:pStyle w:val="FirstParagraph"/>
      </w:pPr>
      <w:r>
        <w:t xml:space="preserve">即使某种匹配效应真实存在，实施前还要评估分类错误。假设问卷把相当一部分学生分错，原本存在的平均优势就会被削弱。若学生需要花费很多时间测试、教师必须维护多套材料，收益还要覆盖这些成本。小效应在低成本条件下可以有价值，在高成本条件下可能不值得采用。</w:t>
      </w:r>
    </w:p>
    <w:p>
      <w:pPr>
        <w:pStyle w:val="BodyText"/>
      </w:pPr>
      <w:r>
        <w:t xml:space="preserve">另一个成本来自自我限制。学生若认为自己只能听、不能读，可能回避其他形式的练习，例如减少阅读练习；短期舒适感可能增加，实际技能覆盖却可能缩窄。这里不能直接声称标签必然造成损害；损害本身需要研究，例如随机决定是否告知学生类型标签，再比较长期结果。它构成教学决策中应监测的风险变量。评价方案时可记录学生的策略选择、信念和实际尝试范围。实践中可以把偏好当作对体验的描述，同时继续根据目标能力安排必要练习。</w:t>
      </w:r>
    </w:p>
    <w:p>
      <w:pPr>
        <w:pStyle w:val="BodyText"/>
      </w:pPr>
      <w:r>
        <w:t xml:space="preserve">教师也可能把未达标解释为方法没有匹配，忽视内容难度、语言背景、感官问题和教学时间。为了避免理论吸收一切结果，分配规则应提前规定失败条件。例如，在预定随访中没有达到最低实际收益，就应修改或停止该规则。</w:t>
      </w:r>
    </w:p>
    <w:bookmarkEnd w:id="1429"/>
    <w:bookmarkStart w:id="1430" w:name="sec-82-7"/>
    <w:p>
      <w:pPr>
        <w:pStyle w:val="Heading3"/>
      </w:pPr>
      <w:r>
        <w:t xml:space="preserve">82.7　如何设计一项有辨别力的研究</w:t>
      </w:r>
    </w:p>
    <w:p>
      <w:pPr>
        <w:pStyle w:val="FirstParagraph"/>
      </w:pPr>
      <w:r>
        <w:t xml:space="preserve">研究开始前先选择一个清楚的分类体系，并检验量表稳定性。随后在类别内随机分配教学方式，保持内容、接触时间和反馈尽量相近。共同测试应包含直接记忆、理解和新情境应用，避免只奖励某种呈现形式。分析计划要预先指定交互和主要结局。</w:t>
      </w:r>
    </w:p>
    <w:p>
      <w:pPr>
        <w:pStyle w:val="BodyText"/>
      </w:pPr>
      <w:r>
        <w:t xml:space="preserve">如果教师知道学生的类别和分组，期待可能影响教学投入。可通过统一材料、录制教学、盲法评分和检查教学执行程度减少这一问题。学生知道自己被匹配，也可能报告更满意，因此主观体验与客观学习需要分别测量。</w:t>
      </w:r>
    </w:p>
    <w:p>
      <w:pPr>
        <w:pStyle w:val="BodyText"/>
      </w:pPr>
      <w:r>
        <w:t xml:space="preserve">对失访者的处理也很关键。如果不喜欢某方法的人更容易退出，剩下的样本会使匹配显得更有效。研究应报告退出原因，尽量保留随机分组分析，并对缺失数据假设做敏感性检验。仅分析坚持完成者，不能完整评价实施效果。</w:t>
      </w:r>
    </w:p>
    <w:p>
      <w:pPr>
        <w:pStyle w:val="BodyText"/>
      </w:pPr>
      <w:r>
        <w:t xml:space="preserve">最后要在不同学校、年龄和学科重复。某个短时成人听读实验的结果，无论正负，都不能独自决定幼儿教育或特殊教育。跨情境推广必须以相应材料验证，不能只依据分类名称相同。</w:t>
      </w:r>
    </w:p>
    <w:bookmarkEnd w:id="1430"/>
    <w:bookmarkStart w:id="1431" w:name="sec-82-8"/>
    <w:p>
      <w:pPr>
        <w:pStyle w:val="Heading3"/>
      </w:pPr>
      <w:r>
        <w:t xml:space="preserve">82.8　一个课堂调整实例</w:t>
      </w:r>
    </w:p>
    <w:p>
      <w:pPr>
        <w:pStyle w:val="FirstParagraph"/>
      </w:pPr>
      <w:r>
        <w:t xml:space="preserve">假设一名学生说自己只能通过视频学习。教师可以把这一陈述当作起点，询问视频中的哪个部分有帮助：能反复观看、图像提供空间关系、讲解节奏适合，还是文字材料过于困难。每个答案都能产生可检验的调整。</w:t>
      </w:r>
    </w:p>
    <w:p>
      <w:pPr>
        <w:pStyle w:val="BodyText"/>
      </w:pPr>
      <w:r>
        <w:t xml:space="preserve">若真正有效的是可以暂停，提供分段文本与自主阅读时间也可能有用；若帮助来自空间演示，可在文字中加入清晰图示；若困难来自词汇，补充术语解释可能更直接。通过比较未练材料上的学习结果，教师可以识别有效成分。</w:t>
      </w:r>
    </w:p>
    <w:p>
      <w:pPr>
        <w:pStyle w:val="BodyText"/>
      </w:pPr>
      <w:r>
        <w:t xml:space="preserve">这一过程同时尊重体验与证据。学生的偏好是关于体验的重要信息，教师也保留检验效果的责任。双方可以共同设定小规模、可逆的学习实验，观察延迟保持和迁移，再决定是否维持安排。</w:t>
      </w:r>
    </w:p>
    <w:bookmarkEnd w:id="1431"/>
    <w:bookmarkStart w:id="1432" w:name="sec-82-9"/>
    <w:p>
      <w:pPr>
        <w:pStyle w:val="Heading3"/>
      </w:pPr>
      <w:r>
        <w:t xml:space="preserve">82.9　连续差异与类别标签</w:t>
      </w:r>
    </w:p>
    <w:p>
      <w:pPr>
        <w:pStyle w:val="FirstParagraph"/>
      </w:pPr>
      <w:r>
        <w:t xml:space="preserve">学习偏好问卷经常把连续回答变成类别。一个人在十道题中六次选择图像、四次选择文字，可能被标为视觉型；五次选择图像、五次选择文字，又可能被标为混合型。阈值附近的轻微波动便会改变身份标签。标签稳定性因此需要重测数据和分类误差评估。</w:t>
      </w:r>
    </w:p>
    <w:p>
      <w:pPr>
        <w:pStyle w:val="BodyText"/>
      </w:pPr>
      <w:r>
        <w:t xml:space="preserve">若真实差异是连续的，强行分类会丢失信息。统计分析可以保留连续偏好分数，检验教学方式效果是否随分数变化，同时考察非线性和测量误差。这样仍无法凭偏好本身推定哪种教法更有效，但能够更准确地检验匹配假设。问卷内部一致性较高，也只说明题目回答具有一定共同结构，不能独立证明标签具有教学处方价值。</w:t>
      </w:r>
    </w:p>
    <w:bookmarkEnd w:id="1432"/>
    <w:bookmarkStart w:id="1433" w:name="sec-82-10"/>
    <w:p>
      <w:pPr>
        <w:pStyle w:val="Heading3"/>
      </w:pPr>
      <w:r>
        <w:t xml:space="preserve">82.10　交互效应的精确解释</w:t>
      </w:r>
    </w:p>
    <w:p>
      <w:pPr>
        <w:pStyle w:val="FirstParagraph"/>
      </w:pPr>
      <w:r>
        <w:t xml:space="preserve">回归模型可以包含学习者特征、教法和二者乘积项。交互项估计的是教法效应随特征改变的程度，单位和解释依赖变量编码。报告中应呈现各条件预测值与置信区间，说明在哪些特征范围有足够数据。只说“某一组显著、另一组不显著”，无法替代直接检验两组效应差异。</w:t>
      </w:r>
    </w:p>
    <w:p>
      <w:pPr>
        <w:pStyle w:val="BodyText"/>
      </w:pPr>
      <w:r>
        <w:t xml:space="preserve">需要特别防止事后寻找亚组。若研究同时测试许多风格分类、学科、结局和延迟，很容易找到一个偶然匹配结果。预注册主要交互、完整报告其他分析、使用独立样本验证，可以提高可信度。对真正存在但较小的交互，研究还需要足够样本与可靠测量，简单的无显著结果同样不宜扩大成所有交互绝不可能。</w:t>
      </w:r>
    </w:p>
    <w:bookmarkEnd w:id="1433"/>
    <w:bookmarkStart w:id="1434" w:name="sec-82-11"/>
    <w:p>
      <w:pPr>
        <w:pStyle w:val="Heading3"/>
      </w:pPr>
      <w:r>
        <w:t xml:space="preserve">82.11　多媒体学习的表征协调</w:t>
      </w:r>
    </w:p>
    <w:p>
      <w:pPr>
        <w:pStyle w:val="FirstParagraph"/>
      </w:pPr>
      <w:r>
        <w:t xml:space="preserve">图像和语言可以表达不同关系。图示适合呈现位置、拓扑、趋势或空间约束；文字与口语可以精确说明定义、条件、因果和例外。Mayer与Moreno的多媒体学习框架强调容量限制、主动整合和不同表征之间的联系，并据此提出减少不必要加工的设计原则</w:t>
      </w:r>
      <w:r>
        <w:rPr>
          <w:vertAlign w:val="superscript"/>
        </w:rPr>
        <w:t xml:space="preserve">[</w:t>
      </w:r>
      <w:hyperlink w:anchor="ref-326">
        <w:r>
          <w:rPr>
            <w:rStyle w:val="Hyperlink"/>
            <w:vertAlign w:val="superscript"/>
          </w:rPr>
          <w:t xml:space="preserve">326</w:t>
        </w:r>
      </w:hyperlink>
      <w:r>
        <w:rPr>
          <w:vertAlign w:val="superscript"/>
        </w:rPr>
        <w:t xml:space="preserve">]</w:t>
      </w:r>
      <w:r>
        <w:t xml:space="preserve">。</w:t>
      </w:r>
    </w:p>
    <w:p>
      <w:pPr>
        <w:pStyle w:val="BodyText"/>
      </w:pPr>
      <w:r>
        <w:t xml:space="preserve">例如，讲解心脏血流时，箭头图可以支持路径跟踪，文字可以解释瓣膜开闭的条件。若图中文字标签远离对应结构，学生需要反复寻找与保持位置；把有关说明放在适当位置，可以减少这种协调需求。若同时出现大量装饰动画、背景音乐和重复文本，学生可能把资源用于处理与目标关系较弱的信息。</w:t>
      </w:r>
    </w:p>
    <w:p>
      <w:pPr>
        <w:pStyle w:val="BodyText"/>
      </w:pPr>
      <w:r>
        <w:t xml:space="preserve">这些原则关注材料与认知任务的关系。一个平时喜欢听讲的人仍可能需要看地图才能准确学习空间结构；一个喜欢图像的人也需要处理法律条文中的条件词。教学应让表征形式承担适合的功能，并检验学生是否建立了目标关系。感觉喜欢某种媒介，可以帮助参与，却不能独立证明该媒介对全部内容最有效。</w:t>
      </w:r>
    </w:p>
    <w:bookmarkEnd w:id="1434"/>
    <w:bookmarkStart w:id="1435" w:name="sec-82-12"/>
    <w:p>
      <w:pPr>
        <w:pStyle w:val="Heading3"/>
      </w:pPr>
      <w:r>
        <w:t xml:space="preserve">82.12　无障碍与偏好匹配的不同证据任务</w:t>
      </w:r>
    </w:p>
    <w:p>
      <w:pPr>
        <w:pStyle w:val="FirstParagraph"/>
      </w:pPr>
      <w:r>
        <w:t xml:space="preserve">听力、视力、语言熟练度和读写技能会直接影响信息能否被获取。字幕、放大文本、屏幕阅读支持、适当语速和清晰结构，可能是完成任务的必要条件。它们的评价需要关注可访问性、理解和独立参与，不能与偏好问卷得到的类型混为一谈。</w:t>
      </w:r>
    </w:p>
    <w:p>
      <w:pPr>
        <w:pStyle w:val="BodyText"/>
      </w:pPr>
      <w:r>
        <w:t xml:space="preserve">同一支持方式也可能随任务调整。字幕能够帮助理解陌生术语，同时占用视觉阅读过程；在图示复杂的材料中，字幕位置和节奏需要设计。给学生暂停、回看和调整速度的机会，可以帮助管理信息流，但若学生无法判断自己是否理解，还需提供检索或反馈。可选择性与有效学习之间仍存在需要检验的环节。</w:t>
      </w:r>
    </w:p>
    <w:p>
      <w:pPr>
        <w:pStyle w:val="BodyText"/>
      </w:pPr>
      <w:r>
        <w:t xml:space="preserve">公平性评估应同时查看平均效果与不同群体的可参与程度。一个设计即使提高平均成绩，仍可能给某类学习者制造障碍。相反，提供必要支持有时主要改变进入学习活动的机会，短期总分变化未必充分反映价值。研究应明确它评价的是访问、体验、知识获得还是迁移。</w:t>
      </w:r>
    </w:p>
    <w:bookmarkEnd w:id="1435"/>
    <w:bookmarkStart w:id="1436" w:name="sec-82-13"/>
    <w:p>
      <w:pPr>
        <w:pStyle w:val="Heading3"/>
      </w:pPr>
      <w:r>
        <w:t xml:space="preserve">82.13　学科诊断优于笼统画像的具体路径</w:t>
      </w:r>
    </w:p>
    <w:p>
      <w:pPr>
        <w:pStyle w:val="FirstParagraph"/>
      </w:pPr>
      <w:r>
        <w:t xml:space="preserve">面对阅读困难，可以分别检查字词识别、流畅度、词汇、背景知识与篇章推理。面对数学困难，可以检查符号理解、数量关系、程序步骤、事实提取与问题表征。这样的诊断把任务拆成可教学的成分。即使两个学生都自报喜欢图像，他们的困难环节也可能完全不同。</w:t>
      </w:r>
    </w:p>
    <w:p>
      <w:pPr>
        <w:pStyle w:val="BodyText"/>
      </w:pPr>
      <w:r>
        <w:t xml:space="preserve">设学生甲听懂概念，却在书面题中误读条件；学生乙能够准确朗读，却不理解变量之间的关系。甲可能需要针对阅读精确性的支持，乙需要建立概念关系的练习。把两人共同归为听觉型，无法说明这两种不同困难。教学选择应依据错误证据，定期检查调整后的表现。</w:t>
      </w:r>
    </w:p>
    <w:p>
      <w:pPr>
        <w:pStyle w:val="BodyText"/>
      </w:pPr>
      <w:r>
        <w:t xml:space="preserve">这种做法仍需避免把测验结果当成永久身份。知识和策略可以变化，一次低分可能受疲劳、语言或不熟悉题型影响。诊断应形成可更新的工作假设：目前最可能限制任务的是哪一环，怎样的短期干预能够区分候选解释，哪些新结果会使教师修改判断。</w:t>
      </w:r>
    </w:p>
    <w:bookmarkEnd w:id="1436"/>
    <w:bookmarkStart w:id="1437" w:name="sec-82-14"/>
    <w:p>
      <w:pPr>
        <w:pStyle w:val="Heading3"/>
      </w:pPr>
      <w:r>
        <w:t xml:space="preserve">82.14　个性化教学的决策模型</w:t>
      </w:r>
    </w:p>
    <w:p>
      <w:pPr>
        <w:pStyle w:val="FirstParagraph"/>
      </w:pPr>
      <w:r>
        <w:t xml:space="preserve">个性化的价值取决于其带来的增益是否超过测量和执行成本。假设两种教法对所有学生都相近，花大量时间做风格测验可能没有足够收益；若某个具体先备知识缺口会显著改变教学效果，短小诊断题就可能帮助分配支持。值得收集的个人信息应与具体教学选择具有预测联系。</w:t>
      </w:r>
    </w:p>
    <w:p>
      <w:pPr>
        <w:pStyle w:val="BodyText"/>
      </w:pPr>
      <w:r>
        <w:t xml:space="preserve">可以用一个简单策略试验检验个性化价值：一组按诊断规则分配教学，另一组使用统一但质量良好的教学，在相同总资源下比较预先定义的学习结果。这样的比较直接评价决策规则。只展示某些学生接受匹配教法后进步，无法确定规则本身增加了多少价值。</w:t>
      </w:r>
    </w:p>
    <w:p>
      <w:pPr>
        <w:pStyle w:val="BodyText"/>
      </w:pPr>
      <w:r>
        <w:t xml:space="preserve">课堂中也可以采用低风险的迭代。教师先提出明确学习目标，提供适合内容的多种表征，再用短测了解错误，针对错误调整支持。学生能够表达偏好和困难，教师同时用表现证据校正判断。个性化由持续反馈构成，其质量取决于信息是否真正改善决策。</w:t>
      </w:r>
    </w:p>
    <w:bookmarkEnd w:id="1437"/>
    <w:bookmarkStart w:id="1438" w:name="sec-82-15"/>
    <w:p>
      <w:pPr>
        <w:pStyle w:val="Heading3"/>
      </w:pPr>
      <w:r>
        <w:t xml:space="preserve">82.15　学习检验与结论</w:t>
      </w:r>
    </w:p>
    <w:p>
      <w:pPr>
        <w:pStyle w:val="FirstParagraph"/>
      </w:pPr>
      <w:r>
        <w:t xml:space="preserve">思考题：一组视觉型学生看图后比课前进步，是否支持匹配？解答：尚缺少同类学生接受另一种教学的比较，也缺少另一类别的交叉检验。进步可能来自教学本身。</w:t>
      </w:r>
    </w:p>
    <w:p>
      <w:pPr>
        <w:pStyle w:val="BodyText"/>
      </w:pPr>
      <w:r>
        <w:t xml:space="preserve">思考题：新研究出现小的总体正效应，是否意味着固定脑类型得到证实？解答：效果、分类效度和神经机制是不同问题。即使效果可靠，也还要证明分类能稳定预测最佳方法，并检验相关机制。</w:t>
      </w:r>
    </w:p>
    <w:p>
      <w:pPr>
        <w:pStyle w:val="BodyText"/>
      </w:pPr>
      <w:r>
        <w:t xml:space="preserve">思考题：反对固定学习风格，是否意味着所有学生接受相同教学？解答：真实的适配依据包括知识基础、具体技能、错误类型、语言背景和无障碍需要。它们都可以通过明确目标与结果测量检验。</w:t>
      </w:r>
    </w:p>
    <w:p>
      <w:pPr>
        <w:pStyle w:val="BodyText"/>
      </w:pPr>
      <w:r>
        <w:t xml:space="preserve">有条件的教学调整具有充分研究价值。当前证据支持把偏好作为体验信息，把教学效果交给共同测验和延迟保持来判断。对固定风格处方，举证重点始终是分类是否带来可重复、足以抵偿成本的额外收益。</w:t>
      </w:r>
    </w:p>
    <w:bookmarkEnd w:id="1438"/>
    <w:bookmarkEnd w:id="1439"/>
    <w:bookmarkStart w:id="1457" w:name="ch-83"/>
    <w:p>
      <w:pPr>
        <w:pStyle w:val="Heading2"/>
      </w:pPr>
      <w:r>
        <w:t xml:space="preserve">第83章　莫扎特效应与音乐聆听</w:t>
      </w:r>
    </w:p>
    <w:bookmarkStart w:id="1440" w:name="sec-83-1"/>
    <w:p>
      <w:pPr>
        <w:pStyle w:val="Heading3"/>
      </w:pPr>
      <w:r>
        <w:t xml:space="preserve">83.1　核心判断</w:t>
      </w:r>
    </w:p>
    <w:p>
      <w:pPr>
        <w:pStyle w:val="FirstParagraph"/>
      </w:pPr>
      <w:r>
        <w:t xml:space="preserve">被动听莫扎特能够普遍、持久提高一般智力，或能够直接使婴儿更聪明，这两项强主张缺乏充分支持。对这一结论的置信度高。音乐可以影响当时的情绪、唤醒与任务投入，主动音乐学习也具有明确的技能与审美价值；这些现象应按各自的结果评价。</w:t>
      </w:r>
    </w:p>
    <w:p>
      <w:pPr>
        <w:pStyle w:val="BodyText"/>
      </w:pPr>
      <w:r>
        <w:t xml:space="preserve">所谓莫扎特效应常混合四个问题：短时间内空间任务成绩是否改变，变化是否由莫扎特作品独有成分引起，效果是否扩展到一般智力，以及是否在儿童或婴儿中长期保持。每一步都增加新的条件。只证明第一步，无法直接完成后续推论。</w:t>
      </w:r>
    </w:p>
    <w:bookmarkEnd w:id="1440"/>
    <w:bookmarkStart w:id="1441" w:name="sec-83-2"/>
    <w:p>
      <w:pPr>
        <w:pStyle w:val="Heading3"/>
      </w:pPr>
      <w:r>
        <w:t xml:space="preserve">83.2　状态变化与能力变化</w:t>
      </w:r>
    </w:p>
    <w:p>
      <w:pPr>
        <w:pStyle w:val="FirstParagraph"/>
      </w:pPr>
      <w:r>
        <w:t xml:space="preserve">测验成绩可以同时受到能力和状态影响。疲劳、焦虑、无聊、动机、对题型的熟悉程度都会改变表现。研究若在听音乐后立即测验，得到的组间差异可能涉及这些状态变量。要支持持久能力变化，需要延迟测验、不同任务和稳定的跨情境收益。</w:t>
      </w:r>
    </w:p>
    <w:p>
      <w:pPr>
        <w:pStyle w:val="BodyText"/>
      </w:pPr>
      <w:r>
        <w:t xml:space="preserve">一个假设例子可以说明区别。某人睡眠充足时完成空间题更快，睡眠不足时更慢。两次成绩不同，不能直接解释为智力结构在几个小时内永久改变。同样，音乐引起的短时分数改变，需要与状态效应竞争解释。</w:t>
      </w:r>
    </w:p>
    <w:p>
      <w:pPr>
        <w:pStyle w:val="BodyText"/>
      </w:pPr>
      <w:r>
        <w:t xml:space="preserve">“提高八个智商点”这类表达尤其容易误导。它来自Rauscher等1993年的实验：36名大学生听莫扎特双钢琴奏鸣曲（K.448）10分钟后，由斯坦福-比奈量表空间推理分测验换算的分数，比听放松指导语或静坐无声后高8至9个智商点；作者同时报告，这一优势只持续约10至15分钟。结果只覆盖这些空间任务、这一时间点和这一比较。把分测验变化称为一般智力永久提升，会改变原测量的含义。</w:t>
      </w:r>
    </w:p>
    <w:bookmarkEnd w:id="1441"/>
    <w:bookmarkStart w:id="1442" w:name="sec-83-3"/>
    <w:p>
      <w:pPr>
        <w:pStyle w:val="Heading3"/>
      </w:pPr>
      <w:r>
        <w:t xml:space="preserve">83.3　综合证据与替代机制</w:t>
      </w:r>
    </w:p>
    <w:p>
      <w:pPr>
        <w:pStyle w:val="FirstParagraph"/>
      </w:pPr>
      <w:r>
        <w:t xml:space="preserve">Pietschnig等2010年的元分析汇总39项研究。莫扎特与无音乐条件的空间表现差异约为d等于0.37，其他音乐与无音乐的差异约为0.38；两类音乐之间的差异较小，约为0.15，并存在发表模式的影响</w:t>
      </w:r>
      <w:r>
        <w:rPr>
          <w:vertAlign w:val="superscript"/>
        </w:rPr>
        <w:t xml:space="preserve">[</w:t>
      </w:r>
      <w:hyperlink w:anchor="ref-735">
        <w:r>
          <w:rPr>
            <w:rStyle w:val="Hyperlink"/>
            <w:vertAlign w:val="superscript"/>
          </w:rPr>
          <w:t xml:space="preserve">735</w:t>
        </w:r>
      </w:hyperlink>
      <w:r>
        <w:rPr>
          <w:vertAlign w:val="superscript"/>
        </w:rPr>
        <w:t xml:space="preserve">]</w:t>
      </w:r>
      <w:r>
        <w:t xml:space="preserve">。这组比较说明，评价特效时必须加入其他音乐，单纯与安静休息比较的信息不足。</w:t>
      </w:r>
    </w:p>
    <w:p>
      <w:pPr>
        <w:pStyle w:val="BodyText"/>
      </w:pPr>
      <w:r>
        <w:t xml:space="preserve">Thompson等比较轻快的莫扎特奏鸣曲、缓慢哀伤的阿尔比诺尼慢板与静默，并测量愉悦、情绪和唤醒。只有听莫扎特后的空间任务成绩高于静默；在统计上控制两段音乐在唤醒与情绪上的差异后，这一优势消失。结果符合状态变化解释</w:t>
      </w:r>
      <w:r>
        <w:rPr>
          <w:vertAlign w:val="superscript"/>
        </w:rPr>
        <w:t xml:space="preserve">[</w:t>
      </w:r>
      <w:hyperlink w:anchor="ref-736">
        <w:r>
          <w:rPr>
            <w:rStyle w:val="Hyperlink"/>
            <w:vertAlign w:val="superscript"/>
          </w:rPr>
          <w:t xml:space="preserve">736</w:t>
        </w:r>
      </w:hyperlink>
      <w:r>
        <w:rPr>
          <w:vertAlign w:val="superscript"/>
        </w:rPr>
        <w:t xml:space="preserve">]</w:t>
      </w:r>
      <w:r>
        <w:t xml:space="preserve">。该研究为莫扎特效应提供了有力的竞争机制。唤醒与情绪没有被独立随机操纵，因此仅凭统计调整还不能宣称已完全识别唯一因果路径。</w:t>
      </w:r>
    </w:p>
    <w:p>
      <w:pPr>
        <w:pStyle w:val="BodyText"/>
      </w:pPr>
      <w:r>
        <w:t xml:space="preserve">音乐的节奏、音高、和声、强度、熟悉度、情绪联想、个人喜好和歌词，都可能改变听者体验。比较“莫扎特”与“安静”时，这些因素共同变化。若不同作品在这些维度上差异明显，就很难将结果归因于某位作曲家的名字；作曲家姓名只是刺激集合的标签，不能自动成为神经机制。严谨的特效研究需要在这些属性上进行控制或系统操纵，并预先规定哪些结果会反驳理论。</w:t>
      </w:r>
    </w:p>
    <w:bookmarkEnd w:id="1442"/>
    <w:bookmarkStart w:id="1443" w:name="sec-83-4"/>
    <w:p>
      <w:pPr>
        <w:pStyle w:val="Heading3"/>
      </w:pPr>
      <w:r>
        <w:t xml:space="preserve">83.4　主动训练为何属于另一个问题</w:t>
      </w:r>
    </w:p>
    <w:p>
      <w:pPr>
        <w:pStyle w:val="FirstParagraph"/>
      </w:pPr>
      <w:r>
        <w:t xml:space="preserve">学习乐器包含听觉辨别、动作控制、读谱、节奏同步、记忆、练习管理、教师反馈和社会参与；声乐训练还加入呼吸控制与语音相关要求。被动播放音乐缺少其中许多成分，因此两类干预不能相互替代。若训练产生收益，需要明确收益出现在哪些领域，以及哪些成分有贡献。即使音乐训练在某项非音乐任务上有效，也无法证明婴儿只需听录音就会获得相同结果。</w:t>
      </w:r>
    </w:p>
    <w:p>
      <w:pPr>
        <w:pStyle w:val="BodyText"/>
      </w:pPr>
      <w:r>
        <w:t xml:space="preserve">Schellenberg在2004年将144名6岁儿童随机分配到键盘、声乐、戏剧或无课程条件，报告两个音乐组的全量表智商增幅大于两个对照组，组间差异较小</w:t>
      </w:r>
      <w:r>
        <w:rPr>
          <w:vertAlign w:val="superscript"/>
        </w:rPr>
        <w:t xml:space="preserve">[</w:t>
      </w:r>
      <w:hyperlink w:anchor="ref-737">
        <w:r>
          <w:rPr>
            <w:rStyle w:val="Hyperlink"/>
            <w:vertAlign w:val="superscript"/>
          </w:rPr>
          <w:t xml:space="preserve">737</w:t>
        </w:r>
      </w:hyperlink>
      <w:r>
        <w:rPr>
          <w:vertAlign w:val="superscript"/>
        </w:rPr>
        <w:t xml:space="preserve">]</w:t>
      </w:r>
      <w:r>
        <w:t xml:space="preserve">。这是值得保留的积极研究。它测试了有组织的课程，不能扩展成任意音乐暴露的普遍结果。</w:t>
      </w:r>
    </w:p>
    <w:p>
      <w:pPr>
        <w:pStyle w:val="BodyText"/>
      </w:pPr>
      <w:r>
        <w:t xml:space="preserve">Sala与Gobet在2020年的多层元分析纳入54项研究、6984名参与者、254个效应量，发现研究设计质量对结论影响显著；严格随机且使用主动对照的研究，对广泛认知与学业迁移没有提供稳健的总体收益</w:t>
      </w:r>
      <w:r>
        <w:rPr>
          <w:vertAlign w:val="superscript"/>
        </w:rPr>
        <w:t xml:space="preserve">[</w:t>
      </w:r>
      <w:hyperlink w:anchor="ref-738">
        <w:r>
          <w:rPr>
            <w:rStyle w:val="Hyperlink"/>
            <w:vertAlign w:val="superscript"/>
          </w:rPr>
          <w:t xml:space="preserve">738</w:t>
        </w:r>
      </w:hyperlink>
      <w:r>
        <w:rPr>
          <w:vertAlign w:val="superscript"/>
        </w:rPr>
        <w:t xml:space="preserve">]</w:t>
      </w:r>
      <w:r>
        <w:t xml:space="preserve">。因而，单项积极试验需要放入整体研究质量中评价。</w:t>
      </w:r>
    </w:p>
    <w:p>
      <w:pPr>
        <w:pStyle w:val="BodyText"/>
      </w:pPr>
      <w:r>
        <w:t xml:space="preserve">这里的推理并不要求把音乐训练简化成有效或无效。练好乐器本身就是有价值的结果。若额外承诺数学、阅读或通用智力提升，便需要相应结果证据。目标越远，越应关注迁移测量、对照活动和保持时间。</w:t>
      </w:r>
    </w:p>
    <w:bookmarkEnd w:id="1443"/>
    <w:bookmarkStart w:id="1444" w:name="sec-83-5"/>
    <w:p>
      <w:pPr>
        <w:pStyle w:val="Heading3"/>
      </w:pPr>
      <w:r>
        <w:t xml:space="preserve">83.5　为什么横断面音乐家研究难以确定因果</w:t>
      </w:r>
    </w:p>
    <w:p>
      <w:pPr>
        <w:pStyle w:val="FirstParagraph"/>
      </w:pPr>
      <w:r>
        <w:t xml:space="preserve">音乐训练经历与认知表现相关，可能存在训练效应，也可能存在选择因素。家庭资源、早期能力、教育机会、练习动机和人格特点都可能影响是否持续学音乐。一次比较音乐家与非音乐家的研究，难以把这些路径完全分开。</w:t>
      </w:r>
    </w:p>
    <w:p>
      <w:pPr>
        <w:pStyle w:val="BodyText"/>
      </w:pPr>
      <w:r>
        <w:t xml:space="preserve">统计控制可以帮助处理已测变量，却不能保证遗漏因素已被排除。若某个重要特征测量不准，残余混杂仍可能存在。随机分配能够减少初始选择差异，但长期课程的依从性与退出也需要处理。因此，不同研究设计各自回答不同强度的问题。</w:t>
      </w:r>
    </w:p>
    <w:p>
      <w:pPr>
        <w:pStyle w:val="BodyText"/>
      </w:pPr>
      <w:r>
        <w:t xml:space="preserve">对脑影像差异的解释同样如此。音乐家某些系统的结构或功能差异，符合训练塑造专门技能的可能性；差异也可能部分存在于训练之前。即使建立训练因果，也还需要检验它是否提高非音乐能力。结构变化与广泛收益之间没有自动对应关系。</w:t>
      </w:r>
    </w:p>
    <w:bookmarkEnd w:id="1444"/>
    <w:bookmarkStart w:id="1445" w:name="sec-83-6"/>
    <w:p>
      <w:pPr>
        <w:pStyle w:val="Heading3"/>
      </w:pPr>
      <w:r>
        <w:t xml:space="preserve">83.6　婴幼儿研究需要额外哪些证据</w:t>
      </w:r>
    </w:p>
    <w:p>
      <w:pPr>
        <w:pStyle w:val="FirstParagraph"/>
      </w:pPr>
      <w:r>
        <w:t xml:space="preserve">婴儿无法完成成人空间推理测验，研究需要发展适宜的指标，例如注视、辨别、记忆和后续语言表现。不同指标的含义不可互换。短时更长注视可能反映兴趣、新奇或困难，不能直接称为更聪明。</w:t>
      </w:r>
    </w:p>
    <w:p>
      <w:pPr>
        <w:pStyle w:val="BodyText"/>
      </w:pPr>
      <w:r>
        <w:t xml:space="preserve">长期发育效果还需要记录家庭互动、其他声音环境、睡眠、照护方式和后续教育。给婴儿播放音乐也可能同时改变家长行为，例如更愿意共同活动。若研究发现收益，应区分录音的直接成分和互动环境的成分。</w:t>
      </w:r>
    </w:p>
    <w:p>
      <w:pPr>
        <w:pStyle w:val="BodyText"/>
      </w:pPr>
      <w:r>
        <w:t xml:space="preserve">研究还要评估剂量与代价。声音暴露可能占用安静睡眠或面对面交流时间。任何关于最佳时长和频率的建议，都需要相应数据。缺乏证据时，不能从成年人的十分钟实验推导出婴儿全天播放的处方。</w:t>
      </w:r>
    </w:p>
    <w:bookmarkEnd w:id="1445"/>
    <w:bookmarkStart w:id="1446" w:name="sec-83-7"/>
    <w:p>
      <w:pPr>
        <w:pStyle w:val="Heading3"/>
      </w:pPr>
      <w:r>
        <w:t xml:space="preserve">83.7　作曲家特效应怎样接受检验</w:t>
      </w:r>
    </w:p>
    <w:p>
      <w:pPr>
        <w:pStyle w:val="FirstParagraph"/>
      </w:pPr>
      <w:r>
        <w:t xml:space="preserve">首先，明确刺激。莫扎特创作了大量作品，结构、速度、音色和情绪特点各不相同。只用一个名字定义干预，会使重复研究缺少可比较内容。研究应报告具体作品、版本、片段、音量和呈现时间。</w:t>
      </w:r>
    </w:p>
    <w:p>
      <w:pPr>
        <w:pStyle w:val="BodyText"/>
      </w:pPr>
      <w:r>
        <w:t xml:space="preserve">其次，选择竞争条件。控制条件决定推论范围：音乐与安静比较，测量的是整套聆听经历的影响；音乐与另一段愉悦材料比较，更接近检验情绪或唤醒解释；相近速度但不同作曲家的作品、相同作品不同速度、听者喜欢与不喜欢的音乐，以及其他能够提高投入的活动，可以检验更具体的刺激特征。每种比较排除的解释不同，没有一种对照适合回答所有问题。研究应先明确要识别的效应；对照越接近，越能定位特定成分。</w:t>
      </w:r>
    </w:p>
    <w:p>
      <w:pPr>
        <w:pStyle w:val="BodyText"/>
      </w:pPr>
      <w:r>
        <w:t xml:space="preserve">再次，预先定义结果范围。若理论只预测空间旋转，就不应在没有结果后改成工作记忆；若预测立即效应，就应另外研究长期保持。事后不断更换结局，会让理论在任何数据下都显得成功。</w:t>
      </w:r>
    </w:p>
    <w:p>
      <w:pPr>
        <w:pStyle w:val="BodyText"/>
      </w:pPr>
      <w:r>
        <w:t xml:space="preserve">最后，评估实际效应。一个小的短时成绩差异，可能在某些低成本情境有用，也可能被个体偏好和环境噪声淹没。统计显著性不能直接回答是否值得购买课程或改变家庭教育安排。</w:t>
      </w:r>
    </w:p>
    <w:bookmarkEnd w:id="1446"/>
    <w:bookmarkStart w:id="1447" w:name="sec-83-8"/>
    <w:p>
      <w:pPr>
        <w:pStyle w:val="Heading3"/>
      </w:pPr>
      <w:r>
        <w:t xml:space="preserve">83.8　对学习者和教育者的含义</w:t>
      </w:r>
    </w:p>
    <w:p>
      <w:pPr>
        <w:pStyle w:val="FirstParagraph"/>
      </w:pPr>
      <w:r>
        <w:t xml:space="preserve">选择背景音乐可以围绕任务与个人体验调整。学习时播放音乐，涉及当下任务与声音的竞争：需要处理语言材料时，歌词带来的语言信息可能与阅读竞争；节奏鲜明或突变较多的声音可能频繁吸引定向；熟练、重复、负荷较低的工作与复杂推理对干扰的敏感性可能不同。这些机制只给出条件性预测。具体效果应针对材料和人群在真实任务中比较，不能仅凭标注专注频率或古典音乐就推定增益。</w:t>
      </w:r>
    </w:p>
    <w:p>
      <w:pPr>
        <w:pStyle w:val="BodyText"/>
      </w:pPr>
      <w:r>
        <w:t xml:space="preserve">一个可行的个人学习比较，是在相近难度材料上交替采用安静、纯音乐或其他条件，记录独立测验的正确率、完成时间和次日或更晚的保持。材料顺序应尽量平衡，避免总把容易内容留给喜欢的条件。仅比较当下愉悦程度，会遗漏长期保持；只比较完成速度，又可能遗漏错误。这样的比较只能指导个人在这些条件下的选择，无法证明普遍神经机制。</w:t>
      </w:r>
    </w:p>
    <w:p>
      <w:pPr>
        <w:pStyle w:val="BodyText"/>
      </w:pPr>
      <w:r>
        <w:t xml:space="preserve">对儿童课程，价值目标可以直接写成音乐技能、表达、合作、审美体验、文化参与和机会公平。一般智力远迁移只是其中一个研究问题。若家长也关心学业，应选择能直接测量学业的证据。把每一种艺术活动的价值都建立在提高智商上，会使评价过度依赖一个范围狭窄且证据有争议的指标，并增加未经证实的承诺。</w:t>
      </w:r>
    </w:p>
    <w:bookmarkEnd w:id="1447"/>
    <w:bookmarkStart w:id="1448" w:name="sec-83-9"/>
    <w:p>
      <w:pPr>
        <w:pStyle w:val="Heading3"/>
      </w:pPr>
      <w:r>
        <w:t xml:space="preserve">83.9　参与者期待也需要控制</w:t>
      </w:r>
    </w:p>
    <w:p>
      <w:pPr>
        <w:pStyle w:val="FirstParagraph"/>
      </w:pPr>
      <w:r>
        <w:t xml:space="preserve">参与者的期待也需要考虑。若事先告知某音乐能提高智力，他们可能更加努力，或者在主观评价中报告更大改善。尽量中性的说明、对条件期待的测量、客观评分和预先确定的分析，有助于减少解释歧义。期待效应具有实际心理意义，其存在也需要与作品特异的认知改变分开估计。</w:t>
      </w:r>
    </w:p>
    <w:bookmarkEnd w:id="1448"/>
    <w:bookmarkStart w:id="1449" w:name="sec-83-10"/>
    <w:p>
      <w:pPr>
        <w:pStyle w:val="Heading3"/>
      </w:pPr>
      <w:r>
        <w:t xml:space="preserve">83.10　状态中介模型怎样接受检验</w:t>
      </w:r>
    </w:p>
    <w:p>
      <w:pPr>
        <w:pStyle w:val="FirstParagraph"/>
      </w:pPr>
      <w:r>
        <w:t xml:space="preserve">假设音乐通过提高愉快情绪和适度唤醒改善某项任务，可以构造一个因果链：随机分配音乐条件，测量情绪与唤醒，再测任务表现。若音乐影响状态，状态又与成绩相关，结果与该机制一致。仍需注意，中介与结局之间可能存在未测因素，统计中介不能单独证明完整因果路径。</w:t>
      </w:r>
    </w:p>
    <w:p>
      <w:pPr>
        <w:pStyle w:val="BodyText"/>
      </w:pPr>
      <w:r>
        <w:t xml:space="preserve">更有辨别力的设计可以独立操纵某个状态因素，或选择产生相近状态但形式不同的刺激。如果不同材料带来相似的状态和表现变化，作品特异解释的必要性会下降。若在控制状态后仍出现稳定差异，研究可以继续考察节奏、空间表征或其他机制。每一步都应允许竞争解释产生可区分预测。</w:t>
      </w:r>
    </w:p>
    <w:p>
      <w:pPr>
        <w:pStyle w:val="BodyText"/>
      </w:pPr>
      <w:r>
        <w:t xml:space="preserve">时间过程同样关键。聆听后的短时变化可能迅速消退，反复训练可能建立较长保持，儿童成长中的长期经验又涉及发育与选择。对即时状态的测量不能承担长期智力变化的结论。延迟测试需要在没有刚刚聆听音乐的情况下进行，才能减少即时状态对长期能力判断的混入。</w:t>
      </w:r>
    </w:p>
    <w:bookmarkEnd w:id="1449"/>
    <w:bookmarkStart w:id="1450" w:name="sec-83-11"/>
    <w:p>
      <w:pPr>
        <w:pStyle w:val="Heading3"/>
      </w:pPr>
      <w:r>
        <w:t xml:space="preserve">83.11　智力结果的测量层次</w:t>
      </w:r>
    </w:p>
    <w:p>
      <w:pPr>
        <w:pStyle w:val="FirstParagraph"/>
      </w:pPr>
      <w:r>
        <w:t xml:space="preserve">某个空间旋转任务、词汇任务或数字记忆任务，都只覆盖认知能力的一部分。一般智力通常通过多个不同任务之间的共同变异来建模。若干预只改善一个与训练材料相近的任务，综合分数可能轻微变化，但解释需要查看所有分测验、测量模型和具体增益位置。</w:t>
      </w:r>
    </w:p>
    <w:p>
      <w:pPr>
        <w:pStyle w:val="BodyText"/>
      </w:pPr>
      <w:r>
        <w:t xml:space="preserve">练习效应会改变重复测验成绩。参与者熟悉题型、时间限制和作答策略后，即使没有目标干预也可能进步。使用对照、平行形式和适当间隔有助于识别增量效果。所谓“智商提高若干分”还需说明分数类型、基线、对照变化、置信区间和实际功能意义。测验标准差与年龄常模也决定分数的解释。</w:t>
      </w:r>
    </w:p>
    <w:p>
      <w:pPr>
        <w:pStyle w:val="BodyText"/>
      </w:pPr>
      <w:r>
        <w:t xml:space="preserve">如果研究在多个分测验中只发现一个显著差异，需要考虑多重比较和事先假设。若综合结局为主要指标，事后选中最有利的分测验容易高估效果；若理论明确预测某个特定过程，专门的过程任务可以很有价值。证据的强弱来自设计与理论对应关系，不能仅看测验名称是否含有“智力”。</w:t>
      </w:r>
    </w:p>
    <w:bookmarkEnd w:id="1450"/>
    <w:bookmarkStart w:id="1451" w:name="sec-83-12"/>
    <w:p>
      <w:pPr>
        <w:pStyle w:val="Heading3"/>
      </w:pPr>
      <w:r>
        <w:t xml:space="preserve">83.12　主动音乐训练的成分拆解</w:t>
      </w:r>
    </w:p>
    <w:p>
      <w:pPr>
        <w:pStyle w:val="FirstParagraph"/>
      </w:pPr>
      <w:r>
        <w:t xml:space="preserve">可以设计成分对照。例如，一组学习乐器，一组接受同样频率的戏剧或视觉艺术课程，另一组接受与目标过程相关但形式不同的训练。教师接触、家庭投入、展示机会和练习时间应尽量匹配。不同对照回答的问题不同：艺术活动的一般收益、音乐活动的额外收益、特定训练成分的收益，都需要对应比较。</w:t>
      </w:r>
    </w:p>
    <w:p>
      <w:pPr>
        <w:pStyle w:val="BodyText"/>
      </w:pPr>
      <w:r>
        <w:t xml:space="preserve">练习剂量也不能只用上课周数表示。课堂时长、家庭练习、练习质量、困难程度和反馈使用可能显著不同。记录剂量有助于解释结果，却会遇到选择问题：更有动机或进步更快的人往往练得更多。剂量与收益的相关不能自动证明每增加一小时都会产生固定增益。</w:t>
      </w:r>
    </w:p>
    <w:bookmarkEnd w:id="1451"/>
    <w:bookmarkStart w:id="1452" w:name="sec-83-13"/>
    <w:p>
      <w:pPr>
        <w:pStyle w:val="Heading3"/>
      </w:pPr>
      <w:r>
        <w:t xml:space="preserve">83.13　选择进入音乐训练的因果路径</w:t>
      </w:r>
    </w:p>
    <w:p>
      <w:pPr>
        <w:pStyle w:val="FirstParagraph"/>
      </w:pPr>
      <w:r>
        <w:t xml:space="preserve">纵向数据可以确认时间顺序，随机分配可以进一步平衡基线因素，但两者也有各自限制。长期随机音乐教育可能面临退出、交叉接受训练和依从差异；只分析坚持者又会破坏原始分组的可比性。报告意向性分析、实际参与、失访和敏感性分析，有助于理解现实教育条件中的效果。</w:t>
      </w:r>
    </w:p>
    <w:p>
      <w:pPr>
        <w:pStyle w:val="BodyText"/>
      </w:pPr>
      <w:r>
        <w:t xml:space="preserve">还需区分个体层面与学校层面。学校提供音乐课程可能改善文化参与和归属感，也可能伴随整体资源提升。若同时改进师资、设施和其他课程，结果不能全部归给音乐。评估音乐教育的价值可以包含音乐技能、审美、参与和社会体验，这些本身就是合理结局。</w:t>
      </w:r>
    </w:p>
    <w:bookmarkEnd w:id="1452"/>
    <w:bookmarkStart w:id="1453" w:name="sec-83-14"/>
    <w:p>
      <w:pPr>
        <w:pStyle w:val="Heading3"/>
      </w:pPr>
      <w:r>
        <w:t xml:space="preserve">83.14　背景音乐与学习任务的适配</w:t>
      </w:r>
    </w:p>
    <w:p>
      <w:pPr>
        <w:pStyle w:val="FirstParagraph"/>
      </w:pPr>
      <w:r>
        <w:t xml:space="preserve">若音乐帮助开始枯燥任务，即使最终认知能力没有提高，也可能具有行为管理价值。若音乐使任务感觉轻松，却降低了精确阅读，使用者需要权衡目标。对效果的解释应连接实际用途，避免把任何积极体验都升级成智力增强。</w:t>
      </w:r>
    </w:p>
    <w:bookmarkEnd w:id="1453"/>
    <w:bookmarkStart w:id="1454" w:name="sec-83-15"/>
    <w:p>
      <w:pPr>
        <w:pStyle w:val="Heading3"/>
      </w:pPr>
      <w:r>
        <w:t xml:space="preserve">83.15　教育决策中的价值函数</w:t>
      </w:r>
    </w:p>
    <w:p>
      <w:pPr>
        <w:pStyle w:val="FirstParagraph"/>
      </w:pPr>
      <w:r>
        <w:t xml:space="preserve">一个合理评价方案可以先确定课程自身目标，再设次级认知与学业指标，明确哪些分析属于探索。若音乐技能可靠提升、学生愿意参与，而一般认知迁移不确定，这仍是一组有信息的结果。研究的完整性体现为如实呈现各结局及其不确定性。</w:t>
      </w:r>
    </w:p>
    <w:bookmarkEnd w:id="1454"/>
    <w:bookmarkStart w:id="1455" w:name="sec-83-16"/>
    <w:p>
      <w:pPr>
        <w:pStyle w:val="Heading3"/>
      </w:pPr>
      <w:r>
        <w:t xml:space="preserve">83.16　音乐与时间预测的教学模型</w:t>
      </w:r>
    </w:p>
    <w:p>
      <w:pPr>
        <w:pStyle w:val="FirstParagraph"/>
      </w:pPr>
      <w:r>
        <w:t xml:space="preserve">节奏提供重复的时间结构，学习者可以根据前面的间隔预测下一事件。若任务本身要求跟随节拍，练习可以直接改善预测与动作协调。若目标任务完全不含相关时间结构，是否仍有收益就需要额外证据。这个模型把直接训练与远迁移放在不同条件下分析。</w:t>
      </w:r>
    </w:p>
    <w:p>
      <w:pPr>
        <w:pStyle w:val="BodyText"/>
      </w:pPr>
      <w:r>
        <w:t xml:space="preserve">设一个假设任务要求在声音出现时按键。固定节拍条件允许提前准备，随机间隔条件需要更依赖即时检测。固定条件反应更快，可以由预测解释，不能直接推出一般反应能力已经永久提高。若换成新的随机任务后仍改善，才需要进一步解释可迁移成分。</w:t>
      </w:r>
    </w:p>
    <w:p>
      <w:pPr>
        <w:pStyle w:val="BodyText"/>
      </w:pPr>
      <w:r>
        <w:t xml:space="preserve">音乐教育中，教师可以让学生听出节拍、预测停顿、解释结构，再把预测用于演奏。评价关注实际音乐能力。若同时考察数学中的比例或序列理解，应设计能区分结构学习与一般课堂参与的任务。两个领域都包含数字或节奏这一表面相似性，尚不足以保证迁移。</w:t>
      </w:r>
    </w:p>
    <w:p>
      <w:pPr>
        <w:pStyle w:val="BodyText"/>
      </w:pPr>
      <w:r>
        <w:t xml:space="preserve">这个案例也说明，机制假说需要具体到计算过程。“音乐刺激大脑”只描述了非常宽泛的事实；时间预测、听觉区分和动作反馈能够产生更明确的教学目标与检验。机制越具体，应用边界越清楚。</w:t>
      </w:r>
    </w:p>
    <w:bookmarkEnd w:id="1455"/>
    <w:bookmarkStart w:id="1456" w:name="sec-83-17"/>
    <w:p>
      <w:pPr>
        <w:pStyle w:val="Heading3"/>
      </w:pPr>
      <w:r>
        <w:t xml:space="preserve">83.17　学习检验</w:t>
      </w:r>
    </w:p>
    <w:p>
      <w:pPr>
        <w:pStyle w:val="FirstParagraph"/>
      </w:pPr>
      <w:r>
        <w:t xml:space="preserve">思考题：莫扎特组比静默组表现好，是否证明作品具有独特增智作用？解答：需要其他音乐或等唤醒活动作为对照。现有比较无法排除一般状态变化。</w:t>
      </w:r>
    </w:p>
    <w:p>
      <w:pPr>
        <w:pStyle w:val="BodyText"/>
      </w:pPr>
      <w:r>
        <w:t xml:space="preserve">思考题：一个儿童音乐课程RCT报告智商提高，是否能支持婴儿睡眠时播放音乐？解答：对象、干预成分、剂量、学习参与和结局均发生改变，需要直接研究。</w:t>
      </w:r>
    </w:p>
    <w:p>
      <w:pPr>
        <w:pStyle w:val="BodyText"/>
      </w:pPr>
      <w:r>
        <w:t xml:space="preserve">思考题：元分析中的高质量子集接近零，是否说明音乐没有教育价值？解答：该结果只约束所研究的非音乐迁移。音乐能力与审美体验可以独立构成教学目标。</w:t>
      </w:r>
    </w:p>
    <w:p>
      <w:pPr>
        <w:pStyle w:val="BodyText"/>
      </w:pPr>
      <w:r>
        <w:t xml:space="preserve">本章应保留的高置信判断是，短时状态效应无法自动转成持久、广泛和跨年龄的增智承诺。未来若出现严格主动对照、独立重复与长期追踪支持特定迁移，应按明确条件更新结论。</w:t>
      </w:r>
    </w:p>
    <w:bookmarkEnd w:id="1456"/>
    <w:bookmarkEnd w:id="1457"/>
    <w:bookmarkStart w:id="1473" w:name="ch-84"/>
    <w:p>
      <w:pPr>
        <w:pStyle w:val="Heading2"/>
      </w:pPr>
      <w:r>
        <w:t xml:space="preserve">第84章　交叉动作、“健脑操”与学习困难</w:t>
      </w:r>
    </w:p>
    <w:bookmarkStart w:id="1458" w:name="sec-84-1"/>
    <w:p>
      <w:pPr>
        <w:pStyle w:val="Heading3"/>
      </w:pPr>
      <w:r>
        <w:t xml:space="preserve">84.1　核心判断</w:t>
      </w:r>
    </w:p>
    <w:p>
      <w:pPr>
        <w:pStyle w:val="FirstParagraph"/>
      </w:pPr>
      <w:r>
        <w:t xml:space="preserve">跨越身体中线的动作可以训练动作本身，也可能构成一般身体活动的一部分。宣传称这类动作能修复普遍存在的“半球阻塞”，并因此治疗阅读、注意和各种学习困难；这条机制与疗效链缺乏充分支持。对拒绝这一通用解释的判断，置信度高；对每一种动作在每一种人群中是否存在特定收益，需要直接试验。</w:t>
      </w:r>
    </w:p>
    <w:p>
      <w:pPr>
        <w:pStyle w:val="BodyText"/>
      </w:pPr>
      <w:r>
        <w:t xml:space="preserve">宣传中的打通经常没有操作定义。若指神经纤维从不存在变成存在，需要相应结构证据；若指信息传递更快，需要可靠的功能指标；若只指动作更协调，就应报告动作成绩。把同一个词用于这些层次，会使任何变化都被解释成理论成功。</w:t>
      </w:r>
    </w:p>
    <w:bookmarkEnd w:id="1458"/>
    <w:bookmarkStart w:id="1459" w:name="sec-84-2"/>
    <w:p>
      <w:pPr>
        <w:pStyle w:val="Heading3"/>
      </w:pPr>
      <w:r>
        <w:t xml:space="preserve">84.2　从正常半球合作到病理假说</w:t>
      </w:r>
    </w:p>
    <w:p>
      <w:pPr>
        <w:pStyle w:val="FirstParagraph"/>
      </w:pPr>
      <w:r>
        <w:t xml:space="preserve">左右半球之间存在多条连接，复杂行为也常涉及双侧系统。某些功能具有侧化，不等于每个人的两侧缺乏沟通。个体在阅读或数学上困难，也不自动证明胼胝体出现共同故障。病理主张必须先说明被测异常是什么，以及它在相应困难人群中有多普遍。</w:t>
      </w:r>
    </w:p>
    <w:p>
      <w:pPr>
        <w:pStyle w:val="BodyText"/>
      </w:pPr>
      <w:r>
        <w:t xml:space="preserve">身体动作跨过中线，是运动轨迹的描述。这个轨迹可以动员双侧控制，但动员并不能证明此前连接受阻。同样，使用双手、唱歌或跳舞涉及广泛脑活动，也不能凭活动范围推断其具备治疗所有学习问题的作用。</w:t>
      </w:r>
    </w:p>
    <w:p>
      <w:pPr>
        <w:pStyle w:val="BodyText"/>
      </w:pPr>
      <w:r>
        <w:t xml:space="preserve">更合理的机制研究应明确目标过程。例如，训练是否改善双手协调、时序判断或姿势控制；这些变化是否又影响具体学习任务；中间联系能否被独立重复。只有把每一环测量清楚，才能判断所谓机制是否成立。</w:t>
      </w:r>
    </w:p>
    <w:bookmarkEnd w:id="1459"/>
    <w:bookmarkStart w:id="1460" w:name="sec-84-3"/>
    <w:p>
      <w:pPr>
        <w:pStyle w:val="Heading3"/>
      </w:pPr>
      <w:r>
        <w:t xml:space="preserve">84.3　现有审查与证据链缺口</w:t>
      </w:r>
    </w:p>
    <w:p>
      <w:pPr>
        <w:pStyle w:val="FirstParagraph"/>
      </w:pPr>
      <w:r>
        <w:t xml:space="preserve">Spaulding等对Brain Gym教育干预的审查指出，方案的流行程度与其可靠经验支持之间存在明显差距</w:t>
      </w:r>
      <w:r>
        <w:rPr>
          <w:vertAlign w:val="superscript"/>
        </w:rPr>
        <w:t xml:space="preserve">[</w:t>
      </w:r>
      <w:hyperlink w:anchor="ref-739">
        <w:r>
          <w:rPr>
            <w:rStyle w:val="Hyperlink"/>
            <w:vertAlign w:val="superscript"/>
          </w:rPr>
          <w:t xml:space="preserve">739</w:t>
        </w:r>
      </w:hyperlink>
      <w:r>
        <w:rPr>
          <w:vertAlign w:val="superscript"/>
        </w:rPr>
        <w:t xml:space="preserve">]</w:t>
      </w:r>
      <w:r>
        <w:t xml:space="preserve">。 Howard-Jones对神经教育误解的分析也说明，真实的脑研究概念常在教育传播中被扩大为未经验证的处方</w:t>
      </w:r>
      <w:r>
        <w:rPr>
          <w:vertAlign w:val="superscript"/>
        </w:rPr>
        <w:t xml:space="preserve">[</w:t>
      </w:r>
      <w:hyperlink w:anchor="ref-740">
        <w:r>
          <w:rPr>
            <w:rStyle w:val="Hyperlink"/>
            <w:vertAlign w:val="superscript"/>
          </w:rPr>
          <w:t xml:space="preserve">740</w:t>
        </w:r>
      </w:hyperlink>
      <w:r>
        <w:rPr>
          <w:vertAlign w:val="superscript"/>
        </w:rPr>
        <w:t xml:space="preserve">]</w:t>
      </w:r>
      <w:r>
        <w:t xml:space="preserve">。这些文献支持检查论证缺口，不能被写成已经直接测试所有动作与所有儿童。</w:t>
      </w:r>
    </w:p>
    <w:p>
      <w:pPr>
        <w:pStyle w:val="BodyText"/>
      </w:pPr>
      <w:r>
        <w:t xml:space="preserve">批评某种理论时，应区分缺乏可靠试验与试验已经精确排除有意义效果。前者意味着不能承担强疗效承诺，后者提供更直接的否定证据。许多品牌化方案的主要问题是研究设计不够支持所声称的范围，因而结论需要聚焦举证责任。</w:t>
      </w:r>
    </w:p>
    <w:p>
      <w:pPr>
        <w:pStyle w:val="BodyText"/>
      </w:pPr>
      <w:r>
        <w:t xml:space="preserve">如果新研究提供预注册、主动对照、盲法评分和独立重复，评价可以改变。研究应测量阅读、书写或课堂功能等实际目标，并保留随访。只报告学员觉得专注、教师认为有进步或动作更熟练，无法完成治疗主张的验证。</w:t>
      </w:r>
    </w:p>
    <w:bookmarkEnd w:id="1460"/>
    <w:bookmarkStart w:id="1461" w:name="sec-84-4"/>
    <w:p>
      <w:pPr>
        <w:pStyle w:val="Heading3"/>
      </w:pPr>
      <w:r>
        <w:t xml:space="preserve">84.4　一般运动收益与特殊成分归因</w:t>
      </w:r>
    </w:p>
    <w:p>
      <w:pPr>
        <w:pStyle w:val="FirstParagraph"/>
      </w:pPr>
      <w:r>
        <w:t xml:space="preserve">身体活动研究可以为运动的某些认知收益提供证据。FITKids试验将221名7至9岁儿童随机分配到九个月课后活动或等待名单，观察到部分执行控制指标改善</w:t>
      </w:r>
      <w:r>
        <w:rPr>
          <w:vertAlign w:val="superscript"/>
        </w:rPr>
        <w:t xml:space="preserve">[</w:t>
      </w:r>
      <w:hyperlink w:anchor="ref-741">
        <w:r>
          <w:rPr>
            <w:rStyle w:val="Hyperlink"/>
            <w:vertAlign w:val="superscript"/>
          </w:rPr>
          <w:t xml:space="preserve">741</w:t>
        </w:r>
      </w:hyperlink>
      <w:r>
        <w:rPr>
          <w:vertAlign w:val="superscript"/>
        </w:rPr>
        <w:t xml:space="preserve">]</w:t>
      </w:r>
      <w:r>
        <w:t xml:space="preserve">。由于对照为等待名单，教师关注、社交和活动安排等成分仍需进一步拆分。更不能把结果直接归给交叉爬行这一动作。</w:t>
      </w:r>
    </w:p>
    <w:p>
      <w:pPr>
        <w:pStyle w:val="BodyText"/>
      </w:pPr>
      <w:r>
        <w:t xml:space="preserve">假设一套方案同时包含运动、休息、鼓励、同伴互动和阅读练习，训练后阅读提高。至少有多种可能路径。若要识别特定动作的贡献，可比较完整方案与删除该动作但保留其他成分的方案，或者比较强度、时间和互动相近的一般运动。</w:t>
      </w:r>
    </w:p>
    <w:p>
      <w:pPr>
        <w:pStyle w:val="BodyText"/>
      </w:pPr>
      <w:r>
        <w:t xml:space="preserve">这种成分比较非常重要。整个方案有效，可以支持将方案作为整体继续研究；特殊机制仍需要独立证据。若一般运动产生相同效果，品牌动作的额外价值就受到限制。若特定动作更有效，还应检查是否来自任务练习、期待或其他未匹配差异。</w:t>
      </w:r>
    </w:p>
    <w:bookmarkEnd w:id="1461"/>
    <w:bookmarkStart w:id="1462" w:name="sec-84-5"/>
    <w:p>
      <w:pPr>
        <w:pStyle w:val="Heading3"/>
      </w:pPr>
      <w:r>
        <w:t xml:space="preserve">84.5　学习困难的异质性</w:t>
      </w:r>
    </w:p>
    <w:p>
      <w:pPr>
        <w:pStyle w:val="FirstParagraph"/>
      </w:pPr>
      <w:r>
        <w:t xml:space="preserve">学习困难可以涉及不同过程。阅读中的字词识别、阅读流利度、词汇与理解，数学中的数量表征、事实提取、计算程序与应用推理，书写中的字形、动作与语言组织，都可能分别出现困难。同一个表面成绩可以由不同组合造成。</w:t>
      </w:r>
    </w:p>
    <w:p>
      <w:pPr>
        <w:pStyle w:val="BodyText"/>
      </w:pPr>
      <w:r>
        <w:t xml:space="preserve">因此，干预前需要确定目标。学生把相似字形混淆，和学生能读准却无法理解长句，可能需要不同教学。把所有困难归入半球不协调，会使评估过于粗糙，也难以选择真实结局。</w:t>
      </w:r>
    </w:p>
    <w:p>
      <w:pPr>
        <w:pStyle w:val="BodyText"/>
      </w:pPr>
      <w:r>
        <w:t xml:space="preserve">Galuschka等2014年汇总22项阅读障碍随机试验，比较多种方法；在当时纳入证据中，系统的语音与字音对应教学获得较明确支持，其他方法的平均效果尚不确定</w:t>
      </w:r>
      <w:r>
        <w:rPr>
          <w:vertAlign w:val="superscript"/>
        </w:rPr>
        <w:t xml:space="preserve">[</w:t>
      </w:r>
      <w:hyperlink w:anchor="ref-742">
        <w:r>
          <w:rPr>
            <w:rStyle w:val="Hyperlink"/>
            <w:vertAlign w:val="superscript"/>
          </w:rPr>
          <w:t xml:space="preserve">742</w:t>
        </w:r>
      </w:hyperlink>
      <w:r>
        <w:rPr>
          <w:vertAlign w:val="superscript"/>
        </w:rPr>
        <w:t xml:space="preserve">]</w:t>
      </w:r>
      <w:r>
        <w:t xml:space="preserve">。这一结论限于研究涉及的文字系统与干预，也受研究数量和质量的限制，不宜机械应用到所有语言，也不能表示阅读支持只包含一个成分。它支持优先选择能够说明目标技能、教学步骤和结果测量的方案。</w:t>
      </w:r>
    </w:p>
    <w:bookmarkEnd w:id="1462"/>
    <w:bookmarkStart w:id="1463" w:name="sec-84-6"/>
    <w:p>
      <w:pPr>
        <w:pStyle w:val="Heading3"/>
      </w:pPr>
      <w:r>
        <w:t xml:space="preserve">84.6　为什么前后比较容易高估效果</w:t>
      </w:r>
    </w:p>
    <w:p>
      <w:pPr>
        <w:pStyle w:val="FirstParagraph"/>
      </w:pPr>
      <w:r>
        <w:t xml:space="preserve">儿童在学校持续接触教学，成绩会随时间改变；他们还会熟悉测验程序，或得到家庭额外帮助。训练期间如果同时接受更多识字练习，不能把全部进步归给动作课程。重复使用同一测验还会增加熟悉度。孩子若因某次成绩特别低而被选入项目，后续测验即使没有特异干预，也可能回到其通常水平，这就是回归均值。单组前后提高无法把这些过程分别估计。</w:t>
      </w:r>
    </w:p>
    <w:p>
      <w:pPr>
        <w:pStyle w:val="BodyText"/>
      </w:pPr>
      <w:r>
        <w:t xml:space="preserve">教师和家长知道儿童接受特殊训练，可能更关注积极变化。这种观察并无恶意，却会影响主观评分。教育研究中的盲法可能无法覆盖教师和学生，但评分者仍可不知道分组。使用独立于训练内容的任务，把录音或书面任务编码后独立评分，采用标准化测试和明确的评分标准，都能减少偏倚。对于课堂参与等难以完全盲法的结果，应尽量使用多个信息来源。</w:t>
      </w:r>
    </w:p>
    <w:p>
      <w:pPr>
        <w:pStyle w:val="BodyText"/>
      </w:pPr>
      <w:r>
        <w:t xml:space="preserve">自愿参加课程的家庭也可能投入更多时间和资源。若对照家庭没有相同投入，组间差异会混合课程与家庭因素。随机分配有助于处理初始差异，但仍要考虑基线不平衡、失访和测量误差，并记录训练执行程度、教师培训、退出和额外教学，这些信息也帮助判断方案能否在普通课堂中实现。对照类型决定结论的范围：主动对照可以平衡参与活动、关注与期待，等待对照更接近与暂不提供额外服务的比较。若只与完全无活动的对照比较，就不宜把全部收益归给特定交叉动作。</w:t>
      </w:r>
    </w:p>
    <w:bookmarkEnd w:id="1463"/>
    <w:bookmarkStart w:id="1464" w:name="sec-84-7"/>
    <w:p>
      <w:pPr>
        <w:pStyle w:val="Heading3"/>
      </w:pPr>
      <w:r>
        <w:t xml:space="preserve">84.7　神经指标怎样进入证据链</w:t>
      </w:r>
    </w:p>
    <w:p>
      <w:pPr>
        <w:pStyle w:val="FirstParagraph"/>
      </w:pPr>
      <w:r>
        <w:t xml:space="preserve">一项课程若同时测量脑电或影像，研究价值可能提高，因为它增加了对过程的观察。但任何神经变化都需要可靠性、对照和预定解释。活动增强可能代表更努力，活动降低可能代表任务更熟悉，二者都不能自动称为修复。某脑指标与阅读困难相关，也无法自动推出改变这个指标会改善阅读：它可能是困难的结果、共同原因的伴随现象，或者帮助补偿困难的反应。干预目标必须通过因果研究和功能结果评价，相关脑图只能提供线索。</w:t>
      </w:r>
    </w:p>
    <w:p>
      <w:pPr>
        <w:pStyle w:val="BodyText"/>
      </w:pPr>
      <w:r>
        <w:t xml:space="preserve">若某课程提出“动作改善半球通信，继而改善阅读”的机制，首先要明确连接或通信指标。结构纤维、静息信号相关、任务中的时序耦合、脑电同步、模型推断的方向性和行为上的跨视野传递任务，测到的内容各不相同，每个指标都只覆盖通信过程的某些方面，还可能受到共同输入、动作伪迹和任务难度影响。一个指标改变，不能替代其他指标，更不能直接诊断个体原先的病因。</w:t>
      </w:r>
    </w:p>
    <w:p>
      <w:pPr>
        <w:pStyle w:val="BodyText"/>
      </w:pPr>
      <w:r>
        <w:t xml:space="preserve">要支持中介机制，理想证据链包含：动作训练相对合适对照改变预先指定的指标；该变化在时间上先于或合理对应学习改善；指标与结果之间的关系能够排除重要替代解释；具有不同机制的对照能产生不同预测。单纯在训练结束后看到二者相关，可能受到共同的投入程度或基线差异影响。若训练只改善动作成绩，学习成绩无变化，链条的后半段未获支持；若学习成绩改善而通信指标不变，原机制解释需要调整。机制结论应随设计强度调整。</w:t>
      </w:r>
    </w:p>
    <w:bookmarkEnd w:id="1464"/>
    <w:bookmarkStart w:id="1465" w:name="sec-84-8"/>
    <w:p>
      <w:pPr>
        <w:pStyle w:val="Heading3"/>
      </w:pPr>
      <w:r>
        <w:t xml:space="preserve">84.8　一个家庭决策案例</w:t>
      </w:r>
    </w:p>
    <w:p>
      <w:pPr>
        <w:pStyle w:val="FirstParagraph"/>
      </w:pPr>
      <w:r>
        <w:t xml:space="preserve">假设家长收到宣传，称每日画八字可治疗阅读困难。可以先要求课程说明目标：改善阅读准确率、速度、理解还是课堂情绪。若只回答全脑整合，尚不能判断效果。</w:t>
      </w:r>
    </w:p>
    <w:p>
      <w:pPr>
        <w:pStyle w:val="BodyText"/>
      </w:pPr>
      <w:r>
        <w:t xml:space="preserve">随后检查研究是否使用相同年龄与困难类型，是否与等时间的阅读教学或一般运动比较，是否有未练材料和随访。即使存在积极研究，也要看效果大小与不确定区间，并区分整套课程和单个动作。</w:t>
      </w:r>
    </w:p>
    <w:p>
      <w:pPr>
        <w:pStyle w:val="BodyText"/>
      </w:pPr>
      <w:r>
        <w:t xml:space="preserve">最后考虑机会成本。孩子可将运动作为喜爱的活动，但若它占用必要的针对性教学、使家庭承担过高费用，决策标准就应更严格。是否使用某项活动与是否接受其神经理论，可以分别判断。</w:t>
      </w:r>
    </w:p>
    <w:bookmarkEnd w:id="1465"/>
    <w:bookmarkStart w:id="1466" w:name="sec-84-9"/>
    <w:p>
      <w:pPr>
        <w:pStyle w:val="Heading3"/>
      </w:pPr>
      <w:r>
        <w:t xml:space="preserve">84.9　动作协调的任务结构</w:t>
      </w:r>
    </w:p>
    <w:p>
      <w:pPr>
        <w:pStyle w:val="FirstParagraph"/>
      </w:pPr>
      <w:r>
        <w:t xml:space="preserve">把右手移到左侧、双手按不同节奏运动、沿轨迹追踪目标，涉及视觉定位、身体姿势、动作计划、感觉反馈和误差修正。动作跨越身体中线只是空间关系中的一个特征。要知道某个动作为什么困难，需要具体分析要求，不能仅凭跨中线与否推断半球交流是否不足。</w:t>
      </w:r>
    </w:p>
    <w:p>
      <w:pPr>
        <w:pStyle w:val="BodyText"/>
      </w:pPr>
      <w:r>
        <w:t xml:space="preserve">动作表现还受速度、准确要求、关节活动范围、视觉条件、练习经验和任务理解影响。一个孩子完成得慢，可能正在优先保持准确；另一个孩子动作快却偏离目标，可能采用了不同策略。评价应报告这些权衡。一次动作困难无法直接解释阅读、数学或注意问题的全部来源。</w:t>
      </w:r>
    </w:p>
    <w:p>
      <w:pPr>
        <w:pStyle w:val="BodyText"/>
      </w:pPr>
      <w:r>
        <w:t xml:space="preserve">学习特定协调动作可以提高该动作的熟练度，这是一个可直接测试的结果。若宣称改善进一步传递到阅读，需要证明从动作到阅读过程之间的联系。跨领域因果链中的每一环都需要证据，尤其是干预后阅读改变是否超过同等时间的其他活动，以及改变能否保持和迁移。</w:t>
      </w:r>
    </w:p>
    <w:bookmarkEnd w:id="1466"/>
    <w:bookmarkStart w:id="1467" w:name="sec-84-10"/>
    <w:p>
      <w:pPr>
        <w:pStyle w:val="Heading3"/>
      </w:pPr>
      <w:r>
        <w:t xml:space="preserve">84.10　阅读过程的分解与教学对应</w:t>
      </w:r>
    </w:p>
    <w:p>
      <w:pPr>
        <w:pStyle w:val="FirstParagraph"/>
      </w:pPr>
      <w:r>
        <w:t xml:space="preserve">阅读需要把书写符号与语言知识联系起来，并在词句与篇章层面建立意义。字词识别、语音相关知识、词汇、流畅度、句法与背景知识都可能限制表现。不同书写系统和学习阶段对这些环节的要求有差异。教学评价应明确研究语言和材料，跨语言推广需要额外验证。</w:t>
      </w:r>
    </w:p>
    <w:bookmarkEnd w:id="1467"/>
    <w:bookmarkStart w:id="1468" w:name="sec-84-11"/>
    <w:p>
      <w:pPr>
        <w:pStyle w:val="Heading3"/>
      </w:pPr>
      <w:r>
        <w:t xml:space="preserve">84.11　干预组件与时间分配</w:t>
      </w:r>
    </w:p>
    <w:p>
      <w:pPr>
        <w:pStyle w:val="FirstParagraph"/>
      </w:pPr>
      <w:r>
        <w:t xml:space="preserve">商业课程常同时提供动作、呼吸、教师关注、奖励、学习练习和家长反馈。若整体方案有效，研究还需要区分哪些组件有贡献。拆解试验可以比较保留或移除某组件后的差异，因子设计可以同时操纵多个组件，实施研究可以检查教师是否按方案执行。</w:t>
      </w:r>
    </w:p>
    <w:p>
      <w:pPr>
        <w:pStyle w:val="BodyText"/>
      </w:pPr>
      <w:r>
        <w:t xml:space="preserve">不过，组件之间可能相互作用。奖励可能提高学生对阅读练习的投入，动作间歇可能改变课堂节奏。简单把各组件效果相加未必符合真实过程。拆解研究应预先定义交互问题，并考虑样本规模。对资源有限的学校，最关键的问题往往是哪套可实施组合在同等时间下改善目标技能。</w:t>
      </w:r>
    </w:p>
    <w:p>
      <w:pPr>
        <w:pStyle w:val="BodyText"/>
      </w:pPr>
      <w:r>
        <w:t xml:space="preserve">时间分配是一项实际约束。每天二十分钟用于动作训练，就减少了同一时间段可用于阅读或其他活动的时间。若动作训练带来健康、协调或参与收益，这些可以单独评价；若主要目的为阅读改善，则需要比较阅读增益和机会成本。课程宣传应明确它承诺哪个结局。</w:t>
      </w:r>
    </w:p>
    <w:bookmarkEnd w:id="1468"/>
    <w:bookmarkStart w:id="1469" w:name="sec-84-12"/>
    <w:p>
      <w:pPr>
        <w:pStyle w:val="Heading3"/>
      </w:pPr>
      <w:r>
        <w:t xml:space="preserve">84.12　个体目标与多结局解释</w:t>
      </w:r>
    </w:p>
    <w:p>
      <w:pPr>
        <w:pStyle w:val="FirstParagraph"/>
      </w:pPr>
      <w:r>
        <w:t xml:space="preserve">干预可能改善课堂参与，阅读分数却无明显变化；也可能提高字词准确率，理解尚未改善。不同结果对应不同过程。完整报告能够帮助调整教学，选择性只呈现最好的指标会误导使用者。事先确定主要结局和具有实际意义的变化范围，可以减少这种风险。</w:t>
      </w:r>
    </w:p>
    <w:p>
      <w:pPr>
        <w:pStyle w:val="BodyText"/>
      </w:pPr>
      <w:r>
        <w:t xml:space="preserve">个体进步还需要可靠变化判断。一次多答对两题，可能只是随机波动；连续多次在不同材料中提高，证据更强。教师可以使用简短、同难度的多次测量形成趋势，并记录教学调整。测量频率需要平衡信息价值和对学习时间的占用。</w:t>
      </w:r>
    </w:p>
    <w:p>
      <w:pPr>
        <w:pStyle w:val="BodyText"/>
      </w:pPr>
      <w:r>
        <w:t xml:space="preserve">学生的体验同样需要尊重。某些动作活动让孩子更愿意参与、与同伴互动更顺畅，这些是可描述的价值。若活动让孩子感到被标记、羞辱或承担额外压力，也应记录。教育效果包括技能、参与和负担，评价框架需要事先明确这些目标。</w:t>
      </w:r>
    </w:p>
    <w:bookmarkEnd w:id="1469"/>
    <w:bookmarkStart w:id="1470" w:name="sec-84-13"/>
    <w:p>
      <w:pPr>
        <w:pStyle w:val="Heading3"/>
      </w:pPr>
      <w:r>
        <w:t xml:space="preserve">84.13　面对夸大解释时的沟通</w:t>
      </w:r>
    </w:p>
    <w:p>
      <w:pPr>
        <w:pStyle w:val="FirstParagraph"/>
      </w:pPr>
      <w:r>
        <w:t xml:space="preserve">向家长说明证据，可以先确认孩子具体遇到的困难，再解释哪些评估和教学能对应这些困难。避免用一个粗略脑标签替代复杂情况。可以讨论课程中哪些活动有合理用途，哪些额外机制尚缺验证，以及如何通过实际表现判断是否值得继续。</w:t>
      </w:r>
    </w:p>
    <w:p>
      <w:pPr>
        <w:pStyle w:val="BodyText"/>
      </w:pPr>
      <w:r>
        <w:t xml:space="preserve">例如，家长观察到孩子做动作后更安静，这是一条值得记录的行为信息。接下来可以检验课堂参与、阅读任务和延迟保持是否同时改善，并与其他短暂活动比较。若仅安静程度改变，结论就停留在该行为层面。每一步都用可观察结果更新判断，能够保留实际收益，同时限制过度推广。</w:t>
      </w:r>
    </w:p>
    <w:bookmarkEnd w:id="1470"/>
    <w:bookmarkStart w:id="1471" w:name="sec-84-14"/>
    <w:p>
      <w:pPr>
        <w:pStyle w:val="Heading3"/>
      </w:pPr>
      <w:r>
        <w:t xml:space="preserve">84.14　从错误类型选择练习的案例</w:t>
      </w:r>
    </w:p>
    <w:p>
      <w:pPr>
        <w:pStyle w:val="FirstParagraph"/>
      </w:pPr>
      <w:r>
        <w:t xml:space="preserve">设一位学生读一个陌生词时，能准确识别各个字母，却无法把声音顺序合成词；另一位学生合成过程顺畅，却经常混淆两个相近字形；第三位学生单词读取准确，读完整句后无法解释代词指向。三个案例提出不同的学习问题，不能由相同动作活动一并说明。</w:t>
      </w:r>
    </w:p>
    <w:p>
      <w:pPr>
        <w:pStyle w:val="BodyText"/>
      </w:pPr>
      <w:r>
        <w:t xml:space="preserve">第一位可以在合成环节获得分步示范和反馈，第二位可以比较字形的诊断性差别并练习区分，第三位可以练习句间关系和指代线索。这里给出的是任务分析示例，具体教学方案需结合语言、年龄与专业评估。共同原则是让练习直接作用于错误发生的环节。</w:t>
      </w:r>
    </w:p>
    <w:p>
      <w:pPr>
        <w:pStyle w:val="BodyText"/>
      </w:pPr>
      <w:r>
        <w:t xml:space="preserve">如果三位学生同时参加协调游戏，可能改善游戏技能、参与和课堂互动。这些变化可以记录，但需要再看各自阅读错误是否下降。活动收益与目标技能收益可以分别存在。将所有改善归为“半球已连通”，无法解释为什么某类错误改善、另一类仍在。</w:t>
      </w:r>
    </w:p>
    <w:p>
      <w:pPr>
        <w:pStyle w:val="BodyText"/>
      </w:pPr>
      <w:r>
        <w:t xml:space="preserve">教师还可以让学生口述或演示解题步骤，以便发现困难位置。口述会增加语言负担，因此也可结合观察和短任务。不同信息来源互相补充，避免只依赖一次总分或一个脑标签。</w:t>
      </w:r>
    </w:p>
    <w:p>
      <w:pPr>
        <w:pStyle w:val="BodyText"/>
      </w:pPr>
      <w:r>
        <w:t xml:space="preserve">对数学同样如此。忘记算术事实、误解等号、没有保持中间结果和读错题意，可以造成相同最终错误。直接分析步骤能够产生可操作假设，再通过针对练习观察变化。动作干预若希望承担这些目标，需要给出与每个过程相连的实证路径。</w:t>
      </w:r>
    </w:p>
    <w:bookmarkEnd w:id="1471"/>
    <w:bookmarkStart w:id="1472" w:name="sec-84-15"/>
    <w:p>
      <w:pPr>
        <w:pStyle w:val="Heading3"/>
      </w:pPr>
      <w:r>
        <w:t xml:space="preserve">84.15　研究设计练习与结论</w:t>
      </w:r>
    </w:p>
    <w:p>
      <w:pPr>
        <w:pStyle w:val="FirstParagraph"/>
      </w:pPr>
      <w:r>
        <w:t xml:space="preserve">练习：某学校让全部学生晨间做动作，期末成绩高于上学期。请提出四个竞争解释。解答可包括正常教学进展、测验难度差异、额外关注、学生构成变化以及其他同时实施的教育措施。仅有前后差异无法分离这些因素。</w:t>
      </w:r>
    </w:p>
    <w:p>
      <w:pPr>
        <w:pStyle w:val="BodyText"/>
      </w:pPr>
      <w:r>
        <w:t xml:space="preserve">练习：两种动作均使阅读提高，交叉动作并无额外优势，可以得出什么？解答：在这些条件下，独特动作成分的优势未获支持。整体活动是否优于其他有效教学，还需要另一个比较。</w:t>
      </w:r>
    </w:p>
    <w:p>
      <w:pPr>
        <w:pStyle w:val="BodyText"/>
      </w:pPr>
      <w:r>
        <w:t xml:space="preserve">练习：课程测到连接指标变化，阅读没有改善，是否证明治疗成功？解答：神经变化没有完成临床或教育目标。若主要目标是阅读，疗效判断应遵循该结果。</w:t>
      </w:r>
    </w:p>
    <w:p>
      <w:pPr>
        <w:pStyle w:val="BodyText"/>
      </w:pPr>
      <w:r>
        <w:t xml:space="preserve">本章的高置信结论是，动作轨迹无法直接证明半球病理被修复。评价每项方案，应逐项连接目标、对照、功能收益、保持与机制。对学习困难，具体评估与直接针对目标技能的支持具有更清楚的证据路径。</w:t>
      </w:r>
    </w:p>
    <w:bookmarkEnd w:id="1472"/>
    <w:bookmarkEnd w:id="1473"/>
    <w:bookmarkStart w:id="1492" w:name="ch-85"/>
    <w:p>
      <w:pPr>
        <w:pStyle w:val="Heading2"/>
      </w:pPr>
      <w:r>
        <w:t xml:space="preserve">第85章　脑训练游戏与能力迁移</w:t>
      </w:r>
    </w:p>
    <w:bookmarkStart w:id="1474" w:name="sec-85-1"/>
    <w:p>
      <w:pPr>
        <w:pStyle w:val="Heading3"/>
      </w:pPr>
      <w:r>
        <w:t xml:space="preserve">85.1　核心判断</w:t>
      </w:r>
    </w:p>
    <w:p>
      <w:pPr>
        <w:pStyle w:val="FirstParagraph"/>
      </w:pPr>
      <w:r>
        <w:t xml:space="preserve">训练任务成绩提高，能够证明学习者更善于完成该任务；它不能自动证明一般智力、工作表现或独立生活能力提高。对这一逻辑区分的置信度高。特定认知训练可能对某些人群和目标有效，实际判断必须保留训练内容、比较条件、结果距离和保持时间。</w:t>
      </w:r>
    </w:p>
    <w:p>
      <w:pPr>
        <w:pStyle w:val="BodyText"/>
      </w:pPr>
      <w:r>
        <w:t xml:space="preserve">认知训练争论经常源于不同研究把效果定义成不同东西。一项研究报告训练游戏变熟，另一项研究要求未练任务改善，第三项研究关心现实生活。它们可以同时获得不同结论。只有先把所承诺的结果写清楚，才有可能判断证据是否真正支持产品。</w:t>
      </w:r>
    </w:p>
    <w:bookmarkEnd w:id="1474"/>
    <w:bookmarkStart w:id="1475" w:name="sec-85-2"/>
    <w:p>
      <w:pPr>
        <w:pStyle w:val="Heading3"/>
      </w:pPr>
      <w:r>
        <w:t xml:space="preserve">85.2　从练习到迁移的连续范围</w:t>
      </w:r>
    </w:p>
    <w:p>
      <w:pPr>
        <w:pStyle w:val="FirstParagraph"/>
      </w:pPr>
      <w:r>
        <w:t xml:space="preserve">最直接的改善是练习效应：刺激、规则、操作和评分都与训练相同。近迁移使用新的刺激或相似任务，但仍共享许多步骤。较远迁移需要跨越材料、规则或认知要求。功能迁移进一步要求日常行为改善，例如服药管理、阅读新文件、完成职业工作或维持独立生活。</w:t>
      </w:r>
    </w:p>
    <w:p>
      <w:pPr>
        <w:pStyle w:val="BodyText"/>
      </w:pPr>
      <w:r>
        <w:t xml:space="preserve">近与远没有天然分界线。同名任务可以在操作上差异很大，不同名称的任务也可能使用相同策略。因此，研究者最好描述任务共享哪些成分，包括材料、感官通道、反应方式、记忆要求、规则和情境。用名称来决定迁移距离，容易高估广泛性。</w:t>
      </w:r>
    </w:p>
    <w:p>
      <w:pPr>
        <w:pStyle w:val="BodyText"/>
      </w:pPr>
      <w:r>
        <w:t xml:space="preserve">假设训练让参与者记住屏幕位置，后测换成另一组屏幕位置。成绩提高可能主要反映熟悉位置编码。若后测要求记住口头指令并在真实环境执行，便增加了更多不同成分。两个后测都可以被称为记忆，但支持的外推范围明显不同。</w:t>
      </w:r>
    </w:p>
    <w:bookmarkEnd w:id="1475"/>
    <w:bookmarkStart w:id="1476" w:name="sec-85-3"/>
    <w:p>
      <w:pPr>
        <w:pStyle w:val="Heading3"/>
      </w:pPr>
      <w:r>
        <w:t xml:space="preserve">85.3　为什么任务成绩会显著提高</w:t>
      </w:r>
    </w:p>
    <w:p>
      <w:pPr>
        <w:pStyle w:val="FirstParagraph"/>
      </w:pPr>
      <w:r>
        <w:t xml:space="preserve">学习者可能发现有效策略，例如把刺激分组、预测出现顺序、减少无关检查或形成自动反应。还可能更熟悉设备、理解评分规则，或者愿意承担更多错误以获得速度。上述变化可以真实改善游戏成绩，却没有必要涉及通用容量增加。</w:t>
      </w:r>
    </w:p>
    <w:p>
      <w:pPr>
        <w:pStyle w:val="BodyText"/>
      </w:pPr>
      <w:r>
        <w:t xml:space="preserve">因此，速度与准确率应同时检查。若反应时间缩短但错误增加，可能发生权衡变化。一个综合分数能掩盖这种情况，除非评分规则事先清楚并具有实际意义。对于安全敏感任务，少量错误的代价可能远高于平均反应快几十毫秒的收益。</w:t>
      </w:r>
    </w:p>
    <w:p>
      <w:pPr>
        <w:pStyle w:val="BodyText"/>
      </w:pPr>
      <w:r>
        <w:t xml:space="preserve">训练平台还可能自动提高难度。难度等级上升是系统内部表现，但其单位未必具有跨用户和跨版本可比性。要将等级解释成认知能力，需要独立的测量模型和外部验证。商业排行榜不能独自完成这一任务。</w:t>
      </w:r>
    </w:p>
    <w:bookmarkEnd w:id="1476"/>
    <w:bookmarkStart w:id="1477" w:name="sec-85-4"/>
    <w:p>
      <w:pPr>
        <w:pStyle w:val="Heading3"/>
      </w:pPr>
      <w:r>
        <w:t xml:space="preserve">85.4　大型研究约束了哪些承诺</w:t>
      </w:r>
    </w:p>
    <w:p>
      <w:pPr>
        <w:pStyle w:val="FirstParagraph"/>
      </w:pPr>
      <w:r>
        <w:t xml:space="preserve">Owen等2010年开展六周在线研究，分析11430名参与者。训练任务明显进步，独立未练任务没有显示相应迁移</w:t>
      </w:r>
      <w:r>
        <w:rPr>
          <w:vertAlign w:val="superscript"/>
        </w:rPr>
        <w:t xml:space="preserve">[</w:t>
      </w:r>
      <w:hyperlink w:anchor="ref-743">
        <w:r>
          <w:rPr>
            <w:rStyle w:val="Hyperlink"/>
            <w:vertAlign w:val="superscript"/>
          </w:rPr>
          <w:t xml:space="preserve">743</w:t>
        </w:r>
      </w:hyperlink>
      <w:r>
        <w:rPr>
          <w:vertAlign w:val="superscript"/>
        </w:rPr>
        <w:t xml:space="preserve">]</w:t>
      </w:r>
      <w:r>
        <w:t xml:space="preserve">。这直接反对游戏进步必然意味着普遍能力提高的推论。它不证明所有训练形式、年龄和临床人群都没有潜在收益。</w:t>
      </w:r>
    </w:p>
    <w:p>
      <w:pPr>
        <w:pStyle w:val="BodyText"/>
      </w:pPr>
      <w:r>
        <w:t xml:space="preserve">Simons等2016年逐项审查了训练公司和支持者所引用的干预研究，发现训练任务改善的证据充分，近迁移的证据较少，远迁移和日常认知表现改善的证据很少</w:t>
      </w:r>
      <w:r>
        <w:rPr>
          <w:vertAlign w:val="superscript"/>
        </w:rPr>
        <w:t xml:space="preserve">[</w:t>
      </w:r>
      <w:hyperlink w:anchor="ref-719">
        <w:r>
          <w:rPr>
            <w:rStyle w:val="Hyperlink"/>
            <w:vertAlign w:val="superscript"/>
          </w:rPr>
          <w:t xml:space="preserve">719</w:t>
        </w:r>
      </w:hyperlink>
      <w:r>
        <w:rPr>
          <w:vertAlign w:val="superscript"/>
        </w:rPr>
        <w:t xml:space="preserve">]</w:t>
      </w:r>
      <w:r>
        <w:t xml:space="preserve">。评价的重点包括主动对照、可靠测量、预先规定分析、保持和实际功能。所谓科学家达成共识，也应回到这些具体标准。</w:t>
      </w:r>
    </w:p>
    <w:p>
      <w:pPr>
        <w:pStyle w:val="BodyText"/>
      </w:pPr>
      <w:r>
        <w:t xml:space="preserve">Melby-Lervåg等2016年分析87篇文献、145个比较，发现工作记忆训练可带来某些相近工作记忆任务改善，但与主动对照（接受其他训练活动的对照组）相比，没有令人信服的智力和学业远迁移证据</w:t>
      </w:r>
      <w:r>
        <w:rPr>
          <w:vertAlign w:val="superscript"/>
        </w:rPr>
        <w:t xml:space="preserve">[</w:t>
      </w:r>
      <w:hyperlink w:anchor="ref-349">
        <w:r>
          <w:rPr>
            <w:rStyle w:val="Hyperlink"/>
            <w:vertAlign w:val="superscript"/>
          </w:rPr>
          <w:t xml:space="preserve">349</w:t>
        </w:r>
      </w:hyperlink>
      <w:r>
        <w:rPr>
          <w:vertAlign w:val="superscript"/>
        </w:rPr>
        <w:t xml:space="preserve">]</w:t>
      </w:r>
      <w:r>
        <w:t xml:space="preserve">。该结果对训练某种基础能力便会全面改善学业的假说形成约束。</w:t>
      </w:r>
    </w:p>
    <w:bookmarkEnd w:id="1477"/>
    <w:bookmarkStart w:id="1478" w:name="sec-85-5"/>
    <w:p>
      <w:pPr>
        <w:pStyle w:val="Heading3"/>
      </w:pPr>
      <w:r>
        <w:t xml:space="preserve">85.5　不能遗漏的积极结果</w:t>
      </w:r>
    </w:p>
    <w:p>
      <w:pPr>
        <w:pStyle w:val="FirstParagraph"/>
      </w:pPr>
      <w:r>
        <w:t xml:space="preserve">老年人专项训练与面向所有健康成人的手机游戏，目标不同。ACTIVE原始试验随机纳入2832人，其十年随访报告部分推理与速度训练效果维持，日常功能的自报结果也出现积极信号；记忆训练的长期保持较弱</w:t>
      </w:r>
      <w:r>
        <w:rPr>
          <w:vertAlign w:val="superscript"/>
        </w:rPr>
        <w:t xml:space="preserve">[</w:t>
      </w:r>
      <w:hyperlink w:anchor="ref-744">
        <w:r>
          <w:rPr>
            <w:rStyle w:val="Hyperlink"/>
            <w:vertAlign w:val="superscript"/>
          </w:rPr>
          <w:t xml:space="preserve">744</w:t>
        </w:r>
      </w:hyperlink>
      <w:r>
        <w:rPr>
          <w:vertAlign w:val="superscript"/>
        </w:rPr>
        <w:t xml:space="preserve">]</w:t>
      </w:r>
      <w:r>
        <w:t xml:space="preserve">。无接触对照、自报与长期失访要求谨慎解释，原始入组数不能当成十年时全部结局的实际测量人数。</w:t>
      </w:r>
    </w:p>
    <w:p>
      <w:pPr>
        <w:pStyle w:val="BodyText"/>
      </w:pPr>
      <w:r>
        <w:t xml:space="preserve">2026年ACTIVE与医保记录相连的分析纳入2021人，随访跨度约20年。总体速度训练组的调整危险比为0.87，95%置信区间0.72至1.05；完成初始训练且接受加强课的速度亚组为0.75，区间0.59至0.95。结局是医疗记录中的痴呆诊断。选择限制、诊断可及性和作者相关商业利益均需计入判断</w:t>
      </w:r>
      <w:r>
        <w:rPr>
          <w:vertAlign w:val="superscript"/>
        </w:rPr>
        <w:t xml:space="preserve">[</w:t>
      </w:r>
      <w:hyperlink w:anchor="ref-745">
        <w:r>
          <w:rPr>
            <w:rStyle w:val="Hyperlink"/>
            <w:vertAlign w:val="superscript"/>
          </w:rPr>
          <w:t xml:space="preserve">745</w:t>
        </w:r>
      </w:hyperlink>
      <w:r>
        <w:rPr>
          <w:vertAlign w:val="superscript"/>
        </w:rPr>
        <w:t xml:space="preserve">]</w:t>
      </w:r>
      <w:r>
        <w:t xml:space="preserve">。</w:t>
      </w:r>
    </w:p>
    <w:p>
      <w:pPr>
        <w:pStyle w:val="BodyText"/>
      </w:pPr>
      <w:r>
        <w:t xml:space="preserve">这些结果要求避免两个极端结论。训练成绩不能担保普遍增智；某类通用承诺证据不足，也不能抹去特定方案对特定结局的积极信号。一个方案的成功不会自动传给另一款名称相似的应用，剂量、任务结构和人群都必须对应。</w:t>
      </w:r>
    </w:p>
    <w:bookmarkEnd w:id="1478"/>
    <w:bookmarkStart w:id="1479" w:name="sec-85-6"/>
    <w:p>
      <w:pPr>
        <w:pStyle w:val="Heading3"/>
      </w:pPr>
      <w:r>
        <w:t xml:space="preserve">85.6　主动对照为何重要</w:t>
      </w:r>
    </w:p>
    <w:p>
      <w:pPr>
        <w:pStyle w:val="FirstParagraph"/>
      </w:pPr>
      <w:r>
        <w:t xml:space="preserve">参加训练可能提高对自身的期待，增加规律活动、社交和研究者接触。若对照组完全不参与，组间差异将包含这些成分。主动对照通过安排相似时间与投入的活动，帮助识别训练的特殊贡献。</w:t>
      </w:r>
    </w:p>
    <w:p>
      <w:pPr>
        <w:pStyle w:val="BodyText"/>
      </w:pPr>
      <w:r>
        <w:t xml:space="preserve">主动对照也有局限。两种活动的趣味、难度和可信度可能不同。研究者应在训练前或早期测量期待，尽量保持接触与反馈一致。对照活动若本身改善同一能力，可能减小组间差异；这未必是缺点，因为实际决策往往需要比较可行替代方案。</w:t>
      </w:r>
    </w:p>
    <w:p>
      <w:pPr>
        <w:pStyle w:val="BodyText"/>
      </w:pPr>
      <w:r>
        <w:t xml:space="preserve">双盲在行为训练中难以完全实现，但盲法评分仍然可行。参与者不必知道主要假说，评估者也可不知道分组。论文应明确盲法覆盖哪些环节，不能只写随机双盲便省略执行细节。</w:t>
      </w:r>
    </w:p>
    <w:bookmarkEnd w:id="1479"/>
    <w:bookmarkStart w:id="1480" w:name="sec-85-7"/>
    <w:p>
      <w:pPr>
        <w:pStyle w:val="Heading3"/>
      </w:pPr>
      <w:r>
        <w:t xml:space="preserve">85.7　如何测量通用能力变化</w:t>
      </w:r>
    </w:p>
    <w:p>
      <w:pPr>
        <w:pStyle w:val="FirstParagraph"/>
      </w:pPr>
      <w:r>
        <w:t xml:space="preserve">一项认知任务的成绩通常由多个成分共同决定，包括目标能力、材料知识、作答策略、运动速度、动机和测量误差。训练可能改变其中一个成分，也可能同时改变多个成分。若某人通过记住刺激模式提高分数，结果对该任务有意义；若研究希望推断工作记忆更新能力改变，需要增加能够排除材料记忆解释的测验。因此，关心工作记忆或执行功能时，应选择表面材料和反应方式不同、理论上共享某种过程的多个可靠任务，分析它们的共同变异，以区分共同能力与任务特异策略。潜变量方法可以减少部分测量噪声和单个任务特异性，前提是任务选择合理、样本足够、测量结构稳定。模型名称包含“执行功能”，不会自动保证它测到了纯粹的执行功能。</w:t>
      </w:r>
    </w:p>
    <w:p>
      <w:pPr>
        <w:pStyle w:val="BodyText"/>
      </w:pPr>
      <w:r>
        <w:t xml:space="preserve">前后测还需要检查测量不变性。若训练改变了被试理解题目的方式，或某一道题在训练后变得特别熟悉，同一个分数在前后可能不再代表同一过程，总分变化也可能部分反映测验含义改变。对长期或跨年龄研究，题目难度、策略和速度限制也可能变化。研究应检查题型、难度与评分是否具有可比性，并在解释潜在能力改善之前说明测量是否在两个时间点保持可比。把测量工具本身训练得更熟，不能直接等同于潜在能力提升。</w:t>
      </w:r>
    </w:p>
    <w:p>
      <w:pPr>
        <w:pStyle w:val="BodyText"/>
      </w:pPr>
      <w:r>
        <w:t xml:space="preserve">现实功能往往受环境和机会影响。一个人在实验室记忆测验提高，未必能在药物管理中获益，因为真实任务还涉及习惯、提醒系统、视力和执行条件。干预若针对现实功能，应直接测量该功能，并考虑外部辅助是否更有效。</w:t>
      </w:r>
    </w:p>
    <w:bookmarkEnd w:id="1480"/>
    <w:bookmarkStart w:id="1481" w:name="sec-85-8"/>
    <w:p>
      <w:pPr>
        <w:pStyle w:val="Heading3"/>
      </w:pPr>
      <w:r>
        <w:t xml:space="preserve">85.8　统计解释与常见分析陷阱</w:t>
      </w:r>
    </w:p>
    <w:p>
      <w:pPr>
        <w:pStyle w:val="FirstParagraph"/>
      </w:pPr>
      <w:r>
        <w:t xml:space="preserve">训练组显著进步、对照组未显著进步，不能单凭这两句话断定两组进步不同。需要直接比较组间变化或使用适当的基线调整模型。两个显著性标签之间的差异，无法代替差异的统计检验。</w:t>
      </w:r>
    </w:p>
    <w:p>
      <w:pPr>
        <w:pStyle w:val="BodyText"/>
      </w:pPr>
      <w:r>
        <w:t xml:space="preserve">若研究测试很多结局，只报告少数积极结果，会高估可靠性。主要结果应预先规定，次要结果清楚标注，多重比较与探索性分析分开解释。独立重复尤其适合检验从探索中产生的新假说。</w:t>
      </w:r>
    </w:p>
    <w:p>
      <w:pPr>
        <w:pStyle w:val="BodyText"/>
      </w:pPr>
      <w:r>
        <w:t xml:space="preserve">剂量与改善相关也未必证明多练造成改善。坚持十小时的人进步更多，不能直接推出给任何人增加十小时会产生同样收益。能力更高、健康更好、兴趣更大或早期更成功的人可能完成更多训练，这些因素本身也预测最终结果。随机分配剂量或使用适当因果设计，才更接近回答剂量效应，现实依从仍需处理。仅按完成次数排序，容易混合依从性和治疗作用；按实际完成量分析与按随机分配分析回答的是不同问题。</w:t>
      </w:r>
    </w:p>
    <w:bookmarkEnd w:id="1481"/>
    <w:bookmarkStart w:id="1482" w:name="sec-85-9"/>
    <w:p>
      <w:pPr>
        <w:pStyle w:val="Heading3"/>
      </w:pPr>
      <w:r>
        <w:t xml:space="preserve">85.9　个体决策与最小实际收益</w:t>
      </w:r>
    </w:p>
    <w:p>
      <w:pPr>
        <w:pStyle w:val="FirstParagraph"/>
      </w:pPr>
      <w:r>
        <w:t xml:space="preserve">平均效果可以很小，却对某些低成本目标有用。判断时需要明确一个值得采用的最低收益，例如在真实任务中减少多少错误、提高多少保持率或节省多少时间。阈值涉及价值与成本，应公开说明。</w:t>
      </w:r>
    </w:p>
    <w:p>
      <w:pPr>
        <w:pStyle w:val="BodyText"/>
      </w:pPr>
      <w:r>
        <w:t xml:space="preserve">个体差异的报告还要区分真实异质性与测量噪声。平均效应很小，可以与部分参与者明显改善并存，也可以由普遍微小变化构成。有些人分数提高、有些人下降，可能仅仅来自测验波动：一次前后差值包含两个时间点的误差，极端变化者可能部分来自随机波动。要确认谁最受益，需要可靠的重复测量和预先验证的预测规则。事后挑出“反应者”再寻找其特征，容易过拟合，制造个性化疗效的错觉。</w:t>
      </w:r>
    </w:p>
    <w:p>
      <w:pPr>
        <w:pStyle w:val="BodyText"/>
      </w:pPr>
      <w:r>
        <w:t xml:space="preserve">对普通学习者，专项训练与直接练习目标任务应比较。例如，为提高阅读理解，课程可以与阅读、词汇和推理练习比较；为提高工作速度，可以与工作流程调整和检查工具比较；为改善财务管理，可以与具体账单、预算和检查策略训练比较。某种广泛训练可能更易推广，某种目标训练可能更直接，选择需要对应结果和资源。通用脑力标签无法免除这种竞争。</w:t>
      </w:r>
    </w:p>
    <w:bookmarkEnd w:id="1482"/>
    <w:bookmarkStart w:id="1483" w:name="sec-85-10"/>
    <w:p>
      <w:pPr>
        <w:pStyle w:val="Heading3"/>
      </w:pPr>
      <w:r>
        <w:t xml:space="preserve">85.10　一个可复核的研究方案</w:t>
      </w:r>
    </w:p>
    <w:p>
      <w:pPr>
        <w:pStyle w:val="FirstParagraph"/>
      </w:pPr>
      <w:r>
        <w:t xml:space="preserve">假设研究一种训练是否提高真实文件审阅能力。研究者可先规定主要结果为新文件中错误识别率，同时记录误报和完成时间。训练组进行认知任务，主动对照接受等时间的其他活动，第三组直接练习文件审阅。各组都使用全新材料后测。</w:t>
      </w:r>
    </w:p>
    <w:p>
      <w:pPr>
        <w:pStyle w:val="BodyText"/>
      </w:pPr>
      <w:r>
        <w:t xml:space="preserve">如果认知训练只提高游戏分数，文件成绩不变，结果支持练习特异性。如果文件成绩提高但不及直接练习，研究仍有价值，但实际建议应考虑替代方案。如果收益保持且在不同文件类型中重复，迁移结论才逐步加强。</w:t>
      </w:r>
    </w:p>
    <w:p>
      <w:pPr>
        <w:pStyle w:val="BodyText"/>
      </w:pPr>
      <w:r>
        <w:t xml:space="preserve">机制研究可另外测量训练所假定的中间过程。但行为收益与机制证据应分别报告。任何脑信号变化都不能补救主要现实结局失败，也不能让未经测量的工作效率承诺成立。</w:t>
      </w:r>
    </w:p>
    <w:bookmarkEnd w:id="1483"/>
    <w:bookmarkStart w:id="1484" w:name="sec-85-11"/>
    <w:p>
      <w:pPr>
        <w:pStyle w:val="Heading3"/>
      </w:pPr>
      <w:r>
        <w:t xml:space="preserve">85.11　共同过程与迁移距离</w:t>
      </w:r>
    </w:p>
    <w:p>
      <w:pPr>
        <w:pStyle w:val="FirstParagraph"/>
      </w:pPr>
      <w:r>
        <w:t xml:space="preserve">Dahlin等的更新训练研究观察到向某种未训练工作记忆任务的迁移，并将它与共同加工及纹状体活动联系起来；没有共享相应过程的任务未呈现同样结果。年龄相关条件也影响迁移</w:t>
      </w:r>
      <w:r>
        <w:rPr>
          <w:vertAlign w:val="superscript"/>
        </w:rPr>
        <w:t xml:space="preserve">[</w:t>
      </w:r>
      <w:hyperlink w:anchor="ref-746">
        <w:r>
          <w:rPr>
            <w:rStyle w:val="Hyperlink"/>
            <w:vertAlign w:val="superscript"/>
          </w:rPr>
          <w:t xml:space="preserve">746</w:t>
        </w:r>
      </w:hyperlink>
      <w:r>
        <w:rPr>
          <w:vertAlign w:val="superscript"/>
        </w:rPr>
        <w:t xml:space="preserve">]</w:t>
      </w:r>
      <w:r>
        <w:t xml:space="preserve">。这提供了过程重叠的具体研究例子，同时不能把共同脑区活动当成充分的迁移保证。</w:t>
      </w:r>
    </w:p>
    <w:p>
      <w:pPr>
        <w:pStyle w:val="BodyText"/>
      </w:pPr>
      <w:r>
        <w:t xml:space="preserve">在设计中，可以系统改变共享程度。若训练使用字母更新，测试分别使用新字母、新图形、不同反应方式和完全不同更新规则，就能逐步定位优势保留到哪一层。每增加一个变化维度，解释范围扩大，噪声和难度差异也可能增加。研究需要平衡理论区分度和测量可靠性。</w:t>
      </w:r>
    </w:p>
    <w:bookmarkEnd w:id="1484"/>
    <w:bookmarkStart w:id="1485" w:name="sec-85-12"/>
    <w:p>
      <w:pPr>
        <w:pStyle w:val="Heading3"/>
      </w:pPr>
      <w:r>
        <w:t xml:space="preserve">85.12　自适应难度与主动对照</w:t>
      </w:r>
    </w:p>
    <w:p>
      <w:pPr>
        <w:pStyle w:val="FirstParagraph"/>
      </w:pPr>
      <w:r>
        <w:t xml:space="preserve">自适应训练根据表现调整难度，使参与者持续处于某个挑战区间。它可能提高投入，也可能增加练习次数和反馈频率。若对照组始终做很容易的任务，两组在努力、挫折、奖励与期待上都会不同。这样的设计可以比较两套训练经历，却难以单独归因于目标认知过程。</w:t>
      </w:r>
    </w:p>
    <w:p>
      <w:pPr>
        <w:pStyle w:val="BodyText"/>
      </w:pPr>
      <w:r>
        <w:t xml:space="preserve">更充分的主动对照可以提供相似界面、进度反馈和挑战感，同时训练另一个过程。匹配也有实际困难：如果对照过于相似，它可能训练同样能力，缩小组间差异；如果差异太大，又难以平衡期待。研究应透明说明控制了哪些成分、保留了哪些差异，让读者理解效应所对应的因果问题。</w:t>
      </w:r>
    </w:p>
    <w:p>
      <w:pPr>
        <w:pStyle w:val="BodyText"/>
      </w:pPr>
      <w:r>
        <w:t xml:space="preserve">期待可以直接测量，但测量本身可能提示研究目的。通常需要在不夸大任何方案的情况下说明潜在价值，并观察参与者是否认为一种条件明显更有效。即使期待相近，也无法排除所有非特异因素；主动对照的价值在于减少关键替代解释。</w:t>
      </w:r>
    </w:p>
    <w:bookmarkEnd w:id="1485"/>
    <w:bookmarkStart w:id="1486" w:name="sec-85-13"/>
    <w:p>
      <w:pPr>
        <w:pStyle w:val="Heading3"/>
      </w:pPr>
      <w:r>
        <w:t xml:space="preserve">85.13　剂量反应与坚持者偏差</w:t>
      </w:r>
    </w:p>
    <w:p>
      <w:pPr>
        <w:pStyle w:val="FirstParagraph"/>
      </w:pPr>
      <w:r>
        <w:t xml:space="preserve">训练剂量可以按总分钟、完成试次、难度水平或有效练习次数表示。这些指标各有局限。时间长可能因为任务困难或分心；试次多可能因为反应快；达到更高难度可能反映初始能力。研究应选择与机制相符的剂量指标，并同时记录质量。</w:t>
      </w:r>
    </w:p>
    <w:p>
      <w:pPr>
        <w:pStyle w:val="BodyText"/>
      </w:pPr>
      <w:r>
        <w:t xml:space="preserve">长期随访中的退出往往具有选择性。困难较大、健康恶化或效果不满意的人可能更容易缺测。只看完成者可能高估收益，也可能在其他条件下低估。研究应报告缺测模式，说明处理方法及其假设，并通过敏感性分析检验结论对合理缺测机制的稳定性。</w:t>
      </w:r>
    </w:p>
    <w:bookmarkEnd w:id="1486"/>
    <w:bookmarkStart w:id="1487" w:name="sec-85-14"/>
    <w:p>
      <w:pPr>
        <w:pStyle w:val="Heading3"/>
      </w:pPr>
      <w:r>
        <w:t xml:space="preserve">85.14　个体变化与平均变化</w:t>
      </w:r>
    </w:p>
    <w:p>
      <w:pPr>
        <w:pStyle w:val="FirstParagraph"/>
      </w:pPr>
      <w:r>
        <w:t xml:space="preserve">更稳健的个体预测需要在独立样本中验证，比较预测模型相对于简单基线增加了多少信息。训练前能力、年龄或动机可能预测训练成绩，却未必预测相对于对照的额外收益。后者需要检验特征与干预的交互，才能指导选择谁接受哪种训练。</w:t>
      </w:r>
    </w:p>
    <w:p>
      <w:pPr>
        <w:pStyle w:val="BodyText"/>
      </w:pPr>
      <w:r>
        <w:t xml:space="preserve">在实际教育中，可以设置具有直接意义的个体目标，例如更可靠地按步骤完成任务、更少遗漏作业要求或更好地使用外部提醒。目标变化应在多个相似场合观察，并记录支持条件。个体目标可以很有价值，其证据性质与一般智力变化不同。</w:t>
      </w:r>
    </w:p>
    <w:bookmarkEnd w:id="1487"/>
    <w:bookmarkStart w:id="1488" w:name="sec-85-15"/>
    <w:p>
      <w:pPr>
        <w:pStyle w:val="Heading3"/>
      </w:pPr>
      <w:r>
        <w:t xml:space="preserve">85.15　疾病风险结局的统计解释</w:t>
      </w:r>
    </w:p>
    <w:p>
      <w:pPr>
        <w:pStyle w:val="FirstParagraph"/>
      </w:pPr>
      <w:r>
        <w:t xml:space="preserve">长期疾病研究常报告风险比或危险比。风险比比较一段固定时间内的发生比例，危险比描述随访过程中的瞬时发生率关系；两者的解释都依赖模型和时间。一个危险比小于一，并不直接说明每个人的寿命延长或疾病被完全预防。</w:t>
      </w:r>
    </w:p>
    <w:p>
      <w:pPr>
        <w:pStyle w:val="BodyText"/>
      </w:pPr>
      <w:r>
        <w:t xml:space="preserve">绝对收益还取决于基线风险。假设一组十年风险为百分之二十，另一组为百分之十五，绝对差为五个百分点，相对风险减少为百分之二十五。若基线风险为百分之四，下降到百分之三，相同相对减少只对应一个百分点。这个教学例子提醒读者：相对数字需要与绝对发生和不确定性共同呈现。</w:t>
      </w:r>
    </w:p>
    <w:p>
      <w:pPr>
        <w:pStyle w:val="BodyText"/>
      </w:pPr>
      <w:r>
        <w:t xml:space="preserve">竞争事件也影响解释。长期老年研究中，死亡会阻止之后观察到某些疾病诊断，医疗使用机会又影响病例被记录的概率。索赔诊断、临床评估和生物标志物各有测量范围。训练研究若只获得其中一种结局，表述应停留在对应范围。</w:t>
      </w:r>
    </w:p>
    <w:bookmarkEnd w:id="1488"/>
    <w:bookmarkStart w:id="1489" w:name="sec-85-16"/>
    <w:p>
      <w:pPr>
        <w:pStyle w:val="Heading3"/>
      </w:pPr>
      <w:r>
        <w:t xml:space="preserve">85.16　从实验结果到公共服务</w:t>
      </w:r>
    </w:p>
    <w:p>
      <w:pPr>
        <w:pStyle w:val="FirstParagraph"/>
      </w:pPr>
      <w:r>
        <w:t xml:space="preserve">某项训练能在研究中心完成，尚需检验普通机构能否稳定实施。设备、教师或治疗师培训、反馈质量、可访问性、参与者负担和成本，都会影响实际收益。有效性试验关注受控条件下能否产生效果，实施研究关注真实环境中能否提供并保持效果，两类证据互相补充。</w:t>
      </w:r>
    </w:p>
    <w:p>
      <w:pPr>
        <w:pStyle w:val="BodyText"/>
      </w:pPr>
      <w:r>
        <w:t xml:space="preserve">辅助工具也可以改变功能。提醒、分步提示、日历、检查表与环境调整，可以减少记忆负荷并提升独立性。它们的价值通过实际功能衡量。只把内部能力变化视作成功，会忽略这些可实施的改进路径。</w:t>
      </w:r>
    </w:p>
    <w:bookmarkEnd w:id="1489"/>
    <w:bookmarkStart w:id="1490" w:name="sec-85-17"/>
    <w:p>
      <w:pPr>
        <w:pStyle w:val="Heading3"/>
      </w:pPr>
      <w:r>
        <w:t xml:space="preserve">85.17　迁移实验的综合练习</w:t>
      </w:r>
    </w:p>
    <w:p>
      <w:pPr>
        <w:pStyle w:val="FirstParagraph"/>
      </w:pPr>
      <w:r>
        <w:t xml:space="preserve">设研究随机分配一百二十名学生接受更新训练或同等时长的视觉搜索训练。两组都在各自训练任务进步，更新组在一个新数字更新任务优于对照，但阅读和数学没有明确差异。合理结论是该训练在指定近迁移任务上获得支持，一般学业收益仍未建立。样本是否足以排除具有实际意义的小效应，需要查看置信区间。</w:t>
      </w:r>
    </w:p>
    <w:p>
      <w:pPr>
        <w:pStyle w:val="BodyText"/>
      </w:pPr>
      <w:r>
        <w:t xml:space="preserve">若作者再从十个学业指标中挑出一个显著结果，应检查其是否预先指定以及多重比较处理。若该结果只出现在高依从者中，应检查选择偏差。若一年后优势仍在，应同时报告随访人数和缺测处理。每个补充分析都可能有价值，证据角色需要明确。</w:t>
      </w:r>
    </w:p>
    <w:p>
      <w:pPr>
        <w:pStyle w:val="BodyText"/>
      </w:pPr>
      <w:r>
        <w:t xml:space="preserve">进一步改进设计，可以增加多个过程不同的新任务、预先定义主要迁移指标，并测量现实学习行为。若理论预测只有共同更新过程产生迁移，应加入一个表面相似但不要求更新的对照任务。这样的对照能让机制解释接受更具体的检验。</w:t>
      </w:r>
    </w:p>
    <w:bookmarkEnd w:id="1490"/>
    <w:bookmarkStart w:id="1491" w:name="sec-85-18"/>
    <w:p>
      <w:pPr>
        <w:pStyle w:val="Heading3"/>
      </w:pPr>
      <w:r>
        <w:t xml:space="preserve">85.18　学习检验与结论</w:t>
      </w:r>
    </w:p>
    <w:p>
      <w:pPr>
        <w:pStyle w:val="FirstParagraph"/>
      </w:pPr>
      <w:r>
        <w:t xml:space="preserve">练习：训练组提高10分、对照提高8分，能否宣传提高10分？解答：前后进步可以如实报告，但干预额外效果应关注组间差异及不确定性，不能把全部进步归给训练。</w:t>
      </w:r>
    </w:p>
    <w:p>
      <w:pPr>
        <w:pStyle w:val="BodyText"/>
      </w:pPr>
      <w:r>
        <w:t xml:space="preserve">练习：一项老年速度训练减少特定诊断风险，是否意味着所有儿童脑游戏预防痴呆？解答：年龄、训练、剂量、时间与结局均不同，外推需要新的证据。</w:t>
      </w:r>
    </w:p>
    <w:p>
      <w:pPr>
        <w:pStyle w:val="BodyText"/>
      </w:pPr>
      <w:r>
        <w:t xml:space="preserve">练习：脑电改变与成绩改善相关，是否证明脑电改变是机制？解答：二者可能共享投入、疲劳或其他原因，需要更强的时间与干预证据。</w:t>
      </w:r>
    </w:p>
    <w:p>
      <w:pPr>
        <w:pStyle w:val="BodyText"/>
      </w:pPr>
      <w:r>
        <w:t xml:space="preserve">认知训练的科学价值来自精确说明训练了什么、改变了什么以及收益能够延伸多远。最可靠的评价始终包含独立任务、合适对照、保持和现实功能。</w:t>
      </w:r>
    </w:p>
    <w:bookmarkEnd w:id="1491"/>
    <w:bookmarkEnd w:id="1492"/>
    <w:bookmarkEnd w:id="1493"/>
    <w:bookmarkStart w:id="1579" w:name="part-8"/>
    <w:p>
      <w:pPr>
        <w:pStyle w:val="Heading1"/>
      </w:pPr>
      <w:r>
        <w:t xml:space="preserve">第八编　特定脑区、网络与功能</w:t>
      </w:r>
    </w:p>
    <w:p>
      <w:pPr>
        <w:pStyle w:val="PartIntro"/>
      </w:pPr>
      <w:r>
        <w:t xml:space="preserve">这一编逐一说明常被提及的脑结构和大尺度网络实际参与什么：杏仁核、边缘系统、前额叶、前扣带与岛叶、海马，以及后扣带、颞顶联合区、纹状体、丘脑、下丘脑、脑干、小脑、白质和几个常被神秘化的小结构，最后讲默认模式、突显与控制网络。贯穿全编的前提是：脑区与功能是多对多的关系，局部的功能偏好、组织梯度和必要性仍然存在，各部位不能互换。冥想研究中与这些结构有关的发现，集中放在</w:t>
      </w:r>
      <w:hyperlink w:anchor="part-10">
        <w:r>
          <w:rPr>
            <w:rStyle w:val="Hyperlink"/>
          </w:rPr>
          <w:t xml:space="preserve">第十编</w:t>
        </w:r>
      </w:hyperlink>
      <w:r>
        <w:t xml:space="preserve">的</w:t>
      </w:r>
      <w:hyperlink w:anchor="ch-110">
        <w:r>
          <w:rPr>
            <w:rStyle w:val="Hyperlink"/>
          </w:rPr>
          <w:t xml:space="preserve">第110章</w:t>
        </w:r>
      </w:hyperlink>
      <w:r>
        <w:t xml:space="preserve">和</w:t>
      </w:r>
      <w:hyperlink w:anchor="ch-111">
        <w:r>
          <w:rPr>
            <w:rStyle w:val="Hyperlink"/>
          </w:rPr>
          <w:t xml:space="preserve">第111章</w:t>
        </w:r>
      </w:hyperlink>
      <w:r>
        <w:t xml:space="preserve">。</w:t>
      </w:r>
    </w:p>
    <w:bookmarkStart w:id="1502" w:name="ch-86"/>
    <w:p>
      <w:pPr>
        <w:pStyle w:val="Heading2"/>
      </w:pPr>
      <w:r>
        <w:t xml:space="preserve">第86章　脑区导览：位置与读法</w:t>
      </w:r>
    </w:p>
    <w:p>
      <w:pPr>
        <w:pStyle w:val="FirstParagraph"/>
      </w:pPr>
      <w:r>
        <w:t xml:space="preserve">这一章先给出后面各章反复提到的脑结构的大致位置（</w:t>
      </w:r>
      <w:hyperlink w:anchor="fig-cortex">
        <w:r>
          <w:rPr>
            <w:rStyle w:val="Hyperlink"/>
          </w:rPr>
          <w:t xml:space="preserve">图 13</w:t>
        </w:r>
      </w:hyperlink>
      <w:r>
        <w:t xml:space="preserve">、</w:t>
      </w:r>
      <w:hyperlink w:anchor="fig-deep">
        <w:r>
          <w:rPr>
            <w:rStyle w:val="Hyperlink"/>
          </w:rPr>
          <w:t xml:space="preserve">图 14</w:t>
        </w:r>
      </w:hyperlink>
      <w:r>
        <w:t xml:space="preserve">），后面几章再逐一说明它们参与什么、常见说法错在哪里。读这些章节时请记住两个前提：一个脑区参与许多功能，一种心理活动也总是动用许多脑区（见</w:t>
      </w:r>
      <w:r>
        <w:t xml:space="preserve"> </w:t>
      </w:r>
      <w:hyperlink w:anchor="sec-55-1">
        <w:r>
          <w:rPr>
            <w:rStyle w:val="Hyperlink"/>
          </w:rPr>
          <w:t xml:space="preserve">55.1</w:t>
        </w:r>
      </w:hyperlink>
      <w:r>
        <w:t xml:space="preserve">）；结构与功能的变化都需要在设计良好的研究中被重复，才能当作事实（见</w:t>
      </w:r>
      <w:r>
        <w:t xml:space="preserve"> </w:t>
      </w:r>
      <w:hyperlink w:anchor="sec-55-3">
        <w:r>
          <w:rPr>
            <w:rStyle w:val="Hyperlink"/>
          </w:rPr>
          <w:t xml:space="preserve">55.3</w:t>
        </w:r>
      </w:hyperlink>
      <w:r>
        <w:t xml:space="preserve">）。</w:t>
      </w:r>
    </w:p>
    <w:p>
      <w:pPr>
        <w:pStyle w:val="Figure"/>
      </w:pPr>
      <w:r>
        <w:drawing>
          <wp:inline>
            <wp:extent cx="5334000" cy="5182065"/>
            <wp:effectExtent b="0" l="0" r="0" t="0"/>
            <wp:docPr descr="左半球大脑皮层的外侧面与内侧面示意图，用不同颜色标出背外侧前额叶、腹外侧前额叶、眶额皮层、前额极、岛叶、中央盖、颞顶联合区、运动与体感皮层、内侧前额叶、腹内侧前额叶、前扣带皮层、后扣带回、楔前叶和辅助运动区的大致位置。" title="" id="1495" name="Picture"/>
            <a:graphic>
              <a:graphicData uri="http://schemas.openxmlformats.org/drawingml/2006/picture">
                <pic:pic>
                  <pic:nvPicPr>
                    <pic:cNvPr descr="/tmp/claude-0/-home-user-i18ns/3184e246-229e-5a65-b6f3-3f7647a222c4/scratchpad/src/A_media/media/image1.png" id="1496" name="Picture"/>
                    <pic:cNvPicPr>
                      <a:picLocks noChangeArrowheads="1" noChangeAspect="1"/>
                    </pic:cNvPicPr>
                  </pic:nvPicPr>
                  <pic:blipFill>
                    <a:blip r:embed="rId1494"/>
                    <a:stretch>
                      <a:fillRect/>
                    </a:stretch>
                  </pic:blipFill>
                  <pic:spPr bwMode="auto">
                    <a:xfrm>
                      <a:off x="0" y="0"/>
                      <a:ext cx="5334000" cy="5182065"/>
                    </a:xfrm>
                    <a:prstGeom prst="rect">
                      <a:avLst/>
                    </a:prstGeom>
                    <a:noFill/>
                    <a:ln w="9525">
                      <a:noFill/>
                      <a:headEnd/>
                      <a:tailEnd/>
                    </a:ln>
                  </pic:spPr>
                </pic:pic>
              </a:graphicData>
            </a:graphic>
          </wp:inline>
        </w:drawing>
      </w:r>
    </w:p>
    <w:p>
      <w:pPr>
        <w:pStyle w:val="ImageCaption"/>
      </w:pPr>
      <w:bookmarkStart w:id="1497" w:name="fig-cortex"/>
      <w:bookmarkEnd w:id="1497"/>
      <w:r>
        <w:rPr>
          <w:bCs/>
          <w:b/>
        </w:rPr>
        <w:t xml:space="preserve">图 13　</w:t>
      </w:r>
      <w:r>
        <w:t xml:space="preserve">本书反复提到的大脑皮层区域（左半球）。A 为外侧面，B 为内侧面。着色取自 Harvard-Oxford 皮层图谱在概率阈值 25% 下的最大概率分区</w:t>
      </w:r>
      <w:r>
        <w:rPr>
          <w:vertAlign w:val="superscript"/>
        </w:rPr>
        <w:t xml:space="preserve">[</w:t>
      </w:r>
      <w:hyperlink w:anchor="ref-747">
        <w:r>
          <w:rPr>
            <w:rStyle w:val="Hyperlink"/>
            <w:vertAlign w:val="superscript"/>
          </w:rPr>
          <w:t xml:space="preserve">747</w:t>
        </w:r>
      </w:hyperlink>
      <w:r>
        <w:rPr>
          <w:vertAlign w:val="superscript"/>
        </w:rPr>
        <w:t xml:space="preserve">,</w:t>
      </w:r>
      <w:hyperlink w:anchor="ref-748">
        <w:r>
          <w:rPr>
            <w:rStyle w:val="Hyperlink"/>
            <w:vertAlign w:val="superscript"/>
          </w:rPr>
          <w:t xml:space="preserve">748</w:t>
        </w:r>
      </w:hyperlink>
      <w:r>
        <w:rPr>
          <w:vertAlign w:val="superscript"/>
        </w:rPr>
        <w:t xml:space="preserve">]</w:t>
      </w:r>
      <w:r>
        <w:t xml:space="preserve">，从体积投影到 FreeSurfer 的 fsaverage 平均皮层表面上</w:t>
      </w:r>
      <w:r>
        <w:rPr>
          <w:vertAlign w:val="superscript"/>
        </w:rPr>
        <w:t xml:space="preserve">[</w:t>
      </w:r>
      <w:hyperlink w:anchor="ref-749">
        <w:r>
          <w:rPr>
            <w:rStyle w:val="Hyperlink"/>
            <w:vertAlign w:val="superscript"/>
          </w:rPr>
          <w:t xml:space="preserve">749</w:t>
        </w:r>
      </w:hyperlink>
      <w:r>
        <w:rPr>
          <w:vertAlign w:val="superscript"/>
        </w:rPr>
        <w:t xml:space="preserve">]</w:t>
      </w:r>
      <w:r>
        <w:t xml:space="preserve">（fsaverage5 网格经两次细分，在软脑膜面与白质面之间取 10 个采样点，按出现最多的标签着色；底纹为脑沟深度，用 nilearn 0.14.1 绘制）：背外侧前额叶以额中回近似，腹外侧前额叶取额下回三角部与岛盖部，内侧前额叶取扣带旁回，腹内侧前额叶取额内侧皮层与胼胝体下皮层，颞顶联合区取缘上回后部与角回，运动与体感皮层取中央前回（运动）与中央后回（体感），内侧面的运动与体感代表区还延伸到旁中央小叶，辅助运动区取图谱中的邻接小叶皮层（旧称辅助运动皮层），中央盖是中央前回和中央后回下端覆盖外侧沟的部分，次级体感皮层主要位于它后方的顶盖。图谱的“额极”分区大于细胞构筑上的布罗德曼 10 区，它在内侧面的延伸部分，功能上常归入内侧前额叶；</w:t>
      </w:r>
      <w:hyperlink w:anchor="sec-89-2">
        <w:r>
          <w:rPr>
            <w:rStyle w:val="Hyperlink"/>
          </w:rPr>
          <w:t xml:space="preserve">89.2 节</w:t>
        </w:r>
      </w:hyperlink>
      <w:r>
        <w:t xml:space="preserve">讨论的关系整合和</w:t>
      </w:r>
      <w:r>
        <w:t xml:space="preserve"> </w:t>
      </w:r>
      <w:hyperlink w:anchor="sec-110-2">
        <w:r>
          <w:rPr>
            <w:rStyle w:val="Hyperlink"/>
          </w:rPr>
          <w:t xml:space="preserve">110.2 节</w:t>
        </w:r>
      </w:hyperlink>
      <w:r>
        <w:t xml:space="preserve">讨论的元认知主要涉及外侧的前额极。功能研究中的背外侧前额叶和背内侧前额叶，还分别包括额上回的外侧部和内侧面，这两处图中没有着色。岛叶大部分藏在外侧沟内，图中只露出边缘；体积投影到表面时，脑沟两侧会有少量串色。这些功能名称没有公认的统一边界，着色只表示图谱脑回在标准模板上的近似范围，功能分区与脑回边界只部分重合，个体之间也有差异，与具体研究报告的激活范围不同；表面网格的两次细分让绘图更平滑。原始图谱的空间精度没有因此提高。右半球的布局与左半球大体对称。这是示意图。毫米级的定位和脑区大小的比较，需要原始图谱和个体影像。</w:t>
      </w:r>
    </w:p>
    <w:p>
      <w:pPr>
        <w:pStyle w:val="Figure"/>
      </w:pPr>
      <w:r>
        <w:drawing>
          <wp:inline>
            <wp:extent cx="5334000" cy="5811752"/>
            <wp:effectExtent b="0" l="0" r="0" t="0"/>
            <wp:docPr descr="两张脑切面示意图。上图为冠状切面，标出岛叶、屏状核、壳核、苍白球、尾状核、丘脑、杏仁核和海马；下图为靠近中线的矢状切面，标出胼胝体、丘脑、尾状核、伏隔核、下丘脑、脑干和小脑。" title="" id="1499" name="Picture"/>
            <a:graphic>
              <a:graphicData uri="http://schemas.openxmlformats.org/drawingml/2006/picture">
                <pic:pic>
                  <pic:nvPicPr>
                    <pic:cNvPr descr="/tmp/claude-0/-home-user-i18ns/3184e246-229e-5a65-b6f3-3f7647a222c4/scratchpad/src/A_media/media/image2.png" id="1500" name="Picture"/>
                    <pic:cNvPicPr>
                      <a:picLocks noChangeArrowheads="1" noChangeAspect="1"/>
                    </pic:cNvPicPr>
                  </pic:nvPicPr>
                  <pic:blipFill>
                    <a:blip r:embed="rId1498"/>
                    <a:stretch>
                      <a:fillRect/>
                    </a:stretch>
                  </pic:blipFill>
                  <pic:spPr bwMode="auto">
                    <a:xfrm>
                      <a:off x="0" y="0"/>
                      <a:ext cx="5334000" cy="5811752"/>
                    </a:xfrm>
                    <a:prstGeom prst="rect">
                      <a:avLst/>
                    </a:prstGeom>
                    <a:noFill/>
                    <a:ln w="9525">
                      <a:noFill/>
                      <a:headEnd/>
                      <a:tailEnd/>
                    </a:ln>
                  </pic:spPr>
                </pic:pic>
              </a:graphicData>
            </a:graphic>
          </wp:inline>
        </w:drawing>
      </w:r>
    </w:p>
    <w:p>
      <w:pPr>
        <w:pStyle w:val="ImageCaption"/>
      </w:pPr>
      <w:bookmarkStart w:id="1501" w:name="fig-deep"/>
      <w:bookmarkEnd w:id="1501"/>
      <w:r>
        <w:rPr>
          <w:bCs/>
          <w:b/>
        </w:rPr>
        <w:t xml:space="preserve">图 14　</w:t>
      </w:r>
      <w:r>
        <w:t xml:space="preserve">本书提到的深部结构。A 为经过 MNI 坐标 y = −8 毫米的冠状切面，经过杏仁核后部与海马前端；B 为 x = −7 毫米处的左半球旁正中矢状切面，所有着色都取自这一层面。底图为 MNI ICBM152 2009a 对称模板</w:t>
      </w:r>
      <w:r>
        <w:rPr>
          <w:vertAlign w:val="superscript"/>
        </w:rPr>
        <w:t xml:space="preserve">[</w:t>
      </w:r>
      <w:hyperlink w:anchor="ref-750">
        <w:r>
          <w:rPr>
            <w:rStyle w:val="Hyperlink"/>
            <w:vertAlign w:val="superscript"/>
          </w:rPr>
          <w:t xml:space="preserve">750</w:t>
        </w:r>
      </w:hyperlink>
      <w:r>
        <w:rPr>
          <w:vertAlign w:val="superscript"/>
        </w:rPr>
        <w:t xml:space="preserve">]</w:t>
      </w:r>
      <w:r>
        <w:t xml:space="preserve">，着色为 Harvard-Oxford 皮层与皮层下图谱在概率阈值 25% 下的最大概率分区</w:t>
      </w:r>
      <w:r>
        <w:rPr>
          <w:vertAlign w:val="superscript"/>
        </w:rPr>
        <w:t xml:space="preserve">[</w:t>
      </w:r>
      <w:hyperlink w:anchor="ref-747">
        <w:r>
          <w:rPr>
            <w:rStyle w:val="Hyperlink"/>
            <w:vertAlign w:val="superscript"/>
          </w:rPr>
          <w:t xml:space="preserve">747</w:t>
        </w:r>
      </w:hyperlink>
      <w:r>
        <w:rPr>
          <w:vertAlign w:val="superscript"/>
        </w:rPr>
        <w:t xml:space="preserve">,</w:t>
      </w:r>
      <w:hyperlink w:anchor="ref-751">
        <w:r>
          <w:rPr>
            <w:rStyle w:val="Hyperlink"/>
            <w:vertAlign w:val="superscript"/>
          </w:rPr>
          <w:t xml:space="preserve">751</w:t>
        </w:r>
      </w:hyperlink>
      <w:r>
        <w:rPr>
          <w:vertAlign w:val="superscript"/>
        </w:rPr>
        <w:t xml:space="preserve">]</w:t>
      </w:r>
      <w:r>
        <w:t xml:space="preserve">，以最近邻插值重采样到模板的 1 毫米网格；A 图的左侧对应大脑的左侧。屏状核、胼胝体、小脑和下丘脑没有着色：屏状核位于 A 图中岛叶与壳核之间的狭窄未着色带内，下丘脑只标出大致位置。单个切面只显示结构的一个截面，杏仁核与海马的完整长度、尾状核与伏隔核的完整形状，需要多个层面才能看清。腹侧被盖区、蓝斑和中缝核都位于脑干内，体积太小，图中没有单独标出；松果体位于中线，不在 B 图这一层面上。底图是左右对称的标准模板。每个人的脑并不完全左右对称；文字标注指示结构的大致位置。图中没有画出核团的真实轮廓。这是示意图。毫米级的定位和结构大小的比较，需要原始图谱和个体影像。</w:t>
      </w:r>
    </w:p>
    <w:bookmarkEnd w:id="1502"/>
    <w:bookmarkStart w:id="1519" w:name="ch-87"/>
    <w:p>
      <w:pPr>
        <w:pStyle w:val="Heading2"/>
      </w:pPr>
      <w:r>
        <w:t xml:space="preserve">第87章　杏仁核与威胁加工</w:t>
      </w:r>
    </w:p>
    <w:bookmarkStart w:id="1503" w:name="sec-87-1"/>
    <w:p>
      <w:pPr>
        <w:pStyle w:val="Heading3"/>
      </w:pPr>
      <w:r>
        <w:t xml:space="preserve">87.1　杏仁核做什么：概览</w:t>
      </w:r>
    </w:p>
    <w:p>
      <w:pPr>
        <w:pStyle w:val="FirstParagraph"/>
      </w:pPr>
      <w:r>
        <w:t xml:space="preserve">杏仁核是左右颞叶内侧各一个的杏仁形核团群，由十多个亚核组成。它最出名的作用与威胁有关：在动物实验中，杏仁核的外侧核和中央核是习得性恐惧（巴甫洛夫式恐惧条件化）的关键环节：基底外侧核群接收感觉与皮层信息、完成联想学习，中央核把信号送往下丘脑和脑干，驱动自主神经反应和僵住</w:t>
      </w:r>
      <w:r>
        <w:rPr>
          <w:vertAlign w:val="superscript"/>
        </w:rPr>
        <w:t xml:space="preserve">[</w:t>
      </w:r>
      <w:hyperlink w:anchor="ref-752">
        <w:r>
          <w:rPr>
            <w:rStyle w:val="Hyperlink"/>
            <w:vertAlign w:val="superscript"/>
          </w:rPr>
          <w:t xml:space="preserve">752</w:t>
        </w:r>
      </w:hyperlink>
      <w:r>
        <w:rPr>
          <w:vertAlign w:val="superscript"/>
        </w:rPr>
        <w:t xml:space="preserve">]</w:t>
      </w:r>
      <w:r>
        <w:t xml:space="preserve">；一位双侧杏仁核受损的病人学不会条件化的身体反应，却能记住条件化的规则本身</w:t>
      </w:r>
      <w:r>
        <w:rPr>
          <w:vertAlign w:val="superscript"/>
        </w:rPr>
        <w:t xml:space="preserve">[</w:t>
      </w:r>
      <w:hyperlink w:anchor="ref-753">
        <w:r>
          <w:rPr>
            <w:rStyle w:val="Hyperlink"/>
            <w:vertAlign w:val="superscript"/>
          </w:rPr>
          <w:t xml:space="preserve">753</w:t>
        </w:r>
      </w:hyperlink>
      <w:r>
        <w:rPr>
          <w:vertAlign w:val="superscript"/>
        </w:rPr>
        <w:t xml:space="preserve">]</w:t>
      </w:r>
      <w:r>
        <w:t xml:space="preserve">。它的功能范围比“恐惧”宽得多。猴子的单个杏仁核神经元会分别编码刺激的正价值和负价值，并随学习迅速更新</w:t>
      </w:r>
      <w:r>
        <w:rPr>
          <w:vertAlign w:val="superscript"/>
        </w:rPr>
        <w:t xml:space="preserve">[</w:t>
      </w:r>
      <w:hyperlink w:anchor="ref-754">
        <w:r>
          <w:rPr>
            <w:rStyle w:val="Hyperlink"/>
            <w:vertAlign w:val="superscript"/>
          </w:rPr>
          <w:t xml:space="preserve">754</w:t>
        </w:r>
      </w:hyperlink>
      <w:r>
        <w:rPr>
          <w:vertAlign w:val="superscript"/>
        </w:rPr>
        <w:t xml:space="preserve">]</w:t>
      </w:r>
      <w:r>
        <w:t xml:space="preserve">；杏仁核也参与奖赏学习</w:t>
      </w:r>
      <w:r>
        <w:rPr>
          <w:vertAlign w:val="superscript"/>
        </w:rPr>
        <w:t xml:space="preserve">[</w:t>
      </w:r>
      <w:hyperlink w:anchor="ref-752">
        <w:r>
          <w:rPr>
            <w:rStyle w:val="Hyperlink"/>
            <w:vertAlign w:val="superscript"/>
          </w:rPr>
          <w:t xml:space="preserve">752</w:t>
        </w:r>
      </w:hyperlink>
      <w:r>
        <w:rPr>
          <w:vertAlign w:val="superscript"/>
        </w:rPr>
        <w:t xml:space="preserve">]</w:t>
      </w:r>
      <w:r>
        <w:t xml:space="preserve">，以及面孔与目光信息的加工和人际距离的调节：后文提到的病人 S.M. 看面孔时很少注视眼睛区域，辨认恐惧表情因此受损</w:t>
      </w:r>
      <w:r>
        <w:rPr>
          <w:vertAlign w:val="superscript"/>
        </w:rPr>
        <w:t xml:space="preserve">[</w:t>
      </w:r>
      <w:hyperlink w:anchor="ref-755">
        <w:r>
          <w:rPr>
            <w:rStyle w:val="Hyperlink"/>
            <w:vertAlign w:val="superscript"/>
          </w:rPr>
          <w:t xml:space="preserve">755</w:t>
        </w:r>
      </w:hyperlink>
      <w:r>
        <w:rPr>
          <w:vertAlign w:val="superscript"/>
        </w:rPr>
        <w:t xml:space="preserve">]</w:t>
      </w:r>
      <w:r>
        <w:t xml:space="preserve">，她也几乎没有个人空间感</w:t>
      </w:r>
      <w:r>
        <w:rPr>
          <w:vertAlign w:val="superscript"/>
        </w:rPr>
        <w:t xml:space="preserve">[</w:t>
      </w:r>
      <w:hyperlink w:anchor="ref-756">
        <w:r>
          <w:rPr>
            <w:rStyle w:val="Hyperlink"/>
            <w:vertAlign w:val="superscript"/>
          </w:rPr>
          <w:t xml:space="preserve">756</w:t>
        </w:r>
      </w:hyperlink>
      <w:r>
        <w:rPr>
          <w:vertAlign w:val="superscript"/>
        </w:rPr>
        <w:t xml:space="preserve">]</w:t>
      </w:r>
      <w:r>
        <w:t xml:space="preserve">。一种有影响的功能框架把它描述为探测“这件事与我有关、需要注意”的相关性与学习系统</w:t>
      </w:r>
      <w:r>
        <w:rPr>
          <w:vertAlign w:val="superscript"/>
        </w:rPr>
        <w:t xml:space="preserve">[</w:t>
      </w:r>
      <w:hyperlink w:anchor="ref-757">
        <w:r>
          <w:rPr>
            <w:rStyle w:val="Hyperlink"/>
            <w:vertAlign w:val="superscript"/>
          </w:rPr>
          <w:t xml:space="preserve">757</w:t>
        </w:r>
      </w:hyperlink>
      <w:r>
        <w:rPr>
          <w:vertAlign w:val="superscript"/>
        </w:rPr>
        <w:t xml:space="preserve">]</w:t>
      </w:r>
      <w:r>
        <w:t xml:space="preserve">。</w:t>
      </w:r>
    </w:p>
    <w:p>
      <w:pPr>
        <w:pStyle w:val="BodyText"/>
      </w:pPr>
      <w:r>
        <w:t xml:space="preserve">“恐惧中枢”这个称呼有一个著名的反例。患者 S.M. 因罕见遗传病类脂蛋白沉积症（Urbach–Wiethe 病）导致双侧杏仁核损毁，研究者带她接触蛇和蜘蛛、参观鬼屋、观看恐怖片，并用三个月的日常经验取样追踪她的感受，她几乎从不表现或报告恐惧，其他基本情绪则正常</w:t>
      </w:r>
      <w:r>
        <w:rPr>
          <w:vertAlign w:val="superscript"/>
        </w:rPr>
        <w:t xml:space="preserve">[</w:t>
      </w:r>
      <w:hyperlink w:anchor="ref-758">
        <w:r>
          <w:rPr>
            <w:rStyle w:val="Hyperlink"/>
            <w:vertAlign w:val="superscript"/>
          </w:rPr>
          <w:t xml:space="preserve">758</w:t>
        </w:r>
      </w:hyperlink>
      <w:r>
        <w:rPr>
          <w:vertAlign w:val="superscript"/>
        </w:rPr>
        <w:t xml:space="preserve">]</w:t>
      </w:r>
      <w:r>
        <w:t xml:space="preserve">。可当研究者让她和另外两位同类病人吸入 35% 的二氧化碳时，三人都出现了恐惧和惊恐发作，同样条件下 12 名健康女性中只有 3 人出现惊恐</w:t>
      </w:r>
      <w:r>
        <w:rPr>
          <w:vertAlign w:val="superscript"/>
        </w:rPr>
        <w:t xml:space="preserve">[</w:t>
      </w:r>
      <w:hyperlink w:anchor="ref-759">
        <w:r>
          <w:rPr>
            <w:rStyle w:val="Hyperlink"/>
            <w:vertAlign w:val="superscript"/>
          </w:rPr>
          <w:t xml:space="preserve">759</w:t>
        </w:r>
      </w:hyperlink>
      <w:r>
        <w:rPr>
          <w:vertAlign w:val="superscript"/>
        </w:rPr>
        <w:t xml:space="preserve">]</w:t>
      </w:r>
      <w:r>
        <w:t xml:space="preserve">。至少有一类强烈恐惧，也就是来自身体内部的窒息信号，可以在没有杏仁核的情况下产生。病灶病例的推论也有边界：损伤发生的时间、残留组织和长期代偿都可能影响结果，由此推不出杏仁核在健康人的恐惧中没有贡献。勒杜（Joseph LeDoux）提出了一种有影响的理论主张，区分两件事：杏仁核参与的防御生存回路，负责快速、自动的身体反应；有意识的恐惧体验，需要皮层系统对这些信号做出解释</w:t>
      </w:r>
      <w:r>
        <w:rPr>
          <w:vertAlign w:val="superscript"/>
        </w:rPr>
        <w:t xml:space="preserve">[</w:t>
      </w:r>
      <w:hyperlink w:anchor="ref-696">
        <w:r>
          <w:rPr>
            <w:rStyle w:val="Hyperlink"/>
            <w:vertAlign w:val="superscript"/>
          </w:rPr>
          <w:t xml:space="preserve">696</w:t>
        </w:r>
      </w:hyperlink>
      <w:r>
        <w:rPr>
          <w:vertAlign w:val="superscript"/>
        </w:rPr>
        <w:t xml:space="preserve">]</w:t>
      </w:r>
      <w:r>
        <w:t xml:space="preserve">。他本人在 2015 年的一篇文章中写道，并不存在一个产生恐惧感受的“恐惧中枢”</w:t>
      </w:r>
      <w:r>
        <w:rPr>
          <w:vertAlign w:val="superscript"/>
        </w:rPr>
        <w:t xml:space="preserve">[</w:t>
      </w:r>
      <w:hyperlink w:anchor="ref-760">
        <w:r>
          <w:rPr>
            <w:rStyle w:val="Hyperlink"/>
            <w:vertAlign w:val="superscript"/>
          </w:rPr>
          <w:t xml:space="preserve">760</w:t>
        </w:r>
      </w:hyperlink>
      <w:r>
        <w:rPr>
          <w:vertAlign w:val="superscript"/>
        </w:rPr>
        <w:t xml:space="preserve">]</w:t>
      </w:r>
      <w:r>
        <w:t xml:space="preserve">。</w:t>
      </w:r>
    </w:p>
    <w:p>
      <w:pPr>
        <w:pStyle w:val="CalloutJudgment"/>
      </w:pPr>
      <w:r>
        <w:rPr>
          <w:bCs/>
          <w:b/>
        </w:rPr>
        <w:t xml:space="preserve">判断　</w:t>
      </w:r>
      <w:r>
        <w:t xml:space="preserve">“杏仁核是恐惧中枢”</w:t>
      </w:r>
      <w:r>
        <w:rPr>
          <w:bCs/>
          <w:b/>
        </w:rPr>
        <w:t xml:space="preserve">过度简化·高</w:t>
      </w:r>
      <w:r>
        <w:t xml:space="preserve">：它对条件化的恐惧学习很关键，也参与奖赏、新奇刺激、面孔与社会信息的加工；双侧杏仁核损毁的人吸入二氧化碳后仍会惊恐发作。“杏仁核劫持”这一流行说法的来龙去脉见</w:t>
      </w:r>
      <w:hyperlink w:anchor="ch-76">
        <w:r>
          <w:rPr>
            <w:rStyle w:val="Hyperlink"/>
          </w:rPr>
          <w:t xml:space="preserve">第76章</w:t>
        </w:r>
      </w:hyperlink>
      <w:r>
        <w:t xml:space="preserve">。</w:t>
      </w:r>
    </w:p>
    <w:bookmarkEnd w:id="1503"/>
    <w:bookmarkStart w:id="1504" w:name="sec-87-2"/>
    <w:p>
      <w:pPr>
        <w:pStyle w:val="Heading3"/>
      </w:pPr>
      <w:r>
        <w:t xml:space="preserve">87.2　杏仁核名称下包含多个功能不同的部分</w:t>
      </w:r>
    </w:p>
    <w:p>
      <w:pPr>
        <w:pStyle w:val="FirstParagraph"/>
      </w:pPr>
      <w:r>
        <w:t xml:space="preserve">杏仁核由多个核团构成，细胞类型、连接和任务参与均有差异。把它称为恐惧开关，会同时掩盖内部组织与脑外联系。较可靠的结论是，它对某些威胁学习和价值相关加工具有重要贡献；一切恐惧都必须经过同一个开关的强主张不成立。前一判断与后一限制的置信度都高</w:t>
      </w:r>
      <w:r>
        <w:rPr>
          <w:vertAlign w:val="superscript"/>
        </w:rPr>
        <w:t xml:space="preserve">[</w:t>
      </w:r>
      <w:hyperlink w:anchor="ref-695">
        <w:r>
          <w:rPr>
            <w:rStyle w:val="Hyperlink"/>
            <w:vertAlign w:val="superscript"/>
          </w:rPr>
          <w:t xml:space="preserve">695</w:t>
        </w:r>
      </w:hyperlink>
      <w:r>
        <w:rPr>
          <w:vertAlign w:val="superscript"/>
        </w:rPr>
        <w:t xml:space="preserve">,</w:t>
      </w:r>
      <w:hyperlink w:anchor="ref-759">
        <w:r>
          <w:rPr>
            <w:rStyle w:val="Hyperlink"/>
            <w:vertAlign w:val="superscript"/>
          </w:rPr>
          <w:t xml:space="preserve">759</w:t>
        </w:r>
      </w:hyperlink>
      <w:r>
        <w:rPr>
          <w:vertAlign w:val="superscript"/>
        </w:rPr>
        <w:t xml:space="preserve">,</w:t>
      </w:r>
      <w:hyperlink w:anchor="ref-761">
        <w:r>
          <w:rPr>
            <w:rStyle w:val="Hyperlink"/>
            <w:vertAlign w:val="superscript"/>
          </w:rPr>
          <w:t xml:space="preserve">761</w:t>
        </w:r>
      </w:hyperlink>
      <w:r>
        <w:rPr>
          <w:vertAlign w:val="superscript"/>
        </w:rPr>
        <w:t xml:space="preserve">]</w:t>
      </w:r>
      <w:r>
        <w:t xml:space="preserve">。</w:t>
      </w:r>
    </w:p>
    <w:p>
      <w:pPr>
        <w:pStyle w:val="BodyText"/>
      </w:pPr>
      <w:r>
        <w:t xml:space="preserve">在基本回路描述中，外侧和基底相关部分常被讨论为整合感觉、情境与价值信息的重要节点，中央相关部分通过与其他结构的联系参与防御和自主反应。这样的分工仍是粗略概括。一个核团内部可以存在投射不同、响应不同的细胞群，具体实验必须说明操纵位置与细胞对象</w:t>
      </w:r>
      <w:r>
        <w:rPr>
          <w:vertAlign w:val="superscript"/>
        </w:rPr>
        <w:t xml:space="preserve">[</w:t>
      </w:r>
      <w:hyperlink w:anchor="ref-695">
        <w:r>
          <w:rPr>
            <w:rStyle w:val="Hyperlink"/>
            <w:vertAlign w:val="superscript"/>
          </w:rPr>
          <w:t xml:space="preserve">695</w:t>
        </w:r>
      </w:hyperlink>
      <w:r>
        <w:rPr>
          <w:vertAlign w:val="superscript"/>
        </w:rPr>
        <w:t xml:space="preserve">]</w:t>
      </w:r>
      <w:r>
        <w:t xml:space="preserve">。</w:t>
      </w:r>
    </w:p>
    <w:p>
      <w:pPr>
        <w:pStyle w:val="BodyText"/>
      </w:pPr>
      <w:r>
        <w:t xml:space="preserve">输入路径同样多样。视觉、听觉、内感受和记忆相关信息能够以不同路径影响威胁评估。信息到达较快，不自动意味着它完整、准确或无需其他区域参与；经过皮层也不自动意味着有意识或经过审慎推理。传导路径与心理加工属性之间，需要独立的功能证据。</w:t>
      </w:r>
    </w:p>
    <w:bookmarkEnd w:id="1504"/>
    <w:bookmarkStart w:id="1505" w:name="sec-87-3"/>
    <w:p>
      <w:pPr>
        <w:pStyle w:val="Heading3"/>
      </w:pPr>
      <w:r>
        <w:t xml:space="preserve">87.3　条件学习把线索关系变成可操纵问题</w:t>
      </w:r>
    </w:p>
    <w:p>
      <w:pPr>
        <w:pStyle w:val="FirstParagraph"/>
      </w:pPr>
      <w:r>
        <w:t xml:space="preserve">威胁条件学习常把原先相对中性的线索与令人不适的事件配对，再观察线索单独出现时的反应。研究可以测量冻结、皮肤电、惊跳、回避或主观预期。不同指标代表不同输出，不能预设它们永远同步。对动物而言，研究者尤其需要区分可观察的防御反应与无法直接报告的主观体验</w:t>
      </w:r>
      <w:r>
        <w:rPr>
          <w:vertAlign w:val="superscript"/>
        </w:rPr>
        <w:t xml:space="preserve">[</w:t>
      </w:r>
      <w:hyperlink w:anchor="ref-761">
        <w:r>
          <w:rPr>
            <w:rStyle w:val="Hyperlink"/>
            <w:vertAlign w:val="superscript"/>
          </w:rPr>
          <w:t xml:space="preserve">761</w:t>
        </w:r>
      </w:hyperlink>
      <w:r>
        <w:rPr>
          <w:vertAlign w:val="superscript"/>
        </w:rPr>
        <w:t xml:space="preserve">]</w:t>
      </w:r>
      <w:r>
        <w:t xml:space="preserve">。</w:t>
      </w:r>
    </w:p>
    <w:p>
      <w:pPr>
        <w:pStyle w:val="BodyText"/>
      </w:pPr>
      <w:r>
        <w:t xml:space="preserve">若线索与不适事件同时出现，动物可能只是对不适事件反应。要支持学习，需要观察之后线索单独出现的变化，并设置适当对照。若所有刺激都引起相似反应，可能反映一般敏化；若与不适事件配对的线索具有更强作用，才更支持关系学习。实验中的时间安排直接决定能够排除哪些解释。</w:t>
      </w:r>
    </w:p>
    <w:p>
      <w:pPr>
        <w:pStyle w:val="BodyText"/>
      </w:pPr>
      <w:r>
        <w:t xml:space="preserve">获得、表达和消退也需要分开。某结构在学习发生时受干扰，可能影响形成关系；在测试时受干扰，则可能影响表达或执行。消退通常通过反复呈现线索而不再给出原结果进行研究。行为减少可以反映新的情境关系学习，不能仅凭减少便认定旧关系已彻底消失。</w:t>
      </w:r>
    </w:p>
    <w:p>
      <w:pPr>
        <w:pStyle w:val="BodyText"/>
      </w:pPr>
      <w:r>
        <w:t xml:space="preserve">这些区分对于临床理解有意义，但动物任务不能直接等同于某位患者的创伤病程。真实经历包含复杂背景、语言意义、社会关系和长期记忆。基础实验提供机制约束，临床疗效仍需要直接人体研究。</w:t>
      </w:r>
    </w:p>
    <w:bookmarkEnd w:id="1505"/>
    <w:bookmarkStart w:id="1506" w:name="sec-87-4"/>
    <w:p>
      <w:pPr>
        <w:pStyle w:val="Heading3"/>
      </w:pPr>
      <w:r>
        <w:t xml:space="preserve">87.4　必要性和充分性要对同一个结局定义</w:t>
      </w:r>
    </w:p>
    <w:p>
      <w:pPr>
        <w:pStyle w:val="FirstParagraph"/>
      </w:pPr>
      <w:r>
        <w:t xml:space="preserve">若某结构对一种行为必要，移除或阻断相关功能应使该行为在规定条件下受损。若某结构活动足以产生行为，适当激活应在规定背景下引出该行为。两种结论都依赖具体条件。一个结构对学习期必要，不必在所有记忆表达时同等必要；某种刺激能引出防御动作，也不能直接证明完整恐惧体验。</w:t>
      </w:r>
    </w:p>
    <w:p>
      <w:pPr>
        <w:pStyle w:val="BodyText"/>
      </w:pPr>
      <w:r>
        <w:t xml:space="preserve">病损研究还会遇到完整性与补偿问题。局部损伤可能留下部分细胞或通路，长期损伤也可能允许其他结构适应。临时干预减少补偿时间，但药物扩散、刺激副作用或非特异感觉影响又增加其他问题。多种方法得出相容结果，能够比单一方法提供更强约束。</w:t>
      </w:r>
    </w:p>
    <w:p>
      <w:pPr>
        <w:pStyle w:val="BodyText"/>
      </w:pPr>
      <w:r>
        <w:t xml:space="preserve">一个原创假设设计可以说明这个要求。若刺激某细胞群使动物停止行动，研究者需要区分冻结、防御回避、运动受抑和注意变化。加入中性运动任务、奖励任务和身体状态测量，可以判断变化是否特异。把任何不动都称为恐惧，会让解释失去判别力。</w:t>
      </w:r>
    </w:p>
    <w:bookmarkEnd w:id="1506"/>
    <w:bookmarkStart w:id="1507" w:name="sec-87-5"/>
    <w:p>
      <w:pPr>
        <w:pStyle w:val="Heading3"/>
      </w:pPr>
      <w:r>
        <w:t xml:space="preserve">87.5　内部身体信号提供重要反例</w:t>
      </w:r>
    </w:p>
    <w:p>
      <w:pPr>
        <w:pStyle w:val="FirstParagraph"/>
      </w:pPr>
      <w:r>
        <w:t xml:space="preserve">双侧杏仁核损伤者吸入 35% 二氧化碳后出现恐惧和惊恐的研究，已在</w:t>
      </w:r>
      <w:r>
        <w:t xml:space="preserve"> </w:t>
      </w:r>
      <w:hyperlink w:anchor="sec-87-1">
        <w:r>
          <w:rPr>
            <w:rStyle w:val="Hyperlink"/>
          </w:rPr>
          <w:t xml:space="preserve">87.1</w:t>
        </w:r>
      </w:hyperlink>
      <w:r>
        <w:t xml:space="preserve">介绍</w:t>
      </w:r>
      <w:r>
        <w:rPr>
          <w:vertAlign w:val="superscript"/>
        </w:rPr>
        <w:t xml:space="preserve">[</w:t>
      </w:r>
      <w:hyperlink w:anchor="ref-759">
        <w:r>
          <w:rPr>
            <w:rStyle w:val="Hyperlink"/>
            <w:vertAlign w:val="superscript"/>
          </w:rPr>
          <w:t xml:space="preserve">759</w:t>
        </w:r>
      </w:hyperlink>
      <w:r>
        <w:rPr>
          <w:vertAlign w:val="superscript"/>
        </w:rPr>
        <w:t xml:space="preserve">]</w:t>
      </w:r>
      <w:r>
        <w:t xml:space="preserve">。该研究的三名患者都是长期病损者，样本罕见且很小，据此估计不了普通人中每条通路的贡献（病损推论的其他边界见</w:t>
      </w:r>
      <w:r>
        <w:t xml:space="preserve"> </w:t>
      </w:r>
      <w:hyperlink w:anchor="sec-87-1">
        <w:r>
          <w:rPr>
            <w:rStyle w:val="Hyperlink"/>
          </w:rPr>
          <w:t xml:space="preserve">87.1</w:t>
        </w:r>
      </w:hyperlink>
      <w:r>
        <w:t xml:space="preserve">、</w:t>
      </w:r>
      <w:hyperlink w:anchor="sec-87-4">
        <w:r>
          <w:rPr>
            <w:rStyle w:val="Hyperlink"/>
          </w:rPr>
          <w:t xml:space="preserve">87.4</w:t>
        </w:r>
      </w:hyperlink>
      <w:r>
        <w:t xml:space="preserve">）。</w:t>
      </w:r>
    </w:p>
    <w:p>
      <w:pPr>
        <w:pStyle w:val="BodyText"/>
      </w:pPr>
      <w:r>
        <w:t xml:space="preserve">反例的作用是限定普遍命题。如果原主张是任何恐惧都不可能在杏仁核严重损伤后出现，一组可靠例外便足以要求修正。若原主张只是某些外部威胁学习依赖杏仁核，上述内部诱发实验并没有直接否定它。判断研究“推翻了什么”时，必须把原命题的量词和条件写清楚。</w:t>
      </w:r>
    </w:p>
    <w:p>
      <w:pPr>
        <w:pStyle w:val="BodyText"/>
      </w:pPr>
      <w:r>
        <w:t xml:space="preserve">后续心肺相关内感受诱发研究也为通路差异提供资料，但它们同样来自少量特殊病例。可以保留多路径模型，同时避免把另一脑区重新命名为唯一恐惧中心。一个反例排除了某种过强解释，却不会自动完成全部机制定位</w:t>
      </w:r>
      <w:r>
        <w:rPr>
          <w:vertAlign w:val="superscript"/>
        </w:rPr>
        <w:t xml:space="preserve">[</w:t>
      </w:r>
      <w:hyperlink w:anchor="ref-762">
        <w:r>
          <w:rPr>
            <w:rStyle w:val="Hyperlink"/>
            <w:vertAlign w:val="superscript"/>
          </w:rPr>
          <w:t xml:space="preserve">762</w:t>
        </w:r>
      </w:hyperlink>
      <w:r>
        <w:rPr>
          <w:vertAlign w:val="superscript"/>
        </w:rPr>
        <w:t xml:space="preserve">]</w:t>
      </w:r>
      <w:r>
        <w:t xml:space="preserve">。</w:t>
      </w:r>
    </w:p>
    <w:bookmarkEnd w:id="1507"/>
    <w:bookmarkStart w:id="1508" w:name="sec-87-6"/>
    <w:p>
      <w:pPr>
        <w:pStyle w:val="Heading3"/>
      </w:pPr>
      <w:r>
        <w:t xml:space="preserve">87.6　情绪特异性与重要性加工</w:t>
      </w:r>
    </w:p>
    <w:p>
      <w:pPr>
        <w:pStyle w:val="FirstParagraph"/>
      </w:pPr>
      <w:r>
        <w:t xml:space="preserve">杏仁核活动可以与多种具有行为意义的刺激联系。研究中需要比较威胁、奖励、新奇、歧义和注意等条件。若某信号在多类重要事件中出现，它可能反映其中共享的计算或不同细胞群的混合。单个宏观区域信号无法独自决定哪一种解释正确</w:t>
      </w:r>
      <w:r>
        <w:rPr>
          <w:vertAlign w:val="superscript"/>
        </w:rPr>
        <w:t xml:space="preserve">[</w:t>
      </w:r>
      <w:hyperlink w:anchor="ref-695">
        <w:r>
          <w:rPr>
            <w:rStyle w:val="Hyperlink"/>
            <w:vertAlign w:val="superscript"/>
          </w:rPr>
          <w:t xml:space="preserve">695</w:t>
        </w:r>
      </w:hyperlink>
      <w:r>
        <w:rPr>
          <w:vertAlign w:val="superscript"/>
        </w:rPr>
        <w:t xml:space="preserve">]</w:t>
      </w:r>
      <w:r>
        <w:t xml:space="preserve">。</w:t>
      </w:r>
    </w:p>
    <w:p>
      <w:pPr>
        <w:pStyle w:val="BodyText"/>
      </w:pPr>
      <w:r>
        <w:t xml:space="preserve">这也说明“杏仁核活跃所以此人害怕”的反向推断较弱。需要知道该活动在害怕时有多常见，也需要知道它在其他状态中有多常见。一个区域对多种过程敏感，便会降低单凭该区域定位心理状态的特异性。</w:t>
      </w:r>
    </w:p>
    <w:p>
      <w:pPr>
        <w:pStyle w:val="BodyText"/>
      </w:pPr>
      <w:r>
        <w:t xml:space="preserve">研究还应避免把相关结果解释成完整情绪原因。假设害怕时某信号增强，它可能参与生成体验，也可能响应身体变化，或者反映注意已转向威胁。时间分辨与因果操作可以帮助区分这些可能，但任何一种方法都有自己的限制。</w:t>
      </w:r>
    </w:p>
    <w:bookmarkEnd w:id="1508"/>
    <w:bookmarkStart w:id="1509" w:name="sec-87-7"/>
    <w:p>
      <w:pPr>
        <w:pStyle w:val="Heading3"/>
      </w:pPr>
      <w:r>
        <w:t xml:space="preserve">87.7　愤怒与行为责任不能由脑区名称裁定</w:t>
      </w:r>
    </w:p>
    <w:p>
      <w:pPr>
        <w:pStyle w:val="FirstParagraph"/>
      </w:pPr>
      <w:r>
        <w:t xml:space="preserve">愤怒通常涉及对目标受阻、规范违反或他人意图的判断，具体成分依情境变化。它可能伴随威胁，也可能伴随接近和对抗倾向。把愤怒统一称为杏仁核劫持，容易让不同原因和行动过程消失在同一个标签中。</w:t>
      </w:r>
    </w:p>
    <w:p>
      <w:pPr>
        <w:pStyle w:val="BodyText"/>
      </w:pPr>
      <w:r>
        <w:t xml:space="preserve">对于一次争执，较有用的信息包括事件如何被解释、哪些行动被考虑、当事人能否暂停，以及后果如何影响后续行为。脑机制可以解释能力限制和状态变化，但公共影像发现无法直接确定个体当时的全部意图。伦理和法律判断还需要其他证据与规范前提。</w:t>
      </w:r>
    </w:p>
    <w:bookmarkEnd w:id="1509"/>
    <w:bookmarkStart w:id="1510" w:name="sec-87-8"/>
    <w:p>
      <w:pPr>
        <w:pStyle w:val="Heading3"/>
      </w:pPr>
      <w:r>
        <w:t xml:space="preserve">87.8　抑制性回路怎样产生方向不同的行为结果</w:t>
      </w:r>
    </w:p>
    <w:p>
      <w:pPr>
        <w:pStyle w:val="FirstParagraph"/>
      </w:pPr>
      <w:r>
        <w:t xml:space="preserve">理解杏仁核时，需要同时追踪每个连接的局部作用和整条路径的净作用。一个兴奋性轴突可以兴奋抑制性中间环节，后者降低输出细胞活动；一个抑制性细胞也可以抑制另一个抑制性细胞，最终使下游活动增加。这种去抑制在神经系统中具有一般意义。把递质的局部效应直接翻译成行为的增加或减少，会跳过决定方向的中间连接</w:t>
      </w:r>
      <w:r>
        <w:rPr>
          <w:vertAlign w:val="superscript"/>
        </w:rPr>
        <w:t xml:space="preserve">[</w:t>
      </w:r>
      <w:hyperlink w:anchor="ref-56">
        <w:r>
          <w:rPr>
            <w:rStyle w:val="Hyperlink"/>
            <w:vertAlign w:val="superscript"/>
          </w:rPr>
          <w:t xml:space="preserve">56</w:t>
        </w:r>
      </w:hyperlink>
      <w:r>
        <w:rPr>
          <w:vertAlign w:val="superscript"/>
        </w:rPr>
        <w:t xml:space="preserve">,</w:t>
      </w:r>
      <w:hyperlink w:anchor="ref-763">
        <w:r>
          <w:rPr>
            <w:rStyle w:val="Hyperlink"/>
            <w:vertAlign w:val="superscript"/>
          </w:rPr>
          <w:t xml:space="preserve">763</w:t>
        </w:r>
      </w:hyperlink>
      <w:r>
        <w:rPr>
          <w:vertAlign w:val="superscript"/>
        </w:rPr>
        <w:t xml:space="preserve">,</w:t>
      </w:r>
      <w:hyperlink w:anchor="ref-764">
        <w:r>
          <w:rPr>
            <w:rStyle w:val="Hyperlink"/>
            <w:vertAlign w:val="superscript"/>
          </w:rPr>
          <w:t xml:space="preserve">764</w:t>
        </w:r>
      </w:hyperlink>
      <w:r>
        <w:rPr>
          <w:vertAlign w:val="superscript"/>
        </w:rPr>
        <w:t xml:space="preserve">]</w:t>
      </w:r>
      <w:r>
        <w:t xml:space="preserve">。</w:t>
      </w:r>
    </w:p>
    <w:p>
      <w:pPr>
        <w:pStyle w:val="BodyText"/>
      </w:pPr>
      <w:r>
        <w:t xml:space="preserve">可用一个明确标注为教学假设的三细胞回路说明。输入细胞甲兴奋乙，乙抑制丙，丙促进某防御输出。在其他条件保持稳定时，甲增强可能降低丙的输出。若甲还直接兴奋丙，结果取决于两条路径的强度、延迟、短时可塑性和当时状态。最先出现的反应与稍后的稳态可以方向不同，因此“刺激该区域后活动上升”仍不足以描述整个过程。</w:t>
      </w:r>
    </w:p>
    <w:p>
      <w:pPr>
        <w:pStyle w:val="BodyText"/>
      </w:pPr>
      <w:r>
        <w:t xml:space="preserve">Ciocchi及同事通过小鼠记录和干预，把中央杏仁核内部的抑制性微回路与条件防御学习、表达联系起来。Tye及同事发现，对基底外侧杏仁核通往中央杏仁核的特定末梢实施光遗传操作，与直接操作大范围胞体产生不同结果。这两组研究为按细胞和投射拆解回路提供了因果证据；它们测量的动物行为不能直接给出人类主观焦虑的完整解释</w:t>
      </w:r>
      <w:r>
        <w:rPr>
          <w:vertAlign w:val="superscript"/>
        </w:rPr>
        <w:t xml:space="preserve">[</w:t>
      </w:r>
      <w:hyperlink w:anchor="ref-763">
        <w:r>
          <w:rPr>
            <w:rStyle w:val="Hyperlink"/>
            <w:vertAlign w:val="superscript"/>
          </w:rPr>
          <w:t xml:space="preserve">763</w:t>
        </w:r>
      </w:hyperlink>
      <w:r>
        <w:rPr>
          <w:vertAlign w:val="superscript"/>
        </w:rPr>
        <w:t xml:space="preserve">,</w:t>
      </w:r>
      <w:hyperlink w:anchor="ref-764">
        <w:r>
          <w:rPr>
            <w:rStyle w:val="Hyperlink"/>
            <w:vertAlign w:val="superscript"/>
          </w:rPr>
          <w:t xml:space="preserve">764</w:t>
        </w:r>
      </w:hyperlink>
      <w:r>
        <w:rPr>
          <w:vertAlign w:val="superscript"/>
        </w:rPr>
        <w:t xml:space="preserve">]</w:t>
      </w:r>
      <w:r>
        <w:t xml:space="preserve">。</w:t>
      </w:r>
    </w:p>
    <w:p>
      <w:pPr>
        <w:pStyle w:val="BodyText"/>
      </w:pPr>
      <w:r>
        <w:t xml:space="preserve">这些例子允许提出一个具有可检验性的原则：局部活动方向和最终行为方向之间没有固定的一一对应。检验某条路径时，应把其直接靶点、间接靶点、时间顺序和行为指标放进同一设计。研究者还要确定刺激是否在生理活动范围内；高度同步的人工驱动可以揭示回路能力，却可能超过自然行为时实际使用的活动模式。</w:t>
      </w:r>
    </w:p>
    <w:bookmarkEnd w:id="1510"/>
    <w:bookmarkStart w:id="1511" w:name="sec-87-9"/>
    <w:p>
      <w:pPr>
        <w:pStyle w:val="Heading3"/>
      </w:pPr>
      <w:r>
        <w:t xml:space="preserve">87.9　投射选择性研究需要哪些对照</w:t>
      </w:r>
    </w:p>
    <w:p>
      <w:pPr>
        <w:pStyle w:val="FirstParagraph"/>
      </w:pPr>
      <w:r>
        <w:t xml:space="preserve">将光敏蛋白表达于某处细胞，再照射远端轴突末梢，能够提高路径选择性。然而，末梢照射的解释仍依赖验证。需要确定病毒表达位置，检验目标区的突触响应，评估经过该区域的其他纤维，以及可能逆向传播的活动。一个神经元常有多个轴突分支；如果操作经胞体影响其他侧支，行为效应就不能完全归给照射区域内的那个突触。</w:t>
      </w:r>
    </w:p>
    <w:p>
      <w:pPr>
        <w:pStyle w:val="BodyText"/>
      </w:pPr>
      <w:r>
        <w:t xml:space="preserve">光照本身、植入、病毒表达和实验处理也可能影响行为。合理对照包括只表达荧光标记的动物、相同光照程序、适当的组织学排除标准以及盲法评分。排除动物的规则应预先规定，尤其要避免看到行为结果后才决定注射是否成功。组织学确认能够提高定位可信度，统计分析还需要把动物与记录细胞的层次分开；一只动物记录许多细胞，并没有自动增加同等数量的独立生物学重复。</w:t>
      </w:r>
    </w:p>
    <w:p>
      <w:pPr>
        <w:pStyle w:val="BodyText"/>
      </w:pPr>
      <w:r>
        <w:t xml:space="preserve">若行为变化伴随总活动距离改变，需要考虑运动能力、探索动机与感觉敏感性。增加开放区域停留，可以符合焦虑样行为下降的解释，也可能受到视力、平衡、疲劳或风险偏好的影响。通过多个任务形成相容证据，比把单个比例直接命名为焦虑强度更稳妥。不同任务仍可能共享运动或新奇因素，所以任务数量增加的同时，还应增加测量维度的独立性。</w:t>
      </w:r>
    </w:p>
    <w:bookmarkEnd w:id="1511"/>
    <w:bookmarkStart w:id="1512" w:name="sec-87-10"/>
    <w:p>
      <w:pPr>
        <w:pStyle w:val="Heading3"/>
      </w:pPr>
      <w:r>
        <w:t xml:space="preserve">87.10　时间组织区分预期威胁和迫近威胁</w:t>
      </w:r>
    </w:p>
    <w:p>
      <w:pPr>
        <w:pStyle w:val="FirstParagraph"/>
      </w:pPr>
      <w:r>
        <w:t xml:space="preserve">威胁具有时间和空间结构。遥远、概率不确定的危险，会提出探索、持续监测、信息收集与资源分配问题；迫近或已经接近身体的事件，则要求快速选择逃跑、冻结、接近、躲避或稳定姿势等行动。时间距离改变时，同一个线索的行动价值可以改变。为了等待进一步信息而暂时不动，与无法逃脱时的运动抑制，可能表现出相似姿态，但两者对安全路线、距离和新线索的敏感性应有差异。一个神经元对两类威胁响应不同，可以反映预测时间、可逃离性、动作准备或身体状态，不能直接把差别等同恐惧强度</w:t>
      </w:r>
      <w:r>
        <w:rPr>
          <w:vertAlign w:val="superscript"/>
        </w:rPr>
        <w:t xml:space="preserve">[</w:t>
      </w:r>
      <w:hyperlink w:anchor="ref-695">
        <w:r>
          <w:rPr>
            <w:rStyle w:val="Hyperlink"/>
            <w:vertAlign w:val="superscript"/>
          </w:rPr>
          <w:t xml:space="preserve">695</w:t>
        </w:r>
      </w:hyperlink>
      <w:r>
        <w:rPr>
          <w:vertAlign w:val="superscript"/>
        </w:rPr>
        <w:t xml:space="preserve">,</w:t>
      </w:r>
      <w:hyperlink w:anchor="ref-765">
        <w:r>
          <w:rPr>
            <w:rStyle w:val="Hyperlink"/>
            <w:vertAlign w:val="superscript"/>
          </w:rPr>
          <w:t xml:space="preserve">765</w:t>
        </w:r>
      </w:hyperlink>
      <w:r>
        <w:rPr>
          <w:vertAlign w:val="superscript"/>
        </w:rPr>
        <w:t xml:space="preserve">]</w:t>
      </w:r>
      <w:r>
        <w:t xml:space="preserve">。</w:t>
      </w:r>
    </w:p>
    <w:p>
      <w:pPr>
        <w:pStyle w:val="BodyText"/>
      </w:pPr>
      <w:r>
        <w:t xml:space="preserve">因此，实验不能只给威胁贴上一个固定标签。应记录线索出现、结果预计到达、实际到达和恢复的时间，并分别分析这些阶段。若把整个试次平均，早期升高与晚期降低可能相互抵消。一个脑区平均效应很小，仍可能在短暂关键窗口内影响决定；平均效应很大，也可能主要反映结果发生后的反馈。</w:t>
      </w:r>
    </w:p>
    <w:p>
      <w:pPr>
        <w:pStyle w:val="BodyText"/>
      </w:pPr>
      <w:r>
        <w:t xml:space="preserve">预测误差提供另一条分析线索。没有发生的预期伤害，与从未预计伤害的安全情境，在物理结果上都可以没有刺激，信息内容却不同。前者能够促使预期更新。研究者可以独立操纵伤害概率与实际结果，检验神经信号更接近威胁预期、结果本身还是预期被违背。把这几项合并为“恐惧信号”，会丢失可区分机制的重要机会。</w:t>
      </w:r>
    </w:p>
    <w:bookmarkEnd w:id="1512"/>
    <w:bookmarkStart w:id="1513" w:name="sec-87-11"/>
    <w:p>
      <w:pPr>
        <w:pStyle w:val="Heading3"/>
      </w:pPr>
      <w:r>
        <w:t xml:space="preserve">87.11　泛化梯度怎样界定适应与过度扩展</w:t>
      </w:r>
    </w:p>
    <w:p>
      <w:pPr>
        <w:pStyle w:val="FirstParagraph"/>
      </w:pPr>
      <w:r>
        <w:t xml:space="preserve">学习后对相似刺激作出反应，具有适应意义。训练中出现过的危险线索，在现实中很少以完全相同形式重现，适当泛化有助于避免漏掉风险。泛化过窄会漏检，过宽则可能使大量安全事件引发回避。哪一种范围更有利，取决于环境的真实危险分布和错误代价，不能只凭反应数量确定。</w:t>
      </w:r>
    </w:p>
    <w:p>
      <w:pPr>
        <w:pStyle w:val="BodyText"/>
      </w:pPr>
      <w:r>
        <w:t xml:space="preserve">可设计连续改变音高、颜色或情境特征的刺激序列，测量反应随相似性变化的曲线。必须控制感知可辨别性，因为两个物理上相近的刺激对不同个体可能同样清楚，也可能难以区分。若某组曲线更宽，竞争解释包括较宽的价值泛化、感觉分辨较差、记忆精度较低和对漏检代价赋值更高。加入独立感觉辨别和结果预期测量，可以把这些解释拆开。</w:t>
      </w:r>
    </w:p>
    <w:p>
      <w:pPr>
        <w:pStyle w:val="BodyText"/>
      </w:pPr>
      <w:r>
        <w:t xml:space="preserve">安全学习也有自身的信息要求。某线索与无伤害共同出现，可能形成安全预期；只有在恰当对照下，才能判断它是否具有主动抑制作用。一个线索引起的低反应，可能只是从未学到危险关系。让该线索与另一个已知危险线索组合，并检验是否降低反应，可以为安全信号的功能提供更具体的信息，但还需考虑注意竞争与新组合造成的变化。</w:t>
      </w:r>
    </w:p>
    <w:bookmarkEnd w:id="1513"/>
    <w:bookmarkStart w:id="1514" w:name="sec-87-12"/>
    <w:p>
      <w:pPr>
        <w:pStyle w:val="Heading3"/>
      </w:pPr>
      <w:r>
        <w:t xml:space="preserve">87.12　临床解释需要连接症状的具体维度</w:t>
      </w:r>
    </w:p>
    <w:p>
      <w:pPr>
        <w:pStyle w:val="FirstParagraph"/>
      </w:pPr>
      <w:r>
        <w:t xml:space="preserve">“恐惧过多”可以指发生频率高、持续时间长、情境范围广、身体反应强、回避严重或恢复缓慢。不同维度未必具有同样回路机制，也未必对同一干预响应相同。身体反应、回避、主观害怕和对安全的知识可以不同步变化：一个人的主观不适下降而回避未变，或明知情境安全仍出现强烈身体反应，可能意味着不同过程的改变速度不同；这类分离值得测量，不能因不符合统一分数而忽略。</w:t>
      </w:r>
    </w:p>
    <w:p>
      <w:pPr>
        <w:pStyle w:val="BodyText"/>
      </w:pPr>
      <w:r>
        <w:t xml:space="preserve">影像发现的组平均差异也不能直接指定个人治疗靶点。需要知道差异是否稳定、是否能在独立样本重现、是否与个体结局有关，以及干预改变该指标是否带来患者重视的改善。机制标志物能够帮助建立解释链，临床价值最终仍依赖症状、功能和安全性结果。对此判断的置信度高；对具体杏仁核细胞类型能否成为广泛有效的人类治疗靶点，目前结论仍有明显不确定性。</w:t>
      </w:r>
    </w:p>
    <w:bookmarkEnd w:id="1514"/>
    <w:bookmarkStart w:id="1515" w:name="sec-87-13"/>
    <w:p>
      <w:pPr>
        <w:pStyle w:val="Heading3"/>
      </w:pPr>
      <w:r>
        <w:t xml:space="preserve">87.13　导水管周围灰质把回路活动连接到具体行为</w:t>
      </w:r>
    </w:p>
    <w:p>
      <w:pPr>
        <w:pStyle w:val="FirstParagraph"/>
      </w:pPr>
      <w:r>
        <w:t xml:space="preserve">防御反应需要通过运动、自主和内分泌通路实现。中脑导水管周围灰质具有不同细胞群和投射，能够参与冻结、逃离等行为组织。小鼠回路研究识别了杏仁核中央核经抑制与去抑制机制影响腹外侧导水管周围灰质，再联系延髓运动相关目标的路径。这提供了从局部突触符号到防御输出的具体机制</w:t>
      </w:r>
      <w:r>
        <w:rPr>
          <w:vertAlign w:val="superscript"/>
        </w:rPr>
        <w:t xml:space="preserve">[</w:t>
      </w:r>
      <w:hyperlink w:anchor="ref-765">
        <w:r>
          <w:rPr>
            <w:rStyle w:val="Hyperlink"/>
            <w:vertAlign w:val="superscript"/>
          </w:rPr>
          <w:t xml:space="preserve">765</w:t>
        </w:r>
      </w:hyperlink>
      <w:r>
        <w:rPr>
          <w:vertAlign w:val="superscript"/>
        </w:rPr>
        <w:t xml:space="preserve">]</w:t>
      </w:r>
      <w:r>
        <w:t xml:space="preserve">。</w:t>
      </w:r>
    </w:p>
    <w:p>
      <w:pPr>
        <w:pStyle w:val="BodyText"/>
      </w:pPr>
      <w:r>
        <w:t xml:space="preserve">冻结包含姿势维持和运动限制，身体仍可具有呼吸、心血管和肌肉活动。将动物静止理解为整个运动系统关闭，会忽略维持身体状态所需的控制。相同的低位移也可能由休息、注意、疼痛或运动障碍造成，因此实验需要结合姿势、情境和对刺激的反应区分行为状态。</w:t>
      </w:r>
    </w:p>
    <w:p>
      <w:pPr>
        <w:pStyle w:val="BodyText"/>
      </w:pPr>
      <w:r>
        <w:t xml:space="preserve">如果干预某条输出路径使冻结减少，至少存在几个具有实质差别的解释：威胁信息没有形成，威胁仍被处理但选择了逃离，或冻结的执行能力受损。三种解释对学习与主观体验的含义不同。观察到另一种适当防御反应增加，会支持输出选择变化的可能；若多种行为都不能正常完成，则需要检查一般运动功能。行为类别越清楚，回路结论越精确。</w:t>
      </w:r>
    </w:p>
    <w:bookmarkEnd w:id="1515"/>
    <w:bookmarkStart w:id="1516" w:name="sec-87-14"/>
    <w:p>
      <w:pPr>
        <w:pStyle w:val="Heading3"/>
      </w:pPr>
      <w:r>
        <w:t xml:space="preserve">87.14　威胁的空间和时间属性改变合适的反应</w:t>
      </w:r>
    </w:p>
    <w:p>
      <w:pPr>
        <w:pStyle w:val="FirstParagraph"/>
      </w:pPr>
      <w:r>
        <w:t xml:space="preserve">可构造一个教学例子：相同声音分别来自封闭房间外和近距离移动物体。声音的频率和强度可以相似，但可行动空间不同。若动物只能冻结，回路输出受到环境约束；若有可进入的安全区域，逃离可能成为更合适选择。实验中的几何布局因此属于机制条件，不能仅在方法附录中被忽略。</w:t>
      </w:r>
    </w:p>
    <w:bookmarkEnd w:id="1516"/>
    <w:bookmarkStart w:id="1517" w:name="sec-87-15"/>
    <w:p>
      <w:pPr>
        <w:pStyle w:val="Heading3"/>
      </w:pPr>
      <w:r>
        <w:t xml:space="preserve">87.15　学习改变线索与动作之间的条件关系</w:t>
      </w:r>
    </w:p>
    <w:p>
      <w:pPr>
        <w:pStyle w:val="FirstParagraph"/>
      </w:pPr>
      <w:r>
        <w:t xml:space="preserve">杏仁核相关回路可以把感觉线索、背景、结果和身体状态联系起来。学习形成后，线索可能在结果出现之前改变动作准备；结果不再出现时，行为变化又可以依赖新的学习、背景解释和记忆提取条件。因此，某次测试不再出现冻结时，更清晰的机制问题是：改变发生在输入线索的表征、局部可塑性、输出门控，还是另一套竞争记忆中。短时阻断输出可以让行为消失，而学习痕迹仍可能保留；改变感觉辨别也可以减少反应，但涉及另一环节。这些可能性解释了为什么同一可见行为的消失，需要结合训练、测试和再暴露的时间关系来理解</w:t>
      </w:r>
      <w:r>
        <w:rPr>
          <w:vertAlign w:val="superscript"/>
        </w:rPr>
        <w:t xml:space="preserve">[</w:t>
      </w:r>
      <w:hyperlink w:anchor="ref-763">
        <w:r>
          <w:rPr>
            <w:rStyle w:val="Hyperlink"/>
            <w:vertAlign w:val="superscript"/>
          </w:rPr>
          <w:t xml:space="preserve">763</w:t>
        </w:r>
      </w:hyperlink>
      <w:r>
        <w:rPr>
          <w:vertAlign w:val="superscript"/>
        </w:rPr>
        <w:t xml:space="preserve">,</w:t>
      </w:r>
      <w:hyperlink w:anchor="ref-766">
        <w:r>
          <w:rPr>
            <w:rStyle w:val="Hyperlink"/>
            <w:vertAlign w:val="superscript"/>
          </w:rPr>
          <w:t xml:space="preserve">766</w:t>
        </w:r>
      </w:hyperlink>
      <w:r>
        <w:rPr>
          <w:vertAlign w:val="superscript"/>
        </w:rPr>
        <w:t xml:space="preserve">]</w:t>
      </w:r>
      <w:r>
        <w:t xml:space="preserve">。</w:t>
      </w:r>
    </w:p>
    <w:bookmarkEnd w:id="1517"/>
    <w:bookmarkStart w:id="1518" w:name="sec-87-16"/>
    <w:p>
      <w:pPr>
        <w:pStyle w:val="Heading3"/>
      </w:pPr>
      <w:r>
        <w:t xml:space="preserve">87.16　本章结论</w:t>
      </w:r>
    </w:p>
    <w:p>
      <w:pPr>
        <w:pStyle w:val="FirstParagraph"/>
      </w:pPr>
      <w:r>
        <w:t xml:space="preserve">杏仁核是重要的多核团结构，参与某些威胁学习、价值和重要性相关过程。其作用应按核团、连接、阶段与结局描述。恐惧体验、身体反应和防御行为需要分别测量；严重病损者的内部诱发恐惧限制了统一开关说。未来能改变具体判断的证据，是跨方法、跨情境且能够区分替代解释的细胞和通路研究</w:t>
      </w:r>
      <w:r>
        <w:rPr>
          <w:vertAlign w:val="superscript"/>
        </w:rPr>
        <w:t xml:space="preserve">[</w:t>
      </w:r>
      <w:hyperlink w:anchor="ref-695">
        <w:r>
          <w:rPr>
            <w:rStyle w:val="Hyperlink"/>
            <w:vertAlign w:val="superscript"/>
          </w:rPr>
          <w:t xml:space="preserve">695</w:t>
        </w:r>
      </w:hyperlink>
      <w:r>
        <w:rPr>
          <w:vertAlign w:val="superscript"/>
        </w:rPr>
        <w:t xml:space="preserve">,</w:t>
      </w:r>
      <w:hyperlink w:anchor="ref-759">
        <w:r>
          <w:rPr>
            <w:rStyle w:val="Hyperlink"/>
            <w:vertAlign w:val="superscript"/>
          </w:rPr>
          <w:t xml:space="preserve">759</w:t>
        </w:r>
      </w:hyperlink>
      <w:r>
        <w:rPr>
          <w:vertAlign w:val="superscript"/>
        </w:rPr>
        <w:t xml:space="preserve">,</w:t>
      </w:r>
      <w:hyperlink w:anchor="ref-761">
        <w:r>
          <w:rPr>
            <w:rStyle w:val="Hyperlink"/>
            <w:vertAlign w:val="superscript"/>
          </w:rPr>
          <w:t xml:space="preserve">761</w:t>
        </w:r>
      </w:hyperlink>
      <w:r>
        <w:rPr>
          <w:vertAlign w:val="superscript"/>
        </w:rPr>
        <w:t xml:space="preserve">,</w:t>
      </w:r>
      <w:hyperlink w:anchor="ref-762">
        <w:r>
          <w:rPr>
            <w:rStyle w:val="Hyperlink"/>
            <w:vertAlign w:val="superscript"/>
          </w:rPr>
          <w:t xml:space="preserve">762</w:t>
        </w:r>
      </w:hyperlink>
      <w:r>
        <w:rPr>
          <w:vertAlign w:val="superscript"/>
        </w:rPr>
        <w:t xml:space="preserve">]</w:t>
      </w:r>
      <w:r>
        <w:t xml:space="preserve">。</w:t>
      </w:r>
    </w:p>
    <w:bookmarkEnd w:id="1518"/>
    <w:bookmarkEnd w:id="1519"/>
    <w:bookmarkStart w:id="1540" w:name="ch-88"/>
    <w:p>
      <w:pPr>
        <w:pStyle w:val="Heading2"/>
      </w:pPr>
      <w:r>
        <w:t xml:space="preserve">第88章　边缘系统与情绪网络</w:t>
      </w:r>
    </w:p>
    <w:bookmarkStart w:id="1520" w:name="sec-88-1"/>
    <w:p>
      <w:pPr>
        <w:pStyle w:val="Heading3"/>
      </w:pPr>
      <w:r>
        <w:t xml:space="preserve">88.1　“边缘系统”这个词从哪里来</w:t>
      </w:r>
    </w:p>
    <w:p>
      <w:pPr>
        <w:pStyle w:val="FirstParagraph"/>
      </w:pPr>
      <w:r>
        <w:t xml:space="preserve">“边缘系统”由麦克莱恩（Paul MacLean）在 1952 年命名</w:t>
      </w:r>
      <w:r>
        <w:rPr>
          <w:vertAlign w:val="superscript"/>
        </w:rPr>
        <w:t xml:space="preserve">[</w:t>
      </w:r>
      <w:hyperlink w:anchor="ref-767">
        <w:r>
          <w:rPr>
            <w:rStyle w:val="Hyperlink"/>
            <w:vertAlign w:val="superscript"/>
          </w:rPr>
          <w:t xml:space="preserve">767</w:t>
        </w:r>
      </w:hyperlink>
      <w:r>
        <w:rPr>
          <w:vertAlign w:val="superscript"/>
        </w:rPr>
        <w:t xml:space="preserve">]</w:t>
      </w:r>
      <w:r>
        <w:t xml:space="preserve">，继承自布罗卡的“边缘叶”和帕佩兹的情绪环路，常被当作“情绪脑”的同义词。这个概念有两个问题：哪些结构属于它，从来没有公认的解剖标准；它同时包括了主要负责记忆的海马和参与情绪的杏仁核等结构，而情绪功能又广泛分布在它之外。罗尔斯（Edmund Rolls）在他的理论框架中写道，单一边缘系统的概念“已经过时”，他主张区分以眶额皮层和杏仁核为核心的情绪与奖赏系统，以及以海马和后扣带为核心的情景记忆系统，两者的计算原理不同</w:t>
      </w:r>
      <w:r>
        <w:rPr>
          <w:vertAlign w:val="superscript"/>
        </w:rPr>
        <w:t xml:space="preserve">[</w:t>
      </w:r>
      <w:hyperlink w:anchor="ref-768">
        <w:r>
          <w:rPr>
            <w:rStyle w:val="Hyperlink"/>
            <w:vertAlign w:val="superscript"/>
          </w:rPr>
          <w:t xml:space="preserve">768</w:t>
        </w:r>
      </w:hyperlink>
      <w:r>
        <w:rPr>
          <w:vertAlign w:val="superscript"/>
        </w:rPr>
        <w:t xml:space="preserve">]</w:t>
      </w:r>
      <w:r>
        <w:t xml:space="preserve">。这是一种理论划分，没有穷尽所有被归入边缘系统的结构。勒杜也长期主张放弃这个概念，改用更具体的“生存回路”</w:t>
      </w:r>
      <w:r>
        <w:rPr>
          <w:vertAlign w:val="superscript"/>
        </w:rPr>
        <w:t xml:space="preserve">[</w:t>
      </w:r>
      <w:hyperlink w:anchor="ref-769">
        <w:r>
          <w:rPr>
            <w:rStyle w:val="Hyperlink"/>
            <w:vertAlign w:val="superscript"/>
          </w:rPr>
          <w:t xml:space="preserve">769</w:t>
        </w:r>
      </w:hyperlink>
      <w:r>
        <w:rPr>
          <w:vertAlign w:val="superscript"/>
        </w:rPr>
        <w:t xml:space="preserve">]</w:t>
      </w:r>
      <w:r>
        <w:t xml:space="preserve">，这是另一套构想。讨论情绪与脑的关系时，更稳妥的做法是直接写明具体的结构、回路、任务和指标。</w:t>
      </w:r>
    </w:p>
    <w:p>
      <w:pPr>
        <w:pStyle w:val="CalloutJudgment"/>
      </w:pPr>
      <w:r>
        <w:rPr>
          <w:bCs/>
          <w:b/>
        </w:rPr>
        <w:t xml:space="preserve">判断　</w:t>
      </w:r>
      <w:r>
        <w:t xml:space="preserve">作为大致的解剖统称，这个词仍在使用；“边缘系统 = 情绪脑”</w:t>
      </w:r>
      <w:r>
        <w:rPr>
          <w:bCs/>
          <w:b/>
        </w:rPr>
        <w:t xml:space="preserve">过度简化·高</w:t>
      </w:r>
      <w:r>
        <w:t xml:space="preserve">。</w:t>
      </w:r>
    </w:p>
    <w:bookmarkEnd w:id="1520"/>
    <w:bookmarkStart w:id="1521" w:name="sec-88-2"/>
    <w:p>
      <w:pPr>
        <w:pStyle w:val="Heading3"/>
      </w:pPr>
      <w:r>
        <w:t xml:space="preserve">88.2　历史分类不能代替功能定义</w:t>
      </w:r>
    </w:p>
    <w:p>
      <w:pPr>
        <w:pStyle w:val="FirstParagraph"/>
      </w:pPr>
      <w:r>
        <w:t xml:space="preserve">边缘系统是带有历史背景的解剖分类，包含的结构和边界在不同传统中并不完全一致。它可以帮助组织某些解剖知识，但不能被直接当作包办全部情绪的封闭器官。对这一限制的置信度高。脑中可以存在多种与情绪相关的共同网络，这一点与传统单一情绪中心受到限制相容</w:t>
      </w:r>
      <w:r>
        <w:rPr>
          <w:vertAlign w:val="superscript"/>
        </w:rPr>
        <w:t xml:space="preserve">[</w:t>
      </w:r>
      <w:hyperlink w:anchor="ref-251">
        <w:r>
          <w:rPr>
            <w:rStyle w:val="Hyperlink"/>
            <w:vertAlign w:val="superscript"/>
          </w:rPr>
          <w:t xml:space="preserve">251</w:t>
        </w:r>
      </w:hyperlink>
      <w:r>
        <w:rPr>
          <w:vertAlign w:val="superscript"/>
        </w:rPr>
        <w:t xml:space="preserve">,</w:t>
      </w:r>
      <w:hyperlink w:anchor="ref-532">
        <w:r>
          <w:rPr>
            <w:rStyle w:val="Hyperlink"/>
            <w:vertAlign w:val="superscript"/>
          </w:rPr>
          <w:t xml:space="preserve">532</w:t>
        </w:r>
      </w:hyperlink>
      <w:r>
        <w:rPr>
          <w:vertAlign w:val="superscript"/>
        </w:rPr>
        <w:t xml:space="preserve">,</w:t>
      </w:r>
      <w:hyperlink w:anchor="ref-770">
        <w:r>
          <w:rPr>
            <w:rStyle w:val="Hyperlink"/>
            <w:vertAlign w:val="superscript"/>
          </w:rPr>
          <w:t xml:space="preserve">770</w:t>
        </w:r>
      </w:hyperlink>
      <w:r>
        <w:rPr>
          <w:vertAlign w:val="superscript"/>
        </w:rPr>
        <w:t xml:space="preserve">]</w:t>
      </w:r>
      <w:r>
        <w:t xml:space="preserve">。</w:t>
      </w:r>
    </w:p>
    <w:p>
      <w:pPr>
        <w:pStyle w:val="BodyText"/>
      </w:pPr>
      <w:r>
        <w:t xml:space="preserve">如果一个功能系统被定义为所有与情绪有关系的区域，它的范围可能非常广。若只要在某个情绪任务中活跃便被纳入，注意、记忆、感觉和行动区域也会进入名单。这样定义的系统缺少排除标准，难以解释成员为什么重要以及成员之间如何分工。</w:t>
      </w:r>
    </w:p>
    <w:p>
      <w:pPr>
        <w:pStyle w:val="BodyText"/>
      </w:pPr>
      <w:r>
        <w:t xml:space="preserve">因此，系统定义至少需要说明三个条件：研究的心理过程是什么，成员资格依据什么证据，系统内部和外部的关系是什么。解剖连接、共同活动和因果参与可以提供不同类型证据，但它们不会自动形成同一个边界。</w:t>
      </w:r>
    </w:p>
    <w:bookmarkEnd w:id="1521"/>
    <w:bookmarkStart w:id="1522" w:name="sec-88-3"/>
    <w:p>
      <w:pPr>
        <w:pStyle w:val="Heading3"/>
      </w:pPr>
      <w:r>
        <w:t xml:space="preserve">88.3　海马资料限制了情绪专用解释</w:t>
      </w:r>
    </w:p>
    <w:p>
      <w:pPr>
        <w:pStyle w:val="FirstParagraph"/>
      </w:pPr>
      <w:r>
        <w:t xml:space="preserve">Scoville与Milner对双侧内侧颞叶手术后的病例研究显示，新近经验形成持久记忆可以严重受损，同时一些其他能力相对保留。海马复合区的记忆贡献说明，传统边缘成员具有重要的非情绪专用功能。病例病损涉及范围与个体差异，使精确细胞机制仍需其他方法补充</w:t>
      </w:r>
      <w:r>
        <w:rPr>
          <w:vertAlign w:val="superscript"/>
        </w:rPr>
        <w:t xml:space="preserve">[</w:t>
      </w:r>
      <w:hyperlink w:anchor="ref-251">
        <w:r>
          <w:rPr>
            <w:rStyle w:val="Hyperlink"/>
            <w:vertAlign w:val="superscript"/>
          </w:rPr>
          <w:t xml:space="preserve">251</w:t>
        </w:r>
      </w:hyperlink>
      <w:r>
        <w:rPr>
          <w:vertAlign w:val="superscript"/>
        </w:rPr>
        <w:t xml:space="preserve">]</w:t>
      </w:r>
      <w:r>
        <w:t xml:space="preserve">。</w:t>
      </w:r>
    </w:p>
    <w:p>
      <w:pPr>
        <w:pStyle w:val="BodyText"/>
      </w:pPr>
      <w:r>
        <w:t xml:space="preserve">这一证据应当按照其逻辑力量使用。一个结构具有记忆功能，足以反对把它说成只负责情绪；它不能排除该结构也参与情绪学习。一个结构能够同时参与多种任务，也不能证明所有任务在它内部使用完全相同的细胞或计算。</w:t>
      </w:r>
    </w:p>
    <w:p>
      <w:pPr>
        <w:pStyle w:val="BodyText"/>
      </w:pPr>
      <w:r>
        <w:t xml:space="preserve">海马与情境联系提供一个有用的教学问题。同样声音出现在不同环境中，可能具有不同意义。要解释这种变化，需要表示情境、记住先前关系并整合当前线索。把所有这些环节统一称为恐惧或情绪，会丢失能够区分机制的步骤。</w:t>
      </w:r>
    </w:p>
    <w:bookmarkEnd w:id="1522"/>
    <w:bookmarkStart w:id="1523" w:name="sec-88-4"/>
    <w:p>
      <w:pPr>
        <w:pStyle w:val="Heading3"/>
      </w:pPr>
      <w:r>
        <w:t xml:space="preserve">88.4　情绪影像中的共同参与如何解释</w:t>
      </w:r>
    </w:p>
    <w:p>
      <w:pPr>
        <w:pStyle w:val="FirstParagraph"/>
      </w:pPr>
      <w:r>
        <w:t xml:space="preserve">Kober及同事汇总162项情绪影像研究，发现共同活动涉及多组皮层及皮层下区域，超出狭义边缘边界。Lindquist及同事的元分析进一步限制了离散情绪与单一区域稳定一一对应的强主张。这些分析支持分布式研究方向，但共同活动本身不能确定因果方向，也不能自动裁定全部情绪理论</w:t>
      </w:r>
      <w:r>
        <w:rPr>
          <w:vertAlign w:val="superscript"/>
        </w:rPr>
        <w:t xml:space="preserve">[</w:t>
      </w:r>
      <w:hyperlink w:anchor="ref-532">
        <w:r>
          <w:rPr>
            <w:rStyle w:val="Hyperlink"/>
            <w:vertAlign w:val="superscript"/>
          </w:rPr>
          <w:t xml:space="preserve">532</w:t>
        </w:r>
      </w:hyperlink>
      <w:r>
        <w:rPr>
          <w:vertAlign w:val="superscript"/>
        </w:rPr>
        <w:t xml:space="preserve">,</w:t>
      </w:r>
      <w:hyperlink w:anchor="ref-770">
        <w:r>
          <w:rPr>
            <w:rStyle w:val="Hyperlink"/>
            <w:vertAlign w:val="superscript"/>
          </w:rPr>
          <w:t xml:space="preserve">770</w:t>
        </w:r>
      </w:hyperlink>
      <w:r>
        <w:rPr>
          <w:vertAlign w:val="superscript"/>
        </w:rPr>
        <w:t xml:space="preserve">]</w:t>
      </w:r>
      <w:r>
        <w:t xml:space="preserve">。</w:t>
      </w:r>
    </w:p>
    <w:p>
      <w:pPr>
        <w:pStyle w:val="BodyText"/>
      </w:pPr>
      <w:r>
        <w:t xml:space="preserve">元分析的材料具有任务异质性。有些实验让人观看图片，有些要求回忆个人经历，有些让人判断面部表情。共同激活可能反映情绪相关加工，也可能同时包含视觉、语义、记忆和按键需求。研究者需要尽量利用合适对照和任务分类，避免把共有任务步骤误认成某种情绪的专属机制。</w:t>
      </w:r>
    </w:p>
    <w:p>
      <w:pPr>
        <w:pStyle w:val="BodyText"/>
      </w:pPr>
      <w:r>
        <w:t xml:space="preserve">“某脑区经常出现”与“某脑区只在该情绪中出现”也是不同统计问题。前者涉及敏感性，后者涉及特异性。一个区域在恐惧任务中常见，但在新奇、注意和学习任务中也常见，看到它活跃便不能唯一反推恐惧（反向推断的条件另见</w:t>
      </w:r>
      <w:r>
        <w:t xml:space="preserve"> </w:t>
      </w:r>
      <w:hyperlink w:anchor="sec-87-6">
        <w:r>
          <w:rPr>
            <w:rStyle w:val="Hyperlink"/>
          </w:rPr>
          <w:t xml:space="preserve">87.6</w:t>
        </w:r>
      </w:hyperlink>
      <w:r>
        <w:t xml:space="preserve">）。要支持反向推断，需要比较多种候选过程的概率。</w:t>
      </w:r>
    </w:p>
    <w:bookmarkEnd w:id="1523"/>
    <w:bookmarkStart w:id="1524" w:name="sec-88-5"/>
    <w:p>
      <w:pPr>
        <w:pStyle w:val="Heading3"/>
      </w:pPr>
      <w:r>
        <w:t xml:space="preserve">88.5　同一情绪词内部也有差异</w:t>
      </w:r>
    </w:p>
    <w:p>
      <w:pPr>
        <w:pStyle w:val="FirstParagraph"/>
      </w:pPr>
      <w:r>
        <w:t xml:space="preserve">日常语言中的恐惧可以指察觉威胁、主观害怕、自主神经反应、冻结、逃避或担忧。这些指标可能相关，却不要求每次完全同步。愤怒也可以伴随不同的行动倾向和认知评价。研究需要说明使用哪一个指标，以免把语言上的统一误认为机制上的单一</w:t>
      </w:r>
      <w:r>
        <w:rPr>
          <w:vertAlign w:val="superscript"/>
        </w:rPr>
        <w:t xml:space="preserve">[</w:t>
      </w:r>
      <w:hyperlink w:anchor="ref-761">
        <w:r>
          <w:rPr>
            <w:rStyle w:val="Hyperlink"/>
            <w:vertAlign w:val="superscript"/>
          </w:rPr>
          <w:t xml:space="preserve">761</w:t>
        </w:r>
      </w:hyperlink>
      <w:r>
        <w:rPr>
          <w:vertAlign w:val="superscript"/>
        </w:rPr>
        <w:t xml:space="preserve">]</w:t>
      </w:r>
      <w:r>
        <w:t xml:space="preserve">。</w:t>
      </w:r>
    </w:p>
    <w:p>
      <w:pPr>
        <w:pStyle w:val="BodyText"/>
      </w:pPr>
      <w:r>
        <w:t xml:space="preserve">不同理论对情绪构成有不同假设。有的强调演化保守的防御和行动组织，有的强调概念、身体状态与情境整合，还有理论侧重价值和目标。评价这些理论时，应比较它们对于同一组任务所作的不同预测。仅指出情绪分布很广，无法自动证明其中某一理论全部正确。</w:t>
      </w:r>
    </w:p>
    <w:p>
      <w:pPr>
        <w:pStyle w:val="BodyText"/>
      </w:pPr>
      <w:r>
        <w:t xml:space="preserve">跨文化词汇和翻译也可能影响任务解释。一个情绪名称在不同语言中覆盖的经历范围可以不同。若研究要求参与者选择词语标签，结果同时受到概念和语言影响。若只测生理反应，又不能完整反映主观体验。多方法设计有助于减少某一种操作定义的局限。</w:t>
      </w:r>
    </w:p>
    <w:bookmarkEnd w:id="1524"/>
    <w:bookmarkStart w:id="1525" w:name="sec-88-6"/>
    <w:p>
      <w:pPr>
        <w:pStyle w:val="Heading3"/>
      </w:pPr>
      <w:r>
        <w:t xml:space="preserve">88.6　网络边界与研究目的有关</w:t>
      </w:r>
    </w:p>
    <w:p>
      <w:pPr>
        <w:pStyle w:val="FirstParagraph"/>
      </w:pPr>
      <w:r>
        <w:t xml:space="preserve">网络可以按解剖连接、静息态相关、任务共同激活或计算模型定义。不同定义得到的成员和边界可以不同。一个用于预测症状的网络，不一定对应一个具有统一演化来源的解剖系统；一个局部回路也不一定在宏观影像中表现为独立网络。</w:t>
      </w:r>
    </w:p>
    <w:p>
      <w:pPr>
        <w:pStyle w:val="BodyText"/>
      </w:pPr>
      <w:r>
        <w:t xml:space="preserve">系统概念仍然可以使用，前提是标明它的尺度和操作定义。例如，“在这类威胁学习任务中，某些区域之间的联系发生变化”是一项较窄的经验结论；“这些区域组成全部情绪的唯一器官”则需要更广的证据。两者的距离不能由一个方便的名称缩短。</w:t>
      </w:r>
    </w:p>
    <w:bookmarkEnd w:id="1525"/>
    <w:bookmarkStart w:id="1526" w:name="sec-88-7"/>
    <w:p>
      <w:pPr>
        <w:pStyle w:val="Heading3"/>
      </w:pPr>
      <w:r>
        <w:t xml:space="preserve">88.7　一个实用的阅读检验</w:t>
      </w:r>
    </w:p>
    <w:p>
      <w:pPr>
        <w:pStyle w:val="FirstParagraph"/>
      </w:pPr>
      <w:r>
        <w:t xml:space="preserve">看到“情绪中心”这一表述时，可以追问研究实际做了什么。如果只是任务激活，它说明相关参与；如果存在选择性病损或干预，可能支持更强因果贡献；如果声称专属，需要比较其他任务；如果声称完整，需要覆盖情绪的多种成分。每增加一个形容词，证据要求就增加一步。</w:t>
      </w:r>
    </w:p>
    <w:p>
      <w:pPr>
        <w:pStyle w:val="BodyText"/>
      </w:pPr>
      <w:r>
        <w:t xml:space="preserve">以下是假设推理。某区域干预后，参与者报告恐惧下降，但对刺激的辨认也下降。结果无法唯一支持情绪产生受抑制，因为视觉输入变差已经可以解释部分变化。加入识别准确率和其他感觉任务作为对照，可以缩小解释。一个看似直接的因果操作，也仍需要功能特异性的检验。</w:t>
      </w:r>
    </w:p>
    <w:bookmarkEnd w:id="1526"/>
    <w:bookmarkStart w:id="1527" w:name="sec-88-8"/>
    <w:p>
      <w:pPr>
        <w:pStyle w:val="Heading3"/>
      </w:pPr>
      <w:r>
        <w:t xml:space="preserve">88.8　情绪理论之间究竟争论什么</w:t>
      </w:r>
    </w:p>
    <w:p>
      <w:pPr>
        <w:pStyle w:val="FirstParagraph"/>
      </w:pPr>
      <w:r>
        <w:t xml:space="preserve">情绪理论可能在多个层级分歧：是否存在相对离散的情绪类别，类别是否具有跨个体稳定的神经组织，身体和概念怎样参与体验，以及防御行为与意识感受如何联系。这些问题不能靠一个影像元分析一次解决</w:t>
      </w:r>
      <w:r>
        <w:rPr>
          <w:vertAlign w:val="superscript"/>
        </w:rPr>
        <w:t xml:space="preserve">[</w:t>
      </w:r>
      <w:hyperlink w:anchor="ref-532">
        <w:r>
          <w:rPr>
            <w:rStyle w:val="Hyperlink"/>
            <w:vertAlign w:val="superscript"/>
          </w:rPr>
          <w:t xml:space="preserve">532</w:t>
        </w:r>
      </w:hyperlink>
      <w:r>
        <w:rPr>
          <w:vertAlign w:val="superscript"/>
        </w:rPr>
        <w:t xml:space="preserve">,</w:t>
      </w:r>
      <w:hyperlink w:anchor="ref-761">
        <w:r>
          <w:rPr>
            <w:rStyle w:val="Hyperlink"/>
            <w:vertAlign w:val="superscript"/>
          </w:rPr>
          <w:t xml:space="preserve">761</w:t>
        </w:r>
      </w:hyperlink>
      <w:r>
        <w:rPr>
          <w:vertAlign w:val="superscript"/>
        </w:rPr>
        <w:t xml:space="preserve">]</w:t>
      </w:r>
      <w:r>
        <w:t xml:space="preserve">。</w:t>
      </w:r>
    </w:p>
    <w:p>
      <w:pPr>
        <w:pStyle w:val="BodyText"/>
      </w:pPr>
      <w:r>
        <w:t xml:space="preserve">某理论预测特定情绪在多种诱发方式中具有相对稳定模式；另一理论更强调共享过程在不同情境中的组合。要比较它们，需要选择双方都能接受的操作定义，避免一种理论只在自己的任务中被检验。可预先注册的竞争预测，比事后解释脑图更有价值。</w:t>
      </w:r>
    </w:p>
    <w:p>
      <w:pPr>
        <w:pStyle w:val="BodyText"/>
      </w:pPr>
      <w:r>
        <w:t xml:space="preserve">“离散”也不必意味着一个情绪对应一个范围很小的脑区。一个离散类别理论可以提出分布式模式；一个建构理论也可以允许部分过程有相对专门回路。因此，否定单区域定位不足以裁定全部理论。这一点可以防止把较窄证据扩大成理论胜负宣言。</w:t>
      </w:r>
    </w:p>
    <w:bookmarkEnd w:id="1527"/>
    <w:bookmarkStart w:id="1528" w:name="sec-88-9"/>
    <w:p>
      <w:pPr>
        <w:pStyle w:val="Heading3"/>
      </w:pPr>
      <w:r>
        <w:t xml:space="preserve">88.9　构念效度是情绪实验的核心问题</w:t>
      </w:r>
    </w:p>
    <w:p>
      <w:pPr>
        <w:pStyle w:val="FirstParagraph"/>
      </w:pPr>
      <w:r>
        <w:t xml:space="preserve">实验者标为恐惧的图片，参与者可能体验惊讶、厌恶或一般不适；回忆任务又同时涉及自传记忆和想象。若只依赖实验标签，可能把不同心理过程放在同一类中。收集主观报告有帮助，但报告也受词汇、要求和记忆影响。</w:t>
      </w:r>
    </w:p>
    <w:p>
      <w:pPr>
        <w:pStyle w:val="BodyText"/>
      </w:pPr>
      <w:r>
        <w:t xml:space="preserve">多指标测量可以检查体验、身体反应和行为是否一致。指标不一致时，不应立即选择最符合理论的一项。它可能提示不同成分真正分离，也可能反映测量噪声或时序差异。研究需要事先说明主要结局和解释规则。</w:t>
      </w:r>
    </w:p>
    <w:p>
      <w:pPr>
        <w:pStyle w:val="BodyText"/>
      </w:pPr>
      <w:r>
        <w:t xml:space="preserve">构念效度还涉及与相近概念的区分。唤醒强不等于情绪负面，情绪负面不等于威胁，回避也可能由厌恶或努力成本驱动。若实验没有这些对照，神经解释会较宽。精确的心理操作与精确的神经测量同样重要。</w:t>
      </w:r>
    </w:p>
    <w:bookmarkEnd w:id="1528"/>
    <w:bookmarkStart w:id="1529" w:name="sec-88-10"/>
    <w:p>
      <w:pPr>
        <w:pStyle w:val="Heading3"/>
      </w:pPr>
      <w:r>
        <w:t xml:space="preserve">88.10　元分析能够整合什么</w:t>
      </w:r>
    </w:p>
    <w:p>
      <w:pPr>
        <w:pStyle w:val="FirstParagraph"/>
      </w:pPr>
      <w:r>
        <w:t xml:space="preserve">坐标型元分析通常使用论文报告的激活峰值，能够检查跨研究空间一致性，却无法恢复所有未报告信息。原研究阈值、样本、任务和分析选择会影响输入。一个区域经常被报道，可能同时受到真实效应和发表习惯影响</w:t>
      </w:r>
      <w:r>
        <w:rPr>
          <w:vertAlign w:val="superscript"/>
        </w:rPr>
        <w:t xml:space="preserve">[</w:t>
      </w:r>
      <w:hyperlink w:anchor="ref-532">
        <w:r>
          <w:rPr>
            <w:rStyle w:val="Hyperlink"/>
            <w:vertAlign w:val="superscript"/>
          </w:rPr>
          <w:t xml:space="preserve">532</w:t>
        </w:r>
      </w:hyperlink>
      <w:r>
        <w:rPr>
          <w:vertAlign w:val="superscript"/>
        </w:rPr>
        <w:t xml:space="preserve">,</w:t>
      </w:r>
      <w:hyperlink w:anchor="ref-770">
        <w:r>
          <w:rPr>
            <w:rStyle w:val="Hyperlink"/>
            <w:vertAlign w:val="superscript"/>
          </w:rPr>
          <w:t xml:space="preserve">770</w:t>
        </w:r>
      </w:hyperlink>
      <w:r>
        <w:rPr>
          <w:vertAlign w:val="superscript"/>
        </w:rPr>
        <w:t xml:space="preserve">]</w:t>
      </w:r>
      <w:r>
        <w:t xml:space="preserve">。</w:t>
      </w:r>
    </w:p>
    <w:p>
      <w:pPr>
        <w:pStyle w:val="BodyText"/>
      </w:pPr>
      <w:r>
        <w:t xml:space="preserve">图像型元分析若能使用完整统计图，可以保留更多信息，但数据可获得性和标准化仍有限。两种方法都需要处理研究之间的依赖。例如，同一参与者样本发表多篇论文，若被当作完全独立研究，精确度可能被高估。</w:t>
      </w:r>
    </w:p>
    <w:p>
      <w:pPr>
        <w:pStyle w:val="BodyText"/>
      </w:pPr>
      <w:r>
        <w:t xml:space="preserve">异质性应当成为解释的一部分。不同诱发方式、年龄或任务要求出现不同模式，可能说明理论需要边界条件。简单平均能够给出总体趋势，却不能保证适用于每个情境。亚组分析需要足够数据与预先假说，避免多次探索造成偶然结论。</w:t>
      </w:r>
    </w:p>
    <w:bookmarkEnd w:id="1529"/>
    <w:bookmarkStart w:id="1530" w:name="sec-88-11"/>
    <w:p>
      <w:pPr>
        <w:pStyle w:val="Heading3"/>
      </w:pPr>
      <w:r>
        <w:t xml:space="preserve">88.11　模式解码与功能本质</w:t>
      </w:r>
    </w:p>
    <w:p>
      <w:pPr>
        <w:pStyle w:val="FirstParagraph"/>
      </w:pPr>
      <w:r>
        <w:t xml:space="preserve">一个多变量模型可以根据神经活动区分若干实验条件，这说明资料中含有可利用信息。它不自动证明模型已经识别情绪本质。分类器可能利用感觉输入、运动反应或任务难度等与标签共同变化的因素。</w:t>
      </w:r>
    </w:p>
    <w:p>
      <w:pPr>
        <w:pStyle w:val="BodyText"/>
      </w:pPr>
      <w:r>
        <w:t xml:space="preserve">更强检验可以在一种诱发方式训练，在另一种诱发方式测试，并尽量改变无关因素。如果模型跨情境保留预测，构念解释得到支持；如果失败，也需要判断是理论边界还是测量变化。跨域泛化具有价值，但不能由一次成功推广到所有生活情境。</w:t>
      </w:r>
    </w:p>
    <w:p>
      <w:pPr>
        <w:pStyle w:val="BodyText"/>
      </w:pPr>
      <w:r>
        <w:t xml:space="preserve">分类准确率还应与基准率和验证方式一起报告。随机切分试次可能让同一个人的特征同时进入训练与测试，形成个体信息泄漏。若目标是预测新的人，应按参与者分开。若目标是预测新情境，则需要按情境分开。验证设计必须匹配使用目的。</w:t>
      </w:r>
    </w:p>
    <w:bookmarkEnd w:id="1530"/>
    <w:bookmarkStart w:id="1531" w:name="sec-88-12"/>
    <w:p>
      <w:pPr>
        <w:pStyle w:val="Heading3"/>
      </w:pPr>
      <w:r>
        <w:t xml:space="preserve">88.12　连接变化的因果解释</w:t>
      </w:r>
    </w:p>
    <w:p>
      <w:pPr>
        <w:pStyle w:val="FirstParagraph"/>
      </w:pPr>
      <w:r>
        <w:t xml:space="preserve">情绪任务中两个区域相关增强，可能来自直接交互，也可能来自共同输入或任务时间结构。功能连接不提供唯一方向。有效连接模型可以提出方向假说，但结果依赖模型集合和假设，不能被当作无条件观察事实。</w:t>
      </w:r>
    </w:p>
    <w:p>
      <w:pPr>
        <w:pStyle w:val="BodyText"/>
      </w:pPr>
      <w:r>
        <w:t xml:space="preserve">干预可以增加因果信息，仍需说明操作影响范围。刺激一个区域可能通过多条连接改变其他区域，行为变化未必只由某一被关注通路造成。投射特异操作和对照有助于缩小解释，人体中往往难以达到动物实验的选择性。</w:t>
      </w:r>
    </w:p>
    <w:bookmarkEnd w:id="1531"/>
    <w:bookmarkStart w:id="1532" w:name="sec-88-13"/>
    <w:p>
      <w:pPr>
        <w:pStyle w:val="Heading3"/>
      </w:pPr>
      <w:r>
        <w:t xml:space="preserve">88.13　临床症状为何跨传统边界</w:t>
      </w:r>
    </w:p>
    <w:p>
      <w:pPr>
        <w:pStyle w:val="FirstParagraph"/>
      </w:pPr>
      <w:r>
        <w:t xml:space="preserve">焦虑、抑郁和创伤相关症状可以涉及注意、记忆、身体状态和行动等多个过程。用一个传统情绪系统解释全部症状，可能忽略各环节的差异。相同诊断标签也可能包含不同机制组合，因此研究逐渐重视维度与个体异质性。</w:t>
      </w:r>
    </w:p>
    <w:p>
      <w:pPr>
        <w:pStyle w:val="BodyText"/>
      </w:pPr>
      <w:r>
        <w:t xml:space="preserve">维度模型也需要验证。把症状拆成许多维度，若无法提高测量可靠性、预测或治疗选择，未必比原分类更有用。研究应明确目标，比较增量价值，并避免仅因名称更细就宣布解释更好。</w:t>
      </w:r>
    </w:p>
    <w:bookmarkEnd w:id="1532"/>
    <w:bookmarkStart w:id="1533" w:name="sec-88-14"/>
    <w:p>
      <w:pPr>
        <w:pStyle w:val="Heading3"/>
      </w:pPr>
      <w:r>
        <w:t xml:space="preserve">88.14　保留可用知识同时承认未解决问题</w:t>
      </w:r>
    </w:p>
    <w:p>
      <w:pPr>
        <w:pStyle w:val="FirstParagraph"/>
      </w:pPr>
      <w:r>
        <w:t xml:space="preserve">当前资料支持情绪涉及广泛而有组织的脑身互动，也支持某些局部回路对特定过程具有重要性。关于完整主观体验如何形成，理论仍存在分歧。这两个层级需要分开表述。已有的可靠知识不应被一概降为未知，任何单一理论也不应被写成定论。</w:t>
      </w:r>
    </w:p>
    <w:p>
      <w:pPr>
        <w:pStyle w:val="BodyText"/>
      </w:pPr>
      <w:r>
        <w:t xml:space="preserve">对于读者，最有用的习惯是追问一个情绪结论的测量对象、比较条件和推广范围。只要这三点清楚，研究即使没有解决全部问题，也可以提供可靠的局部知识。边缘系统的历史争论展示了这一点：名称可以保留，功能主张必须继续接受证据限制。</w:t>
      </w:r>
    </w:p>
    <w:bookmarkEnd w:id="1533"/>
    <w:bookmarkStart w:id="1534" w:name="sec-88-15"/>
    <w:p>
      <w:pPr>
        <w:pStyle w:val="Heading3"/>
      </w:pPr>
      <w:r>
        <w:t xml:space="preserve">88.15　海马与间脑之间的联系说明功能跨越分类边界</w:t>
      </w:r>
    </w:p>
    <w:p>
      <w:pPr>
        <w:pStyle w:val="FirstParagraph"/>
      </w:pPr>
      <w:r>
        <w:t xml:space="preserve">海马、穹隆、乳头体和丘脑前核之间的联系是理解某些记忆障碍的重要背景。历史研究曾以扩展海马系统概括相关结构，并强调间脑与颞叶病损可能破坏相互联系的记忆过程。这种网络视角的价值是把相距较远的组织放进同一个可追踪路径，同时保留每个结构的不同细胞与连接</w:t>
      </w:r>
      <w:r>
        <w:rPr>
          <w:vertAlign w:val="superscript"/>
        </w:rPr>
        <w:t xml:space="preserve">[</w:t>
      </w:r>
      <w:hyperlink w:anchor="ref-771">
        <w:r>
          <w:rPr>
            <w:rStyle w:val="Hyperlink"/>
            <w:vertAlign w:val="superscript"/>
          </w:rPr>
          <w:t xml:space="preserve">771</w:t>
        </w:r>
      </w:hyperlink>
      <w:r>
        <w:rPr>
          <w:vertAlign w:val="superscript"/>
        </w:rPr>
        <w:t xml:space="preserve">]</w:t>
      </w:r>
      <w:r>
        <w:t xml:space="preserve">。</w:t>
      </w:r>
    </w:p>
    <w:p>
      <w:pPr>
        <w:pStyle w:val="BodyText"/>
      </w:pPr>
      <w:r>
        <w:t xml:space="preserve">穹隆是含有海马相关传入传出纤维的重要白质结构。乳头体属于下丘脑的一部分，其记忆相关联系也说明下丘脑功能超出简单的饥饿或激素调节。丘脑前核与皮层和海马相关区域构成多方向联系。用一个情绪标签覆盖这些结构，会妨碍理解病损后记忆和空间行为的变化。</w:t>
      </w:r>
    </w:p>
    <w:p>
      <w:pPr>
        <w:pStyle w:val="BodyText"/>
      </w:pPr>
      <w:r>
        <w:t xml:space="preserve">记忆功能本身还可分解为事件关系、情境、位置、时间顺序和熟悉程度等。不同任务依赖这些成分的比例不同。一个人能够觉得某张脸熟悉，却难以回忆在哪里见过；另一个任务可能要求把人物、地点和事件顺序绑定。观察到这种差别时，需要检查对应回路和任务条件，不能把全部记忆归为单一的记忆系统</w:t>
      </w:r>
      <w:r>
        <w:rPr>
          <w:vertAlign w:val="superscript"/>
        </w:rPr>
        <w:t xml:space="preserve">[</w:t>
      </w:r>
      <w:hyperlink w:anchor="ref-251">
        <w:r>
          <w:rPr>
            <w:rStyle w:val="Hyperlink"/>
            <w:vertAlign w:val="superscript"/>
          </w:rPr>
          <w:t xml:space="preserve">251</w:t>
        </w:r>
      </w:hyperlink>
      <w:r>
        <w:rPr>
          <w:vertAlign w:val="superscript"/>
        </w:rPr>
        <w:t xml:space="preserve">,</w:t>
      </w:r>
      <w:hyperlink w:anchor="ref-771">
        <w:r>
          <w:rPr>
            <w:rStyle w:val="Hyperlink"/>
            <w:vertAlign w:val="superscript"/>
          </w:rPr>
          <w:t xml:space="preserve">771</w:t>
        </w:r>
      </w:hyperlink>
      <w:r>
        <w:rPr>
          <w:vertAlign w:val="superscript"/>
        </w:rPr>
        <w:t xml:space="preserve">]</w:t>
      </w:r>
      <w:r>
        <w:t xml:space="preserve">。</w:t>
      </w:r>
    </w:p>
    <w:bookmarkEnd w:id="1534"/>
    <w:bookmarkStart w:id="1535" w:name="sec-88-16"/>
    <w:p>
      <w:pPr>
        <w:pStyle w:val="Heading3"/>
      </w:pPr>
      <w:r>
        <w:t xml:space="preserve">88.16　同一解剖区域可以包含不同发育来源和投射群</w:t>
      </w:r>
    </w:p>
    <w:p>
      <w:pPr>
        <w:pStyle w:val="FirstParagraph"/>
      </w:pPr>
      <w:r>
        <w:t xml:space="preserve">杏仁核、海马、扣带皮层与下丘脑的细胞组成并不相同。即使在一个传统核团内部，细胞也可能因递质、基因表达、投射目标和活动模式而分化。部分细胞参与感觉关系学习，部分通过脑干或下丘脑影响身体反应，其他细胞与皮层活动或记忆检索有关。结构名称提供空间范围，细胞类型和连接进一步界定机制</w:t>
      </w:r>
      <w:r>
        <w:rPr>
          <w:vertAlign w:val="superscript"/>
        </w:rPr>
        <w:t xml:space="preserve">[</w:t>
      </w:r>
      <w:hyperlink w:anchor="ref-86">
        <w:r>
          <w:rPr>
            <w:rStyle w:val="Hyperlink"/>
            <w:vertAlign w:val="superscript"/>
          </w:rPr>
          <w:t xml:space="preserve">86</w:t>
        </w:r>
      </w:hyperlink>
      <w:r>
        <w:rPr>
          <w:vertAlign w:val="superscript"/>
        </w:rPr>
        <w:t xml:space="preserve">,</w:t>
      </w:r>
      <w:hyperlink w:anchor="ref-763">
        <w:r>
          <w:rPr>
            <w:rStyle w:val="Hyperlink"/>
            <w:vertAlign w:val="superscript"/>
          </w:rPr>
          <w:t xml:space="preserve">763</w:t>
        </w:r>
      </w:hyperlink>
      <w:r>
        <w:rPr>
          <w:vertAlign w:val="superscript"/>
        </w:rPr>
        <w:t xml:space="preserve">,</w:t>
      </w:r>
      <w:hyperlink w:anchor="ref-764">
        <w:r>
          <w:rPr>
            <w:rStyle w:val="Hyperlink"/>
            <w:vertAlign w:val="superscript"/>
          </w:rPr>
          <w:t xml:space="preserve">764</w:t>
        </w:r>
      </w:hyperlink>
      <w:r>
        <w:rPr>
          <w:vertAlign w:val="superscript"/>
        </w:rPr>
        <w:t xml:space="preserve">]</w:t>
      </w:r>
      <w:r>
        <w:t xml:space="preserve">。</w:t>
      </w:r>
    </w:p>
    <w:p>
      <w:pPr>
        <w:pStyle w:val="BodyText"/>
      </w:pPr>
      <w:r>
        <w:t xml:space="preserve">如果把这些区域合成一个边缘系统总平均信号，可能得到难以解释的结果。一个子群活动增强，另一个减弱，两者平均后看似没有变化；在另一任务中相同平均值又可能来自完全不同细胞组合。这个问题来自组织异质性，与样本数量大小无关。增加更多同类粗测量不能自动恢复被平均掉的细节。</w:t>
      </w:r>
    </w:p>
    <w:p>
      <w:pPr>
        <w:pStyle w:val="BodyText"/>
      </w:pPr>
      <w:r>
        <w:t xml:space="preserve">更细的分析也需要保留组织尺度。单细胞表达图谱可以帮助区分类型，但转录相近不保证连接和活动完全相同。回路追踪可以显示投射，但存在投射不保证在某次情绪任务中发挥主要作用。把表达、形态、连接、生理和行为相互对应，是逐步建立解释的路线。</w:t>
      </w:r>
    </w:p>
    <w:bookmarkEnd w:id="1535"/>
    <w:bookmarkStart w:id="1536" w:name="sec-88-17"/>
    <w:p>
      <w:pPr>
        <w:pStyle w:val="Heading3"/>
      </w:pPr>
      <w:r>
        <w:t xml:space="preserve">88.17　白质联系使解剖邻近与功能相近分离</w:t>
      </w:r>
    </w:p>
    <w:p>
      <w:pPr>
        <w:pStyle w:val="FirstParagraph"/>
      </w:pPr>
      <w:r>
        <w:t xml:space="preserve">脑区之间可以通过长程轴突相互作用，空间上相邻的组织也可能具有不同输入输出。穹隆、扣带束和钩束等白质结构联系的目标与路径不同，某个病损的影响可能来自切断远处通信。临床表现因此可以超过病灶所在的局部灰质范围</w:t>
      </w:r>
      <w:r>
        <w:rPr>
          <w:vertAlign w:val="superscript"/>
        </w:rPr>
        <w:t xml:space="preserve">[</w:t>
      </w:r>
      <w:hyperlink w:anchor="ref-5">
        <w:r>
          <w:rPr>
            <w:rStyle w:val="Hyperlink"/>
            <w:vertAlign w:val="superscript"/>
          </w:rPr>
          <w:t xml:space="preserve">5</w:t>
        </w:r>
      </w:hyperlink>
      <w:r>
        <w:rPr>
          <w:vertAlign w:val="superscript"/>
        </w:rPr>
        <w:t xml:space="preserve">,</w:t>
      </w:r>
      <w:hyperlink w:anchor="ref-15">
        <w:r>
          <w:rPr>
            <w:rStyle w:val="Hyperlink"/>
            <w:vertAlign w:val="superscript"/>
          </w:rPr>
          <w:t xml:space="preserve">15</w:t>
        </w:r>
      </w:hyperlink>
      <w:r>
        <w:rPr>
          <w:vertAlign w:val="superscript"/>
        </w:rPr>
        <w:t xml:space="preserve">]</w:t>
      </w:r>
      <w:r>
        <w:t xml:space="preserve">。</w:t>
      </w:r>
    </w:p>
    <w:p>
      <w:pPr>
        <w:pStyle w:val="BodyText"/>
      </w:pPr>
      <w:r>
        <w:t xml:space="preserve">考虑一个教学情景：某节点的神经元仍存活，但来自关键输入的纤维受损。局部记录可能发现它仍有自发活动，却不再正确响应任务线索。若仅检查局部是否活跃，会漏掉连接中断。反过来，一个区域活动降低也可能由远处输入减少引起，不必假设该区域的所有细胞原发受损。</w:t>
      </w:r>
    </w:p>
    <w:p>
      <w:pPr>
        <w:pStyle w:val="BodyText"/>
      </w:pPr>
      <w:r>
        <w:t xml:space="preserve">这类推理有助于解释为什么功能网络需要同时考虑节点和连接。节点的细胞组成决定其可执行的局部操作，连接决定何种信息在何时到达。疾病和学习都可改变其中任一部分。用固定颜色给一组脑区共同命名，只能作为地图上的组织方式，不能代替这些关系。</w:t>
      </w:r>
    </w:p>
    <w:bookmarkEnd w:id="1536"/>
    <w:bookmarkStart w:id="1537" w:name="sec-88-18"/>
    <w:p>
      <w:pPr>
        <w:pStyle w:val="Heading3"/>
      </w:pPr>
      <w:r>
        <w:t xml:space="preserve">88.18　自主输出与主观情绪之间存在多级转换</w:t>
      </w:r>
    </w:p>
    <w:p>
      <w:pPr>
        <w:pStyle w:val="FirstParagraph"/>
      </w:pPr>
      <w:r>
        <w:t xml:space="preserve">下丘脑和脑干参与组织自主与内分泌输出，身体感觉再通过传入路径返回中枢。某种情绪任务可以同时引起心率、呼吸、肌张力和激素的变化，但这些指标的方向和强度不必完全一致。不同反应具有不同时间常数与功能，例如快速姿势准备与较慢内分泌调整可并行存在</w:t>
      </w:r>
      <w:r>
        <w:rPr>
          <w:vertAlign w:val="superscript"/>
        </w:rPr>
        <w:t xml:space="preserve">[</w:t>
      </w:r>
      <w:hyperlink w:anchor="ref-16">
        <w:r>
          <w:rPr>
            <w:rStyle w:val="Hyperlink"/>
            <w:vertAlign w:val="superscript"/>
          </w:rPr>
          <w:t xml:space="preserve">16</w:t>
        </w:r>
      </w:hyperlink>
      <w:r>
        <w:rPr>
          <w:vertAlign w:val="superscript"/>
        </w:rPr>
        <w:t xml:space="preserve">,</w:t>
      </w:r>
      <w:hyperlink w:anchor="ref-772">
        <w:r>
          <w:rPr>
            <w:rStyle w:val="Hyperlink"/>
            <w:vertAlign w:val="superscript"/>
          </w:rPr>
          <w:t xml:space="preserve">772</w:t>
        </w:r>
      </w:hyperlink>
      <w:r>
        <w:rPr>
          <w:vertAlign w:val="superscript"/>
        </w:rPr>
        <w:t xml:space="preserve">]</w:t>
      </w:r>
      <w:r>
        <w:t xml:space="preserve">。</w:t>
      </w:r>
    </w:p>
    <w:p>
      <w:pPr>
        <w:pStyle w:val="BodyText"/>
      </w:pPr>
      <w:r>
        <w:t xml:space="preserve">主观情绪词通常把多个方面压缩在一起。紧张可能包含威胁预期、身体唤醒、不确定感和行动准备，不同人对词义的使用也会不同。把一个脑区活动与该词相关联后，再把该区命名为紧张中心，会忽视测量中已经混合的多个成分。更精确的回路问题是：哪些细胞在什么条件下改变何种身体或行为输出，以及这些变化怎样与报告联系。</w:t>
      </w:r>
    </w:p>
    <w:bookmarkEnd w:id="1537"/>
    <w:bookmarkStart w:id="1538" w:name="sec-88-19"/>
    <w:p>
      <w:pPr>
        <w:pStyle w:val="Heading3"/>
      </w:pPr>
      <w:r>
        <w:t xml:space="preserve">88.19　嗅觉联系提供另一个跨功能实例</w:t>
      </w:r>
    </w:p>
    <w:p>
      <w:pPr>
        <w:pStyle w:val="FirstParagraph"/>
      </w:pPr>
      <w:r>
        <w:t xml:space="preserve">嗅觉输入通过嗅球进入相关皮层和其他目标，既可支持气味身份辨别，也可参与与食物、情境和既往经验的联系。一个气味在初次接触时可能主要提供化学身份信息，经过学习后可以预测食物或不适。学习重新组织了这一输入与后续记忆及行为之间的关系，受体和早期通路仍然承担化学识别功能</w:t>
      </w:r>
      <w:r>
        <w:rPr>
          <w:vertAlign w:val="superscript"/>
        </w:rPr>
        <w:t xml:space="preserve">[</w:t>
      </w:r>
      <w:hyperlink w:anchor="ref-32">
        <w:r>
          <w:rPr>
            <w:rStyle w:val="Hyperlink"/>
            <w:vertAlign w:val="superscript"/>
          </w:rPr>
          <w:t xml:space="preserve">32</w:t>
        </w:r>
      </w:hyperlink>
      <w:r>
        <w:rPr>
          <w:vertAlign w:val="superscript"/>
        </w:rPr>
        <w:t xml:space="preserve">,</w:t>
      </w:r>
      <w:hyperlink w:anchor="ref-33">
        <w:r>
          <w:rPr>
            <w:rStyle w:val="Hyperlink"/>
            <w:vertAlign w:val="superscript"/>
          </w:rPr>
          <w:t xml:space="preserve">33</w:t>
        </w:r>
      </w:hyperlink>
      <w:r>
        <w:rPr>
          <w:vertAlign w:val="superscript"/>
        </w:rPr>
        <w:t xml:space="preserve">]</w:t>
      </w:r>
      <w:r>
        <w:t xml:space="preserve">。</w:t>
      </w:r>
    </w:p>
    <w:p>
      <w:pPr>
        <w:pStyle w:val="BodyText"/>
      </w:pPr>
      <w:r>
        <w:t xml:space="preserve">这个实例说明同一感觉信号可以被多种系统使用。把嗅觉、记忆和情绪都观察到的重叠区域当成一个专属功能区域，容易忽略共同信息来源。可检验的问题包括气味身份能否仍被辨别、学习关系是否保留、身体反应是否改变；三者可以分别测量。这样的分解让历史上被归在一起的结构获得更精细的功能描述。</w:t>
      </w:r>
    </w:p>
    <w:p>
      <w:pPr>
        <w:pStyle w:val="BodyText"/>
      </w:pPr>
      <w:r>
        <w:t xml:space="preserve">历史分类仍可以在学习解剖时提供线索，例如提醒读者查看内侧颞叶、间脑与内侧皮层之间的联系。随着问题具体化，应使用更明确的结构、细胞和通路名称。这样保留了解剖知识的连续性，也使新的证据能够逐项改变模型。</w:t>
      </w:r>
    </w:p>
    <w:bookmarkEnd w:id="1538"/>
    <w:bookmarkStart w:id="1539" w:name="sec-88-20"/>
    <w:p>
      <w:pPr>
        <w:pStyle w:val="Heading3"/>
      </w:pPr>
      <w:r>
        <w:t xml:space="preserve">88.20　本章结论</w:t>
      </w:r>
    </w:p>
    <w:p>
      <w:pPr>
        <w:pStyle w:val="FirstParagraph"/>
      </w:pPr>
      <w:r>
        <w:t xml:space="preserve">传统边缘系统不能承担专属、完整和独立的情绪器官这一强主张。更精确的分析从具体结构、连接、任务和指标出发。研究仍可以寻找跨情绪的共同组织，以及各类情境下相对特殊的回路。开放问题涉及如何在主观体验、行为和细胞机制之间建立可靠对应，现有资料没有给出单一最终答案</w:t>
      </w:r>
      <w:r>
        <w:rPr>
          <w:vertAlign w:val="superscript"/>
        </w:rPr>
        <w:t xml:space="preserve">[</w:t>
      </w:r>
      <w:hyperlink w:anchor="ref-532">
        <w:r>
          <w:rPr>
            <w:rStyle w:val="Hyperlink"/>
            <w:vertAlign w:val="superscript"/>
          </w:rPr>
          <w:t xml:space="preserve">532</w:t>
        </w:r>
      </w:hyperlink>
      <w:r>
        <w:rPr>
          <w:vertAlign w:val="superscript"/>
        </w:rPr>
        <w:t xml:space="preserve">,</w:t>
      </w:r>
      <w:hyperlink w:anchor="ref-761">
        <w:r>
          <w:rPr>
            <w:rStyle w:val="Hyperlink"/>
            <w:vertAlign w:val="superscript"/>
          </w:rPr>
          <w:t xml:space="preserve">761</w:t>
        </w:r>
      </w:hyperlink>
      <w:r>
        <w:rPr>
          <w:vertAlign w:val="superscript"/>
        </w:rPr>
        <w:t xml:space="preserve">,</w:t>
      </w:r>
      <w:hyperlink w:anchor="ref-770">
        <w:r>
          <w:rPr>
            <w:rStyle w:val="Hyperlink"/>
            <w:vertAlign w:val="superscript"/>
          </w:rPr>
          <w:t xml:space="preserve">770</w:t>
        </w:r>
      </w:hyperlink>
      <w:r>
        <w:rPr>
          <w:vertAlign w:val="superscript"/>
        </w:rPr>
        <w:t xml:space="preserve">]</w:t>
      </w:r>
      <w:r>
        <w:t xml:space="preserve">。</w:t>
      </w:r>
    </w:p>
    <w:bookmarkEnd w:id="1539"/>
    <w:bookmarkEnd w:id="1540"/>
    <w:bookmarkStart w:id="1559" w:name="ch-89"/>
    <w:p>
      <w:pPr>
        <w:pStyle w:val="Heading2"/>
      </w:pPr>
      <w:r>
        <w:t xml:space="preserve">第89章　前额叶与认知控制</w:t>
      </w:r>
    </w:p>
    <w:bookmarkStart w:id="1541" w:name="sec-89-1"/>
    <w:p>
      <w:pPr>
        <w:pStyle w:val="Heading3"/>
      </w:pPr>
      <w:r>
        <w:t xml:space="preserve">89.1　一组分工不同的区域</w:t>
      </w:r>
    </w:p>
    <w:p>
      <w:pPr>
        <w:pStyle w:val="FirstParagraph"/>
      </w:pPr>
      <w:r>
        <w:t xml:space="preserve">前额叶是额叶最前面的部分，在人类大脑皮层中占比很大。把它统称为“理性脑”会丢掉最重要的信息：它的各个分区做的事情差别很大。一个有影响的整合理论认为，前额叶的核心作用是维持当前目标的表征，并据此向其他脑区发出“偏置信号”，引导信息沿合适的通路流动</w:t>
      </w:r>
      <w:r>
        <w:rPr>
          <w:vertAlign w:val="superscript"/>
        </w:rPr>
        <w:t xml:space="preserve">[</w:t>
      </w:r>
      <w:hyperlink w:anchor="ref-731">
        <w:r>
          <w:rPr>
            <w:rStyle w:val="Hyperlink"/>
            <w:vertAlign w:val="superscript"/>
          </w:rPr>
          <w:t xml:space="preserve">731</w:t>
        </w:r>
      </w:hyperlink>
      <w:r>
        <w:rPr>
          <w:vertAlign w:val="superscript"/>
        </w:rPr>
        <w:t xml:space="preserve">]</w:t>
      </w:r>
      <w:r>
        <w:t xml:space="preserve">。它是一组持续协调其他系统的区域。</w:t>
      </w:r>
    </w:p>
    <w:p>
      <w:pPr>
        <w:pStyle w:val="BodyText"/>
      </w:pPr>
      <w:r>
        <w:t xml:space="preserve">背外侧前额叶参与在头脑中保持信息和规则（工作记忆），维持目标、分配注意、制定计划。腹外侧前额叶参与在多个选项中做选择和抑制不合适的反应；右侧额下回常被称为“刹车”，这里的“刹车”指停止或暂停动作反应。由此推不出“理性压住情绪”。它在停止任务中的作用也可能包括察觉停止信号、重新定向注意；停止动作也由额叶、前辅助运动区和基底节组成的网络共同完成。腹内侧前额叶与眶额皮层参与计算选项的主观价值、根据结果更新预期、恐惧消退，以及把身体和情绪信号整合进决策；</w:t>
      </w:r>
      <w:hyperlink w:anchor="sec-46-1">
        <w:r>
          <w:rPr>
            <w:rStyle w:val="Hyperlink"/>
          </w:rPr>
          <w:t xml:space="preserve">46.1 节</w:t>
        </w:r>
      </w:hyperlink>
      <w:r>
        <w:t xml:space="preserve">提到的达马西奥病人，损伤的正是这一带。内侧前额叶是加工与自我有关的信息、理解他人心理的核心区域，也是默认模式网络的主要节点；自我相关的判断更多动用它的腹侧和前部，推断他人想法更多动用背内侧部分</w:t>
      </w:r>
      <w:r>
        <w:rPr>
          <w:vertAlign w:val="superscript"/>
        </w:rPr>
        <w:t xml:space="preserve">[</w:t>
      </w:r>
      <w:hyperlink w:anchor="ref-773">
        <w:r>
          <w:rPr>
            <w:rStyle w:val="Hyperlink"/>
            <w:vertAlign w:val="superscript"/>
          </w:rPr>
          <w:t xml:space="preserve">773</w:t>
        </w:r>
      </w:hyperlink>
      <w:r>
        <w:rPr>
          <w:vertAlign w:val="superscript"/>
        </w:rPr>
        <w:t xml:space="preserve">]</w:t>
      </w:r>
      <w:r>
        <w:t xml:space="preserve">。最前端的前额极与抽象关系整合和元认知相关，见</w:t>
      </w:r>
      <w:r>
        <w:t xml:space="preserve"> </w:t>
      </w:r>
      <w:hyperlink w:anchor="sec-89-2">
        <w:r>
          <w:rPr>
            <w:rStyle w:val="Hyperlink"/>
          </w:rPr>
          <w:t xml:space="preserve">89.2</w:t>
        </w:r>
      </w:hyperlink>
      <w:r>
        <w:t xml:space="preserve">和</w:t>
      </w:r>
      <w:r>
        <w:t xml:space="preserve"> </w:t>
      </w:r>
      <w:hyperlink w:anchor="sec-110-2">
        <w:r>
          <w:rPr>
            <w:rStyle w:val="Hyperlink"/>
          </w:rPr>
          <w:t xml:space="preserve">110.2</w:t>
        </w:r>
      </w:hyperlink>
      <w:r>
        <w:t xml:space="preserve">。</w:t>
      </w:r>
    </w:p>
    <w:p>
      <w:pPr>
        <w:pStyle w:val="BodyText"/>
      </w:pPr>
      <w:r>
        <w:t xml:space="preserve">情绪调节研究直接挑战了“前额叶踩刹车”的说法。对 48 项认知重评研究的元分析发现，重评时稳定激活的区域包括认知控制区和外侧颞叶；腹内侧前额叶在该元分析中没有检出一致激活</w:t>
      </w:r>
      <w:r>
        <w:rPr>
          <w:vertAlign w:val="superscript"/>
        </w:rPr>
        <w:t xml:space="preserve">[</w:t>
      </w:r>
      <w:hyperlink w:anchor="ref-774">
        <w:r>
          <w:rPr>
            <w:rStyle w:val="Hyperlink"/>
            <w:vertAlign w:val="superscript"/>
          </w:rPr>
          <w:t xml:space="preserve">774</w:t>
        </w:r>
      </w:hyperlink>
      <w:r>
        <w:rPr>
          <w:vertAlign w:val="superscript"/>
        </w:rPr>
        <w:t xml:space="preserve">]</w:t>
      </w:r>
      <w:r>
        <w:t xml:space="preserve">。这种空间模式支持语义理解与认知控制共同参与的解释：控制区可能先改变对情境的理解，杏仁核活动随之下降，过程是间接的。坐标元分析没有检出某个区域，也可能与任务差异、阈值和论文的报告方式有关；现有结果还不能确定一条固定的“前额叶—语义区—杏仁核”因果通路。</w:t>
      </w:r>
    </w:p>
    <w:p>
      <w:pPr>
        <w:pStyle w:val="CalloutJudgment"/>
      </w:pPr>
      <w:r>
        <w:rPr>
          <w:bCs/>
          <w:b/>
        </w:rPr>
        <w:t xml:space="preserve">判断　</w:t>
      </w:r>
      <w:r>
        <w:t xml:space="preserve">“前额叶 = 理性的 CEO 或刹车”</w:t>
      </w:r>
      <w:r>
        <w:rPr>
          <w:bCs/>
          <w:b/>
        </w:rPr>
        <w:t xml:space="preserve">过度简化·高</w:t>
      </w:r>
      <w:r>
        <w:t xml:space="preserve">；“情绪妨碍理性决策”</w:t>
      </w:r>
      <w:r>
        <w:rPr>
          <w:bCs/>
          <w:b/>
        </w:rPr>
        <w:t xml:space="preserve">过度简化·高</w:t>
      </w:r>
      <w:r>
        <w:t xml:space="preserve">（见</w:t>
      </w:r>
      <w:r>
        <w:t xml:space="preserve"> </w:t>
      </w:r>
      <w:hyperlink w:anchor="sec-46-1">
        <w:r>
          <w:rPr>
            <w:rStyle w:val="Hyperlink"/>
          </w:rPr>
          <w:t xml:space="preserve">46.1</w:t>
        </w:r>
      </w:hyperlink>
      <w:r>
        <w:t xml:space="preserve">）；“内侧前额叶是自我中心区”</w:t>
      </w:r>
      <w:r>
        <w:rPr>
          <w:bCs/>
          <w:b/>
        </w:rPr>
        <w:t xml:space="preserve">过度简化·高</w:t>
      </w:r>
      <w:r>
        <w:t xml:space="preserve">。</w:t>
      </w:r>
    </w:p>
    <w:bookmarkEnd w:id="1541"/>
    <w:bookmarkStart w:id="1542" w:name="sec-89-2"/>
    <w:p>
      <w:pPr>
        <w:pStyle w:val="Heading3"/>
      </w:pPr>
      <w:r>
        <w:t xml:space="preserve">89.2　前额叶前部与“抽象区”的说法</w:t>
      </w:r>
    </w:p>
    <w:p>
      <w:pPr>
        <w:pStyle w:val="FirstParagraph"/>
      </w:pPr>
      <w:r>
        <w:t xml:space="preserve">大脑没有专门负责“抽象”的单一区域，抽象思维有几条较为清楚的神经线索。外侧前额叶内部存在一条从后到前的梯度：靠后的区域对具体刺激作反应，靠前的区域处理情境和更长时程的规则</w:t>
      </w:r>
      <w:r>
        <w:rPr>
          <w:vertAlign w:val="superscript"/>
        </w:rPr>
        <w:t xml:space="preserve">[</w:t>
      </w:r>
      <w:hyperlink w:anchor="ref-775">
        <w:r>
          <w:rPr>
            <w:rStyle w:val="Hyperlink"/>
            <w:vertAlign w:val="superscript"/>
          </w:rPr>
          <w:t xml:space="preserve">775</w:t>
        </w:r>
      </w:hyperlink>
      <w:r>
        <w:rPr>
          <w:vertAlign w:val="superscript"/>
        </w:rPr>
        <w:t xml:space="preserve">]</w:t>
      </w:r>
      <w:r>
        <w:t xml:space="preserve">；这条梯度是否构成严格的层级仍有争论，新近的综述认为，证据既不支持单一的控制中心，也不支持单一维度的“抽象梯度”，外侧额叶由几个功能上不连续的区带和网络组成，层级关系既有局部的，也有全局的</w:t>
      </w:r>
      <w:r>
        <w:rPr>
          <w:vertAlign w:val="superscript"/>
        </w:rPr>
        <w:t xml:space="preserve">[</w:t>
      </w:r>
      <w:hyperlink w:anchor="ref-776">
        <w:r>
          <w:rPr>
            <w:rStyle w:val="Hyperlink"/>
            <w:vertAlign w:val="superscript"/>
          </w:rPr>
          <w:t xml:space="preserve">776</w:t>
        </w:r>
      </w:hyperlink>
      <w:r>
        <w:rPr>
          <w:vertAlign w:val="superscript"/>
        </w:rPr>
        <w:t xml:space="preserve">]</w:t>
      </w:r>
      <w:r>
        <w:t xml:space="preserve">；这说明外侧额叶存在层级组织，组织方式比一条前后方向的抽象梯度复杂。最前端的前额极皮层（约相当于布罗德曼 10 区）在需要同时整合多重关系的推理任务中最活跃</w:t>
      </w:r>
      <w:r>
        <w:rPr>
          <w:vertAlign w:val="superscript"/>
        </w:rPr>
        <w:t xml:space="preserve">[</w:t>
      </w:r>
      <w:hyperlink w:anchor="ref-777">
        <w:r>
          <w:rPr>
            <w:rStyle w:val="Hyperlink"/>
            <w:vertAlign w:val="superscript"/>
          </w:rPr>
          <w:t xml:space="preserve">777</w:t>
        </w:r>
      </w:hyperlink>
      <w:r>
        <w:rPr>
          <w:vertAlign w:val="superscript"/>
        </w:rPr>
        <w:t xml:space="preserve">]</w:t>
      </w:r>
      <w:r>
        <w:t xml:space="preserve">。数量加工的核心在顶内沟</w:t>
      </w:r>
      <w:r>
        <w:rPr>
          <w:vertAlign w:val="superscript"/>
        </w:rPr>
        <w:t xml:space="preserve">[</w:t>
      </w:r>
      <w:hyperlink w:anchor="ref-426">
        <w:r>
          <w:rPr>
            <w:rStyle w:val="Hyperlink"/>
            <w:vertAlign w:val="superscript"/>
          </w:rPr>
          <w:t xml:space="preserve">426</w:t>
        </w:r>
      </w:hyperlink>
      <w:r>
        <w:rPr>
          <w:vertAlign w:val="superscript"/>
        </w:rPr>
        <w:t xml:space="preserve">]</w:t>
      </w:r>
      <w:r>
        <w:t xml:space="preserve">；职业数学家思考高等数学时，动用双侧额叶、顶内沟和腹外侧颞叶。在这项研究的任务对比中，与语言加工有关的区域没有参与</w:t>
      </w:r>
      <w:r>
        <w:rPr>
          <w:vertAlign w:val="superscript"/>
        </w:rPr>
        <w:t xml:space="preserve">[</w:t>
      </w:r>
      <w:hyperlink w:anchor="ref-672">
        <w:r>
          <w:rPr>
            <w:rStyle w:val="Hyperlink"/>
            <w:vertAlign w:val="superscript"/>
          </w:rPr>
          <w:t xml:space="preserve">672</w:t>
        </w:r>
      </w:hyperlink>
      <w:r>
        <w:rPr>
          <w:vertAlign w:val="superscript"/>
        </w:rPr>
        <w:t xml:space="preserve">]</w:t>
      </w:r>
      <w:r>
        <w:t xml:space="preserve">；读题、写证明和交流仍然要用到语言。概念与语义知识则分布在颞叶等广泛区域，一项基于数小时自然语音的研究发现，语义内容的表征铺满了大片皮层</w:t>
      </w:r>
      <w:r>
        <w:rPr>
          <w:vertAlign w:val="superscript"/>
        </w:rPr>
        <w:t xml:space="preserve">[</w:t>
      </w:r>
      <w:hyperlink w:anchor="ref-778">
        <w:r>
          <w:rPr>
            <w:rStyle w:val="Hyperlink"/>
            <w:vertAlign w:val="superscript"/>
          </w:rPr>
          <w:t xml:space="preserve">778</w:t>
        </w:r>
      </w:hyperlink>
      <w:r>
        <w:rPr>
          <w:vertAlign w:val="superscript"/>
        </w:rPr>
        <w:t xml:space="preserve">]</w:t>
      </w:r>
      <w:r>
        <w:t xml:space="preserve">。</w:t>
      </w:r>
    </w:p>
    <w:p>
      <w:pPr>
        <w:pStyle w:val="CalloutJudgment"/>
      </w:pPr>
      <w:r>
        <w:rPr>
          <w:bCs/>
          <w:b/>
        </w:rPr>
        <w:t xml:space="preserve">判断　</w:t>
      </w:r>
      <w:r>
        <w:t xml:space="preserve">“大脑有一个抽象区”</w:t>
      </w:r>
      <w:r>
        <w:rPr>
          <w:bCs/>
          <w:b/>
        </w:rPr>
        <w:t xml:space="preserve">过度简化·高</w:t>
      </w:r>
      <w:r>
        <w:t xml:space="preserve">；“前额叶前部在抽象规则和多重关系整合中作用突出”</w:t>
      </w:r>
      <w:r>
        <w:rPr>
          <w:bCs/>
          <w:b/>
        </w:rPr>
        <w:t xml:space="preserve">成立·中</w:t>
      </w:r>
      <w:r>
        <w:t xml:space="preserve">。</w:t>
      </w:r>
    </w:p>
    <w:bookmarkEnd w:id="1542"/>
    <w:bookmarkStart w:id="1543" w:name="sec-89-3"/>
    <w:p>
      <w:pPr>
        <w:pStyle w:val="Heading3"/>
      </w:pPr>
      <w:r>
        <w:t xml:space="preserve">89.3　控制需要被分解成信息处理过程</w:t>
      </w:r>
    </w:p>
    <w:p>
      <w:pPr>
        <w:pStyle w:val="FirstParagraph"/>
      </w:pPr>
      <w:r>
        <w:t xml:space="preserve">前额叶对目标维持、规则使用和部分行为调节具有重要贡献，置信度高。把它视为一个独立知道全部信息的总司令，解释力很有限。一个有内容的机制模型必须说明目标如何表示、何时更新、怎样影响竞争行动，以及怎样根据反馈改变</w:t>
      </w:r>
      <w:r>
        <w:rPr>
          <w:vertAlign w:val="superscript"/>
        </w:rPr>
        <w:t xml:space="preserve">[</w:t>
      </w:r>
      <w:hyperlink w:anchor="ref-731">
        <w:r>
          <w:rPr>
            <w:rStyle w:val="Hyperlink"/>
            <w:vertAlign w:val="superscript"/>
          </w:rPr>
          <w:t xml:space="preserve">731</w:t>
        </w:r>
      </w:hyperlink>
      <w:r>
        <w:rPr>
          <w:vertAlign w:val="superscript"/>
        </w:rPr>
        <w:t xml:space="preserve">,</w:t>
      </w:r>
      <w:hyperlink w:anchor="ref-779">
        <w:r>
          <w:rPr>
            <w:rStyle w:val="Hyperlink"/>
            <w:vertAlign w:val="superscript"/>
          </w:rPr>
          <w:t xml:space="preserve">779</w:t>
        </w:r>
      </w:hyperlink>
      <w:r>
        <w:rPr>
          <w:vertAlign w:val="superscript"/>
        </w:rPr>
        <w:t xml:space="preserve">]</w:t>
      </w:r>
      <w:r>
        <w:t xml:space="preserve">。</w:t>
      </w:r>
    </w:p>
    <w:p>
      <w:pPr>
        <w:pStyle w:val="BodyText"/>
      </w:pPr>
      <w:r>
        <w:t xml:space="preserve">控制任务常要求在多个可能反应之间选择符合当前规则的一项。规则可以来自口头指令、长期训练或当前情境。相同刺激在不同规则下要求不同反应，这使研究者能够把感觉输入与任务目标分离。神经信号如果随规则变化，便比只随刺激变化更接近支持任务表征。</w:t>
      </w:r>
    </w:p>
    <w:p>
      <w:pPr>
        <w:pStyle w:val="BodyText"/>
      </w:pPr>
      <w:r>
        <w:t xml:space="preserve">然而，一个细胞在某条规则下放电较强，不自动表示它只编码规则。它可能同时受到刺激、动作、奖励或时间阶段影响。混合选择性让细胞群能够表示复杂组合，但解释时需要多条件设计和适当模型，避免只选择最顺眼的功能标签。</w:t>
      </w:r>
    </w:p>
    <w:bookmarkEnd w:id="1543"/>
    <w:bookmarkStart w:id="1544" w:name="sec-89-4"/>
    <w:p>
      <w:pPr>
        <w:pStyle w:val="Heading3"/>
      </w:pPr>
      <w:r>
        <w:t xml:space="preserve">89.4　工作记忆的保持与更新</w:t>
      </w:r>
    </w:p>
    <w:p>
      <w:pPr>
        <w:pStyle w:val="FirstParagraph"/>
      </w:pPr>
      <w:r>
        <w:t xml:space="preserve">工作记忆需要在短时间内保留与任务相关的信息，同时允许新信息替换旧信息。保持过于不稳定会造成遗忘，更新过于容易又会受到干扰。这个稳定性与灵活性的关系，可以用延迟、干扰和规则切换任务检验。</w:t>
      </w:r>
    </w:p>
    <w:p>
      <w:pPr>
        <w:pStyle w:val="BodyText"/>
      </w:pPr>
      <w:r>
        <w:t xml:space="preserve">经典模型强调前额叶持续活动可以维持目标，并通过偏置信号影响其他处理通路。它把控制落实为可记录的活动和可改变的联系。持续活动能够提供重要证据，但不能预先要求所有工作记忆都必须由相同形式的恒定放电实现；不同任务和时间尺度可能涉及不同维持机制</w:t>
      </w:r>
      <w:r>
        <w:rPr>
          <w:vertAlign w:val="superscript"/>
        </w:rPr>
        <w:t xml:space="preserve">[</w:t>
      </w:r>
      <w:hyperlink w:anchor="ref-731">
        <w:r>
          <w:rPr>
            <w:rStyle w:val="Hyperlink"/>
            <w:vertAlign w:val="superscript"/>
          </w:rPr>
          <w:t xml:space="preserve">731</w:t>
        </w:r>
      </w:hyperlink>
      <w:r>
        <w:rPr>
          <w:vertAlign w:val="superscript"/>
        </w:rPr>
        <w:t xml:space="preserve">]</w:t>
      </w:r>
      <w:r>
        <w:t xml:space="preserve">。</w:t>
      </w:r>
    </w:p>
    <w:p>
      <w:pPr>
        <w:pStyle w:val="BodyText"/>
      </w:pPr>
      <w:r>
        <w:t xml:space="preserve">如果研究只在延迟期看到活动，仍需检查它是否与记忆内容有关。动物可能同时保持动作准备或奖励预期。通过改变报告方式、延迟长度和奖励结构，可以分离这些成分。一个真正的记忆解释应在这些控制下保留与所记内容的关系。</w:t>
      </w:r>
    </w:p>
    <w:bookmarkEnd w:id="1544"/>
    <w:bookmarkStart w:id="1545" w:name="sec-89-5"/>
    <w:p>
      <w:pPr>
        <w:pStyle w:val="Heading3"/>
      </w:pPr>
      <w:r>
        <w:t xml:space="preserve">89.5　行为抑制的多种含义</w:t>
      </w:r>
    </w:p>
    <w:p>
      <w:pPr>
        <w:pStyle w:val="FirstParagraph"/>
      </w:pPr>
      <w:r>
        <w:t xml:space="preserve">“抑制”可以指停止已准备的动作、忽略无关刺激、阻止过时规则影响当前反应，或减少某种想法进入报告。它们可能共享部分资源，但不能仅因使用同一个词，就当作同一项能力。任务之间相关很弱时，更需要检查测量可靠性和过程构成。</w:t>
      </w:r>
    </w:p>
    <w:p>
      <w:pPr>
        <w:pStyle w:val="BodyText"/>
      </w:pPr>
      <w:r>
        <w:t xml:space="preserve">停止信号任务中的成功，可以受到停止过程速度、行动启动速度和策略调整影响。一个人为了避免错误而整体变慢，也可能提高停止比例。因此应同时看反应时分布和任务模型，不应把一个比例直接称为前额叶强度。</w:t>
      </w:r>
    </w:p>
    <w:p>
      <w:pPr>
        <w:pStyle w:val="BodyText"/>
      </w:pPr>
      <w:r>
        <w:t xml:space="preserve">同样，注意任务成绩下降可以来自感觉辨认、持续警觉或反应选择。控制研究如果没有分离这些环节，定位会较粗。前额叶参与某任务，不意味着其他区域只被动服从；控制的实际效果依赖它们接收和利用信号的方式。</w:t>
      </w:r>
    </w:p>
    <w:bookmarkEnd w:id="1545"/>
    <w:bookmarkStart w:id="1546" w:name="sec-89-6"/>
    <w:p>
      <w:pPr>
        <w:pStyle w:val="Heading3"/>
      </w:pPr>
      <w:r>
        <w:t xml:space="preserve">89.6　前额叶的网络位置与连接</w:t>
      </w:r>
    </w:p>
    <w:p>
      <w:pPr>
        <w:pStyle w:val="FirstParagraph"/>
      </w:pPr>
      <w:r>
        <w:t xml:space="preserve">一个区域的作用受到其网络位置约束。它接收哪些感觉和记忆信息，投向哪些运动或其他控制结构，决定它可能影响哪些过程。若忽略连接，只根据某区域在头部的位置解释行为，就难以说明为什么相邻区域的病损产生不同模式。</w:t>
      </w:r>
    </w:p>
    <w:p>
      <w:pPr>
        <w:pStyle w:val="BodyText"/>
      </w:pPr>
      <w:r>
        <w:t xml:space="preserve">控制也涉及基底节、丘脑、顶叶及感觉运动系统等联系。研究中可以用环路模型说明选择、更新和执行如何协调，但每个环节都需要相应证据。系统分布广泛不意味着所有节点同等重要；某节点仍可能对某一阶段具有较强因果贡献。</w:t>
      </w:r>
    </w:p>
    <w:bookmarkEnd w:id="1546"/>
    <w:bookmarkStart w:id="1547" w:name="sec-89-7"/>
    <w:p>
      <w:pPr>
        <w:pStyle w:val="Heading3"/>
      </w:pPr>
      <w:r>
        <w:t xml:space="preserve">89.7　灵活网络联系的证据</w:t>
      </w:r>
    </w:p>
    <w:p>
      <w:pPr>
        <w:pStyle w:val="FirstParagraph"/>
      </w:pPr>
      <w:r>
        <w:t xml:space="preserve">Cole及同事利用多任务fMRI研究额顶控制网络在不同任务中的连接模式，结果与灵活枢纽模型相容：部分区域随任务改变其与其他网络的联系，并在新旧任务之间利用相关模式。功能连接主要反映统计依赖，不能单独指定信号方向或证明单向指挥</w:t>
      </w:r>
      <w:r>
        <w:rPr>
          <w:vertAlign w:val="superscript"/>
        </w:rPr>
        <w:t xml:space="preserve">[</w:t>
      </w:r>
      <w:hyperlink w:anchor="ref-779">
        <w:r>
          <w:rPr>
            <w:rStyle w:val="Hyperlink"/>
            <w:vertAlign w:val="superscript"/>
          </w:rPr>
          <w:t xml:space="preserve">779</w:t>
        </w:r>
      </w:hyperlink>
      <w:r>
        <w:rPr>
          <w:vertAlign w:val="superscript"/>
        </w:rPr>
        <w:t xml:space="preserve">]</w:t>
      </w:r>
      <w:r>
        <w:t xml:space="preserve">。</w:t>
      </w:r>
    </w:p>
    <w:p>
      <w:pPr>
        <w:pStyle w:val="BodyText"/>
      </w:pPr>
      <w:r>
        <w:t xml:space="preserve">这个模型的预测价值在于，它把适应性控制与任务相关的联系变化联系起来。若模型只在事后把任何变化称为灵活，它的解释会减弱。更强的检验是利用一组任务估计联系规则，再预测未参与建模的新任务表现，并检查预测是否超过其他模型。</w:t>
      </w:r>
    </w:p>
    <w:p>
      <w:pPr>
        <w:pStyle w:val="BodyText"/>
      </w:pPr>
      <w:r>
        <w:t xml:space="preserve">个体内任务差异与个体间能力差异也应分开。某网络在一个人完成不同任务时变化明显，不等于人与人之间该指标的差异能够可靠预测控制能力。跨层推断需要专门数据和可靠性检验，尤其在考虑临床应用时。</w:t>
      </w:r>
    </w:p>
    <w:bookmarkEnd w:id="1547"/>
    <w:bookmarkStart w:id="1548" w:name="sec-89-8"/>
    <w:p>
      <w:pPr>
        <w:pStyle w:val="Heading3"/>
      </w:pPr>
      <w:r>
        <w:t xml:space="preserve">89.8　激活更多不等于控制更好</w:t>
      </w:r>
    </w:p>
    <w:p>
      <w:pPr>
        <w:pStyle w:val="FirstParagraph"/>
      </w:pPr>
      <w:r>
        <w:t xml:space="preserve">活动增强可能表示更多资源投入，也可能表示任务更困难或处理效率较低。训练后活动下降，可能反映熟练化，也可能反映投入减少。只有结合行为和任务需求，才能解释方向。若一种课程把任何激活增加都说成增强大脑，把减少又说成提高效率，就缺少能够判错的标准。</w:t>
      </w:r>
    </w:p>
    <w:p>
      <w:pPr>
        <w:pStyle w:val="BodyText"/>
      </w:pPr>
      <w:r>
        <w:t xml:space="preserve">原创的假设检验可以比较同等准确率下的难度调整。如果两组准确率不同，信号差异可能反映任务难度；若通过自适应程序使准确率相近，再比较其他指标，部分解释可以被排除。这样的设计仍不能消除所有差异，但比单看一张激活图更有约束。</w:t>
      </w:r>
    </w:p>
    <w:bookmarkEnd w:id="1548"/>
    <w:bookmarkStart w:id="1549" w:name="sec-89-9"/>
    <w:p>
      <w:pPr>
        <w:pStyle w:val="Heading3"/>
      </w:pPr>
      <w:r>
        <w:t xml:space="preserve">89.9　控制能力与日常支持</w:t>
      </w:r>
    </w:p>
    <w:p>
      <w:pPr>
        <w:pStyle w:val="FirstParagraph"/>
      </w:pPr>
      <w:r>
        <w:t xml:space="preserve">工作环境可以改变控制需求。外部提醒减少记忆负担，明确规则减少解释歧义，降低无关通知减少干扰。这些措施改变任务结构，是否改善实际功能应直接观察。它们无需先被解释为增强某个脑区，才能具有实践价值。</w:t>
      </w:r>
    </w:p>
    <w:p>
      <w:pPr>
        <w:pStyle w:val="BodyText"/>
      </w:pPr>
      <w:r>
        <w:t xml:space="preserve">一个人在某环境中困难明显，在另一环境中表现良好，可能说明需求与支持之间的关系发生变化。不能据此断言困难不存在，也不能仅用某个脑区缺陷解释所有情境。评估应记录任务要求、持续时间、压力、睡眠和奖励等变量，并检查哪些变量改变后表现随之变化。</w:t>
      </w:r>
    </w:p>
    <w:bookmarkEnd w:id="1549"/>
    <w:bookmarkStart w:id="1550" w:name="sec-89-10"/>
    <w:p>
      <w:pPr>
        <w:pStyle w:val="Heading3"/>
      </w:pPr>
      <w:r>
        <w:t xml:space="preserve">89.10　控制投入可以作为一种需要解释的选择</w:t>
      </w:r>
    </w:p>
    <w:p>
      <w:pPr>
        <w:pStyle w:val="FirstParagraph"/>
      </w:pPr>
      <w:r>
        <w:t xml:space="preserve">人在具备规则知识时，仍可能没有持续执行规则。可能原因包括当前目标价值较低、预计成功机会较小、竞争任务更有吸引力，或维持控制的主观成本较高。把所有情况统一归入控制能力差，会让动机、知识和能力三个不同问题混在一起。实验应分别测量会不会做、愿不愿做以及在何种环境中能稳定做到。</w:t>
      </w:r>
    </w:p>
    <w:p>
      <w:pPr>
        <w:pStyle w:val="BodyText"/>
      </w:pPr>
      <w:r>
        <w:t xml:space="preserve">控制预期价值理论提出，将潜在回报、控制投入和努力成本共同用于解释控制分配，并把背侧前扣带皮层列为相关候选节点。这是一套规范性和机制性提案，其核心价值在于提供可比较的预测。理论综述不能独自证明每个任务中的前扣带活动都实现同一种计算</w:t>
      </w:r>
      <w:r>
        <w:rPr>
          <w:vertAlign w:val="superscript"/>
        </w:rPr>
        <w:t xml:space="preserve">[</w:t>
      </w:r>
      <w:hyperlink w:anchor="ref-340">
        <w:r>
          <w:rPr>
            <w:rStyle w:val="Hyperlink"/>
            <w:vertAlign w:val="superscript"/>
          </w:rPr>
          <w:t xml:space="preserve">340</w:t>
        </w:r>
      </w:hyperlink>
      <w:r>
        <w:rPr>
          <w:vertAlign w:val="superscript"/>
        </w:rPr>
        <w:t xml:space="preserve">]</w:t>
      </w:r>
      <w:r>
        <w:t xml:space="preserve">。</w:t>
      </w:r>
    </w:p>
    <w:p>
      <w:pPr>
        <w:pStyle w:val="BodyText"/>
      </w:pPr>
      <w:r>
        <w:t xml:space="preserve">例如，教学假设中有两项任务：甲任务简单但回报低，乙任务困难但回报高。若提高乙的回报后参与者更愿意选择乙，结果支持回报影响投入，却不能独自证明其主观努力成本不变。若练习使乙更容易，选择变化可能来自成功概率提高、耗时缩短或疲劳减轻。只有分别操纵并估计这些因素，才能区分多个解释。</w:t>
      </w:r>
    </w:p>
    <w:p>
      <w:pPr>
        <w:pStyle w:val="BodyText"/>
      </w:pPr>
      <w:r>
        <w:t xml:space="preserve">这种框架也解释了为什么外部支持可能改善表现。明确目标、及时反馈和较少无关干扰，都可以改变执行任务所需的信息与成本。表现改善并不能直接定位为某个脑区得到增强，原因可能来自任务结构更清楚、记忆负担减轻或错误更容易被发现。教育与组织设计可以据此检验具体改变的效果，同时避免把价值判断包装成脑结构缺陷。</w:t>
      </w:r>
    </w:p>
    <w:bookmarkEnd w:id="1550"/>
    <w:bookmarkStart w:id="1551" w:name="sec-89-11"/>
    <w:p>
      <w:pPr>
        <w:pStyle w:val="Heading3"/>
      </w:pPr>
      <w:r>
        <w:t xml:space="preserve">89.11　维持表征与保留可恢复状态</w:t>
      </w:r>
    </w:p>
    <w:p>
      <w:pPr>
        <w:pStyle w:val="FirstParagraph"/>
      </w:pPr>
      <w:r>
        <w:t xml:space="preserve">工作记忆研究需要区分信息当前可被读出和信息仍影响未来行为。若记录方法在某个延迟期间无法解码项目，可能是信号较弱、表示形式改变、记录遗漏了关键细胞，或者信息保留于暂时不产生明显群体活动的状态。解码失败的含义取决于测量灵敏度和候选表示模型。</w:t>
      </w:r>
    </w:p>
    <w:p>
      <w:pPr>
        <w:pStyle w:val="BodyText"/>
      </w:pPr>
      <w:r>
        <w:t xml:space="preserve">Rose及同事通过单脉冲经颅磁刺激与脑活动测量，观察到暂时低优先级、之后仍可能需要的信息出现短暂再激活。这为工作记忆具有可恢复的潜在状态提供了证据。研究没有直接测量每个相关突触，因此不能据此唯一确定其微观存储机制</w:t>
      </w:r>
      <w:r>
        <w:rPr>
          <w:vertAlign w:val="superscript"/>
        </w:rPr>
        <w:t xml:space="preserve">[</w:t>
      </w:r>
      <w:hyperlink w:anchor="ref-355">
        <w:r>
          <w:rPr>
            <w:rStyle w:val="Hyperlink"/>
            <w:vertAlign w:val="superscript"/>
          </w:rPr>
          <w:t xml:space="preserve">355</w:t>
        </w:r>
      </w:hyperlink>
      <w:r>
        <w:rPr>
          <w:vertAlign w:val="superscript"/>
        </w:rPr>
        <w:t xml:space="preserve">]</w:t>
      </w:r>
      <w:r>
        <w:t xml:space="preserve">。</w:t>
      </w:r>
    </w:p>
    <w:p>
      <w:pPr>
        <w:pStyle w:val="BodyText"/>
      </w:pPr>
      <w:r>
        <w:t xml:space="preserve">可恢复状态的概念有助于组织新实验。若信息只是退出当前注意中心，适当提示可能重新提高其可用性；若痕迹已丧失，提示应无法恢复相同精度。实验必须控制提示本身是否提供了答案，以及参与者能否从长期知识重新推断项目。把信息重新出现视为原痕迹保存，需要排除这些替代来源。</w:t>
      </w:r>
    </w:p>
    <w:p>
      <w:pPr>
        <w:pStyle w:val="BodyText"/>
      </w:pPr>
      <w:r>
        <w:t xml:space="preserve">持续放电、短时突触变化和群体状态转移能够在同一系统中共同存在。它们所解释的时间尺度与任务阶段可能不同。选择模型时，应比较其对干扰、延迟长度、项目数量和突然更新的预测。仅选择一个数据图看起来相似的机制，容易忽视其他条件下的失败。模型之间真正有意义的差异，应转化为可事先规定的实验结果。</w:t>
      </w:r>
    </w:p>
    <w:bookmarkEnd w:id="1551"/>
    <w:bookmarkStart w:id="1552" w:name="sec-89-12"/>
    <w:p>
      <w:pPr>
        <w:pStyle w:val="Heading3"/>
      </w:pPr>
      <w:r>
        <w:t xml:space="preserve">89.12　更新门控需要选择内容和选择时机</w:t>
      </w:r>
    </w:p>
    <w:p>
      <w:pPr>
        <w:pStyle w:val="FirstParagraph"/>
      </w:pPr>
      <w:r>
        <w:t xml:space="preserve">控制系统必须决定何时允许新输入改变当前目标。门控过于开放时，无关事件容易替换工作内容；门控长期关闭时，新规则难以及时进入。这个问题可以拆成两个层次：是否更新，以及更新哪一项。将多个项目全部刷新与只替换其中一个项目，对网络组织提出不同要求。</w:t>
      </w:r>
    </w:p>
    <w:p>
      <w:pPr>
        <w:pStyle w:val="BodyText"/>
      </w:pPr>
      <w:r>
        <w:t xml:space="preserve">一个合理的任务可同时包含保持试次、明确更新试次和容易误导的干扰试次。若某参与者在所有条件都差，可能涉及感觉或总体记忆问题；若主要在该更新时未更新，可能接近门控时机问题；若更新成功但错替换另一项目，则涉及内容选择。这样的误差分类比单一正确率更接近机制解释。</w:t>
      </w:r>
    </w:p>
    <w:p>
      <w:pPr>
        <w:pStyle w:val="BodyText"/>
      </w:pPr>
      <w:r>
        <w:t xml:space="preserve">神经回路的门控需要落实到连接及其活动模式。门控是功能概念，可以由多条回路共同实现；皮层、基底节、丘脑和其他系统之间的循环联系（例如前额叶—基底节—丘脑回路）为多种门控模型提供解剖基础，具体实现仍需要细胞与连接证据。然而，某次影像中多个节点同时活动，并不能确认哪一节点开门、哪一节点保存内容。时间先后、定向干预以及不同错误类型的变化，能够逐步限制候选模型。此处关于门控的论证是计算层分析，不能将模型中的一个变量自动等同于某个单一核团</w:t>
      </w:r>
      <w:r>
        <w:rPr>
          <w:vertAlign w:val="superscript"/>
        </w:rPr>
        <w:t xml:space="preserve">[</w:t>
      </w:r>
      <w:hyperlink w:anchor="ref-731">
        <w:r>
          <w:rPr>
            <w:rStyle w:val="Hyperlink"/>
            <w:vertAlign w:val="superscript"/>
          </w:rPr>
          <w:t xml:space="preserve">731</w:t>
        </w:r>
      </w:hyperlink>
      <w:r>
        <w:rPr>
          <w:vertAlign w:val="superscript"/>
        </w:rPr>
        <w:t xml:space="preserve">,</w:t>
      </w:r>
      <w:hyperlink w:anchor="ref-780">
        <w:r>
          <w:rPr>
            <w:rStyle w:val="Hyperlink"/>
            <w:vertAlign w:val="superscript"/>
          </w:rPr>
          <w:t xml:space="preserve">780</w:t>
        </w:r>
      </w:hyperlink>
      <w:r>
        <w:rPr>
          <w:vertAlign w:val="superscript"/>
        </w:rPr>
        <w:t xml:space="preserve">]</w:t>
      </w:r>
      <w:r>
        <w:t xml:space="preserve">。</w:t>
      </w:r>
    </w:p>
    <w:bookmarkEnd w:id="1552"/>
    <w:bookmarkStart w:id="1553" w:name="sec-89-13"/>
    <w:p>
      <w:pPr>
        <w:pStyle w:val="Heading3"/>
      </w:pPr>
      <w:r>
        <w:t xml:space="preserve">89.13　任务杂质为何影响个体差异研究</w:t>
      </w:r>
    </w:p>
    <w:p>
      <w:pPr>
        <w:pStyle w:val="FirstParagraph"/>
      </w:pPr>
      <w:r>
        <w:t xml:space="preserve">一个抑制任务通常同时要求看清刺激、理解规则、维持注意、准备反应和处理反馈。任务总分含有这些过程共同造成的变化。因此，某人某次任务得分较低，不能直接诊断其具有稳定的抑制缺陷。若研究目标是个体差异，还要确认同一指标在不同时间是否可靠，并确认多个任务是否测量了可共享的成分。</w:t>
      </w:r>
    </w:p>
    <w:p>
      <w:pPr>
        <w:pStyle w:val="BodyText"/>
      </w:pPr>
      <w:r>
        <w:t xml:space="preserve">组内实验效应显著与个体排序可靠是两个问题。若一种操纵使几乎所有人都出现相似变化，组平均差异可以稳定，但人与人之间的差值很小，排序会容易受到噪声影响。反过来，一个任务总分可能高度稳定，却主要反映一般速度或语言熟练度，未必准确测到研究者命名的控制过程。</w:t>
      </w:r>
    </w:p>
    <w:p>
      <w:pPr>
        <w:pStyle w:val="BodyText"/>
      </w:pPr>
      <w:r>
        <w:t xml:space="preserve">改进方案包括增加测量精度、使用多指标模型、报告不同误差来源，并将预测放在独立样本检验。若用同一数据筛选最相关指标、再报告它预测个人能力，很容易过高估计效度。针对某个临床或教育决策，还需要比较该脑指标能否在便宜、容易解释的行为资料之外增加实际价值。</w:t>
      </w:r>
    </w:p>
    <w:bookmarkEnd w:id="1553"/>
    <w:bookmarkStart w:id="1554" w:name="sec-89-14"/>
    <w:p>
      <w:pPr>
        <w:pStyle w:val="Heading3"/>
      </w:pPr>
      <w:r>
        <w:t xml:space="preserve">89.14　失败后的调整包含学习与策略变化</w:t>
      </w:r>
    </w:p>
    <w:p>
      <w:pPr>
        <w:pStyle w:val="FirstParagraph"/>
      </w:pPr>
      <w:r>
        <w:t xml:space="preserve">一次错误之后反应变慢，常被解释为控制增强。这种解释需要检查。变慢可能来自提高决策谨慎程度，也可能来自注意被错误打断、情绪反应、下一试次困难度变化或刺激序列效应。若变慢同时伴随准确率改善，并且在合适序列控制后仍存在，才更接近有利的策略调整。</w:t>
      </w:r>
    </w:p>
    <w:p>
      <w:pPr>
        <w:pStyle w:val="BodyText"/>
      </w:pPr>
      <w:r>
        <w:t xml:space="preserve">反馈还能改变对环境的理解。持续错误可能促使人怀疑规则、寻找新策略或放弃当前目标。在规则稳定的任务中，坚持有利；规则已经改变时，迅速探索更有价值。因而“坚持越多越好”与“切换越快越好”都缺乏普遍适用性。控制的有效性需要依据任务结构、资源限制和长期结果评价；评价某个干预时，也应分别检查保持、更新和切换的表现，避免只凭一种任务中反应更快就宣称普遍改善控制。</w:t>
      </w:r>
    </w:p>
    <w:p>
      <w:pPr>
        <w:pStyle w:val="BodyText"/>
      </w:pPr>
      <w:r>
        <w:t xml:space="preserve">前额叶损伤、疲劳、药物作用和环境干扰可以通过不同环节造成相似失败。教学与临床解释应把观察到的行为、推定的计算过程和候选神经机制分别陈述。高置信结论是控制依赖可分解的多过程与分布式回路；把某次失败归为单一前额叶功能水平，通常只有较低的解释精度。</w:t>
      </w:r>
    </w:p>
    <w:bookmarkEnd w:id="1554"/>
    <w:bookmarkStart w:id="1555" w:name="sec-89-15"/>
    <w:p>
      <w:pPr>
        <w:pStyle w:val="Heading3"/>
      </w:pPr>
      <w:r>
        <w:t xml:space="preserve">89.15　规则保持依赖跨结构的循环联系</w:t>
      </w:r>
    </w:p>
    <w:p>
      <w:pPr>
        <w:pStyle w:val="FirstParagraph"/>
      </w:pPr>
      <w:r>
        <w:t xml:space="preserve">前额叶维持任务规则时，会与丘脑及其他区域形成循环相互作用。小鼠注意任务研究发现，丘脑背内侧核的输入能够支持前额叶规则相关活动，其效果涉及局部连接的有效组织。研究还显示，普遍增强皮层兴奋性与增强特定丘脑驱动可以产生不同结果。这限制了把更多神经活动等同更好控制的解释</w:t>
      </w:r>
      <w:r>
        <w:rPr>
          <w:vertAlign w:val="superscript"/>
        </w:rPr>
        <w:t xml:space="preserve">[</w:t>
      </w:r>
      <w:hyperlink w:anchor="ref-780">
        <w:r>
          <w:rPr>
            <w:rStyle w:val="Hyperlink"/>
            <w:vertAlign w:val="superscript"/>
          </w:rPr>
          <w:t xml:space="preserve">780</w:t>
        </w:r>
      </w:hyperlink>
      <w:r>
        <w:rPr>
          <w:vertAlign w:val="superscript"/>
        </w:rPr>
        <w:t xml:space="preserve">]</w:t>
      </w:r>
      <w:r>
        <w:t xml:space="preserve">。</w:t>
      </w:r>
    </w:p>
    <w:p>
      <w:pPr>
        <w:pStyle w:val="BodyText"/>
      </w:pPr>
      <w:r>
        <w:t xml:space="preserve">从回路原理看，维持规则需要相关细胞之间的活动关系，而整体活动量只是一个粗略指标。若所有细胞无差别增强，原来携带不同规则信息的群体可能更难区分；若输入选择性支持相应联系，规则表征则可能稳定。这个推导不要求把规则存放在某个单细胞内，也不意味着所有规则保持都采用同一回路形式。</w:t>
      </w:r>
    </w:p>
    <w:p>
      <w:pPr>
        <w:pStyle w:val="BodyText"/>
      </w:pPr>
      <w:r>
        <w:t xml:space="preserve">丘脑还具有不同来源的输入与输出。某些通路传递感官驱动，另一些参与皮层区域之间的高阶联系，抑制性的丘脑网状核及脑干调质进一步影响传递。丘脑的工作状态因此与觉醒、注意和任务相关。把丘脑只画成被动中转站，会遗漏其对信号选择和皮层相互作用的影响</w:t>
      </w:r>
      <w:r>
        <w:rPr>
          <w:vertAlign w:val="superscript"/>
        </w:rPr>
        <w:t xml:space="preserve">[</w:t>
      </w:r>
      <w:hyperlink w:anchor="ref-781">
        <w:r>
          <w:rPr>
            <w:rStyle w:val="Hyperlink"/>
            <w:vertAlign w:val="superscript"/>
          </w:rPr>
          <w:t xml:space="preserve">781</w:t>
        </w:r>
      </w:hyperlink>
      <w:r>
        <w:rPr>
          <w:vertAlign w:val="superscript"/>
        </w:rPr>
        <w:t xml:space="preserve">]</w:t>
      </w:r>
      <w:r>
        <w:t xml:space="preserve">。</w:t>
      </w:r>
    </w:p>
    <w:bookmarkEnd w:id="1555"/>
    <w:bookmarkStart w:id="1556" w:name="sec-89-16"/>
    <w:p>
      <w:pPr>
        <w:pStyle w:val="Heading3"/>
      </w:pPr>
      <w:r>
        <w:t xml:space="preserve">89.16　控制信号需要选择它影响的目标</w:t>
      </w:r>
    </w:p>
    <w:p>
      <w:pPr>
        <w:pStyle w:val="FirstParagraph"/>
      </w:pPr>
      <w:r>
        <w:t xml:space="preserve">执行相同规则时，控制可作用于感觉输入、记忆提取、动作选择或结果评估。要求寻找红色物体，可以改变视觉特征的权重；要求暂缓回答，可以改变反应准备；要求忽略之前规则，则需要更新旧的任务关系。这些功能共同参与灵活行为，但依赖的目标通路和时间点不同。</w:t>
      </w:r>
    </w:p>
    <w:p>
      <w:pPr>
        <w:pStyle w:val="BodyText"/>
      </w:pPr>
      <w:r>
        <w:t xml:space="preserve">假设一个人知道规则却仍作出过快反应，问题可能位于反应准备和停止的时间竞争；如果已经忘记规则，增加运动抑制并不能恢复正确知识。若规则正确且反应速度合适，但刺激区分困难，改善感觉信息更直接。把所有错误称为执行功能低下，会掩盖可干预的不同环节。</w:t>
      </w:r>
    </w:p>
    <w:bookmarkEnd w:id="1556"/>
    <w:bookmarkStart w:id="1557" w:name="sec-89-17"/>
    <w:p>
      <w:pPr>
        <w:pStyle w:val="Heading3"/>
      </w:pPr>
      <w:r>
        <w:t xml:space="preserve">89.17　局部抑制可以提高规则选择的精度</w:t>
      </w:r>
    </w:p>
    <w:p>
      <w:pPr>
        <w:pStyle w:val="FirstParagraph"/>
      </w:pPr>
      <w:r>
        <w:t xml:space="preserve">不同规则相关细胞群之间的竞争需要兴奋和抑制共同组织。抑制可以限制无关群体扩散，也可以通过作用于另一类抑制细胞间接促进目标群体。单纯增加全区域抑制可能降低所有输出，选择性改变某条支路则可能改善目标与干扰的分离。这个差别需要知道被作用的细胞以及其突触目标</w:t>
      </w:r>
      <w:r>
        <w:rPr>
          <w:vertAlign w:val="superscript"/>
        </w:rPr>
        <w:t xml:space="preserve">[</w:t>
      </w:r>
      <w:hyperlink w:anchor="ref-7">
        <w:r>
          <w:rPr>
            <w:rStyle w:val="Hyperlink"/>
            <w:vertAlign w:val="superscript"/>
          </w:rPr>
          <w:t xml:space="preserve">7</w:t>
        </w:r>
      </w:hyperlink>
      <w:r>
        <w:rPr>
          <w:vertAlign w:val="superscript"/>
        </w:rPr>
        <w:t xml:space="preserve">]</w:t>
      </w:r>
      <w:r>
        <w:t xml:space="preserve">。</w:t>
      </w:r>
    </w:p>
    <w:p>
      <w:pPr>
        <w:pStyle w:val="BodyText"/>
      </w:pPr>
      <w:r>
        <w:t xml:space="preserve">以两条互相冲突的任务规则为例，若线索明确指定其中一条，系统需要增强该规则对输出的影响；若线索含糊，过早锁定一个群体可能造成错误。合适的竞争强度因此取决于输入可靠性。回路控制研究应同时考察稳定性和纠错能力，才能判断一个更强的规则表征是否在任务中有用。</w:t>
      </w:r>
    </w:p>
    <w:bookmarkEnd w:id="1557"/>
    <w:bookmarkStart w:id="1558" w:name="sec-89-18"/>
    <w:p>
      <w:pPr>
        <w:pStyle w:val="Heading3"/>
      </w:pPr>
      <w:r>
        <w:t xml:space="preserve">89.18　本章结论</w:t>
      </w:r>
    </w:p>
    <w:p>
      <w:pPr>
        <w:pStyle w:val="FirstParagraph"/>
      </w:pPr>
      <w:r>
        <w:t xml:space="preserve">前额叶参与控制的结论可靠，控制的具体实现需要分解为表示、保持、更新、选择和执行等环节。网络模型应当提出预测，并接受病损、干预和独立数据的检验。用“总司令强弱”解释全部行为，会遮住真正能够改善理解和干预的过程差异</w:t>
      </w:r>
      <w:r>
        <w:rPr>
          <w:vertAlign w:val="superscript"/>
        </w:rPr>
        <w:t xml:space="preserve">[</w:t>
      </w:r>
      <w:hyperlink w:anchor="ref-731">
        <w:r>
          <w:rPr>
            <w:rStyle w:val="Hyperlink"/>
            <w:vertAlign w:val="superscript"/>
          </w:rPr>
          <w:t xml:space="preserve">731</w:t>
        </w:r>
      </w:hyperlink>
      <w:r>
        <w:rPr>
          <w:vertAlign w:val="superscript"/>
        </w:rPr>
        <w:t xml:space="preserve">,</w:t>
      </w:r>
      <w:hyperlink w:anchor="ref-779">
        <w:r>
          <w:rPr>
            <w:rStyle w:val="Hyperlink"/>
            <w:vertAlign w:val="superscript"/>
          </w:rPr>
          <w:t xml:space="preserve">779</w:t>
        </w:r>
      </w:hyperlink>
      <w:r>
        <w:rPr>
          <w:vertAlign w:val="superscript"/>
        </w:rPr>
        <w:t xml:space="preserve">]</w:t>
      </w:r>
      <w:r>
        <w:t xml:space="preserve">。</w:t>
      </w:r>
    </w:p>
    <w:bookmarkEnd w:id="1558"/>
    <w:bookmarkEnd w:id="1559"/>
    <w:bookmarkStart w:id="1562" w:name="ch-90"/>
    <w:p>
      <w:pPr>
        <w:pStyle w:val="Heading2"/>
      </w:pPr>
      <w:r>
        <w:t xml:space="preserve">第90章　前扣带皮层与岛叶</w:t>
      </w:r>
    </w:p>
    <w:bookmarkStart w:id="1560" w:name="sec-90-1"/>
    <w:p>
      <w:pPr>
        <w:pStyle w:val="Heading3"/>
      </w:pPr>
      <w:r>
        <w:t xml:space="preserve">90.1　前扣带皮层</w:t>
      </w:r>
    </w:p>
    <w:p>
      <w:pPr>
        <w:pStyle w:val="FirstParagraph"/>
      </w:pPr>
      <w:r>
        <w:t xml:space="preserve">前扣带皮层位于两半球内侧面，环绕胼胝体前端的膝部：膝下部分位于膝部下方，膝前部分位于其前方，背侧部分沿胼胝体前段上方延伸。成像文献常说的“背侧前扣带”，在更细的解剖分区中大多对应前中扣带皮层。它在信息冲突和出错时活跃，被认为负责监测冲突、发出“需要加强控制”的信号</w:t>
      </w:r>
      <w:r>
        <w:rPr>
          <w:vertAlign w:val="superscript"/>
        </w:rPr>
        <w:t xml:space="preserve">[</w:t>
      </w:r>
      <w:hyperlink w:anchor="ref-782">
        <w:r>
          <w:rPr>
            <w:rStyle w:val="Hyperlink"/>
            <w:vertAlign w:val="superscript"/>
          </w:rPr>
          <w:t xml:space="preserve">782</w:t>
        </w:r>
      </w:hyperlink>
      <w:r>
        <w:rPr>
          <w:vertAlign w:val="superscript"/>
        </w:rPr>
        <w:t xml:space="preserve">]</w:t>
      </w:r>
      <w:r>
        <w:t xml:space="preserve">；</w:t>
      </w:r>
      <w:hyperlink w:anchor="sec-89-10">
        <w:r>
          <w:rPr>
            <w:rStyle w:val="Hyperlink"/>
          </w:rPr>
          <w:t xml:space="preserve">89.10 节</w:t>
        </w:r>
      </w:hyperlink>
      <w:r>
        <w:t xml:space="preserve">介绍的控制预期价值理论认为，它计算的是“现在投入多少控制最划算”，把预期收益、所需控制和努力成本放在一起权衡</w:t>
      </w:r>
      <w:r>
        <w:rPr>
          <w:vertAlign w:val="superscript"/>
        </w:rPr>
        <w:t xml:space="preserve">[</w:t>
      </w:r>
      <w:hyperlink w:anchor="ref-340">
        <w:r>
          <w:rPr>
            <w:rStyle w:val="Hyperlink"/>
            <w:vertAlign w:val="superscript"/>
          </w:rPr>
          <w:t xml:space="preserve">340</w:t>
        </w:r>
      </w:hyperlink>
      <w:r>
        <w:rPr>
          <w:vertAlign w:val="superscript"/>
        </w:rPr>
        <w:t xml:space="preserve">]</w:t>
      </w:r>
      <w:r>
        <w:t xml:space="preserve">。它也与疼痛的不愉快成分有关：用催眠只改变疼痛的不愉快程度、强度保持不变时，前扣带的活动随不愉快程度变化，初级体感皮层不变</w:t>
      </w:r>
      <w:r>
        <w:rPr>
          <w:vertAlign w:val="superscript"/>
        </w:rPr>
        <w:t xml:space="preserve">[</w:t>
      </w:r>
      <w:hyperlink w:anchor="ref-783">
        <w:r>
          <w:rPr>
            <w:rStyle w:val="Hyperlink"/>
            <w:vertAlign w:val="superscript"/>
          </w:rPr>
          <w:t xml:space="preserve">783</w:t>
        </w:r>
      </w:hyperlink>
      <w:r>
        <w:rPr>
          <w:vertAlign w:val="superscript"/>
        </w:rPr>
        <w:t xml:space="preserve">]</w:t>
      </w:r>
      <w:r>
        <w:t xml:space="preserve">。</w:t>
      </w:r>
    </w:p>
    <w:p>
      <w:pPr>
        <w:pStyle w:val="BodyText"/>
      </w:pPr>
      <w:r>
        <w:t xml:space="preserve">2003 年一项研究发现，被社交排斥时背侧前扣带会激活，由此流行开“社交痛苦就是身体痛苦”的说法</w:t>
      </w:r>
      <w:r>
        <w:rPr>
          <w:vertAlign w:val="superscript"/>
        </w:rPr>
        <w:t xml:space="preserve">[</w:t>
      </w:r>
      <w:hyperlink w:anchor="ref-784">
        <w:r>
          <w:rPr>
            <w:rStyle w:val="Hyperlink"/>
            <w:vertAlign w:val="superscript"/>
          </w:rPr>
          <w:t xml:space="preserve">784</w:t>
        </w:r>
      </w:hyperlink>
      <w:r>
        <w:rPr>
          <w:vertAlign w:val="superscript"/>
        </w:rPr>
        <w:t xml:space="preserve">]</w:t>
      </w:r>
      <w:r>
        <w:t xml:space="preserve">。后来的证据让这个说法打了折扣：在 60 名受试者身上，区分身体疼痛与社交排斥的多变量分类器各自有效，彼此却不能互相识别，在所用的模型和数据中，前扣带内部两种活动模式互不相关</w:t>
      </w:r>
      <w:r>
        <w:rPr>
          <w:vertAlign w:val="superscript"/>
        </w:rPr>
        <w:t xml:space="preserve">[</w:t>
      </w:r>
      <w:hyperlink w:anchor="ref-785">
        <w:r>
          <w:rPr>
            <w:rStyle w:val="Hyperlink"/>
            <w:vertAlign w:val="superscript"/>
          </w:rPr>
          <w:t xml:space="preserve">785</w:t>
        </w:r>
      </w:hyperlink>
      <w:r>
        <w:rPr>
          <w:vertAlign w:val="superscript"/>
        </w:rPr>
        <w:t xml:space="preserve">]</w:t>
      </w:r>
      <w:r>
        <w:t xml:space="preserve">，这还不能排除更细尺度上的共同加工；一项社交排斥研究的元分析也不支持“共用疼痛网络”</w:t>
      </w:r>
      <w:r>
        <w:rPr>
          <w:vertAlign w:val="superscript"/>
        </w:rPr>
        <w:t xml:space="preserve">[</w:t>
      </w:r>
      <w:hyperlink w:anchor="ref-786">
        <w:r>
          <w:rPr>
            <w:rStyle w:val="Hyperlink"/>
            <w:vertAlign w:val="superscript"/>
          </w:rPr>
          <w:t xml:space="preserve">786</w:t>
        </w:r>
      </w:hyperlink>
      <w:r>
        <w:rPr>
          <w:vertAlign w:val="superscript"/>
        </w:rPr>
        <w:t xml:space="preserve">]</w:t>
      </w:r>
      <w:r>
        <w:t xml:space="preserve">。也有研究发现，刚经历不情愿分手的人看前任照片时，身体疼痛相关的体感区会激活</w:t>
      </w:r>
      <w:r>
        <w:rPr>
          <w:vertAlign w:val="superscript"/>
        </w:rPr>
        <w:t xml:space="preserve">[</w:t>
      </w:r>
      <w:hyperlink w:anchor="ref-787">
        <w:r>
          <w:rPr>
            <w:rStyle w:val="Hyperlink"/>
            <w:vertAlign w:val="superscript"/>
          </w:rPr>
          <w:t xml:space="preserve">787</w:t>
        </w:r>
      </w:hyperlink>
      <w:r>
        <w:rPr>
          <w:vertAlign w:val="superscript"/>
        </w:rPr>
        <w:t xml:space="preserve">]</w:t>
      </w:r>
      <w:r>
        <w:t xml:space="preserve">。前扣带是否专门对疼痛敏感，学界仍在争论</w:t>
      </w:r>
      <w:r>
        <w:rPr>
          <w:vertAlign w:val="superscript"/>
        </w:rPr>
        <w:t xml:space="preserve">[</w:t>
      </w:r>
      <w:hyperlink w:anchor="ref-788">
        <w:r>
          <w:rPr>
            <w:rStyle w:val="Hyperlink"/>
            <w:vertAlign w:val="superscript"/>
          </w:rPr>
          <w:t xml:space="preserve">788</w:t>
        </w:r>
      </w:hyperlink>
      <w:r>
        <w:rPr>
          <w:vertAlign w:val="superscript"/>
        </w:rPr>
        <w:t xml:space="preserve">,</w:t>
      </w:r>
      <w:hyperlink w:anchor="ref-789">
        <w:r>
          <w:rPr>
            <w:rStyle w:val="Hyperlink"/>
            <w:vertAlign w:val="superscript"/>
          </w:rPr>
          <w:t xml:space="preserve">789</w:t>
        </w:r>
      </w:hyperlink>
      <w:r>
        <w:rPr>
          <w:vertAlign w:val="superscript"/>
        </w:rPr>
        <w:t xml:space="preserve">]</w:t>
      </w:r>
      <w:r>
        <w:t xml:space="preserve">。</w:t>
      </w:r>
    </w:p>
    <w:p>
      <w:pPr>
        <w:pStyle w:val="CalloutJudgment"/>
      </w:pPr>
      <w:r>
        <w:rPr>
          <w:bCs/>
          <w:b/>
        </w:rPr>
        <w:t xml:space="preserve">判断　</w:t>
      </w:r>
      <w:r>
        <w:t xml:space="preserve">“前扣带是注意力中枢”</w:t>
      </w:r>
      <w:r>
        <w:rPr>
          <w:bCs/>
          <w:b/>
        </w:rPr>
        <w:t xml:space="preserve">过度简化·高</w:t>
      </w:r>
      <w:r>
        <w:t xml:space="preserve">；“社交痛就是身体痛”</w:t>
      </w:r>
      <w:r>
        <w:rPr>
          <w:bCs/>
          <w:b/>
        </w:rPr>
        <w:t xml:space="preserve">过度简化·中</w:t>
      </w:r>
      <w:r>
        <w:t xml:space="preserve">。</w:t>
      </w:r>
    </w:p>
    <w:bookmarkEnd w:id="1560"/>
    <w:bookmarkStart w:id="1561" w:name="sec-90-2"/>
    <w:p>
      <w:pPr>
        <w:pStyle w:val="Heading3"/>
      </w:pPr>
      <w:r>
        <w:t xml:space="preserve">90.2　岛叶</w:t>
      </w:r>
    </w:p>
    <w:p>
      <w:pPr>
        <w:pStyle w:val="FirstParagraph"/>
      </w:pPr>
      <w:r>
        <w:t xml:space="preserve">岛叶藏在外侧沟深处，接收来自内脏、皮肤和肌肉的身体信号，是内感受、味觉、疼痛和厌恶加工的关键区域。前岛叶与背侧前扣带一起构成“突显网络”的核心，帮助大脑判断哪些信号值得注意（见</w:t>
      </w:r>
      <w:r>
        <w:t xml:space="preserve"> </w:t>
      </w:r>
      <w:hyperlink w:anchor="sec-93-2">
        <w:r>
          <w:rPr>
            <w:rStyle w:val="Hyperlink"/>
          </w:rPr>
          <w:t xml:space="preserve">93.2</w:t>
        </w:r>
      </w:hyperlink>
      <w:r>
        <w:t xml:space="preserve">）。</w:t>
      </w:r>
    </w:p>
    <w:p>
      <w:pPr>
        <w:pStyle w:val="BodyText"/>
      </w:pPr>
      <w:r>
        <w:t xml:space="preserve">岛叶内部有从后到前的梯度：后岛叶接收按身体部位排列的内感受信号，前岛叶把这些信号与情绪、语境整合。神经科学家克雷格（A. D. Craig）据此提出一种理论模型：前岛叶整合身体状态形成“此刻的感受”，可能是人类觉知的重要基础</w:t>
      </w:r>
      <w:r>
        <w:rPr>
          <w:vertAlign w:val="superscript"/>
        </w:rPr>
        <w:t xml:space="preserve">[</w:t>
      </w:r>
      <w:hyperlink w:anchor="ref-790">
        <w:r>
          <w:rPr>
            <w:rStyle w:val="Hyperlink"/>
            <w:vertAlign w:val="superscript"/>
          </w:rPr>
          <w:t xml:space="preserve">790</w:t>
        </w:r>
      </w:hyperlink>
      <w:r>
        <w:rPr>
          <w:vertAlign w:val="superscript"/>
        </w:rPr>
        <w:t xml:space="preserve">]</w:t>
      </w:r>
      <w:r>
        <w:t xml:space="preserve">。这一观点影响很大，也被大众读物推到了“岛叶是自我意识所在”的程度。病例研究给出了反例。一位因单纯疱疹病毒脑炎导致双侧岛叶、前扣带、内侧前额叶和内侧颞叶广泛损毁的病人，记忆严重受损，仍然能在镜中认出自己，保有主体感、稳定的自我概念和元认知，作者认为“岛叶是自我觉知所必需”的假说站不住</w:t>
      </w:r>
      <w:r>
        <w:rPr>
          <w:vertAlign w:val="superscript"/>
        </w:rPr>
        <w:t xml:space="preserve">[</w:t>
      </w:r>
      <w:hyperlink w:anchor="ref-791">
        <w:r>
          <w:rPr>
            <w:rStyle w:val="Hyperlink"/>
            <w:vertAlign w:val="superscript"/>
          </w:rPr>
          <w:t xml:space="preserve">791</w:t>
        </w:r>
      </w:hyperlink>
      <w:r>
        <w:rPr>
          <w:vertAlign w:val="superscript"/>
        </w:rPr>
        <w:t xml:space="preserve">]</w:t>
      </w:r>
      <w:r>
        <w:t xml:space="preserve">。另一位双侧岛叶损毁的病人，仍然保有身体感受和情绪感受</w:t>
      </w:r>
      <w:r>
        <w:rPr>
          <w:vertAlign w:val="superscript"/>
        </w:rPr>
        <w:t xml:space="preserve">[</w:t>
      </w:r>
      <w:hyperlink w:anchor="ref-792">
        <w:r>
          <w:rPr>
            <w:rStyle w:val="Hyperlink"/>
            <w:vertAlign w:val="superscript"/>
          </w:rPr>
          <w:t xml:space="preserve">792</w:t>
        </w:r>
      </w:hyperlink>
      <w:r>
        <w:rPr>
          <w:vertAlign w:val="superscript"/>
        </w:rPr>
        <w:t xml:space="preserve">]</w:t>
      </w:r>
      <w:r>
        <w:t xml:space="preserve">；感知心跳的能力在岛叶和前扣带受损后也能保留，皮肤的体感传入可以承担一部分</w:t>
      </w:r>
      <w:r>
        <w:rPr>
          <w:vertAlign w:val="superscript"/>
        </w:rPr>
        <w:t xml:space="preserve">[</w:t>
      </w:r>
      <w:hyperlink w:anchor="ref-793">
        <w:r>
          <w:rPr>
            <w:rStyle w:val="Hyperlink"/>
            <w:vertAlign w:val="superscript"/>
          </w:rPr>
          <w:t xml:space="preserve">793</w:t>
        </w:r>
      </w:hyperlink>
      <w:r>
        <w:rPr>
          <w:vertAlign w:val="superscript"/>
        </w:rPr>
        <w:t xml:space="preserve">]</w:t>
      </w:r>
      <w:r>
        <w:t xml:space="preserve">。岛叶对内感受很重要，但失去它之后，自我觉知和感受仍可保留。</w:t>
      </w:r>
    </w:p>
    <w:p>
      <w:pPr>
        <w:pStyle w:val="CalloutJudgment"/>
      </w:pPr>
      <w:r>
        <w:rPr>
          <w:bCs/>
          <w:b/>
        </w:rPr>
        <w:t xml:space="preserve">判断　</w:t>
      </w:r>
      <w:r>
        <w:t xml:space="preserve">“岛叶是意识或自我的所在地”（意思是唯一而且必需的部位）</w:t>
      </w:r>
      <w:r>
        <w:rPr>
          <w:bCs/>
          <w:b/>
        </w:rPr>
        <w:t xml:space="preserve">错误·中</w:t>
      </w:r>
      <w:r>
        <w:t xml:space="preserve">，岛叶参与身体与情感觉知则有充分证据。</w:t>
      </w:r>
    </w:p>
    <w:bookmarkEnd w:id="1561"/>
    <w:bookmarkEnd w:id="1562"/>
    <w:bookmarkStart w:id="1563" w:name="ch-91"/>
    <w:p>
      <w:pPr>
        <w:pStyle w:val="Heading2"/>
      </w:pPr>
      <w:r>
        <w:t xml:space="preserve">第91章　海马</w:t>
      </w:r>
    </w:p>
    <w:p>
      <w:pPr>
        <w:pStyle w:val="FirstParagraph"/>
      </w:pPr>
      <w:r>
        <w:t xml:space="preserve">海马位于颞叶内侧，对把经历编码为可回忆的情景记忆尤为重要，参与空间导航，也参与想象未来：双侧海马受损的病人很难想象出空间上连贯的新场景</w:t>
      </w:r>
      <w:r>
        <w:rPr>
          <w:vertAlign w:val="superscript"/>
        </w:rPr>
        <w:t xml:space="preserve">[</w:t>
      </w:r>
      <w:hyperlink w:anchor="ref-794">
        <w:r>
          <w:rPr>
            <w:rStyle w:val="Hyperlink"/>
            <w:vertAlign w:val="superscript"/>
          </w:rPr>
          <w:t xml:space="preserve">794</w:t>
        </w:r>
      </w:hyperlink>
      <w:r>
        <w:rPr>
          <w:vertAlign w:val="superscript"/>
        </w:rPr>
        <w:t xml:space="preserve">]</w:t>
      </w:r>
      <w:r>
        <w:t xml:space="preserve">。伦敦出租车司机的后部海马较大，与驾驶年限相关，这是成人经验与脑结构有关的经典横断面证据</w:t>
      </w:r>
      <w:r>
        <w:rPr>
          <w:vertAlign w:val="superscript"/>
        </w:rPr>
        <w:t xml:space="preserve">[</w:t>
      </w:r>
      <w:hyperlink w:anchor="ref-795">
        <w:r>
          <w:rPr>
            <w:rStyle w:val="Hyperlink"/>
            <w:vertAlign w:val="superscript"/>
          </w:rPr>
          <w:t xml:space="preserve">795</w:t>
        </w:r>
      </w:hyperlink>
      <w:r>
        <w:rPr>
          <w:vertAlign w:val="superscript"/>
        </w:rPr>
        <w:t xml:space="preserve">]</w:t>
      </w:r>
      <w:r>
        <w:t xml:space="preserve">；2011 年的前瞻性研究追踪学习伦敦道路知识的学员，通过执照考试的人后部海马灰质增加，没通过的人和对照组没有变化，补上了时间顺序，不过能否通过考试不是随机分配的</w:t>
      </w:r>
      <w:r>
        <w:rPr>
          <w:vertAlign w:val="superscript"/>
        </w:rPr>
        <w:t xml:space="preserve">[</w:t>
      </w:r>
      <w:hyperlink w:anchor="ref-718">
        <w:r>
          <w:rPr>
            <w:rStyle w:val="Hyperlink"/>
            <w:vertAlign w:val="superscript"/>
          </w:rPr>
          <w:t xml:space="preserve">718</w:t>
        </w:r>
      </w:hyperlink>
      <w:r>
        <w:rPr>
          <w:vertAlign w:val="superscript"/>
        </w:rPr>
        <w:t xml:space="preserve">]</w:t>
      </w:r>
      <w:r>
        <w:t xml:space="preserve">。海马富含糖皮质激素受体，也参与应激激素轴的负反馈调节，帮助应激反应回落。</w:t>
      </w:r>
    </w:p>
    <w:p>
      <w:pPr>
        <w:pStyle w:val="BodyText"/>
      </w:pPr>
      <w:r>
        <w:t xml:space="preserve">“压力和皮质醇会杀死海马细胞”主要来自动物研究。这一假说在 1986 年被系统提出</w:t>
      </w:r>
      <w:r>
        <w:rPr>
          <w:vertAlign w:val="superscript"/>
        </w:rPr>
        <w:t xml:space="preserve">[</w:t>
      </w:r>
      <w:hyperlink w:anchor="ref-796">
        <w:r>
          <w:rPr>
            <w:rStyle w:val="Hyperlink"/>
            <w:vertAlign w:val="superscript"/>
          </w:rPr>
          <w:t xml:space="preserve">796</w:t>
        </w:r>
      </w:hyperlink>
      <w:r>
        <w:rPr>
          <w:vertAlign w:val="superscript"/>
        </w:rPr>
        <w:t xml:space="preserve">]</w:t>
      </w:r>
      <w:r>
        <w:t xml:space="preserve">；对肯尼亚一处灵长类中心 8 只自然死亡、胃部多发溃疡的黑长尾猴所做的回顾性尸检报告了海马退变，作者推测它们生前长期承受社会压力，可能来自群体中的从属地位</w:t>
      </w:r>
      <w:r>
        <w:rPr>
          <w:vertAlign w:val="superscript"/>
        </w:rPr>
        <w:t xml:space="preserve">[</w:t>
      </w:r>
      <w:hyperlink w:anchor="ref-797">
        <w:r>
          <w:rPr>
            <w:rStyle w:val="Hyperlink"/>
            <w:vertAlign w:val="superscript"/>
          </w:rPr>
          <w:t xml:space="preserve">797</w:t>
        </w:r>
      </w:hyperlink>
      <w:r>
        <w:rPr>
          <w:vertAlign w:val="superscript"/>
        </w:rPr>
        <w:t xml:space="preserve">]</w:t>
      </w:r>
      <w:r>
        <w:t xml:space="preserve">。随机实验的结果却不同：16 只 18 至 29 岁的猪尾猕猴两两配对后随机分组，一半连续 12 个月口服高剂量皮质醇，另一半服用安慰剂，两组的海马体积和神经元总数都没有差异</w:t>
      </w:r>
      <w:r>
        <w:rPr>
          <w:vertAlign w:val="superscript"/>
        </w:rPr>
        <w:t xml:space="preserve">[</w:t>
      </w:r>
      <w:hyperlink w:anchor="ref-798">
        <w:r>
          <w:rPr>
            <w:rStyle w:val="Hyperlink"/>
            <w:vertAlign w:val="superscript"/>
          </w:rPr>
          <w:t xml:space="preserve">798</w:t>
        </w:r>
      </w:hyperlink>
      <w:r>
        <w:rPr>
          <w:vertAlign w:val="superscript"/>
        </w:rPr>
        <w:t xml:space="preserve">]</w:t>
      </w:r>
      <w:r>
        <w:t xml:space="preserve">。这说明这种给药方案没有造成大规模神经元丢失，树突、突触等较细微的变化不在它能排除的范围内。一项比较 19 名抑郁症患者与 21 名对照的海马尸检研究中，患者的神经元和胶质细胞排列反而更密（密度高 30% 到 35%）、锥体神经元胞体更小，冷冻切片的收缩也多约 18%，提示组织含水量不同；作者认为神经纤维网减少可以解释磁共振上的体积变小</w:t>
      </w:r>
      <w:r>
        <w:rPr>
          <w:vertAlign w:val="superscript"/>
        </w:rPr>
        <w:t xml:space="preserve">[</w:t>
      </w:r>
      <w:hyperlink w:anchor="ref-799">
        <w:r>
          <w:rPr>
            <w:rStyle w:val="Hyperlink"/>
            <w:vertAlign w:val="superscript"/>
          </w:rPr>
          <w:t xml:space="preserve">799</w:t>
        </w:r>
      </w:hyperlink>
      <w:r>
        <w:rPr>
          <w:vertAlign w:val="superscript"/>
        </w:rPr>
        <w:t xml:space="preserve">]</w:t>
      </w:r>
      <w:r>
        <w:t xml:space="preserve">。组织处理本身就会影响密度的计算，单凭磁共振上的体积变小推不出神经元死亡。磁共振研究中，抑郁症患者的海马体积平均略小（效应量约 −0.14，主要来自反复发作的患者，首次发作者与常人相比没有检出显著差异）</w:t>
      </w:r>
      <w:r>
        <w:rPr>
          <w:vertAlign w:val="superscript"/>
        </w:rPr>
        <w:t xml:space="preserve">[</w:t>
      </w:r>
      <w:hyperlink w:anchor="ref-800">
        <w:r>
          <w:rPr>
            <w:rStyle w:val="Hyperlink"/>
            <w:vertAlign w:val="superscript"/>
          </w:rPr>
          <w:t xml:space="preserve">800</w:t>
        </w:r>
      </w:hyperlink>
      <w:r>
        <w:rPr>
          <w:vertAlign w:val="superscript"/>
        </w:rPr>
        <w:t xml:space="preserve">]</w:t>
      </w:r>
      <w:r>
        <w:t xml:space="preserve">，创伤后应激障碍患者也略小（约 −0.17，对照组是经历过创伤但没有发病的人）</w:t>
      </w:r>
      <w:r>
        <w:rPr>
          <w:vertAlign w:val="superscript"/>
        </w:rPr>
        <w:t xml:space="preserve">[</w:t>
      </w:r>
      <w:hyperlink w:anchor="ref-801">
        <w:r>
          <w:rPr>
            <w:rStyle w:val="Hyperlink"/>
            <w:vertAlign w:val="superscript"/>
          </w:rPr>
          <w:t xml:space="preserve">801</w:t>
        </w:r>
      </w:hyperlink>
      <w:r>
        <w:rPr>
          <w:vertAlign w:val="superscript"/>
        </w:rPr>
        <w:t xml:space="preserve">]</w:t>
      </w:r>
      <w:r>
        <w:t xml:space="preserve">。一项双胞胎研究发现，创伤后应激障碍的严重程度与患者本人及其未经历创伤的同卵双胞胎的海马体积都相关，提示较小的海马部分是发病前就存在的易感因素</w:t>
      </w:r>
      <w:r>
        <w:rPr>
          <w:vertAlign w:val="superscript"/>
        </w:rPr>
        <w:t xml:space="preserve">[</w:t>
      </w:r>
      <w:hyperlink w:anchor="ref-802">
        <w:r>
          <w:rPr>
            <w:rStyle w:val="Hyperlink"/>
            <w:vertAlign w:val="superscript"/>
          </w:rPr>
          <w:t xml:space="preserve">802</w:t>
        </w:r>
      </w:hyperlink>
      <w:r>
        <w:rPr>
          <w:vertAlign w:val="superscript"/>
        </w:rPr>
        <w:t xml:space="preserve">]</w:t>
      </w:r>
      <w:r>
        <w:t xml:space="preserve">。</w:t>
      </w:r>
    </w:p>
    <w:p>
      <w:pPr>
        <w:pStyle w:val="CalloutJudgment"/>
      </w:pPr>
      <w:r>
        <w:rPr>
          <w:bCs/>
          <w:b/>
        </w:rPr>
        <w:t xml:space="preserve">判断　</w:t>
      </w:r>
      <w:r>
        <w:t xml:space="preserve">“压力会杀死人的海马神经元”</w:t>
      </w:r>
      <w:r>
        <w:rPr>
          <w:bCs/>
          <w:b/>
        </w:rPr>
        <w:t xml:space="preserve">过度简化·中</w:t>
      </w:r>
      <w:r>
        <w:t xml:space="preserve">；“海马体积变大说明长出了新的神经元”</w:t>
      </w:r>
      <w:r>
        <w:rPr>
          <w:bCs/>
          <w:b/>
        </w:rPr>
        <w:t xml:space="preserve">错误·高</w:t>
      </w:r>
      <w:r>
        <w:t xml:space="preserve">：磁共振体积的变化可以来自多种组织成分（见</w:t>
      </w:r>
      <w:r>
        <w:t xml:space="preserve"> </w:t>
      </w:r>
      <w:hyperlink w:anchor="sec-55-2">
        <w:r>
          <w:rPr>
            <w:rStyle w:val="Hyperlink"/>
          </w:rPr>
          <w:t xml:space="preserve">55.2</w:t>
        </w:r>
      </w:hyperlink>
      <w:r>
        <w:t xml:space="preserve">、</w:t>
      </w:r>
      <w:hyperlink w:anchor="sec-23-1">
        <w:r>
          <w:rPr>
            <w:rStyle w:val="Hyperlink"/>
          </w:rPr>
          <w:t xml:space="preserve">23.1</w:t>
        </w:r>
      </w:hyperlink>
      <w:r>
        <w:t xml:space="preserve">）。</w:t>
      </w:r>
    </w:p>
    <w:bookmarkEnd w:id="1563"/>
    <w:bookmarkStart w:id="1574" w:name="ch-92"/>
    <w:p>
      <w:pPr>
        <w:pStyle w:val="Heading2"/>
      </w:pPr>
      <w:r>
        <w:t xml:space="preserve">第92章　其他常被提及的脑结构</w:t>
      </w:r>
    </w:p>
    <w:bookmarkStart w:id="1564" w:name="sec-92-1"/>
    <w:p>
      <w:pPr>
        <w:pStyle w:val="Heading3"/>
      </w:pPr>
      <w:r>
        <w:t xml:space="preserve">92.1　后扣带回与楔前叶</w:t>
      </w:r>
    </w:p>
    <w:p>
      <w:pPr>
        <w:pStyle w:val="FirstParagraph"/>
      </w:pPr>
      <w:r>
        <w:t xml:space="preserve">后扣带回与楔前叶位于大脑内侧后部，是默认模式网络的核心枢纽。它们与自传记忆、规划未来、自我参照思考和走神有关，活动水平随觉醒程度变化，也被认为调节注意是“宽”还是“窄”</w:t>
      </w:r>
      <w:r>
        <w:rPr>
          <w:vertAlign w:val="superscript"/>
        </w:rPr>
        <w:t xml:space="preserve">[</w:t>
      </w:r>
      <w:hyperlink w:anchor="ref-803">
        <w:r>
          <w:rPr>
            <w:rStyle w:val="Hyperlink"/>
            <w:vertAlign w:val="superscript"/>
          </w:rPr>
          <w:t xml:space="preserve">803</w:t>
        </w:r>
      </w:hyperlink>
      <w:r>
        <w:rPr>
          <w:vertAlign w:val="superscript"/>
        </w:rPr>
        <w:t xml:space="preserve">]</w:t>
      </w:r>
      <w:r>
        <w:t xml:space="preserve">。后扣带回内部还有分工：腹侧部分与默认网络耦合更紧，背侧部分与控制网络和突显网络的连接更多</w:t>
      </w:r>
      <w:r>
        <w:rPr>
          <w:vertAlign w:val="superscript"/>
        </w:rPr>
        <w:t xml:space="preserve">[</w:t>
      </w:r>
      <w:hyperlink w:anchor="ref-803">
        <w:r>
          <w:rPr>
            <w:rStyle w:val="Hyperlink"/>
            <w:vertAlign w:val="superscript"/>
          </w:rPr>
          <w:t xml:space="preserve">803</w:t>
        </w:r>
      </w:hyperlink>
      <w:r>
        <w:rPr>
          <w:vertAlign w:val="superscript"/>
        </w:rPr>
        <w:t xml:space="preserve">]</w:t>
      </w:r>
      <w:r>
        <w:t xml:space="preserve">。</w:t>
      </w:r>
    </w:p>
    <w:p>
      <w:pPr>
        <w:pStyle w:val="CalloutJudgment"/>
      </w:pPr>
      <w:r>
        <w:rPr>
          <w:bCs/>
          <w:b/>
        </w:rPr>
        <w:t xml:space="preserve">判断　</w:t>
      </w:r>
      <w:r>
        <w:t xml:space="preserve">“后扣带回是自我的所在”</w:t>
      </w:r>
      <w:r>
        <w:rPr>
          <w:bCs/>
          <w:b/>
        </w:rPr>
        <w:t xml:space="preserve">过度简化·高</w:t>
      </w:r>
      <w:r>
        <w:t xml:space="preserve">。</w:t>
      </w:r>
    </w:p>
    <w:bookmarkEnd w:id="1564"/>
    <w:bookmarkStart w:id="1565" w:name="sec-92-2"/>
    <w:p>
      <w:pPr>
        <w:pStyle w:val="Heading3"/>
      </w:pPr>
      <w:r>
        <w:t xml:space="preserve">92.2　颞顶联合区</w:t>
      </w:r>
    </w:p>
    <w:p>
      <w:pPr>
        <w:pStyle w:val="FirstParagraph"/>
      </w:pPr>
      <w:r>
        <w:t xml:space="preserve">颞顶联合区位于颞叶与顶叶交界处。元分析把右侧颞顶联合区分为两部分：前部与注意重新定向和理解他人想法都有关，后部在这项元分析中对推断他人想法的任务选择性更强</w:t>
      </w:r>
      <w:r>
        <w:rPr>
          <w:vertAlign w:val="superscript"/>
        </w:rPr>
        <w:t xml:space="preserve">[</w:t>
      </w:r>
      <w:hyperlink w:anchor="ref-804">
        <w:r>
          <w:rPr>
            <w:rStyle w:val="Hyperlink"/>
            <w:vertAlign w:val="superscript"/>
          </w:rPr>
          <w:t xml:space="preserve">804</w:t>
        </w:r>
      </w:hyperlink>
      <w:r>
        <w:rPr>
          <w:vertAlign w:val="superscript"/>
        </w:rPr>
        <w:t xml:space="preserve">]</w:t>
      </w:r>
      <w:r>
        <w:t xml:space="preserve">；元分析的选择性受纳入任务范围的限制，后部同样可能参与记忆、语义和空间加工。2002 年，一位癫痫病人在右侧角回接受电刺激时，反复出现“灵魂出窍”的体验</w:t>
      </w:r>
      <w:r>
        <w:rPr>
          <w:vertAlign w:val="superscript"/>
        </w:rPr>
        <w:t xml:space="preserve">[</w:t>
      </w:r>
      <w:hyperlink w:anchor="ref-805">
        <w:r>
          <w:rPr>
            <w:rStyle w:val="Hyperlink"/>
            <w:vertAlign w:val="superscript"/>
          </w:rPr>
          <w:t xml:space="preserve">805</w:t>
        </w:r>
      </w:hyperlink>
      <w:r>
        <w:rPr>
          <w:vertAlign w:val="superscript"/>
        </w:rPr>
        <w:t xml:space="preserve">]</w:t>
      </w:r>
      <w:r>
        <w:t xml:space="preserve">；后续研究发现，用经颅磁刺激干扰这一带，会妨碍人在想象中变换自己身体的视角</w:t>
      </w:r>
      <w:r>
        <w:rPr>
          <w:vertAlign w:val="superscript"/>
        </w:rPr>
        <w:t xml:space="preserve">[</w:t>
      </w:r>
      <w:hyperlink w:anchor="ref-806">
        <w:r>
          <w:rPr>
            <w:rStyle w:val="Hyperlink"/>
            <w:vertAlign w:val="superscript"/>
          </w:rPr>
          <w:t xml:space="preserve">806</w:t>
        </w:r>
      </w:hyperlink>
      <w:r>
        <w:rPr>
          <w:vertAlign w:val="superscript"/>
        </w:rPr>
        <w:t xml:space="preserve">]</w:t>
      </w:r>
      <w:r>
        <w:t xml:space="preserve">。这提示它所在的网络参与把多种身体与前庭信号整合成“我在这里”的感觉。单个病例的刺激效应可能经由癫痫网络和相邻区域传播，据此不能把一个区域确定为“灵魂出窍区”；离体体验、想象中的视角转换、理解他人想法和共情，也是几种不同的能力。</w:t>
      </w:r>
    </w:p>
    <w:p>
      <w:pPr>
        <w:pStyle w:val="CalloutJudgment"/>
      </w:pPr>
      <w:r>
        <w:rPr>
          <w:bCs/>
          <w:b/>
        </w:rPr>
        <w:t xml:space="preserve">判断　</w:t>
      </w:r>
      <w:r>
        <w:t xml:space="preserve">“颞顶联合区是灵魂出窍区”</w:t>
      </w:r>
      <w:r>
        <w:rPr>
          <w:bCs/>
          <w:b/>
        </w:rPr>
        <w:t xml:space="preserve">过度简化·高</w:t>
      </w:r>
      <w:r>
        <w:t xml:space="preserve">。</w:t>
      </w:r>
    </w:p>
    <w:bookmarkEnd w:id="1565"/>
    <w:bookmarkStart w:id="1566" w:name="sec-92-3"/>
    <w:p>
      <w:pPr>
        <w:pStyle w:val="Heading3"/>
      </w:pPr>
      <w:r>
        <w:t xml:space="preserve">92.3　纹状体、伏隔核与腹侧被盖区</w:t>
      </w:r>
    </w:p>
    <w:p>
      <w:pPr>
        <w:pStyle w:val="FirstParagraph"/>
      </w:pPr>
      <w:r>
        <w:t xml:space="preserve">中脑腹侧被盖区的多巴胺神经元投射到伏隔核（腹侧纹状体）和前额叶，构成与奖赏预测和动机有关的通路；黑质的多巴胺神经元投射到背侧纹状体，与运动和习惯形成有关。一部分多巴胺神经元的放电近似编码“奖赏预测误差”，也就是实际结果比预期好多少或差多少</w:t>
      </w:r>
      <w:r>
        <w:rPr>
          <w:vertAlign w:val="superscript"/>
        </w:rPr>
        <w:t xml:space="preserve">[</w:t>
      </w:r>
      <w:hyperlink w:anchor="ref-508">
        <w:r>
          <w:rPr>
            <w:rStyle w:val="Hyperlink"/>
            <w:vertAlign w:val="superscript"/>
          </w:rPr>
          <w:t xml:space="preserve">508</w:t>
        </w:r>
      </w:hyperlink>
      <w:r>
        <w:rPr>
          <w:vertAlign w:val="superscript"/>
        </w:rPr>
        <w:t xml:space="preserve">]</w:t>
      </w:r>
      <w:r>
        <w:t xml:space="preserve">，其他多巴胺信号还与运动、显著性和动机有关（见</w:t>
      </w:r>
      <w:r>
        <w:t xml:space="preserve"> </w:t>
      </w:r>
      <w:hyperlink w:anchor="sec-95-1">
        <w:r>
          <w:rPr>
            <w:rStyle w:val="Hyperlink"/>
          </w:rPr>
          <w:t xml:space="preserve">95.1</w:t>
        </w:r>
      </w:hyperlink>
      <w:r>
        <w:t xml:space="preserve">）；这些投射彼此交叉，细胞类型也不单一。纹状体的输出经由苍白球内侧部和黑质网状部（基底节的两个主要输出核团）和丘脑返回皮层，构成皮层—基底节—丘脑环路，直接、间接和超直接几条通路参与的功能各有侧重；这一回路的可塑性，是反复强化的行为逐渐变成习惯的一种概括性机制</w:t>
      </w:r>
      <w:r>
        <w:rPr>
          <w:vertAlign w:val="superscript"/>
        </w:rPr>
        <w:t xml:space="preserve">[</w:t>
      </w:r>
      <w:hyperlink w:anchor="ref-807">
        <w:r>
          <w:rPr>
            <w:rStyle w:val="Hyperlink"/>
            <w:vertAlign w:val="superscript"/>
          </w:rPr>
          <w:t xml:space="preserve">807</w:t>
        </w:r>
      </w:hyperlink>
      <w:r>
        <w:rPr>
          <w:vertAlign w:val="superscript"/>
        </w:rPr>
        <w:t xml:space="preserve">]</w:t>
      </w:r>
      <w:r>
        <w:t xml:space="preserve">。腹侧纹状体更多参与“想要”和对奖赏的预期；“喜欢”（愉悦本身）更多依赖更小的“享乐热点”，这一结论主要来自大鼠的味觉反应和局部药物注射实验，提出者在理论文章中写道，中脑边缘多巴胺系统“也许根本不产生愉悦”</w:t>
      </w:r>
      <w:r>
        <w:rPr>
          <w:vertAlign w:val="superscript"/>
        </w:rPr>
        <w:t xml:space="preserve">[</w:t>
      </w:r>
      <w:hyperlink w:anchor="ref-808">
        <w:r>
          <w:rPr>
            <w:rStyle w:val="Hyperlink"/>
            <w:vertAlign w:val="superscript"/>
          </w:rPr>
          <w:t xml:space="preserve">808</w:t>
        </w:r>
      </w:hyperlink>
      <w:r>
        <w:rPr>
          <w:vertAlign w:val="superscript"/>
        </w:rPr>
        <w:t xml:space="preserve">]</w:t>
      </w:r>
      <w:r>
        <w:t xml:space="preserve">。人的愉悦还涉及广泛的皮层与皮层下活动，把“多巴胺快乐论”换成“阿片快乐论”，同样是单分子简化。</w:t>
      </w:r>
    </w:p>
    <w:p>
      <w:pPr>
        <w:pStyle w:val="CalloutJudgment"/>
      </w:pPr>
      <w:r>
        <w:rPr>
          <w:bCs/>
          <w:b/>
        </w:rPr>
        <w:t xml:space="preserve">判断　</w:t>
      </w:r>
      <w:r>
        <w:t xml:space="preserve">“多巴胺就是快感”</w:t>
      </w:r>
      <w:r>
        <w:rPr>
          <w:bCs/>
          <w:b/>
        </w:rPr>
        <w:t xml:space="preserve">过度简化·高</w:t>
      </w:r>
      <w:r>
        <w:t xml:space="preserve">（见</w:t>
      </w:r>
      <w:r>
        <w:t xml:space="preserve"> </w:t>
      </w:r>
      <w:hyperlink w:anchor="sec-95-1">
        <w:r>
          <w:rPr>
            <w:rStyle w:val="Hyperlink"/>
          </w:rPr>
          <w:t xml:space="preserve">95.1</w:t>
        </w:r>
      </w:hyperlink>
      <w:r>
        <w:t xml:space="preserve">）。</w:t>
      </w:r>
    </w:p>
    <w:bookmarkEnd w:id="1566"/>
    <w:bookmarkStart w:id="1567" w:name="sec-92-4"/>
    <w:p>
      <w:pPr>
        <w:pStyle w:val="Heading3"/>
      </w:pPr>
      <w:r>
        <w:t xml:space="preserve">92.4　丘脑与下丘脑</w:t>
      </w:r>
    </w:p>
    <w:p>
      <w:pPr>
        <w:pStyle w:val="FirstParagraph"/>
      </w:pPr>
      <w:r>
        <w:t xml:space="preserve">丘脑长期被称为感觉信息的“中继站”。现代研究显示，它通过与皮层之间的往返环路主动调节皮层活动：高级丘脑核团接收皮层的驱动输入，再投射回皮层，与皮层之间的直接连接并行</w:t>
      </w:r>
      <w:r>
        <w:rPr>
          <w:vertAlign w:val="superscript"/>
        </w:rPr>
        <w:t xml:space="preserve">[</w:t>
      </w:r>
      <w:hyperlink w:anchor="ref-781">
        <w:r>
          <w:rPr>
            <w:rStyle w:val="Hyperlink"/>
            <w:vertAlign w:val="superscript"/>
          </w:rPr>
          <w:t xml:space="preserve">781</w:t>
        </w:r>
      </w:hyperlink>
      <w:r>
        <w:rPr>
          <w:vertAlign w:val="superscript"/>
        </w:rPr>
        <w:t xml:space="preserve">]</w:t>
      </w:r>
      <w:r>
        <w:t xml:space="preserve">；丘脑回路参与组装与任务相关的皮层网络，维持和切换注意</w:t>
      </w:r>
      <w:r>
        <w:rPr>
          <w:vertAlign w:val="superscript"/>
        </w:rPr>
        <w:t xml:space="preserve">[</w:t>
      </w:r>
      <w:hyperlink w:anchor="ref-809">
        <w:r>
          <w:rPr>
            <w:rStyle w:val="Hyperlink"/>
            <w:vertAlign w:val="superscript"/>
          </w:rPr>
          <w:t xml:space="preserve">809</w:t>
        </w:r>
      </w:hyperlink>
      <w:r>
        <w:rPr>
          <w:vertAlign w:val="superscript"/>
        </w:rPr>
        <w:t xml:space="preserve">]</w:t>
      </w:r>
      <w:r>
        <w:t xml:space="preserve">；在麻醉的猴子身上刺激中央外侧丘脑，可以恢复觉醒和类似清醒时的皮层活动</w:t>
      </w:r>
      <w:r>
        <w:rPr>
          <w:vertAlign w:val="superscript"/>
        </w:rPr>
        <w:t xml:space="preserve">[</w:t>
      </w:r>
      <w:hyperlink w:anchor="ref-810">
        <w:r>
          <w:rPr>
            <w:rStyle w:val="Hyperlink"/>
            <w:vertAlign w:val="superscript"/>
          </w:rPr>
          <w:t xml:space="preserve">810</w:t>
        </w:r>
      </w:hyperlink>
      <w:r>
        <w:rPr>
          <w:vertAlign w:val="superscript"/>
        </w:rPr>
        <w:t xml:space="preserve">]</w:t>
      </w:r>
      <w:r>
        <w:t xml:space="preserve">。</w:t>
      </w:r>
    </w:p>
    <w:p>
      <w:pPr>
        <w:pStyle w:val="BodyText"/>
      </w:pPr>
      <w:r>
        <w:t xml:space="preserve">下丘脑整合自主神经与内分泌调节，是应激激素轴的起点：它释放促肾上腺皮质激素释放激素和血管升压素，促使垂体分泌促肾上腺皮质激素，再由肾上腺皮质分泌皮质醇；海马、前额叶和杏仁核也参与调节这条轴，皮质醇还会反馈抑制它。皮质醇有昼夜节律，分泌呈脉冲式，血液、唾液和头发中的皮质醇对应的时间尺度各不相同（见</w:t>
      </w:r>
      <w:r>
        <w:t xml:space="preserve"> </w:t>
      </w:r>
      <w:hyperlink w:anchor="sec-99-1">
        <w:r>
          <w:rPr>
            <w:rStyle w:val="Hyperlink"/>
          </w:rPr>
          <w:t xml:space="preserve">99.1</w:t>
        </w:r>
      </w:hyperlink>
      <w:r>
        <w:t xml:space="preserve">）。</w:t>
      </w:r>
    </w:p>
    <w:p>
      <w:pPr>
        <w:pStyle w:val="CalloutJudgment"/>
      </w:pPr>
      <w:r>
        <w:rPr>
          <w:bCs/>
          <w:b/>
        </w:rPr>
        <w:t xml:space="preserve">判断　</w:t>
      </w:r>
      <w:r>
        <w:t xml:space="preserve">“丘脑只是中继站”</w:t>
      </w:r>
      <w:r>
        <w:rPr>
          <w:bCs/>
          <w:b/>
        </w:rPr>
        <w:t xml:space="preserve">错误·高</w:t>
      </w:r>
      <w:r>
        <w:t xml:space="preserve">。</w:t>
      </w:r>
    </w:p>
    <w:bookmarkEnd w:id="1567"/>
    <w:bookmarkStart w:id="1568" w:name="sec-92-5"/>
    <w:p>
      <w:pPr>
        <w:pStyle w:val="Heading3"/>
      </w:pPr>
      <w:r>
        <w:t xml:space="preserve">92.5　脑干</w:t>
      </w:r>
    </w:p>
    <w:p>
      <w:pPr>
        <w:pStyle w:val="FirstParagraph"/>
      </w:pPr>
      <w:r>
        <w:t xml:space="preserve">脑干里有几个对情绪和觉醒至关重要的小核团：蓝斑（大脑去甲肾上腺素的主要来源）、中缝核（大脑血清素的主要来源）、导水管周围灰质（组织防御行为和调节疼痛）、迷走神经的若干核团。流行版的三重脑说法常把脑干称为“爬行脑”；麦克莱恩原本所说的“爬行动物复合体”主要指基底节</w:t>
      </w:r>
      <w:r>
        <w:rPr>
          <w:vertAlign w:val="superscript"/>
        </w:rPr>
        <w:t xml:space="preserve">[</w:t>
      </w:r>
      <w:hyperlink w:anchor="ref-661">
        <w:r>
          <w:rPr>
            <w:rStyle w:val="Hyperlink"/>
            <w:vertAlign w:val="superscript"/>
          </w:rPr>
          <w:t xml:space="preserve">661</w:t>
        </w:r>
      </w:hyperlink>
      <w:r>
        <w:rPr>
          <w:vertAlign w:val="superscript"/>
        </w:rPr>
        <w:t xml:space="preserve">]</w:t>
      </w:r>
      <w:r>
        <w:t xml:space="preserve">。这一模型的问题见</w:t>
      </w:r>
      <w:hyperlink w:anchor="ch-72">
        <w:r>
          <w:rPr>
            <w:rStyle w:val="Hyperlink"/>
          </w:rPr>
          <w:t xml:space="preserve">第72章</w:t>
        </w:r>
      </w:hyperlink>
      <w:r>
        <w:t xml:space="preserve">。</w:t>
      </w:r>
    </w:p>
    <w:p>
      <w:pPr>
        <w:pStyle w:val="CalloutJudgment"/>
      </w:pPr>
      <w:r>
        <w:rPr>
          <w:bCs/>
          <w:b/>
        </w:rPr>
        <w:t xml:space="preserve">判断　</w:t>
      </w:r>
      <w:r>
        <w:t xml:space="preserve">“脑干是爬行脑”</w:t>
      </w:r>
      <w:r>
        <w:rPr>
          <w:bCs/>
          <w:b/>
        </w:rPr>
        <w:t xml:space="preserve">错误·高</w:t>
      </w:r>
      <w:r>
        <w:t xml:space="preserve">（见</w:t>
      </w:r>
      <w:r>
        <w:t xml:space="preserve"> </w:t>
      </w:r>
      <w:hyperlink w:anchor="sec-72-2">
        <w:r>
          <w:rPr>
            <w:rStyle w:val="Hyperlink"/>
          </w:rPr>
          <w:t xml:space="preserve">72.2</w:t>
        </w:r>
      </w:hyperlink>
      <w:r>
        <w:t xml:space="preserve">）。</w:t>
      </w:r>
    </w:p>
    <w:bookmarkEnd w:id="1568"/>
    <w:bookmarkStart w:id="1569" w:name="sec-92-6"/>
    <w:p>
      <w:pPr>
        <w:pStyle w:val="Heading3"/>
      </w:pPr>
      <w:r>
        <w:t xml:space="preserve">92.6　小脑</w:t>
      </w:r>
    </w:p>
    <w:p>
      <w:pPr>
        <w:pStyle w:val="FirstParagraph"/>
      </w:pPr>
      <w:r>
        <w:t xml:space="preserve">小脑以协调运动著称，人脑约八成的神经元集中在这里</w:t>
      </w:r>
      <w:r>
        <w:rPr>
          <w:vertAlign w:val="superscript"/>
        </w:rPr>
        <w:t xml:space="preserve">[</w:t>
      </w:r>
      <w:hyperlink w:anchor="ref-811">
        <w:r>
          <w:rPr>
            <w:rStyle w:val="Hyperlink"/>
            <w:vertAlign w:val="superscript"/>
          </w:rPr>
          <w:t xml:space="preserve">811</w:t>
        </w:r>
      </w:hyperlink>
      <w:r>
        <w:rPr>
          <w:vertAlign w:val="superscript"/>
        </w:rPr>
        <w:t xml:space="preserve">]</w:t>
      </w:r>
      <w:r>
        <w:t xml:space="preserve">，这个比例按神经元数量计算，与认知能力或代谢的份额无关。临床研究发现，小脑后叶和蚓部受损的病人会出现执行功能、空间认知、语言和情绪性格方面的改变，这组表现被命名为“小脑认知情感综合征”</w:t>
      </w:r>
      <w:r>
        <w:rPr>
          <w:vertAlign w:val="superscript"/>
        </w:rPr>
        <w:t xml:space="preserve">[</w:t>
      </w:r>
      <w:hyperlink w:anchor="ref-812">
        <w:r>
          <w:rPr>
            <w:rStyle w:val="Hyperlink"/>
            <w:vertAlign w:val="superscript"/>
          </w:rPr>
          <w:t xml:space="preserve">812</w:t>
        </w:r>
      </w:hyperlink>
      <w:r>
        <w:rPr>
          <w:vertAlign w:val="superscript"/>
        </w:rPr>
        <w:t xml:space="preserve">]</w:t>
      </w:r>
      <w:r>
        <w:t xml:space="preserve">；功能连接图谱显示，人类小脑的大部分区域与大脑的联合皮层网络对应</w:t>
      </w:r>
      <w:r>
        <w:rPr>
          <w:vertAlign w:val="superscript"/>
        </w:rPr>
        <w:t xml:space="preserve">[</w:t>
      </w:r>
      <w:hyperlink w:anchor="ref-813">
        <w:r>
          <w:rPr>
            <w:rStyle w:val="Hyperlink"/>
            <w:vertAlign w:val="superscript"/>
          </w:rPr>
          <w:t xml:space="preserve">813</w:t>
        </w:r>
      </w:hyperlink>
      <w:r>
        <w:rPr>
          <w:vertAlign w:val="superscript"/>
        </w:rPr>
        <w:t xml:space="preserve">]</w:t>
      </w:r>
      <w:r>
        <w:t xml:space="preserve">。一种整合性的理论概括认为，小脑参与预测和校准的功能不限于动作，也延伸到思维与情绪，具体计算仍需按任务检验。</w:t>
      </w:r>
    </w:p>
    <w:p>
      <w:pPr>
        <w:pStyle w:val="CalloutJudgment"/>
      </w:pPr>
      <w:r>
        <w:rPr>
          <w:bCs/>
          <w:b/>
        </w:rPr>
        <w:t xml:space="preserve">判断　</w:t>
      </w:r>
      <w:r>
        <w:t xml:space="preserve">“小脑只管运动”</w:t>
      </w:r>
      <w:r>
        <w:rPr>
          <w:bCs/>
          <w:b/>
        </w:rPr>
        <w:t xml:space="preserve">错误·高</w:t>
      </w:r>
      <w:r>
        <w:t xml:space="preserve">。</w:t>
      </w:r>
    </w:p>
    <w:bookmarkEnd w:id="1569"/>
    <w:bookmarkStart w:id="1570" w:name="sec-92-7"/>
    <w:p>
      <w:pPr>
        <w:pStyle w:val="Heading3"/>
      </w:pPr>
      <w:r>
        <w:t xml:space="preserve">92.7　胼胝体与白质</w:t>
      </w:r>
    </w:p>
    <w:p>
      <w:pPr>
        <w:pStyle w:val="FirstParagraph"/>
      </w:pPr>
      <w:r>
        <w:t xml:space="preserve">胼胝体是连接左右半球的最大纤维束。解读白质的扩散成像指标要格外小心。按不同的重建算法估计，约六成到九成的白质体素含有交叉纤维，这个比例随分辨率和模型而变</w:t>
      </w:r>
      <w:r>
        <w:rPr>
          <w:vertAlign w:val="superscript"/>
        </w:rPr>
        <w:t xml:space="preserve">[</w:t>
      </w:r>
      <w:hyperlink w:anchor="ref-593">
        <w:r>
          <w:rPr>
            <w:rStyle w:val="Hyperlink"/>
            <w:vertAlign w:val="superscript"/>
          </w:rPr>
          <w:t xml:space="preserve">593</w:t>
        </w:r>
      </w:hyperlink>
      <w:r>
        <w:rPr>
          <w:vertAlign w:val="superscript"/>
        </w:rPr>
        <w:t xml:space="preserve">]</w:t>
      </w:r>
      <w:r>
        <w:t xml:space="preserve">（另见</w:t>
      </w:r>
      <w:r>
        <w:t xml:space="preserve"> </w:t>
      </w:r>
      <w:hyperlink w:anchor="sec-55-2">
        <w:r>
          <w:rPr>
            <w:rStyle w:val="Hyperlink"/>
          </w:rPr>
          <w:t xml:space="preserve">55.2</w:t>
        </w:r>
      </w:hyperlink>
      <w:r>
        <w:t xml:space="preserve">）；交叉纤维的普遍存在，让单独用各向异性分数判断白质健康或髓鞘变化会产生歧义。在交叉纤维区域，各向异性分数升高可以是早期退变的标志，因为其中一组纤维先丢失了</w:t>
      </w:r>
      <w:r>
        <w:rPr>
          <w:vertAlign w:val="superscript"/>
        </w:rPr>
        <w:t xml:space="preserve">[</w:t>
      </w:r>
      <w:hyperlink w:anchor="ref-814">
        <w:r>
          <w:rPr>
            <w:rStyle w:val="Hyperlink"/>
            <w:vertAlign w:val="superscript"/>
          </w:rPr>
          <w:t xml:space="preserve">814</w:t>
        </w:r>
      </w:hyperlink>
      <w:r>
        <w:rPr>
          <w:vertAlign w:val="superscript"/>
        </w:rPr>
        <w:t xml:space="preserve">]</w:t>
      </w:r>
      <w:r>
        <w:t xml:space="preserve">。“白质完整性”“纤维数量”这类说法，都是对扩散指标的常见误读</w:t>
      </w:r>
      <w:r>
        <w:rPr>
          <w:vertAlign w:val="superscript"/>
        </w:rPr>
        <w:t xml:space="preserve">[</w:t>
      </w:r>
      <w:hyperlink w:anchor="ref-594">
        <w:r>
          <w:rPr>
            <w:rStyle w:val="Hyperlink"/>
            <w:vertAlign w:val="superscript"/>
          </w:rPr>
          <w:t xml:space="preserve">594</w:t>
        </w:r>
      </w:hyperlink>
      <w:r>
        <w:rPr>
          <w:vertAlign w:val="superscript"/>
        </w:rPr>
        <w:t xml:space="preserve">]</w:t>
      </w:r>
      <w:r>
        <w:t xml:space="preserve">。跨半球的任务协同、胼胝体的形态与扩散指标、静息时的功能连接是三个不同层次，说“左右脑连接增强”之前，要先说明指的是哪一层。</w:t>
      </w:r>
    </w:p>
    <w:p>
      <w:pPr>
        <w:pStyle w:val="CalloutJudgment"/>
      </w:pPr>
      <w:r>
        <w:rPr>
          <w:bCs/>
          <w:b/>
        </w:rPr>
        <w:t xml:space="preserve">判断　</w:t>
      </w:r>
      <w:r>
        <w:t xml:space="preserve">“各向异性分数越高，白质越健康”</w:t>
      </w:r>
      <w:r>
        <w:rPr>
          <w:bCs/>
          <w:b/>
        </w:rPr>
        <w:t xml:space="preserve">错误·高</w:t>
      </w:r>
      <w:r>
        <w:t xml:space="preserve">。</w:t>
      </w:r>
    </w:p>
    <w:bookmarkEnd w:id="1570"/>
    <w:bookmarkStart w:id="1571" w:name="sec-92-8"/>
    <w:p>
      <w:pPr>
        <w:pStyle w:val="Heading3"/>
      </w:pPr>
      <w:r>
        <w:t xml:space="preserve">92.8　体感皮层、运动皮层与身体注意</w:t>
      </w:r>
    </w:p>
    <w:p>
      <w:pPr>
        <w:pStyle w:val="FirstParagraph"/>
      </w:pPr>
      <w:r>
        <w:t xml:space="preserve">初级体感皮层按身体部位排列，接收触觉和身体位置信息；温度和疼痛还要经过岛叶、次级体感皮层等多处加工。运动皮层参与动作的规划与输出，与前运动区、辅助运动区、基底节、小脑和脊髓共同构成运动控制系统（见</w:t>
      </w:r>
      <w:hyperlink w:anchor="ch-16">
        <w:r>
          <w:rPr>
            <w:rStyle w:val="Hyperlink"/>
          </w:rPr>
          <w:t xml:space="preserve">第16章</w:t>
        </w:r>
      </w:hyperlink>
      <w:r>
        <w:t xml:space="preserve">）。注意某个身体部位时，对应皮层区域的 α 节律下降，不相关区域的 α 节律升高，这是大脑分配注意的一种方式。</w:t>
      </w:r>
    </w:p>
    <w:bookmarkEnd w:id="1571"/>
    <w:bookmarkStart w:id="1572" w:name="sec-92-9"/>
    <w:p>
      <w:pPr>
        <w:pStyle w:val="Heading3"/>
      </w:pPr>
      <w:r>
        <w:t xml:space="preserve">92.9　屏状核</w:t>
      </w:r>
    </w:p>
    <w:p>
      <w:pPr>
        <w:pStyle w:val="FirstParagraph"/>
      </w:pPr>
      <w:r>
        <w:t xml:space="preserve">屏状核是位于岛叶皮层深面的一片薄薄灰质，夹在岛叶与壳核之间（外侧隔着最外囊，内侧隔着外囊），与大范围的皮层区域有往返连接，这一认识主要来自动物示踪研究和人脑的间接连接证据。弗朗西斯·克里克和克里斯托夫·科赫在 2005 年提出，它可能帮助各皮层区整合成统一的意识体验</w:t>
      </w:r>
      <w:r>
        <w:rPr>
          <w:vertAlign w:val="superscript"/>
        </w:rPr>
        <w:t xml:space="preserve">[</w:t>
      </w:r>
      <w:hyperlink w:anchor="ref-815">
        <w:r>
          <w:rPr>
            <w:rStyle w:val="Hyperlink"/>
            <w:vertAlign w:val="superscript"/>
          </w:rPr>
          <w:t xml:space="preserve">815</w:t>
        </w:r>
      </w:hyperlink>
      <w:r>
        <w:rPr>
          <w:vertAlign w:val="superscript"/>
        </w:rPr>
        <w:t xml:space="preserve">]</w:t>
      </w:r>
      <w:r>
        <w:t xml:space="preserve">。2014 年，研究者在一名 54 岁癫痫病人左侧屏状核与岛叶交界处施加电刺激，病人每次都会暂时停止自主行为、失去反应，刺激停止即恢复</w:t>
      </w:r>
      <w:r>
        <w:rPr>
          <w:vertAlign w:val="superscript"/>
        </w:rPr>
        <w:t xml:space="preserve">[</w:t>
      </w:r>
      <w:hyperlink w:anchor="ref-816">
        <w:r>
          <w:rPr>
            <w:rStyle w:val="Hyperlink"/>
            <w:vertAlign w:val="superscript"/>
          </w:rPr>
          <w:t xml:space="preserve">816</w:t>
        </w:r>
      </w:hyperlink>
      <w:r>
        <w:rPr>
          <w:vertAlign w:val="superscript"/>
        </w:rPr>
        <w:t xml:space="preserve">]</w:t>
      </w:r>
      <w:r>
        <w:t xml:space="preserve">。失去反应不一定等于失去全部主观体验；这是单个病例，电极位于屏状核边缘；2019 年对 5 名病人在屏状核内部直接刺激，包括双侧强刺激，都没有引起意识丧失</w:t>
      </w:r>
      <w:r>
        <w:rPr>
          <w:vertAlign w:val="superscript"/>
        </w:rPr>
        <w:t xml:space="preserve">[</w:t>
      </w:r>
      <w:hyperlink w:anchor="ref-817">
        <w:r>
          <w:rPr>
            <w:rStyle w:val="Hyperlink"/>
            <w:vertAlign w:val="superscript"/>
          </w:rPr>
          <w:t xml:space="preserve">817</w:t>
        </w:r>
      </w:hyperlink>
      <w:r>
        <w:rPr>
          <w:vertAlign w:val="superscript"/>
        </w:rPr>
        <w:t xml:space="preserve">]</w:t>
      </w:r>
      <w:r>
        <w:t xml:space="preserve">，这一结果也受电极覆盖范围和刺激参数的限制。小鼠研究显示屏状核参与协调皮层慢波</w:t>
      </w:r>
      <w:r>
        <w:rPr>
          <w:vertAlign w:val="superscript"/>
        </w:rPr>
        <w:t xml:space="preserve">[</w:t>
      </w:r>
      <w:hyperlink w:anchor="ref-818">
        <w:r>
          <w:rPr>
            <w:rStyle w:val="Hyperlink"/>
            <w:vertAlign w:val="superscript"/>
          </w:rPr>
          <w:t xml:space="preserve">818</w:t>
        </w:r>
      </w:hyperlink>
      <w:r>
        <w:rPr>
          <w:vertAlign w:val="superscript"/>
        </w:rPr>
        <w:t xml:space="preserve">]</w:t>
      </w:r>
      <w:r>
        <w:t xml:space="preserve">，也帮助抵抗无关干扰</w:t>
      </w:r>
      <w:r>
        <w:rPr>
          <w:vertAlign w:val="superscript"/>
        </w:rPr>
        <w:t xml:space="preserve">[</w:t>
      </w:r>
      <w:hyperlink w:anchor="ref-819">
        <w:r>
          <w:rPr>
            <w:rStyle w:val="Hyperlink"/>
            <w:vertAlign w:val="superscript"/>
          </w:rPr>
          <w:t xml:space="preserve">819</w:t>
        </w:r>
      </w:hyperlink>
      <w:r>
        <w:rPr>
          <w:vertAlign w:val="superscript"/>
        </w:rPr>
        <w:t xml:space="preserve">]</w:t>
      </w:r>
      <w:r>
        <w:t xml:space="preserve">。屏状核很薄，紧贴岛叶，标准的配准、平滑和自动标注很容易把邻近组织混进来，人脑成像中标注到屏状核的结果，常难以确认确实来自屏状核本身。</w:t>
      </w:r>
    </w:p>
    <w:p>
      <w:pPr>
        <w:pStyle w:val="CalloutJudgment"/>
      </w:pPr>
      <w:r>
        <w:rPr>
          <w:bCs/>
          <w:b/>
        </w:rPr>
        <w:t xml:space="preserve">判断　</w:t>
      </w:r>
      <w:r>
        <w:t xml:space="preserve">“屏状核是意识开关”</w:t>
      </w:r>
      <w:r>
        <w:rPr>
          <w:bCs/>
          <w:b/>
        </w:rPr>
        <w:t xml:space="preserve">证据不足·中</w:t>
      </w:r>
      <w:r>
        <w:t xml:space="preserve">：单一开关的模型没有得到支持。</w:t>
      </w:r>
    </w:p>
    <w:bookmarkEnd w:id="1572"/>
    <w:bookmarkStart w:id="1573" w:name="sec-92-10"/>
    <w:p>
      <w:pPr>
        <w:pStyle w:val="Heading3"/>
      </w:pPr>
      <w:r>
        <w:t xml:space="preserve">92.10　松果体</w:t>
      </w:r>
    </w:p>
    <w:p>
      <w:pPr>
        <w:pStyle w:val="FirstParagraph"/>
      </w:pPr>
      <w:r>
        <w:t xml:space="preserve">松果体位于两半球之间的深部，成人的松果体不到 0.2 克，主要功能是在黑暗中分泌褪黑素，调节昼夜节律</w:t>
      </w:r>
      <w:r>
        <w:rPr>
          <w:vertAlign w:val="superscript"/>
        </w:rPr>
        <w:t xml:space="preserve">[</w:t>
      </w:r>
      <w:hyperlink w:anchor="ref-820">
        <w:r>
          <w:rPr>
            <w:rStyle w:val="Hyperlink"/>
            <w:vertAlign w:val="superscript"/>
          </w:rPr>
          <w:t xml:space="preserve">820</w:t>
        </w:r>
      </w:hyperlink>
      <w:r>
        <w:rPr>
          <w:vertAlign w:val="superscript"/>
        </w:rPr>
        <w:t xml:space="preserve">]</w:t>
      </w:r>
      <w:r>
        <w:t xml:space="preserve">。笛卡尔称它为“灵魂的居所”，神秘学传统称它为“第三只眼”。大鼠研究在皮层检测到二甲基色胺（DMT），其水平在切除松果体后基本不变，在心脏骤停模型中升高</w:t>
      </w:r>
      <w:r>
        <w:rPr>
          <w:vertAlign w:val="superscript"/>
        </w:rPr>
        <w:t xml:space="preserve">[</w:t>
      </w:r>
      <w:hyperlink w:anchor="ref-821">
        <w:r>
          <w:rPr>
            <w:rStyle w:val="Hyperlink"/>
            <w:vertAlign w:val="superscript"/>
          </w:rPr>
          <w:t xml:space="preserve">821</w:t>
        </w:r>
      </w:hyperlink>
      <w:r>
        <w:rPr>
          <w:vertAlign w:val="superscript"/>
        </w:rPr>
        <w:t xml:space="preserve">]</w:t>
      </w:r>
      <w:r>
        <w:t xml:space="preserve">，说明在这一模型中皮层 DMT 不完全依赖松果体；人脑中微量 DMT 的浓度很可能不足以产生精神作用</w:t>
      </w:r>
      <w:r>
        <w:rPr>
          <w:vertAlign w:val="superscript"/>
        </w:rPr>
        <w:t xml:space="preserve">[</w:t>
      </w:r>
      <w:hyperlink w:anchor="ref-820">
        <w:r>
          <w:rPr>
            <w:rStyle w:val="Hyperlink"/>
            <w:vertAlign w:val="superscript"/>
          </w:rPr>
          <w:t xml:space="preserve">820</w:t>
        </w:r>
      </w:hyperlink>
      <w:r>
        <w:rPr>
          <w:vertAlign w:val="superscript"/>
        </w:rPr>
        <w:t xml:space="preserve">]</w:t>
      </w:r>
      <w:r>
        <w:t xml:space="preserve">，这是根据有限的浓度测量和外源给药的经验作出的推断。没有测过的局部信号不在推断范围内，人体内的合成和细胞外浓度也还缺少直接测量。“松果体钙化导致灵性闭塞”没有证据：“灵性闭塞”本身没有可检验的定义；钙化随年龄增长非常普遍，一项一千余人的社区横断面研究中，钙化程度在校正年龄和性别后与睡眠质量也无关</w:t>
      </w:r>
      <w:r>
        <w:rPr>
          <w:vertAlign w:val="superscript"/>
        </w:rPr>
        <w:t xml:space="preserve">[</w:t>
      </w:r>
      <w:hyperlink w:anchor="ref-822">
        <w:r>
          <w:rPr>
            <w:rStyle w:val="Hyperlink"/>
            <w:vertAlign w:val="superscript"/>
          </w:rPr>
          <w:t xml:space="preserve">822</w:t>
        </w:r>
      </w:hyperlink>
      <w:r>
        <w:rPr>
          <w:vertAlign w:val="superscript"/>
        </w:rPr>
        <w:t xml:space="preserve">]</w:t>
      </w:r>
      <w:r>
        <w:t xml:space="preserve">。钙化在其他人群中有没有生理影响，这项研究回答不了。“冥想打开松果体”“冥想时松果体释放 DMT”这两种流行说法，见</w:t>
      </w:r>
      <w:hyperlink w:anchor="ch-110">
        <w:r>
          <w:rPr>
            <w:rStyle w:val="Hyperlink"/>
          </w:rPr>
          <w:t xml:space="preserve">第110章</w:t>
        </w:r>
      </w:hyperlink>
      <w:r>
        <w:t xml:space="preserve">。</w:t>
      </w:r>
    </w:p>
    <w:bookmarkEnd w:id="1573"/>
    <w:bookmarkEnd w:id="1574"/>
    <w:bookmarkStart w:id="1578" w:name="ch-93"/>
    <w:p>
      <w:pPr>
        <w:pStyle w:val="Heading2"/>
      </w:pPr>
      <w:r>
        <w:t xml:space="preserve">第93章　大尺度网络：默认模式、突显与控制网络</w:t>
      </w:r>
    </w:p>
    <w:p>
      <w:pPr>
        <w:pStyle w:val="FirstParagraph"/>
      </w:pPr>
      <w:r>
        <w:t xml:space="preserve">这一章讲几个最常被提到的大尺度网络本身做什么：默认模式网络、突显网络和额顶控制网络。网络框架有助于把多个脑区在特定任务中的共同变化组织成可以检验的模型；给网络起的名字确定不了它在当前任务中的功能（见</w:t>
      </w:r>
      <w:r>
        <w:t xml:space="preserve"> </w:t>
      </w:r>
      <w:hyperlink w:anchor="sec-55-1">
        <w:r>
          <w:rPr>
            <w:rStyle w:val="Hyperlink"/>
          </w:rPr>
          <w:t xml:space="preserve">55.1</w:t>
        </w:r>
      </w:hyperlink>
      <w:r>
        <w:t xml:space="preserve">），网络分析也受样本小、头动、呼吸和分析自由度的影响（见</w:t>
      </w:r>
      <w:r>
        <w:t xml:space="preserve"> </w:t>
      </w:r>
      <w:hyperlink w:anchor="sec-55-2">
        <w:r>
          <w:rPr>
            <w:rStyle w:val="Hyperlink"/>
          </w:rPr>
          <w:t xml:space="preserve">55.2</w:t>
        </w:r>
      </w:hyperlink>
      <w:r>
        <w:t xml:space="preserve">、</w:t>
      </w:r>
      <w:hyperlink w:anchor="sec-55-3">
        <w:r>
          <w:rPr>
            <w:rStyle w:val="Hyperlink"/>
          </w:rPr>
          <w:t xml:space="preserve">55.3</w:t>
        </w:r>
      </w:hyperlink>
      <w:r>
        <w:t xml:space="preserve">）。走神的研究见</w:t>
      </w:r>
      <w:r>
        <w:t xml:space="preserve"> </w:t>
      </w:r>
      <w:hyperlink w:anchor="sec-36-6">
        <w:r>
          <w:rPr>
            <w:rStyle w:val="Hyperlink"/>
          </w:rPr>
          <w:t xml:space="preserve">36.6</w:t>
        </w:r>
      </w:hyperlink>
      <w:r>
        <w:t xml:space="preserve">，冥想研究中的网络发现见</w:t>
      </w:r>
      <w:hyperlink w:anchor="ch-111">
        <w:r>
          <w:rPr>
            <w:rStyle w:val="Hyperlink"/>
          </w:rPr>
          <w:t xml:space="preserve">第111章</w:t>
        </w:r>
      </w:hyperlink>
      <w:r>
        <w:t xml:space="preserve">。</w:t>
      </w:r>
    </w:p>
    <w:bookmarkStart w:id="1575" w:name="sec-93-1"/>
    <w:p>
      <w:pPr>
        <w:pStyle w:val="Heading3"/>
      </w:pPr>
      <w:r>
        <w:t xml:space="preserve">93.1　默认模式网络</w:t>
      </w:r>
    </w:p>
    <w:p>
      <w:pPr>
        <w:pStyle w:val="FirstParagraph"/>
      </w:pPr>
      <w:r>
        <w:t xml:space="preserve">1990 年代，研究者重新分析了九项正电子发射断层扫描研究，注意到人在执行外部任务时，有一组区域的血流反而比被动状态更低</w:t>
      </w:r>
      <w:r>
        <w:rPr>
          <w:vertAlign w:val="superscript"/>
        </w:rPr>
        <w:t xml:space="preserve">[</w:t>
      </w:r>
      <w:hyperlink w:anchor="ref-823">
        <w:r>
          <w:rPr>
            <w:rStyle w:val="Hyperlink"/>
            <w:vertAlign w:val="superscript"/>
          </w:rPr>
          <w:t xml:space="preserve">823</w:t>
        </w:r>
      </w:hyperlink>
      <w:r>
        <w:rPr>
          <w:vertAlign w:val="superscript"/>
        </w:rPr>
        <w:t xml:space="preserve">]</w:t>
      </w:r>
      <w:r>
        <w:t xml:space="preserve">。2001 年，研究者把这组区域在静息时的活动称为大脑的“默认模式”</w:t>
      </w:r>
      <w:r>
        <w:rPr>
          <w:vertAlign w:val="superscript"/>
        </w:rPr>
        <w:t xml:space="preserve">[</w:t>
      </w:r>
      <w:hyperlink w:anchor="ref-824">
        <w:r>
          <w:rPr>
            <w:rStyle w:val="Hyperlink"/>
            <w:vertAlign w:val="superscript"/>
          </w:rPr>
          <w:t xml:space="preserve">824</w:t>
        </w:r>
      </w:hyperlink>
      <w:r>
        <w:rPr>
          <w:vertAlign w:val="superscript"/>
        </w:rPr>
        <w:t xml:space="preserve">]</w:t>
      </w:r>
      <w:r>
        <w:t xml:space="preserve">。它的核心节点包括内侧前额叶、后扣带回与楔前叶、顶下小叶的角回、外侧颞叶和海马结构。</w:t>
      </w:r>
    </w:p>
    <w:p>
      <w:pPr>
        <w:pStyle w:val="BodyText"/>
      </w:pPr>
      <w:r>
        <w:t xml:space="preserve">默认模式网络远不止“发呆时活跃”。它支持回忆个人经历、想象未来、揣摩别人的想法、做与自我有关的判断</w:t>
      </w:r>
      <w:r>
        <w:rPr>
          <w:vertAlign w:val="superscript"/>
        </w:rPr>
        <w:t xml:space="preserve">[</w:t>
      </w:r>
      <w:hyperlink w:anchor="ref-825">
        <w:r>
          <w:rPr>
            <w:rStyle w:val="Hyperlink"/>
            <w:vertAlign w:val="superscript"/>
          </w:rPr>
          <w:t xml:space="preserve">825</w:t>
        </w:r>
      </w:hyperlink>
      <w:r>
        <w:rPr>
          <w:vertAlign w:val="superscript"/>
        </w:rPr>
        <w:t xml:space="preserve">]</w:t>
      </w:r>
      <w:r>
        <w:t xml:space="preserve">，也参与语义与概念信息的提取，与创造性想法的产生和评估有关</w:t>
      </w:r>
      <w:r>
        <w:rPr>
          <w:vertAlign w:val="superscript"/>
        </w:rPr>
        <w:t xml:space="preserve">[</w:t>
      </w:r>
      <w:hyperlink w:anchor="ref-826">
        <w:r>
          <w:rPr>
            <w:rStyle w:val="Hyperlink"/>
            <w:vertAlign w:val="superscript"/>
          </w:rPr>
          <w:t xml:space="preserve">826</w:t>
        </w:r>
      </w:hyperlink>
      <w:r>
        <w:rPr>
          <w:vertAlign w:val="superscript"/>
        </w:rPr>
        <w:t xml:space="preserve">]</w:t>
      </w:r>
      <w:r>
        <w:t xml:space="preserve">。后续研究把它细分为三部分：以后扣带回和前内侧前额叶为核心的中线部分，偏重社会推理与概念知识的背内侧子系统，偏重记忆与场景建构的内侧颞叶子系统</w:t>
      </w:r>
      <w:r>
        <w:rPr>
          <w:vertAlign w:val="superscript"/>
        </w:rPr>
        <w:t xml:space="preserve">[</w:t>
      </w:r>
      <w:hyperlink w:anchor="ref-826">
        <w:r>
          <w:rPr>
            <w:rStyle w:val="Hyperlink"/>
            <w:vertAlign w:val="superscript"/>
          </w:rPr>
          <w:t xml:space="preserve">826</w:t>
        </w:r>
      </w:hyperlink>
      <w:r>
        <w:rPr>
          <w:vertAlign w:val="superscript"/>
        </w:rPr>
        <w:t xml:space="preserve">]</w:t>
      </w:r>
      <w:r>
        <w:t xml:space="preserve">。它也会在某些高难度的外部任务中参与（例如在不同类型的任务之间切换时），在深度麻醉、意识丧失的猴子身上仍然保持协同波动</w:t>
      </w:r>
      <w:r>
        <w:rPr>
          <w:vertAlign w:val="superscript"/>
        </w:rPr>
        <w:t xml:space="preserve">[</w:t>
      </w:r>
      <w:hyperlink w:anchor="ref-827">
        <w:r>
          <w:rPr>
            <w:rStyle w:val="Hyperlink"/>
            <w:vertAlign w:val="superscript"/>
          </w:rPr>
          <w:t xml:space="preserve">827</w:t>
        </w:r>
      </w:hyperlink>
      <w:r>
        <w:rPr>
          <w:vertAlign w:val="superscript"/>
        </w:rPr>
        <w:t xml:space="preserve">,</w:t>
      </w:r>
      <w:hyperlink w:anchor="ref-828">
        <w:r>
          <w:rPr>
            <w:rStyle w:val="Hyperlink"/>
            <w:vertAlign w:val="superscript"/>
          </w:rPr>
          <w:t xml:space="preserve">828</w:t>
        </w:r>
      </w:hyperlink>
      <w:r>
        <w:rPr>
          <w:vertAlign w:val="superscript"/>
        </w:rPr>
        <w:t xml:space="preserve">]</w:t>
      </w:r>
      <w:r>
        <w:t xml:space="preserve">，这说明网络的相关结构在失去行为反应时仍可存在，单凭它判断不了主观体验的有无；与自我有关的加工也动用这个网络以外的区域</w:t>
      </w:r>
      <w:r>
        <w:rPr>
          <w:vertAlign w:val="superscript"/>
        </w:rPr>
        <w:t xml:space="preserve">[</w:t>
      </w:r>
      <w:hyperlink w:anchor="ref-829">
        <w:r>
          <w:rPr>
            <w:rStyle w:val="Hyperlink"/>
            <w:vertAlign w:val="superscript"/>
          </w:rPr>
          <w:t xml:space="preserve">829</w:t>
        </w:r>
      </w:hyperlink>
      <w:r>
        <w:rPr>
          <w:vertAlign w:val="superscript"/>
        </w:rPr>
        <w:t xml:space="preserve">]</w:t>
      </w:r>
      <w:r>
        <w:t xml:space="preserve">。“默认网络 = 自我”因此是过度概括。</w:t>
      </w:r>
    </w:p>
    <w:p>
      <w:pPr>
        <w:pStyle w:val="BodyText"/>
      </w:pPr>
      <w:r>
        <w:t xml:space="preserve">默认网络与抑郁的关系，常被说成“抑郁症患者默认网络过度活跃，导致反刍”。诱发反刍的任务确实会动用默认网络</w:t>
      </w:r>
      <w:r>
        <w:rPr>
          <w:vertAlign w:val="superscript"/>
        </w:rPr>
        <w:t xml:space="preserve">[</w:t>
      </w:r>
      <w:hyperlink w:anchor="ref-830">
        <w:r>
          <w:rPr>
            <w:rStyle w:val="Hyperlink"/>
            <w:vertAlign w:val="superscript"/>
          </w:rPr>
          <w:t xml:space="preserve">830</w:t>
        </w:r>
      </w:hyperlink>
      <w:r>
        <w:rPr>
          <w:vertAlign w:val="superscript"/>
        </w:rPr>
        <w:t xml:space="preserve">]</w:t>
      </w:r>
      <w:r>
        <w:t xml:space="preserve">。大样本静息数据却不支持“网络内部过度连接”的简单版本：25 个研究组汇集了两千四百余人的数据，质控后比较 848 名患者与 794 名对照，发现抑郁症患者默认网络内部的连接反而略有下降；下降见于反复发作的患者，首次发作且从未服药的患者没有出现，连接下降还与正在服药有关</w:t>
      </w:r>
      <w:r>
        <w:rPr>
          <w:vertAlign w:val="superscript"/>
        </w:rPr>
        <w:t xml:space="preserve">[</w:t>
      </w:r>
      <w:hyperlink w:anchor="ref-831">
        <w:r>
          <w:rPr>
            <w:rStyle w:val="Hyperlink"/>
            <w:vertAlign w:val="superscript"/>
          </w:rPr>
          <w:t xml:space="preserve">831</w:t>
        </w:r>
      </w:hyperlink>
      <w:r>
        <w:rPr>
          <w:vertAlign w:val="superscript"/>
        </w:rPr>
        <w:t xml:space="preserve">]</w:t>
      </w:r>
      <w:r>
        <w:t xml:space="preserve">。这是观察性的关联。药物是否导致了连接下降，据此判断不了；患者在病程、运动、睡眠和共病上也各不相同；另一项一千三百余人的研究发现下降幅度很小，独立样本中没有重复，特质反刍也与默认网络连接无关</w:t>
      </w:r>
      <w:r>
        <w:rPr>
          <w:vertAlign w:val="superscript"/>
        </w:rPr>
        <w:t xml:space="preserve">[</w:t>
      </w:r>
      <w:hyperlink w:anchor="ref-832">
        <w:r>
          <w:rPr>
            <w:rStyle w:val="Hyperlink"/>
            <w:vertAlign w:val="superscript"/>
          </w:rPr>
          <w:t xml:space="preserve">832</w:t>
        </w:r>
      </w:hyperlink>
      <w:r>
        <w:rPr>
          <w:vertAlign w:val="superscript"/>
        </w:rPr>
        <w:t xml:space="preserve">]</w:t>
      </w:r>
      <w:r>
        <w:t xml:space="preserve">。需要注意，功能连接衡量信号的共同波动，活动水平是另一种指标；这些结果直接检验的是“过度连接”。抑郁相关的默认网络异常随子系统、病程、用药和任务而不同，概括为整个网络统一“过度活跃”并不恰当。较常被报告的异常，是默认网络与膝下前额叶之间的连接</w:t>
      </w:r>
      <w:r>
        <w:rPr>
          <w:vertAlign w:val="superscript"/>
        </w:rPr>
        <w:t xml:space="preserve">[</w:t>
      </w:r>
      <w:hyperlink w:anchor="ref-833">
        <w:r>
          <w:rPr>
            <w:rStyle w:val="Hyperlink"/>
            <w:vertAlign w:val="superscript"/>
          </w:rPr>
          <w:t xml:space="preserve">833</w:t>
        </w:r>
      </w:hyperlink>
      <w:r>
        <w:rPr>
          <w:vertAlign w:val="superscript"/>
        </w:rPr>
        <w:t xml:space="preserve">]</w:t>
      </w:r>
      <w:r>
        <w:t xml:space="preserve">。单凭这一条特定的连接，还构不成统一的抑郁机制。</w:t>
      </w:r>
    </w:p>
    <w:p>
      <w:pPr>
        <w:pStyle w:val="CalloutJudgment"/>
      </w:pPr>
      <w:r>
        <w:rPr>
          <w:bCs/>
          <w:b/>
        </w:rPr>
        <w:t xml:space="preserve">判断　</w:t>
      </w:r>
      <w:r>
        <w:t xml:space="preserve">“抑郁症就是默认网络过度活跃”</w:t>
      </w:r>
      <w:r>
        <w:rPr>
          <w:bCs/>
          <w:b/>
        </w:rPr>
        <w:t xml:space="preserve">过度简化·中</w:t>
      </w:r>
      <w:r>
        <w:t xml:space="preserve">。</w:t>
      </w:r>
    </w:p>
    <w:bookmarkEnd w:id="1575"/>
    <w:bookmarkStart w:id="1576" w:name="sec-93-2"/>
    <w:p>
      <w:pPr>
        <w:pStyle w:val="Heading3"/>
      </w:pPr>
      <w:r>
        <w:t xml:space="preserve">93.2　突显网络与网络切换</w:t>
      </w:r>
    </w:p>
    <w:p>
      <w:pPr>
        <w:pStyle w:val="FirstParagraph"/>
      </w:pPr>
      <w:r>
        <w:t xml:space="preserve">突显网络以前岛叶和背侧前扣带为核心。一个有影响的模型认为，它参与从大量内外信号中挑出“此刻重要的”，并协调默认模式网络和执行控制网络之间的切换</w:t>
      </w:r>
      <w:r>
        <w:rPr>
          <w:vertAlign w:val="superscript"/>
        </w:rPr>
        <w:t xml:space="preserve">[</w:t>
      </w:r>
      <w:hyperlink w:anchor="ref-834">
        <w:r>
          <w:rPr>
            <w:rStyle w:val="Hyperlink"/>
            <w:vertAlign w:val="superscript"/>
          </w:rPr>
          <w:t xml:space="preserve">834</w:t>
        </w:r>
      </w:hyperlink>
      <w:r>
        <w:rPr>
          <w:vertAlign w:val="superscript"/>
        </w:rPr>
        <w:t xml:space="preserve">,</w:t>
      </w:r>
      <w:hyperlink w:anchor="ref-835">
        <w:r>
          <w:rPr>
            <w:rStyle w:val="Hyperlink"/>
            <w:vertAlign w:val="superscript"/>
          </w:rPr>
          <w:t xml:space="preserve">835</w:t>
        </w:r>
      </w:hyperlink>
      <w:r>
        <w:rPr>
          <w:vertAlign w:val="superscript"/>
        </w:rPr>
        <w:t xml:space="preserve">]</w:t>
      </w:r>
      <w:r>
        <w:t xml:space="preserve">。精神病理学中的“三网络模型”认为，焦虑、抑郁等多种问题都与这三个网络之间的切换失调有关</w:t>
      </w:r>
      <w:r>
        <w:rPr>
          <w:vertAlign w:val="superscript"/>
        </w:rPr>
        <w:t xml:space="preserve">[</w:t>
      </w:r>
      <w:hyperlink w:anchor="ref-835">
        <w:r>
          <w:rPr>
            <w:rStyle w:val="Hyperlink"/>
            <w:vertAlign w:val="superscript"/>
          </w:rPr>
          <w:t xml:space="preserve">835</w:t>
        </w:r>
      </w:hyperlink>
      <w:r>
        <w:rPr>
          <w:vertAlign w:val="superscript"/>
        </w:rPr>
        <w:t xml:space="preserve">]</w:t>
      </w:r>
      <w:r>
        <w:t xml:space="preserve">。切换功能有了更直接的证据：在大鼠身上刺激前岛叶神经元会压低默认网络的活动</w:t>
      </w:r>
      <w:r>
        <w:rPr>
          <w:vertAlign w:val="superscript"/>
        </w:rPr>
        <w:t xml:space="preserve">[</w:t>
      </w:r>
      <w:hyperlink w:anchor="ref-836">
        <w:r>
          <w:rPr>
            <w:rStyle w:val="Hyperlink"/>
            <w:vertAlign w:val="superscript"/>
          </w:rPr>
          <w:t xml:space="preserve">836</w:t>
        </w:r>
      </w:hyperlink>
      <w:r>
        <w:rPr>
          <w:vertAlign w:val="superscript"/>
        </w:rPr>
        <w:t xml:space="preserve">]</w:t>
      </w:r>
      <w:r>
        <w:t xml:space="preserve">，这是特定刺激条件下的因果证据，大鼠默认网络与人类网络的对应、麻醉与清醒状态都会影响外推；177 名植入颅内电极的病人在情景记忆任务中的记录显示，按定向信息流的统计估计，信息从前岛叶流向默认网络和额顶网络</w:t>
      </w:r>
      <w:r>
        <w:rPr>
          <w:vertAlign w:val="superscript"/>
        </w:rPr>
        <w:t xml:space="preserve">[</w:t>
      </w:r>
      <w:hyperlink w:anchor="ref-837">
        <w:r>
          <w:rPr>
            <w:rStyle w:val="Hyperlink"/>
            <w:vertAlign w:val="superscript"/>
          </w:rPr>
          <w:t xml:space="preserve">837</w:t>
        </w:r>
      </w:hyperlink>
      <w:r>
        <w:rPr>
          <w:vertAlign w:val="superscript"/>
        </w:rPr>
        <w:t xml:space="preserve">]</w:t>
      </w:r>
      <w:r>
        <w:t xml:space="preserve">，这项研究的任务与冥想无关，冥想中察觉走神与网络切换的研究见</w:t>
      </w:r>
      <w:r>
        <w:t xml:space="preserve"> </w:t>
      </w:r>
      <w:hyperlink w:anchor="sec-111-3">
        <w:r>
          <w:rPr>
            <w:rStyle w:val="Hyperlink"/>
          </w:rPr>
          <w:t xml:space="preserve">111.3</w:t>
        </w:r>
      </w:hyperlink>
      <w:r>
        <w:t xml:space="preserve">。</w:t>
      </w:r>
    </w:p>
    <w:bookmarkEnd w:id="1576"/>
    <w:bookmarkStart w:id="1577" w:name="sec-93-3"/>
    <w:p>
      <w:pPr>
        <w:pStyle w:val="Heading3"/>
      </w:pPr>
      <w:r>
        <w:t xml:space="preserve">93.3　执行控制与注意网络</w:t>
      </w:r>
    </w:p>
    <w:p>
      <w:pPr>
        <w:pStyle w:val="FirstParagraph"/>
      </w:pPr>
      <w:r>
        <w:t xml:space="preserve">额顶控制网络（以外侧前额叶、前扣带和顶下小叶为核心，不同分区方案中前扣带也常被归入突显网络）参与维持任务目标、灵活调整控制</w:t>
      </w:r>
      <w:r>
        <w:rPr>
          <w:vertAlign w:val="superscript"/>
        </w:rPr>
        <w:t xml:space="preserve">[</w:t>
      </w:r>
      <w:hyperlink w:anchor="ref-838">
        <w:r>
          <w:rPr>
            <w:rStyle w:val="Hyperlink"/>
            <w:vertAlign w:val="superscript"/>
          </w:rPr>
          <w:t xml:space="preserve">838</w:t>
        </w:r>
      </w:hyperlink>
      <w:r>
        <w:rPr>
          <w:vertAlign w:val="superscript"/>
        </w:rPr>
        <w:t xml:space="preserve">]</w:t>
      </w:r>
      <w:r>
        <w:t xml:space="preserve">；背侧注意网络（以顶内沟和额叶眼区为核心）参与按目标主动分配注意；腹侧注意网络（以右侧颞顶联合区和腹侧额叶为核心）参与注意被意外刺激“拉走”的过程</w:t>
      </w:r>
      <w:r>
        <w:rPr>
          <w:vertAlign w:val="superscript"/>
        </w:rPr>
        <w:t xml:space="preserve">[</w:t>
      </w:r>
      <w:hyperlink w:anchor="ref-390">
        <w:r>
          <w:rPr>
            <w:rStyle w:val="Hyperlink"/>
            <w:vertAlign w:val="superscript"/>
          </w:rPr>
          <w:t xml:space="preserve">390</w:t>
        </w:r>
      </w:hyperlink>
      <w:r>
        <w:rPr>
          <w:vertAlign w:val="superscript"/>
        </w:rPr>
        <w:t xml:space="preserve">]</w:t>
      </w:r>
      <w:r>
        <w:t xml:space="preserve">。另一个常用的框架把注意分为警觉、定向和执行控制三个子系统</w:t>
      </w:r>
      <w:r>
        <w:rPr>
          <w:vertAlign w:val="superscript"/>
        </w:rPr>
        <w:t xml:space="preserve">[</w:t>
      </w:r>
      <w:hyperlink w:anchor="ref-839">
        <w:r>
          <w:rPr>
            <w:rStyle w:val="Hyperlink"/>
            <w:vertAlign w:val="superscript"/>
          </w:rPr>
          <w:t xml:space="preserve">839</w:t>
        </w:r>
      </w:hyperlink>
      <w:r>
        <w:rPr>
          <w:vertAlign w:val="superscript"/>
        </w:rPr>
        <w:t xml:space="preserve">]</w:t>
      </w:r>
      <w:r>
        <w:t xml:space="preserve">，这套框架与前面几个网络属于不同层面的理论与任务构造，彼此没有一一对应关系；配套的“注意网络测验”中，三个分数的可靠性差别很大：汇总 15 项研究、1129 人的分析中，经校正的分半信度警觉约 0.38、定向约 0.55，执行控制约 0.81；三个分数彼此也并不独立</w:t>
      </w:r>
      <w:r>
        <w:rPr>
          <w:vertAlign w:val="superscript"/>
        </w:rPr>
        <w:t xml:space="preserve">[</w:t>
      </w:r>
      <w:hyperlink w:anchor="ref-840">
        <w:r>
          <w:rPr>
            <w:rStyle w:val="Hyperlink"/>
            <w:vertAlign w:val="superscript"/>
          </w:rPr>
          <w:t xml:space="preserve">840</w:t>
        </w:r>
      </w:hyperlink>
      <w:r>
        <w:rPr>
          <w:vertAlign w:val="superscript"/>
        </w:rPr>
        <w:t xml:space="preserve">]</w:t>
      </w:r>
      <w:r>
        <w:t xml:space="preserve">。警觉和定向分数的低信度主要限制对个体差异和小变化的解释，执行分数相对可靠；分半信度反映的是一次测量内部的一致性，跨日的稳定性和训练前后变化分数的可靠性要另行评估；组平均的变化能否测到，还取决于样本量和重复测量的次数。</w:t>
      </w:r>
    </w:p>
    <w:bookmarkEnd w:id="1577"/>
    <w:bookmarkEnd w:id="1578"/>
    <w:bookmarkEnd w:id="1579"/>
    <w:bookmarkStart w:id="1767" w:name="part-9"/>
    <w:p>
      <w:pPr>
        <w:pStyle w:val="Heading1"/>
      </w:pPr>
      <w:r>
        <w:t xml:space="preserve">第九编　递质、激素与身体信号</w:t>
      </w:r>
    </w:p>
    <w:p>
      <w:pPr>
        <w:pStyle w:val="PartIntro"/>
      </w:pPr>
      <w:r>
        <w:t xml:space="preserve">这一编讲大脑的化学信号和身体信号：怎样测量脑内的化学变化，多巴胺、血清素、催产素、皮质醇等常被谈论的分子实际做什么，应激怎样影响认知与身体，自主神经与迷走神经怎样工作，呼吸与心率变异性能说明什么，以及肠道与大脑之间的通路。流行说法最常在这里出错：一个分子被说成一种情绪，一次血液读数被说成大脑状态，一个理论框架被说成已证实的生理事实。</w:t>
      </w:r>
    </w:p>
    <w:bookmarkStart w:id="1598" w:name="ch-94"/>
    <w:p>
      <w:pPr>
        <w:pStyle w:val="Heading2"/>
      </w:pPr>
      <w:r>
        <w:t xml:space="preserve">第94章　怎样测量脑内化学：外周检测、脑成像与补充剂</w:t>
      </w:r>
    </w:p>
    <w:p>
      <w:pPr>
        <w:pStyle w:val="FirstParagraph"/>
      </w:pPr>
      <w:r>
        <w:t xml:space="preserve">脑内递质水平无法通过抽血测出：外周的血清素和 β-内啡肽不能通过血脑屏障，血液里的脑源性神经营养因子大部分储存在血小板中，常用的未经提取的外周催产素免疫检测可靠性存疑</w:t>
      </w:r>
      <w:r>
        <w:rPr>
          <w:vertAlign w:val="superscript"/>
        </w:rPr>
        <w:t xml:space="preserve">[</w:t>
      </w:r>
      <w:hyperlink w:anchor="ref-841">
        <w:r>
          <w:rPr>
            <w:rStyle w:val="Hyperlink"/>
            <w:vertAlign w:val="superscript"/>
          </w:rPr>
          <w:t xml:space="preserve">841</w:t>
        </w:r>
      </w:hyperlink>
      <w:r>
        <w:rPr>
          <w:vertAlign w:val="superscript"/>
        </w:rPr>
        <w:t xml:space="preserve">,</w:t>
      </w:r>
      <w:hyperlink w:anchor="ref-842">
        <w:r>
          <w:rPr>
            <w:rStyle w:val="Hyperlink"/>
            <w:vertAlign w:val="superscript"/>
          </w:rPr>
          <w:t xml:space="preserve">842</w:t>
        </w:r>
      </w:hyperlink>
      <w:r>
        <w:rPr>
          <w:vertAlign w:val="superscript"/>
        </w:rPr>
        <w:t xml:space="preserve">]</w:t>
      </w:r>
      <w:r>
        <w:t xml:space="preserve">。要更接近脑内的化学变化，需要正电子发射断层扫描、磁共振波谱等方法：前者记录放射性示踪剂的分布和结合，递质释放量要靠配体竞争和动力学模型推断；后者估计一个体素内的化学信号，混有多种细胞和代谢池。成本、实验的复杂性和招募限制，使许多这类研究规模较小。</w:t>
      </w:r>
    </w:p>
    <w:p>
      <w:pPr>
        <w:pStyle w:val="BodyText"/>
      </w:pPr>
      <w:r>
        <w:t xml:space="preserve">几种测量各回答不同的问题。血清、血浆、唾液和尿液给出某种体液中的浓度或代谢物，解释时要考虑来源、清除、昼夜节律和采样，脑内浓度是否同比例变化，需要另外的证据。竞争性配体的正电子发射断层扫描给出示踪剂结合和动力学参数，换算成释放量要依赖受体可用性和校准模型。磁共振波谱给出体素内的代谢物信号，突触释放量和“兴奋抑制比”需要别的方法估计。受体阻断实验观察给药后行为的变化，要求剂量、受体占据和时间窗都足够，并直接检验药物与干预的交互，即使如此也确定不了具体是哪一种内源性肽。血氧信号、脑电、瞳孔和眨眼各有自己的生理来源；没有经过独立验证的模型，就不能把它们读成某种递质的释放量。读到“某某激素升高”时，最有用的问题是：这个数字是在哪里、用什么方法测的？测了多少人？有没有被重复？</w:t>
      </w:r>
    </w:p>
    <w:bookmarkStart w:id="1580" w:name="sec-94-1"/>
    <w:p>
      <w:pPr>
        <w:pStyle w:val="Heading3"/>
      </w:pPr>
      <w:r>
        <w:t xml:space="preserve">94.1　从“测得到”到“有用途”需要跨过多道验证</w:t>
      </w:r>
    </w:p>
    <w:p>
      <w:pPr>
        <w:pStyle w:val="FirstParagraph"/>
      </w:pPr>
      <w:r>
        <w:t xml:space="preserve">抽血测得某种物质，不自动说明它代表相关脑区的信号；口服同名成分，也不自动说明它到达目标部位并改善症状。对这一判断的置信度高。分析性能、临床有效性和临床用途属于不同证据层级，任何一层缺失都可能限制应用</w:t>
      </w:r>
      <w:r>
        <w:rPr>
          <w:vertAlign w:val="superscript"/>
        </w:rPr>
        <w:t xml:space="preserve">[</w:t>
      </w:r>
      <w:hyperlink w:anchor="ref-843">
        <w:r>
          <w:rPr>
            <w:rStyle w:val="Hyperlink"/>
            <w:vertAlign w:val="superscript"/>
          </w:rPr>
          <w:t xml:space="preserve">843</w:t>
        </w:r>
      </w:hyperlink>
      <w:r>
        <w:rPr>
          <w:vertAlign w:val="superscript"/>
        </w:rPr>
        <w:t xml:space="preserve">,</w:t>
      </w:r>
      <w:hyperlink w:anchor="ref-844">
        <w:r>
          <w:rPr>
            <w:rStyle w:val="Hyperlink"/>
            <w:vertAlign w:val="superscript"/>
          </w:rPr>
          <w:t xml:space="preserve">844</w:t>
        </w:r>
      </w:hyperlink>
      <w:r>
        <w:rPr>
          <w:vertAlign w:val="superscript"/>
        </w:rPr>
        <w:t xml:space="preserve">]</w:t>
      </w:r>
      <w:r>
        <w:t xml:space="preserve">。</w:t>
      </w:r>
    </w:p>
    <w:p>
      <w:pPr>
        <w:pStyle w:val="BodyText"/>
      </w:pPr>
      <w:r>
        <w:t xml:space="preserve">分析性能关注检验是否稳定、准确地测出样本中的目标物质。临床有效性关注这个数值与具体疾病或状态之间的关系。临床用途进一步要求，依据结果作出的决策能够改善结局，或在收益和成本之间具有优势。一个精密仪器只能直接证明第一层的一部分。</w:t>
      </w:r>
    </w:p>
    <w:bookmarkEnd w:id="1580"/>
    <w:bookmarkStart w:id="1581" w:name="sec-94-2"/>
    <w:p>
      <w:pPr>
        <w:pStyle w:val="Heading3"/>
      </w:pPr>
      <w:r>
        <w:t xml:space="preserve">94.2　外周与中枢的不同生理池</w:t>
      </w:r>
    </w:p>
    <w:p>
      <w:pPr>
        <w:pStyle w:val="FirstParagraph"/>
      </w:pPr>
      <w:r>
        <w:t xml:space="preserve">血清素在肠道、血小板及其他外周环境中具有作用，中枢神经系统又有自己的合成、释放和受体组织。体液没有把全部组织混成一个均匀信号池。因而外周同名分子的变化，不能直接被解释为脑中快乐或平静的剩余量</w:t>
      </w:r>
      <w:r>
        <w:rPr>
          <w:vertAlign w:val="superscript"/>
        </w:rPr>
        <w:t xml:space="preserve">[</w:t>
      </w:r>
      <w:hyperlink w:anchor="ref-843">
        <w:r>
          <w:rPr>
            <w:rStyle w:val="Hyperlink"/>
            <w:vertAlign w:val="superscript"/>
          </w:rPr>
          <w:t xml:space="preserve">843</w:t>
        </w:r>
      </w:hyperlink>
      <w:r>
        <w:rPr>
          <w:vertAlign w:val="superscript"/>
        </w:rPr>
        <w:t xml:space="preserve">]</w:t>
      </w:r>
      <w:r>
        <w:t xml:space="preserve">。</w:t>
      </w:r>
    </w:p>
    <w:p>
      <w:pPr>
        <w:pStyle w:val="BodyText"/>
      </w:pPr>
      <w:r>
        <w:t xml:space="preserve">样本类型也会改变解释。血清、血浆、全血和尿液中测到的物质可能来自不同过程；储存、处理时间和药物影响测量。若报告只给出一个数值却没有说明取样条件和参考人群，读者难以判断它的含义。</w:t>
      </w:r>
    </w:p>
    <w:p>
      <w:pPr>
        <w:pStyle w:val="BodyText"/>
      </w:pPr>
      <w:r>
        <w:t xml:space="preserve">某些外周指标确实可以具有临床价值，但每种用途都需验证。不能因为一个宣传用途缺少证据，就否定所有血液生物标志物；也不能因为某些神经疾病已有有效血液检查，便替未经验证的情绪递质面板背书。</w:t>
      </w:r>
    </w:p>
    <w:bookmarkEnd w:id="1581"/>
    <w:bookmarkStart w:id="1582" w:name="sec-94-3"/>
    <w:p>
      <w:pPr>
        <w:pStyle w:val="Heading3"/>
      </w:pPr>
      <w:r>
        <w:t xml:space="preserve">94.3　血脑屏障与药物分布</w:t>
      </w:r>
    </w:p>
    <w:p>
      <w:pPr>
        <w:pStyle w:val="FirstParagraph"/>
      </w:pPr>
      <w:r>
        <w:t xml:space="preserve">血脑屏障通过细胞连接、转运和代谢等机制调节物质进入中枢。分子是否进入脑，受到脂溶性、电荷、转运体、蛋白结合和清除等因素影响。能够穿过屏障只是作用链的一步，还需要足够暴露、合适靶点以及可接受的风险</w:t>
      </w:r>
      <w:r>
        <w:rPr>
          <w:vertAlign w:val="superscript"/>
        </w:rPr>
        <w:t xml:space="preserve">[</w:t>
      </w:r>
      <w:hyperlink w:anchor="ref-110">
        <w:r>
          <w:rPr>
            <w:rStyle w:val="Hyperlink"/>
            <w:vertAlign w:val="superscript"/>
          </w:rPr>
          <w:t xml:space="preserve">110</w:t>
        </w:r>
      </w:hyperlink>
      <w:r>
        <w:rPr>
          <w:vertAlign w:val="superscript"/>
        </w:rPr>
        <w:t xml:space="preserve">]</w:t>
      </w:r>
      <w:r>
        <w:t xml:space="preserve">。</w:t>
      </w:r>
    </w:p>
    <w:p>
      <w:pPr>
        <w:pStyle w:val="BodyText"/>
      </w:pPr>
      <w:r>
        <w:t xml:space="preserve">外周作用也可能影响脑。一个成分或外周生成的递质即使脑内暴露有限，仍可能通过肠道、血小板、免疫、自主神经、内分泌或其他身体通路，间接改变体验或身体状态。这样的间接作用具有研究价值，机制不明时也不应武断宣布绝对无效；同样不能把这种可能性当成已经有效的证据，更不能据此声称外周递质直接填补了脑内缺口。机制语言应准确描述每一步路径，临床结局需要直接试验。</w:t>
      </w:r>
    </w:p>
    <w:p>
      <w:pPr>
        <w:pStyle w:val="BodyText"/>
      </w:pPr>
      <w:r>
        <w:t xml:space="preserve">前体与递质本身也不同。摄入前体后，吸收、竞争转运和酶调节决定有多少进入相关合成过程。身体具有调节机制，不能把摄入量直接换算为某处递质释放量。商业标签中的“原料”概念往往省略这些步骤。</w:t>
      </w:r>
    </w:p>
    <w:bookmarkEnd w:id="1582"/>
    <w:bookmarkStart w:id="1583" w:name="sec-94-4"/>
    <w:p>
      <w:pPr>
        <w:pStyle w:val="Heading3"/>
      </w:pPr>
      <w:r>
        <w:t xml:space="preserve">94.4　口服GABA的研究提供什么信息</w:t>
      </w:r>
    </w:p>
    <w:p>
      <w:pPr>
        <w:pStyle w:val="FirstParagraph"/>
      </w:pPr>
      <w:r>
        <w:t xml:space="preserve">Hepsomali及同事的系统综述纳入14项安慰剂对照人体研究，认为减压证据有限，睡眠收益证据更有限。研究在样本、制剂、剂量、时间和结局上存在差异。这个结论限制普遍疗效承诺，同时没有证明任何可能作用都为零</w:t>
      </w:r>
      <w:r>
        <w:rPr>
          <w:vertAlign w:val="superscript"/>
        </w:rPr>
        <w:t xml:space="preserve">[</w:t>
      </w:r>
      <w:hyperlink w:anchor="ref-844">
        <w:r>
          <w:rPr>
            <w:rStyle w:val="Hyperlink"/>
            <w:vertAlign w:val="superscript"/>
          </w:rPr>
          <w:t xml:space="preserve">844</w:t>
        </w:r>
      </w:hyperlink>
      <w:r>
        <w:rPr>
          <w:vertAlign w:val="superscript"/>
        </w:rPr>
        <w:t xml:space="preserve">]</w:t>
      </w:r>
      <w:r>
        <w:t xml:space="preserve">。</w:t>
      </w:r>
    </w:p>
    <w:p>
      <w:pPr>
        <w:pStyle w:val="BodyText"/>
      </w:pPr>
      <w:r>
        <w:t xml:space="preserve">评价这类文献时，应查看制剂中是否还有其他活性成分，安慰剂是否可比，盲法是否可能破坏，主要结局是否预先指定。不同制剂、发酵来源、共同成分和研究人群也可能影响可比性。某个量表改善并不能替代客观睡眠或日间功能，也不能自动建立长期临床收益。某一产品的结果不能自动推广到所有标为GABA的产品，更不能替代对失眠或其他症状原因的评估。</w:t>
      </w:r>
    </w:p>
    <w:p>
      <w:pPr>
        <w:pStyle w:val="BodyText"/>
      </w:pPr>
      <w:r>
        <w:t xml:space="preserve">商业关联需要透明。该综述作者机构包括工业研发部门，这不会自动使分析无效，但增加了检查研究纳入、偏倚评价和独立重复的重要性。消费者不应只看摘要中的积极词语，也需要看结论强度和具体不确定性</w:t>
      </w:r>
      <w:r>
        <w:rPr>
          <w:vertAlign w:val="superscript"/>
        </w:rPr>
        <w:t xml:space="preserve">[</w:t>
      </w:r>
      <w:hyperlink w:anchor="ref-844">
        <w:r>
          <w:rPr>
            <w:rStyle w:val="Hyperlink"/>
            <w:vertAlign w:val="superscript"/>
          </w:rPr>
          <w:t xml:space="preserve">844</w:t>
        </w:r>
      </w:hyperlink>
      <w:r>
        <w:rPr>
          <w:vertAlign w:val="superscript"/>
        </w:rPr>
        <w:t xml:space="preserve">]</w:t>
      </w:r>
      <w:r>
        <w:t xml:space="preserve">。</w:t>
      </w:r>
    </w:p>
    <w:bookmarkEnd w:id="1583"/>
    <w:bookmarkStart w:id="1584" w:name="sec-94-5"/>
    <w:p>
      <w:pPr>
        <w:pStyle w:val="Heading3"/>
      </w:pPr>
      <w:r>
        <w:t xml:space="preserve">94.5　诊断准确率需要基准率</w:t>
      </w:r>
    </w:p>
    <w:p>
      <w:pPr>
        <w:pStyle w:val="FirstParagraph"/>
      </w:pPr>
      <w:r>
        <w:t xml:space="preserve">以下是假设算例。某检测敏感性为80%，特异性为90%，在1000名受检者中目标状况真实比例为5%。预期50人有该状况，其中40人阳性；950人没有，其中95人假阳性。全部135个阳性中，真正有目标状况者约占29.6%。这个计算展示，较好的单项性能也未必使一般人群阳性结果可靠。</w:t>
      </w:r>
    </w:p>
    <w:p>
      <w:pPr>
        <w:pStyle w:val="BodyText"/>
      </w:pPr>
      <w:r>
        <w:t xml:space="preserve">如果同一检测用于临床高疑似人群，基准率上升，阳性预测值也会改变。检测报告若只突出敏感性或准确率，可能让人误判个人结果。临床价值还需要与现有评估比较，看它是否真正改变决策并改善结局。</w:t>
      </w:r>
    </w:p>
    <w:p>
      <w:pPr>
        <w:pStyle w:val="BodyText"/>
      </w:pPr>
      <w:r>
        <w:t xml:space="preserve">对于情绪相关检测，还应问目标状况如何定义。若诊断本身由一个未经验证的“递质失衡”概念构成，再用同一检测证明该概念，便会形成循环。研究需要独立的结局和参照标准。</w:t>
      </w:r>
    </w:p>
    <w:bookmarkEnd w:id="1584"/>
    <w:bookmarkStart w:id="1585" w:name="sec-94-6"/>
    <w:p>
      <w:pPr>
        <w:pStyle w:val="Heading3"/>
      </w:pPr>
      <w:r>
        <w:t xml:space="preserve">94.6　补充剂试验的合适结局</w:t>
      </w:r>
    </w:p>
    <w:p>
      <w:pPr>
        <w:pStyle w:val="FirstParagraph"/>
      </w:pPr>
      <w:r>
        <w:t xml:space="preserve">一种产品可以改变某种生化指标，却没有改善症状；也可能让主观体验略有变化，但不足以影响工作或睡眠功能。研究应说明主要结局、最小有意义差异、随访和不良事件。仅有统计显著性无法决定是否值得使用。</w:t>
      </w:r>
    </w:p>
    <w:p>
      <w:pPr>
        <w:pStyle w:val="BodyText"/>
      </w:pPr>
      <w:r>
        <w:t xml:space="preserve">缺乏状态与营养充足状态的效果也可能不同。某物质在明确缺乏者中有价值，不自动证明一般人额外补充有效。剂量、产品质量和药物相互作用又会影响安全性。本书可以解释评估原则，个体用药和补充选择仍需考虑具体健康背景。</w:t>
      </w:r>
    </w:p>
    <w:bookmarkEnd w:id="1585"/>
    <w:bookmarkStart w:id="1586" w:name="sec-94-7"/>
    <w:p>
      <w:pPr>
        <w:pStyle w:val="Heading3"/>
      </w:pPr>
      <w:r>
        <w:t xml:space="preserve">94.7　分子从入口到靶点需要经过多道过程</w:t>
      </w:r>
    </w:p>
    <w:p>
      <w:pPr>
        <w:pStyle w:val="FirstParagraph"/>
      </w:pPr>
      <w:r>
        <w:t xml:space="preserve">口服一种化合物后，首先需要从制剂释放并在胃肠环境中保持可吸收形式。酸碱度、溶解度、食物、转运体和胃肠运动都会影响进入体内的时间与比例。进入肠壁后的代谢、随后经过肝脏的处理，又会改变到达全身循环的量。标签上含有多少分子，与脑内目标部位接触多少分子，属于不同变量</w:t>
      </w:r>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p>
      <w:pPr>
        <w:pStyle w:val="BodyText"/>
      </w:pPr>
      <w:r>
        <w:t xml:space="preserve">生物利用度描述给定途径后进入全身循环的有效比例及相关时间过程。它受到制剂和个体条件影响，不能仅凭原料名称推定。两种产品含有同样标示量，若释放、稳定性或吸收不同，实际暴露也可能不同。比较研究需要使用明确制剂，并记录关键成分和质量控制。</w:t>
      </w:r>
    </w:p>
    <w:p>
      <w:pPr>
        <w:pStyle w:val="BodyText"/>
      </w:pPr>
      <w:r>
        <w:t xml:space="preserve">化合物进入血液后还要分布。血流、组织通透性、蛋白结合和细胞内结合共同影响其去向。某物质易溶于脂质，可能较容易通过部分膜，也可能大量分布到其他组织，形成不同时间曲线。脂溶性高本身不能证明脑内有效或安全，仍需测量相关暴露和功能效应。</w:t>
      </w:r>
    </w:p>
    <w:bookmarkEnd w:id="1586"/>
    <w:bookmarkStart w:id="1587" w:name="sec-94-8"/>
    <w:p>
      <w:pPr>
        <w:pStyle w:val="Heading3"/>
      </w:pPr>
      <w:r>
        <w:t xml:space="preserve">94.8　血脑屏障具有选择性转运</w:t>
      </w:r>
    </w:p>
    <w:p>
      <w:pPr>
        <w:pStyle w:val="FirstParagraph"/>
      </w:pPr>
      <w:r>
        <w:t xml:space="preserve">脑微血管内皮的紧密连接限制细胞间自由通过，细胞膜与转运系统则决定许多物质的跨细胞通路。周细胞、星形胶质相关结构和其他神经血管单元成分参与维持环境。屏障允许必要营养以受调控方式进入，同时限制部分化合物，这种选择性是正常脑功能的重要条件</w:t>
      </w:r>
      <w:r>
        <w:rPr>
          <w:vertAlign w:val="superscript"/>
        </w:rPr>
        <w:t xml:space="preserve">[</w:t>
      </w:r>
      <w:hyperlink w:anchor="ref-110">
        <w:r>
          <w:rPr>
            <w:rStyle w:val="Hyperlink"/>
            <w:vertAlign w:val="superscript"/>
          </w:rPr>
          <w:t xml:space="preserve">110</w:t>
        </w:r>
      </w:hyperlink>
      <w:r>
        <w:rPr>
          <w:vertAlign w:val="superscript"/>
        </w:rPr>
        <w:t xml:space="preserve">]</w:t>
      </w:r>
      <w:r>
        <w:t xml:space="preserve">。</w:t>
      </w:r>
    </w:p>
    <w:p>
      <w:pPr>
        <w:pStyle w:val="BodyText"/>
      </w:pPr>
      <w:r>
        <w:t xml:space="preserve">一些物质依靠特定转运体进入，另一些可能被外排系统移出。转运体具有底物偏好、容量和竞争关系，因此血中浓度增加与脑中浓度增加未必保持线性。对某一药物的转运结论，也不能简单套到结构稍有不同的补充剂或代谢物。</w:t>
      </w:r>
    </w:p>
    <w:p>
      <w:pPr>
        <w:pStyle w:val="BodyText"/>
      </w:pPr>
      <w:r>
        <w:t xml:space="preserve">脑脊液浓度、脑组织总浓度和靶点附近游离浓度也不能完全互换。脑脊液由特定界面产生和循环，组织总量还包含细胞内储存与非特异结合。真正能够接触受体的有效部分，需要结合分布位置与结合状态理解。一个化合物在脑组织中被检测到，证明了某种到达，却没有独自证明达到治疗所需条件。</w:t>
      </w:r>
    </w:p>
    <w:bookmarkEnd w:id="1587"/>
    <w:bookmarkStart w:id="1588" w:name="sec-94-9"/>
    <w:p>
      <w:pPr>
        <w:pStyle w:val="Heading3"/>
      </w:pPr>
      <w:r>
        <w:t xml:space="preserve">94.9　前体补充与递质本体具有不同约束</w:t>
      </w:r>
    </w:p>
    <w:p>
      <w:pPr>
        <w:pStyle w:val="FirstParagraph"/>
      </w:pPr>
      <w:r>
        <w:t xml:space="preserve">合成递质需要前体、相关酶、辅因子和细胞内条件。增加前体供应是否提高最终信号，取决于当时限制步骤、竞争转运、反馈和释放。若关键限制在酶活性或神经活动，前体增加未必产生预期效果。若其他代谢途径同时使用该前体，增加供应也可能改变多个产物。即使某项补充改变了中枢某处合成，行为后果仍受释放、清除和受体决定；增加储备与增加任务相关释放是不同过程，没有相应电活动和释放条件时，更多可用前体不保证形成更多有效信号</w:t>
      </w:r>
      <w:r>
        <w:rPr>
          <w:vertAlign w:val="superscript"/>
        </w:rPr>
        <w:t xml:space="preserve">[</w:t>
      </w:r>
      <w:hyperlink w:anchor="ref-50">
        <w:r>
          <w:rPr>
            <w:rStyle w:val="Hyperlink"/>
            <w:vertAlign w:val="superscript"/>
          </w:rPr>
          <w:t xml:space="preserve">50</w:t>
        </w:r>
      </w:hyperlink>
      <w:r>
        <w:rPr>
          <w:vertAlign w:val="superscript"/>
        </w:rPr>
        <w:t xml:space="preserve">,</w:t>
      </w:r>
      <w:hyperlink w:anchor="ref-845">
        <w:r>
          <w:rPr>
            <w:rStyle w:val="Hyperlink"/>
            <w:vertAlign w:val="superscript"/>
          </w:rPr>
          <w:t xml:space="preserve">845</w:t>
        </w:r>
      </w:hyperlink>
      <w:r>
        <w:rPr>
          <w:vertAlign w:val="superscript"/>
        </w:rPr>
        <w:t xml:space="preserve">]</w:t>
      </w:r>
      <w:r>
        <w:t xml:space="preserve">。</w:t>
      </w:r>
    </w:p>
    <w:p>
      <w:pPr>
        <w:pStyle w:val="BodyText"/>
      </w:pPr>
      <w:r>
        <w:t xml:space="preserve">例如，色氨酸参与蛋白合成及多种代谢路径，血清素只是其中一个方向。血中前体水平也受到饮食、代谢、蛋白结合和其他氨基酸影响。由“某分子是递质前体”直接推出“补充后改善所有低落”，跳过了多步生化与临床验证</w:t>
      </w:r>
      <w:r>
        <w:rPr>
          <w:vertAlign w:val="superscript"/>
        </w:rPr>
        <w:t xml:space="preserve">[</w:t>
      </w:r>
      <w:hyperlink w:anchor="ref-71">
        <w:r>
          <w:rPr>
            <w:rStyle w:val="Hyperlink"/>
            <w:vertAlign w:val="superscript"/>
          </w:rPr>
          <w:t xml:space="preserve">71</w:t>
        </w:r>
      </w:hyperlink>
      <w:r>
        <w:rPr>
          <w:vertAlign w:val="superscript"/>
        </w:rPr>
        <w:t xml:space="preserve">,</w:t>
      </w:r>
      <w:hyperlink w:anchor="ref-843">
        <w:r>
          <w:rPr>
            <w:rStyle w:val="Hyperlink"/>
            <w:vertAlign w:val="superscript"/>
          </w:rPr>
          <w:t xml:space="preserve">843</w:t>
        </w:r>
      </w:hyperlink>
      <w:r>
        <w:rPr>
          <w:vertAlign w:val="superscript"/>
        </w:rPr>
        <w:t xml:space="preserve">]</w:t>
      </w:r>
      <w:r>
        <w:t xml:space="preserve">。</w:t>
      </w:r>
    </w:p>
    <w:bookmarkEnd w:id="1588"/>
    <w:bookmarkStart w:id="1589" w:name="sec-94-10"/>
    <w:p>
      <w:pPr>
        <w:pStyle w:val="Heading3"/>
      </w:pPr>
      <w:r>
        <w:t xml:space="preserve">94.10　清除速度与作用持续时间</w:t>
      </w:r>
    </w:p>
    <w:p>
      <w:pPr>
        <w:pStyle w:val="FirstParagraph"/>
      </w:pPr>
      <w:r>
        <w:t xml:space="preserve">血中浓度下降涉及代谢和排泄，某些活性代谢物也可能继续产生作用。肝肾功能、遗传差异、年龄和相互作用都会改变时间过程。半衰期描述特定条件下浓度减少一半所需时间，不能独自决定全部作用持续时间，因为受体结合、下游效应和组织再分布也会参与</w:t>
      </w:r>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p>
      <w:pPr>
        <w:pStyle w:val="BodyText"/>
      </w:pPr>
      <w:r>
        <w:t xml:space="preserve">重复使用时，输入与清除共同决定积累。达到稳定状态所需时间与药代条件有关，间隔中的峰谷也可能影响效应。一次短时主观感觉不能完整代表长期暴露。补充剂同样是进入生物系统的化合物，天然来源并不取消这些药理原则。</w:t>
      </w:r>
    </w:p>
    <w:p>
      <w:pPr>
        <w:pStyle w:val="BodyText"/>
      </w:pPr>
      <w:r>
        <w:t xml:space="preserve">转运体和代谢酶具有有限处理能力。一些吸收或代谢途径会在较高暴露时接近饱和，使增加摄入造成不成比例的浓度变化；线性剂量推算只有在相应范围内才可能适用，不能把较低剂量的机制无限外推。共同使用另一种物质、竞争底物和疾病状态，也可能抑制或诱导代谢、竞争转运或改变受体效应。评估相互作用应依据具体成分和直接资料，不能根据产品被归为食品或保健品就推定不存在影响</w:t>
      </w:r>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bookmarkEnd w:id="1589"/>
    <w:bookmarkStart w:id="1590" w:name="sec-94-11"/>
    <w:p>
      <w:pPr>
        <w:pStyle w:val="Heading3"/>
      </w:pPr>
      <w:r>
        <w:t xml:space="preserve">94.11　测量代谢物需要理解来源和时间整合</w:t>
      </w:r>
    </w:p>
    <w:p>
      <w:pPr>
        <w:pStyle w:val="FirstParagraph"/>
      </w:pPr>
      <w:r>
        <w:t xml:space="preserve">尿液中的物质反映进入尿液的总过程，涉及外周生成、循环输送、肾脏处理和采样时间。某些递质或代谢物可能具有重要的特定疾病诊断用途，但这不赋予所有尿液递质面板测量脑内心理状态的能力。诊断用途必须针对某种疾病、某种方法和相应临床场景验证。</w:t>
      </w:r>
    </w:p>
    <w:p>
      <w:pPr>
        <w:pStyle w:val="BodyText"/>
      </w:pPr>
      <w:r>
        <w:t xml:space="preserve">一次点尿与定时收集所整合的时间范围不同，饮水量和尿浓缩程度也会改变读数。使用校正指标可以减少某些变化，却可能引入其他假设。样本储存、运输、温度和分析方法还影响稳定性。检测报告中的精确小数位，只表示报告格式，不能保证生物解释同样精确。</w:t>
      </w:r>
    </w:p>
    <w:p>
      <w:pPr>
        <w:pStyle w:val="BodyText"/>
      </w:pPr>
      <w:r>
        <w:t xml:space="preserve">如果某商用检测声称能够识别脑内血清素不足，应要求看到与相关中枢测量或临床结局的直接验证。还需要知道它是否在独立人群重复、是否区分相似症状的不同原因，以及使用结果指导治疗是否改善患者结局。分析仪器能够测到某个分子，与该检测具有临床决策价值之间仍有多步证据距离。</w:t>
      </w:r>
    </w:p>
    <w:bookmarkEnd w:id="1590"/>
    <w:bookmarkStart w:id="1591" w:name="sec-94-12"/>
    <w:p>
      <w:pPr>
        <w:pStyle w:val="Heading3"/>
      </w:pPr>
      <w:r>
        <w:t xml:space="preserve">94.12　口服GABA的研究结局与机制</w:t>
      </w:r>
    </w:p>
    <w:p>
      <w:pPr>
        <w:pStyle w:val="FirstParagraph"/>
      </w:pPr>
      <w:r>
        <w:t xml:space="preserve">口服GABA研究可以检验压力体验、睡眠参数或其他结果，但即使出现改善，也不能自动确定作用经过脑内GABA受体。外周感觉、自主通路、胃肠过程和期待等都是需要考虑的路径。对直接进入中枢的程度与条件，应使用相应药代资料，不能由主观放松倒推</w:t>
      </w:r>
      <w:r>
        <w:rPr>
          <w:vertAlign w:val="superscript"/>
        </w:rPr>
        <w:t xml:space="preserve">[</w:t>
      </w:r>
      <w:hyperlink w:anchor="ref-110">
        <w:r>
          <w:rPr>
            <w:rStyle w:val="Hyperlink"/>
            <w:vertAlign w:val="superscript"/>
          </w:rPr>
          <w:t xml:space="preserve">110</w:t>
        </w:r>
      </w:hyperlink>
      <w:r>
        <w:rPr>
          <w:vertAlign w:val="superscript"/>
        </w:rPr>
        <w:t xml:space="preserve">,</w:t>
      </w:r>
      <w:hyperlink w:anchor="ref-844">
        <w:r>
          <w:rPr>
            <w:rStyle w:val="Hyperlink"/>
            <w:vertAlign w:val="superscript"/>
          </w:rPr>
          <w:t xml:space="preserve">844</w:t>
        </w:r>
      </w:hyperlink>
      <w:r>
        <w:rPr>
          <w:vertAlign w:val="superscript"/>
        </w:rPr>
        <w:t xml:space="preserve">]</w:t>
      </w:r>
      <w:r>
        <w:t xml:space="preserve">。</w:t>
      </w:r>
    </w:p>
    <w:p>
      <w:pPr>
        <w:pStyle w:val="BodyText"/>
      </w:pPr>
      <w:r>
        <w:t xml:space="preserve">有效的机制研究可以把外周暴露、候选生理通路和客观结局按时间连接起来，再检验干预这些路径是否改变效果。如果发现睡眠变化，也需要区分入睡时间、夜间觉醒、总睡眠时长和次日功能。一个总睡眠质量分数提供总体体验，仍不足以定位作用环节。</w:t>
      </w:r>
    </w:p>
    <w:bookmarkEnd w:id="1591"/>
    <w:bookmarkStart w:id="1592" w:name="sec-94-13"/>
    <w:p>
      <w:pPr>
        <w:pStyle w:val="Heading3"/>
      </w:pPr>
      <w:r>
        <w:t xml:space="preserve">94.13　受体激活与临床获益之间的剂量效应关系</w:t>
      </w:r>
    </w:p>
    <w:p>
      <w:pPr>
        <w:pStyle w:val="FirstParagraph"/>
      </w:pPr>
      <w:r>
        <w:t xml:space="preserve">体外实验中的有效浓度通常指培养条件下接触细胞的浓度。人体口服量需要经过吸收与分布，才能形成相应游离暴露。将培养皿中的浓度直接换算为人体摄入建议，忽略了这些环节，也忽略了其他组织可能更先受到影响。</w:t>
      </w:r>
    </w:p>
    <w:p>
      <w:pPr>
        <w:pStyle w:val="BodyText"/>
      </w:pPr>
      <w:r>
        <w:t xml:space="preserve">受体占有率提高后，功能效应可能出现平台，也可能因网络反馈产生复杂形状；受体接近饱和后，更多暴露可能主要增加其他靶点作用或不良反应。临床获益还受到疾病机制和个体条件约束。一个物质能够激活受体，只能证明某种生物活性；要证明它改善某项疾病，需要直接比较获益与不良反应。某成分具有生理作用，不意味着越多越好，体外活性越强也不自动意味着临床效果越好；相应判断需要实际剂量效应和安全范围。理解补充剂及药物证据时，应区分入口剂量、游离暴露、受体占有和最终功能。</w:t>
      </w:r>
    </w:p>
    <w:p>
      <w:pPr>
        <w:pStyle w:val="BodyText"/>
      </w:pPr>
      <w:r>
        <w:t xml:space="preserve">公众可依据这一证据链评价宣传：原料存在，进入循环，到达靶点，改变预期功能，改善重要结局，长期净效果可接受。每一步都需要相应资料，前一步成立不能替代后一步。高置信结论是外周递质检测与补充剂效应必须分层评估；目前无可靠依据把常见外周递质面板当作普遍的脑内心理化学诊断工具。</w:t>
      </w:r>
    </w:p>
    <w:bookmarkEnd w:id="1592"/>
    <w:bookmarkStart w:id="1593" w:name="sec-94-14"/>
    <w:p>
      <w:pPr>
        <w:pStyle w:val="Heading3"/>
      </w:pPr>
      <w:r>
        <w:t xml:space="preserve">94.14　血液、脑脊液与脑间质提供不同空间信息</w:t>
      </w:r>
    </w:p>
    <w:p>
      <w:pPr>
        <w:pStyle w:val="FirstParagraph"/>
      </w:pPr>
      <w:r>
        <w:t xml:space="preserve">血液样本反映循环系统中可测分子及其结合和代谢形式。脑脊液与脑细胞外液之间存在交换，但组成和流动受屏障、组织位置、分泌与清除影响。某个腰椎脑脊液样本也无法完整代表所有脑区突触附近的瞬时浓度。区室之间存在联系，同时保留明确差别</w:t>
      </w:r>
      <w:r>
        <w:rPr>
          <w:vertAlign w:val="superscript"/>
        </w:rPr>
        <w:t xml:space="preserve">[</w:t>
      </w:r>
      <w:hyperlink w:anchor="ref-110">
        <w:r>
          <w:rPr>
            <w:rStyle w:val="Hyperlink"/>
            <w:vertAlign w:val="superscript"/>
          </w:rPr>
          <w:t xml:space="preserve">110</w:t>
        </w:r>
      </w:hyperlink>
      <w:r>
        <w:rPr>
          <w:vertAlign w:val="superscript"/>
        </w:rPr>
        <w:t xml:space="preserve">,</w:t>
      </w:r>
      <w:hyperlink w:anchor="ref-117">
        <w:r>
          <w:rPr>
            <w:rStyle w:val="Hyperlink"/>
            <w:vertAlign w:val="superscript"/>
          </w:rPr>
          <w:t xml:space="preserve">117</w:t>
        </w:r>
      </w:hyperlink>
      <w:r>
        <w:rPr>
          <w:vertAlign w:val="superscript"/>
        </w:rPr>
        <w:t xml:space="preserve">]</w:t>
      </w:r>
      <w:r>
        <w:t xml:space="preserve">。</w:t>
      </w:r>
    </w:p>
    <w:p>
      <w:pPr>
        <w:pStyle w:val="BodyText"/>
      </w:pPr>
      <w:r>
        <w:t xml:space="preserve">对神经递质尤其如此。释放常发生在局部微环境中，转运体和代谢可在信号扩散前改变浓度。一个脑区的瞬时变化可能在总体液体样本中被稀释，外周大来源又可能主导血中数值。提高检测精度可以减少分析误差，不能自动改变样本所代表的生理空间。若要把外周指标用作中枢过程的代理，需要建立稳定对应关系，并明确在什么疾病、药物和时间条件下仍然成立；某指标在特定人群里相关，也不保证个体诊断或治疗选择有足够准确性</w:t>
      </w:r>
      <w:r>
        <w:rPr>
          <w:vertAlign w:val="superscript"/>
        </w:rPr>
        <w:t xml:space="preserve">[</w:t>
      </w:r>
      <w:hyperlink w:anchor="ref-843">
        <w:r>
          <w:rPr>
            <w:rStyle w:val="Hyperlink"/>
            <w:vertAlign w:val="superscript"/>
          </w:rPr>
          <w:t xml:space="preserve">843</w:t>
        </w:r>
      </w:hyperlink>
      <w:r>
        <w:rPr>
          <w:vertAlign w:val="superscript"/>
        </w:rPr>
        <w:t xml:space="preserve">,</w:t>
      </w:r>
      <w:hyperlink w:anchor="ref-846">
        <w:r>
          <w:rPr>
            <w:rStyle w:val="Hyperlink"/>
            <w:vertAlign w:val="superscript"/>
          </w:rPr>
          <w:t xml:space="preserve">846</w:t>
        </w:r>
      </w:hyperlink>
      <w:r>
        <w:rPr>
          <w:vertAlign w:val="superscript"/>
        </w:rPr>
        <w:t xml:space="preserve">]</w:t>
      </w:r>
      <w:r>
        <w:t xml:space="preserve">。</w:t>
      </w:r>
    </w:p>
    <w:bookmarkEnd w:id="1593"/>
    <w:bookmarkStart w:id="1594" w:name="sec-94-15"/>
    <w:p>
      <w:pPr>
        <w:pStyle w:val="Heading3"/>
      </w:pPr>
      <w:r>
        <w:t xml:space="preserve">94.15　游离药物与总药物浓度具有不同意义</w:t>
      </w:r>
    </w:p>
    <w:p>
      <w:pPr>
        <w:pStyle w:val="FirstParagraph"/>
      </w:pPr>
      <w:r>
        <w:t xml:space="preserve">一个教学推演是比较两种药物：它们具有相同血浆总浓度，但蛋白结合、通透性和外排不同。二者在脑间质的游离浓度可以显著不同，受体占有也可能不同。因此，血中浓度相近无法作为两药神经效应相同的充分依据。即使游离浓度相近，靶点亲和力和内在效能仍可不同</w:t>
      </w:r>
      <w:r>
        <w:rPr>
          <w:vertAlign w:val="superscript"/>
        </w:rPr>
        <w:t xml:space="preserve">[</w:t>
      </w:r>
      <w:hyperlink w:anchor="ref-64">
        <w:r>
          <w:rPr>
            <w:rStyle w:val="Hyperlink"/>
            <w:vertAlign w:val="superscript"/>
          </w:rPr>
          <w:t xml:space="preserve">64</w:t>
        </w:r>
      </w:hyperlink>
      <w:r>
        <w:rPr>
          <w:vertAlign w:val="superscript"/>
        </w:rPr>
        <w:t xml:space="preserve">]</w:t>
      </w:r>
      <w:r>
        <w:t xml:space="preserve">。</w:t>
      </w:r>
    </w:p>
    <w:bookmarkEnd w:id="1594"/>
    <w:bookmarkStart w:id="1595" w:name="sec-94-16"/>
    <w:p>
      <w:pPr>
        <w:pStyle w:val="Heading3"/>
      </w:pPr>
      <w:r>
        <w:t xml:space="preserve">94.16　浓度曲线与效应曲线可以错开</w:t>
      </w:r>
    </w:p>
    <w:p>
      <w:pPr>
        <w:pStyle w:val="FirstParagraph"/>
      </w:pPr>
      <w:r>
        <w:t xml:space="preserve">药物浓度上升与效应出现可能存在分布或细胞反应延迟。浓度下降后，受体作用、活性代谢物和适应变化也可能继续存在。相同瞬时浓度若分别处于上升段和下降段，系统所处的历史状态可以不同，观察到的效应便可能不同</w:t>
      </w:r>
      <w:r>
        <w:rPr>
          <w:vertAlign w:val="superscript"/>
        </w:rPr>
        <w:t xml:space="preserve">[</w:t>
      </w:r>
      <w:hyperlink w:anchor="ref-68">
        <w:r>
          <w:rPr>
            <w:rStyle w:val="Hyperlink"/>
            <w:vertAlign w:val="superscript"/>
          </w:rPr>
          <w:t xml:space="preserve">68</w:t>
        </w:r>
      </w:hyperlink>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p>
      <w:pPr>
        <w:pStyle w:val="BodyText"/>
      </w:pPr>
      <w:r>
        <w:t xml:space="preserve">由此，单个血样无法完整描述一次暴露。采样时间与服用时间的关系、是否达到稳定给药状态、肝肾功能和其他药物等，都可影响解释。公共传播若只报告某成分进入血液的峰值，却跳到全天认知表现，需要补足效应与实际使用条件的证据。</w:t>
      </w:r>
    </w:p>
    <w:bookmarkEnd w:id="1595"/>
    <w:bookmarkStart w:id="1596" w:name="sec-94-17"/>
    <w:p>
      <w:pPr>
        <w:pStyle w:val="Heading3"/>
      </w:pPr>
      <w:r>
        <w:t xml:space="preserve">94.17　靶点检测与真实功能结局需要逐步连接</w:t>
      </w:r>
    </w:p>
    <w:p>
      <w:pPr>
        <w:pStyle w:val="FirstParagraph"/>
      </w:pPr>
      <w:r>
        <w:t xml:space="preserve">一些成像方法可在适当模型下估计受体或转运体相关指标，但这些量受到配体选择性、内源竞争、组织分布和建模假设影响。观察到受体可用性变化，可能涉及数量、亲和状态或内源占有等不同成分，不能简单称为脑内某种递质的库存变化</w:t>
      </w:r>
      <w:r>
        <w:rPr>
          <w:vertAlign w:val="superscript"/>
        </w:rPr>
        <w:t xml:space="preserve">[</w:t>
      </w:r>
      <w:hyperlink w:anchor="ref-847">
        <w:r>
          <w:rPr>
            <w:rStyle w:val="Hyperlink"/>
            <w:vertAlign w:val="superscript"/>
          </w:rPr>
          <w:t xml:space="preserve">847</w:t>
        </w:r>
      </w:hyperlink>
      <w:r>
        <w:rPr>
          <w:vertAlign w:val="superscript"/>
        </w:rPr>
        <w:t xml:space="preserve">]</w:t>
      </w:r>
      <w:r>
        <w:t xml:space="preserve">。</w:t>
      </w:r>
    </w:p>
    <w:bookmarkEnd w:id="1596"/>
    <w:bookmarkStart w:id="1597" w:name="sec-94-18"/>
    <w:p>
      <w:pPr>
        <w:pStyle w:val="Heading3"/>
      </w:pPr>
      <w:r>
        <w:t xml:space="preserve">94.18　本章结论</w:t>
      </w:r>
    </w:p>
    <w:p>
      <w:pPr>
        <w:pStyle w:val="FirstParagraph"/>
      </w:pPr>
      <w:r>
        <w:t xml:space="preserve">检测与补充的每一步都需要独立证据。外周数值、中枢作用和临床收益不能由同名分子连接成未经验证的直线。承认机制复杂，不能成为产品免于试验的理由；机制暂时不明，也不妨碍高质量临床试验对效果作出可靠判断</w:t>
      </w:r>
      <w:r>
        <w:rPr>
          <w:vertAlign w:val="superscript"/>
        </w:rPr>
        <w:t xml:space="preserve">[</w:t>
      </w:r>
      <w:hyperlink w:anchor="ref-110">
        <w:r>
          <w:rPr>
            <w:rStyle w:val="Hyperlink"/>
            <w:vertAlign w:val="superscript"/>
          </w:rPr>
          <w:t xml:space="preserve">110</w:t>
        </w:r>
      </w:hyperlink>
      <w:r>
        <w:rPr>
          <w:vertAlign w:val="superscript"/>
        </w:rPr>
        <w:t xml:space="preserve">,</w:t>
      </w:r>
      <w:hyperlink w:anchor="ref-843">
        <w:r>
          <w:rPr>
            <w:rStyle w:val="Hyperlink"/>
            <w:vertAlign w:val="superscript"/>
          </w:rPr>
          <w:t xml:space="preserve">843</w:t>
        </w:r>
      </w:hyperlink>
      <w:r>
        <w:rPr>
          <w:vertAlign w:val="superscript"/>
        </w:rPr>
        <w:t xml:space="preserve">,</w:t>
      </w:r>
      <w:hyperlink w:anchor="ref-844">
        <w:r>
          <w:rPr>
            <w:rStyle w:val="Hyperlink"/>
            <w:vertAlign w:val="superscript"/>
          </w:rPr>
          <w:t xml:space="preserve">844</w:t>
        </w:r>
      </w:hyperlink>
      <w:r>
        <w:rPr>
          <w:vertAlign w:val="superscript"/>
        </w:rPr>
        <w:t xml:space="preserve">]</w:t>
      </w:r>
      <w:r>
        <w:t xml:space="preserve">。</w:t>
      </w:r>
    </w:p>
    <w:bookmarkEnd w:id="1597"/>
    <w:bookmarkEnd w:id="1598"/>
    <w:bookmarkStart w:id="1615" w:name="ch-95"/>
    <w:p>
      <w:pPr>
        <w:pStyle w:val="Heading2"/>
      </w:pPr>
      <w:r>
        <w:t xml:space="preserve">第95章　多巴胺与奖赏的不同组成</w:t>
      </w:r>
    </w:p>
    <w:bookmarkStart w:id="1599" w:name="sec-95-1"/>
    <w:p>
      <w:pPr>
        <w:pStyle w:val="Heading3"/>
      </w:pPr>
      <w:r>
        <w:t xml:space="preserve">95.1　多巴胺做什么：概览</w:t>
      </w:r>
    </w:p>
    <w:p>
      <w:pPr>
        <w:pStyle w:val="FirstParagraph"/>
      </w:pPr>
      <w:r>
        <w:t xml:space="preserve">投射到前脑的多巴胺主要来自中脑的两群神经元（下丘脑等处另有多巴胺细胞群）。经典研究发现，一部分中脑多巴胺神经元的放电近似编码“奖赏预测误差”：结果比预期好时，放电短暂增强；完全符合预期时变化很小；比预期差时放电减弱</w:t>
      </w:r>
      <w:r>
        <w:rPr>
          <w:vertAlign w:val="superscript"/>
        </w:rPr>
        <w:t xml:space="preserve">[</w:t>
      </w:r>
      <w:hyperlink w:anchor="ref-508">
        <w:r>
          <w:rPr>
            <w:rStyle w:val="Hyperlink"/>
            <w:vertAlign w:val="superscript"/>
          </w:rPr>
          <w:t xml:space="preserve">508</w:t>
        </w:r>
      </w:hyperlink>
      <w:r>
        <w:rPr>
          <w:vertAlign w:val="superscript"/>
        </w:rPr>
        <w:t xml:space="preserve">]</w:t>
      </w:r>
      <w:r>
        <w:t xml:space="preserve">。这种信号可以充当学习信号，告诉大脑应该更新哪些预期。另一条研究线区分了“想要”和“喜欢”：用 6-羟基多巴胺把大鼠伏隔核和新纹状体的多巴胺最多耗竭 99% 后，对甜味的“喜欢”反应依然正常，多巴胺支持的主要是对目标的渴望与追求</w:t>
      </w:r>
      <w:r>
        <w:rPr>
          <w:vertAlign w:val="superscript"/>
        </w:rPr>
        <w:t xml:space="preserve">[</w:t>
      </w:r>
      <w:hyperlink w:anchor="ref-848">
        <w:r>
          <w:rPr>
            <w:rStyle w:val="Hyperlink"/>
            <w:vertAlign w:val="superscript"/>
          </w:rPr>
          <w:t xml:space="preserve">848</w:t>
        </w:r>
      </w:hyperlink>
      <w:r>
        <w:rPr>
          <w:vertAlign w:val="superscript"/>
        </w:rPr>
        <w:t xml:space="preserve">]</w:t>
      </w:r>
      <w:r>
        <w:t xml:space="preserve">；享受本身更多依赖少数“享乐热点”中的阿片类和内源性大麻素信号，这些热点主要是在大鼠身上定位的</w:t>
      </w:r>
      <w:r>
        <w:rPr>
          <w:vertAlign w:val="superscript"/>
        </w:rPr>
        <w:t xml:space="preserve">[</w:t>
      </w:r>
      <w:hyperlink w:anchor="ref-808">
        <w:r>
          <w:rPr>
            <w:rStyle w:val="Hyperlink"/>
            <w:vertAlign w:val="superscript"/>
          </w:rPr>
          <w:t xml:space="preserve">808</w:t>
        </w:r>
      </w:hyperlink>
      <w:r>
        <w:rPr>
          <w:vertAlign w:val="superscript"/>
        </w:rPr>
        <w:t xml:space="preserve">]</w:t>
      </w:r>
      <w:r>
        <w:t xml:space="preserve">。在人的日常体验中，想要与喜欢常常一起变化，两者的区分主要来自动物实验和药理操作。多巴胺还参与运动控制（黑质多巴胺神经元退变是帕金森病的主要病理环节之一）、工作记忆、对显著事件的反应和对努力成本的权衡。它的确切计算功能仍有争论：2022 年的一项小鼠研究提出，伏隔核的多巴胺释放更符合回溯式地学习“什么导致了奖赏”</w:t>
      </w:r>
      <w:r>
        <w:rPr>
          <w:vertAlign w:val="superscript"/>
        </w:rPr>
        <w:t xml:space="preserve">[</w:t>
      </w:r>
      <w:hyperlink w:anchor="ref-849">
        <w:r>
          <w:rPr>
            <w:rStyle w:val="Hyperlink"/>
            <w:vertAlign w:val="superscript"/>
          </w:rPr>
          <w:t xml:space="preserve">849</w:t>
        </w:r>
      </w:hyperlink>
      <w:r>
        <w:rPr>
          <w:vertAlign w:val="superscript"/>
        </w:rPr>
        <w:t xml:space="preserve">]</w:t>
      </w:r>
      <w:r>
        <w:t xml:space="preserve">。这项研究质疑预测误差能否解释全部多巴胺信号。经典框架的实验基础本身仍然成立。</w:t>
      </w:r>
    </w:p>
    <w:p>
      <w:pPr>
        <w:pStyle w:val="CalloutJudgment"/>
      </w:pPr>
      <w:r>
        <w:rPr>
          <w:bCs/>
          <w:b/>
        </w:rPr>
        <w:t xml:space="preserve">判断　</w:t>
      </w:r>
      <w:r>
        <w:t xml:space="preserve">“多巴胺是快乐分子”</w:t>
      </w:r>
      <w:r>
        <w:rPr>
          <w:bCs/>
          <w:b/>
        </w:rPr>
        <w:t xml:space="preserve">过度简化·高</w:t>
      </w:r>
      <w:r>
        <w:t xml:space="preserve">。“多巴胺短期快乐、内啡肽长期快乐”“多巴胺排毒”等流行说法，见</w:t>
      </w:r>
      <w:hyperlink w:anchor="ch-80">
        <w:r>
          <w:rPr>
            <w:rStyle w:val="Hyperlink"/>
          </w:rPr>
          <w:t xml:space="preserve">第80章</w:t>
        </w:r>
      </w:hyperlink>
      <w:r>
        <w:t xml:space="preserve">和</w:t>
      </w:r>
      <w:hyperlink w:anchor="ch-81">
        <w:r>
          <w:rPr>
            <w:rStyle w:val="Hyperlink"/>
          </w:rPr>
          <w:t xml:space="preserve">第81章</w:t>
        </w:r>
      </w:hyperlink>
      <w:r>
        <w:t xml:space="preserve">。</w:t>
      </w:r>
    </w:p>
    <w:bookmarkEnd w:id="1599"/>
    <w:bookmarkStart w:id="1600" w:name="sec-95-2"/>
    <w:p>
      <w:pPr>
        <w:pStyle w:val="Heading3"/>
      </w:pPr>
      <w:r>
        <w:t xml:space="preserve">95.2　一个分子名称不能代替心理变量</w:t>
      </w:r>
    </w:p>
    <w:p>
      <w:pPr>
        <w:pStyle w:val="FirstParagraph"/>
      </w:pPr>
      <w:r>
        <w:t xml:space="preserve">多巴胺参与运动、学习、动机和部分奖赏过程，把它定义为快乐总量的计量器缺少支持。对这一判断的置信度高。需要区分主观愉悦、取得奖励的努力、线索吸引力、结果预测和学习更新。它们在日常体验中经常一起出现，实验却能够让其中一些变化而另一些保留</w:t>
      </w:r>
      <w:r>
        <w:rPr>
          <w:vertAlign w:val="superscript"/>
        </w:rPr>
        <w:t xml:space="preserve">[</w:t>
      </w:r>
      <w:hyperlink w:anchor="ref-508">
        <w:r>
          <w:rPr>
            <w:rStyle w:val="Hyperlink"/>
            <w:vertAlign w:val="superscript"/>
          </w:rPr>
          <w:t xml:space="preserve">508</w:t>
        </w:r>
      </w:hyperlink>
      <w:r>
        <w:rPr>
          <w:vertAlign w:val="superscript"/>
        </w:rPr>
        <w:t xml:space="preserve">,</w:t>
      </w:r>
      <w:hyperlink w:anchor="ref-727">
        <w:r>
          <w:rPr>
            <w:rStyle w:val="Hyperlink"/>
            <w:vertAlign w:val="superscript"/>
          </w:rPr>
          <w:t xml:space="preserve">727</w:t>
        </w:r>
      </w:hyperlink>
      <w:r>
        <w:rPr>
          <w:vertAlign w:val="superscript"/>
        </w:rPr>
        <w:t xml:space="preserve">,</w:t>
      </w:r>
      <w:hyperlink w:anchor="ref-848">
        <w:r>
          <w:rPr>
            <w:rStyle w:val="Hyperlink"/>
            <w:vertAlign w:val="superscript"/>
          </w:rPr>
          <w:t xml:space="preserve">848</w:t>
        </w:r>
      </w:hyperlink>
      <w:r>
        <w:rPr>
          <w:vertAlign w:val="superscript"/>
        </w:rPr>
        <w:t xml:space="preserve">]</w:t>
      </w:r>
      <w:r>
        <w:t xml:space="preserve">。</w:t>
      </w:r>
    </w:p>
    <w:p>
      <w:pPr>
        <w:pStyle w:val="BodyText"/>
      </w:pPr>
      <w:r>
        <w:t xml:space="preserve">多巴胺是儿茶酚胺类信号分子。讨论它的作用时，至少要说明产生和释放信号的细胞、投射位置、受体类别、时间尺度与行为状态。黑质到纹状体、腹侧被盖区到不同前脑目标，以及下丘脑相关通路的功能背景不同。用“脑内多巴胺高”概括全部通路，会丢失决定效应方向的信息。</w:t>
      </w:r>
    </w:p>
    <w:p>
      <w:pPr>
        <w:pStyle w:val="BodyText"/>
      </w:pPr>
      <w:r>
        <w:t xml:space="preserve">受体进一步增加条件性。不同受体通过不同细胞内信号影响膜电性质、突触输入和可塑性；同一受体在不同回路中也可能产生不同的行为后果。因此，浓度增加的意义不能脱离位置和细胞背景。临床药物对某一受体的作用，也不能直接换算成幸福增减</w:t>
      </w:r>
      <w:r>
        <w:rPr>
          <w:vertAlign w:val="superscript"/>
        </w:rPr>
        <w:t xml:space="preserve">[</w:t>
      </w:r>
      <w:hyperlink w:anchor="ref-56">
        <w:r>
          <w:rPr>
            <w:rStyle w:val="Hyperlink"/>
            <w:vertAlign w:val="superscript"/>
          </w:rPr>
          <w:t xml:space="preserve">56</w:t>
        </w:r>
      </w:hyperlink>
      <w:r>
        <w:rPr>
          <w:vertAlign w:val="superscript"/>
        </w:rPr>
        <w:t xml:space="preserve">]</w:t>
      </w:r>
      <w:r>
        <w:t xml:space="preserve">。</w:t>
      </w:r>
    </w:p>
    <w:bookmarkEnd w:id="1600"/>
    <w:bookmarkStart w:id="1601" w:name="sec-95-3"/>
    <w:p>
      <w:pPr>
        <w:pStyle w:val="Heading3"/>
      </w:pPr>
      <w:r>
        <w:t xml:space="preserve">95.3　喜欢与想要怎样在实验中分离</w:t>
      </w:r>
    </w:p>
    <w:p>
      <w:pPr>
        <w:pStyle w:val="FirstParagraph"/>
      </w:pPr>
      <w:r>
        <w:t xml:space="preserve">Berridge与Robinson讨论的味觉反应范式，把甜或苦液体直接送入口中，从而减少运动和主动取食的干扰。相关多巴胺损伤操作可以严重影响主动追求，同时保留某些甜味正性反应。实验支持奖赏组成可分离；动物口面反应仍是操作性指标，不能直接等同于人类的完整主观幸福</w:t>
      </w:r>
      <w:r>
        <w:rPr>
          <w:vertAlign w:val="superscript"/>
        </w:rPr>
        <w:t xml:space="preserve">[</w:t>
      </w:r>
      <w:hyperlink w:anchor="ref-848">
        <w:r>
          <w:rPr>
            <w:rStyle w:val="Hyperlink"/>
            <w:vertAlign w:val="superscript"/>
          </w:rPr>
          <w:t xml:space="preserve">848</w:t>
        </w:r>
      </w:hyperlink>
      <w:r>
        <w:rPr>
          <w:vertAlign w:val="superscript"/>
        </w:rPr>
        <w:t xml:space="preserve">]</w:t>
      </w:r>
      <w:r>
        <w:t xml:space="preserve">。</w:t>
      </w:r>
    </w:p>
    <w:p>
      <w:pPr>
        <w:pStyle w:val="BodyText"/>
      </w:pPr>
      <w:r>
        <w:t xml:space="preserve">这个设计的价值在于选择了能排除替代解释的测量。若只观察食物摄取下降，可能误把行动困难看成愉悦消失。直接提供刺激后再测反应，可以减少这一混淆。类似原则适用于人类：愿意花多少钱、愿意付出多少努力、报告多喜欢，以及实际消费时的感受，应尽量分开记录。</w:t>
      </w:r>
    </w:p>
    <w:p>
      <w:pPr>
        <w:pStyle w:val="BodyText"/>
      </w:pPr>
      <w:r>
        <w:t xml:space="preserve">“想要”也有多种含义。一个人可以经过深思熟虑决定追求某目标，也可以在提示线索出现时产生强烈吸引。动机理论中的某些术语专指后一种过程，不能把普通语言中的所有愿望都纳入同一机制。使用术语时明确操作定义，能防止理论范围随叙述需要任意扩大。</w:t>
      </w:r>
    </w:p>
    <w:bookmarkEnd w:id="1601"/>
    <w:bookmarkStart w:id="1602" w:name="sec-95-4"/>
    <w:p>
      <w:pPr>
        <w:pStyle w:val="Heading3"/>
      </w:pPr>
      <w:r>
        <w:t xml:space="preserve">95.4　预测误差模型的基本逻辑</w:t>
      </w:r>
    </w:p>
    <w:p>
      <w:pPr>
        <w:pStyle w:val="FirstParagraph"/>
      </w:pPr>
      <w:r>
        <w:t xml:space="preserve">学习需要比较预期与实际结果。如果结果比预期好，误差为正，可以提高相关线索或行动的未来价值；如果比预期差，误差为负，可以降低价值；结果符合预期时，误差接近零。在最简单的示例中，预测误差等于实际奖励减去预测奖励，因此同样的食物在不同预期下会产生不同的学习信号。若考虑连续状态，还需把下一状态的预期未来价值纳入计算。这个模型表达的是更新规则，不要求食物的感官体验随误差同步变化，也不能直接被当成某个人情绪的完整公式。</w:t>
      </w:r>
    </w:p>
    <w:p>
      <w:pPr>
        <w:pStyle w:val="BodyText"/>
      </w:pPr>
      <w:r>
        <w:t xml:space="preserve">Schultz、Dayan与Montague将灵长类多巴胺记录与计算学习框架联系起来：出乎意料的奖赏、学会后的预测线索和预期奖赏落空，呈现不同的响应模式。这支持部分多巴胺信号与预测误差有关，限制了把神经响应一律读成消费时快乐强度的解释</w:t>
      </w:r>
      <w:r>
        <w:rPr>
          <w:vertAlign w:val="superscript"/>
        </w:rPr>
        <w:t xml:space="preserve">[</w:t>
      </w:r>
      <w:hyperlink w:anchor="ref-508">
        <w:r>
          <w:rPr>
            <w:rStyle w:val="Hyperlink"/>
            <w:vertAlign w:val="superscript"/>
          </w:rPr>
          <w:t xml:space="preserve">508</w:t>
        </w:r>
      </w:hyperlink>
      <w:r>
        <w:rPr>
          <w:vertAlign w:val="superscript"/>
        </w:rPr>
        <w:t xml:space="preserve">]</w:t>
      </w:r>
      <w:r>
        <w:t xml:space="preserve">。</w:t>
      </w:r>
    </w:p>
    <w:p>
      <w:pPr>
        <w:pStyle w:val="BodyText"/>
      </w:pPr>
      <w:r>
        <w:t xml:space="preserve">以下数字仅为教学假设。某行动的预期收益是五单位，实际得到八单位，简单预测误差为三。学习率设为0.2时，更新后的预测值增加0.6，成为5.6。这里的单位可以是任务奖励，学习率是模型参数。它不意味着脑内多巴胺升高三单位，也不能推出主观快乐按相同比例变化。</w:t>
      </w:r>
    </w:p>
    <w:p>
      <w:pPr>
        <w:pStyle w:val="BodyText"/>
      </w:pPr>
      <w:r>
        <w:t xml:space="preserve">模型检验需要比较备选解释。神经信号可能随新奇、动作、时间不确定性或重要性变化。只有任务把这些因素与预测误差尽量分离，才可以缩小解释。一个信号能够被预测误差模型拟合，尚不足以证明其唯一功能。</w:t>
      </w:r>
    </w:p>
    <w:bookmarkEnd w:id="1602"/>
    <w:bookmarkStart w:id="1603" w:name="sec-95-5"/>
    <w:p>
      <w:pPr>
        <w:pStyle w:val="Heading3"/>
      </w:pPr>
      <w:r>
        <w:t xml:space="preserve">95.5　细胞放电与末梢释放不能混为一谈</w:t>
      </w:r>
    </w:p>
    <w:p>
      <w:pPr>
        <w:pStyle w:val="FirstParagraph"/>
      </w:pPr>
      <w:r>
        <w:t xml:space="preserve">Mohebi及同事在同一决策任务中比较中脑多巴胺细胞放电与伏隔核多巴胺释放，发现部分释放动态与奖励预期变化相联系，却没有相应的细胞体放电变化。作者据此提出，细胞体的脉冲式放电主要提供学习所需的误差信号，末梢释放的局部调节则更多与动机相关。结果提示局部释放调节具有重要意义，也提出了进一步问题：不同目标区如何利用同一上游输入，局部受体、再摄取和其他递质怎样改变有效信息。回答这些问题需要同时记录多个层次，并干预候选局部机制。这一发现还限制了“测到一处细胞放电便知道全脑多巴胺状态”的推断</w:t>
      </w:r>
      <w:r>
        <w:rPr>
          <w:vertAlign w:val="superscript"/>
        </w:rPr>
        <w:t xml:space="preserve">[</w:t>
      </w:r>
      <w:hyperlink w:anchor="ref-850">
        <w:r>
          <w:rPr>
            <w:rStyle w:val="Hyperlink"/>
            <w:vertAlign w:val="superscript"/>
          </w:rPr>
          <w:t xml:space="preserve">850</w:t>
        </w:r>
      </w:hyperlink>
      <w:r>
        <w:rPr>
          <w:vertAlign w:val="superscript"/>
        </w:rPr>
        <w:t xml:space="preserve">]</w:t>
      </w:r>
      <w:r>
        <w:t xml:space="preserve">。</w:t>
      </w:r>
    </w:p>
    <w:p>
      <w:pPr>
        <w:pStyle w:val="BodyText"/>
      </w:pPr>
      <w:r>
        <w:t xml:space="preserve">同一个脑区内部仍可能存在不同投射来源和局部调节。宏观平均可以掩盖相反方向的细胞群变化。看到平均增加时，不能预设每个细胞都增加；看到平均不变时，也不能排除重要的分布重组。</w:t>
      </w:r>
    </w:p>
    <w:bookmarkEnd w:id="1603"/>
    <w:bookmarkStart w:id="1604" w:name="sec-95-6"/>
    <w:p>
      <w:pPr>
        <w:pStyle w:val="Heading3"/>
      </w:pPr>
      <w:r>
        <w:t xml:space="preserve">95.6　快乐与长期幸福的距离</w:t>
      </w:r>
    </w:p>
    <w:p>
      <w:pPr>
        <w:pStyle w:val="FirstParagraph"/>
      </w:pPr>
      <w:r>
        <w:t xml:space="preserve">短时愉悦可以成为幸福的一部分，但长期生活评价还涉及关系、健康、目标实现和环境条件。把一个突触信号直接换算为整体幸福，会跨越多个尚未完成的解释层级。神经科学可以研究这些过程的机制，但不能用分子名称取消心理和社会变量。</w:t>
      </w:r>
    </w:p>
    <w:p>
      <w:pPr>
        <w:pStyle w:val="BodyText"/>
      </w:pPr>
      <w:r>
        <w:t xml:space="preserve">这也限制了“让多巴胺尽量高”的健康建议。一个信号系统参与正常功能，并不意味着持续提升它有利。受体、通路、适应和副作用会改变结果。某些药物具有临床用途，需要针对疾病和结局评估；它们不能被当作普遍幸福增强剂。</w:t>
      </w:r>
    </w:p>
    <w:bookmarkEnd w:id="1604"/>
    <w:bookmarkStart w:id="1605" w:name="sec-95-7"/>
    <w:p>
      <w:pPr>
        <w:pStyle w:val="Heading3"/>
      </w:pPr>
      <w:r>
        <w:t xml:space="preserve">95.7　怎样评价一项多巴胺宣传</w:t>
      </w:r>
    </w:p>
    <w:p>
      <w:pPr>
        <w:pStyle w:val="FirstParagraph"/>
      </w:pPr>
      <w:r>
        <w:t xml:space="preserve">先确定它测量了什么。问卷中的动机变化没有直接测量递质；fMRI血氧信号也不能被当成多巴胺浓度。PET相关示踪方法能够提供特定受体或竞争过程的信息，但仍依赖模型和条件。不同测量能支持的结论范围应明确写出。</w:t>
      </w:r>
    </w:p>
    <w:p>
      <w:pPr>
        <w:pStyle w:val="BodyText"/>
      </w:pPr>
      <w:r>
        <w:t xml:space="preserve">再确定它是否把机制和效果混在一起。一个行为干预可以改善功能，同时具体多巴胺机制尚未确定；一个实验可以改变多巴胺指标，同时没有改善生活功能。只有把二者分别测量并建立可信关系，才接近支持完整机制链。</w:t>
      </w:r>
    </w:p>
    <w:bookmarkEnd w:id="1605"/>
    <w:bookmarkStart w:id="1606" w:name="sec-95-8"/>
    <w:p>
      <w:pPr>
        <w:pStyle w:val="Heading3"/>
      </w:pPr>
      <w:r>
        <w:t xml:space="preserve">95.8　测量对象决定多巴胺变化的含义</w:t>
      </w:r>
    </w:p>
    <w:p>
      <w:pPr>
        <w:pStyle w:val="FirstParagraph"/>
      </w:pPr>
      <w:r>
        <w:t xml:space="preserve">多巴胺研究可以测量合成相关酶、组织总含量、细胞外浓度、受体可用性、受体占有率、神经元放电或胞内信号。它们分别回答不同问题。组织中储存较多的分子，未必在某一时刻释放较多；胞体放电增强，未必在每个远端末梢产生同样释放；受体结合信号降低，可能涉及内源性竞争、受体数量或其他条件。报告结果时应直接写出测量变量，减少含混的“多巴胺水平”</w:t>
      </w:r>
      <w:r>
        <w:rPr>
          <w:vertAlign w:val="superscript"/>
        </w:rPr>
        <w:t xml:space="preserve">[</w:t>
      </w:r>
      <w:hyperlink w:anchor="ref-847">
        <w:r>
          <w:rPr>
            <w:rStyle w:val="Hyperlink"/>
            <w:vertAlign w:val="superscript"/>
          </w:rPr>
          <w:t xml:space="preserve">847</w:t>
        </w:r>
      </w:hyperlink>
      <w:r>
        <w:rPr>
          <w:vertAlign w:val="superscript"/>
        </w:rPr>
        <w:t xml:space="preserve">,</w:t>
      </w:r>
      <w:hyperlink w:anchor="ref-850">
        <w:r>
          <w:rPr>
            <w:rStyle w:val="Hyperlink"/>
            <w:vertAlign w:val="superscript"/>
          </w:rPr>
          <w:t xml:space="preserve">850</w:t>
        </w:r>
      </w:hyperlink>
      <w:r>
        <w:rPr>
          <w:vertAlign w:val="superscript"/>
        </w:rPr>
        <w:t xml:space="preserve">,</w:t>
      </w:r>
      <w:hyperlink w:anchor="ref-851">
        <w:r>
          <w:rPr>
            <w:rStyle w:val="Hyperlink"/>
            <w:vertAlign w:val="superscript"/>
          </w:rPr>
          <w:t xml:space="preserve">851</w:t>
        </w:r>
      </w:hyperlink>
      <w:r>
        <w:rPr>
          <w:vertAlign w:val="superscript"/>
        </w:rPr>
        <w:t xml:space="preserve">]</w:t>
      </w:r>
      <w:r>
        <w:t xml:space="preserve">。</w:t>
      </w:r>
    </w:p>
    <w:p>
      <w:pPr>
        <w:pStyle w:val="BodyText"/>
      </w:pPr>
      <w:r>
        <w:t xml:space="preserve">电生理具有精细时间信息，却需要可靠识别细胞类型。仅凭某个波形或放电速率，往往不足以确认递质身份。遗传标记、光标记和组织学可以提高识别可信度，但每种方法也依赖表达特异性与取样范围。一个被确认的多巴胺神经元仍可能具有独特投射，不能代表所有中脑多巴胺细胞。</w:t>
      </w:r>
    </w:p>
    <w:p>
      <w:pPr>
        <w:pStyle w:val="BodyText"/>
      </w:pPr>
      <w:r>
        <w:t xml:space="preserve">微透析收集局部细胞外物质，能够结合化学分析获得浓度相关信息，但采样过程整合了一定时间和空间范围。快速扫描循环伏安法利用电化学性质追踪较快变化，需要考虑其他可氧化物质、背景漂移和校准。两种方法测得的曲线不完全相同，可能源于真实时间尺度差异，也可能来自测量和处理方式。</w:t>
      </w:r>
    </w:p>
    <w:p>
      <w:pPr>
        <w:pStyle w:val="BodyText"/>
      </w:pPr>
      <w:r>
        <w:t xml:space="preserve">遗传编码荧光探针将递质结合转换为荧光变化。Patriarchi及同事开发的dLight平台，为行为动物中测量多巴胺动态提供了重要工具。探针读数仍受亲和力、动力学、表达、运动和光学条件影响；荧光变化不等同于未经校准的绝对分子浓度</w:t>
      </w:r>
      <w:r>
        <w:rPr>
          <w:vertAlign w:val="superscript"/>
        </w:rPr>
        <w:t xml:space="preserve">[</w:t>
      </w:r>
      <w:hyperlink w:anchor="ref-851">
        <w:r>
          <w:rPr>
            <w:rStyle w:val="Hyperlink"/>
            <w:vertAlign w:val="superscript"/>
          </w:rPr>
          <w:t xml:space="preserve">851</w:t>
        </w:r>
      </w:hyperlink>
      <w:r>
        <w:rPr>
          <w:vertAlign w:val="superscript"/>
        </w:rPr>
        <w:t xml:space="preserve">]</w:t>
      </w:r>
      <w:r>
        <w:t xml:space="preserve">。</w:t>
      </w:r>
    </w:p>
    <w:p>
      <w:pPr>
        <w:pStyle w:val="BodyText"/>
      </w:pPr>
      <w:r>
        <w:t xml:space="preserve">使用光纤记录时，信号通常来自一定体积内的群体。局部不同细胞与末梢的响应可能被平均，呼吸、血流或运动也可能影响光信号。对照波长、运动回归和无响应探针有助于诊断伪迹，但统计去除不能保证所有伪迹已消失。最有说服力的解释通常来自行为设计、物理控制和其他测量方法共同形成的约束。</w:t>
      </w:r>
    </w:p>
    <w:bookmarkEnd w:id="1606"/>
    <w:bookmarkStart w:id="1607" w:name="sec-95-9"/>
    <w:p>
      <w:pPr>
        <w:pStyle w:val="Heading3"/>
      </w:pPr>
      <w:r>
        <w:t xml:space="preserve">95.9　时间差分误差的教学推导</w:t>
      </w:r>
    </w:p>
    <w:p>
      <w:pPr>
        <w:pStyle w:val="FirstParagraph"/>
      </w:pPr>
      <w:r>
        <w:t xml:space="preserve">时间差分模型把未来价值也纳入比较：当前即时结果，加上折扣后的下一状态价值，再减去当前状态价值。这样的写法允许价值逐步转移到能够预测结果的较早线索。</w:t>
      </w:r>
      <w:hyperlink w:anchor="sec-95-4">
        <w:r>
          <w:rPr>
            <w:rStyle w:val="Hyperlink"/>
          </w:rPr>
          <w:t xml:space="preserve">95.4 节</w:t>
        </w:r>
      </w:hyperlink>
      <w:r>
        <w:t xml:space="preserve">提到的Schultz及同事的经典研究，把部分多巴胺神经响应与这一类预测误差信号联系起来</w:t>
      </w:r>
      <w:r>
        <w:rPr>
          <w:vertAlign w:val="superscript"/>
        </w:rPr>
        <w:t xml:space="preserve">[</w:t>
      </w:r>
      <w:hyperlink w:anchor="ref-508">
        <w:r>
          <w:rPr>
            <w:rStyle w:val="Hyperlink"/>
            <w:vertAlign w:val="superscript"/>
          </w:rPr>
          <w:t xml:space="preserve">508</w:t>
        </w:r>
      </w:hyperlink>
      <w:r>
        <w:rPr>
          <w:vertAlign w:val="superscript"/>
        </w:rPr>
        <w:t xml:space="preserve">]</w:t>
      </w:r>
      <w:r>
        <w:t xml:space="preserve">。</w:t>
      </w:r>
    </w:p>
    <w:p>
      <w:pPr>
        <w:pStyle w:val="BodyText"/>
      </w:pPr>
      <w:r>
        <w:t xml:space="preserve">把模型用于具体数据，需要说明状态如何表示。一个声音可以代表即将得到食物，也可以只提示某个情境开始。若实验者采用的状态划分与动物真正使用的线索不同，模型计算出的误差就可能失准。动物也可能追踪结果的时间、大小、位置和身份；一个单标量价值模型未必覆盖全部被学习的信息。</w:t>
      </w:r>
    </w:p>
    <w:p>
      <w:pPr>
        <w:pStyle w:val="BodyText"/>
      </w:pPr>
      <w:r>
        <w:t xml:space="preserve">学习率决定新误差改变估计的幅度。较大学习率能快速适应改变，也容易跟随随机波动；较小学习率更稳定，却可能在环境已经变化时更新过慢。最佳学习率取决于环境变化速度与观测噪声。若研究观察到学习快慢差异，应该比较多个模型，并检验差异是否来自注意、感知或选择噪声。</w:t>
      </w:r>
    </w:p>
    <w:p>
      <w:pPr>
        <w:pStyle w:val="BodyText"/>
      </w:pPr>
      <w:r>
        <w:t xml:space="preserve">遗漏奖励的反应需要考虑时间预期。如果动物无法确定奖励何时出现，“暂时没有出现”可能仍符合预测。实验中看到的信号形状因此依赖时间分布。将所有下降都解释为失望，也会跳过感知、时间推断和行为准备这些可能成分。模型能帮助提出候选解释，情绪名称需要独立证据。</w:t>
      </w:r>
    </w:p>
    <w:bookmarkEnd w:id="1607"/>
    <w:bookmarkStart w:id="1608" w:name="sec-95-10"/>
    <w:p>
      <w:pPr>
        <w:pStyle w:val="Heading3"/>
      </w:pPr>
      <w:r>
        <w:t xml:space="preserve">95.10　价值学习与行动活力可以分离</w:t>
      </w:r>
    </w:p>
    <w:p>
      <w:pPr>
        <w:pStyle w:val="FirstParagraph"/>
      </w:pPr>
      <w:r>
        <w:t xml:space="preserve">个体可以知道某结果有价值，却不愿付出当下成本。行动选择需要结合结果价值、概率、时间、体力与其他机会。某种操作使动物较少选择高努力选项，可能反映成本权重变化、运动困难或机会评价改变。要区分这些解释，可提供低努力条件、自由获得结果条件和运动能力对照。</w:t>
      </w:r>
    </w:p>
    <w:p>
      <w:pPr>
        <w:pStyle w:val="BodyText"/>
      </w:pPr>
      <w:r>
        <w:t xml:space="preserve">行动活力还涉及如何快速、持续地执行已选目标。启动速度、动作次数和坚持时间不必同向变化。研究可分别分析是否选择行动、开始前等待多久以及开始后如何执行，避免一个总按键数掩盖多个过程。对某条多巴胺通路的操作若只影响启动阶段，其解释应相应限定。</w:t>
      </w:r>
    </w:p>
    <w:bookmarkEnd w:id="1608"/>
    <w:bookmarkStart w:id="1609" w:name="sec-95-11"/>
    <w:p>
      <w:pPr>
        <w:pStyle w:val="Heading3"/>
      </w:pPr>
      <w:r>
        <w:t xml:space="preserve">95.11　受体可用性和药物效应不能按高低排好坏</w:t>
      </w:r>
    </w:p>
    <w:p>
      <w:pPr>
        <w:pStyle w:val="FirstParagraph"/>
      </w:pPr>
      <w:r>
        <w:t xml:space="preserve">受体的影响取决于所在细胞、突触前或突触后等亚细胞位置、耦联通路和网络状态。同一多巴胺变化可以同时接触具有不同受体和下游蛋白的细胞，受体占有率、信号放大和脱敏状态共同决定响应，浓度变化的方向只是解释中的一个变量。以受体家族名称直接给细胞标注为永久促进或永久抑制，会遗漏离子通道与输入状态。激动剂直接促进受体相关作用，拮抗剂阻断相应激活，部分激动剂的净效应还会随内源性递质与受体条件改变。一个药物在体外具有某种受体特征，并不能仅凭这一点预测完整行为结果</w:t>
      </w:r>
      <w:r>
        <w:rPr>
          <w:vertAlign w:val="superscript"/>
        </w:rPr>
        <w:t xml:space="preserve">[</w:t>
      </w:r>
      <w:hyperlink w:anchor="ref-56">
        <w:r>
          <w:rPr>
            <w:rStyle w:val="Hyperlink"/>
            <w:vertAlign w:val="superscript"/>
          </w:rPr>
          <w:t xml:space="preserve">56</w:t>
        </w:r>
      </w:hyperlink>
      <w:r>
        <w:rPr>
          <w:vertAlign w:val="superscript"/>
        </w:rPr>
        <w:t xml:space="preserve">,</w:t>
      </w:r>
      <w:hyperlink w:anchor="ref-64">
        <w:r>
          <w:rPr>
            <w:rStyle w:val="Hyperlink"/>
            <w:vertAlign w:val="superscript"/>
          </w:rPr>
          <w:t xml:space="preserve">64</w:t>
        </w:r>
      </w:hyperlink>
      <w:r>
        <w:rPr>
          <w:vertAlign w:val="superscript"/>
        </w:rPr>
        <w:t xml:space="preserve">,</w:t>
      </w:r>
      <w:hyperlink w:anchor="ref-67">
        <w:r>
          <w:rPr>
            <w:rStyle w:val="Hyperlink"/>
            <w:vertAlign w:val="superscript"/>
          </w:rPr>
          <w:t xml:space="preserve">67</w:t>
        </w:r>
      </w:hyperlink>
      <w:r>
        <w:rPr>
          <w:vertAlign w:val="superscript"/>
        </w:rPr>
        <w:t xml:space="preserve">]</w:t>
      </w:r>
      <w:r>
        <w:t xml:space="preserve">。</w:t>
      </w:r>
    </w:p>
    <w:p>
      <w:pPr>
        <w:pStyle w:val="BodyText"/>
      </w:pPr>
      <w:r>
        <w:t xml:space="preserve">剂量与效应也可能具有非线性。提高剂量可以增加目标受体占有，也可能招募亲和力较低的其他靶点（受体接近饱和后的一般情形见</w:t>
      </w:r>
      <w:r>
        <w:t xml:space="preserve"> </w:t>
      </w:r>
      <w:hyperlink w:anchor="sec-94-13">
        <w:r>
          <w:rPr>
            <w:rStyle w:val="Hyperlink"/>
          </w:rPr>
          <w:t xml:space="preserve">94.13</w:t>
        </w:r>
      </w:hyperlink>
      <w:r>
        <w:t xml:space="preserve">）。时间结构同样重要：药物具有自己的暴露时程，内源释放则具有局部事件结构，两者即使达到相近平均浓度，也可能产生不同的受体作用组合。比较药物时应区分体外亲和力、人体游离暴露、受体占有、功能效应和临床结局，并说明位置、时间和受体，避免只根据一个数字或单一高低尺度排序。</w:t>
      </w:r>
    </w:p>
    <w:p>
      <w:pPr>
        <w:pStyle w:val="BodyText"/>
      </w:pPr>
      <w:r>
        <w:t xml:space="preserve">长期用药或持续刺激还可能引起适应。受体数量、下游信号和回路状态都可能变化，停用后的状态因此不必等同于从未使用者。这样的适应属于需要具体研究的机制，不能由“耐受”一个词反推必然发生哪种受体改变。对于个体医疗决策，药理解释需要与直接临床证据结合。</w:t>
      </w:r>
    </w:p>
    <w:bookmarkEnd w:id="1609"/>
    <w:bookmarkStart w:id="1610" w:name="sec-95-12"/>
    <w:p>
      <w:pPr>
        <w:pStyle w:val="Heading3"/>
      </w:pPr>
      <w:r>
        <w:t xml:space="preserve">95.12　奖赏实验怎样处理饥饿和饱足</w:t>
      </w:r>
    </w:p>
    <w:p>
      <w:pPr>
        <w:pStyle w:val="FirstParagraph"/>
      </w:pPr>
      <w:r>
        <w:t xml:space="preserve">食物奖励的价值随身体状态变化。饥饿时愿意付出的努力和饱足时可能不同，重复获得同一种食物也可能降低其相对吸引力。若比较不同实验组，必须记录限制进食、测试时间、体重变化和先前摄入。否则，所谓动机差异可能包含身体状态差异。</w:t>
      </w:r>
    </w:p>
    <w:p>
      <w:pPr>
        <w:pStyle w:val="BodyText"/>
      </w:pPr>
      <w:r>
        <w:t xml:space="preserve">结果贬值任务利用价值变化检验行为是否仍对结果敏感。若行为在结果不再有吸引力时继续出现，可能符合习惯性控制的某些定义，但还要确认参与者知道当前行动与结果的关系，并确实经历了价值下降。测量单一表现不足以排除记忆失败、情境切换或反应执行限制。</w:t>
      </w:r>
    </w:p>
    <w:p>
      <w:pPr>
        <w:pStyle w:val="BodyText"/>
      </w:pPr>
      <w:r>
        <w:t xml:space="preserve">对人体研究，金钱、食物、社会评价和信息各有不同含义。相同金额对不同经济处境者的边际价值不同，实验中的虚拟奖励与真实结算也可能不同。将所有奖励换算成一个统一神经尺度，需要明确模型与任务依据。一个脑区对多种奖励有响应，不能直接说明这些奖励在体验与行为上可以完全互换。</w:t>
      </w:r>
    </w:p>
    <w:bookmarkEnd w:id="1610"/>
    <w:bookmarkStart w:id="1611" w:name="sec-95-13"/>
    <w:p>
      <w:pPr>
        <w:pStyle w:val="Heading3"/>
      </w:pPr>
      <w:r>
        <w:t xml:space="preserve">95.13　从学习信号推到生活建议的证据距离</w:t>
      </w:r>
    </w:p>
    <w:p>
      <w:pPr>
        <w:pStyle w:val="FirstParagraph"/>
      </w:pPr>
      <w:r>
        <w:t xml:space="preserve">基础研究可以解释某些线索为何容易引起注意和行动倾向，但不能单独证明某种日程、饮食或消费方案可以使多巴胺达到理想状态。要支持干预建议，必须检验可测的行为或健康结局，同时确认获益、持续时间和代价。泛称某活动升高多巴胺，缺少时间、部位和测量说明，几乎无法承担具体决策。</w:t>
      </w:r>
    </w:p>
    <w:p>
      <w:pPr>
        <w:pStyle w:val="BodyText"/>
      </w:pPr>
      <w:r>
        <w:t xml:space="preserve">同样，快乐减少可以涉及情绪体验、动机、疲劳、注意、环境机会和疾病。将其直接翻译成多巴胺低，会忽略可以通过不同途径改变的因素。高置信结论是奖赏需要分解多个组成，递质作用具有通路与状态特异性。对一个人的主观困难，可靠解释需要其具体行为与临床背景，一本书无法用一个递质标签替代评估。</w:t>
      </w:r>
    </w:p>
    <w:bookmarkEnd w:id="1611"/>
    <w:bookmarkStart w:id="1612" w:name="sec-95-14"/>
    <w:p>
      <w:pPr>
        <w:pStyle w:val="Heading3"/>
      </w:pPr>
      <w:r>
        <w:t xml:space="preserve">95.14　清除机制决定浓度变化怎样被读取</w:t>
      </w:r>
    </w:p>
    <w:p>
      <w:pPr>
        <w:pStyle w:val="FirstParagraph"/>
      </w:pPr>
      <w:r>
        <w:t xml:space="preserve">多巴胺释放后，转运、扩散和代谢共同限制其作用范围。多巴胺转运体在纹状体等密集投射区域具有重要作用，其他区域的清除还可能较多依赖去甲肾上腺素转运体和扩散。自身受体及其他受体对释放提供反馈，所以相同动作电位模式在不同末梢可以形成不同浓度轨迹</w:t>
      </w:r>
      <w:r>
        <w:rPr>
          <w:vertAlign w:val="superscript"/>
        </w:rPr>
        <w:t xml:space="preserve">[</w:t>
      </w:r>
      <w:hyperlink w:anchor="ref-845">
        <w:r>
          <w:rPr>
            <w:rStyle w:val="Hyperlink"/>
            <w:vertAlign w:val="superscript"/>
          </w:rPr>
          <w:t xml:space="preserve">845</w:t>
        </w:r>
      </w:hyperlink>
      <w:r>
        <w:rPr>
          <w:vertAlign w:val="superscript"/>
        </w:rPr>
        <w:t xml:space="preserve">]</w:t>
      </w:r>
      <w:r>
        <w:t xml:space="preserve">。</w:t>
      </w:r>
    </w:p>
    <w:p>
      <w:pPr>
        <w:pStyle w:val="BodyText"/>
      </w:pPr>
      <w:r>
        <w:t xml:space="preserve">由此可作一个局部动力学推演。假设两处末梢每次释放量相近，但一处清除更快，单次峰值可能短暂；另一处清除较慢，多次释放更容易累积。下游受体的亲和力和信号终止速度又决定这些轨迹怎样转为细胞响应。观察到同样的时间平均浓度，仍可能存在完全不同的峰值与间隔。</w:t>
      </w:r>
    </w:p>
    <w:p>
      <w:pPr>
        <w:pStyle w:val="BodyText"/>
      </w:pPr>
      <w:r>
        <w:t xml:space="preserve">转运体阻断会改变递质分布，但其行为后果同时受到其他递质系统、脑区、剂量和暴露速度影响。不能由某药提高某处多巴胺浓度，直接推导其必然让所有人更快乐、专注或有动机。神经化学变化与临床结果之间需要保留受体、回路和行为证据</w:t>
      </w:r>
      <w:r>
        <w:rPr>
          <w:vertAlign w:val="superscript"/>
        </w:rPr>
        <w:t xml:space="preserve">[</w:t>
      </w:r>
      <w:hyperlink w:anchor="ref-64">
        <w:r>
          <w:rPr>
            <w:rStyle w:val="Hyperlink"/>
            <w:vertAlign w:val="superscript"/>
          </w:rPr>
          <w:t xml:space="preserve">64</w:t>
        </w:r>
      </w:hyperlink>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bookmarkEnd w:id="1612"/>
    <w:bookmarkStart w:id="1613" w:name="sec-95-15"/>
    <w:p>
      <w:pPr>
        <w:pStyle w:val="Heading3"/>
      </w:pPr>
      <w:r>
        <w:t xml:space="preserve">95.15　奖励信号需要与相关活动在时间上相遇</w:t>
      </w:r>
    </w:p>
    <w:p>
      <w:pPr>
        <w:pStyle w:val="FirstParagraph"/>
      </w:pPr>
      <w:r>
        <w:t xml:space="preserve">纹状体树突棘实验显示，多巴胺与谷氨酸输入的相对时序能影响结构可塑性。这为学习信号怎样选择近期活动过的突触提供了机制证据。实验中的具体窗口依赖制备和操作，不能直接转换为所有教育奖励的最佳时间间隔</w:t>
      </w:r>
      <w:r>
        <w:rPr>
          <w:vertAlign w:val="superscript"/>
        </w:rPr>
        <w:t xml:space="preserve">[</w:t>
      </w:r>
      <w:hyperlink w:anchor="ref-730">
        <w:r>
          <w:rPr>
            <w:rStyle w:val="Hyperlink"/>
            <w:vertAlign w:val="superscript"/>
          </w:rPr>
          <w:t xml:space="preserve">730</w:t>
        </w:r>
      </w:hyperlink>
      <w:r>
        <w:rPr>
          <w:vertAlign w:val="superscript"/>
        </w:rPr>
        <w:t xml:space="preserve">]</w:t>
      </w:r>
      <w:r>
        <w:t xml:space="preserve">。</w:t>
      </w:r>
    </w:p>
    <w:p>
      <w:pPr>
        <w:pStyle w:val="BodyText"/>
      </w:pPr>
      <w:r>
        <w:t xml:space="preserve">这一机制提出的重要问题是信用分配：结果出现时，系统怎样识别此前哪些活动与结果有关。短时的细胞内状态可以暂时保留活动痕迹，使之后到来的调质信号具有选择性。更长行为序列还需要状态表征、记忆及多级学习。多巴胺信号本身提供调节，哪些突触可被调节还由它们先前的活动决定。</w:t>
      </w:r>
    </w:p>
    <w:p>
      <w:pPr>
        <w:pStyle w:val="BodyText"/>
      </w:pPr>
      <w:r>
        <w:t xml:space="preserve">因此，奖励的效果依赖内容、时序、背景和已有预期。相同结果在不同经历之后可能引起不同学习。将这个系统理解为单纯的快乐注入，会遗漏它对经验更新的条件性。</w:t>
      </w:r>
    </w:p>
    <w:bookmarkEnd w:id="1613"/>
    <w:bookmarkStart w:id="1614" w:name="sec-95-16"/>
    <w:p>
      <w:pPr>
        <w:pStyle w:val="Heading3"/>
      </w:pPr>
      <w:r>
        <w:t xml:space="preserve">95.16　本章结论</w:t>
      </w:r>
    </w:p>
    <w:p>
      <w:pPr>
        <w:pStyle w:val="FirstParagraph"/>
      </w:pPr>
      <w:r>
        <w:t xml:space="preserve">多巴胺研究最有价值的进展来自对奖赏成分、投射和时间动态的分解。喜欢、想要、预测和学习之间有联系，也能分离。统一快乐计量器的说法无法容纳这种证据。研究仍在解释不同细胞群和局部释放怎样支持行为，不能把一个理论中的主要功能写成所有多巴胺细胞的唯一功能</w:t>
      </w:r>
      <w:r>
        <w:rPr>
          <w:vertAlign w:val="superscript"/>
        </w:rPr>
        <w:t xml:space="preserve">[</w:t>
      </w:r>
      <w:hyperlink w:anchor="ref-508">
        <w:r>
          <w:rPr>
            <w:rStyle w:val="Hyperlink"/>
            <w:vertAlign w:val="superscript"/>
          </w:rPr>
          <w:t xml:space="preserve">508</w:t>
        </w:r>
      </w:hyperlink>
      <w:r>
        <w:rPr>
          <w:vertAlign w:val="superscript"/>
        </w:rPr>
        <w:t xml:space="preserve">,</w:t>
      </w:r>
      <w:hyperlink w:anchor="ref-727">
        <w:r>
          <w:rPr>
            <w:rStyle w:val="Hyperlink"/>
            <w:vertAlign w:val="superscript"/>
          </w:rPr>
          <w:t xml:space="preserve">727</w:t>
        </w:r>
      </w:hyperlink>
      <w:r>
        <w:rPr>
          <w:vertAlign w:val="superscript"/>
        </w:rPr>
        <w:t xml:space="preserve">,</w:t>
      </w:r>
      <w:hyperlink w:anchor="ref-850">
        <w:r>
          <w:rPr>
            <w:rStyle w:val="Hyperlink"/>
            <w:vertAlign w:val="superscript"/>
          </w:rPr>
          <w:t xml:space="preserve">850</w:t>
        </w:r>
      </w:hyperlink>
      <w:r>
        <w:rPr>
          <w:vertAlign w:val="superscript"/>
        </w:rPr>
        <w:t xml:space="preserve">]</w:t>
      </w:r>
      <w:r>
        <w:t xml:space="preserve">。</w:t>
      </w:r>
    </w:p>
    <w:bookmarkEnd w:id="1614"/>
    <w:bookmarkEnd w:id="1615"/>
    <w:bookmarkStart w:id="1635" w:name="ch-96"/>
    <w:p>
      <w:pPr>
        <w:pStyle w:val="Heading2"/>
      </w:pPr>
      <w:r>
        <w:t xml:space="preserve">第96章　血清素、抑郁与抗抑郁药证据</w:t>
      </w:r>
    </w:p>
    <w:bookmarkStart w:id="1616" w:name="sec-96-1"/>
    <w:p>
      <w:pPr>
        <w:pStyle w:val="Heading3"/>
      </w:pPr>
      <w:r>
        <w:t xml:space="preserve">96.1　血清素在哪里、做什么</w:t>
      </w:r>
    </w:p>
    <w:p>
      <w:pPr>
        <w:pStyle w:val="FirstParagraph"/>
      </w:pPr>
      <w:r>
        <w:t xml:space="preserve">大脑中的血清素由脑干中缝核产生，投射到几乎整个大脑，参与情绪、睡眠、食欲、冲动控制和对负面信息的加工。“人体九成以上的血清素在肠道”是真的</w:t>
      </w:r>
      <w:r>
        <w:rPr>
          <w:vertAlign w:val="superscript"/>
        </w:rPr>
        <w:t xml:space="preserve">[</w:t>
      </w:r>
      <w:hyperlink w:anchor="ref-852">
        <w:r>
          <w:rPr>
            <w:rStyle w:val="Hyperlink"/>
            <w:vertAlign w:val="superscript"/>
          </w:rPr>
          <w:t xml:space="preserve">852</w:t>
        </w:r>
      </w:hyperlink>
      <w:r>
        <w:rPr>
          <w:vertAlign w:val="superscript"/>
        </w:rPr>
        <w:t xml:space="preserve">]</w:t>
      </w:r>
      <w:r>
        <w:t xml:space="preserve">，但肠道血清素主要调节肠道运动和血小板功能；外周血清素不能穿过血脑屏障，血液中的浓度无法直接补充中枢的血清素。肠道仍可能经由迷走神经、免疫信号和细菌代谢产物等途径间接影响大脑，这些途径各需要单独的证据。所以“肠道血清素多，吃对了就能让大脑快乐”这条推理不成立。饮食影响大脑血清素的已知途径主要是原料：色氨酸可以通过血脑屏障，在脑内合成血清素，进入大脑时还要与其他大中性氨基酸竞争同一种转运体。实验中短时间耗竭色氨酸，健康人的情绪通常不变，有抑郁家族史的人和未服药的抑郁缓解期患者情绪会有所下降</w:t>
      </w:r>
      <w:r>
        <w:rPr>
          <w:vertAlign w:val="superscript"/>
        </w:rPr>
        <w:t xml:space="preserve">[</w:t>
      </w:r>
      <w:hyperlink w:anchor="ref-853">
        <w:r>
          <w:rPr>
            <w:rStyle w:val="Hyperlink"/>
            <w:vertAlign w:val="superscript"/>
          </w:rPr>
          <w:t xml:space="preserve">853</w:t>
        </w:r>
      </w:hyperlink>
      <w:r>
        <w:rPr>
          <w:vertAlign w:val="superscript"/>
        </w:rPr>
        <w:t xml:space="preserve">]</w:t>
      </w:r>
      <w:r>
        <w:t xml:space="preserve">。这说明血清素系统与抑郁的易感性有关。单凭食物中的色氨酸含量或血液中的血清素，保证不了某种食物能稳定改善情绪；日常饮食的变化能否通过提高脑内血清素来改善情绪，也缺少直接的因果证据。整体饮食干预是另一个问题，需要看饮食试验本身：一项 67 名饮食习惯较差、正处于中重度抑郁发作的成人参加的 12 周随机试验中，接受 7 次营养师个别指导的一组，抑郁评分的改善明显多于接受同等次数社交支持的对照组</w:t>
      </w:r>
      <w:r>
        <w:rPr>
          <w:vertAlign w:val="superscript"/>
        </w:rPr>
        <w:t xml:space="preserve">[</w:t>
      </w:r>
      <w:hyperlink w:anchor="ref-854">
        <w:r>
          <w:rPr>
            <w:rStyle w:val="Hyperlink"/>
            <w:vertAlign w:val="superscript"/>
          </w:rPr>
          <w:t xml:space="preserve">854</w:t>
        </w:r>
      </w:hyperlink>
      <w:r>
        <w:rPr>
          <w:vertAlign w:val="superscript"/>
        </w:rPr>
        <w:t xml:space="preserve">]</w:t>
      </w:r>
      <w:r>
        <w:t xml:space="preserve">。这是一项小型试验，多数受试者同时在接受药物或心理治疗，完成全部随访的比例两组不同（约 94% 对 74%），饮食指导本身也包含行为支持；其他研究者指出，招募方式没有完整披露，受试者对饮食干预的期待和盲法失效也可能放大了效果</w:t>
      </w:r>
      <w:r>
        <w:rPr>
          <w:vertAlign w:val="superscript"/>
        </w:rPr>
        <w:t xml:space="preserve">[</w:t>
      </w:r>
      <w:hyperlink w:anchor="ref-855">
        <w:r>
          <w:rPr>
            <w:rStyle w:val="Hyperlink"/>
            <w:vertAlign w:val="superscript"/>
          </w:rPr>
          <w:t xml:space="preserve">855</w:t>
        </w:r>
      </w:hyperlink>
      <w:r>
        <w:rPr>
          <w:vertAlign w:val="superscript"/>
        </w:rPr>
        <w:t xml:space="preserve">]</w:t>
      </w:r>
      <w:r>
        <w:t xml:space="preserve">；作者作了回应，并发表更正，补充说明招募的最后一年用过一个网站</w:t>
      </w:r>
      <w:r>
        <w:rPr>
          <w:vertAlign w:val="superscript"/>
        </w:rPr>
        <w:t xml:space="preserve">[</w:t>
      </w:r>
      <w:hyperlink w:anchor="ref-856">
        <w:r>
          <w:rPr>
            <w:rStyle w:val="Hyperlink"/>
            <w:vertAlign w:val="superscript"/>
          </w:rPr>
          <w:t xml:space="preserve">856</w:t>
        </w:r>
      </w:hyperlink>
      <w:r>
        <w:rPr>
          <w:vertAlign w:val="superscript"/>
        </w:rPr>
        <w:t xml:space="preserve">]</w:t>
      </w:r>
      <w:r>
        <w:t xml:space="preserve">。结果不能归于某一种食物或血清素机制。</w:t>
      </w:r>
    </w:p>
    <w:p>
      <w:pPr>
        <w:pStyle w:val="BodyText"/>
      </w:pPr>
      <w:r>
        <w:t xml:space="preserve">“血清素低导致抑郁”这一说法也被重新审视。2022 年一项伞状综述汇总了多条证据线，结论是没有一致证据表明抑郁由血清素水平降低引起</w:t>
      </w:r>
      <w:r>
        <w:rPr>
          <w:vertAlign w:val="superscript"/>
        </w:rPr>
        <w:t xml:space="preserve">[</w:t>
      </w:r>
      <w:hyperlink w:anchor="ref-857">
        <w:r>
          <w:rPr>
            <w:rStyle w:val="Hyperlink"/>
            <w:vertAlign w:val="superscript"/>
          </w:rPr>
          <w:t xml:space="preserve">857</w:t>
        </w:r>
      </w:hyperlink>
      <w:r>
        <w:rPr>
          <w:vertAlign w:val="superscript"/>
        </w:rPr>
        <w:t xml:space="preserve">]</w:t>
      </w:r>
      <w:r>
        <w:t xml:space="preserve">。这篇综述引发了激烈争论，批评者认为它的方法和推论存在问题，证据仍然显示血清素系统与抑郁有关</w:t>
      </w:r>
      <w:r>
        <w:rPr>
          <w:vertAlign w:val="superscript"/>
        </w:rPr>
        <w:t xml:space="preserve">[</w:t>
      </w:r>
      <w:hyperlink w:anchor="ref-858">
        <w:r>
          <w:rPr>
            <w:rStyle w:val="Hyperlink"/>
            <w:vertAlign w:val="superscript"/>
          </w:rPr>
          <w:t xml:space="preserve">858</w:t>
        </w:r>
      </w:hyperlink>
      <w:r>
        <w:rPr>
          <w:vertAlign w:val="superscript"/>
        </w:rPr>
        <w:t xml:space="preserve">]</w:t>
      </w:r>
      <w:r>
        <w:t xml:space="preserve">；2023 年一项正电子发射断层扫描研究给受试者口服苯丙胺，测量由此诱发的血清素释放，发现 17 名未服用抗抑郁药的抑郁发作患者，脑内血清素的释放能力低于 20 名健康对照</w:t>
      </w:r>
      <w:r>
        <w:rPr>
          <w:vertAlign w:val="superscript"/>
        </w:rPr>
        <w:t xml:space="preserve">[</w:t>
      </w:r>
      <w:hyperlink w:anchor="ref-859">
        <w:r>
          <w:rPr>
            <w:rStyle w:val="Hyperlink"/>
            <w:vertAlign w:val="superscript"/>
          </w:rPr>
          <w:t xml:space="preserve">859</w:t>
        </w:r>
      </w:hyperlink>
      <w:r>
        <w:rPr>
          <w:vertAlign w:val="superscript"/>
        </w:rPr>
        <w:t xml:space="preserve">]</w:t>
      </w:r>
      <w:r>
        <w:t xml:space="preserve">。它测量药物诱发的释放能力。平时的血清素浓度，这项研究没有测量；患者平均约 44 岁，对照约 32 岁，两组都以男性为主。这类小样本的病例对照差异说明不了因果方向，也不能用来给个人测定“血清素不足”。抗抑郁药是否有效，又是另一个问题，药物的急性作用与几周后的疗效之间，还有多层适应过程。目前较为一致的看法是：“化学失衡”的单一解释过于简单，血清素是参与抑郁的众多调节因素之一。</w:t>
      </w:r>
    </w:p>
    <w:p>
      <w:pPr>
        <w:pStyle w:val="CalloutJudgment"/>
      </w:pPr>
      <w:r>
        <w:rPr>
          <w:bCs/>
          <w:b/>
        </w:rPr>
        <w:t xml:space="preserve">判断　</w:t>
      </w:r>
      <w:r>
        <w:t xml:space="preserve">“血清素是幸福激素”</w:t>
      </w:r>
      <w:r>
        <w:rPr>
          <w:bCs/>
          <w:b/>
        </w:rPr>
        <w:t xml:space="preserve">过度简化·高</w:t>
      </w:r>
      <w:r>
        <w:t xml:space="preserve">。</w:t>
      </w:r>
    </w:p>
    <w:bookmarkEnd w:id="1616"/>
    <w:bookmarkStart w:id="1617" w:name="sec-96-2"/>
    <w:p>
      <w:pPr>
        <w:pStyle w:val="Heading3"/>
      </w:pPr>
      <w:r>
        <w:t xml:space="preserve">96.2　三个问题应分别回答</w:t>
      </w:r>
    </w:p>
    <w:p>
      <w:pPr>
        <w:pStyle w:val="FirstParagraph"/>
      </w:pPr>
      <w:r>
        <w:t xml:space="preserve">抑郁是否普遍由血清素不足造成，药物怎样改变神经过程，以及药物是否改善临床结局，是三个独立但有关联的问题。统一缺乏模型缺少充分支持，置信度高；血清素系统可能参与部分相关机制，证据需要按具体研究解释；某些抗抑郁药在特定成人急性治疗试验中平均优于安慰剂，也有独立疗效证据</w:t>
      </w:r>
      <w:r>
        <w:rPr>
          <w:vertAlign w:val="superscript"/>
        </w:rPr>
        <w:t xml:space="preserve">[</w:t>
      </w:r>
      <w:hyperlink w:anchor="ref-857">
        <w:r>
          <w:rPr>
            <w:rStyle w:val="Hyperlink"/>
            <w:vertAlign w:val="superscript"/>
          </w:rPr>
          <w:t xml:space="preserve">857</w:t>
        </w:r>
      </w:hyperlink>
      <w:r>
        <w:rPr>
          <w:vertAlign w:val="superscript"/>
        </w:rPr>
        <w:t xml:space="preserve">,</w:t>
      </w:r>
      <w:hyperlink w:anchor="ref-860">
        <w:r>
          <w:rPr>
            <w:rStyle w:val="Hyperlink"/>
            <w:vertAlign w:val="superscript"/>
          </w:rPr>
          <w:t xml:space="preserve">860</w:t>
        </w:r>
      </w:hyperlink>
      <w:r>
        <w:rPr>
          <w:vertAlign w:val="superscript"/>
        </w:rPr>
        <w:t xml:space="preserve">,</w:t>
      </w:r>
      <w:hyperlink w:anchor="ref-861">
        <w:r>
          <w:rPr>
            <w:rStyle w:val="Hyperlink"/>
            <w:vertAlign w:val="superscript"/>
          </w:rPr>
          <w:t xml:space="preserve">861</w:t>
        </w:r>
      </w:hyperlink>
      <w:r>
        <w:rPr>
          <w:vertAlign w:val="superscript"/>
        </w:rPr>
        <w:t xml:space="preserve">]</w:t>
      </w:r>
      <w:r>
        <w:t xml:space="preserve">。</w:t>
      </w:r>
    </w:p>
    <w:p>
      <w:pPr>
        <w:pStyle w:val="BodyText"/>
      </w:pPr>
      <w:r>
        <w:t xml:space="preserve">抑郁诊断依据症状模式、持续时间、功能及病史，并需要考虑其他可能原因。不同人可以以不同症状组合达到诊断要求，在睡眠、食欲、焦虑、精神运动和认知等方面表现不同，同一人的表现也会随时间变化。这样的异质性意味着，一个统一分子缺口必须解释相当广的差异；寻找一个与所有病例完全同向的单一生物变量，本身就是很强的假设，不能只凭某药作用于该系统就获得确认。研究应明确是在解释某个症状、某种病程，还是整个诊断类别</w:t>
      </w:r>
      <w:r>
        <w:rPr>
          <w:vertAlign w:val="superscript"/>
        </w:rPr>
        <w:t xml:space="preserve">[</w:t>
      </w:r>
      <w:hyperlink w:anchor="ref-862">
        <w:r>
          <w:rPr>
            <w:rStyle w:val="Hyperlink"/>
            <w:vertAlign w:val="superscript"/>
          </w:rPr>
          <w:t xml:space="preserve">862</w:t>
        </w:r>
      </w:hyperlink>
      <w:r>
        <w:rPr>
          <w:vertAlign w:val="superscript"/>
        </w:rPr>
        <w:t xml:space="preserve">]</w:t>
      </w:r>
      <w:r>
        <w:t xml:space="preserve">。</w:t>
      </w:r>
    </w:p>
    <w:p>
      <w:pPr>
        <w:pStyle w:val="BodyText"/>
      </w:pPr>
      <w:r>
        <w:t xml:space="preserve">“血清素不足”也缺少天然统一的测量含义。它可以指合成、释放、代谢产物、受体反应或某区域的信号能力。不同指标可能呈现不同方向。若理论允许任何方向变化都被重新定义成不足，就很难被证伪。</w:t>
      </w:r>
    </w:p>
    <w:bookmarkEnd w:id="1617"/>
    <w:bookmarkStart w:id="1618" w:name="sec-96-3"/>
    <w:p>
      <w:pPr>
        <w:pStyle w:val="Heading3"/>
      </w:pPr>
      <w:r>
        <w:t xml:space="preserve">96.3　外周指标与中枢过程</w:t>
      </w:r>
    </w:p>
    <w:p>
      <w:pPr>
        <w:pStyle w:val="FirstParagraph"/>
      </w:pPr>
      <w:r>
        <w:t xml:space="preserve">血清素在外周和中枢有不同的生理分布和作用，受体、投射和局部环境不同，作用也不同。外周来源与中枢来源、总含量与突触信号、即时变化与长期适应，需要分别测量。血液中的测量受到血小板、肠道、饮食和药物等因素影响，不能直接代表所有脑区的突触信号。一个外周指标与症状相关，并不能自动成为脑内血清素不足的证据，也需要独立证明它对具体诊断或治疗选择具有价值；一个中枢相关指标的组平均差异，也不足以诊断所有个体</w:t>
      </w:r>
      <w:r>
        <w:rPr>
          <w:vertAlign w:val="superscript"/>
        </w:rPr>
        <w:t xml:space="preserve">[</w:t>
      </w:r>
      <w:hyperlink w:anchor="ref-843">
        <w:r>
          <w:rPr>
            <w:rStyle w:val="Hyperlink"/>
            <w:vertAlign w:val="superscript"/>
          </w:rPr>
          <w:t xml:space="preserve">843</w:t>
        </w:r>
      </w:hyperlink>
      <w:r>
        <w:rPr>
          <w:vertAlign w:val="superscript"/>
        </w:rPr>
        <w:t xml:space="preserve">]</w:t>
      </w:r>
      <w:r>
        <w:t xml:space="preserve">。</w:t>
      </w:r>
    </w:p>
    <w:p>
      <w:pPr>
        <w:pStyle w:val="BodyText"/>
      </w:pPr>
      <w:r>
        <w:t xml:space="preserve">脑内测量同样具有间接性。PET受体结合指标受到受体密度、亲和状态、内源性竞争和模型假设等因素影响。某区域结合变化不能被自动读成释放不足。解释需要结合示踪剂特性、用药史和研究设计，避免用一种测量代替整个系统。</w:t>
      </w:r>
    </w:p>
    <w:bookmarkEnd w:id="1618"/>
    <w:bookmarkStart w:id="1619" w:name="sec-96-4"/>
    <w:p>
      <w:pPr>
        <w:pStyle w:val="Heading3"/>
      </w:pPr>
      <w:r>
        <w:t xml:space="preserve">96.4　耗竭实验的推理边界</w:t>
      </w:r>
    </w:p>
    <w:p>
      <w:pPr>
        <w:pStyle w:val="FirstParagraph"/>
      </w:pPr>
      <w:r>
        <w:t xml:space="preserve">急性色氨酸耗竭通过改变前体供应条件影响血清素合成相关过程。研究中的情绪反应依参与者既往抑郁、易感性和恢复状态而变化，健康者并不普遍出现相同的抑郁表现。这支持背景条件的重要性，也限制一个人人相同的简单阈值模型</w:t>
      </w:r>
      <w:r>
        <w:rPr>
          <w:vertAlign w:val="superscript"/>
        </w:rPr>
        <w:t xml:space="preserve">[</w:t>
      </w:r>
      <w:hyperlink w:anchor="ref-857">
        <w:r>
          <w:rPr>
            <w:rStyle w:val="Hyperlink"/>
            <w:vertAlign w:val="superscript"/>
          </w:rPr>
          <w:t xml:space="preserve">857</w:t>
        </w:r>
      </w:hyperlink>
      <w:r>
        <w:rPr>
          <w:vertAlign w:val="superscript"/>
        </w:rPr>
        <w:t xml:space="preserve">,</w:t>
      </w:r>
      <w:hyperlink w:anchor="ref-860">
        <w:r>
          <w:rPr>
            <w:rStyle w:val="Hyperlink"/>
            <w:vertAlign w:val="superscript"/>
          </w:rPr>
          <w:t xml:space="preserve">860</w:t>
        </w:r>
      </w:hyperlink>
      <w:r>
        <w:rPr>
          <w:vertAlign w:val="superscript"/>
        </w:rPr>
        <w:t xml:space="preserve">]</w:t>
      </w:r>
      <w:r>
        <w:t xml:space="preserve">。</w:t>
      </w:r>
    </w:p>
    <w:p>
      <w:pPr>
        <w:pStyle w:val="BodyText"/>
      </w:pPr>
      <w:r>
        <w:t xml:space="preserve">短时实验操纵与长期疾病形成并不相同。操纵某过程能够改变症状，说明该过程具有因果参与的可能；它不能唯一决定疾病最初如何产生。反过来，一种短时操纵没有在健康人中复制完整疾病，也不能证明相关系统完全无关，因为长期适应和易感背景可能不同。</w:t>
      </w:r>
    </w:p>
    <w:p>
      <w:pPr>
        <w:pStyle w:val="BodyText"/>
      </w:pPr>
      <w:r>
        <w:t xml:space="preserve">更强的病因证据需要时间顺序和特异预测。某指标在发病前是否变化，是否独立预测风险，是否解释相当比例个体差异，针对性改变是否按模型预期影响结局。复杂疾病未必具有单一生物标志物，但简单缺乏宣传应承担相应的强证据要求。</w:t>
      </w:r>
    </w:p>
    <w:bookmarkEnd w:id="1619"/>
    <w:bookmarkStart w:id="1620" w:name="sec-96-5"/>
    <w:p>
      <w:pPr>
        <w:pStyle w:val="Heading3"/>
      </w:pPr>
      <w:r>
        <w:t xml:space="preserve">96.5　总体综述之间的分歧如何阅读</w:t>
      </w:r>
    </w:p>
    <w:p>
      <w:pPr>
        <w:pStyle w:val="FirstParagraph"/>
      </w:pPr>
      <w:hyperlink w:anchor="sec-96-1">
        <w:r>
          <w:rPr>
            <w:rStyle w:val="Hyperlink"/>
          </w:rPr>
          <w:t xml:space="preserve">96.1 节</w:t>
        </w:r>
      </w:hyperlink>
      <w:r>
        <w:t xml:space="preserve">提到的Moncrieff及同事2022年在线发表的伞状综述，整合既有系统综述、元分析和大型数据研究，涵盖体液中的血清素及其代谢物、受体与转运体测量、色氨酸耗竭以及转运体基因关联等领域，反对简单低血清素病因说。其纳入领域、重叠研究、既往用药的影响与指标解释成为争论焦点。Jauhar及同事则强调药理、影像和系统层面的证据，支持继续研究血清素相关机制。两种论证不能通过作者人数或语气强弱裁决，应回到各自的研究问题、具体方法、混杂和推断范围</w:t>
      </w:r>
      <w:r>
        <w:rPr>
          <w:vertAlign w:val="superscript"/>
        </w:rPr>
        <w:t xml:space="preserve">[</w:t>
      </w:r>
      <w:hyperlink w:anchor="ref-857">
        <w:r>
          <w:rPr>
            <w:rStyle w:val="Hyperlink"/>
            <w:vertAlign w:val="superscript"/>
          </w:rPr>
          <w:t xml:space="preserve">857</w:t>
        </w:r>
      </w:hyperlink>
      <w:r>
        <w:rPr>
          <w:vertAlign w:val="superscript"/>
        </w:rPr>
        <w:t xml:space="preserve">,</w:t>
      </w:r>
      <w:hyperlink w:anchor="ref-860">
        <w:r>
          <w:rPr>
            <w:rStyle w:val="Hyperlink"/>
            <w:vertAlign w:val="superscript"/>
          </w:rPr>
          <w:t xml:space="preserve">860</w:t>
        </w:r>
      </w:hyperlink>
      <w:r>
        <w:rPr>
          <w:vertAlign w:val="superscript"/>
        </w:rPr>
        <w:t xml:space="preserve">]</w:t>
      </w:r>
      <w:r>
        <w:t xml:space="preserve">。</w:t>
      </w:r>
    </w:p>
    <w:p>
      <w:pPr>
        <w:pStyle w:val="BodyText"/>
      </w:pPr>
      <w:r>
        <w:t xml:space="preserve">利益关系也需要对称检查。相关论文披露了药企咨询或会议支持、药物主题书籍版税、批判精神病学组织角色及停药服务商业关联等不同关系。披露不自动使结果失效，也不能被忽略。它提示读者进一步检查研究选择、预设分析、结局报告和独立重复，避免把任何一方当成没有立场的最终裁判</w:t>
      </w:r>
      <w:r>
        <w:rPr>
          <w:vertAlign w:val="superscript"/>
        </w:rPr>
        <w:t xml:space="preserve">[</w:t>
      </w:r>
      <w:hyperlink w:anchor="ref-857">
        <w:r>
          <w:rPr>
            <w:rStyle w:val="Hyperlink"/>
            <w:vertAlign w:val="superscript"/>
          </w:rPr>
          <w:t xml:space="preserve">857</w:t>
        </w:r>
      </w:hyperlink>
      <w:r>
        <w:rPr>
          <w:vertAlign w:val="superscript"/>
        </w:rPr>
        <w:t xml:space="preserve">,</w:t>
      </w:r>
      <w:hyperlink w:anchor="ref-860">
        <w:r>
          <w:rPr>
            <w:rStyle w:val="Hyperlink"/>
            <w:vertAlign w:val="superscript"/>
          </w:rPr>
          <w:t xml:space="preserve">860</w:t>
        </w:r>
      </w:hyperlink>
      <w:r>
        <w:rPr>
          <w:vertAlign w:val="superscript"/>
        </w:rPr>
        <w:t xml:space="preserve">]</w:t>
      </w:r>
      <w:r>
        <w:t xml:space="preserve">。</w:t>
      </w:r>
    </w:p>
    <w:p>
      <w:pPr>
        <w:pStyle w:val="BodyText"/>
      </w:pPr>
      <w:r>
        <w:t xml:space="preserve">科学上较稳妥的共同约束是：不能把抑郁普遍还原为已被证实的单一缺口，也不能由此宣布全部递质研究或全部药物疗效无效。病因模型和治疗效果必须各自接受证据评价。</w:t>
      </w:r>
    </w:p>
    <w:bookmarkEnd w:id="1620"/>
    <w:bookmarkStart w:id="1621" w:name="sec-96-6"/>
    <w:p>
      <w:pPr>
        <w:pStyle w:val="Heading3"/>
      </w:pPr>
      <w:r>
        <w:t xml:space="preserve">96.6　随机试验能回答什么</w:t>
      </w:r>
    </w:p>
    <w:p>
      <w:pPr>
        <w:pStyle w:val="FirstParagraph"/>
      </w:pPr>
      <w:r>
        <w:t xml:space="preserve">Cipriani及同事的网络元分析纳入522项双盲随机试验、116477名成人，比较21种药物及安慰剂，主要聚焦急性治疗中的反应和可接受性。分析支持平均疗效差异，同时不同比较的证据确定性和偏倚风险不相同。它没有在治疗前测得每个人共同的血清素缺乏，也不能保证每个人受益</w:t>
      </w:r>
      <w:r>
        <w:rPr>
          <w:vertAlign w:val="superscript"/>
        </w:rPr>
        <w:t xml:space="preserve">[</w:t>
      </w:r>
      <w:hyperlink w:anchor="ref-861">
        <w:r>
          <w:rPr>
            <w:rStyle w:val="Hyperlink"/>
            <w:vertAlign w:val="superscript"/>
          </w:rPr>
          <w:t xml:space="preserve">861</w:t>
        </w:r>
      </w:hyperlink>
      <w:r>
        <w:rPr>
          <w:vertAlign w:val="superscript"/>
        </w:rPr>
        <w:t xml:space="preserve">]</w:t>
      </w:r>
      <w:r>
        <w:t xml:space="preserve">。</w:t>
      </w:r>
    </w:p>
    <w:bookmarkEnd w:id="1621"/>
    <w:bookmarkStart w:id="1622" w:name="sec-96-7"/>
    <w:p>
      <w:pPr>
        <w:pStyle w:val="Heading3"/>
      </w:pPr>
      <w:r>
        <w:t xml:space="preserve">96.7　偏倚与个体选择</w:t>
      </w:r>
    </w:p>
    <w:p>
      <w:pPr>
        <w:pStyle w:val="FirstParagraph"/>
      </w:pPr>
      <w:r>
        <w:t xml:space="preserve">抑郁试验可能受到选择性发表、失访、研究人群限制、盲法破坏和结局选择影响。副作用使参与者猜到分组时，期待可能改变主观评分。元分析可以整合证据并检查部分问题，但无法凭规模完全修复所有原始研究局限。</w:t>
      </w:r>
    </w:p>
    <w:p>
      <w:pPr>
        <w:pStyle w:val="BodyText"/>
      </w:pPr>
      <w:r>
        <w:t xml:space="preserve">个体选择还需要考虑药物的平均获益、可接受性、不良反应、既往反应、共病、风险、偏好和可获得支持。平均有效不能保证某个人有效，平均效应有限也不能证明某个人不可能明显受益；某人对一种药无效不证明所有药物无效，另一人明显获益也不证明所有人都需要同样治疗。临床决策需要跟踪实际变化和不良反应，本书无法替代个体评估，也应避免让读者由宏观争论跳到自行停药或改药。</w:t>
      </w:r>
    </w:p>
    <w:bookmarkEnd w:id="1622"/>
    <w:bookmarkStart w:id="1623" w:name="sec-96-8"/>
    <w:p>
      <w:pPr>
        <w:pStyle w:val="Heading3"/>
      </w:pPr>
      <w:r>
        <w:t xml:space="preserve">96.8　停药方式与撤药症状</w:t>
      </w:r>
    </w:p>
    <w:p>
      <w:pPr>
        <w:pStyle w:val="FirstParagraph"/>
      </w:pPr>
      <w:r>
        <w:t xml:space="preserve">突然停止、漏服或快速减量可能出现撤药症状，表现和持续时间存在差异。NICE建议与开药者协商分阶段减量，并监测撤药反应和抑郁症状返回。这里的要点是需要个体化评估与支持，本章不提供适用于所有药物和所有人的减量表</w:t>
      </w:r>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bookmarkEnd w:id="1623"/>
    <w:bookmarkStart w:id="1624" w:name="sec-96-9"/>
    <w:p>
      <w:pPr>
        <w:pStyle w:val="Heading3"/>
      </w:pPr>
      <w:r>
        <w:t xml:space="preserve">96.9　疾病构念和单一生物变量之间的距离</w:t>
      </w:r>
    </w:p>
    <w:p>
      <w:pPr>
        <w:pStyle w:val="FirstParagraph"/>
      </w:pPr>
      <w:r>
        <w:t xml:space="preserve">疾病异质性还会影响研究结果。若某个机制只参与一个亚群，把所有患者合并可能稀释效应；但事后不断划分亚群也会制造偶然发现。可信亚群需要可重复的定义、独立验证和对临床结局的增量解释。仅依据一次影像或单个量表聚类，就声称发现确定的生物亚型，证据通常不足。</w:t>
      </w:r>
    </w:p>
    <w:bookmarkEnd w:id="1624"/>
    <w:bookmarkStart w:id="1625" w:name="sec-96-10"/>
    <w:p>
      <w:pPr>
        <w:pStyle w:val="Heading3"/>
      </w:pPr>
      <w:r>
        <w:t xml:space="preserve">96.10　量表分数怎样转化为临床意义</w:t>
      </w:r>
    </w:p>
    <w:p>
      <w:pPr>
        <w:pStyle w:val="FirstParagraph"/>
      </w:pPr>
      <w:r>
        <w:t xml:space="preserve">随机试验可以比较两组平均症状变化，也可以比较达到预定改善比例的人数。平均差异、响应率和缓解率各有用途。二分类阈值便于沟通，却会使接近阈值的两个人被分到不同类别；连续分数保留更多信息，但平均值可能掩盖个体差异。</w:t>
      </w:r>
    </w:p>
    <w:p>
      <w:pPr>
        <w:pStyle w:val="BodyText"/>
      </w:pPr>
      <w:r>
        <w:t xml:space="preserve">临床意义还包括功能、生活质量和不良反应。一个人的量表分数改善，可能仍有明显残留症状；另一个人症状变化不大，却恢复了部分工作或社交功能。试验应尽量报告多个重要维度，同时防止只选择显著结局宣传。患者重视的结果需要在研究设计阶段被明确。</w:t>
      </w:r>
    </w:p>
    <w:p>
      <w:pPr>
        <w:pStyle w:val="BodyText"/>
      </w:pPr>
      <w:r>
        <w:t xml:space="preserve">效应量的解释需要基线风险。相同相对风险，在不同对照事件率下对应不同绝对获益。治疗所需人数也依赖随访时间、结局定义和人群，不能视为一种药物永恒不变的属性。若研究只提供比值比，还需要适当换算和基线信息，才能讨论绝对差异；比值比也不等同于风险比。</w:t>
      </w:r>
    </w:p>
    <w:bookmarkEnd w:id="1625"/>
    <w:bookmarkStart w:id="1626" w:name="sec-96-11"/>
    <w:p>
      <w:pPr>
        <w:pStyle w:val="Heading3"/>
      </w:pPr>
      <w:r>
        <w:t xml:space="preserve">96.11　安慰剂组改善包含多种来源</w:t>
      </w:r>
    </w:p>
    <w:p>
      <w:pPr>
        <w:pStyle w:val="FirstParagraph"/>
      </w:pPr>
      <w:r>
        <w:t xml:space="preserve">安慰剂组中的改善可以来自自然病程、回归均值、期待、临床接触、同时采取的行为变化和测量波动，药物组的总改善同样包含这些成分。安慰剂组的改善不能被解释成全部由想象产生。药物组与安慰剂组的差异，回答的是在特定试验条件下分配药物所增加的平均效果，不能把药物组全部变化都归因于药物分子。与此同时，存在安慰剂反应并不会自动消除组间差异。</w:t>
      </w:r>
    </w:p>
    <w:p>
      <w:pPr>
        <w:pStyle w:val="BodyText"/>
      </w:pPr>
      <w:r>
        <w:t xml:space="preserve">盲法质量可能影响估计。某些不良反应使参与者猜到分组，期待随之改变。研究可以询问分组猜测并分析相关资料，但猜测也可能受到疗效影响，所以简单统计调整未必解决问题。采用适当对照、标准化接触、盲法结局评估和完整报告，能够减少部分偏倚。</w:t>
      </w:r>
    </w:p>
    <w:p>
      <w:pPr>
        <w:pStyle w:val="BodyText"/>
      </w:pPr>
      <w:r>
        <w:t xml:space="preserve">招募标准同样影响外推。临床试验常排除某些共同疾病、高风险情况或复杂用药者，得到的结果应结合实际就诊人群评价。多中心试验和务实研究可以扩充适用性，但仍需要检查失访、依从性和治疗切换。没有一种设计能够单独回答所有疗效与安全性问题。</w:t>
      </w:r>
    </w:p>
    <w:bookmarkEnd w:id="1626"/>
    <w:bookmarkStart w:id="1627" w:name="sec-96-12"/>
    <w:p>
      <w:pPr>
        <w:pStyle w:val="Heading3"/>
      </w:pPr>
      <w:r>
        <w:t xml:space="preserve">96.12　急性治疗和维持治疗回答不同问题</w:t>
      </w:r>
    </w:p>
    <w:p>
      <w:pPr>
        <w:pStyle w:val="FirstParagraph"/>
      </w:pPr>
      <w:r>
        <w:t xml:space="preserve">急性期试验主要关注当前发作中的症状改善。维持研究关注缓解后继续治疗是否降低再次发作或复发风险。两类研究的入组人群、时间范围和比较条件不同，不能把急性期平均获益直接当作长期继续治疗的完整依据</w:t>
      </w:r>
      <w:r>
        <w:rPr>
          <w:vertAlign w:val="superscript"/>
        </w:rPr>
        <w:t xml:space="preserve">[</w:t>
      </w:r>
      <w:hyperlink w:anchor="ref-84">
        <w:r>
          <w:rPr>
            <w:rStyle w:val="Hyperlink"/>
            <w:vertAlign w:val="superscript"/>
          </w:rPr>
          <w:t xml:space="preserve">84</w:t>
        </w:r>
      </w:hyperlink>
      <w:r>
        <w:rPr>
          <w:vertAlign w:val="superscript"/>
        </w:rPr>
        <w:t xml:space="preserve">,</w:t>
      </w:r>
      <w:hyperlink w:anchor="ref-861">
        <w:r>
          <w:rPr>
            <w:rStyle w:val="Hyperlink"/>
            <w:vertAlign w:val="superscript"/>
          </w:rPr>
          <w:t xml:space="preserve">861</w:t>
        </w:r>
      </w:hyperlink>
      <w:r>
        <w:rPr>
          <w:vertAlign w:val="superscript"/>
        </w:rPr>
        <w:t xml:space="preserve">]</w:t>
      </w:r>
      <w:r>
        <w:t xml:space="preserve">。</w:t>
      </w:r>
    </w:p>
    <w:p>
      <w:pPr>
        <w:pStyle w:val="BodyText"/>
      </w:pPr>
      <w:r>
        <w:t xml:space="preserve">Lewis及同事的ANTLER试验纳入478名基层医疗患者，比较继续既有药物与逐步停用。52周内报告的复发比例分别为39%和56%，停用组同时报告更多撤药相关症状。结果支持在该入组人群与该减停方案下，继续治疗降低了观察期内的复发风险；它没有决定每位患者最佳治疗年限</w:t>
      </w:r>
      <w:r>
        <w:rPr>
          <w:vertAlign w:val="superscript"/>
        </w:rPr>
        <w:t xml:space="preserve">[</w:t>
      </w:r>
      <w:hyperlink w:anchor="ref-84">
        <w:r>
          <w:rPr>
            <w:rStyle w:val="Hyperlink"/>
            <w:vertAlign w:val="superscript"/>
          </w:rPr>
          <w:t xml:space="preserve">84</w:t>
        </w:r>
      </w:hyperlink>
      <w:r>
        <w:rPr>
          <w:vertAlign w:val="superscript"/>
        </w:rPr>
        <w:t xml:space="preserve">]</w:t>
      </w:r>
      <w:r>
        <w:t xml:space="preserve">。</w:t>
      </w:r>
    </w:p>
    <w:p>
      <w:pPr>
        <w:pStyle w:val="BodyText"/>
      </w:pPr>
      <w:r>
        <w:t xml:space="preserve">这个例子还说明时间到事件分析与累计比例的区别。ANTLER同时报告了复发的危险比，约为2.06。危险比描述一定模型下的瞬时风险关系，累计比例描述到某时间点已经发生事件者所占的比例。二者不能互换。解释研究时应保留原始结局与时间窗口，也应注意治疗交叉和依从性对估计目标的影响。</w:t>
      </w:r>
    </w:p>
    <w:bookmarkEnd w:id="1627"/>
    <w:bookmarkStart w:id="1628" w:name="sec-96-13"/>
    <w:p>
      <w:pPr>
        <w:pStyle w:val="Heading3"/>
      </w:pPr>
      <w:r>
        <w:t xml:space="preserve">96.13　撤药反应与病情复发需要多维判断</w:t>
      </w:r>
    </w:p>
    <w:p>
      <w:pPr>
        <w:pStyle w:val="FirstParagraph"/>
      </w:pPr>
      <w:r>
        <w:t xml:space="preserve">减量后出现不适，可能涉及撤药反应、原有疾病复发、其他疾病或生活事件。判断需要考虑出现时间、症状性质、既往发作模式、药物半衰期和减量过程。某些症状与原病相似，另一些可能具有不同特点；单靠一个时间界限无法可靠区分所有情况</w:t>
      </w:r>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p>
      <w:pPr>
        <w:pStyle w:val="BodyText"/>
      </w:pPr>
      <w:r>
        <w:t xml:space="preserve">研究设计应预先规定撤药和复发的测量方法，尽量记录症状发生的时间序列。若只使用一个总量表，部分撤药症状可能被归入复发；如果把停药后所有症状都归为撤药，也可能漏掉真实病情恶化。两种过度归因都会影响风险估计，需要更细致的临床评估与随访。</w:t>
      </w:r>
    </w:p>
    <w:p>
      <w:pPr>
        <w:pStyle w:val="BodyText"/>
      </w:pPr>
      <w:r>
        <w:t xml:space="preserve">减停药策略是可以研究的干预。速度、剂型、随访支持和心理治疗会改变过程，因此某一种方案的结果不能自动适用于所有方案。本书解释这些差异，不提供脱离个人病程的统一减药日程。出现明显症状时需要与处方医生共同评估，个体化方案依据临床情况调整。</w:t>
      </w:r>
    </w:p>
    <w:bookmarkEnd w:id="1628"/>
    <w:bookmarkStart w:id="1629" w:name="sec-96-14"/>
    <w:p>
      <w:pPr>
        <w:pStyle w:val="Heading3"/>
      </w:pPr>
      <w:r>
        <w:t xml:space="preserve">96.14　近期证据怎样改变停药研究的解释</w:t>
      </w:r>
    </w:p>
    <w:p>
      <w:pPr>
        <w:pStyle w:val="FirstParagraph"/>
      </w:pPr>
      <w:r>
        <w:t xml:space="preserve">Zaccoletti及同事2026年的系统综述与网络元分析纳入76项随机试验、17379名参与者，比较多种减停与继续治疗策略。综合结果支持在缓解抑郁人群中认真考虑缓慢减量联合结构化心理支持，并提示突然或快速停药的结局较差。焦虑相关证据更有限</w:t>
      </w:r>
      <w:r>
        <w:rPr>
          <w:vertAlign w:val="superscript"/>
        </w:rPr>
        <w:t xml:space="preserve">[</w:t>
      </w:r>
      <w:hyperlink w:anchor="ref-85">
        <w:r>
          <w:rPr>
            <w:rStyle w:val="Hyperlink"/>
            <w:vertAlign w:val="superscript"/>
          </w:rPr>
          <w:t xml:space="preserve">85</w:t>
        </w:r>
      </w:hyperlink>
      <w:r>
        <w:rPr>
          <w:vertAlign w:val="superscript"/>
        </w:rPr>
        <w:t xml:space="preserve">]</w:t>
      </w:r>
      <w:r>
        <w:t xml:space="preserve">。</w:t>
      </w:r>
    </w:p>
    <w:p>
      <w:pPr>
        <w:pStyle w:val="BodyText"/>
      </w:pPr>
      <w:r>
        <w:t xml:space="preserve">网络元分析把直接比较与间接比较结合起来，依赖不同试验之间在关键效应修饰因素上具有可比性。入组病程、既往发作、支持强度和减药程序若系统不同，就可能影响这种可比性。文献把缓慢减量定义为某个时间范围，也不代表该范围对每个人都充分或最佳。</w:t>
      </w:r>
    </w:p>
    <w:p>
      <w:pPr>
        <w:pStyle w:val="BodyText"/>
      </w:pPr>
      <w:r>
        <w:t xml:space="preserve">没有发现两种策略存在显著差异，并不自动证明它们在预定临床界限内等效。判断等效需要检查置信区间、预设边界和研究设计。面对作者较强的解释性措辞，本书保留结果的适用范围与不确定性。新的综合证据可以修正过于单一的长期用药叙述，同时不能直接替代个人风险与偏好的讨论。</w:t>
      </w:r>
    </w:p>
    <w:bookmarkEnd w:id="1629"/>
    <w:bookmarkStart w:id="1630" w:name="sec-96-15"/>
    <w:p>
      <w:pPr>
        <w:pStyle w:val="Heading3"/>
      </w:pPr>
      <w:r>
        <w:t xml:space="preserve">96.15　机制证据与疗效证据如何共同推进</w:t>
      </w:r>
    </w:p>
    <w:p>
      <w:pPr>
        <w:pStyle w:val="FirstParagraph"/>
      </w:pPr>
      <w:r>
        <w:t xml:space="preserve">机制研究可以检验药物如何改变受体、情绪加工、学习或可塑性，再研究这些变化是否与临床改善具有因果联系。临床试验则检验患者实际获益与风险。两条证据链相互约束：机制模型若不能解释临床异质性，需要修正；临床平均疗效若明确存在，也要求机制研究解释其实现方式。</w:t>
      </w:r>
    </w:p>
    <w:p>
      <w:pPr>
        <w:pStyle w:val="BodyText"/>
      </w:pPr>
      <w:r>
        <w:t xml:space="preserve">高置信结论是抑郁具有多因素与异质性，简单的单一递质缺乏说缺乏足够解释力，同时已有随机试验支持部分治疗在规定条件下的平均获益。关于谁会从哪种治疗获得最大净获益，仍有重要未知。本书把这两类判断同时保留，帮助读者理解证据层次与临床决策的复杂性。</w:t>
      </w:r>
    </w:p>
    <w:bookmarkEnd w:id="1630"/>
    <w:bookmarkStart w:id="1631" w:name="sec-96-16"/>
    <w:p>
      <w:pPr>
        <w:pStyle w:val="Heading3"/>
      </w:pPr>
      <w:r>
        <w:t xml:space="preserve">96.16　自身受体与目标细胞受体具有不同回路位置</w:t>
      </w:r>
    </w:p>
    <w:p>
      <w:pPr>
        <w:pStyle w:val="FirstParagraph"/>
      </w:pPr>
      <w:r>
        <w:t xml:space="preserve">血清素神经元上的自身受体可以反馈调节其活动，其他神经元上的受体则把血清素信号转换为局部电流和细胞内变化。即使受体名称相同，所在细胞与连接位置不同，也可能产生不同净效应。小鼠对中缝核5-HT1A自身受体水平的操纵，能够改变放电和部分压力及药物相关行为，这支持受体位置的重要性</w:t>
      </w:r>
      <w:r>
        <w:rPr>
          <w:vertAlign w:val="superscript"/>
        </w:rPr>
        <w:t xml:space="preserve">[</w:t>
      </w:r>
      <w:hyperlink w:anchor="ref-864">
        <w:r>
          <w:rPr>
            <w:rStyle w:val="Hyperlink"/>
            <w:vertAlign w:val="superscript"/>
          </w:rPr>
          <w:t xml:space="preserve">864</w:t>
        </w:r>
      </w:hyperlink>
      <w:r>
        <w:rPr>
          <w:vertAlign w:val="superscript"/>
        </w:rPr>
        <w:t xml:space="preserve">]</w:t>
      </w:r>
      <w:r>
        <w:t xml:space="preserve">。</w:t>
      </w:r>
    </w:p>
    <w:p>
      <w:pPr>
        <w:pStyle w:val="BodyText"/>
      </w:pPr>
      <w:r>
        <w:t xml:space="preserve">该研究的动物行为不能直接等同于人类抑郁发作，也不能据此把某个人的症状归因于受体过多。临床症状涉及多种生理和生活条件。基础实验给出的机制关系需要通过人类适当测量、干预和临床结局逐步验证，才能成为可用于个体治疗的指标。</w:t>
      </w:r>
    </w:p>
    <w:bookmarkEnd w:id="1631"/>
    <w:bookmarkStart w:id="1632" w:name="sec-96-17"/>
    <w:p>
      <w:pPr>
        <w:pStyle w:val="Heading3"/>
      </w:pPr>
      <w:r>
        <w:t xml:space="preserve">96.17　靶点作用发生与症状改善发生可以错开</w:t>
      </w:r>
    </w:p>
    <w:p>
      <w:pPr>
        <w:pStyle w:val="FirstParagraph"/>
      </w:pPr>
      <w:r>
        <w:t xml:space="preserve">药物进入体内后可以较早影响转运体或受体，后续细胞适应、网络活动、睡眠、情绪加工和日常行为却可能在不同时间变化。观察到疗效具有时间过程，不足以确定其中唯一的中介机制。多个候选解释可以同时合理，仍需通过时间上有序的证据加以区分</w:t>
      </w:r>
      <w:r>
        <w:rPr>
          <w:vertAlign w:val="superscript"/>
        </w:rPr>
        <w:t xml:space="preserve">[</w:t>
      </w:r>
      <w:hyperlink w:anchor="ref-68">
        <w:r>
          <w:rPr>
            <w:rStyle w:val="Hyperlink"/>
            <w:vertAlign w:val="superscript"/>
          </w:rPr>
          <w:t xml:space="preserve">68</w:t>
        </w:r>
      </w:hyperlink>
      <w:r>
        <w:rPr>
          <w:vertAlign w:val="superscript"/>
        </w:rPr>
        <w:t xml:space="preserve">,</w:t>
      </w:r>
      <w:hyperlink w:anchor="ref-71">
        <w:r>
          <w:rPr>
            <w:rStyle w:val="Hyperlink"/>
            <w:vertAlign w:val="superscript"/>
          </w:rPr>
          <w:t xml:space="preserve">71</w:t>
        </w:r>
      </w:hyperlink>
      <w:r>
        <w:rPr>
          <w:vertAlign w:val="superscript"/>
        </w:rPr>
        <w:t xml:space="preserve">]</w:t>
      </w:r>
      <w:r>
        <w:t xml:space="preserve">。</w:t>
      </w:r>
    </w:p>
    <w:p>
      <w:pPr>
        <w:pStyle w:val="BodyText"/>
      </w:pPr>
      <w:r>
        <w:t xml:space="preserve">可以用一个原创的多层推演说明。第一层是药物在靶点的占有，第二层是局部递质与受体响应，第三层是回路对事件的加工，第四层是人在环境中的活动和反馈。前一层改变可以很快，后一层需要遇到相关情景才有机会表现。即使两个人具有相近暴露，他们的睡眠、负担和社会反馈不同，也可能形成不同症状轨迹。</w:t>
      </w:r>
    </w:p>
    <w:p>
      <w:pPr>
        <w:pStyle w:val="BodyText"/>
      </w:pPr>
      <w:r>
        <w:t xml:space="preserve">这个推演不能被当成已经证实的统一抗抑郁机制。其作用是说明药效与病因的逻辑关系：某干预能够改善症状，可以证明该干预在相应条件下有用，不能单独证明疾病最初由该靶点的单向缺陷造成。多种疾病都可能通过改变下游环节得到缓解，这一因果结构并不特殊。</w:t>
      </w:r>
    </w:p>
    <w:bookmarkEnd w:id="1632"/>
    <w:bookmarkStart w:id="1633" w:name="sec-96-18"/>
    <w:p>
      <w:pPr>
        <w:pStyle w:val="Heading3"/>
      </w:pPr>
      <w:r>
        <w:t xml:space="preserve">96.18　多种改善成分需要共同进入临床解释</w:t>
      </w:r>
    </w:p>
    <w:p>
      <w:pPr>
        <w:pStyle w:val="FirstParagraph"/>
      </w:pPr>
      <w:r>
        <w:t xml:space="preserve">治疗期间，睡眠恢复、焦虑减轻、活动增加、心理治疗、支持关系和身体疾病处理都可能影响结局。将所有改善都归于某个递质上升，或者将所有改善都归于期待，同样需要超过现有证据的假设。随机试验与机制测量提供不同层面的约束，应共同使用</w:t>
      </w:r>
      <w:r>
        <w:rPr>
          <w:vertAlign w:val="superscript"/>
        </w:rPr>
        <w:t xml:space="preserve">[</w:t>
      </w:r>
      <w:hyperlink w:anchor="ref-861">
        <w:r>
          <w:rPr>
            <w:rStyle w:val="Hyperlink"/>
            <w:vertAlign w:val="superscript"/>
          </w:rPr>
          <w:t xml:space="preserve">861</w:t>
        </w:r>
      </w:hyperlink>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p>
      <w:pPr>
        <w:pStyle w:val="BodyText"/>
      </w:pPr>
      <w:r>
        <w:t xml:space="preserve">对于持续治疗和减药，药物暴露下降与神经适应恢复可能具有不同速度，这使症状解释更加复杂。近期减药研究必须连同心理支持、随访时间和人群特征理解。具体实施需在治疗团队支持下进行，本章的受体机制不提供个人剂量方案</w:t>
      </w:r>
      <w:r>
        <w:rPr>
          <w:vertAlign w:val="superscript"/>
        </w:rPr>
        <w:t xml:space="preserve">[</w:t>
      </w:r>
      <w:hyperlink w:anchor="ref-84">
        <w:r>
          <w:rPr>
            <w:rStyle w:val="Hyperlink"/>
            <w:vertAlign w:val="superscript"/>
          </w:rPr>
          <w:t xml:space="preserve">84</w:t>
        </w:r>
      </w:hyperlink>
      <w:r>
        <w:rPr>
          <w:vertAlign w:val="superscript"/>
        </w:rPr>
        <w:t xml:space="preserve">,</w:t>
      </w:r>
      <w:hyperlink w:anchor="ref-85">
        <w:r>
          <w:rPr>
            <w:rStyle w:val="Hyperlink"/>
            <w:vertAlign w:val="superscript"/>
          </w:rPr>
          <w:t xml:space="preserve">85</w:t>
        </w:r>
      </w:hyperlink>
      <w:r>
        <w:rPr>
          <w:vertAlign w:val="superscript"/>
        </w:rPr>
        <w:t xml:space="preserve">]</w:t>
      </w:r>
      <w:r>
        <w:t xml:space="preserve">。</w:t>
      </w:r>
    </w:p>
    <w:bookmarkEnd w:id="1633"/>
    <w:bookmarkStart w:id="1634" w:name="sec-96-19"/>
    <w:p>
      <w:pPr>
        <w:pStyle w:val="Heading3"/>
      </w:pPr>
      <w:r>
        <w:t xml:space="preserve">96.19　本章结论</w:t>
      </w:r>
    </w:p>
    <w:p>
      <w:pPr>
        <w:pStyle w:val="FirstParagraph"/>
      </w:pPr>
      <w:r>
        <w:t xml:space="preserve">统一血清素缺乏故事应被撤回，疾病机制研究和治疗效果评价仍需继续。可靠判断同时容纳药物的平均收益、个体差异、不良反应、停药困难和其他治疗选择。新的分子发现只有经过独立临床验证，才可以承担诊断或个体选药的承诺</w:t>
      </w:r>
      <w:r>
        <w:rPr>
          <w:vertAlign w:val="superscript"/>
        </w:rPr>
        <w:t xml:space="preserve">[</w:t>
      </w:r>
      <w:hyperlink w:anchor="ref-857">
        <w:r>
          <w:rPr>
            <w:rStyle w:val="Hyperlink"/>
            <w:vertAlign w:val="superscript"/>
          </w:rPr>
          <w:t xml:space="preserve">857</w:t>
        </w:r>
      </w:hyperlink>
      <w:r>
        <w:rPr>
          <w:vertAlign w:val="superscript"/>
        </w:rPr>
        <w:t xml:space="preserve">,</w:t>
      </w:r>
      <w:hyperlink w:anchor="ref-860">
        <w:r>
          <w:rPr>
            <w:rStyle w:val="Hyperlink"/>
            <w:vertAlign w:val="superscript"/>
          </w:rPr>
          <w:t xml:space="preserve">860</w:t>
        </w:r>
      </w:hyperlink>
      <w:r>
        <w:rPr>
          <w:vertAlign w:val="superscript"/>
        </w:rPr>
        <w:t xml:space="preserve">,</w:t>
      </w:r>
      <w:hyperlink w:anchor="ref-861">
        <w:r>
          <w:rPr>
            <w:rStyle w:val="Hyperlink"/>
            <w:vertAlign w:val="superscript"/>
          </w:rPr>
          <w:t xml:space="preserve">861</w:t>
        </w:r>
      </w:hyperlink>
      <w:r>
        <w:rPr>
          <w:vertAlign w:val="superscript"/>
        </w:rPr>
        <w:t xml:space="preserve">,</w:t>
      </w:r>
      <w:hyperlink w:anchor="ref-862">
        <w:r>
          <w:rPr>
            <w:rStyle w:val="Hyperlink"/>
            <w:vertAlign w:val="superscript"/>
          </w:rPr>
          <w:t xml:space="preserve">862</w:t>
        </w:r>
      </w:hyperlink>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bookmarkEnd w:id="1634"/>
    <w:bookmarkEnd w:id="1635"/>
    <w:bookmarkStart w:id="1640" w:name="ch-97"/>
    <w:p>
      <w:pPr>
        <w:pStyle w:val="Heading2"/>
      </w:pPr>
      <w:r>
        <w:t xml:space="preserve">第97章　其他递质、调质与神经营养因子</w:t>
      </w:r>
    </w:p>
    <w:bookmarkStart w:id="1636" w:name="sec-97-1"/>
    <w:p>
      <w:pPr>
        <w:pStyle w:val="Heading3"/>
      </w:pPr>
      <w:r>
        <w:t xml:space="preserve">97.1　内啡肽、内源性阿片与内源性大麻素</w:t>
      </w:r>
    </w:p>
    <w:p>
      <w:pPr>
        <w:pStyle w:val="FirstParagraph"/>
      </w:pPr>
      <w:r>
        <w:t xml:space="preserve">内啡肽属于内源性阿片肽，与脑啡肽、强啡肽一起参与镇痛、享受感和社会联结。“跑步者高潮”长期被归功于内啡肽，可血液里的内啡肽很难进入大脑。正电子发射断层扫描研究发现，10 名运动员长跑后脑内阿片受体的可用性下降，下降程度与欣快感相关，提示中枢阿片系统有所参与</w:t>
      </w:r>
      <w:r>
        <w:rPr>
          <w:vertAlign w:val="superscript"/>
        </w:rPr>
        <w:t xml:space="preserve">[</w:t>
      </w:r>
      <w:hyperlink w:anchor="ref-865">
        <w:r>
          <w:rPr>
            <w:rStyle w:val="Hyperlink"/>
            <w:vertAlign w:val="superscript"/>
          </w:rPr>
          <w:t xml:space="preserve">865</w:t>
        </w:r>
      </w:hyperlink>
      <w:r>
        <w:rPr>
          <w:vertAlign w:val="superscript"/>
        </w:rPr>
        <w:t xml:space="preserve">]</w:t>
      </w:r>
      <w:r>
        <w:t xml:space="preserve">；2021 年一项 63 人的双盲随机试验给跑者服用阿片受体阻断剂纳曲酮，跑后的愉悦感和焦虑下降并没有被阻断，同时血液中内源性大麻素水平上升</w:t>
      </w:r>
      <w:r>
        <w:rPr>
          <w:vertAlign w:val="superscript"/>
        </w:rPr>
        <w:t xml:space="preserve">[</w:t>
      </w:r>
      <w:hyperlink w:anchor="ref-866">
        <w:r>
          <w:rPr>
            <w:rStyle w:val="Hyperlink"/>
            <w:vertAlign w:val="superscript"/>
          </w:rPr>
          <w:t xml:space="preserve">866</w:t>
        </w:r>
      </w:hyperlink>
      <w:r>
        <w:rPr>
          <w:vertAlign w:val="superscript"/>
        </w:rPr>
        <w:t xml:space="preserve">]</w:t>
      </w:r>
      <w:r>
        <w:t xml:space="preserve">。内源性大麻素是脂溶性的，能够通过血脑屏障，这使大麻素系统成为跑后愉悦的一个重要候选机制；脂溶性只说明在生理上可行，血液中的浓度也不能直接代表脑内浓度，它是否必需，还需要受体阻断等更直接的干预来检验。冥想与内源性大麻素的关系，目前缺少可靠的人体研究。</w:t>
      </w:r>
    </w:p>
    <w:p>
      <w:pPr>
        <w:pStyle w:val="CalloutJudgment"/>
      </w:pPr>
      <w:r>
        <w:rPr>
          <w:bCs/>
          <w:b/>
        </w:rPr>
        <w:t xml:space="preserve">判断　</w:t>
      </w:r>
      <w:r>
        <w:t xml:space="preserve">“跑步的快感来自内啡肽”</w:t>
      </w:r>
      <w:r>
        <w:rPr>
          <w:bCs/>
          <w:b/>
        </w:rPr>
        <w:t xml:space="preserve">过度简化·中</w:t>
      </w:r>
      <w:r>
        <w:t xml:space="preserve">；“内啡肽带来长期快乐”</w:t>
      </w:r>
      <w:r>
        <w:rPr>
          <w:bCs/>
          <w:b/>
        </w:rPr>
        <w:t xml:space="preserve">错误·高</w:t>
      </w:r>
      <w:r>
        <w:t xml:space="preserve">。</w:t>
      </w:r>
    </w:p>
    <w:bookmarkEnd w:id="1636"/>
    <w:bookmarkStart w:id="1637" w:name="sec-97-2"/>
    <w:p>
      <w:pPr>
        <w:pStyle w:val="Heading3"/>
      </w:pPr>
      <w:r>
        <w:t xml:space="preserve">97.2　去甲肾上腺素与蓝斑</w:t>
      </w:r>
    </w:p>
    <w:p>
      <w:pPr>
        <w:pStyle w:val="FirstParagraph"/>
      </w:pPr>
      <w:r>
        <w:t xml:space="preserve">蓝斑位于脑干，是大脑去甲肾上腺素的主要来源，调节觉醒与注意；身体其他部位的去甲肾上腺素主要来自交感神经和肾上腺。较有影响的“适应性增益”理论认为，蓝斑有两种主要的放电模式：短促的阶段性放电帮助专注当前任务，持续的高张力放电让注意更分散、更倾向于探索新目标</w:t>
      </w:r>
      <w:r>
        <w:rPr>
          <w:vertAlign w:val="superscript"/>
        </w:rPr>
        <w:t xml:space="preserve">[</w:t>
      </w:r>
      <w:hyperlink w:anchor="ref-867">
        <w:r>
          <w:rPr>
            <w:rStyle w:val="Hyperlink"/>
            <w:vertAlign w:val="superscript"/>
          </w:rPr>
          <w:t xml:space="preserve">867</w:t>
        </w:r>
      </w:hyperlink>
      <w:r>
        <w:rPr>
          <w:vertAlign w:val="superscript"/>
        </w:rPr>
        <w:t xml:space="preserve">]</w:t>
      </w:r>
      <w:r>
        <w:t xml:space="preserve">；这是一个重要的理论框架。两种模式之间没有截然的开关，也不对应两类固定的细胞。觉醒水平与表现之间常呈倒 U 形关系，过低和过高都不利，具体形状随任务和状态而变。瞳孔大小与蓝斑放电相关，也受光照、认知努力、其他脑区和药物影响，不能当作蓝斑的专属读数</w:t>
      </w:r>
      <w:r>
        <w:rPr>
          <w:vertAlign w:val="superscript"/>
        </w:rPr>
        <w:t xml:space="preserve">[</w:t>
      </w:r>
      <w:hyperlink w:anchor="ref-868">
        <w:r>
          <w:rPr>
            <w:rStyle w:val="Hyperlink"/>
            <w:vertAlign w:val="superscript"/>
          </w:rPr>
          <w:t xml:space="preserve">868</w:t>
        </w:r>
      </w:hyperlink>
      <w:r>
        <w:rPr>
          <w:vertAlign w:val="superscript"/>
        </w:rPr>
        <w:t xml:space="preserve">]</w:t>
      </w:r>
      <w:r>
        <w:t xml:space="preserve">。</w:t>
      </w:r>
    </w:p>
    <w:bookmarkEnd w:id="1637"/>
    <w:bookmarkStart w:id="1638" w:name="sec-97-3"/>
    <w:p>
      <w:pPr>
        <w:pStyle w:val="Heading3"/>
      </w:pPr>
      <w:r>
        <w:t xml:space="preserve">97.3　GABA、谷氨酸与乙酰胆碱</w:t>
      </w:r>
    </w:p>
    <w:p>
      <w:pPr>
        <w:pStyle w:val="FirstParagraph"/>
      </w:pPr>
      <w:r>
        <w:t xml:space="preserve">GABA 是成人大脑主要的抑制性递质，谷氨酸是主要的兴奋性递质，具体作用还取决于受体、细胞类型和所在网络。磁共振波谱测量某个脑区组织中 GABA 的总量，其中混有代谢池，突触间的实际释放，这种方法测不到</w:t>
      </w:r>
      <w:r>
        <w:rPr>
          <w:vertAlign w:val="superscript"/>
        </w:rPr>
        <w:t xml:space="preserve">[</w:t>
      </w:r>
      <w:hyperlink w:anchor="ref-869">
        <w:r>
          <w:rPr>
            <w:rStyle w:val="Hyperlink"/>
            <w:vertAlign w:val="superscript"/>
          </w:rPr>
          <w:t xml:space="preserve">869</w:t>
        </w:r>
      </w:hyperlink>
      <w:r>
        <w:rPr>
          <w:vertAlign w:val="superscript"/>
        </w:rPr>
        <w:t xml:space="preserve">]</w:t>
      </w:r>
      <w:r>
        <w:t xml:space="preserve">；常用的编辑序列测得的 GABA 信号里还混有不少大分子信号，文献因此常记作“GABA+”</w:t>
      </w:r>
      <w:r>
        <w:rPr>
          <w:vertAlign w:val="superscript"/>
        </w:rPr>
        <w:t xml:space="preserve">[</w:t>
      </w:r>
      <w:hyperlink w:anchor="ref-870">
        <w:r>
          <w:rPr>
            <w:rStyle w:val="Hyperlink"/>
            <w:vertAlign w:val="superscript"/>
          </w:rPr>
          <w:t xml:space="preserve">870</w:t>
        </w:r>
      </w:hyperlink>
      <w:r>
        <w:rPr>
          <w:vertAlign w:val="superscript"/>
        </w:rPr>
        <w:t xml:space="preserve">]</w:t>
      </w:r>
      <w:r>
        <w:t xml:space="preserve">。读波谱研究时要看测量的是哪个脑区、体素多大、灰质与白质比例多少、用什么作参照、何时扫描；GABA 和谷氨酸各自的浓度变化，也不能直接算出全脑的“兴奋抑制平衡”。波谱测得的谷氨酸、谷氨酰胺和两者合计（Glx）是不同的量，不能互换。</w:t>
      </w:r>
    </w:p>
    <w:p>
      <w:pPr>
        <w:pStyle w:val="BodyText"/>
      </w:pPr>
      <w:r>
        <w:t xml:space="preserve">乙酰胆碱由基底前脑等部位产生，与注意和学习密切相关。迷走神经参与的“炎症反射”在动物实验中能抑制炎症</w:t>
      </w:r>
      <w:r>
        <w:rPr>
          <w:vertAlign w:val="superscript"/>
        </w:rPr>
        <w:t xml:space="preserve">[</w:t>
      </w:r>
      <w:hyperlink w:anchor="ref-871">
        <w:r>
          <w:rPr>
            <w:rStyle w:val="Hyperlink"/>
            <w:vertAlign w:val="superscript"/>
          </w:rPr>
          <w:t xml:space="preserve">871</w:t>
        </w:r>
      </w:hyperlink>
      <w:r>
        <w:rPr>
          <w:vertAlign w:val="superscript"/>
        </w:rPr>
        <w:t xml:space="preserve">]</w:t>
      </w:r>
      <w:r>
        <w:t xml:space="preserve">，这条通路包含多个中继环节；外周迷走神经的活动与中枢注意回路中的乙酰胆碱，不能因为分子名称相同就合并为一种机制。</w:t>
      </w:r>
    </w:p>
    <w:bookmarkEnd w:id="1638"/>
    <w:bookmarkStart w:id="1639" w:name="sec-97-4"/>
    <w:p>
      <w:pPr>
        <w:pStyle w:val="Heading3"/>
      </w:pPr>
      <w:r>
        <w:t xml:space="preserve">97.4　脑源性神经营养因子</w:t>
      </w:r>
    </w:p>
    <w:p>
      <w:pPr>
        <w:pStyle w:val="FirstParagraph"/>
      </w:pPr>
      <w:r>
        <w:t xml:space="preserve">脑源性神经营养因子（BDNF）支持神经元存活与突触可塑性。血液中的 BDNF 大部分储存在血小板中，血清在凝血过程中会释放血小板里的 BDNF，所以血清和血浆的数值不能直接比较，它们与脑内水平的关系也不确定</w:t>
      </w:r>
      <w:r>
        <w:rPr>
          <w:vertAlign w:val="superscript"/>
        </w:rPr>
        <w:t xml:space="preserve">[</w:t>
      </w:r>
      <w:hyperlink w:anchor="ref-841">
        <w:r>
          <w:rPr>
            <w:rStyle w:val="Hyperlink"/>
            <w:vertAlign w:val="superscript"/>
          </w:rPr>
          <w:t xml:space="preserve">841</w:t>
        </w:r>
      </w:hyperlink>
      <w:r>
        <w:rPr>
          <w:vertAlign w:val="superscript"/>
        </w:rPr>
        <w:t xml:space="preserve">]</w:t>
      </w:r>
      <w:r>
        <w:t xml:space="preserve">。运动能可靠地提升血液 BDNF</w:t>
      </w:r>
      <w:r>
        <w:rPr>
          <w:vertAlign w:val="superscript"/>
        </w:rPr>
        <w:t xml:space="preserve">[</w:t>
      </w:r>
      <w:hyperlink w:anchor="ref-872">
        <w:r>
          <w:rPr>
            <w:rStyle w:val="Hyperlink"/>
            <w:vertAlign w:val="superscript"/>
          </w:rPr>
          <w:t xml:space="preserve">872</w:t>
        </w:r>
      </w:hyperlink>
      <w:r>
        <w:rPr>
          <w:vertAlign w:val="superscript"/>
        </w:rPr>
        <w:t xml:space="preserve">]</w:t>
      </w:r>
      <w:r>
        <w:t xml:space="preserve">。外周 BDNF 上升不能直接换算成突触可塑性增强或认知改善。</w:t>
      </w:r>
    </w:p>
    <w:bookmarkEnd w:id="1639"/>
    <w:bookmarkEnd w:id="1640"/>
    <w:bookmarkStart w:id="1659" w:name="ch-98"/>
    <w:p>
      <w:pPr>
        <w:pStyle w:val="Heading2"/>
      </w:pPr>
      <w:r>
        <w:t xml:space="preserve">第98章　催产素、社会行为与可重复性</w:t>
      </w:r>
    </w:p>
    <w:bookmarkStart w:id="1641" w:name="sec-98-1"/>
    <w:p>
      <w:pPr>
        <w:pStyle w:val="Heading3"/>
      </w:pPr>
      <w:r>
        <w:t xml:space="preserve">98.1　催产素做什么：概览</w:t>
      </w:r>
    </w:p>
    <w:p>
      <w:pPr>
        <w:pStyle w:val="FirstParagraph"/>
      </w:pPr>
      <w:r>
        <w:t xml:space="preserve">催产素是下丘脑合成的神经肽，在分娩、哺乳和某些哺乳动物的配偶与亲子联结中作用明确，大众读物常称为“爱的激素”“拥抱激素”。动物的配偶联结、人的分娩哺乳与人际信任，是三套不同的证据。2005 年鼻喷催产素增加信任的研究</w:t>
      </w:r>
      <w:r>
        <w:rPr>
          <w:vertAlign w:val="superscript"/>
        </w:rPr>
        <w:t xml:space="preserve">[</w:t>
      </w:r>
      <w:hyperlink w:anchor="ref-873">
        <w:r>
          <w:rPr>
            <w:rStyle w:val="Hyperlink"/>
            <w:vertAlign w:val="superscript"/>
          </w:rPr>
          <w:t xml:space="preserve">873</w:t>
        </w:r>
      </w:hyperlink>
      <w:r>
        <w:rPr>
          <w:vertAlign w:val="superscript"/>
        </w:rPr>
        <w:t xml:space="preserve">]</w:t>
      </w:r>
      <w:r>
        <w:t xml:space="preserve">引发热潮，后续研究暴露出统计功效低、发表偏倚和重复失败的问题</w:t>
      </w:r>
      <w:r>
        <w:rPr>
          <w:vertAlign w:val="superscript"/>
        </w:rPr>
        <w:t xml:space="preserve">[</w:t>
      </w:r>
      <w:hyperlink w:anchor="ref-874">
        <w:r>
          <w:rPr>
            <w:rStyle w:val="Hyperlink"/>
            <w:vertAlign w:val="superscript"/>
          </w:rPr>
          <w:t xml:space="preserve">874</w:t>
        </w:r>
      </w:hyperlink>
      <w:r>
        <w:rPr>
          <w:vertAlign w:val="superscript"/>
        </w:rPr>
        <w:t xml:space="preserve">,</w:t>
      </w:r>
      <w:hyperlink w:anchor="ref-875">
        <w:r>
          <w:rPr>
            <w:rStyle w:val="Hyperlink"/>
            <w:vertAlign w:val="superscript"/>
          </w:rPr>
          <w:t xml:space="preserve">875</w:t>
        </w:r>
      </w:hyperlink>
      <w:r>
        <w:rPr>
          <w:vertAlign w:val="superscript"/>
        </w:rPr>
        <w:t xml:space="preserve">]</w:t>
      </w:r>
      <w:r>
        <w:t xml:space="preserve">；一项预注册、统计功效超过 95% 的重复研究，在同类信任游戏中没有发现催产素影响信任</w:t>
      </w:r>
      <w:r>
        <w:rPr>
          <w:vertAlign w:val="superscript"/>
        </w:rPr>
        <w:t xml:space="preserve">[</w:t>
      </w:r>
      <w:hyperlink w:anchor="ref-876">
        <w:r>
          <w:rPr>
            <w:rStyle w:val="Hyperlink"/>
            <w:vertAlign w:val="superscript"/>
          </w:rPr>
          <w:t xml:space="preserve">876</w:t>
        </w:r>
      </w:hyperlink>
      <w:r>
        <w:rPr>
          <w:vertAlign w:val="superscript"/>
        </w:rPr>
        <w:t xml:space="preserve">]</w:t>
      </w:r>
      <w:r>
        <w:t xml:space="preserve">。这项重复没有支持原研究预期的信任效应，结果约束了这一范式中还可能存在的效应大小；高统计功效能排除某个预期幅度，仍不能说任何细微的效应都不可能。催产素在其他社会行为中的作用要分别检验。鼻喷的催产素有多少进入大脑、通过什么途径起作用，至今仍有争议：批评者估计只有极少量进入脑脊液，外周血液中的水平也不能代表脑内释放</w:t>
      </w:r>
      <w:r>
        <w:rPr>
          <w:vertAlign w:val="superscript"/>
        </w:rPr>
        <w:t xml:space="preserve">[</w:t>
      </w:r>
      <w:hyperlink w:anchor="ref-877">
        <w:r>
          <w:rPr>
            <w:rStyle w:val="Hyperlink"/>
            <w:vertAlign w:val="superscript"/>
          </w:rPr>
          <w:t xml:space="preserve">877</w:t>
        </w:r>
      </w:hyperlink>
      <w:r>
        <w:rPr>
          <w:vertAlign w:val="superscript"/>
        </w:rPr>
        <w:t xml:space="preserve">]</w:t>
      </w:r>
      <w:r>
        <w:t xml:space="preserve">。催产素的作用依赖情境，它可能同时加强对“自己人”的偏爱和对外人的防御</w:t>
      </w:r>
      <w:r>
        <w:rPr>
          <w:vertAlign w:val="superscript"/>
        </w:rPr>
        <w:t xml:space="preserve">[</w:t>
      </w:r>
      <w:hyperlink w:anchor="ref-878">
        <w:r>
          <w:rPr>
            <w:rStyle w:val="Hyperlink"/>
            <w:vertAlign w:val="superscript"/>
          </w:rPr>
          <w:t xml:space="preserve">878</w:t>
        </w:r>
      </w:hyperlink>
      <w:r>
        <w:rPr>
          <w:vertAlign w:val="superscript"/>
        </w:rPr>
        <w:t xml:space="preserve">]</w:t>
      </w:r>
      <w:r>
        <w:t xml:space="preserve">。外周催产素的测定结果取决于是否经过提取、用哪种免疫分析、取血清还是血浆、样本保存多久，以及低浓度和脉冲式分泌怎样处理，方法问题要按具体方法讨论，不能概括成所有外周数据都无效。</w:t>
      </w:r>
    </w:p>
    <w:p>
      <w:pPr>
        <w:pStyle w:val="CalloutJudgment"/>
      </w:pPr>
      <w:r>
        <w:rPr>
          <w:bCs/>
          <w:b/>
        </w:rPr>
        <w:t xml:space="preserve">判断　</w:t>
      </w:r>
      <w:r>
        <w:t xml:space="preserve">“催产素是爱的激素”</w:t>
      </w:r>
      <w:r>
        <w:rPr>
          <w:bCs/>
          <w:b/>
        </w:rPr>
        <w:t xml:space="preserve">过度简化·高</w:t>
      </w:r>
      <w:r>
        <w:t xml:space="preserve">。</w:t>
      </w:r>
    </w:p>
    <w:bookmarkEnd w:id="1641"/>
    <w:bookmarkStart w:id="1642" w:name="sec-98-2"/>
    <w:p>
      <w:pPr>
        <w:pStyle w:val="Heading3"/>
      </w:pPr>
      <w:r>
        <w:t xml:space="preserve">98.2　生理功能与社会概念的距离</w:t>
      </w:r>
    </w:p>
    <w:p>
      <w:pPr>
        <w:pStyle w:val="FirstParagraph"/>
      </w:pPr>
      <w:r>
        <w:t xml:space="preserve">催产素具有明确的生理作用，也参与若干社会行为研究；把它定义为普遍增加爱、信任或善意的单一物质，证据不足。对这一限制的置信度高。分娩、乳汁射出、配偶偏好、信任博弈和长期关系质量属于不同结局，不能因它们涉及同一分子便互相替代</w:t>
      </w:r>
      <w:r>
        <w:rPr>
          <w:vertAlign w:val="superscript"/>
        </w:rPr>
        <w:t xml:space="preserve">[</w:t>
      </w:r>
      <w:hyperlink w:anchor="ref-873">
        <w:r>
          <w:rPr>
            <w:rStyle w:val="Hyperlink"/>
            <w:vertAlign w:val="superscript"/>
          </w:rPr>
          <w:t xml:space="preserve">873</w:t>
        </w:r>
      </w:hyperlink>
      <w:r>
        <w:rPr>
          <w:vertAlign w:val="superscript"/>
        </w:rPr>
        <w:t xml:space="preserve">,</w:t>
      </w:r>
      <w:hyperlink w:anchor="ref-876">
        <w:r>
          <w:rPr>
            <w:rStyle w:val="Hyperlink"/>
            <w:vertAlign w:val="superscript"/>
          </w:rPr>
          <w:t xml:space="preserve">876</w:t>
        </w:r>
      </w:hyperlink>
      <w:r>
        <w:rPr>
          <w:vertAlign w:val="superscript"/>
        </w:rPr>
        <w:t xml:space="preserve">,</w:t>
      </w:r>
      <w:hyperlink w:anchor="ref-879">
        <w:r>
          <w:rPr>
            <w:rStyle w:val="Hyperlink"/>
            <w:vertAlign w:val="superscript"/>
          </w:rPr>
          <w:t xml:space="preserve">879</w:t>
        </w:r>
      </w:hyperlink>
      <w:r>
        <w:rPr>
          <w:vertAlign w:val="superscript"/>
        </w:rPr>
        <w:t xml:space="preserve">,</w:t>
      </w:r>
      <w:hyperlink w:anchor="ref-880">
        <w:r>
          <w:rPr>
            <w:rStyle w:val="Hyperlink"/>
            <w:vertAlign w:val="superscript"/>
          </w:rPr>
          <w:t xml:space="preserve">880</w:t>
        </w:r>
      </w:hyperlink>
      <w:r>
        <w:rPr>
          <w:vertAlign w:val="superscript"/>
        </w:rPr>
        <w:t xml:space="preserve">]</w:t>
      </w:r>
      <w:r>
        <w:t xml:space="preserve">。</w:t>
      </w:r>
    </w:p>
    <w:p>
      <w:pPr>
        <w:pStyle w:val="BodyText"/>
      </w:pPr>
      <w:r>
        <w:t xml:space="preserve">催产素既可以作为神经内分泌信号进入外周循环，也可以在中枢相关回路中发挥作用。外周浓度、脑内释放和鼻喷后的局部作用不是可以直接互换的指标。一个样本中的唾液测量变化，不能自动代表所有中枢靶点的信号变化。</w:t>
      </w:r>
    </w:p>
    <w:p>
      <w:pPr>
        <w:pStyle w:val="BodyText"/>
      </w:pPr>
      <w:r>
        <w:t xml:space="preserve">“爱”本身包含依恋、亲近、关怀、承诺、欲望和社会规范等多个成分。神经实验可以研究其中可操作的一部分，却不能凭一次任务给整个概念建立单一化学定义。一个变量在某种关系形成中重要，也不要求它在所有关系和所有阶段都具有相同作用。</w:t>
      </w:r>
    </w:p>
    <w:bookmarkEnd w:id="1642"/>
    <w:bookmarkStart w:id="1643" w:name="sec-98-3"/>
    <w:p>
      <w:pPr>
        <w:pStyle w:val="Heading3"/>
      </w:pPr>
      <w:r>
        <w:t xml:space="preserve">98.3　信任博弈究竟测量了什么</w:t>
      </w:r>
    </w:p>
    <w:p>
      <w:pPr>
        <w:pStyle w:val="FirstParagraph"/>
      </w:pPr>
      <w:r>
        <w:t xml:space="preserve">信任博弈让参与者将资源交给另一人，回报取决于对方选择。转出更多资源可以反映对回报的期待，也可能受到利他偏好、风险容忍或对任务规则的理解影响。要把转账金额解释为信任，需要相应对照和理论约束。</w:t>
      </w:r>
    </w:p>
    <w:p>
      <w:pPr>
        <w:pStyle w:val="BodyText"/>
      </w:pPr>
      <w:r>
        <w:t xml:space="preserve">Kosfeld及同事早期鼻喷实验报告了特定博弈中的转账变化，推动了相关领域。这个结果没有直接测量长期爱情、所有形式的合作或人格变化。后续研究的任务是检查效应可重复性、大小和边界，不能将最初发现直接推广为普遍社会增强</w:t>
      </w:r>
      <w:r>
        <w:rPr>
          <w:vertAlign w:val="superscript"/>
        </w:rPr>
        <w:t xml:space="preserve">[</w:t>
      </w:r>
      <w:hyperlink w:anchor="ref-873">
        <w:r>
          <w:rPr>
            <w:rStyle w:val="Hyperlink"/>
            <w:vertAlign w:val="superscript"/>
          </w:rPr>
          <w:t xml:space="preserve">873</w:t>
        </w:r>
      </w:hyperlink>
      <w:r>
        <w:rPr>
          <w:vertAlign w:val="superscript"/>
        </w:rPr>
        <w:t xml:space="preserve">]</w:t>
      </w:r>
      <w:r>
        <w:t xml:space="preserve">。</w:t>
      </w:r>
    </w:p>
    <w:p>
      <w:pPr>
        <w:pStyle w:val="BodyText"/>
      </w:pPr>
      <w:r>
        <w:t xml:space="preserve">如果一种效应只在某些关系或情境出现，理论应事先说明这些条件。事后发现某个亚组显著，可以形成下一项研究假说；它无法自动修复原先未通过的主要检验。尤其当有许多个体变量可供选择时，偶然关联的风险会增加。</w:t>
      </w:r>
    </w:p>
    <w:bookmarkEnd w:id="1643"/>
    <w:bookmarkStart w:id="1644" w:name="sec-98-4"/>
    <w:p>
      <w:pPr>
        <w:pStyle w:val="Heading3"/>
      </w:pPr>
      <w:r>
        <w:t xml:space="preserve">98.4　注册报告怎样改变证据权重</w:t>
      </w:r>
    </w:p>
    <w:p>
      <w:pPr>
        <w:pStyle w:val="FirstParagraph"/>
      </w:pPr>
      <w:r>
        <w:t xml:space="preserve">Declerck及同事开展双盲、安慰剂对照的注册重复研究，并安排最低限度社会接触条件。预先指定分析没有支持该条件下的信任增加；部分事后探索结果需要另行确认。注册报告把设计和主要分析在结果出现前接受审查，有助于减少结果选择对结论的影响</w:t>
      </w:r>
      <w:r>
        <w:rPr>
          <w:vertAlign w:val="superscript"/>
        </w:rPr>
        <w:t xml:space="preserve">[</w:t>
      </w:r>
      <w:hyperlink w:anchor="ref-876">
        <w:r>
          <w:rPr>
            <w:rStyle w:val="Hyperlink"/>
            <w:vertAlign w:val="superscript"/>
          </w:rPr>
          <w:t xml:space="preserve">876</w:t>
        </w:r>
      </w:hyperlink>
      <w:r>
        <w:rPr>
          <w:vertAlign w:val="superscript"/>
        </w:rPr>
        <w:t xml:space="preserve">]</w:t>
      </w:r>
      <w:r>
        <w:t xml:space="preserve">。</w:t>
      </w:r>
    </w:p>
    <w:p>
      <w:pPr>
        <w:pStyle w:val="BodyText"/>
      </w:pPr>
      <w:r>
        <w:t xml:space="preserve">Kroll及同事2026年的注册报告使用211名新参与者，并与另一重复研究资料合并为532人分析。新样本的等效检验仍不确定，合并资料则把效果限定在研究预设的微小范围。结论针对相应鼻喷和博弈条件，不能扩大为任何情境中的绝对零效应</w:t>
      </w:r>
      <w:r>
        <w:rPr>
          <w:vertAlign w:val="superscript"/>
        </w:rPr>
        <w:t xml:space="preserve">[</w:t>
      </w:r>
      <w:hyperlink w:anchor="ref-880">
        <w:r>
          <w:rPr>
            <w:rStyle w:val="Hyperlink"/>
            <w:vertAlign w:val="superscript"/>
          </w:rPr>
          <w:t xml:space="preserve">880</w:t>
        </w:r>
      </w:hyperlink>
      <w:r>
        <w:rPr>
          <w:vertAlign w:val="superscript"/>
        </w:rPr>
        <w:t xml:space="preserve">]</w:t>
      </w:r>
      <w:r>
        <w:t xml:space="preserve">。</w:t>
      </w:r>
    </w:p>
    <w:p>
      <w:pPr>
        <w:pStyle w:val="BodyText"/>
      </w:pPr>
      <w:r>
        <w:t xml:space="preserve">等效检验与普通不显著结果不同。研究者先规定一个最小有意义效应范围，再检查数据是否足够精确地排除范围之外的效果。若样本不足，普通检验不显著和等效检验不确定可以同时出现。若区间被限制在很小范围内，才更有理由认为该条件下的大效应不太可能。</w:t>
      </w:r>
    </w:p>
    <w:p>
      <w:pPr>
        <w:pStyle w:val="BodyText"/>
      </w:pPr>
      <w:r>
        <w:t xml:space="preserve">“有意义”的界限需要解释。实验室研究可行性、理论问题和临床价值可能要求不同阈值。一个很小的平均效应在大型公共卫生干预中仍可能有意义；在昂贵、侵入性或风险较高的干预中，则可能不足以抵偿成本。因此应报告阈值及其理由，避免只用有或无两个词概括。</w:t>
      </w:r>
    </w:p>
    <w:bookmarkEnd w:id="1644"/>
    <w:bookmarkStart w:id="1645" w:name="sec-98-5"/>
    <w:p>
      <w:pPr>
        <w:pStyle w:val="Heading3"/>
      </w:pPr>
      <w:r>
        <w:t xml:space="preserve">98.5　动物遗传证据限制了简单必需性</w:t>
      </w:r>
    </w:p>
    <w:p>
      <w:pPr>
        <w:pStyle w:val="FirstParagraph"/>
      </w:pPr>
      <w:r>
        <w:t xml:space="preserve">Berendzen及同事用CRISPR生成三种催产素受体缺失草原田鼠品系，观察到配偶偏好和若干亲代行为仍可出现。研究挑战了相关信号对这些行为绝对必需的强主张，同时保留发育补偿、其他通路和测量情境的解释空间。药理阻断与自发育起的基因缺失也可能产生不同结果</w:t>
      </w:r>
      <w:r>
        <w:rPr>
          <w:vertAlign w:val="superscript"/>
        </w:rPr>
        <w:t xml:space="preserve">[</w:t>
      </w:r>
      <w:hyperlink w:anchor="ref-881">
        <w:r>
          <w:rPr>
            <w:rStyle w:val="Hyperlink"/>
            <w:vertAlign w:val="superscript"/>
          </w:rPr>
          <w:t xml:space="preserve">881</w:t>
        </w:r>
      </w:hyperlink>
      <w:r>
        <w:rPr>
          <w:vertAlign w:val="superscript"/>
        </w:rPr>
        <w:t xml:space="preserve">]</w:t>
      </w:r>
      <w:r>
        <w:t xml:space="preserve">。</w:t>
      </w:r>
    </w:p>
    <w:p>
      <w:pPr>
        <w:pStyle w:val="BodyText"/>
      </w:pPr>
      <w:r>
        <w:t xml:space="preserve">Black及同事2025年进一步研究雌性草原田鼠的同伴关系，发现受体缺失影响关系形成速度、稳定性、对象选择性和社会奖励相关表现。两项研究的对象和结局不同：配偶偏好保留，不要求同伴关系的全部动态都正常。两类结果共同要求把依恋拆成形成、选择、维持和行为表达等成分；不同性别、关系类型和环境条件也可能改变受体贡献，不能把一个实验结局扩展为所有社会联结。把后续结果与早期结果按具体结局比较，能够避免把研究发展写成简单的先证明、后推翻</w:t>
      </w:r>
      <w:r>
        <w:rPr>
          <w:vertAlign w:val="superscript"/>
        </w:rPr>
        <w:t xml:space="preserve">[</w:t>
      </w:r>
      <w:hyperlink w:anchor="ref-881">
        <w:r>
          <w:rPr>
            <w:rStyle w:val="Hyperlink"/>
            <w:vertAlign w:val="superscript"/>
          </w:rPr>
          <w:t xml:space="preserve">881</w:t>
        </w:r>
      </w:hyperlink>
      <w:r>
        <w:rPr>
          <w:vertAlign w:val="superscript"/>
        </w:rPr>
        <w:t xml:space="preserve">,</w:t>
      </w:r>
      <w:hyperlink w:anchor="ref-882">
        <w:r>
          <w:rPr>
            <w:rStyle w:val="Hyperlink"/>
            <w:vertAlign w:val="superscript"/>
          </w:rPr>
          <w:t xml:space="preserve">882</w:t>
        </w:r>
      </w:hyperlink>
      <w:r>
        <w:rPr>
          <w:vertAlign w:val="superscript"/>
        </w:rPr>
        <w:t xml:space="preserve">]</w:t>
      </w:r>
      <w:r>
        <w:t xml:space="preserve">。</w:t>
      </w:r>
    </w:p>
    <w:p>
      <w:pPr>
        <w:pStyle w:val="BodyText"/>
      </w:pPr>
      <w:r>
        <w:t xml:space="preserve">动物依恋研究具有重要机制价值，但不能直接定义人类爱情。物种的社会组织、配偶关系和实验环境都不同。跨物种推广应说明共享的是哪些过程，例如社会识别或奖励学习；整个文化和心理概念不能随之一并推广。</w:t>
      </w:r>
    </w:p>
    <w:bookmarkEnd w:id="1645"/>
    <w:bookmarkStart w:id="1646" w:name="sec-98-6"/>
    <w:p>
      <w:pPr>
        <w:pStyle w:val="Heading3"/>
      </w:pPr>
      <w:r>
        <w:t xml:space="preserve">98.6　情境依赖需要明确预测</w:t>
      </w:r>
    </w:p>
    <w:p>
      <w:pPr>
        <w:pStyle w:val="FirstParagraph"/>
      </w:pPr>
      <w:r>
        <w:t xml:space="preserve">某些理论强调催产素改变社会线索的重要性或注意，可能产生依情境而异的结果。这种解释比普遍善意标签更有潜力，但也容易过度灵活。若任何方向都能事后解释为社会显著性变化，理论同样缺少判错标准</w:t>
      </w:r>
      <w:r>
        <w:rPr>
          <w:vertAlign w:val="superscript"/>
        </w:rPr>
        <w:t xml:space="preserve">[</w:t>
      </w:r>
      <w:hyperlink w:anchor="ref-879">
        <w:r>
          <w:rPr>
            <w:rStyle w:val="Hyperlink"/>
            <w:vertAlign w:val="superscript"/>
          </w:rPr>
          <w:t xml:space="preserve">879</w:t>
        </w:r>
      </w:hyperlink>
      <w:r>
        <w:rPr>
          <w:vertAlign w:val="superscript"/>
        </w:rPr>
        <w:t xml:space="preserve">]</w:t>
      </w:r>
      <w:r>
        <w:t xml:space="preserve">。</w:t>
      </w:r>
    </w:p>
    <w:p>
      <w:pPr>
        <w:pStyle w:val="BodyText"/>
      </w:pPr>
      <w:r>
        <w:t xml:space="preserve">研究应先指定目标线索、个体变量和行为结局。例如，对熟悉与陌生对象是否有不同预测，威胁情境是否改变效应方向，预先测得的某种特征是否可靠调节结果。然后用独立样本检验，避免从同一数据中同时寻找并确认边界条件。</w:t>
      </w:r>
    </w:p>
    <w:bookmarkEnd w:id="1646"/>
    <w:bookmarkStart w:id="1647" w:name="sec-98-7"/>
    <w:p>
      <w:pPr>
        <w:pStyle w:val="Heading3"/>
      </w:pPr>
      <w:r>
        <w:t xml:space="preserve">98.7　产品和治疗承诺的证据要求</w:t>
      </w:r>
    </w:p>
    <w:p>
      <w:pPr>
        <w:pStyle w:val="FirstParagraph"/>
      </w:pPr>
      <w:r>
        <w:t xml:space="preserve">鼻喷实验中的药物、剂量、给药时点和实验对象具有特定条件。商业产品不能仅凭成分名称借用所有相关论文。治疗用途需要直接检验患者重要结局、持续时间、不良反应和与现有照护的比较。即使某次任务效果存在，也不能自动证明长期使用有益。</w:t>
      </w:r>
    </w:p>
    <w:p>
      <w:pPr>
        <w:pStyle w:val="BodyText"/>
      </w:pPr>
      <w:r>
        <w:t xml:space="preserve">外周激素检测也需要临床验证。测量准确性、取样条件和稳定性只是起点；还要证明结果能够改善具体决策。把一个人的爱情或信任程度浓缩为单次化验数值，缺少足够构念和预测依据。</w:t>
      </w:r>
    </w:p>
    <w:bookmarkEnd w:id="1647"/>
    <w:bookmarkStart w:id="1648" w:name="sec-98-8"/>
    <w:p>
      <w:pPr>
        <w:pStyle w:val="Heading3"/>
      </w:pPr>
      <w:r>
        <w:t xml:space="preserve">98.8　从肽的合成到不同部位的释放</w:t>
      </w:r>
    </w:p>
    <w:p>
      <w:pPr>
        <w:pStyle w:val="FirstParagraph"/>
      </w:pPr>
      <w:r>
        <w:t xml:space="preserve">催产素是肽类信号分子，合成、加工、运输和释放具有细胞层面的组织。下丘脑相关神经元能够经神经垂体向循环释放，也具有中枢轴突投射以及胞体和树突的局部释放形式。血液与脑内不同区域之间的浓度变化，受各自释放和清除过程影响，不能预设两者在每个时刻严格同步</w:t>
      </w:r>
      <w:r>
        <w:rPr>
          <w:vertAlign w:val="superscript"/>
        </w:rPr>
        <w:t xml:space="preserve">[</w:t>
      </w:r>
      <w:hyperlink w:anchor="ref-883">
        <w:r>
          <w:rPr>
            <w:rStyle w:val="Hyperlink"/>
            <w:vertAlign w:val="superscript"/>
          </w:rPr>
          <w:t xml:space="preserve">883</w:t>
        </w:r>
      </w:hyperlink>
      <w:r>
        <w:rPr>
          <w:vertAlign w:val="superscript"/>
        </w:rPr>
        <w:t xml:space="preserve">]</w:t>
      </w:r>
      <w:r>
        <w:t xml:space="preserve">。</w:t>
      </w:r>
    </w:p>
    <w:p>
      <w:pPr>
        <w:pStyle w:val="BodyText"/>
      </w:pPr>
      <w:r>
        <w:t xml:space="preserve">肽类信号的时间结构与小分子快速突触传递不同。前体需要在细胞内加工，囊泡运输将分子送至释放位置，释放后还受扩散与降解限制。即使两个区域都存在催产素受体，其接收到的脉冲形状与背景浓度也可能不同。解释行为效应时，需要追踪实际释放位置与靶细胞；只凭分子名称推断不出全脑统一作用。</w:t>
      </w:r>
    </w:p>
    <w:p>
      <w:pPr>
        <w:pStyle w:val="BodyText"/>
      </w:pPr>
      <w:r>
        <w:t xml:space="preserve">局部释放还可能影响邻近细胞而不限于一个解剖突触。扩散距离、细胞外空间和降解速度共同影响有效作用范围。这提供了一种理解神经调节的方式：信号可以改变某些回路对输入的敏感性，从而影响特定情境中的行为。它仍需要具体受体与回路证据，不能据此声称一种分子直接编码信任或爱情。</w:t>
      </w:r>
    </w:p>
    <w:bookmarkEnd w:id="1648"/>
    <w:bookmarkStart w:id="1649" w:name="sec-98-9"/>
    <w:p>
      <w:pPr>
        <w:pStyle w:val="Heading3"/>
      </w:pPr>
      <w:r>
        <w:t xml:space="preserve">98.9　受体信号如何连接细胞和网络</w:t>
      </w:r>
    </w:p>
    <w:p>
      <w:pPr>
        <w:pStyle w:val="FirstParagraph"/>
      </w:pPr>
      <w:r>
        <w:t xml:space="preserve">催产素受体属于G蛋白偶联受体，能够通过细胞内信号级联改变离子通道、钙信号和基因表达。常见的Gq相关通路涉及磷脂酶C以及后续第二信使，但实际耦联受细胞类型与状态影响。受体存在的位置、表达量和其他信号共同决定效应，单个受体名称无法指定完整行为结果</w:t>
      </w:r>
      <w:r>
        <w:rPr>
          <w:vertAlign w:val="superscript"/>
        </w:rPr>
        <w:t xml:space="preserve">[</w:t>
      </w:r>
      <w:hyperlink w:anchor="ref-883">
        <w:r>
          <w:rPr>
            <w:rStyle w:val="Hyperlink"/>
            <w:vertAlign w:val="superscript"/>
          </w:rPr>
          <w:t xml:space="preserve">883</w:t>
        </w:r>
      </w:hyperlink>
      <w:r>
        <w:rPr>
          <w:vertAlign w:val="superscript"/>
        </w:rPr>
        <w:t xml:space="preserve">]</w:t>
      </w:r>
      <w:r>
        <w:t xml:space="preserve">。</w:t>
      </w:r>
    </w:p>
    <w:p>
      <w:pPr>
        <w:pStyle w:val="BodyText"/>
      </w:pPr>
      <w:r>
        <w:t xml:space="preserve">同一种细胞信号变化在不同回路中可以产生不同后果。若受体作用于抑制性中间神经元，其影响可能通过局部抑制改变主要输出；若作用于另一个投射群，则可能改变完全不同的下游结构。把分子效应翻译为行为，需要经过这一层连接关系。宏观影像中的活动下降，也不能独自说明受体直接抑制了该处全部神经元。</w:t>
      </w:r>
    </w:p>
    <w:p>
      <w:pPr>
        <w:pStyle w:val="BodyText"/>
      </w:pPr>
      <w:r>
        <w:t xml:space="preserve">受体激活还会引起时间依赖的调节，包括脱敏、内化与再循环。短暂脉冲和持续暴露因此可能具有不同效果。体外得到的浓度效应曲线，可以帮助理解受体性质，但体内还存在组织分布、其他配体和反馈。将短时实验效应推广成长期补充的稳定益处，需要独立证据。</w:t>
      </w:r>
    </w:p>
    <w:bookmarkEnd w:id="1649"/>
    <w:bookmarkStart w:id="1650" w:name="sec-98-10"/>
    <w:p>
      <w:pPr>
        <w:pStyle w:val="Heading3"/>
      </w:pPr>
      <w:r>
        <w:t xml:space="preserve">98.10　鼻内给药怎样形成可检验的路径问题</w:t>
      </w:r>
    </w:p>
    <w:p>
      <w:pPr>
        <w:pStyle w:val="FirstParagraph"/>
      </w:pPr>
      <w:r>
        <w:t xml:space="preserve">鼻内给药后观察到行为或脑信号变化，至少需要考虑鼻腔局部过程、进入血液后的外周作用，以及可能的直接鼻脑路径。不同装置与沉积分布还可能改变有效暴露。研究应比较给药途径与时间曲线，避免把鼻内使用自动等同于选择性提高某脑区浓度</w:t>
      </w:r>
      <w:r>
        <w:rPr>
          <w:vertAlign w:val="superscript"/>
        </w:rPr>
        <w:t xml:space="preserve">[</w:t>
      </w:r>
      <w:hyperlink w:anchor="ref-884">
        <w:r>
          <w:rPr>
            <w:rStyle w:val="Hyperlink"/>
            <w:vertAlign w:val="superscript"/>
          </w:rPr>
          <w:t xml:space="preserve">884</w:t>
        </w:r>
      </w:hyperlink>
      <w:r>
        <w:rPr>
          <w:vertAlign w:val="superscript"/>
        </w:rPr>
        <w:t xml:space="preserve">]</w:t>
      </w:r>
      <w:r>
        <w:t xml:space="preserve">。</w:t>
      </w:r>
    </w:p>
    <w:p>
      <w:pPr>
        <w:pStyle w:val="BodyText"/>
      </w:pPr>
      <w:r>
        <w:t xml:space="preserve">Martins及同事比较不同鼻内方式与静脉方式的脑灌注变化，发现部分效应能够由循环暴露解释，同时保留路径差异。这是一项药理机制研究，灌注变化本身不能证明社会行为改善。该论文后来更正了暴露曲线下面积的计算，作者报告更正未改变主要结果模式；引用时应使用更正后的记录</w:t>
      </w:r>
      <w:r>
        <w:rPr>
          <w:vertAlign w:val="superscript"/>
        </w:rPr>
        <w:t xml:space="preserve">[</w:t>
      </w:r>
      <w:hyperlink w:anchor="ref-884">
        <w:r>
          <w:rPr>
            <w:rStyle w:val="Hyperlink"/>
            <w:vertAlign w:val="superscript"/>
          </w:rPr>
          <w:t xml:space="preserve">884</w:t>
        </w:r>
      </w:hyperlink>
      <w:r>
        <w:rPr>
          <w:vertAlign w:val="superscript"/>
        </w:rPr>
        <w:t xml:space="preserve">]</w:t>
      </w:r>
      <w:r>
        <w:t xml:space="preserve">。</w:t>
      </w:r>
    </w:p>
    <w:p>
      <w:pPr>
        <w:pStyle w:val="BodyText"/>
      </w:pPr>
      <w:r>
        <w:t xml:space="preserve">药物到达某个组织与产生目标受体作用仍有距离。有效游离浓度、受体亲和力、受体所在细胞和内源性背景共同影响结果。如果没有靶点占有或可靠替代证据，阴性行为结果可能涉及机制无效，也可能涉及暴露不足；阳性结果则仍需排除外周或非目标作用。把这些可能性写清楚，能够使后续实验更有方向。</w:t>
      </w:r>
    </w:p>
    <w:bookmarkEnd w:id="1650"/>
    <w:bookmarkStart w:id="1651" w:name="sec-98-11"/>
    <w:p>
      <w:pPr>
        <w:pStyle w:val="Heading3"/>
      </w:pPr>
      <w:r>
        <w:t xml:space="preserve">98.11　外周催产素测量的分析化学要求</w:t>
      </w:r>
    </w:p>
    <w:p>
      <w:pPr>
        <w:pStyle w:val="FirstParagraph"/>
      </w:pPr>
      <w:r>
        <w:t xml:space="preserve">血浆、唾液、尿液和脑脊液属于不同样本环境。样本中其他蛋白、盐分、代谢物和处理过程可能影响分析信号。免疫测定利用抗体识别，质谱依赖分离与质量相关特征，两者各有灵敏度、特异性和校准要求。测量方法不同所产生的数值，不能未经验证就直接合并</w:t>
      </w:r>
      <w:r>
        <w:rPr>
          <w:vertAlign w:val="superscript"/>
        </w:rPr>
        <w:t xml:space="preserve">[</w:t>
      </w:r>
      <w:hyperlink w:anchor="ref-846">
        <w:r>
          <w:rPr>
            <w:rStyle w:val="Hyperlink"/>
            <w:vertAlign w:val="superscript"/>
          </w:rPr>
          <w:t xml:space="preserve">846</w:t>
        </w:r>
      </w:hyperlink>
      <w:r>
        <w:rPr>
          <w:vertAlign w:val="superscript"/>
        </w:rPr>
        <w:t xml:space="preserve">]</w:t>
      </w:r>
      <w:r>
        <w:t xml:space="preserve">。</w:t>
      </w:r>
    </w:p>
    <w:p>
      <w:pPr>
        <w:pStyle w:val="BodyText"/>
      </w:pPr>
      <w:r>
        <w:t xml:space="preserve">抽提与未抽提样本的可比性尤其需要验证。一个检测系统能稳定产生读数，并不意味着它准确测量了目标分子。加标回收、稀释平行性、检测下限、批间变异和基质效应，分别约束不同误差来源。应先确认分析效度，再讨论它与社会行为之间的生物学关系。</w:t>
      </w:r>
    </w:p>
    <w:p>
      <w:pPr>
        <w:pStyle w:val="BodyText"/>
      </w:pPr>
      <w:r>
        <w:t xml:space="preserve">采样时间也影响解释。若分泌呈短暂变化，单次样本可能遗漏峰值；若采样程序引起紧张或身体变化，测得结果还可能受到程序本身影响。重复采样能够更好描述动态，同时也增加操作负担。研究应选择与问题匹配的时间尺度，并记录进食、运动、药物和相关生理状态。</w:t>
      </w:r>
    </w:p>
    <w:p>
      <w:pPr>
        <w:pStyle w:val="BodyText"/>
      </w:pPr>
      <w:r>
        <w:t xml:space="preserve">从外周浓度推断中枢活动，需要直接验证两者在特定条件下的关系。相关关系若只在某一种刺激后出现，便不能推广到所有基础状态。即使平均相关显著，个体预测误差仍可能很大。当前没有可靠依据把一次普通外周催产素检测解释为某人的信任、依恋能力或关系质量分数</w:t>
      </w:r>
      <w:r>
        <w:rPr>
          <w:vertAlign w:val="superscript"/>
        </w:rPr>
        <w:t xml:space="preserve">[</w:t>
      </w:r>
      <w:hyperlink w:anchor="ref-846">
        <w:r>
          <w:rPr>
            <w:rStyle w:val="Hyperlink"/>
            <w:vertAlign w:val="superscript"/>
          </w:rPr>
          <w:t xml:space="preserve">846</w:t>
        </w:r>
      </w:hyperlink>
      <w:r>
        <w:rPr>
          <w:vertAlign w:val="superscript"/>
        </w:rPr>
        <w:t xml:space="preserve">]</w:t>
      </w:r>
      <w:r>
        <w:t xml:space="preserve">。</w:t>
      </w:r>
    </w:p>
    <w:bookmarkEnd w:id="1651"/>
    <w:bookmarkStart w:id="1652" w:name="sec-98-12"/>
    <w:p>
      <w:pPr>
        <w:pStyle w:val="Heading3"/>
      </w:pPr>
      <w:r>
        <w:t xml:space="preserve">98.12　遗传缺失和短时阻断揭示不同问题</w:t>
      </w:r>
    </w:p>
    <w:p>
      <w:pPr>
        <w:pStyle w:val="FirstParagraph"/>
      </w:pPr>
      <w:r>
        <w:t xml:space="preserve">必要性具有条件。从发育开始缺少受体，允许其他机制在整个成长过程中适应。成年后短时阻断受体，则更接近检验当下功能，但可能受到药物选择性与暴露影响，也可能同时作用于其他靶点。两种操作结果不同，可以提示发育补偿、任务差异或其他受体作用，不能只选择其中一个作为全部系统的最终答案。同一行为在不同社会环境中也可能使用不同过程。更强的解释需要结合时间特异、位置特异和细胞特异操作，并检查行为多个维度。</w:t>
      </w:r>
    </w:p>
    <w:p>
      <w:pPr>
        <w:pStyle w:val="BodyText"/>
      </w:pPr>
      <w:r>
        <w:t xml:space="preserve">对遗传实验还需确认突变是否真正消除功能。基因序列变化、蛋白表达与受体功能属于不同验证层次。多个独立品系能够减少某一偶然遗传背景的解释，但不能彻底消除共同发育适应。若进一步在特定细胞、特定时间恢复受体功能，并观察相应行为变化，可以提高机制定位的精度。</w:t>
      </w:r>
    </w:p>
    <w:bookmarkEnd w:id="1652"/>
    <w:bookmarkStart w:id="1653" w:name="sec-98-13"/>
    <w:p>
      <w:pPr>
        <w:pStyle w:val="Heading3"/>
      </w:pPr>
      <w:r>
        <w:t xml:space="preserve">98.13　社会行为的方向依赖关系和信息</w:t>
      </w:r>
    </w:p>
    <w:p>
      <w:pPr>
        <w:pStyle w:val="FirstParagraph"/>
      </w:pPr>
      <w:r>
        <w:t xml:space="preserve">信任任务中的转移金额可以受到风险偏好、互惠预期、规范理解和对实验者的判断影响。家庭照护、陌生人合作和群体竞争又要求不同的信息处理。一个分子可能改变对社会线索的注意或学习，最终行为方向便会随线索内容变化。因此，行为名称必须与任务结构一同解释</w:t>
      </w:r>
      <w:r>
        <w:rPr>
          <w:vertAlign w:val="superscript"/>
        </w:rPr>
        <w:t xml:space="preserve">[</w:t>
      </w:r>
      <w:hyperlink w:anchor="ref-879">
        <w:r>
          <w:rPr>
            <w:rStyle w:val="Hyperlink"/>
            <w:vertAlign w:val="superscript"/>
          </w:rPr>
          <w:t xml:space="preserve">879</w:t>
        </w:r>
      </w:hyperlink>
      <w:r>
        <w:rPr>
          <w:vertAlign w:val="superscript"/>
        </w:rPr>
        <w:t xml:space="preserve">]</w:t>
      </w:r>
      <w:r>
        <w:t xml:space="preserve">。</w:t>
      </w:r>
    </w:p>
    <w:p>
      <w:pPr>
        <w:pStyle w:val="BodyText"/>
      </w:pPr>
      <w:r>
        <w:t xml:space="preserve">较大注册重复与等效检验对早期统一信任效应提出了重要限制</w:t>
      </w:r>
      <w:r>
        <w:rPr>
          <w:vertAlign w:val="superscript"/>
        </w:rPr>
        <w:t xml:space="preserve">[</w:t>
      </w:r>
      <w:hyperlink w:anchor="ref-876">
        <w:r>
          <w:rPr>
            <w:rStyle w:val="Hyperlink"/>
            <w:vertAlign w:val="superscript"/>
          </w:rPr>
          <w:t xml:space="preserve">876</w:t>
        </w:r>
      </w:hyperlink>
      <w:r>
        <w:rPr>
          <w:vertAlign w:val="superscript"/>
        </w:rPr>
        <w:t xml:space="preserve">,</w:t>
      </w:r>
      <w:hyperlink w:anchor="ref-880">
        <w:r>
          <w:rPr>
            <w:rStyle w:val="Hyperlink"/>
            <w:vertAlign w:val="superscript"/>
          </w:rPr>
          <w:t xml:space="preserve">880</w:t>
        </w:r>
      </w:hyperlink>
      <w:r>
        <w:rPr>
          <w:vertAlign w:val="superscript"/>
        </w:rPr>
        <w:t xml:space="preserve">]</w:t>
      </w:r>
      <w:r>
        <w:t xml:space="preserve">。这类结果并不抹去催产素在分娩、泌乳和特定动物回路中的生理意义。不同主张的证据强度应分别评价。高置信结论是该系统具有广泛而有条件的生物学作用；把它当作可普遍提高信任、忠诚或人际品质的工具，缺少可靠支持。</w:t>
      </w:r>
    </w:p>
    <w:bookmarkEnd w:id="1653"/>
    <w:bookmarkStart w:id="1654" w:name="sec-98-14"/>
    <w:p>
      <w:pPr>
        <w:pStyle w:val="Heading3"/>
      </w:pPr>
      <w:r>
        <w:t xml:space="preserve">98.14　相近肽类需要通过受体选择性区分</w:t>
      </w:r>
    </w:p>
    <w:p>
      <w:pPr>
        <w:pStyle w:val="FirstParagraph"/>
      </w:pPr>
      <w:r>
        <w:t xml:space="preserve">催产素与精氨酸加压素在分子结构和受体系统上具有相近性。研究配体的作用时，需要检验其在不同受体亚型、浓度和物种中的选择性。一种在某实验系统中相对选择性的激动剂或拮抗剂，换到其他浓度或物种后可能影响额外受体。药理综述明确讨论了这类选择性与物种差异</w:t>
      </w:r>
      <w:r>
        <w:rPr>
          <w:vertAlign w:val="superscript"/>
        </w:rPr>
        <w:t xml:space="preserve">[</w:t>
      </w:r>
      <w:hyperlink w:anchor="ref-885">
        <w:r>
          <w:rPr>
            <w:rStyle w:val="Hyperlink"/>
            <w:vertAlign w:val="superscript"/>
          </w:rPr>
          <w:t xml:space="preserve">885</w:t>
        </w:r>
      </w:hyperlink>
      <w:r>
        <w:rPr>
          <w:vertAlign w:val="superscript"/>
        </w:rPr>
        <w:t xml:space="preserve">]</w:t>
      </w:r>
      <w:r>
        <w:t xml:space="preserve">。</w:t>
      </w:r>
    </w:p>
    <w:p>
      <w:pPr>
        <w:pStyle w:val="BodyText"/>
      </w:pPr>
      <w:r>
        <w:t xml:space="preserve">因此，给动物一种催产素相关配体后出现社会行为变化，不能只凭药物名称确定全部效应由催产素受体介导。需要结合受体表达、有效暴露、剂量范围与遗传或其他药理对照。反过来，基因缺失也可能引起发育补偿。多种方法相互约束，能比单一工具更精确地确定路径</w:t>
      </w:r>
      <w:r>
        <w:rPr>
          <w:vertAlign w:val="superscript"/>
        </w:rPr>
        <w:t xml:space="preserve">[</w:t>
      </w:r>
      <w:hyperlink w:anchor="ref-881">
        <w:r>
          <w:rPr>
            <w:rStyle w:val="Hyperlink"/>
            <w:vertAlign w:val="superscript"/>
          </w:rPr>
          <w:t xml:space="preserve">881</w:t>
        </w:r>
      </w:hyperlink>
      <w:r>
        <w:rPr>
          <w:vertAlign w:val="superscript"/>
        </w:rPr>
        <w:t xml:space="preserve">,</w:t>
      </w:r>
      <w:hyperlink w:anchor="ref-883">
        <w:r>
          <w:rPr>
            <w:rStyle w:val="Hyperlink"/>
            <w:vertAlign w:val="superscript"/>
          </w:rPr>
          <w:t xml:space="preserve">883</w:t>
        </w:r>
      </w:hyperlink>
      <w:r>
        <w:rPr>
          <w:vertAlign w:val="superscript"/>
        </w:rPr>
        <w:t xml:space="preserve">]</w:t>
      </w:r>
      <w:r>
        <w:t xml:space="preserve">。</w:t>
      </w:r>
    </w:p>
    <w:bookmarkEnd w:id="1654"/>
    <w:bookmarkStart w:id="1655" w:name="sec-98-15"/>
    <w:p>
      <w:pPr>
        <w:pStyle w:val="Heading3"/>
      </w:pPr>
      <w:r>
        <w:t xml:space="preserve">98.15　肽类信号的区室决定其可接触对象</w:t>
      </w:r>
    </w:p>
    <w:p>
      <w:pPr>
        <w:pStyle w:val="FirstParagraph"/>
      </w:pPr>
      <w:r>
        <w:t xml:space="preserve">一个教学情景可以说明：假设外周浓度增加而脑内局部释放未变，身体反应可能通过内感受路径影响行为；另一个情景中，局部脑内释放增加但外周变化很小，也可能改变某个回路。两种情景都说明外周与中枢作用之间存在多条联系，单次血样难以唯一确定路径。</w:t>
      </w:r>
    </w:p>
    <w:bookmarkEnd w:id="1655"/>
    <w:bookmarkStart w:id="1656" w:name="sec-98-16"/>
    <w:p>
      <w:pPr>
        <w:pStyle w:val="Heading3"/>
      </w:pPr>
      <w:r>
        <w:t xml:space="preserve">98.16　社会选择需要定义关系对象与时间范围</w:t>
      </w:r>
    </w:p>
    <w:p>
      <w:pPr>
        <w:pStyle w:val="FirstParagraph"/>
      </w:pPr>
      <w:r>
        <w:t xml:space="preserve">与熟悉伴侣接近、探索陌生个体、照护幼体和建立群体边界是不同社会行为。一个干预增加与熟悉对象接触，可以同时减少陌生对象接触；总体接触时间可能不变。若只报告社交更多或更少，就会丢失选择性的关键维度</w:t>
      </w:r>
      <w:r>
        <w:rPr>
          <w:vertAlign w:val="superscript"/>
        </w:rPr>
        <w:t xml:space="preserve">[</w:t>
      </w:r>
      <w:hyperlink w:anchor="ref-882">
        <w:r>
          <w:rPr>
            <w:rStyle w:val="Hyperlink"/>
            <w:vertAlign w:val="superscript"/>
          </w:rPr>
          <w:t xml:space="preserve">882</w:t>
        </w:r>
      </w:hyperlink>
      <w:r>
        <w:rPr>
          <w:vertAlign w:val="superscript"/>
        </w:rPr>
        <w:t xml:space="preserve">]</w:t>
      </w:r>
      <w:r>
        <w:t xml:space="preserve">。</w:t>
      </w:r>
    </w:p>
    <w:p>
      <w:pPr>
        <w:pStyle w:val="BodyText"/>
      </w:pPr>
      <w:r>
        <w:t xml:space="preserve">行为时间也重要。初次建立关系、关系维持和分离后的反应可以由不同机制影响。某基因缺失后关系仍能形成，并不保证形成速度、稳定性和对象选择都保持原样。持续测量关系的不同阶段，有助于将表面相似的结局拆成更具体的功能。</w:t>
      </w:r>
    </w:p>
    <w:bookmarkEnd w:id="1656"/>
    <w:bookmarkStart w:id="1657" w:name="sec-98-17"/>
    <w:p>
      <w:pPr>
        <w:pStyle w:val="Heading3"/>
      </w:pPr>
      <w:r>
        <w:t xml:space="preserve">98.17　内源功能不能直接决定补充给药的方向</w:t>
      </w:r>
    </w:p>
    <w:p>
      <w:pPr>
        <w:pStyle w:val="FirstParagraph"/>
      </w:pPr>
      <w:r>
        <w:t xml:space="preserve">一种内源分子参与某种生理功能，不意味着额外补充会按同一方向无限增强该功能。受体占有、脱敏、反馈与其他系统相互作用限制其作用。对社会行为尤其如此，因为同一身体变化在不同关系和情境中可以产生不同意义</w:t>
      </w:r>
      <w:r>
        <w:rPr>
          <w:vertAlign w:val="superscript"/>
        </w:rPr>
        <w:t xml:space="preserve">[</w:t>
      </w:r>
      <w:hyperlink w:anchor="ref-64">
        <w:r>
          <w:rPr>
            <w:rStyle w:val="Hyperlink"/>
            <w:vertAlign w:val="superscript"/>
          </w:rPr>
          <w:t xml:space="preserve">64</w:t>
        </w:r>
      </w:hyperlink>
      <w:r>
        <w:rPr>
          <w:vertAlign w:val="superscript"/>
        </w:rPr>
        <w:t xml:space="preserve">,</w:t>
      </w:r>
      <w:hyperlink w:anchor="ref-68">
        <w:r>
          <w:rPr>
            <w:rStyle w:val="Hyperlink"/>
            <w:vertAlign w:val="superscript"/>
          </w:rPr>
          <w:t xml:space="preserve">68</w:t>
        </w:r>
      </w:hyperlink>
      <w:r>
        <w:rPr>
          <w:vertAlign w:val="superscript"/>
        </w:rPr>
        <w:t xml:space="preserve">,</w:t>
      </w:r>
      <w:hyperlink w:anchor="ref-885">
        <w:r>
          <w:rPr>
            <w:rStyle w:val="Hyperlink"/>
            <w:vertAlign w:val="superscript"/>
          </w:rPr>
          <w:t xml:space="preserve">885</w:t>
        </w:r>
      </w:hyperlink>
      <w:r>
        <w:rPr>
          <w:vertAlign w:val="superscript"/>
        </w:rPr>
        <w:t xml:space="preserve">]</w:t>
      </w:r>
      <w:r>
        <w:t xml:space="preserve">。</w:t>
      </w:r>
    </w:p>
    <w:bookmarkEnd w:id="1657"/>
    <w:bookmarkStart w:id="1658" w:name="sec-98-18"/>
    <w:p>
      <w:pPr>
        <w:pStyle w:val="Heading3"/>
      </w:pPr>
      <w:r>
        <w:t xml:space="preserve">98.18　本章结论</w:t>
      </w:r>
    </w:p>
    <w:p>
      <w:pPr>
        <w:pStyle w:val="FirstParagraph"/>
      </w:pPr>
      <w:r>
        <w:t xml:space="preserve">催产素社会研究应以具体任务和通路为单位。普遍信任增强的经典叙事受到较强重复研究限制，部分动物行为又显示遗传必需性与情境调节的复杂关系。最可靠的表达保留其真实生理作用与研究潜力，同时拒绝把一个分子当作爱情或善意的统一尺度</w:t>
      </w:r>
      <w:r>
        <w:rPr>
          <w:vertAlign w:val="superscript"/>
        </w:rPr>
        <w:t xml:space="preserve">[</w:t>
      </w:r>
      <w:hyperlink w:anchor="ref-876">
        <w:r>
          <w:rPr>
            <w:rStyle w:val="Hyperlink"/>
            <w:vertAlign w:val="superscript"/>
          </w:rPr>
          <w:t xml:space="preserve">876</w:t>
        </w:r>
      </w:hyperlink>
      <w:r>
        <w:rPr>
          <w:vertAlign w:val="superscript"/>
        </w:rPr>
        <w:t xml:space="preserve">,</w:t>
      </w:r>
      <w:hyperlink w:anchor="ref-880">
        <w:r>
          <w:rPr>
            <w:rStyle w:val="Hyperlink"/>
            <w:vertAlign w:val="superscript"/>
          </w:rPr>
          <w:t xml:space="preserve">880</w:t>
        </w:r>
      </w:hyperlink>
      <w:r>
        <w:rPr>
          <w:vertAlign w:val="superscript"/>
        </w:rPr>
        <w:t xml:space="preserve">,</w:t>
      </w:r>
      <w:hyperlink w:anchor="ref-881">
        <w:r>
          <w:rPr>
            <w:rStyle w:val="Hyperlink"/>
            <w:vertAlign w:val="superscript"/>
          </w:rPr>
          <w:t xml:space="preserve">881</w:t>
        </w:r>
      </w:hyperlink>
      <w:r>
        <w:rPr>
          <w:vertAlign w:val="superscript"/>
        </w:rPr>
        <w:t xml:space="preserve">,</w:t>
      </w:r>
      <w:hyperlink w:anchor="ref-882">
        <w:r>
          <w:rPr>
            <w:rStyle w:val="Hyperlink"/>
            <w:vertAlign w:val="superscript"/>
          </w:rPr>
          <w:t xml:space="preserve">882</w:t>
        </w:r>
      </w:hyperlink>
      <w:r>
        <w:rPr>
          <w:vertAlign w:val="superscript"/>
        </w:rPr>
        <w:t xml:space="preserve">]</w:t>
      </w:r>
      <w:r>
        <w:t xml:space="preserve">。</w:t>
      </w:r>
    </w:p>
    <w:bookmarkEnd w:id="1658"/>
    <w:bookmarkEnd w:id="1659"/>
    <w:bookmarkStart w:id="1680" w:name="ch-99"/>
    <w:p>
      <w:pPr>
        <w:pStyle w:val="Heading2"/>
      </w:pPr>
      <w:r>
        <w:t xml:space="preserve">第99章　皮质醇节律与应激调节</w:t>
      </w:r>
    </w:p>
    <w:bookmarkStart w:id="1660" w:name="sec-99-1"/>
    <w:p>
      <w:pPr>
        <w:pStyle w:val="Heading3"/>
      </w:pPr>
      <w:r>
        <w:t xml:space="preserve">99.1　皮质醇做什么：概览</w:t>
      </w:r>
    </w:p>
    <w:p>
      <w:pPr>
        <w:pStyle w:val="FirstParagraph"/>
      </w:pPr>
      <w:r>
        <w:t xml:space="preserve">皮质醇由肾上腺分泌，受下丘脑—垂体—肾上腺轴调控，海马、前额叶、杏仁核和免疫信号都参与调节这条轴，皮质醇本身也会反馈抑制它。皮质醇有明显的昼夜节律：在常规的日间作息下，清晨最高，之后在一天中逐渐下降，午夜前后最低；夜班、睡眠时相和采样是否准时都会改变这个参照。醒来后的 30 到 45 分钟内，皮质醇还会在原有水平上额外上升一段，称为“皮质醇觉醒反应”，它的幅度随睡眠、起床时间和采样是否准时而变化</w:t>
      </w:r>
      <w:r>
        <w:rPr>
          <w:vertAlign w:val="superscript"/>
        </w:rPr>
        <w:t xml:space="preserve">[</w:t>
      </w:r>
      <w:hyperlink w:anchor="ref-886">
        <w:r>
          <w:rPr>
            <w:rStyle w:val="Hyperlink"/>
            <w:vertAlign w:val="superscript"/>
          </w:rPr>
          <w:t xml:space="preserve">886</w:t>
        </w:r>
      </w:hyperlink>
      <w:r>
        <w:rPr>
          <w:vertAlign w:val="superscript"/>
        </w:rPr>
        <w:t xml:space="preserve">]</w:t>
      </w:r>
      <w:r>
        <w:t xml:space="preserve">。急性应激时皮质醇升高，帮助调动能量、调节免疫、加强对重要事件的记忆，这是适应性的反应</w:t>
      </w:r>
      <w:r>
        <w:rPr>
          <w:vertAlign w:val="superscript"/>
        </w:rPr>
        <w:t xml:space="preserve">[</w:t>
      </w:r>
      <w:hyperlink w:anchor="ref-887">
        <w:r>
          <w:rPr>
            <w:rStyle w:val="Hyperlink"/>
            <w:vertAlign w:val="superscript"/>
          </w:rPr>
          <w:t xml:space="preserve">887</w:t>
        </w:r>
      </w:hyperlink>
      <w:r>
        <w:rPr>
          <w:vertAlign w:val="superscript"/>
        </w:rPr>
        <w:t xml:space="preserve">]</w:t>
      </w:r>
      <w:r>
        <w:t xml:space="preserve">。造成问题的是长期失调：80 项研究的元分析发现，一天之中皮质醇下降曲线越平坦，身心健康状况往往越差</w:t>
      </w:r>
      <w:r>
        <w:rPr>
          <w:vertAlign w:val="superscript"/>
        </w:rPr>
        <w:t xml:space="preserve">[</w:t>
      </w:r>
      <w:hyperlink w:anchor="ref-888">
        <w:r>
          <w:rPr>
            <w:rStyle w:val="Hyperlink"/>
            <w:vertAlign w:val="superscript"/>
          </w:rPr>
          <w:t xml:space="preserve">888</w:t>
        </w:r>
      </w:hyperlink>
      <w:r>
        <w:rPr>
          <w:vertAlign w:val="superscript"/>
        </w:rPr>
        <w:t xml:space="preserve">]</w:t>
      </w:r>
      <w:r>
        <w:t xml:space="preserve">。应激时的峰值、一天的下降斜率、觉醒反应、全天总量和头发中的累积水平，各自对应不同的层面。把它们合并成一个“越低越好”的指标，没有依据。“皮质醇是坏激素，越低越好”的说法因此不准确。</w:t>
      </w:r>
    </w:p>
    <w:p>
      <w:pPr>
        <w:pStyle w:val="CalloutJudgment"/>
      </w:pPr>
      <w:r>
        <w:rPr>
          <w:bCs/>
          <w:b/>
        </w:rPr>
        <w:t xml:space="preserve">判断　</w:t>
      </w:r>
      <w:r>
        <w:t xml:space="preserve">“皮质醇是坏激素”</w:t>
      </w:r>
      <w:r>
        <w:rPr>
          <w:bCs/>
          <w:b/>
        </w:rPr>
        <w:t xml:space="preserve">错误·高</w:t>
      </w:r>
      <w:r>
        <w:t xml:space="preserve">。</w:t>
      </w:r>
    </w:p>
    <w:bookmarkEnd w:id="1660"/>
    <w:bookmarkStart w:id="1661" w:name="sec-99-2"/>
    <w:p>
      <w:pPr>
        <w:pStyle w:val="Heading3"/>
      </w:pPr>
      <w:r>
        <w:t xml:space="preserve">99.2　必要激素不能以越低越好评价</w:t>
      </w:r>
    </w:p>
    <w:p>
      <w:pPr>
        <w:pStyle w:val="FirstParagraph"/>
      </w:pPr>
      <w:r>
        <w:t xml:space="preserve">皮质醇是维持正常生理的重要糖皮质激素，过少和持续不适当的过多都可能产生问题。把它统一称为坏激素并追求尽可能降低，已有临床反例否定，置信度高。需要评估的是水平、节律、反馈和组织反应是否适合具体状态</w:t>
      </w:r>
      <w:r>
        <w:rPr>
          <w:vertAlign w:val="superscript"/>
        </w:rPr>
        <w:t xml:space="preserve">[</w:t>
      </w:r>
      <w:hyperlink w:anchor="ref-889">
        <w:r>
          <w:rPr>
            <w:rStyle w:val="Hyperlink"/>
            <w:vertAlign w:val="superscript"/>
          </w:rPr>
          <w:t xml:space="preserve">889</w:t>
        </w:r>
      </w:hyperlink>
      <w:r>
        <w:rPr>
          <w:vertAlign w:val="superscript"/>
        </w:rPr>
        <w:t xml:space="preserve">,</w:t>
      </w:r>
      <w:hyperlink w:anchor="ref-890">
        <w:r>
          <w:rPr>
            <w:rStyle w:val="Hyperlink"/>
            <w:vertAlign w:val="superscript"/>
          </w:rPr>
          <w:t xml:space="preserve">890</w:t>
        </w:r>
      </w:hyperlink>
      <w:r>
        <w:rPr>
          <w:vertAlign w:val="superscript"/>
        </w:rPr>
        <w:t xml:space="preserve">,</w:t>
      </w:r>
      <w:hyperlink w:anchor="ref-891">
        <w:r>
          <w:rPr>
            <w:rStyle w:val="Hyperlink"/>
            <w:vertAlign w:val="superscript"/>
          </w:rPr>
          <w:t xml:space="preserve">891</w:t>
        </w:r>
      </w:hyperlink>
      <w:r>
        <w:rPr>
          <w:vertAlign w:val="superscript"/>
        </w:rPr>
        <w:t xml:space="preserve">]</w:t>
      </w:r>
      <w:r>
        <w:t xml:space="preserve">。</w:t>
      </w:r>
    </w:p>
    <w:p>
      <w:pPr>
        <w:pStyle w:val="BodyText"/>
      </w:pPr>
      <w:r>
        <w:t xml:space="preserve">肾上腺功能不全提供直接例子：机体不能产生足够相关激素时，临床需要按病情进行替代。维持血压、能量动员和应对生理负荷，都需要适当的糖皮质激素作用。这个事实足以反驳任何情况下越低越好的单调关系。它不会支持健康人自行补充激素，也不会取消长期过量可能造成的风险；疾病状态下的替代治疗与健康人的压力管理具有不同目标</w:t>
      </w:r>
      <w:r>
        <w:rPr>
          <w:vertAlign w:val="superscript"/>
        </w:rPr>
        <w:t xml:space="preserve">[</w:t>
      </w:r>
      <w:hyperlink w:anchor="ref-890">
        <w:r>
          <w:rPr>
            <w:rStyle w:val="Hyperlink"/>
            <w:vertAlign w:val="superscript"/>
          </w:rPr>
          <w:t xml:space="preserve">890</w:t>
        </w:r>
      </w:hyperlink>
      <w:r>
        <w:rPr>
          <w:vertAlign w:val="superscript"/>
        </w:rPr>
        <w:t xml:space="preserve">,</w:t>
      </w:r>
      <w:hyperlink w:anchor="ref-891">
        <w:r>
          <w:rPr>
            <w:rStyle w:val="Hyperlink"/>
            <w:vertAlign w:val="superscript"/>
          </w:rPr>
          <w:t xml:space="preserve">891</w:t>
        </w:r>
      </w:hyperlink>
      <w:r>
        <w:rPr>
          <w:vertAlign w:val="superscript"/>
        </w:rPr>
        <w:t xml:space="preserve">]</w:t>
      </w:r>
      <w:r>
        <w:t xml:space="preserve">。</w:t>
      </w:r>
    </w:p>
    <w:bookmarkEnd w:id="1661"/>
    <w:bookmarkStart w:id="1662" w:name="sec-99-3"/>
    <w:p>
      <w:pPr>
        <w:pStyle w:val="Heading3"/>
      </w:pPr>
      <w:r>
        <w:t xml:space="preserve">99.3　下丘脑—垂体—肾上腺轴的反馈</w:t>
      </w:r>
    </w:p>
    <w:p>
      <w:pPr>
        <w:pStyle w:val="FirstParagraph"/>
      </w:pPr>
      <w:r>
        <w:t xml:space="preserve">在简化的生理框架中，下丘脑释放因子（主要是促肾上腺皮质激素释放激素和加压素）影响垂体促肾上腺皮质激素释放，后者作用于肾上腺皮质，皮质醇再通过多处受体作用于下丘脑和垂体等上游环节，构成负反馈。这个系统还受到昼夜时序、身体状态、免疫、神经和应激输入的调节。用一条单向箭头描述它，只能作为入门框架，不能涵盖全部动态；单个时间点的皮质醇读数只展示当时系统输出的一部分</w:t>
      </w:r>
      <w:r>
        <w:rPr>
          <w:vertAlign w:val="superscript"/>
        </w:rPr>
        <w:t xml:space="preserve">[</w:t>
      </w:r>
      <w:hyperlink w:anchor="ref-886">
        <w:r>
          <w:rPr>
            <w:rStyle w:val="Hyperlink"/>
            <w:vertAlign w:val="superscript"/>
          </w:rPr>
          <w:t xml:space="preserve">886</w:t>
        </w:r>
      </w:hyperlink>
      <w:r>
        <w:rPr>
          <w:vertAlign w:val="superscript"/>
        </w:rPr>
        <w:t xml:space="preserve">,</w:t>
      </w:r>
      <w:hyperlink w:anchor="ref-889">
        <w:r>
          <w:rPr>
            <w:rStyle w:val="Hyperlink"/>
            <w:vertAlign w:val="superscript"/>
          </w:rPr>
          <w:t xml:space="preserve">889</w:t>
        </w:r>
      </w:hyperlink>
      <w:r>
        <w:rPr>
          <w:vertAlign w:val="superscript"/>
        </w:rPr>
        <w:t xml:space="preserve">,</w:t>
      </w:r>
      <w:hyperlink w:anchor="ref-892">
        <w:r>
          <w:rPr>
            <w:rStyle w:val="Hyperlink"/>
            <w:vertAlign w:val="superscript"/>
          </w:rPr>
          <w:t xml:space="preserve">892</w:t>
        </w:r>
      </w:hyperlink>
      <w:r>
        <w:rPr>
          <w:vertAlign w:val="superscript"/>
        </w:rPr>
        <w:t xml:space="preserve">]</w:t>
      </w:r>
      <w:r>
        <w:t xml:space="preserve">。</w:t>
      </w:r>
    </w:p>
    <w:p>
      <w:pPr>
        <w:pStyle w:val="BodyText"/>
      </w:pPr>
      <w:r>
        <w:t xml:space="preserve">反馈意味着一个时间点的数值可能由此前的过程决定。最终浓度同时取决于上游输入、腺体响应和清除速度。皮质醇升高，可能涉及驱动增强、腺体响应增加、反馈敏感性改变、清除减慢或结合蛋白变化；读数降低，可能涉及分泌或合成能力下降、反馈变化、采样时相或外源性药物抑制；多个过程也可能同时改变。单次静态读数无法唯一识别系统原因，要确定哪一环节发生变化，需要相应的动态信息。临床判断需要结合症状、相关激素和适当检测，并根据临床问题选择基础、动态或连续测量。不能把所有检验当成同一种压力评分，也不能把所有高低变化直接解释成心理压力大小。</w:t>
      </w:r>
    </w:p>
    <w:p>
      <w:pPr>
        <w:pStyle w:val="BodyText"/>
      </w:pPr>
      <w:r>
        <w:t xml:space="preserve">受体与组织也重要。相同外周浓度在不同组织中可能有不同作用，受体敏感性和细胞内处理影响结果。激素水平与实际生物效应之间并不只有一条固定换算关系。研究若把浓度当成全部系统功能，应承认其简化。</w:t>
      </w:r>
    </w:p>
    <w:bookmarkEnd w:id="1662"/>
    <w:bookmarkStart w:id="1663" w:name="sec-99-4"/>
    <w:p>
      <w:pPr>
        <w:pStyle w:val="Heading3"/>
      </w:pPr>
      <w:r>
        <w:t xml:space="preserve">99.4　昼夜节律与觉醒反应</w:t>
      </w:r>
    </w:p>
    <w:p>
      <w:pPr>
        <w:pStyle w:val="FirstParagraph"/>
      </w:pPr>
      <w:r>
        <w:t xml:space="preserve">皮质醇存在与昼夜及觉醒有关的变化，觉醒反应也应放在整体节律中理解。Stalder及同事的测量共识强调，醒来与取样时点、依从性及相关混杂会显著影响觉醒反应估计；起床时间、睡眠和光照也会影响测得曲线，第一个样本采晚可能改变估计的上升幅度。比较不同日或不同人的数值时，若没有统一这些条件，差异可能来自测量时序。研究需要把采样计划与实际执行同时记录，才能区分生理差异和程序误差</w:t>
      </w:r>
      <w:r>
        <w:rPr>
          <w:vertAlign w:val="superscript"/>
        </w:rPr>
        <w:t xml:space="preserve">[</w:t>
      </w:r>
      <w:hyperlink w:anchor="ref-886">
        <w:r>
          <w:rPr>
            <w:rStyle w:val="Hyperlink"/>
            <w:vertAlign w:val="superscript"/>
          </w:rPr>
          <w:t xml:space="preserve">886</w:t>
        </w:r>
      </w:hyperlink>
      <w:r>
        <w:rPr>
          <w:vertAlign w:val="superscript"/>
        </w:rPr>
        <w:t xml:space="preserve">]</w:t>
      </w:r>
      <w:r>
        <w:t xml:space="preserve">。</w:t>
      </w:r>
    </w:p>
    <w:p>
      <w:pPr>
        <w:pStyle w:val="BodyText"/>
      </w:pPr>
      <w:r>
        <w:t xml:space="preserve">觉醒反应与全天总分泌量也不同。早晨短时间变化可以很明显，但不能单独代表整天累积暴露。唾液、血液、尿液和毛发测量又对应不同窗口和生理成分。选择方法应从问题出发，例如关注瞬时反应、昼夜曲线还是较长时间暴露。</w:t>
      </w:r>
    </w:p>
    <w:p>
      <w:pPr>
        <w:pStyle w:val="BodyText"/>
      </w:pPr>
      <w:r>
        <w:t xml:space="preserve">以下为假设例子。两个人在钟表时间八点采样，甲六点醒来，乙七点五十分醒来。两份样本虽然钟表时间一致，与觉醒的相对时间却明显不同。若研究把差异解释为甲比乙压力小，便可能遗漏关键时间变量。记录实际醒来时间能够直接检验这一替代解释。</w:t>
      </w:r>
    </w:p>
    <w:bookmarkEnd w:id="1663"/>
    <w:bookmarkStart w:id="1664" w:name="sec-99-5"/>
    <w:p>
      <w:pPr>
        <w:pStyle w:val="Heading3"/>
      </w:pPr>
      <w:r>
        <w:t xml:space="preserve">99.5　急性适应与长期负担</w:t>
      </w:r>
    </w:p>
    <w:p>
      <w:pPr>
        <w:pStyle w:val="FirstParagraph"/>
      </w:pPr>
      <w:r>
        <w:t xml:space="preserve">应激反应可以帮助调配能量、维持警觉并应对挑战。反应的持续时间、恢复和重复暴露共同决定后果。长期持续失调可能带来代价，但短暂升高不能直接等同于病理。McEwen的应激生物学框架强调这种跨系统、跨时间的调节背景</w:t>
      </w:r>
      <w:r>
        <w:rPr>
          <w:vertAlign w:val="superscript"/>
        </w:rPr>
        <w:t xml:space="preserve">[</w:t>
      </w:r>
      <w:hyperlink w:anchor="ref-889">
        <w:r>
          <w:rPr>
            <w:rStyle w:val="Hyperlink"/>
            <w:vertAlign w:val="superscript"/>
          </w:rPr>
          <w:t xml:space="preserve">889</w:t>
        </w:r>
      </w:hyperlink>
      <w:r>
        <w:rPr>
          <w:vertAlign w:val="superscript"/>
        </w:rPr>
        <w:t xml:space="preserve">]</w:t>
      </w:r>
      <w:r>
        <w:t xml:space="preserve">。</w:t>
      </w:r>
    </w:p>
    <w:p>
      <w:pPr>
        <w:pStyle w:val="BodyText"/>
      </w:pPr>
      <w:r>
        <w:t xml:space="preserve">“慢性压力”也不是一种完全同质暴露。工作要求、睡眠不足、身体疾病、社会不安全和创伤经历可以通过不同路径影响身体。某些长期状态未必呈现简单持续升高。研究如果只寻找一个固定方向，可能漏掉反馈与适应的复杂变化。</w:t>
      </w:r>
    </w:p>
    <w:p>
      <w:pPr>
        <w:pStyle w:val="BodyText"/>
      </w:pPr>
      <w:r>
        <w:t xml:space="preserve">观察性研究中的因果方向同样需要谨慎。睡眠和疾病可以改变激素，激素状态也可能影响睡眠和功能；药物又可能同时影响两者。重复测量、合理对照和特定干预能够缩小解释，但单次相关无法完成全部判断。</w:t>
      </w:r>
    </w:p>
    <w:bookmarkEnd w:id="1664"/>
    <w:bookmarkStart w:id="1665" w:name="sec-99-6"/>
    <w:p>
      <w:pPr>
        <w:pStyle w:val="Heading3"/>
      </w:pPr>
      <w:r>
        <w:t xml:space="preserve">99.6　研究用途与疾病诊断</w:t>
      </w:r>
    </w:p>
    <w:p>
      <w:pPr>
        <w:pStyle w:val="FirstParagraph"/>
      </w:pPr>
      <w:r>
        <w:t xml:space="preserve">研究中的应激指标可以帮助比较群体或解释机制；临床诊断需要适应证、标准化流程和具体阈值的验证。一个商业报告把读数标为偏高，不能自动诊断某种内分泌疾病。反过来，相关症状也不能仅凭一次正常数值被全面排除。</w:t>
      </w:r>
    </w:p>
    <w:p>
      <w:pPr>
        <w:pStyle w:val="BodyText"/>
      </w:pPr>
      <w:r>
        <w:t xml:space="preserve">“肾上腺疲劳”等营销概念常把疲倦、睡眠困难和压力感组合为单一激素故事。评价应回到是否存在清楚的疾病定义、可重复的诊断效度和有效干预。疲劳可能有多种原因，未经验证的标签不能代替相应评估。</w:t>
      </w:r>
    </w:p>
    <w:bookmarkEnd w:id="1665"/>
    <w:bookmarkStart w:id="1666" w:name="sec-99-7"/>
    <w:p>
      <w:pPr>
        <w:pStyle w:val="Heading3"/>
      </w:pPr>
      <w:r>
        <w:t xml:space="preserve">99.7　干预目标应如何设定</w:t>
      </w:r>
    </w:p>
    <w:p>
      <w:pPr>
        <w:pStyle w:val="FirstParagraph"/>
      </w:pPr>
      <w:r>
        <w:t xml:space="preserve">睡眠、工作负荷、心理支持或其他干预是否改善健康，应直接评价功能和症状。若皮质醇随之改变，可以进一步研究它是否是中介；若没有改变，也不能自动认定干预无效。一个替代指标只有在经过验证后，才可以替代临床结局。</w:t>
      </w:r>
    </w:p>
    <w:p>
      <w:pPr>
        <w:pStyle w:val="BodyText"/>
      </w:pPr>
      <w:r>
        <w:t xml:space="preserve">抑制激素的药物与生活方式调整具有不同风险和适应证。基础应激知识不提供自行用药依据。对于确有内分泌疾病的人，治疗目标需要专业评估；对于一般生活压力，追逐最低化验值缺少科学理由</w:t>
      </w:r>
      <w:r>
        <w:rPr>
          <w:vertAlign w:val="superscript"/>
        </w:rPr>
        <w:t xml:space="preserve">[</w:t>
      </w:r>
      <w:hyperlink w:anchor="ref-891">
        <w:r>
          <w:rPr>
            <w:rStyle w:val="Hyperlink"/>
            <w:vertAlign w:val="superscript"/>
          </w:rPr>
          <w:t xml:space="preserve">891</w:t>
        </w:r>
      </w:hyperlink>
      <w:r>
        <w:rPr>
          <w:vertAlign w:val="superscript"/>
        </w:rPr>
        <w:t xml:space="preserve">]</w:t>
      </w:r>
      <w:r>
        <w:t xml:space="preserve">。</w:t>
      </w:r>
    </w:p>
    <w:bookmarkEnd w:id="1666"/>
    <w:bookmarkStart w:id="1667" w:name="sec-99-8"/>
    <w:p>
      <w:pPr>
        <w:pStyle w:val="Heading3"/>
      </w:pPr>
      <w:r>
        <w:t xml:space="preserve">99.8　负反馈具有时间延迟</w:t>
      </w:r>
    </w:p>
    <w:p>
      <w:pPr>
        <w:pStyle w:val="FirstParagraph"/>
      </w:pPr>
      <w:r>
        <w:t xml:space="preserve">反馈具有延迟。信号释放、运输、受体作用和基因调节都需要时间，系统因此可以产生动态波动。把负反馈想象成瞬时恒温器，会低估这种时间组织。模型中的反馈强度和延迟改变，可以产生不同脉冲形状；要判断真实机制，需要连续或密集采样与适当干预。</w:t>
      </w:r>
    </w:p>
    <w:bookmarkEnd w:id="1667"/>
    <w:bookmarkStart w:id="1668" w:name="sec-99-9"/>
    <w:p>
      <w:pPr>
        <w:pStyle w:val="Heading3"/>
      </w:pPr>
      <w:r>
        <w:t xml:space="preserve">99.9　合成方式决定储备与响应特征</w:t>
      </w:r>
    </w:p>
    <w:p>
      <w:pPr>
        <w:pStyle w:val="FirstParagraph"/>
      </w:pPr>
      <w:r>
        <w:t xml:space="preserve">皮质醇属于类固醇激素，其合成依赖胆固醇及多步酶促过程。促肾上腺皮质激素能够调节相关细胞的合成活动。与预先储存在分泌囊泡中的某些肽类信号相比，类固醇激素的输出具有不同的合成和分布约束。解释急性响应时，应注意这些生化环节</w:t>
      </w:r>
      <w:r>
        <w:rPr>
          <w:vertAlign w:val="superscript"/>
        </w:rPr>
        <w:t xml:space="preserve">[</w:t>
      </w:r>
      <w:hyperlink w:anchor="ref-892">
        <w:r>
          <w:rPr>
            <w:rStyle w:val="Hyperlink"/>
            <w:vertAlign w:val="superscript"/>
          </w:rPr>
          <w:t xml:space="preserve">892</w:t>
        </w:r>
      </w:hyperlink>
      <w:r>
        <w:rPr>
          <w:vertAlign w:val="superscript"/>
        </w:rPr>
        <w:t xml:space="preserve">]</w:t>
      </w:r>
      <w:r>
        <w:t xml:space="preserve">。</w:t>
      </w:r>
    </w:p>
    <w:p>
      <w:pPr>
        <w:pStyle w:val="BodyText"/>
      </w:pPr>
      <w:r>
        <w:t xml:space="preserve">肾上腺皮质各层具有不同酶表达与产物特征，髓质又属于不同细胞系统。把整枚肾上腺视为单一压力器官，会混合糖皮质激素、盐皮质激素和儿茶酚胺的不同调节。某种疾病或药物可能主要影响其中一个环节，其他输出并不一定同步改变。</w:t>
      </w:r>
    </w:p>
    <w:bookmarkEnd w:id="1668"/>
    <w:bookmarkStart w:id="1669" w:name="sec-99-10"/>
    <w:p>
      <w:pPr>
        <w:pStyle w:val="Heading3"/>
      </w:pPr>
      <w:r>
        <w:t xml:space="preserve">99.10　总浓度、游离浓度和组织作用</w:t>
      </w:r>
    </w:p>
    <w:p>
      <w:pPr>
        <w:pStyle w:val="FirstParagraph"/>
      </w:pPr>
      <w:r>
        <w:t xml:space="preserve">循环中的皮质醇大部分与皮质类固醇结合球蛋白和白蛋白结合，只有少部分以游离形式与组织交换。结合蛋白改变可以使总浓度变化，游离暴露和组织作用却未必按相同比例变化；例如，妊娠和含雌激素的口服避孕药会升高结合球蛋白，使血中总皮质醇升高。唾液皮质醇主要反映游离部分。疾病和其他药物也可能改变检测背景，因此不同样本和检测条件需要相应解释</w:t>
      </w:r>
      <w:r>
        <w:rPr>
          <w:vertAlign w:val="superscript"/>
        </w:rPr>
        <w:t xml:space="preserve">[</w:t>
      </w:r>
      <w:hyperlink w:anchor="ref-892">
        <w:r>
          <w:rPr>
            <w:rStyle w:val="Hyperlink"/>
            <w:vertAlign w:val="superscript"/>
          </w:rPr>
          <w:t xml:space="preserve">892</w:t>
        </w:r>
      </w:hyperlink>
      <w:r>
        <w:rPr>
          <w:vertAlign w:val="superscript"/>
        </w:rPr>
        <w:t xml:space="preserve">]</w:t>
      </w:r>
      <w:r>
        <w:t xml:space="preserve">。</w:t>
      </w:r>
    </w:p>
    <w:p>
      <w:pPr>
        <w:pStyle w:val="BodyText"/>
      </w:pPr>
      <w:r>
        <w:t xml:space="preserve">组织还可以通过局部酶调节活性糖皮质激素的可用性。11β-羟类固醇脱氢酶相关过程参与皮质醇与可的松之间的转换，使局部作用不完全由血中总浓度决定。受体表达与下游信号也会改变敏感性。即使两个人血液数值相同，具体组织响应仍可能不同。</w:t>
      </w:r>
    </w:p>
    <w:p>
      <w:pPr>
        <w:pStyle w:val="BodyText"/>
      </w:pPr>
      <w:r>
        <w:t xml:space="preserve">由此可以得到一个重要推论：外周浓度是输入条件之一，生物效应还取决于局部代谢、转运和受体状态。血中正常范围与某个细胞的正常功能不能简单画等号，临床解释需结合疾病背景和适当测试。研究若声称某项干预降低了脑内糖皮质激素负担，需要提供相应链条的证据。仅观察血液总浓度下降，尚不足以确定所有脑区中的功能变化。</w:t>
      </w:r>
    </w:p>
    <w:bookmarkEnd w:id="1669"/>
    <w:bookmarkStart w:id="1670" w:name="sec-99-11"/>
    <w:p>
      <w:pPr>
        <w:pStyle w:val="Heading3"/>
      </w:pPr>
      <w:r>
        <w:t xml:space="preserve">99.11　受体作用具有快慢多个时间尺度</w:t>
      </w:r>
    </w:p>
    <w:p>
      <w:pPr>
        <w:pStyle w:val="FirstParagraph"/>
      </w:pPr>
      <w:r>
        <w:t xml:space="preserve">糖皮质激素受体能够影响基因转录，相关作用涉及受体构象、伴侣蛋白、细胞内定位、染色质环境和共同调节因子。相同循环暴露可以在不同组织中改变不同基因程序，某些较快效应还可以通过非转录机制出现。受体数量只是敏感性的一个因素，不能直接代表完整组织响应。将所有作用统一理解为立即兴奋或立即抑制，会忽视不同时间尺度和组织条件</w:t>
      </w:r>
      <w:r>
        <w:rPr>
          <w:vertAlign w:val="superscript"/>
        </w:rPr>
        <w:t xml:space="preserve">[</w:t>
      </w:r>
      <w:hyperlink w:anchor="ref-892">
        <w:r>
          <w:rPr>
            <w:rStyle w:val="Hyperlink"/>
            <w:vertAlign w:val="superscript"/>
          </w:rPr>
          <w:t xml:space="preserve">892</w:t>
        </w:r>
      </w:hyperlink>
      <w:r>
        <w:rPr>
          <w:vertAlign w:val="superscript"/>
        </w:rPr>
        <w:t xml:space="preserve">,</w:t>
      </w:r>
      <w:hyperlink w:anchor="ref-893">
        <w:r>
          <w:rPr>
            <w:rStyle w:val="Hyperlink"/>
            <w:vertAlign w:val="superscript"/>
          </w:rPr>
          <w:t xml:space="preserve">893</w:t>
        </w:r>
      </w:hyperlink>
      <w:r>
        <w:rPr>
          <w:vertAlign w:val="superscript"/>
        </w:rPr>
        <w:t xml:space="preserve">]</w:t>
      </w:r>
      <w:r>
        <w:t xml:space="preserve">。</w:t>
      </w:r>
    </w:p>
    <w:p>
      <w:pPr>
        <w:pStyle w:val="BodyText"/>
      </w:pPr>
      <w:r>
        <w:t xml:space="preserve">盐皮质激素受体与糖皮质激素受体的分布和敏感性不同，二者在部分脑区域共同参与状态调节。相同激素脉冲可以在不同受体占有背景下产生不同后果。一个简单的“浓度越高损伤越大”线性模型，通常不足以解释正常动态范围内的复杂功能。</w:t>
      </w:r>
    </w:p>
    <w:p>
      <w:pPr>
        <w:pStyle w:val="BodyText"/>
      </w:pPr>
      <w:r>
        <w:t xml:space="preserve">长期暴露与短暂适应性升高需要分开。短期动员可以帮助应对要求，长期或失调的暴露可能伴随代谢、免疫与神经可塑性改变。具体风险取决于强度、持续时间、节律、恢复和个体易感性。高置信结论是时间结构重要，任何单一健康阈值都需要特定临床与测量背景。</w:t>
      </w:r>
    </w:p>
    <w:bookmarkEnd w:id="1670"/>
    <w:bookmarkStart w:id="1671" w:name="sec-99-12"/>
    <w:p>
      <w:pPr>
        <w:pStyle w:val="Heading3"/>
      </w:pPr>
      <w:r>
        <w:t xml:space="preserve">99.12　超日节律提供平均值之外的信息</w:t>
      </w:r>
    </w:p>
    <w:p>
      <w:pPr>
        <w:pStyle w:val="FirstParagraph"/>
      </w:pPr>
      <w:r>
        <w:t xml:space="preserve">昼夜节律描述一天尺度的变化，超日节律描述更短周期的脉冲组织。一个波形包含平均水平、脉冲幅度、频率、峰值时间和低谷等不同信息；两条皮质醇曲线可以具有相近平均暴露，却在峰值、间隔、夜间水平和低谷持续时间上不同。细胞受体与转录系统可能对这些模式作出不同反应，受体是否有机会在脉冲之间恢复、信号何时与其他代谢过程相遇，都可能影响输出。因此，平均值不能完整代表信号内容，使用皮质醇指标需要匹配所研究的时间结构。</w:t>
      </w:r>
    </w:p>
    <w:p>
      <w:pPr>
        <w:pStyle w:val="BodyText"/>
      </w:pPr>
      <w:r>
        <w:t xml:space="preserve">Kalafatakis及同事在人类实验中操纵皮质醇替代的时间模式，观察到认知和情绪相关反应随模式不同而变化。这为节律本身具有功能意义提供了因果支持。实验使用特定受试者和药理条件，不能直接推导普通人应自行调整激素或采用某个统一补充方案</w:t>
      </w:r>
      <w:r>
        <w:rPr>
          <w:vertAlign w:val="superscript"/>
        </w:rPr>
        <w:t xml:space="preserve">[</w:t>
      </w:r>
      <w:hyperlink w:anchor="ref-772">
        <w:r>
          <w:rPr>
            <w:rStyle w:val="Hyperlink"/>
            <w:vertAlign w:val="superscript"/>
          </w:rPr>
          <w:t xml:space="preserve">772</w:t>
        </w:r>
      </w:hyperlink>
      <w:r>
        <w:rPr>
          <w:vertAlign w:val="superscript"/>
        </w:rPr>
        <w:t xml:space="preserve">]</w:t>
      </w:r>
      <w:r>
        <w:t xml:space="preserve">。</w:t>
      </w:r>
    </w:p>
    <w:bookmarkEnd w:id="1671"/>
    <w:bookmarkStart w:id="1672" w:name="sec-99-13"/>
    <w:p>
      <w:pPr>
        <w:pStyle w:val="Heading3"/>
      </w:pPr>
      <w:r>
        <w:t xml:space="preserve">99.13　外源性糖皮质激素会改变系统的反馈状态</w:t>
      </w:r>
    </w:p>
    <w:p>
      <w:pPr>
        <w:pStyle w:val="FirstParagraph"/>
      </w:pPr>
      <w:r>
        <w:t xml:space="preserve">用于炎症或免疫疾病的糖皮质激素，能够通过反馈抑制内源性轴活动。风险取决于药物效力、作用持续时间、暴露时间、给药途径和个人易感性；外源药物的作用时程也不同于内源生理脉冲。2024年欧洲内分泌学会与内分泌学会联合指南系统讨论了这一问题，强调长期用药后的轴恢复存在明显个体差异，调整方案需要专业监测</w:t>
      </w:r>
      <w:r>
        <w:rPr>
          <w:vertAlign w:val="superscript"/>
        </w:rPr>
        <w:t xml:space="preserve">[</w:t>
      </w:r>
      <w:hyperlink w:anchor="ref-894">
        <w:r>
          <w:rPr>
            <w:rStyle w:val="Hyperlink"/>
            <w:vertAlign w:val="superscript"/>
          </w:rPr>
          <w:t xml:space="preserve">894</w:t>
        </w:r>
      </w:hyperlink>
      <w:r>
        <w:rPr>
          <w:vertAlign w:val="superscript"/>
        </w:rPr>
        <w:t xml:space="preserve">]</w:t>
      </w:r>
      <w:r>
        <w:t xml:space="preserve">。</w:t>
      </w:r>
    </w:p>
    <w:p>
      <w:pPr>
        <w:pStyle w:val="BodyText"/>
      </w:pPr>
      <w:r>
        <w:t xml:space="preserve">减量时的不适可能同时涉及原有疾病活动、撤药综合征和肾上腺功能不足，症状存在重叠。区分它们需要临床资料与适当检查。把这类表现统一称为身体排毒或肾上腺疲劳，缺少准确病理定义，也可能延误正确处理。本书说明机制和评估原则，具体减量与补充方案由临床管理。</w:t>
      </w:r>
    </w:p>
    <w:p>
      <w:pPr>
        <w:pStyle w:val="BodyText"/>
      </w:pPr>
      <w:r>
        <w:t xml:space="preserve">应激状态还会改变身体对糖皮质激素的需求。对已有或疑似轴抑制者，疾病与手术等情境具有特殊管理要求</w:t>
      </w:r>
      <w:r>
        <w:rPr>
          <w:vertAlign w:val="superscript"/>
        </w:rPr>
        <w:t xml:space="preserve">[</w:t>
      </w:r>
      <w:hyperlink w:anchor="ref-894">
        <w:r>
          <w:rPr>
            <w:rStyle w:val="Hyperlink"/>
            <w:vertAlign w:val="superscript"/>
          </w:rPr>
          <w:t xml:space="preserve">894</w:t>
        </w:r>
      </w:hyperlink>
      <w:r>
        <w:rPr>
          <w:vertAlign w:val="superscript"/>
        </w:rPr>
        <w:t xml:space="preserve">]</w:t>
      </w:r>
      <w:r>
        <w:t xml:space="preserve">。这再次表明，讨论皮质醇时必须先确定生理和疾病背景。健康人生活压力研究中的关联，不能直接套用于接受激素治疗或存在内分泌疾病的人群。</w:t>
      </w:r>
    </w:p>
    <w:bookmarkEnd w:id="1672"/>
    <w:bookmarkStart w:id="1673" w:name="sec-99-14"/>
    <w:p>
      <w:pPr>
        <w:pStyle w:val="Heading3"/>
      </w:pPr>
      <w:r>
        <w:t xml:space="preserve">99.14　把恢复作为可观察的动态过程</w:t>
      </w:r>
    </w:p>
    <w:p>
      <w:pPr>
        <w:pStyle w:val="FirstParagraph"/>
      </w:pPr>
      <w:r>
        <w:t xml:space="preserve">面对同样挑战，有人峰值较高但迅速恢复，有人峰值一般却维持较久。若只比较最高值，可能漏掉持续暴露的差异；若只比较一天总量，又可能漏掉节律变化。研究应按问题选择峰值、恢复速度、曲线面积和时相等指标，同时避免把多个相关指标任意挑选为主要结果。</w:t>
      </w:r>
    </w:p>
    <w:p>
      <w:pPr>
        <w:pStyle w:val="BodyText"/>
      </w:pPr>
      <w:r>
        <w:t xml:space="preserve">心理报告与激素曲线也可能分离。一个人感到很紧张，内分泌反应未必显著；另一个人主观平静，却可能有身体动员。采样时间、近期活动、睡眠、疾病与个体反应方式都会影响某次读数。主观体验与激素测量各自提供一部分信息，二者测量不同层面，不能相互取消；出现不一致时需要解释，不能自动否定其中一方。一个合理的研究模型可以把压力源、解释过程、身体反应和恢复分别描述，并研究其中哪些联系较稳定、哪些依赖情境。理解应激需要同时考虑体验、行为、神经自主反应和内分泌过程，保留各指标的独立信息；把皮质醇命名为压力总分，会丢失这种多层结构，也会使实际指导过度简单。</w:t>
      </w:r>
    </w:p>
    <w:bookmarkEnd w:id="1673"/>
    <w:bookmarkStart w:id="1674" w:name="sec-99-15"/>
    <w:p>
      <w:pPr>
        <w:pStyle w:val="Heading3"/>
      </w:pPr>
      <w:r>
        <w:t xml:space="preserve">99.15　中央时钟与外周器官共同塑造激素节律</w:t>
      </w:r>
    </w:p>
    <w:p>
      <w:pPr>
        <w:pStyle w:val="FirstParagraph"/>
      </w:pPr>
      <w:r>
        <w:t xml:space="preserve">视交叉上核参与将光暗信息与身体昼夜组织联系起来，下丘脑—垂体—肾上腺轴的输出还受到睡眠、行为和外周腺体状态影响。皮质醇的日变化叠加了更短周期的分泌脉冲。动态研究显示，这些脉冲和反馈关系具有生理意义，平均浓度不能描述全部信号结构</w:t>
      </w:r>
      <w:r>
        <w:rPr>
          <w:vertAlign w:val="superscript"/>
        </w:rPr>
        <w:t xml:space="preserve">[</w:t>
      </w:r>
      <w:hyperlink w:anchor="ref-893">
        <w:r>
          <w:rPr>
            <w:rStyle w:val="Hyperlink"/>
            <w:vertAlign w:val="superscript"/>
          </w:rPr>
          <w:t xml:space="preserve">893</w:t>
        </w:r>
      </w:hyperlink>
      <w:r>
        <w:rPr>
          <w:vertAlign w:val="superscript"/>
        </w:rPr>
        <w:t xml:space="preserve">]</w:t>
      </w:r>
      <w:r>
        <w:t xml:space="preserve">。</w:t>
      </w:r>
    </w:p>
    <w:p>
      <w:pPr>
        <w:pStyle w:val="BodyText"/>
      </w:pPr>
      <w:r>
        <w:t xml:space="preserve">夜行啮齿动物与日间活动的人类不能按钟表时刻直接对应。比较实验时需要结合生物活动相位和光暗条件。动物在光期的某种激素变化，不应被不加说明地对应到人的白天。时间坐标的精确性是跨物种内分泌解释的一部分。</w:t>
      </w:r>
    </w:p>
    <w:bookmarkEnd w:id="1674"/>
    <w:bookmarkStart w:id="1675" w:name="sec-99-16"/>
    <w:p>
      <w:pPr>
        <w:pStyle w:val="Heading3"/>
      </w:pPr>
      <w:r>
        <w:t xml:space="preserve">99.16　自主输入可以影响内分泌输出的灵敏度</w:t>
      </w:r>
    </w:p>
    <w:p>
      <w:pPr>
        <w:pStyle w:val="FirstParagraph"/>
      </w:pPr>
      <w:r>
        <w:t xml:space="preserve">内分泌腺体既接收激素驱动，也可受到神经支配与局部组织环境影响。相同促肾上腺皮质激素输入在不同腺体状态下，未必产生完全相同皮质醇输出。动态轴模型需要同时包含驱动、腺体响应和负反馈，不能把血液浓度当作单一上游命令的直接读数</w:t>
      </w:r>
      <w:r>
        <w:rPr>
          <w:vertAlign w:val="superscript"/>
        </w:rPr>
        <w:t xml:space="preserve">[</w:t>
      </w:r>
      <w:hyperlink w:anchor="ref-893">
        <w:r>
          <w:rPr>
            <w:rStyle w:val="Hyperlink"/>
            <w:vertAlign w:val="superscript"/>
          </w:rPr>
          <w:t xml:space="preserve">893</w:t>
        </w:r>
      </w:hyperlink>
      <w:r>
        <w:rPr>
          <w:vertAlign w:val="superscript"/>
        </w:rPr>
        <w:t xml:space="preserve">]</w:t>
      </w:r>
      <w:r>
        <w:t xml:space="preserve">。</w:t>
      </w:r>
    </w:p>
    <w:bookmarkEnd w:id="1675"/>
    <w:bookmarkStart w:id="1676" w:name="sec-99-17"/>
    <w:p>
      <w:pPr>
        <w:pStyle w:val="Heading3"/>
      </w:pPr>
      <w:r>
        <w:t xml:space="preserve">99.17　长期暴露后的激素敏感性具有组织差异</w:t>
      </w:r>
    </w:p>
    <w:p>
      <w:pPr>
        <w:pStyle w:val="FirstParagraph"/>
      </w:pPr>
      <w:r>
        <w:t xml:space="preserve">从机制上说，长期暴露既可能改变目标反应，也可能改变反馈环节。某些状态下出现对激素作用的敏感性下降，其他组织仍可能保持或增加响应。把全身描述为统一的皮质醇抵抗会遗漏组织差异。研究需要明确测量的是免疫、代谢、认知还是其他功能。</w:t>
      </w:r>
    </w:p>
    <w:bookmarkEnd w:id="1676"/>
    <w:bookmarkStart w:id="1677" w:name="sec-99-18"/>
    <w:p>
      <w:pPr>
        <w:pStyle w:val="Heading3"/>
      </w:pPr>
      <w:r>
        <w:t xml:space="preserve">99.18　免疫反应与激素调节形成双向联系</w:t>
      </w:r>
    </w:p>
    <w:p>
      <w:pPr>
        <w:pStyle w:val="FirstParagraph"/>
      </w:pPr>
      <w:r>
        <w:t xml:space="preserve">炎症和组织损伤相关信号能够影响内分泌轴，糖皮质激素又参与调节免疫反应。这个双向关系支持它在急性应激和恢复中的生理作用。若把所有皮质醇升高视为有害，就会忽略感染、损伤和代谢需求下维持稳定所需的适应</w:t>
      </w:r>
      <w:r>
        <w:rPr>
          <w:vertAlign w:val="superscript"/>
        </w:rPr>
        <w:t xml:space="preserve">[</w:t>
      </w:r>
      <w:hyperlink w:anchor="ref-889">
        <w:r>
          <w:rPr>
            <w:rStyle w:val="Hyperlink"/>
            <w:vertAlign w:val="superscript"/>
          </w:rPr>
          <w:t xml:space="preserve">889</w:t>
        </w:r>
      </w:hyperlink>
      <w:r>
        <w:rPr>
          <w:vertAlign w:val="superscript"/>
        </w:rPr>
        <w:t xml:space="preserve">,</w:t>
      </w:r>
      <w:hyperlink w:anchor="ref-893">
        <w:r>
          <w:rPr>
            <w:rStyle w:val="Hyperlink"/>
            <w:vertAlign w:val="superscript"/>
          </w:rPr>
          <w:t xml:space="preserve">893</w:t>
        </w:r>
      </w:hyperlink>
      <w:r>
        <w:rPr>
          <w:vertAlign w:val="superscript"/>
        </w:rPr>
        <w:t xml:space="preserve">]</w:t>
      </w:r>
      <w:r>
        <w:t xml:space="preserve">。</w:t>
      </w:r>
    </w:p>
    <w:bookmarkEnd w:id="1677"/>
    <w:bookmarkStart w:id="1678" w:name="sec-99-19"/>
    <w:p>
      <w:pPr>
        <w:pStyle w:val="Heading3"/>
      </w:pPr>
      <w:r>
        <w:t xml:space="preserve">99.19　替代治疗和抑制内分泌作用具有不同目标</w:t>
      </w:r>
    </w:p>
    <w:p>
      <w:pPr>
        <w:pStyle w:val="FirstParagraph"/>
      </w:pPr>
      <w:r>
        <w:t xml:space="preserve">原发或继发性激素不足、外源性激素导致的轴抑制以及内源性激素过多，涉及不同病理问题。治疗有时需要提供必要激素，有时需要处理异常来源或长期药物影响。不能用普通心理减压建议替代内分泌疾病的诊断和治疗</w:t>
      </w:r>
      <w:r>
        <w:rPr>
          <w:vertAlign w:val="superscript"/>
        </w:rPr>
        <w:t xml:space="preserve">[</w:t>
      </w:r>
      <w:hyperlink w:anchor="ref-890">
        <w:r>
          <w:rPr>
            <w:rStyle w:val="Hyperlink"/>
            <w:vertAlign w:val="superscript"/>
          </w:rPr>
          <w:t xml:space="preserve">890</w:t>
        </w:r>
      </w:hyperlink>
      <w:r>
        <w:rPr>
          <w:vertAlign w:val="superscript"/>
        </w:rPr>
        <w:t xml:space="preserve">,</w:t>
      </w:r>
      <w:hyperlink w:anchor="ref-891">
        <w:r>
          <w:rPr>
            <w:rStyle w:val="Hyperlink"/>
            <w:vertAlign w:val="superscript"/>
          </w:rPr>
          <w:t xml:space="preserve">891</w:t>
        </w:r>
      </w:hyperlink>
      <w:r>
        <w:rPr>
          <w:vertAlign w:val="superscript"/>
        </w:rPr>
        <w:t xml:space="preserve">,</w:t>
      </w:r>
      <w:hyperlink w:anchor="ref-894">
        <w:r>
          <w:rPr>
            <w:rStyle w:val="Hyperlink"/>
            <w:vertAlign w:val="superscript"/>
          </w:rPr>
          <w:t xml:space="preserve">894</w:t>
        </w:r>
      </w:hyperlink>
      <w:r>
        <w:rPr>
          <w:vertAlign w:val="superscript"/>
        </w:rPr>
        <w:t xml:space="preserve">]</w:t>
      </w:r>
      <w:r>
        <w:t xml:space="preserve">。</w:t>
      </w:r>
    </w:p>
    <w:bookmarkEnd w:id="1678"/>
    <w:bookmarkStart w:id="1679" w:name="sec-99-20"/>
    <w:p>
      <w:pPr>
        <w:pStyle w:val="Heading3"/>
      </w:pPr>
      <w:r>
        <w:t xml:space="preserve">99.20　本章结论</w:t>
      </w:r>
    </w:p>
    <w:p>
      <w:pPr>
        <w:pStyle w:val="FirstParagraph"/>
      </w:pPr>
      <w:r>
        <w:t xml:space="preserve">皮质醇属于具有节律、反馈和组织特异性的必要生理信号，其意义来自动态调节和临床背景。皮质醇的必要性、节律以及激素缺乏引起的疾病，足以否定“越低越好”。长期应激风险仍然重要，但应通过暴露、恢复、身体系统和实际结局进行研究。单次检测不能概括一个人的压力史或脑损伤程度，也不能替代完整判断。进一步研究的重点包括节律恢复、局部敏感性和不同人群中的长期结局</w:t>
      </w:r>
      <w:r>
        <w:rPr>
          <w:vertAlign w:val="superscript"/>
        </w:rPr>
        <w:t xml:space="preserve">[</w:t>
      </w:r>
      <w:hyperlink w:anchor="ref-886">
        <w:r>
          <w:rPr>
            <w:rStyle w:val="Hyperlink"/>
            <w:vertAlign w:val="superscript"/>
          </w:rPr>
          <w:t xml:space="preserve">886</w:t>
        </w:r>
      </w:hyperlink>
      <w:r>
        <w:rPr>
          <w:vertAlign w:val="superscript"/>
        </w:rPr>
        <w:t xml:space="preserve">,</w:t>
      </w:r>
      <w:hyperlink w:anchor="ref-889">
        <w:r>
          <w:rPr>
            <w:rStyle w:val="Hyperlink"/>
            <w:vertAlign w:val="superscript"/>
          </w:rPr>
          <w:t xml:space="preserve">889</w:t>
        </w:r>
      </w:hyperlink>
      <w:r>
        <w:rPr>
          <w:vertAlign w:val="superscript"/>
        </w:rPr>
        <w:t xml:space="preserve">,</w:t>
      </w:r>
      <w:hyperlink w:anchor="ref-890">
        <w:r>
          <w:rPr>
            <w:rStyle w:val="Hyperlink"/>
            <w:vertAlign w:val="superscript"/>
          </w:rPr>
          <w:t xml:space="preserve">890</w:t>
        </w:r>
      </w:hyperlink>
      <w:r>
        <w:rPr>
          <w:vertAlign w:val="superscript"/>
        </w:rPr>
        <w:t xml:space="preserve">]</w:t>
      </w:r>
      <w:r>
        <w:t xml:space="preserve">。</w:t>
      </w:r>
    </w:p>
    <w:bookmarkEnd w:id="1679"/>
    <w:bookmarkEnd w:id="1680"/>
    <w:bookmarkStart w:id="1698" w:name="ch-100"/>
    <w:p>
      <w:pPr>
        <w:pStyle w:val="Heading2"/>
      </w:pPr>
      <w:r>
        <w:t xml:space="preserve">第100章　压力下的认知控制与“断电”说</w:t>
      </w:r>
    </w:p>
    <w:bookmarkStart w:id="1681" w:name="sec-100-1"/>
    <w:p>
      <w:pPr>
        <w:pStyle w:val="Heading3"/>
      </w:pPr>
      <w:r>
        <w:t xml:space="preserve">100.1　降低表现不等于组织停止工作</w:t>
      </w:r>
    </w:p>
    <w:p>
      <w:pPr>
        <w:pStyle w:val="FirstParagraph"/>
      </w:pPr>
      <w:r>
        <w:t xml:space="preserve">强烈、不可控或持续的压力可以影响工作记忆、注意和行为调节，对这一概括的置信度高。把这种变化解释为整个上层脑关闭、下层脑接管，缺少相应证据。脑活动的变化通常具有区域、细胞类型、时间和任务依赖性</w:t>
      </w:r>
      <w:r>
        <w:rPr>
          <w:vertAlign w:val="superscript"/>
        </w:rPr>
        <w:t xml:space="preserve">[</w:t>
      </w:r>
      <w:hyperlink w:anchor="ref-895">
        <w:r>
          <w:rPr>
            <w:rStyle w:val="Hyperlink"/>
            <w:vertAlign w:val="superscript"/>
          </w:rPr>
          <w:t xml:space="preserve">895</w:t>
        </w:r>
      </w:hyperlink>
      <w:r>
        <w:rPr>
          <w:vertAlign w:val="superscript"/>
        </w:rPr>
        <w:t xml:space="preserve">]</w:t>
      </w:r>
      <w:r>
        <w:t xml:space="preserve">。</w:t>
      </w:r>
    </w:p>
    <w:p>
      <w:pPr>
        <w:pStyle w:val="BodyText"/>
      </w:pPr>
      <w:r>
        <w:t xml:space="preserve">任务成绩下降可以来自多种机制。一个人可能更难维持规则，更关注威胁，更快作出反应，或改变对努力成本的估计。上述变化都能发生在相关组织仍持续活动的情况下。若没有直接测量广泛活动消失，便不应把行为困难称为字面上的断电。</w:t>
      </w:r>
    </w:p>
    <w:p>
      <w:pPr>
        <w:pStyle w:val="BodyText"/>
      </w:pPr>
      <w:r>
        <w:t xml:space="preserve">影像中的“降低”也需要参照。它通常表示某一条件相对另一条件的信号差，而血氧信号还涉及神经血管关系。一片颜色较淡的区域可能仍有大量活动，只是对比值较小。把统计差图误读成开关图，会夸大某个心理状态的神经后果。</w:t>
      </w:r>
    </w:p>
    <w:bookmarkEnd w:id="1681"/>
    <w:bookmarkStart w:id="1682" w:name="sec-100-2"/>
    <w:p>
      <w:pPr>
        <w:pStyle w:val="Heading3"/>
      </w:pPr>
      <w:r>
        <w:t xml:space="preserve">100.2　儿茶酚胺作用为什么依条件改变</w:t>
      </w:r>
    </w:p>
    <w:p>
      <w:pPr>
        <w:pStyle w:val="FirstParagraph"/>
      </w:pPr>
      <w:r>
        <w:t xml:space="preserve">Arnsten整合动物细胞、药理和人体认知研究，提出某些压力状态下的儿茶酚胺信号可干扰支持工作记忆的前额叶网络。这里的解释落实到受体、细胞内信号及持续活动等环节。它支持状态依赖的控制变化，不能推广为所有压力都使整个前额叶停止功能</w:t>
      </w:r>
      <w:r>
        <w:rPr>
          <w:vertAlign w:val="superscript"/>
        </w:rPr>
        <w:t xml:space="preserve">[</w:t>
      </w:r>
      <w:hyperlink w:anchor="ref-895">
        <w:r>
          <w:rPr>
            <w:rStyle w:val="Hyperlink"/>
            <w:vertAlign w:val="superscript"/>
          </w:rPr>
          <w:t xml:space="preserve">895</w:t>
        </w:r>
      </w:hyperlink>
      <w:r>
        <w:rPr>
          <w:vertAlign w:val="superscript"/>
        </w:rPr>
        <w:t xml:space="preserve">]</w:t>
      </w:r>
      <w:r>
        <w:t xml:space="preserve">。</w:t>
      </w:r>
    </w:p>
    <w:p>
      <w:pPr>
        <w:pStyle w:val="BodyText"/>
      </w:pPr>
      <w:r>
        <w:t xml:space="preserve">同一种调节物质可能在不同受体、浓度和细胞状态下产生不同效果。一个方向的浓度变化，不能预先指定整个脑的行为结果。判断作用时，应同时说明测量的是释放、细胞放电、受体占有还是行为指标，并区分短时变化与长期适应。</w:t>
      </w:r>
    </w:p>
    <w:p>
      <w:pPr>
        <w:pStyle w:val="BodyText"/>
      </w:pPr>
      <w:r>
        <w:t xml:space="preserve">“倒U形”常用来描述某些任务中适度唤醒和较好表现的关系，但它也需要数据。若没有估计足够多的剂量或状态水平，两个组之间的差异无法证明完整曲线。不同任务和个体的最适范围可能不同，不能据此创造一个适用于所有人的最佳压力值。</w:t>
      </w:r>
    </w:p>
    <w:bookmarkEnd w:id="1682"/>
    <w:bookmarkStart w:id="1683" w:name="sec-100-3"/>
    <w:p>
      <w:pPr>
        <w:pStyle w:val="Heading3"/>
      </w:pPr>
      <w:r>
        <w:t xml:space="preserve">100.3　可控性和可预测性为什么必须记录</w:t>
      </w:r>
    </w:p>
    <w:p>
      <w:pPr>
        <w:pStyle w:val="FirstParagraph"/>
      </w:pPr>
      <w:r>
        <w:t xml:space="preserve">相同外部事件可能具有不同心理含义。一个人能否停止刺激、是否知道持续时间、是否有有效应对方法，都可能改变压力反应。研究若只报告刺激强度，可能忽略可控性；若只用主观评分，可能又遗漏身体反应和行为表现。多个层面的测量可以帮助解释差异。</w:t>
      </w:r>
    </w:p>
    <w:p>
      <w:pPr>
        <w:pStyle w:val="BodyText"/>
      </w:pPr>
      <w:r>
        <w:t xml:space="preserve">可预测性也影响准备。一个已知即将发生的挑战，允许提前调配注意和行动；突然、无法估计的事件则需要更快更新。两种条件下，某些活动增加可能反映有效准备，另一些变化可能反映干扰。用单一“压力大”标签合并这些条件，会降低解释精度。</w:t>
      </w:r>
    </w:p>
    <w:p>
      <w:pPr>
        <w:pStyle w:val="BodyText"/>
      </w:pPr>
      <w:r>
        <w:t xml:space="preserve">研究者还应区分威胁任务和日常困难。短时间实验压力可以较好控制开始和结束，却不能完全模拟长期贫困、照护负担或持续人际冲突。动物模型又增加物种、环境和行为结局的差异。将一个细胞机制推广到某个人的一次争吵，需要跨越多层证据。</w:t>
      </w:r>
    </w:p>
    <w:bookmarkEnd w:id="1683"/>
    <w:bookmarkStart w:id="1684" w:name="sec-100-4"/>
    <w:p>
      <w:pPr>
        <w:pStyle w:val="Heading3"/>
      </w:pPr>
      <w:r>
        <w:t xml:space="preserve">100.4　行为变化的时间顺序</w:t>
      </w:r>
    </w:p>
    <w:p>
      <w:pPr>
        <w:pStyle w:val="FirstParagraph"/>
      </w:pPr>
      <w:r>
        <w:t xml:space="preserve">压力发生前的基线状态、压力过程中的表现，以及恢复阶段的表现，可能不同。反应峰值与恢复速度提供不同信息。只在事件结束后测一次，会把即时反应和恢复速度混在一起。一个人开始时反应较强但恢复较快，与反应不强却持续很久，可能具有不同的功能后果和长期负担。多时间点测量能够更好地描述过程，也会增加分析选择，因而需要预设指标。</w:t>
      </w:r>
    </w:p>
    <w:p>
      <w:pPr>
        <w:pStyle w:val="BodyText"/>
      </w:pPr>
      <w:r>
        <w:t xml:space="preserve">长期研究还必须处理睡眠、药物、健康状况和生活事件的变化。若这些因素同时改变，不能把后续认知变化全部归于皮质醇或单一脑区。纵向测量有助于确定时序，但本身仍不能自动排除所有混杂。</w:t>
      </w:r>
    </w:p>
    <w:bookmarkEnd w:id="1684"/>
    <w:bookmarkStart w:id="1685" w:name="sec-100-5"/>
    <w:p>
      <w:pPr>
        <w:pStyle w:val="Heading3"/>
      </w:pPr>
      <w:r>
        <w:t xml:space="preserve">100.5　调节建议如何避免借机制过度承诺</w:t>
      </w:r>
    </w:p>
    <w:p>
      <w:pPr>
        <w:pStyle w:val="FirstParagraph"/>
      </w:pPr>
      <w:r>
        <w:t xml:space="preserve">减少当下刺激、增加决策时间或暂时使用外部提示，在某些情境中可能有帮助。这些做法的合理性可以由任务分析提出，但是否有效、效果多大和适用范围，仍应由行为或临床研究检验。一个动作即使让人感觉平静，也不能证明它重新打开了某一脑层。</w:t>
      </w:r>
    </w:p>
    <w:p>
      <w:pPr>
        <w:pStyle w:val="BodyText"/>
      </w:pPr>
      <w:r>
        <w:t xml:space="preserve">讨论责任能力时更需要分层。压力可能影响能力，这是经验问题；法律和伦理如何评价行为，还涉及规则、情境与价值。不能仅凭一个简化脑模型，就宣布人在激动时完全没有理解或选择能力。具体个案需要相应的专业评价，公共神经科学描述无法替代它。</w:t>
      </w:r>
    </w:p>
    <w:p>
      <w:pPr>
        <w:pStyle w:val="BodyText"/>
      </w:pPr>
      <w:r>
        <w:t xml:space="preserve">对于儿童教育，理解强烈唤醒时的困难，可以支持调整沟通节奏和任务要求。但某个儿童在激动时仍能完成部分行动，也不证明其全部困难是故意的。能力可以随任务、动机和环境变化。较有用的观察是哪些要求变得困难、哪些支持能够帮助恢复，以及这种模式能否稳定重现。</w:t>
      </w:r>
    </w:p>
    <w:bookmarkEnd w:id="1685"/>
    <w:bookmarkStart w:id="1686" w:name="sec-100-6"/>
    <w:p>
      <w:pPr>
        <w:pStyle w:val="Heading3"/>
      </w:pPr>
      <w:r>
        <w:t xml:space="preserve">100.6　如何识别无法被证伪的解释</w:t>
      </w:r>
    </w:p>
    <w:p>
      <w:pPr>
        <w:pStyle w:val="FirstParagraph"/>
      </w:pPr>
      <w:r>
        <w:t xml:space="preserve">若成绩好被称为上层脑在线，成绩差被称为下层脑接管，这个说法只是给结果重新命名。它没有告诉我们在改变时间压力、奖励或任务提示后应发生什么。一个机制解释必须比原来的行为描述多提供预测信息。</w:t>
      </w:r>
    </w:p>
    <w:p>
      <w:pPr>
        <w:pStyle w:val="BodyText"/>
      </w:pPr>
      <w:r>
        <w:t xml:space="preserve">相反，指定某一工作记忆表征在某时段变得不稳定，就可以提出可错的预测：相关干扰应更明显地影响需要保持规则的条件；减少保持需求应减轻影响；其他不依赖该过程的任务未必受同等影响。如果这些预测连续失败，机制解释就需要修改。</w:t>
      </w:r>
    </w:p>
    <w:bookmarkEnd w:id="1686"/>
    <w:bookmarkStart w:id="1687" w:name="sec-100-7"/>
    <w:p>
      <w:pPr>
        <w:pStyle w:val="Heading3"/>
      </w:pPr>
      <w:r>
        <w:t xml:space="preserve">100.7　受体亚型如何产生不同的网络后果</w:t>
      </w:r>
    </w:p>
    <w:p>
      <w:pPr>
        <w:pStyle w:val="FirstParagraph"/>
      </w:pPr>
      <w:r>
        <w:t xml:space="preserve">去甲肾上腺素和多巴胺的作用取决于受体亚型、局部浓度及细胞状态。某些前额叶工作记忆研究把适度调节与较稳定的任务表征联系起来，把过强相关信号与表征减弱联系起来。这些结论具有具体细胞和任务背景，不能直接推广为整个脑的统一开关</w:t>
      </w:r>
      <w:r>
        <w:rPr>
          <w:vertAlign w:val="superscript"/>
        </w:rPr>
        <w:t xml:space="preserve">[</w:t>
      </w:r>
      <w:hyperlink w:anchor="ref-895">
        <w:r>
          <w:rPr>
            <w:rStyle w:val="Hyperlink"/>
            <w:vertAlign w:val="superscript"/>
          </w:rPr>
          <w:t xml:space="preserve">895</w:t>
        </w:r>
      </w:hyperlink>
      <w:r>
        <w:rPr>
          <w:vertAlign w:val="superscript"/>
        </w:rPr>
        <w:t xml:space="preserve">,</w:t>
      </w:r>
      <w:hyperlink w:anchor="ref-896">
        <w:r>
          <w:rPr>
            <w:rStyle w:val="Hyperlink"/>
            <w:vertAlign w:val="superscript"/>
          </w:rPr>
          <w:t xml:space="preserve">896</w:t>
        </w:r>
      </w:hyperlink>
      <w:r>
        <w:rPr>
          <w:vertAlign w:val="superscript"/>
        </w:rPr>
        <w:t xml:space="preserve">]</w:t>
      </w:r>
      <w:r>
        <w:t xml:space="preserve">。</w:t>
      </w:r>
    </w:p>
    <w:p>
      <w:pPr>
        <w:pStyle w:val="BodyText"/>
      </w:pPr>
      <w:r>
        <w:t xml:space="preserve">Wang及同事结合多种方法，研究α2A肾上腺素受体与环磷酸腺苷（cAMP）和HCN通道信号对前额叶工作记忆网络的影响。相关结果为“调节物质通过细胞内通路改变网络联系”提供了更具体的机制模型。它没有证明所有控制困难都由同一通路造成，也不提供普通人自行用药的依据</w:t>
      </w:r>
      <w:r>
        <w:rPr>
          <w:vertAlign w:val="superscript"/>
        </w:rPr>
        <w:t xml:space="preserve">[</w:t>
      </w:r>
      <w:hyperlink w:anchor="ref-896">
        <w:r>
          <w:rPr>
            <w:rStyle w:val="Hyperlink"/>
            <w:vertAlign w:val="superscript"/>
          </w:rPr>
          <w:t xml:space="preserve">896</w:t>
        </w:r>
      </w:hyperlink>
      <w:r>
        <w:rPr>
          <w:vertAlign w:val="superscript"/>
        </w:rPr>
        <w:t xml:space="preserve">]</w:t>
      </w:r>
      <w:r>
        <w:t xml:space="preserve">。</w:t>
      </w:r>
    </w:p>
    <w:p>
      <w:pPr>
        <w:pStyle w:val="BodyText"/>
      </w:pPr>
      <w:r>
        <w:t xml:space="preserve">理解这个模型需要区分几个层级。受体结合改变细胞内第二信使，第二信使影响离子通道，通道改变膜对输入的响应，许多细胞之间的相互作用再影响任务相关表征。每个箭头都有独立实验要求。只测最终成绩，无法确定整条链全部成立。</w:t>
      </w:r>
    </w:p>
    <w:p>
      <w:pPr>
        <w:pStyle w:val="BodyText"/>
      </w:pPr>
      <w:r>
        <w:t xml:space="preserve">HCN通道名称中的“超极化激活”容易令人困惑。通道的电流方向、打开条件和对局部输入整合的影响需要分别理解。一个电流能够使局部膜电位朝较正方向移动，同时通过增加电导影响其他输入的效果。神经计算不能只按电位方向判断行为好坏</w:t>
      </w:r>
      <w:r>
        <w:rPr>
          <w:vertAlign w:val="superscript"/>
        </w:rPr>
        <w:t xml:space="preserve">[</w:t>
      </w:r>
      <w:hyperlink w:anchor="ref-56">
        <w:r>
          <w:rPr>
            <w:rStyle w:val="Hyperlink"/>
            <w:vertAlign w:val="superscript"/>
          </w:rPr>
          <w:t xml:space="preserve">56</w:t>
        </w:r>
      </w:hyperlink>
      <w:r>
        <w:rPr>
          <w:vertAlign w:val="superscript"/>
        </w:rPr>
        <w:t xml:space="preserve">,</w:t>
      </w:r>
      <w:hyperlink w:anchor="ref-896">
        <w:r>
          <w:rPr>
            <w:rStyle w:val="Hyperlink"/>
            <w:vertAlign w:val="superscript"/>
          </w:rPr>
          <w:t xml:space="preserve">896</w:t>
        </w:r>
      </w:hyperlink>
      <w:r>
        <w:rPr>
          <w:vertAlign w:val="superscript"/>
        </w:rPr>
        <w:t xml:space="preserve">]</w:t>
      </w:r>
      <w:r>
        <w:t xml:space="preserve">。</w:t>
      </w:r>
    </w:p>
    <w:bookmarkEnd w:id="1687"/>
    <w:bookmarkStart w:id="1688" w:name="sec-100-8"/>
    <w:p>
      <w:pPr>
        <w:pStyle w:val="Heading3"/>
      </w:pPr>
      <w:r>
        <w:t xml:space="preserve">100.8　持续活动与信噪关系</w:t>
      </w:r>
    </w:p>
    <w:p>
      <w:pPr>
        <w:pStyle w:val="FirstParagraph"/>
      </w:pPr>
      <w:r>
        <w:t xml:space="preserve">工作记忆任务中，某些细胞群在延迟期保持与目标相关的活动。维持这种选择性需要兴奋与抑制及多种输入的协调。若调节改变了相关联系，信号可能更不稳定，或者无关输入更容易干扰。这里的“信号”应具体指可区分的任务信息，不能等同于总体活动量。</w:t>
      </w:r>
    </w:p>
    <w:p>
      <w:pPr>
        <w:pStyle w:val="BodyText"/>
      </w:pPr>
      <w:r>
        <w:t xml:space="preserve">一个网络平均放电减少，可能同时提高或降低信息质量，取决于哪些细胞和哪些条件改变。若无关背景降低而目标差异保留，区分可能改善；若目标相关活动一起消失，表现可能变差。只报告平均强度会遗漏这种结构。</w:t>
      </w:r>
    </w:p>
    <w:p>
      <w:pPr>
        <w:pStyle w:val="BodyText"/>
      </w:pPr>
      <w:r>
        <w:t xml:space="preserve">研究可以利用解码、调谐曲线和行为联系检查信息质量，但解码成功也不自动说明下游真正使用该信息。进一步的干预应检验改变相关表征是否按预测影响行为。这个步骤连接了可读信息和实际因果作用。</w:t>
      </w:r>
    </w:p>
    <w:bookmarkEnd w:id="1688"/>
    <w:bookmarkStart w:id="1689" w:name="sec-100-9"/>
    <w:p>
      <w:pPr>
        <w:pStyle w:val="Heading3"/>
      </w:pPr>
      <w:r>
        <w:t xml:space="preserve">100.9　急性作用与结构变化的不同证据</w:t>
      </w:r>
    </w:p>
    <w:p>
      <w:pPr>
        <w:pStyle w:val="FirstParagraph"/>
      </w:pPr>
      <w:r>
        <w:t xml:space="preserve">短时调节可以在没有细胞死亡的情况下改变功能；长期暴露研究可能涉及树突、突触和其他结构变化。两类时间尺度不可互换。一次紧张后注意下降，不能据此推断已经发生广泛神经元损失</w:t>
      </w:r>
      <w:r>
        <w:rPr>
          <w:vertAlign w:val="superscript"/>
        </w:rPr>
        <w:t xml:space="preserve">[</w:t>
      </w:r>
      <w:hyperlink w:anchor="ref-895">
        <w:r>
          <w:rPr>
            <w:rStyle w:val="Hyperlink"/>
            <w:vertAlign w:val="superscript"/>
          </w:rPr>
          <w:t xml:space="preserve">895</w:t>
        </w:r>
      </w:hyperlink>
      <w:r>
        <w:rPr>
          <w:vertAlign w:val="superscript"/>
        </w:rPr>
        <w:t xml:space="preserve">]</w:t>
      </w:r>
      <w:r>
        <w:t xml:space="preserve">。</w:t>
      </w:r>
    </w:p>
    <w:p>
      <w:pPr>
        <w:pStyle w:val="BodyText"/>
      </w:pPr>
      <w:r>
        <w:t xml:space="preserve">结构影像中的体积变化也不直接告诉我们细胞发生了什么。水分、血管、髓鞘、突触和胶质等因素都可能影响信号。若研究要声称某种细胞损失，需要具有相应分辨率和验证的证据，不能把宏观体积差直接翻译成死了多少神经元。</w:t>
      </w:r>
    </w:p>
    <w:p>
      <w:pPr>
        <w:pStyle w:val="BodyText"/>
      </w:pPr>
      <w:r>
        <w:t xml:space="preserve">动物组织学可以更直接观察某些细胞结构，但实验暴露强度、年龄和生活条件影响外推。对人体生活压力的讨论，应说明哪部分来自直接人体证据，哪部分属于动物机制线索，避免把二者写成同等确定。</w:t>
      </w:r>
    </w:p>
    <w:bookmarkEnd w:id="1689"/>
    <w:bookmarkStart w:id="1690" w:name="sec-100-10"/>
    <w:p>
      <w:pPr>
        <w:pStyle w:val="Heading3"/>
      </w:pPr>
      <w:r>
        <w:t xml:space="preserve">100.10　性别、年龄和既往经历的调节</w:t>
      </w:r>
    </w:p>
    <w:p>
      <w:pPr>
        <w:pStyle w:val="FirstParagraph"/>
      </w:pPr>
      <w:r>
        <w:t xml:space="preserve">发育阶段、激素背景、既往经历和基线状态可能影响压力反应。研究发现平均差异后，应检查它是否在不同人群中稳定。若样本主要来自某一性别或年龄，结论的适用范围需要相应收窄。</w:t>
      </w:r>
    </w:p>
    <w:p>
      <w:pPr>
        <w:pStyle w:val="BodyText"/>
      </w:pPr>
      <w:r>
        <w:t xml:space="preserve">个体差异研究还面临统计功效问题。要可靠估计一个调节效应，通常比估计总体平均效应需要更多信息。小样本中挑出某个亚组，容易产生不稳定结论。预先指定调节变量并在独立资料中重复，有助于提高可信度。</w:t>
      </w:r>
    </w:p>
    <w:p>
      <w:pPr>
        <w:pStyle w:val="BodyText"/>
      </w:pPr>
      <w:r>
        <w:t xml:space="preserve">既往经历可能既改变身体反应，也改变对任务的解释。相同实验刺激对不同人具有不同意义，研究需要结合主观与客观指标。把所有差异归于一个固定脑型，会忽略可改变的情境因素。</w:t>
      </w:r>
    </w:p>
    <w:bookmarkEnd w:id="1690"/>
    <w:bookmarkStart w:id="1691" w:name="sec-100-11"/>
    <w:p>
      <w:pPr>
        <w:pStyle w:val="Heading3"/>
      </w:pPr>
      <w:r>
        <w:t xml:space="preserve">100.11　以任务支持检验机制</w:t>
      </w:r>
    </w:p>
    <w:p>
      <w:pPr>
        <w:pStyle w:val="FirstParagraph"/>
      </w:pPr>
      <w:r>
        <w:t xml:space="preserve">一个实际可研究的问题是，外部记忆提示是否减轻压力下的规则维持困难。若模型声称压力主要损害规则维持，可比较有外部提示和无外部提示的任务：若提示显著减小困难，且帮助只在需要保持规则的条件下出现，规则维持解释得到更具体的支持；若所有任务都改善，可能还涉及动机或一般支持；若问题主要出在感觉识别，提示规则的帮助可能有限。实验可以通过不同支持条件比较这些可能，把抽象的“控制变差”分解为可检验的任务环节。</w:t>
      </w:r>
    </w:p>
    <w:p>
      <w:pPr>
        <w:pStyle w:val="BodyText"/>
      </w:pPr>
      <w:r>
        <w:t xml:space="preserve">另一问题是减少选择数量是否帮助。若困难主要来自价值比较，减少选项可能有效；若主要来自动作执行，作用可能有限。把干预与假设环节对应，能够避免用同一种“放松”解释全部变化。</w:t>
      </w:r>
    </w:p>
    <w:p>
      <w:pPr>
        <w:pStyle w:val="BodyText"/>
      </w:pPr>
      <w:r>
        <w:t xml:space="preserve">这些推理是设计研究和支持环境的原则，不能直接承诺每个人都会获益。实施时应观察实际结果，必要时修正对困难来源的判断。机制解释的价值就在于让修正有明确依据。</w:t>
      </w:r>
    </w:p>
    <w:bookmarkEnd w:id="1691"/>
    <w:bookmarkStart w:id="1692" w:name="sec-100-12"/>
    <w:p>
      <w:pPr>
        <w:pStyle w:val="Heading3"/>
      </w:pPr>
      <w:r>
        <w:t xml:space="preserve">100.12　树突棘上的调质可以改变输入的有效权重</w:t>
      </w:r>
    </w:p>
    <w:p>
      <w:pPr>
        <w:pStyle w:val="FirstParagraph"/>
      </w:pPr>
      <w:r>
        <w:t xml:space="preserve">压力相关儿茶酚胺信号能够作用于受体和第二信使，进而改变树突棘及附近膜上的电流。相关前额叶研究提出，过强的钙和环磷酸腺苷相关信号可通过多种通道改变局部输入的效能。这为短时间内工作记忆相关活动受影响提供了一条机制路径。具体效应依受体亚型、细胞类型、脑区和暴露状态而变化</w:t>
      </w:r>
      <w:r>
        <w:rPr>
          <w:vertAlign w:val="superscript"/>
        </w:rPr>
        <w:t xml:space="preserve">[</w:t>
      </w:r>
      <w:hyperlink w:anchor="ref-897">
        <w:r>
          <w:rPr>
            <w:rStyle w:val="Hyperlink"/>
            <w:vertAlign w:val="superscript"/>
          </w:rPr>
          <w:t xml:space="preserve">897</w:t>
        </w:r>
      </w:hyperlink>
      <w:r>
        <w:rPr>
          <w:vertAlign w:val="superscript"/>
        </w:rPr>
        <w:t xml:space="preserve">]</w:t>
      </w:r>
      <w:r>
        <w:t xml:space="preserve">。</w:t>
      </w:r>
    </w:p>
    <w:p>
      <w:pPr>
        <w:pStyle w:val="BodyText"/>
      </w:pPr>
      <w:r>
        <w:t xml:space="preserve">树突棘具有细小的颈部和局部生化环境。某些电流增加后，突触输入传向树突的方式可以改变，第二信使也可能受扩散和降解限制。于是，同一个神经元的不同突触可能具有不同调节程度。把全脑某种递质平均水平与一个统一的功能状态相连，会遗漏这种亚细胞空间差异</w:t>
      </w:r>
      <w:r>
        <w:rPr>
          <w:vertAlign w:val="superscript"/>
        </w:rPr>
        <w:t xml:space="preserve">[</w:t>
      </w:r>
      <w:hyperlink w:anchor="ref-67">
        <w:r>
          <w:rPr>
            <w:rStyle w:val="Hyperlink"/>
            <w:vertAlign w:val="superscript"/>
          </w:rPr>
          <w:t xml:space="preserve">67</w:t>
        </w:r>
      </w:hyperlink>
      <w:r>
        <w:rPr>
          <w:vertAlign w:val="superscript"/>
        </w:rPr>
        <w:t xml:space="preserve">]</w:t>
      </w:r>
      <w:r>
        <w:t xml:space="preserve">。</w:t>
      </w:r>
    </w:p>
    <w:p>
      <w:pPr>
        <w:pStyle w:val="BodyText"/>
      </w:pPr>
      <w:r>
        <w:t xml:space="preserve">可用一个原创的局部回路推演说明后果。假设维持目标所需的细胞群依靠相互兴奋维持活动，相关连接的有效增益降低后，目标表征可能更容易被后来的输入替代。另一组接收强烈外界刺激的细胞却仍可能产生明显响应。这个情景中，行为表现下降来源于特定表征的不稳定，而整体神经活动可以继续存在甚至在一些位置增强。</w:t>
      </w:r>
    </w:p>
    <w:p>
      <w:pPr>
        <w:pStyle w:val="BodyText"/>
      </w:pPr>
      <w:r>
        <w:t xml:space="preserve">这个推演也解释了为什么降低任务负担有时具有机制合理性。把需要内部保持的信息写在外部、减少同时处理的目标或增加明确线索，可以降低维持表征所需的持续负担。但合理机制只能为干预提出方向；实际改善幅度和适用人群仍需要相应行为研究。</w:t>
      </w:r>
    </w:p>
    <w:bookmarkEnd w:id="1692"/>
    <w:bookmarkStart w:id="1693" w:name="sec-100-13"/>
    <w:p>
      <w:pPr>
        <w:pStyle w:val="Heading3"/>
      </w:pPr>
      <w:r>
        <w:t xml:space="preserve">100.13　释放量受局部反馈和清除共同限制</w:t>
      </w:r>
    </w:p>
    <w:p>
      <w:pPr>
        <w:pStyle w:val="FirstParagraph"/>
      </w:pPr>
      <w:r>
        <w:t xml:space="preserve">递质的细胞体放电、末梢释放、扩散、再摄取和代谢共同决定受体附近的浓度。自身受体可对释放或兴奋性提供反馈，转运体改变清除速度，局部受体的占有和脱敏又改变目标响应。某次压力后神经元群放电增强，不能直接推出所有投射区的递质以相同比例增加</w:t>
      </w:r>
      <w:r>
        <w:rPr>
          <w:vertAlign w:val="superscript"/>
        </w:rPr>
        <w:t xml:space="preserve">[</w:t>
      </w:r>
      <w:hyperlink w:anchor="ref-850">
        <w:r>
          <w:rPr>
            <w:rStyle w:val="Hyperlink"/>
            <w:vertAlign w:val="superscript"/>
          </w:rPr>
          <w:t xml:space="preserve">850</w:t>
        </w:r>
      </w:hyperlink>
      <w:r>
        <w:rPr>
          <w:vertAlign w:val="superscript"/>
        </w:rPr>
        <w:t xml:space="preserve">,</w:t>
      </w:r>
      <w:hyperlink w:anchor="ref-851">
        <w:r>
          <w:rPr>
            <w:rStyle w:val="Hyperlink"/>
            <w:vertAlign w:val="superscript"/>
          </w:rPr>
          <w:t xml:space="preserve">851</w:t>
        </w:r>
      </w:hyperlink>
      <w:r>
        <w:rPr>
          <w:vertAlign w:val="superscript"/>
        </w:rPr>
        <w:t xml:space="preserve">]</w:t>
      </w:r>
      <w:r>
        <w:t xml:space="preserve">。</w:t>
      </w:r>
    </w:p>
    <w:p>
      <w:pPr>
        <w:pStyle w:val="BodyText"/>
      </w:pPr>
      <w:r>
        <w:t xml:space="preserve">当刺激持续时，囊泡资源、细胞内钙、受体状态和细胞代谢都可能改变。短促峰值与持续中度信号可以产生不同的受体占有轨迹和下游适应。仅报告一段时间内的平均浓度，会掩盖这些差异。研究压力需要把刺激发生、信号变化、行为测量和恢复放在同一时间轴上。</w:t>
      </w:r>
    </w:p>
    <w:bookmarkEnd w:id="1693"/>
    <w:bookmarkStart w:id="1694" w:name="sec-100-14"/>
    <w:p>
      <w:pPr>
        <w:pStyle w:val="Heading3"/>
      </w:pPr>
      <w:r>
        <w:t xml:space="preserve">100.14　全身改变可以通过多条路线影响认知</w:t>
      </w:r>
    </w:p>
    <w:p>
      <w:pPr>
        <w:pStyle w:val="FirstParagraph"/>
      </w:pPr>
      <w:r>
        <w:t xml:space="preserve">压力伴随的身体反应可能改变呼吸、心血管状态、疼痛、肌肉紧张和胃肠活动。某个认知任务变差，可能同时包含局部脑回路调节、身体不适、注意被内部信号占用以及睡眠或能量状态的影响。只测一个皮层信号会留下许多未观察环节</w:t>
      </w:r>
      <w:r>
        <w:rPr>
          <w:vertAlign w:val="superscript"/>
        </w:rPr>
        <w:t xml:space="preserve">[</w:t>
      </w:r>
      <w:hyperlink w:anchor="ref-16">
        <w:r>
          <w:rPr>
            <w:rStyle w:val="Hyperlink"/>
            <w:vertAlign w:val="superscript"/>
          </w:rPr>
          <w:t xml:space="preserve">16</w:t>
        </w:r>
      </w:hyperlink>
      <w:r>
        <w:rPr>
          <w:vertAlign w:val="superscript"/>
        </w:rPr>
        <w:t xml:space="preserve">,</w:t>
      </w:r>
      <w:hyperlink w:anchor="ref-889">
        <w:r>
          <w:rPr>
            <w:rStyle w:val="Hyperlink"/>
            <w:vertAlign w:val="superscript"/>
          </w:rPr>
          <w:t xml:space="preserve">889</w:t>
        </w:r>
      </w:hyperlink>
      <w:r>
        <w:rPr>
          <w:vertAlign w:val="superscript"/>
        </w:rPr>
        <w:t xml:space="preserve">]</w:t>
      </w:r>
      <w:r>
        <w:t xml:space="preserve">。</w:t>
      </w:r>
    </w:p>
    <w:p>
      <w:pPr>
        <w:pStyle w:val="BodyText"/>
      </w:pPr>
      <w:r>
        <w:t xml:space="preserve">脑组织需要持续供氧和代谢底物，正常神经血管耦合帮助匹配局部活动与供给。压力相关血流变化可以影响影像信号的解释，但一般心理压力下的血流变化不能自动等同神经组织缺血。缺血具有特定病理含义，需要相应临床和生理证据。将任何血氧信号下降称为前额叶缺氧，会混淆测量与疾病概念</w:t>
      </w:r>
      <w:r>
        <w:rPr>
          <w:vertAlign w:val="superscript"/>
        </w:rPr>
        <w:t xml:space="preserve">[</w:t>
      </w:r>
      <w:hyperlink w:anchor="ref-111">
        <w:r>
          <w:rPr>
            <w:rStyle w:val="Hyperlink"/>
            <w:vertAlign w:val="superscript"/>
          </w:rPr>
          <w:t xml:space="preserve">111</w:t>
        </w:r>
      </w:hyperlink>
      <w:r>
        <w:rPr>
          <w:vertAlign w:val="superscript"/>
        </w:rPr>
        <w:t xml:space="preserve">,</w:t>
      </w:r>
      <w:hyperlink w:anchor="ref-119">
        <w:r>
          <w:rPr>
            <w:rStyle w:val="Hyperlink"/>
            <w:vertAlign w:val="superscript"/>
          </w:rPr>
          <w:t xml:space="preserve">119</w:t>
        </w:r>
      </w:hyperlink>
      <w:r>
        <w:rPr>
          <w:vertAlign w:val="superscript"/>
        </w:rPr>
        <w:t xml:space="preserve">]</w:t>
      </w:r>
      <w:r>
        <w:t xml:space="preserve">。</w:t>
      </w:r>
    </w:p>
    <w:p>
      <w:pPr>
        <w:pStyle w:val="BodyText"/>
      </w:pPr>
      <w:r>
        <w:t xml:space="preserve">同样，感到头脑空白并不提供局部能量耗尽的直接证据。体验可能反映检索受阻、目标维持失败、过度警觉或反应选择改变。体验是真实需要理解的结局，解释其机制需要独立指标。尊重主观报告与限制机制推断可以同时做到。</w:t>
      </w:r>
    </w:p>
    <w:bookmarkEnd w:id="1694"/>
    <w:bookmarkStart w:id="1695" w:name="sec-100-15"/>
    <w:p>
      <w:pPr>
        <w:pStyle w:val="Heading3"/>
      </w:pPr>
      <w:r>
        <w:t xml:space="preserve">100.15　恢复需要重新建立可用的控制条件</w:t>
      </w:r>
    </w:p>
    <w:p>
      <w:pPr>
        <w:pStyle w:val="FirstParagraph"/>
      </w:pPr>
      <w:r>
        <w:t xml:space="preserve">压力源消失后，不同成分的恢复速度可以不同。儿茶酚胺释放可能变化较快，激素反馈、肌肉紧张、睡眠和学习形成的预期可能持续更久。恢复还受到后续环境影响：若环境仍存在不可预测线索，个体还可能维持警觉；安全感、睡眠、持续刺激和反复回想都可能改变时间轨迹。恢复过程因此需要观察多个生理和行为维度，不能用某一次测试正常来断定全部恢复。研究应尽量记录这些后续变量，避免把恢复慢完全归为初始神经缺陷，动态模型也应允许输入在事件之后继续变化</w:t>
      </w:r>
      <w:r>
        <w:rPr>
          <w:vertAlign w:val="superscript"/>
        </w:rPr>
        <w:t xml:space="preserve">[</w:t>
      </w:r>
      <w:hyperlink w:anchor="ref-772">
        <w:r>
          <w:rPr>
            <w:rStyle w:val="Hyperlink"/>
            <w:vertAlign w:val="superscript"/>
          </w:rPr>
          <w:t xml:space="preserve">772</w:t>
        </w:r>
      </w:hyperlink>
      <w:r>
        <w:rPr>
          <w:vertAlign w:val="superscript"/>
        </w:rPr>
        <w:t xml:space="preserve">]</w:t>
      </w:r>
      <w:r>
        <w:t xml:space="preserve">。</w:t>
      </w:r>
    </w:p>
    <w:p>
      <w:pPr>
        <w:pStyle w:val="BodyText"/>
      </w:pPr>
      <w:r>
        <w:t xml:space="preserve">一个有用的教学区分是能力储备与当时表现。某人在安全、熟悉和有支持的条件下能够完成任务，在受威胁和高负荷条件下表现下降，这更直接地提示状态和条件的调节作用。它不能单独证明脑结构永久受损。长期持续的变化则需要关注暴露历史、睡眠、身体疾病和其他因素，以免把所有问题归结于同一个压力分子。</w:t>
      </w:r>
    </w:p>
    <w:p>
      <w:pPr>
        <w:pStyle w:val="BodyText"/>
      </w:pPr>
      <w:r>
        <w:t xml:space="preserve">压力神经生物学的应用应当连接到可观察的需求：降低不可控负担，改善信息可用性，增加恢复条件，并对持续功能受损进行适当评估。分子机制为这些问题提供解释线索，同时保留个体差异与环境作用的空间。</w:t>
      </w:r>
    </w:p>
    <w:bookmarkEnd w:id="1695"/>
    <w:bookmarkStart w:id="1696" w:name="sec-100-16"/>
    <w:p>
      <w:pPr>
        <w:pStyle w:val="Heading3"/>
      </w:pPr>
      <w:r>
        <w:t xml:space="preserve">100.16　状态依赖的药理作用不能按单分子方向预测</w:t>
      </w:r>
    </w:p>
    <w:p>
      <w:pPr>
        <w:pStyle w:val="FirstParagraph"/>
      </w:pPr>
      <w:r>
        <w:t xml:space="preserve">受体药理具有基线依赖性。一个调节信号在本来偏低的状态下增加，可能使某类输入更稳定；在已有强烈驱动的状态下继续增加，则可能改变信噪关系或招募其他受体。受体分布、内源递质占有、组织暴露和下游信号共同决定净效应。由此不能从某药能够影响压力相关受体，直接推出所有紧张情境都适合相同药物</w:t>
      </w:r>
      <w:r>
        <w:rPr>
          <w:vertAlign w:val="superscript"/>
        </w:rPr>
        <w:t xml:space="preserve">[</w:t>
      </w:r>
      <w:hyperlink w:anchor="ref-64">
        <w:r>
          <w:rPr>
            <w:rStyle w:val="Hyperlink"/>
            <w:vertAlign w:val="superscript"/>
          </w:rPr>
          <w:t xml:space="preserve">64</w:t>
        </w:r>
      </w:hyperlink>
      <w:r>
        <w:rPr>
          <w:vertAlign w:val="superscript"/>
        </w:rPr>
        <w:t xml:space="preserve">,</w:t>
      </w:r>
      <w:hyperlink w:anchor="ref-896">
        <w:r>
          <w:rPr>
            <w:rStyle w:val="Hyperlink"/>
            <w:vertAlign w:val="superscript"/>
          </w:rPr>
          <w:t xml:space="preserve">896</w:t>
        </w:r>
      </w:hyperlink>
      <w:r>
        <w:rPr>
          <w:vertAlign w:val="superscript"/>
        </w:rPr>
        <w:t xml:space="preserve">,</w:t>
      </w:r>
      <w:hyperlink w:anchor="ref-897">
        <w:r>
          <w:rPr>
            <w:rStyle w:val="Hyperlink"/>
            <w:vertAlign w:val="superscript"/>
          </w:rPr>
          <w:t xml:space="preserve">897</w:t>
        </w:r>
      </w:hyperlink>
      <w:r>
        <w:rPr>
          <w:vertAlign w:val="superscript"/>
        </w:rPr>
        <w:t xml:space="preserve">]</w:t>
      </w:r>
      <w:r>
        <w:t xml:space="preserve">。</w:t>
      </w:r>
    </w:p>
    <w:p>
      <w:pPr>
        <w:pStyle w:val="BodyText"/>
      </w:pPr>
      <w:r>
        <w:t xml:space="preserve">治疗效果还需要考虑外周作用。影响心血管或觉醒水平的干预，可能通过身体状态间接改变任务表现；观察到行为改善后，仍需区分具体获益路径。临床选择依赖诊断、适应证、合并情况和监测，基础受体图不能替代这些条件。本书的用途是帮助理解为何疗效与不良效应需要共同评价，并解释同一种干预在不同个体身上可能产生不同结果。</w:t>
      </w:r>
    </w:p>
    <w:bookmarkEnd w:id="1696"/>
    <w:bookmarkStart w:id="1697" w:name="sec-100-17"/>
    <w:p>
      <w:pPr>
        <w:pStyle w:val="Heading3"/>
      </w:pPr>
      <w:r>
        <w:t xml:space="preserve">100.17　本章结论</w:t>
      </w:r>
    </w:p>
    <w:p>
      <w:pPr>
        <w:pStyle w:val="FirstParagraph"/>
      </w:pPr>
      <w:r>
        <w:t xml:space="preserve">压力可以改变控制和学习回路的工作状态，解释应落实到具体过程。整体断电和空间楼层接管的字面主张缺少支持。判断置信度高的部分是相关功能存在条件依赖；对特定个人、特定事件的机制定位，通常只能保持较低或中等置信。减少过度概括，有助于既承认困难，又寻找可验证的支持办法</w:t>
      </w:r>
      <w:r>
        <w:rPr>
          <w:vertAlign w:val="superscript"/>
        </w:rPr>
        <w:t xml:space="preserve">[</w:t>
      </w:r>
      <w:hyperlink w:anchor="ref-895">
        <w:r>
          <w:rPr>
            <w:rStyle w:val="Hyperlink"/>
            <w:vertAlign w:val="superscript"/>
          </w:rPr>
          <w:t xml:space="preserve">895</w:t>
        </w:r>
      </w:hyperlink>
      <w:r>
        <w:rPr>
          <w:vertAlign w:val="superscript"/>
        </w:rPr>
        <w:t xml:space="preserve">]</w:t>
      </w:r>
      <w:r>
        <w:t xml:space="preserve">。</w:t>
      </w:r>
    </w:p>
    <w:bookmarkEnd w:id="1697"/>
    <w:bookmarkEnd w:id="1698"/>
    <w:bookmarkStart w:id="1716" w:name="ch-101"/>
    <w:p>
      <w:pPr>
        <w:pStyle w:val="Heading2"/>
      </w:pPr>
      <w:r>
        <w:t xml:space="preserve">第101章　压力、应激与恢复</w:t>
      </w:r>
    </w:p>
    <w:p>
      <w:pPr>
        <w:pStyle w:val="CalloutJudgment"/>
      </w:pPr>
      <w:r>
        <w:rPr>
          <w:bCs/>
          <w:b/>
        </w:rPr>
        <w:t xml:space="preserve">核心判断　压力能够改变脑和身体的调节，长期失调可能增加风险；每次紧张都会杀死神经元并永久损伤的说法缺乏依据，置信度高。</w:t>
      </w:r>
      <w:r>
        <w:t xml:space="preserve">应激包含暴露、主观评价、生理反应和后续后果。它们相互影响，但测量其中一个不能自动代表其余全部。</w:t>
      </w:r>
    </w:p>
    <w:bookmarkStart w:id="1699" w:name="sec-101-1"/>
    <w:p>
      <w:pPr>
        <w:pStyle w:val="Heading3"/>
      </w:pPr>
      <w:r>
        <w:t xml:space="preserve">101.1　压力的定义决定研究问题</w:t>
      </w:r>
    </w:p>
    <w:p>
      <w:pPr>
        <w:pStyle w:val="FirstParagraph"/>
      </w:pPr>
      <w:r>
        <w:t xml:space="preserve">压力源可以是考试、疾病、失业、暴力或持续照护负担。主观压力描述个体对资源与要求的体验。应激反应涉及自主神经、内分泌、免疫、代谢和行为变化。健康后果则需要更长期观察。研究若只说“压力大”，读者难以知道究竟测量哪个层次。</w:t>
      </w:r>
    </w:p>
    <w:p>
      <w:pPr>
        <w:pStyle w:val="BodyText"/>
      </w:pPr>
      <w:r>
        <w:t xml:space="preserve">同一压力源对不同人的影响可能不同，取决于可控性、可预测性、持续时间、既往经历和支持。一个短时挑战可以促进集中和行动，长时间无法停止的威胁则可能带来不同负担。用单一高低量表概括全部过程，容易遗漏时间和情境。</w:t>
      </w:r>
    </w:p>
    <w:bookmarkEnd w:id="1699"/>
    <w:bookmarkStart w:id="1700" w:name="sec-101-2"/>
    <w:p>
      <w:pPr>
        <w:pStyle w:val="Heading3"/>
      </w:pPr>
      <w:r>
        <w:t xml:space="preserve">101.2　应激调节的生理意义</w:t>
      </w:r>
    </w:p>
    <w:p>
      <w:pPr>
        <w:pStyle w:val="FirstParagraph"/>
      </w:pPr>
      <w:r>
        <w:t xml:space="preserve">应激系统帮助机体分配能量、改变警觉、调节免疫与心血管状态。反应需要在适当时点启动，也需要在需求减少后调整。McEwen的整合框架讨论了适应性调节及长期负荷，强调同一介质的效果依剂量、时序、组织和整体状态改变</w:t>
      </w:r>
      <w:r>
        <w:rPr>
          <w:vertAlign w:val="superscript"/>
        </w:rPr>
        <w:t xml:space="preserve">[</w:t>
      </w:r>
      <w:hyperlink w:anchor="ref-889">
        <w:r>
          <w:rPr>
            <w:rStyle w:val="Hyperlink"/>
            <w:vertAlign w:val="superscript"/>
          </w:rPr>
          <w:t xml:space="preserve">889</w:t>
        </w:r>
      </w:hyperlink>
      <w:r>
        <w:rPr>
          <w:vertAlign w:val="superscript"/>
        </w:rPr>
        <w:t xml:space="preserve">]</w:t>
      </w:r>
      <w:r>
        <w:t xml:space="preserve">。这个框架提供机制问题，不能用作每个人疾病的通用解释。</w:t>
      </w:r>
    </w:p>
    <w:p>
      <w:pPr>
        <w:pStyle w:val="BodyText"/>
      </w:pPr>
      <w:r>
        <w:t xml:space="preserve">皮质醇等激素具有正常节律和必要功能，也存在昼夜和短时波动。采样时间、醒来时间、睡眠、近期活动、疾病、药物和取样条件都可能影响读数。某一次高值不能独自证明慢性压力造成脑损伤，某一次低值也不能说明没有压力。唾液、血液和毛发测量的时间窗口与干扰因素不同，需要根据问题选择。真正临床内分泌疾病有其诊断标准，不能由日常压力标签替代。</w:t>
      </w:r>
    </w:p>
    <w:bookmarkEnd w:id="1700"/>
    <w:bookmarkStart w:id="1701" w:name="sec-101-3"/>
    <w:p>
      <w:pPr>
        <w:pStyle w:val="Heading3"/>
      </w:pPr>
      <w:r>
        <w:t xml:space="preserve">101.3　结构变化与细胞死亡</w:t>
      </w:r>
    </w:p>
    <w:p>
      <w:pPr>
        <w:pStyle w:val="FirstParagraph"/>
      </w:pPr>
      <w:r>
        <w:t xml:space="preserve">MRI体积下降可以来自多种组织成分，无法直接转换成死亡神经元数量（见</w:t>
      </w:r>
      <w:r>
        <w:t xml:space="preserve"> </w:t>
      </w:r>
      <w:hyperlink w:anchor="sec-100-9">
        <w:r>
          <w:rPr>
            <w:rStyle w:val="Hyperlink"/>
          </w:rPr>
          <w:t xml:space="preserve">100.9</w:t>
        </w:r>
      </w:hyperlink>
      <w:r>
        <w:t xml:space="preserve">）。动物组织学可以提供更具体信息，但特定强度、持续时间和物种条件需要明确。人体日常压力不能未经验证照搬动物极端暴露结果。</w:t>
      </w:r>
    </w:p>
    <w:p>
      <w:pPr>
        <w:pStyle w:val="BodyText"/>
      </w:pPr>
      <w:r>
        <w:t xml:space="preserve">细胞死亡是一种强生物学结论，需要相应检测与对照。功能暂时下降可以来自疲劳、睡眠、动机和网络调节，并不要求细胞死亡。把所有下降都解释为永久损伤，会夸大证据，也可能增加患者对正常波动的恐惧。</w:t>
      </w:r>
    </w:p>
    <w:bookmarkEnd w:id="1701"/>
    <w:bookmarkStart w:id="1702" w:name="sec-101-4"/>
    <w:p>
      <w:pPr>
        <w:pStyle w:val="Heading3"/>
      </w:pPr>
      <w:r>
        <w:t xml:space="preserve">101.4　可恢复的人体证据</w:t>
      </w:r>
    </w:p>
    <w:p>
      <w:pPr>
        <w:pStyle w:val="FirstParagraph"/>
      </w:pPr>
      <w:r>
        <w:t xml:space="preserve">Liston等2009年研究20名经历一个月高压力的健康成人，并与匹配对照比较，观察注意控制与前额叶网络功能。压力降低一个月后，原先差异不再显著</w:t>
      </w:r>
      <w:r>
        <w:rPr>
          <w:vertAlign w:val="superscript"/>
        </w:rPr>
        <w:t xml:space="preserve">[</w:t>
      </w:r>
      <w:hyperlink w:anchor="ref-898">
        <w:r>
          <w:rPr>
            <w:rStyle w:val="Hyperlink"/>
            <w:vertAlign w:val="superscript"/>
          </w:rPr>
          <w:t xml:space="preserve">898</w:t>
        </w:r>
      </w:hyperlink>
      <w:r>
        <w:rPr>
          <w:vertAlign w:val="superscript"/>
        </w:rPr>
        <w:t xml:space="preserve">]</w:t>
      </w:r>
      <w:r>
        <w:t xml:space="preserve">。研究支持部分功能影响可以恢复；它没有直接计数细胞，也不能代表多年严重创伤或所有疾病人群。</w:t>
      </w:r>
    </w:p>
    <w:p>
      <w:pPr>
        <w:pStyle w:val="BodyText"/>
      </w:pPr>
      <w:r>
        <w:t xml:space="preserve">这类自然压力研究无法完全随机化生活经历。睡眠、练习熟悉和其他时间变化可能共同影响结果。恢复后的组间差异不显著，也未必构成严格等效证明。准确结论应保持在“研究中的功能改变呈可逆模式”范围内，避免保证所有影响完全恢复。</w:t>
      </w:r>
    </w:p>
    <w:bookmarkEnd w:id="1702"/>
    <w:bookmarkStart w:id="1703" w:name="sec-101-5"/>
    <w:p>
      <w:pPr>
        <w:pStyle w:val="Heading3"/>
      </w:pPr>
      <w:r>
        <w:t xml:space="preserve">101.5　恢复需要怎样测量</w:t>
      </w:r>
    </w:p>
    <w:p>
      <w:pPr>
        <w:pStyle w:val="FirstParagraph"/>
      </w:pPr>
      <w:r>
        <w:t xml:space="preserve">恢复可以指症状减少、任务表现回升、组织指标变化或重新参与生活。一次事件结束后，心率、激素、睡眠、情绪和认知的恢复可能不同步（另见</w:t>
      </w:r>
      <w:r>
        <w:t xml:space="preserve"> </w:t>
      </w:r>
      <w:hyperlink w:anchor="sec-100-15">
        <w:r>
          <w:rPr>
            <w:rStyle w:val="Hyperlink"/>
          </w:rPr>
          <w:t xml:space="preserve">100.15</w:t>
        </w:r>
      </w:hyperlink>
      <w:r>
        <w:t xml:space="preserve">）。一个人重新工作仍可能感到疲惫，量表改善也可能尚未恢复关系和生活能力。某一指标恢复正常，不保证全部系统已经恢复；某一指标仍有波动，也不意味着发生永久损伤。“恢复”还需要明确参照：回到事件前水平、回到同龄平均、达到不影响生活的状态，可能是不同终点，事件前水平也未必理想。研究应明确恢复标准，为各过程选择合适的测量间隔，并进行足够随访，避免把单一量表的下降当成全部健康恢复。</w:t>
      </w:r>
    </w:p>
    <w:p>
      <w:pPr>
        <w:pStyle w:val="BodyText"/>
      </w:pPr>
      <w:r>
        <w:t xml:space="preserve">恢复速度受到持续暴露、身体疾病、睡眠、社会资源和治疗影响，也取决于是否真正获得休息条件。照护责任、经济压力、持续冲突和轮班工作可能让负荷反复出现。若压力源仍在，要求个人仅靠放松恢复可能不现实；把缺少恢复解释为个人不愿放松，会遗漏现实限制。支持可以涉及任务安排、社会资源、身体疾病处理和心理技能多个层面。若某些损伤不可完全逆转，支持仍可通过代偿和环境适配改善生活。恢复的可行目标应根据实际情况确定。</w:t>
      </w:r>
    </w:p>
    <w:bookmarkEnd w:id="1703"/>
    <w:bookmarkStart w:id="1704" w:name="sec-101-6"/>
    <w:p>
      <w:pPr>
        <w:pStyle w:val="Heading3"/>
      </w:pPr>
      <w:r>
        <w:t xml:space="preserve">101.6　慢性压力与因果混杂</w:t>
      </w:r>
    </w:p>
    <w:p>
      <w:pPr>
        <w:pStyle w:val="FirstParagraph"/>
      </w:pPr>
      <w:r>
        <w:t xml:space="preserve">长期压力与健康问题相关时，可能同时存在双向关系。疾病增加经济与照护压力，压力又可能影响健康行为和生理调节。社会处境可以共同影响暴露与医疗可及性。横断面数据无法独自确定方向，纵向和自然实验能够增加约束。</w:t>
      </w:r>
    </w:p>
    <w:p>
      <w:pPr>
        <w:pStyle w:val="BodyText"/>
      </w:pPr>
      <w:r>
        <w:t xml:space="preserve">应激研究还容易受到报告偏倚。当前抑郁或焦虑可能影响对过去压力的回忆，回顾量表与前瞻记录因此可能不同。生理指标也存在状态波动。多方法测量有助于减少单一来源误差，但不能机械把所有指标平均成一个无条件“压力分”。</w:t>
      </w:r>
    </w:p>
    <w:bookmarkEnd w:id="1704"/>
    <w:bookmarkStart w:id="1705" w:name="sec-101-7"/>
    <w:p>
      <w:pPr>
        <w:pStyle w:val="Heading3"/>
      </w:pPr>
      <w:r>
        <w:t xml:space="preserve">101.7　早期逆境与个体命运</w:t>
      </w:r>
    </w:p>
    <w:p>
      <w:pPr>
        <w:pStyle w:val="FirstParagraph"/>
      </w:pPr>
      <w:r>
        <w:t xml:space="preserve">童年逆境可以增加后续风险，风险增加不等于每个人必然患病。暴露类型、时间、强度、持续性、关系支持、既往健康、其他资源、后续环境和机会都会改变轨迹，相似逆境之后的个体轨迹可能不同。发展经历可以改变应对方式，后续学习和环境也可以继续影响它。将群体风险转换成个人注定受损，会遗漏实际异质性，也会忽视支持的可能价值。认识早期逆境的重要性应促进预防和支持，避免宣称童年经历已经不可逆地决定全部成人命运；机制上的长期影响与个体的可改变性可以同时存在。</w:t>
      </w:r>
    </w:p>
    <w:p>
      <w:pPr>
        <w:pStyle w:val="BodyText"/>
      </w:pPr>
      <w:r>
        <w:t xml:space="preserve">保护因素同样需要证据。某些人经历逆境后保持良好功能，不能简单解释为意志强。支持、机会、健康、遗传和未测条件可能共同作用。保护因素可以降低风险，却不能保证完全免受影响；出现长期困难也不说明缺少韧性或努力。韧性是需要解释的结果，不能作为事后万能原因，它本身也可以按不同结果定义：一个人保持工作能力，可能同时承担很高心理代价；另一个人暂时减少工作，却在长期恢复中取得更好状态。研究应预先定义保护因素并检验其预测，说明所测的是症状、功能、身体指标还是生活质量，不能把外在持续工作当作唯一韧性标准。</w:t>
      </w:r>
    </w:p>
    <w:bookmarkEnd w:id="1705"/>
    <w:bookmarkStart w:id="1706" w:name="sec-101-8"/>
    <w:p>
      <w:pPr>
        <w:pStyle w:val="Heading3"/>
      </w:pPr>
      <w:r>
        <w:t xml:space="preserve">101.8　表观遗传叙事的边界</w:t>
      </w:r>
    </w:p>
    <w:p>
      <w:pPr>
        <w:pStyle w:val="FirstParagraph"/>
      </w:pPr>
      <w:r>
        <w:t xml:space="preserve">压力可能伴随某些表观遗传标记变化，但血液中某位置的甲基化差异不能自动代表脑内机制。细胞组成、年龄、吸烟和药物等因素会影响测量。发现关联还需要区分原因、结果和旁观指标。跨代传递的主张更需排除共同环境和直接暴露。</w:t>
      </w:r>
    </w:p>
    <w:p>
      <w:pPr>
        <w:pStyle w:val="BodyText"/>
      </w:pPr>
      <w:r>
        <w:t xml:space="preserve">若孕期暴露同时作用于母体、胎儿以及胎儿体内将来形成孙代的生殖细胞，子代和孙代出现差异仍可能来自直接暴露，未必属于超出直接暴露范围的遗传；较严格的跨代检验至少要观察到曾孙代。人类跨代因果研究尤其困难。把任何家族相似的创伤反应称为祖先记忆写进DNA，会超出现有测量能支持的范围。</w:t>
      </w:r>
    </w:p>
    <w:bookmarkEnd w:id="1706"/>
    <w:bookmarkStart w:id="1707" w:name="sec-101-9"/>
    <w:p>
      <w:pPr>
        <w:pStyle w:val="Heading3"/>
      </w:pPr>
      <w:r>
        <w:t xml:space="preserve">101.9　压力管理的评价标准</w:t>
      </w:r>
    </w:p>
    <w:p>
      <w:pPr>
        <w:pStyle w:val="FirstParagraph"/>
      </w:pPr>
      <w:r>
        <w:t xml:space="preserve">一个方案是否有效，应看具体结局和比较条件。干预可以减少暴露、改变评价、提高应对资源或改善恢复，不同方案针对不同环节：呼吸练习可能改变当下紧张，运动或心理支持可能影响更长期状态，减少工作不确定性可能直接改变暴露。若危险仍在持续，优先解决环境条件具有直接意义；若危险已经结束但反应持续，学习和治疗可能帮助更新状态；若睡眠或疼痛成为维持因素，也需要相应处理。不能因为都叫减压就假定效果相同。</w:t>
      </w:r>
    </w:p>
    <w:p>
      <w:pPr>
        <w:pStyle w:val="BodyText"/>
      </w:pPr>
      <w:r>
        <w:t xml:space="preserve">研究应报告干预实际改变了哪个环节。主观压力下降、生理反应改变和功能改善可能不完全一致，需要分别解释。生理指标改善也要解释其意义：心率变化可能反映姿势、呼吸和活动，不能自动代表创伤已修复；皮质醇下降未必在所有情境都是好事。不能因为一项生理指标没有改变就否认全部收益，也不能因为指标改变就保证生活改善。临床收益应通过症状、功能、生活质量和安全性检验，生物指标提供辅助信息，多层次结果有助于理解干预的真正作用范围。</w:t>
      </w:r>
    </w:p>
    <w:bookmarkEnd w:id="1707"/>
    <w:bookmarkStart w:id="1708" w:name="sec-101-10"/>
    <w:p>
      <w:pPr>
        <w:pStyle w:val="Heading3"/>
      </w:pPr>
      <w:r>
        <w:t xml:space="preserve">101.10　快速反应与较慢内分泌调节</w:t>
      </w:r>
    </w:p>
    <w:p>
      <w:pPr>
        <w:pStyle w:val="FirstParagraph"/>
      </w:pPr>
      <w:r>
        <w:t xml:space="preserve">应激反应包含不同时间尺度。快速的自主神经和神经调节变化可以改变心率、呼吸、注意和行动准备；下丘脑—垂体—肾上腺轴等过程在另一时间尺度上调整激素与代谢。多个系统可以协同，也可能在持续负荷下出现不同步。把压力等同于一个皮质醇数值，会遗漏这一动态组织。</w:t>
      </w:r>
    </w:p>
    <w:p>
      <w:pPr>
        <w:pStyle w:val="BodyText"/>
      </w:pPr>
      <w:r>
        <w:t xml:space="preserve">反馈调节使反应能够随着情境改变。激素和神经信号既影响外周器官，也反馈到相关脑网络。适当反应有助于分配资源，结束后恢复则减少长期代价。</w:t>
      </w:r>
      <w:hyperlink w:anchor="sec-101-2">
        <w:r>
          <w:rPr>
            <w:rStyle w:val="Hyperlink"/>
          </w:rPr>
          <w:t xml:space="preserve">101.2 节</w:t>
        </w:r>
      </w:hyperlink>
      <w:r>
        <w:t xml:space="preserve">提到的 McEwen 框架又称应变稳态负荷（allostatic load）框架，它强调，同一组介质可以在短期适应中有益，在持续或失调条件下增加负担</w:t>
      </w:r>
      <w:r>
        <w:rPr>
          <w:vertAlign w:val="superscript"/>
        </w:rPr>
        <w:t xml:space="preserve">[</w:t>
      </w:r>
      <w:hyperlink w:anchor="ref-899">
        <w:r>
          <w:rPr>
            <w:rStyle w:val="Hyperlink"/>
            <w:vertAlign w:val="superscript"/>
          </w:rPr>
          <w:t xml:space="preserve">899</w:t>
        </w:r>
      </w:hyperlink>
      <w:r>
        <w:rPr>
          <w:vertAlign w:val="superscript"/>
        </w:rPr>
        <w:t xml:space="preserve">]</w:t>
      </w:r>
      <w:r>
        <w:t xml:space="preserve">。</w:t>
      </w:r>
    </w:p>
    <w:p>
      <w:pPr>
        <w:pStyle w:val="BodyText"/>
      </w:pPr>
      <w:r>
        <w:t xml:space="preserve">因此，“应激反应越低越健康”并不是普遍规律。面对需要动员的情境，反应不足也可能不利；面对已经结束的威胁，持续高反应又可能耗费资源。更有意义的指标包括启动是否适当、幅度是否匹配、能否恢复，以及不同系统是否协调。</w:t>
      </w:r>
    </w:p>
    <w:bookmarkEnd w:id="1708"/>
    <w:bookmarkStart w:id="1709" w:name="sec-101-11"/>
    <w:p>
      <w:pPr>
        <w:pStyle w:val="Heading3"/>
      </w:pPr>
      <w:r>
        <w:t xml:space="preserve">101.11　皮质醇测量的时间维度</w:t>
      </w:r>
    </w:p>
    <w:p>
      <w:pPr>
        <w:pStyle w:val="FirstParagraph"/>
      </w:pPr>
      <w:r>
        <w:t xml:space="preserve">醒来时间不同，会让同一钟点采集的样本处于不同生理阶段（假设例子见</w:t>
      </w:r>
      <w:r>
        <w:t xml:space="preserve"> </w:t>
      </w:r>
      <w:hyperlink w:anchor="sec-99-4">
        <w:r>
          <w:rPr>
            <w:rStyle w:val="Hyperlink"/>
          </w:rPr>
          <w:t xml:space="preserve">99.4</w:t>
        </w:r>
      </w:hyperlink>
      <w:r>
        <w:t xml:space="preserve">）。若研究比较轮班者与固定作息者，仅控制钟点可能不足。设计中应记录实际醒来和睡眠时间，并明确目标是瞬时反应、日内曲线还是较长期暴露。</w:t>
      </w:r>
    </w:p>
    <w:p>
      <w:pPr>
        <w:pStyle w:val="BodyText"/>
      </w:pPr>
      <w:r>
        <w:t xml:space="preserve">慢性压力也不保证所有人都长期呈现同一方向的激素变化。暴露持续时间、反馈适应、疾病和既往经历可能改变模式。将某种低反应直接称为“肾上腺疲劳”或将高反应直接称为脑损伤，缺乏足够依据。解释需要与具体内分泌和临床问题连接。</w:t>
      </w:r>
    </w:p>
    <w:bookmarkEnd w:id="1709"/>
    <w:bookmarkStart w:id="1710" w:name="sec-101-12"/>
    <w:p>
      <w:pPr>
        <w:pStyle w:val="Heading3"/>
      </w:pPr>
      <w:r>
        <w:t xml:space="preserve">101.12　记忆的不同阶段对压力反应不同</w:t>
      </w:r>
    </w:p>
    <w:p>
      <w:pPr>
        <w:pStyle w:val="FirstParagraph"/>
      </w:pPr>
      <w:r>
        <w:t xml:space="preserve">记忆包含编码、巩固、提取和更新。压力发生在不同阶段，可能产生不同甚至相反的表现。一个人在紧张时记不出已经学过的信息，不代表信息必然永久消失；情绪强烈事件较容易留下某些记忆，也不保证所有细节都准确。</w:t>
      </w:r>
    </w:p>
    <w:p>
      <w:pPr>
        <w:pStyle w:val="BodyText"/>
      </w:pPr>
      <w:r>
        <w:t xml:space="preserve">de Quervain 等人在健康成人双盲实验中，按不同记忆阶段给予急性糖皮质激素相关操作，发现提取受到影响，说明时机具有机制意义。该研究采用特定药理条件和词表任务，不能概括现实压力的全部效应，也不构成自行使用激素改善记忆的依据</w:t>
      </w:r>
      <w:r>
        <w:rPr>
          <w:vertAlign w:val="superscript"/>
        </w:rPr>
        <w:t xml:space="preserve">[</w:t>
      </w:r>
      <w:hyperlink w:anchor="ref-900">
        <w:r>
          <w:rPr>
            <w:rStyle w:val="Hyperlink"/>
            <w:vertAlign w:val="superscript"/>
          </w:rPr>
          <w:t xml:space="preserve">900</w:t>
        </w:r>
      </w:hyperlink>
      <w:r>
        <w:rPr>
          <w:vertAlign w:val="superscript"/>
        </w:rPr>
        <w:t xml:space="preserve">]</w:t>
      </w:r>
      <w:r>
        <w:t xml:space="preserve">。</w:t>
      </w:r>
    </w:p>
    <w:p>
      <w:pPr>
        <w:pStyle w:val="BodyText"/>
      </w:pPr>
      <w:r>
        <w:t xml:space="preserve">可以用假设例子区分：考试前紧张导致提取困难，放松后能够想起，支持状态相关可达性变化；学习时注意被威胁占用，可能导致编码不足；事件后反复讲述则可能改变记忆组织。三种现象表面都表现为“记忆受压力影响”，需要不同解释。</w:t>
      </w:r>
    </w:p>
    <w:bookmarkEnd w:id="1710"/>
    <w:bookmarkStart w:id="1711" w:name="sec-101-13"/>
    <w:p>
      <w:pPr>
        <w:pStyle w:val="Heading3"/>
      </w:pPr>
      <w:r>
        <w:t xml:space="preserve">101.13　可控性与预测性的作用</w:t>
      </w:r>
    </w:p>
    <w:p>
      <w:pPr>
        <w:pStyle w:val="FirstParagraph"/>
      </w:pPr>
      <w:r>
        <w:t xml:space="preserve">两个强度相近的事件，如果一个可以预测和控制，另一个无法预测或结束，可能产生不同体验与学习（测量要求见</w:t>
      </w:r>
      <w:r>
        <w:t xml:space="preserve"> </w:t>
      </w:r>
      <w:hyperlink w:anchor="sec-100-3">
        <w:r>
          <w:rPr>
            <w:rStyle w:val="Hyperlink"/>
          </w:rPr>
          <w:t xml:space="preserve">100.3</w:t>
        </w:r>
      </w:hyperlink>
      <w:r>
        <w:t xml:space="preserve">）。控制感不等于事件客观安全，仍能改变行动选择和资源分配。研究需要分别测量客观可控性、个人理解和实际应对机会。</w:t>
      </w:r>
    </w:p>
    <w:p>
      <w:pPr>
        <w:pStyle w:val="BodyText"/>
      </w:pPr>
      <w:r>
        <w:t xml:space="preserve">长期不确定性可以让注意持续围绕潜在威胁。若无法获得明确反馈，系统可能很难更新“已经安全”的判断。反复检查和回避可能短期降低不适，同时减少获得新信息的机会。这个维持循环可以用学习理论描述，但并非所有压力反应都遵循同一模式。</w:t>
      </w:r>
    </w:p>
    <w:p>
      <w:pPr>
        <w:pStyle w:val="BodyText"/>
      </w:pPr>
      <w:r>
        <w:t xml:space="preserve">改变环境中的可预测性，有时比要求个人不断调整心态更具体。例如清楚的信息、可靠的安排和可获得的支持，可以减少无意义的不确定性。其效果仍取决于真实条件，不能把结构性困难简化为感知问题。</w:t>
      </w:r>
    </w:p>
    <w:bookmarkEnd w:id="1711"/>
    <w:bookmarkStart w:id="1712" w:name="sec-101-14"/>
    <w:p>
      <w:pPr>
        <w:pStyle w:val="Heading3"/>
      </w:pPr>
      <w:r>
        <w:t xml:space="preserve">101.14　应激与代谢、免疫的相互联系</w:t>
      </w:r>
    </w:p>
    <w:p>
      <w:pPr>
        <w:pStyle w:val="FirstParagraph"/>
      </w:pPr>
      <w:r>
        <w:t xml:space="preserve">应激系统需要为行动提供能量，并协调身体资源。持续变化可能与睡眠、食欲、活动和免疫状态相互影响。一个人疲劳和注意下降，可能来自多个相互作用的路径，不能只归为某个脑区受损。临床评估需要了解整体身体状况和时间进程。</w:t>
      </w:r>
    </w:p>
    <w:p>
      <w:pPr>
        <w:pStyle w:val="BodyText"/>
      </w:pPr>
      <w:r>
        <w:t xml:space="preserve">外周炎症指标与压力相关时，需要区分直接生理路径和行为中介。睡眠减少、饮食变化、运动减少及感染都可能参与。统计上控制某个中介变量会改变所估计的问题：总影响与不经过该中介的影响不同。机制解释应说明所关注的路径。</w:t>
      </w:r>
    </w:p>
    <w:p>
      <w:pPr>
        <w:pStyle w:val="BodyText"/>
      </w:pPr>
      <w:r>
        <w:t xml:space="preserve">应激研究中的动物模型可以精确操纵暴露，却往往使用有限的物种、性别和实验条件。人类压力包含意义、关系和社会制度，动物模型能够研究某些生物环节，不能完整复制人类经历。转化需要比较共同机制和不同背景。</w:t>
      </w:r>
    </w:p>
    <w:bookmarkEnd w:id="1712"/>
    <w:bookmarkStart w:id="1713" w:name="sec-101-15"/>
    <w:p>
      <w:pPr>
        <w:pStyle w:val="Heading3"/>
      </w:pPr>
      <w:r>
        <w:t xml:space="preserve">101.15　身体负荷与心理负荷</w:t>
      </w:r>
    </w:p>
    <w:p>
      <w:pPr>
        <w:pStyle w:val="FirstParagraph"/>
      </w:pPr>
      <w:r>
        <w:t xml:space="preserve">运动、感染、疼痛、睡眠不足和心理威胁都可以动员部分应激系统。共享生理反应不意味着这些情境具有相同健康后果。规律适配的运动可能伴随短期激素和心率变化，同时带来长期适应；持续无法恢复的负荷则可能产生不同结果。解释应关注剂量、恢复与总体功能。</w:t>
      </w:r>
    </w:p>
    <w:p>
      <w:pPr>
        <w:pStyle w:val="BodyText"/>
      </w:pPr>
      <w:r>
        <w:t xml:space="preserve">同样，心率升高可以由运动、兴奋、恐惧或疾病引起。可穿戴设备若把所有生理波动都标成“压力”，可能混淆不同来源。数据可以帮助观察模式，不能单独读取情绪含义。主观报告、活动记录和身体信息仍然重要。</w:t>
      </w:r>
    </w:p>
    <w:p>
      <w:pPr>
        <w:pStyle w:val="BodyText"/>
      </w:pPr>
      <w:r>
        <w:t xml:space="preserve">个人对身体感觉的解释也会影响后续反应。把普通活动中的心跳变化理解为危险，可能增加警觉；获得恰当解释和经验后，反应可能改变。这个过程说明认知与生理互相作用，不能被简化为症状虚构。</w:t>
      </w:r>
    </w:p>
    <w:bookmarkEnd w:id="1713"/>
    <w:bookmarkStart w:id="1714" w:name="sec-101-16"/>
    <w:p>
      <w:pPr>
        <w:pStyle w:val="Heading3"/>
      </w:pPr>
      <w:r>
        <w:t xml:space="preserve">101.16　负反馈与昼夜背景共同塑造激素曲线</w:t>
      </w:r>
    </w:p>
    <w:p>
      <w:pPr>
        <w:pStyle w:val="FirstParagraph"/>
      </w:pPr>
      <w:r>
        <w:t xml:space="preserve">应激相关激素处于动态反馈系统中。下游激素可以反过来调节上游信号，受体敏感性、清除速度与既往暴露也会影响曲线。一个时间点的浓度高低，无法完整说明系统启动有多强、恢复有多快或反馈是否正常。</w:t>
      </w:r>
    </w:p>
    <w:p>
      <w:pPr>
        <w:pStyle w:val="BodyText"/>
      </w:pPr>
      <w:r>
        <w:t xml:space="preserve">昼夜变化进一步增加解释条件。假设两个参与者接受相同实验任务，一人的采样处于自然上升阶段，另一人处于下降阶段。即使任务效应相近，原始曲线也可能不同。需要结合采样时相、基线与动态变化，才能较合理地比较反应。</w:t>
      </w:r>
    </w:p>
    <w:p>
      <w:pPr>
        <w:pStyle w:val="BodyText"/>
      </w:pPr>
      <w:r>
        <w:t xml:space="preserve">峰值和总暴露也可以分离（同类例子见</w:t>
      </w:r>
      <w:r>
        <w:t xml:space="preserve"> </w:t>
      </w:r>
      <w:hyperlink w:anchor="sec-99-14">
        <w:r>
          <w:rPr>
            <w:rStyle w:val="Hyperlink"/>
          </w:rPr>
          <w:t xml:space="preserve">99.14</w:t>
        </w:r>
      </w:hyperlink>
      <w:r>
        <w:t xml:space="preserve">、</w:t>
      </w:r>
      <w:hyperlink w:anchor="sec-100-4">
        <w:r>
          <w:rPr>
            <w:rStyle w:val="Hyperlink"/>
          </w:rPr>
          <w:t xml:space="preserve">100.4</w:t>
        </w:r>
      </w:hyperlink>
      <w:r>
        <w:t xml:space="preserve">）。因此研究报告只给最高值，可能漏掉恢复过程；只给总面积，也可能掩盖反应的时间组织。</w:t>
      </w:r>
    </w:p>
    <w:p>
      <w:pPr>
        <w:pStyle w:val="BodyText"/>
      </w:pPr>
      <w:r>
        <w:t xml:space="preserve">压力相关困难还可能在环境威胁结束后延续，因为学习、睡眠、行为和社会后果具有各自时间尺度。外部事件结束不等于所有维持因素立即消失。理解这种延续，有助于避免把恢复较慢简单解释为不够坚强</w:t>
      </w:r>
      <w:r>
        <w:rPr>
          <w:vertAlign w:val="superscript"/>
        </w:rPr>
        <w:t xml:space="preserve">[</w:t>
      </w:r>
      <w:hyperlink w:anchor="ref-889">
        <w:r>
          <w:rPr>
            <w:rStyle w:val="Hyperlink"/>
            <w:vertAlign w:val="superscript"/>
          </w:rPr>
          <w:t xml:space="preserve">889</w:t>
        </w:r>
      </w:hyperlink>
      <w:r>
        <w:rPr>
          <w:vertAlign w:val="superscript"/>
        </w:rPr>
        <w:t xml:space="preserve">,</w:t>
      </w:r>
      <w:hyperlink w:anchor="ref-899">
        <w:r>
          <w:rPr>
            <w:rStyle w:val="Hyperlink"/>
            <w:vertAlign w:val="superscript"/>
          </w:rPr>
          <w:t xml:space="preserve">899</w:t>
        </w:r>
      </w:hyperlink>
      <w:r>
        <w:rPr>
          <w:vertAlign w:val="superscript"/>
        </w:rPr>
        <w:t xml:space="preserve">]</w:t>
      </w:r>
      <w:r>
        <w:t xml:space="preserve">。</w:t>
      </w:r>
    </w:p>
    <w:bookmarkEnd w:id="1714"/>
    <w:bookmarkStart w:id="1715" w:name="sec-101-17"/>
    <w:p>
      <w:pPr>
        <w:pStyle w:val="Heading3"/>
      </w:pPr>
      <w:r>
        <w:t xml:space="preserve">101.17　假设例题</w:t>
      </w:r>
    </w:p>
    <w:p>
      <w:pPr>
        <w:pStyle w:val="FirstParagraph"/>
      </w:pPr>
      <w:r>
        <w:t xml:space="preserve">假设某研究发现考试期海马体积较小，考试后恢复，新闻写成“压力杀死神经元后又长回来”。这个解释给MRI增加了两种未被直接测量的细胞过程。更准确的陈述应停留在组织指标变化，并讨论候选机制与测量误差。</w:t>
      </w:r>
    </w:p>
    <w:p>
      <w:pPr>
        <w:pStyle w:val="BodyText"/>
      </w:pPr>
      <w:r>
        <w:t xml:space="preserve">假设某人压力很大但皮质醇检测正常，不能据此判断其体验虚假。主观压力与单次外周指标不是一一对应。应检查取样条件、症状、功能和环境，并避免用一个数值裁定全部问题。</w:t>
      </w:r>
    </w:p>
    <w:p>
      <w:pPr>
        <w:pStyle w:val="BodyText"/>
      </w:pPr>
      <w:r>
        <w:t xml:space="preserve">压力研究的可靠结论是，持续失调值得认真对待，部分改变具有恢复能力，具体风险和恢复范围需要按暴露与人群判断。普通紧张无法被等同为神经元永久死亡。</w:t>
      </w:r>
    </w:p>
    <w:bookmarkEnd w:id="1715"/>
    <w:bookmarkEnd w:id="1716"/>
    <w:bookmarkStart w:id="1731" w:name="ch-102"/>
    <w:p>
      <w:pPr>
        <w:pStyle w:val="Heading2"/>
      </w:pPr>
      <w:r>
        <w:t xml:space="preserve">第102章　自主神经与神经内分泌的内稳态控制</w:t>
      </w:r>
    </w:p>
    <w:bookmarkStart w:id="1717" w:name="sec-102-1"/>
    <w:p>
      <w:pPr>
        <w:pStyle w:val="Heading3"/>
      </w:pPr>
      <w:r>
        <w:t xml:space="preserve">102.1　交感与副交感：两套同时工作的系统</w:t>
      </w:r>
    </w:p>
    <w:p>
      <w:pPr>
        <w:pStyle w:val="FirstParagraph"/>
      </w:pPr>
      <w:r>
        <w:t xml:space="preserve">自主神经系统包括交感神经、副交感神经和肠神经系统。交感神经动员能量：心率加快、血压升高、瞳孔扩大、出汗；副交感神经的大部分纤维走在迷走神经中，另有其他几对脑神经和骶髓的通路，参与心脏、消化、排泄等器官的调节，例如让心率减慢、促进消化。</w:t>
      </w:r>
    </w:p>
    <w:p>
      <w:pPr>
        <w:pStyle w:val="BodyText"/>
      </w:pPr>
      <w:r>
        <w:t xml:space="preserve">流行说法把它简化成“交感神经等于战斗或逃跑，副交感神经等于放松”，这个说法有两处偏差。第一，两套系统可以此消彼长，也可以同时增强或同时减弱，对不同器官分别调节，生理学家称之为二维的“自主神经空间”</w:t>
      </w:r>
      <w:r>
        <w:rPr>
          <w:vertAlign w:val="superscript"/>
        </w:rPr>
        <w:t xml:space="preserve">[</w:t>
      </w:r>
      <w:hyperlink w:anchor="ref-901">
        <w:r>
          <w:rPr>
            <w:rStyle w:val="Hyperlink"/>
            <w:vertAlign w:val="superscript"/>
          </w:rPr>
          <w:t xml:space="preserve">901</w:t>
        </w:r>
      </w:hyperlink>
      <w:r>
        <w:rPr>
          <w:vertAlign w:val="superscript"/>
        </w:rPr>
        <w:t xml:space="preserve">]</w:t>
      </w:r>
      <w:r>
        <w:t xml:space="preserve">。第二，专注工作、运动、性唤起这类日常状态，都需要两套系统精细配合。冥想练习中的自主神经变化见</w:t>
      </w:r>
      <w:hyperlink w:anchor="ch-113">
        <w:r>
          <w:rPr>
            <w:rStyle w:val="Hyperlink"/>
          </w:rPr>
          <w:t xml:space="preserve">第113章</w:t>
        </w:r>
      </w:hyperlink>
      <w:r>
        <w:t xml:space="preserve">。</w:t>
      </w:r>
    </w:p>
    <w:bookmarkEnd w:id="1717"/>
    <w:bookmarkStart w:id="1718" w:name="sec-102-2"/>
    <w:p>
      <w:pPr>
        <w:pStyle w:val="Heading3"/>
      </w:pPr>
      <w:r>
        <w:t xml:space="preserve">102.2　稳态包含持续调节和提前准备</w:t>
      </w:r>
    </w:p>
    <w:p>
      <w:pPr>
        <w:pStyle w:val="FirstParagraph"/>
      </w:pPr>
      <w:r>
        <w:t xml:space="preserve">身体需要在活动、进食、睡眠和环境变化中维持可生存的内部条件。血压、渗透压、氧和二氧化碳、温度及可用能量各自具有感受机制与效应器。一个完整调节环路包含被监测变量、传入信息、中枢整合、输出通路和外周响应。不同环路相互耦合，因此某个读数的变化往往同时涉及多个系统。</w:t>
      </w:r>
    </w:p>
    <w:p>
      <w:pPr>
        <w:pStyle w:val="BodyText"/>
      </w:pPr>
      <w:r>
        <w:t xml:space="preserve">调节可以由偏差产生后启动，也可以依据可靠线索提前发生。看见食物、开始饮水或准备运动时，神经活动能够在营养吸收和全身化学变化之前改变</w:t>
      </w:r>
      <w:r>
        <w:rPr>
          <w:vertAlign w:val="superscript"/>
        </w:rPr>
        <w:t xml:space="preserve">[</w:t>
      </w:r>
      <w:hyperlink w:anchor="ref-902">
        <w:r>
          <w:rPr>
            <w:rStyle w:val="Hyperlink"/>
            <w:vertAlign w:val="superscript"/>
          </w:rPr>
          <w:t xml:space="preserve">902</w:t>
        </w:r>
      </w:hyperlink>
      <w:r>
        <w:rPr>
          <w:vertAlign w:val="superscript"/>
        </w:rPr>
        <w:t xml:space="preserve">,</w:t>
      </w:r>
      <w:hyperlink w:anchor="ref-903">
        <w:r>
          <w:rPr>
            <w:rStyle w:val="Hyperlink"/>
            <w:vertAlign w:val="superscript"/>
          </w:rPr>
          <w:t xml:space="preserve">903</w:t>
        </w:r>
      </w:hyperlink>
      <w:r>
        <w:rPr>
          <w:vertAlign w:val="superscript"/>
        </w:rPr>
        <w:t xml:space="preserve">]</w:t>
      </w:r>
      <w:r>
        <w:t xml:space="preserve">。这种提前准备可以减少反馈延迟造成的过度反应，但必须由后续身体信号校正。若预期食物没有获得，暂时改变的状态仍需要更新。</w:t>
      </w:r>
    </w:p>
    <w:p>
      <w:pPr>
        <w:pStyle w:val="BodyText"/>
      </w:pPr>
      <w:r>
        <w:t xml:space="preserve">内稳态也不要求每个变量始终固定。日夜、姿势和任务会改变合适的运行范围。理解正常波动时，应同时考虑调节目标、当前需求和恢复能力。将一次升高或降低直接定义为系统失衡，容易遗漏这种动态组织。</w:t>
      </w:r>
    </w:p>
    <w:bookmarkEnd w:id="1718"/>
    <w:bookmarkStart w:id="1719" w:name="sec-102-3"/>
    <w:p>
      <w:pPr>
        <w:pStyle w:val="Heading3"/>
      </w:pPr>
      <w:r>
        <w:t xml:space="preserve">102.3　自主传出通路具有节前和节后接替</w:t>
      </w:r>
    </w:p>
    <w:p>
      <w:pPr>
        <w:pStyle w:val="FirstParagraph"/>
      </w:pPr>
      <w:r>
        <w:t xml:space="preserve">交感节前神经元主要位于胸腰段脊髓，副交感节前神经元主要位于脑干和骶段相关区域。它们经自主神经节接替，节后神经元再支配心肌、平滑肌或腺体。交感神经节常位于椎旁或椎前，副交感接替常接近或位于靶器官。肠神经系统还具有能够在局部组织感觉、整合和运动输出的回路</w:t>
      </w:r>
      <w:r>
        <w:rPr>
          <w:vertAlign w:val="superscript"/>
        </w:rPr>
        <w:t xml:space="preserve">[</w:t>
      </w:r>
      <w:hyperlink w:anchor="ref-904">
        <w:r>
          <w:rPr>
            <w:rStyle w:val="Hyperlink"/>
            <w:vertAlign w:val="superscript"/>
          </w:rPr>
          <w:t xml:space="preserve">904</w:t>
        </w:r>
      </w:hyperlink>
      <w:r>
        <w:rPr>
          <w:vertAlign w:val="superscript"/>
        </w:rPr>
        <w:t xml:space="preserve">]</w:t>
      </w:r>
      <w:r>
        <w:t xml:space="preserve">。</w:t>
      </w:r>
    </w:p>
    <w:p>
      <w:pPr>
        <w:pStyle w:val="BodyText"/>
      </w:pPr>
      <w:r>
        <w:t xml:space="preserve">这个两级结构提供了多个调节点。中枢可改变节前放电，神经节可调整输入输出，末梢可调节递质释放，器官则依靠受体和细胞内信号形成响应。某个器官效应减弱，原因可能位于其中任何一层。只测末端结果不能定位全部原因。</w:t>
      </w:r>
    </w:p>
    <w:p>
      <w:pPr>
        <w:pStyle w:val="BodyText"/>
      </w:pPr>
      <w:r>
        <w:t xml:space="preserve">内脏感觉与自主运动需要分清。迷走神经中既有感觉传入，也有副交感传出；讨论刺激某条迷走通路时，应说明作用方向和细胞类别。感觉信号抵达脑干后，可以改变多个自主与行为输出，不能把整条神经视为单一作用的控制开关。</w:t>
      </w:r>
    </w:p>
    <w:bookmarkEnd w:id="1719"/>
    <w:bookmarkStart w:id="1720" w:name="sec-102-4"/>
    <w:p>
      <w:pPr>
        <w:pStyle w:val="Heading3"/>
      </w:pPr>
      <w:r>
        <w:t xml:space="preserve">102.4　递质名称不能独立指定器官效应</w:t>
      </w:r>
    </w:p>
    <w:p>
      <w:pPr>
        <w:pStyle w:val="FirstParagraph"/>
      </w:pPr>
      <w:r>
        <w:t xml:space="preserve">交感与副交感节前神经元主要释放乙酰胆碱，神经节的烟碱型受体参与快速兴奋。多数交感节后末梢使用去甲肾上腺素，副交感节后末梢主要使用乙酰胆碱；汗腺等存在重要例外。肾上腺髓质则将交感节前输入转换为进入循环的儿茶酚胺输出</w:t>
      </w:r>
      <w:r>
        <w:rPr>
          <w:vertAlign w:val="superscript"/>
        </w:rPr>
        <w:t xml:space="preserve">[</w:t>
      </w:r>
      <w:hyperlink w:anchor="ref-905">
        <w:r>
          <w:rPr>
            <w:rStyle w:val="Hyperlink"/>
            <w:vertAlign w:val="superscript"/>
          </w:rPr>
          <w:t xml:space="preserve">905</w:t>
        </w:r>
      </w:hyperlink>
      <w:r>
        <w:rPr>
          <w:vertAlign w:val="superscript"/>
        </w:rPr>
        <w:t xml:space="preserve">]</w:t>
      </w:r>
      <w:r>
        <w:t xml:space="preserve">。</w:t>
      </w:r>
    </w:p>
    <w:p>
      <w:pPr>
        <w:pStyle w:val="BodyText"/>
      </w:pPr>
      <w:r>
        <w:t xml:space="preserve">器官响应取决于受体及细胞背景。相同递质可以在不同组织通过不同受体改变收缩、分泌或代谢。平滑肌的电活动、钙敏感性和基础张力又会影响最终效应。因此，交感兴奋无法被概括为所有器官活动同时增强，副交感作用也无法概括为全身活动统一降低。</w:t>
      </w:r>
    </w:p>
    <w:p>
      <w:pPr>
        <w:pStyle w:val="BodyText"/>
      </w:pPr>
      <w:r>
        <w:t xml:space="preserve">两套输出可以相互配合，也可以具有器官特异变化。运动时，循环分配、汗腺和胃肠活动的需求不同；进食时，分泌、血流和储能需要协同。一个全身单一数值很难表达所有器官的自主状态。评价某项干预，应说明实际测了哪个器官、哪种响应和哪个时间尺度。</w:t>
      </w:r>
    </w:p>
    <w:bookmarkEnd w:id="1720"/>
    <w:bookmarkStart w:id="1721" w:name="sec-102-5"/>
    <w:p>
      <w:pPr>
        <w:pStyle w:val="Heading3"/>
      </w:pPr>
      <w:r>
        <w:t xml:space="preserve">102.5　血压反射从机械形变进入脑干</w:t>
      </w:r>
    </w:p>
    <w:p>
      <w:pPr>
        <w:pStyle w:val="FirstParagraph"/>
      </w:pPr>
      <w:r>
        <w:t xml:space="preserve">颈动脉窦和主动脉弓的感受末梢响应血管壁拉伸，传入经相关脑神经进入脑干。孤束核及其连接参与将压力相关输入转化为心脏和血管输出变化。PIEZO通道的动物遗传实验为压力感受的机械转导提供了分子证据；同时去除相关感觉神经中的PIEZO1和PIEZO2可严重破坏所测压力反射</w:t>
      </w:r>
      <w:r>
        <w:rPr>
          <w:vertAlign w:val="superscript"/>
        </w:rPr>
        <w:t xml:space="preserve">[</w:t>
      </w:r>
      <w:hyperlink w:anchor="ref-906">
        <w:r>
          <w:rPr>
            <w:rStyle w:val="Hyperlink"/>
            <w:vertAlign w:val="superscript"/>
          </w:rPr>
          <w:t xml:space="preserve">906</w:t>
        </w:r>
      </w:hyperlink>
      <w:r>
        <w:rPr>
          <w:vertAlign w:val="superscript"/>
        </w:rPr>
        <w:t xml:space="preserve">]</w:t>
      </w:r>
      <w:r>
        <w:t xml:space="preserve">。</w:t>
      </w:r>
    </w:p>
    <w:p>
      <w:pPr>
        <w:pStyle w:val="BodyText"/>
      </w:pPr>
      <w:r>
        <w:t xml:space="preserve">在经典反射中，压力升高引起的传入增强可以提高心脏副交感作用，并经脑干中继降低部分交感输出，从而影响心率、收缩和血管阻力。这个环路适于快速调节。较长时间的血压维持还涉及肾脏、体液和激素，不能由一个短时反射解释全部慢性变化。</w:t>
      </w:r>
    </w:p>
    <w:p>
      <w:pPr>
        <w:pStyle w:val="BodyText"/>
      </w:pPr>
      <w:r>
        <w:t xml:space="preserve">压力感受器实际检测的是壁的力学形变，其响应因此还受血管顺应性影响。相同腔内压力在不同血管状态下可能产生不同形变。理解感受器时，需要把物理输入与被推定的生理变量连接起来，这与感觉系统中光子、膜位移和受体电流的转换具有相似逻辑。</w:t>
      </w:r>
    </w:p>
    <w:bookmarkEnd w:id="1721"/>
    <w:bookmarkStart w:id="1722" w:name="sec-102-6"/>
    <w:p>
      <w:pPr>
        <w:pStyle w:val="Heading3"/>
      </w:pPr>
      <w:r>
        <w:t xml:space="preserve">102.6　呼吸节律与化学反馈相互耦合</w:t>
      </w:r>
    </w:p>
    <w:p>
      <w:pPr>
        <w:pStyle w:val="FirstParagraph"/>
      </w:pPr>
      <w:r>
        <w:t xml:space="preserve">呼吸依靠脑干网络协调吸气和呼气相关肌群。前包钦格复合体的早期切片研究为吸气节律生成提供了重要定位证据</w:t>
      </w:r>
      <w:r>
        <w:rPr>
          <w:vertAlign w:val="superscript"/>
        </w:rPr>
        <w:t xml:space="preserve">[</w:t>
      </w:r>
      <w:hyperlink w:anchor="ref-907">
        <w:r>
          <w:rPr>
            <w:rStyle w:val="Hyperlink"/>
            <w:vertAlign w:val="superscript"/>
          </w:rPr>
          <w:t xml:space="preserve">907</w:t>
        </w:r>
      </w:hyperlink>
      <w:r>
        <w:rPr>
          <w:vertAlign w:val="superscript"/>
        </w:rPr>
        <w:t xml:space="preserve">]</w:t>
      </w:r>
      <w:r>
        <w:t xml:space="preserve">。完整呼吸还涉及其他脑干区域、感觉反馈、行为需求及睡眠状态。某些细胞的内在节律能力与网络相互作用可以共同参与，不能把呼吸简化为单个孤立起搏细胞。</w:t>
      </w:r>
    </w:p>
    <w:p>
      <w:pPr>
        <w:pStyle w:val="BodyText"/>
      </w:pPr>
      <w:r>
        <w:t xml:space="preserve">通气改变二氧化碳排出，二氧化碳又通过酸碱变化影响化学感受。外周与中枢感受机制共同调节呼吸驱动，脑干后斜方核等细胞参与酸碱信号的读取</w:t>
      </w:r>
      <w:r>
        <w:rPr>
          <w:vertAlign w:val="superscript"/>
        </w:rPr>
        <w:t xml:space="preserve">[</w:t>
      </w:r>
      <w:hyperlink w:anchor="ref-908">
        <w:r>
          <w:rPr>
            <w:rStyle w:val="Hyperlink"/>
            <w:vertAlign w:val="superscript"/>
          </w:rPr>
          <w:t xml:space="preserve">908</w:t>
        </w:r>
      </w:hyperlink>
      <w:r>
        <w:rPr>
          <w:vertAlign w:val="superscript"/>
        </w:rPr>
        <w:t xml:space="preserve">]</w:t>
      </w:r>
      <w:r>
        <w:t xml:space="preserve">。运动增加代谢时，运动相关中枢信号和肌肉传入还可提前调整通气，减少等待血液化学变化的延迟。</w:t>
      </w:r>
    </w:p>
    <w:p>
      <w:pPr>
        <w:pStyle w:val="BodyText"/>
      </w:pPr>
      <w:r>
        <w:t xml:space="preserve">呼吸也与说话、吞咽、咳嗽和自主调节相互协调。相同呼吸频率可以对应不同潮气量和气体交换，单独计数频率无法完整描述通气。研究呼吸对情绪或心率的影响时，应区分机械、化学、节律耦合和注意等多种路径，避免从一个指标推出全部中枢机制。</w:t>
      </w:r>
    </w:p>
    <w:bookmarkEnd w:id="1722"/>
    <w:bookmarkStart w:id="1723" w:name="sec-102-7"/>
    <w:p>
      <w:pPr>
        <w:pStyle w:val="Heading3"/>
      </w:pPr>
      <w:r>
        <w:t xml:space="preserve">102.7　渴感结合体液状态与摄入预测</w:t>
      </w:r>
    </w:p>
    <w:p>
      <w:pPr>
        <w:pStyle w:val="FirstParagraph"/>
      </w:pPr>
      <w:r>
        <w:t xml:space="preserve">体液渗透压和有效循环容量通过不同但相互作用的路径影响饮水及激素释放。部分室周器官具有特殊血管条件，有利于检测循环信号；下丘脑网络则把这些信息与口腔、咽部和胃肠输入结合。饮水行为启动后，某些渴相关细胞可以在血液渗透压完全恢复之前迅速改变活动</w:t>
      </w:r>
      <w:r>
        <w:rPr>
          <w:vertAlign w:val="superscript"/>
        </w:rPr>
        <w:t xml:space="preserve">[</w:t>
      </w:r>
      <w:hyperlink w:anchor="ref-902">
        <w:r>
          <w:rPr>
            <w:rStyle w:val="Hyperlink"/>
            <w:vertAlign w:val="superscript"/>
          </w:rPr>
          <w:t xml:space="preserve">902</w:t>
        </w:r>
      </w:hyperlink>
      <w:r>
        <w:rPr>
          <w:vertAlign w:val="superscript"/>
        </w:rPr>
        <w:t xml:space="preserve">]</w:t>
      </w:r>
      <w:r>
        <w:t xml:space="preserve">。</w:t>
      </w:r>
    </w:p>
    <w:p>
      <w:pPr>
        <w:pStyle w:val="BodyText"/>
      </w:pPr>
      <w:r>
        <w:t xml:space="preserve">这种机制具有明确的控制意义。若系统必须等到全部饮入液体吸收后才停止，反馈延迟可能导致摄入过量。口腔和胃肠信号提供对未来变化的估计，随后实际体液状态再检验估计是否正确。饮入液体的成分、体积和吸收速度不同，都会影响这个过程。</w:t>
      </w:r>
    </w:p>
    <w:p>
      <w:pPr>
        <w:pStyle w:val="BodyText"/>
      </w:pPr>
      <w:r>
        <w:t xml:space="preserve">加压素由下丘脑神经分泌细胞合成，经轴突到达神经垂体末梢并进入循环。其外周作用包括通过肾脏相关受体调节水保留，受体类型和组织位置决定具体效应</w:t>
      </w:r>
      <w:r>
        <w:rPr>
          <w:vertAlign w:val="superscript"/>
        </w:rPr>
        <w:t xml:space="preserve">[</w:t>
      </w:r>
      <w:hyperlink w:anchor="ref-885">
        <w:r>
          <w:rPr>
            <w:rStyle w:val="Hyperlink"/>
            <w:vertAlign w:val="superscript"/>
          </w:rPr>
          <w:t xml:space="preserve">885</w:t>
        </w:r>
      </w:hyperlink>
      <w:r>
        <w:rPr>
          <w:vertAlign w:val="superscript"/>
        </w:rPr>
        <w:t xml:space="preserve">]</w:t>
      </w:r>
      <w:r>
        <w:t xml:space="preserve">。行为饮水与激素保水共同维持体液条件，两者的反应时程和适用情境不同。</w:t>
      </w:r>
    </w:p>
    <w:bookmarkEnd w:id="1723"/>
    <w:bookmarkStart w:id="1724" w:name="sec-102-8"/>
    <w:p>
      <w:pPr>
        <w:pStyle w:val="Heading3"/>
      </w:pPr>
      <w:r>
        <w:t xml:space="preserve">102.8　温度调节同时使用自主和行为效应器</w:t>
      </w:r>
    </w:p>
    <w:p>
      <w:pPr>
        <w:pStyle w:val="FirstParagraph"/>
      </w:pPr>
      <w:r>
        <w:t xml:space="preserve">体温受到产热、散热、环境交换和行为选择影响。皮肤温度可预告外界热负担，深部温度反映内部状态。视前区等下丘脑区域把温度相关输入与不同效应器连接。暖敏细胞的动物研究表明，特定细胞群可协调多种降温反应</w:t>
      </w:r>
      <w:r>
        <w:rPr>
          <w:vertAlign w:val="superscript"/>
        </w:rPr>
        <w:t xml:space="preserve">[</w:t>
      </w:r>
      <w:hyperlink w:anchor="ref-909">
        <w:r>
          <w:rPr>
            <w:rStyle w:val="Hyperlink"/>
            <w:vertAlign w:val="superscript"/>
          </w:rPr>
          <w:t xml:space="preserve">909</w:t>
        </w:r>
      </w:hyperlink>
      <w:r>
        <w:rPr>
          <w:vertAlign w:val="superscript"/>
        </w:rPr>
        <w:t xml:space="preserve">]</w:t>
      </w:r>
      <w:r>
        <w:t xml:space="preserve">。</w:t>
      </w:r>
    </w:p>
    <w:p>
      <w:pPr>
        <w:pStyle w:val="BodyText"/>
      </w:pPr>
      <w:r>
        <w:t xml:space="preserve">常见效应器包括皮肤血管调节、蒸发散热、肌肉活动和代谢产热。不同物种依赖这些途径的程度不同，实验结果推广时需要考虑汗腺、皮毛、体型和环境。寻找阴凉、增加衣物或改变活动强度，也属于神经系统实现温度调节的行为输出。</w:t>
      </w:r>
    </w:p>
    <w:p>
      <w:pPr>
        <w:pStyle w:val="BodyText"/>
      </w:pPr>
      <w:r>
        <w:t xml:space="preserve">多个效应器具有不同成本。扩张皮肤血管会改变循环分配，蒸发散热消耗水，产热增加能量需求。温度控制因此需要与血压、体液和能量系统协调。单独增加某个反应不能保证总体更有利，实际结果取决于环境条件和其他系统的余量。</w:t>
      </w:r>
    </w:p>
    <w:bookmarkEnd w:id="1724"/>
    <w:bookmarkStart w:id="1725" w:name="sec-102-9"/>
    <w:p>
      <w:pPr>
        <w:pStyle w:val="Heading3"/>
      </w:pPr>
      <w:r>
        <w:t xml:space="preserve">102.9　能量状态与食物线索共同调节摄食</w:t>
      </w:r>
    </w:p>
    <w:p>
      <w:pPr>
        <w:pStyle w:val="FirstParagraph"/>
      </w:pPr>
      <w:r>
        <w:t xml:space="preserve">外周代谢信号向脑提供关于储能、近期摄入和消化过程的信息。瘦素研究展示了脂肪相关循环信号与体重调节的联系，缺乏模型和抵抗状态具有不同反应</w:t>
      </w:r>
      <w:r>
        <w:rPr>
          <w:vertAlign w:val="superscript"/>
        </w:rPr>
        <w:t xml:space="preserve">[</w:t>
      </w:r>
      <w:hyperlink w:anchor="ref-910">
        <w:r>
          <w:rPr>
            <w:rStyle w:val="Hyperlink"/>
            <w:vertAlign w:val="superscript"/>
          </w:rPr>
          <w:t xml:space="preserve">910</w:t>
        </w:r>
      </w:hyperlink>
      <w:r>
        <w:rPr>
          <w:vertAlign w:val="superscript"/>
        </w:rPr>
        <w:t xml:space="preserve">]</w:t>
      </w:r>
      <w:r>
        <w:t xml:space="preserve">。一种激素的浓度高低，需要结合受体、运输和下游敏感性解释，无法直接等同于饱腹信号在所有人身上的实际效力。</w:t>
      </w:r>
    </w:p>
    <w:p>
      <w:pPr>
        <w:pStyle w:val="BodyText"/>
      </w:pPr>
      <w:r>
        <w:t xml:space="preserve">弓状核AgRP和POMC相关细胞是摄食研究中的重要对象，它们又与许多其他下丘脑、脑干和奖赏相关通路连接。动物记录表明，食物的感觉发现可以在真正摄入前快速调节这些细胞活动</w:t>
      </w:r>
      <w:r>
        <w:rPr>
          <w:vertAlign w:val="superscript"/>
        </w:rPr>
        <w:t xml:space="preserve">[</w:t>
      </w:r>
      <w:hyperlink w:anchor="ref-903">
        <w:r>
          <w:rPr>
            <w:rStyle w:val="Hyperlink"/>
            <w:vertAlign w:val="superscript"/>
          </w:rPr>
          <w:t xml:space="preserve">903</w:t>
        </w:r>
      </w:hyperlink>
      <w:r>
        <w:rPr>
          <w:vertAlign w:val="superscript"/>
        </w:rPr>
        <w:t xml:space="preserve">]</w:t>
      </w:r>
      <w:r>
        <w:t xml:space="preserve">。这提示能量调节包含对可获得资源的实时判断，内脏需求与外界预测在同一行为过程中会合。</w:t>
      </w:r>
    </w:p>
    <w:p>
      <w:pPr>
        <w:pStyle w:val="BodyText"/>
      </w:pPr>
      <w:r>
        <w:t xml:space="preserve">进食还需要咀嚼、吞咽、胃肠运动和吸收配合。增加寻找食物的动机，与增加当前吞咽量具有不同回路要求；厌恶、疼痛和疾病状态也可改变这些输出。把所有进食变化归入同一个饥饿读数，会遗漏行为阶段和外周条件。</w:t>
      </w:r>
    </w:p>
    <w:bookmarkEnd w:id="1725"/>
    <w:bookmarkStart w:id="1726" w:name="sec-102-10"/>
    <w:p>
      <w:pPr>
        <w:pStyle w:val="Heading3"/>
      </w:pPr>
      <w:r>
        <w:t xml:space="preserve">102.10　下丘脑通过不同出口影响垂体</w:t>
      </w:r>
    </w:p>
    <w:p>
      <w:pPr>
        <w:pStyle w:val="FirstParagraph"/>
      </w:pPr>
      <w:r>
        <w:t xml:space="preserve">下丘脑神经分泌系统具有两种主要组织方式。部分小细胞神经元把释放激素或抑制激素送入正中隆起的门脉循环，调节腺垂体细胞；另一些大细胞神经分泌神经元把轴突延伸到神经垂体，直接从末梢向循环释放加压素或催产素。腺垂体与神经垂体的细胞来源和释放位置不同</w:t>
      </w:r>
      <w:r>
        <w:rPr>
          <w:vertAlign w:val="superscript"/>
        </w:rPr>
        <w:t xml:space="preserve">[</w:t>
      </w:r>
      <w:hyperlink w:anchor="ref-892">
        <w:r>
          <w:rPr>
            <w:rStyle w:val="Hyperlink"/>
            <w:vertAlign w:val="superscript"/>
          </w:rPr>
          <w:t xml:space="preserve">892</w:t>
        </w:r>
      </w:hyperlink>
      <w:r>
        <w:rPr>
          <w:vertAlign w:val="superscript"/>
        </w:rPr>
        <w:t xml:space="preserve">,</w:t>
      </w:r>
      <w:hyperlink w:anchor="ref-911">
        <w:r>
          <w:rPr>
            <w:rStyle w:val="Hyperlink"/>
            <w:vertAlign w:val="superscript"/>
          </w:rPr>
          <w:t xml:space="preserve">911</w:t>
        </w:r>
      </w:hyperlink>
      <w:r>
        <w:rPr>
          <w:vertAlign w:val="superscript"/>
        </w:rPr>
        <w:t xml:space="preserve">]</w:t>
      </w:r>
      <w:r>
        <w:t xml:space="preserve">。</w:t>
      </w:r>
    </w:p>
    <w:p>
      <w:pPr>
        <w:pStyle w:val="BodyText"/>
      </w:pPr>
      <w:r>
        <w:t xml:space="preserve">前一种结构使较少量的下丘脑信号可以在局部门脉中有效到达垂体。垂体细胞随后把神经时序转换成激素输出，外周腺体再产生效应与反馈。这个多级结构提供放大、整合和调节，也引入多个延迟。反馈需要同时考虑激素在循环中的变化及靶组织内的作用。</w:t>
      </w:r>
    </w:p>
    <w:p>
      <w:pPr>
        <w:pStyle w:val="BodyText"/>
      </w:pPr>
      <w:r>
        <w:t xml:space="preserve">神经内分泌细胞具有神经元的电活动和分泌细胞的释放任务。放电模式、末梢钙进入、囊泡供应和肽加工都影响输出。外周一次采血得到的是这些过程经过循环分布与清除后的结果，不能直接读取上游每个神经元的活动。</w:t>
      </w:r>
    </w:p>
    <w:bookmarkEnd w:id="1726"/>
    <w:bookmarkStart w:id="1727" w:name="sec-102-11"/>
    <w:p>
      <w:pPr>
        <w:pStyle w:val="Heading3"/>
      </w:pPr>
      <w:r>
        <w:t xml:space="preserve">102.11　激素轴具有各自的反馈组织</w:t>
      </w:r>
    </w:p>
    <w:p>
      <w:pPr>
        <w:pStyle w:val="FirstParagraph"/>
      </w:pPr>
      <w:r>
        <w:t xml:space="preserve">甲状腺轴中，下丘脑促甲状腺激素释放激素影响垂体促甲状腺激素，后者调节甲状腺。甲状腺激素又通过多层反馈影响上游，并经组织内代谢和受体作用改变细胞功能。游离比例、结合蛋白及组织内转换，使循环总量与局部作用之间存在调节空间</w:t>
      </w:r>
      <w:r>
        <w:rPr>
          <w:vertAlign w:val="superscript"/>
        </w:rPr>
        <w:t xml:space="preserve">[</w:t>
      </w:r>
      <w:hyperlink w:anchor="ref-911">
        <w:r>
          <w:rPr>
            <w:rStyle w:val="Hyperlink"/>
            <w:vertAlign w:val="superscript"/>
          </w:rPr>
          <w:t xml:space="preserve">911</w:t>
        </w:r>
      </w:hyperlink>
      <w:r>
        <w:rPr>
          <w:vertAlign w:val="superscript"/>
        </w:rPr>
        <w:t xml:space="preserve">]</w:t>
      </w:r>
      <w:r>
        <w:t xml:space="preserve">。</w:t>
      </w:r>
    </w:p>
    <w:p>
      <w:pPr>
        <w:pStyle w:val="BodyText"/>
      </w:pPr>
      <w:r>
        <w:t xml:space="preserve">生长激素受到促进和抑制性下丘脑输入等因素调节，以脉冲方式分泌；其代谢作用与胰岛素样生长因子相关作用相互联系。年龄、营养、睡眠及身体组成影响相应动态</w:t>
      </w:r>
      <w:r>
        <w:rPr>
          <w:vertAlign w:val="superscript"/>
        </w:rPr>
        <w:t xml:space="preserve">[</w:t>
      </w:r>
      <w:hyperlink w:anchor="ref-912">
        <w:r>
          <w:rPr>
            <w:rStyle w:val="Hyperlink"/>
            <w:vertAlign w:val="superscript"/>
          </w:rPr>
          <w:t xml:space="preserve">912</w:t>
        </w:r>
      </w:hyperlink>
      <w:r>
        <w:rPr>
          <w:vertAlign w:val="superscript"/>
        </w:rPr>
        <w:t xml:space="preserve">]</w:t>
      </w:r>
      <w:r>
        <w:t xml:space="preserve">。这些机制说明，单一时间点的低值可能位于分泌低谷，评价一个脉冲性系统需要遵循适合该系统的采样逻辑。</w:t>
      </w:r>
    </w:p>
    <w:p>
      <w:pPr>
        <w:pStyle w:val="BodyText"/>
      </w:pPr>
      <w:r>
        <w:t xml:space="preserve">生殖轴中，促性腺激素释放激素的时间组织具有特别重要的作用。性腺激素通过下丘脑与垂体反馈影响后续输出，反馈方向和强度随生理阶段而变化。不同轴之间还通过能量状态、压力和节律相互影响，所以各激素轴虽可分开教学，实际运行具有耦合。</w:t>
      </w:r>
    </w:p>
    <w:bookmarkEnd w:id="1727"/>
    <w:bookmarkStart w:id="1728" w:name="sec-102-12"/>
    <w:p>
      <w:pPr>
        <w:pStyle w:val="Heading3"/>
      </w:pPr>
      <w:r>
        <w:t xml:space="preserve">102.12　脉冲频率本身携带生理信息</w:t>
      </w:r>
    </w:p>
    <w:p>
      <w:pPr>
        <w:pStyle w:val="FirstParagraph"/>
      </w:pPr>
      <w:r>
        <w:t xml:space="preserve">经典猕猴实验显示，持续与间歇给予促性腺激素释放激素可以产生不同垂体响应，即使关注同一种分子，递送模式仍然关键</w:t>
      </w:r>
      <w:r>
        <w:rPr>
          <w:vertAlign w:val="superscript"/>
        </w:rPr>
        <w:t xml:space="preserve">[</w:t>
      </w:r>
      <w:hyperlink w:anchor="ref-913">
        <w:r>
          <w:rPr>
            <w:rStyle w:val="Hyperlink"/>
            <w:vertAlign w:val="superscript"/>
          </w:rPr>
          <w:t xml:space="preserve">913</w:t>
        </w:r>
      </w:hyperlink>
      <w:r>
        <w:rPr>
          <w:vertAlign w:val="superscript"/>
        </w:rPr>
        <w:t xml:space="preserve">]</w:t>
      </w:r>
      <w:r>
        <w:t xml:space="preserve">。后续小鼠研究把弓状核吻素细胞群的同步活动与促黄体生成素脉冲联系起来，并利用细胞操纵进一步检验其作用</w:t>
      </w:r>
      <w:r>
        <w:rPr>
          <w:vertAlign w:val="superscript"/>
        </w:rPr>
        <w:t xml:space="preserve">[</w:t>
      </w:r>
      <w:hyperlink w:anchor="ref-914">
        <w:r>
          <w:rPr>
            <w:rStyle w:val="Hyperlink"/>
            <w:vertAlign w:val="superscript"/>
          </w:rPr>
          <w:t xml:space="preserve">914</w:t>
        </w:r>
      </w:hyperlink>
      <w:r>
        <w:rPr>
          <w:vertAlign w:val="superscript"/>
        </w:rPr>
        <w:t xml:space="preserve">]</w:t>
      </w:r>
      <w:r>
        <w:t xml:space="preserve">。</w:t>
      </w:r>
    </w:p>
    <w:p>
      <w:pPr>
        <w:pStyle w:val="BodyText"/>
      </w:pPr>
      <w:r>
        <w:t xml:space="preserve">脉冲的效应可以从受体动力学理解。刺激期间受体和下游信号被激活，持续刺激可能产生脱敏或反馈抑制；间隔期间部分系统恢复。相同日总量因时间分布不同而形成不同作用。这个原则也适用于理解其他脉冲激素，但各系统的具体恢复时间和编码规则需要独立测量。</w:t>
      </w:r>
    </w:p>
    <w:p>
      <w:pPr>
        <w:pStyle w:val="BodyText"/>
      </w:pPr>
      <w:r>
        <w:t xml:space="preserve">采样间隔过长会把多次脉冲平均成一个平滑值，采样窗口过短则可能只看到峰或谷。解释实验时，需要让观测时间分辨率与被研究的生理过程相适应。本章讨论这些机制用于理解生理与研究，个体激素治疗的方案需要依据具体临床证据。</w:t>
      </w:r>
    </w:p>
    <w:bookmarkEnd w:id="1728"/>
    <w:bookmarkStart w:id="1729" w:name="sec-102-13"/>
    <w:p>
      <w:pPr>
        <w:pStyle w:val="Heading3"/>
      </w:pPr>
      <w:r>
        <w:t xml:space="preserve">102.13　昼夜时钟协调多个器官的相位</w:t>
      </w:r>
    </w:p>
    <w:p>
      <w:pPr>
        <w:pStyle w:val="FirstParagraph"/>
      </w:pPr>
      <w:r>
        <w:t xml:space="preserve">哺乳动物细胞中的时钟由具有延迟的转录与翻译反馈环等机制维持。视交叉上核接受光相关信息，并通过神经、内分泌和行为途径参与全身节律协调；外周组织也具有自身的振荡机制</w:t>
      </w:r>
      <w:r>
        <w:rPr>
          <w:vertAlign w:val="superscript"/>
        </w:rPr>
        <w:t xml:space="preserve">[</w:t>
      </w:r>
      <w:hyperlink w:anchor="ref-915">
        <w:r>
          <w:rPr>
            <w:rStyle w:val="Hyperlink"/>
            <w:vertAlign w:val="superscript"/>
          </w:rPr>
          <w:t xml:space="preserve">915</w:t>
        </w:r>
      </w:hyperlink>
      <w:r>
        <w:rPr>
          <w:vertAlign w:val="superscript"/>
        </w:rPr>
        <w:t xml:space="preserve">]</w:t>
      </w:r>
      <w:r>
        <w:t xml:space="preserve">。因而全身时间组织包含多个相互同步的时钟。</w:t>
      </w:r>
    </w:p>
    <w:p>
      <w:pPr>
        <w:pStyle w:val="BodyText"/>
      </w:pPr>
      <w:r>
        <w:t xml:space="preserve">光照、进食、活动和睡眠可能向不同组织提供不同强度的时间线索。若这些线索在时间上分离，器官之间的相位关系可以改变。理解这种现象需要区分振荡是否存在、振幅多大以及相位是否协调。一个节律变平可能来自每个细胞振幅下降，也可能来自细胞之间相位分散，两种机制需要不同测量。</w:t>
      </w:r>
    </w:p>
    <w:p>
      <w:pPr>
        <w:pStyle w:val="BodyText"/>
      </w:pPr>
      <w:r>
        <w:t xml:space="preserve">激素节律又与短周期脉冲叠加。一天中的平均趋势并不能取代更快的释放事件；同样，某个脉冲的幅度可能取决于昼夜阶段。通过多时间尺度观察，才能解释看似相同的总分泌量为何具有不同组织效应。</w:t>
      </w:r>
    </w:p>
    <w:bookmarkEnd w:id="1729"/>
    <w:bookmarkStart w:id="1730" w:name="sec-102-14"/>
    <w:p>
      <w:pPr>
        <w:pStyle w:val="Heading3"/>
      </w:pPr>
      <w:r>
        <w:t xml:space="preserve">102.14　从身体指标回到具体机制</w:t>
      </w:r>
    </w:p>
    <w:p>
      <w:pPr>
        <w:pStyle w:val="FirstParagraph"/>
      </w:pPr>
      <w:r>
        <w:t xml:space="preserve">心率、瞳孔、皮肤电、体温和激素都能提供生理信息，但每个指标都有多种决定因素。心率受自主输入、起搏细胞性质、姿势与活动影响；瞳孔受光和自主调节共同影响；外周激素受生成、结合与清除影响。把它们组合起来可以提高描述的完整性，仍需要避免把某一个读数直接解释为特定心理状态。</w:t>
      </w:r>
    </w:p>
    <w:p>
      <w:pPr>
        <w:pStyle w:val="BodyText"/>
      </w:pPr>
      <w:r>
        <w:t xml:space="preserve">本章的自主通路基本组织、神经内分泌反馈以及多效应器内稳态具有高置信度基础。特定分子标记细胞群在动物中的作用，通常在相应实验条件内有较强证据；其在人类自然生活中的精确贡献需要条件性推广。将一种自主指标视为全身统一健康分数，或由一次激素测量推断全部中枢状态，缺少可靠的普遍依据。</w:t>
      </w:r>
    </w:p>
    <w:bookmarkEnd w:id="1730"/>
    <w:bookmarkEnd w:id="1731"/>
    <w:bookmarkStart w:id="1732" w:name="ch-103"/>
    <w:p>
      <w:pPr>
        <w:pStyle w:val="Heading2"/>
      </w:pPr>
      <w:r>
        <w:t xml:space="preserve">第103章　迷走神经与多迷走神经理论</w:t>
      </w:r>
    </w:p>
    <w:p>
      <w:pPr>
        <w:pStyle w:val="FirstParagraph"/>
      </w:pPr>
      <w:r>
        <w:t xml:space="preserve">迷走神经是第十对脑神经，从脑干一直延伸到胸腹腔脏器。它的纤维约八成是传入纤维，把心、肺、肠胃的状态报告给大脑，其余负责从脑到器官的指令</w:t>
      </w:r>
      <w:r>
        <w:rPr>
          <w:vertAlign w:val="superscript"/>
        </w:rPr>
        <w:t xml:space="preserve">[</w:t>
      </w:r>
      <w:hyperlink w:anchor="ref-916">
        <w:r>
          <w:rPr>
            <w:rStyle w:val="Hyperlink"/>
            <w:vertAlign w:val="superscript"/>
          </w:rPr>
          <w:t xml:space="preserve">916</w:t>
        </w:r>
      </w:hyperlink>
      <w:r>
        <w:rPr>
          <w:vertAlign w:val="superscript"/>
        </w:rPr>
        <w:t xml:space="preserve">]</w:t>
      </w:r>
      <w:r>
        <w:t xml:space="preserve">；八成是常用的近似值，具体比例随物种、神经节段和计数方法而变。它含有大量传入纤维，因此是内脏信息进入大脑的重要通路，这是呼吸和身体状态影响情绪的一条解剖基础；传出纤维对器官调节同样关键。身体信号还经由脊髓、三叉神经、舌咽神经和化学感受器等通路进入大脑。</w:t>
      </w:r>
    </w:p>
    <w:p>
      <w:pPr>
        <w:pStyle w:val="BodyText"/>
      </w:pPr>
      <w:r>
        <w:t xml:space="preserve">多迷走神经理论由斯蒂芬·波格斯（Stephen Porges）在 1995 年提出</w:t>
      </w:r>
      <w:r>
        <w:rPr>
          <w:vertAlign w:val="superscript"/>
        </w:rPr>
        <w:t xml:space="preserve">[</w:t>
      </w:r>
      <w:hyperlink w:anchor="ref-917">
        <w:r>
          <w:rPr>
            <w:rStyle w:val="Hyperlink"/>
            <w:vertAlign w:val="superscript"/>
          </w:rPr>
          <w:t xml:space="preserve">917</w:t>
        </w:r>
      </w:hyperlink>
      <w:r>
        <w:rPr>
          <w:vertAlign w:val="superscript"/>
        </w:rPr>
        <w:t xml:space="preserve">]</w:t>
      </w:r>
      <w:r>
        <w:t xml:space="preserve">。它认为迷走神经有两个在进化上先后出现的分支：较古老的背侧迷走复合体负责“关机、冻结”，哺乳动物特有的腹侧迷走复合体支持“社会参与系统”，个体在安全、危险、生命威胁三种状态之间按层级切换。这个理论在创伤治疗和身心练习圈子里极为流行，“激活腹侧迷走”“神经觉”等说法大多出自这里。波格斯本人披露过与基于该理论的听觉干预产品相关的专利与版税收入</w:t>
      </w:r>
      <w:r>
        <w:rPr>
          <w:vertAlign w:val="superscript"/>
        </w:rPr>
        <w:t xml:space="preserve">[</w:t>
      </w:r>
      <w:hyperlink w:anchor="ref-918">
        <w:r>
          <w:rPr>
            <w:rStyle w:val="Hyperlink"/>
            <w:vertAlign w:val="superscript"/>
          </w:rPr>
          <w:t xml:space="preserve">918</w:t>
        </w:r>
      </w:hyperlink>
      <w:r>
        <w:rPr>
          <w:vertAlign w:val="superscript"/>
        </w:rPr>
        <w:t xml:space="preserve">]</w:t>
      </w:r>
      <w:r>
        <w:t xml:space="preserve">。</w:t>
      </w:r>
    </w:p>
    <w:p>
      <w:pPr>
        <w:pStyle w:val="BodyText"/>
      </w:pPr>
      <w:r>
        <w:t xml:space="preserve">生理学界对它的核心前提提出了系统批评</w:t>
      </w:r>
      <w:r>
        <w:rPr>
          <w:vertAlign w:val="superscript"/>
        </w:rPr>
        <w:t xml:space="preserve">[</w:t>
      </w:r>
      <w:hyperlink w:anchor="ref-919">
        <w:r>
          <w:rPr>
            <w:rStyle w:val="Hyperlink"/>
            <w:vertAlign w:val="superscript"/>
          </w:rPr>
          <w:t xml:space="preserve">919</w:t>
        </w:r>
      </w:hyperlink>
      <w:r>
        <w:rPr>
          <w:vertAlign w:val="superscript"/>
        </w:rPr>
        <w:t xml:space="preserve">,</w:t>
      </w:r>
      <w:hyperlink w:anchor="ref-920">
        <w:r>
          <w:rPr>
            <w:rStyle w:val="Hyperlink"/>
            <w:vertAlign w:val="superscript"/>
          </w:rPr>
          <w:t xml:space="preserve">920</w:t>
        </w:r>
      </w:hyperlink>
      <w:r>
        <w:rPr>
          <w:vertAlign w:val="superscript"/>
        </w:rPr>
        <w:t xml:space="preserve">]</w:t>
      </w:r>
      <w:r>
        <w:t xml:space="preserve">。批评集中在几点：有髓鞘的心脏迷走纤维和随呼吸起伏的心率变化，在鱼类、两栖类、爬行类和鸟类身上同样存在，所谓“哺乳动物特有”与比较生理学证据不符，例如肺鱼每次换气时心率随之上升，阻断迷走后这种变化消失</w:t>
      </w:r>
      <w:r>
        <w:rPr>
          <w:vertAlign w:val="superscript"/>
        </w:rPr>
        <w:t xml:space="preserve">[</w:t>
      </w:r>
      <w:hyperlink w:anchor="ref-921">
        <w:r>
          <w:rPr>
            <w:rStyle w:val="Hyperlink"/>
            <w:vertAlign w:val="superscript"/>
          </w:rPr>
          <w:t xml:space="preserve">921</w:t>
        </w:r>
      </w:hyperlink>
      <w:r>
        <w:rPr>
          <w:vertAlign w:val="superscript"/>
        </w:rPr>
        <w:t xml:space="preserve">]</w:t>
      </w:r>
      <w:r>
        <w:t xml:space="preserve">，在不受打扰的条件下用遥测记录的响尾蛇，心率变异性的主要成分与呼吸节律同步，注射阿托品后消失</w:t>
      </w:r>
      <w:r>
        <w:rPr>
          <w:vertAlign w:val="superscript"/>
        </w:rPr>
        <w:t xml:space="preserve">[</w:t>
      </w:r>
      <w:hyperlink w:anchor="ref-922">
        <w:r>
          <w:rPr>
            <w:rStyle w:val="Hyperlink"/>
            <w:vertAlign w:val="superscript"/>
          </w:rPr>
          <w:t xml:space="preserve">922</w:t>
        </w:r>
      </w:hyperlink>
      <w:r>
        <w:rPr>
          <w:vertAlign w:val="superscript"/>
        </w:rPr>
        <w:t xml:space="preserve">]</w:t>
      </w:r>
      <w:r>
        <w:t xml:space="preserve">（这两项研究的部分作者也参与了下文的联合评估）；爬行动物同样有社会行为</w:t>
      </w:r>
      <w:r>
        <w:rPr>
          <w:vertAlign w:val="superscript"/>
        </w:rPr>
        <w:t xml:space="preserve">[</w:t>
      </w:r>
      <w:hyperlink w:anchor="ref-923">
        <w:r>
          <w:rPr>
            <w:rStyle w:val="Hyperlink"/>
            <w:vertAlign w:val="superscript"/>
          </w:rPr>
          <w:t xml:space="preserve">923</w:t>
        </w:r>
      </w:hyperlink>
      <w:r>
        <w:rPr>
          <w:vertAlign w:val="superscript"/>
        </w:rPr>
        <w:t xml:space="preserve">]</w:t>
      </w:r>
      <w:r>
        <w:t xml:space="preserve">；背侧运动核在哺乳动物心率调控中的作用通常被认为较小，难以承担“冻结反应”的解释，不过 2024 年一项小鼠实验发现，用光遗传方法激活背侧运动核的胆碱能神经元能引起明显的心动过缓，化学遗传激活还伴随焦虑样行为减少</w:t>
      </w:r>
      <w:r>
        <w:rPr>
          <w:vertAlign w:val="superscript"/>
        </w:rPr>
        <w:t xml:space="preserve">[</w:t>
      </w:r>
      <w:hyperlink w:anchor="ref-924">
        <w:r>
          <w:rPr>
            <w:rStyle w:val="Hyperlink"/>
            <w:vertAlign w:val="superscript"/>
          </w:rPr>
          <w:t xml:space="preserve">924</w:t>
        </w:r>
      </w:hyperlink>
      <w:r>
        <w:rPr>
          <w:vertAlign w:val="superscript"/>
        </w:rPr>
        <w:t xml:space="preserve">]</w:t>
      </w:r>
      <w:r>
        <w:t xml:space="preserve">，下文的联合评估也提到这项与一般结果不符的实验，认为可能反映物种差异，这个反例不支持把背侧运动核唯一对应为恐惧时的“关机”，也说明“它在所有哺乳动物中几乎不影响心率”的说法过宽；理论常用的指标“呼吸性窦性心律不齐”受呼吸频率和潮气量强烈影响，它不能直接当作“迷走神经张力”的纯粹读数。“冻结”本身也需要拆开：伴随行为抑制的警觉性僵住、强直性不动、血管迷走性晕厥和主观的解离，在运动输出、意识、血压和心率上并不相同，用一个“关机”概括会掩盖要解释的现象。2026 年，39 位自主神经生理学、神经解剖学和脊椎动物进化领域的专家（其中许多人的研究曾被该理论引为依据）发表联合评估，认为理论的生理与进化前提站不住，“背侧迷走关机”的说法完全没有证据，用它指导脆弱人群的治疗在科学和伦理上都不合理</w:t>
      </w:r>
      <w:r>
        <w:rPr>
          <w:vertAlign w:val="superscript"/>
        </w:rPr>
        <w:t xml:space="preserve">[</w:t>
      </w:r>
      <w:hyperlink w:anchor="ref-925">
        <w:r>
          <w:rPr>
            <w:rStyle w:val="Hyperlink"/>
            <w:vertAlign w:val="superscript"/>
          </w:rPr>
          <w:t xml:space="preserve">925</w:t>
        </w:r>
      </w:hyperlink>
      <w:r>
        <w:rPr>
          <w:vertAlign w:val="superscript"/>
        </w:rPr>
        <w:t xml:space="preserve">]</w:t>
      </w:r>
      <w:r>
        <w:t xml:space="preserve">。作者人数说明批评来自广泛的专业背景；生理上的判断，要看其中引用的比较解剖、神经记录和实验操作；波格斯的回应称，理论并不主张解剖上的排他性，也不否认疑核和背侧运动核的传出纤维都能影响心率，演化保留了神经元件、重组了它们的功能整合；他仍坚持两条通路在功能上的分离，并表示呼吸性窦性心律不齐的幅度不能当作恒定迷走张力的线性读数，称这是理论一贯的立场</w:t>
      </w:r>
      <w:r>
        <w:rPr>
          <w:vertAlign w:val="superscript"/>
        </w:rPr>
        <w:t xml:space="preserve">[</w:t>
      </w:r>
      <w:hyperlink w:anchor="ref-926">
        <w:r>
          <w:rPr>
            <w:rStyle w:val="Hyperlink"/>
            <w:vertAlign w:val="superscript"/>
          </w:rPr>
          <w:t xml:space="preserve">926</w:t>
        </w:r>
      </w:hyperlink>
      <w:r>
        <w:rPr>
          <w:vertAlign w:val="superscript"/>
        </w:rPr>
        <w:t xml:space="preserve">]</w:t>
      </w:r>
      <w:r>
        <w:t xml:space="preserve">。回应的存在不能消除非哺乳动物的证据，也补不上人体冻结机制的空缺；需要澄清的是旧版和新版分别主张什么、哪些预测得到了直接证据、边界改变之后哪些临床解释需要撤回或重估。</w:t>
      </w:r>
    </w:p>
    <w:p>
      <w:pPr>
        <w:pStyle w:val="CalloutMyth"/>
      </w:pPr>
      <w:r>
        <w:rPr>
          <w:bCs/>
          <w:b/>
        </w:rPr>
        <w:t xml:space="preserve">误解　</w:t>
      </w:r>
      <w:r>
        <w:t xml:space="preserve">多迷走神经理论是已被证实的神经科学，冥想和呼吸练习通过“激活腹侧迷走神经”带来安全感。</w:t>
      </w:r>
    </w:p>
    <w:p>
      <w:pPr>
        <w:pStyle w:val="CalloutMyth"/>
      </w:pPr>
      <w:r>
        <w:rPr>
          <w:bCs/>
          <w:b/>
        </w:rPr>
        <w:t xml:space="preserve">实况　</w:t>
      </w:r>
      <w:r>
        <w:t xml:space="preserve">受到批评的是几项可以检验的具体命题：有髓鞘的心脏迷走调节为哺乳动物所特有；背侧迷走复合体主导冻结或“关机”反应；呼吸性窦性心律不齐可以单独读出迷走张力，进而读出一个人是否处在“安全”状态。这几项与比较解剖、实验生理和测量研究的证据冲突，或者缺少直接证据，争论仍在继续；理论提出者波格斯的回应否认理论主张解剖上的排他性。安全感、社会联结与身体放松之间存在关联，这一点得到许多研究支持，它们并不需要依赖这一特定理论来解释。</w:t>
      </w:r>
    </w:p>
    <w:p>
      <w:pPr>
        <w:pStyle w:val="CalloutJudgment"/>
      </w:pPr>
      <w:r>
        <w:rPr>
          <w:bCs/>
          <w:b/>
        </w:rPr>
        <w:t xml:space="preserve">判断　</w:t>
      </w:r>
      <w:r>
        <w:t xml:space="preserve">“心脏的有髓鞘迷走调节为哺乳动物特有”</w:t>
      </w:r>
      <w:r>
        <w:rPr>
          <w:bCs/>
          <w:b/>
        </w:rPr>
        <w:t xml:space="preserve">错误·中</w:t>
      </w:r>
      <w:r>
        <w:t xml:space="preserve">：与比较生理的证据不符；“人在创伤后的冻结或解离由背侧迷走复合体接管”</w:t>
      </w:r>
      <w:r>
        <w:rPr>
          <w:bCs/>
          <w:b/>
        </w:rPr>
        <w:t xml:space="preserve">证据不足·中</w:t>
      </w:r>
      <w:r>
        <w:t xml:space="preserve">：缺少能完成这一映射的直接证据；“单凭呼吸性窦性心律不齐就能读出迷走张力或安全感”</w:t>
      </w:r>
      <w:r>
        <w:rPr>
          <w:bCs/>
          <w:b/>
        </w:rPr>
        <w:t xml:space="preserve">错误·中</w:t>
      </w:r>
      <w:r>
        <w:t xml:space="preserve">；临床上“先建立安全感”的取向有它的价值，这一价值需要具体干预和患者结局的证据。理论的解剖与进化叙事，不能由这种临床价值反过来证明。这些判断分别针对具体命题，每条单独成立或不成立。</w:t>
      </w:r>
    </w:p>
    <w:p>
      <w:pPr>
        <w:pStyle w:val="BodyText"/>
      </w:pPr>
      <w:r>
        <w:t xml:space="preserve">网上流行的“迷走神经激活技巧”效果参差不齐。缓慢呼吸的证据最充分：对 223 项设计各异的研究的元分析发现，自主放慢呼吸时、刚结束时以及多次练习后，与迷走神经有关的心率变异性都会升高</w:t>
      </w:r>
      <w:r>
        <w:rPr>
          <w:vertAlign w:val="superscript"/>
        </w:rPr>
        <w:t xml:space="preserve">[</w:t>
      </w:r>
      <w:hyperlink w:anchor="ref-927">
        <w:r>
          <w:rPr>
            <w:rStyle w:val="Hyperlink"/>
            <w:vertAlign w:val="superscript"/>
          </w:rPr>
          <w:t xml:space="preserve">927</w:t>
        </w:r>
      </w:hyperlink>
      <w:r>
        <w:rPr>
          <w:vertAlign w:val="superscript"/>
        </w:rPr>
        <w:t xml:space="preserve">]</w:t>
      </w:r>
      <w:r>
        <w:t xml:space="preserve">；三个时间窗分别纳入 172、16 和 49 项研究，彼此有重叠，大多数研究测的是练习当时。这支持慢呼吸能提高某些心率变异性指标。长期的迷走张力是否随之提高、健康风险是否下降，这些研究回答不了。局部冷刺激能在短时间内降低心率：一项 61 人的实验用电控冷刺激探头在颈侧施加十几秒的短时降温，心率下降、心率变异性升高</w:t>
      </w:r>
      <w:r>
        <w:rPr>
          <w:vertAlign w:val="superscript"/>
        </w:rPr>
        <w:t xml:space="preserve">[</w:t>
      </w:r>
      <w:hyperlink w:anchor="ref-928">
        <w:r>
          <w:rPr>
            <w:rStyle w:val="Hyperlink"/>
            <w:vertAlign w:val="superscript"/>
          </w:rPr>
          <w:t xml:space="preserve">928</w:t>
        </w:r>
      </w:hyperlink>
      <w:r>
        <w:rPr>
          <w:vertAlign w:val="superscript"/>
        </w:rPr>
        <w:t xml:space="preserve">]</w:t>
      </w:r>
      <w:r>
        <w:t xml:space="preserve">；把脸浸入冷水会通过潜水反射让心率明显下降。心率暂时下降不等于情绪或病情改善，局部冷刺激、冷水洗脸和全身冰浴也是差别很大的几件事。经耳迷走神经电刺激则不然：一项汇总 16 项以健康人为对象、设有假刺激对照的研究的贝叶斯元分析，合并效应量约 0.01，找到了它对心率变异性“没有急性效应”的强证据（支持零效应的贝叶斯因子约 25）</w:t>
      </w:r>
      <w:r>
        <w:rPr>
          <w:vertAlign w:val="superscript"/>
        </w:rPr>
        <w:t xml:space="preserve">[</w:t>
      </w:r>
      <w:hyperlink w:anchor="ref-929">
        <w:r>
          <w:rPr>
            <w:rStyle w:val="Hyperlink"/>
            <w:vertAlign w:val="superscript"/>
          </w:rPr>
          <w:t xml:space="preserve">929</w:t>
        </w:r>
      </w:hyperlink>
      <w:r>
        <w:rPr>
          <w:vertAlign w:val="superscript"/>
        </w:rPr>
        <w:t xml:space="preserve">]</w:t>
      </w:r>
      <w:r>
        <w:t xml:space="preserve">；这说明心率变异性不是这种刺激可靠的生物标记。刺激是否触及了迷走通路，对脑活动、情绪和长期疗效有什么影响，这项分析都没有回答。哼唱能让鼻腔一氧化氮增加约 15 倍</w:t>
      </w:r>
      <w:r>
        <w:rPr>
          <w:vertAlign w:val="superscript"/>
        </w:rPr>
        <w:t xml:space="preserve">[</w:t>
      </w:r>
      <w:hyperlink w:anchor="ref-930">
        <w:r>
          <w:rPr>
            <w:rStyle w:val="Hyperlink"/>
            <w:vertAlign w:val="superscript"/>
          </w:rPr>
          <w:t xml:space="preserve">930</w:t>
        </w:r>
      </w:hyperlink>
      <w:r>
        <w:rPr>
          <w:vertAlign w:val="superscript"/>
        </w:rPr>
        <w:t xml:space="preserve">]</w:t>
      </w:r>
      <w:r>
        <w:t xml:space="preserve">，这是 10 名健康人以固定呼气流速测得的鼻腔数值，反映鼻窦通气增加。血液和脑内的一氧化氮，研究没有测量；它是否“刺激迷走神经”并改善情绪，没有直接证据。</w:t>
      </w:r>
    </w:p>
    <w:p>
      <w:pPr>
        <w:pStyle w:val="CalloutJudgment"/>
      </w:pPr>
      <w:r>
        <w:rPr>
          <w:bCs/>
          <w:b/>
        </w:rPr>
        <w:t xml:space="preserve">判断　</w:t>
      </w:r>
      <w:r>
        <w:t xml:space="preserve">“网上流行的迷走神经激活技巧有效”</w:t>
      </w:r>
      <w:r>
        <w:rPr>
          <w:bCs/>
          <w:b/>
        </w:rPr>
        <w:t xml:space="preserve">部分成立·中</w:t>
      </w:r>
      <w:r>
        <w:t xml:space="preserve">：慢呼吸能可靠地即时提高部分心率变异性指标，局部冷刺激能短时降低心率，耳迷走电刺激对心率变异性没有急性效应，哼唱缺少直接证据；这些即时变化说明不了长期的迷走张力或健康结局。</w:t>
      </w:r>
    </w:p>
    <w:bookmarkEnd w:id="1732"/>
    <w:bookmarkStart w:id="1737" w:name="ch-104"/>
    <w:p>
      <w:pPr>
        <w:pStyle w:val="Heading2"/>
      </w:pPr>
      <w:r>
        <w:t xml:space="preserve">第104章　呼吸、心率变异性与内感受</w:t>
      </w:r>
    </w:p>
    <w:bookmarkStart w:id="1733" w:name="sec-104-1"/>
    <w:p>
      <w:pPr>
        <w:pStyle w:val="Heading3"/>
      </w:pPr>
      <w:r>
        <w:t xml:space="preserve">104.1　心率变异性与慢呼吸</w:t>
      </w:r>
    </w:p>
    <w:p>
      <w:pPr>
        <w:pStyle w:val="FirstParagraph"/>
      </w:pPr>
      <w:r>
        <w:t xml:space="preserve">心率变异性（HRV）指相邻心跳间隔的波动。吸气时心率稍快、呼气时稍慢，这种随呼吸起伏的成分在相当程度上反映迷走神经对心脏的调节，但它同时受呼吸频率和深度影响，只是一个近似指标。把呼吸放慢到某个频率时，呼吸节律会与血压反射的固有节律发生共振，心率波动的幅度达到最大，这就是“共振呼吸”与心率变异性生物反馈的原理</w:t>
      </w:r>
      <w:r>
        <w:rPr>
          <w:vertAlign w:val="superscript"/>
        </w:rPr>
        <w:t xml:space="preserve">[</w:t>
      </w:r>
      <w:hyperlink w:anchor="ref-931">
        <w:r>
          <w:rPr>
            <w:rStyle w:val="Hyperlink"/>
            <w:vertAlign w:val="superscript"/>
          </w:rPr>
          <w:t xml:space="preserve">931</w:t>
        </w:r>
      </w:hyperlink>
      <w:r>
        <w:rPr>
          <w:vertAlign w:val="superscript"/>
        </w:rPr>
        <w:t xml:space="preserve">]</w:t>
      </w:r>
      <w:r>
        <w:t xml:space="preserve">；许多成人的共振频率在每分钟 6 次左右，个人的最佳频率需要测量。常见的低频/高频功率比（LF/HF）常被当作“交感—副交感平衡”的读数，这一用法在生理上站不住：低频成分同样受迷走神经影响，慢呼吸时与呼吸相关的波动还会落进低频段</w:t>
      </w:r>
      <w:r>
        <w:rPr>
          <w:vertAlign w:val="superscript"/>
        </w:rPr>
        <w:t xml:space="preserve">[</w:t>
      </w:r>
      <w:hyperlink w:anchor="ref-932">
        <w:r>
          <w:rPr>
            <w:rStyle w:val="Hyperlink"/>
            <w:vertAlign w:val="superscript"/>
          </w:rPr>
          <w:t xml:space="preserve">932</w:t>
        </w:r>
      </w:hyperlink>
      <w:r>
        <w:rPr>
          <w:vertAlign w:val="superscript"/>
        </w:rPr>
        <w:t xml:space="preserve">]</w:t>
      </w:r>
      <w:r>
        <w:t xml:space="preserve">。用数字说：标准的高频段常取 0.15 到 0.40 赫兹，相当于每分钟约 9 到 24 次呼吸；每分钟 6 次呼吸对应 0.10 赫兹，落在常用的低频段里。同样的迷走相关振荡，只因频率改变，就可能表现为高频下降、低频上升，所以不能把固定频段的增减直接译成某一支神经的强弱。几种常用指标（相邻间期差的均方根、全部间期的标准差、频域功率）反映的时间结构不同，也受平均心率、呼吸、记录长度和数据清理的影响；手环用光电信号测的是脉搏间期，与心电图测的心跳间期在运动、接触不良和异位搏动时对应得不好。较高的心率变异性不能跨设备、跨姿势、跨年龄，或在心律异常时一概解释为更健康。</w:t>
      </w:r>
    </w:p>
    <w:p>
      <w:pPr>
        <w:pStyle w:val="BodyText"/>
      </w:pPr>
      <w:r>
        <w:t xml:space="preserve">这类训练有一定的临床证据。对 58 项随机试验的元分析发现，心率变异性生物反馈的效果为小到中等，与其他有效疗法相近</w:t>
      </w:r>
      <w:r>
        <w:rPr>
          <w:vertAlign w:val="superscript"/>
        </w:rPr>
        <w:t xml:space="preserve">[</w:t>
      </w:r>
      <w:hyperlink w:anchor="ref-933">
        <w:r>
          <w:rPr>
            <w:rStyle w:val="Hyperlink"/>
            <w:vertAlign w:val="superscript"/>
          </w:rPr>
          <w:t xml:space="preserve">933</w:t>
        </w:r>
      </w:hyperlink>
      <w:r>
        <w:rPr>
          <w:vertAlign w:val="superscript"/>
        </w:rPr>
        <w:t xml:space="preserve">]</w:t>
      </w:r>
      <w:r>
        <w:t xml:space="preserve">；专门针对压力和焦虑的元分析效应更大，纳入研究质量参差不齐</w:t>
      </w:r>
      <w:r>
        <w:rPr>
          <w:vertAlign w:val="superscript"/>
        </w:rPr>
        <w:t xml:space="preserve">[</w:t>
      </w:r>
      <w:hyperlink w:anchor="ref-934">
        <w:r>
          <w:rPr>
            <w:rStyle w:val="Hyperlink"/>
            <w:vertAlign w:val="superscript"/>
          </w:rPr>
          <w:t xml:space="preserve">934</w:t>
        </w:r>
      </w:hyperlink>
      <w:r>
        <w:rPr>
          <w:vertAlign w:val="superscript"/>
        </w:rPr>
        <w:t xml:space="preserve">]</w:t>
      </w:r>
      <w:r>
        <w:t xml:space="preserve">。对 12 项呼吸练习随机试验、785 人的元分析发现，呼吸练习对自评压力有小到中等的效果（g 约 −0.35），对焦虑和抑郁症状的次要分析结果相近；多数研究的偏倚风险为中等，练习方式五花八门，作者同时提醒不要过度宣传</w:t>
      </w:r>
      <w:r>
        <w:rPr>
          <w:vertAlign w:val="superscript"/>
        </w:rPr>
        <w:t xml:space="preserve">[</w:t>
      </w:r>
      <w:hyperlink w:anchor="ref-935">
        <w:r>
          <w:rPr>
            <w:rStyle w:val="Hyperlink"/>
            <w:vertAlign w:val="superscript"/>
          </w:rPr>
          <w:t xml:space="preserve">935</w:t>
        </w:r>
      </w:hyperlink>
      <w:r>
        <w:rPr>
          <w:vertAlign w:val="superscript"/>
        </w:rPr>
        <w:t xml:space="preserve">]</w:t>
      </w:r>
      <w:r>
        <w:t xml:space="preserve">。</w:t>
      </w:r>
    </w:p>
    <w:p>
      <w:pPr>
        <w:pStyle w:val="BodyText"/>
      </w:pPr>
      <w:r>
        <w:t xml:space="preserve">2023 年一项远程随机研究让 108 人在约一个月里每天练习 5 分钟，分为三种呼吸练习（30 人、21 人、33 人）和正念冥想（24 人）；同住一户的人被分到同一组，各组人数因此不均。各组每次练习后的状态焦虑和负面情绪都低于练习前，特质焦虑在各组都没有变化；以延长呼气为特点的“循环叹息”提升正性情绪的效果最明显；心率变异性在各组都没有显著变化。作者称结果是初步的；研究用的是一款商业手环，通讯作者之一后来成为该公司的顾问</w:t>
      </w:r>
      <w:r>
        <w:rPr>
          <w:vertAlign w:val="superscript"/>
        </w:rPr>
        <w:t xml:space="preserve">[</w:t>
      </w:r>
      <w:hyperlink w:anchor="ref-936">
        <w:r>
          <w:rPr>
            <w:rStyle w:val="Hyperlink"/>
            <w:vertAlign w:val="superscript"/>
          </w:rPr>
          <w:t xml:space="preserve">936</w:t>
        </w:r>
      </w:hyperlink>
      <w:r>
        <w:rPr>
          <w:vertAlign w:val="superscript"/>
        </w:rPr>
        <w:t xml:space="preserve">]</w:t>
      </w:r>
      <w:r>
        <w:t xml:space="preserve">。各组人数不均本身不说明随机化有偏，同户分组则需要在分析中处理家庭内部的相关；各组前后都有改善，又没有不练习的对照组，时间、休息和测量本身的作用无法与练习分开。一项小型试验说明不了某一种呼吸法对所有人、所有结局都最好。</w:t>
      </w:r>
    </w:p>
    <w:p>
      <w:pPr>
        <w:pStyle w:val="BodyText"/>
      </w:pPr>
      <w:r>
        <w:t xml:space="preserve">“慢”“深”和通气量是三个不同的变量。每分钟通气量等于呼吸频率乘以每口的潮气量，真正参与清除二氧化碳的肺泡通气还涉及死腔和代谢产生的二氧化碳；呼吸变慢时如果每口吸得很深，总通气量仍可能升高，慢呼吸也可能伴随过度通气，“慢”保证不了二氧化碳稳定。2026 年一项 19 名健康年轻人（16 名女性）参加的实验，按随机顺序把呼吸频率（自然频率或每分钟 6 次）和每分钟通气量（基线的 100% 或 180%）交叉组合：通气量增加时心率上升，慢频率时心率变异性增大，心输出量只在自然频率下随通气量增加而明显上升；研究没有测量呼气末二氧化碳，作者提到 180% 的通气量很可能造成了一定程度的低碳酸血症，通讯作者创办了一家相关的公司</w:t>
      </w:r>
      <w:r>
        <w:rPr>
          <w:vertAlign w:val="superscript"/>
        </w:rPr>
        <w:t xml:space="preserve">[</w:t>
      </w:r>
      <w:hyperlink w:anchor="ref-937">
        <w:r>
          <w:rPr>
            <w:rStyle w:val="Hyperlink"/>
            <w:vertAlign w:val="superscript"/>
          </w:rPr>
          <w:t xml:space="preserve">937</w:t>
        </w:r>
      </w:hyperlink>
      <w:r>
        <w:rPr>
          <w:vertAlign w:val="superscript"/>
        </w:rPr>
        <w:t xml:space="preserve">]</w:t>
      </w:r>
      <w:r>
        <w:t xml:space="preserve">。这项小样本实验支持把呼吸的几个维度分开测量；心率和心率变异性同时升高，也不能直接证明两支神经共同激活。研究报告至少应记录呼吸频率、潮气量或可靠的替代指标、吸呼比例、屏气、经鼻还是经口、体位、呼气末二氧化碳、心率和血压，并区分练习中、刚结束时和不同日子的静息测量；没有测的项目写明“未测”。练习名称规定的频率和比例属于指导语，参与者实际怎样呼吸，需要测量才知道。</w:t>
      </w:r>
    </w:p>
    <w:bookmarkEnd w:id="1733"/>
    <w:bookmarkStart w:id="1734" w:name="sec-104-2"/>
    <w:p>
      <w:pPr>
        <w:pStyle w:val="Heading3"/>
      </w:pPr>
      <w:r>
        <w:t xml:space="preserve">104.2　快速深呼吸与屏气类练习</w:t>
      </w:r>
    </w:p>
    <w:p>
      <w:pPr>
        <w:pStyle w:val="FirstParagraph"/>
      </w:pPr>
      <w:r>
        <w:t xml:space="preserve">另一类流行的“呼吸法”，做法与慢呼吸几乎相反。维姆·霍夫（Wim Hof）呼吸法的核心是连续数十次快速深呼吸后长时间屏气，常与冷暴露结合。2014 年一项随机研究中，12 名受训者接受了 10 天的冥想、呼吸和冷暴露训练，之后注射细菌内毒素：与 12 名对照者相比，他们的血浆肾上腺素大幅升高，抗炎因子白介素-10 上升得更早、更高，肿瘤坏死因子-α、白介素-6 和白介素-8 等促炎因子较低，流感样症状也更轻</w:t>
      </w:r>
      <w:r>
        <w:rPr>
          <w:vertAlign w:val="superscript"/>
        </w:rPr>
        <w:t xml:space="preserve">[</w:t>
      </w:r>
      <w:hyperlink w:anchor="ref-938">
        <w:r>
          <w:rPr>
            <w:rStyle w:val="Hyperlink"/>
            <w:vertAlign w:val="superscript"/>
          </w:rPr>
          <w:t xml:space="preserve">938</w:t>
        </w:r>
      </w:hyperlink>
      <w:r>
        <w:rPr>
          <w:vertAlign w:val="superscript"/>
        </w:rPr>
        <w:t xml:space="preserve">]</w:t>
      </w:r>
      <w:r>
        <w:t xml:space="preserve">。同一团队 2022 年把这套训练拆开检验。先在 40 名健康男性中发现，无论由创始人还是独立教练培训、培训时间长短，呼吸练习都会使血浆肾上腺素明显升高；把长时间屏气换成约 10 秒的短暂屏气，升幅也差不多。随后把 48 名健康男性随机分为冷暴露训练、呼吸练习（用的是短暂屏气的版本）、两者结合和不训练四组，再注射内毒素：单做冷暴露训练对炎症反应没有明显影响；单做呼吸练习显著压低了多种促炎因子，抗炎因子白介素-10 的升高没有达到统计显著；两者结合时效果最强，白介素-10 也显著升高。结合组的效应方向与 2014 年一致，幅度明显较小：白介素-10 的增幅为 44%（2014 年为 194%），促炎因子的降幅约 30%（2014 年超过 50%）</w:t>
      </w:r>
      <w:r>
        <w:rPr>
          <w:vertAlign w:val="superscript"/>
        </w:rPr>
        <w:t xml:space="preserve">[</w:t>
      </w:r>
      <w:hyperlink w:anchor="ref-939">
        <w:r>
          <w:rPr>
            <w:rStyle w:val="Hyperlink"/>
            <w:vertAlign w:val="superscript"/>
          </w:rPr>
          <w:t xml:space="preserve">939</w:t>
        </w:r>
      </w:hyperlink>
      <w:r>
        <w:rPr>
          <w:vertAlign w:val="superscript"/>
        </w:rPr>
        <w:t xml:space="preserve">]</w:t>
      </w:r>
      <w:r>
        <w:t xml:space="preserve">。两项试验出自同一团队，受试者都是健康年轻男性。呼吸练习的这一作用伴随血浆肾上腺素的激增，属于交感—肾上腺系统的急性动员；要与慢呼吸比较，应直接看实际测到的肾上腺素、通气和心率变异性等指标；笼统地说两者的效果“方向相反”，过于简单。“抗炎”在这里只对应受控的急性内毒素反应。提高抗感染能力或治疗慢性炎症疾病，都推不出来。快速深呼吸会降低血液中的二氧化碳，常引起头晕和手脚发麻；下水前刻意过度换气再屏气，会推迟呼吸的冲动，可能在毫无预感时因缺氧失去意识；美国纽约州的一项病例回顾整理了 1988 至 2011 年间 16 例与刻意过度换气、长时间水下屏气等行为有关的溺水，其中 4 人死亡</w:t>
      </w:r>
      <w:r>
        <w:rPr>
          <w:vertAlign w:val="superscript"/>
        </w:rPr>
        <w:t xml:space="preserve">[</w:t>
      </w:r>
      <w:hyperlink w:anchor="ref-940">
        <w:r>
          <w:rPr>
            <w:rStyle w:val="Hyperlink"/>
            <w:vertAlign w:val="superscript"/>
          </w:rPr>
          <w:t xml:space="preserve">940</w:t>
        </w:r>
      </w:hyperlink>
      <w:r>
        <w:rPr>
          <w:vertAlign w:val="superscript"/>
        </w:rPr>
        <w:t xml:space="preserve">]</w:t>
      </w:r>
      <w:r>
        <w:t xml:space="preserve">。这类练习不宜在水中、驾驶时或站立时进行。</w:t>
      </w:r>
    </w:p>
    <w:p>
      <w:pPr>
        <w:pStyle w:val="CalloutPractice"/>
      </w:pPr>
      <w:r>
        <w:rPr>
          <w:bCs/>
          <w:b/>
        </w:rPr>
        <w:t xml:space="preserve">练习中的含义　</w:t>
      </w:r>
      <w:r>
        <w:t xml:space="preserve">想试用短时的呼吸调节，可以选择舒适、轻柔、不勉强加深的节律，留意自己的反应；出现头晕、气促或明显不适就停下来。放慢频率和加深吸气改变的是呼吸的不同维度，最佳的吸呼比例和个人频率还需要具体评估。呼吸调节和正念训练可以一起研究或使用，各自的即时和长期效果要看对应的试验。</w:t>
      </w:r>
    </w:p>
    <w:p>
      <w:pPr>
        <w:pStyle w:val="CalloutJudgment"/>
      </w:pPr>
      <w:r>
        <w:rPr>
          <w:bCs/>
          <w:b/>
        </w:rPr>
        <w:t xml:space="preserve">判断　</w:t>
      </w:r>
      <w:r>
        <w:t xml:space="preserve">“维姆·霍夫呼吸法与正念慢呼吸是同一类放松练习”</w:t>
      </w:r>
      <w:r>
        <w:rPr>
          <w:bCs/>
          <w:b/>
        </w:rPr>
        <w:t xml:space="preserve">错误·高</w:t>
      </w:r>
      <w:r>
        <w:t xml:space="preserve">；“这种呼吸法能抑制急性炎症反应”</w:t>
      </w:r>
      <w:r>
        <w:rPr>
          <w:bCs/>
          <w:b/>
        </w:rPr>
        <w:t xml:space="preserve">部分成立·中</w:t>
      </w:r>
      <w:r>
        <w:t xml:space="preserve">：同一团队的两项随机试验在实验性内毒素模型中方向一致，起主要作用的是呼吸练习，2022 年复现的效应明显较小；受试者都是健康年轻男性，对日常健康和炎症性疾病的意义还不清楚。</w:t>
      </w:r>
    </w:p>
    <w:bookmarkEnd w:id="1734"/>
    <w:bookmarkStart w:id="1735" w:name="sec-104-3"/>
    <w:p>
      <w:pPr>
        <w:pStyle w:val="Heading3"/>
      </w:pPr>
      <w:r>
        <w:t xml:space="preserve">104.3　呼吸怎样影响大脑节律</w:t>
      </w:r>
    </w:p>
    <w:p>
      <w:pPr>
        <w:pStyle w:val="FirstParagraph"/>
      </w:pPr>
      <w:r>
        <w:t xml:space="preserve">呼吸对大脑的影响超出了供氧。一项对 7 名植入颅内电极的癫痫病人的研究发现，经鼻呼吸会带动嗅觉皮层、杏仁核和海马的电活动节律；在健康被试中，吸气阶段对恐惧面孔的辨认更快</w:t>
      </w:r>
      <w:r>
        <w:rPr>
          <w:vertAlign w:val="superscript"/>
        </w:rPr>
        <w:t xml:space="preserve">[</w:t>
      </w:r>
      <w:hyperlink w:anchor="ref-941">
        <w:r>
          <w:rPr>
            <w:rStyle w:val="Hyperlink"/>
            <w:vertAlign w:val="superscript"/>
          </w:rPr>
          <w:t xml:space="preserve">941</w:t>
        </w:r>
      </w:hyperlink>
      <w:r>
        <w:rPr>
          <w:vertAlign w:val="superscript"/>
        </w:rPr>
        <w:t xml:space="preserve">]</w:t>
      </w:r>
      <w:r>
        <w:t xml:space="preserve">。癫痫、用药和临床电极的覆盖范围限制了颅内记录的推广。在小鼠身上，研究者在脑干的呼吸节律发生器（前包钦格复合体）中找到约 175 个投射到蓝斑的神经元，去除它们之后呼吸不受影响，小鼠变得更安静、更少进入高唤醒状态</w:t>
      </w:r>
      <w:r>
        <w:rPr>
          <w:vertAlign w:val="superscript"/>
        </w:rPr>
        <w:t xml:space="preserve">[</w:t>
      </w:r>
      <w:hyperlink w:anchor="ref-942">
        <w:r>
          <w:rPr>
            <w:rStyle w:val="Hyperlink"/>
            <w:vertAlign w:val="superscript"/>
          </w:rPr>
          <w:t xml:space="preserve">942</w:t>
        </w:r>
      </w:hyperlink>
      <w:r>
        <w:rPr>
          <w:vertAlign w:val="superscript"/>
        </w:rPr>
        <w:t xml:space="preserve">]</w:t>
      </w:r>
      <w:r>
        <w:t xml:space="preserve">。</w:t>
      </w:r>
    </w:p>
    <w:p>
      <w:pPr>
        <w:pStyle w:val="BodyText"/>
      </w:pPr>
      <w:r>
        <w:t xml:space="preserve">这些发现给“关注呼吸会影响心境”提供了一条可能的机制线索。推广要谨慎：2024 年一篇论文的两项实验（72 人和 142 人，第二项预注册）没有发现经鼻呼吸的时相会影响对重复图像的视觉记忆</w:t>
      </w:r>
      <w:r>
        <w:rPr>
          <w:vertAlign w:val="superscript"/>
        </w:rPr>
        <w:t xml:space="preserve">[</w:t>
      </w:r>
      <w:hyperlink w:anchor="ref-943">
        <w:r>
          <w:rPr>
            <w:rStyle w:val="Hyperlink"/>
            <w:vertAlign w:val="superscript"/>
          </w:rPr>
          <w:t xml:space="preserve">943</w:t>
        </w:r>
      </w:hyperlink>
      <w:r>
        <w:rPr>
          <w:vertAlign w:val="superscript"/>
        </w:rPr>
        <w:t xml:space="preserve">]</w:t>
      </w:r>
      <w:r>
        <w:t xml:space="preserve">。两组研究的任务、刺激和测量不同，较稳妥的说法是：呼吸与一些脑节律存在耦合，对行为的影响随任务和测量而变，“吸气时记忆普遍更好”还站不稳。小鼠结果属于另一层级的因果证据。它也不能直接推到人身上：去除某些细胞后小鼠的觉醒行为改变，推不出人专注呼吸时经由完全相同的回路改善情绪。还要注意测量途径：呼吸会通过头动、磁场变化、胸腔压力和二氧化碳对脑血流的影响进入功能磁共振信号，经鼻气流也会通过嗅觉系统和脑干回路带动神经节律。把与呼吸有关的信号一律当作伪迹，会丢掉真实的生理现象；一律当作神经机制，又会高估机制的特异性，研究需要按问题区分并测量这些途径。</w:t>
      </w:r>
    </w:p>
    <w:p>
      <w:pPr>
        <w:pStyle w:val="CalloutJudgment"/>
      </w:pPr>
      <w:r>
        <w:rPr>
          <w:bCs/>
          <w:b/>
        </w:rPr>
        <w:t xml:space="preserve">判断　</w:t>
      </w:r>
      <w:r>
        <w:t xml:space="preserve">“呼吸与若干神经节律耦合，并能影响觉醒水平”</w:t>
      </w:r>
      <w:r>
        <w:rPr>
          <w:bCs/>
          <w:b/>
        </w:rPr>
        <w:t xml:space="preserve">成立·中</w:t>
      </w:r>
      <w:r>
        <w:t xml:space="preserve">：觉醒部分的因果证据来自小鼠，对人的行为和临床结果的影响依任务和情境而定；“用鼻子呼吸能增强记忆”</w:t>
      </w:r>
      <w:r>
        <w:rPr>
          <w:bCs/>
          <w:b/>
        </w:rPr>
        <w:t xml:space="preserve">证据不足·中</w:t>
      </w:r>
      <w:r>
        <w:t xml:space="preserve">。</w:t>
      </w:r>
    </w:p>
    <w:bookmarkEnd w:id="1735"/>
    <w:bookmarkStart w:id="1736" w:name="sec-104-4"/>
    <w:p>
      <w:pPr>
        <w:pStyle w:val="Heading3"/>
      </w:pPr>
      <w:r>
        <w:t xml:space="preserve">104.4　内感受：身体信号怎样进入大脑</w:t>
      </w:r>
    </w:p>
    <w:p>
      <w:pPr>
        <w:pStyle w:val="FirstParagraph"/>
      </w:pPr>
      <w:r>
        <w:t xml:space="preserve">内感受是大脑对身体内部状态（心跳、呼吸、饥饿、内脏感觉）的感知。研究者区分三个层次：客观准确度（例如能否准确数出自己的心跳，这个任务的效度有争议，见下文）、主观敏感度（自评对身体感觉的关注程度）和元认知觉察（对自己判断准不准的把握）</w:t>
      </w:r>
      <w:r>
        <w:rPr>
          <w:vertAlign w:val="superscript"/>
        </w:rPr>
        <w:t xml:space="preserve">[</w:t>
      </w:r>
      <w:hyperlink w:anchor="ref-944">
        <w:r>
          <w:rPr>
            <w:rStyle w:val="Hyperlink"/>
            <w:vertAlign w:val="superscript"/>
          </w:rPr>
          <w:t xml:space="preserve">944</w:t>
        </w:r>
      </w:hyperlink>
      <w:r>
        <w:rPr>
          <w:vertAlign w:val="superscript"/>
        </w:rPr>
        <w:t xml:space="preserve">]</w:t>
      </w:r>
      <w:r>
        <w:t xml:space="preserve">。较广义的内感受还包括对身体信号的解释和调节，其中一部分过程并不进入意识；心脏、呼吸、胃肠等通道的结果也不能自动互相代表。</w:t>
      </w:r>
    </w:p>
    <w:p>
      <w:pPr>
        <w:pStyle w:val="BodyText"/>
      </w:pPr>
      <w:r>
        <w:t xml:space="preserve">常用的“心跳计数”任务本身受到质疑：在 572 人的数据中，实际心跳数与报告心跳数的相关只有约 0.16，九成五以上的误差是少报；作者认为，这类成绩可能部分反映受试者对自己心率的既有信念和对时间的估计</w:t>
      </w:r>
      <w:r>
        <w:rPr>
          <w:vertAlign w:val="superscript"/>
        </w:rPr>
        <w:t xml:space="preserve">[</w:t>
      </w:r>
      <w:hyperlink w:anchor="ref-945">
        <w:r>
          <w:rPr>
            <w:rStyle w:val="Hyperlink"/>
            <w:vertAlign w:val="superscript"/>
          </w:rPr>
          <w:t xml:space="preserve">945</w:t>
        </w:r>
      </w:hyperlink>
      <w:r>
        <w:rPr>
          <w:vertAlign w:val="superscript"/>
        </w:rPr>
        <w:t xml:space="preserve">]</w:t>
      </w:r>
      <w:r>
        <w:t xml:space="preserve">。客观准确度、主观敏感度和元认知觉察三个层次要分开测量，自评“更关注身体”不等于感知“更准确”。冥想者的内感受研究见</w:t>
      </w:r>
      <w:hyperlink w:anchor="ch-113">
        <w:r>
          <w:rPr>
            <w:rStyle w:val="Hyperlink"/>
          </w:rPr>
          <w:t xml:space="preserve">第113章</w:t>
        </w:r>
      </w:hyperlink>
      <w:r>
        <w:t xml:space="preserve">。</w:t>
      </w:r>
    </w:p>
    <w:bookmarkEnd w:id="1736"/>
    <w:bookmarkEnd w:id="1737"/>
    <w:bookmarkStart w:id="1754" w:name="ch-105"/>
    <w:p>
      <w:pPr>
        <w:pStyle w:val="Heading2"/>
      </w:pPr>
      <w:r>
        <w:t xml:space="preserve">第105章　脑肠轴与微生物干预的转化边界</w:t>
      </w:r>
    </w:p>
    <w:bookmarkStart w:id="1738" w:name="sec-105-1"/>
    <w:p>
      <w:pPr>
        <w:pStyle w:val="Heading3"/>
      </w:pPr>
      <w:r>
        <w:t xml:space="preserve">105.1　三个相互作用的对象需要分开</w:t>
      </w:r>
    </w:p>
    <w:p>
      <w:pPr>
        <w:pStyle w:val="FirstParagraph"/>
      </w:pPr>
      <w:r>
        <w:t xml:space="preserve">肠神经系统、肠道微生物群和脑肠轴分别指局部神经组织、微生物生态及多种双向联系。它们相互作用，却不能当作同一个对象。肠神经系统具有复杂的局部调节能力；把它进一步说成拥有与人脑相同的人格、推理和意识，缺少直接证据。对这个边界判断的置信度高</w:t>
      </w:r>
      <w:r>
        <w:rPr>
          <w:vertAlign w:val="superscript"/>
        </w:rPr>
        <w:t xml:space="preserve">[</w:t>
      </w:r>
      <w:hyperlink w:anchor="ref-946">
        <w:r>
          <w:rPr>
            <w:rStyle w:val="Hyperlink"/>
            <w:vertAlign w:val="superscript"/>
          </w:rPr>
          <w:t xml:space="preserve">946</w:t>
        </w:r>
      </w:hyperlink>
      <w:r>
        <w:rPr>
          <w:vertAlign w:val="superscript"/>
        </w:rPr>
        <w:t xml:space="preserve">]</w:t>
      </w:r>
      <w:r>
        <w:t xml:space="preserve">。</w:t>
      </w:r>
    </w:p>
    <w:p>
      <w:pPr>
        <w:pStyle w:val="BodyText"/>
      </w:pPr>
      <w:r>
        <w:t xml:space="preserve">肠神经回路在局部整合感觉与运动信息，参与蠕动、分泌和局部血流等调节，能够在一定程度上独立组织消化活动。自主神经、中枢、内分泌、免疫和代谢联系又使肠道与全身状态相关。局部自治是一个可研究的生理事实，不能直接推出人类式思考或人格功能；器官之间的通信应按具体信号与生理任务描述</w:t>
      </w:r>
      <w:r>
        <w:rPr>
          <w:vertAlign w:val="superscript"/>
        </w:rPr>
        <w:t xml:space="preserve">[</w:t>
      </w:r>
      <w:hyperlink w:anchor="ref-946">
        <w:r>
          <w:rPr>
            <w:rStyle w:val="Hyperlink"/>
            <w:vertAlign w:val="superscript"/>
          </w:rPr>
          <w:t xml:space="preserve">946</w:t>
        </w:r>
      </w:hyperlink>
      <w:r>
        <w:rPr>
          <w:vertAlign w:val="superscript"/>
        </w:rPr>
        <w:t xml:space="preserve">]</w:t>
      </w:r>
      <w:r>
        <w:t xml:space="preserve">。</w:t>
      </w:r>
    </w:p>
    <w:p>
      <w:pPr>
        <w:pStyle w:val="BodyText"/>
      </w:pPr>
      <w:r>
        <w:t xml:space="preserve">微生物群包含不同物种和功能，菌株、宿主、饮食和环境都会影响结果。“增加好菌”缺少足够精确性。一个菌种中的不同菌株可以具有不同代谢特征，同一菌株在不同宿主生态中也可能有不同作用。</w:t>
      </w:r>
    </w:p>
    <w:bookmarkEnd w:id="1738"/>
    <w:bookmarkStart w:id="1739" w:name="sec-105-2"/>
    <w:p>
      <w:pPr>
        <w:pStyle w:val="Heading3"/>
      </w:pPr>
      <w:r>
        <w:t xml:space="preserve">105.2　从相关到因果需要哪些步骤</w:t>
      </w:r>
    </w:p>
    <w:p>
      <w:pPr>
        <w:pStyle w:val="FirstParagraph"/>
      </w:pPr>
      <w:r>
        <w:t xml:space="preserve">患者与对照菌群不同，可能反映饮食、药物、疾病状态、生活方式或采样差异。疾病也可能通过睡眠、食欲和肠道运动改变菌群。横断面差异因此无法独自决定方向。纵向研究可以提供时序，实验操纵则可以进一步检验某条路径。</w:t>
      </w:r>
    </w:p>
    <w:p>
      <w:pPr>
        <w:pStyle w:val="BodyText"/>
      </w:pPr>
      <w:r>
        <w:t xml:space="preserve">无菌动物、抗生素处理、定植和移植实验可以改变微生物条件。它们比单纯相关具有更强因果信息，但操作可能同时改变免疫发育、代谢和营养状态。研究应说明真正操纵了什么，并设置能够排除主要替代解释的对照。</w:t>
      </w:r>
    </w:p>
    <w:p>
      <w:pPr>
        <w:pStyle w:val="BodyText"/>
      </w:pPr>
      <w:r>
        <w:t xml:space="preserve">Sudo及同事的无菌小鼠与定植研究显示，出生后微生物条件能够影响应激轴相关反应。它支持发育和微生物联系的因果可能，不能直接证明成人患者服用任意益生菌会获得同等结果。无菌发育条件与一般人体生活差异很大</w:t>
      </w:r>
      <w:r>
        <w:rPr>
          <w:vertAlign w:val="superscript"/>
        </w:rPr>
        <w:t xml:space="preserve">[</w:t>
      </w:r>
      <w:hyperlink w:anchor="ref-947">
        <w:r>
          <w:rPr>
            <w:rStyle w:val="Hyperlink"/>
            <w:vertAlign w:val="superscript"/>
          </w:rPr>
          <w:t xml:space="preserve">947</w:t>
        </w:r>
      </w:hyperlink>
      <w:r>
        <w:rPr>
          <w:vertAlign w:val="superscript"/>
        </w:rPr>
        <w:t xml:space="preserve">]</w:t>
      </w:r>
      <w:r>
        <w:t xml:space="preserve">。</w:t>
      </w:r>
    </w:p>
    <w:bookmarkEnd w:id="1739"/>
    <w:bookmarkStart w:id="1740" w:name="sec-105-3"/>
    <w:p>
      <w:pPr>
        <w:pStyle w:val="Heading3"/>
      </w:pPr>
      <w:r>
        <w:t xml:space="preserve">105.3　候选通路如何建立机制证据</w:t>
      </w:r>
    </w:p>
    <w:p>
      <w:pPr>
        <w:pStyle w:val="FirstParagraph"/>
      </w:pPr>
      <w:r>
        <w:t xml:space="preserve">脑肠轴研究涉及神经传入、免疫介质、内分泌与代谢物等候选通路。发现某代谢物变化，只完成了机制链的一部分。还需说明它在体内的有效暴露，是否到达相关靶点，改变靶点是否影响结局，以及阻断该路径是否减弱原干预效果</w:t>
      </w:r>
      <w:r>
        <w:rPr>
          <w:vertAlign w:val="superscript"/>
        </w:rPr>
        <w:t xml:space="preserve">[</w:t>
      </w:r>
      <w:hyperlink w:anchor="ref-946">
        <w:r>
          <w:rPr>
            <w:rStyle w:val="Hyperlink"/>
            <w:vertAlign w:val="superscript"/>
          </w:rPr>
          <w:t xml:space="preserve">946</w:t>
        </w:r>
      </w:hyperlink>
      <w:r>
        <w:rPr>
          <w:vertAlign w:val="superscript"/>
        </w:rPr>
        <w:t xml:space="preserve">]</w:t>
      </w:r>
      <w:r>
        <w:t xml:space="preserve">。</w:t>
      </w:r>
    </w:p>
    <w:p>
      <w:pPr>
        <w:pStyle w:val="BodyText"/>
      </w:pPr>
      <w:r>
        <w:t xml:space="preserve">一条完整机制假说可以形成多步预测。假设某菌株通过代谢物影响行为，则菌株操作应改变该代谢物，代谢物干预应在适当条件下再现部分效果，阻断相关受体应减弱效果。即使这些步骤成立，还需要检查是否存在平行通路，以及结果能否在人体中重现。</w:t>
      </w:r>
    </w:p>
    <w:p>
      <w:pPr>
        <w:pStyle w:val="BodyText"/>
      </w:pPr>
      <w:r>
        <w:t xml:space="preserve">中介分析可以帮助组织数据，但不能单靠统计关系证明路径。随机化了产品，并未自动随机化中介变量；中介与结局仍可能受未测因素影响。真正强的机制证据通常需要多种独立操作和时间顺序约束。</w:t>
      </w:r>
    </w:p>
    <w:bookmarkEnd w:id="1740"/>
    <w:bookmarkStart w:id="1741" w:name="sec-105-4"/>
    <w:p>
      <w:pPr>
        <w:pStyle w:val="Heading3"/>
      </w:pPr>
      <w:r>
        <w:t xml:space="preserve">105.4　人体先导试验支持什么</w:t>
      </w:r>
    </w:p>
    <w:p>
      <w:pPr>
        <w:pStyle w:val="FirstParagraph"/>
      </w:pPr>
      <w:r>
        <w:t xml:space="preserve">Nikolova及同事的八周双盲先导试验纳入50名仍有症状、正在使用抗抑郁药的成人，其中49人接受干预并进入分析。特定多菌株制剂在部分量表和时间点出现积极信号，研究重点包括可接受性、耐受性和后续试验效应估计。它支持进一步研究附加治疗，不能替代大样本确证试验或支持任意产品的普遍疗效</w:t>
      </w:r>
      <w:r>
        <w:rPr>
          <w:vertAlign w:val="superscript"/>
        </w:rPr>
        <w:t xml:space="preserve">[</w:t>
      </w:r>
      <w:hyperlink w:anchor="ref-948">
        <w:r>
          <w:rPr>
            <w:rStyle w:val="Hyperlink"/>
            <w:vertAlign w:val="superscript"/>
          </w:rPr>
          <w:t xml:space="preserve">948</w:t>
        </w:r>
      </w:hyperlink>
      <w:r>
        <w:rPr>
          <w:vertAlign w:val="superscript"/>
        </w:rPr>
        <w:t xml:space="preserve">]</w:t>
      </w:r>
      <w:r>
        <w:t xml:space="preserve">。</w:t>
      </w:r>
    </w:p>
    <w:p>
      <w:pPr>
        <w:pStyle w:val="BodyText"/>
      </w:pPr>
      <w:r>
        <w:t xml:space="preserve">该试验有多个症状指标，不同指标并非全部得到相同结果。选取最积极的时间点和量表，会夸大整体一致性。小样本效应估计也不稳定，区间和预设主要结局比单个显著结果更重要。未观察到严重不良反应，仍不能排除更罕见或更长期风险。</w:t>
      </w:r>
    </w:p>
    <w:p>
      <w:pPr>
        <w:pStyle w:val="BodyText"/>
      </w:pPr>
      <w:r>
        <w:t xml:space="preserve">2025年同一研究项目进一步报告菌群和炎症分析。部分菌群差异具有时间依赖，炎症指标没有出现相应组间差异。该论文使用同一批试验资料，不能被计为一项独立疗效重复；结果也限制了把临床信号直接解释为已经证实抗炎机制的叙述</w:t>
      </w:r>
      <w:r>
        <w:rPr>
          <w:vertAlign w:val="superscript"/>
        </w:rPr>
        <w:t xml:space="preserve">[</w:t>
      </w:r>
      <w:hyperlink w:anchor="ref-949">
        <w:r>
          <w:rPr>
            <w:rStyle w:val="Hyperlink"/>
            <w:vertAlign w:val="superscript"/>
          </w:rPr>
          <w:t xml:space="preserve">949</w:t>
        </w:r>
      </w:hyperlink>
      <w:r>
        <w:rPr>
          <w:vertAlign w:val="superscript"/>
        </w:rPr>
        <w:t xml:space="preserve">]</w:t>
      </w:r>
      <w:r>
        <w:t xml:space="preserve">。</w:t>
      </w:r>
    </w:p>
    <w:p>
      <w:pPr>
        <w:pStyle w:val="BodyText"/>
      </w:pPr>
      <w:r>
        <w:t xml:space="preserve">商业关联需要透明处理。相关项目包含工业合作和企业研究支持，后续作者披露了企业任职等关系。它们不会自动否定结果，但使预注册、完整报告和独立团队重复尤其重要。评价应同时保留积极信号与研究局限</w:t>
      </w:r>
      <w:r>
        <w:rPr>
          <w:vertAlign w:val="superscript"/>
        </w:rPr>
        <w:t xml:space="preserve">[</w:t>
      </w:r>
      <w:hyperlink w:anchor="ref-948">
        <w:r>
          <w:rPr>
            <w:rStyle w:val="Hyperlink"/>
            <w:vertAlign w:val="superscript"/>
          </w:rPr>
          <w:t xml:space="preserve">948</w:t>
        </w:r>
      </w:hyperlink>
      <w:r>
        <w:rPr>
          <w:vertAlign w:val="superscript"/>
        </w:rPr>
        <w:t xml:space="preserve">,</w:t>
      </w:r>
      <w:hyperlink w:anchor="ref-949">
        <w:r>
          <w:rPr>
            <w:rStyle w:val="Hyperlink"/>
            <w:vertAlign w:val="superscript"/>
          </w:rPr>
          <w:t xml:space="preserve">949</w:t>
        </w:r>
      </w:hyperlink>
      <w:r>
        <w:rPr>
          <w:vertAlign w:val="superscript"/>
        </w:rPr>
        <w:t xml:space="preserve">]</w:t>
      </w:r>
      <w:r>
        <w:t xml:space="preserve">。</w:t>
      </w:r>
    </w:p>
    <w:bookmarkEnd w:id="1741"/>
    <w:bookmarkStart w:id="1742" w:name="sec-105-5"/>
    <w:p>
      <w:pPr>
        <w:pStyle w:val="Heading3"/>
      </w:pPr>
      <w:r>
        <w:t xml:space="preserve">105.5　菌群测量的技术约束</w:t>
      </w:r>
    </w:p>
    <w:p>
      <w:pPr>
        <w:pStyle w:val="FirstParagraph"/>
      </w:pPr>
      <w:r>
        <w:t xml:space="preserve">粪便样本提供了可重复采集的窗口，但主要反映某些肠道环境的排出物，不能完整代表全部肠段、小肠和黏膜生态。肠道转运时间、膳食、近期药物、感染和排便条件都会改变粪便特征，这些因素也可能与疾病共同变化，因此观察到某种菌群模式时，应同时考虑肠道生理状态。采样、保存、测序批次和分析流程也影响结果；不同研究如果使用不同方法，菌种列表差异可能部分来自技术，可重复研究需要标准化和批次控制。单次样本更适合描述某个时间点，稳定个体特征需要纵向证据；一次菌群检测也不能概括稳定的人格或长期心理状态。</w:t>
      </w:r>
    </w:p>
    <w:bookmarkEnd w:id="1742"/>
    <w:bookmarkStart w:id="1743" w:name="sec-105-6"/>
    <w:p>
      <w:pPr>
        <w:pStyle w:val="Heading3"/>
      </w:pPr>
      <w:r>
        <w:t xml:space="preserve">105.6　制剂特异性与临床推广</w:t>
      </w:r>
    </w:p>
    <w:p>
      <w:pPr>
        <w:pStyle w:val="FirstParagraph"/>
      </w:pPr>
      <w:r>
        <w:t xml:space="preserve">益生菌产品的菌株、活菌量、组合、剂量、储存稳定性、给药时间和疗程都可能影响效果。一个制剂的试验不能替另一制剂承担证据，某种制剂在一个人群中显示信号，也不能自动推广到所有益生菌。共同饮食、抗生素、既有药物和基线菌群还可能改变结果；多菌组合中存在竞争与交叉喂养，相同菌株进入不同人的肠环境可能有不同持续性。研究对象若同时接受正规治疗，结论也应保留附加治疗条件；它没有检验停止原治疗后的单独使用。报告完整制剂信息有助于重复研究，也帮助解释不同试验为何不一致</w:t>
      </w:r>
      <w:r>
        <w:rPr>
          <w:vertAlign w:val="superscript"/>
        </w:rPr>
        <w:t xml:space="preserve">[</w:t>
      </w:r>
      <w:hyperlink w:anchor="ref-948">
        <w:r>
          <w:rPr>
            <w:rStyle w:val="Hyperlink"/>
            <w:vertAlign w:val="superscript"/>
          </w:rPr>
          <w:t xml:space="preserve">948</w:t>
        </w:r>
      </w:hyperlink>
      <w:r>
        <w:rPr>
          <w:vertAlign w:val="superscript"/>
        </w:rPr>
        <w:t xml:space="preserve">,</w:t>
      </w:r>
      <w:hyperlink w:anchor="ref-949">
        <w:r>
          <w:rPr>
            <w:rStyle w:val="Hyperlink"/>
            <w:vertAlign w:val="superscript"/>
          </w:rPr>
          <w:t xml:space="preserve">949</w:t>
        </w:r>
      </w:hyperlink>
      <w:r>
        <w:rPr>
          <w:vertAlign w:val="superscript"/>
        </w:rPr>
        <w:t xml:space="preserve">]</w:t>
      </w:r>
      <w:r>
        <w:t xml:space="preserve">。</w:t>
      </w:r>
    </w:p>
    <w:p>
      <w:pPr>
        <w:pStyle w:val="BodyText"/>
      </w:pPr>
      <w:r>
        <w:t xml:space="preserve">粪菌移植、饮食调整、益生元和活菌制剂属于不同干预，风险与适应证不同。粪菌相关治疗在某些明确适应证中的证据，不能自动扩展到情绪、认知或其他疾病；某一种干预在某疾病中有效，也不能推广为全部精神疾病的通用方案。长期安全性需要直接资料，风险取决于宿主免疫状态、产品质量和具体方式。临床应用需要明确产品、患者、结局和安全监测；新的精神科应用需要专门试验，公众不应依据动物移植结果自行实施。</w:t>
      </w:r>
    </w:p>
    <w:bookmarkEnd w:id="1743"/>
    <w:bookmarkStart w:id="1744" w:name="sec-105-7"/>
    <w:p>
      <w:pPr>
        <w:pStyle w:val="Heading3"/>
      </w:pPr>
      <w:r>
        <w:t xml:space="preserve">105.7　肠道传入信号依赖特定感觉细胞与神经连接</w:t>
      </w:r>
    </w:p>
    <w:p>
      <w:pPr>
        <w:pStyle w:val="FirstParagraph"/>
      </w:pPr>
      <w:r>
        <w:t xml:space="preserve">肠壁中的机械、化学和免疫状态可以改变传入信息。食物体积、营养成分、炎症和屏障状态提供不同输入，迷走与脊髓相关通路也具有不同传入范围。一个信号从肠道影响脑干或更高结构，需要经过特定感觉细胞和神经连接，不能把所有肠道效应统一归入一种模糊的肠菌信号。</w:t>
      </w:r>
    </w:p>
    <w:p>
      <w:pPr>
        <w:pStyle w:val="BodyText"/>
      </w:pPr>
      <w:r>
        <w:t xml:space="preserve">Kaelberer及同事研究了肠内分泌相关感觉细胞与迷走传入之间的快速连接，为营养信息通过神经路径传递提供了直接实验依据</w:t>
      </w:r>
      <w:r>
        <w:rPr>
          <w:vertAlign w:val="superscript"/>
        </w:rPr>
        <w:t xml:space="preserve">[</w:t>
      </w:r>
      <w:hyperlink w:anchor="ref-950">
        <w:r>
          <w:rPr>
            <w:rStyle w:val="Hyperlink"/>
            <w:vertAlign w:val="superscript"/>
          </w:rPr>
          <w:t xml:space="preserve">950</w:t>
        </w:r>
      </w:hyperlink>
      <w:r>
        <w:rPr>
          <w:vertAlign w:val="superscript"/>
        </w:rPr>
        <w:t xml:space="preserve">]</w:t>
      </w:r>
      <w:r>
        <w:t xml:space="preserve">。这一通路首先说明营养感觉的生理机制，尚不能独自证明某个菌群产品可以经同一路径治疗抑郁。分子来源、靶细胞和行为结局都需要分别验证。</w:t>
      </w:r>
    </w:p>
    <w:bookmarkEnd w:id="1744"/>
    <w:bookmarkStart w:id="1745" w:name="sec-105-8"/>
    <w:p>
      <w:pPr>
        <w:pStyle w:val="Heading3"/>
      </w:pPr>
      <w:r>
        <w:t xml:space="preserve">105.8　神经、内分泌、免疫与代谢路径相互联系</w:t>
      </w:r>
    </w:p>
    <w:p>
      <w:pPr>
        <w:pStyle w:val="FirstParagraph"/>
      </w:pPr>
      <w:r>
        <w:t xml:space="preserve">微生物能够改变局部代谢环境，宿主细胞则通过受体、免疫和神经过程作出响应。微生物代谢物可能影响肠上皮、免疫细胞、肠神经、肝脏和其他外周组织：某些信号主要在肠道局部作用，另一些进入循环后影响远处组织。某个代谢物与行为变化相关时，实际中介可以位于多个位置。是否到达脑内、以何种浓度到达、是否在生理范围内，决定了直接中枢作用的可信度；只证明它能在高浓度下作用于培养神经元，还不足以说明这一点。</w:t>
      </w:r>
    </w:p>
    <w:p>
      <w:pPr>
        <w:pStyle w:val="BodyText"/>
      </w:pPr>
      <w:r>
        <w:t xml:space="preserve">短链脂肪酸、色氨酸相关代谢物和胆汁酸相关变化是常被研究的候选方向。每个类别包含多种分子，受体分布与代谢性质不同。把它们统一称为有益脑营养，忽略了剂量、组织和病理条件。某个分子在体外改变细胞响应，并不保证食物或菌株干预能在人体形成相同暴露。</w:t>
      </w:r>
    </w:p>
    <w:p>
      <w:pPr>
        <w:pStyle w:val="BodyText"/>
      </w:pPr>
      <w:r>
        <w:t xml:space="preserve">免疫路径还涉及宿主反应。肠屏障、先天免疫识别、细胞因子与神经系统之间存在多层联系。血中炎症指标变化可以提供线索，但无法单独指明来源或完整因果链。微生物、饮食、感染、脂肪组织和药物等都可能影响同一指标，需要用更具体的实验区分。</w:t>
      </w:r>
    </w:p>
    <w:bookmarkEnd w:id="1745"/>
    <w:bookmarkStart w:id="1746" w:name="sec-105-9"/>
    <w:p>
      <w:pPr>
        <w:pStyle w:val="Heading3"/>
      </w:pPr>
      <w:r>
        <w:t xml:space="preserve">105.9　菌群组成与功能具有不同信息</w:t>
      </w:r>
    </w:p>
    <w:p>
      <w:pPr>
        <w:pStyle w:val="FirstParagraph"/>
      </w:pPr>
      <w:r>
        <w:t xml:space="preserve">分类测序描述样本中哪些微生物相关序列被检测到，宏基因组反映潜在基因功能，转录组、蛋白和代谢物则更接近当时活动的不同层面。知道某种微生物存在，不一定知道它在当前宿主中表达哪些代谢功能；携带某条代谢通路，也不代表它在当前环境中以相同速率运行。底物供应、其他微生物和宿主吸收共同决定最终产物。多组学数据与宿主指标能够互补，但更多数据同时增加多重比较和过拟合风险，模型需要独立验证，不能凭复杂度获得更高可信度。</w:t>
      </w:r>
    </w:p>
    <w:p>
      <w:pPr>
        <w:pStyle w:val="BodyText"/>
      </w:pPr>
      <w:r>
        <w:t xml:space="preserve">同一物种不同菌株可能具有不同基因与功能，不同物种也可能实现部分相似代谢。把一个属或一种菌统一标为好菌或坏菌，解释粒度通常不足。功能推断需要检查测序分辨率、参考数据库和直接代谢测量，尤其在把结果转化为干预时。</w:t>
      </w:r>
    </w:p>
    <w:p>
      <w:pPr>
        <w:pStyle w:val="BodyText"/>
      </w:pPr>
      <w:r>
        <w:t xml:space="preserve">菌群网络中的相互依赖也很重要。一种菌产生的代谢物可以成为另一种菌的底物，宿主分泌和饮食又改变整体环境。补充单一菌株后能否定植、持续多久以及改变哪些功能，取决于已有生态系统。检测到补充菌短暂出现在粪便中，也不等同于它已在相关肠段稳定发挥预期作用。</w:t>
      </w:r>
    </w:p>
    <w:bookmarkEnd w:id="1746"/>
    <w:bookmarkStart w:id="1747" w:name="sec-105-10"/>
    <w:p>
      <w:pPr>
        <w:pStyle w:val="Heading3"/>
      </w:pPr>
      <w:r>
        <w:t xml:space="preserve">105.10　相对丰度变化需要结合微生物总量</w:t>
      </w:r>
    </w:p>
    <w:p>
      <w:pPr>
        <w:pStyle w:val="FirstParagraph"/>
      </w:pPr>
      <w:r>
        <w:t xml:space="preserve">常见测序结果给出的是相对丰度，即某类微生物在样本中所占比例，数据具有组成性：每个比例受其他成分共同影响。某一类比例增加，可能因为它绝对数量增加，也可能因为其他类减少。假设样本中甲菌绝对数量不变，但乙菌大幅增加，甲菌所占比例仍会下降；若把比例下降直接写成甲菌减少，会产生错误的生物解释。这一数学性质与具体疾病无关，适用于任何总和固定的组成数据，统计分析也需要适合组成型数据的方法。</w:t>
      </w:r>
    </w:p>
    <w:p>
      <w:pPr>
        <w:pStyle w:val="BodyText"/>
      </w:pPr>
      <w:r>
        <w:t xml:space="preserve">Vandeputte及同事的定量微生物组研究结合微生物负荷，显示总量信息会改变对群落变化的理解</w:t>
      </w:r>
      <w:r>
        <w:rPr>
          <w:vertAlign w:val="superscript"/>
        </w:rPr>
        <w:t xml:space="preserve">[</w:t>
      </w:r>
      <w:hyperlink w:anchor="ref-951">
        <w:r>
          <w:rPr>
            <w:rStyle w:val="Hyperlink"/>
            <w:vertAlign w:val="superscript"/>
          </w:rPr>
          <w:t xml:space="preserve">951</w:t>
        </w:r>
      </w:hyperlink>
      <w:r>
        <w:rPr>
          <w:vertAlign w:val="superscript"/>
        </w:rPr>
        <w:t xml:space="preserve">]</w:t>
      </w:r>
      <w:r>
        <w:t xml:space="preserve">。实践中可以采用适当的绝对定量或外部标准，但这些方法同样需要校准。样本含水量、采集方法和活菌死菌差异，还可能影响不同定量方式的可比性。</w:t>
      </w:r>
    </w:p>
    <w:bookmarkEnd w:id="1747"/>
    <w:bookmarkStart w:id="1748" w:name="sec-105-11"/>
    <w:p>
      <w:pPr>
        <w:pStyle w:val="Heading3"/>
      </w:pPr>
      <w:r>
        <w:t xml:space="preserve">105.11　从患者样本移植到动物的因果范围</w:t>
      </w:r>
    </w:p>
    <w:p>
      <w:pPr>
        <w:pStyle w:val="FirstParagraph"/>
      </w:pPr>
      <w:r>
        <w:t xml:space="preserve">Kelly及同事将部分抑郁患者与对照来源的菌群材料转移到经过处理的大鼠，观察到受体动物的部分行为和代谢变化。这支持移植材料能够在该动物条件下影响相关表型，提供了超出单纯人群相关的证据</w:t>
      </w:r>
      <w:r>
        <w:rPr>
          <w:vertAlign w:val="superscript"/>
        </w:rPr>
        <w:t xml:space="preserve">[</w:t>
      </w:r>
      <w:hyperlink w:anchor="ref-952">
        <w:r>
          <w:rPr>
            <w:rStyle w:val="Hyperlink"/>
            <w:vertAlign w:val="superscript"/>
          </w:rPr>
          <w:t xml:space="preserve">952</w:t>
        </w:r>
      </w:hyperlink>
      <w:r>
        <w:rPr>
          <w:vertAlign w:val="superscript"/>
        </w:rPr>
        <w:t xml:space="preserve">]</w:t>
      </w:r>
      <w:r>
        <w:t xml:space="preserve">。</w:t>
      </w:r>
    </w:p>
    <w:p>
      <w:pPr>
        <w:pStyle w:val="BodyText"/>
      </w:pPr>
      <w:r>
        <w:t xml:space="preserve">移植材料包含复杂群落及其伴随物，受体动物又处于特殊微生物背景。结果可能取决于哪些微生物成功定植、宿主免疫状态和处理程序。它不能独自证明原患者的抑郁完全由菌群造成，也不能直接证明把健康供体材料给予患者会产生相反临床效果。</w:t>
      </w:r>
    </w:p>
    <w:p>
      <w:pPr>
        <w:pStyle w:val="BodyText"/>
      </w:pPr>
      <w:r>
        <w:t xml:space="preserve">进一步的机制分解可以比较活菌、去除特定成分后的材料、定义明确的菌群组合与候选代谢物，并检验宿主受体或通路是否必要。每一步都需要确认操作本身没有引入新的差异。若移除某菌后效应消失，还要检查其他菌是否随之改变；生态系统中的必要性可能具有间接路径。</w:t>
      </w:r>
    </w:p>
    <w:bookmarkEnd w:id="1748"/>
    <w:bookmarkStart w:id="1749" w:name="sec-105-12"/>
    <w:p>
      <w:pPr>
        <w:pStyle w:val="Heading3"/>
      </w:pPr>
      <w:r>
        <w:t xml:space="preserve">105.12　脑到肠的方向同样需要保留</w:t>
      </w:r>
    </w:p>
    <w:p>
      <w:pPr>
        <w:pStyle w:val="FirstParagraph"/>
      </w:pPr>
      <w:r>
        <w:t xml:space="preserve">情绪、睡眠、应激与药物可以通过自主输出和激素改变进食、胃肠运动、分泌、屏障和免疫状态，进食选择与作息也影响微生物可利用的底物，进而改变微生物生态。患者组与对照组的菌群差异，可能同时包含病程结果、治疗影响和潜在致病过程。纵向观察中的先后顺序和双向反馈，决定某项菌群变化可能是原因、中介、结果或共同伴随现象。双向关系并不削弱研究价值，它要求在设计中记录时间与方向</w:t>
      </w:r>
      <w:r>
        <w:rPr>
          <w:vertAlign w:val="superscript"/>
        </w:rPr>
        <w:t xml:space="preserve">[</w:t>
      </w:r>
      <w:hyperlink w:anchor="ref-946">
        <w:r>
          <w:rPr>
            <w:rStyle w:val="Hyperlink"/>
            <w:vertAlign w:val="superscript"/>
          </w:rPr>
          <w:t xml:space="preserve">946</w:t>
        </w:r>
      </w:hyperlink>
      <w:r>
        <w:rPr>
          <w:vertAlign w:val="superscript"/>
        </w:rPr>
        <w:t xml:space="preserve">]</w:t>
      </w:r>
      <w:r>
        <w:t xml:space="preserve">。</w:t>
      </w:r>
    </w:p>
    <w:p>
      <w:pPr>
        <w:pStyle w:val="BodyText"/>
      </w:pPr>
      <w:r>
        <w:t xml:space="preserve">纵向研究可以观察症状、饮食、药物和菌群如何共同变化，随机干预可以检验某个入口是否改变后续结局。两者结合能够逐渐限制解释。高置信结论是脑肠通信存在且具有多条生理路径；对具体菌株或代谢物能否稳定改善特定精神症状，证据强度需要逐项评估，当前仍有大量未知。</w:t>
      </w:r>
    </w:p>
    <w:bookmarkEnd w:id="1749"/>
    <w:bookmarkStart w:id="1750" w:name="sec-105-13"/>
    <w:p>
      <w:pPr>
        <w:pStyle w:val="Heading3"/>
      </w:pPr>
      <w:r>
        <w:t xml:space="preserve">105.13　肠上皮细胞能够主动转换化学信息</w:t>
      </w:r>
    </w:p>
    <w:p>
      <w:pPr>
        <w:pStyle w:val="FirstParagraph"/>
      </w:pPr>
      <w:r>
        <w:t xml:space="preserve">肠腔中的营养、微生物产物和刺激物需要通过组织界面影响神经系统。肠嗜铬细胞研究显示，这些细胞可以表达化学感受装置和电压依赖通道，刺激引起的电活动与钙变化能够调节血清素相关输出，并影响感觉纤维。该发现提供了肠上皮到神经信号的具体机制</w:t>
      </w:r>
      <w:r>
        <w:rPr>
          <w:vertAlign w:val="superscript"/>
        </w:rPr>
        <w:t xml:space="preserve">[</w:t>
      </w:r>
      <w:hyperlink w:anchor="ref-953">
        <w:r>
          <w:rPr>
            <w:rStyle w:val="Hyperlink"/>
            <w:vertAlign w:val="superscript"/>
          </w:rPr>
          <w:t xml:space="preserve">953</w:t>
        </w:r>
      </w:hyperlink>
      <w:r>
        <w:rPr>
          <w:vertAlign w:val="superscript"/>
        </w:rPr>
        <w:t xml:space="preserve">]</w:t>
      </w:r>
      <w:r>
        <w:t xml:space="preserve">。</w:t>
      </w:r>
    </w:p>
    <w:p>
      <w:pPr>
        <w:pStyle w:val="BodyText"/>
      </w:pPr>
      <w:r>
        <w:t xml:space="preserve">这条机制不要求肠腔分子本身直接进入脑。某分子可以先改变上皮细胞，局部递质再作用于传入神经，动作电位沿神经纤维传递信息。物质运输与信息传递因此可以采用不同路线。把肠道产生某分子与该分子进入脑内混为一谈，会遗漏这种转换方式。</w:t>
      </w:r>
    </w:p>
    <w:p>
      <w:pPr>
        <w:pStyle w:val="BodyText"/>
      </w:pPr>
      <w:r>
        <w:t xml:space="preserve">不同肠内分泌细胞可以释放激素，也可以与神经建立快速联系（见</w:t>
      </w:r>
      <w:r>
        <w:t xml:space="preserve"> </w:t>
      </w:r>
      <w:hyperlink w:anchor="sec-105-7">
        <w:r>
          <w:rPr>
            <w:rStyle w:val="Hyperlink"/>
          </w:rPr>
          <w:t xml:space="preserve">105.7</w:t>
        </w:r>
      </w:hyperlink>
      <w:r>
        <w:t xml:space="preserve">、</w:t>
      </w:r>
      <w:hyperlink w:anchor="sec-106-6">
        <w:r>
          <w:rPr>
            <w:rStyle w:val="Hyperlink"/>
          </w:rPr>
          <w:t xml:space="preserve">106.6</w:t>
        </w:r>
      </w:hyperlink>
      <w:r>
        <w:t xml:space="preserve">）。快速神经反应、循环激素和较慢免疫变化可以共同发生，单独测量其中一种无法穷尽整条脑肠关系</w:t>
      </w:r>
      <w:r>
        <w:rPr>
          <w:vertAlign w:val="superscript"/>
        </w:rPr>
        <w:t xml:space="preserve">[</w:t>
      </w:r>
      <w:hyperlink w:anchor="ref-950">
        <w:r>
          <w:rPr>
            <w:rStyle w:val="Hyperlink"/>
            <w:vertAlign w:val="superscript"/>
          </w:rPr>
          <w:t xml:space="preserve">950</w:t>
        </w:r>
      </w:hyperlink>
      <w:r>
        <w:rPr>
          <w:vertAlign w:val="superscript"/>
        </w:rPr>
        <w:t xml:space="preserve">]</w:t>
      </w:r>
      <w:r>
        <w:t xml:space="preserve">。</w:t>
      </w:r>
    </w:p>
    <w:bookmarkEnd w:id="1750"/>
    <w:bookmarkStart w:id="1751" w:name="sec-105-14"/>
    <w:p>
      <w:pPr>
        <w:pStyle w:val="Heading3"/>
      </w:pPr>
      <w:r>
        <w:t xml:space="preserve">105.14　同一相关可以来自不同的作用路径</w:t>
      </w:r>
    </w:p>
    <w:p>
      <w:pPr>
        <w:pStyle w:val="FirstParagraph"/>
      </w:pPr>
      <w:r>
        <w:t xml:space="preserve">一个明确的教学情景是某菌群改变使肠道不适减轻，个体因此睡得更好并增加活动，随后情绪评分改善。另一种情景是代谢物通过特定免疫路径直接改变脑内细胞状态。两者都可以产生菌群与情绪相关性，却具有不同转化策略。研究需要追踪时间与中间环节，不能从最终评分唯一反推出路径。</w:t>
      </w:r>
    </w:p>
    <w:bookmarkEnd w:id="1751"/>
    <w:bookmarkStart w:id="1752" w:name="sec-105-15"/>
    <w:p>
      <w:pPr>
        <w:pStyle w:val="Heading3"/>
      </w:pPr>
      <w:r>
        <w:t xml:space="preserve">105.15　迷走传入包含多个器官与细胞通道</w:t>
      </w:r>
    </w:p>
    <w:p>
      <w:pPr>
        <w:pStyle w:val="FirstParagraph"/>
      </w:pPr>
      <w:r>
        <w:t xml:space="preserve">迷走神经汇集来自多个内脏的不同感觉信息，同时包含传出纤维。整体刺激或切断会影响多个器官和反射，因此观察到行为变化后，需要考虑胃肠动力、心血管、呼吸、营养摄入和一般身体状态。将整体神经操作的效果直接归因于单一菌群信号，通常证据不足</w:t>
      </w:r>
      <w:r>
        <w:rPr>
          <w:vertAlign w:val="superscript"/>
        </w:rPr>
        <w:t xml:space="preserve">[</w:t>
      </w:r>
      <w:hyperlink w:anchor="ref-16">
        <w:r>
          <w:rPr>
            <w:rStyle w:val="Hyperlink"/>
            <w:vertAlign w:val="superscript"/>
          </w:rPr>
          <w:t xml:space="preserve">16</w:t>
        </w:r>
      </w:hyperlink>
      <w:r>
        <w:rPr>
          <w:vertAlign w:val="superscript"/>
        </w:rPr>
        <w:t xml:space="preserve">,</w:t>
      </w:r>
      <w:hyperlink w:anchor="ref-950">
        <w:r>
          <w:rPr>
            <w:rStyle w:val="Hyperlink"/>
            <w:vertAlign w:val="superscript"/>
          </w:rPr>
          <w:t xml:space="preserve">950</w:t>
        </w:r>
      </w:hyperlink>
      <w:r>
        <w:rPr>
          <w:vertAlign w:val="superscript"/>
        </w:rPr>
        <w:t xml:space="preserve">]</w:t>
      </w:r>
      <w:r>
        <w:t xml:space="preserve">。</w:t>
      </w:r>
    </w:p>
    <w:p>
      <w:pPr>
        <w:pStyle w:val="BodyText"/>
      </w:pPr>
      <w:r>
        <w:t xml:space="preserve">更具体的细胞类型和末梢定位有助于缩小解释。某类传入可能对机械扩张敏感，另一类对营养或化学环境更敏感，它们在脑干的终止和后续联系也可不同（见</w:t>
      </w:r>
      <w:r>
        <w:t xml:space="preserve"> </w:t>
      </w:r>
      <w:hyperlink w:anchor="sec-106-7">
        <w:r>
          <w:rPr>
            <w:rStyle w:val="Hyperlink"/>
          </w:rPr>
          <w:t xml:space="preserve">106.7</w:t>
        </w:r>
      </w:hyperlink>
      <w:r>
        <w:t xml:space="preserve">）。脑肠轴的精确研究因此需要从器官标签继续走向细胞、受体与投射。</w:t>
      </w:r>
    </w:p>
    <w:bookmarkEnd w:id="1752"/>
    <w:bookmarkStart w:id="1753" w:name="sec-105-16"/>
    <w:p>
      <w:pPr>
        <w:pStyle w:val="Heading3"/>
      </w:pPr>
      <w:r>
        <w:t xml:space="preserve">105.16　本章结论</w:t>
      </w:r>
    </w:p>
    <w:p>
      <w:pPr>
        <w:pStyle w:val="FirstParagraph"/>
      </w:pPr>
      <w:r>
        <w:t xml:space="preserve">脑肠联系真实存在，微生物研究具有重要机制和临床潜力。当前证据要求精确到通路、菌株、制剂和人群。把肠道说成另一颗人格脑，或把先导附加治疗信号写成普遍治愈承诺，均超出了证据。最能提高判断质量的后续证据，是独立的大样本试验、预设结局、长期随访和能够区分具体机制的操作</w:t>
      </w:r>
      <w:r>
        <w:rPr>
          <w:vertAlign w:val="superscript"/>
        </w:rPr>
        <w:t xml:space="preserve">[</w:t>
      </w:r>
      <w:hyperlink w:anchor="ref-946">
        <w:r>
          <w:rPr>
            <w:rStyle w:val="Hyperlink"/>
            <w:vertAlign w:val="superscript"/>
          </w:rPr>
          <w:t xml:space="preserve">946</w:t>
        </w:r>
      </w:hyperlink>
      <w:r>
        <w:rPr>
          <w:vertAlign w:val="superscript"/>
        </w:rPr>
        <w:t xml:space="preserve">,</w:t>
      </w:r>
      <w:hyperlink w:anchor="ref-947">
        <w:r>
          <w:rPr>
            <w:rStyle w:val="Hyperlink"/>
            <w:vertAlign w:val="superscript"/>
          </w:rPr>
          <w:t xml:space="preserve">947</w:t>
        </w:r>
      </w:hyperlink>
      <w:r>
        <w:rPr>
          <w:vertAlign w:val="superscript"/>
        </w:rPr>
        <w:t xml:space="preserve">,</w:t>
      </w:r>
      <w:hyperlink w:anchor="ref-948">
        <w:r>
          <w:rPr>
            <w:rStyle w:val="Hyperlink"/>
            <w:vertAlign w:val="superscript"/>
          </w:rPr>
          <w:t xml:space="preserve">948</w:t>
        </w:r>
      </w:hyperlink>
      <w:r>
        <w:rPr>
          <w:vertAlign w:val="superscript"/>
        </w:rPr>
        <w:t xml:space="preserve">,</w:t>
      </w:r>
      <w:hyperlink w:anchor="ref-949">
        <w:r>
          <w:rPr>
            <w:rStyle w:val="Hyperlink"/>
            <w:vertAlign w:val="superscript"/>
          </w:rPr>
          <w:t xml:space="preserve">949</w:t>
        </w:r>
      </w:hyperlink>
      <w:r>
        <w:rPr>
          <w:vertAlign w:val="superscript"/>
        </w:rPr>
        <w:t xml:space="preserve">]</w:t>
      </w:r>
      <w:r>
        <w:t xml:space="preserve">。</w:t>
      </w:r>
    </w:p>
    <w:bookmarkEnd w:id="1753"/>
    <w:bookmarkEnd w:id="1754"/>
    <w:bookmarkStart w:id="1766" w:name="ch-106"/>
    <w:p>
      <w:pPr>
        <w:pStyle w:val="Heading2"/>
      </w:pPr>
      <w:r>
        <w:t xml:space="preserve">第106章　脑肠通信的细胞与代谢机制</w:t>
      </w:r>
    </w:p>
    <w:bookmarkStart w:id="1755" w:name="sec-106-1"/>
    <w:p>
      <w:pPr>
        <w:pStyle w:val="Heading3"/>
      </w:pPr>
      <w:r>
        <w:t xml:space="preserve">106.1　肠道包含多个相互联系的环境</w:t>
      </w:r>
    </w:p>
    <w:p>
      <w:pPr>
        <w:pStyle w:val="FirstParagraph"/>
      </w:pPr>
      <w:r>
        <w:t xml:space="preserve">讨论肠道影响脑时，需要先区分肠腔、黏液层、上皮、固有层、肠壁神经、门静脉血和全身循环。微生物在这些环境中的接近程度不同，营养、氧和免疫条件也不同。粪便样本主要反映排出的材料，对这些环境的代表性有限（见</w:t>
      </w:r>
      <w:r>
        <w:t xml:space="preserve"> </w:t>
      </w:r>
      <w:hyperlink w:anchor="sec-105-5">
        <w:r>
          <w:rPr>
            <w:rStyle w:val="Hyperlink"/>
          </w:rPr>
          <w:t xml:space="preserve">105.5</w:t>
        </w:r>
      </w:hyperlink>
      <w:r>
        <w:t xml:space="preserve">）</w:t>
      </w:r>
      <w:r>
        <w:rPr>
          <w:vertAlign w:val="superscript"/>
        </w:rPr>
        <w:t xml:space="preserve">[</w:t>
      </w:r>
      <w:hyperlink w:anchor="ref-946">
        <w:r>
          <w:rPr>
            <w:rStyle w:val="Hyperlink"/>
            <w:vertAlign w:val="superscript"/>
          </w:rPr>
          <w:t xml:space="preserve">946</w:t>
        </w:r>
      </w:hyperlink>
      <w:r>
        <w:rPr>
          <w:vertAlign w:val="superscript"/>
        </w:rPr>
        <w:t xml:space="preserve">]</w:t>
      </w:r>
      <w:r>
        <w:t xml:space="preserve">。</w:t>
      </w:r>
    </w:p>
    <w:p>
      <w:pPr>
        <w:pStyle w:val="BodyText"/>
      </w:pPr>
      <w:r>
        <w:t xml:space="preserve">一条化学路径需要跨过若干环节：微生物获得底物，产生代谢物，代谢物在局部存留或被其他生物利用，随后通过上皮进入相应区室，再经历肝脏及其他组织代谢。到达脑或作用于外周感受器的量，只是这一连续过程的一部分。写出这些区室，可以帮助判断某项培养实验与人体脑效应之间还缺少哪些连接。</w:t>
      </w:r>
    </w:p>
    <w:p>
      <w:pPr>
        <w:pStyle w:val="BodyText"/>
      </w:pPr>
      <w:r>
        <w:t xml:space="preserve">局部作用本身也有生物意义。一个代谢物即使几乎不进入脑，也可能通过上皮、免疫或内脏感觉改变脑收到的信息。相反，能够进入血液并不保证它在目标细胞附近达到有效浓度。位置、剂量和时间需要与分子名称一起描述。</w:t>
      </w:r>
    </w:p>
    <w:bookmarkEnd w:id="1755"/>
    <w:bookmarkStart w:id="1756" w:name="sec-106-2"/>
    <w:p>
      <w:pPr>
        <w:pStyle w:val="Heading3"/>
      </w:pPr>
      <w:r>
        <w:t xml:space="preserve">106.2　微生物代谢依赖底物与群落协作</w:t>
      </w:r>
    </w:p>
    <w:p>
      <w:pPr>
        <w:pStyle w:val="FirstParagraph"/>
      </w:pPr>
      <w:r>
        <w:t xml:space="preserve">一个菌株拥有某代谢酶基因，说明它具有潜在反应能力。实际通量还取决于基因表达、底物供应、电子受体、酸碱度、竞争者和产物清除。相同菌株处于不同饮食与群落中，可以形成不同代谢输出。菌株名称无法独立指定宿主最终暴露。</w:t>
      </w:r>
    </w:p>
    <w:p>
      <w:pPr>
        <w:pStyle w:val="BodyText"/>
      </w:pPr>
      <w:r>
        <w:t xml:space="preserve">群落中还存在交叉利用。某些成员先分解复杂底物，另一些成员再利用中间产物；产生某种分子的细菌增加时，消费该分子的细菌也可能增加。粪便中的最终浓度由生成、消耗、吸收和水分共同决定。若只观察某一个菌群比例，无法直接判断这些相反过程的净结果。</w:t>
      </w:r>
    </w:p>
    <w:p>
      <w:pPr>
        <w:pStyle w:val="BodyText"/>
      </w:pPr>
      <w:r>
        <w:t xml:space="preserve">一个假设例子是，干预使某代谢物生成速率增加，同时使宿主吸收更快，粪便浓度可能保持不变甚至降低。反过来，排泄量升高也可能反映吸收减少。要区分这些情况，可结合稳定同位素底物追踪、局部与循环测量以及相关酶活性。这里的关键是测量物质流向，避免把单个终点浓度直接等同于生产能力。</w:t>
      </w:r>
    </w:p>
    <w:bookmarkEnd w:id="1756"/>
    <w:bookmarkStart w:id="1757" w:name="sec-106-3"/>
    <w:p>
      <w:pPr>
        <w:pStyle w:val="Heading3"/>
      </w:pPr>
      <w:r>
        <w:t xml:space="preserve">106.3　短链脂肪酸具有多类作用入口</w:t>
      </w:r>
    </w:p>
    <w:p>
      <w:pPr>
        <w:pStyle w:val="FirstParagraph"/>
      </w:pPr>
      <w:r>
        <w:t xml:space="preserve">乙酸、丙酸和丁酸等短链脂肪酸可以由微生物发酵产生，也具有不同的吸收与宿主代谢路径。GPR41和GPR43的配体研究为部分短链脂肪酸如何通过细胞表面受体产生信号提供了直接证据；两种受体对不同碳链配体的响应并不完全相同</w:t>
      </w:r>
      <w:r>
        <w:rPr>
          <w:vertAlign w:val="superscript"/>
        </w:rPr>
        <w:t xml:space="preserve">[</w:t>
      </w:r>
      <w:hyperlink w:anchor="ref-954">
        <w:r>
          <w:rPr>
            <w:rStyle w:val="Hyperlink"/>
            <w:vertAlign w:val="superscript"/>
          </w:rPr>
          <w:t xml:space="preserve">954</w:t>
        </w:r>
      </w:hyperlink>
      <w:r>
        <w:rPr>
          <w:vertAlign w:val="superscript"/>
        </w:rPr>
        <w:t xml:space="preserve">]</w:t>
      </w:r>
      <w:r>
        <w:t xml:space="preserve">。</w:t>
      </w:r>
    </w:p>
    <w:p>
      <w:pPr>
        <w:pStyle w:val="BodyText"/>
      </w:pPr>
      <w:r>
        <w:t xml:space="preserve">这些分子还可以作为代谢底物，并在特定浓度和细胞条件下影响酶活性与基因调节。因此，同一种分子的营养作用、受体作用和胞内作用需要分开讨论。培养系统中的高浓度效应，必须与真实组织暴露比较后才能用于解释体内机制。</w:t>
      </w:r>
    </w:p>
    <w:p>
      <w:pPr>
        <w:pStyle w:val="BodyText"/>
      </w:pPr>
      <w:r>
        <w:t xml:space="preserve">短链脂肪酸在肠腔、上皮、门静脉和全身循环中的浓度不同，部分会在到达其他组织前被大量利用。研究其脑效应时，可以提出局部内分泌、免疫、感觉神经及直接中枢暴露等候选路径。区分这些路径需要定位受体或靶酶，并验证相应组织的必要性。仅报告一种短链脂肪酸增加，不足以指定它通过哪条路径改变行为。</w:t>
      </w:r>
    </w:p>
    <w:bookmarkEnd w:id="1757"/>
    <w:bookmarkStart w:id="1758" w:name="sec-106-4"/>
    <w:p>
      <w:pPr>
        <w:pStyle w:val="Heading3"/>
      </w:pPr>
      <w:r>
        <w:t xml:space="preserve">106.4　色氨酸在宿主和微生物之间分流</w:t>
      </w:r>
    </w:p>
    <w:p>
      <w:pPr>
        <w:pStyle w:val="FirstParagraph"/>
      </w:pPr>
      <w:r>
        <w:t xml:space="preserve">色氨酸可以进入蛋白合成、血清素相关代谢、犬尿氨酸路径及微生物吲哚相关反应。不同细胞和微生物拥有不同酶，炎症、底物竞争和组织状态可改变分流比例。一个总色氨酸读数不能独立反映每条支路的通量，某个终产物也可能同时受生成与清除影响。</w:t>
      </w:r>
    </w:p>
    <w:p>
      <w:pPr>
        <w:pStyle w:val="BodyText"/>
      </w:pPr>
      <w:r>
        <w:t xml:space="preserve">动物实验显示，部分肠道菌群可以调节宿主结肠肠嗜铬细胞的血清素合成，并影响局部运动和血小板相关生理</w:t>
      </w:r>
      <w:r>
        <w:rPr>
          <w:vertAlign w:val="superscript"/>
        </w:rPr>
        <w:t xml:space="preserve">[</w:t>
      </w:r>
      <w:hyperlink w:anchor="ref-852">
        <w:r>
          <w:rPr>
            <w:rStyle w:val="Hyperlink"/>
            <w:vertAlign w:val="superscript"/>
          </w:rPr>
          <w:t xml:space="preserve">852</w:t>
        </w:r>
      </w:hyperlink>
      <w:r>
        <w:rPr>
          <w:vertAlign w:val="superscript"/>
        </w:rPr>
        <w:t xml:space="preserve">]</w:t>
      </w:r>
      <w:r>
        <w:t xml:space="preserve">。这类证据定位于外周合成和外周作用。肠源血清素与中枢合成的血清素属于不同区室，不能把肠道产量增加直接转换成脑突触血清素增加</w:t>
      </w:r>
      <w:r>
        <w:rPr>
          <w:vertAlign w:val="superscript"/>
        </w:rPr>
        <w:t xml:space="preserve">[</w:t>
      </w:r>
      <w:hyperlink w:anchor="ref-843">
        <w:r>
          <w:rPr>
            <w:rStyle w:val="Hyperlink"/>
            <w:vertAlign w:val="superscript"/>
          </w:rPr>
          <w:t xml:space="preserve">843</w:t>
        </w:r>
      </w:hyperlink>
      <w:r>
        <w:rPr>
          <w:vertAlign w:val="superscript"/>
        </w:rPr>
        <w:t xml:space="preserve">]</w:t>
      </w:r>
      <w:r>
        <w:t xml:space="preserve">。</w:t>
      </w:r>
    </w:p>
    <w:p>
      <w:pPr>
        <w:pStyle w:val="BodyText"/>
      </w:pPr>
      <w:r>
        <w:t xml:space="preserve">某些微生物色氨酸代谢物能够作用于芳香烃受体。实验性自身免疫性脑脊髓炎（多发性硬化的常用动物模型）中的研究把这类信号与星形胶质反应及炎症调节联系起来</w:t>
      </w:r>
      <w:r>
        <w:rPr>
          <w:vertAlign w:val="superscript"/>
        </w:rPr>
        <w:t xml:space="preserve">[</w:t>
      </w:r>
      <w:hyperlink w:anchor="ref-955">
        <w:r>
          <w:rPr>
            <w:rStyle w:val="Hyperlink"/>
            <w:vertAlign w:val="superscript"/>
          </w:rPr>
          <w:t xml:space="preserve">955</w:t>
        </w:r>
      </w:hyperlink>
      <w:r>
        <w:rPr>
          <w:vertAlign w:val="superscript"/>
        </w:rPr>
        <w:t xml:space="preserve">]</w:t>
      </w:r>
      <w:r>
        <w:t xml:space="preserve">。其意义在于提供了一条具体的代谢物受体细胞机制；它不能证明所有吲哚类物质在所有人和所有疾病阶段都有同方向效应。不同代谢物、宿主清除能力和组织状态仍需分别考虑。</w:t>
      </w:r>
    </w:p>
    <w:bookmarkEnd w:id="1758"/>
    <w:bookmarkStart w:id="1759" w:name="sec-106-5"/>
    <w:p>
      <w:pPr>
        <w:pStyle w:val="Heading3"/>
      </w:pPr>
      <w:r>
        <w:t xml:space="preserve">106.5　胆汁酸把消化与细胞信号连接起来</w:t>
      </w:r>
    </w:p>
    <w:p>
      <w:pPr>
        <w:pStyle w:val="FirstParagraph"/>
      </w:pPr>
      <w:r>
        <w:t xml:space="preserve">胆汁酸由宿主合成，进入肠道后又可受到微生物修饰，再参与肠肝循环。其功能包括促进脂质处理，也包含对细胞受体的作用。TGR5相关实验显示，特定胆汁酸信号可以影响肠内分泌细胞释放及葡萄糖调节，药理和遗传操纵为相应机制提供支持</w:t>
      </w:r>
      <w:r>
        <w:rPr>
          <w:vertAlign w:val="superscript"/>
        </w:rPr>
        <w:t xml:space="preserve">[</w:t>
      </w:r>
      <w:hyperlink w:anchor="ref-956">
        <w:r>
          <w:rPr>
            <w:rStyle w:val="Hyperlink"/>
            <w:vertAlign w:val="superscript"/>
          </w:rPr>
          <w:t xml:space="preserve">956</w:t>
        </w:r>
      </w:hyperlink>
      <w:r>
        <w:rPr>
          <w:vertAlign w:val="superscript"/>
        </w:rPr>
        <w:t xml:space="preserve">]</w:t>
      </w:r>
      <w:r>
        <w:t xml:space="preserve">。</w:t>
      </w:r>
    </w:p>
    <w:p>
      <w:pPr>
        <w:pStyle w:val="BodyText"/>
      </w:pPr>
      <w:r>
        <w:t xml:space="preserve">微生物改变胆汁酸组成时，可能同时改变受体激活、吸收和宿主反馈。总胆汁酸浓度相同的两份样本，其分子组成不同，生物效应便可能不同。这是理解代谢组的重要原则：同类名称覆盖的多个化学物种不一定可以互换。</w:t>
      </w:r>
    </w:p>
    <w:p>
      <w:pPr>
        <w:pStyle w:val="BodyText"/>
      </w:pPr>
      <w:r>
        <w:t xml:space="preserve">胆汁酸路径也说明脑肠研究需要把肝脏和胰腺纳入解释。脑效应可能通过代谢状态、内分泌及感觉信号间接发生。若只画肠道到脑的单向直线，便会遗漏这些中间器官的转换和反馈。</w:t>
      </w:r>
    </w:p>
    <w:bookmarkEnd w:id="1759"/>
    <w:bookmarkStart w:id="1760" w:name="sec-106-6"/>
    <w:p>
      <w:pPr>
        <w:pStyle w:val="Heading3"/>
      </w:pPr>
      <w:r>
        <w:t xml:space="preserve">106.6　肠上皮能够把营养信息转换成神经信号</w:t>
      </w:r>
    </w:p>
    <w:p>
      <w:pPr>
        <w:pStyle w:val="FirstParagraph"/>
      </w:pPr>
      <w:r>
        <w:t xml:space="preserve">肠内分泌细胞能够识别营养与化学刺激，释放肽类及其他信号。部分具有神经足突样结构的细胞还与感觉神经形成突触样连接，动物实验支持其通过谷氨酸快速传递肠腔相关信息</w:t>
      </w:r>
      <w:r>
        <w:rPr>
          <w:vertAlign w:val="superscript"/>
        </w:rPr>
        <w:t xml:space="preserve">[</w:t>
      </w:r>
      <w:hyperlink w:anchor="ref-950">
        <w:r>
          <w:rPr>
            <w:rStyle w:val="Hyperlink"/>
            <w:vertAlign w:val="superscript"/>
          </w:rPr>
          <w:t xml:space="preserve">950</w:t>
        </w:r>
      </w:hyperlink>
      <w:r>
        <w:rPr>
          <w:vertAlign w:val="superscript"/>
        </w:rPr>
        <w:t xml:space="preserve">]</w:t>
      </w:r>
      <w:r>
        <w:t xml:space="preserve">。快速神经传递与较慢的内分泌释放可以并存，使摄入信息在多个时间尺度上影响中枢。</w:t>
      </w:r>
    </w:p>
    <w:p>
      <w:pPr>
        <w:pStyle w:val="BodyText"/>
      </w:pPr>
      <w:r>
        <w:t xml:space="preserve">糖与甜味剂的肠内识别研究进一步显示，在特定小鼠十二指肠细胞与实验条件下，不同刺激可以募集不同转导和递质路径，并影响偏好行为</w:t>
      </w:r>
      <w:r>
        <w:rPr>
          <w:vertAlign w:val="superscript"/>
        </w:rPr>
        <w:t xml:space="preserve">[</w:t>
      </w:r>
      <w:hyperlink w:anchor="ref-957">
        <w:r>
          <w:rPr>
            <w:rStyle w:val="Hyperlink"/>
            <w:vertAlign w:val="superscript"/>
          </w:rPr>
          <w:t xml:space="preserve">957</w:t>
        </w:r>
      </w:hyperlink>
      <w:r>
        <w:rPr>
          <w:vertAlign w:val="superscript"/>
        </w:rPr>
        <w:t xml:space="preserve">]</w:t>
      </w:r>
      <w:r>
        <w:t xml:space="preserve">。这个发现让营养感觉具有了更具体的入口，解释时仍需要区分口腔甜味、肠内营养识别和后续代谢效应。</w:t>
      </w:r>
    </w:p>
    <w:p>
      <w:pPr>
        <w:pStyle w:val="BodyText"/>
      </w:pPr>
      <w:r>
        <w:t xml:space="preserve">从机制上看，感受器选择性决定细胞首先读取什么，递质和突触对象决定信息送往哪里，后续学习则决定该信息如何影响未来选择。一次偏好改变可以来自这些环节中的任何一个。将它们拆开，有助于区分营养价值学习与一般运动、恶心或饱腹效应。</w:t>
      </w:r>
    </w:p>
    <w:bookmarkEnd w:id="1760"/>
    <w:bookmarkStart w:id="1761" w:name="sec-106-7"/>
    <w:p>
      <w:pPr>
        <w:pStyle w:val="Heading3"/>
      </w:pPr>
      <w:r>
        <w:t xml:space="preserve">106.7　内脏感觉神经具有明确异质性</w:t>
      </w:r>
    </w:p>
    <w:p>
      <w:pPr>
        <w:pStyle w:val="FirstParagraph"/>
      </w:pPr>
      <w:r>
        <w:t xml:space="preserve">迷走传入中包含响应机械扩张、营养相关信号和多种器官状态的不同细胞。遗传标记、解剖和记录相结合的研究已经把部分细胞群与胃肠牵张或营养相关响应联系起来</w:t>
      </w:r>
      <w:r>
        <w:rPr>
          <w:vertAlign w:val="superscript"/>
        </w:rPr>
        <w:t xml:space="preserve">[</w:t>
      </w:r>
      <w:hyperlink w:anchor="ref-958">
        <w:r>
          <w:rPr>
            <w:rStyle w:val="Hyperlink"/>
            <w:vertAlign w:val="superscript"/>
          </w:rPr>
          <w:t xml:space="preserve">958</w:t>
        </w:r>
      </w:hyperlink>
      <w:r>
        <w:rPr>
          <w:vertAlign w:val="superscript"/>
        </w:rPr>
        <w:t xml:space="preserve">]</w:t>
      </w:r>
      <w:r>
        <w:t xml:space="preserve">。细胞体同处感觉神经节，并不意味着它们接收相同信息或产生相同脑干效应。</w:t>
      </w:r>
    </w:p>
    <w:p>
      <w:pPr>
        <w:pStyle w:val="BodyText"/>
      </w:pPr>
      <w:r>
        <w:t xml:space="preserve">感受末梢所在层次也很重要。位于黏膜附近的末梢能够获得上皮信号，位于肌层或张力相关结构中的末梢更直接接触机械变化。某个受体的表达可以帮助选出细胞群，但它有时只是识别标记，不能自动证明该受体在所有该群功能中都充当主要传感器。</w:t>
      </w:r>
    </w:p>
    <w:p>
      <w:pPr>
        <w:pStyle w:val="BodyText"/>
      </w:pPr>
      <w:r>
        <w:t xml:space="preserve">肠道还通过脊髓传入等路径传递信息，不同路径在痛觉、运动和内脏反射中具有不同贡献。阻断一条通路后仍有行为效应，可以提示并行路径；效应消失也可能包含对消化和一般状态的间接影响。回路解释需要同时检查感觉输入、局部器官功能和中枢响应。</w:t>
      </w:r>
    </w:p>
    <w:bookmarkEnd w:id="1761"/>
    <w:bookmarkStart w:id="1762" w:name="sec-106-8"/>
    <w:p>
      <w:pPr>
        <w:pStyle w:val="Heading3"/>
      </w:pPr>
      <w:r>
        <w:t xml:space="preserve">106.8　肠神经与胶质细胞组织局部反射</w:t>
      </w:r>
    </w:p>
    <w:p>
      <w:pPr>
        <w:pStyle w:val="FirstParagraph"/>
      </w:pPr>
      <w:r>
        <w:t xml:space="preserve">肠壁内部包含感觉、整合和运动相关神经元，能够组织推进、分泌和局部血流等过程。来自中枢的自主输入调节这些局部回路，局部回路又持续向外传递信息。它们的自组织能力使消化能够适应内容物的机械和化学状态</w:t>
      </w:r>
      <w:r>
        <w:rPr>
          <w:vertAlign w:val="superscript"/>
        </w:rPr>
        <w:t xml:space="preserve">[</w:t>
      </w:r>
      <w:hyperlink w:anchor="ref-904">
        <w:r>
          <w:rPr>
            <w:rStyle w:val="Hyperlink"/>
            <w:vertAlign w:val="superscript"/>
          </w:rPr>
          <w:t xml:space="preserve">904</w:t>
        </w:r>
      </w:hyperlink>
      <w:r>
        <w:rPr>
          <w:vertAlign w:val="superscript"/>
        </w:rPr>
        <w:t xml:space="preserve">]</w:t>
      </w:r>
      <w:r>
        <w:t xml:space="preserve">。</w:t>
      </w:r>
    </w:p>
    <w:p>
      <w:pPr>
        <w:pStyle w:val="BodyText"/>
      </w:pPr>
      <w:r>
        <w:t xml:space="preserve">肠胶质细胞参与局部神经环境及运动调节。选择性清除实验提示，胶质对运动和上皮维持的作用需要按模型和条件区分；某些早期损伤方案包含非胶质毒性，不能把所有上皮损害都归于胶质缺失</w:t>
      </w:r>
      <w:r>
        <w:rPr>
          <w:vertAlign w:val="superscript"/>
        </w:rPr>
        <w:t xml:space="preserve">[</w:t>
      </w:r>
      <w:hyperlink w:anchor="ref-959">
        <w:r>
          <w:rPr>
            <w:rStyle w:val="Hyperlink"/>
            <w:vertAlign w:val="superscript"/>
          </w:rPr>
          <w:t xml:space="preserve">959</w:t>
        </w:r>
      </w:hyperlink>
      <w:r>
        <w:rPr>
          <w:vertAlign w:val="superscript"/>
        </w:rPr>
        <w:t xml:space="preserve">]</w:t>
      </w:r>
      <w:r>
        <w:t xml:space="preserve">。这也提醒我们，研究细胞必要性时，目标细胞以外的损伤会改变机制解释。</w:t>
      </w:r>
    </w:p>
    <w:p>
      <w:pPr>
        <w:pStyle w:val="BodyText"/>
      </w:pPr>
      <w:r>
        <w:t xml:space="preserve">胶质还可与免疫细胞构成局部信号单元。小鼠研究发现，胶质相关神经营养因子、第三型固有淋巴细胞及上皮防御之间存在可操纵的联系</w:t>
      </w:r>
      <w:r>
        <w:rPr>
          <w:vertAlign w:val="superscript"/>
        </w:rPr>
        <w:t xml:space="preserve">[</w:t>
      </w:r>
      <w:hyperlink w:anchor="ref-960">
        <w:r>
          <w:rPr>
            <w:rStyle w:val="Hyperlink"/>
            <w:vertAlign w:val="superscript"/>
          </w:rPr>
          <w:t xml:space="preserve">960</w:t>
        </w:r>
      </w:hyperlink>
      <w:r>
        <w:rPr>
          <w:vertAlign w:val="superscript"/>
        </w:rPr>
        <w:t xml:space="preserve">]</w:t>
      </w:r>
      <w:r>
        <w:t xml:space="preserve">。神经调节因此可以通过免疫与上皮间接改变肠环境，随后影响微生物所处条件。脑肠通信中的箭头往往形成回路。</w:t>
      </w:r>
    </w:p>
    <w:bookmarkEnd w:id="1762"/>
    <w:bookmarkStart w:id="1763" w:name="sec-106-9"/>
    <w:p>
      <w:pPr>
        <w:pStyle w:val="Heading3"/>
      </w:pPr>
      <w:r>
        <w:t xml:space="preserve">106.9　屏障与免疫反应具有选择性</w:t>
      </w:r>
    </w:p>
    <w:p>
      <w:pPr>
        <w:pStyle w:val="FirstParagraph"/>
      </w:pPr>
      <w:r>
        <w:t xml:space="preserve">肠上皮需要同时允许营养吸收并限制不合适的物质和微生物进入组织。这一任务涉及紧密连接、黏液、分泌型防御、上皮更新及免疫细胞。通透性变化并非一种单一状态：不同大小、化学性质和运输机制的物质，可以表现出不同跨越能力。</w:t>
      </w:r>
    </w:p>
    <w:p>
      <w:pPr>
        <w:pStyle w:val="BodyText"/>
      </w:pPr>
      <w:r>
        <w:t xml:space="preserve">当局部炎症改变上皮或神经敏感性时，疼痛、运动、摄食及免疫信号都可能同时变化。中枢感受到的输入因此可以来自多个环节。血脑屏障又是另一套细胞结构，肠屏障改变不能直接等同于脑屏障发生相同变化。需要分别测量两处组织及其间的循环媒介。</w:t>
      </w:r>
    </w:p>
    <w:p>
      <w:pPr>
        <w:pStyle w:val="BodyText"/>
      </w:pPr>
      <w:r>
        <w:t xml:space="preserve">一种细菌成分在细胞培养中激活免疫受体，能够支持分子识别机制，但真实宿主反应还受暴露位置、结合蛋白、清除和预先免疫状态影响。把体外高剂量刺激直接当作日常肠道状态，可能放大实际效应。剂量和区室是连接免疫机制与脑行为的必要条件。</w:t>
      </w:r>
    </w:p>
    <w:bookmarkEnd w:id="1763"/>
    <w:bookmarkStart w:id="1764" w:name="sec-106-10"/>
    <w:p>
      <w:pPr>
        <w:pStyle w:val="Heading3"/>
      </w:pPr>
      <w:r>
        <w:t xml:space="preserve">106.10　动物转移实验揭示条件性因果作用</w:t>
      </w:r>
    </w:p>
    <w:p>
      <w:pPr>
        <w:pStyle w:val="FirstParagraph"/>
      </w:pPr>
      <w:r>
        <w:t xml:space="preserve">微生物转移、无菌饲养、抗生素处理和定义菌群定植，可以改变动物的微生物环境。其优势是允许检验微生物相关因素是否能够改变某个表型；其解释范围则取决于宿主遗传、原有微生物、饮食与发育史。无菌动物同时具有多系统发育变化，定植实验需要考虑这些背景。</w:t>
      </w:r>
    </w:p>
    <w:p>
      <w:pPr>
        <w:pStyle w:val="BodyText"/>
      </w:pPr>
      <w:r>
        <w:t xml:space="preserve">在过表达α-突触核蛋白的小鼠模型中，微生物状态与运动、炎症和病理表型之间具有实验性联系</w:t>
      </w:r>
      <w:r>
        <w:rPr>
          <w:vertAlign w:val="superscript"/>
        </w:rPr>
        <w:t xml:space="preserve">[</w:t>
      </w:r>
      <w:hyperlink w:anchor="ref-961">
        <w:r>
          <w:rPr>
            <w:rStyle w:val="Hyperlink"/>
            <w:vertAlign w:val="superscript"/>
          </w:rPr>
          <w:t xml:space="preserve">961</w:t>
        </w:r>
      </w:hyperlink>
      <w:r>
        <w:rPr>
          <w:vertAlign w:val="superscript"/>
        </w:rPr>
        <w:t xml:space="preserve">]</w:t>
      </w:r>
      <w:r>
        <w:t xml:space="preserve">。这支持该模型中的宿主与微生物相互作用，尚不能据此把一般帕金森病归为单一菌群病因。患者的运动、饮食、用药和胃肠转运也会反向影响微生物环境。</w:t>
      </w:r>
    </w:p>
    <w:p>
      <w:pPr>
        <w:pStyle w:val="BodyText"/>
      </w:pPr>
      <w:r>
        <w:t xml:space="preserve">生酮饮食相关小鼠研究显示，特定实验中的抗惊厥作用可以依赖微生物及其代谢相互作用</w:t>
      </w:r>
      <w:r>
        <w:rPr>
          <w:vertAlign w:val="superscript"/>
        </w:rPr>
        <w:t xml:space="preserve">[</w:t>
      </w:r>
      <w:hyperlink w:anchor="ref-138">
        <w:r>
          <w:rPr>
            <w:rStyle w:val="Hyperlink"/>
            <w:vertAlign w:val="superscript"/>
          </w:rPr>
          <w:t xml:space="preserve">138</w:t>
        </w:r>
      </w:hyperlink>
      <w:r>
        <w:rPr>
          <w:vertAlign w:val="superscript"/>
        </w:rPr>
        <w:t xml:space="preserve">]</w:t>
      </w:r>
      <w:r>
        <w:t xml:space="preserve">。这种结果把饮食机制从单一营养比例扩展到宿主微生物联合代谢，同时仍保留模型和饮食条件。它不能直接指定患者应自行采用某种饮食或菌制剂。</w:t>
      </w:r>
    </w:p>
    <w:bookmarkEnd w:id="1764"/>
    <w:bookmarkStart w:id="1765" w:name="sec-106-11"/>
    <w:p>
      <w:pPr>
        <w:pStyle w:val="Heading3"/>
      </w:pPr>
      <w:r>
        <w:t xml:space="preserve">106.11　转化需要明确实际被改变的环节</w:t>
      </w:r>
    </w:p>
    <w:p>
      <w:pPr>
        <w:pStyle w:val="FirstParagraph"/>
      </w:pPr>
      <w:r>
        <w:t xml:space="preserve">从一个候选菌到临床干预，需要确定可重复的菌株身份、稳定性、剂量、制剂和宿主适用条件。若预期作用由一种代谢物承担，还应确定实际产生量和相关暴露；若预期通过免疫路径，则需要测量适当组织与时间中的受体反应。菌种相同并不保证所有菌株携带相同功能。</w:t>
      </w:r>
    </w:p>
    <w:p>
      <w:pPr>
        <w:pStyle w:val="BodyText"/>
      </w:pPr>
      <w:r>
        <w:t xml:space="preserve">人体试验可以同时测量临床结局和候选机制，但机制指标变化与症状改善之间仍需要具体连接。既有抑郁辅助治疗小型试验及后续机制分析提供探索性信息，其规模、合并治疗和同队列关系需要保留</w:t>
      </w:r>
      <w:r>
        <w:rPr>
          <w:vertAlign w:val="superscript"/>
        </w:rPr>
        <w:t xml:space="preserve">[</w:t>
      </w:r>
      <w:hyperlink w:anchor="ref-948">
        <w:r>
          <w:rPr>
            <w:rStyle w:val="Hyperlink"/>
            <w:vertAlign w:val="superscript"/>
          </w:rPr>
          <w:t xml:space="preserve">948</w:t>
        </w:r>
      </w:hyperlink>
      <w:r>
        <w:rPr>
          <w:vertAlign w:val="superscript"/>
        </w:rPr>
        <w:t xml:space="preserve">,</w:t>
      </w:r>
      <w:hyperlink w:anchor="ref-949">
        <w:r>
          <w:rPr>
            <w:rStyle w:val="Hyperlink"/>
            <w:vertAlign w:val="superscript"/>
          </w:rPr>
          <w:t xml:space="preserve">949</w:t>
        </w:r>
      </w:hyperlink>
      <w:r>
        <w:rPr>
          <w:vertAlign w:val="superscript"/>
        </w:rPr>
        <w:t xml:space="preserve">]</w:t>
      </w:r>
      <w:r>
        <w:t xml:space="preserve">。对一种制剂观察到的结果不能自动推广到整个益生菌类别。</w:t>
      </w:r>
    </w:p>
    <w:p>
      <w:pPr>
        <w:pStyle w:val="BodyText"/>
      </w:pPr>
      <w:r>
        <w:t xml:space="preserve">本章的肠上皮感觉、内脏神经异质性和宿主微生物联合代谢具有较高置信度基础。某一细胞路径对动物表型的贡献，通常具有实验条件下的中高置信度。通过一般菌群检测准确诊断个人脑状态，或用未验证菌制剂普遍改善精神和神经疾病，目前缺少足够可靠证据。明确分子、细胞、区室和实际结局，能够让脑肠研究形成可检验的机制链。</w:t>
      </w:r>
    </w:p>
    <w:bookmarkEnd w:id="1765"/>
    <w:bookmarkEnd w:id="1766"/>
    <w:bookmarkEnd w:id="1767"/>
    <w:bookmarkStart w:id="1861" w:name="part-10"/>
    <w:p>
      <w:pPr>
        <w:pStyle w:val="Heading1"/>
      </w:pPr>
      <w:r>
        <w:t xml:space="preserve">第十编　正念冥想与大脑</w:t>
      </w:r>
    </w:p>
    <w:p>
      <w:pPr>
        <w:pStyle w:val="PartIntro"/>
      </w:pPr>
      <w:r>
        <w:t xml:space="preserve">这一编集中讨论正念冥想：它是什么、怎样研究，冥想研究在各个脑区、网络、分子指标、身体生理和脑电上实际看到了什么，“八周冥想重塑大脑”怎样兴起又怎样被修正，标准化课程在临床和日常结局上的真实效果与风险，以及冥想传统与神经科学怎样对接。本编各章的一般性背景（这些脑区、递质和身体通路本身做什么）分别见</w:t>
      </w:r>
      <w:hyperlink w:anchor="part-8">
        <w:r>
          <w:rPr>
            <w:rStyle w:val="Hyperlink"/>
          </w:rPr>
          <w:t xml:space="preserve">第八编</w:t>
        </w:r>
      </w:hyperlink>
      <w:r>
        <w:t xml:space="preserve">和</w:t>
      </w:r>
      <w:hyperlink w:anchor="part-9">
        <w:r>
          <w:rPr>
            <w:rStyle w:val="Hyperlink"/>
          </w:rPr>
          <w:t xml:space="preserve">第九编</w:t>
        </w:r>
      </w:hyperlink>
      <w:r>
        <w:t xml:space="preserve">，读到冥想发现时可以对照查看。</w:t>
      </w:r>
    </w:p>
    <w:bookmarkStart w:id="1768" w:name="ch-107"/>
    <w:p>
      <w:pPr>
        <w:pStyle w:val="Heading2"/>
      </w:pPr>
      <w:r>
        <w:t xml:space="preserve">第107章　本编要点</w:t>
      </w:r>
    </w:p>
    <w:p>
      <w:pPr>
        <w:pStyle w:val="FirstParagraph"/>
      </w:pPr>
      <w:r>
        <w:rPr>
          <w:bCs/>
          <w:b/>
        </w:rPr>
        <w:t xml:space="preserve">第一，冥想对大脑的影响，研究数量较多的是练习时的状态变化和网络之间协作方式的改变，可重复性和机制都还没有确定。</w:t>
      </w:r>
      <w:r>
        <w:t xml:space="preserve">“冥想时默认网络部分节点活动降低”</w:t>
      </w:r>
      <w:r>
        <w:rPr>
          <w:bCs/>
          <w:b/>
        </w:rPr>
        <w:t xml:space="preserve">部分成立·中</w:t>
      </w:r>
      <w:r>
        <w:t xml:space="preserve">，主要来自资深练习者在练习中的对比，具体模式取决于练习类型；“训练后默认网络与控制网络的静息耦合增强”</w:t>
      </w:r>
      <w:r>
        <w:rPr>
          <w:bCs/>
          <w:b/>
        </w:rPr>
        <w:t xml:space="preserve">部分成立·低</w:t>
      </w:r>
      <w:r>
        <w:t xml:space="preserve">，效应小，有研究在约五个半月后的随访中没有检出同样显著的组间差异，也不能当作所有练习的共同特征。节点活动、网络内连接、网络间连接和行为功能是不同的指标。“冥想关闭默认网络”“冥想关闭杏仁核”</w:t>
      </w:r>
      <w:r>
        <w:rPr>
          <w:bCs/>
          <w:b/>
        </w:rPr>
        <w:t xml:space="preserve">错误·高</w:t>
      </w:r>
      <w:r>
        <w:t xml:space="preserve">，都是对这些发现的过度引申。</w:t>
      </w:r>
    </w:p>
    <w:p>
      <w:pPr>
        <w:pStyle w:val="BodyText"/>
      </w:pPr>
      <w:r>
        <w:rPr>
          <w:bCs/>
          <w:b/>
        </w:rPr>
        <w:t xml:space="preserve">第二，“八周冥想重塑大脑结构”没有通过严格检验。</w:t>
      </w:r>
      <w:r>
        <w:t xml:space="preserve">早期研究报告的灰质增加、杏仁核缩小，在 2022 年设有主动对照、最终 218 人进入影像分析的随机试验中没有出现；两项 18 个月的老年人随机试验也没有带来预期的结构变化，其中一项在海马上看到的组间差异方向与假设相反；一篇宣称随机试验带来结构变化的元分析，因排除了占全部受试者四成的四项阴性研究，已于 2025 年撤稿。撤稿说明那篇综合分析不可靠；效应是否为零，要看原始研究。“常规的八周课程在健康初学者中普遍带来明显的宏观灰质增长”，判断为</w:t>
      </w:r>
      <w:r>
        <w:rPr>
          <w:bCs/>
          <w:b/>
        </w:rPr>
        <w:t xml:space="preserve">已被推翻·高</w:t>
      </w:r>
      <w:r>
        <w:t xml:space="preserve">：大样本随机试验的估计排除了早期报告的那种幅度。特定人群、特定亚区或其他训练模块中的变化，例如童年逆境人群的一项小型试验和德国“资源计划”同一队列的新分析报告的局部变化，有待独立重复，判断为</w:t>
      </w:r>
      <w:r>
        <w:rPr>
          <w:bCs/>
          <w:b/>
        </w:rPr>
        <w:t xml:space="preserve">证据不足·低</w:t>
      </w:r>
      <w:r>
        <w:t xml:space="preserve">；更小的效应，现有研究也还排除不了。长期练习者与常人之间报告过的结构差异</w:t>
      </w:r>
      <w:r>
        <w:rPr>
          <w:bCs/>
          <w:b/>
        </w:rPr>
        <w:t xml:space="preserve">部分成立·低</w:t>
      </w:r>
      <w:r>
        <w:t xml:space="preserve">；这些差异是否由冥想造成，目前无法与自我选择区分开，判断为</w:t>
      </w:r>
      <w:r>
        <w:rPr>
          <w:bCs/>
          <w:b/>
        </w:rPr>
        <w:t xml:space="preserve">证据不足·低</w:t>
      </w:r>
      <w:r>
        <w:t xml:space="preserve">。</w:t>
      </w:r>
    </w:p>
    <w:p>
      <w:pPr>
        <w:pStyle w:val="BodyText"/>
      </w:pPr>
      <w:r>
        <w:rPr>
          <w:bCs/>
          <w:b/>
        </w:rPr>
        <w:t xml:space="preserve">第三，冥想相关的“化学说法”大多缺乏可靠的人体直接证据。</w:t>
      </w:r>
      <w:r>
        <w:t xml:space="preserve">脑内释放的直接测量、外周生物标志物的变化、临床症状的变化和“某种分子介导了疗效”是四个不同的问题。在冥想进行中用竞争性配体的正电子发射断层扫描推算递质释放的研究，本书检索范围内只有一项，受试者 8 人；测血流、代谢或受体的成像回答的是别的问题。各种流行说法证据不足的程度并不相同：“冥想让多巴胺增加 65%”“冥想提升大脑血清素”“冥想促进神经新生”</w:t>
      </w:r>
      <w:r>
        <w:rPr>
          <w:bCs/>
          <w:b/>
        </w:rPr>
        <w:t xml:space="preserve">证据不足·高</w:t>
      </w:r>
      <w:r>
        <w:t xml:space="preserve">；“慈心冥想提升催产素”“冥想提升 GABA，所以抗焦虑”“冥想提升 BDNF”“冥想延长端粒、延缓衰老”</w:t>
      </w:r>
      <w:r>
        <w:rPr>
          <w:bCs/>
          <w:b/>
        </w:rPr>
        <w:t xml:space="preserve">证据不足·中</w:t>
      </w:r>
      <w:r>
        <w:t xml:space="preserve">；“冥想通过释放内啡肽止痛”</w:t>
      </w:r>
      <w:r>
        <w:rPr>
          <w:bCs/>
          <w:b/>
        </w:rPr>
        <w:t xml:space="preserve">过度简化·中</w:t>
      </w:r>
      <w:r>
        <w:t xml:space="preserve">。相对一致的生理变化与呼吸、自主神经和部分应激指标有关，幅度都不大，“冥想降低皮质醇”</w:t>
      </w:r>
      <w:r>
        <w:rPr>
          <w:bCs/>
          <w:b/>
        </w:rPr>
        <w:t xml:space="preserve">部分成立·中</w:t>
      </w:r>
      <w:r>
        <w:t xml:space="preserve">。</w:t>
      </w:r>
    </w:p>
    <w:p>
      <w:pPr>
        <w:pStyle w:val="BodyText"/>
      </w:pPr>
      <w:r>
        <w:rPr>
          <w:bCs/>
          <w:b/>
        </w:rPr>
        <w:t xml:space="preserve">第四，标准化的正念课程有真实而有限的效果，大小取决于和什么比、对谁、看哪个结局。</w:t>
      </w:r>
      <w:r>
        <w:t xml:space="preserve">在精神障碍人群的试验中，与没有新增专门干预的对照相比效应量约 0.5，与没有特定治疗原理的主动对照和其他疗法相比约 0.2 到 0.35，与认知行为疗法、抗抑郁药等循证治疗相比，汇总的平均差异接近零，这表示没有检出优势，也没有正式证明等效，个别直接比较中出现过小幅的优势；这几个数字来自不同的研究组合，不能依次相减。“标准化正念课程相对候补或常规照护，能减轻部分成人的焦虑和抑郁症状”</w:t>
      </w:r>
      <w:r>
        <w:rPr>
          <w:bCs/>
          <w:b/>
        </w:rPr>
        <w:t xml:space="preserve">成立·高</w:t>
      </w:r>
      <w:r>
        <w:t xml:space="preserve">，效应小到中等。其中证据最好的是“正念认知疗法能降低缓解期患者的抑郁复发风险”</w:t>
      </w:r>
      <w:r>
        <w:rPr>
          <w:bCs/>
          <w:b/>
        </w:rPr>
        <w:t xml:space="preserve">成立·高</w:t>
      </w:r>
      <w:r>
        <w:t xml:space="preserve">；“学过正念认知疗法就可以安全停药”</w:t>
      </w:r>
      <w:r>
        <w:rPr>
          <w:bCs/>
          <w:b/>
        </w:rPr>
        <w:t xml:space="preserve">错误·中</w:t>
      </w:r>
      <w:r>
        <w:t xml:space="preserve">，直接比较的试验中减停组复发更多。“正念认知疗法能改善治疗后仍未缓解的抑郁”</w:t>
      </w:r>
      <w:r>
        <w:rPr>
          <w:bCs/>
          <w:b/>
        </w:rPr>
        <w:t xml:space="preserve">部分成立·中</w:t>
      </w:r>
      <w:r>
        <w:t xml:space="preserve">：近年的试验支持把它加在常规治疗之上，证据确定性为中等，与其他主动治疗相比没有检出优势。“正念减压对焦虑障碍的效果不逊于一线药物”</w:t>
      </w:r>
      <w:r>
        <w:rPr>
          <w:bCs/>
          <w:b/>
        </w:rPr>
        <w:t xml:space="preserve">部分成立·中</w:t>
      </w:r>
      <w:r>
        <w:t xml:space="preserve">：线下课程在一项试验中达到非劣效，同一研究的远程阶段没有建立非劣效。“正念课程能减轻非临床成人的心理困扰”</w:t>
      </w:r>
      <w:r>
        <w:rPr>
          <w:bCs/>
          <w:b/>
        </w:rPr>
        <w:t xml:space="preserve">成立·高</w:t>
      </w:r>
      <w:r>
        <w:t xml:space="preserve">：对自愿报名的人，相对不干预约减轻 0.3 个标准差。“英国这套十节课的校园普及正念课程能降低青少年的抑郁风险”</w:t>
      </w:r>
      <w:r>
        <w:rPr>
          <w:bCs/>
          <w:b/>
        </w:rPr>
        <w:t xml:space="preserve">不成立·高</w:t>
      </w:r>
      <w:r>
        <w:t xml:space="preserve">，结论限于这套方案和它的风险量表结局；“正念手机应用对所研究的自愿用户有小幅帮助”</w:t>
      </w:r>
      <w:r>
        <w:rPr>
          <w:bCs/>
          <w:b/>
        </w:rPr>
        <w:t xml:space="preserve">部分成立·中</w:t>
      </w:r>
      <w:r>
        <w:t xml:space="preserve">：效果小而短期，与主动的治疗性对照相比不再显著。</w:t>
      </w:r>
    </w:p>
    <w:p>
      <w:pPr>
        <w:pStyle w:val="BodyText"/>
      </w:pPr>
      <w:r>
        <w:rPr>
          <w:bCs/>
          <w:b/>
        </w:rPr>
        <w:t xml:space="preserve">第五，冥想有风险，具体有多大，取决于练法、练习量、人群、时间窗和询问方法。</w:t>
      </w:r>
      <w:r>
        <w:t xml:space="preserve">83 项研究合并的不良事件报告比例约 8%，主动逐项询问时更高；这个比例混合了不同的设计和定义，不能读成每个人参加一次课程的风险。持续并影响功能的情况，各研究按不同的定义和分母统计：一项逐项询问的课程研究中，持续超过一天、一周和一个月的不良影响分别约 14%、9% 和 6%；一项美国人群调查中，功能受损持续一个月以上约 1.2%；这些数字不能合成一个通用的风险范围。有创伤史、只做解构类练习或参加过静修的人报告不良体验更多，这些多是横断面关联；精神病性障碍史和高强度静修的风险，目前主要由个案报告提示。正念认知疗法复发预防试验的汇总分析没有显示所测抑郁症状恶化增加，这覆盖不了全部体验和全部练法。负责任的课程应让学员知情选择、主动询问不适、允许随时暂停，并提供转介途径；出现持续失眠、惊恐、明显的不真实感或功能下降，应暂停当前强度并尽快找人评估；出现幻觉或现实检验受损，睡眠需求明显减少而精力和行为异常升高，或自杀、自伤的风险，需要及时就医。“冥想对所有人都安全”</w:t>
      </w:r>
      <w:r>
        <w:rPr>
          <w:bCs/>
          <w:b/>
        </w:rPr>
        <w:t xml:space="preserve">错误·高</w:t>
      </w:r>
      <w:r>
        <w:t xml:space="preserve">；“冥想存在不良反应的风险”</w:t>
      </w:r>
      <w:r>
        <w:rPr>
          <w:bCs/>
          <w:b/>
        </w:rPr>
        <w:t xml:space="preserve">成立·高</w:t>
      </w:r>
      <w:r>
        <w:t xml:space="preserve">，单个人的绝对风险还无法由这些平均数预测。</w:t>
      </w:r>
    </w:p>
    <w:p>
      <w:pPr>
        <w:pStyle w:val="BodyText"/>
      </w:pPr>
      <w:r>
        <w:rPr>
          <w:bCs/>
          <w:b/>
        </w:rPr>
        <w:t xml:space="preserve">第六，现代“正念”只覆盖了传统 sati 的一部分，两者之间还有多方向的借用和重新诠释。</w:t>
      </w:r>
      <w:r>
        <w:t xml:space="preserve">“正念就是佛教的 sati”</w:t>
      </w:r>
      <w:r>
        <w:rPr>
          <w:bCs/>
          <w:b/>
        </w:rPr>
        <w:t xml:space="preserve">部分成立·高</w:t>
      </w:r>
      <w:r>
        <w:t xml:space="preserve">。脑科学可以检验其中明确操作化的体验、行为和生理命题。“无我”“开悟”这类修行与哲学命题的终极含义，需要别的论证；高阶冥想研究目前以密集个案为主，同一个人的大量记录时间点替代不了独立受试者的数量，相关的群体研究还停留在预印本阶段。</w:t>
      </w:r>
    </w:p>
    <w:bookmarkEnd w:id="1768"/>
    <w:bookmarkStart w:id="1773" w:name="ch-108"/>
    <w:p>
      <w:pPr>
        <w:pStyle w:val="Heading2"/>
      </w:pPr>
      <w:r>
        <w:t xml:space="preserve">第108章　冥想是什么，怎样研究它</w:t>
      </w:r>
    </w:p>
    <w:bookmarkStart w:id="1769" w:name="sec-108-1"/>
    <w:p>
      <w:pPr>
        <w:pStyle w:val="Heading3"/>
      </w:pPr>
      <w:r>
        <w:t xml:space="preserve">108.1　本编所说的“正念冥想”</w:t>
      </w:r>
    </w:p>
    <w:p>
      <w:pPr>
        <w:pStyle w:val="FirstParagraph"/>
      </w:pPr>
      <w:r>
        <w:t xml:space="preserve">“正念冥想”在本书中泛指四类对象：具体的心理练习技术，传统修行体系，以正念减压（MBSR）和正念认知疗法（MBCT）为代表的结构化临床课程，以及商业应用。某个结论只适用于某一类对象时，正文会写明。正文尽量注明每项研究的对象人群；没有注明时，多为健康成年人或轻中度症状人群。</w:t>
      </w:r>
    </w:p>
    <w:bookmarkEnd w:id="1769"/>
    <w:bookmarkStart w:id="1770" w:name="sec-108-2"/>
    <w:p>
      <w:pPr>
        <w:pStyle w:val="Heading3"/>
      </w:pPr>
      <w:r>
        <w:t xml:space="preserve">108.2　“冥想”是一大类彼此不同的练习</w:t>
      </w:r>
    </w:p>
    <w:p>
      <w:pPr>
        <w:pStyle w:val="FirstParagraph"/>
      </w:pPr>
      <w:r>
        <w:t xml:space="preserve">专注于某个对象（例如呼吸）的练习、对一切经验开放觉察的练习、培养慈心与悲心的练习、观察“自我感”如何被构造出来的练习，训练的是不同的心理功能，脑活动模式也不一样</w:t>
      </w:r>
      <w:r>
        <w:rPr>
          <w:vertAlign w:val="superscript"/>
        </w:rPr>
        <w:t xml:space="preserve">[</w:t>
      </w:r>
      <w:hyperlink w:anchor="ref-962">
        <w:r>
          <w:rPr>
            <w:rStyle w:val="Hyperlink"/>
            <w:vertAlign w:val="superscript"/>
          </w:rPr>
          <w:t xml:space="preserve">962</w:t>
        </w:r>
      </w:hyperlink>
      <w:r>
        <w:rPr>
          <w:vertAlign w:val="superscript"/>
        </w:rPr>
        <w:t xml:space="preserve">,</w:t>
      </w:r>
      <w:hyperlink w:anchor="ref-963">
        <w:r>
          <w:rPr>
            <w:rStyle w:val="Hyperlink"/>
            <w:vertAlign w:val="superscript"/>
          </w:rPr>
          <w:t xml:space="preserve">963</w:t>
        </w:r>
      </w:hyperlink>
      <w:r>
        <w:rPr>
          <w:vertAlign w:val="superscript"/>
        </w:rPr>
        <w:t xml:space="preserve">,</w:t>
      </w:r>
      <w:hyperlink w:anchor="ref-964">
        <w:r>
          <w:rPr>
            <w:rStyle w:val="Hyperlink"/>
            <w:vertAlign w:val="superscript"/>
          </w:rPr>
          <w:t xml:space="preserve">964</w:t>
        </w:r>
      </w:hyperlink>
      <w:r>
        <w:rPr>
          <w:vertAlign w:val="superscript"/>
        </w:rPr>
        <w:t xml:space="preserve">]</w:t>
      </w:r>
      <w:r>
        <w:t xml:space="preserve">。一项研究请一百名有经验的冥想者为二十种常见技术两两评定相似度，得到七个类别，作者的结论是，并不存在单一的“冥想”</w:t>
      </w:r>
      <w:r>
        <w:rPr>
          <w:vertAlign w:val="superscript"/>
        </w:rPr>
        <w:t xml:space="preserve">[</w:t>
      </w:r>
      <w:hyperlink w:anchor="ref-965">
        <w:r>
          <w:rPr>
            <w:rStyle w:val="Hyperlink"/>
            <w:vertAlign w:val="superscript"/>
          </w:rPr>
          <w:t xml:space="preserve">965</w:t>
        </w:r>
      </w:hyperlink>
      <w:r>
        <w:rPr>
          <w:vertAlign w:val="superscript"/>
        </w:rPr>
        <w:t xml:space="preserve">]</w:t>
      </w:r>
      <w:r>
        <w:t xml:space="preserve">。正念减压与正念认知疗法（MBCT）则是混合课程，包含身体扫描、静坐、温和瑜伽、团体讨论和心理教育。</w:t>
      </w:r>
    </w:p>
    <w:p>
      <w:pPr>
        <w:pStyle w:val="BodyText"/>
      </w:pPr>
      <w:r>
        <w:t xml:space="preserve">同一种练习名称下，练习对象、注意范围、用力程度、情绪目标、语言成分、身体动作、呼吸指令、睁眼还是闭眼都可能不同，专注与开放觉察还常在一次练习中交替出现；参与者对技术相似度的评定，也不能代替临床或神经机制上的分类。所以，“冥想对大脑有什么作用”这个问题需要先补全四个条件：哪类练习，练了多少小时，练习者的经验水平，测量时是在冥想中，还是在训练后的静息时段。前者是练习期间的状态效应；后者常被称作特质效应，但课程刚结束几分钟的静息扫描可能混有状态残留、疲劳、呼吸和期待的影响，要称得上稳定的特质，还需要时间上的分离、反复测量和日常环境中的迁移证据。缺了这些条件的结论，适用范围就不清楚。</w:t>
      </w:r>
    </w:p>
    <w:bookmarkEnd w:id="1770"/>
    <w:bookmarkStart w:id="1771" w:name="sec-108-3"/>
    <w:p>
      <w:pPr>
        <w:pStyle w:val="Heading3"/>
      </w:pPr>
      <w:r>
        <w:t xml:space="preserve">108.3　冥想研究在设计上的特殊难处</w:t>
      </w:r>
    </w:p>
    <w:p>
      <w:pPr>
        <w:pStyle w:val="FirstParagraph"/>
      </w:pPr>
      <w:r>
        <w:t xml:space="preserve">冥想研究里常用的一种主动对照叫“健康促进项目”（HEP），它在课时、讲师投入、团体活动和居家练习量上与正念减压课程（MBSR）匹配，只是不含正念训练成分</w:t>
      </w:r>
      <w:r>
        <w:rPr>
          <w:vertAlign w:val="superscript"/>
        </w:rPr>
        <w:t xml:space="preserve">[</w:t>
      </w:r>
      <w:hyperlink w:anchor="ref-966">
        <w:r>
          <w:rPr>
            <w:rStyle w:val="Hyperlink"/>
            <w:vertAlign w:val="superscript"/>
          </w:rPr>
          <w:t xml:space="preserve">966</w:t>
        </w:r>
      </w:hyperlink>
      <w:r>
        <w:rPr>
          <w:vertAlign w:val="superscript"/>
        </w:rPr>
        <w:t xml:space="preserve">]</w:t>
      </w:r>
      <w:r>
        <w:t xml:space="preserve">。冥想研究还有自己的难处：参与者知道自己在练什么，参与者和教师通常无法对课程内容设盲，因此需要匹配良好的对照，并测量参与者对效果的期待</w:t>
      </w:r>
      <w:r>
        <w:rPr>
          <w:vertAlign w:val="superscript"/>
        </w:rPr>
        <w:t xml:space="preserve">[</w:t>
      </w:r>
      <w:hyperlink w:anchor="ref-967">
        <w:r>
          <w:rPr>
            <w:rStyle w:val="Hyperlink"/>
            <w:vertAlign w:val="superscript"/>
          </w:rPr>
          <w:t xml:space="preserve">967</w:t>
        </w:r>
      </w:hyperlink>
      <w:r>
        <w:rPr>
          <w:vertAlign w:val="superscript"/>
        </w:rPr>
        <w:t xml:space="preserve">]</w:t>
      </w:r>
      <w:r>
        <w:t xml:space="preserve">；结果评估者、数据分析者和某些药物挑战（例如纳洛酮与生理盐水的比较）可以设盲。期待如果在第一次课之后才测，可能已经受到早期改善的影响，不能机械地当作基线混杂因素。实验室研究还常用“假冥想”对照：同样静坐、闭眼、听引导，引导语只要求做深呼吸，不教正念的觉察与接纳，用来分离坐姿、放松预期和呼吸变慢的作用</w:t>
      </w:r>
      <w:r>
        <w:rPr>
          <w:vertAlign w:val="superscript"/>
        </w:rPr>
        <w:t xml:space="preserve">[</w:t>
      </w:r>
      <w:hyperlink w:anchor="ref-968">
        <w:r>
          <w:rPr>
            <w:rStyle w:val="Hyperlink"/>
            <w:vertAlign w:val="superscript"/>
          </w:rPr>
          <w:t xml:space="preserve">968</w:t>
        </w:r>
      </w:hyperlink>
      <w:r>
        <w:rPr>
          <w:vertAlign w:val="superscript"/>
        </w:rPr>
        <w:t xml:space="preserve">]</w:t>
      </w:r>
      <w:r>
        <w:t xml:space="preserve">。假冥想本身也不是惰性的，深呼吸、静坐和安慰性的说明都可能改变症状和生理，比较结果估计的是两个具体程序之间的差异。</w:t>
      </w:r>
      <w:hyperlink w:anchor="ch-116">
        <w:r>
          <w:rPr>
            <w:rStyle w:val="Hyperlink"/>
          </w:rPr>
          <w:t xml:space="preserve">第116章</w:t>
        </w:r>
      </w:hyperlink>
      <w:r>
        <w:t xml:space="preserve">会讲到，2022 年一项把正念减压与健康促进项目这类主动对照、候补对照同时比较的大样本研究，检验了“八周冥想改变大脑结构”这一说法，结果没有发现结构变化</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w:t>
      </w:r>
    </w:p>
    <w:p>
      <w:pPr>
        <w:pStyle w:val="BodyText"/>
      </w:pPr>
      <w:r>
        <w:t xml:space="preserve">研究应说明参与者是否有既往经验，练习频率与时长如何记录，教师训练怎样，退出者发生了什么。只分析完成者可能高估收益，因为不适合、无效或出现负担的人更容易退出。依从性本身也可能反映动机和资源，不能简单把高依从者的好结果归为剂量因果。</w:t>
      </w:r>
    </w:p>
    <w:bookmarkEnd w:id="1771"/>
    <w:bookmarkStart w:id="1772" w:name="sec-108-4"/>
    <w:p>
      <w:pPr>
        <w:pStyle w:val="Heading3"/>
      </w:pPr>
      <w:r>
        <w:t xml:space="preserve">108.4　研究者与市场的立场</w:t>
      </w:r>
    </w:p>
    <w:p>
      <w:pPr>
        <w:pStyle w:val="FirstParagraph"/>
      </w:pPr>
      <w:r>
        <w:t xml:space="preserve">冥想研究还有自己的偏差来源。许多研究者本人是长期练习者或课程开发者，媒体偏爱“大脑重塑”这类标题，应用程序和培训市场也需要神经科学背书</w:t>
      </w:r>
      <w:r>
        <w:rPr>
          <w:vertAlign w:val="superscript"/>
        </w:rPr>
        <w:t xml:space="preserve">[</w:t>
      </w:r>
      <w:hyperlink w:anchor="ref-970">
        <w:r>
          <w:rPr>
            <w:rStyle w:val="Hyperlink"/>
            <w:vertAlign w:val="superscript"/>
          </w:rPr>
          <w:t xml:space="preserve">970</w:t>
        </w:r>
      </w:hyperlink>
      <w:r>
        <w:rPr>
          <w:vertAlign w:val="superscript"/>
        </w:rPr>
        <w:t xml:space="preserve">]</w:t>
      </w:r>
      <w:r>
        <w:t xml:space="preserve">。评估这些利益关系的一般方法见</w:t>
      </w:r>
      <w:r>
        <w:t xml:space="preserve"> </w:t>
      </w:r>
      <w:hyperlink w:anchor="sec-55-5">
        <w:r>
          <w:rPr>
            <w:rStyle w:val="Hyperlink"/>
          </w:rPr>
          <w:t xml:space="preserve">55.5</w:t>
        </w:r>
      </w:hyperlink>
      <w:r>
        <w:t xml:space="preserve">：它们不足以否定某一项具体研究。它们提高了正面结论在被采信之前需要满足的复现要求。</w:t>
      </w:r>
    </w:p>
    <w:bookmarkEnd w:id="1772"/>
    <w:bookmarkEnd w:id="1773"/>
    <w:bookmarkStart w:id="1780" w:name="ch-109"/>
    <w:p>
      <w:pPr>
        <w:pStyle w:val="Heading2"/>
      </w:pPr>
      <w:r>
        <w:t xml:space="preserve">第109章　冥想相关说法速查表</w:t>
      </w:r>
    </w:p>
    <w:p>
      <w:pPr>
        <w:pStyle w:val="FirstParagraph"/>
      </w:pPr>
      <w:r>
        <w:t xml:space="preserve">本章把冥想研究涉及的对比信息集中成六张表：脑区，递质与分子，网络与脑电，冥想相关的流行说法与数字，临床与行为结局，常被引用的研究。判断标签与置信度的含义见</w:t>
      </w:r>
      <w:hyperlink w:anchor="tab-labels">
        <w:r>
          <w:rPr>
            <w:rStyle w:val="Hyperlink"/>
          </w:rPr>
          <w:t xml:space="preserve">表 1</w:t>
        </w:r>
      </w:hyperlink>
      <w:r>
        <w:t xml:space="preserve">；每个标签只针对表中写明的那条说法，适用的人群、练习和比较对象以正文为准。前五张表每行第一格的“见”后面是展开讨论的章节号，依据、来源和限制都在那里展开并标注引用，表中不再重复引用；最后一张表直接列出原始研究。各结构的大致位置见</w:t>
      </w:r>
      <w:hyperlink w:anchor="fig-cortex">
        <w:r>
          <w:rPr>
            <w:rStyle w:val="Hyperlink"/>
          </w:rPr>
          <w:t xml:space="preserve">图 13</w:t>
        </w:r>
      </w:hyperlink>
      <w:r>
        <w:t xml:space="preserve">和</w:t>
      </w:r>
      <w:hyperlink w:anchor="fig-deep">
        <w:r>
          <w:rPr>
            <w:rStyle w:val="Hyperlink"/>
          </w:rPr>
          <w:t xml:space="preserve">图 14</w:t>
        </w:r>
      </w:hyperlink>
      <w:r>
        <w:t xml:space="preserve">。与冥想无关的常见误解，汇总在</w:t>
      </w:r>
      <w:hyperlink w:anchor="ch-70">
        <w:r>
          <w:rPr>
            <w:rStyle w:val="Hyperlink"/>
          </w:rPr>
          <w:t xml:space="preserve">第70章</w:t>
        </w:r>
      </w:hyperlink>
      <w:r>
        <w:t xml:space="preserve">的速查总表中。</w:t>
      </w:r>
    </w:p>
    <w:p>
      <w:pPr>
        <w:pStyle w:val="TableCaption"/>
      </w:pPr>
      <w:bookmarkStart w:id="1774" w:name="tab-med-regions"/>
      <w:bookmarkEnd w:id="1774"/>
      <w:r>
        <w:rPr>
          <w:bCs/>
          <w:b/>
        </w:rPr>
        <w:t xml:space="preserve">表 25　常被提及的脑区：作用、说法与证据</w:t>
      </w:r>
    </w:p>
    <w:tbl>
      <w:tblPr>
        <w:tblStyle w:val="Table"/>
        <w:tblW w:type="pct" w:w="5000"/>
        <w:jc w:val="start"/>
        <w:tblLook w:firstRow="1" w:lastRow="0" w:firstColumn="0" w:lastColumn="0" w:noHBand="0" w:noVBand="0" w:val="0020"/>
      </w:tblPr>
      <w:tblGrid>
        <w:gridCol w:w="1108"/>
        <w:gridCol w:w="1900"/>
        <w:gridCol w:w="1425"/>
        <w:gridCol w:w="2377"/>
        <w:gridCol w:w="1108"/>
      </w:tblGrid>
      <w:tr>
        <w:trPr>
          <w:tblHeader w:val="true"/>
        </w:trPr>
        <w:tc>
          <w:tcPr>
            <w:shd w:val="clear" w:color="auto" w:fill="1F3A5F"/>
          </w:tcPr>
          <w:p>
            <w:pPr>
              <w:pStyle w:val="Compact"/>
              <w:jc w:val="left"/>
            </w:pPr>
            <w:r>
              <w:rPr>
                <w:bCs/>
                <w:b/>
                <w:color w:val="FFFFFF"/>
              </w:rPr>
              <w:t xml:space="preserve">结构</w:t>
            </w:r>
          </w:p>
        </w:tc>
        <w:tc>
          <w:tcPr>
            <w:shd w:val="clear" w:color="auto" w:fill="1F3A5F"/>
          </w:tcPr>
          <w:p>
            <w:pPr>
              <w:pStyle w:val="Compact"/>
              <w:jc w:val="left"/>
            </w:pPr>
            <w:r>
              <w:rPr>
                <w:bCs/>
                <w:b/>
                <w:color w:val="FFFFFF"/>
              </w:rPr>
              <w:t xml:space="preserve">主要做什么</w:t>
            </w:r>
          </w:p>
        </w:tc>
        <w:tc>
          <w:tcPr>
            <w:shd w:val="clear" w:color="auto" w:fill="1F3A5F"/>
          </w:tcPr>
          <w:p>
            <w:pPr>
              <w:pStyle w:val="Compact"/>
              <w:jc w:val="left"/>
            </w:pPr>
            <w:r>
              <w:rPr>
                <w:bCs/>
                <w:b/>
                <w:color w:val="FFFFFF"/>
              </w:rPr>
              <w:t xml:space="preserve">常见说法</w:t>
            </w:r>
          </w:p>
        </w:tc>
        <w:tc>
          <w:tcPr>
            <w:shd w:val="clear" w:color="auto" w:fill="1F3A5F"/>
          </w:tcPr>
          <w:p>
            <w:pPr>
              <w:pStyle w:val="Compact"/>
              <w:jc w:val="left"/>
            </w:pPr>
            <w:r>
              <w:rPr>
                <w:bCs/>
                <w:b/>
                <w:color w:val="FFFFFF"/>
              </w:rPr>
              <w:t xml:space="preserve">证据实况</w:t>
            </w:r>
          </w:p>
        </w:tc>
        <w:tc>
          <w:tcPr>
            <w:shd w:val="clear" w:color="auto" w:fill="1F3A5F"/>
          </w:tcPr>
          <w:p>
            <w:pPr>
              <w:pStyle w:val="Compact"/>
              <w:jc w:val="left"/>
            </w:pPr>
            <w:r>
              <w:rPr>
                <w:bCs/>
                <w:b/>
                <w:color w:val="FFFFFF"/>
              </w:rPr>
              <w:t xml:space="preserve">判断</w:t>
            </w:r>
          </w:p>
        </w:tc>
      </w:tr>
      <w:tr>
        <w:tc>
          <w:tcPr/>
          <w:p>
            <w:pPr>
              <w:pStyle w:val="Compact"/>
              <w:jc w:val="left"/>
            </w:pPr>
            <w:r>
              <w:rPr>
                <w:bCs/>
                <w:b/>
              </w:rPr>
              <w:t xml:space="preserve">杏仁核</w:t>
            </w:r>
          </w:p>
          <w:p>
            <w:pPr>
              <w:pStyle w:val="Compact"/>
              <w:jc w:val="left"/>
            </w:pPr>
            <w:r>
              <w:rPr>
                <w:bCs/>
                <w:b/>
              </w:rPr>
              <w:t xml:space="preserve">见</w:t>
            </w:r>
            <w:r>
              <w:rPr>
                <w:bCs/>
                <w:b/>
              </w:rPr>
              <w:t xml:space="preserve"> </w:t>
            </w:r>
            <w:hyperlink w:anchor="sec-87-1">
              <w:r>
                <w:rPr>
                  <w:rStyle w:val="Hyperlink"/>
                  <w:bCs/>
                  <w:b/>
                </w:rPr>
                <w:t xml:space="preserve">87.1</w:t>
              </w:r>
            </w:hyperlink>
            <w:r>
              <w:rPr>
                <w:bCs/>
                <w:b/>
              </w:rPr>
              <w:t xml:space="preserve">、</w:t>
            </w:r>
            <w:hyperlink w:anchor="sec-110-1">
              <w:r>
                <w:rPr>
                  <w:rStyle w:val="Hyperlink"/>
                  <w:bCs/>
                  <w:b/>
                </w:rPr>
                <w:t xml:space="preserve">110.1</w:t>
              </w:r>
            </w:hyperlink>
          </w:p>
        </w:tc>
        <w:tc>
          <w:tcPr/>
          <w:p>
            <w:pPr>
              <w:pStyle w:val="Compact"/>
              <w:jc w:val="left"/>
            </w:pPr>
            <w:r>
              <w:t xml:space="preserve">探测与自己相关、需要注意的信号（威胁、奖赏、新奇），参与情绪学习、价值编码和社会信息加工</w:t>
            </w:r>
          </w:p>
        </w:tc>
        <w:tc>
          <w:tcPr/>
          <w:p>
            <w:pPr>
              <w:pStyle w:val="Compact"/>
              <w:jc w:val="left"/>
            </w:pPr>
            <w:r>
              <w:t xml:space="preserve">“恐惧中枢”；“冥想让杏仁核缩小、反应降低”</w:t>
            </w:r>
          </w:p>
        </w:tc>
        <w:tc>
          <w:tcPr/>
          <w:p>
            <w:pPr>
              <w:pStyle w:val="Compact"/>
              <w:jc w:val="left"/>
            </w:pPr>
            <w:r>
              <w:t xml:space="preserve">双侧损毁者吸入二氧化碳仍会惊恐发作，条件化的恐惧学习则以它为关键环节；“缩小”的源头研究无对照、无整体变化，218 人进入影像分析的随机对照和一项童年逆境人群的小型随机试验都未见体积的组间差异，人群观察研究的结果随分组标准而变；训练后反应变化依情绪和练习类型而异，慈悲练习有时让反应增强</w:t>
            </w:r>
          </w:p>
        </w:tc>
        <w:tc>
          <w:tcPr/>
          <w:p>
            <w:pPr>
              <w:pStyle w:val="Compact"/>
              <w:jc w:val="left"/>
            </w:pPr>
            <w:r>
              <w:t xml:space="preserve">恐惧中枢：</w:t>
            </w:r>
            <w:r>
              <w:rPr>
                <w:bCs/>
                <w:b/>
              </w:rPr>
              <w:t xml:space="preserve">过度简化·高</w:t>
            </w:r>
          </w:p>
          <w:p>
            <w:pPr>
              <w:pStyle w:val="Compact"/>
              <w:jc w:val="left"/>
            </w:pPr>
            <w:r>
              <w:t xml:space="preserve">八周课程使之缩小：</w:t>
            </w:r>
            <w:r>
              <w:rPr>
                <w:bCs/>
                <w:b/>
              </w:rPr>
              <w:t xml:space="preserve">不成立·中</w:t>
            </w:r>
          </w:p>
          <w:p>
            <w:pPr>
              <w:pStyle w:val="Compact"/>
              <w:jc w:val="left"/>
            </w:pPr>
            <w:r>
              <w:t xml:space="preserve">反应降低：</w:t>
            </w:r>
            <w:r>
              <w:rPr>
                <w:bCs/>
                <w:b/>
              </w:rPr>
              <w:t xml:space="preserve">部分成立·低</w:t>
            </w:r>
          </w:p>
        </w:tc>
      </w:tr>
      <w:tr>
        <w:tc>
          <w:tcPr/>
          <w:p>
            <w:pPr>
              <w:pStyle w:val="Compact"/>
              <w:jc w:val="left"/>
            </w:pPr>
            <w:r>
              <w:rPr>
                <w:bCs/>
                <w:b/>
              </w:rPr>
              <w:t xml:space="preserve">前额叶（总称）</w:t>
            </w:r>
          </w:p>
          <w:p>
            <w:pPr>
              <w:pStyle w:val="Compact"/>
              <w:jc w:val="left"/>
            </w:pPr>
            <w:r>
              <w:rPr>
                <w:bCs/>
                <w:b/>
              </w:rPr>
              <w:t xml:space="preserve">见</w:t>
            </w:r>
            <w:r>
              <w:rPr>
                <w:bCs/>
                <w:b/>
              </w:rPr>
              <w:t xml:space="preserve"> </w:t>
            </w:r>
            <w:hyperlink w:anchor="sec-89-1">
              <w:r>
                <w:rPr>
                  <w:rStyle w:val="Hyperlink"/>
                  <w:bCs/>
                  <w:b/>
                </w:rPr>
                <w:t xml:space="preserve">89.1</w:t>
              </w:r>
            </w:hyperlink>
            <w:r>
              <w:rPr>
                <w:bCs/>
                <w:b/>
              </w:rPr>
              <w:t xml:space="preserve">、</w:t>
            </w:r>
            <w:hyperlink w:anchor="sec-110-2">
              <w:r>
                <w:rPr>
                  <w:rStyle w:val="Hyperlink"/>
                  <w:bCs/>
                  <w:b/>
                </w:rPr>
                <w:t xml:space="preserve">110.2</w:t>
              </w:r>
            </w:hyperlink>
          </w:p>
        </w:tc>
        <w:tc>
          <w:tcPr/>
          <w:p>
            <w:pPr>
              <w:pStyle w:val="Compact"/>
              <w:jc w:val="left"/>
            </w:pPr>
            <w:r>
              <w:t xml:space="preserve">一组分工不同的区域：维持目标、工作记忆、选择与抑制、价值计算、自我参照、抽象整合</w:t>
            </w:r>
          </w:p>
        </w:tc>
        <w:tc>
          <w:tcPr/>
          <w:p>
            <w:pPr>
              <w:pStyle w:val="Compact"/>
              <w:jc w:val="left"/>
            </w:pPr>
            <w:r>
              <w:t xml:space="preserve">“理性脑”“大脑的 CEO 和刹车”；“冥想让前额叶增厚”</w:t>
            </w:r>
          </w:p>
        </w:tc>
        <w:tc>
          <w:tcPr/>
          <w:p>
            <w:pPr>
              <w:pStyle w:val="Compact"/>
              <w:jc w:val="left"/>
            </w:pPr>
            <w:r>
              <w:t xml:space="preserve">多个分区本身深度参与情绪与价值；重评可能通过改变理解间接起作用；长期练习者在一些疼痛和情绪任务中前额叶参与更少，原因有待纵向研究区分；八周课程的大样本随机对照未见皮层厚度变化</w:t>
            </w:r>
          </w:p>
        </w:tc>
        <w:tc>
          <w:tcPr/>
          <w:p>
            <w:pPr>
              <w:pStyle w:val="Compact"/>
              <w:jc w:val="left"/>
            </w:pPr>
            <w:r>
              <w:t xml:space="preserve">理性脑：</w:t>
            </w:r>
            <w:r>
              <w:rPr>
                <w:bCs/>
                <w:b/>
              </w:rPr>
              <w:t xml:space="preserve">过度简化·高</w:t>
            </w:r>
          </w:p>
          <w:p>
            <w:pPr>
              <w:pStyle w:val="Compact"/>
              <w:jc w:val="left"/>
            </w:pPr>
            <w:r>
              <w:t xml:space="preserve">八周课程使之增厚：</w:t>
            </w:r>
            <w:r>
              <w:rPr>
                <w:bCs/>
                <w:b/>
              </w:rPr>
              <w:t xml:space="preserve">不成立·中</w:t>
            </w:r>
          </w:p>
        </w:tc>
      </w:tr>
      <w:tr>
        <w:tc>
          <w:tcPr/>
          <w:p>
            <w:pPr>
              <w:pStyle w:val="Compact"/>
              <w:jc w:val="left"/>
            </w:pPr>
            <w:r>
              <w:rPr>
                <w:bCs/>
                <w:b/>
              </w:rPr>
              <w:t xml:space="preserve">背外侧前额叶</w:t>
            </w:r>
          </w:p>
          <w:p>
            <w:pPr>
              <w:pStyle w:val="Compact"/>
              <w:jc w:val="left"/>
            </w:pPr>
            <w:r>
              <w:rPr>
                <w:bCs/>
                <w:b/>
              </w:rPr>
              <w:t xml:space="preserve">见</w:t>
            </w:r>
            <w:r>
              <w:rPr>
                <w:bCs/>
                <w:b/>
              </w:rPr>
              <w:t xml:space="preserve"> </w:t>
            </w:r>
            <w:hyperlink w:anchor="sec-89-1">
              <w:r>
                <w:rPr>
                  <w:rStyle w:val="Hyperlink"/>
                  <w:bCs/>
                  <w:b/>
                </w:rPr>
                <w:t xml:space="preserve">89.1</w:t>
              </w:r>
            </w:hyperlink>
            <w:r>
              <w:rPr>
                <w:bCs/>
                <w:b/>
              </w:rPr>
              <w:t xml:space="preserve">、</w:t>
            </w:r>
            <w:hyperlink w:anchor="sec-110-2">
              <w:r>
                <w:rPr>
                  <w:rStyle w:val="Hyperlink"/>
                  <w:bCs/>
                  <w:b/>
                </w:rPr>
                <w:t xml:space="preserve">110.2</w:t>
              </w:r>
            </w:hyperlink>
            <w:r>
              <w:rPr>
                <w:bCs/>
                <w:b/>
              </w:rPr>
              <w:t xml:space="preserve">、</w:t>
            </w:r>
            <w:hyperlink w:anchor="ch-78">
              <w:r>
                <w:rPr>
                  <w:rStyle w:val="Hyperlink"/>
                  <w:bCs/>
                  <w:b/>
                </w:rPr>
                <w:t xml:space="preserve">第78章</w:t>
              </w:r>
            </w:hyperlink>
          </w:p>
        </w:tc>
        <w:tc>
          <w:tcPr/>
          <w:p>
            <w:pPr>
              <w:pStyle w:val="Compact"/>
              <w:jc w:val="left"/>
            </w:pPr>
            <w:r>
              <w:t xml:space="preserve">保持信息和规则、维持目标、分配注意</w:t>
            </w:r>
          </w:p>
        </w:tc>
        <w:tc>
          <w:tcPr/>
          <w:p>
            <w:pPr>
              <w:pStyle w:val="Compact"/>
              <w:jc w:val="left"/>
            </w:pPr>
            <w:r>
              <w:t xml:space="preserve">“意志力中枢，用多了会耗尽”</w:t>
            </w:r>
          </w:p>
        </w:tc>
        <w:tc>
          <w:tcPr/>
          <w:p>
            <w:pPr>
              <w:pStyle w:val="Compact"/>
              <w:jc w:val="left"/>
            </w:pPr>
            <w:r>
              <w:t xml:space="preserve">经典短时任务的自我损耗效应在多实验室预注册重复中接近零；2025 年一项 2078 人的多实验室研究中，30 到 40 分钟的高强度任务之后出现部分可重复的表现下降，没有测出统一的可耗尽资源；冥想中参与把注意转回和维持专注</w:t>
            </w:r>
          </w:p>
        </w:tc>
        <w:tc>
          <w:tcPr/>
          <w:p>
            <w:pPr>
              <w:pStyle w:val="Compact"/>
              <w:jc w:val="left"/>
            </w:pPr>
            <w:r>
              <w:t xml:space="preserve">短时任务后必然下降：</w:t>
            </w:r>
            <w:r>
              <w:rPr>
                <w:bCs/>
                <w:b/>
              </w:rPr>
              <w:t xml:space="preserve">已被推翻·中</w:t>
            </w:r>
          </w:p>
          <w:p>
            <w:pPr>
              <w:pStyle w:val="Compact"/>
              <w:jc w:val="left"/>
            </w:pPr>
            <w:r>
              <w:t xml:space="preserve">长时任务后下降：</w:t>
            </w:r>
            <w:r>
              <w:rPr>
                <w:bCs/>
                <w:b/>
              </w:rPr>
              <w:t xml:space="preserve">部分成立·低</w:t>
            </w:r>
          </w:p>
          <w:p>
            <w:pPr>
              <w:pStyle w:val="Compact"/>
              <w:jc w:val="left"/>
            </w:pPr>
            <w:r>
              <w:t xml:space="preserve">固定资源说：</w:t>
            </w:r>
            <w:r>
              <w:rPr>
                <w:bCs/>
                <w:b/>
              </w:rPr>
              <w:t xml:space="preserve">不成立·中</w:t>
            </w:r>
          </w:p>
        </w:tc>
      </w:tr>
      <w:tr>
        <w:tc>
          <w:tcPr/>
          <w:p>
            <w:pPr>
              <w:pStyle w:val="Compact"/>
              <w:jc w:val="left"/>
            </w:pPr>
            <w:r>
              <w:rPr>
                <w:bCs/>
                <w:b/>
              </w:rPr>
              <w:t xml:space="preserve">腹外侧前额叶</w:t>
            </w:r>
          </w:p>
          <w:p>
            <w:pPr>
              <w:pStyle w:val="Compact"/>
              <w:jc w:val="left"/>
            </w:pPr>
            <w:r>
              <w:rPr>
                <w:bCs/>
                <w:b/>
              </w:rPr>
              <w:t xml:space="preserve">见</w:t>
            </w:r>
            <w:r>
              <w:rPr>
                <w:bCs/>
                <w:b/>
              </w:rPr>
              <w:t xml:space="preserve"> </w:t>
            </w:r>
            <w:hyperlink w:anchor="sec-89-1">
              <w:r>
                <w:rPr>
                  <w:rStyle w:val="Hyperlink"/>
                  <w:bCs/>
                  <w:b/>
                </w:rPr>
                <w:t xml:space="preserve">89.1</w:t>
              </w:r>
            </w:hyperlink>
            <w:r>
              <w:rPr>
                <w:bCs/>
                <w:b/>
              </w:rPr>
              <w:t xml:space="preserve">、</w:t>
            </w:r>
            <w:hyperlink w:anchor="sec-110-2">
              <w:r>
                <w:rPr>
                  <w:rStyle w:val="Hyperlink"/>
                  <w:bCs/>
                  <w:b/>
                </w:rPr>
                <w:t xml:space="preserve">110.2</w:t>
              </w:r>
            </w:hyperlink>
          </w:p>
        </w:tc>
        <w:tc>
          <w:tcPr/>
          <w:p>
            <w:pPr>
              <w:pStyle w:val="Compact"/>
              <w:jc w:val="left"/>
            </w:pPr>
            <w:r>
              <w:t xml:space="preserve">选择与抑制反应；右侧额下回的“刹车”指停止动作</w:t>
            </w:r>
          </w:p>
        </w:tc>
        <w:tc>
          <w:tcPr/>
          <w:p>
            <w:pPr>
              <w:pStyle w:val="Compact"/>
              <w:jc w:val="left"/>
            </w:pPr>
            <w:r>
              <w:t xml:space="preserve">“冥想加强理性控制”</w:t>
            </w:r>
          </w:p>
        </w:tc>
        <w:tc>
          <w:tcPr/>
          <w:p>
            <w:pPr>
              <w:pStyle w:val="Compact"/>
              <w:jc w:val="left"/>
            </w:pPr>
            <w:r>
              <w:t xml:space="preserve">停止动作由额叶、前辅助运动区和基底节组成的网络共同完成；重评时控制区可能间接影响杏仁核；长期练习者在一些疼痛和情绪任务中外侧前额叶参与更少，训练的因果作用要按任务分别检验</w:t>
            </w:r>
          </w:p>
        </w:tc>
        <w:tc>
          <w:tcPr/>
          <w:p>
            <w:pPr>
              <w:pStyle w:val="Compact"/>
              <w:jc w:val="left"/>
            </w:pPr>
            <w:r>
              <w:rPr>
                <w:bCs/>
                <w:b/>
              </w:rPr>
              <w:t xml:space="preserve">过度简化·中</w:t>
            </w:r>
          </w:p>
        </w:tc>
      </w:tr>
      <w:tr>
        <w:tc>
          <w:tcPr/>
          <w:p>
            <w:pPr>
              <w:pStyle w:val="Compact"/>
              <w:jc w:val="left"/>
            </w:pPr>
            <w:r>
              <w:rPr>
                <w:bCs/>
                <w:b/>
              </w:rPr>
              <w:t xml:space="preserve">腹内侧前额叶与眶额皮层</w:t>
            </w:r>
          </w:p>
          <w:p>
            <w:pPr>
              <w:pStyle w:val="Compact"/>
              <w:jc w:val="left"/>
            </w:pPr>
            <w:r>
              <w:rPr>
                <w:bCs/>
                <w:b/>
              </w:rPr>
              <w:t xml:space="preserve">见</w:t>
            </w:r>
            <w:r>
              <w:rPr>
                <w:bCs/>
                <w:b/>
              </w:rPr>
              <w:t xml:space="preserve"> </w:t>
            </w:r>
            <w:hyperlink w:anchor="sec-89-1">
              <w:r>
                <w:rPr>
                  <w:rStyle w:val="Hyperlink"/>
                  <w:bCs/>
                  <w:b/>
                </w:rPr>
                <w:t xml:space="preserve">89.1</w:t>
              </w:r>
            </w:hyperlink>
            <w:r>
              <w:rPr>
                <w:bCs/>
                <w:b/>
              </w:rPr>
              <w:t xml:space="preserve">、</w:t>
            </w:r>
            <w:hyperlink w:anchor="sec-110-2">
              <w:r>
                <w:rPr>
                  <w:rStyle w:val="Hyperlink"/>
                  <w:bCs/>
                  <w:b/>
                </w:rPr>
                <w:t xml:space="preserve">110.2</w:t>
              </w:r>
            </w:hyperlink>
            <w:r>
              <w:rPr>
                <w:bCs/>
                <w:b/>
              </w:rPr>
              <w:t xml:space="preserve">、</w:t>
            </w:r>
            <w:hyperlink w:anchor="sec-46-1">
              <w:r>
                <w:rPr>
                  <w:rStyle w:val="Hyperlink"/>
                  <w:bCs/>
                  <w:b/>
                </w:rPr>
                <w:t xml:space="preserve">46.1</w:t>
              </w:r>
            </w:hyperlink>
            <w:r>
              <w:rPr>
                <w:bCs/>
                <w:b/>
              </w:rPr>
              <w:t xml:space="preserve">、</w:t>
            </w:r>
            <w:hyperlink w:anchor="sec-115-3">
              <w:r>
                <w:rPr>
                  <w:rStyle w:val="Hyperlink"/>
                  <w:bCs/>
                  <w:b/>
                </w:rPr>
                <w:t xml:space="preserve">115.3</w:t>
              </w:r>
            </w:hyperlink>
          </w:p>
        </w:tc>
        <w:tc>
          <w:tcPr/>
          <w:p>
            <w:pPr>
              <w:pStyle w:val="Compact"/>
              <w:jc w:val="left"/>
            </w:pPr>
            <w:r>
              <w:t xml:space="preserve">主观价值计算、按结果更新预期、恐惧消退，参与把身体信号整合进决策；两者的解剖范围部分重叠，各研究的定义不一</w:t>
            </w:r>
          </w:p>
        </w:tc>
        <w:tc>
          <w:tcPr/>
          <w:p>
            <w:pPr>
              <w:pStyle w:val="Compact"/>
              <w:jc w:val="left"/>
            </w:pPr>
            <w:r>
              <w:t xml:space="preserve">“情绪妨碍理性决策”</w:t>
            </w:r>
          </w:p>
        </w:tc>
        <w:tc>
          <w:tcPr/>
          <w:p>
            <w:pPr>
              <w:pStyle w:val="Compact"/>
              <w:jc w:val="left"/>
            </w:pPr>
            <w:r>
              <w:t xml:space="preserve">该区损伤者智力测验正常而日常决策屡屡失误；情绪信号是许多良好决策的组成部分，某些情境下也会带来偏差；躯体标记假说的具体实验证据受到批评</w:t>
            </w:r>
          </w:p>
        </w:tc>
        <w:tc>
          <w:tcPr/>
          <w:p>
            <w:pPr>
              <w:pStyle w:val="Compact"/>
              <w:jc w:val="left"/>
            </w:pPr>
            <w:r>
              <w:rPr>
                <w:bCs/>
                <w:b/>
              </w:rPr>
              <w:t xml:space="preserve">过度简化·高</w:t>
            </w:r>
          </w:p>
        </w:tc>
      </w:tr>
      <w:tr>
        <w:tc>
          <w:tcPr/>
          <w:p>
            <w:pPr>
              <w:pStyle w:val="Compact"/>
              <w:jc w:val="left"/>
            </w:pPr>
            <w:r>
              <w:rPr>
                <w:bCs/>
                <w:b/>
              </w:rPr>
              <w:t xml:space="preserve">内侧前额叶</w:t>
            </w:r>
          </w:p>
          <w:p>
            <w:pPr>
              <w:pStyle w:val="Compact"/>
              <w:jc w:val="left"/>
            </w:pPr>
            <w:r>
              <w:rPr>
                <w:bCs/>
                <w:b/>
              </w:rPr>
              <w:t xml:space="preserve">见</w:t>
            </w:r>
            <w:r>
              <w:rPr>
                <w:bCs/>
                <w:b/>
              </w:rPr>
              <w:t xml:space="preserve"> </w:t>
            </w:r>
            <w:hyperlink w:anchor="sec-89-1">
              <w:r>
                <w:rPr>
                  <w:rStyle w:val="Hyperlink"/>
                  <w:bCs/>
                  <w:b/>
                </w:rPr>
                <w:t xml:space="preserve">89.1</w:t>
              </w:r>
            </w:hyperlink>
            <w:r>
              <w:rPr>
                <w:bCs/>
                <w:b/>
              </w:rPr>
              <w:t xml:space="preserve">、</w:t>
            </w:r>
            <w:hyperlink w:anchor="sec-110-2">
              <w:r>
                <w:rPr>
                  <w:rStyle w:val="Hyperlink"/>
                  <w:bCs/>
                  <w:b/>
                </w:rPr>
                <w:t xml:space="preserve">110.2</w:t>
              </w:r>
            </w:hyperlink>
          </w:p>
        </w:tc>
        <w:tc>
          <w:tcPr/>
          <w:p>
            <w:pPr>
              <w:pStyle w:val="Compact"/>
              <w:jc w:val="left"/>
            </w:pPr>
            <w:r>
              <w:t xml:space="preserve">加工与自我有关的信息、理解他人心理，默认网络核心</w:t>
            </w:r>
          </w:p>
        </w:tc>
        <w:tc>
          <w:tcPr/>
          <w:p>
            <w:pPr>
              <w:pStyle w:val="Compact"/>
              <w:jc w:val="left"/>
            </w:pPr>
            <w:r>
              <w:t xml:space="preserve">“自我中心区”；“正念训练降低它的自我参照活动”</w:t>
            </w:r>
          </w:p>
        </w:tc>
        <w:tc>
          <w:tcPr/>
          <w:p>
            <w:pPr>
              <w:pStyle w:val="Compact"/>
              <w:jc w:val="left"/>
            </w:pPr>
            <w:r>
              <w:t xml:space="preserve">自我判断偏重腹侧与前部，推断他人偏重背内侧；训练后的一次扫描中，训练组在体验式对叙事式关注的对比上降低更明显（20 对 16 人，没有课前扫描，确定不了个人随时间的下降）</w:t>
            </w:r>
          </w:p>
        </w:tc>
        <w:tc>
          <w:tcPr/>
          <w:p>
            <w:pPr>
              <w:pStyle w:val="Compact"/>
              <w:jc w:val="left"/>
            </w:pPr>
            <w:r>
              <w:t xml:space="preserve">自我中心区：</w:t>
            </w:r>
            <w:r>
              <w:rPr>
                <w:bCs/>
                <w:b/>
              </w:rPr>
              <w:t xml:space="preserve">过度简化·高</w:t>
            </w:r>
          </w:p>
          <w:p>
            <w:pPr>
              <w:pStyle w:val="Compact"/>
              <w:jc w:val="left"/>
            </w:pPr>
            <w:r>
              <w:t xml:space="preserve">训练降低：</w:t>
            </w:r>
            <w:r>
              <w:rPr>
                <w:bCs/>
                <w:b/>
              </w:rPr>
              <w:t xml:space="preserve">部分成立·低</w:t>
            </w:r>
          </w:p>
        </w:tc>
      </w:tr>
      <w:tr>
        <w:tc>
          <w:tcPr/>
          <w:p>
            <w:pPr>
              <w:pStyle w:val="Compact"/>
              <w:jc w:val="left"/>
            </w:pPr>
            <w:r>
              <w:rPr>
                <w:bCs/>
                <w:b/>
              </w:rPr>
              <w:t xml:space="preserve">前额极（“抽象区”）</w:t>
            </w:r>
          </w:p>
          <w:p>
            <w:pPr>
              <w:pStyle w:val="Compact"/>
              <w:jc w:val="left"/>
            </w:pPr>
            <w:r>
              <w:rPr>
                <w:bCs/>
                <w:b/>
              </w:rPr>
              <w:t xml:space="preserve">见</w:t>
            </w:r>
            <w:r>
              <w:rPr>
                <w:bCs/>
                <w:b/>
              </w:rPr>
              <w:t xml:space="preserve"> </w:t>
            </w:r>
            <w:hyperlink w:anchor="sec-89-2">
              <w:r>
                <w:rPr>
                  <w:rStyle w:val="Hyperlink"/>
                  <w:bCs/>
                  <w:b/>
                </w:rPr>
                <w:t xml:space="preserve">89.2</w:t>
              </w:r>
            </w:hyperlink>
            <w:r>
              <w:rPr>
                <w:bCs/>
                <w:b/>
              </w:rPr>
              <w:t xml:space="preserve">、</w:t>
            </w:r>
            <w:hyperlink w:anchor="sec-110-2">
              <w:r>
                <w:rPr>
                  <w:rStyle w:val="Hyperlink"/>
                  <w:bCs/>
                  <w:b/>
                </w:rPr>
                <w:t xml:space="preserve">110.2</w:t>
              </w:r>
            </w:hyperlink>
          </w:p>
        </w:tc>
        <w:tc>
          <w:tcPr/>
          <w:p>
            <w:pPr>
              <w:pStyle w:val="Compact"/>
              <w:jc w:val="left"/>
            </w:pPr>
            <w:r>
              <w:t xml:space="preserve">多重关系整合，位于外侧前额叶前后组织的最前端，参与元认知</w:t>
            </w:r>
          </w:p>
        </w:tc>
        <w:tc>
          <w:tcPr/>
          <w:p>
            <w:pPr>
              <w:pStyle w:val="Compact"/>
              <w:jc w:val="left"/>
            </w:pPr>
            <w:r>
              <w:t xml:space="preserve">“抽象思维区”；“冥想通过前额极提升元觉知”</w:t>
            </w:r>
          </w:p>
        </w:tc>
        <w:tc>
          <w:tcPr/>
          <w:p>
            <w:pPr>
              <w:pStyle w:val="Compact"/>
              <w:jc w:val="left"/>
            </w:pPr>
            <w:r>
              <w:t xml:space="preserve">抽象思维分布于额、顶、颞多处；该区结构与知觉判断任务中的元认知准确度相关；冥想与元觉知的联系只有间接线索，两条证据链拼不成已验证的机制</w:t>
            </w:r>
          </w:p>
        </w:tc>
        <w:tc>
          <w:tcPr/>
          <w:p>
            <w:pPr>
              <w:pStyle w:val="Compact"/>
              <w:jc w:val="left"/>
            </w:pPr>
            <w:r>
              <w:t xml:space="preserve">抽象区：</w:t>
            </w:r>
            <w:r>
              <w:rPr>
                <w:bCs/>
                <w:b/>
              </w:rPr>
              <w:t xml:space="preserve">过度简化·高</w:t>
            </w:r>
          </w:p>
          <w:p>
            <w:pPr>
              <w:pStyle w:val="Compact"/>
              <w:jc w:val="left"/>
            </w:pPr>
            <w:r>
              <w:t xml:space="preserve">元觉知：</w:t>
            </w:r>
            <w:r>
              <w:rPr>
                <w:bCs/>
                <w:b/>
              </w:rPr>
              <w:t xml:space="preserve">证据不足·低</w:t>
            </w:r>
          </w:p>
        </w:tc>
      </w:tr>
      <w:tr>
        <w:tc>
          <w:tcPr/>
          <w:p>
            <w:pPr>
              <w:pStyle w:val="Compact"/>
              <w:jc w:val="left"/>
            </w:pPr>
            <w:r>
              <w:rPr>
                <w:bCs/>
                <w:b/>
              </w:rPr>
              <w:t xml:space="preserve">前扣带皮层</w:t>
            </w:r>
          </w:p>
          <w:p>
            <w:pPr>
              <w:pStyle w:val="Compact"/>
              <w:jc w:val="left"/>
            </w:pPr>
            <w:r>
              <w:rPr>
                <w:bCs/>
                <w:b/>
              </w:rPr>
              <w:t xml:space="preserve">见</w:t>
            </w:r>
            <w:r>
              <w:rPr>
                <w:bCs/>
                <w:b/>
              </w:rPr>
              <w:t xml:space="preserve"> </w:t>
            </w:r>
            <w:hyperlink w:anchor="sec-90-1">
              <w:r>
                <w:rPr>
                  <w:rStyle w:val="Hyperlink"/>
                  <w:bCs/>
                  <w:b/>
                </w:rPr>
                <w:t xml:space="preserve">90.1</w:t>
              </w:r>
            </w:hyperlink>
            <w:r>
              <w:rPr>
                <w:bCs/>
                <w:b/>
              </w:rPr>
              <w:t xml:space="preserve">、</w:t>
            </w:r>
            <w:hyperlink w:anchor="sec-110-3">
              <w:r>
                <w:rPr>
                  <w:rStyle w:val="Hyperlink"/>
                  <w:bCs/>
                  <w:b/>
                </w:rPr>
                <w:t xml:space="preserve">110.3</w:t>
              </w:r>
            </w:hyperlink>
          </w:p>
        </w:tc>
        <w:tc>
          <w:tcPr/>
          <w:p>
            <w:pPr>
              <w:pStyle w:val="Compact"/>
              <w:jc w:val="left"/>
            </w:pPr>
            <w:r>
              <w:t xml:space="preserve">冲突监测、权衡控制是否值得、疼痛的不愉快成分</w:t>
            </w:r>
          </w:p>
        </w:tc>
        <w:tc>
          <w:tcPr/>
          <w:p>
            <w:pPr>
              <w:pStyle w:val="Compact"/>
              <w:jc w:val="left"/>
            </w:pPr>
            <w:r>
              <w:t xml:space="preserve">“注意力中枢”；“社交痛就是身体痛”</w:t>
            </w:r>
          </w:p>
        </w:tc>
        <w:tc>
          <w:tcPr/>
          <w:p>
            <w:pPr>
              <w:pStyle w:val="Compact"/>
              <w:jc w:val="left"/>
            </w:pPr>
            <w:r>
              <w:t xml:space="preserve">成像文献中的“背侧前扣带”大多对应前中扣带；两种痛的多变量模式在所用模型中可以区分，更细尺度的共同加工尚未排除；短期训练的白质结果来自单一团队；18 个月训练未改变老年人前扣带的体积</w:t>
            </w:r>
          </w:p>
        </w:tc>
        <w:tc>
          <w:tcPr/>
          <w:p>
            <w:pPr>
              <w:pStyle w:val="Compact"/>
              <w:jc w:val="left"/>
            </w:pPr>
            <w:r>
              <w:t xml:space="preserve">注意力中枢：</w:t>
            </w:r>
            <w:r>
              <w:rPr>
                <w:bCs/>
                <w:b/>
              </w:rPr>
              <w:t xml:space="preserve">过度简化·高</w:t>
            </w:r>
          </w:p>
          <w:p>
            <w:pPr>
              <w:pStyle w:val="Compact"/>
              <w:jc w:val="left"/>
            </w:pPr>
            <w:r>
              <w:t xml:space="preserve">社交痛即身体痛：</w:t>
            </w:r>
            <w:r>
              <w:rPr>
                <w:bCs/>
                <w:b/>
              </w:rPr>
              <w:t xml:space="preserve">过度简化·中</w:t>
            </w:r>
          </w:p>
          <w:p>
            <w:pPr>
              <w:pStyle w:val="Compact"/>
              <w:jc w:val="left"/>
            </w:pPr>
            <w:r>
              <w:t xml:space="preserve">白质改变：</w:t>
            </w:r>
            <w:r>
              <w:rPr>
                <w:bCs/>
                <w:b/>
              </w:rPr>
              <w:t xml:space="preserve">证据不足·低</w:t>
            </w:r>
          </w:p>
        </w:tc>
      </w:tr>
      <w:tr>
        <w:tc>
          <w:tcPr/>
          <w:p>
            <w:pPr>
              <w:pStyle w:val="Compact"/>
              <w:jc w:val="left"/>
            </w:pPr>
            <w:r>
              <w:rPr>
                <w:bCs/>
                <w:b/>
              </w:rPr>
              <w:t xml:space="preserve">岛叶</w:t>
            </w:r>
          </w:p>
          <w:p>
            <w:pPr>
              <w:pStyle w:val="Compact"/>
              <w:jc w:val="left"/>
            </w:pPr>
            <w:r>
              <w:rPr>
                <w:bCs/>
                <w:b/>
              </w:rPr>
              <w:t xml:space="preserve">见</w:t>
            </w:r>
            <w:r>
              <w:rPr>
                <w:bCs/>
                <w:b/>
              </w:rPr>
              <w:t xml:space="preserve"> </w:t>
            </w:r>
            <w:hyperlink w:anchor="sec-90-2">
              <w:r>
                <w:rPr>
                  <w:rStyle w:val="Hyperlink"/>
                  <w:bCs/>
                  <w:b/>
                </w:rPr>
                <w:t xml:space="preserve">90.2</w:t>
              </w:r>
            </w:hyperlink>
            <w:r>
              <w:rPr>
                <w:bCs/>
                <w:b/>
              </w:rPr>
              <w:t xml:space="preserve">、</w:t>
            </w:r>
            <w:hyperlink w:anchor="sec-110-4">
              <w:r>
                <w:rPr>
                  <w:rStyle w:val="Hyperlink"/>
                  <w:bCs/>
                  <w:b/>
                </w:rPr>
                <w:t xml:space="preserve">110.4</w:t>
              </w:r>
            </w:hyperlink>
            <w:r>
              <w:rPr>
                <w:bCs/>
                <w:b/>
              </w:rPr>
              <w:t xml:space="preserve">、</w:t>
            </w:r>
            <w:hyperlink w:anchor="sec-104-4">
              <w:r>
                <w:rPr>
                  <w:rStyle w:val="Hyperlink"/>
                  <w:bCs/>
                  <w:b/>
                </w:rPr>
                <w:t xml:space="preserve">104.4</w:t>
              </w:r>
            </w:hyperlink>
            <w:r>
              <w:rPr>
                <w:bCs/>
                <w:b/>
              </w:rPr>
              <w:t xml:space="preserve">、</w:t>
            </w:r>
            <w:hyperlink w:anchor="sec-113-3">
              <w:r>
                <w:rPr>
                  <w:rStyle w:val="Hyperlink"/>
                  <w:bCs/>
                  <w:b/>
                </w:rPr>
                <w:t xml:space="preserve">113.3</w:t>
              </w:r>
            </w:hyperlink>
          </w:p>
        </w:tc>
        <w:tc>
          <w:tcPr/>
          <w:p>
            <w:pPr>
              <w:pStyle w:val="Compact"/>
              <w:jc w:val="left"/>
            </w:pPr>
            <w:r>
              <w:t xml:space="preserve">内感受、味觉、疼痛、厌恶，突显网络核心</w:t>
            </w:r>
          </w:p>
        </w:tc>
        <w:tc>
          <w:tcPr/>
          <w:p>
            <w:pPr>
              <w:pStyle w:val="Compact"/>
              <w:jc w:val="left"/>
            </w:pPr>
            <w:r>
              <w:t xml:space="preserve">“自我意识所在”；“冥想激活岛叶、让身体感知更准”</w:t>
            </w:r>
          </w:p>
        </w:tc>
        <w:tc>
          <w:tcPr/>
          <w:p>
            <w:pPr>
              <w:pStyle w:val="Compact"/>
              <w:jc w:val="left"/>
            </w:pPr>
            <w:r>
              <w:t xml:space="preserve">双侧损毁者保留自我觉知与感受；功能研究中岛叶参与的报告反复出现，合并结果不保证每种练习都如此；自评的身体觉察上升，客观内感受任务的汇总效果小且不稳定，常用心跳任务的效度有争议</w:t>
            </w:r>
          </w:p>
        </w:tc>
        <w:tc>
          <w:tcPr/>
          <w:p>
            <w:pPr>
              <w:pStyle w:val="Compact"/>
              <w:jc w:val="left"/>
            </w:pPr>
            <w:r>
              <w:t xml:space="preserve">意识所在：</w:t>
            </w:r>
            <w:r>
              <w:rPr>
                <w:bCs/>
                <w:b/>
              </w:rPr>
              <w:t xml:space="preserve">错误·中</w:t>
            </w:r>
          </w:p>
          <w:p>
            <w:pPr>
              <w:pStyle w:val="Compact"/>
              <w:jc w:val="left"/>
            </w:pPr>
            <w:r>
              <w:t xml:space="preserve">冥想时参与增加：</w:t>
            </w:r>
            <w:r>
              <w:rPr>
                <w:bCs/>
                <w:b/>
              </w:rPr>
              <w:t xml:space="preserve">部分成立·中</w:t>
            </w:r>
          </w:p>
          <w:p>
            <w:pPr>
              <w:pStyle w:val="Compact"/>
              <w:jc w:val="left"/>
            </w:pPr>
            <w:r>
              <w:t xml:space="preserve">自评觉察提高：</w:t>
            </w:r>
            <w:r>
              <w:rPr>
                <w:bCs/>
                <w:b/>
              </w:rPr>
              <w:t xml:space="preserve">成立·中</w:t>
            </w:r>
          </w:p>
          <w:p>
            <w:pPr>
              <w:pStyle w:val="Compact"/>
              <w:jc w:val="left"/>
            </w:pPr>
            <w:r>
              <w:t xml:space="preserve">客观更准：</w:t>
            </w:r>
            <w:r>
              <w:rPr>
                <w:bCs/>
                <w:b/>
              </w:rPr>
              <w:t xml:space="preserve">证据不足·中</w:t>
            </w:r>
          </w:p>
        </w:tc>
      </w:tr>
      <w:tr>
        <w:tc>
          <w:tcPr/>
          <w:p>
            <w:pPr>
              <w:pStyle w:val="Compact"/>
              <w:jc w:val="left"/>
            </w:pPr>
            <w:r>
              <w:rPr>
                <w:bCs/>
                <w:b/>
              </w:rPr>
              <w:t xml:space="preserve">海马</w:t>
            </w:r>
          </w:p>
          <w:p>
            <w:pPr>
              <w:pStyle w:val="Compact"/>
              <w:jc w:val="left"/>
            </w:pPr>
            <w:r>
              <w:rPr>
                <w:bCs/>
                <w:b/>
              </w:rPr>
              <w:t xml:space="preserve">见</w:t>
            </w:r>
            <w:hyperlink w:anchor="ch-91">
              <w:r>
                <w:rPr>
                  <w:rStyle w:val="Hyperlink"/>
                  <w:bCs/>
                  <w:b/>
                </w:rPr>
                <w:t xml:space="preserve">第91章</w:t>
              </w:r>
            </w:hyperlink>
            <w:r>
              <w:rPr>
                <w:bCs/>
                <w:b/>
              </w:rPr>
              <w:t xml:space="preserve">、</w:t>
            </w:r>
            <w:hyperlink w:anchor="sec-110-5">
              <w:r>
                <w:rPr>
                  <w:rStyle w:val="Hyperlink"/>
                  <w:bCs/>
                  <w:b/>
                </w:rPr>
                <w:t xml:space="preserve">110.5</w:t>
              </w:r>
            </w:hyperlink>
          </w:p>
        </w:tc>
        <w:tc>
          <w:tcPr/>
          <w:p>
            <w:pPr>
              <w:pStyle w:val="Compact"/>
              <w:jc w:val="left"/>
            </w:pPr>
            <w:r>
              <w:t xml:space="preserve">情景记忆、空间导航、想象未来，参与应激反馈</w:t>
            </w:r>
          </w:p>
        </w:tc>
        <w:tc>
          <w:tcPr/>
          <w:p>
            <w:pPr>
              <w:pStyle w:val="Compact"/>
              <w:jc w:val="left"/>
            </w:pPr>
            <w:r>
              <w:t xml:space="preserve">“冥想让海马变大”；“压力杀死海马细胞”</w:t>
            </w:r>
          </w:p>
        </w:tc>
        <w:tc>
          <w:tcPr/>
          <w:p>
            <w:pPr>
              <w:pStyle w:val="Compact"/>
              <w:jc w:val="left"/>
            </w:pPr>
            <w:r>
              <w:t xml:space="preserve">2011 年非随机研究报告灰质增加，218 人进入分析的随机对照未重复，老年人试验 18 个月时方向与假设相反（探索性结局）；童年逆境人群的小型随机试验（完成者 20 对 19 人）报告右侧海马增大，“资源计划”的亚区分析报告社会情感模块后右侧 CA1-3 相对增大，都有待独立重复；人类“压力致神经元死亡”证据不足</w:t>
            </w:r>
          </w:p>
        </w:tc>
        <w:tc>
          <w:tcPr/>
          <w:p>
            <w:pPr>
              <w:pStyle w:val="Compact"/>
              <w:jc w:val="left"/>
            </w:pPr>
            <w:r>
              <w:t xml:space="preserve">八周明显变大：</w:t>
            </w:r>
            <w:r>
              <w:rPr>
                <w:bCs/>
                <w:b/>
              </w:rPr>
              <w:t xml:space="preserve">已被推翻·中</w:t>
            </w:r>
          </w:p>
          <w:p>
            <w:pPr>
              <w:pStyle w:val="Compact"/>
              <w:jc w:val="left"/>
            </w:pPr>
            <w:r>
              <w:t xml:space="preserve">特定人群或亚区：</w:t>
            </w:r>
            <w:r>
              <w:rPr>
                <w:bCs/>
                <w:b/>
              </w:rPr>
              <w:t xml:space="preserve">证据不足·低</w:t>
            </w:r>
          </w:p>
          <w:p>
            <w:pPr>
              <w:pStyle w:val="Compact"/>
              <w:jc w:val="left"/>
            </w:pPr>
            <w:r>
              <w:t xml:space="preserve">压力致死：</w:t>
            </w:r>
            <w:r>
              <w:rPr>
                <w:bCs/>
                <w:b/>
              </w:rPr>
              <w:t xml:space="preserve">过度简化·中</w:t>
            </w:r>
          </w:p>
        </w:tc>
      </w:tr>
      <w:tr>
        <w:tc>
          <w:tcPr/>
          <w:p>
            <w:pPr>
              <w:pStyle w:val="Compact"/>
              <w:jc w:val="left"/>
            </w:pPr>
            <w:r>
              <w:rPr>
                <w:bCs/>
                <w:b/>
              </w:rPr>
              <w:t xml:space="preserve">后扣带回与楔前叶</w:t>
            </w:r>
          </w:p>
          <w:p>
            <w:pPr>
              <w:pStyle w:val="Compact"/>
              <w:jc w:val="left"/>
            </w:pPr>
            <w:r>
              <w:rPr>
                <w:bCs/>
                <w:b/>
              </w:rPr>
              <w:t xml:space="preserve">见</w:t>
            </w:r>
            <w:r>
              <w:rPr>
                <w:bCs/>
                <w:b/>
              </w:rPr>
              <w:t xml:space="preserve"> </w:t>
            </w:r>
            <w:hyperlink w:anchor="sec-92-1">
              <w:r>
                <w:rPr>
                  <w:rStyle w:val="Hyperlink"/>
                  <w:bCs/>
                  <w:b/>
                </w:rPr>
                <w:t xml:space="preserve">92.1</w:t>
              </w:r>
            </w:hyperlink>
            <w:r>
              <w:rPr>
                <w:bCs/>
                <w:b/>
              </w:rPr>
              <w:t xml:space="preserve">、</w:t>
            </w:r>
            <w:hyperlink w:anchor="sec-110-6">
              <w:r>
                <w:rPr>
                  <w:rStyle w:val="Hyperlink"/>
                  <w:bCs/>
                  <w:b/>
                </w:rPr>
                <w:t xml:space="preserve">110.6</w:t>
              </w:r>
            </w:hyperlink>
          </w:p>
        </w:tc>
        <w:tc>
          <w:tcPr/>
          <w:p>
            <w:pPr>
              <w:pStyle w:val="Compact"/>
              <w:jc w:val="left"/>
            </w:pPr>
            <w:r>
              <w:t xml:space="preserve">默认网络枢纽：自传记忆、自我参照、觉醒与注意的宽窄</w:t>
            </w:r>
          </w:p>
        </w:tc>
        <w:tc>
          <w:tcPr/>
          <w:p>
            <w:pPr>
              <w:pStyle w:val="Compact"/>
              <w:jc w:val="left"/>
            </w:pPr>
            <w:r>
              <w:t xml:space="preserve">“自我所在”；“冥想关闭自我区”</w:t>
            </w:r>
          </w:p>
        </w:tc>
        <w:tc>
          <w:tcPr/>
          <w:p>
            <w:pPr>
              <w:pStyle w:val="Compact"/>
              <w:jc w:val="left"/>
            </w:pPr>
            <w:r>
              <w:t xml:space="preserve">资深者在三种练习中活动更低（12 对 12 人）；一项随机试验中，训练后与右侧背外侧前额叶的静息连接增强（按解剖定义的区域），约五个半月后的随访未检出同样显著的组间差异；活动与连接的变化说明不了“自我”消失</w:t>
            </w:r>
          </w:p>
        </w:tc>
        <w:tc>
          <w:tcPr/>
          <w:p>
            <w:pPr>
              <w:pStyle w:val="Compact"/>
              <w:jc w:val="left"/>
            </w:pPr>
            <w:r>
              <w:t xml:space="preserve">活动降低：</w:t>
            </w:r>
            <w:r>
              <w:rPr>
                <w:bCs/>
                <w:b/>
              </w:rPr>
              <w:t xml:space="preserve">部分成立·中</w:t>
            </w:r>
          </w:p>
          <w:p>
            <w:pPr>
              <w:pStyle w:val="Compact"/>
              <w:jc w:val="left"/>
            </w:pPr>
            <w:r>
              <w:t xml:space="preserve">自我所在：</w:t>
            </w:r>
            <w:r>
              <w:rPr>
                <w:bCs/>
                <w:b/>
              </w:rPr>
              <w:t xml:space="preserve">过度简化·高</w:t>
            </w:r>
          </w:p>
          <w:p>
            <w:pPr>
              <w:pStyle w:val="Compact"/>
              <w:jc w:val="left"/>
            </w:pPr>
            <w:r>
              <w:t xml:space="preserve">关闭自我区：</w:t>
            </w:r>
            <w:r>
              <w:rPr>
                <w:bCs/>
                <w:b/>
              </w:rPr>
              <w:t xml:space="preserve">错误·高</w:t>
            </w:r>
          </w:p>
        </w:tc>
      </w:tr>
      <w:tr>
        <w:tc>
          <w:tcPr/>
          <w:p>
            <w:pPr>
              <w:pStyle w:val="Compact"/>
              <w:jc w:val="left"/>
            </w:pPr>
            <w:r>
              <w:rPr>
                <w:bCs/>
                <w:b/>
              </w:rPr>
              <w:t xml:space="preserve">颞顶联合区</w:t>
            </w:r>
          </w:p>
          <w:p>
            <w:pPr>
              <w:pStyle w:val="Compact"/>
              <w:jc w:val="left"/>
            </w:pPr>
            <w:r>
              <w:rPr>
                <w:bCs/>
                <w:b/>
              </w:rPr>
              <w:t xml:space="preserve">见</w:t>
            </w:r>
            <w:r>
              <w:rPr>
                <w:bCs/>
                <w:b/>
              </w:rPr>
              <w:t xml:space="preserve"> </w:t>
            </w:r>
            <w:hyperlink w:anchor="sec-92-2">
              <w:r>
                <w:rPr>
                  <w:rStyle w:val="Hyperlink"/>
                  <w:bCs/>
                  <w:b/>
                </w:rPr>
                <w:t xml:space="preserve">92.2</w:t>
              </w:r>
            </w:hyperlink>
            <w:r>
              <w:rPr>
                <w:bCs/>
                <w:b/>
              </w:rPr>
              <w:t xml:space="preserve">、</w:t>
            </w:r>
            <w:hyperlink w:anchor="sec-110-7">
              <w:r>
                <w:rPr>
                  <w:rStyle w:val="Hyperlink"/>
                  <w:bCs/>
                  <w:b/>
                </w:rPr>
                <w:t xml:space="preserve">110.7</w:t>
              </w:r>
            </w:hyperlink>
          </w:p>
        </w:tc>
        <w:tc>
          <w:tcPr/>
          <w:p>
            <w:pPr>
              <w:pStyle w:val="Compact"/>
              <w:jc w:val="left"/>
            </w:pPr>
            <w:r>
              <w:t xml:space="preserve">视角采择、自我与他人区分、注意重定向、身体自我定位</w:t>
            </w:r>
          </w:p>
        </w:tc>
        <w:tc>
          <w:tcPr/>
          <w:p>
            <w:pPr>
              <w:pStyle w:val="Compact"/>
              <w:jc w:val="left"/>
            </w:pPr>
            <w:r>
              <w:t xml:space="preserve">“灵魂出窍区”；“冥想增强该区，让人更有同理心”</w:t>
            </w:r>
          </w:p>
        </w:tc>
        <w:tc>
          <w:tcPr/>
          <w:p>
            <w:pPr>
              <w:pStyle w:val="Compact"/>
              <w:jc w:val="left"/>
            </w:pPr>
            <w:r>
              <w:t xml:space="preserve">单个病人右侧角回受电刺激时出现离体体验，效应可能经癫痫网络和邻区传播；冥想结构发现未被重复；“训练改变该区—该区改变提高同理心—迁移到真实行为”这条链没有完整建立</w:t>
            </w:r>
          </w:p>
        </w:tc>
        <w:tc>
          <w:tcPr/>
          <w:p>
            <w:pPr>
              <w:pStyle w:val="Compact"/>
              <w:jc w:val="left"/>
            </w:pPr>
            <w:r>
              <w:t xml:space="preserve">出窍区：</w:t>
            </w:r>
            <w:r>
              <w:rPr>
                <w:bCs/>
                <w:b/>
              </w:rPr>
              <w:t xml:space="preserve">过度简化·高</w:t>
            </w:r>
          </w:p>
          <w:p>
            <w:pPr>
              <w:pStyle w:val="Compact"/>
              <w:jc w:val="left"/>
            </w:pPr>
            <w:r>
              <w:t xml:space="preserve">同理心：</w:t>
            </w:r>
            <w:r>
              <w:rPr>
                <w:bCs/>
                <w:b/>
              </w:rPr>
              <w:t xml:space="preserve">证据不足·中</w:t>
            </w:r>
          </w:p>
        </w:tc>
      </w:tr>
      <w:tr>
        <w:tc>
          <w:tcPr/>
          <w:p>
            <w:pPr>
              <w:pStyle w:val="Compact"/>
              <w:jc w:val="left"/>
            </w:pPr>
            <w:r>
              <w:rPr>
                <w:bCs/>
                <w:b/>
              </w:rPr>
              <w:t xml:space="preserve">纹状体、伏隔核、腹侧被盖区</w:t>
            </w:r>
          </w:p>
          <w:p>
            <w:pPr>
              <w:pStyle w:val="Compact"/>
              <w:jc w:val="left"/>
            </w:pPr>
            <w:r>
              <w:rPr>
                <w:bCs/>
                <w:b/>
              </w:rPr>
              <w:t xml:space="preserve">见</w:t>
            </w:r>
            <w:r>
              <w:rPr>
                <w:bCs/>
                <w:b/>
              </w:rPr>
              <w:t xml:space="preserve"> </w:t>
            </w:r>
            <w:hyperlink w:anchor="sec-92-3">
              <w:r>
                <w:rPr>
                  <w:rStyle w:val="Hyperlink"/>
                  <w:bCs/>
                  <w:b/>
                </w:rPr>
                <w:t xml:space="preserve">92.3</w:t>
              </w:r>
            </w:hyperlink>
            <w:r>
              <w:rPr>
                <w:bCs/>
                <w:b/>
              </w:rPr>
              <w:t xml:space="preserve">、</w:t>
            </w:r>
            <w:hyperlink w:anchor="sec-110-8">
              <w:r>
                <w:rPr>
                  <w:rStyle w:val="Hyperlink"/>
                  <w:bCs/>
                  <w:b/>
                </w:rPr>
                <w:t xml:space="preserve">110.8</w:t>
              </w:r>
            </w:hyperlink>
            <w:r>
              <w:rPr>
                <w:bCs/>
                <w:b/>
              </w:rPr>
              <w:t xml:space="preserve">、</w:t>
            </w:r>
            <w:hyperlink w:anchor="sec-95-1">
              <w:r>
                <w:rPr>
                  <w:rStyle w:val="Hyperlink"/>
                  <w:bCs/>
                  <w:b/>
                </w:rPr>
                <w:t xml:space="preserve">95.1</w:t>
              </w:r>
            </w:hyperlink>
            <w:r>
              <w:rPr>
                <w:bCs/>
                <w:b/>
              </w:rPr>
              <w:t xml:space="preserve">、</w:t>
            </w:r>
            <w:hyperlink w:anchor="sec-112-1">
              <w:r>
                <w:rPr>
                  <w:rStyle w:val="Hyperlink"/>
                  <w:bCs/>
                  <w:b/>
                </w:rPr>
                <w:t xml:space="preserve">112.1</w:t>
              </w:r>
            </w:hyperlink>
          </w:p>
        </w:tc>
        <w:tc>
          <w:tcPr/>
          <w:p>
            <w:pPr>
              <w:pStyle w:val="Compact"/>
              <w:jc w:val="left"/>
            </w:pPr>
            <w:r>
              <w:t xml:space="preserve">奖赏预测误差（部分神经元）、“想要”、习惯形成</w:t>
            </w:r>
          </w:p>
        </w:tc>
        <w:tc>
          <w:tcPr/>
          <w:p>
            <w:pPr>
              <w:pStyle w:val="Compact"/>
              <w:jc w:val="left"/>
            </w:pPr>
            <w:r>
              <w:t xml:space="preserve">“冥想重置奖赏系统”；“多巴胺增加 65%”</w:t>
            </w:r>
          </w:p>
        </w:tc>
        <w:tc>
          <w:tcPr/>
          <w:p>
            <w:pPr>
              <w:pStyle w:val="Compact"/>
              <w:jc w:val="left"/>
            </w:pPr>
            <w:r>
              <w:t xml:space="preserve">在冥想进行中用竞争性配体正电子发射断层扫描推算递质释放的研究，本书检索所及只有一项 8 人研究，数字由腹侧纹状体的结合变化推算；结构研究结果互不一致，所比较的人群也不同；“重置”没有操作定义</w:t>
            </w:r>
          </w:p>
        </w:tc>
        <w:tc>
          <w:tcPr/>
          <w:p>
            <w:pPr>
              <w:pStyle w:val="Compact"/>
              <w:jc w:val="left"/>
            </w:pPr>
            <w:r>
              <w:t xml:space="preserve">重置奖赏系统：</w:t>
            </w:r>
            <w:r>
              <w:rPr>
                <w:bCs/>
                <w:b/>
              </w:rPr>
              <w:t xml:space="preserve">证据不足·中</w:t>
            </w:r>
          </w:p>
          <w:p>
            <w:pPr>
              <w:pStyle w:val="Compact"/>
              <w:jc w:val="left"/>
            </w:pPr>
            <w:r>
              <w:t xml:space="preserve">65% 作为一般结论：</w:t>
            </w:r>
            <w:r>
              <w:rPr>
                <w:bCs/>
                <w:b/>
              </w:rPr>
              <w:t xml:space="preserve">证据不足·高</w:t>
            </w:r>
          </w:p>
        </w:tc>
      </w:tr>
      <w:tr>
        <w:tc>
          <w:tcPr/>
          <w:p>
            <w:pPr>
              <w:pStyle w:val="Compact"/>
              <w:jc w:val="left"/>
            </w:pPr>
            <w:r>
              <w:rPr>
                <w:bCs/>
                <w:b/>
              </w:rPr>
              <w:t xml:space="preserve">丘脑</w:t>
            </w:r>
          </w:p>
          <w:p>
            <w:pPr>
              <w:pStyle w:val="Compact"/>
              <w:jc w:val="left"/>
            </w:pPr>
            <w:r>
              <w:rPr>
                <w:bCs/>
                <w:b/>
              </w:rPr>
              <w:t xml:space="preserve">见</w:t>
            </w:r>
            <w:r>
              <w:rPr>
                <w:bCs/>
                <w:b/>
              </w:rPr>
              <w:t xml:space="preserve"> </w:t>
            </w:r>
            <w:hyperlink w:anchor="sec-92-4">
              <w:r>
                <w:rPr>
                  <w:rStyle w:val="Hyperlink"/>
                  <w:bCs/>
                  <w:b/>
                </w:rPr>
                <w:t xml:space="preserve">92.4</w:t>
              </w:r>
            </w:hyperlink>
            <w:r>
              <w:rPr>
                <w:bCs/>
                <w:b/>
              </w:rPr>
              <w:t xml:space="preserve">、</w:t>
            </w:r>
            <w:hyperlink w:anchor="sec-110-9">
              <w:r>
                <w:rPr>
                  <w:rStyle w:val="Hyperlink"/>
                  <w:bCs/>
                  <w:b/>
                </w:rPr>
                <w:t xml:space="preserve">110.9</w:t>
              </w:r>
            </w:hyperlink>
          </w:p>
        </w:tc>
        <w:tc>
          <w:tcPr/>
          <w:p>
            <w:pPr>
              <w:pStyle w:val="Compact"/>
              <w:jc w:val="left"/>
            </w:pPr>
            <w:r>
              <w:t xml:space="preserve">与皮层往返调节：注意选择、觉醒、意识状态</w:t>
            </w:r>
          </w:p>
        </w:tc>
        <w:tc>
          <w:tcPr/>
          <w:p>
            <w:pPr>
              <w:pStyle w:val="Compact"/>
              <w:jc w:val="left"/>
            </w:pPr>
            <w:r>
              <w:t xml:space="preserve">“只是中继站”；“冥想时丘脑变化说明自我消融”</w:t>
            </w:r>
          </w:p>
        </w:tc>
        <w:tc>
          <w:tcPr/>
          <w:p>
            <w:pPr>
              <w:pStyle w:val="Compact"/>
              <w:jc w:val="left"/>
            </w:pPr>
            <w:r>
              <w:t xml:space="preserve">现代研究在中继功能之外补充了门控与跨皮层协调等作用；常被引用的冥想血流研究只有 8 人，前后变化没有对照条件，也没有找到直接重复</w:t>
            </w:r>
          </w:p>
        </w:tc>
        <w:tc>
          <w:tcPr/>
          <w:p>
            <w:pPr>
              <w:pStyle w:val="Compact"/>
              <w:jc w:val="left"/>
            </w:pPr>
            <w:r>
              <w:t xml:space="preserve">只是中继站：</w:t>
            </w:r>
            <w:r>
              <w:rPr>
                <w:bCs/>
                <w:b/>
              </w:rPr>
              <w:t xml:space="preserve">错误·高</w:t>
            </w:r>
          </w:p>
          <w:p>
            <w:pPr>
              <w:pStyle w:val="Compact"/>
              <w:jc w:val="left"/>
            </w:pPr>
            <w:r>
              <w:t xml:space="preserve">自我消融：</w:t>
            </w:r>
            <w:r>
              <w:rPr>
                <w:bCs/>
                <w:b/>
              </w:rPr>
              <w:t xml:space="preserve">证据不足·低</w:t>
            </w:r>
          </w:p>
        </w:tc>
      </w:tr>
      <w:tr>
        <w:tc>
          <w:tcPr/>
          <w:p>
            <w:pPr>
              <w:pStyle w:val="Compact"/>
              <w:jc w:val="left"/>
            </w:pPr>
            <w:r>
              <w:rPr>
                <w:bCs/>
                <w:b/>
              </w:rPr>
              <w:t xml:space="preserve">下丘脑</w:t>
            </w:r>
          </w:p>
          <w:p>
            <w:pPr>
              <w:pStyle w:val="Compact"/>
              <w:jc w:val="left"/>
            </w:pPr>
            <w:r>
              <w:rPr>
                <w:bCs/>
                <w:b/>
              </w:rPr>
              <w:t xml:space="preserve">见</w:t>
            </w:r>
            <w:r>
              <w:rPr>
                <w:bCs/>
                <w:b/>
              </w:rPr>
              <w:t xml:space="preserve"> </w:t>
            </w:r>
            <w:hyperlink w:anchor="sec-92-4">
              <w:r>
                <w:rPr>
                  <w:rStyle w:val="Hyperlink"/>
                  <w:bCs/>
                  <w:b/>
                </w:rPr>
                <w:t xml:space="preserve">92.4</w:t>
              </w:r>
            </w:hyperlink>
            <w:r>
              <w:rPr>
                <w:bCs/>
                <w:b/>
              </w:rPr>
              <w:t xml:space="preserve">、</w:t>
            </w:r>
            <w:hyperlink w:anchor="sec-110-9">
              <w:r>
                <w:rPr>
                  <w:rStyle w:val="Hyperlink"/>
                  <w:bCs/>
                  <w:b/>
                </w:rPr>
                <w:t xml:space="preserve">110.9</w:t>
              </w:r>
            </w:hyperlink>
          </w:p>
        </w:tc>
        <w:tc>
          <w:tcPr/>
          <w:p>
            <w:pPr>
              <w:pStyle w:val="Compact"/>
              <w:jc w:val="left"/>
            </w:pPr>
            <w:r>
              <w:t xml:space="preserve">自主神经与内分泌整合，应激激素轴的起点</w:t>
            </w:r>
          </w:p>
        </w:tc>
        <w:tc>
          <w:tcPr/>
          <w:p>
            <w:pPr>
              <w:pStyle w:val="Compact"/>
              <w:jc w:val="left"/>
            </w:pPr>
            <w:r>
              <w:t xml:space="preserve">“冥想调节下丘脑”</w:t>
            </w:r>
          </w:p>
        </w:tc>
        <w:tc>
          <w:tcPr/>
          <w:p>
            <w:pPr>
              <w:pStyle w:val="Compact"/>
              <w:jc w:val="left"/>
            </w:pPr>
            <w:r>
              <w:t xml:space="preserve">专门研究极少：一项 5 人的早期功能磁共振研究在正文中提到下丘脑附近的激活，因靠近磁敏感伪迹、切片较厚而没有定量，这一具体发现未见重复；外周皮质醇的变化无法定位到应激轴的某一环节</w:t>
            </w:r>
          </w:p>
        </w:tc>
        <w:tc>
          <w:tcPr/>
          <w:p>
            <w:pPr>
              <w:pStyle w:val="Compact"/>
              <w:jc w:val="left"/>
            </w:pPr>
            <w:r>
              <w:rPr>
                <w:bCs/>
                <w:b/>
              </w:rPr>
              <w:t xml:space="preserve">证据不足·中</w:t>
            </w:r>
          </w:p>
        </w:tc>
      </w:tr>
      <w:tr>
        <w:tc>
          <w:tcPr/>
          <w:p>
            <w:pPr>
              <w:pStyle w:val="Compact"/>
              <w:jc w:val="left"/>
            </w:pPr>
            <w:r>
              <w:rPr>
                <w:bCs/>
                <w:b/>
              </w:rPr>
              <w:t xml:space="preserve">脑干</w:t>
            </w:r>
          </w:p>
          <w:p>
            <w:pPr>
              <w:pStyle w:val="Compact"/>
              <w:jc w:val="left"/>
            </w:pPr>
            <w:r>
              <w:rPr>
                <w:bCs/>
                <w:b/>
              </w:rPr>
              <w:t xml:space="preserve">见</w:t>
            </w:r>
            <w:r>
              <w:rPr>
                <w:bCs/>
                <w:b/>
              </w:rPr>
              <w:t xml:space="preserve"> </w:t>
            </w:r>
            <w:hyperlink w:anchor="sec-92-5">
              <w:r>
                <w:rPr>
                  <w:rStyle w:val="Hyperlink"/>
                  <w:bCs/>
                  <w:b/>
                </w:rPr>
                <w:t xml:space="preserve">92.5</w:t>
              </w:r>
            </w:hyperlink>
            <w:r>
              <w:rPr>
                <w:bCs/>
                <w:b/>
              </w:rPr>
              <w:t xml:space="preserve">、</w:t>
            </w:r>
            <w:hyperlink w:anchor="sec-110-10">
              <w:r>
                <w:rPr>
                  <w:rStyle w:val="Hyperlink"/>
                  <w:bCs/>
                  <w:b/>
                </w:rPr>
                <w:t xml:space="preserve">110.10</w:t>
              </w:r>
            </w:hyperlink>
          </w:p>
        </w:tc>
        <w:tc>
          <w:tcPr/>
          <w:p>
            <w:pPr>
              <w:pStyle w:val="Compact"/>
              <w:jc w:val="left"/>
            </w:pPr>
            <w:r>
              <w:t xml:space="preserve">蓝斑、中缝核、导水管周围灰质、迷走核团：觉醒、情绪、疼痛、内脏调节</w:t>
            </w:r>
          </w:p>
        </w:tc>
        <w:tc>
          <w:tcPr/>
          <w:p>
            <w:pPr>
              <w:pStyle w:val="Compact"/>
              <w:jc w:val="left"/>
            </w:pPr>
            <w:r>
              <w:t xml:space="preserve">“爬行脑”“本能脑”</w:t>
            </w:r>
          </w:p>
        </w:tc>
        <w:tc>
          <w:tcPr/>
          <w:p>
            <w:pPr>
              <w:pStyle w:val="Compact"/>
              <w:jc w:val="left"/>
            </w:pPr>
            <w:r>
              <w:t xml:space="preserve">所有脊椎动物共有的结构，与皮层持续双向互动；本书检索到的冥想形态学研究只有两项小样本（一项小型横断面比较，一项 14 人、无对照的分析），常规形态学的分辨率分不清其中的递质核团</w:t>
            </w:r>
          </w:p>
        </w:tc>
        <w:tc>
          <w:tcPr/>
          <w:p>
            <w:pPr>
              <w:pStyle w:val="Compact"/>
              <w:jc w:val="left"/>
            </w:pPr>
            <w:r>
              <w:t xml:space="preserve">爬行脑：</w:t>
            </w:r>
            <w:r>
              <w:rPr>
                <w:bCs/>
                <w:b/>
              </w:rPr>
              <w:t xml:space="preserve">错误·高</w:t>
            </w:r>
          </w:p>
          <w:p>
            <w:pPr>
              <w:pStyle w:val="Compact"/>
              <w:jc w:val="left"/>
            </w:pPr>
            <w:r>
              <w:t xml:space="preserve">结构改变：</w:t>
            </w:r>
            <w:r>
              <w:rPr>
                <w:bCs/>
                <w:b/>
              </w:rPr>
              <w:t xml:space="preserve">证据不足·中</w:t>
            </w:r>
          </w:p>
        </w:tc>
      </w:tr>
      <w:tr>
        <w:tc>
          <w:tcPr/>
          <w:p>
            <w:pPr>
              <w:pStyle w:val="Compact"/>
              <w:jc w:val="left"/>
            </w:pPr>
            <w:r>
              <w:rPr>
                <w:bCs/>
                <w:b/>
              </w:rPr>
              <w:t xml:space="preserve">小脑</w:t>
            </w:r>
          </w:p>
          <w:p>
            <w:pPr>
              <w:pStyle w:val="Compact"/>
              <w:jc w:val="left"/>
            </w:pPr>
            <w:r>
              <w:rPr>
                <w:bCs/>
                <w:b/>
              </w:rPr>
              <w:t xml:space="preserve">见</w:t>
            </w:r>
            <w:r>
              <w:rPr>
                <w:bCs/>
                <w:b/>
              </w:rPr>
              <w:t xml:space="preserve"> </w:t>
            </w:r>
            <w:hyperlink w:anchor="sec-92-6">
              <w:r>
                <w:rPr>
                  <w:rStyle w:val="Hyperlink"/>
                  <w:bCs/>
                  <w:b/>
                </w:rPr>
                <w:t xml:space="preserve">92.6</w:t>
              </w:r>
            </w:hyperlink>
            <w:r>
              <w:rPr>
                <w:bCs/>
                <w:b/>
              </w:rPr>
              <w:t xml:space="preserve">、</w:t>
            </w:r>
            <w:hyperlink w:anchor="sec-110-10">
              <w:r>
                <w:rPr>
                  <w:rStyle w:val="Hyperlink"/>
                  <w:bCs/>
                  <w:b/>
                </w:rPr>
                <w:t xml:space="preserve">110.10</w:t>
              </w:r>
            </w:hyperlink>
          </w:p>
        </w:tc>
        <w:tc>
          <w:tcPr/>
          <w:p>
            <w:pPr>
              <w:pStyle w:val="Compact"/>
              <w:jc w:val="left"/>
            </w:pPr>
            <w:r>
              <w:t xml:space="preserve">运动协调，也参与认知、语言与情绪；人脑约八成神经元在这里（按数量计）</w:t>
            </w:r>
          </w:p>
        </w:tc>
        <w:tc>
          <w:tcPr/>
          <w:p>
            <w:pPr>
              <w:pStyle w:val="Compact"/>
              <w:jc w:val="left"/>
            </w:pPr>
            <w:r>
              <w:t xml:space="preserve">“只管运动”</w:t>
            </w:r>
          </w:p>
        </w:tc>
        <w:tc>
          <w:tcPr/>
          <w:p>
            <w:pPr>
              <w:pStyle w:val="Compact"/>
              <w:jc w:val="left"/>
            </w:pPr>
            <w:r>
              <w:t xml:space="preserve">后叶损伤导致认知与情绪改变；大部分区域与大脑联合网络对应</w:t>
            </w:r>
          </w:p>
        </w:tc>
        <w:tc>
          <w:tcPr/>
          <w:p>
            <w:pPr>
              <w:pStyle w:val="Compact"/>
              <w:jc w:val="left"/>
            </w:pPr>
            <w:r>
              <w:rPr>
                <w:bCs/>
                <w:b/>
              </w:rPr>
              <w:t xml:space="preserve">错误·高</w:t>
            </w:r>
          </w:p>
        </w:tc>
      </w:tr>
      <w:tr>
        <w:tc>
          <w:tcPr/>
          <w:p>
            <w:pPr>
              <w:pStyle w:val="Compact"/>
              <w:jc w:val="left"/>
            </w:pPr>
            <w:r>
              <w:rPr>
                <w:bCs/>
                <w:b/>
              </w:rPr>
              <w:t xml:space="preserve">胼胝体与白质</w:t>
            </w:r>
          </w:p>
          <w:p>
            <w:pPr>
              <w:pStyle w:val="Compact"/>
              <w:jc w:val="left"/>
            </w:pPr>
            <w:r>
              <w:rPr>
                <w:bCs/>
                <w:b/>
              </w:rPr>
              <w:t xml:space="preserve">见</w:t>
            </w:r>
            <w:r>
              <w:rPr>
                <w:bCs/>
                <w:b/>
              </w:rPr>
              <w:t xml:space="preserve"> </w:t>
            </w:r>
            <w:hyperlink w:anchor="sec-92-7">
              <w:r>
                <w:rPr>
                  <w:rStyle w:val="Hyperlink"/>
                  <w:bCs/>
                  <w:b/>
                </w:rPr>
                <w:t xml:space="preserve">92.7</w:t>
              </w:r>
            </w:hyperlink>
            <w:r>
              <w:rPr>
                <w:bCs/>
                <w:b/>
              </w:rPr>
              <w:t xml:space="preserve">、</w:t>
            </w:r>
            <w:hyperlink w:anchor="sec-110-11">
              <w:r>
                <w:rPr>
                  <w:rStyle w:val="Hyperlink"/>
                  <w:bCs/>
                  <w:b/>
                </w:rPr>
                <w:t xml:space="preserve">110.11</w:t>
              </w:r>
            </w:hyperlink>
          </w:p>
        </w:tc>
        <w:tc>
          <w:tcPr/>
          <w:p>
            <w:pPr>
              <w:pStyle w:val="Compact"/>
              <w:jc w:val="left"/>
            </w:pPr>
            <w:r>
              <w:t xml:space="preserve">半球之间、脑区之间的纤维连接</w:t>
            </w:r>
          </w:p>
        </w:tc>
        <w:tc>
          <w:tcPr/>
          <w:p>
            <w:pPr>
              <w:pStyle w:val="Compact"/>
              <w:jc w:val="left"/>
            </w:pPr>
            <w:r>
              <w:t xml:space="preserve">“冥想增强左右脑连接”</w:t>
            </w:r>
          </w:p>
        </w:tc>
        <w:tc>
          <w:tcPr/>
          <w:p>
            <w:pPr>
              <w:pStyle w:val="Compact"/>
              <w:jc w:val="left"/>
            </w:pPr>
            <w:r>
              <w:t xml:space="preserve">横断面差异与单一团队的短期研究；按不同算法估计，六到九成白质体素含交叉纤维，各向异性分数升高不能读成髓鞘增加或“更好”；扩散指标、胼胝体形态和跨半球的功能连接是不同层次</w:t>
            </w:r>
          </w:p>
        </w:tc>
        <w:tc>
          <w:tcPr/>
          <w:p>
            <w:pPr>
              <w:pStyle w:val="Compact"/>
              <w:jc w:val="left"/>
            </w:pPr>
            <w:r>
              <w:rPr>
                <w:bCs/>
                <w:b/>
              </w:rPr>
              <w:t xml:space="preserve">证据不足·中</w:t>
            </w:r>
          </w:p>
        </w:tc>
      </w:tr>
      <w:tr>
        <w:tc>
          <w:tcPr/>
          <w:p>
            <w:pPr>
              <w:pStyle w:val="Compact"/>
              <w:jc w:val="left"/>
            </w:pPr>
            <w:r>
              <w:rPr>
                <w:bCs/>
                <w:b/>
              </w:rPr>
              <w:t xml:space="preserve">体感与运动皮层</w:t>
            </w:r>
          </w:p>
          <w:p>
            <w:pPr>
              <w:pStyle w:val="Compact"/>
              <w:jc w:val="left"/>
            </w:pPr>
            <w:r>
              <w:rPr>
                <w:bCs/>
                <w:b/>
              </w:rPr>
              <w:t xml:space="preserve">见</w:t>
            </w:r>
            <w:r>
              <w:rPr>
                <w:bCs/>
                <w:b/>
              </w:rPr>
              <w:t xml:space="preserve"> </w:t>
            </w:r>
            <w:hyperlink w:anchor="sec-92-8">
              <w:r>
                <w:rPr>
                  <w:rStyle w:val="Hyperlink"/>
                  <w:bCs/>
                  <w:b/>
                </w:rPr>
                <w:t xml:space="preserve">92.8</w:t>
              </w:r>
            </w:hyperlink>
            <w:r>
              <w:rPr>
                <w:bCs/>
                <w:b/>
              </w:rPr>
              <w:t xml:space="preserve">、</w:t>
            </w:r>
            <w:hyperlink w:anchor="sec-110-12">
              <w:r>
                <w:rPr>
                  <w:rStyle w:val="Hyperlink"/>
                  <w:bCs/>
                  <w:b/>
                </w:rPr>
                <w:t xml:space="preserve">110.12</w:t>
              </w:r>
            </w:hyperlink>
          </w:p>
        </w:tc>
        <w:tc>
          <w:tcPr/>
          <w:p>
            <w:pPr>
              <w:pStyle w:val="Compact"/>
              <w:jc w:val="left"/>
            </w:pPr>
            <w:r>
              <w:t xml:space="preserve">身体感觉的分区地图、随意运动的指令；α 节律参与空间注意分配</w:t>
            </w:r>
          </w:p>
        </w:tc>
        <w:tc>
          <w:tcPr/>
          <w:p>
            <w:pPr>
              <w:pStyle w:val="Compact"/>
              <w:jc w:val="left"/>
            </w:pPr>
            <w:r>
              <w:t xml:space="preserve">“身体扫描训练感觉皮层、让它变厚”</w:t>
            </w:r>
          </w:p>
        </w:tc>
        <w:tc>
          <w:tcPr/>
          <w:p>
            <w:pPr>
              <w:pStyle w:val="Compact"/>
              <w:jc w:val="left"/>
            </w:pPr>
            <w:r>
              <w:t xml:space="preserve">一项很小的随机研究中，训练后提示注意手部时体感皮层的 α 调节更明显，这是特定任务的结果；形态是否改变，这项研究没有回答；本书检索范围内很少有冥想研究直接涉及运动皮层</w:t>
            </w:r>
          </w:p>
        </w:tc>
        <w:tc>
          <w:tcPr/>
          <w:p>
            <w:pPr>
              <w:pStyle w:val="Compact"/>
              <w:jc w:val="left"/>
            </w:pPr>
            <w:r>
              <w:t xml:space="preserve">训练注意调节：</w:t>
            </w:r>
            <w:r>
              <w:rPr>
                <w:bCs/>
                <w:b/>
              </w:rPr>
              <w:t xml:space="preserve">证据不足·低</w:t>
            </w:r>
          </w:p>
          <w:p>
            <w:pPr>
              <w:pStyle w:val="Compact"/>
              <w:jc w:val="left"/>
            </w:pPr>
            <w:r>
              <w:t xml:space="preserve">感觉皮层变厚：</w:t>
            </w:r>
            <w:r>
              <w:rPr>
                <w:bCs/>
                <w:b/>
              </w:rPr>
              <w:t xml:space="preserve">证据不足·中</w:t>
            </w:r>
          </w:p>
        </w:tc>
      </w:tr>
      <w:tr>
        <w:tc>
          <w:tcPr/>
          <w:p>
            <w:pPr>
              <w:pStyle w:val="Compact"/>
              <w:jc w:val="left"/>
            </w:pPr>
            <w:r>
              <w:rPr>
                <w:bCs/>
                <w:b/>
              </w:rPr>
              <w:t xml:space="preserve">屏状核</w:t>
            </w:r>
          </w:p>
          <w:p>
            <w:pPr>
              <w:pStyle w:val="Compact"/>
              <w:jc w:val="left"/>
            </w:pPr>
            <w:r>
              <w:rPr>
                <w:bCs/>
                <w:b/>
              </w:rPr>
              <w:t xml:space="preserve">见</w:t>
            </w:r>
            <w:r>
              <w:rPr>
                <w:bCs/>
                <w:b/>
              </w:rPr>
              <w:t xml:space="preserve"> </w:t>
            </w:r>
            <w:hyperlink w:anchor="sec-92-9">
              <w:r>
                <w:rPr>
                  <w:rStyle w:val="Hyperlink"/>
                  <w:bCs/>
                  <w:b/>
                </w:rPr>
                <w:t xml:space="preserve">92.9</w:t>
              </w:r>
            </w:hyperlink>
            <w:r>
              <w:rPr>
                <w:bCs/>
                <w:b/>
              </w:rPr>
              <w:t xml:space="preserve">、</w:t>
            </w:r>
            <w:hyperlink w:anchor="sec-110-13">
              <w:r>
                <w:rPr>
                  <w:rStyle w:val="Hyperlink"/>
                  <w:bCs/>
                  <w:b/>
                </w:rPr>
                <w:t xml:space="preserve">110.13</w:t>
              </w:r>
            </w:hyperlink>
          </w:p>
        </w:tc>
        <w:tc>
          <w:tcPr/>
          <w:p>
            <w:pPr>
              <w:pStyle w:val="Compact"/>
              <w:jc w:val="left"/>
            </w:pPr>
            <w:r>
              <w:t xml:space="preserve">与大范围皮层广泛往返连接，参与慢波协调与抗干扰（主要来自动物研究）</w:t>
            </w:r>
          </w:p>
        </w:tc>
        <w:tc>
          <w:tcPr/>
          <w:p>
            <w:pPr>
              <w:pStyle w:val="Compact"/>
              <w:jc w:val="left"/>
            </w:pPr>
            <w:r>
              <w:t xml:space="preserve">“意识开关”；“冥想激活屏状核”</w:t>
            </w:r>
          </w:p>
        </w:tc>
        <w:tc>
          <w:tcPr/>
          <w:p>
            <w:pPr>
              <w:pStyle w:val="Compact"/>
              <w:jc w:val="left"/>
            </w:pPr>
            <w:r>
              <w:t xml:space="preserve">单个病例在屏状核边缘受刺激后反应中断；5 名病人屏状核内刺激未致意识丧失；少量冥想研究和元分析把结果标注到屏状核或邻近区域，它紧贴岛叶，定位不可靠</w:t>
            </w:r>
          </w:p>
        </w:tc>
        <w:tc>
          <w:tcPr/>
          <w:p>
            <w:pPr>
              <w:pStyle w:val="Compact"/>
              <w:jc w:val="left"/>
            </w:pPr>
            <w:r>
              <w:t xml:space="preserve">意识开关：</w:t>
            </w:r>
            <w:r>
              <w:rPr>
                <w:bCs/>
                <w:b/>
              </w:rPr>
              <w:t xml:space="preserve">证据不足·中</w:t>
            </w:r>
          </w:p>
          <w:p>
            <w:pPr>
              <w:pStyle w:val="Compact"/>
              <w:jc w:val="left"/>
            </w:pPr>
            <w:r>
              <w:t xml:space="preserve">冥想时特异作用：</w:t>
            </w:r>
            <w:r>
              <w:rPr>
                <w:bCs/>
                <w:b/>
              </w:rPr>
              <w:t xml:space="preserve">证据不足·中</w:t>
            </w:r>
          </w:p>
        </w:tc>
      </w:tr>
      <w:tr>
        <w:tc>
          <w:tcPr/>
          <w:p>
            <w:pPr>
              <w:pStyle w:val="Compact"/>
              <w:jc w:val="left"/>
            </w:pPr>
            <w:r>
              <w:rPr>
                <w:bCs/>
                <w:b/>
              </w:rPr>
              <w:t xml:space="preserve">松果体</w:t>
            </w:r>
          </w:p>
          <w:p>
            <w:pPr>
              <w:pStyle w:val="Compact"/>
              <w:jc w:val="left"/>
            </w:pPr>
            <w:r>
              <w:rPr>
                <w:bCs/>
                <w:b/>
              </w:rPr>
              <w:t xml:space="preserve">见</w:t>
            </w:r>
            <w:r>
              <w:rPr>
                <w:bCs/>
                <w:b/>
              </w:rPr>
              <w:t xml:space="preserve"> </w:t>
            </w:r>
            <w:hyperlink w:anchor="sec-92-10">
              <w:r>
                <w:rPr>
                  <w:rStyle w:val="Hyperlink"/>
                  <w:bCs/>
                  <w:b/>
                </w:rPr>
                <w:t xml:space="preserve">92.10</w:t>
              </w:r>
            </w:hyperlink>
            <w:r>
              <w:rPr>
                <w:bCs/>
                <w:b/>
              </w:rPr>
              <w:t xml:space="preserve">、</w:t>
            </w:r>
            <w:hyperlink w:anchor="sec-110-13">
              <w:r>
                <w:rPr>
                  <w:rStyle w:val="Hyperlink"/>
                  <w:bCs/>
                  <w:b/>
                </w:rPr>
                <w:t xml:space="preserve">110.13</w:t>
              </w:r>
            </w:hyperlink>
          </w:p>
        </w:tc>
        <w:tc>
          <w:tcPr/>
          <w:p>
            <w:pPr>
              <w:pStyle w:val="Compact"/>
              <w:jc w:val="left"/>
            </w:pPr>
            <w:r>
              <w:t xml:space="preserve">夜间分泌褪黑素，调节昼夜节律</w:t>
            </w:r>
          </w:p>
        </w:tc>
        <w:tc>
          <w:tcPr/>
          <w:p>
            <w:pPr>
              <w:pStyle w:val="Compact"/>
              <w:jc w:val="left"/>
            </w:pPr>
            <w:r>
              <w:t xml:space="preserve">“第三只眼”；“冥想打开松果体、释放 DMT”</w:t>
            </w:r>
          </w:p>
        </w:tc>
        <w:tc>
          <w:tcPr/>
          <w:p>
            <w:pPr>
              <w:pStyle w:val="Compact"/>
              <w:jc w:val="left"/>
            </w:pPr>
            <w:r>
              <w:t xml:space="preserve">没有研究测量过冥想时的 DMT；大鼠模型中皮层 DMT 不完全依赖松果体；有限的测量提示人脑内的微量 DMT 很可能不足以产生精神作用；钙化随年龄普遍，一项横断面研究中与睡眠质量无关</w:t>
            </w:r>
          </w:p>
        </w:tc>
        <w:tc>
          <w:tcPr/>
          <w:p>
            <w:pPr>
              <w:pStyle w:val="Compact"/>
              <w:jc w:val="left"/>
            </w:pPr>
            <w:r>
              <w:t xml:space="preserve">第三只眼、打开松果体：没有可检验的定义</w:t>
            </w:r>
          </w:p>
          <w:p>
            <w:pPr>
              <w:pStyle w:val="Compact"/>
              <w:jc w:val="left"/>
            </w:pPr>
            <w:r>
              <w:t xml:space="preserve">释放精神作用的 DMT：</w:t>
            </w:r>
            <w:r>
              <w:rPr>
                <w:bCs/>
                <w:b/>
              </w:rPr>
              <w:t xml:space="preserve">证据不足·高</w:t>
            </w:r>
          </w:p>
        </w:tc>
      </w:tr>
      <w:tr>
        <w:tc>
          <w:tcPr/>
          <w:p>
            <w:pPr>
              <w:pStyle w:val="Compact"/>
              <w:jc w:val="left"/>
            </w:pPr>
            <w:r>
              <w:rPr>
                <w:bCs/>
                <w:b/>
              </w:rPr>
              <w:t xml:space="preserve">“边缘系统”</w:t>
            </w:r>
          </w:p>
          <w:p>
            <w:pPr>
              <w:pStyle w:val="Compact"/>
              <w:jc w:val="left"/>
            </w:pPr>
            <w:r>
              <w:rPr>
                <w:bCs/>
                <w:b/>
              </w:rPr>
              <w:t xml:space="preserve">见</w:t>
            </w:r>
            <w:r>
              <w:rPr>
                <w:bCs/>
                <w:b/>
              </w:rPr>
              <w:t xml:space="preserve"> </w:t>
            </w:r>
            <w:hyperlink w:anchor="sec-88-1">
              <w:r>
                <w:rPr>
                  <w:rStyle w:val="Hyperlink"/>
                  <w:bCs/>
                  <w:b/>
                </w:rPr>
                <w:t xml:space="preserve">88.1</w:t>
              </w:r>
            </w:hyperlink>
          </w:p>
        </w:tc>
        <w:tc>
          <w:tcPr/>
          <w:p>
            <w:pPr>
              <w:pStyle w:val="Compact"/>
              <w:jc w:val="left"/>
            </w:pPr>
            <w:r>
              <w:t xml:space="preserve">历史形成的解剖统称，成员没有公认标准</w:t>
            </w:r>
          </w:p>
        </w:tc>
        <w:tc>
          <w:tcPr/>
          <w:p>
            <w:pPr>
              <w:pStyle w:val="Compact"/>
              <w:jc w:val="left"/>
            </w:pPr>
            <w:r>
              <w:t xml:space="preserve">“情绪脑”</w:t>
            </w:r>
          </w:p>
        </w:tc>
        <w:tc>
          <w:tcPr/>
          <w:p>
            <w:pPr>
              <w:pStyle w:val="Compact"/>
              <w:jc w:val="left"/>
            </w:pPr>
            <w:r>
              <w:t xml:space="preserve">有理论主张把它拆成情绪奖赏与情景记忆两个系统，也有人主张改用“生存回路”，这些都是理论划分；情绪功能广泛分布在它之外</w:t>
            </w:r>
          </w:p>
        </w:tc>
        <w:tc>
          <w:tcPr/>
          <w:p>
            <w:pPr>
              <w:pStyle w:val="Compact"/>
              <w:jc w:val="left"/>
            </w:pPr>
            <w:r>
              <w:rPr>
                <w:bCs/>
                <w:b/>
              </w:rPr>
              <w:t xml:space="preserve">过度简化·高</w:t>
            </w:r>
          </w:p>
        </w:tc>
      </w:tr>
    </w:tbl>
    <w:p>
      <w:pPr>
        <w:pStyle w:val="TableCaption"/>
      </w:pPr>
      <w:bookmarkStart w:id="1775" w:name="tab-med-molecules"/>
      <w:bookmarkEnd w:id="1775"/>
      <w:r>
        <w:rPr>
          <w:bCs/>
          <w:b/>
        </w:rPr>
        <w:t xml:space="preserve">表 26　递质、激素与分子指标：作用、说法与人体证据</w:t>
      </w:r>
    </w:p>
    <w:tbl>
      <w:tblPr>
        <w:tblStyle w:val="Table"/>
        <w:tblW w:type="pct" w:w="5000"/>
        <w:jc w:val="start"/>
        <w:tblLook w:firstRow="1" w:lastRow="0" w:firstColumn="0" w:lastColumn="0" w:noHBand="0" w:noVBand="0" w:val="0020"/>
      </w:tblPr>
      <w:tblGrid>
        <w:gridCol w:w="950"/>
        <w:gridCol w:w="1900"/>
        <w:gridCol w:w="1582"/>
        <w:gridCol w:w="2377"/>
        <w:gridCol w:w="1109"/>
      </w:tblGrid>
      <w:tr>
        <w:trPr>
          <w:tblHeader w:val="true"/>
        </w:trPr>
        <w:tc>
          <w:tcPr>
            <w:shd w:val="clear" w:color="auto" w:fill="1F3A5F"/>
          </w:tcPr>
          <w:p>
            <w:pPr>
              <w:pStyle w:val="Compact"/>
              <w:jc w:val="left"/>
            </w:pPr>
            <w:r>
              <w:rPr>
                <w:bCs/>
                <w:b/>
                <w:color w:val="FFFFFF"/>
              </w:rPr>
              <w:t xml:space="preserve">物质</w:t>
            </w:r>
          </w:p>
        </w:tc>
        <w:tc>
          <w:tcPr>
            <w:shd w:val="clear" w:color="auto" w:fill="1F3A5F"/>
          </w:tcPr>
          <w:p>
            <w:pPr>
              <w:pStyle w:val="Compact"/>
              <w:jc w:val="left"/>
            </w:pPr>
            <w:r>
              <w:rPr>
                <w:bCs/>
                <w:b/>
                <w:color w:val="FFFFFF"/>
              </w:rPr>
              <w:t xml:space="preserve">实际作用</w:t>
            </w:r>
          </w:p>
        </w:tc>
        <w:tc>
          <w:tcPr>
            <w:shd w:val="clear" w:color="auto" w:fill="1F3A5F"/>
          </w:tcPr>
          <w:p>
            <w:pPr>
              <w:pStyle w:val="Compact"/>
              <w:jc w:val="left"/>
            </w:pPr>
            <w:r>
              <w:rPr>
                <w:bCs/>
                <w:b/>
                <w:color w:val="FFFFFF"/>
              </w:rPr>
              <w:t xml:space="preserve">流行说法</w:t>
            </w:r>
          </w:p>
        </w:tc>
        <w:tc>
          <w:tcPr>
            <w:shd w:val="clear" w:color="auto" w:fill="1F3A5F"/>
          </w:tcPr>
          <w:p>
            <w:pPr>
              <w:pStyle w:val="Compact"/>
              <w:jc w:val="left"/>
            </w:pPr>
            <w:r>
              <w:rPr>
                <w:bCs/>
                <w:b/>
                <w:color w:val="FFFFFF"/>
              </w:rPr>
              <w:t xml:space="preserve">冥想相关的人体证据</w:t>
            </w:r>
          </w:p>
        </w:tc>
        <w:tc>
          <w:tcPr>
            <w:shd w:val="clear" w:color="auto" w:fill="1F3A5F"/>
          </w:tcPr>
          <w:p>
            <w:pPr>
              <w:pStyle w:val="Compact"/>
              <w:jc w:val="left"/>
            </w:pPr>
            <w:r>
              <w:rPr>
                <w:bCs/>
                <w:b/>
                <w:color w:val="FFFFFF"/>
              </w:rPr>
              <w:t xml:space="preserve">判断</w:t>
            </w:r>
          </w:p>
        </w:tc>
      </w:tr>
      <w:tr>
        <w:tc>
          <w:tcPr/>
          <w:p>
            <w:pPr>
              <w:pStyle w:val="Compact"/>
              <w:jc w:val="left"/>
            </w:pPr>
            <w:r>
              <w:rPr>
                <w:bCs/>
                <w:b/>
              </w:rPr>
              <w:t xml:space="preserve">多巴胺</w:t>
            </w:r>
          </w:p>
          <w:p>
            <w:pPr>
              <w:pStyle w:val="Compact"/>
              <w:jc w:val="left"/>
            </w:pPr>
            <w:r>
              <w:rPr>
                <w:bCs/>
                <w:b/>
              </w:rPr>
              <w:t xml:space="preserve">见</w:t>
            </w:r>
            <w:r>
              <w:rPr>
                <w:bCs/>
                <w:b/>
              </w:rPr>
              <w:t xml:space="preserve"> </w:t>
            </w:r>
            <w:hyperlink w:anchor="sec-95-1">
              <w:r>
                <w:rPr>
                  <w:rStyle w:val="Hyperlink"/>
                  <w:bCs/>
                  <w:b/>
                </w:rPr>
                <w:t xml:space="preserve">95.1</w:t>
              </w:r>
            </w:hyperlink>
            <w:r>
              <w:rPr>
                <w:bCs/>
                <w:b/>
              </w:rPr>
              <w:t xml:space="preserve">、</w:t>
            </w:r>
            <w:hyperlink w:anchor="sec-112-1">
              <w:r>
                <w:rPr>
                  <w:rStyle w:val="Hyperlink"/>
                  <w:bCs/>
                  <w:b/>
                </w:rPr>
                <w:t xml:space="preserve">112.1</w:t>
              </w:r>
            </w:hyperlink>
          </w:p>
        </w:tc>
        <w:tc>
          <w:tcPr/>
          <w:p>
            <w:pPr>
              <w:pStyle w:val="Compact"/>
              <w:jc w:val="left"/>
            </w:pPr>
            <w:r>
              <w:t xml:space="preserve">部分神经元编码奖赏预测误差（一种学习信号）；“想要”、运动控制、努力权衡</w:t>
            </w:r>
          </w:p>
        </w:tc>
        <w:tc>
          <w:tcPr/>
          <w:p>
            <w:pPr>
              <w:pStyle w:val="Compact"/>
              <w:jc w:val="left"/>
            </w:pPr>
            <w:r>
              <w:t xml:space="preserve">“快乐分子”；“冥想让多巴胺增加 65%”；“短期快乐”</w:t>
            </w:r>
          </w:p>
        </w:tc>
        <w:tc>
          <w:tcPr/>
          <w:p>
            <w:pPr>
              <w:pStyle w:val="Compact"/>
              <w:jc w:val="left"/>
            </w:pPr>
            <w:r>
              <w:t xml:space="preserve">65% 来自一项 8 人瑜伽休息术研究：腹侧纹状体的示踪剂结合下降 7.9%，借动物药理研究的比例推算成释放增加，只对应这一处的条件差异；同一研究中愉悦感没有差别，截至 2026 年 10 月未见独立的同类重复</w:t>
            </w:r>
          </w:p>
        </w:tc>
        <w:tc>
          <w:tcPr/>
          <w:p>
            <w:pPr>
              <w:pStyle w:val="Compact"/>
              <w:jc w:val="left"/>
            </w:pPr>
            <w:r>
              <w:t xml:space="preserve">快乐分子：</w:t>
            </w:r>
            <w:r>
              <w:rPr>
                <w:bCs/>
                <w:b/>
              </w:rPr>
              <w:t xml:space="preserve">过度简化·高</w:t>
            </w:r>
          </w:p>
          <w:p>
            <w:pPr>
              <w:pStyle w:val="Compact"/>
              <w:jc w:val="left"/>
            </w:pPr>
            <w:r>
              <w:t xml:space="preserve">65% 作为一般结论：</w:t>
            </w:r>
            <w:r>
              <w:rPr>
                <w:bCs/>
                <w:b/>
              </w:rPr>
              <w:t xml:space="preserve">证据不足·高</w:t>
            </w:r>
          </w:p>
          <w:p>
            <w:pPr>
              <w:pStyle w:val="Compact"/>
              <w:jc w:val="left"/>
            </w:pPr>
            <w:r>
              <w:t xml:space="preserve">短期快乐：</w:t>
            </w:r>
            <w:r>
              <w:rPr>
                <w:bCs/>
                <w:b/>
              </w:rPr>
              <w:t xml:space="preserve">错误·高</w:t>
            </w:r>
          </w:p>
        </w:tc>
      </w:tr>
      <w:tr>
        <w:tc>
          <w:tcPr/>
          <w:p>
            <w:pPr>
              <w:pStyle w:val="Compact"/>
              <w:jc w:val="left"/>
            </w:pPr>
            <w:r>
              <w:rPr>
                <w:bCs/>
                <w:b/>
              </w:rPr>
              <w:t xml:space="preserve">血清素</w:t>
            </w:r>
          </w:p>
          <w:p>
            <w:pPr>
              <w:pStyle w:val="Compact"/>
              <w:jc w:val="left"/>
            </w:pPr>
            <w:r>
              <w:rPr>
                <w:bCs/>
                <w:b/>
              </w:rPr>
              <w:t xml:space="preserve">见</w:t>
            </w:r>
            <w:r>
              <w:rPr>
                <w:bCs/>
                <w:b/>
              </w:rPr>
              <w:t xml:space="preserve"> </w:t>
            </w:r>
            <w:hyperlink w:anchor="sec-96-1">
              <w:r>
                <w:rPr>
                  <w:rStyle w:val="Hyperlink"/>
                  <w:bCs/>
                  <w:b/>
                </w:rPr>
                <w:t xml:space="preserve">96.1</w:t>
              </w:r>
            </w:hyperlink>
            <w:r>
              <w:rPr>
                <w:bCs/>
                <w:b/>
              </w:rPr>
              <w:t xml:space="preserve">、</w:t>
            </w:r>
            <w:hyperlink w:anchor="sec-112-2">
              <w:r>
                <w:rPr>
                  <w:rStyle w:val="Hyperlink"/>
                  <w:bCs/>
                  <w:b/>
                </w:rPr>
                <w:t xml:space="preserve">112.2</w:t>
              </w:r>
            </w:hyperlink>
          </w:p>
        </w:tc>
        <w:tc>
          <w:tcPr/>
          <w:p>
            <w:pPr>
              <w:pStyle w:val="Compact"/>
              <w:jc w:val="left"/>
            </w:pPr>
            <w:r>
              <w:t xml:space="preserve">情绪、睡眠、食欲、冲动控制；外周血清素不能通过血脑屏障</w:t>
            </w:r>
          </w:p>
        </w:tc>
        <w:tc>
          <w:tcPr/>
          <w:p>
            <w:pPr>
              <w:pStyle w:val="Compact"/>
              <w:jc w:val="left"/>
            </w:pPr>
            <w:r>
              <w:t xml:space="preserve">“幸福激素”；“血清素低导致抑郁”；“冥想提升血清素”</w:t>
            </w:r>
          </w:p>
        </w:tc>
        <w:tc>
          <w:tcPr/>
          <w:p>
            <w:pPr>
              <w:pStyle w:val="Compact"/>
              <w:jc w:val="left"/>
            </w:pPr>
            <w:r>
              <w:t xml:space="preserve">冥想的人体数据都是外周测量：一项含安静休息对照的急性研究中两组血液血清素都下降，2023 年一项 30 对 30 人的横断面匹配比较中长期练习者清晨血清浓度较高，都推不出脑内变化；“化学失衡”单一解释已受质疑</w:t>
            </w:r>
          </w:p>
        </w:tc>
        <w:tc>
          <w:tcPr/>
          <w:p>
            <w:pPr>
              <w:pStyle w:val="Compact"/>
              <w:jc w:val="left"/>
            </w:pPr>
            <w:r>
              <w:t xml:space="preserve">幸福激素：</w:t>
            </w:r>
            <w:r>
              <w:rPr>
                <w:bCs/>
                <w:b/>
              </w:rPr>
              <w:t xml:space="preserve">过度简化·高</w:t>
            </w:r>
          </w:p>
          <w:p>
            <w:pPr>
              <w:pStyle w:val="Compact"/>
              <w:jc w:val="left"/>
            </w:pPr>
            <w:r>
              <w:t xml:space="preserve">提升大脑血清素：</w:t>
            </w:r>
            <w:r>
              <w:rPr>
                <w:bCs/>
                <w:b/>
              </w:rPr>
              <w:t xml:space="preserve">证据不足·高</w:t>
            </w:r>
          </w:p>
        </w:tc>
      </w:tr>
      <w:tr>
        <w:tc>
          <w:tcPr/>
          <w:p>
            <w:pPr>
              <w:pStyle w:val="Compact"/>
              <w:jc w:val="left"/>
            </w:pPr>
            <w:r>
              <w:rPr>
                <w:bCs/>
                <w:b/>
              </w:rPr>
              <w:t xml:space="preserve">内啡肽（内源性阿片）</w:t>
            </w:r>
          </w:p>
          <w:p>
            <w:pPr>
              <w:pStyle w:val="Compact"/>
              <w:jc w:val="left"/>
            </w:pPr>
            <w:r>
              <w:rPr>
                <w:bCs/>
                <w:b/>
              </w:rPr>
              <w:t xml:space="preserve">见</w:t>
            </w:r>
            <w:r>
              <w:rPr>
                <w:bCs/>
                <w:b/>
              </w:rPr>
              <w:t xml:space="preserve"> </w:t>
            </w:r>
            <w:hyperlink w:anchor="sec-97-1">
              <w:r>
                <w:rPr>
                  <w:rStyle w:val="Hyperlink"/>
                  <w:bCs/>
                  <w:b/>
                </w:rPr>
                <w:t xml:space="preserve">97.1</w:t>
              </w:r>
            </w:hyperlink>
            <w:r>
              <w:rPr>
                <w:bCs/>
                <w:b/>
              </w:rPr>
              <w:t xml:space="preserve">、</w:t>
            </w:r>
            <w:hyperlink w:anchor="sec-112-3">
              <w:r>
                <w:rPr>
                  <w:rStyle w:val="Hyperlink"/>
                  <w:bCs/>
                  <w:b/>
                </w:rPr>
                <w:t xml:space="preserve">112.3</w:t>
              </w:r>
            </w:hyperlink>
          </w:p>
        </w:tc>
        <w:tc>
          <w:tcPr/>
          <w:p>
            <w:pPr>
              <w:pStyle w:val="Compact"/>
              <w:jc w:val="left"/>
            </w:pPr>
            <w:r>
              <w:t xml:space="preserve">镇痛、享受感、社会联结</w:t>
            </w:r>
          </w:p>
        </w:tc>
        <w:tc>
          <w:tcPr/>
          <w:p>
            <w:pPr>
              <w:pStyle w:val="Compact"/>
              <w:jc w:val="left"/>
            </w:pPr>
            <w:r>
              <w:t xml:space="preserve">“长期快乐”；“冥想靠内啡肽止痛”</w:t>
            </w:r>
          </w:p>
        </w:tc>
        <w:tc>
          <w:tcPr/>
          <w:p>
            <w:pPr>
              <w:pStyle w:val="Compact"/>
              <w:jc w:val="left"/>
            </w:pPr>
            <w:r>
              <w:t xml:space="preserve">实验性疼痛中的阿片阻断结果不一：若干研究阻断后正念镇痛仍在，一项合并两项试验的分析中，男性的自我调节镇痛（含假冥想）在阻断后减弱；阻断后效果仍在，削弱的是“完全依赖”的假说；外周 β-内啡肽不能通过血脑屏障</w:t>
            </w:r>
          </w:p>
        </w:tc>
        <w:tc>
          <w:tcPr/>
          <w:p>
            <w:pPr>
              <w:pStyle w:val="Compact"/>
              <w:jc w:val="left"/>
            </w:pPr>
            <w:r>
              <w:t xml:space="preserve">靠内啡肽止痛：</w:t>
            </w:r>
            <w:r>
              <w:rPr>
                <w:bCs/>
                <w:b/>
              </w:rPr>
              <w:t xml:space="preserve">过度简化·中</w:t>
            </w:r>
          </w:p>
          <w:p>
            <w:pPr>
              <w:pStyle w:val="Compact"/>
              <w:jc w:val="left"/>
            </w:pPr>
            <w:r>
              <w:t xml:space="preserve">长期快乐：</w:t>
            </w:r>
            <w:r>
              <w:rPr>
                <w:bCs/>
                <w:b/>
              </w:rPr>
              <w:t xml:space="preserve">错误·高</w:t>
            </w:r>
          </w:p>
        </w:tc>
      </w:tr>
      <w:tr>
        <w:tc>
          <w:tcPr/>
          <w:p>
            <w:pPr>
              <w:pStyle w:val="Compact"/>
              <w:jc w:val="left"/>
            </w:pPr>
            <w:r>
              <w:rPr>
                <w:bCs/>
                <w:b/>
              </w:rPr>
              <w:t xml:space="preserve">内源性大麻素</w:t>
            </w:r>
          </w:p>
          <w:p>
            <w:pPr>
              <w:pStyle w:val="Compact"/>
              <w:jc w:val="left"/>
            </w:pPr>
            <w:r>
              <w:rPr>
                <w:bCs/>
                <w:b/>
              </w:rPr>
              <w:t xml:space="preserve">见</w:t>
            </w:r>
            <w:r>
              <w:rPr>
                <w:bCs/>
                <w:b/>
              </w:rPr>
              <w:t xml:space="preserve"> </w:t>
            </w:r>
            <w:hyperlink w:anchor="sec-97-1">
              <w:r>
                <w:rPr>
                  <w:rStyle w:val="Hyperlink"/>
                  <w:bCs/>
                  <w:b/>
                </w:rPr>
                <w:t xml:space="preserve">97.1</w:t>
              </w:r>
            </w:hyperlink>
            <w:r>
              <w:rPr>
                <w:bCs/>
                <w:b/>
              </w:rPr>
              <w:t xml:space="preserve">、</w:t>
            </w:r>
            <w:hyperlink w:anchor="sec-112-3">
              <w:r>
                <w:rPr>
                  <w:rStyle w:val="Hyperlink"/>
                  <w:bCs/>
                  <w:b/>
                </w:rPr>
                <w:t xml:space="preserve">112.3</w:t>
              </w:r>
            </w:hyperlink>
          </w:p>
        </w:tc>
        <w:tc>
          <w:tcPr/>
          <w:p>
            <w:pPr>
              <w:pStyle w:val="Compact"/>
              <w:jc w:val="left"/>
            </w:pPr>
            <w:r>
              <w:t xml:space="preserve">调节应激、疼痛与情绪；可通过血脑屏障</w:t>
            </w:r>
          </w:p>
        </w:tc>
        <w:tc>
          <w:tcPr/>
          <w:p>
            <w:pPr>
              <w:pStyle w:val="Compact"/>
              <w:jc w:val="left"/>
            </w:pPr>
            <w:r>
              <w:t xml:space="preserve">“跑步的快感来自内啡肽”；“冥想提升内源性大麻素”</w:t>
            </w:r>
          </w:p>
        </w:tc>
        <w:tc>
          <w:tcPr/>
          <w:p>
            <w:pPr>
              <w:pStyle w:val="Compact"/>
              <w:jc w:val="left"/>
            </w:pPr>
            <w:r>
              <w:t xml:space="preserve">跑步研究（作为背景）：阿片阻断后跑后愉悦仍在，血液内源性大麻素上升，血液浓度不能直接代表脑内浓度，是否必需还需阻断实验检验；冥想方面缺少可靠的人体研究</w:t>
            </w:r>
          </w:p>
        </w:tc>
        <w:tc>
          <w:tcPr/>
          <w:p>
            <w:pPr>
              <w:pStyle w:val="Compact"/>
              <w:jc w:val="left"/>
            </w:pPr>
            <w:r>
              <w:t xml:space="preserve">跑步快感：</w:t>
            </w:r>
            <w:r>
              <w:rPr>
                <w:bCs/>
                <w:b/>
              </w:rPr>
              <w:t xml:space="preserve">过度简化·中</w:t>
            </w:r>
          </w:p>
          <w:p>
            <w:pPr>
              <w:pStyle w:val="Compact"/>
              <w:jc w:val="left"/>
            </w:pPr>
            <w:r>
              <w:t xml:space="preserve">冥想提升：</w:t>
            </w:r>
            <w:r>
              <w:rPr>
                <w:bCs/>
                <w:b/>
              </w:rPr>
              <w:t xml:space="preserve">证据不足·低</w:t>
            </w:r>
          </w:p>
        </w:tc>
      </w:tr>
      <w:tr>
        <w:tc>
          <w:tcPr/>
          <w:p>
            <w:pPr>
              <w:pStyle w:val="Compact"/>
              <w:jc w:val="left"/>
            </w:pPr>
            <w:r>
              <w:rPr>
                <w:bCs/>
                <w:b/>
              </w:rPr>
              <w:t xml:space="preserve">催产素</w:t>
            </w:r>
          </w:p>
          <w:p>
            <w:pPr>
              <w:pStyle w:val="Compact"/>
              <w:jc w:val="left"/>
            </w:pPr>
            <w:r>
              <w:rPr>
                <w:bCs/>
                <w:b/>
              </w:rPr>
              <w:t xml:space="preserve">见</w:t>
            </w:r>
            <w:r>
              <w:rPr>
                <w:bCs/>
                <w:b/>
              </w:rPr>
              <w:t xml:space="preserve"> </w:t>
            </w:r>
            <w:hyperlink w:anchor="sec-98-1">
              <w:r>
                <w:rPr>
                  <w:rStyle w:val="Hyperlink"/>
                  <w:bCs/>
                  <w:b/>
                </w:rPr>
                <w:t xml:space="preserve">98.1</w:t>
              </w:r>
            </w:hyperlink>
            <w:r>
              <w:rPr>
                <w:bCs/>
                <w:b/>
              </w:rPr>
              <w:t xml:space="preserve">、</w:t>
            </w:r>
            <w:hyperlink w:anchor="sec-112-4">
              <w:r>
                <w:rPr>
                  <w:rStyle w:val="Hyperlink"/>
                  <w:bCs/>
                  <w:b/>
                </w:rPr>
                <w:t xml:space="preserve">112.4</w:t>
              </w:r>
            </w:hyperlink>
          </w:p>
        </w:tc>
        <w:tc>
          <w:tcPr/>
          <w:p>
            <w:pPr>
              <w:pStyle w:val="Compact"/>
              <w:jc w:val="left"/>
            </w:pPr>
            <w:r>
              <w:t xml:space="preserve">分娩、哺乳、某些哺乳动物的社会联结</w:t>
            </w:r>
          </w:p>
        </w:tc>
        <w:tc>
          <w:tcPr/>
          <w:p>
            <w:pPr>
              <w:pStyle w:val="Compact"/>
              <w:jc w:val="left"/>
            </w:pPr>
            <w:r>
              <w:t xml:space="preserve">“爱的激素”；“慈心冥想提升催产素”</w:t>
            </w:r>
          </w:p>
        </w:tc>
        <w:tc>
          <w:tcPr/>
          <w:p>
            <w:pPr>
              <w:pStyle w:val="Compact"/>
              <w:jc w:val="left"/>
            </w:pPr>
            <w:r>
              <w:t xml:space="preserve">信任游戏中的预注册重复未见效应；冥想研究方向不一，不同状态下的升降拼不成统一趋势；外周测定的结果取决于是否提取、用哪种免疫分析和样本类型</w:t>
            </w:r>
          </w:p>
        </w:tc>
        <w:tc>
          <w:tcPr/>
          <w:p>
            <w:pPr>
              <w:pStyle w:val="Compact"/>
              <w:jc w:val="left"/>
            </w:pPr>
            <w:r>
              <w:t xml:space="preserve">爱的激素：</w:t>
            </w:r>
            <w:r>
              <w:rPr>
                <w:bCs/>
                <w:b/>
              </w:rPr>
              <w:t xml:space="preserve">过度简化·高</w:t>
            </w:r>
          </w:p>
          <w:p>
            <w:pPr>
              <w:pStyle w:val="Compact"/>
              <w:jc w:val="left"/>
            </w:pPr>
            <w:r>
              <w:t xml:space="preserve">慈心提升：</w:t>
            </w:r>
            <w:r>
              <w:rPr>
                <w:bCs/>
                <w:b/>
              </w:rPr>
              <w:t xml:space="preserve">证据不足·中</w:t>
            </w:r>
          </w:p>
        </w:tc>
      </w:tr>
      <w:tr>
        <w:tc>
          <w:tcPr/>
          <w:p>
            <w:pPr>
              <w:pStyle w:val="Compact"/>
              <w:jc w:val="left"/>
            </w:pPr>
            <w:r>
              <w:rPr>
                <w:bCs/>
                <w:b/>
              </w:rPr>
              <w:t xml:space="preserve">皮质醇与应激轴</w:t>
            </w:r>
          </w:p>
          <w:p>
            <w:pPr>
              <w:pStyle w:val="Compact"/>
              <w:jc w:val="left"/>
            </w:pPr>
            <w:r>
              <w:rPr>
                <w:bCs/>
                <w:b/>
              </w:rPr>
              <w:t xml:space="preserve">见</w:t>
            </w:r>
            <w:r>
              <w:rPr>
                <w:bCs/>
                <w:b/>
              </w:rPr>
              <w:t xml:space="preserve"> </w:t>
            </w:r>
            <w:hyperlink w:anchor="sec-99-1">
              <w:r>
                <w:rPr>
                  <w:rStyle w:val="Hyperlink"/>
                  <w:bCs/>
                  <w:b/>
                </w:rPr>
                <w:t xml:space="preserve">99.1</w:t>
              </w:r>
            </w:hyperlink>
            <w:r>
              <w:rPr>
                <w:bCs/>
                <w:b/>
              </w:rPr>
              <w:t xml:space="preserve">、</w:t>
            </w:r>
            <w:hyperlink w:anchor="sec-112-5">
              <w:r>
                <w:rPr>
                  <w:rStyle w:val="Hyperlink"/>
                  <w:bCs/>
                  <w:b/>
                </w:rPr>
                <w:t xml:space="preserve">112.5</w:t>
              </w:r>
            </w:hyperlink>
          </w:p>
        </w:tc>
        <w:tc>
          <w:tcPr/>
          <w:p>
            <w:pPr>
              <w:pStyle w:val="Compact"/>
              <w:jc w:val="left"/>
            </w:pPr>
            <w:r>
              <w:t xml:space="preserve">调动能量、调节免疫、强化重要记忆；有明显昼夜节律</w:t>
            </w:r>
          </w:p>
        </w:tc>
        <w:tc>
          <w:tcPr/>
          <w:p>
            <w:pPr>
              <w:pStyle w:val="Compact"/>
              <w:jc w:val="left"/>
            </w:pPr>
            <w:r>
              <w:t xml:space="preserve">“坏激素，越低越好”；“冥想降低皮质醇”</w:t>
            </w:r>
          </w:p>
        </w:tc>
        <w:tc>
          <w:tcPr/>
          <w:p>
            <w:pPr>
              <w:pStyle w:val="Compact"/>
              <w:jc w:val="left"/>
            </w:pPr>
            <w:r>
              <w:t xml:space="preserve">平均组间效应小到中等、差异大，2026 年正念减压元分析中相对主动对照约 −0.29（95% 置信区间 −0.54 到 −0.04）；应激峰值、日间斜率、觉醒反应和头发累积量是不同指标；人际取向模块降低社会应激下的皮质醇反应，单独的“当下”模块没有</w:t>
            </w:r>
          </w:p>
        </w:tc>
        <w:tc>
          <w:tcPr/>
          <w:p>
            <w:pPr>
              <w:pStyle w:val="Compact"/>
              <w:jc w:val="left"/>
            </w:pPr>
            <w:r>
              <w:t xml:space="preserve">坏激素：</w:t>
            </w:r>
            <w:r>
              <w:rPr>
                <w:bCs/>
                <w:b/>
              </w:rPr>
              <w:t xml:space="preserve">错误·高</w:t>
            </w:r>
          </w:p>
          <w:p>
            <w:pPr>
              <w:pStyle w:val="Compact"/>
              <w:jc w:val="left"/>
            </w:pPr>
            <w:r>
              <w:t xml:space="preserve">冥想降低：</w:t>
            </w:r>
            <w:r>
              <w:rPr>
                <w:bCs/>
                <w:b/>
              </w:rPr>
              <w:t xml:space="preserve">部分成立·中</w:t>
            </w:r>
          </w:p>
        </w:tc>
      </w:tr>
      <w:tr>
        <w:tc>
          <w:tcPr/>
          <w:p>
            <w:pPr>
              <w:pStyle w:val="Compact"/>
              <w:jc w:val="left"/>
            </w:pPr>
            <w:r>
              <w:rPr>
                <w:bCs/>
                <w:b/>
              </w:rPr>
              <w:t xml:space="preserve">去甲肾上腺素与蓝斑</w:t>
            </w:r>
          </w:p>
          <w:p>
            <w:pPr>
              <w:pStyle w:val="Compact"/>
              <w:jc w:val="left"/>
            </w:pPr>
            <w:r>
              <w:rPr>
                <w:bCs/>
                <w:b/>
              </w:rPr>
              <w:t xml:space="preserve">见</w:t>
            </w:r>
            <w:r>
              <w:rPr>
                <w:bCs/>
                <w:b/>
              </w:rPr>
              <w:t xml:space="preserve"> </w:t>
            </w:r>
            <w:hyperlink w:anchor="sec-97-2">
              <w:r>
                <w:rPr>
                  <w:rStyle w:val="Hyperlink"/>
                  <w:bCs/>
                  <w:b/>
                </w:rPr>
                <w:t xml:space="preserve">97.2</w:t>
              </w:r>
            </w:hyperlink>
            <w:r>
              <w:rPr>
                <w:bCs/>
                <w:b/>
              </w:rPr>
              <w:t xml:space="preserve">、</w:t>
            </w:r>
            <w:hyperlink w:anchor="sec-112-6">
              <w:r>
                <w:rPr>
                  <w:rStyle w:val="Hyperlink"/>
                  <w:bCs/>
                  <w:b/>
                </w:rPr>
                <w:t xml:space="preserve">112.6</w:t>
              </w:r>
            </w:hyperlink>
          </w:p>
        </w:tc>
        <w:tc>
          <w:tcPr/>
          <w:p>
            <w:pPr>
              <w:pStyle w:val="Compact"/>
              <w:jc w:val="left"/>
            </w:pPr>
            <w:r>
              <w:t xml:space="preserve">觉醒与注意的增益调节</w:t>
            </w:r>
          </w:p>
        </w:tc>
        <w:tc>
          <w:tcPr/>
          <w:p>
            <w:pPr>
              <w:pStyle w:val="Compact"/>
              <w:jc w:val="left"/>
            </w:pPr>
            <w:r>
              <w:t xml:space="preserve">“冥想通过蓝斑稳定注意”</w:t>
            </w:r>
          </w:p>
        </w:tc>
        <w:tc>
          <w:tcPr/>
          <w:p>
            <w:pPr>
              <w:pStyle w:val="Compact"/>
              <w:jc w:val="left"/>
            </w:pPr>
            <w:r>
              <w:t xml:space="preserve">呼吸与蓝斑耦合是可检验的假说，人体证据主要来自瞳孔和脑干功能磁共振等间接测量；瞳孔还受光照、认知努力和其他通路影响；整条人体因果链没有完成</w:t>
            </w:r>
          </w:p>
        </w:tc>
        <w:tc>
          <w:tcPr/>
          <w:p>
            <w:pPr>
              <w:pStyle w:val="Compact"/>
              <w:jc w:val="left"/>
            </w:pPr>
            <w:r>
              <w:rPr>
                <w:bCs/>
                <w:b/>
              </w:rPr>
              <w:t xml:space="preserve">证据不足·低</w:t>
            </w:r>
          </w:p>
        </w:tc>
      </w:tr>
      <w:tr>
        <w:tc>
          <w:tcPr/>
          <w:p>
            <w:pPr>
              <w:pStyle w:val="Compact"/>
              <w:jc w:val="left"/>
            </w:pPr>
            <w:r>
              <w:rPr>
                <w:bCs/>
                <w:b/>
              </w:rPr>
              <w:t xml:space="preserve">乙酰胆碱</w:t>
            </w:r>
          </w:p>
          <w:p>
            <w:pPr>
              <w:pStyle w:val="Compact"/>
              <w:jc w:val="left"/>
            </w:pPr>
            <w:r>
              <w:rPr>
                <w:bCs/>
                <w:b/>
              </w:rPr>
              <w:t xml:space="preserve">见</w:t>
            </w:r>
            <w:r>
              <w:rPr>
                <w:bCs/>
                <w:b/>
              </w:rPr>
              <w:t xml:space="preserve"> </w:t>
            </w:r>
            <w:hyperlink w:anchor="sec-97-3">
              <w:r>
                <w:rPr>
                  <w:rStyle w:val="Hyperlink"/>
                  <w:bCs/>
                  <w:b/>
                </w:rPr>
                <w:t xml:space="preserve">97.3</w:t>
              </w:r>
            </w:hyperlink>
            <w:r>
              <w:rPr>
                <w:bCs/>
                <w:b/>
              </w:rPr>
              <w:t xml:space="preserve">、</w:t>
            </w:r>
            <w:hyperlink w:anchor="sec-112-7">
              <w:r>
                <w:rPr>
                  <w:rStyle w:val="Hyperlink"/>
                  <w:bCs/>
                  <w:b/>
                </w:rPr>
                <w:t xml:space="preserve">112.7</w:t>
              </w:r>
            </w:hyperlink>
          </w:p>
        </w:tc>
        <w:tc>
          <w:tcPr/>
          <w:p>
            <w:pPr>
              <w:pStyle w:val="Compact"/>
              <w:jc w:val="left"/>
            </w:pPr>
            <w:r>
              <w:t xml:space="preserve">注意与学习；参与包括炎症反射在内的胆碱能通路（动物实验）</w:t>
            </w:r>
          </w:p>
        </w:tc>
        <w:tc>
          <w:tcPr/>
          <w:p>
            <w:pPr>
              <w:pStyle w:val="Compact"/>
              <w:jc w:val="left"/>
            </w:pPr>
            <w:r>
              <w:t xml:space="preserve">少见</w:t>
            </w:r>
          </w:p>
        </w:tc>
        <w:tc>
          <w:tcPr/>
          <w:p>
            <w:pPr>
              <w:pStyle w:val="Compact"/>
              <w:jc w:val="left"/>
            </w:pPr>
            <w:r>
              <w:t xml:space="preserve">本书检索范围内没有直接的冥想测量；“乙酰胆碱参与抗炎”推不出“冥想提升乙酰胆碱，所以抗炎”</w:t>
            </w:r>
          </w:p>
        </w:tc>
        <w:tc>
          <w:tcPr/>
          <w:p>
            <w:pPr>
              <w:pStyle w:val="Compact"/>
              <w:jc w:val="left"/>
            </w:pPr>
            <w:r>
              <w:rPr>
                <w:bCs/>
                <w:b/>
              </w:rPr>
              <w:t xml:space="preserve">证据不足·低</w:t>
            </w:r>
          </w:p>
        </w:tc>
      </w:tr>
      <w:tr>
        <w:tc>
          <w:tcPr/>
          <w:p>
            <w:pPr>
              <w:pStyle w:val="Compact"/>
              <w:jc w:val="left"/>
            </w:pPr>
            <w:r>
              <w:rPr>
                <w:bCs/>
                <w:b/>
              </w:rPr>
              <w:t xml:space="preserve">GABA 与谷氨酸</w:t>
            </w:r>
          </w:p>
          <w:p>
            <w:pPr>
              <w:pStyle w:val="Compact"/>
              <w:jc w:val="left"/>
            </w:pPr>
            <w:r>
              <w:rPr>
                <w:bCs/>
                <w:b/>
              </w:rPr>
              <w:t xml:space="preserve">见</w:t>
            </w:r>
            <w:r>
              <w:rPr>
                <w:bCs/>
                <w:b/>
              </w:rPr>
              <w:t xml:space="preserve"> </w:t>
            </w:r>
            <w:hyperlink w:anchor="sec-97-3">
              <w:r>
                <w:rPr>
                  <w:rStyle w:val="Hyperlink"/>
                  <w:bCs/>
                  <w:b/>
                </w:rPr>
                <w:t xml:space="preserve">97.3</w:t>
              </w:r>
            </w:hyperlink>
            <w:r>
              <w:rPr>
                <w:bCs/>
                <w:b/>
              </w:rPr>
              <w:t xml:space="preserve">、</w:t>
            </w:r>
            <w:hyperlink w:anchor="sec-112-7">
              <w:r>
                <w:rPr>
                  <w:rStyle w:val="Hyperlink"/>
                  <w:bCs/>
                  <w:b/>
                </w:rPr>
                <w:t xml:space="preserve">112.7</w:t>
              </w:r>
            </w:hyperlink>
          </w:p>
        </w:tc>
        <w:tc>
          <w:tcPr/>
          <w:p>
            <w:pPr>
              <w:pStyle w:val="Compact"/>
              <w:jc w:val="left"/>
            </w:pPr>
            <w:r>
              <w:t xml:space="preserve">主要的抑制性与兴奋性递质</w:t>
            </w:r>
          </w:p>
        </w:tc>
        <w:tc>
          <w:tcPr/>
          <w:p>
            <w:pPr>
              <w:pStyle w:val="Compact"/>
              <w:jc w:val="left"/>
            </w:pPr>
            <w:r>
              <w:t xml:space="preserve">“冥想提升 GABA，所以抗焦虑”</w:t>
            </w:r>
          </w:p>
        </w:tc>
        <w:tc>
          <w:tcPr/>
          <w:p>
            <w:pPr>
              <w:pStyle w:val="Compact"/>
              <w:jc w:val="left"/>
            </w:pPr>
            <w:r>
              <w:t xml:space="preserve">主要来自瑜伽的小样本波谱研究，波谱只能给出体素内的总量；“隔 8 天就不再升高”来自按结果分组的事后比较，定不出最低剂量；谷氨酸没有可依赖的结论</w:t>
            </w:r>
          </w:p>
        </w:tc>
        <w:tc>
          <w:tcPr/>
          <w:p>
            <w:pPr>
              <w:pStyle w:val="Compact"/>
              <w:jc w:val="left"/>
            </w:pPr>
            <w:r>
              <w:rPr>
                <w:bCs/>
                <w:b/>
              </w:rPr>
              <w:t xml:space="preserve">证据不足·中</w:t>
            </w:r>
          </w:p>
        </w:tc>
      </w:tr>
      <w:tr>
        <w:tc>
          <w:tcPr/>
          <w:p>
            <w:pPr>
              <w:pStyle w:val="Compact"/>
              <w:jc w:val="left"/>
            </w:pPr>
            <w:r>
              <w:rPr>
                <w:bCs/>
                <w:b/>
              </w:rPr>
              <w:t xml:space="preserve">褪黑素</w:t>
            </w:r>
          </w:p>
          <w:p>
            <w:pPr>
              <w:pStyle w:val="Compact"/>
              <w:jc w:val="left"/>
            </w:pPr>
            <w:r>
              <w:rPr>
                <w:bCs/>
                <w:b/>
              </w:rPr>
              <w:t xml:space="preserve">见</w:t>
            </w:r>
            <w:r>
              <w:rPr>
                <w:bCs/>
                <w:b/>
              </w:rPr>
              <w:t xml:space="preserve"> </w:t>
            </w:r>
            <w:hyperlink w:anchor="sec-92-10">
              <w:r>
                <w:rPr>
                  <w:rStyle w:val="Hyperlink"/>
                  <w:bCs/>
                  <w:b/>
                </w:rPr>
                <w:t xml:space="preserve">92.10</w:t>
              </w:r>
            </w:hyperlink>
            <w:r>
              <w:rPr>
                <w:bCs/>
                <w:b/>
              </w:rPr>
              <w:t xml:space="preserve">、</w:t>
            </w:r>
            <w:hyperlink w:anchor="sec-112-8">
              <w:r>
                <w:rPr>
                  <w:rStyle w:val="Hyperlink"/>
                  <w:bCs/>
                  <w:b/>
                </w:rPr>
                <w:t xml:space="preserve">112.8</w:t>
              </w:r>
            </w:hyperlink>
          </w:p>
        </w:tc>
        <w:tc>
          <w:tcPr/>
          <w:p>
            <w:pPr>
              <w:pStyle w:val="Compact"/>
              <w:jc w:val="left"/>
            </w:pPr>
            <w:r>
              <w:t xml:space="preserve">昼夜节律信号</w:t>
            </w:r>
          </w:p>
        </w:tc>
        <w:tc>
          <w:tcPr/>
          <w:p>
            <w:pPr>
              <w:pStyle w:val="Compact"/>
              <w:jc w:val="left"/>
            </w:pPr>
            <w:r>
              <w:t xml:space="preserve">“冥想升高褪黑素，所以助眠”</w:t>
            </w:r>
          </w:p>
        </w:tc>
        <w:tc>
          <w:tcPr/>
          <w:p>
            <w:pPr>
              <w:pStyle w:val="Compact"/>
              <w:jc w:val="left"/>
            </w:pPr>
            <w:r>
              <w:t xml:space="preserve">早年小研究结果不一，有研究见冥想中下降；2025 年元分析混合不同设计，2 项随机试验的子组估计约 0.28（95% 置信区间 −0.31 到 0.88），一项自身对照研究被列为随机试验，另一项的效应方向与原文不符；夜间水平、分泌起始时间和单次采样是不同的量</w:t>
            </w:r>
          </w:p>
        </w:tc>
        <w:tc>
          <w:tcPr/>
          <w:p>
            <w:pPr>
              <w:pStyle w:val="Compact"/>
              <w:jc w:val="left"/>
            </w:pPr>
            <w:r>
              <w:rPr>
                <w:bCs/>
                <w:b/>
              </w:rPr>
              <w:t xml:space="preserve">证据不足·中</w:t>
            </w:r>
          </w:p>
        </w:tc>
      </w:tr>
      <w:tr>
        <w:tc>
          <w:tcPr/>
          <w:p>
            <w:pPr>
              <w:pStyle w:val="Compact"/>
              <w:jc w:val="left"/>
            </w:pPr>
            <w:r>
              <w:rPr>
                <w:bCs/>
                <w:b/>
              </w:rPr>
              <w:t xml:space="preserve">BDNF</w:t>
            </w:r>
          </w:p>
          <w:p>
            <w:pPr>
              <w:pStyle w:val="Compact"/>
              <w:jc w:val="left"/>
            </w:pPr>
            <w:r>
              <w:rPr>
                <w:bCs/>
                <w:b/>
              </w:rPr>
              <w:t xml:space="preserve">见</w:t>
            </w:r>
            <w:r>
              <w:rPr>
                <w:bCs/>
                <w:b/>
              </w:rPr>
              <w:t xml:space="preserve"> </w:t>
            </w:r>
            <w:hyperlink w:anchor="sec-97-4">
              <w:r>
                <w:rPr>
                  <w:rStyle w:val="Hyperlink"/>
                  <w:bCs/>
                  <w:b/>
                </w:rPr>
                <w:t xml:space="preserve">97.4</w:t>
              </w:r>
            </w:hyperlink>
            <w:r>
              <w:rPr>
                <w:bCs/>
                <w:b/>
              </w:rPr>
              <w:t xml:space="preserve">、</w:t>
            </w:r>
            <w:hyperlink w:anchor="sec-112-8">
              <w:r>
                <w:rPr>
                  <w:rStyle w:val="Hyperlink"/>
                  <w:bCs/>
                  <w:b/>
                </w:rPr>
                <w:t xml:space="preserve">112.8</w:t>
              </w:r>
            </w:hyperlink>
          </w:p>
        </w:tc>
        <w:tc>
          <w:tcPr/>
          <w:p>
            <w:pPr>
              <w:pStyle w:val="Compact"/>
              <w:jc w:val="left"/>
            </w:pPr>
            <w:r>
              <w:t xml:space="preserve">支持神经元存活与突触可塑性</w:t>
            </w:r>
          </w:p>
        </w:tc>
        <w:tc>
          <w:tcPr/>
          <w:p>
            <w:pPr>
              <w:pStyle w:val="Compact"/>
              <w:jc w:val="left"/>
            </w:pPr>
            <w:r>
              <w:t xml:space="preserve">“冥想给大脑施肥”</w:t>
            </w:r>
          </w:p>
        </w:tc>
        <w:tc>
          <w:tcPr/>
          <w:p>
            <w:pPr>
              <w:pStyle w:val="Compact"/>
              <w:jc w:val="left"/>
            </w:pPr>
            <w:r>
              <w:t xml:space="preserve">一项元分析汇总 8 项以不干预为对照的随机试验（479 人），外周 BDNF 合并效应约 0.72，研究间差异很大，其中 5 项以身体练习为主；常被引用的三个月静修研究无对照，事后补充披露利益关系；血液 BDNF 大多储存在血小板中，与脑内水平的关系不确定</w:t>
            </w:r>
          </w:p>
        </w:tc>
        <w:tc>
          <w:tcPr/>
          <w:p>
            <w:pPr>
              <w:pStyle w:val="Compact"/>
              <w:jc w:val="left"/>
            </w:pPr>
            <w:r>
              <w:rPr>
                <w:bCs/>
                <w:b/>
              </w:rPr>
              <w:t xml:space="preserve">证据不足·中</w:t>
            </w:r>
          </w:p>
        </w:tc>
      </w:tr>
      <w:tr>
        <w:tc>
          <w:tcPr/>
          <w:p>
            <w:pPr>
              <w:pStyle w:val="Compact"/>
              <w:jc w:val="left"/>
            </w:pPr>
            <w:r>
              <w:rPr>
                <w:bCs/>
                <w:b/>
              </w:rPr>
              <w:t xml:space="preserve">成人海马神经发生</w:t>
            </w:r>
          </w:p>
          <w:p>
            <w:pPr>
              <w:pStyle w:val="Compact"/>
              <w:jc w:val="left"/>
            </w:pPr>
            <w:r>
              <w:rPr>
                <w:bCs/>
                <w:b/>
              </w:rPr>
              <w:t xml:space="preserve">见</w:t>
            </w:r>
            <w:r>
              <w:rPr>
                <w:bCs/>
                <w:b/>
              </w:rPr>
              <w:t xml:space="preserve"> </w:t>
            </w:r>
            <w:hyperlink w:anchor="sec-23-1">
              <w:r>
                <w:rPr>
                  <w:rStyle w:val="Hyperlink"/>
                  <w:bCs/>
                  <w:b/>
                </w:rPr>
                <w:t xml:space="preserve">23.1</w:t>
              </w:r>
            </w:hyperlink>
            <w:r>
              <w:rPr>
                <w:bCs/>
                <w:b/>
              </w:rPr>
              <w:t xml:space="preserve">、</w:t>
            </w:r>
            <w:hyperlink w:anchor="sec-112-9">
              <w:r>
                <w:rPr>
                  <w:rStyle w:val="Hyperlink"/>
                  <w:bCs/>
                  <w:b/>
                </w:rPr>
                <w:t xml:space="preserve">112.9</w:t>
              </w:r>
            </w:hyperlink>
          </w:p>
        </w:tc>
        <w:tc>
          <w:tcPr/>
          <w:p>
            <w:pPr>
              <w:pStyle w:val="Compact"/>
              <w:jc w:val="left"/>
            </w:pPr>
            <w:r>
              <w:t xml:space="preserve">多条人体证据支持存在，速率与个体差异仍有争议</w:t>
            </w:r>
          </w:p>
        </w:tc>
        <w:tc>
          <w:tcPr/>
          <w:p>
            <w:pPr>
              <w:pStyle w:val="Compact"/>
              <w:jc w:val="left"/>
            </w:pPr>
            <w:r>
              <w:t xml:space="preserve">“冥想促进神经新生”</w:t>
            </w:r>
          </w:p>
        </w:tc>
        <w:tc>
          <w:tcPr/>
          <w:p>
            <w:pPr>
              <w:pStyle w:val="Compact"/>
              <w:jc w:val="left"/>
            </w:pPr>
            <w:r>
              <w:t xml:space="preserve">还没有经过验证、能在活人身上定量追踪的方法，“冥想促进”没有直接证据；海马体积变化不能当作神经发生的证据</w:t>
            </w:r>
          </w:p>
        </w:tc>
        <w:tc>
          <w:tcPr/>
          <w:p>
            <w:pPr>
              <w:pStyle w:val="Compact"/>
              <w:jc w:val="left"/>
            </w:pPr>
            <w:r>
              <w:rPr>
                <w:bCs/>
                <w:b/>
              </w:rPr>
              <w:t xml:space="preserve">证据不足·高</w:t>
            </w:r>
          </w:p>
        </w:tc>
      </w:tr>
      <w:tr>
        <w:tc>
          <w:tcPr/>
          <w:p>
            <w:pPr>
              <w:pStyle w:val="Compact"/>
              <w:jc w:val="left"/>
            </w:pPr>
            <w:r>
              <w:rPr>
                <w:bCs/>
                <w:b/>
              </w:rPr>
              <w:t xml:space="preserve">端粒与端粒酶</w:t>
            </w:r>
          </w:p>
          <w:p>
            <w:pPr>
              <w:pStyle w:val="Compact"/>
              <w:jc w:val="left"/>
            </w:pPr>
            <w:r>
              <w:rPr>
                <w:bCs/>
                <w:b/>
              </w:rPr>
              <w:t xml:space="preserve">见</w:t>
            </w:r>
            <w:r>
              <w:rPr>
                <w:bCs/>
                <w:b/>
              </w:rPr>
              <w:t xml:space="preserve"> </w:t>
            </w:r>
            <w:hyperlink w:anchor="sec-112-10">
              <w:r>
                <w:rPr>
                  <w:rStyle w:val="Hyperlink"/>
                  <w:bCs/>
                  <w:b/>
                </w:rPr>
                <w:t xml:space="preserve">112.10</w:t>
              </w:r>
            </w:hyperlink>
          </w:p>
        </w:tc>
        <w:tc>
          <w:tcPr/>
          <w:p>
            <w:pPr>
              <w:pStyle w:val="Compact"/>
              <w:jc w:val="left"/>
            </w:pPr>
            <w:r>
              <w:t xml:space="preserve">染色体末端的保护结构</w:t>
            </w:r>
          </w:p>
        </w:tc>
        <w:tc>
          <w:tcPr/>
          <w:p>
            <w:pPr>
              <w:pStyle w:val="Compact"/>
              <w:jc w:val="left"/>
            </w:pPr>
            <w:r>
              <w:t xml:space="preserve">“冥想延长端粒、延缓衰老”</w:t>
            </w:r>
          </w:p>
        </w:tc>
        <w:tc>
          <w:tcPr/>
          <w:p>
            <w:pPr>
              <w:pStyle w:val="Compact"/>
              <w:jc w:val="left"/>
            </w:pPr>
            <w:r>
              <w:t xml:space="preserve">效应随证据增加而缩小；常被引用的慈心试验控制基线后报告慈心组缩短较少，他人用不控制基线的方法重新分析时交互不显著，结果对分析方法敏感；18 个月的老年人随机试验未检出组间差异；端粒酶活性“更高”不能读成抗衰老</w:t>
            </w:r>
          </w:p>
        </w:tc>
        <w:tc>
          <w:tcPr/>
          <w:p>
            <w:pPr>
              <w:pStyle w:val="Compact"/>
              <w:jc w:val="left"/>
            </w:pPr>
            <w:r>
              <w:rPr>
                <w:bCs/>
                <w:b/>
              </w:rPr>
              <w:t xml:space="preserve">证据不足·中</w:t>
            </w:r>
          </w:p>
        </w:tc>
      </w:tr>
      <w:tr>
        <w:tc>
          <w:tcPr/>
          <w:p>
            <w:pPr>
              <w:pStyle w:val="Compact"/>
              <w:jc w:val="left"/>
            </w:pPr>
            <w:r>
              <w:rPr>
                <w:bCs/>
                <w:b/>
              </w:rPr>
              <w:t xml:space="preserve">炎症指标</w:t>
            </w:r>
          </w:p>
          <w:p>
            <w:pPr>
              <w:pStyle w:val="Compact"/>
              <w:jc w:val="left"/>
            </w:pPr>
            <w:r>
              <w:rPr>
                <w:bCs/>
                <w:b/>
              </w:rPr>
              <w:t xml:space="preserve">见</w:t>
            </w:r>
            <w:r>
              <w:rPr>
                <w:bCs/>
                <w:b/>
              </w:rPr>
              <w:t xml:space="preserve"> </w:t>
            </w:r>
            <w:hyperlink w:anchor="sec-112-10">
              <w:r>
                <w:rPr>
                  <w:rStyle w:val="Hyperlink"/>
                  <w:bCs/>
                  <w:b/>
                </w:rPr>
                <w:t xml:space="preserve">112.10</w:t>
              </w:r>
            </w:hyperlink>
          </w:p>
        </w:tc>
        <w:tc>
          <w:tcPr/>
          <w:p>
            <w:pPr>
              <w:pStyle w:val="Compact"/>
              <w:jc w:val="left"/>
            </w:pPr>
            <w:r>
              <w:t xml:space="preserve">白介素-6、C 反应蛋白、NF-κB 通路等</w:t>
            </w:r>
          </w:p>
        </w:tc>
        <w:tc>
          <w:tcPr/>
          <w:p>
            <w:pPr>
              <w:pStyle w:val="Compact"/>
              <w:jc w:val="left"/>
            </w:pPr>
            <w:r>
              <w:t xml:space="preserve">“冥想抗炎”</w:t>
            </w:r>
          </w:p>
        </w:tc>
        <w:tc>
          <w:tcPr/>
          <w:p>
            <w:pPr>
              <w:pStyle w:val="Compact"/>
              <w:jc w:val="left"/>
            </w:pPr>
            <w:r>
              <w:t xml:space="preserve">合并效应小、有发表偏倚；两项三臂试验未见 C 反应蛋白下降，211 人的三组试验在全部预设结局上没有组间差异；各项指标需要分别看；其他心理社会干预也有类似效果</w:t>
            </w:r>
          </w:p>
        </w:tc>
        <w:tc>
          <w:tcPr/>
          <w:p>
            <w:pPr>
              <w:pStyle w:val="Compact"/>
              <w:jc w:val="left"/>
            </w:pPr>
            <w:r>
              <w:t xml:space="preserve">降低部分炎症指标：</w:t>
            </w:r>
            <w:r>
              <w:rPr>
                <w:bCs/>
                <w:b/>
              </w:rPr>
              <w:t xml:space="preserve">部分成立·低</w:t>
            </w:r>
          </w:p>
        </w:tc>
      </w:tr>
      <w:tr>
        <w:tc>
          <w:tcPr/>
          <w:p>
            <w:pPr>
              <w:pStyle w:val="Compact"/>
              <w:jc w:val="left"/>
            </w:pPr>
            <w:r>
              <w:rPr>
                <w:bCs/>
                <w:b/>
              </w:rPr>
              <w:t xml:space="preserve">基因表达</w:t>
            </w:r>
          </w:p>
          <w:p>
            <w:pPr>
              <w:pStyle w:val="Compact"/>
              <w:jc w:val="left"/>
            </w:pPr>
            <w:r>
              <w:rPr>
                <w:bCs/>
                <w:b/>
              </w:rPr>
              <w:t xml:space="preserve">见</w:t>
            </w:r>
            <w:r>
              <w:rPr>
                <w:bCs/>
                <w:b/>
              </w:rPr>
              <w:t xml:space="preserve"> </w:t>
            </w:r>
            <w:hyperlink w:anchor="sec-112-10">
              <w:r>
                <w:rPr>
                  <w:rStyle w:val="Hyperlink"/>
                  <w:bCs/>
                  <w:b/>
                </w:rPr>
                <w:t xml:space="preserve">112.10</w:t>
              </w:r>
            </w:hyperlink>
          </w:p>
        </w:tc>
        <w:tc>
          <w:tcPr/>
          <w:p>
            <w:pPr>
              <w:pStyle w:val="Compact"/>
              <w:jc w:val="left"/>
            </w:pPr>
            <w:r>
              <w:t xml:space="preserve">随饮食、睡眠、运动、情绪持续变化</w:t>
            </w:r>
          </w:p>
        </w:tc>
        <w:tc>
          <w:tcPr/>
          <w:p>
            <w:pPr>
              <w:pStyle w:val="Compact"/>
              <w:jc w:val="left"/>
            </w:pPr>
            <w:r>
              <w:t xml:space="preserve">“冥想改变基因”</w:t>
            </w:r>
          </w:p>
        </w:tc>
        <w:tc>
          <w:tcPr/>
          <w:p>
            <w:pPr>
              <w:pStyle w:val="Compact"/>
              <w:jc w:val="left"/>
            </w:pPr>
            <w:r>
              <w:t xml:space="preserve">小样本见到表达变化，有“度假效应”与反向结果；外周血中的平均变化可能来自免疫细胞比例的改变；这些研究测量的都是表达；冥想改变基因序列没有证据</w:t>
            </w:r>
          </w:p>
        </w:tc>
        <w:tc>
          <w:tcPr/>
          <w:p>
            <w:pPr>
              <w:pStyle w:val="Compact"/>
              <w:jc w:val="left"/>
            </w:pPr>
            <w:r>
              <w:rPr>
                <w:bCs/>
                <w:b/>
              </w:rPr>
              <w:t xml:space="preserve">过度简化·高</w:t>
            </w:r>
          </w:p>
        </w:tc>
      </w:tr>
      <w:tr>
        <w:tc>
          <w:tcPr/>
          <w:p>
            <w:pPr>
              <w:pStyle w:val="Compact"/>
              <w:jc w:val="left"/>
            </w:pPr>
            <w:r>
              <w:rPr>
                <w:bCs/>
                <w:b/>
              </w:rPr>
              <w:t xml:space="preserve">“四大快乐激素”</w:t>
            </w:r>
          </w:p>
          <w:p>
            <w:pPr>
              <w:pStyle w:val="Compact"/>
              <w:jc w:val="left"/>
            </w:pPr>
            <w:r>
              <w:rPr>
                <w:bCs/>
                <w:b/>
              </w:rPr>
              <w:t xml:space="preserve">见</w:t>
            </w:r>
            <w:hyperlink w:anchor="ch-80">
              <w:r>
                <w:rPr>
                  <w:rStyle w:val="Hyperlink"/>
                  <w:bCs/>
                  <w:b/>
                </w:rPr>
                <w:t xml:space="preserve">第80章</w:t>
              </w:r>
            </w:hyperlink>
          </w:p>
        </w:tc>
        <w:tc>
          <w:tcPr/>
          <w:p>
            <w:pPr>
              <w:pStyle w:val="Compact"/>
              <w:jc w:val="left"/>
            </w:pPr>
            <w:r>
              <w:t xml:space="preserve">四种化学性质与功能各异的分子，有单胺，也有肽类</w:t>
            </w:r>
          </w:p>
        </w:tc>
        <w:tc>
          <w:tcPr/>
          <w:p>
            <w:pPr>
              <w:pStyle w:val="Compact"/>
              <w:jc w:val="left"/>
            </w:pPr>
            <w:r>
              <w:t xml:space="preserve">“多巴胺、催产素、血清素、内啡肽各管一种快乐”</w:t>
            </w:r>
          </w:p>
        </w:tc>
        <w:tc>
          <w:tcPr/>
          <w:p>
            <w:pPr>
              <w:pStyle w:val="Compact"/>
              <w:jc w:val="left"/>
            </w:pPr>
            <w:r>
              <w:t xml:space="preserve">大众读物中流行的框架；四者都参与多种功能，没有哪一种能概括为“快乐”</w:t>
            </w:r>
          </w:p>
        </w:tc>
        <w:tc>
          <w:tcPr/>
          <w:p>
            <w:pPr>
              <w:pStyle w:val="Compact"/>
              <w:jc w:val="left"/>
            </w:pPr>
            <w:r>
              <w:rPr>
                <w:bCs/>
                <w:b/>
              </w:rPr>
              <w:t xml:space="preserve">过度简化·高</w:t>
            </w:r>
          </w:p>
        </w:tc>
      </w:tr>
    </w:tbl>
    <w:p>
      <w:pPr>
        <w:pStyle w:val="TableCaption"/>
      </w:pPr>
      <w:bookmarkStart w:id="1776" w:name="tab-med-networks"/>
      <w:bookmarkEnd w:id="1776"/>
      <w:r>
        <w:rPr>
          <w:bCs/>
          <w:b/>
        </w:rPr>
        <w:t xml:space="preserve">表 27　大尺度网络与脑电</w:t>
      </w:r>
    </w:p>
    <w:tbl>
      <w:tblPr>
        <w:tblStyle w:val="Table"/>
        <w:tblW w:type="pct" w:w="5000"/>
        <w:jc w:val="start"/>
        <w:tblLook w:firstRow="1" w:lastRow="0" w:firstColumn="0" w:lastColumn="0" w:noHBand="0" w:noVBand="0" w:val="0020"/>
      </w:tblPr>
      <w:tblGrid>
        <w:gridCol w:w="1108"/>
        <w:gridCol w:w="1822"/>
        <w:gridCol w:w="1503"/>
        <w:gridCol w:w="2377"/>
        <w:gridCol w:w="1108"/>
      </w:tblGrid>
      <w:tr>
        <w:trPr>
          <w:tblHeader w:val="true"/>
        </w:trPr>
        <w:tc>
          <w:tcPr>
            <w:shd w:val="clear" w:color="auto" w:fill="1F3A5F"/>
          </w:tcPr>
          <w:p>
            <w:pPr>
              <w:pStyle w:val="Compact"/>
              <w:jc w:val="left"/>
            </w:pPr>
            <w:r>
              <w:rPr>
                <w:bCs/>
                <w:b/>
                <w:color w:val="FFFFFF"/>
              </w:rPr>
              <w:t xml:space="preserve">对象</w:t>
            </w:r>
          </w:p>
        </w:tc>
        <w:tc>
          <w:tcPr>
            <w:shd w:val="clear" w:color="auto" w:fill="1F3A5F"/>
          </w:tcPr>
          <w:p>
            <w:pPr>
              <w:pStyle w:val="Compact"/>
              <w:jc w:val="left"/>
            </w:pPr>
            <w:r>
              <w:rPr>
                <w:bCs/>
                <w:b/>
                <w:color w:val="FFFFFF"/>
              </w:rPr>
              <w:t xml:space="preserve">是什么</w:t>
            </w:r>
          </w:p>
        </w:tc>
        <w:tc>
          <w:tcPr>
            <w:shd w:val="clear" w:color="auto" w:fill="1F3A5F"/>
          </w:tcPr>
          <w:p>
            <w:pPr>
              <w:pStyle w:val="Compact"/>
              <w:jc w:val="left"/>
            </w:pPr>
            <w:r>
              <w:rPr>
                <w:bCs/>
                <w:b/>
                <w:color w:val="FFFFFF"/>
              </w:rPr>
              <w:t xml:space="preserve">流行说法</w:t>
            </w:r>
          </w:p>
        </w:tc>
        <w:tc>
          <w:tcPr>
            <w:shd w:val="clear" w:color="auto" w:fill="1F3A5F"/>
          </w:tcPr>
          <w:p>
            <w:pPr>
              <w:pStyle w:val="Compact"/>
              <w:jc w:val="left"/>
            </w:pPr>
            <w:r>
              <w:rPr>
                <w:bCs/>
                <w:b/>
                <w:color w:val="FFFFFF"/>
              </w:rPr>
              <w:t xml:space="preserve">实况</w:t>
            </w:r>
          </w:p>
        </w:tc>
        <w:tc>
          <w:tcPr>
            <w:shd w:val="clear" w:color="auto" w:fill="1F3A5F"/>
          </w:tcPr>
          <w:p>
            <w:pPr>
              <w:pStyle w:val="Compact"/>
              <w:jc w:val="left"/>
            </w:pPr>
            <w:r>
              <w:rPr>
                <w:bCs/>
                <w:b/>
                <w:color w:val="FFFFFF"/>
              </w:rPr>
              <w:t xml:space="preserve">判断</w:t>
            </w:r>
          </w:p>
        </w:tc>
      </w:tr>
      <w:tr>
        <w:tc>
          <w:tcPr/>
          <w:p>
            <w:pPr>
              <w:pStyle w:val="Compact"/>
              <w:jc w:val="left"/>
            </w:pPr>
            <w:r>
              <w:rPr>
                <w:bCs/>
                <w:b/>
              </w:rPr>
              <w:t xml:space="preserve">默认模式网络</w:t>
            </w:r>
          </w:p>
          <w:p>
            <w:pPr>
              <w:pStyle w:val="Compact"/>
              <w:jc w:val="left"/>
            </w:pPr>
            <w:r>
              <w:rPr>
                <w:bCs/>
                <w:b/>
              </w:rPr>
              <w:t xml:space="preserve">见</w:t>
            </w:r>
            <w:r>
              <w:rPr>
                <w:bCs/>
                <w:b/>
              </w:rPr>
              <w:t xml:space="preserve"> </w:t>
            </w:r>
            <w:hyperlink w:anchor="sec-93-1">
              <w:r>
                <w:rPr>
                  <w:rStyle w:val="Hyperlink"/>
                  <w:bCs/>
                  <w:b/>
                </w:rPr>
                <w:t xml:space="preserve">93.1</w:t>
              </w:r>
            </w:hyperlink>
            <w:r>
              <w:rPr>
                <w:bCs/>
                <w:b/>
              </w:rPr>
              <w:t xml:space="preserve">、</w:t>
            </w:r>
            <w:hyperlink w:anchor="sec-111-1">
              <w:r>
                <w:rPr>
                  <w:rStyle w:val="Hyperlink"/>
                  <w:bCs/>
                  <w:b/>
                </w:rPr>
                <w:t xml:space="preserve">111.1</w:t>
              </w:r>
            </w:hyperlink>
          </w:p>
        </w:tc>
        <w:tc>
          <w:tcPr/>
          <w:p>
            <w:pPr>
              <w:pStyle w:val="Compact"/>
              <w:jc w:val="left"/>
            </w:pPr>
            <w:r>
              <w:t xml:space="preserve">内侧前额叶、后扣带回、角回等；回忆、想象未来、理解他人、语义与创造</w:t>
            </w:r>
          </w:p>
        </w:tc>
        <w:tc>
          <w:tcPr/>
          <w:p>
            <w:pPr>
              <w:pStyle w:val="Compact"/>
              <w:jc w:val="left"/>
            </w:pPr>
            <w:r>
              <w:t xml:space="preserve">“走神与痛苦之源，冥想把它关掉”；“抑郁就是默认网络过度活跃”</w:t>
            </w:r>
          </w:p>
        </w:tc>
        <w:tc>
          <w:tcPr/>
          <w:p>
            <w:pPr>
              <w:pStyle w:val="Compact"/>
              <w:jc w:val="left"/>
            </w:pPr>
            <w:r>
              <w:t xml:space="preserve">承担重要功能；资深者冥想时部分节点活动降低；训练后与控制网络的静息耦合增强，效应小，随访中未检出同样的组间差异；大样本静息数据未见抑郁患者网络内部过度连接，活动、网络内连接和网络间连接是不同指标</w:t>
            </w:r>
          </w:p>
        </w:tc>
        <w:tc>
          <w:tcPr/>
          <w:p>
            <w:pPr>
              <w:pStyle w:val="Compact"/>
              <w:jc w:val="left"/>
            </w:pPr>
            <w:r>
              <w:t xml:space="preserve">关掉：</w:t>
            </w:r>
            <w:r>
              <w:rPr>
                <w:bCs/>
                <w:b/>
              </w:rPr>
              <w:t xml:space="preserve">错误·高</w:t>
            </w:r>
          </w:p>
          <w:p>
            <w:pPr>
              <w:pStyle w:val="Compact"/>
              <w:jc w:val="left"/>
            </w:pPr>
            <w:r>
              <w:t xml:space="preserve">冥想时部分节点降低：</w:t>
            </w:r>
            <w:r>
              <w:rPr>
                <w:bCs/>
                <w:b/>
              </w:rPr>
              <w:t xml:space="preserve">部分成立·中</w:t>
            </w:r>
          </w:p>
          <w:p>
            <w:pPr>
              <w:pStyle w:val="Compact"/>
              <w:jc w:val="left"/>
            </w:pPr>
            <w:r>
              <w:t xml:space="preserve">训练后耦合增强：</w:t>
            </w:r>
            <w:r>
              <w:rPr>
                <w:bCs/>
                <w:b/>
              </w:rPr>
              <w:t xml:space="preserve">部分成立·低</w:t>
            </w:r>
          </w:p>
          <w:p>
            <w:pPr>
              <w:pStyle w:val="Compact"/>
              <w:jc w:val="left"/>
            </w:pPr>
            <w:r>
              <w:t xml:space="preserve">抑郁过度活跃：</w:t>
            </w:r>
            <w:r>
              <w:rPr>
                <w:bCs/>
                <w:b/>
              </w:rPr>
              <w:t xml:space="preserve">过度简化·中</w:t>
            </w:r>
          </w:p>
        </w:tc>
      </w:tr>
      <w:tr>
        <w:tc>
          <w:tcPr/>
          <w:p>
            <w:pPr>
              <w:pStyle w:val="Compact"/>
              <w:jc w:val="left"/>
            </w:pPr>
            <w:r>
              <w:rPr>
                <w:bCs/>
                <w:b/>
              </w:rPr>
              <w:t xml:space="preserve">走神</w:t>
            </w:r>
          </w:p>
          <w:p>
            <w:pPr>
              <w:pStyle w:val="Compact"/>
              <w:jc w:val="left"/>
            </w:pPr>
            <w:r>
              <w:rPr>
                <w:bCs/>
                <w:b/>
              </w:rPr>
              <w:t xml:space="preserve">见</w:t>
            </w:r>
            <w:r>
              <w:rPr>
                <w:bCs/>
                <w:b/>
              </w:rPr>
              <w:t xml:space="preserve"> </w:t>
            </w:r>
            <w:hyperlink w:anchor="sec-36-6">
              <w:r>
                <w:rPr>
                  <w:rStyle w:val="Hyperlink"/>
                  <w:bCs/>
                  <w:b/>
                </w:rPr>
                <w:t xml:space="preserve">36.6</w:t>
              </w:r>
            </w:hyperlink>
            <w:r>
              <w:rPr>
                <w:bCs/>
                <w:b/>
              </w:rPr>
              <w:t xml:space="preserve">、</w:t>
            </w:r>
            <w:hyperlink w:anchor="sec-111-2">
              <w:r>
                <w:rPr>
                  <w:rStyle w:val="Hyperlink"/>
                  <w:bCs/>
                  <w:b/>
                </w:rPr>
                <w:t xml:space="preserve">111.2</w:t>
              </w:r>
            </w:hyperlink>
          </w:p>
        </w:tc>
        <w:tc>
          <w:tcPr/>
          <w:p>
            <w:pPr>
              <w:pStyle w:val="Compact"/>
              <w:jc w:val="left"/>
            </w:pPr>
            <w:r>
              <w:t xml:space="preserve">思绪离开当前任务</w:t>
            </w:r>
          </w:p>
        </w:tc>
        <w:tc>
          <w:tcPr/>
          <w:p>
            <w:pPr>
              <w:pStyle w:val="Compact"/>
              <w:jc w:val="left"/>
            </w:pPr>
            <w:r>
              <w:t xml:space="preserve">“近一半时间在走神，走神让人不快乐”</w:t>
            </w:r>
          </w:p>
        </w:tc>
        <w:tc>
          <w:tcPr/>
          <w:p>
            <w:pPr>
              <w:pStyle w:val="Compact"/>
              <w:jc w:val="left"/>
            </w:pPr>
            <w:r>
              <w:t xml:space="preserve">46.9% 是一项手机志愿者样本中被抽到并得到回答的时刻的比例，日常经验取样研究的汇总估计约 34.5%，两者来自不同的问法和样本；与情绪幸福感的总体相关约 −0.18，大小与方向随念头内容、是否有意和测量方式而变</w:t>
            </w:r>
          </w:p>
        </w:tc>
        <w:tc>
          <w:tcPr/>
          <w:p>
            <w:pPr>
              <w:pStyle w:val="Compact"/>
              <w:jc w:val="left"/>
            </w:pPr>
            <w:r>
              <w:t xml:space="preserve">近一半时间：</w:t>
            </w:r>
            <w:r>
              <w:rPr>
                <w:bCs/>
                <w:b/>
              </w:rPr>
              <w:t xml:space="preserve">部分成立·中</w:t>
            </w:r>
          </w:p>
          <w:p>
            <w:pPr>
              <w:pStyle w:val="Compact"/>
              <w:jc w:val="left"/>
            </w:pPr>
            <w:r>
              <w:t xml:space="preserve">让人不快乐：</w:t>
            </w:r>
            <w:r>
              <w:rPr>
                <w:bCs/>
                <w:b/>
              </w:rPr>
              <w:t xml:space="preserve">过度简化·中</w:t>
            </w:r>
          </w:p>
        </w:tc>
      </w:tr>
      <w:tr>
        <w:tc>
          <w:tcPr/>
          <w:p>
            <w:pPr>
              <w:pStyle w:val="Compact"/>
              <w:jc w:val="left"/>
            </w:pPr>
            <w:r>
              <w:rPr>
                <w:bCs/>
                <w:b/>
              </w:rPr>
              <w:t xml:space="preserve">突显网络</w:t>
            </w:r>
          </w:p>
          <w:p>
            <w:pPr>
              <w:pStyle w:val="Compact"/>
              <w:jc w:val="left"/>
            </w:pPr>
            <w:r>
              <w:rPr>
                <w:bCs/>
                <w:b/>
              </w:rPr>
              <w:t xml:space="preserve">见</w:t>
            </w:r>
            <w:r>
              <w:rPr>
                <w:bCs/>
                <w:b/>
              </w:rPr>
              <w:t xml:space="preserve"> </w:t>
            </w:r>
            <w:hyperlink w:anchor="sec-93-2">
              <w:r>
                <w:rPr>
                  <w:rStyle w:val="Hyperlink"/>
                  <w:bCs/>
                  <w:b/>
                </w:rPr>
                <w:t xml:space="preserve">93.2</w:t>
              </w:r>
            </w:hyperlink>
            <w:r>
              <w:rPr>
                <w:bCs/>
                <w:b/>
              </w:rPr>
              <w:t xml:space="preserve">、</w:t>
            </w:r>
            <w:hyperlink w:anchor="sec-111-3">
              <w:r>
                <w:rPr>
                  <w:rStyle w:val="Hyperlink"/>
                  <w:bCs/>
                  <w:b/>
                </w:rPr>
                <w:t xml:space="preserve">111.3</w:t>
              </w:r>
            </w:hyperlink>
          </w:p>
        </w:tc>
        <w:tc>
          <w:tcPr/>
          <w:p>
            <w:pPr>
              <w:pStyle w:val="Compact"/>
              <w:jc w:val="left"/>
            </w:pPr>
            <w:r>
              <w:t xml:space="preserve">前岛叶与背侧前扣带；参与筛选重要信号、在网络间切换</w:t>
            </w:r>
          </w:p>
        </w:tc>
        <w:tc>
          <w:tcPr/>
          <w:p>
            <w:pPr>
              <w:pStyle w:val="Compact"/>
              <w:jc w:val="left"/>
            </w:pPr>
            <w:r>
              <w:t xml:space="preserve">“冥想靠突显网络训练察觉与切换”</w:t>
            </w:r>
          </w:p>
        </w:tc>
        <w:tc>
          <w:tcPr/>
          <w:p>
            <w:pPr>
              <w:pStyle w:val="Compact"/>
              <w:jc w:val="left"/>
            </w:pPr>
            <w:r>
              <w:t xml:space="preserve">一项 14 人的按键研究中，察觉走神的时间窗内该网络活跃，阶段划分依赖按键时间，属探索性模型；大鼠刺激和颅内记录支持它参与网络切换，任务与冥想情境不同</w:t>
            </w:r>
          </w:p>
        </w:tc>
        <w:tc>
          <w:tcPr/>
          <w:p>
            <w:pPr>
              <w:pStyle w:val="Compact"/>
              <w:jc w:val="left"/>
            </w:pPr>
            <w:r>
              <w:t xml:space="preserve">核心机制：</w:t>
            </w:r>
            <w:r>
              <w:rPr>
                <w:bCs/>
                <w:b/>
              </w:rPr>
              <w:t xml:space="preserve">证据不足·低</w:t>
            </w:r>
          </w:p>
        </w:tc>
      </w:tr>
      <w:tr>
        <w:tc>
          <w:tcPr/>
          <w:p>
            <w:pPr>
              <w:pStyle w:val="Compact"/>
              <w:jc w:val="left"/>
            </w:pPr>
            <w:r>
              <w:rPr>
                <w:bCs/>
                <w:b/>
              </w:rPr>
              <w:t xml:space="preserve">额顶控制网络</w:t>
            </w:r>
          </w:p>
          <w:p>
            <w:pPr>
              <w:pStyle w:val="Compact"/>
              <w:jc w:val="left"/>
            </w:pPr>
            <w:r>
              <w:rPr>
                <w:bCs/>
                <w:b/>
              </w:rPr>
              <w:t xml:space="preserve">见</w:t>
            </w:r>
            <w:r>
              <w:rPr>
                <w:bCs/>
                <w:b/>
              </w:rPr>
              <w:t xml:space="preserve"> </w:t>
            </w:r>
            <w:hyperlink w:anchor="sec-93-3">
              <w:r>
                <w:rPr>
                  <w:rStyle w:val="Hyperlink"/>
                  <w:bCs/>
                  <w:b/>
                </w:rPr>
                <w:t xml:space="preserve">93.3</w:t>
              </w:r>
            </w:hyperlink>
            <w:r>
              <w:rPr>
                <w:bCs/>
                <w:b/>
              </w:rPr>
              <w:t xml:space="preserve">、</w:t>
            </w:r>
            <w:hyperlink w:anchor="sec-111-4">
              <w:r>
                <w:rPr>
                  <w:rStyle w:val="Hyperlink"/>
                  <w:bCs/>
                  <w:b/>
                </w:rPr>
                <w:t xml:space="preserve">111.4</w:t>
              </w:r>
            </w:hyperlink>
          </w:p>
        </w:tc>
        <w:tc>
          <w:tcPr/>
          <w:p>
            <w:pPr>
              <w:pStyle w:val="Compact"/>
              <w:jc w:val="left"/>
            </w:pPr>
            <w:r>
              <w:t xml:space="preserve">维持任务目标，灵活调整控制</w:t>
            </w:r>
          </w:p>
        </w:tc>
        <w:tc>
          <w:tcPr/>
          <w:p>
            <w:pPr>
              <w:pStyle w:val="Compact"/>
              <w:jc w:val="left"/>
            </w:pPr>
            <w:r>
              <w:t xml:space="preserve">“冥想提升注意力”</w:t>
            </w:r>
          </w:p>
        </w:tc>
        <w:tc>
          <w:tcPr/>
          <w:p>
            <w:pPr>
              <w:pStyle w:val="Compact"/>
              <w:jc w:val="left"/>
            </w:pPr>
            <w:r>
              <w:t xml:space="preserve">行为上，正念课程对客观认知的总体效应约 0.15，相对主动对照没有显示出明确优势；这一行为效应不能直接归到额顶网络</w:t>
            </w:r>
          </w:p>
        </w:tc>
        <w:tc>
          <w:tcPr/>
          <w:p>
            <w:pPr>
              <w:pStyle w:val="Compact"/>
              <w:jc w:val="left"/>
            </w:pPr>
            <w:r>
              <w:rPr>
                <w:bCs/>
                <w:b/>
              </w:rPr>
              <w:t xml:space="preserve">部分成立·中</w:t>
            </w:r>
          </w:p>
        </w:tc>
      </w:tr>
      <w:tr>
        <w:tc>
          <w:tcPr/>
          <w:p>
            <w:pPr>
              <w:pStyle w:val="Compact"/>
              <w:jc w:val="left"/>
            </w:pPr>
            <w:r>
              <w:rPr>
                <w:bCs/>
                <w:b/>
              </w:rPr>
              <w:t xml:space="preserve">注意网络</w:t>
            </w:r>
          </w:p>
          <w:p>
            <w:pPr>
              <w:pStyle w:val="Compact"/>
              <w:jc w:val="left"/>
            </w:pPr>
            <w:r>
              <w:rPr>
                <w:bCs/>
                <w:b/>
              </w:rPr>
              <w:t xml:space="preserve">见</w:t>
            </w:r>
            <w:r>
              <w:rPr>
                <w:bCs/>
                <w:b/>
              </w:rPr>
              <w:t xml:space="preserve"> </w:t>
            </w:r>
            <w:hyperlink w:anchor="sec-93-3">
              <w:r>
                <w:rPr>
                  <w:rStyle w:val="Hyperlink"/>
                  <w:bCs/>
                  <w:b/>
                </w:rPr>
                <w:t xml:space="preserve">93.3</w:t>
              </w:r>
            </w:hyperlink>
            <w:r>
              <w:rPr>
                <w:bCs/>
                <w:b/>
              </w:rPr>
              <w:t xml:space="preserve">、</w:t>
            </w:r>
            <w:hyperlink w:anchor="sec-111-4">
              <w:r>
                <w:rPr>
                  <w:rStyle w:val="Hyperlink"/>
                  <w:bCs/>
                  <w:b/>
                </w:rPr>
                <w:t xml:space="preserve">111.4</w:t>
              </w:r>
            </w:hyperlink>
          </w:p>
        </w:tc>
        <w:tc>
          <w:tcPr/>
          <w:p>
            <w:pPr>
              <w:pStyle w:val="Compact"/>
              <w:jc w:val="left"/>
            </w:pPr>
            <w:r>
              <w:t xml:space="preserve">两套框架：背侧与腹侧注意网络（主动分配、被吸引）；警觉、定向、执行三个子系统，两套之间没有一一对应</w:t>
            </w:r>
          </w:p>
        </w:tc>
        <w:tc>
          <w:tcPr/>
          <w:p>
            <w:pPr>
              <w:pStyle w:val="Compact"/>
              <w:jc w:val="left"/>
            </w:pPr>
            <w:r>
              <w:t xml:space="preserve">“冥想全面提升注意力”</w:t>
            </w:r>
          </w:p>
        </w:tc>
        <w:tc>
          <w:tcPr/>
          <w:p>
            <w:pPr>
              <w:pStyle w:val="Compact"/>
              <w:jc w:val="left"/>
            </w:pPr>
            <w:r>
              <w:t xml:space="preserve">小样本研究中不同训练改善不同子系统，效应小；注意网络测验的分半信度警觉约 0.38、定向约 0.55、执行约 0.81</w:t>
            </w:r>
          </w:p>
        </w:tc>
        <w:tc>
          <w:tcPr/>
          <w:p>
            <w:pPr>
              <w:pStyle w:val="Compact"/>
              <w:jc w:val="left"/>
            </w:pPr>
            <w:r>
              <w:rPr>
                <w:bCs/>
                <w:b/>
              </w:rPr>
              <w:t xml:space="preserve">夸大·中</w:t>
            </w:r>
          </w:p>
        </w:tc>
      </w:tr>
      <w:tr>
        <w:tc>
          <w:tcPr/>
          <w:p>
            <w:pPr>
              <w:pStyle w:val="Compact"/>
              <w:jc w:val="left"/>
            </w:pPr>
            <w:r>
              <w:rPr>
                <w:bCs/>
                <w:b/>
              </w:rPr>
              <w:t xml:space="preserve">预测加工框架</w:t>
            </w:r>
          </w:p>
          <w:p>
            <w:pPr>
              <w:pStyle w:val="Compact"/>
              <w:jc w:val="left"/>
            </w:pPr>
            <w:r>
              <w:rPr>
                <w:bCs/>
                <w:b/>
              </w:rPr>
              <w:t xml:space="preserve">见</w:t>
            </w:r>
            <w:r>
              <w:rPr>
                <w:bCs/>
                <w:b/>
              </w:rPr>
              <w:t xml:space="preserve"> </w:t>
            </w:r>
            <w:hyperlink w:anchor="sec-111-6">
              <w:r>
                <w:rPr>
                  <w:rStyle w:val="Hyperlink"/>
                  <w:bCs/>
                  <w:b/>
                </w:rPr>
                <w:t xml:space="preserve">111.6</w:t>
              </w:r>
            </w:hyperlink>
          </w:p>
        </w:tc>
        <w:tc>
          <w:tcPr/>
          <w:p>
            <w:pPr>
              <w:pStyle w:val="Compact"/>
              <w:jc w:val="left"/>
            </w:pPr>
            <w:r>
              <w:t xml:space="preserve">大脑以预测和预测误差来运作的一类理论</w:t>
            </w:r>
          </w:p>
        </w:tc>
        <w:tc>
          <w:tcPr/>
          <w:p>
            <w:pPr>
              <w:pStyle w:val="Compact"/>
              <w:jc w:val="left"/>
            </w:pPr>
            <w:r>
              <w:t xml:space="preserve">“冥想压平了大脑的预测层级”</w:t>
            </w:r>
          </w:p>
        </w:tc>
        <w:tc>
          <w:tcPr/>
          <w:p>
            <w:pPr>
              <w:pStyle w:val="Compact"/>
              <w:jc w:val="left"/>
            </w:pPr>
            <w:r>
              <w:t xml:space="preserve">有影响的理论家族；一项具体预测在更大样本中没能重复，这不足以判断整个框架；它的解释力取决于能否事先给出可被推翻的预测并通过检验</w:t>
            </w:r>
          </w:p>
        </w:tc>
        <w:tc>
          <w:tcPr/>
          <w:p>
            <w:pPr>
              <w:pStyle w:val="Compact"/>
              <w:jc w:val="left"/>
            </w:pPr>
            <w:r>
              <w:rPr>
                <w:bCs/>
                <w:b/>
              </w:rPr>
              <w:t xml:space="preserve">证据不足·低</w:t>
            </w:r>
          </w:p>
        </w:tc>
      </w:tr>
      <w:tr>
        <w:tc>
          <w:tcPr/>
          <w:p>
            <w:pPr>
              <w:pStyle w:val="Compact"/>
              <w:jc w:val="left"/>
            </w:pPr>
            <w:r>
              <w:rPr>
                <w:bCs/>
                <w:b/>
              </w:rPr>
              <w:t xml:space="preserve">α 波</w:t>
            </w:r>
          </w:p>
          <w:p>
            <w:pPr>
              <w:pStyle w:val="Compact"/>
              <w:jc w:val="left"/>
            </w:pPr>
            <w:r>
              <w:rPr>
                <w:bCs/>
                <w:b/>
              </w:rPr>
              <w:t xml:space="preserve">见</w:t>
            </w:r>
            <w:r>
              <w:rPr>
                <w:bCs/>
                <w:b/>
              </w:rPr>
              <w:t xml:space="preserve"> </w:t>
            </w:r>
            <w:hyperlink w:anchor="sec-52-1">
              <w:r>
                <w:rPr>
                  <w:rStyle w:val="Hyperlink"/>
                  <w:bCs/>
                  <w:b/>
                </w:rPr>
                <w:t xml:space="preserve">52.1</w:t>
              </w:r>
            </w:hyperlink>
            <w:r>
              <w:rPr>
                <w:bCs/>
                <w:b/>
              </w:rPr>
              <w:t xml:space="preserve">、</w:t>
            </w:r>
            <w:hyperlink w:anchor="sec-52-2">
              <w:r>
                <w:rPr>
                  <w:rStyle w:val="Hyperlink"/>
                  <w:bCs/>
                  <w:b/>
                </w:rPr>
                <w:t xml:space="preserve">52.2</w:t>
              </w:r>
            </w:hyperlink>
            <w:r>
              <w:rPr>
                <w:bCs/>
                <w:b/>
              </w:rPr>
              <w:t xml:space="preserve">、</w:t>
            </w:r>
            <w:hyperlink w:anchor="sec-52-3">
              <w:r>
                <w:rPr>
                  <w:rStyle w:val="Hyperlink"/>
                  <w:bCs/>
                  <w:b/>
                </w:rPr>
                <w:t xml:space="preserve">52.3</w:t>
              </w:r>
            </w:hyperlink>
            <w:r>
              <w:rPr>
                <w:bCs/>
                <w:b/>
              </w:rPr>
              <w:t xml:space="preserve">、</w:t>
            </w:r>
            <w:hyperlink w:anchor="sec-114-1">
              <w:r>
                <w:rPr>
                  <w:rStyle w:val="Hyperlink"/>
                  <w:bCs/>
                  <w:b/>
                </w:rPr>
                <w:t xml:space="preserve">114.1</w:t>
              </w:r>
            </w:hyperlink>
          </w:p>
        </w:tc>
        <w:tc>
          <w:tcPr/>
          <w:p>
            <w:pPr>
              <w:pStyle w:val="Compact"/>
              <w:jc w:val="left"/>
            </w:pPr>
            <w:r>
              <w:t xml:space="preserve">约 8–12 赫兹，与某些任务中的功能性抑制或信息选择有关</w:t>
            </w:r>
          </w:p>
        </w:tc>
        <w:tc>
          <w:tcPr/>
          <w:p>
            <w:pPr>
              <w:pStyle w:val="Compact"/>
              <w:jc w:val="left"/>
            </w:pPr>
            <w:r>
              <w:t xml:space="preserve">“α 波 = 放松”</w:t>
            </w:r>
          </w:p>
        </w:tc>
        <w:tc>
          <w:tcPr/>
          <w:p>
            <w:pPr>
              <w:pStyle w:val="Compact"/>
              <w:jc w:val="left"/>
            </w:pPr>
            <w:r>
              <w:t xml:space="preserve">多项研究报告冥想时 α 功率高于休息，结果受睁闭眼、睡意、对照条件和非周期背景成分影响，跨练习的一致性有限；含义依部位与任务而定</w:t>
            </w:r>
          </w:p>
        </w:tc>
        <w:tc>
          <w:tcPr/>
          <w:p>
            <w:pPr>
              <w:pStyle w:val="Compact"/>
              <w:jc w:val="left"/>
            </w:pPr>
            <w:r>
              <w:t xml:space="preserve">α=放松：</w:t>
            </w:r>
            <w:r>
              <w:rPr>
                <w:bCs/>
                <w:b/>
              </w:rPr>
              <w:t xml:space="preserve">过度简化·高</w:t>
            </w:r>
          </w:p>
          <w:p>
            <w:pPr>
              <w:pStyle w:val="Compact"/>
              <w:jc w:val="left"/>
            </w:pPr>
            <w:r>
              <w:t xml:space="preserve">冥想时增加：</w:t>
            </w:r>
            <w:r>
              <w:rPr>
                <w:bCs/>
                <w:b/>
              </w:rPr>
              <w:t xml:space="preserve">部分成立·中</w:t>
            </w:r>
          </w:p>
        </w:tc>
      </w:tr>
      <w:tr>
        <w:tc>
          <w:tcPr/>
          <w:p>
            <w:pPr>
              <w:pStyle w:val="Compact"/>
              <w:jc w:val="left"/>
            </w:pPr>
            <w:r>
              <w:rPr>
                <w:bCs/>
                <w:b/>
              </w:rPr>
              <w:t xml:space="preserve">θ 波</w:t>
            </w:r>
          </w:p>
          <w:p>
            <w:pPr>
              <w:pStyle w:val="Compact"/>
              <w:jc w:val="left"/>
            </w:pPr>
            <w:r>
              <w:rPr>
                <w:bCs/>
                <w:b/>
              </w:rPr>
              <w:t xml:space="preserve">见</w:t>
            </w:r>
            <w:r>
              <w:rPr>
                <w:bCs/>
                <w:b/>
              </w:rPr>
              <w:t xml:space="preserve"> </w:t>
            </w:r>
            <w:hyperlink w:anchor="sec-52-2">
              <w:r>
                <w:rPr>
                  <w:rStyle w:val="Hyperlink"/>
                  <w:bCs/>
                  <w:b/>
                </w:rPr>
                <w:t xml:space="preserve">52.2</w:t>
              </w:r>
            </w:hyperlink>
            <w:r>
              <w:rPr>
                <w:bCs/>
                <w:b/>
              </w:rPr>
              <w:t xml:space="preserve">、</w:t>
            </w:r>
            <w:hyperlink w:anchor="sec-52-3">
              <w:r>
                <w:rPr>
                  <w:rStyle w:val="Hyperlink"/>
                  <w:bCs/>
                  <w:b/>
                </w:rPr>
                <w:t xml:space="preserve">52.3</w:t>
              </w:r>
            </w:hyperlink>
            <w:r>
              <w:rPr>
                <w:bCs/>
                <w:b/>
              </w:rPr>
              <w:t xml:space="preserve">、</w:t>
            </w:r>
            <w:hyperlink w:anchor="sec-114-1">
              <w:r>
                <w:rPr>
                  <w:rStyle w:val="Hyperlink"/>
                  <w:bCs/>
                  <w:b/>
                </w:rPr>
                <w:t xml:space="preserve">114.1</w:t>
              </w:r>
            </w:hyperlink>
          </w:p>
        </w:tc>
        <w:tc>
          <w:tcPr/>
          <w:p>
            <w:pPr>
              <w:pStyle w:val="Compact"/>
              <w:jc w:val="left"/>
            </w:pPr>
            <w:r>
              <w:t xml:space="preserve">约 4–8 赫兹；额中线 θ 与认知控制有关</w:t>
            </w:r>
          </w:p>
        </w:tc>
        <w:tc>
          <w:tcPr/>
          <w:p>
            <w:pPr>
              <w:pStyle w:val="Compact"/>
              <w:jc w:val="left"/>
            </w:pPr>
            <w:r>
              <w:t xml:space="preserve">“θ 波 = 潜意识、潜能开关”</w:t>
            </w:r>
          </w:p>
        </w:tc>
        <w:tc>
          <w:tcPr/>
          <w:p>
            <w:pPr>
              <w:pStyle w:val="Compact"/>
              <w:jc w:val="left"/>
            </w:pPr>
            <w:r>
              <w:t xml:space="preserve">较早的综述报告冥想时 θ 升高，2026 年的多层元分析中合并效应不显著，深度专注时额中线 θ 升高，结果随练习、部位和对照条件而变；“潜意识”说法无依据</w:t>
            </w:r>
          </w:p>
        </w:tc>
        <w:tc>
          <w:tcPr/>
          <w:p>
            <w:pPr>
              <w:pStyle w:val="Compact"/>
              <w:jc w:val="left"/>
            </w:pPr>
            <w:r>
              <w:t xml:space="preserve">θ=潜意识：</w:t>
            </w:r>
            <w:r>
              <w:rPr>
                <w:bCs/>
                <w:b/>
              </w:rPr>
              <w:t xml:space="preserve">错误·高</w:t>
            </w:r>
          </w:p>
          <w:p>
            <w:pPr>
              <w:pStyle w:val="Compact"/>
              <w:jc w:val="left"/>
            </w:pPr>
            <w:r>
              <w:t xml:space="preserve">冥想时增加：</w:t>
            </w:r>
            <w:r>
              <w:rPr>
                <w:bCs/>
                <w:b/>
              </w:rPr>
              <w:t xml:space="preserve">部分成立·低</w:t>
            </w:r>
          </w:p>
        </w:tc>
      </w:tr>
      <w:tr>
        <w:tc>
          <w:tcPr/>
          <w:p>
            <w:pPr>
              <w:pStyle w:val="Compact"/>
              <w:jc w:val="left"/>
            </w:pPr>
            <w:r>
              <w:rPr>
                <w:bCs/>
                <w:b/>
              </w:rPr>
              <w:t xml:space="preserve">γ 波</w:t>
            </w:r>
          </w:p>
          <w:p>
            <w:pPr>
              <w:pStyle w:val="Compact"/>
              <w:jc w:val="left"/>
            </w:pPr>
            <w:r>
              <w:rPr>
                <w:bCs/>
                <w:b/>
              </w:rPr>
              <w:t xml:space="preserve">见</w:t>
            </w:r>
            <w:r>
              <w:rPr>
                <w:bCs/>
                <w:b/>
              </w:rPr>
              <w:t xml:space="preserve"> </w:t>
            </w:r>
            <w:hyperlink w:anchor="sec-114-2">
              <w:r>
                <w:rPr>
                  <w:rStyle w:val="Hyperlink"/>
                  <w:bCs/>
                  <w:b/>
                </w:rPr>
                <w:t xml:space="preserve">114.2</w:t>
              </w:r>
            </w:hyperlink>
          </w:p>
        </w:tc>
        <w:tc>
          <w:tcPr/>
          <w:p>
            <w:pPr>
              <w:pStyle w:val="Compact"/>
              <w:jc w:val="left"/>
            </w:pPr>
            <w:r>
              <w:t xml:space="preserve">30 赫兹以上，与知觉整合等有关，头皮记录易混入肌电</w:t>
            </w:r>
          </w:p>
        </w:tc>
        <w:tc>
          <w:tcPr/>
          <w:p>
            <w:pPr>
              <w:pStyle w:val="Compact"/>
              <w:jc w:val="left"/>
            </w:pPr>
            <w:r>
              <w:t xml:space="preserve">“γ 波 = 开悟”</w:t>
            </w:r>
          </w:p>
        </w:tc>
        <w:tc>
          <w:tcPr/>
          <w:p>
            <w:pPr>
              <w:pStyle w:val="Compact"/>
              <w:jc w:val="left"/>
            </w:pPr>
            <w:r>
              <w:t xml:space="preserve">部分长期练习者 γ 更强，也有方向相反的结果；高频结果需要报告眼动、肌电和数据剔除等控制；2026 年一项研究未检出 γ 与体验评分的稳定关联</w:t>
            </w:r>
          </w:p>
        </w:tc>
        <w:tc>
          <w:tcPr/>
          <w:p>
            <w:pPr>
              <w:pStyle w:val="Compact"/>
              <w:jc w:val="left"/>
            </w:pPr>
            <w:r>
              <w:t xml:space="preserve">γ=开悟：</w:t>
            </w:r>
            <w:r>
              <w:rPr>
                <w:bCs/>
                <w:b/>
              </w:rPr>
              <w:t xml:space="preserve">错误·高</w:t>
            </w:r>
          </w:p>
          <w:p>
            <w:pPr>
              <w:pStyle w:val="Compact"/>
              <w:jc w:val="left"/>
            </w:pPr>
            <w:r>
              <w:t xml:space="preserve">长期者更强：</w:t>
            </w:r>
            <w:r>
              <w:rPr>
                <w:bCs/>
                <w:b/>
              </w:rPr>
              <w:t xml:space="preserve">部分成立·低</w:t>
            </w:r>
          </w:p>
        </w:tc>
      </w:tr>
      <w:tr>
        <w:tc>
          <w:tcPr/>
          <w:p>
            <w:pPr>
              <w:pStyle w:val="Compact"/>
              <w:jc w:val="left"/>
            </w:pPr>
            <w:r>
              <w:rPr>
                <w:bCs/>
                <w:b/>
              </w:rPr>
              <w:t xml:space="preserve">额叶 α 不对称</w:t>
            </w:r>
          </w:p>
          <w:p>
            <w:pPr>
              <w:pStyle w:val="Compact"/>
              <w:jc w:val="left"/>
            </w:pPr>
            <w:r>
              <w:rPr>
                <w:bCs/>
                <w:b/>
              </w:rPr>
              <w:t xml:space="preserve">见</w:t>
            </w:r>
            <w:r>
              <w:rPr>
                <w:bCs/>
                <w:b/>
              </w:rPr>
              <w:t xml:space="preserve"> </w:t>
            </w:r>
            <w:hyperlink w:anchor="sec-114-3">
              <w:r>
                <w:rPr>
                  <w:rStyle w:val="Hyperlink"/>
                  <w:bCs/>
                  <w:b/>
                </w:rPr>
                <w:t xml:space="preserve">114.3</w:t>
              </w:r>
            </w:hyperlink>
          </w:p>
        </w:tc>
        <w:tc>
          <w:tcPr/>
          <w:p>
            <w:pPr>
              <w:pStyle w:val="Compact"/>
              <w:jc w:val="left"/>
            </w:pPr>
            <w:r>
              <w:t xml:space="preserve">左右前额 α 功率差</w:t>
            </w:r>
          </w:p>
        </w:tc>
        <w:tc>
          <w:tcPr/>
          <w:p>
            <w:pPr>
              <w:pStyle w:val="Compact"/>
              <w:jc w:val="left"/>
            </w:pPr>
            <w:r>
              <w:t xml:space="preserve">“冥想让大脑转向幸福模式”</w:t>
            </w:r>
          </w:p>
        </w:tc>
        <w:tc>
          <w:tcPr/>
          <w:p>
            <w:pPr>
              <w:pStyle w:val="Compact"/>
              <w:jc w:val="left"/>
            </w:pPr>
            <w:r>
              <w:t xml:space="preserve">2003 年小样本研究（25 对 16 人），显著变化出现在中央区和前颞区电极；额区电极上变化不显著；后续随机试验结果不一致；作为抑郁的诊断指标，元分析中效应近零</w:t>
            </w:r>
          </w:p>
        </w:tc>
        <w:tc>
          <w:tcPr/>
          <w:p>
            <w:pPr>
              <w:pStyle w:val="Compact"/>
              <w:jc w:val="left"/>
            </w:pPr>
            <w:r>
              <w:rPr>
                <w:bCs/>
                <w:b/>
              </w:rPr>
              <w:t xml:space="preserve">证据不足·中</w:t>
            </w:r>
          </w:p>
        </w:tc>
      </w:tr>
      <w:tr>
        <w:tc>
          <w:tcPr/>
          <w:p>
            <w:pPr>
              <w:pStyle w:val="Compact"/>
              <w:jc w:val="left"/>
            </w:pPr>
            <w:r>
              <w:rPr>
                <w:bCs/>
                <w:b/>
              </w:rPr>
              <w:t xml:space="preserve">双耳节拍与冥想头带</w:t>
            </w:r>
          </w:p>
          <w:p>
            <w:pPr>
              <w:pStyle w:val="Compact"/>
              <w:jc w:val="left"/>
            </w:pPr>
            <w:r>
              <w:rPr>
                <w:bCs/>
                <w:b/>
              </w:rPr>
              <w:t xml:space="preserve">见</w:t>
            </w:r>
            <w:r>
              <w:rPr>
                <w:bCs/>
                <w:b/>
              </w:rPr>
              <w:t xml:space="preserve"> </w:t>
            </w:r>
            <w:hyperlink w:anchor="sec-52-8">
              <w:r>
                <w:rPr>
                  <w:rStyle w:val="Hyperlink"/>
                  <w:bCs/>
                  <w:b/>
                </w:rPr>
                <w:t xml:space="preserve">52.8</w:t>
              </w:r>
            </w:hyperlink>
            <w:r>
              <w:rPr>
                <w:bCs/>
                <w:b/>
              </w:rPr>
              <w:t xml:space="preserve">、</w:t>
            </w:r>
            <w:hyperlink w:anchor="sec-114-4">
              <w:r>
                <w:rPr>
                  <w:rStyle w:val="Hyperlink"/>
                  <w:bCs/>
                  <w:b/>
                </w:rPr>
                <w:t xml:space="preserve">114.4</w:t>
              </w:r>
            </w:hyperlink>
          </w:p>
        </w:tc>
        <w:tc>
          <w:tcPr/>
          <w:p>
            <w:pPr>
              <w:pStyle w:val="Compact"/>
              <w:jc w:val="left"/>
            </w:pPr>
            <w:r>
              <w:t xml:space="preserve">双耳差频声音；前额与耳后干电极反馈</w:t>
            </w:r>
          </w:p>
        </w:tc>
        <w:tc>
          <w:tcPr/>
          <w:p>
            <w:pPr>
              <w:pStyle w:val="Compact"/>
              <w:jc w:val="left"/>
            </w:pPr>
            <w:r>
              <w:t xml:space="preserve">“把脑波带入冥想状态”；“读数代表冥想深度”</w:t>
            </w:r>
          </w:p>
        </w:tc>
        <w:tc>
          <w:tcPr/>
          <w:p>
            <w:pPr>
              <w:pStyle w:val="Compact"/>
              <w:jc w:val="left"/>
            </w:pPr>
            <w:r>
              <w:t xml:space="preserve">双耳节拍：14 项脑电研究中 5 项支持、8 项不支持“带入”，行为效应即使存在也难归因于“带入”</w:t>
            </w:r>
          </w:p>
          <w:p>
            <w:pPr>
              <w:pStyle w:val="Compact"/>
              <w:jc w:val="left"/>
            </w:pPr>
            <w:r>
              <w:t xml:space="preserve">头带：能记录一部分真实脑电，厂商的分数缺少独立验证；两项短期研究中没有带来额外的心率变异性改善，另一项小型试验的作者中有设备公司员工</w:t>
            </w:r>
          </w:p>
        </w:tc>
        <w:tc>
          <w:tcPr/>
          <w:p>
            <w:pPr>
              <w:pStyle w:val="Compact"/>
              <w:jc w:val="left"/>
            </w:pPr>
            <w:r>
              <w:t xml:space="preserve">带入脑波：</w:t>
            </w:r>
            <w:r>
              <w:rPr>
                <w:bCs/>
                <w:b/>
              </w:rPr>
              <w:t xml:space="preserve">证据不足·中</w:t>
            </w:r>
          </w:p>
          <w:p>
            <w:pPr>
              <w:pStyle w:val="Compact"/>
              <w:jc w:val="left"/>
            </w:pPr>
            <w:r>
              <w:t xml:space="preserve">读数即深度：</w:t>
            </w:r>
            <w:r>
              <w:rPr>
                <w:bCs/>
                <w:b/>
              </w:rPr>
              <w:t xml:space="preserve">证据不足·中</w:t>
            </w:r>
          </w:p>
        </w:tc>
      </w:tr>
    </w:tbl>
    <w:p>
      <w:pPr>
        <w:pStyle w:val="TableCaption"/>
      </w:pPr>
      <w:bookmarkStart w:id="1777" w:name="tab-med-claims"/>
      <w:bookmarkEnd w:id="1777"/>
      <w:r>
        <w:rPr>
          <w:bCs/>
          <w:b/>
        </w:rPr>
        <w:t xml:space="preserve">表 28　冥想相关的流行说法与数字</w:t>
      </w:r>
    </w:p>
    <w:tbl>
      <w:tblPr>
        <w:tblStyle w:val="Table"/>
        <w:tblW w:type="pct" w:w="5000"/>
        <w:jc w:val="start"/>
        <w:tblLook w:firstRow="1" w:lastRow="0" w:firstColumn="0" w:lastColumn="0" w:noHBand="0" w:noVBand="0" w:val="0020"/>
      </w:tblPr>
      <w:tblGrid>
        <w:gridCol w:w="1425"/>
        <w:gridCol w:w="1742"/>
        <w:gridCol w:w="3485"/>
        <w:gridCol w:w="1266"/>
      </w:tblGrid>
      <w:tr>
        <w:trPr>
          <w:tblHeader w:val="true"/>
        </w:trPr>
        <w:tc>
          <w:tcPr>
            <w:shd w:val="clear" w:color="auto" w:fill="1F3A5F"/>
          </w:tcPr>
          <w:p>
            <w:pPr>
              <w:pStyle w:val="Compact"/>
              <w:jc w:val="left"/>
            </w:pPr>
            <w:r>
              <w:rPr>
                <w:bCs/>
                <w:b/>
                <w:color w:val="FFFFFF"/>
              </w:rPr>
              <w:t xml:space="preserve">说法</w:t>
            </w:r>
          </w:p>
        </w:tc>
        <w:tc>
          <w:tcPr>
            <w:shd w:val="clear" w:color="auto" w:fill="1F3A5F"/>
          </w:tcPr>
          <w:p>
            <w:pPr>
              <w:pStyle w:val="Compact"/>
              <w:jc w:val="left"/>
            </w:pPr>
            <w:r>
              <w:rPr>
                <w:bCs/>
                <w:b/>
                <w:color w:val="FFFFFF"/>
              </w:rPr>
              <w:t xml:space="preserve">来源</w:t>
            </w:r>
          </w:p>
        </w:tc>
        <w:tc>
          <w:tcPr>
            <w:shd w:val="clear" w:color="auto" w:fill="1F3A5F"/>
          </w:tcPr>
          <w:p>
            <w:pPr>
              <w:pStyle w:val="Compact"/>
              <w:jc w:val="left"/>
            </w:pPr>
            <w:r>
              <w:rPr>
                <w:bCs/>
                <w:b/>
                <w:color w:val="FFFFFF"/>
              </w:rPr>
              <w:t xml:space="preserve">实况</w:t>
            </w:r>
          </w:p>
        </w:tc>
        <w:tc>
          <w:tcPr>
            <w:shd w:val="clear" w:color="auto" w:fill="1F3A5F"/>
          </w:tcPr>
          <w:p>
            <w:pPr>
              <w:pStyle w:val="Compact"/>
              <w:jc w:val="left"/>
            </w:pPr>
            <w:r>
              <w:rPr>
                <w:bCs/>
                <w:b/>
                <w:color w:val="FFFFFF"/>
              </w:rPr>
              <w:t xml:space="preserve">判断</w:t>
            </w:r>
          </w:p>
        </w:tc>
      </w:tr>
      <w:tr>
        <w:tc>
          <w:tcPr/>
          <w:p>
            <w:pPr>
              <w:pStyle w:val="Compact"/>
              <w:jc w:val="left"/>
            </w:pPr>
            <w:r>
              <w:rPr>
                <w:bCs/>
                <w:b/>
              </w:rPr>
              <w:t xml:space="preserve">八周冥想重塑大脑结构</w:t>
            </w:r>
          </w:p>
          <w:p>
            <w:pPr>
              <w:pStyle w:val="Compact"/>
              <w:jc w:val="left"/>
            </w:pPr>
            <w:r>
              <w:rPr>
                <w:bCs/>
                <w:b/>
              </w:rPr>
              <w:t xml:space="preserve">见</w:t>
            </w:r>
            <w:r>
              <w:rPr>
                <w:bCs/>
                <w:b/>
              </w:rPr>
              <w:t xml:space="preserve"> </w:t>
            </w:r>
            <w:hyperlink w:anchor="sec-116-3">
              <w:r>
                <w:rPr>
                  <w:rStyle w:val="Hyperlink"/>
                  <w:bCs/>
                  <w:b/>
                </w:rPr>
                <w:t xml:space="preserve">116.3</w:t>
              </w:r>
            </w:hyperlink>
            <w:r>
              <w:rPr>
                <w:bCs/>
                <w:b/>
              </w:rPr>
              <w:t xml:space="preserve">至</w:t>
            </w:r>
            <w:r>
              <w:rPr>
                <w:bCs/>
                <w:b/>
              </w:rPr>
              <w:t xml:space="preserve"> </w:t>
            </w:r>
            <w:hyperlink w:anchor="sec-116-5">
              <w:r>
                <w:rPr>
                  <w:rStyle w:val="Hyperlink"/>
                  <w:bCs/>
                  <w:b/>
                </w:rPr>
                <w:t xml:space="preserve">116.5</w:t>
              </w:r>
            </w:hyperlink>
          </w:p>
        </w:tc>
        <w:tc>
          <w:tcPr/>
          <w:p>
            <w:pPr>
              <w:pStyle w:val="Compact"/>
              <w:jc w:val="left"/>
            </w:pPr>
            <w:r>
              <w:t xml:space="preserve">2011 年非随机研究的新闻稿与媒体报道</w:t>
            </w:r>
          </w:p>
        </w:tc>
        <w:tc>
          <w:tcPr/>
          <w:p>
            <w:pPr>
              <w:pStyle w:val="Compact"/>
              <w:jc w:val="left"/>
            </w:pPr>
            <w:r>
              <w:t xml:space="preserve">218 人进入影像分析的随机对照未见预期的结构增长，估计排除了早期报告的幅度；两项 18 个月的老年人试验也没有出现预期的增长，其中一项海马的差异方向与假设相反；童年逆境人群的小型试验和“资源计划”同一队列的亚区分析报告了局部变化，有待独立重复；很小的变化尚未排除</w:t>
            </w:r>
          </w:p>
        </w:tc>
        <w:tc>
          <w:tcPr/>
          <w:p>
            <w:pPr>
              <w:pStyle w:val="Compact"/>
              <w:jc w:val="left"/>
            </w:pPr>
            <w:r>
              <w:t xml:space="preserve">八周普遍明显增长：</w:t>
            </w:r>
            <w:r>
              <w:rPr>
                <w:bCs/>
                <w:b/>
              </w:rPr>
              <w:t xml:space="preserve">已被推翻·高</w:t>
            </w:r>
          </w:p>
          <w:p>
            <w:pPr>
              <w:pStyle w:val="Compact"/>
              <w:jc w:val="left"/>
            </w:pPr>
            <w:r>
              <w:t xml:space="preserve">特定人群或亚区：</w:t>
            </w:r>
            <w:r>
              <w:rPr>
                <w:bCs/>
                <w:b/>
              </w:rPr>
              <w:t xml:space="preserve">证据不足·低</w:t>
            </w:r>
          </w:p>
        </w:tc>
      </w:tr>
      <w:tr>
        <w:tc>
          <w:tcPr/>
          <w:p>
            <w:pPr>
              <w:pStyle w:val="Compact"/>
              <w:jc w:val="left"/>
            </w:pPr>
            <w:r>
              <w:rPr>
                <w:bCs/>
                <w:b/>
              </w:rPr>
              <w:t xml:space="preserve">冥想让大脑年轻 7.5 岁</w:t>
            </w:r>
          </w:p>
          <w:p>
            <w:pPr>
              <w:pStyle w:val="Compact"/>
              <w:jc w:val="left"/>
            </w:pPr>
            <w:r>
              <w:rPr>
                <w:bCs/>
                <w:b/>
              </w:rPr>
              <w:t xml:space="preserve">见</w:t>
            </w:r>
            <w:r>
              <w:rPr>
                <w:bCs/>
                <w:b/>
              </w:rPr>
              <w:t xml:space="preserve"> </w:t>
            </w:r>
            <w:hyperlink w:anchor="sec-116-2">
              <w:r>
                <w:rPr>
                  <w:rStyle w:val="Hyperlink"/>
                  <w:bCs/>
                  <w:b/>
                </w:rPr>
                <w:t xml:space="preserve">116.2</w:t>
              </w:r>
            </w:hyperlink>
          </w:p>
        </w:tc>
        <w:tc>
          <w:tcPr/>
          <w:p>
            <w:pPr>
              <w:pStyle w:val="Compact"/>
              <w:jc w:val="left"/>
            </w:pPr>
            <w:r>
              <w:t xml:space="preserve">2016 年横断面脑龄研究</w:t>
            </w:r>
          </w:p>
        </w:tc>
        <w:tc>
          <w:tcPr/>
          <w:p>
            <w:pPr>
              <w:pStyle w:val="Compact"/>
              <w:jc w:val="left"/>
            </w:pPr>
            <w:r>
              <w:t xml:space="preserve">50 对 50 人；7.5 岁是模型在 50 岁这一点上的估计，差值随年龄而变；2025 年的同类比较中，结合多种成像的主模型加入年龄后不再显著，只用结构图像的模型仍然显著，结果对模型和年龄校正都敏感；18 个月随机训练没有改变脑龄估计</w:t>
            </w:r>
          </w:p>
        </w:tc>
        <w:tc>
          <w:tcPr/>
          <w:p>
            <w:pPr>
              <w:pStyle w:val="Compact"/>
              <w:jc w:val="left"/>
            </w:pPr>
            <w:r>
              <w:rPr>
                <w:bCs/>
                <w:b/>
              </w:rPr>
              <w:t xml:space="preserve">证据不足·中</w:t>
            </w:r>
          </w:p>
        </w:tc>
      </w:tr>
      <w:tr>
        <w:tc>
          <w:tcPr/>
          <w:p>
            <w:pPr>
              <w:pStyle w:val="Compact"/>
              <w:jc w:val="left"/>
            </w:pPr>
            <w:r>
              <w:rPr>
                <w:bCs/>
                <w:b/>
              </w:rPr>
              <w:t xml:space="preserve">“世界上最快乐的人”</w:t>
            </w:r>
          </w:p>
          <w:p>
            <w:pPr>
              <w:pStyle w:val="Compact"/>
              <w:jc w:val="left"/>
            </w:pPr>
            <w:r>
              <w:rPr>
                <w:bCs/>
                <w:b/>
              </w:rPr>
              <w:t xml:space="preserve">见</w:t>
            </w:r>
            <w:r>
              <w:rPr>
                <w:bCs/>
                <w:b/>
              </w:rPr>
              <w:t xml:space="preserve"> </w:t>
            </w:r>
            <w:hyperlink w:anchor="sec-116-7">
              <w:r>
                <w:rPr>
                  <w:rStyle w:val="Hyperlink"/>
                  <w:bCs/>
                  <w:b/>
                </w:rPr>
                <w:t xml:space="preserve">116.7</w:t>
              </w:r>
            </w:hyperlink>
          </w:p>
        </w:tc>
        <w:tc>
          <w:tcPr/>
          <w:p>
            <w:pPr>
              <w:pStyle w:val="Compact"/>
              <w:jc w:val="left"/>
            </w:pPr>
            <w:r>
              <w:t xml:space="preserve">媒体对 Matthieu Ricard 的称呼</w:t>
            </w:r>
          </w:p>
        </w:tc>
        <w:tc>
          <w:tcPr/>
          <w:p>
            <w:pPr>
              <w:pStyle w:val="Compact"/>
              <w:jc w:val="left"/>
            </w:pPr>
            <w:r>
              <w:t xml:space="preserve">没有能给人排序的“快乐”测量，本人称之为荒谬</w:t>
            </w:r>
          </w:p>
        </w:tc>
        <w:tc>
          <w:tcPr/>
          <w:p>
            <w:pPr>
              <w:pStyle w:val="Compact"/>
              <w:jc w:val="left"/>
            </w:pPr>
            <w:r>
              <w:rPr>
                <w:bCs/>
                <w:b/>
              </w:rPr>
              <w:t xml:space="preserve">错误·高</w:t>
            </w:r>
          </w:p>
        </w:tc>
      </w:tr>
      <w:tr>
        <w:tc>
          <w:tcPr/>
          <w:p>
            <w:pPr>
              <w:pStyle w:val="Compact"/>
              <w:jc w:val="left"/>
            </w:pPr>
            <w:r>
              <w:rPr>
                <w:bCs/>
                <w:b/>
              </w:rPr>
              <w:t xml:space="preserve">冥想就是放空大脑</w:t>
            </w:r>
          </w:p>
          <w:p>
            <w:pPr>
              <w:pStyle w:val="Compact"/>
              <w:jc w:val="left"/>
            </w:pPr>
            <w:r>
              <w:rPr>
                <w:bCs/>
                <w:b/>
              </w:rPr>
              <w:t xml:space="preserve">见</w:t>
            </w:r>
            <w:r>
              <w:rPr>
                <w:bCs/>
                <w:b/>
              </w:rPr>
              <w:t xml:space="preserve"> </w:t>
            </w:r>
            <w:hyperlink w:anchor="sec-115-6">
              <w:r>
                <w:rPr>
                  <w:rStyle w:val="Hyperlink"/>
                  <w:bCs/>
                  <w:b/>
                </w:rPr>
                <w:t xml:space="preserve">115.6</w:t>
              </w:r>
            </w:hyperlink>
          </w:p>
        </w:tc>
        <w:tc>
          <w:tcPr/>
          <w:p>
            <w:pPr>
              <w:pStyle w:val="Compact"/>
              <w:jc w:val="left"/>
            </w:pPr>
            <w:r>
              <w:t xml:space="preserve">通俗理解</w:t>
            </w:r>
          </w:p>
        </w:tc>
        <w:tc>
          <w:tcPr/>
          <w:p>
            <w:pPr>
              <w:pStyle w:val="Compact"/>
              <w:jc w:val="left"/>
            </w:pPr>
            <w:r>
              <w:t xml:space="preserve">专注类练习由走神、察觉、放下、回到对象的循环构成，其他练习结构不同；部分高阶练习者报告的念头稀少，要与神经活动停止和睡意区分开</w:t>
            </w:r>
          </w:p>
        </w:tc>
        <w:tc>
          <w:tcPr/>
          <w:p>
            <w:pPr>
              <w:pStyle w:val="Compact"/>
              <w:jc w:val="left"/>
            </w:pPr>
            <w:r>
              <w:rPr>
                <w:bCs/>
                <w:b/>
              </w:rPr>
              <w:t xml:space="preserve">错误·高</w:t>
            </w:r>
          </w:p>
        </w:tc>
      </w:tr>
      <w:tr>
        <w:tc>
          <w:tcPr/>
          <w:p>
            <w:pPr>
              <w:pStyle w:val="Compact"/>
              <w:jc w:val="left"/>
            </w:pPr>
            <w:r>
              <w:rPr>
                <w:bCs/>
                <w:b/>
              </w:rPr>
              <w:t xml:space="preserve">正念就是放松</w:t>
            </w:r>
          </w:p>
          <w:p>
            <w:pPr>
              <w:pStyle w:val="Compact"/>
              <w:jc w:val="left"/>
            </w:pPr>
            <w:r>
              <w:rPr>
                <w:bCs/>
                <w:b/>
              </w:rPr>
              <w:t xml:space="preserve">见</w:t>
            </w:r>
            <w:r>
              <w:rPr>
                <w:bCs/>
                <w:b/>
              </w:rPr>
              <w:t xml:space="preserve"> </w:t>
            </w:r>
            <w:hyperlink w:anchor="sec-115-6">
              <w:r>
                <w:rPr>
                  <w:rStyle w:val="Hyperlink"/>
                  <w:bCs/>
                  <w:b/>
                </w:rPr>
                <w:t xml:space="preserve">115.6</w:t>
              </w:r>
            </w:hyperlink>
          </w:p>
        </w:tc>
        <w:tc>
          <w:tcPr/>
          <w:p>
            <w:pPr>
              <w:pStyle w:val="Compact"/>
              <w:jc w:val="left"/>
            </w:pPr>
            <w:r>
              <w:t xml:space="preserve">通俗理解</w:t>
            </w:r>
          </w:p>
        </w:tc>
        <w:tc>
          <w:tcPr/>
          <w:p>
            <w:pPr>
              <w:pStyle w:val="Compact"/>
              <w:jc w:val="left"/>
            </w:pPr>
            <w:r>
              <w:t xml:space="preserve">放松常是副产品；部分传统练习可能伴随较高的唤醒，相关的自主神经指标解读有限；练习也可能引发不适</w:t>
            </w:r>
          </w:p>
        </w:tc>
        <w:tc>
          <w:tcPr/>
          <w:p>
            <w:pPr>
              <w:pStyle w:val="Compact"/>
              <w:jc w:val="left"/>
            </w:pPr>
            <w:r>
              <w:rPr>
                <w:bCs/>
                <w:b/>
              </w:rPr>
              <w:t xml:space="preserve">过度简化·高</w:t>
            </w:r>
          </w:p>
        </w:tc>
      </w:tr>
      <w:tr>
        <w:tc>
          <w:tcPr/>
          <w:p>
            <w:pPr>
              <w:pStyle w:val="Compact"/>
              <w:jc w:val="left"/>
            </w:pPr>
            <w:r>
              <w:rPr>
                <w:bCs/>
                <w:b/>
              </w:rPr>
              <w:t xml:space="preserve">冥想对所有人都安全</w:t>
            </w:r>
          </w:p>
          <w:p>
            <w:pPr>
              <w:pStyle w:val="Compact"/>
              <w:jc w:val="left"/>
            </w:pPr>
            <w:r>
              <w:rPr>
                <w:bCs/>
                <w:b/>
              </w:rPr>
              <w:t xml:space="preserve">见</w:t>
            </w:r>
            <w:r>
              <w:rPr>
                <w:bCs/>
                <w:b/>
              </w:rPr>
              <w:t xml:space="preserve"> </w:t>
            </w:r>
            <w:hyperlink w:anchor="sec-118-2">
              <w:r>
                <w:rPr>
                  <w:rStyle w:val="Hyperlink"/>
                  <w:bCs/>
                  <w:b/>
                </w:rPr>
                <w:t xml:space="preserve">118.2</w:t>
              </w:r>
            </w:hyperlink>
          </w:p>
        </w:tc>
        <w:tc>
          <w:tcPr/>
          <w:p>
            <w:pPr>
              <w:pStyle w:val="Compact"/>
              <w:jc w:val="left"/>
            </w:pPr>
            <w:r>
              <w:t xml:space="preserve">推广话术</w:t>
            </w:r>
          </w:p>
        </w:tc>
        <w:tc>
          <w:tcPr/>
          <w:p>
            <w:pPr>
              <w:pStyle w:val="Compact"/>
              <w:jc w:val="left"/>
            </w:pPr>
            <w:r>
              <w:t xml:space="preserve">83 项研究合并的不良事件报告比例约 8%，随问法、监测和定义变化很大，不能读成每个人的确定风险；少数人的不良影响持续并影响功能</w:t>
            </w:r>
          </w:p>
        </w:tc>
        <w:tc>
          <w:tcPr/>
          <w:p>
            <w:pPr>
              <w:pStyle w:val="Compact"/>
              <w:jc w:val="left"/>
            </w:pPr>
            <w:r>
              <w:rPr>
                <w:bCs/>
                <w:b/>
              </w:rPr>
              <w:t xml:space="preserve">错误·高</w:t>
            </w:r>
          </w:p>
        </w:tc>
      </w:tr>
      <w:tr>
        <w:tc>
          <w:tcPr/>
          <w:p>
            <w:pPr>
              <w:pStyle w:val="Compact"/>
              <w:jc w:val="left"/>
            </w:pPr>
            <w:r>
              <w:rPr>
                <w:bCs/>
                <w:b/>
              </w:rPr>
              <w:t xml:space="preserve">冥想能提高智商</w:t>
            </w:r>
          </w:p>
          <w:p>
            <w:pPr>
              <w:pStyle w:val="Compact"/>
              <w:jc w:val="left"/>
            </w:pPr>
            <w:r>
              <w:rPr>
                <w:bCs/>
                <w:b/>
              </w:rPr>
              <w:t xml:space="preserve">见</w:t>
            </w:r>
            <w:r>
              <w:rPr>
                <w:bCs/>
                <w:b/>
              </w:rPr>
              <w:t xml:space="preserve"> </w:t>
            </w:r>
            <w:hyperlink w:anchor="sec-115-6">
              <w:r>
                <w:rPr>
                  <w:rStyle w:val="Hyperlink"/>
                  <w:bCs/>
                  <w:b/>
                </w:rPr>
                <w:t xml:space="preserve">115.6</w:t>
              </w:r>
            </w:hyperlink>
          </w:p>
        </w:tc>
        <w:tc>
          <w:tcPr/>
          <w:p>
            <w:pPr>
              <w:pStyle w:val="Compact"/>
              <w:jc w:val="left"/>
            </w:pPr>
            <w:r>
              <w:t xml:space="preserve">自助宣传</w:t>
            </w:r>
          </w:p>
        </w:tc>
        <w:tc>
          <w:tcPr/>
          <w:p>
            <w:pPr>
              <w:pStyle w:val="Compact"/>
              <w:jc w:val="left"/>
            </w:pPr>
            <w:r>
              <w:t xml:space="preserve">客观认知效应很小，相对主动对照没有显示出明确优势，所用测验很少是完整的智力测验；585 名老年人的随机试验中记忆与执行功能没有改善，结论限于该人群</w:t>
            </w:r>
          </w:p>
        </w:tc>
        <w:tc>
          <w:tcPr/>
          <w:p>
            <w:pPr>
              <w:pStyle w:val="Compact"/>
              <w:jc w:val="left"/>
            </w:pPr>
            <w:r>
              <w:rPr>
                <w:bCs/>
                <w:b/>
              </w:rPr>
              <w:t xml:space="preserve">证据不足·中</w:t>
            </w:r>
          </w:p>
        </w:tc>
      </w:tr>
      <w:tr>
        <w:tc>
          <w:tcPr/>
          <w:p>
            <w:pPr>
              <w:pStyle w:val="Compact"/>
              <w:jc w:val="left"/>
            </w:pPr>
            <w:r>
              <w:rPr>
                <w:bCs/>
                <w:b/>
              </w:rPr>
              <w:t xml:space="preserve">冥想给大脑“排毒”、清除淀粉样蛋白</w:t>
            </w:r>
          </w:p>
          <w:p>
            <w:pPr>
              <w:pStyle w:val="Compact"/>
              <w:jc w:val="left"/>
            </w:pPr>
            <w:r>
              <w:rPr>
                <w:bCs/>
                <w:b/>
              </w:rPr>
              <w:t xml:space="preserve">见</w:t>
            </w:r>
            <w:hyperlink w:anchor="ch-50">
              <w:r>
                <w:rPr>
                  <w:rStyle w:val="Hyperlink"/>
                  <w:bCs/>
                  <w:b/>
                </w:rPr>
                <w:t xml:space="preserve">第50章</w:t>
              </w:r>
            </w:hyperlink>
            <w:r>
              <w:rPr>
                <w:bCs/>
                <w:b/>
              </w:rPr>
              <w:t xml:space="preserve">、</w:t>
            </w:r>
            <w:hyperlink w:anchor="sec-115-7">
              <w:r>
                <w:rPr>
                  <w:rStyle w:val="Hyperlink"/>
                  <w:bCs/>
                  <w:b/>
                </w:rPr>
                <w:t xml:space="preserve">115.7</w:t>
              </w:r>
            </w:hyperlink>
          </w:p>
        </w:tc>
        <w:tc>
          <w:tcPr/>
          <w:p>
            <w:pPr>
              <w:pStyle w:val="Compact"/>
              <w:jc w:val="left"/>
            </w:pPr>
            <w:r>
              <w:t xml:space="preserve">类淋巴系统研究的通俗化</w:t>
            </w:r>
          </w:p>
        </w:tc>
        <w:tc>
          <w:tcPr/>
          <w:p>
            <w:pPr>
              <w:pStyle w:val="Compact"/>
              <w:jc w:val="left"/>
            </w:pPr>
            <w:r>
              <w:t xml:space="preserve">睡眠时清除加快来自小鼠研究，2024 年另一项小鼠研究结论相反，争论未定，2025 年的小鼠研究发现血管运动的慢振荡推动脑脊液流动；冥想研究只测了脑脊液流动模式的变化；人脑中废物清除的速度，还没有冥想研究测过</w:t>
            </w:r>
          </w:p>
        </w:tc>
        <w:tc>
          <w:tcPr/>
          <w:p>
            <w:pPr>
              <w:pStyle w:val="Compact"/>
              <w:jc w:val="left"/>
            </w:pPr>
            <w:r>
              <w:rPr>
                <w:bCs/>
                <w:b/>
              </w:rPr>
              <w:t xml:space="preserve">证据不足·高</w:t>
            </w:r>
          </w:p>
        </w:tc>
      </w:tr>
      <w:tr>
        <w:tc>
          <w:tcPr/>
          <w:p>
            <w:pPr>
              <w:pStyle w:val="Compact"/>
              <w:jc w:val="left"/>
            </w:pPr>
            <w:r>
              <w:rPr>
                <w:bCs/>
                <w:b/>
              </w:rPr>
              <w:t xml:space="preserve">冥想重塑肠道菌群、改善情绪</w:t>
            </w:r>
          </w:p>
          <w:p>
            <w:pPr>
              <w:pStyle w:val="Compact"/>
              <w:jc w:val="left"/>
            </w:pPr>
            <w:r>
              <w:rPr>
                <w:bCs/>
                <w:b/>
              </w:rPr>
              <w:t xml:space="preserve">见</w:t>
            </w:r>
            <w:r>
              <w:rPr>
                <w:bCs/>
                <w:b/>
              </w:rPr>
              <w:t xml:space="preserve"> </w:t>
            </w:r>
            <w:hyperlink w:anchor="sec-96-1">
              <w:r>
                <w:rPr>
                  <w:rStyle w:val="Hyperlink"/>
                  <w:bCs/>
                  <w:b/>
                </w:rPr>
                <w:t xml:space="preserve">96.1</w:t>
              </w:r>
            </w:hyperlink>
            <w:r>
              <w:rPr>
                <w:bCs/>
                <w:b/>
              </w:rPr>
              <w:t xml:space="preserve">、</w:t>
            </w:r>
            <w:hyperlink w:anchor="sec-112-2">
              <w:r>
                <w:rPr>
                  <w:rStyle w:val="Hyperlink"/>
                  <w:bCs/>
                  <w:b/>
                </w:rPr>
                <w:t xml:space="preserve">112.2</w:t>
              </w:r>
            </w:hyperlink>
          </w:p>
        </w:tc>
        <w:tc>
          <w:tcPr/>
          <w:p>
            <w:pPr>
              <w:pStyle w:val="Compact"/>
              <w:jc w:val="left"/>
            </w:pPr>
            <w:r>
              <w:t xml:space="preserve">“脑肠轴”科普</w:t>
            </w:r>
          </w:p>
        </w:tc>
        <w:tc>
          <w:tcPr/>
          <w:p>
            <w:pPr>
              <w:pStyle w:val="Compact"/>
              <w:jc w:val="left"/>
            </w:pPr>
            <w:r>
              <w:t xml:space="preserve">一项横断面比较、两项小型前后比较研究和一项孕期随机试验的探索分析；随机试验中正念组的整体菌群组成与常规照护组没有显著差别；菌群数据是相对丰度，同时检验的菌属很多；所有研究都没有测量大脑或检验因果链</w:t>
            </w:r>
          </w:p>
        </w:tc>
        <w:tc>
          <w:tcPr/>
          <w:p>
            <w:pPr>
              <w:pStyle w:val="Compact"/>
              <w:jc w:val="left"/>
            </w:pPr>
            <w:r>
              <w:t xml:space="preserve">改变菌群组成：</w:t>
            </w:r>
            <w:r>
              <w:rPr>
                <w:bCs/>
                <w:b/>
              </w:rPr>
              <w:t xml:space="preserve">证据不足·中</w:t>
            </w:r>
          </w:p>
          <w:p>
            <w:pPr>
              <w:pStyle w:val="Compact"/>
              <w:jc w:val="left"/>
            </w:pPr>
            <w:r>
              <w:t xml:space="preserve">经菌群改善情绪：</w:t>
            </w:r>
            <w:r>
              <w:rPr>
                <w:bCs/>
                <w:b/>
              </w:rPr>
              <w:t xml:space="preserve">证据不足·高</w:t>
            </w:r>
          </w:p>
        </w:tc>
      </w:tr>
      <w:tr>
        <w:tc>
          <w:tcPr/>
          <w:p>
            <w:pPr>
              <w:pStyle w:val="Compact"/>
              <w:jc w:val="left"/>
            </w:pPr>
            <w:r>
              <w:rPr>
                <w:bCs/>
                <w:b/>
              </w:rPr>
              <w:t xml:space="preserve">冥想与迷幻药在脑内做同一件事</w:t>
            </w:r>
          </w:p>
          <w:p>
            <w:pPr>
              <w:pStyle w:val="Compact"/>
              <w:jc w:val="left"/>
            </w:pPr>
            <w:r>
              <w:rPr>
                <w:bCs/>
                <w:b/>
              </w:rPr>
              <w:t xml:space="preserve">见</w:t>
            </w:r>
            <w:r>
              <w:rPr>
                <w:bCs/>
                <w:b/>
              </w:rPr>
              <w:t xml:space="preserve"> </w:t>
            </w:r>
            <w:hyperlink w:anchor="sec-119-4">
              <w:r>
                <w:rPr>
                  <w:rStyle w:val="Hyperlink"/>
                  <w:bCs/>
                  <w:b/>
                </w:rPr>
                <w:t xml:space="preserve">119.4</w:t>
              </w:r>
            </w:hyperlink>
          </w:p>
        </w:tc>
        <w:tc>
          <w:tcPr/>
          <w:p>
            <w:pPr>
              <w:pStyle w:val="Compact"/>
              <w:jc w:val="left"/>
            </w:pPr>
            <w:r>
              <w:t xml:space="preserve">迷幻药研究的通俗化</w:t>
            </w:r>
          </w:p>
        </w:tc>
        <w:tc>
          <w:tcPr/>
          <w:p>
            <w:pPr>
              <w:pStyle w:val="Compact"/>
              <w:jc w:val="left"/>
            </w:pPr>
            <w:r>
              <w:t xml:space="preserve">经典致幻剂的精神效应依赖血清素 2A 受体，可被这种受体的阻断剂按剂量阻断，冥想没有已知的这类受体作用；默认网络活动降低在许多状态中都会出现，单凭它说明不了两种状态相同</w:t>
            </w:r>
          </w:p>
        </w:tc>
        <w:tc>
          <w:tcPr/>
          <w:p>
            <w:pPr>
              <w:pStyle w:val="Compact"/>
              <w:jc w:val="left"/>
            </w:pPr>
            <w:r>
              <w:rPr>
                <w:bCs/>
                <w:b/>
              </w:rPr>
              <w:t xml:space="preserve">过度简化·高</w:t>
            </w:r>
          </w:p>
        </w:tc>
      </w:tr>
      <w:tr>
        <w:tc>
          <w:tcPr/>
          <w:p>
            <w:pPr>
              <w:pStyle w:val="Compact"/>
              <w:jc w:val="left"/>
            </w:pPr>
            <w:r>
              <w:rPr>
                <w:bCs/>
                <w:b/>
              </w:rPr>
              <w:t xml:space="preserve">脑科学证实了佛法</w:t>
            </w:r>
          </w:p>
          <w:p>
            <w:pPr>
              <w:pStyle w:val="Compact"/>
              <w:jc w:val="left"/>
            </w:pPr>
            <w:r>
              <w:rPr>
                <w:bCs/>
                <w:b/>
              </w:rPr>
              <w:t xml:space="preserve">见</w:t>
            </w:r>
            <w:r>
              <w:rPr>
                <w:bCs/>
                <w:b/>
              </w:rPr>
              <w:t xml:space="preserve"> </w:t>
            </w:r>
            <w:hyperlink w:anchor="sec-119-7">
              <w:r>
                <w:rPr>
                  <w:rStyle w:val="Hyperlink"/>
                  <w:bCs/>
                  <w:b/>
                </w:rPr>
                <w:t xml:space="preserve">119.7</w:t>
              </w:r>
            </w:hyperlink>
          </w:p>
        </w:tc>
        <w:tc>
          <w:tcPr/>
          <w:p>
            <w:pPr>
              <w:pStyle w:val="Compact"/>
              <w:jc w:val="left"/>
            </w:pPr>
            <w:r>
              <w:t xml:space="preserve">“神经佛学”热潮</w:t>
            </w:r>
          </w:p>
        </w:tc>
        <w:tc>
          <w:tcPr/>
          <w:p>
            <w:pPr>
              <w:pStyle w:val="Compact"/>
              <w:jc w:val="left"/>
            </w:pPr>
            <w:r>
              <w:t xml:space="preserve">“佛法”包含经验命题、价值目标、文本解释和形而上学主张；脑科学能检验其中明确操作化的经验命题；整体宗教传统的真理性需要别的论证</w:t>
            </w:r>
          </w:p>
        </w:tc>
        <w:tc>
          <w:tcPr/>
          <w:p>
            <w:pPr>
              <w:pStyle w:val="Compact"/>
              <w:jc w:val="left"/>
            </w:pPr>
            <w:r>
              <w:rPr>
                <w:bCs/>
                <w:b/>
              </w:rPr>
              <w:t xml:space="preserve">错误·高</w:t>
            </w:r>
          </w:p>
        </w:tc>
      </w:tr>
    </w:tbl>
    <w:p>
      <w:pPr>
        <w:pStyle w:val="TableCaption"/>
      </w:pPr>
      <w:bookmarkStart w:id="1778" w:name="tab-clinical"/>
      <w:bookmarkEnd w:id="1778"/>
      <w:r>
        <w:rPr>
          <w:bCs/>
          <w:b/>
        </w:rPr>
        <w:t xml:space="preserve">表 29　临床与行为结局速查</w:t>
      </w:r>
    </w:p>
    <w:tbl>
      <w:tblPr>
        <w:tblStyle w:val="Table"/>
        <w:tblW w:type="pct" w:w="5000"/>
        <w:jc w:val="start"/>
        <w:tblLook w:firstRow="1" w:lastRow="0" w:firstColumn="0" w:lastColumn="0" w:noHBand="0" w:noVBand="0" w:val="0020"/>
      </w:tblPr>
      <w:tblGrid>
        <w:gridCol w:w="1187"/>
        <w:gridCol w:w="2772"/>
        <w:gridCol w:w="2533"/>
        <w:gridCol w:w="1425"/>
      </w:tblGrid>
      <w:tr>
        <w:trPr>
          <w:tblHeader w:val="true"/>
        </w:trPr>
        <w:tc>
          <w:tcPr>
            <w:shd w:val="clear" w:color="auto" w:fill="1F3A5F"/>
          </w:tcPr>
          <w:p>
            <w:pPr>
              <w:pStyle w:val="Compact"/>
              <w:jc w:val="left"/>
            </w:pPr>
            <w:r>
              <w:rPr>
                <w:bCs/>
                <w:b/>
                <w:color w:val="FFFFFF"/>
              </w:rPr>
              <w:t xml:space="preserve">结局</w:t>
            </w:r>
          </w:p>
        </w:tc>
        <w:tc>
          <w:tcPr>
            <w:shd w:val="clear" w:color="auto" w:fill="1F3A5F"/>
          </w:tcPr>
          <w:p>
            <w:pPr>
              <w:pStyle w:val="Compact"/>
              <w:jc w:val="left"/>
            </w:pPr>
            <w:r>
              <w:rPr>
                <w:bCs/>
                <w:b/>
                <w:color w:val="FFFFFF"/>
              </w:rPr>
              <w:t xml:space="preserve">关键证据</w:t>
            </w:r>
          </w:p>
        </w:tc>
        <w:tc>
          <w:tcPr>
            <w:shd w:val="clear" w:color="auto" w:fill="1F3A5F"/>
          </w:tcPr>
          <w:p>
            <w:pPr>
              <w:pStyle w:val="Compact"/>
              <w:jc w:val="left"/>
            </w:pPr>
            <w:r>
              <w:rPr>
                <w:bCs/>
                <w:b/>
                <w:color w:val="FFFFFF"/>
              </w:rPr>
              <w:t xml:space="preserve">效应与比较对象</w:t>
            </w:r>
          </w:p>
        </w:tc>
        <w:tc>
          <w:tcPr>
            <w:shd w:val="clear" w:color="auto" w:fill="1F3A5F"/>
          </w:tcPr>
          <w:p>
            <w:pPr>
              <w:pStyle w:val="Compact"/>
              <w:jc w:val="left"/>
            </w:pPr>
            <w:r>
              <w:rPr>
                <w:bCs/>
                <w:b/>
                <w:color w:val="FFFFFF"/>
              </w:rPr>
              <w:t xml:space="preserve">判断</w:t>
            </w:r>
          </w:p>
        </w:tc>
      </w:tr>
      <w:tr>
        <w:tc>
          <w:tcPr/>
          <w:p>
            <w:pPr>
              <w:pStyle w:val="Compact"/>
              <w:jc w:val="left"/>
            </w:pPr>
            <w:r>
              <w:rPr>
                <w:bCs/>
                <w:b/>
              </w:rPr>
              <w:t xml:space="preserve">抑郁复发</w:t>
            </w:r>
          </w:p>
          <w:p>
            <w:pPr>
              <w:pStyle w:val="Compact"/>
              <w:jc w:val="left"/>
            </w:pPr>
            <w:r>
              <w:rPr>
                <w:bCs/>
                <w:b/>
              </w:rPr>
              <w:t xml:space="preserve">见</w:t>
            </w:r>
            <w:r>
              <w:rPr>
                <w:bCs/>
                <w:b/>
              </w:rPr>
              <w:t xml:space="preserve"> </w:t>
            </w:r>
            <w:hyperlink w:anchor="sec-117-2">
              <w:r>
                <w:rPr>
                  <w:rStyle w:val="Hyperlink"/>
                  <w:bCs/>
                  <w:b/>
                </w:rPr>
                <w:t xml:space="preserve">117.2</w:t>
              </w:r>
            </w:hyperlink>
          </w:p>
        </w:tc>
        <w:tc>
          <w:tcPr/>
          <w:p>
            <w:pPr>
              <w:pStyle w:val="Compact"/>
              <w:jc w:val="left"/>
            </w:pPr>
            <w:r>
              <w:t xml:space="preserve">正念认知疗法个体数据元分析（9 项试验，1258 人）；PREVENT 头对头试验（424 人）；两组都参加正念认知疗法、再分别减停或继续用药的随机试验（249 人）；NICE 2022 指南</w:t>
            </w:r>
          </w:p>
        </w:tc>
        <w:tc>
          <w:tcPr/>
          <w:p>
            <w:pPr>
              <w:pStyle w:val="Compact"/>
              <w:jc w:val="left"/>
            </w:pPr>
            <w:r>
              <w:t xml:space="preserve">相对未接受者，复发的危险比（HR）约 0.69（观察到的复发约 38% 对 49%，来自随访和对照各异的试验），保护作用随时间减弱；与维持用药相比，个体数据元分析中 HR 约 0.77（4 项试验，含加用设计和 PREVENT），头对头的 PREVENT 未检出差异（优效设计，没有建立等效或非劣效）；荷兰 249 人试验中，减停组 15 个月复发约 54%，继续用药组约 39%，减停未达非劣效</w:t>
            </w:r>
          </w:p>
        </w:tc>
        <w:tc>
          <w:tcPr/>
          <w:p>
            <w:pPr>
              <w:pStyle w:val="Compact"/>
              <w:jc w:val="left"/>
            </w:pPr>
            <w:r>
              <w:t xml:space="preserve">降低复发风险：</w:t>
            </w:r>
            <w:r>
              <w:rPr>
                <w:bCs/>
                <w:b/>
              </w:rPr>
              <w:t xml:space="preserve">成立·高</w:t>
            </w:r>
          </w:p>
          <w:p>
            <w:pPr>
              <w:pStyle w:val="Compact"/>
              <w:jc w:val="left"/>
            </w:pPr>
            <w:r>
              <w:t xml:space="preserve">优于药物策略：</w:t>
            </w:r>
            <w:r>
              <w:rPr>
                <w:bCs/>
                <w:b/>
              </w:rPr>
              <w:t xml:space="preserve">部分成立·低</w:t>
            </w:r>
          </w:p>
          <w:p>
            <w:pPr>
              <w:pStyle w:val="Compact"/>
              <w:jc w:val="left"/>
            </w:pPr>
            <w:r>
              <w:t xml:space="preserve">学过即可安全停药：</w:t>
            </w:r>
            <w:r>
              <w:rPr>
                <w:bCs/>
                <w:b/>
              </w:rPr>
              <w:t xml:space="preserve">错误·中</w:t>
            </w:r>
          </w:p>
        </w:tc>
      </w:tr>
      <w:tr>
        <w:tc>
          <w:tcPr/>
          <w:p>
            <w:pPr>
              <w:pStyle w:val="Compact"/>
              <w:jc w:val="left"/>
            </w:pPr>
            <w:r>
              <w:rPr>
                <w:bCs/>
                <w:b/>
              </w:rPr>
              <w:t xml:space="preserve">治疗后仍未缓解的抑郁</w:t>
            </w:r>
          </w:p>
          <w:p>
            <w:pPr>
              <w:pStyle w:val="Compact"/>
              <w:jc w:val="left"/>
            </w:pPr>
            <w:r>
              <w:rPr>
                <w:bCs/>
                <w:b/>
              </w:rPr>
              <w:t xml:space="preserve">见</w:t>
            </w:r>
            <w:r>
              <w:rPr>
                <w:bCs/>
                <w:b/>
              </w:rPr>
              <w:t xml:space="preserve"> </w:t>
            </w:r>
            <w:hyperlink w:anchor="sec-117-2">
              <w:r>
                <w:rPr>
                  <w:rStyle w:val="Hyperlink"/>
                  <w:bCs/>
                  <w:b/>
                </w:rPr>
                <w:t xml:space="preserve">117.2</w:t>
              </w:r>
            </w:hyperlink>
          </w:p>
        </w:tc>
        <w:tc>
          <w:tcPr/>
          <w:p>
            <w:pPr>
              <w:pStyle w:val="Compact"/>
              <w:jc w:val="left"/>
            </w:pPr>
            <w:r>
              <w:t xml:space="preserve">2025 年英国试验（234 人）；2026 年个体数据元分析（7 项，777 人，已纳入前者）</w:t>
            </w:r>
          </w:p>
        </w:tc>
        <w:tc>
          <w:tcPr/>
          <w:p>
            <w:pPr>
              <w:pStyle w:val="Compact"/>
              <w:jc w:val="left"/>
            </w:pPr>
            <w:r>
              <w:t xml:space="preserve">加在常规治疗之上，治疗结束时效应量约 0.4，证据确定性中等，预测区间上限接近零；与常规治疗比较的数据很大一部分来自 2025 年试验，两者不算两次独立验证；相对主动对照未检出优势，证据确定性很低</w:t>
            </w:r>
          </w:p>
        </w:tc>
        <w:tc>
          <w:tcPr/>
          <w:p>
            <w:pPr>
              <w:pStyle w:val="Compact"/>
              <w:jc w:val="left"/>
            </w:pPr>
            <w:r>
              <w:rPr>
                <w:bCs/>
                <w:b/>
              </w:rPr>
              <w:t xml:space="preserve">部分成立·中</w:t>
            </w:r>
          </w:p>
        </w:tc>
      </w:tr>
      <w:tr>
        <w:tc>
          <w:tcPr/>
          <w:p>
            <w:pPr>
              <w:pStyle w:val="Compact"/>
              <w:jc w:val="left"/>
            </w:pPr>
            <w:r>
              <w:rPr>
                <w:bCs/>
                <w:b/>
              </w:rPr>
              <w:t xml:space="preserve">抑郁、焦虑症状</w:t>
            </w:r>
          </w:p>
          <w:p>
            <w:pPr>
              <w:pStyle w:val="Compact"/>
              <w:jc w:val="left"/>
            </w:pPr>
            <w:r>
              <w:rPr>
                <w:bCs/>
                <w:b/>
              </w:rPr>
              <w:t xml:space="preserve">见</w:t>
            </w:r>
            <w:r>
              <w:rPr>
                <w:bCs/>
                <w:b/>
              </w:rPr>
              <w:t xml:space="preserve"> </w:t>
            </w:r>
            <w:hyperlink w:anchor="sec-117-1">
              <w:r>
                <w:rPr>
                  <w:rStyle w:val="Hyperlink"/>
                  <w:bCs/>
                  <w:b/>
                </w:rPr>
                <w:t xml:space="preserve">117.1</w:t>
              </w:r>
            </w:hyperlink>
          </w:p>
        </w:tc>
        <w:tc>
          <w:tcPr/>
          <w:p>
            <w:pPr>
              <w:pStyle w:val="Compact"/>
              <w:jc w:val="left"/>
            </w:pPr>
            <w:r>
              <w:t xml:space="preserve">2014 年系统综述（47 项主动对照试验）；2018 年元分析（142 个样本）；2022 年伞状评估（44 项元分析）</w:t>
            </w:r>
          </w:p>
        </w:tc>
        <w:tc>
          <w:tcPr/>
          <w:p>
            <w:pPr>
              <w:pStyle w:val="Compact"/>
              <w:jc w:val="left"/>
            </w:pPr>
            <w:r>
              <w:t xml:space="preserve">相对没有新增专门干预的对照约 0.55，非特异主动对照约 0.35，其他疗法约 0.23，循证治疗约 0（未检出差异，也没有建立等效）；这些数字来自不同的研究组合，是跨诊断的平均，不能依次相减</w:t>
            </w:r>
          </w:p>
        </w:tc>
        <w:tc>
          <w:tcPr/>
          <w:p>
            <w:pPr>
              <w:pStyle w:val="Compact"/>
              <w:jc w:val="left"/>
            </w:pPr>
            <w:r>
              <w:t xml:space="preserve">相对候补或常规照护有效：</w:t>
            </w:r>
            <w:r>
              <w:rPr>
                <w:bCs/>
                <w:b/>
              </w:rPr>
              <w:t xml:space="preserve">成立·高</w:t>
            </w:r>
          </w:p>
          <w:p>
            <w:pPr>
              <w:pStyle w:val="Compact"/>
              <w:jc w:val="left"/>
            </w:pPr>
            <w:r>
              <w:t xml:space="preserve">优于循证治疗：</w:t>
            </w:r>
            <w:r>
              <w:rPr>
                <w:bCs/>
                <w:b/>
              </w:rPr>
              <w:t xml:space="preserve">不成立·中</w:t>
            </w:r>
          </w:p>
          <w:p>
            <w:pPr>
              <w:pStyle w:val="Compact"/>
              <w:jc w:val="left"/>
            </w:pPr>
            <w:r>
              <w:t xml:space="preserve">对所有心理问题有效：</w:t>
            </w:r>
            <w:r>
              <w:rPr>
                <w:bCs/>
                <w:b/>
              </w:rPr>
              <w:t xml:space="preserve">夸大·高</w:t>
            </w:r>
          </w:p>
        </w:tc>
      </w:tr>
      <w:tr>
        <w:tc>
          <w:tcPr/>
          <w:p>
            <w:pPr>
              <w:pStyle w:val="Compact"/>
              <w:jc w:val="left"/>
            </w:pPr>
            <w:r>
              <w:rPr>
                <w:bCs/>
                <w:b/>
              </w:rPr>
              <w:t xml:space="preserve">焦虑障碍</w:t>
            </w:r>
          </w:p>
          <w:p>
            <w:pPr>
              <w:pStyle w:val="Compact"/>
              <w:jc w:val="left"/>
            </w:pPr>
            <w:r>
              <w:rPr>
                <w:bCs/>
                <w:b/>
              </w:rPr>
              <w:t xml:space="preserve">见</w:t>
            </w:r>
            <w:r>
              <w:rPr>
                <w:bCs/>
                <w:b/>
              </w:rPr>
              <w:t xml:space="preserve"> </w:t>
            </w:r>
            <w:hyperlink w:anchor="sec-117-2">
              <w:r>
                <w:rPr>
                  <w:rStyle w:val="Hyperlink"/>
                  <w:bCs/>
                  <w:b/>
                </w:rPr>
                <w:t xml:space="preserve">117.2</w:t>
              </w:r>
            </w:hyperlink>
          </w:p>
        </w:tc>
        <w:tc>
          <w:tcPr/>
          <w:p>
            <w:pPr>
              <w:pStyle w:val="Compact"/>
              <w:jc w:val="left"/>
            </w:pPr>
            <w:r>
              <w:t xml:space="preserve">2023 年 TAME 试验线下阶段（276 人）；同一研究 2025 年报告的远程阶段（202 人）</w:t>
            </w:r>
          </w:p>
        </w:tc>
        <w:tc>
          <w:tcPr/>
          <w:p>
            <w:pPr>
              <w:pStyle w:val="Compact"/>
              <w:jc w:val="left"/>
            </w:pPr>
            <w:r>
              <w:t xml:space="preserve">线下八周正念减压在主要结局上不劣于艾司西酞普兰，按方案与意向治疗分析一致，研究相关不良事件的报告比例低得多（15.4% 对 78.6%，按该试验的定义和询问方式理解）；远程阶段组间差异不显著，没有达到预设的非劣效标准，这不等于已证实更差；没有安慰剂组，排除了双相障碍、精神病性障碍、当前创伤后应激障碍等患者</w:t>
            </w:r>
          </w:p>
        </w:tc>
        <w:tc>
          <w:tcPr/>
          <w:p>
            <w:pPr>
              <w:pStyle w:val="Compact"/>
              <w:jc w:val="left"/>
            </w:pPr>
            <w:r>
              <w:rPr>
                <w:bCs/>
                <w:b/>
              </w:rPr>
              <w:t xml:space="preserve">部分成立·中</w:t>
            </w:r>
          </w:p>
        </w:tc>
      </w:tr>
      <w:tr>
        <w:tc>
          <w:tcPr/>
          <w:p>
            <w:pPr>
              <w:pStyle w:val="Compact"/>
              <w:jc w:val="left"/>
            </w:pPr>
            <w:r>
              <w:rPr>
                <w:bCs/>
                <w:b/>
              </w:rPr>
              <w:t xml:space="preserve">慢性疼痛</w:t>
            </w:r>
          </w:p>
          <w:p>
            <w:pPr>
              <w:pStyle w:val="Compact"/>
              <w:jc w:val="left"/>
            </w:pPr>
            <w:r>
              <w:rPr>
                <w:bCs/>
                <w:b/>
              </w:rPr>
              <w:t xml:space="preserve">见</w:t>
            </w:r>
            <w:r>
              <w:rPr>
                <w:bCs/>
                <w:b/>
              </w:rPr>
              <w:t xml:space="preserve"> </w:t>
            </w:r>
            <w:hyperlink w:anchor="sec-117-2">
              <w:r>
                <w:rPr>
                  <w:rStyle w:val="Hyperlink"/>
                  <w:bCs/>
                  <w:b/>
                </w:rPr>
                <w:t xml:space="preserve">117.2</w:t>
              </w:r>
            </w:hyperlink>
          </w:p>
        </w:tc>
        <w:tc>
          <w:tcPr/>
          <w:p>
            <w:pPr>
              <w:pStyle w:val="Compact"/>
              <w:jc w:val="left"/>
            </w:pPr>
            <w:r>
              <w:t xml:space="preserve">2017 年元分析（38 项）；2024 年元分析综合；2024 年 LAMP 试验（811 人）；2025 年 770 人对认知行为疗法的试验；同一实验室的实验研究</w:t>
            </w:r>
          </w:p>
        </w:tc>
        <w:tc>
          <w:tcPr/>
          <w:p>
            <w:pPr>
              <w:pStyle w:val="Compact"/>
              <w:jc w:val="left"/>
            </w:pPr>
            <w:r>
              <w:t xml:space="preserve">疼痛强度小幅减轻，证据质量低，相对主动对照不稳健；LAMP 中两种远程正念课程的疼痛干扰比通常照护多改善约 0.4 和 0.7 分，一年时小组课程的差异不再显著；与认知行为疗法未检出差异，2025 年试验的非劣效分析是事后补充的；实验镇痛部分来自呼吸变慢与预期</w:t>
            </w:r>
          </w:p>
        </w:tc>
        <w:tc>
          <w:tcPr/>
          <w:p>
            <w:pPr>
              <w:pStyle w:val="Compact"/>
              <w:jc w:val="left"/>
            </w:pPr>
            <w:r>
              <w:rPr>
                <w:bCs/>
                <w:b/>
              </w:rPr>
              <w:t xml:space="preserve">部分成立·中</w:t>
            </w:r>
          </w:p>
        </w:tc>
      </w:tr>
      <w:tr>
        <w:tc>
          <w:tcPr/>
          <w:p>
            <w:pPr>
              <w:pStyle w:val="Compact"/>
              <w:jc w:val="left"/>
            </w:pPr>
            <w:r>
              <w:rPr>
                <w:bCs/>
                <w:b/>
              </w:rPr>
              <w:t xml:space="preserve">癌症患者的焦虑与抑郁症状</w:t>
            </w:r>
          </w:p>
          <w:p>
            <w:pPr>
              <w:pStyle w:val="Compact"/>
              <w:jc w:val="left"/>
            </w:pPr>
            <w:r>
              <w:rPr>
                <w:bCs/>
                <w:b/>
              </w:rPr>
              <w:t xml:space="preserve">见</w:t>
            </w:r>
            <w:r>
              <w:rPr>
                <w:bCs/>
                <w:b/>
              </w:rPr>
              <w:t xml:space="preserve"> </w:t>
            </w:r>
            <w:hyperlink w:anchor="sec-117-2">
              <w:r>
                <w:rPr>
                  <w:rStyle w:val="Hyperlink"/>
                  <w:bCs/>
                  <w:b/>
                </w:rPr>
                <w:t xml:space="preserve">117.2</w:t>
              </w:r>
            </w:hyperlink>
          </w:p>
        </w:tc>
        <w:tc>
          <w:tcPr/>
          <w:p>
            <w:pPr>
              <w:pStyle w:val="Compact"/>
              <w:jc w:val="left"/>
            </w:pPr>
            <w:r>
              <w:t xml:space="preserve">美国整合肿瘤学会与美国临床肿瘤学会 2023 年联合指南</w:t>
            </w:r>
          </w:p>
        </w:tc>
        <w:tc>
          <w:tcPr/>
          <w:p>
            <w:pPr>
              <w:pStyle w:val="Compact"/>
              <w:jc w:val="left"/>
            </w:pPr>
            <w:r>
              <w:t xml:space="preserve">建议在治疗期间和之后为成年患者提供正念类干预，四条推荐的证据质量和推荐强度都标为高和强，范围限于症状的支持照护</w:t>
            </w:r>
          </w:p>
        </w:tc>
        <w:tc>
          <w:tcPr/>
          <w:p>
            <w:pPr>
              <w:pStyle w:val="Compact"/>
              <w:jc w:val="left"/>
            </w:pPr>
            <w:r>
              <w:t xml:space="preserve">减轻症状：</w:t>
            </w:r>
            <w:r>
              <w:rPr>
                <w:bCs/>
                <w:b/>
              </w:rPr>
              <w:t xml:space="preserve">成立·中</w:t>
            </w:r>
          </w:p>
          <w:p>
            <w:pPr>
              <w:pStyle w:val="Compact"/>
              <w:jc w:val="left"/>
            </w:pPr>
            <w:r>
              <w:t xml:space="preserve">抗肿瘤作用：</w:t>
            </w:r>
            <w:r>
              <w:rPr>
                <w:bCs/>
                <w:b/>
              </w:rPr>
              <w:t xml:space="preserve">证据不足·中</w:t>
            </w:r>
          </w:p>
        </w:tc>
      </w:tr>
      <w:tr>
        <w:tc>
          <w:tcPr/>
          <w:p>
            <w:pPr>
              <w:pStyle w:val="Compact"/>
              <w:jc w:val="left"/>
            </w:pPr>
            <w:r>
              <w:rPr>
                <w:bCs/>
                <w:b/>
              </w:rPr>
              <w:t xml:space="preserve">阿片类药物误用</w:t>
            </w:r>
          </w:p>
          <w:p>
            <w:pPr>
              <w:pStyle w:val="Compact"/>
              <w:jc w:val="left"/>
            </w:pPr>
            <w:r>
              <w:rPr>
                <w:bCs/>
                <w:b/>
              </w:rPr>
              <w:t xml:space="preserve">见</w:t>
            </w:r>
            <w:r>
              <w:rPr>
                <w:bCs/>
                <w:b/>
              </w:rPr>
              <w:t xml:space="preserve"> </w:t>
            </w:r>
            <w:hyperlink w:anchor="sec-117-3">
              <w:r>
                <w:rPr>
                  <w:rStyle w:val="Hyperlink"/>
                  <w:bCs/>
                  <w:b/>
                </w:rPr>
                <w:t xml:space="preserve">117.3</w:t>
              </w:r>
            </w:hyperlink>
          </w:p>
        </w:tc>
        <w:tc>
          <w:tcPr/>
          <w:p>
            <w:pPr>
              <w:pStyle w:val="Compact"/>
              <w:jc w:val="left"/>
            </w:pPr>
            <w:r>
              <w:t xml:space="preserve">MORE 系列试验（开发者团队）</w:t>
            </w:r>
          </w:p>
        </w:tc>
        <w:tc>
          <w:tcPr/>
          <w:p>
            <w:pPr>
              <w:pStyle w:val="Compact"/>
              <w:jc w:val="left"/>
            </w:pPr>
            <w:r>
              <w:t xml:space="preserve">2022 年基层医疗试验（250 人）九个月时，有数据者中不再误用约 45% 对 24%，全部随机者约 37% 缺失；2024 年军人试验（230 人）中疼痛干扰和用药剂量下降，以量表评分衡量的误用没有总体差异</w:t>
            </w:r>
          </w:p>
        </w:tc>
        <w:tc>
          <w:tcPr/>
          <w:p>
            <w:pPr>
              <w:pStyle w:val="Compact"/>
              <w:jc w:val="left"/>
            </w:pPr>
            <w:r>
              <w:rPr>
                <w:bCs/>
                <w:b/>
              </w:rPr>
              <w:t xml:space="preserve">部分成立·低</w:t>
            </w:r>
          </w:p>
        </w:tc>
      </w:tr>
      <w:tr>
        <w:tc>
          <w:tcPr/>
          <w:p>
            <w:pPr>
              <w:pStyle w:val="Compact"/>
              <w:jc w:val="left"/>
            </w:pPr>
            <w:r>
              <w:rPr>
                <w:bCs/>
                <w:b/>
              </w:rPr>
              <w:t xml:space="preserve">戒烟</w:t>
            </w:r>
          </w:p>
          <w:p>
            <w:pPr>
              <w:pStyle w:val="Compact"/>
              <w:jc w:val="left"/>
            </w:pPr>
            <w:r>
              <w:rPr>
                <w:bCs/>
                <w:b/>
              </w:rPr>
              <w:t xml:space="preserve">见</w:t>
            </w:r>
            <w:r>
              <w:rPr>
                <w:bCs/>
                <w:b/>
              </w:rPr>
              <w:t xml:space="preserve"> </w:t>
            </w:r>
            <w:hyperlink w:anchor="sec-117-3">
              <w:r>
                <w:rPr>
                  <w:rStyle w:val="Hyperlink"/>
                  <w:bCs/>
                  <w:b/>
                </w:rPr>
                <w:t xml:space="preserve">117.3</w:t>
              </w:r>
            </w:hyperlink>
          </w:p>
        </w:tc>
        <w:tc>
          <w:tcPr/>
          <w:p>
            <w:pPr>
              <w:pStyle w:val="Compact"/>
              <w:jc w:val="left"/>
            </w:pPr>
            <w:r>
              <w:t xml:space="preserve">2011 年 88 人试验；2022 年 Cochrane 综述（21 项广义研究）；2023 年 213 人应用试验</w:t>
            </w:r>
          </w:p>
        </w:tc>
        <w:tc>
          <w:tcPr/>
          <w:p>
            <w:pPr>
              <w:pStyle w:val="Compact"/>
              <w:jc w:val="left"/>
            </w:pPr>
            <w:r>
              <w:t xml:space="preserve">早期试验的终点只有 17 周，后续研究没有建立相同的长期优势；与强度相当的戒烟治疗直接比较的 3 项研究、542 人中，相对风险 0.99（95% 置信区间 0.67 到 1.46），确定性低，益处不确定</w:t>
            </w:r>
          </w:p>
        </w:tc>
        <w:tc>
          <w:tcPr/>
          <w:p>
            <w:pPr>
              <w:pStyle w:val="Compact"/>
              <w:jc w:val="left"/>
            </w:pPr>
            <w:r>
              <w:t xml:space="preserve">优于标准课程：</w:t>
            </w:r>
            <w:r>
              <w:rPr>
                <w:bCs/>
                <w:b/>
              </w:rPr>
              <w:t xml:space="preserve">不成立·中</w:t>
            </w:r>
          </w:p>
        </w:tc>
      </w:tr>
      <w:tr>
        <w:tc>
          <w:tcPr/>
          <w:p>
            <w:pPr>
              <w:pStyle w:val="Compact"/>
              <w:jc w:val="left"/>
            </w:pPr>
            <w:r>
              <w:rPr>
                <w:bCs/>
                <w:b/>
              </w:rPr>
              <w:t xml:space="preserve">睡眠</w:t>
            </w:r>
          </w:p>
          <w:p>
            <w:pPr>
              <w:pStyle w:val="Compact"/>
              <w:jc w:val="left"/>
            </w:pPr>
            <w:r>
              <w:rPr>
                <w:bCs/>
                <w:b/>
              </w:rPr>
              <w:t xml:space="preserve">见</w:t>
            </w:r>
            <w:r>
              <w:rPr>
                <w:bCs/>
                <w:b/>
              </w:rPr>
              <w:t xml:space="preserve"> </w:t>
            </w:r>
            <w:hyperlink w:anchor="sec-117-3">
              <w:r>
                <w:rPr>
                  <w:rStyle w:val="Hyperlink"/>
                  <w:bCs/>
                  <w:b/>
                </w:rPr>
                <w:t xml:space="preserve">117.3</w:t>
              </w:r>
            </w:hyperlink>
          </w:p>
        </w:tc>
        <w:tc>
          <w:tcPr/>
          <w:p>
            <w:pPr>
              <w:pStyle w:val="Compact"/>
              <w:jc w:val="left"/>
            </w:pPr>
            <w:r>
              <w:t xml:space="preserve">2019 年元分析（18 项，均为主动对照）；美国睡眠医学会 2021 年指南；美国退伍军人事务部与国防部 2025 年指南</w:t>
            </w:r>
          </w:p>
        </w:tc>
        <w:tc>
          <w:tcPr/>
          <w:p>
            <w:pPr>
              <w:pStyle w:val="Compact"/>
              <w:jc w:val="left"/>
            </w:pPr>
            <w:r>
              <w:t xml:space="preserve">自评睡眠质量优于非特异对照，与专门的睡眠治疗相比未检出差异，精度不足以建立等效；两部指南都没有形成推荐所需的证据，后者列为不推荐也不反对</w:t>
            </w:r>
          </w:p>
        </w:tc>
        <w:tc>
          <w:tcPr/>
          <w:p>
            <w:pPr>
              <w:pStyle w:val="Compact"/>
              <w:jc w:val="left"/>
            </w:pPr>
            <w:r>
              <w:t xml:space="preserve">改善自评睡眠质量：</w:t>
            </w:r>
            <w:r>
              <w:rPr>
                <w:bCs/>
                <w:b/>
              </w:rPr>
              <w:t xml:space="preserve">部分成立·中</w:t>
            </w:r>
          </w:p>
          <w:p>
            <w:pPr>
              <w:pStyle w:val="Compact"/>
              <w:jc w:val="left"/>
            </w:pPr>
            <w:r>
              <w:t xml:space="preserve">独立治疗慢性失眠：</w:t>
            </w:r>
            <w:r>
              <w:rPr>
                <w:bCs/>
                <w:b/>
              </w:rPr>
              <w:t xml:space="preserve">证据不足·中</w:t>
            </w:r>
          </w:p>
        </w:tc>
      </w:tr>
      <w:tr>
        <w:tc>
          <w:tcPr/>
          <w:p>
            <w:pPr>
              <w:pStyle w:val="Compact"/>
              <w:jc w:val="left"/>
            </w:pPr>
            <w:r>
              <w:rPr>
                <w:bCs/>
                <w:b/>
              </w:rPr>
              <w:t xml:space="preserve">血压与心血管</w:t>
            </w:r>
          </w:p>
          <w:p>
            <w:pPr>
              <w:pStyle w:val="Compact"/>
              <w:jc w:val="left"/>
            </w:pPr>
            <w:r>
              <w:rPr>
                <w:bCs/>
                <w:b/>
              </w:rPr>
              <w:t xml:space="preserve">见</w:t>
            </w:r>
            <w:r>
              <w:rPr>
                <w:bCs/>
                <w:b/>
              </w:rPr>
              <w:t xml:space="preserve"> </w:t>
            </w:r>
            <w:hyperlink w:anchor="sec-117-3">
              <w:r>
                <w:rPr>
                  <w:rStyle w:val="Hyperlink"/>
                  <w:bCs/>
                  <w:b/>
                </w:rPr>
                <w:t xml:space="preserve">117.3</w:t>
              </w:r>
            </w:hyperlink>
          </w:p>
        </w:tc>
        <w:tc>
          <w:tcPr/>
          <w:p>
            <w:pPr>
              <w:pStyle w:val="Compact"/>
              <w:jc w:val="left"/>
            </w:pPr>
            <w:r>
              <w:t xml:space="preserve">美国心脏协会 2017 年科学声明；2025 年美国心脏协会等高血压指南；2026 年伞状综述；2023 年 MB-BP 试验（201 人）</w:t>
            </w:r>
          </w:p>
        </w:tc>
        <w:tc>
          <w:tcPr/>
          <w:p>
            <w:pPr>
              <w:pStyle w:val="Compact"/>
              <w:jc w:val="left"/>
            </w:pPr>
            <w:r>
              <w:t xml:space="preserve">2025 年指南把超觉静坐列为可以考虑的辅助减压措施（2b 级），没有单列正念；综述中相对主动对照降压不显著；单项试验的预设未调整分析中 6 个月收缩压多降约 4.5 毫米汞柱，调整和插补分析中区间跨零；证据主要是短期的替代指标，没有心血管事件结局</w:t>
            </w:r>
          </w:p>
        </w:tc>
        <w:tc>
          <w:tcPr/>
          <w:p>
            <w:pPr>
              <w:pStyle w:val="Compact"/>
              <w:jc w:val="left"/>
            </w:pPr>
            <w:r>
              <w:t xml:space="preserve">小幅降压：</w:t>
            </w:r>
            <w:r>
              <w:rPr>
                <w:bCs/>
                <w:b/>
              </w:rPr>
              <w:t xml:space="preserve">部分成立·低</w:t>
            </w:r>
          </w:p>
        </w:tc>
      </w:tr>
      <w:tr>
        <w:tc>
          <w:tcPr/>
          <w:p>
            <w:pPr>
              <w:pStyle w:val="Compact"/>
              <w:jc w:val="left"/>
            </w:pPr>
            <w:r>
              <w:rPr>
                <w:bCs/>
                <w:b/>
              </w:rPr>
              <w:t xml:space="preserve">炎症与应激指标</w:t>
            </w:r>
          </w:p>
          <w:p>
            <w:pPr>
              <w:pStyle w:val="Compact"/>
              <w:jc w:val="left"/>
            </w:pPr>
            <w:r>
              <w:rPr>
                <w:bCs/>
                <w:b/>
              </w:rPr>
              <w:t xml:space="preserve">见</w:t>
            </w:r>
            <w:r>
              <w:rPr>
                <w:bCs/>
                <w:b/>
              </w:rPr>
              <w:t xml:space="preserve"> </w:t>
            </w:r>
            <w:hyperlink w:anchor="sec-117-3">
              <w:r>
                <w:rPr>
                  <w:rStyle w:val="Hyperlink"/>
                  <w:bCs/>
                  <w:b/>
                </w:rPr>
                <w:t xml:space="preserve">117.3</w:t>
              </w:r>
            </w:hyperlink>
            <w:r>
              <w:rPr>
                <w:bCs/>
                <w:b/>
              </w:rPr>
              <w:t xml:space="preserve">、</w:t>
            </w:r>
            <w:hyperlink w:anchor="sec-99-1">
              <w:r>
                <w:rPr>
                  <w:rStyle w:val="Hyperlink"/>
                  <w:bCs/>
                  <w:b/>
                </w:rPr>
                <w:t xml:space="preserve">99.1</w:t>
              </w:r>
            </w:hyperlink>
            <w:r>
              <w:rPr>
                <w:bCs/>
                <w:b/>
              </w:rPr>
              <w:t xml:space="preserve">、</w:t>
            </w:r>
            <w:hyperlink w:anchor="sec-112-5">
              <w:r>
                <w:rPr>
                  <w:rStyle w:val="Hyperlink"/>
                  <w:bCs/>
                  <w:b/>
                </w:rPr>
                <w:t xml:space="preserve">112.5</w:t>
              </w:r>
            </w:hyperlink>
            <w:r>
              <w:rPr>
                <w:bCs/>
                <w:b/>
              </w:rPr>
              <w:t xml:space="preserve">、</w:t>
            </w:r>
            <w:hyperlink w:anchor="sec-112-10">
              <w:r>
                <w:rPr>
                  <w:rStyle w:val="Hyperlink"/>
                  <w:bCs/>
                  <w:b/>
                </w:rPr>
                <w:t xml:space="preserve">112.10</w:t>
              </w:r>
            </w:hyperlink>
          </w:p>
        </w:tc>
        <w:tc>
          <w:tcPr/>
          <w:p>
            <w:pPr>
              <w:pStyle w:val="Compact"/>
              <w:jc w:val="left"/>
            </w:pPr>
            <w:r>
              <w:t xml:space="preserve">2023 年随机试验元分析；2021 年与 2026 年皮质醇元分析</w:t>
            </w:r>
          </w:p>
        </w:tc>
        <w:tc>
          <w:tcPr/>
          <w:p>
            <w:pPr>
              <w:pStyle w:val="Compact"/>
              <w:jc w:val="left"/>
            </w:pPr>
            <w:r>
              <w:t xml:space="preserve">炎症与应激生物指标的合并效应很小，有发表偏倚，各项炎症指标需要分别看；皮质醇平均效应小到中等，相对主动对照约 −0.29（95% 置信区间 −0.54 到 −0.04），高风险人群更明显；两类指标的临床意义都未确立</w:t>
            </w:r>
          </w:p>
        </w:tc>
        <w:tc>
          <w:tcPr/>
          <w:p>
            <w:pPr>
              <w:pStyle w:val="Compact"/>
              <w:jc w:val="left"/>
            </w:pPr>
            <w:r>
              <w:t xml:space="preserve">皮质醇：</w:t>
            </w:r>
            <w:r>
              <w:rPr>
                <w:bCs/>
                <w:b/>
              </w:rPr>
              <w:t xml:space="preserve">部分成立·中</w:t>
            </w:r>
          </w:p>
          <w:p>
            <w:pPr>
              <w:pStyle w:val="Compact"/>
              <w:jc w:val="left"/>
            </w:pPr>
            <w:r>
              <w:t xml:space="preserve">炎症：</w:t>
            </w:r>
            <w:r>
              <w:rPr>
                <w:bCs/>
                <w:b/>
              </w:rPr>
              <w:t xml:space="preserve">部分成立·低</w:t>
            </w:r>
          </w:p>
        </w:tc>
      </w:tr>
      <w:tr>
        <w:tc>
          <w:tcPr/>
          <w:p>
            <w:pPr>
              <w:pStyle w:val="Compact"/>
              <w:jc w:val="left"/>
            </w:pPr>
            <w:r>
              <w:rPr>
                <w:bCs/>
                <w:b/>
              </w:rPr>
              <w:t xml:space="preserve">非临床成人</w:t>
            </w:r>
          </w:p>
          <w:p>
            <w:pPr>
              <w:pStyle w:val="Compact"/>
              <w:jc w:val="left"/>
            </w:pPr>
            <w:r>
              <w:rPr>
                <w:bCs/>
                <w:b/>
              </w:rPr>
              <w:t xml:space="preserve">见</w:t>
            </w:r>
            <w:r>
              <w:rPr>
                <w:bCs/>
                <w:b/>
              </w:rPr>
              <w:t xml:space="preserve"> </w:t>
            </w:r>
            <w:hyperlink w:anchor="sec-117-4">
              <w:r>
                <w:rPr>
                  <w:rStyle w:val="Hyperlink"/>
                  <w:bCs/>
                  <w:b/>
                </w:rPr>
                <w:t xml:space="preserve">117.4</w:t>
              </w:r>
            </w:hyperlink>
          </w:p>
        </w:tc>
        <w:tc>
          <w:tcPr/>
          <w:p>
            <w:pPr>
              <w:pStyle w:val="Compact"/>
              <w:jc w:val="left"/>
            </w:pPr>
            <w:r>
              <w:t xml:space="preserve">2021 年元分析（136 项）；2023 年个体数据元分析（13 项，2371 人）</w:t>
            </w:r>
          </w:p>
        </w:tc>
        <w:tc>
          <w:tcPr/>
          <w:p>
            <w:pPr>
              <w:pStyle w:val="Compact"/>
              <w:jc w:val="left"/>
            </w:pPr>
            <w:r>
              <w:t xml:space="preserve">自愿参加的社区成人中，相对不干预，团体课程结束后 1 到 6 个月心理困扰降约 0.32 个标准差；结局为自评、无法设盲；相对其他主动干预大多没有优势</w:t>
            </w:r>
          </w:p>
        </w:tc>
        <w:tc>
          <w:tcPr/>
          <w:p>
            <w:pPr>
              <w:pStyle w:val="Compact"/>
              <w:jc w:val="left"/>
            </w:pPr>
            <w:r>
              <w:t xml:space="preserve">相对不干预有效：</w:t>
            </w:r>
            <w:r>
              <w:rPr>
                <w:bCs/>
                <w:b/>
              </w:rPr>
              <w:t xml:space="preserve">成立·高</w:t>
            </w:r>
          </w:p>
          <w:p>
            <w:pPr>
              <w:pStyle w:val="Compact"/>
              <w:jc w:val="left"/>
            </w:pPr>
            <w:r>
              <w:t xml:space="preserve">优于其他主动干预：</w:t>
            </w:r>
            <w:r>
              <w:rPr>
                <w:bCs/>
                <w:b/>
              </w:rPr>
              <w:t xml:space="preserve">不成立·低</w:t>
            </w:r>
          </w:p>
        </w:tc>
      </w:tr>
      <w:tr>
        <w:tc>
          <w:tcPr/>
          <w:p>
            <w:pPr>
              <w:pStyle w:val="Compact"/>
              <w:jc w:val="left"/>
            </w:pPr>
            <w:r>
              <w:rPr>
                <w:bCs/>
                <w:b/>
              </w:rPr>
              <w:t xml:space="preserve">校园全员课程</w:t>
            </w:r>
          </w:p>
          <w:p>
            <w:pPr>
              <w:pStyle w:val="Compact"/>
              <w:jc w:val="left"/>
            </w:pPr>
            <w:r>
              <w:rPr>
                <w:bCs/>
                <w:b/>
              </w:rPr>
              <w:t xml:space="preserve">见</w:t>
            </w:r>
            <w:r>
              <w:rPr>
                <w:bCs/>
                <w:b/>
              </w:rPr>
              <w:t xml:space="preserve"> </w:t>
            </w:r>
            <w:hyperlink w:anchor="sec-117-4">
              <w:r>
                <w:rPr>
                  <w:rStyle w:val="Hyperlink"/>
                  <w:bCs/>
                  <w:b/>
                </w:rPr>
                <w:t xml:space="preserve">117.4</w:t>
              </w:r>
            </w:hyperlink>
          </w:p>
        </w:tc>
        <w:tc>
          <w:tcPr/>
          <w:p>
            <w:pPr>
              <w:pStyle w:val="Compact"/>
              <w:jc w:val="left"/>
            </w:pPr>
            <w:r>
              <w:t xml:space="preserve">MYRIAD 整群随机试验（85 所学校随机、84 所进入分析，8376 人）；2022 年青少年元分析</w:t>
            </w:r>
          </w:p>
        </w:tc>
        <w:tc>
          <w:tcPr/>
          <w:p>
            <w:pPr>
              <w:pStyle w:val="Compact"/>
              <w:jc w:val="left"/>
            </w:pPr>
            <w:r>
              <w:t xml:space="preserve">英国中学由学校教师讲授的 10 节普及课程，与常规社会情感教育相比，一年随访时抑郁风险量表得分没有优势（效应量约 0.005，区间窄）；高风险学生部分指标略差（探索性）；结论限于这套方案、年龄和比较</w:t>
            </w:r>
          </w:p>
        </w:tc>
        <w:tc>
          <w:tcPr/>
          <w:p>
            <w:pPr>
              <w:pStyle w:val="Compact"/>
              <w:jc w:val="left"/>
            </w:pPr>
            <w:r>
              <w:t xml:space="preserve">这套课程降低抑郁风险：</w:t>
            </w:r>
            <w:r>
              <w:rPr>
                <w:bCs/>
                <w:b/>
              </w:rPr>
              <w:t xml:space="preserve">不成立·高</w:t>
            </w:r>
          </w:p>
        </w:tc>
      </w:tr>
      <w:tr>
        <w:tc>
          <w:tcPr/>
          <w:p>
            <w:pPr>
              <w:pStyle w:val="Compact"/>
              <w:jc w:val="left"/>
            </w:pPr>
            <w:r>
              <w:rPr>
                <w:bCs/>
                <w:b/>
              </w:rPr>
              <w:t xml:space="preserve">手机应用</w:t>
            </w:r>
          </w:p>
          <w:p>
            <w:pPr>
              <w:pStyle w:val="Compact"/>
              <w:jc w:val="left"/>
            </w:pPr>
            <w:r>
              <w:rPr>
                <w:bCs/>
                <w:b/>
              </w:rPr>
              <w:t xml:space="preserve">见</w:t>
            </w:r>
            <w:r>
              <w:rPr>
                <w:bCs/>
                <w:b/>
              </w:rPr>
              <w:t xml:space="preserve"> </w:t>
            </w:r>
            <w:hyperlink w:anchor="sec-117-4">
              <w:r>
                <w:rPr>
                  <w:rStyle w:val="Hyperlink"/>
                  <w:bCs/>
                  <w:b/>
                </w:rPr>
                <w:t xml:space="preserve">117.4</w:t>
              </w:r>
            </w:hyperlink>
          </w:p>
        </w:tc>
        <w:tc>
          <w:tcPr/>
          <w:p>
            <w:pPr>
              <w:pStyle w:val="Compact"/>
              <w:jc w:val="left"/>
            </w:pPr>
            <w:r>
              <w:t xml:space="preserve">2024 年正念应用元分析（45 项）；2023 年流失率元分析（70 项）</w:t>
            </w:r>
          </w:p>
        </w:tc>
        <w:tc>
          <w:tcPr/>
          <w:p>
            <w:pPr>
              <w:pStyle w:val="Compact"/>
              <w:jc w:val="left"/>
            </w:pPr>
            <w:r>
              <w:t xml:space="preserve">小幅短期效果（抑郁约 0.24，焦虑约 0.28）；相对主动的治疗性对照不显著；应用组的加权流失率约四分之一，大型试验接近四成；流失、停止使用和使用投入是不同指标，后者的报告很不充分</w:t>
            </w:r>
          </w:p>
        </w:tc>
        <w:tc>
          <w:tcPr/>
          <w:p>
            <w:pPr>
              <w:pStyle w:val="Compact"/>
              <w:jc w:val="left"/>
            </w:pPr>
            <w:r>
              <w:rPr>
                <w:bCs/>
                <w:b/>
              </w:rPr>
              <w:t xml:space="preserve">部分成立·中</w:t>
            </w:r>
          </w:p>
        </w:tc>
      </w:tr>
      <w:tr>
        <w:tc>
          <w:tcPr/>
          <w:p>
            <w:pPr>
              <w:pStyle w:val="Compact"/>
              <w:jc w:val="left"/>
            </w:pPr>
            <w:r>
              <w:rPr>
                <w:bCs/>
                <w:b/>
              </w:rPr>
              <w:t xml:space="preserve">亲社会与共情</w:t>
            </w:r>
          </w:p>
          <w:p>
            <w:pPr>
              <w:pStyle w:val="Compact"/>
              <w:jc w:val="left"/>
            </w:pPr>
            <w:r>
              <w:rPr>
                <w:bCs/>
                <w:b/>
              </w:rPr>
              <w:t xml:space="preserve">见</w:t>
            </w:r>
            <w:r>
              <w:rPr>
                <w:bCs/>
                <w:b/>
              </w:rPr>
              <w:t xml:space="preserve"> </w:t>
            </w:r>
            <w:hyperlink w:anchor="sec-117-5">
              <w:r>
                <w:rPr>
                  <w:rStyle w:val="Hyperlink"/>
                  <w:bCs/>
                  <w:b/>
                </w:rPr>
                <w:t xml:space="preserve">117.5</w:t>
              </w:r>
            </w:hyperlink>
          </w:p>
        </w:tc>
        <w:tc>
          <w:tcPr/>
          <w:p>
            <w:pPr>
              <w:pStyle w:val="Compact"/>
              <w:jc w:val="left"/>
            </w:pPr>
            <w:r>
              <w:t xml:space="preserve">2018 年系统综述（纳入 22 项，定量合并 16 项）；2020 年元分析</w:t>
            </w:r>
          </w:p>
        </w:tc>
        <w:tc>
          <w:tcPr/>
          <w:p>
            <w:pPr>
              <w:pStyle w:val="Compact"/>
              <w:jc w:val="left"/>
            </w:pPr>
            <w:r>
              <w:t xml:space="preserve">同情与共情短期上升，主动对照下同情效应不显著，只在授课者是论文作者时显著；出于同情的助人行为增加，工具性助人和慷慨分配没有可靠变化，行为证据多来自单次练习后立即测量</w:t>
            </w:r>
          </w:p>
        </w:tc>
        <w:tc>
          <w:tcPr/>
          <w:p>
            <w:pPr>
              <w:pStyle w:val="Compact"/>
              <w:jc w:val="left"/>
            </w:pPr>
            <w:r>
              <w:t xml:space="preserve">让人更善良：</w:t>
            </w:r>
            <w:r>
              <w:rPr>
                <w:bCs/>
                <w:b/>
              </w:rPr>
              <w:t xml:space="preserve">夸大·中</w:t>
            </w:r>
          </w:p>
        </w:tc>
      </w:tr>
      <w:tr>
        <w:tc>
          <w:tcPr/>
          <w:p>
            <w:pPr>
              <w:pStyle w:val="Compact"/>
              <w:jc w:val="left"/>
            </w:pPr>
            <w:r>
              <w:rPr>
                <w:bCs/>
                <w:b/>
              </w:rPr>
              <w:t xml:space="preserve">不良反应</w:t>
            </w:r>
          </w:p>
          <w:p>
            <w:pPr>
              <w:pStyle w:val="Compact"/>
              <w:jc w:val="left"/>
            </w:pPr>
            <w:r>
              <w:rPr>
                <w:bCs/>
                <w:b/>
              </w:rPr>
              <w:t xml:space="preserve">见</w:t>
            </w:r>
            <w:r>
              <w:rPr>
                <w:bCs/>
                <w:b/>
              </w:rPr>
              <w:t xml:space="preserve"> </w:t>
            </w:r>
            <w:hyperlink w:anchor="sec-118-2">
              <w:r>
                <w:rPr>
                  <w:rStyle w:val="Hyperlink"/>
                  <w:bCs/>
                  <w:b/>
                </w:rPr>
                <w:t xml:space="preserve">118.2</w:t>
              </w:r>
            </w:hyperlink>
          </w:p>
        </w:tc>
        <w:tc>
          <w:tcPr/>
          <w:p>
            <w:pPr>
              <w:pStyle w:val="Compact"/>
              <w:jc w:val="left"/>
            </w:pPr>
            <w:r>
              <w:t xml:space="preserve">2020 年系统综述（83 项）；2021 年逐项询问研究；2022 年人群调查；2025 年在线调查（886 人）；2026 年正念认知疗法恶化分析</w:t>
            </w:r>
          </w:p>
        </w:tc>
        <w:tc>
          <w:tcPr/>
          <w:p>
            <w:pPr>
              <w:pStyle w:val="Compact"/>
              <w:jc w:val="left"/>
            </w:pPr>
            <w:r>
              <w:t xml:space="preserve">合并的不良事件报告比例约 8%（实验研究约 3.7%，观察性研究约 33%）；逐项询问研究中，持续超过一天、一周、一个月的不良影响约 14%、9%、6%（分母 78 人）；人群调查中功能受损持续一个月以上约 1.2%，2025 年调查中报告功能受损约 9.1%；这些比例的定义、分母和时间窗不同，不能合成一个风险区间；正念认知疗法复发预防试验的主要分析未见症状恶化风险增加，区间仍容许小幅增加</w:t>
            </w:r>
          </w:p>
        </w:tc>
        <w:tc>
          <w:tcPr/>
          <w:p>
            <w:pPr>
              <w:pStyle w:val="Compact"/>
              <w:jc w:val="left"/>
            </w:pPr>
            <w:r>
              <w:t xml:space="preserve">风险存在：</w:t>
            </w:r>
            <w:r>
              <w:rPr>
                <w:bCs/>
                <w:b/>
              </w:rPr>
              <w:t xml:space="preserve">成立·高</w:t>
            </w:r>
          </w:p>
        </w:tc>
      </w:tr>
    </w:tbl>
    <w:p>
      <w:pPr>
        <w:pStyle w:val="TableCaption"/>
      </w:pPr>
      <w:bookmarkStart w:id="1779" w:name="tab-studies"/>
      <w:bookmarkEnd w:id="1779"/>
      <w:r>
        <w:rPr>
          <w:bCs/>
          <w:b/>
        </w:rPr>
        <w:t xml:space="preserve">表 30　常被引用的研究：当时发现什么，今天怎么看</w:t>
      </w:r>
    </w:p>
    <w:tbl>
      <w:tblPr>
        <w:tblStyle w:val="Table"/>
        <w:tblW w:type="pct" w:w="5000"/>
        <w:jc w:val="start"/>
        <w:tblLook w:firstRow="1" w:lastRow="0" w:firstColumn="0" w:lastColumn="0" w:noHBand="0" w:noVBand="0" w:val="0020"/>
      </w:tblPr>
      <w:tblGrid>
        <w:gridCol w:w="1425"/>
        <w:gridCol w:w="1901"/>
        <w:gridCol w:w="2295"/>
        <w:gridCol w:w="2297"/>
      </w:tblGrid>
      <w:tr>
        <w:trPr>
          <w:tblHeader w:val="true"/>
        </w:trPr>
        <w:tc>
          <w:tcPr>
            <w:shd w:val="clear" w:color="auto" w:fill="1F3A5F"/>
          </w:tcPr>
          <w:p>
            <w:pPr>
              <w:pStyle w:val="Compact"/>
              <w:jc w:val="left"/>
            </w:pPr>
            <w:r>
              <w:rPr>
                <w:bCs/>
                <w:b/>
                <w:color w:val="FFFFFF"/>
              </w:rPr>
              <w:t xml:space="preserve">研究</w:t>
            </w:r>
          </w:p>
        </w:tc>
        <w:tc>
          <w:tcPr>
            <w:shd w:val="clear" w:color="auto" w:fill="1F3A5F"/>
          </w:tcPr>
          <w:p>
            <w:pPr>
              <w:pStyle w:val="Compact"/>
              <w:jc w:val="left"/>
            </w:pPr>
            <w:r>
              <w:rPr>
                <w:bCs/>
                <w:b/>
                <w:color w:val="FFFFFF"/>
              </w:rPr>
              <w:t xml:space="preserve">设计与样本</w:t>
            </w:r>
          </w:p>
        </w:tc>
        <w:tc>
          <w:tcPr>
            <w:shd w:val="clear" w:color="auto" w:fill="1F3A5F"/>
          </w:tcPr>
          <w:p>
            <w:pPr>
              <w:pStyle w:val="Compact"/>
              <w:jc w:val="left"/>
            </w:pPr>
            <w:r>
              <w:rPr>
                <w:bCs/>
                <w:b/>
                <w:color w:val="FFFFFF"/>
              </w:rPr>
              <w:t xml:space="preserve">当时的发现</w:t>
            </w:r>
          </w:p>
        </w:tc>
        <w:tc>
          <w:tcPr>
            <w:shd w:val="clear" w:color="auto" w:fill="1F3A5F"/>
          </w:tcPr>
          <w:p>
            <w:pPr>
              <w:pStyle w:val="Compact"/>
              <w:jc w:val="left"/>
            </w:pPr>
            <w:r>
              <w:rPr>
                <w:bCs/>
                <w:b/>
                <w:color w:val="FFFFFF"/>
              </w:rPr>
              <w:t xml:space="preserve">今天怎么看</w:t>
            </w:r>
          </w:p>
        </w:tc>
      </w:tr>
      <w:tr>
        <w:tc>
          <w:tcPr/>
          <w:p>
            <w:pPr>
              <w:pStyle w:val="Compact"/>
              <w:jc w:val="left"/>
            </w:pPr>
            <w:r>
              <w:rPr>
                <w:bCs/>
                <w:b/>
              </w:rPr>
              <w:t xml:space="preserve">Kabat-Zinn，1982</w:t>
            </w:r>
            <w:r>
              <w:rPr>
                <w:vertAlign w:val="superscript"/>
              </w:rPr>
              <w:t xml:space="preserve">[</w:t>
            </w:r>
            <w:hyperlink w:anchor="ref-971">
              <w:r>
                <w:rPr>
                  <w:rStyle w:val="Hyperlink"/>
                  <w:vertAlign w:val="superscript"/>
                </w:rPr>
                <w:t xml:space="preserve">971</w:t>
              </w:r>
            </w:hyperlink>
            <w:r>
              <w:rPr>
                <w:vertAlign w:val="superscript"/>
              </w:rPr>
              <w:t xml:space="preserve">]</w:t>
            </w:r>
          </w:p>
        </w:tc>
        <w:tc>
          <w:tcPr/>
          <w:p>
            <w:pPr>
              <w:pStyle w:val="Compact"/>
              <w:jc w:val="left"/>
            </w:pPr>
            <w:r>
              <w:t xml:space="preserve">无对照，51 名慢性疼痛患者，10 周</w:t>
            </w:r>
          </w:p>
        </w:tc>
        <w:tc>
          <w:tcPr/>
          <w:p>
            <w:pPr>
              <w:pStyle w:val="Compact"/>
              <w:jc w:val="left"/>
            </w:pPr>
            <w:r>
              <w:t xml:space="preserve">10 周时 65% 的人疼痛评定指数（Melzack）下降至少三分之一，50% 下降至少一半</w:t>
            </w:r>
          </w:p>
        </w:tc>
        <w:tc>
          <w:tcPr/>
          <w:p>
            <w:pPr>
              <w:pStyle w:val="Compact"/>
              <w:jc w:val="left"/>
            </w:pPr>
            <w:r>
              <w:t xml:space="preserve">开创性工作；无对照，自然波动、回归均值和期待都可能参与，设计无法说明因果</w:t>
            </w:r>
          </w:p>
        </w:tc>
      </w:tr>
      <w:tr>
        <w:tc>
          <w:tcPr/>
          <w:p>
            <w:pPr>
              <w:pStyle w:val="Compact"/>
              <w:jc w:val="left"/>
            </w:pPr>
            <w:r>
              <w:rPr>
                <w:bCs/>
                <w:b/>
              </w:rPr>
              <w:t xml:space="preserve">Kjaer 等，2002</w:t>
            </w:r>
            <w:r>
              <w:rPr>
                <w:vertAlign w:val="superscript"/>
              </w:rPr>
              <w:t xml:space="preserve">[</w:t>
            </w:r>
            <w:hyperlink w:anchor="ref-972">
              <w:r>
                <w:rPr>
                  <w:rStyle w:val="Hyperlink"/>
                  <w:vertAlign w:val="superscript"/>
                </w:rPr>
                <w:t xml:space="preserve">972</w:t>
              </w:r>
            </w:hyperlink>
            <w:r>
              <w:rPr>
                <w:vertAlign w:val="superscript"/>
              </w:rPr>
              <w:t xml:space="preserve">]</w:t>
            </w:r>
          </w:p>
        </w:tc>
        <w:tc>
          <w:tcPr/>
          <w:p>
            <w:pPr>
              <w:pStyle w:val="Compact"/>
              <w:jc w:val="left"/>
            </w:pPr>
            <w:r>
              <w:t xml:space="preserve">8 人，每人两次正电子发射断层扫描（听讲话与瑜伽休息术各一次）</w:t>
            </w:r>
          </w:p>
        </w:tc>
        <w:tc>
          <w:tcPr/>
          <w:p>
            <w:pPr>
              <w:pStyle w:val="Compact"/>
              <w:jc w:val="left"/>
            </w:pPr>
            <w:r>
              <w:t xml:space="preserve">腹侧纹状体的示踪剂结合下降 7.9%，推算为多巴胺释放增加约 65%</w:t>
            </w:r>
          </w:p>
        </w:tc>
        <w:tc>
          <w:tcPr/>
          <w:p>
            <w:pPr>
              <w:pStyle w:val="Compact"/>
              <w:jc w:val="left"/>
            </w:pPr>
            <w:r>
              <w:t xml:space="preserve">推算依赖动物药理研究的换算比例；同一研究中愉悦感无差别；练习是引导式深度放松；截至 2026 年 10 月未见独立的同类重复</w:t>
            </w:r>
          </w:p>
        </w:tc>
      </w:tr>
      <w:tr>
        <w:tc>
          <w:tcPr/>
          <w:p>
            <w:pPr>
              <w:pStyle w:val="Compact"/>
              <w:jc w:val="left"/>
            </w:pPr>
            <w:r>
              <w:rPr>
                <w:bCs/>
                <w:b/>
              </w:rPr>
              <w:t xml:space="preserve">Davidson 等，2003</w:t>
            </w:r>
            <w:r>
              <w:rPr>
                <w:vertAlign w:val="superscript"/>
              </w:rPr>
              <w:t xml:space="preserve">[</w:t>
            </w:r>
            <w:hyperlink w:anchor="ref-973">
              <w:r>
                <w:rPr>
                  <w:rStyle w:val="Hyperlink"/>
                  <w:vertAlign w:val="superscript"/>
                </w:rPr>
                <w:t xml:space="preserve">973</w:t>
              </w:r>
            </w:hyperlink>
            <w:r>
              <w:rPr>
                <w:vertAlign w:val="superscript"/>
              </w:rPr>
              <w:t xml:space="preserve">]</w:t>
            </w:r>
          </w:p>
        </w:tc>
        <w:tc>
          <w:tcPr/>
          <w:p>
            <w:pPr>
              <w:pStyle w:val="Compact"/>
              <w:jc w:val="left"/>
            </w:pPr>
            <w:r>
              <w:t xml:space="preserve">随机分组，接受测量的正念减压组 25 人、候补组 16 人</w:t>
            </w:r>
          </w:p>
        </w:tc>
        <w:tc>
          <w:tcPr/>
          <w:p>
            <w:pPr>
              <w:pStyle w:val="Compact"/>
              <w:jc w:val="left"/>
            </w:pPr>
            <w:r>
              <w:t xml:space="preserve">左侧脑电活动增强（中央区与前颞区电极），疫苗抗体升高，两者相关</w:t>
            </w:r>
          </w:p>
        </w:tc>
        <w:tc>
          <w:tcPr/>
          <w:p>
            <w:pPr>
              <w:pStyle w:val="Compact"/>
              <w:jc w:val="left"/>
            </w:pPr>
            <w:r>
              <w:t xml:space="preserve">小样本；额区电极上没有显著变化，额叶不对称的后续结果不一致；后续一项老年人试验的抗体结果与预期方向相反</w:t>
            </w:r>
          </w:p>
        </w:tc>
      </w:tr>
      <w:tr>
        <w:tc>
          <w:tcPr/>
          <w:p>
            <w:pPr>
              <w:pStyle w:val="Compact"/>
              <w:jc w:val="left"/>
            </w:pPr>
            <w:r>
              <w:rPr>
                <w:bCs/>
                <w:b/>
              </w:rPr>
              <w:t xml:space="preserve">Lutz 等，2004</w:t>
            </w:r>
            <w:r>
              <w:rPr>
                <w:vertAlign w:val="superscript"/>
              </w:rPr>
              <w:t xml:space="preserve">[</w:t>
            </w:r>
            <w:hyperlink w:anchor="ref-974">
              <w:r>
                <w:rPr>
                  <w:rStyle w:val="Hyperlink"/>
                  <w:vertAlign w:val="superscript"/>
                </w:rPr>
                <w:t xml:space="preserve">974</w:t>
              </w:r>
            </w:hyperlink>
            <w:r>
              <w:rPr>
                <w:vertAlign w:val="superscript"/>
              </w:rPr>
              <w:t xml:space="preserve">]</w:t>
            </w:r>
          </w:p>
        </w:tc>
        <w:tc>
          <w:tcPr/>
          <w:p>
            <w:pPr>
              <w:pStyle w:val="Compact"/>
              <w:jc w:val="left"/>
            </w:pPr>
            <w:r>
              <w:t xml:space="preserve">8 名长期修行者对 10 名学生</w:t>
            </w:r>
          </w:p>
        </w:tc>
        <w:tc>
          <w:tcPr/>
          <w:p>
            <w:pPr>
              <w:pStyle w:val="Compact"/>
              <w:jc w:val="left"/>
            </w:pPr>
            <w:r>
              <w:t xml:space="preserve">慈悲冥想时出现高幅 γ 同步</w:t>
            </w:r>
          </w:p>
        </w:tc>
        <w:tc>
          <w:tcPr/>
          <w:p>
            <w:pPr>
              <w:pStyle w:val="Compact"/>
              <w:jc w:val="left"/>
            </w:pPr>
            <w:r>
              <w:t xml:space="preserve">横断面，两组的年龄和背景差别很大；该频段易受肌电污染，作者做过部分肌电对照，顾虑未完全排除</w:t>
            </w:r>
          </w:p>
        </w:tc>
      </w:tr>
      <w:tr>
        <w:tc>
          <w:tcPr/>
          <w:p>
            <w:pPr>
              <w:pStyle w:val="Compact"/>
              <w:jc w:val="left"/>
            </w:pPr>
            <w:r>
              <w:rPr>
                <w:bCs/>
                <w:b/>
              </w:rPr>
              <w:t xml:space="preserve">Lazar 等，2005</w:t>
            </w:r>
            <w:r>
              <w:rPr>
                <w:vertAlign w:val="superscript"/>
              </w:rPr>
              <w:t xml:space="preserve">[</w:t>
            </w:r>
            <w:hyperlink w:anchor="ref-975">
              <w:r>
                <w:rPr>
                  <w:rStyle w:val="Hyperlink"/>
                  <w:vertAlign w:val="superscript"/>
                </w:rPr>
                <w:t xml:space="preserve">975</w:t>
              </w:r>
            </w:hyperlink>
            <w:r>
              <w:rPr>
                <w:vertAlign w:val="superscript"/>
              </w:rPr>
              <w:t xml:space="preserve">]</w:t>
            </w:r>
          </w:p>
        </w:tc>
        <w:tc>
          <w:tcPr/>
          <w:p>
            <w:pPr>
              <w:pStyle w:val="Compact"/>
              <w:jc w:val="left"/>
            </w:pPr>
            <w:r>
              <w:t xml:space="preserve">横断面，20 人对 15 人</w:t>
            </w:r>
          </w:p>
        </w:tc>
        <w:tc>
          <w:tcPr/>
          <w:p>
            <w:pPr>
              <w:pStyle w:val="Compact"/>
              <w:jc w:val="left"/>
            </w:pPr>
            <w:r>
              <w:t xml:space="preserve">冥想者岛叶与部分额叶皮层更厚</w:t>
            </w:r>
          </w:p>
        </w:tc>
        <w:tc>
          <w:tcPr/>
          <w:p>
            <w:pPr>
              <w:pStyle w:val="Compact"/>
              <w:jc w:val="left"/>
            </w:pPr>
            <w:r>
              <w:t xml:space="preserve">长期练习者的横断面差异，因果方向未定；八周课程的随机对照没有支持相应的变化，两者的练习剂量和估计对象不同</w:t>
            </w:r>
          </w:p>
        </w:tc>
      </w:tr>
      <w:tr>
        <w:tc>
          <w:tcPr/>
          <w:p>
            <w:pPr>
              <w:pStyle w:val="Compact"/>
              <w:jc w:val="left"/>
            </w:pPr>
            <w:r>
              <w:rPr>
                <w:bCs/>
                <w:b/>
              </w:rPr>
              <w:t xml:space="preserve">唐一源等，2007</w:t>
            </w:r>
            <w:r>
              <w:rPr>
                <w:vertAlign w:val="superscript"/>
              </w:rPr>
              <w:t xml:space="preserve">[</w:t>
            </w:r>
            <w:hyperlink w:anchor="ref-976">
              <w:r>
                <w:rPr>
                  <w:rStyle w:val="Hyperlink"/>
                  <w:vertAlign w:val="superscript"/>
                </w:rPr>
                <w:t xml:space="preserve">976</w:t>
              </w:r>
            </w:hyperlink>
            <w:r>
              <w:rPr>
                <w:vertAlign w:val="superscript"/>
              </w:rPr>
              <w:t xml:space="preserve">]</w:t>
            </w:r>
          </w:p>
        </w:tc>
        <w:tc>
          <w:tcPr/>
          <w:p>
            <w:pPr>
              <w:pStyle w:val="Compact"/>
              <w:jc w:val="left"/>
            </w:pPr>
            <w:r>
              <w:t xml:space="preserve">随机分组，80 名大学生，5 天整体身心调节法对放松训练</w:t>
            </w:r>
          </w:p>
        </w:tc>
        <w:tc>
          <w:tcPr/>
          <w:p>
            <w:pPr>
              <w:pStyle w:val="Compact"/>
              <w:jc w:val="left"/>
            </w:pPr>
            <w:r>
              <w:t xml:space="preserve">执行注意改善，应激后皮质醇较低</w:t>
            </w:r>
          </w:p>
        </w:tc>
        <w:tc>
          <w:tcPr/>
          <w:p>
            <w:pPr>
              <w:pStyle w:val="Compact"/>
              <w:jc w:val="left"/>
            </w:pPr>
            <w:r>
              <w:t xml:space="preserve">课程含放松、呼吸、意象和音乐等成分，与正念减压不同；本书检索范围内没有找到其他团队对这些具体结果的重复</w:t>
            </w:r>
          </w:p>
        </w:tc>
      </w:tr>
      <w:tr>
        <w:tc>
          <w:tcPr/>
          <w:p>
            <w:pPr>
              <w:pStyle w:val="Compact"/>
              <w:jc w:val="left"/>
            </w:pPr>
            <w:r>
              <w:rPr>
                <w:bCs/>
                <w:b/>
              </w:rPr>
              <w:t xml:space="preserve">Farb 等，2007</w:t>
            </w:r>
            <w:r>
              <w:rPr>
                <w:vertAlign w:val="superscript"/>
              </w:rPr>
              <w:t xml:space="preserve">[</w:t>
            </w:r>
            <w:hyperlink w:anchor="ref-977">
              <w:r>
                <w:rPr>
                  <w:rStyle w:val="Hyperlink"/>
                  <w:vertAlign w:val="superscript"/>
                </w:rPr>
                <w:t xml:space="preserve">977</w:t>
              </w:r>
            </w:hyperlink>
            <w:r>
              <w:rPr>
                <w:vertAlign w:val="superscript"/>
              </w:rPr>
              <w:t xml:space="preserve">]</w:t>
            </w:r>
          </w:p>
        </w:tc>
        <w:tc>
          <w:tcPr/>
          <w:p>
            <w:pPr>
              <w:pStyle w:val="Compact"/>
              <w:jc w:val="left"/>
            </w:pPr>
            <w:r>
              <w:t xml:space="preserve">训练组 20 人对候补 16 人，只在训练后扫描一次</w:t>
            </w:r>
          </w:p>
        </w:tc>
        <w:tc>
          <w:tcPr/>
          <w:p>
            <w:pPr>
              <w:pStyle w:val="Compact"/>
              <w:jc w:val="left"/>
            </w:pPr>
            <w:r>
              <w:t xml:space="preserve">体验式与叙事式自我关注的脑区分离</w:t>
            </w:r>
          </w:p>
        </w:tc>
        <w:tc>
          <w:tcPr/>
          <w:p>
            <w:pPr>
              <w:pStyle w:val="Compact"/>
              <w:jc w:val="left"/>
            </w:pPr>
            <w:r>
              <w:t xml:space="preserve">影响很大；只能说明训练后的组间差异</w:t>
            </w:r>
          </w:p>
        </w:tc>
      </w:tr>
      <w:tr>
        <w:tc>
          <w:tcPr/>
          <w:p>
            <w:pPr>
              <w:pStyle w:val="Compact"/>
              <w:jc w:val="left"/>
            </w:pPr>
            <w:r>
              <w:rPr>
                <w:bCs/>
                <w:b/>
              </w:rPr>
              <w:t xml:space="preserve">Hölzel 等，2010</w:t>
            </w:r>
            <w:r>
              <w:rPr>
                <w:vertAlign w:val="superscript"/>
              </w:rPr>
              <w:t xml:space="preserve">[</w:t>
            </w:r>
            <w:hyperlink w:anchor="ref-978">
              <w:r>
                <w:rPr>
                  <w:rStyle w:val="Hyperlink"/>
                  <w:vertAlign w:val="superscript"/>
                </w:rPr>
                <w:t xml:space="preserve">978</w:t>
              </w:r>
            </w:hyperlink>
            <w:r>
              <w:rPr>
                <w:vertAlign w:val="superscript"/>
              </w:rPr>
              <w:t xml:space="preserve">]</w:t>
            </w:r>
          </w:p>
        </w:tc>
        <w:tc>
          <w:tcPr/>
          <w:p>
            <w:pPr>
              <w:pStyle w:val="Compact"/>
              <w:jc w:val="left"/>
            </w:pPr>
            <w:r>
              <w:t xml:space="preserve">无对照，26 人</w:t>
            </w:r>
          </w:p>
        </w:tc>
        <w:tc>
          <w:tcPr/>
          <w:p>
            <w:pPr>
              <w:pStyle w:val="Compact"/>
              <w:jc w:val="left"/>
            </w:pPr>
            <w:r>
              <w:t xml:space="preserve">压力下降与杏仁核灰质密度下降相关</w:t>
            </w:r>
          </w:p>
        </w:tc>
        <w:tc>
          <w:tcPr/>
          <w:p>
            <w:pPr>
              <w:pStyle w:val="Compact"/>
              <w:jc w:val="left"/>
            </w:pPr>
            <w:r>
              <w:t xml:space="preserve">杏仁核灰质无整体变化，只有相关；大样本随机对照未见杏仁核体积变化</w:t>
            </w:r>
          </w:p>
        </w:tc>
      </w:tr>
      <w:tr>
        <w:tc>
          <w:tcPr/>
          <w:p>
            <w:pPr>
              <w:pStyle w:val="Compact"/>
              <w:jc w:val="left"/>
            </w:pPr>
            <w:r>
              <w:rPr>
                <w:bCs/>
                <w:b/>
              </w:rPr>
              <w:t xml:space="preserve">Killingsworth 与 Gilbert，2010</w:t>
            </w:r>
            <w:r>
              <w:rPr>
                <w:vertAlign w:val="superscript"/>
              </w:rPr>
              <w:t xml:space="preserve">[</w:t>
            </w:r>
            <w:hyperlink w:anchor="ref-361">
              <w:r>
                <w:rPr>
                  <w:rStyle w:val="Hyperlink"/>
                  <w:vertAlign w:val="superscript"/>
                </w:rPr>
                <w:t xml:space="preserve">361</w:t>
              </w:r>
            </w:hyperlink>
            <w:r>
              <w:rPr>
                <w:vertAlign w:val="superscript"/>
              </w:rPr>
              <w:t xml:space="preserve">]</w:t>
            </w:r>
          </w:p>
        </w:tc>
        <w:tc>
          <w:tcPr/>
          <w:p>
            <w:pPr>
              <w:pStyle w:val="Compact"/>
              <w:jc w:val="left"/>
            </w:pPr>
            <w:r>
              <w:t xml:space="preserve">手机经验取样，2250 人</w:t>
            </w:r>
          </w:p>
        </w:tc>
        <w:tc>
          <w:tcPr/>
          <w:p>
            <w:pPr>
              <w:pStyle w:val="Compact"/>
              <w:jc w:val="left"/>
            </w:pPr>
            <w:r>
              <w:t xml:space="preserve">46.9% 的抽样时刻在走神，走神时更不快乐</w:t>
            </w:r>
          </w:p>
        </w:tc>
        <w:tc>
          <w:tcPr/>
          <w:p>
            <w:pPr>
              <w:pStyle w:val="Compact"/>
              <w:jc w:val="left"/>
            </w:pPr>
            <w:r>
              <w:t xml:space="preserve">自选样本，比例对应被抽到并回答的时刻；时间先后的分析达不到随机实验的因果强度；走神的类型与内容很重要</w:t>
            </w:r>
          </w:p>
        </w:tc>
      </w:tr>
      <w:tr>
        <w:tc>
          <w:tcPr/>
          <w:p>
            <w:pPr>
              <w:pStyle w:val="Compact"/>
              <w:jc w:val="left"/>
            </w:pPr>
            <w:r>
              <w:rPr>
                <w:bCs/>
                <w:b/>
              </w:rPr>
              <w:t xml:space="preserve">Hölzel 等，2011</w:t>
            </w:r>
            <w:r>
              <w:rPr>
                <w:vertAlign w:val="superscript"/>
              </w:rPr>
              <w:t xml:space="preserve">[</w:t>
            </w:r>
            <w:hyperlink w:anchor="ref-979">
              <w:r>
                <w:rPr>
                  <w:rStyle w:val="Hyperlink"/>
                  <w:vertAlign w:val="superscript"/>
                </w:rPr>
                <w:t xml:space="preserve">979</w:t>
              </w:r>
            </w:hyperlink>
            <w:r>
              <w:rPr>
                <w:vertAlign w:val="superscript"/>
              </w:rPr>
              <w:t xml:space="preserve">]</w:t>
            </w:r>
          </w:p>
        </w:tc>
        <w:tc>
          <w:tcPr/>
          <w:p>
            <w:pPr>
              <w:pStyle w:val="Compact"/>
              <w:jc w:val="left"/>
            </w:pPr>
            <w:r>
              <w:t xml:space="preserve">非随机，16 人对 17 名候补</w:t>
            </w:r>
          </w:p>
        </w:tc>
        <w:tc>
          <w:tcPr/>
          <w:p>
            <w:pPr>
              <w:pStyle w:val="Compact"/>
              <w:jc w:val="left"/>
            </w:pPr>
            <w:r>
              <w:t xml:space="preserve">海马等区域灰质浓度增加</w:t>
            </w:r>
          </w:p>
        </w:tc>
        <w:tc>
          <w:tcPr/>
          <w:p>
            <w:pPr>
              <w:pStyle w:val="Compact"/>
              <w:jc w:val="left"/>
            </w:pPr>
            <w:r>
              <w:t xml:space="preserve">“八周改变大脑”的源头；218 人进入影像分析的随机对照未重复，其他人群中的少数阳性结果有待独立重复</w:t>
            </w:r>
          </w:p>
        </w:tc>
      </w:tr>
      <w:tr>
        <w:tc>
          <w:tcPr/>
          <w:p>
            <w:pPr>
              <w:pStyle w:val="Compact"/>
              <w:jc w:val="left"/>
            </w:pPr>
            <w:r>
              <w:rPr>
                <w:bCs/>
                <w:b/>
              </w:rPr>
              <w:t xml:space="preserve">Brewer 等，2011</w:t>
            </w:r>
            <w:r>
              <w:rPr>
                <w:vertAlign w:val="superscript"/>
              </w:rPr>
              <w:t xml:space="preserve">[</w:t>
            </w:r>
            <w:hyperlink w:anchor="ref-980">
              <w:r>
                <w:rPr>
                  <w:rStyle w:val="Hyperlink"/>
                  <w:vertAlign w:val="superscript"/>
                </w:rPr>
                <w:t xml:space="preserve">980</w:t>
              </w:r>
            </w:hyperlink>
            <w:r>
              <w:rPr>
                <w:vertAlign w:val="superscript"/>
              </w:rPr>
              <w:t xml:space="preserve">]</w:t>
            </w:r>
          </w:p>
        </w:tc>
        <w:tc>
          <w:tcPr/>
          <w:p>
            <w:pPr>
              <w:pStyle w:val="Compact"/>
              <w:jc w:val="left"/>
            </w:pPr>
            <w:r>
              <w:t xml:space="preserve">12 名冥想者对 12 名新手</w:t>
            </w:r>
          </w:p>
        </w:tc>
        <w:tc>
          <w:tcPr/>
          <w:p>
            <w:pPr>
              <w:pStyle w:val="Compact"/>
              <w:jc w:val="left"/>
            </w:pPr>
            <w:r>
              <w:t xml:space="preserve">冥想时默认网络节点活动更低</w:t>
            </w:r>
          </w:p>
        </w:tc>
        <w:tc>
          <w:tcPr/>
          <w:p>
            <w:pPr>
              <w:pStyle w:val="Compact"/>
              <w:jc w:val="left"/>
            </w:pPr>
            <w:r>
              <w:t xml:space="preserve">小样本；部分后续研究报告相近模式，所用练习、对照条件和指标各不相同</w:t>
            </w:r>
          </w:p>
        </w:tc>
      </w:tr>
      <w:tr>
        <w:tc>
          <w:tcPr/>
          <w:p>
            <w:pPr>
              <w:pStyle w:val="Compact"/>
              <w:jc w:val="left"/>
            </w:pPr>
            <w:r>
              <w:rPr>
                <w:bCs/>
                <w:b/>
              </w:rPr>
              <w:t xml:space="preserve">Hasenkamp 等，2012</w:t>
            </w:r>
            <w:r>
              <w:rPr>
                <w:vertAlign w:val="superscript"/>
              </w:rPr>
              <w:t xml:space="preserve">[</w:t>
            </w:r>
            <w:hyperlink w:anchor="ref-981">
              <w:r>
                <w:rPr>
                  <w:rStyle w:val="Hyperlink"/>
                  <w:vertAlign w:val="superscript"/>
                </w:rPr>
                <w:t xml:space="preserve">981</w:t>
              </w:r>
            </w:hyperlink>
            <w:r>
              <w:rPr>
                <w:vertAlign w:val="superscript"/>
              </w:rPr>
              <w:t xml:space="preserve">]</w:t>
            </w:r>
          </w:p>
        </w:tc>
        <w:tc>
          <w:tcPr/>
          <w:p>
            <w:pPr>
              <w:pStyle w:val="Compact"/>
              <w:jc w:val="left"/>
            </w:pPr>
            <w:r>
              <w:t xml:space="preserve">14 人，按键标记走神</w:t>
            </w:r>
          </w:p>
        </w:tc>
        <w:tc>
          <w:tcPr/>
          <w:p>
            <w:pPr>
              <w:pStyle w:val="Compact"/>
              <w:jc w:val="left"/>
            </w:pPr>
            <w:r>
              <w:t xml:space="preserve">走神、察觉、转回、专注四阶段的网络序列</w:t>
            </w:r>
          </w:p>
        </w:tc>
        <w:tc>
          <w:tcPr/>
          <w:p>
            <w:pPr>
              <w:pStyle w:val="Compact"/>
              <w:jc w:val="left"/>
            </w:pPr>
            <w:r>
              <w:t xml:space="preserve">探索性研究；四阶段是依赖按键时间、针对专注呼吸的解释模型，提供了可检验的假设</w:t>
            </w:r>
          </w:p>
        </w:tc>
      </w:tr>
      <w:tr>
        <w:tc>
          <w:tcPr/>
          <w:p>
            <w:pPr>
              <w:pStyle w:val="Compact"/>
              <w:jc w:val="left"/>
            </w:pPr>
            <w:r>
              <w:rPr>
                <w:bCs/>
                <w:b/>
              </w:rPr>
              <w:t xml:space="preserve">Goyal 等，2014</w:t>
            </w:r>
            <w:r>
              <w:rPr>
                <w:vertAlign w:val="superscript"/>
              </w:rPr>
              <w:t xml:space="preserve">[</w:t>
            </w:r>
            <w:hyperlink w:anchor="ref-982">
              <w:r>
                <w:rPr>
                  <w:rStyle w:val="Hyperlink"/>
                  <w:vertAlign w:val="superscript"/>
                </w:rPr>
                <w:t xml:space="preserve">982</w:t>
              </w:r>
            </w:hyperlink>
            <w:r>
              <w:rPr>
                <w:vertAlign w:val="superscript"/>
              </w:rPr>
              <w:t xml:space="preserve">]</w:t>
            </w:r>
          </w:p>
        </w:tc>
        <w:tc>
          <w:tcPr/>
          <w:p>
            <w:pPr>
              <w:pStyle w:val="Compact"/>
              <w:jc w:val="left"/>
            </w:pPr>
            <w:r>
              <w:t xml:space="preserve">系统综述，47 项设主动对照的随机试验</w:t>
            </w:r>
          </w:p>
        </w:tc>
        <w:tc>
          <w:tcPr/>
          <w:p>
            <w:pPr>
              <w:pStyle w:val="Compact"/>
              <w:jc w:val="left"/>
            </w:pPr>
            <w:r>
              <w:t xml:space="preserve">八周时对焦虑、抑郁、疼痛小幅有效，证据强度中等；与药物、运动和其他行为疗法相比没有更好</w:t>
            </w:r>
          </w:p>
        </w:tc>
        <w:tc>
          <w:tcPr/>
          <w:p>
            <w:pPr>
              <w:pStyle w:val="Compact"/>
              <w:jc w:val="left"/>
            </w:pPr>
            <w:r>
              <w:t xml:space="preserve">常用的历史基准，具体结局要结合此后的试验与综述</w:t>
            </w:r>
          </w:p>
        </w:tc>
      </w:tr>
      <w:tr>
        <w:tc>
          <w:tcPr/>
          <w:p>
            <w:pPr>
              <w:pStyle w:val="Compact"/>
              <w:jc w:val="left"/>
            </w:pPr>
            <w:r>
              <w:rPr>
                <w:bCs/>
                <w:b/>
              </w:rPr>
              <w:t xml:space="preserve">Fox 等，2014</w:t>
            </w:r>
            <w:r>
              <w:rPr>
                <w:vertAlign w:val="superscript"/>
              </w:rPr>
              <w:t xml:space="preserve">[</w:t>
            </w:r>
            <w:hyperlink w:anchor="ref-983">
              <w:r>
                <w:rPr>
                  <w:rStyle w:val="Hyperlink"/>
                  <w:vertAlign w:val="superscript"/>
                </w:rPr>
                <w:t xml:space="preserve">983</w:t>
              </w:r>
            </w:hyperlink>
            <w:r>
              <w:rPr>
                <w:vertAlign w:val="superscript"/>
              </w:rPr>
              <w:t xml:space="preserve">]</w:t>
            </w:r>
          </w:p>
        </w:tc>
        <w:tc>
          <w:tcPr/>
          <w:p>
            <w:pPr>
              <w:pStyle w:val="Compact"/>
              <w:jc w:val="left"/>
            </w:pPr>
            <w:r>
              <w:t xml:space="preserve">形态学元分析，21 项研究</w:t>
            </w:r>
          </w:p>
        </w:tc>
        <w:tc>
          <w:tcPr/>
          <w:p>
            <w:pPr>
              <w:pStyle w:val="Compact"/>
              <w:jc w:val="left"/>
            </w:pPr>
            <w:r>
              <w:t xml:space="preserve">8 个区域在坐标上较一致</w:t>
            </w:r>
          </w:p>
        </w:tc>
        <w:tc>
          <w:tcPr/>
          <w:p>
            <w:pPr>
              <w:pStyle w:val="Compact"/>
              <w:jc w:val="left"/>
            </w:pPr>
            <w:r>
              <w:t xml:space="preserve">这是跨研究坐标的空间收敛，单项研究报告的区域各不相同；作者本人提示发表偏倚与效应高估</w:t>
            </w:r>
          </w:p>
        </w:tc>
      </w:tr>
      <w:tr>
        <w:tc>
          <w:tcPr/>
          <w:p>
            <w:pPr>
              <w:pStyle w:val="Compact"/>
              <w:jc w:val="left"/>
            </w:pPr>
            <w:r>
              <w:rPr>
                <w:bCs/>
                <w:b/>
              </w:rPr>
              <w:t xml:space="preserve">Fox 等，2016</w:t>
            </w:r>
            <w:r>
              <w:rPr>
                <w:vertAlign w:val="superscript"/>
              </w:rPr>
              <w:t xml:space="preserve">[</w:t>
            </w:r>
            <w:hyperlink w:anchor="ref-962">
              <w:r>
                <w:rPr>
                  <w:rStyle w:val="Hyperlink"/>
                  <w:vertAlign w:val="superscript"/>
                </w:rPr>
                <w:t xml:space="preserve">962</w:t>
              </w:r>
            </w:hyperlink>
            <w:r>
              <w:rPr>
                <w:vertAlign w:val="superscript"/>
              </w:rPr>
              <w:t xml:space="preserve">]</w:t>
            </w:r>
          </w:p>
        </w:tc>
        <w:tc>
          <w:tcPr/>
          <w:p>
            <w:pPr>
              <w:pStyle w:val="Compact"/>
              <w:jc w:val="left"/>
            </w:pPr>
            <w:r>
              <w:t xml:space="preserve">系统综述 78 项功能成像研究，31 个实验进入定量元分析</w:t>
            </w:r>
          </w:p>
        </w:tc>
        <w:tc>
          <w:tcPr/>
          <w:p>
            <w:pPr>
              <w:pStyle w:val="Compact"/>
              <w:jc w:val="left"/>
            </w:pPr>
            <w:r>
              <w:t xml:space="preserve">各类冥想的激活模式不同</w:t>
            </w:r>
          </w:p>
        </w:tc>
        <w:tc>
          <w:tcPr/>
          <w:p>
            <w:pPr>
              <w:pStyle w:val="Compact"/>
              <w:jc w:val="left"/>
            </w:pPr>
            <w:r>
              <w:t xml:space="preserve">支持“冥想是一组不同的练习”</w:t>
            </w:r>
          </w:p>
        </w:tc>
      </w:tr>
      <w:tr>
        <w:tc>
          <w:tcPr/>
          <w:p>
            <w:pPr>
              <w:pStyle w:val="Compact"/>
              <w:jc w:val="left"/>
            </w:pPr>
            <w:r>
              <w:rPr>
                <w:bCs/>
                <w:b/>
              </w:rPr>
              <w:t xml:space="preserve">Luders 等，2016</w:t>
            </w:r>
            <w:r>
              <w:rPr>
                <w:vertAlign w:val="superscript"/>
              </w:rPr>
              <w:t xml:space="preserve">[</w:t>
            </w:r>
            <w:hyperlink w:anchor="ref-984">
              <w:r>
                <w:rPr>
                  <w:rStyle w:val="Hyperlink"/>
                  <w:vertAlign w:val="superscript"/>
                </w:rPr>
                <w:t xml:space="preserve">984</w:t>
              </w:r>
            </w:hyperlink>
            <w:r>
              <w:rPr>
                <w:vertAlign w:val="superscript"/>
              </w:rPr>
              <w:t xml:space="preserve">]</w:t>
            </w:r>
          </w:p>
        </w:tc>
        <w:tc>
          <w:tcPr/>
          <w:p>
            <w:pPr>
              <w:pStyle w:val="Compact"/>
              <w:jc w:val="left"/>
            </w:pPr>
            <w:r>
              <w:t xml:space="preserve">横断面，50 人对 50 人</w:t>
            </w:r>
          </w:p>
        </w:tc>
        <w:tc>
          <w:tcPr/>
          <w:p>
            <w:pPr>
              <w:pStyle w:val="Compact"/>
              <w:jc w:val="left"/>
            </w:pPr>
            <w:r>
              <w:t xml:space="preserve">50 岁时估计脑龄小约 7.5 岁</w:t>
            </w:r>
          </w:p>
        </w:tc>
        <w:tc>
          <w:tcPr/>
          <w:p>
            <w:pPr>
              <w:pStyle w:val="Compact"/>
              <w:jc w:val="left"/>
            </w:pPr>
            <w:r>
              <w:t xml:space="preserve">估计依赖模型和年龄偏差校正；自我选择无法排除；18 个月随机训练没有改变脑龄</w:t>
            </w:r>
          </w:p>
        </w:tc>
      </w:tr>
      <w:tr>
        <w:tc>
          <w:tcPr/>
          <w:p>
            <w:pPr>
              <w:pStyle w:val="Compact"/>
              <w:jc w:val="left"/>
            </w:pPr>
            <w:r>
              <w:rPr>
                <w:bCs/>
                <w:b/>
              </w:rPr>
              <w:t xml:space="preserve">Kuyken 等，2016</w:t>
            </w:r>
            <w:r>
              <w:rPr>
                <w:vertAlign w:val="superscript"/>
              </w:rPr>
              <w:t xml:space="preserve">[</w:t>
            </w:r>
            <w:hyperlink w:anchor="ref-985">
              <w:r>
                <w:rPr>
                  <w:rStyle w:val="Hyperlink"/>
                  <w:vertAlign w:val="superscript"/>
                </w:rPr>
                <w:t xml:space="preserve">985</w:t>
              </w:r>
            </w:hyperlink>
            <w:r>
              <w:rPr>
                <w:vertAlign w:val="superscript"/>
              </w:rPr>
              <w:t xml:space="preserve">]</w:t>
            </w:r>
          </w:p>
        </w:tc>
        <w:tc>
          <w:tcPr/>
          <w:p>
            <w:pPr>
              <w:pStyle w:val="Compact"/>
              <w:jc w:val="left"/>
            </w:pPr>
            <w:r>
              <w:t xml:space="preserve">个体数据元分析，9 项试验，1258 人</w:t>
            </w:r>
          </w:p>
        </w:tc>
        <w:tc>
          <w:tcPr/>
          <w:p>
            <w:pPr>
              <w:pStyle w:val="Compact"/>
              <w:jc w:val="left"/>
            </w:pPr>
            <w:r>
              <w:t xml:space="preserve">复发的危险比 0.69</w:t>
            </w:r>
          </w:p>
        </w:tc>
        <w:tc>
          <w:tcPr/>
          <w:p>
            <w:pPr>
              <w:pStyle w:val="Compact"/>
              <w:jc w:val="left"/>
            </w:pPr>
            <w:r>
              <w:t xml:space="preserve">稳健；观察到的复发约 38% 对 49%；对抗抑郁药的 HR 约 0.77（95% 置信区间 0.60–0.98，4 项试验，含 PREVENT），区间上限接近无差异；头对头的 PREVENT 试验未检出差异；两组都参加课程、再分别减停或继续用药的试验中，减停组复发更多</w:t>
            </w:r>
          </w:p>
        </w:tc>
      </w:tr>
      <w:tr>
        <w:tc>
          <w:tcPr/>
          <w:p>
            <w:pPr>
              <w:pStyle w:val="Compact"/>
              <w:jc w:val="left"/>
            </w:pPr>
            <w:r>
              <w:rPr>
                <w:bCs/>
                <w:b/>
              </w:rPr>
              <w:t xml:space="preserve">Zeidan 等，2016</w:t>
            </w:r>
            <w:r>
              <w:rPr>
                <w:vertAlign w:val="superscript"/>
              </w:rPr>
              <w:t xml:space="preserve">[</w:t>
            </w:r>
            <w:hyperlink w:anchor="ref-986">
              <w:r>
                <w:rPr>
                  <w:rStyle w:val="Hyperlink"/>
                  <w:vertAlign w:val="superscript"/>
                </w:rPr>
                <w:t xml:space="preserve">986</w:t>
              </w:r>
            </w:hyperlink>
            <w:r>
              <w:rPr>
                <w:vertAlign w:val="superscript"/>
              </w:rPr>
              <w:t xml:space="preserve">]</w:t>
            </w:r>
          </w:p>
        </w:tc>
        <w:tc>
          <w:tcPr/>
          <w:p>
            <w:pPr>
              <w:pStyle w:val="Compact"/>
              <w:jc w:val="left"/>
            </w:pPr>
            <w:r>
              <w:t xml:space="preserve">随机分组，78 名健康新手；纳洛酮与生理盐水的给药为双盲</w:t>
            </w:r>
          </w:p>
        </w:tc>
        <w:tc>
          <w:tcPr/>
          <w:p>
            <w:pPr>
              <w:pStyle w:val="Compact"/>
              <w:jc w:val="left"/>
            </w:pPr>
            <w:r>
              <w:t xml:space="preserve">注射纳洛酮后正念冥想的镇痛依然存在</w:t>
            </w:r>
          </w:p>
        </w:tc>
        <w:tc>
          <w:tcPr/>
          <w:p>
            <w:pPr>
              <w:pStyle w:val="Compact"/>
              <w:jc w:val="left"/>
            </w:pPr>
            <w:r>
              <w:t xml:space="preserve">在所测的新手、实验性热痛和给药条件下，镇痛没有显示出对阿片受体的依赖；其他阻断研究结果不一，可能与性别和经验有关</w:t>
            </w:r>
          </w:p>
        </w:tc>
      </w:tr>
      <w:tr>
        <w:tc>
          <w:tcPr/>
          <w:p>
            <w:pPr>
              <w:pStyle w:val="Compact"/>
              <w:jc w:val="left"/>
            </w:pPr>
            <w:r>
              <w:rPr>
                <w:bCs/>
                <w:b/>
              </w:rPr>
              <w:t xml:space="preserve">Creswell 等，2016</w:t>
            </w:r>
            <w:r>
              <w:rPr>
                <w:vertAlign w:val="superscript"/>
              </w:rPr>
              <w:t xml:space="preserve">[</w:t>
            </w:r>
            <w:hyperlink w:anchor="ref-987">
              <w:r>
                <w:rPr>
                  <w:rStyle w:val="Hyperlink"/>
                  <w:vertAlign w:val="superscript"/>
                </w:rPr>
                <w:t xml:space="preserve">987</w:t>
              </w:r>
            </w:hyperlink>
            <w:r>
              <w:rPr>
                <w:vertAlign w:val="superscript"/>
              </w:rPr>
              <w:t xml:space="preserve">]</w:t>
            </w:r>
          </w:p>
        </w:tc>
        <w:tc>
          <w:tcPr/>
          <w:p>
            <w:pPr>
              <w:pStyle w:val="Compact"/>
              <w:jc w:val="left"/>
            </w:pPr>
            <w:r>
              <w:t xml:space="preserve">随机分组，35 人，3 天静修</w:t>
            </w:r>
          </w:p>
        </w:tc>
        <w:tc>
          <w:tcPr/>
          <w:p>
            <w:pPr>
              <w:pStyle w:val="Compact"/>
              <w:jc w:val="left"/>
            </w:pPr>
            <w:r>
              <w:t xml:space="preserve">4 个月后白介素-6 降低，与脑连接变化相关</w:t>
            </w:r>
          </w:p>
        </w:tc>
        <w:tc>
          <w:tcPr/>
          <w:p>
            <w:pPr>
              <w:pStyle w:val="Compact"/>
              <w:jc w:val="left"/>
            </w:pPr>
            <w:r>
              <w:t xml:space="preserve">小样本的探索性分析；脑连接变化没有被随机化，确定不了它导致了炎症变化；需要重复</w:t>
            </w:r>
          </w:p>
        </w:tc>
      </w:tr>
      <w:tr>
        <w:tc>
          <w:tcPr/>
          <w:p>
            <w:pPr>
              <w:pStyle w:val="Compact"/>
              <w:jc w:val="left"/>
            </w:pPr>
            <w:r>
              <w:rPr>
                <w:bCs/>
                <w:b/>
              </w:rPr>
              <w:t xml:space="preserve">Engert 等，2017</w:t>
            </w:r>
            <w:r>
              <w:rPr>
                <w:vertAlign w:val="superscript"/>
              </w:rPr>
              <w:t xml:space="preserve">[</w:t>
            </w:r>
            <w:hyperlink w:anchor="ref-988">
              <w:r>
                <w:rPr>
                  <w:rStyle w:val="Hyperlink"/>
                  <w:vertAlign w:val="superscript"/>
                </w:rPr>
                <w:t xml:space="preserve">988</w:t>
              </w:r>
            </w:hyperlink>
            <w:r>
              <w:rPr>
                <w:vertAlign w:val="superscript"/>
              </w:rPr>
              <w:t xml:space="preserve">]</w:t>
            </w:r>
          </w:p>
        </w:tc>
        <w:tc>
          <w:tcPr/>
          <w:p>
            <w:pPr>
              <w:pStyle w:val="Compact"/>
              <w:jc w:val="left"/>
            </w:pPr>
            <w:r>
              <w:t xml:space="preserve">“资源计划”中 313 人接受社会应激测试，每人只测一次，比较处在不同训练阶段的分组</w:t>
            </w:r>
          </w:p>
        </w:tc>
        <w:tc>
          <w:tcPr/>
          <w:p>
            <w:pPr>
              <w:pStyle w:val="Compact"/>
              <w:jc w:val="left"/>
            </w:pPr>
            <w:r>
              <w:t xml:space="preserve">人际取向模块降低应激皮质醇，单纯“当下”模块未降低</w:t>
            </w:r>
          </w:p>
        </w:tc>
        <w:tc>
          <w:tcPr/>
          <w:p>
            <w:pPr>
              <w:pStyle w:val="Compact"/>
              <w:jc w:val="left"/>
            </w:pPr>
            <w:r>
              <w:t xml:space="preserve">重要的拆分证据，论文报告了模块之间的直接对比；结论限于实验室中的社会评价型应激</w:t>
            </w:r>
          </w:p>
        </w:tc>
      </w:tr>
      <w:tr>
        <w:tc>
          <w:tcPr/>
          <w:p>
            <w:pPr>
              <w:pStyle w:val="Compact"/>
              <w:jc w:val="left"/>
            </w:pPr>
            <w:r>
              <w:rPr>
                <w:bCs/>
                <w:b/>
              </w:rPr>
              <w:t xml:space="preserve">Van Dam 等，2018</w:t>
            </w:r>
            <w:r>
              <w:rPr>
                <w:vertAlign w:val="superscript"/>
              </w:rPr>
              <w:t xml:space="preserve">[</w:t>
            </w:r>
            <w:hyperlink w:anchor="ref-970">
              <w:r>
                <w:rPr>
                  <w:rStyle w:val="Hyperlink"/>
                  <w:vertAlign w:val="superscript"/>
                </w:rPr>
                <w:t xml:space="preserve">970</w:t>
              </w:r>
            </w:hyperlink>
            <w:r>
              <w:rPr>
                <w:vertAlign w:val="superscript"/>
              </w:rPr>
              <w:t xml:space="preserve">]</w:t>
            </w:r>
          </w:p>
        </w:tc>
        <w:tc>
          <w:tcPr/>
          <w:p>
            <w:pPr>
              <w:pStyle w:val="Compact"/>
              <w:jc w:val="left"/>
            </w:pPr>
            <w:r>
              <w:t xml:space="preserve">批评性综述</w:t>
            </w:r>
          </w:p>
        </w:tc>
        <w:tc>
          <w:tcPr/>
          <w:p>
            <w:pPr>
              <w:pStyle w:val="Compact"/>
              <w:jc w:val="left"/>
            </w:pPr>
            <w:r>
              <w:t xml:space="preserve">指出概念混乱、测量问题与过度宣传</w:t>
            </w:r>
          </w:p>
        </w:tc>
        <w:tc>
          <w:tcPr/>
          <w:p>
            <w:pPr>
              <w:pStyle w:val="Compact"/>
              <w:jc w:val="left"/>
            </w:pPr>
            <w:r>
              <w:t xml:space="preserve">领域内部的标志性纠偏，提供的是方法框架，具体结论要回到原研究</w:t>
            </w:r>
          </w:p>
        </w:tc>
      </w:tr>
      <w:tr>
        <w:tc>
          <w:tcPr/>
          <w:p>
            <w:pPr>
              <w:pStyle w:val="Compact"/>
              <w:jc w:val="left"/>
            </w:pPr>
            <w:r>
              <w:rPr>
                <w:bCs/>
                <w:b/>
              </w:rPr>
              <w:t xml:space="preserve">Kral 等，2022</w:t>
            </w:r>
            <w:r>
              <w:rPr>
                <w:vertAlign w:val="superscript"/>
              </w:rPr>
              <w:t xml:space="preserve">[</w:t>
            </w:r>
            <w:hyperlink w:anchor="ref-969">
              <w:r>
                <w:rPr>
                  <w:rStyle w:val="Hyperlink"/>
                  <w:vertAlign w:val="superscript"/>
                </w:rPr>
                <w:t xml:space="preserve">969</w:t>
              </w:r>
            </w:hyperlink>
            <w:r>
              <w:rPr>
                <w:vertAlign w:val="superscript"/>
              </w:rPr>
              <w:t xml:space="preserve">]</w:t>
            </w:r>
          </w:p>
        </w:tc>
        <w:tc>
          <w:tcPr/>
          <w:p>
            <w:pPr>
              <w:pStyle w:val="Compact"/>
              <w:jc w:val="left"/>
            </w:pPr>
            <w:r>
              <w:t xml:space="preserve">两项随机对照合并，最终 218 人进入影像分析，含主动对照</w:t>
            </w:r>
          </w:p>
        </w:tc>
        <w:tc>
          <w:tcPr/>
          <w:p>
            <w:pPr>
              <w:pStyle w:val="Compact"/>
              <w:jc w:val="left"/>
            </w:pPr>
            <w:r>
              <w:t xml:space="preserve">正念减压与两个对照组相比，灰质体积、密度和皮层厚度都没有可检测的差异</w:t>
            </w:r>
          </w:p>
        </w:tc>
        <w:tc>
          <w:tcPr/>
          <w:p>
            <w:pPr>
              <w:pStyle w:val="Compact"/>
              <w:jc w:val="left"/>
            </w:pPr>
            <w:r>
              <w:t xml:space="preserve">在所测的磁共振指标和时间窗内，没有支持可检测的形态效应，估计排除了早期报告的幅度；很小的效应和个体差异排除不了</w:t>
            </w:r>
          </w:p>
        </w:tc>
      </w:tr>
      <w:tr>
        <w:tc>
          <w:tcPr/>
          <w:p>
            <w:pPr>
              <w:pStyle w:val="Compact"/>
              <w:jc w:val="left"/>
            </w:pPr>
            <w:r>
              <w:rPr>
                <w:bCs/>
                <w:b/>
              </w:rPr>
              <w:t xml:space="preserve">MYRIAD，2022</w:t>
            </w:r>
            <w:r>
              <w:rPr>
                <w:vertAlign w:val="superscript"/>
              </w:rPr>
              <w:t xml:space="preserve">[</w:t>
            </w:r>
            <w:hyperlink w:anchor="ref-989">
              <w:r>
                <w:rPr>
                  <w:rStyle w:val="Hyperlink"/>
                  <w:vertAlign w:val="superscript"/>
                </w:rPr>
                <w:t xml:space="preserve">989</w:t>
              </w:r>
            </w:hyperlink>
            <w:r>
              <w:rPr>
                <w:vertAlign w:val="superscript"/>
              </w:rPr>
              <w:t xml:space="preserve">]</w:t>
            </w:r>
          </w:p>
        </w:tc>
        <w:tc>
          <w:tcPr/>
          <w:p>
            <w:pPr>
              <w:pStyle w:val="Compact"/>
              <w:jc w:val="left"/>
            </w:pPr>
            <w:r>
              <w:t xml:space="preserve">整群随机，85 所学校随机、84 所进入分析，8376 名学生</w:t>
            </w:r>
          </w:p>
        </w:tc>
        <w:tc>
          <w:tcPr/>
          <w:p>
            <w:pPr>
              <w:pStyle w:val="Compact"/>
              <w:jc w:val="left"/>
            </w:pPr>
            <w:r>
              <w:t xml:space="preserve">由学校教师讲授的 10 节普及课程一年随访时没有优势</w:t>
            </w:r>
          </w:p>
        </w:tc>
        <w:tc>
          <w:tcPr/>
          <w:p>
            <w:pPr>
              <w:pStyle w:val="Compact"/>
              <w:jc w:val="left"/>
            </w:pPr>
            <w:r>
              <w:t xml:space="preserve">这套方案不适合作为面向全体学生的干预；高风险学生的不利信号属探索性；对其他课程、年龄和自愿项目没有同样的排除能力</w:t>
            </w:r>
          </w:p>
        </w:tc>
      </w:tr>
      <w:tr>
        <w:tc>
          <w:tcPr/>
          <w:p>
            <w:pPr>
              <w:pStyle w:val="Compact"/>
              <w:jc w:val="left"/>
            </w:pPr>
            <w:r>
              <w:rPr>
                <w:bCs/>
                <w:b/>
              </w:rPr>
              <w:t xml:space="preserve">Hoge 等，2023</w:t>
            </w:r>
            <w:r>
              <w:rPr>
                <w:vertAlign w:val="superscript"/>
              </w:rPr>
              <w:t xml:space="preserve">[</w:t>
            </w:r>
            <w:hyperlink w:anchor="ref-990">
              <w:r>
                <w:rPr>
                  <w:rStyle w:val="Hyperlink"/>
                  <w:vertAlign w:val="superscript"/>
                </w:rPr>
                <w:t xml:space="preserve">990</w:t>
              </w:r>
            </w:hyperlink>
            <w:r>
              <w:rPr>
                <w:vertAlign w:val="superscript"/>
              </w:rPr>
              <w:t xml:space="preserve">]</w:t>
            </w:r>
          </w:p>
        </w:tc>
        <w:tc>
          <w:tcPr/>
          <w:p>
            <w:pPr>
              <w:pStyle w:val="Compact"/>
              <w:jc w:val="left"/>
            </w:pPr>
            <w:r>
              <w:t xml:space="preserve">随机分组，276 名焦虑障碍患者（线下）</w:t>
            </w:r>
          </w:p>
        </w:tc>
        <w:tc>
          <w:tcPr/>
          <w:p>
            <w:pPr>
              <w:pStyle w:val="Compact"/>
              <w:jc w:val="left"/>
            </w:pPr>
            <w:r>
              <w:t xml:space="preserve">八周正念减压在主要结局上不劣于艾司西酞普兰，按方案与意向治疗分析一致</w:t>
            </w:r>
          </w:p>
        </w:tc>
        <w:tc>
          <w:tcPr/>
          <w:p>
            <w:pPr>
              <w:pStyle w:val="Compact"/>
              <w:jc w:val="left"/>
            </w:pPr>
            <w:r>
              <w:t xml:space="preserve">单项试验，无安慰剂组；同一研究 2025 年报告的 202 人远程阶段没有建立非劣效，两个阶段出自同一团队，不算独立重复</w:t>
            </w:r>
          </w:p>
        </w:tc>
      </w:tr>
    </w:tbl>
    <w:bookmarkEnd w:id="1780"/>
    <w:bookmarkStart w:id="1795" w:name="ch-110"/>
    <w:p>
      <w:pPr>
        <w:pStyle w:val="Heading2"/>
      </w:pPr>
      <w:r>
        <w:t xml:space="preserve">第110章　冥想研究中的脑区发现</w:t>
      </w:r>
    </w:p>
    <w:p>
      <w:pPr>
        <w:pStyle w:val="PartIntro"/>
      </w:pPr>
      <w:r>
        <w:t xml:space="preserve">这一章按脑区汇总冥想研究的发现。各结构本身参与什么，见</w:t>
      </w:r>
      <w:hyperlink w:anchor="part-8">
        <w:r>
          <w:rPr>
            <w:rStyle w:val="Hyperlink"/>
          </w:rPr>
          <w:t xml:space="preserve">第八编</w:t>
        </w:r>
      </w:hyperlink>
      <w:r>
        <w:t xml:space="preserve">对应各章；读这里的结果时，请记住</w:t>
      </w:r>
      <w:hyperlink w:anchor="part-6">
        <w:r>
          <w:rPr>
            <w:rStyle w:val="Hyperlink"/>
          </w:rPr>
          <w:t xml:space="preserve">第六编</w:t>
        </w:r>
      </w:hyperlink>
      <w:r>
        <w:t xml:space="preserve">讲的前提：一个脑区参与许多功能，结构与功能的变化都需要在设计良好的研究中被重复，才能当作事实。</w:t>
      </w:r>
    </w:p>
    <w:bookmarkStart w:id="1781" w:name="sec-110-1"/>
    <w:p>
      <w:pPr>
        <w:pStyle w:val="Heading3"/>
      </w:pPr>
      <w:r>
        <w:t xml:space="preserve">110.1　杏仁核</w:t>
      </w:r>
    </w:p>
    <w:p>
      <w:pPr>
        <w:pStyle w:val="FirstParagraph"/>
      </w:pPr>
      <w:r>
        <w:t xml:space="preserve">冥想研究与杏仁核有关的发现分三类，证据质量差别很大。</w:t>
      </w:r>
    </w:p>
    <w:p>
      <w:pPr>
        <w:pStyle w:val="BodyText"/>
      </w:pPr>
      <w:r>
        <w:t xml:space="preserve">第一类是结构。2010 年一项研究让 26 名高压力成人参加正念减压，研究没有对照组；杏仁核灰质在课程前后没有整体变化，只发现自评压力下降越多的人，右侧杏仁核的灰质密度下降也越多</w:t>
      </w:r>
      <w:r>
        <w:rPr>
          <w:vertAlign w:val="superscript"/>
        </w:rPr>
        <w:t xml:space="preserve">[</w:t>
      </w:r>
      <w:hyperlink w:anchor="ref-978">
        <w:r>
          <w:rPr>
            <w:rStyle w:val="Hyperlink"/>
            <w:vertAlign w:val="superscript"/>
          </w:rPr>
          <w:t xml:space="preserve">978</w:t>
        </w:r>
      </w:hyperlink>
      <w:r>
        <w:rPr>
          <w:vertAlign w:val="superscript"/>
        </w:rPr>
        <w:t xml:space="preserve">]</w:t>
      </w:r>
      <w:r>
        <w:t xml:space="preserve">。一项招募 155 名社区成人（有效样本 145 人）的横断面研究发现，特质正念得分较高的人右侧杏仁核体积略小（r 约 −0.20），右侧海马和左侧尾状核也有相近的弱负相关；按 8 个脑区做多重比较校正后，只有左侧尾状核仍然显著；控制年龄、性别、全脑灰质、抑郁和神经质之后，杏仁核与尾状核的相关降到约 −0.17，海马的相关不再显著</w:t>
      </w:r>
      <w:r>
        <w:rPr>
          <w:vertAlign w:val="superscript"/>
        </w:rPr>
        <w:t xml:space="preserve">[</w:t>
      </w:r>
      <w:hyperlink w:anchor="ref-991">
        <w:r>
          <w:rPr>
            <w:rStyle w:val="Hyperlink"/>
            <w:vertAlign w:val="superscript"/>
          </w:rPr>
          <w:t xml:space="preserve">991</w:t>
        </w:r>
      </w:hyperlink>
      <w:r>
        <w:rPr>
          <w:vertAlign w:val="superscript"/>
        </w:rPr>
        <w:t xml:space="preserve">]</w:t>
      </w:r>
      <w:r>
        <w:t xml:space="preserve">。荷兰鹿特丹的一项人群研究中，3742 人的横断面分析发现，自报每周练习冥想或瑜伽至少 1 小时、持续一年以上的人，右侧杏仁核和左侧海马体积略小；把分组标准提高到每周至少 2 小时后，组间差异不再显著，练习量与杏仁核体积也不相关。其中 2397 人相隔约五年做了两次磁共振，练习五年以上的 218 人右侧杏仁核在这段时间里多缩小约 24 立方毫米（p = 0.031），练习量与缩小幅度没有关系</w:t>
      </w:r>
      <w:r>
        <w:rPr>
          <w:vertAlign w:val="superscript"/>
        </w:rPr>
        <w:t xml:space="preserve">[</w:t>
      </w:r>
      <w:hyperlink w:anchor="ref-992">
        <w:r>
          <w:rPr>
            <w:rStyle w:val="Hyperlink"/>
            <w:vertAlign w:val="superscript"/>
          </w:rPr>
          <w:t xml:space="preserve">992</w:t>
        </w:r>
      </w:hyperlink>
      <w:r>
        <w:rPr>
          <w:vertAlign w:val="superscript"/>
        </w:rPr>
        <w:t xml:space="preserve">]</w:t>
      </w:r>
      <w:r>
        <w:t xml:space="preserve">。这里的“练习”合并了冥想、瑜伽、太极、气功和呼吸练习，按回忆报告；受试者以中老年人为主，练习者同时报告了更多的压力和抑郁症状。这是观察性研究，有困扰的人可能更倾向于开始练习，不过作者指出，调整压力、抑郁和焦虑后，右侧杏仁核的差异仍然存在；作者也提到，杏仁核较小的人可能本来就更容易被这类练习吸引。2022 年两项随机对照试验合并分析了完成课前课后扫描的 218 人，正念减压与主动对照、候补组相比，杏仁核体积没有可检测的变化；论文事先提出了练习量的假设，相应的分析显示，与健康促进组相比，练习时间更长的人右侧杏仁核体积下降更多，效应小，在几种敏感性分析中都没有保持</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。另一项针对有童年逆境经历的年轻成人的小型随机试验（对照是压力管理教育）同样没有发现杏仁核体积变化的组间差异</w:t>
      </w:r>
      <w:r>
        <w:rPr>
          <w:vertAlign w:val="superscript"/>
        </w:rPr>
        <w:t xml:space="preserve">[</w:t>
      </w:r>
      <w:hyperlink w:anchor="ref-993">
        <w:r>
          <w:rPr>
            <w:rStyle w:val="Hyperlink"/>
            <w:vertAlign w:val="superscript"/>
          </w:rPr>
          <w:t xml:space="preserve">993</w:t>
        </w:r>
      </w:hyperlink>
      <w:r>
        <w:rPr>
          <w:vertAlign w:val="superscript"/>
        </w:rPr>
        <w:t xml:space="preserve">]</w:t>
      </w:r>
      <w:r>
        <w:t xml:space="preserve">；同一队列的另一篇论文报告了海马的结果，见</w:t>
      </w:r>
      <w:r>
        <w:t xml:space="preserve"> </w:t>
      </w:r>
      <w:hyperlink w:anchor="sec-110-5">
        <w:r>
          <w:rPr>
            <w:rStyle w:val="Hyperlink"/>
          </w:rPr>
          <w:t xml:space="preserve">110.5</w:t>
        </w:r>
      </w:hyperlink>
      <w:r>
        <w:t xml:space="preserve">。</w:t>
      </w:r>
    </w:p>
    <w:p>
      <w:pPr>
        <w:pStyle w:val="BodyText"/>
      </w:pPr>
      <w:r>
        <w:t xml:space="preserve">第二类是功能反应，结果依赖情绪的正负和任务。一项随机研究每组只有 12 人：八周正念注意训练后，受试者在非冥想状态下观看各类图片时，右侧杏仁核的总体反应比对照组下降更多；其中对正性图片的下降只在组内显著，论文没有报告这一项的组间检验。慈悲训练组对负性图片的反应在组水平上没有显著变化，个体层面上升越多的人，抑郁分数下降越多</w:t>
      </w:r>
      <w:r>
        <w:rPr>
          <w:vertAlign w:val="superscript"/>
        </w:rPr>
        <w:t xml:space="preserve">[</w:t>
      </w:r>
      <w:hyperlink w:anchor="ref-994">
        <w:r>
          <w:rPr>
            <w:rStyle w:val="Hyperlink"/>
            <w:vertAlign w:val="superscript"/>
          </w:rPr>
          <w:t xml:space="preserve">994</w:t>
        </w:r>
      </w:hyperlink>
      <w:r>
        <w:rPr>
          <w:vertAlign w:val="superscript"/>
        </w:rPr>
        <w:t xml:space="preserve">]</w:t>
      </w:r>
      <w:r>
        <w:t xml:space="preserve">。设有主动对照的随机研究发现，正念减压降低了杏仁核对正性图片的反应，对负性图片的变化不显著，同时增强了杏仁核与腹内侧前额叶的功能耦合</w:t>
      </w:r>
      <w:r>
        <w:rPr>
          <w:vertAlign w:val="superscript"/>
        </w:rPr>
        <w:t xml:space="preserve">[</w:t>
      </w:r>
      <w:hyperlink w:anchor="ref-995">
        <w:r>
          <w:rPr>
            <w:rStyle w:val="Hyperlink"/>
            <w:vertAlign w:val="superscript"/>
          </w:rPr>
          <w:t xml:space="preserve">995</w:t>
        </w:r>
      </w:hyperlink>
      <w:r>
        <w:rPr>
          <w:vertAlign w:val="superscript"/>
        </w:rPr>
        <w:t xml:space="preserve">]</w:t>
      </w:r>
      <w:r>
        <w:t xml:space="preserve">；这项研究的随机试验部分，与</w:t>
      </w:r>
      <w:r>
        <w:t xml:space="preserve"> </w:t>
      </w:r>
      <w:hyperlink w:anchor="sec-116-5">
        <w:r>
          <w:rPr>
            <w:rStyle w:val="Hyperlink"/>
          </w:rPr>
          <w:t xml:space="preserve">116.5 节</w:t>
        </w:r>
      </w:hyperlink>
      <w:r>
        <w:t xml:space="preserve">中 2022 年结构分析的第一批受试者是同一批人。长期练习者在慈悲冥想时，听到各类人声（痛苦的、欢笑的和中性的背景声），杏仁核反应都比新手增强得更多，专门对痛苦声音更强的反应出现在右侧岛叶</w:t>
      </w:r>
      <w:r>
        <w:rPr>
          <w:vertAlign w:val="superscript"/>
        </w:rPr>
        <w:t xml:space="preserve">[</w:t>
      </w:r>
      <w:hyperlink w:anchor="ref-996">
        <w:r>
          <w:rPr>
            <w:rStyle w:val="Hyperlink"/>
            <w:vertAlign w:val="superscript"/>
          </w:rPr>
          <w:t xml:space="preserve">996</w:t>
        </w:r>
      </w:hyperlink>
      <w:r>
        <w:rPr>
          <w:vertAlign w:val="superscript"/>
        </w:rPr>
        <w:t xml:space="preserve">]</w:t>
      </w:r>
      <w:r>
        <w:t xml:space="preserve">。2025 年，研究者在 8 位植入颅内电极的癫痫病人身上记录到，初次跟随录音练习慈心冥想时，杏仁核和海马的 γ 活动在组水平上升高，脑电的非周期成分没有变化</w:t>
      </w:r>
      <w:r>
        <w:rPr>
          <w:vertAlign w:val="superscript"/>
        </w:rPr>
        <w:t xml:space="preserve">[</w:t>
      </w:r>
      <w:hyperlink w:anchor="ref-997">
        <w:r>
          <w:rPr>
            <w:rStyle w:val="Hyperlink"/>
            <w:vertAlign w:val="superscript"/>
          </w:rPr>
          <w:t xml:space="preserve">997</w:t>
        </w:r>
      </w:hyperlink>
      <w:r>
        <w:rPr>
          <w:vertAlign w:val="superscript"/>
        </w:rPr>
        <w:t xml:space="preserve">]</w:t>
      </w:r>
      <w:r>
        <w:t xml:space="preserve">。这里的“杏仁核”信号，是杏仁核接点相对前海马接点的双极导联，包含两个位置的电位差；γ 定义为 30 到 55 赫兹，受硬件采样率限制，分析不到更高的频段，也不宜与头皮脑电的高频 γ 混为一谈。颅内记录基本排除了头皮肌电的干扰，这是它的价值；它的样本仍然只有几个人（杏仁核 8 人、海马 7 人有可用记录），分析中的电极通道比人数多，独立的人却只有这几位；练习只有一次，对照段取自练习前 5 分钟录音讲解的头 2 分钟，与练习中段的 2 分钟比较，总在练习之前，没有调换顺序，作者也承认这一点。电极位置由临床诊疗决定，局部 γ 功率升高不等于整个杏仁核更活跃，也不等于更快乐。2026 年一项以候补组为对照、不设盲的健康成人随机研究中，四周手机正念练习后，恐惧消退的保持更好（以皮肤电反应衡量）；回忆消退时，候补组在辅助运动区、纹状体直至背侧杏仁核的激活高于正念组，作者认为差异主要来自对照组的激活升高，正念组也没有出现前额叶控制区的激活增加</w:t>
      </w:r>
      <w:r>
        <w:rPr>
          <w:vertAlign w:val="superscript"/>
        </w:rPr>
        <w:t xml:space="preserve">[</w:t>
      </w:r>
      <w:hyperlink w:anchor="ref-998">
        <w:r>
          <w:rPr>
            <w:rStyle w:val="Hyperlink"/>
            <w:vertAlign w:val="superscript"/>
          </w:rPr>
          <w:t xml:space="preserve">998</w:t>
        </w:r>
      </w:hyperlink>
      <w:r>
        <w:rPr>
          <w:vertAlign w:val="superscript"/>
        </w:rPr>
        <w:t xml:space="preserve">]</w:t>
      </w:r>
      <w:r>
        <w:t xml:space="preserve">。作者据此推测，这种调节更接近直接改变恐惧回路，较少依赖自上而下的压制，同时承认后者的作用无法排除；这是从脑活动倒推心理过程，还需要直接检验。进入分析的 55 人（正念组 27 人、候补组 28 人）中，49 人有可用的成像数据；论文没有报告各组随机分配的人数，也没有报告试验登记。没有检出前额叶控制区的激活增加，只说明这个分析在这种空间和时间尺度上没有看到它，短暂的前额叶作用或其他控制机制都排除不了。</w:t>
      </w:r>
    </w:p>
    <w:p>
      <w:pPr>
        <w:pStyle w:val="BodyText"/>
      </w:pPr>
      <w:r>
        <w:t xml:space="preserve">第三类是连接。一项随机研究让 35 名失业的高压力成人参加三天强化正念或放松训练，正念组杏仁核与膝下前扣带之间的静息连接减弱</w:t>
      </w:r>
      <w:r>
        <w:rPr>
          <w:vertAlign w:val="superscript"/>
        </w:rPr>
        <w:t xml:space="preserve">[</w:t>
      </w:r>
      <w:hyperlink w:anchor="ref-999">
        <w:r>
          <w:rPr>
            <w:rStyle w:val="Hyperlink"/>
            <w:vertAlign w:val="superscript"/>
          </w:rPr>
          <w:t xml:space="preserve">999</w:t>
        </w:r>
      </w:hyperlink>
      <w:r>
        <w:rPr>
          <w:vertAlign w:val="superscript"/>
        </w:rPr>
        <w:t xml:space="preserve">]</w:t>
      </w:r>
      <w:r>
        <w:t xml:space="preserve">。静息连接是信号在时间上的相关。它减弱了，解剖连接未必变少，单凭它也说明不了杏仁核受到了更强的抑制；这个样本很特殊，结果不能外推到常规八周课程或长期练习者。</w:t>
      </w:r>
    </w:p>
    <w:p>
      <w:pPr>
        <w:pStyle w:val="CalloutMyth"/>
      </w:pPr>
      <w:r>
        <w:rPr>
          <w:bCs/>
          <w:b/>
        </w:rPr>
        <w:t xml:space="preserve">误解　</w:t>
      </w:r>
      <w:r>
        <w:t xml:space="preserve">冥想八周能让杏仁核缩小，人从此不容易害怕和焦虑。</w:t>
      </w:r>
    </w:p>
    <w:p>
      <w:pPr>
        <w:pStyle w:val="CalloutMyth"/>
      </w:pPr>
      <w:r>
        <w:rPr>
          <w:bCs/>
          <w:b/>
        </w:rPr>
        <w:t xml:space="preserve">实况　</w:t>
      </w:r>
      <w:r>
        <w:t xml:space="preserve">“缩小”的源头研究本身没有对照组，也没有发现整体变化；大样本随机对照没有发现结构变化。功能层面，训练后杏仁核反应的变化有若干报告，方向依情绪类型和练习类型而定，慈悲类练习有时让杏仁核反应增强。</w:t>
      </w:r>
    </w:p>
    <w:p>
      <w:pPr>
        <w:pStyle w:val="CalloutJudgment"/>
      </w:pPr>
      <w:r>
        <w:rPr>
          <w:bCs/>
          <w:b/>
        </w:rPr>
        <w:t xml:space="preserve">判断　</w:t>
      </w:r>
      <w:r>
        <w:t xml:space="preserve">“八周课程让健康成人的杏仁核缩小”</w:t>
      </w:r>
      <w:r>
        <w:rPr>
          <w:bCs/>
          <w:b/>
        </w:rPr>
        <w:t xml:space="preserve">不成立·中</w:t>
      </w:r>
      <w:r>
        <w:t xml:space="preserve">：源头研究没有发现整体缩小，严格的随机试验中也没有出现；“冥想降低杏仁核的情绪反应”</w:t>
      </w:r>
      <w:r>
        <w:rPr>
          <w:bCs/>
          <w:b/>
        </w:rPr>
        <w:t xml:space="preserve">部分成立·低</w:t>
      </w:r>
      <w:r>
        <w:t xml:space="preserve">：有有限的证据，方向取决于刺激和练习类型；“冥想关闭了杏仁核”</w:t>
      </w:r>
      <w:r>
        <w:rPr>
          <w:bCs/>
          <w:b/>
        </w:rPr>
        <w:t xml:space="preserve">错误·高</w:t>
      </w:r>
      <w:r>
        <w:t xml:space="preserve">。</w:t>
      </w:r>
    </w:p>
    <w:p>
      <w:pPr>
        <w:pStyle w:val="CalloutPractice"/>
      </w:pPr>
      <w:r>
        <w:rPr>
          <w:bCs/>
          <w:b/>
        </w:rPr>
        <w:t xml:space="preserve">练习中的含义　</w:t>
      </w:r>
      <w:r>
        <w:t xml:space="preserve">练习中可以留意两点：反应之后多快回到平稳，是否被反应卷走。这比想象杏仁核在缩小更贴近练习的实际；这两点在研究中也还是有待测量的候选指标。最好事先选定要观察的情境和时间跨度，免得只凭当下的感觉评价训练。</w:t>
      </w:r>
    </w:p>
    <w:bookmarkEnd w:id="1781"/>
    <w:bookmarkStart w:id="1782" w:name="sec-110-2"/>
    <w:p>
      <w:pPr>
        <w:pStyle w:val="Heading3"/>
      </w:pPr>
      <w:r>
        <w:t xml:space="preserve">110.2　前额叶</w:t>
      </w:r>
    </w:p>
    <w:p>
      <w:pPr>
        <w:pStyle w:val="FirstParagraph"/>
      </w:pPr>
      <w:r>
        <w:t xml:space="preserve">冥想研究里最常被引用的前额叶发现有三项。2005 年一项横断面研究比较了 20 名内观冥想者和 15 名对照者，冥想者右侧前岛叶和右侧额中、额上沟一带（约布罗德曼 9/10 区）的皮层更厚；对照组这一区域随年龄变薄，冥想者没有这种趋势</w:t>
      </w:r>
      <w:r>
        <w:rPr>
          <w:vertAlign w:val="superscript"/>
        </w:rPr>
        <w:t xml:space="preserve">[</w:t>
      </w:r>
      <w:hyperlink w:anchor="ref-975">
        <w:r>
          <w:rPr>
            <w:rStyle w:val="Hyperlink"/>
            <w:vertAlign w:val="superscript"/>
          </w:rPr>
          <w:t xml:space="preserve">975</w:t>
        </w:r>
      </w:hyperlink>
      <w:r>
        <w:rPr>
          <w:vertAlign w:val="superscript"/>
        </w:rPr>
        <w:t xml:space="preserve">]</w:t>
      </w:r>
      <w:r>
        <w:t xml:space="preserve">。2007 年一项研究比较了正念课程结束的 20 人与候补的 16 人（两组都只扫描了一次，没有课前基线），让他们以“体验式”（只感受当下感觉）和“叙事式”（想这些感觉对我意味着什么）两种方式关注自己：与叙事式相比，训练组在体验式关注时内侧前额叶活动的降低更明显，外侧前额叶、岛叶和次级体感皮层参与更多</w:t>
      </w:r>
      <w:r>
        <w:rPr>
          <w:vertAlign w:val="superscript"/>
        </w:rPr>
        <w:t xml:space="preserve">[</w:t>
      </w:r>
      <w:hyperlink w:anchor="ref-977">
        <w:r>
          <w:rPr>
            <w:rStyle w:val="Hyperlink"/>
            <w:vertAlign w:val="superscript"/>
          </w:rPr>
          <w:t xml:space="preserve">977</w:t>
        </w:r>
      </w:hyperlink>
      <w:r>
        <w:rPr>
          <w:vertAlign w:val="superscript"/>
        </w:rPr>
        <w:t xml:space="preserve">]</w:t>
      </w:r>
      <w:r>
        <w:t xml:space="preserve">；这是一次扫描之内两种关注方式的对比，研究没有课前扫描，结果显示训练后两组在这一对比上不同。训练是否让活动随时间下降，这个设计回答不了。同年另一项 27 人的研究发现，特质正念较高的人在给情绪命名时前额叶参与更广、杏仁核反应更低</w:t>
      </w:r>
      <w:r>
        <w:rPr>
          <w:vertAlign w:val="superscript"/>
        </w:rPr>
        <w:t xml:space="preserve">[</w:t>
      </w:r>
      <w:hyperlink w:anchor="ref-1000">
        <w:r>
          <w:rPr>
            <w:rStyle w:val="Hyperlink"/>
            <w:vertAlign w:val="superscript"/>
          </w:rPr>
          <w:t xml:space="preserve">1000</w:t>
        </w:r>
      </w:hyperlink>
      <w:r>
        <w:rPr>
          <w:vertAlign w:val="superscript"/>
        </w:rPr>
        <w:t xml:space="preserve">]</w:t>
      </w:r>
      <w:r>
        <w:t xml:space="preserve">。</w:t>
      </w:r>
    </w:p>
    <w:p>
      <w:pPr>
        <w:pStyle w:val="BodyText"/>
      </w:pPr>
      <w:r>
        <w:t xml:space="preserve">在一些疼痛和情绪任务中，长期练习者的结果指向前额叶参与“更少”。一项研究发现，禅修者在接受热痛刺激时前额叶、杏仁核和海马的活动更低，前扣带、丘脑和岛叶的活动更高，执行区与疼痛区之间的解耦能预测更低的疼痛敏感性，作者称之为“不评估”的姿态</w:t>
      </w:r>
      <w:r>
        <w:rPr>
          <w:vertAlign w:val="superscript"/>
        </w:rPr>
        <w:t xml:space="preserve">[</w:t>
      </w:r>
      <w:hyperlink w:anchor="ref-1001">
        <w:r>
          <w:rPr>
            <w:rStyle w:val="Hyperlink"/>
            <w:vertAlign w:val="superscript"/>
          </w:rPr>
          <w:t xml:space="preserve">1001</w:t>
        </w:r>
      </w:hyperlink>
      <w:r>
        <w:rPr>
          <w:vertAlign w:val="superscript"/>
        </w:rPr>
        <w:t xml:space="preserve">]</w:t>
      </w:r>
      <w:r>
        <w:t xml:space="preserve">。一种整合观点据此提出：短期练习者更多依赖前额叶的“自上而下”调控，长期练习者则表现为情绪反应本身更低，前额叶参与反而减少</w:t>
      </w:r>
      <w:r>
        <w:rPr>
          <w:vertAlign w:val="superscript"/>
        </w:rPr>
        <w:t xml:space="preserve">[</w:t>
      </w:r>
      <w:hyperlink w:anchor="ref-1002">
        <w:r>
          <w:rPr>
            <w:rStyle w:val="Hyperlink"/>
            <w:vertAlign w:val="superscript"/>
          </w:rPr>
          <w:t xml:space="preserve">1002</w:t>
        </w:r>
      </w:hyperlink>
      <w:r>
        <w:rPr>
          <w:vertAlign w:val="superscript"/>
        </w:rPr>
        <w:t xml:space="preserve">]</w:t>
      </w:r>
      <w:r>
        <w:t xml:space="preserve">。这一观点主要依据横断面比较，属于有待检验的假设。</w:t>
      </w:r>
    </w:p>
    <w:p>
      <w:pPr>
        <w:pStyle w:val="BodyText"/>
      </w:pPr>
      <w:r>
        <w:t xml:space="preserve">结构方面，八周课程没有带来前额叶皮层厚度的变化</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；18 个月的冥想训练也没有改变老年人前扣带和岛叶的体积</w:t>
      </w:r>
      <w:r>
        <w:rPr>
          <w:vertAlign w:val="superscript"/>
        </w:rPr>
        <w:t xml:space="preserve">[</w:t>
      </w:r>
      <w:hyperlink w:anchor="ref-1003">
        <w:r>
          <w:rPr>
            <w:rStyle w:val="Hyperlink"/>
            <w:vertAlign w:val="superscript"/>
          </w:rPr>
          <w:t xml:space="preserve">1003</w:t>
        </w:r>
      </w:hyperlink>
      <w:r>
        <w:rPr>
          <w:vertAlign w:val="superscript"/>
        </w:rPr>
        <w:t xml:space="preserve">]</w:t>
      </w:r>
      <w:r>
        <w:t xml:space="preserve">。德国“资源计划”（332 人，九个月分为三个模块）在另一种多模块训练和另一批受试者中报告，每个为期三个月的模块之后，皮层厚度在不同部位有局部变化，以当下注意为主的模块主要涉及前额叶</w:t>
      </w:r>
      <w:r>
        <w:rPr>
          <w:vertAlign w:val="superscript"/>
        </w:rPr>
        <w:t xml:space="preserve">[</w:t>
      </w:r>
      <w:hyperlink w:anchor="ref-1004">
        <w:r>
          <w:rPr>
            <w:rStyle w:val="Hyperlink"/>
            <w:vertAlign w:val="superscript"/>
          </w:rPr>
          <w:t xml:space="preserve">1004</w:t>
        </w:r>
      </w:hyperlink>
      <w:r>
        <w:rPr>
          <w:vertAlign w:val="superscript"/>
        </w:rPr>
        <w:t xml:space="preserve">]</w:t>
      </w:r>
      <w:r>
        <w:t xml:space="preserve">。这几项研究的人群、训练内容、对照和指标都不同，不能由此推断八周与三个月之间存在某个剂量阈值。</w:t>
      </w:r>
    </w:p>
    <w:p>
      <w:pPr>
        <w:pStyle w:val="CalloutMyth"/>
      </w:pPr>
      <w:r>
        <w:rPr>
          <w:bCs/>
          <w:b/>
        </w:rPr>
        <w:t xml:space="preserve">误解　</w:t>
      </w:r>
      <w:r>
        <w:t xml:space="preserve">冥想锻炼了前额叶这个“理性的指挥官”，让它压住情绪脑。</w:t>
      </w:r>
    </w:p>
    <w:p>
      <w:pPr>
        <w:pStyle w:val="CalloutMyth"/>
      </w:pPr>
      <w:r>
        <w:rPr>
          <w:bCs/>
          <w:b/>
        </w:rPr>
        <w:t xml:space="preserve">实况　</w:t>
      </w:r>
      <w:r>
        <w:t xml:space="preserve">前额叶内部分工复杂，其中多个区域本身就深度参与情绪与价值计算；重评可能通过改变理解间接起作用。长期练习者在一些疼痛和情绪任务中前额叶参与更少，这可能反映自动化、策略差异或人群差异，原因需要纵向研究来区分。</w:t>
      </w:r>
    </w:p>
    <w:p>
      <w:pPr>
        <w:pStyle w:val="CalloutJudgment"/>
      </w:pPr>
      <w:r>
        <w:rPr>
          <w:bCs/>
          <w:b/>
        </w:rPr>
        <w:t xml:space="preserve">判断　</w:t>
      </w:r>
      <w:r>
        <w:t xml:space="preserve">“冥想加强理性控制”</w:t>
      </w:r>
      <w:r>
        <w:rPr>
          <w:bCs/>
          <w:b/>
        </w:rPr>
        <w:t xml:space="preserve">过度简化·中</w:t>
      </w:r>
      <w:r>
        <w:t xml:space="preserve">；“正念训练降低内侧前额叶的自我参照活动”</w:t>
      </w:r>
      <w:r>
        <w:rPr>
          <w:bCs/>
          <w:b/>
        </w:rPr>
        <w:t xml:space="preserve">部分成立·低</w:t>
      </w:r>
      <w:r>
        <w:t xml:space="preserve">；“八周课程让前额叶增厚”</w:t>
      </w:r>
      <w:r>
        <w:rPr>
          <w:bCs/>
          <w:b/>
        </w:rPr>
        <w:t xml:space="preserve">不成立·中</w:t>
      </w:r>
      <w:r>
        <w:t xml:space="preserve">：严格的随机试验中没有出现；“长期冥想者前额叶部分区域更厚”</w:t>
      </w:r>
      <w:r>
        <w:rPr>
          <w:bCs/>
          <w:b/>
        </w:rPr>
        <w:t xml:space="preserve">部分成立·低</w:t>
      </w:r>
      <w:r>
        <w:t xml:space="preserve">：有横断面报告，结果不一致；这种差异由冥想造成</w:t>
      </w:r>
      <w:r>
        <w:rPr>
          <w:bCs/>
          <w:b/>
        </w:rPr>
        <w:t xml:space="preserve">证据不足·低</w:t>
      </w:r>
      <w:r>
        <w:t xml:space="preserve">；“更长期的系统训练能改变皮层厚度”</w:t>
      </w:r>
      <w:r>
        <w:rPr>
          <w:bCs/>
          <w:b/>
        </w:rPr>
        <w:t xml:space="preserve">证据不足·低</w:t>
      </w:r>
      <w:r>
        <w:t xml:space="preserve">。</w:t>
      </w:r>
    </w:p>
    <w:p>
      <w:pPr>
        <w:pStyle w:val="BodyText"/>
      </w:pPr>
      <w:r>
        <w:t xml:space="preserve">与冥想有关的一条线索是“元觉知”，也就是觉察自己此刻在想什么、注意力在哪里的能力。前额极皮层的结构与元认知判断的准确性相关</w:t>
      </w:r>
      <w:r>
        <w:rPr>
          <w:vertAlign w:val="superscript"/>
        </w:rPr>
        <w:t xml:space="preserve">[</w:t>
      </w:r>
      <w:hyperlink w:anchor="ref-1005">
        <w:r>
          <w:rPr>
            <w:rStyle w:val="Hyperlink"/>
            <w:vertAlign w:val="superscript"/>
          </w:rPr>
          <w:t xml:space="preserve">1005</w:t>
        </w:r>
      </w:hyperlink>
      <w:r>
        <w:rPr>
          <w:vertAlign w:val="superscript"/>
        </w:rPr>
        <w:t xml:space="preserve">]</w:t>
      </w:r>
      <w:r>
        <w:t xml:space="preserve">，这项研究用的是知觉判断任务。日常的元觉知或传统所说的正知，不能直接等同于这种任务测得的元认知准确度；冥想形态学研究的元分析也把前额极列为差异较一致的区域之一</w:t>
      </w:r>
      <w:r>
        <w:rPr>
          <w:vertAlign w:val="superscript"/>
        </w:rPr>
        <w:t xml:space="preserve">[</w:t>
      </w:r>
      <w:hyperlink w:anchor="ref-983">
        <w:r>
          <w:rPr>
            <w:rStyle w:val="Hyperlink"/>
            <w:vertAlign w:val="superscript"/>
          </w:rPr>
          <w:t xml:space="preserve">983</w:t>
        </w:r>
      </w:hyperlink>
      <w:r>
        <w:rPr>
          <w:vertAlign w:val="superscript"/>
        </w:rPr>
        <w:t xml:space="preserve">]</w:t>
      </w:r>
      <w:r>
        <w:t xml:space="preserve">。元认知的准确度还受一阶任务的难度、信心的刻度和反应偏差影响，练习者自称更有觉察，不等于判断校准得更准，研究需要能区分“信心高”“更常察觉”“判断更准”的测量。前额极的结构相关与冥想者的前额极差异来自不同的证据链，不能拼成已经验证的中介机制。这些发现提示冥想可能与元觉知训练有关，但相关研究样本小，因果方向未定。</w:t>
      </w:r>
    </w:p>
    <w:p>
      <w:pPr>
        <w:pStyle w:val="CalloutJudgment"/>
      </w:pPr>
      <w:r>
        <w:rPr>
          <w:bCs/>
          <w:b/>
        </w:rPr>
        <w:t xml:space="preserve">判断　</w:t>
      </w:r>
      <w:r>
        <w:t xml:space="preserve">“冥想通过前额极提升元觉知”</w:t>
      </w:r>
      <w:r>
        <w:rPr>
          <w:bCs/>
          <w:b/>
        </w:rPr>
        <w:t xml:space="preserve">证据不足·低</w:t>
      </w:r>
      <w:r>
        <w:t xml:space="preserve">。</w:t>
      </w:r>
    </w:p>
    <w:bookmarkEnd w:id="1782"/>
    <w:bookmarkStart w:id="1783" w:name="sec-110-3"/>
    <w:p>
      <w:pPr>
        <w:pStyle w:val="Heading3"/>
      </w:pPr>
      <w:r>
        <w:t xml:space="preserve">110.3　前扣带皮层</w:t>
      </w:r>
    </w:p>
    <w:p>
      <w:pPr>
        <w:pStyle w:val="FirstParagraph"/>
      </w:pPr>
      <w:r>
        <w:t xml:space="preserve">冥想研究中的前扣带发现，有一部分来自华人学者唐一源团队的“整体身心调节法”（integrative body–mind training，IBMT）。这种方法据介绍源自东方传统，强调不用力控制念头，在放松的警觉中觉察身体与呼吸</w:t>
      </w:r>
      <w:r>
        <w:rPr>
          <w:vertAlign w:val="superscript"/>
        </w:rPr>
        <w:t xml:space="preserve">[</w:t>
      </w:r>
      <w:hyperlink w:anchor="ref-1006">
        <w:r>
          <w:rPr>
            <w:rStyle w:val="Hyperlink"/>
            <w:vertAlign w:val="superscript"/>
          </w:rPr>
          <w:t xml:space="preserve">1006</w:t>
        </w:r>
      </w:hyperlink>
      <w:r>
        <w:rPr>
          <w:vertAlign w:val="superscript"/>
        </w:rPr>
        <w:t xml:space="preserve">]</w:t>
      </w:r>
      <w:r>
        <w:t xml:space="preserve">；它同时包含身体放松、呼吸调整、心理意象和背景音乐，效果难以单独归于注意练习。2007 年的研究把 80 名中国大学生随机分为两组，每天练习 20 分钟、共 5 天，与放松训练组相比，执行注意的冲突得分改善更多，心算应激后的皮质醇升幅更低</w:t>
      </w:r>
      <w:r>
        <w:rPr>
          <w:vertAlign w:val="superscript"/>
        </w:rPr>
        <w:t xml:space="preserve">[</w:t>
      </w:r>
      <w:hyperlink w:anchor="ref-976">
        <w:r>
          <w:rPr>
            <w:rStyle w:val="Hyperlink"/>
            <w:vertAlign w:val="superscript"/>
          </w:rPr>
          <w:t xml:space="preserve">976</w:t>
        </w:r>
      </w:hyperlink>
      <w:r>
        <w:rPr>
          <w:vertAlign w:val="superscript"/>
        </w:rPr>
        <w:t xml:space="preserve">]</w:t>
      </w:r>
      <w:r>
        <w:t xml:space="preserve">；2009 年的研究报告训练提高了膝下与腹侧前扣带的活动</w:t>
      </w:r>
      <w:r>
        <w:rPr>
          <w:vertAlign w:val="superscript"/>
        </w:rPr>
        <w:t xml:space="preserve">[</w:t>
      </w:r>
      <w:hyperlink w:anchor="ref-1007">
        <w:r>
          <w:rPr>
            <w:rStyle w:val="Hyperlink"/>
            <w:vertAlign w:val="superscript"/>
          </w:rPr>
          <w:t xml:space="preserve">1007</w:t>
        </w:r>
      </w:hyperlink>
      <w:r>
        <w:rPr>
          <w:vertAlign w:val="superscript"/>
        </w:rPr>
        <w:t xml:space="preserve">]</w:t>
      </w:r>
      <w:r>
        <w:t xml:space="preserve">；2010 年的研究报告，四周累计约 11 小时训练后，连接前扣带的放射冠白质各向异性分数升高</w:t>
      </w:r>
      <w:r>
        <w:rPr>
          <w:vertAlign w:val="superscript"/>
        </w:rPr>
        <w:t xml:space="preserve">[</w:t>
      </w:r>
      <w:hyperlink w:anchor="ref-1008">
        <w:r>
          <w:rPr>
            <w:rStyle w:val="Hyperlink"/>
            <w:vertAlign w:val="superscript"/>
          </w:rPr>
          <w:t xml:space="preserve">1008</w:t>
        </w:r>
      </w:hyperlink>
      <w:r>
        <w:rPr>
          <w:vertAlign w:val="superscript"/>
        </w:rPr>
        <w:t xml:space="preserve">]</w:t>
      </w:r>
      <w:r>
        <w:t xml:space="preserve">。这些研究设有放松训练对照，算得上最早的短期冥想随机试验之一；但几乎全部来自同一团队，本书检索范围内没有找到其他团队对这些具体结果的重复。放松对照本身也可能有效。结构上，18 个月的冥想训练没有改变老年人前扣带的体积</w:t>
      </w:r>
      <w:r>
        <w:rPr>
          <w:vertAlign w:val="superscript"/>
        </w:rPr>
        <w:t xml:space="preserve">[</w:t>
      </w:r>
      <w:hyperlink w:anchor="ref-1003">
        <w:r>
          <w:rPr>
            <w:rStyle w:val="Hyperlink"/>
            <w:vertAlign w:val="superscript"/>
          </w:rPr>
          <w:t xml:space="preserve">1003</w:t>
        </w:r>
      </w:hyperlink>
      <w:r>
        <w:rPr>
          <w:vertAlign w:val="superscript"/>
        </w:rPr>
        <w:t xml:space="preserve">]</w:t>
      </w:r>
      <w:r>
        <w:t xml:space="preserve">。</w:t>
      </w:r>
    </w:p>
    <w:p>
      <w:pPr>
        <w:pStyle w:val="BodyText"/>
      </w:pPr>
      <w:r>
        <w:t xml:space="preserve">疼痛研究方面，2011 年一项研究让 15 名健康志愿者接受四天正念训练，与训练后的休息状态相比，冥想时热痛的不愉快感下降 57%、强度下降 40%，这组数字来自特定实验时段之间的对比，临床疼痛的平均改善幅度要看临床试验；强度下降与前扣带、前岛叶激活有关，不愉快感下降与眶额皮层激活有关</w:t>
      </w:r>
      <w:r>
        <w:rPr>
          <w:vertAlign w:val="superscript"/>
        </w:rPr>
        <w:t xml:space="preserve">[</w:t>
      </w:r>
      <w:hyperlink w:anchor="ref-1009">
        <w:r>
          <w:rPr>
            <w:rStyle w:val="Hyperlink"/>
            <w:vertAlign w:val="superscript"/>
          </w:rPr>
          <w:t xml:space="preserve">1009</w:t>
        </w:r>
      </w:hyperlink>
      <w:r>
        <w:rPr>
          <w:vertAlign w:val="superscript"/>
        </w:rPr>
        <w:t xml:space="preserve">]</w:t>
      </w:r>
      <w:r>
        <w:t xml:space="preserve">。这项研究没有单独的对照组。同一团队 2015 年的随机试验加入了安慰剂药膏、“假冥想”和听书对照：正念、安慰剂药膏和假冥想都比休息和听书对照更能减轻疼痛，其中正念的效果又超过安慰剂和假冥想</w:t>
      </w:r>
      <w:r>
        <w:rPr>
          <w:vertAlign w:val="superscript"/>
        </w:rPr>
        <w:t xml:space="preserve">[</w:t>
      </w:r>
      <w:hyperlink w:anchor="ref-968">
        <w:r>
          <w:rPr>
            <w:rStyle w:val="Hyperlink"/>
            <w:vertAlign w:val="superscript"/>
          </w:rPr>
          <w:t xml:space="preserve">968</w:t>
        </w:r>
      </w:hyperlink>
      <w:r>
        <w:rPr>
          <w:vertAlign w:val="superscript"/>
        </w:rPr>
        <w:t xml:space="preserve">]</w:t>
      </w:r>
      <w:r>
        <w:t xml:space="preserve">。2022 年一项设有主动对照的随机试验用机器学习得到的“疼痛神经特征”评估，正念减压组的这一特征比主动对照组下降，效应量约 0.4</w:t>
      </w:r>
      <w:r>
        <w:rPr>
          <w:vertAlign w:val="superscript"/>
        </w:rPr>
        <w:t xml:space="preserve">[</w:t>
      </w:r>
      <w:hyperlink w:anchor="ref-1010">
        <w:r>
          <w:rPr>
            <w:rStyle w:val="Hyperlink"/>
            <w:vertAlign w:val="superscript"/>
          </w:rPr>
          <w:t xml:space="preserve">1010</w:t>
        </w:r>
      </w:hyperlink>
      <w:r>
        <w:rPr>
          <w:vertAlign w:val="superscript"/>
        </w:rPr>
        <w:t xml:space="preserve">]</w:t>
      </w:r>
      <w:r>
        <w:t xml:space="preserve">。这项研究的数据与</w:t>
      </w:r>
      <w:r>
        <w:t xml:space="preserve"> </w:t>
      </w:r>
      <w:hyperlink w:anchor="sec-110-1">
        <w:r>
          <w:rPr>
            <w:rStyle w:val="Hyperlink"/>
          </w:rPr>
          <w:t xml:space="preserve">110.1 节</w:t>
        </w:r>
      </w:hyperlink>
      <w:r>
        <w:t xml:space="preserve">提到的杏仁核反应研究出自同一项更大的研究，也就是</w:t>
      </w:r>
      <w:r>
        <w:t xml:space="preserve"> </w:t>
      </w:r>
      <w:hyperlink w:anchor="sec-116-5">
        <w:r>
          <w:rPr>
            <w:rStyle w:val="Hyperlink"/>
          </w:rPr>
          <w:t xml:space="preserve">116.5 节</w:t>
        </w:r>
      </w:hyperlink>
      <w:r>
        <w:t xml:space="preserve">中结构分析第一批受试者所在的试验，不能算作另一次独立重复。这个效应量反映预先建立的伤害性刺激神经特征的变化。主观疼痛评分要单独分析；这类特征只在实验性的伤害性刺激中验证过，完整的疼痛体验和临床疼痛都需要另外的证据。</w:t>
      </w:r>
    </w:p>
    <w:p>
      <w:pPr>
        <w:pStyle w:val="CalloutJudgment"/>
      </w:pPr>
      <w:r>
        <w:rPr>
          <w:bCs/>
          <w:b/>
        </w:rPr>
        <w:t xml:space="preserve">判断　</w:t>
      </w:r>
      <w:r>
        <w:t xml:space="preserve">“短期冥想训练改变前扣带周围白质”</w:t>
      </w:r>
      <w:r>
        <w:rPr>
          <w:bCs/>
          <w:b/>
        </w:rPr>
        <w:t xml:space="preserve">证据不足·低</w:t>
      </w:r>
      <w:r>
        <w:t xml:space="preserve">：单个团队、样本小，独立重复不足；“冥想能让一般人或临床疼痛稳定减半”</w:t>
      </w:r>
      <w:r>
        <w:rPr>
          <w:bCs/>
          <w:b/>
        </w:rPr>
        <w:t xml:space="preserve">夸大·中</w:t>
      </w:r>
      <w:r>
        <w:t xml:space="preserve">：相近的幅度只在特定实验对比中测到过。</w:t>
      </w:r>
    </w:p>
    <w:bookmarkEnd w:id="1783"/>
    <w:bookmarkStart w:id="1784" w:name="sec-110-4"/>
    <w:p>
      <w:pPr>
        <w:pStyle w:val="Heading3"/>
      </w:pPr>
      <w:r>
        <w:t xml:space="preserve">110.4　岛叶</w:t>
      </w:r>
    </w:p>
    <w:p>
      <w:pPr>
        <w:pStyle w:val="FirstParagraph"/>
      </w:pPr>
      <w:r>
        <w:t xml:space="preserve">冥想研究中，岛叶是被报告最多的区域之一。结构上，2005 年的横断面研究发现冥想者右侧前岛叶更厚</w:t>
      </w:r>
      <w:r>
        <w:rPr>
          <w:vertAlign w:val="superscript"/>
        </w:rPr>
        <w:t xml:space="preserve">[</w:t>
      </w:r>
      <w:hyperlink w:anchor="ref-975">
        <w:r>
          <w:rPr>
            <w:rStyle w:val="Hyperlink"/>
            <w:vertAlign w:val="superscript"/>
          </w:rPr>
          <w:t xml:space="preserve">975</w:t>
        </w:r>
      </w:hyperlink>
      <w:r>
        <w:rPr>
          <w:vertAlign w:val="superscript"/>
        </w:rPr>
        <w:t xml:space="preserve">]</w:t>
      </w:r>
      <w:r>
        <w:t xml:space="preserve">；2021 年一项系统综述纳入 25 项研究，其中 16 项进入坐标元分析（ALE），只有右侧前腹侧岛叶在各研究报告的坐标之间一致</w:t>
      </w:r>
      <w:r>
        <w:rPr>
          <w:vertAlign w:val="superscript"/>
        </w:rPr>
        <w:t xml:space="preserve">[</w:t>
      </w:r>
      <w:hyperlink w:anchor="ref-1011">
        <w:r>
          <w:rPr>
            <w:rStyle w:val="Hyperlink"/>
            <w:vertAlign w:val="superscript"/>
          </w:rPr>
          <w:t xml:space="preserve">1011</w:t>
        </w:r>
      </w:hyperlink>
      <w:r>
        <w:rPr>
          <w:vertAlign w:val="superscript"/>
        </w:rPr>
        <w:t xml:space="preserve">]</w:t>
      </w:r>
      <w:r>
        <w:t xml:space="preserve">，这个聚簇从岛叶短回延伸到深面的屏状核，6 项报告右侧岛叶的研究中只有 3 项落在聚簇里；这种空间上的一致，说明不了平均差异有多大，也说明不了训练效应。同时要知道，不同分析软件对皮层厚度的测量，在岛叶和旁边缘区一致性最低</w:t>
      </w:r>
      <w:r>
        <w:rPr>
          <w:vertAlign w:val="superscript"/>
        </w:rPr>
        <w:t xml:space="preserve">[</w:t>
      </w:r>
      <w:hyperlink w:anchor="ref-591">
        <w:r>
          <w:rPr>
            <w:rStyle w:val="Hyperlink"/>
            <w:vertAlign w:val="superscript"/>
          </w:rPr>
          <w:t xml:space="preserve">591</w:t>
        </w:r>
      </w:hyperlink>
      <w:r>
        <w:rPr>
          <w:vertAlign w:val="superscript"/>
        </w:rPr>
        <w:t xml:space="preserve">]</w:t>
      </w:r>
      <w:r>
        <w:t xml:space="preserve">，2022 年的大样本随机对照和 18 个月的老年人随机试验都没有发现岛叶体积变化</w:t>
      </w:r>
      <w:r>
        <w:rPr>
          <w:vertAlign w:val="superscript"/>
        </w:rPr>
        <w:t xml:space="preserve">[</w:t>
      </w:r>
      <w:hyperlink w:anchor="ref-969">
        <w:r>
          <w:rPr>
            <w:rStyle w:val="Hyperlink"/>
            <w:vertAlign w:val="superscript"/>
          </w:rPr>
          <w:t xml:space="preserve">969</w:t>
        </w:r>
      </w:hyperlink>
      <w:r>
        <w:rPr>
          <w:vertAlign w:val="superscript"/>
        </w:rPr>
        <w:t xml:space="preserve">,</w:t>
      </w:r>
      <w:hyperlink w:anchor="ref-1003">
        <w:r>
          <w:rPr>
            <w:rStyle w:val="Hyperlink"/>
            <w:vertAlign w:val="superscript"/>
          </w:rPr>
          <w:t xml:space="preserve">1003</w:t>
        </w:r>
      </w:hyperlink>
      <w:r>
        <w:rPr>
          <w:vertAlign w:val="superscript"/>
        </w:rPr>
        <w:t xml:space="preserve">]</w:t>
      </w:r>
      <w:r>
        <w:t xml:space="preserve">，一篇报告“随机试验带来岛叶结构变化”的 2023 年元分析因排除了占四成受试者的阴性研究，已于 2025 年撤稿</w:t>
      </w:r>
      <w:r>
        <w:rPr>
          <w:vertAlign w:val="superscript"/>
        </w:rPr>
        <w:t xml:space="preserve">[</w:t>
      </w:r>
      <w:hyperlink w:anchor="ref-1012">
        <w:r>
          <w:rPr>
            <w:rStyle w:val="Hyperlink"/>
            <w:vertAlign w:val="superscript"/>
          </w:rPr>
          <w:t xml:space="preserve">1012</w:t>
        </w:r>
      </w:hyperlink>
      <w:r>
        <w:rPr>
          <w:vertAlign w:val="superscript"/>
        </w:rPr>
        <w:t xml:space="preserve">]</w:t>
      </w:r>
      <w:r>
        <w:t xml:space="preserve">；撤稿针对的是这篇综合分析的可靠性，其中的阳性原始研究需要各自评价。</w:t>
      </w:r>
    </w:p>
    <w:p>
      <w:pPr>
        <w:pStyle w:val="BodyText"/>
      </w:pPr>
      <w:r>
        <w:t xml:space="preserve">功能研究中，岛叶参与的报告反复出现。一项研究比较正念课程结束者与候补者，发现训练组在专注呼吸时前岛叶活动增加、背内侧前额叶参与减少，练习越规律的人后岛叶活动越多</w:t>
      </w:r>
      <w:r>
        <w:rPr>
          <w:vertAlign w:val="superscript"/>
        </w:rPr>
        <w:t xml:space="preserve">[</w:t>
      </w:r>
      <w:hyperlink w:anchor="ref-1013">
        <w:r>
          <w:rPr>
            <w:rStyle w:val="Hyperlink"/>
            <w:vertAlign w:val="superscript"/>
          </w:rPr>
          <w:t xml:space="preserve">1013</w:t>
        </w:r>
      </w:hyperlink>
      <w:r>
        <w:rPr>
          <w:vertAlign w:val="superscript"/>
        </w:rPr>
        <w:t xml:space="preserve">]</w:t>
      </w:r>
      <w:r>
        <w:t xml:space="preserve">；这项研究与</w:t>
      </w:r>
      <w:r>
        <w:t xml:space="preserve"> </w:t>
      </w:r>
      <w:hyperlink w:anchor="sec-110-2">
        <w:r>
          <w:rPr>
            <w:rStyle w:val="Hyperlink"/>
          </w:rPr>
          <w:t xml:space="preserve">110.2 节</w:t>
        </w:r>
      </w:hyperlink>
      <w:r>
        <w:t xml:space="preserve">中 2007 年的研究报告的人数、性别构成和年龄完全相同，很可能出自同一批受试者。对八周课程功能成像研究的系统综述发现，最一致的变化是岛叶活动增加</w:t>
      </w:r>
      <w:r>
        <w:rPr>
          <w:vertAlign w:val="superscript"/>
        </w:rPr>
        <w:t xml:space="preserve">[</w:t>
      </w:r>
      <w:hyperlink w:anchor="ref-1014">
        <w:r>
          <w:rPr>
            <w:rStyle w:val="Hyperlink"/>
            <w:vertAlign w:val="superscript"/>
          </w:rPr>
          <w:t xml:space="preserve">1014</w:t>
        </w:r>
      </w:hyperlink>
      <w:r>
        <w:rPr>
          <w:vertAlign w:val="superscript"/>
        </w:rPr>
        <w:t xml:space="preserve">]</w:t>
      </w:r>
      <w:r>
        <w:t xml:space="preserve">；2026 年一项预注册的元分析在合并的冥想状态对比中也看到岛叶的趋同</w:t>
      </w:r>
      <w:r>
        <w:rPr>
          <w:vertAlign w:val="superscript"/>
        </w:rPr>
        <w:t xml:space="preserve">[</w:t>
      </w:r>
      <w:hyperlink w:anchor="ref-1015">
        <w:r>
          <w:rPr>
            <w:rStyle w:val="Hyperlink"/>
            <w:vertAlign w:val="superscript"/>
          </w:rPr>
          <w:t xml:space="preserve">1015</w:t>
        </w:r>
      </w:hyperlink>
      <w:r>
        <w:rPr>
          <w:vertAlign w:val="superscript"/>
        </w:rPr>
        <w:t xml:space="preserve">]</w:t>
      </w:r>
      <w:r>
        <w:t xml:space="preserve">，合并的结果不保证每一种练习都如此（见</w:t>
      </w:r>
      <w:r>
        <w:t xml:space="preserve"> </w:t>
      </w:r>
      <w:hyperlink w:anchor="sec-111-5">
        <w:r>
          <w:rPr>
            <w:rStyle w:val="Hyperlink"/>
          </w:rPr>
          <w:t xml:space="preserve">111.5</w:t>
        </w:r>
      </w:hyperlink>
      <w:r>
        <w:t xml:space="preserve">）。冥想者是否真的“更准确地感知身体”，见</w:t>
      </w:r>
      <w:r>
        <w:t xml:space="preserve"> </w:t>
      </w:r>
      <w:hyperlink w:anchor="sec-113-3">
        <w:r>
          <w:rPr>
            <w:rStyle w:val="Hyperlink"/>
          </w:rPr>
          <w:t xml:space="preserve">113.3</w:t>
        </w:r>
      </w:hyperlink>
      <w:r>
        <w:t xml:space="preserve">。</w:t>
      </w:r>
    </w:p>
    <w:p>
      <w:pPr>
        <w:pStyle w:val="CalloutJudgment"/>
      </w:pPr>
      <w:r>
        <w:rPr>
          <w:bCs/>
          <w:b/>
        </w:rPr>
        <w:t xml:space="preserve">判断　</w:t>
      </w:r>
      <w:r>
        <w:t xml:space="preserve">“冥想时岛叶参与增加”</w:t>
      </w:r>
      <w:r>
        <w:rPr>
          <w:bCs/>
          <w:b/>
        </w:rPr>
        <w:t xml:space="preserve">部分成立·中</w:t>
      </w:r>
      <w:r>
        <w:t xml:space="preserve">；“冥想让岛叶变大”</w:t>
      </w:r>
      <w:r>
        <w:rPr>
          <w:bCs/>
          <w:b/>
        </w:rPr>
        <w:t xml:space="preserve">证据不足·中</w:t>
      </w:r>
      <w:r>
        <w:t xml:space="preserve">。</w:t>
      </w:r>
    </w:p>
    <w:bookmarkEnd w:id="1784"/>
    <w:bookmarkStart w:id="1785" w:name="sec-110-5"/>
    <w:p>
      <w:pPr>
        <w:pStyle w:val="Heading3"/>
      </w:pPr>
      <w:r>
        <w:t xml:space="preserve">110.5　海马</w:t>
      </w:r>
    </w:p>
    <w:p>
      <w:pPr>
        <w:pStyle w:val="FirstParagraph"/>
      </w:pPr>
      <w:r>
        <w:t xml:space="preserve">冥想研究中的海马发现，主要来自 2011 年的一项研究：16 名参加正念减压的人与 17 名候补者相比，左侧海马灰质浓度增加</w:t>
      </w:r>
      <w:r>
        <w:rPr>
          <w:vertAlign w:val="superscript"/>
        </w:rPr>
        <w:t xml:space="preserve">[</w:t>
      </w:r>
      <w:hyperlink w:anchor="ref-979">
        <w:r>
          <w:rPr>
            <w:rStyle w:val="Hyperlink"/>
            <w:vertAlign w:val="superscript"/>
          </w:rPr>
          <w:t xml:space="preserve">979</w:t>
        </w:r>
      </w:hyperlink>
      <w:r>
        <w:rPr>
          <w:vertAlign w:val="superscript"/>
        </w:rPr>
        <w:t xml:space="preserve">]</w:t>
      </w:r>
      <w:r>
        <w:t xml:space="preserve">。这项研究没有随机分组；论文没有报告效应量，居家练习时长与灰质变化也不相关。横断面研究报告长期冥想者海马较大</w:t>
      </w:r>
      <w:r>
        <w:rPr>
          <w:vertAlign w:val="superscript"/>
        </w:rPr>
        <w:t xml:space="preserve">[</w:t>
      </w:r>
      <w:hyperlink w:anchor="ref-1016">
        <w:r>
          <w:rPr>
            <w:rStyle w:val="Hyperlink"/>
            <w:vertAlign w:val="superscript"/>
          </w:rPr>
          <w:t xml:space="preserve">1016</w:t>
        </w:r>
      </w:hyperlink>
      <w:r>
        <w:rPr>
          <w:vertAlign w:val="superscript"/>
        </w:rPr>
        <w:t xml:space="preserve">,</w:t>
      </w:r>
      <w:hyperlink w:anchor="ref-1017">
        <w:r>
          <w:rPr>
            <w:rStyle w:val="Hyperlink"/>
            <w:vertAlign w:val="superscript"/>
          </w:rPr>
          <w:t xml:space="preserve">1017</w:t>
        </w:r>
      </w:hyperlink>
      <w:r>
        <w:rPr>
          <w:vertAlign w:val="superscript"/>
        </w:rPr>
        <w:t xml:space="preserve">]</w:t>
      </w:r>
      <w:r>
        <w:t xml:space="preserve">，前面提到的鹿特丹人群研究中，练习者的左侧海马反而略小</w:t>
      </w:r>
      <w:r>
        <w:rPr>
          <w:vertAlign w:val="superscript"/>
        </w:rPr>
        <w:t xml:space="preserve">[</w:t>
      </w:r>
      <w:hyperlink w:anchor="ref-992">
        <w:r>
          <w:rPr>
            <w:rStyle w:val="Hyperlink"/>
            <w:vertAlign w:val="superscript"/>
          </w:rPr>
          <w:t xml:space="preserve">992</w:t>
        </w:r>
      </w:hyperlink>
      <w:r>
        <w:rPr>
          <w:vertAlign w:val="superscript"/>
        </w:rPr>
        <w:t xml:space="preserve">]</w:t>
      </w:r>
      <w:r>
        <w:t xml:space="preserve">。2022 年的大样本随机对照没有发现正念减压改变海马体积</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；未经多重比较校正时，右侧海马相对健康促进组有一项 p 约 0.04 的差异，校正后约为 0.48。另一项 585 名老年人参加的 18 个月随机试验中，正念减压在 6 个月时没有改变海马体积，18 个月时接受正念减压者的海马反而多缩小了约 20 立方毫米，方向与研究假设相反；这是探索性的次要结局。单凭它，说明不了正念有害（见</w:t>
      </w:r>
      <w:r>
        <w:t xml:space="preserve"> </w:t>
      </w:r>
      <w:hyperlink w:anchor="sec-116-5">
        <w:r>
          <w:rPr>
            <w:rStyle w:val="Hyperlink"/>
          </w:rPr>
          <w:t xml:space="preserve">116.5</w:t>
        </w:r>
      </w:hyperlink>
      <w:r>
        <w:t xml:space="preserve">）</w:t>
      </w:r>
      <w:r>
        <w:rPr>
          <w:vertAlign w:val="superscript"/>
        </w:rPr>
        <w:t xml:space="preserve">[</w:t>
      </w:r>
      <w:hyperlink w:anchor="ref-1018">
        <w:r>
          <w:rPr>
            <w:rStyle w:val="Hyperlink"/>
            <w:vertAlign w:val="superscript"/>
          </w:rPr>
          <w:t xml:space="preserve">1018</w:t>
        </w:r>
      </w:hyperlink>
      <w:r>
        <w:rPr>
          <w:vertAlign w:val="superscript"/>
        </w:rPr>
        <w:t xml:space="preserve">]</w:t>
      </w:r>
      <w:r>
        <w:t xml:space="preserve">。“冥想促进海马神经新生”的说法见</w:t>
      </w:r>
      <w:r>
        <w:t xml:space="preserve"> </w:t>
      </w:r>
      <w:hyperlink w:anchor="sec-112-9">
        <w:r>
          <w:rPr>
            <w:rStyle w:val="Hyperlink"/>
          </w:rPr>
          <w:t xml:space="preserve">112.9</w:t>
        </w:r>
      </w:hyperlink>
      <w:r>
        <w:t xml:space="preserve">。</w:t>
      </w:r>
    </w:p>
    <w:p>
      <w:pPr>
        <w:pStyle w:val="BodyText"/>
      </w:pPr>
      <w:r>
        <w:t xml:space="preserve">特定人群和其他训练形式中还有一些阳性结果。2024 年，一项针对有童年逆境经历的年轻成人（21 到 35 岁）的八周随机试验，把创伤敏感版的正念减压与课时和居家练习量相当的压力管理教育比较：64 人随机入组，约四成没有完成，最终进入影像分析的是正念组 20 人、对照组 19 人，只分析了完成者。事先提出的两个海马指标中，右侧全海马和右侧下托的体积变化有组间差异（p 分别为 0.027 和 0.041，报告的效应量 d 分别为 0.55 和 0.70），其他亚区的探索性比较都不显著；一项记忆分辨任务的成绩出现组别与时间的交互，自评压力和正念两组都有改善，没有组间差异</w:t>
      </w:r>
      <w:r>
        <w:rPr>
          <w:vertAlign w:val="superscript"/>
        </w:rPr>
        <w:t xml:space="preserve">[</w:t>
      </w:r>
      <w:hyperlink w:anchor="ref-1019">
        <w:r>
          <w:rPr>
            <w:rStyle w:val="Hyperlink"/>
            <w:vertAlign w:val="superscript"/>
          </w:rPr>
          <w:t xml:space="preserve">1019</w:t>
        </w:r>
      </w:hyperlink>
      <w:r>
        <w:rPr>
          <w:vertAlign w:val="superscript"/>
        </w:rPr>
        <w:t xml:space="preserve">]</w:t>
      </w:r>
      <w:r>
        <w:t xml:space="preserve">。样本小、脱落多、结果依赖完成者，论文也没有给出试验登记；它与</w:t>
      </w:r>
      <w:r>
        <w:t xml:space="preserve"> </w:t>
      </w:r>
      <w:hyperlink w:anchor="sec-110-1">
        <w:r>
          <w:rPr>
            <w:rStyle w:val="Hyperlink"/>
          </w:rPr>
          <w:t xml:space="preserve">110.1 节</w:t>
        </w:r>
      </w:hyperlink>
      <w:r>
        <w:t xml:space="preserve">的杏仁核论文出自同一队列，两篇不能算作两次独立的试验。德国“资源计划”2024 年发表的海马亚区分析发现，以慈悲和社会情感为主的模块之后，右侧 CA1-3 亚区相对认知模块增大（效应量约 0.35，经多重比较校正后显著），左侧的同一比较和相对不训练的重测组的比较都没有通过校正；这一增大与日间皮质醇总量的下降相关，校正后处在显著的边缘</w:t>
      </w:r>
      <w:r>
        <w:rPr>
          <w:vertAlign w:val="superscript"/>
        </w:rPr>
        <w:t xml:space="preserve">[</w:t>
      </w:r>
      <w:hyperlink w:anchor="ref-1020">
        <w:r>
          <w:rPr>
            <w:rStyle w:val="Hyperlink"/>
            <w:vertAlign w:val="superscript"/>
          </w:rPr>
          <w:t xml:space="preserve">1020</w:t>
        </w:r>
      </w:hyperlink>
      <w:r>
        <w:rPr>
          <w:vertAlign w:val="superscript"/>
        </w:rPr>
        <w:t xml:space="preserve">]</w:t>
      </w:r>
      <w:r>
        <w:t xml:space="preserve">。这是同一个队列的新分析，增加了结局和假设。独立的训练样本并没有增加，训练的模块也与标准的正念减压不同。结构与皮质醇的相关，也确定不了哪一个先变。</w:t>
      </w:r>
    </w:p>
    <w:p>
      <w:pPr>
        <w:pStyle w:val="CalloutJudgment"/>
      </w:pPr>
      <w:r>
        <w:rPr>
          <w:bCs/>
          <w:b/>
        </w:rPr>
        <w:t xml:space="preserve">判断　</w:t>
      </w:r>
      <w:r>
        <w:t xml:space="preserve">“八周课程让健康成人的海马明显变大”</w:t>
      </w:r>
      <w:r>
        <w:rPr>
          <w:bCs/>
          <w:b/>
        </w:rPr>
        <w:t xml:space="preserve">已被推翻·中</w:t>
      </w:r>
      <w:r>
        <w:t xml:space="preserve">：大样本随机对照的估计排除了早期报告的那种幅度；“特定人群或特定亚区中的海马变化”</w:t>
      </w:r>
      <w:r>
        <w:rPr>
          <w:bCs/>
          <w:b/>
        </w:rPr>
        <w:t xml:space="preserve">证据不足·低</w:t>
      </w:r>
      <w:r>
        <w:t xml:space="preserve">：有待重复的阳性结果与阴性结果并存；“长期冥想者海马更大”</w:t>
      </w:r>
      <w:r>
        <w:rPr>
          <w:bCs/>
          <w:b/>
        </w:rPr>
        <w:t xml:space="preserve">证据不足·低</w:t>
      </w:r>
      <w:r>
        <w:t xml:space="preserve">。“海马体积变大说明长出了新的神经元”这一推理为什么错误，见</w:t>
      </w:r>
      <w:hyperlink w:anchor="ch-91">
        <w:r>
          <w:rPr>
            <w:rStyle w:val="Hyperlink"/>
          </w:rPr>
          <w:t xml:space="preserve">第91章</w:t>
        </w:r>
      </w:hyperlink>
      <w:r>
        <w:t xml:space="preserve">。</w:t>
      </w:r>
    </w:p>
    <w:bookmarkEnd w:id="1785"/>
    <w:bookmarkStart w:id="1786" w:name="sec-110-6"/>
    <w:p>
      <w:pPr>
        <w:pStyle w:val="Heading3"/>
      </w:pPr>
      <w:r>
        <w:t xml:space="preserve">110.6　后扣带回与楔前叶</w:t>
      </w:r>
    </w:p>
    <w:p>
      <w:pPr>
        <w:pStyle w:val="FirstParagraph"/>
      </w:pPr>
      <w:r>
        <w:t xml:space="preserve">2011 年一项研究比较了 12 名练习十年以上（平均一万多小时）的冥想者和 12 名新手：在专注、慈心和无拣择觉知三种练习中，冥想者后扣带回和楔前叶的活动都相对更低；内侧前额叶方向相同，未通过全脑校正；冥想者的后扣带回与背侧前扣带在休息和冥想时耦合都更强，他们也报告更少走神</w:t>
      </w:r>
      <w:r>
        <w:rPr>
          <w:vertAlign w:val="superscript"/>
        </w:rPr>
        <w:t xml:space="preserve">[</w:t>
      </w:r>
      <w:hyperlink w:anchor="ref-980">
        <w:r>
          <w:rPr>
            <w:rStyle w:val="Hyperlink"/>
            <w:vertAlign w:val="superscript"/>
          </w:rPr>
          <w:t xml:space="preserve">980</w:t>
        </w:r>
      </w:hyperlink>
      <w:r>
        <w:rPr>
          <w:vertAlign w:val="superscript"/>
        </w:rPr>
        <w:t xml:space="preserve">]</w:t>
      </w:r>
      <w:r>
        <w:t xml:space="preserve">。同一团队的实时神经反馈研究中，冥想者按指令压低后扣带回的信号时出现了显著的去激活，新手没有</w:t>
      </w:r>
      <w:r>
        <w:rPr>
          <w:vertAlign w:val="superscript"/>
        </w:rPr>
        <w:t xml:space="preserve">[</w:t>
      </w:r>
      <w:hyperlink w:anchor="ref-1021">
        <w:r>
          <w:rPr>
            <w:rStyle w:val="Hyperlink"/>
            <w:vertAlign w:val="superscript"/>
          </w:rPr>
          <w:t xml:space="preserve">1021</w:t>
        </w:r>
      </w:hyperlink>
      <w:r>
        <w:rPr>
          <w:vertAlign w:val="superscript"/>
        </w:rPr>
        <w:t xml:space="preserve">]</w:t>
      </w:r>
      <w:r>
        <w:t xml:space="preserve">；另一项 10 人的研究把练习者的第一人称报告与反馈曲线对照，发现“不分心的觉察”“不费力”对应后扣带回活动下降，“分心”和“用力控制”对应上升</w:t>
      </w:r>
      <w:r>
        <w:rPr>
          <w:vertAlign w:val="superscript"/>
        </w:rPr>
        <w:t xml:space="preserve">[</w:t>
      </w:r>
      <w:hyperlink w:anchor="ref-1022">
        <w:r>
          <w:rPr>
            <w:rStyle w:val="Hyperlink"/>
            <w:vertAlign w:val="superscript"/>
          </w:rPr>
          <w:t xml:space="preserve">1022</w:t>
        </w:r>
      </w:hyperlink>
      <w:r>
        <w:rPr>
          <w:vertAlign w:val="superscript"/>
        </w:rPr>
        <w:t xml:space="preserve">]</w:t>
      </w:r>
      <w:r>
        <w:t xml:space="preserve">。这些研究把后扣带回活动与“被经验卷入”的程度联系起来，线索有意思；样本都很小，后一项研究的作者本人也提醒，反馈曲线可能塑造了报告；</w:t>
      </w:r>
      <w:hyperlink w:anchor="sec-111-1">
        <w:r>
          <w:rPr>
            <w:rStyle w:val="Hyperlink"/>
          </w:rPr>
          <w:t xml:space="preserve">111.1 节</w:t>
        </w:r>
      </w:hyperlink>
      <w:r>
        <w:t xml:space="preserve">还会提到一项设有假反馈对照的 7 特斯拉研究，真假反馈组的后扣带回去激活没有检出差异。</w:t>
      </w:r>
    </w:p>
    <w:p>
      <w:pPr>
        <w:pStyle w:val="BodyText"/>
      </w:pPr>
      <w:r>
        <w:t xml:space="preserve">训练研究的结果更温和。一项随机试验把 140 名没有冥想经验的成人分为正念减压、主动对照和候补三组，课前课后都有合格静息扫描的 95 人进入分析：在按解剖定义的额中回区域中，正念减压组后扣带回与右侧背外侧前额叶的静息连接比两个对照组增强更多（相对主动对照，多重比较校正后 p 约 0.05），按另一组事先依据文献坐标设定的区域，没有检出组间差异，全脑逐点分析中这一连接也没有通过严格校正；约五个半月后的随访（85 人）中，没有检出同样显著的组间差异；这不等于已经证明连接回到了原样，要判断效应衰减，需要直接检验从课程结束到随访之间的变化。正念减压组里练习天数越多的人连接增加越多，这一关联比主动对照组更强。这是观察性的剂量关联：练习天数不是随机分配的，可能与动机、健康状况和依从性有关。它不能转换成每天该练多少的建议</w:t>
      </w:r>
      <w:r>
        <w:rPr>
          <w:vertAlign w:val="superscript"/>
        </w:rPr>
        <w:t xml:space="preserve">[</w:t>
      </w:r>
      <w:hyperlink w:anchor="ref-1023">
        <w:r>
          <w:rPr>
            <w:rStyle w:val="Hyperlink"/>
            <w:vertAlign w:val="superscript"/>
          </w:rPr>
          <w:t xml:space="preserve">1023</w:t>
        </w:r>
      </w:hyperlink>
      <w:r>
        <w:rPr>
          <w:vertAlign w:val="superscript"/>
        </w:rPr>
        <w:t xml:space="preserve">]</w:t>
      </w:r>
      <w:r>
        <w:t xml:space="preserve">。这批受试者也是</w:t>
      </w:r>
      <w:r>
        <w:t xml:space="preserve"> </w:t>
      </w:r>
      <w:hyperlink w:anchor="sec-116-5">
        <w:r>
          <w:rPr>
            <w:rStyle w:val="Hyperlink"/>
          </w:rPr>
          <w:t xml:space="preserve">116.5</w:t>
        </w:r>
      </w:hyperlink>
      <w:r>
        <w:t xml:space="preserve">中 2022 年结构分析的第二批样本。结构上，2011 年研究报告的后扣带回灰质增加，有一部分来自对照组的下降</w:t>
      </w:r>
      <w:r>
        <w:rPr>
          <w:vertAlign w:val="superscript"/>
        </w:rPr>
        <w:t xml:space="preserve">[</w:t>
      </w:r>
      <w:hyperlink w:anchor="ref-979">
        <w:r>
          <w:rPr>
            <w:rStyle w:val="Hyperlink"/>
            <w:vertAlign w:val="superscript"/>
          </w:rPr>
          <w:t xml:space="preserve">979</w:t>
        </w:r>
      </w:hyperlink>
      <w:r>
        <w:rPr>
          <w:vertAlign w:val="superscript"/>
        </w:rPr>
        <w:t xml:space="preserve">]</w:t>
      </w:r>
      <w:r>
        <w:t xml:space="preserve">，大样本随机对照没有重复</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w:t>
      </w:r>
    </w:p>
    <w:p>
      <w:pPr>
        <w:pStyle w:val="CalloutJudgment"/>
      </w:pPr>
      <w:r>
        <w:rPr>
          <w:bCs/>
          <w:b/>
        </w:rPr>
        <w:t xml:space="preserve">判断　</w:t>
      </w:r>
      <w:r>
        <w:t xml:space="preserve">“冥想时后扣带回活动降低”</w:t>
      </w:r>
      <w:r>
        <w:rPr>
          <w:bCs/>
          <w:b/>
        </w:rPr>
        <w:t xml:space="preserve">部分成立·中</w:t>
      </w:r>
      <w:r>
        <w:t xml:space="preserve">：见于特定练习和对照条件；“八周课程让后扣带回明显变大”</w:t>
      </w:r>
      <w:r>
        <w:rPr>
          <w:bCs/>
          <w:b/>
        </w:rPr>
        <w:t xml:space="preserve">不成立·中</w:t>
      </w:r>
      <w:r>
        <w:t xml:space="preserve">：早期非随机研究中的增加部分来自对照组下降，大样本随机对照在同一区域没有检出组间差异；“冥想关闭自我区”</w:t>
      </w:r>
      <w:r>
        <w:rPr>
          <w:bCs/>
          <w:b/>
        </w:rPr>
        <w:t xml:space="preserve">错误·高</w:t>
      </w:r>
      <w:r>
        <w:t xml:space="preserve">。</w:t>
      </w:r>
    </w:p>
    <w:bookmarkEnd w:id="1786"/>
    <w:bookmarkStart w:id="1787" w:name="sec-110-7"/>
    <w:p>
      <w:pPr>
        <w:pStyle w:val="Heading3"/>
      </w:pPr>
      <w:r>
        <w:t xml:space="preserve">110.7　颞顶联合区</w:t>
      </w:r>
    </w:p>
    <w:p>
      <w:pPr>
        <w:pStyle w:val="FirstParagraph"/>
      </w:pPr>
      <w:r>
        <w:t xml:space="preserve">2011 年的正念减压研究报告左侧颞顶联合区灰质浓度增加</w:t>
      </w:r>
      <w:r>
        <w:rPr>
          <w:vertAlign w:val="superscript"/>
        </w:rPr>
        <w:t xml:space="preserve">[</w:t>
      </w:r>
      <w:hyperlink w:anchor="ref-979">
        <w:r>
          <w:rPr>
            <w:rStyle w:val="Hyperlink"/>
            <w:vertAlign w:val="superscript"/>
          </w:rPr>
          <w:t xml:space="preserve">979</w:t>
        </w:r>
      </w:hyperlink>
      <w:r>
        <w:rPr>
          <w:vertAlign w:val="superscript"/>
        </w:rPr>
        <w:t xml:space="preserve">]</w:t>
      </w:r>
      <w:r>
        <w:t xml:space="preserve">，大样本随机对照用同样的区域检验，没有重复</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冥想增强这一区域、让人更有同理心”需要三步证据：训练改变这一区域，这一改变提高某种具体的社会能力，这种能力迁移到真实行为。这条链目前没有完整建立：“资源计划”报告过训练相关的皮层厚度变化与社会认知任务成绩变化之间的关联</w:t>
      </w:r>
      <w:r>
        <w:rPr>
          <w:vertAlign w:val="superscript"/>
        </w:rPr>
        <w:t xml:space="preserve">[</w:t>
      </w:r>
      <w:hyperlink w:anchor="ref-1004">
        <w:r>
          <w:rPr>
            <w:rStyle w:val="Hyperlink"/>
            <w:vertAlign w:val="superscript"/>
          </w:rPr>
          <w:t xml:space="preserve">1004</w:t>
        </w:r>
      </w:hyperlink>
      <w:r>
        <w:rPr>
          <w:vertAlign w:val="superscript"/>
        </w:rPr>
        <w:t xml:space="preserve">]</w:t>
      </w:r>
      <w:r>
        <w:t xml:space="preserve">，时间先后、独立重复和向真实行为的迁移都还缺少检验。</w:t>
      </w:r>
    </w:p>
    <w:p>
      <w:pPr>
        <w:pStyle w:val="CalloutJudgment"/>
      </w:pPr>
      <w:r>
        <w:rPr>
          <w:bCs/>
          <w:b/>
        </w:rPr>
        <w:t xml:space="preserve">判断　</w:t>
      </w:r>
      <w:r>
        <w:t xml:space="preserve">“冥想增强颞顶联合区、让人更有同理心”</w:t>
      </w:r>
      <w:r>
        <w:rPr>
          <w:bCs/>
          <w:b/>
        </w:rPr>
        <w:t xml:space="preserve">证据不足·中</w:t>
      </w:r>
      <w:r>
        <w:t xml:space="preserve">。</w:t>
      </w:r>
    </w:p>
    <w:bookmarkEnd w:id="1787"/>
    <w:bookmarkStart w:id="1788" w:name="sec-110-8"/>
    <w:p>
      <w:pPr>
        <w:pStyle w:val="Heading3"/>
      </w:pPr>
      <w:r>
        <w:t xml:space="preserve">110.8　纹状体与奖赏系统</w:t>
      </w:r>
    </w:p>
    <w:p>
      <w:pPr>
        <w:pStyle w:val="FirstParagraph"/>
      </w:pPr>
      <w:r>
        <w:t xml:space="preserve">冥想研究直接测量这一系统的工作很少。最常被引用的是 2002 年的一项正电子发射断层扫描研究，</w:t>
      </w:r>
      <w:hyperlink w:anchor="sec-112-1">
        <w:r>
          <w:rPr>
            <w:rStyle w:val="Hyperlink"/>
          </w:rPr>
          <w:t xml:space="preserve">第 112.1 节</w:t>
        </w:r>
      </w:hyperlink>
      <w:r>
        <w:t xml:space="preserve">专门讨论。结构研究的结果彼此不一致：一项 13 名禅修者对 13 名对照的横断面研究中，对照组的灰质体积随年龄下降，禅修者没有检出显著的年龄相关，这一差别在壳核最明显</w:t>
      </w:r>
      <w:r>
        <w:rPr>
          <w:vertAlign w:val="superscript"/>
        </w:rPr>
        <w:t xml:space="preserve">[</w:t>
      </w:r>
      <w:hyperlink w:anchor="ref-1024">
        <w:r>
          <w:rPr>
            <w:rStyle w:val="Hyperlink"/>
            <w:vertAlign w:val="superscript"/>
          </w:rPr>
          <w:t xml:space="preserve">1024</w:t>
        </w:r>
      </w:hyperlink>
      <w:r>
        <w:rPr>
          <w:vertAlign w:val="superscript"/>
        </w:rPr>
        <w:t xml:space="preserve">]</w:t>
      </w:r>
      <w:r>
        <w:t xml:space="preserve">，“没有检出显著相关”与“没有萎缩”不同，横断面的年龄斜率也说明不了衰老被减缓；特质正念较高的人左侧尾状核略小</w:t>
      </w:r>
      <w:r>
        <w:rPr>
          <w:vertAlign w:val="superscript"/>
        </w:rPr>
        <w:t xml:space="preserve">[</w:t>
      </w:r>
      <w:hyperlink w:anchor="ref-991">
        <w:r>
          <w:rPr>
            <w:rStyle w:val="Hyperlink"/>
            <w:vertAlign w:val="superscript"/>
          </w:rPr>
          <w:t xml:space="preserve">991</w:t>
        </w:r>
      </w:hyperlink>
      <w:r>
        <w:rPr>
          <w:vertAlign w:val="superscript"/>
        </w:rPr>
        <w:t xml:space="preserve">]</w:t>
      </w:r>
      <w:r>
        <w:t xml:space="preserve">；正念课程结束者的左侧尾状核较大</w:t>
      </w:r>
      <w:r>
        <w:rPr>
          <w:vertAlign w:val="superscript"/>
        </w:rPr>
        <w:t xml:space="preserve">[</w:t>
      </w:r>
      <w:hyperlink w:anchor="ref-1013">
        <w:r>
          <w:rPr>
            <w:rStyle w:val="Hyperlink"/>
            <w:vertAlign w:val="superscript"/>
          </w:rPr>
          <w:t xml:space="preserve">1013</w:t>
        </w:r>
      </w:hyperlink>
      <w:r>
        <w:rPr>
          <w:vertAlign w:val="superscript"/>
        </w:rPr>
        <w:t xml:space="preserve">]</w:t>
      </w:r>
      <w:r>
        <w:t xml:space="preserve">；大样本随机对照未见变化</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。多年禅修、特质正念得分和完成课程是三种不同的“暴露”，这些结果只能当作互不一致的线索，彼此不能简单抵消。功能研究中，34 名冥想者和 44 名匹配对照做同一个金钱奖赏任务，两组成绩相同；冥想者在等待可能到来的奖赏时尾状核激活较低、双侧后岛叶激活较高，拿到奖赏时腹内侧前额叶激活较低，作者解读为对金钱诱因不那么敏感</w:t>
      </w:r>
      <w:r>
        <w:rPr>
          <w:vertAlign w:val="superscript"/>
        </w:rPr>
        <w:t xml:space="preserve">[</w:t>
      </w:r>
      <w:hyperlink w:anchor="ref-1025">
        <w:r>
          <w:rPr>
            <w:rStyle w:val="Hyperlink"/>
            <w:vertAlign w:val="superscript"/>
          </w:rPr>
          <w:t xml:space="preserve">1025</w:t>
        </w:r>
      </w:hyperlink>
      <w:r>
        <w:rPr>
          <w:vertAlign w:val="superscript"/>
        </w:rPr>
        <w:t xml:space="preserve">]</w:t>
      </w:r>
      <w:r>
        <w:t xml:space="preserve">。这是横断面比较，价值信号偏弱可以有多种解释。把它当作“少欲”或戒除成瘾的生物标记，证据不够。个案研究中，一位练习者在禅那中报告喜乐时伏隔核激活</w:t>
      </w:r>
      <w:r>
        <w:rPr>
          <w:vertAlign w:val="superscript"/>
        </w:rPr>
        <w:t xml:space="preserve">[</w:t>
      </w:r>
      <w:hyperlink w:anchor="ref-1026">
        <w:r>
          <w:rPr>
            <w:rStyle w:val="Hyperlink"/>
            <w:vertAlign w:val="superscript"/>
          </w:rPr>
          <w:t xml:space="preserve">1026</w:t>
        </w:r>
      </w:hyperlink>
      <w:r>
        <w:rPr>
          <w:vertAlign w:val="superscript"/>
        </w:rPr>
        <w:t xml:space="preserve">]</w:t>
      </w:r>
      <w:r>
        <w:t xml:space="preserve">。</w:t>
      </w:r>
    </w:p>
    <w:p>
      <w:pPr>
        <w:pStyle w:val="BodyText"/>
      </w:pPr>
      <w:r>
        <w:t xml:space="preserve">布鲁尔（Judson Brewer）提出了一个有影响的理论框架：渴求和成瘾行为遵循奖赏学习的规律，正念通过让人清楚看见行为的实际后果（例如吸烟时真实的味道和感觉）来削弱奖赏价值</w:t>
      </w:r>
      <w:r>
        <w:rPr>
          <w:vertAlign w:val="superscript"/>
        </w:rPr>
        <w:t xml:space="preserve">[</w:t>
      </w:r>
      <w:hyperlink w:anchor="ref-1027">
        <w:r>
          <w:rPr>
            <w:rStyle w:val="Hyperlink"/>
            <w:vertAlign w:val="superscript"/>
          </w:rPr>
          <w:t xml:space="preserve">1027</w:t>
        </w:r>
      </w:hyperlink>
      <w:r>
        <w:rPr>
          <w:vertAlign w:val="superscript"/>
        </w:rPr>
        <w:t xml:space="preserve">]</w:t>
      </w:r>
      <w:r>
        <w:t xml:space="preserve">。这一框架有行为研究支持，它所依赖的纹状体机制主要是推论。它最著名的临床证据（正念戒烟）在后续研究中没有建立相同的稳定长期优势（见</w:t>
      </w:r>
      <w:r>
        <w:t xml:space="preserve"> </w:t>
      </w:r>
      <w:hyperlink w:anchor="sec-117-3">
        <w:r>
          <w:rPr>
            <w:rStyle w:val="Hyperlink"/>
          </w:rPr>
          <w:t xml:space="preserve">117.3</w:t>
        </w:r>
      </w:hyperlink>
      <w:r>
        <w:t xml:space="preserve">），这削弱了这项临床应用；行为模型和神经机制还需要各自的直接检验，例如练习是否先改变对吸烟的即时奖赏估计，随后才降低渴求和实际吸烟量。</w:t>
      </w:r>
    </w:p>
    <w:p>
      <w:pPr>
        <w:pStyle w:val="CalloutJudgment"/>
      </w:pPr>
      <w:r>
        <w:rPr>
          <w:bCs/>
          <w:b/>
        </w:rPr>
        <w:t xml:space="preserve">判断　</w:t>
      </w:r>
      <w:r>
        <w:t xml:space="preserve">“冥想重置大脑奖赏系统”</w:t>
      </w:r>
      <w:r>
        <w:rPr>
          <w:bCs/>
          <w:b/>
        </w:rPr>
        <w:t xml:space="preserve">证据不足·中</w:t>
      </w:r>
      <w:r>
        <w:t xml:space="preserve">：“重置”本身没有操作定义。</w:t>
      </w:r>
    </w:p>
    <w:bookmarkEnd w:id="1788"/>
    <w:bookmarkStart w:id="1789" w:name="sec-110-9"/>
    <w:p>
      <w:pPr>
        <w:pStyle w:val="Heading3"/>
      </w:pPr>
      <w:r>
        <w:t xml:space="preserve">110.9　丘脑与下丘脑</w:t>
      </w:r>
    </w:p>
    <w:p>
      <w:pPr>
        <w:pStyle w:val="FirstParagraph"/>
      </w:pPr>
      <w:r>
        <w:t xml:space="preserve">早年的单光子发射断层扫描研究测量了 8 位藏传佛教冥想者在基线和冥想约一小时后的脑血流；冥想前后的变化没有对照组或对照条件。研究报告了丘脑、扣带和多处额叶血流增加，左侧背外侧前额叶的变化与左侧顶上小叶的变化呈负相关，后来被解读为“自我边界消融”的神经基础</w:t>
      </w:r>
      <w:r>
        <w:rPr>
          <w:vertAlign w:val="superscript"/>
        </w:rPr>
        <w:t xml:space="preserve">[</w:t>
      </w:r>
      <w:hyperlink w:anchor="ref-1028">
        <w:r>
          <w:rPr>
            <w:rStyle w:val="Hyperlink"/>
            <w:vertAlign w:val="superscript"/>
          </w:rPr>
          <w:t xml:space="preserve">1028</w:t>
        </w:r>
      </w:hyperlink>
      <w:r>
        <w:rPr>
          <w:vertAlign w:val="superscript"/>
        </w:rPr>
        <w:t xml:space="preserve">]</w:t>
      </w:r>
      <w:r>
        <w:t xml:space="preserve">。示踪剂在练习过程中注射，图像反映的是注射后那段时间的血流，扫描本身在练习之后进行；没有调换顺序，也没有控制呼吸和二氧化碳；跨人的负相关也不能说明一个区域抑制了另一个。这类研究样本极小，影像分辨率有限，相关解读带有很强的推测成分；此后没有找到用相同范式对这一具体关系的直接重复。</w:t>
      </w:r>
    </w:p>
    <w:p>
      <w:pPr>
        <w:pStyle w:val="BodyText"/>
      </w:pPr>
      <w:r>
        <w:t xml:space="preserve">专门针对下丘脑的冥想研究极少。2000 年一项 5 人的功能磁共振研究在正文中写道，至少 3 名受试者的隔区、尾状核、杏仁核和下丘脑出现了激活，但这些位置太靠近磁敏感伪迹，以当时的扫描参数无法准确定位和定量，因此没有列入结果表；研究用的是 16 层、每层 7 毫米的厚切片，只有 2 人做了生理监测</w:t>
      </w:r>
      <w:r>
        <w:rPr>
          <w:vertAlign w:val="superscript"/>
        </w:rPr>
        <w:t xml:space="preserve">[</w:t>
      </w:r>
      <w:hyperlink w:anchor="ref-1029">
        <w:r>
          <w:rPr>
            <w:rStyle w:val="Hyperlink"/>
            <w:vertAlign w:val="superscript"/>
          </w:rPr>
          <w:t xml:space="preserve">1029</w:t>
        </w:r>
      </w:hyperlink>
      <w:r>
        <w:rPr>
          <w:vertAlign w:val="superscript"/>
        </w:rPr>
        <w:t xml:space="preserve">]</w:t>
      </w:r>
      <w:r>
        <w:t xml:space="preserve">。后来有综述把下丘脑列为这项研究的结果之一</w:t>
      </w:r>
      <w:r>
        <w:rPr>
          <w:vertAlign w:val="superscript"/>
        </w:rPr>
        <w:t xml:space="preserve">[</w:t>
      </w:r>
      <w:hyperlink w:anchor="ref-1030">
        <w:r>
          <w:rPr>
            <w:rStyle w:val="Hyperlink"/>
            <w:vertAlign w:val="superscript"/>
          </w:rPr>
          <w:t xml:space="preserve">1030</w:t>
        </w:r>
      </w:hyperlink>
      <w:r>
        <w:rPr>
          <w:vertAlign w:val="superscript"/>
        </w:rPr>
        <w:t xml:space="preserve">]</w:t>
      </w:r>
      <w:r>
        <w:t xml:space="preserve">。下丘脑体积小，这一结果没有被重复，也说明不了具体核团的变化。“冥想调节下丘脑”的流行说法，大多是从皮质醇数据倒推的，外周皮质醇的变化无法单独定位到这条轴的某一环节（见</w:t>
      </w:r>
      <w:r>
        <w:t xml:space="preserve"> </w:t>
      </w:r>
      <w:hyperlink w:anchor="sec-112-5">
        <w:r>
          <w:rPr>
            <w:rStyle w:val="Hyperlink"/>
          </w:rPr>
          <w:t xml:space="preserve">112.5</w:t>
        </w:r>
      </w:hyperlink>
      <w:r>
        <w:t xml:space="preserve">）。</w:t>
      </w:r>
    </w:p>
    <w:p>
      <w:pPr>
        <w:pStyle w:val="CalloutJudgment"/>
      </w:pPr>
      <w:r>
        <w:rPr>
          <w:bCs/>
          <w:b/>
        </w:rPr>
        <w:t xml:space="preserve">判断　</w:t>
      </w:r>
      <w:r>
        <w:t xml:space="preserve">“冥想时丘脑与顶叶活动变化说明自我消融”</w:t>
      </w:r>
      <w:r>
        <w:rPr>
          <w:bCs/>
          <w:b/>
        </w:rPr>
        <w:t xml:space="preserve">证据不足·低</w:t>
      </w:r>
      <w:r>
        <w:t xml:space="preserve">；“冥想调节下丘脑”</w:t>
      </w:r>
      <w:r>
        <w:rPr>
          <w:bCs/>
          <w:b/>
        </w:rPr>
        <w:t xml:space="preserve">证据不足·中</w:t>
      </w:r>
      <w:r>
        <w:t xml:space="preserve">。</w:t>
      </w:r>
    </w:p>
    <w:bookmarkEnd w:id="1789"/>
    <w:bookmarkStart w:id="1790" w:name="sec-110-10"/>
    <w:p>
      <w:pPr>
        <w:pStyle w:val="Heading3"/>
      </w:pPr>
      <w:r>
        <w:t xml:space="preserve">110.10　脑干与小脑</w:t>
      </w:r>
    </w:p>
    <w:p>
      <w:pPr>
        <w:pStyle w:val="FirstParagraph"/>
      </w:pPr>
      <w:r>
        <w:t xml:space="preserve">一项小型横断面研究报告冥想者下位脑干灰质密度较高</w:t>
      </w:r>
      <w:r>
        <w:rPr>
          <w:vertAlign w:val="superscript"/>
        </w:rPr>
        <w:t xml:space="preserve">[</w:t>
      </w:r>
      <w:hyperlink w:anchor="ref-1031">
        <w:r>
          <w:rPr>
            <w:rStyle w:val="Hyperlink"/>
            <w:vertAlign w:val="superscript"/>
          </w:rPr>
          <w:t xml:space="preserve">1031</w:t>
        </w:r>
      </w:hyperlink>
      <w:r>
        <w:rPr>
          <w:vertAlign w:val="superscript"/>
        </w:rPr>
        <w:t xml:space="preserve">]</w:t>
      </w:r>
      <w:r>
        <w:t xml:space="preserve">。另一项研究从 2011 年正念减压研究的训练组中取出 14 人，没有对照组分析，发现幸福感提高与脑干一处包含中缝核和蓝斑附近区域的灰质浓度增加相关</w:t>
      </w:r>
      <w:r>
        <w:rPr>
          <w:vertAlign w:val="superscript"/>
        </w:rPr>
        <w:t xml:space="preserve">[</w:t>
      </w:r>
      <w:hyperlink w:anchor="ref-1032">
        <w:r>
          <w:rPr>
            <w:rStyle w:val="Hyperlink"/>
            <w:vertAlign w:val="superscript"/>
          </w:rPr>
          <w:t xml:space="preserve">1032</w:t>
        </w:r>
      </w:hyperlink>
      <w:r>
        <w:rPr>
          <w:vertAlign w:val="superscript"/>
        </w:rPr>
        <w:t xml:space="preserve">]</w:t>
      </w:r>
      <w:r>
        <w:t xml:space="preserve">。作者本人称样本“极小”、结果“不可靠”；分析范围限定在事先挑出的变化区域内，如果选区和相关检验依赖同一批数据，就有选择后推断的风险。脑干核团体积小，紧邻脑脊液和血管，常规的分辨率、平滑和配准会把邻近组织混进来，一个包含中缝核或蓝斑附近区域的灰质团块，说明不了其中的递质神经元发生了变化；对蓝斑的专门成像（例如对神经黑色素敏感的序列）与常规的 T1 形态学是不同的方法，结果不能互换。大样本随机对照中，相应的小脑—脑干区域没有变化</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w:t>
      </w:r>
    </w:p>
    <w:p>
      <w:pPr>
        <w:pStyle w:val="CalloutJudgment"/>
      </w:pPr>
      <w:r>
        <w:rPr>
          <w:bCs/>
          <w:b/>
        </w:rPr>
        <w:t xml:space="preserve">判断　</w:t>
      </w:r>
      <w:r>
        <w:t xml:space="preserve">“冥想改变脑干中神经递质核团的结构”</w:t>
      </w:r>
      <w:r>
        <w:rPr>
          <w:bCs/>
          <w:b/>
        </w:rPr>
        <w:t xml:space="preserve">证据不足·中</w:t>
      </w:r>
      <w:r>
        <w:t xml:space="preserve">。</w:t>
      </w:r>
    </w:p>
    <w:p>
      <w:pPr>
        <w:pStyle w:val="BodyText"/>
      </w:pPr>
      <w:r>
        <w:t xml:space="preserve">2011 年的正念减压研究报告小脑灰质增加，两组在基线时小脑蚓部就不平衡，这一结果的稳健性有限</w:t>
      </w:r>
      <w:r>
        <w:rPr>
          <w:vertAlign w:val="superscript"/>
        </w:rPr>
        <w:t xml:space="preserve">[</w:t>
      </w:r>
      <w:hyperlink w:anchor="ref-979">
        <w:r>
          <w:rPr>
            <w:rStyle w:val="Hyperlink"/>
            <w:vertAlign w:val="superscript"/>
          </w:rPr>
          <w:t xml:space="preserve">979</w:t>
        </w:r>
      </w:hyperlink>
      <w:r>
        <w:rPr>
          <w:vertAlign w:val="superscript"/>
        </w:rPr>
        <w:t xml:space="preserve">]</w:t>
      </w:r>
      <w:r>
        <w:t xml:space="preserve">；大样本随机对照没有重复</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w:t>
      </w:r>
    </w:p>
    <w:p>
      <w:pPr>
        <w:pStyle w:val="CalloutJudgment"/>
      </w:pPr>
      <w:r>
        <w:rPr>
          <w:bCs/>
          <w:b/>
        </w:rPr>
        <w:t xml:space="preserve">判断　</w:t>
      </w:r>
      <w:r>
        <w:t xml:space="preserve">“冥想让小脑变大”</w:t>
      </w:r>
      <w:r>
        <w:rPr>
          <w:bCs/>
          <w:b/>
        </w:rPr>
        <w:t xml:space="preserve">证据不足·中</w:t>
      </w:r>
      <w:r>
        <w:t xml:space="preserve">。</w:t>
      </w:r>
    </w:p>
    <w:bookmarkEnd w:id="1790"/>
    <w:bookmarkStart w:id="1791" w:name="sec-110-11"/>
    <w:p>
      <w:pPr>
        <w:pStyle w:val="Heading3"/>
      </w:pPr>
      <w:r>
        <w:t xml:space="preserve">110.11　胼胝体与白质</w:t>
      </w:r>
    </w:p>
    <w:p>
      <w:pPr>
        <w:pStyle w:val="FirstParagraph"/>
      </w:pPr>
      <w:r>
        <w:t xml:space="preserve">胼胝体是连接左右半球的最大纤维束。横断面研究报告长期冥想者白质各向异性分数普遍较高、部分胼胝体区域更厚，这几项研究部分使用了同一批受试者，胼胝体差异只在逐点分析中显著</w:t>
      </w:r>
      <w:r>
        <w:rPr>
          <w:vertAlign w:val="superscript"/>
        </w:rPr>
        <w:t xml:space="preserve">[</w:t>
      </w:r>
      <w:hyperlink w:anchor="ref-1033">
        <w:r>
          <w:rPr>
            <w:rStyle w:val="Hyperlink"/>
            <w:vertAlign w:val="superscript"/>
          </w:rPr>
          <w:t xml:space="preserve">1033</w:t>
        </w:r>
      </w:hyperlink>
      <w:r>
        <w:rPr>
          <w:vertAlign w:val="superscript"/>
        </w:rPr>
        <w:t xml:space="preserve">,</w:t>
      </w:r>
      <w:hyperlink w:anchor="ref-1034">
        <w:r>
          <w:rPr>
            <w:rStyle w:val="Hyperlink"/>
            <w:vertAlign w:val="superscript"/>
          </w:rPr>
          <w:t xml:space="preserve">1034</w:t>
        </w:r>
      </w:hyperlink>
      <w:r>
        <w:rPr>
          <w:vertAlign w:val="superscript"/>
        </w:rPr>
        <w:t xml:space="preserve">]</w:t>
      </w:r>
      <w:r>
        <w:t xml:space="preserve">。唐一源团队报告，两到四周的整体身心调节训练改变了白质扩散指标，作者把它解读为髓鞘增加等变化</w:t>
      </w:r>
      <w:r>
        <w:rPr>
          <w:vertAlign w:val="superscript"/>
        </w:rPr>
        <w:t xml:space="preserve">[</w:t>
      </w:r>
      <w:hyperlink w:anchor="ref-1008">
        <w:r>
          <w:rPr>
            <w:rStyle w:val="Hyperlink"/>
            <w:vertAlign w:val="superscript"/>
          </w:rPr>
          <w:t xml:space="preserve">1008</w:t>
        </w:r>
      </w:hyperlink>
      <w:r>
        <w:rPr>
          <w:vertAlign w:val="superscript"/>
        </w:rPr>
        <w:t xml:space="preserve">,</w:t>
      </w:r>
      <w:hyperlink w:anchor="ref-1035">
        <w:r>
          <w:rPr>
            <w:rStyle w:val="Hyperlink"/>
            <w:vertAlign w:val="superscript"/>
          </w:rPr>
          <w:t xml:space="preserve">1035</w:t>
        </w:r>
      </w:hyperlink>
      <w:r>
        <w:rPr>
          <w:vertAlign w:val="superscript"/>
        </w:rPr>
        <w:t xml:space="preserve">]</w:t>
      </w:r>
      <w:r>
        <w:t xml:space="preserve">。</w:t>
      </w:r>
    </w:p>
    <w:p>
      <w:pPr>
        <w:pStyle w:val="BodyText"/>
      </w:pPr>
      <w:r>
        <w:t xml:space="preserve">横断面差异无法排除自我选择；短期训练的结果来自单一团队，没有独立重复。扩散指标本身的解读限制见</w:t>
      </w:r>
      <w:r>
        <w:t xml:space="preserve"> </w:t>
      </w:r>
      <w:hyperlink w:anchor="sec-92-7">
        <w:r>
          <w:rPr>
            <w:rStyle w:val="Hyperlink"/>
          </w:rPr>
          <w:t xml:space="preserve">92.7</w:t>
        </w:r>
      </w:hyperlink>
      <w:r>
        <w:t xml:space="preserve">。</w:t>
      </w:r>
    </w:p>
    <w:p>
      <w:pPr>
        <w:pStyle w:val="CalloutJudgment"/>
      </w:pPr>
      <w:r>
        <w:rPr>
          <w:bCs/>
          <w:b/>
        </w:rPr>
        <w:t xml:space="preserve">判断　</w:t>
      </w:r>
      <w:r>
        <w:t xml:space="preserve">“冥想增强左右脑连接”</w:t>
      </w:r>
      <w:r>
        <w:rPr>
          <w:bCs/>
          <w:b/>
        </w:rPr>
        <w:t xml:space="preserve">证据不足·中</w:t>
      </w:r>
      <w:r>
        <w:t xml:space="preserve">。</w:t>
      </w:r>
    </w:p>
    <w:bookmarkEnd w:id="1791"/>
    <w:bookmarkStart w:id="1792" w:name="sec-110-12"/>
    <w:p>
      <w:pPr>
        <w:pStyle w:val="Heading3"/>
      </w:pPr>
      <w:r>
        <w:t xml:space="preserve">110.12　体感皮层与身体扫描</w:t>
      </w:r>
    </w:p>
    <w:p>
      <w:pPr>
        <w:pStyle w:val="FirstParagraph"/>
      </w:pPr>
      <w:r>
        <w:t xml:space="preserve">注意某个身体部位时，对应皮层区域的 α 节律下降，不相关区域的 α 节律升高（见</w:t>
      </w:r>
      <w:r>
        <w:t xml:space="preserve"> </w:t>
      </w:r>
      <w:hyperlink w:anchor="sec-92-8">
        <w:r>
          <w:rPr>
            <w:rStyle w:val="Hyperlink"/>
          </w:rPr>
          <w:t xml:space="preserve">92.8</w:t>
        </w:r>
      </w:hyperlink>
      <w:r>
        <w:t xml:space="preserve">）。本书检索范围内很少有冥想研究直接涉及运动皮层，身体扫描、行禅一类练习是否改变运动系统，目前没有可靠证据，要分离这类练习的特定贡献，也需要专门的拆解设计。一项很小的随机研究发现，八周正念训练后，受试者在提示注意手部时，体感皮层 α 节律随提示的调节更明显</w:t>
      </w:r>
      <w:r>
        <w:rPr>
          <w:vertAlign w:val="superscript"/>
        </w:rPr>
        <w:t xml:space="preserve">[</w:t>
      </w:r>
      <w:hyperlink w:anchor="ref-1036">
        <w:r>
          <w:rPr>
            <w:rStyle w:val="Hyperlink"/>
            <w:vertAlign w:val="superscript"/>
          </w:rPr>
          <w:t xml:space="preserve">1036</w:t>
        </w:r>
      </w:hyperlink>
      <w:r>
        <w:rPr>
          <w:vertAlign w:val="superscript"/>
        </w:rPr>
        <w:t xml:space="preserve">]</w:t>
      </w:r>
      <w:r>
        <w:t xml:space="preserve">。研究者据此提出，身体扫描一类练习可能在训练这种“空间上可调的注意”</w:t>
      </w:r>
      <w:r>
        <w:rPr>
          <w:vertAlign w:val="superscript"/>
        </w:rPr>
        <w:t xml:space="preserve">[</w:t>
      </w:r>
      <w:hyperlink w:anchor="ref-1037">
        <w:r>
          <w:rPr>
            <w:rStyle w:val="Hyperlink"/>
            <w:vertAlign w:val="superscript"/>
          </w:rPr>
          <w:t xml:space="preserve">1037</w:t>
        </w:r>
      </w:hyperlink>
      <w:r>
        <w:rPr>
          <w:vertAlign w:val="superscript"/>
        </w:rPr>
        <w:t xml:space="preserve">]</w:t>
      </w:r>
      <w:r>
        <w:t xml:space="preserve">。这是特定任务中的实验结果。身体扫描能否全面提高日常的身体感知，它回答不了。身体扫描是否让感觉皮层变厚，没有直接的研究；大样本随机对照中，正念减压没有带来皮层厚度的变化（见</w:t>
      </w:r>
      <w:r>
        <w:t xml:space="preserve"> </w:t>
      </w:r>
      <w:hyperlink w:anchor="sec-116-5">
        <w:r>
          <w:rPr>
            <w:rStyle w:val="Hyperlink"/>
          </w:rPr>
          <w:t xml:space="preserve">116.5</w:t>
        </w:r>
      </w:hyperlink>
      <w:r>
        <w:t xml:space="preserve">）。</w:t>
      </w:r>
    </w:p>
    <w:p>
      <w:pPr>
        <w:pStyle w:val="CalloutJudgment"/>
      </w:pPr>
      <w:r>
        <w:rPr>
          <w:bCs/>
          <w:b/>
        </w:rPr>
        <w:t xml:space="preserve">判断　</w:t>
      </w:r>
      <w:r>
        <w:t xml:space="preserve">“身体扫描训练体感皮层的注意调节”</w:t>
      </w:r>
      <w:r>
        <w:rPr>
          <w:bCs/>
          <w:b/>
        </w:rPr>
        <w:t xml:space="preserve">证据不足·低</w:t>
      </w:r>
      <w:r>
        <w:t xml:space="preserve">：思路清晰，证据很少；“身体扫描让感觉皮层变厚”</w:t>
      </w:r>
      <w:r>
        <w:rPr>
          <w:bCs/>
          <w:b/>
        </w:rPr>
        <w:t xml:space="preserve">证据不足·中</w:t>
      </w:r>
      <w:r>
        <w:t xml:space="preserve">。</w:t>
      </w:r>
    </w:p>
    <w:bookmarkEnd w:id="1792"/>
    <w:bookmarkStart w:id="1793" w:name="sec-110-13"/>
    <w:p>
      <w:pPr>
        <w:pStyle w:val="Heading3"/>
      </w:pPr>
      <w:r>
        <w:t xml:space="preserve">110.13　屏状核与松果体</w:t>
      </w:r>
    </w:p>
    <w:p>
      <w:pPr>
        <w:pStyle w:val="FirstParagraph"/>
      </w:pPr>
      <w:r>
        <w:t xml:space="preserve">少量冥想成像研究和元分析曾把部分结果标注到屏状核或邻近区域：2015 年一项元分析在冥想练习者的功能激活差异中列出了屏状核</w:t>
      </w:r>
      <w:r>
        <w:rPr>
          <w:vertAlign w:val="superscript"/>
        </w:rPr>
        <w:t xml:space="preserve">[</w:t>
      </w:r>
      <w:hyperlink w:anchor="ref-1038">
        <w:r>
          <w:rPr>
            <w:rStyle w:val="Hyperlink"/>
            <w:vertAlign w:val="superscript"/>
          </w:rPr>
          <w:t xml:space="preserve">1038</w:t>
        </w:r>
      </w:hyperlink>
      <w:r>
        <w:rPr>
          <w:vertAlign w:val="superscript"/>
        </w:rPr>
        <w:t xml:space="preserve">]</w:t>
      </w:r>
      <w:r>
        <w:t xml:space="preserve">；本章“岛叶”一节提到的 2021 年结构元分析，那个岛叶聚簇延伸到屏状核，作者讨论时把它与一项阿片依赖住院患者的研究联系起来，那项研究用的是结构网络分析，19 名患者中 10 人在常规治疗之外加做四周正念干预，摘要没有提到屏状核，也没有写明是否随机分组</w:t>
      </w:r>
      <w:r>
        <w:rPr>
          <w:vertAlign w:val="superscript"/>
        </w:rPr>
        <w:t xml:space="preserve">[</w:t>
      </w:r>
      <w:hyperlink w:anchor="ref-1011">
        <w:r>
          <w:rPr>
            <w:rStyle w:val="Hyperlink"/>
            <w:vertAlign w:val="superscript"/>
          </w:rPr>
          <w:t xml:space="preserve">1011</w:t>
        </w:r>
      </w:hyperlink>
      <w:r>
        <w:rPr>
          <w:vertAlign w:val="superscript"/>
        </w:rPr>
        <w:t xml:space="preserve">,</w:t>
      </w:r>
      <w:hyperlink w:anchor="ref-1039">
        <w:r>
          <w:rPr>
            <w:rStyle w:val="Hyperlink"/>
            <w:vertAlign w:val="superscript"/>
          </w:rPr>
          <w:t xml:space="preserve">1039</w:t>
        </w:r>
      </w:hyperlink>
      <w:r>
        <w:rPr>
          <w:vertAlign w:val="superscript"/>
        </w:rPr>
        <w:t xml:space="preserve">]</w:t>
      </w:r>
      <w:r>
        <w:t xml:space="preserve">。屏状核很薄，紧贴岛叶，标准的配准、平滑和自动标注很容易把邻近组织混进来，结构网络的强度也不等于这个核团本身的灰质变化；现有的空间分辨率和统计聚簇难以确认结果确实来自屏状核，它与冥想体验之间还建立不了稳定的联系。小鼠研究中屏状核参与协调皮层慢波、帮助抵抗无关干扰（见</w:t>
      </w:r>
      <w:r>
        <w:t xml:space="preserve"> </w:t>
      </w:r>
      <w:hyperlink w:anchor="sec-92-9">
        <w:r>
          <w:rPr>
            <w:rStyle w:val="Hyperlink"/>
          </w:rPr>
          <w:t xml:space="preserve">92.9</w:t>
        </w:r>
      </w:hyperlink>
      <w:r>
        <w:t xml:space="preserve">），这些结果还不能直接用来解释人的冥想。</w:t>
      </w:r>
    </w:p>
    <w:p>
      <w:pPr>
        <w:pStyle w:val="BodyText"/>
      </w:pPr>
      <w:r>
        <w:t xml:space="preserve">关于松果体，现代流行说法包括“冥想打开松果体”“冥想时松果体释放 DMT”。松果体、褪黑素和脑内 DMT 的已知事实见</w:t>
      </w:r>
      <w:r>
        <w:t xml:space="preserve"> </w:t>
      </w:r>
      <w:hyperlink w:anchor="sec-92-10">
        <w:r>
          <w:rPr>
            <w:rStyle w:val="Hyperlink"/>
          </w:rPr>
          <w:t xml:space="preserve">92.10</w:t>
        </w:r>
      </w:hyperlink>
      <w:r>
        <w:t xml:space="preserve">。本书检索范围内，没有研究测量过冥想时的 DMT。</w:t>
      </w:r>
    </w:p>
    <w:p>
      <w:pPr>
        <w:pStyle w:val="CalloutJudgment"/>
      </w:pPr>
      <w:r>
        <w:rPr>
          <w:bCs/>
          <w:b/>
        </w:rPr>
        <w:t xml:space="preserve">判断　</w:t>
      </w:r>
      <w:r>
        <w:t xml:space="preserve">“冥想时屏状核有特异的作用”</w:t>
      </w:r>
      <w:r>
        <w:rPr>
          <w:bCs/>
          <w:b/>
        </w:rPr>
        <w:t xml:space="preserve">证据不足·中</w:t>
      </w:r>
      <w:r>
        <w:t xml:space="preserve">：有少量把结果标注到屏状核或邻近区域的报告，定位不可靠；“冥想打开松果体”没有可检验的定义，作为科学说法无从判断；“冥想时松果体释放具有精神作用的 DMT”</w:t>
      </w:r>
      <w:r>
        <w:rPr>
          <w:bCs/>
          <w:b/>
        </w:rPr>
        <w:t xml:space="preserve">证据不足·高</w:t>
      </w:r>
      <w:r>
        <w:t xml:space="preserve">：没有人体研究，现有的有限测量提示人脑内的微量 DMT 很可能不足以产生精神作用。</w:t>
      </w:r>
    </w:p>
    <w:bookmarkEnd w:id="1793"/>
    <w:bookmarkStart w:id="1794" w:name="sec-110-14"/>
    <w:p>
      <w:pPr>
        <w:pStyle w:val="Heading3"/>
      </w:pPr>
      <w:r>
        <w:t xml:space="preserve">110.14　“边缘系统平静下来”</w:t>
      </w:r>
    </w:p>
    <w:p>
      <w:pPr>
        <w:pStyle w:val="FirstParagraph"/>
      </w:pPr>
      <w:r>
        <w:t xml:space="preserve">“边缘系统”这个概念本身的问题见</w:t>
      </w:r>
      <w:r>
        <w:t xml:space="preserve"> </w:t>
      </w:r>
      <w:hyperlink w:anchor="sec-88-1">
        <w:r>
          <w:rPr>
            <w:rStyle w:val="Hyperlink"/>
          </w:rPr>
          <w:t xml:space="preserve">88.1</w:t>
        </w:r>
      </w:hyperlink>
      <w:r>
        <w:t xml:space="preserve">。讨论冥想与脑的关系时，更稳妥的做法是直接写明具体的结构、回路、任务和指标。</w:t>
      </w:r>
    </w:p>
    <w:p>
      <w:pPr>
        <w:pStyle w:val="CalloutJudgment"/>
      </w:pPr>
      <w:r>
        <w:rPr>
          <w:bCs/>
          <w:b/>
        </w:rPr>
        <w:t xml:space="preserve">判断　</w:t>
      </w:r>
      <w:r>
        <w:t xml:space="preserve">“冥想让边缘系统平静下来”</w:t>
      </w:r>
      <w:r>
        <w:rPr>
          <w:bCs/>
          <w:b/>
        </w:rPr>
        <w:t xml:space="preserve">过度简化·高</w:t>
      </w:r>
      <w:r>
        <w:t xml:space="preserve">：需要说明是哪个结构、用什么指标。</w:t>
      </w:r>
    </w:p>
    <w:bookmarkEnd w:id="1794"/>
    <w:bookmarkEnd w:id="1795"/>
    <w:bookmarkStart w:id="1802" w:name="ch-111"/>
    <w:p>
      <w:pPr>
        <w:pStyle w:val="Heading2"/>
      </w:pPr>
      <w:r>
        <w:t xml:space="preserve">第111章　冥想与大尺度网络</w:t>
      </w:r>
    </w:p>
    <w:p>
      <w:pPr>
        <w:pStyle w:val="FirstParagraph"/>
      </w:pPr>
      <w:r>
        <w:t xml:space="preserve">现有的冥想研究里，既有局部活动的发现，也有网络连接的发现，两类指标都受样本、噪声和分析选择的约束；哪一类结果更稳定，需要在一致的数据、预注册的分析和独立重复中比较。具体哪些连接变化稳健、能维持多久、能否用来预测个人，证据仍不均衡；网络分析同样受样本小、头动、呼吸和分析自由度的影响（见</w:t>
      </w:r>
      <w:r>
        <w:t xml:space="preserve"> </w:t>
      </w:r>
      <w:hyperlink w:anchor="sec-55-2">
        <w:r>
          <w:rPr>
            <w:rStyle w:val="Hyperlink"/>
          </w:rPr>
          <w:t xml:space="preserve">55.2</w:t>
        </w:r>
      </w:hyperlink>
      <w:r>
        <w:t xml:space="preserve">、</w:t>
      </w:r>
      <w:hyperlink w:anchor="sec-55-3">
        <w:r>
          <w:rPr>
            <w:rStyle w:val="Hyperlink"/>
          </w:rPr>
          <w:t xml:space="preserve">55.3</w:t>
        </w:r>
      </w:hyperlink>
      <w:r>
        <w:t xml:space="preserve">），同一批受试者也常出现在多篇论文中。默认模式、突显和控制网络本身做什么，见</w:t>
      </w:r>
      <w:hyperlink w:anchor="ch-93">
        <w:r>
          <w:rPr>
            <w:rStyle w:val="Hyperlink"/>
          </w:rPr>
          <w:t xml:space="preserve">第93章</w:t>
        </w:r>
      </w:hyperlink>
      <w:r>
        <w:t xml:space="preserve">。</w:t>
      </w:r>
    </w:p>
    <w:bookmarkStart w:id="1796" w:name="sec-111-1"/>
    <w:p>
      <w:pPr>
        <w:pStyle w:val="Heading3"/>
      </w:pPr>
      <w:r>
        <w:t xml:space="preserve">111.1　冥想与默认模式网络</w:t>
      </w:r>
    </w:p>
    <w:p>
      <w:pPr>
        <w:pStyle w:val="FirstParagraph"/>
      </w:pPr>
      <w:r>
        <w:t xml:space="preserve">冥想研究中，默认模式网络是最常被讨论的对象。12 名资深冥想者与 12 名新手相比，冥想时后扣带回活动相对更低，后扣带回与背侧前扣带的耦合更强</w:t>
      </w:r>
      <w:r>
        <w:rPr>
          <w:vertAlign w:val="superscript"/>
        </w:rPr>
        <w:t xml:space="preserve">[</w:t>
      </w:r>
      <w:hyperlink w:anchor="ref-980">
        <w:r>
          <w:rPr>
            <w:rStyle w:val="Hyperlink"/>
            <w:vertAlign w:val="superscript"/>
          </w:rPr>
          <w:t xml:space="preserve">980</w:t>
        </w:r>
      </w:hyperlink>
      <w:r>
        <w:rPr>
          <w:vertAlign w:val="superscript"/>
        </w:rPr>
        <w:t xml:space="preserve">]</w:t>
      </w:r>
      <w:r>
        <w:t xml:space="preserve">（这项研究和下面的随机试验详见</w:t>
      </w:r>
      <w:r>
        <w:t xml:space="preserve"> </w:t>
      </w:r>
      <w:hyperlink w:anchor="sec-110-6">
        <w:r>
          <w:rPr>
            <w:rStyle w:val="Hyperlink"/>
          </w:rPr>
          <w:t xml:space="preserve">110.6</w:t>
        </w:r>
      </w:hyperlink>
      <w:r>
        <w:t xml:space="preserve">）；另一组 20 名内观练习者与 26 名对照相比，冥想时默认网络活动的下降超过了同样需要注意的主动任务；这两项研究有 6 名冥想者和 3 名对照者重叠，只分析新受试者时结果相似</w:t>
      </w:r>
      <w:r>
        <w:rPr>
          <w:vertAlign w:val="superscript"/>
        </w:rPr>
        <w:t xml:space="preserve">[</w:t>
      </w:r>
      <w:hyperlink w:anchor="ref-1040">
        <w:r>
          <w:rPr>
            <w:rStyle w:val="Hyperlink"/>
            <w:vertAlign w:val="superscript"/>
          </w:rPr>
          <w:t xml:space="preserve">1040</w:t>
        </w:r>
      </w:hyperlink>
      <w:r>
        <w:rPr>
          <w:vertAlign w:val="superscript"/>
        </w:rPr>
        <w:t xml:space="preserve">]</w:t>
      </w:r>
      <w:r>
        <w:t xml:space="preserve">。训练研究的效应更小：随机试验中，正念减压课程结束时，后扣带回与右侧背外侧前额叶的静息连接比对照组增强更多（按解剖定义的区域），约五个半月后的随访中没有检出同样显著的组间差异</w:t>
      </w:r>
      <w:r>
        <w:rPr>
          <w:vertAlign w:val="superscript"/>
        </w:rPr>
        <w:t xml:space="preserve">[</w:t>
      </w:r>
      <w:hyperlink w:anchor="ref-1023">
        <w:r>
          <w:rPr>
            <w:rStyle w:val="Hyperlink"/>
            <w:vertAlign w:val="superscript"/>
          </w:rPr>
          <w:t xml:space="preserve">1023</w:t>
        </w:r>
      </w:hyperlink>
      <w:r>
        <w:rPr>
          <w:vertAlign w:val="superscript"/>
        </w:rPr>
        <w:t xml:space="preserve">]</w:t>
      </w:r>
      <w:r>
        <w:t xml:space="preserve">；对 12 项静息连接研究的元分析发现，训练后突显网络的左侧中扣带与默认网络的后扣带回之间的连接增强，效应量约 0.23</w:t>
      </w:r>
      <w:r>
        <w:rPr>
          <w:vertAlign w:val="superscript"/>
        </w:rPr>
        <w:t xml:space="preserve">[</w:t>
      </w:r>
      <w:hyperlink w:anchor="ref-1041">
        <w:r>
          <w:rPr>
            <w:rStyle w:val="Hyperlink"/>
            <w:vertAlign w:val="superscript"/>
          </w:rPr>
          <w:t xml:space="preserve">1041</w:t>
        </w:r>
      </w:hyperlink>
      <w:r>
        <w:rPr>
          <w:vertAlign w:val="superscript"/>
        </w:rPr>
        <w:t xml:space="preserve">]</w:t>
      </w:r>
      <w:r>
        <w:t xml:space="preserve">，这是一处小效应，报告的 p 值约 0.03 未经多重比较校正。把它概括为默认网络与其他网络的连接一律增强，并不成立；只有 12 项研究时，发表偏倚检验的检出力也有限，纳入的研究里还有两篇出自同一项三天静修试验（</w:t>
      </w:r>
      <w:hyperlink w:anchor="sec-110-1">
        <w:r>
          <w:rPr>
            <w:rStyle w:val="Hyperlink"/>
          </w:rPr>
          <w:t xml:space="preserve">110.1 节</w:t>
        </w:r>
      </w:hyperlink>
      <w:r>
        <w:t xml:space="preserve">与</w:t>
      </w:r>
      <w:r>
        <w:t xml:space="preserve"> </w:t>
      </w:r>
      <w:hyperlink w:anchor="sec-112-10">
        <w:r>
          <w:rPr>
            <w:rStyle w:val="Hyperlink"/>
          </w:rPr>
          <w:t xml:space="preserve">112.10 节</w:t>
        </w:r>
      </w:hyperlink>
      <w:r>
        <w:t xml:space="preserve">提到的那项），被当作两项研究分别计入。还有一项提醒：一项 40 人的 7 特斯拉磁共振研究中（真实反馈组和假反馈组各 20 人，假反馈取自冥想经验相近的真实反馈组受试者的脑信号，论文没有写明分组是否随机），两组在冥想时后扣带回的去激活没有检出差异，在这个目标指标上，真实反馈没有显示出明确的特异作用，每组 20 人的精度也不足以证明两组等效；一部分“默认网络安静下来”可能来自一般的专注投入，这一点属于推断。同一研究还报告了几项其他结果：最后一天训练时，真实反馈组后扣带回与右侧背外侧前额叶的耦合与假反馈组不同（效应量约 0.59，单侧检验），差异来自两组方向相反的耦合，没有延续到不带反馈的冥想中；在随后一周的居家练习中，假反馈组对念头的自评觉察逐渐下降，真实反馈组略有上升但不显著，两组的变化趋势差异显著，对身体的自评觉察没有组间差异；真实反馈组的心理困扰减轻更多；数呼吸任务的成绩却是真实反馈组下降更多，与研究者的预期相反。研究没有预注册，只对受试者设盲，结局指标多、样本小，也没有不带反馈的冥想组，这些结果只能当作探索性的线索</w:t>
      </w:r>
      <w:r>
        <w:rPr>
          <w:vertAlign w:val="superscript"/>
        </w:rPr>
        <w:t xml:space="preserve">[</w:t>
      </w:r>
      <w:hyperlink w:anchor="ref-1042">
        <w:r>
          <w:rPr>
            <w:rStyle w:val="Hyperlink"/>
            <w:vertAlign w:val="superscript"/>
          </w:rPr>
          <w:t xml:space="preserve">1042</w:t>
        </w:r>
      </w:hyperlink>
      <w:r>
        <w:rPr>
          <w:vertAlign w:val="superscript"/>
        </w:rPr>
        <w:t xml:space="preserve">]</w:t>
      </w:r>
      <w:r>
        <w:t xml:space="preserve">。</w:t>
      </w:r>
    </w:p>
    <w:p>
      <w:pPr>
        <w:pStyle w:val="CalloutMyth"/>
      </w:pPr>
      <w:r>
        <w:rPr>
          <w:bCs/>
          <w:b/>
        </w:rPr>
        <w:t xml:space="preserve">误解　</w:t>
      </w:r>
      <w:r>
        <w:t xml:space="preserve">默认模式网络是“自我”和“痛苦”的来源，冥想的目标是把它关掉。</w:t>
      </w:r>
    </w:p>
    <w:p>
      <w:pPr>
        <w:pStyle w:val="CalloutMyth"/>
      </w:pPr>
      <w:r>
        <w:rPr>
          <w:bCs/>
          <w:b/>
        </w:rPr>
        <w:t xml:space="preserve">实况　</w:t>
      </w:r>
      <w:r>
        <w:t xml:space="preserve">现有研究没有显示冥想能把整个默认模式网络关闭；这个网络支持记忆、规划、理解他人和创造等多种正常功能；以全面关闭它为目标，也没有科学依据。对冥想相关变化，较合理的候选解释之一是：被念头卷走时能更早察觉，默认网络与控制网络之间的协作方式随之改变。训练带来的连接变化幅度小，长期能否维持尚未确立。</w:t>
      </w:r>
    </w:p>
    <w:p>
      <w:pPr>
        <w:pStyle w:val="CalloutJudgment"/>
      </w:pPr>
      <w:r>
        <w:rPr>
          <w:bCs/>
          <w:b/>
        </w:rPr>
        <w:t xml:space="preserve">判断　</w:t>
      </w:r>
      <w:r>
        <w:t xml:space="preserve">“冥想关闭默认网络”</w:t>
      </w:r>
      <w:r>
        <w:rPr>
          <w:bCs/>
          <w:b/>
        </w:rPr>
        <w:t xml:space="preserve">错误·高</w:t>
      </w:r>
      <w:r>
        <w:t xml:space="preserve">；“冥想时默认网络部分节点活动降低”</w:t>
      </w:r>
      <w:r>
        <w:rPr>
          <w:bCs/>
          <w:b/>
        </w:rPr>
        <w:t xml:space="preserve">部分成立·中</w:t>
      </w:r>
      <w:r>
        <w:t xml:space="preserve">：主要来自资深练习者在练习中的对比；“训练后默认网络与控制网络的静息耦合增强”</w:t>
      </w:r>
      <w:r>
        <w:rPr>
          <w:bCs/>
          <w:b/>
        </w:rPr>
        <w:t xml:space="preserve">部分成立·低</w:t>
      </w:r>
      <w:r>
        <w:t xml:space="preserve">：效应小，随访中没有检出同样的组间差异。</w:t>
      </w:r>
    </w:p>
    <w:bookmarkEnd w:id="1796"/>
    <w:bookmarkStart w:id="1797" w:name="sec-111-2"/>
    <w:p>
      <w:pPr>
        <w:pStyle w:val="Heading3"/>
      </w:pPr>
      <w:r>
        <w:t xml:space="preserve">111.2　正念训练能否减少走神</w:t>
      </w:r>
    </w:p>
    <w:p>
      <w:pPr>
        <w:pStyle w:val="FirstParagraph"/>
      </w:pPr>
      <w:r>
        <w:t xml:space="preserve">正念训练能否减少走神？一项研究让 48 名大学生接受两周、每周四次的正念课程，与营养课程相比，阅读理解成绩和工作记忆提高，走神减少，本书检索范围内没有找到采用同一程序的直接重复</w:t>
      </w:r>
      <w:r>
        <w:rPr>
          <w:vertAlign w:val="superscript"/>
        </w:rPr>
        <w:t xml:space="preserve">[</w:t>
      </w:r>
      <w:hyperlink w:anchor="ref-1043">
        <w:r>
          <w:rPr>
            <w:rStyle w:val="Hyperlink"/>
            <w:vertAlign w:val="superscript"/>
          </w:rPr>
          <w:t xml:space="preserve">1043</w:t>
        </w:r>
      </w:hyperlink>
      <w:r>
        <w:rPr>
          <w:vertAlign w:val="superscript"/>
        </w:rPr>
        <w:t xml:space="preserve">]</w:t>
      </w:r>
      <w:r>
        <w:t xml:space="preserve">。一项三天的拆解式试验发现，同时训练监控与接纳的组走神最少</w:t>
      </w:r>
      <w:r>
        <w:rPr>
          <w:vertAlign w:val="superscript"/>
        </w:rPr>
        <w:t xml:space="preserve">[</w:t>
      </w:r>
      <w:hyperlink w:anchor="ref-1044">
        <w:r>
          <w:rPr>
            <w:rStyle w:val="Hyperlink"/>
            <w:vertAlign w:val="superscript"/>
          </w:rPr>
          <w:t xml:space="preserve">1044</w:t>
        </w:r>
      </w:hyperlink>
      <w:r>
        <w:rPr>
          <w:vertAlign w:val="superscript"/>
        </w:rPr>
        <w:t xml:space="preserve">]</w:t>
      </w:r>
      <w:r>
        <w:t xml:space="preserve">。2026 年一项预注册、150 名老年人参加的随机试验中，正念减压与主动对照相比，在多数持续注意和走神指标上没有优势，摘要只提到自评的任务无关念头有一项小效应</w:t>
      </w:r>
      <w:r>
        <w:rPr>
          <w:vertAlign w:val="superscript"/>
        </w:rPr>
        <w:t xml:space="preserve">[</w:t>
      </w:r>
      <w:hyperlink w:anchor="ref-1045">
        <w:r>
          <w:rPr>
            <w:rStyle w:val="Hyperlink"/>
            <w:vertAlign w:val="superscript"/>
          </w:rPr>
          <w:t xml:space="preserve">1045</w:t>
        </w:r>
      </w:hyperlink>
      <w:r>
        <w:rPr>
          <w:vertAlign w:val="superscript"/>
        </w:rPr>
        <w:t xml:space="preserve">]</w:t>
      </w:r>
      <w:r>
        <w:t xml:space="preserve">。还有一个测量上的问题：练习本身可能改变人察觉和报告走神的阈值，练习者更常发现自己走神，不一定意味着走神更多。冥想无法“消除”走神。专注类练习本身正是由走神、察觉、放下、回到对象这个循环构成的（见</w:t>
      </w:r>
      <w:r>
        <w:t xml:space="preserve"> </w:t>
      </w:r>
      <w:hyperlink w:anchor="sec-111-3">
        <w:r>
          <w:rPr>
            <w:rStyle w:val="Hyperlink"/>
          </w:rPr>
          <w:t xml:space="preserve">111.3</w:t>
        </w:r>
      </w:hyperlink>
      <w:r>
        <w:t xml:space="preserve">）；开放觉察、慈悲和非二元类练习的结构各不相同。</w:t>
      </w:r>
    </w:p>
    <w:p>
      <w:pPr>
        <w:pStyle w:val="CalloutJudgment"/>
      </w:pPr>
      <w:r>
        <w:rPr>
          <w:bCs/>
          <w:b/>
        </w:rPr>
        <w:t xml:space="preserve">判断　</w:t>
      </w:r>
      <w:r>
        <w:t xml:space="preserve">“冥想消除走神”</w:t>
      </w:r>
      <w:r>
        <w:rPr>
          <w:bCs/>
          <w:b/>
        </w:rPr>
        <w:t xml:space="preserve">错误·高</w:t>
      </w:r>
      <w:r>
        <w:t xml:space="preserve">；“正念训练能减少无意走神”</w:t>
      </w:r>
      <w:r>
        <w:rPr>
          <w:bCs/>
          <w:b/>
        </w:rPr>
        <w:t xml:space="preserve">部分成立·低</w:t>
      </w:r>
      <w:r>
        <w:t xml:space="preserve">：要注明课程、情境与测量方法。走神研究本身（包括 46.9% 这个数字）见</w:t>
      </w:r>
      <w:r>
        <w:t xml:space="preserve"> </w:t>
      </w:r>
      <w:hyperlink w:anchor="sec-36-6">
        <w:r>
          <w:rPr>
            <w:rStyle w:val="Hyperlink"/>
          </w:rPr>
          <w:t xml:space="preserve">36.6</w:t>
        </w:r>
      </w:hyperlink>
      <w:r>
        <w:t xml:space="preserve">。</w:t>
      </w:r>
    </w:p>
    <w:bookmarkEnd w:id="1797"/>
    <w:bookmarkStart w:id="1798" w:name="sec-111-3"/>
    <w:p>
      <w:pPr>
        <w:pStyle w:val="Heading3"/>
      </w:pPr>
      <w:r>
        <w:t xml:space="preserve">111.3　察觉走神与网络切换：一个四阶段模型</w:t>
      </w:r>
    </w:p>
    <w:p>
      <w:pPr>
        <w:pStyle w:val="FirstParagraph"/>
      </w:pPr>
      <w:r>
        <w:t xml:space="preserve">2012 年一项研究给出了一个把冥想体验和网络联系起来的清晰例子。研究者让 14 名练习者专注呼吸约 20 分钟，一旦发现自己走神就按键，然后把事件前后的脑活动分为四个阶段：走神时默认网络（腹内侧前额叶、后扣带回）活跃；察觉走神的瞬间，背侧前扣带和双侧前岛叶（突显网络）活跃；把注意转回来时，右侧背外侧前额叶和右侧后顶叶活跃；重新专注时，右侧背外侧前额叶维持活动</w:t>
      </w:r>
      <w:r>
        <w:rPr>
          <w:vertAlign w:val="superscript"/>
        </w:rPr>
        <w:t xml:space="preserve">[</w:t>
      </w:r>
      <w:hyperlink w:anchor="ref-981">
        <w:r>
          <w:rPr>
            <w:rStyle w:val="Hyperlink"/>
            <w:vertAlign w:val="superscript"/>
          </w:rPr>
          <w:t xml:space="preserve">981</w:t>
        </w:r>
      </w:hyperlink>
      <w:r>
        <w:rPr>
          <w:vertAlign w:val="superscript"/>
        </w:rPr>
        <w:t xml:space="preserve">]</w:t>
      </w:r>
      <w:r>
        <w:t xml:space="preserve">。研究者据此提出一个四阶段模型，与冥想指导语里的“发现走神、放下、回到呼吸”相互对应。</w:t>
      </w:r>
    </w:p>
    <w:p>
      <w:pPr>
        <w:pStyle w:val="BodyText"/>
      </w:pPr>
      <w:r>
        <w:t xml:space="preserve">这项研究样本小，属于探索性研究。阶段划分依赖按键时间，而按键前后的时间窗混合了察觉的延迟、运动准备和血流反应的滞后，所谓“走神阶段”是一个操作性的时间窗；察觉到走神的时刻也不等于走神开始的时刻，没被察觉的走神无法用按键定位。它的价值在于给出了一个具体、可检验的模型：专注呼吸一类练习，可能反复训练察觉、重新定向和维持这几个过程。这个模型不覆盖慈心、开放觉察和非二元练习的全部内容。要得到更强的机制证据，需要事先操纵察觉的难度或重新定向的负荷，记录行为和时间顺序，并在独立样本中比较几种竞争模型。</w:t>
      </w:r>
    </w:p>
    <w:p>
      <w:pPr>
        <w:pStyle w:val="CalloutJudgment"/>
      </w:pPr>
      <w:r>
        <w:rPr>
          <w:bCs/>
          <w:b/>
        </w:rPr>
        <w:t xml:space="preserve">判断　</w:t>
      </w:r>
      <w:r>
        <w:t xml:space="preserve">“察觉与网络切换是专注类练习的核心机制”</w:t>
      </w:r>
      <w:r>
        <w:rPr>
          <w:bCs/>
          <w:b/>
        </w:rPr>
        <w:t xml:space="preserve">证据不足·低</w:t>
      </w:r>
      <w:r>
        <w:t xml:space="preserve">：作为候选机制，模型清楚，直接的因果证据有限；推广到所有正念练习更缺少依据。</w:t>
      </w:r>
    </w:p>
    <w:bookmarkEnd w:id="1798"/>
    <w:bookmarkStart w:id="1799" w:name="sec-111-4"/>
    <w:p>
      <w:pPr>
        <w:pStyle w:val="Heading3"/>
      </w:pPr>
      <w:r>
        <w:t xml:space="preserve">111.4　冥想与注意网络</w:t>
      </w:r>
    </w:p>
    <w:p>
      <w:pPr>
        <w:pStyle w:val="FirstParagraph"/>
      </w:pPr>
      <w:r>
        <w:t xml:space="preserve">正念研究在这里有一些小样本发现：一项三组分别招募、都没有随机分组的研究（每组十几人）发现，八周正念减压改善了注意定向，一个月静修改善了警觉</w:t>
      </w:r>
      <w:r>
        <w:rPr>
          <w:vertAlign w:val="superscript"/>
        </w:rPr>
        <w:t xml:space="preserve">[</w:t>
      </w:r>
      <w:hyperlink w:anchor="ref-1046">
        <w:r>
          <w:rPr>
            <w:rStyle w:val="Hyperlink"/>
            <w:vertAlign w:val="superscript"/>
          </w:rPr>
          <w:t xml:space="preserve">1046</w:t>
        </w:r>
      </w:hyperlink>
      <w:r>
        <w:rPr>
          <w:vertAlign w:val="superscript"/>
        </w:rPr>
        <w:t xml:space="preserve">]</w:t>
      </w:r>
      <w:r>
        <w:t xml:space="preserve">；五天整体身心调节训练改善了执行控制</w:t>
      </w:r>
      <w:r>
        <w:rPr>
          <w:vertAlign w:val="superscript"/>
        </w:rPr>
        <w:t xml:space="preserve">[</w:t>
      </w:r>
      <w:hyperlink w:anchor="ref-976">
        <w:r>
          <w:rPr>
            <w:rStyle w:val="Hyperlink"/>
            <w:vertAlign w:val="superscript"/>
          </w:rPr>
          <w:t xml:space="preserve">976</w:t>
        </w:r>
      </w:hyperlink>
      <w:r>
        <w:rPr>
          <w:vertAlign w:val="superscript"/>
        </w:rPr>
        <w:t xml:space="preserve">]</w:t>
      </w:r>
      <w:r>
        <w:t xml:space="preserve">。一项系统综述纳入 56 项随机研究，对其中 45 项（2238 人）做了元分析，发现正念课程对客观认知的总体效应很小（效应量约 0.15，工作记忆约 0.23），相对候补、常规治疗或不干预等非主动对照有效，相对主动对照没有显示出明确优势；两类对照子组的显著性不同，本身不证明二者的效应有差异，要靠正式的调节分析</w:t>
      </w:r>
      <w:r>
        <w:rPr>
          <w:vertAlign w:val="superscript"/>
        </w:rPr>
        <w:t xml:space="preserve">[</w:t>
      </w:r>
      <w:hyperlink w:anchor="ref-1047">
        <w:r>
          <w:rPr>
            <w:rStyle w:val="Hyperlink"/>
            <w:vertAlign w:val="superscript"/>
          </w:rPr>
          <w:t xml:space="preserve">1047</w:t>
        </w:r>
      </w:hyperlink>
      <w:r>
        <w:rPr>
          <w:vertAlign w:val="superscript"/>
        </w:rPr>
        <w:t xml:space="preserve">]</w:t>
      </w:r>
      <w:r>
        <w:t xml:space="preserve">；一项 585 名老年人参加的大型随机试验中，正念减压在 6 个月和 18 个月时都没有改善记忆和执行功能</w:t>
      </w:r>
      <w:r>
        <w:rPr>
          <w:vertAlign w:val="superscript"/>
        </w:rPr>
        <w:t xml:space="preserve">[</w:t>
      </w:r>
      <w:hyperlink w:anchor="ref-1018">
        <w:r>
          <w:rPr>
            <w:rStyle w:val="Hyperlink"/>
            <w:vertAlign w:val="superscript"/>
          </w:rPr>
          <w:t xml:space="preserve">1018</w:t>
        </w:r>
      </w:hyperlink>
      <w:r>
        <w:rPr>
          <w:vertAlign w:val="superscript"/>
        </w:rPr>
        <w:t xml:space="preserve">]</w:t>
      </w:r>
      <w:r>
        <w:t xml:space="preserve">。</w:t>
      </w:r>
    </w:p>
    <w:p>
      <w:pPr>
        <w:pStyle w:val="CalloutJudgment"/>
      </w:pPr>
      <w:r>
        <w:rPr>
          <w:bCs/>
          <w:b/>
        </w:rPr>
        <w:t xml:space="preserve">判断　</w:t>
      </w:r>
      <w:r>
        <w:t xml:space="preserve">“冥想提升注意力”</w:t>
      </w:r>
      <w:r>
        <w:rPr>
          <w:bCs/>
          <w:b/>
        </w:rPr>
        <w:t xml:space="preserve">部分成立·中</w:t>
      </w:r>
      <w:r>
        <w:t xml:space="preserve">：效应小，依赖测量方式与对照组；课程中学到的注意策略、标准任务成绩、日常功能和工作学习中的远迁移是不同层级，越往后证据越少；“冥想让人注意力全面增强”</w:t>
      </w:r>
      <w:r>
        <w:rPr>
          <w:bCs/>
          <w:b/>
        </w:rPr>
        <w:t xml:space="preserve">夸大·中</w:t>
      </w:r>
      <w:r>
        <w:t xml:space="preserve">。</w:t>
      </w:r>
    </w:p>
    <w:bookmarkEnd w:id="1799"/>
    <w:bookmarkStart w:id="1800" w:name="sec-111-5"/>
    <w:p>
      <w:pPr>
        <w:pStyle w:val="Heading3"/>
      </w:pPr>
      <w:r>
        <w:t xml:space="preserve">111.5　冥想时网络怎样变化：元分析的结果</w:t>
      </w:r>
    </w:p>
    <w:p>
      <w:pPr>
        <w:pStyle w:val="FirstParagraph"/>
      </w:pPr>
      <w:r>
        <w:t xml:space="preserve">2016 年一项元分析梳理了 78 项功能成像研究，对其中 31 个实验、527 名受试者做了定量汇总：专注、念诵、开放觉察、慈心慈悲各有可区分的激活与抑制模式，跨练习类型的趋同是例外；岛叶、辅助运动区、背侧前扣带和前额极在多种练习中反复出现；研究者同时提醒了小样本和发表偏倚的问题</w:t>
      </w:r>
      <w:r>
        <w:rPr>
          <w:vertAlign w:val="superscript"/>
        </w:rPr>
        <w:t xml:space="preserve">[</w:t>
      </w:r>
      <w:hyperlink w:anchor="ref-962">
        <w:r>
          <w:rPr>
            <w:rStyle w:val="Hyperlink"/>
            <w:vertAlign w:val="superscript"/>
          </w:rPr>
          <w:t xml:space="preserve">962</w:t>
        </w:r>
      </w:hyperlink>
      <w:r>
        <w:rPr>
          <w:vertAlign w:val="superscript"/>
        </w:rPr>
        <w:t xml:space="preserve">]</w:t>
      </w:r>
      <w:r>
        <w:t xml:space="preserve">。2026 年一项预注册的坐标元分析汇总了 34 项研究，在合并的冥想状态对比中报告中央盖（论文称罗兰迪克盖）、岛叶、颞上回、辅助运动区和海马及海马旁回的趋同，并对资料较多的专注、开放觉察和念诵三类做了亚组分析；慈心类只有 5 项研究，没有单独分析</w:t>
      </w:r>
      <w:r>
        <w:rPr>
          <w:vertAlign w:val="superscript"/>
        </w:rPr>
        <w:t xml:space="preserve">[</w:t>
      </w:r>
      <w:hyperlink w:anchor="ref-1015">
        <w:r>
          <w:rPr>
            <w:rStyle w:val="Hyperlink"/>
            <w:vertAlign w:val="superscript"/>
          </w:rPr>
          <w:t xml:space="preserve">1015</w:t>
        </w:r>
      </w:hyperlink>
      <w:r>
        <w:rPr>
          <w:vertAlign w:val="superscript"/>
        </w:rPr>
        <w:t xml:space="preserve">]</w:t>
      </w:r>
      <w:r>
        <w:t xml:space="preserve">。合并的结果不保证每种练习都出现同一模式。这篇论文的报告有几处前后不一：摘要写约 700 人，表中各研究的样本数相加约为 827；部分区域的左右侧标注与坐标的正负号不符；方法、表格与图注对坐标空间和多重比较校正方式的写法不一致。引用时宜暂不依赖它的精确侧别和总人数。两项元分析的纳入条件、研究年代、技术分类和分析方法不同，要先对照这些差异，再判断二者的共同点与分歧：一些一般的任务参与成分可能为多种练习共有，另一些成分随技术变化；共有的区域也未必是冥想独有的机制。坐标元分析检验各研究所报告峰值的空间一致性。未经阈值化数据的平均效应和个人识别的准确率，它都估计不了；呼吸、闭眼、姿势、动作准备、默念、听觉材料和一般的任务投入，都可能构成共同的活动，需要匹配的对照来分离。</w:t>
      </w:r>
    </w:p>
    <w:p>
      <w:pPr>
        <w:pStyle w:val="BodyText"/>
      </w:pPr>
      <w:r>
        <w:t xml:space="preserve">研究特质正念的工作得出类似的谨慎结论。对 68 项相关研究的综述发现，特质正念较高的人杏仁核反应较低、额叶和岛叶皮层较厚、默认网络内部连接较弱，作者提醒量表效度有问题，应当告别简单化的解释</w:t>
      </w:r>
      <w:r>
        <w:rPr>
          <w:vertAlign w:val="superscript"/>
        </w:rPr>
        <w:t xml:space="preserve">[</w:t>
      </w:r>
      <w:hyperlink w:anchor="ref-1048">
        <w:r>
          <w:rPr>
            <w:rStyle w:val="Hyperlink"/>
            <w:vertAlign w:val="superscript"/>
          </w:rPr>
          <w:t xml:space="preserve">1048</w:t>
        </w:r>
      </w:hyperlink>
      <w:r>
        <w:rPr>
          <w:vertAlign w:val="superscript"/>
        </w:rPr>
        <w:t xml:space="preserve">]</w:t>
      </w:r>
      <w:r>
        <w:t xml:space="preserve">。一项预注册、来自三个站点 367 人的连接组预测研究，在训练数据中就没有找到能预测总体特质正念的脑连接；“觉知行动”和“不评判”两个分量表的模型在训练数据中有较弱的预测（相关约 0.2），其中只有负向连接网络各自在一个外部数据集中得到验证，换到另一个数据集就失效</w:t>
      </w:r>
      <w:r>
        <w:rPr>
          <w:vertAlign w:val="superscript"/>
        </w:rPr>
        <w:t xml:space="preserve">[</w:t>
      </w:r>
      <w:hyperlink w:anchor="ref-1049">
        <w:r>
          <w:rPr>
            <w:rStyle w:val="Hyperlink"/>
            <w:vertAlign w:val="superscript"/>
          </w:rPr>
          <w:t xml:space="preserve">1049</w:t>
        </w:r>
      </w:hyperlink>
      <w:r>
        <w:rPr>
          <w:vertAlign w:val="superscript"/>
        </w:rPr>
        <w:t xml:space="preserve">]</w:t>
      </w:r>
      <w:r>
        <w:t xml:space="preserve">。这说明“正念有一个通用的脑标记”缺少支持，同时提示分布在全脑的连接模式中，可能含有与个别正念维度有关的微弱信息。2024 年宣布成立的国际“ENIGMA-冥想”联盟，正是因为现有模型建立在小而分散的数据上，计划汇总全球数据做大样本分析</w:t>
      </w:r>
      <w:r>
        <w:rPr>
          <w:vertAlign w:val="superscript"/>
        </w:rPr>
        <w:t xml:space="preserve">[</w:t>
      </w:r>
      <w:hyperlink w:anchor="ref-1050">
        <w:r>
          <w:rPr>
            <w:rStyle w:val="Hyperlink"/>
            <w:vertAlign w:val="superscript"/>
          </w:rPr>
          <w:t xml:space="preserve">1050</w:t>
        </w:r>
      </w:hyperlink>
      <w:r>
        <w:rPr>
          <w:vertAlign w:val="superscript"/>
        </w:rPr>
        <w:t xml:space="preserve">]</w:t>
      </w:r>
      <w:r>
        <w:t xml:space="preserve">；截至本书检索日期，该联盟已发表方法与协作计划。联合主要分析还没有检索到。一篇有影响的综述把冥想的神经效应归纳为三条线：注意控制、情绪调节、自我觉察</w:t>
      </w:r>
      <w:r>
        <w:rPr>
          <w:vertAlign w:val="superscript"/>
        </w:rPr>
        <w:t xml:space="preserve">[</w:t>
      </w:r>
      <w:hyperlink w:anchor="ref-1051">
        <w:r>
          <w:rPr>
            <w:rStyle w:val="Hyperlink"/>
            <w:vertAlign w:val="superscript"/>
          </w:rPr>
          <w:t xml:space="preserve">1051</w:t>
        </w:r>
      </w:hyperlink>
      <w:r>
        <w:rPr>
          <w:vertAlign w:val="superscript"/>
        </w:rPr>
        <w:t xml:space="preserve">]</w:t>
      </w:r>
      <w:r>
        <w:t xml:space="preserve">。</w:t>
      </w:r>
    </w:p>
    <w:p>
      <w:pPr>
        <w:pStyle w:val="BodyText"/>
      </w:pPr>
      <w:r>
        <w:t xml:space="preserve">这些元分析最稳妥的结论是：“冥想”是一组不同的心理活动，不同练习涉及的过程和报告出的激活模式有所差别，能稳定区分各类练习的特异模式还需要检验。任何宣称“冥想激活了某个脑区”的说法，都需要先说明是哪一种冥想。</w:t>
      </w:r>
    </w:p>
    <w:bookmarkEnd w:id="1800"/>
    <w:bookmarkStart w:id="1801" w:name="sec-111-6"/>
    <w:p>
      <w:pPr>
        <w:pStyle w:val="Heading3"/>
      </w:pPr>
      <w:r>
        <w:t xml:space="preserve">111.6　预测加工：一个正在成形的统一解释</w:t>
      </w:r>
    </w:p>
    <w:p>
      <w:pPr>
        <w:pStyle w:val="FirstParagraph"/>
      </w:pPr>
      <w:r>
        <w:t xml:space="preserve">预测加工理论认为，大脑持续预测即将到来的感觉信号，用预测误差来更新预测；高层的、抽象的预测（关于“我是谁”“世界是怎样的”）约束着低层的感知。按这个框架推测，专注类练习可能提高对所选感觉通道的“精度”，开放觉察类练习可能降低高层抽象预测的权重，改变先验预测与感觉证据之间的相对权重</w:t>
      </w:r>
      <w:r>
        <w:rPr>
          <w:vertAlign w:val="superscript"/>
        </w:rPr>
        <w:t xml:space="preserve">[</w:t>
      </w:r>
      <w:hyperlink w:anchor="ref-1052">
        <w:r>
          <w:rPr>
            <w:rStyle w:val="Hyperlink"/>
            <w:vertAlign w:val="superscript"/>
          </w:rPr>
          <w:t xml:space="preserve">1052</w:t>
        </w:r>
      </w:hyperlink>
      <w:r>
        <w:rPr>
          <w:vertAlign w:val="superscript"/>
        </w:rPr>
        <w:t xml:space="preserve">,</w:t>
      </w:r>
      <w:hyperlink w:anchor="ref-1053">
        <w:r>
          <w:rPr>
            <w:rStyle w:val="Hyperlink"/>
            <w:vertAlign w:val="superscript"/>
          </w:rPr>
          <w:t xml:space="preserve">1053</w:t>
        </w:r>
      </w:hyperlink>
      <w:r>
        <w:rPr>
          <w:vertAlign w:val="superscript"/>
        </w:rPr>
        <w:t xml:space="preserve">]</w:t>
      </w:r>
      <w:r>
        <w:t xml:space="preserve">；解构类练习则可能逐步松动关于自我的模型</w:t>
      </w:r>
      <w:r>
        <w:rPr>
          <w:vertAlign w:val="superscript"/>
        </w:rPr>
        <w:t xml:space="preserve">[</w:t>
      </w:r>
      <w:hyperlink w:anchor="ref-1054">
        <w:r>
          <w:rPr>
            <w:rStyle w:val="Hyperlink"/>
            <w:vertAlign w:val="superscript"/>
          </w:rPr>
          <w:t xml:space="preserve">1054</w:t>
        </w:r>
      </w:hyperlink>
      <w:r>
        <w:rPr>
          <w:vertAlign w:val="superscript"/>
        </w:rPr>
        <w:t xml:space="preserve">]</w:t>
      </w:r>
      <w:r>
        <w:t xml:space="preserve">。这里的“精度”是计算上的概念，与不确定性成反比。通俗所说的“注意更准确”是另一种含义；不同层级的精度、先验、学习速率和感觉噪声可能产生相似的行为效应，这些参数能否从数据中区分开，本身就是一个问题。提出解构类练习设想的那篇 2021 年综述把思路推得更远：冥想逐步“压平”预测层级，减少预测在时间上的深度，最深的冥想状态对应预测活动的大幅减弱</w:t>
      </w:r>
      <w:r>
        <w:rPr>
          <w:vertAlign w:val="superscript"/>
        </w:rPr>
        <w:t xml:space="preserve">[</w:t>
      </w:r>
      <w:hyperlink w:anchor="ref-1054">
        <w:r>
          <w:rPr>
            <w:rStyle w:val="Hyperlink"/>
            <w:vertAlign w:val="superscript"/>
          </w:rPr>
          <w:t xml:space="preserve">1054</w:t>
        </w:r>
      </w:hyperlink>
      <w:r>
        <w:rPr>
          <w:vertAlign w:val="superscript"/>
        </w:rPr>
        <w:t xml:space="preserve">]</w:t>
      </w:r>
      <w:r>
        <w:t xml:space="preserve">。2026 年的一篇综述发现，各个模型的共同核心是“精度加权”的重新分配，非二元觉知和灭尽这类高阶状态在模型中基本还没有处理</w:t>
      </w:r>
      <w:r>
        <w:rPr>
          <w:vertAlign w:val="superscript"/>
        </w:rPr>
        <w:t xml:space="preserve">[</w:t>
      </w:r>
      <w:hyperlink w:anchor="ref-1055">
        <w:r>
          <w:rPr>
            <w:rStyle w:val="Hyperlink"/>
            <w:vertAlign w:val="superscript"/>
          </w:rPr>
          <w:t xml:space="preserve">1055</w:t>
        </w:r>
      </w:hyperlink>
      <w:r>
        <w:rPr>
          <w:vertAlign w:val="superscript"/>
        </w:rPr>
        <w:t xml:space="preserve">]</w:t>
      </w:r>
      <w:r>
        <w:t xml:space="preserve">。</w:t>
      </w:r>
    </w:p>
    <w:p>
      <w:pPr>
        <w:pStyle w:val="BodyText"/>
      </w:pPr>
      <w:r>
        <w:t xml:space="preserve">这个框架很有吸引力，因为它把注意、情绪、自我感和高阶冥想体验放进了同一套语言。它的弱点也在这里：预测加工的语言足够灵活，几乎可以事后解释任何结果。一个解释有多可信，要看它是否做出了具体、可能被证伪的预测。已有的一次检验很能说明问题：2018 年一项研究报告，冥想专长与冥想状态会交互影响听觉“失匹配负波”这一预测误差指标</w:t>
      </w:r>
      <w:r>
        <w:rPr>
          <w:vertAlign w:val="superscript"/>
        </w:rPr>
        <w:t xml:space="preserve">[</w:t>
      </w:r>
      <w:hyperlink w:anchor="ref-1056">
        <w:r>
          <w:rPr>
            <w:rStyle w:val="Hyperlink"/>
            <w:vertAlign w:val="superscript"/>
          </w:rPr>
          <w:t xml:space="preserve">1056</w:t>
        </w:r>
      </w:hyperlink>
      <w:r>
        <w:rPr>
          <w:vertAlign w:val="superscript"/>
        </w:rPr>
        <w:t xml:space="preserve">]</w:t>
      </w:r>
      <w:r>
        <w:t xml:space="preserve">；2022 年同一团队用更大的样本重复，没有发现这一效应，贝叶斯分析支持零效应，同时再次看到冥想时 α 活动高于对照状态（这次的对照是观看无声影片）</w:t>
      </w:r>
      <w:r>
        <w:rPr>
          <w:vertAlign w:val="superscript"/>
        </w:rPr>
        <w:t xml:space="preserve">[</w:t>
      </w:r>
      <w:hyperlink w:anchor="ref-1057">
        <w:r>
          <w:rPr>
            <w:rStyle w:val="Hyperlink"/>
            <w:vertAlign w:val="superscript"/>
          </w:rPr>
          <w:t xml:space="preserve">1057</w:t>
        </w:r>
      </w:hyperlink>
      <w:r>
        <w:rPr>
          <w:vertAlign w:val="superscript"/>
        </w:rPr>
        <w:t xml:space="preserve">]</w:t>
      </w:r>
      <w:r>
        <w:t xml:space="preserve">。这次重复检验针对一项具体预测。整个框架的成败，单凭它判断不了；另一方面，如果每遇到反例都能通过调整先验和精度权重重新解释，这个框架能被数据推翻的预测就会很少。较好的检验需要事先说明训练改变的是哪一层级的哪个参数，对行为、神经时序和条件之间的交互给出方向明确的预测，与普通的注意、放松或期待模型比较，在预注册中写明哪些结果算作失败，并检验参数能否从数据中恢复、能否预测新的样本。</w:t>
      </w:r>
    </w:p>
    <w:p>
      <w:pPr>
        <w:pStyle w:val="CalloutJudgment"/>
      </w:pPr>
      <w:r>
        <w:rPr>
          <w:bCs/>
          <w:b/>
        </w:rPr>
        <w:t xml:space="preserve">判断　</w:t>
      </w:r>
      <w:r>
        <w:t xml:space="preserve">“冥想压平了大脑的预测层级”</w:t>
      </w:r>
      <w:r>
        <w:rPr>
          <w:bCs/>
          <w:b/>
        </w:rPr>
        <w:t xml:space="preserve">证据不足·低</w:t>
      </w:r>
      <w:r>
        <w:t xml:space="preserve">：目前是理论模型，尚缺直接检验；“预测加工能统一解释冥想的效果”</w:t>
      </w:r>
      <w:r>
        <w:rPr>
          <w:bCs/>
          <w:b/>
        </w:rPr>
        <w:t xml:space="preserve">证据不足·低</w:t>
      </w:r>
      <w:r>
        <w:t xml:space="preserve">：作为研究框架有价值，一项具体预测已经没能重复，解释力取决于今后能否给出并通过可被推翻的预测。</w:t>
      </w:r>
    </w:p>
    <w:bookmarkEnd w:id="1801"/>
    <w:bookmarkEnd w:id="1802"/>
    <w:bookmarkStart w:id="1813" w:name="ch-112"/>
    <w:p>
      <w:pPr>
        <w:pStyle w:val="Heading2"/>
      </w:pPr>
      <w:r>
        <w:t xml:space="preserve">第112章　冥想与递质、激素和分子指标</w:t>
      </w:r>
    </w:p>
    <w:p>
      <w:pPr>
        <w:pStyle w:val="FirstParagraph"/>
      </w:pPr>
      <w:r>
        <w:t xml:space="preserve">关于冥想的化学说法数量最多，人体直接测量却最少。测量脑内化学的一般方法与限制见</w:t>
      </w:r>
      <w:hyperlink w:anchor="ch-94">
        <w:r>
          <w:rPr>
            <w:rStyle w:val="Hyperlink"/>
          </w:rPr>
          <w:t xml:space="preserve">第94章</w:t>
        </w:r>
      </w:hyperlink>
      <w:r>
        <w:t xml:space="preserve">。就本书检索所及（以 PubMed 为主，截至 2026 年 10 月），在冥想进行中用竞争性配体的正电子发射断层扫描推算内源性递质释放的研究只有一项，受试者 8 人</w:t>
      </w:r>
      <w:r>
        <w:rPr>
          <w:vertAlign w:val="superscript"/>
        </w:rPr>
        <w:t xml:space="preserve">[</w:t>
      </w:r>
      <w:hyperlink w:anchor="ref-972">
        <w:r>
          <w:rPr>
            <w:rStyle w:val="Hyperlink"/>
            <w:vertAlign w:val="superscript"/>
          </w:rPr>
          <w:t xml:space="preserve">972</w:t>
        </w:r>
      </w:hyperlink>
      <w:r>
        <w:rPr>
          <w:vertAlign w:val="superscript"/>
        </w:rPr>
        <w:t xml:space="preserve">]</w:t>
      </w:r>
      <w:r>
        <w:t xml:space="preserve">；测血流、代谢、受体密度或转运体的成像不属于这一类。另有一项无对照的初步研究，在一周灵性静修前后用单光子发射断层扫描测量了多巴胺和血清素转运体的结合</w:t>
      </w:r>
      <w:r>
        <w:rPr>
          <w:vertAlign w:val="superscript"/>
        </w:rPr>
        <w:t xml:space="preserve">[</w:t>
      </w:r>
      <w:hyperlink w:anchor="ref-1058">
        <w:r>
          <w:rPr>
            <w:rStyle w:val="Hyperlink"/>
            <w:vertAlign w:val="superscript"/>
          </w:rPr>
          <w:t xml:space="preserve">1058</w:t>
        </w:r>
      </w:hyperlink>
      <w:r>
        <w:rPr>
          <w:vertAlign w:val="superscript"/>
        </w:rPr>
        <w:t xml:space="preserve">]</w:t>
      </w:r>
      <w:r>
        <w:t xml:space="preserve">，转运体结合的变化不能直接换算成递质释放。2026 年一篇汇总 105 项宗教与灵性练习神经科学研究的系统综述也没有收录更多同类研究</w:t>
      </w:r>
      <w:r>
        <w:rPr>
          <w:vertAlign w:val="superscript"/>
        </w:rPr>
        <w:t xml:space="preserve">[</w:t>
      </w:r>
      <w:hyperlink w:anchor="ref-1059">
        <w:r>
          <w:rPr>
            <w:rStyle w:val="Hyperlink"/>
            <w:vertAlign w:val="superscript"/>
          </w:rPr>
          <w:t xml:space="preserve">1059</w:t>
        </w:r>
      </w:hyperlink>
      <w:r>
        <w:rPr>
          <w:vertAlign w:val="superscript"/>
        </w:rPr>
        <w:t xml:space="preserve">]</w:t>
      </w:r>
      <w:r>
        <w:t xml:space="preserve">。这篇综述涵盖祈祷、诵经、灵媒出神等多种练习，结论措辞偏积极，例如把长期练习者与常人的结构差异概括为“神经可塑性改变”，它只能当作检索范围的旁证。所以，大部分“冥想提升某某激素”的说法要么来自血液、唾液或尿液里的外周指标，要么来自单个小研究，要么来自动物实验的外推。</w:t>
      </w:r>
    </w:p>
    <w:bookmarkStart w:id="1803" w:name="sec-112-1"/>
    <w:p>
      <w:pPr>
        <w:pStyle w:val="Heading3"/>
      </w:pPr>
      <w:r>
        <w:t xml:space="preserve">112.1　多巴胺：“增加 65%”从哪里来</w:t>
      </w:r>
    </w:p>
    <w:p>
      <w:pPr>
        <w:pStyle w:val="FirstParagraph"/>
      </w:pPr>
      <w:r>
        <w:t xml:space="preserve">冥想与多巴胺的直接证据几乎都来自一项研究。2002 年，丹麦研究者用正电子发射断层扫描测量 8 名有经验的瑜伽休息术（Yoga Nidra）练习者，与闭眼听讲话的对照条件相比，练习时腹侧纹状体的示踪剂结合下降 7.9%，论文写道这“相当于内源性多巴胺释放增加 65%”；同一研究中，受试者在两种条件下的愉悦感和放松深度并没有差别</w:t>
      </w:r>
      <w:r>
        <w:rPr>
          <w:vertAlign w:val="superscript"/>
        </w:rPr>
        <w:t xml:space="preserve">[</w:t>
      </w:r>
      <w:hyperlink w:anchor="ref-972">
        <w:r>
          <w:rPr>
            <w:rStyle w:val="Hyperlink"/>
            <w:vertAlign w:val="superscript"/>
          </w:rPr>
          <w:t xml:space="preserve">972</w:t>
        </w:r>
      </w:hyperlink>
      <w:r>
        <w:rPr>
          <w:vertAlign w:val="superscript"/>
        </w:rPr>
        <w:t xml:space="preserve">]</w:t>
      </w:r>
      <w:r>
        <w:t xml:space="preserve">。“冥想让多巴胺增加 65%”就出自这里。这个数字有几个限制：只有 8 人；练习方式是引导式深度放松，与一般正念练习差别很大；“65%”是从结合率变化推算出来的估计值，只对应腹侧纹状体这一处的条件差异。从示踪剂结合的下降换算多巴胺浓度的上升，需要借用动物药理研究中的比例：论文的数字相当于每 1% 的结合下降对应约 8% 的多巴胺上升。在一项用 4 只猴子做的苯丙胺校准研究中，这一比例约为 44 比 1</w:t>
      </w:r>
      <w:r>
        <w:rPr>
          <w:vertAlign w:val="superscript"/>
        </w:rPr>
        <w:t xml:space="preserve">[</w:t>
      </w:r>
      <w:hyperlink w:anchor="ref-1060">
        <w:r>
          <w:rPr>
            <w:rStyle w:val="Hyperlink"/>
            <w:vertAlign w:val="superscript"/>
          </w:rPr>
          <w:t xml:space="preserve">1060</w:t>
        </w:r>
      </w:hyperlink>
      <w:r>
        <w:rPr>
          <w:vertAlign w:val="superscript"/>
        </w:rPr>
        <w:t xml:space="preserve">]</w:t>
      </w:r>
      <w:r>
        <w:t xml:space="preserve">。两项研究的比例相差数倍，说明这类换算对示踪剂、药物挑战和测量条件很敏感，用来推算人在放松状态下的细微变化，不确定性很大。比例不一致证明不了 65% 算错，用 7.9% 乘以 44 也得不出一个“更正确”的数字：不同研究的配体、药物挑战、基线水平、动力学时间窗和脑区各不相同，换算参数没有理由直接搬用。配体结合的变化还可能受受体可用性、亲和状态、受体内化、血流和模型设定的影响；列出这些可能性，用意在于说明这个数字成立需要哪些条件。它们是否真的影响了原结果，还没有被证明。“65%”也不能读成全脑多巴胺增加 65%，更不能读成愉悦增加 65%。按本书的检索范围，截至 2026 年 10 月没有找到独立的同类重复，精确的幅度仍待确认。间接指标也给不出答案。自发眨眼频率常被当作纹状体多巴胺的粗略代理指标，它受疲劳、眼部状态、药物和任务等许多因素影响；一项 20 人的正电子发射断层扫描研究没有发现它与纹状体多巴胺合成能力正相关</w:t>
      </w:r>
      <w:r>
        <w:rPr>
          <w:vertAlign w:val="superscript"/>
        </w:rPr>
        <w:t xml:space="preserve">[</w:t>
      </w:r>
      <w:hyperlink w:anchor="ref-1061">
        <w:r>
          <w:rPr>
            <w:rStyle w:val="Hyperlink"/>
            <w:vertAlign w:val="superscript"/>
          </w:rPr>
          <w:t xml:space="preserve">1061</w:t>
        </w:r>
      </w:hyperlink>
      <w:r>
        <w:rPr>
          <w:vertAlign w:val="superscript"/>
        </w:rPr>
        <w:t xml:space="preserve">]</w:t>
      </w:r>
      <w:r>
        <w:t xml:space="preserve">。长期冥想者的眨眼频率较低，八周正念减压没有改变它</w:t>
      </w:r>
      <w:r>
        <w:rPr>
          <w:vertAlign w:val="superscript"/>
        </w:rPr>
        <w:t xml:space="preserve">[</w:t>
      </w:r>
      <w:hyperlink w:anchor="ref-1062">
        <w:r>
          <w:rPr>
            <w:rStyle w:val="Hyperlink"/>
            <w:vertAlign w:val="superscript"/>
          </w:rPr>
          <w:t xml:space="preserve">1062</w:t>
        </w:r>
      </w:hyperlink>
      <w:r>
        <w:rPr>
          <w:vertAlign w:val="superscript"/>
        </w:rPr>
        <w:t xml:space="preserve">]</w:t>
      </w:r>
      <w:r>
        <w:t xml:space="preserve">，这只说明这个代理指标没有出现预期的变化。个案研究中，一位资深练习者进入禅那状态时伏隔核激活</w:t>
      </w:r>
      <w:r>
        <w:rPr>
          <w:vertAlign w:val="superscript"/>
        </w:rPr>
        <w:t xml:space="preserve">[</w:t>
      </w:r>
      <w:hyperlink w:anchor="ref-1026">
        <w:r>
          <w:rPr>
            <w:rStyle w:val="Hyperlink"/>
            <w:vertAlign w:val="superscript"/>
          </w:rPr>
          <w:t xml:space="preserve">1026</w:t>
        </w:r>
      </w:hyperlink>
      <w:r>
        <w:rPr>
          <w:vertAlign w:val="superscript"/>
        </w:rPr>
        <w:t xml:space="preserve">]</w:t>
      </w:r>
      <w:r>
        <w:t xml:space="preserve">，这同样只是一个人的功能磁共振数据。研究没有测量多巴胺。</w:t>
      </w:r>
    </w:p>
    <w:p>
      <w:pPr>
        <w:pStyle w:val="CalloutMyth"/>
      </w:pPr>
      <w:r>
        <w:rPr>
          <w:bCs/>
          <w:b/>
        </w:rPr>
        <w:t xml:space="preserve">误解　</w:t>
      </w:r>
      <w:r>
        <w:t xml:space="preserve">冥想能让多巴胺增加 65%，所以冥想的快乐比刷手机更“高级”。</w:t>
      </w:r>
    </w:p>
    <w:p>
      <w:pPr>
        <w:pStyle w:val="CalloutMyth"/>
      </w:pPr>
      <w:r>
        <w:rPr>
          <w:bCs/>
          <w:b/>
        </w:rPr>
        <w:t xml:space="preserve">实况　</w:t>
      </w:r>
      <w:r>
        <w:t xml:space="preserve">这个数字来自一项 8 人、一种特殊练习的研究（每人在对照和练习条件下各扫描一次），属于推算值，至今没有独立重复；同一研究中受试者并没有报告更多的愉悦。冥想与奖赏系统的关系目前主要是理论推论。</w:t>
      </w:r>
    </w:p>
    <w:p>
      <w:pPr>
        <w:pStyle w:val="CalloutJudgment"/>
      </w:pPr>
      <w:r>
        <w:rPr>
          <w:bCs/>
          <w:b/>
        </w:rPr>
        <w:t xml:space="preserve">判断　</w:t>
      </w:r>
      <w:r>
        <w:t xml:space="preserve">“一项研究报告练习时腹侧纹状体的多巴胺释放约增加 65%”，作为对原论文的转述是准确的，这是该论文依据配体结合变化推算出的数字；“冥想让多巴胺增加 65%”作为一般结论</w:t>
      </w:r>
      <w:r>
        <w:rPr>
          <w:bCs/>
          <w:b/>
        </w:rPr>
        <w:t xml:space="preserve">证据不足·高</w:t>
      </w:r>
      <w:r>
        <w:t xml:space="preserve">。</w:t>
      </w:r>
    </w:p>
    <w:bookmarkEnd w:id="1803"/>
    <w:bookmarkStart w:id="1804" w:name="sec-112-2"/>
    <w:p>
      <w:pPr>
        <w:pStyle w:val="Heading3"/>
      </w:pPr>
      <w:r>
        <w:t xml:space="preserve">112.2　血清素与肠道菌群</w:t>
      </w:r>
    </w:p>
    <w:p>
      <w:pPr>
        <w:pStyle w:val="FirstParagraph"/>
      </w:pPr>
      <w:r>
        <w:t xml:space="preserve">冥想与脑内血清素的直接人体证据仍很有限，现有的都是外周测量，设计也不相同。一项急性对照实验发现，一小时冥想和一小时安静休息之后，血液血清素都下降了，作者认为它可能只是“一般休息”的标志</w:t>
      </w:r>
      <w:r>
        <w:rPr>
          <w:vertAlign w:val="superscript"/>
        </w:rPr>
        <w:t xml:space="preserve">[</w:t>
      </w:r>
      <w:hyperlink w:anchor="ref-1063">
        <w:r>
          <w:rPr>
            <w:rStyle w:val="Hyperlink"/>
            <w:vertAlign w:val="superscript"/>
          </w:rPr>
          <w:t xml:space="preserve">1063</w:t>
        </w:r>
      </w:hyperlink>
      <w:r>
        <w:rPr>
          <w:vertAlign w:val="superscript"/>
        </w:rPr>
        <w:t xml:space="preserve">]</w:t>
      </w:r>
      <w:r>
        <w:t xml:space="preserve">；2023 年斯里兰卡的一项横断面比较中，30 名长期练习内观的人与 30 名按年龄、性别和受教育程度一一匹配的不练习者相比，清晨空腹采血测得的血清血清素和褪黑素都较高</w:t>
      </w:r>
      <w:r>
        <w:rPr>
          <w:vertAlign w:val="superscript"/>
        </w:rPr>
        <w:t xml:space="preserve">[</w:t>
      </w:r>
      <w:hyperlink w:anchor="ref-1064">
        <w:r>
          <w:rPr>
            <w:rStyle w:val="Hyperlink"/>
            <w:vertAlign w:val="superscript"/>
          </w:rPr>
          <w:t xml:space="preserve">1064</w:t>
        </w:r>
      </w:hyperlink>
      <w:r>
        <w:rPr>
          <w:vertAlign w:val="superscript"/>
        </w:rPr>
        <w:t xml:space="preserve">]</w:t>
      </w:r>
      <w:r>
        <w:t xml:space="preserve">。前者检验一个时段内的变化，后者比较不同人群的既有差异；饮食、睡眠、生活方式、血小板储存和采样条件都可能参与其中，作者用了“冥想提高了”这样的因果措辞，横断面设计支持不了这种说法。两类研究都不能确定冥想是否增加脑内的血清素释放。</w:t>
      </w:r>
    </w:p>
    <w:p>
      <w:pPr>
        <w:pStyle w:val="BodyText"/>
      </w:pPr>
      <w:r>
        <w:t xml:space="preserve">近几年还流行一种跨界说法：冥想重塑肠道菌群，菌群再经“脑肠轴”提升血清素、改善情绪。直接证据数量很少，设计各不相同。横断面比较方面，2023 年一项研究比较了 37 名藏传佛教僧侣与 19 名邻近居民（全部为男性）的粪便菌群，僧侣组普雷沃氏菌、拟杆菌等菌属更丰富，血液总胆固醇也更低，论文据此推断长期冥想可能有益身心健康</w:t>
      </w:r>
      <w:r>
        <w:rPr>
          <w:vertAlign w:val="superscript"/>
        </w:rPr>
        <w:t xml:space="preserve">[</w:t>
      </w:r>
      <w:hyperlink w:anchor="ref-1065">
        <w:r>
          <w:rPr>
            <w:rStyle w:val="Hyperlink"/>
            <w:vertAlign w:val="superscript"/>
          </w:rPr>
          <w:t xml:space="preserve">1065</w:t>
        </w:r>
      </w:hyperlink>
      <w:r>
        <w:rPr>
          <w:vertAlign w:val="superscript"/>
        </w:rPr>
        <w:t xml:space="preserve">]</w:t>
      </w:r>
      <w:r>
        <w:t xml:space="preserve">。论文称两组的饮食结构相同，没有说明怎样评估饮食，作息、体力活动和生活条件也没有控制；对照组的菌群 α 多样性反而更高，“某些菌属更丰富”不等于菌群整体更多样，菌群的功能也只是根据菌种组成推测的。前后比较方面，2022 年一项研究让 25 名特质焦虑较高的青年参加八周正念认知疗法（21 人完成），焦虑减轻，菌群的 β 多样性向 29 名焦虑较低的健康青年靠近，α 多样性没有变化</w:t>
      </w:r>
      <w:r>
        <w:rPr>
          <w:vertAlign w:val="superscript"/>
        </w:rPr>
        <w:t xml:space="preserve">[</w:t>
      </w:r>
      <w:hyperlink w:anchor="ref-1066">
        <w:r>
          <w:rPr>
            <w:rStyle w:val="Hyperlink"/>
            <w:vertAlign w:val="superscript"/>
          </w:rPr>
          <w:t xml:space="preserve">1066</w:t>
        </w:r>
      </w:hyperlink>
      <w:r>
        <w:rPr>
          <w:vertAlign w:val="superscript"/>
        </w:rPr>
        <w:t xml:space="preserve">]</w:t>
      </w:r>
      <w:r>
        <w:t xml:space="preserve">；健康青年是参照组，分组也没有随机，论文摘要与正文对几种菌属变化方向的描述也互相矛盾。2025 年一项 24 人、9 天的强化静修研究（期间统一吃素食）只有一个组，肠道菌群组成随时间改变，α 多样性没有变化，研究没有测量任何心理结局</w:t>
      </w:r>
      <w:r>
        <w:rPr>
          <w:vertAlign w:val="superscript"/>
        </w:rPr>
        <w:t xml:space="preserve">[</w:t>
      </w:r>
      <w:hyperlink w:anchor="ref-1067">
        <w:r>
          <w:rPr>
            <w:rStyle w:val="Hyperlink"/>
            <w:vertAlign w:val="superscript"/>
          </w:rPr>
          <w:t xml:space="preserve">1067</w:t>
        </w:r>
      </w:hyperlink>
      <w:r>
        <w:rPr>
          <w:vertAlign w:val="superscript"/>
        </w:rPr>
        <w:t xml:space="preserve">]</w:t>
      </w:r>
      <w:r>
        <w:t xml:space="preserve">。随机试验方面，2025 年一项 1221 名有小于胎龄儿高风险的孕妇参加的三臂随机试验（常规照护、地中海饮食、正念减压）在随机抽取的 351 人中做了探索性的菌群分析：地中海饮食组的菌群组成与常规照护组有小而显著的差别（解释约 0.8% 的变异），正念减压组的整体组成没有显著差别，只有个别菌属与之相关；只有 85 人留有入组时的基线样本</w:t>
      </w:r>
      <w:r>
        <w:rPr>
          <w:vertAlign w:val="superscript"/>
        </w:rPr>
        <w:t xml:space="preserve">[</w:t>
      </w:r>
      <w:hyperlink w:anchor="ref-1068">
        <w:r>
          <w:rPr>
            <w:rStyle w:val="Hyperlink"/>
            <w:vertAlign w:val="superscript"/>
          </w:rPr>
          <w:t xml:space="preserve">1068</w:t>
        </w:r>
      </w:hyperlink>
      <w:r>
        <w:rPr>
          <w:vertAlign w:val="superscript"/>
        </w:rPr>
        <w:t xml:space="preserve">]</w:t>
      </w:r>
      <w:r>
        <w:t xml:space="preserve">。这些研究都没有测量大脑血清素，也没有检验“冥想改变菌群、菌群再改善情绪”这条因果链；要检验它，需要按时间先后测量菌群、代谢产物、候选通路和情绪，同时控制饮食和用药，并说明干预是否改变了中介变量、中介与结局之间的混杂是否得到控制。读这类研究还有几个技术细节：菌群数据是相对丰度，一个菌属的占比上升，不一定是它的绝对数量增加；同时检验大量菌属、代谢通路和心理指标时，需要说明多重比较怎样控制、哪些是事先设定的假设；α 多样性的高低也没有对所有宿主都适用的好坏方向。</w:t>
      </w:r>
    </w:p>
    <w:p>
      <w:pPr>
        <w:pStyle w:val="CalloutJudgment"/>
      </w:pPr>
      <w:r>
        <w:rPr>
          <w:bCs/>
          <w:b/>
        </w:rPr>
        <w:t xml:space="preserve">判断　</w:t>
      </w:r>
      <w:r>
        <w:t xml:space="preserve">“冥想提升大脑血清素”</w:t>
      </w:r>
      <w:r>
        <w:rPr>
          <w:bCs/>
          <w:b/>
        </w:rPr>
        <w:t xml:space="preserve">证据不足·高</w:t>
      </w:r>
      <w:r>
        <w:t xml:space="preserve">：外周血清的差异只有一项横断面报告，推不出脑内的变化；“冥想改变肠道菌群的组成”</w:t>
      </w:r>
      <w:r>
        <w:rPr>
          <w:bCs/>
          <w:b/>
        </w:rPr>
        <w:t xml:space="preserve">证据不足·中</w:t>
      </w:r>
      <w:r>
        <w:t xml:space="preserve">；“冥想经由肠道菌群改善情绪”</w:t>
      </w:r>
      <w:r>
        <w:rPr>
          <w:bCs/>
          <w:b/>
        </w:rPr>
        <w:t xml:space="preserve">证据不足·高</w:t>
      </w:r>
      <w:r>
        <w:t xml:space="preserve">。</w:t>
      </w:r>
    </w:p>
    <w:bookmarkEnd w:id="1804"/>
    <w:bookmarkStart w:id="1805" w:name="sec-112-3"/>
    <w:p>
      <w:pPr>
        <w:pStyle w:val="Heading3"/>
      </w:pPr>
      <w:r>
        <w:t xml:space="preserve">112.3　冥想镇痛与内源性阿片</w:t>
      </w:r>
    </w:p>
    <w:p>
      <w:pPr>
        <w:pStyle w:val="FirstParagraph"/>
      </w:pPr>
      <w:r>
        <w:t xml:space="preserve">冥想镇痛的阻断实验结论不一致。一项 78 名健康新手参加的随机研究中（纳洛酮与生理盐水的给药为双盲），静脉注射阿片受体阻断剂纳洛酮后，正念冥想的镇痛效果依然存在</w:t>
      </w:r>
      <w:r>
        <w:rPr>
          <w:vertAlign w:val="superscript"/>
        </w:rPr>
        <w:t xml:space="preserve">[</w:t>
      </w:r>
      <w:hyperlink w:anchor="ref-986">
        <w:r>
          <w:rPr>
            <w:rStyle w:val="Hyperlink"/>
            <w:vertAlign w:val="superscript"/>
          </w:rPr>
          <w:t xml:space="preserve">986</w:t>
        </w:r>
      </w:hyperlink>
      <w:r>
        <w:rPr>
          <w:vertAlign w:val="superscript"/>
        </w:rPr>
        <w:t xml:space="preserve">]</w:t>
      </w:r>
      <w:r>
        <w:t xml:space="preserve">；在慢性腰痛患者中也是如此</w:t>
      </w:r>
      <w:r>
        <w:rPr>
          <w:vertAlign w:val="superscript"/>
        </w:rPr>
        <w:t xml:space="preserve">[</w:t>
      </w:r>
      <w:hyperlink w:anchor="ref-1069">
        <w:r>
          <w:rPr>
            <w:rStyle w:val="Hyperlink"/>
            <w:vertAlign w:val="superscript"/>
          </w:rPr>
          <w:t xml:space="preserve">1069</w:t>
        </w:r>
      </w:hyperlink>
      <w:r>
        <w:rPr>
          <w:vertAlign w:val="superscript"/>
        </w:rPr>
        <w:t xml:space="preserve">]</w:t>
      </w:r>
      <w:r>
        <w:t xml:space="preserve">。一项 15 名资深练习者（最终分析 14 人）的小型交叉研究报告，注射生理盐水后冥想仍能减轻疼痛，注射纳洛酮后这一下降不再显著，作者据此认为冥想镇痛依赖内源性阿片</w:t>
      </w:r>
      <w:r>
        <w:rPr>
          <w:vertAlign w:val="superscript"/>
        </w:rPr>
        <w:t xml:space="preserve">[</w:t>
      </w:r>
      <w:hyperlink w:anchor="ref-1070">
        <w:r>
          <w:rPr>
            <w:rStyle w:val="Hyperlink"/>
            <w:vertAlign w:val="superscript"/>
          </w:rPr>
          <w:t xml:space="preserve">1070</w:t>
        </w:r>
      </w:hyperlink>
      <w:r>
        <w:rPr>
          <w:vertAlign w:val="superscript"/>
        </w:rPr>
        <w:t xml:space="preserve">]</w:t>
      </w:r>
      <w:r>
        <w:t xml:space="preserve">。研究报告了时间与条件的总体交互作用，后续检验却只比较了每种条件内部冥想前后的变化，没有直接比较纳洛酮和生理盐水条件下的镇痛幅度；“一个条件显著、另一个不显著”本身不等于两者的差异显著，其他研究者在评论中也指出了这一点</w:t>
      </w:r>
      <w:r>
        <w:rPr>
          <w:vertAlign w:val="superscript"/>
        </w:rPr>
        <w:t xml:space="preserve">[</w:t>
      </w:r>
      <w:hyperlink w:anchor="ref-1071">
        <w:r>
          <w:rPr>
            <w:rStyle w:val="Hyperlink"/>
            <w:vertAlign w:val="superscript"/>
          </w:rPr>
          <w:t xml:space="preserve">1071</w:t>
        </w:r>
      </w:hyperlink>
      <w:r>
        <w:rPr>
          <w:vertAlign w:val="superscript"/>
        </w:rPr>
        <w:t xml:space="preserve">]</w:t>
      </w:r>
      <w:r>
        <w:t xml:space="preserve">。“纳洛酮消除了冥想镇痛”因此是偏强的结论。另一项 32 名资深冥想者的双盲交叉试验结果相反，注射纳洛酮后冥想时的疼痛强度和不愉快感都比注射生理盐水时更轻，这是两种条件之间的直接比较（效应量约 0.6）</w:t>
      </w:r>
      <w:r>
        <w:rPr>
          <w:vertAlign w:val="superscript"/>
        </w:rPr>
        <w:t xml:space="preserve">[</w:t>
      </w:r>
      <w:hyperlink w:anchor="ref-1072">
        <w:r>
          <w:rPr>
            <w:rStyle w:val="Hyperlink"/>
            <w:vertAlign w:val="superscript"/>
          </w:rPr>
          <w:t xml:space="preserve">1072</w:t>
        </w:r>
      </w:hyperlink>
      <w:r>
        <w:rPr>
          <w:vertAlign w:val="superscript"/>
        </w:rPr>
        <w:t xml:space="preserve">]</w:t>
      </w:r>
      <w:r>
        <w:t xml:space="preserve">。2024 年一项分析合并了两项试验的 98 人，把正念冥想组和假冥想组合在一起，统称为“自我调节镇痛”：男性的这种镇痛在注射纳洛酮后明显减弱、不再显著（与生理盐水条件直接比较，p = 0.01），女性则不受影响</w:t>
      </w:r>
      <w:r>
        <w:rPr>
          <w:vertAlign w:val="superscript"/>
        </w:rPr>
        <w:t xml:space="preserve">[</w:t>
      </w:r>
      <w:hyperlink w:anchor="ref-1073">
        <w:r>
          <w:rPr>
            <w:rStyle w:val="Hyperlink"/>
            <w:vertAlign w:val="superscript"/>
          </w:rPr>
          <w:t xml:space="preserve">1073</w:t>
        </w:r>
      </w:hyperlink>
      <w:r>
        <w:rPr>
          <w:vertAlign w:val="superscript"/>
        </w:rPr>
        <w:t xml:space="preserve">]</w:t>
      </w:r>
      <w:r>
        <w:t xml:space="preserve">；性别、输注（纳洛酮或生理盐水）与状态（休息或冥想）三者的交互检验 p = 0.04，这是这一发现的关键。这一结果针对包括假冥想在内的广义自我调节，属于合并两项试验数据的机制分析。性别不是随机分配的，差异可能随疾病状态、剂量、期待和统计功效而变；“男性冥想靠内啡肽、女性不靠”这种说法，现有数据支持不了，还需要独立重复。阻断实验能检验阿片受体是否必需，前提是药物剂量在相关时间窗内达到足够的受体占据，并直接检验药物与练习的交互。阻断后效果仍在，会削弱“在该条件下完全依赖这类受体”的假说。并行通路、代偿和局部参与仍有可能；阻断后效果改变，也确定不了具体是哪一种阿片肽在起作用。</w:t>
      </w:r>
    </w:p>
    <w:p>
      <w:pPr>
        <w:pStyle w:val="CalloutJudgment"/>
      </w:pPr>
      <w:r>
        <w:rPr>
          <w:bCs/>
          <w:b/>
        </w:rPr>
        <w:t xml:space="preserve">判断　</w:t>
      </w:r>
      <w:r>
        <w:t xml:space="preserve">“冥想通过释放内啡肽止痛”</w:t>
      </w:r>
      <w:r>
        <w:rPr>
          <w:bCs/>
          <w:b/>
        </w:rPr>
        <w:t xml:space="preserve">过度简化·中</w:t>
      </w:r>
      <w:r>
        <w:t xml:space="preserve">：若干实验中阿片阻断没有消除正念镇痛，另有研究提示部分依赖阿片系统，结果可能与性别或练习经验有关，现有证据不足以用单一递质解释冥想镇痛；“冥想提升内源性大麻素”</w:t>
      </w:r>
      <w:r>
        <w:rPr>
          <w:bCs/>
          <w:b/>
        </w:rPr>
        <w:t xml:space="preserve">证据不足·低</w:t>
      </w:r>
      <w:r>
        <w:t xml:space="preserve">。</w:t>
      </w:r>
    </w:p>
    <w:bookmarkEnd w:id="1805"/>
    <w:bookmarkStart w:id="1806" w:name="sec-112-4"/>
    <w:p>
      <w:pPr>
        <w:pStyle w:val="Heading3"/>
      </w:pPr>
      <w:r>
        <w:t xml:space="preserve">112.4　催产素</w:t>
      </w:r>
    </w:p>
    <w:p>
      <w:pPr>
        <w:pStyle w:val="FirstParagraph"/>
      </w:pPr>
      <w:r>
        <w:t xml:space="preserve">冥想与催产素的研究结果方向不一。德国“资源计划”中，社会应激会引起催产素释放，与训练无关；三个月慈悲类训练后，应激时的催产素整体下降，慈心练习时上升，催产素的变化也没有在统计上解释训练的应激缓冲作用</w:t>
      </w:r>
      <w:r>
        <w:rPr>
          <w:vertAlign w:val="superscript"/>
        </w:rPr>
        <w:t xml:space="preserve">[</w:t>
      </w:r>
      <w:hyperlink w:anchor="ref-1074">
        <w:r>
          <w:rPr>
            <w:rStyle w:val="Hyperlink"/>
            <w:vertAlign w:val="superscript"/>
          </w:rPr>
          <w:t xml:space="preserve">1074</w:t>
        </w:r>
      </w:hyperlink>
      <w:r>
        <w:rPr>
          <w:vertAlign w:val="superscript"/>
        </w:rPr>
        <w:t xml:space="preserve">]</w:t>
      </w:r>
      <w:r>
        <w:t xml:space="preserve">。一项一个月的内观静修研究在静修开始时和三周后采血，28 名静修者的血浆催产素相对 34 名经验相近的对照小幅下降，血管加压素在两组都下降</w:t>
      </w:r>
      <w:r>
        <w:rPr>
          <w:vertAlign w:val="superscript"/>
        </w:rPr>
        <w:t xml:space="preserve">[</w:t>
      </w:r>
      <w:hyperlink w:anchor="ref-1075">
        <w:r>
          <w:rPr>
            <w:rStyle w:val="Hyperlink"/>
            <w:vertAlign w:val="superscript"/>
          </w:rPr>
          <w:t xml:space="preserve">1075</w:t>
        </w:r>
      </w:hyperlink>
      <w:r>
        <w:rPr>
          <w:vertAlign w:val="superscript"/>
        </w:rPr>
        <w:t xml:space="preserve">]</w:t>
      </w:r>
      <w:r>
        <w:t xml:space="preserve">；作者讨论了外周测定方法的局限，这一结果只能当作初步发现。不同状态下测到的升降，也不能拼成一个统一的长期基线趋势。</w:t>
      </w:r>
    </w:p>
    <w:p>
      <w:pPr>
        <w:pStyle w:val="CalloutJudgment"/>
      </w:pPr>
      <w:r>
        <w:rPr>
          <w:bCs/>
          <w:b/>
        </w:rPr>
        <w:t xml:space="preserve">判断　</w:t>
      </w:r>
      <w:r>
        <w:t xml:space="preserve">“慈心冥想提升催产素”</w:t>
      </w:r>
      <w:r>
        <w:rPr>
          <w:bCs/>
          <w:b/>
        </w:rPr>
        <w:t xml:space="preserve">证据不足·中</w:t>
      </w:r>
      <w:r>
        <w:t xml:space="preserve">。</w:t>
      </w:r>
    </w:p>
    <w:bookmarkEnd w:id="1806"/>
    <w:bookmarkStart w:id="1807" w:name="sec-112-5"/>
    <w:p>
      <w:pPr>
        <w:pStyle w:val="Heading3"/>
      </w:pPr>
      <w:r>
        <w:t xml:space="preserve">112.5　皮质醇与应激激素轴</w:t>
      </w:r>
    </w:p>
    <w:p>
      <w:pPr>
        <w:pStyle w:val="FirstParagraph"/>
      </w:pPr>
      <w:r>
        <w:t xml:space="preserve">冥想与皮质醇的研究不少，结论比宣传谨慎。只纳入随机试验的元分析发现，血液皮质醇的中等效应只出现在高风险人群（如患有躯体疾病的人）中，唾液皮质醇的效应很小且不显著</w:t>
      </w:r>
      <w:r>
        <w:rPr>
          <w:vertAlign w:val="superscript"/>
        </w:rPr>
        <w:t xml:space="preserve">[</w:t>
      </w:r>
      <w:hyperlink w:anchor="ref-1076">
        <w:r>
          <w:rPr>
            <w:rStyle w:val="Hyperlink"/>
            <w:vertAlign w:val="superscript"/>
          </w:rPr>
          <w:t xml:space="preserve">1076</w:t>
        </w:r>
      </w:hyperlink>
      <w:r>
        <w:rPr>
          <w:vertAlign w:val="superscript"/>
        </w:rPr>
        <w:t xml:space="preserve">]</w:t>
      </w:r>
      <w:r>
        <w:t xml:space="preserve">。2026 年专门针对正念减压的元分析汇总 39 项研究、两千余人，纳入的试验都控制了皮质醇的采样时间：组间比较 34 项，效应量约 −0.38；其中与主动对照的 11 项比较约为 −0.29（95% 置信区间 −0.54 到 −0.04），整个区间都在零以下，幅度仍不精确</w:t>
      </w:r>
      <w:r>
        <w:rPr>
          <w:vertAlign w:val="superscript"/>
        </w:rPr>
        <w:t xml:space="preserve">[</w:t>
      </w:r>
      <w:hyperlink w:anchor="ref-1077">
        <w:r>
          <w:rPr>
            <w:rStyle w:val="Hyperlink"/>
            <w:vertAlign w:val="superscript"/>
          </w:rPr>
          <w:t xml:space="preserve">1077</w:t>
        </w:r>
      </w:hyperlink>
      <w:r>
        <w:rPr>
          <w:vertAlign w:val="superscript"/>
        </w:rPr>
        <w:t xml:space="preserve">]</w:t>
      </w:r>
      <w:r>
        <w:t xml:space="preserve">。研究之间的差异没有得到解释，不同皮质醇指标的临床意义也有限。纳入炎症与应激生物指标的预注册元分析发现，只看随机对照数据时效应很小，处在统计显著的边缘</w:t>
      </w:r>
      <w:r>
        <w:rPr>
          <w:vertAlign w:val="superscript"/>
        </w:rPr>
        <w:t xml:space="preserve">[</w:t>
      </w:r>
      <w:hyperlink w:anchor="ref-1078">
        <w:r>
          <w:rPr>
            <w:rStyle w:val="Hyperlink"/>
            <w:vertAlign w:val="superscript"/>
          </w:rPr>
          <w:t xml:space="preserve">1078</w:t>
        </w:r>
      </w:hyperlink>
      <w:r>
        <w:rPr>
          <w:vertAlign w:val="superscript"/>
        </w:rPr>
        <w:t xml:space="preserve">]</w:t>
      </w:r>
      <w:r>
        <w:t xml:space="preserve">。皮质醇下降是不是临床获益的必要环节，还没有得到证明。</w:t>
      </w:r>
    </w:p>
    <w:p>
      <w:pPr>
        <w:pStyle w:val="BodyText"/>
      </w:pPr>
      <w:r>
        <w:t xml:space="preserve">最有启发的结果来自德国的大型训练研究“资源计划”（ReSource Project）。研究者把三个月一期的训练模块分开测试：以注意与身体觉察为主的“当下”模块，以慈悲、感恩为主的情感模块，以元认知和观点采择为主的认知模块。313 名受试者接受标准化社会应激测试，由于测试需要隐瞒真实目的，每人只测一次，比较的是处在不同训练阶段的分组；所有模块都降低了自评压力；只有两个人际取向的模块降低了皮质醇反应，降幅最高约 51%；单独的“当下”模块（最接近一般正念练习）没有这一效果，论文也报告了模块之间的直接对比；各模块对自主神经和先天免疫指标都没有影响</w:t>
      </w:r>
      <w:r>
        <w:rPr>
          <w:vertAlign w:val="superscript"/>
        </w:rPr>
        <w:t xml:space="preserve">[</w:t>
      </w:r>
      <w:hyperlink w:anchor="ref-988">
        <w:r>
          <w:rPr>
            <w:rStyle w:val="Hyperlink"/>
            <w:vertAlign w:val="superscript"/>
          </w:rPr>
          <w:t xml:space="preserve">988</w:t>
        </w:r>
      </w:hyperlink>
      <w:r>
        <w:rPr>
          <w:vertAlign w:val="superscript"/>
        </w:rPr>
        <w:t xml:space="preserve">]</w:t>
      </w:r>
      <w:r>
        <w:t xml:space="preserve">。这项测试本身是在他人评价下发言和心算，人际练习可能恰好针对这类社会压力，结果不能直接推广到疾病、经济压力等其他应激。同一项目测量头发中的皮质醇（反映数月内的累积水平），发现所有训练组在前三到六个月都下降，与训练内容无关</w:t>
      </w:r>
      <w:r>
        <w:rPr>
          <w:vertAlign w:val="superscript"/>
        </w:rPr>
        <w:t xml:space="preserve">[</w:t>
      </w:r>
      <w:hyperlink w:anchor="ref-1079">
        <w:r>
          <w:rPr>
            <w:rStyle w:val="Hyperlink"/>
            <w:vertAlign w:val="superscript"/>
          </w:rPr>
          <w:t xml:space="preserve">1079</w:t>
        </w:r>
      </w:hyperlink>
      <w:r>
        <w:rPr>
          <w:vertAlign w:val="superscript"/>
        </w:rPr>
        <w:t xml:space="preserve">]</w:t>
      </w:r>
      <w:r>
        <w:t xml:space="preserve">。这部分结果有几处限制：项目随机 362 人、实际开始 332 人，头发采样是自愿项目，提供过头发样本的只有 227 人，基线样本能重新测定、进入变化分析的是 179 人；按基线水平匹配后的加权敏感性分析中，总体检验的 p 约为 0.06 到 0.07，方向与主要分析一致，结论不宜只凭这个数字落在 0.05 的哪一边来定；头发皮质醇的下降与自评长期压力的变化也不相关。急性应激反应和数月的累积水平是两个时间尺度的指标，两者结果不同并不矛盾。</w:t>
      </w:r>
    </w:p>
    <w:p>
      <w:pPr>
        <w:pStyle w:val="CalloutMyth"/>
      </w:pPr>
      <w:r>
        <w:rPr>
          <w:bCs/>
          <w:b/>
        </w:rPr>
        <w:t xml:space="preserve">误解　</w:t>
      </w:r>
      <w:r>
        <w:t xml:space="preserve">冥想能降低皮质醇，皮质醇越低越健康。</w:t>
      </w:r>
    </w:p>
    <w:p>
      <w:pPr>
        <w:pStyle w:val="CalloutMyth"/>
      </w:pPr>
      <w:r>
        <w:rPr>
          <w:bCs/>
          <w:b/>
        </w:rPr>
        <w:t xml:space="preserve">实况　</w:t>
      </w:r>
      <w:r>
        <w:t xml:space="preserve">在所研究的人群和指标中，冥想课程与较低的皮质醇有小到中等的平均组间关联，与主动对照比较也保留了小幅的汇总效应；研究之间差异大，在高压力或患病人群中较明显；不同练习的效果不一样，人际取向的训练对社会应激下的皮质醇反应作用更明显。单次浓度或某一时间窗的下降，不能证明长期应激系统整体改善，评估健康意义需要同时看节律、功能和临床结局。皮质醇的正常节律和急性升高本身是健康的一部分。</w:t>
      </w:r>
    </w:p>
    <w:p>
      <w:pPr>
        <w:pStyle w:val="CalloutJudgment"/>
      </w:pPr>
      <w:r>
        <w:rPr>
          <w:bCs/>
          <w:b/>
        </w:rPr>
        <w:t xml:space="preserve">判断　</w:t>
      </w:r>
      <w:r>
        <w:t xml:space="preserve">“冥想降低皮质醇”</w:t>
      </w:r>
      <w:r>
        <w:rPr>
          <w:bCs/>
          <w:b/>
        </w:rPr>
        <w:t xml:space="preserve">部分成立·中</w:t>
      </w:r>
      <w:r>
        <w:t xml:space="preserve">；“皮质醇越低越健康”的问题见</w:t>
      </w:r>
      <w:r>
        <w:t xml:space="preserve"> </w:t>
      </w:r>
      <w:hyperlink w:anchor="sec-99-1">
        <w:r>
          <w:rPr>
            <w:rStyle w:val="Hyperlink"/>
          </w:rPr>
          <w:t xml:space="preserve">99.1</w:t>
        </w:r>
      </w:hyperlink>
      <w:r>
        <w:t xml:space="preserve">。</w:t>
      </w:r>
    </w:p>
    <w:bookmarkEnd w:id="1807"/>
    <w:bookmarkStart w:id="1808" w:name="sec-112-6"/>
    <w:p>
      <w:pPr>
        <w:pStyle w:val="Heading3"/>
      </w:pPr>
      <w:r>
        <w:t xml:space="preserve">112.6　去甲肾上腺素与蓝斑</w:t>
      </w:r>
    </w:p>
    <w:p>
      <w:pPr>
        <w:pStyle w:val="FirstParagraph"/>
      </w:pPr>
      <w:r>
        <w:t xml:space="preserve">有研究者提出，呼吸与注意可能通过蓝斑耦合，冥想和调息练习也许借此稳定注意</w:t>
      </w:r>
      <w:r>
        <w:rPr>
          <w:vertAlign w:val="superscript"/>
        </w:rPr>
        <w:t xml:space="preserve">[</w:t>
      </w:r>
      <w:hyperlink w:anchor="ref-1080">
        <w:r>
          <w:rPr>
            <w:rStyle w:val="Hyperlink"/>
            <w:vertAlign w:val="superscript"/>
          </w:rPr>
          <w:t xml:space="preserve">1080</w:t>
        </w:r>
      </w:hyperlink>
      <w:r>
        <w:rPr>
          <w:vertAlign w:val="superscript"/>
        </w:rPr>
        <w:t xml:space="preserve">]</w:t>
      </w:r>
      <w:r>
        <w:t xml:space="preserve">。这是一个可检验的假说，人体证据主要来自瞳孔和脑干功能磁共振这类间接测量；呼吸节律本身、对呼吸的注意和主动调节呼吸，可能各有不同的机制。“经由蓝斑稳定注意”可以拆成几步分别检验：练习是否改变呼吸；呼吸是否改变蓝斑活动；蓝斑的变化是否介导了注意的改善；是否存在不经过呼吸的训练效应。现有研究支持其中某些关系，或者只在动物实验中操作过某些环节，还不足以完成整条人体因果链。睡眠中去甲肾上腺素的慢振荡与脑内液体流动的关系见</w:t>
      </w:r>
      <w:r>
        <w:t xml:space="preserve"> </w:t>
      </w:r>
      <w:hyperlink w:anchor="sec-50-8">
        <w:r>
          <w:rPr>
            <w:rStyle w:val="Hyperlink"/>
          </w:rPr>
          <w:t xml:space="preserve">50.8</w:t>
        </w:r>
      </w:hyperlink>
      <w:r>
        <w:t xml:space="preserve">。那些是小鼠睡眠状态的研究；清醒冥想的机制，需要直接针对冥想的研究。</w:t>
      </w:r>
    </w:p>
    <w:p>
      <w:pPr>
        <w:pStyle w:val="CalloutJudgment"/>
      </w:pPr>
      <w:r>
        <w:rPr>
          <w:bCs/>
          <w:b/>
        </w:rPr>
        <w:t xml:space="preserve">判断　</w:t>
      </w:r>
      <w:r>
        <w:t xml:space="preserve">“冥想通过调节蓝斑稳定注意”</w:t>
      </w:r>
      <w:r>
        <w:rPr>
          <w:bCs/>
          <w:b/>
        </w:rPr>
        <w:t xml:space="preserve">证据不足·低</w:t>
      </w:r>
      <w:r>
        <w:t xml:space="preserve">。</w:t>
      </w:r>
    </w:p>
    <w:bookmarkEnd w:id="1808"/>
    <w:bookmarkStart w:id="1809" w:name="sec-112-7"/>
    <w:p>
      <w:pPr>
        <w:pStyle w:val="Heading3"/>
      </w:pPr>
      <w:r>
        <w:t xml:space="preserve">112.7　GABA、乙酰胆碱与谷氨酸</w:t>
      </w:r>
    </w:p>
    <w:p>
      <w:pPr>
        <w:pStyle w:val="FirstParagraph"/>
      </w:pPr>
      <w:r>
        <w:t xml:space="preserve">2007 年一项非随机的小研究发现，8 名瑜伽练习者在一小时瑜伽后脑内 GABA 上升约 27%，读书一小时的 11 名对照没有变化</w:t>
      </w:r>
      <w:r>
        <w:rPr>
          <w:vertAlign w:val="superscript"/>
        </w:rPr>
        <w:t xml:space="preserve">[</w:t>
      </w:r>
      <w:hyperlink w:anchor="ref-1081">
        <w:r>
          <w:rPr>
            <w:rStyle w:val="Hyperlink"/>
            <w:vertAlign w:val="superscript"/>
          </w:rPr>
          <w:t xml:space="preserve">1081</w:t>
        </w:r>
      </w:hyperlink>
      <w:r>
        <w:rPr>
          <w:vertAlign w:val="superscript"/>
        </w:rPr>
        <w:t xml:space="preserve">]</w:t>
      </w:r>
      <w:r>
        <w:t xml:space="preserve">；2010 年同一团队的随机试验比较 12 周瑜伽与能量消耗相当的步行，瑜伽组情绪和焦虑改善更多，与丘脑 GABA 变化相关</w:t>
      </w:r>
      <w:r>
        <w:rPr>
          <w:vertAlign w:val="superscript"/>
        </w:rPr>
        <w:t xml:space="preserve">[</w:t>
      </w:r>
      <w:hyperlink w:anchor="ref-1082">
        <w:r>
          <w:rPr>
            <w:rStyle w:val="Hyperlink"/>
            <w:vertAlign w:val="superscript"/>
          </w:rPr>
          <w:t xml:space="preserve">1082</w:t>
        </w:r>
      </w:hyperlink>
      <w:r>
        <w:rPr>
          <w:vertAlign w:val="superscript"/>
        </w:rPr>
        <w:t xml:space="preserve">]</w:t>
      </w:r>
      <w:r>
        <w:t xml:space="preserve">；后来一项针对重性抑郁障碍患者的研究比较每周两次和每周三次的瑜伽课，每周两次的一组（15 人）刚上完课时扫描，GABA 比基线显著升高，全部受试者合起来只是趋势；只比较 12 周前后、不含刚上完课的即时效应时，两组都没有显著变化。研究者事后按第二次扫描时 GABA 是否升高把受试者分成两组（各 14 人），升高的一组距最后一次练习平均约 4 天，未升高的一组平均约 8 天，两组天数之差只接近显著（p = 0.065），个体差异很大；作者提醒 4 天和 8 天不能当作硬性界限，并据此推测每周至少练一次才能维持</w:t>
      </w:r>
      <w:r>
        <w:rPr>
          <w:vertAlign w:val="superscript"/>
        </w:rPr>
        <w:t xml:space="preserve">[</w:t>
      </w:r>
      <w:hyperlink w:anchor="ref-1083">
        <w:r>
          <w:rPr>
            <w:rStyle w:val="Hyperlink"/>
            <w:vertAlign w:val="superscript"/>
          </w:rPr>
          <w:t xml:space="preserve">1083</w:t>
        </w:r>
      </w:hyperlink>
      <w:r>
        <w:rPr>
          <w:vertAlign w:val="superscript"/>
        </w:rPr>
        <w:t xml:space="preserve">]</w:t>
      </w:r>
      <w:r>
        <w:t xml:space="preserve">。这种按结果分组的事后比较定不出最低剂量：回归均值、分组条件和多重探索都会影响结果，4 天和 8 天是两组的平均数。个人的阈值从中推算不出来。这些研究练的是瑜伽（姿势加呼吸），样本也很小。“正念提高 GABA”需要正念练习本身的波谱研究来检验。冥想本身的波谱研究零散，结果不一致。读这类研究时，还要看扫描距最后一次练习多久（波谱测量的一般限制见</w:t>
      </w:r>
      <w:r>
        <w:t xml:space="preserve"> </w:t>
      </w:r>
      <w:hyperlink w:anchor="sec-97-3">
        <w:r>
          <w:rPr>
            <w:rStyle w:val="Hyperlink"/>
          </w:rPr>
          <w:t xml:space="preserve">97.3</w:t>
        </w:r>
      </w:hyperlink>
      <w:r>
        <w:t xml:space="preserve">）。</w:t>
      </w:r>
    </w:p>
    <w:p>
      <w:pPr>
        <w:pStyle w:val="BodyText"/>
      </w:pPr>
      <w:r>
        <w:t xml:space="preserve">“乙酰胆碱参与抗炎”推不出“冥想提升乙酰胆碱，所以抗炎”（炎症反射见</w:t>
      </w:r>
      <w:r>
        <w:t xml:space="preserve"> </w:t>
      </w:r>
      <w:hyperlink w:anchor="sec-97-3">
        <w:r>
          <w:rPr>
            <w:rStyle w:val="Hyperlink"/>
          </w:rPr>
          <w:t xml:space="preserve">97.3</w:t>
        </w:r>
      </w:hyperlink>
      <w:r>
        <w:t xml:space="preserve">）。冥想与乙酰胆碱之间目前没有直接的人体测量。谷氨酸方面，冥想研究还没有形成可依赖的人体结论。</w:t>
      </w:r>
    </w:p>
    <w:p>
      <w:pPr>
        <w:pStyle w:val="CalloutJudgment"/>
      </w:pPr>
      <w:r>
        <w:rPr>
          <w:bCs/>
          <w:b/>
        </w:rPr>
        <w:t xml:space="preserve">判断　</w:t>
      </w:r>
      <w:r>
        <w:t xml:space="preserve">“冥想提升 GABA，所以能抗焦虑”</w:t>
      </w:r>
      <w:r>
        <w:rPr>
          <w:bCs/>
          <w:b/>
        </w:rPr>
        <w:t xml:space="preserve">证据不足·中</w:t>
      </w:r>
      <w:r>
        <w:t xml:space="preserve">；“冥想调节脑内乙酰胆碱”</w:t>
      </w:r>
      <w:r>
        <w:rPr>
          <w:bCs/>
          <w:b/>
        </w:rPr>
        <w:t xml:space="preserve">证据不足·低</w:t>
      </w:r>
      <w:r>
        <w:t xml:space="preserve">。</w:t>
      </w:r>
    </w:p>
    <w:bookmarkEnd w:id="1809"/>
    <w:bookmarkStart w:id="1810" w:name="sec-112-8"/>
    <w:p>
      <w:pPr>
        <w:pStyle w:val="Heading3"/>
      </w:pPr>
      <w:r>
        <w:t xml:space="preserve">112.8　褪黑素与脑源性神经营养因子</w:t>
      </w:r>
    </w:p>
    <w:p>
      <w:pPr>
        <w:pStyle w:val="FirstParagraph"/>
      </w:pPr>
      <w:r>
        <w:t xml:space="preserve">2000 年一项研究让两组分别练习超觉静坐高级课程（TM-Sidhi）和另一种瑜伽冥想的资深练习者，都在冥想之夜和对照之夜采血，冥想后的午夜血浆褪黑素较高</w:t>
      </w:r>
      <w:r>
        <w:rPr>
          <w:vertAlign w:val="superscript"/>
        </w:rPr>
        <w:t xml:space="preserve">[</w:t>
      </w:r>
      <w:hyperlink w:anchor="ref-1084">
        <w:r>
          <w:rPr>
            <w:rStyle w:val="Hyperlink"/>
            <w:vertAlign w:val="superscript"/>
          </w:rPr>
          <w:t xml:space="preserve">1084</w:t>
        </w:r>
      </w:hyperlink>
      <w:r>
        <w:rPr>
          <w:vertAlign w:val="superscript"/>
        </w:rPr>
        <w:t xml:space="preserve">]</w:t>
      </w:r>
      <w:r>
        <w:t xml:space="preserve">；这是冥想之夜与对照之夜的自身对照设计，没有不冥想的对照组。结果并不一致：前面提到的那项对照研究中，冥想者的基线褪黑素较高，一小时冥想期间却下降了</w:t>
      </w:r>
      <w:r>
        <w:rPr>
          <w:vertAlign w:val="superscript"/>
        </w:rPr>
        <w:t xml:space="preserve">[</w:t>
      </w:r>
      <w:hyperlink w:anchor="ref-1063">
        <w:r>
          <w:rPr>
            <w:rStyle w:val="Hyperlink"/>
            <w:vertAlign w:val="superscript"/>
          </w:rPr>
          <w:t xml:space="preserve">1063</w:t>
        </w:r>
      </w:hyperlink>
      <w:r>
        <w:rPr>
          <w:vertAlign w:val="superscript"/>
        </w:rPr>
        <w:t xml:space="preserve">]</w:t>
      </w:r>
      <w:r>
        <w:t xml:space="preserve">。2025 年的一项元分析汇总 5 项研究，报告瑜伽类练习提高褪黑素，标准化均差约 0.37（95% 置信区间 0.09 到 0.66，预测区间从 −0.20 到 0.94）。这项分析混合了 2 项随机试验和 3 项非随机研究，只看随机试验时效应不显著（0.28，95% 置信区间 −0.31 到 0.88）。它对上面两项研究的处理也有问题。前一项研究在元分析的表格里被列为两组各 7 人的随机试验，森林图中的置信区间也与两组独立比较相符，这与原研究的自身对照设计不符。后一项研究的主要发现是冥想者基线较高、冥想一小时内下降，元分析的表格只概括为“冥想者的褪黑素高于不冥想者”；按这项元分析自己声明的“干预前后变化”口径，冥想组下降、对照组不变应当得出负向效应，森林图中却是一个正向效应（约 0.66），方向与两组的基线差异一致</w:t>
      </w:r>
      <w:r>
        <w:rPr>
          <w:vertAlign w:val="superscript"/>
        </w:rPr>
        <w:t xml:space="preserve">[</w:t>
      </w:r>
      <w:hyperlink w:anchor="ref-1085">
        <w:r>
          <w:rPr>
            <w:rStyle w:val="Hyperlink"/>
            <w:vertAlign w:val="superscript"/>
          </w:rPr>
          <w:t xml:space="preserve">1085</w:t>
        </w:r>
      </w:hyperlink>
      <w:r>
        <w:rPr>
          <w:vertAlign w:val="superscript"/>
        </w:rPr>
        <w:t xml:space="preserve">]</w:t>
      </w:r>
      <w:r>
        <w:t xml:space="preserve">。它的证据等级表还把 5 项研究都标作随机试验，并把 2023 年的那项横断面比较（见</w:t>
      </w:r>
      <w:r>
        <w:t xml:space="preserve"> </w:t>
      </w:r>
      <w:hyperlink w:anchor="sec-112-2">
        <w:r>
          <w:rPr>
            <w:rStyle w:val="Hyperlink"/>
          </w:rPr>
          <w:t xml:space="preserve">112.2</w:t>
        </w:r>
      </w:hyperlink>
      <w:r>
        <w:t xml:space="preserve">）当作干预前后的变化计入。这篇元分析没有公开数据提取表，具体录入了哪些数字无法从论文中确定。把同一批人在两晚的数据当作两个独立组，会改变标准误；把组间的基线差异和干预变化混在一起，又会改变估计的对象。在设计分类和数据提取得到澄清之前，0.37 这个合并值不能当作“瑜伽或冥想提高褪黑素”的证据。褪黑素的夜间水平、分泌开始的时间和某次采样的数值是不同的量，光照、姿势和采样时间都会影响结果；某一时刻褪黑素较高，可能只反映分泌节律的相位不同。把它直接读成睡眠更好，并不可靠。2023 年那项横断面比较测的是清晨的单次血清浓度，反映的是长期特征还是采样时点的差异，研究回答不了。正念对睡眠质量的改善有一定元分析证据（见</w:t>
      </w:r>
      <w:r>
        <w:t xml:space="preserve"> </w:t>
      </w:r>
      <w:hyperlink w:anchor="sec-117-3">
        <w:r>
          <w:rPr>
            <w:rStyle w:val="Hyperlink"/>
          </w:rPr>
          <w:t xml:space="preserve">117.3</w:t>
        </w:r>
      </w:hyperlink>
      <w:r>
        <w:t xml:space="preserve">），这不需要依赖褪黑素来解释。</w:t>
      </w:r>
    </w:p>
    <w:p>
      <w:pPr>
        <w:pStyle w:val="BodyText"/>
      </w:pPr>
      <w:r>
        <w:t xml:space="preserve">脑源性神经营养因子（BDNF）方面，一项三个月瑜伽冥想静修研究报告 38 名参与者血浆 BDNF 上升</w:t>
      </w:r>
      <w:r>
        <w:rPr>
          <w:vertAlign w:val="superscript"/>
        </w:rPr>
        <w:t xml:space="preserve">[</w:t>
      </w:r>
      <w:hyperlink w:anchor="ref-1086">
        <w:r>
          <w:rPr>
            <w:rStyle w:val="Hyperlink"/>
            <w:vertAlign w:val="superscript"/>
          </w:rPr>
          <w:t xml:space="preserve">1086</w:t>
        </w:r>
      </w:hyperlink>
      <w:r>
        <w:rPr>
          <w:vertAlign w:val="superscript"/>
        </w:rPr>
        <w:t xml:space="preserve">]</w:t>
      </w:r>
      <w:r>
        <w:t xml:space="preserve">：研究没有对照组，静修包含饮食、作息与运动的全面改变，多种促炎细胞因子同时上升；论文在 2022 年和 2023 年两次更正，补充披露了此前未声明的资助与利益关系。一项元分析汇总 8 项以不干预为对照的随机试验、479 人，合并效应量约 0.72，研究间差异很大（I² 约 78%），其中 5 项的干预以身体练习为主</w:t>
      </w:r>
      <w:r>
        <w:rPr>
          <w:vertAlign w:val="superscript"/>
        </w:rPr>
        <w:t xml:space="preserve">[</w:t>
      </w:r>
      <w:hyperlink w:anchor="ref-1087">
        <w:r>
          <w:rPr>
            <w:rStyle w:val="Hyperlink"/>
            <w:vertAlign w:val="superscript"/>
          </w:rPr>
          <w:t xml:space="preserve">1087</w:t>
        </w:r>
      </w:hyperlink>
      <w:r>
        <w:rPr>
          <w:vertAlign w:val="superscript"/>
        </w:rPr>
        <w:t xml:space="preserve">]</w:t>
      </w:r>
      <w:r>
        <w:t xml:space="preserve">；运动型和静坐型两个亚组各自显著、彼此差异不显著，这说明不了两者机制相同。外周 BDNF 的测量限制见</w:t>
      </w:r>
      <w:r>
        <w:t xml:space="preserve"> </w:t>
      </w:r>
      <w:hyperlink w:anchor="sec-97-4">
        <w:r>
          <w:rPr>
            <w:rStyle w:val="Hyperlink"/>
          </w:rPr>
          <w:t xml:space="preserve">97.4</w:t>
        </w:r>
      </w:hyperlink>
      <w:r>
        <w:t xml:space="preserve">。</w:t>
      </w:r>
    </w:p>
    <w:p>
      <w:pPr>
        <w:pStyle w:val="CalloutJudgment"/>
      </w:pPr>
      <w:r>
        <w:rPr>
          <w:bCs/>
          <w:b/>
        </w:rPr>
        <w:t xml:space="preserve">判断　</w:t>
      </w:r>
      <w:r>
        <w:t xml:space="preserve">“冥想提升褪黑素”“冥想提升 BDNF”均为</w:t>
      </w:r>
      <w:r>
        <w:rPr>
          <w:bCs/>
          <w:b/>
        </w:rPr>
        <w:t xml:space="preserve">证据不足·中</w:t>
      </w:r>
      <w:r>
        <w:t xml:space="preserve">。</w:t>
      </w:r>
    </w:p>
    <w:bookmarkEnd w:id="1810"/>
    <w:bookmarkStart w:id="1811" w:name="sec-112-9"/>
    <w:p>
      <w:pPr>
        <w:pStyle w:val="Heading3"/>
      </w:pPr>
      <w:r>
        <w:t xml:space="preserve">112.9　神经新生</w:t>
      </w:r>
    </w:p>
    <w:p>
      <w:pPr>
        <w:pStyle w:val="FirstParagraph"/>
      </w:pPr>
      <w:r>
        <w:t xml:space="preserve">关于冥想，关键事实是：目前还没有经过验证、能在活人身上定量追踪海马神经发生的方法。成人海马神经发生的人体证据（见</w:t>
      </w:r>
      <w:r>
        <w:t xml:space="preserve"> </w:t>
      </w:r>
      <w:hyperlink w:anchor="sec-23-1">
        <w:r>
          <w:rPr>
            <w:rStyle w:val="Hyperlink"/>
          </w:rPr>
          <w:t xml:space="preserve">23.1</w:t>
        </w:r>
      </w:hyperlink>
      <w:r>
        <w:t xml:space="preserve">）都来自尸检组织或特殊条件下的标记；曾有研究提出用齿状回的脑血容量作为运动促进神经发生的活体间接指标</w:t>
      </w:r>
      <w:r>
        <w:rPr>
          <w:vertAlign w:val="superscript"/>
        </w:rPr>
        <w:t xml:space="preserve">[</w:t>
      </w:r>
      <w:hyperlink w:anchor="ref-1088">
        <w:r>
          <w:rPr>
            <w:rStyle w:val="Hyperlink"/>
            <w:vertAlign w:val="superscript"/>
          </w:rPr>
          <w:t xml:space="preserve">1088</w:t>
        </w:r>
      </w:hyperlink>
      <w:r>
        <w:rPr>
          <w:vertAlign w:val="superscript"/>
        </w:rPr>
        <w:t xml:space="preserve">]</w:t>
      </w:r>
      <w:r>
        <w:t xml:space="preserve">，它的特异性还没有得到确认。因此，“冥想促进人类神经新生”没有直接证据。一种常见的推理把“运动促进小鼠神经发生”和“冥想者海马灰质增加”这两项结果连接起来，这条推理没有经过直接检验，后一项结果本身已被大样本随机对照研究削弱（见</w:t>
      </w:r>
      <w:hyperlink w:anchor="ch-116">
        <w:r>
          <w:rPr>
            <w:rStyle w:val="Hyperlink"/>
          </w:rPr>
          <w:t xml:space="preserve">第116章</w:t>
        </w:r>
      </w:hyperlink>
      <w:r>
        <w:t xml:space="preserve">）；海马体积变化本身也不能当作神经发生的证据。</w:t>
      </w:r>
    </w:p>
    <w:p>
      <w:pPr>
        <w:pStyle w:val="CalloutJudgment"/>
      </w:pPr>
      <w:r>
        <w:rPr>
          <w:bCs/>
          <w:b/>
        </w:rPr>
        <w:t xml:space="preserve">判断　</w:t>
      </w:r>
      <w:r>
        <w:t xml:space="preserve">“冥想促进人类神经新生”</w:t>
      </w:r>
      <w:r>
        <w:rPr>
          <w:bCs/>
          <w:b/>
        </w:rPr>
        <w:t xml:space="preserve">证据不足·高</w:t>
      </w:r>
      <w:r>
        <w:t xml:space="preserve">。成人海马神经发生本身的证据见</w:t>
      </w:r>
      <w:r>
        <w:t xml:space="preserve"> </w:t>
      </w:r>
      <w:hyperlink w:anchor="sec-23-1">
        <w:r>
          <w:rPr>
            <w:rStyle w:val="Hyperlink"/>
          </w:rPr>
          <w:t xml:space="preserve">23.1</w:t>
        </w:r>
      </w:hyperlink>
      <w:r>
        <w:t xml:space="preserve">。</w:t>
      </w:r>
    </w:p>
    <w:bookmarkEnd w:id="1811"/>
    <w:bookmarkStart w:id="1812" w:name="sec-112-10"/>
    <w:p>
      <w:pPr>
        <w:pStyle w:val="Heading3"/>
      </w:pPr>
      <w:r>
        <w:t xml:space="preserve">112.10　端粒、炎症与基因表达</w:t>
      </w:r>
    </w:p>
    <w:p>
      <w:pPr>
        <w:pStyle w:val="FirstParagraph"/>
      </w:pPr>
      <w:r>
        <w:t xml:space="preserve">端粒是染色体末端的保护结构，随细胞分裂缩短，端粒酶可以延长它。2011 年“奢摩他计划”研究发现，三个月静修结束时，静修组的端粒酶活性高于候补组；两组在年龄、性别、体重指数和冥想经验上做过匹配，端粒酶只在静修结束时测了一次，没有基线，统计检验采用单侧标准</w:t>
      </w:r>
      <w:r>
        <w:rPr>
          <w:vertAlign w:val="superscript"/>
        </w:rPr>
        <w:t xml:space="preserve">[</w:t>
      </w:r>
      <w:hyperlink w:anchor="ref-1089">
        <w:r>
          <w:rPr>
            <w:rStyle w:val="Hyperlink"/>
            <w:vertAlign w:val="superscript"/>
          </w:rPr>
          <w:t xml:space="preserve">1089</w:t>
        </w:r>
      </w:hyperlink>
      <w:r>
        <w:rPr>
          <w:vertAlign w:val="superscript"/>
        </w:rPr>
        <w:t xml:space="preserve">]</w:t>
      </w:r>
      <w:r>
        <w:t xml:space="preserve">。2014 年一项元分析汇总了 4 项随机对照试验，发现冥想与端粒酶活性较高有关</w:t>
      </w:r>
      <w:r>
        <w:rPr>
          <w:vertAlign w:val="superscript"/>
        </w:rPr>
        <w:t xml:space="preserve">[</w:t>
      </w:r>
      <w:hyperlink w:anchor="ref-1090">
        <w:r>
          <w:rPr>
            <w:rStyle w:val="Hyperlink"/>
            <w:vertAlign w:val="superscript"/>
          </w:rPr>
          <w:t xml:space="preserve">1090</w:t>
        </w:r>
      </w:hyperlink>
      <w:r>
        <w:rPr>
          <w:vertAlign w:val="superscript"/>
        </w:rPr>
        <w:t xml:space="preserve">]</w:t>
      </w:r>
      <w:r>
        <w:t xml:space="preserve">。后来的证据削弱了这一说法：2020 年的元分析中，端粒长度的效应在去掉一项离群研究后从 0.40 降到 0.16</w:t>
      </w:r>
      <w:r>
        <w:rPr>
          <w:vertAlign w:val="superscript"/>
        </w:rPr>
        <w:t xml:space="preserve">[</w:t>
      </w:r>
      <w:hyperlink w:anchor="ref-1091">
        <w:r>
          <w:rPr>
            <w:rStyle w:val="Hyperlink"/>
            <w:vertAlign w:val="superscript"/>
          </w:rPr>
          <w:t xml:space="preserve">1091</w:t>
        </w:r>
      </w:hyperlink>
      <w:r>
        <w:rPr>
          <w:vertAlign w:val="superscript"/>
        </w:rPr>
        <w:t xml:space="preserve">]</w:t>
      </w:r>
      <w:r>
        <w:t xml:space="preserve">；142 人的随机试验报告，控制基线端粒长度后，候补组和正念组的端粒在 12 周内都显著缩短、慈心组没有，慈心组的缩短也显著少于候补组（正念组居中，与两组都没有显著差异），论文据此称慈心冥想“减缓生物衰老”</w:t>
      </w:r>
      <w:r>
        <w:rPr>
          <w:vertAlign w:val="superscript"/>
        </w:rPr>
        <w:t xml:space="preserve">[</w:t>
      </w:r>
      <w:hyperlink w:anchor="ref-1092">
        <w:r>
          <w:rPr>
            <w:rStyle w:val="Hyperlink"/>
            <w:vertAlign w:val="superscript"/>
          </w:rPr>
          <w:t xml:space="preserve">1092</w:t>
        </w:r>
      </w:hyperlink>
      <w:r>
        <w:rPr>
          <w:vertAlign w:val="superscript"/>
        </w:rPr>
        <w:t xml:space="preserve">]</w:t>
      </w:r>
      <w:r>
        <w:t xml:space="preserve">；其他研究者用论文报告的数据补做时间与组别的混合方差分析，交互作用不显著，对前测、后测和变化分数的单因素分析也不显著，各项效应量都很小</w:t>
      </w:r>
      <w:r>
        <w:rPr>
          <w:vertAlign w:val="superscript"/>
        </w:rPr>
        <w:t xml:space="preserve">[</w:t>
      </w:r>
      <w:hyperlink w:anchor="ref-1093">
        <w:r>
          <w:rPr>
            <w:rStyle w:val="Hyperlink"/>
            <w:vertAlign w:val="superscript"/>
          </w:rPr>
          <w:t xml:space="preserve">1093</w:t>
        </w:r>
      </w:hyperlink>
      <w:r>
        <w:rPr>
          <w:vertAlign w:val="superscript"/>
        </w:rPr>
        <w:t xml:space="preserve">]</w:t>
      </w:r>
      <w:r>
        <w:t xml:space="preserve">。控制基线的协方差分析与不控制基线的变化量分析，在样本有限、测量有误差、基线不平衡时可能给出不同的结果，后者不显著本身证明不了前者错误；判断需要看预注册的主要终点、预设的协变量、缺失怎样处理和基线是否平衡，这项试验结果对分析方法的选择很敏感。18 个月的老年人冥想随机试验没有检出端粒长度的组间差异</w:t>
      </w:r>
      <w:r>
        <w:rPr>
          <w:vertAlign w:val="superscript"/>
        </w:rPr>
        <w:t xml:space="preserve">[</w:t>
      </w:r>
      <w:hyperlink w:anchor="ref-1094">
        <w:r>
          <w:rPr>
            <w:rStyle w:val="Hyperlink"/>
            <w:vertAlign w:val="superscript"/>
          </w:rPr>
          <w:t xml:space="preserve">1094</w:t>
        </w:r>
      </w:hyperlink>
      <w:r>
        <w:rPr>
          <w:vertAlign w:val="superscript"/>
        </w:rPr>
        <w:t xml:space="preserve">]</w:t>
      </w:r>
      <w:r>
        <w:t xml:space="preserve">。端粒酶活性、白细胞端粒长度和健康寿命是不同层次的终点。端粒酶在多数肿瘤中重新激活</w:t>
      </w:r>
      <w:r>
        <w:rPr>
          <w:vertAlign w:val="superscript"/>
        </w:rPr>
        <w:t xml:space="preserve">[</w:t>
      </w:r>
      <w:hyperlink w:anchor="ref-1095">
        <w:r>
          <w:rPr>
            <w:rStyle w:val="Hyperlink"/>
            <w:vertAlign w:val="superscript"/>
          </w:rPr>
          <w:t xml:space="preserve">1095</w:t>
        </w:r>
      </w:hyperlink>
      <w:r>
        <w:rPr>
          <w:vertAlign w:val="superscript"/>
        </w:rPr>
        <w:t xml:space="preserve">]</w:t>
      </w:r>
      <w:r>
        <w:t xml:space="preserve">，活性“更高”不能直接读成“更健康”或“抗衰老”，上述冥想研究也没有检验、更没有证明冥想会增加肿瘤风险；目前也没有随机试验显示冥想能延长寿命或降低与衰老有关的疾病。</w:t>
      </w:r>
    </w:p>
    <w:p>
      <w:pPr>
        <w:pStyle w:val="BodyText"/>
      </w:pPr>
      <w:r>
        <w:t xml:space="preserve">炎症方面，2016 年一项研究让 35 名失业的高压力成人参加三天正念或放松静修，正念组四个月后血液白介素-6 更低，这一下降与后扣带回和背外侧前额叶之间连接的变化有关</w:t>
      </w:r>
      <w:r>
        <w:rPr>
          <w:vertAlign w:val="superscript"/>
        </w:rPr>
        <w:t xml:space="preserve">[</w:t>
      </w:r>
      <w:hyperlink w:anchor="ref-987">
        <w:r>
          <w:rPr>
            <w:rStyle w:val="Hyperlink"/>
            <w:vertAlign w:val="superscript"/>
          </w:rPr>
          <w:t xml:space="preserve">987</w:t>
        </w:r>
      </w:hyperlink>
      <w:r>
        <w:rPr>
          <w:vertAlign w:val="superscript"/>
        </w:rPr>
        <w:t xml:space="preserve">]</w:t>
      </w:r>
      <w:r>
        <w:t xml:space="preserve">；这一关联来自很小的样本，属于探索性证据；小样本中多个中介、多个脑区的分析会让间接效应很不稳定。脑连接的变化是否带来了炎症的变化，据此还确定不了。2016 年一项系统综述汇总 20 项随机对照试验，认为正念训练与 NF-κB 炎症通路活性降低、C 反应蛋白下降等有关，结论是“初步的”</w:t>
      </w:r>
      <w:r>
        <w:rPr>
          <w:vertAlign w:val="superscript"/>
        </w:rPr>
        <w:t xml:space="preserve">[</w:t>
      </w:r>
      <w:hyperlink w:anchor="ref-1096">
        <w:r>
          <w:rPr>
            <w:rStyle w:val="Hyperlink"/>
            <w:vertAlign w:val="superscript"/>
          </w:rPr>
          <w:t xml:space="preserve">1096</w:t>
        </w:r>
      </w:hyperlink>
      <w:r>
        <w:rPr>
          <w:vertAlign w:val="superscript"/>
        </w:rPr>
        <w:t xml:space="preserve">]</w:t>
      </w:r>
      <w:r>
        <w:t xml:space="preserve">。此后的证据整体偏弱：两项三臂随机试验没有发现 C 反应蛋白下降</w:t>
      </w:r>
      <w:r>
        <w:rPr>
          <w:vertAlign w:val="superscript"/>
        </w:rPr>
        <w:t xml:space="preserve">[</w:t>
      </w:r>
      <w:hyperlink w:anchor="ref-1097">
        <w:r>
          <w:rPr>
            <w:rStyle w:val="Hyperlink"/>
            <w:vertAlign w:val="superscript"/>
          </w:rPr>
          <w:t xml:space="preserve">1097</w:t>
        </w:r>
      </w:hyperlink>
      <w:r>
        <w:rPr>
          <w:vertAlign w:val="superscript"/>
        </w:rPr>
        <w:t xml:space="preserve">]</w:t>
      </w:r>
      <w:r>
        <w:t xml:space="preserve">；211 名慢性压力成人的随机试验中，冥想、瑜伽和压力教育三组在全部预设结局上，包括心理问卷、应激负荷生物指标和基因表达，干预后和 26 周随访时都没有显著的组间差异</w:t>
      </w:r>
      <w:r>
        <w:rPr>
          <w:vertAlign w:val="superscript"/>
        </w:rPr>
        <w:t xml:space="preserve">[</w:t>
      </w:r>
      <w:hyperlink w:anchor="ref-1098">
        <w:r>
          <w:rPr>
            <w:rStyle w:val="Hyperlink"/>
            <w:vertAlign w:val="superscript"/>
          </w:rPr>
          <w:t xml:space="preserve">1098</w:t>
        </w:r>
      </w:hyperlink>
      <w:r>
        <w:rPr>
          <w:vertAlign w:val="superscript"/>
        </w:rPr>
        <w:t xml:space="preserve">]</w:t>
      </w:r>
      <w:r>
        <w:t xml:space="preserve">，这约束的是这几种方案在这个样本和随访期内的相对增益；56 项随机试验的元分析发现，心理社会干预总体上与免疫功能的小幅改善相关（g 约 0.30），证据最稳定的是认知行为疗法和组合干预</w:t>
      </w:r>
      <w:r>
        <w:rPr>
          <w:vertAlign w:val="superscript"/>
        </w:rPr>
        <w:t xml:space="preserve">[</w:t>
      </w:r>
      <w:hyperlink w:anchor="ref-1099">
        <w:r>
          <w:rPr>
            <w:rStyle w:val="Hyperlink"/>
            <w:vertAlign w:val="superscript"/>
          </w:rPr>
          <w:t xml:space="preserve">1099</w:t>
        </w:r>
      </w:hyperlink>
      <w:r>
        <w:rPr>
          <w:vertAlign w:val="superscript"/>
        </w:rPr>
        <w:t xml:space="preserve">]</w:t>
      </w:r>
      <w:r>
        <w:t xml:space="preserve">。这项元分析没有把冥想单列为一类；结合上面几项试验，冥想在免疫方面的独特作用还没有得到支持。炎症指标也不是越低越好，单次降低是否意味着健康改善，要看疾病背景和实际的健康结局；C 反应蛋白、循环白介素-6、细胞受刺激后的反应和转录通路是不同的指标，不能合成一个“免疫增强”的分数。</w:t>
      </w:r>
    </w:p>
    <w:p>
      <w:pPr>
        <w:pStyle w:val="BodyText"/>
      </w:pPr>
      <w:r>
        <w:t xml:space="preserve">“冥想改变基因”是对基因表达研究的夸张转述。2014 年一项非随机研究发现，19 名有经验的冥想者在一天密集练习后，若干与炎症和表观遗传调节有关的基因表达下降</w:t>
      </w:r>
      <w:r>
        <w:rPr>
          <w:vertAlign w:val="superscript"/>
        </w:rPr>
        <w:t xml:space="preserve">[</w:t>
      </w:r>
      <w:hyperlink w:anchor="ref-1100">
        <w:r>
          <w:rPr>
            <w:rStyle w:val="Hyperlink"/>
            <w:vertAlign w:val="superscript"/>
          </w:rPr>
          <w:t xml:space="preserve">1100</w:t>
        </w:r>
      </w:hyperlink>
      <w:r>
        <w:rPr>
          <w:vertAlign w:val="superscript"/>
        </w:rPr>
        <w:t xml:space="preserve">]</w:t>
      </w:r>
      <w:r>
        <w:t xml:space="preserve">；2017 年一项系统综述认为，多种身心练习与 NF-κB 相关基因表达下调有关</w:t>
      </w:r>
      <w:r>
        <w:rPr>
          <w:vertAlign w:val="superscript"/>
        </w:rPr>
        <w:t xml:space="preserve">[</w:t>
      </w:r>
      <w:hyperlink w:anchor="ref-1101">
        <w:r>
          <w:rPr>
            <w:rStyle w:val="Hyperlink"/>
            <w:vertAlign w:val="superscript"/>
          </w:rPr>
          <w:t xml:space="preserve">1101</w:t>
        </w:r>
      </w:hyperlink>
      <w:r>
        <w:rPr>
          <w:vertAlign w:val="superscript"/>
        </w:rPr>
        <w:t xml:space="preserve">]</w:t>
      </w:r>
      <w:r>
        <w:t xml:space="preserve">。反面的证据同样重要：一项度假村研究中，所有组别的基因表达都发生了大幅变化，研究者称之为“度假效应”</w:t>
      </w:r>
      <w:r>
        <w:rPr>
          <w:vertAlign w:val="superscript"/>
        </w:rPr>
        <w:t xml:space="preserve">[</w:t>
      </w:r>
      <w:hyperlink w:anchor="ref-1102">
        <w:r>
          <w:rPr>
            <w:rStyle w:val="Hyperlink"/>
            <w:vertAlign w:val="superscript"/>
          </w:rPr>
          <w:t xml:space="preserve">1102</w:t>
        </w:r>
      </w:hyperlink>
      <w:r>
        <w:rPr>
          <w:vertAlign w:val="superscript"/>
        </w:rPr>
        <w:t xml:space="preserve">]</w:t>
      </w:r>
      <w:r>
        <w:t xml:space="preserve">；一项 88 名童年家境贫困的中年人参加的随机试验中，正念练习降低了与逆境有关的白细胞基因表达谱，慈心练习反而升高了它，方向与研究者的假设相反</w:t>
      </w:r>
      <w:r>
        <w:rPr>
          <w:vertAlign w:val="superscript"/>
        </w:rPr>
        <w:t xml:space="preserve">[</w:t>
      </w:r>
      <w:hyperlink w:anchor="ref-1103">
        <w:r>
          <w:rPr>
            <w:rStyle w:val="Hyperlink"/>
            <w:vertAlign w:val="superscript"/>
          </w:rPr>
          <w:t xml:space="preserve">1103</w:t>
        </w:r>
      </w:hyperlink>
      <w:r>
        <w:rPr>
          <w:vertAlign w:val="superscript"/>
        </w:rPr>
        <w:t xml:space="preserve">]</w:t>
      </w:r>
      <w:r>
        <w:t xml:space="preserve">。这类研究多用全血或外周血单个核细胞，平均表达的变化可能来自各类免疫细胞比例的改变。细胞内部的表达是否被“重新编程”，要校正细胞组成后才能判断；还需要报告效应大小、通路的筛选方法、多重比较和细胞比例的校正。基因表达本来就随饮食、睡眠、运动和情绪不断变化。这些研究测量的都是基因表达。没有证据显示冥想会按某个方向改变基因序列；DNA 甲基化这类表观遗传标记可以在同一个人的部分细胞中维持较长时间，冥想能否带来这种持久改变，现有的小样本研究还回答不了，能否传给后代更是另一个远未检验的问题。</w:t>
      </w:r>
    </w:p>
    <w:p>
      <w:pPr>
        <w:pStyle w:val="CalloutJudgment"/>
      </w:pPr>
      <w:r>
        <w:rPr>
          <w:bCs/>
          <w:b/>
        </w:rPr>
        <w:t xml:space="preserve">判断　</w:t>
      </w:r>
      <w:r>
        <w:t xml:space="preserve">“冥想延长端粒、延缓衰老”</w:t>
      </w:r>
      <w:r>
        <w:rPr>
          <w:bCs/>
          <w:b/>
        </w:rPr>
        <w:t xml:space="preserve">证据不足·中</w:t>
      </w:r>
      <w:r>
        <w:t xml:space="preserve">；“正念降低部分炎症指标”</w:t>
      </w:r>
      <w:r>
        <w:rPr>
          <w:bCs/>
          <w:b/>
        </w:rPr>
        <w:t xml:space="preserve">部分成立·低</w:t>
      </w:r>
      <w:r>
        <w:t xml:space="preserve">；“冥想改变基因”</w:t>
      </w:r>
      <w:r>
        <w:rPr>
          <w:bCs/>
          <w:b/>
        </w:rPr>
        <w:t xml:space="preserve">过度简化·高</w:t>
      </w:r>
      <w:r>
        <w:t xml:space="preserve">。</w:t>
      </w:r>
    </w:p>
    <w:bookmarkEnd w:id="1812"/>
    <w:bookmarkEnd w:id="1813"/>
    <w:bookmarkStart w:id="1817" w:name="ch-113"/>
    <w:p>
      <w:pPr>
        <w:pStyle w:val="Heading2"/>
      </w:pPr>
      <w:r>
        <w:t xml:space="preserve">第113章　冥想、自主神经与身体觉察</w:t>
      </w:r>
    </w:p>
    <w:p>
      <w:pPr>
        <w:pStyle w:val="FirstParagraph"/>
      </w:pPr>
      <w:r>
        <w:t xml:space="preserve">很多冥想说法讲的其实是身体：心跳、呼吸、“迷走神经张力”、“激活副交感神经”。这一章讲冥想研究涉及的身体通路；自主神经、迷走神经和呼吸的一般生理见</w:t>
      </w:r>
      <w:hyperlink w:anchor="part-9">
        <w:r>
          <w:rPr>
            <w:rStyle w:val="Hyperlink"/>
          </w:rPr>
          <w:t xml:space="preserve">第九编</w:t>
        </w:r>
      </w:hyperlink>
      <w:r>
        <w:t xml:space="preserve">。平静的体验常伴随心率、呼吸和皮肤电导等生理变化，具体模式取决于练习和情境；说明这些变化，不需要借助夸张的脑科学。</w:t>
      </w:r>
    </w:p>
    <w:bookmarkStart w:id="1814" w:name="sec-113-1"/>
    <w:p>
      <w:pPr>
        <w:pStyle w:val="Heading3"/>
      </w:pPr>
      <w:r>
        <w:t xml:space="preserve">113.1　冥想时的自主神经变化</w:t>
      </w:r>
    </w:p>
    <w:p>
      <w:pPr>
        <w:pStyle w:val="FirstParagraph"/>
      </w:pPr>
      <w:r>
        <w:t xml:space="preserve">冥想也不全是“放松”（交感与副交感两套系统的一般原理见</w:t>
      </w:r>
      <w:r>
        <w:t xml:space="preserve"> </w:t>
      </w:r>
      <w:hyperlink w:anchor="sec-102-1">
        <w:r>
          <w:rPr>
            <w:rStyle w:val="Hyperlink"/>
          </w:rPr>
          <w:t xml:space="preserve">102.1</w:t>
        </w:r>
      </w:hyperlink>
      <w:r>
        <w:t xml:space="preserve">）。一项比较研究在曼谷的一座寺院和加德满都的一座寺院，分别测量了 10 名上座部练习者和 9 名藏传金刚乘练习者</w:t>
      </w:r>
      <w:r>
        <w:rPr>
          <w:vertAlign w:val="superscript"/>
        </w:rPr>
        <w:t xml:space="preserve">[</w:t>
      </w:r>
      <w:hyperlink w:anchor="ref-1104">
        <w:r>
          <w:rPr>
            <w:rStyle w:val="Hyperlink"/>
            <w:vertAlign w:val="superscript"/>
          </w:rPr>
          <w:t xml:space="preserve">1104</w:t>
        </w:r>
      </w:hyperlink>
      <w:r>
        <w:rPr>
          <w:vertAlign w:val="superscript"/>
        </w:rPr>
        <w:t xml:space="preserve">]</w:t>
      </w:r>
      <w:r>
        <w:t xml:space="preserve">：上座部组在内观练习中高频心率变异性升高（以视觉对象为所缘的遍处禅没有这一升高，只见到低频/高频比下降），金刚乘组的本尊观想和觉性练习伴随高频成分下降和即时认知表现的提升，作者把它解释为放松与唤醒的差别。高频成分的总体检验只接近显著（p 约 0.06 和 0.07）；研究主要依据高频功率和低频/高频比，没有记录呼吸，练习顺序固定，两组的地点、传统和人口特征也不同，没有随机分配。高频成分下降不能单独证明交感活动升高（见</w:t>
      </w:r>
      <w:r>
        <w:t xml:space="preserve"> </w:t>
      </w:r>
      <w:hyperlink w:anchor="sec-104-1">
        <w:r>
          <w:rPr>
            <w:rStyle w:val="Hyperlink"/>
          </w:rPr>
          <w:t xml:space="preserve">104.1</w:t>
        </w:r>
      </w:hyperlink>
      <w:r>
        <w:t xml:space="preserve">），这项研究提示不同练习可能有不同的生理模式，还不足以确定两套自主神经各自增加了多少。在“猛烈呼吸”型拙火练习中，修行者的腋温升到相当于轻度至中度发热的范围，最高一人达到 38.3 摄氏度</w:t>
      </w:r>
      <w:r>
        <w:rPr>
          <w:vertAlign w:val="superscript"/>
        </w:rPr>
        <w:t xml:space="preserve">[</w:t>
      </w:r>
      <w:hyperlink w:anchor="ref-1105">
        <w:r>
          <w:rPr>
            <w:rStyle w:val="Hyperlink"/>
            <w:vertAlign w:val="superscript"/>
          </w:rPr>
          <w:t xml:space="preserve">1105</w:t>
        </w:r>
      </w:hyperlink>
      <w:r>
        <w:rPr>
          <w:vertAlign w:val="superscript"/>
        </w:rPr>
        <w:t xml:space="preserve">]</w:t>
      </w:r>
      <w:r>
        <w:t xml:space="preserve">；腋温不等于核心体温，这个数字也不宜变成练习的目标。长期和高阶练习者的自主神经模式差别很大：部分练习中报告过交感与副交感同时激活，研究者称之为“放松的警觉”，这是功能性的描述，要支持两套系统同时激活，需要对两支系统分别做可靠的测量；也有研究只见到其中一套系统活跃，或者模式随时间变化</w:t>
      </w:r>
      <w:r>
        <w:rPr>
          <w:vertAlign w:val="superscript"/>
        </w:rPr>
        <w:t xml:space="preserve">[</w:t>
      </w:r>
      <w:hyperlink w:anchor="ref-1106">
        <w:r>
          <w:rPr>
            <w:rStyle w:val="Hyperlink"/>
            <w:vertAlign w:val="superscript"/>
          </w:rPr>
          <w:t xml:space="preserve">1106</w:t>
        </w:r>
      </w:hyperlink>
      <w:r>
        <w:rPr>
          <w:vertAlign w:val="superscript"/>
        </w:rPr>
        <w:t xml:space="preserve">]</w:t>
      </w:r>
      <w:r>
        <w:t xml:space="preserve">。一般冥想研究里观察到的生理变化，例如心率略降、呼吸变慢、皮肤电导下降，大多是中小幅度的，并且与呼吸方式高度相关。</w:t>
      </w:r>
    </w:p>
    <w:p>
      <w:pPr>
        <w:pStyle w:val="CalloutJudgment"/>
      </w:pPr>
      <w:r>
        <w:rPr>
          <w:bCs/>
          <w:b/>
        </w:rPr>
        <w:t xml:space="preserve">判断　</w:t>
      </w:r>
      <w:r>
        <w:t xml:space="preserve">“冥想时副交感神经占优势”</w:t>
      </w:r>
      <w:r>
        <w:rPr>
          <w:bCs/>
          <w:b/>
        </w:rPr>
        <w:t xml:space="preserve">部分成立·中</w:t>
      </w:r>
      <w:r>
        <w:t xml:space="preserve">：部分安静练习伴随心率减慢和与呼吸相关的心率变异性增大，这些指标说明不了全身的副交感活动整体占优势，机制和各器官的情况需要分别检验；呼吸、姿势和一般休息可能解释其中相当一部分，安静休息和慢呼吸时也会出现；“冥想就是放松”</w:t>
      </w:r>
      <w:r>
        <w:rPr>
          <w:bCs/>
          <w:b/>
        </w:rPr>
        <w:t xml:space="preserve">过度简化·高</w:t>
      </w:r>
      <w:r>
        <w:t xml:space="preserve">：放松很常见，部分传统练习可能伴随较高的唤醒，相关的自主神经指标解读有限（同见</w:t>
      </w:r>
      <w:r>
        <w:t xml:space="preserve"> </w:t>
      </w:r>
      <w:hyperlink w:anchor="sec-115-6">
        <w:r>
          <w:rPr>
            <w:rStyle w:val="Hyperlink"/>
          </w:rPr>
          <w:t xml:space="preserve">115.6</w:t>
        </w:r>
      </w:hyperlink>
      <w:r>
        <w:t xml:space="preserve">）。</w:t>
      </w:r>
    </w:p>
    <w:bookmarkEnd w:id="1814"/>
    <w:bookmarkStart w:id="1815" w:name="sec-113-2"/>
    <w:p>
      <w:pPr>
        <w:pStyle w:val="Heading3"/>
      </w:pPr>
      <w:r>
        <w:t xml:space="preserve">113.2　冥想与心率变异性</w:t>
      </w:r>
    </w:p>
    <w:p>
      <w:pPr>
        <w:pStyle w:val="FirstParagraph"/>
      </w:pPr>
      <w:r>
        <w:t xml:space="preserve">很多冥想练习会自然地让呼吸变慢，所以冥想的一部分生理效应可能经由呼吸实现（慢呼吸与心率变异性的生理见</w:t>
      </w:r>
      <w:r>
        <w:t xml:space="preserve"> </w:t>
      </w:r>
      <w:hyperlink w:anchor="sec-104-1">
        <w:r>
          <w:rPr>
            <w:rStyle w:val="Hyperlink"/>
          </w:rPr>
          <w:t xml:space="preserve">104.1</w:t>
        </w:r>
      </w:hyperlink>
      <w:r>
        <w:t xml:space="preserve">）。至于长期练习能否提高静息时的心率变异性，2021 年一项汇总 19 项随机对照试验的元分析，未能以现有精度确认正念与冥想课程比对照条件更能提高与迷走神经有关的静息心率变异性：合并效应量 0.38，95% 置信区间从 −0.01 到 0.77，去掉一项离群研究后降到 0.19，仍不显著；各研究结果差异很大，作者的结论是目前证据不足</w:t>
      </w:r>
      <w:r>
        <w:rPr>
          <w:vertAlign w:val="superscript"/>
        </w:rPr>
        <w:t xml:space="preserve">[</w:t>
      </w:r>
      <w:hyperlink w:anchor="ref-1107">
        <w:r>
          <w:rPr>
            <w:rStyle w:val="Hyperlink"/>
            <w:vertAlign w:val="superscript"/>
          </w:rPr>
          <w:t xml:space="preserve">1107</w:t>
        </w:r>
      </w:hyperlink>
      <w:r>
        <w:rPr>
          <w:vertAlign w:val="superscript"/>
        </w:rPr>
        <w:t xml:space="preserve">]</w:t>
      </w:r>
      <w:r>
        <w:t xml:space="preserve">。这个区间从接近零一直延伸到有实际意义的正效应，据此下不了“长期练习没有作用”的结论。去掉离群研究后的 0.19 来自一项敏感性分析。这个数也不能直接当作真实效应。</w:t>
      </w:r>
    </w:p>
    <w:p>
      <w:pPr>
        <w:pStyle w:val="CalloutJudgment"/>
      </w:pPr>
      <w:r>
        <w:rPr>
          <w:bCs/>
          <w:b/>
        </w:rPr>
        <w:t xml:space="preserve">判断　</w:t>
      </w:r>
      <w:r>
        <w:t xml:space="preserve">“冥想提高心率变异性”</w:t>
      </w:r>
      <w:r>
        <w:rPr>
          <w:bCs/>
          <w:b/>
        </w:rPr>
        <w:t xml:space="preserve">部分成立·中</w:t>
      </w:r>
      <w:r>
        <w:t xml:space="preserve">：练习中呼吸放慢时，心率波动会即时增大，这一变化主要来自呼吸节律；随机试验的汇总未能以现有精度确认长期练习能提高静息心率变异性。</w:t>
      </w:r>
    </w:p>
    <w:p>
      <w:pPr>
        <w:pStyle w:val="CalloutJudgment"/>
      </w:pPr>
      <w:r>
        <w:rPr>
          <w:bCs/>
          <w:b/>
        </w:rPr>
        <w:t xml:space="preserve">判断　</w:t>
      </w:r>
      <w:r>
        <w:t xml:space="preserve">“观呼吸通过某个特定脑回路让人开悟或疗愈”</w:t>
      </w:r>
      <w:r>
        <w:rPr>
          <w:bCs/>
          <w:b/>
        </w:rPr>
        <w:t xml:space="preserve">证据不足·低</w:t>
      </w:r>
      <w:r>
        <w:t xml:space="preserve">。呼吸与脑节律耦合的证据见</w:t>
      </w:r>
      <w:r>
        <w:t xml:space="preserve"> </w:t>
      </w:r>
      <w:hyperlink w:anchor="sec-104-3">
        <w:r>
          <w:rPr>
            <w:rStyle w:val="Hyperlink"/>
          </w:rPr>
          <w:t xml:space="preserve">104.3</w:t>
        </w:r>
      </w:hyperlink>
      <w:r>
        <w:t xml:space="preserve">。</w:t>
      </w:r>
    </w:p>
    <w:bookmarkEnd w:id="1815"/>
    <w:bookmarkStart w:id="1816" w:name="sec-113-3"/>
    <w:p>
      <w:pPr>
        <w:pStyle w:val="Heading3"/>
      </w:pPr>
      <w:r>
        <w:t xml:space="preserve">113.3　冥想者更懂自己的身体吗</w:t>
      </w:r>
    </w:p>
    <w:p>
      <w:pPr>
        <w:pStyle w:val="FirstParagraph"/>
      </w:pPr>
      <w:r>
        <w:t xml:space="preserve">冥想者在自评量表上普遍报告更强的身体觉察。客观准确度则不同。一项早期研究发现，经验丰富的冥想者在心跳觉察任务上并不比对照组更准确，却认为自己做得更好、任务更容易</w:t>
      </w:r>
      <w:r>
        <w:rPr>
          <w:vertAlign w:val="superscript"/>
        </w:rPr>
        <w:t xml:space="preserve">[</w:t>
      </w:r>
      <w:hyperlink w:anchor="ref-1108">
        <w:r>
          <w:rPr>
            <w:rStyle w:val="Hyperlink"/>
            <w:vertAlign w:val="superscript"/>
          </w:rPr>
          <w:t xml:space="preserve">1108</w:t>
        </w:r>
      </w:hyperlink>
      <w:r>
        <w:rPr>
          <w:vertAlign w:val="superscript"/>
        </w:rPr>
        <w:t xml:space="preserve">]</w:t>
      </w:r>
      <w:r>
        <w:t xml:space="preserve">。2020 年的研究给冥想者和对照者静脉注射不同剂量、让心跳加快的药物，冥想者没有更高的觉察率和准确度；同一论文对 8 项研究、724 人的汇总也没有发现差异</w:t>
      </w:r>
      <w:r>
        <w:rPr>
          <w:vertAlign w:val="superscript"/>
        </w:rPr>
        <w:t xml:space="preserve">[</w:t>
      </w:r>
      <w:hyperlink w:anchor="ref-1109">
        <w:r>
          <w:rPr>
            <w:rStyle w:val="Hyperlink"/>
            <w:vertAlign w:val="superscript"/>
          </w:rPr>
          <w:t xml:space="preserve">1109</w:t>
        </w:r>
      </w:hyperlink>
      <w:r>
        <w:rPr>
          <w:vertAlign w:val="superscript"/>
        </w:rPr>
        <w:t xml:space="preserve">]</w:t>
      </w:r>
      <w:r>
        <w:t xml:space="preserve">。最新的预注册元分析汇总 41 项研究、两千四百余人，合并估计为一个统计上显著的小幅正相关（约 0.13），预测区间却从负 0.36 到正 0.62（预测区间表示一项新研究的真实效应可能落入的范围，比合并均值的置信区间宽）；效应主要来自间接测量和长期冥想者的病例对照研究，研究间差异大，有发表偏倚的迹象，作者认为效应的真实大小乃至方向都还不确定</w:t>
      </w:r>
      <w:r>
        <w:rPr>
          <w:vertAlign w:val="superscript"/>
        </w:rPr>
        <w:t xml:space="preserve">[</w:t>
      </w:r>
      <w:hyperlink w:anchor="ref-1110">
        <w:r>
          <w:rPr>
            <w:rStyle w:val="Hyperlink"/>
            <w:vertAlign w:val="superscript"/>
          </w:rPr>
          <w:t xml:space="preserve">1110</w:t>
        </w:r>
      </w:hyperlink>
      <w:r>
        <w:rPr>
          <w:vertAlign w:val="superscript"/>
        </w:rPr>
        <w:t xml:space="preserve">]</w:t>
      </w:r>
      <w:r>
        <w:t xml:space="preserve">。常用的“心跳计数”任务本身的效度也受到质疑（见</w:t>
      </w:r>
      <w:r>
        <w:t xml:space="preserve"> </w:t>
      </w:r>
      <w:hyperlink w:anchor="sec-104-4">
        <w:r>
          <w:rPr>
            <w:rStyle w:val="Hyperlink"/>
          </w:rPr>
          <w:t xml:space="preserve">104.4</w:t>
        </w:r>
      </w:hyperlink>
      <w:r>
        <w:t xml:space="preserve">）。一项九个月的大型训练研究发现，心跳感知准确度随训练缓慢提高，九个月时效应量约 0.27，所用的正是这种受质疑的计数任务</w:t>
      </w:r>
      <w:r>
        <w:rPr>
          <w:vertAlign w:val="superscript"/>
        </w:rPr>
        <w:t xml:space="preserve">[</w:t>
      </w:r>
      <w:hyperlink w:anchor="ref-1111">
        <w:r>
          <w:rPr>
            <w:rStyle w:val="Hyperlink"/>
            <w:vertAlign w:val="superscript"/>
          </w:rPr>
          <w:t xml:space="preserve">1111</w:t>
        </w:r>
      </w:hyperlink>
      <w:r>
        <w:rPr>
          <w:vertAlign w:val="superscript"/>
        </w:rPr>
        <w:t xml:space="preserve">]</w:t>
      </w:r>
      <w:r>
        <w:t xml:space="preserve">。一项三天正念训练的随机试验则显示，自评的身体敏感度提高，客观准确度不变</w:t>
      </w:r>
      <w:r>
        <w:rPr>
          <w:vertAlign w:val="superscript"/>
        </w:rPr>
        <w:t xml:space="preserve">[</w:t>
      </w:r>
      <w:hyperlink w:anchor="ref-1112">
        <w:r>
          <w:rPr>
            <w:rStyle w:val="Hyperlink"/>
            <w:vertAlign w:val="superscript"/>
          </w:rPr>
          <w:t xml:space="preserve">1112</w:t>
        </w:r>
      </w:hyperlink>
      <w:r>
        <w:rPr>
          <w:vertAlign w:val="superscript"/>
        </w:rPr>
        <w:t xml:space="preserve">]</w:t>
      </w:r>
      <w:r>
        <w:t xml:space="preserve">。</w:t>
      </w:r>
    </w:p>
    <w:p>
      <w:pPr>
        <w:pStyle w:val="BodyText"/>
      </w:pPr>
      <w:r>
        <w:t xml:space="preserve">对身体信号的注意有时帮助识别紧张并调整行动，有时也可能增加威胁监测。一个人若把每次心跳变化都解读为危险，持续聚焦可能放大困扰。这种可能性说明干预需要考虑个体解释模式，不能把更多身体觉察普遍定义为更好。</w:t>
      </w:r>
    </w:p>
    <w:p>
      <w:pPr>
        <w:pStyle w:val="CalloutMyth"/>
      </w:pPr>
      <w:r>
        <w:rPr>
          <w:bCs/>
          <w:b/>
        </w:rPr>
        <w:t xml:space="preserve">误解　</w:t>
      </w:r>
      <w:r>
        <w:t xml:space="preserve">冥想让人对身体信号的感知变得更准确。</w:t>
      </w:r>
    </w:p>
    <w:p>
      <w:pPr>
        <w:pStyle w:val="CalloutMyth"/>
      </w:pPr>
      <w:r>
        <w:rPr>
          <w:bCs/>
          <w:b/>
        </w:rPr>
        <w:t xml:space="preserve">实况　</w:t>
      </w:r>
      <w:r>
        <w:t xml:space="preserve">多项研究发现，练习者对身体觉察、调节或信任的自评有所提高，这些量表测量的维度并不完全相同，分数提高也不一定只是注意增加。客观内感受任务的汇总效果较小且不稳定，心跳计数等常用任务又存在效度争论；多通道客观研究很少，也说明不了每个通道的效应都很小。现有证据不足以认定冥想普遍提高了所有身体信号的感知准确度。流行说法常把“更关注”说成“更准确”。</w:t>
      </w:r>
    </w:p>
    <w:p>
      <w:pPr>
        <w:pStyle w:val="CalloutJudgment"/>
      </w:pPr>
      <w:r>
        <w:rPr>
          <w:bCs/>
          <w:b/>
        </w:rPr>
        <w:t xml:space="preserve">判断　</w:t>
      </w:r>
      <w:r>
        <w:t xml:space="preserve">“冥想提高自评的身体觉察”</w:t>
      </w:r>
      <w:r>
        <w:rPr>
          <w:bCs/>
          <w:b/>
        </w:rPr>
        <w:t xml:space="preserve">成立·中</w:t>
      </w:r>
      <w:r>
        <w:t xml:space="preserve">：各量表测的维度不完全相同；“冥想让身体感知更准确”</w:t>
      </w:r>
      <w:r>
        <w:rPr>
          <w:bCs/>
          <w:b/>
        </w:rPr>
        <w:t xml:space="preserve">证据不足·中</w:t>
      </w:r>
      <w:r>
        <w:t xml:space="preserve">。</w:t>
      </w:r>
    </w:p>
    <w:bookmarkEnd w:id="1816"/>
    <w:bookmarkEnd w:id="1817"/>
    <w:bookmarkStart w:id="1822" w:name="ch-114"/>
    <w:p>
      <w:pPr>
        <w:pStyle w:val="Heading2"/>
      </w:pPr>
      <w:r>
        <w:t xml:space="preserve">第114章　冥想与脑电</w:t>
      </w:r>
    </w:p>
    <w:p>
      <w:pPr>
        <w:pStyle w:val="FirstParagraph"/>
      </w:pPr>
      <w:r>
        <w:t xml:space="preserve">“α 波让人放松”“θ 波连通潜意识”“γ 波是开悟的标志”是冥想圈最常见的脑电说法，也是商业产品最爱用的卖点。脑电测的是什么、频段功率能说明什么，见</w:t>
      </w:r>
      <w:r>
        <w:t xml:space="preserve"> </w:t>
      </w:r>
      <w:hyperlink w:anchor="sec-52-1">
        <w:r>
          <w:rPr>
            <w:rStyle w:val="Hyperlink"/>
          </w:rPr>
          <w:t xml:space="preserve">52.1</w:t>
        </w:r>
      </w:hyperlink>
      <w:r>
        <w:t xml:space="preserve">和</w:t>
      </w:r>
      <w:r>
        <w:t xml:space="preserve"> </w:t>
      </w:r>
      <w:hyperlink w:anchor="sec-52-2">
        <w:r>
          <w:rPr>
            <w:rStyle w:val="Hyperlink"/>
          </w:rPr>
          <w:t xml:space="preserve">52.2</w:t>
        </w:r>
      </w:hyperlink>
      <w:r>
        <w:t xml:space="preserve">；这一章逐个处理冥想研究中的脑电发现和相关说法。</w:t>
      </w:r>
    </w:p>
    <w:bookmarkStart w:id="1818" w:name="sec-114-1"/>
    <w:p>
      <w:pPr>
        <w:pStyle w:val="Heading3"/>
      </w:pPr>
      <w:r>
        <w:t xml:space="preserve">114.1　α 与 θ：常见报告及其异质性</w:t>
      </w:r>
    </w:p>
    <w:p>
      <w:pPr>
        <w:pStyle w:val="FirstParagraph"/>
      </w:pPr>
      <w:r>
        <w:t xml:space="preserve">冥想脑电研究中报告较多的发现是：冥想时 α 频段功率相对于休息状态升高。2006 年的综述已经指出，θ 与 α 活动增强和练习熟练度有关</w:t>
      </w:r>
      <w:r>
        <w:rPr>
          <w:vertAlign w:val="superscript"/>
        </w:rPr>
        <w:t xml:space="preserve">[</w:t>
      </w:r>
      <w:hyperlink w:anchor="ref-1113">
        <w:r>
          <w:rPr>
            <w:rStyle w:val="Hyperlink"/>
            <w:vertAlign w:val="superscript"/>
          </w:rPr>
          <w:t xml:space="preserve">1113</w:t>
        </w:r>
      </w:hyperlink>
      <w:r>
        <w:rPr>
          <w:vertAlign w:val="superscript"/>
        </w:rPr>
        <w:t xml:space="preserve">]</w:t>
      </w:r>
      <w:r>
        <w:t xml:space="preserve">；2015 年对 56 篇论文、1715 名受试者的系统综述发现，与闭眼休息相比，正念最常与 α 和 θ 升高相关，β、δ、γ 没有一致模式</w:t>
      </w:r>
      <w:r>
        <w:rPr>
          <w:vertAlign w:val="superscript"/>
        </w:rPr>
        <w:t xml:space="preserve">[</w:t>
      </w:r>
      <w:hyperlink w:anchor="ref-1114">
        <w:r>
          <w:rPr>
            <w:rStyle w:val="Hyperlink"/>
            <w:vertAlign w:val="superscript"/>
          </w:rPr>
          <w:t xml:space="preserve">1114</w:t>
        </w:r>
      </w:hyperlink>
      <w:r>
        <w:rPr>
          <w:vertAlign w:val="superscript"/>
        </w:rPr>
        <w:t xml:space="preserve">]</w:t>
      </w:r>
      <w:r>
        <w:t xml:space="preserve">。2026 年的一项多层元分析结论有所不同：α、β、γ 的合并效应为正，θ 不显著；测量状态（冥想对休息）这一调节因素，在去掉“组别与状态交互”类效应量之后的敏感性分析中不再稳健</w:t>
      </w:r>
      <w:r>
        <w:rPr>
          <w:vertAlign w:val="superscript"/>
        </w:rPr>
        <w:t xml:space="preserve">[</w:t>
      </w:r>
      <w:hyperlink w:anchor="ref-1115">
        <w:r>
          <w:rPr>
            <w:rStyle w:val="Hyperlink"/>
            <w:vertAlign w:val="superscript"/>
          </w:rPr>
          <w:t xml:space="preserve">1115</w:t>
        </w:r>
      </w:hyperlink>
      <w:r>
        <w:rPr>
          <w:vertAlign w:val="superscript"/>
        </w:rPr>
        <w:t xml:space="preserve">]</w:t>
      </w:r>
      <w:r>
        <w:t xml:space="preserve">。前者逐项归纳研究结果，后者用多层模型合并效应量，两篇纳入的研究、频段定义和比较条件也不同，结论的差别不能简单按发表年份取舍。2022 年一项样本较大的研究也发现，冥想时 α 功率高于对照状态，对照状态是观看无声影片，作者指出差异可能部分来自视觉刺激的不同</w:t>
      </w:r>
      <w:r>
        <w:rPr>
          <w:vertAlign w:val="superscript"/>
        </w:rPr>
        <w:t xml:space="preserve">[</w:t>
      </w:r>
      <w:hyperlink w:anchor="ref-1057">
        <w:r>
          <w:rPr>
            <w:rStyle w:val="Hyperlink"/>
            <w:vertAlign w:val="superscript"/>
          </w:rPr>
          <w:t xml:space="preserve">1057</w:t>
        </w:r>
      </w:hyperlink>
      <w:r>
        <w:rPr>
          <w:vertAlign w:val="superscript"/>
        </w:rPr>
        <w:t xml:space="preserve">]</w:t>
      </w:r>
      <w:r>
        <w:t xml:space="preserve">。深度专注状态下，额中线 θ 升高、β 与低频 γ 反而下降，提示 θ 的变化与专注程度有关</w:t>
      </w:r>
      <w:r>
        <w:rPr>
          <w:vertAlign w:val="superscript"/>
        </w:rPr>
        <w:t xml:space="preserve">[</w:t>
      </w:r>
      <w:hyperlink w:anchor="ref-1116">
        <w:r>
          <w:rPr>
            <w:rStyle w:val="Hyperlink"/>
            <w:vertAlign w:val="superscript"/>
          </w:rPr>
          <w:t xml:space="preserve">1116</w:t>
        </w:r>
      </w:hyperlink>
      <w:r>
        <w:rPr>
          <w:vertAlign w:val="superscript"/>
        </w:rPr>
        <w:t xml:space="preserve">]</w:t>
      </w:r>
      <w:r>
        <w:t xml:space="preserve">。这些研究大多没有把周期性振荡与非周期成分分开，频段功率的变化有多少来自背景谱形状的改变，目前还不清楚。比较的对象也要分清：长期练习者与新手的比较、同一个人冥想与休息的比较、训练组与对照组前后变化的比较，估计的是不同的东西。闭眼休息本身就会增强后部 α，对照如果是睁眼或做认知任务，“冥想差异”会吸收这些条件差别；困倦和早期睡眠也会改变 θ，实验中需要评估睡意。每一项频段结果都应注明练习类型、睁眼还是闭眼、有无困倦、比较的是状态还是特质、用绝对还是相对功率、基线是什么、频段怎样定义、非周期成分怎样处理。</w:t>
      </w:r>
    </w:p>
    <w:p>
      <w:pPr>
        <w:pStyle w:val="BodyText"/>
      </w:pPr>
      <w:r>
        <w:t xml:space="preserve">这些发现说明冥想可以是一种与休息可区分的脑状态。至于冥想者“进入了潜意识”，这些数据给不出任何支持。流行的“θ 波学习法”“θ 波开发潜能”把一个描述性的频段标签变成了功能许诺，没有证据支持。</w:t>
      </w:r>
    </w:p>
    <w:p>
      <w:pPr>
        <w:pStyle w:val="CalloutJudgment"/>
      </w:pPr>
      <w:r>
        <w:rPr>
          <w:bCs/>
          <w:b/>
        </w:rPr>
        <w:t xml:space="preserve">判断　</w:t>
      </w:r>
      <w:r>
        <w:t xml:space="preserve">“冥想时 α 增加”</w:t>
      </w:r>
      <w:r>
        <w:rPr>
          <w:bCs/>
          <w:b/>
        </w:rPr>
        <w:t xml:space="preserve">部分成立·中</w:t>
      </w:r>
      <w:r>
        <w:t xml:space="preserve">：多项研究报告功率增加，跨练习、跨对照条件的一致性和机制特异性有限；“冥想时 θ 增加”</w:t>
      </w:r>
      <w:r>
        <w:rPr>
          <w:bCs/>
          <w:b/>
        </w:rPr>
        <w:t xml:space="preserve">部分成立·低</w:t>
      </w:r>
      <w:r>
        <w:t xml:space="preserve">：结果随设计而变，较早的综述支持，新近的汇总没有确认稳定的增加。“α 波 = 放松”“θ 波 = 潜意识”两种说法的判断见</w:t>
      </w:r>
      <w:r>
        <w:t xml:space="preserve"> </w:t>
      </w:r>
      <w:hyperlink w:anchor="sec-52-3">
        <w:r>
          <w:rPr>
            <w:rStyle w:val="Hyperlink"/>
          </w:rPr>
          <w:t xml:space="preserve">52.3</w:t>
        </w:r>
      </w:hyperlink>
      <w:r>
        <w:t xml:space="preserve">。</w:t>
      </w:r>
    </w:p>
    <w:bookmarkEnd w:id="1818"/>
    <w:bookmarkStart w:id="1819" w:name="sec-114-2"/>
    <w:p>
      <w:pPr>
        <w:pStyle w:val="Heading3"/>
      </w:pPr>
      <w:r>
        <w:t xml:space="preserve">114.2　γ 波与“开悟脑波”</w:t>
      </w:r>
    </w:p>
    <w:p>
      <w:pPr>
        <w:pStyle w:val="FirstParagraph"/>
      </w:pPr>
      <w:r>
        <w:t xml:space="preserve">γ 波的冥想名声来自 2004 年一项研究：8 位长期修行的藏传佛教练习者与 10 名学生相比，在“无所缘慈悲”冥想中出现了高幅度、长程同步的 γ 节律，而且他们在冥想开始前的 γ 与慢波之比就更高</w:t>
      </w:r>
      <w:r>
        <w:rPr>
          <w:vertAlign w:val="superscript"/>
        </w:rPr>
        <w:t xml:space="preserve">[</w:t>
      </w:r>
      <w:hyperlink w:anchor="ref-974">
        <w:r>
          <w:rPr>
            <w:rStyle w:val="Hyperlink"/>
            <w:vertAlign w:val="superscript"/>
          </w:rPr>
          <w:t xml:space="preserve">974</w:t>
        </w:r>
      </w:hyperlink>
      <w:r>
        <w:rPr>
          <w:vertAlign w:val="superscript"/>
        </w:rPr>
        <w:t xml:space="preserve">]</w:t>
      </w:r>
      <w:r>
        <w:t xml:space="preserve">。这项研究影响巨大，也有明显局限：样本很小，属于横断面比较；所用的 25–42 赫兹处在头皮脑电明显受肌电污染的频段（20 赫兹以上，见</w:t>
      </w:r>
      <w:r>
        <w:t xml:space="preserve"> </w:t>
      </w:r>
      <w:hyperlink w:anchor="sec-52-3">
        <w:r>
          <w:rPr>
            <w:rStyle w:val="Hyperlink"/>
          </w:rPr>
          <w:t xml:space="preserve">52.3</w:t>
        </w:r>
      </w:hyperlink>
      <w:r>
        <w:t xml:space="preserve">），作者做了几项肌电对照分析，这一顾虑仍未完全排除；修行者与学生在年龄、文化背景和生活方式上差别很大。宽带功率、窄带振荡和相位同步是不同的 γ 指标；“γ 与慢波之比”还受分母影响，低频功率下降而 γ 不变，这个比值同样会上升，需要同时报告分子、分母和绝对功率谱。论文作者之一马修·李卡德本人就是长期修行者，也是这个团队脑电研究的受试者之一（见</w:t>
      </w:r>
      <w:r>
        <w:t xml:space="preserve"> </w:t>
      </w:r>
      <w:hyperlink w:anchor="sec-116-7">
        <w:r>
          <w:rPr>
            <w:rStyle w:val="Hyperlink"/>
          </w:rPr>
          <w:t xml:space="preserve">116.7</w:t>
        </w:r>
      </w:hyperlink>
      <w:r>
        <w:t xml:space="preserve">）。</w:t>
      </w:r>
    </w:p>
    <w:p>
      <w:pPr>
        <w:pStyle w:val="BodyText"/>
      </w:pPr>
      <w:r>
        <w:t xml:space="preserve">后来的研究结果更复杂。内观练习者冥想时顶枕区 γ 活动升高，练习十年以上者最明显</w:t>
      </w:r>
      <w:r>
        <w:rPr>
          <w:vertAlign w:val="superscript"/>
        </w:rPr>
        <w:t xml:space="preserve">[</w:t>
      </w:r>
      <w:hyperlink w:anchor="ref-1117">
        <w:r>
          <w:rPr>
            <w:rStyle w:val="Hyperlink"/>
            <w:vertAlign w:val="superscript"/>
          </w:rPr>
          <w:t xml:space="preserve">1117</w:t>
        </w:r>
      </w:hyperlink>
      <w:r>
        <w:rPr>
          <w:vertAlign w:val="superscript"/>
        </w:rPr>
        <w:t xml:space="preserve">]</w:t>
      </w:r>
      <w:r>
        <w:t xml:space="preserve">；三个不同传统的练习者顶枕区 60–110 赫兹的 γ 活动都高于对照，这项研究用独立成分分析检查了眼动和颞肌成分，组间没有差异</w:t>
      </w:r>
      <w:r>
        <w:rPr>
          <w:vertAlign w:val="superscript"/>
        </w:rPr>
        <w:t xml:space="preserve">[</w:t>
      </w:r>
      <w:hyperlink w:anchor="ref-1118">
        <w:r>
          <w:rPr>
            <w:rStyle w:val="Hyperlink"/>
            <w:vertAlign w:val="superscript"/>
          </w:rPr>
          <w:t xml:space="preserve">1118</w:t>
        </w:r>
      </w:hyperlink>
      <w:r>
        <w:rPr>
          <w:vertAlign w:val="superscript"/>
        </w:rPr>
        <w:t xml:space="preserve">]</w:t>
      </w:r>
      <w:r>
        <w:t xml:space="preserve">；长期练习者在非快速眼动睡眠中的 γ 活动也更高</w:t>
      </w:r>
      <w:r>
        <w:rPr>
          <w:vertAlign w:val="superscript"/>
        </w:rPr>
        <w:t xml:space="preserve">[</w:t>
      </w:r>
      <w:hyperlink w:anchor="ref-1119">
        <w:r>
          <w:rPr>
            <w:rStyle w:val="Hyperlink"/>
            <w:vertAlign w:val="superscript"/>
          </w:rPr>
          <w:t xml:space="preserve">1119</w:t>
        </w:r>
      </w:hyperlink>
      <w:r>
        <w:rPr>
          <w:vertAlign w:val="superscript"/>
        </w:rPr>
        <w:t xml:space="preserve">]</w:t>
      </w:r>
      <w:r>
        <w:t xml:space="preserve">。相反方向的结果同样存在：深度专注状态下，中央区 β 和低频 γ 下降</w:t>
      </w:r>
      <w:r>
        <w:rPr>
          <w:vertAlign w:val="superscript"/>
        </w:rPr>
        <w:t xml:space="preserve">[</w:t>
      </w:r>
      <w:hyperlink w:anchor="ref-1116">
        <w:r>
          <w:rPr>
            <w:rStyle w:val="Hyperlink"/>
            <w:vertAlign w:val="superscript"/>
          </w:rPr>
          <w:t xml:space="preserve">1116</w:t>
        </w:r>
      </w:hyperlink>
      <w:r>
        <w:rPr>
          <w:vertAlign w:val="superscript"/>
        </w:rPr>
        <w:t xml:space="preserve">]</w:t>
      </w:r>
      <w:r>
        <w:t xml:space="preserve">。2026 年一项研究比较了 35 名梵天库玛丽（Brahma Kumaris）传统的睁眼冥想者与 36 名对照者，主要分析按年龄和性别配成约 30 对，用眼动仪剔除了视线偏离注视点的片段，并区分了两种 γ：不冥想时观看视觉刺激，刺激诱发的慢 γ（24–34 赫兹）在冥想者中更强（冥想段之前和之后的两次观看都是如此，校正多重比较后只有之后那一次仍然显著），α 和快 γ 没有组间差异；无刺激时的宽带 γ（30–80 赫兹）也更强，两种 γ 彼此不相关。在边冥想边看刺激的条件下，按原定的 24–34 赫兹计算，组间差异不显著（p = 0.19），改用 20–30 赫兹才达到显著（p = 0.045），这部分结果对频段划分很敏感。冥想者自评的正念和神秘体验较高、压力较低，研究没有检出这些评分与 γ 功率之间的稳定关联</w:t>
      </w:r>
      <w:r>
        <w:rPr>
          <w:vertAlign w:val="superscript"/>
        </w:rPr>
        <w:t xml:space="preserve">[</w:t>
      </w:r>
      <w:hyperlink w:anchor="ref-1120">
        <w:r>
          <w:rPr>
            <w:rStyle w:val="Hyperlink"/>
            <w:vertAlign w:val="superscript"/>
          </w:rPr>
          <w:t xml:space="preserve">1120</w:t>
        </w:r>
      </w:hyperlink>
      <w:r>
        <w:rPr>
          <w:vertAlign w:val="superscript"/>
        </w:rPr>
        <w:t xml:space="preserve">]</w:t>
      </w:r>
      <w:r>
        <w:t xml:space="preserve">，测量误差、取值范围受限和样本精度都可能影响这类相关，没有检出不等于确定无关。这是横断面比较；作者推测冥想可能减缓与年龄有关的神经变化，这一点研究并没有检验。</w:t>
      </w:r>
    </w:p>
    <w:p>
      <w:pPr>
        <w:pStyle w:val="BodyText"/>
      </w:pPr>
      <w:r>
        <w:t xml:space="preserve">“γ 波 = 开悟”“γ 波 = 超意识”则完全是外推。γ 活动广泛出现在知觉绑定、注意和记忆任务中，也受肌电伪迹影响。一个脑电指标要成为某种状态的标志，至少需要独立于脑电的可靠状态定义、盲法评定、跨个体和跨实验室的验证、敏感度与特异度、阴性的对照状态、对肌电、睡眠和药物的稳健性、事先设定的阈值和独立的测试样本，现有的探索性关联离这些要求还很远。另有一条完全不同的研究线，用 40 赫兹声光刺激干预阿尔茨海默病，那是外部驱动的刺激，针对的是另一个临床问题，常被商家与冥想混为一谈；数字相同，说明不了机制相同，疗效也不能互换。</w:t>
      </w:r>
    </w:p>
    <w:p>
      <w:pPr>
        <w:pStyle w:val="CalloutJudgment"/>
      </w:pPr>
      <w:r>
        <w:rPr>
          <w:bCs/>
          <w:b/>
        </w:rPr>
        <w:t xml:space="preserve">判断　</w:t>
      </w:r>
      <w:r>
        <w:t xml:space="preserve">“部分长期冥想者的 γ 活动更强”</w:t>
      </w:r>
      <w:r>
        <w:rPr>
          <w:bCs/>
          <w:b/>
        </w:rPr>
        <w:t xml:space="preserve">部分成立·低</w:t>
      </w:r>
      <w:r>
        <w:t xml:space="preserve">；“γ 波是开悟或高级意识的标志”</w:t>
      </w:r>
      <w:r>
        <w:rPr>
          <w:bCs/>
          <w:b/>
        </w:rPr>
        <w:t xml:space="preserve">错误·高</w:t>
      </w:r>
      <w:r>
        <w:t xml:space="preserve">。</w:t>
      </w:r>
    </w:p>
    <w:bookmarkEnd w:id="1819"/>
    <w:bookmarkStart w:id="1820" w:name="sec-114-3"/>
    <w:p>
      <w:pPr>
        <w:pStyle w:val="Heading3"/>
      </w:pPr>
      <w:r>
        <w:t xml:space="preserve">114.3　额叶 α 不对称与“幸福脑”</w:t>
      </w:r>
    </w:p>
    <w:p>
      <w:pPr>
        <w:pStyle w:val="FirstParagraph"/>
      </w:pPr>
      <w:r>
        <w:t xml:space="preserve">戴维森团队长期研究左右前额叶的 α 功率差异：左侧相对更活跃（α 功率较低被解读为皮层更活跃），被认为与趋近动机和正性情绪相关；趋近动机本身也不等于正性情绪，愤怒同样带有趋近成分。2003 年一项研究把生物科技公司员工随机分入八周正念减压组或候补组，接受测量的分别为 25 人和 16 人，训练组左侧脑电活动相对增强，流感疫苗后的抗体升高也更多，两者还彼此相关；正念减压的创始人卡巴金是作者之一</w:t>
      </w:r>
      <w:r>
        <w:rPr>
          <w:vertAlign w:val="superscript"/>
        </w:rPr>
        <w:t xml:space="preserve">[</w:t>
      </w:r>
      <w:hyperlink w:anchor="ref-973">
        <w:r>
          <w:rPr>
            <w:rStyle w:val="Hyperlink"/>
            <w:vertAlign w:val="superscript"/>
          </w:rPr>
          <w:t xml:space="preserve">973</w:t>
        </w:r>
      </w:hyperlink>
      <w:r>
        <w:rPr>
          <w:vertAlign w:val="superscript"/>
        </w:rPr>
        <w:t xml:space="preserve">]</w:t>
      </w:r>
      <w:r>
        <w:t xml:space="preserve">。显著的组间差异出现在中央区（静息时）和前颞区（诱发正性情绪时）电极。常用于测量额叶不对称的额区电极上，变化不显著；论文也写明最一致的结果来自中央区电极；这一点在发表后就受到质疑，后来的随机试验论文也提到了它</w:t>
      </w:r>
      <w:r>
        <w:rPr>
          <w:vertAlign w:val="superscript"/>
        </w:rPr>
        <w:t xml:space="preserve">[</w:t>
      </w:r>
      <w:hyperlink w:anchor="ref-1121">
        <w:r>
          <w:rPr>
            <w:rStyle w:val="Hyperlink"/>
            <w:vertAlign w:val="superscript"/>
          </w:rPr>
          <w:t xml:space="preserve">1121</w:t>
        </w:r>
      </w:hyperlink>
      <w:r>
        <w:rPr>
          <w:vertAlign w:val="superscript"/>
        </w:rPr>
        <w:t xml:space="preserve">]</w:t>
      </w:r>
      <w:r>
        <w:t xml:space="preserve">。这项研究被大量引用，后来常被宣传成“冥想让大脑转向幸福模式”。</w:t>
      </w:r>
    </w:p>
    <w:p>
      <w:pPr>
        <w:pStyle w:val="BodyText"/>
      </w:pPr>
      <w:r>
        <w:t xml:space="preserve">后续研究没有给出一致的支持。一项 201 名老年人参加、以候补为对照的随机试验中（约 110 人有可用的脑电数据），课程刚结束时，正念减压组的额叶 α 不对称保持原状，候补组则向右偏移，此时两组差异显著（p = 0.03），组别与时间的交互作用只达到边缘显著（p = 0.07），哪一项是事先设定的主要检验，决定了该怎样读这两个数字；到最后一次随访时两组已没有差异。执行功能测验同样只在课程刚结束时略有改善。抗体方面，研究原本假定受试者从未接触过所用的抗原，结果两组在注射前都已有可观的抗体水平，正念减压组更高，注射 24 周后的抗体反应却较低，作者称这与预期方向相反，不能排除意外的方法学混杂</w:t>
      </w:r>
      <w:r>
        <w:rPr>
          <w:vertAlign w:val="superscript"/>
        </w:rPr>
        <w:t xml:space="preserve">[</w:t>
      </w:r>
      <w:hyperlink w:anchor="ref-1121">
        <w:r>
          <w:rPr>
            <w:rStyle w:val="Hyperlink"/>
            <w:vertAlign w:val="superscript"/>
          </w:rPr>
          <w:t xml:space="preserve">1121</w:t>
        </w:r>
      </w:hyperlink>
      <w:r>
        <w:rPr>
          <w:vertAlign w:val="superscript"/>
        </w:rPr>
        <w:t xml:space="preserve">]</w:t>
      </w:r>
      <w:r>
        <w:t xml:space="preserve">。一项 20 名正处于抑郁发作的患者参加的随机试验中，正念认知疗法减轻了抑郁和焦虑症状，额叶不对称没有变化</w:t>
      </w:r>
      <w:r>
        <w:rPr>
          <w:vertAlign w:val="superscript"/>
        </w:rPr>
        <w:t xml:space="preserve">[</w:t>
      </w:r>
      <w:hyperlink w:anchor="ref-1122">
        <w:r>
          <w:rPr>
            <w:rStyle w:val="Hyperlink"/>
            <w:vertAlign w:val="superscript"/>
          </w:rPr>
          <w:t xml:space="preserve">1122</w:t>
        </w:r>
      </w:hyperlink>
      <w:r>
        <w:rPr>
          <w:vertAlign w:val="superscript"/>
        </w:rPr>
        <w:t xml:space="preserve">]</w:t>
      </w:r>
      <w:r>
        <w:t xml:space="preserve">，这提示额叶不对称的改变未必是疗效所必需的中介。样本只有 20 人，脑机制是否完全没有变化，这项研究也回答不了。作为抑郁的诊断指标，额叶不对称在 16 项研究、四千余人的元分析中效应量几乎为零</w:t>
      </w:r>
      <w:r>
        <w:rPr>
          <w:vertAlign w:val="superscript"/>
        </w:rPr>
        <w:t xml:space="preserve">[</w:t>
      </w:r>
      <w:hyperlink w:anchor="ref-1123">
        <w:r>
          <w:rPr>
            <w:rStyle w:val="Hyperlink"/>
            <w:vertAlign w:val="superscript"/>
          </w:rPr>
          <w:t xml:space="preserve">1123</w:t>
        </w:r>
      </w:hyperlink>
      <w:r>
        <w:rPr>
          <w:vertAlign w:val="superscript"/>
        </w:rPr>
        <w:t xml:space="preserve">]</w:t>
      </w:r>
      <w:r>
        <w:t xml:space="preserve">，这削弱了它在群体诊断上的用途，用于个人预后或状态预测则需要另外验证；研究者呼吁明确它在每项研究里是预测因素、结局、中介还是调节因素</w:t>
      </w:r>
      <w:r>
        <w:rPr>
          <w:vertAlign w:val="superscript"/>
        </w:rPr>
        <w:t xml:space="preserve">[</w:t>
      </w:r>
      <w:hyperlink w:anchor="ref-1124">
        <w:r>
          <w:rPr>
            <w:rStyle w:val="Hyperlink"/>
            <w:vertAlign w:val="superscript"/>
          </w:rPr>
          <w:t xml:space="preserve">1124</w:t>
        </w:r>
      </w:hyperlink>
      <w:r>
        <w:rPr>
          <w:vertAlign w:val="superscript"/>
        </w:rPr>
        <w:t xml:space="preserve">]</w:t>
      </w:r>
      <w:r>
        <w:t xml:space="preserve">。</w:t>
      </w:r>
    </w:p>
    <w:p>
      <w:pPr>
        <w:pStyle w:val="CalloutJudgment"/>
      </w:pPr>
      <w:r>
        <w:rPr>
          <w:bCs/>
          <w:b/>
        </w:rPr>
        <w:t xml:space="preserve">判断　</w:t>
      </w:r>
      <w:r>
        <w:t xml:space="preserve">“冥想让大脑转向幸福的左脑模式”</w:t>
      </w:r>
      <w:r>
        <w:rPr>
          <w:bCs/>
          <w:b/>
        </w:rPr>
        <w:t xml:space="preserve">证据不足·中</w:t>
      </w:r>
      <w:r>
        <w:t xml:space="preserve">；“额叶不对称是幸福感的读数”</w:t>
      </w:r>
      <w:r>
        <w:rPr>
          <w:bCs/>
          <w:b/>
        </w:rPr>
        <w:t xml:space="preserve">错误·中</w:t>
      </w:r>
      <w:r>
        <w:t xml:space="preserve">：它缺少构念效度，也没有用于个人解释的标尺。</w:t>
      </w:r>
    </w:p>
    <w:bookmarkEnd w:id="1820"/>
    <w:bookmarkStart w:id="1821" w:name="sec-114-4"/>
    <w:p>
      <w:pPr>
        <w:pStyle w:val="Heading3"/>
      </w:pPr>
      <w:r>
        <w:t xml:space="preserve">114.4　冥想头带</w:t>
      </w:r>
    </w:p>
    <w:p>
      <w:pPr>
        <w:pStyle w:val="FirstParagraph"/>
      </w:pPr>
      <w:r>
        <w:t xml:space="preserve">消费级脑电头带用前额和耳后的干电极测量信号，再通过声音反馈引导用户“平静下来”。这类设备能记录到一部分真实的脑电成分</w:t>
      </w:r>
      <w:r>
        <w:rPr>
          <w:vertAlign w:val="superscript"/>
        </w:rPr>
        <w:t xml:space="preserve">[</w:t>
      </w:r>
      <w:hyperlink w:anchor="ref-1125">
        <w:r>
          <w:rPr>
            <w:rStyle w:val="Hyperlink"/>
            <w:vertAlign w:val="superscript"/>
          </w:rPr>
          <w:t xml:space="preserve">1125</w:t>
        </w:r>
      </w:hyperlink>
      <w:r>
        <w:rPr>
          <w:vertAlign w:val="superscript"/>
        </w:rPr>
        <w:t xml:space="preserve">]</w:t>
      </w:r>
      <w:r>
        <w:t xml:space="preserve">，信号容易被眨眼、皱眉和咬肌活动干扰。评价这类设备要分开回答三个问题：它在特定条件下能否记录到合格的电生理信号；厂商算法给出的分数能否衡量所声称的状态；使用反馈是否在可信的假反馈或普通练习之上带来额外收益。能记录事件相关电位的验证，不等于专有的“平静分数”也得到了验证。直接检验产品的研究很少。两项探索性研究（一项 99 人交叉比较，一项 44 人平行分组）中，7 分钟的头带辅助放松与不用头带的放松让心率变异性上升了相近的幅度，在这个指标上没有看到反馈的额外好处</w:t>
      </w:r>
      <w:r>
        <w:rPr>
          <w:vertAlign w:val="superscript"/>
        </w:rPr>
        <w:t xml:space="preserve">[</w:t>
      </w:r>
      <w:hyperlink w:anchor="ref-1126">
        <w:r>
          <w:rPr>
            <w:rStyle w:val="Hyperlink"/>
            <w:vertAlign w:val="superscript"/>
          </w:rPr>
          <w:t xml:space="preserve">1126</w:t>
        </w:r>
      </w:hyperlink>
      <w:r>
        <w:rPr>
          <w:vertAlign w:val="superscript"/>
        </w:rPr>
        <w:t xml:space="preserve">]</w:t>
      </w:r>
      <w:r>
        <w:t xml:space="preserve">，对坚持练习或主观体验的影响则没有排除。一项 13 人对 13 人、为期六周的随机试验以每天在线做数学题为对照，头带组在一项注意测验的总反应时和躯体症状上改善更多，次要指标没有训练特有的变化；对照组不做正念，这项比较分不出反馈本身的作用；试验在结束后才补做登记，七位作者中有两位来自设备公司</w:t>
      </w:r>
      <w:r>
        <w:rPr>
          <w:vertAlign w:val="superscript"/>
        </w:rPr>
        <w:t xml:space="preserve">[</w:t>
      </w:r>
      <w:hyperlink w:anchor="ref-1127">
        <w:r>
          <w:rPr>
            <w:rStyle w:val="Hyperlink"/>
            <w:vertAlign w:val="superscript"/>
          </w:rPr>
          <w:t xml:space="preserve">1127</w:t>
        </w:r>
      </w:hyperlink>
      <w:r>
        <w:rPr>
          <w:vertAlign w:val="superscript"/>
        </w:rPr>
        <w:t xml:space="preserve">]</w:t>
      </w:r>
      <w:r>
        <w:t xml:space="preserve">。另有一篇正念神经反馈的系统综述，纳入 18 份实验室级脑电和功能磁共振研究报告，认为它对心理健康的益处尚未确立，多数研究缺少虚假反馈等充分对照；这篇综述没有纳入消费级设备，理由是这类设备不公开反馈的计算方式，信号还可能混有大量非神经成分</w:t>
      </w:r>
      <w:r>
        <w:rPr>
          <w:vertAlign w:val="superscript"/>
        </w:rPr>
        <w:t xml:space="preserve">[</w:t>
      </w:r>
      <w:hyperlink w:anchor="ref-1128">
        <w:r>
          <w:rPr>
            <w:rStyle w:val="Hyperlink"/>
            <w:vertAlign w:val="superscript"/>
          </w:rPr>
          <w:t xml:space="preserve">1128</w:t>
        </w:r>
      </w:hyperlink>
      <w:r>
        <w:rPr>
          <w:vertAlign w:val="superscript"/>
        </w:rPr>
        <w:t xml:space="preserve">]</w:t>
      </w:r>
      <w:r>
        <w:t xml:space="preserve">。消费头带的效果，只能由针对具体产品、算法和使用方式的研究回答。读数会受眨眼、肌肉紧张、电极接触和姿势影响，一味追求更高的分数可能改变练习本身的目标。头带可以当作提醒自己回到练习的工具，是否值得用，可以看自己是否因此更愿意坚持、读数与自己的体验是否常常对不上、价格与佩戴的不适是否值得；读数能否衡量“冥想深度”，目前没有证据。</w:t>
      </w:r>
    </w:p>
    <w:p>
      <w:pPr>
        <w:pStyle w:val="CalloutJudgment"/>
      </w:pPr>
      <w:r>
        <w:rPr>
          <w:bCs/>
          <w:b/>
        </w:rPr>
        <w:t xml:space="preserve">判断　</w:t>
      </w:r>
      <w:r>
        <w:t xml:space="preserve">“头带读数代表冥想深度”</w:t>
      </w:r>
      <w:r>
        <w:rPr>
          <w:bCs/>
          <w:b/>
        </w:rPr>
        <w:t xml:space="preserve">证据不足·中</w:t>
      </w:r>
      <w:r>
        <w:t xml:space="preserve">。双耳节拍的证据见</w:t>
      </w:r>
      <w:r>
        <w:t xml:space="preserve"> </w:t>
      </w:r>
      <w:hyperlink w:anchor="sec-52-8">
        <w:r>
          <w:rPr>
            <w:rStyle w:val="Hyperlink"/>
          </w:rPr>
          <w:t xml:space="preserve">52.8</w:t>
        </w:r>
      </w:hyperlink>
      <w:r>
        <w:t xml:space="preserve">。</w:t>
      </w:r>
    </w:p>
    <w:bookmarkEnd w:id="1821"/>
    <w:bookmarkEnd w:id="1822"/>
    <w:bookmarkStart w:id="1830" w:name="ch-115"/>
    <w:p>
      <w:pPr>
        <w:pStyle w:val="Heading2"/>
      </w:pPr>
      <w:r>
        <w:t xml:space="preserve">第115章　关于冥想的几个流行说法</w:t>
      </w:r>
    </w:p>
    <w:bookmarkStart w:id="1823" w:name="sec-115-1"/>
    <w:p>
      <w:pPr>
        <w:pStyle w:val="Heading3"/>
      </w:pPr>
      <w:r>
        <w:t xml:space="preserve">115.1　冥想让“理性脑”压制“爬行脑”</w:t>
      </w:r>
    </w:p>
    <w:p>
      <w:pPr>
        <w:pStyle w:val="CalloutMyth"/>
      </w:pPr>
      <w:r>
        <w:rPr>
          <w:bCs/>
          <w:b/>
        </w:rPr>
        <w:t xml:space="preserve">误解　</w:t>
      </w:r>
      <w:r>
        <w:t xml:space="preserve">冥想让“理性脑”压制“爬行脑”和“情绪脑”。</w:t>
      </w:r>
    </w:p>
    <w:p>
      <w:pPr>
        <w:pStyle w:val="CalloutMyth"/>
      </w:pPr>
      <w:r>
        <w:rPr>
          <w:bCs/>
          <w:b/>
        </w:rPr>
        <w:t xml:space="preserve">实况　</w:t>
      </w:r>
      <w:r>
        <w:t xml:space="preserve">人脑没有按进化年代分出的三个“脑”。冥想研究观察到的变化，是多个网络之间协调方式的改变（见</w:t>
      </w:r>
      <w:hyperlink w:anchor="ch-111">
        <w:r>
          <w:rPr>
            <w:rStyle w:val="Hyperlink"/>
          </w:rPr>
          <w:t xml:space="preserve">第111章</w:t>
        </w:r>
      </w:hyperlink>
      <w:r>
        <w:t xml:space="preserve">），皮层和皮层下结构都在其中。</w:t>
      </w:r>
    </w:p>
    <w:bookmarkEnd w:id="1823"/>
    <w:bookmarkStart w:id="1824" w:name="sec-115-2"/>
    <w:p>
      <w:pPr>
        <w:pStyle w:val="Heading3"/>
      </w:pPr>
      <w:r>
        <w:t xml:space="preserve">115.2　冥想开发右脑、平衡左右脑</w:t>
      </w:r>
    </w:p>
    <w:p>
      <w:pPr>
        <w:pStyle w:val="FirstParagraph"/>
      </w:pPr>
      <w:r>
        <w:t xml:space="preserve">“左脑人、右脑人”这类说法（见</w:t>
      </w:r>
      <w:hyperlink w:anchor="ch-73">
        <w:r>
          <w:rPr>
            <w:rStyle w:val="Hyperlink"/>
          </w:rPr>
          <w:t xml:space="preserve">第73章</w:t>
        </w:r>
      </w:hyperlink>
      <w:r>
        <w:t xml:space="preserve">）在冥想语境中的变体有“冥想开发右脑”“冥想平衡左右脑”。前者没有可靠证据；后者把一个含糊的愿望说成了测量结果：胼胝体连接、左右不对称、跨半球抑制和任务表现是不同的变量，不存在一个被普遍验证的“左右各半”的健康目标。戴维森（Richard Davidson）团队研究的“左侧前额叶 α 不对称”是另一个话题，见</w:t>
      </w:r>
      <w:r>
        <w:t xml:space="preserve"> </w:t>
      </w:r>
      <w:hyperlink w:anchor="sec-114-3">
        <w:r>
          <w:rPr>
            <w:rStyle w:val="Hyperlink"/>
          </w:rPr>
          <w:t xml:space="preserve">114.3</w:t>
        </w:r>
      </w:hyperlink>
      <w:r>
        <w:t xml:space="preserve">。</w:t>
      </w:r>
    </w:p>
    <w:bookmarkEnd w:id="1824"/>
    <w:bookmarkStart w:id="1825" w:name="sec-115-3"/>
    <w:p>
      <w:pPr>
        <w:pStyle w:val="Heading3"/>
      </w:pPr>
      <w:r>
        <w:t xml:space="preserve">115.3　冥想加强理性区、削弱感性区</w:t>
      </w:r>
    </w:p>
    <w:p>
      <w:pPr>
        <w:pStyle w:val="FirstParagraph"/>
      </w:pPr>
      <w:r>
        <w:t xml:space="preserve">冥想研究中有一个常被引用的例子：在“最后通牒”博弈中，冥想者接受不公平分配的比例超过一半，对照组约四分之一，冥想者前岛叶活动较低、后岛叶活动较高</w:t>
      </w:r>
      <w:r>
        <w:rPr>
          <w:vertAlign w:val="superscript"/>
        </w:rPr>
        <w:t xml:space="preserve">[</w:t>
      </w:r>
      <w:hyperlink w:anchor="ref-1129">
        <w:r>
          <w:rPr>
            <w:rStyle w:val="Hyperlink"/>
            <w:vertAlign w:val="superscript"/>
          </w:rPr>
          <w:t xml:space="preserve">1129</w:t>
        </w:r>
      </w:hyperlink>
      <w:r>
        <w:rPr>
          <w:vertAlign w:val="superscript"/>
        </w:rPr>
        <w:t xml:space="preserve">]</w:t>
      </w:r>
      <w:r>
        <w:t xml:space="preserve">。研究者把它解释为身体信号的加工方式发生了改变。“理性战胜了情绪”这个描述并不贴切；前后岛叶的差异本身说明不了因果，横断面的组间差异还可能来自社会价值观和样本选择。“理性”在这里也需要先定义：按“这一轮拿到的钱最多”这个标准，接受更多不公平报价算是更理性；在真实生活中，公平、信誉和长期关系同样可以是合理的目标。接受得更多，算不上人格上的进步。情绪与理性的关系见</w:t>
      </w:r>
      <w:hyperlink w:anchor="ch-46">
        <w:r>
          <w:rPr>
            <w:rStyle w:val="Hyperlink"/>
          </w:rPr>
          <w:t xml:space="preserve">第46章</w:t>
        </w:r>
      </w:hyperlink>
      <w:r>
        <w:t xml:space="preserve">。</w:t>
      </w:r>
    </w:p>
    <w:p>
      <w:pPr>
        <w:pStyle w:val="CalloutMyth"/>
      </w:pPr>
      <w:r>
        <w:rPr>
          <w:bCs/>
          <w:b/>
        </w:rPr>
        <w:t xml:space="preserve">误解　</w:t>
      </w:r>
      <w:r>
        <w:t xml:space="preserve">冥想的作用是加强理性区、削弱感性区。</w:t>
      </w:r>
    </w:p>
    <w:p>
      <w:pPr>
        <w:pStyle w:val="CalloutMyth"/>
      </w:pPr>
      <w:r>
        <w:rPr>
          <w:bCs/>
          <w:b/>
        </w:rPr>
        <w:t xml:space="preserve">实况　</w:t>
      </w:r>
      <w:r>
        <w:t xml:space="preserve">正念训练的一种可能作用方式，是改变情绪的生成与解释过程：更早觉察身体变化，减少自动的反刍和评判，这一机制的中介证据还有限。它与“压制情绪的外在表达”是两种不同的调节方式：有实验显示，压制表达会增加部分生理唤醒</w:t>
      </w:r>
      <w:r>
        <w:rPr>
          <w:vertAlign w:val="superscript"/>
        </w:rPr>
        <w:t xml:space="preserve">[</w:t>
      </w:r>
      <w:hyperlink w:anchor="ref-1130">
        <w:r>
          <w:rPr>
            <w:rStyle w:val="Hyperlink"/>
            <w:vertAlign w:val="superscript"/>
          </w:rPr>
          <w:t xml:space="preserve">1130</w:t>
        </w:r>
      </w:hyperlink>
      <w:r>
        <w:rPr>
          <w:vertAlign w:val="superscript"/>
        </w:rPr>
        <w:t xml:space="preserve">]</w:t>
      </w:r>
      <w:r>
        <w:t xml:space="preserve">，这一结论针对这种具体策略和这些指标。由它推不出所有有意的克制都不健康；接纳也不等于容忍伤害、放弃解决问题或放弃边界。合适的策略取决于情境和目标；正念训练可以增加察觉和选择的空间，是否改善日常功能需要单独测量。</w:t>
      </w:r>
    </w:p>
    <w:bookmarkEnd w:id="1825"/>
    <w:bookmarkStart w:id="1826" w:name="sec-115-4"/>
    <w:p>
      <w:pPr>
        <w:pStyle w:val="Heading3"/>
      </w:pPr>
      <w:r>
        <w:t xml:space="preserve">115.4　冥想开发大脑潜能</w:t>
      </w:r>
    </w:p>
    <w:p>
      <w:pPr>
        <w:pStyle w:val="FirstParagraph"/>
      </w:pPr>
      <w:r>
        <w:t xml:space="preserve">“人只用了 10% 的大脑”（见</w:t>
      </w:r>
      <w:hyperlink w:anchor="ch-74">
        <w:r>
          <w:rPr>
            <w:rStyle w:val="Hyperlink"/>
          </w:rPr>
          <w:t xml:space="preserve">第74章</w:t>
        </w:r>
      </w:hyperlink>
      <w:r>
        <w:t xml:space="preserve">）在冥想语境里的变体是“冥想开发大脑潜能”“冥想激活沉睡的脑区”。它们沿用了这个错误前提。</w:t>
      </w:r>
    </w:p>
    <w:bookmarkEnd w:id="1826"/>
    <w:bookmarkStart w:id="1827" w:name="sec-115-5"/>
    <w:p>
      <w:pPr>
        <w:pStyle w:val="Heading3"/>
      </w:pPr>
      <w:r>
        <w:t xml:space="preserve">115.5　慈心冥想通过镜像神经元起作用</w:t>
      </w:r>
    </w:p>
    <w:p>
      <w:pPr>
        <w:pStyle w:val="CalloutJudgment"/>
      </w:pPr>
      <w:r>
        <w:rPr>
          <w:bCs/>
          <w:b/>
        </w:rPr>
        <w:t xml:space="preserve">判断　</w:t>
      </w:r>
      <w:r>
        <w:t xml:space="preserve">“镜像神经元是共情的来源，慈心冥想通过它们起作用”</w:t>
      </w:r>
      <w:r>
        <w:rPr>
          <w:bCs/>
          <w:b/>
        </w:rPr>
        <w:t xml:space="preserve">证据不足·中</w:t>
      </w:r>
      <w:r>
        <w:t xml:space="preserve">：镜像响应的证据范围见</w:t>
      </w:r>
      <w:hyperlink w:anchor="ch-75">
        <w:r>
          <w:rPr>
            <w:rStyle w:val="Hyperlink"/>
          </w:rPr>
          <w:t xml:space="preserve">第75章</w:t>
        </w:r>
      </w:hyperlink>
      <w:r>
        <w:t xml:space="preserve">，慈悲训练的研究见</w:t>
      </w:r>
      <w:r>
        <w:t xml:space="preserve"> </w:t>
      </w:r>
      <w:hyperlink w:anchor="sec-119-3">
        <w:r>
          <w:rPr>
            <w:rStyle w:val="Hyperlink"/>
          </w:rPr>
          <w:t xml:space="preserve">119.3</w:t>
        </w:r>
      </w:hyperlink>
      <w:r>
        <w:t xml:space="preserve">。</w:t>
      </w:r>
    </w:p>
    <w:bookmarkEnd w:id="1827"/>
    <w:bookmarkStart w:id="1828" w:name="sec-115-6"/>
    <w:p>
      <w:pPr>
        <w:pStyle w:val="Heading3"/>
      </w:pPr>
      <w:r>
        <w:t xml:space="preserve">115.6　冥想就是放空、正念就是放松、冥想能提高智商</w:t>
      </w:r>
    </w:p>
    <w:p>
      <w:pPr>
        <w:pStyle w:val="FirstParagraph"/>
      </w:pPr>
      <w:r>
        <w:t xml:space="preserve">“冥想就是放空大脑”不符合大多数练习的实际结构。专注类练习常见的过程是走神、察觉、转回、维持的循环，有研究为各个阶段提出了不同的网络参与（见</w:t>
      </w:r>
      <w:r>
        <w:t xml:space="preserve"> </w:t>
      </w:r>
      <w:hyperlink w:anchor="sec-111-3">
        <w:r>
          <w:rPr>
            <w:rStyle w:val="Hyperlink"/>
          </w:rPr>
          <w:t xml:space="preserve">111.3</w:t>
        </w:r>
      </w:hyperlink>
      <w:r>
        <w:t xml:space="preserve">），这个循环覆盖不了念诵、慈悲和非二元等练习；开放觉察类练习训练的是对经验的持续监察。普通的正念练习不要求强行停止全部念头。部分传统和高阶练习者确实报告过念头稀少、内容变淡乃至主观空白的状态（见</w:t>
      </w:r>
      <w:r>
        <w:t xml:space="preserve"> </w:t>
      </w:r>
      <w:hyperlink w:anchor="sec-119-5">
        <w:r>
          <w:rPr>
            <w:rStyle w:val="Hyperlink"/>
          </w:rPr>
          <w:t xml:space="preserve">119.5</w:t>
        </w:r>
      </w:hyperlink>
      <w:r>
        <w:t xml:space="preserve">），主观内容减少与神经活动停止是两件事，主观上的空白也可能涉及记忆、报告能力、睡意或意识内容的变化。资深冥想者冥想时默认网络活动较低，一种解释是他们较少陷入自发的念头。</w:t>
      </w:r>
    </w:p>
    <w:p>
      <w:pPr>
        <w:pStyle w:val="BodyText"/>
      </w:pPr>
      <w:r>
        <w:t xml:space="preserve">“正念就是放松”也不准确。放松常是副产品，部分传统练习可能伴随较高的唤醒（见</w:t>
      </w:r>
      <w:r>
        <w:t xml:space="preserve"> </w:t>
      </w:r>
      <w:hyperlink w:anchor="sec-113-1">
        <w:r>
          <w:rPr>
            <w:rStyle w:val="Hyperlink"/>
          </w:rPr>
          <w:t xml:space="preserve">113.1</w:t>
        </w:r>
      </w:hyperlink>
      <w:r>
        <w:t xml:space="preserve">，相关的自主神经指标解读有限）；一项 35 人的随机试验中，正念训练与放松训练带来了不同的脑连接变化和炎症指标变化</w:t>
      </w:r>
      <w:r>
        <w:rPr>
          <w:vertAlign w:val="superscript"/>
        </w:rPr>
        <w:t xml:space="preserve">[</w:t>
      </w:r>
      <w:hyperlink w:anchor="ref-987">
        <w:r>
          <w:rPr>
            <w:rStyle w:val="Hyperlink"/>
            <w:vertAlign w:val="superscript"/>
          </w:rPr>
          <w:t xml:space="preserve">987</w:t>
        </w:r>
      </w:hyperlink>
      <w:r>
        <w:rPr>
          <w:vertAlign w:val="superscript"/>
        </w:rPr>
        <w:t xml:space="preserve">]</w:t>
      </w:r>
      <w:r>
        <w:t xml:space="preserve">。这提示两者可以区分。样本很小，两套完整的机制是否已经被识别，还要更大的研究来回答。练习也可能引发不适（见</w:t>
      </w:r>
      <w:r>
        <w:t xml:space="preserve"> </w:t>
      </w:r>
      <w:hyperlink w:anchor="sec-118-2">
        <w:r>
          <w:rPr>
            <w:rStyle w:val="Hyperlink"/>
          </w:rPr>
          <w:t xml:space="preserve">118.2</w:t>
        </w:r>
      </w:hyperlink>
      <w:r>
        <w:t xml:space="preserve">）。</w:t>
      </w:r>
    </w:p>
    <w:p>
      <w:pPr>
        <w:pStyle w:val="BodyText"/>
      </w:pPr>
      <w:r>
        <w:t xml:space="preserve">“冥想能提高智商”缺乏可靠证据。冥想课程对客观认知的汇总效应很小，相对主动对照没有显示出明确优势，585 名老年人的大型随机试验中记忆与执行功能也没有改善（这两项研究的细节见</w:t>
      </w:r>
      <w:r>
        <w:t xml:space="preserve"> </w:t>
      </w:r>
      <w:hyperlink w:anchor="sec-111-4">
        <w:r>
          <w:rPr>
            <w:rStyle w:val="Hyperlink"/>
          </w:rPr>
          <w:t xml:space="preserve">111.4</w:t>
        </w:r>
      </w:hyperlink>
      <w:r>
        <w:t xml:space="preserve">）；这些研究所用的测验大多测注意、记忆和执行功能，很少使用完整的标准化智力测验，老年人试验的结论也限于有主观认知担忧、未患痴呆、平时活动较少且目前不练冥想的 65 到 84 岁老年人。所有人群的全部认知效果是否为零，由此推不出来。单项研究中的考试成绩提升没有被直接重复（见</w:t>
      </w:r>
      <w:r>
        <w:t xml:space="preserve"> </w:t>
      </w:r>
      <w:hyperlink w:anchor="sec-111-2">
        <w:r>
          <w:rPr>
            <w:rStyle w:val="Hyperlink"/>
          </w:rPr>
          <w:t xml:space="preserve">111.2</w:t>
        </w:r>
      </w:hyperlink>
      <w:r>
        <w:t xml:space="preserve">）；“冥想者流体智力随年龄下降得更慢”来自横断面比较，而且是瑜伽练习者与冥想者合并分析的结果，差异主要来自瑜伽组；分开比较时，瑜伽组和冥想组与对照的差异都没有达到显著（p 约 0.06 和 0.09）</w:t>
      </w:r>
      <w:r>
        <w:rPr>
          <w:vertAlign w:val="superscript"/>
        </w:rPr>
        <w:t xml:space="preserve">[</w:t>
      </w:r>
      <w:hyperlink w:anchor="ref-1131">
        <w:r>
          <w:rPr>
            <w:rStyle w:val="Hyperlink"/>
            <w:vertAlign w:val="superscript"/>
          </w:rPr>
          <w:t xml:space="preserve">1131</w:t>
        </w:r>
      </w:hyperlink>
      <w:r>
        <w:rPr>
          <w:vertAlign w:val="superscript"/>
        </w:rPr>
        <w:t xml:space="preserve">]</w:t>
      </w:r>
      <w:r>
        <w:t xml:space="preserve">。</w:t>
      </w:r>
    </w:p>
    <w:p>
      <w:pPr>
        <w:pStyle w:val="CalloutJudgment"/>
      </w:pPr>
      <w:r>
        <w:rPr>
          <w:bCs/>
          <w:b/>
        </w:rPr>
        <w:t xml:space="preserve">判断　</w:t>
      </w:r>
      <w:r>
        <w:t xml:space="preserve">“冥想就是放空大脑”</w:t>
      </w:r>
      <w:r>
        <w:rPr>
          <w:bCs/>
          <w:b/>
        </w:rPr>
        <w:t xml:space="preserve">错误·高</w:t>
      </w:r>
      <w:r>
        <w:t xml:space="preserve">；“正念就是放松”</w:t>
      </w:r>
      <w:r>
        <w:rPr>
          <w:bCs/>
          <w:b/>
        </w:rPr>
        <w:t xml:space="preserve">过度简化·高</w:t>
      </w:r>
      <w:r>
        <w:t xml:space="preserve">；“冥想能提高智商”</w:t>
      </w:r>
      <w:r>
        <w:rPr>
          <w:bCs/>
          <w:b/>
        </w:rPr>
        <w:t xml:space="preserve">证据不足·中</w:t>
      </w:r>
      <w:r>
        <w:t xml:space="preserve">。</w:t>
      </w:r>
    </w:p>
    <w:bookmarkEnd w:id="1828"/>
    <w:bookmarkStart w:id="1829" w:name="sec-115-7"/>
    <w:p>
      <w:pPr>
        <w:pStyle w:val="Heading3"/>
      </w:pPr>
      <w:r>
        <w:t xml:space="preserve">115.7　“冥想给大脑排毒”</w:t>
      </w:r>
    </w:p>
    <w:p>
      <w:pPr>
        <w:pStyle w:val="FirstParagraph"/>
      </w:pPr>
      <w:r>
        <w:t xml:space="preserve">近年流行一种说法：冥想能像深睡一样打开大脑的“排毒通道”，冲走与阿尔茨海默病有关的 β-淀粉样蛋白。这个说法把几项真实但各不相同的发现拼在了一起。</w:t>
      </w:r>
    </w:p>
    <w:p>
      <w:pPr>
        <w:pStyle w:val="BodyText"/>
      </w:pPr>
      <w:r>
        <w:t xml:space="preserve">被拼在一起的发现有三类：小鼠研究报告睡眠时细胞间隙扩大、脑脊液交换和清除加快，这一结论后来受到相反结果的挑战；人在非快速眼动睡眠中，慢波之后会出现脑脊液流动波；清醒的人吸气时，脑脊液也会随之流动。这些研究的细节和争论见</w:t>
      </w:r>
      <w:hyperlink w:anchor="ch-50">
        <w:r>
          <w:rPr>
            <w:rStyle w:val="Hyperlink"/>
          </w:rPr>
          <w:t xml:space="preserve">第50章</w:t>
        </w:r>
      </w:hyperlink>
      <w:r>
        <w:t xml:space="preserve">。</w:t>
      </w:r>
    </w:p>
    <w:p>
      <w:pPr>
        <w:pStyle w:val="BodyText"/>
      </w:pPr>
      <w:r>
        <w:t xml:space="preserve">这三类研究都没有测冥想，也都没有测量人脑中废物被清除的速度。直接与冥想有关的数据很少。2025 年一项磁共振研究招募了 52 人，剔除 2 人后分析了 23 名资深冥想者和 27 名冥想经验很少的对照（其中 14 人被要求有意放慢呼吸）：资深者从走神切换到专注冥想时，中脑导水管中脑脊液的往返流量从约每分钟 4.6 毫升降到约 4.2 毫升，低频的脑脊液波动增加，作者认为这些变化与睡眠时的方向相似；两组对照的流量都没有变化</w:t>
      </w:r>
      <w:r>
        <w:rPr>
          <w:vertAlign w:val="superscript"/>
        </w:rPr>
        <w:t xml:space="preserve">[</w:t>
      </w:r>
      <w:hyperlink w:anchor="ref-1132">
        <w:r>
          <w:rPr>
            <w:rStyle w:val="Hyperlink"/>
            <w:vertAlign w:val="superscript"/>
          </w:rPr>
          <w:t xml:space="preserve">1132</w:t>
        </w:r>
      </w:hyperlink>
      <w:r>
        <w:rPr>
          <w:vertAlign w:val="superscript"/>
        </w:rPr>
        <w:t xml:space="preserve">]</w:t>
      </w:r>
      <w:r>
        <w:t xml:space="preserve">。各组是分开检验的，论文没有做组别与状态的交互检验，“冥想组有变化、对照组没有显著变化”本身证明不了两组的变化显著不同；练习顺序固定，冥想者也比对照者年长。研究测量了脑脊液的流动模式。废物清除没有测量；作者在讨论中提到的清除增强和与衰老方向相反的解释，都还没有被证明。从练习到健康结局，至少要分几步检验：练习是否改变了呼吸、血管或神经状态；这些改变是否影响脑脊液的流动指标；流动的改变是否提高了某种溶质的净清除；净清除是否改变了疾病标志物；长期的疾病风险是否下降。现有的人体冥想研究大多停在前面几步，不能从流量的波动直接跳到预防阿尔茨海默病。目前没有研究显示冥想能加快人脑中淀粉样蛋白或其他代谢废物的清除。一小段练习可能缓解主观的困倦；冥想能否让人在长期少睡的同时保持功能，是另一个问题，目前缺乏可靠支持；不要用脑脊液的理论来解释或正当化持续的睡眠剥夺。</w:t>
      </w:r>
    </w:p>
    <w:p>
      <w:pPr>
        <w:pStyle w:val="CalloutJudgment"/>
      </w:pPr>
      <w:r>
        <w:rPr>
          <w:bCs/>
          <w:b/>
        </w:rPr>
        <w:t xml:space="preserve">判断　</w:t>
      </w:r>
      <w:r>
        <w:t xml:space="preserve">“冥想给大脑排毒、清除淀粉样蛋白”</w:t>
      </w:r>
      <w:r>
        <w:rPr>
          <w:bCs/>
          <w:b/>
        </w:rPr>
        <w:t xml:space="preserve">证据不足·高</w:t>
      </w:r>
      <w:r>
        <w:t xml:space="preserve">；“冥想可以代替睡眠”</w:t>
      </w:r>
      <w:r>
        <w:rPr>
          <w:bCs/>
          <w:b/>
        </w:rPr>
        <w:t xml:space="preserve">证据不足·高</w:t>
      </w:r>
      <w:r>
        <w:t xml:space="preserve">。</w:t>
      </w:r>
    </w:p>
    <w:bookmarkEnd w:id="1829"/>
    <w:bookmarkEnd w:id="1830"/>
    <w:bookmarkStart w:id="1839" w:name="ch-116"/>
    <w:p>
      <w:pPr>
        <w:pStyle w:val="Heading2"/>
      </w:pPr>
      <w:r>
        <w:t xml:space="preserve">第116章　冥想会改变大脑结构吗：一段证据史</w:t>
      </w:r>
    </w:p>
    <w:p>
      <w:pPr>
        <w:pStyle w:val="FirstParagraph"/>
      </w:pPr>
      <w:r>
        <w:t xml:space="preserve">“八周冥想重塑大脑”是正念流传最广的神经科学口号。它怎样兴起、怎样扩散、又怎样被修正，是理解整个领域最好的案例。这一章按时间顺序讲这段历史：研究设计的改进怎样收窄了能被接受的说法，又有哪些问题仍然开放；现有证据在人群、技术和指标上并不整齐，近期的阳性与阴性结果并存。</w:t>
      </w:r>
      <w:hyperlink w:anchor="tab-studies">
        <w:r>
          <w:rPr>
            <w:rStyle w:val="Hyperlink"/>
          </w:rPr>
          <w:t xml:space="preserve">表 30</w:t>
        </w:r>
      </w:hyperlink>
      <w:r>
        <w:t xml:space="preserve">中相关研究的设计细节可以对照查看。</w:t>
      </w:r>
    </w:p>
    <w:bookmarkStart w:id="1831" w:name="sec-116-1"/>
    <w:p>
      <w:pPr>
        <w:pStyle w:val="Heading3"/>
      </w:pPr>
      <w:r>
        <w:t xml:space="preserve">116.1　2005 年：流传最广的一张图</w:t>
      </w:r>
    </w:p>
    <w:p>
      <w:pPr>
        <w:pStyle w:val="FirstParagraph"/>
      </w:pPr>
      <w:r>
        <w:t xml:space="preserve">2005 年，哈佛医学院附属麻省总医院的研究者发表了最早的冥想经验与皮层厚度研究之一。20 名内观冥想者（平均练习约 9 年、每周约 6 小时）与 15 名不冥想的人相比，全脑平均厚度没有差异，右侧前岛叶和右侧额叶一处区域的皮层更厚；这处额叶区域在对照组中随年龄变薄，在冥想者中没有，研究者据此提出冥想也许能减缓与年龄有关的皮层变薄</w:t>
      </w:r>
      <w:r>
        <w:rPr>
          <w:vertAlign w:val="superscript"/>
        </w:rPr>
        <w:t xml:space="preserve">[</w:t>
      </w:r>
      <w:hyperlink w:anchor="ref-975">
        <w:r>
          <w:rPr>
            <w:rStyle w:val="Hyperlink"/>
            <w:vertAlign w:val="superscript"/>
          </w:rPr>
          <w:t xml:space="preserve">975</w:t>
        </w:r>
      </w:hyperlink>
      <w:r>
        <w:rPr>
          <w:vertAlign w:val="superscript"/>
        </w:rPr>
        <w:t xml:space="preserve">]</w:t>
      </w:r>
      <w:r>
        <w:t xml:space="preserve">。</w:t>
      </w:r>
    </w:p>
    <w:p>
      <w:pPr>
        <w:pStyle w:val="BodyText"/>
      </w:pPr>
      <w:r>
        <w:t xml:space="preserve">这是一项横断面研究，样本很小，冥想者与对照者在冥想之外的生活方式上可能存在系统差异，练习最久的人也恰好是年龄最大的人。研究者本人在论文中写明了横断面设计、自我选择和年龄混杂这几项限制；对饮食等生活方式差异，他们认为难以解释这种局部分布，这是作者的论证，行为、教育、运动和健康因素也可能带有区域选择性，混杂并没有因此被排除。哈佛大学校报 2006 年报道这项研究时，标题是“冥想被发现能增大大脑”，第一句是“冥想的人比不冥想的人长出更大的大脑”</w:t>
      </w:r>
      <w:r>
        <w:rPr>
          <w:vertAlign w:val="superscript"/>
        </w:rPr>
        <w:t xml:space="preserve">[</w:t>
      </w:r>
      <w:hyperlink w:anchor="ref-1133">
        <w:r>
          <w:rPr>
            <w:rStyle w:val="Hyperlink"/>
            <w:vertAlign w:val="superscript"/>
          </w:rPr>
          <w:t xml:space="preserve">1133</w:t>
        </w:r>
      </w:hyperlink>
      <w:r>
        <w:rPr>
          <w:vertAlign w:val="superscript"/>
        </w:rPr>
        <w:t xml:space="preserve">]</w:t>
      </w:r>
      <w:r>
        <w:t xml:space="preserve">。</w:t>
      </w:r>
    </w:p>
    <w:bookmarkEnd w:id="1831"/>
    <w:bookmarkStart w:id="1832" w:name="sec-116-2"/>
    <w:p>
      <w:pPr>
        <w:pStyle w:val="Heading3"/>
      </w:pPr>
      <w:r>
        <w:t xml:space="preserve">116.2　2008—2016 年：横断面证据的积累</w:t>
      </w:r>
    </w:p>
    <w:p>
      <w:pPr>
        <w:pStyle w:val="FirstParagraph"/>
      </w:pPr>
      <w:r>
        <w:t xml:space="preserve">此后十年，多个团队比较了长期冥想者与普通人：冥想者的海马和眶额皮层体积更大</w:t>
      </w:r>
      <w:r>
        <w:rPr>
          <w:vertAlign w:val="superscript"/>
        </w:rPr>
        <w:t xml:space="preserve">[</w:t>
      </w:r>
      <w:hyperlink w:anchor="ref-1016">
        <w:r>
          <w:rPr>
            <w:rStyle w:val="Hyperlink"/>
            <w:vertAlign w:val="superscript"/>
          </w:rPr>
          <w:t xml:space="preserve">1016</w:t>
        </w:r>
      </w:hyperlink>
      <w:r>
        <w:rPr>
          <w:vertAlign w:val="superscript"/>
        </w:rPr>
        <w:t xml:space="preserve">]</w:t>
      </w:r>
      <w:r>
        <w:t xml:space="preserve">，部分胼胝体更厚</w:t>
      </w:r>
      <w:r>
        <w:rPr>
          <w:vertAlign w:val="superscript"/>
        </w:rPr>
        <w:t xml:space="preserve">[</w:t>
      </w:r>
      <w:hyperlink w:anchor="ref-1034">
        <w:r>
          <w:rPr>
            <w:rStyle w:val="Hyperlink"/>
            <w:vertAlign w:val="superscript"/>
          </w:rPr>
          <w:t xml:space="preserve">1034</w:t>
        </w:r>
      </w:hyperlink>
      <w:r>
        <w:rPr>
          <w:vertAlign w:val="superscript"/>
        </w:rPr>
        <w:t xml:space="preserve">]</w:t>
      </w:r>
      <w:r>
        <w:t xml:space="preserve">。2016 年一项研究用机器学习模型估计“脑龄”，50 名长期冥想者与 50 名对照相比，在 50 岁时大脑估计年轻约 7.5 岁</w:t>
      </w:r>
      <w:r>
        <w:rPr>
          <w:vertAlign w:val="superscript"/>
        </w:rPr>
        <w:t xml:space="preserve">[</w:t>
      </w:r>
      <w:hyperlink w:anchor="ref-984">
        <w:r>
          <w:rPr>
            <w:rStyle w:val="Hyperlink"/>
            <w:vertAlign w:val="superscript"/>
          </w:rPr>
          <w:t xml:space="preserve">984</w:t>
        </w:r>
      </w:hyperlink>
      <w:r>
        <w:rPr>
          <w:vertAlign w:val="superscript"/>
        </w:rPr>
        <w:t xml:space="preserve">]</w:t>
      </w:r>
      <w:r>
        <w:t xml:space="preserve">。“冥想让大脑年轻 7.5 岁”的说法即源于此。7.5 岁是模型在 50 岁这一点上的估计。组间差异随年龄而变，其他年龄上的差值不同；脑龄预测有模型误差，也有随实际年龄变化的系统偏差，研究是否校正了这种偏差、换了扫描仪和训练人群之后是否稳定，都会影响这个数字，而且从统计指标里减去若干岁，不能直接换算成疾病风险降低或寿命延长。“脑龄”是模型根据结构图像估出的年龄，它与认知和健康结局的关系还在研究中</w:t>
      </w:r>
      <w:r>
        <w:rPr>
          <w:vertAlign w:val="superscript"/>
        </w:rPr>
        <w:t xml:space="preserve">[</w:t>
      </w:r>
      <w:hyperlink w:anchor="ref-1134">
        <w:r>
          <w:rPr>
            <w:rStyle w:val="Hyperlink"/>
            <w:vertAlign w:val="superscript"/>
          </w:rPr>
          <w:t xml:space="preserve">1134</w:t>
        </w:r>
      </w:hyperlink>
      <w:r>
        <w:rPr>
          <w:vertAlign w:val="superscript"/>
        </w:rPr>
        <w:t xml:space="preserve">]</w:t>
      </w:r>
      <w:r>
        <w:t xml:space="preserve">；“年轻 7.5 岁”也不意味着脑中每个部分都年轻了这么多。这几篇论文有相当一部分使用的是同一批受试者，作者本人也注明了样本重叠。</w:t>
      </w:r>
    </w:p>
    <w:p>
      <w:pPr>
        <w:pStyle w:val="BodyText"/>
      </w:pPr>
      <w:r>
        <w:t xml:space="preserve">这类研究共享同一个限制：它们比较的是不同的人。能坚持冥想十几年的人，在饮酒、吸烟、运动、饮食、睡眠和社会支持上，很可能本来就与对照组不同；这些因素都与脑结构和脑龄估计相关。2025 年，Age-Well 研究计划比较了 25 名练习二十年以上的老年冥想者与 135 名认知正常的同龄人，也估计了随机训练队列的脑龄</w:t>
      </w:r>
      <w:r>
        <w:rPr>
          <w:vertAlign w:val="superscript"/>
        </w:rPr>
        <w:t xml:space="preserve">[</w:t>
      </w:r>
      <w:hyperlink w:anchor="ref-1135">
        <w:r>
          <w:rPr>
            <w:rStyle w:val="Hyperlink"/>
            <w:vertAlign w:val="superscript"/>
          </w:rPr>
          <w:t xml:space="preserve">1135</w:t>
        </w:r>
      </w:hyperlink>
      <w:r>
        <w:rPr>
          <w:vertAlign w:val="superscript"/>
        </w:rPr>
        <w:t xml:space="preserve">]</w:t>
      </w:r>
      <w:r>
        <w:t xml:space="preserve">。主模型结合灰质、白质和葡萄糖代谢成像，实际可用的是专家 20 人、对照 92 人，组间差异 p = 0.041，加入年龄作协变量后不再显著（p = 0.39）；只用结构图像的另一个模型可用的人更多，差异仍然显著（加入年龄后 p = 0.008）。结果对年龄校正和模型的选择敏感。随机分到 18 个月冥想训练的老年人，脑龄估计在组内和组间比较中都没有显著变化（见</w:t>
      </w:r>
      <w:r>
        <w:t xml:space="preserve"> </w:t>
      </w:r>
      <w:hyperlink w:anchor="sec-116-5">
        <w:r>
          <w:rPr>
            <w:rStyle w:val="Hyperlink"/>
          </w:rPr>
          <w:t xml:space="preserve">116.5</w:t>
        </w:r>
      </w:hyperlink>
      <w:r>
        <w:t xml:space="preserve">）。差异出现在练习二十年以上的人身上，18 个月的训练没有产生这种差异，作者的解释是需要长达数十年的持续练习。现有的横断面数据和十八个月的试验，还无法把练习时长的因果作用同其他可能分开：已有的脑特征影响谁会开始并坚持练习，生活方式和社会环境共同起作用，幸存者选择，模型残留的年龄偏差，训练剂量较短，健康样本的天花板，以及随机误差；脑龄与终生练习小时数的关联，也依赖练习者回顾性的自报。现有资料推不出需要练习多少年才有效。</w:t>
      </w:r>
    </w:p>
    <w:bookmarkEnd w:id="1832"/>
    <w:bookmarkStart w:id="1833" w:name="sec-116-3"/>
    <w:p>
      <w:pPr>
        <w:pStyle w:val="Heading3"/>
      </w:pPr>
      <w:r>
        <w:t xml:space="preserve">116.3　2010—2011 年：“八周”的故事</w:t>
      </w:r>
    </w:p>
    <w:p>
      <w:pPr>
        <w:pStyle w:val="FirstParagraph"/>
      </w:pPr>
      <w:r>
        <w:t xml:space="preserve">真正把“冥想改变大脑”推向大众的，是两项八周课程研究。2010 年的研究中，26 名高压力成人参加正念减压，研究没有对照组，杏仁核灰质在课程前后也没有整体变化；研究者报告的是，压力下降越多的人，右侧杏仁核灰质密度下降越多</w:t>
      </w:r>
      <w:r>
        <w:rPr>
          <w:vertAlign w:val="superscript"/>
        </w:rPr>
        <w:t xml:space="preserve">[</w:t>
      </w:r>
      <w:hyperlink w:anchor="ref-978">
        <w:r>
          <w:rPr>
            <w:rStyle w:val="Hyperlink"/>
            <w:vertAlign w:val="superscript"/>
          </w:rPr>
          <w:t xml:space="preserve">978</w:t>
        </w:r>
      </w:hyperlink>
      <w:r>
        <w:rPr>
          <w:vertAlign w:val="superscript"/>
        </w:rPr>
        <w:t xml:space="preserve">]</w:t>
      </w:r>
      <w:r>
        <w:t xml:space="preserve">。2011 年的研究把 16 名正念减压参与者与 17 名候补者比较，报告参与者左侧海马灰质浓度增加，探索性的全脑分析还在后扣带回、颞顶联合区和小脑发现了增加</w:t>
      </w:r>
      <w:r>
        <w:rPr>
          <w:vertAlign w:val="superscript"/>
        </w:rPr>
        <w:t xml:space="preserve">[</w:t>
      </w:r>
      <w:hyperlink w:anchor="ref-979">
        <w:r>
          <w:rPr>
            <w:rStyle w:val="Hyperlink"/>
            <w:vertAlign w:val="superscript"/>
          </w:rPr>
          <w:t xml:space="preserve">979</w:t>
        </w:r>
      </w:hyperlink>
      <w:r>
        <w:rPr>
          <w:vertAlign w:val="superscript"/>
        </w:rPr>
        <w:t xml:space="preserve">]</w:t>
      </w:r>
      <w:r>
        <w:t xml:space="preserve">。2011 年研究的部分受试者也参加了 2010 年那项研究，两者不是彼此独立的样本。</w:t>
      </w:r>
    </w:p>
    <w:p>
      <w:pPr>
        <w:pStyle w:val="BodyText"/>
      </w:pPr>
      <w:r>
        <w:t xml:space="preserve">2011 年那项研究有几处常被忽略的细节：两组不是随机分配的；论文没有报告标准化效应量；研究没有检出居家练习时长与灰质变化的相关，小样本、自报的练习时间和有限的取值范围都会削弱这种相关；研究者原本预期的岛叶变化没有出现；两组在基线时小脑蚓部就不平衡，后扣带回的组间差异有一部分来自对照组的下降。它被大学新闻稿以“八周换一个更好的大脑”为题发布</w:t>
      </w:r>
      <w:r>
        <w:rPr>
          <w:vertAlign w:val="superscript"/>
        </w:rPr>
        <w:t xml:space="preserve">[</w:t>
      </w:r>
      <w:hyperlink w:anchor="ref-1136">
        <w:r>
          <w:rPr>
            <w:rStyle w:val="Hyperlink"/>
            <w:vertAlign w:val="superscript"/>
          </w:rPr>
          <w:t xml:space="preserve">1136</w:t>
        </w:r>
      </w:hyperlink>
      <w:r>
        <w:rPr>
          <w:vertAlign w:val="superscript"/>
        </w:rPr>
        <w:t xml:space="preserve">]</w:t>
      </w:r>
      <w:r>
        <w:t xml:space="preserve">，几位作者 2015 年在《哈佛商业评论》上发表的《正念真的能改变你的大脑》流传更广</w:t>
      </w:r>
      <w:r>
        <w:rPr>
          <w:vertAlign w:val="superscript"/>
        </w:rPr>
        <w:t xml:space="preserve">[</w:t>
      </w:r>
      <w:hyperlink w:anchor="ref-1137">
        <w:r>
          <w:rPr>
            <w:rStyle w:val="Hyperlink"/>
            <w:vertAlign w:val="superscript"/>
          </w:rPr>
          <w:t xml:space="preserve">1137</w:t>
        </w:r>
      </w:hyperlink>
      <w:r>
        <w:rPr>
          <w:vertAlign w:val="superscript"/>
        </w:rPr>
        <w:t xml:space="preserve">]</w:t>
      </w:r>
      <w:r>
        <w:t xml:space="preserve">，“八周冥想改变大脑结构”自此成为正念课程的标准卖点。原始论文估计的对象、新闻标题的扩展和大众传播里的普遍命题是三个层次，超出数据的是后两步。</w:t>
      </w:r>
    </w:p>
    <w:bookmarkEnd w:id="1833"/>
    <w:bookmarkStart w:id="1834" w:name="sec-116-4"/>
    <w:p>
      <w:pPr>
        <w:pStyle w:val="Heading3"/>
      </w:pPr>
      <w:r>
        <w:t xml:space="preserve">116.4　2014 年：元分析的提醒</w:t>
      </w:r>
    </w:p>
    <w:p>
      <w:pPr>
        <w:pStyle w:val="FirstParagraph"/>
      </w:pPr>
      <w:r>
        <w:t xml:space="preserve">2014 年一项元分析汇总了 21 项冥想形态学研究、约 300 名练习者，找出 8 个差异较一致的区域，包括前额极、感觉皮层与岛叶、海马、前扣带与中扣带、眶额皮层，以及上纵束与胼胝体</w:t>
      </w:r>
      <w:r>
        <w:rPr>
          <w:vertAlign w:val="superscript"/>
        </w:rPr>
        <w:t xml:space="preserve">[</w:t>
      </w:r>
      <w:hyperlink w:anchor="ref-983">
        <w:r>
          <w:rPr>
            <w:rStyle w:val="Hyperlink"/>
            <w:vertAlign w:val="superscript"/>
          </w:rPr>
          <w:t xml:space="preserve">983</w:t>
        </w:r>
      </w:hyperlink>
      <w:r>
        <w:rPr>
          <w:vertAlign w:val="superscript"/>
        </w:rPr>
        <w:t xml:space="preserve">]</w:t>
      </w:r>
      <w:r>
        <w:t xml:space="preserve">。作者同时给出了一组警告：从峰值统计量算出的平均效应量约 0.77，按一种发表偏倚校正方法约为 0.44，这个数取决于所用的方法，不能当作无偏的“真实效应”；效应大于 1 的结果只出现在样本少于 40 人的研究里；漏斗图不对称，与发表偏倚的风险一致，选择性报告和研究间差异也会造成这种不对称，几乎没有发表过阴性结果；效应量还与练习经验负相关。媒体引用这篇元分析时，通常只保留了第一句。2021 年的另一项元分析系统检索到 25 项研究（受试者合计 1646 人次，去掉重复的样本后为 1406 人），其中 16 项提供坐标进入空间汇总，只在右侧前腹侧岛叶发现跨研究一致的差异，并指出选择、流失和确认偏差以及统计功效不足的问题</w:t>
      </w:r>
      <w:r>
        <w:rPr>
          <w:vertAlign w:val="superscript"/>
        </w:rPr>
        <w:t xml:space="preserve">[</w:t>
      </w:r>
      <w:hyperlink w:anchor="ref-1011">
        <w:r>
          <w:rPr>
            <w:rStyle w:val="Hyperlink"/>
            <w:vertAlign w:val="superscript"/>
          </w:rPr>
          <w:t xml:space="preserve">1011</w:t>
        </w:r>
      </w:hyperlink>
      <w:r>
        <w:rPr>
          <w:vertAlign w:val="superscript"/>
        </w:rPr>
        <w:t xml:space="preserve">]</w:t>
      </w:r>
      <w:r>
        <w:t xml:space="preserve">；它报告的“中到大”效应量（d 约 0.8 到 1）取自每项研究报告的最大效应，不论位置，这种算法必然偏高；纳入的研究也以长期练习者与常人的横断面比较为主，空间上的共同峰值说明不了训练能造成变化。坐标汇总只处理已发表、达到阈值的峰值，早期阴性研究很少，选择偏倚无法由空间趋同解决；多篇论文共享参与者、最大效应的选取、坐标阈值和技术的差异，也使这些元分析的精确数字需要谨慎看待。</w:t>
      </w:r>
    </w:p>
    <w:bookmarkEnd w:id="1834"/>
    <w:bookmarkStart w:id="1835" w:name="sec-116-5"/>
    <w:p>
      <w:pPr>
        <w:pStyle w:val="Heading3"/>
      </w:pPr>
      <w:r>
        <w:t xml:space="preserve">116.5　2022 年以后：大样本随机对照</w:t>
      </w:r>
    </w:p>
    <w:p>
      <w:pPr>
        <w:pStyle w:val="FirstParagraph"/>
      </w:pPr>
      <w:r>
        <w:t xml:space="preserve">2022 年，威斯康星大学麦迪逊分校的团队发表了一次方法较严谨、样本较大的概念性重复。研究合并了两项相隔约五年、设计与主要流程相近的随机对照试验，没有冥想经验的健康成年人被随机分入正念减压组、健康促进项目组（主动对照）或候补组，课程前后各做一次结构磁共振；完成两次扫描、进入主要分析的共 218 人，三组分别为 75、73 和 70 人</w:t>
      </w:r>
      <w:r>
        <w:rPr>
          <w:vertAlign w:val="superscript"/>
        </w:rPr>
        <w:t xml:space="preserve">[</w:t>
      </w:r>
      <w:hyperlink w:anchor="ref-969">
        <w:r>
          <w:rPr>
            <w:rStyle w:val="Hyperlink"/>
            <w:vertAlign w:val="superscript"/>
          </w:rPr>
          <w:t xml:space="preserve">969</w:t>
        </w:r>
      </w:hyperlink>
      <w:r>
        <w:rPr>
          <w:vertAlign w:val="superscript"/>
        </w:rPr>
        <w:t xml:space="preserve">]</w:t>
      </w:r>
      <w:r>
        <w:t xml:space="preserve">。218 是最终的影像分析人数，随机分组的人数更多，随机后退出、上课次数过少或扫描数据不合格的人不在其中。分析用三套软件交叉检验（三套流程分析同一批扫描，作用在于检验稳健性；相互独立的重复需要新的样本），覆盖全脑，也覆盖从早期研究中取出的 12 个感兴趣区（包括杏仁核、海马、尾状核、岛叶、后扣带回、颞顶联合区和小脑）。</w:t>
      </w:r>
    </w:p>
    <w:p>
      <w:pPr>
        <w:pStyle w:val="BodyText"/>
      </w:pPr>
      <w:r>
        <w:t xml:space="preserve">结果是，正念减压与两个对照组相比，在灰质体积、灰质密度和皮层厚度上都没有可检测的差异。几个细节值得注意：每个组，包括候补组，都出现了一些组内的“皮层增厚”，说明单看组内变化不足以归因于训练，重测、时间带来的变化、扫描和处理误差以及偶然性都可能产生这种结果；正念减压组的自评正念相对候补组的效应量约 0.4，早期小样本研究报告的是 0.77 到 1.48，这两组数字来自不同的样本和条件，它支持早期效应可能被高估的判断。结构效应的大小，要另外估计；论文事先提出了练习量的假设，相应的分析显示，与健康促进组相比，正念练习时间越长，右侧杏仁核体积下降越多，效应小，在敏感性分析中没有保持，实际练习时长也没有被随机分配，不能转成“练够多少小时就会缩小”的处方；同样的样本中，训练带来了一些功能上的变化（例如观看正性图片时的杏仁核反应降低、预先设定的几处功能连接增强）。所有功能结局是否一致、功能指标是否普遍比结构指标更可靠，由此都推不出来。研究的数据和代码公开，团队负责人创办了推广冥想的非营利机构；一个对冥想抱有积极预期的团队完整发表阴性结果，是透明的表现。它的可信度主要来自设计本身：主动对照与候补对照并用、多种分析流程、事先设定的区域和公开的数据；作者还用 50 套多重插补数据，把全部随机者纳入意向治疗的敏感性分析，结果同样没有校正后显著的组间差异。它也有边界。两项试验在临床试验注册网站上登记过，登记的结局里没有结构磁共振，这部分分析属于对登记试验数据的次要使用；主要分析排除了随机后退出、上课少于两次和缺少扫描的人。未经多重比较校正时，右侧海马相对健康促进组有一项 p 约 0.04 的差异，校正后约为 0.48；论文所说“各感兴趣区都没有显著差异”，指的是校正后的结果。两次扫描平均相隔约 120 天（62 到 238 天），课程结束到课后扫描，正念减压组平均约 19 天（1 到 46 天），对照组约 16 天（0 到 93 天），它检验这个时间窗内的结构指标；练习后几小时内的短暂变化和多年练习的效果，需要另外的研究设计来回答。课程、时长和人群有限，对很小的效应或个体差异，排除能力有限；同一样本的多篇论文不能算作彼此独立的重复。</w:t>
      </w:r>
    </w:p>
    <w:p>
      <w:pPr>
        <w:pStyle w:val="BodyText"/>
      </w:pPr>
      <w:r>
        <w:t xml:space="preserve">同一时期的其他证据方向一致。在法国的 Age-Well 随机试验中，137 名 65 岁以上、认知正常的老年人被随机分到 18 个月的冥想训练、结构相同的外语学习或不干预，除 1 人外全部完成试验。四项共同主要结局是前扣带和岛叶的体积与血流灌注，按预先设定，前扣带与不干预组比较、岛叶与外语组比较，四项都没有达到统计显著（两项灌注结果的 p 值约为 0.06 和 0.09，不能写作已经证明的“趋势性改善”）；作为试验开始后才确定的次要结局之一，冥想组在一项由自评问卷合成的注意调节、社会情绪和自我认识综合评分上优于外语组（效应量约 0.52）</w:t>
      </w:r>
      <w:r>
        <w:rPr>
          <w:vertAlign w:val="superscript"/>
        </w:rPr>
        <w:t xml:space="preserve">[</w:t>
      </w:r>
      <w:hyperlink w:anchor="ref-1003">
        <w:r>
          <w:rPr>
            <w:rStyle w:val="Hyperlink"/>
            <w:vertAlign w:val="superscript"/>
          </w:rPr>
          <w:t xml:space="preserve">1003</w:t>
        </w:r>
      </w:hyperlink>
      <w:r>
        <w:rPr>
          <w:vertAlign w:val="superscript"/>
        </w:rPr>
        <w:t xml:space="preserve">]</w:t>
      </w:r>
      <w:r>
        <w:t xml:space="preserve">，这是自评的结果。把它当作客观注意力的提升或影像变化的中介，证据都不够。受试者健康状况和认知储备都较好，向临床人群外推要谨慎。后续用同一队列做的分析也没有发现冥想训练改变脑龄估计</w:t>
      </w:r>
      <w:r>
        <w:rPr>
          <w:vertAlign w:val="superscript"/>
        </w:rPr>
        <w:t xml:space="preserve">[</w:t>
      </w:r>
      <w:hyperlink w:anchor="ref-1135">
        <w:r>
          <w:rPr>
            <w:rStyle w:val="Hyperlink"/>
            <w:vertAlign w:val="superscript"/>
          </w:rPr>
          <w:t xml:space="preserve">1135</w:t>
        </w:r>
      </w:hyperlink>
      <w:r>
        <w:rPr>
          <w:vertAlign w:val="superscript"/>
        </w:rPr>
        <w:t xml:space="preserve">]</w:t>
      </w:r>
      <w:r>
        <w:t xml:space="preserve">；这些分析增加了结局指标，独立的随机样本仍只有这一个。美国的 MEDEX 试验把 585 名有主观认知担忧、没有痴呆的 65 到 84 岁老年人按 2×2 析因设计随机分到正念减压、运动、两者结合或健康教育，为期 18 个月，主要结局记忆和执行功能都没有改善（见</w:t>
      </w:r>
      <w:r>
        <w:t xml:space="preserve"> </w:t>
      </w:r>
      <w:hyperlink w:anchor="sec-111-4">
        <w:r>
          <w:rPr>
            <w:rStyle w:val="Hyperlink"/>
          </w:rPr>
          <w:t xml:space="preserve">111.4</w:t>
        </w:r>
      </w:hyperlink>
      <w:r>
        <w:t xml:space="preserve">）。结构磁共振是次要结局，基线、6 个月和 18 个月分别有 542、510 和 433 人的影像数据：6 个月时，正念减压对海马体积和背外侧前额叶的面积与厚度都没有可检测的影响；18 个月时，接受正念减压者的海马体积比未接受者多减少约 20 立方毫米（95% 置信区间 6 到 34），方向与研究假设相反</w:t>
      </w:r>
      <w:r>
        <w:rPr>
          <w:vertAlign w:val="superscript"/>
        </w:rPr>
        <w:t xml:space="preserve">[</w:t>
      </w:r>
      <w:hyperlink w:anchor="ref-1018">
        <w:r>
          <w:rPr>
            <w:rStyle w:val="Hyperlink"/>
            <w:vertAlign w:val="superscript"/>
          </w:rPr>
          <w:t xml:space="preserve">1018</w:t>
        </w:r>
      </w:hyperlink>
      <w:r>
        <w:rPr>
          <w:vertAlign w:val="superscript"/>
        </w:rPr>
        <w:t xml:space="preserve">]</w:t>
      </w:r>
      <w:r>
        <w:t xml:space="preserve">；这是 2×2 设计中正念减压这一因子的边际效应，比较的是含与不含正念减压的两类人，与运动有没有交互，要看原试验的模型。各组的海马体积在 18 个月里都在缩小；这些影像指标原计划用于中介分析，主要结局为阴性后改作次要结局，作者说明次要时间点和次要结局的结果属于探索性。单凭这一项结果说明不了正念有害，也不能因为方向不合预期就把它从证据里删去，它同样不支持“正念让海马变大”；宏观体积变化的符号本身没有稳定的“增大好、缩小坏”的解释。一篇报告“正念随机试验带来大脑结构变化”的 2023 年元分析排除了四项阴性研究（其中包括 Kral 等 2022 年的试验），这四项研究占全部受试者的四成；撤稿声明还指出它纳入了人群非常特殊、缺乏代表性的研究。该文已于 2025 年 7 月撤稿，两位作者不同意撤稿</w:t>
      </w:r>
      <w:r>
        <w:rPr>
          <w:vertAlign w:val="superscript"/>
        </w:rPr>
        <w:t xml:space="preserve">[</w:t>
      </w:r>
      <w:hyperlink w:anchor="ref-1012">
        <w:r>
          <w:rPr>
            <w:rStyle w:val="Hyperlink"/>
            <w:vertAlign w:val="superscript"/>
          </w:rPr>
          <w:t xml:space="preserve">1012</w:t>
        </w:r>
      </w:hyperlink>
      <w:r>
        <w:rPr>
          <w:vertAlign w:val="superscript"/>
        </w:rPr>
        <w:t xml:space="preserve">]</w:t>
      </w:r>
      <w:r>
        <w:t xml:space="preserve">。2026 年的一项范围综述检索 2010 至 2023 年发表的研究，纳入 9 项，其中 5 项为随机试验；9 项中有 8 项报告了结构指标增加，作者仍认为现有证据不足以得出因果或一致性的结论</w:t>
      </w:r>
      <w:r>
        <w:rPr>
          <w:vertAlign w:val="superscript"/>
        </w:rPr>
        <w:t xml:space="preserve">[</w:t>
      </w:r>
      <w:hyperlink w:anchor="ref-1138">
        <w:r>
          <w:rPr>
            <w:rStyle w:val="Hyperlink"/>
            <w:vertAlign w:val="superscript"/>
          </w:rPr>
          <w:t xml:space="preserve">1138</w:t>
        </w:r>
      </w:hyperlink>
      <w:r>
        <w:rPr>
          <w:vertAlign w:val="superscript"/>
        </w:rPr>
        <w:t xml:space="preserve">]</w:t>
      </w:r>
      <w:r>
        <w:t xml:space="preserve">。这篇综述按研究计数描述结果，把很小的研究和大型阴性试验各算一票，结论不能由“八比一”这样的票数决定；它的检索截至 2023 年，覆盖不到之后的研究，发表得晚也不等于证据更新到了发表时。</w:t>
      </w:r>
    </w:p>
    <w:p>
      <w:pPr>
        <w:pStyle w:val="BodyText"/>
      </w:pPr>
      <w:r>
        <w:t xml:space="preserve">更长、更集中的训练是另一个问题。德国“资源计划”共纳入 332 名成年人：约 160 人接受了九个月、三个模块的完整训练，81 人只接受三个月的情感模块，90 人作为不接受训练的重测对照。不同模块带来不同部位的皮层厚度变化，以当下注意为主的模块主要影响前额叶，变化幅度与相应行为能力的提升相关</w:t>
      </w:r>
      <w:r>
        <w:rPr>
          <w:vertAlign w:val="superscript"/>
        </w:rPr>
        <w:t xml:space="preserve">[</w:t>
      </w:r>
      <w:hyperlink w:anchor="ref-1004">
        <w:r>
          <w:rPr>
            <w:rStyle w:val="Hyperlink"/>
            <w:vertAlign w:val="superscript"/>
          </w:rPr>
          <w:t xml:space="preserve">1004</w:t>
        </w:r>
      </w:hyperlink>
      <w:r>
        <w:rPr>
          <w:vertAlign w:val="superscript"/>
        </w:rPr>
        <w:t xml:space="preserve">]</w:t>
      </w:r>
      <w:r>
        <w:t xml:space="preserve">。这些模块特异的变化是在每个为期三个月的模块前后测得的；研究用三个模块互为对照，另设不训练的重测组，没有设非冥想的主动对照。以当下注意为主的模块在两个完整训练队列中都排在最先，后两个模块的顺序做了调换，另设的情感模块组帮助处理早期的时间效应，这些安排仍不能完全消除顺序、训练累积和社会互动的差别；受试者健康、经过较多筛选，训练包含日常练习、静修和社会互动，外推到一般的公众课程要谨慎。皮层厚度分析调整了全局厚度，区域效应反映相对分布的变化。由此不能概括成整个大脑变厚；脑与行为的相关和训练带来的平均改变只在部分区域重叠，中介链尚未建立。这项研究给“系统的心智训练能改变皮层”留下了可能性，它与 Age-Well 的阴性结果并存，独立重复还很少。“更长、更集中”是研究之间的描述差异，现有数据没有随机比较过八周、三个月和十八个月，定不出时长的阈值。</w:t>
      </w:r>
    </w:p>
    <w:p>
      <w:pPr>
        <w:pStyle w:val="BodyText"/>
      </w:pPr>
      <w:r>
        <w:t xml:space="preserve">近年还有两类结果需要放进这段历史。一类来自特定人群：2024 年针对有童年逆境经历的年轻成人的小型八周试验，报告右侧全海马和下托的体积变化有组间差异，脱落多、只分析完成者，需要独立验证（见</w:t>
      </w:r>
      <w:r>
        <w:t xml:space="preserve"> </w:t>
      </w:r>
      <w:hyperlink w:anchor="sec-110-5">
        <w:r>
          <w:rPr>
            <w:rStyle w:val="Hyperlink"/>
          </w:rPr>
          <w:t xml:space="preserve">110.5</w:t>
        </w:r>
      </w:hyperlink>
      <w:r>
        <w:t xml:space="preserve">）</w:t>
      </w:r>
      <w:r>
        <w:rPr>
          <w:vertAlign w:val="superscript"/>
        </w:rPr>
        <w:t xml:space="preserve">[</w:t>
      </w:r>
      <w:hyperlink w:anchor="ref-1019">
        <w:r>
          <w:rPr>
            <w:rStyle w:val="Hyperlink"/>
            <w:vertAlign w:val="superscript"/>
          </w:rPr>
          <w:t xml:space="preserve">1019</w:t>
        </w:r>
      </w:hyperlink>
      <w:r>
        <w:rPr>
          <w:vertAlign w:val="superscript"/>
        </w:rPr>
        <w:t xml:space="preserve">]</w:t>
      </w:r>
      <w:r>
        <w:t xml:space="preserve">；它与</w:t>
      </w:r>
      <w:r>
        <w:t xml:space="preserve"> </w:t>
      </w:r>
      <w:hyperlink w:anchor="sec-110-1">
        <w:r>
          <w:rPr>
            <w:rStyle w:val="Hyperlink"/>
          </w:rPr>
          <w:t xml:space="preserve">110.1 节</w:t>
        </w:r>
      </w:hyperlink>
      <w:r>
        <w:t xml:space="preserve">的杏仁核论文出自同一队列，报告的是同一试验在另一个脑区的结局。单凭这项小型试验，推翻不了大型的阴性试验。另一类来自“资源计划”同一队列的新分析：2024 年的海马亚区研究报告，社会情感模块之后右侧 CA1-3 亚区相对认知模块增大（见</w:t>
      </w:r>
      <w:r>
        <w:t xml:space="preserve"> </w:t>
      </w:r>
      <w:hyperlink w:anchor="sec-110-5">
        <w:r>
          <w:rPr>
            <w:rStyle w:val="Hyperlink"/>
          </w:rPr>
          <w:t xml:space="preserve">110.5</w:t>
        </w:r>
      </w:hyperlink>
      <w:r>
        <w:t xml:space="preserve">）</w:t>
      </w:r>
      <w:r>
        <w:rPr>
          <w:vertAlign w:val="superscript"/>
        </w:rPr>
        <w:t xml:space="preserve">[</w:t>
      </w:r>
      <w:hyperlink w:anchor="ref-1020">
        <w:r>
          <w:rPr>
            <w:rStyle w:val="Hyperlink"/>
            <w:vertAlign w:val="superscript"/>
          </w:rPr>
          <w:t xml:space="preserve">1020</w:t>
        </w:r>
      </w:hyperlink>
      <w:r>
        <w:rPr>
          <w:vertAlign w:val="superscript"/>
        </w:rPr>
        <w:t xml:space="preserve">]</w:t>
      </w:r>
      <w:r>
        <w:t xml:space="preserve">；2023 年的研究用定量 T1 和功能梯度测量，报告“当下”与认知模块之后岛叶、顶叶等处出现功能与微结构变化，情感与认知模块之后岛叶和眶额皮层出现微结构变化；与不训练的重测对照相比，功能指标没有总体效应，微结构效应也较弱</w:t>
      </w:r>
      <w:r>
        <w:rPr>
          <w:vertAlign w:val="superscript"/>
        </w:rPr>
        <w:t xml:space="preserve">[</w:t>
      </w:r>
      <w:hyperlink w:anchor="ref-1139">
        <w:r>
          <w:rPr>
            <w:rStyle w:val="Hyperlink"/>
            <w:vertAlign w:val="superscript"/>
          </w:rPr>
          <w:t xml:space="preserve">1139</w:t>
        </w:r>
      </w:hyperlink>
      <w:r>
        <w:rPr>
          <w:vertAlign w:val="superscript"/>
        </w:rPr>
        <w:t xml:space="preserve">]</w:t>
      </w:r>
      <w:r>
        <w:t xml:space="preserve">；定量 T1 对髓鞘含量敏感，也受铁和水含量影响，单凭它确定不了变化来自髓鞘还是其他组织成分，更说明不了神经元增多。同一队列的新论文扩大了结局和假设的覆盖。独立的训练样本仍只有一个，这些论文也都不构成对标准八周课程全海马结论的直接重复。</w:t>
      </w:r>
    </w:p>
    <w:p>
      <w:pPr>
        <w:pStyle w:val="CalloutJudgment"/>
      </w:pPr>
      <w:r>
        <w:rPr>
          <w:bCs/>
          <w:b/>
        </w:rPr>
        <w:t xml:space="preserve">判断　</w:t>
      </w:r>
      <w:r>
        <w:t xml:space="preserve">“常规的八周正念课程在健康初学者中普遍带来明显的宏观灰质增长”</w:t>
      </w:r>
      <w:r>
        <w:rPr>
          <w:bCs/>
          <w:b/>
        </w:rPr>
        <w:t xml:space="preserve">已被推翻·高</w:t>
      </w:r>
      <w:r>
        <w:t xml:space="preserve">：严格随机试验的估计排除了早期报告的那种幅度，早期的大效应没有得到稳定重复；“特定人群、特定亚区或其他训练模块中的结构变化”</w:t>
      </w:r>
      <w:r>
        <w:rPr>
          <w:bCs/>
          <w:b/>
        </w:rPr>
        <w:t xml:space="preserve">证据不足·低</w:t>
      </w:r>
      <w:r>
        <w:t xml:space="preserve">：阳性与阴性结果并存，因果范围和可重复性都不确定，现有试验对很小的效应排除能力有限；“长期练习者与常人的脑结构存在差异”</w:t>
      </w:r>
      <w:r>
        <w:rPr>
          <w:bCs/>
          <w:b/>
        </w:rPr>
        <w:t xml:space="preserve">部分成立·低</w:t>
      </w:r>
      <w:r>
        <w:t xml:space="preserve">：有观察性证据，发表偏倚让差异大小存疑；“这些差异由冥想造成”</w:t>
      </w:r>
      <w:r>
        <w:rPr>
          <w:bCs/>
          <w:b/>
        </w:rPr>
        <w:t xml:space="preserve">证据不足·低</w:t>
      </w:r>
      <w:r>
        <w:t xml:space="preserve">：自我选择和共同的生活方式没有排除；“冥想让大脑年轻 7.5 岁”“冥想能预防神经退行性疾病”</w:t>
      </w:r>
      <w:r>
        <w:rPr>
          <w:bCs/>
          <w:b/>
        </w:rPr>
        <w:t xml:space="preserve">证据不足·中</w:t>
      </w:r>
      <w:r>
        <w:t xml:space="preserve">：关联只见于长期练习者，结果对模型和年龄校正敏感，随机训练没有产生这种效果，也没有能确认临床因果结论的证据；“训练时长、技术和个人差异决定结构效应的大小”</w:t>
      </w:r>
      <w:r>
        <w:rPr>
          <w:bCs/>
          <w:b/>
        </w:rPr>
        <w:t xml:space="preserve">证据不足·低</w:t>
      </w:r>
      <w:r>
        <w:t xml:space="preserve">：需要专门的设计来检验。</w:t>
      </w:r>
    </w:p>
    <w:bookmarkEnd w:id="1835"/>
    <w:bookmarkStart w:id="1836" w:name="sec-116-6"/>
    <w:p>
      <w:pPr>
        <w:pStyle w:val="Heading3"/>
      </w:pPr>
      <w:r>
        <w:t xml:space="preserve">116.6　作为对照的“杂耍研究”</w:t>
      </w:r>
    </w:p>
    <w:p>
      <w:pPr>
        <w:pStyle w:val="FirstParagraph"/>
      </w:pPr>
      <w:r>
        <w:t xml:space="preserve">结构磁共振能够看到学习带来的变化。2004 年一项研究让受试者学习三球杂耍三个月，视觉运动相关脑区的灰质体积可检测地增加，停止练习后又部分回落</w:t>
      </w:r>
      <w:r>
        <w:rPr>
          <w:vertAlign w:val="superscript"/>
        </w:rPr>
        <w:t xml:space="preserve">[</w:t>
      </w:r>
      <w:hyperlink w:anchor="ref-221">
        <w:r>
          <w:rPr>
            <w:rStyle w:val="Hyperlink"/>
            <w:vertAlign w:val="superscript"/>
          </w:rPr>
          <w:t xml:space="preserve">221</w:t>
        </w:r>
      </w:hyperlink>
      <w:r>
        <w:rPr>
          <w:vertAlign w:val="superscript"/>
        </w:rPr>
        <w:t xml:space="preserve">]</w:t>
      </w:r>
      <w:r>
        <w:t xml:space="preserve">。这说明在合适的条件下，短期训练引起的结构变化可以被测到。也要看到，即便在训练研究整体中，设计、统计和伪迹问题也可能造成许多已报告的效应</w:t>
      </w:r>
      <w:r>
        <w:rPr>
          <w:vertAlign w:val="superscript"/>
        </w:rPr>
        <w:t xml:space="preserve">[</w:t>
      </w:r>
      <w:hyperlink w:anchor="ref-1140">
        <w:r>
          <w:rPr>
            <w:rStyle w:val="Hyperlink"/>
            <w:vertAlign w:val="superscript"/>
          </w:rPr>
          <w:t xml:space="preserve">1140</w:t>
        </w:r>
      </w:hyperlink>
      <w:r>
        <w:rPr>
          <w:vertAlign w:val="superscript"/>
        </w:rPr>
        <w:t xml:space="preserve">]</w:t>
      </w:r>
      <w:r>
        <w:t xml:space="preserve">。这项研究样本小、年代早，需要与现代的预注册和稳健性标准对照来看。相比之下，正念减压在严格设计下没有测到变化，这与早期效应被高估相符，样本、训练内容、时间窗和指标的差异也要考虑；要把“效应更小”当作正式的比较结论，需要两类研究可比的效应量和区间，单比较显著与不显著不够。不同的任务涉及不同的生物过程，视觉运动训练能测到变化，推不出任何有效的训练都会在同样的时间内改变 T1 灰质指标。前瞻性的出租车学员研究（见</w:t>
      </w:r>
      <w:hyperlink w:anchor="ch-91">
        <w:r>
          <w:rPr>
            <w:rStyle w:val="Hyperlink"/>
          </w:rPr>
          <w:t xml:space="preserve">第91章</w:t>
        </w:r>
      </w:hyperlink>
      <w:r>
        <w:t xml:space="preserve">）也显示，学习路线知识与后部海马的变化在时间上相随，它同样不能代替冥想自身的训练检验。</w:t>
      </w:r>
    </w:p>
    <w:bookmarkEnd w:id="1836"/>
    <w:bookmarkStart w:id="1837" w:name="sec-116-7"/>
    <w:p>
      <w:pPr>
        <w:pStyle w:val="Heading3"/>
      </w:pPr>
      <w:r>
        <w:t xml:space="preserve">116.7　媒体标签：“世界上最快乐的人”</w:t>
      </w:r>
    </w:p>
    <w:p>
      <w:pPr>
        <w:pStyle w:val="FirstParagraph"/>
      </w:pPr>
      <w:r>
        <w:t xml:space="preserve">法国僧人马修·李卡德（Matthieu Ricard）参与过戴维森团队的多项脑电与脑成像研究，也是 2004 年那篇 γ 波论文的作者之一（见</w:t>
      </w:r>
      <w:r>
        <w:t xml:space="preserve"> </w:t>
      </w:r>
      <w:hyperlink w:anchor="sec-114-2">
        <w:r>
          <w:rPr>
            <w:rStyle w:val="Hyperlink"/>
          </w:rPr>
          <w:t xml:space="preserve">114.2</w:t>
        </w:r>
      </w:hyperlink>
      <w:r>
        <w:t xml:space="preserve">）。媒体根据他在实验中表现出的强烈 γ 活动和左侧前额叶活动，称他为“世界上最快乐的人”</w:t>
      </w:r>
      <w:r>
        <w:rPr>
          <w:vertAlign w:val="superscript"/>
        </w:rPr>
        <w:t xml:space="preserve">[</w:t>
      </w:r>
      <w:hyperlink w:anchor="ref-1141">
        <w:r>
          <w:rPr>
            <w:rStyle w:val="Hyperlink"/>
            <w:vertAlign w:val="superscript"/>
          </w:rPr>
          <w:t xml:space="preserve">1141</w:t>
        </w:r>
      </w:hyperlink>
      <w:r>
        <w:rPr>
          <w:vertAlign w:val="superscript"/>
        </w:rPr>
        <w:t xml:space="preserve">]</w:t>
      </w:r>
      <w:r>
        <w:t xml:space="preserve">。这一排名所依据的实验，并没有产生能够支持“全球最快乐”的幸福测量：左侧额叶活动、γ 功率、跨区域同步和问卷测得的幸福感是不同的指标，没有哪一种能当作给全球的人排序的统一标尺。李卡德本人说这是“一个荒谬的说法”，让他很尴尬，并反问：怎么可能知道八十亿人每个人有多快乐</w:t>
      </w:r>
      <w:r>
        <w:rPr>
          <w:vertAlign w:val="superscript"/>
        </w:rPr>
        <w:t xml:space="preserve">[</w:t>
      </w:r>
      <w:hyperlink w:anchor="ref-1142">
        <w:r>
          <w:rPr>
            <w:rStyle w:val="Hyperlink"/>
            <w:vertAlign w:val="superscript"/>
          </w:rPr>
          <w:t xml:space="preserve">1142</w:t>
        </w:r>
      </w:hyperlink>
      <w:r>
        <w:rPr>
          <w:vertAlign w:val="superscript"/>
        </w:rPr>
        <w:t xml:space="preserve">]</w:t>
      </w:r>
      <w:r>
        <w:t xml:space="preserve">。相关研究本身是对少数顶尖练习者的个案式测量，为特定受试者在特定任务和测量条件下的体验与生理模式提供了线索。比较人与人的幸福程度，这些测量做不到；极端专家的观察既确定不了初学者的平均获益，也证明不了达到某个信号水平就是练习的目标。</w:t>
      </w:r>
    </w:p>
    <w:p>
      <w:pPr>
        <w:pStyle w:val="CalloutJudgment"/>
      </w:pPr>
      <w:r>
        <w:rPr>
          <w:bCs/>
          <w:b/>
        </w:rPr>
        <w:t xml:space="preserve">判断　</w:t>
      </w:r>
      <w:r>
        <w:t xml:space="preserve">“马修·李卡德是世界上最快乐的人”</w:t>
      </w:r>
      <w:r>
        <w:rPr>
          <w:bCs/>
          <w:b/>
        </w:rPr>
        <w:t xml:space="preserve">错误·高</w:t>
      </w:r>
      <w:r>
        <w:t xml:space="preserve">：没有任何测量能支持这种全球排序，相关研究也没有测量“快乐”的排名。</w:t>
      </w:r>
    </w:p>
    <w:bookmarkEnd w:id="1837"/>
    <w:bookmarkStart w:id="1838" w:name="sec-116-8"/>
    <w:p>
      <w:pPr>
        <w:pStyle w:val="Heading3"/>
      </w:pPr>
      <w:r>
        <w:t xml:space="preserve">116.8　这段历史说明了什么</w:t>
      </w:r>
    </w:p>
    <w:p>
      <w:pPr>
        <w:pStyle w:val="FirstParagraph"/>
      </w:pPr>
      <w:r>
        <w:t xml:space="preserve">第一，小样本加横断面设计，加上媒体放大，足以把一个初步线索变成广泛流传的公众印象；学术界从早期就有方法学上的警告，领域内部并没有一致接受这个强命题。第二，领域出现了重要的修正：元分析发出警告，大样本随机对照给出了检验，有偏的元分析被撤稿；单篇撤稿和几项大型试验还没有解决全部人群、技术、指标和长期效应的问题，这些问题仍在推进。第三，这一修正并不意味着冥想没用。临床结局与可见的结构变化要分开评价：磁共振上看不到变化，不会自动否定症状和生活功能的改善；局部的磁共振差异，也不会自动证明疗效。抑郁复发、焦虑和疼痛各自的对照和证据强度不同，见</w:t>
      </w:r>
      <w:hyperlink w:anchor="ch-117">
        <w:r>
          <w:rPr>
            <w:rStyle w:val="Hyperlink"/>
          </w:rPr>
          <w:t xml:space="preserve">第117章</w:t>
        </w:r>
      </w:hyperlink>
      <w:r>
        <w:t xml:space="preserve">。</w:t>
      </w:r>
    </w:p>
    <w:p>
      <w:pPr>
        <w:pStyle w:val="CalloutPractice"/>
      </w:pPr>
      <w:r>
        <w:rPr>
          <w:bCs/>
          <w:b/>
        </w:rPr>
        <w:t xml:space="preserve">练习中的含义　</w:t>
      </w:r>
      <w:r>
        <w:t xml:space="preserve">判断练习是否有效，看自己在情绪反应、注意稳定和与念头的关系上有没有可观察的变化，比相信“大脑正在增厚”更可靠。可以事先选定几个日常目标并持续观察，同时留意功能上的影响和不良反应；自评会受期待、自然波动和回归均值影响，可以结合固定的量表和行为记录，必要时请专业人员评估。磁共振指标目前不能用来检验个人的练习是否“达标”。</w:t>
      </w:r>
    </w:p>
    <w:bookmarkEnd w:id="1838"/>
    <w:bookmarkEnd w:id="1839"/>
    <w:bookmarkStart w:id="1845" w:name="ch-117"/>
    <w:p>
      <w:pPr>
        <w:pStyle w:val="Heading2"/>
      </w:pPr>
      <w:r>
        <w:t xml:space="preserve">第117章　临床与行为效果</w:t>
      </w:r>
    </w:p>
    <w:p>
      <w:pPr>
        <w:pStyle w:val="FirstParagraph"/>
      </w:pPr>
      <w:r>
        <w:t xml:space="preserve">脑成像结果的意义，最终要落到人的感受和行为上。这一章看正念课程在临床和日常结局上的证据：效果有多大，和什么比较，对谁更有效；风险以及“正念”这个概念本身在测量上的难题见</w:t>
      </w:r>
      <w:hyperlink w:anchor="ch-118">
        <w:r>
          <w:rPr>
            <w:rStyle w:val="Hyperlink"/>
          </w:rPr>
          <w:t xml:space="preserve">第118章</w:t>
        </w:r>
      </w:hyperlink>
      <w:r>
        <w:t xml:space="preserve">。评价一个方案，还要看患者怎样权衡它带来的收益与负担、效果能否持续、不适时能否退出。各结局的速查见</w:t>
      </w:r>
      <w:hyperlink w:anchor="tab-clinical">
        <w:r>
          <w:rPr>
            <w:rStyle w:val="Hyperlink"/>
          </w:rPr>
          <w:t xml:space="preserve">表 29</w:t>
        </w:r>
      </w:hyperlink>
      <w:r>
        <w:t xml:space="preserve">，表中总结特定的临床研究。它没有为所有冥想传统统一评级。</w:t>
      </w:r>
    </w:p>
    <w:bookmarkStart w:id="1840" w:name="sec-117-1"/>
    <w:p>
      <w:pPr>
        <w:pStyle w:val="Heading3"/>
      </w:pPr>
      <w:r>
        <w:t xml:space="preserve">117.1　效果有多大，取决于和什么比</w:t>
      </w:r>
    </w:p>
    <w:p>
      <w:pPr>
        <w:pStyle w:val="FirstParagraph"/>
      </w:pPr>
      <w:r>
        <w:rPr>
          <w:bCs/>
          <w:b/>
        </w:rPr>
        <w:t xml:space="preserve">正念课程的效果大小，主要取决于对照组是什么。</w:t>
      </w:r>
      <w:r>
        <w:t xml:space="preserve">2018 年一项针对精神障碍人群的元分析纳入 142 个样本、12005 名受试者，按对照类型分别计算治疗结束时的效应量 d：与没有新增专门干预的对照（候补、常规照护等，常规照护中的患者可能仍在用药或接受临床管理）相比约 0.55；与最低限度的干预相比约 0.37；与用于匹配部分接触、活动或期待、但没有明确治疗原理的“非特异主动对照”相比约 0.35，这类对照本身也可能有治疗成分，设盲的程度通常达不到药物安慰剂；与其他有明确原理的疗法相比约 0.23；与认知行为疗法、抗抑郁药等循证治疗相比约为 0</w:t>
      </w:r>
      <w:r>
        <w:rPr>
          <w:vertAlign w:val="superscript"/>
        </w:rPr>
        <w:t xml:space="preserve">[</w:t>
      </w:r>
      <w:hyperlink w:anchor="ref-1143">
        <w:r>
          <w:rPr>
            <w:rStyle w:val="Hyperlink"/>
            <w:vertAlign w:val="superscript"/>
          </w:rPr>
          <w:t xml:space="preserve">1143</w:t>
        </w:r>
      </w:hyperlink>
      <w:r>
        <w:rPr>
          <w:vertAlign w:val="superscript"/>
        </w:rPr>
        <w:t xml:space="preserve">]</w:t>
      </w:r>
      <w:r>
        <w:t xml:space="preserve">。随访时的格局相近：与非特异主动对照相比约 0.52，与其他疗法相比约 0.29，与循证治疗相比约 0.09，差异不显著</w:t>
      </w:r>
      <w:r>
        <w:rPr>
          <w:vertAlign w:val="superscript"/>
        </w:rPr>
        <w:t xml:space="preserve">[</w:t>
      </w:r>
      <w:hyperlink w:anchor="ref-1143">
        <w:r>
          <w:rPr>
            <w:rStyle w:val="Hyperlink"/>
            <w:vertAlign w:val="superscript"/>
          </w:rPr>
          <w:t xml:space="preserve">1143</w:t>
        </w:r>
      </w:hyperlink>
      <w:r>
        <w:rPr>
          <w:vertAlign w:val="superscript"/>
        </w:rPr>
        <w:t xml:space="preserve">]</w:t>
      </w:r>
      <w:r>
        <w:t xml:space="preserve">。“约为 0”表示没有检出差异；等效需要专门的非劣效或等效设计来证明。常被引用的“中等效应”，主要来自与不治疗对照（候补等待，或只接受常规治疗）的比较。这几个数字来自不同的研究组合，各组合的人群、病种和试验质量也不同，不能依次相减，算出“团体支持占几成、冥想本身占几成”；它们是跨诊断、跨课程的平均估计。某一种疾病的疗效，要看针对该病的试验。</w:t>
      </w:r>
    </w:p>
    <w:p>
      <w:pPr>
        <w:pStyle w:val="BodyText"/>
      </w:pPr>
      <w:r>
        <w:t xml:space="preserve">2014 年美国医疗研究与质量局资助的系统综述只纳入设有主动对照的随机试验，共 47 项、3515 人。八周时，焦虑的效应量约 0.38，抑郁约 0.30，疼痛约 0.33，证据强度为中等；压力、正性情绪、注意、睡眠、物质使用等结局证据较弱或不足；与药物、运动和其他行为疗法相比，没有发现冥想课程更好</w:t>
      </w:r>
      <w:r>
        <w:rPr>
          <w:vertAlign w:val="superscript"/>
        </w:rPr>
        <w:t xml:space="preserve">[</w:t>
      </w:r>
      <w:hyperlink w:anchor="ref-982">
        <w:r>
          <w:rPr>
            <w:rStyle w:val="Hyperlink"/>
            <w:vertAlign w:val="superscript"/>
          </w:rPr>
          <w:t xml:space="preserve">982</w:t>
        </w:r>
      </w:hyperlink>
      <w:r>
        <w:rPr>
          <w:vertAlign w:val="superscript"/>
        </w:rPr>
        <w:t xml:space="preserve">]</w:t>
      </w:r>
      <w:r>
        <w:t xml:space="preserve">。2022 年对 44 项元分析（涉及 336 项随机试验、三万余人）的伞状评估得出同样的格局：相对被动对照普遍有效，相对主动对照效应更小、更不稳定，相对循证治疗总体没有检出稳定的额外优势，许多比较还不足以精确排除有意义的差异；例外只有戒烟，以及正念认知疗法在随访期预防抑郁复发</w:t>
      </w:r>
      <w:r>
        <w:rPr>
          <w:vertAlign w:val="superscript"/>
        </w:rPr>
        <w:t xml:space="preserve">[</w:t>
      </w:r>
      <w:hyperlink w:anchor="ref-1144">
        <w:r>
          <w:rPr>
            <w:rStyle w:val="Hyperlink"/>
            <w:vertAlign w:val="superscript"/>
          </w:rPr>
          <w:t xml:space="preserve">1144</w:t>
        </w:r>
      </w:hyperlink>
      <w:r>
        <w:rPr>
          <w:vertAlign w:val="superscript"/>
        </w:rPr>
        <w:t xml:space="preserve">]</w:t>
      </w:r>
      <w:r>
        <w:t xml:space="preserve">；戒烟方面，同年更专门的 Cochrane 综述没有发现明确益处（见</w:t>
      </w:r>
      <w:r>
        <w:t xml:space="preserve"> </w:t>
      </w:r>
      <w:hyperlink w:anchor="sec-117-3">
        <w:r>
          <w:rPr>
            <w:rStyle w:val="Hyperlink"/>
          </w:rPr>
          <w:t xml:space="preserve">117.3</w:t>
        </w:r>
      </w:hyperlink>
      <w:r>
        <w:t xml:space="preserve">）。44 项元分析会重复使用同一批原始试验，汇总的层级多，并不增加独立重复的次数，336 项试验的总数也不是每个具体结局的有效样本；不同综述的纳入范围、结局时长和对照分类各不相同，应优先看与当前问题最匹配的那组试验，不宜按发表年份或期刊声望投票。</w:t>
      </w:r>
    </w:p>
    <w:p>
      <w:pPr>
        <w:pStyle w:val="BodyText"/>
      </w:pPr>
      <w:r>
        <w:t xml:space="preserve">还有两个削弱因素。第一是研究者倾向。对 60 项“正念与其他正规疗法”比较的再分析发现，正念的小幅优势只出现在研究者偏向正念的试验中；研究者立场中立或两边平衡时，优势消失</w:t>
      </w:r>
      <w:r>
        <w:rPr>
          <w:vertAlign w:val="superscript"/>
        </w:rPr>
        <w:t xml:space="preserve">[</w:t>
      </w:r>
      <w:hyperlink w:anchor="ref-1145">
        <w:r>
          <w:rPr>
            <w:rStyle w:val="Hyperlink"/>
            <w:vertAlign w:val="superscript"/>
          </w:rPr>
          <w:t xml:space="preserve">1145</w:t>
        </w:r>
      </w:hyperlink>
      <w:r>
        <w:rPr>
          <w:vertAlign w:val="superscript"/>
        </w:rPr>
        <w:t xml:space="preserve">]</w:t>
      </w:r>
      <w:r>
        <w:t xml:space="preserve">。这是观察性的调节分析，研究者立场也可能与对照设计、课程质量和资助交织在一起。它不能换算成对每项试验统一打折的系数。第二是报告偏倚。124 项试验中，87% 在摘要里报告了至少一项阳性结果，这与“预设的主要终点为阳性”不同，结局越多，越容易至少找到一项阳性；按“效应真实且为 0.55”这一假设和相应的统计功效计算，这是预期数量的 1.6 倍；21 项预注册的试验中，在该评估的观察窗口内，62% 完成 30 个月后仍未发表</w:t>
      </w:r>
      <w:r>
        <w:rPr>
          <w:vertAlign w:val="superscript"/>
        </w:rPr>
        <w:t xml:space="preserve">[</w:t>
      </w:r>
      <w:hyperlink w:anchor="ref-1146">
        <w:r>
          <w:rPr>
            <w:rStyle w:val="Hyperlink"/>
            <w:vertAlign w:val="superscript"/>
          </w:rPr>
          <w:t xml:space="preserve">1146</w:t>
        </w:r>
      </w:hyperlink>
      <w:r>
        <w:rPr>
          <w:vertAlign w:val="superscript"/>
        </w:rPr>
        <w:t xml:space="preserve">]</w:t>
      </w:r>
      <w:r>
        <w:t xml:space="preserve">。</w:t>
      </w:r>
    </w:p>
    <w:p>
      <w:pPr>
        <w:pStyle w:val="BodyText"/>
      </w:pPr>
      <w:r>
        <w:t xml:space="preserve">合起来看，可以分条件说：对自愿参加、由合格教师带领的标准化课程，相对不治疗或候补，焦虑、抑郁和心理困扰的减轻有可靠证据，幅度小到中等；对照组越接近真正的治疗，优势越小；与已有的循证治疗相比没有检出差异。正念认知疗法预防抑郁复发的证据最好；诊断性焦虑障碍有一项线下的非劣效试验，同一研究的远程阶段没有建立非劣效；自评睡眠质量有改善，临床失眠指南没有推荐；戒烟和校园普及课程没有显示出优势（各见下文）。“与循证治疗相比没有检出差异”是汇总比较的估计。具体组合之间仍可能有差别，个别直接比较中也出现过小幅的优势（见</w:t>
      </w:r>
      <w:r>
        <w:t xml:space="preserve"> </w:t>
      </w:r>
      <w:hyperlink w:anchor="sec-117-2">
        <w:r>
          <w:rPr>
            <w:rStyle w:val="Hyperlink"/>
          </w:rPr>
          <w:t xml:space="preserve">117.2 节</w:t>
        </w:r>
      </w:hyperlink>
      <w:r>
        <w:t xml:space="preserve">的 LIGHTMind 试验）。临床意义还要看症状量表之外的结局：缓解比例、日常功能、持久性、时间负担和不良反应。</w:t>
      </w:r>
    </w:p>
    <w:p>
      <w:pPr>
        <w:pStyle w:val="CalloutJudgment"/>
      </w:pPr>
      <w:r>
        <w:rPr>
          <w:bCs/>
          <w:b/>
        </w:rPr>
        <w:t xml:space="preserve">判断　</w:t>
      </w:r>
      <w:r>
        <w:t xml:space="preserve">“标准化正念课程相对候补或常规照护，能减轻部分成人的焦虑和抑郁症状”</w:t>
      </w:r>
      <w:r>
        <w:rPr>
          <w:bCs/>
          <w:b/>
        </w:rPr>
        <w:t xml:space="preserve">成立·高</w:t>
      </w:r>
      <w:r>
        <w:t xml:space="preserve">：效应小到中等，大小随病种、对照、终点和随访而变，相对主动对照更小；诊断性疾病要分别看复发预防、发作期加用和特定的焦虑方案（见</w:t>
      </w:r>
      <w:r>
        <w:t xml:space="preserve"> </w:t>
      </w:r>
      <w:hyperlink w:anchor="sec-117-2">
        <w:r>
          <w:rPr>
            <w:rStyle w:val="Hyperlink"/>
          </w:rPr>
          <w:t xml:space="preserve">117.2</w:t>
        </w:r>
      </w:hyperlink>
      <w:r>
        <w:t xml:space="preserve">）；“正念能减轻慢性疼痛”</w:t>
      </w:r>
      <w:r>
        <w:rPr>
          <w:bCs/>
          <w:b/>
        </w:rPr>
        <w:t xml:space="preserve">部分成立·中</w:t>
      </w:r>
      <w:r>
        <w:t xml:space="preserve">：疼痛强度小幅减轻，证据质量低，相对主动对照不稳健，疼痛干扰方面一项大型试验相对通常照护有改善；“正念比认知行为疗法、抗抑郁药等循证治疗更有效”</w:t>
      </w:r>
      <w:r>
        <w:rPr>
          <w:bCs/>
          <w:b/>
        </w:rPr>
        <w:t xml:space="preserve">不成立·中</w:t>
      </w:r>
      <w:r>
        <w:t xml:space="preserve">：没有支持普遍优越性的证据，个别具体比较中可有小幅优势；“正念对所有心理健康问题都有效”</w:t>
      </w:r>
      <w:r>
        <w:rPr>
          <w:bCs/>
          <w:b/>
        </w:rPr>
        <w:t xml:space="preserve">夸大·高</w:t>
      </w:r>
      <w:r>
        <w:t xml:space="preserve">。</w:t>
      </w:r>
    </w:p>
    <w:bookmarkEnd w:id="1840"/>
    <w:bookmarkStart w:id="1841" w:name="sec-117-2"/>
    <w:p>
      <w:pPr>
        <w:pStyle w:val="Heading3"/>
      </w:pPr>
      <w:r>
        <w:t xml:space="preserve">117.2　抑郁复发、焦虑与疼痛</w:t>
      </w:r>
    </w:p>
    <w:p>
      <w:pPr>
        <w:pStyle w:val="FirstParagraph"/>
      </w:pPr>
      <w:r>
        <w:t xml:space="preserve">正念认知疗法是专为反复发作的抑郁症设计的八周团体课程，结合了认知疗法的元素与正念训练，在缓解期学习，目标是预防复发；它的效果不能完全归于静坐本身。2016 年的个体数据元分析汇总了 9 项试验、1258 名患者：60 周内，接受正念认知疗法者相对未接受者，复发的危险比（hazard ratio，HR）为 0.69。它比较随访中尚未复发的人在某一时刻复发的速率，可以粗略理解为复发速率约低三成。换算成“每 100 人少几人复发”，还需要知道对照组的累计复发率。与其他主动治疗相比 HR 约 0.79（5 项试验），与抗抑郁药相比约 0.77（4 项试验），这三个数字来自不同的试验组合；在与所有非正念治疗的比较中，保护作用随随访时间延长而减弱；基线残留症状较重的人获益更明显</w:t>
      </w:r>
      <w:r>
        <w:rPr>
          <w:vertAlign w:val="superscript"/>
        </w:rPr>
        <w:t xml:space="preserve">[</w:t>
      </w:r>
      <w:hyperlink w:anchor="ref-985">
        <w:r>
          <w:rPr>
            <w:rStyle w:val="Hyperlink"/>
            <w:vertAlign w:val="superscript"/>
          </w:rPr>
          <w:t xml:space="preserve">985</w:t>
        </w:r>
      </w:hyperlink>
      <w:r>
        <w:rPr>
          <w:vertAlign w:val="superscript"/>
        </w:rPr>
        <w:t xml:space="preserve">]</w:t>
      </w:r>
      <w:r>
        <w:t xml:space="preserve">。观察到的复发人数是正念认知疗法组 596 人中 229 人（约 38%），比较组 662 人中 327 人（约 49%）；这些粗比例来自随访时长、删失和比较条件各不相同的试验，不能当作所有临床场景的统一绝对获益。与药物比较的四项试验里，有的是把正念认知疗法加在维持用药之上，再与单纯用药比较，合并的危险比反映“含正念认知疗法的治疗策略”相对“所用的药物策略”有小幅优势。这些试验并没有都在比较停药后的心理治疗与继续服药。迄今最直接的头对头试验 PREVENT 把 424 名正在服用维持剂量抗抑郁药的患者随机分到“正念认知疗法加逐步减药”或“继续服药”。试验按优效设计，检验前者是否更好；两年内复发时间没有检出差异（HR 0.89，95% 置信区间 0.67 到 1.18），两组分别有 94 人和 100 人复发（各 212 人）</w:t>
      </w:r>
      <w:r>
        <w:rPr>
          <w:vertAlign w:val="superscript"/>
        </w:rPr>
        <w:t xml:space="preserve">[</w:t>
      </w:r>
      <w:hyperlink w:anchor="ref-1147">
        <w:r>
          <w:rPr>
            <w:rStyle w:val="Hyperlink"/>
            <w:vertAlign w:val="superscript"/>
          </w:rPr>
          <w:t xml:space="preserve">1147</w:t>
        </w:r>
      </w:hyperlink>
      <w:r>
        <w:rPr>
          <w:vertAlign w:val="superscript"/>
        </w:rPr>
        <w:t xml:space="preserve">]</w:t>
      </w:r>
      <w:r>
        <w:t xml:space="preserve">。比较稳妥的表述是：24 个月内没有检出“正念认知疗法加减药支持”优于维持用药；置信区间既容许一定的优势，也容许一定的劣势，试验没有预设等效或非劣效界值，所以不能说两者疗效相当。两组复发比例约 44.3% 对 47.2%，粗略的差约 −2.8 个百分点，这个差的区间同样横跨获益与受损两侧，不宜由此算出一个确定的“需治疗人数”。随机进入减药支持组，不等于每个人都成功停了药，进入维持用药组也不保证人人长期遵从；意向治疗的估计首先回答的是“提供这两种照护策略”会有什么结果，依从、减药支持和后续管理都包含在里面。对希望逐步停药的患者，正念认知疗法是可以与医生讨论的选择之一；减药支持本身是方案的一部分。自行停药或改用录音练习，不能以这项结果为依据。“正念认知疗法让复发减半”超出了证据；“比抗抑郁药更好”只得到个体数据元分析中幅度不大、区间上限接近无差异的支持，其中还包括加用的设计，最大的头对头试验没有检出差异。</w:t>
      </w:r>
    </w:p>
    <w:p>
      <w:pPr>
        <w:pStyle w:val="BodyText"/>
      </w:pPr>
      <w:r>
        <w:t xml:space="preserve">另一个需要单独回答的问题，是已经学过正念认知疗法的人，继续维持药物是否仍有帮助。荷兰的一项随机试验把 249 名正在服用维持剂量抗抑郁药的复发性抑郁症患者随机分为两组，两组都参加正念认知疗法，一组在第七次课之后逐步减停药物，一组继续服药：15 个月里，减停组 128 人中 69 人（约 54%）复发，继续组 121 人中 47 人（约 39%），相对风险约 1.38（95% 置信区间 1.05 到 1.83），复发时间的危险比约 1.59（1.10 到 2.31），按预设的标准，减停策略没有达到非劣效</w:t>
      </w:r>
      <w:r>
        <w:rPr>
          <w:vertAlign w:val="superscript"/>
        </w:rPr>
        <w:t xml:space="preserve">[</w:t>
      </w:r>
      <w:hyperlink w:anchor="ref-1148">
        <w:r>
          <w:rPr>
            <w:rStyle w:val="Hyperlink"/>
            <w:vertAlign w:val="superscript"/>
          </w:rPr>
          <w:t xml:space="preserve">1148</w:t>
        </w:r>
      </w:hyperlink>
      <w:r>
        <w:rPr>
          <w:vertAlign w:val="superscript"/>
        </w:rPr>
        <w:t xml:space="preserve">]</w:t>
      </w:r>
      <w:r>
        <w:t xml:space="preserve">。分到减停组的人只有约一半实际完成了停药，两组的课程出勤率也不同，这项结果不能替所有缓慢、个体化的减药方案下结论；它表明，学过正念认知疗法本身，不足以保证停药后的保护不变。选择继续、联合还是减停，要结合既往复发、当前的残留症状、药物耐受、本人意愿和能获得的后续支持，保留监测和复发应对的计划，减药过程中还要分辨撤药症状与复发。</w:t>
      </w:r>
    </w:p>
    <w:p>
      <w:pPr>
        <w:pStyle w:val="BodyText"/>
      </w:pPr>
      <w:r>
        <w:t xml:space="preserve">英国国家卫生与临床优化研究所（NICE）2022 年的成人抑郁指南在两处提到正念。对较轻的抑郁，指南按临床与成本效果把 11 种治疗选择排序，团体正念与冥想课程排在第 7 位。这一顺序依据指南委员会对临床与成本效果的判断，也考虑了实施因素；指南同时说明表中各项都可以作为一线治疗，所以名次不能读成疗效高低的精确排序。对单用抗抑郁药后缓解、复发风险较高的人，指南（推荐条目 1.8.5）列出三种可考虑的做法：继续服药；不想继续服药的，改做一个疗程的团体认知行为疗法或正念认知疗法；或者继续服药的同时加做其中一种。2022 版较重抑郁的治疗选择表中没有列入正念方案</w:t>
      </w:r>
      <w:r>
        <w:rPr>
          <w:vertAlign w:val="superscript"/>
        </w:rPr>
        <w:t xml:space="preserve">[</w:t>
      </w:r>
      <w:hyperlink w:anchor="ref-1149">
        <w:r>
          <w:rPr>
            <w:rStyle w:val="Hyperlink"/>
            <w:vertAlign w:val="superscript"/>
          </w:rPr>
          <w:t xml:space="preserve">1149</w:t>
        </w:r>
      </w:hyperlink>
      <w:r>
        <w:rPr>
          <w:vertAlign w:val="superscript"/>
        </w:rPr>
        <w:t xml:space="preserve">]</w:t>
      </w:r>
      <w:r>
        <w:t xml:space="preserve">。指南的推荐强度、证据的确定性和本书的判断是三种不同的东西：指南允许选择某个方案，代表在临床收益、负担与资源之间做了权衡。这个方案是否在所有直接比较中都有高确定性的优势，是另一个问题。</w:t>
      </w:r>
    </w:p>
    <w:p>
      <w:pPr>
        <w:pStyle w:val="BodyText"/>
      </w:pPr>
      <w:r>
        <w:t xml:space="preserve">近年的证据开始涉及经过治疗仍未缓解的抑郁。2025 年一项英国试验招募了 234 名接受过足量心理治疗、症状仍未缓解的抑郁症患者，在常规治疗之外加上视频会议形式的正念认知疗法，随机分组后第 34 周，PHQ-9 抑郁量表（满分 27 分）的得分比只接受常规治疗者低约 2.5 分（95% 置信区间 1.1 到 3.9，效应量约 0.41），在英国国家医疗服务体系的成本与效用估计框架中有较好的成本效益结果</w:t>
      </w:r>
      <w:r>
        <w:rPr>
          <w:vertAlign w:val="superscript"/>
        </w:rPr>
        <w:t xml:space="preserve">[</w:t>
      </w:r>
      <w:hyperlink w:anchor="ref-1150">
        <w:r>
          <w:rPr>
            <w:rStyle w:val="Hyperlink"/>
            <w:vertAlign w:val="superscript"/>
          </w:rPr>
          <w:t xml:space="preserve">1150</w:t>
        </w:r>
      </w:hyperlink>
      <w:r>
        <w:rPr>
          <w:vertAlign w:val="superscript"/>
        </w:rPr>
        <w:t xml:space="preserve">]</w:t>
      </w:r>
      <w:r>
        <w:t xml:space="preserve">；课程成本、等待时间和支付意愿的阈值变了，结论可能不同，组间平均降低两三分，也不能自动转译成多数人达到无症状状态。2026 年的一项个体数据元分析找到 9 项符合条件的随机试验，取得其中 8 项的个人数据，主要分析纳入 7 项、777 名正处于抑郁发作且治疗无效、难治或病程慢性的患者（另有一项 50 人的试验联系不上作者，一项 18 人的试验因数据完整性问题排除在主要分析之外）。与常规治疗相比，正念认知疗法在治疗结束时的标准化效应约为 −0.40（95% 可信区间 −0.65 到 −0.16，预测区间约 −0.84 到 0.03，提醒在新的场景里真实效应可能接近零），中期随访时约为 −0.41（−0.76 到 −0.03），证据确定性为中等；与其他主动的心理社会干预相比没有检出优势（约 0.01，−0.56 到 0.63），证据确定性很低</w:t>
      </w:r>
      <w:r>
        <w:rPr>
          <w:vertAlign w:val="superscript"/>
        </w:rPr>
        <w:t xml:space="preserve">[</w:t>
      </w:r>
      <w:hyperlink w:anchor="ref-1151">
        <w:r>
          <w:rPr>
            <w:rStyle w:val="Hyperlink"/>
            <w:vertAlign w:val="superscript"/>
          </w:rPr>
          <w:t xml:space="preserve">1151</w:t>
        </w:r>
      </w:hyperlink>
      <w:r>
        <w:rPr>
          <w:vertAlign w:val="superscript"/>
        </w:rPr>
        <w:t xml:space="preserve">]</w:t>
      </w:r>
      <w:r>
        <w:t xml:space="preserve">。这项元分析纳入了上面那项 2025 年试验，与常规治疗比较的数据有很大一部分来自它，元分析的第一作者也是该试验的负责人，两者不能算作彼此独立的两次验证；随访越久缺失越多，治疗结束、中期和长期分别约有 13%、26% 和 33% 的数据缺失；治疗无效、难治和病程慢性这几种入组定义的临床含义也不完全相同。</w:t>
      </w:r>
    </w:p>
    <w:p>
      <w:pPr>
        <w:pStyle w:val="BodyText"/>
      </w:pPr>
      <w:r>
        <w:t xml:space="preserve">比较不同的心理治疗时，治疗强度和交付形式要一起看。英国的 LIGHTMind 试验在 10 家公立心理治疗服务机构招募了 410 名轻到中度抑郁的成人，比较两种都有从业者支持的自助方案：一组用正念认知疗法的自助手册，一组用认知行为疗法的自助手册，每组都提供 6 次辅导。随机分组后第 16 周，正念组的 PHQ-9 得分低约 1.5 分（95% 置信区间 0.4 到 2.6，效应量约 0.36），成本效益的估计也更有利；第 42 周的差值约 0.9 分，区间跨过零，多数次要结局的组间差异不显著</w:t>
      </w:r>
      <w:r>
        <w:rPr>
          <w:vertAlign w:val="superscript"/>
        </w:rPr>
        <w:t xml:space="preserve">[</w:t>
      </w:r>
      <w:hyperlink w:anchor="ref-1152">
        <w:r>
          <w:rPr>
            <w:rStyle w:val="Hyperlink"/>
            <w:vertAlign w:val="superscript"/>
          </w:rPr>
          <w:t xml:space="preserve">1152</w:t>
        </w:r>
      </w:hyperlink>
      <w:r>
        <w:rPr>
          <w:vertAlign w:val="superscript"/>
        </w:rPr>
        <w:t xml:space="preserve">]</w:t>
      </w:r>
      <w:r>
        <w:t xml:space="preserve">。几位作者在正念培训机构任职或有相关版税。这是两种低强度自助服务之间的比较，结果有助于选择这类服务，不足以支持“正念认知疗法优于完整的认知行为疗法”。把单次练习、自助手册、手机应用、标准团体课程和专业的个别治疗都叫作“正念”，临床比较就失去了明确的含义。</w:t>
      </w:r>
    </w:p>
    <w:p>
      <w:pPr>
        <w:pStyle w:val="BodyText"/>
      </w:pPr>
      <w:r>
        <w:t xml:space="preserve">焦虑方面，2023 年的 TAME 试验在美国三个中心把 276 名焦虑障碍患者随机分配到八周正念减压（136 人）或艾司西酞普兰（140 人，一种常用的抗抑郁、抗焦虑药），主要结局是不知分组的临床评估者打出的病情严重度评分。预先指定的主要分析基于 208 名按方案完成治疗者：两组改善幅度相近，差值为 −0.07（95% 置信区间 −0.38 到 0.23），区间下限 −0.38 高于预设的非劣效界值 −0.495，正念减压达到非劣效；用 50 套插补数据纳入全部随机者的意向治疗分析结论一致（−0.09，−0.39 到 0.20）。这个界值写在 2020 年 2 月发表的试验设计论文中，当时入组刚结束、结果尚未分析，论文称之为事先设定的界值；估算样本量时为保守起见按 −0.33 计算，目标是 368 人，疫情使招募停在 276 人，研究者与数据安全监察委员会和试验申办方讨论后确认沿用 −0.495，并在注册网站上作了说明。药物组 78.6% 报告至少一种与研究相关的不良事件，正念减压组为 15.4%；正念减压组最常见的相关不良事件是焦虑加重（13 人，约占实际参加课程者的 11%）；开始用药者中有 8% 因不良事件退出药物组，正念减压组没有人因此退出</w:t>
      </w:r>
      <w:r>
        <w:rPr>
          <w:vertAlign w:val="superscript"/>
        </w:rPr>
        <w:t xml:space="preserve">[</w:t>
      </w:r>
      <w:hyperlink w:anchor="ref-990">
        <w:r>
          <w:rPr>
            <w:rStyle w:val="Hyperlink"/>
            <w:vertAlign w:val="superscript"/>
          </w:rPr>
          <w:t xml:space="preserve">990</w:t>
        </w:r>
      </w:hyperlink>
      <w:r>
        <w:rPr>
          <w:vertAlign w:val="superscript"/>
        </w:rPr>
        <w:t xml:space="preserve">]</w:t>
      </w:r>
      <w:r>
        <w:t xml:space="preserve">。这些比例只能按该试验的定义、询问方式和时间窗来理解，药物的恶心、疲劳与冥想中的解离、现实感变化，被捕获的方式可能不同；两组投入的时间不同，授课、居家练习和随诊的时间也是治疗负担的一部分。非劣效界值是临床上愿意容许的最大劣势，界值以内仍可能存在疗效差异；按方案和意向治疗两种分析结论一致，增加了稳健性，两者都依赖缺失与依从的假设。局限同样清楚：线下阶段只有这一项试验，没有安慰剂组或候补组，无法量化各组相对不治疗的净获益，两组投入的时间和关注度不同，受试者知道自己在哪一组；试验排除了双相障碍、精神病性障碍、当前的创伤后应激障碍和物质使用障碍以及有明显自杀风险的患者，受试者以受教育程度较高的女性为主。主要终点在第八周；12 周和 24 周的随访中两组仍然相近，此时继续用药和继续练习的比例已经不同（24 周时分别约为 52% 和 28%），随访结果不能当作长期等效的证据。同一研究在疫情之后又招募了 202 人，100 人参加视频会议形式的正念减压，102 人接受远程管理的艾司西酞普兰：主要结局的平均改善约为 1.39 和 1.51，组间差异不显著（p = 0.17），但没有达到预设的非劣效标准</w:t>
      </w:r>
      <w:r>
        <w:rPr>
          <w:vertAlign w:val="superscript"/>
        </w:rPr>
        <w:t xml:space="preserve">[</w:t>
      </w:r>
      <w:hyperlink w:anchor="ref-1153">
        <w:r>
          <w:rPr>
            <w:rStyle w:val="Hyperlink"/>
            <w:vertAlign w:val="superscript"/>
          </w:rPr>
          <w:t xml:space="preserve">1153</w:t>
        </w:r>
      </w:hyperlink>
      <w:r>
        <w:rPr>
          <w:vertAlign w:val="superscript"/>
        </w:rPr>
        <w:t xml:space="preserve">]</w:t>
      </w:r>
      <w:r>
        <w:t xml:space="preserve">。没有达到非劣效标准，意味着试验无法排除远程课程比药物差出预设界值的可能；“远程课程更差”同样没有得到证明。论文还把视频课程与早期的线下课程做了比较，两者不是在同一时期随机分配的，疫情、招募和样本的差异都可能影响结果。两个阶段共用一个试验登记号和研究团队，样本不同，不能称为独立团队的重复；2024 年用原来 276 人数据发表的次要结局分析（第 8 周的自评和他评焦虑、抑郁和社会功能指标都没有组间差异，第 4 周时艾司西酞普兰组的自评焦虑和抑郁改善更多），连样本也没有增加</w:t>
      </w:r>
      <w:r>
        <w:rPr>
          <w:vertAlign w:val="superscript"/>
        </w:rPr>
        <w:t xml:space="preserve">[</w:t>
      </w:r>
      <w:hyperlink w:anchor="ref-1154">
        <w:r>
          <w:rPr>
            <w:rStyle w:val="Hyperlink"/>
            <w:vertAlign w:val="superscript"/>
          </w:rPr>
          <w:t xml:space="preserve">1154</w:t>
        </w:r>
      </w:hyperlink>
      <w:r>
        <w:rPr>
          <w:vertAlign w:val="superscript"/>
        </w:rPr>
        <w:t xml:space="preserve">]</w:t>
      </w:r>
      <w:r>
        <w:t xml:space="preserve">。所以，线下阶段支持八周特定结局上的非劣效，远程阶段没有建立同样的结论，交付方式、精度和外推还需要检验，现有结果不足以把任何形式的冥想都当作药物的可互换替代。另一项针对焦虑障碍的元分析发现，与认知行为疗法相比，正念减压的效果偏弱，正念认知疗法与接纳承诺疗法大体相当</w:t>
      </w:r>
      <w:r>
        <w:rPr>
          <w:vertAlign w:val="superscript"/>
        </w:rPr>
        <w:t xml:space="preserve">[</w:t>
      </w:r>
      <w:hyperlink w:anchor="ref-1155">
        <w:r>
          <w:rPr>
            <w:rStyle w:val="Hyperlink"/>
            <w:vertAlign w:val="superscript"/>
          </w:rPr>
          <w:t xml:space="preserve">1155</w:t>
        </w:r>
      </w:hyperlink>
      <w:r>
        <w:rPr>
          <w:vertAlign w:val="superscript"/>
        </w:rPr>
        <w:t xml:space="preserve">]</w:t>
      </w:r>
      <w:r>
        <w:t xml:space="preserve">。</w:t>
      </w:r>
    </w:p>
    <w:p>
      <w:pPr>
        <w:pStyle w:val="BodyText"/>
      </w:pPr>
      <w:r>
        <w:t xml:space="preserve">疼痛方面，2017 年的元分析纳入 38 项随机试验，正念冥想使慢性疼痛小幅减轻（标准化均数差约 0.32），证据质量为低；对抑郁情绪的改善证据更强</w:t>
      </w:r>
      <w:r>
        <w:rPr>
          <w:vertAlign w:val="superscript"/>
        </w:rPr>
        <w:t xml:space="preserve">[</w:t>
      </w:r>
      <w:hyperlink w:anchor="ref-1156">
        <w:r>
          <w:rPr>
            <w:rStyle w:val="Hyperlink"/>
            <w:vertAlign w:val="superscript"/>
          </w:rPr>
          <w:t xml:space="preserve">1156</w:t>
        </w:r>
      </w:hyperlink>
      <w:r>
        <w:rPr>
          <w:vertAlign w:val="superscript"/>
        </w:rPr>
        <w:t xml:space="preserve">]</w:t>
      </w:r>
      <w:r>
        <w:t xml:space="preserve">。2024 年对 21 项元分析的综合发现，在它的检索范围内，正念能减轻疼痛强度，对疼痛造成的生活干扰和失能没有明显作用，并且优势只在与被动对照比较时出现</w:t>
      </w:r>
      <w:r>
        <w:rPr>
          <w:vertAlign w:val="superscript"/>
        </w:rPr>
        <w:t xml:space="preserve">[</w:t>
      </w:r>
      <w:hyperlink w:anchor="ref-1157">
        <w:r>
          <w:rPr>
            <w:rStyle w:val="Hyperlink"/>
            <w:vertAlign w:val="superscript"/>
          </w:rPr>
          <w:t xml:space="preserve">1157</w:t>
        </w:r>
      </w:hyperlink>
      <w:r>
        <w:rPr>
          <w:vertAlign w:val="superscript"/>
        </w:rPr>
        <w:t xml:space="preserve">]</w:t>
      </w:r>
      <w:r>
        <w:t xml:space="preserve">。疼痛结局要区分强度与日常干扰。2024 年的 LAMP 试验在美国退伍军人医疗体系中，把 811 名慢性疼痛患者随机分到远程小组正念课程、自定进度的线上正念课程或通常照护，一年内随访三次：与通常照护相比，疼痛干扰在三次随访中的平均改善分别多约 0.4 和 0.7 分（标准化效应约 0.2 和 0.4），一年时小组课程与通常照护的差异不再显著</w:t>
      </w:r>
      <w:r>
        <w:rPr>
          <w:vertAlign w:val="superscript"/>
        </w:rPr>
        <w:t xml:space="preserve">[</w:t>
      </w:r>
      <w:hyperlink w:anchor="ref-1158">
        <w:r>
          <w:rPr>
            <w:rStyle w:val="Hyperlink"/>
            <w:vertAlign w:val="superscript"/>
          </w:rPr>
          <w:t xml:space="preserve">1158</w:t>
        </w:r>
      </w:hyperlink>
      <w:r>
        <w:rPr>
          <w:vertAlign w:val="superscript"/>
        </w:rPr>
        <w:t xml:space="preserve">]</w:t>
      </w:r>
      <w:r>
        <w:t xml:space="preserve">。它补充了这类综述较少捕捉到的功能相关证据；由于没有同等强度的主动心理治疗组，正念是否优于成熟的心理治疗，这项试验回答不了，结果也不一定能推广到其他慢性疼痛人群。对慢性痛而言，能否工作、活动和睡眠，是否减少用药相关的问题，往往与痛觉强度同样重要。一项 342 人的随机试验中，正念减压与认知行为疗法对慢性腰痛的改善都优于常规照护，两者之间没有检出差异；试验没有设定等效界值，不能据此说两者“相当”</w:t>
      </w:r>
      <w:r>
        <w:rPr>
          <w:vertAlign w:val="superscript"/>
        </w:rPr>
        <w:t xml:space="preserve">[</w:t>
      </w:r>
      <w:hyperlink w:anchor="ref-1159">
        <w:r>
          <w:rPr>
            <w:rStyle w:val="Hyperlink"/>
            <w:vertAlign w:val="superscript"/>
          </w:rPr>
          <w:t xml:space="preserve">1159</w:t>
        </w:r>
      </w:hyperlink>
      <w:r>
        <w:rPr>
          <w:vertAlign w:val="superscript"/>
        </w:rPr>
        <w:t xml:space="preserve">]</w:t>
      </w:r>
      <w:r>
        <w:t xml:space="preserve">。2025 年一项 770 名长期服用阿片类药物的慢性腰痛患者参加的随机试验，原本检验正念疗法是否优于认知行为疗法，这一优效假设没有得到支持：6 个月和 12 个月时，两组在疼痛和功能上的差异都很小，点估计略偏向认知行为疗法。数据收集结束后，研究者在不知道结果的情况下补充了一份非劣效分析计划，论文称之为事后分析；按疼痛评分 0.8 分、功能评分 8 分的界值，正念疗法达到非劣效；这两个界值在临床上是否可以接受，需要原方案给出理由，统计上排除大于界值的劣势，也不意味着两种方案在每个维度上都可以互换。6 个月和 12 个月时分别只有约 70% 和 65% 的人提供了主要结局数据，研究也没有常规照护组；两组的阿片用量在对数尺度上都有下降，组间没有差异</w:t>
      </w:r>
      <w:r>
        <w:rPr>
          <w:vertAlign w:val="superscript"/>
        </w:rPr>
        <w:t xml:space="preserve">[</w:t>
      </w:r>
      <w:hyperlink w:anchor="ref-1160">
        <w:r>
          <w:rPr>
            <w:rStyle w:val="Hyperlink"/>
            <w:vertAlign w:val="superscript"/>
          </w:rPr>
          <w:t xml:space="preserve">1160</w:t>
        </w:r>
      </w:hyperlink>
      <w:r>
        <w:rPr>
          <w:vertAlign w:val="superscript"/>
        </w:rPr>
        <w:t xml:space="preserve">]</w:t>
      </w:r>
      <w:r>
        <w:t xml:space="preserve">；用量的分布高度偏斜，对数尺度上的下降不能换算成每个人减少同样的毫克数。按事后补充的分析，这项试验支持在这一人群中排除超过所设界值的劣势；两组的前后改善有多少来自治疗本身，需要设有常规照护组的试验来回答。实验室研究显示，正念冥想对实验性热痛的镇痛效果超过安慰剂药膏和“假冥想”，脑活动模式也与安慰剂不同</w:t>
      </w:r>
      <w:r>
        <w:rPr>
          <w:vertAlign w:val="superscript"/>
        </w:rPr>
        <w:t xml:space="preserve">[</w:t>
      </w:r>
      <w:hyperlink w:anchor="ref-968">
        <w:r>
          <w:rPr>
            <w:rStyle w:val="Hyperlink"/>
            <w:vertAlign w:val="superscript"/>
          </w:rPr>
          <w:t xml:space="preserve">968</w:t>
        </w:r>
      </w:hyperlink>
      <w:r>
        <w:rPr>
          <w:vertAlign w:val="superscript"/>
        </w:rPr>
        <w:t xml:space="preserve">]</w:t>
      </w:r>
      <w:r>
        <w:t xml:space="preserve">；实验性热痛能提供急性痛觉调制的机制线索。长期病情缓解、恢复工作能力或降低阿片相关的死亡，需要临床结局来证明。这些结果来自同一个实验室，受试者是接受短期训练的健康志愿者。同一团队合并 5 项试验、245 人的分析发现，正念冥想的镇痛效果仍然大于只做慢呼吸的假冥想，呼吸变慢在两种冥想中都部分介导了镇痛</w:t>
      </w:r>
      <w:r>
        <w:rPr>
          <w:vertAlign w:val="superscript"/>
        </w:rPr>
        <w:t xml:space="preserve">[</w:t>
      </w:r>
      <w:hyperlink w:anchor="ref-1161">
        <w:r>
          <w:rPr>
            <w:rStyle w:val="Hyperlink"/>
            <w:vertAlign w:val="superscript"/>
          </w:rPr>
          <w:t xml:space="preserve">1161</w:t>
        </w:r>
      </w:hyperlink>
      <w:r>
        <w:rPr>
          <w:vertAlign w:val="superscript"/>
        </w:rPr>
        <w:t xml:space="preserve">]</w:t>
      </w:r>
      <w:r>
        <w:t xml:space="preserve">。这一分解来自中介模型的估计。干预经过随机分配。呼吸的变化是干预之后测到的中介，共同的心理状态或测量因素不能完全排除；受试者对止痛效果的预期也有贡献</w:t>
      </w:r>
      <w:r>
        <w:rPr>
          <w:vertAlign w:val="superscript"/>
        </w:rPr>
        <w:t xml:space="preserve">[</w:t>
      </w:r>
      <w:hyperlink w:anchor="ref-1162">
        <w:r>
          <w:rPr>
            <w:rStyle w:val="Hyperlink"/>
            <w:vertAlign w:val="superscript"/>
          </w:rPr>
          <w:t xml:space="preserve">1162</w:t>
        </w:r>
      </w:hyperlink>
      <w:r>
        <w:rPr>
          <w:vertAlign w:val="superscript"/>
        </w:rPr>
        <w:t xml:space="preserve">]</w:t>
      </w:r>
      <w:r>
        <w:t xml:space="preserve">。</w:t>
      </w:r>
    </w:p>
    <w:p>
      <w:pPr>
        <w:pStyle w:val="BodyText"/>
      </w:pPr>
      <w:r>
        <w:t xml:space="preserve">癌症患者的支持照护是另一个具体的应用场景。2023 年美国整合肿瘤学会与美国临床肿瘤学会联合发布的指南，针对成年癌症患者的焦虑和抑郁症状，建议在治疗期间和治疗之后都提供正念类干预，四条推荐的证据质量和推荐强度都标为高和强</w:t>
      </w:r>
      <w:r>
        <w:rPr>
          <w:vertAlign w:val="superscript"/>
        </w:rPr>
        <w:t xml:space="preserve">[</w:t>
      </w:r>
      <w:hyperlink w:anchor="ref-1163">
        <w:r>
          <w:rPr>
            <w:rStyle w:val="Hyperlink"/>
            <w:vertAlign w:val="superscript"/>
          </w:rPr>
          <w:t xml:space="preserve">1163</w:t>
        </w:r>
      </w:hyperlink>
      <w:r>
        <w:rPr>
          <w:vertAlign w:val="superscript"/>
        </w:rPr>
        <w:t xml:space="preserve">]</w:t>
      </w:r>
      <w:r>
        <w:t xml:space="preserve">。它针对症状的支持照护。正念能抑制肿瘤、增强抗癌免疫、延长生存或替代抗肿瘤治疗，这些说法都不能据此成立。</w:t>
      </w:r>
    </w:p>
    <w:p>
      <w:pPr>
        <w:pStyle w:val="CalloutJudgment"/>
      </w:pPr>
      <w:r>
        <w:rPr>
          <w:bCs/>
          <w:b/>
        </w:rPr>
        <w:t xml:space="preserve">判断　</w:t>
      </w:r>
      <w:r>
        <w:t xml:space="preserve">“正念认知疗法能降低抑郁复发风险”</w:t>
      </w:r>
      <w:r>
        <w:rPr>
          <w:bCs/>
          <w:b/>
        </w:rPr>
        <w:t xml:space="preserve">成立·高</w:t>
      </w:r>
      <w:r>
        <w:t xml:space="preserve">：限于反复发作、处在缓解期的患者和标准课程，幅度随对照和基线风险而变；“含正念认知疗法的治疗策略比单纯的药物策略复发更少”</w:t>
      </w:r>
      <w:r>
        <w:rPr>
          <w:bCs/>
          <w:b/>
        </w:rPr>
        <w:t xml:space="preserve">部分成立·低</w:t>
      </w:r>
      <w:r>
        <w:t xml:space="preserve">：汇总分析中有小幅优势，其中包括加用的设计，最大的头对头试验没有检出差异；“学过正念认知疗法就可以安全停药”</w:t>
      </w:r>
      <w:r>
        <w:rPr>
          <w:bCs/>
          <w:b/>
        </w:rPr>
        <w:t xml:space="preserve">错误·中</w:t>
      </w:r>
      <w:r>
        <w:t xml:space="preserve">：直接比较的试验中，减停组复发更多；“正念认知疗法能改善治疗后仍未缓解的抑郁”</w:t>
      </w:r>
      <w:r>
        <w:rPr>
          <w:bCs/>
          <w:b/>
        </w:rPr>
        <w:t xml:space="preserve">部分成立·中</w:t>
      </w:r>
      <w:r>
        <w:t xml:space="preserve">：加在常规治疗之上的证据确定性为中等，与其他主动的心理社会干预相比没有检出优势；“正念减压对焦虑障碍的效果不逊于一线药物”</w:t>
      </w:r>
      <w:r>
        <w:rPr>
          <w:bCs/>
          <w:b/>
        </w:rPr>
        <w:t xml:space="preserve">部分成立·中</w:t>
      </w:r>
      <w:r>
        <w:t xml:space="preserve">：线下八周课程在一项试验的主要终点上达到非劣效，远程阶段没有建立非劣效，不宜对整类药物、所有焦虑障碍和所有交付方式给一个统一的结论；“正念能治愈慢性疼痛”</w:t>
      </w:r>
      <w:r>
        <w:rPr>
          <w:bCs/>
          <w:b/>
        </w:rPr>
        <w:t xml:space="preserve">错误·高</w:t>
      </w:r>
      <w:r>
        <w:t xml:space="preserve">；“正念类干预能减轻成年癌症患者的焦虑和抑郁症状”</w:t>
      </w:r>
      <w:r>
        <w:rPr>
          <w:bCs/>
          <w:b/>
        </w:rPr>
        <w:t xml:space="preserve">成立·中</w:t>
      </w:r>
      <w:r>
        <w:t xml:space="preserve">：指南的推荐强度高，效果针对的是症状，比较对象和长期结局还要按具体试验来看；“正念能抑制肿瘤或延长癌症患者的生存”</w:t>
      </w:r>
      <w:r>
        <w:rPr>
          <w:bCs/>
          <w:b/>
        </w:rPr>
        <w:t xml:space="preserve">证据不足·中</w:t>
      </w:r>
      <w:r>
        <w:t xml:space="preserve">。</w:t>
      </w:r>
    </w:p>
    <w:bookmarkEnd w:id="1841"/>
    <w:bookmarkStart w:id="1842" w:name="sec-117-3"/>
    <w:p>
      <w:pPr>
        <w:pStyle w:val="Heading3"/>
      </w:pPr>
      <w:r>
        <w:t xml:space="preserve">117.3　成瘾、睡眠、血压与生物指标</w:t>
      </w:r>
    </w:p>
    <w:p>
      <w:pPr>
        <w:pStyle w:val="FirstParagraph"/>
      </w:pPr>
      <w:r>
        <w:t xml:space="preserve">成瘾方面，2022 年一项随机试验在美国犹他州的基层医疗机构招募了 250 名长期使用阿片类止痛药并存在误用的慢性疼痛患者。九个月时，在仍有数据的人中，“正念导向的康复增强”（MORE，结合了正念、认知重评和品味积极体验等成分）组不再误用的比例为 45%（80 人中 36 人），支持性团体治疗组为 24%（78 人中 19 人），MORE 组的疼痛也改善更多</w:t>
      </w:r>
      <w:r>
        <w:rPr>
          <w:vertAlign w:val="superscript"/>
        </w:rPr>
        <w:t xml:space="preserve">[</w:t>
      </w:r>
      <w:hyperlink w:anchor="ref-1164">
        <w:r>
          <w:rPr>
            <w:rStyle w:val="Hyperlink"/>
            <w:vertAlign w:val="superscript"/>
          </w:rPr>
          <w:t xml:space="preserve">1164</w:t>
        </w:r>
      </w:hyperlink>
      <w:r>
        <w:rPr>
          <w:vertAlign w:val="superscript"/>
        </w:rPr>
        <w:t xml:space="preserve">]</w:t>
      </w:r>
      <w:r>
        <w:t xml:space="preserve">；这两个比例的分母是该时点有数据的人，全部随机者中约 37% 在随访中缺失，论文的主要估计来自纳入全部时点的纵向模型，这两个原始比例不能直接用来算全部随机者的“需治疗人数”。是否不再误用、误用量表的分数、实际的用药剂量、阿片使用障碍的诊断、过量和死亡是不同的结局：在医生指导下减少止痛药剂量，不能直接证明成瘾得到缓解，量表分数下降也不能自动转换成过量风险降低。这一系列试验都由该疗法的开发者主持；2024 年一项纳入 230 名美国现役与退役军人的试验发现，MORE 降低了疼痛干扰和用药剂量，以量表评分衡量的阿片误用与对照组没有总体差异</w:t>
      </w:r>
      <w:r>
        <w:rPr>
          <w:vertAlign w:val="superscript"/>
        </w:rPr>
        <w:t xml:space="preserve">[</w:t>
      </w:r>
      <w:hyperlink w:anchor="ref-1165">
        <w:r>
          <w:rPr>
            <w:rStyle w:val="Hyperlink"/>
            <w:vertAlign w:val="superscript"/>
          </w:rPr>
          <w:t xml:space="preserve">1165</w:t>
        </w:r>
      </w:hyperlink>
      <w:r>
        <w:rPr>
          <w:vertAlign w:val="superscript"/>
        </w:rPr>
        <w:t xml:space="preserve">]</w:t>
      </w:r>
      <w:r>
        <w:t xml:space="preserve">；授课从面对面转到视频不是随机分配的，面对面子组的结果证明不了面对面优于远程。开发者的利益和理论立场值得披露，单凭开发者身份否定不了随机比较；要提高确定性，需要独立团队、清楚登记的临床终点、同等强度的对照、完整的随访和可重用的数据。戒烟方面，2011 年一项 88 人的小试验发现，正念训练组 17 周时的戒烟率高于标准戒烟课程（31% 对 6%）</w:t>
      </w:r>
      <w:r>
        <w:rPr>
          <w:vertAlign w:val="superscript"/>
        </w:rPr>
        <w:t xml:space="preserve">[</w:t>
      </w:r>
      <w:hyperlink w:anchor="ref-1166">
        <w:r>
          <w:rPr>
            <w:rStyle w:val="Hyperlink"/>
            <w:vertAlign w:val="superscript"/>
          </w:rPr>
          <w:t xml:space="preserve">1166</w:t>
        </w:r>
      </w:hyperlink>
      <w:r>
        <w:rPr>
          <w:vertAlign w:val="superscript"/>
        </w:rPr>
        <w:t xml:space="preserve">]</w:t>
      </w:r>
      <w:r>
        <w:t xml:space="preserve">。这个终点只有 17 周，短于 Cochrane 综述要求的至少六个月。后续研究没有建立相同的稳定长期优势：同一团队的手机应用版本与对照没有差异</w:t>
      </w:r>
      <w:r>
        <w:rPr>
          <w:vertAlign w:val="superscript"/>
        </w:rPr>
        <w:t xml:space="preserve">[</w:t>
      </w:r>
      <w:hyperlink w:anchor="ref-1167">
        <w:r>
          <w:rPr>
            <w:rStyle w:val="Hyperlink"/>
            <w:vertAlign w:val="superscript"/>
          </w:rPr>
          <w:t xml:space="preserve">1167</w:t>
        </w:r>
      </w:hyperlink>
      <w:r>
        <w:rPr>
          <w:vertAlign w:val="superscript"/>
        </w:rPr>
        <w:t xml:space="preserve">]</w:t>
      </w:r>
      <w:r>
        <w:t xml:space="preserve">（形式不同，不算直接重复）；2022 年的 Cochrane 系统综述纳入 21 项研究、八千余人，这是一个包括正念训练、接纳承诺疗法、瑜伽和痛苦耐受训练的广义集合，直接比较正念训练与强度相当的戒烟治疗的只有 3 项研究、542 人，相对风险 0.99（95% 置信区间 0.67 到 1.46），证据确定性低，这个区间同时容许一定的获益和一定的劣势，不能据八千人的总样本把“正念没有任何戒烟效果”写成高精度的定论</w:t>
      </w:r>
      <w:r>
        <w:rPr>
          <w:vertAlign w:val="superscript"/>
        </w:rPr>
        <w:t xml:space="preserve">[</w:t>
      </w:r>
      <w:hyperlink w:anchor="ref-1168">
        <w:r>
          <w:rPr>
            <w:rStyle w:val="Hyperlink"/>
            <w:vertAlign w:val="superscript"/>
          </w:rPr>
          <w:t xml:space="preserve">1168</w:t>
        </w:r>
      </w:hyperlink>
      <w:r>
        <w:rPr>
          <w:vertAlign w:val="superscript"/>
        </w:rPr>
        <w:t xml:space="preserve">]</w:t>
      </w:r>
      <w:r>
        <w:t xml:space="preserve">。2023 年一项 213 人的手机应用试验，与时间匹配的注意对照相比，戒烟后 28 天内的不吸烟天数有有利的信号（全部随机者中的优势比约 1.9，区间刚好跨过 1），第 4 周的七日点戒烟率没有显著差异，结局为自报，也没有更长的随访</w:t>
      </w:r>
      <w:r>
        <w:rPr>
          <w:vertAlign w:val="superscript"/>
        </w:rPr>
        <w:t xml:space="preserve">[</w:t>
      </w:r>
      <w:hyperlink w:anchor="ref-1169">
        <w:r>
          <w:rPr>
            <w:rStyle w:val="Hyperlink"/>
            <w:vertAlign w:val="superscript"/>
          </w:rPr>
          <w:t xml:space="preserve">1169</w:t>
        </w:r>
      </w:hyperlink>
      <w:r>
        <w:rPr>
          <w:vertAlign w:val="superscript"/>
        </w:rPr>
        <w:t xml:space="preserve">]</w:t>
      </w:r>
      <w:r>
        <w:t xml:space="preserve">；它补充了短期过程的信息。持续戒烟的长期优势，这项试验建立不了。</w:t>
      </w:r>
    </w:p>
    <w:p>
      <w:pPr>
        <w:pStyle w:val="BodyText"/>
      </w:pPr>
      <w:r>
        <w:t xml:space="preserve">睡眠方面，一项只纳入主动对照的元分析显示，正念冥想改善睡眠质量的效果优于非特异对照，与专门的睡眠治疗相比，治疗后的效应量约 0.03（95% 置信区间 −0.43 到 0.49），没有检出明确差异，精度也不足以建立等效</w:t>
      </w:r>
      <w:r>
        <w:rPr>
          <w:vertAlign w:val="superscript"/>
        </w:rPr>
        <w:t xml:space="preserve">[</w:t>
      </w:r>
      <w:hyperlink w:anchor="ref-1170">
        <w:r>
          <w:rPr>
            <w:rStyle w:val="Hyperlink"/>
            <w:vertAlign w:val="superscript"/>
          </w:rPr>
          <w:t xml:space="preserve">1170</w:t>
        </w:r>
      </w:hyperlink>
      <w:r>
        <w:rPr>
          <w:vertAlign w:val="superscript"/>
        </w:rPr>
        <w:t xml:space="preserve">]</w:t>
      </w:r>
      <w:r>
        <w:t xml:space="preserve">。这类研究多用自评睡眠质量，与临床失眠障碍的治疗是两个问题：美国睡眠医学会 2021 年的慢性失眠行为治疗指南强烈推荐多成分的失眠认知行为疗法，正念因为符合纳入标准的研究不足三项，没有获得推荐</w:t>
      </w:r>
      <w:r>
        <w:rPr>
          <w:vertAlign w:val="superscript"/>
        </w:rPr>
        <w:t xml:space="preserve">[</w:t>
      </w:r>
      <w:hyperlink w:anchor="ref-547">
        <w:r>
          <w:rPr>
            <w:rStyle w:val="Hyperlink"/>
            <w:vertAlign w:val="superscript"/>
          </w:rPr>
          <w:t xml:space="preserve">547</w:t>
        </w:r>
      </w:hyperlink>
      <w:r>
        <w:rPr>
          <w:vertAlign w:val="superscript"/>
        </w:rPr>
        <w:t xml:space="preserve">]</w:t>
      </w:r>
      <w:r>
        <w:t xml:space="preserve">；这是证据不足时的判断。正念对失眠是否无效，指南并没有下结论。美国退伍军人事务部与国防部 2025 年的失眠指南，对包括正念冥想在内的几种练习仍是“证据不足，不推荐也不反对”，这一条标注为“未重新评审、修订表述”，依据的仍是以前的证据审查</w:t>
      </w:r>
      <w:r>
        <w:rPr>
          <w:vertAlign w:val="superscript"/>
        </w:rPr>
        <w:t xml:space="preserve">[</w:t>
      </w:r>
      <w:hyperlink w:anchor="ref-1171">
        <w:r>
          <w:rPr>
            <w:rStyle w:val="Hyperlink"/>
            <w:vertAlign w:val="superscript"/>
          </w:rPr>
          <w:t xml:space="preserve">1171</w:t>
        </w:r>
      </w:hyperlink>
      <w:r>
        <w:rPr>
          <w:vertAlign w:val="superscript"/>
        </w:rPr>
        <w:t xml:space="preserve">]</w:t>
      </w:r>
      <w:r>
        <w:t xml:space="preserve">。适配失眠的正念课程如果同时加入了刺激控制、睡眠限制等技术，要把组成写清楚，否则联合课程的效果会被归给静坐；睡眠的改善与少数人的冥想相关持续失眠也可以同时存在。心血管方面，美国心脏协会 2017 年的科学声明认为，现有研究的数量和质量都有限，冥想可以作为指南推荐措施之外的辅助手段来考虑</w:t>
      </w:r>
      <w:r>
        <w:rPr>
          <w:vertAlign w:val="superscript"/>
        </w:rPr>
        <w:t xml:space="preserve">[</w:t>
      </w:r>
      <w:hyperlink w:anchor="ref-1172">
        <w:r>
          <w:rPr>
            <w:rStyle w:val="Hyperlink"/>
            <w:vertAlign w:val="superscript"/>
          </w:rPr>
          <w:t xml:space="preserve">1172</w:t>
        </w:r>
      </w:hyperlink>
      <w:r>
        <w:rPr>
          <w:vertAlign w:val="superscript"/>
        </w:rPr>
        <w:t xml:space="preserve">]</w:t>
      </w:r>
      <w:r>
        <w:t xml:space="preserve">。2025 年美国心脏协会、美国心脏病学会等联合发布的高血压指南，把超觉静坐列为生活方式或药物之外“可以考虑”的辅助减压措施（推荐级别 2b），呼吸控制、瑜伽等其他压力管理方式也是这一级别</w:t>
      </w:r>
      <w:r>
        <w:rPr>
          <w:vertAlign w:val="superscript"/>
        </w:rPr>
        <w:t xml:space="preserve">[</w:t>
      </w:r>
      <w:hyperlink w:anchor="ref-1173">
        <w:r>
          <w:rPr>
            <w:rStyle w:val="Hyperlink"/>
            <w:vertAlign w:val="superscript"/>
          </w:rPr>
          <w:t xml:space="preserve">1173</w:t>
        </w:r>
      </w:hyperlink>
      <w:r>
        <w:rPr>
          <w:vertAlign w:val="superscript"/>
        </w:rPr>
        <w:t xml:space="preserve">]</w:t>
      </w:r>
      <w:r>
        <w:t xml:space="preserve">；这条推荐针对指南列出的具体方法。把它移植成“所有正念方法都受到强推荐”，并不成立。2026 年的一项伞状综述发现，纳入的综述大多质量偏低；其中唯一的高质量 Cochrane 综述显示，与不做主动干预的对照相比，收缩压约降 6.6 毫米汞柱、舒张压约降 3.4 毫米汞柱；与主动对照相比，收缩压的估计降幅约 6.1 毫米汞柱，95% 置信区间从降 12.8 到升 0.6，没有统计学意义</w:t>
      </w:r>
      <w:r>
        <w:rPr>
          <w:vertAlign w:val="superscript"/>
        </w:rPr>
        <w:t xml:space="preserve">[</w:t>
      </w:r>
      <w:hyperlink w:anchor="ref-1174">
        <w:r>
          <w:rPr>
            <w:rStyle w:val="Hyperlink"/>
            <w:vertAlign w:val="superscript"/>
          </w:rPr>
          <w:t xml:space="preserve">1174</w:t>
        </w:r>
      </w:hyperlink>
      <w:r>
        <w:rPr>
          <w:vertAlign w:val="superscript"/>
        </w:rPr>
        <w:t xml:space="preserve">]</w:t>
      </w:r>
      <w:r>
        <w:t xml:space="preserve">。这里不能把 Cochrane 综述方法学质量高理解为降压效果有高确定性：前者评价综述做得是否规范，后者要看具体效果估计的可信度，原始研究小而异质时，两者可以差别很大。一项 201 名血压偏高者参加的二期随机试验（合并了两项先后登记的小试验）中，针对血压改编的正念课程同时包含饮食、运动等健康行为内容，与强化常规照护相比，6 个月时诊室收缩压的组间差值为 −4.5 毫米汞柱（95% 置信区间 −9.0 到 −0.1，p = 0.045），这是预先设定的未调整分析；6 个月时实际有血压数据的只有 132 人，疫情和失访造成了大量缺失。事后按分层因素调整后为 −4.3（−8.7 到 0.1），用多重插补处理缺失后为 −5.3（−10.9 到 0.2），区间都跨过零</w:t>
      </w:r>
      <w:r>
        <w:rPr>
          <w:vertAlign w:val="superscript"/>
        </w:rPr>
        <w:t xml:space="preserve">[</w:t>
      </w:r>
      <w:hyperlink w:anchor="ref-1175">
        <w:r>
          <w:rPr>
            <w:rStyle w:val="Hyperlink"/>
            <w:vertAlign w:val="superscript"/>
          </w:rPr>
          <w:t xml:space="preserve">1175</w:t>
        </w:r>
      </w:hyperlink>
      <w:r>
        <w:rPr>
          <w:vertAlign w:val="superscript"/>
        </w:rPr>
        <w:t xml:space="preserve">]</w:t>
      </w:r>
      <w:r>
        <w:t xml:space="preserve">。两项试验的注册中，主要结局还包括饮食评分和内感受觉察，同一团队的另一篇论文写明，若按这三个主要结局校正，显著性阈值会降到约 0.017</w:t>
      </w:r>
      <w:r>
        <w:rPr>
          <w:vertAlign w:val="superscript"/>
        </w:rPr>
        <w:t xml:space="preserve">[</w:t>
      </w:r>
      <w:hyperlink w:anchor="ref-1176">
        <w:r>
          <w:rPr>
            <w:rStyle w:val="Hyperlink"/>
            <w:vertAlign w:val="superscript"/>
          </w:rPr>
          <w:t xml:space="preserve">1176</w:t>
        </w:r>
      </w:hyperlink>
      <w:r>
        <w:rPr>
          <w:vertAlign w:val="superscript"/>
        </w:rPr>
        <w:t xml:space="preserve">]</w:t>
      </w:r>
      <w:r>
        <w:t xml:space="preserve">。这些结果方向一致，三个区间都宽，从有临床意义的降压到接近零都包括在内；约三分之一的人缺少六个月的实测血压，插补依赖缺失机制的假设。即便效果属实，它来自包含饮食和运动教育的整套课程，饮食、运动和依从的改善本来就可能是课程有价值的作用路径，要识别静坐的独立贡献，才需要额外的拆解设计；它也不能与降压药的效果直接对比。诊室血压、家庭或 24 小时动态血压、长期的用药需求、心血管事件和死亡不在同一个确定性等级上，现有证据主要涉及短期的替代指标。减少心梗、卒中或死亡的绝对获益还没有可靠估计，某个血压降幅也不能直接代入药物事件试验的风险降低比例。炎症与应激生物指标方面，只纳入随机试验数据的元分析发现效应很小、处在统计显著的边缘，并存在发表偏倚</w:t>
      </w:r>
      <w:r>
        <w:rPr>
          <w:vertAlign w:val="superscript"/>
        </w:rPr>
        <w:t xml:space="preserve">[</w:t>
      </w:r>
      <w:hyperlink w:anchor="ref-1078">
        <w:r>
          <w:rPr>
            <w:rStyle w:val="Hyperlink"/>
            <w:vertAlign w:val="superscript"/>
          </w:rPr>
          <w:t xml:space="preserve">1078</w:t>
        </w:r>
      </w:hyperlink>
      <w:r>
        <w:rPr>
          <w:vertAlign w:val="superscript"/>
        </w:rPr>
        <w:t xml:space="preserve">]</w:t>
      </w:r>
      <w:r>
        <w:t xml:space="preserve">（皮质醇见</w:t>
      </w:r>
      <w:r>
        <w:t xml:space="preserve"> </w:t>
      </w:r>
      <w:hyperlink w:anchor="sec-112-5">
        <w:r>
          <w:rPr>
            <w:rStyle w:val="Hyperlink"/>
          </w:rPr>
          <w:t xml:space="preserve">112.5</w:t>
        </w:r>
      </w:hyperlink>
      <w:r>
        <w:t xml:space="preserve">，炎症见</w:t>
      </w:r>
      <w:r>
        <w:t xml:space="preserve"> </w:t>
      </w:r>
      <w:hyperlink w:anchor="sec-112-10">
        <w:r>
          <w:rPr>
            <w:rStyle w:val="Hyperlink"/>
          </w:rPr>
          <w:t xml:space="preserve">112.10</w:t>
        </w:r>
      </w:hyperlink>
      <w:r>
        <w:t xml:space="preserve">）。</w:t>
      </w:r>
    </w:p>
    <w:p>
      <w:pPr>
        <w:pStyle w:val="CalloutJudgment"/>
      </w:pPr>
      <w:r>
        <w:rPr>
          <w:bCs/>
          <w:b/>
        </w:rPr>
        <w:t xml:space="preserve">判断　</w:t>
      </w:r>
      <w:r>
        <w:t xml:space="preserve">“正念能帮助减少阿片类药物误用”</w:t>
      </w:r>
      <w:r>
        <w:rPr>
          <w:bCs/>
          <w:b/>
        </w:rPr>
        <w:t xml:space="preserve">部分成立·低</w:t>
      </w:r>
      <w:r>
        <w:t xml:space="preserve">：阳性结果主要来自开发者团队，误用率、量表分数和用药剂量是不同的结局；“正念戒烟效果优于标准课程”</w:t>
      </w:r>
      <w:r>
        <w:rPr>
          <w:bCs/>
          <w:b/>
        </w:rPr>
        <w:t xml:space="preserve">不成立·中</w:t>
      </w:r>
      <w:r>
        <w:t xml:space="preserve">：与强度相当的治疗相比没有检出优势，区间宽，确定性低；“正念能改善部分成人的自评睡眠质量”</w:t>
      </w:r>
      <w:r>
        <w:rPr>
          <w:bCs/>
          <w:b/>
        </w:rPr>
        <w:t xml:space="preserve">部分成立·中</w:t>
      </w:r>
      <w:r>
        <w:t xml:space="preserve">：效果随对照而变；“正念能独立治疗慢性失眠”“正念与失眠认知行为疗法等效或更好”</w:t>
      </w:r>
      <w:r>
        <w:rPr>
          <w:bCs/>
          <w:b/>
        </w:rPr>
        <w:t xml:space="preserve">证据不足·中</w:t>
      </w:r>
      <w:r>
        <w:t xml:space="preserve">：临床指南没有推荐它治疗慢性失眠；“正念或冥想课程能小幅降低血压”</w:t>
      </w:r>
      <w:r>
        <w:rPr>
          <w:bCs/>
          <w:b/>
        </w:rPr>
        <w:t xml:space="preserve">部分成立·低</w:t>
      </w:r>
      <w:r>
        <w:t xml:space="preserve">：证据主要是短期的诊室血压，相对主动对照不显著，单项试验的调整和插补分析区间跨零，缺少心血管事件结局；“冥想降压效果堪比药物”</w:t>
      </w:r>
      <w:r>
        <w:rPr>
          <w:bCs/>
          <w:b/>
        </w:rPr>
        <w:t xml:space="preserve">夸大·中</w:t>
      </w:r>
      <w:r>
        <w:t xml:space="preserve">。</w:t>
      </w:r>
    </w:p>
    <w:bookmarkEnd w:id="1842"/>
    <w:bookmarkStart w:id="1843" w:name="sec-117-4"/>
    <w:p>
      <w:pPr>
        <w:pStyle w:val="Heading3"/>
      </w:pPr>
      <w:r>
        <w:t xml:space="preserve">117.4　学校、职场与手机应用</w:t>
      </w:r>
    </w:p>
    <w:p>
      <w:pPr>
        <w:pStyle w:val="FirstParagraph"/>
      </w:pPr>
      <w:r>
        <w:t xml:space="preserve">英国的 MYRIAD 试验是迄今规模最大的校园正念研究：85 所中学被整群随机分配到 10 节课的校园正念课程或常规的社会情感教育，84 所进入分析，涉及 8376 名 11 到 14 岁学生。随机的单位是学校，同校学生的结果彼此相关，统计精度要按学校层级计算。一年随访时，这种由学校教师讲授的 10 节课程，在抑郁风险（效应量约 0.005，95% 置信区间 −0.05 到 0.06）、社会情感与行为功能、幸福感上都没有优势</w:t>
      </w:r>
      <w:r>
        <w:rPr>
          <w:vertAlign w:val="superscript"/>
        </w:rPr>
        <w:t xml:space="preserve">[</w:t>
      </w:r>
      <w:hyperlink w:anchor="ref-989">
        <w:r>
          <w:rPr>
            <w:rStyle w:val="Hyperlink"/>
            <w:vertAlign w:val="superscript"/>
          </w:rPr>
          <w:t xml:space="preserve">989</w:t>
        </w:r>
      </w:hyperlink>
      <w:r>
        <w:rPr>
          <w:vertAlign w:val="superscript"/>
        </w:rPr>
        <w:t xml:space="preserve">]</w:t>
      </w:r>
      <w:r>
        <w:t xml:space="preserve">；这些区间很窄，对这种普及形式而言，可以较有把握地排除中等大小的益处。这里的“抑郁风险”指症状风险量表的得分。已确诊抑郁症的发病率是另一项结局。结论适用于这个年龄段、英国的学校体系、由学校教师讲授的这套十节课程，以及与常规社会情感教育的比较；对有经验的治疗师提供的临床治疗、自愿参加的高风险群体方案、其他年龄或其他课程，它没有同样的排除能力，反过来，也不能因为这些外推限制，把它对这种普及方案提供的有力信息说成“什么也不知道”。后续分析发现，原本处于心理问题风险中的学生，在正念组的部分指标上略差（幅度小，未达临床意义），作者的结论有两条：这种形式的课程不适合作为面向全体学生的普遍干预；对已有或正在出现心理症状的学生，它可能属于禁忌</w:t>
      </w:r>
      <w:r>
        <w:rPr>
          <w:vertAlign w:val="superscript"/>
        </w:rPr>
        <w:t xml:space="preserve">[</w:t>
      </w:r>
      <w:hyperlink w:anchor="ref-1177">
        <w:r>
          <w:rPr>
            <w:rStyle w:val="Hyperlink"/>
            <w:vertAlign w:val="superscript"/>
          </w:rPr>
          <w:t xml:space="preserve">1177</w:t>
        </w:r>
      </w:hyperlink>
      <w:r>
        <w:rPr>
          <w:vertAlign w:val="superscript"/>
        </w:rPr>
        <w:t xml:space="preserve">]</w:t>
      </w:r>
      <w:r>
        <w:t xml:space="preserve">。这是探索性的亚组分析，作者用的是“可能”。它提示这种课程形式需要谨慎，属于有待重复的风险信号。确定的临床禁忌还谈不上；专门为有症状青少年设计的治疗是否有效，它也说明不了；这类亚组、过程和中介分析很多，要看是否预设、是否检验了正式的交互、是否控制了多重比较，以及不利的方向能否在独立样本中重复。上课更多的学生结果更差，这是观察到的关联。课时本身是否有害，要随机分配课时才能检验。2022 年发表的一项儿童青少年研究更新版元分析（66 项随机试验、两万余人）发现，与主动对照相比，只有焦虑压力和正念自评有很小的改善，到随访时效应不再显著</w:t>
      </w:r>
      <w:r>
        <w:rPr>
          <w:vertAlign w:val="superscript"/>
        </w:rPr>
        <w:t xml:space="preserve">[</w:t>
      </w:r>
      <w:hyperlink w:anchor="ref-1178">
        <w:r>
          <w:rPr>
            <w:rStyle w:val="Hyperlink"/>
            <w:vertAlign w:val="superscript"/>
          </w:rPr>
          <w:t xml:space="preserve">1178</w:t>
        </w:r>
      </w:hyperlink>
      <w:r>
        <w:rPr>
          <w:vertAlign w:val="superscript"/>
        </w:rPr>
        <w:t xml:space="preserve">]</w:t>
      </w:r>
      <w:r>
        <w:t xml:space="preserve">。</w:t>
      </w:r>
    </w:p>
    <w:p>
      <w:pPr>
        <w:pStyle w:val="BodyText"/>
      </w:pPr>
      <w:r>
        <w:t xml:space="preserve">非临床成人方面，2021 年的元分析纳入 136 项随机试验、一万一千余人：与不干预相比，正念课程能减轻焦虑、抑郁和心理困扰；与其他主动干预相比大多没有优势；能排除研究者倾向影响的试验只占约 5%</w:t>
      </w:r>
      <w:r>
        <w:rPr>
          <w:vertAlign w:val="superscript"/>
        </w:rPr>
        <w:t xml:space="preserve">[</w:t>
      </w:r>
      <w:hyperlink w:anchor="ref-1179">
        <w:r>
          <w:rPr>
            <w:rStyle w:val="Hyperlink"/>
            <w:vertAlign w:val="superscript"/>
          </w:rPr>
          <w:t xml:space="preserve">1179</w:t>
        </w:r>
      </w:hyperlink>
      <w:r>
        <w:rPr>
          <w:vertAlign w:val="superscript"/>
        </w:rPr>
        <w:t xml:space="preserve">]</w:t>
      </w:r>
      <w:r>
        <w:t xml:space="preserve">。2023 年的个体数据元分析在 15 项符合质量标准的试验中取得了 13 项的个人数据、2371 人：与被动对照相比，由教师带领的团体课程在结束后 1 到 6 个月使心理困扰平均下降约 0.32 个标准差（95% 置信区间 0.24 到 0.41），试验之间几乎没有异质性，约两成结局数据缺失，正念组缺失者的结果平均要比观测值差 50% 以上，才会改变显著性（这是某个敏感性模型中的阈值，稳健性取决于给哪一组施加多大的偏移、各研究缺失的原因是否不同），作者对这一结果的确定性评为高</w:t>
      </w:r>
      <w:r>
        <w:rPr>
          <w:vertAlign w:val="superscript"/>
        </w:rPr>
        <w:t xml:space="preserve">[</w:t>
      </w:r>
      <w:hyperlink w:anchor="ref-1180">
        <w:r>
          <w:rPr>
            <w:rStyle w:val="Hyperlink"/>
            <w:vertAlign w:val="superscript"/>
          </w:rPr>
          <w:t xml:space="preserve">1180</w:t>
        </w:r>
      </w:hyperlink>
      <w:r>
        <w:rPr>
          <w:vertAlign w:val="superscript"/>
        </w:rPr>
        <w:t xml:space="preserve">]</w:t>
      </w:r>
      <w:r>
        <w:t xml:space="preserve">；结局都是自评量表，与被动对照比较时也无法设盲，这两项偏倚风险在各试验中都被评为高。这个“高”只对应这一具体问题：自愿报名的社区成人、面对面的团体课程、与不干预相比；与认知行为疗法的比较、强制参加的课程和手机应用要另看。年龄、性别、基线困扰程度等因素对获益大小没有检出稳定的调节作用。每个人获益是否相同，是另一个问题。</w:t>
      </w:r>
    </w:p>
    <w:p>
      <w:pPr>
        <w:pStyle w:val="BodyText"/>
      </w:pPr>
      <w:r>
        <w:t xml:space="preserve">职场方面，随机试验的元分析报告压力、焦虑等指标有中等幅度的改善，倦怠的结果不一致</w:t>
      </w:r>
      <w:r>
        <w:rPr>
          <w:vertAlign w:val="superscript"/>
        </w:rPr>
        <w:t xml:space="preserve">[</w:t>
      </w:r>
      <w:hyperlink w:anchor="ref-1181">
        <w:r>
          <w:rPr>
            <w:rStyle w:val="Hyperlink"/>
            <w:vertAlign w:val="superscript"/>
          </w:rPr>
          <w:t xml:space="preserve">1181</w:t>
        </w:r>
      </w:hyperlink>
      <w:r>
        <w:rPr>
          <w:vertAlign w:val="superscript"/>
        </w:rPr>
        <w:t xml:space="preserve">]</w:t>
      </w:r>
      <w:r>
        <w:t xml:space="preserve">。一项覆盖英国 233 家机构、四万六千余名员工的横断面调查发现，参加过正念课程、韧性训练或使用过健康应用的员工，心理健康状况并不比没参加的人更好；这类观察数据同样受自我选择影响：参加者与未参加者的平均健康相近，可能因为求助的人基线更差、参与强度不同、企业的选择不同，或者方案的效果本来就小，从这个结果反推不出课程无效，也量化不了组织改革比个人课程好多少；作者据此主张把重点放在工作负荷、管理方式等组织层面的改变上</w:t>
      </w:r>
      <w:r>
        <w:rPr>
          <w:vertAlign w:val="superscript"/>
        </w:rPr>
        <w:t xml:space="preserve">[</w:t>
      </w:r>
      <w:hyperlink w:anchor="ref-1182">
        <w:r>
          <w:rPr>
            <w:rStyle w:val="Hyperlink"/>
            <w:vertAlign w:val="superscript"/>
          </w:rPr>
          <w:t xml:space="preserve">1182</w:t>
        </w:r>
      </w:hyperlink>
      <w:r>
        <w:rPr>
          <w:vertAlign w:val="superscript"/>
        </w:rPr>
        <w:t xml:space="preserve">]</w:t>
      </w:r>
      <w:r>
        <w:t xml:space="preserve">。评估职场方案时，应同时记录工作负荷、控制感、管理方式和组织资源，课程效果不能替代对这些因素的评估；个人课程和组织干预各自贡献多少，需要直接比较。结局还应包括病假、离职、工作能力和医疗利用，以及受训时间是否由雇主支付、参加是否真正自愿、能否拒绝；把课程纳入绩效评价，或把困扰归咎于员工“练得不够”，是另一种实施环境。自愿社区试验的平均效果，不能为它背书。</w:t>
      </w:r>
    </w:p>
    <w:p>
      <w:pPr>
        <w:pStyle w:val="BodyText"/>
      </w:pPr>
      <w:r>
        <w:t xml:space="preserve">手机应用方面，45 项随机试验的元分析显示，正念应用对抑郁（效应量约 0.24）和焦虑（约 0.28）有小幅短期效果，与主动的治疗性对照相比不再显著</w:t>
      </w:r>
      <w:r>
        <w:rPr>
          <w:vertAlign w:val="superscript"/>
        </w:rPr>
        <w:t xml:space="preserve">[</w:t>
      </w:r>
      <w:hyperlink w:anchor="ref-1183">
        <w:r>
          <w:rPr>
            <w:rStyle w:val="Hyperlink"/>
            <w:vertAlign w:val="superscript"/>
          </w:rPr>
          <w:t xml:space="preserve">1183</w:t>
        </w:r>
      </w:hyperlink>
      <w:r>
        <w:rPr>
          <w:vertAlign w:val="superscript"/>
        </w:rPr>
        <w:t xml:space="preserve">]</w:t>
      </w:r>
      <w:r>
        <w:t xml:space="preserve">；应用组的平均流失率约四分之一，在大型试验中接近四成</w:t>
      </w:r>
      <w:r>
        <w:rPr>
          <w:vertAlign w:val="superscript"/>
        </w:rPr>
        <w:t xml:space="preserve">[</w:t>
      </w:r>
      <w:hyperlink w:anchor="ref-1184">
        <w:r>
          <w:rPr>
            <w:rStyle w:val="Hyperlink"/>
            <w:vertAlign w:val="superscript"/>
          </w:rPr>
          <w:t xml:space="preserve">1184</w:t>
        </w:r>
      </w:hyperlink>
      <w:r>
        <w:rPr>
          <w:vertAlign w:val="superscript"/>
        </w:rPr>
        <w:t xml:space="preserve">]</w:t>
      </w:r>
      <w:r>
        <w:t xml:space="preserve">；研究中的流失不一定等于停止使用，下载量、打开次数、完整练习的分钟数和终点评估的完成率也彼此不同。评价一个应用，还要写清是否有人工辅导、提醒多少、使用多久、允许哪些同时进行的治疗、是否付费、纳入的是有症状者还是确诊者；商业应用更新内容之后，旧版本的试验保证不了新版本的效果。一项在 37 个地点进行、2239 人参加的多中心研究（约 94% 是学生，事先在开放科学平台登记）比较了四种约 15 分钟的单次自助正念练习与收听小说录音的对照：练习后的状态焦虑评分低于对照组，身体扫描的差别最大（效应量约 0.56）</w:t>
      </w:r>
      <w:r>
        <w:rPr>
          <w:vertAlign w:val="superscript"/>
        </w:rPr>
        <w:t xml:space="preserve">[</w:t>
      </w:r>
      <w:hyperlink w:anchor="ref-1185">
        <w:r>
          <w:rPr>
            <w:rStyle w:val="Hyperlink"/>
            <w:vertAlign w:val="superscript"/>
          </w:rPr>
          <w:t xml:space="preserve">1185</w:t>
        </w:r>
      </w:hyperlink>
      <w:r>
        <w:rPr>
          <w:vertAlign w:val="superscript"/>
        </w:rPr>
        <w:t xml:space="preserve">]</w:t>
      </w:r>
      <w:r>
        <w:t xml:space="preserve">。焦虑只在练习后测了一次，比较的是组间差异；对照组听的三段小说中有一段本身更容易引起紧张，排除听这段的人以后，正念行走的优势不再成立，其余三种练习仍然成立；论文说明，研究原按序贯贝叶斯设计连续监测数据，四种练习中有三种在样本增加的过程中先达到了支持零效应的阈值，之后才达到支持有效的阈值；贝叶斯证据随样本增加而转向，本身算不上研究错误。需要看的是事先的停止规则、研究者何时看到哪些数据、是否偏离了登记。效果能持续多久，研究没有回答；单次自助练习的结果也不能外推到八周课程或临床治疗。</w:t>
      </w:r>
    </w:p>
    <w:p>
      <w:pPr>
        <w:pStyle w:val="CalloutJudgment"/>
      </w:pPr>
      <w:r>
        <w:rPr>
          <w:bCs/>
          <w:b/>
        </w:rPr>
        <w:t xml:space="preserve">判断　</w:t>
      </w:r>
      <w:r>
        <w:t xml:space="preserve">“这套十节课的校园普及正念课程能降低青少年的抑郁风险”</w:t>
      </w:r>
      <w:r>
        <w:rPr>
          <w:bCs/>
          <w:b/>
        </w:rPr>
        <w:t xml:space="preserve">不成立·高</w:t>
      </w:r>
      <w:r>
        <w:t xml:space="preserve">：一年随访时的抑郁风险量表结局排除了中等大小的平均益处；“正念课程能减轻自愿参加的非临床成人的心理困扰”</w:t>
      </w:r>
      <w:r>
        <w:rPr>
          <w:bCs/>
          <w:b/>
        </w:rPr>
        <w:t xml:space="preserve">成立·高</w:t>
      </w:r>
      <w:r>
        <w:t xml:space="preserve">：相对不干预，约 0.3 个标准差，结局为自评；“正念课程优于其他主动干预”</w:t>
      </w:r>
      <w:r>
        <w:rPr>
          <w:bCs/>
          <w:b/>
        </w:rPr>
        <w:t xml:space="preserve">不成立·低</w:t>
      </w:r>
      <w:r>
        <w:t xml:space="preserve">：多数比较没有显示优势，比较的种类和精度差别很大；“正念应用对所研究的自愿用户有小幅帮助”</w:t>
      </w:r>
      <w:r>
        <w:rPr>
          <w:bCs/>
          <w:b/>
        </w:rPr>
        <w:t xml:space="preserve">部分成立·中</w:t>
      </w:r>
      <w:r>
        <w:t xml:space="preserve">：平均短期症状改善小，与主动的治疗性对照相比不再显著；“职场正念课程能解决倦怠”</w:t>
      </w:r>
      <w:r>
        <w:rPr>
          <w:bCs/>
          <w:b/>
        </w:rPr>
        <w:t xml:space="preserve">证据不足·低</w:t>
      </w:r>
      <w:r>
        <w:t xml:space="preserve">。</w:t>
      </w:r>
    </w:p>
    <w:p>
      <w:pPr>
        <w:pStyle w:val="BodyText"/>
      </w:pPr>
      <w:r>
        <w:t xml:space="preserve">一篇临床课程研究不能为同名应用、短视频或商品提供全部背书。需要比较内容、剂量、指导、入组人群与结局。某产品引用冥想一般综述，却宣称自己能治疗特定疾病，证据链仍有缺口。产品特异的随机比较与长期安全数据更有决定作用。</w:t>
      </w:r>
    </w:p>
    <w:bookmarkEnd w:id="1843"/>
    <w:bookmarkStart w:id="1844" w:name="sec-117-5"/>
    <w:p>
      <w:pPr>
        <w:pStyle w:val="Heading3"/>
      </w:pPr>
      <w:r>
        <w:t xml:space="preserve">117.5　冥想让人更善良吗</w:t>
      </w:r>
    </w:p>
    <w:p>
      <w:pPr>
        <w:pStyle w:val="FirstParagraph"/>
      </w:pPr>
      <w:r>
        <w:t xml:space="preserve">“善良”首先需要操作化：同情、共情、攻击性、联结感、偏见、助人和分配是不同的指标。2018 年一项系统综述纳入 22 项随机试验，对其中 16 项做了元分析，发现冥想后同情与共情上升（问卷和行为测量都计入），攻击性、与他人的联结感和偏见没有变化。同情的效应只在授课老师本人是论文作者时显著，在使用主动对照时不显著；61% 的研究方法学质量被评为弱</w:t>
      </w:r>
      <w:r>
        <w:rPr>
          <w:vertAlign w:val="superscript"/>
        </w:rPr>
        <w:t xml:space="preserve">[</w:t>
      </w:r>
      <w:hyperlink w:anchor="ref-1186">
        <w:r>
          <w:rPr>
            <w:rStyle w:val="Hyperlink"/>
            <w:vertAlign w:val="superscript"/>
          </w:rPr>
          <w:t xml:space="preserve">1186</w:t>
        </w:r>
      </w:hyperlink>
      <w:r>
        <w:rPr>
          <w:vertAlign w:val="superscript"/>
        </w:rPr>
        <w:t xml:space="preserve">]</w:t>
      </w:r>
      <w:r>
        <w:t xml:space="preserve">。另一项元分析聚焦实际的助人行为，发现正念练习后出于同情的助人行为增加，工具性助人和慷慨分配没有可靠变化，偏见与报复减少，这些效应主要来自单次练习后立即测量的研究</w:t>
      </w:r>
      <w:r>
        <w:rPr>
          <w:vertAlign w:val="superscript"/>
        </w:rPr>
        <w:t xml:space="preserve">[</w:t>
      </w:r>
      <w:hyperlink w:anchor="ref-1187">
        <w:r>
          <w:rPr>
            <w:rStyle w:val="Hyperlink"/>
            <w:vertAlign w:val="superscript"/>
          </w:rPr>
          <w:t xml:space="preserve">1187</w:t>
        </w:r>
      </w:hyperlink>
      <w:r>
        <w:rPr>
          <w:vertAlign w:val="superscript"/>
        </w:rPr>
        <w:t xml:space="preserve">]</w:t>
      </w:r>
      <w:r>
        <w:t xml:space="preserve">。自报“我更有同情心”容易受课程期待影响，实际的捐款、帮助陌生人等任务也会受情境提示、实验者期待、收入和机会成本影响，实验行为表面上客观，并不自动带来更高的外部效度；要说社会层面的道德改变，至少需要多情境、长期、尽量盲态的行为测量，而“善良”本身还涉及价值的选择。慈悲训练的脑研究见</w:t>
      </w:r>
      <w:r>
        <w:t xml:space="preserve"> </w:t>
      </w:r>
      <w:hyperlink w:anchor="sec-119-3">
        <w:r>
          <w:rPr>
            <w:rStyle w:val="Hyperlink"/>
          </w:rPr>
          <w:t xml:space="preserve">119.3</w:t>
        </w:r>
      </w:hyperlink>
      <w:r>
        <w:t xml:space="preserve">。</w:t>
      </w:r>
    </w:p>
    <w:p>
      <w:pPr>
        <w:pStyle w:val="CalloutJudgment"/>
      </w:pPr>
      <w:r>
        <w:rPr>
          <w:bCs/>
          <w:b/>
        </w:rPr>
        <w:t xml:space="preserve">判断　</w:t>
      </w:r>
      <w:r>
        <w:t xml:space="preserve">“冥想让人更善良”</w:t>
      </w:r>
      <w:r>
        <w:rPr>
          <w:bCs/>
          <w:b/>
        </w:rPr>
        <w:t xml:space="preserve">夸大·中</w:t>
      </w:r>
      <w:r>
        <w:t xml:space="preserve">：部分短期的同情和特定助人指标有有利信号，结果依赖测量、对照和研究质量，在主动对照下同情效应不显著；持续的、自然情境中的行为改变缺少稳定的证据。</w:t>
      </w:r>
    </w:p>
    <w:bookmarkEnd w:id="1844"/>
    <w:bookmarkEnd w:id="1845"/>
    <w:bookmarkStart w:id="1849" w:name="ch-118"/>
    <w:p>
      <w:pPr>
        <w:pStyle w:val="Heading2"/>
      </w:pPr>
      <w:r>
        <w:t xml:space="preserve">第118章　机制、安全与测量</w:t>
      </w:r>
    </w:p>
    <w:bookmarkStart w:id="1846" w:name="sec-118-1"/>
    <w:p>
      <w:pPr>
        <w:pStyle w:val="Heading3"/>
      </w:pPr>
      <w:r>
        <w:t xml:space="preserve">118.1　机制：注意、接纳与“去中心化”</w:t>
      </w:r>
    </w:p>
    <w:p>
      <w:pPr>
        <w:pStyle w:val="FirstParagraph"/>
      </w:pPr>
      <w:r>
        <w:t xml:space="preserve">关于正念为什么有效，几种主要理论有部分重叠，强调的过程和可检验的预测各不相同。较早的操作性定义把正念拆成两个成分：对当下注意的自我调节，以及对经验抱持好奇、开放与接纳的态度</w:t>
      </w:r>
      <w:r>
        <w:rPr>
          <w:vertAlign w:val="superscript"/>
        </w:rPr>
        <w:t xml:space="preserve">[</w:t>
      </w:r>
      <w:hyperlink w:anchor="ref-1188">
        <w:r>
          <w:rPr>
            <w:rStyle w:val="Hyperlink"/>
            <w:vertAlign w:val="superscript"/>
          </w:rPr>
          <w:t xml:space="preserve">1188</w:t>
        </w:r>
      </w:hyperlink>
      <w:r>
        <w:rPr>
          <w:vertAlign w:val="superscript"/>
        </w:rPr>
        <w:t xml:space="preserve">]</w:t>
      </w:r>
      <w:r>
        <w:t xml:space="preserve">。另一个广泛引用的模型认为，意图、注意与态度三者共同带来“重新感知”，也就是能把念头和情绪当作心理事件来看，减少被它们定义</w:t>
      </w:r>
      <w:r>
        <w:rPr>
          <w:vertAlign w:val="superscript"/>
        </w:rPr>
        <w:t xml:space="preserve">[</w:t>
      </w:r>
      <w:hyperlink w:anchor="ref-1189">
        <w:r>
          <w:rPr>
            <w:rStyle w:val="Hyperlink"/>
            <w:vertAlign w:val="superscript"/>
          </w:rPr>
          <w:t xml:space="preserve">1189</w:t>
        </w:r>
      </w:hyperlink>
      <w:r>
        <w:rPr>
          <w:vertAlign w:val="superscript"/>
        </w:rPr>
        <w:t xml:space="preserve">]</w:t>
      </w:r>
      <w:r>
        <w:t xml:space="preserve">。还有一种整合观点列出四条机制：注意调节、身体觉察、情绪调节（包括重新评估和暴露消退）、自我视角的改变</w:t>
      </w:r>
      <w:r>
        <w:rPr>
          <w:vertAlign w:val="superscript"/>
        </w:rPr>
        <w:t xml:space="preserve">[</w:t>
      </w:r>
      <w:hyperlink w:anchor="ref-1190">
        <w:r>
          <w:rPr>
            <w:rStyle w:val="Hyperlink"/>
            <w:vertAlign w:val="superscript"/>
          </w:rPr>
          <w:t xml:space="preserve">1190</w:t>
        </w:r>
      </w:hyperlink>
      <w:r>
        <w:rPr>
          <w:vertAlign w:val="superscript"/>
        </w:rPr>
        <w:t xml:space="preserve">]</w:t>
      </w:r>
      <w:r>
        <w:t xml:space="preserve">。</w:t>
      </w:r>
    </w:p>
    <w:p>
      <w:pPr>
        <w:pStyle w:val="BodyText"/>
      </w:pPr>
      <w:r>
        <w:t xml:space="preserve">“监控与接纳理论”提出了一个可检验的区分：单纯训练对当下经验的监控会提升注意，也可能放大情绪反应；加上接纳，才会降低应激反应</w:t>
      </w:r>
      <w:r>
        <w:rPr>
          <w:vertAlign w:val="superscript"/>
        </w:rPr>
        <w:t xml:space="preserve">[</w:t>
      </w:r>
      <w:hyperlink w:anchor="ref-1191">
        <w:r>
          <w:rPr>
            <w:rStyle w:val="Hyperlink"/>
            <w:vertAlign w:val="superscript"/>
          </w:rPr>
          <w:t xml:space="preserve">1191</w:t>
        </w:r>
      </w:hyperlink>
      <w:r>
        <w:rPr>
          <w:vertAlign w:val="superscript"/>
        </w:rPr>
        <w:t xml:space="preserve">]</w:t>
      </w:r>
      <w:r>
        <w:t xml:space="preserve">。一些拆解式随机试验支持这一点：同时训练监控与接纳的组，在社会应激测试中的皮质醇和收缩压反应低于只训练监控的组，主观压力感三组相近</w:t>
      </w:r>
      <w:r>
        <w:rPr>
          <w:vertAlign w:val="superscript"/>
        </w:rPr>
        <w:t xml:space="preserve">[</w:t>
      </w:r>
      <w:hyperlink w:anchor="ref-1192">
        <w:r>
          <w:rPr>
            <w:rStyle w:val="Hyperlink"/>
            <w:vertAlign w:val="superscript"/>
          </w:rPr>
          <w:t xml:space="preserve">1192</w:t>
        </w:r>
      </w:hyperlink>
      <w:r>
        <w:rPr>
          <w:vertAlign w:val="superscript"/>
        </w:rPr>
        <w:t xml:space="preserve">]</w:t>
      </w:r>
      <w:r>
        <w:t xml:space="preserve">；孤独感下降与社交接触增加也只出现在包含接纳的组</w:t>
      </w:r>
      <w:r>
        <w:rPr>
          <w:vertAlign w:val="superscript"/>
        </w:rPr>
        <w:t xml:space="preserve">[</w:t>
      </w:r>
      <w:hyperlink w:anchor="ref-1193">
        <w:r>
          <w:rPr>
            <w:rStyle w:val="Hyperlink"/>
            <w:vertAlign w:val="superscript"/>
          </w:rPr>
          <w:t xml:space="preserve">1193</w:t>
        </w:r>
      </w:hyperlink>
      <w:r>
        <w:rPr>
          <w:vertAlign w:val="superscript"/>
        </w:rPr>
        <w:t xml:space="preserve">]</w:t>
      </w:r>
      <w:r>
        <w:t xml:space="preserve">。后两篇论文出自同一项三臂手机训练试验，153 人，三种课程相同：报告应激反应的那篇（2018 年）写明了登记号，登记信息中把孤独感和日常社交互动列为其他结局，两篇是同一试验的不同结局报告；试验在开始招募之后才登记。其中一位合作者持有一家公司的部分股权，该公司计划把这一课程的扩展版作为商业应用发布。这个设计缺少单独的接纳组，无法完整分解接纳的独立作用以及它与监控的交互，也证明不了所有有效的正念都经过同一机制；主观压力相近而生理反应不同，两个层面的结果都要保留。本书检索范围内没有找到独立团队的重复。</w:t>
      </w:r>
    </w:p>
    <w:p>
      <w:pPr>
        <w:pStyle w:val="BodyText"/>
      </w:pPr>
      <w:r>
        <w:t xml:space="preserve">这些理论目前多是框架，因果链条还没有建立。注意分配、接纳、元认知距离、暴露学习、自我评价和身体觉察彼此相关，也可能做出不同的预测；对每个候选机制，都可以问三个问题：干预是否改变了这个变量；这个变量的变化是否先于临床变化；在控制或随机操纵其他相关过程之后，它是否仍然影响临床结局。早期对中介研究的元分析发现，认知与情绪反应性的降低是证据最一致的中介因素，正念、反刍和担忧的变化次之</w:t>
      </w:r>
      <w:r>
        <w:rPr>
          <w:vertAlign w:val="superscript"/>
        </w:rPr>
        <w:t xml:space="preserve">[</w:t>
      </w:r>
      <w:hyperlink w:anchor="ref-1194">
        <w:r>
          <w:rPr>
            <w:rStyle w:val="Hyperlink"/>
            <w:vertAlign w:val="superscript"/>
          </w:rPr>
          <w:t xml:space="preserve">1194</w:t>
        </w:r>
      </w:hyperlink>
      <w:r>
        <w:rPr>
          <w:vertAlign w:val="superscript"/>
        </w:rPr>
        <w:t xml:space="preserve">]</w:t>
      </w:r>
      <w:r>
        <w:t xml:space="preserve">。2022 年的元分析则发现，正念注意、去中心化和接纳的中介作用在相关分析中显著，在能检验时间先后的分析中不显著，也无法证明它们是正念特有的</w:t>
      </w:r>
      <w:r>
        <w:rPr>
          <w:vertAlign w:val="superscript"/>
        </w:rPr>
        <w:t xml:space="preserve">[</w:t>
      </w:r>
      <w:hyperlink w:anchor="ref-1195">
        <w:r>
          <w:rPr>
            <w:rStyle w:val="Hyperlink"/>
            <w:vertAlign w:val="superscript"/>
          </w:rPr>
          <w:t xml:space="preserve">1195</w:t>
        </w:r>
      </w:hyperlink>
      <w:r>
        <w:rPr>
          <w:vertAlign w:val="superscript"/>
        </w:rPr>
        <w:t xml:space="preserve">]</w:t>
      </w:r>
      <w:r>
        <w:t xml:space="preserve">。一项研究发现，学员对老师和团体的评价，比练习时长更能预测抑郁和压力的改善</w:t>
      </w:r>
      <w:r>
        <w:rPr>
          <w:vertAlign w:val="superscript"/>
        </w:rPr>
        <w:t xml:space="preserve">[</w:t>
      </w:r>
      <w:hyperlink w:anchor="ref-1196">
        <w:r>
          <w:rPr>
            <w:rStyle w:val="Hyperlink"/>
            <w:vertAlign w:val="superscript"/>
          </w:rPr>
          <w:t xml:space="preserve">1196</w:t>
        </w:r>
      </w:hyperlink>
      <w:r>
        <w:rPr>
          <w:vertAlign w:val="superscript"/>
        </w:rPr>
        <w:t xml:space="preserve">]</w:t>
      </w:r>
      <w:r>
        <w:t xml:space="preserve">；这是相关，早期改善的人也可能更喜欢老师和团体。还要注意，随机分组让干预与基线的未测因素在期望上平衡。干预后测到的中介变量没有被随机分配：情绪改善、坚持练习、与老师的关系和期待可能一起变化，中介模型仍需要“中介与结局之间没有未测混杂”等条件，多测几个时间点有帮助，单靠时间先后也排除不了全部替代解释。</w:t>
      </w:r>
    </w:p>
    <w:p>
      <w:pPr>
        <w:pStyle w:val="CalloutPractice"/>
      </w:pPr>
      <w:r>
        <w:rPr>
          <w:bCs/>
          <w:b/>
        </w:rPr>
        <w:t xml:space="preserve">练习中的含义　</w:t>
      </w:r>
      <w:r>
        <w:t xml:space="preserve">只练“看清楚”、缺少“放下评判”的练习，可能让人对不适更敏感。练习时把“这是什么”与“允许它在这里”放在一起。这条建议来自少数拆解研究的启发，尚未被确证为通用的规则，需要结合个人情况观察。“允许它在这里”指减少对感受的二次评判。它不要求接受现实中的虐待、危险或有害的处境，也不要求在解离、强烈恐慌或现实检验受损时继续向内注意；这时把注意转向外界、缩短或暂停练习，都是可以讨论的调整，当前的拆解试验还保证不了这些做法能防止伤害。</w:t>
      </w:r>
    </w:p>
    <w:p>
      <w:pPr>
        <w:pStyle w:val="Heading4"/>
      </w:pPr>
      <w:r>
        <w:t xml:space="preserve">去中心化与情绪抑制</w:t>
      </w:r>
    </w:p>
    <w:p>
      <w:pPr>
        <w:pStyle w:val="FirstParagraph"/>
      </w:pPr>
      <w:r>
        <w:t xml:space="preserve">去中心化通常描述把思想视为心理事件的能力。例如，当一个评价性念头出现时，人可以察觉它正在发生，同时继续收集当前信息。这个过程不同于要求念头永远消失，也不等于认为所有思想都毫无价值。</w:t>
      </w:r>
    </w:p>
    <w:p>
      <w:pPr>
        <w:pStyle w:val="BodyText"/>
      </w:pPr>
      <w:r>
        <w:t xml:space="preserve">情绪抑制可能涉及隐藏表达或压制体验。某项练习如果让人更少表达痛苦，未必代表内在负担已经下降。研究需要区分自报症状、行为表达、生理反应和生活功能。外表平静能够与内部紧张同时存在。</w:t>
      </w:r>
    </w:p>
    <w:p>
      <w:pPr>
        <w:pStyle w:val="BodyText"/>
      </w:pPr>
      <w:r>
        <w:t xml:space="preserve">一个具有解释力的机制预测应明确中间环节。假设训练减少反刍，应考察反复思考的持续时间、触发情境与后续行为是否改变；仅凭某个脑区活动下降，不足以证明反刍减少。如果行为变化来自更少面对压力情境，也需要与调节能力增强区分。</w:t>
      </w:r>
    </w:p>
    <w:p>
      <w:pPr>
        <w:pStyle w:val="Heading4"/>
      </w:pPr>
      <w:r>
        <w:t xml:space="preserve">接纳与必要的行动</w:t>
      </w:r>
    </w:p>
    <w:p>
      <w:pPr>
        <w:pStyle w:val="FirstParagraph"/>
      </w:pPr>
      <w:r>
        <w:t xml:space="preserve">接受性练习可以关注已经出现的感觉或念头，减少在其基础上不断增加的评判。它在逻辑上并不要求人接受不合理工作条件、放弃治疗或停止维护自己的权益。内在反应方式与外部问题的解决，可以同时进行。</w:t>
      </w:r>
    </w:p>
    <w:p>
      <w:pPr>
        <w:pStyle w:val="BodyText"/>
      </w:pPr>
      <w:r>
        <w:t xml:space="preserve">慢性疼痛或焦虑研究尤其需要保留这一点。某人更能够带着症状参与重要活动，可能是有价值的改变；若课程要求把所有新症状都解释为抗拒，则可能妨碍适当评估。治疗目标应由具体问题和当事人的优先事项决定。</w:t>
      </w:r>
    </w:p>
    <w:p>
      <w:pPr>
        <w:pStyle w:val="Heading4"/>
      </w:pPr>
      <w:r>
        <w:t xml:space="preserve">自我观察与自我批评</w:t>
      </w:r>
    </w:p>
    <w:p>
      <w:pPr>
        <w:pStyle w:val="FirstParagraph"/>
      </w:pPr>
      <w:r>
        <w:t xml:space="preserve">练习者可能更快察觉走神，却把每次走神看成失败，进而增加挫折。另一些指导则帮助把走神视为可观察事件，并允许重新定向。两种过程可以得到相似的走神报告数量，却产生不同情绪后果。</w:t>
      </w:r>
    </w:p>
    <w:p>
      <w:pPr>
        <w:pStyle w:val="BodyText"/>
      </w:pPr>
      <w:r>
        <w:t xml:space="preserve">因此，某项课程的作用不能只由注意次数解释。指导语言、评价标准和参与者原有信念，会影响练习怎样进入日常心理过程。若一个方案强调永远平静，正常情绪波动可能被误解为练习不成功。</w:t>
      </w:r>
    </w:p>
    <w:p>
      <w:pPr>
        <w:pStyle w:val="BodyText"/>
      </w:pPr>
      <w:r>
        <w:t xml:space="preserve">自我关怀、接受与责任也需要具体定义。减少过度自责可以与认真处理行为后果并存，允许情绪存在也可以与改变不适当情境并存。把任何一个概念写成无条件放任或永远不评估，会偏离可操作的临床目标。</w:t>
      </w:r>
    </w:p>
    <w:p>
      <w:pPr>
        <w:pStyle w:val="Heading4"/>
      </w:pPr>
      <w:r>
        <w:t xml:space="preserve">练习中的技能能否迁移到生活</w:t>
      </w:r>
    </w:p>
    <w:p>
      <w:pPr>
        <w:pStyle w:val="FirstParagraph"/>
      </w:pPr>
      <w:r>
        <w:t xml:space="preserve">在安静环境中能够把注意拉回呼吸，与在复杂冲突中能够暂停冲动反应，包含不同任务要求。前者可能训练某些基础过程，后者还需要识别情境、理解他人和选择行动。迁移应通过对应行为检验，不能由练习时间直接推算。</w:t>
      </w:r>
    </w:p>
    <w:p>
      <w:pPr>
        <w:pStyle w:val="BodyText"/>
      </w:pPr>
      <w:r>
        <w:t xml:space="preserve">熟练后主观努力降低，可以有多种解释。某个过程变得更自动，可能减少负担；也可能是参与者减少了对任务要求的执行。若只询问是否更轻松，无法确定技能质量。行为、实际情境与本人目标需要共同评价。</w:t>
      </w:r>
    </w:p>
    <w:p>
      <w:pPr>
        <w:pStyle w:val="BodyText"/>
      </w:pPr>
      <w:r>
        <w:t xml:space="preserve">一个可检验的训练模型应指出哪些成分最可能迁移。例如，发现情绪上升的能力改善，理论上可能增加采取其他策略的机会，但最终是否使用策略，还受环境和习惯影响。这个中间环节不能被省略。</w:t>
      </w:r>
    </w:p>
    <w:bookmarkEnd w:id="1846"/>
    <w:bookmarkStart w:id="1847" w:name="sec-118-2"/>
    <w:p>
      <w:pPr>
        <w:pStyle w:val="Heading3"/>
      </w:pPr>
      <w:r>
        <w:t xml:space="preserve">118.2　不良反应与谁要小心</w:t>
      </w:r>
    </w:p>
    <w:p>
      <w:pPr>
        <w:pStyle w:val="FirstParagraph"/>
      </w:pPr>
      <w:r>
        <w:t xml:space="preserve">“冥想绝对安全”是正念推广中流传最广、问题最大的说法之一。</w:t>
      </w:r>
      <w:r>
        <w:rPr>
          <w:bCs/>
          <w:b/>
        </w:rPr>
        <w:t xml:space="preserve">不良反应的报告比例高度依赖怎么问。</w:t>
      </w:r>
      <w:r>
        <w:t xml:space="preserve">2020 年的系统综述汇总 83 项研究、6703 名冥想者，合并的不良事件报告比例约 8.3%（95% 置信区间 5% 到 12%）；其中实验研究约 3.7%，观察性研究高达 33.2%；最常见的是焦虑、抑郁和认知异常</w:t>
      </w:r>
      <w:r>
        <w:rPr>
          <w:vertAlign w:val="superscript"/>
        </w:rPr>
        <w:t xml:space="preserve">[</w:t>
      </w:r>
      <w:hyperlink w:anchor="ref-1197">
        <w:r>
          <w:rPr>
            <w:rStyle w:val="Hyperlink"/>
            <w:vertAlign w:val="superscript"/>
          </w:rPr>
          <w:t xml:space="preserve">1197</w:t>
        </w:r>
      </w:hyperlink>
      <w:r>
        <w:rPr>
          <w:vertAlign w:val="superscript"/>
        </w:rPr>
        <w:t xml:space="preserve">]</w:t>
      </w:r>
      <w:r>
        <w:t xml:space="preserve">。这些研究的时间窗、练法和监测方式差别很大，83 项研究的总人数也不是每一种事件的共同分母，这个比例不能读成参加一次八周课程的新增风险。一项研究由独立评估者对参加三种八周正念认知疗法变式的成人逐项询问（随机分组 104 人，完成课程并接受访谈的 96 人；参与者有轻到重度抑郁症状，约四成符合重性抑郁障碍的诊断）：83% 报告至少一种冥想相关反应，58% 报告过性质负面的体验，在回答功能问题的 81 人中有 37% 报告对日常功能有负面影响；持续超过一天、一周和一个月的不良影响分别约占 14%、9% 和 6%（分母是提供了持续时间资料的 78 人，分别为 11 人、7 人和 5 人，这是逐级累积的阈值，三个比例不能相加），主要与唤醒失调（过度唤醒、解离）有关</w:t>
      </w:r>
      <w:r>
        <w:rPr>
          <w:vertAlign w:val="superscript"/>
        </w:rPr>
        <w:t xml:space="preserve">[</w:t>
      </w:r>
      <w:hyperlink w:anchor="ref-1198">
        <w:r>
          <w:rPr>
            <w:rStyle w:val="Hyperlink"/>
            <w:vertAlign w:val="superscript"/>
          </w:rPr>
          <w:t xml:space="preserve">1198</w:t>
        </w:r>
      </w:hyperlink>
      <w:r>
        <w:rPr>
          <w:vertAlign w:val="superscript"/>
        </w:rPr>
        <w:t xml:space="preserve">]</w:t>
      </w:r>
      <w:r>
        <w:t xml:space="preserve">。这些数字各自对应不同的定义和分母，不能互相比较大小；没完成课程的人可能因时间、疾病、不满或不适而退出，既不能默认他们都受到了伤害，也不能默认他们都安全。读安全数据时，至少要分清五种事件：不愉快的体验，要看问法、时间窗、强度和持续时间，它不一定构成临床伤害；“冥想相关”的反应，要看由本人还是评估者归因、归因的程序是什么，归因本身不等于已经证明由练习引起；影响功能的反应，要看睡眠、工作或人际受影响的阈值，它也不同于严重不良事件；可靠的症状恶化，指量表变化超过预定阈值，变化不一定由干预引起；严重不良事件，要看研究采用的标准和监测方式，没有记录到严重事件不代表没有风险。没有同等监测的对照组时，观察到的比例读不成冥想新增的风险；随机试验如果不主动询问，记录到的比例偏低，也不代表真实风险很低。“相关”的归因也有几个层次：参与者认为由练习引起，评估者认为时间上相关，研究者判断可能相关，以及在同等监测的随机对照中显示出风险的增量；即使有随机对照，某个人身上的一件事也很难确定唯一原因，群体的风险差与个案的归因回答的是不同的问题。研究者既不能把所有事件都归因于干预，也不能因为存在其他可能原因就不记录。美国一项人群抽样调查（434 名有冥想经历的成人）中，按问法不同，32% 到 50% 报告过冥想相关的不良反应，持续一个月以上的约 10%，有某种程度功能受损的约 11%，功能受损持续一个月以上的约 1.2%</w:t>
      </w:r>
      <w:r>
        <w:rPr>
          <w:vertAlign w:val="superscript"/>
        </w:rPr>
        <w:t xml:space="preserve">[</w:t>
      </w:r>
      <w:hyperlink w:anchor="ref-1199">
        <w:r>
          <w:rPr>
            <w:rStyle w:val="Hyperlink"/>
            <w:vertAlign w:val="superscript"/>
          </w:rPr>
          <w:t xml:space="preserve">1199</w:t>
        </w:r>
      </w:hyperlink>
      <w:r>
        <w:rPr>
          <w:vertAlign w:val="superscript"/>
        </w:rPr>
        <w:t xml:space="preserve">]</w:t>
      </w:r>
      <w:r>
        <w:t xml:space="preserve">；1.2% 对应“持续且影响功能”这一很窄的条件，来自终生的回顾和自报的归因，分子只有约 5 人。它与八周课程中的比例不能直接并列。2025 年一项力求代表美国冥想者的 886 人在线调查中，用两种不良反应量表测得的“至少一项”比例分别为 58.4% 和 78.3%，单问“是否有过困难或痛苦的冥想体验”时为 31.4%，报告功能受损的为 9.1%</w:t>
      </w:r>
      <w:r>
        <w:rPr>
          <w:vertAlign w:val="superscript"/>
        </w:rPr>
        <w:t xml:space="preserve">[</w:t>
      </w:r>
      <w:hyperlink w:anchor="ref-1200">
        <w:r>
          <w:rPr>
            <w:rStyle w:val="Hyperlink"/>
            <w:vertAlign w:val="superscript"/>
          </w:rPr>
          <w:t xml:space="preserve">1200</w:t>
        </w:r>
      </w:hyperlink>
      <w:r>
        <w:rPr>
          <w:vertAlign w:val="superscript"/>
        </w:rPr>
        <w:t xml:space="preserve">]</w:t>
      </w:r>
      <w:r>
        <w:t xml:space="preserve">。同一批人、不同的问法，比例相差一倍多，这直接说明了怎么问会影响记录多少，功能受损与“任何异常体验”的比例也相差很大。这是横断面的终生回顾，确定不了事件是在练习之后才开始的，也排除不了已有的困扰影响了练法选择和归因；论文题目用了“发生率”，设计并不因此变成前瞻性的，9.1% 与 1.2% 的定义也不相同，不能读成风险的增长。其中报告的人格和信念特征与不良体验的关联，适合当作有待前瞻检验的风险假说。按量表自动批准或拒绝练习，目前没有依据。1232 名规律冥想者的网络调查中，25.6% 报告过自认为由冥想引起的特别不愉快的经历，在重复性负面思维较多、只做解构类（内观）练习、参加过静修的人中更常见</w:t>
      </w:r>
      <w:r>
        <w:rPr>
          <w:vertAlign w:val="superscript"/>
        </w:rPr>
        <w:t xml:space="preserve">[</w:t>
      </w:r>
      <w:hyperlink w:anchor="ref-1201">
        <w:r>
          <w:rPr>
            <w:rStyle w:val="Hyperlink"/>
            <w:vertAlign w:val="superscript"/>
          </w:rPr>
          <w:t xml:space="preserve">1201</w:t>
        </w:r>
      </w:hyperlink>
      <w:r>
        <w:rPr>
          <w:vertAlign w:val="superscript"/>
        </w:rPr>
        <w:t xml:space="preserve">]</w:t>
      </w:r>
      <w:r>
        <w:t xml:space="preserve">；这些是终生回顾和横断面关联，参加静修的人总练习量、动机和练习类型也不同。静修会让每个人的风险增加多少，由此推不出来。对 60 名西方佛教练习者和 32 名导师的深度访谈，归纳出认知、知觉、情感、躯体、意志、自我感和社会关系七个领域的 59 类冥想相关体验；研究专门收集困难体验，同一类体验的效价从非常正面到非常负面都有</w:t>
      </w:r>
      <w:r>
        <w:rPr>
          <w:vertAlign w:val="superscript"/>
        </w:rPr>
        <w:t xml:space="preserve">[</w:t>
      </w:r>
      <w:hyperlink w:anchor="ref-1202">
        <w:r>
          <w:rPr>
            <w:rStyle w:val="Hyperlink"/>
            <w:vertAlign w:val="superscript"/>
          </w:rPr>
          <w:t xml:space="preserve">1202</w:t>
        </w:r>
      </w:hyperlink>
      <w:r>
        <w:rPr>
          <w:vertAlign w:val="superscript"/>
        </w:rPr>
        <w:t xml:space="preserve">]</w:t>
      </w:r>
      <w:r>
        <w:t xml:space="preserve">。</w:t>
      </w:r>
    </w:p>
    <w:p>
      <w:pPr>
        <w:pStyle w:val="BodyText"/>
      </w:pPr>
      <w:r>
        <w:t xml:space="preserve">另一组数据提供了平衡。一项研究分析了 2155 名社区正念减压课程参与者的观察资料，以及三项随机试验中的 274 人（正念减压 156 人、候补 118 人），没有发现正念减压组的症状恶化比例高于候补组</w:t>
      </w:r>
      <w:r>
        <w:rPr>
          <w:vertAlign w:val="superscript"/>
        </w:rPr>
        <w:t xml:space="preserve">[</w:t>
      </w:r>
      <w:hyperlink w:anchor="ref-1203">
        <w:r>
          <w:rPr>
            <w:rStyle w:val="Hyperlink"/>
            <w:vertAlign w:val="superscript"/>
          </w:rPr>
          <w:t xml:space="preserve">1203</w:t>
        </w:r>
      </w:hyperlink>
      <w:r>
        <w:rPr>
          <w:vertAlign w:val="superscript"/>
        </w:rPr>
        <w:t xml:space="preserve">]</w:t>
      </w:r>
      <w:r>
        <w:t xml:space="preserve">；观察资料有现实中可接受性的价值，控制混杂的能力不如随机样本，所用的症状量表也覆盖不了所有的解离、失眠和功能损害。LAMP 试验在 10 周时收集了 708 份安全随访：与通常照护相比，两个正念组报告焦虑、疲劳、孤立感、扰人的回忆和悲伤的比例都更低，没有一项症状在正念组中更常见</w:t>
      </w:r>
      <w:r>
        <w:rPr>
          <w:vertAlign w:val="superscript"/>
        </w:rPr>
        <w:t xml:space="preserve">[</w:t>
      </w:r>
      <w:hyperlink w:anchor="ref-1204">
        <w:r>
          <w:rPr>
            <w:rStyle w:val="Hyperlink"/>
            <w:vertAlign w:val="superscript"/>
          </w:rPr>
          <w:t xml:space="preserve">1204</w:t>
        </w:r>
      </w:hyperlink>
      <w:r>
        <w:rPr>
          <w:vertAlign w:val="superscript"/>
        </w:rPr>
        <w:t xml:space="preserve">]</w:t>
      </w:r>
      <w:r>
        <w:t xml:space="preserve">；这是慢性疼痛人群中的又一份比较信息。随访只有 10 周，所用的常规症状清单覆盖不了所有特殊的冥想体验，课程本身也加入了创伤知情的带领者、较短的练习、不设静修等安全设计，作者也提出要扩展监测。正念认知疗法预防复发的 9 项试验、1258 名缓解期患者的个体数据分析中，以预定的症状恶化阈值（抑郁量表得分比基线上升至少 0.24 个标准差）为“恶化”，这个阈值与临床上重要的差异、与按测量误差校正的“可靠变化指数”是不同的概念，在有治疗后数据的人中，正念认知疗法组的恶化比例为 22.5%（534 人中 120 人），对照组为 33.3%（597 人中 199 人）。主要的两阶段分析中差异没有达到统计显著（优势比 0.60，95% 置信区间 0.34 到 1.08，试验之间差异较大），一阶段模型显示正念组恶化的几率更低（0.57，0.35 到 0.95）；与主动对照相比，点估计更接近 1，两种模型都没有统计学差异（两阶段 0.79，0.48 到 1.30；一阶段 0.72，0.50 到 1.06）</w:t>
      </w:r>
      <w:r>
        <w:rPr>
          <w:vertAlign w:val="superscript"/>
        </w:rPr>
        <w:t xml:space="preserve">[</w:t>
      </w:r>
      <w:hyperlink w:anchor="ref-1205">
        <w:r>
          <w:rPr>
            <w:rStyle w:val="Hyperlink"/>
            <w:vertAlign w:val="superscript"/>
          </w:rPr>
          <w:t xml:space="preserve">1205</w:t>
        </w:r>
      </w:hyperlink>
      <w:r>
        <w:rPr>
          <w:vertAlign w:val="superscript"/>
        </w:rPr>
        <w:t xml:space="preserve">]</w:t>
      </w:r>
      <w:r>
        <w:t xml:space="preserve">。优势比不能读成“风险下降 40%”，结局并不罕见时，优势比与风险比差别明显。合起来看，没有证据显示正念认知疗法增加症状恶化，点估计有利于它，置信区间仍容许小幅增加；这项分析与 2016 年的复发分析共用同一个九项试验的数据库。独立的人群因此没有增加。它的范围是缓解期患者在抑郁量表上的恶化；其他不良体验和其他形式的冥想，需要另外的数据。针对精神病性障碍改编的正念干预，39 项随机试验、2684 人的汇总显示，干预组住院和使用危机服务的比例更低，其他伤害指标没有差异；没有一项试验报告了干预本身的副作用，作者认为伤害报告质量太差，还无法做出平衡的利弊评估</w:t>
      </w:r>
      <w:r>
        <w:rPr>
          <w:vertAlign w:val="superscript"/>
        </w:rPr>
        <w:t xml:space="preserve">[</w:t>
      </w:r>
      <w:hyperlink w:anchor="ref-1206">
        <w:r>
          <w:rPr>
            <w:rStyle w:val="Hyperlink"/>
            <w:vertAlign w:val="superscript"/>
          </w:rPr>
          <w:t xml:space="preserve">1206</w:t>
        </w:r>
      </w:hyperlink>
      <w:r>
        <w:rPr>
          <w:vertAlign w:val="superscript"/>
        </w:rPr>
        <w:t xml:space="preserve">]</w:t>
      </w:r>
      <w:r>
        <w:t xml:space="preserve">。这些都是经过适配、有治疗支持的研究。无人监督的长时间静修是否安全，需要在静修人群中单独研究。问卷上的症状恶化与学员自述的“受到伤害”大多发生在不同的人身上，单看症状量表会漏掉体验层面的伤害</w:t>
      </w:r>
      <w:r>
        <w:rPr>
          <w:vertAlign w:val="superscript"/>
        </w:rPr>
        <w:t xml:space="preserve">[</w:t>
      </w:r>
      <w:hyperlink w:anchor="ref-1207">
        <w:r>
          <w:rPr>
            <w:rStyle w:val="Hyperlink"/>
            <w:vertAlign w:val="superscript"/>
          </w:rPr>
          <w:t xml:space="preserve">1207</w:t>
        </w:r>
      </w:hyperlink>
      <w:r>
        <w:rPr>
          <w:vertAlign w:val="superscript"/>
        </w:rPr>
        <w:t xml:space="preserve">]</w:t>
      </w:r>
      <w:r>
        <w:t xml:space="preserve">。</w:t>
      </w:r>
    </w:p>
    <w:p>
      <w:pPr>
        <w:pStyle w:val="BodyText"/>
      </w:pPr>
      <w:r>
        <w:t xml:space="preserve">风险较高的情况有几类。一是创伤史：童年创伤和亚临床的创伤后应激症状，能预测不良反应和更差的治疗结局</w:t>
      </w:r>
      <w:r>
        <w:rPr>
          <w:vertAlign w:val="superscript"/>
        </w:rPr>
        <w:t xml:space="preserve">[</w:t>
      </w:r>
      <w:hyperlink w:anchor="ref-1208">
        <w:r>
          <w:rPr>
            <w:rStyle w:val="Hyperlink"/>
            <w:vertAlign w:val="superscript"/>
          </w:rPr>
          <w:t xml:space="preserve">1208</w:t>
        </w:r>
      </w:hyperlink>
      <w:r>
        <w:rPr>
          <w:vertAlign w:val="superscript"/>
        </w:rPr>
        <w:t xml:space="preserve">]</w:t>
      </w:r>
      <w:r>
        <w:t xml:space="preserve">，这项分析的第二个样本，就是上面逐项询问研究的同一批数据；不过在抑郁改善上，创伤史在正念组和候补组中的预测作用相近，两组之间没有显著差别，它可能是一般的预后因素；是否为正念特有的风险，现有数据还看不出来；据此不能给所有有创伤经历的人定下一律的禁忌。美国退伍军人事务部与国防部 2023 年的创伤后应激障碍指南，对正念减压治疗创伤后应激障碍给出了“弱推荐”，对正念认知疗法、慈心冥想等其他练习则认为证据不足</w:t>
      </w:r>
      <w:r>
        <w:rPr>
          <w:vertAlign w:val="superscript"/>
        </w:rPr>
        <w:t xml:space="preserve">[</w:t>
      </w:r>
      <w:hyperlink w:anchor="ref-1209">
        <w:r>
          <w:rPr>
            <w:rStyle w:val="Hyperlink"/>
            <w:vertAlign w:val="superscript"/>
          </w:rPr>
          <w:t xml:space="preserve">1209</w:t>
        </w:r>
      </w:hyperlink>
      <w:r>
        <w:rPr>
          <w:vertAlign w:val="superscript"/>
        </w:rPr>
        <w:t xml:space="preserve">]</w:t>
      </w:r>
      <w:r>
        <w:t xml:space="preserve">；有创伤经历或确诊创伤后应激障碍的人也可能从中受益，相关的证据来自有组织、经过适配和有监测的治疗。二是精神病性障碍或双相障碍史：文献中有冥想诱发精神病性发作的个案，汇总的 28 例中有 14 例同时存在失眠、进食不足、既往精神病史、应激或物质使用等诱因，因果难以确定</w:t>
      </w:r>
      <w:r>
        <w:rPr>
          <w:vertAlign w:val="superscript"/>
        </w:rPr>
        <w:t xml:space="preserve">[</w:t>
      </w:r>
      <w:hyperlink w:anchor="ref-1210">
        <w:r>
          <w:rPr>
            <w:rStyle w:val="Hyperlink"/>
            <w:vertAlign w:val="superscript"/>
          </w:rPr>
          <w:t xml:space="preserve">1210</w:t>
        </w:r>
      </w:hyperlink>
      <w:r>
        <w:rPr>
          <w:vertAlign w:val="superscript"/>
        </w:rPr>
        <w:t xml:space="preserve">]</w:t>
      </w:r>
      <w:r>
        <w:t xml:space="preserve">，个案缺少总体暴露的分母和对照组，算不出发病风险，也比较不了各种练法的危险程度；在临床试验中，专门改编、由治疗师带领的正念干预没有显示出更多伤害（见上段），这类试验对伤害的记录也不完整。对有这类病史的人，应建议先做临床评估、再做适配，永久、绝对的禁忌缺乏相应的依据。三是正处于急性心理危机。四是长时间高强度静修和偏重“解构自我”的练习</w:t>
      </w:r>
      <w:r>
        <w:rPr>
          <w:vertAlign w:val="superscript"/>
        </w:rPr>
        <w:t xml:space="preserve">[</w:t>
      </w:r>
      <w:hyperlink w:anchor="ref-1201">
        <w:r>
          <w:rPr>
            <w:rStyle w:val="Hyperlink"/>
            <w:vertAlign w:val="superscript"/>
          </w:rPr>
          <w:t xml:space="preserve">1201</w:t>
        </w:r>
      </w:hyperlink>
      <w:r>
        <w:rPr>
          <w:vertAlign w:val="superscript"/>
        </w:rPr>
        <w:t xml:space="preserve">,</w:t>
      </w:r>
      <w:hyperlink w:anchor="ref-1211">
        <w:r>
          <w:rPr>
            <w:rStyle w:val="Hyperlink"/>
            <w:vertAlign w:val="superscript"/>
          </w:rPr>
          <w:t xml:space="preserve">1211</w:t>
        </w:r>
      </w:hyperlink>
      <w:r>
        <w:rPr>
          <w:vertAlign w:val="superscript"/>
        </w:rPr>
        <w:t xml:space="preserve">]</w:t>
      </w:r>
      <w:r>
        <w:t xml:space="preserve">。关于静修，一项预注册的前瞻性匹配对照研究（96 名六天内观静修参与者，47 名匹配对照）发现，六天内观静修期间，以不愉快为主的“高峰体验”（如闪回、强烈悲伤）发生率与对照组相近，两周后的影响以正面为主</w:t>
      </w:r>
      <w:r>
        <w:rPr>
          <w:vertAlign w:val="superscript"/>
        </w:rPr>
        <w:t xml:space="preserve">[</w:t>
      </w:r>
      <w:hyperlink w:anchor="ref-1212">
        <w:r>
          <w:rPr>
            <w:rStyle w:val="Hyperlink"/>
            <w:vertAlign w:val="superscript"/>
          </w:rPr>
          <w:t xml:space="preserve">1212</w:t>
        </w:r>
      </w:hyperlink>
      <w:r>
        <w:rPr>
          <w:vertAlign w:val="superscript"/>
        </w:rPr>
        <w:t xml:space="preserve">]</w:t>
      </w:r>
      <w:r>
        <w:t xml:space="preserve">。匹配对照不同于随机分组，愿意参加并能完成静修的人可能本来就有特定的资源和动机；两周的随访也排除不了罕见、延迟出现或持续数月的问题。</w:t>
      </w:r>
    </w:p>
    <w:p>
      <w:pPr>
        <w:pStyle w:val="BodyText"/>
      </w:pPr>
      <w:r>
        <w:t xml:space="preserve">创伤敏感的正念练习提出了五条原则：把唤醒水平保持在可承受的范围内；需要时把注意转向能带来稳定感的对象；关照身体但不强求；在关系中练习；考虑练习者的社会处境。常见做法包括允许睁眼，把注意放在声音或手中物体等身体以外的对象上，缩短单次练习，随时允许停止</w:t>
      </w:r>
      <w:r>
        <w:rPr>
          <w:vertAlign w:val="superscript"/>
        </w:rPr>
        <w:t xml:space="preserve">[</w:t>
      </w:r>
      <w:hyperlink w:anchor="ref-1213">
        <w:r>
          <w:rPr>
            <w:rStyle w:val="Hyperlink"/>
            <w:vertAlign w:val="superscript"/>
          </w:rPr>
          <w:t xml:space="preserve">1213</w:t>
        </w:r>
      </w:hyperlink>
      <w:r>
        <w:rPr>
          <w:vertAlign w:val="superscript"/>
        </w:rPr>
        <w:t xml:space="preserve">]</w:t>
      </w:r>
      <w:r>
        <w:t xml:space="preserve">。这些原则主要来自临床经验，属于谨慎的过程设计，还没有在随机试验中逐一证明能预防伤害。筛查要了解当前的稳定性、既往的不良体验、睡眠、用药变化、物质使用、创伤反应和支持系统，再决定是否需要专业协作、调整形式或暂缓。</w:t>
      </w:r>
    </w:p>
    <w:p>
      <w:pPr>
        <w:pStyle w:val="CalloutMyth"/>
      </w:pPr>
      <w:r>
        <w:rPr>
          <w:bCs/>
          <w:b/>
        </w:rPr>
        <w:t xml:space="preserve">误解　</w:t>
      </w:r>
      <w:r>
        <w:t xml:space="preserve">冥想百利而无一害，出现不适说明“功夫还没到”，坚持下去就好。</w:t>
      </w:r>
    </w:p>
    <w:p>
      <w:pPr>
        <w:pStyle w:val="CalloutMyth"/>
      </w:pPr>
      <w:r>
        <w:rPr>
          <w:bCs/>
          <w:b/>
        </w:rPr>
        <w:t xml:space="preserve">实况　</w:t>
      </w:r>
      <w:r>
        <w:t xml:space="preserve">研究记录了许多短暂的不适，也记录了持续并影响功能的情况，例如持续的焦虑、失眠、解离或功能下降；不同场景下两类情况的比例还不能统一估计</w:t>
      </w:r>
      <w:r>
        <w:rPr>
          <w:vertAlign w:val="superscript"/>
        </w:rPr>
        <w:t xml:space="preserve">[</w:t>
      </w:r>
      <w:hyperlink w:anchor="ref-1198">
        <w:r>
          <w:rPr>
            <w:rStyle w:val="Hyperlink"/>
            <w:vertAlign w:val="superscript"/>
          </w:rPr>
          <w:t xml:space="preserve">1198</w:t>
        </w:r>
      </w:hyperlink>
      <w:r>
        <w:rPr>
          <w:vertAlign w:val="superscript"/>
        </w:rPr>
        <w:t xml:space="preserve">,</w:t>
      </w:r>
      <w:hyperlink w:anchor="ref-1210">
        <w:r>
          <w:rPr>
            <w:rStyle w:val="Hyperlink"/>
            <w:vertAlign w:val="superscript"/>
          </w:rPr>
          <w:t xml:space="preserve">1210</w:t>
        </w:r>
      </w:hyperlink>
      <w:r>
        <w:rPr>
          <w:vertAlign w:val="superscript"/>
        </w:rPr>
        <w:t xml:space="preserve">]</w:t>
      </w:r>
      <w:r>
        <w:t xml:space="preserve">。不适出现后，记下发生的时间、练习的内容和时长、此前的睡眠和用药变化、是否只在练习时出现、停下来之后的变化和对生活的影响，有助于判断下一步。症状持续加重或影响生活时，例如持续失眠、惊恐发作、持续的不真实感或与身体的疏离感、明显的功能下降，应暂停当前的强度，尽快找有能力评估的人；出现明显的睡眠需求减少同时精力和行为异常升高、幻觉或现实检验受损、严重的混乱、自杀或自伤的风险，或者无法维持基本的生活，需要及时就医或急诊评估，不必等它持续几天去满足某个统计定义。单独一次短暂的入睡前意象或练习中的身体感觉变化，仅凭“像幻觉”就当作精神病，并不恰当。判断要看持续时间、确信程度、清醒时的状态、痛苦程度和功能。时间上相随、减量后好转、再练又出现，会提高某种归因的可信度，但严重的事件不应为了验证因果而主动再次诱发。负责任的课程会允许学员随时暂停、调整强度或退出，提供可以联系的负责人和转介途径，不把持续失眠、惊恐、现实感异常或功能下降解释成必须硬撑的“进步”；课程教师可以协助调整和转介；需要临床评估时，要找有能力评估的人。睁眼练习、把注意放在外界声音上、缩短每次的时长，都是可以与老师讨论的调整，它们能否在高风险人群中预防严重伤害，还没有得到证实；老师、应用客服和设备都代替不了专业评估。</w:t>
      </w:r>
    </w:p>
    <w:p>
      <w:pPr>
        <w:pStyle w:val="CalloutJudgment"/>
      </w:pPr>
      <w:r>
        <w:rPr>
          <w:bCs/>
          <w:b/>
        </w:rPr>
        <w:t xml:space="preserve">判断　</w:t>
      </w:r>
      <w:r>
        <w:t xml:space="preserve">“冥想对所有人都安全”</w:t>
      </w:r>
      <w:r>
        <w:rPr>
          <w:bCs/>
          <w:b/>
        </w:rPr>
        <w:t xml:space="preserve">错误·高</w:t>
      </w:r>
      <w:r>
        <w:t xml:space="preserve">；“冥想存在不良反应的风险”</w:t>
      </w:r>
      <w:r>
        <w:rPr>
          <w:bCs/>
          <w:b/>
        </w:rPr>
        <w:t xml:space="preserve">成立·高</w:t>
      </w:r>
      <w:r>
        <w:t xml:space="preserve">：各研究的定义、问法和分母不同，单个人的绝对风险无法由这些平均数预测；“正念课程会让多数人变糟”</w:t>
      </w:r>
      <w:r>
        <w:rPr>
          <w:bCs/>
          <w:b/>
        </w:rPr>
        <w:t xml:space="preserve">错误·中</w:t>
      </w:r>
      <w:r>
        <w:t xml:space="preserve">：限于已研究、经过筛选和有支持的标准课程以及已测的症状；平均的改善与少数人的恶化可以同时存在，少见的严重事件需要远大于现有试验的样本才能估计。</w:t>
      </w:r>
    </w:p>
    <w:p>
      <w:pPr>
        <w:pStyle w:val="BodyText"/>
      </w:pPr>
      <w:r>
        <w:t xml:space="preserve">有些练习者把强烈、异常或愉悦体验视为进步，但体验强度未必与功能改善成正比。</w:t>
      </w:r>
    </w:p>
    <w:p>
      <w:pPr>
        <w:pStyle w:val="BodyText"/>
      </w:pPr>
      <w:r>
        <w:t xml:space="preserve">风险记录应包括退出和减少练习的人。若只询问坚持完成者，可能漏掉早期不适较重的人。匿名反馈与独立评估有助于降低对教师或团体的顾虑。课程的精神或文化地位不能代替这种基本责任。</w:t>
      </w:r>
    </w:p>
    <w:p>
      <w:pPr>
        <w:pStyle w:val="BodyText"/>
      </w:pPr>
      <w:r>
        <w:t xml:space="preserve">科学研究需要能够定义何时练习偏离目标，以及什么结果提示负担超过收益。</w:t>
      </w:r>
    </w:p>
    <w:bookmarkEnd w:id="1847"/>
    <w:bookmarkStart w:id="1848" w:name="sec-118-3"/>
    <w:p>
      <w:pPr>
        <w:pStyle w:val="Heading3"/>
      </w:pPr>
      <w:r>
        <w:t xml:space="preserve">118.3　“正念”本身难以测量</w:t>
      </w:r>
    </w:p>
    <w:p>
      <w:pPr>
        <w:pStyle w:val="FirstParagraph"/>
      </w:pPr>
      <w:r>
        <w:t xml:space="preserve">“正念”一词同时被用来指一种状态、一种人格特质、一种练习、一种课程和一个佛教概念</w:t>
      </w:r>
      <w:r>
        <w:rPr>
          <w:vertAlign w:val="superscript"/>
        </w:rPr>
        <w:t xml:space="preserve">[</w:t>
      </w:r>
      <w:hyperlink w:anchor="ref-970">
        <w:r>
          <w:rPr>
            <w:rStyle w:val="Hyperlink"/>
            <w:vertAlign w:val="superscript"/>
          </w:rPr>
          <w:t xml:space="preserve">970</w:t>
        </w:r>
      </w:hyperlink>
      <w:r>
        <w:rPr>
          <w:vertAlign w:val="superscript"/>
        </w:rPr>
        <w:t xml:space="preserve">]</w:t>
      </w:r>
      <w:r>
        <w:t xml:space="preserve">。研究中最常用的是自评量表，它的问题已讨论多年：题目缺少外部参照；不同人对“我常常注意不到自己在做什么”这类题目的理解不同；自评与实际行为常常对不上；冥想经验本身会改变人们回答题目的方式</w:t>
      </w:r>
      <w:r>
        <w:rPr>
          <w:vertAlign w:val="superscript"/>
        </w:rPr>
        <w:t xml:space="preserve">[</w:t>
      </w:r>
      <w:hyperlink w:anchor="ref-1214">
        <w:r>
          <w:rPr>
            <w:rStyle w:val="Hyperlink"/>
            <w:vertAlign w:val="superscript"/>
          </w:rPr>
          <w:t xml:space="preserve">1214</w:t>
        </w:r>
      </w:hyperlink>
      <w:r>
        <w:rPr>
          <w:vertAlign w:val="superscript"/>
        </w:rPr>
        <w:t xml:space="preserve">]</w:t>
      </w:r>
      <w:r>
        <w:t xml:space="preserve">。</w:t>
      </w:r>
    </w:p>
    <w:p>
      <w:pPr>
        <w:pStyle w:val="BodyText"/>
      </w:pPr>
      <w:r>
        <w:t xml:space="preserve">实验证据更直接。在一项三臂随机试验中，一门不含任何正念内容的健康促进课程，让五因素正念量表得分上升，上升幅度与正念减压没有显著差异</w:t>
      </w:r>
      <w:r>
        <w:rPr>
          <w:vertAlign w:val="superscript"/>
        </w:rPr>
        <w:t xml:space="preserve">[</w:t>
      </w:r>
      <w:hyperlink w:anchor="ref-1215">
        <w:r>
          <w:rPr>
            <w:rStyle w:val="Hyperlink"/>
            <w:vertAlign w:val="superscript"/>
          </w:rPr>
          <w:t xml:space="preserve">1215</w:t>
        </w:r>
      </w:hyperlink>
      <w:r>
        <w:rPr>
          <w:vertAlign w:val="superscript"/>
        </w:rPr>
        <w:t xml:space="preserve">]</w:t>
      </w:r>
      <w:r>
        <w:t xml:space="preserve">，这说明这个量表对正念课程缺乏特异性，上升可能反映了期待、需求特征、共同的心理技能，或者相近过程的真实改变。单凭这一点，还证明不了量表完全无效。另一项研究中，常用正念量表在正念训练和电脑注意训练后都会上升，只有呼吸计数这种行为测量对正念训练有特异的反应</w:t>
      </w:r>
      <w:r>
        <w:rPr>
          <w:vertAlign w:val="superscript"/>
        </w:rPr>
        <w:t xml:space="preserve">[</w:t>
      </w:r>
      <w:hyperlink w:anchor="ref-1216">
        <w:r>
          <w:rPr>
            <w:rStyle w:val="Hyperlink"/>
            <w:vertAlign w:val="superscript"/>
          </w:rPr>
          <w:t xml:space="preserve">1216</w:t>
        </w:r>
      </w:hyperlink>
      <w:r>
        <w:rPr>
          <w:vertAlign w:val="superscript"/>
        </w:rPr>
        <w:t xml:space="preserve">]</w:t>
      </w:r>
      <w:r>
        <w:t xml:space="preserve">；这是有用的线索，但任务成绩也包含注意维持、工作记忆、对计数规则的理解和对错误的察觉，单个任务不宜被提升为正念的“金标准”，脑成像、心率和皮质醇同样有信度、状态依赖和多义性的问题，看起来客观的设备并不自动具有更高的构念效度。2026 年对 21 种英文正念量表的系统评估发现，没有一种量表在同一道题里同时测量当下觉察与接纳态度</w:t>
      </w:r>
      <w:r>
        <w:rPr>
          <w:vertAlign w:val="superscript"/>
        </w:rPr>
        <w:t xml:space="preserve">[</w:t>
      </w:r>
      <w:hyperlink w:anchor="ref-1217">
        <w:r>
          <w:rPr>
            <w:rStyle w:val="Hyperlink"/>
            <w:vertAlign w:val="superscript"/>
          </w:rPr>
          <w:t xml:space="preserve">1217</w:t>
        </w:r>
      </w:hyperlink>
      <w:r>
        <w:rPr>
          <w:vertAlign w:val="superscript"/>
        </w:rPr>
        <w:t xml:space="preserve">]</w:t>
      </w:r>
      <w:r>
        <w:t xml:space="preserve">，这是按作者的定义得出的结论：每道题都同时包含两种成分，并不是所有心理测量模型的必要条件，多个分量表也可以按事先设定的测量模型共同表示一个多维的构念，强行在一道题里问两件事，还可能变成双重问题。训练本身也可能改变人们理解题目的参照系，更会察觉走神的人，可能对自己的评估更严格，同一个人训练前后的分数因此不一定可以直接比较；这不意味着任何分数下降都应解释为进步，需要用测量不变性（训练前后、不同语言和文化版本之间，量表测的是否还是同一个东西）、认知访谈和不同方法之间的关系来检验。比较稳妥的用法，是把自评正念分数当作候选的过程指标；要证明训练有效，还需要行为、临床或生理结局的证据。当一项研究说“正念水平提高与某脑区变化相关”时，需要先问正念是怎么测的。</w:t>
      </w:r>
    </w:p>
    <w:p>
      <w:pPr>
        <w:pStyle w:val="CalloutJudgment"/>
      </w:pPr>
      <w:r>
        <w:rPr>
          <w:bCs/>
          <w:b/>
        </w:rPr>
        <w:t xml:space="preserve">判断　</w:t>
      </w:r>
      <w:r>
        <w:t xml:space="preserve">“问卷得分上升说明人更正念了”</w:t>
      </w:r>
      <w:r>
        <w:rPr>
          <w:bCs/>
          <w:b/>
        </w:rPr>
        <w:t xml:space="preserve">证据不足·高</w:t>
      </w:r>
      <w:r>
        <w:t xml:space="preserve">：单凭某个自评正念分数上升，不能确认更广泛的正念能力、独特的作用机制或临床获益；分数仍是它所测的自报体验的资料，需要结合其他结局和测量假设来解释。每项研究第一次提到“正念水平”时，都应写明量表名称、分量表、时间框架和测量对象。</w:t>
      </w:r>
    </w:p>
    <w:bookmarkEnd w:id="1848"/>
    <w:bookmarkEnd w:id="1849"/>
    <w:bookmarkStart w:id="1857" w:name="ch-119"/>
    <w:p>
      <w:pPr>
        <w:pStyle w:val="Heading2"/>
      </w:pPr>
      <w:r>
        <w:t xml:space="preserve">第119章　冥想传统与神经科学怎样对接</w:t>
      </w:r>
    </w:p>
    <w:p>
      <w:pPr>
        <w:pStyle w:val="FirstParagraph"/>
      </w:pPr>
      <w:r>
        <w:t xml:space="preserve">正念冥想来自佛教等沉思传统。神经科学借用了传统的术语和练习，也在不知不觉中改变了它们的含义。这一章梳理几个关键概念的历史语境、主要用法和现代的操作定义，它们与神经科学构念对应到什么程度，以及神经科学能回答和不能回答的问题。佛教传统内部在时期、语言、经论和修行谱系上本来就有差别，瑜伽及其他沉思传统也不宜默认并入同一条佛教的发展线。</w:t>
      </w:r>
    </w:p>
    <w:bookmarkStart w:id="1850" w:name="sec-119-1"/>
    <w:p>
      <w:pPr>
        <w:pStyle w:val="Heading3"/>
      </w:pPr>
      <w:r>
        <w:t xml:space="preserve">119.1　sati 的语义范围与“正念”二字</w:t>
      </w:r>
    </w:p>
    <w:p>
      <w:pPr>
        <w:pStyle w:val="FirstParagraph"/>
      </w:pPr>
      <w:r>
        <w:t xml:space="preserve">巴利语 sati（梵语 smṛti）的词根与“记得”有关。经典对“念根”的定义包含两层：一层是“能忆念、随念很久以前所做、所说的事”，另一层是对身、受、心、法四个方面的持续观照</w:t>
      </w:r>
      <w:r>
        <w:rPr>
          <w:vertAlign w:val="superscript"/>
        </w:rPr>
        <w:t xml:space="preserve">[</w:t>
      </w:r>
      <w:hyperlink w:anchor="ref-1218">
        <w:r>
          <w:rPr>
            <w:rStyle w:val="Hyperlink"/>
            <w:vertAlign w:val="superscript"/>
          </w:rPr>
          <w:t xml:space="preserve">1218</w:t>
        </w:r>
      </w:hyperlink>
      <w:r>
        <w:rPr>
          <w:vertAlign w:val="superscript"/>
        </w:rPr>
        <w:t xml:space="preserve">]</w:t>
      </w:r>
      <w:r>
        <w:t xml:space="preserve">。“正念”（sammā-sati）是八正道的第七支；“念处”（satipaṭṭhāna）指对身、受、心、法的持续观照。汉译阿含译自与巴利尼柯耶相对应的印度语原本，用“念”和“正念”表达与巴利语 sati、sammā-sati 相应的术语；《杂阿含经》第 784 经回答“何等为正念”时说“念随顺，念不妄、不虚”</w:t>
      </w:r>
      <w:r>
        <w:rPr>
          <w:vertAlign w:val="superscript"/>
        </w:rPr>
        <w:t xml:space="preserve">[</w:t>
      </w:r>
      <w:hyperlink w:anchor="ref-1219">
        <w:r>
          <w:rPr>
            <w:rStyle w:val="Hyperlink"/>
            <w:vertAlign w:val="superscript"/>
          </w:rPr>
          <w:t xml:space="preserve">1219</w:t>
        </w:r>
      </w:hyperlink>
      <w:r>
        <w:rPr>
          <w:vertAlign w:val="superscript"/>
        </w:rPr>
        <w:t xml:space="preserve">]</w:t>
      </w:r>
      <w:r>
        <w:t xml:space="preserve">，这句短语要放在这部经讲八正道的整体语境里理解。用现代的“当下注意”反过来释义，并不妥当。经典里的 sati 常与 sampajañña（正知、明觉）连用：《相应部》47.2 教导比丘“应住于正念、正知”，并要求在前进后退、屈伸、穿衣、饮食、言语和沉默时都保持正知</w:t>
      </w:r>
      <w:r>
        <w:rPr>
          <w:vertAlign w:val="superscript"/>
        </w:rPr>
        <w:t xml:space="preserve">[</w:t>
      </w:r>
      <w:hyperlink w:anchor="ref-1220">
        <w:r>
          <w:rPr>
            <w:rStyle w:val="Hyperlink"/>
            <w:vertAlign w:val="superscript"/>
          </w:rPr>
          <w:t xml:space="preserve">1220</w:t>
        </w:r>
      </w:hyperlink>
      <w:r>
        <w:rPr>
          <w:vertAlign w:val="superscript"/>
        </w:rPr>
        <w:t xml:space="preserve">]</w:t>
      </w:r>
      <w:r>
        <w:t xml:space="preserve">。现代“正念”的说法里，“正知”这一层常被并入或省略。1881 年，英国学者里斯·戴维兹（T. W. Rhys Davids）在译作中用 mindfulness 翻译 sati，这一译法此后通行</w:t>
      </w:r>
      <w:r>
        <w:rPr>
          <w:vertAlign w:val="superscript"/>
        </w:rPr>
        <w:t xml:space="preserve">[</w:t>
      </w:r>
      <w:hyperlink w:anchor="ref-1221">
        <w:r>
          <w:rPr>
            <w:rStyle w:val="Hyperlink"/>
            <w:vertAlign w:val="superscript"/>
          </w:rPr>
          <w:t xml:space="preserve">1221</w:t>
        </w:r>
      </w:hyperlink>
      <w:r>
        <w:rPr>
          <w:vertAlign w:val="superscript"/>
        </w:rPr>
        <w:t xml:space="preserve">]</w:t>
      </w:r>
      <w:r>
        <w:t xml:space="preserve">；mindfulness 在佛经翻译之前就是一个一般的英文词，此后的通行和现代临床定义的形成也经历了多个阶段。它在二十世纪后半叶随正念减压进入医学，回到中文时用的是汉译佛典里早已有的“正念”一词，现代医学给这个旧词加上了新的临床操作含义；香港等地也译作“静观”，代表了另一种翻译选择。</w:t>
      </w:r>
    </w:p>
    <w:p>
      <w:pPr>
        <w:pStyle w:val="BodyText"/>
      </w:pPr>
      <w:r>
        <w:t xml:space="preserve">学者们指出，现代临床定义中的“有意识地、不加评判地关注当下”只覆盖了 sati 的一部分</w:t>
      </w:r>
      <w:r>
        <w:rPr>
          <w:vertAlign w:val="superscript"/>
        </w:rPr>
        <w:t xml:space="preserve">[</w:t>
      </w:r>
      <w:hyperlink w:anchor="ref-1221">
        <w:r>
          <w:rPr>
            <w:rStyle w:val="Hyperlink"/>
            <w:vertAlign w:val="superscript"/>
          </w:rPr>
          <w:t xml:space="preserve">1221</w:t>
        </w:r>
      </w:hyperlink>
      <w:r>
        <w:rPr>
          <w:vertAlign w:val="superscript"/>
        </w:rPr>
        <w:t xml:space="preserve">,</w:t>
      </w:r>
      <w:hyperlink w:anchor="ref-1222">
        <w:r>
          <w:rPr>
            <w:rStyle w:val="Hyperlink"/>
            <w:vertAlign w:val="superscript"/>
          </w:rPr>
          <w:t xml:space="preserve">1222</w:t>
        </w:r>
      </w:hyperlink>
      <w:r>
        <w:rPr>
          <w:vertAlign w:val="superscript"/>
        </w:rPr>
        <w:t xml:space="preserve">]</w:t>
      </w:r>
      <w:r>
        <w:t xml:space="preserve">。德雷福斯（Georges Dreyfus）的论证有三点：古典文献中的 sati 同样关乎过去；它的核心特征是“持住”所缘，让注意得以维持；它可以带有明确的评价，分辨善与不善。沙夫（Robert Sharf）则指出，“纯粹注意”这个现代正念的直接来源，形成于二十世纪上半叶缅甸的内观改革运动，在传统上座部内部就有争议</w:t>
      </w:r>
      <w:r>
        <w:rPr>
          <w:vertAlign w:val="superscript"/>
        </w:rPr>
        <w:t xml:space="preserve">[</w:t>
      </w:r>
      <w:hyperlink w:anchor="ref-1223">
        <w:r>
          <w:rPr>
            <w:rStyle w:val="Hyperlink"/>
            <w:vertAlign w:val="superscript"/>
          </w:rPr>
          <w:t xml:space="preserve">1223</w:t>
        </w:r>
      </w:hyperlink>
      <w:r>
        <w:rPr>
          <w:vertAlign w:val="superscript"/>
        </w:rPr>
        <w:t xml:space="preserve">]</w:t>
      </w:r>
      <w:r>
        <w:t xml:space="preserve">。这是他的谱系论证；所有观察类修法的来源，这一论证并没有全部覆盖。传统里的 sati 嵌在持戒、定、慧的整体修行结构里，服务于解脱这一目标。现代课程所说的“不评判”，多指暂缓自动的好恶和自责。它不要求永久取消伦理判断；把两种用法写清楚，可以减少人为扩大的冲突。以上是现代学者对文本和修行史的解释，各有材料范围和论证立场。</w:t>
      </w:r>
    </w:p>
    <w:p>
      <w:pPr>
        <w:pStyle w:val="BodyText"/>
      </w:pPr>
      <w:r>
        <w:t xml:space="preserve">另一方的意见同样值得一听。盖辛（Rupert Gethin）认为，定义上的差别在临床应用中的影响可能有限</w:t>
      </w:r>
      <w:r>
        <w:rPr>
          <w:vertAlign w:val="superscript"/>
        </w:rPr>
        <w:t xml:space="preserve">[</w:t>
      </w:r>
      <w:hyperlink w:anchor="ref-1221">
        <w:r>
          <w:rPr>
            <w:rStyle w:val="Hyperlink"/>
            <w:vertAlign w:val="superscript"/>
          </w:rPr>
          <w:t xml:space="preserve">1221</w:t>
        </w:r>
      </w:hyperlink>
      <w:r>
        <w:rPr>
          <w:vertAlign w:val="superscript"/>
        </w:rPr>
        <w:t xml:space="preserve">]</w:t>
      </w:r>
      <w:r>
        <w:t xml:space="preserve">，这是他的判断。临床试验还没有检验过它。台湾学者温宗堃（本人也是正念减压教师，评价他的论点要看文本论据，这一身份本身不削弱论证）反驳沙夫等人的批评，认为他们的文本取舍带有选择性，正念减压所说的正念既是西方的也是佛教的，既现代也传统</w:t>
      </w:r>
      <w:r>
        <w:rPr>
          <w:vertAlign w:val="superscript"/>
        </w:rPr>
        <w:t xml:space="preserve">[</w:t>
      </w:r>
      <w:hyperlink w:anchor="ref-1224">
        <w:r>
          <w:rPr>
            <w:rStyle w:val="Hyperlink"/>
            <w:vertAlign w:val="superscript"/>
          </w:rPr>
          <w:t xml:space="preserve">1224</w:t>
        </w:r>
      </w:hyperlink>
      <w:r>
        <w:rPr>
          <w:vertAlign w:val="superscript"/>
        </w:rPr>
        <w:t xml:space="preserve">]</w:t>
      </w:r>
      <w:r>
        <w:t xml:space="preserve">；他还以印顺法师的著作为材料，梳理出中文“正念”在汉传佛教中本来就有多重含义</w:t>
      </w:r>
      <w:r>
        <w:rPr>
          <w:vertAlign w:val="superscript"/>
        </w:rPr>
        <w:t xml:space="preserve">[</w:t>
      </w:r>
      <w:hyperlink w:anchor="ref-1225">
        <w:r>
          <w:rPr>
            <w:rStyle w:val="Hyperlink"/>
            <w:vertAlign w:val="superscript"/>
          </w:rPr>
          <w:t xml:space="preserve">1225</w:t>
        </w:r>
      </w:hyperlink>
      <w:r>
        <w:rPr>
          <w:vertAlign w:val="superscript"/>
        </w:rPr>
        <w:t xml:space="preserve">]</w:t>
      </w:r>
      <w:r>
        <w:t xml:space="preserve">。</w:t>
      </w:r>
    </w:p>
    <w:p>
      <w:pPr>
        <w:pStyle w:val="BodyText"/>
      </w:pPr>
      <w:r>
        <w:t xml:space="preserve">这一区分对读者有实际意义。神经科学中的“冥想”和“正念”覆盖多种研究对象：现代的临床课程、从传统改编的实验任务，以及资深修行者在特定谱系中训练出的状态。读研究时要核对练习的指导语、招募标准、经验和实际的任务，结论首先适用于这些被操作化的条件；它们与经典 sati 的对应程度，需要在文本和实践两个层面独立论证。“有意识、不评判地关注当下”是常用的现代工作定义之一，经典中的念、正念与正知还包含其他的语境和功能。</w:t>
      </w:r>
    </w:p>
    <w:p>
      <w:pPr>
        <w:pStyle w:val="CalloutJudgment"/>
      </w:pPr>
      <w:r>
        <w:rPr>
          <w:bCs/>
          <w:b/>
        </w:rPr>
        <w:t xml:space="preserve">判断　</w:t>
      </w:r>
      <w:r>
        <w:t xml:space="preserve">“正念就是佛教的 sati”</w:t>
      </w:r>
      <w:r>
        <w:rPr>
          <w:bCs/>
          <w:b/>
        </w:rPr>
        <w:t xml:space="preserve">部分成立·高</w:t>
      </w:r>
      <w:r>
        <w:t xml:space="preserve">；“正念 = 不评判地关注当下”是常用的现代工作定义，定义的流行、量表的效度和课程的疗效是三个不同的问题，作为对传统概念的完整解释</w:t>
      </w:r>
      <w:r>
        <w:rPr>
          <w:bCs/>
          <w:b/>
        </w:rPr>
        <w:t xml:space="preserve">过度简化·高</w:t>
      </w:r>
      <w:r>
        <w:t xml:space="preserve">；“sati 本义是记忆，所以 mindfulness 是误译”</w:t>
      </w:r>
      <w:r>
        <w:rPr>
          <w:bCs/>
          <w:b/>
        </w:rPr>
        <w:t xml:space="preserve">过度简化·中</w:t>
      </w:r>
      <w:r>
        <w:t xml:space="preserve">。</w:t>
      </w:r>
    </w:p>
    <w:bookmarkEnd w:id="1850"/>
    <w:bookmarkStart w:id="1851" w:name="sec-119-2"/>
    <w:p>
      <w:pPr>
        <w:pStyle w:val="Heading3"/>
      </w:pPr>
      <w:r>
        <w:t xml:space="preserve">119.2　止、观、禅那与三类练习</w:t>
      </w:r>
    </w:p>
    <w:p>
      <w:pPr>
        <w:pStyle w:val="FirstParagraph"/>
      </w:pPr>
      <w:r>
        <w:t xml:space="preserve">传统上常把禅修分为止（samatha，使心安住、专一）与观（vipassanā，如实观察身心现象的生灭与无常、苦、无我）。在一些传统的教学中，禅那（jhāna）与止的训练密切相关，指逐步深入的专注状态，传统以寻、伺、喜、乐、一境性等禅支来描述，不同经论对禅那与观的关系也有不同的组织方式；不同传统对禅那的深度、身体感受的去留和禅支的理解并不一致，研究中按 J1 到 J8 编号的八个阶段（四种色界禅加四种无色定），也不是各传统公认的同质序列</w:t>
      </w:r>
      <w:r>
        <w:rPr>
          <w:vertAlign w:val="superscript"/>
        </w:rPr>
        <w:t xml:space="preserve">[</w:t>
      </w:r>
      <w:hyperlink w:anchor="ref-1226">
        <w:r>
          <w:rPr>
            <w:rStyle w:val="Hyperlink"/>
            <w:vertAlign w:val="superscript"/>
          </w:rPr>
          <w:t xml:space="preserve">1226</w:t>
        </w:r>
      </w:hyperlink>
      <w:r>
        <w:rPr>
          <w:vertAlign w:val="superscript"/>
        </w:rPr>
        <w:t xml:space="preserve">]</w:t>
      </w:r>
      <w:r>
        <w:t xml:space="preserve">。</w:t>
      </w:r>
    </w:p>
    <w:p>
      <w:pPr>
        <w:pStyle w:val="BodyText"/>
      </w:pPr>
      <w:r>
        <w:t xml:space="preserve">神经科学的分类与此大致对应，边界并不严丝合缝。专注类练习（FA）接近止的入门训练；开放觉察类练习（OM）与观的某些形式相近，可是缅甸马哈希传统的内观要求对生起的现象逐一标记，本身带有很强的专注成分；慈心、悲心练习对应四无量心；藏传大圆满、大手印与汉传禅宗中“直指本心”一类修法，常被归入“非二元觉知”</w:t>
      </w:r>
      <w:r>
        <w:rPr>
          <w:vertAlign w:val="superscript"/>
        </w:rPr>
        <w:t xml:space="preserve">[</w:t>
      </w:r>
      <w:hyperlink w:anchor="ref-963">
        <w:r>
          <w:rPr>
            <w:rStyle w:val="Hyperlink"/>
            <w:vertAlign w:val="superscript"/>
          </w:rPr>
          <w:t xml:space="preserve">963</w:t>
        </w:r>
      </w:hyperlink>
      <w:r>
        <w:rPr>
          <w:vertAlign w:val="superscript"/>
        </w:rPr>
        <w:t xml:space="preserve">,</w:t>
      </w:r>
      <w:hyperlink w:anchor="ref-1227">
        <w:r>
          <w:rPr>
            <w:rStyle w:val="Hyperlink"/>
            <w:vertAlign w:val="superscript"/>
          </w:rPr>
          <w:t xml:space="preserve">1227</w:t>
        </w:r>
      </w:hyperlink>
      <w:r>
        <w:rPr>
          <w:vertAlign w:val="superscript"/>
        </w:rPr>
        <w:t xml:space="preserve">]</w:t>
      </w:r>
      <w:r>
        <w:t xml:space="preserve">。较新的分类把练习分为三族：训练注意的“注意族”（禅那、数息、持咒都归在这里），培养善意与正面认知模式的“建构族”（慈心、悲心、菩提心），通过自我探究带来洞察的“解构族”</w:t>
      </w:r>
      <w:r>
        <w:rPr>
          <w:vertAlign w:val="superscript"/>
        </w:rPr>
        <w:t xml:space="preserve">[</w:t>
      </w:r>
      <w:hyperlink w:anchor="ref-964">
        <w:r>
          <w:rPr>
            <w:rStyle w:val="Hyperlink"/>
            <w:vertAlign w:val="superscript"/>
          </w:rPr>
          <w:t xml:space="preserve">964</w:t>
        </w:r>
      </w:hyperlink>
      <w:r>
        <w:rPr>
          <w:vertAlign w:val="superscript"/>
        </w:rPr>
        <w:t xml:space="preserve">]</w:t>
      </w:r>
      <w:r>
        <w:t xml:space="preserve">。这些是现代的分析工具，不对应唯一的生理机制：一次练习可能同时包含专注、伦理意向、情绪调节和自我探究，持咒还包含语言、节奏、呼吸和意义，慈悲练习也需要注意，开放觉察往往包含监控和返回。比较研究时，最好把练习名称、实际指导语、心理过程、情境和测量分列出来，避免只凭标签分组。</w:t>
      </w:r>
    </w:p>
    <w:p>
      <w:pPr>
        <w:pStyle w:val="BodyText"/>
      </w:pPr>
      <w:r>
        <w:t xml:space="preserve">不同练习的脑活动并不相同。一项梳理 78 项功能成像研究、对其中 31 个实验做了定量汇总的元分析发现，专注、持咒、开放觉察、慈悲各有可区分的激活模式，不同技术之间的趋同是例外</w:t>
      </w:r>
      <w:r>
        <w:rPr>
          <w:vertAlign w:val="superscript"/>
        </w:rPr>
        <w:t xml:space="preserve">[</w:t>
      </w:r>
      <w:hyperlink w:anchor="ref-962">
        <w:r>
          <w:rPr>
            <w:rStyle w:val="Hyperlink"/>
            <w:vertAlign w:val="superscript"/>
          </w:rPr>
          <w:t xml:space="preserve">962</w:t>
        </w:r>
      </w:hyperlink>
      <w:r>
        <w:rPr>
          <w:vertAlign w:val="superscript"/>
        </w:rPr>
        <w:t xml:space="preserve">]</w:t>
      </w:r>
      <w:r>
        <w:t xml:space="preserve">；坐标汇总中的峰值收敛，不能直接证明每种技术都有稳定、可识别的专属脑图，任务基线、睁眼闭眼、经验和分析阈值的不同，同样会产生图谱上的差别。默认模式网络是个好例子：一项对 22 名资深藏传练习者的研究发现，专注练习时外向注意系统与默认网络的反相关增强，非二元觉知时这种反相关减弱</w:t>
      </w:r>
      <w:r>
        <w:rPr>
          <w:vertAlign w:val="superscript"/>
        </w:rPr>
        <w:t xml:space="preserve">[</w:t>
      </w:r>
      <w:hyperlink w:anchor="ref-1228">
        <w:r>
          <w:rPr>
            <w:rStyle w:val="Hyperlink"/>
            <w:vertAlign w:val="superscript"/>
          </w:rPr>
          <w:t xml:space="preserve">1228</w:t>
        </w:r>
      </w:hyperlink>
      <w:r>
        <w:rPr>
          <w:vertAlign w:val="superscript"/>
        </w:rPr>
        <w:t xml:space="preserve">]</w:t>
      </w:r>
      <w:r>
        <w:t xml:space="preserve">，这个结果依赖预处理和对照条件，单独一项研究不能当作整个传统的神经签名。“所有冥想都让默认网络安静下来”因此是过度概括。</w:t>
      </w:r>
    </w:p>
    <w:p>
      <w:pPr>
        <w:pStyle w:val="CalloutPractice"/>
      </w:pPr>
      <w:r>
        <w:rPr>
          <w:bCs/>
          <w:b/>
        </w:rPr>
        <w:t xml:space="preserve">提示　</w:t>
      </w:r>
      <w:r>
        <w:t xml:space="preserve">读到“冥想研究”时，留意它研究的是哪一族练习。止与观、专注与开放、建构与解构，大脑参与方式不同，适用的人和风险也不同（</w:t>
      </w:r>
      <w:hyperlink w:anchor="sec-118-2">
        <w:r>
          <w:rPr>
            <w:rStyle w:val="Hyperlink"/>
          </w:rPr>
          <w:t xml:space="preserve">118.2 节</w:t>
        </w:r>
      </w:hyperlink>
      <w:r>
        <w:t xml:space="preserve">提到，只做解构类练习的人报告不愉快体验更多，这是观察到的关联，可能混有练习强度、静修、既往的心理状态和选择进入这类练习的原因）。</w:t>
      </w:r>
    </w:p>
    <w:bookmarkEnd w:id="1851"/>
    <w:bookmarkStart w:id="1852" w:name="sec-119-3"/>
    <w:p>
      <w:pPr>
        <w:pStyle w:val="Heading3"/>
      </w:pPr>
      <w:r>
        <w:t xml:space="preserve">119.3　慈悲与共情</w:t>
      </w:r>
    </w:p>
    <w:p>
      <w:pPr>
        <w:pStyle w:val="FirstParagraph"/>
      </w:pPr>
      <w:r>
        <w:t xml:space="preserve">慈悲训练是神经科学研究较深入的一类传统练习。共情包括认知上的理解和情感上的分享，情感分享又可能转向以自己为中心的痛苦，或者以他人为中心的关怀。辛格（Tania Singer）团队在莱比锡马普所和苏黎世大学的一组研究，重点比较的是情感共情引出的痛苦与慈悲式的关怀，把“共情”（这里指感受他人的痛苦）与“慈悲”（以关怀和善意回应他人的痛苦）分开训练：共情训练让受试者对他人痛苦的负面情绪增强，前岛叶和前扣带中部的反应增强；随后的慈悲训练扭转了负面情绪，激活内侧眶额皮层、腹侧纹状体等与奖赏和归属有关的区域</w:t>
      </w:r>
      <w:r>
        <w:rPr>
          <w:vertAlign w:val="superscript"/>
        </w:rPr>
        <w:t xml:space="preserve">[</w:t>
      </w:r>
      <w:hyperlink w:anchor="ref-1229">
        <w:r>
          <w:rPr>
            <w:rStyle w:val="Hyperlink"/>
            <w:vertAlign w:val="superscript"/>
          </w:rPr>
          <w:t xml:space="preserve">1229</w:t>
        </w:r>
      </w:hyperlink>
      <w:r>
        <w:rPr>
          <w:vertAlign w:val="superscript"/>
        </w:rPr>
        <w:t xml:space="preserve">,</w:t>
      </w:r>
      <w:hyperlink w:anchor="ref-1230">
        <w:r>
          <w:rPr>
            <w:rStyle w:val="Hyperlink"/>
            <w:vertAlign w:val="superscript"/>
          </w:rPr>
          <w:t xml:space="preserve">1230</w:t>
        </w:r>
      </w:hyperlink>
      <w:r>
        <w:rPr>
          <w:vertAlign w:val="superscript"/>
        </w:rPr>
        <w:t xml:space="preserve">]</w:t>
      </w:r>
      <w:r>
        <w:t xml:space="preserve">。另一项随机试验让 41 人接受两周、每天 30 分钟的慈悲训练或认知重评训练，慈悲组在经济游戏中把更多的钱分给受害者，利他程度与训练后顶下小叶、背外侧前额叶活动的变化相关</w:t>
      </w:r>
      <w:r>
        <w:rPr>
          <w:vertAlign w:val="superscript"/>
        </w:rPr>
        <w:t xml:space="preserve">[</w:t>
      </w:r>
      <w:hyperlink w:anchor="ref-1231">
        <w:r>
          <w:rPr>
            <w:rStyle w:val="Hyperlink"/>
            <w:vertAlign w:val="superscript"/>
          </w:rPr>
          <w:t xml:space="preserve">1231</w:t>
        </w:r>
      </w:hyperlink>
      <w:r>
        <w:rPr>
          <w:vertAlign w:val="superscript"/>
        </w:rPr>
        <w:t xml:space="preserve">]</w:t>
      </w:r>
      <w:r>
        <w:t xml:space="preserve">。先做共情训练、再做慈悲训练的顺序设计，需要区分顺序、练习时长、刺激重复和训练本身的作用；奖赏与归属相关区域的参与，也不能仅凭解剖名称证明受试者体验到了关怀。经济游戏中的转移金额是具体、可观察的行为，适用范围限于这个任务、短期的转移和有限的样本。持久的伦理品质需要另外的证据。</w:t>
      </w:r>
    </w:p>
    <w:p>
      <w:pPr>
        <w:pStyle w:val="BodyText"/>
      </w:pPr>
      <w:r>
        <w:t xml:space="preserve">这些结果对照护者和助人职业者可能有现实意义，这是候选的实践含义：持续的共情痛苦可能与耗竭有关，以关怀为导向的回应方式也许更可持续；真实职业人群中的工作负荷、资源、团队支持和长期结局还需要直接研究，还不能说已经找到了预防职业耗竭的更优方案。同时要记得，样本都小，结局多是实验室任务；对慈心类冥想的元分析发现，与主动对照相比效果不确定</w:t>
      </w:r>
      <w:r>
        <w:rPr>
          <w:vertAlign w:val="superscript"/>
        </w:rPr>
        <w:t xml:space="preserve">[</w:t>
      </w:r>
      <w:hyperlink w:anchor="ref-1232">
        <w:r>
          <w:rPr>
            <w:rStyle w:val="Hyperlink"/>
            <w:vertAlign w:val="superscript"/>
          </w:rPr>
          <w:t xml:space="preserve">1232</w:t>
        </w:r>
      </w:hyperlink>
      <w:r>
        <w:rPr>
          <w:vertAlign w:val="superscript"/>
        </w:rPr>
        <w:t xml:space="preserve">]</w:t>
      </w:r>
      <w:r>
        <w:t xml:space="preserve">，冥想对亲社会行为的总体证据也偏弱（见</w:t>
      </w:r>
      <w:r>
        <w:t xml:space="preserve"> </w:t>
      </w:r>
      <w:hyperlink w:anchor="sec-117-5">
        <w:r>
          <w:rPr>
            <w:rStyle w:val="Hyperlink"/>
          </w:rPr>
          <w:t xml:space="preserve">117.5</w:t>
        </w:r>
      </w:hyperlink>
      <w:r>
        <w:t xml:space="preserve">）。</w:t>
      </w:r>
    </w:p>
    <w:p>
      <w:pPr>
        <w:pStyle w:val="CalloutJudgment"/>
      </w:pPr>
      <w:r>
        <w:rPr>
          <w:bCs/>
          <w:b/>
        </w:rPr>
        <w:t xml:space="preserve">判断　</w:t>
      </w:r>
      <w:r>
        <w:t xml:space="preserve">“慈悲与共情痛苦在脑内可以区分”</w:t>
      </w:r>
      <w:r>
        <w:rPr>
          <w:bCs/>
          <w:b/>
        </w:rPr>
        <w:t xml:space="preserve">部分成立·中</w:t>
      </w:r>
      <w:r>
        <w:t xml:space="preserve">；“慈心冥想让人变得更善良”</w:t>
      </w:r>
      <w:r>
        <w:rPr>
          <w:bCs/>
          <w:b/>
        </w:rPr>
        <w:t xml:space="preserve">夸大·中</w:t>
      </w:r>
      <w:r>
        <w:t xml:space="preserve">：某些情境下的亲社会行为有改善，向日常的长期行为推广尚不确定。</w:t>
      </w:r>
    </w:p>
    <w:bookmarkEnd w:id="1852"/>
    <w:bookmarkStart w:id="1853" w:name="sec-119-4"/>
    <w:p>
      <w:pPr>
        <w:pStyle w:val="Heading3"/>
      </w:pPr>
      <w:r>
        <w:t xml:space="preserve">119.4　无我、自我与默认模式网络</w:t>
      </w:r>
    </w:p>
    <w:p>
      <w:pPr>
        <w:pStyle w:val="FirstParagraph"/>
      </w:pPr>
      <w:r>
        <w:t xml:space="preserve">佛教的无我（anattā）教义指出，在身心现象中找不到一个恒常、独立、自主的“我”。神经科学研究的“自我”则分为几个层次：把经历串成故事的叙事自我，与此刻身体和感受相连的最小自我（体验自我）</w:t>
      </w:r>
      <w:r>
        <w:rPr>
          <w:vertAlign w:val="superscript"/>
        </w:rPr>
        <w:t xml:space="preserve">[</w:t>
      </w:r>
      <w:hyperlink w:anchor="ref-977">
        <w:r>
          <w:rPr>
            <w:rStyle w:val="Hyperlink"/>
            <w:vertAlign w:val="superscript"/>
          </w:rPr>
          <w:t xml:space="preserve">977</w:t>
        </w:r>
      </w:hyperlink>
      <w:r>
        <w:rPr>
          <w:vertAlign w:val="superscript"/>
        </w:rPr>
        <w:t xml:space="preserve">]</w:t>
      </w:r>
      <w:r>
        <w:t xml:space="preserve">。一项脑磁图研究让 12 名长期内观练习者在叙事自我、最小自我和“无自我”状态之间切换：叙事自我减弱伴随额叶高频 γ 活动下降，最小自我减弱伴随腹内侧前额叶和顶叶 β 活动下降，“无自我”与右侧顶下小叶的 β 减弱有关</w:t>
      </w:r>
      <w:r>
        <w:rPr>
          <w:vertAlign w:val="superscript"/>
        </w:rPr>
        <w:t xml:space="preserve">[</w:t>
      </w:r>
      <w:hyperlink w:anchor="ref-1233">
        <w:r>
          <w:rPr>
            <w:rStyle w:val="Hyperlink"/>
            <w:vertAlign w:val="superscript"/>
          </w:rPr>
          <w:t xml:space="preserve">1233</w:t>
        </w:r>
      </w:hyperlink>
      <w:r>
        <w:rPr>
          <w:vertAlign w:val="superscript"/>
        </w:rPr>
        <w:t xml:space="preserve">]</w:t>
      </w:r>
      <w:r>
        <w:t xml:space="preserve">。2024 年一项预注册的研究对 46 名长期冥想者做了脑磁图加深度访谈，发现后内侧皮层高 β 频段（约 21–30 赫兹）活动的下降主要来自一个亚组：报告“主体感和第一人称视角彻底瓦解”的 12 人；这一下降与访谈得出的体验变化和终生练习量相关，与标准问卷不相关</w:t>
      </w:r>
      <w:r>
        <w:rPr>
          <w:vertAlign w:val="superscript"/>
        </w:rPr>
        <w:t xml:space="preserve">[</w:t>
      </w:r>
      <w:hyperlink w:anchor="ref-1234">
        <w:r>
          <w:rPr>
            <w:rStyle w:val="Hyperlink"/>
            <w:vertAlign w:val="superscript"/>
          </w:rPr>
          <w:t xml:space="preserve">1234</w:t>
        </w:r>
      </w:hyperlink>
      <w:r>
        <w:rPr>
          <w:vertAlign w:val="superscript"/>
        </w:rPr>
        <w:t xml:space="preserve">]</w:t>
      </w:r>
      <w:r>
        <w:t xml:space="preserve">。论文没有为脑磁图的组间对比报告 d 值一类的标准化效应量；完全消融的亚组平均年龄较高（约 48 岁对 37 岁），控制年龄后亚组差异的 p 值约为 0.06，p 值在 0.05 上下的变化只说明结果对模型选择敏感，应当看估计值和区间；分组依赖访谈编码，46 人也解决不了跨传统、跨文化的测量问题。2026 年一项研究在这批数据中保留 41 份完整记录，用机器学习从脑磁图区分“自我边界消融”与休息：在同一人的数据内准确率约 64%，换到训练时没见过的人身上约 57%，高于随机但很有限；区分“消融”与“保持自我边界”时只有约 53% 到 54%，统计上仍高于随机，已很接近随机水平</w:t>
      </w:r>
      <w:r>
        <w:rPr>
          <w:vertAlign w:val="superscript"/>
        </w:rPr>
        <w:t xml:space="preserve">[</w:t>
      </w:r>
      <w:hyperlink w:anchor="ref-1235">
        <w:r>
          <w:rPr>
            <w:rStyle w:val="Hyperlink"/>
            <w:vertAlign w:val="superscript"/>
          </w:rPr>
          <w:t xml:space="preserve">1235</w:t>
        </w:r>
      </w:hyperlink>
      <w:r>
        <w:rPr>
          <w:vertAlign w:val="superscript"/>
        </w:rPr>
        <w:t xml:space="preserve">]</w:t>
      </w:r>
      <w:r>
        <w:t xml:space="preserve">；高于随机水平并不产生识别个人的用途，那还需要类别的基率、平衡准确率、校准、置换检验、跨人的重复和外部队列。这是对同一批受试者的再分析，计数时与原研究算作一项；训练与测试按人分开，这一安排值得肯定。</w:t>
      </w:r>
    </w:p>
    <w:p>
      <w:pPr>
        <w:pStyle w:val="BodyText"/>
      </w:pPr>
      <w:r>
        <w:t xml:space="preserve">哲学家梅辛格（Thomas Metzinger）主持的“最小现象经验”项目在线收集冥想者对“纯粹觉知”体验的描述，最终可用的记录 1403 份，约占 3627 份回答的 39%（这不是受邀者的回应率，在线调查还受自选、语言、理解、去重和排除规则的影响），归纳出 12 个维度</w:t>
      </w:r>
      <w:r>
        <w:rPr>
          <w:vertAlign w:val="superscript"/>
        </w:rPr>
        <w:t xml:space="preserve">[</w:t>
      </w:r>
      <w:hyperlink w:anchor="ref-1236">
        <w:r>
          <w:rPr>
            <w:rStyle w:val="Hyperlink"/>
            <w:vertAlign w:val="superscript"/>
          </w:rPr>
          <w:t xml:space="preserve">1236</w:t>
        </w:r>
      </w:hyperlink>
      <w:r>
        <w:rPr>
          <w:vertAlign w:val="superscript"/>
        </w:rPr>
        <w:t xml:space="preserve">]</w:t>
      </w:r>
      <w:r>
        <w:t xml:space="preserve">。维度的数目取决于问卷、样本和分析方法，这类体验未必恰好由 12 个成分构成；他 2024 年的专著整理了五百多份体验报告</w:t>
      </w:r>
      <w:r>
        <w:rPr>
          <w:vertAlign w:val="superscript"/>
        </w:rPr>
        <w:t xml:space="preserve">[</w:t>
      </w:r>
      <w:hyperlink w:anchor="ref-1237">
        <w:r>
          <w:rPr>
            <w:rStyle w:val="Hyperlink"/>
            <w:vertAlign w:val="superscript"/>
          </w:rPr>
          <w:t xml:space="preserve">1237</w:t>
        </w:r>
      </w:hyperlink>
      <w:r>
        <w:rPr>
          <w:vertAlign w:val="superscript"/>
        </w:rPr>
        <w:t xml:space="preserve">]</w:t>
      </w:r>
      <w:r>
        <w:t xml:space="preserve">。也有研究者认为，非二元觉知是一种独特的觉知类型，无法用“唤醒水平加现象内容”的二维模型充分刻画，需要与“最小现象经验”区分开来研究</w:t>
      </w:r>
      <w:r>
        <w:rPr>
          <w:vertAlign w:val="superscript"/>
        </w:rPr>
        <w:t xml:space="preserve">[</w:t>
      </w:r>
      <w:hyperlink w:anchor="ref-1238">
        <w:r>
          <w:rPr>
            <w:rStyle w:val="Hyperlink"/>
            <w:vertAlign w:val="superscript"/>
          </w:rPr>
          <w:t xml:space="preserve">1238</w:t>
        </w:r>
      </w:hyperlink>
      <w:r>
        <w:rPr>
          <w:vertAlign w:val="superscript"/>
        </w:rPr>
        <w:t xml:space="preserve">]</w:t>
      </w:r>
      <w:r>
        <w:t xml:space="preserve">；它是否构成一种独立的类型，是理论上的争论，需要识别标准、可靠性和模型比较。“已经发现了一种唯一的生物学类别”这种写法，目前没有依据。</w:t>
      </w:r>
    </w:p>
    <w:p>
      <w:pPr>
        <w:pStyle w:val="BodyText"/>
      </w:pPr>
      <w:r>
        <w:t xml:space="preserve">迷幻药研究常被拿来与冥想类比，流行的说法是“迷幻药和深度冥想在脑内做的是同一件事”。两者确有可比之处：静脉注射裸盖菇素后，前扣带与内侧前额叶的活动下降，下降幅度与主观效应的强度相关，内侧前额叶与后扣带回之间的正向耦合也减弱</w:t>
      </w:r>
      <w:r>
        <w:rPr>
          <w:vertAlign w:val="superscript"/>
        </w:rPr>
        <w:t xml:space="preserve">[</w:t>
      </w:r>
      <w:hyperlink w:anchor="ref-1239">
        <w:r>
          <w:rPr>
            <w:rStyle w:val="Hyperlink"/>
            <w:vertAlign w:val="superscript"/>
          </w:rPr>
          <w:t xml:space="preserve">1239</w:t>
        </w:r>
      </w:hyperlink>
      <w:r>
        <w:rPr>
          <w:vertAlign w:val="superscript"/>
        </w:rPr>
        <w:t xml:space="preserve">]</w:t>
      </w:r>
      <w:r>
        <w:t xml:space="preserve">；资深冥想者冥想时，默认网络的部分节点活动同样会降低（见</w:t>
      </w:r>
      <w:r>
        <w:t xml:space="preserve"> </w:t>
      </w:r>
      <w:hyperlink w:anchor="sec-111-1">
        <w:r>
          <w:rPr>
            <w:rStyle w:val="Hyperlink"/>
          </w:rPr>
          <w:t xml:space="preserve">111.1</w:t>
        </w:r>
      </w:hyperlink>
      <w:r>
        <w:t xml:space="preserve">）。差别同样清楚（这里的比较针对经典的、作用于血清素 2A 受体的致幻剂，各种迷幻药的受体作用并不完全相同）：裸盖菇素的精神效应依赖血清素 2A 受体，预先服用这种受体的阻断剂酮色林，可以按剂量阻断这些效应</w:t>
      </w:r>
      <w:r>
        <w:rPr>
          <w:vertAlign w:val="superscript"/>
        </w:rPr>
        <w:t xml:space="preserve">[</w:t>
      </w:r>
      <w:hyperlink w:anchor="ref-1240">
        <w:r>
          <w:rPr>
            <w:rStyle w:val="Hyperlink"/>
            <w:vertAlign w:val="superscript"/>
          </w:rPr>
          <w:t xml:space="preserve">1240</w:t>
        </w:r>
      </w:hyperlink>
      <w:r>
        <w:rPr>
          <w:vertAlign w:val="superscript"/>
        </w:rPr>
        <w:t xml:space="preserve">]</w:t>
      </w:r>
      <w:r>
        <w:t xml:space="preserve">，冥想没有已知的这类受体作用；默认网络活动降低在许多任务中都会出现，单凭这一点说明不了两种状态相同。2019 年一项双盲随机对照试验让 38 名参加 5 天正念静修的人服用单剂裸盖菇素或安慰剂，裸盖菇素组在正念练习中的自我消融体验更强，体验强度与内侧前额叶和后扣带回之间的解耦相关，并能预测 4 个月后社会心理功能的积极变化</w:t>
      </w:r>
      <w:r>
        <w:rPr>
          <w:vertAlign w:val="superscript"/>
        </w:rPr>
        <w:t xml:space="preserve">[</w:t>
      </w:r>
      <w:hyperlink w:anchor="ref-1241">
        <w:r>
          <w:rPr>
            <w:rStyle w:val="Hyperlink"/>
            <w:vertAlign w:val="superscript"/>
          </w:rPr>
          <w:t xml:space="preserve">1241</w:t>
        </w:r>
      </w:hyperlink>
      <w:r>
        <w:rPr>
          <w:vertAlign w:val="superscript"/>
        </w:rPr>
        <w:t xml:space="preserve">]</w:t>
      </w:r>
      <w:r>
        <w:t xml:space="preserve">。这项研究检验了在静修情境中加用药物的效果，没有不参加静修的对照组，缺少药物与静修的完整析因组合，识别不了两者的协同，四个月后的相关预测也不能直接解读为体验机制导致了社会心理的改善；受试者还可能从体验的强弱猜出自己的组别。冥想与迷幻药是否等价，它回答不了。</w:t>
      </w:r>
    </w:p>
    <w:p>
      <w:pPr>
        <w:pStyle w:val="BodyText"/>
      </w:pPr>
      <w:r>
        <w:t xml:space="preserve">这些研究支持一个较为谨慎的结论：自我感的若干可报告的维度可以变化，并与特定的脑活动变化相关；在一定的实验条件下，练习者能按指导调节这些状态。训练的长期因果作用需要纵向对照来检验。这样的表述不预先裁决自我是否真实、是否只是一种构造，或者能否完全还原；它们也无法裁决“无我”作为哲学或解脱论命题是否为真。脑成像能显示自我感变弱时大脑在做什么。此时看见的是不是“实相”，属于另一类问题。</w:t>
      </w:r>
    </w:p>
    <w:p>
      <w:pPr>
        <w:pStyle w:val="CalloutJudgment"/>
      </w:pPr>
      <w:r>
        <w:rPr>
          <w:bCs/>
          <w:b/>
        </w:rPr>
        <w:t xml:space="preserve">判断　</w:t>
      </w:r>
      <w:r>
        <w:t xml:space="preserve">“脑科学证明自我是幻觉”</w:t>
      </w:r>
      <w:r>
        <w:rPr>
          <w:bCs/>
          <w:b/>
        </w:rPr>
        <w:t xml:space="preserve">错误·高</w:t>
      </w:r>
      <w:r>
        <w:t xml:space="preserve">：神经科学可以检验关于自我的某些经验性主张，单凭一个网络指标解决不了它的全部哲学含义；“无我状态就是默认网络关闭”</w:t>
      </w:r>
      <w:r>
        <w:rPr>
          <w:bCs/>
          <w:b/>
        </w:rPr>
        <w:t xml:space="preserve">过度简化·中</w:t>
      </w:r>
      <w:r>
        <w:t xml:space="preserve">：定义过粗，这些实验也没有证明脑网络整体停机；“冥想与迷幻药在脑内做的是同一件事”</w:t>
      </w:r>
      <w:r>
        <w:rPr>
          <w:bCs/>
          <w:b/>
        </w:rPr>
        <w:t xml:space="preserve">过度简化·高</w:t>
      </w:r>
      <w:r>
        <w:t xml:space="preserve">。</w:t>
      </w:r>
    </w:p>
    <w:bookmarkEnd w:id="1853"/>
    <w:bookmarkStart w:id="1854" w:name="sec-119-5"/>
    <w:p>
      <w:pPr>
        <w:pStyle w:val="Heading3"/>
      </w:pPr>
      <w:r>
        <w:t xml:space="preserve">119.5　高阶冥想研究：禅那、灭尽与“觉醒”</w:t>
      </w:r>
    </w:p>
    <w:p>
      <w:pPr>
        <w:pStyle w:val="FirstParagraph"/>
      </w:pPr>
      <w:r>
        <w:t xml:space="preserve">2020 年以来，“高阶冥想”成为一个新兴方向，以哈佛医学院附属麻省总医院的冥想研究项目为代表。研究对象是传统上描述的深度状态和阶段，例如禅那、“灭尽”（练习者报告的短暂体验中断、连续性缺失或意识缺席感，与传统的 nirodha 相关，不同研究和传统对它的定义不同；事后没有记忆、当时没有报告、行为上没有反应和完全没有主观体验，是互不等价的几件事，每项实验都需要说明操作化的是哪一种），以及各传统所说的“觉醒”或“入流”。理论文章汇总了练习者对灭尽体验的报告，并尝试用预测加工框架解释它</w:t>
      </w:r>
      <w:r>
        <w:rPr>
          <w:vertAlign w:val="superscript"/>
        </w:rPr>
        <w:t xml:space="preserve">[</w:t>
      </w:r>
      <w:hyperlink w:anchor="ref-1242">
        <w:r>
          <w:rPr>
            <w:rStyle w:val="Hyperlink"/>
            <w:vertAlign w:val="superscript"/>
          </w:rPr>
          <w:t xml:space="preserve">1242</w:t>
        </w:r>
      </w:hyperlink>
      <w:r>
        <w:rPr>
          <w:vertAlign w:val="superscript"/>
        </w:rPr>
        <w:t xml:space="preserve">]</w:t>
      </w:r>
      <w:r>
        <w:t xml:space="preserve">。</w:t>
      </w:r>
    </w:p>
    <w:p>
      <w:pPr>
        <w:pStyle w:val="BodyText"/>
      </w:pPr>
      <w:r>
        <w:t xml:space="preserve">这一方向的证据大多来自密集采样的个案，群体研究刚刚起步。一位禅那练习者在 7 特斯拉磁共振中完成 27 次扫描</w:t>
      </w:r>
      <w:r>
        <w:rPr>
          <w:vertAlign w:val="superscript"/>
        </w:rPr>
        <w:t xml:space="preserve">[</w:t>
      </w:r>
      <w:hyperlink w:anchor="ref-1226">
        <w:r>
          <w:rPr>
            <w:rStyle w:val="Hyperlink"/>
            <w:vertAlign w:val="superscript"/>
          </w:rPr>
          <w:t xml:space="preserve">1226</w:t>
        </w:r>
      </w:hyperlink>
      <w:r>
        <w:rPr>
          <w:vertAlign w:val="superscript"/>
        </w:rPr>
        <w:t xml:space="preserve">]</w:t>
      </w:r>
      <w:r>
        <w:t xml:space="preserve">，后续至少还有一篇论文明确使用了同一套数据</w:t>
      </w:r>
      <w:r>
        <w:rPr>
          <w:vertAlign w:val="superscript"/>
        </w:rPr>
        <w:t xml:space="preserve">[</w:t>
      </w:r>
      <w:hyperlink w:anchor="ref-1243">
        <w:r>
          <w:rPr>
            <w:rStyle w:val="Hyperlink"/>
            <w:vertAlign w:val="superscript"/>
          </w:rPr>
          <w:t xml:space="preserve">1243</w:t>
        </w:r>
      </w:hyperlink>
      <w:r>
        <w:rPr>
          <w:vertAlign w:val="superscript"/>
        </w:rPr>
        <w:t xml:space="preserve">]</w:t>
      </w:r>
      <w:r>
        <w:t xml:space="preserve">；灭尽的脑电研究只涉及一位练习者在 29 次记录中的事件，从练习者自评为 A 级的 46 次事件中，按事件间隔等条件选出 37 次，结果显示灭尽前约 40 秒开始出现大范围 α 活动下降</w:t>
      </w:r>
      <w:r>
        <w:rPr>
          <w:vertAlign w:val="superscript"/>
        </w:rPr>
        <w:t xml:space="preserve">[</w:t>
      </w:r>
      <w:hyperlink w:anchor="ref-1244">
        <w:r>
          <w:rPr>
            <w:rStyle w:val="Hyperlink"/>
            <w:vertAlign w:val="superscript"/>
          </w:rPr>
          <w:t xml:space="preserve">1244</w:t>
        </w:r>
      </w:hyperlink>
      <w:r>
        <w:rPr>
          <w:vertAlign w:val="superscript"/>
        </w:rPr>
        <w:t xml:space="preserve">]</w:t>
      </w:r>
      <w:r>
        <w:t xml:space="preserve">；同一套数据的后续分析发现，事件前约 21 秒到 3 秒之间全脑 α 频段的连接线性下降，事件后到约 40 秒逐渐回升</w:t>
      </w:r>
      <w:r>
        <w:rPr>
          <w:vertAlign w:val="superscript"/>
        </w:rPr>
        <w:t xml:space="preserve">[</w:t>
      </w:r>
      <w:hyperlink w:anchor="ref-1245">
        <w:r>
          <w:rPr>
            <w:rStyle w:val="Hyperlink"/>
            <w:vertAlign w:val="superscript"/>
          </w:rPr>
          <w:t xml:space="preserve">1245</w:t>
        </w:r>
      </w:hyperlink>
      <w:r>
        <w:rPr>
          <w:vertAlign w:val="superscript"/>
        </w:rPr>
        <w:t xml:space="preserve">]</w:t>
      </w:r>
      <w:r>
        <w:t xml:space="preserve">。两项分析都因眨眼和动作伪迹，剔除了包含事件的数据段及其前后相邻的数据（后续分析中约为事件前后各 3 秒），事件当下的神经过程无法分析；研究也没有测量每次灭尽持续多久；37 个事件出自同一个人，彼此并不独立，对人群的推广和独立的样本量因此受到限制。恰当的时间序列或随机效应模型，仍能估计个人内部的状态差异。这位练习者本人是论文作者之一，两篇论文的利益声明都披露，开展研究的实验室曾接受他的研究资助，论文也引用了他本人撰写的修行著作</w:t>
      </w:r>
      <w:r>
        <w:rPr>
          <w:vertAlign w:val="superscript"/>
        </w:rPr>
        <w:t xml:space="preserve">[</w:t>
      </w:r>
      <w:hyperlink w:anchor="ref-1244">
        <w:r>
          <w:rPr>
            <w:rStyle w:val="Hyperlink"/>
            <w:vertAlign w:val="superscript"/>
          </w:rPr>
          <w:t xml:space="preserve">1244</w:t>
        </w:r>
      </w:hyperlink>
      <w:r>
        <w:rPr>
          <w:vertAlign w:val="superscript"/>
        </w:rPr>
        <w:t xml:space="preserve">,</w:t>
      </w:r>
      <w:hyperlink w:anchor="ref-1245">
        <w:r>
          <w:rPr>
            <w:rStyle w:val="Hyperlink"/>
            <w:vertAlign w:val="superscript"/>
          </w:rPr>
          <w:t xml:space="preserve">1245</w:t>
        </w:r>
      </w:hyperlink>
      <w:r>
        <w:rPr>
          <w:vertAlign w:val="superscript"/>
        </w:rPr>
        <w:t xml:space="preserve">]</w:t>
      </w:r>
      <w:r>
        <w:t xml:space="preserve">；这形成了需要靠独立复制、盲法和数据公开来回应的潜在偏倚，本身并不否定数据。一项 20 名禅那练习者（26 到 67 岁，累计练习平均约两万小时）的群体研究用 7 特斯拉功能磁共振完成，截至本书检索时仍是未经同行评议的预印本</w:t>
      </w:r>
      <w:r>
        <w:rPr>
          <w:vertAlign w:val="superscript"/>
        </w:rPr>
        <w:t xml:space="preserve">[</w:t>
      </w:r>
      <w:hyperlink w:anchor="ref-1246">
        <w:r>
          <w:rPr>
            <w:rStyle w:val="Hyperlink"/>
            <w:vertAlign w:val="superscript"/>
          </w:rPr>
          <w:t xml:space="preserve">1246</w:t>
        </w:r>
      </w:hyperlink>
      <w:r>
        <w:rPr>
          <w:vertAlign w:val="superscript"/>
        </w:rPr>
        <w:t xml:space="preserve">]</w:t>
      </w:r>
      <w:r>
        <w:t xml:space="preserve">。各禅那阶段按固定顺序进入，阶段与扫描时间、疲劳和适应混在一起；对照任务是倒数和回忆近一周的经历，有人在对照中仍有少量禅那体验，研究没有用普通的静息作对照。从 J1 到 J8 依次进入，可能出于练习本身的要求，顺序难以随机化；时间、疲劳、适应、扫描漂移和期待的混杂，可以用多次独立的序列、时间匹配的对照序列、交错的报告时点和模型中的时间趋势来处理。倒数和回忆回答的是更具体的比较问题，研究需要写明各个对照能回答什么。它报告，与记忆和计数等对照任务相比，禅那中后部感觉区的局部一致性上升，前额叶、眶额皮层和脑干部分区域下降，大脑功能连接的主梯度明显变平；全脑几何本征模的功率和能量总体低于对照任务，在各禅那阶段间呈先降后升的走势；这里的“功率”和“能量”指从功能磁共振信号算出的数学量，描述信号在各几何模态上的分布；大脑的代谢耗能要用其他方法测量。后一结果与同一团队此前对单个练习者的研究方向相反，那项研究报告的是全脑状态的功率和能量升高</w:t>
      </w:r>
      <w:r>
        <w:rPr>
          <w:vertAlign w:val="superscript"/>
        </w:rPr>
        <w:t xml:space="preserve">[</w:t>
      </w:r>
      <w:hyperlink w:anchor="ref-1243">
        <w:r>
          <w:rPr>
            <w:rStyle w:val="Hyperlink"/>
            <w:vertAlign w:val="superscript"/>
          </w:rPr>
          <w:t xml:space="preserve">1243</w:t>
        </w:r>
      </w:hyperlink>
      <w:r>
        <w:rPr>
          <w:vertAlign w:val="superscript"/>
        </w:rPr>
        <w:t xml:space="preserve">]</w:t>
      </w:r>
      <w:r>
        <w:t xml:space="preserve">，预印本作者认为单一个案可能反映了个人特有的动态。另有一项预印本研究记录了 5 名资深练习者：1 人只记录了脑电，其余 4 人同时记录了脑电和脑磁图，其中 1 人只分析了脑磁图，结果逐人报告。2026 年 10 月更新的第 3 版报告，“延长的灭尽”中五人的高频全脑相干性都升高，信号复杂度和功率没有一致变化；2025 年 9 月的第 1 版报告的却是五人中四人 α 功率下降、四人信号复杂度显著升高、全脑相干性的变化不一致，新版注明改进了源重建和统计方法</w:t>
      </w:r>
      <w:r>
        <w:rPr>
          <w:vertAlign w:val="superscript"/>
        </w:rPr>
        <w:t xml:space="preserve">[</w:t>
      </w:r>
      <w:hyperlink w:anchor="ref-1247">
        <w:r>
          <w:rPr>
            <w:rStyle w:val="Hyperlink"/>
            <w:vertAlign w:val="superscript"/>
          </w:rPr>
          <w:t xml:space="preserve">1247</w:t>
        </w:r>
      </w:hyperlink>
      <w:r>
        <w:rPr>
          <w:vertAlign w:val="superscript"/>
        </w:rPr>
        <w:t xml:space="preserve">]</w:t>
      </w:r>
      <w:r>
        <w:t xml:space="preserve">。主要结果随版本改变，说明这类结论对分析方法很敏感，还很不稳定；改进方法后结论改变，其中也可能包含纠错，不能直接据此判断研究者不可信。微睡眠、注意的空白、记忆编码失败、动作和眼动伪迹、对报告的期待，都是需要排除或量化的替代解释；行为探针可能打断状态，可以事先设置有探针和无探针的对照，结合觉醒监测、盲法的现象学编码和主观信心，并说明探针改变体验的代价。佛教学者还提出了教义层面的异议：比丘尼达玛迪娜（Dhammadinnā）与神经科学家萨伦（Clifford Saron）在致编辑信中认为，阿那拉约（Anālayo）此前对这些研究所说的“灭尽”和“证果”的基本前提提出的质疑，原作者的更正虽有提及，核心问题仍没有得到实质回应</w:t>
      </w:r>
      <w:r>
        <w:rPr>
          <w:vertAlign w:val="superscript"/>
        </w:rPr>
        <w:t xml:space="preserve">[</w:t>
      </w:r>
      <w:hyperlink w:anchor="ref-1248">
        <w:r>
          <w:rPr>
            <w:rStyle w:val="Hyperlink"/>
            <w:vertAlign w:val="superscript"/>
          </w:rPr>
          <w:t xml:space="preserve">1248</w:t>
        </w:r>
      </w:hyperlink>
      <w:r>
        <w:rPr>
          <w:vertAlign w:val="superscript"/>
        </w:rPr>
        <w:t xml:space="preserve">]</w:t>
      </w:r>
      <w:r>
        <w:t xml:space="preserve">；原作者在同一期发表了答复</w:t>
      </w:r>
      <w:r>
        <w:rPr>
          <w:vertAlign w:val="superscript"/>
        </w:rPr>
        <w:t xml:space="preserve">[</w:t>
      </w:r>
      <w:hyperlink w:anchor="ref-1249">
        <w:r>
          <w:rPr>
            <w:rStyle w:val="Hyperlink"/>
            <w:vertAlign w:val="superscript"/>
          </w:rPr>
          <w:t xml:space="preserve">1249</w:t>
        </w:r>
      </w:hyperlink>
      <w:r>
        <w:rPr>
          <w:vertAlign w:val="superscript"/>
        </w:rPr>
        <w:t xml:space="preserve">]</w:t>
      </w:r>
      <w:r>
        <w:t xml:space="preserve">。把这些记录到的事件等同于上座部所说的灭尽定或证果，需要的前提本身就有争议。传统主张也可以做事实检验：一项实地研究对被认为处于“图登”（tukdam，藏传佛教所说的死后禅定状态）的修行者做了死后脑电记录，最早一次记录在死亡后约 26 小时，多数在 3 到 5 天后；所有可分析的图登个案都没有可辨认的脑电波形</w:t>
      </w:r>
      <w:r>
        <w:rPr>
          <w:vertAlign w:val="superscript"/>
        </w:rPr>
        <w:t xml:space="preserve">[</w:t>
      </w:r>
      <w:hyperlink w:anchor="ref-1250">
        <w:r>
          <w:rPr>
            <w:rStyle w:val="Hyperlink"/>
            <w:vertAlign w:val="superscript"/>
          </w:rPr>
          <w:t xml:space="preserve">1250</w:t>
        </w:r>
      </w:hyperlink>
      <w:r>
        <w:rPr>
          <w:vertAlign w:val="superscript"/>
        </w:rPr>
        <w:t xml:space="preserve">]</w:t>
      </w:r>
      <w:r>
        <w:t xml:space="preserve">。这一结果适用于这种设备和这些记录时间点。死亡后最初几小时的情况，以及对这些现象的宗教解释，需要另外回答。</w:t>
      </w:r>
    </w:p>
    <w:p>
      <w:pPr>
        <w:pStyle w:val="BodyText"/>
      </w:pPr>
      <w:r>
        <w:t xml:space="preserve">这类研究的价值在于：少数资深练习者可以在实验环境中反复报告并标记某些深度状态，仪器记录到了伴随的变化，这些数据能约束关于体验与脑过程关系的理论。状态的定义、不同的人之间是否一致、伪迹能否排除、与传统的判定能否对应，都还有待检验；样本极小，练习者的报告与研究者的期待可能相互影响，结果不能推广到一般练习者。从“记录到某人的体验及其神经伴随”推到“实验室认证了涅槃或证果”，还需要一系列文本、定义和价值上的前提，这些前提本身就有争议。</w:t>
      </w:r>
    </w:p>
    <w:p>
      <w:pPr>
        <w:pStyle w:val="CalloutJudgment"/>
      </w:pPr>
      <w:r>
        <w:rPr>
          <w:bCs/>
          <w:b/>
        </w:rPr>
        <w:t xml:space="preserve">判断　</w:t>
      </w:r>
      <w:r>
        <w:t xml:space="preserve">“禅那、灭尽等深度状态有可测量的神经相关”</w:t>
      </w:r>
      <w:r>
        <w:rPr>
          <w:bCs/>
          <w:b/>
        </w:rPr>
        <w:t xml:space="preserve">部分成立·低</w:t>
      </w:r>
      <w:r>
        <w:t xml:space="preserve">：有探索性的记录，跨个体的一致性、状态的特异性以及与传统定义的对应都不确定；“已经在实验室记录到涅槃或证果”</w:t>
      </w:r>
      <w:r>
        <w:rPr>
          <w:bCs/>
          <w:b/>
        </w:rPr>
        <w:t xml:space="preserve">错误·高</w:t>
      </w:r>
      <w:r>
        <w:t xml:space="preserve">：脑记录不能认证宗教成就；“已经找到了能独立识别禅那阶段、灭尽、证果或觉醒的神经标志”</w:t>
      </w:r>
      <w:r>
        <w:rPr>
          <w:bCs/>
          <w:b/>
        </w:rPr>
        <w:t xml:space="preserve">错误·高</w:t>
      </w:r>
      <w:r>
        <w:t xml:space="preserve">。</w:t>
      </w:r>
    </w:p>
    <w:bookmarkEnd w:id="1854"/>
    <w:bookmarkStart w:id="1855" w:name="sec-119-6"/>
    <w:p>
      <w:pPr>
        <w:pStyle w:val="Heading3"/>
      </w:pPr>
      <w:r>
        <w:t xml:space="preserve">119.6　传统早已记录了冥想的困难</w:t>
      </w:r>
    </w:p>
    <w:p>
      <w:pPr>
        <w:pStyle w:val="FirstParagraph"/>
      </w:pPr>
      <w:r>
        <w:t xml:space="preserve">冥想可能带来困难甚至伤害，这一点在传统文献中早有记载。巴利经典记载，比丘们修习不净观（观身体之不净）后对自己的身体产生强烈厌恶，出现了轻生的悲剧，佛陀随后改教安那般那念（出入息念），称之为寂静、安乐的修法</w:t>
      </w:r>
      <w:r>
        <w:rPr>
          <w:vertAlign w:val="superscript"/>
        </w:rPr>
        <w:t xml:space="preserve">[</w:t>
      </w:r>
      <w:hyperlink w:anchor="ref-1251">
        <w:r>
          <w:rPr>
            <w:rStyle w:val="Hyperlink"/>
            <w:vertAlign w:val="superscript"/>
          </w:rPr>
          <w:t xml:space="preserve">1251</w:t>
        </w:r>
      </w:hyperlink>
      <w:r>
        <w:rPr>
          <w:vertAlign w:val="superscript"/>
        </w:rPr>
        <w:t xml:space="preserve">]</w:t>
      </w:r>
      <w:r>
        <w:t xml:space="preserve">。这些是传承文本中的叙述，说明传统文本保存了对练习困难的理解。现代的发生率要靠流行病学调查；这些叙述不能独立确认病因，也验证不了所述对治的临床疗效，古代的病名也不能直接对应现代诊断，经中改教另一种练习，更不意味着今天有严重抑郁或自杀风险的人适合自行改换练习。另一部经用琴弦作比：用功过紧会掉举不安，过松会懈怠，所以要让精进保持均衡，并使诸根平衡</w:t>
      </w:r>
      <w:r>
        <w:rPr>
          <w:vertAlign w:val="superscript"/>
        </w:rPr>
        <w:t xml:space="preserve">[</w:t>
      </w:r>
      <w:hyperlink w:anchor="ref-1252">
        <w:r>
          <w:rPr>
            <w:rStyle w:val="Hyperlink"/>
            <w:vertAlign w:val="superscript"/>
          </w:rPr>
          <w:t xml:space="preserve">1252</w:t>
        </w:r>
      </w:hyperlink>
      <w:r>
        <w:rPr>
          <w:vertAlign w:val="superscript"/>
        </w:rPr>
        <w:t xml:space="preserve">]</w:t>
      </w:r>
      <w:r>
        <w:t xml:space="preserve">。汉传佛教有专门对治“禅病”的典籍，如南朝刘宋时译出的《治禅病秘要法》</w:t>
      </w:r>
      <w:r>
        <w:rPr>
          <w:vertAlign w:val="superscript"/>
        </w:rPr>
        <w:t xml:space="preserve">[</w:t>
      </w:r>
      <w:hyperlink w:anchor="ref-1253">
        <w:r>
          <w:rPr>
            <w:rStyle w:val="Hyperlink"/>
            <w:vertAlign w:val="superscript"/>
          </w:rPr>
          <w:t xml:space="preserve">1253</w:t>
        </w:r>
      </w:hyperlink>
      <w:r>
        <w:rPr>
          <w:vertAlign w:val="superscript"/>
        </w:rPr>
        <w:t xml:space="preserve">]</w:t>
      </w:r>
      <w:r>
        <w:t xml:space="preserve">，智顗的《修习止观坐禅法要》也设有“治病”一章</w:t>
      </w:r>
      <w:r>
        <w:rPr>
          <w:vertAlign w:val="superscript"/>
        </w:rPr>
        <w:t xml:space="preserve">[</w:t>
      </w:r>
      <w:hyperlink w:anchor="ref-1254">
        <w:r>
          <w:rPr>
            <w:rStyle w:val="Hyperlink"/>
            <w:vertAlign w:val="superscript"/>
          </w:rPr>
          <w:t xml:space="preserve">1254</w:t>
        </w:r>
      </w:hyperlink>
      <w:r>
        <w:rPr>
          <w:vertAlign w:val="superscript"/>
        </w:rPr>
        <w:t xml:space="preserve">]</w:t>
      </w:r>
      <w:r>
        <w:t xml:space="preserve">。禅宗有“魔境”（makyō）之说，指坐禅中出现的知觉异象；藏传佛教把乐、明、无念等禅修体验称为 nyams，各派对它们的态度不同</w:t>
      </w:r>
      <w:r>
        <w:rPr>
          <w:vertAlign w:val="superscript"/>
        </w:rPr>
        <w:t xml:space="preserve">[</w:t>
      </w:r>
      <w:hyperlink w:anchor="ref-1202">
        <w:r>
          <w:rPr>
            <w:rStyle w:val="Hyperlink"/>
            <w:vertAlign w:val="superscript"/>
          </w:rPr>
          <w:t xml:space="preserve">1202</w:t>
        </w:r>
      </w:hyperlink>
      <w:r>
        <w:rPr>
          <w:vertAlign w:val="superscript"/>
        </w:rPr>
        <w:t xml:space="preserve">]</w:t>
      </w:r>
      <w:r>
        <w:t xml:space="preserve">。琴弦的比喻、禅病、魔境和 nyams 分属不同的语言和历史语境，不宜混成一套统一的诊断：其中哪些是失衡，哪些被传统视为阶段性的体验，哪些需要现代的临床干预，彼此会交叉，也不能只凭称谓判断严重程度。</w:t>
      </w:r>
    </w:p>
    <w:p>
      <w:pPr>
        <w:pStyle w:val="BodyText"/>
      </w:pPr>
      <w:r>
        <w:t xml:space="preserve">这些记载和现代研究（见</w:t>
      </w:r>
      <w:r>
        <w:t xml:space="preserve"> </w:t>
      </w:r>
      <w:hyperlink w:anchor="sec-118-2">
        <w:r>
          <w:rPr>
            <w:rStyle w:val="Hyperlink"/>
          </w:rPr>
          <w:t xml:space="preserve">118.2</w:t>
        </w:r>
      </w:hyperlink>
      <w:r>
        <w:t xml:space="preserve">）指向同一件事：深入的练习可能动摇知觉、情绪和自我感，部分练习者报告过这类经历，传统为此发展出调整方法、师徒指导和对治手段，这些支持结构实际的保护效果也还需要验证。脱离这些支持结构的大规模推广，需要补上安全这一课：监测不适，评估实际的功能受损，建立合格的转介途径和急性风险的处理办法，这些措施可以与传统的指导并存；治疗和应急措施不能只靠经典中对应的“对治”名称。“深入练习可能动摇体验”，也不应变成每位深入练习者都会经历某种固定危机的叙述。</w:t>
      </w:r>
    </w:p>
    <w:bookmarkEnd w:id="1855"/>
    <w:bookmarkStart w:id="1856" w:name="sec-119-7"/>
    <w:p>
      <w:pPr>
        <w:pStyle w:val="Heading3"/>
      </w:pPr>
      <w:r>
        <w:t xml:space="preserve">119.7　神经科学能回答什么，不能回答什么</w:t>
      </w:r>
    </w:p>
    <w:p>
      <w:pPr>
        <w:pStyle w:val="FirstParagraph"/>
      </w:pPr>
      <w:r>
        <w:t xml:space="preserve">神经科学擅长回答这样的问题：某种练习在训练什么心理功能；这些功能变化是否可以测量、是否持久；练习对哪些人有益、对哪些人有风险；某些状态伴随怎样的脑活动；传统主张中可以检验的事实部分是否成立。它还能比较不同解释的持续性、可重复性、功能后果和各自的预测。仅凭脑数据，它回答不了这些问题：涅槃、无我这类命题在形而上学上是否为真；某个记录到的事件是不是经典所说的灭尽或证果，这还需要文本、操作定义和规范性前提；某种修行是否“正确”；冥想的价值是否应当以健康收益来衡量。传统主张中带有可观察后果的部分，原则上可以检验。</w:t>
      </w:r>
    </w:p>
    <w:p>
      <w:pPr>
        <w:pStyle w:val="BodyText"/>
      </w:pPr>
      <w:r>
        <w:t xml:space="preserve">哲学家埃文·汤普森（Evan Thompson）批评了一种流行看法：佛教是“最科学的宗教”，脑科学正在证实佛法</w:t>
      </w:r>
      <w:r>
        <w:rPr>
          <w:vertAlign w:val="superscript"/>
        </w:rPr>
        <w:t xml:space="preserve">[</w:t>
      </w:r>
      <w:hyperlink w:anchor="ref-1255">
        <w:r>
          <w:rPr>
            <w:rStyle w:val="Hyperlink"/>
            <w:vertAlign w:val="superscript"/>
          </w:rPr>
          <w:t xml:space="preserve">1255</w:t>
        </w:r>
      </w:hyperlink>
      <w:r>
        <w:rPr>
          <w:vertAlign w:val="superscript"/>
        </w:rPr>
        <w:t xml:space="preserve">]</w:t>
      </w:r>
      <w:r>
        <w:t xml:space="preserve">。他认为这种“佛教例外论”既误读了佛教的多样传统，也误读了科学；在他看来，开悟依赖概念和传统的整体框架，脑状态描述不了它的全部；正念是在社会生活中养成的一种技能。他反对“神经科学证实了无我”的说法。在他的论述里，自我是一个过程。另一些批评者用“麦当劳化正念”批评把正念当作提升效率和抗压能力的商品来销售</w:t>
      </w:r>
      <w:r>
        <w:rPr>
          <w:vertAlign w:val="superscript"/>
        </w:rPr>
        <w:t xml:space="preserve">[</w:t>
      </w:r>
      <w:hyperlink w:anchor="ref-1256">
        <w:r>
          <w:rPr>
            <w:rStyle w:val="Hyperlink"/>
            <w:vertAlign w:val="superscript"/>
          </w:rPr>
          <w:t xml:space="preserve">1256</w:t>
        </w:r>
      </w:hyperlink>
      <w:r>
        <w:rPr>
          <w:vertAlign w:val="superscript"/>
        </w:rPr>
        <w:t xml:space="preserve">]</w:t>
      </w:r>
      <w:r>
        <w:t xml:space="preserve">。这些属于哲学和社会批评，可以帮助检视类别错误、商业化和制度条件。某项随机试验有效还是无效，要由试验本身的数据来判断；反过来，临床上的平均效应也解决不了工作环境、不平等和商品化的全部问题。</w:t>
      </w:r>
    </w:p>
    <w:p>
      <w:pPr>
        <w:pStyle w:val="BodyText"/>
      </w:pPr>
      <w:r>
        <w:t xml:space="preserve">这些批评与科学研究并不冲突。分清证据的类型和推断的前提，能让两边都更清楚：科学研究可以严格检验“练习带来了什么可测量的变化”，传统与哲学讨论“这些变化为了什么、意味着什么”；两者也互相影响，经验数据可以约束某种价值方案能否实现、代价多大，哲学分析可以澄清实验中的构念。</w:t>
      </w:r>
    </w:p>
    <w:p>
      <w:pPr>
        <w:pStyle w:val="CalloutJudgment"/>
      </w:pPr>
      <w:r>
        <w:rPr>
          <w:bCs/>
          <w:b/>
        </w:rPr>
        <w:t xml:space="preserve">判断　</w:t>
      </w:r>
      <w:r>
        <w:t xml:space="preserve">“脑科学证实了佛法”</w:t>
      </w:r>
      <w:r>
        <w:rPr>
          <w:bCs/>
          <w:b/>
        </w:rPr>
        <w:t xml:space="preserve">错误·高</w:t>
      </w:r>
      <w:r>
        <w:t xml:space="preserve">：“佛法”包含多类不同的主张。脑科学支持或限制了其中一部分明确操作化的经验性主张；整体宗教传统的真理性，需要别的论证；“脑科学为冥想练习的部分效果提供了候选机制和测量工具”</w:t>
      </w:r>
      <w:r>
        <w:rPr>
          <w:bCs/>
          <w:b/>
        </w:rPr>
        <w:t xml:space="preserve">成立·中</w:t>
      </w:r>
      <w:r>
        <w:t xml:space="preserve">；“神经科学对冥想传统无话可说”</w:t>
      </w:r>
      <w:r>
        <w:rPr>
          <w:bCs/>
          <w:b/>
        </w:rPr>
        <w:t xml:space="preserve">错误·中</w:t>
      </w:r>
      <w:r>
        <w:t xml:space="preserve">。</w:t>
      </w:r>
    </w:p>
    <w:p>
      <w:pPr>
        <w:pStyle w:val="BodyText"/>
      </w:pPr>
      <w:r>
        <w:t xml:space="preserve">准确评价允许多种价值来源存在，也保留经验研究的边界。对个人有意义、在试验中改善某个结局和永久改变神经系统，是能够分别成立或不成立的三个命题。</w:t>
      </w:r>
    </w:p>
    <w:bookmarkEnd w:id="1856"/>
    <w:bookmarkEnd w:id="1857"/>
    <w:bookmarkStart w:id="1860" w:name="ch-120"/>
    <w:p>
      <w:pPr>
        <w:pStyle w:val="Heading2"/>
      </w:pPr>
      <w:r>
        <w:t xml:space="preserve">第120章　容易被忽略的变量与值得关注的信号</w:t>
      </w:r>
    </w:p>
    <w:bookmarkStart w:id="1858" w:name="sec-120-1"/>
    <w:p>
      <w:pPr>
        <w:pStyle w:val="Heading3"/>
      </w:pPr>
      <w:r>
        <w:t xml:space="preserve">120.1　八个容易被忽略的变量</w:t>
      </w:r>
    </w:p>
    <w:p>
      <w:pPr>
        <w:pStyle w:val="FirstParagraph"/>
      </w:pPr>
      <w:r>
        <w:t xml:space="preserve">第一是剂量与形式。标准正念减压和正念认知疗法的临床随机试验，测试的大多是八周课程（整个冥想研究领域还包括单次练习、手机应用、慈悲训练、短课和长期实践），每周一次团体课，课程手册要求每周六天、每天约 45 分钟的居家练习；对 43 项研究的元分析发现，参与者实际完成的量平均为布置量的 64%，约合每周六天、每天 30 分钟；其中 28 项研究（898 人）报告了练习量与结局的关系，相关较小（r 约 0.26）</w:t>
      </w:r>
      <w:r>
        <w:rPr>
          <w:vertAlign w:val="superscript"/>
        </w:rPr>
        <w:t xml:space="preserve">[</w:t>
      </w:r>
      <w:hyperlink w:anchor="ref-1257">
        <w:r>
          <w:rPr>
            <w:rStyle w:val="Hyperlink"/>
            <w:vertAlign w:val="superscript"/>
          </w:rPr>
          <w:t xml:space="preserve">1257</w:t>
        </w:r>
      </w:hyperlink>
      <w:r>
        <w:rPr>
          <w:vertAlign w:val="superscript"/>
        </w:rPr>
        <w:t xml:space="preserve">]</w:t>
      </w:r>
      <w:r>
        <w:t xml:space="preserve">。64% 和每天 30 分钟是按各研究汇总折算的平均值。它们代表不了每个人的实际练习量，也不能当作人人都该达到的最低剂量。这个相关也有多种解释：练习带来改善，早期获益的人更愿意坚持，动机和生活条件也可能同时影响两者。每日短时练习、周末工作坊与长期静修是三种很不一样的“剂量”，结论不能互相套用。对两百余项随机试验的剂量元回归发现，课时、强度等剂量指标与抑郁、焦虑、压力的改善大多没有关系</w:t>
      </w:r>
      <w:r>
        <w:rPr>
          <w:vertAlign w:val="superscript"/>
        </w:rPr>
        <w:t xml:space="preserve">[</w:t>
      </w:r>
      <w:hyperlink w:anchor="ref-1258">
        <w:r>
          <w:rPr>
            <w:rStyle w:val="Hyperlink"/>
            <w:vertAlign w:val="superscript"/>
          </w:rPr>
          <w:t xml:space="preserve">1258</w:t>
        </w:r>
      </w:hyperlink>
      <w:r>
        <w:rPr>
          <w:vertAlign w:val="superscript"/>
        </w:rPr>
        <w:t xml:space="preserve">]</w:t>
      </w:r>
      <w:r>
        <w:t xml:space="preserve">。这是研究层面的比较，各研究的内容和人群都不同。个人多练是否有用，每天练一分钟与练一小时效果是否相同，它都回答不了；回答这个问题，需要在同一方案和人群中随机分配不同剂量，并记录实际完成量和不良事件。处方的剂量可以随机分配，实际完成的量却受健康变化和生活条件影响，估计实际完成量的因果作用需要依从分析或工具变量这类额外的假设，完成者的回归不能当作直接的实验结论。剂量本身是可以随机化的：2026 年一项实验把 636 人随机分到单次 5 分钟练习、20 分钟练习或时长相当的有声书对照，测的是练习后的状态正念和情绪，事先登记的人格与剂量交互的假设都没有得到支持，宜人性的交互属于探索性结果</w:t>
      </w:r>
      <w:r>
        <w:rPr>
          <w:vertAlign w:val="superscript"/>
        </w:rPr>
        <w:t xml:space="preserve">[</w:t>
      </w:r>
      <w:hyperlink w:anchor="ref-1259">
        <w:r>
          <w:rPr>
            <w:rStyle w:val="Hyperlink"/>
            <w:vertAlign w:val="superscript"/>
          </w:rPr>
          <w:t xml:space="preserve">1259</w:t>
        </w:r>
      </w:hyperlink>
      <w:r>
        <w:rPr>
          <w:vertAlign w:val="superscript"/>
        </w:rPr>
        <w:t xml:space="preserve">]</w:t>
      </w:r>
      <w:r>
        <w:t xml:space="preserve">。单次练习后的心理状态，定不出八周课程的临床处方。目前还没有适用于所有目标和人群的最低有效分钟数或最佳剂量；需要在同一方案内随机比较多种剂量，同时记录临床收益、练习质量、依从、时间负担和不良事件，检验收益是否进入平台、负担是否增加。默认“练得越多越好”，会漏掉可及性和安全这些重要的问题。</w:t>
      </w:r>
    </w:p>
    <w:p>
      <w:pPr>
        <w:pStyle w:val="BodyText"/>
      </w:pPr>
      <w:r>
        <w:t xml:space="preserve">第二是基线状态。在正念认知疗法预防抑郁复发的研究中，基线残留症状较重的患者获益更明显</w:t>
      </w:r>
      <w:r>
        <w:rPr>
          <w:vertAlign w:val="superscript"/>
        </w:rPr>
        <w:t xml:space="preserve">[</w:t>
      </w:r>
      <w:hyperlink w:anchor="ref-985">
        <w:r>
          <w:rPr>
            <w:rStyle w:val="Hyperlink"/>
            <w:vertAlign w:val="superscript"/>
          </w:rPr>
          <w:t xml:space="preserve">985</w:t>
        </w:r>
      </w:hyperlink>
      <w:r>
        <w:rPr>
          <w:vertAlign w:val="superscript"/>
        </w:rPr>
        <w:t xml:space="preserve">]</w:t>
      </w:r>
      <w:r>
        <w:t xml:space="preserve">；非临床成人的个体数据元分析则没有检出基线困扰程度对获益大小的调节作用</w:t>
      </w:r>
      <w:r>
        <w:rPr>
          <w:vertAlign w:val="superscript"/>
        </w:rPr>
        <w:t xml:space="preserve">[</w:t>
      </w:r>
      <w:hyperlink w:anchor="ref-1180">
        <w:r>
          <w:rPr>
            <w:rStyle w:val="Hyperlink"/>
            <w:vertAlign w:val="superscript"/>
          </w:rPr>
          <w:t xml:space="preserve">1180</w:t>
        </w:r>
      </w:hyperlink>
      <w:r>
        <w:rPr>
          <w:vertAlign w:val="superscript"/>
        </w:rPr>
        <w:t xml:space="preserve">]</w:t>
      </w:r>
      <w:r>
        <w:t xml:space="preserve">，这不等于证明每个人获益相同；校园全员课程中，原本处于风险中的学生在部分指标上反而略差（探索性结果，见</w:t>
      </w:r>
      <w:r>
        <w:t xml:space="preserve"> </w:t>
      </w:r>
      <w:hyperlink w:anchor="sec-117-4">
        <w:r>
          <w:rPr>
            <w:rStyle w:val="Hyperlink"/>
          </w:rPr>
          <w:t xml:space="preserve">117.4</w:t>
        </w:r>
      </w:hyperlink>
      <w:r>
        <w:t xml:space="preserve">）。某个基线特征能预测较差的结局，不等于它能预测正念比另一种治疗更有帮助：前者是预后的问题，后者需要治疗交互或因果效应异质性的分析；症状基线较高的人下降更多，还可能部分来自回归均值、量表的上限和疾病的自然病程。一个统计上显著的交互，也不能直接生成“高于某个分数就选正念”的治疗规则，规则需要独立验证、校准、可用性和实际的决策收益。基线状态与获益的关系，要放在具体人群和具体课程里看。</w:t>
      </w:r>
    </w:p>
    <w:p>
      <w:pPr>
        <w:pStyle w:val="BodyText"/>
      </w:pPr>
      <w:r>
        <w:t xml:space="preserve">第三是非特异成分。团体支持、老师的投入、每周固定的自我照顾时间、对改善的期待，可能贡献一部分改善，它们也是整个方案的实际组成。评估整套课程时，它们本身就是方案的一部分；要识别某项心理技术的机制时，才需要把它们拆开，这需要匹配接触和期待的对照、随机的拆解或因子设计，并检查成分之间的交互。正念课程与主动对照相比，很多差异会缩小甚至消失</w:t>
      </w:r>
      <w:r>
        <w:rPr>
          <w:vertAlign w:val="superscript"/>
        </w:rPr>
        <w:t xml:space="preserve">[</w:t>
      </w:r>
      <w:hyperlink w:anchor="ref-1143">
        <w:r>
          <w:rPr>
            <w:rStyle w:val="Hyperlink"/>
            <w:vertAlign w:val="superscript"/>
          </w:rPr>
          <w:t xml:space="preserve">1143</w:t>
        </w:r>
      </w:hyperlink>
      <w:r>
        <w:rPr>
          <w:vertAlign w:val="superscript"/>
        </w:rPr>
        <w:t xml:space="preserve">,</w:t>
      </w:r>
      <w:hyperlink w:anchor="ref-1144">
        <w:r>
          <w:rPr>
            <w:rStyle w:val="Hyperlink"/>
            <w:vertAlign w:val="superscript"/>
          </w:rPr>
          <w:t xml:space="preserve">1144</w:t>
        </w:r>
      </w:hyperlink>
      <w:r>
        <w:rPr>
          <w:vertAlign w:val="superscript"/>
        </w:rPr>
        <w:t xml:space="preserve">]</w:t>
      </w:r>
      <w:r>
        <w:t xml:space="preserve">；学员对老师和团体的评价，比练习时长更能预测改善</w:t>
      </w:r>
      <w:r>
        <w:rPr>
          <w:vertAlign w:val="superscript"/>
        </w:rPr>
        <w:t xml:space="preserve">[</w:t>
      </w:r>
      <w:hyperlink w:anchor="ref-1196">
        <w:r>
          <w:rPr>
            <w:rStyle w:val="Hyperlink"/>
            <w:vertAlign w:val="superscript"/>
          </w:rPr>
          <w:t xml:space="preserve">1196</w:t>
        </w:r>
      </w:hyperlink>
      <w:r>
        <w:rPr>
          <w:vertAlign w:val="superscript"/>
        </w:rPr>
        <w:t xml:space="preserve">]</w:t>
      </w:r>
      <w:r>
        <w:t xml:space="preserve">；研究者本人的倾向也会影响结果</w:t>
      </w:r>
      <w:r>
        <w:rPr>
          <w:vertAlign w:val="superscript"/>
        </w:rPr>
        <w:t xml:space="preserve">[</w:t>
      </w:r>
      <w:hyperlink w:anchor="ref-1145">
        <w:r>
          <w:rPr>
            <w:rStyle w:val="Hyperlink"/>
            <w:vertAlign w:val="superscript"/>
          </w:rPr>
          <w:t xml:space="preserve">1145</w:t>
        </w:r>
      </w:hyperlink>
      <w:r>
        <w:rPr>
          <w:vertAlign w:val="superscript"/>
        </w:rPr>
        <w:t xml:space="preserve">]</w:t>
      </w:r>
      <w:r>
        <w:t xml:space="preserve">。</w:t>
      </w:r>
    </w:p>
    <w:p>
      <w:pPr>
        <w:pStyle w:val="BodyText"/>
      </w:pPr>
      <w:r>
        <w:t xml:space="preserve">第四是课程中的“非冥想”成分。正念减压包含温和瑜伽和身体活动，也包含压力相关的心理教育；很多冥想练习还会自然放慢呼吸。部分生理和情绪变化可能来自这些成分（见</w:t>
      </w:r>
      <w:r>
        <w:t xml:space="preserve"> </w:t>
      </w:r>
      <w:hyperlink w:anchor="sec-104-1">
        <w:r>
          <w:rPr>
            <w:rStyle w:val="Hyperlink"/>
          </w:rPr>
          <w:t xml:space="preserve">104.1</w:t>
        </w:r>
      </w:hyperlink>
      <w:r>
        <w:t xml:space="preserve">）。它们能解释一部分结果。课程的总效应并不因此归零：患者选择的是一个实际的方案，课程里含有其他有益的内容，这一点无损于它的临床价值。这些成分限制的，是“特定冥想技术独自产生了全部效果”这种机制归因。</w:t>
      </w:r>
    </w:p>
    <w:p>
      <w:pPr>
        <w:pStyle w:val="BodyText"/>
      </w:pPr>
      <w:r>
        <w:t xml:space="preserve">第五是生活方式的共变。长期冥想者在饮酒、吸烟、运动、睡眠和社会联结上可能与常人系统性地不同，需要在具体研究中实际测量；这些因素都会影响脑结构和应激生理，横断面比较尤其容易把它们误归于冥想。时间顺序也要分清：入组之前的睡眠或运动可能是混杂，随机训练之后因课程而改善的睡眠或运动，可能是中介。评估整套课程的总效应时，把干预后的这些变量直接控制掉，可能去掉真实的作用路径，有些干预后的变量还会造成碰撞偏倚；调整的变量越多不一定越接近因果，应当按时间顺序和因果图来决定。</w:t>
      </w:r>
    </w:p>
    <w:p>
      <w:pPr>
        <w:pStyle w:val="BodyText"/>
      </w:pPr>
      <w:r>
        <w:t xml:space="preserve">第六是练习类型与个人的匹配。只做解构类练习、参加过静修、有创伤史，都与不良体验报告增多有关</w:t>
      </w:r>
      <w:r>
        <w:rPr>
          <w:vertAlign w:val="superscript"/>
        </w:rPr>
        <w:t xml:space="preserve">[</w:t>
      </w:r>
      <w:hyperlink w:anchor="ref-1201">
        <w:r>
          <w:rPr>
            <w:rStyle w:val="Hyperlink"/>
            <w:vertAlign w:val="superscript"/>
          </w:rPr>
          <w:t xml:space="preserve">1201</w:t>
        </w:r>
      </w:hyperlink>
      <w:r>
        <w:rPr>
          <w:vertAlign w:val="superscript"/>
        </w:rPr>
        <w:t xml:space="preserve">,</w:t>
      </w:r>
      <w:hyperlink w:anchor="ref-1208">
        <w:r>
          <w:rPr>
            <w:rStyle w:val="Hyperlink"/>
            <w:vertAlign w:val="superscript"/>
          </w:rPr>
          <w:t xml:space="preserve">1208</w:t>
        </w:r>
      </w:hyperlink>
      <w:r>
        <w:rPr>
          <w:vertAlign w:val="superscript"/>
        </w:rPr>
        <w:t xml:space="preserve">]</w:t>
      </w:r>
      <w:r>
        <w:t xml:space="preserve">；精神病性障碍史的风险目前主要由个案报告提示，因果难以确定</w:t>
      </w:r>
      <w:r>
        <w:rPr>
          <w:vertAlign w:val="superscript"/>
        </w:rPr>
        <w:t xml:space="preserve">[</w:t>
      </w:r>
      <w:hyperlink w:anchor="ref-1210">
        <w:r>
          <w:rPr>
            <w:rStyle w:val="Hyperlink"/>
            <w:vertAlign w:val="superscript"/>
          </w:rPr>
          <w:t xml:space="preserve">1210</w:t>
        </w:r>
      </w:hyperlink>
      <w:r>
        <w:rPr>
          <w:vertAlign w:val="superscript"/>
        </w:rPr>
        <w:t xml:space="preserve">]</w:t>
      </w:r>
      <w:r>
        <w:t xml:space="preserve">。同一种练习，对一个人是安顿，对另一个人可能是触发。这些风险关联有助于选择监测的重点，还算不上能判断某个人适合哪种练法的可靠算法；做过不同练习的人，总的练习量、目的和既往体验也不同，出现过困难的人还可能因此改换练法，造成反向的因果。个体匹配目前更适合当作研究议程和临床协商的过程。凭几个特征就能准确分类的规则，现在还没有。</w:t>
      </w:r>
    </w:p>
    <w:p>
      <w:pPr>
        <w:pStyle w:val="BodyText"/>
      </w:pPr>
      <w:r>
        <w:t xml:space="preserve">第七是测量方式。自评量表、行为任务、生理指标和脑成像经常给出不一致的答案。自评改善容易受期待和社会赞许的影响，不含正念内容的对照课程也能让正念量表得分上升（见</w:t>
      </w:r>
      <w:r>
        <w:t xml:space="preserve"> </w:t>
      </w:r>
      <w:hyperlink w:anchor="sec-118-3">
        <w:r>
          <w:rPr>
            <w:rStyle w:val="Hyperlink"/>
          </w:rPr>
          <w:t xml:space="preserve">118.3</w:t>
        </w:r>
      </w:hyperlink>
      <w:r>
        <w:t xml:space="preserve">）；对疼痛、焦虑、睡眠体验和生活质量来说，患者的自报本身就是临床上重要的结果，期待可能同时影响测量和真实的感受，两者不能简单地拆成真与假。评估者设盲、可信的主动对照、事先设定的结局和一致的时间点可以减少偏倚，消除不了全部的报告效应。不同的测量未必同向或同步，量表和生理指标的单位、可靠性、时间尺度和信噪比也不同，生理效应小、自报效应大，本身说明不了哪一个更真实或更有因果价值；解释时要看测量是否可靠、是否与目标构念相符，以及是否有临床意义。</w:t>
      </w:r>
    </w:p>
    <w:p>
      <w:pPr>
        <w:pStyle w:val="BodyText"/>
      </w:pPr>
      <w:r>
        <w:t xml:space="preserve">第八是时间尺度。练习中的状态变化、课程结束时的变化、一年后仍然保留的变化，是三回事。课程结束时显著、随访时不显著，本身证明不了两个时点的真实效应不同，需要看效应的差或治疗与时间的交互及其区间；失访增加会降低精度，随访期间的照护和练习变化也会改变对比。正念认知疗法的保护作用随随访时间减弱，有专门的模型依据</w:t>
      </w:r>
      <w:r>
        <w:rPr>
          <w:vertAlign w:val="superscript"/>
        </w:rPr>
        <w:t xml:space="preserve">[</w:t>
      </w:r>
      <w:hyperlink w:anchor="ref-985">
        <w:r>
          <w:rPr>
            <w:rStyle w:val="Hyperlink"/>
            <w:vertAlign w:val="superscript"/>
          </w:rPr>
          <w:t xml:space="preserve">985</w:t>
        </w:r>
      </w:hyperlink>
      <w:r>
        <w:rPr>
          <w:vertAlign w:val="superscript"/>
        </w:rPr>
        <w:t xml:space="preserve">]</w:t>
      </w:r>
      <w:r>
        <w:t xml:space="preserve">；正念减压带来的后扣带回连接变化，在约五个半月后的随访中没有检出同样的组间差异</w:t>
      </w:r>
      <w:r>
        <w:rPr>
          <w:vertAlign w:val="superscript"/>
        </w:rPr>
        <w:t xml:space="preserve">[</w:t>
      </w:r>
      <w:hyperlink w:anchor="ref-1023">
        <w:r>
          <w:rPr>
            <w:rStyle w:val="Hyperlink"/>
            <w:vertAlign w:val="superscript"/>
          </w:rPr>
          <w:t xml:space="preserve">1023</w:t>
        </w:r>
      </w:hyperlink>
      <w:r>
        <w:rPr>
          <w:vertAlign w:val="superscript"/>
        </w:rPr>
        <w:t xml:space="preserve">]</w:t>
      </w:r>
      <w:r>
        <w:t xml:space="preserve">，这不能当作已证实的衰退速度。减弱可能与是否继续练习、同期的其他变化、失访或估计误差有关，现有设计通常不能把它归因于停止练习；在后一项研究中，持续练习的天数与后来的连接增加有关，这是观察性的关联，还受先前的获益、动机和健康状态影响，据此不能规定必须持续练多少分钟才能维持脑的改变，这需要今后在剂量试验中直接随机分配维持方案。</w:t>
      </w:r>
    </w:p>
    <w:p>
      <w:pPr>
        <w:pStyle w:val="BodyText"/>
      </w:pPr>
      <w:r>
        <w:t xml:space="preserve">练习目标也应具体。减少反复担忧、提高当下觉察、改善某项症状和追求某种精神体验，属于不同目标。一个方案对某目标有效，无法保证其他目标。价值或宗教意义可以由个人选择，科学疗效主张需要相应证据。</w:t>
      </w:r>
    </w:p>
    <w:p>
      <w:pPr>
        <w:pStyle w:val="BodyText"/>
      </w:pPr>
      <w:r>
        <w:t xml:space="preserve">长期收益还涉及能否维持实践、练习负担以及停止后的变化。某人需要每天投入大量时间才能保持有限改善，另一人从较短方案获得同样收益，实际适用性可能不同。时间成本应与效果一起报告。</w:t>
      </w:r>
    </w:p>
    <w:p>
      <w:pPr>
        <w:pStyle w:val="Heading4"/>
      </w:pPr>
      <w:r>
        <w:t xml:space="preserve">停练之后：持久性怎样检验</w:t>
      </w:r>
    </w:p>
    <w:p>
      <w:pPr>
        <w:pStyle w:val="FirstParagraph"/>
      </w:pPr>
      <w:r>
        <w:t xml:space="preserve">声称永久改变，需要观察练习减少或停止之后的结果。短期残留效应、维持练习期间的收益和真正长期保留，属于不同现象。研究应说明参与者在随访中继续做了什么，不能只根据最初课程结束日期判断持久性。</w:t>
      </w:r>
    </w:p>
    <w:p>
      <w:pPr>
        <w:pStyle w:val="BodyText"/>
      </w:pPr>
      <w:r>
        <w:t xml:space="preserve">若某人停止练习后症状回升，可能反映技能使用减少，也可能与新的压力、疾病或治疗变化有关。单个变化不能自动证明依赖，更不能要求当事人无限增加练习。需要重新评估目标、负担与其他选择。</w:t>
      </w:r>
    </w:p>
    <w:p>
      <w:pPr>
        <w:pStyle w:val="BodyText"/>
      </w:pPr>
      <w:r>
        <w:t xml:space="preserve">同样，长期收益存在时，也未必由某一项神经结构改变维持。行为习惯、社会支持和更早识别困难等路径都可能参与。完整解释可以保留多个机制，并通过研究逐步辨别。对练习者有用的方案，应能够以具体生活改善说明价值，无需承担永久全面升级的承诺。</w:t>
      </w:r>
    </w:p>
    <w:bookmarkEnd w:id="1858"/>
    <w:bookmarkStart w:id="1859" w:name="sec-120-2"/>
    <w:p>
      <w:pPr>
        <w:pStyle w:val="Heading3"/>
      </w:pPr>
      <w:r>
        <w:t xml:space="preserve">120.2　接下来值得关注的信号</w:t>
      </w:r>
    </w:p>
    <w:p>
      <w:pPr>
        <w:pStyle w:val="FirstParagraph"/>
      </w:pPr>
      <w:r>
        <w:t xml:space="preserve">如果今后几年出现下列进展，本书的部分判断就需要更新。一是结构与功能的脑成像证据：结构结论的更新，需要预注册、样本足够、设有主动对照、透明处理缺失数据并被独立重复的试验；功能连接的结论，需要同一方向的外部重复，并与行为变化相联系。2024 年宣布成立的“ENIGMA-冥想”国际联盟计划汇总全球数据，它的第一批结果值得关注</w:t>
      </w:r>
      <w:r>
        <w:rPr>
          <w:vertAlign w:val="superscript"/>
        </w:rPr>
        <w:t xml:space="preserve">[</w:t>
      </w:r>
      <w:hyperlink w:anchor="ref-1050">
        <w:r>
          <w:rPr>
            <w:rStyle w:val="Hyperlink"/>
            <w:vertAlign w:val="superscript"/>
          </w:rPr>
          <w:t xml:space="preserve">1050</w:t>
        </w:r>
      </w:hyperlink>
      <w:r>
        <w:rPr>
          <w:vertAlign w:val="superscript"/>
        </w:rPr>
        <w:t xml:space="preserve">]</w:t>
      </w:r>
      <w:r>
        <w:t xml:space="preserve">。二是个体化：需要能在独立样本中预测“谁从某种练习中获益更多、谁可能受损”的模型，报告预测的校准，并证明它比只用基线分数和简单临床变量更有用；本书重点引用的这几项大型个体数据分析中，只有复发预防研究找到了基线残留症状这一项调节因素，非临床人群的分析没有找到能稳定预测获益的因素</w:t>
      </w:r>
      <w:r>
        <w:rPr>
          <w:vertAlign w:val="superscript"/>
        </w:rPr>
        <w:t xml:space="preserve">[</w:t>
      </w:r>
      <w:hyperlink w:anchor="ref-985">
        <w:r>
          <w:rPr>
            <w:rStyle w:val="Hyperlink"/>
            <w:vertAlign w:val="superscript"/>
          </w:rPr>
          <w:t xml:space="preserve">985</w:t>
        </w:r>
      </w:hyperlink>
      <w:r>
        <w:rPr>
          <w:vertAlign w:val="superscript"/>
        </w:rPr>
        <w:t xml:space="preserve">,</w:t>
      </w:r>
      <w:hyperlink w:anchor="ref-1180">
        <w:r>
          <w:rPr>
            <w:rStyle w:val="Hyperlink"/>
            <w:vertAlign w:val="superscript"/>
          </w:rPr>
          <w:t xml:space="preserve">1180</w:t>
        </w:r>
      </w:hyperlink>
      <w:r>
        <w:rPr>
          <w:vertAlign w:val="superscript"/>
        </w:rPr>
        <w:t xml:space="preserve">]</w:t>
      </w:r>
      <w:r>
        <w:t xml:space="preserve">。三是安全数据的可比性：需要统一的主动监测和长期比较，至少记录练习的类型和暴露量、起止和持续时间、对功能的影响、本人与评估者的归因、同等监测下的对照，以及调整、暂停和转介后的恢复情况，让“约 8%”这样的数字有可比的口径。四是高阶冥想研究：需要更多独立的参与者、跨实验室统一的状态定义和对照，以及多种测量方式之间的一致；20 人的禅那群体研究（7 特斯拉功能磁共振）仍是预印本</w:t>
      </w:r>
      <w:r>
        <w:rPr>
          <w:vertAlign w:val="superscript"/>
        </w:rPr>
        <w:t xml:space="preserve">[</w:t>
      </w:r>
      <w:hyperlink w:anchor="ref-1246">
        <w:r>
          <w:rPr>
            <w:rStyle w:val="Hyperlink"/>
            <w:vertAlign w:val="superscript"/>
          </w:rPr>
          <w:t xml:space="preserve">1246</w:t>
        </w:r>
      </w:hyperlink>
      <w:r>
        <w:rPr>
          <w:vertAlign w:val="superscript"/>
        </w:rPr>
        <w:t xml:space="preserve">]</w:t>
      </w:r>
      <w:r>
        <w:t xml:space="preserve">，经过同行评议后的结果会是重要的检验。五是预测加工等理论框架给出具体、可能被推翻的预测，并接受检验（其中一项已经没能重复，见</w:t>
      </w:r>
      <w:r>
        <w:t xml:space="preserve"> </w:t>
      </w:r>
      <w:hyperlink w:anchor="sec-111-6">
        <w:r>
          <w:rPr>
            <w:rStyle w:val="Hyperlink"/>
          </w:rPr>
          <w:t xml:space="preserve">111.6</w:t>
        </w:r>
      </w:hyperlink>
      <w:r>
        <w:t xml:space="preserve">）。六是正念与运动、慢呼吸、认知行为疗法的直接比较，用来分清哪些效果是正念特有的。七是多迷走神经理论争论的走向，它决定了大量身心课程的话术需要怎样修改。八是临床上真正有价值的结果：临床最小重要差异被充分排除或达到，同等监测下的主动对照安全研究，功能、持续缓解、医疗利用和工作能力的改善，在资源较少的人群中的可及性，以及课程成本、退出和替代照护的机会成本。新的阴性试验、效应方向相反的独立重复、严重不良事件的系统登记，和新的阳性研究一样，都应当触发重新评估。预印本的发布、新联盟的成立或单个新出现的显著结果，可以作为重新检索证据的理由。单凭它们，还不足以改变上面的判断。读任何综述性的结论，都可以问：最后检索到什么时候，主要研究的登记号和发表状态如何，独立样本有几个，什么样的新证据足以改变判断；这样才能分清“截至当时尚未找到”和“已经证实不存在”。</w:t>
      </w:r>
    </w:p>
    <w:bookmarkEnd w:id="1859"/>
    <w:bookmarkEnd w:id="1860"/>
    <w:bookmarkEnd w:id="1861"/>
    <w:bookmarkStart w:id="2016" w:name="part-11"/>
    <w:p>
      <w:pPr>
        <w:pStyle w:val="Heading1"/>
      </w:pPr>
      <w:r>
        <w:t xml:space="preserve">第十一编　发育、个体差异与神经多样性</w:t>
      </w:r>
    </w:p>
    <w:p>
      <w:pPr>
        <w:pStyle w:val="PartIntro"/>
      </w:pPr>
      <w:r>
        <w:t xml:space="preserve">这一编讲大脑怎样随年龄发展、人与人之间的差异来自哪里，以及怎样理解发育性的诊断与神经多样性：围产期与早期发育，“几岁成熟”的问题，性别相关差异、脑体积与智力、遗传率这些最容易被误读的统计结果，注意缺陷多动障碍与自闭症的评估和病因推断，以及支持目标怎样确定。</w:t>
      </w:r>
    </w:p>
    <w:bookmarkStart w:id="1887" w:name="ch-121"/>
    <w:p>
      <w:pPr>
        <w:pStyle w:val="Heading2"/>
      </w:pPr>
      <w:r>
        <w:t xml:space="preserve">第121章　围产期脑发育与早期神经功能的连续轨迹</w:t>
      </w:r>
    </w:p>
    <w:bookmarkStart w:id="1862" w:name="sec-121-1"/>
    <w:p>
      <w:pPr>
        <w:pStyle w:val="Heading3"/>
      </w:pPr>
      <w:r>
        <w:t xml:space="preserve">121.1　发育中的脑需要按过程理解</w:t>
      </w:r>
    </w:p>
    <w:p>
      <w:pPr>
        <w:pStyle w:val="FirstParagraph"/>
      </w:pPr>
      <w:r>
        <w:t xml:space="preserve">围产期脑科学研究一个不断改变的系统。细胞增殖、迁移、分化、轴突生长、突触组织、胶质成熟和血管建立同时发生，各自速度与空间分布不同。相同强度的扰动发生在不同阶段，可能影响不同细胞和网络。因此，发育风险需要同时说明暴露内容、时间、持续长度、基础状态及后续支持，不能把出生前后所有变化压缩为一种笼统的脑损伤</w:t>
      </w:r>
      <w:r>
        <w:rPr>
          <w:vertAlign w:val="superscript"/>
        </w:rPr>
        <w:t xml:space="preserve">[</w:t>
      </w:r>
      <w:hyperlink w:anchor="ref-192">
        <w:r>
          <w:rPr>
            <w:rStyle w:val="Hyperlink"/>
            <w:vertAlign w:val="superscript"/>
          </w:rPr>
          <w:t xml:space="preserve">192</w:t>
        </w:r>
      </w:hyperlink>
      <w:r>
        <w:rPr>
          <w:vertAlign w:val="superscript"/>
        </w:rPr>
        <w:t xml:space="preserve">,</w:t>
      </w:r>
      <w:hyperlink w:anchor="ref-1260">
        <w:r>
          <w:rPr>
            <w:rStyle w:val="Hyperlink"/>
            <w:vertAlign w:val="superscript"/>
          </w:rPr>
          <w:t xml:space="preserve">1260</w:t>
        </w:r>
      </w:hyperlink>
      <w:r>
        <w:rPr>
          <w:vertAlign w:val="superscript"/>
        </w:rPr>
        <w:t xml:space="preserve">]</w:t>
      </w:r>
      <w:r>
        <w:t xml:space="preserve">。</w:t>
      </w:r>
    </w:p>
    <w:p>
      <w:pPr>
        <w:pStyle w:val="BodyText"/>
      </w:pPr>
      <w:r>
        <w:t xml:space="preserve">出生是循环、呼吸、营养和感觉环境发生重大变化的时点，脑的建造过程在此之前已经开始，在此之后继续进行。早产儿在与足月儿不同的发育阶段进入宫外环境，面对不同的气体交换、光声刺激和医疗照护。理解这些差异有助于设计支持，但不应把所有早产儿描述为同一种病理类型。</w:t>
      </w:r>
    </w:p>
    <w:p>
      <w:pPr>
        <w:pStyle w:val="BodyText"/>
      </w:pPr>
      <w:r>
        <w:t xml:space="preserve">发育还具有路径依赖。一个较早的变化可以通过影响后续输入、运动机会或网络连接，逐步改变其他领域；同样，后来获得的有效支持也可以改变轨迹。因果链不必只有一个起点，更不能从成年时的某项能力倒推某一次孕期经历必然造成了它。</w:t>
      </w:r>
    </w:p>
    <w:bookmarkEnd w:id="1862"/>
    <w:bookmarkStart w:id="1863" w:name="sec-121-2"/>
    <w:p>
      <w:pPr>
        <w:pStyle w:val="Heading3"/>
      </w:pPr>
      <w:r>
        <w:t xml:space="preserve">121.2　神经管形成与发育时钟</w:t>
      </w:r>
    </w:p>
    <w:p>
      <w:pPr>
        <w:pStyle w:val="FirstParagraph"/>
      </w:pPr>
      <w:r>
        <w:t xml:space="preserve">中枢神经系统早期形成涉及神经板折叠和神经管闭合，随后不同部位继续分化。神经管闭合缺陷与非常早的发育过程有关，因此某些预防措施的有效时间窗早于通常感知胎动或进行详细结构检查的时间。这里的时间窗针对明确的结构形成过程，并不表示整个脑在同一时点失去改变能力</w:t>
      </w:r>
      <w:r>
        <w:rPr>
          <w:vertAlign w:val="superscript"/>
        </w:rPr>
        <w:t xml:space="preserve">[</w:t>
      </w:r>
      <w:hyperlink w:anchor="ref-1261">
        <w:r>
          <w:rPr>
            <w:rStyle w:val="Hyperlink"/>
            <w:vertAlign w:val="superscript"/>
          </w:rPr>
          <w:t xml:space="preserve">1261</w:t>
        </w:r>
      </w:hyperlink>
      <w:r>
        <w:rPr>
          <w:vertAlign w:val="superscript"/>
        </w:rPr>
        <w:t xml:space="preserve">,</w:t>
      </w:r>
      <w:hyperlink w:anchor="ref-1262">
        <w:r>
          <w:rPr>
            <w:rStyle w:val="Hyperlink"/>
            <w:vertAlign w:val="superscript"/>
          </w:rPr>
          <w:t xml:space="preserve">1262</w:t>
        </w:r>
      </w:hyperlink>
      <w:r>
        <w:rPr>
          <w:vertAlign w:val="superscript"/>
        </w:rPr>
        <w:t xml:space="preserve">]</w:t>
      </w:r>
      <w:r>
        <w:t xml:space="preserve">。</w:t>
      </w:r>
    </w:p>
    <w:p>
      <w:pPr>
        <w:pStyle w:val="BodyText"/>
      </w:pPr>
      <w:r>
        <w:t xml:space="preserve">胚胎发育年龄和临床孕周需要区分。临床孕周通常以末次月经相关标准或早期超声估计，受精后的实际发育时间与它具有约定上的差别。引用某项实验或指南时，若忽略年龄定义，可能把同一事件放到错误的阶段。临床记录还存在估计误差，所以单个日期无法构成无限精确的发育刻度。</w:t>
      </w:r>
    </w:p>
    <w:p>
      <w:pPr>
        <w:pStyle w:val="BodyText"/>
      </w:pPr>
      <w:r>
        <w:t xml:space="preserve">同一发育阶段也包含多个并行任务。闭合、前后轴模式、局部细胞身份和周围组织形成相互协调，但并非完全由一个信号控制。观察到结构异常后，病因分析可能涉及遗传、营养、药物、代谢或未知因素；影像描述本身不等于已经找到唯一原因。</w:t>
      </w:r>
    </w:p>
    <w:bookmarkEnd w:id="1863"/>
    <w:bookmarkStart w:id="1864" w:name="sec-121-3"/>
    <w:p>
      <w:pPr>
        <w:pStyle w:val="Heading3"/>
      </w:pPr>
      <w:r>
        <w:t xml:space="preserve">121.3　放射状胶质与皮质层化</w:t>
      </w:r>
    </w:p>
    <w:p>
      <w:pPr>
        <w:pStyle w:val="FirstParagraph"/>
      </w:pPr>
      <w:r>
        <w:t xml:space="preserve">放射状胶质具有祖细胞功能，也为部分新生神经元的移动提供相关结构。动物谱系标记及成像研究显示，它们可以产生神经元；人类发育皮质单细胞研究进一步揭示不同区域和阶段的细胞状态差异。这些证据共同说明，胶质相关细胞在脑发育中承担主动建造任务</w:t>
      </w:r>
      <w:r>
        <w:rPr>
          <w:vertAlign w:val="superscript"/>
        </w:rPr>
        <w:t xml:space="preserve">[</w:t>
      </w:r>
      <w:hyperlink w:anchor="ref-192">
        <w:r>
          <w:rPr>
            <w:rStyle w:val="Hyperlink"/>
            <w:vertAlign w:val="superscript"/>
          </w:rPr>
          <w:t xml:space="preserve">192</w:t>
        </w:r>
      </w:hyperlink>
      <w:r>
        <w:rPr>
          <w:vertAlign w:val="superscript"/>
        </w:rPr>
        <w:t xml:space="preserve">,</w:t>
      </w:r>
      <w:hyperlink w:anchor="ref-1260">
        <w:r>
          <w:rPr>
            <w:rStyle w:val="Hyperlink"/>
            <w:vertAlign w:val="superscript"/>
          </w:rPr>
          <w:t xml:space="preserve">1260</w:t>
        </w:r>
      </w:hyperlink>
      <w:r>
        <w:rPr>
          <w:vertAlign w:val="superscript"/>
        </w:rPr>
        <w:t xml:space="preserve">]</w:t>
      </w:r>
      <w:r>
        <w:t xml:space="preserve">。</w:t>
      </w:r>
    </w:p>
    <w:p>
      <w:pPr>
        <w:pStyle w:val="BodyText"/>
      </w:pPr>
      <w:r>
        <w:t xml:space="preserve">皮质形成需要产生合适类型的细胞，并将它们安排到适当位置。细胞数目正常不保证布局正确，布局相对保留也不保证轴突目标和突触功能都正常。一个神经元从产生到加入回路，要经过多个受约束的阶段，因此不同分子异常可以产生部分相似的宏观影像，也可能在相似影像下造成不同的功能后果。</w:t>
      </w:r>
    </w:p>
    <w:p>
      <w:pPr>
        <w:pStyle w:val="BodyText"/>
      </w:pPr>
      <w:r>
        <w:t xml:space="preserve">转录图谱中的轨迹通常依据不同细胞状态的相似性和时空信息推定。它能够提出分化顺序和调控候选，却不等同对每个活体细胞从出生到成熟的连续追踪。把图谱中的一条路径画成绝对固定的命运，会忽略分支、状态可塑性、采样缺口和人体组织获取的限制。</w:t>
      </w:r>
    </w:p>
    <w:bookmarkEnd w:id="1864"/>
    <w:bookmarkStart w:id="1865" w:name="sec-121-4"/>
    <w:p>
      <w:pPr>
        <w:pStyle w:val="Heading3"/>
      </w:pPr>
      <w:r>
        <w:t xml:space="preserve">121.4　从轴突导航到可使用的回路</w:t>
      </w:r>
    </w:p>
    <w:p>
      <w:pPr>
        <w:pStyle w:val="FirstParagraph"/>
      </w:pPr>
      <w:r>
        <w:t xml:space="preserve">一个网络的形成需要长距离轴突到达大致目标，也需要局部突触与活动共同细化连接。生长锥对周围分子环境作出反应，目标组织提供支持，早期自发活动参与协调。感觉经验随后进入这一已经具有结构约束的系统。环境能够塑造回路，作用范围同时受到遗传程序、细胞状态和已有连接的影响。</w:t>
      </w:r>
    </w:p>
    <w:p>
      <w:pPr>
        <w:pStyle w:val="BodyText"/>
      </w:pPr>
      <w:r>
        <w:t xml:space="preserve">可以构造一个教学例子：若传入通路的结构已经形成，但感官输入长期缺少清晰信号，网络可能在不同输入统计下调整；若关键轴突根本未到达目标，单纯增加同一种刺激不能自动补齐所有解剖连接。两种情形都可以表现为较差的行为反应，其支持需求和可变化范围却不同。</w:t>
      </w:r>
    </w:p>
    <w:p>
      <w:pPr>
        <w:pStyle w:val="BodyText"/>
      </w:pPr>
      <w:r>
        <w:t xml:space="preserve">这种区分也限制商业化早教的论证。发现早期回路可塑，并不能推出任何更强、更密集或更昂贵的刺激都会提升远期能力。刺激必须能够被感受、在可承受范围内组织，并与儿童实际参与形成关系。持续打断睡眠或强迫完成高负荷任务，不能仅凭开发大脑的名称获得科学支持。</w:t>
      </w:r>
    </w:p>
    <w:bookmarkEnd w:id="1865"/>
    <w:bookmarkStart w:id="1866" w:name="sec-121-5"/>
    <w:p>
      <w:pPr>
        <w:pStyle w:val="Heading3"/>
      </w:pPr>
      <w:r>
        <w:t xml:space="preserve">121.5　胎盘与母胎环境</w:t>
      </w:r>
    </w:p>
    <w:p>
      <w:pPr>
        <w:pStyle w:val="FirstParagraph"/>
      </w:pPr>
      <w:r>
        <w:t xml:space="preserve">胎儿脑的物质供应依赖母体循环、胎盘交换和胎儿循环共同工作。氧、葡萄糖、微量营养素及激素信号各有运输和调节机制，母体血液中的一个浓度无法直接代表脑细胞内的浓度。胎盘具有选择、代谢和内分泌作用，母体与胎儿之间的关系包含多个中介环节。</w:t>
      </w:r>
    </w:p>
    <w:p>
      <w:pPr>
        <w:pStyle w:val="BodyText"/>
      </w:pPr>
      <w:r>
        <w:t xml:space="preserve">这意味着同一个母体指标可能对应不同的胎儿暴露。例如，短暂波动、长期异常、胎盘功能和胎儿生长需求共同决定后果。研究若只在某一孕周测量一次，得到的是有限时间的样本，不能完整重建整个妊娠中的暴露。解释风险时，需要避免把时间上相关的两个事件直接连成确定因果。</w:t>
      </w:r>
    </w:p>
    <w:p>
      <w:pPr>
        <w:pStyle w:val="BodyText"/>
      </w:pPr>
      <w:r>
        <w:t xml:space="preserve">社会和医疗条件也通过母胎环境产生影响。稳定营养、感染防治、适当产检、可获得的休息和疾病照护，都可能改变相关风险。将全部责任放到孕妇某一次情绪或某一顿饮食上，既丢失系统性因素，也超出现有证据能对个人作出的判断。</w:t>
      </w:r>
    </w:p>
    <w:bookmarkEnd w:id="1866"/>
    <w:bookmarkStart w:id="1867" w:name="sec-121-6"/>
    <w:p>
      <w:pPr>
        <w:pStyle w:val="Heading3"/>
      </w:pPr>
      <w:r>
        <w:t xml:space="preserve">121.6　营养的必要性与补充的边界</w:t>
      </w:r>
    </w:p>
    <w:p>
      <w:pPr>
        <w:pStyle w:val="FirstParagraph"/>
      </w:pPr>
      <w:r>
        <w:t xml:space="preserve">叶酸与神经管缺陷预防具有明确的特定证据链。MRC 随机试验在既往有受累妊娠的高风险女性中检验围受孕期补充，观察到复发风险降低；后续公共卫生建议结合其他资料，将预防时点放在备孕和早孕阶段。该证据支持特定缺陷的风险降低，不能被改写为所有维生素都能普遍增加胎儿智力</w:t>
      </w:r>
      <w:r>
        <w:rPr>
          <w:vertAlign w:val="superscript"/>
        </w:rPr>
        <w:t xml:space="preserve">[</w:t>
      </w:r>
      <w:hyperlink w:anchor="ref-1262">
        <w:r>
          <w:rPr>
            <w:rStyle w:val="Hyperlink"/>
            <w:vertAlign w:val="superscript"/>
          </w:rPr>
          <w:t xml:space="preserve">1262</w:t>
        </w:r>
      </w:hyperlink>
      <w:r>
        <w:rPr>
          <w:vertAlign w:val="superscript"/>
        </w:rPr>
        <w:t xml:space="preserve">,</w:t>
      </w:r>
      <w:hyperlink w:anchor="ref-1263">
        <w:r>
          <w:rPr>
            <w:rStyle w:val="Hyperlink"/>
            <w:vertAlign w:val="superscript"/>
          </w:rPr>
          <w:t xml:space="preserve">1263</w:t>
        </w:r>
      </w:hyperlink>
      <w:r>
        <w:rPr>
          <w:vertAlign w:val="superscript"/>
        </w:rPr>
        <w:t xml:space="preserve">]</w:t>
      </w:r>
      <w:r>
        <w:t xml:space="preserve">。</w:t>
      </w:r>
    </w:p>
    <w:p>
      <w:pPr>
        <w:pStyle w:val="BodyText"/>
      </w:pPr>
      <w:r>
        <w:t xml:space="preserve">碘参与甲状腺激素合成，甲状腺激素对胎儿和婴儿神经系统发育重要。严重缺乏具有明确风险，过量也可干扰甲状腺功能。对已处于不同营养状态的人群，额外补充是否改善特定认知结局，需要分别检验；营养素有生理必要性，并不意味着超过足够水平后收益继续线性增加</w:t>
      </w:r>
      <w:r>
        <w:rPr>
          <w:vertAlign w:val="superscript"/>
        </w:rPr>
        <w:t xml:space="preserve">[</w:t>
      </w:r>
      <w:hyperlink w:anchor="ref-1264">
        <w:r>
          <w:rPr>
            <w:rStyle w:val="Hyperlink"/>
            <w:vertAlign w:val="superscript"/>
          </w:rPr>
          <w:t xml:space="preserve">1264</w:t>
        </w:r>
      </w:hyperlink>
      <w:r>
        <w:rPr>
          <w:vertAlign w:val="superscript"/>
        </w:rPr>
        <w:t xml:space="preserve">]</w:t>
      </w:r>
      <w:r>
        <w:t xml:space="preserve">。</w:t>
      </w:r>
    </w:p>
    <w:p>
      <w:pPr>
        <w:pStyle w:val="BodyText"/>
      </w:pPr>
      <w:r>
        <w:t xml:space="preserve">测量层级同样重要。群体点尿碘中位数可用于评价人群状况，单个个体某一次尿碘可能受到近期摄入和排泄波动影响，不能直接承担完整的个人诊断。类似地，食品强化、普遍预防、特定缺乏治疗和高风险妊娠方案属于不同公共卫生及临床问题，本章不提供自行叠加补充剂的剂量表。</w:t>
      </w:r>
    </w:p>
    <w:bookmarkEnd w:id="1867"/>
    <w:bookmarkStart w:id="1868" w:name="sec-121-7"/>
    <w:p>
      <w:pPr>
        <w:pStyle w:val="Heading3"/>
      </w:pPr>
      <w:r>
        <w:t xml:space="preserve">121.7　胎龄、出生体重与生长受限</w:t>
      </w:r>
    </w:p>
    <w:p>
      <w:pPr>
        <w:pStyle w:val="FirstParagraph"/>
      </w:pPr>
      <w:r>
        <w:t xml:space="preserve">胎龄描述出生发生在妊娠的哪个阶段，出生体重描述当时身体大小；二者有关，却不能互换。一个体重较低的婴儿可能由于提前出生，也可能在相对较长妊娠中生长不足，还可能两种情况并存。把所有低出生体重归为相同发育机制，会掩盖胎盘、生长速度和成熟程度的差别</w:t>
      </w:r>
      <w:r>
        <w:rPr>
          <w:vertAlign w:val="superscript"/>
        </w:rPr>
        <w:t xml:space="preserve">[</w:t>
      </w:r>
      <w:hyperlink w:anchor="ref-1265">
        <w:r>
          <w:rPr>
            <w:rStyle w:val="Hyperlink"/>
            <w:vertAlign w:val="superscript"/>
          </w:rPr>
          <w:t xml:space="preserve">1265</w:t>
        </w:r>
      </w:hyperlink>
      <w:r>
        <w:rPr>
          <w:vertAlign w:val="superscript"/>
        </w:rPr>
        <w:t xml:space="preserve">]</w:t>
      </w:r>
      <w:r>
        <w:t xml:space="preserve">。</w:t>
      </w:r>
    </w:p>
    <w:p>
      <w:pPr>
        <w:pStyle w:val="BodyText"/>
      </w:pPr>
      <w:r>
        <w:t xml:space="preserve">按照胎龄比较体重可以帮助描述生长，但百分位仍是统计位置。低于某个参考范围提示需要结合病史和检查解释，其含义取决于参考人群、测量误差、家族体型和生长轨迹。一个单次数字不能独立判断脑的营养供应是否曾长期不足。</w:t>
      </w:r>
    </w:p>
    <w:p>
      <w:pPr>
        <w:pStyle w:val="BodyText"/>
      </w:pPr>
      <w:r>
        <w:t xml:space="preserve">生长也有时间结构。头围、长度和体重变化可以提供互补信息，快速增加或停滞都要结合背景。脑体积增长、细胞成熟和实际功能之间存在联系，却不按简单比例换算。对家庭而言，能够持续观察轨迹并获得解释，通常比追求每次测量都落在某个理想百分位更有意义。</w:t>
      </w:r>
    </w:p>
    <w:bookmarkEnd w:id="1868"/>
    <w:bookmarkStart w:id="1869" w:name="sec-121-8"/>
    <w:p>
      <w:pPr>
        <w:pStyle w:val="Heading3"/>
      </w:pPr>
      <w:r>
        <w:t xml:space="preserve">121.8　早产白质的细胞阶段易损性</w:t>
      </w:r>
    </w:p>
    <w:p>
      <w:pPr>
        <w:pStyle w:val="FirstParagraph"/>
      </w:pPr>
      <w:r>
        <w:t xml:space="preserve">早产相关白质损伤与少突胶质细胞谱系的发育阶段有关。人体组织研究发现，特定前体阶段在相应围产时间窗内较为丰富，帮助解释为何相似的缺氧缺血或炎症暴露，在不同年龄呈现不同的组织分布。年龄依赖的细胞状态提供机制线索，不能据此确定每个早产儿必然出现损伤</w:t>
      </w:r>
      <w:r>
        <w:rPr>
          <w:vertAlign w:val="superscript"/>
        </w:rPr>
        <w:t xml:space="preserve">[</w:t>
      </w:r>
      <w:hyperlink w:anchor="ref-1266">
        <w:r>
          <w:rPr>
            <w:rStyle w:val="Hyperlink"/>
            <w:vertAlign w:val="superscript"/>
          </w:rPr>
          <w:t xml:space="preserve">1266</w:t>
        </w:r>
      </w:hyperlink>
      <w:r>
        <w:rPr>
          <w:vertAlign w:val="superscript"/>
        </w:rPr>
        <w:t xml:space="preserve">]</w:t>
      </w:r>
      <w:r>
        <w:t xml:space="preserve">。</w:t>
      </w:r>
    </w:p>
    <w:p>
      <w:pPr>
        <w:pStyle w:val="BodyText"/>
      </w:pPr>
      <w:r>
        <w:t xml:space="preserve">白质异常也不全等于大量轴突被永久切断。部分人体病理研究显示，弥漫性损伤可以伴前少突细胞成熟停滞、胶质反应和髓鞘形成受阻。这个发现扩大了对病理的理解：细胞存活、分化和支持环境可能分别出现问题。死后组织观察仍不能直接回答某个活体婴儿的改变能恢复多少</w:t>
      </w:r>
      <w:r>
        <w:rPr>
          <w:vertAlign w:val="superscript"/>
        </w:rPr>
        <w:t xml:space="preserve">[</w:t>
      </w:r>
      <w:hyperlink w:anchor="ref-1267">
        <w:r>
          <w:rPr>
            <w:rStyle w:val="Hyperlink"/>
            <w:vertAlign w:val="superscript"/>
          </w:rPr>
          <w:t xml:space="preserve">1267</w:t>
        </w:r>
      </w:hyperlink>
      <w:r>
        <w:rPr>
          <w:vertAlign w:val="superscript"/>
        </w:rPr>
        <w:t xml:space="preserve">]</w:t>
      </w:r>
      <w:r>
        <w:t xml:space="preserve">。</w:t>
      </w:r>
    </w:p>
    <w:p>
      <w:pPr>
        <w:pStyle w:val="BodyText"/>
      </w:pPr>
      <w:r>
        <w:t xml:space="preserve">若将白质发育想成绝缘层不断加厚，会遗漏轴突口径、髓鞘节段组织、节点安排和代谢支持之间的协调。髓鞘改变可以影响传导时间和网络同步，相关功能后果还取决于哪条通路受累、其他通路是否补偿，以及之后的运动与感觉经验。</w:t>
      </w:r>
    </w:p>
    <w:bookmarkEnd w:id="1869"/>
    <w:bookmarkStart w:id="1870" w:name="sec-121-9"/>
    <w:p>
      <w:pPr>
        <w:pStyle w:val="Heading3"/>
      </w:pPr>
      <w:r>
        <w:t xml:space="preserve">121.9　血管、脑室与远处发育效应</w:t>
      </w:r>
    </w:p>
    <w:p>
      <w:pPr>
        <w:pStyle w:val="FirstParagraph"/>
      </w:pPr>
      <w:r>
        <w:t xml:space="preserve">早产脑的血管和周围支撑结构具有阶段特点，部分区域易受血流波动和疾病状态影响。脑室内出血、脑室周围组织改变和脑室扩大是不同层次的观察。脑室变大可能与脑脊液动力学或组织体积变化有关，不能用同一个词把不同机制合并。</w:t>
      </w:r>
    </w:p>
    <w:p>
      <w:pPr>
        <w:pStyle w:val="BodyText"/>
      </w:pPr>
      <w:r>
        <w:t xml:space="preserve">局灶改变也可能产生远处效应。早产儿影像研究观察到大脑一侧病变与对侧小脑体积差异，以及相反方向的关联，为连接相关的发育相互作用提供支持。跨突触营养或活动改变属于有依据的机制解释，观察性体积关系仍不能单独证明完整的因果路径</w:t>
      </w:r>
      <w:r>
        <w:rPr>
          <w:vertAlign w:val="superscript"/>
        </w:rPr>
        <w:t xml:space="preserve">[</w:t>
      </w:r>
      <w:hyperlink w:anchor="ref-1268">
        <w:r>
          <w:rPr>
            <w:rStyle w:val="Hyperlink"/>
            <w:vertAlign w:val="superscript"/>
          </w:rPr>
          <w:t xml:space="preserve">1268</w:t>
        </w:r>
      </w:hyperlink>
      <w:r>
        <w:rPr>
          <w:vertAlign w:val="superscript"/>
        </w:rPr>
        <w:t xml:space="preserve">]</w:t>
      </w:r>
      <w:r>
        <w:t xml:space="preserve">。</w:t>
      </w:r>
    </w:p>
    <w:p>
      <w:pPr>
        <w:pStyle w:val="BodyText"/>
      </w:pPr>
      <w:r>
        <w:t xml:space="preserve">这类远处作用提醒研究者关注网络。某个运动结果可能依赖皮质、下行通路、小脑和感觉反馈共同发展。只按最明显病灶的面积排序，可能忽略连接位置及后续发育的不同；但扩大到网络解释后，也不能把任何行为差异都归给不可检验的全脑异常。</w:t>
      </w:r>
    </w:p>
    <w:bookmarkEnd w:id="1870"/>
    <w:bookmarkStart w:id="1871" w:name="sec-121-10"/>
    <w:p>
      <w:pPr>
        <w:pStyle w:val="Heading3"/>
      </w:pPr>
      <w:r>
        <w:t xml:space="preserve">121.10　新生儿脑病与缺氧缺血病因</w:t>
      </w:r>
    </w:p>
    <w:p>
      <w:pPr>
        <w:pStyle w:val="FirstParagraph"/>
      </w:pPr>
      <w:r>
        <w:t xml:space="preserve">新生儿脑病描述意识、活动、肌张力、呼吸控制或发作等方面的异常状态，缺氧缺血是可能病因之一。感染、代谢、遗传、血管和其他情况也可以产生类似表现。病因分析需要整合围产经过、实验室、神经查体、脑电和影像，名称相似不能替代对具体病理的辨认。</w:t>
      </w:r>
    </w:p>
    <w:p>
      <w:pPr>
        <w:pStyle w:val="BodyText"/>
      </w:pPr>
      <w:r>
        <w:t xml:space="preserve">Apgar 评分用于描述出生后特定时点的状态及复苏反应，受到胎龄、药物、心肺情况和观察等因素影响。专业意见明确指出，单凭评分不能确立窒息病因或预测个体神经结局。它具有沟通与群体研究价值，其信息范围不能扩展为对一个孩子一生能力的判定</w:t>
      </w:r>
      <w:r>
        <w:rPr>
          <w:vertAlign w:val="superscript"/>
        </w:rPr>
        <w:t xml:space="preserve">[</w:t>
      </w:r>
      <w:hyperlink w:anchor="ref-1269">
        <w:r>
          <w:rPr>
            <w:rStyle w:val="Hyperlink"/>
            <w:vertAlign w:val="superscript"/>
          </w:rPr>
          <w:t xml:space="preserve">1269</w:t>
        </w:r>
      </w:hyperlink>
      <w:r>
        <w:rPr>
          <w:vertAlign w:val="superscript"/>
        </w:rPr>
        <w:t xml:space="preserve">]</w:t>
      </w:r>
      <w:r>
        <w:t xml:space="preserve">。</w:t>
      </w:r>
    </w:p>
    <w:p>
      <w:pPr>
        <w:pStyle w:val="BodyText"/>
      </w:pPr>
      <w:r>
        <w:t xml:space="preserve">缺氧缺血的损伤过程可能包含能量衰竭、离子梯度失衡、兴奋性毒性和再灌注后的继发变化。不同细胞和区域的易损性不同，病变分布还受事件强度及持续时间影响。所谓治疗时间窗，是在特定生物过程尚可影响时获得的机会，需要在专业监护体系中验证和使用。</w:t>
      </w:r>
    </w:p>
    <w:bookmarkEnd w:id="1871"/>
    <w:bookmarkStart w:id="1872" w:name="sec-121-11"/>
    <w:p>
      <w:pPr>
        <w:pStyle w:val="Heading3"/>
      </w:pPr>
      <w:r>
        <w:t xml:space="preserve">121.11　治疗性低温的直接证据</w:t>
      </w:r>
    </w:p>
    <w:p>
      <w:pPr>
        <w:pStyle w:val="FirstParagraph"/>
      </w:pPr>
      <w:r>
        <w:t xml:space="preserve">2005年 NICHD 随机试验将208名满足特定条件、胎龄至少三十六周且有中重度缺氧缺血性脑病的新生儿分配至全身低温或常规照护。主要结局资料可用者中，十八至二十二个月死亡或中重度残疾约为44%对62%，风险比 RR 为0.72，置信区间0.54至0.95。这里的风险比比较规定随访终点的事件概率，复合结局改善不意味着每个存活者都完全恢复</w:t>
      </w:r>
      <w:r>
        <w:rPr>
          <w:vertAlign w:val="superscript"/>
        </w:rPr>
        <w:t xml:space="preserve">[</w:t>
      </w:r>
      <w:hyperlink w:anchor="ref-1270">
        <w:r>
          <w:rPr>
            <w:rStyle w:val="Hyperlink"/>
            <w:vertAlign w:val="superscript"/>
          </w:rPr>
          <w:t xml:space="preserve">1270</w:t>
        </w:r>
      </w:hyperlink>
      <w:r>
        <w:rPr>
          <w:vertAlign w:val="superscript"/>
        </w:rPr>
        <w:t xml:space="preserve">]</w:t>
      </w:r>
      <w:r>
        <w:t xml:space="preserve">。</w:t>
      </w:r>
    </w:p>
    <w:p>
      <w:pPr>
        <w:pStyle w:val="BodyText"/>
      </w:pPr>
      <w:r>
        <w:t xml:space="preserve">试验提示的机制合理性与临床效果相互支持，外推仍需保留胎龄、脑病严重度、开始时间和照护条件。温度管理涉及全身生理，可能影响循环、凝血、代谢和药物处理。仅从降低代谢需求这一条机制出发，不能得出越冷、越久或越早产越获益的结论。</w:t>
      </w:r>
    </w:p>
    <w:p>
      <w:pPr>
        <w:pStyle w:val="BodyText"/>
      </w:pPr>
      <w:r>
        <w:t xml:space="preserve">对一个家庭解释结果时，还需要区分治疗的平均概率效应和当下孩子的具体状态。治疗后影像或脑电改善可以提供更多资料，预测通常随病程和发育评估逐步更新。选择循证治疗与承认残余不确定性可以同时成立。</w:t>
      </w:r>
    </w:p>
    <w:bookmarkEnd w:id="1872"/>
    <w:bookmarkStart w:id="1873" w:name="sec-121-12"/>
    <w:p>
      <w:pPr>
        <w:pStyle w:val="Heading3"/>
      </w:pPr>
      <w:r>
        <w:t xml:space="preserve">121.12　低温外推中的人群与环境边界</w:t>
      </w:r>
    </w:p>
    <w:p>
      <w:pPr>
        <w:pStyle w:val="FirstParagraph"/>
      </w:pPr>
      <w:r>
        <w:t xml:space="preserve">HELIX 在印度、斯里兰卡和孟加拉国的七家三级中心随机408名符合条件的新生儿。死亡或中重度残疾的复合结果约为50%对47%，未见益处；死亡约为42%对31%，低温组更高。该试验表明，即使拥有相应监护设施，原有高收入地区证据也不能直接覆盖所有病理组合和临床背景</w:t>
      </w:r>
      <w:r>
        <w:rPr>
          <w:vertAlign w:val="superscript"/>
        </w:rPr>
        <w:t xml:space="preserve">[</w:t>
      </w:r>
      <w:hyperlink w:anchor="ref-1271">
        <w:r>
          <w:rPr>
            <w:rStyle w:val="Hyperlink"/>
            <w:vertAlign w:val="superscript"/>
          </w:rPr>
          <w:t xml:space="preserve">1271</w:t>
        </w:r>
      </w:hyperlink>
      <w:r>
        <w:rPr>
          <w:vertAlign w:val="superscript"/>
        </w:rPr>
        <w:t xml:space="preserve">]</w:t>
      </w:r>
      <w:r>
        <w:t xml:space="preserve">。</w:t>
      </w:r>
    </w:p>
    <w:p>
      <w:pPr>
        <w:pStyle w:val="BodyText"/>
      </w:pPr>
      <w:r>
        <w:t xml:space="preserve">国家收入分类本身不构成生物学机制。可能的差异需要从损伤发生时间、出生前状况、感染、转运、病例选择和支持条件等方面检验，不能凭标签宣布所有地区内部的人群完全相同。与此同时，提出机制解释不能消除已观察到的随机安全信号；真实临床应用需要遵循适用指南和当地专业体系。</w:t>
      </w:r>
    </w:p>
    <w:p>
      <w:pPr>
        <w:pStyle w:val="BodyText"/>
      </w:pPr>
      <w:r>
        <w:t xml:space="preserve">2025年针对三十三至三十五孕周婴儿的随机试验纳入168人，未显示低温减少十八至二十二个月死亡或残疾。采用中性先验的贝叶斯分析，死亡或残疾增加的后验概率为74%，死亡增加的后验概率为87%。这些数值表达在模型和资料下对组间效应方向的判断，绝不等于接受治疗的某个婴儿有87%的死亡概率，也不能被外推为足月人群结论</w:t>
      </w:r>
      <w:r>
        <w:rPr>
          <w:vertAlign w:val="superscript"/>
        </w:rPr>
        <w:t xml:space="preserve">[</w:t>
      </w:r>
      <w:hyperlink w:anchor="ref-1272">
        <w:r>
          <w:rPr>
            <w:rStyle w:val="Hyperlink"/>
            <w:vertAlign w:val="superscript"/>
          </w:rPr>
          <w:t xml:space="preserve">1272</w:t>
        </w:r>
      </w:hyperlink>
      <w:r>
        <w:rPr>
          <w:vertAlign w:val="superscript"/>
        </w:rPr>
        <w:t xml:space="preserve">]</w:t>
      </w:r>
      <w:r>
        <w:t xml:space="preserve">。</w:t>
      </w:r>
    </w:p>
    <w:bookmarkEnd w:id="1873"/>
    <w:bookmarkStart w:id="1874" w:name="sec-121-13"/>
    <w:p>
      <w:pPr>
        <w:pStyle w:val="Heading3"/>
      </w:pPr>
      <w:r>
        <w:t xml:space="preserve">121.13　新生儿发作与脑电中的事件</w:t>
      </w:r>
    </w:p>
    <w:p>
      <w:pPr>
        <w:pStyle w:val="FirstParagraph"/>
      </w:pPr>
      <w:r>
        <w:t xml:space="preserve">新生儿发作可能只有电图表现，也可能伴随运动、眼偏或自主神经变化。外观安静不保证没有电图事件，明显抖动也不保证属于癫痫发作。药物可能改变可见运动与电活动之间的对应，使仅凭肉眼判断效果出现偏差。脑电在这个阶段承担确认和量化的重要作用</w:t>
      </w:r>
      <w:r>
        <w:rPr>
          <w:vertAlign w:val="superscript"/>
        </w:rPr>
        <w:t xml:space="preserve">[</w:t>
      </w:r>
      <w:hyperlink w:anchor="ref-1273">
        <w:r>
          <w:rPr>
            <w:rStyle w:val="Hyperlink"/>
            <w:vertAlign w:val="superscript"/>
          </w:rPr>
          <w:t xml:space="preserve">1273</w:t>
        </w:r>
      </w:hyperlink>
      <w:r>
        <w:rPr>
          <w:vertAlign w:val="superscript"/>
        </w:rPr>
        <w:t xml:space="preserve">]</w:t>
      </w:r>
      <w:r>
        <w:t xml:space="preserve">。</w:t>
      </w:r>
    </w:p>
    <w:p>
      <w:pPr>
        <w:pStyle w:val="BodyText"/>
      </w:pPr>
      <w:r>
        <w:t xml:space="preserve">急性诱发发作与新生儿期起病的癫痫需要区分。前者可能发生于缺氧缺血、卒中、感染或代谢紊乱，后者可能涉及遗传性通道或其他持久性病因；两类都需要处理，但远期风险和药物使用理由不同。不能将某次新生儿发作直接等同终身癫痫，也不能把所有发作看成没有额外意义的伴随现象。</w:t>
      </w:r>
    </w:p>
    <w:p>
      <w:pPr>
        <w:pStyle w:val="BodyText"/>
      </w:pPr>
      <w:r>
        <w:t xml:space="preserve">治疗研究还需要分别考察电图事件停止、总发作负担、近期安全和长期发育。2023年 ILAE 指南将有直接研究支持的推荐与依赖专家共识的建议区分，显示该领域仍有证据缺口。短期抑制发作是重要目标，其程度与远期认知结局之间的因果关系需要更加完整的研究</w:t>
      </w:r>
      <w:r>
        <w:rPr>
          <w:vertAlign w:val="superscript"/>
        </w:rPr>
        <w:t xml:space="preserve">[</w:t>
      </w:r>
      <w:hyperlink w:anchor="ref-1273">
        <w:r>
          <w:rPr>
            <w:rStyle w:val="Hyperlink"/>
            <w:vertAlign w:val="superscript"/>
          </w:rPr>
          <w:t xml:space="preserve">1273</w:t>
        </w:r>
      </w:hyperlink>
      <w:r>
        <w:rPr>
          <w:vertAlign w:val="superscript"/>
        </w:rPr>
        <w:t xml:space="preserve">]</w:t>
      </w:r>
      <w:r>
        <w:t xml:space="preserve">。</w:t>
      </w:r>
    </w:p>
    <w:bookmarkEnd w:id="1874"/>
    <w:bookmarkStart w:id="1875" w:name="sec-121-14"/>
    <w:p>
      <w:pPr>
        <w:pStyle w:val="Heading3"/>
      </w:pPr>
      <w:r>
        <w:t xml:space="preserve">121.14　胆红素与选择性神经毒性</w:t>
      </w:r>
    </w:p>
    <w:p>
      <w:pPr>
        <w:pStyle w:val="FirstParagraph"/>
      </w:pPr>
      <w:r>
        <w:t xml:space="preserve">胆红素在新生儿阶段升高具有多种原因，多数黄疸与严重神经毒性不能直接画等号。风险评价涉及胆红素水平、出生后时龄、胎龄、溶血和其他增加易感性的因素；同样的数值在不同背景下可以具有不同意义。严重相关脑病可影响运动和听觉等系统，因此识别与随访具有明确目的</w:t>
      </w:r>
      <w:r>
        <w:rPr>
          <w:vertAlign w:val="superscript"/>
        </w:rPr>
        <w:t xml:space="preserve">[</w:t>
      </w:r>
      <w:hyperlink w:anchor="ref-1274">
        <w:r>
          <w:rPr>
            <w:rStyle w:val="Hyperlink"/>
            <w:vertAlign w:val="superscript"/>
          </w:rPr>
          <w:t xml:space="preserve">1274</w:t>
        </w:r>
      </w:hyperlink>
      <w:r>
        <w:rPr>
          <w:vertAlign w:val="superscript"/>
        </w:rPr>
        <w:t xml:space="preserve">]</w:t>
      </w:r>
      <w:r>
        <w:t xml:space="preserve">。</w:t>
      </w:r>
    </w:p>
    <w:p>
      <w:pPr>
        <w:pStyle w:val="BodyText"/>
      </w:pPr>
      <w:r>
        <w:t xml:space="preserve">总浓度也不完整代表到达脑组织的有效暴露。蛋白结合、酸碱状态、疾病背景及屏障相关条件均可能改变解释。专业阈值图将若干关键风险信息纳入决策，家庭凭肉眼黄的程度或网络通用数值无法完成相同判断。</w:t>
      </w:r>
    </w:p>
    <w:p>
      <w:pPr>
        <w:pStyle w:val="BodyText"/>
      </w:pPr>
      <w:r>
        <w:t xml:space="preserve">光疗的效果依赖特定波长、照射条件、可测剂量及监测体系，不能由光可以改变胆红素这一机制推导随意晒太阳具有相同安全性和有效性。本书在此解释机理与测量，不把专业治疗流程转写为家庭操作步骤。</w:t>
      </w:r>
    </w:p>
    <w:bookmarkEnd w:id="1875"/>
    <w:bookmarkStart w:id="1876" w:name="sec-121-15"/>
    <w:p>
      <w:pPr>
        <w:pStyle w:val="Heading3"/>
      </w:pPr>
      <w:r>
        <w:t xml:space="preserve">121.15　影像预测与个人发育的不确定区间</w:t>
      </w:r>
    </w:p>
    <w:p>
      <w:pPr>
        <w:pStyle w:val="FirstParagraph"/>
      </w:pPr>
      <w:r>
        <w:t xml:space="preserve">足月等效龄 MRI 可以观察早产儿结构和信号特点，并帮助风险分层。Woodward 等人的167名早产儿队列显示，部分白质异常与两岁运动、认知等结局相关。影像由此成为有价值的证据来源，单一图像仍无法提供一个孩子全部长期功能的确定预告</w:t>
      </w:r>
      <w:r>
        <w:rPr>
          <w:vertAlign w:val="superscript"/>
        </w:rPr>
        <w:t xml:space="preserve">[</w:t>
      </w:r>
      <w:hyperlink w:anchor="ref-1275">
        <w:r>
          <w:rPr>
            <w:rStyle w:val="Hyperlink"/>
            <w:vertAlign w:val="superscript"/>
          </w:rPr>
          <w:t xml:space="preserve">1275</w:t>
        </w:r>
      </w:hyperlink>
      <w:r>
        <w:rPr>
          <w:vertAlign w:val="superscript"/>
        </w:rPr>
        <w:t xml:space="preserve">]</w:t>
      </w:r>
      <w:r>
        <w:t xml:space="preserve">。</w:t>
      </w:r>
    </w:p>
    <w:p>
      <w:pPr>
        <w:pStyle w:val="BodyText"/>
      </w:pPr>
      <w:r>
        <w:t xml:space="preserve">预测误差有多种来源。影像只能捕捉检查时刻和该技术可见的组织特征，后续疾病、感觉输入、支持和学习经验继续影响发展；检查本身也受到运动、序列、分析方法和参考范围的限制。对同一病灶，语言、精细运动与行为调节的预测精度可能不同。</w:t>
      </w:r>
    </w:p>
    <w:p>
      <w:pPr>
        <w:pStyle w:val="BodyText"/>
      </w:pPr>
      <w:r>
        <w:t xml:space="preserve">假设影像标志物在高风险队列中与运动困难有关，如果将它用于普通低风险婴儿，其阳性预测值会随基础发生率变化。临床解释因此需要明确所问问题：识别已存在结构异常、预测某个年龄的特定功能，还是决定某项服务，三者要求不同证据。预测有价值，同时仍应允许随着新资料更新。</w:t>
      </w:r>
    </w:p>
    <w:bookmarkEnd w:id="1876"/>
    <w:bookmarkStart w:id="1877" w:name="sec-121-16"/>
    <w:p>
      <w:pPr>
        <w:pStyle w:val="Heading3"/>
      </w:pPr>
      <w:r>
        <w:t xml:space="preserve">121.16　校正年龄与发育轨迹</w:t>
      </w:r>
    </w:p>
    <w:p>
      <w:pPr>
        <w:pStyle w:val="FirstParagraph"/>
      </w:pPr>
      <w:r>
        <w:t xml:space="preserve">早产随访常需要按校正年龄解释早期发育表现。这样做是将出生提前造成的时间差纳入比较，避免把更短的生物成熟时间当作同等条件下的落后。NICE 随访指南明确强调相关早期评估中的胎龄校正，以及运动、感觉、认知和家庭关切的综合跟踪</w:t>
      </w:r>
      <w:r>
        <w:rPr>
          <w:vertAlign w:val="superscript"/>
        </w:rPr>
        <w:t xml:space="preserve">[</w:t>
      </w:r>
      <w:hyperlink w:anchor="ref-1276">
        <w:r>
          <w:rPr>
            <w:rStyle w:val="Hyperlink"/>
            <w:vertAlign w:val="superscript"/>
          </w:rPr>
          <w:t xml:space="preserve">1276</w:t>
        </w:r>
      </w:hyperlink>
      <w:r>
        <w:rPr>
          <w:vertAlign w:val="superscript"/>
        </w:rPr>
        <w:t xml:space="preserve">]</w:t>
      </w:r>
      <w:r>
        <w:t xml:space="preserve">。</w:t>
      </w:r>
    </w:p>
    <w:p>
      <w:pPr>
        <w:pStyle w:val="BodyText"/>
      </w:pPr>
      <w:r>
        <w:t xml:space="preserve">校正年龄不是把所有差异都消除的公式。经历不同疾病、住院环境和感觉机会的儿童，即便具有相同校正年龄，发育仍可能不同。它提供更合适的参照起点，不能取代连续观察、神经评估和必要支持。</w:t>
      </w:r>
    </w:p>
    <w:p>
      <w:pPr>
        <w:pStyle w:val="BodyText"/>
      </w:pPr>
      <w:r>
        <w:t xml:space="preserve">同样，发育里程碑需要按领域及过程理解。单次未完成一个动作可能受状态、动机或观察条件影响，持续缺乏某种能力、明显不对称或已经获得的能力丧失，具有不同解释价值。评估关注变化轨迹及功能组合，避免把一个孤立日期视作对未来智力和人格的判断。</w:t>
      </w:r>
    </w:p>
    <w:bookmarkEnd w:id="1877"/>
    <w:bookmarkStart w:id="1878" w:name="sec-121-17"/>
    <w:p>
      <w:pPr>
        <w:pStyle w:val="Heading3"/>
      </w:pPr>
      <w:r>
        <w:t xml:space="preserve">121.17　脑性瘫痪的定义与可变化功能</w:t>
      </w:r>
    </w:p>
    <w:p>
      <w:pPr>
        <w:pStyle w:val="FirstParagraph"/>
      </w:pPr>
      <w:r>
        <w:t xml:space="preserve">脑性瘫痪描述由发育中脑的非进行性异常所致、持续影响姿势和运动的一组情况。非进行性涉及基础脑扰动的性质，功能表现、肌骨负担、疼痛和参与需求仍可随年龄变化。一个孩子早期的运动方式不能完全预告青春期及成年后的支持需求</w:t>
      </w:r>
      <w:r>
        <w:rPr>
          <w:vertAlign w:val="superscript"/>
        </w:rPr>
        <w:t xml:space="preserve">[</w:t>
      </w:r>
      <w:hyperlink w:anchor="ref-1277">
        <w:r>
          <w:rPr>
            <w:rStyle w:val="Hyperlink"/>
            <w:vertAlign w:val="superscript"/>
          </w:rPr>
          <w:t xml:space="preserve">1277</w:t>
        </w:r>
      </w:hyperlink>
      <w:r>
        <w:rPr>
          <w:vertAlign w:val="superscript"/>
        </w:rPr>
        <w:t xml:space="preserve">,</w:t>
      </w:r>
      <w:hyperlink w:anchor="ref-1278">
        <w:r>
          <w:rPr>
            <w:rStyle w:val="Hyperlink"/>
            <w:vertAlign w:val="superscript"/>
          </w:rPr>
          <w:t xml:space="preserve">1278</w:t>
        </w:r>
      </w:hyperlink>
      <w:r>
        <w:rPr>
          <w:vertAlign w:val="superscript"/>
        </w:rPr>
        <w:t xml:space="preserve">]</w:t>
      </w:r>
      <w:r>
        <w:t xml:space="preserve">。</w:t>
      </w:r>
    </w:p>
    <w:p>
      <w:pPr>
        <w:pStyle w:val="BodyText"/>
      </w:pPr>
      <w:r>
        <w:t xml:space="preserve">运动表型与认知、交流和感官功能需要分别评估。说话困难可能来自运动输出受限，不能直接等同理解能力低；独立行走能力也不能代表全部生活参与。对于需要辅助交流或移动支持的儿童，合适工具可能明显扩大表达和探索机会，其价值不能只用是否接近典型动作模式衡量。</w:t>
      </w:r>
    </w:p>
    <w:p>
      <w:pPr>
        <w:pStyle w:val="BodyText"/>
      </w:pPr>
      <w:r>
        <w:t xml:space="preserve">遗传研究进一步显示，部分符合脑瘫表型的人存在可解释的分子诊断。2023年元分析汇总十三项研究、2612人，诊断产出受病例选择影响且异质性很高。相关发现支持对合适情境开展遗传评估，不能把选择样本的合并比例解释为全部脑瘫人群中唯一确定的遗传病因份额，也不能据此忽略围产因素</w:t>
      </w:r>
      <w:r>
        <w:rPr>
          <w:vertAlign w:val="superscript"/>
        </w:rPr>
        <w:t xml:space="preserve">[</w:t>
      </w:r>
      <w:hyperlink w:anchor="ref-1279">
        <w:r>
          <w:rPr>
            <w:rStyle w:val="Hyperlink"/>
            <w:vertAlign w:val="superscript"/>
          </w:rPr>
          <w:t xml:space="preserve">1279</w:t>
        </w:r>
      </w:hyperlink>
      <w:r>
        <w:rPr>
          <w:vertAlign w:val="superscript"/>
        </w:rPr>
        <w:t xml:space="preserve">]</w:t>
      </w:r>
      <w:r>
        <w:t xml:space="preserve">。</w:t>
      </w:r>
    </w:p>
    <w:bookmarkEnd w:id="1878"/>
    <w:bookmarkStart w:id="1879" w:name="sec-121-18"/>
    <w:p>
      <w:pPr>
        <w:pStyle w:val="Heading3"/>
      </w:pPr>
      <w:r>
        <w:t xml:space="preserve">121.18　早期识别与早期支持</w:t>
      </w:r>
    </w:p>
    <w:p>
      <w:pPr>
        <w:pStyle w:val="FirstParagraph"/>
      </w:pPr>
      <w:r>
        <w:t xml:space="preserve">标准化全身运动评估、婴儿神经检查和影像等工具可以在合适年龄及风险背景下帮助较早识别脑瘫风险。2017年系统综述强调多种资料的一致性，并有涉及 HINE 表格比较符号的正式更正。本章采用更正后的框架，不将阈值制作成家庭自测算法。高风险样本的较好敏感度也不自动代表普通儿童筛查的相同阳性预测值</w:t>
      </w:r>
      <w:r>
        <w:rPr>
          <w:vertAlign w:val="superscript"/>
        </w:rPr>
        <w:t xml:space="preserve">[</w:t>
      </w:r>
      <w:hyperlink w:anchor="ref-1277">
        <w:r>
          <w:rPr>
            <w:rStyle w:val="Hyperlink"/>
            <w:vertAlign w:val="superscript"/>
          </w:rPr>
          <w:t xml:space="preserve">1277</w:t>
        </w:r>
      </w:hyperlink>
      <w:r>
        <w:rPr>
          <w:vertAlign w:val="superscript"/>
        </w:rPr>
        <w:t xml:space="preserve">]</w:t>
      </w:r>
      <w:r>
        <w:t xml:space="preserve">。</w:t>
      </w:r>
    </w:p>
    <w:p>
      <w:pPr>
        <w:pStyle w:val="BodyText"/>
      </w:pPr>
      <w:r>
        <w:t xml:space="preserve">较早识别的意义包括及时支持主动活动、沟通、营养和家庭理解，减少等待一个最终标签才提供帮助的延迟。早期诊断可能仍带不确定性，可以清楚说明当前风险和需要观察的领域；远期严重度尚难确定时，也应如实说明。</w:t>
      </w:r>
    </w:p>
    <w:p>
      <w:pPr>
        <w:pStyle w:val="BodyText"/>
      </w:pPr>
      <w:r>
        <w:t xml:space="preserve">2021年国际早期干预指南支持以目标和儿童主动参与为核心的照护，并关注家庭能力与福祉。它不支持以痛苦和强迫证明训练有效。目标需要与儿童现阶段可获得的感觉、动作控制和兴趣匹配，主动尝试及成功反馈有助于形成可持续学习机会</w:t>
      </w:r>
      <w:r>
        <w:rPr>
          <w:vertAlign w:val="superscript"/>
        </w:rPr>
        <w:t xml:space="preserve">[</w:t>
      </w:r>
      <w:hyperlink w:anchor="ref-1278">
        <w:r>
          <w:rPr>
            <w:rStyle w:val="Hyperlink"/>
            <w:vertAlign w:val="superscript"/>
          </w:rPr>
          <w:t xml:space="preserve">1278</w:t>
        </w:r>
      </w:hyperlink>
      <w:r>
        <w:rPr>
          <w:vertAlign w:val="superscript"/>
        </w:rPr>
        <w:t xml:space="preserve">]</w:t>
      </w:r>
      <w:r>
        <w:t xml:space="preserve">。</w:t>
      </w:r>
    </w:p>
    <w:bookmarkEnd w:id="1879"/>
    <w:bookmarkStart w:id="1880" w:name="sec-121-19"/>
    <w:p>
      <w:pPr>
        <w:pStyle w:val="Heading3"/>
      </w:pPr>
      <w:r>
        <w:t xml:space="preserve">121.19　练习机会如何形成发展级联</w:t>
      </w:r>
    </w:p>
    <w:p>
      <w:pPr>
        <w:pStyle w:val="FirstParagraph"/>
      </w:pPr>
      <w:r>
        <w:t xml:space="preserve">发展级联指一个领域的变化通过日常活动影响其他领域。若儿童更容易伸手接近物体，就可能获得更多触觉、视觉和因果探索；若沟通工具使其能够表达选择，照护者就更容易提供匹配活动。这些变化可以逐渐扩大参与，机制不要求所有运动先恢复到同一种模式。</w:t>
      </w:r>
    </w:p>
    <w:p>
      <w:pPr>
        <w:pStyle w:val="BodyText"/>
      </w:pPr>
      <w:r>
        <w:t xml:space="preserve">可以构造一个假设例子。甲能够自主指向想要的玩具，却难以准确说词；乙可以发出词语，但很难稳定控制手部。对甲加强可理解的交流渠道，对乙提供容易触发的选择方式，都可能增加互动质量。相同总训练时长若没有对应主要障碍，未必产生相同收益。</w:t>
      </w:r>
    </w:p>
    <w:p>
      <w:pPr>
        <w:pStyle w:val="BodyText"/>
      </w:pPr>
      <w:r>
        <w:t xml:space="preserve">级联也可能向不利方向发展。反复失败、疼痛或疲劳减少探索，成人又将少尝试理解为能力不足，从而进一步减少机会。专业支持可以同时处理身体限制、任务难度和环境回应。把问题仅归为大脑内的固定缺陷，会遗漏这些可以改变的环节。</w:t>
      </w:r>
    </w:p>
    <w:bookmarkEnd w:id="1880"/>
    <w:bookmarkStart w:id="1881" w:name="sec-121-20"/>
    <w:p>
      <w:pPr>
        <w:pStyle w:val="Heading3"/>
      </w:pPr>
      <w:r>
        <w:t xml:space="preserve">121.20　家庭参与与新生儿照护环境</w:t>
      </w:r>
    </w:p>
    <w:p>
      <w:pPr>
        <w:pStyle w:val="FirstParagraph"/>
      </w:pPr>
      <w:r>
        <w:t xml:space="preserve">WHO 对早产和低出生体重婴儿的照护建议强调家庭参与、营养及袋鼠式照护，并保留临床状态和监测要求。其实施依赖人员、空间和制度安排，不能把照护责任简单转交给缺少支持的家庭。母亲无法持续在场时，适当的其他照护者支持也属于服务设计的一部分</w:t>
      </w:r>
      <w:r>
        <w:rPr>
          <w:vertAlign w:val="superscript"/>
        </w:rPr>
        <w:t xml:space="preserve">[</w:t>
      </w:r>
      <w:hyperlink w:anchor="ref-1265">
        <w:r>
          <w:rPr>
            <w:rStyle w:val="Hyperlink"/>
            <w:vertAlign w:val="superscript"/>
          </w:rPr>
          <w:t xml:space="preserve">1265</w:t>
        </w:r>
      </w:hyperlink>
      <w:r>
        <w:rPr>
          <w:vertAlign w:val="superscript"/>
        </w:rPr>
        <w:t xml:space="preserve">]</w:t>
      </w:r>
      <w:r>
        <w:t xml:space="preserve">。</w:t>
      </w:r>
    </w:p>
    <w:p>
      <w:pPr>
        <w:pStyle w:val="BodyText"/>
      </w:pPr>
      <w:r>
        <w:t xml:space="preserve">2021年即时袋鼠式照护随机试验纳入3211名特定低出生体重婴儿，在有相应监护的系统中，二十八日死亡为12.0%对15.7%，风险比0.75，置信区间0.64至0.89；七十二小时结局未显著。该结果支持这一照护组合的生存价值，不能将收益全部归为某一个触觉分子通路，也不能推定已经证明长期智力提高</w:t>
      </w:r>
      <w:r>
        <w:rPr>
          <w:vertAlign w:val="superscript"/>
        </w:rPr>
        <w:t xml:space="preserve">[</w:t>
      </w:r>
      <w:hyperlink w:anchor="ref-1280">
        <w:r>
          <w:rPr>
            <w:rStyle w:val="Hyperlink"/>
            <w:vertAlign w:val="superscript"/>
          </w:rPr>
          <w:t xml:space="preserve">1280</w:t>
        </w:r>
      </w:hyperlink>
      <w:r>
        <w:rPr>
          <w:vertAlign w:val="superscript"/>
        </w:rPr>
        <w:t xml:space="preserve">]</w:t>
      </w:r>
      <w:r>
        <w:t xml:space="preserve">。</w:t>
      </w:r>
    </w:p>
    <w:p>
      <w:pPr>
        <w:pStyle w:val="BodyText"/>
      </w:pPr>
      <w:r>
        <w:t xml:space="preserve">接近、温度、营养支持和照护者参与可能同时改变多个环节。一个有效服务可以具有多重机制，拆分其中每一部分的贡献需要额外研究。真实实施还应避免让照护者以睡眠、健康和收入的不可持续损失来维持干预；支持家庭是保证干预可持续性的组成部分。</w:t>
      </w:r>
    </w:p>
    <w:bookmarkEnd w:id="1881"/>
    <w:bookmarkStart w:id="1882" w:name="sec-121-21"/>
    <w:p>
      <w:pPr>
        <w:pStyle w:val="Heading3"/>
      </w:pPr>
      <w:r>
        <w:t xml:space="preserve">121.21　医疗操作疼痛与必要照护的平衡</w:t>
      </w:r>
    </w:p>
    <w:p>
      <w:pPr>
        <w:pStyle w:val="FirstParagraph"/>
      </w:pPr>
      <w:r>
        <w:t xml:space="preserve">早产婴儿具有疼痛相关生理反应，不能因语言表达尚未出现而忽略其体验。前瞻观察研究发现，较多侵入性操作与部分脑发育影像指标相关，即便进行了临床因素校正，疾病严重度、药物和操作需求仍可能造成残余混杂。因此，这类研究支持认真研究和减轻可避免的痛苦，不能单独证明某一种镇痛方案已改善长期智力</w:t>
      </w:r>
      <w:r>
        <w:rPr>
          <w:vertAlign w:val="superscript"/>
        </w:rPr>
        <w:t xml:space="preserve">[</w:t>
      </w:r>
      <w:hyperlink w:anchor="ref-1281">
        <w:r>
          <w:rPr>
            <w:rStyle w:val="Hyperlink"/>
            <w:vertAlign w:val="superscript"/>
          </w:rPr>
          <w:t xml:space="preserve">1281</w:t>
        </w:r>
      </w:hyperlink>
      <w:r>
        <w:rPr>
          <w:vertAlign w:val="superscript"/>
        </w:rPr>
        <w:t xml:space="preserve">]</w:t>
      </w:r>
      <w:r>
        <w:t xml:space="preserve">。</w:t>
      </w:r>
    </w:p>
    <w:p>
      <w:pPr>
        <w:pStyle w:val="BodyText"/>
      </w:pPr>
      <w:r>
        <w:t xml:space="preserve">必要的生命支持可能同时带来短期负担与长期收益。减少不必要操作、整合护理、采用经过验证的舒适和镇痛措施，与维持必要检测并不冲突。每项选择需要在生理稳定、疼痛、安全和信息价值之间具体评价。</w:t>
      </w:r>
    </w:p>
    <w:p>
      <w:pPr>
        <w:pStyle w:val="BodyText"/>
      </w:pPr>
      <w:r>
        <w:t xml:space="preserve">照护环境的声音和光也有不同功能。持续过强刺激可能干扰休息，完全缺乏适当人际和感觉输入又不符合发育需求。科学目标是提供与状态相容、可以调节的环境，并观察婴儿反应；统一的越安静越好或越刺激越好都过于简单。</w:t>
      </w:r>
    </w:p>
    <w:bookmarkEnd w:id="1882"/>
    <w:bookmarkStart w:id="1883" w:name="sec-121-22"/>
    <w:p>
      <w:pPr>
        <w:pStyle w:val="Heading3"/>
      </w:pPr>
      <w:r>
        <w:t xml:space="preserve">121.22　预防性干预的时间和结局</w:t>
      </w:r>
    </w:p>
    <w:p>
      <w:pPr>
        <w:pStyle w:val="FirstParagraph"/>
      </w:pPr>
      <w:r>
        <w:t xml:space="preserve">产前硫酸镁用于特定早产风险情境的胎儿神经保护，具有随机试验综合证据。2026年 Cochrane 更新继续支持其降低两岁前脑瘫及死亡或脑瘫复合结局，学龄期结局更不确定；这次更新还修订了严重脑室内出血分析，总体主要结论未变。治疗涉及孕妇和胎儿，需要由产科与新生儿团队在适应条件下实施</w:t>
      </w:r>
      <w:r>
        <w:rPr>
          <w:vertAlign w:val="superscript"/>
        </w:rPr>
        <w:t xml:space="preserve">[</w:t>
      </w:r>
      <w:hyperlink w:anchor="ref-1282">
        <w:r>
          <w:rPr>
            <w:rStyle w:val="Hyperlink"/>
            <w:vertAlign w:val="superscript"/>
          </w:rPr>
          <w:t xml:space="preserve">1282</w:t>
        </w:r>
      </w:hyperlink>
      <w:r>
        <w:rPr>
          <w:vertAlign w:val="superscript"/>
        </w:rPr>
        <w:t xml:space="preserve">]</w:t>
      </w:r>
      <w:r>
        <w:t xml:space="preserve">。</w:t>
      </w:r>
    </w:p>
    <w:p>
      <w:pPr>
        <w:pStyle w:val="BodyText"/>
      </w:pPr>
      <w:r>
        <w:t xml:space="preserve">产前糖皮质激素的证据链主要涉及胎肺成熟及围产结局，系统综述支持减少部分死亡和呼吸窘迫，并可能降低脑室内出血风险。它说明脑保护可以通过全身生理和呼吸稳定间接实现；观察到神经相关收益并不要求药物必须只作用于脑内一个靶点</w:t>
      </w:r>
      <w:r>
        <w:rPr>
          <w:vertAlign w:val="superscript"/>
        </w:rPr>
        <w:t xml:space="preserve">[</w:t>
      </w:r>
      <w:hyperlink w:anchor="ref-1283">
        <w:r>
          <w:rPr>
            <w:rStyle w:val="Hyperlink"/>
            <w:vertAlign w:val="superscript"/>
          </w:rPr>
          <w:t xml:space="preserve">1283</w:t>
        </w:r>
      </w:hyperlink>
      <w:r>
        <w:rPr>
          <w:vertAlign w:val="superscript"/>
        </w:rPr>
        <w:t xml:space="preserve">]</w:t>
      </w:r>
      <w:r>
        <w:t xml:space="preserve">。</w:t>
      </w:r>
    </w:p>
    <w:p>
      <w:pPr>
        <w:pStyle w:val="BodyText"/>
      </w:pPr>
      <w:r>
        <w:t xml:space="preserve">不同预防项目不能通过名称相似而互换。降低神经管缺陷、减少早产相关脑瘫和改善新生儿脑病结局，涉及不同时间、机制和适用人群。把所有措施放入补脑类别，会抹去关键证据条件，也可能诱导无根据的叠加使用。</w:t>
      </w:r>
    </w:p>
    <w:bookmarkEnd w:id="1883"/>
    <w:bookmarkStart w:id="1884" w:name="sec-121-23"/>
    <w:p>
      <w:pPr>
        <w:pStyle w:val="Heading3"/>
      </w:pPr>
      <w:r>
        <w:t xml:space="preserve">121.23　感官输入与可获得的沟通</w:t>
      </w:r>
    </w:p>
    <w:p>
      <w:pPr>
        <w:pStyle w:val="FirstParagraph"/>
      </w:pPr>
      <w:r>
        <w:t xml:space="preserve">听觉或视觉困难会改变婴儿可获得的输入，并影响观察者对其互动的解释。一个孩子对声音反应少，可能需要听力评估；没有稳定注视，可能涉及眼部、视觉通路、注意状态或运动控制。不能单凭互动少就推定缺乏兴趣或理解</w:t>
      </w:r>
      <w:r>
        <w:rPr>
          <w:vertAlign w:val="superscript"/>
        </w:rPr>
        <w:t xml:space="preserve">[</w:t>
      </w:r>
      <w:hyperlink w:anchor="ref-1276">
        <w:r>
          <w:rPr>
            <w:rStyle w:val="Hyperlink"/>
            <w:vertAlign w:val="superscript"/>
          </w:rPr>
          <w:t xml:space="preserve">1276</w:t>
        </w:r>
      </w:hyperlink>
      <w:r>
        <w:rPr>
          <w:vertAlign w:val="superscript"/>
        </w:rPr>
        <w:t xml:space="preserve">]</w:t>
      </w:r>
      <w:r>
        <w:t xml:space="preserve">。</w:t>
      </w:r>
    </w:p>
    <w:p>
      <w:pPr>
        <w:pStyle w:val="BodyText"/>
      </w:pPr>
      <w:r>
        <w:t xml:space="preserve">先天巨细胞病毒感染可伴出生后延迟出现或进展的听力变化，部分婴儿即使通过新生儿听力筛查，后续仍可能出现问题。因此，特定风险情境中的随访关注时间轨迹。该例说明一次筛查通过提供当时的信息，不能保证所有未来感官功能始终不变</w:t>
      </w:r>
      <w:r>
        <w:rPr>
          <w:vertAlign w:val="superscript"/>
        </w:rPr>
        <w:t xml:space="preserve">[</w:t>
      </w:r>
      <w:hyperlink w:anchor="ref-1284">
        <w:r>
          <w:rPr>
            <w:rStyle w:val="Hyperlink"/>
            <w:vertAlign w:val="superscript"/>
          </w:rPr>
          <w:t xml:space="preserve">1284</w:t>
        </w:r>
      </w:hyperlink>
      <w:r>
        <w:rPr>
          <w:vertAlign w:val="superscript"/>
        </w:rPr>
        <w:t xml:space="preserve">]</w:t>
      </w:r>
      <w:r>
        <w:t xml:space="preserve">。</w:t>
      </w:r>
    </w:p>
    <w:p>
      <w:pPr>
        <w:pStyle w:val="BodyText"/>
      </w:pPr>
      <w:r>
        <w:t xml:space="preserve">支持语言与交流并不局限于一种感觉和运动通道。手语、辅助设备和合适的互动方式可以帮助儿童获得可理解的沟通。服务目标应包括信息可及性和自主表达，避免把等待一种理想输出形式作为延迟交流机会的理由。</w:t>
      </w:r>
    </w:p>
    <w:bookmarkEnd w:id="1884"/>
    <w:bookmarkStart w:id="1885" w:name="sec-121-24"/>
    <w:p>
      <w:pPr>
        <w:pStyle w:val="Heading3"/>
      </w:pPr>
      <w:r>
        <w:t xml:space="preserve">121.24　长期随访需要回答不同年龄的问题</w:t>
      </w:r>
    </w:p>
    <w:p>
      <w:pPr>
        <w:pStyle w:val="FirstParagraph"/>
      </w:pPr>
      <w:r>
        <w:t xml:space="preserve">婴儿期评估较多关注基本运动、感觉和早期交流，入学后对执行功能、复杂语言、学习和同伴活动的要求增加。某些困难在任务需求上升后才更明显，这不必意味着此前一定遗漏了一个清晰可见的异常。功能是能力与环境要求相互作用的结果，随访需随发展阶段调整重点</w:t>
      </w:r>
      <w:r>
        <w:rPr>
          <w:vertAlign w:val="superscript"/>
        </w:rPr>
        <w:t xml:space="preserve">[</w:t>
      </w:r>
      <w:hyperlink w:anchor="ref-1276">
        <w:r>
          <w:rPr>
            <w:rStyle w:val="Hyperlink"/>
            <w:vertAlign w:val="superscript"/>
          </w:rPr>
          <w:t xml:space="preserve">1276</w:t>
        </w:r>
      </w:hyperlink>
      <w:r>
        <w:rPr>
          <w:vertAlign w:val="superscript"/>
        </w:rPr>
        <w:t xml:space="preserve">]</w:t>
      </w:r>
      <w:r>
        <w:t xml:space="preserve">。</w:t>
      </w:r>
    </w:p>
    <w:p>
      <w:pPr>
        <w:pStyle w:val="BodyText"/>
      </w:pPr>
      <w:r>
        <w:t xml:space="preserve">研究中的两岁量表不能覆盖成年后的所有结局。较早评价有助于及时干预，也面临状态依赖和预测范围限制；较晚评价能观察复杂能力，却容易受到失访及后续环境差异影响。一个严谨的出生队列需要同时记录医疗、家庭、教育和参与信息，才能更好区分不同路径。</w:t>
      </w:r>
    </w:p>
    <w:p>
      <w:pPr>
        <w:pStyle w:val="BodyText"/>
      </w:pPr>
      <w:r>
        <w:t xml:space="preserve">对预后沟通也应采用可更新的语言。当前发现支持哪些风险、哪些能力已经出现、下一阶段需要观察什么，应分别说明。把不确定性说清楚能够保护家庭免受虚假保证或过度悲观的影响，同时支持现实可行的服务计划。</w:t>
      </w:r>
    </w:p>
    <w:bookmarkEnd w:id="1885"/>
    <w:bookmarkStart w:id="1886" w:name="sec-121-25"/>
    <w:p>
      <w:pPr>
        <w:pStyle w:val="Heading3"/>
      </w:pPr>
      <w:r>
        <w:t xml:space="preserve">121.25　关键判断的置信度边界</w:t>
      </w:r>
    </w:p>
    <w:p>
      <w:pPr>
        <w:pStyle w:val="FirstParagraph"/>
      </w:pPr>
      <w:r>
        <w:t xml:space="preserve">发育阶段改变细胞和网络易感性、早产需要连续多领域随访，以及某些特定预防和照护措施改善相应结局，具有较强支持。人体组织学和影像关联为机制提供重要线索，其个体因果解释需要额外证据。对单个孩子的长期认知、性格或参与程度，当前资料通常无法作确定预测。承认风险与提供支持可以同步进行，儿童的权利和生活价值也不由影像、基因或量表决定</w:t>
      </w:r>
      <w:r>
        <w:rPr>
          <w:vertAlign w:val="superscript"/>
        </w:rPr>
        <w:t xml:space="preserve">[</w:t>
      </w:r>
      <w:hyperlink w:anchor="ref-1260">
        <w:r>
          <w:rPr>
            <w:rStyle w:val="Hyperlink"/>
            <w:vertAlign w:val="superscript"/>
          </w:rPr>
          <w:t xml:space="preserve">1260</w:t>
        </w:r>
      </w:hyperlink>
      <w:r>
        <w:rPr>
          <w:vertAlign w:val="superscript"/>
        </w:rPr>
        <w:t xml:space="preserve">,</w:t>
      </w:r>
      <w:hyperlink w:anchor="ref-1265">
        <w:r>
          <w:rPr>
            <w:rStyle w:val="Hyperlink"/>
            <w:vertAlign w:val="superscript"/>
          </w:rPr>
          <w:t xml:space="preserve">1265</w:t>
        </w:r>
      </w:hyperlink>
      <w:r>
        <w:rPr>
          <w:vertAlign w:val="superscript"/>
        </w:rPr>
        <w:t xml:space="preserve">,</w:t>
      </w:r>
      <w:hyperlink w:anchor="ref-1267">
        <w:r>
          <w:rPr>
            <w:rStyle w:val="Hyperlink"/>
            <w:vertAlign w:val="superscript"/>
          </w:rPr>
          <w:t xml:space="preserve">1267</w:t>
        </w:r>
      </w:hyperlink>
      <w:r>
        <w:rPr>
          <w:vertAlign w:val="superscript"/>
        </w:rPr>
        <w:t xml:space="preserve">,</w:t>
      </w:r>
      <w:hyperlink w:anchor="ref-1270">
        <w:r>
          <w:rPr>
            <w:rStyle w:val="Hyperlink"/>
            <w:vertAlign w:val="superscript"/>
          </w:rPr>
          <w:t xml:space="preserve">1270</w:t>
        </w:r>
      </w:hyperlink>
      <w:r>
        <w:rPr>
          <w:vertAlign w:val="superscript"/>
        </w:rPr>
        <w:t xml:space="preserve">,</w:t>
      </w:r>
      <w:hyperlink w:anchor="ref-1278">
        <w:r>
          <w:rPr>
            <w:rStyle w:val="Hyperlink"/>
            <w:vertAlign w:val="superscript"/>
          </w:rPr>
          <w:t xml:space="preserve">1278</w:t>
        </w:r>
      </w:hyperlink>
      <w:r>
        <w:rPr>
          <w:vertAlign w:val="superscript"/>
        </w:rPr>
        <w:t xml:space="preserve">,</w:t>
      </w:r>
      <w:hyperlink w:anchor="ref-1282">
        <w:r>
          <w:rPr>
            <w:rStyle w:val="Hyperlink"/>
            <w:vertAlign w:val="superscript"/>
          </w:rPr>
          <w:t xml:space="preserve">1282</w:t>
        </w:r>
      </w:hyperlink>
      <w:r>
        <w:rPr>
          <w:vertAlign w:val="superscript"/>
        </w:rPr>
        <w:t xml:space="preserve">]</w:t>
      </w:r>
      <w:r>
        <w:t xml:space="preserve">。</w:t>
      </w:r>
    </w:p>
    <w:bookmarkEnd w:id="1886"/>
    <w:bookmarkEnd w:id="1887"/>
    <w:bookmarkStart w:id="1904" w:name="ch-122"/>
    <w:p>
      <w:pPr>
        <w:pStyle w:val="Heading2"/>
      </w:pPr>
      <w:r>
        <w:t xml:space="preserve">第122章　大脑成熟年龄与发展轨迹</w:t>
      </w:r>
    </w:p>
    <w:p>
      <w:pPr>
        <w:pStyle w:val="CalloutJudgment"/>
      </w:pPr>
      <w:r>
        <w:rPr>
          <w:bCs/>
          <w:b/>
        </w:rPr>
        <w:t xml:space="preserve">核心判断　脑的发展包含多个连续而不同步的过程，统一的25岁成熟开关没有得到证实，置信度高。</w:t>
      </w:r>
      <w:r>
        <w:t xml:space="preserve">“某项指标在成年早期仍变化”可以是可靠观察；把它转换成“25岁以前没有理性，之后理性完整”，会增加原研究没有检验的条件。年龄平均趋势、个人能力、法律资格和道德责任应分别讨论。</w:t>
      </w:r>
    </w:p>
    <w:bookmarkStart w:id="1888" w:name="sec-122-1"/>
    <w:p>
      <w:pPr>
        <w:pStyle w:val="Heading3"/>
      </w:pPr>
      <w:r>
        <w:t xml:space="preserve">122.1　“25 岁”这个数字从哪里来</w:t>
      </w:r>
    </w:p>
    <w:p>
      <w:pPr>
        <w:pStyle w:val="FirstParagraph"/>
      </w:pPr>
      <w:r>
        <w:t xml:space="preserve">“前额叶 25 岁才发育成熟”来自青少年脑发育的纵向研究：前额叶灰质变薄和白质增加确实持续到二十多岁。常被引用的一项早期研究追踪了 13 名儿童从 4 岁到 21 岁的变化，发现在额叶之内，前额叶成熟得最晚（全皮层中最晚的是颞上回后部）</w:t>
      </w:r>
      <w:r>
        <w:rPr>
          <w:vertAlign w:val="superscript"/>
        </w:rPr>
        <w:t xml:space="preserve">[</w:t>
      </w:r>
      <w:hyperlink w:anchor="ref-1285">
        <w:r>
          <w:rPr>
            <w:rStyle w:val="Hyperlink"/>
            <w:vertAlign w:val="superscript"/>
          </w:rPr>
          <w:t xml:space="preserve">1285</w:t>
        </w:r>
      </w:hyperlink>
      <w:r>
        <w:rPr>
          <w:vertAlign w:val="superscript"/>
        </w:rPr>
        <w:t xml:space="preserve">]</w:t>
      </w:r>
      <w:r>
        <w:t xml:space="preserve">，它的数据止于 21 岁；后来还有年龄范围更宽的结构和功能研究，本书没有找到以 25 岁为终点的研究。汇集十万余名参与者的人类脑发育图谱显示，不同指标在差异很大的年龄达到峰值：皮层厚度约在 1.7 岁，皮层灰质体积约在 6 岁，白质体积约在 29 岁</w:t>
      </w:r>
      <w:r>
        <w:rPr>
          <w:vertAlign w:val="superscript"/>
        </w:rPr>
        <w:t xml:space="preserve">[</w:t>
      </w:r>
      <w:hyperlink w:anchor="ref-1286">
        <w:r>
          <w:rPr>
            <w:rStyle w:val="Hyperlink"/>
            <w:vertAlign w:val="superscript"/>
          </w:rPr>
          <w:t xml:space="preserve">1286</w:t>
        </w:r>
      </w:hyperlink>
      <w:r>
        <w:rPr>
          <w:vertAlign w:val="superscript"/>
        </w:rPr>
        <w:t xml:space="preserve">]</w:t>
      </w:r>
      <w:r>
        <w:t xml:space="preserve">（这项研究的数据构成见</w:t>
      </w:r>
      <w:r>
        <w:t xml:space="preserve"> </w:t>
      </w:r>
      <w:hyperlink w:anchor="sec-122-3">
        <w:r>
          <w:rPr>
            <w:rStyle w:val="Hyperlink"/>
          </w:rPr>
          <w:t xml:space="preserve">122.3</w:t>
        </w:r>
      </w:hyperlink>
      <w:r>
        <w:t xml:space="preserve">）。这些是群体统计曲线的峰值。皮层厚度在 1.7 岁最大，这时幼儿的前额叶功能还远未成熟；白质体积在 29 岁前后才到峰值，多种成人能力在此之前已经具备：一项整合四个数据集、一万余名 8 到 35 岁参与者的研究发现，多种执行功能在 18 到 20 岁左右稳定到成人水平</w:t>
      </w:r>
      <w:r>
        <w:rPr>
          <w:vertAlign w:val="superscript"/>
        </w:rPr>
        <w:t xml:space="preserve">[</w:t>
      </w:r>
      <w:hyperlink w:anchor="ref-1287">
        <w:r>
          <w:rPr>
            <w:rStyle w:val="Hyperlink"/>
            <w:vertAlign w:val="superscript"/>
          </w:rPr>
          <w:t xml:space="preserve">1287</w:t>
        </w:r>
      </w:hyperlink>
      <w:r>
        <w:rPr>
          <w:vertAlign w:val="superscript"/>
        </w:rPr>
        <w:t xml:space="preserve">]</w:t>
      </w:r>
      <w:r>
        <w:t xml:space="preserve">（见</w:t>
      </w:r>
      <w:r>
        <w:t xml:space="preserve"> </w:t>
      </w:r>
      <w:hyperlink w:anchor="sec-122-10">
        <w:r>
          <w:rPr>
            <w:rStyle w:val="Hyperlink"/>
          </w:rPr>
          <w:t xml:space="preserve">122.10</w:t>
        </w:r>
      </w:hyperlink>
      <w:r>
        <w:t xml:space="preserve">），这个年龄同样受任务和样本限定，不能成为新的统一“成熟年龄”。大脑发育没有一个统一的终点，谈“成熟”需要先说明用哪项指标</w:t>
      </w:r>
      <w:r>
        <w:rPr>
          <w:vertAlign w:val="superscript"/>
        </w:rPr>
        <w:t xml:space="preserve">[</w:t>
      </w:r>
      <w:hyperlink w:anchor="ref-1288">
        <w:r>
          <w:rPr>
            <w:rStyle w:val="Hyperlink"/>
            <w:vertAlign w:val="superscript"/>
          </w:rPr>
          <w:t xml:space="preserve">1288</w:t>
        </w:r>
      </w:hyperlink>
      <w:r>
        <w:rPr>
          <w:vertAlign w:val="superscript"/>
        </w:rPr>
        <w:t xml:space="preserve">]</w:t>
      </w:r>
      <w:r>
        <w:t xml:space="preserve">；“25 岁”这个整数找不到对应的研究终点。</w:t>
      </w:r>
    </w:p>
    <w:p>
      <w:pPr>
        <w:pStyle w:val="CalloutJudgment"/>
      </w:pPr>
      <w:r>
        <w:rPr>
          <w:bCs/>
          <w:b/>
        </w:rPr>
        <w:t xml:space="preserve">判断　</w:t>
      </w:r>
      <w:r>
        <w:t xml:space="preserve">“前额叶在 25 岁那年完成成熟”</w:t>
      </w:r>
      <w:r>
        <w:rPr>
          <w:bCs/>
          <w:b/>
        </w:rPr>
        <w:t xml:space="preserve">错误·高</w:t>
      </w:r>
      <w:r>
        <w:t xml:space="preserve">。</w:t>
      </w:r>
    </w:p>
    <w:bookmarkEnd w:id="1888"/>
    <w:bookmarkStart w:id="1889" w:name="sec-122-2"/>
    <w:p>
      <w:pPr>
        <w:pStyle w:val="Heading3"/>
      </w:pPr>
      <w:r>
        <w:t xml:space="preserve">122.2　成熟标准必须先定义</w:t>
      </w:r>
    </w:p>
    <w:p>
      <w:pPr>
        <w:pStyle w:val="FirstParagraph"/>
      </w:pPr>
      <w:r>
        <w:t xml:space="preserve">判断成熟，至少需要说明测量什么、参照谁、要求多稳定以及要服务什么决策。脑体积达到某种平台、白质指标接近成人平均、任务准确率不再明显提高和现实生活中独立决策，具有不同含义。若没有定义，任何持续变化都可以被说成未成熟；这样“成熟”就失去明确的失败条件。</w:t>
      </w:r>
    </w:p>
    <w:p>
      <w:pPr>
        <w:pStyle w:val="BodyText"/>
      </w:pPr>
      <w:r>
        <w:t xml:space="preserve">以成人平均为标准还会产生循环。如果研究把25岁以上定义为成人，再发现年轻组与该组不同，结果无法独立证明25岁是自然分界。应检查数据是否支持某个断点，并与连续变化模型比较。即便群体平均存在拐点，其周围也可能有很大个体重叠。某个生日通常不会使所有相关细胞和行为同时改变。</w:t>
      </w:r>
    </w:p>
    <w:p>
      <w:pPr>
        <w:pStyle w:val="BodyText"/>
      </w:pPr>
      <w:r>
        <w:t xml:space="preserve">Somerville2016年的讨论明确提出脑成熟的定义与量化问题，强调神经结构、网络和行为指标可能具有不同时间进程</w:t>
      </w:r>
      <w:r>
        <w:rPr>
          <w:vertAlign w:val="superscript"/>
        </w:rPr>
        <w:t xml:space="preserve">[</w:t>
      </w:r>
      <w:hyperlink w:anchor="ref-1288">
        <w:r>
          <w:rPr>
            <w:rStyle w:val="Hyperlink"/>
            <w:vertAlign w:val="superscript"/>
          </w:rPr>
          <w:t xml:space="preserve">1288</w:t>
        </w:r>
      </w:hyperlink>
      <w:r>
        <w:rPr>
          <w:vertAlign w:val="superscript"/>
        </w:rPr>
        <w:t xml:space="preserve">]</w:t>
      </w:r>
      <w:r>
        <w:t xml:space="preserve">。这类概念分析的贡献是限制推理范围。它没有把成年早期发展研究否定掉，也没有为所有政策给出同一个年龄答案。</w:t>
      </w:r>
    </w:p>
    <w:bookmarkEnd w:id="1889"/>
    <w:bookmarkStart w:id="1890" w:name="sec-122-3"/>
    <w:p>
      <w:pPr>
        <w:pStyle w:val="Heading3"/>
      </w:pPr>
      <w:r>
        <w:t xml:space="preserve">122.3　大型生命历程数据能回答什么</w:t>
      </w:r>
    </w:p>
    <w:p>
      <w:pPr>
        <w:pStyle w:val="FirstParagraph"/>
      </w:pPr>
      <w:r>
        <w:t xml:space="preserve">Bethlehem等2022年汇集123984次MRI扫描，来自101457名参与者，建立跨生命历程的脑形态参考曲线</w:t>
      </w:r>
      <w:r>
        <w:rPr>
          <w:vertAlign w:val="superscript"/>
        </w:rPr>
        <w:t xml:space="preserve">[</w:t>
      </w:r>
      <w:hyperlink w:anchor="ref-1286">
        <w:r>
          <w:rPr>
            <w:rStyle w:val="Hyperlink"/>
            <w:vertAlign w:val="superscript"/>
          </w:rPr>
          <w:t xml:space="preserve">1286</w:t>
        </w:r>
      </w:hyperlink>
      <w:r>
        <w:rPr>
          <w:vertAlign w:val="superscript"/>
        </w:rPr>
        <w:t xml:space="preserve">]</w:t>
      </w:r>
      <w:r>
        <w:t xml:space="preserve">。扫描次数与人数需要分开，因为部分参与者接受多次扫描。不同形态指标具有不同年龄轨迹，研究可以帮助描述个人相对年龄分布的位置；全球人群代表性和站点差异仍限制推广。</w:t>
      </w:r>
    </w:p>
    <w:p>
      <w:pPr>
        <w:pStyle w:val="BodyText"/>
      </w:pPr>
      <w:r>
        <w:t xml:space="preserve">参考曲线中的百分位表示与参考样本的相对位置。某个指标位于较低百分位，不能直接解释为理性较低或人格较差。参考数据中的低值可能与健康差异、测量误差、身体大小或正常变异有关，需要针对具体临床问题验证。若一个指标预测年龄很好，也未必能预测复杂决策能力。</w:t>
      </w:r>
    </w:p>
    <w:p>
      <w:pPr>
        <w:pStyle w:val="BodyText"/>
      </w:pPr>
      <w:r>
        <w:t xml:space="preserve">“脑年龄”模型常利用多种指标预测实际年龄。模型的预测年龄与实际年龄之差，可能与健康相关，但也可能受训练样本、扫描仪、年龄偏倚校正和人群差异影响。一个机器学习模型能预测年龄，并不表示它发现了一个单一成熟度量表。把年龄预测误差称为脑“早熟”或“落后”，需要额外验证。</w:t>
      </w:r>
    </w:p>
    <w:bookmarkEnd w:id="1890"/>
    <w:bookmarkStart w:id="1891" w:name="sec-122-4"/>
    <w:p>
      <w:pPr>
        <w:pStyle w:val="Heading3"/>
      </w:pPr>
      <w:r>
        <w:t xml:space="preserve">122.4　情境会改变能力的表现</w:t>
      </w:r>
    </w:p>
    <w:p>
      <w:pPr>
        <w:pStyle w:val="FirstParagraph"/>
      </w:pPr>
      <w:r>
        <w:t xml:space="preserve">Cohen等2016年在110名13至25岁参与者中研究情绪与非情绪条件下的认知控制，结果显示某些年龄差异依情绪情境变化</w:t>
      </w:r>
      <w:r>
        <w:rPr>
          <w:vertAlign w:val="superscript"/>
        </w:rPr>
        <w:t xml:space="preserve">[</w:t>
      </w:r>
      <w:hyperlink w:anchor="ref-1289">
        <w:r>
          <w:rPr>
            <w:rStyle w:val="Hyperlink"/>
            <w:vertAlign w:val="superscript"/>
          </w:rPr>
          <w:t xml:space="preserve">1289</w:t>
        </w:r>
      </w:hyperlink>
      <w:r>
        <w:rPr>
          <w:vertAlign w:val="superscript"/>
        </w:rPr>
        <w:t xml:space="preserve">]</w:t>
      </w:r>
      <w:r>
        <w:t xml:space="preserve">。这说明安静实验室中的控制表现与持续情绪唤醒下的表现应分别测量。样本、任务和分析范围限制了对所有现实决策的外推。</w:t>
      </w:r>
    </w:p>
    <w:p>
      <w:pPr>
        <w:pStyle w:val="BodyText"/>
      </w:pPr>
      <w:r>
        <w:t xml:space="preserve">认知控制任务通常要求抑制某个反应、维持规则或在冲突中做选择。现实决策还包含知识、动机、利益冲突、疲劳、社会关系和可获得资源。一个人在熟悉领域可以表现成熟，在陌生或高压情境中仍容易出错。这种差异在各年龄都会出现。发展研究能够说明某类情境对不同年龄群体的平均影响；某一次具体错误由什么造成，需要结合个人和情境另行判断。</w:t>
      </w:r>
    </w:p>
    <w:p>
      <w:pPr>
        <w:pStyle w:val="BodyText"/>
      </w:pPr>
      <w:r>
        <w:t xml:space="preserve">同伴存在也不是单一变量。可信支持、竞争压力、被评价感和群体规范可能产生不同结果。研究若只比较独处与有人在场，无法知道具体作用来自哪一环。要解释机制，应分别操纵评价、奖励和规则，并观察哪些改变能够重复影响行为。</w:t>
      </w:r>
    </w:p>
    <w:bookmarkEnd w:id="1891"/>
    <w:bookmarkStart w:id="1892" w:name="sec-122-5"/>
    <w:p>
      <w:pPr>
        <w:pStyle w:val="Heading3"/>
      </w:pPr>
      <w:r>
        <w:t xml:space="preserve">122.5　结构变化如何被误读成心理结论</w:t>
      </w:r>
    </w:p>
    <w:p>
      <w:pPr>
        <w:pStyle w:val="FirstParagraph"/>
      </w:pPr>
      <w:r>
        <w:t xml:space="preserve">MRI中的皮层厚度下降可能与多种组织过程有关，包括皮层内部髓鞘变化导致组织边界判定改变。没有配套证据时，不能把每一处厚度下降直接写成“修剪掉了多少突触”。同样，白质扩散指标变化涉及多种微观因素，不能以单个数值概括所有连接的成熟程度。测量层面的谨慎是发展推理的前提。</w:t>
      </w:r>
    </w:p>
    <w:p>
      <w:pPr>
        <w:pStyle w:val="BodyText"/>
      </w:pPr>
      <w:r>
        <w:t xml:space="preserve">从结构到行为还需要关联与因果证据。假设某指标在20至30岁平均变化，同时一种控制能力也平均改善，这两个年龄趋势可以由共同发展因素造成。若要主张该结构改变导致能力提高，需要更精确的时间关系、控制替代因素，并尽可能获得干预或机制支持。年龄同时影响两个变量，是一种容易被忽略的共同原因。</w:t>
      </w:r>
    </w:p>
    <w:bookmarkEnd w:id="1892"/>
    <w:bookmarkStart w:id="1893" w:name="sec-122-6"/>
    <w:p>
      <w:pPr>
        <w:pStyle w:val="Heading3"/>
      </w:pPr>
      <w:r>
        <w:t xml:space="preserve">122.6　青春期发育与历龄</w:t>
      </w:r>
    </w:p>
    <w:p>
      <w:pPr>
        <w:pStyle w:val="FirstParagraph"/>
      </w:pPr>
      <w:r>
        <w:t xml:space="preserve">相同历龄的人可能处于不同青春期阶段，激素变化、身体发育、社会期待和个人经验也可能不同。把所有差异都放进年龄变量，会掩盖发展过程的异质性。历龄容易记录，青春期状态则包含多个不同步的变化，同样需要准确测量：单次激素浓度容易受昼夜、月经周期、疾病和取样条件影响，激素水平还存在个体波动，身体征象的评估也可能受到测量方式影响。研究若想识别青春期的独立作用，需要足够重叠的年龄和发育阶段，并考虑测量误差；年龄与青春期高度相关时，简单把两者同时放进回归模型可能产生不稳定估计。发展模型应在数据允许时区分历龄、发育阶段和社会经验。</w:t>
      </w:r>
    </w:p>
    <w:p>
      <w:pPr>
        <w:pStyle w:val="BodyText"/>
      </w:pPr>
      <w:r>
        <w:t xml:space="preserve">早熟或晚熟的含义也依结局而定，不能单凭与平均值的距离判断优劣。某种身体变化较早，可能改变他人期待、同伴互动、社会待遇和生活机会；这些社会反应随后影响情绪和行为，也可能影响脑发育。同样的青春期变化在不同社会环境中可以具有不同意义，激素路径和社会路径还可以互相作用。若研究仅发现激素与行为相关，尚无法完整区分直接生物作用与社会路径；将所有变化都归入生物或都归入文化，都会遗漏可以研究的中间机制。跨文化、纵向和家庭内设计可以提供补充信息，但都存在各自假设。评价个人发育早晚，还需要考虑身体健康、心理体验、环境支持和功能：统计上的偏离是描述，临床风险需要相应证据，价值评价则需要进一步理由。</w:t>
      </w:r>
    </w:p>
    <w:bookmarkEnd w:id="1893"/>
    <w:bookmarkStart w:id="1894" w:name="sec-122-7"/>
    <w:p>
      <w:pPr>
        <w:pStyle w:val="Heading3"/>
      </w:pPr>
      <w:r>
        <w:t xml:space="preserve">122.7　法律与政策不能由一条脑曲线自动产生</w:t>
      </w:r>
    </w:p>
    <w:p>
      <w:pPr>
        <w:pStyle w:val="FirstParagraph"/>
      </w:pPr>
      <w:r>
        <w:t xml:space="preserve">法律制度常需要明确年龄界线，生物发展则主要呈连续和重叠分布。法律年龄界线需要可执行性、权利保护、风险、社会成本以及公平等价值权衡。神经科学可以提供能力、风险、可塑性与支持需求的群体证据，帮助评估规则的后果，却无法独自决定何种风险值得承担，也无法独自决定权利、责任和保护应如何分配。同一个年龄界线可以服务于保护、授权或责任判断等不同目的，这些目的可能要求不同证据；某制度采用18岁、21岁或其他年龄，需要同时说明其制度目标。事实判断和价值选择若混在一起，脑研究就容易被赋予它没有的裁决权。</w:t>
      </w:r>
    </w:p>
    <w:p>
      <w:pPr>
        <w:pStyle w:val="BodyText"/>
      </w:pPr>
      <w:r>
        <w:t xml:space="preserve">个人能力评估还可能与统一年龄规则发生张力。个体化评估能更细致，却可能昂贵、受偏见影响并导致不一致；统一规则易执行，却无法捕捉所有个体差异。这个权衡无法靠发现一个平均成熟年龄消除。脑成像能够揭示平均发展变化，却通常不能对某个个体给出法律能力的精确判定；把一个结构指标直接换成成熟与否的法律标签，会跨越测量、心理解释与规范判断三个层次。对个体而言，更有意义的问题是具体理解能力、预见选择后果的能力、情境压力、支持需要和行为历史，年龄只是背景信息。研究者应说明数据支持哪些趋势，政策制定者应公开其价值前提。发展神经科学最有价值的贡献，是解释能力如何受到条件影响，并帮助建立更合理的支持与评估方式。</w:t>
      </w:r>
    </w:p>
    <w:bookmarkEnd w:id="1894"/>
    <w:bookmarkStart w:id="1895" w:name="sec-122-8"/>
    <w:p>
      <w:pPr>
        <w:pStyle w:val="Heading3"/>
      </w:pPr>
      <w:r>
        <w:t xml:space="preserve">122.8　成年早期的发展有什么实际意义</w:t>
      </w:r>
    </w:p>
    <w:p>
      <w:pPr>
        <w:pStyle w:val="FirstParagraph"/>
      </w:pPr>
      <w:r>
        <w:t xml:space="preserve">连续发展意味着支持可以针对具体能力和情境，环境设计本身也具有作用。复杂任务可通过清晰信息、充分时间、减少不必要压力、清楚的反馈和合理的选择范围来改善表现；充分的睡眠机会和可靠的成人支持，也可以改变行为表现。支持措施的效果仍需具体研究，不能由发展机制直接保证。发展知识可以帮助改善条件，无须把年轻人描述成缺乏完整心智的群体；发展中的差异也不会使年轻人的观点失去价值。让当事人参与决定，有助于明确目标、偏好和实际障碍。能力的评价应具体到任务与情境。</w:t>
      </w:r>
    </w:p>
    <w:p>
      <w:pPr>
        <w:pStyle w:val="BodyText"/>
      </w:pPr>
      <w:r>
        <w:t xml:space="preserve">将全部困难解释为年龄，还可能掩盖睡眠不足、学习障碍、情绪问题、贫困、创伤和工作条件。反过来，把所有差异归于环境，也可能遗漏发育机制。更好的分析按层次提出可检验问题：相同条件下是否仍有年龄差异；改变某个环境条件后差异是否减小；哪些能力具有不同发展速度。</w:t>
      </w:r>
    </w:p>
    <w:bookmarkEnd w:id="1895"/>
    <w:bookmarkStart w:id="1896" w:name="sec-122-9"/>
    <w:p>
      <w:pPr>
        <w:pStyle w:val="Heading3"/>
      </w:pPr>
      <w:r>
        <w:t xml:space="preserve">122.9　发展研究中的样本与模型风险</w:t>
      </w:r>
    </w:p>
    <w:p>
      <w:pPr>
        <w:pStyle w:val="FirstParagraph"/>
      </w:pPr>
      <w:r>
        <w:t xml:space="preserve">年龄曲线对采样范围敏感。若最年长参与者只有25岁，研究无法可靠描述25岁以后是否继续变化。曲线末端容易受模型形状影响；多项式拟合可能制造看似精确的峰值。样本在某年龄段稀少时，曲线可能主要反映统计平滑假设。解释“峰值年龄”应报告不确定区间与替代模型。</w:t>
      </w:r>
    </w:p>
    <w:p>
      <w:pPr>
        <w:pStyle w:val="BodyText"/>
      </w:pPr>
      <w:r>
        <w:t xml:space="preserve">选择性参与也重要。愿意参加长期扫描的家庭和个人，可能在教育、收入、健康和时间资源上具有特殊性。失访者若更常来自困难环境，留下来的样本会呈现较理想的发展趋势。大样本降低随机误差，无法自动消除选择偏倚。外部验证和人群代表性需要独立检查。</w:t>
      </w:r>
    </w:p>
    <w:bookmarkEnd w:id="1896"/>
    <w:bookmarkStart w:id="1897" w:name="sec-122-10"/>
    <w:p>
      <w:pPr>
        <w:pStyle w:val="Heading3"/>
      </w:pPr>
      <w:r>
        <w:t xml:space="preserve">122.10　平台期的统计定义</w:t>
      </w:r>
    </w:p>
    <w:p>
      <w:pPr>
        <w:pStyle w:val="FirstParagraph"/>
      </w:pPr>
      <w:r>
        <w:t xml:space="preserve">一条年龄曲线看起来变平，可能有几种含义：真实变化接近零、测量不够灵敏、样本量不足，或者所用任务出现天花板效应。平台期需要用明确标准定义，例如斜率的大小、区间范围和实际意义。只以某个年龄以后 P 值不显著作为成熟界线，会把统计功效混入生物学定义。</w:t>
      </w:r>
    </w:p>
    <w:p>
      <w:pPr>
        <w:pStyle w:val="BodyText"/>
      </w:pPr>
      <w:r>
        <w:t xml:space="preserve">假设两个研究测量相同能力，大样本研究能够检测每年0.01个标准差的变化，小样本研究只能检测0.1。前者可能报告变化持续到更晚年龄，后者则较早出现“无显著变化”。如果直接据此宣布两个人群成熟年龄不同，可能忽略测量精度。研究应同时报告变化幅度与不确定性。</w:t>
      </w:r>
    </w:p>
    <w:p>
      <w:pPr>
        <w:pStyle w:val="BodyText"/>
      </w:pPr>
      <w:r>
        <w:t xml:space="preserve">2023年 Tervo-Clemmens 等人整合四个数据集、10766名8至35岁参加者及多项执行功能测量，发现所测任务的快速发展主要发生在较早阶段，平均表现约在18至20岁趋于成人水平。这个结果与“一切执行功能必须等到25岁完成”不相容，也不能被反向包装成全部脑功能在20岁统一结束发展。任务类型、情境和个体差异仍需保留</w:t>
      </w:r>
      <w:r>
        <w:rPr>
          <w:vertAlign w:val="superscript"/>
        </w:rPr>
        <w:t xml:space="preserve">[</w:t>
      </w:r>
      <w:hyperlink w:anchor="ref-1287">
        <w:r>
          <w:rPr>
            <w:rStyle w:val="Hyperlink"/>
            <w:vertAlign w:val="superscript"/>
          </w:rPr>
          <w:t xml:space="preserve">1287</w:t>
        </w:r>
      </w:hyperlink>
      <w:r>
        <w:rPr>
          <w:vertAlign w:val="superscript"/>
        </w:rPr>
        <w:t xml:space="preserve">]</w:t>
      </w:r>
      <w:r>
        <w:t xml:space="preserve">。</w:t>
      </w:r>
    </w:p>
    <w:bookmarkEnd w:id="1897"/>
    <w:bookmarkStart w:id="1898" w:name="sec-122-11"/>
    <w:p>
      <w:pPr>
        <w:pStyle w:val="Heading3"/>
      </w:pPr>
      <w:r>
        <w:t xml:space="preserve">122.11　能力的存在与稳定调用</w:t>
      </w:r>
    </w:p>
    <w:p>
      <w:pPr>
        <w:pStyle w:val="FirstParagraph"/>
      </w:pPr>
      <w:r>
        <w:t xml:space="preserve">一个青少年能够在安静实验室完成复杂推理，说明其具备相应能力；在睡眠不足、强烈情绪、同伴压力或奖励诱惑下，能否稳定调用同一能力，是另一个问题。成人也会受到这些因素影响，年龄可能改变敏感度和经验。研究应直接比较情境与年龄的交互，避免把所有情境差异都归给一个抽象的“前额叶不成熟”。</w:t>
      </w:r>
    </w:p>
    <w:p>
      <w:pPr>
        <w:pStyle w:val="BodyText"/>
      </w:pPr>
      <w:r>
        <w:t xml:space="preserve">稳定调用还依赖目标是否清晰、后果是否熟悉、是否有时间思考和是否获得支持。假设一项任务允许反复练习、提供明确规则，参加者可能表现良好；现实生活中规则模糊、结果延迟且目标冲突，表现会不同。两种结果可以同时成立，不能用实验室能力完全替代现实决策研究。</w:t>
      </w:r>
    </w:p>
    <w:bookmarkEnd w:id="1898"/>
    <w:bookmarkStart w:id="1899" w:name="sec-122-12"/>
    <w:p>
      <w:pPr>
        <w:pStyle w:val="Heading3"/>
      </w:pPr>
      <w:r>
        <w:t xml:space="preserve">122.12　年龄相关变化与练习相关变化</w:t>
      </w:r>
    </w:p>
    <w:p>
      <w:pPr>
        <w:pStyle w:val="FirstParagraph"/>
      </w:pPr>
      <w:r>
        <w:t xml:space="preserve">儿童随着年龄增长通常获得更多练习机会，因此年龄与经验高度相关。一个行为曲线的改善可能同时反映神经发育、学校学习、生活经验和身体变化。若研究者只测年龄，无法精确分配这些来源。跨文化、教育政策变化和训练研究可以提供补充，但各自也有新的混杂。</w:t>
      </w:r>
    </w:p>
    <w:p>
      <w:pPr>
        <w:pStyle w:val="BodyText"/>
      </w:pPr>
      <w:r>
        <w:t xml:space="preserve">纵向研究能够看到同一个人的变化，却不自动分离年龄与重复测验。参加者每年接受同一任务，熟悉度也每年增加。横断面研究没有这种重复效应，却受到出生队列和选择差异影响。将两类数据结合，可以检查结果是否一致；加速纵向设计则利用重叠年龄段帮助估计轨迹。</w:t>
      </w:r>
    </w:p>
    <w:p>
      <w:pPr>
        <w:pStyle w:val="BodyText"/>
      </w:pPr>
      <w:r>
        <w:t xml:space="preserve">跨队列差异还提醒我们，成熟环境可能改变表现。教育质量、营养、慢性压力和数字技术经验都可能影响任务熟悉度。研究中的“正常轨迹”描述的是所采样条件下的分布，不能天然作为所有文化和年代的唯一标准。</w:t>
      </w:r>
    </w:p>
    <w:bookmarkEnd w:id="1899"/>
    <w:bookmarkStart w:id="1900" w:name="sec-122-13"/>
    <w:p>
      <w:pPr>
        <w:pStyle w:val="Heading3"/>
      </w:pPr>
      <w:r>
        <w:t xml:space="preserve">122.13　关键期与敏感期的区别</w:t>
      </w:r>
    </w:p>
    <w:p>
      <w:pPr>
        <w:pStyle w:val="FirstParagraph"/>
      </w:pPr>
      <w:r>
        <w:t xml:space="preserve">关键期通常用于描述某种经验在较窄窗口内对特定功能形成具有特别强或必要作用的情形；敏感期则强调某阶段对经验尤其敏感，同时允许其他阶段继续学习。实际文献中的术语使用并不完全一致，因此应查看操作定义和证据。对复杂人类能力，证明一个绝对关闭的窗口通常非常困难。</w:t>
      </w:r>
    </w:p>
    <w:p>
      <w:pPr>
        <w:pStyle w:val="BodyText"/>
      </w:pPr>
      <w:r>
        <w:t xml:space="preserve">不同系统可以有不同时间表。视觉输入、语言学习、情绪调节和专业技能包含不同回路与经验要求，不能用一个“零至三岁决定一生”的说法概括。早期经验具有重要影响，同时后续环境和学习仍然可以改变轨迹。对早期困难的认识应促成支持，避免产生无法挽回的宿命叙事。</w:t>
      </w:r>
    </w:p>
    <w:p>
      <w:pPr>
        <w:pStyle w:val="BodyText"/>
      </w:pPr>
      <w:r>
        <w:t xml:space="preserve">布加勒斯特早期干预项目在罗马尼亚的儿童福利机构中，把在机构中抚养的幼儿随机分配到专门建立的家庭寄养或继续常规机构照护，发现寄养组的认知结果受益，较早安置者的收益更明显。它为早期环境干预提供了重要因果证据，同时样本背景、干预内容和后续照护变化限制了推广。研究不能用于把普通家庭之间的日常养育差异等同于严重机构剥夺</w:t>
      </w:r>
      <w:r>
        <w:rPr>
          <w:vertAlign w:val="superscript"/>
        </w:rPr>
        <w:t xml:space="preserve">[</w:t>
      </w:r>
      <w:hyperlink w:anchor="ref-1290">
        <w:r>
          <w:rPr>
            <w:rStyle w:val="Hyperlink"/>
            <w:vertAlign w:val="superscript"/>
          </w:rPr>
          <w:t xml:space="preserve">1290</w:t>
        </w:r>
      </w:hyperlink>
      <w:r>
        <w:rPr>
          <w:vertAlign w:val="superscript"/>
        </w:rPr>
        <w:t xml:space="preserve">]</w:t>
      </w:r>
      <w:r>
        <w:t xml:space="preserve">。</w:t>
      </w:r>
    </w:p>
    <w:bookmarkEnd w:id="1900"/>
    <w:bookmarkStart w:id="1901" w:name="sec-122-14"/>
    <w:p>
      <w:pPr>
        <w:pStyle w:val="Heading3"/>
      </w:pPr>
      <w:r>
        <w:t xml:space="preserve">122.14　窗口效应怎样得到更严格检验</w:t>
      </w:r>
    </w:p>
    <w:p>
      <w:pPr>
        <w:pStyle w:val="FirstParagraph"/>
      </w:pPr>
      <w:r>
        <w:t xml:space="preserve">若早接受干预的人结果更好，可能存在真正年龄敏感性，也可能因为他们暴露于不利环境的时间更短、接受支持更久或基线状况不同。要确定窗口，需要区分开始年龄、暴露持续时间、干预剂量和测量年龄。很多现实研究中这些变量高度相关，必须明确剩余不确定性。</w:t>
      </w:r>
    </w:p>
    <w:p>
      <w:pPr>
        <w:pStyle w:val="BodyText"/>
      </w:pPr>
      <w:r>
        <w:t xml:space="preserve">一个理想设计可以在伦理允许的范围内比较不同开始时间，并保持累计支持及随访结构可解释。但对于已知有益支持，故意延迟可能不合伦理。研究因此常借助自然政策变化、服务排队或其他外部变动，同时评估这些变化是否真的近似随机。伦理限制不会使问题不重要，却决定能够获得何种证据。</w:t>
      </w:r>
    </w:p>
    <w:p>
      <w:pPr>
        <w:pStyle w:val="BodyText"/>
      </w:pPr>
      <w:r>
        <w:t xml:space="preserve">窗口还可能与训练类型交互。某阶段更容易形成基础感知类别，另一阶段更适合利用语言规则和显性策略。后期学习能够达到相似表现，可能使用不同机制。把机制不同解释成能力一定较差，需要额外证据；评估应关注准确性、灵活性、保持和实际用途。</w:t>
      </w:r>
    </w:p>
    <w:bookmarkEnd w:id="1901"/>
    <w:bookmarkStart w:id="1902" w:name="sec-122-15"/>
    <w:p>
      <w:pPr>
        <w:pStyle w:val="Heading3"/>
      </w:pPr>
      <w:r>
        <w:t xml:space="preserve">122.15　生命周期中的继续变化</w:t>
      </w:r>
    </w:p>
    <w:p>
      <w:pPr>
        <w:pStyle w:val="FirstParagraph"/>
      </w:pPr>
      <w:r>
        <w:t xml:space="preserve">达到某项任务的成人平均水平，并不意味着此后系统静止。工作、学习、疾病、妊娠、衰老和生活经历可以继续改变脑与行为。成熟和可塑性并不冲突：成熟系统可以具有稳定结构和专门化，同时保留调整能力。反过来，持续变化也不意味着永远没有任何成人能力标准。</w:t>
      </w:r>
    </w:p>
    <w:p>
      <w:pPr>
        <w:pStyle w:val="BodyText"/>
      </w:pPr>
      <w:r>
        <w:t xml:space="preserve">对研究者，最精确的表述是指定指标、年龄范围、变化方向及其不确定性。对读者，最有用的习惯是追问“哪一种能力、在什么环境、用什么测量”。这种提问能够消除单一成熟年龄叙事的大部分误导，也能让发展科学更接近真实的人类生活。</w:t>
      </w:r>
    </w:p>
    <w:bookmarkEnd w:id="1902"/>
    <w:bookmarkStart w:id="1903" w:name="sec-122-16"/>
    <w:p>
      <w:pPr>
        <w:pStyle w:val="Heading3"/>
      </w:pPr>
      <w:r>
        <w:t xml:space="preserve">122.16　假设例题与结论边界</w:t>
      </w:r>
    </w:p>
    <w:p>
      <w:pPr>
        <w:pStyle w:val="FirstParagraph"/>
      </w:pPr>
      <w:r>
        <w:t xml:space="preserve">假设研究发现20岁组平均正确率为85%，30岁组为90%，两组个体分布大量重叠。这个结果支持在该任务条件下存在平均差异。它无法判断每个20岁参与者都低于每个30岁参与者，也无法计算一个具体人是否有资格作某项决定。如果研究还报告某网络指标与年龄相关，仍需证明该指标具有个体预测能力。</w:t>
      </w:r>
    </w:p>
    <w:p>
      <w:pPr>
        <w:pStyle w:val="BodyText"/>
      </w:pPr>
      <w:r>
        <w:t xml:space="preserve">假设另一研究发现某结构指标持续变化到40岁。这个结果可以修正该指标的发展描述，却不能把40岁以前的人统称为儿童。成年身份涉及社会和法律定义，生物变化贯穿生命历程。把所有变化都解释成未成熟，会混淆发展、学习、适应和衰老。</w:t>
      </w:r>
    </w:p>
    <w:p>
      <w:pPr>
        <w:pStyle w:val="BodyText"/>
      </w:pPr>
      <w:r>
        <w:t xml:space="preserve">成熟研究需要多维标准、情境敏感的测量和诚实的不确定区间。当前证据支持成年早期持续发展，也支持显著的个体与情境差异；统一的25岁理性开关无法作为精确神经科学事实使用。</w:t>
      </w:r>
    </w:p>
    <w:bookmarkEnd w:id="1903"/>
    <w:bookmarkEnd w:id="1904"/>
    <w:bookmarkStart w:id="1921" w:name="ch-123"/>
    <w:p>
      <w:pPr>
        <w:pStyle w:val="Heading2"/>
      </w:pPr>
      <w:r>
        <w:t xml:space="preserve">第123章　性别相关脑差异与个人能力</w:t>
      </w:r>
    </w:p>
    <w:p>
      <w:pPr>
        <w:pStyle w:val="CalloutJudgment"/>
      </w:pPr>
      <w:r>
        <w:rPr>
          <w:bCs/>
          <w:b/>
        </w:rPr>
        <w:t xml:space="preserve">核心判断　部分脑指标存在可重复的性别平均差异，这些结果不足以建立两种固定的人格脑型，也不能据此判定个人职业和能力，置信度高。</w:t>
      </w:r>
      <w:r>
        <w:t xml:space="preserve">研究性别差异时，至少应分别回答差异是否存在、差异多大、如何形成、能预测什么，以及如何用于决策。一个问题的证据无法自动完成其余问题。</w:t>
      </w:r>
    </w:p>
    <w:bookmarkStart w:id="1905" w:name="sec-123-1"/>
    <w:p>
      <w:pPr>
        <w:pStyle w:val="Heading3"/>
      </w:pPr>
      <w:r>
        <w:t xml:space="preserve">123.1　研究变量究竟记录了什么</w:t>
      </w:r>
    </w:p>
    <w:p>
      <w:pPr>
        <w:pStyle w:val="FirstParagraph"/>
      </w:pPr>
      <w:r>
        <w:t xml:space="preserve">生理性别、性染色体、性腺、激素、出生时登记性别、自我认同性别和社会经历属于相互关联但不同的变量，回答的问题也不同。很多影像数据库只有某种登记或自报分类，并未实际测量所有生物维度。研究可以针对其中某一变量提出明确假说，但应说明实际测量了什么；读者应检查研究怎样定义分组。把数据库的一个二元字段解释成完整的生物与社会本质，会给变量添加它没有包含的信息。尊重个体身份与准确报告生物变量，可以在清楚的研究定义下同时实现。</w:t>
      </w:r>
    </w:p>
    <w:p>
      <w:pPr>
        <w:pStyle w:val="BodyText"/>
      </w:pPr>
      <w:r>
        <w:t xml:space="preserve">个体还经历不同的教育、职业、压力、营养和健康条件。这些条件可能与性别分类相关，也可能影响脑和行为。因此，成年横断面研究观察到的差异通常难以全部归因于单一来源。某些差异可能涉及遗传和发育，某些差异可能受经验影响，多条路径也可能相互作用。判断路径需要专门设计。</w:t>
      </w:r>
    </w:p>
    <w:bookmarkEnd w:id="1905"/>
    <w:bookmarkStart w:id="1906" w:name="sec-123-2"/>
    <w:p>
      <w:pPr>
        <w:pStyle w:val="Heading3"/>
      </w:pPr>
      <w:r>
        <w:t xml:space="preserve">123.2　大样本结果怎样解释</w:t>
      </w:r>
    </w:p>
    <w:p>
      <w:pPr>
        <w:pStyle w:val="FirstParagraph"/>
      </w:pPr>
      <w:r>
        <w:t xml:space="preserve">Ritchie等2018年分析5216名英国生物银行参与者，其中2750名女性、2466名男性，年龄44至77岁，平均61.7岁。研究发现体积、表面积、厚度及部分连接指标的平均差异，同时存在明显分布重叠</w:t>
      </w:r>
      <w:r>
        <w:rPr>
          <w:vertAlign w:val="superscript"/>
        </w:rPr>
        <w:t xml:space="preserve">[</w:t>
      </w:r>
      <w:hyperlink w:anchor="ref-1291">
        <w:r>
          <w:rPr>
            <w:rStyle w:val="Hyperlink"/>
            <w:vertAlign w:val="superscript"/>
          </w:rPr>
          <w:t xml:space="preserve">1291</w:t>
        </w:r>
      </w:hyperlink>
      <w:r>
        <w:rPr>
          <w:vertAlign w:val="superscript"/>
        </w:rPr>
        <w:t xml:space="preserve">]</w:t>
      </w:r>
      <w:r>
        <w:t xml:space="preserve">。这些结果对应特定样本与测量，无法直接推广为所有年龄和文化中的人格规律。</w:t>
      </w:r>
    </w:p>
    <w:p>
      <w:pPr>
        <w:pStyle w:val="BodyText"/>
      </w:pPr>
      <w:r>
        <w:t xml:space="preserve">Eliot等2021年的综合强调脑大小、分析选择和不重复结果的影响</w:t>
      </w:r>
      <w:r>
        <w:rPr>
          <w:vertAlign w:val="superscript"/>
        </w:rPr>
        <w:t xml:space="preserve">[</w:t>
      </w:r>
      <w:hyperlink w:anchor="ref-1292">
        <w:r>
          <w:rPr>
            <w:rStyle w:val="Hyperlink"/>
            <w:vertAlign w:val="superscript"/>
          </w:rPr>
          <w:t xml:space="preserve">1292</w:t>
        </w:r>
      </w:hyperlink>
      <w:r>
        <w:rPr>
          <w:vertAlign w:val="superscript"/>
        </w:rPr>
        <w:t xml:space="preserve">]</w:t>
      </w:r>
      <w:r>
        <w:t xml:space="preserve">。DeCasien等2022年则指出，某些区域差异在适当处理总体大小后仍可复现，并强调小至中等平均差异及分布重叠</w:t>
      </w:r>
      <w:r>
        <w:rPr>
          <w:vertAlign w:val="superscript"/>
        </w:rPr>
        <w:t xml:space="preserve">[</w:t>
      </w:r>
      <w:hyperlink w:anchor="ref-1293">
        <w:r>
          <w:rPr>
            <w:rStyle w:val="Hyperlink"/>
            <w:vertAlign w:val="superscript"/>
          </w:rPr>
          <w:t xml:space="preserve">1293</w:t>
        </w:r>
      </w:hyperlink>
      <w:r>
        <w:rPr>
          <w:vertAlign w:val="superscript"/>
        </w:rPr>
        <w:t xml:space="preserve">]</w:t>
      </w:r>
      <w:r>
        <w:t xml:space="preserve">。两组文献共同提示应核对具体指标与方法；它们在某些结论的强调和解释上存在实际分歧，不能用一个综述标题结束讨论。</w:t>
      </w:r>
    </w:p>
    <w:bookmarkEnd w:id="1906"/>
    <w:bookmarkStart w:id="1907" w:name="sec-123-3"/>
    <w:p>
      <w:pPr>
        <w:pStyle w:val="Heading3"/>
      </w:pPr>
      <w:r>
        <w:t xml:space="preserve">123.3　平均差异与分类能力</w:t>
      </w:r>
    </w:p>
    <w:p>
      <w:pPr>
        <w:pStyle w:val="FirstParagraph"/>
      </w:pPr>
      <w:r>
        <w:t xml:space="preserve">两个群体平均不同，仍然可以存在很大重叠。假设一项指标在两组呈近似正态分布、标准差相同，平均差为0.4个标准差。许多跨组个体的排序都会与组平均方向相反。这个假设例子说明，组平均提供的是概率信息，不能替代对个体的测量。实际重叠程度需要依据真实分布计算，不能假定所有脑指标都服从同一种分布。</w:t>
      </w:r>
    </w:p>
    <w:p>
      <w:pPr>
        <w:pStyle w:val="BodyText"/>
      </w:pPr>
      <w:r>
        <w:t xml:space="preserve">多个微小差异可以共同提高分类准确率。分类器把许多信息组合起来，可能较好预测数据库中的性别标签。这个结果回答了统计识别问题。若要预测共情、数学、语言或职业兴趣，必须对这些目标分别训练和验证模型。预测一个标签成功，无法为另一个未经验证的目标提供准确率保证。</w:t>
      </w:r>
    </w:p>
    <w:p>
      <w:pPr>
        <w:pStyle w:val="BodyText"/>
      </w:pPr>
      <w:r>
        <w:t xml:space="preserve">分类准确率还受样本平衡影响。若样本中某类占90%，全部预测为该类就能得到90%的表面准确率。需要报告敏感性、特异性、校准和外部验证，必要时比较简单基线模型。训练集上的良好表现容易受到过拟合影响；重复扫描属于同一个人时，训练与测试的拆分尤其要防止个体信息泄漏。</w:t>
      </w:r>
    </w:p>
    <w:bookmarkEnd w:id="1907"/>
    <w:bookmarkStart w:id="1908" w:name="sec-123-4"/>
    <w:p>
      <w:pPr>
        <w:pStyle w:val="Heading3"/>
      </w:pPr>
      <w:r>
        <w:t xml:space="preserve">123.4　脑大小校正为什么改变问题</w:t>
      </w:r>
    </w:p>
    <w:p>
      <w:pPr>
        <w:pStyle w:val="FirstParagraph"/>
      </w:pPr>
      <w:r>
        <w:t xml:space="preserve">总体脑大小可能与许多区域大小相关。研究若询问两组在某区域的绝对组织量是否不同，可以分析原始体积；若询问在相同总体大小条件下该区域是否相对不同，需要另行建模。两个问题都可能有意义。使用不同校正方式会改变统计目标，读者应先理解目标再比较结果。</w:t>
      </w:r>
    </w:p>
    <w:p>
      <w:pPr>
        <w:pStyle w:val="BodyText"/>
      </w:pPr>
      <w:r>
        <w:t xml:space="preserve">简单用区域体积除以全脑体积，隐含区域与总体之间严格按比例变化的假设。如果真实关系具有不同尺度规律，这个比例可能产生偏差。线性协变量调整同样包含模型假设；在两组总体体积范围差异较大时，还可能依赖数据较少区域的外推。合理分析应检查关系形状、共同取值范围，并评估替代方法的稳健性。</w:t>
      </w:r>
    </w:p>
    <w:p>
      <w:pPr>
        <w:pStyle w:val="BodyText"/>
      </w:pPr>
      <w:r>
        <w:t xml:space="preserve">校正也涉及因果解释。如果性别相关过程影响总体脑大小，总体大小又影响某区域，控制总体大小会移除这条路径的一部分。若把总体大小当作纯粹无关的噪声，解释就可能错误。研究应明确要估计总差异，还是特定条件下的剩余差异。控制越多变量不一定越接近所需答案。</w:t>
      </w:r>
    </w:p>
    <w:bookmarkEnd w:id="1908"/>
    <w:bookmarkStart w:id="1909" w:name="sec-123-5"/>
    <w:p>
      <w:pPr>
        <w:pStyle w:val="Heading3"/>
      </w:pPr>
      <w:r>
        <w:t xml:space="preserve">123.5　从脑差异到心理能力还缺什么</w:t>
      </w:r>
    </w:p>
    <w:p>
      <w:pPr>
        <w:pStyle w:val="FirstParagraph"/>
      </w:pPr>
      <w:r>
        <w:t xml:space="preserve">脑区与心理过程通常具有多对多关系。某区域的平均体积差异，不能直接转换成某项心理能力的组平均差异。需要实际测量行为，并确认脑指标与该行为的关系在独立样本中成立。即使相关存在，还要判断它是否由年龄、身体大小、教育或健康等共同因素解释。</w:t>
      </w:r>
    </w:p>
    <w:p>
      <w:pPr>
        <w:pStyle w:val="BodyText"/>
      </w:pPr>
      <w:r>
        <w:t xml:space="preserve">机制研究需要更强预测。若理论声称某结构差异解释某种能力差异，应预测在控制相关因素后结构与能力如何对应，在哪些任务上出现，在哪些任务上消失，发展过程中先后顺序如何，以及改变相关过程会带来什么结果。只在看到结果后寻找一个符合刻板印象的脑区名称，解释力很弱。</w:t>
      </w:r>
    </w:p>
    <w:p>
      <w:pPr>
        <w:pStyle w:val="BodyText"/>
      </w:pPr>
      <w:r>
        <w:t xml:space="preserve">职业选择尤其复杂。个人能力、兴趣、机会、薪酬、家庭责任、歧视、社会规范和组织环境都会参与。职业分布存在差异，无法反推该差异全部来自脑的固定分工。影像平均差异也无法独自解释职业分布。把层次之间的关系逐项验证，才能减少将社会结果误读成生物宿命的风险。</w:t>
      </w:r>
    </w:p>
    <w:bookmarkEnd w:id="1909"/>
    <w:bookmarkStart w:id="1910" w:name="sec-123-6"/>
    <w:p>
      <w:pPr>
        <w:pStyle w:val="Heading3"/>
      </w:pPr>
      <w:r>
        <w:t xml:space="preserve">123.6　性别差异研究的临床价值</w:t>
      </w:r>
    </w:p>
    <w:p>
      <w:pPr>
        <w:pStyle w:val="FirstParagraph"/>
      </w:pPr>
      <w:r>
        <w:t xml:space="preserve">某些疾病在不同性别群体的风险、表现或治疗反应可能不同，研究这些差异有实际价值。临床价值仍需按具体疾病检验，最明确的目标是发现会改变诊断或治疗的变量，例如一个具体生理阶段是否需要额外评估，某种风险是否应影响监测，以及某类症状是否容易被漏识别。某诊断在某组更常见，可能涉及真实发生差异，也可能涉及症状表现、求助行为、量表设计、临床识别、诊断偏差或医疗可及性；患病率还受病程长度与生存影响。单个因素无法自动说明全部差异，只比较确诊人数也无法区分这些路径。研究应分别检查病因、识别和服务可及性，了解未进入医疗系统的人，并检查诊断标准是否对不同表现同样敏感。把这类研究转化为粗糙的能力排行榜，无法服务上述临床目标。</w:t>
      </w:r>
    </w:p>
    <w:p>
      <w:pPr>
        <w:pStyle w:val="BodyText"/>
      </w:pPr>
      <w:r>
        <w:t xml:space="preserve">治疗研究中的交互作用需要足够样本。一个药在一组达到显著、另一组没有达到显著，不能直接证明两组疗效不同；两组效果之差需要直接检验。事后切分许多亚组容易产生偶然结果。药物作用差异也需要直接研究：体重、代谢、激素、合并药物和疾病阶段可能改变浓度与耐受性，平均组差不能代替个体剂量和监测；一个性别组整体不良事件更多，既可能源于生理差异，也可能源于给药、报告和暴露机会，需要把这些因素放入可检验的模型。性别相关临床建议应建立在预先指定、可重复且具有实际意义的差异上。</w:t>
      </w:r>
    </w:p>
    <w:bookmarkEnd w:id="1910"/>
    <w:bookmarkStart w:id="1911" w:name="sec-123-7"/>
    <w:p>
      <w:pPr>
        <w:pStyle w:val="Heading3"/>
      </w:pPr>
      <w:r>
        <w:t xml:space="preserve">123.7　如何处理社会价值与事实证据</w:t>
      </w:r>
    </w:p>
    <w:p>
      <w:pPr>
        <w:pStyle w:val="FirstParagraph"/>
      </w:pPr>
      <w:r>
        <w:t xml:space="preserve">公平对待个人可以直接建立在权利、尊严和个体评价上，无需等待证明所有群体指标平均完全相同。真实的平均差异也无法自动正当化限制个人机会。事实说明世界中的分布与关联，价值判断说明哪些差别值得在制度中使用。二者之间需要公开的理由。</w:t>
      </w:r>
    </w:p>
    <w:p>
      <w:pPr>
        <w:pStyle w:val="BodyText"/>
      </w:pPr>
      <w:r>
        <w:t xml:space="preserve">研究者同时应避免为了保护某种立场而否认可靠数据。发现平均差异后，应报告效应量、重叠与局限；没有发现差异时，应说明检出能力。宣传有差异与宣传无差异，都可能受到选择性引用影响。可信判断依赖具体数据和可重复方法。</w:t>
      </w:r>
    </w:p>
    <w:bookmarkEnd w:id="1911"/>
    <w:bookmarkStart w:id="1912" w:name="sec-123-8"/>
    <w:p>
      <w:pPr>
        <w:pStyle w:val="Heading3"/>
      </w:pPr>
      <w:r>
        <w:t xml:space="preserve">123.8　假设研究的审查</w:t>
      </w:r>
    </w:p>
    <w:p>
      <w:pPr>
        <w:pStyle w:val="FirstParagraph"/>
      </w:pPr>
      <w:r>
        <w:t xml:space="preserve">假设一个分类模型在单家医院达到95%准确率，研究者据此宣称发现两种脑型。首先应检查模型是否使用了研究者没有意识到的线索，例如总体或头部大小、年龄构成、头动、扫描位置或扫描流程差异；去除这些线索后性能如何变化，能够帮助理解模型学到了什么。其次应在其他医院、设备、年龄和人群中验证可推广性。再次应检查分类标签是否可靠。最后，即使分类性能保持，脑型是否决定人格仍是独立命题。</w:t>
      </w:r>
    </w:p>
    <w:p>
      <w:pPr>
        <w:pStyle w:val="BodyText"/>
      </w:pPr>
      <w:r>
        <w:t xml:space="preserve">假设一种职业的从业者在某项空间任务中表现更好。研究若发现该职业男性比例较高，就把空间优势归因于男性脑，遗漏了职业训练与人员选择。更合适的设计可以比较训练前后、同一职业内不同群体，以及具有相近训练经历的人。研究应让多个解释竞争，不能只保留符合预期的一个。</w:t>
      </w:r>
    </w:p>
    <w:bookmarkEnd w:id="1912"/>
    <w:bookmarkStart w:id="1913" w:name="sec-123-9"/>
    <w:p>
      <w:pPr>
        <w:pStyle w:val="Heading3"/>
      </w:pPr>
      <w:r>
        <w:t xml:space="preserve">123.9　同一类别内部存在多条生命历程</w:t>
      </w:r>
    </w:p>
    <w:p>
      <w:pPr>
        <w:pStyle w:val="FirstParagraph"/>
      </w:pPr>
      <w:r>
        <w:t xml:space="preserve">性别相关研究常把参加者分成两个大组，这种分组可以用于某些统计问题，却会隐藏组内重要变量。青春期阶段、激素暴露、妊娠、绝经、身体状况、用药、社会经验及年龄，都可能影响被测指标。研究应根据问题记录相关信息，避免把一个类别标签当成所有机制的完整替代。</w:t>
      </w:r>
    </w:p>
    <w:p>
      <w:pPr>
        <w:pStyle w:val="BodyText"/>
      </w:pPr>
      <w:r>
        <w:t xml:space="preserve">激素具有浓度、节律、受体分布和组织敏感性等多个维度。血中水平相同，不保证不同脑区受到相同作用；一次采样也不能完整描述长期暴露。某指标与激素相关时，需要考虑时间滞后和共同生理变化。神经、血管和体液改变可能同时影响成像结果，结构或 BOLD 信号不能自动解释为某一种心理能力的改变。</w:t>
      </w:r>
    </w:p>
    <w:bookmarkEnd w:id="1913"/>
    <w:bookmarkStart w:id="1914" w:name="sec-123-10"/>
    <w:p>
      <w:pPr>
        <w:pStyle w:val="Heading3"/>
      </w:pPr>
      <w:r>
        <w:t xml:space="preserve">123.10　妊娠提供的成人可塑性观察</w:t>
      </w:r>
    </w:p>
    <w:p>
      <w:pPr>
        <w:pStyle w:val="FirstParagraph"/>
      </w:pPr>
      <w:r>
        <w:t xml:space="preserve">Hoekzema 等人的前瞻性研究比较妊娠前后及相关对照，发现部分灰质体积变化可以持续到产后较长时间，并与某些母婴相关指标相联系。观察到体积减少不能直接解释为神经元丢失或认知受损；研究提出适应性解释，但机制和功能含义需要更多证据。其价值之一是提示成年脑仍会随重要生理转变发生结构变化</w:t>
      </w:r>
      <w:r>
        <w:rPr>
          <w:vertAlign w:val="superscript"/>
        </w:rPr>
        <w:t xml:space="preserve">[</w:t>
      </w:r>
      <w:hyperlink w:anchor="ref-1294">
        <w:r>
          <w:rPr>
            <w:rStyle w:val="Hyperlink"/>
            <w:vertAlign w:val="superscript"/>
          </w:rPr>
          <w:t xml:space="preserve">1294</w:t>
        </w:r>
      </w:hyperlink>
      <w:r>
        <w:rPr>
          <w:vertAlign w:val="superscript"/>
        </w:rPr>
        <w:t xml:space="preserve">]</w:t>
      </w:r>
      <w:r>
        <w:t xml:space="preserve">。</w:t>
      </w:r>
    </w:p>
    <w:p>
      <w:pPr>
        <w:pStyle w:val="BodyText"/>
      </w:pPr>
      <w:r>
        <w:t xml:space="preserve">Pritschet 等人在2024年对一名参加者从孕前至产后两年进行了26次 MRI 观察，描绘出灰质、皮层厚度、白质相关指标和脑脊液空间的不同轨迹。密集个体研究能够显示两次扫描之间容易遗漏的动态，也只能直接描述这个个体。26次扫描提高时间分辨率，不能被当作26名独立孕妇的证据</w:t>
      </w:r>
      <w:r>
        <w:rPr>
          <w:vertAlign w:val="superscript"/>
        </w:rPr>
        <w:t xml:space="preserve">[</w:t>
      </w:r>
      <w:hyperlink w:anchor="ref-1295">
        <w:r>
          <w:rPr>
            <w:rStyle w:val="Hyperlink"/>
            <w:vertAlign w:val="superscript"/>
          </w:rPr>
          <w:t xml:space="preserve">1295</w:t>
        </w:r>
      </w:hyperlink>
      <w:r>
        <w:rPr>
          <w:vertAlign w:val="superscript"/>
        </w:rPr>
        <w:t xml:space="preserve">]</w:t>
      </w:r>
      <w:r>
        <w:t xml:space="preserve">。</w:t>
      </w:r>
    </w:p>
    <w:p>
      <w:pPr>
        <w:pStyle w:val="BodyText"/>
      </w:pPr>
      <w:r>
        <w:t xml:space="preserve">这些研究还说明“脑变小”是过于粗糙的语言。总体或局部体积受组织水分、细胞形态、血管、髓鞘、边界识别及其他因素影响。若没有直接组织或功能证据，不能把一个体积方向变成智力、母职能力或人格评价。对相关生理变化的理解应减少误解，同时避免承诺所有变化都必然有利。</w:t>
      </w:r>
    </w:p>
    <w:bookmarkEnd w:id="1914"/>
    <w:bookmarkStart w:id="1915" w:name="sec-123-11"/>
    <w:p>
      <w:pPr>
        <w:pStyle w:val="Heading3"/>
      </w:pPr>
      <w:r>
        <w:t xml:space="preserve">123.11　个体内变化与组间差异如何互补</w:t>
      </w:r>
    </w:p>
    <w:p>
      <w:pPr>
        <w:pStyle w:val="FirstParagraph"/>
      </w:pPr>
      <w:r>
        <w:t xml:space="preserve">组间研究可以发现某类特征在群体中的分布差异；个体内研究可以观察同一个人随状态变化的轨迹。前者容易受到组间经验和选择差异影响，后者能够控制许多稳定个人因素，却可能受到时间、练习和其他同步变化影响。两种设计提供互补证据，不能互相替代。</w:t>
      </w:r>
    </w:p>
    <w:p>
      <w:pPr>
        <w:pStyle w:val="BodyText"/>
      </w:pPr>
      <w:r>
        <w:t xml:space="preserve">假设某脑指标在两个性别组之间存在平均差异，同时在同一个人的生理周期中也会变化。组间差异可能部分涉及长期暴露，个体内变化可能涉及短期状态，但不能仅凭两者相关就证明完全相同机制。研究可以比较时间尺度、区域分布和伴随生理指标，逐步检验共同路径。</w:t>
      </w:r>
    </w:p>
    <w:p>
      <w:pPr>
        <w:pStyle w:val="BodyText"/>
      </w:pPr>
      <w:r>
        <w:t xml:space="preserve">精密个体研究还提醒我们，平均图像会平滑掉个体的网络位置和时间模式。某个效应在人群平均中很小，可能在部分人身上较明显；这不意味着可以在没有验证的情况下为每个人贴标签。个体化解释需要重复测量和独立预测性能。</w:t>
      </w:r>
    </w:p>
    <w:bookmarkEnd w:id="1915"/>
    <w:bookmarkStart w:id="1916" w:name="sec-123-12"/>
    <w:p>
      <w:pPr>
        <w:pStyle w:val="Heading3"/>
      </w:pPr>
      <w:r>
        <w:t xml:space="preserve">123.12　染色体剂量与激素作用的分离</w:t>
      </w:r>
    </w:p>
    <w:p>
      <w:pPr>
        <w:pStyle w:val="FirstParagraph"/>
      </w:pPr>
      <w:r>
        <w:t xml:space="preserve">性染色体、性腺发育、激素暴露和社会环境在多数人中相关，因而难以从普通两组比较中分离。研究特定染色体变异可以提供额外线索，但这类人群可能同时存在多种发育和医疗特征，不能被视为只改变一个变量的完美自然实验。</w:t>
      </w:r>
    </w:p>
    <w:p>
      <w:pPr>
        <w:pStyle w:val="BodyText"/>
      </w:pPr>
      <w:r>
        <w:t xml:space="preserve">Reardon 等人在2016年采用异速生长方法研究性别及性染色体剂量与皮层下结构的关系，显示结构解释受到总体大小校正方式影响。研究支持使用更明确的解剖与统计模型，也提示某些区域效应不能简单归为整体体积差。它没有提供按染色体类型预测个人能力或社会角色的依据</w:t>
      </w:r>
      <w:r>
        <w:rPr>
          <w:vertAlign w:val="superscript"/>
        </w:rPr>
        <w:t xml:space="preserve">[</w:t>
      </w:r>
      <w:hyperlink w:anchor="ref-1296">
        <w:r>
          <w:rPr>
            <w:rStyle w:val="Hyperlink"/>
            <w:vertAlign w:val="superscript"/>
          </w:rPr>
          <w:t xml:space="preserve">1296</w:t>
        </w:r>
      </w:hyperlink>
      <w:r>
        <w:rPr>
          <w:vertAlign w:val="superscript"/>
        </w:rPr>
        <w:t xml:space="preserve">]</w:t>
      </w:r>
      <w:r>
        <w:t xml:space="preserve">。</w:t>
      </w:r>
    </w:p>
    <w:p>
      <w:pPr>
        <w:pStyle w:val="BodyText"/>
      </w:pPr>
      <w:r>
        <w:t xml:space="preserve">机制研究应尽量提出中间环节，例如某类基因剂量是否改变细胞表达、某类受体是否影响特定回路，以及这些改变是否与行为相关。每一个连接都需要独立证据。仅从染色体类别跳到复杂心理特征，会跨过细胞、网络、发展和环境多个层次。</w:t>
      </w:r>
    </w:p>
    <w:bookmarkEnd w:id="1916"/>
    <w:bookmarkStart w:id="1917" w:name="sec-123-13"/>
    <w:p>
      <w:pPr>
        <w:pStyle w:val="Heading3"/>
      </w:pPr>
      <w:r>
        <w:t xml:space="preserve">123.13　分类准确度不等于两种固定脑型</w:t>
      </w:r>
    </w:p>
    <w:p>
      <w:pPr>
        <w:pStyle w:val="FirstParagraph"/>
      </w:pPr>
      <w:r>
        <w:t xml:space="preserve">如</w:t>
      </w:r>
      <w:r>
        <w:t xml:space="preserve"> </w:t>
      </w:r>
      <w:hyperlink w:anchor="sec-123-3">
        <w:r>
          <w:rPr>
            <w:rStyle w:val="Hyperlink"/>
          </w:rPr>
          <w:t xml:space="preserve">123.3 节</w:t>
        </w:r>
      </w:hyperlink>
      <w:r>
        <w:t xml:space="preserve">所述，分类器能够综合许多微小差异来预测训练标签。一个分类器表现良好，说明数据包含与标签相关的信息；它不保证每个脑区都呈现相同方向，也不保证每个人都落在两个彼此分离的自然类别中。多维分布可以高度可分类，同时单项特征大幅重叠。</w:t>
      </w:r>
    </w:p>
    <w:bookmarkEnd w:id="1917"/>
    <w:bookmarkStart w:id="1918" w:name="sec-123-14"/>
    <w:p>
      <w:pPr>
        <w:pStyle w:val="Heading3"/>
      </w:pPr>
      <w:r>
        <w:t xml:space="preserve">123.14　生物发现与社会安排之间的推理</w:t>
      </w:r>
    </w:p>
    <w:p>
      <w:pPr>
        <w:pStyle w:val="FirstParagraph"/>
      </w:pPr>
      <w:r>
        <w:t xml:space="preserve">研究中观察到的群体平均差异，本身可能有社会环境参与形成。训练、鼓励、期待和参与机会可以长期改变技能与脑网络。生物测量记录的是在某段历史中形成的系统状态，不能自动标记某特征是否先天、不可改变或应当被维持。讨论差异来源需要发展和因果证据，讨论应如何安排机会则还需要价值理由。</w:t>
      </w:r>
    </w:p>
    <w:bookmarkEnd w:id="1918"/>
    <w:bookmarkStart w:id="1919" w:name="sec-123-15"/>
    <w:p>
      <w:pPr>
        <w:pStyle w:val="Heading3"/>
      </w:pPr>
      <w:r>
        <w:t xml:space="preserve">123.15　激素关联的时间顺序</w:t>
      </w:r>
    </w:p>
    <w:p>
      <w:pPr>
        <w:pStyle w:val="FirstParagraph"/>
      </w:pPr>
      <w:r>
        <w:t xml:space="preserve">假设一项研究发现某个激素升高时情绪量表也变化。至少需要询问两次测量是否同步、激素影响是否存在延迟，以及睡眠、身体不适或生活事件是否同时变化。若只在不同人之间比较一次激素值，稳定个人差异可能主导结果；若在同一个人内部重复测量，仍需处理周期、时间趋势和自相关。不同设计估计的是不同关系。</w:t>
      </w:r>
    </w:p>
    <w:p>
      <w:pPr>
        <w:pStyle w:val="BodyText"/>
      </w:pPr>
      <w:r>
        <w:t xml:space="preserve">研究还应避免把群体平均周期当成每个人的精确生理时钟。个体周期长度和波动幅度可以不同，采用固定日历日期替代实际生理测量可能错分状态。这样的误差既可能掩盖真实联系，也可能在特定采样安排下产生假象。清楚记录测量时间和状态，比给每一天赋予普遍的情绪或能力标签更有解释力。</w:t>
      </w:r>
    </w:p>
    <w:bookmarkEnd w:id="1919"/>
    <w:bookmarkStart w:id="1920" w:name="sec-123-16"/>
    <w:p>
      <w:pPr>
        <w:pStyle w:val="Heading3"/>
      </w:pPr>
      <w:r>
        <w:t xml:space="preserve">123.16　判断边界</w:t>
      </w:r>
    </w:p>
    <w:p>
      <w:pPr>
        <w:pStyle w:val="FirstParagraph"/>
      </w:pPr>
      <w:r>
        <w:t xml:space="preserve">对“存在某些平均差异”的判断，可由大样本和多队列重复增强；对“这些差异如何形成”的判断，常需要纵向、家庭、激素、发展和跨文化研究；对“用来预测个人能力”的判断，需要目标明确的外部预测验证。三个层次的置信度可以明显不同。</w:t>
      </w:r>
    </w:p>
    <w:p>
      <w:pPr>
        <w:pStyle w:val="BodyText"/>
      </w:pPr>
      <w:r>
        <w:t xml:space="preserve">较准确的表述是：性别相关脑差异应以具体指标、效应量和测量条件描述。个人能力和需求需要直接评价。把群体差异转成固定人格或职业分工，跨越了现有证据能够支持的范围。</w:t>
      </w:r>
    </w:p>
    <w:bookmarkEnd w:id="1920"/>
    <w:bookmarkEnd w:id="1921"/>
    <w:bookmarkStart w:id="1938" w:name="ch-124"/>
    <w:p>
      <w:pPr>
        <w:pStyle w:val="Heading2"/>
      </w:pPr>
      <w:r>
        <w:t xml:space="preserve">第124章　脑体积、头围与智力测量</w:t>
      </w:r>
    </w:p>
    <w:p>
      <w:pPr>
        <w:pStyle w:val="CalloutJudgment"/>
      </w:pPr>
      <w:r>
        <w:rPr>
          <w:bCs/>
          <w:b/>
        </w:rPr>
        <w:t xml:space="preserve">核心判断　活体脑体积与智力测验分数存在有限正相关，大小无法准确决定个人能力，置信度高。</w:t>
      </w:r>
      <w:r>
        <w:t xml:space="preserve">头围、颅内容积、脑体积和脑区体积并不等价；智力测验也测量特定认知表现，不能囊括创造、专业知识、判断、人格和人的价值。解释相关前，先把两个变量定义清楚。</w:t>
      </w:r>
    </w:p>
    <w:bookmarkStart w:id="1922" w:name="sec-124-1"/>
    <w:p>
      <w:pPr>
        <w:pStyle w:val="Heading3"/>
      </w:pPr>
      <w:r>
        <w:t xml:space="preserve">124.1　测量链条中的误差</w:t>
      </w:r>
    </w:p>
    <w:p>
      <w:pPr>
        <w:pStyle w:val="FirstParagraph"/>
      </w:pPr>
      <w:r>
        <w:t xml:space="preserve">头围包含颅骨、头皮和组织形态信息。颅内容积表示颅腔空间，活体脑体积则受脑组织和脑脊液等分割方法影响。不同扫描序列、分割软件和质量控制可能产生差异。若把一个容易测量的代理变量当成精确目标，预测误差会进一步增加。</w:t>
      </w:r>
    </w:p>
    <w:p>
      <w:pPr>
        <w:pStyle w:val="BodyText"/>
      </w:pPr>
      <w:r>
        <w:t xml:space="preserve">认知测验的结果受到任务选择、语言、教育、疲劳、感官功能、动机以及测验可靠性影响。一个总分可以概括多项任务之间的共同变化，但不同测验组合可能得到不同关联。研究需要说明测量的能力领域，报告可靠性，并避免把单次得分当作固定上限。</w:t>
      </w:r>
    </w:p>
    <w:bookmarkEnd w:id="1922"/>
    <w:bookmarkStart w:id="1923" w:name="sec-124-2"/>
    <w:p>
      <w:pPr>
        <w:pStyle w:val="Heading3"/>
      </w:pPr>
      <w:r>
        <w:t xml:space="preserve">124.2　元分析支持多强的关系</w:t>
      </w:r>
    </w:p>
    <w:p>
      <w:pPr>
        <w:pStyle w:val="FirstParagraph"/>
      </w:pPr>
      <w:r>
        <w:t xml:space="preserve">Pietschnig等2015年汇总88项研究、148个样本，涉及超过8000人，报告脑体积与IQ的相关约为0.24</w:t>
      </w:r>
      <w:r>
        <w:rPr>
          <w:vertAlign w:val="superscript"/>
        </w:rPr>
        <w:t xml:space="preserve">[</w:t>
      </w:r>
      <w:hyperlink w:anchor="ref-1297">
        <w:r>
          <w:rPr>
            <w:rStyle w:val="Hyperlink"/>
            <w:vertAlign w:val="superscript"/>
          </w:rPr>
          <w:t xml:space="preserve">1297</w:t>
        </w:r>
      </w:hyperlink>
      <w:r>
        <w:rPr>
          <w:vertAlign w:val="superscript"/>
        </w:rPr>
        <w:t xml:space="preserve">]</w:t>
      </w:r>
      <w:r>
        <w:t xml:space="preserve">。在简单线性模型中，0.24的平方为0.0576，即约5.8%的分数方差与这一线性关系对应。这个统计量描述样本中的差异解释，无法为某个人分配生物和环境成因百分比。</w:t>
      </w:r>
    </w:p>
    <w:p>
      <w:pPr>
        <w:pStyle w:val="BodyText"/>
      </w:pPr>
      <w:r>
        <w:t xml:space="preserve">2022年的后续多元宇宙（multiverse）元分析系统比较了不同研究纳入与估计方法，结果总体支持有限正相关，典型估计仍在0.2多的范围，具体值受到方法与报告偏倚影响</w:t>
      </w:r>
      <w:r>
        <w:rPr>
          <w:vertAlign w:val="superscript"/>
        </w:rPr>
        <w:t xml:space="preserve">[</w:t>
      </w:r>
      <w:hyperlink w:anchor="ref-1298">
        <w:r>
          <w:rPr>
            <w:rStyle w:val="Hyperlink"/>
            <w:vertAlign w:val="superscript"/>
          </w:rPr>
          <w:t xml:space="preserve">1298</w:t>
        </w:r>
      </w:hyperlink>
      <w:r>
        <w:rPr>
          <w:vertAlign w:val="superscript"/>
        </w:rPr>
        <w:t xml:space="preserve">]</w:t>
      </w:r>
      <w:r>
        <w:t xml:space="preserve">。因此，拒绝“尺寸决定聪明”时，也应保留关联确实存在的证据。把相关说成绝对为零同样不准确。</w:t>
      </w:r>
    </w:p>
    <w:bookmarkEnd w:id="1923"/>
    <w:bookmarkStart w:id="1924" w:name="sec-124-3"/>
    <w:p>
      <w:pPr>
        <w:pStyle w:val="Heading3"/>
      </w:pPr>
      <w:r>
        <w:t xml:space="preserve">124.3　相关系数意味着什么</w:t>
      </w:r>
    </w:p>
    <w:p>
      <w:pPr>
        <w:pStyle w:val="FirstParagraph"/>
      </w:pPr>
      <w:r>
        <w:t xml:space="preserve">相关描述两个变量共同变化的程度。相关为0.24，允许大量跨个体排序与总体趋势相反。假设两个变量都标准化，且关系近似线性，脑体积高于平均一个标准差的人，其条件平均认知得分在最简单模型中高约0.24个标准差。这个计算依赖模型假设，也保留很大的个体误差。</w:t>
      </w:r>
    </w:p>
    <w:p>
      <w:pPr>
        <w:pStyle w:val="BodyText"/>
      </w:pPr>
      <w:r>
        <w:t xml:space="preserve">剩余方差不能直接命名为环境。它可能包含其他脑特征、遗传与环境共同影响、非线性关系、测量误差以及未纳入变量。单个指标解释少量差异，也不意味着其生物作用不重要。一个对所有人都必要且变化很小的因素，可能几乎不解释样本中的个体差异。方差解释与功能必要性需要分开。</w:t>
      </w:r>
    </w:p>
    <w:p>
      <w:pPr>
        <w:pStyle w:val="BodyText"/>
      </w:pPr>
      <w:r>
        <w:t xml:space="preserve">同样，小相关可以在大型样本中具有很小的p值。p值与样本量及假设有关，无法代替效应量和预测误差。若目标是为个人选择教育或职业，必须关注预测准确程度和决策后果。统计上可靠的关联，可能仍不适合个人筛选。</w:t>
      </w:r>
    </w:p>
    <w:bookmarkEnd w:id="1924"/>
    <w:bookmarkStart w:id="1925" w:name="sec-124-4"/>
    <w:p>
      <w:pPr>
        <w:pStyle w:val="Heading3"/>
      </w:pPr>
      <w:r>
        <w:t xml:space="preserve">124.4　为什么体积无法概括组织功能</w:t>
      </w:r>
    </w:p>
    <w:p>
      <w:pPr>
        <w:pStyle w:val="FirstParagraph"/>
      </w:pPr>
      <w:r>
        <w:t xml:space="preserve">相同体积可以包含不同的细胞大小与数量、突起、连接组织、髓鞘、血管、细胞外空间和病理变化；仅知道体积，无法判断这些成分的组合对某项任务的表现。功能还取决于回路时序、可塑性、感官与运动系统以及知识经验。连接也有空间和能量代价：两点距离改变，会影响实现连接所需的材料与传导条件；增加局部单元数量，也可能增加协调负担。因此，更多组织并不在逻辑上保证所有计算都更有效。体积是宏观汇总量，无法表达所有组织信息，同一个宏观差异也可能对应不同组织机制。增大体积并不自动意味着提高功能：体积较大也可能包含水分或病理相关变化，某些疾病性变化甚至可能增加局部体积。脑大小因此无法单独成为健康、成熟或聪明的统一量尺；对具体疾病，异常增大与异常缩小都可能有意义，判断需要相应病理背景。</w:t>
      </w:r>
    </w:p>
    <w:p>
      <w:pPr>
        <w:pStyle w:val="BodyText"/>
      </w:pPr>
      <w:r>
        <w:t xml:space="preserve">发育中还存在组织重塑。某指标随年龄下降，同时能力提高，并不矛盾，因为指标下降可能反映不同生物过程。把所有“更大”解释为更好，会无法解释正常发育和某些病理情况。正确判断应依据具体组织、年龄、机制与行为结局。</w:t>
      </w:r>
    </w:p>
    <w:bookmarkEnd w:id="1925"/>
    <w:bookmarkStart w:id="1926" w:name="sec-124-5"/>
    <w:p>
      <w:pPr>
        <w:pStyle w:val="Heading3"/>
      </w:pPr>
      <w:r>
        <w:t xml:space="preserve">124.5　个体内改变与个体间差异</w:t>
      </w:r>
    </w:p>
    <w:p>
      <w:pPr>
        <w:pStyle w:val="FirstParagraph"/>
      </w:pPr>
      <w:r>
        <w:t xml:space="preserve">两个人的脑体积与认知得分相关，不等于让同一个人的脑体积增加会提高相同幅度的认知得分。个体间差异可能受长期发育与健康共同影响；干预造成的短期变化可能通过完全不同过程实现。这个区别在药物、训练和营养研究中尤其重要。</w:t>
      </w:r>
    </w:p>
    <w:p>
      <w:pPr>
        <w:pStyle w:val="BodyText"/>
      </w:pPr>
      <w:r>
        <w:t xml:space="preserve">假设身高较高的人平均拥有较大鞋码，这个群体关系不能用来预测一个人更换大鞋后身高变化。这个日常例子只说明观察关系不能自动转成干预关系。对于脑体积，机制复杂得多，需要实际干预与相应行为证据。即便干预同时增加体积和改善认知，也仍需验证二者之间的因果链。</w:t>
      </w:r>
    </w:p>
    <w:bookmarkEnd w:id="1926"/>
    <w:bookmarkStart w:id="1927" w:name="sec-124-6"/>
    <w:p>
      <w:pPr>
        <w:pStyle w:val="Heading3"/>
      </w:pPr>
      <w:r>
        <w:t xml:space="preserve">124.6　群体外推的额外风险</w:t>
      </w:r>
    </w:p>
    <w:p>
      <w:pPr>
        <w:pStyle w:val="FirstParagraph"/>
      </w:pPr>
      <w:r>
        <w:t xml:space="preserve">在人群内部估计的关系，不能未经验证用于解释不同性别、祖源、文化或物种之间的平均差异。组间关系可能受到身体大小、组织比例、发展环境、测验适用性和选择偏倚影响。模型在原群体中预测尚可，迁移到另一个群体时也可能失准。</w:t>
      </w:r>
    </w:p>
    <w:p>
      <w:pPr>
        <w:pStyle w:val="BodyText"/>
      </w:pPr>
      <w:r>
        <w:t xml:space="preserve">跨物种比较更需要考虑神经元数量、密度、脑区比例、身体感知与运动需求，以及生态环境。单看总重量会把不同组织方式混在一起。跨人群比较还必须证明测量具有可比性；语言和教育不相同的测验分数，无法假定含义完全一致。未经这些检查的排名缺乏可靠基础。</w:t>
      </w:r>
    </w:p>
    <w:bookmarkEnd w:id="1927"/>
    <w:bookmarkStart w:id="1928" w:name="sec-124-7"/>
    <w:p>
      <w:pPr>
        <w:pStyle w:val="Heading3"/>
      </w:pPr>
      <w:r>
        <w:t xml:space="preserve">124.7　头围何时有医学意义</w:t>
      </w:r>
    </w:p>
    <w:p>
      <w:pPr>
        <w:pStyle w:val="FirstParagraph"/>
      </w:pPr>
      <w:r>
        <w:t xml:space="preserve">头围能够提供颅骨及脑发育的粗略信息。儿童头围可以作为生长监测的一部分，尤其在连续随访中具有临床用途，明显偏离参考轨迹时可能提示需要评估；单次头围处于某个百分位，与连续跨越多个百分位，提出的问题可能不同。但医学用途关注生长、疾病风险与发展情况，不能直接把头围转换成聪明程度。一个指标在某个临床用途上有价值，不表示它对所有心理问题都有效。</w:t>
      </w:r>
    </w:p>
    <w:p>
      <w:pPr>
        <w:pStyle w:val="BodyText"/>
      </w:pPr>
      <w:r>
        <w:t xml:space="preserve">评价生长指标需要年龄、性别、身体生长、历次轨迹与变化速度、家族情况和其他临床信息，临床评估还要结合神经发育、查体和必要检查。单个极端百分位既可能反映正常变异，也可能提示疾病，判断依具体情境。异常指标可以提示进一步评估，却不自动给出病因：同样的头围变化可以对应不同生理和病理过程，不同过程也可能产生不同功能后果。指标的临床作用是缩小问题范围、识别健康问题和支持需要，最终解释仍需要完整信息。头围还包含颅骨、头皮和头形等因素，无法精确替代脑实质体积；成人自行用卷尺根据头围推断智力，缺少必要的精度、效度和预测依据，也容易把统计标签变成不合理的自我限制。</w:t>
      </w:r>
    </w:p>
    <w:bookmarkEnd w:id="1928"/>
    <w:bookmarkStart w:id="1929" w:name="sec-124-8"/>
    <w:p>
      <w:pPr>
        <w:pStyle w:val="Heading3"/>
      </w:pPr>
      <w:r>
        <w:t xml:space="preserve">124.8　如何检验新增指标是否有用</w:t>
      </w:r>
    </w:p>
    <w:p>
      <w:pPr>
        <w:pStyle w:val="FirstParagraph"/>
      </w:pPr>
      <w:r>
        <w:t xml:space="preserve">一个研究者可以把体积与其他信息共同纳入预测模型。关键问题是加入体积后，是否在独立样本中改善预测，并且改善达到实际有用的程度。与只使用年龄、教育、既往表现等简单模型比较，或与已有的行为、发育和临床信息比较，有助于判断复杂测量的增量价值；一个与结果显著相关的脑变量，可能没有增加足够预测价值。评价应看新指标是否改善校准、区分和实际决策。对于个体预测，典型预测误差比一个显著 P 值更直接：若模型预测 IQ 的典型误差很大，即使群体相关可重复，也不足以用于个人教育安排。模型若只在训练数据中提高拟合，尚不足以支持应用；外部验证应使用没有参与模型选择的新样本，并报告不同群体中的性能。</w:t>
      </w:r>
    </w:p>
    <w:p>
      <w:pPr>
        <w:pStyle w:val="BodyText"/>
      </w:pPr>
      <w:r>
        <w:t xml:space="preserve">评价还应包含成本与后果，并判断预测是否改变行动。MRI获取成本高，存在偶然发现、误判与解释负担。若同一目的可以通过直接能力测量更便宜、更清楚、更准确地完成，额外影像未必值得。影像更复杂、科学吸引力更强，都不会自动提高判断准确度，也不自动赋予临床必要性；一个有用工具应改善决策或机制理解，并清楚说明其适用范围。科学相关性与实际决策价值各有评判标准。这里讨论的关联，不能被包装成以脑体积评定人的制度依据。</w:t>
      </w:r>
    </w:p>
    <w:bookmarkEnd w:id="1929"/>
    <w:bookmarkStart w:id="1930" w:name="sec-124-9"/>
    <w:p>
      <w:pPr>
        <w:pStyle w:val="Heading3"/>
      </w:pPr>
      <w:r>
        <w:t xml:space="preserve">124.9　组织数量与组织结构的关系</w:t>
      </w:r>
    </w:p>
    <w:p>
      <w:pPr>
        <w:pStyle w:val="FirstParagraph"/>
      </w:pPr>
      <w:r>
        <w:t xml:space="preserve">脑体积把复杂组织压缩成一个总量。两个总体积相同的大脑，可以在皮层面积、厚度、白质比例、脑室大小和局部结构上不同。因此总体积与某种能力相关，并不意味着体积是充分的功能描述。</w:t>
      </w:r>
    </w:p>
    <w:p>
      <w:pPr>
        <w:pStyle w:val="BodyText"/>
      </w:pPr>
      <w:r>
        <w:t xml:space="preserve">Reardon 等人在2018年的大样本成像研究中发现，正常范围内脑大小变化伴随区域面积比例的系统性改变，额顶等区域与感觉运动等区域具有不同缩放关系。较大的脑具有不同的形状与分配模式，不能理解为把较小脑的所有部分等比例放大。研究中的形态联系仍不能用于给个人智力作确定性判断</w:t>
      </w:r>
      <w:r>
        <w:rPr>
          <w:vertAlign w:val="superscript"/>
        </w:rPr>
        <w:t xml:space="preserve">[</w:t>
      </w:r>
      <w:hyperlink w:anchor="ref-1299">
        <w:r>
          <w:rPr>
            <w:rStyle w:val="Hyperlink"/>
            <w:vertAlign w:val="superscript"/>
          </w:rPr>
          <w:t xml:space="preserve">1299</w:t>
        </w:r>
      </w:hyperlink>
      <w:r>
        <w:rPr>
          <w:vertAlign w:val="superscript"/>
        </w:rPr>
        <w:t xml:space="preserve">]</w:t>
      </w:r>
      <w:r>
        <w:t xml:space="preserve">。</w:t>
      </w:r>
    </w:p>
    <w:p>
      <w:pPr>
        <w:pStyle w:val="BodyText"/>
      </w:pPr>
      <w:r>
        <w:t xml:space="preserve">异速关系可以用幂函数表示：区域大小等于常数乘以总体大小的某次幂。指数等于1时才接近等比例缩放。若指数大于或小于1，简单用区域体积除以总体积可能保留系统性大小效应（另见</w:t>
      </w:r>
      <w:r>
        <w:t xml:space="preserve"> </w:t>
      </w:r>
      <w:hyperlink w:anchor="sec-123-4">
        <w:r>
          <w:rPr>
            <w:rStyle w:val="Hyperlink"/>
          </w:rPr>
          <w:t xml:space="preserve">123.4</w:t>
        </w:r>
      </w:hyperlink>
      <w:r>
        <w:t xml:space="preserve">）。这个数学性质说明，“已经除以脑大小”并不保证所有大小影响都消失。</w:t>
      </w:r>
    </w:p>
    <w:bookmarkEnd w:id="1930"/>
    <w:bookmarkStart w:id="1931" w:name="sec-124-10"/>
    <w:p>
      <w:pPr>
        <w:pStyle w:val="Heading3"/>
      </w:pPr>
      <w:r>
        <w:t xml:space="preserve">124.10　影像体积怎样被估计</w:t>
      </w:r>
    </w:p>
    <w:p>
      <w:pPr>
        <w:pStyle w:val="FirstParagraph"/>
      </w:pPr>
      <w:r>
        <w:t xml:space="preserve">结构 MRI 依靠不同组织的信号对比和算法边界来估计体积。算法需要判断一个体素更接近灰质、白质还是脑脊液，边界处常混合多个组织。扫描分辨率、头部运动、序列参数、设备升级和处理版本都可能影响结果。一个纵向变化若接近这些技术变化的幅度，就需要谨慎解释。</w:t>
      </w:r>
    </w:p>
    <w:p>
      <w:pPr>
        <w:pStyle w:val="BodyText"/>
      </w:pPr>
      <w:r>
        <w:t xml:space="preserve">头部运动尤其容易与年龄、症状和认知能力相关。若运动更多者的体积估计偏低，而运动又与较差测验表现相关，可能产生或放大体积与认知的关联。质量控制应检查这种共同原因，不能只排除最明显的坏图像。处理方法的选择也应尽量在不知道行为结果时确定。</w:t>
      </w:r>
    </w:p>
    <w:p>
      <w:pPr>
        <w:pStyle w:val="BodyText"/>
      </w:pPr>
      <w:r>
        <w:t xml:space="preserve">“皮层厚度”在影像中是估计的组织边界间距离，不能直接当作显微镜测得的层厚，更不能直接解释为神经元层数或聪明程度。髓鞘和组织对比的变化可能影响边界识别。生物解释应由多模态、组织学或其他独立证据支持。</w:t>
      </w:r>
    </w:p>
    <w:bookmarkEnd w:id="1931"/>
    <w:bookmarkStart w:id="1932" w:name="sec-124-11"/>
    <w:p>
      <w:pPr>
        <w:pStyle w:val="Heading3"/>
      </w:pPr>
      <w:r>
        <w:t xml:space="preserve">124.11　智力测验记录的是表现分布</w:t>
      </w:r>
    </w:p>
    <w:p>
      <w:pPr>
        <w:pStyle w:val="FirstParagraph"/>
      </w:pPr>
      <w:r>
        <w:t xml:space="preserve">智力测验通常包含多个任务，试图估计一定范围内的推理、知识、工作记忆或处理能力。总分是根据测验设计和常模构成的综合指标。它能够用于一些研究与临床问题，同时不会覆盖创造性、价值判断、动机、人格、生活经验和所有实际技能。</w:t>
      </w:r>
    </w:p>
    <w:p>
      <w:pPr>
        <w:pStyle w:val="BodyText"/>
      </w:pPr>
      <w:r>
        <w:t xml:space="preserve">同一总分可以来自不同能力组合。甲在言语任务较强、处理速度较弱，乙则相反，二人的总分可能相同。对于教育和支持，分项模式与真实功能往往比一个排名更有帮助。解释也需要了解测验语言、感官和运动要求，以免把输入或表达困难误读成广泛认知限制。</w:t>
      </w:r>
    </w:p>
    <w:p>
      <w:pPr>
        <w:pStyle w:val="BodyText"/>
      </w:pPr>
      <w:r>
        <w:t xml:space="preserve">测验分数具有误差。一次结果应理解为对能力的估计区间，特别是在接近临床或教育阈值时。重复测量可能受到练习与状态影响，不能把每一次上下波动都解释为脑能力改变。可靠评估会综合不同来源，并说明哪些结论稳健、哪些仍需观察。</w:t>
      </w:r>
    </w:p>
    <w:bookmarkEnd w:id="1932"/>
    <w:bookmarkStart w:id="1933" w:name="sec-124-12"/>
    <w:p>
      <w:pPr>
        <w:pStyle w:val="Heading3"/>
      </w:pPr>
      <w:r>
        <w:t xml:space="preserve">124.12　智力障碍的临床定义包含适应功能</w:t>
      </w:r>
    </w:p>
    <w:p>
      <w:pPr>
        <w:pStyle w:val="FirstParagraph"/>
      </w:pPr>
      <w:r>
        <w:t xml:space="preserve">AAIDD 的定义强调智力功能和适应行为两个方面的显著限制，并要求起源于发育期；其现行框架将这一时期操作性定义为22岁之前。适应行为包括概念、社会和实际生活技能，评估需要考虑语言、文化和社区环境。由此可见，临床诊断不能依靠脑大小，也不能只凭一个 IQ 分数完成</w:t>
      </w:r>
      <w:r>
        <w:rPr>
          <w:vertAlign w:val="superscript"/>
        </w:rPr>
        <w:t xml:space="preserve">[</w:t>
      </w:r>
      <w:hyperlink w:anchor="ref-1300">
        <w:r>
          <w:rPr>
            <w:rStyle w:val="Hyperlink"/>
            <w:vertAlign w:val="superscript"/>
          </w:rPr>
          <w:t xml:space="preserve">1300</w:t>
        </w:r>
      </w:hyperlink>
      <w:r>
        <w:rPr>
          <w:vertAlign w:val="superscript"/>
        </w:rPr>
        <w:t xml:space="preserve">]</w:t>
      </w:r>
      <w:r>
        <w:t xml:space="preserve">。</w:t>
      </w:r>
    </w:p>
    <w:p>
      <w:pPr>
        <w:pStyle w:val="BodyText"/>
      </w:pPr>
      <w:r>
        <w:t xml:space="preserve">适应功能强调人在日常条件下如何完成活动。一个人可能在标准测验中困难明显，却通过熟悉流程和支持维持重要生活能力；另一个人的测验分数较高，却在复杂实际活动中需要帮助。支持计划应针对具体困难，同时保留优势与自主性。</w:t>
      </w:r>
    </w:p>
    <w:p>
      <w:pPr>
        <w:pStyle w:val="BodyText"/>
      </w:pPr>
      <w:r>
        <w:t xml:space="preserve">临床分类的目的之一是帮助确定支持。若评估只给一个分数，却没有说明沟通、学习、生活和安全需要，信息价值就有限。脑科学可以解释部分机制，但日常功能与环境配合仍需要直接观察。一个更大的脑或一个更高的测验分数，都不能替代这些实际资料。</w:t>
      </w:r>
    </w:p>
    <w:bookmarkEnd w:id="1933"/>
    <w:bookmarkStart w:id="1934" w:name="sec-124-13"/>
    <w:p>
      <w:pPr>
        <w:pStyle w:val="Heading3"/>
      </w:pPr>
      <w:r>
        <w:t xml:space="preserve">124.13　相关关系在不同范围内会变化</w:t>
      </w:r>
    </w:p>
    <w:p>
      <w:pPr>
        <w:pStyle w:val="FirstParagraph"/>
      </w:pPr>
      <w:r>
        <w:t xml:space="preserve">当研究只纳入成绩非常接近的参加者，例如只纳入高分学生时，变量范围变窄，相关可能减弱；当混合多个年龄或病理群体时，相关又可能主要由群体间差异驱动。临床样本还可能因疾病同时影响体积和表现而产生不同关联，因此对健康成人内部关系的结论，不能直接从包含严重脑损伤者的总体相关推断。需要明确样本范围和研究目标。元分析应检查样本类型、测量质量和选择方式，读者不能把所有相关值简单平均后当作永恒常数。</w:t>
      </w:r>
    </w:p>
    <w:p>
      <w:pPr>
        <w:pStyle w:val="BodyText"/>
      </w:pPr>
      <w:r>
        <w:t xml:space="preserve">设想两个群体分别具有不同平均体积和认知分数，但每个群体内部关系很弱。把两组混合后可能出现较强正相关。这个假设示例说明，相关系数可以由分组结构塑造。研究应检查分层关系、年龄趋势和潜在共同原因，避免把总体图形直接解释为个体机制。</w:t>
      </w:r>
    </w:p>
    <w:p>
      <w:pPr>
        <w:pStyle w:val="BodyText"/>
      </w:pPr>
      <w:r>
        <w:t xml:space="preserve">同样，疾病引起脑萎缩并影响认知，不能证明正常范围内增加脑体积就会提高认知。损伤过程与正常差异具有不同因果结构。一个器官失去部分组织后功能下降，并不意味着把健康器官做得更大一定有益。</w:t>
      </w:r>
    </w:p>
    <w:bookmarkEnd w:id="1934"/>
    <w:bookmarkStart w:id="1935" w:name="sec-124-14"/>
    <w:p>
      <w:pPr>
        <w:pStyle w:val="Heading3"/>
      </w:pPr>
      <w:r>
        <w:t xml:space="preserve">124.14　认识能力的完整视角</w:t>
      </w:r>
    </w:p>
    <w:p>
      <w:pPr>
        <w:pStyle w:val="FirstParagraph"/>
      </w:pPr>
      <w:r>
        <w:t xml:space="preserve">人的认知表现由身体、神经系统、经验和环境共同实现。体积研究提供其中一个可测维度，能够帮助理解发育与疾病，不能独自概括心智。把影像结果与行为、功能和生活条件结合，才能形成既有生物学深度又有实际意义的认识。</w:t>
      </w:r>
    </w:p>
    <w:p>
      <w:pPr>
        <w:pStyle w:val="BodyText"/>
      </w:pPr>
      <w:r>
        <w:t xml:space="preserve">对于任何声称通过外貌、头围或脑体积快速判断聪明程度的工具，读者可以直接询问其个体预测误差、验证样本和实际用途。若这些信息缺失，精美图像和复杂术语都不能补足证据。科学上的平均联系，应始终与个人的具体能力和尊严分开理解。</w:t>
      </w:r>
    </w:p>
    <w:bookmarkEnd w:id="1935"/>
    <w:bookmarkStart w:id="1936" w:name="sec-124-15"/>
    <w:p>
      <w:pPr>
        <w:pStyle w:val="Heading3"/>
      </w:pPr>
      <w:r>
        <w:t xml:space="preserve">124.15　表达受限时怎样理解测验</w:t>
      </w:r>
    </w:p>
    <w:p>
      <w:pPr>
        <w:pStyle w:val="FirstParagraph"/>
      </w:pPr>
      <w:r>
        <w:t xml:space="preserve">语言障碍、运动障碍或感官困难可能限制一个人表达所知的方式。要求口头回答的任务，在语言输出受损时可能低估其他能力；要求快速按键的任务，也会混合运动速度。替代反应方式有时能够改善评估，但改动程序后需要重新考虑常模和解释。测试便利性不能成为忽略表达条件的理由。</w:t>
      </w:r>
    </w:p>
    <w:p>
      <w:pPr>
        <w:pStyle w:val="BodyText"/>
      </w:pPr>
      <w:r>
        <w:t xml:space="preserve">同样，辅助沟通工具或额外时间带来的表现改善，能够提示原任务包含了某些非目标限制。它不意味着所有认知困难都已消失，也不意味着原分数完全无价值。关键是明确每种条件测量的对象，并把结果用于支持具体功能。脑影像在这一过程中可以提供病理信息，仍无法自动替代对理解、推理和日常能力的适当测量。</w:t>
      </w:r>
    </w:p>
    <w:bookmarkEnd w:id="1936"/>
    <w:bookmarkStart w:id="1937" w:name="sec-124-16"/>
    <w:p>
      <w:pPr>
        <w:pStyle w:val="Heading3"/>
      </w:pPr>
      <w:r>
        <w:t xml:space="preserve">124.16　假设例题</w:t>
      </w:r>
    </w:p>
    <w:p>
      <w:pPr>
        <w:pStyle w:val="FirstParagraph"/>
      </w:pPr>
      <w:r>
        <w:t xml:space="preserve">假设一项研究报告体积与分数相关0.30。平方为0.09，对应简单线性模型中的9%方差。若宣传说“智力有9%来自脑大小”，它混淆了人群方差与个体成因。若宣传说“增大10%脑体积就提高3%智商”，它又把相关系数当成比例斜率，还未经干预验证。正确解释必须保留变量单位、模型和适用人群。</w:t>
      </w:r>
    </w:p>
    <w:p>
      <w:pPr>
        <w:pStyle w:val="BodyText"/>
      </w:pPr>
      <w:r>
        <w:t xml:space="preserve">本章结论是：脑体积提供有限的群体统计信息，个体认知能力需要直接、可靠、具有情境解释的测量。宏观尺寸无法成为人格、价值或职业潜力的充分判断依据。</w:t>
      </w:r>
    </w:p>
    <w:bookmarkEnd w:id="1937"/>
    <w:bookmarkEnd w:id="1938"/>
    <w:bookmarkStart w:id="1957" w:name="ch-125"/>
    <w:p>
      <w:pPr>
        <w:pStyle w:val="Heading2"/>
      </w:pPr>
      <w:r>
        <w:t xml:space="preserve">第125章　遗传率、可改变性与发展环境</w:t>
      </w:r>
    </w:p>
    <w:p>
      <w:pPr>
        <w:pStyle w:val="CalloutJudgment"/>
      </w:pPr>
      <w:r>
        <w:rPr>
          <w:bCs/>
          <w:b/>
        </w:rPr>
        <w:t xml:space="preserve">核心判断　遗传率描述特定人群和环境中的差异结构，无法给一个人的能力分配基因百分比，也无法单独决定干预是否有效，置信度高。</w:t>
      </w:r>
      <w:r>
        <w:t xml:space="preserve">基因影响、环境影响、个体发展和统计方差是不同层次。遗传研究与干预研究各自回答重要问题，结论需要按问题使用。</w:t>
      </w:r>
    </w:p>
    <w:bookmarkStart w:id="1939" w:name="sec-125-1"/>
    <w:p>
      <w:pPr>
        <w:pStyle w:val="Heading3"/>
      </w:pPr>
      <w:r>
        <w:t xml:space="preserve">125.1　先明确遗传率的统计对象</w:t>
      </w:r>
    </w:p>
    <w:p>
      <w:pPr>
        <w:pStyle w:val="FirstParagraph"/>
      </w:pPr>
      <w:r>
        <w:t xml:space="preserve">一个群体中的身高、认知测验或症状存在差异。研究者在特定模型下估计其中多少方差与遗传差异有关，这构成遗传率概念。不同方法估计的遗传率可能涉及不同遗传成分；双生子模型、家系资料和常见变异的分子估计，不能自动互换</w:t>
      </w:r>
      <w:r>
        <w:rPr>
          <w:vertAlign w:val="superscript"/>
        </w:rPr>
        <w:t xml:space="preserve">[</w:t>
      </w:r>
      <w:hyperlink w:anchor="ref-1301">
        <w:r>
          <w:rPr>
            <w:rStyle w:val="Hyperlink"/>
            <w:vertAlign w:val="superscript"/>
          </w:rPr>
          <w:t xml:space="preserve">1301</w:t>
        </w:r>
      </w:hyperlink>
      <w:r>
        <w:rPr>
          <w:vertAlign w:val="superscript"/>
        </w:rPr>
        <w:t xml:space="preserve">]</w:t>
      </w:r>
      <w:r>
        <w:t xml:space="preserve">。</w:t>
      </w:r>
    </w:p>
    <w:p>
      <w:pPr>
        <w:pStyle w:val="BodyText"/>
      </w:pPr>
      <w:r>
        <w:t xml:space="preserve">假设某人群性状方差为100个单位，其中模型估计60个单位与某类遗传差异有关，遗传率为0.60。这个结果不能写成每个人的性状有60%由基因制造。一个人的形成过程包含多个必要条件，它们没有天然可切割的比例。模型中的方差分量依赖比较对象和环境范围。</w:t>
      </w:r>
    </w:p>
    <w:bookmarkEnd w:id="1939"/>
    <w:bookmarkStart w:id="1940" w:name="sec-125-2"/>
    <w:p>
      <w:pPr>
        <w:pStyle w:val="Heading3"/>
      </w:pPr>
      <w:r>
        <w:t xml:space="preserve">125.2　同一干预可以提高平均值并保留高遗传率</w:t>
      </w:r>
    </w:p>
    <w:p>
      <w:pPr>
        <w:pStyle w:val="FirstParagraph"/>
      </w:pPr>
      <w:r>
        <w:t xml:space="preserve">设想所有学生都获得一项同样有效的教育改进，平均分提高10分，个体间原有排序大致保留。平均水平发生明显变化，差异中的遗传比例却可能变化不大。这个假设说明，平均改善与差异解释属于不同统计问题。高遗传率无法排除普遍有效的环境干预。</w:t>
      </w:r>
    </w:p>
    <w:p>
      <w:pPr>
        <w:pStyle w:val="BodyText"/>
      </w:pPr>
      <w:r>
        <w:t xml:space="preserve">环境更均等时，环境差异对群体方差的贡献可能减小，遗传率可能上升；环境更不均等时，遗传率也可能改变。这并不意味着基因突然更有力量或更没力量。统计量的分母与其他分量同时变化，比例就会变化。解释遗传率必须注明人群、年龄、时代和测量条件。</w:t>
      </w:r>
    </w:p>
    <w:bookmarkEnd w:id="1940"/>
    <w:bookmarkStart w:id="1941" w:name="sec-125-3"/>
    <w:p>
      <w:pPr>
        <w:pStyle w:val="Heading3"/>
      </w:pPr>
      <w:r>
        <w:t xml:space="preserve">125.3　明确遗传疾病提供的逻辑反例</w:t>
      </w:r>
    </w:p>
    <w:p>
      <w:pPr>
        <w:pStyle w:val="FirstParagraph"/>
      </w:pPr>
      <w:r>
        <w:t xml:space="preserve">苯丙酮尿症涉及PAH基因相关代谢异常，未经管理时过高的苯丙氨酸可损害神经系统。相应医疗与饮食管理可以改变疾病后果</w:t>
      </w:r>
      <w:r>
        <w:rPr>
          <w:vertAlign w:val="superscript"/>
        </w:rPr>
        <w:t xml:space="preserve">[</w:t>
      </w:r>
      <w:hyperlink w:anchor="ref-1302">
        <w:r>
          <w:rPr>
            <w:rStyle w:val="Hyperlink"/>
            <w:vertAlign w:val="superscript"/>
          </w:rPr>
          <w:t xml:space="preserve">1302</w:t>
        </w:r>
      </w:hyperlink>
      <w:r>
        <w:rPr>
          <w:vertAlign w:val="superscript"/>
        </w:rPr>
        <w:t xml:space="preserve">]</w:t>
      </w:r>
      <w:r>
        <w:t xml:space="preserve">。这个例子证明遗传基础与可干预性能够并存。它无法推出所有遗传影响都容易改变，也无法提供普通人自行限制饮食的理由。</w:t>
      </w:r>
    </w:p>
    <w:p>
      <w:pPr>
        <w:pStyle w:val="BodyText"/>
      </w:pPr>
      <w:r>
        <w:t xml:space="preserve">机制决定哪些环节可干预。即使起点是遗传变异，后续代谢物、受体、活动、环境暴露和支持条件仍可能提供改变路径。也可能存在当前难以改变的环节。回答可改变性需要具体疾病或能力的证据，遗传标签本身提供的信息有限。</w:t>
      </w:r>
    </w:p>
    <w:bookmarkEnd w:id="1941"/>
    <w:bookmarkStart w:id="1942" w:name="sec-125-4"/>
    <w:p>
      <w:pPr>
        <w:pStyle w:val="Heading3"/>
      </w:pPr>
      <w:r>
        <w:t xml:space="preserve">125.4　教育的准实验证据</w:t>
      </w:r>
    </w:p>
    <w:p>
      <w:pPr>
        <w:pStyle w:val="FirstParagraph"/>
      </w:pPr>
      <w:r>
        <w:t xml:space="preserve">Ritchie与Tucker-Drob2018年汇总42个数据集、142个效应量，涉及超过60万人，分析控制早期能力、教育政策与入学界线等准实验，支持增加教育年限能够提高认知测验表现</w:t>
      </w:r>
      <w:r>
        <w:rPr>
          <w:vertAlign w:val="superscript"/>
        </w:rPr>
        <w:t xml:space="preserve">[</w:t>
      </w:r>
      <w:hyperlink w:anchor="ref-1303">
        <w:r>
          <w:rPr>
            <w:rStyle w:val="Hyperlink"/>
            <w:vertAlign w:val="superscript"/>
          </w:rPr>
          <w:t xml:space="preserve">1303</w:t>
        </w:r>
      </w:hyperlink>
      <w:r>
        <w:rPr>
          <w:vertAlign w:val="superscript"/>
        </w:rPr>
        <w:t xml:space="preserve">]</w:t>
      </w:r>
      <w:r>
        <w:t xml:space="preserve">。其效应估计依设计而异，不能直接解释为任何课程、任何年龄或无限增加学年都产生同样收益。</w:t>
      </w:r>
    </w:p>
    <w:p>
      <w:pPr>
        <w:pStyle w:val="BodyText"/>
      </w:pPr>
      <w:r>
        <w:t xml:space="preserve">这些设计努力处理反向关系：原有能力可能影响继续受教育的机会。政策变化或年龄界线提供了不同的比较条件，却仍依赖假设。例如政策可能同时改变其他资源，出生日期可能与某些背景变量相关。多种设计指向相近结论时，可信度提高；它们仍无法完整说明每个人的潜力上限。</w:t>
      </w:r>
    </w:p>
    <w:bookmarkEnd w:id="1942"/>
    <w:bookmarkStart w:id="1943" w:name="sec-125-5"/>
    <w:p>
      <w:pPr>
        <w:pStyle w:val="Heading3"/>
      </w:pPr>
      <w:r>
        <w:t xml:space="preserve">125.5　基因与环境为何经常相关</w:t>
      </w:r>
    </w:p>
    <w:p>
      <w:pPr>
        <w:pStyle w:val="FirstParagraph"/>
      </w:pPr>
      <w:r>
        <w:t xml:space="preserve">父母把遗传变异传给子女，也提供家庭环境；个人特征可能影响别人如何回应；个人也可能选择与自身特点相匹配的活动。这些关系使遗传和环境在现实发展中相互关联。把二者当作完全独立、可以直接相加的两个来源，常会遗漏实际路径。</w:t>
      </w:r>
    </w:p>
    <w:p>
      <w:pPr>
        <w:pStyle w:val="BodyText"/>
      </w:pPr>
      <w:r>
        <w:t xml:space="preserve">Kong等2018年研究发现，父母没有传给子女的等位基因所组成的评分，也与子女教育结果相关，支持通过家庭等环境产生的间接遗传路径</w:t>
      </w:r>
      <w:r>
        <w:rPr>
          <w:vertAlign w:val="superscript"/>
        </w:rPr>
        <w:t xml:space="preserve">[</w:t>
      </w:r>
      <w:hyperlink w:anchor="ref-1304">
        <w:r>
          <w:rPr>
            <w:rStyle w:val="Hyperlink"/>
            <w:vertAlign w:val="superscript"/>
          </w:rPr>
          <w:t xml:space="preserve">1304</w:t>
        </w:r>
      </w:hyperlink>
      <w:r>
        <w:rPr>
          <w:vertAlign w:val="superscript"/>
        </w:rPr>
        <w:t xml:space="preserve">]</w:t>
      </w:r>
      <w:r>
        <w:t xml:space="preserve">。这项结果说明遗传关联可能包含亲属对环境的影响。它不允许把任何家庭影响都归为某种基因作用，也无法根据评分判断一个家庭的教育质量。</w:t>
      </w:r>
    </w:p>
    <w:p>
      <w:pPr>
        <w:pStyle w:val="BodyText"/>
      </w:pPr>
      <w:r>
        <w:t xml:space="preserve">Howe等2022年比较群体与同胞内GWAS，对多种行为相关性状发现家内估计有所减弱，提示人口结构、择偶和亲属间接作用会影响群体关联</w:t>
      </w:r>
      <w:r>
        <w:rPr>
          <w:vertAlign w:val="superscript"/>
        </w:rPr>
        <w:t xml:space="preserve">[</w:t>
      </w:r>
      <w:hyperlink w:anchor="ref-1305">
        <w:r>
          <w:rPr>
            <w:rStyle w:val="Hyperlink"/>
            <w:vertAlign w:val="superscript"/>
          </w:rPr>
          <w:t xml:space="preserve">1305</w:t>
        </w:r>
      </w:hyperlink>
      <w:r>
        <w:rPr>
          <w:vertAlign w:val="superscript"/>
        </w:rPr>
        <w:t xml:space="preserve">]</w:t>
      </w:r>
      <w:r>
        <w:t xml:space="preserve">。家内比较减少了许多家庭背景差异，同时样本量受限；同胞之间的相关变量差异通常较小，测量误差的相对影响也可能因此放大。家内估计较弱，可能同时反映间接遗传效应减少、群体结构影响减少和误差影响变化，不能把所有衰减都解释成一个单一原因。没有一种设计可以一次解决所有因果问题。</w:t>
      </w:r>
    </w:p>
    <w:bookmarkEnd w:id="1943"/>
    <w:bookmarkStart w:id="1944" w:name="sec-125-6"/>
    <w:p>
      <w:pPr>
        <w:pStyle w:val="Heading3"/>
      </w:pPr>
      <w:r>
        <w:t xml:space="preserve">125.6　遗传与环境的交互作用</w:t>
      </w:r>
    </w:p>
    <w:p>
      <w:pPr>
        <w:pStyle w:val="FirstParagraph"/>
      </w:pPr>
      <w:r>
        <w:t xml:space="preserve">交互作用意味着某种遗传差异的统计影响依环境条件变化，或环境影响依遗传背景变化。它需要直接检验。某个基因在一种环境显著、另一种环境不显著，仍不能自动证明交互，两个效应之差需要比较。交互研究常需要比主效应更大的样本。研究若测试大量基因与大量环境组合，必须控制多重分析与选择性报告；选择某个基因、某个环境问卷和某个亚组之后出现的显著结果，若没有独立重复，可能只是多次比较中的偶然发现。对复杂行为的候选基因故事尤其需要谨慎，应优先查看大样本、预设假说和可重复的结果。</w:t>
      </w:r>
    </w:p>
    <w:p>
      <w:pPr>
        <w:pStyle w:val="BodyText"/>
      </w:pPr>
      <w:r>
        <w:t xml:space="preserve">交互作用也依量尺。某关系在绝对风险上表现为交互，在相对风险上可能没有；连续分数与二元诊断也可能得到不同图形。假设某环境使低基础风险者从1%升到2%，高基础风险者从10%升到20%：两组相对风险都翻倍，绝对增加却分别为1和10个百分点。说环境对高风险者“作用更大”，需要说明指绝对差还是相对比；这个例子只说明数学性质，不能当作任何具体疾病的数据。研究应预先说明关注的结局、量尺和交互定义，避免仅凭两条不平行线赋予复杂生物解释。泛称“基因和环境相互作用”可以作为研究方向，却无法解释具体结果。有效解释应说明哪个暴露、哪个变异、哪类人、哪个时期，以及预期如何改变结果。</w:t>
      </w:r>
    </w:p>
    <w:bookmarkEnd w:id="1944"/>
    <w:bookmarkStart w:id="1945" w:name="sec-125-7"/>
    <w:p>
      <w:pPr>
        <w:pStyle w:val="Heading3"/>
      </w:pPr>
      <w:r>
        <w:t xml:space="preserve">125.7　多基因评分能做什么</w:t>
      </w:r>
    </w:p>
    <w:p>
      <w:pPr>
        <w:pStyle w:val="FirstParagraph"/>
      </w:pPr>
      <w:r>
        <w:t xml:space="preserve">多基因评分把许多变异的统计权重组合起来。它可以在某些人群中提供风险或性状预测信息，但通常保留较大个体不确定性。评分关联到教育年限，无法直接测量智慧、努力或人的价值（见</w:t>
      </w:r>
      <w:r>
        <w:t xml:space="preserve"> </w:t>
      </w:r>
      <w:hyperlink w:anchor="sec-125-13">
        <w:r>
          <w:rPr>
            <w:rStyle w:val="Hyperlink"/>
          </w:rPr>
          <w:t xml:space="preserve">125.13</w:t>
        </w:r>
      </w:hyperlink>
      <w:r>
        <w:t xml:space="preserve">）。构建评分的数据若包含社会环境和间接遗传效应，解释更需谨慎。</w:t>
      </w:r>
    </w:p>
    <w:p>
      <w:pPr>
        <w:pStyle w:val="BodyText"/>
      </w:pPr>
      <w:r>
        <w:t xml:space="preserve">预测跨人群的表现可能下降。Martin等2019年分析了当时多基因评分在不同祖源群体中的准确度差异，指出研究样本不均衡带来的应用风险</w:t>
      </w:r>
      <w:r>
        <w:rPr>
          <w:vertAlign w:val="superscript"/>
        </w:rPr>
        <w:t xml:space="preserve">[</w:t>
      </w:r>
      <w:hyperlink w:anchor="ref-1306">
        <w:r>
          <w:rPr>
            <w:rStyle w:val="Hyperlink"/>
            <w:vertAlign w:val="superscript"/>
          </w:rPr>
          <w:t xml:space="preserve">1306</w:t>
        </w:r>
      </w:hyperlink>
      <w:r>
        <w:rPr>
          <w:vertAlign w:val="superscript"/>
        </w:rPr>
        <w:t xml:space="preserve">]</w:t>
      </w:r>
      <w:r>
        <w:t xml:space="preserve">。具体工具是否适合当前人群需要重新验证，不能把历史论文中的性能当成今天所有评分的固定性质，也不能未经验证使用一个人群的阈值为另一个人群作判断。</w:t>
      </w:r>
    </w:p>
    <w:bookmarkEnd w:id="1945"/>
    <w:bookmarkStart w:id="1946" w:name="sec-125-8"/>
    <w:p>
      <w:pPr>
        <w:pStyle w:val="Heading3"/>
      </w:pPr>
      <w:r>
        <w:t xml:space="preserve">125.8　遗传相关与共同病因</w:t>
      </w:r>
    </w:p>
    <w:p>
      <w:pPr>
        <w:pStyle w:val="FirstParagraph"/>
      </w:pPr>
      <w:r>
        <w:t xml:space="preserve">两种性状存在遗传相关，表示相关遗传变异的统计效应有一定共同变化。它可能反映共同生物过程、间接路径或测量重叠。遗传相关不能独自决定一个性状导致另一个，也无法证明存在一个共同的单一基因原因。复杂性状往往涉及许多小效应变异与环境过程。</w:t>
      </w:r>
    </w:p>
    <w:bookmarkEnd w:id="1946"/>
    <w:bookmarkStart w:id="1947" w:name="sec-125-9"/>
    <w:p>
      <w:pPr>
        <w:pStyle w:val="Heading3"/>
      </w:pPr>
      <w:r>
        <w:t xml:space="preserve">125.9　群体间差异不能由群体内遗传率推出</w:t>
      </w:r>
    </w:p>
    <w:p>
      <w:pPr>
        <w:pStyle w:val="FirstParagraph"/>
      </w:pPr>
      <w:r>
        <w:t xml:space="preserve">在一个群体内，某性状的遗传率很高，仍然无法确定两个群体平均差异的原因。两个群体可能处于不同教育、营养、健康、测验和社会条件中。群体内方差分解没有自动分解群体间均值差异。需要针对具体差异提出新的研究设计，并保证测量可比性。</w:t>
      </w:r>
    </w:p>
    <w:p>
      <w:pPr>
        <w:pStyle w:val="BodyText"/>
      </w:pPr>
      <w:r>
        <w:t xml:space="preserve">这个逻辑不依赖对任何群体的价值评价。它来自统计对象不同。忽略这一点会把有限数据扩大成没有被检验的结论。反过来，某群体差异受到环境影响，也不能据此否认该性状在群体内的遗传影响。每个命题应由相应证据承担。</w:t>
      </w:r>
    </w:p>
    <w:bookmarkEnd w:id="1947"/>
    <w:bookmarkStart w:id="1948" w:name="sec-125-10"/>
    <w:p>
      <w:pPr>
        <w:pStyle w:val="Heading3"/>
      </w:pPr>
      <w:r>
        <w:t xml:space="preserve">125.10　个人决策的正确问题</w:t>
      </w:r>
    </w:p>
    <w:p>
      <w:pPr>
        <w:pStyle w:val="FirstParagraph"/>
      </w:pPr>
      <w:r>
        <w:t xml:space="preserve">对于个人发展，更有用的问题通常是当前障碍是什么，哪些可行干预有证据，预期收益多大，成本与风险怎样，如何观察是否有效。遗传信息在明确医学用途下可能重要，但不能代替这些具体问题。没有必要先证明一项困难完全由环境造成，才允许提供教育或医疗支持。</w:t>
      </w:r>
    </w:p>
    <w:p>
      <w:pPr>
        <w:pStyle w:val="BodyText"/>
      </w:pPr>
      <w:r>
        <w:t xml:space="preserve">同样，强调可改变性不能保证无限改善。某项干预在平均上有效，个人仍可能效果有限。目标可以根据结果调整，失败也需要检查剂量、依从性、测量、适用性和替代解释。把无效归咎于个人不够努力，既无法解释数据，也可能阻止寻找更合适的支持。</w:t>
      </w:r>
    </w:p>
    <w:bookmarkEnd w:id="1948"/>
    <w:bookmarkStart w:id="1949" w:name="sec-125-11"/>
    <w:p>
      <w:pPr>
        <w:pStyle w:val="Heading3"/>
      </w:pPr>
      <w:r>
        <w:t xml:space="preserve">125.11　遗传结构包含不同类型的变异</w:t>
      </w:r>
    </w:p>
    <w:p>
      <w:pPr>
        <w:pStyle w:val="FirstParagraph"/>
      </w:pPr>
      <w:r>
        <w:t xml:space="preserve">复杂认知和精神特征通常涉及许多遗传变异，每个常见变异的平均关联较小；某些罕见变异则可能具有较大影响，同时表现度和外显率仍可不同。常见变异分析、罕见变异分析和家族性疾病研究使用不同方法，回答的问题也不同。把“找到相关基因”理解成找到一个控制复杂行为的开关，会严重简化遗传结构。</w:t>
      </w:r>
    </w:p>
    <w:p>
      <w:pPr>
        <w:pStyle w:val="BodyText"/>
      </w:pPr>
      <w:r>
        <w:t xml:space="preserve">一个变异可以影响多个性状，同一个性状也可以由许多不同变异影响。细胞发育、突触调节和其他过程可能构成共享路径，但共享路径不意味着所有携带者具有相同临床表现。发育环境、其他遗传背景、随机生物过程和测量方式都可能改变观察结果。</w:t>
      </w:r>
    </w:p>
    <w:p>
      <w:pPr>
        <w:pStyle w:val="BodyText"/>
      </w:pPr>
      <w:r>
        <w:t xml:space="preserve">基因变异的存在时间通常早于行为，但时间先后仍不能独自证明某条具体中介链。变异可能通过多个器官、发展过程或社会反应影响结果。若要宣称它通过某脑区影响某能力，需要直接检验中间环节；仅把基因关联、影像关联和行为关联并列起来，还不足以支持这样的主张。</w:t>
      </w:r>
    </w:p>
    <w:bookmarkEnd w:id="1949"/>
    <w:bookmarkStart w:id="1950" w:name="sec-125-12"/>
    <w:p>
      <w:pPr>
        <w:pStyle w:val="Heading3"/>
      </w:pPr>
      <w:r>
        <w:t xml:space="preserve">125.12　家庭相似性包含多条路径</w:t>
      </w:r>
    </w:p>
    <w:p>
      <w:pPr>
        <w:pStyle w:val="FirstParagraph"/>
      </w:pPr>
      <w:r>
        <w:t xml:space="preserve">亲属相似可以来自遗传共享、环境共享、相似社会机会及相互影响。双生子和家系设计利用不同亲缘结构估计这些成分，但依赖模型假设。环境相似程度、择偶、测量误差和基因环境交互都可能影响估计。遗传率因而应与样本、时代、年龄和模型一起报告。</w:t>
      </w:r>
    </w:p>
    <w:p>
      <w:pPr>
        <w:pStyle w:val="BodyText"/>
      </w:pPr>
      <w:r>
        <w:t xml:space="preserve">同卵双生子相似度高于异卵双生子，提供了遗传贡献的重要线索；要定量解释差异，还需要考虑与研究性状有关的环境相似性等条件。模型能够把观察分解成参数，但参数名称不能保证每一假设都成立。不同设计得到相近结果会增强信心，分歧则提示需要检查取样和模型。</w:t>
      </w:r>
    </w:p>
    <w:bookmarkEnd w:id="1950"/>
    <w:bookmarkStart w:id="1951" w:name="sec-125-13"/>
    <w:p>
      <w:pPr>
        <w:pStyle w:val="Heading3"/>
      </w:pPr>
      <w:r>
        <w:t xml:space="preserve">125.13　教育多基因评分怎样解释</w:t>
      </w:r>
    </w:p>
    <w:p>
      <w:pPr>
        <w:pStyle w:val="FirstParagraph"/>
      </w:pPr>
      <w:r>
        <w:t xml:space="preserve">Okbay 等人在约三百万人规模的教育程度 GWAS 中建立多基因预测指标，在相应验证样本中解释部分教育年限差异；控制亲代评分后，直接关联明显小于通常群体关联。研究主要基于欧洲遗传祖源样本，教育年限本身也受到制度和机会影响。这个成果提高了遗传统计能力，同时清楚显示预测、直接效应和社会环境之间需要区分</w:t>
      </w:r>
      <w:r>
        <w:rPr>
          <w:vertAlign w:val="superscript"/>
        </w:rPr>
        <w:t xml:space="preserve">[</w:t>
      </w:r>
      <w:hyperlink w:anchor="ref-1307">
        <w:r>
          <w:rPr>
            <w:rStyle w:val="Hyperlink"/>
            <w:vertAlign w:val="superscript"/>
          </w:rPr>
          <w:t xml:space="preserve">1307</w:t>
        </w:r>
      </w:hyperlink>
      <w:r>
        <w:rPr>
          <w:vertAlign w:val="superscript"/>
        </w:rPr>
        <w:t xml:space="preserve">]</w:t>
      </w:r>
      <w:r>
        <w:t xml:space="preserve">。</w:t>
      </w:r>
    </w:p>
    <w:p>
      <w:pPr>
        <w:pStyle w:val="BodyText"/>
      </w:pPr>
      <w:r>
        <w:t xml:space="preserve">教育评分的名称来自训练目标。它不是对一个人学习价值、努力程度或先天“优劣”的测量。若评分在某个社会中与受教育年限相关，其中可能包含认知、健康、人格、家庭环境和制度反应等多条路径。改变教育制度后，关联强度也可能改变。</w:t>
      </w:r>
    </w:p>
    <w:p>
      <w:pPr>
        <w:pStyle w:val="BodyText"/>
      </w:pPr>
      <w:r>
        <w:t xml:space="preserve">即使一个评分能够解释一部分群体差异，仍会留下大量个体重叠。两个评分相近的人可能具有不同成绩，评分不同者也可能取得相同结果。用这种评分替代实际学习情况和支持需要，既会损失信息，也可能制造自我实现的期待。研究用途与教育分配用途应分别评估。</w:t>
      </w:r>
    </w:p>
    <w:bookmarkEnd w:id="1951"/>
    <w:bookmarkStart w:id="1952" w:name="sec-125-14"/>
    <w:p>
      <w:pPr>
        <w:pStyle w:val="Heading3"/>
      </w:pPr>
      <w:r>
        <w:t xml:space="preserve">125.14　孟德尔随机化的因果条件</w:t>
      </w:r>
    </w:p>
    <w:p>
      <w:pPr>
        <w:pStyle w:val="FirstParagraph"/>
      </w:pPr>
      <w:r>
        <w:t xml:space="preserve">孟德尔随机化利用与暴露相关的遗传变异作为工具，尝试估计暴露对结果的因果作用。其核心要求包括工具确实关联暴露、与相关混杂因素独立，以及主要通过目标暴露影响结果。水平多效性、群体结构、择偶和选择偏差可能破坏这些条件。Sanderson 等人的方法综述强调，敏感性分析和多来源证据互证仍然必要，方法名称中的“随机化”不等于已完成临床随机试验</w:t>
      </w:r>
      <w:r>
        <w:rPr>
          <w:vertAlign w:val="superscript"/>
        </w:rPr>
        <w:t xml:space="preserve">[</w:t>
      </w:r>
      <w:hyperlink w:anchor="ref-1308">
        <w:r>
          <w:rPr>
            <w:rStyle w:val="Hyperlink"/>
            <w:vertAlign w:val="superscript"/>
          </w:rPr>
          <w:t xml:space="preserve">1308</w:t>
        </w:r>
      </w:hyperlink>
      <w:r>
        <w:rPr>
          <w:vertAlign w:val="superscript"/>
        </w:rPr>
        <w:t xml:space="preserve">]</w:t>
      </w:r>
      <w:r>
        <w:t xml:space="preserve">。</w:t>
      </w:r>
    </w:p>
    <w:p>
      <w:pPr>
        <w:pStyle w:val="BodyText"/>
      </w:pPr>
      <w:r>
        <w:t xml:space="preserve">可以构造一个假设：某遗传变异影响血中分子甲，研究者想知道甲是否影响记忆。如果同一变异还通过睡眠直接影响记忆，那么工具到结果存在另一条路径。用总关联除以变异对甲的关联，会把另一条路径错误归给甲。增加更多工具变量可以改善某些问题，但如果多数工具共享相似偏差，结果仍可能误导。</w:t>
      </w:r>
    </w:p>
    <w:p>
      <w:pPr>
        <w:pStyle w:val="BodyText"/>
      </w:pPr>
      <w:r>
        <w:t xml:space="preserve">遗传代理通常反映长期、较小的生理差异；药物则可能在某一年龄短期、大幅改变同一指标。两种干预在剂量、时间、组织和代偿方面不同。即使遗传分析支持某条因果关系，也需要临床试验确定具体药物的收益和风险。遗传证据可以提高靶点可信度，不能替代治疗验证。</w:t>
      </w:r>
    </w:p>
    <w:bookmarkEnd w:id="1952"/>
    <w:bookmarkStart w:id="1953" w:name="sec-125-15"/>
    <w:p>
      <w:pPr>
        <w:pStyle w:val="Heading3"/>
      </w:pPr>
      <w:r>
        <w:t xml:space="preserve">125.15　表观遗传与跨代影响的层次</w:t>
      </w:r>
    </w:p>
    <w:p>
      <w:pPr>
        <w:pStyle w:val="FirstParagraph"/>
      </w:pPr>
      <w:r>
        <w:t xml:space="preserve">表观遗传变化可以参与基因表达调节，其测量具有组织和细胞类型特异性。血液中的某个甲基化差异，不自动代表脑内发生同样改变；细胞组成变化也可能改变总体测量。研究应区分细胞内调节与细胞比例变化，并明确采样组织。</w:t>
      </w:r>
    </w:p>
    <w:p>
      <w:pPr>
        <w:pStyle w:val="BodyText"/>
      </w:pPr>
      <w:r>
        <w:t xml:space="preserve">父母经历与子代结果相关，可能经由孕期环境、照护、社会资源、遗传共享或其他路径。要证明某种跨代生物传递，需要排除这些替代解释，并说明哪一代直接暴露、哪一代未直接暴露。人类研究中这些条件很难完全满足，因此“创伤写入基因并传给后代”的确定性叙事经常超出证据。</w:t>
      </w:r>
    </w:p>
    <w:p>
      <w:pPr>
        <w:pStyle w:val="BodyText"/>
      </w:pPr>
      <w:r>
        <w:t xml:space="preserve">可改变的分子标记也不等于可随意控制的健康开关。一个标记与症状同时改变，可能是原因、结果或共同反应。针对标记进行干预后是否改善功能，需要直接检验。把表观遗传当作证明任何心理训练都能重写全部遗传风险的理由，同样不成立。</w:t>
      </w:r>
    </w:p>
    <w:bookmarkEnd w:id="1953"/>
    <w:bookmarkStart w:id="1954" w:name="sec-125-16"/>
    <w:p>
      <w:pPr>
        <w:pStyle w:val="Heading3"/>
      </w:pPr>
      <w:r>
        <w:t xml:space="preserve">125.16　遗传信息的个人使用边界</w:t>
      </w:r>
    </w:p>
    <w:p>
      <w:pPr>
        <w:pStyle w:val="FirstParagraph"/>
      </w:pPr>
      <w:r>
        <w:t xml:space="preserve">临床上某些明确致病变异可以改变诊断和管理，多基因风险评分则通常提供概率信息。两者不能混为一类。评估一个检测是否有用，需要看它是否经过目标人群验证、是否改善已有风险评估，以及结果是否对应有效行动。一个统计显著的评分不自动具备临床净收益。</w:t>
      </w:r>
    </w:p>
    <w:p>
      <w:pPr>
        <w:pStyle w:val="BodyText"/>
      </w:pPr>
      <w:r>
        <w:t xml:space="preserve">检测还可能涉及亲属信息。发现某种遗传风险可能影响家人的选择和心理状态，因此结果披露需要清晰沟通。隐私、知情选择和支持服务属于实际医疗质量的一部分。基因信息不应被用来否定个人努力或限制发展机会。</w:t>
      </w:r>
    </w:p>
    <w:p>
      <w:pPr>
        <w:pStyle w:val="BodyText"/>
      </w:pPr>
      <w:r>
        <w:t xml:space="preserve">理解遗传贡献最有价值的方式，是把它放入发展系统中：遗传影响某些起点和反应倾向，环境和经验影响实际路径，医疗与社会支持可以改变结果。这个框架允许研究生物机制，同时保留个体变化、环境责任和行动空间。</w:t>
      </w:r>
    </w:p>
    <w:bookmarkEnd w:id="1954"/>
    <w:bookmarkStart w:id="1955" w:name="sec-125-17"/>
    <w:p>
      <w:pPr>
        <w:pStyle w:val="Heading3"/>
      </w:pPr>
      <w:r>
        <w:t xml:space="preserve">125.17　加性统计模型与生物相互作用</w:t>
      </w:r>
    </w:p>
    <w:p>
      <w:pPr>
        <w:pStyle w:val="FirstParagraph"/>
      </w:pPr>
      <w:r>
        <w:t xml:space="preserve">多基因评分常把许多变异的加权关联相加。加性模型在预测上有用，并不表示细胞内所有作用都彼此独立。生物系统可以存在调控网络、阈值和反馈，而群体中的平均效应仍可被线性近似捕捉。统计形式与微观机制属于不同描述层次。</w:t>
      </w:r>
    </w:p>
    <w:p>
      <w:pPr>
        <w:pStyle w:val="BodyText"/>
      </w:pPr>
      <w:r>
        <w:t xml:space="preserve">反过来，发现某两个基因产物在细胞中相互作用，也不保证在人群统计中能检测到很大的基因间交互。变异频率、背景差异和测量误差都会影响可见性。研究应避免从一个层次的“加性”或“交互”直接推断另一个层次的全部结构。把这些概念分别定义，有助于解释为什么遗传预测能够进步，而完整机制仍然复杂。</w:t>
      </w:r>
    </w:p>
    <w:bookmarkEnd w:id="1955"/>
    <w:bookmarkStart w:id="1956" w:name="sec-125-18"/>
    <w:p>
      <w:pPr>
        <w:pStyle w:val="Heading3"/>
      </w:pPr>
      <w:r>
        <w:t xml:space="preserve">125.18　假设例题与答案</w:t>
      </w:r>
    </w:p>
    <w:p>
      <w:pPr>
        <w:pStyle w:val="FirstParagraph"/>
      </w:pPr>
      <w:r>
        <w:t xml:space="preserve">假设A地区的教育质量高度一致，B地区差异很大，两个地区测得不同遗传率。不能立即断定两地人基因的生物作用不同；环境方差、测量误差、人口结构和模型条件都可能改变估计。需要在可比测量和条件下重新分析。</w:t>
      </w:r>
    </w:p>
    <w:p>
      <w:pPr>
        <w:pStyle w:val="BodyText"/>
      </w:pPr>
      <w:r>
        <w:t xml:space="preserve">假设某性状遗传率为80%，一项干预让平均分提高显著。两项结果可以同时成立。前者描述原条件下差异，后者描述改变条件后的结果。若有人要求从80%推算个人最多能提高20%，其算法没有统计依据。</w:t>
      </w:r>
    </w:p>
    <w:p>
      <w:pPr>
        <w:pStyle w:val="BodyText"/>
      </w:pPr>
      <w:r>
        <w:t xml:space="preserve">遗传研究有助于理解风险与机制，干预研究有助于识别改变路径。使用两类证据时，应保持人群、量尺、假设和适用范围清楚，拒绝把群体统计压缩成个人命运。</w:t>
      </w:r>
    </w:p>
    <w:bookmarkEnd w:id="1956"/>
    <w:bookmarkEnd w:id="1957"/>
    <w:bookmarkStart w:id="1976" w:name="ch-126"/>
    <w:p>
      <w:pPr>
        <w:pStyle w:val="Heading2"/>
      </w:pPr>
      <w:r>
        <w:t xml:space="preserve">第126章　注意缺陷多动障碍的评估与解释</w:t>
      </w:r>
    </w:p>
    <w:p>
      <w:pPr>
        <w:pStyle w:val="CalloutJudgment"/>
      </w:pPr>
      <w:r>
        <w:rPr>
          <w:bCs/>
          <w:b/>
        </w:rPr>
        <w:t xml:space="preserve">核心判断　ADHD是有研究基础的神经发育性临床概念，懒惰和单一手机因素无法充分解释它；诊断仍需要完整评估，置信度高。</w:t>
      </w:r>
      <w:r>
        <w:t xml:space="preserve">注意不集中是常见体验，ADHD要求持续的发展模式和实际功能影响。把所有走神都归为疾病与把持续困难归为品行，都省略了必要的区分。</w:t>
      </w:r>
    </w:p>
    <w:bookmarkStart w:id="1958" w:name="sec-126-1"/>
    <w:p>
      <w:pPr>
        <w:pStyle w:val="Heading3"/>
      </w:pPr>
      <w:r>
        <w:t xml:space="preserve">126.1　症状与功能影响</w:t>
      </w:r>
    </w:p>
    <w:p>
      <w:pPr>
        <w:pStyle w:val="FirstParagraph"/>
      </w:pPr>
      <w:r>
        <w:t xml:space="preserve">注意、活动和冲动表现可以随任务而变化，注意困难并不总表现为每一分钟都同样差。一个人可能在高度新奇、即时反馈或强兴趣的活动中长时间投入，却在重复、延迟回报和组织要求较高的任务中难以开始或维持。这种情境差异与注意调节问题相容，本身不能证明或排除ADHD：诊断不能依靠“有时能集中”来排除，也不能依靠“经常拖延”来确认。能在某个活动中集中注意，也不能自动说明其他困难是故意造成的。需要了解表现的持续性、发展史、跨情境一致性以及造成的代价。</w:t>
      </w:r>
    </w:p>
    <w:p>
      <w:pPr>
        <w:pStyle w:val="BodyText"/>
      </w:pPr>
      <w:r>
        <w:t xml:space="preserve">NIMH的说明要求关注童年起病、持续症状、多个情境与功能受损，并考虑睡眠、焦虑、抑郁和身体疾病等类似表现</w:t>
      </w:r>
      <w:r>
        <w:rPr>
          <w:vertAlign w:val="superscript"/>
        </w:rPr>
        <w:t xml:space="preserve">[</w:t>
      </w:r>
      <w:hyperlink w:anchor="ref-1309">
        <w:r>
          <w:rPr>
            <w:rStyle w:val="Hyperlink"/>
            <w:vertAlign w:val="superscript"/>
          </w:rPr>
          <w:t xml:space="preserve">1309</w:t>
        </w:r>
      </w:hyperlink>
      <w:r>
        <w:rPr>
          <w:vertAlign w:val="superscript"/>
        </w:rPr>
        <w:t xml:space="preserve">]</w:t>
      </w:r>
      <w:r>
        <w:t xml:space="preserve">。NICE指南强调临床与心理社会评估、发育史和观察者资料，量表或单次观察不能独自完成诊断</w:t>
      </w:r>
      <w:r>
        <w:rPr>
          <w:vertAlign w:val="superscript"/>
        </w:rPr>
        <w:t xml:space="preserve">[</w:t>
      </w:r>
      <w:hyperlink w:anchor="ref-1310">
        <w:r>
          <w:rPr>
            <w:rStyle w:val="Hyperlink"/>
            <w:vertAlign w:val="superscript"/>
          </w:rPr>
          <w:t xml:space="preserve">1310</w:t>
        </w:r>
      </w:hyperlink>
      <w:r>
        <w:rPr>
          <w:vertAlign w:val="superscript"/>
        </w:rPr>
        <w:t xml:space="preserve">]</w:t>
      </w:r>
      <w:r>
        <w:t xml:space="preserve">。CDC的现行说明同样强调ADHD没有单项确诊检查，睡眠障碍、焦虑、抑郁和某些学习困难可以产生类似表现；美国儿科学会指南也要求评估情绪、发育和身体方面的合并问题</w:t>
      </w:r>
      <w:r>
        <w:rPr>
          <w:vertAlign w:val="superscript"/>
        </w:rPr>
        <w:t xml:space="preserve">[</w:t>
      </w:r>
      <w:hyperlink w:anchor="ref-1311">
        <w:r>
          <w:rPr>
            <w:rStyle w:val="Hyperlink"/>
            <w:vertAlign w:val="superscript"/>
          </w:rPr>
          <w:t xml:space="preserve">1311</w:t>
        </w:r>
      </w:hyperlink>
      <w:r>
        <w:rPr>
          <w:vertAlign w:val="superscript"/>
        </w:rPr>
        <w:t xml:space="preserve">,</w:t>
      </w:r>
      <w:hyperlink w:anchor="ref-1312">
        <w:r>
          <w:rPr>
            <w:rStyle w:val="Hyperlink"/>
            <w:vertAlign w:val="superscript"/>
          </w:rPr>
          <w:t xml:space="preserve">1312</w:t>
        </w:r>
      </w:hyperlink>
      <w:r>
        <w:rPr>
          <w:vertAlign w:val="superscript"/>
        </w:rPr>
        <w:t xml:space="preserve">]</w:t>
      </w:r>
      <w:r>
        <w:t xml:space="preserve">。这些要求帮助区分症状模式、暂时状态和其他原因。相似症状可以来自不同过程，同一个人也可以同时具有多个过程。</w:t>
      </w:r>
    </w:p>
    <w:p>
      <w:pPr>
        <w:pStyle w:val="BodyText"/>
      </w:pPr>
      <w:r>
        <w:t xml:space="preserve">功能影响需要具体描述。学习中可能是反复漏交作业，工作中可能是组织任务困难，家庭中可能是遗忘安排，关系中可能是冲动打断。行为标签只有放进频率、情境和后果中才有解释价值。相同表面行为可能来自不同机制，例如没有听懂指令、听力问题、焦虑性回避、疲劳或注意调节困难。</w:t>
      </w:r>
    </w:p>
    <w:bookmarkEnd w:id="1958"/>
    <w:bookmarkStart w:id="1959" w:name="sec-126-2"/>
    <w:p>
      <w:pPr>
        <w:pStyle w:val="Heading3"/>
      </w:pPr>
      <w:r>
        <w:t xml:space="preserve">126.2　临床概念与生物机制</w:t>
      </w:r>
    </w:p>
    <w:p>
      <w:pPr>
        <w:pStyle w:val="FirstParagraph"/>
      </w:pPr>
      <w:r>
        <w:t xml:space="preserve">ADHD诊断集合包含不同表现和可能不同的机制。没有一个单独脑区或递质数值能解释所有个体。群体研究可以发现遗传、发展和网络层面的关联，同时个体差异仍然很大。影像上的平均差异无法直接作为某个人的确诊依据。</w:t>
      </w:r>
    </w:p>
    <w:p>
      <w:pPr>
        <w:pStyle w:val="BodyText"/>
      </w:pPr>
      <w:r>
        <w:t xml:space="preserve">Faraone等2021年国际共识整理大样本与元分析证据，支持ADHD在发展、遗传、功能损害和干预方面具有可研究的规律</w:t>
      </w:r>
      <w:r>
        <w:rPr>
          <w:vertAlign w:val="superscript"/>
        </w:rPr>
        <w:t xml:space="preserve">[</w:t>
      </w:r>
      <w:hyperlink w:anchor="ref-1313">
        <w:r>
          <w:rPr>
            <w:rStyle w:val="Hyperlink"/>
            <w:vertAlign w:val="superscript"/>
          </w:rPr>
          <w:t xml:space="preserve">1313</w:t>
        </w:r>
      </w:hyperlink>
      <w:r>
        <w:rPr>
          <w:vertAlign w:val="superscript"/>
        </w:rPr>
        <w:t xml:space="preserve">]</w:t>
      </w:r>
      <w:r>
        <w:t xml:space="preserve">。共识具有整合价值，仍需回到所引用研究的设计和局限。作者数量或赞同人数无法替代效应量、重复与方法质量。</w:t>
      </w:r>
    </w:p>
    <w:p>
      <w:pPr>
        <w:pStyle w:val="BodyText"/>
      </w:pPr>
      <w:r>
        <w:t xml:space="preserve">疾病分类的有效性也无需以一个唯一生物标志物为前提。许多临床综合征先通过稳定症状和病程识别，再逐步细分机制。反过来，分类存在并不意味着边界完全自然或每个病例机制相同。研究与临床都应允许异质性，并持续检验现有分类能否改善预测和支持。</w:t>
      </w:r>
    </w:p>
    <w:bookmarkEnd w:id="1959"/>
    <w:bookmarkStart w:id="1960" w:name="sec-126-3"/>
    <w:p>
      <w:pPr>
        <w:pStyle w:val="Heading3"/>
      </w:pPr>
      <w:r>
        <w:t xml:space="preserve">126.3　手机与数字环境怎样研究</w:t>
      </w:r>
    </w:p>
    <w:p>
      <w:pPr>
        <w:pStyle w:val="FirstParagraph"/>
      </w:pPr>
      <w:r>
        <w:t xml:space="preserve">手机可以提供频繁线索、即时奖励和持续任务切换，也可能挤占睡眠或工作时间。这些机制能够加重分心，但无法解释所有ADHD。要判断某种数字使用模式是否增加长期风险，需要区分原有症状促使更多使用、家庭环境共同影响二者，以及使用后的实际变化。</w:t>
      </w:r>
    </w:p>
    <w:p>
      <w:pPr>
        <w:pStyle w:val="BodyText"/>
      </w:pPr>
      <w:r>
        <w:t xml:space="preserve">横断面相关无法给出方向。纵向研究若先测数字使用再测症状，可以改善时间顺序，但仍需处理基线症状与混杂。随机限制通知或改变使用环境的研究能测试短期影响，仍难直接回答神经发育性诊断的病因。不同设计需要分别解释，不能把任何“注意力下降”都当成ADHD发生。</w:t>
      </w:r>
    </w:p>
    <w:bookmarkEnd w:id="1960"/>
    <w:bookmarkStart w:id="1961" w:name="sec-126-4"/>
    <w:p>
      <w:pPr>
        <w:pStyle w:val="Heading3"/>
      </w:pPr>
      <w:r>
        <w:t xml:space="preserve">126.4　药物有效为何不能用作诊断试验</w:t>
      </w:r>
    </w:p>
    <w:p>
      <w:pPr>
        <w:pStyle w:val="FirstParagraph"/>
      </w:pPr>
      <w:r>
        <w:t xml:space="preserve">药物可以改变注意、觉醒、动机和其他过程，部分没有ADHD的人也可能感到变化。主观感觉更能专注还可能受期待和情境影响。因此，服药后改善无法独立证明原先诊断正确。诊断应建立在病史与功能评估上，疗效评估则帮助判断治疗是否适合已评估的问题。</w:t>
      </w:r>
    </w:p>
    <w:p>
      <w:pPr>
        <w:pStyle w:val="BodyText"/>
      </w:pPr>
      <w:r>
        <w:t xml:space="preserve">2018年Cortese等网络元分析纳入133项双盲随机试验，支持若干药物对短期核心症状的平均收益，同时不同药物与年龄群的耐受性存在差异，较长期随机证据不足</w:t>
      </w:r>
      <w:r>
        <w:rPr>
          <w:vertAlign w:val="superscript"/>
        </w:rPr>
        <w:t xml:space="preserve">[</w:t>
      </w:r>
      <w:hyperlink w:anchor="ref-1314">
        <w:r>
          <w:rPr>
            <w:rStyle w:val="Hyperlink"/>
            <w:vertAlign w:val="superscript"/>
          </w:rPr>
          <w:t xml:space="preserve">1314</w:t>
        </w:r>
      </w:hyperlink>
      <w:r>
        <w:rPr>
          <w:vertAlign w:val="superscript"/>
        </w:rPr>
        <w:t xml:space="preserve">]</w:t>
      </w:r>
      <w:r>
        <w:t xml:space="preserve">。这支持药物具有实际治疗作用，也要求把短期症状、长期功能和不良反应分别评价。药物选择与监测需要临床判断，书中的平均效应不能直接成为个人用药方案。</w:t>
      </w:r>
    </w:p>
    <w:bookmarkEnd w:id="1961"/>
    <w:bookmarkStart w:id="1962" w:name="sec-126-5"/>
    <w:p>
      <w:pPr>
        <w:pStyle w:val="Heading3"/>
      </w:pPr>
      <w:r>
        <w:t xml:space="preserve">126.5　症状改善与生活改善</w:t>
      </w:r>
    </w:p>
    <w:p>
      <w:pPr>
        <w:pStyle w:val="FirstParagraph"/>
      </w:pPr>
      <w:r>
        <w:t xml:space="preserve">症状量表下降可能使完成任务更容易，但学习、工作和关系中的困难也受到知识、机会和环境影响。治疗需要关注实际目标，例如减少危险驾驶、完成关键任务、改善睡眠与关系。单看量表可能漏掉有意义收益，也可能高估生活改善。症状和功能应尽量同时测量。</w:t>
      </w:r>
    </w:p>
    <w:p>
      <w:pPr>
        <w:pStyle w:val="BodyText"/>
      </w:pPr>
      <w:r>
        <w:t xml:space="preserve">环境支持也需要具体化，其共同逻辑是把隐含要求变成外部结构，降低需要在脑内持续保持和更新的信息量。减少无关打断、提供清楚任务顺序、把复杂任务分成明确步骤、将材料放在可见位置、提供具体期限、让反馈更及时、使用外部提醒以及调整工作量，分别针对不同障碍。有效支持不要求先证明个人毫无责任，也不意味着所有环境要求都应取消。目标是使行动更可行，并通过实际结果调整方案；支持是否成功，应看本人能否更独立、更少耗竭地完成目标。</w:t>
      </w:r>
    </w:p>
    <w:bookmarkEnd w:id="1962"/>
    <w:bookmarkStart w:id="1963" w:name="sec-126-6"/>
    <w:p>
      <w:pPr>
        <w:pStyle w:val="Heading3"/>
      </w:pPr>
      <w:r>
        <w:t xml:space="preserve">126.6　行为与心理支持的机制</w:t>
      </w:r>
    </w:p>
    <w:p>
      <w:pPr>
        <w:pStyle w:val="FirstParagraph"/>
      </w:pPr>
      <w:r>
        <w:t xml:space="preserve">行为支持可以改变行为与后果之间的关系，帮助建立稳定例行安排。心理干预可以处理失败经历、情绪调节和组织策略。家庭与学校支持可能改变任务结构和沟通方式。不同干预的目标不同，不能统称为“训练自律”后忽略具体作用。</w:t>
      </w:r>
    </w:p>
    <w:p>
      <w:pPr>
        <w:pStyle w:val="BodyText"/>
      </w:pPr>
      <w:r>
        <w:t xml:space="preserve">当干预依赖家长或教师参与时，评估者可能同时知道分组并期待改善，这会影响报告。研究需要尽量加入独立观察与盲法结局，并关注改善是否跨场景出现。只在训练地点表现更好，未必意味着日常生活同样受益。干预负担、冲突和退出情况也应报告。</w:t>
      </w:r>
    </w:p>
    <w:bookmarkEnd w:id="1963"/>
    <w:bookmarkStart w:id="1964" w:name="sec-126-7"/>
    <w:p>
      <w:pPr>
        <w:pStyle w:val="Heading3"/>
      </w:pPr>
      <w:r>
        <w:t xml:space="preserve">126.7　神经反馈与新技术</w:t>
      </w:r>
    </w:p>
    <w:p>
      <w:pPr>
        <w:pStyle w:val="FirstParagraph"/>
      </w:pPr>
      <w:r>
        <w:t xml:space="preserve">神经反馈让参与者根据脑信号反馈尝试调节某个指标。技术能够实时显示信号，无法自动证明它能改善核心症状。必须分别证明信号可被可靠调节、调节具有特异性，以及行为收益超出对照活动。</w:t>
      </w:r>
    </w:p>
    <w:p>
      <w:pPr>
        <w:pStyle w:val="BodyText"/>
      </w:pPr>
      <w:r>
        <w:t xml:space="preserve">Westwood等2025年元分析纳入38项随机试验、2472人，主要采用可能盲法的症状评价时，总体效应很小且区间跨零；特定标准方案和处理速度存在小效应线索</w:t>
      </w:r>
      <w:r>
        <w:rPr>
          <w:vertAlign w:val="superscript"/>
        </w:rPr>
        <w:t xml:space="preserve">[</w:t>
      </w:r>
      <w:hyperlink w:anchor="ref-1315">
        <w:r>
          <w:rPr>
            <w:rStyle w:val="Hyperlink"/>
            <w:vertAlign w:val="superscript"/>
          </w:rPr>
          <w:t xml:space="preserve">1315</w:t>
        </w:r>
      </w:hyperlink>
      <w:r>
        <w:rPr>
          <w:vertAlign w:val="superscript"/>
        </w:rPr>
        <w:t xml:space="preserve">]</w:t>
      </w:r>
      <w:r>
        <w:t xml:space="preserve">。这些结果不足以把现有神经反馈作为普遍有效的单独ADHD治疗。若新设备宣称更好，需要其自身独立试验，不能仅凭技术更新继承疗效。</w:t>
      </w:r>
    </w:p>
    <w:bookmarkEnd w:id="1964"/>
    <w:bookmarkStart w:id="1965" w:name="sec-126-8"/>
    <w:p>
      <w:pPr>
        <w:pStyle w:val="Heading3"/>
      </w:pPr>
      <w:r>
        <w:t xml:space="preserve">126.8　诊断偏差与漏诊</w:t>
      </w:r>
    </w:p>
    <w:p>
      <w:pPr>
        <w:pStyle w:val="FirstParagraph"/>
      </w:pPr>
      <w:r>
        <w:t xml:space="preserve">外显活动多的人更容易引起注意，主要表现为内在分心或组织困难的人可能较晚被识别。文化、学校要求、性别期待、家庭资源和医疗可及性也影响求助与评估。诊断率变化可能同时反映真实风险、识别改善、标准变化与服务差异，不能由单一趋势推出唯一原因。</w:t>
      </w:r>
    </w:p>
    <w:p>
      <w:pPr>
        <w:pStyle w:val="BodyText"/>
      </w:pPr>
      <w:r>
        <w:t xml:space="preserve">同样，增加识别不保证每个诊断都准确。网络短视频和自测可能帮助人们提出问题，也可能让常见体验被过度病理化。合理路径是把自我观察带入完整评估，保留可能解释。没有获得诊断的人仍可需要支持，诊断成立的人也需要避免被一个标签概括全部特征。</w:t>
      </w:r>
    </w:p>
    <w:bookmarkEnd w:id="1965"/>
    <w:bookmarkStart w:id="1966" w:name="sec-126-9"/>
    <w:p>
      <w:pPr>
        <w:pStyle w:val="Heading3"/>
      </w:pPr>
      <w:r>
        <w:t xml:space="preserve">126.9　合并问题与因果方向</w:t>
      </w:r>
    </w:p>
    <w:p>
      <w:pPr>
        <w:pStyle w:val="FirstParagraph"/>
      </w:pPr>
      <w:r>
        <w:t xml:space="preserve">ADHD可与学习困难、焦虑、抑郁、睡眠问题或其他发育差异并存。临床上需要确定每个问题的时间顺序与功能贡献。某项症状在治疗一个合并问题后改善，可能提示共同或间接路径，仍不能自动否定其余诊断。治疗计划应依据最主要风险和需求安排。</w:t>
      </w:r>
    </w:p>
    <w:p>
      <w:pPr>
        <w:pStyle w:val="BodyText"/>
      </w:pPr>
      <w:r>
        <w:t xml:space="preserve">例如，持续睡眠不足会降低注意表现，长期任务失败又可能增加焦虑，焦虑进一步干扰睡眠。这个循环可以与ADHD并存，也可能在没有ADHD时发生。分析循环需要逐项观察，不能只选其中一个环节当作全部病因。机制解释的价值在于提出可改变、可验证的环节。</w:t>
      </w:r>
    </w:p>
    <w:bookmarkEnd w:id="1966"/>
    <w:bookmarkStart w:id="1967" w:name="sec-126-10"/>
    <w:p>
      <w:pPr>
        <w:pStyle w:val="Heading3"/>
      </w:pPr>
      <w:r>
        <w:t xml:space="preserve">126.10　调节困难可以表现为不稳定</w:t>
      </w:r>
    </w:p>
    <w:p>
      <w:pPr>
        <w:pStyle w:val="FirstParagraph"/>
      </w:pPr>
      <w:r>
        <w:t xml:space="preserve">反应时数据可以帮助说明平均值如何掩盖不稳定。假设两个人平均反应时间相同，甲每次都接近平均，乙大多数较快、偶尔出现很长停顿。两人的平均数相似，日常体验却可能不同。研究者可以分析分布尾部、错误模式和时间波动，以了解持续注意、状态调节和任务策略。任何单一模式都不能作为 ADHD 特有的诊断标志。</w:t>
      </w:r>
    </w:p>
    <w:p>
      <w:pPr>
        <w:pStyle w:val="BodyText"/>
      </w:pPr>
      <w:r>
        <w:t xml:space="preserve">这种不稳定还会影响自我评价。偶尔完成得很好，可能让本人或周围人认为以后每次都应当同样成功；反复波动则容易被解释成态度问题。更精确的观察会记录什么条件下困难加重、什么支持能够改善，以及成功是否需要过高代价。理解情境依赖能够减少道德归因，同时保留对行为后果和支持策略的认真处理。</w:t>
      </w:r>
    </w:p>
    <w:bookmarkEnd w:id="1967"/>
    <w:bookmarkStart w:id="1968" w:name="sec-126-11"/>
    <w:p>
      <w:pPr>
        <w:pStyle w:val="Heading3"/>
      </w:pPr>
      <w:r>
        <w:t xml:space="preserve">126.11　奖励学习与时间组织</w:t>
      </w:r>
    </w:p>
    <w:p>
      <w:pPr>
        <w:pStyle w:val="FirstParagraph"/>
      </w:pPr>
      <w:r>
        <w:t xml:space="preserve">目标导向行为需要把当前动作与未来结果连接起来。结果延迟、任务步骤多或反馈模糊时，维持目标可能更加困难。把任务拆成可见步骤、缩短反馈间隔和外化时间信息，在机制上可以减轻工作记忆与自我监控负担；是否适合某个人，应根据实际结果调整。</w:t>
      </w:r>
    </w:p>
    <w:p>
      <w:pPr>
        <w:pStyle w:val="BodyText"/>
      </w:pPr>
      <w:r>
        <w:t xml:space="preserve">Aster 等人在2024年的小样本研究中比较17名 ADHD 青年成人与17名对照，采用概率反转学习和 fMRI，发现选择切换及强化敏感性等模型参数存在差异。某些行为在稳定环境中不利，在规则改变后可能产生不同效果。作者明确指出样本较小、结果初步；模型没有直接测量多巴胺浓度，不能据此把所有 ADHD 解释成同一种递质缺乏</w:t>
      </w:r>
      <w:r>
        <w:rPr>
          <w:vertAlign w:val="superscript"/>
        </w:rPr>
        <w:t xml:space="preserve">[</w:t>
      </w:r>
      <w:hyperlink w:anchor="ref-1316">
        <w:r>
          <w:rPr>
            <w:rStyle w:val="Hyperlink"/>
            <w:vertAlign w:val="superscript"/>
          </w:rPr>
          <w:t xml:space="preserve">1316</w:t>
        </w:r>
      </w:hyperlink>
      <w:r>
        <w:rPr>
          <w:vertAlign w:val="superscript"/>
        </w:rPr>
        <w:t xml:space="preserve">]</w:t>
      </w:r>
      <w:r>
        <w:t xml:space="preserve">。</w:t>
      </w:r>
    </w:p>
    <w:p>
      <w:pPr>
        <w:pStyle w:val="BodyText"/>
      </w:pPr>
      <w:r>
        <w:t xml:space="preserve">学习模型中的参数是对行为的压缩描述。较高学习率可能表示更重视最近反馈，也可能在模型不完整时吸收了其他过程。研究需要检查参数能否稳定恢复、不同模型是否具有相近解释，以及参数与真实生活是否相关。把一个拟合参数直接转成个人的心理本质，会超出模型用途。</w:t>
      </w:r>
    </w:p>
    <w:bookmarkEnd w:id="1968"/>
    <w:bookmarkStart w:id="1969" w:name="sec-126-12"/>
    <w:p>
      <w:pPr>
        <w:pStyle w:val="Heading3"/>
      </w:pPr>
      <w:r>
        <w:t xml:space="preserve">126.12　神经影像显示群体联系</w:t>
      </w:r>
    </w:p>
    <w:p>
      <w:pPr>
        <w:pStyle w:val="FirstParagraph"/>
      </w:pPr>
      <w:r>
        <w:t xml:space="preserve">ENIGMA-ADHD 的2017年合并分析纳入1713名 ADHD 参加者和1529名对照，发现部分皮层下结构存在小幅平均差异，年龄相关模式也值得关注。大样本提高了群体估计稳定性，同时组间分布仍然重叠。研究支持 ADHD 具有可研究的神经生物学联系，不能为每个人提供一张必然异常的诊断扫描</w:t>
      </w:r>
      <w:r>
        <w:rPr>
          <w:vertAlign w:val="superscript"/>
        </w:rPr>
        <w:t xml:space="preserve">[</w:t>
      </w:r>
      <w:hyperlink w:anchor="ref-1317">
        <w:r>
          <w:rPr>
            <w:rStyle w:val="Hyperlink"/>
            <w:vertAlign w:val="superscript"/>
          </w:rPr>
          <w:t xml:space="preserve">1317</w:t>
        </w:r>
      </w:hyperlink>
      <w:r>
        <w:rPr>
          <w:vertAlign w:val="superscript"/>
        </w:rPr>
        <w:t xml:space="preserve">]</w:t>
      </w:r>
      <w:r>
        <w:t xml:space="preserve">。</w:t>
      </w:r>
    </w:p>
    <w:p>
      <w:pPr>
        <w:pStyle w:val="BodyText"/>
      </w:pPr>
      <w:r>
        <w:t xml:space="preserve">不同患者可能通过不同机制达到相近症状。部分人更突出持续注意，部分人更突出冲动控制、时间管理或情绪调节，也可能同时存在学习、睡眠和其他问题。一个平均脑图会整合这些差异。若未来想建立生物亚型，需要证明亚型在独立样本中稳定，并能改善预后或治疗选择。</w:t>
      </w:r>
    </w:p>
    <w:p>
      <w:pPr>
        <w:pStyle w:val="BodyText"/>
      </w:pPr>
      <w:r>
        <w:t xml:space="preserve">影像阴性也不等于症状不真实。常规影像主要擅长识别某些结构异常，其分辨率和测量对象与复杂调节功能不同。诊断标准中的行为和功能资料具有自己的证据价值，不能因为没有单一病灶就被取消。</w:t>
      </w:r>
    </w:p>
    <w:bookmarkEnd w:id="1969"/>
    <w:bookmarkStart w:id="1970" w:name="sec-126-13"/>
    <w:p>
      <w:pPr>
        <w:pStyle w:val="Heading3"/>
      </w:pPr>
      <w:r>
        <w:t xml:space="preserve">126.13　鉴别诊断围绕时间与情境</w:t>
      </w:r>
    </w:p>
    <w:p>
      <w:pPr>
        <w:pStyle w:val="FirstParagraph"/>
      </w:pPr>
      <w:r>
        <w:t xml:space="preserve">时间进程具有辨别力。长期从儿童期存在的组织困难，与近期在睡眠减少或情绪发作后出现的注意下降，提出不同问题。明显分段的情绪和活动变化，需要与持续性特征区分。临床判断会综合病程和功能，不能只根据一个热门症状清单作结论。</w:t>
      </w:r>
    </w:p>
    <w:p>
      <w:pPr>
        <w:pStyle w:val="BodyText"/>
      </w:pPr>
      <w:r>
        <w:t xml:space="preserve">任务特异性也有信息。如果困难主要出现在阅读，而其他同等注意要求的活动相对良好，需要考虑语言和学习过程；如果听不清课堂内容，表面上也可能像走神；如果疼痛、焦虑或睡眠问题持续占用资源，注意表现也可能下降。这些情况不排除 ADHD 共存，评估的目标是识别全部重要贡献。</w:t>
      </w:r>
    </w:p>
    <w:bookmarkEnd w:id="1970"/>
    <w:bookmarkStart w:id="1971" w:name="sec-126-14"/>
    <w:p>
      <w:pPr>
        <w:pStyle w:val="Heading3"/>
      </w:pPr>
      <w:r>
        <w:t xml:space="preserve">126.14　成人识别与童年资料</w:t>
      </w:r>
    </w:p>
    <w:p>
      <w:pPr>
        <w:pStyle w:val="FirstParagraph"/>
      </w:pPr>
      <w:r>
        <w:t xml:space="preserve">成人生活要求增加后，一些长期困难才变得明显。外部结构减少、任务并行和家庭责任增加，可以使过去被支持条件掩盖的问题暴露。晚被识别与症状真正晚出现属于不同概念。回顾童年时，学校记录、家人信息和个人经历可以帮助重建轨迹，同时需要承认记忆不完整。</w:t>
      </w:r>
    </w:p>
    <w:p>
      <w:pPr>
        <w:pStyle w:val="BodyText"/>
      </w:pPr>
      <w:r>
        <w:t xml:space="preserve">高成绩也不能自动排除功能困难。有人通过大量时间、睡眠牺牲或家人协助维持成绩；另一些人的困难主要出现在家庭、财务或关系中。评估需要看成本和多个生活领域，避免把单一外部成就当作全部功能的证明。</w:t>
      </w:r>
    </w:p>
    <w:p>
      <w:pPr>
        <w:pStyle w:val="BodyText"/>
      </w:pPr>
      <w:r>
        <w:t xml:space="preserve">相反，成年后突然出现的注意问题也不能简单归入 ADHD。新近身体疾病、情绪变化、药物、物质使用和生活压力都需要考虑。一个诊断标签应当提高解释与支持的精度，不能遮蔽其他可处理问题。</w:t>
      </w:r>
    </w:p>
    <w:bookmarkEnd w:id="1971"/>
    <w:bookmarkStart w:id="1972" w:name="sec-126-15"/>
    <w:p>
      <w:pPr>
        <w:pStyle w:val="Heading3"/>
      </w:pPr>
      <w:r>
        <w:t xml:space="preserve">126.15　治疗反应包含多个维度</w:t>
      </w:r>
    </w:p>
    <w:p>
      <w:pPr>
        <w:pStyle w:val="FirstParagraph"/>
      </w:pPr>
      <w:r>
        <w:t xml:space="preserve">药物可能改善某些核心症状，同时对计划技能、学习积累和生活环境的作用有限。症状下降后，人仍可能需要重新建立习惯、修复关系或弥补长期任务积压。把药物和技能支持当作彼此竞争的全部方案，容易遗漏不同干预针对的环节。</w:t>
      </w:r>
    </w:p>
    <w:p>
      <w:pPr>
        <w:pStyle w:val="BodyText"/>
      </w:pPr>
      <w:r>
        <w:t xml:space="preserve">监测也不能只问“注意好了没有”。食欲、睡眠、情绪、身体反应、日常功能和个人感受都可能影响净收益。儿童和成人的评估重点可以不同，合并疾病也会改变风险。具体药物选择和调整需要专业评估，本章不提供个人剂量或自行试药方案。</w:t>
      </w:r>
    </w:p>
    <w:p>
      <w:pPr>
        <w:pStyle w:val="BodyText"/>
      </w:pPr>
      <w:r>
        <w:t xml:space="preserve">短期核心症状效果与长期学业、工作和生活轨迹之间存在多个中间环节。长期研究需要考虑持续治疗、环境变化、依从性和选择偏差。药物有效不能证明全部症状由某种递质单一不足造成；某种药无效也不能独自否定诊断。</w:t>
      </w:r>
    </w:p>
    <w:bookmarkEnd w:id="1972"/>
    <w:bookmarkStart w:id="1973" w:name="sec-126-16"/>
    <w:p>
      <w:pPr>
        <w:pStyle w:val="Heading3"/>
      </w:pPr>
      <w:r>
        <w:t xml:space="preserve">126.16　环境支持如何减少执行负担</w:t>
      </w:r>
    </w:p>
    <w:p>
      <w:pPr>
        <w:pStyle w:val="FirstParagraph"/>
      </w:pPr>
      <w:r>
        <w:t xml:space="preserve">支持需要与实际困难匹配。对时间估计困难者，单纯增加提醒次数可能产生噪声；对启动困难者，明确第一步可能更有帮助；对材料管理困难者，固定位置可能比抽象鼓励更具体。这些是功能分析的例子，实际方案应根据个人需求和环境测试。</w:t>
      </w:r>
    </w:p>
    <w:p>
      <w:pPr>
        <w:pStyle w:val="BodyText"/>
      </w:pPr>
      <w:r>
        <w:t xml:space="preserve">支持也应避免把监督无限增加。过度提醒可能引发冲突或依赖，完全撤除支持又可能使负担骤增。逐步调整帮助、共同制定可行目标和记录实际效果，可以使支持更符合自主性。</w:t>
      </w:r>
    </w:p>
    <w:bookmarkEnd w:id="1973"/>
    <w:bookmarkStart w:id="1974" w:name="sec-126-17"/>
    <w:p>
      <w:pPr>
        <w:pStyle w:val="Heading3"/>
      </w:pPr>
      <w:r>
        <w:t xml:space="preserve">126.17　测量改变时要识别观察者差异</w:t>
      </w:r>
    </w:p>
    <w:p>
      <w:pPr>
        <w:pStyle w:val="FirstParagraph"/>
      </w:pPr>
      <w:r>
        <w:t xml:space="preserve">家长、教师、伴侣和本人看到的情境不同，报告不一致并不必然表示有人不诚实。课堂结构、家庭疲劳、工作要求和兴趣活动可以产生不同表现。研究和临床应把差异作为信息，了解何种环境放大或减轻困难。</w:t>
      </w:r>
    </w:p>
    <w:p>
      <w:pPr>
        <w:pStyle w:val="BodyText"/>
      </w:pPr>
      <w:r>
        <w:t xml:space="preserve">观察者知道治疗内容时，期待可能影响评分；本人也可能感受到真实变化而外部观察尚未捕捉。较完整的评估可以结合多个来源、明确行为目标和适当客观资料。客观任务同样有局限，其短时表现未必代表一整天的生活。</w:t>
      </w:r>
    </w:p>
    <w:bookmarkEnd w:id="1974"/>
    <w:bookmarkStart w:id="1975" w:name="sec-126-18"/>
    <w:p>
      <w:pPr>
        <w:pStyle w:val="Heading3"/>
      </w:pPr>
      <w:r>
        <w:t xml:space="preserve">126.18　假设案例的判断</w:t>
      </w:r>
    </w:p>
    <w:p>
      <w:pPr>
        <w:pStyle w:val="FirstParagraph"/>
      </w:pPr>
      <w:r>
        <w:t xml:space="preserve">一名学生上课分心，玩游戏却高度投入。这个信息不足以诊断，也不足以排除ADHD。还需知道儿童期表现、其他场景、睡眠、学习难度、情绪、听力和功能后果。另一个人换工作后突然无法集中，若之前长期没有类似困难，应更认真检查压力、睡眠、身体和情绪变化；起病时间能改变鉴别方向。</w:t>
      </w:r>
    </w:p>
    <w:p>
      <w:pPr>
        <w:pStyle w:val="BodyText"/>
      </w:pPr>
      <w:r>
        <w:t xml:space="preserve">一项训练研究只让家长评分，家长知道孩子得到昂贵治疗，报告明显改善。结果可以作为线索，证据强度受到期待和测量偏倚限制。加入独立教师评价、标准化行为任务与真实生活目标，会帮助判断改善是否可靠且有意义。任何单一指标都应放进完整证据中。</w:t>
      </w:r>
    </w:p>
    <w:p>
      <w:pPr>
        <w:pStyle w:val="BodyText"/>
      </w:pPr>
      <w:r>
        <w:t xml:space="preserve">ADHD的科学理解承认持续困难、发展差异和可干预性，也保留诊断不确定性与个体异质性。评价一个人应同时看能力、障碍、环境和目标，品行标签无法替代这些工作。</w:t>
      </w:r>
    </w:p>
    <w:bookmarkEnd w:id="1975"/>
    <w:bookmarkEnd w:id="1976"/>
    <w:bookmarkStart w:id="1995" w:name="ch-127"/>
    <w:p>
      <w:pPr>
        <w:pStyle w:val="Heading2"/>
      </w:pPr>
      <w:r>
        <w:t xml:space="preserve">第127章　疫苗、自闭症与病因推断</w:t>
      </w:r>
    </w:p>
    <w:p>
      <w:pPr>
        <w:pStyle w:val="CalloutJudgment"/>
      </w:pPr>
      <w:r>
        <w:rPr>
          <w:bCs/>
          <w:b/>
        </w:rPr>
        <w:t xml:space="preserve">核心判断　高质量综合证据反对疫苗导致自闭症的公共说法，置信度高；把自闭症归因于父母缺爱同样缺乏依据。</w:t>
      </w:r>
      <w:r>
        <w:t xml:space="preserve">接种与特征被发现的时间接近，不能单独建立因果。支持家庭能够改善生活，这一事实也无法反推家长造成了自闭症。</w:t>
      </w:r>
    </w:p>
    <w:bookmarkStart w:id="1977" w:name="sec-127-1"/>
    <w:p>
      <w:pPr>
        <w:pStyle w:val="Heading3"/>
      </w:pPr>
      <w:r>
        <w:t xml:space="preserve">127.1　时间先后与反事实</w:t>
      </w:r>
    </w:p>
    <w:p>
      <w:pPr>
        <w:pStyle w:val="FirstParagraph"/>
      </w:pPr>
      <w:r>
        <w:t xml:space="preserve">一个因果问题需要比较接种和不接种条件下的结果。对同一个孩子，这两个历史无法同时观察，因此研究利用可比人群和设计来估计差异。家长观察到接种后出现变化，可以成为研究问题的起点，无法提供未接种时的反事实。</w:t>
      </w:r>
    </w:p>
    <w:p>
      <w:pPr>
        <w:pStyle w:val="BodyText"/>
      </w:pPr>
      <w:r>
        <w:t xml:space="preserve">儿童发展中某些特征逐渐可识别，医疗接触也增加识别机会。若疫苗接种、发育观察和诊断都集中在某些年龄，时间聚集可以在没有因果作用时出现。研究应预先定义风险时间窗，比较相应基线风险，并控制年龄与医疗利用等因素。事后不断改变时间窗，会增加偶然发现。</w:t>
      </w:r>
    </w:p>
    <w:bookmarkEnd w:id="1977"/>
    <w:bookmarkStart w:id="1978" w:name="sec-127-2"/>
    <w:p>
      <w:pPr>
        <w:pStyle w:val="Heading3"/>
      </w:pPr>
      <w:r>
        <w:t xml:space="preserve">127.2　大型登记队列提供的约束</w:t>
      </w:r>
    </w:p>
    <w:p>
      <w:pPr>
        <w:pStyle w:val="FirstParagraph"/>
      </w:pPr>
      <w:r>
        <w:t xml:space="preserve">Hviid等2019年追踪657461名丹麦儿童，使用登记资料比较MMR接种状态与自闭症诊断。校正危险比为0.93，95%置信区间0.85至1.01，未见总体风险增加；亚组和接种后时间分析也未出现一致增加信号</w:t>
      </w:r>
      <w:r>
        <w:rPr>
          <w:vertAlign w:val="superscript"/>
        </w:rPr>
        <w:t xml:space="preserve">[</w:t>
      </w:r>
      <w:hyperlink w:anchor="ref-1318">
        <w:r>
          <w:rPr>
            <w:rStyle w:val="Hyperlink"/>
            <w:vertAlign w:val="superscript"/>
          </w:rPr>
          <w:t xml:space="preserve">1318</w:t>
        </w:r>
      </w:hyperlink>
      <w:r>
        <w:rPr>
          <w:vertAlign w:val="superscript"/>
        </w:rPr>
        <w:t xml:space="preserve">]</w:t>
      </w:r>
      <w:r>
        <w:t xml:space="preserve">。危险比低于1的点估计不能解释为疫苗预防自闭症，区间与剩余混杂需要保留。</w:t>
      </w:r>
    </w:p>
    <w:p>
      <w:pPr>
        <w:pStyle w:val="BodyText"/>
      </w:pPr>
      <w:r>
        <w:t xml:space="preserve">该研究具有大样本和相对完整登记的优势，同时使用临床诊断记录，未逐例复核全部病历。观察性设计仍可能有未测混杂。其可信度来自与其他独立研究的一致性和对具体假说的检验，无法仅由“样本大”三个字保证。对于人数少的亚组，估计区间更宽，不能借用总体精度。</w:t>
      </w:r>
    </w:p>
    <w:bookmarkEnd w:id="1978"/>
    <w:bookmarkStart w:id="1979" w:name="sec-127-3"/>
    <w:p>
      <w:pPr>
        <w:pStyle w:val="Heading3"/>
      </w:pPr>
      <w:r>
        <w:t xml:space="preserve">127.3　2025年综合评估</w:t>
      </w:r>
    </w:p>
    <w:p>
      <w:pPr>
        <w:pStyle w:val="FirstParagraph"/>
      </w:pPr>
      <w:r>
        <w:t xml:space="preserve">WHO疫苗安全咨询委员会在2025年评估更新综述，按研究质量和偏倚风险分配权重，重申现有高质量证据不支持疫苗及相关成分导致自闭症</w:t>
      </w:r>
      <w:r>
        <w:rPr>
          <w:vertAlign w:val="superscript"/>
        </w:rPr>
        <w:t xml:space="preserve">[</w:t>
      </w:r>
      <w:hyperlink w:anchor="ref-1319">
        <w:r>
          <w:rPr>
            <w:rStyle w:val="Hyperlink"/>
            <w:vertAlign w:val="superscript"/>
          </w:rPr>
          <w:t xml:space="preserve">1319</w:t>
        </w:r>
      </w:hyperlink>
      <w:r>
        <w:rPr>
          <w:vertAlign w:val="superscript"/>
        </w:rPr>
        <w:t xml:space="preserve">]</w:t>
      </w:r>
      <w:r>
        <w:t xml:space="preserve">。综合判断包含多国与多种设计，并对有缺陷的阳性研究作方法审查。论文数量不能直接投票，独立性、设计与偏倚才决定证据权重。</w:t>
      </w:r>
    </w:p>
    <w:p>
      <w:pPr>
        <w:pStyle w:val="BodyText"/>
      </w:pPr>
      <w:r>
        <w:t xml:space="preserve">当一些论文来自同一研究团队、使用重叠资料或相似缺陷时，它们提供的独立信息少于表面篇数。生态研究比较地区接种率与诊断率，容易受到诊断服务、收入、人口结构与时间趋势影响。群体层面的相关无法自动落到个人因果，尤其当接种与诊断都有长期变化时。</w:t>
      </w:r>
    </w:p>
    <w:bookmarkEnd w:id="1979"/>
    <w:bookmarkStart w:id="1980" w:name="sec-127-4"/>
    <w:p>
      <w:pPr>
        <w:pStyle w:val="Heading3"/>
      </w:pPr>
      <w:r>
        <w:t xml:space="preserve">127.4　如何检验高风险亚组主张</w:t>
      </w:r>
    </w:p>
    <w:p>
      <w:pPr>
        <w:pStyle w:val="FirstParagraph"/>
      </w:pPr>
      <w:r>
        <w:t xml:space="preserve">当总体研究不支持关联时，有人可能提出疫苗只影响某类易感儿童。这类亚组假说可以研究，但应在研究前明确易感定义、机制预测、预期效应和风险时间，随后需要足够样本检验交互作用，并在独立资料中重复。家庭史、已有发育特点和接种时机等因素可能影响是否接种，也可能影响诊断机会，亚组研究需要处理这些选择过程；只在确诊儿童中比较某个暴露比例，缺少适当对照和完整风险结构，不能据此推断暴露导致诊断。总体阴性后临时挑选许多亚组，容易产生偶然差异。每次零结果后再更换亚组或时间窗口，或把目标缩小到无法检测的群体，会使假说缺乏可检验性。</w:t>
      </w:r>
    </w:p>
    <w:p>
      <w:pPr>
        <w:pStyle w:val="BodyText"/>
      </w:pPr>
      <w:r>
        <w:t xml:space="preserve">不能用“科学不能证明绝对零”来维持任意强主张。实际决策依据当前证据对效应范围的约束，以及不同解释能否预测数据。一个有力的因果主张应当提出可能使其被否定的结果：例如在明确界定的风险亚组中，预设时间窗口内的大样本比较持续显示风险不增加，就会对假说形成约束；不断诉诸无法测量的“特殊体质”，无法替代可检验机制。已有研究足以反对把疫苗作为自闭症病因的普遍宣传，同时疫苗的其他具体风险仍可按各自证据评估。一个错误病因假说被否定，不意味着对所有安全问题停止研究。</w:t>
      </w:r>
    </w:p>
    <w:bookmarkEnd w:id="1980"/>
    <w:bookmarkStart w:id="1981" w:name="sec-127-5"/>
    <w:p>
      <w:pPr>
        <w:pStyle w:val="Heading3"/>
      </w:pPr>
      <w:r>
        <w:t xml:space="preserve">127.5　不良事件与因果不良反应</w:t>
      </w:r>
    </w:p>
    <w:p>
      <w:pPr>
        <w:pStyle w:val="FirstParagraph"/>
      </w:pPr>
      <w:r>
        <w:t xml:space="preserve">接种后发生的任何健康事件都可以被记录为时间相关事件，并进入适当的安全监测，其记录价值不依赖一开始就证明因果；因果不良反应则需要进一步评估，包括比较背景发生率、时间窗口和其他解释。把所有报告都当作已证实的不良反应，会高估风险；把报告全部视为无价值，也会妨碍信号发现。主动监测、登记比较和机制研究可以发现真实风险。完整安全评价应报告疾病预防收益与经证实风险，并明确分母、时间窗和人群。安全结论应针对具体事件和具体产品：自闭症假说的证据结论不应被扩展成“所有疫苗对每个人绝无任何风险”；某种疫苗与某个特定罕见事件存在联系，也不能被推广为与自闭症有关。</w:t>
      </w:r>
    </w:p>
    <w:p>
      <w:pPr>
        <w:pStyle w:val="BodyText"/>
      </w:pPr>
      <w:r>
        <w:t xml:space="preserve">风险沟通也需要区分绝对与相对指标。假设某事件从每十万人1例增加至2例，相对风险翻倍，绝对增加为每十万人1例。这只是说明统计表达的假设例子。对真实疫苗风险必须使用对应产品和人群的数据，不能拿通用数字代替。</w:t>
      </w:r>
    </w:p>
    <w:bookmarkEnd w:id="1981"/>
    <w:bookmarkStart w:id="1982" w:name="sec-127-6"/>
    <w:p>
      <w:pPr>
        <w:pStyle w:val="Heading3"/>
      </w:pPr>
      <w:r>
        <w:t xml:space="preserve">127.6　父母归罪的逻辑问题</w:t>
      </w:r>
    </w:p>
    <w:p>
      <w:pPr>
        <w:pStyle w:val="FirstParagraph"/>
      </w:pPr>
      <w:r>
        <w:t xml:space="preserve">世界卫生组织的自闭症问答把病因理解为多种遗传与环境因素共同影响早期发展</w:t>
      </w:r>
      <w:r>
        <w:rPr>
          <w:vertAlign w:val="superscript"/>
        </w:rPr>
        <w:t xml:space="preserve">[</w:t>
      </w:r>
      <w:hyperlink w:anchor="ref-1320">
        <w:r>
          <w:rPr>
            <w:rStyle w:val="Hyperlink"/>
            <w:vertAlign w:val="superscript"/>
          </w:rPr>
          <w:t xml:space="preserve">1320</w:t>
        </w:r>
      </w:hyperlink>
      <w:r>
        <w:rPr>
          <w:vertAlign w:val="superscript"/>
        </w:rPr>
        <w:t xml:space="preserve">]</w:t>
      </w:r>
      <w:r>
        <w:t xml:space="preserve">。把自闭症归因于父母缺爱或教养不当，缺乏证据支持。家长在照顾高需求孩子时可能出现疲惫、焦虑或互动变化，单凭观察到这些现象，无法判断它们是原因还是结果；要回答因果问题，研究需要时间顺序、比较与替代解释。</w:t>
      </w:r>
    </w:p>
    <w:p>
      <w:pPr>
        <w:pStyle w:val="BodyText"/>
      </w:pPr>
      <w:r>
        <w:t xml:space="preserve">家庭支持可以改善沟通、日常安排和参与机会。一个干预作用于家庭环境并有效，只能说明家庭环境是可利用的支持环节。它无法证明原先自闭症由家庭造成。这个原则也适用于药物：干预某路径有效，不能直接确定疾病最初来自该路径的缺陷。</w:t>
      </w:r>
    </w:p>
    <w:bookmarkEnd w:id="1982"/>
    <w:bookmarkStart w:id="1983" w:name="sec-127-7"/>
    <w:p>
      <w:pPr>
        <w:pStyle w:val="Heading3"/>
      </w:pPr>
      <w:r>
        <w:t xml:space="preserve">127.7　环境因素应怎样理解</w:t>
      </w:r>
    </w:p>
    <w:p>
      <w:pPr>
        <w:pStyle w:val="FirstParagraph"/>
      </w:pPr>
      <w:r>
        <w:t xml:space="preserve">遗传与环境共同参与发展，不意味着所有被讨论的环境暴露都已经建立因果。观察研究可能发现孕期疾病、药物、年龄或污染与风险相关，随后还需处理适应证混杂、共同遗传因素和社会条件。因果强度因具体暴露而异，不能把“环境参与”当成支持任意污染物或生活方式归因的理由。</w:t>
      </w:r>
    </w:p>
    <w:p>
      <w:pPr>
        <w:pStyle w:val="BodyText"/>
      </w:pPr>
      <w:r>
        <w:t xml:space="preserve">孕期药物研究尤其容易受到疾病本身影响。例如，用药者可能具有与未用药者不同的基础疾病。比较结果需要考虑疾病严重度、替代治疗和停药风险。本书对关联的讨论不能转化为个人自行停药的指令。每个实际治疗决定需要对应的母体与胎儿风险评估。</w:t>
      </w:r>
    </w:p>
    <w:bookmarkEnd w:id="1983"/>
    <w:bookmarkStart w:id="1984" w:name="sec-127-8"/>
    <w:p>
      <w:pPr>
        <w:pStyle w:val="Heading3"/>
      </w:pPr>
      <w:r>
        <w:t xml:space="preserve">127.8　自闭症的异质性</w:t>
      </w:r>
    </w:p>
    <w:p>
      <w:pPr>
        <w:pStyle w:val="FirstParagraph"/>
      </w:pPr>
      <w:r>
        <w:t xml:space="preserve">自闭症人士在语言、认知、感觉、日常适应与支持需求上差异很大，随时间也可能变化。共同诊断标准便于研究与服务，但不能说明全部人具有同一种微观机制，一个统一病因叙事通常也无法解释全部异质性。研究应细分可测问题，同时避免把临时亚型说成固定本质；未来的遗传、细胞和纵向研究可能改善亚型理解，亚型只有在能够稳定预测功能、需要或干预反应时才具有明确临床价值。诊断的用途是组织支持与研究，不能代替对个人的了解。</w:t>
      </w:r>
    </w:p>
    <w:bookmarkEnd w:id="1984"/>
    <w:bookmarkStart w:id="1985" w:name="sec-127-9"/>
    <w:p>
      <w:pPr>
        <w:pStyle w:val="Heading3"/>
      </w:pPr>
      <w:r>
        <w:t xml:space="preserve">127.9　支持需求与病因研究的关系</w:t>
      </w:r>
    </w:p>
    <w:p>
      <w:pPr>
        <w:pStyle w:val="FirstParagraph"/>
      </w:pPr>
      <w:r>
        <w:t xml:space="preserve">寻找机制有长期科学价值，家庭眼前的沟通、睡眠、疼痛、教育和安全需求也需要及时支持。支持不必等待一个最终病因答案。反复追逐未经证实的归因或清除方案，可能耗费资源并延误有效帮助。评价干预时应看具体目标和试验证据。</w:t>
      </w:r>
    </w:p>
    <w:p>
      <w:pPr>
        <w:pStyle w:val="BodyText"/>
      </w:pPr>
      <w:r>
        <w:t xml:space="preserve">所谓排毒、螯合、极端限制饮食或免疫疗法等主张，需要相应适应证与临床证据；若声称能够逆转自闭症，还需要具体的疗效与风险评价。家庭见证、某个检测值异常或某种机制故事，都不能独自证明这类方法适合自闭症核心特征。治疗合并疾病与改变自闭症特征具有不同目标，宣传应明确区分。</w:t>
      </w:r>
    </w:p>
    <w:bookmarkEnd w:id="1985"/>
    <w:bookmarkStart w:id="1986" w:name="sec-127-10"/>
    <w:p>
      <w:pPr>
        <w:pStyle w:val="Heading3"/>
      </w:pPr>
      <w:r>
        <w:t xml:space="preserve">127.10　发育特征出现的时间不等于病因起点</w:t>
      </w:r>
    </w:p>
    <w:p>
      <w:pPr>
        <w:pStyle w:val="FirstParagraph"/>
      </w:pPr>
      <w:r>
        <w:t xml:space="preserve">许多发育能力需要随着年龄达到足够复杂程度，差异才容易被观察。一个孩子在更高社交或语言要求出现后表现出困难，不意味着相关神经发展过程恰好在那一天才开始。识别时间、症状明显时间和生物过程起始时间需要分别记录。</w:t>
      </w:r>
    </w:p>
    <w:p>
      <w:pPr>
        <w:pStyle w:val="BodyText"/>
      </w:pPr>
      <w:r>
        <w:t xml:space="preserve">儿童常在同一年龄阶段经历疫苗接种、语言变化、饮食转换、感染和生活环境改变。若某个发育差异首次被家人注意到，邻近时间的事件容易成为解释焦点。时间联系值得认真记录，但病因判断仍需要比较同年龄、不同暴露条件下的风险和发展轨迹。</w:t>
      </w:r>
    </w:p>
    <w:p>
      <w:pPr>
        <w:pStyle w:val="BodyText"/>
      </w:pPr>
      <w:r>
        <w:t xml:space="preserve">一部分儿童会出现已获得技能减少或发展速度改变的情况。这类发育倒退需要仔细评估，不能被笼统归因于某一次接种，也不能因为疫苗与自闭症的因果联系缺乏支持，就忽略真实变化或家长的观察。描述时应区分语言表达、社会交流、动作、日常适应和其他能力，并确认变化发生的时间、速度与持续性；笼统说孩子突然变了，容易把多种过程合在一起。临床需要结合发展史，了解是否伴随其他神经或身体表现，并保留听力、神经系统、睡眠及其他发展相关原因。儿童已经具有某个诊断，也不意味着之后所有能力变化都应自动归入该诊断。尊重家庭观察与严格判断因果能够同时做到：前者帮助收集可靠信息，后者需要研究证据</w:t>
      </w:r>
      <w:r>
        <w:rPr>
          <w:vertAlign w:val="superscript"/>
        </w:rPr>
        <w:t xml:space="preserve">[</w:t>
      </w:r>
      <w:hyperlink w:anchor="ref-1320">
        <w:r>
          <w:rPr>
            <w:rStyle w:val="Hyperlink"/>
            <w:vertAlign w:val="superscript"/>
          </w:rPr>
          <w:t xml:space="preserve">1320</w:t>
        </w:r>
      </w:hyperlink>
      <w:r>
        <w:rPr>
          <w:vertAlign w:val="superscript"/>
        </w:rPr>
        <w:t xml:space="preserve">,</w:t>
      </w:r>
      <w:hyperlink w:anchor="ref-1321">
        <w:r>
          <w:rPr>
            <w:rStyle w:val="Hyperlink"/>
            <w:vertAlign w:val="superscript"/>
          </w:rPr>
          <w:t xml:space="preserve">1321</w:t>
        </w:r>
      </w:hyperlink>
      <w:r>
        <w:rPr>
          <w:vertAlign w:val="superscript"/>
        </w:rPr>
        <w:t xml:space="preserve">]</w:t>
      </w:r>
      <w:r>
        <w:t xml:space="preserve">。</w:t>
      </w:r>
    </w:p>
    <w:bookmarkEnd w:id="1986"/>
    <w:bookmarkStart w:id="1987" w:name="sec-127-11"/>
    <w:p>
      <w:pPr>
        <w:pStyle w:val="Heading3"/>
      </w:pPr>
      <w:r>
        <w:t xml:space="preserve">127.11　遗传发现指向多条发展路径</w:t>
      </w:r>
    </w:p>
    <w:p>
      <w:pPr>
        <w:pStyle w:val="FirstParagraph"/>
      </w:pPr>
      <w:r>
        <w:t xml:space="preserve">Satterstrom 等人的2020年外显子组研究整合罕见变异和新生变异信息，识别一组与自闭症风险相关的基因，涉及基因调控和神经元交流等过程。不同基因与更广泛发育困难的关系也不同。结果支持神经发育路径的多样性，不能把所有自闭症归结为一个基因、一个脑区或单一兴奋抑制比值</w:t>
      </w:r>
      <w:r>
        <w:rPr>
          <w:vertAlign w:val="superscript"/>
        </w:rPr>
        <w:t xml:space="preserve">[</w:t>
      </w:r>
      <w:hyperlink w:anchor="ref-1322">
        <w:r>
          <w:rPr>
            <w:rStyle w:val="Hyperlink"/>
            <w:vertAlign w:val="superscript"/>
          </w:rPr>
          <w:t xml:space="preserve">1322</w:t>
        </w:r>
      </w:hyperlink>
      <w:r>
        <w:rPr>
          <w:vertAlign w:val="superscript"/>
        </w:rPr>
        <w:t xml:space="preserve">]</w:t>
      </w:r>
      <w:r>
        <w:t xml:space="preserve">。</w:t>
      </w:r>
    </w:p>
    <w:p>
      <w:pPr>
        <w:pStyle w:val="BodyText"/>
      </w:pPr>
      <w:r>
        <w:t xml:space="preserve">Bai 等人在五国约两百万人队列中估计自闭症风险的遗传和环境方差成分，得到较高的群体遗传贡献，同时不同国家估计及其区间存在差异。该结果描述特定模型中的风险变异，不能解释成一个儿童的自闭症有固定百分比由基因造成，也不能排除环境和支持对功能的影响</w:t>
      </w:r>
      <w:r>
        <w:rPr>
          <w:vertAlign w:val="superscript"/>
        </w:rPr>
        <w:t xml:space="preserve">[</w:t>
      </w:r>
      <w:hyperlink w:anchor="ref-1323">
        <w:r>
          <w:rPr>
            <w:rStyle w:val="Hyperlink"/>
            <w:vertAlign w:val="superscript"/>
          </w:rPr>
          <w:t xml:space="preserve">1323</w:t>
        </w:r>
      </w:hyperlink>
      <w:r>
        <w:rPr>
          <w:vertAlign w:val="superscript"/>
        </w:rPr>
        <w:t xml:space="preserve">]</w:t>
      </w:r>
      <w:r>
        <w:t xml:space="preserve">。</w:t>
      </w:r>
    </w:p>
    <w:p>
      <w:pPr>
        <w:pStyle w:val="BodyText"/>
      </w:pPr>
      <w:r>
        <w:t xml:space="preserve">遗传研究与疫苗研究回答不同问题。前者帮助理解风险结构，后者直接检验特定暴露假说。即使自闭症具有较高遗传贡献，仍需要对任何具体环境主张进行实证；同样，排除疫苗假说也不意味着所有非遗传因素都无关。科学的排除结论应保持针对性。</w:t>
      </w:r>
    </w:p>
    <w:bookmarkEnd w:id="1987"/>
    <w:bookmarkStart w:id="1988" w:name="sec-127-12"/>
    <w:p>
      <w:pPr>
        <w:pStyle w:val="Heading3"/>
      </w:pPr>
      <w:r>
        <w:t xml:space="preserve">127.12　免疫相关发现不能直接支持疫苗致病</w:t>
      </w:r>
    </w:p>
    <w:p>
      <w:pPr>
        <w:pStyle w:val="FirstParagraph"/>
      </w:pPr>
      <w:r>
        <w:t xml:space="preserve">自闭症研究中可能观察到免疫、炎症或细胞状态差异。这样的发现需要进一步判断是原因、结果、合并问题、药物影响还是其他共同因素。免疫系统与脑发育存在联系这一一般事实，不足以证明某种疫苗通过该系统造成自闭症。具体因果链需要具体剂量、时间、机制和人群证据。</w:t>
      </w:r>
    </w:p>
    <w:p>
      <w:pPr>
        <w:pStyle w:val="BodyText"/>
      </w:pPr>
      <w:r>
        <w:t xml:space="preserve">一个实验若向动物施加强烈免疫刺激，所得结果首先适用于该模型。刺激强度、物种、发育阶段和行为测量与人类接种情境可能不同。使用“免疫激活”这一共同名称，不能消除这些差异。模型可以提出机制假说，是否解释真实人群风险需要独立检验。</w:t>
      </w:r>
    </w:p>
    <w:p>
      <w:pPr>
        <w:pStyle w:val="BodyText"/>
      </w:pPr>
      <w:r>
        <w:t xml:space="preserve">体外细胞暴露也有浓度和暴露方式问题。某物质在高浓度培养条件下改变细胞，不意味着现实接种后脑内达到相同浓度。需要考虑吸收、分布、代谢、屏障和时间。缺少这些环节时，细胞毒性图像不能成为人类自闭症病因的直接证据。</w:t>
      </w:r>
    </w:p>
    <w:bookmarkEnd w:id="1988"/>
    <w:bookmarkStart w:id="1989" w:name="sec-127-13"/>
    <w:p>
      <w:pPr>
        <w:pStyle w:val="Heading3"/>
      </w:pPr>
      <w:r>
        <w:t xml:space="preserve">127.13　患病率变化与报告系统</w:t>
      </w:r>
    </w:p>
    <w:p>
      <w:pPr>
        <w:pStyle w:val="FirstParagraph"/>
      </w:pPr>
      <w:r>
        <w:t xml:space="preserve">Hansen 等人研究丹麦1980至1991年出生的队列，估计1994年诊断标准改变与1995年起门诊病例纳入登记这两项报告实践变化，可解释该队列观察到的自闭症患病率上升的约60%（95%置信区间33%至87%）。研究对特定国家和年代作出模型估计，这一比例不能推广为全球所有时期。它清楚说明，诊断与登记实践能够显著改变被观察到的病例数量</w:t>
      </w:r>
      <w:r>
        <w:rPr>
          <w:vertAlign w:val="superscript"/>
        </w:rPr>
        <w:t xml:space="preserve">[</w:t>
      </w:r>
      <w:hyperlink w:anchor="ref-1324">
        <w:r>
          <w:rPr>
            <w:rStyle w:val="Hyperlink"/>
            <w:vertAlign w:val="superscript"/>
          </w:rPr>
          <w:t xml:space="preserve">1324</w:t>
        </w:r>
      </w:hyperlink>
      <w:r>
        <w:rPr>
          <w:vertAlign w:val="superscript"/>
        </w:rPr>
        <w:t xml:space="preserve">]</w:t>
      </w:r>
      <w:r>
        <w:t xml:space="preserve">。</w:t>
      </w:r>
    </w:p>
    <w:p>
      <w:pPr>
        <w:pStyle w:val="BodyText"/>
      </w:pPr>
      <w:r>
        <w:t xml:space="preserve">患病率还受到识别年龄、服务可及性、社会认知和生存等因素影响。一个地区服务扩大后，过去未被识别的人可能进入统计，形成短期上升。这个变化可以代表识别改善，也可能与真实发生变化并存。研究需要把报告过程纳入模型，不能只凭曲线同步上涨寻找一个简单原因。</w:t>
      </w:r>
    </w:p>
    <w:bookmarkEnd w:id="1989"/>
    <w:bookmarkStart w:id="1990" w:name="sec-127-14"/>
    <w:p>
      <w:pPr>
        <w:pStyle w:val="Heading3"/>
      </w:pPr>
      <w:r>
        <w:t xml:space="preserve">127.14　接种后事件的安全评估</w:t>
      </w:r>
    </w:p>
    <w:p>
      <w:pPr>
        <w:pStyle w:val="FirstParagraph"/>
      </w:pPr>
      <w:r>
        <w:t xml:space="preserve">对于罕见事件，研究常需要大规模资料及严密定义。自发报告系统可能缺少可靠分母，受到媒体关注和重复报告影响；登记队列有助于提供分母，却需要确保暴露与诊断记录准确。不同工具承担不同环节，应按其能力解释。</w:t>
      </w:r>
    </w:p>
    <w:bookmarkEnd w:id="1990"/>
    <w:bookmarkStart w:id="1991" w:name="sec-127-15"/>
    <w:p>
      <w:pPr>
        <w:pStyle w:val="Heading3"/>
      </w:pPr>
      <w:r>
        <w:t xml:space="preserve">127.15　家庭支持与病因沟通</w:t>
      </w:r>
    </w:p>
    <w:p>
      <w:pPr>
        <w:pStyle w:val="FirstParagraph"/>
      </w:pPr>
      <w:r>
        <w:t xml:space="preserve">家庭往往希望知道“为什么”，这种需求包含理解、责任和未来规划。科学能够逐步解释风险与机制，却未必能为每个孩子找到单一原因。临床沟通应承认不确定性，避免用未经验证的故事填补空白，也避免把不确定性变成对父母的责备。</w:t>
      </w:r>
    </w:p>
    <w:p>
      <w:pPr>
        <w:pStyle w:val="BodyText"/>
      </w:pPr>
      <w:r>
        <w:t xml:space="preserve">沟通中也应尊重自闭症者的观点。不同人对身份语言、治疗目标和研究优先级可能有不同偏好。家长、成年人和高支持需求者的经验都应得到适当渠道表达。科学证据决定哪些因果或疗效主张受到支持，价值讨论帮助决定服务目标和资源安排。</w:t>
      </w:r>
    </w:p>
    <w:bookmarkEnd w:id="1991"/>
    <w:bookmarkStart w:id="1992" w:name="sec-127-16"/>
    <w:p>
      <w:pPr>
        <w:pStyle w:val="Heading3"/>
      </w:pPr>
      <w:r>
        <w:t xml:space="preserve">127.16　一个完整的解释应保留复杂性</w:t>
      </w:r>
    </w:p>
    <w:p>
      <w:pPr>
        <w:pStyle w:val="FirstParagraph"/>
      </w:pPr>
      <w:r>
        <w:t xml:space="preserve">疫苗与自闭症的证据判断已经具有较高确定性；自闭症完整病因仍有开放问题。一个领域存在未知，不会自动使已被大量研究削弱的假说重新获得同等可信度。合理的知识结构允许同时说清楚哪些联系缺乏支持，哪些机制值得继续研究，以及当前能够提供哪些具体帮助。</w:t>
      </w:r>
    </w:p>
    <w:bookmarkEnd w:id="1992"/>
    <w:bookmarkStart w:id="1993" w:name="sec-127-17"/>
    <w:p>
      <w:pPr>
        <w:pStyle w:val="Heading3"/>
      </w:pPr>
      <w:r>
        <w:t xml:space="preserve">127.17　病因标签与治疗标签的分离</w:t>
      </w:r>
    </w:p>
    <w:p>
      <w:pPr>
        <w:pStyle w:val="FirstParagraph"/>
      </w:pPr>
      <w:r>
        <w:t xml:space="preserve">某种合并疾病得到治疗后，睡眠、疼痛、注意或交流可能改善。这种改善具有实际价值，却不能被直接解释为自闭症原始病因已经找到。症状之间会相互影响，减轻一项负担可以释放学习和参与能力。研究应精确命名改善的结局，避免把所有积极变化统称为“治愈”。</w:t>
      </w:r>
    </w:p>
    <w:p>
      <w:pPr>
        <w:pStyle w:val="BodyText"/>
      </w:pPr>
      <w:r>
        <w:t xml:space="preserve">同样，某个遗传结果能够帮助解释一部分发育路径，也不决定全部支持方案。沟通能力、癫痫、运动和日常技能仍需要各自评估。机制与功能之间存在多个层次，完整照护需要同时关注它们。</w:t>
      </w:r>
    </w:p>
    <w:bookmarkEnd w:id="1993"/>
    <w:bookmarkStart w:id="1994" w:name="sec-127-18"/>
    <w:p>
      <w:pPr>
        <w:pStyle w:val="Heading3"/>
      </w:pPr>
      <w:r>
        <w:t xml:space="preserve">127.18　假设研究的审查</w:t>
      </w:r>
    </w:p>
    <w:p>
      <w:pPr>
        <w:pStyle w:val="FirstParagraph"/>
      </w:pPr>
      <w:r>
        <w:t xml:space="preserve">假设一个地区接种覆盖率与自闭症诊断率同时上升。至少还应检查诊断标准、服务扩展、人口迁移、教育记录和年龄构成。若两者都随年份上升，直接相关可能主要反映共同时间趋势。研究需要比较更具体的个人暴露和结局，并处理混杂。</w:t>
      </w:r>
    </w:p>
    <w:p>
      <w:pPr>
        <w:pStyle w:val="BodyText"/>
      </w:pPr>
      <w:r>
        <w:t xml:space="preserve">假设某案例在按摩或饮食改变后改善，家长据此认为原先由疫苗导致。这个过程没有比较条件，改善可以来自发展、其他干预、测量波动和期待。即使干预确实有效，其有效性仍无法证明疫苗病因。因果链中每个箭头都需要证据。</w:t>
      </w:r>
    </w:p>
    <w:p>
      <w:pPr>
        <w:pStyle w:val="BodyText"/>
      </w:pPr>
      <w:r>
        <w:t xml:space="preserve">现有证据支持明确拒绝疫苗致自闭症和父母缺爱致自闭症的普遍归因。研究与支持应聚焦可验证机制、真实功能需求以及对当事人有意义的生活改善。</w:t>
      </w:r>
    </w:p>
    <w:bookmarkEnd w:id="1994"/>
    <w:bookmarkEnd w:id="1995"/>
    <w:bookmarkStart w:id="2015" w:name="ch-128"/>
    <w:p>
      <w:pPr>
        <w:pStyle w:val="Heading2"/>
      </w:pPr>
      <w:r>
        <w:t xml:space="preserve">第128章　神经多样性、残障与支持目标</w:t>
      </w:r>
    </w:p>
    <w:p>
      <w:pPr>
        <w:pStyle w:val="CalloutJudgment"/>
      </w:pPr>
      <w:r>
        <w:rPr>
          <w:bCs/>
          <w:b/>
        </w:rPr>
        <w:t xml:space="preserve">核心判断　尊重神经差异可以与承认残障、减少痛苦和提供医疗教育支持同时成立，置信度高。</w:t>
      </w:r>
      <w:r>
        <w:t xml:space="preserve">神经多样性包含事实描述、解释框架与权利主张。不同倡议者的具体立场并不完全一致，不能用一个极端概括代表所有人。价值问题与干预疗效问题也需要分开论证。</w:t>
      </w:r>
    </w:p>
    <w:bookmarkStart w:id="1996" w:name="sec-128-1"/>
    <w:p>
      <w:pPr>
        <w:pStyle w:val="Heading3"/>
      </w:pPr>
      <w:r>
        <w:t xml:space="preserve">128.1　概念的三个层次</w:t>
      </w:r>
    </w:p>
    <w:p>
      <w:pPr>
        <w:pStyle w:val="FirstParagraph"/>
      </w:pPr>
      <w:r>
        <w:t xml:space="preserve">人群中存在神经与认知差异，是事实层面的描述。如何理解这些差异与残障的关系，是理论与概念层面的讨论。社会应提供哪些权利、支持和资源，是价值与政策问题。一个概念在不同语境中切换层次时，容易出现误解。讨论前应说明使用的是哪一层含义。</w:t>
      </w:r>
    </w:p>
    <w:p>
      <w:pPr>
        <w:pStyle w:val="BodyText"/>
      </w:pPr>
      <w:r>
        <w:t xml:space="preserve">Dwyer2022年梳理多种神经多样性路径，明确讨论个体特征与社会环境对残障的共同贡献</w:t>
      </w:r>
      <w:r>
        <w:rPr>
          <w:vertAlign w:val="superscript"/>
        </w:rPr>
        <w:t xml:space="preserve">[</w:t>
      </w:r>
      <w:hyperlink w:anchor="ref-1325">
        <w:r>
          <w:rPr>
            <w:rStyle w:val="Hyperlink"/>
            <w:vertAlign w:val="superscript"/>
          </w:rPr>
          <w:t xml:space="preserve">1325</w:t>
        </w:r>
      </w:hyperlink>
      <w:r>
        <w:rPr>
          <w:vertAlign w:val="superscript"/>
        </w:rPr>
        <w:t xml:space="preserve">]</w:t>
      </w:r>
      <w:r>
        <w:t xml:space="preserve">。这为“尊重差异必然否认个人困难”的概括提供反例。概念分析可以澄清立场，却无法独自证明某项治疗有效或无效。</w:t>
      </w:r>
    </w:p>
    <w:bookmarkEnd w:id="1996"/>
    <w:bookmarkStart w:id="1997" w:name="sec-128-2"/>
    <w:p>
      <w:pPr>
        <w:pStyle w:val="Heading3"/>
      </w:pPr>
      <w:r>
        <w:t xml:space="preserve">128.2　接受身份与改变困难</w:t>
      </w:r>
    </w:p>
    <w:p>
      <w:pPr>
        <w:pStyle w:val="FirstParagraph"/>
      </w:pPr>
      <w:r>
        <w:t xml:space="preserve">一个人可以接受自己的交流方式，同时希望减少失眠、焦虑、疼痛或癫痫。可以重视兴趣和认知特点，同时需要辅助沟通或日常照护。是否值得干预，要具体看目标、收益、负担与个人偏好。把接受身份看成与所有治疗都相冲突，会抹掉这些实际选择。</w:t>
      </w:r>
    </w:p>
    <w:p>
      <w:pPr>
        <w:pStyle w:val="BodyText"/>
      </w:pPr>
      <w:r>
        <w:t xml:space="preserve">Kapp等2013年对657名与自闭症具有不同关系的人进行在线调查，观察到积极身份与承认负面方面可以并存</w:t>
      </w:r>
      <w:r>
        <w:rPr>
          <w:vertAlign w:val="superscript"/>
        </w:rPr>
        <w:t xml:space="preserve">[</w:t>
      </w:r>
      <w:hyperlink w:anchor="ref-1326">
        <w:r>
          <w:rPr>
            <w:rStyle w:val="Hyperlink"/>
            <w:vertAlign w:val="superscript"/>
          </w:rPr>
          <w:t xml:space="preserve">1326</w:t>
        </w:r>
      </w:hyperlink>
      <w:r>
        <w:rPr>
          <w:vertAlign w:val="superscript"/>
        </w:rPr>
        <w:t xml:space="preserve">]</w:t>
      </w:r>
      <w:r>
        <w:t xml:space="preserve">。自选在线样本限制代表性，尤其难以覆盖表达支持需求很高的人。该研究说明现实态度具有多样组合，无法代表每位自闭症人士的意见。</w:t>
      </w:r>
    </w:p>
    <w:bookmarkEnd w:id="1997"/>
    <w:bookmarkStart w:id="1998" w:name="sec-128-3"/>
    <w:p>
      <w:pPr>
        <w:pStyle w:val="Heading3"/>
      </w:pPr>
      <w:r>
        <w:t xml:space="preserve">128.3　残障如何由个人与环境共同形成</w:t>
      </w:r>
    </w:p>
    <w:p>
      <w:pPr>
        <w:pStyle w:val="FirstParagraph"/>
      </w:pPr>
      <w:r>
        <w:t xml:space="preserve">某种感觉敏感在安静环境中可能负担较小，在持续噪声、强混响与强光中可能严重限制参与；提供安静空间和可预测安排后，参与能力可能提高。某种沟通差异在只有口头快速交流的环境中可能形成障碍，在提供文字和充分时间时可能改善。这类功能改善可以直接观察，不需要先证明脑内某个指标恢复正常。改变环境能减少部分困难，但也可能保留需要医疗、训练或照护的部分。两类支持可以共同使用。</w:t>
      </w:r>
    </w:p>
    <w:p>
      <w:pPr>
        <w:pStyle w:val="BodyText"/>
      </w:pPr>
      <w:r>
        <w:t xml:space="preserve">社会环境解释也有边界。严重癫痫、疼痛、无法安全吞咽或高度依赖照护的状态，不能仅通过态度改变消除。承认这些困难无需否定个人尊严。相应干预应围绕具体健康与功能目标，并评估当事人的意愿、舒适和生活质量。</w:t>
      </w:r>
    </w:p>
    <w:bookmarkEnd w:id="1998"/>
    <w:bookmarkStart w:id="1999" w:name="sec-128-4"/>
    <w:p>
      <w:pPr>
        <w:pStyle w:val="Heading3"/>
      </w:pPr>
      <w:r>
        <w:t xml:space="preserve">128.4　目标选择怎样影响疗效评价</w:t>
      </w:r>
    </w:p>
    <w:p>
      <w:pPr>
        <w:pStyle w:val="FirstParagraph"/>
      </w:pPr>
      <w:r>
        <w:t xml:space="preserve">让行为看起来更符合多数人期待，与提高沟通、自主和安全，可能产生不同目标。某人减少外显重复动作后，观察者觉得更正常，但本人可能更加紧张。若研究只记录外观行为，就可能漏掉负担。评价应尽可能纳入当事人体验、真实参与和长期后果。</w:t>
      </w:r>
    </w:p>
    <w:p>
      <w:pPr>
        <w:pStyle w:val="BodyText"/>
      </w:pPr>
      <w:r>
        <w:t xml:space="preserve">目标也可能存在冲突。某种行为帮助自我调节，却在特定场景造成安全风险；某项训练提高生活技能，却带来疲劳和时间成本。解决冲突需要具体讨论替代方案、环境调整和最低必要负担。一个原则口号无法替代这些权衡。</w:t>
      </w:r>
    </w:p>
    <w:bookmarkEnd w:id="1999"/>
    <w:bookmarkStart w:id="2000" w:name="sec-128-5"/>
    <w:p>
      <w:pPr>
        <w:pStyle w:val="Heading3"/>
      </w:pPr>
      <w:r>
        <w:t xml:space="preserve">128.5　沟通与代理决定</w:t>
      </w:r>
    </w:p>
    <w:p>
      <w:pPr>
        <w:pStyle w:val="FirstParagraph"/>
      </w:pPr>
      <w:r>
        <w:t xml:space="preserve">语言表达有限或无法快速口语回答，不等于没有偏好、体验、理解或选择能力。评估需要尽量减少不必要的语言、运动和感官障碍，并让信息以当事人可以使用的方式呈现。支持可以包括替代沟通方式、熟悉照护者的观察以及对情境和反应的系统记录。代理决定应尽力反映当事人的利益与意愿，并允许随着沟通能力和情况变化而调整。不能因为表达困难就默认所有目标由外部人员决定。</w:t>
      </w:r>
    </w:p>
    <w:p>
      <w:pPr>
        <w:pStyle w:val="BodyText"/>
      </w:pPr>
      <w:r>
        <w:t xml:space="preserve">同时，推断他人偏好存在误差。观察者可能把自己的希望投射到对方身上。应记录哪些是本人明确表达，哪些是根据反复行为推断，哪些仍未知。对于高负担或不可逆决定，这种区分尤其重要。尊重自主包括诚实面对我们对他人体验的理解限度。</w:t>
      </w:r>
    </w:p>
    <w:bookmarkEnd w:id="2000"/>
    <w:bookmarkStart w:id="2001" w:name="sec-128-6"/>
    <w:p>
      <w:pPr>
        <w:pStyle w:val="Heading3"/>
      </w:pPr>
      <w:r>
        <w:t xml:space="preserve">128.6　干预证据的质量</w:t>
      </w:r>
    </w:p>
    <w:p>
      <w:pPr>
        <w:pStyle w:val="FirstParagraph"/>
      </w:pPr>
      <w:r>
        <w:t xml:space="preserve">Project AIM更新系统综述显示，幼儿自闭症干预研究的结论会受到研究设计、结果报告者和检测偏倚影响</w:t>
      </w:r>
      <w:r>
        <w:rPr>
          <w:vertAlign w:val="superscript"/>
        </w:rPr>
        <w:t xml:space="preserve">[</w:t>
      </w:r>
      <w:hyperlink w:anchor="ref-1327">
        <w:r>
          <w:rPr>
            <w:rStyle w:val="Hyperlink"/>
            <w:vertAlign w:val="superscript"/>
          </w:rPr>
          <w:t xml:space="preserve">1327</w:t>
        </w:r>
      </w:hyperlink>
      <w:r>
        <w:rPr>
          <w:vertAlign w:val="superscript"/>
        </w:rPr>
        <w:t xml:space="preserve">]</w:t>
      </w:r>
      <w:r>
        <w:t xml:space="preserve">。限制到更严格的证据后，部分效应明显收窄；不良事件监测也不足。这个结果要求提高研究质量，无法自动推出所有支持无效。</w:t>
      </w:r>
    </w:p>
    <w:p>
      <w:pPr>
        <w:pStyle w:val="BodyText"/>
      </w:pPr>
      <w:r>
        <w:t xml:space="preserve">NICE儿童自闭症支持指南强调发展水平、沟通、环境、共存健康问题和生活质量，并区分核心特征与合并问题的干预</w:t>
      </w:r>
      <w:r>
        <w:rPr>
          <w:vertAlign w:val="superscript"/>
        </w:rPr>
        <w:t xml:space="preserve">[</w:t>
      </w:r>
      <w:hyperlink w:anchor="ref-1321">
        <w:r>
          <w:rPr>
            <w:rStyle w:val="Hyperlink"/>
            <w:vertAlign w:val="superscript"/>
          </w:rPr>
          <w:t xml:space="preserve">1321</w:t>
        </w:r>
      </w:hyperlink>
      <w:r>
        <w:rPr>
          <w:vertAlign w:val="superscript"/>
        </w:rPr>
        <w:t xml:space="preserve">]</w:t>
      </w:r>
      <w:r>
        <w:t xml:space="preserve">。具体实施仍需符合当地医疗教育条件。指南中的建议应与个人评估结合，不能把一套方案机械应用于所有人。</w:t>
      </w:r>
    </w:p>
    <w:bookmarkEnd w:id="2001"/>
    <w:bookmarkStart w:id="2002" w:name="sec-128-7"/>
    <w:p>
      <w:pPr>
        <w:pStyle w:val="Heading3"/>
      </w:pPr>
      <w:r>
        <w:t xml:space="preserve">128.7　如何看待治愈与支持语言</w:t>
      </w:r>
    </w:p>
    <w:p>
      <w:pPr>
        <w:pStyle w:val="FirstParagraph"/>
      </w:pPr>
      <w:r>
        <w:t xml:space="preserve">某些人把自闭症视为身份的重要部分，对“消除自闭症”的目标持反对态度；另一些人或家庭更强调严重困难，希望获得尽可能大的改善。两类体验都需要准确呈现，不能让一个便利叙事替所有人发言。讨论具体干预时，明确目标通常比争论一个总标签更有帮助。</w:t>
      </w:r>
    </w:p>
    <w:p>
      <w:pPr>
        <w:pStyle w:val="BodyText"/>
      </w:pPr>
      <w:r>
        <w:t xml:space="preserve">语言偏好也存在差异。有人偏好身份优先表达，有人偏好以人为先表达。尊重具体人的偏好比假定存在唯一正确称呼更可行。名称选择不会自动决定科学结论，却会影响当事人是否感到被理解，以及是否愿意参与研究和服务。</w:t>
      </w:r>
    </w:p>
    <w:bookmarkEnd w:id="2002"/>
    <w:bookmarkStart w:id="2003" w:name="sec-128-8"/>
    <w:p>
      <w:pPr>
        <w:pStyle w:val="Heading3"/>
      </w:pPr>
      <w:r>
        <w:t xml:space="preserve">128.8　研究参与与代表性</w:t>
      </w:r>
    </w:p>
    <w:p>
      <w:pPr>
        <w:pStyle w:val="FirstParagraph"/>
      </w:pPr>
      <w:r>
        <w:t xml:space="preserve">让当事人参与研究问题、结局选择和材料设计，有助于发现研究者忽略的需求。但参与者可能主要来自能够表达、愿意参与和拥有资源的人群。研究需要主动考虑高支持需求者、不同文化和经济条件者的代表性，同时避免把少数意见当作全部群体共识。</w:t>
      </w:r>
    </w:p>
    <w:p>
      <w:pPr>
        <w:pStyle w:val="BodyText"/>
      </w:pPr>
      <w:r>
        <w:t xml:space="preserve">参与式研究并不取消方法标准。干预仍需可靠比较、预先定义结局、报告不良反应与退出，并接受独立复核。当事人经验帮助确定值得研究的问题和有意义的结局；因果效果仍需要相应设计。经验和实验各自提供不同信息。</w:t>
      </w:r>
    </w:p>
    <w:bookmarkEnd w:id="2003"/>
    <w:bookmarkStart w:id="2004" w:name="sec-128-9"/>
    <w:p>
      <w:pPr>
        <w:pStyle w:val="Heading3"/>
      </w:pPr>
      <w:r>
        <w:t xml:space="preserve">128.9　支持效果的实际测量</w:t>
      </w:r>
    </w:p>
    <w:p>
      <w:pPr>
        <w:pStyle w:val="FirstParagraph"/>
      </w:pPr>
      <w:r>
        <w:t xml:space="preserve">评价辅助沟通，可以看能否更清楚表达需求、减少误解、增加自主选择和参与；评价感觉环境调整，可以看痛苦、任务完成和日常参与；评价健康治疗，可以看目标症状和不良反应。把所有结果压缩成“更接近正常”，会丢失重要信息。</w:t>
      </w:r>
    </w:p>
    <w:p>
      <w:pPr>
        <w:pStyle w:val="BodyText"/>
      </w:pPr>
      <w:r>
        <w:t xml:space="preserve">还应关注支持是否可持续。家庭投入时间、经济负担、服务可及性以及照护者的健康、疲劳和能否获得替代照护，会影响长期实施。一个高度密集的方案即使在研究中心或短期研究中有效，若要求家庭长期承担无法实现的工作量，推广时也会困难。研究应报告真实资源需求，并与负担较小的替代方案比较。评估应把家庭支持需求纳入，同时避免以方便照护者为唯一目标；本人偏好、健康、安全和家庭承受能力之间可能存在真实张力，需要透明讨论和资源支持。</w:t>
      </w:r>
    </w:p>
    <w:bookmarkEnd w:id="2004"/>
    <w:bookmarkStart w:id="2005" w:name="sec-128-10"/>
    <w:p>
      <w:pPr>
        <w:pStyle w:val="Heading3"/>
      </w:pPr>
      <w:r>
        <w:t xml:space="preserve">128.10　功能框架让支持目标更加具体</w:t>
      </w:r>
    </w:p>
    <w:p>
      <w:pPr>
        <w:pStyle w:val="FirstParagraph"/>
      </w:pPr>
      <w:r>
        <w:t xml:space="preserve">WHO 的国际功能残疾和健康分类把身体功能与结构、活动、参与及环境因素放在共同框架中。这个框架提醒我们，相同身体或认知特点在不同环境中可能造成不同程度的限制。它提供描述语言，不能自动决定某种治疗是否有效，也不能取消个人对生活目标的选择</w:t>
      </w:r>
      <w:r>
        <w:rPr>
          <w:vertAlign w:val="superscript"/>
        </w:rPr>
        <w:t xml:space="preserve">[</w:t>
      </w:r>
      <w:hyperlink w:anchor="ref-1328">
        <w:r>
          <w:rPr>
            <w:rStyle w:val="Hyperlink"/>
            <w:vertAlign w:val="superscript"/>
          </w:rPr>
          <w:t xml:space="preserve">1328</w:t>
        </w:r>
      </w:hyperlink>
      <w:r>
        <w:rPr>
          <w:vertAlign w:val="superscript"/>
        </w:rPr>
        <w:t xml:space="preserve">]</w:t>
      </w:r>
      <w:r>
        <w:t xml:space="preserve">。</w:t>
      </w:r>
    </w:p>
    <w:p>
      <w:pPr>
        <w:pStyle w:val="BodyText"/>
      </w:pPr>
      <w:r>
        <w:t xml:space="preserve">身体功能、活动和参与可以出现不同方向的变化。某个训练使实验任务更好，却没有改善上学或工作；某种辅助工具没有改变基础能力，却增加了独立参与。研究需要分别记录这些层面，才能判断干预真正帮助了什么。</w:t>
      </w:r>
    </w:p>
    <w:bookmarkEnd w:id="2005"/>
    <w:bookmarkStart w:id="2006" w:name="sec-128-11"/>
    <w:p>
      <w:pPr>
        <w:pStyle w:val="Heading3"/>
      </w:pPr>
      <w:r>
        <w:t xml:space="preserve">128.11　沟通方式的多样性</w:t>
      </w:r>
    </w:p>
    <w:p>
      <w:pPr>
        <w:pStyle w:val="FirstParagraph"/>
      </w:pPr>
      <w:r>
        <w:t xml:space="preserve">口语只是沟通的一种方式。手势、图片、文字、符号板和语音生成设备可以支持表达。选择方式需要考虑视觉、运动、语言理解、场景和个人偏好。工具是否先进，不如能否在真实生活中可靠使用重要。设备可用性、词汇组织、充电维护和沟通伙伴反应，都可能影响实际效果。</w:t>
      </w:r>
    </w:p>
    <w:p>
      <w:pPr>
        <w:pStyle w:val="BodyText"/>
      </w:pPr>
      <w:r>
        <w:t xml:space="preserve">Kasari 等人在61名5至8岁、口语较少的自闭症儿童中开展适应性随机试验，比较发展行为干预是否从开始加入语音生成设备，发现加入设备的方案在自发交流等指标上更有利。结果支持特定整合方案的潜力，样本、年龄和干预内容限制了推广；不能据此保证所有使用设备者获得相同进步</w:t>
      </w:r>
      <w:r>
        <w:rPr>
          <w:vertAlign w:val="superscript"/>
        </w:rPr>
        <w:t xml:space="preserve">[</w:t>
      </w:r>
      <w:hyperlink w:anchor="ref-1329">
        <w:r>
          <w:rPr>
            <w:rStyle w:val="Hyperlink"/>
            <w:vertAlign w:val="superscript"/>
          </w:rPr>
          <w:t xml:space="preserve">1329</w:t>
        </w:r>
      </w:hyperlink>
      <w:r>
        <w:rPr>
          <w:vertAlign w:val="superscript"/>
        </w:rPr>
        <w:t xml:space="preserve">]</w:t>
      </w:r>
      <w:r>
        <w:t xml:space="preserve">。</w:t>
      </w:r>
    </w:p>
    <w:p>
      <w:pPr>
        <w:pStyle w:val="BodyText"/>
      </w:pPr>
      <w:r>
        <w:t xml:space="preserve">AAC 的目标包括表达需要、拒绝、提问、分享和选择。若系统只能让人请求食物或完成训练要求，却无法表达不舒服、不同意或个人兴趣，其自主性支持仍然有限。评估应关注沟通功能的广度，以及在不同伙伴和场景中能否使用。</w:t>
      </w:r>
    </w:p>
    <w:bookmarkEnd w:id="2006"/>
    <w:bookmarkStart w:id="2007" w:name="sec-128-12"/>
    <w:p>
      <w:pPr>
        <w:pStyle w:val="Heading3"/>
      </w:pPr>
      <w:r>
        <w:t xml:space="preserve">128.12　支持表达需要确认信息属于本人</w:t>
      </w:r>
    </w:p>
    <w:p>
      <w:pPr>
        <w:pStyle w:val="FirstParagraph"/>
      </w:pPr>
      <w:r>
        <w:t xml:space="preserve">当沟通由辅助者触碰手臂、控制字母板位置或持续提示引导时，需要认真检验信息来源。ASHA 2018年的立场声明把经辅助者引导的促通沟通定性为已被否定、不应使用的技术：其有效性没有科学证据支持，数十年来多个国家的对照研究显示，这类输出中的信息实际出自辅助者；声明还指出该技术的使用有伤害记录，经此获得的信息不应被当作当事人本人的表达。该结论针对这类依赖辅助者的技术，不适用于独立打字或经过适当验证的 AAC</w:t>
      </w:r>
      <w:r>
        <w:rPr>
          <w:vertAlign w:val="superscript"/>
        </w:rPr>
        <w:t xml:space="preserve">[</w:t>
      </w:r>
      <w:hyperlink w:anchor="ref-1330">
        <w:r>
          <w:rPr>
            <w:rStyle w:val="Hyperlink"/>
            <w:vertAlign w:val="superscript"/>
          </w:rPr>
          <w:t xml:space="preserve">1330</w:t>
        </w:r>
      </w:hyperlink>
      <w:r>
        <w:rPr>
          <w:vertAlign w:val="superscript"/>
        </w:rPr>
        <w:t xml:space="preserve">]</w:t>
      </w:r>
      <w:r>
        <w:t xml:space="preserve">。</w:t>
      </w:r>
    </w:p>
    <w:p>
      <w:pPr>
        <w:pStyle w:val="BodyText"/>
      </w:pPr>
      <w:r>
        <w:t xml:space="preserve">确认作者身份能够保护表达权，支持者需要区分协助表达与代替作答。使用辅助沟通系统时，输出的作者归属可以通过独立选择、一致的控制方式和恰当验证来判断。一个基本检验思路是让使用者知道某项信息，而辅助者不知道，再看能否准确传递。测试需要尊重个人、适配感官与运动需求，并避免让失败被解释成缺乏价值。支持越重要，越需要保护当事人的信息来源与自主性；不能因为某种方式看起来更流畅，就忽略它究竟由谁控制。验证的目标是建立可靠沟通渠道，确保他人的期待没有替代本人的声音</w:t>
      </w:r>
      <w:r>
        <w:rPr>
          <w:vertAlign w:val="superscript"/>
        </w:rPr>
        <w:t xml:space="preserve">[</w:t>
      </w:r>
      <w:hyperlink w:anchor="ref-1329">
        <w:r>
          <w:rPr>
            <w:rStyle w:val="Hyperlink"/>
            <w:vertAlign w:val="superscript"/>
          </w:rPr>
          <w:t xml:space="preserve">1329</w:t>
        </w:r>
      </w:hyperlink>
      <w:r>
        <w:rPr>
          <w:vertAlign w:val="superscript"/>
        </w:rPr>
        <w:t xml:space="preserve">,</w:t>
      </w:r>
      <w:hyperlink w:anchor="ref-1330">
        <w:r>
          <w:rPr>
            <w:rStyle w:val="Hyperlink"/>
            <w:vertAlign w:val="superscript"/>
          </w:rPr>
          <w:t xml:space="preserve">1330</w:t>
        </w:r>
      </w:hyperlink>
      <w:r>
        <w:rPr>
          <w:vertAlign w:val="superscript"/>
        </w:rPr>
        <w:t xml:space="preserve">]</w:t>
      </w:r>
      <w:r>
        <w:t xml:space="preserve">。</w:t>
      </w:r>
    </w:p>
    <w:p>
      <w:pPr>
        <w:pStyle w:val="BodyText"/>
      </w:pPr>
      <w:r>
        <w:t xml:space="preserve">辅助者可以提供摆位、设备维护和合理等待，这与控制信息内容不同。研究和服务应清楚记录帮助发生在哪个环节，逐步减少不必要依赖。可靠的自主表达比产生看起来复杂、却无法确认来源的句子更能保障个人选择。</w:t>
      </w:r>
    </w:p>
    <w:bookmarkEnd w:id="2007"/>
    <w:bookmarkStart w:id="2008" w:name="sec-128-13"/>
    <w:p>
      <w:pPr>
        <w:pStyle w:val="Heading3"/>
      </w:pPr>
      <w:r>
        <w:t xml:space="preserve">128.13　高支持需求者的代表性</w:t>
      </w:r>
    </w:p>
    <w:p>
      <w:pPr>
        <w:pStyle w:val="FirstParagraph"/>
      </w:pPr>
      <w:r>
        <w:t xml:space="preserve">公共讨论常由语言流畅、能够参与网络和研究的人主导，他们的经验很重要，却不能覆盖所有人。口语有限、合并智力障碍、运动困难或严重健康问题者，可能较少进入研究和政策讨论。缺少表达渠道不等于缺少偏好，也不意味着他人可以任意替其定义幸福。</w:t>
      </w:r>
    </w:p>
    <w:p>
      <w:pPr>
        <w:pStyle w:val="BodyText"/>
      </w:pPr>
      <w:r>
        <w:t xml:space="preserve">支持决策可以结合可理解的信息、熟悉情境中的选择、行为一致性和可信赖的沟通伙伴，同时谨慎处理代理判断。家属和专业人员掌握重要经验，也可能受到自身负担、期待和资源限制影响。透明记录分歧与不确定性，比假定存在一个统一的“最佳利益”答案更诚实。</w:t>
      </w:r>
    </w:p>
    <w:p>
      <w:pPr>
        <w:pStyle w:val="BodyText"/>
      </w:pPr>
      <w:r>
        <w:t xml:space="preserve">研究设计应提供适合不同沟通和感官需求的参与方式。若一个量表只适用于口语流畅者，研究结论就应限定相应人群。生活质量评价同样应尽量包含本人观点；使用代理报告时，应注明它测量的是观察者判断，不能完全替代第一人称体验。照护者观察到的负担、教师关注的课堂参与和个人重视的舒适体验，都提供不同信息；它们不一致时需要分析原因，不能自动把其中一方视为唯一真实尺度。</w:t>
      </w:r>
    </w:p>
    <w:bookmarkEnd w:id="2008"/>
    <w:bookmarkStart w:id="2009" w:name="sec-128-14"/>
    <w:p>
      <w:pPr>
        <w:pStyle w:val="Heading3"/>
      </w:pPr>
      <w:r>
        <w:t xml:space="preserve">128.14　合并疾病需要独立识别</w:t>
      </w:r>
    </w:p>
    <w:p>
      <w:pPr>
        <w:pStyle w:val="FirstParagraph"/>
      </w:pPr>
      <w:r>
        <w:t xml:space="preserve">自闭症者可能同时具有癫痫、睡眠问题、焦虑、注意困难或胃肠不适等健康问题。NIH 的临床说明强调这些问题可以影响日常生活，适当处理能够改善生活质量。将所有新出现的痛苦都解释为自闭症，会造成诊断遮蔽；把每一项合并问题都说成自闭症的统一病因，也同样超出证据</w:t>
      </w:r>
      <w:r>
        <w:rPr>
          <w:vertAlign w:val="superscript"/>
        </w:rPr>
        <w:t xml:space="preserve">[</w:t>
      </w:r>
      <w:hyperlink w:anchor="ref-1331">
        <w:r>
          <w:rPr>
            <w:rStyle w:val="Hyperlink"/>
            <w:vertAlign w:val="superscript"/>
          </w:rPr>
          <w:t xml:space="preserve">1331</w:t>
        </w:r>
      </w:hyperlink>
      <w:r>
        <w:rPr>
          <w:vertAlign w:val="superscript"/>
        </w:rPr>
        <w:t xml:space="preserve">]</w:t>
      </w:r>
      <w:r>
        <w:t xml:space="preserve">。</w:t>
      </w:r>
    </w:p>
    <w:p>
      <w:pPr>
        <w:pStyle w:val="BodyText"/>
      </w:pPr>
      <w:r>
        <w:t xml:space="preserve">行为变化有时是表达不适的方式。一个口语有限的人突然减少活动或出现攻击、自伤，需要了解疼痛、环境变化、沟通受阻和其他可能原因。行为的功能分析与医学评估可以互相补充。仅以压制外在行为为目标，可能遗漏正在持续的痛苦。</w:t>
      </w:r>
    </w:p>
    <w:bookmarkEnd w:id="2009"/>
    <w:bookmarkStart w:id="2010" w:name="sec-128-15"/>
    <w:p>
      <w:pPr>
        <w:pStyle w:val="Heading3"/>
      </w:pPr>
      <w:r>
        <w:t xml:space="preserve">128.15　感官环境与可预测性</w:t>
      </w:r>
    </w:p>
    <w:p>
      <w:pPr>
        <w:pStyle w:val="FirstParagraph"/>
      </w:pPr>
      <w:r>
        <w:t xml:space="preserve">感官差异可能涉及声音、光、触觉、味觉和身体内部感觉。不同人敏感方向和程度不同，统一的“感官友好”安排未必适合所有人。实际支持需要询问或观察具体负担，并允许个人选择。环境改变的效果可以通过参与、疲劳和不适直接评估。</w:t>
      </w:r>
    </w:p>
    <w:p>
      <w:pPr>
        <w:pStyle w:val="BodyText"/>
      </w:pPr>
      <w:r>
        <w:t xml:space="preserve">可预测性能够减少处理突然变化的负担，但长期完全避免变化也可能限制生活机会。支持可以提供预告、过渡时间和可理解解释，使变化更可掌握。目标是增加选择与适应资源，具体节奏应考虑个人状态，不能用强迫暴露来证明“必须习惯”。</w:t>
      </w:r>
    </w:p>
    <w:p>
      <w:pPr>
        <w:pStyle w:val="BodyText"/>
      </w:pPr>
      <w:r>
        <w:t xml:space="preserve">重复动作或特殊兴趣可能具有调节、愉悦或沟通作用。是否需要干预，应看是否造成伤害、明显妨碍本人重要目标或涉及其他可处理问题。仅因行为看起来不常见就要求消除，属于价值选择，不能伪装成神经科学必然要求。</w:t>
      </w:r>
    </w:p>
    <w:bookmarkEnd w:id="2010"/>
    <w:bookmarkStart w:id="2011" w:name="sec-128-16"/>
    <w:p>
      <w:pPr>
        <w:pStyle w:val="Heading3"/>
      </w:pPr>
      <w:r>
        <w:t xml:space="preserve">128.16　掩饰行为与外在成功</w:t>
      </w:r>
    </w:p>
    <w:p>
      <w:pPr>
        <w:pStyle w:val="FirstParagraph"/>
      </w:pPr>
      <w:r>
        <w:t xml:space="preserve">一个人能够表现得符合社会期待，可能付出大量监控、疲劳和焦虑。外在表现改善需要与内部负担一起评价。若干预只记录眼神接触、坐姿或表面社交频率，可能漏掉耗竭和自主性下降。另一方面，某些人自愿学习特定社交技能并从中受益，个人目标应得到尊重。</w:t>
      </w:r>
    </w:p>
    <w:p>
      <w:pPr>
        <w:pStyle w:val="BodyText"/>
      </w:pPr>
      <w:r>
        <w:t xml:space="preserve">成功指标应尽量由本人、家庭和专业团队共同明确。有人重视更容易表达需求，有人希望获得工作支持，有人优先处理睡眠或身体不适。不同目标可以并存，不能用一个“更像普通人”的总目标替代全部需求。</w:t>
      </w:r>
    </w:p>
    <w:p>
      <w:pPr>
        <w:pStyle w:val="BodyText"/>
      </w:pPr>
      <w:r>
        <w:t xml:space="preserve">长期评价还应包括是否保留选择权、是否能够拒绝、是否增加有意义关系，以及支持能否持续。即时顺从容易测量，却不是生活质量的充分代理。一个训练方案若离开治疗室就无法使用，其实际价值也需要重新判断。</w:t>
      </w:r>
    </w:p>
    <w:bookmarkEnd w:id="2011"/>
    <w:bookmarkStart w:id="2012" w:name="sec-128-17"/>
    <w:p>
      <w:pPr>
        <w:pStyle w:val="Heading3"/>
      </w:pPr>
      <w:r>
        <w:t xml:space="preserve">128.17　从儿童服务过渡到成年生活</w:t>
      </w:r>
    </w:p>
    <w:p>
      <w:pPr>
        <w:pStyle w:val="FirstParagraph"/>
      </w:pPr>
      <w:r>
        <w:t xml:space="preserve">支持需求会随教育、工作、居住和家庭角色改变。儿童期有效的安排在成年后可能需要重新设计；某些人在学校结构减少后困难更加明显。服务衔接需要关注信息连续、本人参与和现实生活技能，避免年龄达到某个界线后支持突然中断。</w:t>
      </w:r>
    </w:p>
    <w:p>
      <w:pPr>
        <w:pStyle w:val="BodyText"/>
      </w:pPr>
      <w:r>
        <w:t xml:space="preserve">独立不必定义为完全不接受帮助。许多人通过工具、同伴、家庭或专业服务实现自主生活。关键是支持是否促进本人选择、是否可持续，以及是否尊重隐私与尊严。把“需要支持”当作个人失败，会掩盖环境和制度可以改进的空间。</w:t>
      </w:r>
    </w:p>
    <w:bookmarkEnd w:id="2012"/>
    <w:bookmarkStart w:id="2013" w:name="sec-128-18"/>
    <w:p>
      <w:pPr>
        <w:pStyle w:val="Heading3"/>
      </w:pPr>
      <w:r>
        <w:t xml:space="preserve">128.18　决策能力与决策支持</w:t>
      </w:r>
    </w:p>
    <w:p>
      <w:pPr>
        <w:pStyle w:val="FirstParagraph"/>
      </w:pPr>
      <w:r>
        <w:t xml:space="preserve">决策能力具有任务和情境特异性。能够选择喜欢的活动，与理解复杂医疗方案的长期后果，需要不同信息和支持。不能由一个困难领域推出所有决定都应由别人接管，也不能忽略某些复杂情境需要实质协助。</w:t>
      </w:r>
    </w:p>
    <w:bookmarkEnd w:id="2013"/>
    <w:bookmarkStart w:id="2014" w:name="sec-128-19"/>
    <w:p>
      <w:pPr>
        <w:pStyle w:val="Heading3"/>
      </w:pPr>
      <w:r>
        <w:t xml:space="preserve">128.19　假设案例的伦理与证据分析</w:t>
      </w:r>
    </w:p>
    <w:p>
      <w:pPr>
        <w:pStyle w:val="FirstParagraph"/>
      </w:pPr>
      <w:r>
        <w:t xml:space="preserve">假设一名孩子用重复动作调节紧张，训练目标是完全消除该动作。应先了解动作是否造成伤害、是否妨碍重要活动，以及替代调节方式是否可行。若唯一理由是旁人不喜欢外观，目标的正当性需要重新讨论；若行为造成实际损伤，则减少伤害和寻找替代方式具有不同依据。</w:t>
      </w:r>
    </w:p>
    <w:p>
      <w:pPr>
        <w:pStyle w:val="BodyText"/>
      </w:pPr>
      <w:r>
        <w:t xml:space="preserve">假设一名成年自闭症人士主动希望治疗严重失眠。尊重其身份支持认真评估与提供治疗选择。治疗睡眠问题无需先判断其全部神经特征应否改变。相同原则适用于疼痛、焦虑和其他合并问题，具体治疗由对应证据决定。</w:t>
      </w:r>
    </w:p>
    <w:p>
      <w:pPr>
        <w:pStyle w:val="BodyText"/>
      </w:pPr>
      <w:r>
        <w:t xml:space="preserve">神经多样性讨论应保留事实差异和价值分歧。尊严与权利具有独立价值，残障和支持需求需要真实承认，疗效与风险需要严格证据。把这几件事分别做好，能够形成更准确也更可用的支持框架。</w:t>
      </w:r>
    </w:p>
    <w:bookmarkEnd w:id="2014"/>
    <w:bookmarkEnd w:id="2015"/>
    <w:bookmarkEnd w:id="2016"/>
    <w:bookmarkStart w:id="2158" w:name="part-12"/>
    <w:p>
      <w:pPr>
        <w:pStyle w:val="Heading1"/>
      </w:pPr>
      <w:r>
        <w:t xml:space="preserve">第十二编　心理健康与精神障碍</w:t>
      </w:r>
    </w:p>
    <w:p>
      <w:pPr>
        <w:pStyle w:val="PartIntro"/>
      </w:pPr>
      <w:r>
        <w:t xml:space="preserve">这一编讲精神障碍怎样在症状、心理过程、脑回路、遗传与社会环境几个层次上被解释，以及抑郁与双相障碍、焦虑与创伤相关障碍、精神病性障碍和成瘾各自的机制线索与治疗证据。贯穿各章的一个问题是：治疗有效不等于病因已经找到，脑机制被发现也不排除环境与经历的作用。</w:t>
      </w:r>
    </w:p>
    <w:bookmarkStart w:id="2036" w:name="ch-129"/>
    <w:p>
      <w:pPr>
        <w:pStyle w:val="Heading2"/>
      </w:pPr>
      <w:r>
        <w:t xml:space="preserve">第129章　精神障碍的多层次解释</w:t>
      </w:r>
    </w:p>
    <w:p>
      <w:pPr>
        <w:pStyle w:val="CalloutJudgment"/>
      </w:pPr>
      <w:r>
        <w:rPr>
          <w:bCs/>
          <w:b/>
        </w:rPr>
        <w:t xml:space="preserve">核心判断　精神障碍需要按具体症状、病程、功能与背景理解，意志评价无法充分解释疾病；神经机制与社会环境可以同时具有因果作用，置信度高。</w:t>
      </w:r>
      <w:r>
        <w:t xml:space="preserve">发现某种脑过程不排除经验影响，心理治疗有效也不能证明病因完全来自想法。解释病因、识别治疗路径和评价个人责任，属于不同问题。</w:t>
      </w:r>
    </w:p>
    <w:bookmarkStart w:id="2017" w:name="sec-129-1"/>
    <w:p>
      <w:pPr>
        <w:pStyle w:val="Heading3"/>
      </w:pPr>
      <w:r>
        <w:t xml:space="preserve">129.1　症状、综合征与病因</w:t>
      </w:r>
    </w:p>
    <w:p>
      <w:pPr>
        <w:pStyle w:val="FirstParagraph"/>
      </w:pPr>
      <w:r>
        <w:t xml:space="preserve">症状描述某种体验或行为，例如情绪低落、快感减退、幻觉、失眠或反复检查。综合征把一定时间内共同出现、具有功能影响的症状组织起来。病因解释则要求说明这些现象如何产生。一个诊断可以有临床价值，同时仍包含多种病因和机制。</w:t>
      </w:r>
    </w:p>
    <w:p>
      <w:pPr>
        <w:pStyle w:val="BodyText"/>
      </w:pPr>
      <w:r>
        <w:t xml:space="preserve">以抑郁为例，临床评估关注持续时间、情绪与兴趣、睡眠、食欲、精力、认知和功能等信息，并检查药物、身体疾病和其他精神状态可能产生的类似表现</w:t>
      </w:r>
      <w:r>
        <w:rPr>
          <w:vertAlign w:val="superscript"/>
        </w:rPr>
        <w:t xml:space="preserve">[</w:t>
      </w:r>
      <w:hyperlink w:anchor="ref-862">
        <w:r>
          <w:rPr>
            <w:rStyle w:val="Hyperlink"/>
            <w:vertAlign w:val="superscript"/>
          </w:rPr>
          <w:t xml:space="preserve">862</w:t>
        </w:r>
      </w:hyperlink>
      <w:r>
        <w:rPr>
          <w:vertAlign w:val="superscript"/>
        </w:rPr>
        <w:t xml:space="preserve">]</w:t>
      </w:r>
      <w:r>
        <w:t xml:space="preserve">。量表可帮助描述症状严重度和变化，不能独立替代病史与临床判断。正常悲伤、慢性压力、抑郁发作和双相障碍中的抑郁阶段，需要根据整体病程区分。</w:t>
      </w:r>
    </w:p>
    <w:p>
      <w:pPr>
        <w:pStyle w:val="BodyText"/>
      </w:pPr>
      <w:r>
        <w:t xml:space="preserve">动力下降和难以行动本身可能是症状。若把未能行动解释为不愿好起来，再把不愿好起来解释为症状持续，论证会形成循环。有效解释应独立测量意愿、能力、机会和障碍，并提出可检验预测。个体行动仍然重要，理解行动为何困难能够帮助设计更可行支持。</w:t>
      </w:r>
    </w:p>
    <w:bookmarkEnd w:id="2017"/>
    <w:bookmarkStart w:id="2018" w:name="sec-129-2"/>
    <w:p>
      <w:pPr>
        <w:pStyle w:val="Heading3"/>
      </w:pPr>
      <w:r>
        <w:t xml:space="preserve">129.2　多个解释层次怎样相容</w:t>
      </w:r>
    </w:p>
    <w:p>
      <w:pPr>
        <w:pStyle w:val="FirstParagraph"/>
      </w:pPr>
      <w:r>
        <w:t xml:space="preserve">失业可能增加不确定性和经济压力，进而影响睡眠、社会接触、认知评价和生理调节。每个环节都可以被研究。若在其中发现神经或内分泌变化，并不会使失业这一上游条件消失。生物机制提供过程信息，社会环境提供暴露与约束信息，二者之间可以形成可检验链条。</w:t>
      </w:r>
    </w:p>
    <w:p>
      <w:pPr>
        <w:pStyle w:val="BodyText"/>
      </w:pPr>
      <w:r>
        <w:t xml:space="preserve">同样，遗传差异可能影响易感性，早期经验可能影响学习和资源，当前疾病或用药可能改变状态。多因素解释应尽量具体，也应当具有约束。只说“生物心理社会共同作用”仍然过于宽泛，把所有可能因素列在一起，也不等于已经理解个体原因。需要说明哪个因素在什么时点、通过什么过程、对什么结局产生影响，以及有哪些替代解释；还要判断哪些因素与症状变化一致、哪些有独立证据，以及改变它们是否产生预期结果。生物、心理和社会信息共同进入解释，同时各自保留证据强度。</w:t>
      </w:r>
    </w:p>
    <w:bookmarkEnd w:id="2018"/>
    <w:bookmarkStart w:id="2019" w:name="sec-129-3"/>
    <w:p>
      <w:pPr>
        <w:pStyle w:val="Heading3"/>
      </w:pPr>
      <w:r>
        <w:t xml:space="preserve">129.3　治疗有效与病因成立</w:t>
      </w:r>
    </w:p>
    <w:p>
      <w:pPr>
        <w:pStyle w:val="FirstParagraph"/>
      </w:pPr>
      <w:r>
        <w:t xml:space="preserve">DeRubeis等2005年随机分配240名中重度抑郁门诊患者接受药物、认知治疗或为期8周的药片安慰剂。8周时三组反应率分别为50%、43%和25%；16周时两个积极治疗组反应率均为58%，认知治疗的效果因研究地点而异，可能与治疗师经验有关</w:t>
      </w:r>
      <w:r>
        <w:rPr>
          <w:vertAlign w:val="superscript"/>
        </w:rPr>
        <w:t xml:space="preserve">[</w:t>
      </w:r>
      <w:hyperlink w:anchor="ref-1332">
        <w:r>
          <w:rPr>
            <w:rStyle w:val="Hyperlink"/>
            <w:vertAlign w:val="superscript"/>
          </w:rPr>
          <w:t xml:space="preserve">1332</w:t>
        </w:r>
      </w:hyperlink>
      <w:r>
        <w:rPr>
          <w:vertAlign w:val="superscript"/>
        </w:rPr>
        <w:t xml:space="preserve">]</w:t>
      </w:r>
      <w:r>
        <w:t xml:space="preserve">。它支持在所研究条件下结构化心理治疗能够帮助部分患者，无法证明任何谈话都同样有效，也无法作为严格等效结论。</w:t>
      </w:r>
    </w:p>
    <w:p>
      <w:pPr>
        <w:pStyle w:val="BodyText"/>
      </w:pPr>
      <w:r>
        <w:t xml:space="preserve">某治疗通过改变注意、行为或关系改善症状，说明这些过程可以参与治疗。原始病因仍可能多样。药物治疗同样如此。疗效研究评估一个可操作方案的效果，病因研究评估疾病如何形成。两类研究可以互相提示，但推断需要额外证据。</w:t>
      </w:r>
    </w:p>
    <w:bookmarkEnd w:id="2019"/>
    <w:bookmarkStart w:id="2020" w:name="sec-129-4"/>
    <w:p>
      <w:pPr>
        <w:pStyle w:val="Heading3"/>
      </w:pPr>
      <w:r>
        <w:t xml:space="preserve">129.4　平均疗效如何用于个人判断</w:t>
      </w:r>
    </w:p>
    <w:p>
      <w:pPr>
        <w:pStyle w:val="FirstParagraph"/>
      </w:pPr>
      <w:r>
        <w:t xml:space="preserve">临床试验的平均差异来自一个特定入组人群、比较方案和随访时间。个体可能显著受益、部分受益、没有改善或出现不良反应。预测个体反应通常比证明群体平均收益更困难。研究应报告效应分布、退出、依从性和不良结局，临床则需要持续监测与共同决策。</w:t>
      </w:r>
    </w:p>
    <w:p>
      <w:pPr>
        <w:pStyle w:val="BodyText"/>
      </w:pPr>
      <w:r>
        <w:t xml:space="preserve">反应率也依阈值。症状下降到某个比例可以被称为反应，达到较低症状水平可以被称为缓解，恢复日常功能又是另一结局。一个人可能达到量表反应标准却仍受明显困扰。宣传只挑最高的成功率，会隐去结局定义和剩余困难。</w:t>
      </w:r>
    </w:p>
    <w:bookmarkEnd w:id="2020"/>
    <w:bookmarkStart w:id="2021" w:name="sec-129-5"/>
    <w:p>
      <w:pPr>
        <w:pStyle w:val="Heading3"/>
      </w:pPr>
      <w:r>
        <w:t xml:space="preserve">129.5　自然波动与回归均值</w:t>
      </w:r>
    </w:p>
    <w:p>
      <w:pPr>
        <w:pStyle w:val="FirstParagraph"/>
      </w:pPr>
      <w:r>
        <w:t xml:space="preserve">许多人在症状最重时开始治疗，即使没有特异作用，后续也可能部分回落。同期生活变化、支持和期待也能影响症状。因此，单组前后改善通常高估特异治疗效果。随机比较帮助分离共同变化与方案增益，仍需关注盲法、失访和选择性报告。</w:t>
      </w:r>
    </w:p>
    <w:p>
      <w:pPr>
        <w:pStyle w:val="BodyText"/>
      </w:pPr>
      <w:r>
        <w:t xml:space="preserve">心理治疗难以让治疗师和参与者完全不知道方案，研究可通过可靠活性对照、独立盲法评估和预注册降低偏倚。药物试验也可能因副作用使参与者猜到分组。盲法实施与盲法是否成功，是两个需要分别检查的问题。</w:t>
      </w:r>
    </w:p>
    <w:bookmarkEnd w:id="2021"/>
    <w:bookmarkStart w:id="2022" w:name="sec-129-6"/>
    <w:p>
      <w:pPr>
        <w:pStyle w:val="Heading3"/>
      </w:pPr>
      <w:r>
        <w:t xml:space="preserve">129.6　双相病程与其他鉴别</w:t>
      </w:r>
    </w:p>
    <w:p>
      <w:pPr>
        <w:pStyle w:val="FirstParagraph"/>
      </w:pPr>
      <w:r>
        <w:t xml:space="preserve">抑郁症状可能出现在不同病程中，相似的注意下降、睡眠减少或情绪波动也可能出现在不同综合征中。既往躁狂或轻躁狂发作、持续时间、睡眠需求、精力与活动变化，会改变临床判断；持续性特征与清楚分段的发作、情绪变化与活动变化的关系、现实检验能力、身体症状和物质暴露，都会影响解释。NIH的双相障碍说明强调完整病程和身体、药物因素的鉴别</w:t>
      </w:r>
      <w:r>
        <w:rPr>
          <w:vertAlign w:val="superscript"/>
        </w:rPr>
        <w:t xml:space="preserve">[</w:t>
      </w:r>
      <w:hyperlink w:anchor="ref-1333">
        <w:r>
          <w:rPr>
            <w:rStyle w:val="Hyperlink"/>
            <w:vertAlign w:val="superscript"/>
          </w:rPr>
          <w:t xml:space="preserve">1333</w:t>
        </w:r>
      </w:hyperlink>
      <w:r>
        <w:rPr>
          <w:vertAlign w:val="superscript"/>
        </w:rPr>
        <w:t xml:space="preserve">]</w:t>
      </w:r>
      <w:r>
        <w:t xml:space="preserve">。单一症状无法承担完整诊断，日常情绪波动无法独自证明双相障碍，网络标签也不能代替评估。</w:t>
      </w:r>
    </w:p>
    <w:p>
      <w:pPr>
        <w:pStyle w:val="BodyText"/>
      </w:pPr>
      <w:r>
        <w:t xml:space="preserve">认知或行为突然改变还可能与谵妄、神经疾病、内分泌、免疫、感染、物质影响或药物反应有关。出现方式、进展速度、意识状态、发热、神经体征和身体背景会影响诊断方向，并提示是否需要扩大评估范围。原则是保留医学鉴别：把所有异常都归于心理压力，可能遗漏可治疗的身体原因；把全部精神困扰都假定为罕见身体疾病，或要求所有情绪困难都找到单一器质病灶，也可能延误支持。已有精神诊断的人出现新问题时，同样不能因既往诊断而忽略。</w:t>
      </w:r>
    </w:p>
    <w:bookmarkEnd w:id="2022"/>
    <w:bookmarkStart w:id="2023" w:name="sec-129-7"/>
    <w:p>
      <w:pPr>
        <w:pStyle w:val="Heading3"/>
      </w:pPr>
      <w:r>
        <w:t xml:space="preserve">129.7　社会环境作为可研究原因</w:t>
      </w:r>
    </w:p>
    <w:p>
      <w:pPr>
        <w:pStyle w:val="FirstParagraph"/>
      </w:pPr>
      <w:r>
        <w:t xml:space="preserve">贫困、暴力、歧视、失业和孤立可能影响风险，也可能受到疾病反向影响。研究应尽量区分时间顺序和共同原因。政策自然实验、纵向研究和干预可以提供信息，但都需要明确识别假设。观察到环境与症状相关，既不能自动认定全部因果，也不能因为有遗传因素就忽略环境证据。</w:t>
      </w:r>
    </w:p>
    <w:p>
      <w:pPr>
        <w:pStyle w:val="BodyText"/>
      </w:pPr>
      <w:r>
        <w:t xml:space="preserve">实际支持可以同时处理症状和环境。例如睡眠治疗、心理支持、药物与工作调整可能针对不同环节。某一环节有效不要求其他环节无关。方案评价需要看个人目标、可获得资源和总负担，避免让治疗责任全部落在处境受限者身上。</w:t>
      </w:r>
    </w:p>
    <w:bookmarkEnd w:id="2023"/>
    <w:bookmarkStart w:id="2024" w:name="sec-129-8"/>
    <w:p>
      <w:pPr>
        <w:pStyle w:val="Heading3"/>
      </w:pPr>
      <w:r>
        <w:t xml:space="preserve">129.8　脑扫描与个体解释</w:t>
      </w:r>
    </w:p>
    <w:p>
      <w:pPr>
        <w:pStyle w:val="FirstParagraph"/>
      </w:pPr>
      <w:r>
        <w:t xml:space="preserve">群体影像可能发现平均结构或功能差异。个体诊断需要足够敏感性、特异性和外部验证，并证明结果能改善实际决策。不同疾病共享某些影像特征，同一疾病内部又可能差异很大。漂亮脑图无法自动解释某位患者为何出现症状，也无法证明其痛苦更真实。</w:t>
      </w:r>
    </w:p>
    <w:p>
      <w:pPr>
        <w:pStyle w:val="BodyText"/>
      </w:pPr>
      <w:r>
        <w:t xml:space="preserve">没有找到某个影像异常，同样无法排除全部精神障碍。测量分辨率、任务选择与生理状态限制了观察范围。客观数据与主观报告都需要检验可靠性与用途。对体验的尊重不要求每种症状都先获得一个可见病灶。</w:t>
      </w:r>
    </w:p>
    <w:bookmarkEnd w:id="2024"/>
    <w:bookmarkStart w:id="2025" w:name="sec-129-9"/>
    <w:p>
      <w:pPr>
        <w:pStyle w:val="Heading3"/>
      </w:pPr>
      <w:r>
        <w:t xml:space="preserve">129.9　治疗风险与停药问题</w:t>
      </w:r>
    </w:p>
    <w:p>
      <w:pPr>
        <w:pStyle w:val="FirstParagraph"/>
      </w:pPr>
      <w:r>
        <w:t xml:space="preserve">治疗选择应同时讨论可能收益、不良反应、时间负担、替代方案和个人偏好。NICE抑郁指南要求对药物开始、持续与停止进行计划，并明确撤药反应可能发生，减量节奏需要结合个人情况</w:t>
      </w:r>
      <w:r>
        <w:rPr>
          <w:vertAlign w:val="superscript"/>
        </w:rPr>
        <w:t xml:space="preserve">[</w:t>
      </w:r>
      <w:hyperlink w:anchor="ref-863">
        <w:r>
          <w:rPr>
            <w:rStyle w:val="Hyperlink"/>
            <w:vertAlign w:val="superscript"/>
          </w:rPr>
          <w:t xml:space="preserve">863</w:t>
        </w:r>
      </w:hyperlink>
      <w:r>
        <w:rPr>
          <w:vertAlign w:val="superscript"/>
        </w:rPr>
        <w:t xml:space="preserve">]</w:t>
      </w:r>
      <w:r>
        <w:t xml:space="preserve">。停药后的症状需要区分撤药反应、原病复发和其他变化，出现时间只是线索之一，不能凭单一特征草率归类。长期使用的药物可能产生神经适应，突然改变暴露可以带来症状；具体过程因药物和个体而异。把所有停药不适都归为疾病复发，或全部归为药物损害，都会妨碍准确判断。</w:t>
      </w:r>
    </w:p>
    <w:p>
      <w:pPr>
        <w:pStyle w:val="BodyText"/>
      </w:pPr>
      <w:r>
        <w:t xml:space="preserve">心理干预也可能有负担，包括短期痛苦、时间成本、不合适的解释和不良治疗关系。研究若只记录平均改善，不主动监测伤害，就无法完整评价收益风险。没有药物成分并不能保证零风险，专业名称也无法保证干预质量。</w:t>
      </w:r>
    </w:p>
    <w:bookmarkEnd w:id="2025"/>
    <w:bookmarkStart w:id="2026" w:name="sec-129-10"/>
    <w:p>
      <w:pPr>
        <w:pStyle w:val="Heading3"/>
      </w:pPr>
      <w:r>
        <w:t xml:space="preserve">129.10　诊断标签的用途与局限</w:t>
      </w:r>
    </w:p>
    <w:p>
      <w:pPr>
        <w:pStyle w:val="FirstParagraph"/>
      </w:pPr>
      <w:r>
        <w:t xml:space="preserve">诊断有助于组织治疗、沟通风险和获取服务，也可能带来污名或过度概括。一个标签无法表达个人所有能力、价值和未来。临床描述应保留具体困难、优势、病程与目标，避免把统计风险变成对个人的确定预言。</w:t>
      </w:r>
    </w:p>
    <w:p>
      <w:pPr>
        <w:pStyle w:val="BodyText"/>
      </w:pPr>
      <w:r>
        <w:t xml:space="preserve">同样，否定污名不需要否认疾病的严重性。严重抑郁、精神病性状态和躁狂可能造成重大风险和功能损害，需要及时专业评估。尊重自主与必要支持应根据能力、风险和当地法律伦理要求具体处理。书中的一般框架不能裁定某位读者的临床状态。</w:t>
      </w:r>
    </w:p>
    <w:bookmarkEnd w:id="2026"/>
    <w:bookmarkStart w:id="2027" w:name="sec-129-11"/>
    <w:p>
      <w:pPr>
        <w:pStyle w:val="Heading3"/>
      </w:pPr>
      <w:r>
        <w:t xml:space="preserve">129.11　同一症状可以由不同环节产生</w:t>
      </w:r>
    </w:p>
    <w:p>
      <w:pPr>
        <w:pStyle w:val="FirstParagraph"/>
      </w:pPr>
      <w:r>
        <w:t xml:space="preserve">精神症状通常反映多个系统的综合表现。以动力下降为例，可能涉及奖励预期减弱、行动成本增加、疲劳、运动迟缓、失败预期或环境缺少可获得回报。表面上都是“难以开始”，内部瓶颈却可能不同。精确研究需要把这些过程拆开测量，临床也需要了解症状的具体体验和情境。</w:t>
      </w:r>
    </w:p>
    <w:p>
      <w:pPr>
        <w:pStyle w:val="BodyText"/>
      </w:pPr>
      <w:r>
        <w:t xml:space="preserve">睡眠、食欲、注意和情绪之间还会形成反馈。睡眠受损可以影响情绪调节，持续担忧又可以妨碍睡眠；活动减少可能降低愉悦和社会接触，情绪低落又进一步减少活动。这样的循环可以使问题持续，即使最初触发因素已经改变。识别维持环节有助于解释为何不同干预都可能产生收益。</w:t>
      </w:r>
    </w:p>
    <w:bookmarkEnd w:id="2027"/>
    <w:bookmarkStart w:id="2028" w:name="sec-129-12"/>
    <w:p>
      <w:pPr>
        <w:pStyle w:val="Heading3"/>
      </w:pPr>
      <w:r>
        <w:t xml:space="preserve">129.12　状态、特质与后果</w:t>
      </w:r>
    </w:p>
    <w:p>
      <w:pPr>
        <w:pStyle w:val="FirstParagraph"/>
      </w:pPr>
      <w:r>
        <w:t xml:space="preserve">某种生物指标在患者中不同，可能代表发作期间的状态、长期易感特质、治疗影响或疾病后果。若指标在缓解后恢复，支持状态相关解释；若在未发病高风险者中也存在，可能与易感有关；若随药物暴露变化，则需要考虑治疗作用。这些关系都不能单靠一次患者与健康者比较确定。</w:t>
      </w:r>
    </w:p>
    <w:p>
      <w:pPr>
        <w:pStyle w:val="BodyText"/>
      </w:pPr>
      <w:r>
        <w:t xml:space="preserve">脑结构和功能也可能包含代偿。某区域活动增强，可以表示负荷增加、效率降低、努力增加或成功补偿。若没有行为和任务条件，难以在这些解释间选择。将增强直接写成“过度活跃病灶”，或将减弱直接写成“功能丧失”，都可能过早。</w:t>
      </w:r>
    </w:p>
    <w:p>
      <w:pPr>
        <w:pStyle w:val="BodyText"/>
      </w:pPr>
      <w:r>
        <w:t xml:space="preserve">病程长度会改变观察。早期患者、长期反复发作者和长期服药者之间存在许多差别。研究中排除合并疾病可以提高某些机制分析的清晰度，却可能降低对现实临床人群的代表性。临床应用需要知道研究者究竟研究了哪类患者。</w:t>
      </w:r>
    </w:p>
    <w:bookmarkEnd w:id="2028"/>
    <w:bookmarkStart w:id="2029" w:name="sec-129-13"/>
    <w:p>
      <w:pPr>
        <w:pStyle w:val="Heading3"/>
      </w:pPr>
      <w:r>
        <w:t xml:space="preserve">129.13　跨诊断维度的研究价值</w:t>
      </w:r>
    </w:p>
    <w:p>
      <w:pPr>
        <w:pStyle w:val="FirstParagraph"/>
      </w:pPr>
      <w:r>
        <w:t xml:space="preserve">NIMH 的 RDoC 框架鼓励从威胁、奖励、认知、社会过程等功能维度出发，结合遗传、生理、行为与自我报告，研究跨诊断机制。该框架明确属于研究用途，不能直接作为当前个人诊断指南。其价值在于探索传统类别内部的异质性及类别之间的共同过程，同时不否定现有临床诊断在沟通和服务中的用途</w:t>
      </w:r>
      <w:r>
        <w:rPr>
          <w:vertAlign w:val="superscript"/>
        </w:rPr>
        <w:t xml:space="preserve">[</w:t>
      </w:r>
      <w:hyperlink w:anchor="ref-1334">
        <w:r>
          <w:rPr>
            <w:rStyle w:val="Hyperlink"/>
            <w:vertAlign w:val="superscript"/>
          </w:rPr>
          <w:t xml:space="preserve">1334</w:t>
        </w:r>
      </w:hyperlink>
      <w:r>
        <w:rPr>
          <w:vertAlign w:val="superscript"/>
        </w:rPr>
        <w:t xml:space="preserve">]</w:t>
      </w:r>
      <w:r>
        <w:t xml:space="preserve">。</w:t>
      </w:r>
    </w:p>
    <w:p>
      <w:pPr>
        <w:pStyle w:val="BodyText"/>
      </w:pPr>
      <w:r>
        <w:t xml:space="preserve">一个维度可以连续分布，而临床仍需要行动阈值。例如担忧从日常体验到严重影响生活可能没有天然的分界点，医疗决策却需要考虑持续时间、痛苦、功能和风险。连续性不意味着严重障碍只是普通情绪的随意命名，也不意味着阈值完全没有依据。</w:t>
      </w:r>
    </w:p>
    <w:p>
      <w:pPr>
        <w:pStyle w:val="BodyText"/>
      </w:pPr>
      <w:r>
        <w:t xml:space="preserve">维度研究还可以帮助选择更具体结局。某干预可能改善快感缺失，却对睡眠影响较小；另一干预可能首先改善睡眠，再间接影响情绪。总症状分数可以概括整体变化，分维度结果则帮助理解作用范围。多维分析需要预先规划，避免事后只报告最有利的一项。</w:t>
      </w:r>
    </w:p>
    <w:bookmarkEnd w:id="2029"/>
    <w:bookmarkStart w:id="2030" w:name="sec-129-14"/>
    <w:p>
      <w:pPr>
        <w:pStyle w:val="Heading3"/>
      </w:pPr>
      <w:r>
        <w:t xml:space="preserve">129.14　遗传与神经免疫线索</w:t>
      </w:r>
    </w:p>
    <w:p>
      <w:pPr>
        <w:pStyle w:val="FirstParagraph"/>
      </w:pPr>
      <w:r>
        <w:t xml:space="preserve">早期抑郁遗传流行病学元分析已经支持遗传与个体环境共同贡献。其历史遗传率估计描述特定样本和模型中的易感方差，不能给某位患者分配固定病因比例。现代研究进一步增加了遗传统计信息，完整机制仍需要细胞、回路和发展证据连接</w:t>
      </w:r>
      <w:r>
        <w:rPr>
          <w:vertAlign w:val="superscript"/>
        </w:rPr>
        <w:t xml:space="preserve">[</w:t>
      </w:r>
      <w:hyperlink w:anchor="ref-1335">
        <w:r>
          <w:rPr>
            <w:rStyle w:val="Hyperlink"/>
            <w:vertAlign w:val="superscript"/>
          </w:rPr>
          <w:t xml:space="preserve">1335</w:t>
        </w:r>
      </w:hyperlink>
      <w:r>
        <w:rPr>
          <w:vertAlign w:val="superscript"/>
        </w:rPr>
        <w:t xml:space="preserve">]</w:t>
      </w:r>
      <w:r>
        <w:t xml:space="preserve">。</w:t>
      </w:r>
    </w:p>
    <w:p>
      <w:pPr>
        <w:pStyle w:val="BodyText"/>
      </w:pPr>
      <w:r>
        <w:t xml:space="preserve">Sekar 等人将精神分裂症相关的 C4 结构变异、脑中表达及小鼠突触修整联系起来，提出补体参与风险机制的线索。它展示了从遗传关联向机制推进的路线，也不能说明所有精神分裂症都由过度修剪造成。人体风险关联和动物操作分别提供不同证据，尚需检验作用的阶段、细胞及个体差异</w:t>
      </w:r>
      <w:r>
        <w:rPr>
          <w:vertAlign w:val="superscript"/>
        </w:rPr>
        <w:t xml:space="preserve">[</w:t>
      </w:r>
      <w:hyperlink w:anchor="ref-1336">
        <w:r>
          <w:rPr>
            <w:rStyle w:val="Hyperlink"/>
            <w:vertAlign w:val="superscript"/>
          </w:rPr>
          <w:t xml:space="preserve">1336</w:t>
        </w:r>
      </w:hyperlink>
      <w:r>
        <w:rPr>
          <w:vertAlign w:val="superscript"/>
        </w:rPr>
        <w:t xml:space="preserve">]</w:t>
      </w:r>
      <w:r>
        <w:t xml:space="preserve">。</w:t>
      </w:r>
    </w:p>
    <w:p>
      <w:pPr>
        <w:pStyle w:val="BodyText"/>
      </w:pPr>
      <w:r>
        <w:t xml:space="preserve">免疫系统的发现也不支持把所有精神症状称为炎症性脑病。外周炎症指标具有多种来源，可能与身体疾病、睡眠、体重、药物和生活环境相关（抑郁中的炎症证据见</w:t>
      </w:r>
      <w:r>
        <w:t xml:space="preserve"> </w:t>
      </w:r>
      <w:hyperlink w:anchor="sec-130-6">
        <w:r>
          <w:rPr>
            <w:rStyle w:val="Hyperlink"/>
          </w:rPr>
          <w:t xml:space="preserve">130.6</w:t>
        </w:r>
      </w:hyperlink>
      <w:r>
        <w:t xml:space="preserve">）。若要用某指标选择抗炎治疗，需要证明它能够预测相对治疗收益，并且治疗的净收益得到临床验证。机制关联本身无法完成这一步。</w:t>
      </w:r>
    </w:p>
    <w:bookmarkEnd w:id="2030"/>
    <w:bookmarkStart w:id="2031" w:name="sec-129-15"/>
    <w:p>
      <w:pPr>
        <w:pStyle w:val="Heading3"/>
      </w:pPr>
      <w:r>
        <w:t xml:space="preserve">129.15　脑回路与心理意义可以共同解释</w:t>
      </w:r>
    </w:p>
    <w:p>
      <w:pPr>
        <w:pStyle w:val="FirstParagraph"/>
      </w:pPr>
      <w:r>
        <w:t xml:space="preserve">对威胁的持续警觉可以在回路活动、身体反应和主观担忧中同时表现。回路描述说明信息处理如何实现，心理描述说明个体如何理解和体验情境，社会描述说明威胁是否真实存在及资源是否足够。三个层次可以相互约束，任何一个层次都不必把另两个层次取消。</w:t>
      </w:r>
    </w:p>
    <w:p>
      <w:pPr>
        <w:pStyle w:val="BodyText"/>
      </w:pPr>
      <w:r>
        <w:t xml:space="preserve">如果一个人处于持续危险或不稳定环境，某些警觉反应可能具有现实基础。临床需要同时评估症状负担和环境条件。仅训练个体放松，可能无法解决正在发生的威胁；改善环境也可能不足以立即解除已经形成的警觉学习。多层次干预的合理性来自这些具体路径。</w:t>
      </w:r>
    </w:p>
    <w:p>
      <w:pPr>
        <w:pStyle w:val="BodyText"/>
      </w:pPr>
      <w:r>
        <w:t xml:space="preserve">心理治疗涉及学习、注意、记忆、关系和行为改变，这些过程通过神经系统实现。观察到治疗后脑信号变化可以支持相应生理联系，却不能证明所有治疗都通过同一机制。药物治疗同样可能通过改变睡眠、情绪和行动条件，间接影响生活经验。不同干预之间可以存在相互促进。</w:t>
      </w:r>
    </w:p>
    <w:bookmarkEnd w:id="2031"/>
    <w:bookmarkStart w:id="2032" w:name="sec-129-16"/>
    <w:p>
      <w:pPr>
        <w:pStyle w:val="Heading3"/>
      </w:pPr>
      <w:r>
        <w:t xml:space="preserve">129.16　临床鉴别需要识别病程结构</w:t>
      </w:r>
    </w:p>
    <w:p>
      <w:pPr>
        <w:pStyle w:val="FirstParagraph"/>
      </w:pPr>
      <w:r>
        <w:t xml:space="preserve">诊断可以随着纵向信息完善。早期资料不足时，暂时使用较宽的描述并继续观察，可能比过早固定标签更准确。调整诊断不一定表示先前工作完全无效，可能反映病程新证据出现。沟通应说明确定程度和当前需要解决的功能问题。</w:t>
      </w:r>
    </w:p>
    <w:bookmarkEnd w:id="2032"/>
    <w:bookmarkStart w:id="2033" w:name="sec-129-17"/>
    <w:p>
      <w:pPr>
        <w:pStyle w:val="Heading3"/>
      </w:pPr>
      <w:r>
        <w:t xml:space="preserve">129.17　治疗目标与个人恢复</w:t>
      </w:r>
    </w:p>
    <w:p>
      <w:pPr>
        <w:pStyle w:val="FirstParagraph"/>
      </w:pPr>
      <w:r>
        <w:t xml:space="preserve">症状缓解、功能恢复和个人恢复相关但不完全同步。一个人量表分数下降，仍可能需要重建工作、关系和自信；另一个人仍有部分症状，却通过支持实现有意义生活。评估不应只用单一分数宣布全部恢复或全部失败。</w:t>
      </w:r>
    </w:p>
    <w:p>
      <w:pPr>
        <w:pStyle w:val="BodyText"/>
      </w:pPr>
      <w:r>
        <w:t xml:space="preserve">治疗选择还受到既往反应、偏好、可及性和风险影响。平均疗效相近的方案，对不同人可能有不同负担。共同决策应让人理解可预期收益、常见不良影响和不确定性，同时保留调整空间。研究者的最优统计终点不一定与每位患者最重视的目标完全一致。</w:t>
      </w:r>
    </w:p>
    <w:bookmarkEnd w:id="2033"/>
    <w:bookmarkStart w:id="2034" w:name="sec-129-18"/>
    <w:p>
      <w:pPr>
        <w:pStyle w:val="Heading3"/>
      </w:pPr>
      <w:r>
        <w:t xml:space="preserve">129.18　诊断与污名的双向关系</w:t>
      </w:r>
    </w:p>
    <w:p>
      <w:pPr>
        <w:pStyle w:val="FirstParagraph"/>
      </w:pPr>
      <w:r>
        <w:t xml:space="preserve">生物解释有时能够减轻责备，也可能让人误以为问题不可改变。心理解释有时能够增加行动空间，也可能被误用为“想开就好”。解释的效果取决于具体语言。一个更准确的表述同时承认症状的真实性、复杂机制和可改变的环节。</w:t>
      </w:r>
    </w:p>
    <w:p>
      <w:pPr>
        <w:pStyle w:val="BodyText"/>
      </w:pPr>
      <w:r>
        <w:t xml:space="preserve">精神障碍不决定一个人的全部身份和能力。风险判断应基于具体症状、病史和情境，不能从诊断标签推导危险、无能或不可信。临床科学的目标包括减轻痛苦和改善功能，同时尊重个人的权利与参与。</w:t>
      </w:r>
    </w:p>
    <w:bookmarkEnd w:id="2034"/>
    <w:bookmarkStart w:id="2035" w:name="sec-129-19"/>
    <w:p>
      <w:pPr>
        <w:pStyle w:val="Heading3"/>
      </w:pPr>
      <w:r>
        <w:t xml:space="preserve">129.19　假设案例与推理</w:t>
      </w:r>
    </w:p>
    <w:p>
      <w:pPr>
        <w:pStyle w:val="FirstParagraph"/>
      </w:pPr>
      <w:r>
        <w:t xml:space="preserve">假设一位患者药物治疗后改善，有人据此认为其病因已经被证明为某递质不足。疗效证明缺少这个倒推环节。又假设心理治疗改善，有人据此认为疾病完全来自错误想法，同样超出证据。两个治疗可以通过不同或重叠路径帮助症状，病因仍需独立研究。</w:t>
      </w:r>
    </w:p>
    <w:p>
      <w:pPr>
        <w:pStyle w:val="BodyText"/>
      </w:pPr>
      <w:r>
        <w:t xml:space="preserve">假设一位患者没有改善，不能直接解释为不配合或不想好。需要检查诊断、疗程、剂量、可及性、合并疾病、环境压力、依从障碍与测量。保持可检验解释，才能让治疗失败提供有用信息。</w:t>
      </w:r>
    </w:p>
    <w:p>
      <w:pPr>
        <w:pStyle w:val="BodyText"/>
      </w:pPr>
      <w:r>
        <w:t xml:space="preserve">精神障碍的科学理解需要同时承认生物基础、经验影响、临床异质性与现实处境。强结论必须来自相应设计，个人支持则应围绕真实需求与可验证的收益组织。</w:t>
      </w:r>
    </w:p>
    <w:bookmarkEnd w:id="2035"/>
    <w:bookmarkEnd w:id="2036"/>
    <w:bookmarkStart w:id="2062" w:name="ch-130"/>
    <w:p>
      <w:pPr>
        <w:pStyle w:val="Heading2"/>
      </w:pPr>
      <w:r>
        <w:t xml:space="preserve">第130章　抑郁与双相障碍的症候结构及治疗证据</w:t>
      </w:r>
    </w:p>
    <w:bookmarkStart w:id="2037" w:name="sec-130-1"/>
    <w:p>
      <w:pPr>
        <w:pStyle w:val="Heading3"/>
      </w:pPr>
      <w:r>
        <w:t xml:space="preserve">130.1　情绪状态与完整病程</w:t>
      </w:r>
    </w:p>
    <w:p>
      <w:pPr>
        <w:pStyle w:val="FirstParagraph"/>
      </w:pPr>
      <w:r>
        <w:t xml:space="preserve">抑郁和双相障碍的临床理解依赖纵向病程。一次情绪低落可以发生在悲伤、持续压力、身体疾病或多种精神综合征中；一次精力充沛也可能是正常变化。持续长度、与平时相比的改变、睡眠需求、活动、现实检验和功能影响，共同决定这种变化如何被分类。不同病程在某个时点可以表现相似，因此只看当前量表容易遗漏重要信息</w:t>
      </w:r>
      <w:r>
        <w:rPr>
          <w:vertAlign w:val="superscript"/>
        </w:rPr>
        <w:t xml:space="preserve">[</w:t>
      </w:r>
      <w:hyperlink w:anchor="ref-862">
        <w:r>
          <w:rPr>
            <w:rStyle w:val="Hyperlink"/>
            <w:vertAlign w:val="superscript"/>
          </w:rPr>
          <w:t xml:space="preserve">862</w:t>
        </w:r>
      </w:hyperlink>
      <w:r>
        <w:rPr>
          <w:vertAlign w:val="superscript"/>
        </w:rPr>
        <w:t xml:space="preserve">,</w:t>
      </w:r>
      <w:hyperlink w:anchor="ref-1333">
        <w:r>
          <w:rPr>
            <w:rStyle w:val="Hyperlink"/>
            <w:vertAlign w:val="superscript"/>
          </w:rPr>
          <w:t xml:space="preserve">1333</w:t>
        </w:r>
      </w:hyperlink>
      <w:r>
        <w:rPr>
          <w:vertAlign w:val="superscript"/>
        </w:rPr>
        <w:t xml:space="preserve">]</w:t>
      </w:r>
      <w:r>
        <w:t xml:space="preserve">。</w:t>
      </w:r>
    </w:p>
    <w:p>
      <w:pPr>
        <w:pStyle w:val="BodyText"/>
      </w:pPr>
      <w:r>
        <w:t xml:space="preserve">病程记录需要允许不确定性。有些人在首次抑郁发作时尚无能够支持双相病程的资料，后续出现明确躁狂或轻躁狂才改变判断。纵向修正符合证据累积的逻辑，不应通过事后回忆把此前每一个好心情都重新命名为躁狂。</w:t>
      </w:r>
    </w:p>
    <w:p>
      <w:pPr>
        <w:pStyle w:val="BodyText"/>
      </w:pPr>
      <w:r>
        <w:t xml:space="preserve">同时，诊断不能吞没个人生活。一个人在疾病期间仍可能保有兴趣、能力和清晰判断，某些功能受损也不能自动推广到全部领域。临床描述应说明具体哪些过程改变、何时改变，以及这些变化如何影响当事人的目标。</w:t>
      </w:r>
    </w:p>
    <w:bookmarkEnd w:id="2037"/>
    <w:bookmarkStart w:id="2038" w:name="sec-130-2"/>
    <w:p>
      <w:pPr>
        <w:pStyle w:val="Heading3"/>
      </w:pPr>
      <w:r>
        <w:t xml:space="preserve">130.2　抑郁发作中的异质性</w:t>
      </w:r>
    </w:p>
    <w:p>
      <w:pPr>
        <w:pStyle w:val="FirstParagraph"/>
      </w:pPr>
      <w:r>
        <w:t xml:space="preserve">抑郁发作可包含低落、兴趣和愉悦减退、睡眠与食欲变化、精力不足、思维迟缓、内疚和自我评价下降等不同组合。有人活动减少、睡眠增加，有人明显焦虑、坐立不安且难以入睡。总分相近的两个人，具体负担可能差异很大；这种异质性会影响机制研究和治疗结局的解释</w:t>
      </w:r>
      <w:r>
        <w:rPr>
          <w:vertAlign w:val="superscript"/>
        </w:rPr>
        <w:t xml:space="preserve">[</w:t>
      </w:r>
      <w:hyperlink w:anchor="ref-862">
        <w:r>
          <w:rPr>
            <w:rStyle w:val="Hyperlink"/>
            <w:vertAlign w:val="superscript"/>
          </w:rPr>
          <w:t xml:space="preserve">862</w:t>
        </w:r>
      </w:hyperlink>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p>
      <w:pPr>
        <w:pStyle w:val="BodyText"/>
      </w:pPr>
      <w:r>
        <w:t xml:space="preserve">忧郁性特征、非典型特征、精神病性症状或焦虑痛苦等描述，尝试保留症状的组织方式。它们具有临床沟通价值，但不能被当作已经找到独立分子病种的证明。分类可帮助提出更具体问题，例如节律、精神运动或现实检验是否特别受累，仍需要个体化的完整评估。</w:t>
      </w:r>
    </w:p>
    <w:p>
      <w:pPr>
        <w:pStyle w:val="BodyText"/>
      </w:pPr>
      <w:r>
        <w:t xml:space="preserve">认知困难也有不同来源。信息处理变慢、注意被反刍占用、睡眠不足和过度担忧，都可能使记忆表现下降。学习阶段没有充分编码的信息，日后难以提取，并不直接证明记忆储存系统已出现不可逆结构损坏。机制拆分有助于设定更合适的功能目标。</w:t>
      </w:r>
    </w:p>
    <w:bookmarkEnd w:id="2038"/>
    <w:bookmarkStart w:id="2039" w:name="sec-130-3"/>
    <w:p>
      <w:pPr>
        <w:pStyle w:val="Heading3"/>
      </w:pPr>
      <w:r>
        <w:t xml:space="preserve">130.3　快感缺失的多个环节</w:t>
      </w:r>
    </w:p>
    <w:p>
      <w:pPr>
        <w:pStyle w:val="FirstParagraph"/>
      </w:pPr>
      <w:r>
        <w:t xml:space="preserve">快感缺失可以涉及实际体验愉悦减弱，也可以表现为难以期待奖励、难以为获得奖励付出努力，或难以从正性结果更新预期。研究中的努力选择任务显示，部分抑郁患者在奖励大小、成功概率与行动成本之间的整合出现差异。这个结果支持对动力过程进行细化，不能将实验中的较少努力解释为品格问题</w:t>
      </w:r>
      <w:r>
        <w:rPr>
          <w:vertAlign w:val="superscript"/>
        </w:rPr>
        <w:t xml:space="preserve">[</w:t>
      </w:r>
      <w:hyperlink w:anchor="ref-1337">
        <w:r>
          <w:rPr>
            <w:rStyle w:val="Hyperlink"/>
            <w:vertAlign w:val="superscript"/>
          </w:rPr>
          <w:t xml:space="preserve">1337</w:t>
        </w:r>
      </w:hyperlink>
      <w:r>
        <w:rPr>
          <w:vertAlign w:val="superscript"/>
        </w:rPr>
        <w:t xml:space="preserve">]</w:t>
      </w:r>
      <w:r>
        <w:t xml:space="preserve">。</w:t>
      </w:r>
    </w:p>
    <w:p>
      <w:pPr>
        <w:pStyle w:val="BodyText"/>
      </w:pPr>
      <w:r>
        <w:t xml:space="preserve">可以用三个假设情境区分。甲吃到喜欢的食物时仍有愉悦，却事前无法想象会开心；乙能够期待愉悦，但觉得准备和出门成本过高；丙参加活动后有短暂好体验，却很快将它解释为偶然。这三种困难都可能让人减少活动，适合追问的环节却分别是预期、成本和学习更新。</w:t>
      </w:r>
    </w:p>
    <w:p>
      <w:pPr>
        <w:pStyle w:val="BodyText"/>
      </w:pPr>
      <w:r>
        <w:t xml:space="preserve">奖励回路涉及纹状体、前额叶及多个调节系统。多巴胺参与动机和学习，其作用不能压缩为快乐浓度。疼痛、疲劳、身体疾病和现实资源也改变行动成本。一个失业且缺少交通条件的人，活动减少可能同时来自症状和环境限制，单一脑指标无法替代这些信息。</w:t>
      </w:r>
    </w:p>
    <w:bookmarkEnd w:id="2039"/>
    <w:bookmarkStart w:id="2040" w:name="sec-130-4"/>
    <w:p>
      <w:pPr>
        <w:pStyle w:val="Heading3"/>
      </w:pPr>
      <w:r>
        <w:t xml:space="preserve">130.4　精神运动变化与情绪内容</w:t>
      </w:r>
    </w:p>
    <w:p>
      <w:pPr>
        <w:pStyle w:val="FirstParagraph"/>
      </w:pPr>
      <w:r>
        <w:t xml:space="preserve">精神运动迟滞可能体现在启动、说话速度、动作和反应上，激越则可能表现为持续紧张和难以静止。它们与主观悲伤相关却不完全同步。观察动作能够提供症候信息，但需要考虑药物、不宁腿、帕金森综合征、疼痛及其他运动问题。</w:t>
      </w:r>
    </w:p>
    <w:p>
      <w:pPr>
        <w:pStyle w:val="BodyText"/>
      </w:pPr>
      <w:r>
        <w:t xml:space="preserve">从控制系统角度看，行为启动需要目标估值、行动选择、运动准备和执行共同完成。一个人知道应该做什么，却无法顺利开始，可能在其中多个环节受阻。提高外部要求若没有减少主要障碍，未必改善执行；将任务分解、减少无关负担或提供支持，可能改变可完成程度，但具体方法仍需结合临床情况。</w:t>
      </w:r>
    </w:p>
    <w:p>
      <w:pPr>
        <w:pStyle w:val="BodyText"/>
      </w:pPr>
      <w:r>
        <w:t xml:space="preserve">精神运动改变也影响量表回答。严重迟滞者可能很难在一次短访谈中表达体验，激越者则可能难以连续关注问题。评估需要给足时间并核对状态，不能把回答少直接解释为症状轻或缺乏治疗意愿。</w:t>
      </w:r>
    </w:p>
    <w:bookmarkEnd w:id="2040"/>
    <w:bookmarkStart w:id="2041" w:name="sec-130-5"/>
    <w:p>
      <w:pPr>
        <w:pStyle w:val="Heading3"/>
      </w:pPr>
      <w:r>
        <w:t xml:space="preserve">130.5　应激轴与节律变化</w:t>
      </w:r>
    </w:p>
    <w:p>
      <w:pPr>
        <w:pStyle w:val="FirstParagraph"/>
      </w:pPr>
      <w:r>
        <w:t xml:space="preserve">下丘脑—垂体—肾上腺轴连接应激、代谢和免疫调节，昼夜节律及睡眠又影响其活动。部分抑郁人群存在相关平均改变，个体差异和病程影响很大。一个外周激素结果会受到采样时间、睡眠、疾病、药物和情境影响，因此不能单凭皮质醇浓度确认全部抑郁机制</w:t>
      </w:r>
      <w:r>
        <w:rPr>
          <w:vertAlign w:val="superscript"/>
        </w:rPr>
        <w:t xml:space="preserve">[</w:t>
      </w:r>
      <w:hyperlink w:anchor="ref-889">
        <w:r>
          <w:rPr>
            <w:rStyle w:val="Hyperlink"/>
            <w:vertAlign w:val="superscript"/>
          </w:rPr>
          <w:t xml:space="preserve">889</w:t>
        </w:r>
      </w:hyperlink>
      <w:r>
        <w:rPr>
          <w:vertAlign w:val="superscript"/>
        </w:rPr>
        <w:t xml:space="preserve">,</w:t>
      </w:r>
      <w:hyperlink w:anchor="ref-899">
        <w:r>
          <w:rPr>
            <w:rStyle w:val="Hyperlink"/>
            <w:vertAlign w:val="superscript"/>
          </w:rPr>
          <w:t xml:space="preserve">899</w:t>
        </w:r>
      </w:hyperlink>
      <w:r>
        <w:rPr>
          <w:vertAlign w:val="superscript"/>
        </w:rPr>
        <w:t xml:space="preserve">]</w:t>
      </w:r>
      <w:r>
        <w:t xml:space="preserve">。</w:t>
      </w:r>
    </w:p>
    <w:p>
      <w:pPr>
        <w:pStyle w:val="BodyText"/>
      </w:pPr>
      <w:r>
        <w:t xml:space="preserve">昼夜节律可以影响情绪的时间分布，也可能被发作打乱。清晨症状较重、睡眠相位变化或睡眠碎片化提供线索，不能被解释为所有患者共有同一时钟缺陷。生物时间和社会安排的错位还可能增加维持负担，尤其在夜班、照护和生活不稳定情境中。</w:t>
      </w:r>
    </w:p>
    <w:p>
      <w:pPr>
        <w:pStyle w:val="BodyText"/>
      </w:pPr>
      <w:r>
        <w:t xml:space="preserve">睡眠与情绪之间允许双向作用。情绪改善后睡眠可能仍未恢复，睡眠改善也可能先于其他症状。研究若仅测总抑郁分数，会把这些不同的时间过程压缩到一个结果中。分领域观察有助于解释哪些环节改变，以及剩余困难需要什么支持。</w:t>
      </w:r>
    </w:p>
    <w:bookmarkEnd w:id="2041"/>
    <w:bookmarkStart w:id="2042" w:name="sec-130-6"/>
    <w:p>
      <w:pPr>
        <w:pStyle w:val="Heading3"/>
      </w:pPr>
      <w:r>
        <w:t xml:space="preserve">130.6　炎症假说的价值与限度</w:t>
      </w:r>
    </w:p>
    <w:p>
      <w:pPr>
        <w:pStyle w:val="FirstParagraph"/>
      </w:pPr>
      <w:r>
        <w:t xml:space="preserve">炎症相关研究提出，免疫信号可能通过代谢、神经递质及神经网络影响部分抑郁症状。这一方向具有生物学合理性，外周标志物同时受到感染、体重、睡眠和慢性疾病影响。标志物升高可以指向需要进一步研究的亚群，不能独立证明某位患者的抑郁完全由脑炎症引起。</w:t>
      </w:r>
    </w:p>
    <w:p>
      <w:pPr>
        <w:pStyle w:val="BodyText"/>
      </w:pPr>
      <w:r>
        <w:t xml:space="preserve">一项60人的英夫利西单抗概念验证试验未发现总体抑郁症状优势，基线炎症相关交互及探索性亚组提供了后续研究线索。总体阴性与亚群假说需要同时保留，不能只挑一小组较好的反应率宣布已经建立精准免疫治疗。该研究也不能支持根据普通炎症化验自行使用免疫抑制药物</w:t>
      </w:r>
      <w:r>
        <w:rPr>
          <w:vertAlign w:val="superscript"/>
        </w:rPr>
        <w:t xml:space="preserve">[</w:t>
      </w:r>
      <w:hyperlink w:anchor="ref-1338">
        <w:r>
          <w:rPr>
            <w:rStyle w:val="Hyperlink"/>
            <w:vertAlign w:val="superscript"/>
          </w:rPr>
          <w:t xml:space="preserve">1338</w:t>
        </w:r>
      </w:hyperlink>
      <w:r>
        <w:rPr>
          <w:vertAlign w:val="superscript"/>
        </w:rPr>
        <w:t xml:space="preserve">]</w:t>
      </w:r>
      <w:r>
        <w:t xml:space="preserve">。</w:t>
      </w:r>
    </w:p>
    <w:p>
      <w:pPr>
        <w:pStyle w:val="BodyText"/>
      </w:pPr>
      <w:r>
        <w:t xml:space="preserve">如果某指标只是严重程度或身体共病的标志，它可能与预后有关，却未必预测特定治疗相对另一治疗的优势。只有相应比较能够回答治疗选择问题。这个区分有助于避免把所有机制相关指标直接包装成临床选药检测。</w:t>
      </w:r>
    </w:p>
    <w:bookmarkEnd w:id="2042"/>
    <w:bookmarkStart w:id="2043" w:name="sec-130-7"/>
    <w:p>
      <w:pPr>
        <w:pStyle w:val="Heading3"/>
      </w:pPr>
      <w:r>
        <w:t xml:space="preserve">130.7　遗传发现与可解释的机制距离</w:t>
      </w:r>
    </w:p>
    <w:p>
      <w:pPr>
        <w:pStyle w:val="FirstParagraph"/>
      </w:pPr>
      <w:r>
        <w:t xml:space="preserve">2025年的跨祖源抑郁遗传研究扩展了统计关联与细胞类型候选，双相障碍大规模研究也发现病例来源和亚型之间的遗传结构差异。这些结果增加了对多基因背景的认识，同时提醒研究者，临床访谈病例、医疗记录和自报样本并非完全相同的表型</w:t>
      </w:r>
      <w:r>
        <w:rPr>
          <w:vertAlign w:val="superscript"/>
        </w:rPr>
        <w:t xml:space="preserve">[</w:t>
      </w:r>
      <w:hyperlink w:anchor="ref-1339">
        <w:r>
          <w:rPr>
            <w:rStyle w:val="Hyperlink"/>
            <w:vertAlign w:val="superscript"/>
          </w:rPr>
          <w:t xml:space="preserve">1339</w:t>
        </w:r>
      </w:hyperlink>
      <w:r>
        <w:rPr>
          <w:vertAlign w:val="superscript"/>
        </w:rPr>
        <w:t xml:space="preserve">,</w:t>
      </w:r>
      <w:hyperlink w:anchor="ref-1340">
        <w:r>
          <w:rPr>
            <w:rStyle w:val="Hyperlink"/>
            <w:vertAlign w:val="superscript"/>
          </w:rPr>
          <w:t xml:space="preserve">1340</w:t>
        </w:r>
      </w:hyperlink>
      <w:r>
        <w:rPr>
          <w:vertAlign w:val="superscript"/>
        </w:rPr>
        <w:t xml:space="preserve">]</w:t>
      </w:r>
      <w:r>
        <w:t xml:space="preserve">。</w:t>
      </w:r>
    </w:p>
    <w:p>
      <w:pPr>
        <w:pStyle w:val="BodyText"/>
      </w:pPr>
      <w:r>
        <w:t xml:space="preserve">风险关联到功能解释之间仍有多个步骤。一个关联区域可能影响多个基因和细胞过程，作用可能发生在特定发育阶段；某基因在脑中表达，也不代表该变异只通过脑起作用。可靠机制需要将细胞实验、组织、回路和人体资料相互约束。</w:t>
      </w:r>
    </w:p>
    <w:p>
      <w:pPr>
        <w:pStyle w:val="BodyText"/>
      </w:pPr>
      <w:r>
        <w:t xml:space="preserve">多基因评分目前不能把个人症状自动分类为单相或双相，也不能据此确定最适合的一种药物。研究中的预测增益需要在不同祖源、年龄和真实临床人群中评价。遗传信息具有概率意义，不能取消环境支持和后续改变的作用。</w:t>
      </w:r>
    </w:p>
    <w:bookmarkEnd w:id="2043"/>
    <w:bookmarkStart w:id="2044" w:name="sec-130-8"/>
    <w:p>
      <w:pPr>
        <w:pStyle w:val="Heading3"/>
      </w:pPr>
      <w:r>
        <w:t xml:space="preserve">130.8　抗抑郁药作用的时间尺度</w:t>
      </w:r>
    </w:p>
    <w:p>
      <w:pPr>
        <w:pStyle w:val="FirstParagraph"/>
      </w:pPr>
      <w:r>
        <w:t xml:space="preserve">许多常用抗抑郁药影响单胺递质系统，受体、转运和突触外浓度的改变可以较早发生，临床改善的时间过程则更加复杂。情绪信息加工、神经适应和可塑性等模型，尝试解释药理变化如何与日常经验共同影响症状。这些模型可以互补，尚不存在适用于所有患者的完整单一路径</w:t>
      </w:r>
      <w:r>
        <w:rPr>
          <w:vertAlign w:val="superscript"/>
        </w:rPr>
        <w:t xml:space="preserve">[</w:t>
      </w:r>
      <w:hyperlink w:anchor="ref-1341">
        <w:r>
          <w:rPr>
            <w:rStyle w:val="Hyperlink"/>
            <w:vertAlign w:val="superscript"/>
          </w:rPr>
          <w:t xml:space="preserve">1341</w:t>
        </w:r>
      </w:hyperlink>
      <w:r>
        <w:rPr>
          <w:vertAlign w:val="superscript"/>
        </w:rPr>
        <w:t xml:space="preserve">]</w:t>
      </w:r>
      <w:r>
        <w:t xml:space="preserve">。</w:t>
      </w:r>
    </w:p>
    <w:p>
      <w:pPr>
        <w:pStyle w:val="BodyText"/>
      </w:pPr>
      <w:r>
        <w:t xml:space="preserve">药物有效不能反推出原始病因一定是对应递质不足。类似地，某些人没有明显获益，也不能证明相关递质从不参与情绪。药物改变的是系统中的可操作环节，系统可能通过多个路径产生相同临床症状。</w:t>
      </w:r>
    </w:p>
    <w:p>
      <w:pPr>
        <w:pStyle w:val="BodyText"/>
      </w:pPr>
      <w:r>
        <w:t xml:space="preserve">若治疗先降低对负性线索的偏向，新的生活互动可能逐步提供不同学习结果；若现实环境持续充满危险或剥夺，这种学习机会可能受限。这一条件推导说明药理和环境可以交互，但不能在缺乏个体证据时把疗效不足归责于患者没有创造积极环境。</w:t>
      </w:r>
    </w:p>
    <w:bookmarkEnd w:id="2044"/>
    <w:bookmarkStart w:id="2045" w:name="sec-130-9"/>
    <w:p>
      <w:pPr>
        <w:pStyle w:val="Heading3"/>
      </w:pPr>
      <w:r>
        <w:t xml:space="preserve">130.9　急性期疗效和接受度</w:t>
      </w:r>
    </w:p>
    <w:p>
      <w:pPr>
        <w:pStyle w:val="FirstParagraph"/>
      </w:pPr>
      <w:r>
        <w:t xml:space="preserve">2018年网络元分析纳入522项试验、116477名成人，支持所研究抗抑郁药在急性期平均反应上优于安慰剂。研究主要涉及中重度抑郁，急性试验中位时长约八周，多数试验有产业资助。作者纳入部分未发表资料以改善证据完整性，结果仍需结合偏倚、比较网络及随访范围解释</w:t>
      </w:r>
      <w:r>
        <w:rPr>
          <w:vertAlign w:val="superscript"/>
        </w:rPr>
        <w:t xml:space="preserve">[</w:t>
      </w:r>
      <w:hyperlink w:anchor="ref-861">
        <w:r>
          <w:rPr>
            <w:rStyle w:val="Hyperlink"/>
            <w:vertAlign w:val="superscript"/>
          </w:rPr>
          <w:t xml:space="preserve">861</w:t>
        </w:r>
      </w:hyperlink>
      <w:r>
        <w:rPr>
          <w:vertAlign w:val="superscript"/>
        </w:rPr>
        <w:t xml:space="preserve">]</w:t>
      </w:r>
      <w:r>
        <w:t xml:space="preserve">。</w:t>
      </w:r>
    </w:p>
    <w:p>
      <w:pPr>
        <w:pStyle w:val="BodyText"/>
      </w:pPr>
      <w:r>
        <w:t xml:space="preserve">接受度常通过退出情况衡量，它混合了疗效不足、不良反应、偏好和实际负担。某药退出较少，不等于所有不良影响更轻；某药平均反应较高，也不保证对一个人最合适。总退出、特定不良事件、生活功能和个人偏好应共同进入评价。</w:t>
      </w:r>
    </w:p>
    <w:p>
      <w:pPr>
        <w:pStyle w:val="BodyText"/>
      </w:pPr>
      <w:r>
        <w:t xml:space="preserve">短期量表变化还不能替代长期复发、身体健康或社会参与。药物比较中的排序会随人群和结局变化，不能把一次元分析的名次作为固定处方清单。研究结论的价值在于提供可讨论的概率和差异范围。</w:t>
      </w:r>
    </w:p>
    <w:bookmarkEnd w:id="2045"/>
    <w:bookmarkStart w:id="2046" w:name="sec-130-10"/>
    <w:p>
      <w:pPr>
        <w:pStyle w:val="Heading3"/>
      </w:pPr>
      <w:r>
        <w:t xml:space="preserve">130.10　心理治疗的具体作用目标</w:t>
      </w:r>
    </w:p>
    <w:p>
      <w:pPr>
        <w:pStyle w:val="FirstParagraph"/>
      </w:pPr>
      <w:r>
        <w:t xml:space="preserve">抑郁相关心理治疗可以针对活动减少、负性解释、反刍、人际关系和问题解决等过程。认知行为治疗、行为激活和人际治疗的理论与技术重点不同，专业实施还包含关系、安全和共同目标。疗效证据属于有定义的方案及合适比较条件，不能推广到任何带有心理疏导名称的谈话</w:t>
      </w:r>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p>
      <w:pPr>
        <w:pStyle w:val="BodyText"/>
      </w:pPr>
      <w:r>
        <w:t xml:space="preserve">行为激活可以从活动与情绪之间的反馈入手。一个人因缺乏预期愉悦而停止活动，正性经验进一步减少，随后对未来的预测更加消极。打破这一循环需要选择可承受、有意义并具有实际获得机会的活动，不能简化成强迫开心或安排越多越好。</w:t>
      </w:r>
    </w:p>
    <w:p>
      <w:pPr>
        <w:pStyle w:val="BodyText"/>
      </w:pPr>
      <w:r>
        <w:t xml:space="preserve">认知工作也需要尊重现实。有些负性判断源于过度概括，有些则准确反映经济困难、歧视或关系威胁。治疗可帮助区分可检验的预测、事实和价值，同时支持现实问题解决；要求当事人将真实危险一律理解为想法错误，会损害治疗目标。</w:t>
      </w:r>
    </w:p>
    <w:bookmarkEnd w:id="2046"/>
    <w:bookmarkStart w:id="2047" w:name="sec-130-11"/>
    <w:p>
      <w:pPr>
        <w:pStyle w:val="Heading3"/>
      </w:pPr>
      <w:r>
        <w:t xml:space="preserve">130.11　难治性抑郁的定义与重新评估</w:t>
      </w:r>
    </w:p>
    <w:p>
      <w:pPr>
        <w:pStyle w:val="FirstParagraph"/>
      </w:pPr>
      <w:r>
        <w:t xml:space="preserve">难治性抑郁通常指在规定条件下经历若干充分治疗仍未获得足够效果，具体研究定义存在差异。这个术语描述已知治疗历史，不能解释为任何未来方式都无效，也不能代表所有患者具有同一种神经病理。</w:t>
      </w:r>
    </w:p>
    <w:p>
      <w:pPr>
        <w:pStyle w:val="BodyText"/>
      </w:pPr>
      <w:r>
        <w:t xml:space="preserve">所谓充分治疗需要考虑适应证、持续时间、实际暴露、耐受及结局。药物在记录上被开具，并不保证当事人能够获得或持续使用；某方案因不良反应提前停止，与达到充分条件后仍无改善具有不同意义。睡眠、疼痛、物质影响、身体疾病和双相病程等因素也可能改变解释</w:t>
      </w:r>
      <w:r>
        <w:rPr>
          <w:vertAlign w:val="superscript"/>
        </w:rPr>
        <w:t xml:space="preserve">[</w:t>
      </w:r>
      <w:hyperlink w:anchor="ref-863">
        <w:r>
          <w:rPr>
            <w:rStyle w:val="Hyperlink"/>
            <w:vertAlign w:val="superscript"/>
          </w:rPr>
          <w:t xml:space="preserve">863</w:t>
        </w:r>
      </w:hyperlink>
      <w:r>
        <w:rPr>
          <w:vertAlign w:val="superscript"/>
        </w:rPr>
        <w:t xml:space="preserve">,</w:t>
      </w:r>
      <w:hyperlink w:anchor="ref-1342">
        <w:r>
          <w:rPr>
            <w:rStyle w:val="Hyperlink"/>
            <w:vertAlign w:val="superscript"/>
          </w:rPr>
          <w:t xml:space="preserve">1342</w:t>
        </w:r>
      </w:hyperlink>
      <w:r>
        <w:rPr>
          <w:vertAlign w:val="superscript"/>
        </w:rPr>
        <w:t xml:space="preserve">]</w:t>
      </w:r>
      <w:r>
        <w:t xml:space="preserve">。</w:t>
      </w:r>
    </w:p>
    <w:p>
      <w:pPr>
        <w:pStyle w:val="BodyText"/>
      </w:pPr>
      <w:r>
        <w:t xml:space="preserve">重新评估的目的是使下一步问题更具体，例如主要剩余负担是快感缺失、认知迟缓、焦虑还是反复发作。频繁更换名称却不核对实际目标，不能自动提高治疗精度。将功能及生活负担纳入，有助于避免只围绕总分反复试错。</w:t>
      </w:r>
    </w:p>
    <w:bookmarkEnd w:id="2047"/>
    <w:bookmarkStart w:id="2048" w:name="sec-130-12"/>
    <w:p>
      <w:pPr>
        <w:pStyle w:val="Heading3"/>
      </w:pPr>
      <w:r>
        <w:t xml:space="preserve">130.12　氯胺酮的机制与临床比较</w:t>
      </w:r>
    </w:p>
    <w:p>
      <w:pPr>
        <w:pStyle w:val="FirstParagraph"/>
      </w:pPr>
      <w:r>
        <w:t xml:space="preserve">氯胺酮的研究涉及 NMDA 受体、谷氨酸传递及下游可塑性过程。大鼠实验曾将 mTOR 信号、突触形成和行为模型联系起来，提供重要机制假说。动物行为指标与人类抑郁不同，体外或动物中阻断一条通路的结果，不能直接证明该通路解释全部临床作用</w:t>
      </w:r>
      <w:r>
        <w:rPr>
          <w:vertAlign w:val="superscript"/>
        </w:rPr>
        <w:t xml:space="preserve">[</w:t>
      </w:r>
      <w:hyperlink w:anchor="ref-1343">
        <w:r>
          <w:rPr>
            <w:rStyle w:val="Hyperlink"/>
            <w:vertAlign w:val="superscript"/>
          </w:rPr>
          <w:t xml:space="preserve">1343</w:t>
        </w:r>
      </w:hyperlink>
      <w:r>
        <w:rPr>
          <w:vertAlign w:val="superscript"/>
        </w:rPr>
        <w:t xml:space="preserve">]</w:t>
      </w:r>
      <w:r>
        <w:t xml:space="preserve">。</w:t>
      </w:r>
    </w:p>
    <w:p>
      <w:pPr>
        <w:pStyle w:val="BodyText"/>
      </w:pPr>
      <w:r>
        <w:t xml:space="preserve">ELEKT-D 在非精神病性难治性抑郁中随机403人，38人在开始指定治疗前退出，实际启动氯胺酮与电休克治疗者分别为195和170人。三周自评反应率为55.4%与41.2%，达到预设非劣效标准。研究开放实施，由 PCORI 资助；不对称的启动前退出、自评终点及人群筛选，限制了对其他重症类型的推广</w:t>
      </w:r>
      <w:r>
        <w:rPr>
          <w:vertAlign w:val="superscript"/>
        </w:rPr>
        <w:t xml:space="preserve">[</w:t>
      </w:r>
      <w:hyperlink w:anchor="ref-1344">
        <w:r>
          <w:rPr>
            <w:rStyle w:val="Hyperlink"/>
            <w:vertAlign w:val="superscript"/>
          </w:rPr>
          <w:t xml:space="preserve">1344</w:t>
        </w:r>
      </w:hyperlink>
      <w:r>
        <w:rPr>
          <w:vertAlign w:val="superscript"/>
        </w:rPr>
        <w:t xml:space="preserve">]</w:t>
      </w:r>
      <w:r>
        <w:t xml:space="preserve">。</w:t>
      </w:r>
    </w:p>
    <w:p>
      <w:pPr>
        <w:pStyle w:val="BodyText"/>
      </w:pPr>
      <w:r>
        <w:t xml:space="preserve">这一试验不能证明氯胺酮在精神病性抑郁、紧张症或所有长期结局上优于电休克治疗。解离体验、血流动力学反应、认知影响、反复治疗需求和使用风险属于不同评价维度。快速起效可以很有临床意义，持续获益及净安全仍需独立观察。</w:t>
      </w:r>
    </w:p>
    <w:bookmarkEnd w:id="2048"/>
    <w:bookmarkStart w:id="2049" w:name="sec-130-13"/>
    <w:p>
      <w:pPr>
        <w:pStyle w:val="Heading3"/>
      </w:pPr>
      <w:r>
        <w:t xml:space="preserve">130.13　电休克治疗与记忆结局</w:t>
      </w:r>
    </w:p>
    <w:p>
      <w:pPr>
        <w:pStyle w:val="FirstParagraph"/>
      </w:pPr>
      <w:r>
        <w:t xml:space="preserve">现代电休克治疗在麻醉、监测和专业评估下实施，其目标是治疗特定严重精神状态。刺激参数、放置方式、疗程和既往病情影响效果与认知负担，不能将不同方案视为完全一致。其机制涉及大范围网络及分子变化，目前仍有未充分解释的部分</w:t>
      </w:r>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p>
      <w:pPr>
        <w:pStyle w:val="BodyText"/>
      </w:pPr>
      <w:r>
        <w:t xml:space="preserve">记忆影响需要按类型和时间区分。近期新学习、定向能力、测试中的延迟回忆和自传记忆各自不同，某项平均测试随访恢复不能自动证明所有个人记忆体验均已恢复。患者报告与标准化测试可以提供互补信息，应在知情讨论和监测中保留。</w:t>
      </w:r>
    </w:p>
    <w:p>
      <w:pPr>
        <w:pStyle w:val="BodyText"/>
      </w:pPr>
      <w:r>
        <w:t xml:space="preserve">当严重抑郁导致进食、饮水、活动或安全受到明显威胁时，治疗速度本身可能影响选择；相应决定需要专业团队结合病情和意愿。本书对证据的讨论不意味着读者能够凭章节自行比较个人适应证。</w:t>
      </w:r>
    </w:p>
    <w:bookmarkEnd w:id="2049"/>
    <w:bookmarkStart w:id="2050" w:name="sec-130-14"/>
    <w:p>
      <w:pPr>
        <w:pStyle w:val="Heading3"/>
      </w:pPr>
      <w:r>
        <w:t xml:space="preserve">130.14　经颅磁刺激的参数与网络</w:t>
      </w:r>
    </w:p>
    <w:p>
      <w:pPr>
        <w:pStyle w:val="FirstParagraph"/>
      </w:pPr>
      <w:r>
        <w:t xml:space="preserve">经颅磁刺激通过变化的磁场在脑组织中诱发电场，作用取决于线圈、目标、方向、强度和时间模式。临床效果涉及局部与连接网络的共同改变，因此刺激一个前额叶位置不能被解释为直接把某种情绪开关打开。</w:t>
      </w:r>
    </w:p>
    <w:p>
      <w:pPr>
        <w:pStyle w:val="BodyText"/>
      </w:pPr>
      <w:r>
        <w:t xml:space="preserve">THREE-D 随机414人，比较特定间歇性 theta 爆发方案与常规高频方案，在预设界值内支持非劣效。原摘要的调整差曾正式更正，本书采用已更正结论并联引更正记录。该研究支持所比较条件下的临床选择，不能推出所有更短、更密集或不同靶点的方案均具有相同效果</w:t>
      </w:r>
      <w:r>
        <w:rPr>
          <w:vertAlign w:val="superscript"/>
        </w:rPr>
        <w:t xml:space="preserve">[</w:t>
      </w:r>
      <w:hyperlink w:anchor="ref-1345">
        <w:r>
          <w:rPr>
            <w:rStyle w:val="Hyperlink"/>
            <w:vertAlign w:val="superscript"/>
          </w:rPr>
          <w:t xml:space="preserve">1345</w:t>
        </w:r>
      </w:hyperlink>
      <w:r>
        <w:rPr>
          <w:vertAlign w:val="superscript"/>
        </w:rPr>
        <w:t xml:space="preserve">,</w:t>
      </w:r>
      <w:hyperlink w:anchor="ref-1346">
        <w:r>
          <w:rPr>
            <w:rStyle w:val="Hyperlink"/>
            <w:vertAlign w:val="superscript"/>
          </w:rPr>
          <w:t xml:space="preserve">1346</w:t>
        </w:r>
      </w:hyperlink>
      <w:r>
        <w:rPr>
          <w:vertAlign w:val="superscript"/>
        </w:rPr>
        <w:t xml:space="preserve">]</w:t>
      </w:r>
      <w:r>
        <w:t xml:space="preserve">。</w:t>
      </w:r>
    </w:p>
    <w:p>
      <w:pPr>
        <w:pStyle w:val="BodyText"/>
      </w:pPr>
      <w:r>
        <w:t xml:space="preserve">网络定位和加速方案可能提高某些条件下的可用性，仍需检验长期维持、复制、资源要求和不良事件。一个影像连接模式能预测组平均反应，并不等于已经建立可以对每个人准确定位的确定性治疗地图。</w:t>
      </w:r>
    </w:p>
    <w:bookmarkEnd w:id="2050"/>
    <w:bookmarkStart w:id="2051" w:name="sec-130-15"/>
    <w:p>
      <w:pPr>
        <w:pStyle w:val="Heading3"/>
      </w:pPr>
      <w:r>
        <w:t xml:space="preserve">130.15　迷幻药研究中的期待与支持</w:t>
      </w:r>
    </w:p>
    <w:p>
      <w:pPr>
        <w:pStyle w:val="FirstParagraph"/>
      </w:pPr>
      <w:r>
        <w:t xml:space="preserve">经典迷幻药研究将受体作用、短时意识体验和治疗支持结合，形成与常规每日用药不同的试验情境。2022年一项233人的二期试验在难治性抑郁发作中比较单剂裸盖菇素（psilocybin）25毫克、10毫克与1毫克，发现25毫克组相对1毫克对照组在第三周抑郁量表上有平均优势（MADRS组间差−6.6分），10毫克组未显示显著差异，十二周持续反应也未同样支持；所有剂量组均出现过自杀相关想法、行为或自伤事件。试验由 COMPASS Pathfinder 资助</w:t>
      </w:r>
      <w:r>
        <w:rPr>
          <w:vertAlign w:val="superscript"/>
        </w:rPr>
        <w:t xml:space="preserve">[</w:t>
      </w:r>
      <w:hyperlink w:anchor="ref-1347">
        <w:r>
          <w:rPr>
            <w:rStyle w:val="Hyperlink"/>
            <w:vertAlign w:val="superscript"/>
          </w:rPr>
          <w:t xml:space="preserve">1347</w:t>
        </w:r>
      </w:hyperlink>
      <w:r>
        <w:rPr>
          <w:vertAlign w:val="superscript"/>
        </w:rPr>
        <w:t xml:space="preserve">]</w:t>
      </w:r>
      <w:r>
        <w:t xml:space="preserve">。</w:t>
      </w:r>
    </w:p>
    <w:p>
      <w:pPr>
        <w:pStyle w:val="BodyText"/>
      </w:pPr>
      <w:r>
        <w:t xml:space="preserve">强烈主观体验使分组容易被猜到，期待、照护者反应和支持过程可能影响结果。药物贡献、心理支持贡献以及二者交互，需要通过合适设计逐步分辨。体验强度与疗效相关也不能直接证明强烈体验是所有改善的必要条件。</w:t>
      </w:r>
    </w:p>
    <w:p>
      <w:pPr>
        <w:pStyle w:val="BodyText"/>
      </w:pPr>
      <w:r>
        <w:t xml:space="preserve">这类研究招募、准备和监测条件与自行使用存在重大差别。神经可塑性或认知灵活性假说不能自动推出长期安全，也不能用体验中的确信判断记忆的历史真实性。其科学价值在于可检验治疗问题，不能转化为无监督使用的推广。</w:t>
      </w:r>
    </w:p>
    <w:bookmarkEnd w:id="2051"/>
    <w:bookmarkStart w:id="2052" w:name="sec-130-16"/>
    <w:p>
      <w:pPr>
        <w:pStyle w:val="Heading3"/>
      </w:pPr>
      <w:r>
        <w:t xml:space="preserve">130.16　维持治疗与复发</w:t>
      </w:r>
    </w:p>
    <w:p>
      <w:pPr>
        <w:pStyle w:val="FirstParagraph"/>
      </w:pPr>
      <w:r>
        <w:t xml:space="preserve">急性缓解之后，维持治疗关注未来发作和功能稳定。ANTLER 在478名认为状况足够良好、愿意考虑停药的长期治疗者中比较维持与停用策略，一年复发比例约为39%与56%。这是有既往复发或较长治疗历史的特定基层医疗人群，研究同时观察到停药相关症状和重新用药</w:t>
      </w:r>
      <w:r>
        <w:rPr>
          <w:vertAlign w:val="superscript"/>
        </w:rPr>
        <w:t xml:space="preserve">[</w:t>
      </w:r>
      <w:hyperlink w:anchor="ref-84">
        <w:r>
          <w:rPr>
            <w:rStyle w:val="Hyperlink"/>
            <w:vertAlign w:val="superscript"/>
          </w:rPr>
          <w:t xml:space="preserve">84</w:t>
        </w:r>
      </w:hyperlink>
      <w:r>
        <w:rPr>
          <w:vertAlign w:val="superscript"/>
        </w:rPr>
        <w:t xml:space="preserve">]</w:t>
      </w:r>
      <w:r>
        <w:t xml:space="preserve">。</w:t>
      </w:r>
    </w:p>
    <w:p>
      <w:pPr>
        <w:pStyle w:val="BodyText"/>
      </w:pPr>
      <w:r>
        <w:t xml:space="preserve">两个比例不能说明所有人都需要永久维持，也不能说明任何停药都能安全完成。既往发作、剩余症状、支持、偏好和不良影响会改变具体权衡。研究提供平均差异，个人方案需要连续评估和专业协商。</w:t>
      </w:r>
    </w:p>
    <w:p>
      <w:pPr>
        <w:pStyle w:val="BodyText"/>
      </w:pPr>
      <w:r>
        <w:t xml:space="preserve">复发还可能与睡眠、生活事件和身体疾病变化共同发生。长期照护可以帮助识别个人可观察的早期改变，建立求助及支持安排，而这种工作不需要承诺能够预测每一次发作。持续记录应服务于生活，并避免让人对每个普通情绪波动过度警觉。</w:t>
      </w:r>
    </w:p>
    <w:bookmarkEnd w:id="2052"/>
    <w:bookmarkStart w:id="2053" w:name="sec-130-17"/>
    <w:p>
      <w:pPr>
        <w:pStyle w:val="Heading3"/>
      </w:pPr>
      <w:r>
        <w:t xml:space="preserve">130.17　撤药反应与复发的测量争议</w:t>
      </w:r>
    </w:p>
    <w:p>
      <w:pPr>
        <w:pStyle w:val="FirstParagraph"/>
      </w:pPr>
      <w:r>
        <w:t xml:space="preserve">停药后可能出现眩晕、感觉异常、恶心、睡眠变化、焦虑或情绪症状。撤药涉及神经适应和暴露改变，原病复发涉及既往综合征再出现，两者可以时间接近甚至重叠。减量速度、使用时长、药物特征和个人既往经历都会影响解释，不能仅凭是否出现低落作二分判断</w:t>
      </w:r>
      <w:r>
        <w:rPr>
          <w:vertAlign w:val="superscript"/>
        </w:rPr>
        <w:t xml:space="preserve">[</w:t>
      </w:r>
      <w:hyperlink w:anchor="ref-863">
        <w:r>
          <w:rPr>
            <w:rStyle w:val="Hyperlink"/>
            <w:vertAlign w:val="superscript"/>
          </w:rPr>
          <w:t xml:space="preserve">863</w:t>
        </w:r>
      </w:hyperlink>
      <w:r>
        <w:rPr>
          <w:vertAlign w:val="superscript"/>
        </w:rPr>
        <w:t xml:space="preserve">]</w:t>
      </w:r>
      <w:r>
        <w:t xml:space="preserve">。</w:t>
      </w:r>
    </w:p>
    <w:p>
      <w:pPr>
        <w:pStyle w:val="BodyText"/>
      </w:pPr>
      <w:r>
        <w:t xml:space="preserve">2024年和2025年的两项系统综述采用不同纳入设计和测量目标：一项汇总症状发生比例，另一项更侧重随机研究中的标准化量表及单项症状。它们支持停药相关现象确实存在，关于平均严重程度和长期代表性的解释仍受随访、原用药时长及测量方式限制。本书联引2024年论文的正式更正记录，并避免将任何一个合并比例作为所有长期使用者的精确风险</w:t>
      </w:r>
      <w:r>
        <w:rPr>
          <w:vertAlign w:val="superscript"/>
        </w:rPr>
        <w:t xml:space="preserve">[</w:t>
      </w:r>
      <w:hyperlink w:anchor="ref-1348">
        <w:r>
          <w:rPr>
            <w:rStyle w:val="Hyperlink"/>
            <w:vertAlign w:val="superscript"/>
          </w:rPr>
          <w:t xml:space="preserve">1348</w:t>
        </w:r>
      </w:hyperlink>
      <w:r>
        <w:rPr>
          <w:vertAlign w:val="superscript"/>
        </w:rPr>
        <w:t xml:space="preserve">,</w:t>
      </w:r>
      <w:hyperlink w:anchor="ref-1349">
        <w:r>
          <w:rPr>
            <w:rStyle w:val="Hyperlink"/>
            <w:vertAlign w:val="superscript"/>
          </w:rPr>
          <w:t xml:space="preserve">1349</w:t>
        </w:r>
      </w:hyperlink>
      <w:r>
        <w:rPr>
          <w:vertAlign w:val="superscript"/>
        </w:rPr>
        <w:t xml:space="preserve">,</w:t>
      </w:r>
      <w:hyperlink w:anchor="ref-1350">
        <w:r>
          <w:rPr>
            <w:rStyle w:val="Hyperlink"/>
            <w:vertAlign w:val="superscript"/>
          </w:rPr>
          <w:t xml:space="preserve">1350</w:t>
        </w:r>
      </w:hyperlink>
      <w:r>
        <w:rPr>
          <w:vertAlign w:val="superscript"/>
        </w:rPr>
        <w:t xml:space="preserve">]</w:t>
      </w:r>
      <w:r>
        <w:t xml:space="preserve">。</w:t>
      </w:r>
    </w:p>
    <w:p>
      <w:pPr>
        <w:pStyle w:val="BodyText"/>
      </w:pPr>
      <w:r>
        <w:t xml:space="preserve">即使平均停药相关症状较少，也不能排除少数人的严重或持久反应；个体出现严重反应，也不能决定所有人的总体比例。相同原则适用于撤药与复发鉴别：时间、症状结构、既往病程和专业随访需要共同判断。本书不提供统一的停药日程。</w:t>
      </w:r>
    </w:p>
    <w:bookmarkEnd w:id="2053"/>
    <w:bookmarkStart w:id="2054" w:name="sec-130-18"/>
    <w:p>
      <w:pPr>
        <w:pStyle w:val="Heading3"/>
      </w:pPr>
      <w:r>
        <w:t xml:space="preserve">130.18　躁狂与轻躁狂的症候组织</w:t>
      </w:r>
    </w:p>
    <w:p>
      <w:pPr>
        <w:pStyle w:val="FirstParagraph"/>
      </w:pPr>
      <w:r>
        <w:t xml:space="preserve">躁狂或轻躁狂需要观察情绪与活动能量的持续改变，并结合睡眠需求、言语、思维速度、目标活动、判断和功能。睡得很少却自觉不需要更多睡眠，与因担忧而难眠且明显疲惫不同。日常忙碌、短暂兴奋或情绪反复，都不能独立确立躁狂病程</w:t>
      </w:r>
      <w:r>
        <w:rPr>
          <w:vertAlign w:val="superscript"/>
        </w:rPr>
        <w:t xml:space="preserve">[</w:t>
      </w:r>
      <w:hyperlink w:anchor="ref-1333">
        <w:r>
          <w:rPr>
            <w:rStyle w:val="Hyperlink"/>
            <w:vertAlign w:val="superscript"/>
          </w:rPr>
          <w:t xml:space="preserve">1333</w:t>
        </w:r>
      </w:hyperlink>
      <w:r>
        <w:rPr>
          <w:vertAlign w:val="superscript"/>
        </w:rPr>
        <w:t xml:space="preserve">,</w:t>
      </w:r>
      <w:hyperlink w:anchor="ref-1342">
        <w:r>
          <w:rPr>
            <w:rStyle w:val="Hyperlink"/>
            <w:vertAlign w:val="superscript"/>
          </w:rPr>
          <w:t xml:space="preserve">1342</w:t>
        </w:r>
      </w:hyperlink>
      <w:r>
        <w:rPr>
          <w:vertAlign w:val="superscript"/>
        </w:rPr>
        <w:t xml:space="preserve">]</w:t>
      </w:r>
      <w:r>
        <w:t xml:space="preserve">。</w:t>
      </w:r>
    </w:p>
    <w:p>
      <w:pPr>
        <w:pStyle w:val="BodyText"/>
      </w:pPr>
      <w:r>
        <w:t xml:space="preserve">躁狂可伴高涨，也可突出易激惹、激越或精神病性症状。评价不能只追问是否开心，还需了解是否出现与基线明显不同的活动、计划、冲动和现实判断。轻躁狂的功能及严重度边界与躁狂不同，但它对纵向诊断和治疗选择仍很重要。</w:t>
      </w:r>
    </w:p>
    <w:p>
      <w:pPr>
        <w:pStyle w:val="BodyText"/>
      </w:pPr>
      <w:r>
        <w:t xml:space="preserve">回忆存在局限。有些阶段主观感觉良好，事后未必认为需要报告；另一些阶段则因冲突被夸大或误解。在尊重本人意见的前提下，结合时间记录和经同意的相关信息，有助于重建病程，不能把不同意见自动视为缺乏病识感。</w:t>
      </w:r>
    </w:p>
    <w:bookmarkEnd w:id="2054"/>
    <w:bookmarkStart w:id="2055" w:name="sec-130-19"/>
    <w:p>
      <w:pPr>
        <w:pStyle w:val="Heading3"/>
      </w:pPr>
      <w:r>
        <w:t xml:space="preserve">130.19　混合特征与情绪极性的简化风险</w:t>
      </w:r>
    </w:p>
    <w:p>
      <w:pPr>
        <w:pStyle w:val="FirstParagraph"/>
      </w:pPr>
      <w:r>
        <w:t xml:space="preserve">双相障碍不能理解为快乐和悲伤沿一条轴简单摆动。抑郁、激越、思维加速、睡眠减少和能量变化可以以复杂方式共同出现。混合特征强调某些不同极性症状的并存，需要认真评估病程及安全，其存在也可能影响药物选择</w:t>
      </w:r>
      <w:r>
        <w:rPr>
          <w:vertAlign w:val="superscript"/>
        </w:rPr>
        <w:t xml:space="preserve">[</w:t>
      </w:r>
      <w:hyperlink w:anchor="ref-1342">
        <w:r>
          <w:rPr>
            <w:rStyle w:val="Hyperlink"/>
            <w:vertAlign w:val="superscript"/>
          </w:rPr>
          <w:t xml:space="preserve">1342</w:t>
        </w:r>
      </w:hyperlink>
      <w:r>
        <w:rPr>
          <w:vertAlign w:val="superscript"/>
        </w:rPr>
        <w:t xml:space="preserve">]</w:t>
      </w:r>
      <w:r>
        <w:t xml:space="preserve">。</w:t>
      </w:r>
    </w:p>
    <w:p>
      <w:pPr>
        <w:pStyle w:val="BodyText"/>
      </w:pPr>
      <w:r>
        <w:t xml:space="preserve">这种结构说明，一个人看起来活动较多，仍可能有强烈绝望；另一个人情绪没有明显高涨，却出现异常精力和判断改变。只用表情或外向程度评价风险，会遗漏症状之间的组合。</w:t>
      </w:r>
    </w:p>
    <w:p>
      <w:pPr>
        <w:pStyle w:val="BodyText"/>
      </w:pPr>
      <w:r>
        <w:t xml:space="preserve">ADHD、创伤相关高警觉、物质作用和人格相关情绪反应，可以与部分症状重叠。鉴别依赖是否有相对清楚的发作、与平时相比的持续改变、诱因和伴随特征；也允许共病存在。临床问题不总是只能选择一个标签。</w:t>
      </w:r>
    </w:p>
    <w:bookmarkEnd w:id="2055"/>
    <w:bookmarkStart w:id="2056" w:name="sec-130-20"/>
    <w:p>
      <w:pPr>
        <w:pStyle w:val="Heading3"/>
      </w:pPr>
      <w:r>
        <w:t xml:space="preserve">130.20　双相障碍的细胞模型与回路假说</w:t>
      </w:r>
    </w:p>
    <w:p>
      <w:pPr>
        <w:pStyle w:val="FirstParagraph"/>
      </w:pPr>
      <w:r>
        <w:t xml:space="preserve">双相研究涉及离子通道、兴奋性、能量代谢、节律和突触调节等多个方向。患者来源诱导多能干细胞分化的神经元研究，曾观察到部分兴奋性差异及与供体临床锂反应相对应的细胞反应。该论文有作者姓名及机构更正，未改变实验结果</w:t>
      </w:r>
      <w:r>
        <w:rPr>
          <w:vertAlign w:val="superscript"/>
        </w:rPr>
        <w:t xml:space="preserve">[</w:t>
      </w:r>
      <w:hyperlink w:anchor="ref-1351">
        <w:r>
          <w:rPr>
            <w:rStyle w:val="Hyperlink"/>
            <w:vertAlign w:val="superscript"/>
          </w:rPr>
          <w:t xml:space="preserve">1351</w:t>
        </w:r>
      </w:hyperlink>
      <w:r>
        <w:rPr>
          <w:vertAlign w:val="superscript"/>
        </w:rPr>
        <w:t xml:space="preserve">,</w:t>
      </w:r>
      <w:hyperlink w:anchor="ref-1352">
        <w:r>
          <w:rPr>
            <w:rStyle w:val="Hyperlink"/>
            <w:vertAlign w:val="superscript"/>
          </w:rPr>
          <w:t xml:space="preserve">1352</w:t>
        </w:r>
      </w:hyperlink>
      <w:r>
        <w:rPr>
          <w:vertAlign w:val="superscript"/>
        </w:rPr>
        <w:t xml:space="preserve">]</w:t>
      </w:r>
      <w:r>
        <w:t xml:space="preserve">。</w:t>
      </w:r>
    </w:p>
    <w:p>
      <w:pPr>
        <w:pStyle w:val="BodyText"/>
      </w:pPr>
      <w:r>
        <w:t xml:space="preserve">体外模型提供可以操作的系统，同时缺少完整发育环境、胶质组合、长程连接和生活经历。培养皿中的高兴奋性不能直接等同躁狂，也不能凭几组细胞的药物反应承诺对临床选药作精确预测。供体、克隆、分化批次和细胞成熟度都是重要解释条件。</w:t>
      </w:r>
    </w:p>
    <w:p>
      <w:pPr>
        <w:pStyle w:val="BodyText"/>
      </w:pPr>
      <w:r>
        <w:t xml:space="preserve">从细胞到发作还需要解释时间。一个相对稳定的遗传背景如何与睡眠、压力、激素和治疗相互作用，产生间歇性病程，是关键问题。当前模型提出了若干可能路径，尚未提供能够完整解释所有人发作时间规律的单一机制。</w:t>
      </w:r>
    </w:p>
    <w:bookmarkEnd w:id="2056"/>
    <w:bookmarkStart w:id="2057" w:name="sec-130-21"/>
    <w:p>
      <w:pPr>
        <w:pStyle w:val="Heading3"/>
      </w:pPr>
      <w:r>
        <w:t xml:space="preserve">130.21　双相治疗需要按阶段区分</w:t>
      </w:r>
    </w:p>
    <w:p>
      <w:pPr>
        <w:pStyle w:val="FirstParagraph"/>
      </w:pPr>
      <w:r>
        <w:t xml:space="preserve">急性躁狂、双相抑郁和维持预防是不同治疗问题。某种方案能控制躁狂，并不保证同样改善抑郁；急性症状有效，也不能自动证明长期预防所有极性发作。CANMAT 与 ISBD 的证据框架按阶段和人群分别讨论这些问题，并考虑耐受、转换风险及既往反应</w:t>
      </w:r>
      <w:r>
        <w:rPr>
          <w:vertAlign w:val="superscript"/>
        </w:rPr>
        <w:t xml:space="preserve">[</w:t>
      </w:r>
      <w:hyperlink w:anchor="ref-1342">
        <w:r>
          <w:rPr>
            <w:rStyle w:val="Hyperlink"/>
            <w:vertAlign w:val="superscript"/>
          </w:rPr>
          <w:t xml:space="preserve">1342</w:t>
        </w:r>
      </w:hyperlink>
      <w:r>
        <w:rPr>
          <w:vertAlign w:val="superscript"/>
        </w:rPr>
        <w:t xml:space="preserve">]</w:t>
      </w:r>
      <w:r>
        <w:t xml:space="preserve">。</w:t>
      </w:r>
    </w:p>
    <w:p>
      <w:pPr>
        <w:pStyle w:val="BodyText"/>
      </w:pPr>
      <w:r>
        <w:t xml:space="preserve">BALANCE 随机330名一型双相障碍患者，在导入期后比较锂盐与丙戊酸联合以及两种单药维持。联合相对丙戊酸单药在预防需要新干预的情绪发作方面更好（危险比0.59，95%置信区间0.42至0.83），锂单药相对丙戊酸单药也较好（危险比0.71，95%置信区间0.51至1.00）；联合与锂单药的优劣未能确定（危险比0.82，95%置信区间0.58至1.17）。开放设计、先前联合耐受筛选，以及 Stanley Medical Research Institute 和 Sanofi-Aventis 的资助，均属于解释条件；不能将其变成所有患者统一联合用药的依据</w:t>
      </w:r>
      <w:r>
        <w:rPr>
          <w:vertAlign w:val="superscript"/>
        </w:rPr>
        <w:t xml:space="preserve">[</w:t>
      </w:r>
      <w:hyperlink w:anchor="ref-1353">
        <w:r>
          <w:rPr>
            <w:rStyle w:val="Hyperlink"/>
            <w:vertAlign w:val="superscript"/>
          </w:rPr>
          <w:t xml:space="preserve">1353</w:t>
        </w:r>
      </w:hyperlink>
      <w:r>
        <w:rPr>
          <w:vertAlign w:val="superscript"/>
        </w:rPr>
        <w:t xml:space="preserve">]</w:t>
      </w:r>
      <w:r>
        <w:t xml:space="preserve">。</w:t>
      </w:r>
    </w:p>
    <w:p>
      <w:pPr>
        <w:pStyle w:val="BodyText"/>
      </w:pPr>
      <w:r>
        <w:t xml:space="preserve">锂盐作用涉及多个细胞过程，其临床使用还需要关注血药暴露、肾脏、甲状腺及相互作用等监测。丙戊酸及其他药物有各自重要风险，尤其与生殖相关的权衡需要专门规范。这里说明为何机制、阶段和监测必须结合，不列个人用药或调整方案。</w:t>
      </w:r>
    </w:p>
    <w:bookmarkEnd w:id="2057"/>
    <w:bookmarkStart w:id="2058" w:name="sec-130-22"/>
    <w:p>
      <w:pPr>
        <w:pStyle w:val="Heading3"/>
      </w:pPr>
      <w:r>
        <w:t xml:space="preserve">130.22　锂盐与自杀预防结局</w:t>
      </w:r>
    </w:p>
    <w:p>
      <w:pPr>
        <w:pStyle w:val="FirstParagraph"/>
      </w:pPr>
      <w:r>
        <w:t xml:space="preserve">关于锂盐降低自杀风险，观察研究及不同汇总方法曾提供支持，随机证据受到事件稀少的限制。2022年一项元分析只纳入2000年以后发表的十二项随机试验（共2578人），自杀的合并比值比为0.41，95%置信区间0.03至2.49，结果不精确，未确证自杀终点的优势。置信区间很宽时，统计不显著不能被解释为绝对无效；同样，病程预防的已知价值也不能自动证明对所有罕见结局的精确效果</w:t>
      </w:r>
      <w:r>
        <w:rPr>
          <w:vertAlign w:val="superscript"/>
        </w:rPr>
        <w:t xml:space="preserve">[</w:t>
      </w:r>
      <w:hyperlink w:anchor="ref-1354">
        <w:r>
          <w:rPr>
            <w:rStyle w:val="Hyperlink"/>
            <w:vertAlign w:val="superscript"/>
          </w:rPr>
          <w:t xml:space="preserve">1354</w:t>
        </w:r>
      </w:hyperlink>
      <w:r>
        <w:rPr>
          <w:vertAlign w:val="superscript"/>
        </w:rPr>
        <w:t xml:space="preserve">]</w:t>
      </w:r>
      <w:r>
        <w:t xml:space="preserve">。</w:t>
      </w:r>
    </w:p>
    <w:p>
      <w:pPr>
        <w:pStyle w:val="BodyText"/>
      </w:pPr>
      <w:r>
        <w:t xml:space="preserve">自杀死亡、尝试、自伤和想法属于不同结局，不能互相替代。一个短期试验降低想法评分，仍不足以证明长期死亡减少；一个低事件数研究阴性，也可能仅说明信息不足。结局定义和观察时间决定了结论能够回答什么。</w:t>
      </w:r>
    </w:p>
    <w:p>
      <w:pPr>
        <w:pStyle w:val="BodyText"/>
      </w:pPr>
      <w:r>
        <w:t xml:space="preserve">因此，任何单一药物都不能替代对当前痛苦、环境、支持和即时安全需要的持续评估。治疗药物、心理支持、社会服务和可获得的危机照护可以针对不同环节，评价应关注它们共同构成的照护体系。</w:t>
      </w:r>
    </w:p>
    <w:bookmarkEnd w:id="2058"/>
    <w:bookmarkStart w:id="2059" w:name="sec-130-23"/>
    <w:p>
      <w:pPr>
        <w:pStyle w:val="Heading3"/>
      </w:pPr>
      <w:r>
        <w:t xml:space="preserve">130.23　围产期抑郁与双相病程</w:t>
      </w:r>
    </w:p>
    <w:p>
      <w:pPr>
        <w:pStyle w:val="FirstParagraph"/>
      </w:pPr>
      <w:r>
        <w:t xml:space="preserve">围产期的睡眠、激素、身体恢复和社会角色变化，为症状提供特殊背景。抑郁并不意味着不爱孩子或不适合照护，症状可能包括内疚、疲劳和难以体验愉悦。评估还需区分普通短暂波动、持续抑郁、双相发作及精神病性状态，尤其不能把明显现实检验改变仅解释为新手父母压力。</w:t>
      </w:r>
    </w:p>
    <w:p>
      <w:pPr>
        <w:pStyle w:val="BodyText"/>
      </w:pPr>
      <w:r>
        <w:t xml:space="preserve">神经活性类固醇药物提供一条特定治疗路径。2023年196人的 zuranolone 随机试验在第十五日观察到抑郁量表平均组间差约负4.0分，随访到第四十五日；研究涉及 Sage 和 Biogen，常见不良影响包括嗜睡、眩晕和镇静。美国药品标签将其用于成人产后抑郁，并以加框警示强调服药后驾驶等活动能力受损的风险，短期结果不能保证每个人长期缓解</w:t>
      </w:r>
      <w:r>
        <w:rPr>
          <w:vertAlign w:val="superscript"/>
        </w:rPr>
        <w:t xml:space="preserve">[</w:t>
      </w:r>
      <w:hyperlink w:anchor="ref-1355">
        <w:r>
          <w:rPr>
            <w:rStyle w:val="Hyperlink"/>
            <w:vertAlign w:val="superscript"/>
          </w:rPr>
          <w:t xml:space="preserve">1355</w:t>
        </w:r>
      </w:hyperlink>
      <w:r>
        <w:rPr>
          <w:vertAlign w:val="superscript"/>
        </w:rPr>
        <w:t xml:space="preserve">,</w:t>
      </w:r>
      <w:hyperlink w:anchor="ref-1356">
        <w:r>
          <w:rPr>
            <w:rStyle w:val="Hyperlink"/>
            <w:vertAlign w:val="superscript"/>
          </w:rPr>
          <w:t xml:space="preserve">1356</w:t>
        </w:r>
      </w:hyperlink>
      <w:r>
        <w:rPr>
          <w:vertAlign w:val="superscript"/>
        </w:rPr>
        <w:t xml:space="preserve">]</w:t>
      </w:r>
      <w:r>
        <w:t xml:space="preserve">。</w:t>
      </w:r>
    </w:p>
    <w:p>
      <w:pPr>
        <w:pStyle w:val="BodyText"/>
      </w:pPr>
      <w:r>
        <w:t xml:space="preserve">治疗效果也不能用来证明围产期抑郁全部来自某一种激素不足。照护负荷、关系安全、经济压力和身体疾病依然可能产生重要作用。有效支持包括让当事人获得治疗机会和可持续休息，不能将恢复责任全部放在个人坚持上。</w:t>
      </w:r>
    </w:p>
    <w:bookmarkEnd w:id="2059"/>
    <w:bookmarkStart w:id="2060" w:name="sec-130-24"/>
    <w:p>
      <w:pPr>
        <w:pStyle w:val="Heading3"/>
      </w:pPr>
      <w:r>
        <w:t xml:space="preserve">130.24　风险评估与需要导向的照护</w:t>
      </w:r>
    </w:p>
    <w:p>
      <w:pPr>
        <w:pStyle w:val="FirstParagraph"/>
      </w:pPr>
      <w:r>
        <w:t xml:space="preserve">严重情绪障碍中，安全问题需要及时、直接且不带责备地评估。NICE 自伤指南反对用简单风险量表或低中高标签预测个人未来自杀，也反对据此决定是否给予治疗或出院；它强调具体心理社会评估和当前及长期安全需要</w:t>
      </w:r>
      <w:r>
        <w:rPr>
          <w:vertAlign w:val="superscript"/>
        </w:rPr>
        <w:t xml:space="preserve">[</w:t>
      </w:r>
      <w:hyperlink w:anchor="ref-1357">
        <w:r>
          <w:rPr>
            <w:rStyle w:val="Hyperlink"/>
            <w:vertAlign w:val="superscript"/>
          </w:rPr>
          <w:t xml:space="preserve">1357</w:t>
        </w:r>
      </w:hyperlink>
      <w:r>
        <w:rPr>
          <w:vertAlign w:val="superscript"/>
        </w:rPr>
        <w:t xml:space="preserve">]</w:t>
      </w:r>
      <w:r>
        <w:t xml:space="preserve">。</w:t>
      </w:r>
    </w:p>
    <w:p>
      <w:pPr>
        <w:pStyle w:val="BodyText"/>
      </w:pPr>
      <w:r>
        <w:t xml:space="preserve">这一原则来自预测问题的性质。风险随时间和情境变化，罕见结局使看似较高的分类准确率仍可能伴大量误判。一个人在评估时否认某种想法，并不自动保证未来状态不变；一个人报告相关想法，也需要理解其内容、痛苦和支持，不能用标签替代交流。</w:t>
      </w:r>
    </w:p>
    <w:p>
      <w:pPr>
        <w:pStyle w:val="BodyText"/>
      </w:pPr>
      <w:r>
        <w:t xml:space="preserve">本书的作用是解释这些边界。现实中出现急迫安全问题，需要联系能够即时提供帮助的当地专业服务；群体数据和网络自测无法承担临床处置。尊重个人与认真处理风险可以同时成立。</w:t>
      </w:r>
    </w:p>
    <w:bookmarkEnd w:id="2060"/>
    <w:bookmarkStart w:id="2061" w:name="sec-130-25"/>
    <w:p>
      <w:pPr>
        <w:pStyle w:val="Heading3"/>
      </w:pPr>
      <w:r>
        <w:t xml:space="preserve">130.25　关键判断的置信度边界</w:t>
      </w:r>
    </w:p>
    <w:p>
      <w:pPr>
        <w:pStyle w:val="FirstParagraph"/>
      </w:pPr>
      <w:r>
        <w:t xml:space="preserve">完整病程有助于区分单相与双相状态、不同治疗阶段需要分别评价，以及多种干预能帮助部分患者，这些判断有成熟支持。特定试验的平均效果适用于其人群、比较方案和时程，长期个人预测仍有较大不确定性。炎症、可塑性、细胞兴奋性和遗传发现提供重要研究路径，尚不足以为每个人生成完整病因图或确定选药。临床恢复需要同时关注症状、功能、风险、参与和当事人的价值选择</w:t>
      </w:r>
      <w:r>
        <w:rPr>
          <w:vertAlign w:val="superscript"/>
        </w:rPr>
        <w:t xml:space="preserve">[</w:t>
      </w:r>
      <w:hyperlink w:anchor="ref-861">
        <w:r>
          <w:rPr>
            <w:rStyle w:val="Hyperlink"/>
            <w:vertAlign w:val="superscript"/>
          </w:rPr>
          <w:t xml:space="preserve">861</w:t>
        </w:r>
      </w:hyperlink>
      <w:r>
        <w:rPr>
          <w:vertAlign w:val="superscript"/>
        </w:rPr>
        <w:t xml:space="preserve">,</w:t>
      </w:r>
      <w:hyperlink w:anchor="ref-1338">
        <w:r>
          <w:rPr>
            <w:rStyle w:val="Hyperlink"/>
            <w:vertAlign w:val="superscript"/>
          </w:rPr>
          <w:t xml:space="preserve">1338</w:t>
        </w:r>
      </w:hyperlink>
      <w:r>
        <w:rPr>
          <w:vertAlign w:val="superscript"/>
        </w:rPr>
        <w:t xml:space="preserve">,</w:t>
      </w:r>
      <w:hyperlink w:anchor="ref-1339">
        <w:r>
          <w:rPr>
            <w:rStyle w:val="Hyperlink"/>
            <w:vertAlign w:val="superscript"/>
          </w:rPr>
          <w:t xml:space="preserve">1339</w:t>
        </w:r>
      </w:hyperlink>
      <w:r>
        <w:rPr>
          <w:vertAlign w:val="superscript"/>
        </w:rPr>
        <w:t xml:space="preserve">,</w:t>
      </w:r>
      <w:hyperlink w:anchor="ref-1340">
        <w:r>
          <w:rPr>
            <w:rStyle w:val="Hyperlink"/>
            <w:vertAlign w:val="superscript"/>
          </w:rPr>
          <w:t xml:space="preserve">1340</w:t>
        </w:r>
      </w:hyperlink>
      <w:r>
        <w:rPr>
          <w:vertAlign w:val="superscript"/>
        </w:rPr>
        <w:t xml:space="preserve">,</w:t>
      </w:r>
      <w:hyperlink w:anchor="ref-1342">
        <w:r>
          <w:rPr>
            <w:rStyle w:val="Hyperlink"/>
            <w:vertAlign w:val="superscript"/>
          </w:rPr>
          <w:t xml:space="preserve">1342</w:t>
        </w:r>
      </w:hyperlink>
      <w:r>
        <w:rPr>
          <w:vertAlign w:val="superscript"/>
        </w:rPr>
        <w:t xml:space="preserve">,</w:t>
      </w:r>
      <w:hyperlink w:anchor="ref-1344">
        <w:r>
          <w:rPr>
            <w:rStyle w:val="Hyperlink"/>
            <w:vertAlign w:val="superscript"/>
          </w:rPr>
          <w:t xml:space="preserve">1344</w:t>
        </w:r>
      </w:hyperlink>
      <w:r>
        <w:rPr>
          <w:vertAlign w:val="superscript"/>
        </w:rPr>
        <w:t xml:space="preserve">]</w:t>
      </w:r>
      <w:r>
        <w:t xml:space="preserve">。</w:t>
      </w:r>
    </w:p>
    <w:bookmarkEnd w:id="2061"/>
    <w:bookmarkEnd w:id="2062"/>
    <w:bookmarkStart w:id="2091" w:name="ch-131"/>
    <w:p>
      <w:pPr>
        <w:pStyle w:val="Heading2"/>
      </w:pPr>
      <w:r>
        <w:t xml:space="preserve">第131章　焦虑、强迫与创伤相关障碍的机制和症候边界</w:t>
      </w:r>
    </w:p>
    <w:bookmarkStart w:id="2063" w:name="sec-131-1"/>
    <w:p>
      <w:pPr>
        <w:pStyle w:val="Heading3"/>
      </w:pPr>
      <w:r>
        <w:t xml:space="preserve">131.1　威胁反应的多种时间尺度</w:t>
      </w:r>
    </w:p>
    <w:p>
      <w:pPr>
        <w:pStyle w:val="FirstParagraph"/>
      </w:pPr>
      <w:r>
        <w:t xml:space="preserve">恐惧常与较明确、较迫近的威胁相关，焦虑则常涉及未来、不确定或持续的威胁预期；实际体验存在连续和交叠。两者可以促进准备与保护，也可能在缺少相应危险时持续、扩散并造成显著痛苦或功能受限。判断是否达到障碍层次，需要结合强度、持续性、可控性、情境与生活影响，不能从一次心跳加快或考试前紧张独立确定</w:t>
      </w:r>
      <w:r>
        <w:rPr>
          <w:vertAlign w:val="superscript"/>
        </w:rPr>
        <w:t xml:space="preserve">[</w:t>
      </w:r>
      <w:hyperlink w:anchor="ref-1358">
        <w:r>
          <w:rPr>
            <w:rStyle w:val="Hyperlink"/>
            <w:vertAlign w:val="superscript"/>
          </w:rPr>
          <w:t xml:space="preserve">1358</w:t>
        </w:r>
      </w:hyperlink>
      <w:r>
        <w:rPr>
          <w:vertAlign w:val="superscript"/>
        </w:rPr>
        <w:t xml:space="preserve">]</w:t>
      </w:r>
      <w:r>
        <w:t xml:space="preserve">。</w:t>
      </w:r>
    </w:p>
    <w:p>
      <w:pPr>
        <w:pStyle w:val="BodyText"/>
      </w:pPr>
      <w:r>
        <w:t xml:space="preserve">神经科学至少要区分防御行为、自主神经反应和主观感受。皮肤电增加说明汗腺相关交感活动变化，不能逐字翻译为某人体验了多大恐惧。一个人能够描述强烈焦虑，却未呈现同等心率变化；另一个人在威胁任务中快速回避，却难以报告内心体验。把这些维度分别测量，有助于解释不同治疗为何可能改善某些结局，同时留下其他问题。关于防御生存回路与主观恐惧体验这两类系统关系的框架仍属于理论讨论，不能固定成两块互不联系的脑区</w:t>
      </w:r>
      <w:r>
        <w:rPr>
          <w:vertAlign w:val="superscript"/>
        </w:rPr>
        <w:t xml:space="preserve">[</w:t>
      </w:r>
      <w:hyperlink w:anchor="ref-696">
        <w:r>
          <w:rPr>
            <w:rStyle w:val="Hyperlink"/>
            <w:vertAlign w:val="superscript"/>
          </w:rPr>
          <w:t xml:space="preserve">696</w:t>
        </w:r>
      </w:hyperlink>
      <w:r>
        <w:rPr>
          <w:vertAlign w:val="superscript"/>
        </w:rPr>
        <w:t xml:space="preserve">]</w:t>
      </w:r>
      <w:r>
        <w:t xml:space="preserve">。</w:t>
      </w:r>
    </w:p>
    <w:bookmarkEnd w:id="2063"/>
    <w:bookmarkStart w:id="2064" w:name="sec-131-2"/>
    <w:p>
      <w:pPr>
        <w:pStyle w:val="Heading3"/>
      </w:pPr>
      <w:r>
        <w:t xml:space="preserve">131.2　杏仁核与内感受的分布式组织</w:t>
      </w:r>
    </w:p>
    <w:p>
      <w:pPr>
        <w:pStyle w:val="FirstParagraph"/>
      </w:pPr>
      <w:r>
        <w:t xml:space="preserve">杏仁核参与多种意义学习和防御调节，但人体恐惧经验依赖更广的网络。罕见双侧杏仁核损伤研究中，三名患者在受控二氧化碳挑战下仍出现强烈恐惧及惊恐</w:t>
      </w:r>
      <w:r>
        <w:rPr>
          <w:vertAlign w:val="superscript"/>
        </w:rPr>
        <w:t xml:space="preserve">[</w:t>
      </w:r>
      <w:hyperlink w:anchor="ref-759">
        <w:r>
          <w:rPr>
            <w:rStyle w:val="Hyperlink"/>
            <w:vertAlign w:val="superscript"/>
          </w:rPr>
          <w:t xml:space="preserve">759</w:t>
        </w:r>
      </w:hyperlink>
      <w:r>
        <w:rPr>
          <w:vertAlign w:val="superscript"/>
        </w:rPr>
        <w:t xml:space="preserve">]</w:t>
      </w:r>
      <w:r>
        <w:t xml:space="preserve">。这个结果限定了把杏仁核称为所有恐惧唯一必要中枢的说法；小样本和特定刺激也无法支持杏仁核对其他威胁加工均不重要。</w:t>
      </w:r>
    </w:p>
    <w:p>
      <w:pPr>
        <w:pStyle w:val="BodyText"/>
      </w:pPr>
      <w:r>
        <w:t xml:space="preserve">外部危险线索和来自身体内部的窒息、心跳或疼痛信号，可以通过不同入口影响体验。脑干和间脑参与生理调节，岛叶及相关皮质参与身体状态的整合，认知解释与记忆又影响其意义。讨论惊恐时，应同时保留生理信号的真实变化和对变化的解释。受控挑战实验有严格医学条件，研究中的呼吸或气体操作不能改写成家庭自测或训练方法。</w:t>
      </w:r>
    </w:p>
    <w:bookmarkEnd w:id="2064"/>
    <w:bookmarkStart w:id="2065" w:name="sec-131-3"/>
    <w:p>
      <w:pPr>
        <w:pStyle w:val="Heading3"/>
      </w:pPr>
      <w:r>
        <w:t xml:space="preserve">131.3　惊恐发作与惊恐障碍</w:t>
      </w:r>
    </w:p>
    <w:p>
      <w:pPr>
        <w:pStyle w:val="FirstParagraph"/>
      </w:pPr>
      <w:r>
        <w:t xml:space="preserve">惊恐发作是快速升高的强烈恐惧或不适状态，可伴心悸、呼吸困难、眩晕、麻木、失控感或不真实感。它可以出现于不同精神障碍和躯体背景。惊恐障碍还涉及反复出现的意外惊恐发作，以及其后持续的担忧或行为改变，必须在完整评估中判断。新的胸痛、晕厥或呼吸困难不能仅凭既往焦虑史排除心肺和其他医学原因</w:t>
      </w:r>
      <w:r>
        <w:rPr>
          <w:vertAlign w:val="superscript"/>
        </w:rPr>
        <w:t xml:space="preserve">[</w:t>
      </w:r>
      <w:hyperlink w:anchor="ref-1358">
        <w:r>
          <w:rPr>
            <w:rStyle w:val="Hyperlink"/>
            <w:vertAlign w:val="superscript"/>
          </w:rPr>
          <w:t xml:space="preserve">1358</w:t>
        </w:r>
      </w:hyperlink>
      <w:r>
        <w:rPr>
          <w:vertAlign w:val="superscript"/>
        </w:rPr>
        <w:t xml:space="preserve">]</w:t>
      </w:r>
      <w:r>
        <w:t xml:space="preserve">。</w:t>
      </w:r>
    </w:p>
    <w:p>
      <w:pPr>
        <w:pStyle w:val="BodyText"/>
      </w:pPr>
      <w:r>
        <w:t xml:space="preserve">一个常用的机制模型把身体感觉、灾难性解释、注意集中和自主反应连接成循环。假设心跳稍快被解释为马上失控，注意便不断检查心跳，紧张和呼吸变化又增加可感受信号。这个模型说明一种可能的维持途径，无法证明症状最初完全由认知启动，也无法排除同时存在的躯体疾病。评价干预应观察发作频率、对发作的恐惧和活动回避，三者可能以不同速度改善。</w:t>
      </w:r>
    </w:p>
    <w:bookmarkEnd w:id="2065"/>
    <w:bookmarkStart w:id="2066" w:name="sec-131-4"/>
    <w:p>
      <w:pPr>
        <w:pStyle w:val="Heading3"/>
      </w:pPr>
      <w:r>
        <w:t xml:space="preserve">131.4　广泛担忧与不确定性</w:t>
      </w:r>
    </w:p>
    <w:p>
      <w:pPr>
        <w:pStyle w:val="FirstParagraph"/>
      </w:pPr>
      <w:r>
        <w:t xml:space="preserve">广泛性焦虑中的担忧常跨越健康、工作、家人和日常责任，并伴难以停止的预想。有效问题解决能产生可执行决定，持续担忧却可能不断增加假设而难以终止。对不确定性的耐受、注意偏向和对担忧本身的信念，都是可检验的研究对象。经济不稳定、照护负担和现实威胁同样需要纳入，不能把合理困难全部解释为个人错误思考</w:t>
      </w:r>
      <w:r>
        <w:rPr>
          <w:vertAlign w:val="superscript"/>
        </w:rPr>
        <w:t xml:space="preserve">[</w:t>
      </w:r>
      <w:hyperlink w:anchor="ref-1358">
        <w:r>
          <w:rPr>
            <w:rStyle w:val="Hyperlink"/>
            <w:vertAlign w:val="superscript"/>
          </w:rPr>
          <w:t xml:space="preserve">1358</w:t>
        </w:r>
      </w:hyperlink>
      <w:r>
        <w:rPr>
          <w:vertAlign w:val="superscript"/>
        </w:rPr>
        <w:t xml:space="preserve">]</w:t>
      </w:r>
      <w:r>
        <w:t xml:space="preserve">。</w:t>
      </w:r>
    </w:p>
    <w:p>
      <w:pPr>
        <w:pStyle w:val="BodyText"/>
      </w:pPr>
      <w:r>
        <w:t xml:space="preserve">教学上可比较两个假设过程：甲发现账单问题后核对信息并安排支付；乙在尚无新增信息时反复想象所有可能灾难，直到无法入睡。区别涉及过程能否导向行动和是否持续损害生活，内容本身都可能与真实责任有关。治疗所做的工作可以包括改善问题解决、改变与担忧的关系及减少维持行为，同时支持处理现实处境。目标不要求一个人对未来完全没有担心。</w:t>
      </w:r>
    </w:p>
    <w:bookmarkEnd w:id="2066"/>
    <w:bookmarkStart w:id="2067" w:name="sec-131-5"/>
    <w:p>
      <w:pPr>
        <w:pStyle w:val="Heading3"/>
      </w:pPr>
      <w:r>
        <w:t xml:space="preserve">131.5　社交焦虑与自我注意</w:t>
      </w:r>
    </w:p>
    <w:p>
      <w:pPr>
        <w:pStyle w:val="FirstParagraph"/>
      </w:pPr>
      <w:r>
        <w:t xml:space="preserve">社交焦虑的核心困难常围绕被观察、负面评价或使自己难堪。一个人越把注意集中在脸红、声音和身体姿势上，就越可能缺少对真实互动信息的采样；事后反复回想也可能只保留最尴尬的片段。特定认知行为治疗会针对这些过程进行检验和练习，其证据与一般鼓励“勇敢一点”有不同的干预定义</w:t>
      </w:r>
      <w:r>
        <w:rPr>
          <w:vertAlign w:val="superscript"/>
        </w:rPr>
        <w:t xml:space="preserve">[</w:t>
      </w:r>
      <w:hyperlink w:anchor="ref-1359">
        <w:r>
          <w:rPr>
            <w:rStyle w:val="Hyperlink"/>
            <w:vertAlign w:val="superscript"/>
          </w:rPr>
          <w:t xml:space="preserve">1359</w:t>
        </w:r>
      </w:hyperlink>
      <w:r>
        <w:rPr>
          <w:vertAlign w:val="superscript"/>
        </w:rPr>
        <w:t xml:space="preserve">]</w:t>
      </w:r>
      <w:r>
        <w:t xml:space="preserve">。</w:t>
      </w:r>
    </w:p>
    <w:p>
      <w:pPr>
        <w:pStyle w:val="BodyText"/>
      </w:pPr>
      <w:r>
        <w:t xml:space="preserve">内向、偏好独处、文化中的谦逊或不同交流方式，都不能自动被诊断为社交焦虑。评估需要询问当事人希望参与何种活动，是什么阻碍了参与。假设一个人喜欢安静工作且并不痛苦，增加社交数量未必是适合的目标；另一个人渴望与同伴合作，却因强烈害怕被评价而完全避开，服务目标便不同。尊重这种差别，也能减少把神经多样性表达误判为焦虑的机会。</w:t>
      </w:r>
    </w:p>
    <w:bookmarkEnd w:id="2067"/>
    <w:bookmarkStart w:id="2068" w:name="sec-131-6"/>
    <w:p>
      <w:pPr>
        <w:pStyle w:val="Heading3"/>
      </w:pPr>
      <w:r>
        <w:t xml:space="preserve">131.6　回避与负强化的临床含义</w:t>
      </w:r>
    </w:p>
    <w:p>
      <w:pPr>
        <w:pStyle w:val="FirstParagraph"/>
      </w:pPr>
      <w:r>
        <w:t xml:space="preserve">负强化指一个行为因使不舒服的状态减少而更容易再次发生。离开某个场景后焦虑迅速下降，可能强化下一次回避。短期收益真实存在，长期却可能减少接触纠正信息的机会，扩大生活限制。类似机制可见于惊恐回避、创伤提醒回避和某些强迫仪式，但它们涉及的意义与学习背景仍不同</w:t>
      </w:r>
      <w:r>
        <w:rPr>
          <w:vertAlign w:val="superscript"/>
        </w:rPr>
        <w:t xml:space="preserve">[</w:t>
      </w:r>
      <w:hyperlink w:anchor="ref-1360">
        <w:r>
          <w:rPr>
            <w:rStyle w:val="Hyperlink"/>
            <w:vertAlign w:val="superscript"/>
          </w:rPr>
          <w:t xml:space="preserve">1360</w:t>
        </w:r>
      </w:hyperlink>
      <w:r>
        <w:rPr>
          <w:vertAlign w:val="superscript"/>
        </w:rPr>
        <w:t xml:space="preserve">]</w:t>
      </w:r>
      <w:r>
        <w:t xml:space="preserve">。</w:t>
      </w:r>
    </w:p>
    <w:p>
      <w:pPr>
        <w:pStyle w:val="BodyText"/>
      </w:pPr>
      <w:r>
        <w:t xml:space="preserve">回避也有合理保护功能。离开暴力环境、使用必要辅助设备或调整过强感官刺激，不能因为使痛苦降低就被统一当作病理安全行为。区分的关键是行为是否对应真实危险、是否符合个人价值以及是否妨碍可行的生活目标。研究若把所有辅助措施都归为回避，可能混淆合理便利与疾病维持。临床中的暴露同样必须建立在安全、同意和清楚目标之上。</w:t>
      </w:r>
    </w:p>
    <w:bookmarkEnd w:id="2068"/>
    <w:bookmarkStart w:id="2069" w:name="sec-131-7"/>
    <w:p>
      <w:pPr>
        <w:pStyle w:val="Heading3"/>
      </w:pPr>
      <w:r>
        <w:t xml:space="preserve">131.7　消退学习为何会受情境影响</w:t>
      </w:r>
    </w:p>
    <w:p>
      <w:pPr>
        <w:pStyle w:val="FirstParagraph"/>
      </w:pPr>
      <w:r>
        <w:t xml:space="preserve">消退实验让原先预测不良结果的线索反复出现，同时不再发生原有结果，随后观察反应降低。学习理论经常用新关系的形成及检索来解释这一变化，原有关系可能在时间、情境或再次应激变化后重新影响行为。因此，恐惧重新出现不能自动说明过去所有学习已失效，也不必解释为患者缺乏意志</w:t>
      </w:r>
      <w:r>
        <w:rPr>
          <w:vertAlign w:val="superscript"/>
        </w:rPr>
        <w:t xml:space="preserve">[</w:t>
      </w:r>
      <w:hyperlink w:anchor="ref-1360">
        <w:r>
          <w:rPr>
            <w:rStyle w:val="Hyperlink"/>
            <w:vertAlign w:val="superscript"/>
          </w:rPr>
          <w:t xml:space="preserve">1360</w:t>
        </w:r>
      </w:hyperlink>
      <w:r>
        <w:rPr>
          <w:vertAlign w:val="superscript"/>
        </w:rPr>
        <w:t xml:space="preserve">]</w:t>
      </w:r>
      <w:r>
        <w:t xml:space="preserve">。</w:t>
      </w:r>
    </w:p>
    <w:p>
      <w:pPr>
        <w:pStyle w:val="BodyText"/>
      </w:pPr>
      <w:r>
        <w:t xml:space="preserve">假设一个人在安静训练室能接近原先害怕的物体，换到拥挤环境却再次紧张，至少存在情境检索、额外负荷和危险估计三个解释。实验可以分别改变背景、时间和线索，比较哪一种变化最能预测反应。这里的“抑制学习”是学习层面的术语，不能直接推定某种GABA神经元活动已增加。心理描述与细胞机制之间需要额外证据建立联系。</w:t>
      </w:r>
    </w:p>
    <w:bookmarkEnd w:id="2069"/>
    <w:bookmarkStart w:id="2070" w:name="sec-131-8"/>
    <w:p>
      <w:pPr>
        <w:pStyle w:val="Heading3"/>
      </w:pPr>
      <w:r>
        <w:t xml:space="preserve">131.8　暴露治疗的目标与实施边界</w:t>
      </w:r>
    </w:p>
    <w:p>
      <w:pPr>
        <w:pStyle w:val="FirstParagraph"/>
      </w:pPr>
      <w:r>
        <w:t xml:space="preserve">暴露相关治疗让人在适当支持下接触引起困扰的线索、感觉或记忆，减少妨碍学习的反应，并建立新的可用经验。学习到“我能承受这种不适”“预计的灾难没有按想象发生”或“即使不确定也能完成行动”，都可能具有临床意义。当场焦虑完全消失并非所有有效学习必须达到的条件</w:t>
      </w:r>
      <w:r>
        <w:rPr>
          <w:vertAlign w:val="superscript"/>
        </w:rPr>
        <w:t xml:space="preserve">[</w:t>
      </w:r>
      <w:hyperlink w:anchor="ref-1360">
        <w:r>
          <w:rPr>
            <w:rStyle w:val="Hyperlink"/>
            <w:vertAlign w:val="superscript"/>
          </w:rPr>
          <w:t xml:space="preserve">1360</w:t>
        </w:r>
      </w:hyperlink>
      <w:r>
        <w:rPr>
          <w:vertAlign w:val="superscript"/>
        </w:rPr>
        <w:t xml:space="preserve">]</w:t>
      </w:r>
      <w:r>
        <w:t xml:space="preserve">。</w:t>
      </w:r>
    </w:p>
    <w:p>
      <w:pPr>
        <w:pStyle w:val="BodyText"/>
      </w:pPr>
      <w:r>
        <w:t xml:space="preserve">这不授权强迫当事人接触危险、羞辱情境或未经同意的创伤细节。治疗计划需要考虑医学条件、实际安全、解离、共病和承受能力，也需要记录退出与不良体验。某些方法依赖专业评估后的内感受或记忆任务，本书只解释原理。把研究中的暴露简化成越痛苦越有效，会丢失合作、学习目标、剂量和情境这些决定效果的条件</w:t>
      </w:r>
      <w:r>
        <w:rPr>
          <w:vertAlign w:val="superscript"/>
        </w:rPr>
        <w:t xml:space="preserve">[</w:t>
      </w:r>
      <w:hyperlink w:anchor="ref-1361">
        <w:r>
          <w:rPr>
            <w:rStyle w:val="Hyperlink"/>
            <w:vertAlign w:val="superscript"/>
          </w:rPr>
          <w:t xml:space="preserve">1361</w:t>
        </w:r>
      </w:hyperlink>
      <w:r>
        <w:rPr>
          <w:vertAlign w:val="superscript"/>
        </w:rPr>
        <w:t xml:space="preserve">]</w:t>
      </w:r>
      <w:r>
        <w:t xml:space="preserve">。</w:t>
      </w:r>
    </w:p>
    <w:bookmarkEnd w:id="2070"/>
    <w:bookmarkStart w:id="2071" w:name="sec-131-9"/>
    <w:p>
      <w:pPr>
        <w:pStyle w:val="Heading3"/>
      </w:pPr>
      <w:r>
        <w:t xml:space="preserve">131.9　心理治疗的证据需要保留具体对象</w:t>
      </w:r>
    </w:p>
    <w:p>
      <w:pPr>
        <w:pStyle w:val="FirstParagraph"/>
      </w:pPr>
      <w:r>
        <w:t xml:space="preserve">广泛性焦虑的随机试验网络分析支持认知行为治疗对急性症状及部分随访结局的平均收益。该分析曾因重复纳入同一队列和把标准误当作标准差而重算，正式更正说明部分比较区间改变，总体临床解释维持</w:t>
      </w:r>
      <w:r>
        <w:rPr>
          <w:vertAlign w:val="superscript"/>
        </w:rPr>
        <w:t xml:space="preserve">[</w:t>
      </w:r>
      <w:hyperlink w:anchor="ref-1362">
        <w:r>
          <w:rPr>
            <w:rStyle w:val="Hyperlink"/>
            <w:vertAlign w:val="superscript"/>
          </w:rPr>
          <w:t xml:space="preserve">1362</w:t>
        </w:r>
      </w:hyperlink>
      <w:r>
        <w:rPr>
          <w:vertAlign w:val="superscript"/>
        </w:rPr>
        <w:t xml:space="preserve">,</w:t>
      </w:r>
      <w:hyperlink w:anchor="ref-1363">
        <w:r>
          <w:rPr>
            <w:rStyle w:val="Hyperlink"/>
            <w:vertAlign w:val="superscript"/>
          </w:rPr>
          <w:t xml:space="preserve">1363</w:t>
        </w:r>
      </w:hyperlink>
      <w:r>
        <w:rPr>
          <w:vertAlign w:val="superscript"/>
        </w:rPr>
        <w:t xml:space="preserve">,</w:t>
      </w:r>
      <w:hyperlink w:anchor="ref-1364">
        <w:r>
          <w:rPr>
            <w:rStyle w:val="Hyperlink"/>
            <w:vertAlign w:val="superscript"/>
          </w:rPr>
          <w:t xml:space="preserve">1364</w:t>
        </w:r>
      </w:hyperlink>
      <w:r>
        <w:rPr>
          <w:vertAlign w:val="superscript"/>
        </w:rPr>
        <w:t xml:space="preserve">]</w:t>
      </w:r>
      <w:r>
        <w:t xml:space="preserve">。因此，引用应使用更正后的结论，避免混用旧版精确数值。</w:t>
      </w:r>
    </w:p>
    <w:p>
      <w:pPr>
        <w:pStyle w:val="BodyText"/>
      </w:pPr>
      <w:r>
        <w:t xml:space="preserve">一项疗法在焦虑总分上优于通常照护，无法证明其对每种焦虑障碍、每个年龄和所有服务环境都同样有效。独立的主动对照、治疗者训练、患者偏好和后续生活功能，都影响可用性。该综述获欧盟研究资助，论文报告资助方未参与设计、分析和发表决策，同时披露个别作者的其他商业关系</w:t>
      </w:r>
      <w:r>
        <w:rPr>
          <w:vertAlign w:val="superscript"/>
        </w:rPr>
        <w:t xml:space="preserve">[</w:t>
      </w:r>
      <w:hyperlink w:anchor="ref-1362">
        <w:r>
          <w:rPr>
            <w:rStyle w:val="Hyperlink"/>
            <w:vertAlign w:val="superscript"/>
          </w:rPr>
          <w:t xml:space="preserve">1362</w:t>
        </w:r>
      </w:hyperlink>
      <w:r>
        <w:rPr>
          <w:vertAlign w:val="superscript"/>
        </w:rPr>
        <w:t xml:space="preserve">]</w:t>
      </w:r>
      <w:r>
        <w:t xml:space="preserve">。透明披露帮助评估证据，不能替代对具体方法和结果的阅读。</w:t>
      </w:r>
    </w:p>
    <w:bookmarkEnd w:id="2071"/>
    <w:bookmarkStart w:id="2072" w:name="sec-131-10"/>
    <w:p>
      <w:pPr>
        <w:pStyle w:val="Heading3"/>
      </w:pPr>
      <w:r>
        <w:t xml:space="preserve">131.10　药物效果与生理适应</w:t>
      </w:r>
    </w:p>
    <w:p>
      <w:pPr>
        <w:pStyle w:val="FirstParagraph"/>
      </w:pPr>
      <w:r>
        <w:t xml:space="preserve">某些抗抑郁药可用于特定焦虑障碍，药物名称不限制其作用只与抑郁相关。它们的平均效果和起效过程来自具体疾病试验，不能由递质机制直接推定人人有效。选择时还需考虑不良反应、合并疾病、既往反应和个人偏好</w:t>
      </w:r>
      <w:r>
        <w:rPr>
          <w:vertAlign w:val="superscript"/>
        </w:rPr>
        <w:t xml:space="preserve">[</w:t>
      </w:r>
      <w:hyperlink w:anchor="ref-1358">
        <w:r>
          <w:rPr>
            <w:rStyle w:val="Hyperlink"/>
            <w:vertAlign w:val="superscript"/>
          </w:rPr>
          <w:t xml:space="preserve">1358</w:t>
        </w:r>
      </w:hyperlink>
      <w:r>
        <w:rPr>
          <w:vertAlign w:val="superscript"/>
        </w:rPr>
        <w:t xml:space="preserve">]</w:t>
      </w:r>
      <w:r>
        <w:t xml:space="preserve">。药物后焦虑改善，也不能反向证明最初存在一个可简单测出的“焦虑递质不足”。</w:t>
      </w:r>
    </w:p>
    <w:p>
      <w:pPr>
        <w:pStyle w:val="BodyText"/>
      </w:pPr>
      <w:r>
        <w:t xml:space="preserve">苯二氮䓬类通过GABA相关机制产生快速效应，同时可能涉及镇静、记忆影响、身体依赖和撤药风险。FDA的类别警示明确区分滥用、成瘾、身体依赖及撤药反应，突然停用可能造成严重后果</w:t>
      </w:r>
      <w:r>
        <w:rPr>
          <w:vertAlign w:val="superscript"/>
        </w:rPr>
        <w:t xml:space="preserve">[</w:t>
      </w:r>
      <w:hyperlink w:anchor="ref-1365">
        <w:r>
          <w:rPr>
            <w:rStyle w:val="Hyperlink"/>
            <w:vertAlign w:val="superscript"/>
          </w:rPr>
          <w:t xml:space="preserve">1365</w:t>
        </w:r>
      </w:hyperlink>
      <w:r>
        <w:rPr>
          <w:vertAlign w:val="superscript"/>
        </w:rPr>
        <w:t xml:space="preserve">]</w:t>
      </w:r>
      <w:r>
        <w:t xml:space="preserve">。身体依赖可以在按处方使用时发生，不能据此评判人格。关于药物的教育应同时解释收益和适应过程，本章不提供个人开始、换药或减停日程。</w:t>
      </w:r>
    </w:p>
    <w:bookmarkEnd w:id="2072"/>
    <w:bookmarkStart w:id="2073" w:name="sec-131-11"/>
    <w:p>
      <w:pPr>
        <w:pStyle w:val="Heading3"/>
      </w:pPr>
      <w:r>
        <w:t xml:space="preserve">131.11　儿童焦虑需要发育和环境信息</w:t>
      </w:r>
    </w:p>
    <w:p>
      <w:pPr>
        <w:pStyle w:val="FirstParagraph"/>
      </w:pPr>
      <w:r>
        <w:t xml:space="preserve">儿童可能以腹痛、拒学、依恋增加或反复确认表达焦虑。理解行为需要结合年龄、语言能力、家庭及学校环境，考察是否存在欺凌、学习障碍或其他发育需要。分离焦虑的意义随发育阶段不同，不能把幼儿的正常依恋模式直接套用成人独立标准。多来源观察很有价值，但各观察者也处于不同情境。</w:t>
      </w:r>
    </w:p>
    <w:p>
      <w:pPr>
        <w:pStyle w:val="BodyText"/>
      </w:pPr>
      <w:r>
        <w:t xml:space="preserve">CAMS随机研究纳入488名七至十七岁、具有特定分离焦虑、广泛性焦虑或社交焦虑诊断的儿童青少年，十二周时心理、药物和联合干预均优于安慰剂，联合组平均反应更高</w:t>
      </w:r>
      <w:r>
        <w:rPr>
          <w:vertAlign w:val="superscript"/>
        </w:rPr>
        <w:t xml:space="preserve">[</w:t>
      </w:r>
      <w:hyperlink w:anchor="ref-1366">
        <w:r>
          <w:rPr>
            <w:rStyle w:val="Hyperlink"/>
            <w:vertAlign w:val="superscript"/>
          </w:rPr>
          <w:t xml:space="preserve">1366</w:t>
        </w:r>
      </w:hyperlink>
      <w:r>
        <w:rPr>
          <w:vertAlign w:val="superscript"/>
        </w:rPr>
        <w:t xml:space="preserve">]</w:t>
      </w:r>
      <w:r>
        <w:t xml:space="preserve">。这项证据不涵盖所有儿童心理困难，也不意味着每个家庭都应选择联合治疗。反应、完全缓解、返校和家庭压力是不同终点；较短试验无法充分量化所有长期和罕见风险。</w:t>
      </w:r>
    </w:p>
    <w:bookmarkEnd w:id="2073"/>
    <w:bookmarkStart w:id="2074" w:name="sec-131-12"/>
    <w:p>
      <w:pPr>
        <w:pStyle w:val="Heading3"/>
      </w:pPr>
      <w:r>
        <w:t xml:space="preserve">131.12　强迫观念与强迫行为</w:t>
      </w:r>
    </w:p>
    <w:p>
      <w:pPr>
        <w:pStyle w:val="FirstParagraph"/>
      </w:pPr>
      <w:r>
        <w:t xml:space="preserve">强迫观念可以是不受欢迎、反复侵入的想法、图像或冲动，内容可能涉及污染、伤害、禁忌、宗教或对称性。强迫行为包括外显检查、清洗、排列，也包括默念、计数、反复回想和心理中和。是否造成耗时、痛苦和功能限制，比“喜欢整齐”这一日常描述更接近临床问题</w:t>
      </w:r>
      <w:r>
        <w:rPr>
          <w:vertAlign w:val="superscript"/>
        </w:rPr>
        <w:t xml:space="preserve">[</w:t>
      </w:r>
      <w:hyperlink w:anchor="ref-1367">
        <w:r>
          <w:rPr>
            <w:rStyle w:val="Hyperlink"/>
            <w:vertAlign w:val="superscript"/>
          </w:rPr>
          <w:t xml:space="preserve">1367</w:t>
        </w:r>
      </w:hyperlink>
      <w:r>
        <w:rPr>
          <w:vertAlign w:val="superscript"/>
        </w:rPr>
        <w:t xml:space="preserve">]</w:t>
      </w:r>
      <w:r>
        <w:t xml:space="preserve">。</w:t>
      </w:r>
    </w:p>
    <w:p>
      <w:pPr>
        <w:pStyle w:val="BodyText"/>
      </w:pPr>
      <w:r>
        <w:t xml:space="preserve">侵入想法的内容与行动意图需要分别评估。一个人害怕自己会伤害别人，并竭力回避相关情境，不能仅由想法内容推定其想要实施伤害；同时，安全评估仍需结合实际意图、计划、行为和其他病况。自知力可以变化，有些人知道担忧不合理，有些人十分确信。缺少充分自知力不能自动否定强迫症，也不能跳过与精神病性信念的鉴别。</w:t>
      </w:r>
    </w:p>
    <w:bookmarkEnd w:id="2074"/>
    <w:bookmarkStart w:id="2075" w:name="sec-131-13"/>
    <w:p>
      <w:pPr>
        <w:pStyle w:val="Heading3"/>
      </w:pPr>
      <w:r>
        <w:t xml:space="preserve">131.13　仪式与不完整感</w:t>
      </w:r>
    </w:p>
    <w:p>
      <w:pPr>
        <w:pStyle w:val="FirstParagraph"/>
      </w:pPr>
      <w:r>
        <w:t xml:space="preserve">有些强迫行为主要为了减轻恐惧，有些则为了达到“终于正确”或“完整”的感觉。重复动作带来的短暂释放，可能使行为持续；无法获得明确停止信号，又可能推动再次检查。知道已经锁门与对锁门产生足够确定感，可以在主观体验中分离。反复追求绝对确定，也可能扩大对微小差异的注意。</w:t>
      </w:r>
    </w:p>
    <w:p>
      <w:pPr>
        <w:pStyle w:val="BodyText"/>
      </w:pPr>
      <w:r>
        <w:t xml:space="preserve">假设某人已经完成一项任务，却每次重新检查后又怀疑刚才是否看清。一个可检验的问题是，重复检查是否改变了记忆鲜明度、确信感或停止规则。这个分析不预设所有病例都由记忆缺陷引起。任务、动机和行为后果都需测量；只观察仪式次数，无法完整区分避免灾难、感觉不完整和习惯化控制。对研究者而言，这些维度有助于减少把不同机制强行归入一个平均值的问题</w:t>
      </w:r>
      <w:r>
        <w:rPr>
          <w:vertAlign w:val="superscript"/>
        </w:rPr>
        <w:t xml:space="preserve">[</w:t>
      </w:r>
      <w:hyperlink w:anchor="ref-1367">
        <w:r>
          <w:rPr>
            <w:rStyle w:val="Hyperlink"/>
            <w:vertAlign w:val="superscript"/>
          </w:rPr>
          <w:t xml:space="preserve">1367</w:t>
        </w:r>
      </w:hyperlink>
      <w:r>
        <w:rPr>
          <w:vertAlign w:val="superscript"/>
        </w:rPr>
        <w:t xml:space="preserve">,</w:t>
      </w:r>
      <w:hyperlink w:anchor="ref-1368">
        <w:r>
          <w:rPr>
            <w:rStyle w:val="Hyperlink"/>
            <w:vertAlign w:val="superscript"/>
          </w:rPr>
          <w:t xml:space="preserve">1368</w:t>
        </w:r>
      </w:hyperlink>
      <w:r>
        <w:rPr>
          <w:vertAlign w:val="superscript"/>
        </w:rPr>
        <w:t xml:space="preserve">]</w:t>
      </w:r>
      <w:r>
        <w:t xml:space="preserve">。</w:t>
      </w:r>
    </w:p>
    <w:bookmarkEnd w:id="2075"/>
    <w:bookmarkStart w:id="2076" w:name="sec-131-14"/>
    <w:p>
      <w:pPr>
        <w:pStyle w:val="Heading3"/>
      </w:pPr>
      <w:r>
        <w:t xml:space="preserve">131.14　目标导向控制与习惯</w:t>
      </w:r>
    </w:p>
    <w:p>
      <w:pPr>
        <w:pStyle w:val="FirstParagraph"/>
      </w:pPr>
      <w:r>
        <w:t xml:space="preserve">目标导向行为会随结果的价值变化而调整，习惯化行为则更受情境线索和既往重复影响。强迫症行为实验曾发现，部分患者在结果价值变化后更难灵活调整反应，为两类控制的平衡提供了研究线索</w:t>
      </w:r>
      <w:r>
        <w:rPr>
          <w:vertAlign w:val="superscript"/>
        </w:rPr>
        <w:t xml:space="preserve">[</w:t>
      </w:r>
      <w:hyperlink w:anchor="ref-1368">
        <w:r>
          <w:rPr>
            <w:rStyle w:val="Hyperlink"/>
            <w:vertAlign w:val="superscript"/>
          </w:rPr>
          <w:t xml:space="preserve">1368</w:t>
        </w:r>
      </w:hyperlink>
      <w:r>
        <w:rPr>
          <w:vertAlign w:val="superscript"/>
        </w:rPr>
        <w:t xml:space="preserve">]</w:t>
      </w:r>
      <w:r>
        <w:t xml:space="preserve">。但任务表现也受结果知识、注意和一般认知影响，无法单凭一次任务把某个人的全部强迫症状归为习惯。</w:t>
      </w:r>
    </w:p>
    <w:p>
      <w:pPr>
        <w:pStyle w:val="BodyText"/>
      </w:pPr>
      <w:r>
        <w:t xml:space="preserve">这一框架的价值在于提出不同干预预测。如果主要困难是没有学清动作与结果的关系，补充清楚反馈可能有所帮助；如果知道结果已无价值却仍反复动作，就需进一步检验停止、冲动和情境触发。两种假设可以产生相同的表面重复次数。临床恢复也未必要求完全消除习惯：大量日常行为依赖高效习惯控制，问题在于灵活性与个人目标是否受到明显限制。</w:t>
      </w:r>
    </w:p>
    <w:bookmarkEnd w:id="2076"/>
    <w:bookmarkStart w:id="2077" w:name="sec-131-15"/>
    <w:p>
      <w:pPr>
        <w:pStyle w:val="Heading3"/>
      </w:pPr>
      <w:r>
        <w:t xml:space="preserve">131.15　眶额纹状体回路与动物模型</w:t>
      </w:r>
    </w:p>
    <w:p>
      <w:pPr>
        <w:pStyle w:val="FirstParagraph"/>
      </w:pPr>
      <w:r>
        <w:t xml:space="preserve">小鼠实验显示，特定眶额至腹内侧纹状体投射的反复激活可以增加持续梳理；另一模型中，对外侧眶额纹状体通路的特定操纵又能改善行为抑制及过度梳理</w:t>
      </w:r>
      <w:r>
        <w:rPr>
          <w:vertAlign w:val="superscript"/>
        </w:rPr>
        <w:t xml:space="preserve">[</w:t>
      </w:r>
      <w:hyperlink w:anchor="ref-1369">
        <w:r>
          <w:rPr>
            <w:rStyle w:val="Hyperlink"/>
            <w:vertAlign w:val="superscript"/>
          </w:rPr>
          <w:t xml:space="preserve">1369</w:t>
        </w:r>
      </w:hyperlink>
      <w:r>
        <w:rPr>
          <w:vertAlign w:val="superscript"/>
        </w:rPr>
        <w:t xml:space="preserve">,</w:t>
      </w:r>
      <w:hyperlink w:anchor="ref-1370">
        <w:r>
          <w:rPr>
            <w:rStyle w:val="Hyperlink"/>
            <w:vertAlign w:val="superscript"/>
          </w:rPr>
          <w:t xml:space="preserve">1370</w:t>
        </w:r>
      </w:hyperlink>
      <w:r>
        <w:rPr>
          <w:vertAlign w:val="superscript"/>
        </w:rPr>
        <w:t xml:space="preserve">]</w:t>
      </w:r>
      <w:r>
        <w:t xml:space="preserve">。两项结果共同说明回路位置、细胞连接、模型背景和刺激时程具有实质意义，不能简化成“眶额叶越活跃，强迫越严重”的统一规律。</w:t>
      </w:r>
    </w:p>
    <w:p>
      <w:pPr>
        <w:pStyle w:val="BodyText"/>
      </w:pPr>
      <w:r>
        <w:t xml:space="preserve">动物的梳理可以量化，但动物无法报告宗教担忧、责任感或对想法意义的理解。模型因而对应强迫行为的一部分特征。人类影像中的平均回路差异、动物操纵中的因果作用和人体治疗靶点验证，是相连但不同的证据层级。临床刺激产生收益，也可能通过广泛网络传播实现，不能保证刺激位置就是疾病最初的唯一源头。</w:t>
      </w:r>
    </w:p>
    <w:bookmarkEnd w:id="2077"/>
    <w:bookmarkStart w:id="2078" w:name="sec-131-16"/>
    <w:p>
      <w:pPr>
        <w:pStyle w:val="Heading3"/>
      </w:pPr>
      <w:r>
        <w:t xml:space="preserve">131.16　暴露与反应预防的具体作用</w:t>
      </w:r>
    </w:p>
    <w:p>
      <w:pPr>
        <w:pStyle w:val="FirstParagraph"/>
      </w:pPr>
      <w:r>
        <w:t xml:space="preserve">暴露与反应预防简称ERP，将接触相关线索与减少强迫仪式联系起来。治疗中需要辨认隐蔽的心理仪式，否则外显动作减少，内部中和可能继续维持同样循环。一个人反复要求保证“绝不会发生任何坏事”，家庭不断保证可能暂时缓解焦虑，却难以提供永久确定性。调整这种互动需要支持性沟通，不能简单责备家人</w:t>
      </w:r>
      <w:r>
        <w:rPr>
          <w:vertAlign w:val="superscript"/>
        </w:rPr>
        <w:t xml:space="preserve">[</w:t>
      </w:r>
      <w:hyperlink w:anchor="ref-1371">
        <w:r>
          <w:rPr>
            <w:rStyle w:val="Hyperlink"/>
            <w:vertAlign w:val="superscript"/>
          </w:rPr>
          <w:t xml:space="preserve">1371</w:t>
        </w:r>
      </w:hyperlink>
      <w:r>
        <w:rPr>
          <w:vertAlign w:val="superscript"/>
        </w:rPr>
        <w:t xml:space="preserve">]</w:t>
      </w:r>
      <w:r>
        <w:t xml:space="preserve">。</w:t>
      </w:r>
    </w:p>
    <w:p>
      <w:pPr>
        <w:pStyle w:val="BodyText"/>
      </w:pPr>
      <w:r>
        <w:t xml:space="preserve">在已接受足够SRI治疗但仍有显著症状的100名成人随机研究中，增加ERP的八周结果优于增加利培酮或药片安慰剂</w:t>
      </w:r>
      <w:r>
        <w:rPr>
          <w:vertAlign w:val="superscript"/>
        </w:rPr>
        <w:t xml:space="preserve">[</w:t>
      </w:r>
      <w:hyperlink w:anchor="ref-1372">
        <w:r>
          <w:rPr>
            <w:rStyle w:val="Hyperlink"/>
            <w:vertAlign w:val="superscript"/>
          </w:rPr>
          <w:t xml:space="preserve">1372</w:t>
        </w:r>
      </w:hyperlink>
      <w:r>
        <w:rPr>
          <w:vertAlign w:val="superscript"/>
        </w:rPr>
        <w:t xml:space="preserve">]</w:t>
      </w:r>
      <w:r>
        <w:t xml:space="preserve">。这是特定增效情境的直接证据，不等于所有初诊患者都经过同样顺序，也不证明全部其他增效方案无效。心理干预难以对参与者完全设盲，研究的专业中心背景和实际可及性需要同时考虑。</w:t>
      </w:r>
    </w:p>
    <w:bookmarkEnd w:id="2078"/>
    <w:bookmarkStart w:id="2079" w:name="sec-131-17"/>
    <w:p>
      <w:pPr>
        <w:pStyle w:val="Heading3"/>
      </w:pPr>
      <w:r>
        <w:t xml:space="preserve">131.17　儿童强迫与突然起病</w:t>
      </w:r>
    </w:p>
    <w:p>
      <w:pPr>
        <w:pStyle w:val="FirstParagraph"/>
      </w:pPr>
      <w:r>
        <w:t xml:space="preserve">POTS研究的112名儿童青少年接受心理、药物、联合或安慰剂比较，连续症状变化与达到缓解阈值的比较并不完全相同</w:t>
      </w:r>
      <w:r>
        <w:rPr>
          <w:vertAlign w:val="superscript"/>
        </w:rPr>
        <w:t xml:space="preserve">[</w:t>
      </w:r>
      <w:hyperlink w:anchor="ref-1373">
        <w:r>
          <w:rPr>
            <w:rStyle w:val="Hyperlink"/>
            <w:vertAlign w:val="superscript"/>
          </w:rPr>
          <w:t xml:space="preserve">1373</w:t>
        </w:r>
      </w:hyperlink>
      <w:r>
        <w:rPr>
          <w:vertAlign w:val="superscript"/>
        </w:rPr>
        <w:t xml:space="preserve">]</w:t>
      </w:r>
      <w:r>
        <w:t xml:space="preserve">。某一终点显示组间显著差异，不能自动搬到另一个终点。儿童还可能缺少描述侵入想法的词汇，需要观察家庭、学习和日常活动的变化，避免只按成人自我报告提问。</w:t>
      </w:r>
    </w:p>
    <w:p>
      <w:pPr>
        <w:pStyle w:val="BodyText"/>
      </w:pPr>
      <w:r>
        <w:t xml:space="preserve">对极急骤出现的强迫、进食限制或其他神经精神变化，PANS相关讨论要求认真鉴别感染、神经疾病及既有精神病况。AAP在2025年临床报告中指出，该综合征尚缺疾病特异标志物、充分病因证据及一致治疗共识</w:t>
      </w:r>
      <w:r>
        <w:rPr>
          <w:vertAlign w:val="superscript"/>
        </w:rPr>
        <w:t xml:space="preserve">[</w:t>
      </w:r>
      <w:hyperlink w:anchor="ref-1374">
        <w:r>
          <w:rPr>
            <w:rStyle w:val="Hyperlink"/>
            <w:vertAlign w:val="superscript"/>
          </w:rPr>
          <w:t xml:space="preserve">1374</w:t>
        </w:r>
      </w:hyperlink>
      <w:r>
        <w:rPr>
          <w:vertAlign w:val="superscript"/>
        </w:rPr>
        <w:t xml:space="preserve">]</w:t>
      </w:r>
      <w:r>
        <w:t xml:space="preserve">。某次感染与症状时间相邻，不足以证明确定的自身免疫因果链；抗体商业检测或感染史也不能单独成为高风险免疫治疗的理由。支持当前功能与继续核实病因可以同时进行。</w:t>
      </w:r>
    </w:p>
    <w:bookmarkEnd w:id="2079"/>
    <w:bookmarkStart w:id="2080" w:name="sec-131-18"/>
    <w:p>
      <w:pPr>
        <w:pStyle w:val="Heading3"/>
      </w:pPr>
      <w:r>
        <w:t xml:space="preserve">131.18　神经调控证据的范围</w:t>
      </w:r>
    </w:p>
    <w:p>
      <w:pPr>
        <w:pStyle w:val="FirstParagraph"/>
      </w:pPr>
      <w:r>
        <w:t xml:space="preserve">一项99人的随机假刺激对照研究发现，特定深部经颅磁刺激方案结合个体化症状激活，对短期强迫量表具有平均收益</w:t>
      </w:r>
      <w:r>
        <w:rPr>
          <w:vertAlign w:val="superscript"/>
        </w:rPr>
        <w:t xml:space="preserve">[</w:t>
      </w:r>
      <w:hyperlink w:anchor="ref-1375">
        <w:r>
          <w:rPr>
            <w:rStyle w:val="Hyperlink"/>
            <w:vertAlign w:val="superscript"/>
          </w:rPr>
          <w:t xml:space="preserve">1375</w:t>
        </w:r>
      </w:hyperlink>
      <w:r>
        <w:rPr>
          <w:vertAlign w:val="superscript"/>
        </w:rPr>
        <w:t xml:space="preserve">]</w:t>
      </w:r>
      <w:r>
        <w:t xml:space="preserve">。两组都有相应配套程序，结果支持这一具体组合中的主动刺激贡献，无法直接证明任意线圈、靶点或家用设备具有同样效果。长期维持、个人选择和与充分ERP的比较，还需要各自的证据。</w:t>
      </w:r>
    </w:p>
    <w:p>
      <w:pPr>
        <w:pStyle w:val="BodyText"/>
      </w:pPr>
      <w:r>
        <w:t xml:space="preserve">该试验由Brainsway支持，论文披露部分作者与厂商的雇佣、研究支持及财务关系</w:t>
      </w:r>
      <w:r>
        <w:rPr>
          <w:vertAlign w:val="superscript"/>
        </w:rPr>
        <w:t xml:space="preserve">[</w:t>
      </w:r>
      <w:hyperlink w:anchor="ref-1375">
        <w:r>
          <w:rPr>
            <w:rStyle w:val="Hyperlink"/>
            <w:vertAlign w:val="superscript"/>
          </w:rPr>
          <w:t xml:space="preserve">1375</w:t>
        </w:r>
      </w:hyperlink>
      <w:r>
        <w:rPr>
          <w:vertAlign w:val="superscript"/>
        </w:rPr>
        <w:t xml:space="preserve">]</w:t>
      </w:r>
      <w:r>
        <w:t xml:space="preserve">。解释时应关注完整方案、假刺激可信度、退出、安全报告和独立重复。脑深部刺激涉及植入及更特殊的风险收益评估，不能由一般回路理论直接推导适应证。有关不同器械的证据基础与适用范围，见</w:t>
      </w:r>
      <w:r>
        <w:t xml:space="preserve"> </w:t>
      </w:r>
      <w:hyperlink w:anchor="sec-152-10">
        <w:r>
          <w:rPr>
            <w:rStyle w:val="Hyperlink"/>
          </w:rPr>
          <w:t xml:space="preserve">152.10</w:t>
        </w:r>
      </w:hyperlink>
      <w:r>
        <w:t xml:space="preserve">。</w:t>
      </w:r>
    </w:p>
    <w:bookmarkEnd w:id="2080"/>
    <w:bookmarkStart w:id="2081" w:name="sec-131-19"/>
    <w:p>
      <w:pPr>
        <w:pStyle w:val="Heading3"/>
      </w:pPr>
      <w:r>
        <w:t xml:space="preserve">131.19　创伤反应与PTSD的核心结构</w:t>
      </w:r>
    </w:p>
    <w:p>
      <w:pPr>
        <w:pStyle w:val="FirstParagraph"/>
      </w:pPr>
      <w:r>
        <w:t xml:space="preserve">经历威胁事件后出现短期痛苦、警觉或睡眠改变，并不必然发展为PTSD。诊断需要符合规定的创伤背景、症候、持续时间及功能影响。不同分类系统组织症状的方式有所差别：ICD-11强调在当下重新体验、回避和持续当前威胁感，DSM体系还以更宽的症候群描述相关变化</w:t>
      </w:r>
      <w:r>
        <w:rPr>
          <w:vertAlign w:val="superscript"/>
        </w:rPr>
        <w:t xml:space="preserve">[</w:t>
      </w:r>
      <w:hyperlink w:anchor="ref-1376">
        <w:r>
          <w:rPr>
            <w:rStyle w:val="Hyperlink"/>
            <w:vertAlign w:val="superscript"/>
          </w:rPr>
          <w:t xml:space="preserve">1376</w:t>
        </w:r>
      </w:hyperlink>
      <w:r>
        <w:rPr>
          <w:vertAlign w:val="superscript"/>
        </w:rPr>
        <w:t xml:space="preserve">,</w:t>
      </w:r>
      <w:hyperlink w:anchor="ref-1377">
        <w:r>
          <w:rPr>
            <w:rStyle w:val="Hyperlink"/>
            <w:vertAlign w:val="superscript"/>
          </w:rPr>
          <w:t xml:space="preserve">1377</w:t>
        </w:r>
      </w:hyperlink>
      <w:r>
        <w:rPr>
          <w:vertAlign w:val="superscript"/>
        </w:rPr>
        <w:t xml:space="preserve">]</w:t>
      </w:r>
      <w:r>
        <w:t xml:space="preserve">。</w:t>
      </w:r>
    </w:p>
    <w:p>
      <w:pPr>
        <w:pStyle w:val="BodyText"/>
      </w:pPr>
      <w:r>
        <w:t xml:space="preserve">重新体验可以带有强烈的“此刻正在发生”感，区别于普通的主动回想。触发线索可以是声音、气味、身体状态或情境相似性，患者未必总能立即识别。临床评估关心这些体验如何影响睡眠、行动和关系，无法从触发强度直接推断历史事件的全部细节。记忆真实性、外部事实调查和症状治疗之间的边界，将在</w:t>
      </w:r>
      <w:hyperlink w:anchor="ch-132">
        <w:r>
          <w:rPr>
            <w:rStyle w:val="Hyperlink"/>
          </w:rPr>
          <w:t xml:space="preserve">第132章</w:t>
        </w:r>
      </w:hyperlink>
      <w:r>
        <w:t xml:space="preserve">展开。</w:t>
      </w:r>
    </w:p>
    <w:bookmarkEnd w:id="2081"/>
    <w:bookmarkStart w:id="2082" w:name="sec-131-20"/>
    <w:p>
      <w:pPr>
        <w:pStyle w:val="Heading3"/>
      </w:pPr>
      <w:r>
        <w:t xml:space="preserve">131.20　海马变化与创伤前脆弱性</w:t>
      </w:r>
    </w:p>
    <w:p>
      <w:pPr>
        <w:pStyle w:val="FirstParagraph"/>
      </w:pPr>
      <w:r>
        <w:t xml:space="preserve">PTSD相关影像常讨论海马和情境记忆，但横断面观察无法确定差异发生于创伤之前还是之后。同卵双生子中创伤暴露不同的研究提示，部分较小海马特征可能代表既有家族脆弱性</w:t>
      </w:r>
      <w:r>
        <w:rPr>
          <w:vertAlign w:val="superscript"/>
        </w:rPr>
        <w:t xml:space="preserve">[</w:t>
      </w:r>
      <w:hyperlink w:anchor="ref-802">
        <w:r>
          <w:rPr>
            <w:rStyle w:val="Hyperlink"/>
            <w:vertAlign w:val="superscript"/>
          </w:rPr>
          <w:t xml:space="preserve">802</w:t>
        </w:r>
      </w:hyperlink>
      <w:r>
        <w:rPr>
          <w:vertAlign w:val="superscript"/>
        </w:rPr>
        <w:t xml:space="preserve">]</w:t>
      </w:r>
      <w:r>
        <w:t xml:space="preserve">。这并不否定创伤后可塑性或疾病状态影响；它说明“患者平均较小”到“创伤必然造成永久萎缩”之间还有多种解释。</w:t>
      </w:r>
    </w:p>
    <w:p>
      <w:pPr>
        <w:pStyle w:val="BodyText"/>
      </w:pPr>
      <w:r>
        <w:t xml:space="preserve">情境加工的假说关注线索能否被放回时间、地点和安全背景中。假设一个声音与过去危险相似，但当前环境已经安全，系统需要同时使用线索相似性与当前情境信息。若某人难以完成这种区分，回避和警觉可能持续。研究应检验其情境学习与症状变化是否有时间和因果联系，不能仅因海马参与记忆就把所有闪回归到该区域单独失灵。</w:t>
      </w:r>
    </w:p>
    <w:bookmarkEnd w:id="2082"/>
    <w:bookmarkStart w:id="2083" w:name="sec-131-21"/>
    <w:p>
      <w:pPr>
        <w:pStyle w:val="Heading3"/>
      </w:pPr>
      <w:r>
        <w:t xml:space="preserve">131.21　复杂PTSD及相关概念</w:t>
      </w:r>
    </w:p>
    <w:p>
      <w:pPr>
        <w:pStyle w:val="FirstParagraph"/>
      </w:pPr>
      <w:r>
        <w:t xml:space="preserve">ICD-11复杂PTSD在PTSD核心症状之外，还要求情绪调节、自我概念和关系领域的持续显著困难及相应功能影响。反复、难以逃离的人际创伤较常见，但具体创伤类型本身不自动完成诊断；DSM体系没有同名的独立诊断类别</w:t>
      </w:r>
      <w:r>
        <w:rPr>
          <w:vertAlign w:val="superscript"/>
        </w:rPr>
        <w:t xml:space="preserve">[</w:t>
      </w:r>
      <w:hyperlink w:anchor="ref-1376">
        <w:r>
          <w:rPr>
            <w:rStyle w:val="Hyperlink"/>
            <w:vertAlign w:val="superscript"/>
          </w:rPr>
          <w:t xml:space="preserve">1376</w:t>
        </w:r>
      </w:hyperlink>
      <w:r>
        <w:rPr>
          <w:vertAlign w:val="superscript"/>
        </w:rPr>
        <w:t xml:space="preserve">,</w:t>
      </w:r>
      <w:hyperlink w:anchor="ref-1377">
        <w:r>
          <w:rPr>
            <w:rStyle w:val="Hyperlink"/>
            <w:vertAlign w:val="superscript"/>
          </w:rPr>
          <w:t xml:space="preserve">1377</w:t>
        </w:r>
      </w:hyperlink>
      <w:r>
        <w:rPr>
          <w:vertAlign w:val="superscript"/>
        </w:rPr>
        <w:t xml:space="preserve">]</w:t>
      </w:r>
      <w:r>
        <w:t xml:space="preserve">。因而阅读研究时需要核对它使用的分类标准，不能把所有“复杂创伤”经历与同一诊断等同。</w:t>
      </w:r>
    </w:p>
    <w:p>
      <w:pPr>
        <w:pStyle w:val="BodyText"/>
      </w:pPr>
      <w:r>
        <w:t xml:space="preserve">解离描述某些通常整合的经验过程出现分离，例如对自我或环境的不真实感；它可以出现在不同状态与疾病中。强烈羞耻、罪责、背叛感和所谓道德创伤也可能具有重要临床意义，但其概念边界与正式诊断并不完全一致。选择服务时应从实际困扰出发，避免通过流行标签忽略抑郁、物质使用、睡眠或正在发生的安全威胁</w:t>
      </w:r>
      <w:r>
        <w:rPr>
          <w:vertAlign w:val="superscript"/>
        </w:rPr>
        <w:t xml:space="preserve">[</w:t>
      </w:r>
      <w:hyperlink w:anchor="ref-1361">
        <w:r>
          <w:rPr>
            <w:rStyle w:val="Hyperlink"/>
            <w:vertAlign w:val="superscript"/>
          </w:rPr>
          <w:t xml:space="preserve">1361</w:t>
        </w:r>
      </w:hyperlink>
      <w:r>
        <w:rPr>
          <w:vertAlign w:val="superscript"/>
        </w:rPr>
        <w:t xml:space="preserve">]</w:t>
      </w:r>
      <w:r>
        <w:t xml:space="preserve">。</w:t>
      </w:r>
    </w:p>
    <w:bookmarkEnd w:id="2083"/>
    <w:bookmarkStart w:id="2084" w:name="sec-131-22"/>
    <w:p>
      <w:pPr>
        <w:pStyle w:val="Heading3"/>
      </w:pPr>
      <w:r>
        <w:t xml:space="preserve">131.22　创伤聚焦疗法的共同点与差异</w:t>
      </w:r>
    </w:p>
    <w:p>
      <w:pPr>
        <w:pStyle w:val="FirstParagraph"/>
      </w:pPr>
      <w:r>
        <w:t xml:space="preserve">延长暴露、认知加工治疗和EMDR均具有一定随机证据并进入专业指南；它们处理回避、记忆及意义的方式不同</w:t>
      </w:r>
      <w:r>
        <w:rPr>
          <w:vertAlign w:val="superscript"/>
        </w:rPr>
        <w:t xml:space="preserve">[</w:t>
      </w:r>
      <w:hyperlink w:anchor="ref-1209">
        <w:r>
          <w:rPr>
            <w:rStyle w:val="Hyperlink"/>
            <w:vertAlign w:val="superscript"/>
          </w:rPr>
          <w:t xml:space="preserve">1209</w:t>
        </w:r>
      </w:hyperlink>
      <w:r>
        <w:rPr>
          <w:vertAlign w:val="superscript"/>
        </w:rPr>
        <w:t xml:space="preserve">,</w:t>
      </w:r>
      <w:hyperlink w:anchor="ref-1361">
        <w:r>
          <w:rPr>
            <w:rStyle w:val="Hyperlink"/>
            <w:vertAlign w:val="superscript"/>
          </w:rPr>
          <w:t xml:space="preserve">1361</w:t>
        </w:r>
      </w:hyperlink>
      <w:r>
        <w:rPr>
          <w:vertAlign w:val="superscript"/>
        </w:rPr>
        <w:t xml:space="preserve">]</w:t>
      </w:r>
      <w:r>
        <w:t xml:space="preserve">。“创伤聚焦”不要求所有人都用相同叙述形式，也不意味着把一次详细复述强加给刚经历事件的每个人。有效方案通常有明确结构、专业训练和对安全及功能的关注。</w:t>
      </w:r>
    </w:p>
    <w:p>
      <w:pPr>
        <w:pStyle w:val="BodyText"/>
      </w:pPr>
      <w:r>
        <w:t xml:space="preserve">美国退伍军人的916人随机比较中，延长暴露和认知加工治疗均带来症状改善；延长暴露组的平均改善略大（CAPS-5组间差2.42分，95%置信区间0.53至4.31），但治疗退出更多，研究作者认为这一差异未达到其临床意义标准</w:t>
      </w:r>
      <w:r>
        <w:rPr>
          <w:vertAlign w:val="superscript"/>
        </w:rPr>
        <w:t xml:space="preserve">[</w:t>
      </w:r>
      <w:hyperlink w:anchor="ref-1378">
        <w:r>
          <w:rPr>
            <w:rStyle w:val="Hyperlink"/>
            <w:vertAlign w:val="superscript"/>
          </w:rPr>
          <w:t xml:space="preserve">1378</w:t>
        </w:r>
      </w:hyperlink>
      <w:r>
        <w:rPr>
          <w:vertAlign w:val="superscript"/>
        </w:rPr>
        <w:t xml:space="preserve">]</w:t>
      </w:r>
      <w:r>
        <w:t xml:space="preserve">。这不能当作严格等效证明，也不足以让所有人按一个排名选择。参加者偏好、完成可能性、共病和服务条件，会影响哪种方案能产生实际收益。</w:t>
      </w:r>
    </w:p>
    <w:bookmarkEnd w:id="2084"/>
    <w:bookmarkStart w:id="2085" w:name="sec-131-23"/>
    <w:p>
      <w:pPr>
        <w:pStyle w:val="Heading3"/>
      </w:pPr>
      <w:r>
        <w:t xml:space="preserve">131.23　EMDR有效性与机制解释</w:t>
      </w:r>
    </w:p>
    <w:p>
      <w:pPr>
        <w:pStyle w:val="FirstParagraph"/>
      </w:pPr>
      <w:r>
        <w:t xml:space="preserve">眼动脱敏与再加工包含一套结构化治疗程序，眼动或其他双侧刺激只是其中的组成部分。实验显示，在保持不愉快记忆的同时执行眼动或其他占用工作记忆的任务，可以影响记忆的鲜明度和情绪评分，为资源竞争解释提供支持</w:t>
      </w:r>
      <w:r>
        <w:rPr>
          <w:vertAlign w:val="superscript"/>
        </w:rPr>
        <w:t xml:space="preserve">[</w:t>
      </w:r>
      <w:hyperlink w:anchor="ref-1379">
        <w:r>
          <w:rPr>
            <w:rStyle w:val="Hyperlink"/>
            <w:vertAlign w:val="superscript"/>
          </w:rPr>
          <w:t xml:space="preserve">1379</w:t>
        </w:r>
      </w:hyperlink>
      <w:r>
        <w:rPr>
          <w:vertAlign w:val="superscript"/>
        </w:rPr>
        <w:t xml:space="preserve">]</w:t>
      </w:r>
      <w:r>
        <w:t xml:space="preserve">。实验任务的评分改变与完整临床治疗的长期效果，仍须分开评价。</w:t>
      </w:r>
    </w:p>
    <w:p>
      <w:pPr>
        <w:pStyle w:val="BodyText"/>
      </w:pPr>
      <w:r>
        <w:t xml:space="preserve">由疗效推定“左右脑能量得到平衡”，或把眼动后的图像视为准确恢复的历史记录，都缺少相应证据。研究可以比较眼动与匹配负荷任务、完整方案与拆解组件，并测量改变是否中介长期症状收益。若某个组件比较未见明确差异，也不能立刻否定整个多组件治疗。机制研究的精确问题，是哪些过程在何种条件下贡献多少收益。</w:t>
      </w:r>
    </w:p>
    <w:bookmarkEnd w:id="2085"/>
    <w:bookmarkStart w:id="2086" w:name="sec-131-24"/>
    <w:p>
      <w:pPr>
        <w:pStyle w:val="Heading3"/>
      </w:pPr>
      <w:r>
        <w:t xml:space="preserve">131.24　噩梦与整体PTSD是不同结局</w:t>
      </w:r>
    </w:p>
    <w:p>
      <w:pPr>
        <w:pStyle w:val="FirstParagraph"/>
      </w:pPr>
      <w:r>
        <w:t xml:space="preserve">夜间惊醒、噩梦、失眠和呼吸障碍可能共同影响创伤后的睡眠。改善一个维度不一定改善全部症候。2018年304名退伍军人的安慰剂对照试验未显示prazosin对其主要噩梦、睡眠质量和整体改变终点的显著优势</w:t>
      </w:r>
      <w:r>
        <w:rPr>
          <w:vertAlign w:val="superscript"/>
        </w:rPr>
        <w:t xml:space="preserve">[</w:t>
      </w:r>
      <w:hyperlink w:anchor="ref-1380">
        <w:r>
          <w:rPr>
            <w:rStyle w:val="Hyperlink"/>
            <w:vertAlign w:val="superscript"/>
          </w:rPr>
          <w:t xml:space="preserve">1380</w:t>
        </w:r>
      </w:hyperlink>
      <w:r>
        <w:rPr>
          <w:vertAlign w:val="superscript"/>
        </w:rPr>
        <w:t xml:space="preserve">]</w:t>
      </w:r>
      <w:r>
        <w:t xml:space="preserve">。样本选择及其他研究结果使证据综合仍需细分。</w:t>
      </w:r>
    </w:p>
    <w:p>
      <w:pPr>
        <w:pStyle w:val="BodyText"/>
      </w:pPr>
      <w:r>
        <w:t xml:space="preserve">2023年VA及国防部指南对PTSD相关噩梦保留低证据水平的prazosin建议，同时对把它用于整体PTSD症状提出不同判断</w:t>
      </w:r>
      <w:r>
        <w:rPr>
          <w:vertAlign w:val="superscript"/>
        </w:rPr>
        <w:t xml:space="preserve">[</w:t>
      </w:r>
      <w:hyperlink w:anchor="ref-1209">
        <w:r>
          <w:rPr>
            <w:rStyle w:val="Hyperlink"/>
            <w:vertAlign w:val="superscript"/>
          </w:rPr>
          <w:t xml:space="preserve">1209</w:t>
        </w:r>
      </w:hyperlink>
      <w:r>
        <w:rPr>
          <w:vertAlign w:val="superscript"/>
        </w:rPr>
        <w:t xml:space="preserve">,</w:t>
      </w:r>
      <w:hyperlink w:anchor="ref-1381">
        <w:r>
          <w:rPr>
            <w:rStyle w:val="Hyperlink"/>
            <w:vertAlign w:val="superscript"/>
          </w:rPr>
          <w:t xml:space="preserve">1381</w:t>
        </w:r>
      </w:hyperlink>
      <w:r>
        <w:rPr>
          <w:vertAlign w:val="superscript"/>
        </w:rPr>
        <w:t xml:space="preserve">]</w:t>
      </w:r>
      <w:r>
        <w:t xml:space="preserve">。两种建议对应不同终点，并不构成简单的相互矛盾。该药相关血压和体位性不适等风险，需要专业评估；本章不给个人方案。若只把药物写成“治疗PTSD有效”或“完全无效”，会抹去这些有实际意义的差别。</w:t>
      </w:r>
    </w:p>
    <w:bookmarkEnd w:id="2086"/>
    <w:bookmarkStart w:id="2087" w:name="sec-131-25"/>
    <w:p>
      <w:pPr>
        <w:pStyle w:val="Heading3"/>
      </w:pPr>
      <w:r>
        <w:t xml:space="preserve">131.25　社会安全与治疗的可进入性</w:t>
      </w:r>
    </w:p>
    <w:p>
      <w:pPr>
        <w:pStyle w:val="FirstParagraph"/>
      </w:pPr>
      <w:r>
        <w:t xml:space="preserve">当威胁仍在发生时，住房、保护、法律支持、经济与医疗服务可能决定人能否参与治疗。把现实风险当作需要消退的错误恐惧，会使干预目标偏离处境。专业指南明确要求关注安全稳定、建立信任及阻碍参与的共病和解离问题</w:t>
      </w:r>
      <w:r>
        <w:rPr>
          <w:vertAlign w:val="superscript"/>
        </w:rPr>
        <w:t xml:space="preserve">[</w:t>
      </w:r>
      <w:hyperlink w:anchor="ref-1361">
        <w:r>
          <w:rPr>
            <w:rStyle w:val="Hyperlink"/>
            <w:vertAlign w:val="superscript"/>
          </w:rPr>
          <w:t xml:space="preserve">1361</w:t>
        </w:r>
      </w:hyperlink>
      <w:r>
        <w:rPr>
          <w:vertAlign w:val="superscript"/>
        </w:rPr>
        <w:t xml:space="preserve">]</w:t>
      </w:r>
      <w:r>
        <w:t xml:space="preserve">。这些工作并不意味着所有人都必须先完成同样长的准备阶段，实际路径需要按需要调整。</w:t>
      </w:r>
    </w:p>
    <w:p>
      <w:pPr>
        <w:pStyle w:val="BodyText"/>
      </w:pPr>
      <w:r>
        <w:t xml:space="preserve">治疗者与患者的权力关系也影响证据应用。能够拒绝某个练习、报告不良体验和更换不合适方案，是可接受性的一部分。完成课程人数较高，不自动说明所有人都获益；退出也未必只说明疗法无效，还可能反映交通、费用、羞耻或工作冲突。有效服务应尽可能把这些原因记录清楚，并把症状变化与现实生活改善共同纳入。</w:t>
      </w:r>
    </w:p>
    <w:bookmarkEnd w:id="2087"/>
    <w:bookmarkStart w:id="2089" w:name="sec-131-26"/>
    <w:p>
      <w:pPr>
        <w:pStyle w:val="Heading3"/>
      </w:pPr>
      <w:r>
        <w:t xml:space="preserve">131.26　常见症状跨疾病查阅表</w:t>
      </w:r>
    </w:p>
    <w:p>
      <w:pPr>
        <w:pStyle w:val="FirstParagraph"/>
      </w:pPr>
      <w:r>
        <w:t xml:space="preserve">下表比较症候的不同解释层次，用于阅读和概念辨别。任何单行都不能独立形成个人诊断，实际评估需要完整病程、功能和医学背景</w:t>
      </w:r>
      <w:r>
        <w:rPr>
          <w:vertAlign w:val="superscript"/>
        </w:rPr>
        <w:t xml:space="preserve">[</w:t>
      </w:r>
      <w:hyperlink w:anchor="ref-1358">
        <w:r>
          <w:rPr>
            <w:rStyle w:val="Hyperlink"/>
            <w:vertAlign w:val="superscript"/>
          </w:rPr>
          <w:t xml:space="preserve">1358</w:t>
        </w:r>
      </w:hyperlink>
      <w:r>
        <w:rPr>
          <w:vertAlign w:val="superscript"/>
        </w:rPr>
        <w:t xml:space="preserve">,</w:t>
      </w:r>
      <w:hyperlink w:anchor="ref-1361">
        <w:r>
          <w:rPr>
            <w:rStyle w:val="Hyperlink"/>
            <w:vertAlign w:val="superscript"/>
          </w:rPr>
          <w:t xml:space="preserve">1361</w:t>
        </w:r>
      </w:hyperlink>
      <w:r>
        <w:rPr>
          <w:vertAlign w:val="superscript"/>
        </w:rPr>
        <w:t xml:space="preserve">,</w:t>
      </w:r>
      <w:hyperlink w:anchor="ref-1371">
        <w:r>
          <w:rPr>
            <w:rStyle w:val="Hyperlink"/>
            <w:vertAlign w:val="superscript"/>
          </w:rPr>
          <w:t xml:space="preserve">1371</w:t>
        </w:r>
      </w:hyperlink>
      <w:r>
        <w:rPr>
          <w:vertAlign w:val="superscript"/>
        </w:rPr>
        <w:t xml:space="preserve">,</w:t>
      </w:r>
      <w:hyperlink w:anchor="ref-1376">
        <w:r>
          <w:rPr>
            <w:rStyle w:val="Hyperlink"/>
            <w:vertAlign w:val="superscript"/>
          </w:rPr>
          <w:t xml:space="preserve">1376</w:t>
        </w:r>
      </w:hyperlink>
      <w:r>
        <w:rPr>
          <w:vertAlign w:val="superscript"/>
        </w:rPr>
        <w:t xml:space="preserve">]</w:t>
      </w:r>
      <w:r>
        <w:t xml:space="preserve">。</w:t>
      </w:r>
    </w:p>
    <w:p>
      <w:pPr>
        <w:pStyle w:val="TableCaption"/>
      </w:pPr>
      <w:bookmarkStart w:id="2088" w:name="tab-symptoms"/>
      <w:bookmarkEnd w:id="2088"/>
      <w:r>
        <w:rPr>
          <w:bCs/>
          <w:b/>
        </w:rPr>
        <w:t xml:space="preserve">表 31　相似症状背后的不同过程</w:t>
      </w:r>
    </w:p>
    <w:tbl>
      <w:tblPr>
        <w:tblStyle w:val="Table"/>
        <w:tblW w:type="pct" w:w="5000"/>
        <w:jc w:val="start"/>
        <w:tblLook w:firstRow="1" w:lastRow="0" w:firstColumn="0" w:lastColumn="0" w:noHBand="0" w:noVBand="0" w:val="0020"/>
      </w:tblPr>
      <w:tblGrid>
        <w:gridCol w:w="1289"/>
        <w:gridCol w:w="3499"/>
        <w:gridCol w:w="3131"/>
      </w:tblGrid>
      <w:tr>
        <w:trPr>
          <w:tblHeader w:val="true"/>
        </w:trPr>
        <w:tc>
          <w:tcPr>
            <w:shd w:val="clear" w:color="auto" w:fill="1F3A5F"/>
          </w:tcPr>
          <w:p>
            <w:pPr>
              <w:pStyle w:val="Compact"/>
              <w:jc w:val="left"/>
            </w:pPr>
            <w:r>
              <w:rPr>
                <w:bCs/>
                <w:b/>
                <w:color w:val="FFFFFF"/>
              </w:rPr>
              <w:t xml:space="preserve">表面表现</w:t>
            </w:r>
          </w:p>
        </w:tc>
        <w:tc>
          <w:tcPr>
            <w:shd w:val="clear" w:color="auto" w:fill="1F3A5F"/>
          </w:tcPr>
          <w:p>
            <w:pPr>
              <w:pStyle w:val="Compact"/>
              <w:jc w:val="left"/>
            </w:pPr>
            <w:r>
              <w:rPr>
                <w:bCs/>
                <w:b/>
                <w:color w:val="FFFFFF"/>
              </w:rPr>
              <w:t xml:space="preserve">可能涉及的不同过程</w:t>
            </w:r>
          </w:p>
        </w:tc>
        <w:tc>
          <w:tcPr>
            <w:shd w:val="clear" w:color="auto" w:fill="1F3A5F"/>
          </w:tcPr>
          <w:p>
            <w:pPr>
              <w:pStyle w:val="Compact"/>
              <w:jc w:val="left"/>
            </w:pPr>
            <w:r>
              <w:rPr>
                <w:bCs/>
                <w:b/>
                <w:color w:val="FFFFFF"/>
              </w:rPr>
              <w:t xml:space="preserve">需要保留的区别</w:t>
            </w:r>
          </w:p>
        </w:tc>
      </w:tr>
      <w:tr>
        <w:tc>
          <w:tcPr/>
          <w:p>
            <w:pPr>
              <w:pStyle w:val="Compact"/>
              <w:jc w:val="left"/>
            </w:pPr>
            <w:r>
              <w:t xml:space="preserve">反复想到危险</w:t>
            </w:r>
          </w:p>
        </w:tc>
        <w:tc>
          <w:tcPr/>
          <w:p>
            <w:pPr>
              <w:pStyle w:val="Compact"/>
              <w:jc w:val="left"/>
            </w:pPr>
            <w:r>
              <w:t xml:space="preserve">广泛担忧、强迫侵入、创伤提醒</w:t>
            </w:r>
          </w:p>
        </w:tc>
        <w:tc>
          <w:tcPr/>
          <w:p>
            <w:pPr>
              <w:pStyle w:val="Compact"/>
              <w:jc w:val="left"/>
            </w:pPr>
            <w:r>
              <w:t xml:space="preserve">想法内容、发生方式及其后的仪式不同</w:t>
            </w:r>
          </w:p>
        </w:tc>
      </w:tr>
      <w:tr>
        <w:tc>
          <w:tcPr/>
          <w:p>
            <w:pPr>
              <w:pStyle w:val="Compact"/>
              <w:jc w:val="left"/>
            </w:pPr>
            <w:r>
              <w:t xml:space="preserve">不愿出门</w:t>
            </w:r>
          </w:p>
        </w:tc>
        <w:tc>
          <w:tcPr/>
          <w:p>
            <w:pPr>
              <w:pStyle w:val="Compact"/>
              <w:jc w:val="left"/>
            </w:pPr>
            <w:r>
              <w:t xml:space="preserve">惊恐回避、社交评价恐惧、抑郁或现实危险</w:t>
            </w:r>
          </w:p>
        </w:tc>
        <w:tc>
          <w:tcPr/>
          <w:p>
            <w:pPr>
              <w:pStyle w:val="Compact"/>
              <w:jc w:val="left"/>
            </w:pPr>
            <w:r>
              <w:t xml:space="preserve">回避的功能与实际安全必须询问</w:t>
            </w:r>
          </w:p>
        </w:tc>
      </w:tr>
      <w:tr>
        <w:tc>
          <w:tcPr/>
          <w:p>
            <w:pPr>
              <w:pStyle w:val="Compact"/>
              <w:jc w:val="left"/>
            </w:pPr>
            <w:r>
              <w:t xml:space="preserve">心跳和呼吸改变</w:t>
            </w:r>
          </w:p>
        </w:tc>
        <w:tc>
          <w:tcPr/>
          <w:p>
            <w:pPr>
              <w:pStyle w:val="Compact"/>
              <w:jc w:val="left"/>
            </w:pPr>
            <w:r>
              <w:t xml:space="preserve">生理疾病、自主反应、药物或惊恐</w:t>
            </w:r>
          </w:p>
        </w:tc>
        <w:tc>
          <w:tcPr/>
          <w:p>
            <w:pPr>
              <w:pStyle w:val="Compact"/>
              <w:jc w:val="left"/>
            </w:pPr>
            <w:r>
              <w:t xml:space="preserve">身体信号与对信号的解释均需考虑</w:t>
            </w:r>
          </w:p>
        </w:tc>
      </w:tr>
      <w:tr>
        <w:tc>
          <w:tcPr/>
          <w:p>
            <w:pPr>
              <w:pStyle w:val="Compact"/>
              <w:jc w:val="left"/>
            </w:pPr>
            <w:r>
              <w:t xml:space="preserve">反复检查</w:t>
            </w:r>
          </w:p>
        </w:tc>
        <w:tc>
          <w:tcPr/>
          <w:p>
            <w:pPr>
              <w:pStyle w:val="Compact"/>
              <w:jc w:val="left"/>
            </w:pPr>
            <w:r>
              <w:t xml:space="preserve">合理核对、强迫仪式、记忆或执行困难</w:t>
            </w:r>
          </w:p>
        </w:tc>
        <w:tc>
          <w:tcPr/>
          <w:p>
            <w:pPr>
              <w:pStyle w:val="Compact"/>
              <w:jc w:val="left"/>
            </w:pPr>
            <w:r>
              <w:t xml:space="preserve">耗时、停止规则及功能影响不同</w:t>
            </w:r>
          </w:p>
        </w:tc>
      </w:tr>
      <w:tr>
        <w:tc>
          <w:tcPr/>
          <w:p>
            <w:pPr>
              <w:pStyle w:val="Compact"/>
              <w:jc w:val="left"/>
            </w:pPr>
            <w:r>
              <w:t xml:space="preserve">缺乏情绪表达</w:t>
            </w:r>
          </w:p>
        </w:tc>
        <w:tc>
          <w:tcPr/>
          <w:p>
            <w:pPr>
              <w:pStyle w:val="Compact"/>
              <w:jc w:val="left"/>
            </w:pPr>
            <w:r>
              <w:t xml:space="preserve">阴性症状、抑郁、解离、药物或交流差异</w:t>
            </w:r>
          </w:p>
        </w:tc>
        <w:tc>
          <w:tcPr/>
          <w:p>
            <w:pPr>
              <w:pStyle w:val="Compact"/>
              <w:jc w:val="left"/>
            </w:pPr>
            <w:r>
              <w:t xml:space="preserve">外部表达不能代表内部没有体验</w:t>
            </w:r>
          </w:p>
        </w:tc>
      </w:tr>
      <w:tr>
        <w:tc>
          <w:tcPr/>
          <w:p>
            <w:pPr>
              <w:pStyle w:val="Compact"/>
              <w:jc w:val="left"/>
            </w:pPr>
            <w:r>
              <w:t xml:space="preserve">听见声音</w:t>
            </w:r>
          </w:p>
        </w:tc>
        <w:tc>
          <w:tcPr/>
          <w:p>
            <w:pPr>
              <w:pStyle w:val="Compact"/>
              <w:jc w:val="left"/>
            </w:pPr>
            <w:r>
              <w:t xml:space="preserve">精神病性体验、睡眠边界、感觉或神经病况</w:t>
            </w:r>
          </w:p>
        </w:tc>
        <w:tc>
          <w:tcPr/>
          <w:p>
            <w:pPr>
              <w:pStyle w:val="Compact"/>
              <w:jc w:val="left"/>
            </w:pPr>
            <w:r>
              <w:t xml:space="preserve">状态、来源判断、痛苦及伴随症状不同</w:t>
            </w:r>
          </w:p>
        </w:tc>
      </w:tr>
      <w:tr>
        <w:tc>
          <w:tcPr/>
          <w:p>
            <w:pPr>
              <w:pStyle w:val="Compact"/>
              <w:jc w:val="left"/>
            </w:pPr>
            <w:r>
              <w:t xml:space="preserve">反复噩梦</w:t>
            </w:r>
          </w:p>
        </w:tc>
        <w:tc>
          <w:tcPr/>
          <w:p>
            <w:pPr>
              <w:pStyle w:val="Compact"/>
              <w:jc w:val="left"/>
            </w:pPr>
            <w:r>
              <w:t xml:space="preserve">创伤相关、梦障碍、药物及睡眠因素</w:t>
            </w:r>
          </w:p>
        </w:tc>
        <w:tc>
          <w:tcPr/>
          <w:p>
            <w:pPr>
              <w:pStyle w:val="Compact"/>
              <w:jc w:val="left"/>
            </w:pPr>
            <w:r>
              <w:t xml:space="preserve">夜间症状与整体PTSD分别测量</w:t>
            </w:r>
          </w:p>
        </w:tc>
      </w:tr>
      <w:tr>
        <w:tc>
          <w:tcPr/>
          <w:p>
            <w:pPr>
              <w:pStyle w:val="Compact"/>
              <w:jc w:val="left"/>
            </w:pPr>
            <w:r>
              <w:t xml:space="preserve">注意和学习下降</w:t>
            </w:r>
          </w:p>
        </w:tc>
        <w:tc>
          <w:tcPr/>
          <w:p>
            <w:pPr>
              <w:pStyle w:val="Compact"/>
              <w:jc w:val="left"/>
            </w:pPr>
            <w:r>
              <w:t xml:space="preserve">焦虑、抑郁、ADHD、睡眠或神经疾病</w:t>
            </w:r>
          </w:p>
        </w:tc>
        <w:tc>
          <w:tcPr/>
          <w:p>
            <w:pPr>
              <w:pStyle w:val="Compact"/>
              <w:jc w:val="left"/>
            </w:pPr>
            <w:r>
              <w:t xml:space="preserve">起始年龄、时间轴及跨场景差异重要</w:t>
            </w:r>
          </w:p>
        </w:tc>
      </w:tr>
    </w:tbl>
    <w:bookmarkEnd w:id="2089"/>
    <w:bookmarkStart w:id="2090" w:name="sec-131-27"/>
    <w:p>
      <w:pPr>
        <w:pStyle w:val="Heading3"/>
      </w:pPr>
      <w:r>
        <w:t xml:space="preserve">131.27　重要结论的置信度</w:t>
      </w:r>
    </w:p>
    <w:p>
      <w:pPr>
        <w:pStyle w:val="FirstParagraph"/>
      </w:pPr>
      <w:r>
        <w:t xml:space="preserve">区分症状、诊断与功能，承认焦虑和创伤后的身体体验真实，并把侵入想法与行为意图分别评估，属于确信度较高的基础临床原则。特定认知行为和创伤聚焦方案在相应研究人群中的平均收益，有直接试验支持；患者间差异、服务条件和长期持续性使个体结局仍难精确预测</w:t>
      </w:r>
      <w:r>
        <w:rPr>
          <w:vertAlign w:val="superscript"/>
        </w:rPr>
        <w:t xml:space="preserve">[</w:t>
      </w:r>
      <w:hyperlink w:anchor="ref-1366">
        <w:r>
          <w:rPr>
            <w:rStyle w:val="Hyperlink"/>
            <w:vertAlign w:val="superscript"/>
          </w:rPr>
          <w:t xml:space="preserve">1366</w:t>
        </w:r>
      </w:hyperlink>
      <w:r>
        <w:rPr>
          <w:vertAlign w:val="superscript"/>
        </w:rPr>
        <w:t xml:space="preserve">,</w:t>
      </w:r>
      <w:hyperlink w:anchor="ref-1372">
        <w:r>
          <w:rPr>
            <w:rStyle w:val="Hyperlink"/>
            <w:vertAlign w:val="superscript"/>
          </w:rPr>
          <w:t xml:space="preserve">1372</w:t>
        </w:r>
      </w:hyperlink>
      <w:r>
        <w:rPr>
          <w:vertAlign w:val="superscript"/>
        </w:rPr>
        <w:t xml:space="preserve">,</w:t>
      </w:r>
      <w:hyperlink w:anchor="ref-1378">
        <w:r>
          <w:rPr>
            <w:rStyle w:val="Hyperlink"/>
            <w:vertAlign w:val="superscript"/>
          </w:rPr>
          <w:t xml:space="preserve">1378</w:t>
        </w:r>
      </w:hyperlink>
      <w:r>
        <w:rPr>
          <w:vertAlign w:val="superscript"/>
        </w:rPr>
        <w:t xml:space="preserve">]</w:t>
      </w:r>
      <w:r>
        <w:t xml:space="preserve">。</w:t>
      </w:r>
    </w:p>
    <w:p>
      <w:pPr>
        <w:pStyle w:val="BodyText"/>
      </w:pPr>
      <w:r>
        <w:t xml:space="preserve">恐惧学习、习惯控制、内感受及回路研究提供了机制线索，但单一模型尚不足以解释全部焦虑、强迫或创伤症候。动物重复行为、人体实验任务与临床疾病之间存在可明确描述的外推距离</w:t>
      </w:r>
      <w:r>
        <w:rPr>
          <w:vertAlign w:val="superscript"/>
        </w:rPr>
        <w:t xml:space="preserve">[</w:t>
      </w:r>
      <w:hyperlink w:anchor="ref-696">
        <w:r>
          <w:rPr>
            <w:rStyle w:val="Hyperlink"/>
            <w:vertAlign w:val="superscript"/>
          </w:rPr>
          <w:t xml:space="preserve">696</w:t>
        </w:r>
      </w:hyperlink>
      <w:r>
        <w:rPr>
          <w:vertAlign w:val="superscript"/>
        </w:rPr>
        <w:t xml:space="preserve">,</w:t>
      </w:r>
      <w:hyperlink w:anchor="ref-1368">
        <w:r>
          <w:rPr>
            <w:rStyle w:val="Hyperlink"/>
            <w:vertAlign w:val="superscript"/>
          </w:rPr>
          <w:t xml:space="preserve">1368</w:t>
        </w:r>
      </w:hyperlink>
      <w:r>
        <w:rPr>
          <w:vertAlign w:val="superscript"/>
        </w:rPr>
        <w:t xml:space="preserve">,</w:t>
      </w:r>
      <w:hyperlink w:anchor="ref-1369">
        <w:r>
          <w:rPr>
            <w:rStyle w:val="Hyperlink"/>
            <w:vertAlign w:val="superscript"/>
          </w:rPr>
          <w:t xml:space="preserve">1369</w:t>
        </w:r>
      </w:hyperlink>
      <w:r>
        <w:rPr>
          <w:vertAlign w:val="superscript"/>
        </w:rPr>
        <w:t xml:space="preserve">,</w:t>
      </w:r>
      <w:hyperlink w:anchor="ref-1370">
        <w:r>
          <w:rPr>
            <w:rStyle w:val="Hyperlink"/>
            <w:vertAlign w:val="superscript"/>
          </w:rPr>
          <w:t xml:space="preserve">1370</w:t>
        </w:r>
      </w:hyperlink>
      <w:r>
        <w:rPr>
          <w:vertAlign w:val="superscript"/>
        </w:rPr>
        <w:t xml:space="preserve">]</w:t>
      </w:r>
      <w:r>
        <w:t xml:space="preserve">。对PANS相关病因和高风险免疫治疗的普遍有效性，当前证据仍有限；对精神症状存在生物机制的承认，也不能替代每一种具体治疗的验证</w:t>
      </w:r>
      <w:r>
        <w:rPr>
          <w:vertAlign w:val="superscript"/>
        </w:rPr>
        <w:t xml:space="preserve">[</w:t>
      </w:r>
      <w:hyperlink w:anchor="ref-1374">
        <w:r>
          <w:rPr>
            <w:rStyle w:val="Hyperlink"/>
            <w:vertAlign w:val="superscript"/>
          </w:rPr>
          <w:t xml:space="preserve">1374</w:t>
        </w:r>
      </w:hyperlink>
      <w:r>
        <w:rPr>
          <w:vertAlign w:val="superscript"/>
        </w:rPr>
        <w:t xml:space="preserve">]</w:t>
      </w:r>
      <w:r>
        <w:t xml:space="preserve">。</w:t>
      </w:r>
    </w:p>
    <w:bookmarkEnd w:id="2090"/>
    <w:bookmarkEnd w:id="2091"/>
    <w:bookmarkStart w:id="2112" w:name="ch-132"/>
    <w:p>
      <w:pPr>
        <w:pStyle w:val="Heading2"/>
      </w:pPr>
      <w:r>
        <w:t xml:space="preserve">第132章　身体反应、创伤记忆与历史真实性</w:t>
      </w:r>
    </w:p>
    <w:p>
      <w:pPr>
        <w:pStyle w:val="CalloutJudgment"/>
      </w:pPr>
      <w:r>
        <w:rPr>
          <w:bCs/>
          <w:b/>
        </w:rPr>
        <w:t xml:space="preserve">核心判断　过去经历可以通过学习影响身体反应，释放感和肌肉紧张无法独自证明某段历史，也没有充分证据支持可准确读取的筋膜自传档案，置信度高。</w:t>
      </w:r>
      <w:r>
        <w:t xml:space="preserve">症状真实、治疗有效、机制正确和回忆准确，是四个独立命题。任何一个成立都不能自动完成另外三个。</w:t>
      </w:r>
    </w:p>
    <w:bookmarkStart w:id="2092" w:name="sec-132-1"/>
    <w:p>
      <w:pPr>
        <w:pStyle w:val="Heading3"/>
      </w:pPr>
      <w:r>
        <w:t xml:space="preserve">132.1　身体反应如何具有学习历史</w:t>
      </w:r>
    </w:p>
    <w:p>
      <w:pPr>
        <w:pStyle w:val="FirstParagraph"/>
      </w:pPr>
      <w:r>
        <w:t xml:space="preserve">声音、气味、姿势或社交线索可以与过去威胁建立联系，后来在相似条件下引发警觉、心率、肌肉紧张和回避。某些反应可以在难以清楚叙述原因时出现。学习过程不要求当事人每次都主动回忆完整事件，也不要求事件以完整文件形式保存于肌肉。</w:t>
      </w:r>
    </w:p>
    <w:p>
      <w:pPr>
        <w:pStyle w:val="BodyText"/>
      </w:pPr>
      <w:r>
        <w:t xml:space="preserve">身体与神经系统之间持续交换信息。呼吸、心跳、胃肠状态、姿势和疼痛可以影响体验与注意，体验又可以改变身体调节。这个双向过程提供多条症状形成路径。它无法独自确定一个症状来自哪段过去经历。</w:t>
      </w:r>
    </w:p>
    <w:bookmarkEnd w:id="2092"/>
    <w:bookmarkStart w:id="2093" w:name="sec-132-2"/>
    <w:p>
      <w:pPr>
        <w:pStyle w:val="Heading3"/>
      </w:pPr>
      <w:r>
        <w:t xml:space="preserve">132.2　身体记忆这一概念怎样使用</w:t>
      </w:r>
    </w:p>
    <w:p>
      <w:pPr>
        <w:pStyle w:val="FirstParagraph"/>
      </w:pPr>
      <w:r>
        <w:t xml:space="preserve">“身体记忆”可以描述技能、感觉经验、隐性关联和身体表征。Gentsch与Kuehn2022年的整合框架讨论过去身体经验如何影响临床症状，并把相关神经机制作为研究对象</w:t>
      </w:r>
      <w:r>
        <w:rPr>
          <w:vertAlign w:val="superscript"/>
        </w:rPr>
        <w:t xml:space="preserve">[</w:t>
      </w:r>
      <w:hyperlink w:anchor="ref-1382">
        <w:r>
          <w:rPr>
            <w:rStyle w:val="Hyperlink"/>
            <w:vertAlign w:val="superscript"/>
          </w:rPr>
          <w:t xml:space="preserve">1382</w:t>
        </w:r>
      </w:hyperlink>
      <w:r>
        <w:rPr>
          <w:vertAlign w:val="superscript"/>
        </w:rPr>
        <w:t xml:space="preserve">]</w:t>
      </w:r>
      <w:r>
        <w:t xml:space="preserve">。它没有证明筋膜能够储存并准确解码具体自传事件。概念使用应保留这一差别。</w:t>
      </w:r>
    </w:p>
    <w:p>
      <w:pPr>
        <w:pStyle w:val="BodyText"/>
      </w:pPr>
      <w:r>
        <w:t xml:space="preserve">肌肉记忆在运动领域常描述技能熟练和神经肌肉适应。细胞与组织可以保留过去活动造成的变化，但这种变化与可叙述的事件细节属于不同信息层次。若声称某处肌肉记录了人物、地点和时间，需要提出可重复的编码与解码证据。</w:t>
      </w:r>
    </w:p>
    <w:bookmarkEnd w:id="2093"/>
    <w:bookmarkStart w:id="2094" w:name="sec-132-3"/>
    <w:p>
      <w:pPr>
        <w:pStyle w:val="Heading3"/>
      </w:pPr>
      <w:r>
        <w:t xml:space="preserve">132.3　历史真实性需要什么证据</w:t>
      </w:r>
    </w:p>
    <w:p>
      <w:pPr>
        <w:pStyle w:val="FirstParagraph"/>
      </w:pPr>
      <w:r>
        <w:t xml:space="preserve">证明某事件发生，通常需要独立记录、物证、相互独立的证词或其他可核实资料。身体反应可以说明当前出现真实反应，却缺乏足够特异性。相似反应可能来自疼痛、焦虑、期待、当前处境、多个不同经历或其他健康因素。</w:t>
      </w:r>
    </w:p>
    <w:p>
      <w:pPr>
        <w:pStyle w:val="BodyText"/>
      </w:pPr>
      <w:r>
        <w:t xml:space="preserve">假设按摩某部位后出现哭泣，治疗者据此推断童年发生某种事件。这个推断需要证明该反应在该事件存在时更常出现，在事件不存在时很少出现，并排除暗示与其他解释。没有这些比较，强烈感受无法提供可靠历史分类。</w:t>
      </w:r>
    </w:p>
    <w:bookmarkEnd w:id="2094"/>
    <w:bookmarkStart w:id="2095" w:name="sec-132-4"/>
    <w:p>
      <w:pPr>
        <w:pStyle w:val="Heading3"/>
      </w:pPr>
      <w:r>
        <w:t xml:space="preserve">132.4　暗示如何影响回忆</w:t>
      </w:r>
    </w:p>
    <w:p>
      <w:pPr>
        <w:pStyle w:val="FirstParagraph"/>
      </w:pPr>
      <w:r>
        <w:t xml:space="preserve">回忆受到提问方式、后续信息、想象和社会期待影响。Otgaar等2019年的批判性综述讨论了长期遗忘创伤、恢复记忆主张和暗示风险</w:t>
      </w:r>
      <w:r>
        <w:rPr>
          <w:vertAlign w:val="superscript"/>
        </w:rPr>
        <w:t xml:space="preserve">[</w:t>
      </w:r>
      <w:hyperlink w:anchor="ref-280">
        <w:r>
          <w:rPr>
            <w:rStyle w:val="Hyperlink"/>
            <w:vertAlign w:val="superscript"/>
          </w:rPr>
          <w:t xml:space="preserve">280</w:t>
        </w:r>
      </w:hyperlink>
      <w:r>
        <w:rPr>
          <w:vertAlign w:val="superscript"/>
        </w:rPr>
        <w:t xml:space="preserve">]</w:t>
      </w:r>
      <w:r>
        <w:t xml:space="preserve">。该综述代表一个需要与其他研究对话的学术立场；它不能裁决具体人的历史，也不能证明所有延迟回忆都错误。</w:t>
      </w:r>
    </w:p>
    <w:p>
      <w:pPr>
        <w:pStyle w:val="BodyText"/>
      </w:pPr>
      <w:r>
        <w:t xml:space="preserve">安全的证据原则是避免把治疗中的体验直接认证为事实。开放、中性的问题通常比预设事件的引导更能保护信息质量。若临床目标是缓解当前症状，可以围绕体验和应对展开，未必需要对每个记忆片段作确定历史结论。</w:t>
      </w:r>
    </w:p>
    <w:bookmarkEnd w:id="2095"/>
    <w:bookmarkStart w:id="2096" w:name="sec-132-5"/>
    <w:p>
      <w:pPr>
        <w:pStyle w:val="Heading3"/>
      </w:pPr>
      <w:r>
        <w:t xml:space="preserve">132.5　治疗收益与理论真实性</w:t>
      </w:r>
    </w:p>
    <w:p>
      <w:pPr>
        <w:pStyle w:val="FirstParagraph"/>
      </w:pPr>
      <w:r>
        <w:t xml:space="preserve">某种身体取向活动可能通过放松、注意转移、运动、感觉暴露、关系支持或期待产生收益。即使随机试验证实改善，也需要额外研究区分这些机制。把疗效全部归于“释放筋膜中的创伤”，必须证明该机制比其他解释更符合数据。</w:t>
      </w:r>
    </w:p>
    <w:p>
      <w:pPr>
        <w:pStyle w:val="BodyText"/>
      </w:pPr>
      <w:r>
        <w:t xml:space="preserve">治疗后的变化也可能包含自然恢复、回归均值和其他同期干预。单次见证无法估计平均疗效。合适试验应定义目标症状、设置可信对照、记录不良反应、评估保持和功能，并尽量让结局评价独立于治疗者。情绪强烈或体验特殊不构成疗效的替代指标。</w:t>
      </w:r>
    </w:p>
    <w:bookmarkEnd w:id="2096"/>
    <w:bookmarkStart w:id="2097" w:name="sec-132-6"/>
    <w:p>
      <w:pPr>
        <w:pStyle w:val="Heading3"/>
      </w:pPr>
      <w:r>
        <w:t xml:space="preserve">132.6　创伤治疗的临床证据</w:t>
      </w:r>
    </w:p>
    <w:p>
      <w:pPr>
        <w:pStyle w:val="FirstParagraph"/>
      </w:pPr>
      <w:r>
        <w:t xml:space="preserve">NICE创伤后应激障碍指南对相应人群推荐创伤聚焦心理治疗和EMDR等方案，强调规范实施、评估与个体需求</w:t>
      </w:r>
      <w:r>
        <w:rPr>
          <w:vertAlign w:val="superscript"/>
        </w:rPr>
        <w:t xml:space="preserve">[</w:t>
      </w:r>
      <w:hyperlink w:anchor="ref-1361">
        <w:r>
          <w:rPr>
            <w:rStyle w:val="Hyperlink"/>
            <w:vertAlign w:val="superscript"/>
          </w:rPr>
          <w:t xml:space="preserve">1361</w:t>
        </w:r>
      </w:hyperlink>
      <w:r>
        <w:rPr>
          <w:vertAlign w:val="superscript"/>
        </w:rPr>
        <w:t xml:space="preserve">]</w:t>
      </w:r>
      <w:r>
        <w:t xml:space="preserve">。这些推荐针对症状与功能收益，不能用来证明筋膜档案、脑区重置或某个具体历史叙述。疗效成立与每一种解释成立之间仍有距离。</w:t>
      </w:r>
    </w:p>
    <w:p>
      <w:pPr>
        <w:pStyle w:val="BodyText"/>
      </w:pPr>
      <w:r>
        <w:t xml:space="preserve">创伤治疗也涉及安全与节奏。是否进入某种暴露或记忆加工，需要考虑当事人状态、目标、风险和支持。“必须宣泄”“必须找回全部记忆”不能被当作普遍规则。强迫性追问可能增加痛苦和暗示风险，缺乏回忆也不能成为否认困扰的理由。</w:t>
      </w:r>
    </w:p>
    <w:bookmarkEnd w:id="2097"/>
    <w:bookmarkStart w:id="2098" w:name="sec-132-7"/>
    <w:p>
      <w:pPr>
        <w:pStyle w:val="Heading3"/>
      </w:pPr>
      <w:r>
        <w:t xml:space="preserve">132.7　身体症状的多种原因</w:t>
      </w:r>
    </w:p>
    <w:p>
      <w:pPr>
        <w:pStyle w:val="FirstParagraph"/>
      </w:pPr>
      <w:r>
        <w:t xml:space="preserve">肌肉紧张、疼痛、心悸和胃肠症状可以由多条路径产生。应结合发生时间、诱因、持续性、用药、疾病与功能影响评估。把所有症状都归为创伤，会遗漏其他可治疗原因；仅因常规检查正常就否定症状，也会忽略测量边界和调节机制。</w:t>
      </w:r>
    </w:p>
    <w:p>
      <w:pPr>
        <w:pStyle w:val="BodyText"/>
      </w:pPr>
      <w:r>
        <w:t xml:space="preserve">某人可能同时有组织损伤与创伤相关警觉，两者互相影响。临床支持可以同时处理疼痛、睡眠、活动和心理反应。多路径解释应尽量具体，避免用一个宽泛概念包容所有相反结果。</w:t>
      </w:r>
    </w:p>
    <w:bookmarkEnd w:id="2098"/>
    <w:bookmarkStart w:id="2099" w:name="sec-132-8"/>
    <w:p>
      <w:pPr>
        <w:pStyle w:val="Heading3"/>
      </w:pPr>
      <w:r>
        <w:t xml:space="preserve">132.8　证据保存与临床边界</w:t>
      </w:r>
    </w:p>
    <w:p>
      <w:pPr>
        <w:pStyle w:val="FirstParagraph"/>
      </w:pPr>
      <w:r>
        <w:t xml:space="preserve">当一个回忆可能涉及法律或人身安全问题时，记录应清楚区分自发叙述、问题提示、解释和后续变化。治疗者的职责与事实调查的职责具有不同目标，混在一起容易影响证据质量。个人当前的恐惧、失眠、羞耻或身体不适可以被认真评估和帮助，涉及责任和事实的判断则需要相应证据程序。把治疗者当作可以从身体反应读出真相的人，会赋予其超出科学能力的权威。可信照护可以支持当事人，同时对未知历史保持谨慎。</w:t>
      </w:r>
    </w:p>
    <w:p>
      <w:pPr>
        <w:pStyle w:val="BodyText"/>
      </w:pPr>
      <w:r>
        <w:t xml:space="preserve">这种谨慎不等于怀疑所有受害者。具体历史可以真实发生，记忆也可以部分准确、部分不确定。认识记忆的可错性有助于避免过度确信，不能被用来普遍否定创伤报告。判断需要独立资料与适当程序。</w:t>
      </w:r>
    </w:p>
    <w:bookmarkEnd w:id="2099"/>
    <w:bookmarkStart w:id="2100" w:name="sec-132-9"/>
    <w:p>
      <w:pPr>
        <w:pStyle w:val="Heading3"/>
      </w:pPr>
      <w:r>
        <w:t xml:space="preserve">132.9　可检验的机制研究</w:t>
      </w:r>
    </w:p>
    <w:p>
      <w:pPr>
        <w:pStyle w:val="FirstParagraph"/>
      </w:pPr>
      <w:r>
        <w:t xml:space="preserve">若有人提出筋膜储存特定记忆，研究应预先规定存储位置、信息类型和读取程序，并让读取者不知道事件。结果应能识别可独立验证的细节，超过偶然、暗示和既有叙事的水平，还需重复。只有这样，理论才提供比一般身体学习更具体的解释。</w:t>
      </w:r>
    </w:p>
    <w:p>
      <w:pPr>
        <w:pStyle w:val="BodyText"/>
      </w:pPr>
      <w:r>
        <w:t xml:space="preserve">如果理论在任何结果下都声称成功，例如哭泣表示释放，平静表示封闭，疼痛表示记忆存在，无痛表示深度压抑，它就无法被数据有效约束。这种能够适配任何结果的解释方式应当被拒绝。可检验性要求事先承诺何种观察会降低理论可信度。</w:t>
      </w:r>
    </w:p>
    <w:bookmarkEnd w:id="2100"/>
    <w:bookmarkStart w:id="2101" w:name="sec-132-10"/>
    <w:p>
      <w:pPr>
        <w:pStyle w:val="Heading3"/>
      </w:pPr>
      <w:r>
        <w:t xml:space="preserve">132.10　多种记忆系统可以产生不同表达</w:t>
      </w:r>
    </w:p>
    <w:p>
      <w:pPr>
        <w:pStyle w:val="FirstParagraph"/>
      </w:pPr>
      <w:r>
        <w:t xml:space="preserve">一个事件可以留下可叙述的情景记忆，也可以改变对线索的情绪反应、动作倾向和身体调节。不同表达形式不必完全同步。一个人可能清楚记得发生了什么，同时身体反应已经减弱；也可能对某类声音容易紧张，却难以指出单一学习事件。后一种现象具有多种可能解释，不能自动证明被遗忘的特定创伤。</w:t>
      </w:r>
    </w:p>
    <w:p>
      <w:pPr>
        <w:pStyle w:val="BodyText"/>
      </w:pPr>
      <w:r>
        <w:t xml:space="preserve">条件学习可以使原本中性的线索获得预测意义。例如在假设情境中，某种提示音反复出现在令人不适的事件之前，后来提示音本身便可能引起警觉。泛化会使相似声音也引发反应。这里的身体反应记录了预测关系的一部分，却没有保存一个可供逐字读取的历史档案。</w:t>
      </w:r>
    </w:p>
    <w:p>
      <w:pPr>
        <w:pStyle w:val="BodyText"/>
      </w:pPr>
      <w:r>
        <w:t xml:space="preserve">情景记忆还受到注意和意义组织影响。高度警觉可能使中心威胁信息更突出，同时使周边细节缺少编码。事后反复回想可以强化某些内容，也可能融入后来获得的信息。情绪强度与细节准确度之间没有简单的一一关系，临床倾听需要保留这一区别。</w:t>
      </w:r>
    </w:p>
    <w:bookmarkEnd w:id="2101"/>
    <w:bookmarkStart w:id="2102" w:name="sec-132-11"/>
    <w:p>
      <w:pPr>
        <w:pStyle w:val="Heading3"/>
      </w:pPr>
      <w:r>
        <w:t xml:space="preserve">132.11　自主神经反应具有多对多关系</w:t>
      </w:r>
    </w:p>
    <w:p>
      <w:pPr>
        <w:pStyle w:val="FirstParagraph"/>
      </w:pPr>
      <w:r>
        <w:t xml:space="preserve">心率、皮肤电、肌肉紧张和呼吸能够反映身体动员，却不能唯一识别情绪或事件来源。恐惧、兴奋、疼痛、运动和某些身体疾病可以产生部分相似变化。同一种情绪在不同人和不同状态下也可能呈现不同生理模式。因此单个身体指标的特异性通常有限。</w:t>
      </w:r>
    </w:p>
    <w:p>
      <w:pPr>
        <w:pStyle w:val="BodyText"/>
      </w:pPr>
      <w:r>
        <w:t xml:space="preserve">Pitman 等人在1989年比较越战退伍军人对个人创伤脚本的生理反应，发现 PTSD 组与对照组存在平均差异。该研究说明相关线索可以伴随可测身体反应，同时并非每名患者都具有相同模式。研究没有把生理反应用作验证某段历史是否真实的通用工具，也不能推广为所有创伤者必须出现同样反应</w:t>
      </w:r>
      <w:r>
        <w:rPr>
          <w:vertAlign w:val="superscript"/>
        </w:rPr>
        <w:t xml:space="preserve">[</w:t>
      </w:r>
      <w:hyperlink w:anchor="ref-1383">
        <w:r>
          <w:rPr>
            <w:rStyle w:val="Hyperlink"/>
            <w:vertAlign w:val="superscript"/>
          </w:rPr>
          <w:t xml:space="preserve">1383</w:t>
        </w:r>
      </w:hyperlink>
      <w:r>
        <w:rPr>
          <w:vertAlign w:val="superscript"/>
        </w:rPr>
        <w:t xml:space="preserve">]</w:t>
      </w:r>
      <w:r>
        <w:t xml:space="preserve">。</w:t>
      </w:r>
    </w:p>
    <w:p>
      <w:pPr>
        <w:pStyle w:val="BodyText"/>
      </w:pPr>
      <w:r>
        <w:t xml:space="preserve">身体平静也不能反向证明没有经历创伤。反应受到习惯、情境、药物、注意和表达方式影响。相反，强烈反应也不能确定具体事件、人物或时间。对历史事实的判断需要独立信息，对当前痛苦的支持则不必等待每个历史细节完全确定。</w:t>
      </w:r>
    </w:p>
    <w:bookmarkEnd w:id="2102"/>
    <w:bookmarkStart w:id="2103" w:name="sec-132-12"/>
    <w:p>
      <w:pPr>
        <w:pStyle w:val="Heading3"/>
      </w:pPr>
      <w:r>
        <w:t xml:space="preserve">132.12　内感受线索也可以参与学习</w:t>
      </w:r>
    </w:p>
    <w:p>
      <w:pPr>
        <w:pStyle w:val="FirstParagraph"/>
      </w:pPr>
      <w:r>
        <w:t xml:space="preserve">身体内部感觉，例如心跳、呼吸变化或胃部不适，可以成为后续警觉的线索。若某次不适被解释为即将发生危险，之后相似感觉可能更容易被注意，并触发进一步紧张。紧张又改变身体感觉，形成反馈。这个机制可以帮助理解部分症状维持，不能据此排除身体疾病。</w:t>
      </w:r>
    </w:p>
    <w:p>
      <w:pPr>
        <w:pStyle w:val="BodyText"/>
      </w:pPr>
      <w:r>
        <w:t xml:space="preserve">内感受关注还具有个体和情境差异。安静环境可能让人更容易注意到身体信号，运动或任务投入可能改变注意分配。治疗中关注身体有时能够提高觉察和调节，也可能使某些人更不适。是否有帮助，需要观察个人反应和功能，不能把所有强烈感觉都解释为创伤正在释放。</w:t>
      </w:r>
    </w:p>
    <w:p>
      <w:pPr>
        <w:pStyle w:val="BodyText"/>
      </w:pPr>
      <w:r>
        <w:t xml:space="preserve">“释放”一词如果作为体验描述，可以表达紧张减轻；若被用作生物机制，就需要定义被释放的物质、储存位置和测量方法。缺少这些定义时，流泪、颤抖或肌肉放松不能证明组织内的历史记忆被排出。体验可以真实，解释仍需证据。</w:t>
      </w:r>
    </w:p>
    <w:bookmarkEnd w:id="2103"/>
    <w:bookmarkStart w:id="2104" w:name="sec-132-13"/>
    <w:p>
      <w:pPr>
        <w:pStyle w:val="Heading3"/>
      </w:pPr>
      <w:r>
        <w:t xml:space="preserve">132.13　回避的短期收益与长期代价</w:t>
      </w:r>
    </w:p>
    <w:p>
      <w:pPr>
        <w:pStyle w:val="FirstParagraph"/>
      </w:pPr>
      <w:r>
        <w:t xml:space="preserve">回避能立即减少不适并因此被强化，长期却可能减少获得安全经验的机会，使威胁预期维持（负强化机制见</w:t>
      </w:r>
      <w:r>
        <w:t xml:space="preserve"> </w:t>
      </w:r>
      <w:hyperlink w:anchor="sec-131-6">
        <w:r>
          <w:rPr>
            <w:rStyle w:val="Hyperlink"/>
          </w:rPr>
          <w:t xml:space="preserve">131.6</w:t>
        </w:r>
      </w:hyperlink>
      <w:r>
        <w:t xml:space="preserve">）。这个学习循环提供了某些治疗的理论基础，同时不能忽略现实中确实存在的危险。</w:t>
      </w:r>
    </w:p>
    <w:p>
      <w:pPr>
        <w:pStyle w:val="BodyText"/>
      </w:pPr>
      <w:r>
        <w:t xml:space="preserve">在真实威胁尚未结束时，减少接触可能是合理保护。将所有回避都当作需要消除的症状，会忽略环境。临床判断需要明确当前安全性、个人资源和目标。治疗中的接近练习应属于专业评估和协商下的过程，书中的机制解释不构成自行强迫暴露的操作方案。</w:t>
      </w:r>
    </w:p>
    <w:p>
      <w:pPr>
        <w:pStyle w:val="BodyText"/>
      </w:pPr>
      <w:r>
        <w:t xml:space="preserve">回避也可能涉及记忆、身体感觉或社会情境。不同类型具有不同功能，不能只按外表判断。一个人拒绝讨论某段经历，可能出于隐私、疲劳、关系不安全或尚未准备好；拒绝本身不能被视为某段隐藏记忆存在的证据。</w:t>
      </w:r>
    </w:p>
    <w:bookmarkEnd w:id="2104"/>
    <w:bookmarkStart w:id="2105" w:name="sec-132-14"/>
    <w:p>
      <w:pPr>
        <w:pStyle w:val="Heading3"/>
      </w:pPr>
      <w:r>
        <w:t xml:space="preserve">132.14　消退学习与原记忆的关系</w:t>
      </w:r>
    </w:p>
    <w:p>
      <w:pPr>
        <w:pStyle w:val="FirstParagraph"/>
      </w:pPr>
      <w:r>
        <w:t xml:space="preserve">当一个线索反复出现在安全情境中，反应可能减弱。消退通常被理解为形成新的安全学习，旧的关联仍可能在特定条件下重新影响行为（见</w:t>
      </w:r>
      <w:r>
        <w:t xml:space="preserve"> </w:t>
      </w:r>
      <w:hyperlink w:anchor="sec-131-7">
        <w:r>
          <w:rPr>
            <w:rStyle w:val="Hyperlink"/>
          </w:rPr>
          <w:t xml:space="preserve">131.7</w:t>
        </w:r>
      </w:hyperlink>
      <w:r>
        <w:t xml:space="preserve">）。情境改变、时间经过或新的压力可能使反应再次出现，因此短期反应下降不等于所有相关记忆已被擦除。</w:t>
      </w:r>
    </w:p>
    <w:p>
      <w:pPr>
        <w:pStyle w:val="BodyText"/>
      </w:pPr>
      <w:r>
        <w:t xml:space="preserve">这一解释有助于理解复发的复杂性。反应返回不必表示治疗从未有效，也不能自动说明患者抗拒康复。需要了解新环境、睡眠、压力和支持条件。更广泛、可迁移的学习可能需要跨情境练习和后续支持，具体方式应根据治疗证据和个人情况确定。</w:t>
      </w:r>
    </w:p>
    <w:p>
      <w:pPr>
        <w:pStyle w:val="BodyText"/>
      </w:pPr>
      <w:r>
        <w:t xml:space="preserve">记忆再巩固则关注被重新激活的记忆在某些条件下可能进入可更新状态。实验中能否发生、需要何种预测误差、哪些记忆适用，均有边界。把再巩固宣传成一次操作即可永久删除任何创伤，会超出当前机制和临床证据。</w:t>
      </w:r>
    </w:p>
    <w:bookmarkEnd w:id="2105"/>
    <w:bookmarkStart w:id="2106" w:name="sec-132-15"/>
    <w:p>
      <w:pPr>
        <w:pStyle w:val="Heading3"/>
      </w:pPr>
      <w:r>
        <w:t xml:space="preserve">132.15　创伤治疗的成分与机制</w:t>
      </w:r>
    </w:p>
    <w:p>
      <w:pPr>
        <w:pStyle w:val="FirstParagraph"/>
      </w:pPr>
      <w:r>
        <w:t xml:space="preserve">2023年 VA 和 DoD 指南支持若干具体、手册化的创伤聚焦治疗，包括延长暴露、认知加工治疗和 EMDR。推荐针对完整治疗方案及其临床结果，不能自动证明每种方案附带的全部理论解释。患者偏好、合并问题和可及性仍会影响选择</w:t>
      </w:r>
      <w:r>
        <w:rPr>
          <w:vertAlign w:val="superscript"/>
        </w:rPr>
        <w:t xml:space="preserve">[</w:t>
      </w:r>
      <w:hyperlink w:anchor="ref-1209">
        <w:r>
          <w:rPr>
            <w:rStyle w:val="Hyperlink"/>
            <w:vertAlign w:val="superscript"/>
          </w:rPr>
          <w:t xml:space="preserve">1209</w:t>
        </w:r>
      </w:hyperlink>
      <w:r>
        <w:rPr>
          <w:vertAlign w:val="superscript"/>
        </w:rPr>
        <w:t xml:space="preserve">]</w:t>
      </w:r>
      <w:r>
        <w:t xml:space="preserve">。</w:t>
      </w:r>
    </w:p>
    <w:p>
      <w:pPr>
        <w:pStyle w:val="BodyText"/>
      </w:pPr>
      <w:r>
        <w:t xml:space="preserve">一个治疗方案可能包含治疗关系、心理教育、记忆加工、认知更新、行为练习和身体调节。若整体有效，要知道哪一成分必要，需要拆解研究和机制测量。治疗师的专业执行、治疗剂量和参加者特征也会影响结果，不能把疗法名称当作完全一致的产品。</w:t>
      </w:r>
    </w:p>
    <w:p>
      <w:pPr>
        <w:pStyle w:val="BodyText"/>
      </w:pPr>
      <w:r>
        <w:t xml:space="preserve">EMDR 的工作记忆负荷解释及其证据边界见</w:t>
      </w:r>
      <w:r>
        <w:t xml:space="preserve"> </w:t>
      </w:r>
      <w:hyperlink w:anchor="sec-131-23">
        <w:r>
          <w:rPr>
            <w:rStyle w:val="Hyperlink"/>
          </w:rPr>
          <w:t xml:space="preserve">131.23</w:t>
        </w:r>
      </w:hyperlink>
      <w:r>
        <w:t xml:space="preserve">；这类可检验的认知路线，与“眼动让被堵塞的创伤能量流出”等不可测叙事不同</w:t>
      </w:r>
      <w:r>
        <w:rPr>
          <w:vertAlign w:val="superscript"/>
        </w:rPr>
        <w:t xml:space="preserve">[</w:t>
      </w:r>
      <w:hyperlink w:anchor="ref-1384">
        <w:r>
          <w:rPr>
            <w:rStyle w:val="Hyperlink"/>
            <w:vertAlign w:val="superscript"/>
          </w:rPr>
          <w:t xml:space="preserve">1384</w:t>
        </w:r>
      </w:hyperlink>
      <w:r>
        <w:rPr>
          <w:vertAlign w:val="superscript"/>
        </w:rPr>
        <w:t xml:space="preserve">]</w:t>
      </w:r>
      <w:r>
        <w:t xml:space="preserve">。</w:t>
      </w:r>
    </w:p>
    <w:bookmarkEnd w:id="2106"/>
    <w:bookmarkStart w:id="2107" w:name="sec-132-16"/>
    <w:p>
      <w:pPr>
        <w:pStyle w:val="Heading3"/>
      </w:pPr>
      <w:r>
        <w:t xml:space="preserve">132.16　早期支持与强制复盘的区别</w:t>
      </w:r>
    </w:p>
    <w:p>
      <w:pPr>
        <w:pStyle w:val="FirstParagraph"/>
      </w:pPr>
      <w:r>
        <w:t xml:space="preserve">经历严重事件后，人们的反应和恢复速度不同。支持可以涉及安全、实际需要、信息和社会联系。不能假定所有人都应立即详细重述事件，或者不立即宣泄就必然形成长期障碍。对时间、方式和个人选择的尊重具有实际意义。</w:t>
      </w:r>
    </w:p>
    <w:p>
      <w:pPr>
        <w:pStyle w:val="BodyText"/>
      </w:pPr>
      <w:r>
        <w:t xml:space="preserve">Cochrane 对常规单次心理复盘的随机证据综合未支持其用于未筛选创伤者预防 PTSD，部分结果提示潜在不利影响。这个结论针对特定单次干预，不能被推广为所有早期支持都无效，也不能等同于否定针对持续症状的规范治疗</w:t>
      </w:r>
      <w:r>
        <w:rPr>
          <w:vertAlign w:val="superscript"/>
        </w:rPr>
        <w:t xml:space="preserve">[</w:t>
      </w:r>
      <w:hyperlink w:anchor="ref-1385">
        <w:r>
          <w:rPr>
            <w:rStyle w:val="Hyperlink"/>
            <w:vertAlign w:val="superscript"/>
          </w:rPr>
          <w:t xml:space="preserve">1385</w:t>
        </w:r>
      </w:hyperlink>
      <w:r>
        <w:rPr>
          <w:vertAlign w:val="superscript"/>
        </w:rPr>
        <w:t xml:space="preserve">]</w:t>
      </w:r>
      <w:r>
        <w:t xml:space="preserve">。</w:t>
      </w:r>
    </w:p>
    <w:p>
      <w:pPr>
        <w:pStyle w:val="BodyText"/>
      </w:pPr>
      <w:r>
        <w:t xml:space="preserve">“越快挖出全部记忆越好”的观念还可能增加暗示和负担。专业支持应根据当前需要与证据选择目标，睡眠改善、减少回避和恢复关系都可能成为具体目标。症状改善可以发生在个人没有恢复更多历史细节的情况下，功能恢复有时也可以先于病因叙事的完全清晰，治疗成功无需以产生一份越来越详细的创伤叙事作为必要标准。一个人不需要被迫接受某种身体储存创伤的理论，才能获得有证据支持的帮助。</w:t>
      </w:r>
    </w:p>
    <w:bookmarkEnd w:id="2107"/>
    <w:bookmarkStart w:id="2108" w:name="sec-132-17"/>
    <w:p>
      <w:pPr>
        <w:pStyle w:val="Heading3"/>
      </w:pPr>
      <w:r>
        <w:t xml:space="preserve">132.17　叙事连贯性与事实准确度</w:t>
      </w:r>
    </w:p>
    <w:p>
      <w:pPr>
        <w:pStyle w:val="FirstParagraph"/>
      </w:pPr>
      <w:r>
        <w:t xml:space="preserve">一个故事随着反复讲述变得更连贯，可能反映组织和理解改善，也可能包含重构。连贯性、确信度和情绪强度都不能单独保证事实准确。反过来，叙述零碎也不证明虚假，注意、语言、记忆和当前状态都会影响表达。</w:t>
      </w:r>
    </w:p>
    <w:p>
      <w:pPr>
        <w:pStyle w:val="BodyText"/>
      </w:pPr>
      <w:r>
        <w:t xml:space="preserve">临床记录应区分本人原话、他人信息和治疗者推断。先记录当事人原有叙述，允许不确定和不知道，避免反复提供特定故事线索，有助于保护信息的原始性。若某个细节在提问后才出现，提问方式也是理解来源的一部分。支持当事人处理痛苦，并不要求治疗者先确认一个尚无证据的历史解释；保持不诱导的语言能够同时保护患者和信息质量</w:t>
      </w:r>
      <w:r>
        <w:rPr>
          <w:vertAlign w:val="superscript"/>
        </w:rPr>
        <w:t xml:space="preserve">[</w:t>
      </w:r>
      <w:hyperlink w:anchor="ref-280">
        <w:r>
          <w:rPr>
            <w:rStyle w:val="Hyperlink"/>
            <w:vertAlign w:val="superscript"/>
          </w:rPr>
          <w:t xml:space="preserve">280</w:t>
        </w:r>
      </w:hyperlink>
      <w:r>
        <w:rPr>
          <w:vertAlign w:val="superscript"/>
        </w:rPr>
        <w:t xml:space="preserve">]</w:t>
      </w:r>
      <w:r>
        <w:t xml:space="preserve">。</w:t>
      </w:r>
    </w:p>
    <w:bookmarkEnd w:id="2108"/>
    <w:bookmarkStart w:id="2109" w:name="sec-132-18"/>
    <w:p>
      <w:pPr>
        <w:pStyle w:val="Heading3"/>
      </w:pPr>
      <w:r>
        <w:t xml:space="preserve">132.18　身体经验的合理临床位置</w:t>
      </w:r>
    </w:p>
    <w:p>
      <w:pPr>
        <w:pStyle w:val="FirstParagraph"/>
      </w:pPr>
      <w:r>
        <w:t xml:space="preserve">关注呼吸、肌肉和动作可以帮助某些人识别状态变化、建立可接受的调节方式和增加行动选择。其价值应通过症状、功能和安全性评价。若练习引起明显不适，不能自动解释为“治疗正在深入”并要求坚持；不良反应需要被作为真实结果记录。</w:t>
      </w:r>
    </w:p>
    <w:p>
      <w:pPr>
        <w:pStyle w:val="BodyText"/>
      </w:pPr>
      <w:r>
        <w:t xml:space="preserve">身体方法、认知方法和社会支持可以针对不同环节。一个方法有效，不必证明某种组织储存创伤；一个组织理论缺乏支持，也不意味着所有身体练习都没有价值。把疗效与解释分开检验，有助于保留有用部分并纠正错误叙事。</w:t>
      </w:r>
    </w:p>
    <w:p>
      <w:pPr>
        <w:pStyle w:val="BodyText"/>
      </w:pPr>
      <w:r>
        <w:t xml:space="preserve">身体反应携带着当前状态和学习历史的信息，但这种信息需要谨慎解释。最可靠的临床科学同时尊重体验、限制推断并检验干预结果，避免以确定的故事覆盖尚未确定的历史。</w:t>
      </w:r>
    </w:p>
    <w:bookmarkEnd w:id="2109"/>
    <w:bookmarkStart w:id="2110" w:name="sec-132-19"/>
    <w:p>
      <w:pPr>
        <w:pStyle w:val="Heading3"/>
      </w:pPr>
      <w:r>
        <w:t xml:space="preserve">132.19　解离体验与事实认定</w:t>
      </w:r>
    </w:p>
    <w:p>
      <w:pPr>
        <w:pStyle w:val="FirstParagraph"/>
      </w:pPr>
      <w:r>
        <w:t xml:space="preserve">解离相关描述可能涉及自我感、现实感、记忆连续性或注意的变化。不同体验需要具体询问，不能用一个总词自动解释全部症状。某些体验可以出现在压力背景，也可能与其他临床因素有关。</w:t>
      </w:r>
    </w:p>
    <w:p>
      <w:pPr>
        <w:pStyle w:val="BodyText"/>
      </w:pPr>
      <w:r>
        <w:t xml:space="preserve">主观感到陌生、不真实或缺少连续性，不会直接告诉我们过去发生过哪一件外部事件。一个机制假设可以帮助理解当下体验，历史认定仍需独立资料。把体验强度作为事件真实性的证明，会超出证据。</w:t>
      </w:r>
    </w:p>
    <w:p>
      <w:pPr>
        <w:pStyle w:val="BodyText"/>
      </w:pPr>
      <w:r>
        <w:t xml:space="preserve">治疗过程中出现新的联想，也可以分层记录：明确记忆、模糊印象、梦、想象和推测应保持各自身份。后续信息可能增加或降低某种解释的可信度，判断可以更新。这个做法既尊重体验，也减少把治疗场景变成事实认证程序的风险。</w:t>
      </w:r>
    </w:p>
    <w:bookmarkEnd w:id="2110"/>
    <w:bookmarkStart w:id="2111" w:name="sec-132-20"/>
    <w:p>
      <w:pPr>
        <w:pStyle w:val="Heading3"/>
      </w:pPr>
      <w:r>
        <w:t xml:space="preserve">132.20　假设例题</w:t>
      </w:r>
    </w:p>
    <w:p>
      <w:pPr>
        <w:pStyle w:val="FirstParagraph"/>
      </w:pPr>
      <w:r>
        <w:t xml:space="preserve">一名参与者在团体活动后感到轻松，并回忆起模糊片段。可以可靠描述的是当时体验和症状变化。片段的历史准确性、活动的特异疗效和组织存储机制都需要额外证据。若后来找到独立记录支持部分细节，只能增强这些细节的可信度，无法自动验证整个机制故事。</w:t>
      </w:r>
    </w:p>
    <w:p>
      <w:pPr>
        <w:pStyle w:val="BodyText"/>
      </w:pPr>
      <w:r>
        <w:t xml:space="preserve">另一名参与者没有任何强烈释放体验，但日常睡眠和功能逐渐改善。治疗是否有益应依据目标结果。要求所有人出现同一种戏剧性反应，可能诱导表演或不必要痛苦，也会使评价偏离真实生活收益。</w:t>
      </w:r>
    </w:p>
    <w:p>
      <w:pPr>
        <w:pStyle w:val="BodyText"/>
      </w:pPr>
      <w:r>
        <w:t xml:space="preserve">身体反应应受到尊重，历史事实应接受独立核实，治疗效果应由合适研究评价。把三个任务分清，能够同时减少症状否定与未经证实的解释。</w:t>
      </w:r>
    </w:p>
    <w:bookmarkEnd w:id="2111"/>
    <w:bookmarkEnd w:id="2112"/>
    <w:bookmarkStart w:id="2138" w:name="ch-133"/>
    <w:p>
      <w:pPr>
        <w:pStyle w:val="Heading2"/>
      </w:pPr>
      <w:r>
        <w:t xml:space="preserve">第133章　精神病性障碍与精神分裂症的多层机制</w:t>
      </w:r>
    </w:p>
    <w:bookmarkStart w:id="2113" w:name="sec-133-1"/>
    <w:p>
      <w:pPr>
        <w:pStyle w:val="Heading3"/>
      </w:pPr>
      <w:r>
        <w:t xml:space="preserve">133.1　症候与疾病名称的层级</w:t>
      </w:r>
    </w:p>
    <w:p>
      <w:pPr>
        <w:pStyle w:val="FirstParagraph"/>
      </w:pPr>
      <w:r>
        <w:t xml:space="preserve">精神病性症候通常涉及现实检验的明显困难，例如缺乏相应外部刺激的知觉体验、难以随证据修正的某些信念，以及明显的思维或行为组织障碍。精神分裂症是根据症候组合、持续病程、功能变化及其他原因的评估确定的一类临床疾病。精神病性症候还可出现在双相障碍、严重抑郁、物质作用、睡眠严重不足和某些神经系统疾病中。一次闻声经历不能独自决定上述任何诊断</w:t>
      </w:r>
      <w:r>
        <w:rPr>
          <w:vertAlign w:val="superscript"/>
        </w:rPr>
        <w:t xml:space="preserve">[</w:t>
      </w:r>
      <w:hyperlink w:anchor="ref-1386">
        <w:r>
          <w:rPr>
            <w:rStyle w:val="Hyperlink"/>
            <w:vertAlign w:val="superscript"/>
          </w:rPr>
          <w:t xml:space="preserve">1386</w:t>
        </w:r>
      </w:hyperlink>
      <w:r>
        <w:rPr>
          <w:vertAlign w:val="superscript"/>
        </w:rPr>
        <w:t xml:space="preserve">]</w:t>
      </w:r>
      <w:r>
        <w:t xml:space="preserve">。</w:t>
      </w:r>
    </w:p>
    <w:p>
      <w:pPr>
        <w:pStyle w:val="BodyText"/>
      </w:pPr>
      <w:r>
        <w:t xml:space="preserve">“阳性症状”描述通常经验之外增加的现象，如幻觉和妄想；“阴性症状”描述某些表达、动机或活动的减少。这些术语没有道德意义，也不表示检验阳性和阴性。认知困难、焦虑、情绪症状、睡眠问题和身体疾病分别影响生活，因此不能用幻觉是否消失代替整体结局。讨论疾病时还应区分当前发作、缓解后的状态和长期轨迹，避免把一次急性期观察写成人的永久本质。</w:t>
      </w:r>
    </w:p>
    <w:bookmarkEnd w:id="2113"/>
    <w:bookmarkStart w:id="2114" w:name="sec-133-2"/>
    <w:p>
      <w:pPr>
        <w:pStyle w:val="Heading3"/>
      </w:pPr>
      <w:r>
        <w:t xml:space="preserve">133.2　幻觉的现象学需要逐项描述</w:t>
      </w:r>
    </w:p>
    <w:p>
      <w:pPr>
        <w:pStyle w:val="FirstParagraph"/>
      </w:pPr>
      <w:r>
        <w:t xml:space="preserve">幻觉可以涉及听觉、视觉或其他感觉。对体验的描述至少包含发生在清醒还是入睡边界、持续或间歇、单一或多种感觉、是否保留对来源的怀疑、是否伴随恐惧或命令感，以及与药物、听力、视力和意识状态的关系。外界有刺激但被误认属于另一类知觉问题。人在梦中体验图像、听到声音，与清醒时持续的精神病性体验也有不同的状态背景。相关基础见</w:t>
      </w:r>
      <w:hyperlink w:anchor="ch-51">
        <w:r>
          <w:rPr>
            <w:rStyle w:val="Hyperlink"/>
          </w:rPr>
          <w:t xml:space="preserve">第51章</w:t>
        </w:r>
      </w:hyperlink>
      <w:r>
        <w:t xml:space="preserve">和</w:t>
      </w:r>
      <w:hyperlink w:anchor="ch-137">
        <w:r>
          <w:rPr>
            <w:rStyle w:val="Hyperlink"/>
          </w:rPr>
          <w:t xml:space="preserve">第137章</w:t>
        </w:r>
      </w:hyperlink>
      <w:r>
        <w:t xml:space="preserve">。</w:t>
      </w:r>
    </w:p>
    <w:p>
      <w:pPr>
        <w:pStyle w:val="BodyText"/>
      </w:pPr>
      <w:r>
        <w:t xml:space="preserve">同样报告“听到声音”，有人能维持工作并把经历视为不寻常知觉，有人受到强烈威胁并停止进食，服务需要自然不同。研究若只统计是否闻声，便把频率、可信程度、控制感与痛苦压缩在一个二分变量里。临床结局可以是声音减少，也可以是恐惧下降、睡眠恢复和重新参与生活；这些改变应分别测量。精神病性体验的存在与寻求治疗的状态可以交叉分组，已有条件学习研究正是利用这种设计检验机制</w:t>
      </w:r>
      <w:r>
        <w:rPr>
          <w:vertAlign w:val="superscript"/>
        </w:rPr>
        <w:t xml:space="preserve">[</w:t>
      </w:r>
      <w:hyperlink w:anchor="ref-1387">
        <w:r>
          <w:rPr>
            <w:rStyle w:val="Hyperlink"/>
            <w:vertAlign w:val="superscript"/>
          </w:rPr>
          <w:t xml:space="preserve">1387</w:t>
        </w:r>
      </w:hyperlink>
      <w:r>
        <w:rPr>
          <w:vertAlign w:val="superscript"/>
        </w:rPr>
        <w:t xml:space="preserve">]</w:t>
      </w:r>
      <w:r>
        <w:t xml:space="preserve">。</w:t>
      </w:r>
    </w:p>
    <w:bookmarkEnd w:id="2114"/>
    <w:bookmarkStart w:id="2115" w:name="sec-133-3"/>
    <w:p>
      <w:pPr>
        <w:pStyle w:val="Heading3"/>
      </w:pPr>
      <w:r>
        <w:t xml:space="preserve">133.3　妄想、内容与推断过程</w:t>
      </w:r>
    </w:p>
    <w:p>
      <w:pPr>
        <w:pStyle w:val="FirstParagraph"/>
      </w:pPr>
      <w:r>
        <w:t xml:space="preserve">评估信念需要了解其证据基础、确信度、修正方式、文化背景和实际后果。单凭内容罕见、宗教色彩、政治异议或与评估者观点不同，不能判断为妄想。现实中的欺凌、歧视、跟踪和身体疾病也会引起合理警觉；首先把事实背景认真听清楚，才有条件分析推断过程</w:t>
      </w:r>
      <w:r>
        <w:rPr>
          <w:vertAlign w:val="superscript"/>
        </w:rPr>
        <w:t xml:space="preserve">[</w:t>
      </w:r>
      <w:hyperlink w:anchor="ref-1388">
        <w:r>
          <w:rPr>
            <w:rStyle w:val="Hyperlink"/>
            <w:vertAlign w:val="superscript"/>
          </w:rPr>
          <w:t xml:space="preserve">1388</w:t>
        </w:r>
      </w:hyperlink>
      <w:r>
        <w:rPr>
          <w:vertAlign w:val="superscript"/>
        </w:rPr>
        <w:t xml:space="preserve">,</w:t>
      </w:r>
      <w:hyperlink w:anchor="ref-1389">
        <w:r>
          <w:rPr>
            <w:rStyle w:val="Hyperlink"/>
            <w:vertAlign w:val="superscript"/>
          </w:rPr>
          <w:t xml:space="preserve">1389</w:t>
        </w:r>
      </w:hyperlink>
      <w:r>
        <w:rPr>
          <w:vertAlign w:val="superscript"/>
        </w:rPr>
        <w:t xml:space="preserve">]</w:t>
      </w:r>
      <w:r>
        <w:t xml:space="preserve">。</w:t>
      </w:r>
    </w:p>
    <w:p>
      <w:pPr>
        <w:pStyle w:val="BodyText"/>
      </w:pPr>
      <w:r>
        <w:t xml:space="preserve">可用一个明确的假设例说明推断的层级。甲在走廊听到两人交谈，却无法辨认内容，随即确信对方正在安排伤害自己。这里至少有感觉不确定、威胁解释、确信程度和后续回避四个环节。证据不足时过快形成结论是一种待检验的认知过程，不能仅凭这个例子反推多巴胺数值。保护隐私和缓解恐惧也不要求旁人认同伤害计划确实存在。讨论可以同时尊重体验的强度，并保持对外部事实的独立核实。</w:t>
      </w:r>
    </w:p>
    <w:bookmarkEnd w:id="2115"/>
    <w:bookmarkStart w:id="2116" w:name="sec-133-4"/>
    <w:p>
      <w:pPr>
        <w:pStyle w:val="Heading3"/>
      </w:pPr>
      <w:r>
        <w:t xml:space="preserve">133.4　思维组织与认知能力</w:t>
      </w:r>
    </w:p>
    <w:p>
      <w:pPr>
        <w:pStyle w:val="FirstParagraph"/>
      </w:pPr>
      <w:r>
        <w:t xml:space="preserve">临床通过言语观察思维组织，例如话题衔接、目标维持、关联的可理解性和交流是否能完成。解释前需要考虑语言熟练程度、文化表达、听力、疲劳、教育机会以及评估场合。一个人表达不流畅，可能源于找词困难、焦虑、药物镇静或第二语言使用；这些现象不能直接折算为思维紊乱。</w:t>
      </w:r>
    </w:p>
    <w:p>
      <w:pPr>
        <w:pStyle w:val="BodyText"/>
      </w:pPr>
      <w:r>
        <w:t xml:space="preserve">认知评估关注注意、工作记忆、处理速度、学习与执行控制等维度。精神分裂症群体在某些维度表现较弱，并不表示每位患者每个能力都低于他人。生活任务还受动机、症状干扰、时间压力和环境支持影响。一个人在安静房间能记住预约事项，在拥挤环境却反复遗漏，提示评估应观察信息负荷和提示条件。认知分数、实际活动表现与个人希望完成的目标属于不同指标</w:t>
      </w:r>
      <w:r>
        <w:rPr>
          <w:vertAlign w:val="superscript"/>
        </w:rPr>
        <w:t xml:space="preserve">[</w:t>
      </w:r>
      <w:hyperlink w:anchor="ref-1390">
        <w:r>
          <w:rPr>
            <w:rStyle w:val="Hyperlink"/>
            <w:vertAlign w:val="superscript"/>
          </w:rPr>
          <w:t xml:space="preserve">1390</w:t>
        </w:r>
      </w:hyperlink>
      <w:r>
        <w:rPr>
          <w:vertAlign w:val="superscript"/>
        </w:rPr>
        <w:t xml:space="preserve">,</w:t>
      </w:r>
      <w:hyperlink w:anchor="ref-1391">
        <w:r>
          <w:rPr>
            <w:rStyle w:val="Hyperlink"/>
            <w:vertAlign w:val="superscript"/>
          </w:rPr>
          <w:t xml:space="preserve">1391</w:t>
        </w:r>
      </w:hyperlink>
      <w:r>
        <w:rPr>
          <w:vertAlign w:val="superscript"/>
        </w:rPr>
        <w:t xml:space="preserve">]</w:t>
      </w:r>
      <w:r>
        <w:t xml:space="preserve">。</w:t>
      </w:r>
    </w:p>
    <w:bookmarkEnd w:id="2116"/>
    <w:bookmarkStart w:id="2117" w:name="sec-133-5"/>
    <w:p>
      <w:pPr>
        <w:pStyle w:val="Heading3"/>
      </w:pPr>
      <w:r>
        <w:t xml:space="preserve">133.5　阴性症状与继发性减少</w:t>
      </w:r>
    </w:p>
    <w:p>
      <w:pPr>
        <w:pStyle w:val="FirstParagraph"/>
      </w:pPr>
      <w:r>
        <w:t xml:space="preserve">阴性症状的体验维度包括动机减少、社会兴趣减少及快感相关困难，表达维度涉及面部或声调表达减少、言语量减少等。观察到表情少，并不能直接推断内心没有感受。一个人可能体验强烈情绪，却难以通过通常的表情方式表达；另一个人能够在当下享受活动，却难以预期将来的愉快并启动行动</w:t>
      </w:r>
      <w:r>
        <w:rPr>
          <w:vertAlign w:val="superscript"/>
        </w:rPr>
        <w:t xml:space="preserve">[</w:t>
      </w:r>
      <w:hyperlink w:anchor="ref-1390">
        <w:r>
          <w:rPr>
            <w:rStyle w:val="Hyperlink"/>
            <w:vertAlign w:val="superscript"/>
          </w:rPr>
          <w:t xml:space="preserve">1390</w:t>
        </w:r>
      </w:hyperlink>
      <w:r>
        <w:rPr>
          <w:vertAlign w:val="superscript"/>
        </w:rPr>
        <w:t xml:space="preserve">]</w:t>
      </w:r>
      <w:r>
        <w:t xml:space="preserve">。</w:t>
      </w:r>
    </w:p>
    <w:p>
      <w:pPr>
        <w:pStyle w:val="BodyText"/>
      </w:pPr>
      <w:r>
        <w:t xml:space="preserve">继发因素十分关键。害怕被迫害而不出门、抑郁时失去兴趣、药物引起僵硬或嗜睡、贫困导致没有交通条件，都可能造成活动减少。假设干预后社交活动增加，必须追问恐惧、镇静、资源或原发动机哪一环发生变化。临床试验中的持续原发阴性症状，需要尽量控制上述混杂，观察足够病程，并采用合适量表。急性精神病总分下降无法自动证明这一困难领域获得特异治疗。</w:t>
      </w:r>
    </w:p>
    <w:bookmarkEnd w:id="2117"/>
    <w:bookmarkStart w:id="2118" w:name="sec-133-6"/>
    <w:p>
      <w:pPr>
        <w:pStyle w:val="Heading3"/>
      </w:pPr>
      <w:r>
        <w:t xml:space="preserve">133.6　紧张症的跨疾病性质</w:t>
      </w:r>
    </w:p>
    <w:p>
      <w:pPr>
        <w:pStyle w:val="FirstParagraph"/>
      </w:pPr>
      <w:r>
        <w:t xml:space="preserve">紧张症是一组运动、言语和行为调节异常，可表现为木僵、缄默、异常姿势、违拗、模仿现象或明显兴奋。它可以与情绪障碍、精神病性障碍、神经疾病和其他躯体原因相关。历史上把紧张症过度归入精神分裂症，容易延迟对其他病因的识别。药物相关恶性综合征、癫痫状态、脑炎和意识障碍之间也存在需要专业判断的相似表现</w:t>
      </w:r>
      <w:r>
        <w:rPr>
          <w:vertAlign w:val="superscript"/>
        </w:rPr>
        <w:t xml:space="preserve">[</w:t>
      </w:r>
      <w:hyperlink w:anchor="ref-1392">
        <w:r>
          <w:rPr>
            <w:rStyle w:val="Hyperlink"/>
            <w:vertAlign w:val="superscript"/>
          </w:rPr>
          <w:t xml:space="preserve">1392</w:t>
        </w:r>
      </w:hyperlink>
      <w:r>
        <w:rPr>
          <w:vertAlign w:val="superscript"/>
        </w:rPr>
        <w:t xml:space="preserve">]</w:t>
      </w:r>
      <w:r>
        <w:t xml:space="preserve">。</w:t>
      </w:r>
    </w:p>
    <w:p>
      <w:pPr>
        <w:pStyle w:val="BodyText"/>
      </w:pPr>
      <w:r>
        <w:t xml:space="preserve">长时间不动会增加脱水、营养不足、血栓及压伤等风险；兴奋伴自主神经不稳定同样需要紧急专业评估。治疗反应可为综合判断提供信息，但不能把某次镇静或短暂动作改善看作独立确诊试验。关于苯二氮䓬类和电休克治疗的建议涉及具体病况、监测及风险，证据中也有大量病例和观察资料。本书保留症候和证据结构，不提供家庭试药、强行活动或自行诱发检查的方法。</w:t>
      </w:r>
    </w:p>
    <w:bookmarkEnd w:id="2118"/>
    <w:bookmarkStart w:id="2119" w:name="sec-133-7"/>
    <w:p>
      <w:pPr>
        <w:pStyle w:val="Heading3"/>
      </w:pPr>
      <w:r>
        <w:t xml:space="preserve">133.7　纹状体多巴胺证据的精确位置</w:t>
      </w:r>
    </w:p>
    <w:p>
      <w:pPr>
        <w:pStyle w:val="FirstParagraph"/>
      </w:pPr>
      <w:r>
        <w:t xml:space="preserve">经典分子影像综合发现，精神分裂症群体最稳定的多巴胺异常更集中在突触前合成及释放功能；受体可用性和转运体指标呈现不同结果。这类证据支持多巴胺系统参与部分精神病性机制，无法证明全脑每处多巴胺都升高，也不能通过一个PET数值确定某人患病</w:t>
      </w:r>
      <w:r>
        <w:rPr>
          <w:vertAlign w:val="superscript"/>
        </w:rPr>
        <w:t xml:space="preserve">[</w:t>
      </w:r>
      <w:hyperlink w:anchor="ref-1393">
        <w:r>
          <w:rPr>
            <w:rStyle w:val="Hyperlink"/>
            <w:vertAlign w:val="superscript"/>
          </w:rPr>
          <w:t xml:space="preserve">1393</w:t>
        </w:r>
      </w:hyperlink>
      <w:r>
        <w:rPr>
          <w:vertAlign w:val="superscript"/>
        </w:rPr>
        <w:t xml:space="preserve">]</w:t>
      </w:r>
      <w:r>
        <w:t xml:space="preserve">。</w:t>
      </w:r>
    </w:p>
    <w:p>
      <w:pPr>
        <w:pStyle w:val="BodyText"/>
      </w:pPr>
      <w:r>
        <w:t xml:space="preserve">理解这一点需要区分“信号原料”“释放事件”“受体反应”及“网络输出”。同一递质在不同投射、受体亚型和时程上可以产生不同作用。药物改变D2相关信号后症状减轻，说明这个环节具有干预价值；它仍可能位于多种上游因素汇合后的通路。上游影响可以来自发育、应激、海马与皮质调控，某一患者的主要限制也可能落在其他环节。由治疗靶点倒推单一病因，会丢失网络中的多条到达路径。</w:t>
      </w:r>
    </w:p>
    <w:bookmarkEnd w:id="2119"/>
    <w:bookmarkStart w:id="2120" w:name="sec-133-8"/>
    <w:p>
      <w:pPr>
        <w:pStyle w:val="Heading3"/>
      </w:pPr>
      <w:r>
        <w:t xml:space="preserve">133.8　显著性与奖赏学习的机制假说</w:t>
      </w:r>
    </w:p>
    <w:p>
      <w:pPr>
        <w:pStyle w:val="FirstParagraph"/>
      </w:pPr>
      <w:r>
        <w:t xml:space="preserve">显著性可以理解为信息吸引注意、获得优先处理和影响行动的程度。一个普通巧合突然变得高度重要，随后被纳入个人解释，构成连接生理调节与主观意义的一种研究路径。多巴胺参与学习信号和行动选择，但“显著性异常”是一组有待任务化的机制假说，尚不足以覆盖所有妄想或幻觉</w:t>
      </w:r>
      <w:r>
        <w:rPr>
          <w:vertAlign w:val="superscript"/>
        </w:rPr>
        <w:t xml:space="preserve">[</w:t>
      </w:r>
      <w:hyperlink w:anchor="ref-1393">
        <w:r>
          <w:rPr>
            <w:rStyle w:val="Hyperlink"/>
            <w:vertAlign w:val="superscript"/>
          </w:rPr>
          <w:t xml:space="preserve">1393</w:t>
        </w:r>
      </w:hyperlink>
      <w:r>
        <w:rPr>
          <w:vertAlign w:val="superscript"/>
        </w:rPr>
        <w:t xml:space="preserve">]</w:t>
      </w:r>
      <w:r>
        <w:t xml:space="preserve">。</w:t>
      </w:r>
    </w:p>
    <w:p>
      <w:pPr>
        <w:pStyle w:val="BodyText"/>
      </w:pPr>
      <w:r>
        <w:t xml:space="preserve">教学上可以假设一个学习系统反复把无关提示当成重要线索。它可能过度更新对环境的判断，也可能为了消除不确定性而固定某个解释。两者产生不同的行为预测：前者随新线索剧烈摆动，后者即使反馈矛盾也难以调整。测量时应分别考察学习速率、噪声估计与先前信念强度。观察到相似总错误数，不能保证背后的计算过程相同；以症状内容直接给人贴上某个计算参数也缺乏依据。</w:t>
      </w:r>
    </w:p>
    <w:bookmarkEnd w:id="2120"/>
    <w:bookmarkStart w:id="2121" w:name="sec-133-9"/>
    <w:p>
      <w:pPr>
        <w:pStyle w:val="Heading3"/>
      </w:pPr>
      <w:r>
        <w:t xml:space="preserve">133.9　谷氨酸证据与网络失衡</w:t>
      </w:r>
    </w:p>
    <w:p>
      <w:pPr>
        <w:pStyle w:val="FirstParagraph"/>
      </w:pPr>
      <w:r>
        <w:t xml:space="preserve">NMDA受体参与突触整合和可塑性。健康成人的受控药理挑战显示，拮抗NMDA信号可以暂时造成部分知觉、思维和认知变化，为研究提供了一个可操纵的模型</w:t>
      </w:r>
      <w:r>
        <w:rPr>
          <w:vertAlign w:val="superscript"/>
        </w:rPr>
        <w:t xml:space="preserve">[</w:t>
      </w:r>
      <w:hyperlink w:anchor="ref-1394">
        <w:r>
          <w:rPr>
            <w:rStyle w:val="Hyperlink"/>
            <w:vertAlign w:val="superscript"/>
          </w:rPr>
          <w:t xml:space="preserve">1394</w:t>
        </w:r>
      </w:hyperlink>
      <w:r>
        <w:rPr>
          <w:vertAlign w:val="superscript"/>
        </w:rPr>
        <w:t xml:space="preserve">]</w:t>
      </w:r>
      <w:r>
        <w:t xml:space="preserve">。这类短时实验无法复制精神分裂症的完整发育史、持续病程和社会后果。某种干预能制造相似表现，也不能证明所有自然病例都由同一种分子异常启动。</w:t>
      </w:r>
    </w:p>
    <w:p>
      <w:pPr>
        <w:pStyle w:val="BodyText"/>
      </w:pPr>
      <w:r>
        <w:t xml:space="preserve">网络结果还依赖受影响的细胞类型。降低抑制性神经元上的兴奋输入，可能减少其对下游的抑制；直接降低投射神经元输入，则可能减少相应输出。因此，“兴奋性递质功能下降”与“整个回路活动下降”之间没有简单的一步对应。讨论兴奋抑制平衡时，要指定区域、细胞群、频率和状态。仅凭头皮某频段振荡差异，无法唯一确定哪一类受体或细胞出了问题。</w:t>
      </w:r>
    </w:p>
    <w:bookmarkEnd w:id="2121"/>
    <w:bookmarkStart w:id="2122" w:name="sec-133-10"/>
    <w:p>
      <w:pPr>
        <w:pStyle w:val="Heading3"/>
      </w:pPr>
      <w:r>
        <w:t xml:space="preserve">133.10　自我产生信号的感觉预测</w:t>
      </w:r>
    </w:p>
    <w:p>
      <w:pPr>
        <w:pStyle w:val="FirstParagraph"/>
      </w:pPr>
      <w:r>
        <w:t xml:space="preserve">说话时，运动指令可同时形成关于将听到何种声音的预测，这常被放在副本放电或感觉预测框架中研究。经典小样本实验比较说话与播放本人录音时的听觉诱发反应，发现患者与对照存在调节差异</w:t>
      </w:r>
      <w:r>
        <w:rPr>
          <w:vertAlign w:val="superscript"/>
        </w:rPr>
        <w:t xml:space="preserve">[</w:t>
      </w:r>
      <w:hyperlink w:anchor="ref-1395">
        <w:r>
          <w:rPr>
            <w:rStyle w:val="Hyperlink"/>
            <w:vertAlign w:val="superscript"/>
          </w:rPr>
          <w:t xml:space="preserve">1395</w:t>
        </w:r>
      </w:hyperlink>
      <w:r>
        <w:rPr>
          <w:vertAlign w:val="superscript"/>
        </w:rPr>
        <w:t xml:space="preserve">]</w:t>
      </w:r>
      <w:r>
        <w:t xml:space="preserve">。这为自我产生感觉的加工提出了可检验线索，仍不能把一个诱发电位直接解释为幻听的完整原因。</w:t>
      </w:r>
    </w:p>
    <w:p>
      <w:pPr>
        <w:pStyle w:val="BodyText"/>
      </w:pPr>
      <w:r>
        <w:t xml:space="preserve">设想系统预期自己即将发声，但反馈时间或强度与预测不一致。来源判断可能受到影响，同时还受注意、听觉精度、语言内容和既往经验约束。研究应把“检测到不匹配”“把来源归给外部”“感到受到威胁”分别测量。这些阶段之间可以存在分离，治疗也可能只改变其中一环。读者因此需要保留从生理信号到主观体验的中间步骤，避免把一个相关电位当作思想被外界控制的证明。</w:t>
      </w:r>
    </w:p>
    <w:bookmarkEnd w:id="2122"/>
    <w:bookmarkStart w:id="2123" w:name="sec-133-11"/>
    <w:p>
      <w:pPr>
        <w:pStyle w:val="Heading3"/>
      </w:pPr>
      <w:r>
        <w:t xml:space="preserve">133.11　预测加工模型的可证伪条件</w:t>
      </w:r>
    </w:p>
    <w:p>
      <w:pPr>
        <w:pStyle w:val="FirstParagraph"/>
      </w:pPr>
      <w:r>
        <w:t xml:space="preserve">条件学习研究用配对线索建立期待，随后检验弱刺激或无刺激时的报告，发现闻声经历与任务中的先前期待权重有关</w:t>
      </w:r>
      <w:r>
        <w:rPr>
          <w:vertAlign w:val="superscript"/>
        </w:rPr>
        <w:t xml:space="preserve">[</w:t>
      </w:r>
      <w:hyperlink w:anchor="ref-1387">
        <w:r>
          <w:rPr>
            <w:rStyle w:val="Hyperlink"/>
            <w:vertAlign w:val="superscript"/>
          </w:rPr>
          <w:t xml:space="preserve">1387</w:t>
        </w:r>
      </w:hyperlink>
      <w:r>
        <w:rPr>
          <w:vertAlign w:val="superscript"/>
        </w:rPr>
        <w:t xml:space="preserve">]</w:t>
      </w:r>
      <w:r>
        <w:t xml:space="preserve">。模型价值在于产生可比较的预测，例如改变感觉信噪比、线索可靠度或情境转换速度后，报告将如何变化。模型拟合优于另一模型，仍需检查参数是否可识别、是否存在同样能解释数据的替代过程。</w:t>
      </w:r>
    </w:p>
    <w:p>
      <w:pPr>
        <w:pStyle w:val="BodyText"/>
      </w:pPr>
      <w:r>
        <w:t xml:space="preserve">例如，提高肯定回答倾向，也可能增加“听到”的次数；这与真正改变知觉推断需要通过信号检测、确信度和独立任务区分。模型中的精度通常指统计权重，不能直接等同某一脑区的神经元放电精确度。跨任务复现、纵向跟踪与治疗前后的预测检验，能够逐步加强机制解释。在这些条件满足之前，计算模型适合作为研究工具，尚不具备从一次网络测试为个人确定病因的能力。</w:t>
      </w:r>
    </w:p>
    <w:bookmarkEnd w:id="2123"/>
    <w:bookmarkStart w:id="2124" w:name="sec-133-12"/>
    <w:p>
      <w:pPr>
        <w:pStyle w:val="Heading3"/>
      </w:pPr>
      <w:r>
        <w:t xml:space="preserve">133.12　常见与罕见遗传证据的互补</w:t>
      </w:r>
    </w:p>
    <w:p>
      <w:pPr>
        <w:pStyle w:val="FirstParagraph"/>
      </w:pPr>
      <w:r>
        <w:t xml:space="preserve">大型GWAS提示精神分裂症相关信号分布在许多基因组区域，并富集于神经元和突触相关过程</w:t>
      </w:r>
      <w:r>
        <w:rPr>
          <w:vertAlign w:val="superscript"/>
        </w:rPr>
        <w:t xml:space="preserve">[</w:t>
      </w:r>
      <w:hyperlink w:anchor="ref-1396">
        <w:r>
          <w:rPr>
            <w:rStyle w:val="Hyperlink"/>
            <w:vertAlign w:val="superscript"/>
          </w:rPr>
          <w:t xml:space="preserve">1396</w:t>
        </w:r>
      </w:hyperlink>
      <w:r>
        <w:rPr>
          <w:vertAlign w:val="superscript"/>
        </w:rPr>
        <w:t xml:space="preserve">]</w:t>
      </w:r>
      <w:r>
        <w:t xml:space="preserve">。外显子组研究又提供了某些超罕见编码变异与较大相对风险的联系，其中部分涉及谷氨酸受体等分子</w:t>
      </w:r>
      <w:r>
        <w:rPr>
          <w:vertAlign w:val="superscript"/>
        </w:rPr>
        <w:t xml:space="preserve">[</w:t>
      </w:r>
      <w:hyperlink w:anchor="ref-1397">
        <w:r>
          <w:rPr>
            <w:rStyle w:val="Hyperlink"/>
            <w:vertAlign w:val="superscript"/>
          </w:rPr>
          <w:t xml:space="preserve">1397</w:t>
        </w:r>
      </w:hyperlink>
      <w:r>
        <w:rPr>
          <w:vertAlign w:val="superscript"/>
        </w:rPr>
        <w:t xml:space="preserve">]</w:t>
      </w:r>
      <w:r>
        <w:t xml:space="preserve">。两条路线分别强调广泛的小效应累积与少数较大效应变异，共同支持机制异质性。</w:t>
      </w:r>
    </w:p>
    <w:p>
      <w:pPr>
        <w:pStyle w:val="BodyText"/>
      </w:pPr>
      <w:r>
        <w:t xml:space="preserve">一个相关区域可能影响多个基因的表达，精细定位也常保留不确定性；某种罕见变异增加相对风险，其绝对影响仍依基线风险、外显率和其他背景。与自闭症、癫痫或发育障碍共享部分遗传信号，说明生物过程存在交叉，临床名称却不能据此合并。对某个家庭而言，检测结果的意义取决于变异解释、家系和临床表型，常见多基因评分尚不能代替临床诊断。遗传信息还涉及隐私、咨询和亲属自主选择。</w:t>
      </w:r>
    </w:p>
    <w:bookmarkEnd w:id="2124"/>
    <w:bookmarkStart w:id="2125" w:name="sec-133-13"/>
    <w:p>
      <w:pPr>
        <w:pStyle w:val="Heading3"/>
      </w:pPr>
      <w:r>
        <w:t xml:space="preserve">133.13　发育轨迹与补体假说的边界</w:t>
      </w:r>
    </w:p>
    <w:p>
      <w:pPr>
        <w:pStyle w:val="FirstParagraph"/>
      </w:pPr>
      <w:r>
        <w:t xml:space="preserve">精神分裂症研究常采用发育脆弱性与后续环境作用的框架。突触建立、修剪、髓鞘成熟和网络调控分布在不同生命阶段，成年发作并不意味着所有相关变化都在发作当天开始。补体C4相关遗传研究提供了从变异到表达及动物突触机制的一条证据链，原研究的具体证据边界见</w:t>
      </w:r>
      <w:hyperlink w:anchor="ch-129">
        <w:r>
          <w:rPr>
            <w:rStyle w:val="Hyperlink"/>
          </w:rPr>
          <w:t xml:space="preserve">第129章</w:t>
        </w:r>
      </w:hyperlink>
      <w:r>
        <w:rPr>
          <w:vertAlign w:val="superscript"/>
        </w:rPr>
        <w:t xml:space="preserve">[</w:t>
      </w:r>
      <w:hyperlink w:anchor="ref-1336">
        <w:r>
          <w:rPr>
            <w:rStyle w:val="Hyperlink"/>
            <w:vertAlign w:val="superscript"/>
          </w:rPr>
          <w:t xml:space="preserve">1336</w:t>
        </w:r>
      </w:hyperlink>
      <w:r>
        <w:rPr>
          <w:vertAlign w:val="superscript"/>
        </w:rPr>
        <w:t xml:space="preserve">]</w:t>
      </w:r>
      <w:r>
        <w:t xml:space="preserve">。</w:t>
      </w:r>
    </w:p>
    <w:p>
      <w:pPr>
        <w:pStyle w:val="BodyText"/>
      </w:pPr>
      <w:r>
        <w:t xml:space="preserve">这条链不能被压缩成“青春期修剪过多导致所有病例”。组织层面的突触数量、影像中的灰质厚度和认知功能没有固定换算公式；免疫标志物升高也可能来自感染、吸烟、药物或代谢状态。若某人在成年出现精神病性症状，不能凭一般发育假说推定其父母在儿童期错过了某个唯一补救时机。可干预的当前因素、可获得的支持及未来轨迹，应与历史机制推测同时保留。</w:t>
      </w:r>
    </w:p>
    <w:bookmarkEnd w:id="2125"/>
    <w:bookmarkStart w:id="2126" w:name="sec-133-14"/>
    <w:p>
      <w:pPr>
        <w:pStyle w:val="Heading3"/>
      </w:pPr>
      <w:r>
        <w:t xml:space="preserve">133.14　起病速度与鉴别线索</w:t>
      </w:r>
    </w:p>
    <w:p>
      <w:pPr>
        <w:pStyle w:val="FirstParagraph"/>
      </w:pPr>
      <w:r>
        <w:t xml:space="preserve">临床推理首先构建时间轴。症状在数小时、数周或数年内出现，伴随的意识、注意、记忆、运动、自主神经和睡眠变化提供不同线索。急性波动的注意与觉醒异常需要考虑谵妄；近期出现癫痫、运动异常或自主神经紊乱时，需结合脑炎等神经病因评估。有关自身免疫性脑炎的抗体解释见</w:t>
      </w:r>
      <w:hyperlink w:anchor="ch-141">
        <w:r>
          <w:rPr>
            <w:rStyle w:val="Hyperlink"/>
          </w:rPr>
          <w:t xml:space="preserve">第141章</w:t>
        </w:r>
      </w:hyperlink>
      <w:r>
        <w:t xml:space="preserve">，不能用单一血清弱阳性反过来解释全部精神症状。</w:t>
      </w:r>
    </w:p>
    <w:p>
      <w:pPr>
        <w:pStyle w:val="BodyText"/>
      </w:pPr>
      <w:r>
        <w:t xml:space="preserve">物质、处方药和睡眠背景需要逐项核实，时间关联也需谨慎解释。某种物质可能诱发短时症状、加重已有脆弱性，或只是与发作同时出现。停用后的变化不能总是立刻解决病因归属，部分过程具有持续效应。老年新发体验还需纳入感觉障碍、神经退行性疾病和药物负担。上述线索帮助构造鉴别范围，不能供读者自行排除急性病况</w:t>
      </w:r>
      <w:r>
        <w:rPr>
          <w:vertAlign w:val="superscript"/>
        </w:rPr>
        <w:t xml:space="preserve">[</w:t>
      </w:r>
      <w:hyperlink w:anchor="ref-1386">
        <w:r>
          <w:rPr>
            <w:rStyle w:val="Hyperlink"/>
            <w:vertAlign w:val="superscript"/>
          </w:rPr>
          <w:t xml:space="preserve">1386</w:t>
        </w:r>
      </w:hyperlink>
      <w:r>
        <w:rPr>
          <w:vertAlign w:val="superscript"/>
        </w:rPr>
        <w:t xml:space="preserve">]</w:t>
      </w:r>
      <w:r>
        <w:t xml:space="preserve">。</w:t>
      </w:r>
    </w:p>
    <w:bookmarkEnd w:id="2126"/>
    <w:bookmarkStart w:id="2127" w:name="sec-133-15"/>
    <w:p>
      <w:pPr>
        <w:pStyle w:val="Heading3"/>
      </w:pPr>
      <w:r>
        <w:t xml:space="preserve">133.15　临床高风险不是必然进展</w:t>
      </w:r>
    </w:p>
    <w:p>
      <w:pPr>
        <w:pStyle w:val="FirstParagraph"/>
      </w:pPr>
      <w:r>
        <w:t xml:space="preserve">临床高风险研究通常纳入主动求助、经过专门访谈，并具有减弱的（阈下）精神病性症状、短暂且自行缓解的精神病性症状，或遗传风险伴功能下降等特定表现的人群。一项整合130项纵向研究、共9222名高风险者的分析中，三年转变为精神病性障碍的累计风险约为四分之一；研究异质性较高，后期可随访人数也减少</w:t>
      </w:r>
      <w:r>
        <w:rPr>
          <w:vertAlign w:val="superscript"/>
        </w:rPr>
        <w:t xml:space="preserve">[</w:t>
      </w:r>
      <w:hyperlink w:anchor="ref-1398">
        <w:r>
          <w:rPr>
            <w:rStyle w:val="Hyperlink"/>
            <w:vertAlign w:val="superscript"/>
          </w:rPr>
          <w:t xml:space="preserve">1398</w:t>
        </w:r>
      </w:hyperlink>
      <w:r>
        <w:rPr>
          <w:vertAlign w:val="superscript"/>
        </w:rPr>
        <w:t xml:space="preserve">]</w:t>
      </w:r>
      <w:r>
        <w:t xml:space="preserve">。这一比例不能用于普通学校人群，更不能把每个有怪异念头的青少年预告为即将患病。</w:t>
      </w:r>
    </w:p>
    <w:p>
      <w:pPr>
        <w:pStyle w:val="BodyText"/>
      </w:pPr>
      <w:r>
        <w:t xml:space="preserve">未转变者仍可能持续焦虑、抑郁或功能困难，因此支持服务不应只看是否跨过精神病诊断阈值。相反，筛查标签也可能引起恐惧和污名。合理研究目标是同时追踪症状、功能、生活质量和转变，检验支持是否改善实际需要。高风险识别的价值必须与误报、漏报、可接受性和干预证据一起衡量，不能由风险模型区分度单独决定人群普筛</w:t>
      </w:r>
      <w:r>
        <w:rPr>
          <w:vertAlign w:val="superscript"/>
        </w:rPr>
        <w:t xml:space="preserve">[</w:t>
      </w:r>
      <w:hyperlink w:anchor="ref-1389">
        <w:r>
          <w:rPr>
            <w:rStyle w:val="Hyperlink"/>
            <w:vertAlign w:val="superscript"/>
          </w:rPr>
          <w:t xml:space="preserve">1389</w:t>
        </w:r>
      </w:hyperlink>
      <w:r>
        <w:rPr>
          <w:vertAlign w:val="superscript"/>
        </w:rPr>
        <w:t xml:space="preserve">]</w:t>
      </w:r>
      <w:r>
        <w:t xml:space="preserve">。</w:t>
      </w:r>
    </w:p>
    <w:bookmarkEnd w:id="2127"/>
    <w:bookmarkStart w:id="2128" w:name="sec-133-16"/>
    <w:p>
      <w:pPr>
        <w:pStyle w:val="Heading3"/>
      </w:pPr>
      <w:r>
        <w:t xml:space="preserve">133.16　急性疗效与药物差异</w:t>
      </w:r>
    </w:p>
    <w:p>
      <w:pPr>
        <w:pStyle w:val="FirstParagraph"/>
      </w:pPr>
      <w:r>
        <w:t xml:space="preserve">抗精神病药的研究通常把症状量表变化作为急性期终点。网络元分析支持多种药物的平均疗效，同时显示体重、镇静、运动副作用、泌乳素和心脏电生理等方面的差别</w:t>
      </w:r>
      <w:r>
        <w:rPr>
          <w:vertAlign w:val="superscript"/>
        </w:rPr>
        <w:t xml:space="preserve">[</w:t>
      </w:r>
      <w:hyperlink w:anchor="ref-1399">
        <w:r>
          <w:rPr>
            <w:rStyle w:val="Hyperlink"/>
            <w:vertAlign w:val="superscript"/>
          </w:rPr>
          <w:t xml:space="preserve">1399</w:t>
        </w:r>
      </w:hyperlink>
      <w:r>
        <w:rPr>
          <w:vertAlign w:val="superscript"/>
        </w:rPr>
        <w:t xml:space="preserve">]</w:t>
      </w:r>
      <w:r>
        <w:t xml:space="preserve">。研究中的排序受到人群、剂量、对照和证据精度影响，某药在一个终点居前，不等于对每个人的综合收益最佳。</w:t>
      </w:r>
    </w:p>
    <w:p>
      <w:pPr>
        <w:pStyle w:val="BodyText"/>
      </w:pPr>
      <w:r>
        <w:t xml:space="preserve">镇静与精神病性症状改善需要分别观察。一个人变得安静，可能仍然恐惧、无法理解环境；另一个人虽然保持活动，却已能质疑威胁信念并恢复交流。药物作用还受既往反应、代谢、共病和实际使用条件影响。临床讨论应把最困扰的症状、日常功能和可接受的风险放在同一张评价表中，明确哪些改善已发生，哪些问题持续存在。量表总分有利于比较，却不能替代这种分解。</w:t>
      </w:r>
    </w:p>
    <w:bookmarkEnd w:id="2128"/>
    <w:bookmarkStart w:id="2129" w:name="sec-133-17"/>
    <w:p>
      <w:pPr>
        <w:pStyle w:val="Heading3"/>
      </w:pPr>
      <w:r>
        <w:t xml:space="preserve">133.17　维持治疗与长期目标</w:t>
      </w:r>
    </w:p>
    <w:p>
      <w:pPr>
        <w:pStyle w:val="FirstParagraph"/>
      </w:pPr>
      <w:r>
        <w:t xml:space="preserve">随机证据综合支持维持抗精神病治疗在研究随访期内减少复发和住院，也同时记录运动、镇静和体重等风险</w:t>
      </w:r>
      <w:r>
        <w:rPr>
          <w:vertAlign w:val="superscript"/>
        </w:rPr>
        <w:t xml:space="preserve">[</w:t>
      </w:r>
      <w:hyperlink w:anchor="ref-1400">
        <w:r>
          <w:rPr>
            <w:rStyle w:val="Hyperlink"/>
            <w:vertAlign w:val="superscript"/>
          </w:rPr>
          <w:t xml:space="preserve">1400</w:t>
        </w:r>
      </w:hyperlink>
      <w:r>
        <w:rPr>
          <w:vertAlign w:val="superscript"/>
        </w:rPr>
        <w:t xml:space="preserve">]</w:t>
      </w:r>
      <w:r>
        <w:t xml:space="preserve">。这项群体结论具有较高确信度；把主要一至两年的证据直接写成每个人终生相同方案，则超出了直接比较范围。停药组的撤药方式、入组时的治疗反应及退出情况也影响解释。</w:t>
      </w:r>
    </w:p>
    <w:p>
      <w:pPr>
        <w:pStyle w:val="BodyText"/>
      </w:pPr>
      <w:r>
        <w:t xml:space="preserve">维持阶段需要区分减少症状再现、维持学习工作、减少身体负担和提高自主参与。长期制剂可改变给药频率和监测方式，适用性仍取决于个人意愿与实际困难，不能作为服从性的奖励或惩罚</w:t>
      </w:r>
      <w:r>
        <w:rPr>
          <w:vertAlign w:val="superscript"/>
        </w:rPr>
        <w:t xml:space="preserve">[</w:t>
      </w:r>
      <w:hyperlink w:anchor="ref-1388">
        <w:r>
          <w:rPr>
            <w:rStyle w:val="Hyperlink"/>
            <w:vertAlign w:val="superscript"/>
          </w:rPr>
          <w:t xml:space="preserve">1388</w:t>
        </w:r>
      </w:hyperlink>
      <w:r>
        <w:rPr>
          <w:vertAlign w:val="superscript"/>
        </w:rPr>
        <w:t xml:space="preserve">]</w:t>
      </w:r>
      <w:r>
        <w:t xml:space="preserve">。任何调整都涉及症状、撤药反应和复发风险的专业评估，本章不提供自行减停方案。持续随访的价值之一，是让疗效和副作用的变化都能进入共同决策。</w:t>
      </w:r>
    </w:p>
    <w:bookmarkEnd w:id="2129"/>
    <w:bookmarkStart w:id="2130" w:name="sec-133-18"/>
    <w:p>
      <w:pPr>
        <w:pStyle w:val="Heading3"/>
      </w:pPr>
      <w:r>
        <w:t xml:space="preserve">133.18　治疗抵抗与氯氮平</w:t>
      </w:r>
    </w:p>
    <w:p>
      <w:pPr>
        <w:pStyle w:val="FirstParagraph"/>
      </w:pPr>
      <w:r>
        <w:t xml:space="preserve">“治疗抵抗”要求先确认诊断、足够治疗尝试以及药物是否真正达到相应使用条件。疗程不足、无法获得药品、严重副作用导致无法持续使用，和在充分治疗后仍持续症状，属于不同问题。指南把氯氮平列为特定治疗抵抗性精神分裂症的重要选择；这一定位与其需要专门风险管理同时存在</w:t>
      </w:r>
      <w:r>
        <w:rPr>
          <w:vertAlign w:val="superscript"/>
        </w:rPr>
        <w:t xml:space="preserve">[</w:t>
      </w:r>
      <w:hyperlink w:anchor="ref-1388">
        <w:r>
          <w:rPr>
            <w:rStyle w:val="Hyperlink"/>
            <w:vertAlign w:val="superscript"/>
          </w:rPr>
          <w:t xml:space="preserve">1388</w:t>
        </w:r>
      </w:hyperlink>
      <w:r>
        <w:rPr>
          <w:vertAlign w:val="superscript"/>
        </w:rPr>
        <w:t xml:space="preserve">,</w:t>
      </w:r>
      <w:hyperlink w:anchor="ref-1389">
        <w:r>
          <w:rPr>
            <w:rStyle w:val="Hyperlink"/>
            <w:vertAlign w:val="superscript"/>
          </w:rPr>
          <w:t xml:space="preserve">1389</w:t>
        </w:r>
      </w:hyperlink>
      <w:r>
        <w:rPr>
          <w:vertAlign w:val="superscript"/>
        </w:rPr>
        <w:t xml:space="preserve">]</w:t>
      </w:r>
      <w:r>
        <w:t xml:space="preserve">。</w:t>
      </w:r>
    </w:p>
    <w:p>
      <w:pPr>
        <w:pStyle w:val="BodyText"/>
      </w:pPr>
      <w:r>
        <w:t xml:space="preserve">美国FDA自2025年6月13日起取消氯氮平REMS行政项目，不再要求通过该项目注册和报送中性粒细胞结果才能发药；严重中性粒细胞减少风险仍然存在，标签要求的监测继续适用</w:t>
      </w:r>
      <w:r>
        <w:rPr>
          <w:vertAlign w:val="superscript"/>
        </w:rPr>
        <w:t xml:space="preserve">[</w:t>
      </w:r>
      <w:hyperlink w:anchor="ref-1401">
        <w:r>
          <w:rPr>
            <w:rStyle w:val="Hyperlink"/>
            <w:vertAlign w:val="superscript"/>
          </w:rPr>
          <w:t xml:space="preserve">1401</w:t>
        </w:r>
      </w:hyperlink>
      <w:r>
        <w:rPr>
          <w:vertAlign w:val="superscript"/>
        </w:rPr>
        <w:t xml:space="preserve">]</w:t>
      </w:r>
      <w:r>
        <w:t xml:space="preserve">。这是理解监管变化的典型例子：行政程序负担的调整，与药物本身的生物风险和临床监测是三个层面。其他国家地区的制度也可能不同。不能从取消项目推断药物已无严重风险，或把原制度的表格要求当作永不改变的药理事实。</w:t>
      </w:r>
    </w:p>
    <w:bookmarkEnd w:id="2130"/>
    <w:bookmarkStart w:id="2131" w:name="sec-133-19"/>
    <w:p>
      <w:pPr>
        <w:pStyle w:val="Heading3"/>
      </w:pPr>
      <w:r>
        <w:t xml:space="preserve">133.19　胆碱能新机制及其直接证据</w:t>
      </w:r>
    </w:p>
    <w:p>
      <w:pPr>
        <w:pStyle w:val="FirstParagraph"/>
      </w:pPr>
      <w:r>
        <w:t xml:space="preserve">美国在2024年批准xanomeline与trospium组合用于成人精神分裂症</w:t>
      </w:r>
      <w:r>
        <w:rPr>
          <w:vertAlign w:val="superscript"/>
        </w:rPr>
        <w:t xml:space="preserve">[</w:t>
      </w:r>
      <w:hyperlink w:anchor="ref-1402">
        <w:r>
          <w:rPr>
            <w:rStyle w:val="Hyperlink"/>
            <w:vertAlign w:val="superscript"/>
          </w:rPr>
          <w:t xml:space="preserve">1402</w:t>
        </w:r>
      </w:hyperlink>
      <w:r>
        <w:rPr>
          <w:vertAlign w:val="superscript"/>
        </w:rPr>
        <w:t xml:space="preserve">]</w:t>
      </w:r>
      <w:r>
        <w:t xml:space="preserve">。前者偏好激动M1和M4型毒蕈碱受体，后者主要限制外周毒蕈碱作用，以改善耐受性。它没有直接阻断D2受体的同样作用方式，提示治疗靶点可以扩展到不同调控环节；这一进展仍不能排除多巴胺网络在下游参与。</w:t>
      </w:r>
    </w:p>
    <w:p>
      <w:pPr>
        <w:pStyle w:val="BodyText"/>
      </w:pPr>
      <w:r>
        <w:t xml:space="preserve">EMERGENT-3将256人随机分组，五周时PANSS总分相对安慰剂的平均差为−8.4分，95%置信区间−12.4至−4.3。该试验由Karuna资助，申办者及合作机构参与设计、数据管理和分析，论文披露相关雇佣及商业关系。官方更正将一处反应率差从35.4%改为25.4%，本书所引主要终点数字不受该项更正影响</w:t>
      </w:r>
      <w:r>
        <w:rPr>
          <w:vertAlign w:val="superscript"/>
        </w:rPr>
        <w:t xml:space="preserve">[</w:t>
      </w:r>
      <w:hyperlink w:anchor="ref-1403">
        <w:r>
          <w:rPr>
            <w:rStyle w:val="Hyperlink"/>
            <w:vertAlign w:val="superscript"/>
          </w:rPr>
          <w:t xml:space="preserve">1403</w:t>
        </w:r>
      </w:hyperlink>
      <w:r>
        <w:rPr>
          <w:vertAlign w:val="superscript"/>
        </w:rPr>
        <w:t xml:space="preserve">,</w:t>
      </w:r>
      <w:hyperlink w:anchor="ref-1404">
        <w:r>
          <w:rPr>
            <w:rStyle w:val="Hyperlink"/>
            <w:vertAlign w:val="superscript"/>
          </w:rPr>
          <w:t xml:space="preserve">1404</w:t>
        </w:r>
      </w:hyperlink>
      <w:r>
        <w:rPr>
          <w:vertAlign w:val="superscript"/>
        </w:rPr>
        <w:t xml:space="preserve">]</w:t>
      </w:r>
      <w:r>
        <w:t xml:space="preserve">。商业参与需要透明披露和外部检验，不能单凭资助来源否定随机比较。</w:t>
      </w:r>
    </w:p>
    <w:bookmarkEnd w:id="2131"/>
    <w:bookmarkStart w:id="2132" w:name="sec-133-20"/>
    <w:p>
      <w:pPr>
        <w:pStyle w:val="Heading3"/>
      </w:pPr>
      <w:r>
        <w:t xml:space="preserve">133.20　新药证据尚未回答的问题</w:t>
      </w:r>
    </w:p>
    <w:p>
      <w:pPr>
        <w:pStyle w:val="FirstParagraph"/>
      </w:pPr>
      <w:r>
        <w:t xml:space="preserve">五周安慰剂对照试验主要回答短期症状效应，对长期复发、学校工作参与、认知功能和持续原发阴性症状，还需要各自合适的研究。缺少活性药对照意味着无法据此确定优于所有既有药物。汇总同一开发计划的多篇报告，也不能把参与者重复计算为独立重复证据</w:t>
      </w:r>
      <w:r>
        <w:rPr>
          <w:vertAlign w:val="superscript"/>
        </w:rPr>
        <w:t xml:space="preserve">[</w:t>
      </w:r>
      <w:hyperlink w:anchor="ref-1403">
        <w:r>
          <w:rPr>
            <w:rStyle w:val="Hyperlink"/>
            <w:vertAlign w:val="superscript"/>
          </w:rPr>
          <w:t xml:space="preserve">1403</w:t>
        </w:r>
      </w:hyperlink>
      <w:r>
        <w:rPr>
          <w:vertAlign w:val="superscript"/>
        </w:rPr>
        <w:t xml:space="preserve">]</w:t>
      </w:r>
      <w:r>
        <w:t xml:space="preserve">。</w:t>
      </w:r>
    </w:p>
    <w:p>
      <w:pPr>
        <w:pStyle w:val="BodyText"/>
      </w:pPr>
      <w:r>
        <w:t xml:space="preserve">2026年的现行美国标签保留尿潴留、胃肠动力、肝胆和肾功能、心率等适用性及安全边界</w:t>
      </w:r>
      <w:r>
        <w:rPr>
          <w:vertAlign w:val="superscript"/>
        </w:rPr>
        <w:t xml:space="preserve">[</w:t>
      </w:r>
      <w:hyperlink w:anchor="ref-1405">
        <w:r>
          <w:rPr>
            <w:rStyle w:val="Hyperlink"/>
            <w:vertAlign w:val="superscript"/>
          </w:rPr>
          <w:t xml:space="preserve">1405</w:t>
        </w:r>
      </w:hyperlink>
      <w:r>
        <w:rPr>
          <w:vertAlign w:val="superscript"/>
        </w:rPr>
        <w:t xml:space="preserve">]</w:t>
      </w:r>
      <w:r>
        <w:t xml:space="preserve">。某些短期指标与安慰剂相近，并不保证更大样本或更长时间下没有风险。有效机制与最佳临床位置之间还隔着可及性、实际耐受、联合用药和长期比较。严谨的评价可以同时承认新靶点带来的进展，并保留这些尚未解决的具体问题。</w:t>
      </w:r>
    </w:p>
    <w:bookmarkEnd w:id="2132"/>
    <w:bookmarkStart w:id="2133" w:name="sec-133-21"/>
    <w:p>
      <w:pPr>
        <w:pStyle w:val="Heading3"/>
      </w:pPr>
      <w:r>
        <w:t xml:space="preserve">133.21　早期综合服务的作用单位</w:t>
      </w:r>
    </w:p>
    <w:p>
      <w:pPr>
        <w:pStyle w:val="FirstParagraph"/>
      </w:pPr>
      <w:r>
        <w:t xml:space="preserve">RAISE研究在34个社区中心进行整群随机，纳入404名早期患者；综合NAVIGATE服务在两年中改善了生活质量、症状及学校工作参与等结局</w:t>
      </w:r>
      <w:r>
        <w:rPr>
          <w:vertAlign w:val="superscript"/>
        </w:rPr>
        <w:t xml:space="preserve">[</w:t>
      </w:r>
      <w:hyperlink w:anchor="ref-1406">
        <w:r>
          <w:rPr>
            <w:rStyle w:val="Hyperlink"/>
            <w:vertAlign w:val="superscript"/>
          </w:rPr>
          <w:t xml:space="preserve">1406</w:t>
        </w:r>
      </w:hyperlink>
      <w:r>
        <w:rPr>
          <w:vertAlign w:val="superscript"/>
        </w:rPr>
        <w:t xml:space="preserve">]</w:t>
      </w:r>
      <w:r>
        <w:t xml:space="preserve">。研究单位是整套团队服务，包含药物管理、心理干预、家庭支持及教育就业帮助。效果不能全部归给某一次咨询或某种单独药物，也不能假定缺少团队资源时仍会自动复制。</w:t>
      </w:r>
    </w:p>
    <w:p>
      <w:pPr>
        <w:pStyle w:val="BodyText"/>
      </w:pPr>
      <w:r>
        <w:t xml:space="preserve">其逻辑可以用一个假设情境解释。学生的症状减轻后仍难以返校，如果服务只记录幻觉量表，就会遗漏课程安排、交通、同伴关系和学习节奏。协调团队能够把临床稳定与这些现实障碍连接起来。这里的作用途径包括减少信息断裂、提高连续性及形成可实现的目标，并不需要假定团队服务直接纠正了某一个分子缺陷。机制与组织结构都可成为有效干预的一部分。</w:t>
      </w:r>
    </w:p>
    <w:bookmarkEnd w:id="2133"/>
    <w:bookmarkStart w:id="2134" w:name="sec-133-22"/>
    <w:p>
      <w:pPr>
        <w:pStyle w:val="Heading3"/>
      </w:pPr>
      <w:r>
        <w:t xml:space="preserve">133.22　心理干预与家庭支持的目标</w:t>
      </w:r>
    </w:p>
    <w:p>
      <w:pPr>
        <w:pStyle w:val="FirstParagraph"/>
      </w:pPr>
      <w:r>
        <w:t xml:space="preserve">精神病相关认知行为治疗可以帮助检验解释、降低体验带来的痛苦、改善应对和实现生活目标。开展工作需要合作关系，避免通过争辩迫使当事人承认自己错误。家庭干预关注沟通、问题解决和支持，也需要尊重隐私及当事人参与意愿。指南把这些方法纳入综合治疗，同时区分各项建议的证据等级</w:t>
      </w:r>
      <w:r>
        <w:rPr>
          <w:vertAlign w:val="superscript"/>
        </w:rPr>
        <w:t xml:space="preserve">[</w:t>
      </w:r>
      <w:hyperlink w:anchor="ref-1388">
        <w:r>
          <w:rPr>
            <w:rStyle w:val="Hyperlink"/>
            <w:vertAlign w:val="superscript"/>
          </w:rPr>
          <w:t xml:space="preserve">1388</w:t>
        </w:r>
      </w:hyperlink>
      <w:r>
        <w:rPr>
          <w:vertAlign w:val="superscript"/>
        </w:rPr>
        <w:t xml:space="preserve">,</w:t>
      </w:r>
      <w:hyperlink w:anchor="ref-1389">
        <w:r>
          <w:rPr>
            <w:rStyle w:val="Hyperlink"/>
            <w:vertAlign w:val="superscript"/>
          </w:rPr>
          <w:t xml:space="preserve">1389</w:t>
        </w:r>
      </w:hyperlink>
      <w:r>
        <w:rPr>
          <w:vertAlign w:val="superscript"/>
        </w:rPr>
        <w:t xml:space="preserve">]</w:t>
      </w:r>
      <w:r>
        <w:t xml:space="preserve">。</w:t>
      </w:r>
    </w:p>
    <w:p>
      <w:pPr>
        <w:pStyle w:val="BodyText"/>
      </w:pPr>
      <w:r>
        <w:t xml:space="preserve">假设一个人因声音批评自己而停止乘车，心理工作的实际目标可以从辨认触发条件、恢复可承受的出行和检验不同解释逐步建立。声音频率没有明显下降，痛苦和回避却减少，仍属于需要记录的收益。相反，仅仅让家人少抱怨，无法证明核心症状改善。家庭的压力、经济负担和照护需求也应被承认，疾病解释不能演变为对父母或伴侣的单方面归责。</w:t>
      </w:r>
    </w:p>
    <w:bookmarkEnd w:id="2134"/>
    <w:bookmarkStart w:id="2135" w:name="sec-133-23"/>
    <w:p>
      <w:pPr>
        <w:pStyle w:val="Heading3"/>
      </w:pPr>
      <w:r>
        <w:t xml:space="preserve">133.23　认知康复与就业支持</w:t>
      </w:r>
    </w:p>
    <w:p>
      <w:pPr>
        <w:pStyle w:val="FirstParagraph"/>
      </w:pPr>
      <w:r>
        <w:t xml:space="preserve">随机试验综合提示，认知康复对认知和功能可产生较小的平均收益；研究中常见训练人员指导、策略学习和与其他康复服务结合</w:t>
      </w:r>
      <w:r>
        <w:rPr>
          <w:vertAlign w:val="superscript"/>
        </w:rPr>
        <w:t xml:space="preserve">[</w:t>
      </w:r>
      <w:hyperlink w:anchor="ref-1391">
        <w:r>
          <w:rPr>
            <w:rStyle w:val="Hyperlink"/>
            <w:vertAlign w:val="superscript"/>
          </w:rPr>
          <w:t xml:space="preserve">1391</w:t>
        </w:r>
      </w:hyperlink>
      <w:r>
        <w:rPr>
          <w:vertAlign w:val="superscript"/>
        </w:rPr>
        <w:t xml:space="preserve">]</w:t>
      </w:r>
      <w:r>
        <w:t xml:space="preserve">。这些结果不保证任意商业脑训练软件都有效，也不能从研究间的组件相关直接判定某一组件单独具有因果疗效。训练任务进步与现实生活迁移仍须分别检测。</w:t>
      </w:r>
    </w:p>
    <w:p>
      <w:pPr>
        <w:pStyle w:val="BodyText"/>
      </w:pPr>
      <w:r>
        <w:t xml:space="preserve">可以把学习预约路线作为假设任务。反复记住屏幕上的词表提高，未必改善在车站找到站台；结合实际路线、外部提醒和分步骤练习，才直接对应目标活动。支持性就业则把有意愿参与工作的人与真实岗位及持续支持连接，服务效果还受劳动环境和歧视影响</w:t>
      </w:r>
      <w:r>
        <w:rPr>
          <w:vertAlign w:val="superscript"/>
        </w:rPr>
        <w:t xml:space="preserve">[</w:t>
      </w:r>
      <w:hyperlink w:anchor="ref-1389">
        <w:r>
          <w:rPr>
            <w:rStyle w:val="Hyperlink"/>
            <w:vertAlign w:val="superscript"/>
          </w:rPr>
          <w:t xml:space="preserve">1389</w:t>
        </w:r>
      </w:hyperlink>
      <w:r>
        <w:rPr>
          <w:vertAlign w:val="superscript"/>
        </w:rPr>
        <w:t xml:space="preserve">]</w:t>
      </w:r>
      <w:r>
        <w:t xml:space="preserve">。评价恢复时，应把社会机会造成的障碍与个人能力限制分开，不以失业状态反推疾病必然无法改善。</w:t>
      </w:r>
    </w:p>
    <w:bookmarkEnd w:id="2135"/>
    <w:bookmarkStart w:id="2136" w:name="sec-133-24"/>
    <w:p>
      <w:pPr>
        <w:pStyle w:val="Heading3"/>
      </w:pPr>
      <w:r>
        <w:t xml:space="preserve">133.24　身体健康与生活处境</w:t>
      </w:r>
    </w:p>
    <w:p>
      <w:pPr>
        <w:pStyle w:val="FirstParagraph"/>
      </w:pPr>
      <w:r>
        <w:t xml:space="preserve">精神健康服务需要同时关注体重、代谢、心血管、运动、睡眠、吸烟及其他物质使用，并考虑药物的身体影响</w:t>
      </w:r>
      <w:r>
        <w:rPr>
          <w:vertAlign w:val="superscript"/>
        </w:rPr>
        <w:t xml:space="preserve">[</w:t>
      </w:r>
      <w:hyperlink w:anchor="ref-1388">
        <w:r>
          <w:rPr>
            <w:rStyle w:val="Hyperlink"/>
            <w:vertAlign w:val="superscript"/>
          </w:rPr>
          <w:t xml:space="preserve">1388</w:t>
        </w:r>
      </w:hyperlink>
      <w:r>
        <w:rPr>
          <w:vertAlign w:val="superscript"/>
        </w:rPr>
        <w:t xml:space="preserve">,</w:t>
      </w:r>
      <w:hyperlink w:anchor="ref-1399">
        <w:r>
          <w:rPr>
            <w:rStyle w:val="Hyperlink"/>
            <w:vertAlign w:val="superscript"/>
          </w:rPr>
          <w:t xml:space="preserve">1399</w:t>
        </w:r>
      </w:hyperlink>
      <w:r>
        <w:rPr>
          <w:vertAlign w:val="superscript"/>
        </w:rPr>
        <w:t xml:space="preserve">]</w:t>
      </w:r>
      <w:r>
        <w:t xml:space="preserve">。这些因素既可能影响长期健康，也会改变疲劳、注意和治疗体验。将身体不适全部归入精神症状，会遗漏可以独立评估的问题；将全部身体风险归给药物，也可能忽视既有疾病和服务差距。</w:t>
      </w:r>
    </w:p>
    <w:p>
      <w:pPr>
        <w:pStyle w:val="BodyText"/>
      </w:pPr>
      <w:r>
        <w:t xml:space="preserve">疾病标签不能替代对具体能力的判断。知情同意能力涉及理解、权衡和表达选择，会随时间和决策复杂度变化；一次急性期困难不应自动延伸到所有未来决定。污名和被拒绝服务本身会改变求助路径。记录“不同意某项治疗”时，应同时记录理由、替代选择和讨论过程，避免把意见分歧直接编码成症状。尊严、可及性和参与机会属于照护目标，其价值不能由脑扫描决定。</w:t>
      </w:r>
    </w:p>
    <w:bookmarkEnd w:id="2136"/>
    <w:bookmarkStart w:id="2137" w:name="sec-133-25"/>
    <w:p>
      <w:pPr>
        <w:pStyle w:val="Heading3"/>
      </w:pPr>
      <w:r>
        <w:t xml:space="preserve">133.25　关键判断的证据边界</w:t>
      </w:r>
    </w:p>
    <w:p>
      <w:pPr>
        <w:pStyle w:val="FirstParagraph"/>
      </w:pPr>
      <w:r>
        <w:t xml:space="preserve">精神病性症候可以有多种病因、临床评估需要时间轴和功能背景，这些基础判断确信度较高。抗精神病药在研究人群中的急性平均疗效及维持期减少复发，具有较强直接证据；不同药物长期功能收益、个体最佳选择和一些严重罕见风险的比较，仍有更大的不确定性。新胆碱能药物已具有短期随机证据及特定监管批准，不能延伸为所有疾病维度的完整解决方案</w:t>
      </w:r>
      <w:r>
        <w:rPr>
          <w:vertAlign w:val="superscript"/>
        </w:rPr>
        <w:t xml:space="preserve">[</w:t>
      </w:r>
      <w:hyperlink w:anchor="ref-1399">
        <w:r>
          <w:rPr>
            <w:rStyle w:val="Hyperlink"/>
            <w:vertAlign w:val="superscript"/>
          </w:rPr>
          <w:t xml:space="preserve">1399</w:t>
        </w:r>
      </w:hyperlink>
      <w:r>
        <w:rPr>
          <w:vertAlign w:val="superscript"/>
        </w:rPr>
        <w:t xml:space="preserve">,</w:t>
      </w:r>
      <w:hyperlink w:anchor="ref-1400">
        <w:r>
          <w:rPr>
            <w:rStyle w:val="Hyperlink"/>
            <w:vertAlign w:val="superscript"/>
          </w:rPr>
          <w:t xml:space="preserve">1400</w:t>
        </w:r>
      </w:hyperlink>
      <w:r>
        <w:rPr>
          <w:vertAlign w:val="superscript"/>
        </w:rPr>
        <w:t xml:space="preserve">,</w:t>
      </w:r>
      <w:hyperlink w:anchor="ref-1403">
        <w:r>
          <w:rPr>
            <w:rStyle w:val="Hyperlink"/>
            <w:vertAlign w:val="superscript"/>
          </w:rPr>
          <w:t xml:space="preserve">1403</w:t>
        </w:r>
      </w:hyperlink>
      <w:r>
        <w:rPr>
          <w:vertAlign w:val="superscript"/>
        </w:rPr>
        <w:t xml:space="preserve">]</w:t>
      </w:r>
      <w:r>
        <w:t xml:space="preserve">。</w:t>
      </w:r>
    </w:p>
    <w:p>
      <w:pPr>
        <w:pStyle w:val="BodyText"/>
      </w:pPr>
      <w:r>
        <w:t xml:space="preserve">多巴胺突触前功能、遗传突触通路和若干认知机制得到多种研究支持；从群体差异映射到单个患者完整病因，仍缺少充分证据</w:t>
      </w:r>
      <w:r>
        <w:rPr>
          <w:vertAlign w:val="superscript"/>
        </w:rPr>
        <w:t xml:space="preserve">[</w:t>
      </w:r>
      <w:hyperlink w:anchor="ref-1393">
        <w:r>
          <w:rPr>
            <w:rStyle w:val="Hyperlink"/>
            <w:vertAlign w:val="superscript"/>
          </w:rPr>
          <w:t xml:space="preserve">1393</w:t>
        </w:r>
      </w:hyperlink>
      <w:r>
        <w:rPr>
          <w:vertAlign w:val="superscript"/>
        </w:rPr>
        <w:t xml:space="preserve">,</w:t>
      </w:r>
      <w:hyperlink w:anchor="ref-1396">
        <w:r>
          <w:rPr>
            <w:rStyle w:val="Hyperlink"/>
            <w:vertAlign w:val="superscript"/>
          </w:rPr>
          <w:t xml:space="preserve">1396</w:t>
        </w:r>
      </w:hyperlink>
      <w:r>
        <w:rPr>
          <w:vertAlign w:val="superscript"/>
        </w:rPr>
        <w:t xml:space="preserve">,</w:t>
      </w:r>
      <w:hyperlink w:anchor="ref-1397">
        <w:r>
          <w:rPr>
            <w:rStyle w:val="Hyperlink"/>
            <w:vertAlign w:val="superscript"/>
          </w:rPr>
          <w:t xml:space="preserve">1397</w:t>
        </w:r>
      </w:hyperlink>
      <w:r>
        <w:rPr>
          <w:vertAlign w:val="superscript"/>
        </w:rPr>
        <w:t xml:space="preserve">]</w:t>
      </w:r>
      <w:r>
        <w:t xml:space="preserve">。副本放电和预测加工提供有价值的研究模型，其特异性、因果顺序及临床可用性需要进一步验证。基本症候定义、特定试验效应和机制假说，应在阅读时保持不同的确信层级。</w:t>
      </w:r>
    </w:p>
    <w:bookmarkEnd w:id="2137"/>
    <w:bookmarkEnd w:id="2138"/>
    <w:bookmarkStart w:id="2157" w:name="ch-134"/>
    <w:p>
      <w:pPr>
        <w:pStyle w:val="Heading2"/>
      </w:pPr>
      <w:r>
        <w:t xml:space="preserve">第134章　成瘾中的学习、动机与持续伤害</w:t>
      </w:r>
    </w:p>
    <w:bookmarkStart w:id="2139" w:name="sec-134-1"/>
    <w:p>
      <w:pPr>
        <w:pStyle w:val="Heading3"/>
      </w:pPr>
      <w:r>
        <w:t xml:space="preserve">134.1　临床概念需要功能和时间维度</w:t>
      </w:r>
    </w:p>
    <w:p>
      <w:pPr>
        <w:pStyle w:val="FirstParagraph"/>
      </w:pPr>
      <w:r>
        <w:t xml:space="preserve">成瘾不能由喜欢某物、使用频繁或多巴胺变化直接诊断。需要关注持续的控制困难、优先级变化、明显不利后果和功能受损，并按具体障碍的诊断框架评估。对这一判断的置信度高。正常奖赏过程与成瘾机制有交集，交集本身没有诊断特异性</w:t>
      </w:r>
      <w:r>
        <w:rPr>
          <w:vertAlign w:val="superscript"/>
        </w:rPr>
        <w:t xml:space="preserve">[</w:t>
      </w:r>
      <w:hyperlink w:anchor="ref-728">
        <w:r>
          <w:rPr>
            <w:rStyle w:val="Hyperlink"/>
            <w:vertAlign w:val="superscript"/>
          </w:rPr>
          <w:t xml:space="preserve">728</w:t>
        </w:r>
      </w:hyperlink>
      <w:r>
        <w:rPr>
          <w:vertAlign w:val="superscript"/>
        </w:rPr>
        <w:t xml:space="preserve">]</w:t>
      </w:r>
      <w:r>
        <w:t xml:space="preserve">。</w:t>
      </w:r>
    </w:p>
    <w:p>
      <w:pPr>
        <w:pStyle w:val="BodyText"/>
      </w:pPr>
      <w:r>
        <w:t xml:space="preserve">一项活动很受欢迎，可以因为它有真实价值。训练、工作或文化兴趣可能占用大量时间，却不一定伴随持续失控。相反，某个人即使不再明显享受某行为，仍可能反复进行并造成伤害。行为频率、主观喜欢和临床严重程度应分别记录。</w:t>
      </w:r>
    </w:p>
    <w:p>
      <w:pPr>
        <w:pStyle w:val="BodyText"/>
      </w:pPr>
      <w:r>
        <w:t xml:space="preserve">“成瘾”一词在日常使用中常被扩展到所有强烈偏好。研究和临床需要限制其范围，否则它会失去区分作用。某种行为尚未被可靠建立为独立障碍，也不意味着相关痛苦不真实；可以评估具体功能问题，同时避免过早赋予统一病因。</w:t>
      </w:r>
    </w:p>
    <w:bookmarkEnd w:id="2139"/>
    <w:bookmarkStart w:id="2140" w:name="sec-134-2"/>
    <w:p>
      <w:pPr>
        <w:pStyle w:val="Heading3"/>
      </w:pPr>
      <w:r>
        <w:t xml:space="preserve">134.2　奖励学习与线索渴求</w:t>
      </w:r>
    </w:p>
    <w:p>
      <w:pPr>
        <w:pStyle w:val="FirstParagraph"/>
      </w:pPr>
      <w:r>
        <w:t xml:space="preserve">反复经历使环境线索与某种结果建立联系。重复使用物质时，地点、器具、时间、身体不适和社交情境都可能成为预测结果的线索。之后线索可能引起注意、期待和行动倾向，即使结果当时没有出现，也不要求当下再次接触物质。Volkow及同事在18名可卡因成瘾者中比较中性与可卡因线索视频，利用PET雷氯必利竞争结合测量发现，观看线索视频时背侧纹状体（尾状核和壳核）的多巴胺相关信号升高，升高幅度与渴求评分相关。研究支持线索学习的重要性，但成像指标具有间接性，这一相关证据也不能独自确认每个人复用的原因</w:t>
      </w:r>
      <w:r>
        <w:rPr>
          <w:vertAlign w:val="superscript"/>
        </w:rPr>
        <w:t xml:space="preserve">[</w:t>
      </w:r>
      <w:hyperlink w:anchor="ref-847">
        <w:r>
          <w:rPr>
            <w:rStyle w:val="Hyperlink"/>
            <w:vertAlign w:val="superscript"/>
          </w:rPr>
          <w:t xml:space="preserve">847</w:t>
        </w:r>
      </w:hyperlink>
      <w:r>
        <w:rPr>
          <w:vertAlign w:val="superscript"/>
        </w:rPr>
        <w:t xml:space="preserve">]</w:t>
      </w:r>
      <w:r>
        <w:t xml:space="preserve">。</w:t>
      </w:r>
    </w:p>
    <w:p>
      <w:pPr>
        <w:pStyle w:val="BodyText"/>
      </w:pPr>
      <w:r>
        <w:t xml:space="preserve">对线索的反应可以依身体状态、情境和近期经历变化。一次实验中没有明显渴求，不足以证明所有情境下都没有困难。相反，一次强烈渴求也不能直接决定长期复发。预测需要重复测量和实际结局，且要与更简单的行为和环境指标比较。</w:t>
      </w:r>
    </w:p>
    <w:p>
      <w:pPr>
        <w:pStyle w:val="BodyText"/>
      </w:pPr>
      <w:r>
        <w:t xml:space="preserve">线索还可以成为干预对象。改变暴露条件、增加替代奖励或练习应对方式，可以提出合理假说。具体干预是否有效仍需临床试验。基础学习理论提供设计依据，不提供自动疗效保证。</w:t>
      </w:r>
    </w:p>
    <w:bookmarkEnd w:id="2140"/>
    <w:bookmarkStart w:id="2141" w:name="sec-134-3"/>
    <w:p>
      <w:pPr>
        <w:pStyle w:val="Heading3"/>
      </w:pPr>
      <w:r>
        <w:t xml:space="preserve">134.3　想要增强与喜欢变化</w:t>
      </w:r>
    </w:p>
    <w:p>
      <w:pPr>
        <w:pStyle w:val="FirstParagraph"/>
      </w:pPr>
      <w:r>
        <w:t xml:space="preserve">激励敏化理论强调，某些药物相关动机反应可能增强，同时享受未必同步增加。它为解释强烈追求与较少快乐的分离提供框架。理论涉及易感性、长期适应和线索关系，不能被压缩成全脑多巴胺总量越来越高</w:t>
      </w:r>
      <w:r>
        <w:rPr>
          <w:vertAlign w:val="superscript"/>
        </w:rPr>
        <w:t xml:space="preserve">[</w:t>
      </w:r>
      <w:hyperlink w:anchor="ref-727">
        <w:r>
          <w:rPr>
            <w:rStyle w:val="Hyperlink"/>
            <w:vertAlign w:val="superscript"/>
          </w:rPr>
          <w:t xml:space="preserve">727</w:t>
        </w:r>
      </w:hyperlink>
      <w:r>
        <w:rPr>
          <w:vertAlign w:val="superscript"/>
        </w:rPr>
        <w:t xml:space="preserve">]</w:t>
      </w:r>
      <w:r>
        <w:t xml:space="preserve">。</w:t>
      </w:r>
    </w:p>
    <w:p>
      <w:pPr>
        <w:pStyle w:val="BodyText"/>
      </w:pPr>
      <w:r>
        <w:t xml:space="preserve">评价这类理论时，需要区分它解释的阶段。最初尝试、间歇使用、持续失控和长期恢复，可能涉及不同过程。一个模型能够解释线索渴求，不一定完整解释最初接触、社会选择或治疗后恢复。理论的价值在于可检验的贡献，不要求单独包办全部病程。</w:t>
      </w:r>
    </w:p>
    <w:p>
      <w:pPr>
        <w:pStyle w:val="BodyText"/>
      </w:pPr>
      <w:r>
        <w:t xml:space="preserve">负性强化提供另一环节：行为可以因减少不适而被维持。这里需要区分实际减少了什么不适，是戒断相关反应、焦虑、疼痛还是其他状态。若只说为了逃避痛苦，仍然过于宽泛。不同不适的起点和治疗需求可能不同</w:t>
      </w:r>
      <w:r>
        <w:rPr>
          <w:vertAlign w:val="superscript"/>
        </w:rPr>
        <w:t xml:space="preserve">[</w:t>
      </w:r>
      <w:hyperlink w:anchor="ref-728">
        <w:r>
          <w:rPr>
            <w:rStyle w:val="Hyperlink"/>
            <w:vertAlign w:val="superscript"/>
          </w:rPr>
          <w:t xml:space="preserve">728</w:t>
        </w:r>
      </w:hyperlink>
      <w:r>
        <w:rPr>
          <w:vertAlign w:val="superscript"/>
        </w:rPr>
        <w:t xml:space="preserve">]</w:t>
      </w:r>
      <w:r>
        <w:t xml:space="preserve">。</w:t>
      </w:r>
    </w:p>
    <w:bookmarkEnd w:id="2141"/>
    <w:bookmarkStart w:id="2142" w:name="sec-134-4"/>
    <w:p>
      <w:pPr>
        <w:pStyle w:val="Heading3"/>
      </w:pPr>
      <w:r>
        <w:t xml:space="preserve">134.4　习惯与目标导向行为</w:t>
      </w:r>
    </w:p>
    <w:p>
      <w:pPr>
        <w:pStyle w:val="FirstParagraph"/>
      </w:pPr>
      <w:r>
        <w:t xml:space="preserve">目标导向行为对结果价值和行动结果关系敏感；习惯研究则检查行为是否在结果价值下降或关系改变后仍保持。现实成瘾可能包含不同程度的目标导向与习惯成分。持续行为不能直接证明所有行动都失去目的，也不能凭一次任务判定人的全部控制能力。</w:t>
      </w:r>
    </w:p>
    <w:p>
      <w:pPr>
        <w:pStyle w:val="BodyText"/>
      </w:pPr>
      <w:r>
        <w:t xml:space="preserve">在假设实验中，如果一种行为在奖励被贬值后仍保持，研究者还需确认参与者真正理解贬值，并且测试条件允许使用这种知识。否则，持续反应可能来自理解不足。习惯概念需要由任务操作支持，不能作为“做得太多”的同义词。</w:t>
      </w:r>
    </w:p>
    <w:p>
      <w:pPr>
        <w:pStyle w:val="BodyText"/>
      </w:pPr>
      <w:r>
        <w:t xml:space="preserve">在生活中，某人可能在一种情境中能够停止，在另一种情境中很难。这样的状态依赖并不排除障碍。它提示需要研究提示线索、替代选择、压力和即时成本如何改变行为。恢复过程也可以通过这些变量获得支持。</w:t>
      </w:r>
    </w:p>
    <w:bookmarkEnd w:id="2142"/>
    <w:bookmarkStart w:id="2143" w:name="sec-134-5"/>
    <w:p>
      <w:pPr>
        <w:pStyle w:val="Heading3"/>
      </w:pPr>
      <w:r>
        <w:t xml:space="preserve">134.5　社会环境与生物机制共同进入解释</w:t>
      </w:r>
    </w:p>
    <w:p>
      <w:pPr>
        <w:pStyle w:val="FirstParagraph"/>
      </w:pPr>
      <w:r>
        <w:t xml:space="preserve">物质可获得性、住房、收入、关系、污名和治疗可及性，都可能影响接触、维持和恢复。承认神经适应不会使这些变量消失。一个完整因果模型可以包含社会条件影响暴露和压力，学习改变线索价值，药物改变身体状态，随后又反馈到生活环境</w:t>
      </w:r>
      <w:r>
        <w:rPr>
          <w:vertAlign w:val="superscript"/>
        </w:rPr>
        <w:t xml:space="preserve">[</w:t>
      </w:r>
      <w:hyperlink w:anchor="ref-728">
        <w:r>
          <w:rPr>
            <w:rStyle w:val="Hyperlink"/>
            <w:vertAlign w:val="superscript"/>
          </w:rPr>
          <w:t xml:space="preserve">728</w:t>
        </w:r>
      </w:hyperlink>
      <w:r>
        <w:rPr>
          <w:vertAlign w:val="superscript"/>
        </w:rPr>
        <w:t xml:space="preserve">]</w:t>
      </w:r>
      <w:r>
        <w:t xml:space="preserve">。</w:t>
      </w:r>
    </w:p>
    <w:p>
      <w:pPr>
        <w:pStyle w:val="BodyText"/>
      </w:pPr>
      <w:r>
        <w:t xml:space="preserve">这类多层模型仍需具体化。若所有因素都被列入，却没有说明方向和时间，解释依然松散。较好的研究会选择某个可识别环节，例如改变可获得性是否降低使用，改善住房稳定性是否影响治疗保持，或某项药理干预是否改变临床结局。</w:t>
      </w:r>
    </w:p>
    <w:p>
      <w:pPr>
        <w:pStyle w:val="BodyText"/>
      </w:pPr>
      <w:r>
        <w:t xml:space="preserve">“脑疾病”框架可以提醒人们控制困难具有真实机制，但若被理解为永远无法改变，会造成额外误解。可塑性、学习和环境调整同样属于生物现实。是否有效应由恢复和治疗研究决定，不能从“脑”这个词推断宿命。</w:t>
      </w:r>
    </w:p>
    <w:bookmarkEnd w:id="2143"/>
    <w:bookmarkStart w:id="2144" w:name="sec-134-6"/>
    <w:p>
      <w:pPr>
        <w:pStyle w:val="Heading3"/>
      </w:pPr>
      <w:r>
        <w:t xml:space="preserve">134.6　诊断指标与机制指标的差别</w:t>
      </w:r>
    </w:p>
    <w:p>
      <w:pPr>
        <w:pStyle w:val="FirstParagraph"/>
      </w:pPr>
      <w:r>
        <w:t xml:space="preserve">一个脑信号在组间平均不同，不一定能准确区分个人。若患者与对照分布高度重叠，指标可能具有机制研究意义，却不适合诊断。诊断应用需要独立验证敏感性、特异性、校准、增量价值和实际决策后果。</w:t>
      </w:r>
    </w:p>
    <w:p>
      <w:pPr>
        <w:pStyle w:val="BodyText"/>
      </w:pPr>
      <w:r>
        <w:t xml:space="preserve">一个指标能预测结局，也不必是可干预原因。它可能是累积暴露、环境或共病的标志。若改变指标没有改善结局，便需要修正对其因果角色的理解。治疗研究应优先评价患者重要结局，同时把机制测量用于解释和进一步优化。</w:t>
      </w:r>
    </w:p>
    <w:bookmarkEnd w:id="2144"/>
    <w:bookmarkStart w:id="2145" w:name="sec-134-7"/>
    <w:p>
      <w:pPr>
        <w:pStyle w:val="Heading3"/>
      </w:pPr>
      <w:r>
        <w:t xml:space="preserve">134.7　耐受、依赖、戒断和成瘾需要分别定义</w:t>
      </w:r>
    </w:p>
    <w:p>
      <w:pPr>
        <w:pStyle w:val="FirstParagraph"/>
      </w:pPr>
      <w:r>
        <w:t xml:space="preserve">耐受描述重复接触后，同一暴露产生的某种效应减弱，或达到相同效应需要更高暴露。生理依赖描述系统适应后，减量或停用会出现特定反应。戒断是暴露减少后出现的一组症状和体征。成瘾相关诊断还涉及持续失控、行为优先级变化、伤害和功能受损。几个概念可以共同出现，也可以在特定条件下分离</w:t>
      </w:r>
      <w:r>
        <w:rPr>
          <w:vertAlign w:val="superscript"/>
        </w:rPr>
        <w:t xml:space="preserve">[</w:t>
      </w:r>
      <w:hyperlink w:anchor="ref-728">
        <w:r>
          <w:rPr>
            <w:rStyle w:val="Hyperlink"/>
            <w:vertAlign w:val="superscript"/>
          </w:rPr>
          <w:t xml:space="preserve">728</w:t>
        </w:r>
      </w:hyperlink>
      <w:r>
        <w:rPr>
          <w:vertAlign w:val="superscript"/>
        </w:rPr>
        <w:t xml:space="preserve">,</w:t>
      </w:r>
      <w:hyperlink w:anchor="ref-1407">
        <w:r>
          <w:rPr>
            <w:rStyle w:val="Hyperlink"/>
            <w:vertAlign w:val="superscript"/>
          </w:rPr>
          <w:t xml:space="preserve">1407</w:t>
        </w:r>
      </w:hyperlink>
      <w:r>
        <w:rPr>
          <w:vertAlign w:val="superscript"/>
        </w:rPr>
        <w:t xml:space="preserve">]</w:t>
      </w:r>
      <w:r>
        <w:t xml:space="preserve">。</w:t>
      </w:r>
    </w:p>
    <w:p>
      <w:pPr>
        <w:pStyle w:val="BodyText"/>
      </w:pPr>
      <w:r>
        <w:t xml:space="preserve">同一种物质的不同效应可以具有不同耐受速度。主观感受减弱，并不保证呼吸、心血管或其他风险按相同比例下降。停用一段时间后，先前形成的耐受还可能变化，重新使用原有暴露模式会带来风险。医学上评估风险时，需要结合物质、用法、共同用药、身体状态和既往反应，不能仅凭使用经验推断安全，也不能通过自行增加剂量或重新使用来测试耐受。</w:t>
      </w:r>
    </w:p>
    <w:p>
      <w:pPr>
        <w:pStyle w:val="BodyText"/>
      </w:pPr>
      <w:r>
        <w:t xml:space="preserve">生理依赖也可能发生在规范治疗中。诊断时需要检查是否存在失控使用和持续伤害等行为背景。把所有撤药反应都视为成瘾，会混淆药理适应与临床行为综合征；忽略依赖和戒断同样会低估减停药过程的复杂性。准确术语有助于选择合适的监测和治疗目标。</w:t>
      </w:r>
    </w:p>
    <w:bookmarkEnd w:id="2145"/>
    <w:bookmarkStart w:id="2146" w:name="sec-134-8"/>
    <w:p>
      <w:pPr>
        <w:pStyle w:val="Heading3"/>
      </w:pPr>
      <w:r>
        <w:t xml:space="preserve">134.8　药物到达速度与学习条件</w:t>
      </w:r>
    </w:p>
    <w:p>
      <w:pPr>
        <w:pStyle w:val="FirstParagraph"/>
      </w:pPr>
      <w:r>
        <w:t xml:space="preserve">物质对行为的影响取决于吸收、分布、代谢和排泄，也取决于其到达相关组织的速度。总暴露相近的两种给药方式，可以具有不同峰值和变化速度。快速、明确地紧随行动出现的结果，通常更容易与该行动形成时间关联；这提供了理解给药方式与强化条件关系的一条机制思路。</w:t>
      </w:r>
    </w:p>
    <w:p>
      <w:pPr>
        <w:pStyle w:val="BodyText"/>
      </w:pPr>
      <w:r>
        <w:t xml:space="preserve">这种推理需要具体药物研究验证。一个体外受体亲和力不能告诉我们药物何时到达脑内，也不能告诉我们代谢物是否活跃。缓释、口服、吸入和其他途径的差异，涉及多个过程，不能只根据名称推断风险大小。本书解释这些原理，不提供尝试不同给药途径或提高作用速度的方法。</w:t>
      </w:r>
    </w:p>
    <w:bookmarkEnd w:id="2146"/>
    <w:bookmarkStart w:id="2147" w:name="sec-134-9"/>
    <w:p>
      <w:pPr>
        <w:pStyle w:val="Heading3"/>
      </w:pPr>
      <w:r>
        <w:t xml:space="preserve">134.9　负强化与惩罚的方向</w:t>
      </w:r>
    </w:p>
    <w:p>
      <w:pPr>
        <w:pStyle w:val="FirstParagraph"/>
      </w:pPr>
      <w:r>
        <w:t xml:space="preserve">强化指一个结果使先前行为在相应条件下更可能出现。正强化涉及获得结果，负强化涉及移除或减少令人不适的状态。惩罚则使相关行为减少。日常语言中的好坏评价与这些学习术语不同，使用时应直接说明行为和结果的关系。</w:t>
      </w:r>
    </w:p>
    <w:p>
      <w:pPr>
        <w:pStyle w:val="BodyText"/>
      </w:pPr>
      <w:r>
        <w:t xml:space="preserve">如果使用物质暂时减轻戒断、紧张或其他不适，这种缓解可能在学习层面强化使用。即使最初的愉悦减少，行为仍可能维持；如果主要驱动来自避免不适，仅减少获得物质的快乐未必足以消除持续使用。成瘾相关回路模型强调，持续使用既可能受到线索激励和习惯影响，也可能受到负性情绪、压力和奖励功能变化的推动，不同个体和阶段的主导因素可以不同；模型用于组织这些机制，不能代替对具体人的评估。这里可以同时存在短期缓解和长期伤害，两者发生在不同时间尺度。治疗研究因此需要评估短期状态、持续功能和长期风险，不能只测即时喜欢程度</w:t>
      </w:r>
      <w:r>
        <w:rPr>
          <w:vertAlign w:val="superscript"/>
        </w:rPr>
        <w:t xml:space="preserve">[</w:t>
      </w:r>
      <w:hyperlink w:anchor="ref-83">
        <w:r>
          <w:rPr>
            <w:rStyle w:val="Hyperlink"/>
            <w:vertAlign w:val="superscript"/>
          </w:rPr>
          <w:t xml:space="preserve">83</w:t>
        </w:r>
      </w:hyperlink>
      <w:r>
        <w:rPr>
          <w:vertAlign w:val="superscript"/>
        </w:rPr>
        <w:t xml:space="preserve">]</w:t>
      </w:r>
      <w:r>
        <w:t xml:space="preserve">。</w:t>
      </w:r>
    </w:p>
    <w:p>
      <w:pPr>
        <w:pStyle w:val="BodyText"/>
      </w:pPr>
      <w:r>
        <w:t xml:space="preserve">一项教学假设可以说明时间问题。某行为立即减少不适，却在数小时后妨碍睡眠；睡眠受损又在次日增加不适。若只观察行为发生后几分钟，容易高估其净获益。将整个循环按时间记录，可以揭示长期反馈怎样维持行为，也能帮助寻找减少不适的其他途径。</w:t>
      </w:r>
    </w:p>
    <w:bookmarkEnd w:id="2147"/>
    <w:bookmarkStart w:id="2148" w:name="sec-134-10"/>
    <w:p>
      <w:pPr>
        <w:pStyle w:val="Heading3"/>
      </w:pPr>
      <w:r>
        <w:t xml:space="preserve">134.10　习惯判断需要区分目标与行为阶段</w:t>
      </w:r>
    </w:p>
    <w:p>
      <w:pPr>
        <w:pStyle w:val="FirstParagraph"/>
      </w:pPr>
      <w:r>
        <w:t xml:space="preserve">如</w:t>
      </w:r>
      <w:r>
        <w:t xml:space="preserve"> </w:t>
      </w:r>
      <w:hyperlink w:anchor="sec-134-4">
        <w:r>
          <w:rPr>
            <w:rStyle w:val="Hyperlink"/>
          </w:rPr>
          <w:t xml:space="preserve">134.4 节</w:t>
        </w:r>
      </w:hyperlink>
      <w:r>
        <w:t xml:space="preserve">所述，成瘾中的持续使用不能仅凭表面重复性认定为习惯。一个人可能仍明确追求缓解戒断、社会接纳或其他结果，即使这些选择带来重大长期伤害。相反，看起来有计划的行为也可能包含自动化子程序。目标、习惯和情境控制可能在同一行动序列的不同阶段共同发挥作用。</w:t>
      </w:r>
    </w:p>
    <w:p>
      <w:pPr>
        <w:pStyle w:val="BodyText"/>
      </w:pPr>
      <w:r>
        <w:t xml:space="preserve">实验还应区分寻求行为与消费行为。寻找线索、决定购买、获得物质和实际使用，对成本与结果变化的敏感性可能不同。一个操作影响寻求阶段，并不必影响使用后的主观体验。把全过程压成总次数，会降低对机制和治疗靶点的解释精度。</w:t>
      </w:r>
    </w:p>
    <w:bookmarkEnd w:id="2148"/>
    <w:bookmarkStart w:id="2149" w:name="sec-134-11"/>
    <w:p>
      <w:pPr>
        <w:pStyle w:val="Heading3"/>
      </w:pPr>
      <w:r>
        <w:t xml:space="preserve">134.11　个体易感性包含环境中的可替代机会</w:t>
      </w:r>
    </w:p>
    <w:p>
      <w:pPr>
        <w:pStyle w:val="FirstParagraph"/>
      </w:pPr>
      <w:r>
        <w:t xml:space="preserve">相同暴露并不使所有人走向同样病程。遗传与发育、压力、共同疾病、物质可获得性、社会支持和替代奖励都会影响风险。群体遗传关联可以提示生物学路径，但常见变异的效应通常需要在大量因素中解释，不能用单个基因判断个人将来是否成瘾</w:t>
      </w:r>
      <w:r>
        <w:rPr>
          <w:vertAlign w:val="superscript"/>
        </w:rPr>
        <w:t xml:space="preserve">[</w:t>
      </w:r>
      <w:hyperlink w:anchor="ref-728">
        <w:r>
          <w:rPr>
            <w:rStyle w:val="Hyperlink"/>
            <w:vertAlign w:val="superscript"/>
          </w:rPr>
          <w:t xml:space="preserve">728</w:t>
        </w:r>
      </w:hyperlink>
      <w:r>
        <w:rPr>
          <w:vertAlign w:val="superscript"/>
        </w:rPr>
        <w:t xml:space="preserve">,</w:t>
      </w:r>
      <w:hyperlink w:anchor="ref-1407">
        <w:r>
          <w:rPr>
            <w:rStyle w:val="Hyperlink"/>
            <w:vertAlign w:val="superscript"/>
          </w:rPr>
          <w:t xml:space="preserve">1407</w:t>
        </w:r>
      </w:hyperlink>
      <w:r>
        <w:rPr>
          <w:vertAlign w:val="superscript"/>
        </w:rPr>
        <w:t xml:space="preserve">]</w:t>
      </w:r>
      <w:r>
        <w:t xml:space="preserve">。</w:t>
      </w:r>
    </w:p>
    <w:p>
      <w:pPr>
        <w:pStyle w:val="BodyText"/>
      </w:pPr>
      <w:r>
        <w:t xml:space="preserve">环境中的替代机会会改变选择结构。稳定住房、可获得治疗、可持续工作和安全关系能够影响行为成本与可行选择。把这些条件视为脑机制之外的背景，会失去它们通过学习、压力和资源分配影响行为的路径。社会与生物层解释可以在一个多层模型中相互连接。</w:t>
      </w:r>
    </w:p>
    <w:p>
      <w:pPr>
        <w:pStyle w:val="BodyText"/>
      </w:pPr>
      <w:r>
        <w:t xml:space="preserve">同样，社会条件改善并不保证所有生理适应立即恢复。行为机会、身体状态和回路变化可能具有不同时间进程。有效研究需要纵向跟踪，并区分哪些变化先发生、哪些变化预测后续改善。单次扫描观察到的差异，可能是风险因素、长期接触结果或恢复过程中的暂时状态。</w:t>
      </w:r>
    </w:p>
    <w:bookmarkEnd w:id="2149"/>
    <w:bookmarkStart w:id="2150" w:name="sec-134-12"/>
    <w:p>
      <w:pPr>
        <w:pStyle w:val="Heading3"/>
      </w:pPr>
      <w:r>
        <w:t xml:space="preserve">134.12　动物任务的优势与边界</w:t>
      </w:r>
    </w:p>
    <w:p>
      <w:pPr>
        <w:pStyle w:val="FirstParagraph"/>
      </w:pPr>
      <w:r>
        <w:t xml:space="preserve">动物自我给药任务可以精确控制物质、行动要求和结果时间，适合检验某条回路对强化或持续寻求的影响。递增工作要求、惩罚、延迟和替代奖励，可以分别探查不同决策条件。动物研究的优势来自操作清楚，其外推边界也需要保持同样清楚。</w:t>
      </w:r>
    </w:p>
    <w:p>
      <w:pPr>
        <w:pStyle w:val="BodyText"/>
      </w:pPr>
      <w:r>
        <w:t xml:space="preserve">高频按杆不能自动等同于人类完整成瘾综合征。人类生活包含法律、家庭、经济、语言和长期规划，动物实验只模拟其中部分过程。研究者应按所测成分命名结局，例如惩罚条件下持续寻求或线索诱发恢复，减少把单一行为指标直接诊断化的倾向。</w:t>
      </w:r>
    </w:p>
    <w:p>
      <w:pPr>
        <w:pStyle w:val="BodyText"/>
      </w:pPr>
      <w:r>
        <w:t xml:space="preserve">动物实验中停止给药后再呈现线索所观察到的行为恢复，与临床复发具有可比较的学习特征，但两者并不完全同构。药物可得性、主动选择、治疗接触和社会环境都可能不同。跨物种转化需要确认共同计算与机制，同时直接检验人体可用的干预效果。</w:t>
      </w:r>
    </w:p>
    <w:bookmarkEnd w:id="2150"/>
    <w:bookmarkStart w:id="2151" w:name="sec-134-13"/>
    <w:p>
      <w:pPr>
        <w:pStyle w:val="Heading3"/>
      </w:pPr>
      <w:r>
        <w:t xml:space="preserve">134.13　恢复结局应包含患者重视的生活功能</w:t>
      </w:r>
    </w:p>
    <w:p>
      <w:pPr>
        <w:pStyle w:val="FirstParagraph"/>
      </w:pPr>
      <w:r>
        <w:t xml:space="preserve">研究可以记录停止或减少使用、过量事件、感染、睡眠、工作、关系、生活质量和死亡等多类结局。不同结局可能变化不同步。某项治疗即使没有立即实现完全停止，也可能减少严重伤害并提高参与后续治疗的机会。评价时应预先规定主要目标，并透明报告其他重要结果</w:t>
      </w:r>
      <w:r>
        <w:rPr>
          <w:vertAlign w:val="superscript"/>
        </w:rPr>
        <w:t xml:space="preserve">[</w:t>
      </w:r>
      <w:hyperlink w:anchor="ref-1407">
        <w:r>
          <w:rPr>
            <w:rStyle w:val="Hyperlink"/>
            <w:vertAlign w:val="superscript"/>
          </w:rPr>
          <w:t xml:space="preserve">1407</w:t>
        </w:r>
      </w:hyperlink>
      <w:r>
        <w:rPr>
          <w:vertAlign w:val="superscript"/>
        </w:rPr>
        <w:t xml:space="preserve">]</w:t>
      </w:r>
      <w:r>
        <w:t xml:space="preserve">。</w:t>
      </w:r>
    </w:p>
    <w:p>
      <w:pPr>
        <w:pStyle w:val="BodyText"/>
      </w:pPr>
      <w:r>
        <w:t xml:space="preserve">复用事件也有多种形式。一次短暂使用、持续恢复到原有模式和快速升级，代表不同轨迹。把所有事件都当作同一种失败，会丢失调整治疗所需的信息。研究可采用时间到事件、使用天数、严重程度和功能变化等指标，构建更完整的恢复图景。</w:t>
      </w:r>
    </w:p>
    <w:p>
      <w:pPr>
        <w:pStyle w:val="BodyText"/>
      </w:pPr>
      <w:r>
        <w:t xml:space="preserve">临床支持需要兼顾医疗、行为和社会层面。药物治疗、心理与行为干预、同伴支持和生活条件改善具有不同作用路径，适用性依物质和个人情况而定。不能根据某种脑图像外观决定一个人有无恢复可能。已有证据支持物质使用障碍具有可治疗性；具体方案的选择应依据直接临床证据和持续评估</w:t>
      </w:r>
      <w:r>
        <w:rPr>
          <w:vertAlign w:val="superscript"/>
        </w:rPr>
        <w:t xml:space="preserve">[</w:t>
      </w:r>
      <w:hyperlink w:anchor="ref-1407">
        <w:r>
          <w:rPr>
            <w:rStyle w:val="Hyperlink"/>
            <w:vertAlign w:val="superscript"/>
          </w:rPr>
          <w:t xml:space="preserve">1407</w:t>
        </w:r>
      </w:hyperlink>
      <w:r>
        <w:rPr>
          <w:vertAlign w:val="superscript"/>
        </w:rPr>
        <w:t xml:space="preserve">]</w:t>
      </w:r>
      <w:r>
        <w:t xml:space="preserve">。</w:t>
      </w:r>
    </w:p>
    <w:bookmarkEnd w:id="2151"/>
    <w:bookmarkStart w:id="2152" w:name="sec-134-14"/>
    <w:p>
      <w:pPr>
        <w:pStyle w:val="Heading3"/>
      </w:pPr>
      <w:r>
        <w:t xml:space="preserve">134.14　去污名化与保留行动能力</w:t>
      </w:r>
    </w:p>
    <w:p>
      <w:pPr>
        <w:pStyle w:val="FirstParagraph"/>
      </w:pPr>
      <w:r>
        <w:t xml:space="preserve">神经机制能够解释强烈渴求、状态依赖和长期学习如何增加改变难度。这样的解释有助于减少道德化责备，同时应保留个体能够在支持下学习、选择和恢复的空间。把某种脑变化称为永久损坏，若缺少纵向证据，会削弱科学准确性并可能影响求助意愿。</w:t>
      </w:r>
    </w:p>
    <w:p>
      <w:pPr>
        <w:pStyle w:val="BodyText"/>
      </w:pPr>
      <w:r>
        <w:t xml:space="preserve">责任与支持的讨论还需要区分因果解释和规范判断。知道某行为受到多种因素影响，并不能由实验数据直接推导全部社会规则；同样，设定规则也不能替代对治疗可获得性和实际能力的了解。公共传播应避免用神经术语作简单的人格评价，关注可改变的机制、风险和支持条件。</w:t>
      </w:r>
    </w:p>
    <w:bookmarkEnd w:id="2152"/>
    <w:bookmarkStart w:id="2153" w:name="sec-134-15"/>
    <w:p>
      <w:pPr>
        <w:pStyle w:val="Heading3"/>
      </w:pPr>
      <w:r>
        <w:t xml:space="preserve">134.15　持续暴露会改变受体之后的系统状态</w:t>
      </w:r>
    </w:p>
    <w:p>
      <w:pPr>
        <w:pStyle w:val="FirstParagraph"/>
      </w:pPr>
      <w:r>
        <w:t xml:space="preserve">反复药物暴露可能改变受体数量、耦联效率、离子通道、基因表达和突触关系。部分改变在药物存在时抵消其效应，药物减少后则可能暂时暴露出与原作用方向不同的系统状态。这提供了理解耐受和戒断的一个基础框架；不同物质、组织和时间阶段具有不同机制，不能用一条统一分子曲线描述</w:t>
      </w:r>
      <w:r>
        <w:rPr>
          <w:vertAlign w:val="superscript"/>
        </w:rPr>
        <w:t xml:space="preserve">[</w:t>
      </w:r>
      <w:hyperlink w:anchor="ref-68">
        <w:r>
          <w:rPr>
            <w:rStyle w:val="Hyperlink"/>
            <w:vertAlign w:val="superscript"/>
          </w:rPr>
          <w:t xml:space="preserve">68</w:t>
        </w:r>
      </w:hyperlink>
      <w:r>
        <w:rPr>
          <w:vertAlign w:val="superscript"/>
        </w:rPr>
        <w:t xml:space="preserve">,</w:t>
      </w:r>
      <w:hyperlink w:anchor="ref-83">
        <w:r>
          <w:rPr>
            <w:rStyle w:val="Hyperlink"/>
            <w:vertAlign w:val="superscript"/>
          </w:rPr>
          <w:t xml:space="preserve">83</w:t>
        </w:r>
      </w:hyperlink>
      <w:r>
        <w:rPr>
          <w:vertAlign w:val="superscript"/>
        </w:rPr>
        <w:t xml:space="preserve">]</w:t>
      </w:r>
      <w:r>
        <w:t xml:space="preserve">。</w:t>
      </w:r>
    </w:p>
    <w:p>
      <w:pPr>
        <w:pStyle w:val="BodyText"/>
      </w:pPr>
      <w:r>
        <w:t xml:space="preserve">一个教学模型可以帮助区分外部驱动与内部适应。假设某信号持续降低细胞兴奋性，细胞逐渐增加其他兴奋性机制以维持输出。外部信号突然下降后，补偿尚未恢复，净输出就可能升高。该模型只是通用负反馈推演，具体药物需要分别验证补偿位置与时程。模型能够说明出现戒断为何不要求同时存在失控使用行为。</w:t>
      </w:r>
    </w:p>
    <w:bookmarkEnd w:id="2153"/>
    <w:bookmarkStart w:id="2154" w:name="sec-134-16"/>
    <w:p>
      <w:pPr>
        <w:pStyle w:val="Heading3"/>
      </w:pPr>
      <w:r>
        <w:t xml:space="preserve">134.16　线索反应与恢复过程可以不同步</w:t>
      </w:r>
    </w:p>
    <w:p>
      <w:pPr>
        <w:pStyle w:val="FirstParagraph"/>
      </w:pPr>
      <w:r>
        <w:t xml:space="preserve">停止使用后，睡眠、情绪、身体适应和对线索的反应可能以不同速度变化。某些线索仍能唤起行为倾向，并不说明所有治疗收益消失。恢复可以表现为更少使用、更好的生活功能、更强的应对能力或较低伤害，多个维度需要一起观察</w:t>
      </w:r>
      <w:r>
        <w:rPr>
          <w:vertAlign w:val="superscript"/>
        </w:rPr>
        <w:t xml:space="preserve">[</w:t>
      </w:r>
      <w:hyperlink w:anchor="ref-83">
        <w:r>
          <w:rPr>
            <w:rStyle w:val="Hyperlink"/>
            <w:vertAlign w:val="superscript"/>
          </w:rPr>
          <w:t xml:space="preserve">83</w:t>
        </w:r>
      </w:hyperlink>
      <w:r>
        <w:rPr>
          <w:vertAlign w:val="superscript"/>
        </w:rPr>
        <w:t xml:space="preserve">,</w:t>
      </w:r>
      <w:hyperlink w:anchor="ref-1407">
        <w:r>
          <w:rPr>
            <w:rStyle w:val="Hyperlink"/>
            <w:vertAlign w:val="superscript"/>
          </w:rPr>
          <w:t xml:space="preserve">1407</w:t>
        </w:r>
      </w:hyperlink>
      <w:r>
        <w:rPr>
          <w:vertAlign w:val="superscript"/>
        </w:rPr>
        <w:t xml:space="preserve">]</w:t>
      </w:r>
      <w:r>
        <w:t xml:space="preserve">。</w:t>
      </w:r>
    </w:p>
    <w:p>
      <w:pPr>
        <w:pStyle w:val="BodyText"/>
      </w:pPr>
      <w:r>
        <w:t xml:space="preserve">在回路层面，既有联系的存在与其是否主导行为具有不同含义。新的目标、行动选择和环境支持可以改变旧线索进入输出的机会。把恢复理解为删除所有过去神经变化，会设定不必要的绝对标准；更有用的问题是系统能否在现实情景中稳定地支持新的行为。</w:t>
      </w:r>
    </w:p>
    <w:bookmarkEnd w:id="2154"/>
    <w:bookmarkStart w:id="2155" w:name="sec-134-17"/>
    <w:p>
      <w:pPr>
        <w:pStyle w:val="Heading3"/>
      </w:pPr>
      <w:r>
        <w:t xml:space="preserve">134.17　学习机制需要与组织损伤分别评价</w:t>
      </w:r>
    </w:p>
    <w:p>
      <w:pPr>
        <w:pStyle w:val="FirstParagraph"/>
      </w:pPr>
      <w:r>
        <w:t xml:space="preserve">反复使用引起的学习和适应，不等同于所有情况下都发生同一种不可逆细胞损伤。某些暴露可以造成明确组织伤害，其他变化主要表现为功能与突触调节，两者也可能并存。恢复潜力依暴露、持续时间、身体情况和支持条件变化。准确区分有助于同时保留风险认识与改变可能，避免从一个机制词直接推出个人命运。</w:t>
      </w:r>
    </w:p>
    <w:bookmarkEnd w:id="2155"/>
    <w:bookmarkStart w:id="2156" w:name="sec-134-18"/>
    <w:p>
      <w:pPr>
        <w:pStyle w:val="Heading3"/>
      </w:pPr>
      <w:r>
        <w:t xml:space="preserve">134.18　本章结论</w:t>
      </w:r>
    </w:p>
    <w:p>
      <w:pPr>
        <w:pStyle w:val="FirstParagraph"/>
      </w:pPr>
      <w:r>
        <w:t xml:space="preserve">成瘾涉及多阶段、多通路和情境依赖的过程。多巴胺对其中某些环节重要，统一总量说无法解释诊断、渴求与享受分离及恢复。严谨判断保留生物机制和环境影响，也要求每种干预证明其具体临床价值</w:t>
      </w:r>
      <w:r>
        <w:rPr>
          <w:vertAlign w:val="superscript"/>
        </w:rPr>
        <w:t xml:space="preserve">[</w:t>
      </w:r>
      <w:hyperlink w:anchor="ref-727">
        <w:r>
          <w:rPr>
            <w:rStyle w:val="Hyperlink"/>
            <w:vertAlign w:val="superscript"/>
          </w:rPr>
          <w:t xml:space="preserve">727</w:t>
        </w:r>
      </w:hyperlink>
      <w:r>
        <w:rPr>
          <w:vertAlign w:val="superscript"/>
        </w:rPr>
        <w:t xml:space="preserve">,</w:t>
      </w:r>
      <w:hyperlink w:anchor="ref-728">
        <w:r>
          <w:rPr>
            <w:rStyle w:val="Hyperlink"/>
            <w:vertAlign w:val="superscript"/>
          </w:rPr>
          <w:t xml:space="preserve">728</w:t>
        </w:r>
      </w:hyperlink>
      <w:r>
        <w:rPr>
          <w:vertAlign w:val="superscript"/>
        </w:rPr>
        <w:t xml:space="preserve">,</w:t>
      </w:r>
      <w:hyperlink w:anchor="ref-847">
        <w:r>
          <w:rPr>
            <w:rStyle w:val="Hyperlink"/>
            <w:vertAlign w:val="superscript"/>
          </w:rPr>
          <w:t xml:space="preserve">847</w:t>
        </w:r>
      </w:hyperlink>
      <w:r>
        <w:rPr>
          <w:vertAlign w:val="superscript"/>
        </w:rPr>
        <w:t xml:space="preserve">]</w:t>
      </w:r>
      <w:r>
        <w:t xml:space="preserve">。</w:t>
      </w:r>
    </w:p>
    <w:bookmarkEnd w:id="2156"/>
    <w:bookmarkEnd w:id="2157"/>
    <w:bookmarkEnd w:id="2158"/>
    <w:bookmarkStart w:id="2444" w:name="part-13"/>
    <w:p>
      <w:pPr>
        <w:pStyle w:val="Heading1"/>
      </w:pPr>
      <w:r>
        <w:t xml:space="preserve">第十三编　神经系统疾病、疼痛与康复</w:t>
      </w:r>
    </w:p>
    <w:p>
      <w:pPr>
        <w:pStyle w:val="PartIntro"/>
      </w:pPr>
      <w:r>
        <w:t xml:space="preserve">这一编讲常见神经系统疾病与症状怎样从机制走到诊断和治疗：疼痛与功能性神经症状，睡眠障碍与昼夜节律，认知老化、痴呆风险与营养补充，阿尔茨海默病的标志物与新药，神经免疫疾病、癫痫、脑卒中、帕金森综合征、脑外伤与神经肿瘤，以及康复怎样利用残存网络恢复生活功能。</w:t>
      </w:r>
    </w:p>
    <w:bookmarkStart w:id="2183" w:name="ch-135"/>
    <w:p>
      <w:pPr>
        <w:pStyle w:val="Heading2"/>
      </w:pPr>
      <w:r>
        <w:t xml:space="preserve">第135章　疼痛、伤害感受与检查结果</w:t>
      </w:r>
    </w:p>
    <w:p>
      <w:pPr>
        <w:pStyle w:val="CalloutJudgment"/>
      </w:pPr>
      <w:r>
        <w:rPr>
          <w:bCs/>
          <w:b/>
        </w:rPr>
        <w:t xml:space="preserve">核心判断　疼痛是真实的个人体验，组织损伤与疼痛强度之间没有固定的一一关系；常规检查未发现异常，不能推出疼痛虚假，置信度高。</w:t>
      </w:r>
      <w:r>
        <w:t xml:space="preserve">疼痛涉及身体输入、神经加工、情绪、注意和情境，具体病因仍需要临床评估。承认这些过程也无法保证任何心理或身体干预都有效。</w:t>
      </w:r>
    </w:p>
    <w:bookmarkStart w:id="2159" w:name="sec-135-1"/>
    <w:p>
      <w:pPr>
        <w:pStyle w:val="Heading3"/>
      </w:pPr>
      <w:r>
        <w:t xml:space="preserve">135.1　疼痛与伤害感受</w:t>
      </w:r>
    </w:p>
    <w:p>
      <w:pPr>
        <w:pStyle w:val="FirstParagraph"/>
      </w:pPr>
      <w:r>
        <w:t xml:space="preserve">伤害感受指神经系统对潜在或实际有害刺激的编码过程，疼痛则包含不愉快的感觉与情绪体验。IASP修订定义明确区分这两者，并强调尊重个体报告，无法言语表达也不排除疼痛</w:t>
      </w:r>
      <w:r>
        <w:rPr>
          <w:vertAlign w:val="superscript"/>
        </w:rPr>
        <w:t xml:space="preserve">[</w:t>
      </w:r>
      <w:hyperlink w:anchor="ref-1408">
        <w:r>
          <w:rPr>
            <w:rStyle w:val="Hyperlink"/>
            <w:vertAlign w:val="superscript"/>
          </w:rPr>
          <w:t xml:space="preserve">1408</w:t>
        </w:r>
      </w:hyperlink>
      <w:r>
        <w:rPr>
          <w:vertAlign w:val="superscript"/>
        </w:rPr>
        <w:t xml:space="preserve">]</w:t>
      </w:r>
      <w:r>
        <w:t xml:space="preserve">。反射、自主神经反应和主观体验之间存在联系，不能彼此直接替代。</w:t>
      </w:r>
    </w:p>
    <w:p>
      <w:pPr>
        <w:pStyle w:val="BodyText"/>
      </w:pPr>
      <w:r>
        <w:t xml:space="preserve">伤害性输入可以在某些状态下没有形成明确疼痛体验；疼痛也可以在缺少明显新组织损伤时持续。这个区别解释了为什么单纯把疼痛强度当作组织损伤程度的读数会出错。临床评估需要寻找原因、判断风险，并理解维持症状的过程。</w:t>
      </w:r>
    </w:p>
    <w:bookmarkEnd w:id="2159"/>
    <w:bookmarkStart w:id="2160" w:name="sec-135-2"/>
    <w:p>
      <w:pPr>
        <w:pStyle w:val="Heading3"/>
      </w:pPr>
      <w:r>
        <w:t xml:space="preserve">135.2　多条疼痛机制</w:t>
      </w:r>
    </w:p>
    <w:p>
      <w:pPr>
        <w:pStyle w:val="FirstParagraph"/>
      </w:pPr>
      <w:r>
        <w:t xml:space="preserve">组织炎症或损伤可以激活和敏化外周伤害感受系统。神经本身的疾病或损伤可以产生神经病理性疼痛。某些持续疼痛涉及伤害感受加工改变，无法仅由明确组织或神经损伤充分解释。不同机制可以并存，分类的目的在于帮助评价与治疗，不应被当成绝对互斥的类别。</w:t>
      </w:r>
    </w:p>
    <w:p>
      <w:pPr>
        <w:pStyle w:val="BodyText"/>
      </w:pPr>
      <w:r>
        <w:t xml:space="preserve">同一诊断也可能包含不同机制。一个背痛患者可以同时有局部组织问题、活动回避、睡眠障碍和敏化。治疗若只针对其中一环，可能效果有限。多因素解释需要明确各环节的证据，不能把所有未解释疼痛简单命名为某个中枢标签。</w:t>
      </w:r>
    </w:p>
    <w:bookmarkEnd w:id="2160"/>
    <w:bookmarkStart w:id="2165" w:name="sec-135-3"/>
    <w:p>
      <w:pPr>
        <w:pStyle w:val="Heading3"/>
      </w:pPr>
      <w:r>
        <w:t xml:space="preserve">135.3　神经系统如何调节疼痛</w:t>
      </w:r>
    </w:p>
    <w:p>
      <w:pPr>
        <w:pStyle w:val="FirstParagraph"/>
      </w:pPr>
      <w:r>
        <w:t xml:space="preserve">外周信号进入脊髓和脑后，会受到多种局部与下行调节影响。注意、期待、情绪、既往学习和当前目标可以改变体验与行为。调节作用具有生物基础，无法据此把疼痛归为故意想象。个体通常不能仅靠决定就关闭疼痛。</w:t>
      </w:r>
    </w:p>
    <w:p>
      <w:pPr>
        <w:pStyle w:val="BodyText"/>
      </w:pPr>
      <w:r>
        <w:t xml:space="preserve">调节也不意味着全部原因都在头脑中的一个部位。外周组织、脊髓、脑、免疫与自主神经状态可能共同参与。用“大脑制造疼痛”作简短口号时，容易让人误以为身体不重要或患者负有责任。更精确的说法应指出分布式加工与具体机制。</w:t>
      </w:r>
    </w:p>
    <w:p>
      <w:pPr>
        <w:pStyle w:val="Figure"/>
      </w:pPr>
      <w:r>
        <w:drawing>
          <wp:inline>
            <wp:extent cx="5334000" cy="4070195"/>
            <wp:effectExtent b="0" l="0" r="0" t="0"/>
            <wp:docPr descr="C图3 疼痛加工中的传入 调节与行动反馈" title="" id="2162" name="Picture"/>
            <a:graphic>
              <a:graphicData uri="http://schemas.openxmlformats.org/drawingml/2006/picture">
                <pic:pic>
                  <pic:nvPicPr>
                    <pic:cNvPr descr="/tmp/claude-0/-home-user-i18ns/3184e246-229e-5a65-b6f3-3f7647a222c4/scratchpad/src/B_media/media/image6.png" id="2163" name="Picture"/>
                    <pic:cNvPicPr>
                      <a:picLocks noChangeArrowheads="1" noChangeAspect="1"/>
                    </pic:cNvPicPr>
                  </pic:nvPicPr>
                  <pic:blipFill>
                    <a:blip r:embed="rId2161"/>
                    <a:stretch>
                      <a:fillRect/>
                    </a:stretch>
                  </pic:blipFill>
                  <pic:spPr bwMode="auto">
                    <a:xfrm>
                      <a:off x="0" y="0"/>
                      <a:ext cx="5334000" cy="4070195"/>
                    </a:xfrm>
                    <a:prstGeom prst="rect">
                      <a:avLst/>
                    </a:prstGeom>
                    <a:noFill/>
                    <a:ln w="9525">
                      <a:noFill/>
                      <a:headEnd/>
                      <a:tailEnd/>
                    </a:ln>
                  </pic:spPr>
                </pic:pic>
              </a:graphicData>
            </a:graphic>
          </wp:inline>
        </w:drawing>
      </w:r>
    </w:p>
    <w:p>
      <w:pPr>
        <w:pStyle w:val="ImageCaption"/>
      </w:pPr>
      <w:bookmarkStart w:id="2164" w:name="fig-c3"/>
      <w:bookmarkEnd w:id="2164"/>
      <w:r>
        <w:rPr>
          <w:bCs/>
          <w:b/>
        </w:rPr>
        <w:t xml:space="preserve">图 15　</w:t>
      </w:r>
      <w:r>
        <w:t xml:space="preserve">疼痛相关过程的部分路径。蓝色箭头表示从外周经脊髓及脑干到分布式脑网络的感觉传入，版面上由上向下排列；棕色箭头表示情境相关影响及解剖意义上的下行调节，其中脑到脊髓脑干的箭头在版面上指向上方。绿色虚线表示行动可以改变后续感觉输入。该图为概念模型，未穷尽反射、自主神经或内部网络活动，也不表示持续疼痛必须依赖持续外周组织损伤。睡眠、期待和情绪等因素参与调节，不能据此判断症状虚假；图中没有设置单一疼痛中心，任何一个路径也不能单独确诊个人病因</w:t>
      </w:r>
      <w:r>
        <w:rPr>
          <w:vertAlign w:val="superscript"/>
        </w:rPr>
        <w:t xml:space="preserve">[</w:t>
      </w:r>
      <w:hyperlink w:anchor="ref-1408">
        <w:r>
          <w:rPr>
            <w:rStyle w:val="Hyperlink"/>
            <w:vertAlign w:val="superscript"/>
          </w:rPr>
          <w:t xml:space="preserve">1408</w:t>
        </w:r>
      </w:hyperlink>
      <w:r>
        <w:rPr>
          <w:vertAlign w:val="superscript"/>
        </w:rPr>
        <w:t xml:space="preserve">,</w:t>
      </w:r>
      <w:hyperlink w:anchor="ref-1409">
        <w:r>
          <w:rPr>
            <w:rStyle w:val="Hyperlink"/>
            <w:vertAlign w:val="superscript"/>
          </w:rPr>
          <w:t xml:space="preserve">1409</w:t>
        </w:r>
      </w:hyperlink>
      <w:r>
        <w:rPr>
          <w:vertAlign w:val="superscript"/>
        </w:rPr>
        <w:t xml:space="preserve">,</w:t>
      </w:r>
      <w:hyperlink w:anchor="ref-1410">
        <w:r>
          <w:rPr>
            <w:rStyle w:val="Hyperlink"/>
            <w:vertAlign w:val="superscript"/>
          </w:rPr>
          <w:t xml:space="preserve">1410</w:t>
        </w:r>
      </w:hyperlink>
      <w:r>
        <w:rPr>
          <w:vertAlign w:val="superscript"/>
        </w:rPr>
        <w:t xml:space="preserve">,</w:t>
      </w:r>
      <w:hyperlink w:anchor="ref-1411">
        <w:r>
          <w:rPr>
            <w:rStyle w:val="Hyperlink"/>
            <w:vertAlign w:val="superscript"/>
          </w:rPr>
          <w:t xml:space="preserve">1411</w:t>
        </w:r>
      </w:hyperlink>
      <w:r>
        <w:rPr>
          <w:vertAlign w:val="superscript"/>
        </w:rPr>
        <w:t xml:space="preserve">,</w:t>
      </w:r>
      <w:hyperlink w:anchor="ref-1412">
        <w:r>
          <w:rPr>
            <w:rStyle w:val="Hyperlink"/>
            <w:vertAlign w:val="superscript"/>
          </w:rPr>
          <w:t xml:space="preserve">1412</w:t>
        </w:r>
      </w:hyperlink>
      <w:r>
        <w:rPr>
          <w:vertAlign w:val="superscript"/>
        </w:rPr>
        <w:t xml:space="preserve">]</w:t>
      </w:r>
      <w:r>
        <w:t xml:space="preserve">。</w:t>
      </w:r>
    </w:p>
    <w:bookmarkEnd w:id="2165"/>
    <w:bookmarkStart w:id="2166" w:name="sec-135-4"/>
    <w:p>
      <w:pPr>
        <w:pStyle w:val="Heading3"/>
      </w:pPr>
      <w:r>
        <w:t xml:space="preserve">135.4　为什么检查可能正常</w:t>
      </w:r>
    </w:p>
    <w:p>
      <w:pPr>
        <w:pStyle w:val="FirstParagraph"/>
      </w:pPr>
      <w:r>
        <w:t xml:space="preserve">检查只对某些结构或过程敏感。常规影像可以发现某些病变，却不能显示每个分子、末梢纤维或动态调节异常。阴性结果应根据检验的敏感性、适用人群和临床先验解释。一个检查没有找到它能寻找的异常，无法排除全部疼痛原因。</w:t>
      </w:r>
    </w:p>
    <w:bookmarkEnd w:id="2166"/>
    <w:bookmarkStart w:id="2167" w:name="sec-135-5"/>
    <w:p>
      <w:pPr>
        <w:pStyle w:val="Heading3"/>
      </w:pPr>
      <w:r>
        <w:t xml:space="preserve">135.5　疼痛强度与功能</w:t>
      </w:r>
    </w:p>
    <w:p>
      <w:pPr>
        <w:pStyle w:val="FirstParagraph"/>
      </w:pPr>
      <w:r>
        <w:t xml:space="preserve">疼痛强度、干扰程度和生活功能是不同结局，变化也可能不同步。有人疼痛评分较高却能完成重要活动，有人中等疼痛因睡眠和恐惧影响而严重受限。一个人疼痛仍有波动，却能够更好睡眠或完成重要活动，可能获得有意义收益；另一个人疼痛分数稍降，却因副作用更加困倦，净收益未必理想。评价治疗应关注多个维度，包括患者重视的活动、睡眠、情绪、社会参与、治疗负担和不良反应。</w:t>
      </w:r>
    </w:p>
    <w:p>
      <w:pPr>
        <w:pStyle w:val="BodyText"/>
      </w:pPr>
      <w:r>
        <w:t xml:space="preserve">功能改善不要求患者承认疼痛不真实。康复中的目标可以是逐步增加可行活动、降低过度回避并改善生活质量，具体节奏需要考虑病因与安全。痛感变化仍应认真对待，尤其是新发、快速变化或伴随其他临床信号的情况。</w:t>
      </w:r>
    </w:p>
    <w:bookmarkEnd w:id="2167"/>
    <w:bookmarkStart w:id="2168" w:name="sec-135-6"/>
    <w:p>
      <w:pPr>
        <w:pStyle w:val="Heading3"/>
      </w:pPr>
      <w:r>
        <w:t xml:space="preserve">135.6　安慰剂与期待的科学含义</w:t>
      </w:r>
    </w:p>
    <w:p>
      <w:pPr>
        <w:pStyle w:val="FirstParagraph"/>
      </w:pPr>
      <w:r>
        <w:t xml:space="preserve">Wager等2004年的实验把安慰剂期待与疼痛体验及fMRI信号相连，支持期待能够影响相关加工</w:t>
      </w:r>
      <w:r>
        <w:rPr>
          <w:vertAlign w:val="superscript"/>
        </w:rPr>
        <w:t xml:space="preserve">[</w:t>
      </w:r>
      <w:hyperlink w:anchor="ref-1409">
        <w:r>
          <w:rPr>
            <w:rStyle w:val="Hyperlink"/>
            <w:vertAlign w:val="superscript"/>
          </w:rPr>
          <w:t xml:space="preserve">1409</w:t>
        </w:r>
      </w:hyperlink>
      <w:r>
        <w:rPr>
          <w:vertAlign w:val="superscript"/>
        </w:rPr>
        <w:t xml:space="preserve">]</w:t>
      </w:r>
      <w:r>
        <w:t xml:space="preserve">。这类结果无法证明患者装病，也无法保证无活性治疗能够替代有证据的临床方案。实验性刺激与长期疾病疼痛的推广需要额外证据。</w:t>
      </w:r>
    </w:p>
    <w:p>
      <w:pPr>
        <w:pStyle w:val="BodyText"/>
      </w:pPr>
      <w:r>
        <w:t xml:space="preserve">安慰剂组改善包含多种成分：期待、照护、自然变化、回归均值和测量因素。要估计期待本身的作用，需要进一步设计。把安慰剂组全部变化叫作纯心理作用，会高估某一机制。设置无治疗对照组的研究、开放标签安慰剂研究和条件学习研究，回答的问题也不完全相同。</w:t>
      </w:r>
    </w:p>
    <w:bookmarkEnd w:id="2168"/>
    <w:bookmarkStart w:id="2169" w:name="sec-135-7"/>
    <w:p>
      <w:pPr>
        <w:pStyle w:val="Heading3"/>
      </w:pPr>
      <w:r>
        <w:t xml:space="preserve">135.7　反安慰剂与沟通</w:t>
      </w:r>
    </w:p>
    <w:p>
      <w:pPr>
        <w:pStyle w:val="FirstParagraph"/>
      </w:pPr>
      <w:r>
        <w:t xml:space="preserve">风险信息可能影响期待和症状体验，临床沟通应准确且清楚。隐瞒重要风险不符合知情选择，夸大或确定化风险也可能增加不必要恐惧。可以同时说明风险频率、严重度、可逆性和处理方式，使信息更有用。</w:t>
      </w:r>
    </w:p>
    <w:p>
      <w:pPr>
        <w:pStyle w:val="BodyText"/>
      </w:pPr>
      <w:r>
        <w:t xml:space="preserve">研究不良反应时，同样要区分药理、期待、原病和其他原因。某症状在安慰剂组也常见，不意味着药物组同样症状必然无药理成分。组间差异和个人时间关系需要共同评价。机制解释不能用于忽视患者报告。</w:t>
      </w:r>
    </w:p>
    <w:bookmarkEnd w:id="2169"/>
    <w:bookmarkStart w:id="2170" w:name="sec-135-8"/>
    <w:p>
      <w:pPr>
        <w:pStyle w:val="Heading3"/>
      </w:pPr>
      <w:r>
        <w:t xml:space="preserve">135.8　慢性疼痛与敏化</w:t>
      </w:r>
    </w:p>
    <w:p>
      <w:pPr>
        <w:pStyle w:val="FirstParagraph"/>
      </w:pPr>
      <w:r>
        <w:t xml:space="preserve">敏化描述系统对输入反应增强的过程，可能发生在外周或中枢。它可以帮助解释触碰痛、痛觉增强或持续反应，但个体诊断仍需具体证据。用敏化概念解释所有疼痛，容易失去区分能力。研究应明确刺激、测量和预测。</w:t>
      </w:r>
    </w:p>
    <w:p>
      <w:pPr>
        <w:pStyle w:val="BodyText"/>
      </w:pPr>
      <w:r>
        <w:t xml:space="preserve">持续疼痛还可能影响睡眠、情绪和注意，这些变化又反过来增加痛苦与功能限制。多环节循环提示组合干预可能有价值，但组合方案仍需评价总收益和负担。机制上合理不等于临床已经有效。</w:t>
      </w:r>
    </w:p>
    <w:bookmarkEnd w:id="2170"/>
    <w:bookmarkStart w:id="2171" w:name="sec-135-9"/>
    <w:p>
      <w:pPr>
        <w:pStyle w:val="Heading3"/>
      </w:pPr>
      <w:r>
        <w:t xml:space="preserve">135.9　治疗研究应回答哪些问题</w:t>
      </w:r>
    </w:p>
    <w:p>
      <w:pPr>
        <w:pStyle w:val="FirstParagraph"/>
      </w:pPr>
      <w:r>
        <w:t xml:space="preserve">药物、运动、心理干预、手术和其他程序需要针对具体疼痛条件评估。应比较绝对收益、不良反应、长期保持和功能结局。只报告统计显著的平均下降，无法说明有多少人获得重要改善，也无法说明风险是否值得承担。</w:t>
      </w:r>
    </w:p>
    <w:p>
      <w:pPr>
        <w:pStyle w:val="BodyText"/>
      </w:pPr>
      <w:r>
        <w:t xml:space="preserve">侵入性治疗尤其需要合适比较与长期随访。程序本身带来的期待、照护和恢复安排可能影响结果。条件允许时，研究应控制这些因素，并报告再干预和严重不良事件。不能因为机制图看起来合理，就跳过临床验证。</w:t>
      </w:r>
    </w:p>
    <w:bookmarkEnd w:id="2171"/>
    <w:bookmarkStart w:id="2172" w:name="sec-135-10"/>
    <w:p>
      <w:pPr>
        <w:pStyle w:val="Heading3"/>
      </w:pPr>
      <w:r>
        <w:t xml:space="preserve">135.10　从刺激转导到神经信号</w:t>
      </w:r>
    </w:p>
    <w:p>
      <w:pPr>
        <w:pStyle w:val="FirstParagraph"/>
      </w:pPr>
      <w:r>
        <w:t xml:space="preserve">伤害感受系统能够把某些机械、温度和化学变化转化为神经活动。外周末梢的离子通道与受体参与这种转导，信号随后经传入纤维进入脊髓或脑干。不同纤维在传导速度、阈值和反应特性上不同，因此一次组织事件可以引起时间与性质不同的感觉。这个过程已经包含选择和调节，不能理解为摄像机式复制组织损伤。</w:t>
      </w:r>
    </w:p>
    <w:p>
      <w:pPr>
        <w:pStyle w:val="BodyText"/>
      </w:pPr>
      <w:r>
        <w:t xml:space="preserve">局部炎症介质可以改变末梢反应阈值，使原本较弱的刺激更容易引起活动。损伤附近变得敏感，有时具有保护作用，帮助减少进一步负荷。若相关过程持续或调节失衡，敏感性也可能成为长期负担。生理功能和病理后果需要结合时间、程度及情境理解。</w:t>
      </w:r>
    </w:p>
    <w:p>
      <w:pPr>
        <w:pStyle w:val="BodyText"/>
      </w:pPr>
      <w:r>
        <w:t xml:space="preserve">传入活动并不独自决定疼痛体验。脊髓局部回路、脑干调节、注意和预期等过程能够影响信号传递与解释。严重损伤时疼痛可以暂时较轻，较少可见组织损伤时疼痛也可以很强。这种不完全对应是系统调节的结果之一，不能据此轻视疼痛或忽略组织评估。</w:t>
      </w:r>
    </w:p>
    <w:bookmarkEnd w:id="2172"/>
    <w:bookmarkStart w:id="2173" w:name="sec-135-11"/>
    <w:p>
      <w:pPr>
        <w:pStyle w:val="Heading3"/>
      </w:pPr>
      <w:r>
        <w:t xml:space="preserve">135.11　神经病理性疼痛的证据要求</w:t>
      </w:r>
    </w:p>
    <w:p>
      <w:pPr>
        <w:pStyle w:val="FirstParagraph"/>
      </w:pPr>
      <w:r>
        <w:t xml:space="preserve">神经病理性疼痛与躯体感觉系统的病变或疾病有关。Finnerup 等人的分级框架结合相关病史、神经解剖上合理的分布、感觉体征及确认检查，区分不同确定程度。框架同时提醒，即使达到较高分级，也需要谨慎理解具体因果关系。一个“像电击”或“灼烧”的描述可以提供线索，却不足以独立确诊</w:t>
      </w:r>
      <w:r>
        <w:rPr>
          <w:vertAlign w:val="superscript"/>
        </w:rPr>
        <w:t xml:space="preserve">[</w:t>
      </w:r>
      <w:hyperlink w:anchor="ref-1412">
        <w:r>
          <w:rPr>
            <w:rStyle w:val="Hyperlink"/>
            <w:vertAlign w:val="superscript"/>
          </w:rPr>
          <w:t xml:space="preserve">1412</w:t>
        </w:r>
      </w:hyperlink>
      <w:r>
        <w:rPr>
          <w:vertAlign w:val="superscript"/>
        </w:rPr>
        <w:t xml:space="preserve">]</w:t>
      </w:r>
      <w:r>
        <w:t xml:space="preserve">。</w:t>
      </w:r>
    </w:p>
    <w:p>
      <w:pPr>
        <w:pStyle w:val="BodyText"/>
      </w:pPr>
      <w:r>
        <w:t xml:space="preserve">神经损伤后可能出现异常自发放电、刺激反应改变或感觉缺失与疼痛并存。缺少某类感觉并不排除另一类不适，神经系统的不同信号成分可以受到不同影响。临床检查因此需要比较感觉类型、分布和时间，不能只问痛不痛。</w:t>
      </w:r>
    </w:p>
    <w:p>
      <w:pPr>
        <w:pStyle w:val="BodyText"/>
      </w:pPr>
      <w:r>
        <w:t xml:space="preserve">病变位置还会影响模式。外周神经、神经根、脊髓和脑内通路的问题具有不同解剖线索，但实际患者可能同时具有多个来源。影像和电生理各自测量不同结构与功能，阴性检查应按其覆盖范围解释。没有被某项检查发现的机制，不能直接被判定不存在。</w:t>
      </w:r>
    </w:p>
    <w:bookmarkEnd w:id="2173"/>
    <w:bookmarkStart w:id="2174" w:name="sec-135-12"/>
    <w:p>
      <w:pPr>
        <w:pStyle w:val="Heading3"/>
      </w:pPr>
      <w:r>
        <w:t xml:space="preserve">135.12　痛觉过敏与触诱发痛</w:t>
      </w:r>
    </w:p>
    <w:p>
      <w:pPr>
        <w:pStyle w:val="FirstParagraph"/>
      </w:pPr>
      <w:r>
        <w:t xml:space="preserve">痛觉过敏指对本来能够引起疼痛的刺激反应增加；触诱发痛等现象则涉及通常不引起疼痛的刺激产生疼痛。两者描述的是可观察表现，不能自动指定唯一机制。外周敏化、中枢处理变化、神经损伤和其他因素都可能参与，需要结合临床背景判断。</w:t>
      </w:r>
    </w:p>
    <w:p>
      <w:pPr>
        <w:pStyle w:val="BodyText"/>
      </w:pPr>
      <w:r>
        <w:t xml:space="preserve">敏化与习惯化也可能同时存在于不同通路和时间。重复刺激有时使反应减弱，有时使反应增强，取决于刺激特性、间隔和系统状态。一次实验中的阈值不能完整代表日常疼痛。定量感觉测量可以提供信息，其解释需要考虑注意、理解、测试部位和重复性。</w:t>
      </w:r>
    </w:p>
    <w:p>
      <w:pPr>
        <w:pStyle w:val="BodyText"/>
      </w:pPr>
      <w:r>
        <w:t xml:space="preserve">患者的描述是疼痛评估的重要资料，体征和检查用于理解机制与风险。两者可以相互补充。若测量不一致，应先了解各自测量对象和误差，不能简单把主观报告排除，或把所有客观资料视为无关。</w:t>
      </w:r>
    </w:p>
    <w:bookmarkEnd w:id="2174"/>
    <w:bookmarkStart w:id="2175" w:name="sec-135-13"/>
    <w:p>
      <w:pPr>
        <w:pStyle w:val="Heading3"/>
      </w:pPr>
      <w:r>
        <w:t xml:space="preserve">135.13　伤害可塑性疼痛的边界</w:t>
      </w:r>
    </w:p>
    <w:p>
      <w:pPr>
        <w:pStyle w:val="FirstParagraph"/>
      </w:pPr>
      <w:r>
        <w:t xml:space="preserve">伤害可塑性疼痛概念用于描述伤害感受处理改变相关的疼痛情形。Kosek 等人的临床标准针对慢性肌肉骨骼疼痛，强调需要相应正向特征与分级判断。这个概念具有特定适用范围，不能仅凭常规 MRI 正常就宣布成立，也不能成为停止考虑其他机制的理由</w:t>
      </w:r>
      <w:r>
        <w:rPr>
          <w:vertAlign w:val="superscript"/>
        </w:rPr>
        <w:t xml:space="preserve">[</w:t>
      </w:r>
      <w:hyperlink w:anchor="ref-1411">
        <w:r>
          <w:rPr>
            <w:rStyle w:val="Hyperlink"/>
            <w:vertAlign w:val="superscript"/>
          </w:rPr>
          <w:t xml:space="preserve">1411</w:t>
        </w:r>
      </w:hyperlink>
      <w:r>
        <w:rPr>
          <w:vertAlign w:val="superscript"/>
        </w:rPr>
        <w:t xml:space="preserve">]</w:t>
      </w:r>
      <w:r>
        <w:t xml:space="preserve">。</w:t>
      </w:r>
    </w:p>
    <w:p>
      <w:pPr>
        <w:pStyle w:val="BodyText"/>
      </w:pPr>
      <w:r>
        <w:t xml:space="preserve">“中枢敏化”描述神经生理过程，“伤害可塑性疼痛”属于临床机制分类，两者不能完全互换。某些患者可能同时具有组织损伤、神经病变和处理改变。分类可以帮助组织思考，现实中的几种机制则可以同时存在（见</w:t>
      </w:r>
      <w:r>
        <w:t xml:space="preserve"> </w:t>
      </w:r>
      <w:hyperlink w:anchor="sec-135-2">
        <w:r>
          <w:rPr>
            <w:rStyle w:val="Hyperlink"/>
          </w:rPr>
          <w:t xml:space="preserve">135.2</w:t>
        </w:r>
      </w:hyperlink>
      <w:r>
        <w:t xml:space="preserve">）。</w:t>
      </w:r>
    </w:p>
    <w:p>
      <w:pPr>
        <w:pStyle w:val="BodyText"/>
      </w:pPr>
      <w:r>
        <w:t xml:space="preserve">机制分类还需要随新证据更新。开始时未发现明确组织或神经病变，可能因为检查范围有限或病程尚早；后来出现新体征时应重新评估。另一方面，持续寻找一个完美结构解释也可能带来无益检查。合理判断围绕当前证据、变化轨迹和需要解决的临床问题展开。</w:t>
      </w:r>
    </w:p>
    <w:bookmarkEnd w:id="2175"/>
    <w:bookmarkStart w:id="2176" w:name="sec-135-14"/>
    <w:p>
      <w:pPr>
        <w:pStyle w:val="Heading3"/>
      </w:pPr>
      <w:r>
        <w:t xml:space="preserve">135.14　下行调节可以抑制也可以促进</w:t>
      </w:r>
    </w:p>
    <w:p>
      <w:pPr>
        <w:pStyle w:val="FirstParagraph"/>
      </w:pPr>
      <w:r>
        <w:t xml:space="preserve">脑干和其他网络能够调节脊髓伤害感受传递，作用方向与状态和回路有关。下行系统不能简单称为天然止痛开关。注意、压力、期待和既往学习可能改变其活动，有些条件下疼痛减轻，有些条件下增强。</w:t>
      </w:r>
    </w:p>
    <w:p>
      <w:pPr>
        <w:pStyle w:val="BodyText"/>
      </w:pPr>
      <w:r>
        <w:t xml:space="preserve">这种双向性可以解释同一个人在不同情境中的疼痛波动。投入重要任务时感觉减轻，不证明组织已经恢复；夜间安静时更明显，也不证明损伤必然加重。症状波动需要同时考虑活动、睡眠、药物、炎症和注意等因素。</w:t>
      </w:r>
    </w:p>
    <w:bookmarkEnd w:id="2176"/>
    <w:bookmarkStart w:id="2177" w:name="sec-135-15"/>
    <w:p>
      <w:pPr>
        <w:pStyle w:val="Heading3"/>
      </w:pPr>
      <w:r>
        <w:t xml:space="preserve">135.15　安慰剂镇痛的生物机制证据</w:t>
      </w:r>
    </w:p>
    <w:p>
      <w:pPr>
        <w:pStyle w:val="FirstParagraph"/>
      </w:pPr>
      <w:r>
        <w:t xml:space="preserve">Levine 等人在1978年的牙科术后实验中，利用纳洛酮研究安慰剂镇痛，结果支持部分条件下内源阿片系统参与。这个发现说明期待和治疗情境可以连接到可测生物调节。其结论针对特定实验，不能概括为所有安慰剂效应都由同一种物质介导，也不能据此判断某位患者疼痛是否真实</w:t>
      </w:r>
      <w:r>
        <w:rPr>
          <w:vertAlign w:val="superscript"/>
        </w:rPr>
        <w:t xml:space="preserve">[</w:t>
      </w:r>
      <w:hyperlink w:anchor="ref-1410">
        <w:r>
          <w:rPr>
            <w:rStyle w:val="Hyperlink"/>
            <w:vertAlign w:val="superscript"/>
          </w:rPr>
          <w:t xml:space="preserve">1410</w:t>
        </w:r>
      </w:hyperlink>
      <w:r>
        <w:rPr>
          <w:vertAlign w:val="superscript"/>
        </w:rPr>
        <w:t xml:space="preserve">]</w:t>
      </w:r>
      <w:r>
        <w:t xml:space="preserve">。</w:t>
      </w:r>
    </w:p>
    <w:p>
      <w:pPr>
        <w:pStyle w:val="BodyText"/>
      </w:pPr>
      <w:r>
        <w:t xml:space="preserve">即使存在可靠安慰剂镇痛，也不表示它能够处理感染、骨折或其他需要特定治疗的病因。症状调节与病因处理属于可以并行的目标。</w:t>
      </w:r>
    </w:p>
    <w:p>
      <w:pPr>
        <w:pStyle w:val="BodyText"/>
      </w:pPr>
      <w:r>
        <w:t xml:space="preserve">期待效应也有伦理边界。治疗中的情境作用不局限于语言暗示，可预测的安排、可信关系、理解病情和减少不必要恐惧，都可能改变体验与行为。真实说明可能的收益、提供清楚计划和建立信任，与虚构疗效或隐瞒风险不同。研究支持情境影响后，临床应利用诚实沟通改善照护，不能隐瞒信息或用空洞保证代替治疗，也不能把患者的可塑性当作欺骗的理由。</w:t>
      </w:r>
    </w:p>
    <w:bookmarkEnd w:id="2177"/>
    <w:bookmarkStart w:id="2178" w:name="sec-135-16"/>
    <w:p>
      <w:pPr>
        <w:pStyle w:val="Heading3"/>
      </w:pPr>
      <w:r>
        <w:t xml:space="preserve">135.16　影像异常与疼痛的对应</w:t>
      </w:r>
    </w:p>
    <w:p>
      <w:pPr>
        <w:pStyle w:val="FirstParagraph"/>
      </w:pPr>
      <w:r>
        <w:t xml:space="preserve">Brinjikji 等人的系统综述纳入33项研究和3110名无症状者，发现脊柱退变相关影像在没有疼痛的人中也较常见，并随年龄增加。结果要求把影像放进症状和体征背景，不能从一个异常词语直接推断疼痛来源。它也不支持反向宣布任何影像异常都没有临床意义</w:t>
      </w:r>
      <w:r>
        <w:rPr>
          <w:vertAlign w:val="superscript"/>
        </w:rPr>
        <w:t xml:space="preserve">[</w:t>
      </w:r>
      <w:hyperlink w:anchor="ref-1413">
        <w:r>
          <w:rPr>
            <w:rStyle w:val="Hyperlink"/>
            <w:vertAlign w:val="superscript"/>
          </w:rPr>
          <w:t xml:space="preserve">1413</w:t>
        </w:r>
      </w:hyperlink>
      <w:r>
        <w:rPr>
          <w:vertAlign w:val="superscript"/>
        </w:rPr>
        <w:t xml:space="preserve">]</w:t>
      </w:r>
      <w:r>
        <w:t xml:space="preserve">。</w:t>
      </w:r>
    </w:p>
    <w:p>
      <w:pPr>
        <w:pStyle w:val="BodyText"/>
      </w:pPr>
      <w:r>
        <w:t xml:space="preserve">判断对应关系时，需要考虑位置、侧别、时间、解剖分布和其他证据。一个偶然发现可以与疼痛同时存在而没有主要因果作用；一个相对细微的改变在特定位置也可能重要。影像报告描述结构，临床解释需要进一步整合。</w:t>
      </w:r>
    </w:p>
    <w:p>
      <w:pPr>
        <w:pStyle w:val="BodyText"/>
      </w:pPr>
      <w:r>
        <w:t xml:space="preserve">检查越多，发现偶然异常的机会越大。若每个异常都被赋予确定病因意义，可能增加恐惧和不必要干预。另一方面，合理检查能够发现重要疾病。关键是检查前明确问题，以及结果将如何改变判断，避免把检测数量当作诊疗质量的唯一指标。</w:t>
      </w:r>
    </w:p>
    <w:bookmarkEnd w:id="2178"/>
    <w:bookmarkStart w:id="2179" w:name="sec-135-17"/>
    <w:p>
      <w:pPr>
        <w:pStyle w:val="Heading3"/>
      </w:pPr>
      <w:r>
        <w:t xml:space="preserve">135.17　幻肢痛与身体表征</w:t>
      </w:r>
    </w:p>
    <w:p>
      <w:pPr>
        <w:pStyle w:val="FirstParagraph"/>
      </w:pPr>
      <w:r>
        <w:t xml:space="preserve">幻肢痛表明，疼痛可以被体验在已经缺失的身体部位。相关机制可能涉及残余外周输入、脊髓与脑网络变化以及身体表征，不能仅用“都是大脑想象”概括。Flor 的历史综述已强调中枢与外周因素共同参与，后续研究仍在检验不同机制和治疗路线</w:t>
      </w:r>
      <w:r>
        <w:rPr>
          <w:vertAlign w:val="superscript"/>
        </w:rPr>
        <w:t xml:space="preserve">[</w:t>
      </w:r>
      <w:hyperlink w:anchor="ref-1414">
        <w:r>
          <w:rPr>
            <w:rStyle w:val="Hyperlink"/>
            <w:vertAlign w:val="superscript"/>
          </w:rPr>
          <w:t xml:space="preserve">1414</w:t>
        </w:r>
      </w:hyperlink>
      <w:r>
        <w:rPr>
          <w:vertAlign w:val="superscript"/>
        </w:rPr>
        <w:t xml:space="preserve">]</w:t>
      </w:r>
      <w:r>
        <w:t xml:space="preserve">。</w:t>
      </w:r>
    </w:p>
    <w:p>
      <w:pPr>
        <w:pStyle w:val="BodyText"/>
      </w:pPr>
      <w:r>
        <w:t xml:space="preserve">身体表征具有持续性，使人能够在感觉输入变化时维持身体模型。截肢后，原有模型与新的外周状态可能出现复杂关系。这个例子有助于理解疼痛位置与当前组织并非一一对应，同时不能被用来推断所有慢性疼痛都与幻肢痛具有相同机制。</w:t>
      </w:r>
    </w:p>
    <w:p>
      <w:pPr>
        <w:pStyle w:val="BodyText"/>
      </w:pPr>
      <w:r>
        <w:t xml:space="preserve">对这类现象的治疗研究需要明确目标，是减少疼痛、改善功能、改变表征还是降低外周异常输入。某个机制指标改变而疼痛未变，提示链条仍不完整；疼痛改善也不自动证明某个流行理论已经成立。</w:t>
      </w:r>
    </w:p>
    <w:bookmarkEnd w:id="2179"/>
    <w:bookmarkStart w:id="2180" w:name="sec-135-18"/>
    <w:p>
      <w:pPr>
        <w:pStyle w:val="Heading3"/>
      </w:pPr>
      <w:r>
        <w:t xml:space="preserve">135.18　功能、恐惧与活动的反馈</w:t>
      </w:r>
    </w:p>
    <w:p>
      <w:pPr>
        <w:pStyle w:val="FirstParagraph"/>
      </w:pPr>
      <w:r>
        <w:t xml:space="preserve">疼痛可以使人减少活动，活动减少又可能影响体能、睡眠、情绪和社会参与。对于部分情况，担心再次受伤会进一步限制行为。这个循环具有可研究的作用，但不能因此假定所有活动回避都不必要。当前组织状态、病因和安全范围仍需评估。</w:t>
      </w:r>
    </w:p>
    <w:bookmarkEnd w:id="2180"/>
    <w:bookmarkStart w:id="2181" w:name="sec-135-19"/>
    <w:p>
      <w:pPr>
        <w:pStyle w:val="Heading3"/>
      </w:pPr>
      <w:r>
        <w:t xml:space="preserve">135.19　治疗反应与病因归属</w:t>
      </w:r>
    </w:p>
    <w:p>
      <w:pPr>
        <w:pStyle w:val="FirstParagraph"/>
      </w:pPr>
      <w:r>
        <w:t xml:space="preserve">镇痛干预有效，可以说明某些可调节过程参与体验，但通常不能独自确定最初病因。中枢调节可以影响具有明确组织损伤的疼痛，也可以影响其他疼痛状态。因此，心理或情境干预带来改善，不足以证明症状原来只有心理原因。</w:t>
      </w:r>
    </w:p>
    <w:p>
      <w:pPr>
        <w:pStyle w:val="BodyText"/>
      </w:pPr>
      <w:r>
        <w:t xml:space="preserve">同样，某种药物改善症状，也不必然证明其最知名靶点就是唯一病理来源。药物可能有多个作用，症状还可能自然波动。病因判断应结合病程、解剖分布、体征和相应检测。</w:t>
      </w:r>
    </w:p>
    <w:p>
      <w:pPr>
        <w:pStyle w:val="BodyText"/>
      </w:pPr>
      <w:r>
        <w:t xml:space="preserve">这个原则在无效时同样成立。某次干预无效，可能与靶点不匹配、剂量暴露、持续时间或多种机制并存有关，不能直接证明疼痛虚假。治疗反应可以成为证据的一部分，但需要避免让成功和失败都被任意解释成同一个预设故事。</w:t>
      </w:r>
    </w:p>
    <w:bookmarkEnd w:id="2181"/>
    <w:bookmarkStart w:id="2182" w:name="sec-135-20"/>
    <w:p>
      <w:pPr>
        <w:pStyle w:val="Heading3"/>
      </w:pPr>
      <w:r>
        <w:t xml:space="preserve">135.20　假设病例的推理</w:t>
      </w:r>
    </w:p>
    <w:p>
      <w:pPr>
        <w:pStyle w:val="FirstParagraph"/>
      </w:pPr>
      <w:r>
        <w:t xml:space="preserve">假设一位患者疼痛严重，MRI未见明显异常。可以推断的是该检查没有发现明确可见病灶，不能推断其无痛或欺骗。下一步临床思考取决于疼痛部位、病程、神经体征、身体背景和其他信息。仅凭这一句材料给不出具体病因。</w:t>
      </w:r>
    </w:p>
    <w:p>
      <w:pPr>
        <w:pStyle w:val="BodyText"/>
      </w:pPr>
      <w:r>
        <w:t xml:space="preserve">假设另一位患者MRI存在结构改变，但症状与位置不符。结构发现可能是偶然、部分相关或真正病因，需要进一步评估。治疗效果若不符合预期，应重新检查解释，避免把所有失败归于患者态度。</w:t>
      </w:r>
    </w:p>
    <w:p>
      <w:pPr>
        <w:pStyle w:val="BodyText"/>
      </w:pPr>
      <w:r>
        <w:t xml:space="preserve">疼痛评价的目标是理解和减轻真实痛苦，同时准确识别可治疗原因与风险。主观体验、客观检查和机制推断各自提供信息，任何一项都不应被扩大为全部答案。</w:t>
      </w:r>
    </w:p>
    <w:bookmarkEnd w:id="2182"/>
    <w:bookmarkEnd w:id="2183"/>
    <w:bookmarkStart w:id="2211" w:name="ch-136"/>
    <w:p>
      <w:pPr>
        <w:pStyle w:val="Heading2"/>
      </w:pPr>
      <w:r>
        <w:t xml:space="preserve">第136章　头痛、眩晕与功能性神经症状</w:t>
      </w:r>
    </w:p>
    <w:bookmarkStart w:id="2184" w:name="sec-136-1"/>
    <w:p>
      <w:pPr>
        <w:pStyle w:val="Heading3"/>
      </w:pPr>
      <w:r>
        <w:t xml:space="preserve">136.1　从症状维度进入头痛分类</w:t>
      </w:r>
    </w:p>
    <w:p>
      <w:pPr>
        <w:pStyle w:val="FirstParagraph"/>
      </w:pPr>
      <w:r>
        <w:t xml:space="preserve">头痛可以是疾病的主要表现，也可以继发于其他病理过程。原发性头痛具有相应的临床模式，正常常规影像并不妨碍其造成严重失能。继发性头痛需要识别与感染、血管、颅内压变化、创伤或其他因素的关系。疼痛强度、起病速度、单次持续时间、发作频率、伴随症状和长期变化，是相互补充的描述维度</w:t>
      </w:r>
      <w:r>
        <w:rPr>
          <w:vertAlign w:val="superscript"/>
        </w:rPr>
        <w:t xml:space="preserve">[</w:t>
      </w:r>
      <w:hyperlink w:anchor="ref-1415">
        <w:r>
          <w:rPr>
            <w:rStyle w:val="Hyperlink"/>
            <w:vertAlign w:val="superscript"/>
          </w:rPr>
          <w:t xml:space="preserve">1415</w:t>
        </w:r>
      </w:hyperlink>
      <w:r>
        <w:rPr>
          <w:vertAlign w:val="superscript"/>
        </w:rPr>
        <w:t xml:space="preserve">]</w:t>
      </w:r>
      <w:r>
        <w:t xml:space="preserve">。</w:t>
      </w:r>
    </w:p>
    <w:p>
      <w:pPr>
        <w:pStyle w:val="BodyText"/>
      </w:pPr>
      <w:r>
        <w:t xml:space="preserve">“头很痛”不能直接说明脑组织正在损坏，轻微疼痛也不能保证没有需要处理的病因。脑膜、血管及头颈感觉传入可以参与疼痛生成，中枢网络又决定感觉、情绪和行动反应。对一个具体病人的理解需要把症候与检查目标相连。头痛、眩晕与功能性神经障碍各有分类和证据，本章分别说明其机制及测量限制；同一人可能同时具有其中多种问题。</w:t>
      </w:r>
    </w:p>
    <w:bookmarkEnd w:id="2184"/>
    <w:bookmarkStart w:id="2185" w:name="sec-136-2"/>
    <w:p>
      <w:pPr>
        <w:pStyle w:val="Heading3"/>
      </w:pPr>
      <w:r>
        <w:t xml:space="preserve">136.2　偏头痛具有多阶段变化</w:t>
      </w:r>
    </w:p>
    <w:p>
      <w:pPr>
        <w:pStyle w:val="FirstParagraph"/>
      </w:pPr>
      <w:r>
        <w:t xml:space="preserve">偏头痛可伴恶心、对光声敏感和活动受限，疼痛不必每次严格局限在头部一侧。部分人有先兆，另一些人主要表现为无先兆发作。发作之前和之后还可能存在疲劳、认知迟缓或感觉变化，因此只记录疼痛最强的一小时，会低估整次发作对生活的影响</w:t>
      </w:r>
      <w:r>
        <w:rPr>
          <w:vertAlign w:val="superscript"/>
        </w:rPr>
        <w:t xml:space="preserve">[</w:t>
      </w:r>
      <w:hyperlink w:anchor="ref-1415">
        <w:r>
          <w:rPr>
            <w:rStyle w:val="Hyperlink"/>
            <w:vertAlign w:val="superscript"/>
          </w:rPr>
          <w:t xml:space="preserve">1415</w:t>
        </w:r>
      </w:hyperlink>
      <w:r>
        <w:rPr>
          <w:vertAlign w:val="superscript"/>
        </w:rPr>
        <w:t xml:space="preserve">,</w:t>
      </w:r>
      <w:hyperlink w:anchor="ref-1416">
        <w:r>
          <w:rPr>
            <w:rStyle w:val="Hyperlink"/>
            <w:vertAlign w:val="superscript"/>
          </w:rPr>
          <w:t xml:space="preserve">1416</w:t>
        </w:r>
      </w:hyperlink>
      <w:r>
        <w:rPr>
          <w:vertAlign w:val="superscript"/>
        </w:rPr>
        <w:t xml:space="preserve">]</w:t>
      </w:r>
      <w:r>
        <w:t xml:space="preserve">。</w:t>
      </w:r>
    </w:p>
    <w:p>
      <w:pPr>
        <w:pStyle w:val="BodyText"/>
      </w:pPr>
      <w:r>
        <w:t xml:space="preserve">时间轴也有助于理解所谓诱因。假设某人在疼痛前想吃某种食物，后来把食物与发作联系起来，可能存在食物触发、早期发作改变食欲或第三因素同时影响两者等解释。日记能够帮助观察先后与重复性，但不能仅凭一次相邻事件确定因果。研究与临床都需要避免把所有波动归咎于个人没有管理好生活。</w:t>
      </w:r>
    </w:p>
    <w:bookmarkEnd w:id="2185"/>
    <w:bookmarkStart w:id="2186" w:name="sec-136-3"/>
    <w:p>
      <w:pPr>
        <w:pStyle w:val="Heading3"/>
      </w:pPr>
      <w:r>
        <w:t xml:space="preserve">136.3　皮质扩散性事件与先兆</w:t>
      </w:r>
    </w:p>
    <w:p>
      <w:pPr>
        <w:pStyle w:val="FirstParagraph"/>
      </w:pPr>
      <w:r>
        <w:t xml:space="preserve">皮质扩散性去极化涉及局部离子稳态和细胞电活动的大幅变化，随后伴随一定时间的活动抑制，历史名称常称皮质扩散性抑制。它在皮质缓慢传播的特征，为部分视觉先兆的移动和扩展提供机制解释。人体发作期间的小样本功能MRI观察到与视觉体验位置对应的缓慢血氧信号变化，支持这一联系</w:t>
      </w:r>
      <w:r>
        <w:rPr>
          <w:vertAlign w:val="superscript"/>
        </w:rPr>
        <w:t xml:space="preserve">[</w:t>
      </w:r>
      <w:hyperlink w:anchor="ref-1417">
        <w:r>
          <w:rPr>
            <w:rStyle w:val="Hyperlink"/>
            <w:vertAlign w:val="superscript"/>
          </w:rPr>
          <w:t xml:space="preserve">1417</w:t>
        </w:r>
      </w:hyperlink>
      <w:r>
        <w:rPr>
          <w:vertAlign w:val="superscript"/>
        </w:rPr>
        <w:t xml:space="preserve">]</w:t>
      </w:r>
      <w:r>
        <w:t xml:space="preserve">。</w:t>
      </w:r>
    </w:p>
    <w:p>
      <w:pPr>
        <w:pStyle w:val="BodyText"/>
      </w:pPr>
      <w:r>
        <w:t xml:space="preserve">BOLD变化仍属于血流和代谢耦合的间接指标，无法替代逐细胞电位记录。先兆是临床体验层次，扩散性事件是生理过程，两者的对应需要多种证据。动物实验进一步显示这种皮质事件可联系脑膜三叉传入和相关血管反应</w:t>
      </w:r>
      <w:r>
        <w:rPr>
          <w:vertAlign w:val="superscript"/>
        </w:rPr>
        <w:t xml:space="preserve">[</w:t>
      </w:r>
      <w:hyperlink w:anchor="ref-1418">
        <w:r>
          <w:rPr>
            <w:rStyle w:val="Hyperlink"/>
            <w:vertAlign w:val="superscript"/>
          </w:rPr>
          <w:t xml:space="preserve">1418</w:t>
        </w:r>
      </w:hyperlink>
      <w:r>
        <w:rPr>
          <w:vertAlign w:val="superscript"/>
        </w:rPr>
        <w:t xml:space="preserve">]</w:t>
      </w:r>
      <w:r>
        <w:t xml:space="preserve">。这条链不能自动覆盖所有无先兆发作，也不能证明每次偏头痛都产生相同程度的皮质扰动。</w:t>
      </w:r>
    </w:p>
    <w:bookmarkEnd w:id="2186"/>
    <w:bookmarkStart w:id="2187" w:name="sec-136-4"/>
    <w:p>
      <w:pPr>
        <w:pStyle w:val="Heading3"/>
      </w:pPr>
      <w:r>
        <w:t xml:space="preserve">136.4　先兆与急性局灶症状的边界</w:t>
      </w:r>
    </w:p>
    <w:p>
      <w:pPr>
        <w:pStyle w:val="FirstParagraph"/>
      </w:pPr>
      <w:r>
        <w:t xml:space="preserve">典型先兆常有逐渐扩展、症状依次出现和可逆的特点，也可能没有随后头痛。视觉闪光、感觉异常与语言症状具有不同的解剖及时间信息</w:t>
      </w:r>
      <w:r>
        <w:rPr>
          <w:vertAlign w:val="superscript"/>
        </w:rPr>
        <w:t xml:space="preserve">[</w:t>
      </w:r>
      <w:hyperlink w:anchor="ref-1416">
        <w:r>
          <w:rPr>
            <w:rStyle w:val="Hyperlink"/>
            <w:vertAlign w:val="superscript"/>
          </w:rPr>
          <w:t xml:space="preserve">1416</w:t>
        </w:r>
      </w:hyperlink>
      <w:r>
        <w:rPr>
          <w:vertAlign w:val="superscript"/>
        </w:rPr>
        <w:t xml:space="preserve">]</w:t>
      </w:r>
      <w:r>
        <w:t xml:space="preserve">。这些模式提供专业鉴别线索，但存在例外，不能给读者一条凭症状渐进就排除卒中的规则。</w:t>
      </w:r>
    </w:p>
    <w:p>
      <w:pPr>
        <w:pStyle w:val="BodyText"/>
      </w:pPr>
      <w:r>
        <w:t xml:space="preserve">首次出现、与以往不同或伴持续神经功能变化的情况，需要结合血管、癫痫、眼科及其他病因评估。过去曾被诊断偏头痛，也不意味着未来所有神经症状都属于同一原因。对于教学，较好的做法是明确线索如何改变怀疑程度，同时保留检查和病程确认的作用。把典型描述写成无例外边界，会在真实临床中制造漏诊风险。</w:t>
      </w:r>
    </w:p>
    <w:bookmarkEnd w:id="2187"/>
    <w:bookmarkStart w:id="2188" w:name="sec-136-5"/>
    <w:p>
      <w:pPr>
        <w:pStyle w:val="Heading3"/>
      </w:pPr>
      <w:r>
        <w:t xml:space="preserve">136.5　三叉神经血管系统</w:t>
      </w:r>
    </w:p>
    <w:p>
      <w:pPr>
        <w:pStyle w:val="FirstParagraph"/>
      </w:pPr>
      <w:r>
        <w:t xml:space="preserve">脑膜感觉传入经三叉系统和相关脑干结构进入更广的丘脑皮质网络，并与自主神经及下行调节相互作用。血管变化可以伴随这些活动，疼痛却不能用血管扩张程度直接换算。偏头痛的遗传与实验研究同时提示神经和血管相关过程，支持多环节的神经血管框架</w:t>
      </w:r>
      <w:r>
        <w:rPr>
          <w:vertAlign w:val="superscript"/>
        </w:rPr>
        <w:t xml:space="preserve">[</w:t>
      </w:r>
      <w:hyperlink w:anchor="ref-1418">
        <w:r>
          <w:rPr>
            <w:rStyle w:val="Hyperlink"/>
            <w:vertAlign w:val="superscript"/>
          </w:rPr>
          <w:t xml:space="preserve">1418</w:t>
        </w:r>
      </w:hyperlink>
      <w:r>
        <w:rPr>
          <w:vertAlign w:val="superscript"/>
        </w:rPr>
        <w:t xml:space="preserve">,</w:t>
      </w:r>
      <w:hyperlink w:anchor="ref-1419">
        <w:r>
          <w:rPr>
            <w:rStyle w:val="Hyperlink"/>
            <w:vertAlign w:val="superscript"/>
          </w:rPr>
          <w:t xml:space="preserve">1419</w:t>
        </w:r>
      </w:hyperlink>
      <w:r>
        <w:rPr>
          <w:vertAlign w:val="superscript"/>
        </w:rPr>
        <w:t xml:space="preserve">]</w:t>
      </w:r>
      <w:r>
        <w:t xml:space="preserve">。</w:t>
      </w:r>
    </w:p>
    <w:p>
      <w:pPr>
        <w:pStyle w:val="BodyText"/>
      </w:pPr>
      <w:r>
        <w:t xml:space="preserve">头颈传入的汇聚能够帮助理解部分疼痛的放散和伴随颈部不适，但颈痛并不总说明颈部结构是唯一原因。设想同一中枢通路同时接收不同部位信号，其活动增益改变后，触发范围和主观定位都可能变化。判断时需要区分原始触发、传播、敏化和疼痛解释，不能把影像上常见的颈椎退变与每一次头痛直接连成确定因果。</w:t>
      </w:r>
    </w:p>
    <w:bookmarkEnd w:id="2188"/>
    <w:bookmarkStart w:id="2189" w:name="sec-136-6"/>
    <w:p>
      <w:pPr>
        <w:pStyle w:val="Heading3"/>
      </w:pPr>
      <w:r>
        <w:t xml:space="preserve">136.6　CGRP从机制到治疗靶点</w:t>
      </w:r>
    </w:p>
    <w:p>
      <w:pPr>
        <w:pStyle w:val="FirstParagraph"/>
      </w:pPr>
      <w:r>
        <w:t xml:space="preserve">降钙素基因相关肽简称CGRP，参与感觉神经与血管等多种生理过程。受控人体挑战显示，给予CGRP可以在部分偏头痛易感者引起头痛或偏头痛样发作</w:t>
      </w:r>
      <w:r>
        <w:rPr>
          <w:vertAlign w:val="superscript"/>
        </w:rPr>
        <w:t xml:space="preserve">[</w:t>
      </w:r>
      <w:hyperlink w:anchor="ref-1420">
        <w:r>
          <w:rPr>
            <w:rStyle w:val="Hyperlink"/>
            <w:vertAlign w:val="superscript"/>
          </w:rPr>
          <w:t xml:space="preserve">1420</w:t>
        </w:r>
      </w:hyperlink>
      <w:r>
        <w:rPr>
          <w:vertAlign w:val="superscript"/>
        </w:rPr>
        <w:t xml:space="preserve">]</w:t>
      </w:r>
      <w:r>
        <w:t xml:space="preserve">。这类实验支持其因果参与，并不能证明所有自然发作都只有一个分子原因。个体的其他网络状态决定同一信号能否引起完整症状。</w:t>
      </w:r>
    </w:p>
    <w:p>
      <w:pPr>
        <w:pStyle w:val="BodyText"/>
      </w:pPr>
      <w:r>
        <w:t xml:space="preserve">靶向药物可以结合CGRP配体，也可以作用于受体相关环节；抗体和小分子又有不同药代特征。机制明确有助于开发治疗，最终有效性仍来自具体随机试验。部分患者获益而另一部分获益有限，与疾病存在多条通路并不矛盾。治疗反应也不能单独作为诊断试验：相同靶点可能参与不同疾病，一个诊断内部也有不同的反应模式</w:t>
      </w:r>
      <w:r>
        <w:rPr>
          <w:vertAlign w:val="superscript"/>
        </w:rPr>
        <w:t xml:space="preserve">[</w:t>
      </w:r>
      <w:hyperlink w:anchor="ref-1421">
        <w:r>
          <w:rPr>
            <w:rStyle w:val="Hyperlink"/>
            <w:vertAlign w:val="superscript"/>
          </w:rPr>
          <w:t xml:space="preserve">1421</w:t>
        </w:r>
      </w:hyperlink>
      <w:r>
        <w:rPr>
          <w:vertAlign w:val="superscript"/>
        </w:rPr>
        <w:t xml:space="preserve">]</w:t>
      </w:r>
      <w:r>
        <w:t xml:space="preserve">。</w:t>
      </w:r>
    </w:p>
    <w:bookmarkEnd w:id="2189"/>
    <w:bookmarkStart w:id="2190" w:name="sec-136-7"/>
    <w:p>
      <w:pPr>
        <w:pStyle w:val="Heading3"/>
      </w:pPr>
      <w:r>
        <w:t xml:space="preserve">136.7　敏化与轻触疼痛</w:t>
      </w:r>
    </w:p>
    <w:p>
      <w:pPr>
        <w:pStyle w:val="FirstParagraph"/>
      </w:pPr>
      <w:r>
        <w:t xml:space="preserve">部分发作中，平时不痛的触碰也会变得不舒服，涉及感觉通路增益和疼痛调节的变化。外周传入持续活动与中枢敏化可以共同参与，主观痛苦还受睡眠、应激、既往经验和注意影响。相关的基本机制见</w:t>
      </w:r>
      <w:hyperlink w:anchor="ch-135">
        <w:r>
          <w:rPr>
            <w:rStyle w:val="Hyperlink"/>
          </w:rPr>
          <w:t xml:space="preserve">第135章</w:t>
        </w:r>
      </w:hyperlink>
      <w:r>
        <w:t xml:space="preserve">。感到痛并不要求组织在每次轻触时受到新的损伤；同样，情境影响不能证明疼痛出于自主控制。</w:t>
      </w:r>
    </w:p>
    <w:p>
      <w:pPr>
        <w:pStyle w:val="BodyText"/>
      </w:pPr>
      <w:r>
        <w:t xml:space="preserve">研究应分别记录自发痛、诱发痛、感觉阈值和功能限制。假设两人头痛强度相同，其中一人梳头和穿衣也受到影响，其日常负担便可能更高。量表总分相近不保证治疗需要相同。动物中的敏化指标、人体感觉测试和患者报告分别提供不同信息，不能将某项实验阈值作为精确的个人“疼痛真实性”检测。</w:t>
      </w:r>
    </w:p>
    <w:bookmarkEnd w:id="2190"/>
    <w:bookmarkStart w:id="2191" w:name="sec-136-8"/>
    <w:p>
      <w:pPr>
        <w:pStyle w:val="Heading3"/>
      </w:pPr>
      <w:r>
        <w:t xml:space="preserve">136.8　发作频率与累积负担</w:t>
      </w:r>
    </w:p>
    <w:p>
      <w:pPr>
        <w:pStyle w:val="FirstParagraph"/>
      </w:pPr>
      <w:r>
        <w:t xml:space="preserve">月头痛日数、月偏头痛日数、单次发作数和疼痛小时数并不相同。一段持续跨过午夜的发作，可能影响两个日历日；一天中的多次短发作，又可能只计作一个头痛日。临床试验必须预先定义统计单位，患者日记也应尽量保持记录口径一致</w:t>
      </w:r>
      <w:r>
        <w:rPr>
          <w:vertAlign w:val="superscript"/>
        </w:rPr>
        <w:t xml:space="preserve">[</w:t>
      </w:r>
      <w:hyperlink w:anchor="ref-1415">
        <w:r>
          <w:rPr>
            <w:rStyle w:val="Hyperlink"/>
            <w:vertAlign w:val="superscript"/>
          </w:rPr>
          <w:t xml:space="preserve">1415</w:t>
        </w:r>
      </w:hyperlink>
      <w:r>
        <w:rPr>
          <w:vertAlign w:val="superscript"/>
        </w:rPr>
        <w:t xml:space="preserve">]</w:t>
      </w:r>
      <w:r>
        <w:t xml:space="preserve">。</w:t>
      </w:r>
    </w:p>
    <w:p>
      <w:pPr>
        <w:pStyle w:val="BodyText"/>
      </w:pPr>
      <w:r>
        <w:t xml:space="preserve">慢性化的理解还涉及病程、急性药物使用、睡眠及共病等因素。频率升高不自动意味着发生了不可逆脑损伤，频率降低也未必意味着所有功能恢复。工作缺勤、降低工作效率、家庭活动和对下一次发作的担忧，能够补充频率指标。评价一个干预时，应优先看预设终点，并说明它与患者希望改善的生活领域有多大重合。</w:t>
      </w:r>
    </w:p>
    <w:bookmarkEnd w:id="2191"/>
    <w:bookmarkStart w:id="2192" w:name="sec-136-9"/>
    <w:p>
      <w:pPr>
        <w:pStyle w:val="Heading3"/>
      </w:pPr>
      <w:r>
        <w:t xml:space="preserve">136.9　药物过度使用相关头痛</w:t>
      </w:r>
    </w:p>
    <w:p>
      <w:pPr>
        <w:pStyle w:val="FirstParagraph"/>
      </w:pPr>
      <w:r>
        <w:t xml:space="preserve">药物过度使用性头痛的分类涉及既有头痛、高频头痛以及较长时间频繁使用急性或对症药物；不同药物类别的使用日数定义不同</w:t>
      </w:r>
      <w:r>
        <w:rPr>
          <w:vertAlign w:val="superscript"/>
        </w:rPr>
        <w:t xml:space="preserve">[</w:t>
      </w:r>
      <w:hyperlink w:anchor="ref-1422">
        <w:r>
          <w:rPr>
            <w:rStyle w:val="Hyperlink"/>
            <w:vertAlign w:val="superscript"/>
          </w:rPr>
          <w:t xml:space="preserve">1422</w:t>
        </w:r>
      </w:hyperlink>
      <w:r>
        <w:rPr>
          <w:vertAlign w:val="superscript"/>
        </w:rPr>
        <w:t xml:space="preserve">]</w:t>
      </w:r>
      <w:r>
        <w:t xml:space="preserve">。“过度使用”在这里是临床分类术语，不能与单次毒性剂量、成瘾或道德过错直接等同。疼痛更频繁会促使更多用药，用药模式又可能影响头痛持续，因果方向可形成反馈。</w:t>
      </w:r>
    </w:p>
    <w:p>
      <w:pPr>
        <w:pStyle w:val="BodyText"/>
      </w:pPr>
      <w:r>
        <w:t xml:space="preserve">识别这一关系有助于制定专业管理方案，但不能把信息简化成所有人应立即停用全部止痛药。某些药物涉及撤药风险，预防治疗及替代支持也需要考虑。阅读观察研究时，还要确认是否真正记录了使用时长和先后顺序；仅见高频头痛与高频用药共存，未必完成了所有分类要求。阈值多具有专家定义成分，不能当作超过一天便发生相同分子损伤的自然常数</w:t>
      </w:r>
      <w:r>
        <w:rPr>
          <w:vertAlign w:val="superscript"/>
        </w:rPr>
        <w:t xml:space="preserve">[</w:t>
      </w:r>
      <w:hyperlink w:anchor="ref-1422">
        <w:r>
          <w:rPr>
            <w:rStyle w:val="Hyperlink"/>
            <w:vertAlign w:val="superscript"/>
          </w:rPr>
          <w:t xml:space="preserve">1422</w:t>
        </w:r>
      </w:hyperlink>
      <w:r>
        <w:rPr>
          <w:vertAlign w:val="superscript"/>
        </w:rPr>
        <w:t xml:space="preserve">]</w:t>
      </w:r>
      <w:r>
        <w:t xml:space="preserve">。</w:t>
      </w:r>
    </w:p>
    <w:bookmarkEnd w:id="2192"/>
    <w:bookmarkStart w:id="2193" w:name="sec-136-10"/>
    <w:p>
      <w:pPr>
        <w:pStyle w:val="Heading3"/>
      </w:pPr>
      <w:r>
        <w:t xml:space="preserve">136.10　急性治疗与预防治疗的不同问题</w:t>
      </w:r>
    </w:p>
    <w:p>
      <w:pPr>
        <w:pStyle w:val="FirstParagraph"/>
      </w:pPr>
      <w:r>
        <w:t xml:space="preserve">急性治疗的研究常关心一次发作后的疼痛解除、最困扰伴随症状改善和持续反应。预防治疗则关注未来一段时间的发作负担、急性药物需求及功能。一个人急性处理有效，仍可能因发作频繁而需要讨论预防目标；预防治疗有效，也不保证完全没有发作</w:t>
      </w:r>
      <w:r>
        <w:rPr>
          <w:vertAlign w:val="superscript"/>
        </w:rPr>
        <w:t xml:space="preserve">[</w:t>
      </w:r>
      <w:hyperlink w:anchor="ref-1415">
        <w:r>
          <w:rPr>
            <w:rStyle w:val="Hyperlink"/>
            <w:vertAlign w:val="superscript"/>
          </w:rPr>
          <w:t xml:space="preserve">1415</w:t>
        </w:r>
      </w:hyperlink>
      <w:r>
        <w:rPr>
          <w:vertAlign w:val="superscript"/>
        </w:rPr>
        <w:t xml:space="preserve">,</w:t>
      </w:r>
      <w:hyperlink w:anchor="ref-1421">
        <w:r>
          <w:rPr>
            <w:rStyle w:val="Hyperlink"/>
            <w:vertAlign w:val="superscript"/>
          </w:rPr>
          <w:t xml:space="preserve">1421</w:t>
        </w:r>
      </w:hyperlink>
      <w:r>
        <w:rPr>
          <w:vertAlign w:val="superscript"/>
        </w:rPr>
        <w:t xml:space="preserve">]</w:t>
      </w:r>
      <w:r>
        <w:t xml:space="preserve">。</w:t>
      </w:r>
    </w:p>
    <w:p>
      <w:pPr>
        <w:pStyle w:val="BodyText"/>
      </w:pPr>
      <w:r>
        <w:t xml:space="preserve">临床试验的“反应者”通常由预设阈值定义，未达到阈值的人仍可能有部分收益。相反，达到频率阈值也不保证疼痛强度、时间和副作用都改善。对照组改善包括自然波动、期望、照护改变和统计回归等多种贡献，不能把治疗组自身下降全部归给药物。这里的任务是把实际估计的组间收益与可接受性联系起来。</w:t>
      </w:r>
    </w:p>
    <w:bookmarkEnd w:id="2193"/>
    <w:bookmarkStart w:id="2194" w:name="sec-136-11"/>
    <w:p>
      <w:pPr>
        <w:pStyle w:val="Heading3"/>
      </w:pPr>
      <w:r>
        <w:t xml:space="preserve">136.11　活性药比较与耐受性</w:t>
      </w:r>
    </w:p>
    <w:p>
      <w:pPr>
        <w:pStyle w:val="FirstParagraph"/>
      </w:pPr>
      <w:r>
        <w:t xml:space="preserve">HER-MES研究将777名成人随机分配至erenumab或topiramate，主要终点是二十四周内因不良事件停药：两组分别为10.6%和38.9%。研究也观察到预设的偏头痛日数反应指标差异</w:t>
      </w:r>
      <w:r>
        <w:rPr>
          <w:vertAlign w:val="superscript"/>
        </w:rPr>
        <w:t xml:space="preserve">[</w:t>
      </w:r>
      <w:hyperlink w:anchor="ref-1423">
        <w:r>
          <w:rPr>
            <w:rStyle w:val="Hyperlink"/>
            <w:vertAlign w:val="superscript"/>
          </w:rPr>
          <w:t xml:space="preserve">1423</w:t>
        </w:r>
      </w:hyperlink>
      <w:r>
        <w:rPr>
          <w:vertAlign w:val="superscript"/>
        </w:rPr>
        <w:t xml:space="preserve">]</w:t>
      </w:r>
      <w:r>
        <w:t xml:space="preserve">。主要终点强调耐受性，不能在转述时悄然改成单一“治愈率”。特定滴定和研究方案影响适用性，结果无法覆盖全部既有预防药物。</w:t>
      </w:r>
    </w:p>
    <w:p>
      <w:pPr>
        <w:pStyle w:val="BodyText"/>
      </w:pPr>
      <w:r>
        <w:t xml:space="preserve">该试验由Novartis资助，厂商与研究者合作设计，支持分析及写作，部分作者是雇员或持股者；论文说明厂商未参与数据收集，作者可访问数据并决定投稿</w:t>
      </w:r>
      <w:r>
        <w:rPr>
          <w:vertAlign w:val="superscript"/>
        </w:rPr>
        <w:t xml:space="preserve">[</w:t>
      </w:r>
      <w:hyperlink w:anchor="ref-1423">
        <w:r>
          <w:rPr>
            <w:rStyle w:val="Hyperlink"/>
            <w:vertAlign w:val="superscript"/>
          </w:rPr>
          <w:t xml:space="preserve">1423</w:t>
        </w:r>
      </w:hyperlink>
      <w:r>
        <w:rPr>
          <w:vertAlign w:val="superscript"/>
        </w:rPr>
        <w:t xml:space="preserve">]</w:t>
      </w:r>
      <w:r>
        <w:t xml:space="preserve">。读者需要同时看商业角色、双盲双模拟设计和可重复性。一个直接比较比跨试验排名更接近相应问题，仍不能替代不同共病、妊娠或长期使用情境的证据。</w:t>
      </w:r>
    </w:p>
    <w:bookmarkEnd w:id="2194"/>
    <w:bookmarkStart w:id="2195" w:name="sec-136-12"/>
    <w:p>
      <w:pPr>
        <w:pStyle w:val="Heading3"/>
      </w:pPr>
      <w:r>
        <w:t xml:space="preserve">136.12　专业立场与产品风险</w:t>
      </w:r>
    </w:p>
    <w:p>
      <w:pPr>
        <w:pStyle w:val="FirstParagraph"/>
      </w:pPr>
      <w:r>
        <w:t xml:space="preserve">美国头痛学会2024年立场更新把CGRP靶向预防治疗列为可用的一线选择，不要求所有人先经历其他类别失败</w:t>
      </w:r>
      <w:r>
        <w:rPr>
          <w:vertAlign w:val="superscript"/>
        </w:rPr>
        <w:t xml:space="preserve">[</w:t>
      </w:r>
      <w:hyperlink w:anchor="ref-1421">
        <w:r>
          <w:rPr>
            <w:rStyle w:val="Hyperlink"/>
            <w:vertAlign w:val="superscript"/>
          </w:rPr>
          <w:t xml:space="preserve">1421</w:t>
        </w:r>
      </w:hyperlink>
      <w:r>
        <w:rPr>
          <w:vertAlign w:val="superscript"/>
        </w:rPr>
        <w:t xml:space="preserve">]</w:t>
      </w:r>
      <w:r>
        <w:t xml:space="preserve">。这一专业立场与不同地区的支付、可及性和个人最佳方案属于不同层面。费用、给药方式、既往反应及共病会影响实际选择，不能把“一线选项”理解为每个人唯一适合的治疗。</w:t>
      </w:r>
    </w:p>
    <w:p>
      <w:pPr>
        <w:pStyle w:val="BodyText"/>
      </w:pPr>
      <w:r>
        <w:t xml:space="preserve">靶向性也不代表没有全身风险。以erenumab现行美国标签为例，严重便秘、高血压、雷诺现象及超敏反应均有相应警示，妊娠人类资料仍不足</w:t>
      </w:r>
      <w:r>
        <w:rPr>
          <w:vertAlign w:val="superscript"/>
        </w:rPr>
        <w:t xml:space="preserve">[</w:t>
      </w:r>
      <w:hyperlink w:anchor="ref-1424">
        <w:r>
          <w:rPr>
            <w:rStyle w:val="Hyperlink"/>
            <w:vertAlign w:val="superscript"/>
          </w:rPr>
          <w:t xml:space="preserve">1424</w:t>
        </w:r>
      </w:hyperlink>
      <w:r>
        <w:rPr>
          <w:vertAlign w:val="superscript"/>
        </w:rPr>
        <w:t xml:space="preserve">]</w:t>
      </w:r>
      <w:r>
        <w:t xml:space="preserve">。不同产品的标签及数据需要分别阅读。上市后自发报告可以发现风险信号，缺少稳定分母时却不能给出准确发生率；某一研究未观察到事件，也不能证明长期风险为零。</w:t>
      </w:r>
    </w:p>
    <w:bookmarkEnd w:id="2195"/>
    <w:bookmarkStart w:id="2196" w:name="sec-136-13"/>
    <w:p>
      <w:pPr>
        <w:pStyle w:val="Heading3"/>
      </w:pPr>
      <w:r>
        <w:t xml:space="preserve">136.13　丛集性头痛与节律</w:t>
      </w:r>
    </w:p>
    <w:p>
      <w:pPr>
        <w:pStyle w:val="FirstParagraph"/>
      </w:pPr>
      <w:r>
        <w:t xml:space="preserve">丛集性头痛常表现为极重的单侧眶部或颞部疼痛，伴同侧流泪、鼻部或眼部自主体征，患者可能明显躁动。单次发作通常较偏头痛短，发作又可能在某段时期集中出现</w:t>
      </w:r>
      <w:r>
        <w:rPr>
          <w:vertAlign w:val="superscript"/>
        </w:rPr>
        <w:t xml:space="preserve">[</w:t>
      </w:r>
      <w:hyperlink w:anchor="ref-1425">
        <w:r>
          <w:rPr>
            <w:rStyle w:val="Hyperlink"/>
            <w:vertAlign w:val="superscript"/>
          </w:rPr>
          <w:t xml:space="preserve">1425</w:t>
        </w:r>
      </w:hyperlink>
      <w:r>
        <w:rPr>
          <w:vertAlign w:val="superscript"/>
        </w:rPr>
        <w:t xml:space="preserve">]</w:t>
      </w:r>
      <w:r>
        <w:t xml:space="preserve">。这种模式与偏头痛具有不同的临床结构，但一个伴随症状无法独立确定诊断，女性患者同样可以发生。</w:t>
      </w:r>
    </w:p>
    <w:p>
      <w:pPr>
        <w:pStyle w:val="BodyText"/>
      </w:pPr>
      <w:r>
        <w:t xml:space="preserve">发作的昼夜和成簇特征，使下丘脑与节律调节成为重要研究方向。早期PET研究发现发作相关的下丘脑区域信号及更广的疼痛网络变化</w:t>
      </w:r>
      <w:r>
        <w:rPr>
          <w:vertAlign w:val="superscript"/>
        </w:rPr>
        <w:t xml:space="preserve">[</w:t>
      </w:r>
      <w:hyperlink w:anchor="ref-1426">
        <w:r>
          <w:rPr>
            <w:rStyle w:val="Hyperlink"/>
            <w:vertAlign w:val="superscript"/>
          </w:rPr>
          <w:t xml:space="preserve">1426</w:t>
        </w:r>
      </w:hyperlink>
      <w:r>
        <w:rPr>
          <w:vertAlign w:val="superscript"/>
        </w:rPr>
        <w:t xml:space="preserve">]</w:t>
      </w:r>
      <w:r>
        <w:t xml:space="preserve">。关联信号无法独自证明一个唯一的发作启动器；药物诱发、自然发作及非发作期也需要区分。三叉自主神经联系帮助解释疼痛与流泪鼻塞共同出现，仍不能把所有伴鼻塞的头痛直接命名为鼻窦疾病。</w:t>
      </w:r>
    </w:p>
    <w:bookmarkEnd w:id="2196"/>
    <w:bookmarkStart w:id="2197" w:name="sec-136-14"/>
    <w:p>
      <w:pPr>
        <w:pStyle w:val="Heading3"/>
      </w:pPr>
      <w:r>
        <w:t xml:space="preserve">136.14　同一靶点在不同头痛中的结果</w:t>
      </w:r>
    </w:p>
    <w:p>
      <w:pPr>
        <w:pStyle w:val="FirstParagraph"/>
      </w:pPr>
      <w:r>
        <w:t xml:space="preserve">galcanezumab在106名发作性丛集性头痛参加者中，对最初一至三周的每周发作频率产生平均收益；研究未达到原计划招募人数</w:t>
      </w:r>
      <w:r>
        <w:rPr>
          <w:vertAlign w:val="superscript"/>
        </w:rPr>
        <w:t xml:space="preserve">[</w:t>
      </w:r>
      <w:hyperlink w:anchor="ref-1427">
        <w:r>
          <w:rPr>
            <w:rStyle w:val="Hyperlink"/>
            <w:vertAlign w:val="superscript"/>
          </w:rPr>
          <w:t xml:space="preserve">1427</w:t>
        </w:r>
      </w:hyperlink>
      <w:r>
        <w:rPr>
          <w:vertAlign w:val="superscript"/>
        </w:rPr>
        <w:t xml:space="preserve">]</w:t>
      </w:r>
      <w:r>
        <w:t xml:space="preserve">。另一项237人的慢性丛集性头痛试验未达到主要及关键次要终点</w:t>
      </w:r>
      <w:r>
        <w:rPr>
          <w:vertAlign w:val="superscript"/>
        </w:rPr>
        <w:t xml:space="preserve">[</w:t>
      </w:r>
      <w:hyperlink w:anchor="ref-1428">
        <w:r>
          <w:rPr>
            <w:rStyle w:val="Hyperlink"/>
            <w:vertAlign w:val="superscript"/>
          </w:rPr>
          <w:t xml:space="preserve">1428</w:t>
        </w:r>
      </w:hyperlink>
      <w:r>
        <w:rPr>
          <w:vertAlign w:val="superscript"/>
        </w:rPr>
        <w:t xml:space="preserve">]</w:t>
      </w:r>
      <w:r>
        <w:t xml:space="preserve">。两项研究支持按亚型和研究条件分别解释，不能由一个阳性试验推定整个疾病类别都同样受益。</w:t>
      </w:r>
    </w:p>
    <w:p>
      <w:pPr>
        <w:pStyle w:val="BodyText"/>
      </w:pPr>
      <w:r>
        <w:t xml:space="preserve">2025年的231人eptinezumab发作性丛集性头痛随机试验，也未达到最初一至两周发作频率的主要终点，部分后续或次要指标的信号不能替换这个结论</w:t>
      </w:r>
      <w:r>
        <w:rPr>
          <w:vertAlign w:val="superscript"/>
        </w:rPr>
        <w:t xml:space="preserve">[</w:t>
      </w:r>
      <w:hyperlink w:anchor="ref-1429">
        <w:r>
          <w:rPr>
            <w:rStyle w:val="Hyperlink"/>
            <w:vertAlign w:val="superscript"/>
          </w:rPr>
          <w:t xml:space="preserve">1429</w:t>
        </w:r>
      </w:hyperlink>
      <w:r>
        <w:rPr>
          <w:vertAlign w:val="superscript"/>
        </w:rPr>
        <w:t xml:space="preserve">]</w:t>
      </w:r>
      <w:r>
        <w:t xml:space="preserve">。前述galcanezumab研究由Eli Lilly支持，eptinezumab研究由Lundbeck支持并披露雇员作者等关系。不同药物、时间窗、样本和自然发作期变化都可能影响结果；现有差异无法单独决定究竟哪一机制解释全部不一致。</w:t>
      </w:r>
    </w:p>
    <w:bookmarkEnd w:id="2197"/>
    <w:bookmarkStart w:id="2198" w:name="sec-136-15"/>
    <w:p>
      <w:pPr>
        <w:pStyle w:val="Heading3"/>
      </w:pPr>
      <w:r>
        <w:t xml:space="preserve">136.15　面部电击样疼痛与神经血管接触</w:t>
      </w:r>
    </w:p>
    <w:p>
      <w:pPr>
        <w:pStyle w:val="FirstParagraph"/>
      </w:pPr>
      <w:r>
        <w:t xml:space="preserve">三叉神经痛常涉及面部短暂、反复的电击样或锐痛，并可被特定轻微刺激触发。病因分层涉及经典、特发及继发类型，专业评估需要考虑多发性硬化、占位等其他原因。局部神经根受压及髓鞘改变可以影响轴突兴奋和信号传递，但个体影像解释需要结合症候</w:t>
      </w:r>
      <w:r>
        <w:rPr>
          <w:vertAlign w:val="superscript"/>
        </w:rPr>
        <w:t xml:space="preserve">[</w:t>
      </w:r>
      <w:hyperlink w:anchor="ref-1430">
        <w:r>
          <w:rPr>
            <w:rStyle w:val="Hyperlink"/>
            <w:vertAlign w:val="superscript"/>
          </w:rPr>
          <w:t xml:space="preserve">1430</w:t>
        </w:r>
      </w:hyperlink>
      <w:r>
        <w:rPr>
          <w:vertAlign w:val="superscript"/>
        </w:rPr>
        <w:t xml:space="preserve">]</w:t>
      </w:r>
      <w:r>
        <w:t xml:space="preserve">。</w:t>
      </w:r>
    </w:p>
    <w:p>
      <w:pPr>
        <w:pStyle w:val="BodyText"/>
      </w:pPr>
      <w:r>
        <w:t xml:space="preserve">高分辨率影像发现血管与神经接触，并不能独立确诊三叉神经痛；接触是否伴形态改变和症状对应很重要。牙源性疼痛、其他神经病理性面痛及三叉自主性头痛又有各自特点。这里可以看到“发现解剖现象”与“确认症状原因”的区别。治疗选择还涉及药物耐受和外科风险，本章不根据简短描述给出个人药物或手术判断。</w:t>
      </w:r>
    </w:p>
    <w:bookmarkEnd w:id="2198"/>
    <w:bookmarkStart w:id="2199" w:name="sec-136-16"/>
    <w:p>
      <w:pPr>
        <w:pStyle w:val="Heading3"/>
      </w:pPr>
      <w:r>
        <w:t xml:space="preserve">136.16　继发性头痛的临床警觉</w:t>
      </w:r>
    </w:p>
    <w:p>
      <w:pPr>
        <w:pStyle w:val="FirstParagraph"/>
      </w:pPr>
      <w:r>
        <w:t xml:space="preserve">突发达到高峰的头痛、新的神经功能变化、发热或其他全身表现、明显模式改变、特定体位关联及相关高风险背景，会改变对继发病因的怀疑</w:t>
      </w:r>
      <w:r>
        <w:rPr>
          <w:vertAlign w:val="superscript"/>
        </w:rPr>
        <w:t xml:space="preserve">[</w:t>
      </w:r>
      <w:hyperlink w:anchor="ref-1431">
        <w:r>
          <w:rPr>
            <w:rStyle w:val="Hyperlink"/>
            <w:vertAlign w:val="superscript"/>
          </w:rPr>
          <w:t xml:space="preserve">1431</w:t>
        </w:r>
      </w:hyperlink>
      <w:r>
        <w:rPr>
          <w:vertAlign w:val="superscript"/>
        </w:rPr>
        <w:t xml:space="preserve">]</w:t>
      </w:r>
      <w:r>
        <w:t xml:space="preserve">。这些线索的价值取决于基线风险、组合及病程，部分条目的前瞻验证仍不充分，不能被制作成所有项目阴性便保证安全的自查算法。</w:t>
      </w:r>
    </w:p>
    <w:p>
      <w:pPr>
        <w:pStyle w:val="BodyText"/>
      </w:pPr>
      <w:r>
        <w:t xml:space="preserve">既有偏头痛和新的继发原因可以共存，检查目的也应明确：有的用于寻找出血或血管问题，有的用于结构、颅内压或感染。某一种检查结果正常，只能在其覆盖范围内降低相应可能性。对于突然发生或伴明显神经改变的症状，临床上需要及时评估，不能用网络科普中的常见模式替代。一般知识的作用是帮助理解判断依据，不能完成个人急性风险排除。</w:t>
      </w:r>
    </w:p>
    <w:bookmarkEnd w:id="2199"/>
    <w:bookmarkStart w:id="2200" w:name="sec-136-17"/>
    <w:p>
      <w:pPr>
        <w:pStyle w:val="Heading3"/>
      </w:pPr>
      <w:r>
        <w:t xml:space="preserve">136.17　前庭性偏头痛与眩晕描述</w:t>
      </w:r>
    </w:p>
    <w:p>
      <w:pPr>
        <w:pStyle w:val="FirstParagraph"/>
      </w:pPr>
      <w:r>
        <w:t xml:space="preserve">“眩晕”可以指旋转感、不稳、漂浮或接近晕厥，首先要把体验与时间结构描述清楚。前庭性偏头痛的专业分类结合反复前庭症状、偏头痛背景、发作中的相关特征及其他解释的排除。并非每次眩晕都同时有头痛，也不能因存在偏头痛病史便把所有持续不稳归入其中</w:t>
      </w:r>
      <w:r>
        <w:rPr>
          <w:vertAlign w:val="superscript"/>
        </w:rPr>
        <w:t xml:space="preserve">[</w:t>
      </w:r>
      <w:hyperlink w:anchor="ref-1432">
        <w:r>
          <w:rPr>
            <w:rStyle w:val="Hyperlink"/>
            <w:vertAlign w:val="superscript"/>
          </w:rPr>
          <w:t xml:space="preserve">1432</w:t>
        </w:r>
      </w:hyperlink>
      <w:r>
        <w:rPr>
          <w:vertAlign w:val="superscript"/>
        </w:rPr>
        <w:t xml:space="preserve">]</w:t>
      </w:r>
      <w:r>
        <w:t xml:space="preserve">。</w:t>
      </w:r>
    </w:p>
    <w:p>
      <w:pPr>
        <w:pStyle w:val="BodyText"/>
      </w:pPr>
      <w:r>
        <w:t xml:space="preserve">眼震、听觉症状、体位变化、步态与其他神经体征提供不同信息。一次平衡检查正常，未必覆盖间歇性发作；某个前庭测试异常，也未必解释全部长期症状。鉴别中的重要思想是确定现象对应哪个过程，以及多个过程是否同时存在。前庭症状引起焦虑很常见，焦虑又可能改变注意和运动策略，不能由这种相互影响取消前庭问题的医学评估。</w:t>
      </w:r>
    </w:p>
    <w:bookmarkEnd w:id="2200"/>
    <w:bookmarkStart w:id="2201" w:name="sec-136-18"/>
    <w:p>
      <w:pPr>
        <w:pStyle w:val="Heading3"/>
      </w:pPr>
      <w:r>
        <w:t xml:space="preserve">136.18　持续性姿势知觉性头晕</w:t>
      </w:r>
    </w:p>
    <w:p>
      <w:pPr>
        <w:pStyle w:val="FirstParagraph"/>
      </w:pPr>
      <w:r>
        <w:t xml:space="preserve">持续性姿势知觉性头晕简称PPPD，其分类强调头晕、不稳或非旋转性眩晕在至少三个月内的多数日子存在，直立姿势、主动或被动运动以及移动或复杂的视觉刺激会使其加重，并造成明显痛苦或功能影响。它常由急性、发作性或慢性前庭疾病，其他神经或内科疾病，或心理困扰诱发，也可能与这些疾病共存</w:t>
      </w:r>
      <w:r>
        <w:rPr>
          <w:vertAlign w:val="superscript"/>
        </w:rPr>
        <w:t xml:space="preserve">[</w:t>
      </w:r>
      <w:hyperlink w:anchor="ref-1433">
        <w:r>
          <w:rPr>
            <w:rStyle w:val="Hyperlink"/>
            <w:vertAlign w:val="superscript"/>
          </w:rPr>
          <w:t xml:space="preserve">1433</w:t>
        </w:r>
      </w:hyperlink>
      <w:r>
        <w:rPr>
          <w:vertAlign w:val="superscript"/>
        </w:rPr>
        <w:t xml:space="preserve">]</w:t>
      </w:r>
      <w:r>
        <w:t xml:space="preserve">。视动信息、姿势控制和威胁估计的加权变化，是研究中的重要机制方向。</w:t>
      </w:r>
    </w:p>
    <w:p>
      <w:pPr>
        <w:pStyle w:val="BodyText"/>
      </w:pPr>
      <w:r>
        <w:t xml:space="preserve">可以设想一个平衡系统在早期疾病后过度依赖视觉和持续警戒，拥挤场景便增加处理负担。这是解释症状的一种模型，不能作为每位患者已经测量出的唯一机制。2023年Cochrane综述在严格诊断、对照及随访条件下未找到合格的相应SSRI或SNRI试验；2026年较宽范围的综述纳入旧诊断、开放和观察资料，仍指出证据质量与异质性限制</w:t>
      </w:r>
      <w:r>
        <w:rPr>
          <w:vertAlign w:val="superscript"/>
        </w:rPr>
        <w:t xml:space="preserve">[</w:t>
      </w:r>
      <w:hyperlink w:anchor="ref-1434">
        <w:r>
          <w:rPr>
            <w:rStyle w:val="Hyperlink"/>
            <w:vertAlign w:val="superscript"/>
          </w:rPr>
          <w:t xml:space="preserve">1434</w:t>
        </w:r>
      </w:hyperlink>
      <w:r>
        <w:rPr>
          <w:vertAlign w:val="superscript"/>
        </w:rPr>
        <w:t xml:space="preserve">,</w:t>
      </w:r>
      <w:hyperlink w:anchor="ref-1435">
        <w:r>
          <w:rPr>
            <w:rStyle w:val="Hyperlink"/>
            <w:vertAlign w:val="superscript"/>
          </w:rPr>
          <w:t xml:space="preserve">1435</w:t>
        </w:r>
      </w:hyperlink>
      <w:r>
        <w:rPr>
          <w:vertAlign w:val="superscript"/>
        </w:rPr>
        <w:t xml:space="preserve">]</w:t>
      </w:r>
      <w:r>
        <w:t xml:space="preserve">。两种结论使用不同纳入范围，不宜写成直接相互否定。</w:t>
      </w:r>
    </w:p>
    <w:bookmarkEnd w:id="2201"/>
    <w:bookmarkStart w:id="2202" w:name="sec-136-19"/>
    <w:p>
      <w:pPr>
        <w:pStyle w:val="Heading3"/>
      </w:pPr>
      <w:r>
        <w:t xml:space="preserve">136.19　功能性神经障碍的阳性诊断</w:t>
      </w:r>
    </w:p>
    <w:p>
      <w:pPr>
        <w:pStyle w:val="FirstParagraph"/>
      </w:pPr>
      <w:r>
        <w:t xml:space="preserve">功能性神经障碍简称FND，可以涉及无力、异常运动、感觉或发作样症状。现代诊断重视可识别的临床特征，特别是与特定任务条件相关的表现模式。患者体验可以真实、非自主且严重影响生活；心理应激或创伤可能相关，也可能没有相应病史</w:t>
      </w:r>
      <w:r>
        <w:rPr>
          <w:vertAlign w:val="superscript"/>
        </w:rPr>
        <w:t xml:space="preserve">[</w:t>
      </w:r>
      <w:hyperlink w:anchor="ref-1436">
        <w:r>
          <w:rPr>
            <w:rStyle w:val="Hyperlink"/>
            <w:vertAlign w:val="superscript"/>
          </w:rPr>
          <w:t xml:space="preserve">1436</w:t>
        </w:r>
      </w:hyperlink>
      <w:r>
        <w:rPr>
          <w:vertAlign w:val="superscript"/>
        </w:rPr>
        <w:t xml:space="preserve">,</w:t>
      </w:r>
      <w:hyperlink w:anchor="ref-1437">
        <w:r>
          <w:rPr>
            <w:rStyle w:val="Hyperlink"/>
            <w:vertAlign w:val="superscript"/>
          </w:rPr>
          <w:t xml:space="preserve">1437</w:t>
        </w:r>
      </w:hyperlink>
      <w:r>
        <w:rPr>
          <w:vertAlign w:val="superscript"/>
        </w:rPr>
        <w:t xml:space="preserve">]</w:t>
      </w:r>
      <w:r>
        <w:t xml:space="preserve">。</w:t>
      </w:r>
    </w:p>
    <w:p>
      <w:pPr>
        <w:pStyle w:val="BodyText"/>
      </w:pPr>
      <w:r>
        <w:t xml:space="preserve">“影像正常”本身不足以确诊FND，存在焦虑也不足以确诊。诊断应说明观察到什么阳性依据、哪些解释仍需考虑以及哪些共存病况已识别。功能性和结构性疾病可以同时存在，因此一个标签不应让所有未来症状都被预先归入同类。对于患者而言，清楚的诊断理由和继续照护，比一句“检查没问题”更能回答真实困难。</w:t>
      </w:r>
    </w:p>
    <w:bookmarkEnd w:id="2202"/>
    <w:bookmarkStart w:id="2203" w:name="sec-136-20"/>
    <w:p>
      <w:pPr>
        <w:pStyle w:val="Heading3"/>
      </w:pPr>
      <w:r>
        <w:t xml:space="preserve">136.20　任务间差异提供何种信息</w:t>
      </w:r>
    </w:p>
    <w:p>
      <w:pPr>
        <w:pStyle w:val="FirstParagraph"/>
      </w:pPr>
      <w:r>
        <w:t xml:space="preserve">某些功能性无力表现为主动请求下的动作困难与其他动作情境中的力量表现不一致。Hoover征相关前瞻研究说明，这种任务间关系可以提供有用的临床信息；研究中功能性病例数量较少且评估非盲，不能把单一动作变成无误的家庭诊断试验</w:t>
      </w:r>
      <w:r>
        <w:rPr>
          <w:vertAlign w:val="superscript"/>
        </w:rPr>
        <w:t xml:space="preserve">[</w:t>
      </w:r>
      <w:hyperlink w:anchor="ref-1438">
        <w:r>
          <w:rPr>
            <w:rStyle w:val="Hyperlink"/>
            <w:vertAlign w:val="superscript"/>
          </w:rPr>
          <w:t xml:space="preserve">1438</w:t>
        </w:r>
      </w:hyperlink>
      <w:r>
        <w:rPr>
          <w:vertAlign w:val="superscript"/>
        </w:rPr>
        <w:t xml:space="preserve">]</w:t>
      </w:r>
      <w:r>
        <w:t xml:space="preserve">。</w:t>
      </w:r>
    </w:p>
    <w:p>
      <w:pPr>
        <w:pStyle w:val="BodyText"/>
      </w:pPr>
      <w:r>
        <w:t xml:space="preserve">阳性体征描述功能组织的条件依赖性，不等于当事人故意制造差异。疼痛、理解指令、忽略和其他神经病况也可能影响检查，需要专业背景解释。假设某人把全部注意力放在一步动作上时困难增加，在较自动的协同活动中却表现改善，这提示系统保留某些能力，同时暴露其调用方式的问题。能力在特定条件下存在，不保证日常环境中能随意稳定调用。</w:t>
      </w:r>
    </w:p>
    <w:bookmarkEnd w:id="2203"/>
    <w:bookmarkStart w:id="2204" w:name="sec-136-21"/>
    <w:p>
      <w:pPr>
        <w:pStyle w:val="Heading3"/>
      </w:pPr>
      <w:r>
        <w:t xml:space="preserve">136.21　功能性震颤与电生理支持</w:t>
      </w:r>
    </w:p>
    <w:p>
      <w:pPr>
        <w:pStyle w:val="FirstParagraph"/>
      </w:pPr>
      <w:r>
        <w:t xml:space="preserve">震颤可以随姿势、注意或其他任务改变，正常生理和多种病理震颤都可能有一定变化。功能性震颤的实验室支持通常依赖一组标准化任务、肌电和加速度特征，包含节律牵引、干扰反应和其他指标</w:t>
      </w:r>
      <w:r>
        <w:rPr>
          <w:vertAlign w:val="superscript"/>
        </w:rPr>
        <w:t xml:space="preserve">[</w:t>
      </w:r>
      <w:hyperlink w:anchor="ref-1439">
        <w:r>
          <w:rPr>
            <w:rStyle w:val="Hyperlink"/>
            <w:vertAlign w:val="superscript"/>
          </w:rPr>
          <w:t xml:space="preserve">1439</w:t>
        </w:r>
      </w:hyperlink>
      <w:r>
        <w:rPr>
          <w:vertAlign w:val="superscript"/>
        </w:rPr>
        <w:t xml:space="preserve">]</w:t>
      </w:r>
      <w:r>
        <w:t xml:space="preserve">。一项验证研究支持这种组合在选择样本中的区分价值，单个“分心后变轻”现象不具备整套测验组合的准确性。</w:t>
      </w:r>
    </w:p>
    <w:p>
      <w:pPr>
        <w:pStyle w:val="BodyText"/>
      </w:pPr>
      <w:r>
        <w:t xml:space="preserve">测量时还要考虑病程、药物、共存震颤和病例谱差异。良好的信号质量与盲法判读有助于减少解释偏差。诊断沟通应解释任务如何展示可改变的功能模式，避免把检查当作抓住患者的陷阱。实验室结果支持临床判断，并不提供关于动机、人格或历史创伤的读心能力。</w:t>
      </w:r>
    </w:p>
    <w:bookmarkEnd w:id="2204"/>
    <w:bookmarkStart w:id="2205" w:name="sec-136-22"/>
    <w:p>
      <w:pPr>
        <w:pStyle w:val="Heading3"/>
      </w:pPr>
      <w:r>
        <w:t xml:space="preserve">136.22　注意、预测与行动主体感</w:t>
      </w:r>
    </w:p>
    <w:p>
      <w:pPr>
        <w:pStyle w:val="FirstParagraph"/>
      </w:pPr>
      <w:r>
        <w:t xml:space="preserve">一些FND模型提出，身体相关注意、感觉预测和对行动来源的判断之间出现失配，可能维持非自主症状</w:t>
      </w:r>
      <w:r>
        <w:rPr>
          <w:vertAlign w:val="superscript"/>
        </w:rPr>
        <w:t xml:space="preserve">[</w:t>
      </w:r>
      <w:hyperlink w:anchor="ref-1440">
        <w:r>
          <w:rPr>
            <w:rStyle w:val="Hyperlink"/>
            <w:vertAlign w:val="superscript"/>
          </w:rPr>
          <w:t xml:space="preserve">1440</w:t>
        </w:r>
      </w:hyperlink>
      <w:r>
        <w:rPr>
          <w:vertAlign w:val="superscript"/>
        </w:rPr>
        <w:t xml:space="preserve">]</w:t>
      </w:r>
      <w:r>
        <w:t xml:space="preserve">。模型中的“先前信念”不必是一个人能清楚说出的想法，也不能等同故意选择相信自己有病。无意识的感觉期待与显式意见属于不同层面。</w:t>
      </w:r>
    </w:p>
    <w:p>
      <w:pPr>
        <w:pStyle w:val="BodyText"/>
      </w:pPr>
      <w:r>
        <w:t xml:space="preserve">研究可以用不同感觉可靠度、注意条件和动作反馈检验预测，但当前模型不能独自确定每个人的病因。脑网络相关差异可能反映起始机制、持续症状、共病或适应结果，因果顺序需纵向和干预研究。用计算语言解释FND的价值，在于提出可检验假设；将它包装成已掌握的统一公式，会掩盖不同亚型和个人之间的差异</w:t>
      </w:r>
      <w:r>
        <w:rPr>
          <w:vertAlign w:val="superscript"/>
        </w:rPr>
        <w:t xml:space="preserve">[</w:t>
      </w:r>
      <w:hyperlink w:anchor="ref-1437">
        <w:r>
          <w:rPr>
            <w:rStyle w:val="Hyperlink"/>
            <w:vertAlign w:val="superscript"/>
          </w:rPr>
          <w:t xml:space="preserve">1437</w:t>
        </w:r>
      </w:hyperlink>
      <w:r>
        <w:rPr>
          <w:vertAlign w:val="superscript"/>
        </w:rPr>
        <w:t xml:space="preserve">,</w:t>
      </w:r>
      <w:hyperlink w:anchor="ref-1440">
        <w:r>
          <w:rPr>
            <w:rStyle w:val="Hyperlink"/>
            <w:vertAlign w:val="superscript"/>
          </w:rPr>
          <w:t xml:space="preserve">1440</w:t>
        </w:r>
      </w:hyperlink>
      <w:r>
        <w:rPr>
          <w:vertAlign w:val="superscript"/>
        </w:rPr>
        <w:t xml:space="preserve">]</w:t>
      </w:r>
      <w:r>
        <w:t xml:space="preserve">。</w:t>
      </w:r>
    </w:p>
    <w:bookmarkEnd w:id="2205"/>
    <w:bookmarkStart w:id="2206" w:name="sec-136-23"/>
    <w:p>
      <w:pPr>
        <w:pStyle w:val="Heading3"/>
      </w:pPr>
      <w:r>
        <w:t xml:space="preserve">136.23　发作样事件的分类与共存</w:t>
      </w:r>
    </w:p>
    <w:p>
      <w:pPr>
        <w:pStyle w:val="FirstParagraph"/>
      </w:pPr>
      <w:r>
        <w:t xml:space="preserve">功能性发作可以在外观上类似癫痫或晕厥，需要通过详细病史、典型事件表现及适当的视频脑电等资料综合判断。没有头皮脑电变化并不自动等于功能性发作，因为记录覆盖、事件类型和信号质量都影响判断。癫痫与功能性发作也可在同一人共存，需尽可能辨认其不同事件类型</w:t>
      </w:r>
      <w:r>
        <w:rPr>
          <w:vertAlign w:val="superscript"/>
        </w:rPr>
        <w:t xml:space="preserve">[</w:t>
      </w:r>
      <w:hyperlink w:anchor="ref-1441">
        <w:r>
          <w:rPr>
            <w:rStyle w:val="Hyperlink"/>
            <w:vertAlign w:val="superscript"/>
          </w:rPr>
          <w:t xml:space="preserve">1441</w:t>
        </w:r>
      </w:hyperlink>
      <w:r>
        <w:rPr>
          <w:vertAlign w:val="superscript"/>
        </w:rPr>
        <w:t xml:space="preserve">,</w:t>
      </w:r>
      <w:hyperlink w:anchor="ref-1442">
        <w:r>
          <w:rPr>
            <w:rStyle w:val="Hyperlink"/>
            <w:vertAlign w:val="superscript"/>
          </w:rPr>
          <w:t xml:space="preserve">1442</w:t>
        </w:r>
      </w:hyperlink>
      <w:r>
        <w:rPr>
          <w:vertAlign w:val="superscript"/>
        </w:rPr>
        <w:t xml:space="preserve">]</w:t>
      </w:r>
      <w:r>
        <w:t xml:space="preserve">。</w:t>
      </w:r>
    </w:p>
    <w:p>
      <w:pPr>
        <w:pStyle w:val="BodyText"/>
      </w:pPr>
      <w:r>
        <w:t xml:space="preserve">AAN在2026年刊出的指南强调尊重沟通、给出明确诊断依据、共同决策和连续照护，其心理干预证据仍以有限等级研究为主</w:t>
      </w:r>
      <w:r>
        <w:rPr>
          <w:vertAlign w:val="superscript"/>
        </w:rPr>
        <w:t xml:space="preserve">[</w:t>
      </w:r>
      <w:hyperlink w:anchor="ref-1442">
        <w:r>
          <w:rPr>
            <w:rStyle w:val="Hyperlink"/>
            <w:vertAlign w:val="superscript"/>
          </w:rPr>
          <w:t xml:space="preserve">1442</w:t>
        </w:r>
      </w:hyperlink>
      <w:r>
        <w:rPr>
          <w:vertAlign w:val="superscript"/>
        </w:rPr>
        <w:t xml:space="preserve">]</w:t>
      </w:r>
      <w:r>
        <w:t xml:space="preserve">。缺少合并癫痫或其他适应证时，抗癫痫药没有针对功能性发作的相应效益证据；任何药物调整都需专业确认，不能从一般文字自行停用。准确分类既帮助减少无益风险，也帮助避免遗漏真正需要治疗的共存疾病。</w:t>
      </w:r>
    </w:p>
    <w:bookmarkEnd w:id="2206"/>
    <w:bookmarkStart w:id="2207" w:name="sec-136-24"/>
    <w:p>
      <w:pPr>
        <w:pStyle w:val="Heading3"/>
      </w:pPr>
      <w:r>
        <w:t xml:space="preserve">136.24　CODES试验的主要与次要结果</w:t>
      </w:r>
    </w:p>
    <w:p>
      <w:pPr>
        <w:pStyle w:val="FirstParagraph"/>
      </w:pPr>
      <w:r>
        <w:t xml:space="preserve">CODES将368人随机至标准化医疗照护，或在此基础上增加发作特异的认知行为治疗。十二个月月发作频率的主要比较未达到统计显著：发生率比0.78，95%置信区间0.56至1.09；部分功能、困扰及其他次要结局出现改善</w:t>
      </w:r>
      <w:r>
        <w:rPr>
          <w:vertAlign w:val="superscript"/>
        </w:rPr>
        <w:t xml:space="preserve">[</w:t>
      </w:r>
      <w:hyperlink w:anchor="ref-1443">
        <w:r>
          <w:rPr>
            <w:rStyle w:val="Hyperlink"/>
            <w:vertAlign w:val="superscript"/>
          </w:rPr>
          <w:t xml:space="preserve">1443</w:t>
        </w:r>
      </w:hyperlink>
      <w:r>
        <w:rPr>
          <w:vertAlign w:val="superscript"/>
        </w:rPr>
        <w:t xml:space="preserve">]</w:t>
      </w:r>
      <w:r>
        <w:t xml:space="preserve">。不能把这些次要结果改写成主要终点已获成功，也不能把主要不显著解释为所有支持完全无益。</w:t>
      </w:r>
    </w:p>
    <w:p>
      <w:pPr>
        <w:pStyle w:val="BodyText"/>
      </w:pPr>
      <w:r>
        <w:t xml:space="preserve">对照组包含规范的神经及精神专科照护，比较问题是额外加入这套心理干预的收益。研究由英国NIHR支持，参加者和治疗者无法完全设盲，次要结局还涉及多重比较。症状次数、连续无发作时间和生活功能之间可能分离，未来研究需要明确哪类患者在哪些结局获益，并确认收益能否持续。</w:t>
      </w:r>
    </w:p>
    <w:bookmarkEnd w:id="2207"/>
    <w:bookmarkStart w:id="2208" w:name="sec-136-25"/>
    <w:p>
      <w:pPr>
        <w:pStyle w:val="Heading3"/>
      </w:pPr>
      <w:r>
        <w:t xml:space="preserve">136.25　功能性运动康复的研究结果</w:t>
      </w:r>
    </w:p>
    <w:p>
      <w:pPr>
        <w:pStyle w:val="FirstParagraph"/>
      </w:pPr>
      <w:r>
        <w:t xml:space="preserve">功能性运动康复框架关注症状解释、动作再训练、注意配置和与生活目标的联系</w:t>
      </w:r>
      <w:r>
        <w:rPr>
          <w:vertAlign w:val="superscript"/>
        </w:rPr>
        <w:t xml:space="preserve">[</w:t>
      </w:r>
      <w:hyperlink w:anchor="ref-1444">
        <w:r>
          <w:rPr>
            <w:rStyle w:val="Hyperlink"/>
            <w:vertAlign w:val="superscript"/>
          </w:rPr>
          <w:t xml:space="preserve">1444</w:t>
        </w:r>
      </w:hyperlink>
      <w:r>
        <w:rPr>
          <w:vertAlign w:val="superscript"/>
        </w:rPr>
        <w:t xml:space="preserve">]</w:t>
      </w:r>
      <w:r>
        <w:t xml:space="preserve">。它需要按个人问题选择任务，不能被简化为忽略患者或要求用意志强行完成。能在某种协同任务中出现较自然动作，为训练提供机会，但重复练习是否产生稳定迁移仍需验证。</w:t>
      </w:r>
    </w:p>
    <w:p>
      <w:pPr>
        <w:pStyle w:val="BodyText"/>
      </w:pPr>
      <w:r>
        <w:t xml:space="preserve">Physio4FMD随机研究纳入355人，受疫情导致的治疗中断影响，按预先修订方案排除89人；计入退出与失访后，主要分析包含241人的资料，其中专门方案组138人，社区神经物理治疗组103人。十二个月主要身体功能量表的组间差为3.5分，95%置信区间−2.3至9.3，未显示专门方案优于社区神经物理治疗，部分次要结局较好</w:t>
      </w:r>
      <w:r>
        <w:rPr>
          <w:vertAlign w:val="superscript"/>
        </w:rPr>
        <w:t xml:space="preserve">[</w:t>
      </w:r>
      <w:hyperlink w:anchor="ref-1445">
        <w:r>
          <w:rPr>
            <w:rStyle w:val="Hyperlink"/>
            <w:vertAlign w:val="superscript"/>
          </w:rPr>
          <w:t xml:space="preserve">1445</w:t>
        </w:r>
      </w:hyperlink>
      <w:r>
        <w:rPr>
          <w:vertAlign w:val="superscript"/>
        </w:rPr>
        <w:t xml:space="preserve">]</w:t>
      </w:r>
      <w:r>
        <w:t xml:space="preserve">。这项NIHR资助研究提示需要改进选择和方案，不能用共识理论替代主要结果，也不能把有积极对照的比较说成康复与完全不治疗的比较。</w:t>
      </w:r>
    </w:p>
    <w:bookmarkEnd w:id="2208"/>
    <w:bookmarkStart w:id="2209" w:name="sec-136-26"/>
    <w:p>
      <w:pPr>
        <w:pStyle w:val="Heading3"/>
      </w:pPr>
      <w:r>
        <w:t xml:space="preserve">136.26　功能性认知困难</w:t>
      </w:r>
    </w:p>
    <w:p>
      <w:pPr>
        <w:pStyle w:val="FirstParagraph"/>
      </w:pPr>
      <w:r>
        <w:t xml:space="preserve">功能性认知困难的研究关注表现内部的不一致，例如同一认知能力在不同任务或注意条件下呈现明显差异。主诉可以很严重，简单筛查却未必充分捕捉其结构。理解这种模式需要结合实际生活、病程和其他原因；焦虑、睡眠、疼痛和药物都可能同时贡献</w:t>
      </w:r>
      <w:r>
        <w:rPr>
          <w:vertAlign w:val="superscript"/>
        </w:rPr>
        <w:t xml:space="preserve">[</w:t>
      </w:r>
      <w:hyperlink w:anchor="ref-1446">
        <w:r>
          <w:rPr>
            <w:rStyle w:val="Hyperlink"/>
            <w:vertAlign w:val="superscript"/>
          </w:rPr>
          <w:t xml:space="preserve">1446</w:t>
        </w:r>
      </w:hyperlink>
      <w:r>
        <w:rPr>
          <w:vertAlign w:val="superscript"/>
        </w:rPr>
        <w:t xml:space="preserve">]</w:t>
      </w:r>
      <w:r>
        <w:t xml:space="preserve">。</w:t>
      </w:r>
    </w:p>
    <w:p>
      <w:pPr>
        <w:pStyle w:val="BodyText"/>
      </w:pPr>
      <w:r>
        <w:t xml:space="preserve">轻度认知障碍是描述性类别，不能预先确定所有病例都走向痴呆，也不能因为某种功能性特征就永远排除退行性疾病。一个人在紧张的自我监测中反复忘词，与逐渐丧失已熟练技能的病程，可能提出不同假设；实际病例也可能混合。纵向观察和必要的独立测量有助于修正判断，过早承诺“绝对不会恶化”或“必然痴呆”都超出证据。</w:t>
      </w:r>
    </w:p>
    <w:bookmarkEnd w:id="2209"/>
    <w:bookmarkStart w:id="2210" w:name="sec-136-27"/>
    <w:p>
      <w:pPr>
        <w:pStyle w:val="Heading3"/>
      </w:pPr>
      <w:r>
        <w:t xml:space="preserve">136.27　康复参与与结论边界</w:t>
      </w:r>
    </w:p>
    <w:p>
      <w:pPr>
        <w:pStyle w:val="FirstParagraph"/>
      </w:pPr>
      <w:r>
        <w:t xml:space="preserve">运动、沟通和认知支持应尽可能连接当事人的具体目标，考虑疼痛、疲劳、睡眠及环境障碍。辅助设备的使用需要在安全、独立性与训练目标间个别权衡，不能以诊断为由强制撤走必需支持。疗效有限时仍有护理、环境调整和参与支持的价值，未改善也不能直接归咎于患者不够相信诊断</w:t>
      </w:r>
      <w:r>
        <w:rPr>
          <w:vertAlign w:val="superscript"/>
        </w:rPr>
        <w:t xml:space="preserve">[</w:t>
      </w:r>
      <w:hyperlink w:anchor="ref-1444">
        <w:r>
          <w:rPr>
            <w:rStyle w:val="Hyperlink"/>
            <w:vertAlign w:val="superscript"/>
          </w:rPr>
          <w:t xml:space="preserve">1444</w:t>
        </w:r>
      </w:hyperlink>
      <w:r>
        <w:rPr>
          <w:vertAlign w:val="superscript"/>
        </w:rPr>
        <w:t xml:space="preserve">]</w:t>
      </w:r>
      <w:r>
        <w:t xml:space="preserve">。</w:t>
      </w:r>
    </w:p>
    <w:p>
      <w:pPr>
        <w:pStyle w:val="BodyText"/>
      </w:pPr>
      <w:r>
        <w:t xml:space="preserve">偏头痛具有神经血管及感觉网络基础，特定靶向药物具有直接随机证据，这些判断置信度较高；先兆的扩散性机制获得多路径支持，个体发作完整链条仍有未知</w:t>
      </w:r>
      <w:r>
        <w:rPr>
          <w:vertAlign w:val="superscript"/>
        </w:rPr>
        <w:t xml:space="preserve">[</w:t>
      </w:r>
      <w:hyperlink w:anchor="ref-1417">
        <w:r>
          <w:rPr>
            <w:rStyle w:val="Hyperlink"/>
            <w:vertAlign w:val="superscript"/>
          </w:rPr>
          <w:t xml:space="preserve">1417</w:t>
        </w:r>
      </w:hyperlink>
      <w:r>
        <w:rPr>
          <w:vertAlign w:val="superscript"/>
        </w:rPr>
        <w:t xml:space="preserve">,</w:t>
      </w:r>
      <w:hyperlink w:anchor="ref-1418">
        <w:r>
          <w:rPr>
            <w:rStyle w:val="Hyperlink"/>
            <w:vertAlign w:val="superscript"/>
          </w:rPr>
          <w:t xml:space="preserve">1418</w:t>
        </w:r>
      </w:hyperlink>
      <w:r>
        <w:rPr>
          <w:vertAlign w:val="superscript"/>
        </w:rPr>
        <w:t xml:space="preserve">,</w:t>
      </w:r>
      <w:hyperlink w:anchor="ref-1421">
        <w:r>
          <w:rPr>
            <w:rStyle w:val="Hyperlink"/>
            <w:vertAlign w:val="superscript"/>
          </w:rPr>
          <w:t xml:space="preserve">1421</w:t>
        </w:r>
      </w:hyperlink>
      <w:r>
        <w:rPr>
          <w:vertAlign w:val="superscript"/>
        </w:rPr>
        <w:t xml:space="preserve">]</w:t>
      </w:r>
      <w:r>
        <w:t xml:space="preserve">。 FND依阳性临床特征诊断及症状可真实非自主的判断较稳固，预测加工等统一机制模型的置信度较低。CODES与Physio4FMD的主要阴性比较、部分次要收益及选择条件应一并保留，对每个人的康复幅度仍不能精确预告</w:t>
      </w:r>
      <w:r>
        <w:rPr>
          <w:vertAlign w:val="superscript"/>
        </w:rPr>
        <w:t xml:space="preserve">[</w:t>
      </w:r>
      <w:hyperlink w:anchor="ref-1436">
        <w:r>
          <w:rPr>
            <w:rStyle w:val="Hyperlink"/>
            <w:vertAlign w:val="superscript"/>
          </w:rPr>
          <w:t xml:space="preserve">1436</w:t>
        </w:r>
      </w:hyperlink>
      <w:r>
        <w:rPr>
          <w:vertAlign w:val="superscript"/>
        </w:rPr>
        <w:t xml:space="preserve">,</w:t>
      </w:r>
      <w:hyperlink w:anchor="ref-1443">
        <w:r>
          <w:rPr>
            <w:rStyle w:val="Hyperlink"/>
            <w:vertAlign w:val="superscript"/>
          </w:rPr>
          <w:t xml:space="preserve">1443</w:t>
        </w:r>
      </w:hyperlink>
      <w:r>
        <w:rPr>
          <w:vertAlign w:val="superscript"/>
        </w:rPr>
        <w:t xml:space="preserve">,</w:t>
      </w:r>
      <w:hyperlink w:anchor="ref-1445">
        <w:r>
          <w:rPr>
            <w:rStyle w:val="Hyperlink"/>
            <w:vertAlign w:val="superscript"/>
          </w:rPr>
          <w:t xml:space="preserve">1445</w:t>
        </w:r>
      </w:hyperlink>
      <w:r>
        <w:rPr>
          <w:vertAlign w:val="superscript"/>
        </w:rPr>
        <w:t xml:space="preserve">]</w:t>
      </w:r>
      <w:r>
        <w:t xml:space="preserve">。</w:t>
      </w:r>
    </w:p>
    <w:bookmarkEnd w:id="2210"/>
    <w:bookmarkEnd w:id="2211"/>
    <w:bookmarkStart w:id="2233" w:name="ch-137"/>
    <w:p>
      <w:pPr>
        <w:pStyle w:val="Heading2"/>
      </w:pPr>
      <w:r>
        <w:t xml:space="preserve">第137章　睡眠障碍与昼夜节律的临床神经科学</w:t>
      </w:r>
    </w:p>
    <w:bookmarkStart w:id="2212" w:name="sec-137-1"/>
    <w:p>
      <w:pPr>
        <w:pStyle w:val="Heading3"/>
      </w:pPr>
      <w:r>
        <w:t xml:space="preserve">137.1　从睡了多久转向睡眠系统的多个维度</w:t>
      </w:r>
    </w:p>
    <w:p>
      <w:pPr>
        <w:pStyle w:val="FirstParagraph"/>
      </w:pPr>
      <w:r>
        <w:t xml:space="preserve">睡眠问题需要沿至少四个维度描述：睡眠是否能发生并维持，睡眠是否出现在适合的生物时相，睡眠期间的呼吸和行为是否稳定，以及清醒期能否维持注意和活动。两个都说自己睡不好的成年人，可能分别存在入睡困难与夜间反复呼吸中断；一个总在课堂上入睡的学生，可能缺乏睡眠机会，也可能有中枢性嗜睡。症状名称提供入口，时间结构和相关生理现象帮助建立解释</w:t>
      </w:r>
      <w:r>
        <w:rPr>
          <w:vertAlign w:val="superscript"/>
        </w:rPr>
        <w:t xml:space="preserve">[</w:t>
      </w:r>
      <w:hyperlink w:anchor="ref-1447">
        <w:r>
          <w:rPr>
            <w:rStyle w:val="Hyperlink"/>
            <w:vertAlign w:val="superscript"/>
          </w:rPr>
          <w:t xml:space="preserve">1447</w:t>
        </w:r>
      </w:hyperlink>
      <w:r>
        <w:rPr>
          <w:vertAlign w:val="superscript"/>
        </w:rPr>
        <w:t xml:space="preserve">,</w:t>
      </w:r>
      <w:hyperlink w:anchor="ref-1448">
        <w:r>
          <w:rPr>
            <w:rStyle w:val="Hyperlink"/>
            <w:vertAlign w:val="superscript"/>
          </w:rPr>
          <w:t xml:space="preserve">1448</w:t>
        </w:r>
      </w:hyperlink>
      <w:r>
        <w:rPr>
          <w:vertAlign w:val="superscript"/>
        </w:rPr>
        <w:t xml:space="preserve">,</w:t>
      </w:r>
      <w:hyperlink w:anchor="ref-1449">
        <w:r>
          <w:rPr>
            <w:rStyle w:val="Hyperlink"/>
            <w:vertAlign w:val="superscript"/>
          </w:rPr>
          <w:t xml:space="preserve">1449</w:t>
        </w:r>
      </w:hyperlink>
      <w:r>
        <w:rPr>
          <w:vertAlign w:val="superscript"/>
        </w:rPr>
        <w:t xml:space="preserve">]</w:t>
      </w:r>
      <w:r>
        <w:t xml:space="preserve">。</w:t>
      </w:r>
    </w:p>
    <w:p>
      <w:pPr>
        <w:pStyle w:val="BodyText"/>
      </w:pPr>
      <w:r>
        <w:t xml:space="preserve">主观体验同样需要认真测量。疲劳可表现为精力不足和活动费力，嗜睡强调容易进入睡眠，两者能够同时发生，也能明显分离。有人极度疲劳却无法在白天小睡，有人在安静环境迅速入睡却不报告明显的肌肉疲惫。将全部情况记成一个困字，会掩盖不同机制、危险情境和治疗目标。</w:t>
      </w:r>
    </w:p>
    <w:p>
      <w:pPr>
        <w:pStyle w:val="BodyText"/>
      </w:pPr>
      <w:r>
        <w:t xml:space="preserve">睡眠的社会背景也属于因果结构。轮班、照护婴儿、夜间噪声、住房拥挤和长途通勤可以限制睡眠机会。若一个人没有足够且可预测的休息时间，将问题全部归为个人习惯，会把可改变的环境条件从分析中删除。生理性睡眠需求与现实可用时段之间的冲突，可以先于任何特定睡眠疾病出现。</w:t>
      </w:r>
    </w:p>
    <w:bookmarkEnd w:id="2212"/>
    <w:bookmarkStart w:id="2213" w:name="sec-137-2"/>
    <w:p>
      <w:pPr>
        <w:pStyle w:val="Heading3"/>
      </w:pPr>
      <w:r>
        <w:t xml:space="preserve">137.2　稳态压力与节律相位共同安排睡眠</w:t>
      </w:r>
    </w:p>
    <w:p>
      <w:pPr>
        <w:pStyle w:val="FirstParagraph"/>
      </w:pPr>
      <w:r>
        <w:t xml:space="preserve">清醒持续越久，睡眠稳态压力通常越强；内源性昼夜节律则使睡眠和清醒倾向随生物时间变化。两者共同解释了熟悉的现象：有人熬到傍晚反而暂时精神一些，有人在周末补觉后更难按工作日时间入睡。实验室强迫去同步研究将休息活动安排与内源性节律分离，支持两个过程分别及相互作用的影响；这类受控小样本实验提供机制证据，不能生成所有人的统一作息参数</w:t>
      </w:r>
      <w:r>
        <w:rPr>
          <w:vertAlign w:val="superscript"/>
        </w:rPr>
        <w:t xml:space="preserve">[</w:t>
      </w:r>
      <w:hyperlink w:anchor="ref-1450">
        <w:r>
          <w:rPr>
            <w:rStyle w:val="Hyperlink"/>
            <w:vertAlign w:val="superscript"/>
          </w:rPr>
          <w:t xml:space="preserve">1450</w:t>
        </w:r>
      </w:hyperlink>
      <w:r>
        <w:rPr>
          <w:vertAlign w:val="superscript"/>
        </w:rPr>
        <w:t xml:space="preserve">]</w:t>
      </w:r>
      <w:r>
        <w:t xml:space="preserve">。</w:t>
      </w:r>
    </w:p>
    <w:p>
      <w:pPr>
        <w:pStyle w:val="BodyText"/>
      </w:pPr>
      <w:r>
        <w:t xml:space="preserve">可以用一个假设例子理解两个过程。甲与乙过去二十四小时都累计睡了八小时，甲按夜班作息，乙按日班作息。他们的既往清醒时长、内部相位和光照经历不同，下午四点的困倦程度可以不同。因此，相同钟表时间并不保证相同生物状态。记录上床和起床时间有价值，若要解释复杂节律问题，还需要知道这些时间发生在何种工作日程和光暗环境中。</w:t>
      </w:r>
    </w:p>
    <w:p>
      <w:pPr>
        <w:pStyle w:val="BodyText"/>
      </w:pPr>
      <w:r>
        <w:t xml:space="preserve">稳态模型也有边界。慢波活动可反映睡眠压力的某些方面，其数值还受年龄、局部脑活动、药物和疾病影响。把一次设备显示的深睡分钟数直接解释为大脑修复完成百分比，没有经过有效的生物学标定。全脑状态、局部网络和主观恢复感具有相关性，其对应关系并不完全重合。</w:t>
      </w:r>
    </w:p>
    <w:bookmarkEnd w:id="2213"/>
    <w:bookmarkStart w:id="2214" w:name="sec-137-3"/>
    <w:p>
      <w:pPr>
        <w:pStyle w:val="Heading3"/>
      </w:pPr>
      <w:r>
        <w:t xml:space="preserve">137.3　光的作用取决于进入系统的时间</w:t>
      </w:r>
    </w:p>
    <w:p>
      <w:pPr>
        <w:pStyle w:val="FirstParagraph"/>
      </w:pPr>
      <w:r>
        <w:t xml:space="preserve">视网膜的光信号能够影响视交叉上核及相关节律通路。光既能急性改变警觉性，也能使内源性节律的相位移动，这两个效果需要区分。受控人体实验显示，光照位于不同生物时相，可以分别引起相位提前或延后</w:t>
      </w:r>
      <w:r>
        <w:rPr>
          <w:vertAlign w:val="superscript"/>
        </w:rPr>
        <w:t xml:space="preserve">[</w:t>
      </w:r>
      <w:hyperlink w:anchor="ref-1451">
        <w:r>
          <w:rPr>
            <w:rStyle w:val="Hyperlink"/>
            <w:vertAlign w:val="superscript"/>
          </w:rPr>
          <w:t xml:space="preserve">1451</w:t>
        </w:r>
      </w:hyperlink>
      <w:r>
        <w:rPr>
          <w:vertAlign w:val="superscript"/>
        </w:rPr>
        <w:t xml:space="preserve">]</w:t>
      </w:r>
      <w:r>
        <w:t xml:space="preserve">。光的作用还依赖持续时间、强度、光谱和既往光照史。</w:t>
      </w:r>
    </w:p>
    <w:p>
      <w:pPr>
        <w:pStyle w:val="BodyText"/>
      </w:pPr>
      <w:r>
        <w:t xml:space="preserve">相位反应曲线表达输入发生时间与后续节律位移的关系。它不能直接作为人人适用的钟表时间表。设一个人的内部夜晚比另一个人晚三小时，同样早上六点的光，对两人的相位含义可能不同。缺乏相位信息时，简单增加光照量未必实现希望的方向。节律治疗因而包含测量、定时和随访，并需要结合眼部状况、情绪病程及工作安全等条件。</w:t>
      </w:r>
    </w:p>
    <w:p>
      <w:pPr>
        <w:pStyle w:val="BodyText"/>
      </w:pPr>
      <w:r>
        <w:t xml:space="preserve">褪黑素既是节律相关信号，也能作为有特定药理作用的外源性物质。血液或唾液中暗光条件下的分泌起始时点，可用于估计内部相位；一晚是否容易入睡属于另一个层面的观察。检测条件的光线变化会影响相位测量。外源性制剂的作用不能简化为越多越能调好时差，本章的机制说明不构成具体时间或剂量方案</w:t>
      </w:r>
      <w:r>
        <w:rPr>
          <w:vertAlign w:val="superscript"/>
        </w:rPr>
        <w:t xml:space="preserve">[</w:t>
      </w:r>
      <w:hyperlink w:anchor="ref-1449">
        <w:r>
          <w:rPr>
            <w:rStyle w:val="Hyperlink"/>
            <w:vertAlign w:val="superscript"/>
          </w:rPr>
          <w:t xml:space="preserve">1449</w:t>
        </w:r>
      </w:hyperlink>
      <w:r>
        <w:rPr>
          <w:vertAlign w:val="superscript"/>
        </w:rPr>
        <w:t xml:space="preserve">]</w:t>
      </w:r>
      <w:r>
        <w:t xml:space="preserve">。</w:t>
      </w:r>
    </w:p>
    <w:bookmarkEnd w:id="2214"/>
    <w:bookmarkStart w:id="2215" w:name="sec-137-4"/>
    <w:p>
      <w:pPr>
        <w:pStyle w:val="Heading3"/>
      </w:pPr>
      <w:r>
        <w:t xml:space="preserve">137.4　晚睡倾向与节律障碍的区分</w:t>
      </w:r>
    </w:p>
    <w:p>
      <w:pPr>
        <w:pStyle w:val="FirstParagraph"/>
      </w:pPr>
      <w:r>
        <w:t xml:space="preserve">个体存在晨型和晚型倾向，这些倾向与年龄及环境共同变化。偏晚的自然睡眠时间本身不必然造成疾病。临床关注的是稳定的时间错位是否引起显著睡眠困难、日间损害，以及这种模式能否在允许自由安排时得到解释。例如，在工作日无法按要求早睡早起、休息日则按稳定较晚时段睡得较好，提示需要考虑节律因素，仍需排除睡眠不足及其他原因</w:t>
      </w:r>
      <w:r>
        <w:rPr>
          <w:vertAlign w:val="superscript"/>
        </w:rPr>
        <w:t xml:space="preserve">[</w:t>
      </w:r>
      <w:hyperlink w:anchor="ref-1449">
        <w:r>
          <w:rPr>
            <w:rStyle w:val="Hyperlink"/>
            <w:vertAlign w:val="superscript"/>
          </w:rPr>
          <w:t xml:space="preserve">1449</w:t>
        </w:r>
      </w:hyperlink>
      <w:r>
        <w:rPr>
          <w:vertAlign w:val="superscript"/>
        </w:rPr>
        <w:t xml:space="preserve">]</w:t>
      </w:r>
      <w:r>
        <w:t xml:space="preserve">。</w:t>
      </w:r>
    </w:p>
    <w:p>
      <w:pPr>
        <w:pStyle w:val="BodyText"/>
      </w:pPr>
      <w:r>
        <w:t xml:space="preserve">节律相位延迟与慢性失眠可共存。一个内部夜晚较迟的人若长期提前上床，可能在床上维持清醒并产生担忧；后来即使时相得到调整，条件化的警觉仍可能持续。这种交互说明诊断类别可以表示不同层次的问题，实际评估允许多个机制同时存在。仅用懒惰或意志薄弱解释晚起，无法处理相位、睡眠机会和条件化唤醒之间的关系。</w:t>
      </w:r>
    </w:p>
    <w:p>
      <w:pPr>
        <w:pStyle w:val="BodyText"/>
      </w:pPr>
      <w:r>
        <w:t xml:space="preserve">非二十四小时节律及不规则睡眠觉醒模式又有不同结构。前者的睡眠相位可逐日漂移，后者可能在一天内分散成多个缺少稳定主睡眠段的片段。单次问诊或仅看某一夜，容易把长期轨迹折叠成偶然的早睡或晚睡。连续记录的价值来自辨认模式，并不意味着记录越精细就越接近个人全部生理真相。</w:t>
      </w:r>
    </w:p>
    <w:bookmarkEnd w:id="2215"/>
    <w:bookmarkStart w:id="2216" w:name="sec-137-5"/>
    <w:p>
      <w:pPr>
        <w:pStyle w:val="Heading3"/>
      </w:pPr>
      <w:r>
        <w:t xml:space="preserve">137.5　失眠中的唤醒与学习过程</w:t>
      </w:r>
    </w:p>
    <w:p>
      <w:pPr>
        <w:pStyle w:val="FirstParagraph"/>
      </w:pPr>
      <w:r>
        <w:t xml:space="preserve">慢性失眠包含持续的入睡、维持睡眠或过早醒来困难，并伴相应日间影响，同时需要考虑足够睡眠机会。它不能仅由睡眠时长界定。有人睡眠时间偏短却功能良好，有人总时长尚可但长期经历碎片化睡眠、明显担忧和日间损害。欧洲指南将临床访谈、睡眠日记、共病和相关因素纳入评估，并支持认知行为治疗作为成人慢性失眠的一线选择</w:t>
      </w:r>
      <w:r>
        <w:rPr>
          <w:vertAlign w:val="superscript"/>
        </w:rPr>
        <w:t xml:space="preserve">[</w:t>
      </w:r>
      <w:hyperlink w:anchor="ref-1447">
        <w:r>
          <w:rPr>
            <w:rStyle w:val="Hyperlink"/>
            <w:vertAlign w:val="superscript"/>
          </w:rPr>
          <w:t xml:space="preserve">1447</w:t>
        </w:r>
      </w:hyperlink>
      <w:r>
        <w:rPr>
          <w:vertAlign w:val="superscript"/>
        </w:rPr>
        <w:t xml:space="preserve">]</w:t>
      </w:r>
      <w:r>
        <w:t xml:space="preserve">。</w:t>
      </w:r>
    </w:p>
    <w:p>
      <w:pPr>
        <w:pStyle w:val="BodyText"/>
      </w:pPr>
      <w:r>
        <w:t xml:space="preserve">从学习机制看，反复在床上担心次日表现，可能使床和卧室逐渐成为警觉的线索。一个人起初因疼痛醒来，后来疼痛减轻，却继续监视时钟、计算剩余睡眠并预测失败。最初诱发因素和后续维持因素由此可以分离。这个解释并不要求认为症状是想象出来的；认知、交感活动、行为安排和睡眠状态可以形成相互加强的循环。</w:t>
      </w:r>
    </w:p>
    <w:p>
      <w:pPr>
        <w:pStyle w:val="BodyText"/>
      </w:pPr>
      <w:r>
        <w:t xml:space="preserve">对睡眠的控制努力也可能产生悖论。刻意检查自己是否已经放松，需要维持监控；监控让任何心跳变化或短暂清醒显得突出，再引发更多检查。治疗中的认知与行为工作，会针对这种过程及个体实际作息重新组织学习条件。它包含结构化评估和训练，普通的少喝咖啡、保持卧室安静等教育，不能完整代表这一治疗体系</w:t>
      </w:r>
      <w:r>
        <w:rPr>
          <w:vertAlign w:val="superscript"/>
        </w:rPr>
        <w:t xml:space="preserve">[</w:t>
      </w:r>
      <w:hyperlink w:anchor="ref-547">
        <w:r>
          <w:rPr>
            <w:rStyle w:val="Hyperlink"/>
            <w:vertAlign w:val="superscript"/>
          </w:rPr>
          <w:t xml:space="preserve">547</w:t>
        </w:r>
      </w:hyperlink>
      <w:r>
        <w:rPr>
          <w:vertAlign w:val="superscript"/>
        </w:rPr>
        <w:t xml:space="preserve">]</w:t>
      </w:r>
      <w:r>
        <w:t xml:space="preserve">。</w:t>
      </w:r>
    </w:p>
    <w:bookmarkEnd w:id="2216"/>
    <w:bookmarkStart w:id="2217" w:name="sec-137-6"/>
    <w:p>
      <w:pPr>
        <w:pStyle w:val="Heading3"/>
      </w:pPr>
      <w:r>
        <w:t xml:space="preserve">137.6　主观与客观睡眠不一致如何理解</w:t>
      </w:r>
    </w:p>
    <w:p>
      <w:pPr>
        <w:pStyle w:val="FirstParagraph"/>
      </w:pPr>
      <w:r>
        <w:t xml:space="preserve">一个人报告整晚几乎没有睡，监测却记录到若干睡眠阶段，这种不一致需要解释。回忆会受到觉醒片段、夜间思考、早晨情绪和时间估计的影响；标准分期则根据规定长度的信号片段作状态分类，无法完整表达每个时刻的主观体验。因此，两种资料可以测量睡眠的不同侧面，不能用其中一种直接取消另一种。</w:t>
      </w:r>
    </w:p>
    <w:p>
      <w:pPr>
        <w:pStyle w:val="BodyText"/>
      </w:pPr>
      <w:r>
        <w:t xml:space="preserve">假设一晚八小时记录里存在许多短暂清醒，早晨最容易记住的可能正是那些反复看表的片段。将这些鲜明片段连续拼接，会形成整晚都醒着的感受。反过来，一个人可能不记得大量呼吸相关微觉醒，仍认为自己从未醒过。临床工作需要把报告、日间功能及适当检测结合起来，而每一种检测都有明确的问题范围。</w:t>
      </w:r>
    </w:p>
    <w:p>
      <w:pPr>
        <w:pStyle w:val="BodyText"/>
      </w:pPr>
      <w:r>
        <w:t xml:space="preserve">多导睡眠监测适用于怀疑呼吸障碍、异常夜间行为等场景；它不自动成为每位失眠者都必须反复接受的检查。对于常规慢性失眠，病史和日记能够提供大量关键资料。设备的存在应服务于具体的不确定问题，例如是否有呼吸事件或异常运动，不能让一次正常监测被误读为没有任何睡眠痛苦</w:t>
      </w:r>
      <w:r>
        <w:rPr>
          <w:vertAlign w:val="superscript"/>
        </w:rPr>
        <w:t xml:space="preserve">[</w:t>
      </w:r>
      <w:hyperlink w:anchor="ref-1447">
        <w:r>
          <w:rPr>
            <w:rStyle w:val="Hyperlink"/>
            <w:vertAlign w:val="superscript"/>
          </w:rPr>
          <w:t xml:space="preserve">1447</w:t>
        </w:r>
      </w:hyperlink>
      <w:r>
        <w:rPr>
          <w:vertAlign w:val="superscript"/>
        </w:rPr>
        <w:t xml:space="preserve">]</w:t>
      </w:r>
      <w:r>
        <w:t xml:space="preserve">。</w:t>
      </w:r>
    </w:p>
    <w:bookmarkEnd w:id="2217"/>
    <w:bookmarkStart w:id="2218" w:name="sec-137-7"/>
    <w:p>
      <w:pPr>
        <w:pStyle w:val="Heading3"/>
      </w:pPr>
      <w:r>
        <w:t xml:space="preserve">137.7　促进睡眠的药理作用具有多个终点</w:t>
      </w:r>
    </w:p>
    <w:p>
      <w:pPr>
        <w:pStyle w:val="FirstParagraph"/>
      </w:pPr>
      <w:r>
        <w:t xml:space="preserve">镇静、缩短入睡时间、减少夜间清醒、改善次日功能和降低长期疾病风险，是不同终点。某种药物使人更快失去对环境的反应，并不自动证明其恢复了正常睡眠微结构，也不能据此推导长期认知保护。评价还需要观察次日警觉、跌倒、呼吸、耐受和停药相关现象，并考虑其他药物和共病。</w:t>
      </w:r>
    </w:p>
    <w:p>
      <w:pPr>
        <w:pStyle w:val="BodyText"/>
      </w:pPr>
      <w:r>
        <w:t xml:space="preserve">食欲素受体拮抗剂通过减弱促清醒信号帮助睡眠，部分其他药物通过增强抑制性受体作用产生镇静。机制差异可能影响作用谱，但某种机制听起来接近自然，仍不足以证明所有长期结局更好。指南对具体人群、时程和证据强度作不同判断，实际选择需要综合功能需求与风险</w:t>
      </w:r>
      <w:r>
        <w:rPr>
          <w:vertAlign w:val="superscript"/>
        </w:rPr>
        <w:t xml:space="preserve">[</w:t>
      </w:r>
      <w:hyperlink w:anchor="ref-1447">
        <w:r>
          <w:rPr>
            <w:rStyle w:val="Hyperlink"/>
            <w:vertAlign w:val="superscript"/>
          </w:rPr>
          <w:t xml:space="preserve">1447</w:t>
        </w:r>
      </w:hyperlink>
      <w:r>
        <w:rPr>
          <w:vertAlign w:val="superscript"/>
        </w:rPr>
        <w:t xml:space="preserve">,</w:t>
      </w:r>
      <w:hyperlink w:anchor="ref-1452">
        <w:r>
          <w:rPr>
            <w:rStyle w:val="Hyperlink"/>
            <w:vertAlign w:val="superscript"/>
          </w:rPr>
          <w:t xml:space="preserve">1452</w:t>
        </w:r>
      </w:hyperlink>
      <w:r>
        <w:rPr>
          <w:vertAlign w:val="superscript"/>
        </w:rPr>
        <w:t xml:space="preserve">]</w:t>
      </w:r>
      <w:r>
        <w:t xml:space="preserve">。</w:t>
      </w:r>
    </w:p>
    <w:p>
      <w:pPr>
        <w:pStyle w:val="BodyText"/>
      </w:pPr>
      <w:r>
        <w:t xml:space="preserve">药理作用还揭示了症状与系统稳定性的区别。同一个清醒促进系统，过强或不合时相的活动可能妨碍睡眠，关键神经元丢失又可能造成白天难以维持清醒。由此不能推出简单的递质越多越健康或越少越健康。合适的水平、相位和网络协调共同决定作用。</w:t>
      </w:r>
    </w:p>
    <w:bookmarkEnd w:id="2218"/>
    <w:bookmarkStart w:id="2219" w:name="sec-137-8"/>
    <w:p>
      <w:pPr>
        <w:pStyle w:val="Heading3"/>
      </w:pPr>
      <w:r>
        <w:t xml:space="preserve">137.8　阻塞性睡眠呼吸暂停中的力学与反馈</w:t>
      </w:r>
    </w:p>
    <w:p>
      <w:pPr>
        <w:pStyle w:val="FirstParagraph"/>
      </w:pPr>
      <w:r>
        <w:t xml:space="preserve">阻塞性睡眠呼吸暂停涉及睡眠期间上气道反复变窄或关闭。气道形态、周围组织负荷、肺容积和扩张肌反应共同影响通畅程度。吸气时管腔内负压增加，若支撑不足便可能加重塌陷；呼吸努力持续存在，通气却不能相应增加。相关低氧、二氧化碳变化和觉醒会进一步扰动睡眠</w:t>
      </w:r>
      <w:r>
        <w:rPr>
          <w:vertAlign w:val="superscript"/>
        </w:rPr>
        <w:t xml:space="preserve">[</w:t>
      </w:r>
      <w:hyperlink w:anchor="ref-1453">
        <w:r>
          <w:rPr>
            <w:rStyle w:val="Hyperlink"/>
            <w:vertAlign w:val="superscript"/>
          </w:rPr>
          <w:t xml:space="preserve">1453</w:t>
        </w:r>
      </w:hyperlink>
      <w:r>
        <w:rPr>
          <w:vertAlign w:val="superscript"/>
        </w:rPr>
        <w:t xml:space="preserve">]</w:t>
      </w:r>
      <w:r>
        <w:t xml:space="preserve">。</w:t>
      </w:r>
    </w:p>
    <w:p>
      <w:pPr>
        <w:pStyle w:val="BodyText"/>
      </w:pPr>
      <w:r>
        <w:t xml:space="preserve">人体生理分型研究还指出，呼吸控制稳定性、觉醒阈值和上气道肌肉反应存在个体差异。所谓高环路增益，可理解为控制系统对通气扰动产生较大补偿，补偿过冲随后又引起相反偏差。解剖与反馈过程因此能够共同产生相似的呼吸事件；这种分型为研究靶点提供线索，尚不能替代对每种具体干预的临床验证</w:t>
      </w:r>
      <w:r>
        <w:rPr>
          <w:vertAlign w:val="superscript"/>
        </w:rPr>
        <w:t xml:space="preserve">[</w:t>
      </w:r>
      <w:hyperlink w:anchor="ref-1453">
        <w:r>
          <w:rPr>
            <w:rStyle w:val="Hyperlink"/>
            <w:vertAlign w:val="superscript"/>
          </w:rPr>
          <w:t xml:space="preserve">1453</w:t>
        </w:r>
      </w:hyperlink>
      <w:r>
        <w:rPr>
          <w:vertAlign w:val="superscript"/>
        </w:rPr>
        <w:t xml:space="preserve">]</w:t>
      </w:r>
      <w:r>
        <w:t xml:space="preserve">。</w:t>
      </w:r>
    </w:p>
    <w:p>
      <w:pPr>
        <w:pStyle w:val="BodyText"/>
      </w:pPr>
      <w:r>
        <w:t xml:space="preserve">一个条件推导说明二者如何交互：若气道比较容易塌陷，轻微肌张力变化就可能造成明显阻塞；若气道结构相对较稳定，但通气驱动反复大幅摆动，低驱动阶段仍可能产生不稳定。相似的呼吸暂停次数由不同因素组合而成。体重虽是重要变量，不能用体型单独排除或确认所有人的睡眠呼吸障碍。</w:t>
      </w:r>
    </w:p>
    <w:bookmarkEnd w:id="2219"/>
    <w:bookmarkStart w:id="2220" w:name="sec-137-9"/>
    <w:p>
      <w:pPr>
        <w:pStyle w:val="Heading3"/>
      </w:pPr>
      <w:r>
        <w:t xml:space="preserve">137.9　呼吸事件次数与疾病负担</w:t>
      </w:r>
    </w:p>
    <w:p>
      <w:pPr>
        <w:pStyle w:val="FirstParagraph"/>
      </w:pPr>
      <w:r>
        <w:t xml:space="preserve">呼吸暂停低通气指数把符合定义的事件数除以睡眠小时数，提供一种标准化频率。它没有完整保留每次事件的持续时间、低氧深度、低氧累计负担、觉醒程度及发生的睡眠阶段。同样每小时二十次事件，两个人的血氧下降和次日功能可能不同。用于研究分层的指标，需要与患者实际关心的结局共同解释。</w:t>
      </w:r>
    </w:p>
    <w:p>
      <w:pPr>
        <w:pStyle w:val="BodyText"/>
      </w:pPr>
      <w:r>
        <w:t xml:space="preserve">分母也有意义。部分家庭检测没有完整脑电分期，使用记录时长或估计的监测时间，与实验室按真实睡眠时间计算的指标可能存在差别。如果长时间清醒被纳入分母，事件频率可能被低估。这类局限有助于解释为何某些临床怀疑较强但结果阴性的情形仍需要进一步专业评估</w:t>
      </w:r>
      <w:r>
        <w:rPr>
          <w:vertAlign w:val="superscript"/>
        </w:rPr>
        <w:t xml:space="preserve">[</w:t>
      </w:r>
      <w:hyperlink w:anchor="ref-548">
        <w:r>
          <w:rPr>
            <w:rStyle w:val="Hyperlink"/>
            <w:vertAlign w:val="superscript"/>
          </w:rPr>
          <w:t xml:space="preserve">548</w:t>
        </w:r>
      </w:hyperlink>
      <w:r>
        <w:rPr>
          <w:vertAlign w:val="superscript"/>
        </w:rPr>
        <w:t xml:space="preserve">]</w:t>
      </w:r>
      <w:r>
        <w:t xml:space="preserve">。</w:t>
      </w:r>
    </w:p>
    <w:p>
      <w:pPr>
        <w:pStyle w:val="BodyText"/>
      </w:pPr>
      <w:r>
        <w:t xml:space="preserve">打鼾可以提供线索，响度不等于阻塞严重度。没有被同住者观察到暂停，也不能证明没有事件，因为观察机会、睡姿和当夜状态不同。与此同时，夜间低氧也可能有其他心肺或通气原因。睡眠呼吸检测需要保留气流、努力、血氧和睡眠状态之间的对应关系，单个血氧最低值不能完成全部分类。</w:t>
      </w:r>
    </w:p>
    <w:bookmarkEnd w:id="2220"/>
    <w:bookmarkStart w:id="2221" w:name="sec-137-10"/>
    <w:p>
      <w:pPr>
        <w:pStyle w:val="Heading3"/>
      </w:pPr>
      <w:r>
        <w:t xml:space="preserve">137.10　呼吸治疗的症状收益与心血管结局</w:t>
      </w:r>
    </w:p>
    <w:p>
      <w:pPr>
        <w:pStyle w:val="FirstParagraph"/>
      </w:pPr>
      <w:r>
        <w:t xml:space="preserve">正压通气可以通过气道支撑减少阻塞事件，其机制和对特定睡眠指标的效应明确。SAVE 随机试验纳入2717名已有心脑血管病的中重度阻塞性呼吸暂停患者，并排除了严重嗜睡者，入组者多数白天嗜睡较轻。主要心血管复合结局未见显著改善，危险比 HR 为1.10，置信区间0.91至1.32；HR 比较随访中的瞬时事件发生速率，与期末累计概率之比不同；平均使用时长约每夜3.3小时，部分症状及生活质量改善。该结果说明这组人、这种实际使用条件下的心血管终点，与症状终点需要分别讨论</w:t>
      </w:r>
      <w:r>
        <w:rPr>
          <w:vertAlign w:val="superscript"/>
        </w:rPr>
        <w:t xml:space="preserve">[</w:t>
      </w:r>
      <w:hyperlink w:anchor="ref-1454">
        <w:r>
          <w:rPr>
            <w:rStyle w:val="Hyperlink"/>
            <w:vertAlign w:val="superscript"/>
          </w:rPr>
          <w:t xml:space="preserve">1454</w:t>
        </w:r>
      </w:hyperlink>
      <w:r>
        <w:rPr>
          <w:vertAlign w:val="superscript"/>
        </w:rPr>
        <w:t xml:space="preserve">]</w:t>
      </w:r>
      <w:r>
        <w:t xml:space="preserve">。</w:t>
      </w:r>
    </w:p>
    <w:p>
      <w:pPr>
        <w:pStyle w:val="BodyText"/>
      </w:pPr>
      <w:r>
        <w:t xml:space="preserve">依从性是现实治疗的一部分，同时也是因果解释的难点。依从较好的人可能有更强支持、更少副作用或不同健康行为，将其直接与依从差的人比较，会失去随机分配原有的平衡。不能仅凭事后依从亚组宣称已证明死亡风险下降；也不能从主要终点阴性推导一个有明显嗜睡者不会获得功能收益。</w:t>
      </w:r>
    </w:p>
    <w:p>
      <w:pPr>
        <w:pStyle w:val="BodyText"/>
      </w:pPr>
      <w:r>
        <w:t xml:space="preserve">2024年 SURMOUNT-OSA 的两项随机试验在肥胖伴中重度阻塞性呼吸暂停成人中研究替尔泊肽，52周呼吸事件频率相对安慰剂的平均差约为每小时减少20.0与23.8次，同时观察到体重及部分患者报告结局改善。试验由 Eli Lilly 资助，主要不良事件为胃肠道症状。结果支持特定人群和目标，尚不能由一年呼吸指标变化推定长期脑卒中或痴呆已获预防，也不构成自行替代既有呼吸治疗的依据</w:t>
      </w:r>
      <w:r>
        <w:rPr>
          <w:vertAlign w:val="superscript"/>
        </w:rPr>
        <w:t xml:space="preserve">[</w:t>
      </w:r>
      <w:hyperlink w:anchor="ref-1455">
        <w:r>
          <w:rPr>
            <w:rStyle w:val="Hyperlink"/>
            <w:vertAlign w:val="superscript"/>
          </w:rPr>
          <w:t xml:space="preserve">1455</w:t>
        </w:r>
      </w:hyperlink>
      <w:r>
        <w:rPr>
          <w:vertAlign w:val="superscript"/>
        </w:rPr>
        <w:t xml:space="preserve">]</w:t>
      </w:r>
      <w:r>
        <w:t xml:space="preserve">。</w:t>
      </w:r>
    </w:p>
    <w:bookmarkEnd w:id="2221"/>
    <w:bookmarkStart w:id="2222" w:name="sec-137-11"/>
    <w:p>
      <w:pPr>
        <w:pStyle w:val="Heading3"/>
      </w:pPr>
      <w:r>
        <w:t xml:space="preserve">137.11　中枢性呼吸暂停与控制系统的稳定性</w:t>
      </w:r>
    </w:p>
    <w:p>
      <w:pPr>
        <w:pStyle w:val="FirstParagraph"/>
      </w:pPr>
      <w:r>
        <w:t xml:space="preserve">中枢性呼吸暂停中的呼吸驱动可暂时减少或消失，通常表现为气流与呼吸努力相应下降。部分情境与过度通气后的二氧化碳下降有关，另一些与药物、心衰、高海拔或神经系统病变相关。睡眠削弱了清醒时维持呼吸的某些驱动，使反馈延迟和化学感受的作用更突出。阻塞与中枢事件也能在同一个人中共存</w:t>
      </w:r>
      <w:r>
        <w:rPr>
          <w:vertAlign w:val="superscript"/>
        </w:rPr>
        <w:t xml:space="preserve">[</w:t>
      </w:r>
      <w:hyperlink w:anchor="ref-1456">
        <w:r>
          <w:rPr>
            <w:rStyle w:val="Hyperlink"/>
            <w:vertAlign w:val="superscript"/>
          </w:rPr>
          <w:t xml:space="preserve">1456</w:t>
        </w:r>
      </w:hyperlink>
      <w:r>
        <w:rPr>
          <w:vertAlign w:val="superscript"/>
        </w:rPr>
        <w:t xml:space="preserve">]</w:t>
      </w:r>
      <w:r>
        <w:t xml:space="preserve">。</w:t>
      </w:r>
    </w:p>
    <w:p>
      <w:pPr>
        <w:pStyle w:val="BodyText"/>
      </w:pPr>
      <w:r>
        <w:t xml:space="preserve">反馈系统可以用一个假设说明：若血液运输和感受之间存在较长延迟，当前的通气命令可能反映较早的气体状态；过强补偿令二氧化碳进一步下降，随后驱动不足，再启动新的补偿。周期性变化由延迟、增益和基础状态共同产生。这种系统解释有助于理解病理，却不能根据一条曲线直接挑选通气设备参数。</w:t>
      </w:r>
    </w:p>
    <w:p>
      <w:pPr>
        <w:pStyle w:val="BodyText"/>
      </w:pPr>
      <w:r>
        <w:t xml:space="preserve">不同设备和算法需要分别验证。SERVE-HF 在1325名特定收缩性心衰、以中枢事件为主的人群中，观察到所用自适应伺服通气方案的死亡风险增加；ADVENT-HF 采用不同的设备算法，并同时纳入以阻塞性和以中枢性事件为主的患者，在731人中未见主要复合结局获益，也未发现同样的安全信号，但研究存在提前终止等限制。2025年指南结合后续资料提出有条件的选择，并强调低射血分数心衰中的经验中心及监测。两个试验不能被压缩成所有此类设备永远有害或普遍安全</w:t>
      </w:r>
      <w:r>
        <w:rPr>
          <w:vertAlign w:val="superscript"/>
        </w:rPr>
        <w:t xml:space="preserve">[</w:t>
      </w:r>
      <w:hyperlink w:anchor="ref-1456">
        <w:r>
          <w:rPr>
            <w:rStyle w:val="Hyperlink"/>
            <w:vertAlign w:val="superscript"/>
          </w:rPr>
          <w:t xml:space="preserve">1456</w:t>
        </w:r>
      </w:hyperlink>
      <w:r>
        <w:rPr>
          <w:vertAlign w:val="superscript"/>
        </w:rPr>
        <w:t xml:space="preserve">,</w:t>
      </w:r>
      <w:hyperlink w:anchor="ref-1457">
        <w:r>
          <w:rPr>
            <w:rStyle w:val="Hyperlink"/>
            <w:vertAlign w:val="superscript"/>
          </w:rPr>
          <w:t xml:space="preserve">1457</w:t>
        </w:r>
      </w:hyperlink>
      <w:r>
        <w:rPr>
          <w:vertAlign w:val="superscript"/>
        </w:rPr>
        <w:t xml:space="preserve">,</w:t>
      </w:r>
      <w:hyperlink w:anchor="ref-1458">
        <w:r>
          <w:rPr>
            <w:rStyle w:val="Hyperlink"/>
            <w:vertAlign w:val="superscript"/>
          </w:rPr>
          <w:t xml:space="preserve">1458</w:t>
        </w:r>
      </w:hyperlink>
      <w:r>
        <w:rPr>
          <w:vertAlign w:val="superscript"/>
        </w:rPr>
        <w:t xml:space="preserve">]</w:t>
      </w:r>
      <w:r>
        <w:t xml:space="preserve">。</w:t>
      </w:r>
    </w:p>
    <w:bookmarkEnd w:id="2222"/>
    <w:bookmarkStart w:id="2223" w:name="sec-137-12"/>
    <w:p>
      <w:pPr>
        <w:pStyle w:val="Heading3"/>
      </w:pPr>
      <w:r>
        <w:t xml:space="preserve">137.12　嗜睡评估先区分机会不足与状态不稳定</w:t>
      </w:r>
    </w:p>
    <w:p>
      <w:pPr>
        <w:pStyle w:val="FirstParagraph"/>
      </w:pPr>
      <w:r>
        <w:t xml:space="preserve">白天容易睡着可以来自不足的睡眠机会、夜间碎片化、节律错位、药物作用、中枢性嗜睡及其他疾病。一个考试周连续缩短睡眠的学生，与一个有充分机会仍出现不可抗拒睡眠的人，不能仅凭课堂打瞌睡归为同一机制。日记及必要的活动记录可以帮助观察睡眠机会，检测结果则需要放回生活轨迹。</w:t>
      </w:r>
    </w:p>
    <w:p>
      <w:pPr>
        <w:pStyle w:val="BodyText"/>
      </w:pPr>
      <w:r>
        <w:t xml:space="preserve">多次睡眠潜伏期试验测量标准条件下多次小睡机会中的入睡倾向和入睡后快速眼动睡眠情况；清醒维持试验考察在规定条件下保持清醒的能力。两者回答的问题不同。前期睡眠不足、轮班、节律异常和影响快速眼动睡眠的药物，都可能改变结果，因此专业协议强调准备、记录和解释条件</w:t>
      </w:r>
      <w:r>
        <w:rPr>
          <w:vertAlign w:val="superscript"/>
        </w:rPr>
        <w:t xml:space="preserve">[</w:t>
      </w:r>
      <w:hyperlink w:anchor="ref-1459">
        <w:r>
          <w:rPr>
            <w:rStyle w:val="Hyperlink"/>
            <w:vertAlign w:val="superscript"/>
          </w:rPr>
          <w:t xml:space="preserve">1459</w:t>
        </w:r>
      </w:hyperlink>
      <w:r>
        <w:rPr>
          <w:vertAlign w:val="superscript"/>
        </w:rPr>
        <w:t xml:space="preserve">]</w:t>
      </w:r>
      <w:r>
        <w:t xml:space="preserve">。</w:t>
      </w:r>
    </w:p>
    <w:p>
      <w:pPr>
        <w:pStyle w:val="BodyText"/>
      </w:pPr>
      <w:r>
        <w:t xml:space="preserve">快速入睡这一单项结果不能自动完成病因诊断。假设一个人此前长期缺觉，即便检查前一晚有较长睡眠，其累积状态也可能尚未稳定。另一方面，某些药物改变快速眼动表现，突然调整还可能出现反跳。有效评估需要由专业人员管理这些变量，本章不提供为获得某种检测结果而自行停药或限制睡眠的方法。</w:t>
      </w:r>
    </w:p>
    <w:bookmarkEnd w:id="2223"/>
    <w:bookmarkStart w:id="2224" w:name="sec-137-13"/>
    <w:p>
      <w:pPr>
        <w:pStyle w:val="Heading3"/>
      </w:pPr>
      <w:r>
        <w:t xml:space="preserve">137.13　发作性睡病中的食欲素与状态转换</w:t>
      </w:r>
    </w:p>
    <w:p>
      <w:pPr>
        <w:pStyle w:val="FirstParagraph"/>
      </w:pPr>
      <w:r>
        <w:t xml:space="preserve">一型发作性睡病常涉及食欲素系统缺失及猝倒，二型在临床定义和生物学上具有不同边界。人体死后组织研究观察到特定发作性睡病患者中食欲素神经元显著减少，为其机制提供了关键证据。细胞丢失研究不能被推广为所有嗜睡者都存在同样病理，也不能用一次白天困倦反推神经元数量</w:t>
      </w:r>
      <w:r>
        <w:rPr>
          <w:vertAlign w:val="superscript"/>
        </w:rPr>
        <w:t xml:space="preserve">[</w:t>
      </w:r>
      <w:hyperlink w:anchor="ref-1460">
        <w:r>
          <w:rPr>
            <w:rStyle w:val="Hyperlink"/>
            <w:vertAlign w:val="superscript"/>
          </w:rPr>
          <w:t xml:space="preserve">1460</w:t>
        </w:r>
      </w:hyperlink>
      <w:r>
        <w:rPr>
          <w:vertAlign w:val="superscript"/>
        </w:rPr>
        <w:t xml:space="preserve">,</w:t>
      </w:r>
      <w:hyperlink w:anchor="ref-1461">
        <w:r>
          <w:rPr>
            <w:rStyle w:val="Hyperlink"/>
            <w:vertAlign w:val="superscript"/>
          </w:rPr>
          <w:t xml:space="preserve">1461</w:t>
        </w:r>
      </w:hyperlink>
      <w:r>
        <w:rPr>
          <w:vertAlign w:val="superscript"/>
        </w:rPr>
        <w:t xml:space="preserve">]</w:t>
      </w:r>
      <w:r>
        <w:t xml:space="preserve">。</w:t>
      </w:r>
    </w:p>
    <w:p>
      <w:pPr>
        <w:pStyle w:val="BodyText"/>
      </w:pPr>
      <w:r>
        <w:t xml:space="preserve">猝倒可表现为情绪触发的短暂肌张力丧失，意识通常保留。它与昏厥、癫痫、一般无力和突然入睡需要区分。食欲素通路帮助稳定清醒，并影响不同状态之间的转换；其功能不足可以使某些通常属于睡眠的特征进入清醒。这个模型也解释了为何相关症状应按组合和时间关系观察，孤立睡眠瘫痪或入睡前生动体验无法单独确诊发作性睡病</w:t>
      </w:r>
      <w:r>
        <w:rPr>
          <w:vertAlign w:val="superscript"/>
        </w:rPr>
        <w:t xml:space="preserve">[</w:t>
      </w:r>
      <w:hyperlink w:anchor="ref-1452">
        <w:r>
          <w:rPr>
            <w:rStyle w:val="Hyperlink"/>
            <w:vertAlign w:val="superscript"/>
          </w:rPr>
          <w:t xml:space="preserve">1452</w:t>
        </w:r>
      </w:hyperlink>
      <w:r>
        <w:rPr>
          <w:vertAlign w:val="superscript"/>
        </w:rPr>
        <w:t xml:space="preserve">,</w:t>
      </w:r>
      <w:hyperlink w:anchor="ref-1461">
        <w:r>
          <w:rPr>
            <w:rStyle w:val="Hyperlink"/>
            <w:vertAlign w:val="superscript"/>
          </w:rPr>
          <w:t xml:space="preserve">1461</w:t>
        </w:r>
      </w:hyperlink>
      <w:r>
        <w:rPr>
          <w:vertAlign w:val="superscript"/>
        </w:rPr>
        <w:t xml:space="preserve">]</w:t>
      </w:r>
      <w:r>
        <w:t xml:space="preserve">。</w:t>
      </w:r>
    </w:p>
    <w:p>
      <w:pPr>
        <w:pStyle w:val="BodyText"/>
      </w:pPr>
      <w:r>
        <w:t xml:space="preserve">2025年一项112人的二期随机试验研究食欲素二型受体激动剂 oveporexton，八周内观察到清醒维持、嗜睡及部分猝倒指标的改善，同时记录失眠和泌尿症状。研究由 Takeda 资助。这类结果展示受体靶向的转化潜力，短期改善不能证明丢失神经元已再生，也不能替代长期安全与真实生活功能的评价</w:t>
      </w:r>
      <w:r>
        <w:rPr>
          <w:vertAlign w:val="superscript"/>
        </w:rPr>
        <w:t xml:space="preserve">[</w:t>
      </w:r>
      <w:hyperlink w:anchor="ref-1462">
        <w:r>
          <w:rPr>
            <w:rStyle w:val="Hyperlink"/>
            <w:vertAlign w:val="superscript"/>
          </w:rPr>
          <w:t xml:space="preserve">1462</w:t>
        </w:r>
      </w:hyperlink>
      <w:r>
        <w:rPr>
          <w:vertAlign w:val="superscript"/>
        </w:rPr>
        <w:t xml:space="preserve">]</w:t>
      </w:r>
      <w:r>
        <w:t xml:space="preserve">。</w:t>
      </w:r>
    </w:p>
    <w:bookmarkEnd w:id="2224"/>
    <w:bookmarkStart w:id="2225" w:name="sec-137-14"/>
    <w:p>
      <w:pPr>
        <w:pStyle w:val="Heading3"/>
      </w:pPr>
      <w:r>
        <w:t xml:space="preserve">137.14　特发性嗜睡与睡眠惯性</w:t>
      </w:r>
    </w:p>
    <w:p>
      <w:pPr>
        <w:pStyle w:val="FirstParagraph"/>
      </w:pPr>
      <w:r>
        <w:t xml:space="preserve">中枢性嗜睡还包括特发性嗜睡等情况，不能把全部患者都归入发作性睡病。部分人突出表现为很长的睡眠、醒来困难及显著睡眠惯性，短暂小睡未必带来清醒感。临床分类依赖病程、睡眠机会、检测及排除其他原因；不同诊断之间仍存在表型重叠和测量稳定性问题</w:t>
      </w:r>
      <w:r>
        <w:rPr>
          <w:vertAlign w:val="superscript"/>
        </w:rPr>
        <w:t xml:space="preserve">[</w:t>
      </w:r>
      <w:hyperlink w:anchor="ref-1448">
        <w:r>
          <w:rPr>
            <w:rStyle w:val="Hyperlink"/>
            <w:vertAlign w:val="superscript"/>
          </w:rPr>
          <w:t xml:space="preserve">1448</w:t>
        </w:r>
      </w:hyperlink>
      <w:r>
        <w:rPr>
          <w:vertAlign w:val="superscript"/>
        </w:rPr>
        <w:t xml:space="preserve">]</w:t>
      </w:r>
      <w:r>
        <w:t xml:space="preserve">。</w:t>
      </w:r>
    </w:p>
    <w:p>
      <w:pPr>
        <w:pStyle w:val="BodyText"/>
      </w:pPr>
      <w:r>
        <w:t xml:space="preserve">睡眠惯性指从睡眠向充分清醒过渡时功能尚未恢复的过程。它受醒来所处阶段、此前睡眠不足和生物时相等影响。一个人在被叫醒后短时间反应迟缓，并不能据此认定特发性嗜睡；持续、严重、影响生活的模式才需要进一步解释。把这一困难视为缺乏配合，会忽略状态转换的生理成本。</w:t>
      </w:r>
    </w:p>
    <w:p>
      <w:pPr>
        <w:pStyle w:val="BodyText"/>
      </w:pPr>
      <w:r>
        <w:t xml:space="preserve">治疗评价也应保留多维结局。某种方法减少嗜睡量表分数，仍可能未充分改善醒来困难或维持整天工作；另一些改善可能首先体现在参与机会。临床试验中的客观清醒测试、患者报告和真实活动各有信息，不能选取一个最漂亮的结果代表全部恢复。</w:t>
      </w:r>
    </w:p>
    <w:bookmarkEnd w:id="2225"/>
    <w:bookmarkStart w:id="2226" w:name="sec-137-15"/>
    <w:p>
      <w:pPr>
        <w:pStyle w:val="Heading3"/>
      </w:pPr>
      <w:r>
        <w:t xml:space="preserve">137.15　不宁腿与周期性肢体运动</w:t>
      </w:r>
    </w:p>
    <w:p>
      <w:pPr>
        <w:pStyle w:val="FirstParagraph"/>
      </w:pPr>
      <w:r>
        <w:t xml:space="preserve">不宁腿综合征强调静息时出现的活动冲动或不适、活动后缓解，以及通常在傍晚或夜间加重的时间模式；还需要排除能够解释相似症状的其他情况。腿部抽筋、关节疼痛、神经病理性症状和药物相关静坐不能可以产生部分相似体验，单纯夜间动腿不能完成鉴别</w:t>
      </w:r>
      <w:r>
        <w:rPr>
          <w:vertAlign w:val="superscript"/>
        </w:rPr>
        <w:t xml:space="preserve">[</w:t>
      </w:r>
      <w:hyperlink w:anchor="ref-1463">
        <w:r>
          <w:rPr>
            <w:rStyle w:val="Hyperlink"/>
            <w:vertAlign w:val="superscript"/>
          </w:rPr>
          <w:t xml:space="preserve">1463</w:t>
        </w:r>
      </w:hyperlink>
      <w:r>
        <w:rPr>
          <w:vertAlign w:val="superscript"/>
        </w:rPr>
        <w:t xml:space="preserve">]</w:t>
      </w:r>
      <w:r>
        <w:t xml:space="preserve">。</w:t>
      </w:r>
    </w:p>
    <w:p>
      <w:pPr>
        <w:pStyle w:val="BodyText"/>
      </w:pPr>
      <w:r>
        <w:t xml:space="preserve">周期性肢体运动是监测中识别的重复运动现象，它可与不宁腿并存，也可在其他情境出现。记录到运动频率升高，并不自动证明它造成全部日间疲劳；还需要判断觉醒联系、症状和其他睡眠障碍。一个客观异常的出现，可以是真实事实，同时对主要投诉的因果贡献仍不确定。</w:t>
      </w:r>
    </w:p>
    <w:p>
      <w:pPr>
        <w:pStyle w:val="BodyText"/>
      </w:pPr>
      <w:r>
        <w:t xml:space="preserve">2025年 AASM 指南特别重视多巴胺类治疗后的增剧问题：症状可能更早出现、静坐后更快发生或扩展到其他部位。短期缓解与长期恶化风险需要一起评价，这也说明持续加量应对症状提前可能形成不利循环。铁状态及其临床解释属于评估组成部分，但血清指标不能直接等同脑内铁分布，本章不据此提供自行补铁或停药方案</w:t>
      </w:r>
      <w:r>
        <w:rPr>
          <w:vertAlign w:val="superscript"/>
        </w:rPr>
        <w:t xml:space="preserve">[</w:t>
      </w:r>
      <w:hyperlink w:anchor="ref-1464">
        <w:r>
          <w:rPr>
            <w:rStyle w:val="Hyperlink"/>
            <w:vertAlign w:val="superscript"/>
          </w:rPr>
          <w:t xml:space="preserve">1464</w:t>
        </w:r>
      </w:hyperlink>
      <w:r>
        <w:rPr>
          <w:vertAlign w:val="superscript"/>
        </w:rPr>
        <w:t xml:space="preserve">]</w:t>
      </w:r>
      <w:r>
        <w:t xml:space="preserve">。</w:t>
      </w:r>
    </w:p>
    <w:bookmarkEnd w:id="2226"/>
    <w:bookmarkStart w:id="2227" w:name="sec-137-16"/>
    <w:p>
      <w:pPr>
        <w:pStyle w:val="Heading3"/>
      </w:pPr>
      <w:r>
        <w:t xml:space="preserve">137.16　快速眼动睡眠行为障碍与其他夜间行为</w:t>
      </w:r>
    </w:p>
    <w:p>
      <w:pPr>
        <w:pStyle w:val="FirstParagraph"/>
      </w:pPr>
      <w:r>
        <w:t xml:space="preserve">快速眼动睡眠通常伴大部分骨骼肌活动受到抑制。快速眼动睡眠行为障碍涉及这种抑制受损，并伴梦境相关行为；诊断需要结合病史和适当的多导睡眠资料。梦中喊叫、睡眠呼吸事件后的动作、非快速眼动睡眠觉醒障碍，以及夜间癫痫都可能进入鉴别范围，床伴描述和视频能够提供线索，单个动作不能决定病因</w:t>
      </w:r>
      <w:r>
        <w:rPr>
          <w:vertAlign w:val="superscript"/>
        </w:rPr>
        <w:t xml:space="preserve">[</w:t>
      </w:r>
      <w:hyperlink w:anchor="ref-564">
        <w:r>
          <w:rPr>
            <w:rStyle w:val="Hyperlink"/>
            <w:vertAlign w:val="superscript"/>
          </w:rPr>
          <w:t xml:space="preserve">564</w:t>
        </w:r>
      </w:hyperlink>
      <w:r>
        <w:rPr>
          <w:vertAlign w:val="superscript"/>
        </w:rPr>
        <w:t xml:space="preserve">]</w:t>
      </w:r>
      <w:r>
        <w:t xml:space="preserve">。</w:t>
      </w:r>
    </w:p>
    <w:p>
      <w:pPr>
        <w:pStyle w:val="BodyText"/>
      </w:pPr>
      <w:r>
        <w:t xml:space="preserve">一个人在后半夜出现与生动梦境相符的动作，与入睡后较早时段出现困惑游走，在概率上提示的机制可能不同，但真实病程允许重叠。时间、持续长度、每次是否高度刻板、意识恢复方式、呼吸及肌电特征，需要作为整体观察。专业检查的目的在于区分可能机制及风险，并帮助建立适合情境的支持措施。</w:t>
      </w:r>
    </w:p>
    <w:p>
      <w:pPr>
        <w:pStyle w:val="BodyText"/>
      </w:pPr>
      <w:r>
        <w:t xml:space="preserve">专科队列研究显示，多导睡眠确认的孤立快速眼动睡眠行为障碍与后来某些神经退行综合征存在较强联系。2019年多中心研究纳入1280人，以较年长男性为主。该关联对研究和随访很重要，但不能把队列风险移植到普通做梦、偶尔说梦话者，也不能依据一个确诊名称给出个人必然发病的年份</w:t>
      </w:r>
      <w:r>
        <w:rPr>
          <w:vertAlign w:val="superscript"/>
        </w:rPr>
        <w:t xml:space="preserve">[</w:t>
      </w:r>
      <w:hyperlink w:anchor="ref-1465">
        <w:r>
          <w:rPr>
            <w:rStyle w:val="Hyperlink"/>
            <w:vertAlign w:val="superscript"/>
          </w:rPr>
          <w:t xml:space="preserve">1465</w:t>
        </w:r>
      </w:hyperlink>
      <w:r>
        <w:rPr>
          <w:vertAlign w:val="superscript"/>
        </w:rPr>
        <w:t xml:space="preserve">]</w:t>
      </w:r>
      <w:r>
        <w:t xml:space="preserve">。</w:t>
      </w:r>
    </w:p>
    <w:bookmarkEnd w:id="2227"/>
    <w:bookmarkStart w:id="2229" w:name="sec-137-17"/>
    <w:p>
      <w:pPr>
        <w:pStyle w:val="Heading3"/>
      </w:pPr>
      <w:r>
        <w:t xml:space="preserve">137.17　睡眠障碍的观察维度对照</w:t>
      </w:r>
    </w:p>
    <w:p>
      <w:pPr>
        <w:pStyle w:val="FirstParagraph"/>
      </w:pPr>
      <w:r>
        <w:t xml:space="preserve">下表用于组织教学中的现象和测量，条目彼此可以共存，不构成个人诊断或治疗流程</w:t>
      </w:r>
      <w:r>
        <w:rPr>
          <w:vertAlign w:val="superscript"/>
        </w:rPr>
        <w:t xml:space="preserve">[</w:t>
      </w:r>
      <w:hyperlink w:anchor="ref-1447">
        <w:r>
          <w:rPr>
            <w:rStyle w:val="Hyperlink"/>
            <w:vertAlign w:val="superscript"/>
          </w:rPr>
          <w:t xml:space="preserve">1447</w:t>
        </w:r>
      </w:hyperlink>
      <w:r>
        <w:rPr>
          <w:vertAlign w:val="superscript"/>
        </w:rPr>
        <w:t xml:space="preserve">,</w:t>
      </w:r>
      <w:hyperlink w:anchor="ref-1449">
        <w:r>
          <w:rPr>
            <w:rStyle w:val="Hyperlink"/>
            <w:vertAlign w:val="superscript"/>
          </w:rPr>
          <w:t xml:space="preserve">1449</w:t>
        </w:r>
      </w:hyperlink>
      <w:r>
        <w:rPr>
          <w:vertAlign w:val="superscript"/>
        </w:rPr>
        <w:t xml:space="preserve">,</w:t>
      </w:r>
      <w:hyperlink w:anchor="ref-1456">
        <w:r>
          <w:rPr>
            <w:rStyle w:val="Hyperlink"/>
            <w:vertAlign w:val="superscript"/>
          </w:rPr>
          <w:t xml:space="preserve">1456</w:t>
        </w:r>
      </w:hyperlink>
      <w:r>
        <w:rPr>
          <w:vertAlign w:val="superscript"/>
        </w:rPr>
        <w:t xml:space="preserve">,</w:t>
      </w:r>
      <w:hyperlink w:anchor="ref-1459">
        <w:r>
          <w:rPr>
            <w:rStyle w:val="Hyperlink"/>
            <w:vertAlign w:val="superscript"/>
          </w:rPr>
          <w:t xml:space="preserve">1459</w:t>
        </w:r>
      </w:hyperlink>
      <w:r>
        <w:rPr>
          <w:vertAlign w:val="superscript"/>
        </w:rPr>
        <w:t xml:space="preserve">,</w:t>
      </w:r>
      <w:hyperlink w:anchor="ref-1461">
        <w:r>
          <w:rPr>
            <w:rStyle w:val="Hyperlink"/>
            <w:vertAlign w:val="superscript"/>
          </w:rPr>
          <w:t xml:space="preserve">1461</w:t>
        </w:r>
      </w:hyperlink>
      <w:r>
        <w:rPr>
          <w:vertAlign w:val="superscript"/>
        </w:rPr>
        <w:t xml:space="preserve">,</w:t>
      </w:r>
      <w:hyperlink w:anchor="ref-1464">
        <w:r>
          <w:rPr>
            <w:rStyle w:val="Hyperlink"/>
            <w:vertAlign w:val="superscript"/>
          </w:rPr>
          <w:t xml:space="preserve">1464</w:t>
        </w:r>
      </w:hyperlink>
      <w:r>
        <w:rPr>
          <w:vertAlign w:val="superscript"/>
        </w:rPr>
        <w:t xml:space="preserve">]</w:t>
      </w:r>
      <w:r>
        <w:t xml:space="preserve">。</w:t>
      </w:r>
    </w:p>
    <w:p>
      <w:pPr>
        <w:pStyle w:val="TableCaption"/>
      </w:pPr>
      <w:bookmarkStart w:id="2228" w:name="tab-sleep-problems"/>
      <w:bookmarkEnd w:id="2228"/>
      <w:r>
        <w:rPr>
          <w:bCs/>
          <w:b/>
        </w:rPr>
        <w:t xml:space="preserve">表 32　睡眠问题的观察维度</w:t>
      </w:r>
    </w:p>
    <w:tbl>
      <w:tblPr>
        <w:tblStyle w:val="Table"/>
        <w:tblW w:type="pct" w:w="5000"/>
        <w:jc w:val="start"/>
        <w:tblLook w:firstRow="1" w:lastRow="0" w:firstColumn="0" w:lastColumn="0" w:noHBand="0" w:noVBand="0" w:val="0020"/>
      </w:tblPr>
      <w:tblGrid>
        <w:gridCol w:w="1319"/>
        <w:gridCol w:w="3583"/>
        <w:gridCol w:w="3017"/>
      </w:tblGrid>
      <w:tr>
        <w:trPr>
          <w:tblHeader w:val="true"/>
        </w:trPr>
        <w:tc>
          <w:tcPr>
            <w:shd w:val="clear" w:color="auto" w:fill="1F3A5F"/>
          </w:tcPr>
          <w:p>
            <w:pPr>
              <w:pStyle w:val="Compact"/>
              <w:jc w:val="left"/>
            </w:pPr>
            <w:r>
              <w:rPr>
                <w:bCs/>
                <w:b/>
                <w:color w:val="FFFFFF"/>
              </w:rPr>
              <w:t xml:space="preserve">主要观察维度</w:t>
            </w:r>
          </w:p>
        </w:tc>
        <w:tc>
          <w:tcPr>
            <w:shd w:val="clear" w:color="auto" w:fill="1F3A5F"/>
          </w:tcPr>
          <w:p>
            <w:pPr>
              <w:pStyle w:val="Compact"/>
              <w:jc w:val="left"/>
            </w:pPr>
            <w:r>
              <w:rPr>
                <w:bCs/>
                <w:b/>
                <w:color w:val="FFFFFF"/>
              </w:rPr>
              <w:t xml:space="preserve">可以帮助区分的现象</w:t>
            </w:r>
          </w:p>
        </w:tc>
        <w:tc>
          <w:tcPr>
            <w:shd w:val="clear" w:color="auto" w:fill="1F3A5F"/>
          </w:tcPr>
          <w:p>
            <w:pPr>
              <w:pStyle w:val="Compact"/>
              <w:jc w:val="left"/>
            </w:pPr>
            <w:r>
              <w:rPr>
                <w:bCs/>
                <w:b/>
                <w:color w:val="FFFFFF"/>
              </w:rPr>
              <w:t xml:space="preserve">解释时需要保留的边界</w:t>
            </w:r>
          </w:p>
        </w:tc>
      </w:tr>
      <w:tr>
        <w:tc>
          <w:tcPr/>
          <w:p>
            <w:pPr>
              <w:pStyle w:val="Compact"/>
              <w:jc w:val="left"/>
            </w:pPr>
            <w:r>
              <w:t xml:space="preserve">睡眠机会</w:t>
            </w:r>
          </w:p>
        </w:tc>
        <w:tc>
          <w:tcPr/>
          <w:p>
            <w:pPr>
              <w:pStyle w:val="Compact"/>
              <w:jc w:val="left"/>
            </w:pPr>
            <w:r>
              <w:t xml:space="preserve">工作或照护限制导致的可用时间不足</w:t>
            </w:r>
          </w:p>
        </w:tc>
        <w:tc>
          <w:tcPr/>
          <w:p>
            <w:pPr>
              <w:pStyle w:val="Compact"/>
              <w:jc w:val="left"/>
            </w:pPr>
            <w:r>
              <w:t xml:space="preserve">机会不足可与睡眠疾病共存</w:t>
            </w:r>
          </w:p>
        </w:tc>
      </w:tr>
      <w:tr>
        <w:tc>
          <w:tcPr/>
          <w:p>
            <w:pPr>
              <w:pStyle w:val="Compact"/>
              <w:jc w:val="left"/>
            </w:pPr>
            <w:r>
              <w:t xml:space="preserve">生物时相</w:t>
            </w:r>
          </w:p>
        </w:tc>
        <w:tc>
          <w:tcPr/>
          <w:p>
            <w:pPr>
              <w:pStyle w:val="Compact"/>
              <w:jc w:val="left"/>
            </w:pPr>
            <w:r>
              <w:t xml:space="preserve">自由安排时较稳定但明显提前或延后的模式</w:t>
            </w:r>
          </w:p>
        </w:tc>
        <w:tc>
          <w:tcPr/>
          <w:p>
            <w:pPr>
              <w:pStyle w:val="Compact"/>
              <w:jc w:val="left"/>
            </w:pPr>
            <w:r>
              <w:t xml:space="preserve">晨晚倾向与功能损害需要分别描述</w:t>
            </w:r>
          </w:p>
        </w:tc>
      </w:tr>
      <w:tr>
        <w:tc>
          <w:tcPr/>
          <w:p>
            <w:pPr>
              <w:pStyle w:val="Compact"/>
              <w:jc w:val="left"/>
            </w:pPr>
            <w:r>
              <w:t xml:space="preserve">睡眠连续性</w:t>
            </w:r>
          </w:p>
        </w:tc>
        <w:tc>
          <w:tcPr/>
          <w:p>
            <w:pPr>
              <w:pStyle w:val="Compact"/>
              <w:jc w:val="left"/>
            </w:pPr>
            <w:r>
              <w:t xml:space="preserve">入睡困难、多次清醒、过早醒来</w:t>
            </w:r>
          </w:p>
        </w:tc>
        <w:tc>
          <w:tcPr/>
          <w:p>
            <w:pPr>
              <w:pStyle w:val="Compact"/>
              <w:jc w:val="left"/>
            </w:pPr>
            <w:r>
              <w:t xml:space="preserve">主观体验与分期信号测量不同侧面</w:t>
            </w:r>
          </w:p>
        </w:tc>
      </w:tr>
      <w:tr>
        <w:tc>
          <w:tcPr/>
          <w:p>
            <w:pPr>
              <w:pStyle w:val="Compact"/>
              <w:jc w:val="left"/>
            </w:pPr>
            <w:r>
              <w:t xml:space="preserve">呼吸努力与气流</w:t>
            </w:r>
          </w:p>
        </w:tc>
        <w:tc>
          <w:tcPr/>
          <w:p>
            <w:pPr>
              <w:pStyle w:val="Compact"/>
              <w:jc w:val="left"/>
            </w:pPr>
            <w:r>
              <w:t xml:space="preserve">阻塞、中枢及混合事件</w:t>
            </w:r>
          </w:p>
        </w:tc>
        <w:tc>
          <w:tcPr/>
          <w:p>
            <w:pPr>
              <w:pStyle w:val="Compact"/>
              <w:jc w:val="left"/>
            </w:pPr>
            <w:r>
              <w:t xml:space="preserve">单个血氧值不能提供完整分类</w:t>
            </w:r>
          </w:p>
        </w:tc>
      </w:tr>
      <w:tr>
        <w:tc>
          <w:tcPr/>
          <w:p>
            <w:pPr>
              <w:pStyle w:val="Compact"/>
              <w:jc w:val="left"/>
            </w:pPr>
            <w:r>
              <w:t xml:space="preserve">清醒维持</w:t>
            </w:r>
          </w:p>
        </w:tc>
        <w:tc>
          <w:tcPr/>
          <w:p>
            <w:pPr>
              <w:pStyle w:val="Compact"/>
              <w:jc w:val="left"/>
            </w:pPr>
            <w:r>
              <w:t xml:space="preserve">容易入睡与维持清醒困难</w:t>
            </w:r>
          </w:p>
        </w:tc>
        <w:tc>
          <w:tcPr/>
          <w:p>
            <w:pPr>
              <w:pStyle w:val="Compact"/>
              <w:jc w:val="left"/>
            </w:pPr>
            <w:r>
              <w:t xml:space="preserve">疲劳和嗜睡不能直接互换</w:t>
            </w:r>
          </w:p>
        </w:tc>
      </w:tr>
      <w:tr>
        <w:tc>
          <w:tcPr/>
          <w:p>
            <w:pPr>
              <w:pStyle w:val="Compact"/>
              <w:jc w:val="left"/>
            </w:pPr>
            <w:r>
              <w:t xml:space="preserve">静息和活动关系</w:t>
            </w:r>
          </w:p>
        </w:tc>
        <w:tc>
          <w:tcPr/>
          <w:p>
            <w:pPr>
              <w:pStyle w:val="Compact"/>
              <w:jc w:val="left"/>
            </w:pPr>
            <w:r>
              <w:t xml:space="preserve">不适是否随静息加重并随活动缓解</w:t>
            </w:r>
          </w:p>
        </w:tc>
        <w:tc>
          <w:tcPr/>
          <w:p>
            <w:pPr>
              <w:pStyle w:val="Compact"/>
              <w:jc w:val="left"/>
            </w:pPr>
            <w:r>
              <w:t xml:space="preserve">需考虑抽筋、疼痛和药物等相似原因</w:t>
            </w:r>
          </w:p>
        </w:tc>
      </w:tr>
      <w:tr>
        <w:tc>
          <w:tcPr/>
          <w:p>
            <w:pPr>
              <w:pStyle w:val="Compact"/>
              <w:jc w:val="left"/>
            </w:pPr>
            <w:r>
              <w:t xml:space="preserve">睡眠中的动作</w:t>
            </w:r>
          </w:p>
        </w:tc>
        <w:tc>
          <w:tcPr/>
          <w:p>
            <w:pPr>
              <w:pStyle w:val="Compact"/>
              <w:jc w:val="left"/>
            </w:pPr>
            <w:r>
              <w:t xml:space="preserve">梦境动作、觉醒困惑、刻板发作</w:t>
            </w:r>
          </w:p>
        </w:tc>
        <w:tc>
          <w:tcPr/>
          <w:p>
            <w:pPr>
              <w:pStyle w:val="Compact"/>
              <w:jc w:val="left"/>
            </w:pPr>
            <w:r>
              <w:t xml:space="preserve">时间模式只是线索，常需多信号结合</w:t>
            </w:r>
          </w:p>
        </w:tc>
      </w:tr>
      <w:tr>
        <w:tc>
          <w:tcPr/>
          <w:p>
            <w:pPr>
              <w:pStyle w:val="Compact"/>
              <w:jc w:val="left"/>
            </w:pPr>
            <w:r>
              <w:t xml:space="preserve">环境和参与</w:t>
            </w:r>
          </w:p>
        </w:tc>
        <w:tc>
          <w:tcPr/>
          <w:p>
            <w:pPr>
              <w:pStyle w:val="Compact"/>
              <w:jc w:val="left"/>
            </w:pPr>
            <w:r>
              <w:t xml:space="preserve">噪声、排班、通勤、安全与工作功能</w:t>
            </w:r>
          </w:p>
        </w:tc>
        <w:tc>
          <w:tcPr/>
          <w:p>
            <w:pPr>
              <w:pStyle w:val="Compact"/>
              <w:jc w:val="left"/>
            </w:pPr>
            <w:r>
              <w:t xml:space="preserve">个体习惯无法解释全部社会条件</w:t>
            </w:r>
          </w:p>
        </w:tc>
      </w:tr>
    </w:tbl>
    <w:bookmarkEnd w:id="2229"/>
    <w:bookmarkStart w:id="2230" w:name="sec-137-18"/>
    <w:p>
      <w:pPr>
        <w:pStyle w:val="Heading3"/>
      </w:pPr>
      <w:r>
        <w:t xml:space="preserve">137.18　穿戴设备与睡眠测量的尺度</w:t>
      </w:r>
    </w:p>
    <w:p>
      <w:pPr>
        <w:pStyle w:val="FirstParagraph"/>
      </w:pPr>
      <w:r>
        <w:t xml:space="preserve">消费设备可以连续记录活动及某些生理信号，为长期时间模式提供资料。由活动、脉搏等推算出的睡眠分期，属于算法输出，需要与适当参考方法验证；它与直接记录脑电、眼动和肌电具有不同信息来源。设备可能擅长识别大段睡眠与清醒，对短暂觉醒或特殊病种的表现则不同</w:t>
      </w:r>
      <w:r>
        <w:rPr>
          <w:vertAlign w:val="superscript"/>
        </w:rPr>
        <w:t xml:space="preserve">[</w:t>
      </w:r>
      <w:hyperlink w:anchor="ref-1466">
        <w:r>
          <w:rPr>
            <w:rStyle w:val="Hyperlink"/>
            <w:vertAlign w:val="superscript"/>
          </w:rPr>
          <w:t xml:space="preserve">1466</w:t>
        </w:r>
      </w:hyperlink>
      <w:r>
        <w:rPr>
          <w:vertAlign w:val="superscript"/>
        </w:rPr>
        <w:t xml:space="preserve">]</w:t>
      </w:r>
      <w:r>
        <w:t xml:space="preserve">。</w:t>
      </w:r>
    </w:p>
    <w:p>
      <w:pPr>
        <w:pStyle w:val="BodyText"/>
      </w:pPr>
      <w:r>
        <w:t xml:space="preserve">监管范围也必须按具体功能核对。美国 FDA 在2024年准许 Apple 特定睡眠呼吸暂停风险提示功能上市，同时明确其用于提示可能风险，不承担诊断、治疗或管理用途，没有收到提示也不能排除呼吸暂停。这说明获得许可是对明确用途的评价，不能扩展为同一设备上的所有睡眠分数都具有同等临床效力</w:t>
      </w:r>
      <w:r>
        <w:rPr>
          <w:vertAlign w:val="superscript"/>
        </w:rPr>
        <w:t xml:space="preserve">[</w:t>
      </w:r>
      <w:hyperlink w:anchor="ref-1467">
        <w:r>
          <w:rPr>
            <w:rStyle w:val="Hyperlink"/>
            <w:vertAlign w:val="superscript"/>
          </w:rPr>
          <w:t xml:space="preserve">1467</w:t>
        </w:r>
      </w:hyperlink>
      <w:r>
        <w:rPr>
          <w:vertAlign w:val="superscript"/>
        </w:rPr>
        <w:t xml:space="preserve">]</w:t>
      </w:r>
      <w:r>
        <w:t xml:space="preserve">。</w:t>
      </w:r>
    </w:p>
    <w:p>
      <w:pPr>
        <w:pStyle w:val="BodyText"/>
      </w:pPr>
      <w:r>
        <w:t xml:space="preserve">算法更新带来另一个问题。若用户的深睡评分在软件更新后上升，可能来自分类方法改变，也可能来自真实睡眠变化；缺乏原始信号和版本信息时，很难区分。观察个人趋势应关注可解释的变化和功能，避免把每日分数当作必须完美完成的任务。测量工具可以帮助沟通，其反馈也可能增加过度监视，效果取决于使用方式。</w:t>
      </w:r>
    </w:p>
    <w:bookmarkEnd w:id="2230"/>
    <w:bookmarkStart w:id="2231" w:name="sec-137-19"/>
    <w:p>
      <w:pPr>
        <w:pStyle w:val="Heading3"/>
      </w:pPr>
      <w:r>
        <w:t xml:space="preserve">137.19　从研究结果到生活功能</w:t>
      </w:r>
    </w:p>
    <w:p>
      <w:pPr>
        <w:pStyle w:val="FirstParagraph"/>
      </w:pPr>
      <w:r>
        <w:t xml:space="preserve">睡眠干预的目标可以是减轻痛苦、改善白天警觉、降低事故、支持情绪稳定或减少长期疾病风险。不同目标需要不同研究。八周嗜睡量表改善不能直接证明十年痴呆减少，呼吸事件减少也不能自动证明全部心血管结局改善。相反，长期主要终点阴性不抹去已被恰当测量的症状收益。</w:t>
      </w:r>
    </w:p>
    <w:p>
      <w:pPr>
        <w:pStyle w:val="BodyText"/>
      </w:pPr>
      <w:r>
        <w:t xml:space="preserve">可用一个假设研究练习检验解释。若两组夜间总睡眠均增加四十分钟，甲组次日警觉改善、乙组跌倒增加，那么仅报告睡眠分钟数会遗漏关键净效应。若另一研究只招募无明显嗜睡、已有心血管病的人，其结论对困倦严重且主要目标为工作功能的人适用程度需要重新判断。机制与目标的一致性应在论证里保持可见。</w:t>
      </w:r>
    </w:p>
    <w:bookmarkEnd w:id="2231"/>
    <w:bookmarkStart w:id="2232" w:name="sec-137-20"/>
    <w:p>
      <w:pPr>
        <w:pStyle w:val="Heading3"/>
      </w:pPr>
      <w:r>
        <w:t xml:space="preserve">137.20　关键判断的置信度边界</w:t>
      </w:r>
    </w:p>
    <w:p>
      <w:pPr>
        <w:pStyle w:val="FirstParagraph"/>
      </w:pPr>
      <w:r>
        <w:t xml:space="preserve">睡眠由稳态、节律及多群神经元共同调控，睡眠呼吸障碍、失眠和中枢性嗜睡需要区分，这些基本判断有较强支持。特定干预对明确入组人群和测量终点的平均效应，应按具体随机试验报告。睡眠微结构与复杂长期脑健康之间存在大量有价值的关联，个人因果预测仍受到混杂、测量误差和疾病前驱变化的限制。对睡眠的科学解释，应同时保留可治疗问题、现实环境和未知机制，避免把每晚波动解释为不可逆脑损伤</w:t>
      </w:r>
      <w:r>
        <w:rPr>
          <w:vertAlign w:val="superscript"/>
        </w:rPr>
        <w:t xml:space="preserve">[</w:t>
      </w:r>
      <w:hyperlink w:anchor="ref-1447">
        <w:r>
          <w:rPr>
            <w:rStyle w:val="Hyperlink"/>
            <w:vertAlign w:val="superscript"/>
          </w:rPr>
          <w:t xml:space="preserve">1447</w:t>
        </w:r>
      </w:hyperlink>
      <w:r>
        <w:rPr>
          <w:vertAlign w:val="superscript"/>
        </w:rPr>
        <w:t xml:space="preserve">,</w:t>
      </w:r>
      <w:hyperlink w:anchor="ref-1452">
        <w:r>
          <w:rPr>
            <w:rStyle w:val="Hyperlink"/>
            <w:vertAlign w:val="superscript"/>
          </w:rPr>
          <w:t xml:space="preserve">1452</w:t>
        </w:r>
      </w:hyperlink>
      <w:r>
        <w:rPr>
          <w:vertAlign w:val="superscript"/>
        </w:rPr>
        <w:t xml:space="preserve">,</w:t>
      </w:r>
      <w:hyperlink w:anchor="ref-1454">
        <w:r>
          <w:rPr>
            <w:rStyle w:val="Hyperlink"/>
            <w:vertAlign w:val="superscript"/>
          </w:rPr>
          <w:t xml:space="preserve">1454</w:t>
        </w:r>
      </w:hyperlink>
      <w:r>
        <w:rPr>
          <w:vertAlign w:val="superscript"/>
        </w:rPr>
        <w:t xml:space="preserve">,</w:t>
      </w:r>
      <w:hyperlink w:anchor="ref-1455">
        <w:r>
          <w:rPr>
            <w:rStyle w:val="Hyperlink"/>
            <w:vertAlign w:val="superscript"/>
          </w:rPr>
          <w:t xml:space="preserve">1455</w:t>
        </w:r>
      </w:hyperlink>
      <w:r>
        <w:rPr>
          <w:vertAlign w:val="superscript"/>
        </w:rPr>
        <w:t xml:space="preserve">,</w:t>
      </w:r>
      <w:hyperlink w:anchor="ref-1462">
        <w:r>
          <w:rPr>
            <w:rStyle w:val="Hyperlink"/>
            <w:vertAlign w:val="superscript"/>
          </w:rPr>
          <w:t xml:space="preserve">1462</w:t>
        </w:r>
      </w:hyperlink>
      <w:r>
        <w:rPr>
          <w:vertAlign w:val="superscript"/>
        </w:rPr>
        <w:t xml:space="preserve">]</w:t>
      </w:r>
      <w:r>
        <w:t xml:space="preserve">。</w:t>
      </w:r>
    </w:p>
    <w:bookmarkEnd w:id="2232"/>
    <w:bookmarkEnd w:id="2233"/>
    <w:bookmarkStart w:id="2249" w:name="ch-138"/>
    <w:p>
      <w:pPr>
        <w:pStyle w:val="Heading2"/>
      </w:pPr>
      <w:r>
        <w:t xml:space="preserve">第138章　认知老化、储备与痴呆风险降低</w:t>
      </w:r>
    </w:p>
    <w:p>
      <w:pPr>
        <w:pStyle w:val="FirstParagraph"/>
      </w:pPr>
      <w:r>
        <w:t xml:space="preserve">认知老化具有明显的个体差异，也具有不同能力之间的差异。一个人可以在处理陌生信息时速度变慢，同时保留丰富的知识、熟练的专业判断和有效的生活策略。年龄相关变化、轻度认知障碍和痴呆属于需要区分的概念。痴呆涉及认知下降及其对日常独立功能的影响；年龄增长本身不能充分解释持续加重的功能困难。对认知变化的判断，需要把时间进程、原有能力、感官条件、情绪、睡眠、药物和身体疾病放在一起评估</w:t>
      </w:r>
      <w:r>
        <w:rPr>
          <w:vertAlign w:val="superscript"/>
        </w:rPr>
        <w:t xml:space="preserve">[</w:t>
      </w:r>
      <w:hyperlink w:anchor="ref-1468">
        <w:r>
          <w:rPr>
            <w:rStyle w:val="Hyperlink"/>
            <w:vertAlign w:val="superscript"/>
          </w:rPr>
          <w:t xml:space="preserve">1468</w:t>
        </w:r>
      </w:hyperlink>
      <w:r>
        <w:rPr>
          <w:vertAlign w:val="superscript"/>
        </w:rPr>
        <w:t xml:space="preserve">]</w:t>
      </w:r>
      <w:r>
        <w:t xml:space="preserve">。</w:t>
      </w:r>
    </w:p>
    <w:p>
      <w:pPr>
        <w:pStyle w:val="BodyText"/>
      </w:pPr>
      <w:r>
        <w:t xml:space="preserve">本章的核心判断是：部分风险因素可以改变，部分干预已有随机证据支持认知或相关健康结局，但目前没有一种生活方式能够保证个人永不患痴呆。风险降低、推迟临床表现、改善当下功能和改变特定病理，分别是不同目标。把这些目标说清楚，既能避免宿命论，也能避免把疾病归咎于患者没有足够自律。</w:t>
      </w:r>
    </w:p>
    <w:bookmarkStart w:id="2234" w:name="sec-138-1"/>
    <w:p>
      <w:pPr>
        <w:pStyle w:val="Heading3"/>
      </w:pPr>
      <w:r>
        <w:t xml:space="preserve">138.1　从一次分数走向变化轨迹</w:t>
      </w:r>
    </w:p>
    <w:p>
      <w:pPr>
        <w:pStyle w:val="FirstParagraph"/>
      </w:pPr>
      <w:r>
        <w:t xml:space="preserve">认知测验的一次分数由多个成分共同形成：既有能力、当前脑功能、熟悉程度、感官输入、动机、疲劳、测试环境和随机误差。一次低分能够提示需要进一步了解，却不能独立确定下降发生的时间、原因和长期方向。对教育机会较少、测试语言不熟悉或视听受限的人，常模选择尤其影响解释。使用不合适的参照群体，会把文化和机会差异误当成疾病证据。</w:t>
      </w:r>
    </w:p>
    <w:p>
      <w:pPr>
        <w:pStyle w:val="BodyText"/>
      </w:pPr>
      <w:r>
        <w:t xml:space="preserve">纵向数据能够提供个人变化信息，但也存在练习效应。参加者第二次见到同类任务，可能因熟悉规则而得分提高。假设真实能力一年下降2个单位，而熟悉效应带来3个单位，观测分数会增加1个单位。这个假设例子说明，分数提高并不能直接证明生物学老化逆转。研究可以使用替代题本、适当对照组、多个时间点及可靠变化方法减少这种歧义。</w:t>
      </w:r>
    </w:p>
    <w:p>
      <w:pPr>
        <w:pStyle w:val="BodyText"/>
      </w:pPr>
      <w:r>
        <w:t xml:space="preserve">个体基线也影响疾病识别。原本能力较高的人，即使出现明显下降，分数仍可能处于同龄常模平均范围；原本分数较低的人，长期稳定也可能低于某个筛查阈值。因此临床信息中的“与自己过去相比发生了什么”十分重要。家属和本人报告都具有价值，同时也可能受到期待、关系和回忆偏差影响，需要与客观表现结合。</w:t>
      </w:r>
    </w:p>
    <w:bookmarkEnd w:id="2234"/>
    <w:bookmarkStart w:id="2235" w:name="sec-138-2"/>
    <w:p>
      <w:pPr>
        <w:pStyle w:val="Heading3"/>
      </w:pPr>
      <w:r>
        <w:t xml:space="preserve">138.2　主观变化、轻度障碍与日常功能</w:t>
      </w:r>
    </w:p>
    <w:p>
      <w:pPr>
        <w:pStyle w:val="FirstParagraph"/>
      </w:pPr>
      <w:r>
        <w:t xml:space="preserve">主观认知下降是对自身变化的体验，可能出现在客观测验尚未明显异常时，也可能与焦虑、抑郁、睡眠和生活压力有关。主观体验不应被轻率忽略，也不能直接等同于某种病理。轻度认知障碍通常涉及可识别的认知困难，同时基本独立性相对保留；不同原因的轻度障碍具有不同轨迹，部分稳定、部分改善、部分进展</w:t>
      </w:r>
      <w:r>
        <w:rPr>
          <w:vertAlign w:val="superscript"/>
        </w:rPr>
        <w:t xml:space="preserve">[</w:t>
      </w:r>
      <w:hyperlink w:anchor="ref-1468">
        <w:r>
          <w:rPr>
            <w:rStyle w:val="Hyperlink"/>
            <w:vertAlign w:val="superscript"/>
          </w:rPr>
          <w:t xml:space="preserve">1468</w:t>
        </w:r>
      </w:hyperlink>
      <w:r>
        <w:rPr>
          <w:vertAlign w:val="superscript"/>
        </w:rPr>
        <w:t xml:space="preserve">]</w:t>
      </w:r>
      <w:r>
        <w:t xml:space="preserve">。</w:t>
      </w:r>
    </w:p>
    <w:p>
      <w:pPr>
        <w:pStyle w:val="BodyText"/>
      </w:pPr>
      <w:r>
        <w:t xml:space="preserve">日常功能需要具体描述。“还能生活”过于粗略。一个人可能能够穿衣吃饭，却在复杂财务、药物安排、交通选择或处理新情况时需要帮助。功能还受到环境影响：熟悉的住所、固定流程、辅助工具和家人支持，可以减轻同样认知困难的后果。评估时应了解任务要求和支持条件，避免将不同生活环境中的表现直接比较。</w:t>
      </w:r>
    </w:p>
    <w:p>
      <w:pPr>
        <w:pStyle w:val="BodyText"/>
      </w:pPr>
      <w:r>
        <w:t xml:space="preserve">功能变化也可以先于明显的常规测验下降。复杂工作往往要求同时整合记忆、注意、推理与情绪调节；某一单项测验正常，不能保证全部复杂活动都没有困难。相反，测验上的微小差异也未必达到影响生活的程度。这种双向不一致解释了为什么研究需要同时报告认知量表、日常功能、生活质量和照护负担。</w:t>
      </w:r>
    </w:p>
    <w:bookmarkEnd w:id="2235"/>
    <w:bookmarkStart w:id="2236" w:name="sec-138-3"/>
    <w:p>
      <w:pPr>
        <w:pStyle w:val="Heading3"/>
      </w:pPr>
      <w:r>
        <w:t xml:space="preserve">138.3　储备、维持与适应的不同含义</w:t>
      </w:r>
    </w:p>
    <w:p>
      <w:pPr>
        <w:pStyle w:val="FirstParagraph"/>
      </w:pPr>
      <w:r>
        <w:t xml:space="preserve">Stern 等人的概念共识区分了脑储备、认知储备和脑维持。脑储备强调某一时点的神经生物学资源；认知储备强调认知过程及功能网络的适应性；脑维持强调随时间较少出现年龄相关或病理改变。这些概念帮助解释相近病理负担下不同的临床表现，也提醒研究者不能用一个教育年限或一张结构图像完整代表全部“储备”</w:t>
      </w:r>
      <w:r>
        <w:rPr>
          <w:vertAlign w:val="superscript"/>
        </w:rPr>
        <w:t xml:space="preserve">[</w:t>
      </w:r>
      <w:hyperlink w:anchor="ref-1469">
        <w:r>
          <w:rPr>
            <w:rStyle w:val="Hyperlink"/>
            <w:vertAlign w:val="superscript"/>
          </w:rPr>
          <w:t xml:space="preserve">1469</w:t>
        </w:r>
      </w:hyperlink>
      <w:r>
        <w:rPr>
          <w:vertAlign w:val="superscript"/>
        </w:rPr>
        <w:t xml:space="preserve">]</w:t>
      </w:r>
      <w:r>
        <w:t xml:space="preserve">。</w:t>
      </w:r>
    </w:p>
    <w:p>
      <w:pPr>
        <w:pStyle w:val="BodyText"/>
      </w:pPr>
      <w:r>
        <w:t xml:space="preserve">可以用三个假设情形理解其差别。甲与乙具有相同病理负担，甲能够使用更有效的策略保持任务表现，这与适应性解释相容。丙在长期追踪中病理积累较慢，这与维持过程相容。丁在出现症状前拥有更多结构资源，能够承受更多损失，这与储备资源解释相容。真实个体可能同时具有多个过程，单一横断面研究通常难以把它们分开。</w:t>
      </w:r>
    </w:p>
    <w:p>
      <w:pPr>
        <w:pStyle w:val="BodyText"/>
      </w:pPr>
      <w:r>
        <w:t xml:space="preserve">储备概念也有被循环定义的风险。如果先把“在病理下表现更好的人”定义为储备高，再用“储备高”解释他表现更好，解释没有增加独立信息。更有价值的研究应先测量候选机制，再检验它是否预测病理与功能关系的变化，并在新样本中验证。网络灵活性、策略使用或长期学习经历，都需要经过这样的独立检验。</w:t>
      </w:r>
    </w:p>
    <w:p>
      <w:pPr>
        <w:pStyle w:val="BodyText"/>
      </w:pPr>
      <w:r>
        <w:t xml:space="preserve">教育、职业和社会活动常被用作储备的代理变量，但这些变量同时反映家庭资源、健康、医疗可及性和机会。一个代理变量与良好认知相关，不能说明只要增加该变量的表面数量就能复制所有效应。例如延长某种形式的学习时间，是否产生收益，取决于学习内容、质量、压力与可持续性，不能从观察关联直接计算每读一本书增加多少保护。</w:t>
      </w:r>
    </w:p>
    <w:bookmarkEnd w:id="2236"/>
    <w:bookmarkStart w:id="2237" w:name="sec-138-4"/>
    <w:p>
      <w:pPr>
        <w:pStyle w:val="Heading3"/>
      </w:pPr>
      <w:r>
        <w:t xml:space="preserve">138.4　脑病理可以同时存在</w:t>
      </w:r>
    </w:p>
    <w:p>
      <w:pPr>
        <w:pStyle w:val="FirstParagraph"/>
      </w:pPr>
      <w:r>
        <w:t xml:space="preserve">老年认知下降经常涉及多种病理。Boyle 等人分析两个纵向临床病理队列的1079名捐献者，发现不同神经退行性及血管病理的组合高度多样，单一阿尔茨海默病理很少能够概括全部个体。研究将病理与既往认知轨迹联系起来，其模型估计也具有样本选择和观察设计限制。它支持多病理框架，不能把每位患者的症状精确分配成几个固定百分比</w:t>
      </w:r>
      <w:r>
        <w:rPr>
          <w:vertAlign w:val="superscript"/>
        </w:rPr>
        <w:t xml:space="preserve">[</w:t>
      </w:r>
      <w:hyperlink w:anchor="ref-1470">
        <w:r>
          <w:rPr>
            <w:rStyle w:val="Hyperlink"/>
            <w:vertAlign w:val="superscript"/>
          </w:rPr>
          <w:t xml:space="preserve">1470</w:t>
        </w:r>
      </w:hyperlink>
      <w:r>
        <w:rPr>
          <w:vertAlign w:val="superscript"/>
        </w:rPr>
        <w:t xml:space="preserve">]</w:t>
      </w:r>
      <w:r>
        <w:t xml:space="preserve">。</w:t>
      </w:r>
    </w:p>
    <w:p>
      <w:pPr>
        <w:pStyle w:val="BodyText"/>
      </w:pPr>
      <w:r>
        <w:t xml:space="preserve">多病理具有临床推理意义。即使某项生物标志物提示淀粉样病理，血管损伤、睡眠障碍、情绪问题和药物影响仍可能共同影响当前功能。治疗一个机制后，其他机制可以继续推动下降。一个靶向治疗只产生有限平均收益，可能与靶点效力、干预时机、不可逆损伤或并存病理有关；不能仅用一个原因解释所有试验结果。</w:t>
      </w:r>
    </w:p>
    <w:p>
      <w:pPr>
        <w:pStyle w:val="BodyText"/>
      </w:pPr>
      <w:r>
        <w:t xml:space="preserve">多病理也改变预防思路。改善血管健康可能有价值，即使它没有直接清除淀粉样蛋白；改善听力可能提高沟通和任务输入质量，即使特定蛋白指标没有改变；支持睡眠和情绪可能改善生活能力，即使退行性过程仍在继续。每一项干预应按其实际目标和证据评价，避免只把某种影像或分子指标当成全部健康价值。</w:t>
      </w:r>
    </w:p>
    <w:bookmarkEnd w:id="2237"/>
    <w:bookmarkStart w:id="2238" w:name="sec-138-5"/>
    <w:p>
      <w:pPr>
        <w:pStyle w:val="Heading3"/>
      </w:pPr>
      <w:r>
        <w:t xml:space="preserve">138.5　人群归因比例怎样理解</w:t>
      </w:r>
    </w:p>
    <w:p>
      <w:pPr>
        <w:pStyle w:val="FirstParagraph"/>
      </w:pPr>
      <w:r>
        <w:t xml:space="preserve">2024年《柳叶刀》痴呆委员会报告讨论14类可改变风险因素，包括教育不足、听力损失、高 LDL 胆固醇、抑郁、脑外伤、缺乏身体活动、糖尿病、吸烟、高血压、肥胖、过量饮酒、社会隔离、空气污染和未处理的视力损失。其模型估计约45%的人群痴呆负担与这些因素相关，并可在特定因果与干预假设下理解为潜在可预防或延缓的比例。这个数字不构成每个人能够保证降低45%风险的承诺</w:t>
      </w:r>
      <w:r>
        <w:rPr>
          <w:vertAlign w:val="superscript"/>
        </w:rPr>
        <w:t xml:space="preserve">[</w:t>
      </w:r>
      <w:hyperlink w:anchor="ref-1471">
        <w:r>
          <w:rPr>
            <w:rStyle w:val="Hyperlink"/>
            <w:vertAlign w:val="superscript"/>
          </w:rPr>
          <w:t xml:space="preserve">1471</w:t>
        </w:r>
      </w:hyperlink>
      <w:r>
        <w:rPr>
          <w:vertAlign w:val="superscript"/>
        </w:rPr>
        <w:t xml:space="preserve">]</w:t>
      </w:r>
      <w:r>
        <w:t xml:space="preserve">。</w:t>
      </w:r>
    </w:p>
    <w:p>
      <w:pPr>
        <w:pStyle w:val="BodyText"/>
      </w:pPr>
      <w:r>
        <w:t xml:space="preserve">人群归因比例取决于暴露有多常见，以及暴露与结果的相对关系。对单一二元暴露，一个简化公式是 PAF = p×(RR−1) / [1+p×(RR−1)]，其中 p 是人群暴露比例，RR 是具有因果含义的相对风险。这个公式依赖一组假设，包括暴露定义合理、风险估计可推广、混杂得到处理，以及去除暴露不会产生其他抵消变化。</w:t>
      </w:r>
    </w:p>
    <w:p>
      <w:pPr>
        <w:pStyle w:val="BodyText"/>
      </w:pPr>
      <w:r>
        <w:t xml:space="preserve">多个因素相互关联时，不能把各项归因比例简单相加。教育、收入、环境、吸烟、活动和血压可能共享路径。若同一个病例在不同因素的模型中反复被归因，直接相加会重复计算。研究者需要采用相应调整方法，其结果也会受模型结构影响。一个看似精确的总百分比，背后仍然包含定义、数据和假设的不确定性。</w:t>
      </w:r>
    </w:p>
    <w:p>
      <w:pPr>
        <w:pStyle w:val="BodyText"/>
      </w:pPr>
      <w:r>
        <w:t xml:space="preserve">还有一个时间问题。某些因素的关键影响发生在生命早期或中年，晚年改变它们的效果未必等于从一开始没有暴露。风险因素可以改变，已经积累的组织损伤却可能只部分可逆。公共卫生策略通常需要跨越教育、工作、环境和医疗多个阶段，单纯要求老年人从今天开始“做好全部事情”，无法实现模型中的理想反事实条件。</w:t>
      </w:r>
    </w:p>
    <w:bookmarkEnd w:id="2238"/>
    <w:bookmarkStart w:id="2239" w:name="sec-138-6"/>
    <w:p>
      <w:pPr>
        <w:pStyle w:val="Heading3"/>
      </w:pPr>
      <w:r>
        <w:t xml:space="preserve">138.6　多领域生活方式试验的直接证据</w:t>
      </w:r>
    </w:p>
    <w:p>
      <w:pPr>
        <w:pStyle w:val="FirstParagraph"/>
      </w:pPr>
      <w:r>
        <w:t xml:space="preserve">FINGER 试验将1260名具有较高风险的60至77岁成人分配至两年多领域干预或一般健康建议。干预结合饮食、运动、认知训练和血管风险监测；总体认知指标每年变化的组间差为0.022个标准化单位，95%置信区间为0.002至0.042。试验支持特定组合在所选人群中的小幅平均认知收益，主要结果没有直接给出痴呆发生率下降多少</w:t>
      </w:r>
      <w:r>
        <w:rPr>
          <w:vertAlign w:val="superscript"/>
        </w:rPr>
        <w:t xml:space="preserve">[</w:t>
      </w:r>
      <w:hyperlink w:anchor="ref-1472">
        <w:r>
          <w:rPr>
            <w:rStyle w:val="Hyperlink"/>
            <w:vertAlign w:val="superscript"/>
          </w:rPr>
          <w:t xml:space="preserve">1472</w:t>
        </w:r>
      </w:hyperlink>
      <w:r>
        <w:rPr>
          <w:vertAlign w:val="superscript"/>
        </w:rPr>
        <w:t xml:space="preserve">]</w:t>
      </w:r>
      <w:r>
        <w:t xml:space="preserve">。</w:t>
      </w:r>
    </w:p>
    <w:p>
      <w:pPr>
        <w:pStyle w:val="BodyText"/>
      </w:pPr>
      <w:r>
        <w:t xml:space="preserve">2025年 U.S. POINTER 将2111名成人分配到结构化或自我指导的多领域生活方式方案。两组均获得积极干预，结构化组的总体认知年变化额外增加0.029个标准差，95%置信区间为0.008至0.050。该比较显示更有组织和支持的方案具有额外平均收益；由于没有完全不干预组，不能把两组共同的全部提高都归给生活方式，长期临床意义仍需追踪</w:t>
      </w:r>
      <w:r>
        <w:rPr>
          <w:vertAlign w:val="superscript"/>
        </w:rPr>
        <w:t xml:space="preserve">[</w:t>
      </w:r>
      <w:hyperlink w:anchor="ref-1473">
        <w:r>
          <w:rPr>
            <w:rStyle w:val="Hyperlink"/>
            <w:vertAlign w:val="superscript"/>
          </w:rPr>
          <w:t xml:space="preserve">1473</w:t>
        </w:r>
      </w:hyperlink>
      <w:r>
        <w:rPr>
          <w:vertAlign w:val="superscript"/>
        </w:rPr>
        <w:t xml:space="preserve">]</w:t>
      </w:r>
      <w:r>
        <w:t xml:space="preserve">。</w:t>
      </w:r>
    </w:p>
    <w:p>
      <w:pPr>
        <w:pStyle w:val="BodyText"/>
      </w:pPr>
      <w:r>
        <w:t xml:space="preserve">多领域试验回答的是组合策略是否有帮助，通常无法单独估计每一成分的必要性。假设饮食、运动和社会接触同时增加，结果改善可能来自其中一项、若干项的叠加，或相互促进。若要分解，需要析因设计、分阶段随机化、可靠的中介测量或专门拆解试验。拆解也有代价：把成分孤立出来，可能破坏现实生活中的协同和依从性。</w:t>
      </w:r>
    </w:p>
    <w:p>
      <w:pPr>
        <w:pStyle w:val="BodyText"/>
      </w:pPr>
      <w:r>
        <w:t xml:space="preserve">结构化支持本身也是干预内容。定期联系、反馈、交通安排、同伴关系和任务计划，可以帮助人们持续执行行为。一个研究发现结构化方案优于自助方案，不能仅归功于某张饮食清单或某个训练动作。对于推广，工作人员时间、参与者负担、文化适配和可及性，都是决定实际收益的重要变量。</w:t>
      </w:r>
    </w:p>
    <w:bookmarkEnd w:id="2239"/>
    <w:bookmarkStart w:id="2240" w:name="sec-138-7"/>
    <w:p>
      <w:pPr>
        <w:pStyle w:val="Heading3"/>
      </w:pPr>
      <w:r>
        <w:t xml:space="preserve">138.7　饮食观察与随机结果</w:t>
      </w:r>
    </w:p>
    <w:p>
      <w:pPr>
        <w:pStyle w:val="FirstParagraph"/>
      </w:pPr>
      <w:r>
        <w:t xml:space="preserve">2023年的 MIND 饮食随机试验纳入604名65岁及以上、认知未受损、有痴呆家族史、超重且饮食质量欠佳的成人，比较 MIND 饮食加轻度热量限制与对照饮食加轻度热量限制。三年总体认知变化的组间差为0.035个标准化单位，95%置信区间为负0.022至0.092，未达到统计显著；部分 MRI 结局也没有明确组差。这个结果限定了该干预相对于该积极对照的额外收益，并未检验健康饮食与严重营养不足之间的差别</w:t>
      </w:r>
      <w:r>
        <w:rPr>
          <w:vertAlign w:val="superscript"/>
        </w:rPr>
        <w:t xml:space="preserve">[</w:t>
      </w:r>
      <w:hyperlink w:anchor="ref-1474">
        <w:r>
          <w:rPr>
            <w:rStyle w:val="Hyperlink"/>
            <w:vertAlign w:val="superscript"/>
          </w:rPr>
          <w:t xml:space="preserve">1474</w:t>
        </w:r>
      </w:hyperlink>
      <w:r>
        <w:rPr>
          <w:vertAlign w:val="superscript"/>
        </w:rPr>
        <w:t xml:space="preserve">]</w:t>
      </w:r>
      <w:r>
        <w:t xml:space="preserve">。</w:t>
      </w:r>
    </w:p>
    <w:p>
      <w:pPr>
        <w:pStyle w:val="BodyText"/>
      </w:pPr>
      <w:r>
        <w:t xml:space="preserve">饮食研究存在典型的替代问题。增加一种食物，通常意味着减少另一种食物；结果取决于被替代的是什么。相同的坚果摄入增加，若替代的是某种高盐零食或另一种营养丰富食物，其总效应可能不同。研究还要考虑能量摄入、体重变化、社会经济条件和报告误差。只写某一种食物“保护大脑”，无法体现完整饮食模式和比较条件。</w:t>
      </w:r>
    </w:p>
    <w:p>
      <w:pPr>
        <w:pStyle w:val="BodyText"/>
      </w:pPr>
      <w:r>
        <w:t xml:space="preserve">观察研究中的健康饮食往往与其他健康行为聚集。选择较健康饮食的人，可能更有机会接受教育、进行运动、获得医疗和保持社交。统计调整可以减少部分混杂，却不能保证所有未测量因素都被清除。随机试验能够改善这方面的因果识别，但依从性、持续时间和对照组的改善又会影响可观察差异。两种设计各自提供不同信息，需要一起判断。</w:t>
      </w:r>
    </w:p>
    <w:bookmarkEnd w:id="2240"/>
    <w:bookmarkStart w:id="2241" w:name="sec-138-8"/>
    <w:p>
      <w:pPr>
        <w:pStyle w:val="Heading3"/>
      </w:pPr>
      <w:r>
        <w:t xml:space="preserve">138.8　运动对脑与生活的多种价值</w:t>
      </w:r>
    </w:p>
    <w:p>
      <w:pPr>
        <w:pStyle w:val="FirstParagraph"/>
      </w:pPr>
      <w:r>
        <w:t xml:space="preserve">Erickson 等人在120名老年成人的随机试验中，报告有氧运动与前部海马体积增加及空间记忆变化相关。MRI 体积是多种组织因素的综合信号，试验没有直接计数新生神经元；血中 BDNF 关联也不能独自证明成人神经发生介导全部效应。因此这项研究支持老年脑对运动的可塑性，并保留细胞机制的解释边界</w:t>
      </w:r>
      <w:r>
        <w:rPr>
          <w:vertAlign w:val="superscript"/>
        </w:rPr>
        <w:t xml:space="preserve">[</w:t>
      </w:r>
      <w:hyperlink w:anchor="ref-1475">
        <w:r>
          <w:rPr>
            <w:rStyle w:val="Hyperlink"/>
            <w:vertAlign w:val="superscript"/>
          </w:rPr>
          <w:t xml:space="preserve">1475</w:t>
        </w:r>
      </w:hyperlink>
      <w:r>
        <w:rPr>
          <w:vertAlign w:val="superscript"/>
        </w:rPr>
        <w:t xml:space="preserve">]</w:t>
      </w:r>
      <w:r>
        <w:t xml:space="preserve">。</w:t>
      </w:r>
    </w:p>
    <w:p>
      <w:pPr>
        <w:pStyle w:val="BodyText"/>
      </w:pPr>
      <w:r>
        <w:t xml:space="preserve">更大规模研究也出现认知主要比较不显著的结果。LIFE 试验纳入1635名久坐且存在活动受限风险的老年人，比较两年身体活动与健康教育，未发现总体或主要认知领域的明确组间改善。这个结果说明运动的认知收益受到人群、对照、方案、时间和测量影响。它不取消运动在活动能力、身体健康和参与生活方面需要独立评价的价值</w:t>
      </w:r>
      <w:r>
        <w:rPr>
          <w:vertAlign w:val="superscript"/>
        </w:rPr>
        <w:t xml:space="preserve">[</w:t>
      </w:r>
      <w:hyperlink w:anchor="ref-1476">
        <w:r>
          <w:rPr>
            <w:rStyle w:val="Hyperlink"/>
            <w:vertAlign w:val="superscript"/>
          </w:rPr>
          <w:t xml:space="preserve">1476</w:t>
        </w:r>
      </w:hyperlink>
      <w:r>
        <w:rPr>
          <w:vertAlign w:val="superscript"/>
        </w:rPr>
        <w:t xml:space="preserve">]</w:t>
      </w:r>
      <w:r>
        <w:t xml:space="preserve">。</w:t>
      </w:r>
    </w:p>
    <w:p>
      <w:pPr>
        <w:pStyle w:val="BodyText"/>
      </w:pPr>
      <w:r>
        <w:t xml:space="preserve">对于运动研究，剂量不能只用每周分钟数概括。强度、技能复杂性、社交成分、恢复、既往训练和身体限制均可能影响结果。过高负担会降低依从性或增加损伤，过低负担可能不足以产生目标适应。一个在监督条件下有效的方案，若现实中难以持续，其人群效果会缩小。研究应报告实际完成量，并区分分配到方案的效果和严格完成方案者的效果。</w:t>
      </w:r>
    </w:p>
    <w:p>
      <w:pPr>
        <w:pStyle w:val="BodyText"/>
      </w:pPr>
      <w:r>
        <w:t xml:space="preserve">“完成者效果”容易受到选择偏差。能够坚持训练的人可能起初更健康、动机更强、家庭支持更多。随机分配的主要分析通常保留所有分配者，以估计提供该方案的总体效果；依从性分析可以补充机制理解，但需要更强假设。公众看到“坚持者提升很多”时，应了解有多少人未完成，以及未完成与健康状况是否相关。</w:t>
      </w:r>
    </w:p>
    <w:bookmarkEnd w:id="2241"/>
    <w:bookmarkStart w:id="2242" w:name="sec-138-9"/>
    <w:p>
      <w:pPr>
        <w:pStyle w:val="Heading3"/>
      </w:pPr>
      <w:r>
        <w:t xml:space="preserve">138.9　听力干预与亚组解释</w:t>
      </w:r>
    </w:p>
    <w:p>
      <w:pPr>
        <w:pStyle w:val="FirstParagraph"/>
      </w:pPr>
      <w:r>
        <w:t xml:space="preserve">ACHIEVE 试验将977名有听力损失的老年人随机分配至听力干预或健康教育。总体三年认知变化的组间差接近零，95%置信区间跨零；预先规定的分析显示，来自 ARIC、基线风险较高的亚组与新招募较健康者的干预效应不同。结果支持进一步研究高风险人群中的潜在认知收益，同时不能概括成所有使用助听器者的认知下降均减少某个固定比例</w:t>
      </w:r>
      <w:r>
        <w:rPr>
          <w:vertAlign w:val="superscript"/>
        </w:rPr>
        <w:t xml:space="preserve">[</w:t>
      </w:r>
      <w:hyperlink w:anchor="ref-1477">
        <w:r>
          <w:rPr>
            <w:rStyle w:val="Hyperlink"/>
            <w:vertAlign w:val="superscript"/>
          </w:rPr>
          <w:t xml:space="preserve">1477</w:t>
        </w:r>
      </w:hyperlink>
      <w:r>
        <w:rPr>
          <w:vertAlign w:val="superscript"/>
        </w:rPr>
        <w:t xml:space="preserve">]</w:t>
      </w:r>
      <w:r>
        <w:t xml:space="preserve">。</w:t>
      </w:r>
    </w:p>
    <w:p>
      <w:pPr>
        <w:pStyle w:val="BodyText"/>
      </w:pPr>
      <w:r>
        <w:t xml:space="preserve">亚组结果的可信度取决于是否事先规定、是否直接检验交互作用、样本量是否足够、结果是否一致，以及是否得到独立重复。一个亚组显著、另一个亚组不显著，不自动等于两个亚组之间存在显著差异。研究应比较效应之差，并报告其不确定性。亚组越多，偶然出现吸引人结果的概率越高。</w:t>
      </w:r>
    </w:p>
    <w:p>
      <w:pPr>
        <w:pStyle w:val="BodyText"/>
      </w:pPr>
      <w:r>
        <w:t xml:space="preserve">听力干预的价值还包括沟通、环境感知和社会参与。即使认知预防效果仍有不确定性，改善这些结局也可能对个体有实质意义。反过来，听力改善也会让依赖听觉输入的测验表现更好；这种测量改善需要与更广泛的认知改变区分。研究可使用对听力依赖程度不同的任务，检查结论是否稳定。</w:t>
      </w:r>
    </w:p>
    <w:bookmarkEnd w:id="2242"/>
    <w:bookmarkStart w:id="2243" w:name="sec-138-10"/>
    <w:p>
      <w:pPr>
        <w:pStyle w:val="Heading3"/>
      </w:pPr>
      <w:r>
        <w:t xml:space="preserve">138.10　血压控制与认知结局</w:t>
      </w:r>
    </w:p>
    <w:p>
      <w:pPr>
        <w:pStyle w:val="FirstParagraph"/>
      </w:pPr>
      <w:r>
        <w:t xml:space="preserve">SPRINT MIND 在9361名高血压成人中比较不同血压控制策略，原研究排除了糖尿病和既往卒中等特定人群。可能痴呆的主要认知终点未达到统计显著，轻度认知障碍及组合结局显示收益。试验因心血管收益而提前结束，使认知事件数和干预持续时间受到影响。该研究支持认真管理血管风险，同时不能被转换为所有人采用同一血压目标的个体处方</w:t>
      </w:r>
      <w:r>
        <w:rPr>
          <w:vertAlign w:val="superscript"/>
        </w:rPr>
        <w:t xml:space="preserve">[</w:t>
      </w:r>
      <w:hyperlink w:anchor="ref-1478">
        <w:r>
          <w:rPr>
            <w:rStyle w:val="Hyperlink"/>
            <w:vertAlign w:val="superscript"/>
          </w:rPr>
          <w:t xml:space="preserve">1478</w:t>
        </w:r>
      </w:hyperlink>
      <w:r>
        <w:rPr>
          <w:vertAlign w:val="superscript"/>
        </w:rPr>
        <w:t xml:space="preserve">]</w:t>
      </w:r>
      <w:r>
        <w:t xml:space="preserve">。</w:t>
      </w:r>
    </w:p>
    <w:p>
      <w:pPr>
        <w:pStyle w:val="BodyText"/>
      </w:pPr>
      <w:r>
        <w:t xml:space="preserve">2025年更长期随访仍需要区分结果：可能痴呆的危险比为0.86，95%置信区间为0.72至1.02；轻度认知障碍及组合结局的结果更支持降低。延长随访增加了事件数，也引入后续治疗变化、失访和测量方式等问题。长期追踪能够增强证据，但不能自动消除随机阶段结束后的全部解释困难</w:t>
      </w:r>
      <w:r>
        <w:rPr>
          <w:vertAlign w:val="superscript"/>
        </w:rPr>
        <w:t xml:space="preserve">[</w:t>
      </w:r>
      <w:hyperlink w:anchor="ref-1479">
        <w:r>
          <w:rPr>
            <w:rStyle w:val="Hyperlink"/>
            <w:vertAlign w:val="superscript"/>
          </w:rPr>
          <w:t xml:space="preserve">1479</w:t>
        </w:r>
      </w:hyperlink>
      <w:r>
        <w:rPr>
          <w:vertAlign w:val="superscript"/>
        </w:rPr>
        <w:t xml:space="preserve">]</w:t>
      </w:r>
      <w:r>
        <w:t xml:space="preserve">。</w:t>
      </w:r>
    </w:p>
    <w:p>
      <w:pPr>
        <w:pStyle w:val="BodyText"/>
      </w:pPr>
      <w:r>
        <w:t xml:space="preserve">这里的统计解释尤其重要。主要终点未显著，表示数据与一系列可能效应相容，不能直接写成“证明完全没有作用”。某个次要终点显著，也不能无条件取代主要终点。合理表述同时保留效应方向、区间宽度、终点层级和研究设计，让读者看到证据支持到哪一步。</w:t>
      </w:r>
    </w:p>
    <w:bookmarkEnd w:id="2243"/>
    <w:bookmarkStart w:id="2244" w:name="sec-138-11"/>
    <w:p>
      <w:pPr>
        <w:pStyle w:val="Heading3"/>
      </w:pPr>
      <w:r>
        <w:t xml:space="preserve">138.11　社会环境与个人责任</w:t>
      </w:r>
    </w:p>
    <w:p>
      <w:pPr>
        <w:pStyle w:val="FirstParagraph"/>
      </w:pPr>
      <w:r>
        <w:t xml:space="preserve">预防框架容易把全部责任交给个人。现实中，安全步行空间、空气质量、教育机会、工作时间、食物价格、听力服务和医疗可及性会影响行为选择。一个人未能维持某种理想生活方式，可能面对经济、身体、照护和环境限制。公共卫生干预需要改变这些条件，单靠知识宣传可能难以达到预期效果。</w:t>
      </w:r>
    </w:p>
    <w:p>
      <w:pPr>
        <w:pStyle w:val="BodyText"/>
      </w:pPr>
      <w:r>
        <w:t xml:space="preserve">社会参与也不能只按朋友数量计量。关系质量、被接纳的程度、交流负担和个人偏好都影响体验。强迫参加不适合的社交活动，可能增加疲劳和压力；提供可选择、有意义、能够持续的参与方式，更符合以功能和生活质量为目标的框架。研究需要区分客观孤立、主观孤独和社会支持，三者的测量及作用路径并不完全相同。</w:t>
      </w:r>
    </w:p>
    <w:p>
      <w:pPr>
        <w:pStyle w:val="BodyText"/>
      </w:pPr>
      <w:r>
        <w:t xml:space="preserve">风险语言应避免污名。一个人在多种有利条件下仍可能患病，另一个具有多个危险因素的人也可能保持良好功能。群体概率允许个体例外。预防信息的价值是提高可改变机会的可见性，支持更好的环境和医疗决策；它不提供对患者或家庭进行道德评价的依据。</w:t>
      </w:r>
    </w:p>
    <w:bookmarkEnd w:id="2244"/>
    <w:bookmarkStart w:id="2245" w:name="sec-138-12"/>
    <w:p>
      <w:pPr>
        <w:pStyle w:val="Heading3"/>
      </w:pPr>
      <w:r>
        <w:t xml:space="preserve">138.12　痴呆发生之外的结局</w:t>
      </w:r>
    </w:p>
    <w:p>
      <w:pPr>
        <w:pStyle w:val="FirstParagraph"/>
      </w:pPr>
      <w:r>
        <w:t xml:space="preserve">研究常把是否被诊断为痴呆作为终点，但诊断受到功能要求、医疗接触、评估工具和生存时间影响。若某干预延长寿命，更多人活到可能发生痴呆的年龄，痴呆病例数可能上升，同时总体健康寿命也可能增加。分析需要处理死亡这一竞争事件，并报告功能保存和生活质量，避免用单个比例遗漏总体健康收益。</w:t>
      </w:r>
    </w:p>
    <w:p>
      <w:pPr>
        <w:pStyle w:val="BodyText"/>
      </w:pPr>
      <w:r>
        <w:t xml:space="preserve">推迟发病与彻底避免发病也有区别。对于个人和照护体系，延后若干年出现严重依赖可能具有重大意义，即使终生风险没有完全消失。要估计这种收益，需要足够长期的数据，不能把短期量表的组间差线性外推几十年。病程可能加速、减速，干预依从性也会改变。</w:t>
      </w:r>
    </w:p>
    <w:p>
      <w:pPr>
        <w:pStyle w:val="BodyText"/>
      </w:pPr>
      <w:r>
        <w:t xml:space="preserve">照护者结局同样重要。认知量表的微小改善是否减少监督时间、改善交流、降低夜间负担，需要直接测量。某些支持措施可以明显改善家庭生活，即使没有改变病理指标。把病理治疗、症状管理、环境支持和照护服务共同纳入目标，能够形成更完整的脑健康观。</w:t>
      </w:r>
    </w:p>
    <w:bookmarkEnd w:id="2245"/>
    <w:bookmarkStart w:id="2246" w:name="sec-138-13"/>
    <w:p>
      <w:pPr>
        <w:pStyle w:val="Heading3"/>
      </w:pPr>
      <w:r>
        <w:t xml:space="preserve">138.13　假设研究的因果练习</w:t>
      </w:r>
    </w:p>
    <w:p>
      <w:pPr>
        <w:pStyle w:val="FirstParagraph"/>
      </w:pPr>
      <w:r>
        <w:t xml:space="preserve">例题一。某社区中参加读书活动的人十年后痴呆更少。可以提出至少四种解释：活动具有保护作用；起初认知较好者更容易参加；教育和资源同时影响参与及健康；早期疾病使人提前减少活动。仅靠一次基线活动调查，难以区分这些路径。重复测量、排除早期事件、家庭背景控制和随机鼓励设计可以分别减少部分歧义。</w:t>
      </w:r>
    </w:p>
    <w:p>
      <w:pPr>
        <w:pStyle w:val="BodyText"/>
      </w:pPr>
      <w:r>
        <w:t xml:space="preserve">例题二。两个随机组的认知分数都提高，干预组比对照组额外提高0.03个标准差。最可靠的随机比较是0.03这一额外差异。两组共同提高可能包含练习、共同干预、期待或真实改善。若要估计完全不参与研究时的变化，需要相应比较或额外假设。</w:t>
      </w:r>
    </w:p>
    <w:p>
      <w:pPr>
        <w:pStyle w:val="BodyText"/>
      </w:pPr>
      <w:r>
        <w:t xml:space="preserve">例题三。某风险因素在群体中很常见，风险比只有1.2；另一因素很罕见，风险比为3。哪一个对人群负担贡献更大，不能只看风险比，需要同时知道暴露比例。对个人决策，还需要了解自身基础风险、干预有效性、成本、偏好和不良影响。群体排序不能直接转换为每个人的优先顺序。</w:t>
      </w:r>
    </w:p>
    <w:p>
      <w:pPr>
        <w:pStyle w:val="BodyText"/>
      </w:pPr>
      <w:r>
        <w:t xml:space="preserve">例题四。某生物标志物改善，认知和日常功能没有变化。可能解释包括随访太短、指标不够接近临床机制、病理改善幅度不足、存在其他损伤，或指标变化并无临床收益。选择哪一种解释需要新的证据。将所有阴性功能结果归因于“时间还不够”，属于不可检验的保护性解释，研究应预先规定合理观察期限。</w:t>
      </w:r>
    </w:p>
    <w:bookmarkEnd w:id="2246"/>
    <w:bookmarkStart w:id="2247" w:name="sec-138-14"/>
    <w:p>
      <w:pPr>
        <w:pStyle w:val="Heading3"/>
      </w:pPr>
      <w:r>
        <w:t xml:space="preserve">138.14　综合判断框架</w:t>
      </w:r>
    </w:p>
    <w:p>
      <w:pPr>
        <w:pStyle w:val="FirstParagraph"/>
      </w:pPr>
      <w:r>
        <w:t xml:space="preserve">评价一项认知老化干预，可以先确认目标人群、比较方案、主要终点和随访时间，再查看绝对效应、不确定性、依从性和不良事件。随后询问结果能否迁移到不同年龄、教育、文化、身体状况和医疗条件的人群。最后考虑实施条件：谁提供支持、费用由谁承担、退出者为何退出，以及收益是否能维持。</w:t>
      </w:r>
    </w:p>
    <w:p>
      <w:pPr>
        <w:pStyle w:val="BodyText"/>
      </w:pPr>
      <w:r>
        <w:t xml:space="preserve">对于公众，最稳健的知识结构是同时接受可改变性与不确定性。身体、感官、血管、心理和社会健康相互联系，多个环节值得支持；具体干预对痴呆的作用大小需要各自证据。认识这些层次，有助于理解预防研究的进展，也有助于尊重已经患病者的现实需求和人格尊严。</w:t>
      </w:r>
    </w:p>
    <w:bookmarkEnd w:id="2247"/>
    <w:bookmarkStart w:id="2248" w:name="sec-138-15"/>
    <w:p>
      <w:pPr>
        <w:pStyle w:val="Heading3"/>
      </w:pPr>
      <w:r>
        <w:t xml:space="preserve">138.15　关键判断的置信度与适用范围</w:t>
      </w:r>
    </w:p>
    <w:p>
      <w:pPr>
        <w:pStyle w:val="FirstParagraph"/>
      </w:pPr>
      <w:r>
        <w:t xml:space="preserve">年龄增长伴随多维度平均变化、同龄人之间存在明显差异，以及储备与病理负担需要分开描述，这些判断有较强支持。运动、听力照护、血管危险因素管理和多领域干预的具体平均效应，应依据各自随机试验的人群与结局分别讨论；某一子组结果不能自动升级为所有老年人的统一效应。人群归因比例依赖因果、暴露和可干预性假设，其数值属于特定模型下的估计，不能代表单个人能够消除的风险比例。对于一个人未来十年的认知轨迹，现有指标通常只支持有不确定区间的概率判断，无法给出确定命运</w:t>
      </w:r>
      <w:r>
        <w:rPr>
          <w:vertAlign w:val="superscript"/>
        </w:rPr>
        <w:t xml:space="preserve">[</w:t>
      </w:r>
      <w:hyperlink w:anchor="ref-1469">
        <w:r>
          <w:rPr>
            <w:rStyle w:val="Hyperlink"/>
            <w:vertAlign w:val="superscript"/>
          </w:rPr>
          <w:t xml:space="preserve">1469</w:t>
        </w:r>
      </w:hyperlink>
      <w:r>
        <w:rPr>
          <w:vertAlign w:val="superscript"/>
        </w:rPr>
        <w:t xml:space="preserve">,</w:t>
      </w:r>
      <w:hyperlink w:anchor="ref-1471">
        <w:r>
          <w:rPr>
            <w:rStyle w:val="Hyperlink"/>
            <w:vertAlign w:val="superscript"/>
          </w:rPr>
          <w:t xml:space="preserve">1471</w:t>
        </w:r>
      </w:hyperlink>
      <w:r>
        <w:rPr>
          <w:vertAlign w:val="superscript"/>
        </w:rPr>
        <w:t xml:space="preserve">,</w:t>
      </w:r>
      <w:hyperlink w:anchor="ref-1472">
        <w:r>
          <w:rPr>
            <w:rStyle w:val="Hyperlink"/>
            <w:vertAlign w:val="superscript"/>
          </w:rPr>
          <w:t xml:space="preserve">1472</w:t>
        </w:r>
      </w:hyperlink>
      <w:r>
        <w:rPr>
          <w:vertAlign w:val="superscript"/>
        </w:rPr>
        <w:t xml:space="preserve">,</w:t>
      </w:r>
      <w:hyperlink w:anchor="ref-1473">
        <w:r>
          <w:rPr>
            <w:rStyle w:val="Hyperlink"/>
            <w:vertAlign w:val="superscript"/>
          </w:rPr>
          <w:t xml:space="preserve">1473</w:t>
        </w:r>
      </w:hyperlink>
      <w:r>
        <w:rPr>
          <w:vertAlign w:val="superscript"/>
        </w:rPr>
        <w:t xml:space="preserve">,</w:t>
      </w:r>
      <w:hyperlink w:anchor="ref-1477">
        <w:r>
          <w:rPr>
            <w:rStyle w:val="Hyperlink"/>
            <w:vertAlign w:val="superscript"/>
          </w:rPr>
          <w:t xml:space="preserve">1477</w:t>
        </w:r>
      </w:hyperlink>
      <w:r>
        <w:rPr>
          <w:vertAlign w:val="superscript"/>
        </w:rPr>
        <w:t xml:space="preserve">,</w:t>
      </w:r>
      <w:hyperlink w:anchor="ref-1478">
        <w:r>
          <w:rPr>
            <w:rStyle w:val="Hyperlink"/>
            <w:vertAlign w:val="superscript"/>
          </w:rPr>
          <w:t xml:space="preserve">1478</w:t>
        </w:r>
      </w:hyperlink>
      <w:r>
        <w:rPr>
          <w:vertAlign w:val="superscript"/>
        </w:rPr>
        <w:t xml:space="preserve">]</w:t>
      </w:r>
      <w:r>
        <w:t xml:space="preserve">。</w:t>
      </w:r>
    </w:p>
    <w:bookmarkEnd w:id="2248"/>
    <w:bookmarkEnd w:id="2249"/>
    <w:bookmarkStart w:id="2272" w:name="ch-139"/>
    <w:p>
      <w:pPr>
        <w:pStyle w:val="Heading2"/>
      </w:pPr>
      <w:r>
        <w:t xml:space="preserve">第139章　营养补充、认知改善与痴呆预防</w:t>
      </w:r>
    </w:p>
    <w:p>
      <w:pPr>
        <w:pStyle w:val="CalloutJudgment"/>
      </w:pPr>
      <w:r>
        <w:rPr>
          <w:bCs/>
          <w:b/>
        </w:rPr>
        <w:t xml:space="preserve">核心判断　补充剂需要按成分、剂量、人群和结局评价，不能由营养必需或机制合理推出普遍健脑；部分研究显示小幅认知收益，仍未等同于已证实预防痴呆，置信度高。</w:t>
      </w:r>
      <w:r>
        <w:t xml:space="preserve">营养缺乏的纠正与营养充足者额外补充，属于不同干预问题。产品名称、天然来源和抗氧化故事无法替代人体结局。</w:t>
      </w:r>
    </w:p>
    <w:bookmarkStart w:id="2250" w:name="sec-139-1"/>
    <w:p>
      <w:pPr>
        <w:pStyle w:val="Heading3"/>
      </w:pPr>
      <w:r>
        <w:t xml:space="preserve">139.1　缺乏与额外补充</w:t>
      </w:r>
    </w:p>
    <w:p>
      <w:pPr>
        <w:pStyle w:val="FirstParagraph"/>
      </w:pPr>
      <w:r>
        <w:t xml:space="preserve">神经系统需要多种营养素，但需要某种物质不意味着摄入越多越好。缺乏状态下补充可以恢复必要生理功能，充足状态下额外摄入可能收益有限，也可能带来风险。剂量、吸收、代谢、药物相互作用和基础疾病共同影响结果。</w:t>
      </w:r>
    </w:p>
    <w:p>
      <w:pPr>
        <w:pStyle w:val="BodyText"/>
      </w:pPr>
      <w:r>
        <w:t xml:space="preserve">某些缺乏或代谢问题可以造成认知症状，评估应依据临床背景和适当检测。不能把所有记忆下降都归为缺维生素，也不能因为某项检测正常就排除全部原因。营养、睡眠、情绪、药物、感官与神经疾病都可能参与。</w:t>
      </w:r>
    </w:p>
    <w:bookmarkEnd w:id="2250"/>
    <w:bookmarkStart w:id="2251" w:name="sec-139-2"/>
    <w:p>
      <w:pPr>
        <w:pStyle w:val="Heading3"/>
      </w:pPr>
      <w:r>
        <w:t xml:space="preserve">139.2　银杏预防试验</w:t>
      </w:r>
    </w:p>
    <w:p>
      <w:pPr>
        <w:pStyle w:val="FirstParagraph"/>
      </w:pPr>
      <w:r>
        <w:t xml:space="preserve">DeKosky等2008年的随机双盲试验纳入3069名75岁及以上成人，中位随访6.1年，所研究银杏制剂未降低痴呆发生；总体痴呆危险比为1.12，95%置信区间0.94至1.33</w:t>
      </w:r>
      <w:r>
        <w:rPr>
          <w:vertAlign w:val="superscript"/>
        </w:rPr>
        <w:t xml:space="preserve">[</w:t>
      </w:r>
      <w:hyperlink w:anchor="ref-1480">
        <w:r>
          <w:rPr>
            <w:rStyle w:val="Hyperlink"/>
            <w:vertAlign w:val="superscript"/>
          </w:rPr>
          <w:t xml:space="preserve">1480</w:t>
        </w:r>
      </w:hyperlink>
      <w:r>
        <w:rPr>
          <w:vertAlign w:val="superscript"/>
        </w:rPr>
        <w:t xml:space="preserve">]</w:t>
      </w:r>
      <w:r>
        <w:t xml:space="preserve">。这是针对特定制剂、人群和预防目标的直接证据，不能被体外机制或用户见证替代。</w:t>
      </w:r>
    </w:p>
    <w:p>
      <w:pPr>
        <w:pStyle w:val="BodyText"/>
      </w:pPr>
      <w:r>
        <w:t xml:space="preserve">结果不支持把该方案宣传为老年痴呆预防措施。它也没有测试所有可能制剂与所有疾病阶段。若提出新配方有效，需要新配方的独立证据，无法仅凭与旧配方不同就避开举证责任（见</w:t>
      </w:r>
      <w:r>
        <w:t xml:space="preserve"> </w:t>
      </w:r>
      <w:hyperlink w:anchor="sec-139-15">
        <w:r>
          <w:rPr>
            <w:rStyle w:val="Hyperlink"/>
          </w:rPr>
          <w:t xml:space="preserve">139.15</w:t>
        </w:r>
      </w:hyperlink>
      <w:r>
        <w:t xml:space="preserve">）。</w:t>
      </w:r>
    </w:p>
    <w:bookmarkEnd w:id="2251"/>
    <w:bookmarkStart w:id="2252" w:name="sec-139-3"/>
    <w:p>
      <w:pPr>
        <w:pStyle w:val="Heading3"/>
      </w:pPr>
      <w:r>
        <w:t xml:space="preserve">139.3　复合维生素的积极信号与限定</w:t>
      </w:r>
    </w:p>
    <w:p>
      <w:pPr>
        <w:pStyle w:val="FirstParagraph"/>
      </w:pPr>
      <w:r>
        <w:t xml:space="preserve">COSMOS Web研究在3562名老年参与者中比较特定复合维生素与安慰剂，主要记忆结局出现小幅收益，部分其他结局未见显著差异</w:t>
      </w:r>
      <w:r>
        <w:rPr>
          <w:vertAlign w:val="superscript"/>
        </w:rPr>
        <w:t xml:space="preserve">[</w:t>
      </w:r>
      <w:hyperlink w:anchor="ref-1481">
        <w:r>
          <w:rPr>
            <w:rStyle w:val="Hyperlink"/>
            <w:vertAlign w:val="superscript"/>
          </w:rPr>
          <w:t xml:space="preserve">1481</w:t>
        </w:r>
      </w:hyperlink>
      <w:r>
        <w:rPr>
          <w:vertAlign w:val="superscript"/>
        </w:rPr>
        <w:t xml:space="preserve">]</w:t>
      </w:r>
      <w:r>
        <w:t xml:space="preserve">。2024年COSMOS Clinic分析573人，总体认知效应为0.06个标准差，95%区间为−0.003至0.13；三个子研究去重合并5203人后总体认知效应为0.07个标准差，区间为0.03至0.11</w:t>
      </w:r>
      <w:r>
        <w:rPr>
          <w:vertAlign w:val="superscript"/>
        </w:rPr>
        <w:t xml:space="preserve">[</w:t>
      </w:r>
      <w:hyperlink w:anchor="ref-1482">
        <w:r>
          <w:rPr>
            <w:rStyle w:val="Hyperlink"/>
            <w:vertAlign w:val="superscript"/>
          </w:rPr>
          <w:t xml:space="preserve">1482</w:t>
        </w:r>
      </w:hyperlink>
      <w:r>
        <w:rPr>
          <w:vertAlign w:val="superscript"/>
        </w:rPr>
        <w:t xml:space="preserve">]</w:t>
      </w:r>
      <w:r>
        <w:t xml:space="preserve">。</w:t>
      </w:r>
    </w:p>
    <w:p>
      <w:pPr>
        <w:pStyle w:val="BodyText"/>
      </w:pPr>
      <w:r>
        <w:t xml:space="preserve">这些结果需要保留，不能为了反对保健品而删去积极证据。同时，合并资料来自同一母试验的不同子研究，独立性与外部重复应准确说明。研究针对特定产品和老年人群，无法直接推广到青年、任意配方或所有认知领域。</w:t>
      </w:r>
    </w:p>
    <w:bookmarkEnd w:id="2252"/>
    <w:bookmarkStart w:id="2253" w:name="sec-139-4"/>
    <w:p>
      <w:pPr>
        <w:pStyle w:val="Heading3"/>
      </w:pPr>
      <w:r>
        <w:t xml:space="preserve">139.4　小效应与临床意义</w:t>
      </w:r>
    </w:p>
    <w:p>
      <w:pPr>
        <w:pStyle w:val="FirstParagraph"/>
      </w:pPr>
      <w:r>
        <w:t xml:space="preserve">0.07个标准差是平均组间差异的一种标准化表达，不能直接解释成提高7%的记忆，也不能说明每个人都受益。标准差与测验及样本有关。理解实用意义还需要原始量尺、可靠变化、功能结局和长期随访。</w:t>
      </w:r>
    </w:p>
    <w:p>
      <w:pPr>
        <w:pStyle w:val="BodyText"/>
      </w:pPr>
      <w:r>
        <w:t xml:space="preserve">把效果换算成相当于年轻若干年，通常依赖年龄与测验分数的关系模型。这个换算有助于沟通，但不能解释为脑年龄真正逆转，也无法证明延后同样年数的痴呆。横断面年龄差异还可能包含出生年代和教育差异，换算假设需要明确。</w:t>
      </w:r>
    </w:p>
    <w:bookmarkEnd w:id="2253"/>
    <w:bookmarkStart w:id="2254" w:name="sec-139-5"/>
    <w:p>
      <w:pPr>
        <w:pStyle w:val="Heading3"/>
      </w:pPr>
      <w:r>
        <w:t xml:space="preserve">139.5　认知测验与痴呆结局</w:t>
      </w:r>
    </w:p>
    <w:p>
      <w:pPr>
        <w:pStyle w:val="FirstParagraph"/>
      </w:pPr>
      <w:r>
        <w:t xml:space="preserve">记忆测验改善、总体认知减缓下降、轻度认知障碍发生减少和痴呆发生减少，是不同结局。预防痴呆需要足够长随访、明确诊断与足够事件数。短期测验收益可以提供线索，无法独自完成疾病预防证明。</w:t>
      </w:r>
    </w:p>
    <w:p>
      <w:pPr>
        <w:pStyle w:val="BodyText"/>
      </w:pPr>
      <w:r>
        <w:t xml:space="preserve">同样，生物标志物改变也需要临床对应。某成分降低炎症或改变代谢指标，不代表改善认知。替代终点应通过研究验证其能否可靠预测有意义结局。机制链中每个环节都重要，跳过其中任何一环都会增加不确定性。</w:t>
      </w:r>
    </w:p>
    <w:bookmarkEnd w:id="2254"/>
    <w:bookmarkStart w:id="2255" w:name="sec-139-6"/>
    <w:p>
      <w:pPr>
        <w:pStyle w:val="Heading3"/>
      </w:pPr>
      <w:r>
        <w:t xml:space="preserve">139.6　营养试验为何困难</w:t>
      </w:r>
    </w:p>
    <w:p>
      <w:pPr>
        <w:pStyle w:val="FirstParagraph"/>
      </w:pPr>
      <w:r>
        <w:t xml:space="preserve">参与者的原有饮食和缺乏状态可能影响收益，饮食测量又存在误差。长期依从性、其他补充剂、疾病与药物都会改变实际暴露。对照组也可能改善饮食或自行补充，使组间差异缩小。研究需要记录这些因素并预先计划分析。</w:t>
      </w:r>
    </w:p>
    <w:p>
      <w:pPr>
        <w:pStyle w:val="BodyText"/>
      </w:pPr>
      <w:r>
        <w:t xml:space="preserve">复合产品包含多种成分，观察到收益后难以确定哪种成分负责（见</w:t>
      </w:r>
      <w:r>
        <w:t xml:space="preserve"> </w:t>
      </w:r>
      <w:hyperlink w:anchor="sec-139-18">
        <w:r>
          <w:rPr>
            <w:rStyle w:val="Hyperlink"/>
          </w:rPr>
          <w:t xml:space="preserve">139.18</w:t>
        </w:r>
      </w:hyperlink>
      <w:r>
        <w:t xml:space="preserve">）。不同品牌剂量与配方可能不同，不能自动视为类效应。若研究由产品方资助，应检查注册、分析独立性和全部结局报告，同时仍按实际设计评价结果。</w:t>
      </w:r>
    </w:p>
    <w:bookmarkEnd w:id="2255"/>
    <w:bookmarkStart w:id="2256" w:name="sec-139-7"/>
    <w:p>
      <w:pPr>
        <w:pStyle w:val="Heading3"/>
      </w:pPr>
      <w:r>
        <w:t xml:space="preserve">139.7　选择性报告与多重结局</w:t>
      </w:r>
    </w:p>
    <w:p>
      <w:pPr>
        <w:pStyle w:val="FirstParagraph"/>
      </w:pPr>
      <w:r>
        <w:t xml:space="preserve">认知研究常测量多项任务与亚组。若只有一个结果显著，需要知道它是否预先指定为主要结局，是否进行多重比较处理，以及其他结局方向如何。事后发现的营养不足亚组可能具有合理机制，仍需独立试验确认。</w:t>
      </w:r>
    </w:p>
    <w:p>
      <w:pPr>
        <w:pStyle w:val="BodyText"/>
      </w:pPr>
      <w:r>
        <w:t xml:space="preserve">“没有显著性”也不能机械等同无效。区间宽时可能只是信息不足；区间足够窄且排除有意义效应时，证据才更能限制收益。把所有阴性结果解释为剂量不够，又把任何阳性结果当成确认，会让产品理论难以检验。</w:t>
      </w:r>
    </w:p>
    <w:bookmarkEnd w:id="2256"/>
    <w:bookmarkStart w:id="2257" w:name="sec-139-8"/>
    <w:p>
      <w:pPr>
        <w:pStyle w:val="Heading3"/>
      </w:pPr>
      <w:r>
        <w:t xml:space="preserve">139.8　健康生活方式与补充剂</w:t>
      </w:r>
    </w:p>
    <w:p>
      <w:pPr>
        <w:pStyle w:val="FirstParagraph"/>
      </w:pPr>
      <w:r>
        <w:t xml:space="preserve">健康饮食、身体活动、心血管风险管理、感官支持和社会参与具有各自证据，不应被压缩成一种补品的替代名称。不同干预可能影响不同风险路径，组合方案的效果需要直接研究。不能把所有健康行为都宣传为确定预防痴呆，也不应因某项试验阴性就否定其其他健康价值。</w:t>
      </w:r>
    </w:p>
    <w:p>
      <w:pPr>
        <w:pStyle w:val="BodyText"/>
      </w:pPr>
      <w:r>
        <w:t xml:space="preserve">多领域干预、听力和血压试验已在</w:t>
      </w:r>
      <w:hyperlink w:anchor="ch-138">
        <w:r>
          <w:rPr>
            <w:rStyle w:val="Hyperlink"/>
          </w:rPr>
          <w:t xml:space="preserve">第138章</w:t>
        </w:r>
      </w:hyperlink>
      <w:r>
        <w:t xml:space="preserve">讨论。这里的关键原则是，选择应依据具体收益、风险、成本和可持续性。一个小幅测验收益是否值得，对不同人可能有不同答案；价值判断需要建立在准确效应理解上。</w:t>
      </w:r>
    </w:p>
    <w:bookmarkEnd w:id="2257"/>
    <w:bookmarkStart w:id="2258" w:name="sec-139-9"/>
    <w:p>
      <w:pPr>
        <w:pStyle w:val="Heading3"/>
      </w:pPr>
      <w:r>
        <w:t xml:space="preserve">139.9　安全性与机会成本</w:t>
      </w:r>
    </w:p>
    <w:p>
      <w:pPr>
        <w:pStyle w:val="FirstParagraph"/>
      </w:pPr>
      <w:r>
        <w:t xml:space="preserve">补充剂可以与药物相互作用，过量也可能有害。产品质量、实际成分与污染问题需要适当监管和检测。不能把天然来源当成安全保证，具体风险由成分与使用方式决定。本书不提供脱离病史的个体剂量建议。</w:t>
      </w:r>
    </w:p>
    <w:p>
      <w:pPr>
        <w:pStyle w:val="BodyText"/>
      </w:pPr>
      <w:r>
        <w:t xml:space="preserve">时间和费用也是成本。持续购买没有证据的产品可能挤占听力治疗、运动、睡眠或医疗评估资源。机会成本不等于禁止个人选择，它要求在选择时清楚知道哪些收益已证实、哪些仍是推测，以及还有哪些更有根据的方案。</w:t>
      </w:r>
    </w:p>
    <w:bookmarkEnd w:id="2258"/>
    <w:bookmarkStart w:id="2259" w:name="sec-139-10"/>
    <w:p>
      <w:pPr>
        <w:pStyle w:val="Heading3"/>
      </w:pPr>
      <w:r>
        <w:t xml:space="preserve">139.10　摄入量、血液浓度与神经组织作用</w:t>
      </w:r>
    </w:p>
    <w:p>
      <w:pPr>
        <w:pStyle w:val="FirstParagraph"/>
      </w:pPr>
      <w:r>
        <w:t xml:space="preserve">口服一种营养素后，需要经过消化、吸收、运输、组织摄取和代谢，才可能影响神经功能。每个步骤都受身体状态与其他物质影响。摄入量增加时，血液浓度可能升高，但脑内有效作用未必按相同比例增加。</w:t>
      </w:r>
    </w:p>
    <w:p>
      <w:pPr>
        <w:pStyle w:val="BodyText"/>
      </w:pPr>
      <w:r>
        <w:t xml:space="preserve">转运系统可以饱和，机体也具有储存和排泄调节。某些营养素的作用需要转化为活性形式，血中总量与可利用量并不完全一致。缺乏与过量的风险因此不能通过同一条直线推断。</w:t>
      </w:r>
    </w:p>
    <w:p>
      <w:pPr>
        <w:pStyle w:val="BodyText"/>
      </w:pPr>
      <w:r>
        <w:t xml:space="preserve">一个有益的机制图应把这些环节拆开。产品若只展示体外酶活性变化，还需要说明人体可达到的浓度与暴露时间。某个血液指标改善可以证实摄入产生了生理作用，但仍需独立认知或功能结局才能支持健脑承诺。</w:t>
      </w:r>
    </w:p>
    <w:bookmarkEnd w:id="2259"/>
    <w:bookmarkStart w:id="2260" w:name="sec-139-11"/>
    <w:p>
      <w:pPr>
        <w:pStyle w:val="Heading3"/>
      </w:pPr>
      <w:r>
        <w:t xml:space="preserve">139.11　维生素B12缺乏的神经学意义</w:t>
      </w:r>
    </w:p>
    <w:p>
      <w:pPr>
        <w:pStyle w:val="FirstParagraph"/>
      </w:pPr>
      <w:r>
        <w:t xml:space="preserve">维生素B12缺乏可以伴随认知、周围神经或脊髓相关表现。NICE2024年指南强调，缺少贫血或红细胞体积增大的表现，不能独自排除缺乏；诊断应结合症状、风险背景与合适检测</w:t>
      </w:r>
      <w:r>
        <w:rPr>
          <w:vertAlign w:val="superscript"/>
        </w:rPr>
        <w:t xml:space="preserve">[</w:t>
      </w:r>
      <w:hyperlink w:anchor="ref-1483">
        <w:r>
          <w:rPr>
            <w:rStyle w:val="Hyperlink"/>
            <w:vertAlign w:val="superscript"/>
          </w:rPr>
          <w:t xml:space="preserve">1483</w:t>
        </w:r>
      </w:hyperlink>
      <w:r>
        <w:rPr>
          <w:vertAlign w:val="superscript"/>
        </w:rPr>
        <w:t xml:space="preserve">]</w:t>
      </w:r>
      <w:r>
        <w:t xml:space="preserve">。这一点防止把血常规正常误当成神经营养状态完全正常。</w:t>
      </w:r>
    </w:p>
    <w:p>
      <w:pPr>
        <w:pStyle w:val="BodyText"/>
      </w:pPr>
      <w:r>
        <w:t xml:space="preserve">同时，认知模糊、疲劳或麻木具有多种原因，不能仅凭这些症状确认缺乏。某项结果处于边界范围时，解释还依检测方法、既往补充和其他身体因素。已经自行补充可能改变血中指标，却未必完整说明原来病因与组织恢复。</w:t>
      </w:r>
    </w:p>
    <w:p>
      <w:pPr>
        <w:pStyle w:val="BodyText"/>
      </w:pPr>
      <w:r>
        <w:t xml:space="preserve">这个例子体现了临床营养与普遍补脑的区别。对明确缺乏者纠正病理状态，具有具体治疗目标；对营养充足人群额外摄入是否提高记忆，需要另行验证。前一类证据不能替后一类结论完成证明。</w:t>
      </w:r>
    </w:p>
    <w:bookmarkEnd w:id="2260"/>
    <w:bookmarkStart w:id="2261" w:name="sec-139-12"/>
    <w:p>
      <w:pPr>
        <w:pStyle w:val="Heading3"/>
      </w:pPr>
      <w:r>
        <w:t xml:space="preserve">139.12　缺乏原因会影响干预能否持续有效</w:t>
      </w:r>
    </w:p>
    <w:p>
      <w:pPr>
        <w:pStyle w:val="FirstParagraph"/>
      </w:pPr>
      <w:r>
        <w:t xml:space="preserve">摄入不足、吸收障碍、胃肠手术和药物相关因素，可以通过不同路径造成营养问题。只看一个低浓度，尚未确定病因。若原因持续存在，短期指标恢复也可能不能代表长期问题已经解决。</w:t>
      </w:r>
    </w:p>
    <w:p>
      <w:pPr>
        <w:pStyle w:val="BodyText"/>
      </w:pPr>
      <w:r>
        <w:t xml:space="preserve">研究干预时需要区分补充量是否足够进入身体，以及组织是否仍有利用障碍。对一种原因有效的给药方式，未必同样适用于另一种原因。书中的机制说明不能替代对具体患者原因的评估。</w:t>
      </w:r>
    </w:p>
    <w:p>
      <w:pPr>
        <w:pStyle w:val="BodyText"/>
      </w:pPr>
      <w:r>
        <w:t xml:space="preserve">恢复过程还可能受到损伤持续时间影响。纠正缺乏后，血液指标、主观症状和神经功能可以以不同速度变化。把其中一个很快恢复的指标当作所有功能已经恢复，可能遗漏长期随访需要。</w:t>
      </w:r>
    </w:p>
    <w:bookmarkEnd w:id="2261"/>
    <w:bookmarkStart w:id="2262" w:name="sec-139-13"/>
    <w:p>
      <w:pPr>
        <w:pStyle w:val="Heading3"/>
      </w:pPr>
      <w:r>
        <w:t xml:space="preserve">139.13　营养素参与递质合成不等于摄入决定情绪</w:t>
      </w:r>
    </w:p>
    <w:p>
      <w:pPr>
        <w:pStyle w:val="FirstParagraph"/>
      </w:pPr>
      <w:r>
        <w:t xml:space="preserve">多种维生素和氨基酸参与神经递质与能量代谢，但反应速率还受酶活性、底物竞争、细胞状态和反馈调节影响。一条生化路径可以证明某成分必需，无法直接证明额外增加该成分会使目标递质在所有相关突触增加。</w:t>
      </w:r>
    </w:p>
    <w:p>
      <w:pPr>
        <w:pStyle w:val="BodyText"/>
      </w:pPr>
      <w:r>
        <w:t xml:space="preserve">即使递质改变，也需要考虑作用位置与受体。相同递质在不同回路中可以参与不同功能，整体增多不等于每个功能都改善。用一种前体给复杂情绪命名为快乐原料，会遮蔽这种空间与动态特异性。</w:t>
      </w:r>
    </w:p>
    <w:p>
      <w:pPr>
        <w:pStyle w:val="BodyText"/>
      </w:pPr>
      <w:r>
        <w:t xml:space="preserve">一个完整临床主张需要连接摄入、有效暴露、靶点作用、行为变化和净健康收益。任何中间环节都可以成为失败原因。机制合理有助于决定研究值得不值得做，最终效益仍需人体证据。</w:t>
      </w:r>
    </w:p>
    <w:bookmarkEnd w:id="2262"/>
    <w:bookmarkStart w:id="2263" w:name="sec-139-14"/>
    <w:p>
      <w:pPr>
        <w:pStyle w:val="Heading3"/>
      </w:pPr>
      <w:r>
        <w:t xml:space="preserve">139.14　营养过量可以产生神经损害</w:t>
      </w:r>
    </w:p>
    <w:p>
      <w:pPr>
        <w:pStyle w:val="FirstParagraph"/>
      </w:pPr>
      <w:r>
        <w:t xml:space="preserve">某些补充剂的风险与长期高摄入有关。NIH营养资料说明，过量维生素B6补充与感觉神经病相关，并列出不同机构在风险评估与上限上的差异</w:t>
      </w:r>
      <w:r>
        <w:rPr>
          <w:vertAlign w:val="superscript"/>
        </w:rPr>
        <w:t xml:space="preserve">[</w:t>
      </w:r>
      <w:hyperlink w:anchor="ref-1484">
        <w:r>
          <w:rPr>
            <w:rStyle w:val="Hyperlink"/>
            <w:vertAlign w:val="superscript"/>
          </w:rPr>
          <w:t xml:space="preserve">1484</w:t>
        </w:r>
      </w:hyperlink>
      <w:r>
        <w:rPr>
          <w:vertAlign w:val="superscript"/>
        </w:rPr>
        <w:t xml:space="preserve">]</w:t>
      </w:r>
      <w:r>
        <w:t xml:space="preserve">。这提示天然存在于食物中的物质，在浓缩补充条件下仍可能产生不同暴露。</w:t>
      </w:r>
    </w:p>
    <w:p>
      <w:pPr>
        <w:pStyle w:val="BodyText"/>
      </w:pPr>
      <w:r>
        <w:t xml:space="preserve">上限的含义也需要准确理解。它通常是针对特定人群与证据制定的风险管理界限，无法保证每个个体在界限以内绝对无风险，也不等于推荐每天摄入到上限。缺乏治疗与普通日常摄入属于不同临床情境。</w:t>
      </w:r>
    </w:p>
    <w:p>
      <w:pPr>
        <w:pStyle w:val="BodyText"/>
      </w:pPr>
      <w:r>
        <w:t xml:space="preserve">多种产品叠加时，同一成分的总量可能被低估。复合维生素、功能饮料、健身产品与单方补充剂可以重复提供成分。研究与临床记录如果只询问一种产品，就可能遗漏实际暴露。这里的关键是准确记录成分与总摄入，不能仅凭产品类别判断安全。</w:t>
      </w:r>
    </w:p>
    <w:bookmarkEnd w:id="2263"/>
    <w:bookmarkStart w:id="2264" w:name="sec-139-15"/>
    <w:p>
      <w:pPr>
        <w:pStyle w:val="Heading3"/>
      </w:pPr>
      <w:r>
        <w:t xml:space="preserve">139.15　标准化提取物与普通商品的可比性</w:t>
      </w:r>
    </w:p>
    <w:p>
      <w:pPr>
        <w:pStyle w:val="FirstParagraph"/>
      </w:pPr>
      <w:r>
        <w:t xml:space="preserve">植物名称相同，不保证提取方式、活性成分和杂质相同。一个试验中的标准化制剂，是具有特定组成的干预。把其结果扩展到任意同名产品，需要证明制剂可比性；把一个阴性结果永久覆盖所有可能制剂，也同样超出直接测试。</w:t>
      </w:r>
    </w:p>
    <w:p>
      <w:pPr>
        <w:pStyle w:val="BodyText"/>
      </w:pPr>
      <w:hyperlink w:anchor="sec-139-2">
        <w:r>
          <w:rPr>
            <w:rStyle w:val="Hyperlink"/>
          </w:rPr>
          <w:t xml:space="preserve">139.2 节</w:t>
        </w:r>
      </w:hyperlink>
      <w:r>
        <w:t xml:space="preserve">所述银杏预防试验（GEM试验）之后的认知分析没有发现所研究银杏方案减缓整体认知下降，数据来自同一母试验，不能作为完全独立复制计算</w:t>
      </w:r>
      <w:r>
        <w:rPr>
          <w:vertAlign w:val="superscript"/>
        </w:rPr>
        <w:t xml:space="preserve">[</w:t>
      </w:r>
      <w:hyperlink w:anchor="ref-1485">
        <w:r>
          <w:rPr>
            <w:rStyle w:val="Hyperlink"/>
            <w:vertAlign w:val="superscript"/>
          </w:rPr>
          <w:t xml:space="preserve">1485</w:t>
        </w:r>
      </w:hyperlink>
      <w:r>
        <w:rPr>
          <w:vertAlign w:val="superscript"/>
        </w:rPr>
        <w:t xml:space="preserve">]</w:t>
      </w:r>
      <w:r>
        <w:t xml:space="preserve">。NCCIH资料也将预防证据、已患痴呆者的症状研究和安全性分开讨论</w:t>
      </w:r>
      <w:r>
        <w:rPr>
          <w:vertAlign w:val="superscript"/>
        </w:rPr>
        <w:t xml:space="preserve">[</w:t>
      </w:r>
      <w:hyperlink w:anchor="ref-1486">
        <w:r>
          <w:rPr>
            <w:rStyle w:val="Hyperlink"/>
            <w:vertAlign w:val="superscript"/>
          </w:rPr>
          <w:t xml:space="preserve">1486</w:t>
        </w:r>
      </w:hyperlink>
      <w:r>
        <w:rPr>
          <w:vertAlign w:val="superscript"/>
        </w:rPr>
        <w:t xml:space="preserve">]</w:t>
      </w:r>
      <w:r>
        <w:t xml:space="preserve">。</w:t>
      </w:r>
    </w:p>
    <w:p>
      <w:pPr>
        <w:pStyle w:val="BodyText"/>
      </w:pPr>
      <w:r>
        <w:t xml:space="preserve">对新制剂的合理态度是提出新的可检验问题。若声称更易吸收，应先验证药代或暴露，再验证临床目标。更高暴露可能增加效益，也可能增加不良作用。仅证明吸收更高，尚不能证明净收益更高。</w:t>
      </w:r>
    </w:p>
    <w:bookmarkEnd w:id="2264"/>
    <w:bookmarkStart w:id="2265" w:name="sec-139-16"/>
    <w:p>
      <w:pPr>
        <w:pStyle w:val="Heading3"/>
      </w:pPr>
      <w:r>
        <w:t xml:space="preserve">139.16　抗氧化与炎症指标具有条件依赖性</w:t>
      </w:r>
    </w:p>
    <w:p>
      <w:pPr>
        <w:pStyle w:val="FirstParagraph"/>
      </w:pPr>
      <w:r>
        <w:t xml:space="preserve">氧化还原信号和炎症反应参与损伤，也参与正常信号、修复和防御。把所有氧化或炎症变化都定义为坏，会忽略剂量、位置、持续时间和生理背景。某物质在试管中清除自由基的能力，无法直接成为人体认知效益的量尺。</w:t>
      </w:r>
    </w:p>
    <w:p>
      <w:pPr>
        <w:pStyle w:val="BodyText"/>
      </w:pPr>
      <w:r>
        <w:t xml:space="preserve">生物体内还存在复杂补偿。外源物质改变某条通路后，其他通路可能调整，使最终功能变化很小。反过来，临床获益也可能通过最初未预测的路径发生。因此机制指标与疗效需要并行研究，避免让一个漂亮的分子故事承担过多结论。</w:t>
      </w:r>
    </w:p>
    <w:p>
      <w:pPr>
        <w:pStyle w:val="BodyText"/>
      </w:pPr>
      <w:r>
        <w:t xml:space="preserve">如果研究只观察到血中炎症标记下降，应询问该标记来自哪里、是否代表脑内过程，以及变化是否与功能结局相关。即使相关存在，中介因果仍需额外证据。标记可以有预测价值而不成为最佳治疗靶点。</w:t>
      </w:r>
    </w:p>
    <w:bookmarkEnd w:id="2265"/>
    <w:bookmarkStart w:id="2266" w:name="sec-139-17"/>
    <w:p>
      <w:pPr>
        <w:pStyle w:val="Heading3"/>
      </w:pPr>
      <w:r>
        <w:t xml:space="preserve">139.17　食物模式与单一补充剂的不同研究对象</w:t>
      </w:r>
    </w:p>
    <w:p>
      <w:pPr>
        <w:pStyle w:val="FirstParagraph"/>
      </w:pPr>
      <w:r>
        <w:t xml:space="preserve">完整食物同时提供营养素、纤维、能量与其他成分，也嵌入进餐模式和生活环境。单一营养素试验与饮食模式试验回答不同问题。某种饮食与健康相关，无法把全部关联归给其中一个最容易商品化的成分。</w:t>
      </w:r>
    </w:p>
    <w:p>
      <w:pPr>
        <w:pStyle w:val="BodyText"/>
      </w:pPr>
      <w:r>
        <w:t xml:space="preserve">替代关系也很关键，饮食研究中的替代问题见</w:t>
      </w:r>
      <w:r>
        <w:t xml:space="preserve"> </w:t>
      </w:r>
      <w:hyperlink w:anchor="sec-138-7">
        <w:r>
          <w:rPr>
            <w:rStyle w:val="Hyperlink"/>
          </w:rPr>
          <w:t xml:space="preserve">138.7</w:t>
        </w:r>
      </w:hyperlink>
      <w:r>
        <w:t xml:space="preserve">。</w:t>
      </w:r>
    </w:p>
    <w:p>
      <w:pPr>
        <w:pStyle w:val="BodyText"/>
      </w:pPr>
      <w:r>
        <w:t xml:space="preserve">观察性饮食研究的混杂问题见</w:t>
      </w:r>
      <w:r>
        <w:t xml:space="preserve"> </w:t>
      </w:r>
      <w:hyperlink w:anchor="sec-138-7">
        <w:r>
          <w:rPr>
            <w:rStyle w:val="Hyperlink"/>
          </w:rPr>
          <w:t xml:space="preserve">138.7</w:t>
        </w:r>
      </w:hyperlink>
      <w:r>
        <w:t xml:space="preserve">。饮食整体具有多种健康意义，认知疾病预防的特定承诺仍需独立证据。</w:t>
      </w:r>
    </w:p>
    <w:bookmarkEnd w:id="2266"/>
    <w:bookmarkStart w:id="2267" w:name="sec-139-18"/>
    <w:p>
      <w:pPr>
        <w:pStyle w:val="Heading3"/>
      </w:pPr>
      <w:r>
        <w:t xml:space="preserve">139.18　复合配方的成分归因</w:t>
      </w:r>
    </w:p>
    <w:p>
      <w:pPr>
        <w:pStyle w:val="FirstParagraph"/>
      </w:pPr>
      <w:r>
        <w:t xml:space="preserve">复合产品若显示小幅认知收益，可能由一个成分、多个成分的联合作用或缺乏纠正贡献。单个试验通常无法把贡献精确分解。对所有成分逐一宣称有效，或者只选择其中最便于营销的成分解释结果，都没有完成归因。</w:t>
      </w:r>
    </w:p>
    <w:p>
      <w:pPr>
        <w:pStyle w:val="BodyText"/>
      </w:pPr>
      <w:r>
        <w:t xml:space="preserve">组合研究还需考虑相互作用。两个成分各自有效，不保证合用效果相加；单独不显著，也不能预先排除特定组合的作用。合用的净效益必须直接测试，尤其要观察安全与依从性。</w:t>
      </w:r>
    </w:p>
    <w:bookmarkEnd w:id="2267"/>
    <w:bookmarkStart w:id="2268" w:name="sec-139-19"/>
    <w:p>
      <w:pPr>
        <w:pStyle w:val="Heading3"/>
      </w:pPr>
      <w:r>
        <w:t xml:space="preserve">139.19　老年营养与认知结局的双向关系</w:t>
      </w:r>
    </w:p>
    <w:p>
      <w:pPr>
        <w:pStyle w:val="FirstParagraph"/>
      </w:pPr>
      <w:r>
        <w:t xml:space="preserve">认知下降可能影响购物、烹饪、进食规律和补充剂依从性。体重变化与营养异常有时是疾病发展的结果，也可能继续加重功能负担。观察到营养状态差与认知差共同出现，需要考虑这种双向关系。</w:t>
      </w:r>
    </w:p>
    <w:p>
      <w:pPr>
        <w:pStyle w:val="BodyText"/>
      </w:pPr>
      <w:r>
        <w:t xml:space="preserve">吞咽、牙齿、嗅觉、情绪、经济条件和社会支持，也可以改变实际摄入。若只检测一种血中营养素，可能漏掉影响饮食的更直接障碍。临床和公共卫生干预应结合功能与生活条件。</w:t>
      </w:r>
    </w:p>
    <w:p>
      <w:pPr>
        <w:pStyle w:val="BodyText"/>
      </w:pPr>
      <w:r>
        <w:t xml:space="preserve">对已经存在认知障碍的人，维持舒适、充分摄入和日常生活能力本身具有价值。即使某种营养支持没有改变神经病理进程，也可能改善其他重要结局。疾病修饰、症状支持与整体照护应分别命名，避免混成治愈承诺。</w:t>
      </w:r>
    </w:p>
    <w:bookmarkEnd w:id="2268"/>
    <w:bookmarkStart w:id="2269" w:name="sec-139-20"/>
    <w:p>
      <w:pPr>
        <w:pStyle w:val="Heading3"/>
      </w:pPr>
      <w:r>
        <w:t xml:space="preserve">139.20　营养检测的参考范围与治疗问题</w:t>
      </w:r>
    </w:p>
    <w:p>
      <w:pPr>
        <w:pStyle w:val="FirstParagraph"/>
      </w:pPr>
      <w:r>
        <w:t xml:space="preserve">实验室参考范围通常描述某种检测在特定参考人群中的分布，疾病相关阈值则需要结合症状、机制与临床结局建立。两者可能相关，却不能在任何情境下直接互换。一个接近边界的数值需要放回采样条件和临床背景。</w:t>
      </w:r>
    </w:p>
    <w:p>
      <w:pPr>
        <w:pStyle w:val="BodyText"/>
      </w:pPr>
      <w:r>
        <w:t xml:space="preserve">检测前已经补充、近期饮食变化、炎症和肾功能等因素，可能改变某些营养相关指标的解释。具体影响依检测对象而异，不能建立所有营养素通用的一套校正规则。报告单位和实验室方法也应确认，避免把不同量尺直接比较。</w:t>
      </w:r>
    </w:p>
    <w:p>
      <w:pPr>
        <w:pStyle w:val="BodyText"/>
      </w:pPr>
      <w:r>
        <w:t xml:space="preserve">假设一种指标恢复正常，但症状没有变化。可能是该指标原来与症状无因果关系，也可能是恢复需要更长时间，或者存在其他共同原因。反过来，症状改善而指标变化不大，也不自动证明检测无用。需要根据具体病理链条分析。</w:t>
      </w:r>
    </w:p>
    <w:bookmarkEnd w:id="2269"/>
    <w:bookmarkStart w:id="2270" w:name="sec-139-21"/>
    <w:p>
      <w:pPr>
        <w:pStyle w:val="Heading3"/>
      </w:pPr>
      <w:r>
        <w:t xml:space="preserve">139.21　产品质量与临床证据是两个维度</w:t>
      </w:r>
    </w:p>
    <w:p>
      <w:pPr>
        <w:pStyle w:val="FirstParagraph"/>
      </w:pPr>
      <w:r>
        <w:t xml:space="preserve">成分标示准确、批次稳定和污染控制良好，是评价产品质量的重要条件。它们可以提高研究结果与实际使用的可比性，但仍不独自证明认知效益。一个质量合格的产品，也可能对某个目标没有足够疗效证据。</w:t>
      </w:r>
    </w:p>
    <w:p>
      <w:pPr>
        <w:pStyle w:val="BodyText"/>
      </w:pPr>
      <w:r>
        <w:t xml:space="preserve">临床试验出现积极结果时，同样需要确认实际销售产品与试验制剂的关系。配方、剂量或生产过程发生变化，可能改变暴露与风险。若只保留商品名而忽略这些条件，就可能把证据移植到未经测试的对象。</w:t>
      </w:r>
    </w:p>
    <w:p>
      <w:pPr>
        <w:pStyle w:val="BodyText"/>
      </w:pPr>
      <w:r>
        <w:t xml:space="preserve">药物相互作用也无法由产品质量标签排除。某成分对自身无明显毒性，仍可能改变合用药物的代谢或生理效应。完整评价需要知道正在使用的全部药物和产品；补充剂需要与其他治疗放在一起评估。</w:t>
      </w:r>
    </w:p>
    <w:bookmarkEnd w:id="2270"/>
    <w:bookmarkStart w:id="2271" w:name="sec-139-22"/>
    <w:p>
      <w:pPr>
        <w:pStyle w:val="Heading3"/>
      </w:pPr>
      <w:r>
        <w:t xml:space="preserve">139.22　假设例题</w:t>
      </w:r>
    </w:p>
    <w:p>
      <w:pPr>
        <w:pStyle w:val="FirstParagraph"/>
      </w:pPr>
      <w:r>
        <w:t xml:space="preserve">假设广告称产品在试验中让记忆提高20%。应先问20%对应哪项量尺、与什么比较、主要结局是否预先指定、样本多大、区间多宽、是否影响生活。训练软件分数增加20%与痴呆风险降低20%，含义完全不同。</w:t>
      </w:r>
    </w:p>
    <w:p>
      <w:pPr>
        <w:pStyle w:val="BodyText"/>
      </w:pPr>
      <w:r>
        <w:t xml:space="preserve">假设某营养素在细胞培养中保护神经元，需要进一步验证人体可达到的暴露、吸收分布、长期安全和临床效果。培养皿中的有效浓度可能无法安全实现，生物机制也可能在完整机体中受到其他过程影响。</w:t>
      </w:r>
    </w:p>
    <w:p>
      <w:pPr>
        <w:pStyle w:val="BodyText"/>
      </w:pPr>
      <w:r>
        <w:t xml:space="preserve">补充剂的准确判断应保留特定研究中的真实收益，同时拒绝未经验证的普遍承诺。产品质量、机制指标、认知测验和疾病预防需要各自证据，宣传时也应分别表达；它们可以形成支持链条，但任何一项都不能自动替代其余结论。</w:t>
      </w:r>
    </w:p>
    <w:bookmarkEnd w:id="2271"/>
    <w:bookmarkEnd w:id="2272"/>
    <w:bookmarkStart w:id="2300" w:name="ch-140"/>
    <w:p>
      <w:pPr>
        <w:pStyle w:val="Heading2"/>
      </w:pPr>
      <w:r>
        <w:t xml:space="preserve">第140章　阿尔茨海默病标志物与疾病修饰治疗</w:t>
      </w:r>
    </w:p>
    <w:p>
      <w:pPr>
        <w:pStyle w:val="FirstParagraph"/>
      </w:pPr>
      <w:r>
        <w:t xml:space="preserve">阿尔茨海默病研究已经进入能够在活体中测量部分核心病理、并在特定早期患者中减缓平均临床下降的阶段。这是实质进展，同时具有明确边界。检测到病理、预测未来症状、确定当前困难的主要原因、选择治疗以及证明治疗带来有意义的生活收益，属于五个相互联系的任务。任何一个任务上的高准确度，都不能自动替代其余四个任务。</w:t>
      </w:r>
    </w:p>
    <w:p>
      <w:pPr>
        <w:pStyle w:val="BodyText"/>
      </w:pPr>
      <w:r>
        <w:t xml:space="preserve">本章以阿尔茨海默病为例，说明现代临床神经科学怎样连接分子机制、诊断工具、随机试验和共同决策。以下内容用于理解证据结构，具体诊断、药物资格、监测和给药方案需要依据所在地区的现行标准与个体情况确定。药品和检测的监管状态具有时间与地区差异，书中的研究结果应与相应的研究年代一起阅读。</w:t>
      </w:r>
    </w:p>
    <w:bookmarkStart w:id="2277" w:name="sec-140-1"/>
    <w:p>
      <w:pPr>
        <w:pStyle w:val="Heading3"/>
      </w:pPr>
      <w:r>
        <w:t xml:space="preserve">140.1　临床综合征与生物过程</w:t>
      </w:r>
    </w:p>
    <w:p>
      <w:pPr>
        <w:pStyle w:val="FirstParagraph"/>
      </w:pPr>
      <w:r>
        <w:t xml:space="preserve">“痴呆”描述认知和日常功能受损的综合征；“阿尔茨海默病”涉及特定病理过程及其临床表达。一个人可以在尚未达到痴呆程度时出现阿尔茨海默相关认知困难，也可以具有多种共同病理。不同病理在症状、时间进程和影像上存在重叠，因此诊断需要整合临床表现与适当检测。</w:t>
      </w:r>
    </w:p>
    <w:p>
      <w:pPr>
        <w:pStyle w:val="BodyText"/>
      </w:pPr>
      <w:r>
        <w:t xml:space="preserve">生物过程通常早于明显功能损害，但“能够提前检测”与“提前检测一定带来净收益”之间存在距离。对无症状者，结果可能改变心理状态、家庭规划、保险或就业处境，同时治疗机会和预测精度可能有限。一个检测能在技术上完成，不等于适合无选择地面向全部人群。</w:t>
      </w:r>
    </w:p>
    <w:p>
      <w:pPr>
        <w:pStyle w:val="BodyText"/>
      </w:pPr>
      <w:r>
        <w:t xml:space="preserve">疾病名称还具有沟通功能。临床团队需要说明这个名称在当前语境中指向病理、风险状态、已有症状还是功能阶段。若同一个词在不同研究中采用不同定义，病例比例和治疗效果可能无法直接比较。读者应查看入组标准和终点定义，避免只凭论文标题判断人群是否相同。</w:t>
      </w:r>
    </w:p>
    <w:p>
      <w:pPr>
        <w:pStyle w:val="Figure"/>
      </w:pPr>
      <w:r>
        <w:drawing>
          <wp:inline>
            <wp:extent cx="5334000" cy="3555999"/>
            <wp:effectExtent b="0" l="0" r="0" t="0"/>
            <wp:docPr descr="C图2 病理指标与临床功能的两个维度" title="" id="2274" name="Picture"/>
            <a:graphic>
              <a:graphicData uri="http://schemas.openxmlformats.org/drawingml/2006/picture">
                <pic:pic>
                  <pic:nvPicPr>
                    <pic:cNvPr descr="/tmp/claude-0/-home-user-i18ns/3184e246-229e-5a65-b6f3-3f7647a222c4/scratchpad/src/B_media/media/image14.png" id="2275" name="Picture"/>
                    <pic:cNvPicPr>
                      <a:picLocks noChangeArrowheads="1" noChangeAspect="1"/>
                    </pic:cNvPicPr>
                  </pic:nvPicPr>
                  <pic:blipFill>
                    <a:blip r:embed="rId2273"/>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bookmarkStart w:id="2276" w:name="fig-c2"/>
      <w:bookmarkEnd w:id="2276"/>
      <w:r>
        <w:rPr>
          <w:bCs/>
          <w:b/>
        </w:rPr>
        <w:t xml:space="preserve">图 16　</w:t>
      </w:r>
      <w:r>
        <w:t xml:space="preserve">病理负担与临床功能困难的二维教学示意。横轴表示特定病理负担，或已按病理增加方向进行同向编码的标志物指标；部分检测原始浓度随病理增加而降低，不能把所有原始数值直接套入本轴。纵轴表示临床功能困难程度。两条虚线是假设关系，用于说明认知储备、并存病理及感官身体状态可以改变两个维度之间的对应。曲线形状、位置和平台没有拟合真实数据，横轴也不代表时间，不能用于预测个人进展或确定诊断阈值。低病理指标下的功能困难仍需认真寻找其他解释，高指标下功能相对保留也需要按具体检测和背景解释。病理定义、临床综合征及风险沟通的不同框架见正文</w:t>
      </w:r>
      <w:r>
        <w:rPr>
          <w:vertAlign w:val="superscript"/>
        </w:rPr>
        <w:t xml:space="preserve">[</w:t>
      </w:r>
      <w:hyperlink w:anchor="ref-1469">
        <w:r>
          <w:rPr>
            <w:rStyle w:val="Hyperlink"/>
            <w:vertAlign w:val="superscript"/>
          </w:rPr>
          <w:t xml:space="preserve">1469</w:t>
        </w:r>
      </w:hyperlink>
      <w:r>
        <w:rPr>
          <w:vertAlign w:val="superscript"/>
        </w:rPr>
        <w:t xml:space="preserve">,</w:t>
      </w:r>
      <w:hyperlink w:anchor="ref-1470">
        <w:r>
          <w:rPr>
            <w:rStyle w:val="Hyperlink"/>
            <w:vertAlign w:val="superscript"/>
          </w:rPr>
          <w:t xml:space="preserve">1470</w:t>
        </w:r>
      </w:hyperlink>
      <w:r>
        <w:rPr>
          <w:vertAlign w:val="superscript"/>
        </w:rPr>
        <w:t xml:space="preserve">,</w:t>
      </w:r>
      <w:hyperlink w:anchor="ref-1487">
        <w:r>
          <w:rPr>
            <w:rStyle w:val="Hyperlink"/>
            <w:vertAlign w:val="superscript"/>
          </w:rPr>
          <w:t xml:space="preserve">1487</w:t>
        </w:r>
      </w:hyperlink>
      <w:r>
        <w:rPr>
          <w:vertAlign w:val="superscript"/>
        </w:rPr>
        <w:t xml:space="preserve">,</w:t>
      </w:r>
      <w:hyperlink w:anchor="ref-1488">
        <w:r>
          <w:rPr>
            <w:rStyle w:val="Hyperlink"/>
            <w:vertAlign w:val="superscript"/>
          </w:rPr>
          <w:t xml:space="preserve">1488</w:t>
        </w:r>
      </w:hyperlink>
      <w:r>
        <w:rPr>
          <w:vertAlign w:val="superscript"/>
        </w:rPr>
        <w:t xml:space="preserve">]</w:t>
      </w:r>
      <w:r>
        <w:t xml:space="preserve">。</w:t>
      </w:r>
    </w:p>
    <w:bookmarkEnd w:id="2277"/>
    <w:bookmarkStart w:id="2278" w:name="sec-140-2"/>
    <w:p>
      <w:pPr>
        <w:pStyle w:val="Heading3"/>
      </w:pPr>
      <w:r>
        <w:t xml:space="preserve">140.2　两种诊断框架的专业分歧</w:t>
      </w:r>
    </w:p>
    <w:p>
      <w:pPr>
        <w:pStyle w:val="FirstParagraph"/>
      </w:pPr>
      <w:r>
        <w:t xml:space="preserve">2024年阿尔茨海默病协会工作组提出更新的生物学诊断与分期框架，认为满足准确性要求的核心标志物可以建立生物学诊断，并把生物阶段与临床阶段分别描述。框架强调并非所有市场上的同类检测都达到诊断性能要求，也说明该文件提供原则，不能当作完整的逐步临床操作指南</w:t>
      </w:r>
      <w:r>
        <w:rPr>
          <w:vertAlign w:val="superscript"/>
        </w:rPr>
        <w:t xml:space="preserve">[</w:t>
      </w:r>
      <w:hyperlink w:anchor="ref-1487">
        <w:r>
          <w:rPr>
            <w:rStyle w:val="Hyperlink"/>
            <w:vertAlign w:val="superscript"/>
          </w:rPr>
          <w:t xml:space="preserve">1487</w:t>
        </w:r>
      </w:hyperlink>
      <w:r>
        <w:rPr>
          <w:vertAlign w:val="superscript"/>
        </w:rPr>
        <w:t xml:space="preserve">]</w:t>
      </w:r>
      <w:r>
        <w:t xml:space="preserve">。</w:t>
      </w:r>
    </w:p>
    <w:p>
      <w:pPr>
        <w:pStyle w:val="BodyText"/>
      </w:pPr>
      <w:r>
        <w:t xml:space="preserve">同年国际工作组强调临床与生物学的结合，主张对多数认知正常、标志物阳性者使用风险状态的表述，避免在未来临床进展不确定时直接给予疾病标签。两种立场共同承认病理测量的重要性，分歧主要涉及疾病名称怎样应用于无症状状态，以及提前命名带来的临床和伦理后果。这是一场仍在发展的专业讨论</w:t>
      </w:r>
      <w:r>
        <w:rPr>
          <w:vertAlign w:val="superscript"/>
        </w:rPr>
        <w:t xml:space="preserve">[</w:t>
      </w:r>
      <w:hyperlink w:anchor="ref-1488">
        <w:r>
          <w:rPr>
            <w:rStyle w:val="Hyperlink"/>
            <w:vertAlign w:val="superscript"/>
          </w:rPr>
          <w:t xml:space="preserve">1488</w:t>
        </w:r>
      </w:hyperlink>
      <w:r>
        <w:rPr>
          <w:vertAlign w:val="superscript"/>
        </w:rPr>
        <w:t xml:space="preserve">]</w:t>
      </w:r>
      <w:r>
        <w:t xml:space="preserve">。</w:t>
      </w:r>
    </w:p>
    <w:p>
      <w:pPr>
        <w:pStyle w:val="BodyText"/>
      </w:pPr>
      <w:r>
        <w:t xml:space="preserve">这是一个事实判断与价值判断交织的例子。标志物预测力、病程分布和干预效果属于可用数据逐步回答的问题；人们愿意在多大不确定性下接受疾病标签，以及怎样权衡知情、焦虑、资源和公平，包含价值选择。增加样本量可以改善预测区间，却不能自动替社会完成全部价值决策。</w:t>
      </w:r>
    </w:p>
    <w:bookmarkEnd w:id="2278"/>
    <w:bookmarkStart w:id="2279" w:name="sec-140-3"/>
    <w:p>
      <w:pPr>
        <w:pStyle w:val="Heading3"/>
      </w:pPr>
      <w:r>
        <w:t xml:space="preserve">140.3　淀粉样蛋白、tau磷酸化与神经损伤</w:t>
      </w:r>
    </w:p>
    <w:p>
      <w:pPr>
        <w:pStyle w:val="FirstParagraph"/>
      </w:pPr>
      <w:r>
        <w:t xml:space="preserve">不同标志物反映不同层面的过程。淀粉样 PET 主要用于评估特定聚集病理；脑脊液中的蛋白及比率提供与病理相关的生化信息；血液中的特定磷酸化 tau 指标在合适方法下具有重要诊断价值；结构 MRI、神经丝等指标可以反映组织或轴突损伤，但其疾病特异性不同。不能把所有指标统称为“阿尔茨海默值”，也不能假定它们在病程中同时改变。</w:t>
      </w:r>
    </w:p>
    <w:p>
      <w:pPr>
        <w:pStyle w:val="BodyText"/>
      </w:pPr>
      <w:r>
        <w:t xml:space="preserve">一个生物标志物可以具有诊断价值，却没有被证明是致病环节。例如指标可能是细胞对病理的反应，或与真正病因共同变化的伴随现象。相反，一个关键机制也可能难以用外周血准确测量。诊断效能与因果地位属于不同维度，研究需要分别证明。</w:t>
      </w:r>
    </w:p>
    <w:p>
      <w:pPr>
        <w:pStyle w:val="BodyText"/>
      </w:pPr>
      <w:r>
        <w:t xml:space="preserve">病理之间也可能存在级联与反馈。某个上游过程触发下游变化后，下游损伤可能部分自我维持。此时清除上游标志物能够改变病理负担，却未必恢复已经损失的网络结构。这个条件推理可以解释为什么“靶点被明显改变”与“临床收益幅度有限”能够同时发生，但它本身仍是需要具体实验支持的机制解释，不能作为任何阴性试验的通用借口。</w:t>
      </w:r>
    </w:p>
    <w:bookmarkEnd w:id="2279"/>
    <w:bookmarkStart w:id="2281" w:name="sec-140-4"/>
    <w:p>
      <w:pPr>
        <w:pStyle w:val="Heading3"/>
      </w:pPr>
      <w:r>
        <w:t xml:space="preserve">140.4　病理、标志物与功能的对照</w:t>
      </w:r>
    </w:p>
    <w:p>
      <w:pPr>
        <w:pStyle w:val="TableCaption"/>
      </w:pPr>
      <w:bookmarkStart w:id="2280" w:name="tab-ad-markers"/>
      <w:bookmarkEnd w:id="2280"/>
      <w:r>
        <w:rPr>
          <w:bCs/>
          <w:b/>
        </w:rPr>
        <w:t xml:space="preserve">表 33　病理、标志物与功能的对照</w:t>
      </w:r>
    </w:p>
    <w:tbl>
      <w:tblPr>
        <w:tblStyle w:val="Table"/>
        <w:tblW w:type="pct" w:w="5000"/>
        <w:jc w:val="start"/>
        <w:tblLook w:firstRow="1" w:lastRow="0" w:firstColumn="0" w:lastColumn="0" w:noHBand="0" w:noVBand="0" w:val="0020"/>
      </w:tblPr>
      <w:tblGrid>
        <w:gridCol w:w="1259"/>
        <w:gridCol w:w="2880"/>
        <w:gridCol w:w="3779"/>
      </w:tblGrid>
      <w:tr>
        <w:trPr>
          <w:tblHeader w:val="true"/>
        </w:trPr>
        <w:tc>
          <w:tcPr>
            <w:shd w:val="clear" w:color="auto" w:fill="1F3A5F"/>
          </w:tcPr>
          <w:p>
            <w:pPr>
              <w:pStyle w:val="Compact"/>
              <w:jc w:val="left"/>
            </w:pPr>
            <w:r>
              <w:rPr>
                <w:bCs/>
                <w:b/>
                <w:color w:val="FFFFFF"/>
              </w:rPr>
              <w:t xml:space="preserve">观察维度</w:t>
            </w:r>
          </w:p>
        </w:tc>
        <w:tc>
          <w:tcPr>
            <w:shd w:val="clear" w:color="auto" w:fill="1F3A5F"/>
          </w:tcPr>
          <w:p>
            <w:pPr>
              <w:pStyle w:val="Compact"/>
              <w:jc w:val="left"/>
            </w:pPr>
            <w:r>
              <w:rPr>
                <w:bCs/>
                <w:b/>
                <w:color w:val="FFFFFF"/>
              </w:rPr>
              <w:t xml:space="preserve">常用证据类型</w:t>
            </w:r>
          </w:p>
        </w:tc>
        <w:tc>
          <w:tcPr>
            <w:shd w:val="clear" w:color="auto" w:fill="1F3A5F"/>
          </w:tcPr>
          <w:p>
            <w:pPr>
              <w:pStyle w:val="Compact"/>
              <w:jc w:val="left"/>
            </w:pPr>
            <w:r>
              <w:rPr>
                <w:bCs/>
                <w:b/>
                <w:color w:val="FFFFFF"/>
              </w:rPr>
              <w:t xml:space="preserve">主要解释边界</w:t>
            </w:r>
          </w:p>
        </w:tc>
      </w:tr>
      <w:tr>
        <w:tc>
          <w:tcPr/>
          <w:p>
            <w:pPr>
              <w:pStyle w:val="Compact"/>
              <w:jc w:val="left"/>
            </w:pPr>
            <w:r>
              <w:t xml:space="preserve">淀粉样相关病理</w:t>
            </w:r>
          </w:p>
        </w:tc>
        <w:tc>
          <w:tcPr/>
          <w:p>
            <w:pPr>
              <w:pStyle w:val="Compact"/>
              <w:jc w:val="left"/>
            </w:pPr>
            <w:r>
              <w:t xml:space="preserve">相应PET或体液指标</w:t>
            </w:r>
          </w:p>
        </w:tc>
        <w:tc>
          <w:tcPr/>
          <w:p>
            <w:pPr>
              <w:pStyle w:val="Compact"/>
              <w:jc w:val="left"/>
            </w:pPr>
            <w:r>
              <w:t xml:space="preserve">阳性不等于已经出现痴呆综合征</w:t>
            </w:r>
          </w:p>
        </w:tc>
      </w:tr>
      <w:tr>
        <w:tc>
          <w:tcPr/>
          <w:p>
            <w:pPr>
              <w:pStyle w:val="Compact"/>
              <w:jc w:val="left"/>
            </w:pPr>
            <w:r>
              <w:t xml:space="preserve">tau相关过程</w:t>
            </w:r>
          </w:p>
        </w:tc>
        <w:tc>
          <w:tcPr/>
          <w:p>
            <w:pPr>
              <w:pStyle w:val="Compact"/>
              <w:jc w:val="left"/>
            </w:pPr>
            <w:r>
              <w:t xml:space="preserve">特定磷酸化tau检测或tau影像</w:t>
            </w:r>
          </w:p>
        </w:tc>
        <w:tc>
          <w:tcPr/>
          <w:p>
            <w:pPr>
              <w:pStyle w:val="Compact"/>
              <w:jc w:val="left"/>
            </w:pPr>
            <w:r>
              <w:t xml:space="preserve">不同分子形式和平台不可任意替换</w:t>
            </w:r>
          </w:p>
        </w:tc>
      </w:tr>
      <w:tr>
        <w:tc>
          <w:tcPr/>
          <w:p>
            <w:pPr>
              <w:pStyle w:val="Compact"/>
              <w:jc w:val="left"/>
            </w:pPr>
            <w:r>
              <w:t xml:space="preserve">神经损伤</w:t>
            </w:r>
          </w:p>
        </w:tc>
        <w:tc>
          <w:tcPr/>
          <w:p>
            <w:pPr>
              <w:pStyle w:val="Compact"/>
              <w:jc w:val="left"/>
            </w:pPr>
            <w:r>
              <w:t xml:space="preserve">神经丝等指标</w:t>
            </w:r>
          </w:p>
        </w:tc>
        <w:tc>
          <w:tcPr/>
          <w:p>
            <w:pPr>
              <w:pStyle w:val="Compact"/>
              <w:jc w:val="left"/>
            </w:pPr>
            <w:r>
              <w:t xml:space="preserve">可以反映损伤，但通常缺少单一病因特异性</w:t>
            </w:r>
          </w:p>
        </w:tc>
      </w:tr>
      <w:tr>
        <w:tc>
          <w:tcPr/>
          <w:p>
            <w:pPr>
              <w:pStyle w:val="Compact"/>
              <w:jc w:val="left"/>
            </w:pPr>
            <w:r>
              <w:t xml:space="preserve">宏观组织变化</w:t>
            </w:r>
          </w:p>
        </w:tc>
        <w:tc>
          <w:tcPr/>
          <w:p>
            <w:pPr>
              <w:pStyle w:val="Compact"/>
              <w:jc w:val="left"/>
            </w:pPr>
            <w:r>
              <w:t xml:space="preserve">结构MRI及随访</w:t>
            </w:r>
          </w:p>
        </w:tc>
        <w:tc>
          <w:tcPr/>
          <w:p>
            <w:pPr>
              <w:pStyle w:val="Compact"/>
              <w:jc w:val="left"/>
            </w:pPr>
            <w:r>
              <w:t xml:space="preserve">萎缩模式与速度需结合年龄和其他病理</w:t>
            </w:r>
          </w:p>
        </w:tc>
      </w:tr>
      <w:tr>
        <w:tc>
          <w:tcPr/>
          <w:p>
            <w:pPr>
              <w:pStyle w:val="Compact"/>
              <w:jc w:val="left"/>
            </w:pPr>
            <w:r>
              <w:t xml:space="preserve">认知能力</w:t>
            </w:r>
          </w:p>
        </w:tc>
        <w:tc>
          <w:tcPr/>
          <w:p>
            <w:pPr>
              <w:pStyle w:val="Compact"/>
              <w:jc w:val="left"/>
            </w:pPr>
            <w:r>
              <w:t xml:space="preserve">多领域测验与病史</w:t>
            </w:r>
          </w:p>
        </w:tc>
        <w:tc>
          <w:tcPr/>
          <w:p>
            <w:pPr>
              <w:pStyle w:val="Compact"/>
              <w:jc w:val="left"/>
            </w:pPr>
            <w:r>
              <w:t xml:space="preserve">感官、语言、教育、情绪和练习效应会影响表现</w:t>
            </w:r>
          </w:p>
        </w:tc>
      </w:tr>
      <w:tr>
        <w:tc>
          <w:tcPr/>
          <w:p>
            <w:pPr>
              <w:pStyle w:val="Compact"/>
              <w:jc w:val="left"/>
            </w:pPr>
            <w:r>
              <w:t xml:space="preserve">日常独立性</w:t>
            </w:r>
          </w:p>
        </w:tc>
        <w:tc>
          <w:tcPr/>
          <w:p>
            <w:pPr>
              <w:pStyle w:val="Compact"/>
              <w:jc w:val="left"/>
            </w:pPr>
            <w:r>
              <w:t xml:space="preserve">生活活动与实际任务</w:t>
            </w:r>
          </w:p>
        </w:tc>
        <w:tc>
          <w:tcPr/>
          <w:p>
            <w:pPr>
              <w:pStyle w:val="Compact"/>
              <w:jc w:val="left"/>
            </w:pPr>
            <w:r>
              <w:t xml:space="preserve">环境支持可以改变功能表现</w:t>
            </w:r>
          </w:p>
        </w:tc>
      </w:tr>
      <w:tr>
        <w:tc>
          <w:tcPr/>
          <w:p>
            <w:pPr>
              <w:pStyle w:val="Compact"/>
              <w:jc w:val="left"/>
            </w:pPr>
            <w:r>
              <w:t xml:space="preserve">病程变化</w:t>
            </w:r>
          </w:p>
        </w:tc>
        <w:tc>
          <w:tcPr/>
          <w:p>
            <w:pPr>
              <w:pStyle w:val="Compact"/>
              <w:jc w:val="left"/>
            </w:pPr>
            <w:r>
              <w:t xml:space="preserve">跨时间临床与生物测量</w:t>
            </w:r>
          </w:p>
        </w:tc>
        <w:tc>
          <w:tcPr/>
          <w:p>
            <w:pPr>
              <w:pStyle w:val="Compact"/>
              <w:jc w:val="left"/>
            </w:pPr>
            <w:r>
              <w:t xml:space="preserve">不同指标可能先后变化且速度不同</w:t>
            </w:r>
          </w:p>
        </w:tc>
      </w:tr>
      <w:tr>
        <w:tc>
          <w:tcPr/>
          <w:p>
            <w:pPr>
              <w:pStyle w:val="Compact"/>
              <w:jc w:val="left"/>
            </w:pPr>
            <w:r>
              <w:t xml:space="preserve">治疗净收益</w:t>
            </w:r>
          </w:p>
        </w:tc>
        <w:tc>
          <w:tcPr/>
          <w:p>
            <w:pPr>
              <w:pStyle w:val="Compact"/>
              <w:jc w:val="left"/>
            </w:pPr>
            <w:r>
              <w:t xml:space="preserve">临床结局、不良影响及负担</w:t>
            </w:r>
          </w:p>
        </w:tc>
        <w:tc>
          <w:tcPr/>
          <w:p>
            <w:pPr>
              <w:pStyle w:val="Compact"/>
              <w:jc w:val="left"/>
            </w:pPr>
            <w:r>
              <w:t xml:space="preserve">标志物下降不能独自代表生活获益</w:t>
            </w:r>
          </w:p>
        </w:tc>
      </w:tr>
    </w:tbl>
    <w:p>
      <w:pPr>
        <w:pStyle w:val="BodyText"/>
      </w:pPr>
      <w:r>
        <w:t xml:space="preserve">该表用于辨别测量对象，具体诊断仍依完整框架。某项证据增加病理可能性时，其他维度可以保持相对稳定；多个维度不一致应推动进一步解释</w:t>
      </w:r>
      <w:r>
        <w:rPr>
          <w:vertAlign w:val="superscript"/>
        </w:rPr>
        <w:t xml:space="preserve">[</w:t>
      </w:r>
      <w:hyperlink w:anchor="ref-1487">
        <w:r>
          <w:rPr>
            <w:rStyle w:val="Hyperlink"/>
            <w:vertAlign w:val="superscript"/>
          </w:rPr>
          <w:t xml:space="preserve">1487</w:t>
        </w:r>
      </w:hyperlink>
      <w:r>
        <w:rPr>
          <w:vertAlign w:val="superscript"/>
        </w:rPr>
        <w:t xml:space="preserve">,</w:t>
      </w:r>
      <w:hyperlink w:anchor="ref-1488">
        <w:r>
          <w:rPr>
            <w:rStyle w:val="Hyperlink"/>
            <w:vertAlign w:val="superscript"/>
          </w:rPr>
          <w:t xml:space="preserve">1488</w:t>
        </w:r>
      </w:hyperlink>
      <w:r>
        <w:rPr>
          <w:vertAlign w:val="superscript"/>
        </w:rPr>
        <w:t xml:space="preserve">,</w:t>
      </w:r>
      <w:hyperlink w:anchor="ref-1489">
        <w:r>
          <w:rPr>
            <w:rStyle w:val="Hyperlink"/>
            <w:vertAlign w:val="superscript"/>
          </w:rPr>
          <w:t xml:space="preserve">1489</w:t>
        </w:r>
      </w:hyperlink>
      <w:r>
        <w:rPr>
          <w:vertAlign w:val="superscript"/>
        </w:rPr>
        <w:t xml:space="preserve">]</w:t>
      </w:r>
      <w:r>
        <w:t xml:space="preserve">。</w:t>
      </w:r>
    </w:p>
    <w:bookmarkEnd w:id="2281"/>
    <w:bookmarkStart w:id="2282" w:name="sec-140-5"/>
    <w:p>
      <w:pPr>
        <w:pStyle w:val="Heading3"/>
      </w:pPr>
      <w:r>
        <w:t xml:space="preserve">140.5　检测对象与测量方法需要一起命名</w:t>
      </w:r>
    </w:p>
    <w:p>
      <w:pPr>
        <w:pStyle w:val="FirstParagraph"/>
      </w:pPr>
      <w:r>
        <w:t xml:space="preserve">同样标为 p-tau217 的检测，可能使用不同抗体、质谱技术、校准体系、样本处理与计算公式。检测浓度、磷酸化比例和与其他蛋白组成的比值，所受干扰和阈值可以不同。一个方法的性能不能直接转移给所有名称相近的产品。读者需要知道实际测定平台、适用人群、参考标准以及预先确定的阈值。</w:t>
      </w:r>
    </w:p>
    <w:p>
      <w:pPr>
        <w:pStyle w:val="BodyText"/>
      </w:pPr>
      <w:r>
        <w:t xml:space="preserve">前分析阶段同样重要。采血管、离心时间、储存温度、冻融次数和样本运输会影响某些测量。分析阶段涉及精密度、批次差异和检测下限；后分析阶段涉及结果解释、灰区和临床决策。一个实验室研究中很漂亮的曲线，只有在这些环节得到控制之后，才可能转化为稳定的日常检测。</w:t>
      </w:r>
    </w:p>
    <w:p>
      <w:pPr>
        <w:pStyle w:val="BodyText"/>
      </w:pPr>
      <w:r>
        <w:t xml:space="preserve">如果检测被用于长期监测，还需要区分个体真实变化与分析波动。假设连续两次结果相差10%，而该检测的总变异本身就能产生类似差异，不能仅凭变化方向宣布疾病进展或治疗成功。纵向使用需要专门验证，包括重复测量、最小可检测变化和临床相关性。</w:t>
      </w:r>
    </w:p>
    <w:bookmarkEnd w:id="2282"/>
    <w:bookmarkStart w:id="2283" w:name="sec-140-6"/>
    <w:p>
      <w:pPr>
        <w:pStyle w:val="Heading3"/>
      </w:pPr>
      <w:r>
        <w:t xml:space="preserve">140.6　血液标志物进入临床的证据</w:t>
      </w:r>
    </w:p>
    <w:p>
      <w:pPr>
        <w:pStyle w:val="FirstParagraph"/>
      </w:pPr>
      <w:r>
        <w:t xml:space="preserve">Palmqvist 等人在2024年对1213名因认知症状接受评估者开展研究，使用预定义阈值验证含磷酸化 tau 比例及淀粉样比率的血液评分。该评分在研究中的病理识别准确率约为88%至92%，高于临床医生在未参考这些标志物时作出的诊断判断。研究支持特定检测在有症状人群中的价值；它没有证明血液检测可以独立完成完整病因鉴别和照护决策</w:t>
      </w:r>
      <w:r>
        <w:rPr>
          <w:vertAlign w:val="superscript"/>
        </w:rPr>
        <w:t xml:space="preserve">[</w:t>
      </w:r>
      <w:hyperlink w:anchor="ref-1490">
        <w:r>
          <w:rPr>
            <w:rStyle w:val="Hyperlink"/>
            <w:vertAlign w:val="superscript"/>
          </w:rPr>
          <w:t xml:space="preserve">1490</w:t>
        </w:r>
      </w:hyperlink>
      <w:r>
        <w:rPr>
          <w:vertAlign w:val="superscript"/>
        </w:rPr>
        <w:t xml:space="preserve">]</w:t>
      </w:r>
      <w:r>
        <w:t xml:space="preserve">。</w:t>
      </w:r>
    </w:p>
    <w:p>
      <w:pPr>
        <w:pStyle w:val="BodyText"/>
      </w:pPr>
      <w:r>
        <w:t xml:space="preserve">2025年阿尔茨海默病协会临床指南采用性能标准讨论专科认知受损者的血液检测：分诊用途要求敏感度至少90%、特异度至少75%；在满足相应条件时，敏感度和特异度均至少90%的检测可作为特定确认检测的替代。指南同时提醒商业检测性能不同，并要求完整临床评估及检前概率判断。阈值是特定用途的最低性能框架，不能视为任何产品的自动认证</w:t>
      </w:r>
      <w:r>
        <w:rPr>
          <w:vertAlign w:val="superscript"/>
        </w:rPr>
        <w:t xml:space="preserve">[</w:t>
      </w:r>
      <w:hyperlink w:anchor="ref-1489">
        <w:r>
          <w:rPr>
            <w:rStyle w:val="Hyperlink"/>
            <w:vertAlign w:val="superscript"/>
          </w:rPr>
          <w:t xml:space="preserve">1489</w:t>
        </w:r>
      </w:hyperlink>
      <w:r>
        <w:rPr>
          <w:vertAlign w:val="superscript"/>
        </w:rPr>
        <w:t xml:space="preserve">]</w:t>
      </w:r>
      <w:r>
        <w:t xml:space="preserve">。</w:t>
      </w:r>
    </w:p>
    <w:p>
      <w:pPr>
        <w:pStyle w:val="BodyText"/>
      </w:pPr>
      <w:r>
        <w:t xml:space="preserve">同年美国 FDA 准许上市首个相应用途的血液体外诊断设备。审核涉及499份认知受损成人样本，报告阳性结果中91.7%与参考病理阳性一致，阴性结果中97.3%与参考阴性一致，另有不确定结果。这里的91.7%与97.3%分别是该样本中的预测值，不能误写成敏感度和特异度。其适用范围包括有症状、55岁及以上的特定临床情境，公告明确不用于一般人群筛查或独立诊断</w:t>
      </w:r>
      <w:r>
        <w:rPr>
          <w:vertAlign w:val="superscript"/>
        </w:rPr>
        <w:t xml:space="preserve">[</w:t>
      </w:r>
      <w:hyperlink w:anchor="ref-1491">
        <w:r>
          <w:rPr>
            <w:rStyle w:val="Hyperlink"/>
            <w:vertAlign w:val="superscript"/>
          </w:rPr>
          <w:t xml:space="preserve">1491</w:t>
        </w:r>
      </w:hyperlink>
      <w:r>
        <w:rPr>
          <w:vertAlign w:val="superscript"/>
        </w:rPr>
        <w:t xml:space="preserve">]</w:t>
      </w:r>
      <w:r>
        <w:t xml:space="preserve">。</w:t>
      </w:r>
    </w:p>
    <w:bookmarkEnd w:id="2283"/>
    <w:bookmarkStart w:id="2284" w:name="sec-140-7"/>
    <w:p>
      <w:pPr>
        <w:pStyle w:val="Heading3"/>
      </w:pPr>
      <w:r>
        <w:t xml:space="preserve">140.7　检前概率改变结果的意义</w:t>
      </w:r>
    </w:p>
    <w:p>
      <w:pPr>
        <w:pStyle w:val="FirstParagraph"/>
      </w:pPr>
      <w:r>
        <w:t xml:space="preserve">假设一种检测敏感度和特异度都为90%。在1000名目标病理比例为10%的人中，预期有100人具有病理，其中90人阳性；900名无病理者中，约90人出现假阳性。全部180个阳性结果里，真正阳性约占50%。如果在另一组病理比例为50%的人中使用同样检测，预期450个真阳性和50个假阳性，阳性预测值成为90%。这是基于假设参数的贝叶斯计算，说明同一种技术在不同人群中的结果意义可以明显改变。</w:t>
      </w:r>
    </w:p>
    <w:p>
      <w:pPr>
        <w:pStyle w:val="BodyText"/>
      </w:pPr>
      <w:r>
        <w:t xml:space="preserve">敏感度和特异度也未必完全独立于人群。疾病严重程度、合并疾病和病例构成可能改变性能，这称为谱效应。因此，把专科样本的敏感度、特异度原封不动用于体检人群，本身也是一个需要验证的假设。临床推广需要在真实目标人群中检验，特别关注边界值、合并症和代表性不足的人群。</w:t>
      </w:r>
    </w:p>
    <w:p>
      <w:pPr>
        <w:pStyle w:val="BodyText"/>
      </w:pPr>
      <w:r>
        <w:t xml:space="preserve">阴性结果的意义同样依赖检前概率。在病理可能性很低的人群中，阴性通常较容易解释；在临床高度怀疑者中，阴性可能需要结合其他信息进一步判断。检测不能取消病史和时间轨迹的重要性。一个新工具的价值在于改善整套诊断过程，而它的单项准确度只描述其中一部分。</w:t>
      </w:r>
    </w:p>
    <w:bookmarkEnd w:id="2284"/>
    <w:bookmarkStart w:id="2285" w:name="sec-140-8"/>
    <w:p>
      <w:pPr>
        <w:pStyle w:val="Heading3"/>
      </w:pPr>
      <w:r>
        <w:t xml:space="preserve">140.8　灰区与双阈值策略</w:t>
      </w:r>
    </w:p>
    <w:p>
      <w:pPr>
        <w:pStyle w:val="FirstParagraph"/>
      </w:pPr>
      <w:r>
        <w:t xml:space="preserve">生物测量经常呈连续分布，疾病标签却常要求二元决策。把连续数值切成阳性和阴性会不可避免地损失信息。双阈值策略可以把很低的结果归入较低风险、很高的结果归入较高风险，中间区域保留进一步确认。它可以减少两端的误判，但会增加一部分人的后续检查需求。</w:t>
      </w:r>
    </w:p>
    <w:p>
      <w:pPr>
        <w:pStyle w:val="BodyText"/>
      </w:pPr>
      <w:r>
        <w:t xml:space="preserve">评价双阈值策略时，必须报告灰区比例。如果只报告被明确分类者的准确率，遗漏大量未分类者，可能给人过度乐观的印象。还应说明灰区人群的年龄、病情和合并症分布，因为最需要帮助的复杂病例可能恰好更容易落入灰区。完整流程的性能包括最终正确诊断比例、时间、成本、失访和患者负担。</w:t>
      </w:r>
    </w:p>
    <w:p>
      <w:pPr>
        <w:pStyle w:val="BodyText"/>
      </w:pPr>
      <w:r>
        <w:t xml:space="preserve">阈值附近的结果需要避免虚假精确。两个数值分别位于阈值两侧，生物学差异可能很小，而报告标签却完全不同。重复检测、第二种方法和临床随访可以在适当情境下提供信息，但也可能增加随机波动和偶然阳性。是否继续检查，需要明确其预期改变的决策，避免为了消除全部不确定性而无限增加检测。</w:t>
      </w:r>
    </w:p>
    <w:bookmarkEnd w:id="2285"/>
    <w:bookmarkStart w:id="2286" w:name="sec-140-9"/>
    <w:p>
      <w:pPr>
        <w:pStyle w:val="Heading3"/>
      </w:pPr>
      <w:r>
        <w:t xml:space="preserve">140.9　合并疾病怎样影响血液指标</w:t>
      </w:r>
    </w:p>
    <w:p>
      <w:pPr>
        <w:pStyle w:val="FirstParagraph"/>
      </w:pPr>
      <w:r>
        <w:t xml:space="preserve">血液中的蛋白浓度同时取决于释放、分布和清除。Janelidze 等人在473名参加者的两个队列中发现，肾功能下降与某些血浆磷酸化 tau 浓度升高相关，特定磷酸化与非磷酸化比率受到的相关影响较小。该研究提示合并症和指标形式会影响解释，也说明采用比率可能改善部分干扰；任何比率都不能因此被假定不受所有合并症影响</w:t>
      </w:r>
      <w:r>
        <w:rPr>
          <w:vertAlign w:val="superscript"/>
        </w:rPr>
        <w:t xml:space="preserve">[</w:t>
      </w:r>
      <w:hyperlink w:anchor="ref-1492">
        <w:r>
          <w:rPr>
            <w:rStyle w:val="Hyperlink"/>
            <w:vertAlign w:val="superscript"/>
          </w:rPr>
          <w:t xml:space="preserve">1492</w:t>
        </w:r>
      </w:hyperlink>
      <w:r>
        <w:rPr>
          <w:vertAlign w:val="superscript"/>
        </w:rPr>
        <w:t xml:space="preserve">]</w:t>
      </w:r>
      <w:r>
        <w:t xml:space="preserve">。</w:t>
      </w:r>
    </w:p>
    <w:p>
      <w:pPr>
        <w:pStyle w:val="BodyText"/>
      </w:pPr>
      <w:r>
        <w:t xml:space="preserve">从生理上看，如果一种蛋白的血中清除减慢，即使脑内产生量没有改变，血浓度也可能上升。反之，分布体积或外周来源变化也会改变读数。诊断研究需要将这些可能性与真实脑病理区分，尤其在高龄、多病共存和多药使用者中。统计模型若在训练样本中隐含学习了年龄或肾功能分布，也可能在另一个医疗环境中出现校准漂移。</w:t>
      </w:r>
    </w:p>
    <w:p>
      <w:pPr>
        <w:pStyle w:val="BodyText"/>
      </w:pPr>
      <w:r>
        <w:t xml:space="preserve">检测结果与临床印象不一致时，不应立即认定其中一方必然错误。可能原因包括临床病因复杂、检测误差、病程阶段不同、共病影响，或者两个工具本来测量不同层面。合理做法是明确不一致的性质，再选择能够减少该不一致的证据。研究上，这些“不典型”病例常常提供最有价值的机制线索。</w:t>
      </w:r>
    </w:p>
    <w:bookmarkEnd w:id="2286"/>
    <w:bookmarkStart w:id="2287" w:name="sec-140-10"/>
    <w:p>
      <w:pPr>
        <w:pStyle w:val="Heading3"/>
      </w:pPr>
      <w:r>
        <w:t xml:space="preserve">140.10　抗淀粉样治疗回答了什么问题</w:t>
      </w:r>
    </w:p>
    <w:p>
      <w:pPr>
        <w:pStyle w:val="FirstParagraph"/>
      </w:pPr>
      <w:r>
        <w:t xml:space="preserve">疾病修饰治疗试图改变病程中的生物过程。抗淀粉样抗体可以降低特定淀粉样负担，部分随机试验在早期、病理确认的人群中显示临床下降减慢。这个结果提供了靶向干预与临床变化之间的因果证据，支持淀粉样相关过程在相应阶段具有可干预意义。它不能单独证明淀粉样蛋白是所有患者全部症状的唯一原因，也不能保证清除越多就必然恢复越多功能。</w:t>
      </w:r>
    </w:p>
    <w:p>
      <w:pPr>
        <w:pStyle w:val="BodyText"/>
      </w:pPr>
      <w:r>
        <w:t xml:space="preserve">试验人群通常经过筛选。疾病阶段、影像风险、合并疾病、用药、照护支持和研究参与能力都会影响入组。现实中更高龄、并存疾病更多或缺少监测资源的人，可能与试验人群不同。推广时需要回答哪些人符合证据范围、哪些人风险更高，以及哪些情况仍缺乏充分数据。</w:t>
      </w:r>
    </w:p>
    <w:p>
      <w:pPr>
        <w:pStyle w:val="BodyText"/>
      </w:pPr>
      <w:r>
        <w:t xml:space="preserve">这里还要区分“下降减慢”与“恢复原有能力”。若治疗组与对照组都随时间恶化，但治疗组平均恶化较少，说明干预减缓了所测下降。宣传中的相对减缓百分比容易让人误以为症状改善或病程停止，因此必须同时报告两组实际变化、量表方向和随访时长。</w:t>
      </w:r>
    </w:p>
    <w:bookmarkEnd w:id="2287"/>
    <w:bookmarkStart w:id="2288" w:name="sec-140-11"/>
    <w:p>
      <w:pPr>
        <w:pStyle w:val="Heading3"/>
      </w:pPr>
      <w:r>
        <w:t xml:space="preserve">140.11　仑卡奈单抗的绝对效应</w:t>
      </w:r>
    </w:p>
    <w:p>
      <w:pPr>
        <w:pStyle w:val="FirstParagraph"/>
      </w:pPr>
      <w:r>
        <w:t xml:space="preserve">CLARITY AD 随机试验比较仑卡奈单抗（lecanemab）与安慰剂，纳入1795名早期阿尔茨海默病患者。18个月时，CDR-SB 平均恶化为治疗组1.21分、安慰剂组1.66分，组间差为负0.45分，95%置信区间为负0.67至负0.23。将0.45除以1.66可得到约27%的相对减缓，但绝对量表差仍是0.45分。试验同时报告 ARIA-E 为12.6%对1.7%，ARIA-H 为17.3%对9.0%，输注相关反应为26.4%对7.4%。这些数字来自特定人群和18个月试验条件</w:t>
      </w:r>
      <w:r>
        <w:rPr>
          <w:vertAlign w:val="superscript"/>
        </w:rPr>
        <w:t xml:space="preserve">[</w:t>
      </w:r>
      <w:hyperlink w:anchor="ref-1493">
        <w:r>
          <w:rPr>
            <w:rStyle w:val="Hyperlink"/>
            <w:vertAlign w:val="superscript"/>
          </w:rPr>
          <w:t xml:space="preserve">1493</w:t>
        </w:r>
      </w:hyperlink>
      <w:r>
        <w:rPr>
          <w:vertAlign w:val="superscript"/>
        </w:rPr>
        <w:t xml:space="preserve">]</w:t>
      </w:r>
      <w:r>
        <w:t xml:space="preserve">。</w:t>
      </w:r>
    </w:p>
    <w:p>
      <w:pPr>
        <w:pStyle w:val="BodyText"/>
      </w:pPr>
      <w:r>
        <w:t xml:space="preserve">从上述数值可以进行独立的绝对风险计算。ARIA-E 的观察风险差为10.9个百分点，即每100名类似试验参加者中，治疗组较对照组约多11人出现这一影像事件。这个表达保留了事件定义和时间范围。风险差倒数为1/0.109，约9.2，对应这一观察期内该影像事件的需要伤害人数（NNH）；若采用人数向上取整的报告约定，则为10。该近似数值不能代表严重症状、死亡或所有不良结局，也不能直接等同个人风险。</w:t>
      </w:r>
    </w:p>
    <w:p>
      <w:pPr>
        <w:pStyle w:val="BodyText"/>
      </w:pPr>
      <w:r>
        <w:t xml:space="preserve">CDR-SB 的0.45分平均差无法直接转换为一个通用的“需要治疗人数”。连续量表没有天然的二元获益阈值。若研究者想计算需要治疗多少人才能使一人维持某种功能，需要预先定义功能事件、评估时间和基线状态，并获得相应事件数据。把连续量表差的倒数写成 NNT，是量纲和概念上的错误。</w:t>
      </w:r>
    </w:p>
    <w:bookmarkEnd w:id="2288"/>
    <w:bookmarkStart w:id="2289" w:name="sec-140-12"/>
    <w:p>
      <w:pPr>
        <w:pStyle w:val="Heading3"/>
      </w:pPr>
      <w:r>
        <w:t xml:space="preserve">140.12　多奈单抗的人群与终点</w:t>
      </w:r>
    </w:p>
    <w:p>
      <w:pPr>
        <w:pStyle w:val="FirstParagraph"/>
      </w:pPr>
      <w:r>
        <w:t xml:space="preserve">TRAILBLAZER-ALZ 2 随机试验比较多奈单抗（donanemab）与安慰剂，纳入1736名早期有症状患者。其低至中 tau 人群与全部人群采用不同预设分析，iADRS 组间差分别约为3.25分和2.92分，对应的相对减缓比例也不同。ARIA-E 为24.0%对2.1%，治疗组出现有症状事件，研究报告了与治疗相关的死亡。理解结果时，应同时保留人群、量表和绝对风险，不能只摘取较大的相对减缓百分比</w:t>
      </w:r>
      <w:r>
        <w:rPr>
          <w:vertAlign w:val="superscript"/>
        </w:rPr>
        <w:t xml:space="preserve">[</w:t>
      </w:r>
      <w:hyperlink w:anchor="ref-1494">
        <w:r>
          <w:rPr>
            <w:rStyle w:val="Hyperlink"/>
            <w:vertAlign w:val="superscript"/>
          </w:rPr>
          <w:t xml:space="preserve">1494</w:t>
        </w:r>
      </w:hyperlink>
      <w:r>
        <w:rPr>
          <w:vertAlign w:val="superscript"/>
        </w:rPr>
        <w:t xml:space="preserve">]</w:t>
      </w:r>
      <w:r>
        <w:t xml:space="preserve">。</w:t>
      </w:r>
    </w:p>
    <w:p>
      <w:pPr>
        <w:pStyle w:val="BodyText"/>
      </w:pPr>
      <w:r>
        <w:t xml:space="preserve">根据24.0%与2.1%计算，ARIA-E 风险差为21.9个百分点。这个数值不能用于与另一项药物试验进行未经调整的优劣排序，因为人群筛选、给药方案、MRI 频率、定义和随访不同。直接比较需要头对头随机试验，或满足严格可比性假设的间接分析。相似药物名称和相似终点不意味着两项试验可以像同一实验的两组那样比较。</w:t>
      </w:r>
    </w:p>
    <w:p>
      <w:pPr>
        <w:pStyle w:val="BodyText"/>
      </w:pPr>
      <w:r>
        <w:t xml:space="preserve">不同量表也不能直接比较数值大小。iADRS 的分值范围、方向及构成与 CDR-SB 不同；3分和0.45分没有跨量表的直接大小关系。标准化效应可帮助某些统计比较，却仍不能自动告诉患者实际生活中的收益。最有意义的解释需要连接到活动能力、照护需求和患者重视的变化。</w:t>
      </w:r>
    </w:p>
    <w:bookmarkEnd w:id="2289"/>
    <w:bookmarkStart w:id="2290" w:name="sec-140-13"/>
    <w:p>
      <w:pPr>
        <w:pStyle w:val="Heading3"/>
      </w:pPr>
      <w:r>
        <w:t xml:space="preserve">140.13　ARIA及监测负担</w:t>
      </w:r>
    </w:p>
    <w:p>
      <w:pPr>
        <w:pStyle w:val="FirstParagraph"/>
      </w:pPr>
      <w:r>
        <w:t xml:space="preserve">ARIA 包含水肿或积液相关改变，以及含铁血黄素沉积相关改变。部分事件没有明显症状，部分可以严重，少数可能危及生命。现行美国说明书强调 APOE ε4 纯合状态、既有微出血或表面铁沉积等因素与风险有关，并要求治疗前及治疗中的相应评估。说明书还提醒，某些 ARIA 症状可以类似缺血性卒中，因此急性处理需要知道患者正在接受的治疗</w:t>
      </w:r>
      <w:r>
        <w:rPr>
          <w:vertAlign w:val="superscript"/>
        </w:rPr>
        <w:t xml:space="preserve">[</w:t>
      </w:r>
      <w:hyperlink w:anchor="ref-1495">
        <w:r>
          <w:rPr>
            <w:rStyle w:val="Hyperlink"/>
            <w:vertAlign w:val="superscript"/>
          </w:rPr>
          <w:t xml:space="preserve">1495</w:t>
        </w:r>
      </w:hyperlink>
      <w:r>
        <w:rPr>
          <w:vertAlign w:val="superscript"/>
        </w:rPr>
        <w:t xml:space="preserve">,</w:t>
      </w:r>
      <w:hyperlink w:anchor="ref-1496">
        <w:r>
          <w:rPr>
            <w:rStyle w:val="Hyperlink"/>
            <w:vertAlign w:val="superscript"/>
          </w:rPr>
          <w:t xml:space="preserve">1496</w:t>
        </w:r>
      </w:hyperlink>
      <w:r>
        <w:rPr>
          <w:vertAlign w:val="superscript"/>
        </w:rPr>
        <w:t xml:space="preserve">]</w:t>
      </w:r>
      <w:r>
        <w:t xml:space="preserve">。</w:t>
      </w:r>
    </w:p>
    <w:p>
      <w:pPr>
        <w:pStyle w:val="BodyText"/>
      </w:pPr>
      <w:r>
        <w:t xml:space="preserve">“多数无症状”不能等同于“无需重视”。无症状影像改变可能影响是否暂停治疗、增加复查或调整后续安排；有症状事件的严重程度和恢复也具有差异。临床决策需要同时考虑事件概率、严重度、可逆性、发现时间和处理能力。一个中心拥有充足 MRI 与急诊经验，和一个监测困难的地区，实施同一治疗的实际风险收益可能不同。</w:t>
      </w:r>
    </w:p>
    <w:p>
      <w:pPr>
        <w:pStyle w:val="BodyText"/>
      </w:pPr>
      <w:r>
        <w:t xml:space="preserve">药物风险之间也可能重叠。同一人可以同时出现 ARIA-E 和 ARIA-H，直接把两个百分比相加会重复计数。输注反应、影像事件、停药和严重事件分别属于不同层面的结局。完整风险沟通应说明每个数字的分母、时间和事件定义，避免把任何一个单项比例当成总风险。</w:t>
      </w:r>
    </w:p>
    <w:bookmarkEnd w:id="2290"/>
    <w:bookmarkStart w:id="2291" w:name="sec-140-14"/>
    <w:p>
      <w:pPr>
        <w:pStyle w:val="Heading3"/>
      </w:pPr>
      <w:r>
        <w:t xml:space="preserve">140.14　基因检测的角色与边界</w:t>
      </w:r>
    </w:p>
    <w:p>
      <w:pPr>
        <w:pStyle w:val="FirstParagraph"/>
      </w:pPr>
      <w:r>
        <w:t xml:space="preserve">APOE 信息在此处可以帮助评估特定治疗相关风险，也与疾病风险有关。它不能单独决定一个人是否已经患病，更不能精确给出未来何年出现症状。检测之前应讨论结果对本人和亲属可能意味着什么，包括心理影响、隐私和后续决策。将一个用于药物风险分层的基因结果变成全方位命运预测，会超出证据。</w:t>
      </w:r>
    </w:p>
    <w:p>
      <w:pPr>
        <w:pStyle w:val="BodyText"/>
      </w:pPr>
      <w:r>
        <w:t xml:space="preserve">治疗收益也可能存在个体差异，但目前群体试验通常不能精准识别某位患者必然获益或必然无益。亚组图上的点估计具有不确定性，小样本亚组可能产生不稳定结果。风险分层模型和治疗效应预测模型需要分别验证；某变量预测不良结局，不必然预测药物相对收益。</w:t>
      </w:r>
    </w:p>
    <w:p>
      <w:pPr>
        <w:pStyle w:val="BodyText"/>
      </w:pPr>
      <w:r>
        <w:t xml:space="preserve">药物资格、遗传风险和个人价值应当分开讨论。符合研究人群并不意味着每个人都会选择治疗；未选择治疗也不意味着放弃照护。有人更看重可能延缓功能下降，有人更在意影像风险、就诊负担和生活安排。共同决策需要把证据转化成可理解的选择空间。</w:t>
      </w:r>
    </w:p>
    <w:bookmarkEnd w:id="2291"/>
    <w:bookmarkStart w:id="2292" w:name="sec-140-15"/>
    <w:p>
      <w:pPr>
        <w:pStyle w:val="Heading3"/>
      </w:pPr>
      <w:r>
        <w:t xml:space="preserve">140.15　统计显著与有意义的收益</w:t>
      </w:r>
    </w:p>
    <w:p>
      <w:pPr>
        <w:pStyle w:val="FirstParagraph"/>
      </w:pPr>
      <w:r>
        <w:t xml:space="preserve">一个平均差达到统计显著，说明在相应模型下数据与零效应不太相容。它没有自动回答这个差异对患者是否重要。临床重要性需要考虑量表含义、疾病自然进程、时间、个体变化和患者偏好。一个对个人很难察觉的小差异，在大量人群和长期累积中可能有公共卫生意义；这种长期累积仍需要实际数据或透明模型支持。</w:t>
      </w:r>
    </w:p>
    <w:p>
      <w:pPr>
        <w:pStyle w:val="BodyText"/>
      </w:pPr>
      <w:r>
        <w:t xml:space="preserve">最小临床重要差异也有多种定义。个人从基线的变化阈值、两组平均变化差和研究者设定的最小值得治疗效应，不是同一个统计对象。将一个个人变化阈值直接与随机组平均差相比，可能产生错误结论。研究应说明阈值的建立方法，是否锚定患者或照护者感知，以及适用的疾病阶段。</w:t>
      </w:r>
    </w:p>
    <w:p>
      <w:pPr>
        <w:pStyle w:val="BodyText"/>
      </w:pPr>
      <w:r>
        <w:t xml:space="preserve">风险和收益还可能在不同时间出现。某些不良事件集中于较早治疗阶段，潜在功能收益可能需要较长时间才能体现。患者的预期寿命、合并疾病和生活目标会改变权衡。仅把一个短期风险百分比与一个长期相对减缓百分比并列，无法完成公平比较；需要在一致时间范围内呈现可比较的结果。</w:t>
      </w:r>
    </w:p>
    <w:bookmarkEnd w:id="2292"/>
    <w:bookmarkStart w:id="2293" w:name="sec-140-16"/>
    <w:p>
      <w:pPr>
        <w:pStyle w:val="Heading3"/>
      </w:pPr>
      <w:r>
        <w:t xml:space="preserve">140.16　外推长期病程的限制</w:t>
      </w:r>
    </w:p>
    <w:p>
      <w:pPr>
        <w:pStyle w:val="FirstParagraph"/>
      </w:pPr>
      <w:r>
        <w:t xml:space="preserve">如果18个月两组相差0.45分，不能简单每18个月继续累加同样差异直到十年。药物效果可能随阶段变化，病理清除可能达到平台，其他病理可能成为主要驱动，依从性和停药也可能改变。长期模型应公开这些假设，并提供不同情景下的结果。</w:t>
      </w:r>
    </w:p>
    <w:p>
      <w:pPr>
        <w:pStyle w:val="BodyText"/>
      </w:pPr>
      <w:r>
        <w:t xml:space="preserve">开放延长期可以提供耐久性和安全性信息，但缺少持续随机对照时，比较会受到选择和历史对照问题影响。能够进入延长期的人往往更耐受治疗、更愿意继续参与，也可能与退出者病程不同。观察到长期参加者表现较好，不能全部归因于持续治疗。研究可采用适当方法减少偏差，但应保留其设计限制。</w:t>
      </w:r>
    </w:p>
    <w:p>
      <w:pPr>
        <w:pStyle w:val="BodyText"/>
      </w:pPr>
      <w:r>
        <w:t xml:space="preserve">停药后的变化同样需要研究。病理指标保持低水平的时间、临床效应是否持续，以及再次治疗的收益风险，都不能仅从首次清除推断。某些治疗方案依据影像达到预设目标后停止给药，这是一种特定研究或监管策略；它不意味着疾病所有机制都已经消失。</w:t>
      </w:r>
    </w:p>
    <w:bookmarkEnd w:id="2293"/>
    <w:bookmarkStart w:id="2294" w:name="sec-140-17"/>
    <w:p>
      <w:pPr>
        <w:pStyle w:val="Heading3"/>
      </w:pPr>
      <w:r>
        <w:t xml:space="preserve">140.17　诊断技术与治疗可及性的共同问题</w:t>
      </w:r>
    </w:p>
    <w:p>
      <w:pPr>
        <w:pStyle w:val="FirstParagraph"/>
      </w:pPr>
      <w:r>
        <w:t xml:space="preserve">更便捷的血液检测可能缩短诊断路径，也可能增加后续确认和治疗需求。如果检测扩展速度超过专科评估、MRI 和照护资源，患者可能得到一个令人担忧的结果，却无法获得充分解释和支持。因此评估新检测的价值，需要观察整条医疗路径，包括等待时间、误诊、治疗可及性和心理影响。</w:t>
      </w:r>
    </w:p>
    <w:p>
      <w:pPr>
        <w:pStyle w:val="BodyText"/>
      </w:pPr>
      <w:r>
        <w:t xml:space="preserve">不同群体的代表性需要明确。年龄、祖源、教育、合并症和医疗环境会影响检测性能及治疗实施。若关键试验中的某类人群很少，不能把总体平均结果视为已充分验证该群体。公平性工作包括增加代表性、改进转诊条件、降低监测障碍，以及避免把复杂风险全部转嫁给患者。</w:t>
      </w:r>
    </w:p>
    <w:p>
      <w:pPr>
        <w:pStyle w:val="BodyText"/>
      </w:pPr>
      <w:r>
        <w:t xml:space="preserve">成本效果分析也依赖假设。药品价格只是成本的一部分，检测、输注、MRI、交通、照护者时间和不良事件处理都要计算。收益可能体现为延后依赖、减少照护时间或改善生活质量。不同支付体系和家庭条件会改变结果，单一国家的经济评价不宜直接套用于所有地区。</w:t>
      </w:r>
    </w:p>
    <w:bookmarkEnd w:id="2294"/>
    <w:bookmarkStart w:id="2295" w:name="sec-140-18"/>
    <w:p>
      <w:pPr>
        <w:pStyle w:val="Heading3"/>
      </w:pPr>
      <w:r>
        <w:t xml:space="preserve">140.18　从机制研究到下一代治疗</w:t>
      </w:r>
    </w:p>
    <w:p>
      <w:pPr>
        <w:pStyle w:val="FirstParagraph"/>
      </w:pPr>
      <w:r>
        <w:t xml:space="preserve">未来治疗可能针对 tau、神经免疫、突触功能、血管、代谢或多个过程的组合。一个新靶点具有强动物证据，仍需要经过人体药代、靶点作用、安全性和临床疗效的独立检验。模型预测可以帮助选择候选方案，细胞和动物实验可以检验机制，早期人体研究可以测量作用；每一阶段都不能替代后续随机临床结果。</w:t>
      </w:r>
    </w:p>
    <w:p>
      <w:pPr>
        <w:pStyle w:val="BodyText"/>
      </w:pPr>
      <w:r>
        <w:t xml:space="preserve">组合治疗面临新的设计问题。若两个药物都影响同一病理链，收益可能重叠；若作用于不同机制，可能存在协同，也可能增加毒性。研究需要考虑先后顺序、剂量、疾病阶段和监测负担。把多个看似合理的机制同时干预，并不自动增加净收益。</w:t>
      </w:r>
    </w:p>
    <w:p>
      <w:pPr>
        <w:pStyle w:val="BodyText"/>
      </w:pPr>
      <w:r>
        <w:t xml:space="preserve">预防性治疗尤其需要严格风险收益判断。无症状者可能多年保持功能，治疗暴露时间却更长。即使相对风险下降，绝对收益也取决于基础风险和时间范围。研究应直接测量临床结局，并确保参与者理解不确定性。生物学定义扩展之后，临床获益证据的要求仍然存在。</w:t>
      </w:r>
    </w:p>
    <w:bookmarkEnd w:id="2295"/>
    <w:bookmarkStart w:id="2296" w:name="sec-140-19"/>
    <w:p>
      <w:pPr>
        <w:pStyle w:val="Heading3"/>
      </w:pPr>
      <w:r>
        <w:t xml:space="preserve">140.19　假设病例推理</w:t>
      </w:r>
    </w:p>
    <w:p>
      <w:pPr>
        <w:pStyle w:val="FirstParagraph"/>
      </w:pPr>
      <w:r>
        <w:t xml:space="preserve">例题一。一名无明显功能困难的人，在商业体检中得到标志物阳性。合理解释需要先确认检测方法和适用范围、临床状态、检前概率及结果是否处于灰区。不能从阳性直接推断此人已经达到痴呆阶段，也不能根据一次结果预测具体发病年龄。进一步行动应由完整评估所要解决的问题决定。</w:t>
      </w:r>
    </w:p>
    <w:p>
      <w:pPr>
        <w:pStyle w:val="BodyText"/>
      </w:pPr>
      <w:r>
        <w:t xml:space="preserve">例题二。一名有认知困难者的标志物阳性，同时存在听力损失、睡眠问题和血管影像改变。阳性支持相关病理存在，却没有把其他因素从因果图中删除。研究和临床都应分别评价这些因素对当前功能的贡献，以及哪些干预能够改善生活。</w:t>
      </w:r>
    </w:p>
    <w:p>
      <w:pPr>
        <w:pStyle w:val="BodyText"/>
      </w:pPr>
      <w:r>
        <w:t xml:space="preserve">例题三。宣传称某药减缓35%，另一药减缓27%，因此前者更好。这个比较遗漏了试验人群、量表、病理筛选、分析群体、时间和风险。没有相应可比性，两个百分比不能形成可靠排名。即使头对头结果显示平均收益不同，个体选择仍需结合风险和偏好。</w:t>
      </w:r>
    </w:p>
    <w:p>
      <w:pPr>
        <w:pStyle w:val="BodyText"/>
      </w:pPr>
      <w:r>
        <w:t xml:space="preserve">例题四。某药使病理 PET 大幅下降，但患者仍然退步。这个观察与治疗减缓平均下降可以相容，因为减缓并不要求每个人稳定。判断个体疗效也面临反事实困难：无法同时知道同一人在未治疗情况下的轨迹。随访可以描述实际变化，随机证据提供群体层面的比较，两者共同支持决策。</w:t>
      </w:r>
    </w:p>
    <w:bookmarkEnd w:id="2296"/>
    <w:bookmarkStart w:id="2297" w:name="sec-140-20"/>
    <w:p>
      <w:pPr>
        <w:pStyle w:val="Heading3"/>
      </w:pPr>
      <w:r>
        <w:t xml:space="preserve">140.20　本领域的证据底线</w:t>
      </w:r>
    </w:p>
    <w:p>
      <w:pPr>
        <w:pStyle w:val="FirstParagraph"/>
      </w:pPr>
      <w:r>
        <w:t xml:space="preserve">高质量交流应始终说明：检测针对什么、在哪些人中验证、阳性和阴性的含义、灰区如何处理、治疗带来多大的绝对变化、风险如何定义，以及尚未确定什么。对新技术的期待和对限制的说明可以同时成立。这样才能让前沿研究转化为可理解、可审查并尊重个人价值的临床知识。</w:t>
      </w:r>
    </w:p>
    <w:bookmarkEnd w:id="2297"/>
    <w:bookmarkStart w:id="2298" w:name="sec-140-21"/>
    <w:p>
      <w:pPr>
        <w:pStyle w:val="Heading3"/>
      </w:pPr>
      <w:r>
        <w:t xml:space="preserve">140.21　资助披露与证据独立性</w:t>
      </w:r>
    </w:p>
    <w:p>
      <w:pPr>
        <w:pStyle w:val="FirstParagraph"/>
      </w:pPr>
      <w:r>
        <w:t xml:space="preserve">CLARITY AD 由 Eisai 资助并担任申办者，Biogen 提供部分资金；原文说明 Eisai 与学术作者共同设计试验、分析资料并支持写作，且申办者不能阻止或延迟发表。TRAILBLAZER-ALZ 2 由 Eli Lilly 资助，申办者参与设计、执行、数据管理与分析、稿件撰写及投稿决定，论文列明相关雇佣和持股关系。上述披露使读者能够评估哪些环节需要独立复核；商业资助本身不改变随机比较的数学结果，也不自动消除选择分析、资料访问和报告解释方面的疑问。公开方案、完整不良事件资料、外部重复及长期随访共同决定结果的可检验程度</w:t>
      </w:r>
      <w:r>
        <w:rPr>
          <w:vertAlign w:val="superscript"/>
        </w:rPr>
        <w:t xml:space="preserve">[</w:t>
      </w:r>
      <w:hyperlink w:anchor="ref-1493">
        <w:r>
          <w:rPr>
            <w:rStyle w:val="Hyperlink"/>
            <w:vertAlign w:val="superscript"/>
          </w:rPr>
          <w:t xml:space="preserve">1493</w:t>
        </w:r>
      </w:hyperlink>
      <w:r>
        <w:rPr>
          <w:vertAlign w:val="superscript"/>
        </w:rPr>
        <w:t xml:space="preserve">,</w:t>
      </w:r>
      <w:hyperlink w:anchor="ref-1494">
        <w:r>
          <w:rPr>
            <w:rStyle w:val="Hyperlink"/>
            <w:vertAlign w:val="superscript"/>
          </w:rPr>
          <w:t xml:space="preserve">1494</w:t>
        </w:r>
      </w:hyperlink>
      <w:r>
        <w:rPr>
          <w:vertAlign w:val="superscript"/>
        </w:rPr>
        <w:t xml:space="preserve">]</w:t>
      </w:r>
      <w:r>
        <w:t xml:space="preserve">。</w:t>
      </w:r>
    </w:p>
    <w:bookmarkEnd w:id="2298"/>
    <w:bookmarkStart w:id="2299" w:name="sec-140-22"/>
    <w:p>
      <w:pPr>
        <w:pStyle w:val="Heading3"/>
      </w:pPr>
      <w:r>
        <w:t xml:space="preserve">140.22　关键判断的证据边界</w:t>
      </w:r>
    </w:p>
    <w:p>
      <w:pPr>
        <w:pStyle w:val="FirstParagraph"/>
      </w:pPr>
      <w:r>
        <w:t xml:space="preserve">病理负担、综合征与日常功能属于不同测量层级，这一概念区分有较高确定性。上述随机试验对其入组条件及观察期内平均量表差和已测不良事件提供直接证据；适用性仍受早期阶段、影像筛选、随访时程及退出情况约束。标志物变化可以支持靶点参与，单凭这种变化推定一个人将保留多少年独立生活，置信度较低。无症状人群的常规筛查收益、不同混合病理中的长期净获益，以及停药后的个人轨迹，仍需要专门研究，不能从疾病名称或一次化验中确定</w:t>
      </w:r>
      <w:r>
        <w:rPr>
          <w:vertAlign w:val="superscript"/>
        </w:rPr>
        <w:t xml:space="preserve">[</w:t>
      </w:r>
      <w:hyperlink w:anchor="ref-1487">
        <w:r>
          <w:rPr>
            <w:rStyle w:val="Hyperlink"/>
            <w:vertAlign w:val="superscript"/>
          </w:rPr>
          <w:t xml:space="preserve">1487</w:t>
        </w:r>
      </w:hyperlink>
      <w:r>
        <w:rPr>
          <w:vertAlign w:val="superscript"/>
        </w:rPr>
        <w:t xml:space="preserve">,</w:t>
      </w:r>
      <w:hyperlink w:anchor="ref-1488">
        <w:r>
          <w:rPr>
            <w:rStyle w:val="Hyperlink"/>
            <w:vertAlign w:val="superscript"/>
          </w:rPr>
          <w:t xml:space="preserve">1488</w:t>
        </w:r>
      </w:hyperlink>
      <w:r>
        <w:rPr>
          <w:vertAlign w:val="superscript"/>
        </w:rPr>
        <w:t xml:space="preserve">,</w:t>
      </w:r>
      <w:hyperlink w:anchor="ref-1493">
        <w:r>
          <w:rPr>
            <w:rStyle w:val="Hyperlink"/>
            <w:vertAlign w:val="superscript"/>
          </w:rPr>
          <w:t xml:space="preserve">1493</w:t>
        </w:r>
      </w:hyperlink>
      <w:r>
        <w:rPr>
          <w:vertAlign w:val="superscript"/>
        </w:rPr>
        <w:t xml:space="preserve">,</w:t>
      </w:r>
      <w:hyperlink w:anchor="ref-1494">
        <w:r>
          <w:rPr>
            <w:rStyle w:val="Hyperlink"/>
            <w:vertAlign w:val="superscript"/>
          </w:rPr>
          <w:t xml:space="preserve">1494</w:t>
        </w:r>
      </w:hyperlink>
      <w:r>
        <w:rPr>
          <w:vertAlign w:val="superscript"/>
        </w:rPr>
        <w:t xml:space="preserve">]</w:t>
      </w:r>
      <w:r>
        <w:t xml:space="preserve">。</w:t>
      </w:r>
    </w:p>
    <w:bookmarkEnd w:id="2299"/>
    <w:bookmarkEnd w:id="2300"/>
    <w:bookmarkStart w:id="2322" w:name="ch-141"/>
    <w:p>
      <w:pPr>
        <w:pStyle w:val="Heading2"/>
      </w:pPr>
      <w:r>
        <w:t xml:space="preserve">第141章　神经免疫、抗体与中枢炎症性疾病</w:t>
      </w:r>
    </w:p>
    <w:p>
      <w:pPr>
        <w:pStyle w:val="FirstParagraph"/>
      </w:pPr>
      <w:r>
        <w:rPr>
          <w:bCs/>
          <w:b/>
        </w:rPr>
        <w:t xml:space="preserve">本章的证据判断　特定免疫过程能够造成可识别的神经疾病，部分疾病具有直接机制与治疗证据，置信度高。对一切疲劳、情绪或认知症状统一归因于脑炎症，证据不足。</w:t>
      </w:r>
      <w:r>
        <w:t xml:space="preserve">临床神经免疫的关键任务，是把受影响的组织、时间过程、免疫靶点、检测结果和功能结局连接起来。炎症这个总词无法替代疾病名称，也无法独自决定治疗。</w:t>
      </w:r>
    </w:p>
    <w:bookmarkStart w:id="2301" w:name="sec-141-1"/>
    <w:p>
      <w:pPr>
        <w:pStyle w:val="Heading3"/>
      </w:pPr>
      <w:r>
        <w:t xml:space="preserve">141.1　脑内免疫具有空间组织</w:t>
      </w:r>
    </w:p>
    <w:p>
      <w:pPr>
        <w:pStyle w:val="FirstParagraph"/>
      </w:pPr>
      <w:r>
        <w:t xml:space="preserve">中枢神经系统包含脑实质、脑膜、血管周围、脑脊液和相关边界组织。不同空间的细胞、通透性与免疫活动并不相同。血脑屏障具有选择性运输和调节作用，不能理解为完全禁止所有免疫交流的密封墙。脑膜淋巴相关发现也说明脑与外围之间存在可研究的联系</w:t>
      </w:r>
      <w:r>
        <w:rPr>
          <w:vertAlign w:val="superscript"/>
        </w:rPr>
        <w:t xml:space="preserve">[</w:t>
      </w:r>
      <w:hyperlink w:anchor="ref-19">
        <w:r>
          <w:rPr>
            <w:rStyle w:val="Hyperlink"/>
            <w:vertAlign w:val="superscript"/>
          </w:rPr>
          <w:t xml:space="preserve">19</w:t>
        </w:r>
      </w:hyperlink>
      <w:r>
        <w:rPr>
          <w:vertAlign w:val="superscript"/>
        </w:rPr>
        <w:t xml:space="preserve">]</w:t>
      </w:r>
      <w:r>
        <w:t xml:space="preserve">。</w:t>
      </w:r>
    </w:p>
    <w:p>
      <w:pPr>
        <w:pStyle w:val="BodyText"/>
      </w:pPr>
      <w:r>
        <w:t xml:space="preserve">空间位置会改变一个检测的意义。血中炎症指标可以反映全身状态，脑脊液指标更接近中枢环境，但仍可能受血液来源、屏障变化和其他过程影响。一个指标升高，需要先明确采样位置与分子来源，才能讨论它对应什么病理。</w:t>
      </w:r>
    </w:p>
    <w:p>
      <w:pPr>
        <w:pStyle w:val="BodyText"/>
      </w:pPr>
      <w:r>
        <w:t xml:space="preserve">假设血中某种蛋白增加，脑脊液中也同步增加。可能存在外周升高后的进入，也可能存在中枢局部产生，还可能同时发生。单独比较两个绝对浓度通常无法完成来源归因。配对样本、屏障相关指标与其他证据能够减少歧义。</w:t>
      </w:r>
    </w:p>
    <w:bookmarkEnd w:id="2301"/>
    <w:bookmarkStart w:id="2302" w:name="sec-141-2"/>
    <w:p>
      <w:pPr>
        <w:pStyle w:val="Heading3"/>
      </w:pPr>
      <w:r>
        <w:t xml:space="preserve">141.2　免疫反应既有防御也有组织代价</w:t>
      </w:r>
    </w:p>
    <w:p>
      <w:pPr>
        <w:pStyle w:val="FirstParagraph"/>
      </w:pPr>
      <w:r>
        <w:t xml:space="preserve">免疫系统参与识别病原体、清理碎片和协调修复。不同阶段的反应可能有不同功能：早期反应有助于控制威胁，持续或失调的反应可能增加组织损害。临床目标需要考虑病因、时间与靶点，无法简单设为把全部免疫活性降到最低。</w:t>
      </w:r>
    </w:p>
    <w:p>
      <w:pPr>
        <w:pStyle w:val="BodyText"/>
      </w:pPr>
      <w:r>
        <w:t xml:space="preserve">同样，看到免疫细胞聚集也不能直接确定它们首先发动损害。细胞可能对已有神经损伤作出反应，也可能推动后续病程。区分起始原因、放大因素和修复反应，需要时间信息、干预与组织特异证据。</w:t>
      </w:r>
    </w:p>
    <w:p>
      <w:pPr>
        <w:pStyle w:val="BodyText"/>
      </w:pPr>
      <w:r>
        <w:t xml:space="preserve">这个区分影响药物推理。抑制一个通路如果减少病理，说明该通路在研究条件下有可干预作用；它未必是疾病最初来源。某通路参与疾病，也不保证抑制越强越好，因为同一路径可能承担防御任务。</w:t>
      </w:r>
    </w:p>
    <w:bookmarkEnd w:id="2302"/>
    <w:bookmarkStart w:id="2303" w:name="sec-141-3"/>
    <w:p>
      <w:pPr>
        <w:pStyle w:val="Heading3"/>
      </w:pPr>
      <w:r>
        <w:t xml:space="preserve">141.3　神经症候决定免疫假设的起点</w:t>
      </w:r>
    </w:p>
    <w:p>
      <w:pPr>
        <w:pStyle w:val="FirstParagraph"/>
      </w:pPr>
      <w:r>
        <w:t xml:space="preserve">自身免疫性脑炎可以涉及记忆、行为、意识、癫痫发作、运动和自主神经等多个方面。2016年临床框架强调症候、亚急性进展、常规辅助检查和对替代病因的合理排除，并按证据形成不同确定度</w:t>
      </w:r>
      <w:r>
        <w:rPr>
          <w:vertAlign w:val="superscript"/>
        </w:rPr>
        <w:t xml:space="preserve">[</w:t>
      </w:r>
      <w:hyperlink w:anchor="ref-1497">
        <w:r>
          <w:rPr>
            <w:rStyle w:val="Hyperlink"/>
            <w:vertAlign w:val="superscript"/>
          </w:rPr>
          <w:t xml:space="preserve">1497</w:t>
        </w:r>
      </w:hyperlink>
      <w:r>
        <w:rPr>
          <w:vertAlign w:val="superscript"/>
        </w:rPr>
        <w:t xml:space="preserve">]</w:t>
      </w:r>
      <w:r>
        <w:t xml:space="preserve">。这使诊断能够在抗体结果尚未返回时有组织地推进。</w:t>
      </w:r>
    </w:p>
    <w:p>
      <w:pPr>
        <w:pStyle w:val="BodyText"/>
      </w:pPr>
      <w:r>
        <w:t xml:space="preserve">时间线具有重要区分力。几小时内出现的局灶缺损、数周内进展的行为与记忆变化、几年缓慢加重的认知困难，会提出不同优先假设。它们也可以存在非典型情况，所以时间线是改变概率的证据，不能单独成为排除规则。</w:t>
      </w:r>
    </w:p>
    <w:p>
      <w:pPr>
        <w:pStyle w:val="BodyText"/>
      </w:pPr>
      <w:r>
        <w:t xml:space="preserve">症状组合比单个标签更有信息。精神症状伴随新发癫痫、明显意识变化或自主功能不稳定，会使神经与全身评估具有特别意义；孤立的非特异疲劳或长期注意困难，不能直接被重新命名为脑炎。</w:t>
      </w:r>
    </w:p>
    <w:bookmarkEnd w:id="2303"/>
    <w:bookmarkStart w:id="2304" w:name="sec-141-4"/>
    <w:p>
      <w:pPr>
        <w:pStyle w:val="Heading3"/>
      </w:pPr>
      <w:r>
        <w:t xml:space="preserve">141.4　感染性与自身免疫性脑炎需要认真鉴别</w:t>
      </w:r>
    </w:p>
    <w:p>
      <w:pPr>
        <w:pStyle w:val="FirstParagraph"/>
      </w:pPr>
      <w:r>
        <w:t xml:space="preserve">脑炎综合征可以由感染、自身免疫和其他原因造成。某些感染可以触发后续免疫过程，两者在时间上也可能形成连续关系。仅凭发热、行为改变或单次MRI，通常不足以完成病因归类。</w:t>
      </w:r>
    </w:p>
    <w:p>
      <w:pPr>
        <w:pStyle w:val="BodyText"/>
      </w:pPr>
      <w:r>
        <w:t xml:space="preserve">临床评估要综合脑脊液、影像、电生理、病原学、暴露背景与其他证据。不同检测的时间窗和敏感度会影响阴性结果。一次阴性病原检测如果发生在不合适时点，不能自动证明感染已完全排除；同理，免疫检测阴性也不必然排除所有免疫机制。</w:t>
      </w:r>
    </w:p>
    <w:p>
      <w:pPr>
        <w:pStyle w:val="BodyText"/>
      </w:pPr>
      <w:r>
        <w:t xml:space="preserve">Abboud等最佳实践建议把常规神经检查、感染鉴别、抗体评估和必要肿瘤寻找放在同一个框架中</w:t>
      </w:r>
      <w:r>
        <w:rPr>
          <w:vertAlign w:val="superscript"/>
        </w:rPr>
        <w:t xml:space="preserve">[</w:t>
      </w:r>
      <w:hyperlink w:anchor="ref-1498">
        <w:r>
          <w:rPr>
            <w:rStyle w:val="Hyperlink"/>
            <w:vertAlign w:val="superscript"/>
          </w:rPr>
          <w:t xml:space="preserve">1498</w:t>
        </w:r>
      </w:hyperlink>
      <w:r>
        <w:rPr>
          <w:vertAlign w:val="superscript"/>
        </w:rPr>
        <w:t xml:space="preserve">]</w:t>
      </w:r>
      <w:r>
        <w:t xml:space="preserve">。具体处置属于临床团队根据病情紧迫性与风险作出的判断，本书不把复杂路径压缩成读者自行尝试免疫治疗的操作表。</w:t>
      </w:r>
    </w:p>
    <w:bookmarkEnd w:id="2304"/>
    <w:bookmarkStart w:id="2305" w:name="sec-141-5"/>
    <w:p>
      <w:pPr>
        <w:pStyle w:val="Heading3"/>
      </w:pPr>
      <w:r>
        <w:t xml:space="preserve">141.5　神经元表面抗体怎样改变突触</w:t>
      </w:r>
    </w:p>
    <w:p>
      <w:pPr>
        <w:pStyle w:val="FirstParagraph"/>
      </w:pPr>
      <w:r>
        <w:t xml:space="preserve">抗NMDA受体脑炎为理解免疫与突触功能提供了明确例子。Hughes等使用患者抗体进行细胞和动物实验，显示抗体交联可促进受体内化，降低表面受体及相关突触电流，部分变化在实验条件下可逆</w:t>
      </w:r>
      <w:r>
        <w:rPr>
          <w:vertAlign w:val="superscript"/>
        </w:rPr>
        <w:t xml:space="preserve">[</w:t>
      </w:r>
      <w:hyperlink w:anchor="ref-146">
        <w:r>
          <w:rPr>
            <w:rStyle w:val="Hyperlink"/>
            <w:vertAlign w:val="superscript"/>
          </w:rPr>
          <w:t xml:space="preserve">146</w:t>
        </w:r>
      </w:hyperlink>
      <w:r>
        <w:rPr>
          <w:vertAlign w:val="superscript"/>
        </w:rPr>
        <w:t xml:space="preserve">]</w:t>
      </w:r>
      <w:r>
        <w:t xml:space="preserve">。这些变化出现时神经元存活并未受影响，说明抗体不需要造成细胞死亡，也能严重扰乱网络功能。</w:t>
      </w:r>
    </w:p>
    <w:p>
      <w:pPr>
        <w:pStyle w:val="BodyText"/>
      </w:pPr>
      <w:r>
        <w:t xml:space="preserve">机制的可逆性提出了恢复的可能，却不保证所有患者全部损害可逆。长期发作、并发症、缺氧、治疗延迟和其他过程可能叠加。细胞实验中的神经元保持存活，这一结果也无法代表重症患者的全部病程。</w:t>
      </w:r>
    </w:p>
    <w:p>
      <w:pPr>
        <w:pStyle w:val="BodyText"/>
      </w:pPr>
      <w:r>
        <w:t xml:space="preserve">这个例子还说明，功能异常与结构影像改变可以不平行。受体分布和突触传递发生明显变化时，常规MRI可能没有同等显著的宏观异常。影像正常应按其测量能力解释，不能直接推出功能正常或症状缺少生物基础。</w:t>
      </w:r>
    </w:p>
    <w:bookmarkEnd w:id="2305"/>
    <w:bookmarkStart w:id="2306" w:name="sec-141-6"/>
    <w:p>
      <w:pPr>
        <w:pStyle w:val="Heading3"/>
      </w:pPr>
      <w:r>
        <w:t xml:space="preserve">141.6　表面靶点与细胞内靶点的区别</w:t>
      </w:r>
    </w:p>
    <w:p>
      <w:pPr>
        <w:pStyle w:val="FirstParagraph"/>
      </w:pPr>
      <w:r>
        <w:t xml:space="preserve">抗体所识别的蛋白位于细胞表面、突触间隙或细胞内部，会改变对致病机制的推理。对可接触的表面靶点，抗体直接影响受体或细胞功能的假设更容易形成可检验实验。针对细胞内抗原的抗体，有时主要提示相关免疫反应，真正组织损害可能更多涉及细胞介导过程。</w:t>
      </w:r>
    </w:p>
    <w:p>
      <w:pPr>
        <w:pStyle w:val="BodyText"/>
      </w:pPr>
      <w:r>
        <w:t xml:space="preserve">这种概念区分并非绝对地把所有疾病分成两类。抗体、T细胞、补体、屏障变化和组织脆弱性可能共同参与。临床应按具体抗原和综合征理解，不能仅看抗体阳性几个字。</w:t>
      </w:r>
    </w:p>
    <w:p>
      <w:pPr>
        <w:pStyle w:val="BodyText"/>
      </w:pPr>
      <w:r>
        <w:t xml:space="preserve">抗体的存在、病理作用和治疗可及性也需要分开。检测到某种抗体可以支持疾病识别，却不保证直接移除它就能消除全部病程。抗体可能持续产生，损害可能已经形成，其他免疫环节也可能继续作用。</w:t>
      </w:r>
    </w:p>
    <w:bookmarkEnd w:id="2306"/>
    <w:bookmarkStart w:id="2307" w:name="sec-141-7"/>
    <w:p>
      <w:pPr>
        <w:pStyle w:val="Heading3"/>
      </w:pPr>
      <w:r>
        <w:t xml:space="preserve">141.7　血清与脑脊液的抗体结果</w:t>
      </w:r>
    </w:p>
    <w:p>
      <w:pPr>
        <w:pStyle w:val="FirstParagraph"/>
      </w:pPr>
      <w:r>
        <w:t xml:space="preserve">不同抗体在血清与脑脊液中的检测价值不同。有些疾病更依赖脑脊液证据，有些抗体在血清中更敏感；具体平台与样本条件也会影响结果</w:t>
      </w:r>
      <w:r>
        <w:rPr>
          <w:vertAlign w:val="superscript"/>
        </w:rPr>
        <w:t xml:space="preserve">[</w:t>
      </w:r>
      <w:hyperlink w:anchor="ref-1498">
        <w:r>
          <w:rPr>
            <w:rStyle w:val="Hyperlink"/>
            <w:vertAlign w:val="superscript"/>
          </w:rPr>
          <w:t xml:space="preserve">1498</w:t>
        </w:r>
      </w:hyperlink>
      <w:r>
        <w:rPr>
          <w:vertAlign w:val="superscript"/>
        </w:rPr>
        <w:t xml:space="preserve">]</w:t>
      </w:r>
      <w:r>
        <w:t xml:space="preserve">。不能建立血清永远优于脑脊液或脑脊液永远优于血清的统一排序。</w:t>
      </w:r>
    </w:p>
    <w:p>
      <w:pPr>
        <w:pStyle w:val="BodyText"/>
      </w:pPr>
      <w:r>
        <w:t xml:space="preserve">结果解释需要确认免疫球蛋白类型、目标抗原、检测平台、滴度与临床相容性。名字相似的抗体或不同类别免疫球蛋白，可能具有不同临床意义。若报告只列一个宽泛阳性，而未说明测的究竟是什么，证据链就不完整。</w:t>
      </w:r>
    </w:p>
    <w:p>
      <w:pPr>
        <w:pStyle w:val="BodyText"/>
      </w:pPr>
      <w:r>
        <w:t xml:space="preserve">配对样本可以帮助解释来源与一致性，但仍需临床信息。如果症候、影像和电生理完全不支持所声称疾病，单一低水平结果应促使进一步核实。反过来，典型病程且多项独立证据一致，也不能因某一平台阴性就机械停止思考。</w:t>
      </w:r>
    </w:p>
    <w:bookmarkEnd w:id="2307"/>
    <w:bookmarkStart w:id="2308" w:name="sec-141-8"/>
    <w:p>
      <w:pPr>
        <w:pStyle w:val="Heading3"/>
      </w:pPr>
      <w:r>
        <w:t xml:space="preserve">141.8　低滴度阳性与误诊的实际证据</w:t>
      </w:r>
    </w:p>
    <w:p>
      <w:pPr>
        <w:pStyle w:val="FirstParagraph"/>
      </w:pPr>
      <w:r>
        <w:t xml:space="preserve">Sechi等在三级中心纳入1260名接受MOG抗体检测者，92人阳性，其中26人的结果在临床评估后被判为假阳性；总体阳性预测值为72%，并随滴度与检测前临床可能性变化</w:t>
      </w:r>
      <w:r>
        <w:rPr>
          <w:vertAlign w:val="superscript"/>
        </w:rPr>
        <w:t xml:space="preserve">[</w:t>
      </w:r>
      <w:hyperlink w:anchor="ref-1499">
        <w:r>
          <w:rPr>
            <w:rStyle w:val="Hyperlink"/>
            <w:vertAlign w:val="superscript"/>
          </w:rPr>
          <w:t xml:space="preserve">1499</w:t>
        </w:r>
      </w:hyperlink>
      <w:r>
        <w:rPr>
          <w:vertAlign w:val="superscript"/>
        </w:rPr>
        <w:t xml:space="preserve">]</w:t>
      </w:r>
      <w:r>
        <w:t xml:space="preserve">。这组数据说明高特异性检测仍可能在低概率情境中产生难以解释的阳性，具体比例不能照搬所有实验室。</w:t>
      </w:r>
    </w:p>
    <w:p>
      <w:pPr>
        <w:pStyle w:val="BodyText"/>
      </w:pPr>
      <w:r>
        <w:t xml:space="preserve">Flanagan等分析107名后来获得其他诊断的成人自身免疫性脑炎转诊病例，发现过度解释血清抗体与未充分符合综合征标准是重要问题</w:t>
      </w:r>
      <w:r>
        <w:rPr>
          <w:vertAlign w:val="superscript"/>
        </w:rPr>
        <w:t xml:space="preserve">[</w:t>
      </w:r>
      <w:hyperlink w:anchor="ref-1500">
        <w:r>
          <w:rPr>
            <w:rStyle w:val="Hyperlink"/>
            <w:vertAlign w:val="superscript"/>
          </w:rPr>
          <w:t xml:space="preserve">1500</w:t>
        </w:r>
      </w:hyperlink>
      <w:r>
        <w:rPr>
          <w:vertAlign w:val="superscript"/>
        </w:rPr>
        <w:t xml:space="preserve">]</w:t>
      </w:r>
      <w:r>
        <w:t xml:space="preserve">。该研究专门选择误诊病例，不能用它计算所有医院的总体误诊率。</w:t>
      </w:r>
    </w:p>
    <w:p>
      <w:pPr>
        <w:pStyle w:val="BodyText"/>
      </w:pPr>
      <w:r>
        <w:t xml:space="preserve">误诊的代价包含延误真实病因、免疫治疗风险与长期疾病身份负担。漏诊也可能带来严重损害。因此提高准确性需要同时改善识别与鉴别，不能把谨慎理解为一概不检测，也不能把积极治疗理解为忽略证据一致性。</w:t>
      </w:r>
    </w:p>
    <w:bookmarkEnd w:id="2308"/>
    <w:bookmarkStart w:id="2309" w:name="sec-141-9"/>
    <w:p>
      <w:pPr>
        <w:pStyle w:val="Heading3"/>
      </w:pPr>
      <w:r>
        <w:t xml:space="preserve">141.9　肿瘤相关免疫反应</w:t>
      </w:r>
    </w:p>
    <w:p>
      <w:pPr>
        <w:pStyle w:val="FirstParagraph"/>
      </w:pPr>
      <w:r>
        <w:t xml:space="preserve">部分神经免疫综合征与肿瘤相关，肿瘤表达的抗原可能与神经组织抗原形成免疫联系。神经症状有时可以先于肿瘤被识别，但不同抗体、年龄与综合征的相关强度不同。不能从任何神经抗体阳性直接推断必有肿瘤。</w:t>
      </w:r>
    </w:p>
    <w:p>
      <w:pPr>
        <w:pStyle w:val="BodyText"/>
      </w:pPr>
      <w:r>
        <w:t xml:space="preserve">病因评估中寻找肿瘤的目的，是识别可能持续驱动免疫反应的来源，同时处理肿瘤本身。一次阴性筛查的意义依检查范围与时间而定。是否继续观察和使用何种方式，需要疾病特异风险和临床判断。</w:t>
      </w:r>
    </w:p>
    <w:p>
      <w:pPr>
        <w:pStyle w:val="BodyText"/>
      </w:pPr>
      <w:r>
        <w:t xml:space="preserve">免疫治疗与肿瘤治疗可能承担不同任务。控制免疫损害并不必然清除肿瘤，肿瘤处理成功也不保证所有神经损害立即恢复。结局评估应同时考虑病理驱动、神经功能和患者实际生活。</w:t>
      </w:r>
    </w:p>
    <w:bookmarkEnd w:id="2309"/>
    <w:bookmarkStart w:id="2310" w:name="sec-141-10"/>
    <w:p>
      <w:pPr>
        <w:pStyle w:val="Heading3"/>
      </w:pPr>
      <w:r>
        <w:t xml:space="preserve">141.10　恢复可以跨越多个时间尺度</w:t>
      </w:r>
    </w:p>
    <w:p>
      <w:pPr>
        <w:pStyle w:val="FirstParagraph"/>
      </w:pPr>
      <w:r>
        <w:t xml:space="preserve">Titulaer等观察性队列纳入577名抗NMDA受体脑炎患者，其中501人可评估治疗与结局，显示恢复可能持续多月，治疗时机与后续结局存在关联</w:t>
      </w:r>
      <w:r>
        <w:rPr>
          <w:vertAlign w:val="superscript"/>
        </w:rPr>
        <w:t xml:space="preserve">[</w:t>
      </w:r>
      <w:hyperlink w:anchor="ref-1501">
        <w:r>
          <w:rPr>
            <w:rStyle w:val="Hyperlink"/>
            <w:vertAlign w:val="superscript"/>
          </w:rPr>
          <w:t xml:space="preserve">1501</w:t>
        </w:r>
      </w:hyperlink>
      <w:r>
        <w:rPr>
          <w:vertAlign w:val="superscript"/>
        </w:rPr>
        <w:t xml:space="preserve">]</w:t>
      </w:r>
      <w:r>
        <w:t xml:space="preserve">。观察性治疗比较仍可能受到病情与选择差异影响，不能把所有效应当作随机试验估计。</w:t>
      </w:r>
    </w:p>
    <w:p>
      <w:pPr>
        <w:pStyle w:val="BodyText"/>
      </w:pPr>
      <w:r>
        <w:t xml:space="preserve">能独立行走、能完成日常自理、能恢复学习工作与能承担复杂社会任务，是不同恢复层级。常用整体残障量表未必细致覆盖注意、记忆、疲劳与执行功能。达到某个良好分级，仍可能存在需要支持的困难。</w:t>
      </w:r>
    </w:p>
    <w:p>
      <w:pPr>
        <w:pStyle w:val="BodyText"/>
      </w:pPr>
      <w:r>
        <w:t xml:space="preserve">恢复过程也可以不均匀。运动功能先改善，认知和情绪调节后改善；或者反过来。照护安排需要随目标变化，不能在出院或影像改善后自动认定全部康复结束。复发监测与功能康复也应分别组织。</w:t>
      </w:r>
    </w:p>
    <w:bookmarkEnd w:id="2310"/>
    <w:bookmarkStart w:id="2311" w:name="sec-141-11"/>
    <w:p>
      <w:pPr>
        <w:pStyle w:val="Heading3"/>
      </w:pPr>
      <w:r>
        <w:t xml:space="preserve">141.11　髓鞘损害怎样影响传导</w:t>
      </w:r>
    </w:p>
    <w:p>
      <w:pPr>
        <w:pStyle w:val="FirstParagraph"/>
      </w:pPr>
      <w:r>
        <w:t xml:space="preserve">髓鞘改变轴突膜电流的传播条件，帮助信号有效地跨越较长距离。脱髓鞘后，传导速度、时序一致性和安全余量可以下降。部分轴突仍能传导，却更容易在持续活动或生理条件变化时出现功能障碍。</w:t>
      </w:r>
    </w:p>
    <w:p>
      <w:pPr>
        <w:pStyle w:val="BodyText"/>
      </w:pPr>
      <w:r>
        <w:t xml:space="preserve">这有助于解释症状波动不一定都代表新组织损伤。温度、感染、疲劳和其他压力可能让已有损害的传导能力暂时下降。NICE多发性硬化管理指南要求把复发、感染相关加重、波动和进展分别评估</w:t>
      </w:r>
      <w:r>
        <w:rPr>
          <w:vertAlign w:val="superscript"/>
        </w:rPr>
        <w:t xml:space="preserve">[</w:t>
      </w:r>
      <w:hyperlink w:anchor="ref-1502">
        <w:r>
          <w:rPr>
            <w:rStyle w:val="Hyperlink"/>
            <w:vertAlign w:val="superscript"/>
          </w:rPr>
          <w:t xml:space="preserve">1502</w:t>
        </w:r>
      </w:hyperlink>
      <w:r>
        <w:rPr>
          <w:vertAlign w:val="superscript"/>
        </w:rPr>
        <w:t xml:space="preserve">]</w:t>
      </w:r>
      <w:r>
        <w:t xml:space="preserve">。</w:t>
      </w:r>
    </w:p>
    <w:p>
      <w:pPr>
        <w:pStyle w:val="BodyText"/>
      </w:pPr>
      <w:r>
        <w:t xml:space="preserve">相反，症状暂时减轻也不证明病理完全修复。炎症下降、代偿增加与传导恢复都可能改善表现，但轴突完整性和长期储备仍需其他证据。把功能变化直接换算为髓鞘数量，会遗漏多个中间过程。</w:t>
      </w:r>
    </w:p>
    <w:bookmarkEnd w:id="2311"/>
    <w:bookmarkStart w:id="2312" w:name="sec-141-12"/>
    <w:p>
      <w:pPr>
        <w:pStyle w:val="Heading3"/>
      </w:pPr>
      <w:r>
        <w:t xml:space="preserve">141.12　多发性硬化的空间分布与诊断更新</w:t>
      </w:r>
    </w:p>
    <w:p>
      <w:pPr>
        <w:pStyle w:val="FirstParagraph"/>
      </w:pPr>
      <w:r>
        <w:t xml:space="preserve">多发性硬化诊断需要整合典型临床背景、病灶分布、时间信息和其他证据，并排除更合理的解释。2025年发表的2024版McDonald标准将视神经纳入第五解剖部位，并在特定条件下使用中央静脉征、顺磁环病灶和脑脊液κ游离轻链等支持证据</w:t>
      </w:r>
      <w:r>
        <w:rPr>
          <w:vertAlign w:val="superscript"/>
        </w:rPr>
        <w:t xml:space="preserve">[</w:t>
      </w:r>
      <w:hyperlink w:anchor="ref-1503">
        <w:r>
          <w:rPr>
            <w:rStyle w:val="Hyperlink"/>
            <w:vertAlign w:val="superscript"/>
          </w:rPr>
          <w:t xml:space="preserve">1503</w:t>
        </w:r>
      </w:hyperlink>
      <w:r>
        <w:rPr>
          <w:vertAlign w:val="superscript"/>
        </w:rPr>
        <w:t xml:space="preserve">]</w:t>
      </w:r>
      <w:r>
        <w:t xml:space="preserve">。</w:t>
      </w:r>
    </w:p>
    <w:p>
      <w:pPr>
        <w:pStyle w:val="BodyText"/>
      </w:pPr>
      <w:r>
        <w:t xml:space="preserve">这些更新增加了诊断信息，也增加了准确解释的要求。一个白质高信号可以有多种原因，病灶形态、位置和伴随表现影响判断。不能把MRI报告中的脱髓鞘可能字样，直接等同于已经确诊多发性硬化。</w:t>
      </w:r>
    </w:p>
    <w:p>
      <w:pPr>
        <w:pStyle w:val="BodyText"/>
      </w:pPr>
      <w:r>
        <w:t xml:space="preserve">标准更新中的修订年份与发表年份也应准确区分。更早识别疾病具有潜在价值，同时需要维持特异性，避免把非特异影像或其他疾病过度纳入。具体条款应依据完整标准使用，书中的概括无法替代标准全文。</w:t>
      </w:r>
    </w:p>
    <w:bookmarkEnd w:id="2312"/>
    <w:bookmarkStart w:id="2313" w:name="sec-141-13"/>
    <w:p>
      <w:pPr>
        <w:pStyle w:val="Heading3"/>
      </w:pPr>
      <w:r>
        <w:t xml:space="preserve">141.13　寡克隆带与鞘内免疫活动</w:t>
      </w:r>
    </w:p>
    <w:p>
      <w:pPr>
        <w:pStyle w:val="FirstParagraph"/>
      </w:pPr>
      <w:r>
        <w:t xml:space="preserve">脑脊液中的寡克隆免疫球蛋白模式可以提示中枢相关免疫活动，配对血清有助于判断是否存在局部合成特征。这个信息具有诊断价值，却不专属于一种疾病。感染和其他免疫过程也可能产生相关变化。</w:t>
      </w:r>
    </w:p>
    <w:p>
      <w:pPr>
        <w:pStyle w:val="BodyText"/>
      </w:pPr>
      <w:r>
        <w:t xml:space="preserve">一个指标有较强支持作用，与该指标能够单独确诊，是不同命题。临床需要把它放回症候、影像和病程中。若其他证据不相容，不能让一项阳性结果压倒全部矛盾信息。</w:t>
      </w:r>
    </w:p>
    <w:p>
      <w:pPr>
        <w:pStyle w:val="BodyText"/>
      </w:pPr>
      <w:r>
        <w:t xml:space="preserve">新标志物的价值还取决于增量信息。某指标与已有检测高度重叠，可能方便或更稳定，却未必显著改变诊断准确率；一个提供不同信息的指标，则可能在边界情境中更有帮助。实际价值需要在真实临床路径中评价。</w:t>
      </w:r>
    </w:p>
    <w:bookmarkEnd w:id="2313"/>
    <w:bookmarkStart w:id="2314" w:name="sec-141-14"/>
    <w:p>
      <w:pPr>
        <w:pStyle w:val="Heading3"/>
      </w:pPr>
      <w:r>
        <w:t xml:space="preserve">141.14　复发活动与持续残障累积</w:t>
      </w:r>
    </w:p>
    <w:p>
      <w:pPr>
        <w:pStyle w:val="FirstParagraph"/>
      </w:pPr>
      <w:r>
        <w:t xml:space="preserve">多发性硬化的功能变化可以与明确复发相伴，也可以在没有明显复发关联时逐渐出现。Kappos等对OPERA试验资料的合并分析，在操作性定义下识别了独立于复发活动的残障累积</w:t>
      </w:r>
      <w:r>
        <w:rPr>
          <w:vertAlign w:val="superscript"/>
        </w:rPr>
        <w:t xml:space="preserve">[</w:t>
      </w:r>
      <w:hyperlink w:anchor="ref-1504">
        <w:r>
          <w:rPr>
            <w:rStyle w:val="Hyperlink"/>
            <w:vertAlign w:val="superscript"/>
          </w:rPr>
          <w:t xml:space="preserve">1504</w:t>
        </w:r>
      </w:hyperlink>
      <w:r>
        <w:rPr>
          <w:vertAlign w:val="superscript"/>
        </w:rPr>
        <w:t xml:space="preserve">]</w:t>
      </w:r>
      <w:r>
        <w:t xml:space="preserve">。这说明只计数复发可能漏掉另一部分病程。</w:t>
      </w:r>
    </w:p>
    <w:p>
      <w:pPr>
        <w:pStyle w:val="BodyText"/>
      </w:pPr>
      <w:r>
        <w:t xml:space="preserve">独立于复发是依时间窗和测量形成的分类，不能自动解释为完全没有炎症。隐匿活动、慢性病灶、轴突损害与储备变化等机制仍需要研究。临床分类与生物机制之间可以存在多对多关系。</w:t>
      </w:r>
    </w:p>
    <w:p>
      <w:pPr>
        <w:pStyle w:val="BodyText"/>
      </w:pPr>
      <w:r>
        <w:t xml:space="preserve">治疗评价因此需要同时考虑发作、影像、行走、手部功能、认知和生活参与。某药减少新病灶，不保证立即恢复既有残障；某项康复改善行走，也不必然减少新炎症。不同干预目标可以互补。</w:t>
      </w:r>
    </w:p>
    <w:bookmarkEnd w:id="2314"/>
    <w:bookmarkStart w:id="2315" w:name="sec-141-15"/>
    <w:p>
      <w:pPr>
        <w:pStyle w:val="Heading3"/>
      </w:pPr>
      <w:r>
        <w:t xml:space="preserve">141.15　EB病毒与多发性硬化的因果证据</w:t>
      </w:r>
    </w:p>
    <w:p>
      <w:pPr>
        <w:pStyle w:val="FirstParagraph"/>
      </w:pPr>
      <w:r>
        <w:t xml:space="preserve">Bjornevik等利用大型美国军人队列的连续血清资料，观察到EB病毒血清转换后多发性硬化风险显著增加，神经丝轻链升高出现在感染证据之后；与持续血清阴性者相比，发生血清转换者的危险比约为32</w:t>
      </w:r>
      <w:r>
        <w:rPr>
          <w:vertAlign w:val="superscript"/>
        </w:rPr>
        <w:t xml:space="preserve">[</w:t>
      </w:r>
      <w:hyperlink w:anchor="ref-1505">
        <w:r>
          <w:rPr>
            <w:rStyle w:val="Hyperlink"/>
            <w:vertAlign w:val="superscript"/>
          </w:rPr>
          <w:t xml:space="preserve">1505</w:t>
        </w:r>
      </w:hyperlink>
      <w:r>
        <w:rPr>
          <w:vertAlign w:val="superscript"/>
        </w:rPr>
        <w:t xml:space="preserve">]</w:t>
      </w:r>
      <w:r>
        <w:t xml:space="preserve">。时间顺序和对照病毒比较增强了因果解释，但感染常见与疾病相对少见必须同时记住。</w:t>
      </w:r>
    </w:p>
    <w:p>
      <w:pPr>
        <w:pStyle w:val="BodyText"/>
      </w:pPr>
      <w:r>
        <w:t xml:space="preserve">很大的相对风险不等于感染者大多会患病。绝对风险还取决于原有风险、遗传背景、年龄和其他条件。一个因素可能接近必要环节，同时远不足以单独造成疾病。公众传播若省略分母，会把重要机制发现转化为不准确恐惧。</w:t>
      </w:r>
    </w:p>
    <w:p>
      <w:pPr>
        <w:pStyle w:val="BodyText"/>
      </w:pPr>
      <w:r>
        <w:t xml:space="preserve">这一证据为预防研究提出明确方向，却没有独自证明现有任何抗病毒方案可以预防或治疗多发性硬化。干预感染、改变免疫记忆和治疗已经形成的慢性神经病理，是不同问题，需要各自人体研究。</w:t>
      </w:r>
    </w:p>
    <w:bookmarkEnd w:id="2315"/>
    <w:bookmarkStart w:id="2316" w:name="sec-141-16"/>
    <w:p>
      <w:pPr>
        <w:pStyle w:val="Heading3"/>
      </w:pPr>
      <w:r>
        <w:t xml:space="preserve">141.16　分子模拟提供机制桥梁</w:t>
      </w:r>
    </w:p>
    <w:p>
      <w:pPr>
        <w:pStyle w:val="FirstParagraph"/>
      </w:pPr>
      <w:r>
        <w:t xml:space="preserve">Lanz等从患者相关B细胞和抗体入手，发现针对EB病毒EBNA1与中枢蛋白GlialCAM的交叉反应，并结合结构和动物实验支持分子模拟机制</w:t>
      </w:r>
      <w:r>
        <w:rPr>
          <w:vertAlign w:val="superscript"/>
        </w:rPr>
        <w:t xml:space="preserve">[</w:t>
      </w:r>
      <w:hyperlink w:anchor="ref-1506">
        <w:r>
          <w:rPr>
            <w:rStyle w:val="Hyperlink"/>
            <w:vertAlign w:val="superscript"/>
          </w:rPr>
          <w:t xml:space="preserve">1506</w:t>
        </w:r>
      </w:hyperlink>
      <w:r>
        <w:rPr>
          <w:vertAlign w:val="superscript"/>
        </w:rPr>
        <w:t xml:space="preserve">]</w:t>
      </w:r>
      <w:r>
        <w:t xml:space="preserve">。这把流行病学关联连接到可实验检验的免疫识别路径。</w:t>
      </w:r>
    </w:p>
    <w:p>
      <w:pPr>
        <w:pStyle w:val="BodyText"/>
      </w:pPr>
      <w:r>
        <w:t xml:space="preserve">机制桥梁并不要求所有患者只有同一条路径。感染可能通过多个免疫过程影响风险，宿主背景也可能决定哪种路径更重要。一个精细分子结果需要在不同人群、疾病阶段与组织情境中继续验证。</w:t>
      </w:r>
    </w:p>
    <w:p>
      <w:pPr>
        <w:pStyle w:val="BodyText"/>
      </w:pPr>
      <w:r>
        <w:t xml:space="preserve">治疗靶点选择还必须考虑可达性与时机。阻断早期交叉反应是否能改变已经持续多年的病程，无法从机制起点直接推断。疾病一旦形成，可能出现其他维持因素，因此预防靶点与治疗靶点可以不同。</w:t>
      </w:r>
    </w:p>
    <w:bookmarkEnd w:id="2316"/>
    <w:bookmarkStart w:id="2318" w:name="sec-141-17"/>
    <w:p>
      <w:pPr>
        <w:pStyle w:val="Heading3"/>
      </w:pPr>
      <w:r>
        <w:t xml:space="preserve">141.17　多发性硬化、AQP4抗体相关谱系病与MOG抗体相关疾病</w:t>
      </w:r>
    </w:p>
    <w:p>
      <w:pPr>
        <w:pStyle w:val="FirstParagraph"/>
      </w:pPr>
      <w:r>
        <w:t xml:space="preserve">三类疾病都可能出现视神经或脊髓表现，但它们的免疫靶点、病理组织与病程并不相同。AQP4相关视神经脊髓炎谱系病突出星形胶质细胞相关靶点，MOG抗体相关疾病围绕髓鞘少突胶质细胞糖蛋白及相应综合征，多发性硬化具有另一组诊断与病程特征</w:t>
      </w:r>
      <w:r>
        <w:rPr>
          <w:vertAlign w:val="superscript"/>
        </w:rPr>
        <w:t xml:space="preserve">[</w:t>
      </w:r>
      <w:hyperlink w:anchor="ref-1507">
        <w:r>
          <w:rPr>
            <w:rStyle w:val="Hyperlink"/>
            <w:vertAlign w:val="superscript"/>
          </w:rPr>
          <w:t xml:space="preserve">1507</w:t>
        </w:r>
      </w:hyperlink>
      <w:r>
        <w:rPr>
          <w:vertAlign w:val="superscript"/>
        </w:rPr>
        <w:t xml:space="preserve">,</w:t>
      </w:r>
      <w:hyperlink w:anchor="ref-1508">
        <w:r>
          <w:rPr>
            <w:rStyle w:val="Hyperlink"/>
            <w:vertAlign w:val="superscript"/>
          </w:rPr>
          <w:t xml:space="preserve">1508</w:t>
        </w:r>
      </w:hyperlink>
      <w:r>
        <w:rPr>
          <w:vertAlign w:val="superscript"/>
        </w:rPr>
        <w:t xml:space="preserve">]</w:t>
      </w:r>
      <w:r>
        <w:t xml:space="preserve">。</w:t>
      </w:r>
    </w:p>
    <w:p>
      <w:pPr>
        <w:pStyle w:val="BodyText"/>
      </w:pPr>
      <w:r>
        <w:t xml:space="preserve">相似症状可以来自不同受损环节。视力下降可以涉及视神经炎，也可能有眼部、血管或其他病因；肢体无力和感觉异常也不能只凭存在就确定某种免疫病。解剖定位之后，还需要病因层面的鉴别。</w:t>
      </w:r>
    </w:p>
    <w:p>
      <w:pPr>
        <w:pStyle w:val="TableCaption"/>
      </w:pPr>
      <w:bookmarkStart w:id="2317" w:name="tab-demyelinating"/>
      <w:bookmarkEnd w:id="2317"/>
      <w:r>
        <w:rPr>
          <w:bCs/>
          <w:b/>
        </w:rPr>
        <w:t xml:space="preserve">表 34　多发性硬化、AQP4 抗体相关谱系病与 MOG 抗体相关疾病的比较</w:t>
      </w:r>
    </w:p>
    <w:tbl>
      <w:tblPr>
        <w:tblStyle w:val="Table"/>
        <w:tblW w:type="pct" w:w="5000"/>
        <w:jc w:val="start"/>
        <w:tblLook w:firstRow="1" w:lastRow="0" w:firstColumn="0" w:lastColumn="0" w:noHBand="0" w:noVBand="0" w:val="0020"/>
      </w:tblPr>
      <w:tblGrid>
        <w:gridCol w:w="932"/>
        <w:gridCol w:w="2329"/>
        <w:gridCol w:w="2174"/>
        <w:gridCol w:w="2484"/>
      </w:tblGrid>
      <w:tr>
        <w:trPr>
          <w:tblHeader w:val="true"/>
        </w:trPr>
        <w:tc>
          <w:tcPr>
            <w:shd w:val="clear" w:color="auto" w:fill="1F3A5F"/>
          </w:tcPr>
          <w:p>
            <w:pPr>
              <w:jc w:val="left"/>
            </w:pPr>
            <w:r>
              <w:rPr>
                <w:bCs/>
                <w:b/>
                <w:color w:val="FFFFFF"/>
              </w:rPr>
              <w:t xml:space="preserve">比较维度</w:t>
            </w:r>
          </w:p>
        </w:tc>
        <w:tc>
          <w:tcPr>
            <w:shd w:val="clear" w:color="auto" w:fill="1F3A5F"/>
          </w:tcPr>
          <w:p>
            <w:pPr>
              <w:jc w:val="left"/>
            </w:pPr>
            <w:r>
              <w:rPr>
                <w:bCs/>
                <w:b/>
                <w:color w:val="FFFFFF"/>
              </w:rPr>
              <w:t xml:space="preserve">多发性硬化</w:t>
            </w:r>
          </w:p>
        </w:tc>
        <w:tc>
          <w:tcPr>
            <w:shd w:val="clear" w:color="auto" w:fill="1F3A5F"/>
          </w:tcPr>
          <w:p>
            <w:pPr>
              <w:jc w:val="left"/>
            </w:pPr>
            <w:r>
              <w:rPr>
                <w:bCs/>
                <w:b/>
                <w:color w:val="FFFFFF"/>
              </w:rPr>
              <w:t xml:space="preserve">AQP4抗体相关谱系病</w:t>
            </w:r>
          </w:p>
        </w:tc>
        <w:tc>
          <w:tcPr>
            <w:shd w:val="clear" w:color="auto" w:fill="1F3A5F"/>
          </w:tcPr>
          <w:p>
            <w:pPr>
              <w:jc w:val="left"/>
            </w:pPr>
            <w:r>
              <w:rPr>
                <w:bCs/>
                <w:b/>
                <w:color w:val="FFFFFF"/>
              </w:rPr>
              <w:t xml:space="preserve">MOG抗体相关疾病</w:t>
            </w:r>
          </w:p>
        </w:tc>
      </w:tr>
      <w:tr>
        <w:tc>
          <w:tcPr/>
          <w:p>
            <w:pPr>
              <w:jc w:val="left"/>
            </w:pPr>
            <w:r>
              <w:t xml:space="preserve">识别重点</w:t>
            </w:r>
          </w:p>
        </w:tc>
        <w:tc>
          <w:tcPr/>
          <w:p>
            <w:pPr>
              <w:jc w:val="left"/>
            </w:pPr>
            <w:r>
              <w:t xml:space="preserve">临床影像分布与完整标准</w:t>
            </w:r>
          </w:p>
        </w:tc>
        <w:tc>
          <w:tcPr/>
          <w:p>
            <w:pPr>
              <w:jc w:val="left"/>
            </w:pPr>
            <w:r>
              <w:t xml:space="preserve">相容综合征与AQP4相关证据</w:t>
            </w:r>
          </w:p>
        </w:tc>
        <w:tc>
          <w:tcPr/>
          <w:p>
            <w:pPr>
              <w:jc w:val="left"/>
            </w:pPr>
            <w:r>
              <w:t xml:space="preserve">相容脱髓鞘综合征与可靠MOG检测</w:t>
            </w:r>
          </w:p>
        </w:tc>
      </w:tr>
      <w:tr>
        <w:tc>
          <w:tcPr/>
          <w:p>
            <w:pPr>
              <w:jc w:val="left"/>
            </w:pPr>
            <w:r>
              <w:t xml:space="preserve">机制关注</w:t>
            </w:r>
          </w:p>
        </w:tc>
        <w:tc>
          <w:tcPr/>
          <w:p>
            <w:pPr>
              <w:jc w:val="left"/>
            </w:pPr>
            <w:r>
              <w:t xml:space="preserve">炎症、脱髓鞘、轴突与慢性病程</w:t>
            </w:r>
          </w:p>
        </w:tc>
        <w:tc>
          <w:tcPr/>
          <w:p>
            <w:pPr>
              <w:jc w:val="left"/>
            </w:pPr>
            <w:r>
              <w:t xml:space="preserve">星形胶质细胞靶点及补体等过程</w:t>
            </w:r>
          </w:p>
        </w:tc>
        <w:tc>
          <w:tcPr/>
          <w:p>
            <w:pPr>
              <w:jc w:val="left"/>
            </w:pPr>
            <w:r>
              <w:t xml:space="preserve">MOG相关免疫与髓鞘损害</w:t>
            </w:r>
          </w:p>
        </w:tc>
      </w:tr>
      <w:tr>
        <w:tc>
          <w:tcPr/>
          <w:p>
            <w:pPr>
              <w:jc w:val="left"/>
            </w:pPr>
            <w:r>
              <w:t xml:space="preserve">主要解释陷阱</w:t>
            </w:r>
          </w:p>
        </w:tc>
        <w:tc>
          <w:tcPr/>
          <w:p>
            <w:pPr>
              <w:jc w:val="left"/>
            </w:pPr>
            <w:r>
              <w:t xml:space="preserve">非特异白质病灶被过度归类</w:t>
            </w:r>
          </w:p>
        </w:tc>
        <w:tc>
          <w:tcPr/>
          <w:p>
            <w:pPr>
              <w:jc w:val="left"/>
            </w:pPr>
            <w:r>
              <w:t xml:space="preserve">抗体阴性时忽略更严格条件</w:t>
            </w:r>
          </w:p>
        </w:tc>
        <w:tc>
          <w:tcPr/>
          <w:p>
            <w:pPr>
              <w:jc w:val="left"/>
            </w:pPr>
            <w:r>
              <w:t xml:space="preserve">低滴度阳性脱离临床背景</w:t>
            </w:r>
          </w:p>
        </w:tc>
      </w:tr>
      <w:tr>
        <w:tc>
          <w:tcPr/>
          <w:p>
            <w:pPr>
              <w:jc w:val="left"/>
            </w:pPr>
            <w:r>
              <w:t xml:space="preserve">治疗推理边界</w:t>
            </w:r>
          </w:p>
        </w:tc>
        <w:tc>
          <w:tcPr/>
          <w:p>
            <w:pPr>
              <w:jc w:val="left"/>
            </w:pPr>
            <w:r>
              <w:t xml:space="preserve">减少复发与保护长期功能分别评价</w:t>
            </w:r>
          </w:p>
        </w:tc>
        <w:tc>
          <w:tcPr/>
          <w:p>
            <w:pPr>
              <w:jc w:val="left"/>
            </w:pPr>
            <w:r>
              <w:t xml:space="preserve">避免把其他疾病方案自动平移</w:t>
            </w:r>
          </w:p>
        </w:tc>
        <w:tc>
          <w:tcPr/>
          <w:p>
            <w:pPr>
              <w:jc w:val="left"/>
            </w:pPr>
            <w:r>
              <w:t xml:space="preserve">单相与复发病程需要长期辨别</w:t>
            </w:r>
          </w:p>
        </w:tc>
      </w:tr>
    </w:tbl>
    <w:p>
      <w:pPr>
        <w:pStyle w:val="BodyText"/>
      </w:pPr>
      <w:r>
        <w:t xml:space="preserve">该表用于比较概念，省略了大量具体标准与例外。临床诊断需要完整资料，不能按某一行匹配自行分类。</w:t>
      </w:r>
    </w:p>
    <w:bookmarkEnd w:id="2318"/>
    <w:bookmarkStart w:id="2319" w:name="sec-141-18"/>
    <w:p>
      <w:pPr>
        <w:pStyle w:val="Heading3"/>
      </w:pPr>
      <w:r>
        <w:t xml:space="preserve">141.18　靶向补体的临床例子</w:t>
      </w:r>
    </w:p>
    <w:p>
      <w:pPr>
        <w:pStyle w:val="FirstParagraph"/>
      </w:pPr>
      <w:r>
        <w:t xml:space="preserve">在143名AQP4抗体阳性成人参加的随机试验中，依库珠单抗组96人中3人出现经裁定复发，安慰剂组47人中20人复发，时间至事件危险比为0.06，95%置信区间0.02至0.20；试验未显示残障进展指标的显著组间差异</w:t>
      </w:r>
      <w:r>
        <w:rPr>
          <w:vertAlign w:val="superscript"/>
        </w:rPr>
        <w:t xml:space="preserve">[</w:t>
      </w:r>
      <w:hyperlink w:anchor="ref-1509">
        <w:r>
          <w:rPr>
            <w:rStyle w:val="Hyperlink"/>
            <w:vertAlign w:val="superscript"/>
          </w:rPr>
          <w:t xml:space="preserve">1509</w:t>
        </w:r>
      </w:hyperlink>
      <w:r>
        <w:rPr>
          <w:vertAlign w:val="superscript"/>
        </w:rPr>
        <w:t xml:space="preserve">]</w:t>
      </w:r>
      <w:r>
        <w:t xml:space="preserve">。多数参与者继续原有免疫抑制，结果应保留这一背景。</w:t>
      </w:r>
    </w:p>
    <w:p>
      <w:pPr>
        <w:pStyle w:val="BodyText"/>
      </w:pPr>
      <w:r>
        <w:t xml:space="preserve">减少复发具有临床意义，但与修复已存在损害属于不同目标。事件驱动试验中每个人随访长度不同，不能将粗比例直接当成统一时点风险，再随意计算一个固定治疗人数。治疗选择还需要完整安全性与长期数据。</w:t>
      </w:r>
    </w:p>
    <w:p>
      <w:pPr>
        <w:pStyle w:val="BodyText"/>
      </w:pPr>
      <w:r>
        <w:t xml:space="preserve">补体同时参与感染防御。当前说明明确提示严重脑膜炎奈瑟菌感染风险，接种也不能消除全部风险</w:t>
      </w:r>
      <w:r>
        <w:rPr>
          <w:vertAlign w:val="superscript"/>
        </w:rPr>
        <w:t xml:space="preserve">[</w:t>
      </w:r>
      <w:hyperlink w:anchor="ref-1510">
        <w:r>
          <w:rPr>
            <w:rStyle w:val="Hyperlink"/>
            <w:vertAlign w:val="superscript"/>
          </w:rPr>
          <w:t xml:space="preserve">1510</w:t>
        </w:r>
      </w:hyperlink>
      <w:r>
        <w:rPr>
          <w:vertAlign w:val="superscript"/>
        </w:rPr>
        <w:t xml:space="preserve">]</w:t>
      </w:r>
      <w:r>
        <w:t xml:space="preserve">。这一点直接体现靶向治疗的生理代价：同一个通路可以参与疾病损伤和正常防御，收益与风险需要共同评估。</w:t>
      </w:r>
    </w:p>
    <w:bookmarkEnd w:id="2319"/>
    <w:bookmarkStart w:id="2320" w:name="sec-141-19"/>
    <w:p>
      <w:pPr>
        <w:pStyle w:val="Heading3"/>
      </w:pPr>
      <w:r>
        <w:t xml:space="preserve">141.19　疲劳、认知与日常功能</w:t>
      </w:r>
    </w:p>
    <w:p>
      <w:pPr>
        <w:pStyle w:val="FirstParagraph"/>
      </w:pPr>
      <w:r>
        <w:t xml:space="preserve">神经免疫疾病中的疲劳可能与疾病活动、睡眠、疼痛、药物、情绪、贫血和其他因素有关。把所有疲劳自动归为炎症复发，会漏掉可处理的共存原因；把它全部归为心理，也会忽略疾病负担。NICE管理指南要求进行多因素评估</w:t>
      </w:r>
      <w:r>
        <w:rPr>
          <w:vertAlign w:val="superscript"/>
        </w:rPr>
        <w:t xml:space="preserve">[</w:t>
      </w:r>
      <w:hyperlink w:anchor="ref-1502">
        <w:r>
          <w:rPr>
            <w:rStyle w:val="Hyperlink"/>
            <w:vertAlign w:val="superscript"/>
          </w:rPr>
          <w:t xml:space="preserve">1502</w:t>
        </w:r>
      </w:hyperlink>
      <w:r>
        <w:rPr>
          <w:vertAlign w:val="superscript"/>
        </w:rPr>
        <w:t xml:space="preserve">]</w:t>
      </w:r>
      <w:r>
        <w:t xml:space="preserve">。</w:t>
      </w:r>
    </w:p>
    <w:p>
      <w:pPr>
        <w:pStyle w:val="BodyText"/>
      </w:pPr>
      <w:r>
        <w:t xml:space="preserve">认知困难同样可以由网络损害、处理速度下降、疲劳与睡眠共同影响。一次短时测验表现不能完整代表工作一整天的耐力。康复目标可能包括任务分解、节奏安排、环境适配与具体能力训练，成效应以真实参与和负担评价。</w:t>
      </w:r>
    </w:p>
    <w:p>
      <w:pPr>
        <w:pStyle w:val="BodyText"/>
      </w:pPr>
      <w:r>
        <w:t xml:space="preserve">疾病控制、症状处理和社会支持可以并行。免疫指标稳定并不自动恢复就业环境，功能支持也不能取代必要病因治疗。完整照护需要把这些层次连接起来，并承认患者重视的结局可能与研究者最方便测量的指标不同。</w:t>
      </w:r>
    </w:p>
    <w:bookmarkEnd w:id="2320"/>
    <w:bookmarkStart w:id="2321" w:name="sec-141-20"/>
    <w:p>
      <w:pPr>
        <w:pStyle w:val="Heading3"/>
      </w:pPr>
      <w:r>
        <w:t xml:space="preserve">141.20　假设病例中的证据整合</w:t>
      </w:r>
    </w:p>
    <w:p>
      <w:pPr>
        <w:pStyle w:val="FirstParagraph"/>
      </w:pPr>
      <w:r>
        <w:t xml:space="preserve">假设甲在数周内出现新的记忆困难、行为变化与发作，脑脊液和电生理也有相应异常。这个组合支持认真评估脑炎等病因，但在抗体等针对性检测完成之前，尚不能据此确认特定抗体疾病。感染、代谢、药物和其他神经原因仍需同时考虑。</w:t>
      </w:r>
    </w:p>
    <w:p>
      <w:pPr>
        <w:pStyle w:val="BodyText"/>
      </w:pPr>
      <w:r>
        <w:t xml:space="preserve">假设乙长期疲劳，只有一次低水平抗体阳性，病程与相应综合征明显不符。合理推理应核实检测与其他原因，避免让阳性结果独自决定病因。乙的症状仍然真实，证据不支持某种免疫解释并不减少其获得评估与支持的需要。</w:t>
      </w:r>
    </w:p>
    <w:p>
      <w:pPr>
        <w:pStyle w:val="BodyText"/>
      </w:pPr>
      <w:r>
        <w:t xml:space="preserve">假设丙已确诊脱髓鞘病，发热后旧症状短时加重。新炎症活动、感染相关传导变化与其他原因具有不同可能性，不能由症状加重直接推导必须增加免疫抑制。具体判断依病程、检查和临床评估。</w:t>
      </w:r>
    </w:p>
    <w:p>
      <w:pPr>
        <w:pStyle w:val="BodyText"/>
      </w:pPr>
      <w:r>
        <w:t xml:space="preserve">这些例子说明，神经免疫学同时需要发现可治疗机制与防止过度归因。病因名称、免疫检测和治疗反应只有在彼此相容时，才能形成较可靠的解释。</w:t>
      </w:r>
    </w:p>
    <w:bookmarkEnd w:id="2321"/>
    <w:bookmarkEnd w:id="2322"/>
    <w:bookmarkStart w:id="2350" w:name="ch-142"/>
    <w:p>
      <w:pPr>
        <w:pStyle w:val="Heading2"/>
      </w:pPr>
      <w:r>
        <w:t xml:space="preserve">第142章　癫痫：神经网络失稳与发作性事件</w:t>
      </w:r>
    </w:p>
    <w:p>
      <w:pPr>
        <w:pStyle w:val="FirstParagraph"/>
      </w:pPr>
      <w:r>
        <w:t xml:space="preserve">癫痫研究把分子、细胞、网络和行为连接得十分紧密。一个离子通道变异、局部发育异常或获得性脑损伤，都可能改变网络发生异常事件的概率；发作的外观则取决于受影响的功能和传播路径。</w:t>
      </w:r>
      <w:r>
        <w:rPr>
          <w:bCs/>
          <w:b/>
        </w:rPr>
        <w:t xml:space="preserve">特定脑网络异常能够造成癫痫发作，置信度高；一次抽动、一张异常脑电图或一次意识丧失，都不能独自承担全部诊断。</w:t>
      </w:r>
    </w:p>
    <w:bookmarkStart w:id="2323" w:name="sec-142-1"/>
    <w:p>
      <w:pPr>
        <w:pStyle w:val="Heading3"/>
      </w:pPr>
      <w:r>
        <w:t xml:space="preserve">142.1　发作、疾病与综合征的三个层次</w:t>
      </w:r>
    </w:p>
    <w:p>
      <w:pPr>
        <w:pStyle w:val="FirstParagraph"/>
      </w:pPr>
      <w:r>
        <w:t xml:space="preserve">癫痫发作是一种事件，癫痫描述持久的发作易感性，癫痫综合征则把年龄、发作类型、脑电和其他临床特征组合起来。相同类型的发作可以出现在不同病因中，同一综合征也可能存在遗传异质性。把三个层次混用，会让病因与预后解释变得模糊。</w:t>
      </w:r>
    </w:p>
    <w:p>
      <w:pPr>
        <w:pStyle w:val="BodyText"/>
      </w:pPr>
      <w:r>
        <w:t xml:space="preserve">ILAE2014年实用定义包括相隔超过24小时的两次非诱发或反射性发作，也允许在一次发作后、未来10年再发概率达到规定高风险水平，或确立特定综合征时诊断癫痫</w:t>
      </w:r>
      <w:r>
        <w:rPr>
          <w:vertAlign w:val="superscript"/>
        </w:rPr>
        <w:t xml:space="preserve">[</w:t>
      </w:r>
      <w:hyperlink w:anchor="ref-1511">
        <w:r>
          <w:rPr>
            <w:rStyle w:val="Hyperlink"/>
            <w:vertAlign w:val="superscript"/>
          </w:rPr>
          <w:t xml:space="preserve">1511</w:t>
        </w:r>
      </w:hyperlink>
      <w:r>
        <w:rPr>
          <w:vertAlign w:val="superscript"/>
        </w:rPr>
        <w:t xml:space="preserve">]</w:t>
      </w:r>
      <w:r>
        <w:t xml:space="preserve">。这要求临床风险依据，无法由读者自行估计一个百分比。</w:t>
      </w:r>
    </w:p>
    <w:p>
      <w:pPr>
        <w:pStyle w:val="BodyText"/>
      </w:pPr>
      <w:r>
        <w:t xml:space="preserve">急性代谢紊乱、急性脑损伤或其他近期病理条件中出现的发作，需要结合诱发原因理解。纠正短暂原因后的长期风险，与持久易感性所造成的非诱发发作可能不同。一次事件是否意味着长期疾病，需要看事件发生的背景。</w:t>
      </w:r>
    </w:p>
    <w:bookmarkEnd w:id="2323"/>
    <w:bookmarkStart w:id="2324" w:name="sec-142-2"/>
    <w:p>
      <w:pPr>
        <w:pStyle w:val="Heading3"/>
      </w:pPr>
      <w:r>
        <w:t xml:space="preserve">142.2　发作外观取决于参与的功能</w:t>
      </w:r>
    </w:p>
    <w:p>
      <w:pPr>
        <w:pStyle w:val="FirstParagraph"/>
      </w:pPr>
      <w:r>
        <w:t xml:space="preserve">异常活动涉及运动相关网络时，可以出现强直、阵挛或其他动作；涉及感觉、记忆、情绪、自主神经或语言相关过程时，表现可能以主观体验或功能中断为主。没有明显抽搐不代表不能是发作，有明显抽搐也不自动证明癫痫。</w:t>
      </w:r>
    </w:p>
    <w:p>
      <w:pPr>
        <w:pStyle w:val="BodyText"/>
      </w:pPr>
      <w:r>
        <w:t xml:space="preserve">症状的时间顺序具有定位意义。先出现某种感觉，再有动作或反应变化，提供了网络传播的线索。不过最早被观察到的表现，未必就是异常活动真正开始的位置；某些早期过程可能不可见，或者无法被当事人记住。</w:t>
      </w:r>
    </w:p>
    <w:p>
      <w:pPr>
        <w:pStyle w:val="BodyText"/>
      </w:pPr>
      <w:r>
        <w:t xml:space="preserve">同一人的事件是否重复呈现相近顺序，可以增加某些解释的可信度，但刻板性也不是绝对专属特征。目击描述、视频、发作前后状态和检测需要结合。临床评价关注完整事件，单个动作截图的信息很有限。</w:t>
      </w:r>
    </w:p>
    <w:bookmarkEnd w:id="2324"/>
    <w:bookmarkStart w:id="2325" w:name="sec-142-3"/>
    <w:p>
      <w:pPr>
        <w:pStyle w:val="Heading3"/>
      </w:pPr>
      <w:r>
        <w:t xml:space="preserve">142.3　2025年分类如何组织信息</w:t>
      </w:r>
    </w:p>
    <w:p>
      <w:pPr>
        <w:pStyle w:val="FirstParagraph"/>
      </w:pPr>
      <w:r>
        <w:t xml:space="preserve">ILAE2025年分类保留局灶、全面、未知属于局灶还是全面、以及未分类四个主要类别，并区分分类变量与描述特征。意识作为分类变量时，结合觉察和反应能力进行操作性评估；扩展描述强调症状体征的时间顺序</w:t>
      </w:r>
      <w:r>
        <w:rPr>
          <w:vertAlign w:val="superscript"/>
        </w:rPr>
        <w:t xml:space="preserve">[</w:t>
      </w:r>
      <w:hyperlink w:anchor="ref-1512">
        <w:r>
          <w:rPr>
            <w:rStyle w:val="Hyperlink"/>
            <w:vertAlign w:val="superscript"/>
          </w:rPr>
          <w:t xml:space="preserve">1512</w:t>
        </w:r>
      </w:hyperlink>
      <w:r>
        <w:rPr>
          <w:vertAlign w:val="superscript"/>
        </w:rPr>
        <w:t xml:space="preserve">]</w:t>
      </w:r>
      <w:r>
        <w:t xml:space="preserve">。</w:t>
      </w:r>
    </w:p>
    <w:p>
      <w:pPr>
        <w:pStyle w:val="BodyText"/>
      </w:pPr>
      <w:r>
        <w:t xml:space="preserve">未知类别保留了信息不足的真实状态。它让医生能够记录已有证据，同时避免过早固定病因或网络来源。后续获得可靠视频、脑电或其他信息时，分类可以改变。分类改变不一定代表前一次评估完全错误，也可能反映信息更新。</w:t>
      </w:r>
    </w:p>
    <w:p>
      <w:pPr>
        <w:pStyle w:val="BodyText"/>
      </w:pPr>
      <w:r>
        <w:t xml:space="preserve">这一体系针对临床发作，新生儿发作和仅在电记录中发现的事件另有框架</w:t>
      </w:r>
      <w:r>
        <w:rPr>
          <w:vertAlign w:val="superscript"/>
        </w:rPr>
        <w:t xml:space="preserve">[</w:t>
      </w:r>
      <w:hyperlink w:anchor="ref-1512">
        <w:r>
          <w:rPr>
            <w:rStyle w:val="Hyperlink"/>
            <w:vertAlign w:val="superscript"/>
          </w:rPr>
          <w:t xml:space="preserve">1512</w:t>
        </w:r>
      </w:hyperlink>
      <w:r>
        <w:rPr>
          <w:vertAlign w:val="superscript"/>
        </w:rPr>
        <w:t xml:space="preserve">]</w:t>
      </w:r>
      <w:r>
        <w:t xml:space="preserve">。把所有年龄、所有记录模式强行放进同一套简单表格，会丢失临床上必要的差异。类型名称也不能直接预测药物反应或个人智力。</w:t>
      </w:r>
    </w:p>
    <w:bookmarkEnd w:id="2325"/>
    <w:bookmarkStart w:id="2326" w:name="sec-142-4"/>
    <w:p>
      <w:pPr>
        <w:pStyle w:val="Heading3"/>
      </w:pPr>
      <w:r>
        <w:t xml:space="preserve">142.4　意识受损的评估需要多条信息</w:t>
      </w:r>
    </w:p>
    <w:p>
      <w:pPr>
        <w:pStyle w:val="FirstParagraph"/>
      </w:pPr>
      <w:r>
        <w:t xml:space="preserve">不能回答问题可能来自意识受损，也可能来自语言障碍、运动限制或事件中的其他功能改变。事后没有记忆也可能涉及编码失败。觉察与反应是相互关联的维度，检查时需要了解具体任务要求。</w:t>
      </w:r>
    </w:p>
    <w:p>
      <w:pPr>
        <w:pStyle w:val="BodyText"/>
      </w:pPr>
      <w:r>
        <w:t xml:space="preserve">假设某人发作中无法说话，却能按指令完成非语言动作并在之后回忆事件。这个组合与完全没有反应且缺少事后记忆具有不同含义。实际事件记录若只写不说话，就会遗漏关键区分。</w:t>
      </w:r>
    </w:p>
    <w:p>
      <w:pPr>
        <w:pStyle w:val="BodyText"/>
      </w:pPr>
      <w:r>
        <w:t xml:space="preserve">反过来，出现自动化动作也不保证保有完整情境意识。习惯化动作可以在不同状态下继续发生。分类需要整体评估，不能由某个动作的复杂程度直接推断体验是否完整。意识的更广泛研究见</w:t>
      </w:r>
      <w:hyperlink w:anchor="ch-53">
        <w:r>
          <w:rPr>
            <w:rStyle w:val="Hyperlink"/>
          </w:rPr>
          <w:t xml:space="preserve">第53章</w:t>
        </w:r>
      </w:hyperlink>
      <w:r>
        <w:t xml:space="preserve">和</w:t>
      </w:r>
      <w:hyperlink w:anchor="ch-148">
        <w:r>
          <w:rPr>
            <w:rStyle w:val="Hyperlink"/>
          </w:rPr>
          <w:t xml:space="preserve">第148章</w:t>
        </w:r>
      </w:hyperlink>
      <w:r>
        <w:t xml:space="preserve">。</w:t>
      </w:r>
    </w:p>
    <w:bookmarkEnd w:id="2326"/>
    <w:bookmarkStart w:id="2327" w:name="sec-142-5"/>
    <w:p>
      <w:pPr>
        <w:pStyle w:val="Heading3"/>
      </w:pPr>
      <w:r>
        <w:t xml:space="preserve">142.5　兴奋与抑制是动态关系</w:t>
      </w:r>
    </w:p>
    <w:p>
      <w:pPr>
        <w:pStyle w:val="FirstParagraph"/>
      </w:pPr>
      <w:r>
        <w:t xml:space="preserve">神经元的发放取决于膜电位、离子梯度、受体、突触输入和既往活动。兴奋与抑制失衡是重要机制，但固定的总体比例不足以解释为什么发作在很长时间的相对平稳活动中偶尔突然出现。Staley的机制分析强调发作起始与长期癫痫形成需要分别解释</w:t>
      </w:r>
      <w:r>
        <w:rPr>
          <w:vertAlign w:val="superscript"/>
        </w:rPr>
        <w:t xml:space="preserve">[</w:t>
      </w:r>
      <w:hyperlink w:anchor="ref-1513">
        <w:r>
          <w:rPr>
            <w:rStyle w:val="Hyperlink"/>
            <w:vertAlign w:val="superscript"/>
          </w:rPr>
          <w:t xml:space="preserve">1513</w:t>
        </w:r>
      </w:hyperlink>
      <w:r>
        <w:rPr>
          <w:vertAlign w:val="superscript"/>
        </w:rPr>
        <w:t xml:space="preserve">]</w:t>
      </w:r>
      <w:r>
        <w:t xml:space="preserve">。</w:t>
      </w:r>
    </w:p>
    <w:p>
      <w:pPr>
        <w:pStyle w:val="BodyText"/>
      </w:pPr>
      <w:r>
        <w:t xml:space="preserve">一个网络可以在多数时候稳定，却在输入、离子环境和反馈共同达到某种条件后转入异常状态。此时不能只问兴奋有多少，还要问活动能否自我放大、抑制是否持续有效，以及异常传播能否被阻断。</w:t>
      </w:r>
    </w:p>
    <w:p>
      <w:pPr>
        <w:pStyle w:val="BodyText"/>
      </w:pPr>
      <w:r>
        <w:t xml:space="preserve">同样的平均活动强度可以对应不同的时空组织。如果大量细胞的活动以不合适方式相互强化，系统可能更容易失稳；如果活动分散且反馈有效，平均强度相近也可能保持正常。宏观平均会掩盖这些关键动态。</w:t>
      </w:r>
    </w:p>
    <w:bookmarkEnd w:id="2327"/>
    <w:bookmarkStart w:id="2328" w:name="sec-142-6"/>
    <w:p>
      <w:pPr>
        <w:pStyle w:val="Heading3"/>
      </w:pPr>
      <w:r>
        <w:t xml:space="preserve">142.6　离子梯度与抑制效应的条件</w:t>
      </w:r>
    </w:p>
    <w:p>
      <w:pPr>
        <w:pStyle w:val="FirstParagraph"/>
      </w:pPr>
      <w:r>
        <w:t xml:space="preserve">GABA相关突触作用依赖受体类型、膜电位与离子梯度。对氯离子通透性改变的功能解释，需要考虑细胞内外浓度及当前电位。给细胞贴上抑制性标签，不能保证它在所有网络状态下的最终效应都相同。</w:t>
      </w:r>
    </w:p>
    <w:p>
      <w:pPr>
        <w:pStyle w:val="BodyText"/>
      </w:pPr>
      <w:r>
        <w:t xml:space="preserve">Magloire等在清醒小鼠急性局灶发作模型中，用闭环光遗传方法发现特定中间神经元操纵的效果可随发作时点改变，增加KCC2表达能够阻止其中一种后期促发作作用</w:t>
      </w:r>
      <w:r>
        <w:rPr>
          <w:vertAlign w:val="superscript"/>
        </w:rPr>
        <w:t xml:space="preserve">[</w:t>
      </w:r>
      <w:hyperlink w:anchor="ref-1514">
        <w:r>
          <w:rPr>
            <w:rStyle w:val="Hyperlink"/>
            <w:vertAlign w:val="superscript"/>
          </w:rPr>
          <w:t xml:space="preserve">1514</w:t>
        </w:r>
      </w:hyperlink>
      <w:r>
        <w:rPr>
          <w:vertAlign w:val="superscript"/>
        </w:rPr>
        <w:t xml:space="preserve">]</w:t>
      </w:r>
      <w:r>
        <w:t xml:space="preserve">。这是条件依赖机制证据，不能转化为所有抑制性治疗有害或人类可以直接使用该实验方案的结论。</w:t>
      </w:r>
    </w:p>
    <w:p>
      <w:pPr>
        <w:pStyle w:val="BodyText"/>
      </w:pPr>
      <w:r>
        <w:t xml:space="preserve">这个例子提示治疗机制需要包括时间。发作初始、持续过程与发作间期，可能具有不同的可干预环节。药物作用于同一受体，仍需结合剂量、药代、细胞选择性与病程判断，无法仅从一个实验中的方向推断临床净效益。</w:t>
      </w:r>
    </w:p>
    <w:bookmarkEnd w:id="2328"/>
    <w:bookmarkStart w:id="2329" w:name="sec-142-7"/>
    <w:p>
      <w:pPr>
        <w:pStyle w:val="Heading3"/>
      </w:pPr>
      <w:r>
        <w:t xml:space="preserve">142.7　细胞外环境与胶质支持</w:t>
      </w:r>
    </w:p>
    <w:p>
      <w:pPr>
        <w:pStyle w:val="FirstParagraph"/>
      </w:pPr>
      <w:r>
        <w:t xml:space="preserve">大量放电会改变细胞外离子与代谢环境，离子泵、转运体和胶质调节帮助维持稳定。当活动产生的负荷超过恢复能力时，环境变化可以反过来影响神经元兴奋性，形成反馈。能量供应也会影响维持梯度的能力。</w:t>
      </w:r>
    </w:p>
    <w:p>
      <w:pPr>
        <w:pStyle w:val="BodyText"/>
      </w:pPr>
      <w:r>
        <w:t xml:space="preserve">因此，癫痫机制不能仅限于神经元之间的突触强度。血管、代谢、胶质与屏障过程可以改变系统条件。具体疾病中哪条路径主导，需要独立证据，不能因为这些路径在原则上可能参与，就把某项外周指标升高当作个体发作原因。</w:t>
      </w:r>
    </w:p>
    <w:p>
      <w:pPr>
        <w:pStyle w:val="BodyText"/>
      </w:pPr>
      <w:r>
        <w:t xml:space="preserve">从这个框架可以推导出一个研究问题：如果某种干预改善离子稳态，却没有改变基础放电，是否仍能降低极端活动时失稳的概率。这样的预测比笼统要求降低脑活性更具体，也更能指导机制实验。</w:t>
      </w:r>
    </w:p>
    <w:bookmarkEnd w:id="2329"/>
    <w:bookmarkStart w:id="2330" w:name="sec-142-8"/>
    <w:p>
      <w:pPr>
        <w:pStyle w:val="Heading3"/>
      </w:pPr>
      <w:r>
        <w:t xml:space="preserve">142.8　癫痫形成与发作抑制的区别</w:t>
      </w:r>
    </w:p>
    <w:p>
      <w:pPr>
        <w:pStyle w:val="FirstParagraph"/>
      </w:pPr>
      <w:r>
        <w:t xml:space="preserve">癫痫形成涉及使脑持续容易产生发作的过程。获得性脑损伤之后，炎症、细胞损害、连接重组和稳态调节可能在不同时间参与。发作抑制则关注已经存在易感性时，如何减少事件发生或终止事件。</w:t>
      </w:r>
    </w:p>
    <w:p>
      <w:pPr>
        <w:pStyle w:val="BodyText"/>
      </w:pPr>
      <w:r>
        <w:t xml:space="preserve">某药能够减少服药期间发作，不必然证明它逆转了全部病理易感性。若要声称改变疾病形成，需要研究停药后、长期风险或其他合适指标，并排除只是暂时抑制表现。症状控制具有价值，不需要被包装成根治才能成立。</w:t>
      </w:r>
    </w:p>
    <w:p>
      <w:pPr>
        <w:pStyle w:val="BodyText"/>
      </w:pPr>
      <w:r>
        <w:t xml:space="preserve">反过来，某个药物在动物中改变分子指标，却没有减少临床发作，也不能仅凭机制被认定成功。临床目标需要与研究终点相匹配。疾病修饰、发作控制和保护认知可以分别成为目标，效果不一定同步。</w:t>
      </w:r>
    </w:p>
    <w:bookmarkEnd w:id="2330"/>
    <w:bookmarkStart w:id="2331" w:name="sec-142-9"/>
    <w:p>
      <w:pPr>
        <w:pStyle w:val="Heading3"/>
      </w:pPr>
      <w:r>
        <w:t xml:space="preserve">142.9　遗传病因与体细胞嵌合</w:t>
      </w:r>
    </w:p>
    <w:p>
      <w:pPr>
        <w:pStyle w:val="FirstParagraph"/>
      </w:pPr>
      <w:r>
        <w:t xml:space="preserve">遗传因素可以影响离子通道、受体、突触释放、代谢和发育调节。相同基因的不同变异可能有不同功能后果，功能增强与功能减弱也可能需要不同机制解释。发现一个变异后，需要判断其致病性与表型是否相容。</w:t>
      </w:r>
    </w:p>
    <w:p>
      <w:pPr>
        <w:pStyle w:val="BodyText"/>
      </w:pPr>
      <w:r>
        <w:t xml:space="preserve">部分变异局限于身体的一部分细胞。Lim等在局灶皮层发育不良研究中，通过配对脑组织和血液深度测序发现脑内MTOR体细胞变异，并用动物实验提供因果机制支持</w:t>
      </w:r>
      <w:r>
        <w:rPr>
          <w:vertAlign w:val="superscript"/>
        </w:rPr>
        <w:t xml:space="preserve">[</w:t>
      </w:r>
      <w:hyperlink w:anchor="ref-1515">
        <w:r>
          <w:rPr>
            <w:rStyle w:val="Hyperlink"/>
            <w:vertAlign w:val="superscript"/>
          </w:rPr>
          <w:t xml:space="preserve">1515</w:t>
        </w:r>
      </w:hyperlink>
      <w:r>
        <w:rPr>
          <w:vertAlign w:val="superscript"/>
        </w:rPr>
        <w:t xml:space="preserve">]</w:t>
      </w:r>
      <w:r>
        <w:t xml:space="preserve">。这种情形说明血液检测阴性不能覆盖所有脑内嵌合可能。</w:t>
      </w:r>
    </w:p>
    <w:p>
      <w:pPr>
        <w:pStyle w:val="BodyText"/>
      </w:pPr>
      <w:r>
        <w:t xml:space="preserve">组织局限也会影响检测敏感度。变异细胞比例很低，普通测序深度可能难以识别；取样位置不同也可能影响结果。检测技术的边界需要说明，不能把未发现已知原因改写为完全没有生物原因。</w:t>
      </w:r>
    </w:p>
    <w:bookmarkEnd w:id="2331"/>
    <w:bookmarkStart w:id="2332" w:name="sec-142-10"/>
    <w:p>
      <w:pPr>
        <w:pStyle w:val="Heading3"/>
      </w:pPr>
      <w:r>
        <w:t xml:space="preserve">142.10　遗传检测的临床信息价值</w:t>
      </w:r>
    </w:p>
    <w:p>
      <w:pPr>
        <w:pStyle w:val="FirstParagraph"/>
      </w:pPr>
      <w:r>
        <w:t xml:space="preserve">ILAE遗传检测实践建议强调对具有较高信息概率的情境开展适当检测、咨询与必要再分析</w:t>
      </w:r>
      <w:r>
        <w:rPr>
          <w:vertAlign w:val="superscript"/>
        </w:rPr>
        <w:t xml:space="preserve">[</w:t>
      </w:r>
      <w:hyperlink w:anchor="ref-1516">
        <w:r>
          <w:rPr>
            <w:rStyle w:val="Hyperlink"/>
            <w:vertAlign w:val="superscript"/>
          </w:rPr>
          <w:t xml:space="preserve">1516</w:t>
        </w:r>
      </w:hyperlink>
      <w:r>
        <w:rPr>
          <w:vertAlign w:val="superscript"/>
        </w:rPr>
        <w:t xml:space="preserve">]</w:t>
      </w:r>
      <w:r>
        <w:t xml:space="preserve">。明确分子诊断可能帮助解释病程、识别相关系统问题或指导某些治疗选择，但信息价值依具体疾病而异。</w:t>
      </w:r>
    </w:p>
    <w:p>
      <w:pPr>
        <w:pStyle w:val="BodyText"/>
      </w:pPr>
      <w:r>
        <w:t xml:space="preserve">意义未明变异不能直接当作致病变异使用。家庭分离、功能证据、群体频率与表型一致性都可能影响分类。随着资料积累，分类也可能改变，因此报告日期与证据级别具有实际意义。</w:t>
      </w:r>
    </w:p>
    <w:p>
      <w:pPr>
        <w:pStyle w:val="BodyText"/>
      </w:pPr>
      <w:r>
        <w:t xml:space="preserve">精准治疗的承诺还需要额外验证。知道靶点并不保证已有安全有效药物，细胞实验中的方向也可能在完整脑网络中产生其他影响。对极少数患者开展的尝试，需要透明报告不确定性，不能被宣传成所有遗传性癫痫已有通用解决方案。</w:t>
      </w:r>
    </w:p>
    <w:bookmarkEnd w:id="2332"/>
    <w:bookmarkStart w:id="2333" w:name="sec-142-11"/>
    <w:p>
      <w:pPr>
        <w:pStyle w:val="Heading3"/>
      </w:pPr>
      <w:r>
        <w:t xml:space="preserve">142.11　脑电图记录的是有限采样</w:t>
      </w:r>
    </w:p>
    <w:p>
      <w:pPr>
        <w:pStyle w:val="FirstParagraph"/>
      </w:pPr>
      <w:r>
        <w:t xml:space="preserve">头皮脑电反映大量神经活动经组织传导后的电位差。信号受到来源方向、空间范围、深度、同步程度和噪声影响。它无法直接观察每一个神经元，也无法保证短时记录恰好捕获低频事件。</w:t>
      </w:r>
    </w:p>
    <w:p>
      <w:pPr>
        <w:pStyle w:val="BodyText"/>
      </w:pPr>
      <w:r>
        <w:t xml:space="preserve">NICE指南明确指出，脑电可支持诊断和分类，正常脑电不能用于排除癫痫</w:t>
      </w:r>
      <w:r>
        <w:rPr>
          <w:vertAlign w:val="superscript"/>
        </w:rPr>
        <w:t xml:space="preserve">[</w:t>
      </w:r>
      <w:hyperlink w:anchor="ref-1517">
        <w:r>
          <w:rPr>
            <w:rStyle w:val="Hyperlink"/>
            <w:vertAlign w:val="superscript"/>
          </w:rPr>
          <w:t xml:space="preserve">1517</w:t>
        </w:r>
      </w:hyperlink>
      <w:r>
        <w:rPr>
          <w:vertAlign w:val="superscript"/>
        </w:rPr>
        <w:t xml:space="preserve">]</w:t>
      </w:r>
      <w:r>
        <w:t xml:space="preserve">。这个原则避免把一个有限时间窗口的阴性结果解释成终身没有异常事件的证明。</w:t>
      </w:r>
    </w:p>
    <w:p>
      <w:pPr>
        <w:pStyle w:val="BodyText"/>
      </w:pPr>
      <w:r>
        <w:t xml:space="preserve">异常脑电也需要准确识别。运动、肌电、电极问题与某些正常变异可以造成误读。报告中的非特异慢活动与明确癫痫样放电，具有不同信息价值。临床需要原始记录、可靠判读和事件背景，不能只根据异常两个字确诊。</w:t>
      </w:r>
    </w:p>
    <w:bookmarkEnd w:id="2333"/>
    <w:bookmarkStart w:id="2334" w:name="sec-142-12"/>
    <w:p>
      <w:pPr>
        <w:pStyle w:val="Heading3"/>
      </w:pPr>
      <w:r>
        <w:t xml:space="preserve">142.12　头皮记录与颅内记录的差异</w:t>
      </w:r>
    </w:p>
    <w:p>
      <w:pPr>
        <w:pStyle w:val="FirstParagraph"/>
      </w:pPr>
      <w:r>
        <w:t xml:space="preserve">Casale等在27名接受手术评估的药物难治患者中同步记录头皮与立体脑电，发现部分局灶保留觉察或亚临床发作在头皮上不易检出</w:t>
      </w:r>
      <w:r>
        <w:rPr>
          <w:vertAlign w:val="superscript"/>
        </w:rPr>
        <w:t xml:space="preserve">[</w:t>
      </w:r>
      <w:hyperlink w:anchor="ref-1518">
        <w:r>
          <w:rPr>
            <w:rStyle w:val="Hyperlink"/>
            <w:vertAlign w:val="superscript"/>
          </w:rPr>
          <w:t xml:space="preserve">1518</w:t>
        </w:r>
      </w:hyperlink>
      <w:r>
        <w:rPr>
          <w:vertAlign w:val="superscript"/>
        </w:rPr>
        <w:t xml:space="preserve">]</w:t>
      </w:r>
      <w:r>
        <w:t xml:space="preserve">。这一选定样本支持测量敏感度依事件类型变化，不能把具体检出比例直接推广到所有门诊患者。</w:t>
      </w:r>
    </w:p>
    <w:p>
      <w:pPr>
        <w:pStyle w:val="BodyText"/>
      </w:pPr>
      <w:r>
        <w:t xml:space="preserve">颅内电极更接近局部来源，但它同样只采样有限位置。一个没有覆盖的区域仍可能发生重要活动。因此更侵入的检测不等于全脑无遗漏，电极安排需要明确假设与综合定位。</w:t>
      </w:r>
    </w:p>
    <w:p>
      <w:pPr>
        <w:pStyle w:val="BodyText"/>
      </w:pPr>
      <w:r>
        <w:t xml:space="preserve">检测之间的不一致有时能提供信息。临床表现提示某网络参与，头皮记录却不明显，可能与来源范围或深度有关，也可能提示其他事件类型。应将这种不一致作为进一步推理的起点，不能自动选择自己更喜欢的一个结果。</w:t>
      </w:r>
    </w:p>
    <w:bookmarkEnd w:id="2334"/>
    <w:bookmarkStart w:id="2336" w:name="sec-142-13"/>
    <w:p>
      <w:pPr>
        <w:pStyle w:val="Heading3"/>
      </w:pPr>
      <w:r>
        <w:t xml:space="preserve">142.13　发作性事件的证据对照</w:t>
      </w:r>
    </w:p>
    <w:p>
      <w:pPr>
        <w:pStyle w:val="TableCaption"/>
      </w:pPr>
      <w:bookmarkStart w:id="2335" w:name="tab-seizure-record"/>
      <w:bookmarkEnd w:id="2335"/>
      <w:r>
        <w:rPr>
          <w:bCs/>
          <w:b/>
        </w:rPr>
        <w:t xml:space="preserve">表 35　发作性事件的记录内容与证据价值</w:t>
      </w:r>
    </w:p>
    <w:tbl>
      <w:tblPr>
        <w:tblStyle w:val="Table"/>
        <w:tblW w:type="pct" w:w="5000"/>
        <w:jc w:val="start"/>
        <w:tblLook w:firstRow="1" w:lastRow="0" w:firstColumn="0" w:lastColumn="0" w:noHBand="0" w:noVBand="0" w:val="0020"/>
      </w:tblPr>
      <w:tblGrid>
        <w:gridCol w:w="1980"/>
        <w:gridCol w:w="2772"/>
        <w:gridCol w:w="3167"/>
      </w:tblGrid>
      <w:tr>
        <w:trPr>
          <w:tblHeader w:val="true"/>
        </w:trPr>
        <w:tc>
          <w:tcPr>
            <w:shd w:val="clear" w:color="auto" w:fill="1F3A5F"/>
          </w:tcPr>
          <w:p>
            <w:pPr>
              <w:jc w:val="left"/>
            </w:pPr>
            <w:r>
              <w:rPr>
                <w:bCs/>
                <w:b/>
                <w:color w:val="FFFFFF"/>
              </w:rPr>
              <w:t xml:space="preserve">记录内容</w:t>
            </w:r>
          </w:p>
        </w:tc>
        <w:tc>
          <w:tcPr>
            <w:shd w:val="clear" w:color="auto" w:fill="1F3A5F"/>
          </w:tcPr>
          <w:p>
            <w:pPr>
              <w:jc w:val="left"/>
            </w:pPr>
            <w:r>
              <w:rPr>
                <w:bCs/>
                <w:b/>
                <w:color w:val="FFFFFF"/>
              </w:rPr>
              <w:t xml:space="preserve">可以增加的信息</w:t>
            </w:r>
          </w:p>
        </w:tc>
        <w:tc>
          <w:tcPr>
            <w:shd w:val="clear" w:color="auto" w:fill="1F3A5F"/>
          </w:tcPr>
          <w:p>
            <w:pPr>
              <w:jc w:val="left"/>
            </w:pPr>
            <w:r>
              <w:rPr>
                <w:bCs/>
                <w:b/>
                <w:color w:val="FFFFFF"/>
              </w:rPr>
              <w:t xml:space="preserve">保留的限制</w:t>
            </w:r>
          </w:p>
        </w:tc>
      </w:tr>
      <w:tr>
        <w:tc>
          <w:tcPr/>
          <w:p>
            <w:pPr>
              <w:jc w:val="left"/>
            </w:pPr>
            <w:r>
              <w:t xml:space="preserve">发作前背景与身体感受</w:t>
            </w:r>
          </w:p>
        </w:tc>
        <w:tc>
          <w:tcPr/>
          <w:p>
            <w:pPr>
              <w:jc w:val="left"/>
            </w:pPr>
            <w:r>
              <w:t xml:space="preserve">提供诱发条件和可能机制线索</w:t>
            </w:r>
          </w:p>
        </w:tc>
        <w:tc>
          <w:tcPr/>
          <w:p>
            <w:pPr>
              <w:jc w:val="left"/>
            </w:pPr>
            <w:r>
              <w:t xml:space="preserve">单个前兆不专属于一种疾病</w:t>
            </w:r>
          </w:p>
        </w:tc>
      </w:tr>
      <w:tr>
        <w:tc>
          <w:tcPr/>
          <w:p>
            <w:pPr>
              <w:jc w:val="left"/>
            </w:pPr>
            <w:r>
              <w:t xml:space="preserve">症状体征时间顺序</w:t>
            </w:r>
          </w:p>
        </w:tc>
        <w:tc>
          <w:tcPr/>
          <w:p>
            <w:pPr>
              <w:jc w:val="left"/>
            </w:pPr>
            <w:r>
              <w:t xml:space="preserve">帮助描述功能受累和传播</w:t>
            </w:r>
          </w:p>
        </w:tc>
        <w:tc>
          <w:tcPr/>
          <w:p>
            <w:pPr>
              <w:jc w:val="left"/>
            </w:pPr>
            <w:r>
              <w:t xml:space="preserve">最早可见表现未必是真正起点</w:t>
            </w:r>
          </w:p>
        </w:tc>
      </w:tr>
      <w:tr>
        <w:tc>
          <w:tcPr/>
          <w:p>
            <w:pPr>
              <w:jc w:val="left"/>
            </w:pPr>
            <w:r>
              <w:t xml:space="preserve">发作后恢复过程</w:t>
            </w:r>
          </w:p>
        </w:tc>
        <w:tc>
          <w:tcPr/>
          <w:p>
            <w:pPr>
              <w:jc w:val="left"/>
            </w:pPr>
            <w:r>
              <w:t xml:space="preserve">提供状态持续与功能影响信息</w:t>
            </w:r>
          </w:p>
        </w:tc>
        <w:tc>
          <w:tcPr/>
          <w:p>
            <w:pPr>
              <w:jc w:val="left"/>
            </w:pPr>
            <w:r>
              <w:t xml:space="preserve">药物、原发疾病和其他因素也可参与</w:t>
            </w:r>
          </w:p>
        </w:tc>
      </w:tr>
      <w:tr>
        <w:tc>
          <w:tcPr/>
          <w:p>
            <w:pPr>
              <w:jc w:val="left"/>
            </w:pPr>
            <w:r>
              <w:t xml:space="preserve">心电记录</w:t>
            </w:r>
          </w:p>
        </w:tc>
        <w:tc>
          <w:tcPr/>
          <w:p>
            <w:pPr>
              <w:jc w:val="left"/>
            </w:pPr>
            <w:r>
              <w:t xml:space="preserve">寻找心源性事件的相关线索</w:t>
            </w:r>
          </w:p>
        </w:tc>
        <w:tc>
          <w:tcPr/>
          <w:p>
            <w:pPr>
              <w:jc w:val="left"/>
            </w:pPr>
            <w:r>
              <w:t xml:space="preserve">短时阴性不能排除所有间歇异常</w:t>
            </w:r>
          </w:p>
        </w:tc>
      </w:tr>
      <w:tr>
        <w:tc>
          <w:tcPr/>
          <w:p>
            <w:pPr>
              <w:jc w:val="left"/>
            </w:pPr>
            <w:r>
              <w:t xml:space="preserve">常规脑电</w:t>
            </w:r>
          </w:p>
        </w:tc>
        <w:tc>
          <w:tcPr/>
          <w:p>
            <w:pPr>
              <w:jc w:val="left"/>
            </w:pPr>
            <w:r>
              <w:t xml:space="preserve">支持癫痫及综合征分类</w:t>
            </w:r>
          </w:p>
        </w:tc>
        <w:tc>
          <w:tcPr/>
          <w:p>
            <w:pPr>
              <w:jc w:val="left"/>
            </w:pPr>
            <w:r>
              <w:t xml:space="preserve">正常记录不能排除癫痫</w:t>
            </w:r>
          </w:p>
        </w:tc>
      </w:tr>
      <w:tr>
        <w:tc>
          <w:tcPr/>
          <w:p>
            <w:pPr>
              <w:jc w:val="left"/>
            </w:pPr>
            <w:r>
              <w:t xml:space="preserve">典型事件的视频脑电</w:t>
            </w:r>
          </w:p>
        </w:tc>
        <w:tc>
          <w:tcPr/>
          <w:p>
            <w:pPr>
              <w:jc w:val="left"/>
            </w:pPr>
            <w:r>
              <w:t xml:space="preserve">将行为与电活动在时间上对应</w:t>
            </w:r>
          </w:p>
        </w:tc>
        <w:tc>
          <w:tcPr/>
          <w:p>
            <w:pPr>
              <w:jc w:val="left"/>
            </w:pPr>
            <w:r>
              <w:t xml:space="preserve">头皮敏感度和典型事件确认很重要</w:t>
            </w:r>
          </w:p>
        </w:tc>
      </w:tr>
      <w:tr>
        <w:tc>
          <w:tcPr/>
          <w:p>
            <w:pPr>
              <w:jc w:val="left"/>
            </w:pPr>
            <w:r>
              <w:t xml:space="preserve">结构影像</w:t>
            </w:r>
          </w:p>
        </w:tc>
        <w:tc>
          <w:tcPr/>
          <w:p>
            <w:pPr>
              <w:jc w:val="left"/>
            </w:pPr>
            <w:r>
              <w:t xml:space="preserve">寻找可能病灶与其他原因</w:t>
            </w:r>
          </w:p>
        </w:tc>
        <w:tc>
          <w:tcPr/>
          <w:p>
            <w:pPr>
              <w:jc w:val="left"/>
            </w:pPr>
            <w:r>
              <w:t xml:space="preserve">可见异常不必然就是事件来源</w:t>
            </w:r>
          </w:p>
        </w:tc>
      </w:tr>
      <w:tr>
        <w:tc>
          <w:tcPr/>
          <w:p>
            <w:pPr>
              <w:jc w:val="left"/>
            </w:pPr>
            <w:r>
              <w:t xml:space="preserve">遗传检测</w:t>
            </w:r>
          </w:p>
        </w:tc>
        <w:tc>
          <w:tcPr/>
          <w:p>
            <w:pPr>
              <w:jc w:val="left"/>
            </w:pPr>
            <w:r>
              <w:t xml:space="preserve">在适当背景下帮助识别分子原因</w:t>
            </w:r>
          </w:p>
        </w:tc>
        <w:tc>
          <w:tcPr/>
          <w:p>
            <w:pPr>
              <w:jc w:val="left"/>
            </w:pPr>
            <w:r>
              <w:t xml:space="preserve">意义未明变异不能直接确诊</w:t>
            </w:r>
          </w:p>
        </w:tc>
      </w:tr>
    </w:tbl>
    <w:p>
      <w:pPr>
        <w:pStyle w:val="BodyText"/>
      </w:pPr>
      <w:r>
        <w:t xml:space="preserve">这些信息需要相互校验，表格没有把任何一项观察设为个人诊断规则</w:t>
      </w:r>
      <w:r>
        <w:rPr>
          <w:vertAlign w:val="superscript"/>
        </w:rPr>
        <w:t xml:space="preserve">[</w:t>
      </w:r>
      <w:hyperlink w:anchor="ref-1441">
        <w:r>
          <w:rPr>
            <w:rStyle w:val="Hyperlink"/>
            <w:vertAlign w:val="superscript"/>
          </w:rPr>
          <w:t xml:space="preserve">1441</w:t>
        </w:r>
      </w:hyperlink>
      <w:r>
        <w:rPr>
          <w:vertAlign w:val="superscript"/>
        </w:rPr>
        <w:t xml:space="preserve">,</w:t>
      </w:r>
      <w:hyperlink w:anchor="ref-1516">
        <w:r>
          <w:rPr>
            <w:rStyle w:val="Hyperlink"/>
            <w:vertAlign w:val="superscript"/>
          </w:rPr>
          <w:t xml:space="preserve">1516</w:t>
        </w:r>
      </w:hyperlink>
      <w:r>
        <w:rPr>
          <w:vertAlign w:val="superscript"/>
        </w:rPr>
        <w:t xml:space="preserve">,</w:t>
      </w:r>
      <w:hyperlink w:anchor="ref-1517">
        <w:r>
          <w:rPr>
            <w:rStyle w:val="Hyperlink"/>
            <w:vertAlign w:val="superscript"/>
          </w:rPr>
          <w:t xml:space="preserve">1517</w:t>
        </w:r>
      </w:hyperlink>
      <w:r>
        <w:rPr>
          <w:vertAlign w:val="superscript"/>
        </w:rPr>
        <w:t xml:space="preserve">,</w:t>
      </w:r>
      <w:hyperlink w:anchor="ref-1518">
        <w:r>
          <w:rPr>
            <w:rStyle w:val="Hyperlink"/>
            <w:vertAlign w:val="superscript"/>
          </w:rPr>
          <w:t xml:space="preserve">1518</w:t>
        </w:r>
      </w:hyperlink>
      <w:r>
        <w:rPr>
          <w:vertAlign w:val="superscript"/>
        </w:rPr>
        <w:t xml:space="preserve">]</w:t>
      </w:r>
      <w:r>
        <w:t xml:space="preserve">。</w:t>
      </w:r>
    </w:p>
    <w:bookmarkEnd w:id="2336"/>
    <w:bookmarkStart w:id="2337" w:name="sec-142-14"/>
    <w:p>
      <w:pPr>
        <w:pStyle w:val="Heading3"/>
      </w:pPr>
      <w:r>
        <w:t xml:space="preserve">142.14　首次发作后的风险解释</w:t>
      </w:r>
    </w:p>
    <w:p>
      <w:pPr>
        <w:pStyle w:val="FirstParagraph"/>
      </w:pPr>
      <w:r>
        <w:t xml:space="preserve">2025年ILAE与国际临床神经生理联合会的联合报告汇总22项研究、4847人，支持首次非诱发发作后的发作间期癫痫样放电与再发风险升高相关（合并比值比2.32，95%置信区间1.69至3.17）；研究之间的随访时长和年龄结构存在差异</w:t>
      </w:r>
      <w:r>
        <w:rPr>
          <w:vertAlign w:val="superscript"/>
        </w:rPr>
        <w:t xml:space="preserve">[</w:t>
      </w:r>
      <w:hyperlink w:anchor="ref-1519">
        <w:r>
          <w:rPr>
            <w:rStyle w:val="Hyperlink"/>
            <w:vertAlign w:val="superscript"/>
          </w:rPr>
          <w:t xml:space="preserve">1519</w:t>
        </w:r>
      </w:hyperlink>
      <w:r>
        <w:rPr>
          <w:vertAlign w:val="superscript"/>
        </w:rPr>
        <w:t xml:space="preserve">]</w:t>
      </w:r>
      <w:r>
        <w:t xml:space="preserve">。因此，这一合并比值比不能直接换算成每个个体未来10年的固定再发风险。</w:t>
      </w:r>
    </w:p>
    <w:p>
      <w:pPr>
        <w:pStyle w:val="BodyText"/>
      </w:pPr>
      <w:r>
        <w:t xml:space="preserve">结构异常、既往脑损伤、睡眠中的事件和其他临床因素，也会影响解释。多项因素同时存在时，不能简单把各自风险比相加。个人风险估计需要与研究人群和测量条件相匹配。</w:t>
      </w:r>
    </w:p>
    <w:p>
      <w:pPr>
        <w:pStyle w:val="BodyText"/>
      </w:pPr>
      <w:r>
        <w:t xml:space="preserve">AAN与AES关于成人首次非诱发发作的指南区分短期再发控制和长期持续缓解：立即用药可以降低近期再发，却未因此证明改善长期持续缓解概率</w:t>
      </w:r>
      <w:r>
        <w:rPr>
          <w:vertAlign w:val="superscript"/>
        </w:rPr>
        <w:t xml:space="preserve">[</w:t>
      </w:r>
      <w:hyperlink w:anchor="ref-1520">
        <w:r>
          <w:rPr>
            <w:rStyle w:val="Hyperlink"/>
            <w:vertAlign w:val="superscript"/>
          </w:rPr>
          <w:t xml:space="preserve">1520</w:t>
        </w:r>
      </w:hyperlink>
      <w:r>
        <w:rPr>
          <w:vertAlign w:val="superscript"/>
        </w:rPr>
        <w:t xml:space="preserve">]</w:t>
      </w:r>
      <w:r>
        <w:t xml:space="preserve">。这使决策能够围绕实际目标、风险和偏好展开，避免用一个有效无效标签覆盖全部问题。</w:t>
      </w:r>
    </w:p>
    <w:bookmarkEnd w:id="2337"/>
    <w:bookmarkStart w:id="2338" w:name="sec-142-15"/>
    <w:p>
      <w:pPr>
        <w:pStyle w:val="Heading3"/>
      </w:pPr>
      <w:r>
        <w:t xml:space="preserve">142.15　晕厥与发作的外观重叠</w:t>
      </w:r>
    </w:p>
    <w:p>
      <w:pPr>
        <w:pStyle w:val="FirstParagraph"/>
      </w:pPr>
      <w:r>
        <w:t xml:space="preserve">短暂脑灌注不足可以造成意识丧失，有时伴随短暂肢体动作。看见抽动不能自动排除晕厥。事件发生前的环境、身体感受、姿势、恢复过程和心脏相关信息，可能改变鉴别方向。</w:t>
      </w:r>
    </w:p>
    <w:p>
      <w:pPr>
        <w:pStyle w:val="BodyText"/>
      </w:pPr>
      <w:r>
        <w:t xml:space="preserve">NICE在首次疑似发作评估中包含心电图，以帮助识别可能模仿癫痫的心源性情况</w:t>
      </w:r>
      <w:r>
        <w:rPr>
          <w:vertAlign w:val="superscript"/>
        </w:rPr>
        <w:t xml:space="preserve">[</w:t>
      </w:r>
      <w:hyperlink w:anchor="ref-1517">
        <w:r>
          <w:rPr>
            <w:rStyle w:val="Hyperlink"/>
            <w:vertAlign w:val="superscript"/>
          </w:rPr>
          <w:t xml:space="preserve">1517</w:t>
        </w:r>
      </w:hyperlink>
      <w:r>
        <w:rPr>
          <w:vertAlign w:val="superscript"/>
        </w:rPr>
        <w:t xml:space="preserve">]</w:t>
      </w:r>
      <w:r>
        <w:t xml:space="preserve">。这体现了鉴别诊断的目的：相似行为可以由不同生理过程产生，正确识别会影响后续路径。</w:t>
      </w:r>
    </w:p>
    <w:p>
      <w:pPr>
        <w:pStyle w:val="BodyText"/>
      </w:pPr>
      <w:r>
        <w:t xml:space="preserve">单个传统线索往往没有完全区分力。例如，某种受伤或失禁可以在不同事件中出现，缺少某线索也不能一概排除。本书不给出仅凭一个表现就确诊的口诀，重点在完整事件与多源证据的一致性。</w:t>
      </w:r>
    </w:p>
    <w:bookmarkEnd w:id="2338"/>
    <w:bookmarkStart w:id="2339" w:name="sec-142-16"/>
    <w:p>
      <w:pPr>
        <w:pStyle w:val="Heading3"/>
      </w:pPr>
      <w:r>
        <w:t xml:space="preserve">142.16　功能性发作与癫痫需要分别识别</w:t>
      </w:r>
    </w:p>
    <w:p>
      <w:pPr>
        <w:pStyle w:val="FirstParagraph"/>
      </w:pPr>
      <w:r>
        <w:t xml:space="preserve">功能性发作具有真实症状和功能负担，其机制与癫痫性放电不同。ILAE提出分层诊断确定度，结合病史、目击、典型事件和视频脑电等资料</w:t>
      </w:r>
      <w:r>
        <w:rPr>
          <w:vertAlign w:val="superscript"/>
        </w:rPr>
        <w:t xml:space="preserve">[</w:t>
      </w:r>
      <w:hyperlink w:anchor="ref-1441">
        <w:r>
          <w:rPr>
            <w:rStyle w:val="Hyperlink"/>
            <w:vertAlign w:val="superscript"/>
          </w:rPr>
          <w:t xml:space="preserve">1441</w:t>
        </w:r>
      </w:hyperlink>
      <w:r>
        <w:rPr>
          <w:vertAlign w:val="superscript"/>
        </w:rPr>
        <w:t xml:space="preserve">]</w:t>
      </w:r>
      <w:r>
        <w:t xml:space="preserve">。正常常规脑电本身并不能完成这一诊断。</w:t>
      </w:r>
    </w:p>
    <w:p>
      <w:pPr>
        <w:pStyle w:val="BodyText"/>
      </w:pPr>
      <w:r>
        <w:t xml:space="preserve">一个人也可能存在不止一种事件类型。记录到某次功能性发作，不能自动说明其所有既往事件都相同；确诊癫痫，也不能要求之后每次症状都必须由癫痫解释。对不同典型事件分别描述，有助于减少错误治疗。</w:t>
      </w:r>
    </w:p>
    <w:p>
      <w:pPr>
        <w:pStyle w:val="BodyText"/>
      </w:pPr>
      <w:r>
        <w:t xml:space="preserve">症状是否由癫痫性放电引起，与当事人是否故意制造症状属于不同问题。前者的阴性证据不能直接证明后者。沟通应清楚说明已经获得什么证据，以及下一步支持针对什么功能问题，避免把诊断变成道德判断。</w:t>
      </w:r>
    </w:p>
    <w:bookmarkEnd w:id="2339"/>
    <w:bookmarkStart w:id="2340" w:name="sec-142-17"/>
    <w:p>
      <w:pPr>
        <w:pStyle w:val="Heading3"/>
      </w:pPr>
      <w:r>
        <w:t xml:space="preserve">142.17　抗发作药物的作用目标</w:t>
      </w:r>
    </w:p>
    <w:p>
      <w:pPr>
        <w:pStyle w:val="FirstParagraph"/>
      </w:pPr>
      <w:r>
        <w:t xml:space="preserve">不同药物可以影响电压门控通道、突触释放、受体或其他环节。选择需要结合发作类型、综合征、共病、药物相互作用和生殖相关背景。作用机制分类提供理解框架，无法单独决定某个人最合适的方案。</w:t>
      </w:r>
    </w:p>
    <w:p>
      <w:pPr>
        <w:pStyle w:val="BodyText"/>
      </w:pPr>
      <w:r>
        <w:t xml:space="preserve">评价药物时，应同时看发作控制、认知情绪、嗜睡、平衡与生活功能。发作减少具有价值，但若副作用显著影响日常生活，整体净收益仍需重新评估。不同患者对这些结局的优先级可能不同。</w:t>
      </w:r>
    </w:p>
    <w:p>
      <w:pPr>
        <w:pStyle w:val="BodyText"/>
      </w:pPr>
      <w:r>
        <w:t xml:space="preserve">药物效果还受实际暴露影响。吸收、代谢、合用药物和服用模式可能改变血药浓度，某些浓度监测能够帮助解释问题，但浓度位于参考范围并不保证个人必然有效或无不良影响。参考范围需要结合实际临床结果。</w:t>
      </w:r>
    </w:p>
    <w:bookmarkEnd w:id="2340"/>
    <w:bookmarkStart w:id="2341" w:name="sec-142-18"/>
    <w:p>
      <w:pPr>
        <w:pStyle w:val="Heading3"/>
      </w:pPr>
      <w:r>
        <w:t xml:space="preserve">142.18　药物难治需要准确命名</w:t>
      </w:r>
    </w:p>
    <w:p>
      <w:pPr>
        <w:pStyle w:val="FirstParagraph"/>
      </w:pPr>
      <w:r>
        <w:t xml:space="preserve">ILAE共识把药物难治性定义为两种耐受、选择合适且充分使用的方案仍未获得持续无发作</w:t>
      </w:r>
      <w:r>
        <w:rPr>
          <w:vertAlign w:val="superscript"/>
        </w:rPr>
        <w:t xml:space="preserve">[</w:t>
      </w:r>
      <w:hyperlink w:anchor="ref-1521">
        <w:r>
          <w:rPr>
            <w:rStyle w:val="Hyperlink"/>
            <w:vertAlign w:val="superscript"/>
          </w:rPr>
          <w:t xml:space="preserve">1521</w:t>
        </w:r>
      </w:hyperlink>
      <w:r>
        <w:rPr>
          <w:vertAlign w:val="superscript"/>
        </w:rPr>
        <w:t xml:space="preserve">]</w:t>
      </w:r>
      <w:r>
        <w:t xml:space="preserve">。随便尝试两种药、因不耐受短期停用或实际事件类型判断有误，不一定符合该定义。</w:t>
      </w:r>
    </w:p>
    <w:p>
      <w:pPr>
        <w:pStyle w:val="BodyText"/>
      </w:pPr>
      <w:r>
        <w:t xml:space="preserve">准确识别难治性可以推动进一步评估。它不意味着已经没有任何帮助，也不意味着所有人都应该接受相同手术。需要重新确认事件、综合征、病因、既往用药充分性和可能的非药物方案。</w:t>
      </w:r>
    </w:p>
    <w:p>
      <w:pPr>
        <w:pStyle w:val="BodyText"/>
      </w:pPr>
      <w:r>
        <w:t xml:space="preserve">持续重复没有明确依据的相似尝试，可能延迟合适的专科评价。另一方面，转诊评价的价值包括重新诊断和讨论选择，不能把转诊等同于一定手术。评估本身能够澄清可行性与风险。</w:t>
      </w:r>
    </w:p>
    <w:bookmarkEnd w:id="2341"/>
    <w:bookmarkStart w:id="2342" w:name="sec-142-19"/>
    <w:p>
      <w:pPr>
        <w:pStyle w:val="Heading3"/>
      </w:pPr>
      <w:r>
        <w:t xml:space="preserve">142.19　手术寻找的是可干预的网络</w:t>
      </w:r>
    </w:p>
    <w:p>
      <w:pPr>
        <w:pStyle w:val="FirstParagraph"/>
      </w:pPr>
      <w:r>
        <w:t xml:space="preserve">手术评估要区分可见病灶、发作起始记录区、症状产生网络以及维持正常功能的重要区域。这些范围可以重叠，也可以不一致。MRI上的异常不一定全部需要切除，最早记录到活动的位置也未必包含全部致病网络。</w:t>
      </w:r>
    </w:p>
    <w:p>
      <w:pPr>
        <w:pStyle w:val="BodyText"/>
      </w:pPr>
      <w:r>
        <w:t xml:space="preserve">语言、记忆、运动与视觉风险需要纳入定位。某区域参与异常事件，同时也承担重要功能，治疗就必须权衡发作收益与功能代价。术前测验和功能定位帮助估计风险，但不能消除所有不确定性。</w:t>
      </w:r>
    </w:p>
    <w:p>
      <w:pPr>
        <w:pStyle w:val="BodyText"/>
      </w:pPr>
      <w:r>
        <w:t xml:space="preserve">Wiebe等的经典随机研究在80名经筛选的颞叶癫痫患者中，比较手术与继续药物，一年时无损害觉察发作的累计比例为58%和8%，手术组也有不良影响</w:t>
      </w:r>
      <w:r>
        <w:rPr>
          <w:vertAlign w:val="superscript"/>
        </w:rPr>
        <w:t xml:space="preserve">[</w:t>
      </w:r>
      <w:hyperlink w:anchor="ref-1522">
        <w:r>
          <w:rPr>
            <w:rStyle w:val="Hyperlink"/>
            <w:vertAlign w:val="superscript"/>
          </w:rPr>
          <w:t xml:space="preserve">1522</w:t>
        </w:r>
      </w:hyperlink>
      <w:r>
        <w:rPr>
          <w:vertAlign w:val="superscript"/>
        </w:rPr>
        <w:t xml:space="preserve">]</w:t>
      </w:r>
      <w:r>
        <w:t xml:space="preserve">。这一结果支持特定人群的手术价值，无法转化成所有癫痫同样有效的承诺。</w:t>
      </w:r>
    </w:p>
    <w:bookmarkEnd w:id="2342"/>
    <w:bookmarkStart w:id="2343" w:name="sec-142-20"/>
    <w:p>
      <w:pPr>
        <w:pStyle w:val="Heading3"/>
      </w:pPr>
      <w:r>
        <w:t xml:space="preserve">142.20　神经调控与闭环的含义</w:t>
      </w:r>
    </w:p>
    <w:p>
      <w:pPr>
        <w:pStyle w:val="FirstParagraph"/>
      </w:pPr>
      <w:r>
        <w:t xml:space="preserve">神经调控可以通过不同位置和时序影响网络。开放式刺激依据预定方案施加，闭环系统则根据记录信号触发或调整刺激。闭环的潜在优势是让干预与状态相联系，但实际效果依检测质量、时间延迟和刺激作用范围。</w:t>
      </w:r>
    </w:p>
    <w:p>
      <w:pPr>
        <w:pStyle w:val="BodyText"/>
      </w:pPr>
      <w:r>
        <w:t xml:space="preserve">Nair等长期开放随访中，脑反应性刺激治疗者在九年时发作频率降低的中位数为75%</w:t>
      </w:r>
      <w:r>
        <w:rPr>
          <w:vertAlign w:val="superscript"/>
        </w:rPr>
        <w:t xml:space="preserve">[</w:t>
      </w:r>
      <w:hyperlink w:anchor="ref-1523">
        <w:r>
          <w:rPr>
            <w:rStyle w:val="Hyperlink"/>
            <w:vertAlign w:val="superscript"/>
          </w:rPr>
          <w:t xml:space="preserve">1523</w:t>
        </w:r>
      </w:hyperlink>
      <w:r>
        <w:rPr>
          <w:vertAlign w:val="superscript"/>
        </w:rPr>
        <w:t xml:space="preserve">]</w:t>
      </w:r>
      <w:r>
        <w:t xml:space="preserve">。这一数值描述相对基线频率的中位变化，不能解释为75%患者治愈，也不是九年持续安慰剂对照的组间效应。</w:t>
      </w:r>
    </w:p>
    <w:p>
      <w:pPr>
        <w:pStyle w:val="BodyText"/>
      </w:pPr>
      <w:r>
        <w:t xml:space="preserve">植入、感染、器械维护与刺激相关问题属于不同风险来源。没有某类严重刺激不良事件，不等于整个治疗完全无风险。长期随访还需要考虑退出、药物变化和参数调整，才能理解实际获益的持续性。</w:t>
      </w:r>
    </w:p>
    <w:bookmarkEnd w:id="2343"/>
    <w:bookmarkStart w:id="2344" w:name="sec-142-21"/>
    <w:p>
      <w:pPr>
        <w:pStyle w:val="Heading3"/>
      </w:pPr>
      <w:r>
        <w:t xml:space="preserve">142.21　发作检测、预测与预防</w:t>
      </w:r>
    </w:p>
    <w:p>
      <w:pPr>
        <w:pStyle w:val="FirstParagraph"/>
      </w:pPr>
      <w:r>
        <w:t xml:space="preserve">检测关注事件是否已经开始，预测关注未来某时间窗的风险，预防则要求干预确实减少事件。一个模型可以有不错的检测性能，却无法提前提供足够行动时间；风险预测有效，也不自动证明根据预测进行干预会有收益。</w:t>
      </w:r>
    </w:p>
    <w:p>
      <w:pPr>
        <w:pStyle w:val="BodyText"/>
      </w:pPr>
      <w:r>
        <w:t xml:space="preserve">误报负担特别重要。如果每天多次发出警报，即使捕获了大部分发作，也可能明显影响生活。评价需要说明敏感度、误报频率、警报提前量和处于警报状态的总时间，不能只给一个准确率。</w:t>
      </w:r>
    </w:p>
    <w:p>
      <w:pPr>
        <w:pStyle w:val="BodyText"/>
      </w:pPr>
      <w:r>
        <w:t xml:space="preserve">从植入设备获得的长期数据有助于理解个体事件模式，但样本通常经过临床选择。模型应在新的时间段和真实使用条件中检验，避免把同一人的相近片段同时用于训练和验证。最终价值仍体现在安全、功能和患者愿意承担的负担。</w:t>
      </w:r>
    </w:p>
    <w:bookmarkEnd w:id="2344"/>
    <w:bookmarkStart w:id="2345" w:name="sec-142-22"/>
    <w:p>
      <w:pPr>
        <w:pStyle w:val="Heading3"/>
      </w:pPr>
      <w:r>
        <w:t xml:space="preserve">142.22　持续状态为何需要时间敏感的处置</w:t>
      </w:r>
    </w:p>
    <w:p>
      <w:pPr>
        <w:pStyle w:val="FirstParagraph"/>
      </w:pPr>
      <w:r>
        <w:t xml:space="preserve">发作终止机制失败，可以形成异常持续活动。ILAE对于惊厥性强直阵挛持续状态提出约5分钟的处置时间点与约30分钟的长期损害风险时间点，后者不是可以安心等待的界限，其他类型也不能机械套用同一时间</w:t>
      </w:r>
      <w:r>
        <w:rPr>
          <w:vertAlign w:val="superscript"/>
        </w:rPr>
        <w:t xml:space="preserve">[</w:t>
      </w:r>
      <w:hyperlink w:anchor="ref-1524">
        <w:r>
          <w:rPr>
            <w:rStyle w:val="Hyperlink"/>
            <w:vertAlign w:val="superscript"/>
          </w:rPr>
          <w:t xml:space="preserve">1524</w:t>
        </w:r>
      </w:hyperlink>
      <w:r>
        <w:rPr>
          <w:vertAlign w:val="superscript"/>
        </w:rPr>
        <w:t xml:space="preserve">]</w:t>
      </w:r>
      <w:r>
        <w:t xml:space="preserve">。</w:t>
      </w:r>
    </w:p>
    <w:p>
      <w:pPr>
        <w:pStyle w:val="BodyText"/>
      </w:pPr>
      <w:r>
        <w:t xml:space="preserve">持续活动的风险与病因、年龄、身体状态和并发症有关。抽搐停止后仍未恢复，还需要考虑药物、发作后状态、持续电活动以及原发病因。外观平静无法单独确认所有脑活动已经恢复。</w:t>
      </w:r>
    </w:p>
    <w:p>
      <w:pPr>
        <w:pStyle w:val="BodyText"/>
      </w:pPr>
      <w:r>
        <w:t xml:space="preserve">ESETT随机试验比较苯二氮䓬治疗后仍持续惊厥的患者使用三种后续药物，60分钟主要结局的成功比例约为45%至47%</w:t>
      </w:r>
      <w:r>
        <w:rPr>
          <w:vertAlign w:val="superscript"/>
        </w:rPr>
        <w:t xml:space="preserve">[</w:t>
      </w:r>
      <w:hyperlink w:anchor="ref-1525">
        <w:r>
          <w:rPr>
            <w:rStyle w:val="Hyperlink"/>
            <w:vertAlign w:val="superscript"/>
          </w:rPr>
          <w:t xml:space="preserve">1525</w:t>
        </w:r>
      </w:hyperlink>
      <w:r>
        <w:rPr>
          <w:vertAlign w:val="superscript"/>
        </w:rPr>
        <w:t xml:space="preserve">]</w:t>
      </w:r>
      <w:r>
        <w:t xml:space="preserve">。相近结果没有消除个体禁忌与临床差异，也提醒仍有相当部分人需要后续处理。这类试验属于急救系统中的证据，不能转成家庭自行选药或加量方案。</w:t>
      </w:r>
    </w:p>
    <w:bookmarkEnd w:id="2345"/>
    <w:bookmarkStart w:id="2346" w:name="sec-142-23"/>
    <w:p>
      <w:pPr>
        <w:pStyle w:val="Heading3"/>
      </w:pPr>
      <w:r>
        <w:t xml:space="preserve">142.23　公众急救信息的边界</w:t>
      </w:r>
    </w:p>
    <w:p>
      <w:pPr>
        <w:pStyle w:val="FirstParagraph"/>
      </w:pPr>
      <w:r>
        <w:t xml:space="preserve">基础帮助包括保护周围环境、记录持续时间、避免强行限制动作以及按情况保持安全体位。不要向口中塞入物品，也不要在意识未恢复时强行喂食饮水。持续超过5分钟、重复发作且未充分恢复、呼吸问题、受伤或首次发作等情形需要当地急救系统介入</w:t>
      </w:r>
      <w:r>
        <w:rPr>
          <w:vertAlign w:val="superscript"/>
        </w:rPr>
        <w:t xml:space="preserve">[</w:t>
      </w:r>
      <w:hyperlink w:anchor="ref-1526">
        <w:r>
          <w:rPr>
            <w:rStyle w:val="Hyperlink"/>
            <w:vertAlign w:val="superscript"/>
          </w:rPr>
          <w:t xml:space="preserve">1526</w:t>
        </w:r>
      </w:hyperlink>
      <w:r>
        <w:rPr>
          <w:vertAlign w:val="superscript"/>
        </w:rPr>
        <w:t xml:space="preserve">]</w:t>
      </w:r>
      <w:r>
        <w:t xml:space="preserve">。</w:t>
      </w:r>
    </w:p>
    <w:p>
      <w:pPr>
        <w:pStyle w:val="BodyText"/>
      </w:pPr>
      <w:r>
        <w:t xml:space="preserve">这些原则解决的是眼前安全与及时求助，不能替代既定个人急救计划。已经由临床团队制定的特殊方案需要按其要求执行。旁观者准确记录事件持续时间与恢复过程，也能为后续诊断提供有用信息。</w:t>
      </w:r>
    </w:p>
    <w:bookmarkEnd w:id="2346"/>
    <w:bookmarkStart w:id="2347" w:name="sec-142-24"/>
    <w:p>
      <w:pPr>
        <w:pStyle w:val="Heading3"/>
      </w:pPr>
      <w:r>
        <w:t xml:space="preserve">142.24　认知、发育与心理社会负担</w:t>
      </w:r>
    </w:p>
    <w:p>
      <w:pPr>
        <w:pStyle w:val="FirstParagraph"/>
      </w:pPr>
      <w:r>
        <w:t xml:space="preserve">认知困难可能来自基础病因、发作、发作间期异常、药物、睡眠和情绪等多个来源。儿童发展还涉及既有发育轨迹与环境支持。不能把所有学习困难都归因于某一次短暂发作，也不能仅因发作控制就认定发育问题会完全消失。</w:t>
      </w:r>
    </w:p>
    <w:p>
      <w:pPr>
        <w:pStyle w:val="BodyText"/>
      </w:pPr>
      <w:r>
        <w:t xml:space="preserve">在发育性与癫痫性脑病的概念中，基础病因和癫痫活动可以共同影响发展。这个框架鼓励同时研究病因治疗、发作控制与发展支持。不同目标的效果需要各自测量，某项发作指标改善未必立刻改变语言或适应能力。</w:t>
      </w:r>
    </w:p>
    <w:p>
      <w:pPr>
        <w:pStyle w:val="BodyText"/>
      </w:pPr>
      <w:r>
        <w:t xml:space="preserve">情绪和社会限制同样影响生活质量。对事件不可预测性的担忧、工作学习安排以及他人误解，都可能增加负担。支持措施应围绕实际风险和能力，避免把诊断标签自动扩展成所有活动都不适合。</w:t>
      </w:r>
    </w:p>
    <w:bookmarkEnd w:id="2347"/>
    <w:bookmarkStart w:id="2348" w:name="sec-142-25"/>
    <w:p>
      <w:pPr>
        <w:pStyle w:val="Heading3"/>
      </w:pPr>
      <w:r>
        <w:t xml:space="preserve">142.25　SUDEP与风险沟通</w:t>
      </w:r>
    </w:p>
    <w:p>
      <w:pPr>
        <w:pStyle w:val="FirstParagraph"/>
      </w:pPr>
      <w:r>
        <w:t xml:space="preserve">癫痫猝死是需要认真讨论的风险。AAN与AES证据指南强调强直阵挛发作及其频率与风险关系，无发作尤其无强直阵挛发作与较低风险相关</w:t>
      </w:r>
      <w:r>
        <w:rPr>
          <w:vertAlign w:val="superscript"/>
        </w:rPr>
        <w:t xml:space="preserve">[</w:t>
      </w:r>
      <w:hyperlink w:anchor="ref-1527">
        <w:r>
          <w:rPr>
            <w:rStyle w:val="Hyperlink"/>
            <w:vertAlign w:val="superscript"/>
          </w:rPr>
          <w:t xml:space="preserve">1527</w:t>
        </w:r>
      </w:hyperlink>
      <w:r>
        <w:rPr>
          <w:vertAlign w:val="superscript"/>
        </w:rPr>
        <w:t xml:space="preserve">]</w:t>
      </w:r>
      <w:r>
        <w:t xml:space="preserve">。群体平均不能直接成为每个人的精确预测，风险沟通需要结合具体病程。</w:t>
      </w:r>
    </w:p>
    <w:p>
      <w:pPr>
        <w:pStyle w:val="BodyText"/>
      </w:pPr>
      <w:r>
        <w:t xml:space="preserve">有效沟通应让人知道哪些因素已有较可靠证据，哪些干预的效果仍不确定，并把风险放在可理解的时间和分母中。只给极端案例容易制造恐惧，完全回避风险也会失去共同决策机会。</w:t>
      </w:r>
    </w:p>
    <w:p>
      <w:pPr>
        <w:pStyle w:val="BodyText"/>
      </w:pPr>
      <w:r>
        <w:t xml:space="preserve">任何监测产品若声称预防猝死，都需要直接结局或足够强的证据链。能够检测某类动作，尚未证明能够可靠识别全部危险事件，也未证明警报一定带来及时有效响应。技术指标与健康收益应分别评价。</w:t>
      </w:r>
    </w:p>
    <w:bookmarkEnd w:id="2348"/>
    <w:bookmarkStart w:id="2349" w:name="sec-142-26"/>
    <w:p>
      <w:pPr>
        <w:pStyle w:val="Heading3"/>
      </w:pPr>
      <w:r>
        <w:t xml:space="preserve">142.26　三个条件推理练习</w:t>
      </w:r>
    </w:p>
    <w:p>
      <w:pPr>
        <w:pStyle w:val="FirstParagraph"/>
      </w:pPr>
      <w:r>
        <w:t xml:space="preserve">假设一位参与者有反复刻板的短暂感觉事件，普通脑电正常。不能从正常记录直接排除局灶发作；也不能由刻板性直接确诊。下一步推理需要事件细节、病史和与疑问相匹配的评估，结论暂时可以保持不确定。</w:t>
      </w:r>
    </w:p>
    <w:p>
      <w:pPr>
        <w:pStyle w:val="BodyText"/>
      </w:pPr>
      <w:r>
        <w:t xml:space="preserve">假设另一人试过两种药物，但一种因短期不耐受停用，另一种并不适合后来确认的发作类型。按照充分、合适、耐受的条件，不能机械套用两药失败的难治定义。准确回顾尝试过程，比只计药物名字更有意义。</w:t>
      </w:r>
    </w:p>
    <w:p>
      <w:pPr>
        <w:pStyle w:val="BodyText"/>
      </w:pPr>
      <w:r>
        <w:t xml:space="preserve">假设某设备把每月发作从十次降到两次，却增加明显认知负担。频率下降80%是真实且重要的信息，整体选择还需要比较剩余事件、功能、器械风险和个人优先事项。结局评价应同时覆盖安全、功能与发作负担。</w:t>
      </w:r>
    </w:p>
    <w:bookmarkEnd w:id="2349"/>
    <w:bookmarkEnd w:id="2350"/>
    <w:bookmarkStart w:id="2366" w:name="ch-143"/>
    <w:p>
      <w:pPr>
        <w:pStyle w:val="Heading2"/>
      </w:pPr>
      <w:r>
        <w:t xml:space="preserve">第143章　脑血管病：从血流中断到功能恢复</w:t>
      </w:r>
    </w:p>
    <w:bookmarkStart w:id="2351" w:name="sec-143-1"/>
    <w:p>
      <w:pPr>
        <w:pStyle w:val="Heading3"/>
      </w:pPr>
      <w:r>
        <w:t xml:space="preserve">143.1　血管构成了神经活动的时间边界</w:t>
      </w:r>
    </w:p>
    <w:p>
      <w:pPr>
        <w:pStyle w:val="FirstParagraph"/>
      </w:pPr>
      <w:r>
        <w:t xml:space="preserve">脑血管病需要同时使用解剖、时间和组织状态三套坐标。解剖回答哪一段动脉、静脉或微血管受累，时间回答血流异常持续多久及其变化速度，组织状态回答哪些细胞仍保持能量代谢、哪些组织已经出现不可逆损伤。仅记录发病时钟，无法完整描述侧支循环；仅看到病灶体积，也无法代表网络断联、既有疾病和后续恢复潜力。急性缺血、脑实质出血、蛛网膜下腔出血和脑静脉血栓共享部分症状，但基本损伤过程与临床处置条件各有区别</w:t>
      </w:r>
      <w:r>
        <w:rPr>
          <w:vertAlign w:val="superscript"/>
        </w:rPr>
        <w:t xml:space="preserve">[</w:t>
      </w:r>
      <w:hyperlink w:anchor="ref-1528">
        <w:r>
          <w:rPr>
            <w:rStyle w:val="Hyperlink"/>
            <w:vertAlign w:val="superscript"/>
          </w:rPr>
          <w:t xml:space="preserve">1528</w:t>
        </w:r>
      </w:hyperlink>
      <w:r>
        <w:rPr>
          <w:vertAlign w:val="superscript"/>
        </w:rPr>
        <w:t xml:space="preserve">,</w:t>
      </w:r>
      <w:hyperlink w:anchor="ref-1529">
        <w:r>
          <w:rPr>
            <w:rStyle w:val="Hyperlink"/>
            <w:vertAlign w:val="superscript"/>
          </w:rPr>
          <w:t xml:space="preserve">1529</w:t>
        </w:r>
      </w:hyperlink>
      <w:r>
        <w:rPr>
          <w:vertAlign w:val="superscript"/>
        </w:rPr>
        <w:t xml:space="preserve">,</w:t>
      </w:r>
      <w:hyperlink w:anchor="ref-1530">
        <w:r>
          <w:rPr>
            <w:rStyle w:val="Hyperlink"/>
            <w:vertAlign w:val="superscript"/>
          </w:rPr>
          <w:t xml:space="preserve">1530</w:t>
        </w:r>
      </w:hyperlink>
      <w:r>
        <w:rPr>
          <w:vertAlign w:val="superscript"/>
        </w:rPr>
        <w:t xml:space="preserve">,</w:t>
      </w:r>
      <w:hyperlink w:anchor="ref-1531">
        <w:r>
          <w:rPr>
            <w:rStyle w:val="Hyperlink"/>
            <w:vertAlign w:val="superscript"/>
          </w:rPr>
          <w:t xml:space="preserve">1531</w:t>
        </w:r>
      </w:hyperlink>
      <w:r>
        <w:rPr>
          <w:vertAlign w:val="superscript"/>
        </w:rPr>
        <w:t xml:space="preserve">]</w:t>
      </w:r>
      <w:r>
        <w:t xml:space="preserve">。</w:t>
      </w:r>
    </w:p>
    <w:p>
      <w:pPr>
        <w:pStyle w:val="BodyText"/>
      </w:pPr>
      <w:r>
        <w:t xml:space="preserve">神经元持续耗能维持离子梯度，葡萄糖和氧通过循环系统供应。血流下降后，能量缺口首先影响依赖代谢维持的膜电位和突触传递。此时某一区域功能停止，并不自动证明其中所有细胞已经死亡。若供血及时恢复且微循环、线粒体和膜结构尚可维持，一部分功能具有恢复机会；供需失衡持续加深时，离子稳态破坏、钙负荷、细胞肿胀和蛋白水解等过程相互强化。神经元、星形胶质细胞、周细胞、内皮和细胞外基质共同决定这段演变</w:t>
      </w:r>
      <w:r>
        <w:rPr>
          <w:vertAlign w:val="superscript"/>
        </w:rPr>
        <w:t xml:space="preserve">[</w:t>
      </w:r>
      <w:hyperlink w:anchor="ref-1532">
        <w:r>
          <w:rPr>
            <w:rStyle w:val="Hyperlink"/>
            <w:vertAlign w:val="superscript"/>
          </w:rPr>
          <w:t xml:space="preserve">1532</w:t>
        </w:r>
      </w:hyperlink>
      <w:r>
        <w:rPr>
          <w:vertAlign w:val="superscript"/>
        </w:rPr>
        <w:t xml:space="preserve">]</w:t>
      </w:r>
      <w:r>
        <w:t xml:space="preserve">。</w:t>
      </w:r>
    </w:p>
    <w:p>
      <w:pPr>
        <w:pStyle w:val="BodyText"/>
      </w:pPr>
      <w:r>
        <w:t xml:space="preserve">可以把脑组织想象为需要连续供电且没有大型备用电源的运算系统，但这种比喻具有边界。血流恢复除了补充能源，还会改变压力、炎症细胞进入、氧化还原状态和屏障通透性。已经受损的组织可能对恢复灌注产生复杂反应。因此，再通血管、恢复组织灌注、阻止细胞死亡和改善长期生活能力是四个相关但不相同的终点。理解临床试验时，需要辨认研究实际改善了其中哪一项。</w:t>
      </w:r>
    </w:p>
    <w:bookmarkEnd w:id="2351"/>
    <w:bookmarkStart w:id="2352" w:name="sec-143-2"/>
    <w:p>
      <w:pPr>
        <w:pStyle w:val="Heading3"/>
      </w:pPr>
      <w:r>
        <w:t xml:space="preserve">143.2　动脉闭塞与侧支循环</w:t>
      </w:r>
    </w:p>
    <w:p>
      <w:pPr>
        <w:pStyle w:val="FirstParagraph"/>
      </w:pPr>
      <w:r>
        <w:t xml:space="preserve">大脑主要动脉及其分支供应不同区域，吻合支能够在部分通路受阻时提供替代血流。侧支循环的作用具有时间和压力依赖性。同样的近端动脉闭塞，在侧支较好的人身上可能保留较多低灌注但尚存活的组织，在侧支不足者身上可能快速扩大损伤。血管开通前后的系统血压、血液氧合、局部微循环和代谢需求，也会改变实际供需关系</w:t>
      </w:r>
      <w:r>
        <w:rPr>
          <w:vertAlign w:val="superscript"/>
        </w:rPr>
        <w:t xml:space="preserve">[</w:t>
      </w:r>
      <w:hyperlink w:anchor="ref-1532">
        <w:r>
          <w:rPr>
            <w:rStyle w:val="Hyperlink"/>
            <w:vertAlign w:val="superscript"/>
          </w:rPr>
          <w:t xml:space="preserve">1532</w:t>
        </w:r>
      </w:hyperlink>
      <w:r>
        <w:rPr>
          <w:vertAlign w:val="superscript"/>
        </w:rPr>
        <w:t xml:space="preserve">]</w:t>
      </w:r>
      <w:r>
        <w:t xml:space="preserve">。</w:t>
      </w:r>
    </w:p>
    <w:p>
      <w:pPr>
        <w:pStyle w:val="BodyText"/>
      </w:pPr>
      <w:r>
        <w:t xml:space="preserve">这一逻辑解释了“最后正常时间”与“实际组织损伤”之间的不完全对应。最后正常时间是可观察的临床时间参照，有时是目击起病，有时是入睡前仍正常的时点。它不等同于每个细胞发生不可逆损伤的时刻。影像能够补充组织信息，但也依赖采集和分析。将时钟与影像结合，有助于识别特定情况下仍可能获益的群体；任何单一指标都无法保证个人结果。</w:t>
      </w:r>
    </w:p>
    <w:p>
      <w:pPr>
        <w:pStyle w:val="BodyText"/>
      </w:pPr>
      <w:r>
        <w:t xml:space="preserve">缺血核心通常指已经严重受损、恢复潜力很低的区域；半暗带指功能受抑、血流不足但可能挽救的组织。两者是生理病理概念。临床影像中的“核心体积”来自对某些信号或灌注参数采用算法和阈值所得的估计。扫描时刻、侧支、运动伪影、软件和再灌注速度均可影响估计。核心与半暗带之间也会随时间转化，不能把一次彩色图像理解为精确标注每个细胞生死的永久地图</w:t>
      </w:r>
      <w:r>
        <w:rPr>
          <w:vertAlign w:val="superscript"/>
        </w:rPr>
        <w:t xml:space="preserve">[</w:t>
      </w:r>
      <w:hyperlink w:anchor="ref-1528">
        <w:r>
          <w:rPr>
            <w:rStyle w:val="Hyperlink"/>
            <w:vertAlign w:val="superscript"/>
          </w:rPr>
          <w:t xml:space="preserve">1528</w:t>
        </w:r>
      </w:hyperlink>
      <w:r>
        <w:rPr>
          <w:vertAlign w:val="superscript"/>
        </w:rPr>
        <w:t xml:space="preserve">,</w:t>
      </w:r>
      <w:hyperlink w:anchor="ref-1532">
        <w:r>
          <w:rPr>
            <w:rStyle w:val="Hyperlink"/>
            <w:vertAlign w:val="superscript"/>
          </w:rPr>
          <w:t xml:space="preserve">1532</w:t>
        </w:r>
      </w:hyperlink>
      <w:r>
        <w:rPr>
          <w:vertAlign w:val="superscript"/>
        </w:rPr>
        <w:t xml:space="preserve">]</w:t>
      </w:r>
      <w:r>
        <w:t xml:space="preserve">。</w:t>
      </w:r>
    </w:p>
    <w:bookmarkEnd w:id="2352"/>
    <w:bookmarkStart w:id="2354" w:name="sec-143-3"/>
    <w:p>
      <w:pPr>
        <w:pStyle w:val="Heading3"/>
      </w:pPr>
      <w:r>
        <w:t xml:space="preserve">143.3　影像究竟测到了什么</w:t>
      </w:r>
    </w:p>
    <w:p>
      <w:pPr>
        <w:pStyle w:val="FirstParagraph"/>
      </w:pPr>
      <w:r>
        <w:t xml:space="preserve">平扫计算机断层成像、血管成像、弥散成像和灌注成像解决不同问题。平扫在识别急性出血及某些早期缺血改变方面具有关键作用；血管成像显示管腔和阻塞位置；弥散加权成像及表观弥散系数对水分子运动变化敏感；灌注分析则从对比剂或内源性标记信号推断血流输送。某项检查敏感，通常指对特定时间窗内的特定改变敏感，不能推出它对所有卒中类型、所有部位和所有时点都具有同等排除能力</w:t>
      </w:r>
      <w:r>
        <w:rPr>
          <w:vertAlign w:val="superscript"/>
        </w:rPr>
        <w:t xml:space="preserve">[</w:t>
      </w:r>
      <w:hyperlink w:anchor="ref-1528">
        <w:r>
          <w:rPr>
            <w:rStyle w:val="Hyperlink"/>
            <w:vertAlign w:val="superscript"/>
          </w:rPr>
          <w:t xml:space="preserve">1528</w:t>
        </w:r>
      </w:hyperlink>
      <w:r>
        <w:rPr>
          <w:vertAlign w:val="superscript"/>
        </w:rPr>
        <w:t xml:space="preserve">,</w:t>
      </w:r>
      <w:hyperlink w:anchor="ref-1533">
        <w:r>
          <w:rPr>
            <w:rStyle w:val="Hyperlink"/>
            <w:vertAlign w:val="superscript"/>
          </w:rPr>
          <w:t xml:space="preserve">1533</w:t>
        </w:r>
      </w:hyperlink>
      <w:r>
        <w:rPr>
          <w:vertAlign w:val="superscript"/>
        </w:rPr>
        <w:t xml:space="preserve">]</w:t>
      </w:r>
      <w:r>
        <w:t xml:space="preserve">。</w:t>
      </w:r>
    </w:p>
    <w:p>
      <w:pPr>
        <w:pStyle w:val="TableCaption"/>
      </w:pPr>
      <w:bookmarkStart w:id="2353" w:name="tab-stroke-imaging"/>
      <w:bookmarkEnd w:id="2353"/>
      <w:r>
        <w:rPr>
          <w:bCs/>
          <w:b/>
        </w:rPr>
        <w:t xml:space="preserve">表 36　急性卒中影像各项观察回答的问题</w:t>
      </w:r>
    </w:p>
    <w:tbl>
      <w:tblPr>
        <w:tblStyle w:val="Table"/>
        <w:tblW w:type="pct" w:w="5000"/>
        <w:jc w:val="start"/>
        <w:tblLook w:firstRow="1" w:lastRow="0" w:firstColumn="0" w:lastColumn="0" w:noHBand="0" w:noVBand="0" w:val="0020"/>
      </w:tblPr>
      <w:tblGrid>
        <w:gridCol w:w="1344"/>
        <w:gridCol w:w="3287"/>
        <w:gridCol w:w="3287"/>
      </w:tblGrid>
      <w:tr>
        <w:trPr>
          <w:tblHeader w:val="true"/>
        </w:trPr>
        <w:tc>
          <w:tcPr>
            <w:shd w:val="clear" w:color="auto" w:fill="1F3A5F"/>
          </w:tcPr>
          <w:p>
            <w:pPr>
              <w:jc w:val="left"/>
            </w:pPr>
            <w:r>
              <w:rPr>
                <w:bCs/>
                <w:b/>
                <w:color w:val="FFFFFF"/>
              </w:rPr>
              <w:t xml:space="preserve">观察对象</w:t>
            </w:r>
          </w:p>
        </w:tc>
        <w:tc>
          <w:tcPr>
            <w:shd w:val="clear" w:color="auto" w:fill="1F3A5F"/>
          </w:tcPr>
          <w:p>
            <w:pPr>
              <w:jc w:val="left"/>
            </w:pPr>
            <w:r>
              <w:rPr>
                <w:bCs/>
                <w:b/>
                <w:color w:val="FFFFFF"/>
              </w:rPr>
              <w:t xml:space="preserve">测量所回答的问题</w:t>
            </w:r>
          </w:p>
        </w:tc>
        <w:tc>
          <w:tcPr>
            <w:shd w:val="clear" w:color="auto" w:fill="1F3A5F"/>
          </w:tcPr>
          <w:p>
            <w:pPr>
              <w:jc w:val="left"/>
            </w:pPr>
            <w:r>
              <w:rPr>
                <w:bCs/>
                <w:b/>
                <w:color w:val="FFFFFF"/>
              </w:rPr>
              <w:t xml:space="preserve">解释时需要保留的边界</w:t>
            </w:r>
          </w:p>
        </w:tc>
      </w:tr>
      <w:tr>
        <w:tc>
          <w:tcPr/>
          <w:p>
            <w:pPr>
              <w:jc w:val="left"/>
            </w:pPr>
            <w:r>
              <w:t xml:space="preserve">平扫中的高密度出血</w:t>
            </w:r>
          </w:p>
        </w:tc>
        <w:tc>
          <w:tcPr/>
          <w:p>
            <w:pPr>
              <w:jc w:val="left"/>
            </w:pPr>
            <w:r>
              <w:t xml:space="preserve">是否存在可识别的急性血液及其分布</w:t>
            </w:r>
          </w:p>
        </w:tc>
        <w:tc>
          <w:tcPr/>
          <w:p>
            <w:pPr>
              <w:jc w:val="left"/>
            </w:pPr>
            <w:r>
              <w:t xml:space="preserve">症状严重度与出血位置、体积、继发影响共同相关</w:t>
            </w:r>
          </w:p>
        </w:tc>
      </w:tr>
      <w:tr>
        <w:tc>
          <w:tcPr/>
          <w:p>
            <w:pPr>
              <w:jc w:val="left"/>
            </w:pPr>
            <w:r>
              <w:t xml:space="preserve">血管成像中的闭塞</w:t>
            </w:r>
          </w:p>
        </w:tc>
        <w:tc>
          <w:tcPr/>
          <w:p>
            <w:pPr>
              <w:jc w:val="left"/>
            </w:pPr>
            <w:r>
              <w:t xml:space="preserve">哪一段管腔缺乏正常通畅信号</w:t>
            </w:r>
          </w:p>
        </w:tc>
        <w:tc>
          <w:tcPr/>
          <w:p>
            <w:pPr>
              <w:jc w:val="left"/>
            </w:pPr>
            <w:r>
              <w:t xml:space="preserve">大血管再通不保证所有微循环恢复</w:t>
            </w:r>
          </w:p>
        </w:tc>
      </w:tr>
      <w:tr>
        <w:tc>
          <w:tcPr/>
          <w:p>
            <w:pPr>
              <w:jc w:val="left"/>
            </w:pPr>
            <w:r>
              <w:t xml:space="preserve">弥散受限</w:t>
            </w:r>
          </w:p>
        </w:tc>
        <w:tc>
          <w:tcPr/>
          <w:p>
            <w:pPr>
              <w:jc w:val="left"/>
            </w:pPr>
            <w:r>
              <w:t xml:space="preserve">局部水运动是否出现与细胞肿胀等相容的变化</w:t>
            </w:r>
          </w:p>
        </w:tc>
        <w:tc>
          <w:tcPr/>
          <w:p>
            <w:pPr>
              <w:jc w:val="left"/>
            </w:pPr>
            <w:r>
              <w:t xml:space="preserve">时间、部位、序列和其他疾病均影响特异性</w:t>
            </w:r>
          </w:p>
        </w:tc>
      </w:tr>
      <w:tr>
        <w:tc>
          <w:tcPr/>
          <w:p>
            <w:pPr>
              <w:jc w:val="left"/>
            </w:pPr>
            <w:r>
              <w:t xml:space="preserve">灌注延迟</w:t>
            </w:r>
          </w:p>
        </w:tc>
        <w:tc>
          <w:tcPr/>
          <w:p>
            <w:pPr>
              <w:jc w:val="left"/>
            </w:pPr>
            <w:r>
              <w:t xml:space="preserve">血液到达和通过组织的过程是否改变</w:t>
            </w:r>
          </w:p>
        </w:tc>
        <w:tc>
          <w:tcPr/>
          <w:p>
            <w:pPr>
              <w:jc w:val="left"/>
            </w:pPr>
            <w:r>
              <w:t xml:space="preserve">延迟可以包含仍有侧支供血的组织</w:t>
            </w:r>
          </w:p>
        </w:tc>
      </w:tr>
      <w:tr>
        <w:tc>
          <w:tcPr/>
          <w:p>
            <w:pPr>
              <w:jc w:val="left"/>
            </w:pPr>
            <w:r>
              <w:t xml:space="preserve">估计缺血核心</w:t>
            </w:r>
          </w:p>
        </w:tc>
        <w:tc>
          <w:tcPr/>
          <w:p>
            <w:pPr>
              <w:jc w:val="left"/>
            </w:pPr>
            <w:r>
              <w:t xml:space="preserve">算法划定的严重异常组织范围多大</w:t>
            </w:r>
          </w:p>
        </w:tc>
        <w:tc>
          <w:tcPr/>
          <w:p>
            <w:pPr>
              <w:jc w:val="left"/>
            </w:pPr>
            <w:r>
              <w:t xml:space="preserve">估计值具有方法与时点依赖性</w:t>
            </w:r>
          </w:p>
        </w:tc>
      </w:tr>
      <w:tr>
        <w:tc>
          <w:tcPr/>
          <w:p>
            <w:pPr>
              <w:jc w:val="left"/>
            </w:pPr>
            <w:r>
              <w:t xml:space="preserve">估计可挽救组织</w:t>
            </w:r>
          </w:p>
        </w:tc>
        <w:tc>
          <w:tcPr/>
          <w:p>
            <w:pPr>
              <w:jc w:val="left"/>
            </w:pPr>
            <w:r>
              <w:t xml:space="preserve">不同影像异常之间是否存在符合选择条件的不匹配</w:t>
            </w:r>
          </w:p>
        </w:tc>
        <w:tc>
          <w:tcPr/>
          <w:p>
            <w:pPr>
              <w:jc w:val="left"/>
            </w:pPr>
            <w:r>
              <w:t xml:space="preserve">不匹配不能保证个人获益</w:t>
            </w:r>
          </w:p>
        </w:tc>
      </w:tr>
      <w:tr>
        <w:tc>
          <w:tcPr/>
          <w:p>
            <w:pPr>
              <w:jc w:val="left"/>
            </w:pPr>
            <w:r>
              <w:t xml:space="preserve">微出血与白质改变</w:t>
            </w:r>
          </w:p>
        </w:tc>
        <w:tc>
          <w:tcPr/>
          <w:p>
            <w:pPr>
              <w:jc w:val="left"/>
            </w:pPr>
            <w:r>
              <w:t xml:space="preserve">是否存在慢性小血管相关影像负担</w:t>
            </w:r>
          </w:p>
        </w:tc>
        <w:tc>
          <w:tcPr/>
          <w:p>
            <w:pPr>
              <w:jc w:val="left"/>
            </w:pPr>
            <w:r>
              <w:t xml:space="preserve">这些标志物不能逐一等同当前症状病因</w:t>
            </w:r>
          </w:p>
        </w:tc>
      </w:tr>
    </w:tbl>
    <w:p>
      <w:pPr>
        <w:pStyle w:val="BodyText"/>
      </w:pPr>
      <w:r>
        <w:t xml:space="preserve">表中概念用于阅读研究与理解测量，不构成个人检查选择流程。具体技术条件、急诊决策及更新后的适用人群需依赖完整专业标准</w:t>
      </w:r>
      <w:r>
        <w:rPr>
          <w:vertAlign w:val="superscript"/>
        </w:rPr>
        <w:t xml:space="preserve">[</w:t>
      </w:r>
      <w:hyperlink w:anchor="ref-1528">
        <w:r>
          <w:rPr>
            <w:rStyle w:val="Hyperlink"/>
            <w:vertAlign w:val="superscript"/>
          </w:rPr>
          <w:t xml:space="preserve">1528</w:t>
        </w:r>
      </w:hyperlink>
      <w:r>
        <w:rPr>
          <w:vertAlign w:val="superscript"/>
        </w:rPr>
        <w:t xml:space="preserve">,</w:t>
      </w:r>
      <w:hyperlink w:anchor="ref-1534">
        <w:r>
          <w:rPr>
            <w:rStyle w:val="Hyperlink"/>
            <w:vertAlign w:val="superscript"/>
          </w:rPr>
          <w:t xml:space="preserve">1534</w:t>
        </w:r>
      </w:hyperlink>
      <w:r>
        <w:rPr>
          <w:vertAlign w:val="superscript"/>
        </w:rPr>
        <w:t xml:space="preserve">]</w:t>
      </w:r>
      <w:r>
        <w:t xml:space="preserve">。</w:t>
      </w:r>
    </w:p>
    <w:p>
      <w:pPr>
        <w:pStyle w:val="BodyText"/>
      </w:pPr>
      <w:r>
        <w:t xml:space="preserve">一个假设例子可以说明检测层次。某患者近端血管已经开通，但一部分末梢微循环仍受损；另一个患者主要闭塞尚在，但侧支暂时维持局部代谢。单看“开通或未开通”，前者似乎更好；单看当下保留的组织，情况可能具有更多细节。真实临床不会依据这一个二分变量决定全部预后。研究报告应分别给出技术成功率、灌注变化、并发症和功能结局，使读者能够识别这些终点之间的距离。</w:t>
      </w:r>
    </w:p>
    <w:bookmarkEnd w:id="2354"/>
    <w:bookmarkStart w:id="2355" w:name="sec-143-4"/>
    <w:p>
      <w:pPr>
        <w:pStyle w:val="Heading3"/>
      </w:pPr>
      <w:r>
        <w:t xml:space="preserve">143.4　症状来自功能通路及其连接</w:t>
      </w:r>
    </w:p>
    <w:p>
      <w:pPr>
        <w:pStyle w:val="FirstParagraph"/>
      </w:pPr>
      <w:r>
        <w:t xml:space="preserve">脑卒中表现可以包括单侧肢体无力、面部运动改变、感觉异常、语言困难、视野缺损、复视、明显失衡或意识改变。症状组合帮助判断受累网络，却不能单凭表现确定病理类型。突然发生的局灶神经功能变化需要紧急医疗评估，症状很快消失也不能自动解除这种紧迫性</w:t>
      </w:r>
      <w:r>
        <w:rPr>
          <w:vertAlign w:val="superscript"/>
        </w:rPr>
        <w:t xml:space="preserve">[</w:t>
      </w:r>
      <w:hyperlink w:anchor="ref-1528">
        <w:r>
          <w:rPr>
            <w:rStyle w:val="Hyperlink"/>
            <w:vertAlign w:val="superscript"/>
          </w:rPr>
          <w:t xml:space="preserve">1528</w:t>
        </w:r>
      </w:hyperlink>
      <w:r>
        <w:rPr>
          <w:vertAlign w:val="superscript"/>
        </w:rPr>
        <w:t xml:space="preserve">,</w:t>
      </w:r>
      <w:hyperlink w:anchor="ref-1533">
        <w:r>
          <w:rPr>
            <w:rStyle w:val="Hyperlink"/>
            <w:vertAlign w:val="superscript"/>
          </w:rPr>
          <w:t xml:space="preserve">1533</w:t>
        </w:r>
      </w:hyperlink>
      <w:r>
        <w:rPr>
          <w:vertAlign w:val="superscript"/>
        </w:rPr>
        <w:t xml:space="preserve">]</w:t>
      </w:r>
      <w:r>
        <w:t xml:space="preserve">。</w:t>
      </w:r>
    </w:p>
    <w:p>
      <w:pPr>
        <w:pStyle w:val="BodyText"/>
      </w:pPr>
      <w:r>
        <w:t xml:space="preserve">语言和言语尤其容易混淆。失语涉及语言理解或表达系统，例如命名、句子结构、复述、阅读和书写中的某些环节；构音障碍涉及发音动作控制，患者可能知道要说什么，也能正确组织句子，但声音清晰度受损。言语失用还涉及发音动作计划与程序化。真实病灶可同时影响多个环节，因此“说不清”需要进一步分解。无法流畅表达不等于缺乏理解能力，也不应据此排除患者参与决定</w:t>
      </w:r>
      <w:r>
        <w:rPr>
          <w:vertAlign w:val="superscript"/>
        </w:rPr>
        <w:t xml:space="preserve">[</w:t>
      </w:r>
      <w:hyperlink w:anchor="ref-1535">
        <w:r>
          <w:rPr>
            <w:rStyle w:val="Hyperlink"/>
            <w:vertAlign w:val="superscript"/>
          </w:rPr>
          <w:t xml:space="preserve">1535</w:t>
        </w:r>
      </w:hyperlink>
      <w:r>
        <w:rPr>
          <w:vertAlign w:val="superscript"/>
        </w:rPr>
        <w:t xml:space="preserve">]</w:t>
      </w:r>
      <w:r>
        <w:t xml:space="preserve">。</w:t>
      </w:r>
    </w:p>
    <w:p>
      <w:pPr>
        <w:pStyle w:val="BodyText"/>
      </w:pPr>
      <w:r>
        <w:t xml:space="preserve">忽略体现另一种重要区别。患者可能在基本视觉通路仍保留部分功能时，持续遗漏空间一侧的信息；他们的行为与单纯视野缺损有所不同。若忽略与病感缺失并存，患者对困难的自我报告也可能不完整。由此产生的照护问题涉及注意定向、身体表征和安全行为。假设一人能辨认放在面前的单个物品，却在拥挤餐盘中遗漏一侧食物，评估需要考虑竞争、空间探索和注意分配，不能仅用视力解释。</w:t>
      </w:r>
    </w:p>
    <w:p>
      <w:pPr>
        <w:pStyle w:val="BodyText"/>
      </w:pPr>
      <w:r>
        <w:t xml:space="preserve">后循环损伤可能以眼球运动、脑干功能、协调和平衡问题突出，公众熟悉的少数症状口诀无法覆盖全部表现。同样，严重眩晕具有许多可能原因，出现一个症状既不能自行确诊卒中，也不能独自排除卒中。教学中的价值是认识急性症候的解剖多样性，避免将简化筛查工具误用成完整诊断标准</w:t>
      </w:r>
      <w:r>
        <w:rPr>
          <w:vertAlign w:val="superscript"/>
        </w:rPr>
        <w:t xml:space="preserve">[</w:t>
      </w:r>
      <w:hyperlink w:anchor="ref-1528">
        <w:r>
          <w:rPr>
            <w:rStyle w:val="Hyperlink"/>
            <w:vertAlign w:val="superscript"/>
          </w:rPr>
          <w:t xml:space="preserve">1528</w:t>
        </w:r>
      </w:hyperlink>
      <w:r>
        <w:rPr>
          <w:vertAlign w:val="superscript"/>
        </w:rPr>
        <w:t xml:space="preserve">]</w:t>
      </w:r>
      <w:r>
        <w:t xml:space="preserve">。</w:t>
      </w:r>
    </w:p>
    <w:bookmarkEnd w:id="2355"/>
    <w:bookmarkStart w:id="2356" w:name="sec-143-5"/>
    <w:p>
      <w:pPr>
        <w:pStyle w:val="Heading3"/>
      </w:pPr>
      <w:r>
        <w:t xml:space="preserve">143.5　短暂症状与组织损伤的关系</w:t>
      </w:r>
    </w:p>
    <w:p>
      <w:pPr>
        <w:pStyle w:val="FirstParagraph"/>
      </w:pPr>
      <w:r>
        <w:t xml:space="preserve">短暂性脑缺血发作的现代讨论强调局灶缺血症状与组织损伤证据。症状消退描述功能表现的时间过程，影像描述在特定检查时刻可检测的组织改变，二者提供不同信息。一次短暂发作可能留下可见损伤，也可能没有当前可见的梗死证据；这一差别影响分类与风险评估。急诊中的脑和血管评估还要寻找潜在的栓塞来源及其他原因</w:t>
      </w:r>
      <w:r>
        <w:rPr>
          <w:vertAlign w:val="superscript"/>
        </w:rPr>
        <w:t xml:space="preserve">[</w:t>
      </w:r>
      <w:hyperlink w:anchor="ref-1533">
        <w:r>
          <w:rPr>
            <w:rStyle w:val="Hyperlink"/>
            <w:vertAlign w:val="superscript"/>
          </w:rPr>
          <w:t xml:space="preserve">1533</w:t>
        </w:r>
      </w:hyperlink>
      <w:r>
        <w:rPr>
          <w:vertAlign w:val="superscript"/>
        </w:rPr>
        <w:t xml:space="preserve">]</w:t>
      </w:r>
      <w:r>
        <w:t xml:space="preserve">。</w:t>
      </w:r>
    </w:p>
    <w:p>
      <w:pPr>
        <w:pStyle w:val="BodyText"/>
      </w:pPr>
      <w:r>
        <w:t xml:space="preserve">临床推理必须同时容纳类似表现的其他情况，例如偏头痛先兆、局灶癫痫发作、低血糖和部分周围性疾病。起病速度、症状是功能丧失还是异常体验、扩展顺序、持续时间和既往事件模式都可提供线索。任何单项特征都有例外。把“症状已经恢复”作为停止评估的理由，会遗漏仍在持续的病因；把所有短暂异常都归为缺血，也会导致错误的长期标签。可靠判断依赖整合证据与必要的复查。</w:t>
      </w:r>
    </w:p>
    <w:bookmarkEnd w:id="2356"/>
    <w:bookmarkStart w:id="2357" w:name="sec-143-6"/>
    <w:p>
      <w:pPr>
        <w:pStyle w:val="Heading3"/>
      </w:pPr>
      <w:r>
        <w:t xml:space="preserve">143.6　再灌注证据的时间与选择条件</w:t>
      </w:r>
    </w:p>
    <w:p>
      <w:pPr>
        <w:pStyle w:val="FirstParagraph"/>
      </w:pPr>
      <w:r>
        <w:t xml:space="preserve">取栓的重要证据来自经过明确选择的大血管闭塞人群。HERMES 汇合五项随机试验的个体资料，共1287人，显示90天残障分布向较好方向移动，共同优势比为2.49，95%置信区间为1.76至3.53。这里的结局包含多个功能等级。研究中常被引用的需要治疗人数（NNT）约为2.6，对应至少改善一个改良 Rankin 量表等级，不能解释为治疗约三个人就必有一个完全独立或彻底恢复</w:t>
      </w:r>
      <w:r>
        <w:rPr>
          <w:vertAlign w:val="superscript"/>
        </w:rPr>
        <w:t xml:space="preserve">[</w:t>
      </w:r>
      <w:hyperlink w:anchor="ref-1536">
        <w:r>
          <w:rPr>
            <w:rStyle w:val="Hyperlink"/>
            <w:vertAlign w:val="superscript"/>
          </w:rPr>
          <w:t xml:space="preserve">1536</w:t>
        </w:r>
      </w:hyperlink>
      <w:r>
        <w:rPr>
          <w:vertAlign w:val="superscript"/>
        </w:rPr>
        <w:t xml:space="preserve">]</w:t>
      </w:r>
      <w:r>
        <w:t xml:space="preserve">。</w:t>
      </w:r>
    </w:p>
    <w:p>
      <w:pPr>
        <w:pStyle w:val="BodyText"/>
      </w:pPr>
      <w:r>
        <w:t xml:space="preserve">DAWN 在206名满足特定临床缺损与梗死不匹配条件的患者中，研究最后正常后6至24小时的取栓；90天功能独立比例约49%与13%。这一结果说明某些较晚到达者仍可获益，同时强调了入选条件的意义。它没有赋予所有患者相同的24小时时间余量，也没有改变尽快识别和处理急性卒中的价值</w:t>
      </w:r>
      <w:r>
        <w:rPr>
          <w:vertAlign w:val="superscript"/>
        </w:rPr>
        <w:t xml:space="preserve">[</w:t>
      </w:r>
      <w:hyperlink w:anchor="ref-1537">
        <w:r>
          <w:rPr>
            <w:rStyle w:val="Hyperlink"/>
            <w:vertAlign w:val="superscript"/>
          </w:rPr>
          <w:t xml:space="preserve">1537</w:t>
        </w:r>
      </w:hyperlink>
      <w:r>
        <w:rPr>
          <w:vertAlign w:val="superscript"/>
        </w:rPr>
        <w:t xml:space="preserve">]</w:t>
      </w:r>
      <w:r>
        <w:t xml:space="preserve">。</w:t>
      </w:r>
    </w:p>
    <w:p>
      <w:pPr>
        <w:pStyle w:val="BodyText"/>
      </w:pPr>
      <w:r>
        <w:t xml:space="preserve">SELECT2 等后续试验把证据扩展到经过选择的大缺血核心群体。SELECT2 的352名随机参与者中，取栓改善了功能分布，同时存在血管相关并发症。大核心结果提示，某些过去被过于简单排除的人仍可能获得功能收益；它也要求将可接受的残障变化、出血和操作风险、原有功能及患者价值观纳入讨论</w:t>
      </w:r>
      <w:r>
        <w:rPr>
          <w:vertAlign w:val="superscript"/>
        </w:rPr>
        <w:t xml:space="preserve">[</w:t>
      </w:r>
      <w:hyperlink w:anchor="ref-1538">
        <w:r>
          <w:rPr>
            <w:rStyle w:val="Hyperlink"/>
            <w:vertAlign w:val="superscript"/>
          </w:rPr>
          <w:t xml:space="preserve">1538</w:t>
        </w:r>
      </w:hyperlink>
      <w:r>
        <w:rPr>
          <w:vertAlign w:val="superscript"/>
        </w:rPr>
        <w:t xml:space="preserve">]</w:t>
      </w:r>
      <w:r>
        <w:t xml:space="preserve">。</w:t>
      </w:r>
    </w:p>
    <w:p>
      <w:pPr>
        <w:pStyle w:val="BodyText"/>
      </w:pPr>
      <w:r>
        <w:t xml:space="preserve">2026年急性缺血性卒中指南进一步整合溶栓、取栓与早期管理证据，随后官方更正补充了部分适用人群限制，并调整若干证据表述。因此，阅读指南需要核对现行正文及更正，尤其不能把某一个时间、体积或年龄数值从完整条件中抽离。教学资料适合解释选择逻辑，不适合将复杂急诊判断压缩为供个人照做的阈值清单</w:t>
      </w:r>
      <w:r>
        <w:rPr>
          <w:vertAlign w:val="superscript"/>
        </w:rPr>
        <w:t xml:space="preserve">[</w:t>
      </w:r>
      <w:hyperlink w:anchor="ref-1528">
        <w:r>
          <w:rPr>
            <w:rStyle w:val="Hyperlink"/>
            <w:vertAlign w:val="superscript"/>
          </w:rPr>
          <w:t xml:space="preserve">1528</w:t>
        </w:r>
      </w:hyperlink>
      <w:r>
        <w:rPr>
          <w:vertAlign w:val="superscript"/>
        </w:rPr>
        <w:t xml:space="preserve">]</w:t>
      </w:r>
      <w:r>
        <w:t xml:space="preserve">。</w:t>
      </w:r>
    </w:p>
    <w:bookmarkEnd w:id="2357"/>
    <w:bookmarkStart w:id="2358" w:name="sec-143-7"/>
    <w:p>
      <w:pPr>
        <w:pStyle w:val="Heading3"/>
      </w:pPr>
      <w:r>
        <w:t xml:space="preserve">143.7　药物比较中的非劣效与绝对变化</w:t>
      </w:r>
    </w:p>
    <w:p>
      <w:pPr>
        <w:pStyle w:val="FirstParagraph"/>
      </w:pPr>
      <w:r>
        <w:t xml:space="preserve">AcT 是替奈普酶与阿替普酶的实用性非劣效试验。1600人随机分组，1577人进入所报告的意向治疗分析；90至120天达到改良 Rankin 量表0至1分的比例为36.9%和34.8%，差为2.1个百分点，95%置信区间为负2.6至6.9个百分点，符合预先设定的非劣效标准。这个结论支持特定比较条件下的非劣效，不能自动扩展为各类卒中、所有风险和所有结局上的全面优越</w:t>
      </w:r>
      <w:r>
        <w:rPr>
          <w:vertAlign w:val="superscript"/>
        </w:rPr>
        <w:t xml:space="preserve">[</w:t>
      </w:r>
      <w:hyperlink w:anchor="ref-1539">
        <w:r>
          <w:rPr>
            <w:rStyle w:val="Hyperlink"/>
            <w:vertAlign w:val="superscript"/>
          </w:rPr>
          <w:t xml:space="preserve">1539</w:t>
        </w:r>
      </w:hyperlink>
      <w:r>
        <w:rPr>
          <w:vertAlign w:val="superscript"/>
        </w:rPr>
        <w:t xml:space="preserve">]</w:t>
      </w:r>
      <w:r>
        <w:t xml:space="preserve">。</w:t>
      </w:r>
    </w:p>
    <w:p>
      <w:pPr>
        <w:pStyle w:val="BodyText"/>
      </w:pPr>
      <w:r>
        <w:t xml:space="preserve">为了理解非劣效，可以考虑一个完全假设的选择问题。两种措施在主要功能结局上的差异可能很小，其中一种在运送、准备或给药流程上更便利。若试验有足够精度排除不可接受的功能损失，这种便利可以具有实际价值。但研究仍需独立检查出血、死亡、执行错误与不同人群中的一致性。把流程便利与生物学疗效分别记录，能够避免用一个优点替代对全部结果的评价。</w:t>
      </w:r>
    </w:p>
    <w:p>
      <w:pPr>
        <w:pStyle w:val="BodyText"/>
      </w:pPr>
      <w:r>
        <w:t xml:space="preserve">血小板抑制和抗凝作用于血栓形成的不同环节，适用证据受到卒中机制及时间影响。POINT 研究的4881名轻型缺血性卒中或高风险短暂性脑缺血发作患者中，联合抗血小板方案在90天使主要缺血事件由6.5%降至5.0%，主要出血由0.4%升至0.9%。两类结局的严重程度也需要考虑，不能仅把这两项百分点差值直接相减得到统一价值分数，更不能推出长期增加药物数量总会带来净收益</w:t>
      </w:r>
      <w:r>
        <w:rPr>
          <w:vertAlign w:val="superscript"/>
        </w:rPr>
        <w:t xml:space="preserve">[</w:t>
      </w:r>
      <w:hyperlink w:anchor="ref-1540">
        <w:r>
          <w:rPr>
            <w:rStyle w:val="Hyperlink"/>
            <w:vertAlign w:val="superscript"/>
          </w:rPr>
          <w:t xml:space="preserve">1540</w:t>
        </w:r>
      </w:hyperlink>
      <w:r>
        <w:rPr>
          <w:vertAlign w:val="superscript"/>
        </w:rPr>
        <w:t xml:space="preserve">]</w:t>
      </w:r>
      <w:r>
        <w:t xml:space="preserve">。</w:t>
      </w:r>
    </w:p>
    <w:p>
      <w:pPr>
        <w:pStyle w:val="BodyText"/>
      </w:pPr>
      <w:r>
        <w:t xml:space="preserve">房颤相关卒中的抗凝时机又是另一个问题。ELAN 将2013名患者按预设的病灶严重程度和时间安排随机分组，30天复合结局为2.9%与4.1%，估计差为负1.18个百分点，95%置信区间为负2.84至0.47个百分点。区间包含零，且“早期”本身随严重程度有不同定义。研究能够更新时机判断的证据基础，不能转换为每个人都应立即抗凝的规则</w:t>
      </w:r>
      <w:r>
        <w:rPr>
          <w:vertAlign w:val="superscript"/>
        </w:rPr>
        <w:t xml:space="preserve">[</w:t>
      </w:r>
      <w:hyperlink w:anchor="ref-1541">
        <w:r>
          <w:rPr>
            <w:rStyle w:val="Hyperlink"/>
            <w:vertAlign w:val="superscript"/>
          </w:rPr>
          <w:t xml:space="preserve">1541</w:t>
        </w:r>
      </w:hyperlink>
      <w:r>
        <w:rPr>
          <w:vertAlign w:val="superscript"/>
        </w:rPr>
        <w:t xml:space="preserve">]</w:t>
      </w:r>
      <w:r>
        <w:t xml:space="preserve">。</w:t>
      </w:r>
    </w:p>
    <w:bookmarkEnd w:id="2358"/>
    <w:bookmarkStart w:id="2359" w:name="sec-143-8"/>
    <w:p>
      <w:pPr>
        <w:pStyle w:val="Heading3"/>
      </w:pPr>
      <w:r>
        <w:t xml:space="preserve">143.8　脑实质出血的损伤层次</w:t>
      </w:r>
    </w:p>
    <w:p>
      <w:pPr>
        <w:pStyle w:val="FirstParagraph"/>
      </w:pPr>
      <w:r>
        <w:t xml:space="preserve">脑出血首先造成血液进入原本不应容纳这一体积血液的脑组织。机械性占位、邻近组织受压、局部血流改变、血脑屏障损伤以及血液成分相关反应可以共同发展。血肿体积增加和继发水肿又具有不同时间过程。脑室受累及脑脊液循环障碍可能进一步影响意识和颅内压力。因此，出血的临床意义需要结合位置、体积、扩展、脑室和整体生理状态</w:t>
      </w:r>
      <w:r>
        <w:rPr>
          <w:vertAlign w:val="superscript"/>
        </w:rPr>
        <w:t xml:space="preserve">[</w:t>
      </w:r>
      <w:hyperlink w:anchor="ref-1529">
        <w:r>
          <w:rPr>
            <w:rStyle w:val="Hyperlink"/>
            <w:vertAlign w:val="superscript"/>
          </w:rPr>
          <w:t xml:space="preserve">1529</w:t>
        </w:r>
      </w:hyperlink>
      <w:r>
        <w:rPr>
          <w:vertAlign w:val="superscript"/>
        </w:rPr>
        <w:t xml:space="preserve">]</w:t>
      </w:r>
      <w:r>
        <w:t xml:space="preserve">。</w:t>
      </w:r>
    </w:p>
    <w:p>
      <w:pPr>
        <w:pStyle w:val="BodyText"/>
      </w:pPr>
      <w:r>
        <w:t xml:space="preserve">慢性小动脉病理与脑淀粉样血管病是重要病因类别。深部出血与穿支小动脉病常有关联，脑叶出血可与淀粉样血管病相关，但这种位置关系具有概率性质，不能作为排他的病因判定。影像中的既往微出血是另一种尺度的血液降解产物相关标志，不能简单等同当前发生的大块急性出血</w:t>
      </w:r>
      <w:r>
        <w:rPr>
          <w:vertAlign w:val="superscript"/>
        </w:rPr>
        <w:t xml:space="preserve">[</w:t>
      </w:r>
      <w:hyperlink w:anchor="ref-1529">
        <w:r>
          <w:rPr>
            <w:rStyle w:val="Hyperlink"/>
            <w:vertAlign w:val="superscript"/>
          </w:rPr>
          <w:t xml:space="preserve">1529</w:t>
        </w:r>
      </w:hyperlink>
      <w:r>
        <w:rPr>
          <w:vertAlign w:val="superscript"/>
        </w:rPr>
        <w:t xml:space="preserve">,</w:t>
      </w:r>
      <w:hyperlink w:anchor="ref-1534">
        <w:r>
          <w:rPr>
            <w:rStyle w:val="Hyperlink"/>
            <w:vertAlign w:val="superscript"/>
          </w:rPr>
          <w:t xml:space="preserve">1534</w:t>
        </w:r>
      </w:hyperlink>
      <w:r>
        <w:rPr>
          <w:vertAlign w:val="superscript"/>
        </w:rPr>
        <w:t xml:space="preserve">]</w:t>
      </w:r>
      <w:r>
        <w:t xml:space="preserve">。</w:t>
      </w:r>
    </w:p>
    <w:p>
      <w:pPr>
        <w:pStyle w:val="BodyText"/>
      </w:pPr>
      <w:r>
        <w:t xml:space="preserve">病因分型影响后续风险讨论。假设两个患者具有相似体积的出血，一个存在局部血管结构异常，另一个具有广泛微血管病。急性体积相同，并不保证未来复发机制相同。对再出血、缺血事件和其他疾病风险的平衡也不同。这里需要的是针对病因和全部健康状态的专业评估，单一“出血体质”标签无法准确表达。</w:t>
      </w:r>
    </w:p>
    <w:bookmarkEnd w:id="2359"/>
    <w:bookmarkStart w:id="2360" w:name="sec-143-9"/>
    <w:p>
      <w:pPr>
        <w:pStyle w:val="Heading3"/>
      </w:pPr>
      <w:r>
        <w:t xml:space="preserve">143.9　蛛网膜下腔出血与迟发变化</w:t>
      </w:r>
    </w:p>
    <w:p>
      <w:pPr>
        <w:pStyle w:val="FirstParagraph"/>
      </w:pPr>
      <w:r>
        <w:t xml:space="preserve">动脉瘤性蛛网膜下腔出血将血液释放到脑表面的脑脊液空间，可伴突发严重头痛、意识改变和其他神经症状。急性问题包括再出血、脑积水和整体脑损伤；随后还可能出现迟发性脑缺血等并发症。封闭或处理出血来源解决一个关键风险，但不能独自消除全部后续病理过程</w:t>
      </w:r>
      <w:r>
        <w:rPr>
          <w:vertAlign w:val="superscript"/>
        </w:rPr>
        <w:t xml:space="preserve">[</w:t>
      </w:r>
      <w:hyperlink w:anchor="ref-1530">
        <w:r>
          <w:rPr>
            <w:rStyle w:val="Hyperlink"/>
            <w:vertAlign w:val="superscript"/>
          </w:rPr>
          <w:t xml:space="preserve">1530</w:t>
        </w:r>
      </w:hyperlink>
      <w:r>
        <w:rPr>
          <w:vertAlign w:val="superscript"/>
        </w:rPr>
        <w:t xml:space="preserve">]</w:t>
      </w:r>
      <w:r>
        <w:t xml:space="preserve">。</w:t>
      </w:r>
    </w:p>
    <w:p>
      <w:pPr>
        <w:pStyle w:val="BodyText"/>
      </w:pPr>
      <w:r>
        <w:t xml:space="preserve">血管痉挛与迟发性脑缺血相关，但术语不能互换。一个术语主要描述血管管径变化，另一个描述具有临床意义的缺血问题。微循环、血液降解产物、炎症和局部电生理异常等可能参与复杂过程。由此可见，影像上某段血管变窄与患者出现新的功能恶化之间，需要额外证据衔接。研究中的替代终点也应接受同样检查。</w:t>
      </w:r>
    </w:p>
    <w:p>
      <w:pPr>
        <w:pStyle w:val="BodyText"/>
      </w:pPr>
      <w:r>
        <w:t xml:space="preserve">长期随访不能只记录肢体力量。注意、记忆、疲劳、情绪和社会参与可能持续受影响，即使某些常用粗略功能量表显示相对较好。对动脉瘤处理方式的比较，也应保留解剖条件、操作风险、长期复发与患者结局；现有比较不足以给所有病变规定唯一优胜技术</w:t>
      </w:r>
      <w:r>
        <w:rPr>
          <w:vertAlign w:val="superscript"/>
        </w:rPr>
        <w:t xml:space="preserve">[</w:t>
      </w:r>
      <w:hyperlink w:anchor="ref-1530">
        <w:r>
          <w:rPr>
            <w:rStyle w:val="Hyperlink"/>
            <w:vertAlign w:val="superscript"/>
          </w:rPr>
          <w:t xml:space="preserve">1530</w:t>
        </w:r>
      </w:hyperlink>
      <w:r>
        <w:rPr>
          <w:vertAlign w:val="superscript"/>
        </w:rPr>
        <w:t xml:space="preserve">]</w:t>
      </w:r>
      <w:r>
        <w:t xml:space="preserve">。</w:t>
      </w:r>
    </w:p>
    <w:bookmarkEnd w:id="2360"/>
    <w:bookmarkStart w:id="2361" w:name="sec-143-10"/>
    <w:p>
      <w:pPr>
        <w:pStyle w:val="Heading3"/>
      </w:pPr>
      <w:r>
        <w:t xml:space="preserve">143.10　静脉血栓提示另一种血流障碍</w:t>
      </w:r>
    </w:p>
    <w:p>
      <w:pPr>
        <w:pStyle w:val="FirstParagraph"/>
      </w:pPr>
      <w:r>
        <w:t xml:space="preserve">脑静脉系统负责血液回流。回流受阻可以升高静脉和毛细血管压力，影响脑脊液吸收，并造成水肿、出血性病灶或梗死。其表现可包括头痛、癫痫发作、颅内压相关症状及局灶缺损。静脉影像承担特定诊断任务，普通动脉检查不能替代对静脉系统的评估</w:t>
      </w:r>
      <w:r>
        <w:rPr>
          <w:vertAlign w:val="superscript"/>
        </w:rPr>
        <w:t xml:space="preserve">[</w:t>
      </w:r>
      <w:hyperlink w:anchor="ref-1531">
        <w:r>
          <w:rPr>
            <w:rStyle w:val="Hyperlink"/>
            <w:vertAlign w:val="superscript"/>
          </w:rPr>
          <w:t xml:space="preserve">1531</w:t>
        </w:r>
      </w:hyperlink>
      <w:r>
        <w:rPr>
          <w:vertAlign w:val="superscript"/>
        </w:rPr>
        <w:t xml:space="preserve">]</w:t>
      </w:r>
      <w:r>
        <w:t xml:space="preserve">。</w:t>
      </w:r>
    </w:p>
    <w:p>
      <w:pPr>
        <w:pStyle w:val="BodyText"/>
      </w:pPr>
      <w:r>
        <w:t xml:space="preserve">从机制上看，动脉供给不足与静脉排出受阻最终都可能伤害组织，但压力变化与分布方式不同。假设一个灌溉区域入水管通畅而出水受阻，区域内积水和压差仍可破坏正常交换。这个比喻帮助理解为什么“能看到动脉血流”不能排除静脉病变，也解释了为何脑静脉血栓的治疗原则不能从普通动脉缺血或原发脑出血直接复制。</w:t>
      </w:r>
    </w:p>
    <w:bookmarkEnd w:id="2361"/>
    <w:bookmarkStart w:id="2362" w:name="sec-143-11"/>
    <w:p>
      <w:pPr>
        <w:pStyle w:val="Heading3"/>
      </w:pPr>
      <w:r>
        <w:t xml:space="preserve">143.11　小血管病与认知的累积影响</w:t>
      </w:r>
    </w:p>
    <w:p>
      <w:pPr>
        <w:pStyle w:val="FirstParagraph"/>
      </w:pPr>
      <w:r>
        <w:t xml:space="preserve">小血管病影像可以包括白质高信号、腔隙、微出血、某些血管周围间隙表现和脑萎缩等。STRIVE2 强调标准化命名与测量，便于研究之间比较。它们体现不同过程与时间尺度，不能把所有白色区域、所有小空腔或每个微小信号异常合并成单一的“血管堵塞程度”</w:t>
      </w:r>
      <w:r>
        <w:rPr>
          <w:vertAlign w:val="superscript"/>
        </w:rPr>
        <w:t xml:space="preserve">[</w:t>
      </w:r>
      <w:hyperlink w:anchor="ref-1534">
        <w:r>
          <w:rPr>
            <w:rStyle w:val="Hyperlink"/>
            <w:vertAlign w:val="superscript"/>
          </w:rPr>
          <w:t xml:space="preserve">1534</w:t>
        </w:r>
      </w:hyperlink>
      <w:r>
        <w:rPr>
          <w:vertAlign w:val="superscript"/>
        </w:rPr>
        <w:t xml:space="preserve">]</w:t>
      </w:r>
      <w:r>
        <w:t xml:space="preserve">。</w:t>
      </w:r>
    </w:p>
    <w:p>
      <w:pPr>
        <w:pStyle w:val="BodyText"/>
      </w:pPr>
      <w:r>
        <w:t xml:space="preserve">白质连接的损伤可能通过分布式断联影响处理速度、执行功能、步态和多任务协调。损伤对功能的影响还取决于通路位置与替代路径。若两个病灶体积相同，其中一个处于多条重要纤维交汇处，另一个位于功能冗余较高的区域，结局可以不同。长期高血压、糖代谢异常、退行病理、睡眠问题和既有认知储备又会改变这种关系。</w:t>
      </w:r>
    </w:p>
    <w:p>
      <w:pPr>
        <w:pStyle w:val="BodyText"/>
      </w:pPr>
      <w:r>
        <w:t xml:space="preserve">卒中后认知受损可以来自新病灶、既有脑血管负担、共同存在的退行病理及后续并发症。急性期测量还受到谵妄、失语、疲劳、药物和情绪的影响。一次低分不能完整表示稳定能力；一次正常简短筛查也可能遗漏复杂执行或社会认知困难。随访需要结合功能目标和时间过程，识别改善、持续缺损或进一步下降的轨迹</w:t>
      </w:r>
      <w:r>
        <w:rPr>
          <w:vertAlign w:val="superscript"/>
        </w:rPr>
        <w:t xml:space="preserve">[</w:t>
      </w:r>
      <w:hyperlink w:anchor="ref-1535">
        <w:r>
          <w:rPr>
            <w:rStyle w:val="Hyperlink"/>
            <w:vertAlign w:val="superscript"/>
          </w:rPr>
          <w:t xml:space="preserve">1535</w:t>
        </w:r>
      </w:hyperlink>
      <w:r>
        <w:rPr>
          <w:vertAlign w:val="superscript"/>
        </w:rPr>
        <w:t xml:space="preserve">]</w:t>
      </w:r>
      <w:r>
        <w:t xml:space="preserve">。</w:t>
      </w:r>
    </w:p>
    <w:bookmarkEnd w:id="2362"/>
    <w:bookmarkStart w:id="2363" w:name="sec-143-12"/>
    <w:p>
      <w:pPr>
        <w:pStyle w:val="Heading3"/>
      </w:pPr>
      <w:r>
        <w:t xml:space="preserve">143.12　恢复包含代偿、学习与社会条件</w:t>
      </w:r>
    </w:p>
    <w:p>
      <w:pPr>
        <w:pStyle w:val="FirstParagraph"/>
      </w:pPr>
      <w:r>
        <w:t xml:space="preserve">卒中恢复既可能包含受损但存活组织的功能恢复，也可能包含残存网络重新学习、任务策略变化和辅助工具应用。患者能够通过不同方式完成同一目标，因此训练后任务成功不必等于原有神经通路完全恢复。测量运动学、错误类型、疲劳与真实生活使用，可以帮助区分不同层次的改善。</w:t>
      </w:r>
    </w:p>
    <w:p>
      <w:pPr>
        <w:pStyle w:val="BodyText"/>
      </w:pPr>
      <w:r>
        <w:t xml:space="preserve">假设一个人训练后可以更快穿衣，原因可能包括手指精细控制改善，也可能包括采用新的动作顺序、改用适合单手操作的衣物或环境布置。每一种改变都可能具有实际价值，但它们回答不同科学问题。若研究声称恢复了特定神经机制，需要与这一机制相匹配的测量；若目标是提高独立生活，则应直接评估生活参与和可持续性。</w:t>
      </w:r>
    </w:p>
    <w:p>
      <w:pPr>
        <w:pStyle w:val="BodyText"/>
      </w:pPr>
      <w:r>
        <w:t xml:space="preserve">预后评分适合描述在某类样本和条件下的风险分布。它不能独自决定某个人是否应停止支持性治疗。过早依据悲观预测减少照护，还可能影响随后观察到的结局，形成自我强化的预测循环。脑出血指南明确强调，严重度评分不应成为限制生命支持的唯一依据，拒绝心肺复苏的决定也不自动等同于拒绝其他治疗</w:t>
      </w:r>
      <w:r>
        <w:rPr>
          <w:vertAlign w:val="superscript"/>
        </w:rPr>
        <w:t xml:space="preserve">[</w:t>
      </w:r>
      <w:hyperlink w:anchor="ref-1529">
        <w:r>
          <w:rPr>
            <w:rStyle w:val="Hyperlink"/>
            <w:vertAlign w:val="superscript"/>
          </w:rPr>
          <w:t xml:space="preserve">1529</w:t>
        </w:r>
      </w:hyperlink>
      <w:r>
        <w:rPr>
          <w:vertAlign w:val="superscript"/>
        </w:rPr>
        <w:t xml:space="preserve">]</w:t>
      </w:r>
      <w:r>
        <w:t xml:space="preserve">。</w:t>
      </w:r>
    </w:p>
    <w:bookmarkEnd w:id="2363"/>
    <w:bookmarkStart w:id="2364" w:name="sec-143-13"/>
    <w:p>
      <w:pPr>
        <w:pStyle w:val="Heading3"/>
      </w:pPr>
      <w:r>
        <w:t xml:space="preserve">143.13　二级预防应追踪致病链条</w:t>
      </w:r>
    </w:p>
    <w:p>
      <w:pPr>
        <w:pStyle w:val="FirstParagraph"/>
      </w:pPr>
      <w:r>
        <w:t xml:space="preserve">预防复发需要寻找卒中背后的路径：大动脉粥样硬化、心源性栓塞、小血管病、血管结构异常、特定凝血或炎症问题等具有不同机制。危险因素控制与抗栓方案也应结合实际病因及出血风险。2021年二级预防指南提供了系统框架，随后研究持续更新某些具体问题；例如急性期抗凝时机需要同时参考后续随机证据</w:t>
      </w:r>
      <w:r>
        <w:rPr>
          <w:vertAlign w:val="superscript"/>
        </w:rPr>
        <w:t xml:space="preserve">[</w:t>
      </w:r>
      <w:hyperlink w:anchor="ref-1541">
        <w:r>
          <w:rPr>
            <w:rStyle w:val="Hyperlink"/>
            <w:vertAlign w:val="superscript"/>
          </w:rPr>
          <w:t xml:space="preserve">1541</w:t>
        </w:r>
      </w:hyperlink>
      <w:r>
        <w:rPr>
          <w:vertAlign w:val="superscript"/>
        </w:rPr>
        <w:t xml:space="preserve">,</w:t>
      </w:r>
      <w:hyperlink w:anchor="ref-1542">
        <w:r>
          <w:rPr>
            <w:rStyle w:val="Hyperlink"/>
            <w:vertAlign w:val="superscript"/>
          </w:rPr>
          <w:t xml:space="preserve">1542</w:t>
        </w:r>
      </w:hyperlink>
      <w:r>
        <w:rPr>
          <w:vertAlign w:val="superscript"/>
        </w:rPr>
        <w:t xml:space="preserve">]</w:t>
      </w:r>
      <w:r>
        <w:t xml:space="preserve">。</w:t>
      </w:r>
    </w:p>
    <w:p>
      <w:pPr>
        <w:pStyle w:val="BodyText"/>
      </w:pPr>
      <w:r>
        <w:t xml:space="preserve">病因导向不意味着只处理一个原因。一个患者可以同时存在房颤、高血压和广泛小血管改变，各因素对事件的贡献可能不同。合理的研究与临床记录应区分已经证实的来源、较可能的来源和仍未知的来源，并说明何种新证据会改变判断。这样既能避免把偶然检出的异常当作全部原因，也能避免在找到一个解释后停止检查重要的共同风险。</w:t>
      </w:r>
    </w:p>
    <w:bookmarkEnd w:id="2364"/>
    <w:bookmarkStart w:id="2365" w:name="sec-143-14"/>
    <w:p>
      <w:pPr>
        <w:pStyle w:val="Heading3"/>
      </w:pPr>
      <w:r>
        <w:t xml:space="preserve">143.14　关键判断的置信度与临床外推</w:t>
      </w:r>
    </w:p>
    <w:p>
      <w:pPr>
        <w:pStyle w:val="FirstParagraph"/>
      </w:pPr>
      <w:r>
        <w:t xml:space="preserve">急性脑血管病需要及时识别；血流不足可通过能量障碍和离子失衡损伤组织，动脉、静脉与出血性病变的机制需要区分，病理类型与组织状态影响治疗选择。这些基础判断具有较高确定性。部分经过选择的患者可从再灌注治疗获得明确功能收益，但取栓、抗栓或康复研究的可靠结论属于特定时间、影像、病因和功能条件下的平均效应，试验之间的入组差异决定了外推边界。影像推定的半暗带、侧支等级及网络连接可以协助解释风险和恢复机会，其单次读数并不提供精确细胞生死图，也无法保证个人功能结局。仍需保留的不确定性包括个体恢复程度、不同病理的长期交互、某些替代终点与生活质量之间的对应，以及新技术在更广人群中的风险收益。将一个平均治疗优势转成延迟就医的理由或家庭操作程序，均超出了证据范围</w:t>
      </w:r>
      <w:r>
        <w:rPr>
          <w:vertAlign w:val="superscript"/>
        </w:rPr>
        <w:t xml:space="preserve">[</w:t>
      </w:r>
      <w:hyperlink w:anchor="ref-1528">
        <w:r>
          <w:rPr>
            <w:rStyle w:val="Hyperlink"/>
            <w:vertAlign w:val="superscript"/>
          </w:rPr>
          <w:t xml:space="preserve">1528</w:t>
        </w:r>
      </w:hyperlink>
      <w:r>
        <w:rPr>
          <w:vertAlign w:val="superscript"/>
        </w:rPr>
        <w:t xml:space="preserve">,</w:t>
      </w:r>
      <w:hyperlink w:anchor="ref-1534">
        <w:r>
          <w:rPr>
            <w:rStyle w:val="Hyperlink"/>
            <w:vertAlign w:val="superscript"/>
          </w:rPr>
          <w:t xml:space="preserve">1534</w:t>
        </w:r>
      </w:hyperlink>
      <w:r>
        <w:rPr>
          <w:vertAlign w:val="superscript"/>
        </w:rPr>
        <w:t xml:space="preserve">,</w:t>
      </w:r>
      <w:hyperlink w:anchor="ref-1536">
        <w:r>
          <w:rPr>
            <w:rStyle w:val="Hyperlink"/>
            <w:vertAlign w:val="superscript"/>
          </w:rPr>
          <w:t xml:space="preserve">1536</w:t>
        </w:r>
      </w:hyperlink>
      <w:r>
        <w:rPr>
          <w:vertAlign w:val="superscript"/>
        </w:rPr>
        <w:t xml:space="preserve">,</w:t>
      </w:r>
      <w:hyperlink w:anchor="ref-1537">
        <w:r>
          <w:rPr>
            <w:rStyle w:val="Hyperlink"/>
            <w:vertAlign w:val="superscript"/>
          </w:rPr>
          <w:t xml:space="preserve">1537</w:t>
        </w:r>
      </w:hyperlink>
      <w:r>
        <w:rPr>
          <w:vertAlign w:val="superscript"/>
        </w:rPr>
        <w:t xml:space="preserve">]</w:t>
      </w:r>
      <w:r>
        <w:t xml:space="preserve">。</w:t>
      </w:r>
    </w:p>
    <w:bookmarkEnd w:id="2365"/>
    <w:bookmarkEnd w:id="2366"/>
    <w:bookmarkStart w:id="2382" w:name="ch-144"/>
    <w:p>
      <w:pPr>
        <w:pStyle w:val="Heading2"/>
      </w:pPr>
      <w:r>
        <w:t xml:space="preserve">第144章　帕金森综合征与运动障碍的多层解释</w:t>
      </w:r>
    </w:p>
    <w:bookmarkStart w:id="2367" w:name="sec-144-1"/>
    <w:p>
      <w:pPr>
        <w:pStyle w:val="Heading3"/>
      </w:pPr>
      <w:r>
        <w:t xml:space="preserve">144.1　先描述运动、再解释病因</w:t>
      </w:r>
    </w:p>
    <w:p>
      <w:pPr>
        <w:pStyle w:val="FirstParagraph"/>
      </w:pPr>
      <w:r>
        <w:t xml:space="preserve">运动障碍学从精确观察开始。同样被描述为手抖、走慢或身体僵硬的体验，可能来自不同的生理过程。震颤具有节律性摆动；肌张力障碍涉及持续或间歇的异常肌肉收缩及特定姿势；舞蹈样运动表现为不规则、流动的异常运动；肌阵挛是短促的抽动；运动迟缓则需要进一步考察速度、幅度、启动及重复动作中的变化。临床表现轴与病因轴应分别建立，随后再寻找两者之间的对应</w:t>
      </w:r>
      <w:r>
        <w:rPr>
          <w:vertAlign w:val="superscript"/>
        </w:rPr>
        <w:t xml:space="preserve">[</w:t>
      </w:r>
      <w:hyperlink w:anchor="ref-1543">
        <w:r>
          <w:rPr>
            <w:rStyle w:val="Hyperlink"/>
            <w:vertAlign w:val="superscript"/>
          </w:rPr>
          <w:t xml:space="preserve">1543</w:t>
        </w:r>
      </w:hyperlink>
      <w:r>
        <w:rPr>
          <w:vertAlign w:val="superscript"/>
        </w:rPr>
        <w:t xml:space="preserve">,</w:t>
      </w:r>
      <w:hyperlink w:anchor="ref-1544">
        <w:r>
          <w:rPr>
            <w:rStyle w:val="Hyperlink"/>
            <w:vertAlign w:val="superscript"/>
          </w:rPr>
          <w:t xml:space="preserve">1544</w:t>
        </w:r>
      </w:hyperlink>
      <w:r>
        <w:rPr>
          <w:vertAlign w:val="superscript"/>
        </w:rPr>
        <w:t xml:space="preserve">]</w:t>
      </w:r>
      <w:r>
        <w:t xml:space="preserve">。</w:t>
      </w:r>
    </w:p>
    <w:p>
      <w:pPr>
        <w:pStyle w:val="BodyText"/>
      </w:pPr>
      <w:r>
        <w:t xml:space="preserve">帕金森综合征描述一组运动表现。MDS 临床标准把运动迟缓与静止性震颤或强直的组合放在核心位置，再根据支持特征、排除条件和警示特征判断帕金森病是否是合适的病因解释。帕金森病、药物相关帕金森综合征、多系统萎缩、进行性核上性麻痹及其他疾病均可能涉及部分相似表现，随访中的演变常会改变最初的判断</w:t>
      </w:r>
      <w:r>
        <w:rPr>
          <w:vertAlign w:val="superscript"/>
        </w:rPr>
        <w:t xml:space="preserve">[</w:t>
      </w:r>
      <w:hyperlink w:anchor="ref-1543">
        <w:r>
          <w:rPr>
            <w:rStyle w:val="Hyperlink"/>
            <w:vertAlign w:val="superscript"/>
          </w:rPr>
          <w:t xml:space="preserve">1543</w:t>
        </w:r>
      </w:hyperlink>
      <w:r>
        <w:rPr>
          <w:vertAlign w:val="superscript"/>
        </w:rPr>
        <w:t xml:space="preserve">]</w:t>
      </w:r>
      <w:r>
        <w:t xml:space="preserve">。</w:t>
      </w:r>
    </w:p>
    <w:p>
      <w:pPr>
        <w:pStyle w:val="BodyText"/>
      </w:pPr>
      <w:r>
        <w:t xml:space="preserve">这一分层对公众理解尤其重要。一个人动作慢，可能同时受到关节疼痛、肌力、注意、情绪、睡眠和药物的影响；一个人出现震颤，也可能有多种病因。把某个外观立即绑定到某种退行性疾病，会跳过必要的临床解释。教学中的症状描述帮助读者理解专业评估在观察什么，不能替代专业诊断。</w:t>
      </w:r>
    </w:p>
    <w:bookmarkEnd w:id="2367"/>
    <w:bookmarkStart w:id="2368" w:name="sec-144-2"/>
    <w:p>
      <w:pPr>
        <w:pStyle w:val="Heading3"/>
      </w:pPr>
      <w:r>
        <w:t xml:space="preserve">144.2　基底节参与行动的选择与组织</w:t>
      </w:r>
    </w:p>
    <w:p>
      <w:pPr>
        <w:pStyle w:val="FirstParagraph"/>
      </w:pPr>
      <w:r>
        <w:t xml:space="preserve">基底节通过与皮质、丘脑、脑干及其他结构形成的环路，参与动作选择、启动、尺度调整和习惯性行为。经典的直接、间接和超直接通路模型提供了有用的连接框架，但连接中的兴奋和抑制符号并不能完整表示活体中的时间模式、局部侧支和细胞异质性。将全部运动归结为一条线路负责开启、另一条线路负责停止，会丢失动作竞争和协调的层次。</w:t>
      </w:r>
    </w:p>
    <w:p>
      <w:pPr>
        <w:pStyle w:val="BodyText"/>
      </w:pPr>
      <w:r>
        <w:t xml:space="preserve">细胞类型特异的小鼠记录显示，动作启动时直接与间接通路的纹状体细胞群可以共同活跃。这项结果支持同时考察两类通路如何协同组织行为。它并没有消除通路之间的功能差别，也没有使任何单一钙信号成为人类意图的读出。群体活动、单细胞放电、突触效应与最终动作之间仍存在多个转换环节</w:t>
      </w:r>
      <w:r>
        <w:rPr>
          <w:vertAlign w:val="superscript"/>
        </w:rPr>
        <w:t xml:space="preserve">[</w:t>
      </w:r>
      <w:hyperlink w:anchor="ref-184">
        <w:r>
          <w:rPr>
            <w:rStyle w:val="Hyperlink"/>
            <w:vertAlign w:val="superscript"/>
          </w:rPr>
          <w:t xml:space="preserve">184</w:t>
        </w:r>
      </w:hyperlink>
      <w:r>
        <w:rPr>
          <w:vertAlign w:val="superscript"/>
        </w:rPr>
        <w:t xml:space="preserve">]</w:t>
      </w:r>
      <w:r>
        <w:t xml:space="preserve">。</w:t>
      </w:r>
    </w:p>
    <w:p>
      <w:pPr>
        <w:pStyle w:val="BodyText"/>
      </w:pPr>
      <w:r>
        <w:t xml:space="preserve">一个假设的伸手动作包含选择目标、抑制竞争动作、确定力度、安排关节顺序和根据反馈修正。即使“做出动作”的总量相同，不同环节的时间安排也会改变动作流畅度。这个例子说明，平均放电率相近的两种网络状态仍可能产生不同功能。病理研究因而需要观察同步性、频段活动、状态转换和任务依赖性，不能仅依靠一个全局兴奋程度。</w:t>
      </w:r>
    </w:p>
    <w:p>
      <w:pPr>
        <w:pStyle w:val="BodyText"/>
      </w:pPr>
      <w:r>
        <w:t xml:space="preserve">多巴胺对这些环路具有调节作用，影响细胞和突触如何对输入作出反应。多巴胺减少可以改变动作的尺度与自动化过程，但一个人的全部动机、快乐、人格或认知不能由一个“多巴胺水平”概括。不同投射、受体、时程与任务条件具有不同意义。临床治疗改善某些运动症状，也不意味着所有认知和自主神经症状会按相同比例改善</w:t>
      </w:r>
      <w:r>
        <w:rPr>
          <w:vertAlign w:val="superscript"/>
        </w:rPr>
        <w:t xml:space="preserve">[</w:t>
      </w:r>
      <w:hyperlink w:anchor="ref-1543">
        <w:r>
          <w:rPr>
            <w:rStyle w:val="Hyperlink"/>
            <w:vertAlign w:val="superscript"/>
          </w:rPr>
          <w:t xml:space="preserve">1543</w:t>
        </w:r>
      </w:hyperlink>
      <w:r>
        <w:rPr>
          <w:vertAlign w:val="superscript"/>
        </w:rPr>
        <w:t xml:space="preserve">,</w:t>
      </w:r>
      <w:hyperlink w:anchor="ref-1545">
        <w:r>
          <w:rPr>
            <w:rStyle w:val="Hyperlink"/>
            <w:vertAlign w:val="superscript"/>
          </w:rPr>
          <w:t xml:space="preserve">1545</w:t>
        </w:r>
      </w:hyperlink>
      <w:r>
        <w:rPr>
          <w:vertAlign w:val="superscript"/>
        </w:rPr>
        <w:t xml:space="preserve">]</w:t>
      </w:r>
      <w:r>
        <w:t xml:space="preserve">。</w:t>
      </w:r>
    </w:p>
    <w:bookmarkEnd w:id="2368"/>
    <w:bookmarkStart w:id="2369" w:name="sec-144-3"/>
    <w:p>
      <w:pPr>
        <w:pStyle w:val="Heading3"/>
      </w:pPr>
      <w:r>
        <w:t xml:space="preserve">144.3　细胞脆弱性与蛋白稳态</w:t>
      </w:r>
    </w:p>
    <w:p>
      <w:pPr>
        <w:pStyle w:val="FirstParagraph"/>
      </w:pPr>
      <w:r>
        <w:t xml:space="preserve">帕金森病相关研究涉及线粒体质量控制、溶酶体功能、突触蛋白、脂质代谢及炎症等多个相互影响的过程。线粒体产生能源，也参与钙调节和细胞应激；溶酶体处理多类细胞成分，帮助维持蛋白及膜系统的更新。神经元长距离轴突运输和持续活动带来的负荷，使局部损伤的修复与替换具有空间问题。细胞体中的正常检测结果未必完整代表远端轴突状态。</w:t>
      </w:r>
    </w:p>
    <w:p>
      <w:pPr>
        <w:pStyle w:val="BodyText"/>
      </w:pPr>
      <w:r>
        <w:t xml:space="preserve">Parkin 的细胞实验显示，它可以募集到膜电位受损的线粒体并促进这些线粒体的自噬清除。这为某些遗传关联提供了具体机制方向。实验同时具有细胞类型、表达方式和损伤条件的限制；从人工诱发的线粒体损伤到人类多年病程，还需要解释正常质量控制如何失衡、其他通路如何补偿以及何时开始产生不可逆后果</w:t>
      </w:r>
      <w:r>
        <w:rPr>
          <w:vertAlign w:val="superscript"/>
        </w:rPr>
        <w:t xml:space="preserve">[</w:t>
      </w:r>
      <w:hyperlink w:anchor="ref-1546">
        <w:r>
          <w:rPr>
            <w:rStyle w:val="Hyperlink"/>
            <w:vertAlign w:val="superscript"/>
          </w:rPr>
          <w:t xml:space="preserve">1546</w:t>
        </w:r>
      </w:hyperlink>
      <w:r>
        <w:rPr>
          <w:vertAlign w:val="superscript"/>
        </w:rPr>
        <w:t xml:space="preserve">]</w:t>
      </w:r>
      <w:r>
        <w:t xml:space="preserve">。</w:t>
      </w:r>
    </w:p>
    <w:p>
      <w:pPr>
        <w:pStyle w:val="BodyText"/>
      </w:pPr>
      <w:r>
        <w:t xml:space="preserve">葡萄糖脑苷脂酶相关研究提供了另一种反馈结构。细胞及患者来源神经元实验支持，溶酶体降解受损可促进 α-突触核蛋白积累，异常蛋白又可能进一步影响相关酶的功能。这个相互强化过程提示病理能够跨越原始触发事件持续发展。但并非每个患者都具有同样的遗传起点，改变某个细胞指标也不自动等于临床治疗成功</w:t>
      </w:r>
      <w:r>
        <w:rPr>
          <w:vertAlign w:val="superscript"/>
        </w:rPr>
        <w:t xml:space="preserve">[</w:t>
      </w:r>
      <w:hyperlink w:anchor="ref-1547">
        <w:r>
          <w:rPr>
            <w:rStyle w:val="Hyperlink"/>
            <w:vertAlign w:val="superscript"/>
          </w:rPr>
          <w:t xml:space="preserve">1547</w:t>
        </w:r>
      </w:hyperlink>
      <w:r>
        <w:rPr>
          <w:vertAlign w:val="superscript"/>
        </w:rPr>
        <w:t xml:space="preserve">]</w:t>
      </w:r>
      <w:r>
        <w:t xml:space="preserve">。</w:t>
      </w:r>
    </w:p>
    <w:p>
      <w:pPr>
        <w:pStyle w:val="BodyText"/>
      </w:pPr>
      <w:r>
        <w:t xml:space="preserve">为了理解这种反馈，可设想一个纯理论系统：蛋白产生速率维持不变，降解能力轻度下降，初期仍能达到新的平衡；当积累产物进一步削弱降解能力时，系统可能跨过阈值并加速失衡。这个模型提出可检验的问题，例如恢复降解是否需要在阈值前实施，以及晚期仅提高一种酶活是否足以解除多个反馈。模型本身无法决定真实人体阈值，更不能据此推导某种补充剂有效。</w:t>
      </w:r>
    </w:p>
    <w:bookmarkEnd w:id="2369"/>
    <w:bookmarkStart w:id="2370" w:name="sec-144-4"/>
    <w:p>
      <w:pPr>
        <w:pStyle w:val="Heading3"/>
      </w:pPr>
      <w:r>
        <w:t xml:space="preserve">144.4　突触核蛋白的检测与疾病的定义</w:t>
      </w:r>
    </w:p>
    <w:p>
      <w:pPr>
        <w:pStyle w:val="FirstParagraph"/>
      </w:pPr>
      <w:r>
        <w:t xml:space="preserve">种子扩增检测利用异常构象蛋白促进相关蛋白转变和聚集的特性，使原本很弱的信号能够被观察。它测量的是在特定反应条件下的播种活性，与直接计数全脑全部异常蛋白不同，也不直接给出剩余神经元数量。样本部位、反应条件、阳性定义和不同蛋白构象均可能影响结果</w:t>
      </w:r>
      <w:r>
        <w:rPr>
          <w:vertAlign w:val="superscript"/>
        </w:rPr>
        <w:t xml:space="preserve">[</w:t>
      </w:r>
      <w:hyperlink w:anchor="ref-1548">
        <w:r>
          <w:rPr>
            <w:rStyle w:val="Hyperlink"/>
            <w:vertAlign w:val="superscript"/>
          </w:rPr>
          <w:t xml:space="preserve">1548</w:t>
        </w:r>
      </w:hyperlink>
      <w:r>
        <w:rPr>
          <w:vertAlign w:val="superscript"/>
        </w:rPr>
        <w:t xml:space="preserve">]</w:t>
      </w:r>
      <w:r>
        <w:t xml:space="preserve">。</w:t>
      </w:r>
    </w:p>
    <w:p>
      <w:pPr>
        <w:pStyle w:val="BodyText"/>
      </w:pPr>
      <w:r>
        <w:t xml:space="preserve">2023年 PPMI 横断面研究纳入1123人，其中545人为帕金森病患者、163人为健康对照。脑脊液 α-突触核蛋白种子扩增在这一比较中，敏感度为87.7%，特异度为96.3%；不同遗传及嗅觉亚组的阳性比例不同。这里的健康对照特异度，不能直接替代在所有相似神经疾病中的鉴别性能；研究队列中的性能也不能直接当作普通人群筛查的阳性预测值</w:t>
      </w:r>
      <w:r>
        <w:rPr>
          <w:vertAlign w:val="superscript"/>
        </w:rPr>
        <w:t xml:space="preserve">[</w:t>
      </w:r>
      <w:hyperlink w:anchor="ref-1548">
        <w:r>
          <w:rPr>
            <w:rStyle w:val="Hyperlink"/>
            <w:vertAlign w:val="superscript"/>
          </w:rPr>
          <w:t xml:space="preserve">1548</w:t>
        </w:r>
      </w:hyperlink>
      <w:r>
        <w:rPr>
          <w:vertAlign w:val="superscript"/>
        </w:rPr>
        <w:t xml:space="preserve">]</w:t>
      </w:r>
      <w:r>
        <w:t xml:space="preserve">。</w:t>
      </w:r>
    </w:p>
    <w:p>
      <w:pPr>
        <w:pStyle w:val="BodyText"/>
      </w:pPr>
      <w:r>
        <w:t xml:space="preserve">2024年提出的神经元 α-突触核蛋白疾病整合分期，把病理信号、多巴胺功能相关指标和功能受损程度组合为研究框架。另一套 SynNeurGe 框架分别描述突触核蛋白、神经退行、遗传和临床维度。这些提议使研究更容易按生物学机制分层，同时也提出无症状阳性者如何命名、如何沟通不确定性和如何验证预测价值的问题。两套原文均明确强调研究用途，不能直接转化为普遍适用的临床筛查标签</w:t>
      </w:r>
      <w:r>
        <w:rPr>
          <w:vertAlign w:val="superscript"/>
        </w:rPr>
        <w:t xml:space="preserve">[</w:t>
      </w:r>
      <w:hyperlink w:anchor="ref-1549">
        <w:r>
          <w:rPr>
            <w:rStyle w:val="Hyperlink"/>
            <w:vertAlign w:val="superscript"/>
          </w:rPr>
          <w:t xml:space="preserve">1549</w:t>
        </w:r>
      </w:hyperlink>
      <w:r>
        <w:rPr>
          <w:vertAlign w:val="superscript"/>
        </w:rPr>
        <w:t xml:space="preserve">,</w:t>
      </w:r>
      <w:hyperlink w:anchor="ref-1550">
        <w:r>
          <w:rPr>
            <w:rStyle w:val="Hyperlink"/>
            <w:vertAlign w:val="superscript"/>
          </w:rPr>
          <w:t xml:space="preserve">1550</w:t>
        </w:r>
      </w:hyperlink>
      <w:r>
        <w:rPr>
          <w:vertAlign w:val="superscript"/>
        </w:rPr>
        <w:t xml:space="preserve">]</w:t>
      </w:r>
      <w:r>
        <w:t xml:space="preserve">。</w:t>
      </w:r>
    </w:p>
    <w:p>
      <w:pPr>
        <w:pStyle w:val="BodyText"/>
      </w:pPr>
      <w:r>
        <w:t xml:space="preserve">可以把这种变化理解为增加坐标。原有临床坐标描述行动和生活中已经出现的困难，分子坐标描述某些病理相关过程，遗传坐标描述风险来源的一部分。坐标之间存在关联，但尚不能相互完全替代。一个人在某个分子维度阳性，仍需要时间信息才能估计何时发生何种症状；一个临床表现明确的人，也可能具有不同的分子组合。</w:t>
      </w:r>
    </w:p>
    <w:bookmarkEnd w:id="2370"/>
    <w:bookmarkStart w:id="2371" w:name="sec-144-5"/>
    <w:p>
      <w:pPr>
        <w:pStyle w:val="Heading3"/>
      </w:pPr>
      <w:r>
        <w:t xml:space="preserve">144.5　身体先行与脑内先行的假说</w:t>
      </w:r>
    </w:p>
    <w:p>
      <w:pPr>
        <w:pStyle w:val="FirstParagraph"/>
      </w:pPr>
      <w:r>
        <w:t xml:space="preserve">部分研究提出，帕金森相关病理的起始与传播可能存在不同轨迹。有些患者较早呈现自主神经或快速眼动睡眠行为异常，有些患者较早出现中枢运动系统表现。多模态影像病例对照研究在37名新诊断帕金森病患者及22名孤立性快速眼动睡眠行为障碍患者中，观察到与不同轨迹假说相容的中枢和外周模式</w:t>
      </w:r>
      <w:r>
        <w:rPr>
          <w:vertAlign w:val="superscript"/>
        </w:rPr>
        <w:t xml:space="preserve">[</w:t>
      </w:r>
      <w:hyperlink w:anchor="ref-1551">
        <w:r>
          <w:rPr>
            <w:rStyle w:val="Hyperlink"/>
            <w:vertAlign w:val="superscript"/>
          </w:rPr>
          <w:t xml:space="preserve">1551</w:t>
        </w:r>
      </w:hyperlink>
      <w:r>
        <w:rPr>
          <w:vertAlign w:val="superscript"/>
        </w:rPr>
        <w:t xml:space="preserve">]</w:t>
      </w:r>
      <w:r>
        <w:t xml:space="preserve">。</w:t>
      </w:r>
    </w:p>
    <w:p>
      <w:pPr>
        <w:pStyle w:val="BodyText"/>
      </w:pPr>
      <w:r>
        <w:t xml:space="preserve">这里最重要的解释限制是时间。对不同人的一次测量可以揭示组间组合，却不能完整重建同一个人的病理最初从哪里出现、沿哪条路径传播以及传播是否为唯一机制。不同结构也可能因共同上游因素而在不同时间表现异常。检验起源假说需要纵向观察、机制实验与多种病理证据相互支持。</w:t>
      </w:r>
    </w:p>
    <w:p>
      <w:pPr>
        <w:pStyle w:val="BodyText"/>
      </w:pPr>
      <w:r>
        <w:t xml:space="preserve">因此，便秘、嗅觉变化或梦中异常动作都需要结合其常见程度和其他解释。它们可作为研究风险组合的一部分，但单独出现不能确定某个人以后会患帕金森病。病理模型提出的跨细胞传播，也不意味着日常社会接触会传播这种疾病。细胞内外构象过程与人与人之间的感染，是不同层级的命题。</w:t>
      </w:r>
    </w:p>
    <w:bookmarkEnd w:id="2371"/>
    <w:bookmarkStart w:id="2372" w:name="sec-144-6"/>
    <w:p>
      <w:pPr>
        <w:pStyle w:val="Heading3"/>
      </w:pPr>
      <w:r>
        <w:t xml:space="preserve">144.6　运动与非运动症状的时间结构</w:t>
      </w:r>
    </w:p>
    <w:p>
      <w:pPr>
        <w:pStyle w:val="FirstParagraph"/>
      </w:pPr>
      <w:r>
        <w:t xml:space="preserve">疾病负担不能只用震颤幅度描述。睡眠、便秘、体位相关不适、疼痛、情绪、认知和幻觉可能显著影响生活。部分问题与疾病相关网络改变有关，部分受药物、其他疾病和环境影响。将每个新症状都归入同一种疾病，会遗漏可处理的独立原因；把所有非运动问题视为心理反应，也会遗漏重要的神经生理过程</w:t>
      </w:r>
      <w:r>
        <w:rPr>
          <w:vertAlign w:val="superscript"/>
        </w:rPr>
        <w:t xml:space="preserve">[</w:t>
      </w:r>
      <w:hyperlink w:anchor="ref-1545">
        <w:r>
          <w:rPr>
            <w:rStyle w:val="Hyperlink"/>
            <w:vertAlign w:val="superscript"/>
          </w:rPr>
          <w:t xml:space="preserve">1545</w:t>
        </w:r>
      </w:hyperlink>
      <w:r>
        <w:rPr>
          <w:vertAlign w:val="superscript"/>
        </w:rPr>
        <w:t xml:space="preserve">]</w:t>
      </w:r>
      <w:r>
        <w:t xml:space="preserve">。</w:t>
      </w:r>
    </w:p>
    <w:p>
      <w:pPr>
        <w:pStyle w:val="BodyText"/>
      </w:pPr>
      <w:r>
        <w:t xml:space="preserve">运动波动反映药物作用、病程和网络状态之间的动态关系。一次门诊观察通常只覆盖很短时间，可能无法代表一天中最困难的阶段。日记和可穿戴设备能够补充时间分布，但设备记录的是运动信号与算法分类。姿势、日常活动、传感器位置及个人动作习惯会影响输出。客观记录与主观体验可以相互补充，二者不应被简单排成可信度的绝对高低。</w:t>
      </w:r>
    </w:p>
    <w:p>
      <w:pPr>
        <w:pStyle w:val="BodyText"/>
      </w:pPr>
      <w:r>
        <w:t xml:space="preserve">冻结步态提供了情境依赖的例子。一个人可能在宽阔直线路径上行走较好，在转弯、狭窄通道或同时处理另一任务时出现明显困难。单一走廊测试可能低估日常负担。研究中若想解释机制，需要区分动作启动、步幅调节、视觉空间加工、注意竞争与焦虑等可能贡献，并在合适条件下检验，避免把所有冻结归为单一信号异常。</w:t>
      </w:r>
    </w:p>
    <w:bookmarkEnd w:id="2372"/>
    <w:bookmarkStart w:id="2373" w:name="sec-144-7"/>
    <w:p>
      <w:pPr>
        <w:pStyle w:val="Heading3"/>
      </w:pPr>
      <w:r>
        <w:t xml:space="preserve">144.7　左旋多巴的症状作用与病程作用</w:t>
      </w:r>
    </w:p>
    <w:p>
      <w:pPr>
        <w:pStyle w:val="FirstParagraph"/>
      </w:pPr>
      <w:r>
        <w:t xml:space="preserve">左旋多巴是帕金森病运动症状治疗的重要组成部分。症状控制和疾病修饰是两个独立问题：前者关注当前功能是否改善，后者关注基础病理进展是否被改变。LEAP 随机延迟开始试验纳入445人，在80周时，两组 UPDRS 总分变化差约1.0分，95%置信区间为负1.5至3.5分，未显示在所研究条件下的疾病修饰作用。这个结果不能被解释为药物没有症状价值</w:t>
      </w:r>
      <w:r>
        <w:rPr>
          <w:vertAlign w:val="superscript"/>
        </w:rPr>
        <w:t xml:space="preserve">[</w:t>
      </w:r>
      <w:hyperlink w:anchor="ref-1552">
        <w:r>
          <w:rPr>
            <w:rStyle w:val="Hyperlink"/>
            <w:vertAlign w:val="superscript"/>
          </w:rPr>
          <w:t xml:space="preserve">1552</w:t>
        </w:r>
      </w:hyperlink>
      <w:r>
        <w:rPr>
          <w:vertAlign w:val="superscript"/>
        </w:rPr>
        <w:t xml:space="preserve">]</w:t>
      </w:r>
      <w:r>
        <w:t xml:space="preserve">。</w:t>
      </w:r>
    </w:p>
    <w:p>
      <w:pPr>
        <w:pStyle w:val="BodyText"/>
      </w:pPr>
      <w:r>
        <w:t xml:space="preserve">延迟开始设计的逻辑是：若较早接受治疗改变了累积病程，那么当两组随后都接受相同治疗时，早期组可能仍保留差距。但实际解释受到持续症状效应、量表敏感性、时间长度和病程非线性的影响。因此，观察不到保留差异仅支持该研究条件下的结论，不足以排除所有可能时程与剂量中的细微长期效应。</w:t>
      </w:r>
    </w:p>
    <w:p>
      <w:pPr>
        <w:pStyle w:val="BodyText"/>
      </w:pPr>
      <w:r>
        <w:t xml:space="preserve">多巴胺相关治疗还可能出现冲动控制、嗜睡或精神症状等问题。风险会随药物类别、个体背景和联合治疗变化。NICE 强调治疗讨论应包含症状、生活目标、共病和不良反应，并由具备专业经验的人员处理复杂波动。这里不提供个人停药、加药或替换方案，因为相同症状变化可能具有不同原因</w:t>
      </w:r>
      <w:r>
        <w:rPr>
          <w:vertAlign w:val="superscript"/>
        </w:rPr>
        <w:t xml:space="preserve">[</w:t>
      </w:r>
      <w:hyperlink w:anchor="ref-1545">
        <w:r>
          <w:rPr>
            <w:rStyle w:val="Hyperlink"/>
            <w:vertAlign w:val="superscript"/>
          </w:rPr>
          <w:t xml:space="preserve">1545</w:t>
        </w:r>
      </w:hyperlink>
      <w:r>
        <w:rPr>
          <w:vertAlign w:val="superscript"/>
        </w:rPr>
        <w:t xml:space="preserve">]</w:t>
      </w:r>
      <w:r>
        <w:t xml:space="preserve">。</w:t>
      </w:r>
    </w:p>
    <w:bookmarkEnd w:id="2373"/>
    <w:bookmarkStart w:id="2374" w:name="sec-144-8"/>
    <w:p>
      <w:pPr>
        <w:pStyle w:val="Heading3"/>
      </w:pPr>
      <w:r>
        <w:t xml:space="preserve">144.8　深部脑刺激改变的是网络运行条件</w:t>
      </w:r>
    </w:p>
    <w:p>
      <w:pPr>
        <w:pStyle w:val="FirstParagraph"/>
      </w:pPr>
      <w:r>
        <w:t xml:space="preserve">深部脑刺激通过植入电极向特定网络节点及周围纤维施加电刺激。它会影响多个局部和远程环节，机制不能简化为把目标核团永久关闭。刺激参数、接触点位置、纤维走向和当时的网络状态都可能改变效应。运动改善也不意味着异常蛋白被清除或退行过程被阻止。</w:t>
      </w:r>
    </w:p>
    <w:p>
      <w:pPr>
        <w:pStyle w:val="BodyText"/>
      </w:pPr>
      <w:r>
        <w:t xml:space="preserve">一项156人的随机试验在具有严重运动并发症的选择性患者中，比较丘脑底核刺激加药物与药物管理，六个月时运动与生活质量结局支持刺激方案，同时重大不良事件为13%与4%。这提供了特定人群中的临床收益与风险证据，无法外推为所有阶段、所有认知情况或所有症状均适合手术</w:t>
      </w:r>
      <w:r>
        <w:rPr>
          <w:vertAlign w:val="superscript"/>
        </w:rPr>
        <w:t xml:space="preserve">[</w:t>
      </w:r>
      <w:hyperlink w:anchor="ref-1553">
        <w:r>
          <w:rPr>
            <w:rStyle w:val="Hyperlink"/>
            <w:vertAlign w:val="superscript"/>
          </w:rPr>
          <w:t xml:space="preserve">1553</w:t>
        </w:r>
      </w:hyperlink>
      <w:r>
        <w:rPr>
          <w:vertAlign w:val="superscript"/>
        </w:rPr>
        <w:t xml:space="preserve">]</w:t>
      </w:r>
      <w:r>
        <w:t xml:space="preserve">。</w:t>
      </w:r>
    </w:p>
    <w:p>
      <w:pPr>
        <w:pStyle w:val="BodyText"/>
      </w:pPr>
      <w:r>
        <w:t xml:space="preserve">脑刺激研究中的“有效”也需要拆解。震颤减少、清醒期间良好运动时间增加、跌倒减少、言语更清楚和照护负担下降是不同结局。某项技术可能在一个结局上获益，在另一个结局上有限，甚至产生新的困难。患者最重视的目标与研究主要终点可以不同，完整评价应呈现这种差异。</w:t>
      </w:r>
    </w:p>
    <w:bookmarkEnd w:id="2374"/>
    <w:bookmarkStart w:id="2375" w:name="sec-144-9"/>
    <w:p>
      <w:pPr>
        <w:pStyle w:val="Heading3"/>
      </w:pPr>
      <w:r>
        <w:t xml:space="preserve">144.9　自适应刺激的控制问题</w:t>
      </w:r>
    </w:p>
    <w:p>
      <w:pPr>
        <w:pStyle w:val="FirstParagraph"/>
      </w:pPr>
      <w:r>
        <w:t xml:space="preserve">自适应刺激把传感信号接入控制环，根据当前状态改变刺激输出。一个控制系统至少包含测量、状态估计、决策规则和执行四个环节。测量到的频段活动需要与目标症状具有稳定联系；规则需要防止噪声、运动伪影和短时偶然变化导致不适当调整；执行还要受到安全边界约束。这些问题使算法的成功依赖于具体患者、症状和观察时程。</w:t>
      </w:r>
    </w:p>
    <w:p>
      <w:pPr>
        <w:pStyle w:val="BodyText"/>
      </w:pPr>
      <w:r>
        <w:t xml:space="preserve">2024年一项四名男性参与者的盲法随机交叉可行性试验，采用个体化信号驱动刺激，报告最困扰运动症状时间和部分生活质量的改善。每种条件累计观察约一个月，结果具有技术可行性价值，样本规模不足以确定广泛人群的平均收益</w:t>
      </w:r>
      <w:r>
        <w:rPr>
          <w:vertAlign w:val="superscript"/>
        </w:rPr>
        <w:t xml:space="preserve">[</w:t>
      </w:r>
      <w:hyperlink w:anchor="ref-1554">
        <w:r>
          <w:rPr>
            <w:rStyle w:val="Hyperlink"/>
            <w:vertAlign w:val="superscript"/>
          </w:rPr>
          <w:t xml:space="preserve">1554</w:t>
        </w:r>
      </w:hyperlink>
      <w:r>
        <w:rPr>
          <w:vertAlign w:val="superscript"/>
        </w:rPr>
        <w:t xml:space="preserve">]</w:t>
      </w:r>
      <w:r>
        <w:t xml:space="preserve">。</w:t>
      </w:r>
    </w:p>
    <w:p>
      <w:pPr>
        <w:pStyle w:val="BodyText"/>
      </w:pPr>
      <w:r>
        <w:t xml:space="preserve">2026年另一项九人的交叉先导试验使用 β 频段双阈值策略，在主要比较中未发现显著差异，并呈现明显个体异质性。不同算法与样本结果共同提示，自适应标签本身无法保证优越性。小样本没有显著差异也不能证明严格等效；需要明确哪些信号、哪些症状和哪些患者适合哪种控制策略</w:t>
      </w:r>
      <w:r>
        <w:rPr>
          <w:vertAlign w:val="superscript"/>
        </w:rPr>
        <w:t xml:space="preserve">[</w:t>
      </w:r>
      <w:hyperlink w:anchor="ref-1555">
        <w:r>
          <w:rPr>
            <w:rStyle w:val="Hyperlink"/>
            <w:vertAlign w:val="superscript"/>
          </w:rPr>
          <w:t xml:space="preserve">1555</w:t>
        </w:r>
      </w:hyperlink>
      <w:r>
        <w:rPr>
          <w:vertAlign w:val="superscript"/>
        </w:rPr>
        <w:t xml:space="preserve">]</w:t>
      </w:r>
      <w:r>
        <w:t xml:space="preserve">。</w:t>
      </w:r>
    </w:p>
    <w:p>
      <w:pPr>
        <w:pStyle w:val="BodyText"/>
      </w:pPr>
      <w:r>
        <w:t xml:space="preserve">假设一种算法可以很好预测动作迟缓，却无法区分紧张、精细任务和刺激伪影产生的相似信号，单纯提高预测准确率仍可能不能提高生活质量。评价算法时，应检查错误触发是否集中在关键日常任务、系统是否稳定跨越睡眠与用药状态，以及患者是否真正减少了困扰。离线数据分类与长期闭环治疗之间存在可测量的工程和临床距离。</w:t>
      </w:r>
    </w:p>
    <w:bookmarkEnd w:id="2375"/>
    <w:bookmarkStart w:id="2376" w:name="sec-144-10"/>
    <w:p>
      <w:pPr>
        <w:pStyle w:val="Heading3"/>
      </w:pPr>
      <w:r>
        <w:t xml:space="preserve">144.10　疾病修饰候选药物的证据边界</w:t>
      </w:r>
    </w:p>
    <w:p>
      <w:pPr>
        <w:pStyle w:val="FirstParagraph"/>
      </w:pPr>
      <w:r>
        <w:t xml:space="preserve">GLP1 受体激动剂引起了帕金森研究兴趣。2024年利司那肽二期随机试验纳入156人，12个月用药状态运动评分的组间差约3.08分，95%置信区间为0.86至5.30分；治疗组恶心和呕吐分别报告为46%和13%。这是特定分子、特定早期人群和时程的结果，需要更大、更长研究确认临床意义与安全性</w:t>
      </w:r>
      <w:r>
        <w:rPr>
          <w:vertAlign w:val="superscript"/>
        </w:rPr>
        <w:t xml:space="preserve">[</w:t>
      </w:r>
      <w:hyperlink w:anchor="ref-1556">
        <w:r>
          <w:rPr>
            <w:rStyle w:val="Hyperlink"/>
            <w:vertAlign w:val="superscript"/>
          </w:rPr>
          <w:t xml:space="preserve">1556</w:t>
        </w:r>
      </w:hyperlink>
      <w:r>
        <w:rPr>
          <w:vertAlign w:val="superscript"/>
        </w:rPr>
        <w:t xml:space="preserve">]</w:t>
      </w:r>
      <w:r>
        <w:t xml:space="preserve">。</w:t>
      </w:r>
    </w:p>
    <w:p>
      <w:pPr>
        <w:pStyle w:val="BodyText"/>
      </w:pPr>
      <w:r>
        <w:t xml:space="preserve">2025年艾塞那肽三期试验随机194人，原报告的96周主要结局未支持疾病修饰作用。该论文在2026年6月获得期刊关注声明，因此其报告结果应与这一出版状态同时呈现。关注声明提示证据需要进一步审视，不能被解释为已经撤稿，也不能反向推导药物有效。对不同 GLP1 分子的推断还需分别考察暴露、靶点参与和临床试验，不能仅凭药物类别归纳统一疗效</w:t>
      </w:r>
      <w:r>
        <w:rPr>
          <w:vertAlign w:val="superscript"/>
        </w:rPr>
        <w:t xml:space="preserve">[</w:t>
      </w:r>
      <w:hyperlink w:anchor="ref-1557">
        <w:r>
          <w:rPr>
            <w:rStyle w:val="Hyperlink"/>
            <w:vertAlign w:val="superscript"/>
          </w:rPr>
          <w:t xml:space="preserve">1557</w:t>
        </w:r>
      </w:hyperlink>
      <w:r>
        <w:rPr>
          <w:vertAlign w:val="superscript"/>
        </w:rPr>
        <w:t xml:space="preserve">,</w:t>
      </w:r>
      <w:hyperlink w:anchor="ref-1558">
        <w:r>
          <w:rPr>
            <w:rStyle w:val="Hyperlink"/>
            <w:vertAlign w:val="superscript"/>
          </w:rPr>
          <w:t xml:space="preserve">1558</w:t>
        </w:r>
      </w:hyperlink>
      <w:r>
        <w:rPr>
          <w:vertAlign w:val="superscript"/>
        </w:rPr>
        <w:t xml:space="preserve">]</w:t>
      </w:r>
      <w:r>
        <w:t xml:space="preserve">。</w:t>
      </w:r>
    </w:p>
    <w:p>
      <w:pPr>
        <w:pStyle w:val="BodyText"/>
      </w:pPr>
      <w:r>
        <w:t xml:space="preserve">疾病修饰的确认需要跨越多个层次：候选药是否到达相关组织，是否改变目标过程，这一改变是否具有持续性，以及患者是否在功能或病程上获得有意义的收益。某个血液或脑脊液指标朝预期方向变化，可以支持机制研究，但它与患者结局之间的关联仍需验证。短期运动改善可能来自症状效应，不能仅因药物具有细胞保护机制就把它命名为神经保护治疗。</w:t>
      </w:r>
    </w:p>
    <w:bookmarkEnd w:id="2376"/>
    <w:bookmarkStart w:id="2378" w:name="sec-144-11"/>
    <w:p>
      <w:pPr>
        <w:pStyle w:val="Heading3"/>
      </w:pPr>
      <w:r>
        <w:t xml:space="preserve">144.11　相似运动表现背后的不同疾病</w:t>
      </w:r>
    </w:p>
    <w:p>
      <w:pPr>
        <w:pStyle w:val="FirstParagraph"/>
      </w:pPr>
      <w:r>
        <w:t xml:space="preserve">多系统萎缩的临床判断关注自主神经功能、帕金森表现、小脑表现及相应影像。2022年 MDS 标准区分不同确定度，部分等级要求支持性影像，可能前驱期类别主要服务研究。这种体系说明，早期诊断需要容纳不确定性，不能因为一种自主神经症状就锁定病因</w:t>
      </w:r>
      <w:r>
        <w:rPr>
          <w:vertAlign w:val="superscript"/>
        </w:rPr>
        <w:t xml:space="preserve">[</w:t>
      </w:r>
      <w:hyperlink w:anchor="ref-1559">
        <w:r>
          <w:rPr>
            <w:rStyle w:val="Hyperlink"/>
            <w:vertAlign w:val="superscript"/>
          </w:rPr>
          <w:t xml:space="preserve">1559</w:t>
        </w:r>
      </w:hyperlink>
      <w:r>
        <w:rPr>
          <w:vertAlign w:val="superscript"/>
        </w:rPr>
        <w:t xml:space="preserve">]</w:t>
      </w:r>
      <w:r>
        <w:t xml:space="preserve">。</w:t>
      </w:r>
    </w:p>
    <w:p>
      <w:pPr>
        <w:pStyle w:val="BodyText"/>
      </w:pPr>
      <w:r>
        <w:t xml:space="preserve">进行性核上性麻痹的标准围绕眼球运动、姿势稳定、运动减少和认知四个领域组织证据，同时承认多种临床表型。患者可能较早以不同领域的困难突出，因此只认得某一种经典外观会降低识别能力。其病理实体与临床综合征之间需要证据桥梁，影像支持也不能独自替代全部判断</w:t>
      </w:r>
      <w:r>
        <w:rPr>
          <w:vertAlign w:val="superscript"/>
        </w:rPr>
        <w:t xml:space="preserve">[</w:t>
      </w:r>
      <w:hyperlink w:anchor="ref-1560">
        <w:r>
          <w:rPr>
            <w:rStyle w:val="Hyperlink"/>
            <w:vertAlign w:val="superscript"/>
          </w:rPr>
          <w:t xml:space="preserve">1560</w:t>
        </w:r>
      </w:hyperlink>
      <w:r>
        <w:rPr>
          <w:vertAlign w:val="superscript"/>
        </w:rPr>
        <w:t xml:space="preserve">]</w:t>
      </w:r>
      <w:r>
        <w:t xml:space="preserve">。</w:t>
      </w:r>
    </w:p>
    <w:p>
      <w:pPr>
        <w:pStyle w:val="BodyText"/>
      </w:pPr>
      <w:r>
        <w:t xml:space="preserve">路易体痴呆的综合判断包括认知波动、反复视幻觉、快速眼动睡眠行为障碍及帕金森表现等，并区分临床特征与生物标志物。它可以与阿尔茨海默病理共存。一次幻觉既不足以确诊，也不能自动归为精神分裂症；视觉、药物、谵妄和其他原因需要纳入背景</w:t>
      </w:r>
      <w:r>
        <w:rPr>
          <w:vertAlign w:val="superscript"/>
        </w:rPr>
        <w:t xml:space="preserve">[</w:t>
      </w:r>
      <w:hyperlink w:anchor="ref-1561">
        <w:r>
          <w:rPr>
            <w:rStyle w:val="Hyperlink"/>
            <w:vertAlign w:val="superscript"/>
          </w:rPr>
          <w:t xml:space="preserve">1561</w:t>
        </w:r>
      </w:hyperlink>
      <w:r>
        <w:rPr>
          <w:vertAlign w:val="superscript"/>
        </w:rPr>
        <w:t xml:space="preserve">]</w:t>
      </w:r>
      <w:r>
        <w:t xml:space="preserve">。</w:t>
      </w:r>
    </w:p>
    <w:p>
      <w:pPr>
        <w:pStyle w:val="TableCaption"/>
      </w:pPr>
      <w:bookmarkStart w:id="2377" w:name="tab-movement"/>
      <w:bookmarkEnd w:id="2377"/>
      <w:r>
        <w:rPr>
          <w:bCs/>
          <w:b/>
        </w:rPr>
        <w:t xml:space="preserve">表 37　运动障碍的主要观察与鉴别维度</w:t>
      </w:r>
    </w:p>
    <w:tbl>
      <w:tblPr>
        <w:tblStyle w:val="Table"/>
        <w:tblW w:type="pct" w:w="5000"/>
        <w:jc w:val="start"/>
        <w:tblLook w:firstRow="1" w:lastRow="0" w:firstColumn="0" w:lastColumn="0" w:noHBand="0" w:noVBand="0" w:val="0020"/>
      </w:tblPr>
      <w:tblGrid>
        <w:gridCol w:w="1179"/>
        <w:gridCol w:w="3538"/>
        <w:gridCol w:w="3201"/>
      </w:tblGrid>
      <w:tr>
        <w:trPr>
          <w:tblHeader w:val="true"/>
        </w:trPr>
        <w:tc>
          <w:tcPr>
            <w:shd w:val="clear" w:color="auto" w:fill="1F3A5F"/>
          </w:tcPr>
          <w:p>
            <w:pPr>
              <w:jc w:val="left"/>
            </w:pPr>
            <w:r>
              <w:rPr>
                <w:bCs/>
                <w:b/>
                <w:color w:val="FFFFFF"/>
              </w:rPr>
              <w:t xml:space="preserve">主要观察</w:t>
            </w:r>
          </w:p>
        </w:tc>
        <w:tc>
          <w:tcPr>
            <w:shd w:val="clear" w:color="auto" w:fill="1F3A5F"/>
          </w:tcPr>
          <w:p>
            <w:pPr>
              <w:jc w:val="left"/>
            </w:pPr>
            <w:r>
              <w:rPr>
                <w:bCs/>
                <w:b/>
                <w:color w:val="FFFFFF"/>
              </w:rPr>
              <w:t xml:space="preserve">有助于区分的维度</w:t>
            </w:r>
          </w:p>
        </w:tc>
        <w:tc>
          <w:tcPr>
            <w:shd w:val="clear" w:color="auto" w:fill="1F3A5F"/>
          </w:tcPr>
          <w:p>
            <w:pPr>
              <w:jc w:val="left"/>
            </w:pPr>
            <w:r>
              <w:rPr>
                <w:bCs/>
                <w:b/>
                <w:color w:val="FFFFFF"/>
              </w:rPr>
              <w:t xml:space="preserve">单项观察的局限</w:t>
            </w:r>
          </w:p>
        </w:tc>
      </w:tr>
      <w:tr>
        <w:tc>
          <w:tcPr/>
          <w:p>
            <w:pPr>
              <w:jc w:val="left"/>
            </w:pPr>
            <w:r>
              <w:t xml:space="preserve">震颤</w:t>
            </w:r>
          </w:p>
        </w:tc>
        <w:tc>
          <w:tcPr/>
          <w:p>
            <w:pPr>
              <w:jc w:val="left"/>
            </w:pPr>
            <w:r>
              <w:t xml:space="preserve">静止、姿势、动作条件、节律、分布及伴随体征</w:t>
            </w:r>
          </w:p>
        </w:tc>
        <w:tc>
          <w:tcPr/>
          <w:p>
            <w:pPr>
              <w:jc w:val="left"/>
            </w:pPr>
            <w:r>
              <w:t xml:space="preserve">手抖不能唯一确定帕金森病</w:t>
            </w:r>
          </w:p>
        </w:tc>
      </w:tr>
      <w:tr>
        <w:tc>
          <w:tcPr/>
          <w:p>
            <w:pPr>
              <w:jc w:val="left"/>
            </w:pPr>
            <w:r>
              <w:t xml:space="preserve">动作迟缓</w:t>
            </w:r>
          </w:p>
        </w:tc>
        <w:tc>
          <w:tcPr/>
          <w:p>
            <w:pPr>
              <w:jc w:val="left"/>
            </w:pPr>
            <w:r>
              <w:t xml:space="preserve">重复动作的速度、幅度、递减与启动</w:t>
            </w:r>
          </w:p>
        </w:tc>
        <w:tc>
          <w:tcPr/>
          <w:p>
            <w:pPr>
              <w:jc w:val="left"/>
            </w:pPr>
            <w:r>
              <w:t xml:space="preserve">疼痛、肌力、情绪和任务理解也会影响表现</w:t>
            </w:r>
          </w:p>
        </w:tc>
      </w:tr>
      <w:tr>
        <w:tc>
          <w:tcPr/>
          <w:p>
            <w:pPr>
              <w:jc w:val="left"/>
            </w:pPr>
            <w:r>
              <w:t xml:space="preserve">早期平衡困难</w:t>
            </w:r>
          </w:p>
        </w:tc>
        <w:tc>
          <w:tcPr/>
          <w:p>
            <w:pPr>
              <w:jc w:val="left"/>
            </w:pPr>
            <w:r>
              <w:t xml:space="preserve">眼动、姿势控制、时间过程与其他神经体征</w:t>
            </w:r>
          </w:p>
        </w:tc>
        <w:tc>
          <w:tcPr/>
          <w:p>
            <w:pPr>
              <w:jc w:val="left"/>
            </w:pPr>
            <w:r>
              <w:t xml:space="preserve">跌倒具有多种神经及非神经原因</w:t>
            </w:r>
          </w:p>
        </w:tc>
      </w:tr>
      <w:tr>
        <w:tc>
          <w:tcPr/>
          <w:p>
            <w:pPr>
              <w:jc w:val="left"/>
            </w:pPr>
            <w:r>
              <w:t xml:space="preserve">自主神经异常</w:t>
            </w:r>
          </w:p>
        </w:tc>
        <w:tc>
          <w:tcPr/>
          <w:p>
            <w:pPr>
              <w:jc w:val="left"/>
            </w:pPr>
            <w:r>
              <w:t xml:space="preserve">血压、排尿、胃肠及其他系统的组合</w:t>
            </w:r>
          </w:p>
        </w:tc>
        <w:tc>
          <w:tcPr/>
          <w:p>
            <w:pPr>
              <w:jc w:val="left"/>
            </w:pPr>
            <w:r>
              <w:t xml:space="preserve">单个症状在人群中相当常见</w:t>
            </w:r>
          </w:p>
        </w:tc>
      </w:tr>
      <w:tr>
        <w:tc>
          <w:tcPr/>
          <w:p>
            <w:pPr>
              <w:jc w:val="left"/>
            </w:pPr>
            <w:r>
              <w:t xml:space="preserve">认知波动与幻觉</w:t>
            </w:r>
          </w:p>
        </w:tc>
        <w:tc>
          <w:tcPr/>
          <w:p>
            <w:pPr>
              <w:jc w:val="left"/>
            </w:pPr>
            <w:r>
              <w:t xml:space="preserve">觉醒程度、病程、视觉与药物背景</w:t>
            </w:r>
          </w:p>
        </w:tc>
        <w:tc>
          <w:tcPr/>
          <w:p>
            <w:pPr>
              <w:jc w:val="left"/>
            </w:pPr>
            <w:r>
              <w:t xml:space="preserve">一次异常体验不能确定退行病理</w:t>
            </w:r>
          </w:p>
        </w:tc>
      </w:tr>
      <w:tr>
        <w:tc>
          <w:tcPr/>
          <w:p>
            <w:pPr>
              <w:jc w:val="left"/>
            </w:pPr>
            <w:r>
              <w:t xml:space="preserve">梦中异常动作</w:t>
            </w:r>
          </w:p>
        </w:tc>
        <w:tc>
          <w:tcPr/>
          <w:p>
            <w:pPr>
              <w:jc w:val="left"/>
            </w:pPr>
            <w:r>
              <w:t xml:space="preserve">睡眠阶段、肌张力记录与其他睡眠事件</w:t>
            </w:r>
          </w:p>
        </w:tc>
        <w:tc>
          <w:tcPr/>
          <w:p>
            <w:pPr>
              <w:jc w:val="left"/>
            </w:pPr>
            <w:r>
              <w:t xml:space="preserve">梦境内容或偶发动作不足以确诊</w:t>
            </w:r>
          </w:p>
        </w:tc>
      </w:tr>
      <w:tr>
        <w:tc>
          <w:tcPr/>
          <w:p>
            <w:pPr>
              <w:jc w:val="left"/>
            </w:pPr>
            <w:r>
              <w:t xml:space="preserve">分子检测阳性</w:t>
            </w:r>
          </w:p>
        </w:tc>
        <w:tc>
          <w:tcPr/>
          <w:p>
            <w:pPr>
              <w:jc w:val="left"/>
            </w:pPr>
            <w:r>
              <w:t xml:space="preserve">样本、反应方法、临床与遗传分层</w:t>
            </w:r>
          </w:p>
        </w:tc>
        <w:tc>
          <w:tcPr/>
          <w:p>
            <w:pPr>
              <w:jc w:val="left"/>
            </w:pPr>
            <w:r>
              <w:t xml:space="preserve">阳性不直接给出发病时间与个人预后</w:t>
            </w:r>
          </w:p>
        </w:tc>
      </w:tr>
    </w:tbl>
    <w:p>
      <w:pPr>
        <w:pStyle w:val="BodyText"/>
      </w:pPr>
      <w:r>
        <w:t xml:space="preserve">本表帮助区分观察、解释和病因三个层次，不提供个人诊断算法。疾病判断应使用完整专业标准</w:t>
      </w:r>
      <w:r>
        <w:rPr>
          <w:vertAlign w:val="superscript"/>
        </w:rPr>
        <w:t xml:space="preserve">[</w:t>
      </w:r>
      <w:hyperlink w:anchor="ref-1543">
        <w:r>
          <w:rPr>
            <w:rStyle w:val="Hyperlink"/>
            <w:vertAlign w:val="superscript"/>
          </w:rPr>
          <w:t xml:space="preserve">1543</w:t>
        </w:r>
      </w:hyperlink>
      <w:r>
        <w:rPr>
          <w:vertAlign w:val="superscript"/>
        </w:rPr>
        <w:t xml:space="preserve">,</w:t>
      </w:r>
      <w:hyperlink w:anchor="ref-1544">
        <w:r>
          <w:rPr>
            <w:rStyle w:val="Hyperlink"/>
            <w:vertAlign w:val="superscript"/>
          </w:rPr>
          <w:t xml:space="preserve">1544</w:t>
        </w:r>
      </w:hyperlink>
      <w:r>
        <w:rPr>
          <w:vertAlign w:val="superscript"/>
        </w:rPr>
        <w:t xml:space="preserve">,</w:t>
      </w:r>
      <w:hyperlink w:anchor="ref-1559">
        <w:r>
          <w:rPr>
            <w:rStyle w:val="Hyperlink"/>
            <w:vertAlign w:val="superscript"/>
          </w:rPr>
          <w:t xml:space="preserve">1559</w:t>
        </w:r>
      </w:hyperlink>
      <w:r>
        <w:rPr>
          <w:vertAlign w:val="superscript"/>
        </w:rPr>
        <w:t xml:space="preserve">,</w:t>
      </w:r>
      <w:hyperlink w:anchor="ref-1560">
        <w:r>
          <w:rPr>
            <w:rStyle w:val="Hyperlink"/>
            <w:vertAlign w:val="superscript"/>
          </w:rPr>
          <w:t xml:space="preserve">1560</w:t>
        </w:r>
      </w:hyperlink>
      <w:r>
        <w:rPr>
          <w:vertAlign w:val="superscript"/>
        </w:rPr>
        <w:t xml:space="preserve">,</w:t>
      </w:r>
      <w:hyperlink w:anchor="ref-1561">
        <w:r>
          <w:rPr>
            <w:rStyle w:val="Hyperlink"/>
            <w:vertAlign w:val="superscript"/>
          </w:rPr>
          <w:t xml:space="preserve">1561</w:t>
        </w:r>
      </w:hyperlink>
      <w:r>
        <w:rPr>
          <w:vertAlign w:val="superscript"/>
        </w:rPr>
        <w:t xml:space="preserve">]</w:t>
      </w:r>
      <w:r>
        <w:t xml:space="preserve">。</w:t>
      </w:r>
    </w:p>
    <w:bookmarkEnd w:id="2378"/>
    <w:bookmarkStart w:id="2379" w:name="sec-144-12"/>
    <w:p>
      <w:pPr>
        <w:pStyle w:val="Heading3"/>
      </w:pPr>
      <w:r>
        <w:t xml:space="preserve">144.12　震颤的分类可以避免错误归因</w:t>
      </w:r>
    </w:p>
    <w:p>
      <w:pPr>
        <w:pStyle w:val="FirstParagraph"/>
      </w:pPr>
      <w:r>
        <w:t xml:space="preserve">震颤分类共识把临床特征与病因分别记录，临床特征包括起病年龄、分布、激活条件、时间演变和伴随体征。同样是动作时震颤，是否伴随异常姿势、共济失调、其他神经体征或药物暴露，会改变解释。特发性震颤也具有明确的临床定义和鉴别边界，日常用语中的“紧张性手抖”无法替代这种评估</w:t>
      </w:r>
      <w:r>
        <w:rPr>
          <w:vertAlign w:val="superscript"/>
        </w:rPr>
        <w:t xml:space="preserve">[</w:t>
      </w:r>
      <w:hyperlink w:anchor="ref-1544">
        <w:r>
          <w:rPr>
            <w:rStyle w:val="Hyperlink"/>
            <w:vertAlign w:val="superscript"/>
          </w:rPr>
          <w:t xml:space="preserve">1544</w:t>
        </w:r>
      </w:hyperlink>
      <w:r>
        <w:rPr>
          <w:vertAlign w:val="superscript"/>
        </w:rPr>
        <w:t xml:space="preserve">]</w:t>
      </w:r>
      <w:r>
        <w:t xml:space="preserve">。</w:t>
      </w:r>
    </w:p>
    <w:p>
      <w:pPr>
        <w:pStyle w:val="BodyText"/>
      </w:pPr>
      <w:r>
        <w:t xml:space="preserve">频率测量可以客观描述摆动，但不同疾病的频率范围可能重叠。振幅还受情绪、疲劳、姿势负荷和测量任务影响。因此，用一个手机记录的频率值直接输出病名，缺少必要的信息。更有价值的技术应用是把可重复的测量纳入专业评估，说明测量条件、误差和变化范围。</w:t>
      </w:r>
    </w:p>
    <w:bookmarkEnd w:id="2379"/>
    <w:bookmarkStart w:id="2380" w:name="sec-144-13"/>
    <w:p>
      <w:pPr>
        <w:pStyle w:val="Heading3"/>
      </w:pPr>
      <w:r>
        <w:t xml:space="preserve">144.13　支持目标与持续参与</w:t>
      </w:r>
    </w:p>
    <w:p>
      <w:pPr>
        <w:pStyle w:val="FirstParagraph"/>
      </w:pPr>
      <w:r>
        <w:t xml:space="preserve">运动障碍的照护目标可以包括行动、交流、进食、睡眠、工作和家庭参与。疾病名称提供一部分背景，个体最需要解决的困难仍需被具体描述。言语治疗、运动与作业治疗、环境调整和照护支持具有不同功能，不能用一个运动量表代表所有效果</w:t>
      </w:r>
      <w:r>
        <w:rPr>
          <w:vertAlign w:val="superscript"/>
        </w:rPr>
        <w:t xml:space="preserve">[</w:t>
      </w:r>
      <w:hyperlink w:anchor="ref-1545">
        <w:r>
          <w:rPr>
            <w:rStyle w:val="Hyperlink"/>
            <w:vertAlign w:val="superscript"/>
          </w:rPr>
          <w:t xml:space="preserve">1545</w:t>
        </w:r>
      </w:hyperlink>
      <w:r>
        <w:rPr>
          <w:vertAlign w:val="superscript"/>
        </w:rPr>
        <w:t xml:space="preserve">]</w:t>
      </w:r>
      <w:r>
        <w:t xml:space="preserve">。</w:t>
      </w:r>
    </w:p>
    <w:p>
      <w:pPr>
        <w:pStyle w:val="BodyText"/>
      </w:pPr>
      <w:r>
        <w:t xml:space="preserve">例如，一位患者认为手部震颤最显眼，但真正限制外出的是起立后不适和对跌倒的担心。另一位患者的步态改善明显，却仍因声音变小而减少社交。若研究只测最容易被设备识别的动作，可能低估或高估实际收益。将症状变化连接到患者重视的任务，能够使生物医学测量更接近生活目标。</w:t>
      </w:r>
    </w:p>
    <w:p>
      <w:pPr>
        <w:pStyle w:val="BodyText"/>
      </w:pPr>
      <w:r>
        <w:t xml:space="preserve">在科学层面，帕金森及相关疾病最值得坚持的是多层解释：细胞病理说明可能的受损过程，网络测量说明功能如何改变，临床观察说明困难如何出现，长期随访说明不同过程怎样共同演变。任何一个层次都无法独自完成全部解释。精确区分已确证、条件支持和仍待检验的命题，可以让前沿发现进入教材，同时保留它们真实的适用范围。</w:t>
      </w:r>
    </w:p>
    <w:bookmarkEnd w:id="2380"/>
    <w:bookmarkStart w:id="2381" w:name="sec-144-14"/>
    <w:p>
      <w:pPr>
        <w:pStyle w:val="Heading3"/>
      </w:pPr>
      <w:r>
        <w:t xml:space="preserve">144.14　资助来源与关键判断的范围</w:t>
      </w:r>
    </w:p>
    <w:p>
      <w:pPr>
        <w:pStyle w:val="FirstParagraph"/>
      </w:pPr>
      <w:r>
        <w:t xml:space="preserve">LIXIPARK 属研究者发起试验，法国卫生部门与 Cure Parkinson’s 等提供经费；Sanofi 提供药物、安慰剂和药物安全信息，原文说明其未参与其余试验执行、数据分析或写作。艾塞那肽三期试验报告经费来自英国 NIHR 与 Cure Parkinson’s，相关结果还须连同前述期刊关注声明解读。PPMI 种子扩增研究由 Michael J Fox Foundation 及包括产业机构在内的伙伴资助，部分作者披露检测企业 Amprion 的任职、股票期权或专利利益。不同项目的角色不能相互套用；透明披露、检测跨实验室验证、预注册及独立人群重复有助于检验结果的稳健性</w:t>
      </w:r>
      <w:r>
        <w:rPr>
          <w:vertAlign w:val="superscript"/>
        </w:rPr>
        <w:t xml:space="preserve">[</w:t>
      </w:r>
      <w:hyperlink w:anchor="ref-1548">
        <w:r>
          <w:rPr>
            <w:rStyle w:val="Hyperlink"/>
            <w:vertAlign w:val="superscript"/>
          </w:rPr>
          <w:t xml:space="preserve">1548</w:t>
        </w:r>
      </w:hyperlink>
      <w:r>
        <w:rPr>
          <w:vertAlign w:val="superscript"/>
        </w:rPr>
        <w:t xml:space="preserve">,</w:t>
      </w:r>
      <w:hyperlink w:anchor="ref-1556">
        <w:r>
          <w:rPr>
            <w:rStyle w:val="Hyperlink"/>
            <w:vertAlign w:val="superscript"/>
          </w:rPr>
          <w:t xml:space="preserve">1556</w:t>
        </w:r>
      </w:hyperlink>
      <w:r>
        <w:rPr>
          <w:vertAlign w:val="superscript"/>
        </w:rPr>
        <w:t xml:space="preserve">,</w:t>
      </w:r>
      <w:hyperlink w:anchor="ref-1557">
        <w:r>
          <w:rPr>
            <w:rStyle w:val="Hyperlink"/>
            <w:vertAlign w:val="superscript"/>
          </w:rPr>
          <w:t xml:space="preserve">1557</w:t>
        </w:r>
      </w:hyperlink>
      <w:r>
        <w:rPr>
          <w:vertAlign w:val="superscript"/>
        </w:rPr>
        <w:t xml:space="preserve">,</w:t>
      </w:r>
      <w:hyperlink w:anchor="ref-1558">
        <w:r>
          <w:rPr>
            <w:rStyle w:val="Hyperlink"/>
            <w:vertAlign w:val="superscript"/>
          </w:rPr>
          <w:t xml:space="preserve">1558</w:t>
        </w:r>
      </w:hyperlink>
      <w:r>
        <w:rPr>
          <w:vertAlign w:val="superscript"/>
        </w:rPr>
        <w:t xml:space="preserve">]</w:t>
      </w:r>
      <w:r>
        <w:t xml:space="preserve">。</w:t>
      </w:r>
    </w:p>
    <w:p>
      <w:pPr>
        <w:pStyle w:val="BodyText"/>
      </w:pPr>
      <w:r>
        <w:t xml:space="preserve">运动迟缓及其伴随体征用于界定临床综合征，属于较成熟的诊断框架；任何单一体征仍有鉴别边界。特定随机试验的平均症状效果具有直接临床支持，研究期外的长期病程修饰需要另外证明。种子扩增能够识别相关生物学状态的证据不断增加，把阳性解释成个人明确发病日期或统一疾病速度仍缺乏充分依据。脑先与体先的起始模型、特定代谢通路和病程之间的因果顺序，目前应保留机制假说层级，不能据此分配个人治疗</w:t>
      </w:r>
      <w:r>
        <w:rPr>
          <w:vertAlign w:val="superscript"/>
        </w:rPr>
        <w:t xml:space="preserve">[</w:t>
      </w:r>
      <w:hyperlink w:anchor="ref-1543">
        <w:r>
          <w:rPr>
            <w:rStyle w:val="Hyperlink"/>
            <w:vertAlign w:val="superscript"/>
          </w:rPr>
          <w:t xml:space="preserve">1543</w:t>
        </w:r>
      </w:hyperlink>
      <w:r>
        <w:rPr>
          <w:vertAlign w:val="superscript"/>
        </w:rPr>
        <w:t xml:space="preserve">,</w:t>
      </w:r>
      <w:hyperlink w:anchor="ref-1548">
        <w:r>
          <w:rPr>
            <w:rStyle w:val="Hyperlink"/>
            <w:vertAlign w:val="superscript"/>
          </w:rPr>
          <w:t xml:space="preserve">1548</w:t>
        </w:r>
      </w:hyperlink>
      <w:r>
        <w:rPr>
          <w:vertAlign w:val="superscript"/>
        </w:rPr>
        <w:t xml:space="preserve">,</w:t>
      </w:r>
      <w:hyperlink w:anchor="ref-1551">
        <w:r>
          <w:rPr>
            <w:rStyle w:val="Hyperlink"/>
            <w:vertAlign w:val="superscript"/>
          </w:rPr>
          <w:t xml:space="preserve">1551</w:t>
        </w:r>
      </w:hyperlink>
      <w:r>
        <w:rPr>
          <w:vertAlign w:val="superscript"/>
        </w:rPr>
        <w:t xml:space="preserve">,</w:t>
      </w:r>
      <w:hyperlink w:anchor="ref-1552">
        <w:r>
          <w:rPr>
            <w:rStyle w:val="Hyperlink"/>
            <w:vertAlign w:val="superscript"/>
          </w:rPr>
          <w:t xml:space="preserve">1552</w:t>
        </w:r>
      </w:hyperlink>
      <w:r>
        <w:rPr>
          <w:vertAlign w:val="superscript"/>
        </w:rPr>
        <w:t xml:space="preserve">]</w:t>
      </w:r>
      <w:r>
        <w:t xml:space="preserve">。</w:t>
      </w:r>
    </w:p>
    <w:bookmarkEnd w:id="2381"/>
    <w:bookmarkEnd w:id="2382"/>
    <w:bookmarkStart w:id="2400" w:name="ch-145"/>
    <w:p>
      <w:pPr>
        <w:pStyle w:val="Heading2"/>
      </w:pPr>
      <w:r>
        <w:t xml:space="preserve">第145章　脑外伤、脑震荡与长期恢复</w:t>
      </w:r>
    </w:p>
    <w:bookmarkStart w:id="2383" w:name="sec-145-1"/>
    <w:p>
      <w:pPr>
        <w:pStyle w:val="Heading3"/>
      </w:pPr>
      <w:r>
        <w:t xml:space="preserve">145.1　外力事件与脑损伤的关系</w:t>
      </w:r>
    </w:p>
    <w:p>
      <w:pPr>
        <w:pStyle w:val="FirstParagraph"/>
      </w:pPr>
      <w:r>
        <w:t xml:space="preserve">创伤性脑损伤指外部机械作用引起的脑功能或结构改变。外力可以来自头部直接撞击，也可以经身体运动传递到头部，使脑组织发生加速、减速、旋转或形变。事件本身、受伤后的急性神经表现和后续检查需要共同解释。看见头部受到碰撞，不能直接量化脑损伤；外表没有明显伤口，也不能排除颅内或神经功能问题</w:t>
      </w:r>
      <w:r>
        <w:rPr>
          <w:vertAlign w:val="superscript"/>
        </w:rPr>
        <w:t xml:space="preserve">[</w:t>
      </w:r>
      <w:hyperlink w:anchor="ref-1562">
        <w:r>
          <w:rPr>
            <w:rStyle w:val="Hyperlink"/>
            <w:vertAlign w:val="superscript"/>
          </w:rPr>
          <w:t xml:space="preserve">1562</w:t>
        </w:r>
      </w:hyperlink>
      <w:r>
        <w:rPr>
          <w:vertAlign w:val="superscript"/>
        </w:rPr>
        <w:t xml:space="preserve">]</w:t>
      </w:r>
      <w:r>
        <w:t xml:space="preserve">。</w:t>
      </w:r>
    </w:p>
    <w:p>
      <w:pPr>
        <w:pStyle w:val="BodyText"/>
      </w:pPr>
      <w:r>
        <w:t xml:space="preserve">轻型、中型和重型分类主要描述初期临床严重程度，常参考意识、记忆和其他急性表现。轻型并不保证生活影响轻微，重型也不意味着每个领域都按固定比例受损。分类承担沟通和研究分层功能，实际恢复仍受到损伤类型、部位、全身状况、既往能力和后续照护影响。2023年 ACRM 诊断共识试图统一不同年龄与运动、民用创伤及军事场景中的基本判断标准</w:t>
      </w:r>
      <w:r>
        <w:rPr>
          <w:vertAlign w:val="superscript"/>
        </w:rPr>
        <w:t xml:space="preserve">[</w:t>
      </w:r>
      <w:hyperlink w:anchor="ref-1562">
        <w:r>
          <w:rPr>
            <w:rStyle w:val="Hyperlink"/>
            <w:vertAlign w:val="superscript"/>
          </w:rPr>
          <w:t xml:space="preserve">1562</w:t>
        </w:r>
      </w:hyperlink>
      <w:r>
        <w:rPr>
          <w:vertAlign w:val="superscript"/>
        </w:rPr>
        <w:t xml:space="preserve">]</w:t>
      </w:r>
      <w:r>
        <w:t xml:space="preserve">。</w:t>
      </w:r>
    </w:p>
    <w:p>
      <w:pPr>
        <w:pStyle w:val="BodyText"/>
      </w:pPr>
      <w:r>
        <w:t xml:space="preserve">脑震荡可以发生在没有明确失去意识的情况下。意识丧失、逆行性遗忘、创伤后记忆形成困难、短暂定向障碍和其他急性改变各自提供不同信息。受伤者对事件记不清，也可能影响病史可靠性，因此目击记录和连续观察具有价值。不能把“还能回答问题”当作全部神经系统正常的证明</w:t>
      </w:r>
      <w:r>
        <w:rPr>
          <w:vertAlign w:val="superscript"/>
        </w:rPr>
        <w:t xml:space="preserve">[</w:t>
      </w:r>
      <w:hyperlink w:anchor="ref-1562">
        <w:r>
          <w:rPr>
            <w:rStyle w:val="Hyperlink"/>
            <w:vertAlign w:val="superscript"/>
          </w:rPr>
          <w:t xml:space="preserve">1562</w:t>
        </w:r>
      </w:hyperlink>
      <w:r>
        <w:rPr>
          <w:vertAlign w:val="superscript"/>
        </w:rPr>
        <w:t xml:space="preserve">,</w:t>
      </w:r>
      <w:hyperlink w:anchor="ref-1563">
        <w:r>
          <w:rPr>
            <w:rStyle w:val="Hyperlink"/>
            <w:vertAlign w:val="superscript"/>
          </w:rPr>
          <w:t xml:space="preserve">1563</w:t>
        </w:r>
      </w:hyperlink>
      <w:r>
        <w:rPr>
          <w:vertAlign w:val="superscript"/>
        </w:rPr>
        <w:t xml:space="preserve">]</w:t>
      </w:r>
      <w:r>
        <w:t xml:space="preserve">。</w:t>
      </w:r>
    </w:p>
    <w:bookmarkEnd w:id="2383"/>
    <w:bookmarkStart w:id="2384" w:name="sec-145-2"/>
    <w:p>
      <w:pPr>
        <w:pStyle w:val="Heading3"/>
      </w:pPr>
      <w:r>
        <w:t xml:space="preserve">145.2　为什么旋转与加载速度重要</w:t>
      </w:r>
    </w:p>
    <w:p>
      <w:pPr>
        <w:pStyle w:val="FirstParagraph"/>
      </w:pPr>
      <w:r>
        <w:t xml:space="preserve">脑组织具有复杂的黏弹性和各向异性。它对慢速变形与快速变形的反应不同，白质纤维的方向也影响局部受力。颅骨运动不会让脑内每一点完全同步移动，组织之间的相对位移可以形成剪切和拉伸。由此产生的损伤分布，可能超出外部撞击位置附近。</w:t>
      </w:r>
    </w:p>
    <w:p>
      <w:pPr>
        <w:pStyle w:val="BodyText"/>
      </w:pPr>
      <w:r>
        <w:t xml:space="preserve">培养轴突的动态拉伸实验观察到微管局灶破坏、轴突形态变化及随后运输障碍。实验说明，外形逐渐恢复直线，并不保证内部运输结构已经恢复。它还提示加载速率具有机制意义。不过，培养细胞的几何条件、损伤强度和药物操作与人脑差别很大，不能把体外参数直接转成某项运动或某种头盔的个人安全阈值</w:t>
      </w:r>
      <w:r>
        <w:rPr>
          <w:vertAlign w:val="superscript"/>
        </w:rPr>
        <w:t xml:space="preserve">[</w:t>
      </w:r>
      <w:hyperlink w:anchor="ref-1564">
        <w:r>
          <w:rPr>
            <w:rStyle w:val="Hyperlink"/>
            <w:vertAlign w:val="superscript"/>
          </w:rPr>
          <w:t xml:space="preserve">1564</w:t>
        </w:r>
      </w:hyperlink>
      <w:r>
        <w:rPr>
          <w:vertAlign w:val="superscript"/>
        </w:rPr>
        <w:t xml:space="preserve">]</w:t>
      </w:r>
      <w:r>
        <w:t xml:space="preserve">。</w:t>
      </w:r>
    </w:p>
    <w:p>
      <w:pPr>
        <w:pStyle w:val="BodyText"/>
      </w:pPr>
      <w:r>
        <w:t xml:space="preserve">一个纯力学假设例子是，两次事件具有相似峰值加速度，但持续时间、旋转方向和头颈姿态不同，脑内应变分布也可能不同。单一传感器数值因而无法完整描述伤害。实际传感器还受安装位置、设备晃动和算法影响。记录到高数值值得关注，但它既不能独自确诊脑震荡，也不能在数值较低时保证没有损伤。</w:t>
      </w:r>
    </w:p>
    <w:bookmarkEnd w:id="2384"/>
    <w:bookmarkStart w:id="2385" w:name="sec-145-3"/>
    <w:p>
      <w:pPr>
        <w:pStyle w:val="Heading3"/>
      </w:pPr>
      <w:r>
        <w:t xml:space="preserve">145.3　轴突损伤可以在时间中展开</w:t>
      </w:r>
    </w:p>
    <w:p>
      <w:pPr>
        <w:pStyle w:val="FirstParagraph"/>
      </w:pPr>
      <w:r>
        <w:t xml:space="preserve">轴突承担长距离信息传导和物质运输。机械变形可能直接破坏部分细胞骨架，也可能引起膜通透性和离子稳态改变，随后产生局部肿胀及功能障碍。某些轴突在最初并未完全断裂，却在后续病理过程中继续退变。因而初始事件与最终断联之间可以存在时间间隔</w:t>
      </w:r>
      <w:r>
        <w:rPr>
          <w:vertAlign w:val="superscript"/>
        </w:rPr>
        <w:t xml:space="preserve">[</w:t>
      </w:r>
      <w:hyperlink w:anchor="ref-1564">
        <w:r>
          <w:rPr>
            <w:rStyle w:val="Hyperlink"/>
            <w:vertAlign w:val="superscript"/>
          </w:rPr>
          <w:t xml:space="preserve">1564</w:t>
        </w:r>
      </w:hyperlink>
      <w:r>
        <w:rPr>
          <w:vertAlign w:val="superscript"/>
        </w:rPr>
        <w:t xml:space="preserve">]</w:t>
      </w:r>
      <w:r>
        <w:t xml:space="preserve">。</w:t>
      </w:r>
    </w:p>
    <w:p>
      <w:pPr>
        <w:pStyle w:val="BodyText"/>
      </w:pPr>
      <w:r>
        <w:t xml:space="preserve">网络层面的结果取决于哪些纤维受累。两处皮质即使各自保留部分局部活动，连接受损后仍可能难以协调。处理速度下降、多任务困难或疲劳，可能涉及分布式系统效率的变化。可见病灶的体积只是信息之一，纤维通路的位置和原有网络组织同样重要。</w:t>
      </w:r>
    </w:p>
    <w:p>
      <w:pPr>
        <w:pStyle w:val="BodyText"/>
      </w:pPr>
      <w:r>
        <w:t xml:space="preserve">与此同时，不能从某个非特异性症状反推一定存在特定轴突病变。疲劳、头痛和注意困难也可以受到睡眠、疼痛、情绪、视觉和自主神经问题影响。机制模型说明一种可能路径，患者评估需要检验这一路径是否与实际证据相符。把所有长期症状归入未被直接测量的“弥漫性轴突断裂”，会超过现有证据。</w:t>
      </w:r>
    </w:p>
    <w:bookmarkEnd w:id="2385"/>
    <w:bookmarkStart w:id="2386" w:name="sec-145-4"/>
    <w:p>
      <w:pPr>
        <w:pStyle w:val="Heading3"/>
      </w:pPr>
      <w:r>
        <w:t xml:space="preserve">145.4　神经代谢失衡与症状</w:t>
      </w:r>
    </w:p>
    <w:p>
      <w:pPr>
        <w:pStyle w:val="FirstParagraph"/>
      </w:pPr>
      <w:r>
        <w:t xml:space="preserve">脑震荡机制研究描述了离子通量变化、兴奋性递质释放、恢复稳态所需能量增加，以及能量供应和需求之间的暂时失配。细胞为恢复膜梯度而提高泵活动，钙处理和线粒体功能又可能受到影响。这些过程为短期认知及感觉症状提供了生物学解释，也提出恢复期间易感性变化的问题</w:t>
      </w:r>
      <w:r>
        <w:rPr>
          <w:vertAlign w:val="superscript"/>
        </w:rPr>
        <w:t xml:space="preserve">[</w:t>
      </w:r>
      <w:hyperlink w:anchor="ref-1565">
        <w:r>
          <w:rPr>
            <w:rStyle w:val="Hyperlink"/>
            <w:vertAlign w:val="superscript"/>
          </w:rPr>
          <w:t xml:space="preserve">1565</w:t>
        </w:r>
      </w:hyperlink>
      <w:r>
        <w:rPr>
          <w:vertAlign w:val="superscript"/>
        </w:rPr>
        <w:t xml:space="preserve">]</w:t>
      </w:r>
      <w:r>
        <w:t xml:space="preserve">。</w:t>
      </w:r>
    </w:p>
    <w:p>
      <w:pPr>
        <w:pStyle w:val="BodyText"/>
      </w:pPr>
      <w:r>
        <w:t xml:space="preserve">动物模型中的代谢时间表不能直接指定人类恢复天数。不同物种、年龄、损伤方式和测量指标具有不同轨迹，即使在人类中，症状、认知任务、平衡和研究性影像也未必同时恢复。单个指标正常只能回答其所测量的问题，无法宣布全部生物过程已经回到原状。</w:t>
      </w:r>
    </w:p>
    <w:p>
      <w:pPr>
        <w:pStyle w:val="BodyText"/>
      </w:pPr>
      <w:r>
        <w:t xml:space="preserve">需要区分两种时间。第一种是生理过程恢复所需时间，第二种是能够安全且持续完成某类现实任务所需时间。低风险阅读、日常散步、长时间驾驶和对抗性竞技，对注意、反应、平衡及再次受伤风险的要求不同。恢复评估应结合任务需求，不能用一个统一日期替代。</w:t>
      </w:r>
    </w:p>
    <w:bookmarkEnd w:id="2386"/>
    <w:bookmarkStart w:id="2387" w:name="sec-145-5"/>
    <w:p>
      <w:pPr>
        <w:pStyle w:val="Heading3"/>
      </w:pPr>
      <w:r>
        <w:t xml:space="preserve">145.5　影像正常与症状真实可以同时成立</w:t>
      </w:r>
    </w:p>
    <w:p>
      <w:pPr>
        <w:pStyle w:val="FirstParagraph"/>
      </w:pPr>
      <w:r>
        <w:t xml:space="preserve">常规计算机断层成像擅长解决急性出血、明显占位和部分骨性损伤等问题，常规磁共振能够提供其他结构信息。脑震荡的某些功能和微结构改变不一定在这些常规检查上清晰显示。因此，正常影像与真实症状并不矛盾；它限制的是某些可见损伤的可能性，不能涵盖所有神经生理异常</w:t>
      </w:r>
      <w:r>
        <w:rPr>
          <w:vertAlign w:val="superscript"/>
        </w:rPr>
        <w:t xml:space="preserve">[</w:t>
      </w:r>
      <w:hyperlink w:anchor="ref-1562">
        <w:r>
          <w:rPr>
            <w:rStyle w:val="Hyperlink"/>
            <w:vertAlign w:val="superscript"/>
          </w:rPr>
          <w:t xml:space="preserve">1562</w:t>
        </w:r>
      </w:hyperlink>
      <w:r>
        <w:rPr>
          <w:vertAlign w:val="superscript"/>
        </w:rPr>
        <w:t xml:space="preserve">,</w:t>
      </w:r>
      <w:hyperlink w:anchor="ref-1563">
        <w:r>
          <w:rPr>
            <w:rStyle w:val="Hyperlink"/>
            <w:vertAlign w:val="superscript"/>
          </w:rPr>
          <w:t xml:space="preserve">1563</w:t>
        </w:r>
      </w:hyperlink>
      <w:r>
        <w:rPr>
          <w:vertAlign w:val="superscript"/>
        </w:rPr>
        <w:t xml:space="preserve">]</w:t>
      </w:r>
      <w:r>
        <w:t xml:space="preserve">。</w:t>
      </w:r>
    </w:p>
    <w:p>
      <w:pPr>
        <w:pStyle w:val="BodyText"/>
      </w:pPr>
      <w:r>
        <w:t xml:space="preserve">另一方面，先进研究影像发现组间差异，也不能直接证明它已经能够准确诊断某个个体。弥散指标、功能连接、代谢信号和机器学习分类可能受到采集、预处理、样本构成及多重比较影响。研究中的显著平均差异，需要经过个体层面的外部验证，才可能进入临床决策。</w:t>
      </w:r>
    </w:p>
    <w:p>
      <w:pPr>
        <w:pStyle w:val="BodyText"/>
      </w:pPr>
      <w:r>
        <w:t xml:space="preserve">假设研究发现受伤组某项纤维指标平均下降，但两组分布大量重叠。这个结果可以支持受伤与微结构变化有关，却不能以一个未经验证的阈值决定谁的症状“有生物学依据”。如果把检测阴性者排除在支持之外，还可能将技术敏感度不足转化为对患者体验的错误判断。</w:t>
      </w:r>
    </w:p>
    <w:bookmarkEnd w:id="2387"/>
    <w:bookmarkStart w:id="2388" w:name="sec-145-6"/>
    <w:p>
      <w:pPr>
        <w:pStyle w:val="Heading3"/>
      </w:pPr>
      <w:r>
        <w:t xml:space="preserve">145.6　血液标志物的任务边界</w:t>
      </w:r>
    </w:p>
    <w:p>
      <w:pPr>
        <w:pStyle w:val="FirstParagraph"/>
      </w:pPr>
      <w:r>
        <w:t xml:space="preserve">GFAP 和 UCHL1 等血液指标提供了组织相关蛋白变化的信息。ALERT-TBI 前瞻性研究的1959名可分析成人中，125人有 CT 可见颅内损伤；特定联合检测对这种影像结局的敏感度为97.6%，阴性预测值为99.6%，仍有三例检测阴性但 CT 阳性。研究采用明确采血时窗、检测平台和入选条件</w:t>
      </w:r>
      <w:r>
        <w:rPr>
          <w:vertAlign w:val="superscript"/>
        </w:rPr>
        <w:t xml:space="preserve">[</w:t>
      </w:r>
      <w:hyperlink w:anchor="ref-1566">
        <w:r>
          <w:rPr>
            <w:rStyle w:val="Hyperlink"/>
            <w:vertAlign w:val="superscript"/>
          </w:rPr>
          <w:t xml:space="preserve">1566</w:t>
        </w:r>
      </w:hyperlink>
      <w:r>
        <w:rPr>
          <w:vertAlign w:val="superscript"/>
        </w:rPr>
        <w:t xml:space="preserve">]</w:t>
      </w:r>
      <w:r>
        <w:t xml:space="preserve">。</w:t>
      </w:r>
    </w:p>
    <w:p>
      <w:pPr>
        <w:pStyle w:val="BodyText"/>
      </w:pPr>
      <w:r>
        <w:t xml:space="preserve">这里最容易发生的误读，是把“较低概率出现 CT 可见损伤”扩大为“没有脑震荡”“没有任何脑损伤”或“未来不会出现症状”。这几个问题的参照标准不同，所需验证也不同。某种检测可以减少一部分不必要影像检查，同时仍然需要临床观察和针对症状的照护。</w:t>
      </w:r>
    </w:p>
    <w:p>
      <w:pPr>
        <w:pStyle w:val="BodyText"/>
      </w:pPr>
      <w:r>
        <w:t xml:space="preserve">血液浓度还受释放、转运、分布和清除影响。若一种蛋白主要在受伤后早期上升，较晚采血可能得到不同结果；若清除速度或既有疾病改变，相同组织释放也可能形成不同浓度。这些一般生物测量原则说明，报告必须包含采样时间和方法，不能只列一个正常或异常标签。</w:t>
      </w:r>
    </w:p>
    <w:bookmarkEnd w:id="2388"/>
    <w:bookmarkStart w:id="2389" w:name="sec-145-7"/>
    <w:p>
      <w:pPr>
        <w:pStyle w:val="Heading3"/>
      </w:pPr>
      <w:r>
        <w:t xml:space="preserve">145.7　初期观察与危险信号</w:t>
      </w:r>
    </w:p>
    <w:p>
      <w:pPr>
        <w:pStyle w:val="FirstParagraph"/>
      </w:pPr>
      <w:r>
        <w:t xml:space="preserve">头部受伤后，持续加重的头痛、反复呕吐、新出现的无力或协调问题、癫痫发作、明显行为或意识恶化、难以唤醒等，属于需要立即急救评估的危险信号。儿童还可能通过异常哭闹、进食改变或行为变化表达问题。CDC 的公开说明强调，症状可能在事件后逐渐显现，观察时间过程具有意义</w:t>
      </w:r>
      <w:r>
        <w:rPr>
          <w:vertAlign w:val="superscript"/>
        </w:rPr>
        <w:t xml:space="preserve">[</w:t>
      </w:r>
      <w:hyperlink w:anchor="ref-1567">
        <w:r>
          <w:rPr>
            <w:rStyle w:val="Hyperlink"/>
            <w:vertAlign w:val="superscript"/>
          </w:rPr>
          <w:t xml:space="preserve">1567</w:t>
        </w:r>
      </w:hyperlink>
      <w:r>
        <w:rPr>
          <w:vertAlign w:val="superscript"/>
        </w:rPr>
        <w:t xml:space="preserve">]</w:t>
      </w:r>
      <w:r>
        <w:t xml:space="preserve">。</w:t>
      </w:r>
    </w:p>
    <w:p>
      <w:pPr>
        <w:pStyle w:val="BodyText"/>
      </w:pPr>
      <w:r>
        <w:t xml:space="preserve">这类信息的作用是帮助识别紧急情况，不能作为家庭排除颅内病变的完整清单。年龄、抗凝或其他药物、再次受伤及全身创伤会改变评估背景。一个人没有出现清单中的全部表现，也不能自行宣布安全。具体检查选择属于专业风险评估。</w:t>
      </w:r>
    </w:p>
    <w:p>
      <w:pPr>
        <w:pStyle w:val="BodyText"/>
      </w:pPr>
      <w:r>
        <w:t xml:space="preserve">对于运动场景，疑似脑震荡需要离开当前风险活动并接受合适评估，不能仅因症状短时减轻就继续承受碰撞。公众识别工具、场边工具和门诊多维工具服务不同阶段，任何一个简短工具都不能独自替代全部诊断和恢复决定</w:t>
      </w:r>
      <w:r>
        <w:rPr>
          <w:vertAlign w:val="superscript"/>
        </w:rPr>
        <w:t xml:space="preserve">[</w:t>
      </w:r>
      <w:hyperlink w:anchor="ref-1563">
        <w:r>
          <w:rPr>
            <w:rStyle w:val="Hyperlink"/>
            <w:vertAlign w:val="superscript"/>
          </w:rPr>
          <w:t xml:space="preserve">1563</w:t>
        </w:r>
      </w:hyperlink>
      <w:r>
        <w:rPr>
          <w:vertAlign w:val="superscript"/>
        </w:rPr>
        <w:t xml:space="preserve">]</w:t>
      </w:r>
      <w:r>
        <w:t xml:space="preserve">。</w:t>
      </w:r>
    </w:p>
    <w:bookmarkEnd w:id="2389"/>
    <w:bookmarkStart w:id="2390" w:name="sec-145-8"/>
    <w:p>
      <w:pPr>
        <w:pStyle w:val="Heading3"/>
      </w:pPr>
      <w:r>
        <w:t xml:space="preserve">145.8　相对休息与逐步恢复活动</w:t>
      </w:r>
    </w:p>
    <w:p>
      <w:pPr>
        <w:pStyle w:val="FirstParagraph"/>
      </w:pPr>
      <w:r>
        <w:t xml:space="preserve">运动脑震荡共识支持初期短暂的相对休息，随后依据症状和专业评估逐步恢复低风险活动。长期把人隔离在黑暗房间、禁止全部认知与身体活动，缺乏普遍获益依据。活动增加与避免再次撞击需要同时考虑，恢复日常活动不等于恢复对抗性运动</w:t>
      </w:r>
      <w:r>
        <w:rPr>
          <w:vertAlign w:val="superscript"/>
        </w:rPr>
        <w:t xml:space="preserve">[</w:t>
      </w:r>
      <w:hyperlink w:anchor="ref-1563">
        <w:r>
          <w:rPr>
            <w:rStyle w:val="Hyperlink"/>
            <w:vertAlign w:val="superscript"/>
          </w:rPr>
          <w:t xml:space="preserve">1563</w:t>
        </w:r>
      </w:hyperlink>
      <w:r>
        <w:rPr>
          <w:vertAlign w:val="superscript"/>
        </w:rPr>
        <w:t xml:space="preserve">]</w:t>
      </w:r>
      <w:r>
        <w:t xml:space="preserve">。</w:t>
      </w:r>
    </w:p>
    <w:p>
      <w:pPr>
        <w:pStyle w:val="BodyText"/>
      </w:pPr>
      <w:r>
        <w:t xml:space="preserve">一项103名十三至十八岁运动员的随机试验，在专业评估运动耐受后比较个体化阈下有氧活动与伸展方案，恢复中位时间为十三天与十七天。它支持在明确选择和监测条件下的主动康复方向，不能推出任何头部受伤者都应自行高强度锻炼，也没有证明每个人必然缩短四天恢复期</w:t>
      </w:r>
      <w:r>
        <w:rPr>
          <w:vertAlign w:val="superscript"/>
        </w:rPr>
        <w:t xml:space="preserve">[</w:t>
      </w:r>
      <w:hyperlink w:anchor="ref-1568">
        <w:r>
          <w:rPr>
            <w:rStyle w:val="Hyperlink"/>
            <w:vertAlign w:val="superscript"/>
          </w:rPr>
          <w:t xml:space="preserve">1568</w:t>
        </w:r>
      </w:hyperlink>
      <w:r>
        <w:rPr>
          <w:vertAlign w:val="superscript"/>
        </w:rPr>
        <w:t xml:space="preserve">]</w:t>
      </w:r>
      <w:r>
        <w:t xml:space="preserve">。</w:t>
      </w:r>
    </w:p>
    <w:p>
      <w:pPr>
        <w:pStyle w:val="BodyText"/>
      </w:pPr>
      <w:r>
        <w:t xml:space="preserve">活动调节的生理目标是让负荷与当前耐受相匹配。负荷过低可能减少正常生活参与并加重失调，负荷过高可能诱发明显症状或增加事故风险。这里的“剂量”同时包括强度、持续时间、任务复杂性和环境刺激。阅读十分钟与在嘈杂教室中连续完成考试，具有不同的认知负荷。</w:t>
      </w:r>
    </w:p>
    <w:p>
      <w:pPr>
        <w:pStyle w:val="BodyText"/>
      </w:pPr>
      <w:r>
        <w:t xml:space="preserve">一个假设的学习场景中，学生可以在安静环境下阅读短段落，却在屏幕切换、多人讨论和限时测验中出现明显困难。支持可以针对任务分段、休息安排、环境刺激及考核方式进行调整，所有学习活动不必因此统一取消。效果评价应关注参与、症状趋势和可持续性，避免只用“今天是否完全无症状”描述全部进展。</w:t>
      </w:r>
    </w:p>
    <w:bookmarkEnd w:id="2390"/>
    <w:bookmarkStart w:id="2391" w:name="sec-145-9"/>
    <w:p>
      <w:pPr>
        <w:pStyle w:val="Heading3"/>
      </w:pPr>
      <w:r>
        <w:t xml:space="preserve">145.9　持续症状需要分解其组成</w:t>
      </w:r>
    </w:p>
    <w:p>
      <w:pPr>
        <w:pStyle w:val="FirstParagraph"/>
      </w:pPr>
      <w:r>
        <w:t xml:space="preserve">持续头痛、眩晕、视觉不适、疲劳和认知困难可能来自多个相互影响的过程。头痛可以具有偏头痛样特征，颈部损伤可以贡献疼痛和不适，前庭及眼动问题可能在转头或视觉运动时突出，睡眠紊乱又可能放大多种症状。持续症状的评估需要识别这些组成和共存疾病，不能用一个总标签终止解释</w:t>
      </w:r>
      <w:r>
        <w:rPr>
          <w:vertAlign w:val="superscript"/>
        </w:rPr>
        <w:t xml:space="preserve">[</w:t>
      </w:r>
      <w:hyperlink w:anchor="ref-1563">
        <w:r>
          <w:rPr>
            <w:rStyle w:val="Hyperlink"/>
            <w:vertAlign w:val="superscript"/>
          </w:rPr>
          <w:t xml:space="preserve">1563</w:t>
        </w:r>
      </w:hyperlink>
      <w:r>
        <w:rPr>
          <w:vertAlign w:val="superscript"/>
        </w:rPr>
        <w:t xml:space="preserve">]</w:t>
      </w:r>
      <w:r>
        <w:t xml:space="preserve">。</w:t>
      </w:r>
    </w:p>
    <w:p>
      <w:pPr>
        <w:pStyle w:val="BodyText"/>
      </w:pPr>
      <w:r>
        <w:t xml:space="preserve">症状之间还会形成反馈。假设眩晕使患者减少外出，活动减少与睡眠时程紊乱随后加重疲劳，疲劳又降低视觉任务耐受。最初损伤是触发因素，持续困难可能由多个环节共同维持。针对其中一个可改变环节产生改善，并不否认最初受伤，也不能证明其他环节不存在。</w:t>
      </w:r>
    </w:p>
    <w:p>
      <w:pPr>
        <w:pStyle w:val="BodyText"/>
      </w:pPr>
      <w:r>
        <w:t xml:space="preserve">创伤经历中的恐惧、失去工作、经济压力和身体疼痛同样值得处理。它们会影响恢复轨迹，但不能据此把症状认定为故意或虚构。相反，承认多个层次有助于避免非此即彼的解释，让神经、身体和心理支持各自针对真实问题。</w:t>
      </w:r>
    </w:p>
    <w:p>
      <w:pPr>
        <w:pStyle w:val="BodyText"/>
      </w:pPr>
      <w:r>
        <w:t xml:space="preserve">TRACK-TBI 的纵向研究比较1155名轻型脑外伤患者与230名骨科创伤对照，发现轻型脑外伤组在伤后数月内筛查出可能创伤后应激障碍或重度抑郁的风险高于对照组，这类结局还与受伤前后因素有关。研究使用量表阈值确定可能病例，不能把所有筛查阳性等同完整临床诊断。教育、暴力暴露和社会背景等变量也需要在其社会环境中解释，不能转化为生物本质推断</w:t>
      </w:r>
      <w:r>
        <w:rPr>
          <w:vertAlign w:val="superscript"/>
        </w:rPr>
        <w:t xml:space="preserve">[</w:t>
      </w:r>
      <w:hyperlink w:anchor="ref-1569">
        <w:r>
          <w:rPr>
            <w:rStyle w:val="Hyperlink"/>
            <w:vertAlign w:val="superscript"/>
          </w:rPr>
          <w:t xml:space="preserve">1569</w:t>
        </w:r>
      </w:hyperlink>
      <w:r>
        <w:rPr>
          <w:vertAlign w:val="superscript"/>
        </w:rPr>
        <w:t xml:space="preserve">]</w:t>
      </w:r>
      <w:r>
        <w:t xml:space="preserve">。</w:t>
      </w:r>
    </w:p>
    <w:bookmarkEnd w:id="2391"/>
    <w:bookmarkStart w:id="2392" w:name="sec-145-10"/>
    <w:p>
      <w:pPr>
        <w:pStyle w:val="Heading3"/>
      </w:pPr>
      <w:r>
        <w:t xml:space="preserve">145.10　重型脑外伤的继发损伤</w:t>
      </w:r>
    </w:p>
    <w:p>
      <w:pPr>
        <w:pStyle w:val="FirstParagraph"/>
      </w:pPr>
      <w:r>
        <w:t xml:space="preserve">重型脑外伤可能同时包括挫伤、血肿、轴突损伤、缺氧、灌注异常及全身损伤。最初机械伤害之后，低氧、低血压、异常颅内压、代谢需求与供应失衡等可进一步加重组织负担。神经重症管理因此持续观察多个生理系统，目标包括减少可避免的继发伤害</w:t>
      </w:r>
      <w:r>
        <w:rPr>
          <w:vertAlign w:val="superscript"/>
        </w:rPr>
        <w:t xml:space="preserve">[</w:t>
      </w:r>
      <w:hyperlink w:anchor="ref-1570">
        <w:r>
          <w:rPr>
            <w:rStyle w:val="Hyperlink"/>
            <w:vertAlign w:val="superscript"/>
          </w:rPr>
          <w:t xml:space="preserve">1570</w:t>
        </w:r>
      </w:hyperlink>
      <w:r>
        <w:rPr>
          <w:vertAlign w:val="superscript"/>
        </w:rPr>
        <w:t xml:space="preserve">]</w:t>
      </w:r>
      <w:r>
        <w:t xml:space="preserve">。</w:t>
      </w:r>
    </w:p>
    <w:p>
      <w:pPr>
        <w:pStyle w:val="BodyText"/>
      </w:pPr>
      <w:r>
        <w:t xml:space="preserve">颅内压力与脑灌注相关，但一个全局压力值不能完整描述所有区域的供血。局部占位、组织顺应性、血管自动调节和静脉回流都会影响关系。某项干预降低压力，属于重要的生理效果；是否改善长期功能，需要临床结局进一步证明。把所有治疗目标都归结为一个监测数字，会遗漏这些层次。</w:t>
      </w:r>
    </w:p>
    <w:p>
      <w:pPr>
        <w:pStyle w:val="BodyText"/>
      </w:pPr>
      <w:r>
        <w:t xml:space="preserve">脑组织氧监测、脑电、影像和血液指标提供互补信息，也有各自空间覆盖范围。局部探头测到一个区域，头皮脑电对深部活动存在限制，扫描呈现某一时点。多模态监测的价值来自共同解释，不应把更多仪器自动当作更多确定性。若测量之间不一致，应检查测量位置、时间和参照问题。</w:t>
      </w:r>
    </w:p>
    <w:bookmarkEnd w:id="2392"/>
    <w:bookmarkStart w:id="2393" w:name="sec-145-11"/>
    <w:p>
      <w:pPr>
        <w:pStyle w:val="Heading3"/>
      </w:pPr>
      <w:r>
        <w:t xml:space="preserve">145.11　看似合理的机制需要临床结局检验</w:t>
      </w:r>
    </w:p>
    <w:p>
      <w:pPr>
        <w:pStyle w:val="FirstParagraph"/>
      </w:pPr>
      <w:r>
        <w:t xml:space="preserve">糖皮质激素具有抗炎作用，早期曾被广泛用于头部创伤。然而，CRASH 随机试验纳入10008名成人，十四天死亡比例在甲泼尼龙组为21.1%，安慰剂组为17.9%，相对风险1.18，95%置信区间1.09至1.27。这一结果表明，合理的抗炎机制推测不能替代特定疾病中的临床净效应证据</w:t>
      </w:r>
      <w:r>
        <w:rPr>
          <w:vertAlign w:val="superscript"/>
        </w:rPr>
        <w:t xml:space="preserve">[</w:t>
      </w:r>
      <w:hyperlink w:anchor="ref-1571">
        <w:r>
          <w:rPr>
            <w:rStyle w:val="Hyperlink"/>
            <w:vertAlign w:val="superscript"/>
          </w:rPr>
          <w:t xml:space="preserve">1571</w:t>
        </w:r>
      </w:hyperlink>
      <w:r>
        <w:rPr>
          <w:vertAlign w:val="superscript"/>
        </w:rPr>
        <w:t xml:space="preserve">]</w:t>
      </w:r>
      <w:r>
        <w:t xml:space="preserve">。</w:t>
      </w:r>
    </w:p>
    <w:p>
      <w:pPr>
        <w:pStyle w:val="BodyText"/>
      </w:pPr>
      <w:r>
        <w:t xml:space="preserve">这个例子也不能被反向扩展为糖皮质激素在全部神经疾病中都有害。自身免疫性疾病、肿瘤相关水肿和外伤具有不同的病理环境与证据。药物作用于某个通路，最终效果取决于该通路在特定时点的保护与损伤功能，以及药物对其他系统的作用。疾病机制之间的差异必须保留。</w:t>
      </w:r>
    </w:p>
    <w:bookmarkEnd w:id="2393"/>
    <w:bookmarkStart w:id="2394" w:name="sec-145-12"/>
    <w:p>
      <w:pPr>
        <w:pStyle w:val="Heading3"/>
      </w:pPr>
      <w:r>
        <w:t xml:space="preserve">145.12　减压手术展示了结局分布的重要性</w:t>
      </w:r>
    </w:p>
    <w:p>
      <w:pPr>
        <w:pStyle w:val="FirstParagraph"/>
      </w:pPr>
      <w:r>
        <w:t xml:space="preserve">DECRA 在155名成人中研究特定早期难治性颅内压条件下的减压手术。手术降低了颅内压和部分重症治疗负担，但六个月时手术组扩展格拉斯哥结局量表评分反而较差（较差评分的比值比为1.84，95%置信区间1.05至3.24），不利结局比例也较高，两组死亡比例相近；手术组基线瞳孔有反应者较少，事后校正这一不平衡后，组间差异不再显著。这个研究强调生理目标与患者结局之间需要实际验证，不能仅以压力下降认定总体获益</w:t>
      </w:r>
      <w:r>
        <w:rPr>
          <w:vertAlign w:val="superscript"/>
        </w:rPr>
        <w:t xml:space="preserve">[</w:t>
      </w:r>
      <w:hyperlink w:anchor="ref-1572">
        <w:r>
          <w:rPr>
            <w:rStyle w:val="Hyperlink"/>
            <w:vertAlign w:val="superscript"/>
          </w:rPr>
          <w:t xml:space="preserve">1572</w:t>
        </w:r>
      </w:hyperlink>
      <w:r>
        <w:rPr>
          <w:vertAlign w:val="superscript"/>
        </w:rPr>
        <w:t xml:space="preserve">]</w:t>
      </w:r>
      <w:r>
        <w:t xml:space="preserve">。</w:t>
      </w:r>
    </w:p>
    <w:p>
      <w:pPr>
        <w:pStyle w:val="BodyText"/>
      </w:pPr>
      <w:r>
        <w:t xml:space="preserve">RESCUEicp 在不同条件下纳入408名十至六十五岁患者，研究更持续、难治的颅内压升高。六个月时手术组死亡比例为26.9%，医疗组为48.9%，同时手术组某些严重残障存活类别的比例较高。结果包含生存收益和生存状态的重新分布，不能简单压缩成“救活的人都恢复良好”或“没有价值”</w:t>
      </w:r>
      <w:r>
        <w:rPr>
          <w:vertAlign w:val="superscript"/>
        </w:rPr>
        <w:t xml:space="preserve">[</w:t>
      </w:r>
      <w:hyperlink w:anchor="ref-1573">
        <w:r>
          <w:rPr>
            <w:rStyle w:val="Hyperlink"/>
            <w:vertAlign w:val="superscript"/>
          </w:rPr>
          <w:t xml:space="preserve">1573</w:t>
        </w:r>
      </w:hyperlink>
      <w:r>
        <w:rPr>
          <w:vertAlign w:val="superscript"/>
        </w:rPr>
        <w:t xml:space="preserve">]</w:t>
      </w:r>
      <w:r>
        <w:t xml:space="preserve">。</w:t>
      </w:r>
    </w:p>
    <w:p>
      <w:pPr>
        <w:pStyle w:val="BodyText"/>
      </w:pPr>
      <w:r>
        <w:t xml:space="preserve">2020年指南更新综合这些研究及后续随访，区分早期和晚期难治性颅内压的研究情境。“早期”和“晚期”在这里代表包含压力、持续时间和既往治疗条件的方案类别，不能只按日历时间理解。对患者和家庭而言，讨论需要呈现完整可能结局、时间中的改善机会和个体价值观</w:t>
      </w:r>
      <w:r>
        <w:rPr>
          <w:vertAlign w:val="superscript"/>
        </w:rPr>
        <w:t xml:space="preserve">[</w:t>
      </w:r>
      <w:hyperlink w:anchor="ref-1574">
        <w:r>
          <w:rPr>
            <w:rStyle w:val="Hyperlink"/>
            <w:vertAlign w:val="superscript"/>
          </w:rPr>
          <w:t xml:space="preserve">1574</w:t>
        </w:r>
      </w:hyperlink>
      <w:r>
        <w:rPr>
          <w:vertAlign w:val="superscript"/>
        </w:rPr>
        <w:t xml:space="preserve">]</w:t>
      </w:r>
      <w:r>
        <w:t xml:space="preserve">。</w:t>
      </w:r>
    </w:p>
    <w:p>
      <w:pPr>
        <w:pStyle w:val="BodyText"/>
      </w:pPr>
      <w:r>
        <w:t xml:space="preserve">假设两项治疗均使死亡减少十个百分点，其中一项主要增加中度残障存活，另一项主要增加严重依赖存活，两者的伦理与生活意义需要分别讨论。科学数据可以描述概率及不确定性，无法替每个家庭决定何种功能状态最符合患者的愿望。价值判断与事实判断应在沟通中清楚分开。</w:t>
      </w:r>
    </w:p>
    <w:bookmarkEnd w:id="2394"/>
    <w:bookmarkStart w:id="2395" w:name="sec-145-13"/>
    <w:p>
      <w:pPr>
        <w:pStyle w:val="Heading3"/>
      </w:pPr>
      <w:r>
        <w:t xml:space="preserve">145.13　重复撞击与慢性创伤性脑病</w:t>
      </w:r>
    </w:p>
    <w:p>
      <w:pPr>
        <w:pStyle w:val="FirstParagraph"/>
      </w:pPr>
      <w:r>
        <w:t xml:space="preserve">重复头部撞击包括有明显脑震荡症状的事件，也包括当时没有被识别为脑震荡的撞击。研究关注累积次数、强度、间隔和暴露年限等维度。不能仅凭“确诊脑震荡的次数”完整量化一个人的终生暴露，也不能把所有没有即时症状的撞击视为已证明无影响。</w:t>
      </w:r>
    </w:p>
    <w:p>
      <w:pPr>
        <w:pStyle w:val="BodyText"/>
      </w:pPr>
      <w:r>
        <w:t xml:space="preserve">慢性创伤性脑病的病理标准强调特定分布的异常磷酸化 tau，尤其涉及脑沟深部小血管周围的神经元病变及相关空间模式。这个病理实体需要与其他 tau 病理区分。病理标准能够提高研究一致性，但病理分布、严重度与生前具体症状之间仍需独立研究</w:t>
      </w:r>
      <w:r>
        <w:rPr>
          <w:vertAlign w:val="superscript"/>
        </w:rPr>
        <w:t xml:space="preserve">[</w:t>
      </w:r>
      <w:hyperlink w:anchor="ref-1575">
        <w:r>
          <w:rPr>
            <w:rStyle w:val="Hyperlink"/>
            <w:vertAlign w:val="superscript"/>
          </w:rPr>
          <w:t xml:space="preserve">1575</w:t>
        </w:r>
      </w:hyperlink>
      <w:r>
        <w:rPr>
          <w:vertAlign w:val="superscript"/>
        </w:rPr>
        <w:t xml:space="preserve">]</w:t>
      </w:r>
      <w:r>
        <w:t xml:space="preserve">。</w:t>
      </w:r>
    </w:p>
    <w:p>
      <w:pPr>
        <w:pStyle w:val="BodyText"/>
      </w:pPr>
      <w:r>
        <w:t xml:space="preserve">一项631名男性橄榄球脑捐献者的研究，利用位置和竞技层级相关传感资料构建暴露矩阵，估计累积撞击指标，并观察到与病理的关联。每名捐献者的终生撞击并未全部由设备直接记录，脑捐献样本也存在选择。研究有助于识别重要暴露维度，无法直接给出所有普通参与者的患病比例或个人命运</w:t>
      </w:r>
      <w:r>
        <w:rPr>
          <w:vertAlign w:val="superscript"/>
        </w:rPr>
        <w:t xml:space="preserve">[</w:t>
      </w:r>
      <w:hyperlink w:anchor="ref-1576">
        <w:r>
          <w:rPr>
            <w:rStyle w:val="Hyperlink"/>
            <w:vertAlign w:val="superscript"/>
          </w:rPr>
          <w:t xml:space="preserve">1576</w:t>
        </w:r>
      </w:hyperlink>
      <w:r>
        <w:rPr>
          <w:vertAlign w:val="superscript"/>
        </w:rPr>
        <w:t xml:space="preserve">]</w:t>
      </w:r>
      <w:r>
        <w:t xml:space="preserve">。</w:t>
      </w:r>
    </w:p>
    <w:p>
      <w:pPr>
        <w:pStyle w:val="BodyText"/>
      </w:pPr>
      <w:r>
        <w:t xml:space="preserve">NINDS 提出的创伤性脑病综合征研究标准包含显著重复撞击暴露、进展性核心症候及其他解释的排除。这个临床研究分类与最终确证的慢性创伤性脑病病理需要区别。仅凭过去参加某项运动、目前记忆不佳或情绪改变，不能确定活体中已经存在特定病理</w:t>
      </w:r>
      <w:r>
        <w:rPr>
          <w:vertAlign w:val="superscript"/>
        </w:rPr>
        <w:t xml:space="preserve">[</w:t>
      </w:r>
      <w:hyperlink w:anchor="ref-1577">
        <w:r>
          <w:rPr>
            <w:rStyle w:val="Hyperlink"/>
            <w:vertAlign w:val="superscript"/>
          </w:rPr>
          <w:t xml:space="preserve">1577</w:t>
        </w:r>
      </w:hyperlink>
      <w:r>
        <w:rPr>
          <w:vertAlign w:val="superscript"/>
        </w:rPr>
        <w:t xml:space="preserve">]</w:t>
      </w:r>
      <w:r>
        <w:t xml:space="preserve">。</w:t>
      </w:r>
    </w:p>
    <w:bookmarkEnd w:id="2395"/>
    <w:bookmarkStart w:id="2396" w:name="sec-145-14"/>
    <w:p>
      <w:pPr>
        <w:pStyle w:val="Heading3"/>
      </w:pPr>
      <w:r>
        <w:t xml:space="preserve">145.14　如何避免宿命式解释</w:t>
      </w:r>
    </w:p>
    <w:p>
      <w:pPr>
        <w:pStyle w:val="FirstParagraph"/>
      </w:pPr>
      <w:r>
        <w:t xml:space="preserve">长期风险研究具有现实意义，能够推动减少不必要撞击和改进规则。但风险信息若被表达为受过一次伤就注定退行，会超过证据并增加无助感。许多症状具有可评估、可支持和可改善的组成，过去受伤史不应阻止对其他疾病的检查。</w:t>
      </w:r>
    </w:p>
    <w:p>
      <w:pPr>
        <w:pStyle w:val="BodyText"/>
      </w:pPr>
      <w:r>
        <w:t xml:space="preserve">假设一名退休运动员出现睡眠呼吸障碍、抑郁和记忆主诉，同时具有重复撞击史。撞击暴露值得记录，但前三项问题也有独立的评估与支持价值。若直接给出不可逆退行标签，可能遗漏实际可改变的负担；若完全忽略暴露史，也会丢失重要背景。两类信息可以共同保留。</w:t>
      </w:r>
    </w:p>
    <w:p>
      <w:pPr>
        <w:pStyle w:val="BodyText"/>
      </w:pPr>
      <w:r>
        <w:t xml:space="preserve">研究中的脑捐献比例尤其需要谨慎。一个由症状明显者家属更愿意参与的样本，能够揭示病理与临床特征的关联，却很难直接代表所有暴露者。要估计人群风险，需要更具代表性的长期队列、清晰暴露测量、合适比较组和对失访的处理。对选择偏倚的承认不会消除已观察到的病理，只限制可推出的概率范围。</w:t>
      </w:r>
    </w:p>
    <w:bookmarkEnd w:id="2396"/>
    <w:bookmarkStart w:id="2397" w:name="sec-145-15"/>
    <w:p>
      <w:pPr>
        <w:pStyle w:val="Heading3"/>
      </w:pPr>
      <w:r>
        <w:t xml:space="preserve">145.15　儿童、老年人与恢复环境</w:t>
      </w:r>
    </w:p>
    <w:p>
      <w:pPr>
        <w:pStyle w:val="FirstParagraph"/>
      </w:pPr>
      <w:r>
        <w:t xml:space="preserve">儿童恢复需要结合发育中的学习要求。一次在简单任务上看似恢复，未必说明能够承受随后更高的学业负荷；同时，持续的学校支持可以减少因缺课、疲劳和评价压力带来的次生困难。研究应把年龄、发育阶段、既往学习特点和家庭资源纳入分析，不能只按成人量表缩小字体</w:t>
      </w:r>
      <w:r>
        <w:rPr>
          <w:vertAlign w:val="superscript"/>
        </w:rPr>
        <w:t xml:space="preserve">[</w:t>
      </w:r>
      <w:hyperlink w:anchor="ref-1562">
        <w:r>
          <w:rPr>
            <w:rStyle w:val="Hyperlink"/>
            <w:vertAlign w:val="superscript"/>
          </w:rPr>
          <w:t xml:space="preserve">1562</w:t>
        </w:r>
      </w:hyperlink>
      <w:r>
        <w:rPr>
          <w:vertAlign w:val="superscript"/>
        </w:rPr>
        <w:t xml:space="preserve">,</w:t>
      </w:r>
      <w:hyperlink w:anchor="ref-1563">
        <w:r>
          <w:rPr>
            <w:rStyle w:val="Hyperlink"/>
            <w:vertAlign w:val="superscript"/>
          </w:rPr>
          <w:t xml:space="preserve">1563</w:t>
        </w:r>
      </w:hyperlink>
      <w:r>
        <w:rPr>
          <w:vertAlign w:val="superscript"/>
        </w:rPr>
        <w:t xml:space="preserve">]</w:t>
      </w:r>
      <w:r>
        <w:t xml:space="preserve">。</w:t>
      </w:r>
    </w:p>
    <w:p>
      <w:pPr>
        <w:pStyle w:val="BodyText"/>
      </w:pPr>
      <w:r>
        <w:t xml:space="preserve">老年人可能同时存在跌倒风险、感觉障碍、脑血管病、既有认知变化和多种药物使用。受伤后功能下降可能来自损伤本身、住院失活动、谵妄或其他并发问题。恢复评价需要与受伤前真实功能比较，不能把年龄本身作为停止康复目标的理由。</w:t>
      </w:r>
    </w:p>
    <w:p>
      <w:pPr>
        <w:pStyle w:val="BodyText"/>
      </w:pPr>
      <w:r>
        <w:t xml:space="preserve">环境对结局也具有直接作用。是否有安全住所、能否获得交通和复诊、工作能否逐步调整、家庭是否理解疲劳与认知变化，都会影响现实参与。相同神经损伤在不同支持条件下可以产生不同生活后果。把这些因素纳入研究能够解释功能异质性，也有助于识别除了药物和手术以外的重要改善机会。</w:t>
      </w:r>
    </w:p>
    <w:bookmarkEnd w:id="2397"/>
    <w:bookmarkStart w:id="2398" w:name="sec-145-16"/>
    <w:p>
      <w:pPr>
        <w:pStyle w:val="Heading3"/>
      </w:pPr>
      <w:r>
        <w:t xml:space="preserve">145.16　以目标和时间追踪恢复</w:t>
      </w:r>
    </w:p>
    <w:p>
      <w:pPr>
        <w:pStyle w:val="FirstParagraph"/>
      </w:pPr>
      <w:r>
        <w:t xml:space="preserve">脑外伤随访适合记录多个领域的轨迹，包括症状、睡眠、运动、认知、情绪、社会参与和照护需求。改善不一定同步，某些困难只在重新承担复杂任务时显现。一次量表不能替代连续观察，真实任务也不能独自定位受损机制。</w:t>
      </w:r>
    </w:p>
    <w:p>
      <w:pPr>
        <w:pStyle w:val="BodyText"/>
      </w:pPr>
      <w:r>
        <w:t xml:space="preserve">例如，一位患者可以在安静房间完成记忆测验，却在工作中因持续干扰而遗漏步骤。下一步科学问题是注意维持、任务切换、疲劳累积还是记忆编码中的哪一环节受限。将任务拆解后，可以选择相应支持和测量，避免把全部失败归为笼统的“记忆力差”。</w:t>
      </w:r>
    </w:p>
    <w:bookmarkEnd w:id="2398"/>
    <w:bookmarkStart w:id="2399" w:name="sec-145-17"/>
    <w:p>
      <w:pPr>
        <w:pStyle w:val="Heading3"/>
      </w:pPr>
      <w:r>
        <w:t xml:space="preserve">145.17　关键判断的置信度边界</w:t>
      </w:r>
    </w:p>
    <w:p>
      <w:pPr>
        <w:pStyle w:val="FirstParagraph"/>
      </w:pPr>
      <w:r>
        <w:t xml:space="preserve">外力可以造成多尺度脑损伤，部分严重创伤需要紧急和持续的专业处理；脑震荡可以伴随常规结构影像正常，症状需要按时间过程和功能系统解释。这些判断具有成熟的临床支持。特定年龄、运动情境与监测条件下的活动试验，支持相应方案的平均恢复效果，不能覆盖全部严重度和所有并发症。脑外伤后存在生物学、心理和环境共同影响，承认多重因素可以改善解释精度，这不能作为否认症状真实性的理由。捐献脑病理系列有助于确认特定病理形式，对所有有接触运动经历者的患病率、个人预后及某一次撞击的因果贡献，现有资料仍不足以确定；个体长期轨迹以及许多新标志物如何指导生活恢复，也仍存在重要未知</w:t>
      </w:r>
      <w:r>
        <w:rPr>
          <w:vertAlign w:val="superscript"/>
        </w:rPr>
        <w:t xml:space="preserve">[</w:t>
      </w:r>
      <w:hyperlink w:anchor="ref-1562">
        <w:r>
          <w:rPr>
            <w:rStyle w:val="Hyperlink"/>
            <w:vertAlign w:val="superscript"/>
          </w:rPr>
          <w:t xml:space="preserve">1562</w:t>
        </w:r>
      </w:hyperlink>
      <w:r>
        <w:rPr>
          <w:vertAlign w:val="superscript"/>
        </w:rPr>
        <w:t xml:space="preserve">,</w:t>
      </w:r>
      <w:hyperlink w:anchor="ref-1563">
        <w:r>
          <w:rPr>
            <w:rStyle w:val="Hyperlink"/>
            <w:vertAlign w:val="superscript"/>
          </w:rPr>
          <w:t xml:space="preserve">1563</w:t>
        </w:r>
      </w:hyperlink>
      <w:r>
        <w:rPr>
          <w:vertAlign w:val="superscript"/>
        </w:rPr>
        <w:t xml:space="preserve">,</w:t>
      </w:r>
      <w:hyperlink w:anchor="ref-1568">
        <w:r>
          <w:rPr>
            <w:rStyle w:val="Hyperlink"/>
            <w:vertAlign w:val="superscript"/>
          </w:rPr>
          <w:t xml:space="preserve">1568</w:t>
        </w:r>
      </w:hyperlink>
      <w:r>
        <w:rPr>
          <w:vertAlign w:val="superscript"/>
        </w:rPr>
        <w:t xml:space="preserve">,</w:t>
      </w:r>
      <w:hyperlink w:anchor="ref-1575">
        <w:r>
          <w:rPr>
            <w:rStyle w:val="Hyperlink"/>
            <w:vertAlign w:val="superscript"/>
          </w:rPr>
          <w:t xml:space="preserve">1575</w:t>
        </w:r>
      </w:hyperlink>
      <w:r>
        <w:rPr>
          <w:vertAlign w:val="superscript"/>
        </w:rPr>
        <w:t xml:space="preserve">,</w:t>
      </w:r>
      <w:hyperlink w:anchor="ref-1576">
        <w:r>
          <w:rPr>
            <w:rStyle w:val="Hyperlink"/>
            <w:vertAlign w:val="superscript"/>
          </w:rPr>
          <w:t xml:space="preserve">1576</w:t>
        </w:r>
      </w:hyperlink>
      <w:r>
        <w:rPr>
          <w:vertAlign w:val="superscript"/>
        </w:rPr>
        <w:t xml:space="preserve">,</w:t>
      </w:r>
      <w:hyperlink w:anchor="ref-1577">
        <w:r>
          <w:rPr>
            <w:rStyle w:val="Hyperlink"/>
            <w:vertAlign w:val="superscript"/>
          </w:rPr>
          <w:t xml:space="preserve">1577</w:t>
        </w:r>
      </w:hyperlink>
      <w:r>
        <w:rPr>
          <w:vertAlign w:val="superscript"/>
        </w:rPr>
        <w:t xml:space="preserve">]</w:t>
      </w:r>
      <w:r>
        <w:t xml:space="preserve">。</w:t>
      </w:r>
    </w:p>
    <w:bookmarkEnd w:id="2399"/>
    <w:bookmarkEnd w:id="2400"/>
    <w:bookmarkStart w:id="2420" w:name="ch-146"/>
    <w:p>
      <w:pPr>
        <w:pStyle w:val="Heading2"/>
      </w:pPr>
      <w:r>
        <w:t xml:space="preserve">第146章　神经肿瘤：分子分类、网络作用与功能结局</w:t>
      </w:r>
    </w:p>
    <w:bookmarkStart w:id="2401" w:name="sec-146-1"/>
    <w:p>
      <w:pPr>
        <w:pStyle w:val="Heading3"/>
      </w:pPr>
      <w:r>
        <w:t xml:space="preserve">146.1　神经系统肿瘤为什么需要多种坐标</w:t>
      </w:r>
    </w:p>
    <w:p>
      <w:pPr>
        <w:pStyle w:val="FirstParagraph"/>
      </w:pPr>
      <w:r>
        <w:t xml:space="preserve">神经系统肿瘤的危险来自生物学行为与所在空间的共同作用。细胞增殖、浸润、血管改变和治疗敏感性决定部分病程，位置、周围通路、脑脊液循环及颅内空间决定另一部分影响。因此，肿瘤大小、组织学级别、分子类型和患者功能需要分别记录。一个生长较慢的病变也可能压迫关键结构，一个影像范围较大的病变也可能因长期适应而暂时只表现为较轻症状</w:t>
      </w:r>
      <w:r>
        <w:rPr>
          <w:vertAlign w:val="superscript"/>
        </w:rPr>
        <w:t xml:space="preserve">[</w:t>
      </w:r>
      <w:hyperlink w:anchor="ref-1578">
        <w:r>
          <w:rPr>
            <w:rStyle w:val="Hyperlink"/>
            <w:vertAlign w:val="superscript"/>
          </w:rPr>
          <w:t xml:space="preserve">1578</w:t>
        </w:r>
      </w:hyperlink>
      <w:r>
        <w:rPr>
          <w:vertAlign w:val="superscript"/>
        </w:rPr>
        <w:t xml:space="preserve">,</w:t>
      </w:r>
      <w:hyperlink w:anchor="ref-1579">
        <w:r>
          <w:rPr>
            <w:rStyle w:val="Hyperlink"/>
            <w:vertAlign w:val="superscript"/>
          </w:rPr>
          <w:t xml:space="preserve">1579</w:t>
        </w:r>
      </w:hyperlink>
      <w:r>
        <w:rPr>
          <w:vertAlign w:val="superscript"/>
        </w:rPr>
        <w:t xml:space="preserve">,</w:t>
      </w:r>
      <w:hyperlink w:anchor="ref-1580">
        <w:r>
          <w:rPr>
            <w:rStyle w:val="Hyperlink"/>
            <w:vertAlign w:val="superscript"/>
          </w:rPr>
          <w:t xml:space="preserve">1580</w:t>
        </w:r>
      </w:hyperlink>
      <w:r>
        <w:rPr>
          <w:vertAlign w:val="superscript"/>
        </w:rPr>
        <w:t xml:space="preserve">]</w:t>
      </w:r>
      <w:r>
        <w:t xml:space="preserve">。</w:t>
      </w:r>
    </w:p>
    <w:p>
      <w:pPr>
        <w:pStyle w:val="BodyText"/>
      </w:pPr>
      <w:r>
        <w:t xml:space="preserve">脑内原发肿瘤、来自其他器官的脑转移、脑膜来源肿瘤和某些神经鞘肿瘤具有不同起源。它们可以共享头痛、癫痫发作或局灶功能改变，但诊断和治疗证据不能互相直接复制。对神经科学而言，肿瘤也提供了重要窗口：它揭示局部细胞异常如何与血管、免疫、突触及远程网络共同改变行为。</w:t>
      </w:r>
    </w:p>
    <w:p>
      <w:pPr>
        <w:pStyle w:val="BodyText"/>
      </w:pPr>
      <w:r>
        <w:t xml:space="preserve">“良性”这一日常词语尤其容易掩盖问题。它可以表达较低的侵袭或转移倾向，却不能保证位于颅内的病变没有压迫、视觉、听觉、认知或内分泌后果。与此同时，偶然发现的病变也并不自动意味着立即干预最有利，生长速度、症状与治疗风险需要共同考虑。脑膜瘤指南明确把观察、功能和安全治疗条件纳入决策框架</w:t>
      </w:r>
      <w:r>
        <w:rPr>
          <w:vertAlign w:val="superscript"/>
        </w:rPr>
        <w:t xml:space="preserve">[</w:t>
      </w:r>
      <w:hyperlink w:anchor="ref-1580">
        <w:r>
          <w:rPr>
            <w:rStyle w:val="Hyperlink"/>
            <w:vertAlign w:val="superscript"/>
          </w:rPr>
          <w:t xml:space="preserve">1580</w:t>
        </w:r>
      </w:hyperlink>
      <w:r>
        <w:rPr>
          <w:vertAlign w:val="superscript"/>
        </w:rPr>
        <w:t xml:space="preserve">]</w:t>
      </w:r>
      <w:r>
        <w:t xml:space="preserve">。</w:t>
      </w:r>
    </w:p>
    <w:bookmarkEnd w:id="2401"/>
    <w:bookmarkStart w:id="2402" w:name="sec-146-2"/>
    <w:p>
      <w:pPr>
        <w:pStyle w:val="Heading3"/>
      </w:pPr>
      <w:r>
        <w:t xml:space="preserve">146.2　从显微镜外观到整合诊断</w:t>
      </w:r>
    </w:p>
    <w:p>
      <w:pPr>
        <w:pStyle w:val="FirstParagraph"/>
      </w:pPr>
      <w:r>
        <w:t xml:space="preserve">现代中枢神经系统肿瘤分类把组织学与分子特征结合。2021年 WHO 分类中，成人型弥漫性胶质瘤的主要类别包括 IDH 突变型星形细胞瘤、IDH 突变并具有1p与19q联合缺失的少突胶质细胞瘤，以及 IDH 野生型胶质母细胞瘤。儿童型弥漫性胶质瘤另有分类，年龄称谓描述典型分布，不意味着只能发生在某一年龄</w:t>
      </w:r>
      <w:r>
        <w:rPr>
          <w:vertAlign w:val="superscript"/>
        </w:rPr>
        <w:t xml:space="preserve">[</w:t>
      </w:r>
      <w:hyperlink w:anchor="ref-1578">
        <w:r>
          <w:rPr>
            <w:rStyle w:val="Hyperlink"/>
            <w:vertAlign w:val="superscript"/>
          </w:rPr>
          <w:t xml:space="preserve">1578</w:t>
        </w:r>
      </w:hyperlink>
      <w:r>
        <w:rPr>
          <w:vertAlign w:val="superscript"/>
        </w:rPr>
        <w:t xml:space="preserve">]</w:t>
      </w:r>
      <w:r>
        <w:t xml:space="preserve">。</w:t>
      </w:r>
    </w:p>
    <w:p>
      <w:pPr>
        <w:pStyle w:val="BodyText"/>
      </w:pPr>
      <w:r>
        <w:t xml:space="preserve">整合诊断的价值是把外观相似但分子行为不同的病变分开，也把外观有差异但共享关键分子身份的病例联系起来。一个病理报告因此可能包含组织学描述、分子检测结果、整合名称和级别。缺少检测时形成的暂定分类，与检测充分后仍无法归入现有类别的情况，也需要区别。</w:t>
      </w:r>
    </w:p>
    <w:p>
      <w:pPr>
        <w:pStyle w:val="BodyText"/>
      </w:pPr>
      <w:r>
        <w:t xml:space="preserve">旧研究使用的名称可能跨越了后来才分开的分子类别。阅读历史试验时，不能简单把当年的全部入选者视为与今天某个分子定义群体完全一致。治疗证据仍有价值，但适用范围需要按实际样本和检测资料重新解释。因此，引用这类研究时应同时注明研究年代、原始入选定义和现行名称。</w:t>
      </w:r>
    </w:p>
    <w:bookmarkEnd w:id="2402"/>
    <w:bookmarkStart w:id="2403" w:name="sec-146-3"/>
    <w:p>
      <w:pPr>
        <w:pStyle w:val="Heading3"/>
      </w:pPr>
      <w:r>
        <w:t xml:space="preserve">146.3　肿瘤级别与其他癌症分期不同</w:t>
      </w:r>
    </w:p>
    <w:p>
      <w:pPr>
        <w:pStyle w:val="FirstParagraph"/>
      </w:pPr>
      <w:r>
        <w:t xml:space="preserve">中枢神经系统肿瘤级别体现特定实体中的生物学危险程度，判断可以涉及细胞分裂、坏死、微血管增生和某些分子特征。它不等同于许多其他实体肿瘤按全身播散建立的分期。低级别不能解释为完全没有进展风险，高级别也不能单独给出某个人的确切生存时间</w:t>
      </w:r>
      <w:r>
        <w:rPr>
          <w:vertAlign w:val="superscript"/>
        </w:rPr>
        <w:t xml:space="preserve">[</w:t>
      </w:r>
      <w:hyperlink w:anchor="ref-1578">
        <w:r>
          <w:rPr>
            <w:rStyle w:val="Hyperlink"/>
            <w:vertAlign w:val="superscript"/>
          </w:rPr>
          <w:t xml:space="preserve">1578</w:t>
        </w:r>
      </w:hyperlink>
      <w:r>
        <w:rPr>
          <w:vertAlign w:val="superscript"/>
        </w:rPr>
        <w:t xml:space="preserve">]</w:t>
      </w:r>
      <w:r>
        <w:t xml:space="preserve">。</w:t>
      </w:r>
    </w:p>
    <w:p>
      <w:pPr>
        <w:pStyle w:val="BodyText"/>
      </w:pPr>
      <w:r>
        <w:t xml:space="preserve">同一个数字在不同实体中也未必代表相同自然病程。分子类别、年龄、病变位置、可安全切除程度、全身状态和后续治疗共同影响结局。一个“三级”或“四级”的标签需要放回相应疾病体系，才能理解其实际意义。</w:t>
      </w:r>
    </w:p>
    <w:p>
      <w:pPr>
        <w:pStyle w:val="BodyText"/>
      </w:pPr>
      <w:r>
        <w:t xml:space="preserve">这可以通过一个假设比较说明。甲乙两种肿瘤具有相同组织学级别，但甲存在可作用的分子靶点且局限于可安全处理的区域，乙则位于关键结构并呈广泛浸润。两者的治疗机会与功能风险可以不同。对级别的精确描述应增加信息，不能取代其余信息。</w:t>
      </w:r>
    </w:p>
    <w:bookmarkEnd w:id="2403"/>
    <w:bookmarkStart w:id="2404" w:name="sec-146-4"/>
    <w:p>
      <w:pPr>
        <w:pStyle w:val="Heading3"/>
      </w:pPr>
      <w:r>
        <w:t xml:space="preserve">146.4　IDH 突变连接代谢与细胞状态</w:t>
      </w:r>
    </w:p>
    <w:p>
      <w:pPr>
        <w:pStyle w:val="FirstParagraph"/>
      </w:pPr>
      <w:r>
        <w:t xml:space="preserve">部分 IDH 突变使酶获得新的催化能力，产生异常积累的2-羟基戊二酸。早期生化、结构与肿瘤样本研究确认了这一变化，表明代谢酶改变可以通过异常产物参与肿瘤生物学。这里的关键是突变使酶获得了新的化学反应，正常催化功能的减少只是变化的一部分</w:t>
      </w:r>
      <w:r>
        <w:rPr>
          <w:vertAlign w:val="superscript"/>
        </w:rPr>
        <w:t xml:space="preserve">[</w:t>
      </w:r>
      <w:hyperlink w:anchor="ref-1581">
        <w:r>
          <w:rPr>
            <w:rStyle w:val="Hyperlink"/>
            <w:vertAlign w:val="superscript"/>
          </w:rPr>
          <w:t xml:space="preserve">1581</w:t>
        </w:r>
      </w:hyperlink>
      <w:r>
        <w:rPr>
          <w:vertAlign w:val="superscript"/>
        </w:rPr>
        <w:t xml:space="preserve">]</w:t>
      </w:r>
      <w:r>
        <w:t xml:space="preserve">。</w:t>
      </w:r>
    </w:p>
    <w:p>
      <w:pPr>
        <w:pStyle w:val="BodyText"/>
      </w:pPr>
      <w:r>
        <w:t xml:space="preserve">后续机制研究支持，2-羟基戊二酸相关过程能够干扰某些依赖 α-酮戊二酸的酶，影响组蛋白去甲基化和细胞分化状态。部分实验使用非神经分化模型，因此对脑肿瘤的推断需要结合患者样本和其他模型。代谢、染色质与分化之间的联系具有明确机制依据，具体患者的病程仍受更多共同改变影响</w:t>
      </w:r>
      <w:r>
        <w:rPr>
          <w:vertAlign w:val="superscript"/>
        </w:rPr>
        <w:t xml:space="preserve">[</w:t>
      </w:r>
      <w:hyperlink w:anchor="ref-1582">
        <w:r>
          <w:rPr>
            <w:rStyle w:val="Hyperlink"/>
            <w:vertAlign w:val="superscript"/>
          </w:rPr>
          <w:t xml:space="preserve">1582</w:t>
        </w:r>
      </w:hyperlink>
      <w:r>
        <w:rPr>
          <w:vertAlign w:val="superscript"/>
        </w:rPr>
        <w:t xml:space="preserve">]</w:t>
      </w:r>
      <w:r>
        <w:t xml:space="preserve">。</w:t>
      </w:r>
    </w:p>
    <w:p>
      <w:pPr>
        <w:pStyle w:val="BodyText"/>
      </w:pPr>
      <w:r>
        <w:t xml:space="preserve">可以把这一过程理解为细胞身份调节系统受到持续偏置。细胞拥有某些发育程序并不意味着它会自然完成正常分化；如果调控环境使其长期停留在异常可增殖状态，后续遗传或环境变化可能进一步推动演化。这个解释说明分化状态本身为何重要，也提醒读者区分细胞来源与肿瘤当前表现出的转录状态。</w:t>
      </w:r>
    </w:p>
    <w:bookmarkEnd w:id="2404"/>
    <w:bookmarkStart w:id="2405" w:name="sec-146-5"/>
    <w:p>
      <w:pPr>
        <w:pStyle w:val="Heading3"/>
      </w:pPr>
      <w:r>
        <w:t xml:space="preserve">146.5　甲基化分类器怎样补充病理</w:t>
      </w:r>
    </w:p>
    <w:p>
      <w:pPr>
        <w:pStyle w:val="FirstParagraph"/>
      </w:pPr>
      <w:r>
        <w:t xml:space="preserve">DNA 甲基化模式包含细胞谱系和肿瘤状态的信息。2018年一项中枢神经系统肿瘤分类研究展示了利用甲基化模式补充诊断的能力，并在部分前瞻病例中改变原诊断。分类器提供与参考类别的相似性证据，具有帮助处理疑难病例的价值</w:t>
      </w:r>
      <w:r>
        <w:rPr>
          <w:vertAlign w:val="superscript"/>
        </w:rPr>
        <w:t xml:space="preserve">[</w:t>
      </w:r>
      <w:hyperlink w:anchor="ref-1583">
        <w:r>
          <w:rPr>
            <w:rStyle w:val="Hyperlink"/>
            <w:vertAlign w:val="superscript"/>
          </w:rPr>
          <w:t xml:space="preserve">1583</w:t>
        </w:r>
      </w:hyperlink>
      <w:r>
        <w:rPr>
          <w:vertAlign w:val="superscript"/>
        </w:rPr>
        <w:t xml:space="preserve">]</w:t>
      </w:r>
      <w:r>
        <w:t xml:space="preserve">。</w:t>
      </w:r>
    </w:p>
    <w:p>
      <w:pPr>
        <w:pStyle w:val="BodyText"/>
      </w:pPr>
      <w:r>
        <w:t xml:space="preserve">分类器也依赖参考样本。若一种罕见实体没有充分包含在训练资料中，算法可能给出低置信度或接近某个不完全匹配类别的结果。肿瘤纯度、正常组织混入、样本质量和平台差异也会影响分数。因此，一个高分需要与组织形态、临床位置和其他分子结果整合，低分则需要被允许保留为不确定。</w:t>
      </w:r>
    </w:p>
    <w:p>
      <w:pPr>
        <w:pStyle w:val="BodyText"/>
      </w:pPr>
      <w:r>
        <w:t xml:space="preserve">假设某个分类器把样本最接近地归入甲类，但组织形态和关键基因改变更支持乙类。合理的病理讨论会检查是否取到了混合组织、是否存在技术问题、参考库是否覆盖特殊亚型，以及是否需要额外检测。只选择算法给出的最高类别，可能把相对相似度误当成绝对真值。</w:t>
      </w:r>
    </w:p>
    <w:bookmarkEnd w:id="2405"/>
    <w:bookmarkStart w:id="2406" w:name="sec-146-6"/>
    <w:p>
      <w:pPr>
        <w:pStyle w:val="Heading3"/>
      </w:pPr>
      <w:r>
        <w:t xml:space="preserve">146.6　肿瘤内部具有空间异质性</w:t>
      </w:r>
    </w:p>
    <w:p>
      <w:pPr>
        <w:pStyle w:val="FirstParagraph"/>
      </w:pPr>
      <w:r>
        <w:t xml:space="preserve">肿瘤由多个细胞群与非肿瘤成分组成。不同区域可以具有不同增殖速度、缺氧状态、血管条件、免疫细胞和分子改变。取样因此具有空间限制：一个小标本提供重要直接证据，却未必代表全部病变。治疗后存活的细胞群也可能与治疗前主要群体不同。</w:t>
      </w:r>
    </w:p>
    <w:p>
      <w:pPr>
        <w:pStyle w:val="BodyText"/>
      </w:pPr>
      <w:r>
        <w:t xml:space="preserve">这种异质性影响靶向治疗。如果某个靶点只存在于部分细胞，治疗可能抑制这些细胞，同时为其他群体提供相对生存优势。即使靶点普遍存在，细胞也可能通过旁路、状态转换或微环境支持维持生长。耐药不必由单一新突变解释，研究需要同时考虑遗传与非遗传适应。</w:t>
      </w:r>
    </w:p>
    <w:p>
      <w:pPr>
        <w:pStyle w:val="BodyText"/>
      </w:pPr>
      <w:r>
        <w:t xml:space="preserve">研究中的液体活检试图从脑脊液或血液获取肿瘤相关分子信息。它的优势是可以重复采样，困难则包括肿瘤释放量、解剖通路、屏障和检测灵敏度。没有检测到某种分子，并不自动证明病变完全消失。与影像和组织一样，液体标志物需要明确它代表的空间和时间范围。</w:t>
      </w:r>
    </w:p>
    <w:bookmarkEnd w:id="2406"/>
    <w:bookmarkStart w:id="2407" w:name="sec-146-7"/>
    <w:p>
      <w:pPr>
        <w:pStyle w:val="Heading3"/>
      </w:pPr>
      <w:r>
        <w:t xml:space="preserve">146.7　肿瘤与神经元能够直接交换信号</w:t>
      </w:r>
    </w:p>
    <w:p>
      <w:pPr>
        <w:pStyle w:val="FirstParagraph"/>
      </w:pPr>
      <w:r>
        <w:t xml:space="preserve">人肿瘤样本和疾病模型研究发现，神经元可与部分胶质瘤细胞形成具有功能的突触联系。相关电生理和超微结构证据支持谷氨酸能输入，模型中的 AMPA 受体相关操纵影响肿瘤细胞活动、侵袭和生长。这使肿瘤成为脑网络中的活跃参与者，超出了单纯占位的解释</w:t>
      </w:r>
      <w:r>
        <w:rPr>
          <w:vertAlign w:val="superscript"/>
        </w:rPr>
        <w:t xml:space="preserve">[</w:t>
      </w:r>
      <w:hyperlink w:anchor="ref-1584">
        <w:r>
          <w:rPr>
            <w:rStyle w:val="Hyperlink"/>
            <w:vertAlign w:val="superscript"/>
          </w:rPr>
          <w:t xml:space="preserve">1584</w:t>
        </w:r>
      </w:hyperlink>
      <w:r>
        <w:rPr>
          <w:vertAlign w:val="superscript"/>
        </w:rPr>
        <w:t xml:space="preserve">]</w:t>
      </w:r>
      <w:r>
        <w:t xml:space="preserve">。</w:t>
      </w:r>
    </w:p>
    <w:p>
      <w:pPr>
        <w:pStyle w:val="BodyText"/>
      </w:pPr>
      <w:r>
        <w:t xml:space="preserve">这些发现具有重要边界。模型中的受体阻断或麻醉效应，不能直接推出某种抗癫痫药已经具有确证的人类抗癌作用，更不能要求患者停止学习、思考或日常认知活动。特定细胞与受体条件下的机制效应，需要经过药物暴露、毒性和患者结局的临床检验。</w:t>
      </w:r>
    </w:p>
    <w:p>
      <w:pPr>
        <w:pStyle w:val="BodyText"/>
      </w:pPr>
      <w:r>
        <w:t xml:space="preserve">神经活动与肿瘤相互影响可以形成反馈：肿瘤改变局部环境和兴奋性，神经活动又向某些肿瘤细胞提供信号。研究时需要分开检验两条方向。观察到肿瘤附近活动增强，只能建立关联；对特定细胞或连接进行操纵并测量结果，才有助于支持其中的因果环节。</w:t>
      </w:r>
    </w:p>
    <w:p>
      <w:pPr>
        <w:pStyle w:val="BodyText"/>
      </w:pPr>
      <w:r>
        <w:t xml:space="preserve">这一框架也拓展了对症状的理解。发作、语言困难和认知变化既可能来自组织浸润及通路受损，也可能涉及异常网络互动。缓解发作和控制肿瘤生长是相关但不同的目标。某种治疗改善发作，并不自动证明肿瘤负担下降；反过来，影像缩小也未必立即恢复全部网络功能。</w:t>
      </w:r>
    </w:p>
    <w:bookmarkEnd w:id="2407"/>
    <w:bookmarkStart w:id="2408" w:name="sec-146-8"/>
    <w:p>
      <w:pPr>
        <w:pStyle w:val="Heading3"/>
      </w:pPr>
      <w:r>
        <w:t xml:space="preserve">146.8　血脑屏障形成药物暴露的空间问题</w:t>
      </w:r>
    </w:p>
    <w:p>
      <w:pPr>
        <w:pStyle w:val="FirstParagraph"/>
      </w:pPr>
      <w:r>
        <w:t xml:space="preserve">肿瘤血管的通透性常不均一。某些区域明显增强，提示对比剂能够进入相关组织；浸润边缘可能仍保留较完整的屏障。血液中达到有效浓度不保证脑内每个肿瘤细胞获得相同暴露，影像增强也不能直接量化每一种药物的进入程度</w:t>
      </w:r>
      <w:r>
        <w:rPr>
          <w:vertAlign w:val="superscript"/>
        </w:rPr>
        <w:t xml:space="preserve">[</w:t>
      </w:r>
      <w:hyperlink w:anchor="ref-1579">
        <w:r>
          <w:rPr>
            <w:rStyle w:val="Hyperlink"/>
            <w:vertAlign w:val="superscript"/>
          </w:rPr>
          <w:t xml:space="preserve">1579</w:t>
        </w:r>
      </w:hyperlink>
      <w:r>
        <w:rPr>
          <w:vertAlign w:val="superscript"/>
        </w:rPr>
        <w:t xml:space="preserve">,</w:t>
      </w:r>
      <w:hyperlink w:anchor="ref-1585">
        <w:r>
          <w:rPr>
            <w:rStyle w:val="Hyperlink"/>
            <w:vertAlign w:val="superscript"/>
          </w:rPr>
          <w:t xml:space="preserve">1585</w:t>
        </w:r>
      </w:hyperlink>
      <w:r>
        <w:rPr>
          <w:vertAlign w:val="superscript"/>
        </w:rPr>
        <w:t xml:space="preserve">]</w:t>
      </w:r>
      <w:r>
        <w:t xml:space="preserve">。</w:t>
      </w:r>
    </w:p>
    <w:p>
      <w:pPr>
        <w:pStyle w:val="BodyText"/>
      </w:pPr>
      <w:r>
        <w:t xml:space="preserve">药物大小、脂溶性、转运体、蛋白结合及局部血流共同影响暴露。即便药物进入肿瘤，也需要达到适当细胞内位置并维持足够时间。由此可见，体外培养皿中有效的浓度与人体可安全达到的浓度之间可能存在显著距离。</w:t>
      </w:r>
    </w:p>
    <w:p>
      <w:pPr>
        <w:pStyle w:val="BodyText"/>
      </w:pPr>
      <w:r>
        <w:t xml:space="preserve">新的递送技术可以改善某个环节，但必须测量其代价。例如，提高局部通透性可能增加药物进入，也可能改变水肿、免疫或正常组织暴露。技术成功和临床净获益需要分别验证。把“越过屏障”作为治疗完成的终点，会遗漏靶点参与、耐药和神经功能保护。</w:t>
      </w:r>
    </w:p>
    <w:bookmarkEnd w:id="2408"/>
    <w:bookmarkStart w:id="2409" w:name="sec-146-9"/>
    <w:p>
      <w:pPr>
        <w:pStyle w:val="Heading3"/>
      </w:pPr>
      <w:r>
        <w:t xml:space="preserve">146.9　切除范围与功能保护需要共同定义</w:t>
      </w:r>
    </w:p>
    <w:p>
      <w:pPr>
        <w:pStyle w:val="FirstParagraph"/>
      </w:pPr>
      <w:r>
        <w:t xml:space="preserve">弥漫性胶质瘤的浸润可以超出肉眼或常规影像清楚显示的边界，因此影像上的全切并不等于每个肿瘤细胞已经清除。手术既提供组织诊断，也可能减少负担、缓解压迫和改善部分症状。安全切除强调在控制病变与保护关键功能之间进行具体判断</w:t>
      </w:r>
      <w:r>
        <w:rPr>
          <w:vertAlign w:val="superscript"/>
        </w:rPr>
        <w:t xml:space="preserve">[</w:t>
      </w:r>
      <w:hyperlink w:anchor="ref-1579">
        <w:r>
          <w:rPr>
            <w:rStyle w:val="Hyperlink"/>
            <w:vertAlign w:val="superscript"/>
          </w:rPr>
          <w:t xml:space="preserve">1579</w:t>
        </w:r>
      </w:hyperlink>
      <w:r>
        <w:rPr>
          <w:vertAlign w:val="superscript"/>
        </w:rPr>
        <w:t xml:space="preserve">]</w:t>
      </w:r>
      <w:r>
        <w:t xml:space="preserve">。</w:t>
      </w:r>
    </w:p>
    <w:p>
      <w:pPr>
        <w:pStyle w:val="BodyText"/>
      </w:pPr>
      <w:r>
        <w:t xml:space="preserve">术前影像、功能定位、术中刺激和行为任务可以帮助识别重要皮质与白质通路。它们各自有局限：血氧信号可能受肿瘤血管反应改变影响，刺激反应与任务设置相关，术中任务也无法覆盖所有复杂生活能力。功能定位提供证据，不能把任何一次阴性反应理解为该区域没有作用。</w:t>
      </w:r>
    </w:p>
    <w:p>
      <w:pPr>
        <w:pStyle w:val="BodyText"/>
      </w:pPr>
      <w:r>
        <w:t xml:space="preserve">对某些缓慢生长病变，网络可以在时间中发生重组。重组并不意味着无限补偿，也不保证切除后一定无缺损。关键问题包括某种功能是否转移、由哪些通路支持、能否在更高任务负荷下维持，以及哪些连接仍不可替代。患者个人的术前功能资料，比单纯套用平均解剖图更有解释价值。</w:t>
      </w:r>
    </w:p>
    <w:bookmarkEnd w:id="2409"/>
    <w:bookmarkStart w:id="2410" w:name="sec-146-10"/>
    <w:p>
      <w:pPr>
        <w:pStyle w:val="Heading3"/>
      </w:pPr>
      <w:r>
        <w:t xml:space="preserve">146.10　替莫唑胺研究的历史与适用范围</w:t>
      </w:r>
    </w:p>
    <w:p>
      <w:pPr>
        <w:pStyle w:val="FirstParagraph"/>
      </w:pPr>
      <w:r>
        <w:t xml:space="preserve">2005年一项573人的随机试验显示，在当时定义的新诊断胶质母细胞瘤群体中，放疗联合同步和辅助替莫唑胺使中位总生存期由12.1个月增至14.6个月，两年存活比例由10.4%增至26.5%。这是改变治疗实践的重要历史证据。它采用当时的组织学定义和入选条件，不能用来直接预测今天某位患者的剩余寿命</w:t>
      </w:r>
      <w:r>
        <w:rPr>
          <w:vertAlign w:val="superscript"/>
        </w:rPr>
        <w:t xml:space="preserve">[</w:t>
      </w:r>
      <w:hyperlink w:anchor="ref-1586">
        <w:r>
          <w:rPr>
            <w:rStyle w:val="Hyperlink"/>
            <w:vertAlign w:val="superscript"/>
          </w:rPr>
          <w:t xml:space="preserve">1586</w:t>
        </w:r>
      </w:hyperlink>
      <w:r>
        <w:rPr>
          <w:vertAlign w:val="superscript"/>
        </w:rPr>
        <w:t xml:space="preserve">]</w:t>
      </w:r>
      <w:r>
        <w:t xml:space="preserve">。</w:t>
      </w:r>
    </w:p>
    <w:p>
      <w:pPr>
        <w:pStyle w:val="BodyText"/>
      </w:pPr>
      <w:r>
        <w:t xml:space="preserve">中位数表示生存曲线达到一半的位置，不能描述每个人的时间。两种治疗的中位数相差几个月，也不意味着每位受益者都恰好增加相同时间。理解研究应同时考察曲线形状、固定时点概率、长期尾部和不良反应，以及研究群体是否与当前问题相符。</w:t>
      </w:r>
    </w:p>
    <w:p>
      <w:pPr>
        <w:pStyle w:val="BodyText"/>
      </w:pPr>
      <w:r>
        <w:t xml:space="preserve">这种历史证据还说明，有限的平均收益可以具有明确临床意义，同时仍留下大量未满足需求。科学沟通不需要把进步夸大为治愈，也不应因为疾病仍严重就否认已证实的收益。评价应保持对具体终点和实际差值的忠实。</w:t>
      </w:r>
    </w:p>
    <w:bookmarkEnd w:id="2410"/>
    <w:bookmarkStart w:id="2411" w:name="sec-146-11"/>
    <w:p>
      <w:pPr>
        <w:pStyle w:val="Heading3"/>
      </w:pPr>
      <w:r>
        <w:t xml:space="preserve">146.11　MGMT 同时涉及预后与治疗关联</w:t>
      </w:r>
    </w:p>
    <w:p>
      <w:pPr>
        <w:pStyle w:val="FirstParagraph"/>
      </w:pPr>
      <w:r>
        <w:t xml:space="preserve">MGMT 参与修复特定 DNA 损伤，其启动子甲基化与相关表达状态可以影响对烷化损伤的反应。2005年随机试验的206份可评估组织分析中，甲基化与较好预后以及替莫唑胺获益模式相关。原研究的治疗与标志物交互检验并未显著，且亚组样本有限，因此不能仅凭某一亚组的显著性有无就断言未甲基化患者绝对不会获益</w:t>
      </w:r>
      <w:r>
        <w:rPr>
          <w:vertAlign w:val="superscript"/>
        </w:rPr>
        <w:t xml:space="preserve">[</w:t>
      </w:r>
      <w:hyperlink w:anchor="ref-1587">
        <w:r>
          <w:rPr>
            <w:rStyle w:val="Hyperlink"/>
            <w:vertAlign w:val="superscript"/>
          </w:rPr>
          <w:t xml:space="preserve">1587</w:t>
        </w:r>
      </w:hyperlink>
      <w:r>
        <w:rPr>
          <w:vertAlign w:val="superscript"/>
        </w:rPr>
        <w:t xml:space="preserve">]</w:t>
      </w:r>
      <w:r>
        <w:t xml:space="preserve">。</w:t>
      </w:r>
    </w:p>
    <w:p>
      <w:pPr>
        <w:pStyle w:val="BodyText"/>
      </w:pPr>
      <w:r>
        <w:t xml:space="preserve">预后标志物与预测治疗差异的标志物回答不同问题。前者关注在某种背景下谁的结局较好，后者关注某个特征是否改变两种治疗之间的相对效果。同一指标可以具有两类作用，但证据要求不同。把“预后较好”直接写成“只对这一组有效”，会跳过治疗交互的验证。</w:t>
      </w:r>
    </w:p>
    <w:p>
      <w:pPr>
        <w:pStyle w:val="BodyText"/>
      </w:pPr>
      <w:r>
        <w:t xml:space="preserve">检测还涉及样本质量、所测位点、平台和阈值。有些结果接近灰区，临床意义需要结合年龄、功能及其他治疗条件。一个分子标签可以提高判断精度，但无法独自决定全部选择。专业指南把它放入完整决策背景，本书也保留这种背景</w:t>
      </w:r>
      <w:r>
        <w:rPr>
          <w:vertAlign w:val="superscript"/>
        </w:rPr>
        <w:t xml:space="preserve">[</w:t>
      </w:r>
      <w:hyperlink w:anchor="ref-1579">
        <w:r>
          <w:rPr>
            <w:rStyle w:val="Hyperlink"/>
            <w:vertAlign w:val="superscript"/>
          </w:rPr>
          <w:t xml:space="preserve">1579</w:t>
        </w:r>
      </w:hyperlink>
      <w:r>
        <w:rPr>
          <w:vertAlign w:val="superscript"/>
        </w:rPr>
        <w:t xml:space="preserve">]</w:t>
      </w:r>
      <w:r>
        <w:t xml:space="preserve">。</w:t>
      </w:r>
    </w:p>
    <w:bookmarkEnd w:id="2411"/>
    <w:bookmarkStart w:id="2412" w:name="sec-146-12"/>
    <w:p>
      <w:pPr>
        <w:pStyle w:val="Heading3"/>
      </w:pPr>
      <w:r>
        <w:t xml:space="preserve">146.12　IDH 抑制剂展示了分子治疗的新路径</w:t>
      </w:r>
    </w:p>
    <w:p>
      <w:pPr>
        <w:pStyle w:val="FirstParagraph"/>
      </w:pPr>
      <w:r>
        <w:t xml:space="preserve">INDIGO 随机试验纳入331名残留或复发的二级 IDH 突变胶质瘤患者，既往除手术外未接受其他抗癌治疗。初次主要报告中，伏拉西尼组与安慰剂组的影像无进展生存期中位数为27.7个月与11.1个月，进展或死亡危险比为0.39，95%置信区间0.27至0.56；三级及以上丙氨酸转氨酶升高为9.6%与零。研究支持延缓这一选择性群体的影像进展和下一步干预时间，尚不能把该终点等同已确证总生存延长</w:t>
      </w:r>
      <w:r>
        <w:rPr>
          <w:vertAlign w:val="superscript"/>
        </w:rPr>
        <w:t xml:space="preserve">[</w:t>
      </w:r>
      <w:hyperlink w:anchor="ref-1588">
        <w:r>
          <w:rPr>
            <w:rStyle w:val="Hyperlink"/>
            <w:vertAlign w:val="superscript"/>
          </w:rPr>
          <w:t xml:space="preserve">1588</w:t>
        </w:r>
      </w:hyperlink>
      <w:r>
        <w:rPr>
          <w:vertAlign w:val="superscript"/>
        </w:rPr>
        <w:t xml:space="preserve">]</w:t>
      </w:r>
      <w:r>
        <w:t xml:space="preserve">。</w:t>
      </w:r>
    </w:p>
    <w:p>
      <w:pPr>
        <w:pStyle w:val="BodyText"/>
      </w:pPr>
      <w:r>
        <w:t xml:space="preserve">美国 FDA 于2024年批准伏拉西尼用于十二岁及以上、具有适合的 IDH1 或 IDH2 突变的二级星形细胞瘤或少突胶质细胞瘤术后群体。监管批准具有法域和标签范围，研究实际入选条件则更具体。2025年 ASCO 与 SNO 的成人指南快速更新，将其放在部分术后可延后放化疗的二级 IDH 突变患者情境中，不能推广为所有级别、所有既往治疗阶段都已具有同等证据</w:t>
      </w:r>
      <w:r>
        <w:rPr>
          <w:vertAlign w:val="superscript"/>
        </w:rPr>
        <w:t xml:space="preserve">[</w:t>
      </w:r>
      <w:hyperlink w:anchor="ref-1589">
        <w:r>
          <w:rPr>
            <w:rStyle w:val="Hyperlink"/>
            <w:vertAlign w:val="superscript"/>
          </w:rPr>
          <w:t xml:space="preserve">1589</w:t>
        </w:r>
      </w:hyperlink>
      <w:r>
        <w:rPr>
          <w:vertAlign w:val="superscript"/>
        </w:rPr>
        <w:t xml:space="preserve">,</w:t>
      </w:r>
      <w:hyperlink w:anchor="ref-1590">
        <w:r>
          <w:rPr>
            <w:rStyle w:val="Hyperlink"/>
            <w:vertAlign w:val="superscript"/>
          </w:rPr>
          <w:t xml:space="preserve">1590</w:t>
        </w:r>
      </w:hyperlink>
      <w:r>
        <w:rPr>
          <w:vertAlign w:val="superscript"/>
        </w:rPr>
        <w:t xml:space="preserve">]</w:t>
      </w:r>
      <w:r>
        <w:t xml:space="preserve">。</w:t>
      </w:r>
    </w:p>
    <w:p>
      <w:pPr>
        <w:pStyle w:val="BodyText"/>
      </w:pPr>
      <w:r>
        <w:t xml:space="preserve">INDIGO 由药物研发相关企业资助，解释时应结合预注册设计、盲法、独立影像评价、完整不良事件和后续资料。资助来源本身不能决定结果真伪，它是评估证据生成与报告环境的一项信息。最有价值的后续问题包括长期功能、总生存、最佳治疗顺序及更广泛患者中的风险收益</w:t>
      </w:r>
      <w:r>
        <w:rPr>
          <w:vertAlign w:val="superscript"/>
        </w:rPr>
        <w:t xml:space="preserve">[</w:t>
      </w:r>
      <w:hyperlink w:anchor="ref-1588">
        <w:r>
          <w:rPr>
            <w:rStyle w:val="Hyperlink"/>
            <w:vertAlign w:val="superscript"/>
          </w:rPr>
          <w:t xml:space="preserve">1588</w:t>
        </w:r>
      </w:hyperlink>
      <w:r>
        <w:rPr>
          <w:vertAlign w:val="superscript"/>
        </w:rPr>
        <w:t xml:space="preserve">]</w:t>
      </w:r>
      <w:r>
        <w:t xml:space="preserve">。</w:t>
      </w:r>
    </w:p>
    <w:bookmarkEnd w:id="2412"/>
    <w:bookmarkStart w:id="2413" w:name="sec-146-13"/>
    <w:p>
      <w:pPr>
        <w:pStyle w:val="Heading3"/>
      </w:pPr>
      <w:r>
        <w:t xml:space="preserve">146.13　影像变大不总等于肿瘤细胞增多</w:t>
      </w:r>
    </w:p>
    <w:p>
      <w:pPr>
        <w:pStyle w:val="FirstParagraph"/>
      </w:pPr>
      <w:r>
        <w:t xml:space="preserve">治疗后的影像变化可以包含肿瘤进展、炎症、血管通透性变化、水肿及治疗相关损伤。增强范围变化反映对比剂分布的一部分信息，不能直接视为活肿瘤细胞计数。RANO2.0 通过标准化基线、测量和进展确认，提高试验中反应评价的一致性，并特别考虑治疗后早期假性进展</w:t>
      </w:r>
      <w:r>
        <w:rPr>
          <w:vertAlign w:val="superscript"/>
        </w:rPr>
        <w:t xml:space="preserve">[</w:t>
      </w:r>
      <w:hyperlink w:anchor="ref-1585">
        <w:r>
          <w:rPr>
            <w:rStyle w:val="Hyperlink"/>
            <w:vertAlign w:val="superscript"/>
          </w:rPr>
          <w:t xml:space="preserve">1585</w:t>
        </w:r>
      </w:hyperlink>
      <w:r>
        <w:rPr>
          <w:vertAlign w:val="superscript"/>
        </w:rPr>
        <w:t xml:space="preserve">]</w:t>
      </w:r>
      <w:r>
        <w:t xml:space="preserve">。</w:t>
      </w:r>
    </w:p>
    <w:p>
      <w:pPr>
        <w:pStyle w:val="BodyText"/>
      </w:pPr>
      <w:r>
        <w:t xml:space="preserve">假性进展描述某些影像恶化随后被证明主要与治疗效应相关的情况。相反，某些干预降低血管通透性，使增强迅速减少，却未必按相同比例减少浸润细胞。两类现象都说明，影像反应必须与时间、用药、临床状态和其他证据结合。</w:t>
      </w:r>
    </w:p>
    <w:p>
      <w:pPr>
        <w:pStyle w:val="BodyText"/>
      </w:pPr>
      <w:r>
        <w:t xml:space="preserve">一个假设病例的增强体积增加，但患者功能稳定，扫描时间又接近容易发生治疗相关改变的阶段。研究方案可能要求进一步确认。另一个病例的增强变化不大，却出现持续功能恶化和其他支持进展的证据。单看体积百分比无法完整判断两者。书中的概念解释不等同于个人应等待或改变治疗的指令。</w:t>
      </w:r>
    </w:p>
    <w:p>
      <w:pPr>
        <w:pStyle w:val="BodyText"/>
      </w:pPr>
      <w:r>
        <w:t xml:space="preserve">高级影像和组织取样可以增加信息，但也不总能完全分离治疗损伤与活肿瘤，因为两者可能在同一病灶中并存。取样位置、扫描参数和观察时间均会影响结果。诚实地保留概率性解释，比把每次变化强行分成绝对真假更接近实际病理。</w:t>
      </w:r>
    </w:p>
    <w:bookmarkEnd w:id="2413"/>
    <w:bookmarkStart w:id="2414" w:name="sec-146-14"/>
    <w:p>
      <w:pPr>
        <w:pStyle w:val="Heading3"/>
      </w:pPr>
      <w:r>
        <w:t xml:space="preserve">146.14　细胞免疫治疗的早期信号</w:t>
      </w:r>
    </w:p>
    <w:p>
      <w:pPr>
        <w:pStyle w:val="FirstParagraph"/>
      </w:pPr>
      <w:r>
        <w:t xml:space="preserve">工程化 T 细胞可以通过特定受体或分泌分子识别肿瘤相关靶点。2024年一项首次人体开放研究中，三名复发胶质母细胞瘤参与者接受特定 CARv3-TEAM-E 细胞治疗，出现快速影像缩小，其中两人的反应短暂。结果具有早期技术与生物活性价值，极小样本和缺少对照使其无法确立普遍的长期生存收益或完整安全性</w:t>
      </w:r>
      <w:r>
        <w:rPr>
          <w:vertAlign w:val="superscript"/>
        </w:rPr>
        <w:t xml:space="preserve">[</w:t>
      </w:r>
      <w:hyperlink w:anchor="ref-1591">
        <w:r>
          <w:rPr>
            <w:rStyle w:val="Hyperlink"/>
            <w:vertAlign w:val="superscript"/>
          </w:rPr>
          <w:t xml:space="preserve">1591</w:t>
        </w:r>
      </w:hyperlink>
      <w:r>
        <w:rPr>
          <w:vertAlign w:val="superscript"/>
        </w:rPr>
        <w:t xml:space="preserve">]</w:t>
      </w:r>
      <w:r>
        <w:t xml:space="preserve">。</w:t>
      </w:r>
    </w:p>
    <w:p>
      <w:pPr>
        <w:pStyle w:val="BodyText"/>
      </w:pPr>
      <w:r>
        <w:t xml:space="preserve">神经系统肿瘤的免疫治疗还需要面对抗原异质性、局部免疫环境、细胞进入与持续存在，以及炎症对封闭颅内空间的影响。靶点表达减少可以反映成功清除某些细胞，也可能意味着靶点阴性群体相对扩张。长期追踪需要同时观察分子、影像、症状和功能。</w:t>
      </w:r>
    </w:p>
    <w:p>
      <w:pPr>
        <w:pStyle w:val="BodyText"/>
      </w:pPr>
      <w:r>
        <w:t xml:space="preserve">“几天内缩小”对患者和研究者都很重要，但时间短的显著变化不能独自回答是否持久。后续研究需要扩大样本、明确适用分子群体、比较合适方案并系统记录不良事件。前沿治疗值得研究，其成熟程度应由证据决定。</w:t>
      </w:r>
    </w:p>
    <w:bookmarkEnd w:id="2414"/>
    <w:bookmarkStart w:id="2415" w:name="sec-146-15"/>
    <w:p>
      <w:pPr>
        <w:pStyle w:val="Heading3"/>
      </w:pPr>
      <w:r>
        <w:t xml:space="preserve">146.15　脑转移把全身肿瘤与脑环境联系起来</w:t>
      </w:r>
    </w:p>
    <w:p>
      <w:pPr>
        <w:pStyle w:val="FirstParagraph"/>
      </w:pPr>
      <w:r>
        <w:t xml:space="preserve">脑转移既受原发肿瘤生物学影响，也受脑内微环境与局部治疗条件影响。原发部位、分子靶点、颅外控制、脑内病变分布和患者功能共同决定证据适用性。多学科指南把局部治疗与系统治疗联系起来，避免只关注脑部影像或只关注全身疾病中的任一部分</w:t>
      </w:r>
      <w:r>
        <w:rPr>
          <w:vertAlign w:val="superscript"/>
        </w:rPr>
        <w:t xml:space="preserve">[</w:t>
      </w:r>
      <w:hyperlink w:anchor="ref-1592">
        <w:r>
          <w:rPr>
            <w:rStyle w:val="Hyperlink"/>
            <w:vertAlign w:val="superscript"/>
          </w:rPr>
          <w:t xml:space="preserve">1592</w:t>
        </w:r>
      </w:hyperlink>
      <w:r>
        <w:rPr>
          <w:vertAlign w:val="superscript"/>
        </w:rPr>
        <w:t xml:space="preserve">]</w:t>
      </w:r>
      <w:r>
        <w:t xml:space="preserve">。</w:t>
      </w:r>
    </w:p>
    <w:p>
      <w:pPr>
        <w:pStyle w:val="BodyText"/>
      </w:pPr>
      <w:r>
        <w:t xml:space="preserve">同样数量的脑转移并不一定具有相同总负担。病变体积、位置、压迫、症状和分布会改变风险。一个大病变引起明显占位，与多个很小且无症状的病变，在临床问题上可以不同。因此，数量是重要变量之一，不能承担全部决策。</w:t>
      </w:r>
    </w:p>
    <w:p>
      <w:pPr>
        <w:pStyle w:val="BodyText"/>
      </w:pPr>
      <w:r>
        <w:t xml:space="preserve">脑脊液相关播散还会造成另一类空间问题。症状可以跨越脑、脑神经和脊髓相关功能，单个局部扫描可能不足以解释整体表现。对于这类情况，诊断和研究需要结合解剖分布、影像、细胞或分子证据，不能把所有神经恶化都归因于一个已知脑内结节。</w:t>
      </w:r>
    </w:p>
    <w:bookmarkEnd w:id="2415"/>
    <w:bookmarkStart w:id="2416" w:name="sec-146-16"/>
    <w:p>
      <w:pPr>
        <w:pStyle w:val="Heading3"/>
      </w:pPr>
      <w:r>
        <w:t xml:space="preserve">146.16　肿瘤控制与认知保护可以分别测量</w:t>
      </w:r>
    </w:p>
    <w:p>
      <w:pPr>
        <w:pStyle w:val="FirstParagraph"/>
      </w:pPr>
      <w:r>
        <w:t xml:space="preserve">NRG CC001 将518名脑转移患者随机分配到两种均包含美金刚的全脑放疗方案，其中一组采用海马回避。认知失败的调整危险比为0.74，95%置信区间0.58至0.95，支持在研究条件下更好地保存认知。随后同一队列的延长报告支持部分认知和患者报告获益持续，未见显著总生存或颅内无进展生存差异</w:t>
      </w:r>
      <w:r>
        <w:rPr>
          <w:vertAlign w:val="superscript"/>
        </w:rPr>
        <w:t xml:space="preserve">[</w:t>
      </w:r>
      <w:hyperlink w:anchor="ref-1593">
        <w:r>
          <w:rPr>
            <w:rStyle w:val="Hyperlink"/>
            <w:vertAlign w:val="superscript"/>
          </w:rPr>
          <w:t xml:space="preserve">1593</w:t>
        </w:r>
      </w:hyperlink>
      <w:r>
        <w:rPr>
          <w:vertAlign w:val="superscript"/>
        </w:rPr>
        <w:t xml:space="preserve">,</w:t>
      </w:r>
      <w:hyperlink w:anchor="ref-1594">
        <w:r>
          <w:rPr>
            <w:rStyle w:val="Hyperlink"/>
            <w:vertAlign w:val="superscript"/>
          </w:rPr>
          <w:t xml:space="preserve">1594</w:t>
        </w:r>
      </w:hyperlink>
      <w:r>
        <w:rPr>
          <w:vertAlign w:val="superscript"/>
        </w:rPr>
        <w:t xml:space="preserve">]</w:t>
      </w:r>
      <w:r>
        <w:t xml:space="preserve">。</w:t>
      </w:r>
    </w:p>
    <w:p>
      <w:pPr>
        <w:pStyle w:val="BodyText"/>
      </w:pPr>
      <w:r>
        <w:t xml:space="preserve">这项研究说明，治疗可以在抗肿瘤目标之外独立优化功能。它没有直接测量每个患者的成人新生神经元，因此认知保护不能单独作为成人神经发生机制的证明。海马及周围网络包含多种细胞、血管和连接，降低相关区域暴露可能通过多个过程产生效应。</w:t>
      </w:r>
    </w:p>
    <w:p>
      <w:pPr>
        <w:pStyle w:val="BodyText"/>
      </w:pPr>
      <w:r>
        <w:t xml:space="preserve">认知结局的研究也要考虑失访和死亡。如果病情更重者较难完成后续测验，仅比较留下来的参与者可能偏移估计。延长随访需要清楚说明缺失处理，以及患者报告和客观任务是否一致。保护记忆、执行功能和语言参与，与延长生命都是可独立评价的重要目标。</w:t>
      </w:r>
    </w:p>
    <w:bookmarkEnd w:id="2416"/>
    <w:bookmarkStart w:id="2417" w:name="sec-146-17"/>
    <w:p>
      <w:pPr>
        <w:pStyle w:val="Heading3"/>
      </w:pPr>
      <w:r>
        <w:t xml:space="preserve">146.17　儿童肿瘤需要发育视角</w:t>
      </w:r>
    </w:p>
    <w:p>
      <w:pPr>
        <w:pStyle w:val="FirstParagraph"/>
      </w:pPr>
      <w:r>
        <w:t xml:space="preserve">儿童神经肿瘤具有与成人不同的分子分布，治疗影响还会与发育任务相互作用。髓母细胞瘤研究区分 WNT、SHH 及其他分子群体，并结合年龄、播散和组织特征进行分层；相似的显微镜外观可以对应不同生物学背景。现行 NCI 专业资料强调这些分子差异的临床意义</w:t>
      </w:r>
      <w:r>
        <w:rPr>
          <w:vertAlign w:val="superscript"/>
        </w:rPr>
        <w:t xml:space="preserve">[</w:t>
      </w:r>
      <w:hyperlink w:anchor="ref-1595">
        <w:r>
          <w:rPr>
            <w:rStyle w:val="Hyperlink"/>
            <w:vertAlign w:val="superscript"/>
          </w:rPr>
          <w:t xml:space="preserve">1595</w:t>
        </w:r>
      </w:hyperlink>
      <w:r>
        <w:rPr>
          <w:vertAlign w:val="superscript"/>
        </w:rPr>
        <w:t xml:space="preserve">]</w:t>
      </w:r>
      <w:r>
        <w:t xml:space="preserve">。</w:t>
      </w:r>
    </w:p>
    <w:p>
      <w:pPr>
        <w:pStyle w:val="BodyText"/>
      </w:pPr>
      <w:r>
        <w:t xml:space="preserve">儿童的长期结局涉及学习速度、注意、内分泌、生长、听力、运动和社会适应。某项能力在治疗结束时仍处于正常范围，并不保证未来学习速度与同龄人相同。随着学校任务变复杂，原先不明显的限制可能逐渐显现。因此，长期随访既要检查是否丢失已有技能，也要追踪获得新技能的轨迹。</w:t>
      </w:r>
    </w:p>
    <w:p>
      <w:pPr>
        <w:pStyle w:val="BodyText"/>
      </w:pPr>
      <w:r>
        <w:t xml:space="preserve">支持也需要跨越医疗与教育环境。教师可能首先观察到处理速度、疲劳和多步骤任务的困难，家庭可能更了解睡眠和情绪变化。将这些信息纳入专业评估，可以形成更完整的功能图景。肿瘤控制成功之后的学习支持仍具有价值，不能被视为已经结束治疗后无关紧要的附属问题。</w:t>
      </w:r>
    </w:p>
    <w:bookmarkEnd w:id="2417"/>
    <w:bookmarkStart w:id="2418" w:name="sec-146-18"/>
    <w:p>
      <w:pPr>
        <w:pStyle w:val="Heading3"/>
      </w:pPr>
      <w:r>
        <w:t xml:space="preserve">146.18　症状支持贯穿全部病程</w:t>
      </w:r>
    </w:p>
    <w:p>
      <w:pPr>
        <w:pStyle w:val="FirstParagraph"/>
      </w:pPr>
      <w:r>
        <w:t xml:space="preserve">癫痫发作、疲劳、认知困难、情绪和照护负担可以独立影响生活质量。患者可能在影像稳定时仍有显著功能限制，也可能在影像变化时仍保留重要能力。多学科支持需要把症状目标与抗肿瘤目标分别记录，使改善或恶化能够被准确识别</w:t>
      </w:r>
      <w:r>
        <w:rPr>
          <w:vertAlign w:val="superscript"/>
        </w:rPr>
        <w:t xml:space="preserve">[</w:t>
      </w:r>
      <w:hyperlink w:anchor="ref-1579">
        <w:r>
          <w:rPr>
            <w:rStyle w:val="Hyperlink"/>
            <w:vertAlign w:val="superscript"/>
          </w:rPr>
          <w:t xml:space="preserve">1579</w:t>
        </w:r>
      </w:hyperlink>
      <w:r>
        <w:rPr>
          <w:vertAlign w:val="superscript"/>
        </w:rPr>
        <w:t xml:space="preserve">,</w:t>
      </w:r>
      <w:hyperlink w:anchor="ref-1592">
        <w:r>
          <w:rPr>
            <w:rStyle w:val="Hyperlink"/>
            <w:vertAlign w:val="superscript"/>
          </w:rPr>
          <w:t xml:space="preserve">1592</w:t>
        </w:r>
      </w:hyperlink>
      <w:r>
        <w:rPr>
          <w:vertAlign w:val="superscript"/>
        </w:rPr>
        <w:t xml:space="preserve">]</w:t>
      </w:r>
      <w:r>
        <w:t xml:space="preserve">。</w:t>
      </w:r>
    </w:p>
    <w:p>
      <w:pPr>
        <w:pStyle w:val="BodyText"/>
      </w:pPr>
      <w:r>
        <w:t xml:space="preserve">疼痛、睡眠、药物影响及全身疾病会改变认知表现。若患者反应变慢，需要分别考虑语言理解、注意、运动输出和觉醒状态；一个总分不足以判断理解与决策能力。有效沟通可以采用更清楚的表达、适当时间和辅助方式，尽可能保留患者参与。</w:t>
      </w:r>
    </w:p>
    <w:p>
      <w:pPr>
        <w:pStyle w:val="BodyText"/>
      </w:pPr>
      <w:r>
        <w:t xml:space="preserve">支持性和缓和性照护可以与积极抗肿瘤治疗并行，目的包括减轻症状、明确目标及支持家庭。它的价值不依赖于是否存在新的肿瘤药物。面对复杂病程，科学事实提供概率和可选路径，患者价值观决定哪些结果最值得追求。</w:t>
      </w:r>
    </w:p>
    <w:bookmarkEnd w:id="2418"/>
    <w:bookmarkStart w:id="2419" w:name="sec-146-19"/>
    <w:p>
      <w:pPr>
        <w:pStyle w:val="Heading3"/>
      </w:pPr>
      <w:r>
        <w:t xml:space="preserve">146.19　本领域最需要避免的推断跳跃</w:t>
      </w:r>
    </w:p>
    <w:p>
      <w:pPr>
        <w:pStyle w:val="FirstParagraph"/>
      </w:pPr>
      <w:r>
        <w:t xml:space="preserve">神经肿瘤研究连接了分子生物学、发育、神经网络、免疫和临床结局，每个层次都提供独特信息。检测到一个靶点不等于存在已验证的治疗，细胞模型中的抑制不等于人体获益，影像缩小不等于治愈，群体中位生存期不等于对个人剩余寿命的确定预测。将这些关系逐项说明，可以让前沿进展保持可理解性。</w:t>
      </w:r>
    </w:p>
    <w:p>
      <w:pPr>
        <w:pStyle w:val="BodyText"/>
      </w:pPr>
      <w:r>
        <w:t xml:space="preserve">最有建设性的研究问题具有明确层次：分类是否更准确，靶点是否真正参与，药物是否到达，肿瘤是否受到持久控制，患者是否活得更久或保持更好功能。不同研究可以分别回答这些问题。把它们连接起来需要连续证据，也需要允许尚未解决的环节继续存在。</w:t>
      </w:r>
    </w:p>
    <w:bookmarkEnd w:id="2419"/>
    <w:bookmarkEnd w:id="2420"/>
    <w:bookmarkStart w:id="2443" w:name="ch-147"/>
    <w:p>
      <w:pPr>
        <w:pStyle w:val="Heading2"/>
      </w:pPr>
      <w:r>
        <w:t xml:space="preserve">第147章　神经康复：从残存网络到生活参与</w:t>
      </w:r>
    </w:p>
    <w:bookmarkStart w:id="2421" w:name="sec-147-1"/>
    <w:p>
      <w:pPr>
        <w:pStyle w:val="Heading3"/>
      </w:pPr>
      <w:r>
        <w:t xml:space="preserve">147.1　康复目标具有多个层次</w:t>
      </w:r>
    </w:p>
    <w:p>
      <w:pPr>
        <w:pStyle w:val="FirstParagraph"/>
      </w:pPr>
      <w:r>
        <w:t xml:space="preserve">神经康复关注身体功能、实际活动和生活参与之间的关系。能够抬高手臂、能够拿起杯子、能够独立吃饭和能够恢复与朋友聚餐，分别处于不同层次。前一层改善可以支持后一层，但转化需要环境、认知、动机、耐力和社会机会共同参与。专业康复因此包含运动、感觉、语言、认知、吞咽、情绪与环境支持</w:t>
      </w:r>
      <w:r>
        <w:rPr>
          <w:vertAlign w:val="superscript"/>
        </w:rPr>
        <w:t xml:space="preserve">[</w:t>
      </w:r>
      <w:hyperlink w:anchor="ref-1596">
        <w:r>
          <w:rPr>
            <w:rStyle w:val="Hyperlink"/>
            <w:vertAlign w:val="superscript"/>
          </w:rPr>
          <w:t xml:space="preserve">1596</w:t>
        </w:r>
      </w:hyperlink>
      <w:r>
        <w:rPr>
          <w:vertAlign w:val="superscript"/>
        </w:rPr>
        <w:t xml:space="preserve">]</w:t>
      </w:r>
      <w:r>
        <w:t xml:space="preserve">。</w:t>
      </w:r>
    </w:p>
    <w:p>
      <w:pPr>
        <w:pStyle w:val="BodyText"/>
      </w:pPr>
      <w:r>
        <w:t xml:space="preserve">疾病控制与康复可以同时进行。卒中后的再灌注、癫痫控制、炎症治疗或肿瘤治疗解决重要病理问题，患者还可能需要学习如何利用保留能力完成目标。康复也不仅限于神经功能增加：维持现有能力、减少并发症、减轻照护负担和改善交流，都可以是清晰且有价值的目标。</w:t>
      </w:r>
    </w:p>
    <w:p>
      <w:pPr>
        <w:pStyle w:val="BodyText"/>
      </w:pPr>
      <w:r>
        <w:t xml:space="preserve">一个可评估的目标应说明任务、情境和需要的支持。笼统的“提高生活质量”难以指导具体训练；“在熟悉厨房中使用安全器具完成一份简单早餐，并能识别需要求助的步骤”则让运动、记忆、执行和安全需求变得可观察。目标可以随病程和个人愿望调整，调整目标不等于否认科学进步。</w:t>
      </w:r>
    </w:p>
    <w:bookmarkEnd w:id="2421"/>
    <w:bookmarkStart w:id="2422" w:name="sec-147-2"/>
    <w:p>
      <w:pPr>
        <w:pStyle w:val="Heading3"/>
      </w:pPr>
      <w:r>
        <w:t xml:space="preserve">147.2　恢复与代偿需要在同一层次比较</w:t>
      </w:r>
    </w:p>
    <w:p>
      <w:pPr>
        <w:pStyle w:val="FirstParagraph"/>
      </w:pPr>
      <w:r>
        <w:t xml:space="preserve">恢复可以指某种原有能力或动作模式重新出现，代偿可以指利用保留能力、不同动作或外部工具完成任务。Levin 等人的概念框架强调，需要在神经、动作和活动层面明确术语。否则，一个研究记录任务完成更快，另一个研究记录原有运动学恢复，两者即使都称为恢复，也可能测量不同现象</w:t>
      </w:r>
      <w:r>
        <w:rPr>
          <w:vertAlign w:val="superscript"/>
        </w:rPr>
        <w:t xml:space="preserve">[</w:t>
      </w:r>
      <w:hyperlink w:anchor="ref-1597">
        <w:r>
          <w:rPr>
            <w:rStyle w:val="Hyperlink"/>
            <w:vertAlign w:val="superscript"/>
          </w:rPr>
          <w:t xml:space="preserve">1597</w:t>
        </w:r>
      </w:hyperlink>
      <w:r>
        <w:rPr>
          <w:vertAlign w:val="superscript"/>
        </w:rPr>
        <w:t xml:space="preserve">]</w:t>
      </w:r>
      <w:r>
        <w:t xml:space="preserve">。</w:t>
      </w:r>
    </w:p>
    <w:p>
      <w:pPr>
        <w:pStyle w:val="BodyText"/>
      </w:pPr>
      <w:r>
        <w:t xml:space="preserve">假设患者通过更大幅度的躯干前倾拿到杯子，伸手成功率提高，但肩肘控制未明显恢复。这是实际活动改善，同时存在动作代偿。若随后肩肘协同改善、躯干前倾减少，则又多了一层运动控制变化。两种进步都可能有价值，研究报告需要说明分别发生了什么。</w:t>
      </w:r>
    </w:p>
    <w:p>
      <w:pPr>
        <w:pStyle w:val="BodyText"/>
      </w:pPr>
      <w:r>
        <w:t xml:space="preserve">代偿是否合适取决于目标与代价。某种策略可以帮助患者尽快独立完成任务，同时可能增加疲劳、疼痛或限制另一项能力。治疗团队需要比较这些后果，并尽可能保留继续改善的机会。不存在适用于所有阶段和所有损伤的单一选择原则。</w:t>
      </w:r>
    </w:p>
    <w:bookmarkEnd w:id="2422"/>
    <w:bookmarkStart w:id="2423" w:name="sec-147-3"/>
    <w:p>
      <w:pPr>
        <w:pStyle w:val="Heading3"/>
      </w:pPr>
      <w:r>
        <w:t xml:space="preserve">147.3　残存网络的重组具有条件</w:t>
      </w:r>
    </w:p>
    <w:p>
      <w:pPr>
        <w:pStyle w:val="FirstParagraph"/>
      </w:pPr>
      <w:r>
        <w:t xml:space="preserve">局灶损伤后，剩余网络可能通过改变连接效能、活动分配和任务策略支持功能。成人松鼠猴的局灶缺血实验显示，熟练手部训练可以影响邻近完整运动皮质的表征组织，并伴随行为改善。这为经验影响损伤后重组提供了机制证据，不能据此承诺人类所有病变都能通过重复练习完全恢复</w:t>
      </w:r>
      <w:r>
        <w:rPr>
          <w:vertAlign w:val="superscript"/>
        </w:rPr>
        <w:t xml:space="preserve">[</w:t>
      </w:r>
      <w:hyperlink w:anchor="ref-1598">
        <w:r>
          <w:rPr>
            <w:rStyle w:val="Hyperlink"/>
            <w:vertAlign w:val="superscript"/>
          </w:rPr>
          <w:t xml:space="preserve">1598</w:t>
        </w:r>
      </w:hyperlink>
      <w:r>
        <w:rPr>
          <w:vertAlign w:val="superscript"/>
        </w:rPr>
        <w:t xml:space="preserve">]</w:t>
      </w:r>
      <w:r>
        <w:t xml:space="preserve">。</w:t>
      </w:r>
    </w:p>
    <w:p>
      <w:pPr>
        <w:pStyle w:val="BodyText"/>
      </w:pPr>
      <w:r>
        <w:t xml:space="preserve">重组受到残余通路、感觉输入、细胞生理状态和任务负荷限制。若信息能够通过替代路径传递，训练可能提高其有效使用；若关键输入长期缺失，训练所需反馈也可能不足。对同一种外观相似的动作困难，具体限制可以来自力量、选择性控制、感觉、注意或计划中的不同环节。</w:t>
      </w:r>
    </w:p>
    <w:p>
      <w:pPr>
        <w:pStyle w:val="BodyText"/>
      </w:pPr>
      <w:r>
        <w:t xml:space="preserve">脑活动增强也具有多种解释。它可以反映更多有效资源参与，也可能反映任务更费力、抑制减弱或代偿需求。影像上某一区域更活跃，不能单凭方向认定重组更好。需要把活动变化与任务、错误、负荷和长期功能联系起来。</w:t>
      </w:r>
    </w:p>
    <w:bookmarkEnd w:id="2423"/>
    <w:bookmarkStart w:id="2424" w:name="sec-147-4"/>
    <w:p>
      <w:pPr>
        <w:pStyle w:val="Heading3"/>
      </w:pPr>
      <w:r>
        <w:t xml:space="preserve">147.4　对侧半球的作用不能一概而论</w:t>
      </w:r>
    </w:p>
    <w:p>
      <w:pPr>
        <w:pStyle w:val="FirstParagraph"/>
      </w:pPr>
      <w:r>
        <w:t xml:space="preserve">某些康复模型强调两侧半球之间的平衡，但损伤后的对侧活动可能在不同人身上承担不同角色。残存结构较充分时，一种网络失衡可能限制恢复；残存结构较少时，其他通路的参与可能具有补偿价值。双模式平衡恢复模型提出了这一条件性框架，它属于解释和生成假说的模型，不能独自确立某个人的刺激靶点</w:t>
      </w:r>
      <w:r>
        <w:rPr>
          <w:vertAlign w:val="superscript"/>
        </w:rPr>
        <w:t xml:space="preserve">[</w:t>
      </w:r>
      <w:hyperlink w:anchor="ref-1599">
        <w:r>
          <w:rPr>
            <w:rStyle w:val="Hyperlink"/>
            <w:vertAlign w:val="superscript"/>
          </w:rPr>
          <w:t xml:space="preserve">1599</w:t>
        </w:r>
      </w:hyperlink>
      <w:r>
        <w:rPr>
          <w:vertAlign w:val="superscript"/>
        </w:rPr>
        <w:t xml:space="preserve">]</w:t>
      </w:r>
      <w:r>
        <w:t xml:space="preserve">。</w:t>
      </w:r>
    </w:p>
    <w:p>
      <w:pPr>
        <w:pStyle w:val="BodyText"/>
      </w:pPr>
      <w:r>
        <w:t xml:space="preserve">由此可以推导一个研究问题：相同刺激方向在不同残余结构人群中是否产生不同效果。要检验它，需要预先定义结构或功能指标，并观察真实结局。研究后临时按反应把人分组，再宣称找到了机制，容易把结果本身重新用作解释。</w:t>
      </w:r>
    </w:p>
    <w:p>
      <w:pPr>
        <w:pStyle w:val="BodyText"/>
      </w:pPr>
      <w:r>
        <w:t xml:space="preserve">“抑制健侧”“激活患侧”这样的简写省略了回路、任务和时间条件。教材可以用它们介绍某类历史假说，但必须说明神经系统没有一个固定的左右平衡刻度。治疗效果取决于实际网络改变以及患者能否从中获得持续功能收益。</w:t>
      </w:r>
    </w:p>
    <w:bookmarkEnd w:id="2424"/>
    <w:bookmarkStart w:id="2425" w:name="sec-147-5"/>
    <w:p>
      <w:pPr>
        <w:pStyle w:val="Heading3"/>
      </w:pPr>
      <w:r>
        <w:t xml:space="preserve">147.5　肌力、选择性控制与感觉反馈</w:t>
      </w:r>
    </w:p>
    <w:p>
      <w:pPr>
        <w:pStyle w:val="FirstParagraph"/>
      </w:pPr>
      <w:r>
        <w:t xml:space="preserve">肌力描述产生力量的能力，选择性控制描述按任务需要独立组织关节和肌群的能力。患者可能有一定力量，却难以在不出现伴随动作的情况下完成精细任务。另一位患者动作方向较准确，但力量和耐力不足。把这两类限制都归为“手无力”，会使训练目标过于粗糙。</w:t>
      </w:r>
    </w:p>
    <w:p>
      <w:pPr>
        <w:pStyle w:val="BodyText"/>
      </w:pPr>
      <w:r>
        <w:t xml:space="preserve">感觉反馈提供触碰、位置、运动和负荷信息。拿起脆弱物品时，视觉能够帮助定位，触觉和本体感觉则帮助调整握力与动作。感觉缺失时，患者可能更多依赖视觉，任务在黑暗或分心环境下变得困难。因此，运动功能评估需要保留感觉维度。</w:t>
      </w:r>
    </w:p>
    <w:p>
      <w:pPr>
        <w:pStyle w:val="BodyText"/>
      </w:pPr>
      <w:r>
        <w:t xml:space="preserve">SENSe 随机试验在五十名有感觉辨别困难的卒中患者中，支持针对辨别的训练改善所测感觉能力，并迁移到新刺激。这个结果说明感觉可以成为具体康复目标，同时需要区分感觉测验改善与所有日常手功能、工作参与的改善。后者需要独立测量</w:t>
      </w:r>
      <w:r>
        <w:rPr>
          <w:vertAlign w:val="superscript"/>
        </w:rPr>
        <w:t xml:space="preserve">[</w:t>
      </w:r>
      <w:hyperlink w:anchor="ref-1600">
        <w:r>
          <w:rPr>
            <w:rStyle w:val="Hyperlink"/>
            <w:vertAlign w:val="superscript"/>
          </w:rPr>
          <w:t xml:space="preserve">1600</w:t>
        </w:r>
      </w:hyperlink>
      <w:r>
        <w:rPr>
          <w:vertAlign w:val="superscript"/>
        </w:rPr>
        <w:t xml:space="preserve">]</w:t>
      </w:r>
      <w:r>
        <w:t xml:space="preserve">。</w:t>
      </w:r>
    </w:p>
    <w:bookmarkEnd w:id="2425"/>
    <w:bookmarkStart w:id="2426" w:name="sec-147-6"/>
    <w:p>
      <w:pPr>
        <w:pStyle w:val="Heading3"/>
      </w:pPr>
      <w:r>
        <w:t xml:space="preserve">147.6　痉挛与挛缩来自不同环节</w:t>
      </w:r>
    </w:p>
    <w:p>
      <w:pPr>
        <w:pStyle w:val="FirstParagraph"/>
      </w:pPr>
      <w:r>
        <w:t xml:space="preserve">痉挛涉及神经性牵张反射调节异常，临床观察会考虑牵伸速度相关的阻力变化。肌肉、肌腱和关节长期改变又可能产生非神经性机械限制。一个关节活动困难，可以同时包含痉挛、软组织短缩、疼痛和力量不足。降低某一成分未必解除全部限制</w:t>
      </w:r>
      <w:r>
        <w:rPr>
          <w:vertAlign w:val="superscript"/>
        </w:rPr>
        <w:t xml:space="preserve">[</w:t>
      </w:r>
      <w:hyperlink w:anchor="ref-1596">
        <w:r>
          <w:rPr>
            <w:rStyle w:val="Hyperlink"/>
            <w:vertAlign w:val="superscript"/>
          </w:rPr>
          <w:t xml:space="preserve">1596</w:t>
        </w:r>
      </w:hyperlink>
      <w:r>
        <w:rPr>
          <w:vertAlign w:val="superscript"/>
        </w:rPr>
        <w:t xml:space="preserve">]</w:t>
      </w:r>
      <w:r>
        <w:t xml:space="preserve">。</w:t>
      </w:r>
    </w:p>
    <w:p>
      <w:pPr>
        <w:pStyle w:val="BodyText"/>
      </w:pPr>
      <w:r>
        <w:t xml:space="preserve">肉毒毒素减少特定肌肉的神经肌肉接头作用，适合回答局部过度活动相关的某些目标。BoTULS 在333名卒中患者中，没有显示主要主动上肢功能终点的显著改善，但在肌张力、部分护理任务和疼痛等结局上观察到不同程度的收益。它说明主动抓握、清洁手掌和缓解疼痛需要分别评价</w:t>
      </w:r>
      <w:r>
        <w:rPr>
          <w:vertAlign w:val="superscript"/>
        </w:rPr>
        <w:t xml:space="preserve">[</w:t>
      </w:r>
      <w:hyperlink w:anchor="ref-1601">
        <w:r>
          <w:rPr>
            <w:rStyle w:val="Hyperlink"/>
            <w:vertAlign w:val="superscript"/>
          </w:rPr>
          <w:t xml:space="preserve">1601</w:t>
        </w:r>
      </w:hyperlink>
      <w:r>
        <w:rPr>
          <w:vertAlign w:val="superscript"/>
        </w:rPr>
        <w:t xml:space="preserve">]</w:t>
      </w:r>
      <w:r>
        <w:t xml:space="preserve">。</w:t>
      </w:r>
    </w:p>
    <w:p>
      <w:pPr>
        <w:pStyle w:val="BodyText"/>
      </w:pPr>
      <w:r>
        <w:t xml:space="preserve">假设患者主要目标是减轻握拳导致的皮肤问题，能够更容易展开手掌可能很重要，即使主动伸手尚未改善。若目标是恢复精细书写，则还需要选择性控制、感觉和训练等条件。对目标的明确描述可以避免把一种治疗的适用价值夸大或抹去。</w:t>
      </w:r>
    </w:p>
    <w:bookmarkEnd w:id="2426"/>
    <w:bookmarkStart w:id="2427" w:name="sec-147-7"/>
    <w:p>
      <w:pPr>
        <w:pStyle w:val="Heading3"/>
      </w:pPr>
      <w:r>
        <w:t xml:space="preserve">147.7　训练剂量包含更多维度</w:t>
      </w:r>
    </w:p>
    <w:p>
      <w:pPr>
        <w:pStyle w:val="FirstParagraph"/>
      </w:pPr>
      <w:r>
        <w:t xml:space="preserve">康复剂量不仅是分钟数。真正参与的重复次数、任务难度、成功与错误分布、休息、注意投入和家庭练习都会影响学习。两次同样长的治疗，一次主要由设备被动移动，另一次要求患者主动选择、反馈和修正，所提供的经验不同。</w:t>
      </w:r>
    </w:p>
    <w:p>
      <w:pPr>
        <w:pStyle w:val="BodyText"/>
      </w:pPr>
      <w:r>
        <w:t xml:space="preserve">剂量也与病程阶段和生理稳定性相关。AVERT 随机试验在2104名卒中患者中比较较高剂量的极早活动与常规照护，三个月良好结局比例约46%与50%，调整优势比0.73，95%置信区间0.59至0.90。对照组许多人同样较早开始活动，因此结果限制的是特定强化方案，不能推导所有早期康复都有害</w:t>
      </w:r>
      <w:r>
        <w:rPr>
          <w:vertAlign w:val="superscript"/>
        </w:rPr>
        <w:t xml:space="preserve">[</w:t>
      </w:r>
      <w:hyperlink w:anchor="ref-1602">
        <w:r>
          <w:rPr>
            <w:rStyle w:val="Hyperlink"/>
            <w:vertAlign w:val="superscript"/>
          </w:rPr>
          <w:t xml:space="preserve">1602</w:t>
        </w:r>
      </w:hyperlink>
      <w:r>
        <w:rPr>
          <w:vertAlign w:val="superscript"/>
        </w:rPr>
        <w:t xml:space="preserve">]</w:t>
      </w:r>
      <w:r>
        <w:t xml:space="preserve">。</w:t>
      </w:r>
    </w:p>
    <w:p>
      <w:pPr>
        <w:pStyle w:val="BodyText"/>
      </w:pPr>
      <w:r>
        <w:t xml:space="preserve">从这一结果可以看出，早、强和有效之间没有自动等号。急性期灌注、生理耐受和疲劳需要考虑，后期则可能需要足够任务挑战。专业团队根据目标和耐受安排训练，家庭不应把某项研究时长直接复制为个人处方。</w:t>
      </w:r>
    </w:p>
    <w:bookmarkEnd w:id="2427"/>
    <w:bookmarkStart w:id="2428" w:name="sec-147-8"/>
    <w:p>
      <w:pPr>
        <w:pStyle w:val="Heading3"/>
      </w:pPr>
      <w:r>
        <w:t xml:space="preserve">147.8　重复练习与学习并不完全相同</w:t>
      </w:r>
    </w:p>
    <w:p>
      <w:pPr>
        <w:pStyle w:val="FirstParagraph"/>
      </w:pPr>
      <w:r>
        <w:t xml:space="preserve">重复提供经验，学习需要经验改变未来表现。若患者每次都依赖同样的即时提示，练习期间表现提高可能主要来自提示，离开提示后未必保留。评价学习需要观察保持、迁移和自主使用。</w:t>
      </w:r>
    </w:p>
    <w:p>
      <w:pPr>
        <w:pStyle w:val="BodyText"/>
      </w:pPr>
      <w:r>
        <w:t xml:space="preserve">假设一个人在治疗室中能够按提示完成六步动作，但在真实环境中仍遗漏第四步。研究可以考察提示是否逐渐减少、任务是否在不同环境练习、患者是否理解步骤目的，以及错误是否与疲劳相关。简单增加相同提示下的重复次数，未必解决关键限制。</w:t>
      </w:r>
    </w:p>
    <w:p>
      <w:pPr>
        <w:pStyle w:val="BodyText"/>
      </w:pPr>
      <w:r>
        <w:t xml:space="preserve">反馈也需要与目标相匹配。过多反馈可能使患者依赖外部判断，反馈不足则可能使错误无法被识别。对于严重记忆或执行障碍，稳定外部支持可能本身就是合理目标。反馈安排应依据实际能力和任务风险，不能把某种学习理论绝对化。</w:t>
      </w:r>
    </w:p>
    <w:bookmarkEnd w:id="2428"/>
    <w:bookmarkStart w:id="2429" w:name="sec-147-9"/>
    <w:p>
      <w:pPr>
        <w:pStyle w:val="Heading3"/>
      </w:pPr>
      <w:r>
        <w:t xml:space="preserve">147.9　机器人能够提供测量与练习条件</w:t>
      </w:r>
    </w:p>
    <w:p>
      <w:pPr>
        <w:pStyle w:val="FirstParagraph"/>
      </w:pPr>
      <w:r>
        <w:t xml:space="preserve">机器人可以稳定提供重复动作、辅助力量和精细运动记录，具有工程优势。但设备能够完成这些任务，不等于其整体临床收益已经超过合适的比较方案。RATULS 在770名患者中比较特定机器人训练、强化上肢治疗和常规照护，主要上肢功能成功终点没有支持所研究机器人方案优于常规照护</w:t>
      </w:r>
      <w:r>
        <w:rPr>
          <w:vertAlign w:val="superscript"/>
        </w:rPr>
        <w:t xml:space="preserve">[</w:t>
      </w:r>
      <w:hyperlink w:anchor="ref-1603">
        <w:r>
          <w:rPr>
            <w:rStyle w:val="Hyperlink"/>
            <w:vertAlign w:val="superscript"/>
          </w:rPr>
          <w:t xml:space="preserve">1603</w:t>
        </w:r>
      </w:hyperlink>
      <w:r>
        <w:rPr>
          <w:vertAlign w:val="superscript"/>
        </w:rPr>
        <w:t xml:space="preserve">]</w:t>
      </w:r>
      <w:r>
        <w:t xml:space="preserve">。</w:t>
      </w:r>
    </w:p>
    <w:p>
      <w:pPr>
        <w:pStyle w:val="BodyText"/>
      </w:pPr>
      <w:r>
        <w:t xml:space="preserve">这一结论不排除未来设备或不同方案的价值，也不能忽略该研究已经检验的具体条件。应分别询问设备是否增加主动练习、是否改善目标功能、是否让治疗资源更可及，以及收益是否足以抵偿设备和人员成本。华丽动作轨迹不能替代这些问题。</w:t>
      </w:r>
    </w:p>
    <w:p>
      <w:pPr>
        <w:pStyle w:val="BodyText"/>
      </w:pPr>
      <w:r>
        <w:t xml:space="preserve">辅助程度还会影响患者参与。若机器完成绝大部分动作，患者可能缺少主动误差修正；若辅助太少，任务可能持续失败并降低参与。合适控制需要在安全、挑战和可完成性之间调整。机器人输出的运动距离、次数和速度应与实际患者贡献区分。</w:t>
      </w:r>
    </w:p>
    <w:bookmarkEnd w:id="2429"/>
    <w:bookmarkStart w:id="2430" w:name="sec-147-10"/>
    <w:p>
      <w:pPr>
        <w:pStyle w:val="Heading3"/>
      </w:pPr>
      <w:r>
        <w:t xml:space="preserve">147.10　配对神经刺激需要连同训练评价</w:t>
      </w:r>
    </w:p>
    <w:p>
      <w:pPr>
        <w:pStyle w:val="FirstParagraph"/>
      </w:pPr>
      <w:r>
        <w:t xml:space="preserve">VNS-REHAB 在108名卒中后至少九个月、具有中重度上肢困难的参与者中，比较康复配对主动或假迷走神经刺激。门诊训练结束后首日，上肢 Fugl-Meyer 评分变化的组间差为2.6分，95%置信区间1.0至4.2分。该证据针对植入式设备、明确配对方案和选择性人群，不能推广到所有迷走神经刺激或普通消费设备</w:t>
      </w:r>
      <w:r>
        <w:rPr>
          <w:vertAlign w:val="superscript"/>
        </w:rPr>
        <w:t xml:space="preserve">[</w:t>
      </w:r>
      <w:hyperlink w:anchor="ref-1604">
        <w:r>
          <w:rPr>
            <w:rStyle w:val="Hyperlink"/>
            <w:vertAlign w:val="superscript"/>
          </w:rPr>
          <w:t xml:space="preserve">1604</w:t>
        </w:r>
      </w:hyperlink>
      <w:r>
        <w:rPr>
          <w:vertAlign w:val="superscript"/>
        </w:rPr>
        <w:t xml:space="preserve">]</w:t>
      </w:r>
      <w:r>
        <w:t xml:space="preserve">。</w:t>
      </w:r>
    </w:p>
    <w:p>
      <w:pPr>
        <w:pStyle w:val="BodyText"/>
      </w:pPr>
      <w:r>
        <w:t xml:space="preserve">研究由设备企业 MicroTransponder 资助，包含盲法和假刺激比较，同时存在植入手术风险。解释时需要评估实际效果、持续性、不同功能结局及全部不良事件，不能因具有明确生理机制就省略这些环节。刺激和训练共同构成方案，单独购买一种刺激器并不等于获得相同干预</w:t>
      </w:r>
      <w:r>
        <w:rPr>
          <w:vertAlign w:val="superscript"/>
        </w:rPr>
        <w:t xml:space="preserve">[</w:t>
      </w:r>
      <w:hyperlink w:anchor="ref-1604">
        <w:r>
          <w:rPr>
            <w:rStyle w:val="Hyperlink"/>
            <w:vertAlign w:val="superscript"/>
          </w:rPr>
          <w:t xml:space="preserve">1604</w:t>
        </w:r>
      </w:hyperlink>
      <w:r>
        <w:rPr>
          <w:vertAlign w:val="superscript"/>
        </w:rPr>
        <w:t xml:space="preserve">]</w:t>
      </w:r>
      <w:r>
        <w:t xml:space="preserve">。</w:t>
      </w:r>
    </w:p>
    <w:p>
      <w:pPr>
        <w:pStyle w:val="BodyText"/>
      </w:pPr>
      <w:r>
        <w:t xml:space="preserve">配对的理论意义在于让调节信号与目标经验在时间上相遇，使特定活动更可能被塑造。这一理论可以生成关于时间、任务和患者差异的预测，但疗效仍需实际试验。治疗标签中的“促进可塑性”没有给出具体收益大小，也不保证可塑性朝期望方向发生。</w:t>
      </w:r>
    </w:p>
    <w:bookmarkEnd w:id="2430"/>
    <w:bookmarkStart w:id="2431" w:name="sec-147-11"/>
    <w:p>
      <w:pPr>
        <w:pStyle w:val="Heading3"/>
      </w:pPr>
      <w:r>
        <w:t xml:space="preserve">147.11　失语涉及多个语言过程</w:t>
      </w:r>
    </w:p>
    <w:p>
      <w:pPr>
        <w:pStyle w:val="FirstParagraph"/>
      </w:pPr>
      <w:r>
        <w:t xml:space="preserve">失语可以影响命名、理解、句子组织、复述、阅读和书写中的不同组合。相同总分可能掩盖不同结构：一人理解较好但词提取困难，另一人表达流畅却理解或语义监控受限。治疗需要明确限制发生在哪个过程，并考虑听觉、视觉、注意和运动输出。</w:t>
      </w:r>
    </w:p>
    <w:p>
      <w:pPr>
        <w:pStyle w:val="BodyText"/>
      </w:pPr>
      <w:r>
        <w:t xml:space="preserve">2016年 Cochrane 综述支持言语语言治疗相较无治疗改善部分功能沟通与语言结局，同时指出试验异质和较高强度方案的退出问题。它构成重要证据基础，但不意味着每种方法、每个剂量或每一位患者具有相同效果。后续指南和研究需要进一步解决持续性、可及性与个体匹配</w:t>
      </w:r>
      <w:r>
        <w:rPr>
          <w:vertAlign w:val="superscript"/>
        </w:rPr>
        <w:t xml:space="preserve">[</w:t>
      </w:r>
      <w:hyperlink w:anchor="ref-1605">
        <w:r>
          <w:rPr>
            <w:rStyle w:val="Hyperlink"/>
            <w:vertAlign w:val="superscript"/>
          </w:rPr>
          <w:t xml:space="preserve">1605</w:t>
        </w:r>
      </w:hyperlink>
      <w:r>
        <w:rPr>
          <w:vertAlign w:val="superscript"/>
        </w:rPr>
        <w:t xml:space="preserve">]</w:t>
      </w:r>
      <w:r>
        <w:t xml:space="preserve">。</w:t>
      </w:r>
    </w:p>
    <w:p>
      <w:pPr>
        <w:pStyle w:val="BodyText"/>
      </w:pPr>
      <w:r>
        <w:t xml:space="preserve">语言困难也不自动表示思考能力全部丧失。患者可能通过书写、图像、手势或辅助系统表达复杂愿望。评估和知情沟通应尽可能减少语言输出障碍对能力判断的干扰，让患者有充分机会理解和回应。</w:t>
      </w:r>
    </w:p>
    <w:bookmarkEnd w:id="2431"/>
    <w:bookmarkStart w:id="2432" w:name="sec-147-12"/>
    <w:p>
      <w:pPr>
        <w:pStyle w:val="Heading3"/>
      </w:pPr>
      <w:r>
        <w:t xml:space="preserve">147.12　词语学习如何迁移到会话</w:t>
      </w:r>
    </w:p>
    <w:p>
      <w:pPr>
        <w:pStyle w:val="FirstParagraph"/>
      </w:pPr>
      <w:r>
        <w:t xml:space="preserve">Big CACTUS 随机试验显示，自我管理的计算机语言训练可以改善个人相关练习词的提取，但未改善主要会话沟通结局。结果揭示了训练项目获得与日常交流之间的距离。会话还需要轮流、理解对方、组织句子、处理干扰和修正误解，单词提取只是其中一环</w:t>
      </w:r>
      <w:r>
        <w:rPr>
          <w:vertAlign w:val="superscript"/>
        </w:rPr>
        <w:t xml:space="preserve">[</w:t>
      </w:r>
      <w:hyperlink w:anchor="ref-1606">
        <w:r>
          <w:rPr>
            <w:rStyle w:val="Hyperlink"/>
            <w:vertAlign w:val="superscript"/>
          </w:rPr>
          <w:t xml:space="preserve">1606</w:t>
        </w:r>
      </w:hyperlink>
      <w:r>
        <w:rPr>
          <w:vertAlign w:val="superscript"/>
        </w:rPr>
        <w:t xml:space="preserve">]</w:t>
      </w:r>
      <w:r>
        <w:t xml:space="preserve">。</w:t>
      </w:r>
    </w:p>
    <w:p>
      <w:pPr>
        <w:pStyle w:val="BodyText"/>
      </w:pPr>
      <w:r>
        <w:t xml:space="preserve">假设患者在图片命名中学会了“公交车”，真实出行沟通还需要说明时间、方向和问题。下一步训练可以检验该词是否能在句子、陌生图片和真实情境中使用，并观察是否需要提示。把迁移本身设计为目标，比默认练习成果会自动推广更精确。</w:t>
      </w:r>
    </w:p>
    <w:p>
      <w:pPr>
        <w:pStyle w:val="BodyText"/>
      </w:pPr>
      <w:r>
        <w:t xml:space="preserve">技术也可以提高练习机会，但设备可及性、视觉与操作能力、语言文化适配和家庭支持都会影响使用。计算机记录的登录时长不等于有效学习时长。若患者主要在反复猜测或由家属代答，日志中的高完成率可能高估本人能力。</w:t>
      </w:r>
    </w:p>
    <w:bookmarkEnd w:id="2432"/>
    <w:bookmarkStart w:id="2433" w:name="sec-147-13"/>
    <w:p>
      <w:pPr>
        <w:pStyle w:val="Heading3"/>
      </w:pPr>
      <w:r>
        <w:t xml:space="preserve">147.13　沟通伙伴也是环境的一部分</w:t>
      </w:r>
    </w:p>
    <w:p>
      <w:pPr>
        <w:pStyle w:val="FirstParagraph"/>
      </w:pPr>
      <w:r>
        <w:t xml:space="preserve">获得性脑损伤后的沟通困难可以涉及社会认知、主题维持、推断、语用和情绪识别，即使语法与词汇相对保留，也可能影响工作和关系。INCOG2.0 强调个人目标、情境及沟通伙伴训练，并支持对严重交流困难提供适当辅助交流。不同方法对社会参与的长期影响仍需更多研究</w:t>
      </w:r>
      <w:r>
        <w:rPr>
          <w:vertAlign w:val="superscript"/>
        </w:rPr>
        <w:t xml:space="preserve">[</w:t>
      </w:r>
      <w:hyperlink w:anchor="ref-1607">
        <w:r>
          <w:rPr>
            <w:rStyle w:val="Hyperlink"/>
            <w:vertAlign w:val="superscript"/>
          </w:rPr>
          <w:t xml:space="preserve">1607</w:t>
        </w:r>
      </w:hyperlink>
      <w:r>
        <w:rPr>
          <w:vertAlign w:val="superscript"/>
        </w:rPr>
        <w:t xml:space="preserve">]</w:t>
      </w:r>
      <w:r>
        <w:t xml:space="preserve">。</w:t>
      </w:r>
    </w:p>
    <w:p>
      <w:pPr>
        <w:pStyle w:val="BodyText"/>
      </w:pPr>
      <w:r>
        <w:t xml:space="preserve">一个人回复慢，伙伴可能不断替他完成句子，久而久之减少其表达机会。另一种情况是患者难以识别话题转换，伙伴误以为他故意不合作。沟通支持可以调整等待时间、信息量和澄清方式，同时尊重双方真实需求。它的目的包括提高相互理解，不需要把所有人塑造成同一种社交风格。</w:t>
      </w:r>
    </w:p>
    <w:p>
      <w:pPr>
        <w:pStyle w:val="BodyText"/>
      </w:pPr>
      <w:r>
        <w:t xml:space="preserve">辅助交流的价值取决于是否能表达本人意图。系统应便于选择、确认和纠错，伙伴需要避免代替本人作答。输出看起来流畅并不能自动证明内容来源可靠，这一点在任何沟通辅助技术中都应保留。</w:t>
      </w:r>
    </w:p>
    <w:bookmarkEnd w:id="2433"/>
    <w:bookmarkStart w:id="2434" w:name="sec-147-14"/>
    <w:p>
      <w:pPr>
        <w:pStyle w:val="Heading3"/>
      </w:pPr>
      <w:r>
        <w:t xml:space="preserve">147.14　注意康复需要处理任务与背景</w:t>
      </w:r>
    </w:p>
    <w:p>
      <w:pPr>
        <w:pStyle w:val="FirstParagraph"/>
      </w:pPr>
      <w:r>
        <w:t xml:space="preserve">注意困难可能涉及维持、选择、转换和多任务分配，也可能由睡眠、疼痛、听视力、疲劳或药物影响加重。INCOG2.0 建议评估这些贡献，并把策略训练与实际活动连接。脱离生活情境的计算机任务成绩提高，缺乏自动推广到广泛日常能力的依据</w:t>
      </w:r>
      <w:r>
        <w:rPr>
          <w:vertAlign w:val="superscript"/>
        </w:rPr>
        <w:t xml:space="preserve">[</w:t>
      </w:r>
      <w:hyperlink w:anchor="ref-1608">
        <w:r>
          <w:rPr>
            <w:rStyle w:val="Hyperlink"/>
            <w:vertAlign w:val="superscript"/>
          </w:rPr>
          <w:t xml:space="preserve">1608</w:t>
        </w:r>
      </w:hyperlink>
      <w:r>
        <w:rPr>
          <w:vertAlign w:val="superscript"/>
        </w:rPr>
        <w:t xml:space="preserve">]</w:t>
      </w:r>
      <w:r>
        <w:t xml:space="preserve">。</w:t>
      </w:r>
    </w:p>
    <w:p>
      <w:pPr>
        <w:pStyle w:val="BodyText"/>
      </w:pPr>
      <w:r>
        <w:t xml:space="preserve">假设患者在安静环境中准确完成任务，在背景对话中错误明显增加。问题可能是过滤干扰，也可能是任务速度超出处理能力。降低速度、减少无关刺激、分段或训练特定双任务，是不同假设对应的策略。需要观察哪种改变实际改善目标，不能只根据一个“注意力差”标签选择统一程序。</w:t>
      </w:r>
    </w:p>
    <w:p>
      <w:pPr>
        <w:pStyle w:val="BodyText"/>
      </w:pPr>
      <w:r>
        <w:t xml:space="preserve">认知疲劳还具有时间累积性。前十分钟表现正常，可能掩盖后续持续下降。测量应保留任务持续时间、休息和一天中的时点。患者描述的“做得出来但坚持不了”，可能反映与单次最大能力不同的限制。</w:t>
      </w:r>
    </w:p>
    <w:bookmarkEnd w:id="2434"/>
    <w:bookmarkStart w:id="2435" w:name="sec-147-15"/>
    <w:p>
      <w:pPr>
        <w:pStyle w:val="Heading3"/>
      </w:pPr>
      <w:r>
        <w:t xml:space="preserve">147.15　记忆支持关注编码、保持与前瞻执行</w:t>
      </w:r>
    </w:p>
    <w:p>
      <w:pPr>
        <w:pStyle w:val="FirstParagraph"/>
      </w:pPr>
      <w:r>
        <w:t xml:space="preserve">记忆困难需要区分信息没有充分进入、保持不稳定、提取困难和未来任务执行失败。若患者没有理解或注意到信息，单纯增加回忆练习可能偏离问题。前瞻记忆还涉及在正确时间启动行动，即使能够复述计划，也未必能在实际情境中完成。</w:t>
      </w:r>
    </w:p>
    <w:p>
      <w:pPr>
        <w:pStyle w:val="BodyText"/>
      </w:pPr>
      <w:r>
        <w:t xml:space="preserve">INCOG2.0 的记忆指南支持按个人能力使用内部策略与外部提醒，严重记忆受损者尤其需要有效外部支持。电子提醒的价值来自在合适时机触发合适行为，使用者和伙伴都可能需要训练。设备安装完成不等于支持体系已经建立</w:t>
      </w:r>
      <w:r>
        <w:rPr>
          <w:vertAlign w:val="superscript"/>
        </w:rPr>
        <w:t xml:space="preserve">[</w:t>
      </w:r>
      <w:hyperlink w:anchor="ref-1609">
        <w:r>
          <w:rPr>
            <w:rStyle w:val="Hyperlink"/>
            <w:vertAlign w:val="superscript"/>
          </w:rPr>
          <w:t xml:space="preserve">1609</w:t>
        </w:r>
      </w:hyperlink>
      <w:r>
        <w:rPr>
          <w:vertAlign w:val="superscript"/>
        </w:rPr>
        <w:t xml:space="preserve">]</w:t>
      </w:r>
      <w:r>
        <w:t xml:space="preserve">。</w:t>
      </w:r>
    </w:p>
    <w:p>
      <w:pPr>
        <w:pStyle w:val="BodyText"/>
      </w:pPr>
      <w:r>
        <w:t xml:space="preserve">假设提醒显示“服用处方药”，但患者无法确认是否已经服用，单一闹钟可能仍留下重复或遗漏风险。真正的系统设计还要考虑记录、确认、监督和出错后的处理，并由相关专业人员结合实际照护安排。这个例子用于说明任务链条，不能据此自行设计高风险医疗管理。</w:t>
      </w:r>
    </w:p>
    <w:p>
      <w:pPr>
        <w:pStyle w:val="BodyText"/>
      </w:pPr>
      <w:r>
        <w:t xml:space="preserve">记忆训练还需区分记住练习材料与改善新信息学习。若研究反复使用相同词表，进步可能部分来自熟悉材料。对真实目标的评价应使用适当的新材料、延迟和情境变化，并观察支持减少后是否仍然可靠。</w:t>
      </w:r>
    </w:p>
    <w:bookmarkEnd w:id="2435"/>
    <w:bookmarkStart w:id="2436" w:name="sec-147-16"/>
    <w:p>
      <w:pPr>
        <w:pStyle w:val="Heading3"/>
      </w:pPr>
      <w:r>
        <w:t xml:space="preserve">147.16　执行功能把目标转化为行动</w:t>
      </w:r>
    </w:p>
    <w:p>
      <w:pPr>
        <w:pStyle w:val="FirstParagraph"/>
      </w:pPr>
      <w:r>
        <w:t xml:space="preserve">执行功能涉及设定目标、规划顺序、抑制不合适反应、监测结果和改变策略。患者可能在单一步骤上表现较好，却在开放性多步骤任务中失败。INCOG2.0 强调目标管理、元认知策略和反馈等方法，并将自我监控纳入康复</w:t>
      </w:r>
      <w:r>
        <w:rPr>
          <w:vertAlign w:val="superscript"/>
        </w:rPr>
        <w:t xml:space="preserve">[</w:t>
      </w:r>
      <w:hyperlink w:anchor="ref-1610">
        <w:r>
          <w:rPr>
            <w:rStyle w:val="Hyperlink"/>
            <w:vertAlign w:val="superscript"/>
          </w:rPr>
          <w:t xml:space="preserve">1610</w:t>
        </w:r>
      </w:hyperlink>
      <w:r>
        <w:rPr>
          <w:vertAlign w:val="superscript"/>
        </w:rPr>
        <w:t xml:space="preserve">]</w:t>
      </w:r>
      <w:r>
        <w:t xml:space="preserve">。</w:t>
      </w:r>
    </w:p>
    <w:p>
      <w:pPr>
        <w:pStyle w:val="BodyText"/>
      </w:pPr>
      <w:r>
        <w:t xml:space="preserve">自我意识困难不应简单等同不愿合作。患者可能无法准确检测某类错误，也可能对自己的能力在不同情境中有不一致认识。反馈可以帮助建立更准确的任务模型，但应避免羞辱和压倒性失败。专业支持需要兼顾认识困难与维持参与。</w:t>
      </w:r>
    </w:p>
    <w:p>
      <w:pPr>
        <w:pStyle w:val="BodyText"/>
      </w:pPr>
      <w:r>
        <w:t xml:space="preserve">一个假设的采购任务中，患者记得商品名称，却忘记预算和顺序；另一个患者计划完整，但途中被新刺激吸引后无法返回原目标。两者需要不同支持。记录错误发生的位置，比只统计最终完成项目数更有机制解释力。</w:t>
      </w:r>
    </w:p>
    <w:bookmarkEnd w:id="2436"/>
    <w:bookmarkStart w:id="2437" w:name="sec-147-17"/>
    <w:p>
      <w:pPr>
        <w:pStyle w:val="Heading3"/>
      </w:pPr>
      <w:r>
        <w:t xml:space="preserve">147.17　空间忽略的改善需要生活结局</w:t>
      </w:r>
    </w:p>
    <w:p>
      <w:pPr>
        <w:pStyle w:val="FirstParagraph"/>
      </w:pPr>
      <w:r>
        <w:t xml:space="preserve">空间忽略可以影响身体、近处和远处空间，视觉探索、身体觉察与行动也可能受到不同程度影响。某项纸笔划消任务改善，未必意味着在拥挤环境中不再碰撞或能够独立穿衣。因此，忽略研究需要把测验与实际活动分开评价。</w:t>
      </w:r>
    </w:p>
    <w:p>
      <w:pPr>
        <w:pStyle w:val="BodyText"/>
      </w:pPr>
      <w:r>
        <w:t xml:space="preserve">2021年 Cochrane 综述纳入65项随机试验、1951名参与者，对多类非药物方法的持久日常活动收益仍认为证据很不确定。缺少充分证据不能解释为患者无需支持，也不能把某种流行技术宣传为确定修复了注意网络。临床目标支持与高质量研究需要同时推进</w:t>
      </w:r>
      <w:r>
        <w:rPr>
          <w:vertAlign w:val="superscript"/>
        </w:rPr>
        <w:t xml:space="preserve">[</w:t>
      </w:r>
      <w:hyperlink w:anchor="ref-1611">
        <w:r>
          <w:rPr>
            <w:rStyle w:val="Hyperlink"/>
            <w:vertAlign w:val="superscript"/>
          </w:rPr>
          <w:t xml:space="preserve">1611</w:t>
        </w:r>
      </w:hyperlink>
      <w:r>
        <w:rPr>
          <w:vertAlign w:val="superscript"/>
        </w:rPr>
        <w:t xml:space="preserve">]</w:t>
      </w:r>
      <w:r>
        <w:t xml:space="preserve">。</w:t>
      </w:r>
    </w:p>
    <w:p>
      <w:pPr>
        <w:pStyle w:val="BodyText"/>
      </w:pPr>
      <w:r>
        <w:t xml:space="preserve">假设一种棱镜适应方法改变了手部指向偏差，下一步仍要检验这种改变能否持续、是否推广到视觉探索和生活任务，以及不同忽略亚型是否反应不同。机制上存在合理联系，只构成继续检验的理由。</w:t>
      </w:r>
    </w:p>
    <w:bookmarkEnd w:id="2437"/>
    <w:bookmarkStart w:id="2438" w:name="sec-147-18"/>
    <w:p>
      <w:pPr>
        <w:pStyle w:val="Heading3"/>
      </w:pPr>
      <w:r>
        <w:t xml:space="preserve">147.18　吞咽安全与吞咽效率</w:t>
      </w:r>
    </w:p>
    <w:p>
      <w:pPr>
        <w:pStyle w:val="FirstParagraph"/>
      </w:pPr>
      <w:r>
        <w:t xml:space="preserve">吞咽涉及口腔准备、食团输送、咽部时序、气道保护和食管入口等协调。安全关注食物、液体或分泌物是否进入不适当的气道位置，效率关注能否以足够且可持续的方式完成进食。一个人可以没有明显咳嗽却发生无声误吸，也可以没有观察到误吸但因严重残留和疲劳而难以维持营养</w:t>
      </w:r>
      <w:r>
        <w:rPr>
          <w:vertAlign w:val="superscript"/>
        </w:rPr>
        <w:t xml:space="preserve">[</w:t>
      </w:r>
      <w:hyperlink w:anchor="ref-1612">
        <w:r>
          <w:rPr>
            <w:rStyle w:val="Hyperlink"/>
            <w:vertAlign w:val="superscript"/>
          </w:rPr>
          <w:t xml:space="preserve">1612</w:t>
        </w:r>
      </w:hyperlink>
      <w:r>
        <w:rPr>
          <w:vertAlign w:val="superscript"/>
        </w:rPr>
        <w:t xml:space="preserve">]</w:t>
      </w:r>
      <w:r>
        <w:t xml:space="preserve">。</w:t>
      </w:r>
    </w:p>
    <w:p>
      <w:pPr>
        <w:pStyle w:val="BodyText"/>
      </w:pPr>
      <w:r>
        <w:t xml:space="preserve">床旁观察、影像吞咽检查和内镜评估提供不同信息。仪器能够帮助观察食团路径、残留、时序与气道保护，具体选择取决于患者状态和问题。仅凭“喝水没有呛”不能完整排除吞咽风险，也不能自行决定适合的稠度、体位或进食方式</w:t>
      </w:r>
      <w:r>
        <w:rPr>
          <w:vertAlign w:val="superscript"/>
        </w:rPr>
        <w:t xml:space="preserve">[</w:t>
      </w:r>
      <w:hyperlink w:anchor="ref-1612">
        <w:r>
          <w:rPr>
            <w:rStyle w:val="Hyperlink"/>
            <w:vertAlign w:val="superscript"/>
          </w:rPr>
          <w:t xml:space="preserve">1612</w:t>
        </w:r>
      </w:hyperlink>
      <w:r>
        <w:rPr>
          <w:vertAlign w:val="superscript"/>
        </w:rPr>
        <w:t xml:space="preserve">]</w:t>
      </w:r>
      <w:r>
        <w:t xml:space="preserve">。</w:t>
      </w:r>
    </w:p>
    <w:p>
      <w:pPr>
        <w:pStyle w:val="BodyText"/>
      </w:pPr>
      <w:r>
        <w:t xml:space="preserve">吞咽干预的终点同样需要区分。某项刺激改善一种检查表现、提高拔管准备程度或缩短住院，并不自动证明降低了所有误吸、肺炎或死亡结局。2026年急性卒中指南的相关更正收窄了部分咽部电刺激表述，说明需要按实际测量终点解释技术价值</w:t>
      </w:r>
      <w:r>
        <w:rPr>
          <w:vertAlign w:val="superscript"/>
        </w:rPr>
        <w:t xml:space="preserve">[</w:t>
      </w:r>
      <w:hyperlink w:anchor="ref-1528">
        <w:r>
          <w:rPr>
            <w:rStyle w:val="Hyperlink"/>
            <w:vertAlign w:val="superscript"/>
          </w:rPr>
          <w:t xml:space="preserve">1528</w:t>
        </w:r>
      </w:hyperlink>
      <w:r>
        <w:rPr>
          <w:vertAlign w:val="superscript"/>
        </w:rPr>
        <w:t xml:space="preserve">]</w:t>
      </w:r>
      <w:r>
        <w:t xml:space="preserve">。</w:t>
      </w:r>
    </w:p>
    <w:bookmarkEnd w:id="2438"/>
    <w:bookmarkStart w:id="2439" w:name="sec-147-19"/>
    <w:p>
      <w:pPr>
        <w:pStyle w:val="Heading3"/>
      </w:pPr>
      <w:r>
        <w:t xml:space="preserve">147.19　日常能力与现实使用之间的距离</w:t>
      </w:r>
    </w:p>
    <w:p>
      <w:pPr>
        <w:pStyle w:val="FirstParagraph"/>
      </w:pPr>
      <w:r>
        <w:t xml:space="preserve">患者在治疗室中“能够做到”，与在家中“实际做到”之间可能存在差距。环境布局、任务紧迫性、过去失败经验、照护者习惯和时间成本都会影响使用。若患手在训练中改善，但日常仍完全由另一只手完成任务，持续练习机会可能不足。</w:t>
      </w:r>
    </w:p>
    <w:p>
      <w:pPr>
        <w:pStyle w:val="BodyText"/>
      </w:pPr>
      <w:r>
        <w:t xml:space="preserve">这种差距需要具体解释。患者可能害怕洒水，也可能因为厨房物品过重，或家属为了节省时间总是代劳。不同原因对应不同支持。把所有少用都解释为动机不足，会忽略可改变的环境条件。</w:t>
      </w:r>
    </w:p>
    <w:p>
      <w:pPr>
        <w:pStyle w:val="BodyText"/>
      </w:pPr>
      <w:r>
        <w:t xml:space="preserve">同样，照护者负担属于重要结局。某个策略让患者完成更多任务，却需要家属全天高强度提示，是否可持续需要评估。技术和服务应考虑患者与照护者双方的资源；只在实验室中计算成功次数，反映不了这些负担。</w:t>
      </w:r>
    </w:p>
    <w:bookmarkEnd w:id="2439"/>
    <w:bookmarkStart w:id="2440" w:name="sec-147-20"/>
    <w:p>
      <w:pPr>
        <w:pStyle w:val="Heading3"/>
      </w:pPr>
      <w:r>
        <w:t xml:space="preserve">147.20　社区康复需要真实支持</w:t>
      </w:r>
    </w:p>
    <w:p>
      <w:pPr>
        <w:pStyle w:val="FirstParagraph"/>
      </w:pPr>
      <w:r>
        <w:t xml:space="preserve">早期支持性出院的证据针对有协调团队和适当资源的服务。2017年 Cochrane 综述纳入十七项试验、2422人，支持选择性卒中群体在这些条件下减少依赖及住院时间。它不能被解释为单纯提前结束住院服务就会改善结局，支持部分本身是干预的重要组成</w:t>
      </w:r>
      <w:r>
        <w:rPr>
          <w:vertAlign w:val="superscript"/>
        </w:rPr>
        <w:t xml:space="preserve">[</w:t>
      </w:r>
      <w:hyperlink w:anchor="ref-1613">
        <w:r>
          <w:rPr>
            <w:rStyle w:val="Hyperlink"/>
            <w:vertAlign w:val="superscript"/>
          </w:rPr>
          <w:t xml:space="preserve">1613</w:t>
        </w:r>
      </w:hyperlink>
      <w:r>
        <w:rPr>
          <w:vertAlign w:val="superscript"/>
        </w:rPr>
        <w:t xml:space="preserve">]</w:t>
      </w:r>
      <w:r>
        <w:t xml:space="preserve">。</w:t>
      </w:r>
    </w:p>
    <w:p>
      <w:pPr>
        <w:pStyle w:val="BodyText"/>
      </w:pPr>
      <w:r>
        <w:t xml:space="preserve">从医院到家庭的转换会改变任务环境。医院走廊平整、设备齐全且有人协助，家中可能有楼梯、狭窄浴室或复杂交通。评估需要考虑真实条件，并让患者及伙伴理解何时求助、如何使用设备以及怎样继续目标训练</w:t>
      </w:r>
      <w:r>
        <w:rPr>
          <w:vertAlign w:val="superscript"/>
        </w:rPr>
        <w:t xml:space="preserve">[</w:t>
      </w:r>
      <w:hyperlink w:anchor="ref-1596">
        <w:r>
          <w:rPr>
            <w:rStyle w:val="Hyperlink"/>
            <w:vertAlign w:val="superscript"/>
          </w:rPr>
          <w:t xml:space="preserve">1596</w:t>
        </w:r>
      </w:hyperlink>
      <w:r>
        <w:rPr>
          <w:vertAlign w:val="superscript"/>
        </w:rPr>
        <w:t xml:space="preserve">]</w:t>
      </w:r>
      <w:r>
        <w:t xml:space="preserve">。</w:t>
      </w:r>
    </w:p>
    <w:p>
      <w:pPr>
        <w:pStyle w:val="BodyText"/>
      </w:pPr>
      <w:r>
        <w:t xml:space="preserve">远程康复可以扩大接触机会，同时依赖设备、网络、数字能力和现场安全条件。无法使用技术的人不应因此失去服务。对远程方案的评价应包括参与率、技术故障、实际目标与可能负担，不能仅统计成功连接的次数。</w:t>
      </w:r>
    </w:p>
    <w:bookmarkEnd w:id="2440"/>
    <w:bookmarkStart w:id="2441" w:name="sec-147-21"/>
    <w:p>
      <w:pPr>
        <w:pStyle w:val="Heading3"/>
      </w:pPr>
      <w:r>
        <w:t xml:space="preserve">147.21　对恢复的预测需要避免数学陷阱</w:t>
      </w:r>
    </w:p>
    <w:p>
      <w:pPr>
        <w:pStyle w:val="FirstParagraph"/>
      </w:pPr>
      <w:r>
        <w:t xml:space="preserve">一些研究曾用初始缺损与随后变化之间的强相关，提出固定比例恢复规律。方法分析指出，当变化量包含基线本身，且终点分布受到上限或变异缩小影响时，相关可以被数学耦合放大。高相关并不能直接证明每个人都会恢复失去能力中的固定百分比</w:t>
      </w:r>
      <w:r>
        <w:rPr>
          <w:vertAlign w:val="superscript"/>
        </w:rPr>
        <w:t xml:space="preserve">[</w:t>
      </w:r>
      <w:hyperlink w:anchor="ref-1614">
        <w:r>
          <w:rPr>
            <w:rStyle w:val="Hyperlink"/>
            <w:vertAlign w:val="superscript"/>
          </w:rPr>
          <w:t xml:space="preserve">1614</w:t>
        </w:r>
      </w:hyperlink>
      <w:r>
        <w:rPr>
          <w:vertAlign w:val="superscript"/>
        </w:rPr>
        <w:t xml:space="preserve">]</w:t>
      </w:r>
      <w:r>
        <w:t xml:space="preserve">。</w:t>
      </w:r>
    </w:p>
    <w:p>
      <w:pPr>
        <w:pStyle w:val="BodyText"/>
      </w:pPr>
      <w:r>
        <w:t xml:space="preserve">假设量表上限为一百分，两个患者初始分别为二十和八十分。即使最终分数都因量表上限聚集在九十分附近，基线与变化也会出现很强关系。这个关系的一部分来自计算方式，不能全部解释为共同生物学机制。真正有用的预测还需要在未参与建模的新患者中检验误差。</w:t>
      </w:r>
    </w:p>
    <w:p>
      <w:pPr>
        <w:pStyle w:val="BodyText"/>
      </w:pPr>
      <w:r>
        <w:t xml:space="preserve">预测可以帮助安排支持，但不应成为停止合理训练的自我实现理由。若低预测者随后得到更少服务，结果可能同时反映模型判断和服务差异。研究应清楚记录治疗暴露，临床沟通则应说明预测区间及仍可改变的因素。</w:t>
      </w:r>
    </w:p>
    <w:bookmarkEnd w:id="2441"/>
    <w:bookmarkStart w:id="2442" w:name="sec-147-22"/>
    <w:p>
      <w:pPr>
        <w:pStyle w:val="Heading3"/>
      </w:pPr>
      <w:r>
        <w:t xml:space="preserve">147.22　重要结论的证据边界</w:t>
      </w:r>
    </w:p>
    <w:p>
      <w:pPr>
        <w:pStyle w:val="FirstParagraph"/>
      </w:pPr>
      <w:r>
        <w:t xml:space="preserve">较高置信度的结论包括：康复结局需要区分功能、活动与参与；特定语言及运动干预在明确人群中能够改善部分目标；某些设备或强化方案在大型试验中未达到预期主要终点。中等或条件性置信度适用于把某种训练获益归因于特定网络重组，因为行为和神经机制之间往往仍缺直接验证。对个人最终恢复程度、最佳刺激方向及许多新设备的广泛效果，仍需保留不确定性</w:t>
      </w:r>
      <w:r>
        <w:rPr>
          <w:vertAlign w:val="superscript"/>
        </w:rPr>
        <w:t xml:space="preserve">[</w:t>
      </w:r>
      <w:hyperlink w:anchor="ref-1596">
        <w:r>
          <w:rPr>
            <w:rStyle w:val="Hyperlink"/>
            <w:vertAlign w:val="superscript"/>
          </w:rPr>
          <w:t xml:space="preserve">1596</w:t>
        </w:r>
      </w:hyperlink>
      <w:r>
        <w:rPr>
          <w:vertAlign w:val="superscript"/>
        </w:rPr>
        <w:t xml:space="preserve">,</w:t>
      </w:r>
      <w:hyperlink w:anchor="ref-1597">
        <w:r>
          <w:rPr>
            <w:rStyle w:val="Hyperlink"/>
            <w:vertAlign w:val="superscript"/>
          </w:rPr>
          <w:t xml:space="preserve">1597</w:t>
        </w:r>
      </w:hyperlink>
      <w:r>
        <w:rPr>
          <w:vertAlign w:val="superscript"/>
        </w:rPr>
        <w:t xml:space="preserve">,</w:t>
      </w:r>
      <w:hyperlink w:anchor="ref-1603">
        <w:r>
          <w:rPr>
            <w:rStyle w:val="Hyperlink"/>
            <w:vertAlign w:val="superscript"/>
          </w:rPr>
          <w:t xml:space="preserve">1603</w:t>
        </w:r>
      </w:hyperlink>
      <w:r>
        <w:rPr>
          <w:vertAlign w:val="superscript"/>
        </w:rPr>
        <w:t xml:space="preserve">,</w:t>
      </w:r>
      <w:hyperlink w:anchor="ref-1604">
        <w:r>
          <w:rPr>
            <w:rStyle w:val="Hyperlink"/>
            <w:vertAlign w:val="superscript"/>
          </w:rPr>
          <w:t xml:space="preserve">1604</w:t>
        </w:r>
      </w:hyperlink>
      <w:r>
        <w:rPr>
          <w:vertAlign w:val="superscript"/>
        </w:rPr>
        <w:t xml:space="preserve">]</w:t>
      </w:r>
      <w:r>
        <w:t xml:space="preserve">。</w:t>
      </w:r>
    </w:p>
    <w:p>
      <w:pPr>
        <w:pStyle w:val="BodyText"/>
      </w:pPr>
      <w:r>
        <w:t xml:space="preserve">康复的科学精度来自把问题问得具体：哪个任务受限，哪个环节可以改变，改变是否保持，能否进入真实生活，以及患者是否认为这种改善值得。这样的框架允许训练、辅助工具、环境和社会支持共同发挥作用，并使每一种作用都能被清楚检验。</w:t>
      </w:r>
    </w:p>
    <w:bookmarkEnd w:id="2442"/>
    <w:bookmarkEnd w:id="2443"/>
    <w:bookmarkEnd w:id="2444"/>
    <w:bookmarkStart w:id="5971" w:name="part-14"/>
    <w:p>
      <w:pPr>
        <w:pStyle w:val="Heading1"/>
      </w:pPr>
      <w:r>
        <w:t xml:space="preserve">第十四编　前沿问题</w:t>
      </w:r>
    </w:p>
    <w:p>
      <w:pPr>
        <w:pStyle w:val="PartIntro"/>
      </w:pPr>
      <w:r>
        <w:t xml:space="preserve">这一编讨论几个正在快速推进、结论尚未稳定的方向：意识理论与意识障碍中的隐匿认知，神经编码与群体动态，计算模型与人工神经网络能在多大程度上解释生物大脑，计算精神病学，脑机接口与神经数据治理，人源干细胞与脑类器官，以及遗传性神经退行性疾病的分子治疗。读这一编时，尤其要区分已经验证的结果、有希望的线索和尚未检验的设想。</w:t>
      </w:r>
    </w:p>
    <w:bookmarkStart w:id="2457" w:name="ch-148"/>
    <w:p>
      <w:pPr>
        <w:pStyle w:val="Heading2"/>
      </w:pPr>
      <w:r>
        <w:t xml:space="preserve">第148章　意识理论、意识障碍与隐匿的认知能力</w:t>
      </w:r>
    </w:p>
    <w:p>
      <w:pPr>
        <w:pStyle w:val="CalloutJudgment"/>
      </w:pPr>
      <w:r>
        <w:rPr>
          <w:bCs/>
          <w:b/>
        </w:rPr>
        <w:t xml:space="preserve">核心判断与置信度</w:t>
      </w:r>
      <w:r>
        <w:t xml:space="preserve">　意识研究必须区分清醒程度、具体体验、可报告信息、注意、记忆和执行反应。行为缺乏反应可能掩盖认知能力；一次神经检测阴性也不能独立证明体验缺失。对这些区分的必要性，置信度高。对哪一种理论完整解释主观体验，目前仍存在重大分歧</w:t>
      </w:r>
      <w:r>
        <w:rPr>
          <w:vertAlign w:val="superscript"/>
        </w:rPr>
        <w:t xml:space="preserve">[</w:t>
      </w:r>
      <w:hyperlink w:anchor="ref-578">
        <w:r>
          <w:rPr>
            <w:rStyle w:val="Hyperlink"/>
            <w:vertAlign w:val="superscript"/>
          </w:rPr>
          <w:t xml:space="preserve">578</w:t>
        </w:r>
      </w:hyperlink>
      <w:r>
        <w:rPr>
          <w:vertAlign w:val="superscript"/>
        </w:rPr>
        <w:t xml:space="preserve">,</w:t>
      </w:r>
      <w:hyperlink w:anchor="ref-1615">
        <w:r>
          <w:rPr>
            <w:rStyle w:val="Hyperlink"/>
            <w:vertAlign w:val="superscript"/>
          </w:rPr>
          <w:t xml:space="preserve">1615</w:t>
        </w:r>
      </w:hyperlink>
      <w:r>
        <w:rPr>
          <w:vertAlign w:val="superscript"/>
        </w:rPr>
        <w:t xml:space="preserve">]</w:t>
      </w:r>
      <w:r>
        <w:t xml:space="preserve">。</w:t>
      </w:r>
    </w:p>
    <w:bookmarkStart w:id="2445" w:name="sec-148-1"/>
    <w:p>
      <w:pPr>
        <w:pStyle w:val="Heading3"/>
      </w:pPr>
      <w:r>
        <w:t xml:space="preserve">148.1　一个词包含哪些不同问题</w:t>
      </w:r>
    </w:p>
    <w:p>
      <w:pPr>
        <w:pStyle w:val="FirstParagraph"/>
      </w:pPr>
      <w:r>
        <w:t xml:space="preserve">“有意识”在日常使用中可以指醒着、知道环境、能够回答问题、记得刚才发生的事，或者对自己作为主体有所体验。这些含义存在联系，但无法全部压缩成同一个开关。科学研究需要说明要解释的是系统是否具有任何体验，还是某个具体内容为什么进入体验。前者常称状态或水平问题，后者属于内容问题。</w:t>
      </w:r>
    </w:p>
    <w:p>
      <w:pPr>
        <w:pStyle w:val="BodyText"/>
      </w:pPr>
      <w:r>
        <w:t xml:space="preserve">清醒和体验也不能简单排成一条刻度。闭眼睡眠、睁眼但缺乏可靠互动、药物影响和脑损伤会形成不同组合。一个人缺乏动作输出时，外部观察者能够获取的信息减少；这属于测量困难。是否存在主观体验则属于被测对象。把观察手段的限制当成对象的定义，会在研究开始前预设答案。</w:t>
      </w:r>
    </w:p>
    <w:p>
      <w:pPr>
        <w:pStyle w:val="BodyText"/>
      </w:pPr>
      <w:r>
        <w:t xml:space="preserve">意识内容可以是视觉、疼痛、声音、身体位置、情绪或思想。它们需要共享某些实现条件，也可以具有不同局部机制。一个理论若只研究清楚看见简单图形的情境，就需要额外论证如何推广到梦、身体自我感或复杂思考。将有限实验称作“意识之谜已经解决”，通常遗漏了这些推广步骤。</w:t>
      </w:r>
    </w:p>
    <w:p>
      <w:pPr>
        <w:pStyle w:val="BodyText"/>
      </w:pPr>
      <w:r>
        <w:t xml:space="preserve">主观报告提供了无法轻易替代的资料，同时报告需要理解问题、记住体验、选择答案并执行反应。某些神经活动可能支持其中的后续环节。研究者希望分离体验本身与报告相关过程，因此需要让任务结构承担更多控制工作，不能把所有伴随“我看见了”的活动都直接命名为意识机制。</w:t>
      </w:r>
    </w:p>
    <w:bookmarkEnd w:id="2445"/>
    <w:bookmarkStart w:id="2446" w:name="sec-148-2"/>
    <w:p>
      <w:pPr>
        <w:pStyle w:val="Heading3"/>
      </w:pPr>
      <w:r>
        <w:t xml:space="preserve">148.2　神经相关物和形成条件</w:t>
      </w:r>
    </w:p>
    <w:p>
      <w:pPr>
        <w:pStyle w:val="FirstParagraph"/>
      </w:pPr>
      <w:r>
        <w:t xml:space="preserve">与意识变化共同变化的信号，可以出现在体验形成之前、形成过程中或形成之后。前置条件包括感觉通路能够提供输入、系统具有适当唤醒状态等；构成过程涉及被理论认为实现体验的活动；后续结果包括记忆、判断和报告。仅凭时间上的接近或统计相关，通常难以把三者完全分离。</w:t>
      </w:r>
    </w:p>
    <w:p>
      <w:pPr>
        <w:pStyle w:val="BodyText"/>
      </w:pPr>
      <w:r>
        <w:t xml:space="preserve">一个假设实验让参与者在两个条件下观看同一图像，其中一个条件需要报告，另一个条件无需报告。如果某额叶信号只在报告时出现，它可能主要反映任务或报告；但还需检查不报告时的注意、动机和理解是否变化。如果某后部信号在两个条件均出现，也需要验证它究竟跟随主观内容还是物理刺激。</w:t>
      </w:r>
    </w:p>
    <w:p>
      <w:pPr>
        <w:pStyle w:val="BodyText"/>
      </w:pPr>
      <w:r>
        <w:t xml:space="preserve">必要性和充分性研究可以提供更强约束。损害某过程后体验改变，支持该过程在相应条件中具有作用；人为产生某活动并引出特定体验，也能形成重要证据。两类结论都需要考虑干预范围、间接影响和系统状态。局部刺激引出的报告仍需通过完整感觉、记忆和语言系统表达。</w:t>
      </w:r>
    </w:p>
    <w:p>
      <w:pPr>
        <w:pStyle w:val="BodyText"/>
      </w:pPr>
      <w:r>
        <w:t xml:space="preserve">“最小神经相关物”中的最小也依赖实验分辨率。宏观区域能够进一步分解成细胞群、时间窗口和连接模式。现有方法观察不到的差异，可能仍对体验重要。因此，最小是相对于给定尺度和证据范围的研究目标，无法仅凭一张激活图最终确定。</w:t>
      </w:r>
    </w:p>
    <w:bookmarkEnd w:id="2446"/>
    <w:bookmarkStart w:id="2447" w:name="sec-148-3"/>
    <w:p>
      <w:pPr>
        <w:pStyle w:val="Heading3"/>
      </w:pPr>
      <w:r>
        <w:t xml:space="preserve">148.3　全局工作空间的可检验主张</w:t>
      </w:r>
    </w:p>
    <w:p>
      <w:pPr>
        <w:pStyle w:val="FirstParagraph"/>
      </w:pPr>
      <w:r>
        <w:t xml:space="preserve">全局神经工作空间模型把有意识进入与信息在多个系统之间的广泛可用性联系起来。其生物实现强调长程连接和非线性放大，使某些输入能够被记忆、决策和报告共同使用。该模型产生关于时间过程、信息广播和任务可访问性的预测</w:t>
      </w:r>
      <w:r>
        <w:rPr>
          <w:vertAlign w:val="superscript"/>
        </w:rPr>
        <w:t xml:space="preserve">[</w:t>
      </w:r>
      <w:hyperlink w:anchor="ref-576">
        <w:r>
          <w:rPr>
            <w:rStyle w:val="Hyperlink"/>
            <w:vertAlign w:val="superscript"/>
          </w:rPr>
          <w:t xml:space="preserve">576</w:t>
        </w:r>
      </w:hyperlink>
      <w:r>
        <w:rPr>
          <w:vertAlign w:val="superscript"/>
        </w:rPr>
        <w:t xml:space="preserve">]</w:t>
      </w:r>
      <w:r>
        <w:t xml:space="preserve">。</w:t>
      </w:r>
    </w:p>
    <w:p>
      <w:pPr>
        <w:pStyle w:val="BodyText"/>
      </w:pPr>
      <w:r>
        <w:t xml:space="preserve">教学上可以设想一个视觉信号最初只影响局部加工，随后在某些条件下持续影响不同任务。若理论把后一步视作意识进入，就应预测哪些活动出现、何时出现，以及这些活动与报告准备之间怎样分离。实验需要独立操控可见性和任务要求，使广播预测能够面对不依赖某一种报告的检验。</w:t>
      </w:r>
    </w:p>
    <w:p>
      <w:pPr>
        <w:pStyle w:val="BodyText"/>
      </w:pPr>
      <w:r>
        <w:t xml:space="preserve">一个常见困难是把“全局”定义得过于宽泛。如果任何跨区域影响都算全局，许多无意识调节也会符合定义。若只把能够口头报告的过程定义为全局，则又可能把报告能力预先写进结论。明确参与系统、传播方向、时间和信息内容，有助于提高理论的可失败性。</w:t>
      </w:r>
    </w:p>
    <w:p>
      <w:pPr>
        <w:pStyle w:val="BodyText"/>
      </w:pPr>
      <w:r>
        <w:t xml:space="preserve">非线性转变也需要与测量过程区分。行为回答常由连续证据经过决策阈值产生，看起来具有突然变化；神经平均信号也可能因试次混合呈现突跃。要支持特定的神经点火机制，需要比较连续模型、阈值模型以及试次层面的预测，避免只用平均曲线形状完成判断。</w:t>
      </w:r>
    </w:p>
    <w:bookmarkEnd w:id="2447"/>
    <w:bookmarkStart w:id="2448" w:name="sec-148-4"/>
    <w:p>
      <w:pPr>
        <w:pStyle w:val="Heading3"/>
      </w:pPr>
      <w:r>
        <w:t xml:space="preserve">148.4　整合信息的理论与测量</w:t>
      </w:r>
    </w:p>
    <w:p>
      <w:pPr>
        <w:pStyle w:val="FirstParagraph"/>
      </w:pPr>
      <w:r>
        <w:t xml:space="preserve">整合信息理论从体验的某些性质提出关于物理系统因果结构的要求。IIT 4.0给出相应的形式化框架，强调系统对自身的内在因果作用以及不可约的结构。理论中的数学量依赖明确模型和状态，不能与任意脑电熵或连接度直接等同</w:t>
      </w:r>
      <w:r>
        <w:rPr>
          <w:vertAlign w:val="superscript"/>
        </w:rPr>
        <w:t xml:space="preserve">[</w:t>
      </w:r>
      <w:hyperlink w:anchor="ref-1616">
        <w:r>
          <w:rPr>
            <w:rStyle w:val="Hyperlink"/>
            <w:vertAlign w:val="superscript"/>
          </w:rPr>
          <w:t xml:space="preserve">1616</w:t>
        </w:r>
      </w:hyperlink>
      <w:r>
        <w:rPr>
          <w:vertAlign w:val="superscript"/>
        </w:rPr>
        <w:t xml:space="preserve">]</w:t>
      </w:r>
      <w:r>
        <w:t xml:space="preserve">。</w:t>
      </w:r>
    </w:p>
    <w:p>
      <w:pPr>
        <w:pStyle w:val="BodyText"/>
      </w:pPr>
      <w:r>
        <w:t xml:space="preserve">可以用一个纯粹教学模型说明整合与相关的区别。两个显示器播放同一段影片，输出高度相关，但若彼此没有因果作用，这种相关本身不能证明它们构成一个相互影响的系统。相反，一个具有反馈的网络可能出现复杂因果依赖，即使某一时刻的相关系数不高。测量相关与分析因果组织回答不同问题。</w:t>
      </w:r>
    </w:p>
    <w:p>
      <w:pPr>
        <w:pStyle w:val="BodyText"/>
      </w:pPr>
      <w:r>
        <w:t xml:space="preserve">真实脑系统具有大量隐藏状态和连续变化，精确获得完整转移规律非常困难。因此，实验常测量理论启发的可行指标，或检验理论所提出的生物实现预测。指标可以具有临床价值，同时仍只是理论的部分代理。代理指标表现好，也不能单独证明理论全部哲学与数学前提。</w:t>
      </w:r>
    </w:p>
    <w:p>
      <w:pPr>
        <w:pStyle w:val="BodyText"/>
      </w:pPr>
      <w:r>
        <w:t xml:space="preserve">复杂性同样需要拆解。完全随机的噪声可以难以压缩，却未必具有稳定的相互作用或有用的信息处理。高度整齐同步的系统可以具有强共同变化，却缺乏丰富差异。理论希望解释的是特定组织形式，不能用“越复杂越有意识”取代对复杂性的定义。</w:t>
      </w:r>
    </w:p>
    <w:bookmarkEnd w:id="2448"/>
    <w:bookmarkStart w:id="2449" w:name="sec-148-5"/>
    <w:p>
      <w:pPr>
        <w:pStyle w:val="Heading3"/>
      </w:pPr>
      <w:r>
        <w:t xml:space="preserve">148.5　理论之间怎样进行公平比较</w:t>
      </w:r>
    </w:p>
    <w:p>
      <w:pPr>
        <w:pStyle w:val="FirstParagraph"/>
      </w:pPr>
      <w:r>
        <w:t xml:space="preserve">公平比较首先要求各方在数据出现前说明预测、分析规则和失败条件。若一种理论允许事后更换关键脑区，另一种理论却必须坚持精确时点，比较便不对称。理论的核心原则、辅助假设和测量实现需要分别记录，使失败能够定位到明确部分。</w:t>
      </w:r>
    </w:p>
    <w:p>
      <w:pPr>
        <w:pStyle w:val="BodyText"/>
      </w:pPr>
      <w:r>
        <w:t xml:space="preserve">2025年COGITATE合作研究预先比较IIT与全局神经工作空间的若干预测，共采集256名参与者的数据，使用功能磁共振、脑磁图和颅内脑电三类测量；质量控制后的分析人数需按具体模态和分析区分。研究主要使用清晰可见的阈上刺激，检验内容、持续时间和连接的预注册预测。结果支持两种理论的部分预测，也挑战各自关键预测；这种设计约束特定视觉意识条件下的生物实现，尚不能对所有意识情境或IIT全部形式公理作最终裁决（该研究另见</w:t>
      </w:r>
      <w:r>
        <w:t xml:space="preserve"> </w:t>
      </w:r>
      <w:hyperlink w:anchor="sec-53-11">
        <w:r>
          <w:rPr>
            <w:rStyle w:val="Hyperlink"/>
          </w:rPr>
          <w:t xml:space="preserve">53.11</w:t>
        </w:r>
      </w:hyperlink>
      <w:r>
        <w:t xml:space="preserve">）</w:t>
      </w:r>
      <w:r>
        <w:rPr>
          <w:vertAlign w:val="superscript"/>
        </w:rPr>
        <w:t xml:space="preserve">[</w:t>
      </w:r>
      <w:hyperlink w:anchor="ref-578">
        <w:r>
          <w:rPr>
            <w:rStyle w:val="Hyperlink"/>
            <w:vertAlign w:val="superscript"/>
          </w:rPr>
          <w:t xml:space="preserve">578</w:t>
        </w:r>
      </w:hyperlink>
      <w:r>
        <w:rPr>
          <w:vertAlign w:val="superscript"/>
        </w:rPr>
        <w:t xml:space="preserve">]</w:t>
      </w:r>
      <w:r>
        <w:t xml:space="preserve">。</w:t>
      </w:r>
    </w:p>
    <w:p>
      <w:pPr>
        <w:pStyle w:val="BodyText"/>
      </w:pPr>
      <w:r>
        <w:t xml:space="preserve">这类结果的科学意义包括迫使理论提出更具体的约束。某个预期信号缺失时，应先检验测量灵敏度和操作是否成功，再判断哪项预测受到挑战。理论修订可以合理发生，但修订应形成可在新资料中检验的预测。若修改只让既有结果重新被解释为成功，理论就没有增加前瞻信息。</w:t>
      </w:r>
    </w:p>
    <w:p>
      <w:pPr>
        <w:pStyle w:val="BodyText"/>
      </w:pPr>
      <w:r>
        <w:t xml:space="preserve">理论研究还需要避免单一指标竞赛。两个模型可以在分类准确率相近时，对神经时间过程、损伤效应或错误类型产生不同预测。多维约束能够减少模型之间的观察等价。衡量进展时，应看解释范围和失败风险如何变化，不能只统计支持某理论的论文数量。</w:t>
      </w:r>
    </w:p>
    <w:bookmarkEnd w:id="2449"/>
    <w:bookmarkStart w:id="2450" w:name="sec-148-6"/>
    <w:p>
      <w:pPr>
        <w:pStyle w:val="Heading3"/>
      </w:pPr>
      <w:r>
        <w:t xml:space="preserve">148.6　无报告范式的贡献与限制</w:t>
      </w:r>
    </w:p>
    <w:p>
      <w:pPr>
        <w:pStyle w:val="FirstParagraph"/>
      </w:pPr>
      <w:r>
        <w:t xml:space="preserve">无报告范式尝试利用眼动、瞳孔或其他经验证的指标追踪感知内容，从而减少主动报告相关的活动。这一思路有助于识别报告带来的混杂，相关方法讨论也强调需要把报告与无报告条件结合起来</w:t>
      </w:r>
      <w:r>
        <w:rPr>
          <w:vertAlign w:val="superscript"/>
        </w:rPr>
        <w:t xml:space="preserve">[</w:t>
      </w:r>
      <w:hyperlink w:anchor="ref-1617">
        <w:r>
          <w:rPr>
            <w:rStyle w:val="Hyperlink"/>
            <w:vertAlign w:val="superscript"/>
          </w:rPr>
          <w:t xml:space="preserve">1617</w:t>
        </w:r>
      </w:hyperlink>
      <w:r>
        <w:rPr>
          <w:vertAlign w:val="superscript"/>
        </w:rPr>
        <w:t xml:space="preserve">]</w:t>
      </w:r>
      <w:r>
        <w:t xml:space="preserve">。</w:t>
      </w:r>
    </w:p>
    <w:p>
      <w:pPr>
        <w:pStyle w:val="BodyText"/>
      </w:pPr>
      <w:r>
        <w:t xml:space="preserve">代理指标需要在适当条件下验证。若眼动能够在一类视觉竞争任务中追踪体验，不能立即推广到所有视觉内容，更不能直接推广到其他物种、睡眠或重度脑损伤。验证范围应与实际使用范围对应。一个代理在健康人中有效，也可能在眼肌或脑干功能异常时失效。</w:t>
      </w:r>
    </w:p>
    <w:p>
      <w:pPr>
        <w:pStyle w:val="BodyText"/>
      </w:pPr>
      <w:r>
        <w:t xml:space="preserve">取消报告还可能同时降低注意、期待和任务投入。因此，观察到活动减少时，研究应区分减少的是报告动作、注意资源、记忆需求还是体验内容。理想设计通过多个条件分别操控这些因素，并保持核心刺激尽量可比。无报告减少一种困难，同时产生需要重新处理的推断条件。</w:t>
      </w:r>
    </w:p>
    <w:p>
      <w:pPr>
        <w:pStyle w:val="BodyText"/>
      </w:pPr>
      <w:r>
        <w:t xml:space="preserve">完全依靠报告也有相应限制。参与者可能采用不同反应标准，低信心回答与完全无体验难以清楚区分。分级主观评价、客观任务和信号检测分析可以互相补充。任何单一指标都需要通过与其他指标的关系证明其测量意义。</w:t>
      </w:r>
    </w:p>
    <w:bookmarkEnd w:id="2450"/>
    <w:bookmarkStart w:id="2451" w:name="sec-148-7"/>
    <w:p>
      <w:pPr>
        <w:pStyle w:val="Heading3"/>
      </w:pPr>
      <w:r>
        <w:t xml:space="preserve">148.7　意识障碍中的行为与能力</w:t>
      </w:r>
    </w:p>
    <w:p>
      <w:pPr>
        <w:pStyle w:val="FirstParagraph"/>
      </w:pPr>
      <w:r>
        <w:t xml:space="preserve">临床上的昏迷、无反应觉醒综合征和最小意识状态，涉及不同的清醒与行为表现。闭锁综合征则可保留意识和认知，同时严重限制动作表达。准确区分这些情况需要专门评估，日常用语中的“植物人”不能承担完整临床分类</w:t>
      </w:r>
      <w:r>
        <w:rPr>
          <w:vertAlign w:val="superscript"/>
        </w:rPr>
        <w:t xml:space="preserve">[</w:t>
      </w:r>
      <w:hyperlink w:anchor="ref-1618">
        <w:r>
          <w:rPr>
            <w:rStyle w:val="Hyperlink"/>
            <w:vertAlign w:val="superscript"/>
          </w:rPr>
          <w:t xml:space="preserve">1618</w:t>
        </w:r>
      </w:hyperlink>
      <w:r>
        <w:rPr>
          <w:vertAlign w:val="superscript"/>
        </w:rPr>
        <w:t xml:space="preserve">]</w:t>
      </w:r>
      <w:r>
        <w:t xml:space="preserve">。</w:t>
      </w:r>
    </w:p>
    <w:p>
      <w:pPr>
        <w:pStyle w:val="BodyText"/>
      </w:pPr>
      <w:r>
        <w:t xml:space="preserve">行为检查需要完整的输入输出链：能够接收指令、理解内容、维持注意、计划反应、执行动作，并让观察者可靠识别。链条中任何一处受损，都可能产生缺少反应。由此可以理解，某些没有可见动作的人仍可能在神经任务中表现出指令相关变化，这种情形称为认知运动分离。</w:t>
      </w:r>
    </w:p>
    <w:p>
      <w:pPr>
        <w:pStyle w:val="BodyText"/>
      </w:pPr>
      <w:r>
        <w:t xml:space="preserve">但神经任务同样具有需求。要求想象某动作时，参与者需要理解语言、记住规则、持续想象，并处于足够稳定的状态。检测结果还受到采集质量和统计阈值影响。即使一个人具有部分意识，也可能无法完成这套任务。因此，对阴性结果的解释应保留任务失败与检测失败的可能。</w:t>
      </w:r>
    </w:p>
    <w:p>
      <w:pPr>
        <w:pStyle w:val="BodyText"/>
      </w:pPr>
      <w:r>
        <w:t xml:space="preserve">2024年六中心方便样本研究包含353名成人。在241名床旁无可见指令反应者中，60人出现任务相关fMRI或EEG反应，约占25%；112名有可见指令反应者中，仅43人（约38%）出现该神经任务反应，其余约62%能在床旁执行指令，神经任务结果却为阴性。这组数据既支持隐匿认知能力的存在，也显示神经任务阴性不能直接排除意识</w:t>
      </w:r>
      <w:r>
        <w:rPr>
          <w:vertAlign w:val="superscript"/>
        </w:rPr>
        <w:t xml:space="preserve">[</w:t>
      </w:r>
      <w:hyperlink w:anchor="ref-1615">
        <w:r>
          <w:rPr>
            <w:rStyle w:val="Hyperlink"/>
            <w:vertAlign w:val="superscript"/>
          </w:rPr>
          <w:t xml:space="preserve">1615</w:t>
        </w:r>
      </w:hyperlink>
      <w:r>
        <w:rPr>
          <w:vertAlign w:val="superscript"/>
        </w:rPr>
        <w:t xml:space="preserve">]</w:t>
      </w:r>
      <w:r>
        <w:t xml:space="preserve">。</w:t>
      </w:r>
    </w:p>
    <w:p>
      <w:pPr>
        <w:pStyle w:val="BodyText"/>
      </w:pPr>
      <w:r>
        <w:t xml:space="preserve">方便样本的比例受到转诊、存活、病因、损伤后时间及检测方式影响。它不能直接成为所有急性昏迷患者的总体比例。将某组的25%写成“任何昏迷者四分之一都完全清醒”，同时扩大了抽样范围与认知含义。更准确的问题是在哪些人、什么时点、通过何种任务能够检测到何种能力。</w:t>
      </w:r>
    </w:p>
    <w:bookmarkEnd w:id="2451"/>
    <w:bookmarkStart w:id="2452" w:name="sec-148-8"/>
    <w:p>
      <w:pPr>
        <w:pStyle w:val="Heading3"/>
      </w:pPr>
      <w:r>
        <w:t xml:space="preserve">148.8　扰动复杂性与状态评估</w:t>
      </w:r>
    </w:p>
    <w:p>
      <w:pPr>
        <w:pStyle w:val="FirstParagraph"/>
      </w:pPr>
      <w:r>
        <w:t xml:space="preserve">扰动复杂性指数使用经颅磁刺激与脑电记录，分析扰动后反应的时空复杂性，旨在减少对感觉输入和主动行为的依赖。Casali等提出并检验了这一方法，为状态评估提供了不同于指令任务的观察角度</w:t>
      </w:r>
      <w:r>
        <w:rPr>
          <w:vertAlign w:val="superscript"/>
        </w:rPr>
        <w:t xml:space="preserve">[</w:t>
      </w:r>
      <w:hyperlink w:anchor="ref-1619">
        <w:r>
          <w:rPr>
            <w:rStyle w:val="Hyperlink"/>
            <w:vertAlign w:val="superscript"/>
          </w:rPr>
          <w:t xml:space="preserve">1619</w:t>
        </w:r>
      </w:hyperlink>
      <w:r>
        <w:rPr>
          <w:vertAlign w:val="superscript"/>
        </w:rPr>
        <w:t xml:space="preserve">]</w:t>
      </w:r>
      <w:r>
        <w:t xml:space="preserve">。</w:t>
      </w:r>
    </w:p>
    <w:p>
      <w:pPr>
        <w:pStyle w:val="BodyText"/>
      </w:pPr>
      <w:r>
        <w:t xml:space="preserve">这种方法的推断价值来自主动施加扰动后观察系统反应。局部短暂响应与广泛分化响应可能对网络状态具有不同含义。但刺激位置、头部结构、药物、电极噪声和处理流程仍会影响结果。一个指数能否跨设备和临床情境使用，需要校准及外部验证。</w:t>
      </w:r>
    </w:p>
    <w:p>
      <w:pPr>
        <w:pStyle w:val="BodyText"/>
      </w:pPr>
      <w:r>
        <w:t xml:space="preserve">阈值还涉及错误代价。将阈值设得较低，可能提高检出同时增加假阳性；设得较高，可能减少假阳性同时遗漏一些具有能力者。临床判断需将指标与重复行为评估、病史、结构损伤和其他检查结合。单个数值不能承担全部诊断、预后和价值决策。</w:t>
      </w:r>
    </w:p>
    <w:p>
      <w:pPr>
        <w:pStyle w:val="BodyText"/>
      </w:pPr>
      <w:r>
        <w:t xml:space="preserve">状态识别与未来恢复也属于不同问题。一个指标能够识别当前具有复杂反应的系统，并不自动告诉我们多久恢复沟通、能恢复多少独立生活能力。预测研究必须明确结局和时间，并处理治疗、撤除支持和随访选择对结果的影响。</w:t>
      </w:r>
    </w:p>
    <w:bookmarkEnd w:id="2452"/>
    <w:bookmarkStart w:id="2453" w:name="sec-148-9"/>
    <w:p>
      <w:pPr>
        <w:pStyle w:val="Heading3"/>
      </w:pPr>
      <w:r>
        <w:t xml:space="preserve">148.9　诊断、预后和照护需要分别论证</w:t>
      </w:r>
    </w:p>
    <w:p>
      <w:pPr>
        <w:pStyle w:val="FirstParagraph"/>
      </w:pPr>
      <w:r>
        <w:t xml:space="preserve">诊断描述当前状态，预后估计未来轨迹，治疗判断某种行动是否改善结局，照护价值则涉及患者利益与意愿。四个问题彼此相关，但不能用同一个研究结果全部回答。检测到指令相关活动能够改变能力判断，仍需更多资料评价交流方式和恢复概率。</w:t>
      </w:r>
    </w:p>
    <w:p>
      <w:pPr>
        <w:pStyle w:val="BodyText"/>
      </w:pPr>
      <w:r>
        <w:t xml:space="preserve">2018年多学会指南主要针对持续至少28天的意识障碍，强调识别混杂情况、改善唤醒条件和采用重复的标准化评估。它同时要求谨慎处理预后不确定性，并重视疼痛评估与照护。指南中的人群、时间条件和推荐等级需要保留，不能把某项建议扩展到所有意识障碍</w:t>
      </w:r>
      <w:r>
        <w:rPr>
          <w:vertAlign w:val="superscript"/>
        </w:rPr>
        <w:t xml:space="preserve">[</w:t>
      </w:r>
      <w:hyperlink w:anchor="ref-1618">
        <w:r>
          <w:rPr>
            <w:rStyle w:val="Hyperlink"/>
            <w:vertAlign w:val="superscript"/>
          </w:rPr>
          <w:t xml:space="preserve">1618</w:t>
        </w:r>
      </w:hyperlink>
      <w:r>
        <w:rPr>
          <w:vertAlign w:val="superscript"/>
        </w:rPr>
        <w:t xml:space="preserve">]</w:t>
      </w:r>
      <w:r>
        <w:t xml:space="preserve">。</w:t>
      </w:r>
    </w:p>
    <w:p>
      <w:pPr>
        <w:pStyle w:val="BodyText"/>
      </w:pPr>
      <w:r>
        <w:t xml:space="preserve">家属提供的日常观察可以形成重要线索，但偶然动作与有目的反应的区分需要可重复条件。研究团队可以事先定义指令、反应窗口和对照时段，比较反应是否随指令系统变化。尊重家属经验与使用严谨测量能够同时成立。</w:t>
      </w:r>
    </w:p>
    <w:p>
      <w:pPr>
        <w:pStyle w:val="BodyText"/>
      </w:pPr>
      <w:r>
        <w:t xml:space="preserve">预后模型还容易受到自我实现过程影响。如果某个早期指标导致减少治疗，而减少治疗影响后来结果，指标与差结局的联系就同时包含医疗决策的贡献。研究需要记录这些决策，并尽可能使用透明的设计和敏感性分析。预测准确并不自动证明观察到的是未经干预的自然轨迹。</w:t>
      </w:r>
    </w:p>
    <w:bookmarkEnd w:id="2453"/>
    <w:bookmarkStart w:id="2454" w:name="sec-148-10"/>
    <w:p>
      <w:pPr>
        <w:pStyle w:val="Heading3"/>
      </w:pPr>
      <w:r>
        <w:t xml:space="preserve">148.10　脑死亡与意识障碍的概念边界</w:t>
      </w:r>
    </w:p>
    <w:p>
      <w:pPr>
        <w:pStyle w:val="FirstParagraph"/>
      </w:pPr>
      <w:r>
        <w:t xml:space="preserve">按神经学标准判定死亡具有严格的临床条件和程序，与长期缺乏行为反应属于不同诊断问题。2023年美国多学会共识规定了前提条件、临床检查和辅助检验，2024年期刊又刊出了对该共识的更正；具体执行仍需遵循所在地区适用规范。不能凭一次低反应、影像异常或“叫不醒”自行作出这一判断</w:t>
      </w:r>
      <w:r>
        <w:rPr>
          <w:vertAlign w:val="superscript"/>
        </w:rPr>
        <w:t xml:space="preserve">[</w:t>
      </w:r>
      <w:hyperlink w:anchor="ref-1620">
        <w:r>
          <w:rPr>
            <w:rStyle w:val="Hyperlink"/>
            <w:vertAlign w:val="superscript"/>
          </w:rPr>
          <w:t xml:space="preserve">1620</w:t>
        </w:r>
      </w:hyperlink>
      <w:r>
        <w:rPr>
          <w:vertAlign w:val="superscript"/>
        </w:rPr>
        <w:t xml:space="preserve">]</w:t>
      </w:r>
      <w:r>
        <w:t xml:space="preserve">。</w:t>
      </w:r>
    </w:p>
    <w:p>
      <w:pPr>
        <w:pStyle w:val="BodyText"/>
      </w:pPr>
      <w:r>
        <w:t xml:space="preserve">这一概念边界对理解新闻非常重要。报道中恢复互动的患者，先前可能处于昏迷或其他意识障碍。若报道没有提供按规范完成死亡判定的证据，就不能把故事改写为“已经确认脑死亡后又恢复”。准确使用诊断词，能够减少对患者和家属造成的混乱。</w:t>
      </w:r>
    </w:p>
    <w:p>
      <w:pPr>
        <w:pStyle w:val="BodyText"/>
      </w:pPr>
      <w:r>
        <w:t xml:space="preserve">本书在此说明概念及证据结构，不提供可由读者自行执行的判定流程。涉及具体患者的检查有效性、药物影响和生理条件，必须由具备资格的临床团队结合完整资料处理。概念讨论不能取代这一专业过程。</w:t>
      </w:r>
    </w:p>
    <w:bookmarkEnd w:id="2454"/>
    <w:bookmarkStart w:id="2455" w:name="sec-148-11"/>
    <w:p>
      <w:pPr>
        <w:pStyle w:val="Heading3"/>
      </w:pPr>
      <w:r>
        <w:t xml:space="preserve">148.11　人工系统和动物意识的推断</w:t>
      </w:r>
    </w:p>
    <w:p>
      <w:pPr>
        <w:pStyle w:val="FirstParagraph"/>
      </w:pPr>
      <w:r>
        <w:t xml:space="preserve">把意识研究推广到无法语言报告的对象时，需要更多依赖行为、神经组织和理论预测。观察到学习、回避或灵活决策具有信息价值，但这些能力与体验之间的关系仍需要论证。不同能力可以为推断提供不同强度的支持，无法简单汇总成一个确定的意识分数。</w:t>
      </w:r>
    </w:p>
    <w:p>
      <w:pPr>
        <w:pStyle w:val="BodyText"/>
      </w:pPr>
      <w:r>
        <w:t xml:space="preserve">人工系统能够生成关于感受的语言，说明系统具有相关输出能力；该输出如何产生、是否与内部体验对应，仍是独立问题。将模型自述直接当作体验证据，会让结论高度依赖训练材料与提示方式。完全忽视所有组织和功能证据，也会阻碍可检验研究。合理工作应明确理论前提、竞争解释与不确定性。</w:t>
      </w:r>
    </w:p>
    <w:p>
      <w:pPr>
        <w:pStyle w:val="BodyText"/>
      </w:pPr>
      <w:r>
        <w:t xml:space="preserve">伦理考虑可以在科学尚不确定时采取审慎权衡，但必须公开价值判断。担忧潜在体验者受到伤害，是一个与证明其确有体验不同的论证。科学能够改善对能力和机制的估计，社会仍需讨论可接受的风险、责任和保护范围。</w:t>
      </w:r>
    </w:p>
    <w:bookmarkEnd w:id="2455"/>
    <w:bookmarkStart w:id="2456" w:name="sec-148-12"/>
    <w:p>
      <w:pPr>
        <w:pStyle w:val="Heading3"/>
      </w:pPr>
      <w:r>
        <w:t xml:space="preserve">148.12　综合推理练习</w:t>
      </w:r>
    </w:p>
    <w:p>
      <w:pPr>
        <w:pStyle w:val="FirstParagraph"/>
      </w:pPr>
      <w:r>
        <w:t xml:space="preserve">假设一名患者在一次床旁检查中没有按指令抬手，随后一次神经想象任务也未达到统计阈值。能够得到的结论是两次检测均未观察到指定反应。要推到完全缺乏意识，还需要排除输入、理解、注意、动作、任务实施和测量灵敏度等解释。阴性结果的意义取决于这一排除工作完成到什么程度。</w:t>
      </w:r>
    </w:p>
    <w:p>
      <w:pPr>
        <w:pStyle w:val="BodyText"/>
      </w:pPr>
      <w:r>
        <w:t xml:space="preserve">再假设同一患者在预先定义的两个想象任务中出现可重复、可区分的模式。该发现支持保留某些指令理解和任务执行能力。若进一步希望用它表达“是”与“否”，还需要验证编码规则、错误率、跨日稳定性和本人意图。一次成功分类不能立即转化成可靠的重大医疗决策渠道。</w:t>
      </w:r>
    </w:p>
    <w:p>
      <w:pPr>
        <w:pStyle w:val="BodyText"/>
      </w:pPr>
      <w:r>
        <w:rPr>
          <w:bCs/>
          <w:b/>
        </w:rPr>
        <w:t xml:space="preserve">本章结论</w:t>
      </w:r>
      <w:r>
        <w:t xml:space="preserve">　意识研究的进步依赖把体验、任务、报告、状态和测量层次逐一拆开。理论竞争需要预先预测，临床评估需要重复与互补方法。阳性结果应保留它直接证明的能力；阴性结果应保留检测条件造成的限制。未知可以被精确界定，并据此设计下一步研究。</w:t>
      </w:r>
    </w:p>
    <w:bookmarkEnd w:id="2456"/>
    <w:bookmarkEnd w:id="2457"/>
    <w:bookmarkStart w:id="2485" w:name="ch-149"/>
    <w:p>
      <w:pPr>
        <w:pStyle w:val="Heading2"/>
      </w:pPr>
      <w:r>
        <w:t xml:space="preserve">第149章　神经编码、信息与群体动态</w:t>
      </w:r>
    </w:p>
    <w:p>
      <w:pPr>
        <w:pStyle w:val="CalloutJudgment"/>
      </w:pPr>
      <w:r>
        <w:rPr>
          <w:bCs/>
          <w:b/>
        </w:rPr>
        <w:t xml:space="preserve">核心判断与置信度</w:t>
      </w:r>
      <w:r>
        <w:t xml:space="preserve">　神经活动能够以多种方式与刺激、身体状态和行为相关，群体记录可以检验其中哪些信息具有可靠的可读出性。信息量、解码性能、行为使用和具体生物实现分别需要定义。关于这些层次必须区分的判断，置信度高；关于所有脑区共用一种固定编码规则的主张，当前证据不足。定量模型的价值在于提出可比较的预测，并把其假设暴露给实验检验。</w:t>
      </w:r>
    </w:p>
    <w:bookmarkStart w:id="2458" w:name="sec-149-1"/>
    <w:p>
      <w:pPr>
        <w:pStyle w:val="Heading3"/>
      </w:pPr>
      <w:r>
        <w:t xml:space="preserve">149.1　编码问题首先需要随机变量</w:t>
      </w:r>
    </w:p>
    <w:p>
      <w:pPr>
        <w:pStyle w:val="FirstParagraph"/>
      </w:pPr>
      <w:r>
        <w:t xml:space="preserve">设刺激为S，神经响应为R。一个编码模型可以描述给定刺激时不同响应出现的概率，即p(R|S)。响应可以是某个时间窗中的放电数、多个细胞组成的向量、精确发放时刻或连续测量信号。选择哪种响应定义，会决定研究保留什么信息，也决定估计所需的数据量。</w:t>
      </w:r>
    </w:p>
    <w:p>
      <w:pPr>
        <w:pStyle w:val="BodyText"/>
      </w:pPr>
      <w:r>
        <w:t xml:space="preserve">解码模型从响应估计刺激或行为，涉及p(S|R)或某种预测函数。将编码方向反过来需要考虑刺激的先验概率。一个很少出现的刺激，即使产生相对特异的活动，在实际环境中的后验概率仍可能受到基率限制。编码关系与解码关系因此不能只靠语言上的倒置互换。</w:t>
      </w:r>
    </w:p>
    <w:p>
      <w:pPr>
        <w:pStyle w:val="BodyText"/>
      </w:pPr>
      <w:r>
        <w:t xml:space="preserve">刺激定义也有层次。研究者可以把同一张图片标成物体类别、颜色、形状或语义。神经响应与其中一个标签相关，可能同时包含其他属性的作用。标签之间的相关结构需要通过实验设计或竞争模型处理，才能进一步解释系统究竟对哪些特征敏感</w:t>
      </w:r>
      <w:r>
        <w:rPr>
          <w:vertAlign w:val="superscript"/>
        </w:rPr>
        <w:t xml:space="preserve">[</w:t>
      </w:r>
      <w:hyperlink w:anchor="ref-1621">
        <w:r>
          <w:rPr>
            <w:rStyle w:val="Hyperlink"/>
            <w:vertAlign w:val="superscript"/>
          </w:rPr>
          <w:t xml:space="preserve">1621</w:t>
        </w:r>
      </w:hyperlink>
      <w:r>
        <w:rPr>
          <w:vertAlign w:val="superscript"/>
        </w:rPr>
        <w:t xml:space="preserve">,</w:t>
      </w:r>
      <w:hyperlink w:anchor="ref-1622">
        <w:r>
          <w:rPr>
            <w:rStyle w:val="Hyperlink"/>
            <w:vertAlign w:val="superscript"/>
          </w:rPr>
          <w:t xml:space="preserve">1622</w:t>
        </w:r>
      </w:hyperlink>
      <w:r>
        <w:rPr>
          <w:vertAlign w:val="superscript"/>
        </w:rPr>
        <w:t xml:space="preserve">]</w:t>
      </w:r>
      <w:r>
        <w:t xml:space="preserve">。</w:t>
      </w:r>
    </w:p>
    <w:bookmarkEnd w:id="2458"/>
    <w:bookmarkStart w:id="2459" w:name="sec-149-2"/>
    <w:p>
      <w:pPr>
        <w:pStyle w:val="Heading3"/>
      </w:pPr>
      <w:r>
        <w:t xml:space="preserve">149.2　放电率与发放时刻</w:t>
      </w:r>
    </w:p>
    <w:p>
      <w:pPr>
        <w:pStyle w:val="FirstParagraph"/>
      </w:pPr>
      <w:r>
        <w:t xml:space="preserve">放电率通常表示一定时间窗内的事件数量除以时间。它便于统计，但会舍弃窗内顺序。两个试次都出现五次放电，可能分别集中在刺激开始时或均匀散布于整个窗口；若下游突触对短时密集活动与分散活动的反应不同，两种序列可以具有不同作用。</w:t>
      </w:r>
    </w:p>
    <w:p>
      <w:pPr>
        <w:pStyle w:val="BodyText"/>
      </w:pPr>
      <w:r>
        <w:t xml:space="preserve">时间编码的意义取决于参照。首次放电潜伏期需要一个事件起点，振荡相位需要一个可估计的节律，细胞间相对时序需要同时记录。宣称某个毫秒级差异具有信息，必须检查仪器精度、事件对齐与生物读出是否能够利用该差异。</w:t>
      </w:r>
    </w:p>
    <w:p>
      <w:pPr>
        <w:pStyle w:val="BodyText"/>
      </w:pPr>
      <w:r>
        <w:t xml:space="preserve">放电率和时间结构可以在不同尺度上同时有用。短窗计数保留部分时间信息，长窗计数更强调平均活动。比较编码方式时，应尽量固定输入资料和评价目标，说明时间分辨率改变后预测提高多少，以及提高是否在独立数据中保持。不能只凭图形看起来精细就断言存在额外功能。</w:t>
      </w:r>
    </w:p>
    <w:bookmarkEnd w:id="2459"/>
    <w:bookmarkStart w:id="2460" w:name="sec-149-3"/>
    <w:p>
      <w:pPr>
        <w:pStyle w:val="Heading3"/>
      </w:pPr>
      <w:r>
        <w:t xml:space="preserve">149.3　熵量化不确定性</w:t>
      </w:r>
    </w:p>
    <w:p>
      <w:pPr>
        <w:pStyle w:val="FirstParagraph"/>
      </w:pPr>
      <w:r>
        <w:t xml:space="preserve">对离散变量，香农熵把各结果的概率与其对数结合，用来量化平均不确定性。以2为对数底时，单位为比特。两个等概率结果的熵为1比特；四个等概率结果的熵为2比特。如果某一个结果几乎总是发生，观察前的不确定性就较小</w:t>
      </w:r>
      <w:r>
        <w:rPr>
          <w:vertAlign w:val="superscript"/>
        </w:rPr>
        <w:t xml:space="preserve">[</w:t>
      </w:r>
      <w:hyperlink w:anchor="ref-1623">
        <w:r>
          <w:rPr>
            <w:rStyle w:val="Hyperlink"/>
            <w:vertAlign w:val="superscript"/>
          </w:rPr>
          <w:t xml:space="preserve">1623</w:t>
        </w:r>
      </w:hyperlink>
      <w:r>
        <w:rPr>
          <w:vertAlign w:val="superscript"/>
        </w:rPr>
        <w:t xml:space="preserve">]</w:t>
      </w:r>
      <w:r>
        <w:t xml:space="preserve">。</w:t>
      </w:r>
    </w:p>
    <w:p>
      <w:pPr>
        <w:pStyle w:val="BodyText"/>
      </w:pPr>
      <w:r>
        <w:t xml:space="preserve">熵取决于概率分布。一个系统有一千种可能状态，不代表每次观察都携带同样多的信息，因为许多状态可能极少出现或受到强约束。状态数量、平均不确定性和有用信息是不同概念。将神经元数量简单换算为记忆容量，会忽略这些分布和实现条件。</w:t>
      </w:r>
    </w:p>
    <w:p>
      <w:pPr>
        <w:pStyle w:val="BodyText"/>
      </w:pPr>
      <w:r>
        <w:t xml:space="preserve">信息论中的“信息”具有明确的统计含义，无法直接等同知识、理解、意义或价值。一串难以预测的随机数字可以具有高熵，却未必帮助解决任务。信息量也不自动说明信息真实：一个稳定反映错误标签的信号仍可能与该标签具有强统计关系。</w:t>
      </w:r>
    </w:p>
    <w:bookmarkEnd w:id="2460"/>
    <w:bookmarkStart w:id="2461" w:name="sec-149-4"/>
    <w:p>
      <w:pPr>
        <w:pStyle w:val="Heading3"/>
      </w:pPr>
      <w:r>
        <w:t xml:space="preserve">149.4　互信息与一个可复算例子</w:t>
      </w:r>
    </w:p>
    <w:p>
      <w:pPr>
        <w:pStyle w:val="FirstParagraph"/>
      </w:pPr>
      <w:r>
        <w:t xml:space="preserve">互信息描述观察R后，关于S的不确定性平均减少多少。对离散变量可以写成I(S;R)=H(S)−H(S|R)。互信息在数学上对S与R对称，因此它本身不提供因果方向。共同原因、直接影响或测量选择都可能造成统计依赖</w:t>
      </w:r>
      <w:r>
        <w:rPr>
          <w:vertAlign w:val="superscript"/>
        </w:rPr>
        <w:t xml:space="preserve">[</w:t>
      </w:r>
      <w:hyperlink w:anchor="ref-1623">
        <w:r>
          <w:rPr>
            <w:rStyle w:val="Hyperlink"/>
            <w:vertAlign w:val="superscript"/>
          </w:rPr>
          <w:t xml:space="preserve">1623</w:t>
        </w:r>
      </w:hyperlink>
      <w:r>
        <w:rPr>
          <w:vertAlign w:val="superscript"/>
        </w:rPr>
        <w:t xml:space="preserve">]</w:t>
      </w:r>
      <w:r>
        <w:t xml:space="preserve">。</w:t>
      </w:r>
    </w:p>
    <w:p>
      <w:pPr>
        <w:pStyle w:val="BodyText"/>
      </w:pPr>
      <w:r>
        <w:t xml:space="preserve">假设S只有0和1两个等概率取值，R有90%的概率等于S，并以10%的概率翻转；翻转概率不依赖S。此时刺激熵为1比特，给定响应后的条件熵约为0.469比特，互信息约为0.531比特。这是二元对称通道的教学计算，不能用来估计现实脑组织的容量。</w:t>
      </w:r>
    </w:p>
    <w:p>
      <w:pPr>
        <w:pStyle w:val="BodyText"/>
      </w:pPr>
      <w:r>
        <w:t xml:space="preserve">如果把刺激概率改成99%与1%，即使保持相同的翻转机制，原始不确定性和互信息也会变化。较高的分类正确率可能主要来自总是选择常见类别。因此，信息分析和分类分析都必须保留标签分布，不能把不同任务的数字直接排列成统一能力榜单。</w:t>
      </w:r>
    </w:p>
    <w:bookmarkEnd w:id="2461"/>
    <w:bookmarkStart w:id="2462" w:name="sec-149-5"/>
    <w:p>
      <w:pPr>
        <w:pStyle w:val="Heading3"/>
      </w:pPr>
      <w:r>
        <w:t xml:space="preserve">149.5　信息处理不等式的条件</w:t>
      </w:r>
    </w:p>
    <w:p>
      <w:pPr>
        <w:pStyle w:val="FirstParagraph"/>
      </w:pPr>
      <w:r>
        <w:t xml:space="preserve">如果一个处理过程只接收R，并由R生成Z，没有额外取得关于S的资料，那么Z关于S的香农互信息不会超过R关于S的互信息，即I(S;Z)≤I(S;R)。它可以去除与任务无关的变化、改变表达格式，使某个受限读出器更容易使用已有信息，但不能凭空增加原来没有获得的统计信息</w:t>
      </w:r>
      <w:r>
        <w:rPr>
          <w:vertAlign w:val="superscript"/>
        </w:rPr>
        <w:t xml:space="preserve">[</w:t>
      </w:r>
      <w:hyperlink w:anchor="ref-1623">
        <w:r>
          <w:rPr>
            <w:rStyle w:val="Hyperlink"/>
            <w:vertAlign w:val="superscript"/>
          </w:rPr>
          <w:t xml:space="preserve">1623</w:t>
        </w:r>
      </w:hyperlink>
      <w:r>
        <w:rPr>
          <w:vertAlign w:val="superscript"/>
        </w:rPr>
        <w:t xml:space="preserve">]</w:t>
      </w:r>
      <w:r>
        <w:t xml:space="preserve">。</w:t>
      </w:r>
    </w:p>
    <w:p>
      <w:pPr>
        <w:pStyle w:val="BodyText"/>
      </w:pPr>
      <w:r>
        <w:t xml:space="preserve">这个结论需要保持条件。若系统另外得到上下文、记忆或新的感觉输入，信息来源已经增加；若比较的是特定分类器的正确率，换一种表示也可以提高该分类器的成绩。把这些情况与纯粹无外部输入的处理混在一起，会产生表面矛盾。</w:t>
      </w:r>
    </w:p>
    <w:p>
      <w:pPr>
        <w:pStyle w:val="BodyText"/>
      </w:pPr>
      <w:r>
        <w:t xml:space="preserve">神经系统常在多种输入之间整合信息，因此局部区域的可解码信息增加，可能来自新输入、记忆提取、任务选择或表示变换。研究需要界定系统边界与条件变量，才能讨论“信息在何处产生、保留或丢失”。</w:t>
      </w:r>
    </w:p>
    <w:bookmarkEnd w:id="2462"/>
    <w:bookmarkStart w:id="2463" w:name="sec-149-6"/>
    <w:p>
      <w:pPr>
        <w:pStyle w:val="Heading3"/>
      </w:pPr>
      <w:r>
        <w:t xml:space="preserve">149.6　有限样本怎样扭曲信息估计</w:t>
      </w:r>
    </w:p>
    <w:p>
      <w:pPr>
        <w:pStyle w:val="FirstParagraph"/>
      </w:pPr>
      <w:r>
        <w:t xml:space="preserve">概率需要从有限数据估计。响应类别很多而每类样本少时，某些偶然组合可能看起来具有特异关系，直接代入估计的互信息容易偏离真实值。增加时间分辨率或细胞数量会迅速增加可能响应空间，因此更丰富的记录也带来更困难的估计问题。</w:t>
      </w:r>
    </w:p>
    <w:p>
      <w:pPr>
        <w:pStyle w:val="BodyText"/>
      </w:pPr>
      <w:r>
        <w:t xml:space="preserve">可以通过明确的概率模型、偏倚校正、交叉验证、置换与模拟检验评估这种问题。每种方法都有条件。例如，置换标签需要尊重时间、试次、个体和任务区组的结构；忽略这些依赖关系可能构造不适当的零分布。修正后的数值仍应报告不确定性。</w:t>
      </w:r>
    </w:p>
    <w:p>
      <w:pPr>
        <w:pStyle w:val="BodyText"/>
      </w:pPr>
      <w:r>
        <w:t xml:space="preserve">信息量接近零也需要解释测量能力。信号可能很弱，响应定义可能舍弃了关键时序，或者分析只覆盖少量细胞。一个特定测量中的阴性结果，不能排除其他通道或时间尺度中的信息。结论应与所观察的系统部分相匹配。</w:t>
      </w:r>
    </w:p>
    <w:bookmarkEnd w:id="2463"/>
    <w:bookmarkStart w:id="2464" w:name="sec-149-7"/>
    <w:p>
      <w:pPr>
        <w:pStyle w:val="Heading3"/>
      </w:pPr>
      <w:r>
        <w:t xml:space="preserve">149.7　调谐曲线与局部辨别精度</w:t>
      </w:r>
    </w:p>
    <w:p>
      <w:pPr>
        <w:pStyle w:val="FirstParagraph"/>
      </w:pPr>
      <w:r>
        <w:t xml:space="preserve">调谐曲线描述某个响应统计量怎样随刺激变化。曲线的峰值表示在特定条件下反应较强的位置，但最强反应的位置不一定最有利于区分邻近刺激。局部斜率较陡时，小幅刺激变化可以产生较明显的平均响应差异；噪声越大，这种差异越难可靠识别。</w:t>
      </w:r>
    </w:p>
    <w:p>
      <w:pPr>
        <w:pStyle w:val="BodyText"/>
      </w:pPr>
      <w:r>
        <w:t xml:space="preserve">Fisher信息把局部响应分布对刺激变化的敏感性形式化。在适当正则条件和无偏估计等假设下，它与估计方差的理论下界相关。这个界给出特定统计模型下的理论约束，不能假定真实神经读出必然达到。不同噪声与先验条件也会改变最佳读出方式</w:t>
      </w:r>
      <w:r>
        <w:rPr>
          <w:vertAlign w:val="superscript"/>
        </w:rPr>
        <w:t xml:space="preserve">[</w:t>
      </w:r>
      <w:hyperlink w:anchor="ref-1624">
        <w:r>
          <w:rPr>
            <w:rStyle w:val="Hyperlink"/>
            <w:vertAlign w:val="superscript"/>
          </w:rPr>
          <w:t xml:space="preserve">1624</w:t>
        </w:r>
      </w:hyperlink>
      <w:r>
        <w:rPr>
          <w:vertAlign w:val="superscript"/>
        </w:rPr>
        <w:t xml:space="preserve">]</w:t>
      </w:r>
      <w:r>
        <w:t xml:space="preserve">。</w:t>
      </w:r>
    </w:p>
    <w:p>
      <w:pPr>
        <w:pStyle w:val="BodyText"/>
      </w:pPr>
      <w:r>
        <w:t xml:space="preserve">一个简化教学例子中，响应为平均值随刺激改变、方差固定的高斯变量。其局部信息随均值变化率的平方增加，并随噪声方差增加而减少。若斜率加倍而方差不变，信息变为四倍；若方差也变为四倍，则这两种变化抵消。该比例只适用于已经说明的简化模型。</w:t>
      </w:r>
    </w:p>
    <w:bookmarkEnd w:id="2464"/>
    <w:bookmarkStart w:id="2465" w:name="sec-149-8"/>
    <w:p>
      <w:pPr>
        <w:pStyle w:val="Heading3"/>
      </w:pPr>
      <w:r>
        <w:t xml:space="preserve">149.8　群体向量与读出假设</w:t>
      </w:r>
    </w:p>
    <w:p>
      <w:pPr>
        <w:pStyle w:val="FirstParagraph"/>
      </w:pPr>
      <w:r>
        <w:t xml:space="preserve">群体向量模型把每个细胞的偏好方向与活动权重结合，再求和得到一个方向估计。Georgopoulos等1986年的运动皮层研究提供了经典实证例子，显示群体活动的加权组合能够与运动方向对应。这种模型把分散响应连接到可检验的输出，但不能单独证明下游回路实际执行完全相同的运算</w:t>
      </w:r>
      <w:r>
        <w:rPr>
          <w:vertAlign w:val="superscript"/>
        </w:rPr>
        <w:t xml:space="preserve">[</w:t>
      </w:r>
      <w:hyperlink w:anchor="ref-1625">
        <w:r>
          <w:rPr>
            <w:rStyle w:val="Hyperlink"/>
            <w:vertAlign w:val="superscript"/>
          </w:rPr>
          <w:t xml:space="preserve">1625</w:t>
        </w:r>
      </w:hyperlink>
      <w:r>
        <w:rPr>
          <w:vertAlign w:val="superscript"/>
        </w:rPr>
        <w:t xml:space="preserve">]</w:t>
      </w:r>
      <w:r>
        <w:t xml:space="preserve">。</w:t>
      </w:r>
    </w:p>
    <w:p>
      <w:pPr>
        <w:pStyle w:val="BodyText"/>
      </w:pPr>
      <w:r>
        <w:t xml:space="preserve">对教学模型，假设两个单位分别偏好水平和垂直方向，并以正权重响应。两权重相等时，合成向量指向两方向之间；水平权重更大时，估计更靠近水平方向。现实模型还需处理基线、负向偏差、方向覆盖、非均匀采样与噪声，不能只沿用这个最简单几何图像。</w:t>
      </w:r>
    </w:p>
    <w:p>
      <w:pPr>
        <w:pStyle w:val="BodyText"/>
      </w:pPr>
      <w:r>
        <w:t xml:space="preserve">读出规则可以是线性的，也可以包含非线性、时间积分和状态依赖。一个实验上性能优秀的解码器可能使用大量训练资料或全局优化，其实现条件与实际神经回路不同。将它作为信息存在的检验是合理的；要进一步主张生物使用该规则，还需要连接、时间和干预证据。</w:t>
      </w:r>
    </w:p>
    <w:bookmarkEnd w:id="2465"/>
    <w:bookmarkStart w:id="2466" w:name="sec-149-9"/>
    <w:p>
      <w:pPr>
        <w:pStyle w:val="Heading3"/>
      </w:pPr>
      <w:r>
        <w:t xml:space="preserve">149.9　信号相关与噪声相关</w:t>
      </w:r>
    </w:p>
    <w:p>
      <w:pPr>
        <w:pStyle w:val="FirstParagraph"/>
      </w:pPr>
      <w:r>
        <w:t xml:space="preserve">两个细胞对一组刺激的平均调谐相似，可以称为信号相关。对同一刺激重复呈现时，两个细胞的逐次偏离是否共同变化，则涉及噪声相关。这里“噪声”通常表示当前实验模型尚未解释的变化，其中可能包含真实的内部状态、动作或未记录输入。</w:t>
      </w:r>
    </w:p>
    <w:p>
      <w:pPr>
        <w:pStyle w:val="BodyText"/>
      </w:pPr>
      <w:r>
        <w:t xml:space="preserve">两类相关不能从同一条未经分解的时间序列直接读出。若刺激本身缓慢变化，细胞共同响应刺激就能形成相关；若忽略觉醒、眼动或身体动作，也可能把这些共同影响归入噪声。分析必须说明条件化了哪些变量和使用什么时间窗。</w:t>
      </w:r>
    </w:p>
    <w:p>
      <w:pPr>
        <w:pStyle w:val="BodyText"/>
      </w:pPr>
      <w:r>
        <w:t xml:space="preserve">相关的功能后果依赖群体几何。共享变化如果沿着区分刺激所需的方向，会使不同刺激的响应更加难以分辨；如果主要沿着与该区分无关的方向，影响可以不同。平均相关系数的高低不足以概括全部编码质量</w:t>
      </w:r>
      <w:r>
        <w:rPr>
          <w:vertAlign w:val="superscript"/>
        </w:rPr>
        <w:t xml:space="preserve">[</w:t>
      </w:r>
      <w:hyperlink w:anchor="ref-1626">
        <w:r>
          <w:rPr>
            <w:rStyle w:val="Hyperlink"/>
            <w:vertAlign w:val="superscript"/>
          </w:rPr>
          <w:t xml:space="preserve">1626</w:t>
        </w:r>
      </w:hyperlink>
      <w:r>
        <w:rPr>
          <w:vertAlign w:val="superscript"/>
        </w:rPr>
        <w:t xml:space="preserve">]</w:t>
      </w:r>
      <w:r>
        <w:t xml:space="preserve">。</w:t>
      </w:r>
    </w:p>
    <w:bookmarkEnd w:id="2466"/>
    <w:bookmarkStart w:id="2471" w:name="sec-149-10"/>
    <w:p>
      <w:pPr>
        <w:pStyle w:val="Heading3"/>
      </w:pPr>
      <w:r>
        <w:t xml:space="preserve">149.10　为什么增加细胞数不总能无限改善精度</w:t>
      </w:r>
    </w:p>
    <w:p>
      <w:pPr>
        <w:pStyle w:val="FirstParagraph"/>
      </w:pPr>
      <w:r>
        <w:t xml:space="preserve">在一个明确假设的模型中，N个单位具有相同噪声方差σ²，任意两单位的噪声相关都为ρ，其平均值方差等于σ²乘以“1/N加上ρ乘以(N−1)/N”。当ρ为0时，平均值方差随N增加而减小；当ρ保持正值时，方差趋向ρσ²。该例展示共同波动如何限制简单平均。</w:t>
      </w:r>
    </w:p>
    <w:p>
      <w:pPr>
        <w:pStyle w:val="BodyText"/>
      </w:pPr>
      <w:r>
        <w:t xml:space="preserve">这种等相关模型只是特殊情况，还必须满足合法协方差矩阵的条件。真实细胞的调谐、方差和相关通常不同。研究群体信息需要把信号变化方向与噪声协方差共同考虑，不能从单一平均相关直接推导极限。</w:t>
      </w:r>
    </w:p>
    <w:p>
      <w:pPr>
        <w:pStyle w:val="BodyText"/>
      </w:pPr>
      <w:r>
        <w:t xml:space="preserve">Moreno-Bote等2014年的理论与网络模拟进一步分析了与刺激变化方向相关的特定噪声结构如何限制大群体信息。该工作强调限制可以由很小但方向关键的相关成分产生。它支持精确分析相关结构，不能被改写成“所有同步都有害”或“完全去相关就达到最优”</w:t>
      </w:r>
      <w:r>
        <w:rPr>
          <w:vertAlign w:val="superscript"/>
        </w:rPr>
        <w:t xml:space="preserve">[</w:t>
      </w:r>
      <w:hyperlink w:anchor="ref-1626">
        <w:r>
          <w:rPr>
            <w:rStyle w:val="Hyperlink"/>
            <w:vertAlign w:val="superscript"/>
          </w:rPr>
          <w:t xml:space="preserve">1626</w:t>
        </w:r>
      </w:hyperlink>
      <w:r>
        <w:rPr>
          <w:vertAlign w:val="superscript"/>
        </w:rPr>
        <w:t xml:space="preserve">]</w:t>
      </w:r>
      <w:r>
        <w:t xml:space="preserve">。</w:t>
      </w:r>
    </w:p>
    <w:p>
      <w:pPr>
        <w:pStyle w:val="Figure"/>
      </w:pPr>
      <w:r>
        <w:drawing>
          <wp:inline>
            <wp:extent cx="5334000" cy="3259666"/>
            <wp:effectExtent b="0" l="0" r="0" t="0"/>
            <wp:docPr descr="图D6 相同噪声相关在不同信号方向下的后果。两面板均为假设二维高斯响应，两个单位的方差均为1、相关均为0.8，刺激均值之间的欧氏距离相同。椭圆表示距各均值马氏距离为1的等密度轮廓，没有规定为68%概率区域。在线性最优读出及相同协方差假设下，均值差的马氏长度给出d′，两面板约为1.26与3.79。该教学例子只说明相关结构须结合信号方向解释，未使用真实神经数据。[D081][D083]" title="" id="2468" name="Picture"/>
            <a:graphic>
              <a:graphicData uri="http://schemas.openxmlformats.org/drawingml/2006/picture">
                <pic:pic>
                  <pic:nvPicPr>
                    <pic:cNvPr descr="/tmp/claude-0/-home-user-i18ns/3184e246-229e-5a65-b6f3-3f7647a222c4/scratchpad/src/B_media/media/image15.png" id="2469" name="Picture"/>
                    <pic:cNvPicPr>
                      <a:picLocks noChangeArrowheads="1" noChangeAspect="1"/>
                    </pic:cNvPicPr>
                  </pic:nvPicPr>
                  <pic:blipFill>
                    <a:blip r:embed="rId2467"/>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bookmarkStart w:id="2470" w:name="fig-d6"/>
      <w:bookmarkEnd w:id="2470"/>
      <w:r>
        <w:rPr>
          <w:bCs/>
          <w:b/>
        </w:rPr>
        <w:t xml:space="preserve">图 17　</w:t>
      </w:r>
      <w:r>
        <w:t xml:space="preserve">相同噪声相关在不同信号方向下的后果。两面板均为假设二维高斯响应，两个单位的方差均为1、相关均为0.8，刺激均值之间的欧氏距离相同。椭圆表示距各均值马氏距离为1的等密度轮廓，没有规定为68%概率区域。在线性最优读出及相同协方差假设下，均值差的马氏长度给出d′，两面板约为1.26与3.79。该教学例子只说明相关结构须结合信号方向解释，未使用真实神经数据</w:t>
      </w:r>
      <w:r>
        <w:rPr>
          <w:vertAlign w:val="superscript"/>
        </w:rPr>
        <w:t xml:space="preserve">[</w:t>
      </w:r>
      <w:hyperlink w:anchor="ref-1624">
        <w:r>
          <w:rPr>
            <w:rStyle w:val="Hyperlink"/>
            <w:vertAlign w:val="superscript"/>
          </w:rPr>
          <w:t xml:space="preserve">1624</w:t>
        </w:r>
      </w:hyperlink>
      <w:r>
        <w:rPr>
          <w:vertAlign w:val="superscript"/>
        </w:rPr>
        <w:t xml:space="preserve">,</w:t>
      </w:r>
      <w:hyperlink w:anchor="ref-1626">
        <w:r>
          <w:rPr>
            <w:rStyle w:val="Hyperlink"/>
            <w:vertAlign w:val="superscript"/>
          </w:rPr>
          <w:t xml:space="preserve">1626</w:t>
        </w:r>
      </w:hyperlink>
      <w:r>
        <w:rPr>
          <w:vertAlign w:val="superscript"/>
        </w:rPr>
        <w:t xml:space="preserve">]</w:t>
      </w:r>
      <w:r>
        <w:t xml:space="preserve">。</w:t>
      </w:r>
    </w:p>
    <w:bookmarkEnd w:id="2471"/>
    <w:bookmarkStart w:id="2472" w:name="sec-149-11"/>
    <w:p>
      <w:pPr>
        <w:pStyle w:val="Heading3"/>
      </w:pPr>
      <w:r>
        <w:t xml:space="preserve">149.11　混合选择性与组合规则</w:t>
      </w:r>
    </w:p>
    <w:p>
      <w:pPr>
        <w:pStyle w:val="FirstParagraph"/>
      </w:pPr>
      <w:r>
        <w:t xml:space="preserve">一个细胞可能同时依赖刺激、规则、位置、时间和行动，而这些作用还可以彼此交互。若响应仅为各变量独立作用的相加，属于一种较简单的混合形式；若一个变量的作用取决于另一个变量的值，就出现非线性交互。两者对群体表示可实现的区分能力具有不同影响。</w:t>
      </w:r>
    </w:p>
    <w:p>
      <w:pPr>
        <w:pStyle w:val="BodyText"/>
      </w:pPr>
      <w:r>
        <w:t xml:space="preserve">考虑一个纯教学任务：两个二值线索相同时回答甲，不同时回答乙。在仅使用原来两个坐标的平面上，这种分类无法由一条直线完成。加入能够反映两个线索组合关系的非线性特征后，简单线性读出就可以完成。这个例子说明表示变换如何改变读出难度，不要求实际细胞采用同一种公式。</w:t>
      </w:r>
    </w:p>
    <w:p>
      <w:pPr>
        <w:pStyle w:val="BodyText"/>
      </w:pPr>
      <w:r>
        <w:t xml:space="preserve">Rigotti等2013年分析两只猴的237个外侧前额叶神经元，任务要求记住两个物体及其顺序，并在再认与回忆规则之间切换。群体分析与理论支持混合选择性在这种任务中的计算作用。记录单元数量与动物数量必须分别报告；非同时记录形成的伪群体也不能恢复真实逐试次噪声相关</w:t>
      </w:r>
      <w:r>
        <w:rPr>
          <w:vertAlign w:val="superscript"/>
        </w:rPr>
        <w:t xml:space="preserve">[</w:t>
      </w:r>
      <w:hyperlink w:anchor="ref-1627">
        <w:r>
          <w:rPr>
            <w:rStyle w:val="Hyperlink"/>
            <w:vertAlign w:val="superscript"/>
          </w:rPr>
          <w:t xml:space="preserve">1627</w:t>
        </w:r>
      </w:hyperlink>
      <w:r>
        <w:rPr>
          <w:vertAlign w:val="superscript"/>
        </w:rPr>
        <w:t xml:space="preserve">]</w:t>
      </w:r>
      <w:r>
        <w:t xml:space="preserve">。</w:t>
      </w:r>
    </w:p>
    <w:bookmarkEnd w:id="2472"/>
    <w:bookmarkStart w:id="2473" w:name="sec-149-12"/>
    <w:p>
      <w:pPr>
        <w:pStyle w:val="Heading3"/>
      </w:pPr>
      <w:r>
        <w:t xml:space="preserve">149.12　群体状态空间</w:t>
      </w:r>
    </w:p>
    <w:p>
      <w:pPr>
        <w:pStyle w:val="FirstParagraph"/>
      </w:pPr>
      <w:r>
        <w:t xml:space="preserve">同时记录N个细胞时，可以把某一时刻的N个响应放在一起，形成一个N维状态。时间推进后，状态在这个空间中形成轨迹。轨迹描述群体协调变化，避免只在每个细胞中寻找一个固定心理标签。维度是数学坐标数量，不能直接理解为独立心理能力的数量。</w:t>
      </w:r>
    </w:p>
    <w:p>
      <w:pPr>
        <w:pStyle w:val="BodyText"/>
      </w:pPr>
      <w:r>
        <w:t xml:space="preserve">潜在状态模型假定较少的变量能够解释一部分共同变化，再通过观察模型产生测量信号。若群体活动主要分布在高维状态空间中某个低维结构附近，研究者常把这一结构称为神经流形，其估计维度和形状依赖所选方法与任务范围。潜在变量可能对预测很有用，但它们的坐标、旋转和尺度可能并不唯一。一个模型中的第一维不能因为与选择相关，就自动获得“决策中心”的实体地位。</w:t>
      </w:r>
    </w:p>
    <w:p>
      <w:pPr>
        <w:pStyle w:val="BodyText"/>
      </w:pPr>
      <w:r>
        <w:t xml:space="preserve">状态空间还需要明确输入。神经系统持续接收感觉、身体、调质和其他脑区的信息。若模型省略这些输入，可能把输入造成的变化吸收到内部动态中。拟合成功之后，需要进一步比较不同输入假设和干预条件。</w:t>
      </w:r>
    </w:p>
    <w:bookmarkEnd w:id="2473"/>
    <w:bookmarkStart w:id="2474" w:name="sec-149-13"/>
    <w:p>
      <w:pPr>
        <w:pStyle w:val="Heading3"/>
      </w:pPr>
      <w:r>
        <w:t xml:space="preserve">149.13　固定点、吸引子与稳定性</w:t>
      </w:r>
    </w:p>
    <w:p>
      <w:pPr>
        <w:pStyle w:val="FirstParagraph"/>
      </w:pPr>
      <w:r>
        <w:t xml:space="preserve">在动力系统中，固定点是状态更新为零的位置；如果从足够接近该点的初始状态出发，轨迹始终停留在其附近并随时间趋向该点，则称该固定点局部渐近稳定。吸引子可以具有更复杂的形式，包括周期轨道或连续状态集合。这些是对动力学性质的描述，需要通过模型和数据检验。</w:t>
      </w:r>
    </w:p>
    <w:p>
      <w:pPr>
        <w:pStyle w:val="BodyText"/>
      </w:pPr>
      <w:r>
        <w:t xml:space="preserve">“状态持续存在”不足以单独证明吸引子。持续输入、缓慢细胞过程或测量平滑都可能产生类似外观。更有区分力的证据包括受控扰动后的恢复方向、不同初始条件的收敛，以及模型对新刺激和错误试次的预测。稳定性应相对于具体时间尺度讨论。</w:t>
      </w:r>
    </w:p>
    <w:p>
      <w:pPr>
        <w:pStyle w:val="BodyText"/>
      </w:pPr>
      <w:r>
        <w:t xml:space="preserve">连续记忆变量还可能表现为沿某一方向近似保持、在其他方向恢复的结构。现实系统通常存在噪声和不完美维持，状态可以缓慢漂移。把理想数学吸引子直接等同无限精确、永久稳定的生物记忆，会忽略这些限制。</w:t>
      </w:r>
    </w:p>
    <w:bookmarkEnd w:id="2474"/>
    <w:bookmarkStart w:id="2475" w:name="sec-149-14"/>
    <w:p>
      <w:pPr>
        <w:pStyle w:val="Heading3"/>
      </w:pPr>
      <w:r>
        <w:t xml:space="preserve">149.14　旋转动态并不要求行为做圆周运动</w:t>
      </w:r>
    </w:p>
    <w:p>
      <w:pPr>
        <w:pStyle w:val="FirstParagraph"/>
      </w:pPr>
      <w:r>
        <w:t xml:space="preserve">两个群体活动成分可以依次增减，在状态空间中形成旋转，即使手臂沿直线运动。状态坐标描述神经活动的组合，空间轨迹描述身体位置，两者采用不同的坐标定义。因此，神经轨迹的几何形状需要通过输出映射理解。</w:t>
      </w:r>
    </w:p>
    <w:p>
      <w:pPr>
        <w:pStyle w:val="BodyText"/>
      </w:pPr>
      <w:r>
        <w:t xml:space="preserve">Churchland等2012年研究四只猴、九组伸手任务数据，包含469次单神经元记录，以及在其中两只猴用植入电极阵列获得的364个同时记录单元（包括单神经元与多单元记录），报告了运动期间的群体旋转结构。这里的数据集、记录单元与动物具有不同层级；部分资料也曾用于既往研究。结果支持群体动态作为运动机制的分析视角</w:t>
      </w:r>
      <w:r>
        <w:rPr>
          <w:vertAlign w:val="superscript"/>
        </w:rPr>
        <w:t xml:space="preserve">[</w:t>
      </w:r>
      <w:hyperlink w:anchor="ref-1628">
        <w:r>
          <w:rPr>
            <w:rStyle w:val="Hyperlink"/>
            <w:vertAlign w:val="superscript"/>
          </w:rPr>
          <w:t xml:space="preserve">1628</w:t>
        </w:r>
      </w:hyperlink>
      <w:r>
        <w:rPr>
          <w:vertAlign w:val="superscript"/>
        </w:rPr>
        <w:t xml:space="preserve">]</w:t>
      </w:r>
      <w:r>
        <w:t xml:space="preserve">。</w:t>
      </w:r>
    </w:p>
    <w:p>
      <w:pPr>
        <w:pStyle w:val="BodyText"/>
      </w:pPr>
      <w:r>
        <w:t xml:space="preserve">旋转结构仍需要与竞争来源比较。时间平滑、条件平均、输入时序和降维方法都可能影响可见轨迹。一个模型若声称内部递归动态产生该结构，应给出扰动和输入改变后的预测，并检查单试次证据。观察到旋转不能单独证明一个脑区完全依靠自主振荡生成动作。</w:t>
      </w:r>
    </w:p>
    <w:bookmarkEnd w:id="2475"/>
    <w:bookmarkStart w:id="2476" w:name="sec-149-15"/>
    <w:p>
      <w:pPr>
        <w:pStyle w:val="Heading3"/>
      </w:pPr>
      <w:r>
        <w:t xml:space="preserve">149.15　上下文怎样改变输入的作用</w:t>
      </w:r>
    </w:p>
    <w:p>
      <w:pPr>
        <w:pStyle w:val="FirstParagraph"/>
      </w:pPr>
      <w:r>
        <w:t xml:space="preserve">同一个感觉输入在不同任务规则下可以需要不同答案。系统可以通过改变输入权重、内部状态、递归相互作用或输出读出完成这种切换。多种机制可能产生相似行为，神经模型的任务是提出能够区分它们的预测。</w:t>
      </w:r>
    </w:p>
    <w:p>
      <w:pPr>
        <w:pStyle w:val="BodyText"/>
      </w:pPr>
      <w:r>
        <w:t xml:space="preserve">Mante等2013年训练两只猕猴根据规则判断同一随机点显示中的运动方向或颜色，并记录前额叶活动。结合递归网络建模，研究提出群体动态可以使任务相关输入沿影响选择的方向积累。模型提供了具体机制假说，其人工单元、训练算法和连接权重不能直接当作已测得的生物实现</w:t>
      </w:r>
      <w:r>
        <w:rPr>
          <w:vertAlign w:val="superscript"/>
        </w:rPr>
        <w:t xml:space="preserve">[</w:t>
      </w:r>
      <w:hyperlink w:anchor="ref-1629">
        <w:r>
          <w:rPr>
            <w:rStyle w:val="Hyperlink"/>
            <w:vertAlign w:val="superscript"/>
          </w:rPr>
          <w:t xml:space="preserve">1629</w:t>
        </w:r>
      </w:hyperlink>
      <w:r>
        <w:rPr>
          <w:vertAlign w:val="superscript"/>
        </w:rPr>
        <w:t xml:space="preserve">]</w:t>
      </w:r>
      <w:r>
        <w:t xml:space="preserve">。</w:t>
      </w:r>
    </w:p>
    <w:p>
      <w:pPr>
        <w:pStyle w:val="BodyText"/>
      </w:pPr>
      <w:r>
        <w:t xml:space="preserve">这种框架允许同一群细胞参与不同计算。单细胞响应复杂并不自动意味着实验失败，也不意味着系统没有组织。需要在群体层面检验状态、输入和输出之间的关系，同时保留单细胞类型、解剖连接和局部生理对机制的约束。</w:t>
      </w:r>
    </w:p>
    <w:bookmarkEnd w:id="2476"/>
    <w:bookmarkStart w:id="2477" w:name="sec-149-16"/>
    <w:p>
      <w:pPr>
        <w:pStyle w:val="Heading3"/>
      </w:pPr>
      <w:r>
        <w:t xml:space="preserve">149.16　最大方差与任务信息</w:t>
      </w:r>
    </w:p>
    <w:p>
      <w:pPr>
        <w:pStyle w:val="FirstParagraph"/>
      </w:pPr>
      <w:r>
        <w:t xml:space="preserve">主成分分析寻找数据中方差较大的正交方向。最大的共同变化可能与觉醒、运动或整体增益有关，某个精细任务变量可能只占较小方差。保留前几个成分有助于降噪和可视化，也可能删除行为所需的信息。方差排序无法自动成为功能重要性排序。</w:t>
      </w:r>
    </w:p>
    <w:p>
      <w:pPr>
        <w:pStyle w:val="BodyText"/>
      </w:pPr>
      <w:r>
        <w:t xml:space="preserve">一个教学例子中，所有细胞都随整体觉醒强烈变化，而左右选择只使少量细胞发生较小但稳定的差异。第一主成分可以主要反映觉醒，选择信息则位于较低方差方向。只展示前二维图，可能误以为两种选择没有可区分结构。</w:t>
      </w:r>
    </w:p>
    <w:p>
      <w:pPr>
        <w:pStyle w:val="BodyText"/>
      </w:pPr>
      <w:r>
        <w:t xml:space="preserve">降维还可能改变距离与角度。二维嵌入中相邻的点，在原始空间中未必同样接近；视觉上清楚的簇也可能受参数选择影响。应将图像作为辅助，并在原始或经过明确建模的表示中验证预测、稳定性和不确定性。</w:t>
      </w:r>
    </w:p>
    <w:bookmarkEnd w:id="2477"/>
    <w:bookmarkStart w:id="2478" w:name="sec-149-17"/>
    <w:p>
      <w:pPr>
        <w:pStyle w:val="Heading3"/>
      </w:pPr>
      <w:r>
        <w:t xml:space="preserve">149.17　自发活动与未观测行为</w:t>
      </w:r>
    </w:p>
    <w:p>
      <w:pPr>
        <w:pStyle w:val="FirstParagraph"/>
      </w:pPr>
      <w:r>
        <w:t xml:space="preserve">实验中的“静息”通常只表示没有安排某项外部任务。动物或人仍会运动、感受身体、改变注意并进行内部加工。没有外部刺激不能推出没有输入，也不能把所有变化解释为随机过程。</w:t>
      </w:r>
    </w:p>
    <w:p>
      <w:pPr>
        <w:pStyle w:val="BodyText"/>
      </w:pPr>
      <w:r>
        <w:t xml:space="preserve">Stringer等2019年的钙成像部分包括六只小鼠、九次记录，每次同时观察约11262个兴奋性神经元，标准差约2282；另一部分用多探针在三只小鼠记录多个脑区。研究发现面部等自发行为能够预测部分广泛神经变化。该结果说明应同时测量行为，不能据此把全部未解释活动归结为动作</w:t>
      </w:r>
      <w:r>
        <w:rPr>
          <w:vertAlign w:val="superscript"/>
        </w:rPr>
        <w:t xml:space="preserve">[</w:t>
      </w:r>
      <w:hyperlink w:anchor="ref-1630">
        <w:r>
          <w:rPr>
            <w:rStyle w:val="Hyperlink"/>
            <w:vertAlign w:val="superscript"/>
          </w:rPr>
          <w:t xml:space="preserve">1630</w:t>
        </w:r>
      </w:hyperlink>
      <w:r>
        <w:rPr>
          <w:vertAlign w:val="superscript"/>
        </w:rPr>
        <w:t xml:space="preserve">]</w:t>
      </w:r>
      <w:r>
        <w:t xml:space="preserve">。</w:t>
      </w:r>
    </w:p>
    <w:p>
      <w:pPr>
        <w:pStyle w:val="BodyText"/>
      </w:pPr>
      <w:r>
        <w:t xml:space="preserve">将运动变量加入模型时还需注意科学目标。若某心理过程确实通过动作表达，控制动作可能去掉一部分真实关联；若动作只是与任务共变的干扰，则有助于缩小混杂。选择调整变量应由因果与测量问题共同决定。</w:t>
      </w:r>
    </w:p>
    <w:bookmarkEnd w:id="2478"/>
    <w:bookmarkStart w:id="2479" w:name="sec-149-18"/>
    <w:p>
      <w:pPr>
        <w:pStyle w:val="Heading3"/>
      </w:pPr>
      <w:r>
        <w:t xml:space="preserve">149.18　单试次模型与离线信息</w:t>
      </w:r>
    </w:p>
    <w:p>
      <w:pPr>
        <w:pStyle w:val="FirstParagraph"/>
      </w:pPr>
      <w:r>
        <w:t xml:space="preserve">对许多试次求平均能够显示稳定结构，却可能掩盖每次表现的差异。单试次模型尝试利用细胞间共同变化与动态约束估计较稳定的潜在过程。其输出常更平滑，但平滑程度和结构一部分来自模型假设，需要用未参与拟合的资料检验。</w:t>
      </w:r>
    </w:p>
    <w:p>
      <w:pPr>
        <w:pStyle w:val="BodyText"/>
      </w:pPr>
      <w:r>
        <w:t xml:space="preserve">Pandarinath等2018年的LFADS方法以序列自编码器估计潜在动态，并在猴及人类记录中测试预测表现。原方法的编码阶段可以使用同一试次中某时刻之前和之后的数据，因此属于可利用未来资料的离线估计。将其曲线解释为实时神经预测或立即可用的闭环输出，需要额外限制输入并重新验证</w:t>
      </w:r>
      <w:r>
        <w:rPr>
          <w:vertAlign w:val="superscript"/>
        </w:rPr>
        <w:t xml:space="preserve">[</w:t>
      </w:r>
      <w:hyperlink w:anchor="ref-1631">
        <w:r>
          <w:rPr>
            <w:rStyle w:val="Hyperlink"/>
            <w:vertAlign w:val="superscript"/>
          </w:rPr>
          <w:t xml:space="preserve">1631</w:t>
        </w:r>
      </w:hyperlink>
      <w:r>
        <w:rPr>
          <w:vertAlign w:val="superscript"/>
        </w:rPr>
        <w:t xml:space="preserve">]</w:t>
      </w:r>
      <w:r>
        <w:t xml:space="preserve">。</w:t>
      </w:r>
    </w:p>
    <w:p>
      <w:pPr>
        <w:pStyle w:val="BodyText"/>
      </w:pPr>
      <w:r>
        <w:t xml:space="preserve">单试次分析还应保留试次选择。只分析成功完成、运动稳定或信号质量较好的试次，可能偏向某些状态。失败、遗漏和异常反应往往包含区分机制的重要信息。模型对这些情况的解释能力应进入评价。</w:t>
      </w:r>
    </w:p>
    <w:bookmarkEnd w:id="2479"/>
    <w:bookmarkStart w:id="2480" w:name="sec-149-19"/>
    <w:p>
      <w:pPr>
        <w:pStyle w:val="Heading3"/>
      </w:pPr>
      <w:r>
        <w:t xml:space="preserve">149.19　伪群体与跨日对齐</w:t>
      </w:r>
    </w:p>
    <w:p>
      <w:pPr>
        <w:pStyle w:val="FirstParagraph"/>
      </w:pPr>
      <w:r>
        <w:t xml:space="preserve">不同日期或不同动物中记录到的细胞可以按照任务条件组合成伪群体，用来研究平均调谐和部分可解码关系。这个构造无法直接提供同一次行为中各细胞的共同波动。若科学问题涉及噪声相关、瞬时耦合或逐试次协同，就需要相应的同时记录或额外假设。</w:t>
      </w:r>
    </w:p>
    <w:p>
      <w:pPr>
        <w:pStyle w:val="BodyText"/>
      </w:pPr>
      <w:r>
        <w:t xml:space="preserve">跨日对齐则尝试在记录单元变化时寻找稳定表示。它可以帮助长期解码与机制比较，但对齐算法本身可能强制产生相似性。研究应限定对齐灵活度，使用保留数据，并检查无需对齐的基准。某些变化可能来自记录漂移，另一些可能反映真实学习，二者需要分辨。</w:t>
      </w:r>
    </w:p>
    <w:p>
      <w:pPr>
        <w:pStyle w:val="BodyText"/>
      </w:pPr>
      <w:r>
        <w:t xml:space="preserve">稳定行为也不要求每个细胞保持完全相同的响应。群体中的冗余、补偿和读出适应可能允许局部变化。反过来，行为稳定不能证明神经表示任意变化都无关紧要。关键是追踪变化与输出约束之间的关系。</w:t>
      </w:r>
    </w:p>
    <w:bookmarkEnd w:id="2480"/>
    <w:bookmarkStart w:id="2481" w:name="sec-149-20"/>
    <w:p>
      <w:pPr>
        <w:pStyle w:val="Heading3"/>
      </w:pPr>
      <w:r>
        <w:t xml:space="preserve">149.20　从可解码到因果使用</w:t>
      </w:r>
    </w:p>
    <w:p>
      <w:pPr>
        <w:pStyle w:val="FirstParagraph"/>
      </w:pPr>
      <w:r>
        <w:t xml:space="preserve">实验者可以从某区域解码出刺激，不代表该区域的这部分活动在当前任务中被实际读出。信息可能是输入的伴随副本，可能服务于其他行为，也可能在当前状态下被下游忽略。要论证功能使用，需要把活动模式与行为所依赖的通路联系起来。</w:t>
      </w:r>
    </w:p>
    <w:p>
      <w:pPr>
        <w:pStyle w:val="BodyText"/>
      </w:pPr>
      <w:r>
        <w:t xml:space="preserve">较强的检验可以根据模型选择扰动方向和时刻，预测特定错误，同时检查感觉、运动和一般状态。若改变沿任务相关方向的活动比等强度的其他方向更有影响，便为读出假说增加约束。仍需注意刺激扩散、网络补偿和未测路径。</w:t>
      </w:r>
    </w:p>
    <w:p>
      <w:pPr>
        <w:pStyle w:val="BodyText"/>
      </w:pPr>
      <w:r>
        <w:t xml:space="preserve">恢复实验也有价值。若一个模型预测某种补偿信号可以恢复特定功能，且实验在控制条件下支持这一结果，机制解释会更强。恢复必须与原机制的关键环节相连，不能只要行为改善就宣布原模型成立。</w:t>
      </w:r>
    </w:p>
    <w:bookmarkEnd w:id="2481"/>
    <w:bookmarkStart w:id="2482" w:name="sec-149-21"/>
    <w:p>
      <w:pPr>
        <w:pStyle w:val="Heading3"/>
      </w:pPr>
      <w:r>
        <w:t xml:space="preserve">149.21　教学推导与研究判断练习</w:t>
      </w:r>
    </w:p>
    <w:p>
      <w:pPr>
        <w:pStyle w:val="FirstParagraph"/>
      </w:pPr>
      <w:r>
        <w:t xml:space="preserve">假设有100个等方差单位，噪声方差均为1，等相关系数为0.05。平均值方差为0.01加0.0495，即0.0595。若把单位增到1000，方差为0.001加0.04995，即0.05095。记录量增加十倍带来了改善，但在这个特定模型下没有使方差减到原来的十分之一。</w:t>
      </w:r>
    </w:p>
    <w:p>
      <w:pPr>
        <w:pStyle w:val="BodyText"/>
      </w:pPr>
      <w:r>
        <w:t xml:space="preserve">再设一个分类任务的两类概率为95%与5%。总选择常见类别即可得到95%准确率，却没有利用神经输入。判断解码价值需要比较适当基准，检查少数类别表现，并说明是否存在时间或个体资料泄漏。准确率数字必须放回任务结构。</w:t>
      </w:r>
    </w:p>
    <w:p>
      <w:pPr>
        <w:pStyle w:val="BodyText"/>
      </w:pPr>
      <w:r>
        <w:t xml:space="preserve">如果一个二维神经轨迹图出现两个分开的簇，可以提出多个待检验解释：任务状态不同、运动模式不同、试次时间不同或预处理差异。下一步应选择能够区分这些解释的观察，检验高维资料和新数据。漂亮的图形提供了问题的线索，完整结论仍需定量模型与实验共同支持。</w:t>
      </w:r>
    </w:p>
    <w:bookmarkEnd w:id="2482"/>
    <w:bookmarkStart w:id="2484" w:name="sec-149-22"/>
    <w:p>
      <w:pPr>
        <w:pStyle w:val="Heading3"/>
      </w:pPr>
      <w:r>
        <w:t xml:space="preserve">149.22　神经数据中的量与含义</w:t>
      </w:r>
    </w:p>
    <w:p>
      <w:pPr>
        <w:pStyle w:val="FirstParagraph"/>
      </w:pPr>
      <w:r>
        <w:t xml:space="preserve">下表汇总本章讨论过的常用量。这些量描述不同层面，单位与估计方法也不同。把它们置换成统一的“脑功能高低”会失去科学含义。使用任何指标之前，都应写清时间窗、条件变量和采样单位</w:t>
      </w:r>
      <w:r>
        <w:rPr>
          <w:vertAlign w:val="superscript"/>
        </w:rPr>
        <w:t xml:space="preserve">[</w:t>
      </w:r>
      <w:hyperlink w:anchor="ref-1621">
        <w:r>
          <w:rPr>
            <w:rStyle w:val="Hyperlink"/>
            <w:vertAlign w:val="superscript"/>
          </w:rPr>
          <w:t xml:space="preserve">1621</w:t>
        </w:r>
      </w:hyperlink>
      <w:r>
        <w:rPr>
          <w:vertAlign w:val="superscript"/>
        </w:rPr>
        <w:t xml:space="preserve">,</w:t>
      </w:r>
      <w:hyperlink w:anchor="ref-1622">
        <w:r>
          <w:rPr>
            <w:rStyle w:val="Hyperlink"/>
            <w:vertAlign w:val="superscript"/>
          </w:rPr>
          <w:t xml:space="preserve">1622</w:t>
        </w:r>
      </w:hyperlink>
      <w:r>
        <w:rPr>
          <w:vertAlign w:val="superscript"/>
        </w:rPr>
        <w:t xml:space="preserve">,</w:t>
      </w:r>
      <w:hyperlink w:anchor="ref-1623">
        <w:r>
          <w:rPr>
            <w:rStyle w:val="Hyperlink"/>
            <w:vertAlign w:val="superscript"/>
          </w:rPr>
          <w:t xml:space="preserve">1623</w:t>
        </w:r>
      </w:hyperlink>
      <w:r>
        <w:rPr>
          <w:vertAlign w:val="superscript"/>
        </w:rPr>
        <w:t xml:space="preserve">,</w:t>
      </w:r>
      <w:hyperlink w:anchor="ref-1624">
        <w:r>
          <w:rPr>
            <w:rStyle w:val="Hyperlink"/>
            <w:vertAlign w:val="superscript"/>
          </w:rPr>
          <w:t xml:space="preserve">1624</w:t>
        </w:r>
      </w:hyperlink>
      <w:r>
        <w:rPr>
          <w:vertAlign w:val="superscript"/>
        </w:rPr>
        <w:t xml:space="preserve">,</w:t>
      </w:r>
      <w:hyperlink w:anchor="ref-1626">
        <w:r>
          <w:rPr>
            <w:rStyle w:val="Hyperlink"/>
            <w:vertAlign w:val="superscript"/>
          </w:rPr>
          <w:t xml:space="preserve">1626</w:t>
        </w:r>
      </w:hyperlink>
      <w:r>
        <w:rPr>
          <w:vertAlign w:val="superscript"/>
        </w:rPr>
        <w:t xml:space="preserve">]</w:t>
      </w:r>
      <w:r>
        <w:t xml:space="preserve">。</w:t>
      </w:r>
    </w:p>
    <w:p>
      <w:pPr>
        <w:pStyle w:val="TableCaption"/>
      </w:pPr>
      <w:bookmarkStart w:id="2483" w:name="tab-population"/>
      <w:bookmarkEnd w:id="2483"/>
      <w:r>
        <w:rPr>
          <w:bCs/>
          <w:b/>
        </w:rPr>
        <w:t xml:space="preserve">表 38　神经群体活动的常用量及其边界</w:t>
      </w:r>
    </w:p>
    <w:tbl>
      <w:tblPr>
        <w:tblStyle w:val="Table"/>
        <w:tblW w:type="pct" w:w="5000"/>
        <w:jc w:val="start"/>
        <w:tblLook w:firstRow="1" w:lastRow="0" w:firstColumn="0" w:lastColumn="0" w:noHBand="0" w:noVBand="0" w:val="0020"/>
      </w:tblPr>
      <w:tblGrid>
        <w:gridCol w:w="1242"/>
        <w:gridCol w:w="2950"/>
        <w:gridCol w:w="3726"/>
      </w:tblGrid>
      <w:tr>
        <w:trPr>
          <w:tblHeader w:val="true"/>
        </w:trPr>
        <w:tc>
          <w:tcPr>
            <w:shd w:val="clear" w:color="auto" w:fill="1F3A5F"/>
          </w:tcPr>
          <w:p>
            <w:pPr>
              <w:jc w:val="left"/>
            </w:pPr>
            <w:r>
              <w:rPr>
                <w:bCs/>
                <w:b/>
                <w:color w:val="FFFFFF"/>
              </w:rPr>
              <w:t xml:space="preserve">量或结构</w:t>
            </w:r>
          </w:p>
        </w:tc>
        <w:tc>
          <w:tcPr>
            <w:shd w:val="clear" w:color="auto" w:fill="1F3A5F"/>
          </w:tcPr>
          <w:p>
            <w:pPr>
              <w:jc w:val="left"/>
            </w:pPr>
            <w:r>
              <w:rPr>
                <w:bCs/>
                <w:b/>
                <w:color w:val="FFFFFF"/>
              </w:rPr>
              <w:t xml:space="preserve">描述内容</w:t>
            </w:r>
          </w:p>
        </w:tc>
        <w:tc>
          <w:tcPr>
            <w:shd w:val="clear" w:color="auto" w:fill="1F3A5F"/>
          </w:tcPr>
          <w:p>
            <w:pPr>
              <w:jc w:val="left"/>
            </w:pPr>
            <w:r>
              <w:rPr>
                <w:bCs/>
                <w:b/>
                <w:color w:val="FFFFFF"/>
              </w:rPr>
              <w:t xml:space="preserve">无法由其单独确定的内容</w:t>
            </w:r>
          </w:p>
        </w:tc>
      </w:tr>
      <w:tr>
        <w:tc>
          <w:tcPr/>
          <w:p>
            <w:pPr>
              <w:jc w:val="left"/>
            </w:pPr>
            <w:r>
              <w:t xml:space="preserve">平均放电率</w:t>
            </w:r>
          </w:p>
        </w:tc>
        <w:tc>
          <w:tcPr/>
          <w:p>
            <w:pPr>
              <w:jc w:val="left"/>
            </w:pPr>
            <w:r>
              <w:t xml:space="preserve">指定条件和时间窗内的平均事件频率</w:t>
            </w:r>
          </w:p>
        </w:tc>
        <w:tc>
          <w:tcPr/>
          <w:p>
            <w:pPr>
              <w:jc w:val="left"/>
            </w:pPr>
            <w:r>
              <w:t xml:space="preserve">精确时序、群体信息、细胞重要性与主观体验</w:t>
            </w:r>
          </w:p>
        </w:tc>
      </w:tr>
      <w:tr>
        <w:tc>
          <w:tcPr/>
          <w:p>
            <w:pPr>
              <w:jc w:val="left"/>
            </w:pPr>
            <w:r>
              <w:t xml:space="preserve">调谐曲线</w:t>
            </w:r>
          </w:p>
        </w:tc>
        <w:tc>
          <w:tcPr/>
          <w:p>
            <w:pPr>
              <w:jc w:val="left"/>
            </w:pPr>
            <w:r>
              <w:t xml:space="preserve">响应统计量随所测变量变化的关系</w:t>
            </w:r>
          </w:p>
        </w:tc>
        <w:tc>
          <w:tcPr/>
          <w:p>
            <w:pPr>
              <w:jc w:val="left"/>
            </w:pPr>
            <w:r>
              <w:t xml:space="preserve">该变量是否唯一来源、是否被下游实际使用</w:t>
            </w:r>
          </w:p>
        </w:tc>
      </w:tr>
      <w:tr>
        <w:tc>
          <w:tcPr/>
          <w:p>
            <w:pPr>
              <w:jc w:val="left"/>
            </w:pPr>
            <w:r>
              <w:t xml:space="preserve">Fano因子</w:t>
            </w:r>
          </w:p>
        </w:tc>
        <w:tc>
          <w:tcPr/>
          <w:p>
            <w:pPr>
              <w:jc w:val="left"/>
            </w:pPr>
            <w:r>
              <w:t xml:space="preserve">放电计数方差与均值的比值</w:t>
            </w:r>
          </w:p>
        </w:tc>
        <w:tc>
          <w:tcPr/>
          <w:p>
            <w:pPr>
              <w:jc w:val="left"/>
            </w:pPr>
            <w:r>
              <w:t xml:space="preserve">所有随机性来源；结果依赖时间窗和状态混合</w:t>
            </w:r>
          </w:p>
        </w:tc>
      </w:tr>
      <w:tr>
        <w:tc>
          <w:tcPr/>
          <w:p>
            <w:pPr>
              <w:jc w:val="left"/>
            </w:pPr>
            <w:r>
              <w:t xml:space="preserve">噪声相关</w:t>
            </w:r>
          </w:p>
        </w:tc>
        <w:tc>
          <w:tcPr/>
          <w:p>
            <w:pPr>
              <w:jc w:val="left"/>
            </w:pPr>
            <w:r>
              <w:t xml:space="preserve">给定条件后两个响应偏离的共同变化</w:t>
            </w:r>
          </w:p>
        </w:tc>
        <w:tc>
          <w:tcPr/>
          <w:p>
            <w:pPr>
              <w:jc w:val="left"/>
            </w:pPr>
            <w:r>
              <w:t xml:space="preserve">因果连接方向、共享来源以及信息必然增加或减少</w:t>
            </w:r>
          </w:p>
        </w:tc>
      </w:tr>
      <w:tr>
        <w:tc>
          <w:tcPr/>
          <w:p>
            <w:pPr>
              <w:jc w:val="left"/>
            </w:pPr>
            <w:r>
              <w:t xml:space="preserve">香农熵</w:t>
            </w:r>
          </w:p>
        </w:tc>
        <w:tc>
          <w:tcPr/>
          <w:p>
            <w:pPr>
              <w:jc w:val="left"/>
            </w:pPr>
            <w:r>
              <w:t xml:space="preserve">指定概率分布的平均不确定性</w:t>
            </w:r>
          </w:p>
        </w:tc>
        <w:tc>
          <w:tcPr/>
          <w:p>
            <w:pPr>
              <w:jc w:val="left"/>
            </w:pPr>
            <w:r>
              <w:t xml:space="preserve">意义、真实性、知识价值与完整记忆容量</w:t>
            </w:r>
          </w:p>
        </w:tc>
      </w:tr>
      <w:tr>
        <w:tc>
          <w:tcPr/>
          <w:p>
            <w:pPr>
              <w:jc w:val="left"/>
            </w:pPr>
            <w:r>
              <w:t xml:space="preserve">互信息</w:t>
            </w:r>
          </w:p>
        </w:tc>
        <w:tc>
          <w:tcPr/>
          <w:p>
            <w:pPr>
              <w:jc w:val="left"/>
            </w:pPr>
            <w:r>
              <w:t xml:space="preserve">两个变量之间的统计依赖所减少的不确定性</w:t>
            </w:r>
          </w:p>
        </w:tc>
        <w:tc>
          <w:tcPr/>
          <w:p>
            <w:pPr>
              <w:jc w:val="left"/>
            </w:pPr>
            <w:r>
              <w:t xml:space="preserve">因果方向、神经读出机制和个人意识状态</w:t>
            </w:r>
          </w:p>
        </w:tc>
      </w:tr>
      <w:tr>
        <w:tc>
          <w:tcPr/>
          <w:p>
            <w:pPr>
              <w:jc w:val="left"/>
            </w:pPr>
            <w:r>
              <w:t xml:space="preserve">Fisher信息</w:t>
            </w:r>
          </w:p>
        </w:tc>
        <w:tc>
          <w:tcPr/>
          <w:p>
            <w:pPr>
              <w:jc w:val="left"/>
            </w:pPr>
            <w:r>
              <w:t xml:space="preserve">响应分布对局部参数变化的敏感性</w:t>
            </w:r>
          </w:p>
        </w:tc>
        <w:tc>
          <w:tcPr/>
          <w:p>
            <w:pPr>
              <w:jc w:val="left"/>
            </w:pPr>
            <w:r>
              <w:t xml:space="preserve">真实行为必然达到的精度；其界限依赖模型和估计条件</w:t>
            </w:r>
          </w:p>
        </w:tc>
      </w:tr>
      <w:tr>
        <w:tc>
          <w:tcPr/>
          <w:p>
            <w:pPr>
              <w:jc w:val="left"/>
            </w:pPr>
            <w:r>
              <w:t xml:space="preserve">潜在维度</w:t>
            </w:r>
          </w:p>
        </w:tc>
        <w:tc>
          <w:tcPr/>
          <w:p>
            <w:pPr>
              <w:jc w:val="left"/>
            </w:pPr>
            <w:r>
              <w:t xml:space="preserve">选定模型用于解释共同变化的自由度</w:t>
            </w:r>
          </w:p>
        </w:tc>
        <w:tc>
          <w:tcPr/>
          <w:p>
            <w:pPr>
              <w:jc w:val="left"/>
            </w:pPr>
            <w:r>
              <w:t xml:space="preserve">独立脑区、心理能力数量或固定解剖实体</w:t>
            </w:r>
          </w:p>
        </w:tc>
      </w:tr>
      <w:tr>
        <w:tc>
          <w:tcPr/>
          <w:p>
            <w:pPr>
              <w:jc w:val="left"/>
            </w:pPr>
            <w:r>
              <w:t xml:space="preserve">吸引子</w:t>
            </w:r>
          </w:p>
        </w:tc>
        <w:tc>
          <w:tcPr/>
          <w:p>
            <w:pPr>
              <w:jc w:val="left"/>
            </w:pPr>
            <w:r>
              <w:t xml:space="preserve">动力系统在指定条件下的稳定组织</w:t>
            </w:r>
          </w:p>
        </w:tc>
        <w:tc>
          <w:tcPr/>
          <w:p>
            <w:pPr>
              <w:jc w:val="left"/>
            </w:pPr>
            <w:r>
              <w:t xml:space="preserve">永久记忆、完全无噪声或没有持续输入</w:t>
            </w:r>
          </w:p>
        </w:tc>
      </w:tr>
    </w:tbl>
    <w:p>
      <w:pPr>
        <w:pStyle w:val="BodyText"/>
      </w:pPr>
      <w:r>
        <w:rPr>
          <w:bCs/>
          <w:b/>
        </w:rPr>
        <w:t xml:space="preserve">本章结论</w:t>
      </w:r>
      <w:r>
        <w:t xml:space="preserve">　神经编码分析连接刺激、活动与可用信息，动力学分析描述状态如何随时间改变。两种视角可以共同约束机制。可靠解释需要明确变量、测量、读出、输入、时间尺度与因果检验，并保留统计摘要尚未说明的生物细节。</w:t>
      </w:r>
    </w:p>
    <w:bookmarkEnd w:id="2484"/>
    <w:bookmarkEnd w:id="2485"/>
    <w:bookmarkStart w:id="2503" w:name="ch-150"/>
    <w:p>
      <w:pPr>
        <w:pStyle w:val="Heading2"/>
      </w:pPr>
      <w:r>
        <w:t xml:space="preserve">第150章　计算模型、人工神经网络与生物大脑</w:t>
      </w:r>
    </w:p>
    <w:p>
      <w:pPr>
        <w:pStyle w:val="CalloutJudgment"/>
      </w:pPr>
      <w:r>
        <w:rPr>
          <w:bCs/>
          <w:b/>
        </w:rPr>
        <w:t xml:space="preserve">核心判断与置信度</w:t>
      </w:r>
      <w:r>
        <w:t xml:space="preserve">　人工神经网络可以成为某些脑功能的有用定量模型。任务输出相似、内部表征相似、学习过程相似、细胞实现相同和主观体验相同，分别需要证据。关于这些层次不能互相替代的判断，置信度高；关于完整心智复制的实现条件，目前存在重大未解问题</w:t>
      </w:r>
      <w:r>
        <w:rPr>
          <w:vertAlign w:val="superscript"/>
        </w:rPr>
        <w:t xml:space="preserve">[</w:t>
      </w:r>
      <w:hyperlink w:anchor="ref-1632">
        <w:r>
          <w:rPr>
            <w:rStyle w:val="Hyperlink"/>
            <w:vertAlign w:val="superscript"/>
          </w:rPr>
          <w:t xml:space="preserve">1632</w:t>
        </w:r>
      </w:hyperlink>
      <w:r>
        <w:rPr>
          <w:vertAlign w:val="superscript"/>
        </w:rPr>
        <w:t xml:space="preserve">,</w:t>
      </w:r>
      <w:hyperlink w:anchor="ref-1633">
        <w:r>
          <w:rPr>
            <w:rStyle w:val="Hyperlink"/>
            <w:vertAlign w:val="superscript"/>
          </w:rPr>
          <w:t xml:space="preserve">1633</w:t>
        </w:r>
      </w:hyperlink>
      <w:r>
        <w:rPr>
          <w:vertAlign w:val="superscript"/>
        </w:rPr>
        <w:t xml:space="preserve">]</w:t>
      </w:r>
      <w:r>
        <w:t xml:space="preserve">。</w:t>
      </w:r>
    </w:p>
    <w:bookmarkStart w:id="2486" w:name="sec-150-1"/>
    <w:p>
      <w:pPr>
        <w:pStyle w:val="Heading3"/>
      </w:pPr>
      <w:r>
        <w:t xml:space="preserve">150.1　模型需要先说明解释目标</w:t>
      </w:r>
    </w:p>
    <w:p>
      <w:pPr>
        <w:pStyle w:val="FirstParagraph"/>
      </w:pPr>
      <w:r>
        <w:t xml:space="preserve">一个模型可能解释视觉分类、动作选择、记忆提取或某类电信号。解释目标越明确，越容易列出它应通过的检验。声称“模拟大脑”却不说明对象，会把局部预测成功扩展成无法评估的总论。需要询问模型使用什么输入、产生什么输出、对应哪个时间尺度，以及希望解释哪些干预结果。</w:t>
      </w:r>
    </w:p>
    <w:p>
      <w:pPr>
        <w:pStyle w:val="BodyText"/>
      </w:pPr>
      <w:r>
        <w:t xml:space="preserve">计算层次关注系统解决什么问题及其约束；算法与表征层次关注如何表示信息和执行运算；实现层次关注细胞、突触、分子及物理过程。不同层次的模型可以互补。一个高层模型可以准确描述行为，同时对具体细胞实现保持开放；一个细胞模型可以解释放电，却尚未解释复杂行为。清楚界定范围有助于判断成功的含义。</w:t>
      </w:r>
    </w:p>
    <w:p>
      <w:pPr>
        <w:pStyle w:val="BodyText"/>
      </w:pPr>
      <w:r>
        <w:t xml:space="preserve">模拟精细度也需要与问题匹配。增加大量生物细节可以帮助研究特定机制，同时增加参数和不确定性。一个简化模型若能给出明确的新预测，可能具有很高解释价值。一个高度复杂模型若只有拟合结果而缺少可区分预测，其机制含义仍然有限。细节数量与解释质量之间没有保证性的单调关系。</w:t>
      </w:r>
    </w:p>
    <w:bookmarkEnd w:id="2486"/>
    <w:bookmarkStart w:id="2487" w:name="sec-150-2"/>
    <w:p>
      <w:pPr>
        <w:pStyle w:val="Heading3"/>
      </w:pPr>
      <w:r>
        <w:t xml:space="preserve">150.2　人工节点与生物细胞</w:t>
      </w:r>
    </w:p>
    <w:p>
      <w:pPr>
        <w:pStyle w:val="FirstParagraph"/>
      </w:pPr>
      <w:r>
        <w:t xml:space="preserve">常见人工网络节点把若干输入加权汇总，再经非线性函数变换。生物神经元还包含树突结构、膜电导、不同离子通道、突触动态、调质作用和代谢约束。两者共享某些抽象数学形式，可以用于建模；同名词语不代表实现细节相同。</w:t>
      </w:r>
    </w:p>
    <w:p>
      <w:pPr>
        <w:pStyle w:val="BodyText"/>
      </w:pPr>
      <w:r>
        <w:t xml:space="preserve">人工网络的权重更新常利用全局误差信息和特定优化算法。生物学习涉及局部活动、调质信号、时间关系和多种可塑性。某些算法可能在功能上近似生物过程，是否如此需要通过学习轨迹、干预和生理限制检验。一个系统最终答对题目，不足以确定它通过何种规则学会。</w:t>
      </w:r>
    </w:p>
    <w:p>
      <w:pPr>
        <w:pStyle w:val="BodyText"/>
      </w:pPr>
      <w:r>
        <w:t xml:space="preserve">训练资料也构成机制的一部分。模型若见过远多于一个人生命经验的材料，取得相似成绩时不能忽略资料差异。反过来，生物个体还具有进化、发育、身体结构及社会互动带来的先验约束。公平比较需要说明这些信息来源，不能只比较最后一个测试分数。</w:t>
      </w:r>
    </w:p>
    <w:bookmarkEnd w:id="2487"/>
    <w:bookmarkStart w:id="2488" w:name="sec-150-3"/>
    <w:p>
      <w:pPr>
        <w:pStyle w:val="Heading3"/>
      </w:pPr>
      <w:r>
        <w:t xml:space="preserve">150.3　局部预测成功的科学价值</w:t>
      </w:r>
    </w:p>
    <w:p>
      <w:pPr>
        <w:pStyle w:val="FirstParagraph"/>
      </w:pPr>
      <w:r>
        <w:t xml:space="preserve">Yamins等2014年优化层级视觉模型后，用未参与优化的新图像检验其对灵长类高级视觉皮层反应的预测。结果支持任务优化与某些神经表征之间存在有意义联系。这种对新数据的预测提供了实质证据，支持模型抓住部分计算约束；它没有验证整个脑的细胞实现或主观体验</w:t>
      </w:r>
      <w:r>
        <w:rPr>
          <w:vertAlign w:val="superscript"/>
        </w:rPr>
        <w:t xml:space="preserve">[</w:t>
      </w:r>
      <w:hyperlink w:anchor="ref-1632">
        <w:r>
          <w:rPr>
            <w:rStyle w:val="Hyperlink"/>
            <w:vertAlign w:val="superscript"/>
          </w:rPr>
          <w:t xml:space="preserve">1632</w:t>
        </w:r>
      </w:hyperlink>
      <w:r>
        <w:rPr>
          <w:vertAlign w:val="superscript"/>
        </w:rPr>
        <w:t xml:space="preserve">]</w:t>
      </w:r>
      <w:r>
        <w:t xml:space="preserve">。</w:t>
      </w:r>
    </w:p>
    <w:p>
      <w:pPr>
        <w:pStyle w:val="BodyText"/>
      </w:pPr>
      <w:r>
        <w:t xml:space="preserve">模型成功后，下一步是寻找更严格的区分条件。例如，遮挡、异常纹理、不同视角、动态场景和少量学习可能使候选模型出现不同错误。对这些条件的预先预测可以排除仅靠训练集统计规律获得成功的模型。神经模型的发展需要不断增加可失败的检验。</w:t>
      </w:r>
    </w:p>
    <w:p>
      <w:pPr>
        <w:pStyle w:val="BodyText"/>
      </w:pPr>
      <w:r>
        <w:t xml:space="preserve">神经与行为结果也应联合评价。一个模型可能拟合某区域活动，却在行为错误模式上与人类明显不同；另一个模型可能答题正确，却不能预测时间进程。若理论声称解释完整任务机制，就应同时面对这些约束。选择只展示最有利指标，会制造过强的“像脑”结论。</w:t>
      </w:r>
    </w:p>
    <w:bookmarkEnd w:id="2488"/>
    <w:bookmarkStart w:id="2489" w:name="sec-150-4"/>
    <w:p>
      <w:pPr>
        <w:pStyle w:val="Heading3"/>
      </w:pPr>
      <w:r>
        <w:t xml:space="preserve">150.4　表征相似度的解释范围</w:t>
      </w:r>
    </w:p>
    <w:p>
      <w:pPr>
        <w:pStyle w:val="FirstParagraph"/>
      </w:pPr>
      <w:r>
        <w:t xml:space="preserve">表征相似性分析比较不同刺激在系统内部引起的距离结构，从而减轻了逐个匹配模型单元与测量通道的困难。例如，两张动物图片可能在模型与脑数据中都比动物与工具更相近。这样的对应可以揭示共享组织，但距离结构可能由多种特征产生。颜色、形状、语义、任务和行为关联都可能贡献相似性。该方法比较的是选定差异指标所保存的信息，因此也会舍弃其他信息。两个系统在这种摘要上相似，仍可能在单元属性、时间变化、连接关系和学习规则上不同</w:t>
      </w:r>
      <w:r>
        <w:rPr>
          <w:vertAlign w:val="superscript"/>
        </w:rPr>
        <w:t xml:space="preserve">[</w:t>
      </w:r>
      <w:hyperlink w:anchor="ref-1621">
        <w:r>
          <w:rPr>
            <w:rStyle w:val="Hyperlink"/>
            <w:vertAlign w:val="superscript"/>
          </w:rPr>
          <w:t xml:space="preserve">1621</w:t>
        </w:r>
      </w:hyperlink>
      <w:r>
        <w:rPr>
          <w:vertAlign w:val="superscript"/>
        </w:rPr>
        <w:t xml:space="preserve">]</w:t>
      </w:r>
      <w:r>
        <w:t xml:space="preserve">。</w:t>
      </w:r>
    </w:p>
    <w:p>
      <w:pPr>
        <w:pStyle w:val="BodyText"/>
      </w:pPr>
      <w:r>
        <w:t xml:space="preserve">研究应比较竞争特征模型，检验独立解释量，并使用未见刺激或任务。还需要考虑可估计信号的噪声上限。某个模型达到较高相关，不自动说明它是唯一机制；多个具有不同内部规则的模型可能在现有数据上无法区分。可辨识性是一个需要明确报告的问题。</w:t>
      </w:r>
    </w:p>
    <w:p>
      <w:pPr>
        <w:pStyle w:val="BodyText"/>
      </w:pPr>
      <w:r>
        <w:t xml:space="preserve">线性变换、降维和对齐方式也会改变相似度。若允许过于灵活的映射，很多不同系统都可以得到较好的拟合。映射复杂度应与训练资料和科学目标匹配，并在独立数据上检验。评价指标的选择构成理论检验的一部分，不能事后只保留最支持某模型的指标</w:t>
      </w:r>
      <w:r>
        <w:rPr>
          <w:vertAlign w:val="superscript"/>
        </w:rPr>
        <w:t xml:space="preserve">[</w:t>
      </w:r>
      <w:hyperlink w:anchor="ref-1633">
        <w:r>
          <w:rPr>
            <w:rStyle w:val="Hyperlink"/>
            <w:vertAlign w:val="superscript"/>
          </w:rPr>
          <w:t xml:space="preserve">1633</w:t>
        </w:r>
      </w:hyperlink>
      <w:r>
        <w:rPr>
          <w:vertAlign w:val="superscript"/>
        </w:rPr>
        <w:t xml:space="preserve">]</w:t>
      </w:r>
      <w:r>
        <w:t xml:space="preserve">。</w:t>
      </w:r>
    </w:p>
    <w:bookmarkEnd w:id="2489"/>
    <w:bookmarkStart w:id="2490" w:name="sec-150-5"/>
    <w:p>
      <w:pPr>
        <w:pStyle w:val="Heading3"/>
      </w:pPr>
      <w:r>
        <w:t xml:space="preserve">150.5　泛化比熟悉任务成绩更有信息</w:t>
      </w:r>
    </w:p>
    <w:p>
      <w:pPr>
        <w:pStyle w:val="FirstParagraph"/>
      </w:pPr>
      <w:r>
        <w:t xml:space="preserve">训练分布内的高分与分布外稳健性是不同能力。模型可以依赖某些背景规律，在背景改变时失败。生物个体也会受到背景影响，但具体失败方式可以用于比较机制。研究应预先说明哪些环境改变应该保持能力，哪些改变根据理论应当产生损害。</w:t>
      </w:r>
    </w:p>
    <w:p>
      <w:pPr>
        <w:pStyle w:val="BodyText"/>
      </w:pPr>
      <w:r>
        <w:t xml:space="preserve">数据污染会破坏泛化检验。如果测试材料或高度相似材料已经进入训练集，所谓新任务表现可能主要反映记忆。对于大型模型，训练资料不完全透明会增加判断困难。研究可以使用新生成且受控的任务、受限资料模型和系统的对照来缩小这种不确定性。</w:t>
      </w:r>
    </w:p>
    <w:p>
      <w:pPr>
        <w:pStyle w:val="BodyText"/>
      </w:pPr>
      <w:r>
        <w:t xml:space="preserve">同一个任务分数还可能对应不同策略。人类可以先理解规则再执行，模型可能利用局部模式；也可能出现相反情况。设计干预题、改变表面形式、追踪学习过程及分析错误，可以帮助区分策略。要求系统输出解释并不能完全解决问题，因为生成的说明本身也需要验证。</w:t>
      </w:r>
    </w:p>
    <w:bookmarkEnd w:id="2490"/>
    <w:bookmarkStart w:id="2491" w:name="sec-150-6"/>
    <w:p>
      <w:pPr>
        <w:pStyle w:val="Heading3"/>
      </w:pPr>
      <w:r>
        <w:t xml:space="preserve">150.6　连接组与完整模拟之间的距离</w:t>
      </w:r>
    </w:p>
    <w:p>
      <w:pPr>
        <w:pStyle w:val="FirstParagraph"/>
      </w:pPr>
      <w:r>
        <w:t xml:space="preserve">连接图谱提供谁与谁具有解剖连接的资料，是重要基础。连接位置仍不足以完全确定信号传播，因为突触强度、受体、细胞状态、调质环境和可塑性都会改变动态。连接图谱的分辨率、遗漏和重建错误也需要评估。把结构数据称为完整功能说明，会跨过多个尚未完成的环节。</w:t>
      </w:r>
    </w:p>
    <w:p>
      <w:pPr>
        <w:pStyle w:val="BodyText"/>
      </w:pPr>
      <w:r>
        <w:t xml:space="preserve">2024年的果蝇全脑重建包含139255个神经元，提供了广泛连接信息；同年人类皮层约1立方毫米组织的纳米尺度重建包含约57000个细胞和约1.5亿个突触。后一细胞数包含不同细胞类型，不能读成神经元数。这些资源展示了结构研究的巨大进展，也明确体现了物种、组织范围和样本数量的限制</w:t>
      </w:r>
      <w:r>
        <w:rPr>
          <w:vertAlign w:val="superscript"/>
        </w:rPr>
        <w:t xml:space="preserve">[</w:t>
      </w:r>
      <w:hyperlink w:anchor="ref-211">
        <w:r>
          <w:rPr>
            <w:rStyle w:val="Hyperlink"/>
            <w:vertAlign w:val="superscript"/>
          </w:rPr>
          <w:t xml:space="preserve">211</w:t>
        </w:r>
      </w:hyperlink>
      <w:r>
        <w:rPr>
          <w:vertAlign w:val="superscript"/>
        </w:rPr>
        <w:t xml:space="preserve">,</w:t>
      </w:r>
      <w:hyperlink w:anchor="ref-212">
        <w:r>
          <w:rPr>
            <w:rStyle w:val="Hyperlink"/>
            <w:vertAlign w:val="superscript"/>
          </w:rPr>
          <w:t xml:space="preserve">212</w:t>
        </w:r>
      </w:hyperlink>
      <w:r>
        <w:rPr>
          <w:vertAlign w:val="superscript"/>
        </w:rPr>
        <w:t xml:space="preserve">]</w:t>
      </w:r>
      <w:r>
        <w:t xml:space="preserve">。</w:t>
      </w:r>
    </w:p>
    <w:p>
      <w:pPr>
        <w:pStyle w:val="BodyText"/>
      </w:pPr>
      <w:r>
        <w:t xml:space="preserve">将一个结构图谱用于行为模拟，通常还需要假设连接作用方向、动力学参数、输入和身体反馈。模拟若能够预测独立行为或神经反应，便增加了这些假设组合的可信度。若某些参数无法由现有数据辨识，应公开范围和敏感性。重建规模大不会自动消除模型不确定性。</w:t>
      </w:r>
    </w:p>
    <w:bookmarkEnd w:id="2491"/>
    <w:bookmarkStart w:id="2492" w:name="sec-150-7"/>
    <w:p>
      <w:pPr>
        <w:pStyle w:val="Heading3"/>
      </w:pPr>
      <w:r>
        <w:t xml:space="preserve">150.7　数字孪生的可操作定义</w:t>
      </w:r>
    </w:p>
    <w:p>
      <w:pPr>
        <w:pStyle w:val="FirstParagraph"/>
      </w:pPr>
      <w:r>
        <w:t xml:space="preserve">在科学与临床语境中，一个可评估的数字模型应说明它与现实个体共享哪些测量、多久更新一次、能够预测什么，以及误差如何监测。用部分脑信号拟合出的模型，可以用于特定状态预测或实验规划。把它称作某个人的完整心智复制，需要远超局部信号拟合的证据。</w:t>
      </w:r>
    </w:p>
    <w:p>
      <w:pPr>
        <w:pStyle w:val="BodyText"/>
      </w:pPr>
      <w:r>
        <w:t xml:space="preserve">尤其应区分观察预测与干预预测。模型能根据过去信号预测下一段信号，可能主要学习时间相关结构。若要用于选择治疗，还必须预测现实干预后的结果，并在前瞻性资料中检验。模拟中改变一个潜变量产生理想输出，不能证明临床上存在可实现、安全且同等有效的操作。</w:t>
      </w:r>
    </w:p>
    <w:p>
      <w:pPr>
        <w:pStyle w:val="BodyText"/>
      </w:pPr>
      <w:r>
        <w:t xml:space="preserve">“个体化”也有程度。把年龄或少数生理参数输入群体模型，可以形成个体化输出，但许多关键参数仍可能来自群体平均。需要报告哪些部分由个人资料确定，哪些来自先验，哪些根本未测量。个体化标签不应掩盖这些信息来源。</w:t>
      </w:r>
    </w:p>
    <w:bookmarkEnd w:id="2492"/>
    <w:bookmarkStart w:id="2493" w:name="sec-150-8"/>
    <w:p>
      <w:pPr>
        <w:pStyle w:val="Heading3"/>
      </w:pPr>
      <w:r>
        <w:t xml:space="preserve">150.8　人工意识与心智上传</w:t>
      </w:r>
    </w:p>
    <w:p>
      <w:pPr>
        <w:pStyle w:val="FirstParagraph"/>
      </w:pPr>
      <w:r>
        <w:t xml:space="preserve">任务表现、语言自我描述和复杂内部活动都可能进入意识理论的讨论，但目前没有一个仅凭这些现象就公认足以确认主观体验的测试。不同意识理论对什么结构和动态重要存在分歧。对某模型意识状态作确定判断，需要说明采用的理论及其独立证据。</w:t>
      </w:r>
    </w:p>
    <w:p>
      <w:pPr>
        <w:pStyle w:val="BodyText"/>
      </w:pPr>
      <w:r>
        <w:t xml:space="preserve">心智上传还涉及记忆、技能、人格、身体关系、动态状态和个人同一性。即使将来某种系统能够复制大量行为特征，也需要区分功能相似与“是否仍是同一位主体”的哲学问题。后者涉及同一性的定义，无法由输出相似度直接裁决。</w:t>
      </w:r>
    </w:p>
    <w:p>
      <w:pPr>
        <w:pStyle w:val="BodyText"/>
      </w:pPr>
      <w:r>
        <w:t xml:space="preserve">这些问题可以被认真研究，同时保留不确定性。科学上可推进的方向包括明确功能指标、检验理论对不同系统的预测、研究实现条件和失败模式。关于已经完整复制一个人的意识，当前证据无法支持高置信度断言。</w:t>
      </w:r>
    </w:p>
    <w:bookmarkEnd w:id="2493"/>
    <w:bookmarkStart w:id="2494" w:name="sec-150-9"/>
    <w:p>
      <w:pPr>
        <w:pStyle w:val="Heading3"/>
      </w:pPr>
      <w:r>
        <w:t xml:space="preserve">150.9　状态空间与动态模型需要解释时间</w:t>
      </w:r>
    </w:p>
    <w:p>
      <w:pPr>
        <w:pStyle w:val="FirstParagraph"/>
      </w:pPr>
      <w:r>
        <w:t xml:space="preserve">一个系统在同样输入下可以产生不同反应，因为此前经历改变了内部状态。静态输入输出函数只能覆盖其中一部分关系。动态模型把当前状态、当前输入和状态更新规则同时纳入预测，并说明输出如何从状态中产生。这里的状态可以表示群体活动、短时突触变化、身体变量或某种抽象记忆，不必假定每个潜变量都对应一个脑区</w:t>
      </w:r>
      <w:r>
        <w:rPr>
          <w:vertAlign w:val="superscript"/>
        </w:rPr>
        <w:t xml:space="preserve">[</w:t>
      </w:r>
      <w:hyperlink w:anchor="ref-1633">
        <w:r>
          <w:rPr>
            <w:rStyle w:val="Hyperlink"/>
            <w:vertAlign w:val="superscript"/>
          </w:rPr>
          <w:t xml:space="preserve">1633</w:t>
        </w:r>
      </w:hyperlink>
      <w:r>
        <w:rPr>
          <w:vertAlign w:val="superscript"/>
        </w:rPr>
        <w:t xml:space="preserve">]</w:t>
      </w:r>
      <w:r>
        <w:t xml:space="preserve">。</w:t>
      </w:r>
    </w:p>
    <w:p>
      <w:pPr>
        <w:pStyle w:val="BodyText"/>
      </w:pPr>
      <w:r>
        <w:t xml:space="preserve">例如，两个模型对刺激后的最终选择给出相同预测，一个通过逐步积累证据产生决定，另一个在刺激出现后立即选定答案并延迟输出。改变刺激信息出现的时刻，可能使它们产生不同结果。时间结构因此能够增加独立约束。只比较最终正确率，会丢失这种区分能力。</w:t>
      </w:r>
    </w:p>
    <w:p>
      <w:pPr>
        <w:pStyle w:val="BodyText"/>
      </w:pPr>
      <w:r>
        <w:t xml:space="preserve">拟合动态资料时还要区分真正的状态变化与测量系统的平滑。血流动力学响应可能使快速输入看起来缓慢；钙指示器的衰减可能延长事件；预处理滤波可能制造提前变化。模型应通过相应的观察过程生成可与实验比较的信号。直接把潜在神经状态曲线与经过多级转换的数据叠加，容易误认时间常数。</w:t>
      </w:r>
    </w:p>
    <w:bookmarkEnd w:id="2494"/>
    <w:bookmarkStart w:id="2495" w:name="sec-150-10"/>
    <w:p>
      <w:pPr>
        <w:pStyle w:val="Heading3"/>
      </w:pPr>
      <w:r>
        <w:t xml:space="preserve">150.10　模型坐标与可识别的生物量</w:t>
      </w:r>
    </w:p>
    <w:p>
      <w:pPr>
        <w:pStyle w:val="FirstParagraph"/>
      </w:pPr>
      <w:r>
        <w:t xml:space="preserve">潜在状态的坐标通常具有一定任意性（另见</w:t>
      </w:r>
      <w:r>
        <w:t xml:space="preserve"> </w:t>
      </w:r>
      <w:hyperlink w:anchor="sec-149-12">
        <w:r>
          <w:rPr>
            <w:rStyle w:val="Hyperlink"/>
          </w:rPr>
          <w:t xml:space="preserve">149.12</w:t>
        </w:r>
      </w:hyperlink>
      <w:r>
        <w:t xml:space="preserve">）。假设把二维状态整体旋转，再相应旋转输入输出映射，模型可以保持同样的行为预测。此时某一坐标轴的名称不应被直接理解为独立生物实体。研究需要说明哪些性质对合理坐标变换保持稳定，哪些解释依赖所选参数化。</w:t>
      </w:r>
    </w:p>
    <w:p>
      <w:pPr>
        <w:pStyle w:val="BodyText"/>
      </w:pPr>
      <w:r>
        <w:t xml:space="preserve">编码分析、模式成分建模与表征相似性分析可以在共同的表征框架中比较，其推断都依赖模型和噪声假设。选择方法时，应先说明要检验何种表征特征，再检查估计与正则化是否适合数据。一个方法名称不能自动赋予结果更强的机制含义</w:t>
      </w:r>
      <w:r>
        <w:rPr>
          <w:vertAlign w:val="superscript"/>
        </w:rPr>
        <w:t xml:space="preserve">[</w:t>
      </w:r>
      <w:hyperlink w:anchor="ref-1622">
        <w:r>
          <w:rPr>
            <w:rStyle w:val="Hyperlink"/>
            <w:vertAlign w:val="superscript"/>
          </w:rPr>
          <w:t xml:space="preserve">1622</w:t>
        </w:r>
      </w:hyperlink>
      <w:r>
        <w:rPr>
          <w:vertAlign w:val="superscript"/>
        </w:rPr>
        <w:t xml:space="preserve">]</w:t>
      </w:r>
      <w:r>
        <w:t xml:space="preserve">。</w:t>
      </w:r>
    </w:p>
    <w:bookmarkEnd w:id="2495"/>
    <w:bookmarkStart w:id="2496" w:name="sec-150-11"/>
    <w:p>
      <w:pPr>
        <w:pStyle w:val="Heading3"/>
      </w:pPr>
      <w:r>
        <w:t xml:space="preserve">150.11　学习轨迹提供终点之外的约束</w:t>
      </w:r>
    </w:p>
    <w:p>
      <w:pPr>
        <w:pStyle w:val="FirstParagraph"/>
      </w:pPr>
      <w:r>
        <w:t xml:space="preserve">同样的训练终点可能来自不同过程。甲模型在最初几次经验后迅速建立规则，之后只调整少量参数；乙模型需要大量重复，最后达到相同表现。若研究问题涉及儿童如何学习，终点相同仍不足以忽略样本效率、遗忘、错误次序和知识迁移。学习过程本身构成需要解释的数据。</w:t>
      </w:r>
    </w:p>
    <w:p>
      <w:pPr>
        <w:pStyle w:val="BodyText"/>
      </w:pPr>
      <w:r>
        <w:t xml:space="preserve">比较人类与模型的经验量，还应明确经验单位。一张静态图片、一次连续视觉探索和一次带语言指导的互动，提供的信息量与可用反馈并不相同。简单比较“样本数量”可能隐藏输入结构差异。较好的设计会同时报告材料丰富度、反馈、先验知识、活动时间和任务目标。</w:t>
      </w:r>
    </w:p>
    <w:p>
      <w:pPr>
        <w:pStyle w:val="BodyText"/>
      </w:pPr>
      <w:r>
        <w:t xml:space="preserve">研究可以逐步控制这些差异。例如，给人和模型同一组受限材料，记录每个阶段的错误；随后改变一个关键关系，观察双方如何更新。这样的实验有助于识别学习规则的共同点。其外推范围仍受受限任务影响，不能据此估计全部现实学习效率。</w:t>
      </w:r>
    </w:p>
    <w:bookmarkEnd w:id="2496"/>
    <w:bookmarkStart w:id="2497" w:name="sec-150-12"/>
    <w:p>
      <w:pPr>
        <w:pStyle w:val="Heading3"/>
      </w:pPr>
      <w:r>
        <w:t xml:space="preserve">150.12　身体与主动取样改变计算问题</w:t>
      </w:r>
    </w:p>
    <w:p>
      <w:pPr>
        <w:pStyle w:val="FirstParagraph"/>
      </w:pPr>
      <w:r>
        <w:t xml:space="preserve">现实个体通过眼动、触摸、姿势和行动改变下一刻得到的感觉资料。输入因此既受环境影响，也受当前策略影响。一个被动接收固定数据的模型，与主动选择观察位置的系统面对的统计问题并不相同。比较视觉或动作能力时，必须说明观察过程由谁控制。</w:t>
      </w:r>
    </w:p>
    <w:p>
      <w:pPr>
        <w:pStyle w:val="BodyText"/>
      </w:pPr>
      <w:r>
        <w:t xml:space="preserve">身体还带来物理限制和可利用结构。手臂惯性、肌肉弹性、感觉延迟和关节范围都会影响控制。某些看似复杂的行为可以部分依靠身体与环境的相互作用实现。若模型省略这些因素，它可能需要在内部计算中补偿，也可能因此得到不同机制解释。</w:t>
      </w:r>
    </w:p>
    <w:p>
      <w:pPr>
        <w:pStyle w:val="BodyText"/>
      </w:pPr>
      <w:r>
        <w:t xml:space="preserve">这并不要求所有认知模型都包含完整身体。适当抽象仍然有价值。关键是把适用范围写清：模型解释固定输入条件下的分类、闭环中的观察策略，还是身体环境共同构成的行为。不同层次的结论可以相互补充。</w:t>
      </w:r>
    </w:p>
    <w:bookmarkEnd w:id="2497"/>
    <w:bookmarkStart w:id="2498" w:name="sec-150-13"/>
    <w:p>
      <w:pPr>
        <w:pStyle w:val="Heading3"/>
      </w:pPr>
      <w:r>
        <w:t xml:space="preserve">150.13　优化目标与进化历史的区分</w:t>
      </w:r>
    </w:p>
    <w:p>
      <w:pPr>
        <w:pStyle w:val="FirstParagraph"/>
      </w:pPr>
      <w:r>
        <w:t xml:space="preserve">人工模型通常具有研究者指定的损失函数，例如分类误差或预测误差。生物系统同时受到生存、繁殖、能量、发育、社会关系和即时任务等多重约束。把某一种数学目标拟合得很好，只能表明该目标在现有条件下有解释能力，不能据此确定进化过程一直优化同一显式函数。</w:t>
      </w:r>
    </w:p>
    <w:p>
      <w:pPr>
        <w:pStyle w:val="BodyText"/>
      </w:pPr>
      <w:r>
        <w:t xml:space="preserve">即使某种行为看起来接近最优，也需要说明最优性所依据的环境概率、成本和限制。改变这些条件，最优策略会改变。研究者若在看过行为后不断调整成本函数，很多行为都可以被描述为最优。可检验的规范模型应尽量由独立资料约束这些条件。</w:t>
      </w:r>
    </w:p>
    <w:p>
      <w:pPr>
        <w:pStyle w:val="BodyText"/>
      </w:pPr>
      <w:r>
        <w:t xml:space="preserve">规范模型、学习模型和实现模型回答互相关联的问题。规范模型提供在特定约束下应达到什么目标的基准；学习模型解释如何接近或偏离目标；实现模型说明具体过程如何运行。三者之间的联系需要逐项建立。</w:t>
      </w:r>
    </w:p>
    <w:bookmarkEnd w:id="2498"/>
    <w:bookmarkStart w:id="2499" w:name="sec-150-14"/>
    <w:p>
      <w:pPr>
        <w:pStyle w:val="Heading3"/>
      </w:pPr>
      <w:r>
        <w:t xml:space="preserve">150.14　消融结果与现实病损怎样比较</w:t>
      </w:r>
    </w:p>
    <w:p>
      <w:pPr>
        <w:pStyle w:val="FirstParagraph"/>
      </w:pPr>
      <w:r>
        <w:t xml:space="preserve">删除模型单元、层或连接，可以检验这些组成部分在当前模型中的作用。现实脑组织的病损同时可能改变传入、传出、代谢、炎症和后续适应。两种操作在范围与时间上通常不同。将模型消融与临床症候比较时，应明确哪些方面具有可比性。</w:t>
      </w:r>
    </w:p>
    <w:p>
      <w:pPr>
        <w:pStyle w:val="BodyText"/>
      </w:pPr>
      <w:r>
        <w:t xml:space="preserve">一个模型受损后出现类似行为障碍，可以为机制提供线索。还应检查它是否同样解释保留的能力、错误模式和恢复过程。只选择最相似的一项损害，可能让很多结构差异很大的模型都通过检验。</w:t>
      </w:r>
    </w:p>
    <w:p>
      <w:pPr>
        <w:pStyle w:val="BodyText"/>
      </w:pPr>
      <w:r>
        <w:t xml:space="preserve">模型还可能在重新训练后恢复表现，这种恢复需要与生物学习条件匹配。若模型获得大量完整标注，人类患者只得到有限反馈，两者恢复速度无法直接对照。模型中的可恢复性与现实治疗收益之间仍需桥接证据。</w:t>
      </w:r>
    </w:p>
    <w:bookmarkEnd w:id="2499"/>
    <w:bookmarkStart w:id="2500" w:name="sec-150-15"/>
    <w:p>
      <w:pPr>
        <w:pStyle w:val="Heading3"/>
      </w:pPr>
      <w:r>
        <w:t xml:space="preserve">150.15　参数数量与解释压缩</w:t>
      </w:r>
    </w:p>
    <w:p>
      <w:pPr>
        <w:pStyle w:val="FirstParagraph"/>
      </w:pPr>
      <w:r>
        <w:t xml:space="preserve">拟合许多数据点并不自动意味着解释简洁。一个模型可能用大量自由参数记住每个条件，也可能用少量共享规则预测许多现象。评价时可以比较新数据表现、参数敏感性以及规则跨任务的可复用程度。参数少也不自动正确，过度简化可能系统遗漏重要过程。</w:t>
      </w:r>
    </w:p>
    <w:p>
      <w:pPr>
        <w:pStyle w:val="BodyText"/>
      </w:pPr>
      <w:r>
        <w:t xml:space="preserve">解释压缩指用共同机制连接原本分散的观察，同时允许明确例外。若每增加一个任务都需重新调整大量未经约束的参数，模型对新情境的解释力会降低。研究应公开哪些参数在不同实验间固定，哪些确有独立理由改变。</w:t>
      </w:r>
    </w:p>
    <w:p>
      <w:pPr>
        <w:pStyle w:val="BodyText"/>
      </w:pPr>
      <w:r>
        <w:t xml:space="preserve">模型竞争也应保留绝对表现。甲优于乙，可能只是甲较少失败；两者都可能远低于可达到的预测上限。适当的简单基准、强竞争模型和数据可靠性估计，有助于理解胜出的实际幅度。</w:t>
      </w:r>
    </w:p>
    <w:bookmarkEnd w:id="2500"/>
    <w:bookmarkStart w:id="2501" w:name="sec-150-16"/>
    <w:p>
      <w:pPr>
        <w:pStyle w:val="Heading3"/>
      </w:pPr>
      <w:r>
        <w:t xml:space="preserve">150.16　能耗与规模比较的计量范围</w:t>
      </w:r>
    </w:p>
    <w:p>
      <w:pPr>
        <w:pStyle w:val="FirstParagraph"/>
      </w:pPr>
      <w:r>
        <w:t xml:space="preserve">比较人工系统和脑的能耗，必须定义系统边界。一次推理、全部训练、数据中心冷却、外围硬件和传感设备属于不同计量范围；生物系统的全身支持、脑局部代谢和发育成本也应区分。只选择对一方有利的边界，会产生失真的效率结论。</w:t>
      </w:r>
    </w:p>
    <w:p>
      <w:pPr>
        <w:pStyle w:val="BodyText"/>
      </w:pPr>
      <w:r>
        <w:t xml:space="preserve">规模同样需要定义。人工参数、可训练权重、神经元、突触和动态状态具有不同含义。它们可以作为工程量分别计数，却不能通过一个固定比例互相换算。某模型参数超过某种脑结构的细胞数量，并不构成能力、意识或复杂性的充分比较。</w:t>
      </w:r>
    </w:p>
    <w:p>
      <w:pPr>
        <w:pStyle w:val="BodyText"/>
      </w:pPr>
      <w:r>
        <w:t xml:space="preserve">可信比较应先选择具体任务，再说明输入输出质量、时间、学习成本和资源范围。结论可以是某系统在该条件下完成任务更高效，并保留实现差异。这比用单一总量排列全部智能系统更容易检验。</w:t>
      </w:r>
    </w:p>
    <w:bookmarkEnd w:id="2501"/>
    <w:bookmarkStart w:id="2502" w:name="sec-150-17"/>
    <w:p>
      <w:pPr>
        <w:pStyle w:val="Heading3"/>
      </w:pPr>
      <w:r>
        <w:t xml:space="preserve">150.17　假设模型比较练习</w:t>
      </w:r>
    </w:p>
    <w:p>
      <w:pPr>
        <w:pStyle w:val="FirstParagraph"/>
      </w:pPr>
      <w:r>
        <w:t xml:space="preserve">模型甲和乙都在1000张熟悉类别图片上达到95%正确率。甲依赖局部纹理，乙更依赖轮廓。若把纹理随机替换而保留轮廓，两者会产生不同预测。先提出这一测试，再比较人和模型的表现，可以让机制判断更有约束。仅比较原始95%分数，无法识别策略。</w:t>
      </w:r>
    </w:p>
    <w:p>
      <w:pPr>
        <w:pStyle w:val="BodyText"/>
      </w:pPr>
      <w:r>
        <w:t xml:space="preserve">如果甲的内部层与某脑区的相关更高，也仍需检查映射是否过于灵活、是否使用独立数据、刺激是否覆盖关键差异，以及乙是否在其他维度预测更好。一个指标的胜出可以支持局部结论，不能自动宣布全系统等同。</w:t>
      </w:r>
    </w:p>
    <w:p>
      <w:pPr>
        <w:pStyle w:val="BodyText"/>
      </w:pPr>
      <w:r>
        <w:rPr>
          <w:bCs/>
          <w:b/>
        </w:rPr>
        <w:t xml:space="preserve">本章的结论边界</w:t>
      </w:r>
      <w:r>
        <w:t xml:space="preserve">　计算模型的价值来自明确目标、独立预测和对竞争解释的区分。人工网络与生物系统之间可以存在重要联系。对完整大脑、完整人格或意识复制的主张，证据要求应与主张强度同步提高。</w:t>
      </w:r>
    </w:p>
    <w:bookmarkEnd w:id="2502"/>
    <w:bookmarkEnd w:id="2503"/>
    <w:bookmarkStart w:id="2527" w:name="ch-151"/>
    <w:p>
      <w:pPr>
        <w:pStyle w:val="Heading2"/>
      </w:pPr>
      <w:r>
        <w:t xml:space="preserve">第151章　计算精神病学与模型的可检验性</w:t>
      </w:r>
    </w:p>
    <w:p>
      <w:pPr>
        <w:pStyle w:val="CalloutJudgment"/>
      </w:pPr>
      <w:r>
        <w:rPr>
          <w:bCs/>
          <w:b/>
        </w:rPr>
        <w:t xml:space="preserve">核心判断与置信度</w:t>
      </w:r>
      <w:r>
        <w:t xml:space="preserve">　计算模型可以把关于学习、推断、决策和症状的解释转化为明确的数量关系，并提出可检验预测。模型中的参数能否从资料中识别、能否在目标情境下重复、是否对应所命名的心理过程，以及使用它是否改善临床结局，需要分别建立证据。关于这些证据要求应当分开的判断，置信度高；关于现有某一任务参数足以独立诊断复杂精神障碍或选定最优治疗的普遍主张，证据不足</w:t>
      </w:r>
      <w:r>
        <w:rPr>
          <w:vertAlign w:val="superscript"/>
        </w:rPr>
        <w:t xml:space="preserve">[</w:t>
      </w:r>
      <w:hyperlink w:anchor="ref-1634">
        <w:r>
          <w:rPr>
            <w:rStyle w:val="Hyperlink"/>
            <w:vertAlign w:val="superscript"/>
          </w:rPr>
          <w:t xml:space="preserve">1634</w:t>
        </w:r>
      </w:hyperlink>
      <w:r>
        <w:rPr>
          <w:vertAlign w:val="superscript"/>
        </w:rPr>
        <w:t xml:space="preserve">,</w:t>
      </w:r>
      <w:hyperlink w:anchor="ref-1635">
        <w:r>
          <w:rPr>
            <w:rStyle w:val="Hyperlink"/>
            <w:vertAlign w:val="superscript"/>
          </w:rPr>
          <w:t xml:space="preserve">1635</w:t>
        </w:r>
      </w:hyperlink>
      <w:r>
        <w:rPr>
          <w:vertAlign w:val="superscript"/>
        </w:rPr>
        <w:t xml:space="preserve">,</w:t>
      </w:r>
      <w:hyperlink w:anchor="ref-1636">
        <w:r>
          <w:rPr>
            <w:rStyle w:val="Hyperlink"/>
            <w:vertAlign w:val="superscript"/>
          </w:rPr>
          <w:t xml:space="preserve">1636</w:t>
        </w:r>
      </w:hyperlink>
      <w:r>
        <w:rPr>
          <w:vertAlign w:val="superscript"/>
        </w:rPr>
        <w:t xml:space="preserve">]</w:t>
      </w:r>
      <w:r>
        <w:t xml:space="preserve">。</w:t>
      </w:r>
    </w:p>
    <w:bookmarkStart w:id="2504" w:name="sec-151-1"/>
    <w:p>
      <w:pPr>
        <w:pStyle w:val="Heading3"/>
      </w:pPr>
      <w:r>
        <w:t xml:space="preserve">151.1　从语言假说到生成模型</w:t>
      </w:r>
    </w:p>
    <w:p>
      <w:pPr>
        <w:pStyle w:val="FirstParagraph"/>
      </w:pPr>
      <w:r>
        <w:t xml:space="preserve">“对负面信息更敏感”可以指许多不同关系：负面结果的主观价值更大、更新速度更快、回忆更容易、注意分配更多，或者作答标准不同。若这些关系都可以导致相似的总分变化，仅给总分冠以一个心理名称，难以确定哪一种过程发生了变化。</w:t>
      </w:r>
    </w:p>
    <w:p>
      <w:pPr>
        <w:pStyle w:val="BodyText"/>
      </w:pPr>
      <w:r>
        <w:t xml:space="preserve">生成模型需要说明资料如何产生。例如，参与者先依据既往经历形成对选项的估计，再依据估计和决策规则选择，随后观察结果并更新内部状态。研究者还应说明观察误差、遗漏反应和测量尺度。每个环节都构成模型的一部分。</w:t>
      </w:r>
    </w:p>
    <w:p>
      <w:pPr>
        <w:pStyle w:val="BodyText"/>
      </w:pPr>
      <w:r>
        <w:t xml:space="preserve">模型的价值之一，是迫使解释承担具体后果。如果假说认为负面结果只改变更新速度，就应预测某些反转后的学习曲线；若假说认为它改变所有结果的主观价值，则预测可能涉及稳定期选择。实验可以通过安排这些情境，让竞争解释产生可区分的结果</w:t>
      </w:r>
      <w:r>
        <w:rPr>
          <w:vertAlign w:val="superscript"/>
        </w:rPr>
        <w:t xml:space="preserve">[</w:t>
      </w:r>
      <w:hyperlink w:anchor="ref-1637">
        <w:r>
          <w:rPr>
            <w:rStyle w:val="Hyperlink"/>
            <w:vertAlign w:val="superscript"/>
          </w:rPr>
          <w:t xml:space="preserve">1637</w:t>
        </w:r>
      </w:hyperlink>
      <w:r>
        <w:rPr>
          <w:vertAlign w:val="superscript"/>
        </w:rPr>
        <w:t xml:space="preserve">]</w:t>
      </w:r>
      <w:r>
        <w:t xml:space="preserve">。</w:t>
      </w:r>
    </w:p>
    <w:bookmarkEnd w:id="2504"/>
    <w:bookmarkStart w:id="2505" w:name="sec-151-2"/>
    <w:p>
      <w:pPr>
        <w:pStyle w:val="Heading3"/>
      </w:pPr>
      <w:r>
        <w:t xml:space="preserve">151.2　描述、拟合、机制与用途</w:t>
      </w:r>
    </w:p>
    <w:p>
      <w:pPr>
        <w:pStyle w:val="FirstParagraph"/>
      </w:pPr>
      <w:r>
        <w:t xml:space="preserve">描述模型可以压缩资料规律，例如用少数参数概括反应时分布。过程模型进一步提出内部操作怎样生成行为。生物物理模型还可能将部分状态与细胞、电流或回路活动联系。一个模型属于哪种层次，应由实际方程及验证关系决定。</w:t>
      </w:r>
    </w:p>
    <w:p>
      <w:pPr>
        <w:pStyle w:val="BodyText"/>
      </w:pPr>
      <w:r>
        <w:t xml:space="preserve">较好的拟合表示模型能够贴近所观察的资料。机制支持还需要能够排除某些替代解释，预测新操作的结果，并与独立测量形成可检验联系。若许多模型都能产生同一行为，拟合优度的意义就受到限制。</w:t>
      </w:r>
    </w:p>
    <w:p>
      <w:pPr>
        <w:pStyle w:val="BodyText"/>
      </w:pPr>
      <w:r>
        <w:t xml:space="preserve">临床用途则提出另一组要求。一个模型即使尚未完整揭示病因，也可能在特定情境下帮助预测；一个机制模型即使富有解释力，也可能没有足够精度用于个体决策。论文应明确所追求的目标，避免用某一种成功替代其他目标的证据</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r>
        <w:t xml:space="preserve">。</w:t>
      </w:r>
    </w:p>
    <w:bookmarkEnd w:id="2505"/>
    <w:bookmarkStart w:id="2506" w:name="sec-151-3"/>
    <w:p>
      <w:pPr>
        <w:pStyle w:val="Heading3"/>
      </w:pPr>
      <w:r>
        <w:t xml:space="preserve">151.3　状态、参数与观察量</w:t>
      </w:r>
    </w:p>
    <w:p>
      <w:pPr>
        <w:pStyle w:val="FirstParagraph"/>
      </w:pPr>
      <w:r>
        <w:t xml:space="preserve">状态通常表示随时间变化的系统条件，例如某一试次的价值估计、当前不确定性或即时心境。参数控制状态如何演变，例如更新率、衰减率或状态向观察值转换的斜率。观察量则是按键、反应时、评分或生理记录。</w:t>
      </w:r>
    </w:p>
    <w:p>
      <w:pPr>
        <w:pStyle w:val="BodyText"/>
      </w:pPr>
      <w:r>
        <w:t xml:space="preserve">三者之间的边界依赖模型。在简单模型中被视为恒定参数的学习率，可以在更复杂模型中随环境变化而改变。这样的扩展可能有理论意义，也增加了资料识别的难度。不能在观察不到变化时，只凭模型名字就认定个体拥有固定特质。</w:t>
      </w:r>
    </w:p>
    <w:p>
      <w:pPr>
        <w:pStyle w:val="BodyText"/>
      </w:pPr>
      <w:r>
        <w:t xml:space="preserve">观察模型同样重要。连续的潜在心境通过有界量尺报告时，极端评分会产生压缩；反应时可能受到运动和设备延迟影响；按键错误可能来自注意短暂脱离。忽略这些关系，会把测量过程的变化吸收到心理参数中。</w:t>
      </w:r>
    </w:p>
    <w:bookmarkEnd w:id="2506"/>
    <w:bookmarkStart w:id="2507" w:name="sec-151-4"/>
    <w:p>
      <w:pPr>
        <w:pStyle w:val="Heading3"/>
      </w:pPr>
      <w:r>
        <w:t xml:space="preserve">151.4　结构不可识别的一个例子</w:t>
      </w:r>
    </w:p>
    <w:p>
      <w:pPr>
        <w:pStyle w:val="FirstParagraph"/>
      </w:pPr>
      <w:r>
        <w:t xml:space="preserve">考虑一个教学模型：某选项的价值Q在获得结果r后，按Q的新值＝Q的旧值＋α×（λr－Q的旧值）更新。α表示更新比例，λ表示结果尺度。假设所有初始Q均为零，且两个选项的选择概率取决于β乘以它们的价值差。</w:t>
      </w:r>
    </w:p>
    <w:p>
      <w:pPr>
        <w:pStyle w:val="BodyText"/>
      </w:pPr>
      <w:r>
        <w:t xml:space="preserve">在这些假设下，所有Q都与λ成比例。把λ乘以任何正数c，同时把β除以c，模型对每个试次的选择概率完全不变。因此，仅凭这些选择资料，能够识别的通常是乘积βλ，无法分别确定λ和β。增加相同类型试次数，也不能自动消除这一结构性问题。</w:t>
      </w:r>
    </w:p>
    <w:p>
      <w:pPr>
        <w:pStyle w:val="BodyText"/>
      </w:pPr>
      <w:r>
        <w:t xml:space="preserve">研究者可以固定其中一个尺度、使用具有额外约束的模型，或加入能独立提供信息的测量。任何解决方式都应写明其假设。如果依靠先验把两个参数分开，后验的分离有一部分来自先验信息，不能全部归功于行为资料。</w:t>
      </w:r>
    </w:p>
    <w:p>
      <w:pPr>
        <w:pStyle w:val="BodyText"/>
      </w:pPr>
      <w:r>
        <w:t xml:space="preserve">这个例子也说明，参数名字不会赋予可识别性。将λ命名为“奖赏敏感性”、β命名为“选择稳定性”，并不会改变上述数学关系。报告两者分别与症状显著相关之前，必须检查方程是否允许这种独立解释。</w:t>
      </w:r>
    </w:p>
    <w:bookmarkEnd w:id="2507"/>
    <w:bookmarkStart w:id="2508" w:name="sec-151-5"/>
    <w:p>
      <w:pPr>
        <w:pStyle w:val="Heading3"/>
      </w:pPr>
      <w:r>
        <w:t xml:space="preserve">151.5　实用可识别性与任务信息</w:t>
      </w:r>
    </w:p>
    <w:p>
      <w:pPr>
        <w:pStyle w:val="FirstParagraph"/>
      </w:pPr>
      <w:r>
        <w:t xml:space="preserve">有些模型在无限精确资料下可以区分参数，但在实际试次数和噪声下，许多参数组合仍会给出近似相同的预测。这属于实用识别问题。似然表面可能很平，或者沿一条弯曲区域变化很小，使点估计对起点、边界或微小误差敏感。</w:t>
      </w:r>
    </w:p>
    <w:p>
      <w:pPr>
        <w:pStyle w:val="BodyText"/>
      </w:pPr>
      <w:r>
        <w:t xml:space="preserve">任务是否提供信息，要看它是否让不同参数产生不同结果。若所有选项差异都非常大，参与者几乎总选择同一项，资料对选择斜率的精确值可能提供很少信息。若从不发生环境变化，也难以区分慢更新与某些稳定策略。</w:t>
      </w:r>
    </w:p>
    <w:p>
      <w:pPr>
        <w:pStyle w:val="BodyText"/>
      </w:pPr>
      <w:r>
        <w:t xml:space="preserve">增加试次数、改进刺激范围、安排有辨别力的反转、记录反应时或进行独立测量，都可能改善识别，但效果需要模拟验证。更长任务还可能引入疲劳和策略改变，因此资料数量与资料质量应同时考虑</w:t>
      </w:r>
      <w:r>
        <w:rPr>
          <w:vertAlign w:val="superscript"/>
        </w:rPr>
        <w:t xml:space="preserve">[</w:t>
      </w:r>
      <w:hyperlink w:anchor="ref-1634">
        <w:r>
          <w:rPr>
            <w:rStyle w:val="Hyperlink"/>
            <w:vertAlign w:val="superscript"/>
          </w:rPr>
          <w:t xml:space="preserve">1634</w:t>
        </w:r>
      </w:hyperlink>
      <w:r>
        <w:rPr>
          <w:vertAlign w:val="superscript"/>
        </w:rPr>
        <w:t xml:space="preserve">,</w:t>
      </w:r>
      <w:hyperlink w:anchor="ref-1635">
        <w:r>
          <w:rPr>
            <w:rStyle w:val="Hyperlink"/>
            <w:vertAlign w:val="superscript"/>
          </w:rPr>
          <w:t xml:space="preserve">1635</w:t>
        </w:r>
      </w:hyperlink>
      <w:r>
        <w:rPr>
          <w:vertAlign w:val="superscript"/>
        </w:rPr>
        <w:t xml:space="preserve">]</w:t>
      </w:r>
      <w:r>
        <w:t xml:space="preserve">。</w:t>
      </w:r>
    </w:p>
    <w:bookmarkEnd w:id="2508"/>
    <w:bookmarkStart w:id="2509" w:name="sec-151-6"/>
    <w:p>
      <w:pPr>
        <w:pStyle w:val="Heading3"/>
      </w:pPr>
      <w:r>
        <w:t xml:space="preserve">151.6　参数恢复究竟检验什么</w:t>
      </w:r>
    </w:p>
    <w:p>
      <w:pPr>
        <w:pStyle w:val="FirstParagraph"/>
      </w:pPr>
      <w:r>
        <w:t xml:space="preserve">参数恢复分析先指定生成参数，用模型产生模拟资料，再把这些资料当作未知来源进行估计。比较生成值与估计值，可以检验当前任务、样本和估计程序能否找回已知参数。</w:t>
      </w:r>
    </w:p>
    <w:p>
      <w:pPr>
        <w:pStyle w:val="BodyText"/>
      </w:pPr>
      <w:r>
        <w:t xml:space="preserve">相关系数只是其中一种指标。假设所有估计值都等于真实值的一半再加0.3，二者相关仍可为1，但尺度和绝对值均存在偏差。还需要查看平均偏差、误差随参数区域的变化、区间覆盖、边界堆积和参数之间的混淆。</w:t>
      </w:r>
    </w:p>
    <w:p>
      <w:pPr>
        <w:pStyle w:val="BodyText"/>
      </w:pPr>
      <w:r>
        <w:t xml:space="preserve">模拟的范围应对应实际使用情境。只在最容易恢复的参数区间、极低噪声或过长任务中成功，不能保证真实资料中的表现。将生成参数从同一个强先验中抽取，也可能掩盖先验失配时的问题。恢复结果应说明所测试的条件。</w:t>
      </w:r>
    </w:p>
    <w:p>
      <w:pPr>
        <w:pStyle w:val="BodyText"/>
      </w:pPr>
      <w:r>
        <w:t xml:space="preserve">恢复成功仍是条件性证据：如果真实资料确由该模型及设定的误差过程产生，程序有能力找回参数。真实参与者是否使用这一模型，仍需其他检验。用模拟验证计算流程，不能直接证明心理解释。</w:t>
      </w:r>
    </w:p>
    <w:bookmarkEnd w:id="2509"/>
    <w:bookmarkStart w:id="2510" w:name="sec-151-7"/>
    <w:p>
      <w:pPr>
        <w:pStyle w:val="Heading3"/>
      </w:pPr>
      <w:r>
        <w:t xml:space="preserve">151.7　模型恢复与候选模型范围</w:t>
      </w:r>
    </w:p>
    <w:p>
      <w:pPr>
        <w:pStyle w:val="FirstParagraph"/>
      </w:pPr>
      <w:r>
        <w:t xml:space="preserve">模型恢复把问题扩大到多个候选模型。研究者从每个模型分别生成资料，再运行完整选择程序，查看哪一个模型被选中。混淆矩阵可以显示某两种解释是否经常被误认，以及选择程序是否偏向某个更灵活的模型。</w:t>
      </w:r>
    </w:p>
    <w:p>
      <w:pPr>
        <w:pStyle w:val="BodyText"/>
      </w:pPr>
      <w:r>
        <w:t xml:space="preserve">模型恢复与参数恢复相互补充。可能存在一种模型容易与其他候选区分，但其内部几个参数难以分别估计；也可能各模型内部参数能够恢复，模型之间却在当前任务下产生近似行为。</w:t>
      </w:r>
    </w:p>
    <w:p>
      <w:pPr>
        <w:pStyle w:val="BodyText"/>
      </w:pPr>
      <w:r>
        <w:t xml:space="preserve">候选集合之外的解释不会出现在混淆矩阵中。一个模型在现有集合中获得最高支持，只能说明它在这一比较中较优。若所有候选模型都遗漏了工作记忆、任务理解或策略切换，胜出模型仍可能误解资料。设计有针对性的反例与新任务，可以扩大检验范围</w:t>
      </w:r>
      <w:r>
        <w:rPr>
          <w:vertAlign w:val="superscript"/>
        </w:rPr>
        <w:t xml:space="preserve">[</w:t>
      </w:r>
      <w:hyperlink w:anchor="ref-1637">
        <w:r>
          <w:rPr>
            <w:rStyle w:val="Hyperlink"/>
            <w:vertAlign w:val="superscript"/>
          </w:rPr>
          <w:t xml:space="preserve">1637</w:t>
        </w:r>
      </w:hyperlink>
      <w:r>
        <w:rPr>
          <w:vertAlign w:val="superscript"/>
        </w:rPr>
        <w:t xml:space="preserve">]</w:t>
      </w:r>
      <w:r>
        <w:t xml:space="preserve">。</w:t>
      </w:r>
    </w:p>
    <w:bookmarkEnd w:id="2510"/>
    <w:bookmarkStart w:id="2511" w:name="sec-151-8"/>
    <w:p>
      <w:pPr>
        <w:pStyle w:val="Heading3"/>
      </w:pPr>
      <w:r>
        <w:t xml:space="preserve">151.8　先验预测与后验预测</w:t>
      </w:r>
    </w:p>
    <w:p>
      <w:pPr>
        <w:pStyle w:val="FirstParagraph"/>
      </w:pPr>
      <w:r>
        <w:t xml:space="preserve">先验预测检验要求在观察当前结果之前，查看先验和模型共同允许哪些行为。如果先验大量生成几乎不可能的反应时、完全随机选择或极端饱和评分，研究者需要判断这种范围是否符合实际问题。</w:t>
      </w:r>
    </w:p>
    <w:p>
      <w:pPr>
        <w:pStyle w:val="BodyText"/>
      </w:pPr>
      <w:r>
        <w:t xml:space="preserve">后验预测则用估计后的模型生成新资料，检查它能否重现重要的数据特征。整体平均正确率相近，仍可能掩盖模型对错误后调整、学习早期、反转阶段或反应时尾部的系统性失败。检验应覆盖理论最关心的现象。</w:t>
      </w:r>
    </w:p>
    <w:p>
      <w:pPr>
        <w:pStyle w:val="BodyText"/>
      </w:pPr>
      <w:r>
        <w:t xml:space="preserve">选择哪些特征进行检查，应与研究目标相联系。不能在看到模型失败后不断改换评价指标，却仍把结果称作事先验证。探索性改进可以有价值，但应在独立资料中再次检验其新增预测</w:t>
      </w:r>
      <w:r>
        <w:rPr>
          <w:vertAlign w:val="superscript"/>
        </w:rPr>
        <w:t xml:space="preserve">[</w:t>
      </w:r>
      <w:hyperlink w:anchor="ref-1635">
        <w:r>
          <w:rPr>
            <w:rStyle w:val="Hyperlink"/>
            <w:vertAlign w:val="superscript"/>
          </w:rPr>
          <w:t xml:space="preserve">1635</w:t>
        </w:r>
      </w:hyperlink>
      <w:r>
        <w:rPr>
          <w:vertAlign w:val="superscript"/>
        </w:rPr>
        <w:t xml:space="preserve">]</w:t>
      </w:r>
      <w:r>
        <w:t xml:space="preserve">。</w:t>
      </w:r>
    </w:p>
    <w:bookmarkEnd w:id="2511"/>
    <w:bookmarkStart w:id="2512" w:name="sec-151-9"/>
    <w:p>
      <w:pPr>
        <w:pStyle w:val="Heading3"/>
      </w:pPr>
      <w:r>
        <w:t xml:space="preserve">151.9　层级模型如何借用群体信息</w:t>
      </w:r>
    </w:p>
    <w:p>
      <w:pPr>
        <w:pStyle w:val="FirstParagraph"/>
      </w:pPr>
      <w:r>
        <w:t xml:space="preserve">层级模型把个体参数视为来自某个群体分布，使资料较少的个体可以借用群体信息。它能够减少极端的不稳定估计，但同时引入关于群体分布和个体关系的假设。收缩程度由个体资料的精度、群体差异和先验共同决定</w:t>
      </w:r>
      <w:r>
        <w:rPr>
          <w:vertAlign w:val="superscript"/>
        </w:rPr>
        <w:t xml:space="preserve">[</w:t>
      </w:r>
      <w:hyperlink w:anchor="ref-1638">
        <w:r>
          <w:rPr>
            <w:rStyle w:val="Hyperlink"/>
            <w:vertAlign w:val="superscript"/>
          </w:rPr>
          <w:t xml:space="preserve">1638</w:t>
        </w:r>
      </w:hyperlink>
      <w:r>
        <w:rPr>
          <w:vertAlign w:val="superscript"/>
        </w:rPr>
        <w:t xml:space="preserve">]</w:t>
      </w:r>
      <w:r>
        <w:t xml:space="preserve">。</w:t>
      </w:r>
    </w:p>
    <w:p>
      <w:pPr>
        <w:pStyle w:val="BodyText"/>
      </w:pPr>
      <w:r>
        <w:t xml:space="preserve">用一个完全假设的正态例子说明：某个体的粗估计为0.8，标准误为0.5；群体均值为0.3，个体间标准差为0.2。在把群体参数视为已知的简化条件下，个体资料的权重为0.04除以0.29，约0.138，更新后的均值约0.369。若标准误降至0.1，权重变成0.8，更新后均值为0.7。</w:t>
      </w:r>
    </w:p>
    <w:p>
      <w:pPr>
        <w:pStyle w:val="BodyText"/>
      </w:pPr>
      <w:r>
        <w:t xml:space="preserve">这些数值只是数学演示。它们说明，信息少的个体会更靠近群体均值。不能把收缩后的窄分布当作每个人都被独立精确测量，也不能忽略少数群体可能与总体分布不同。需要检查分组结构、厚尾分布、异常个体和先验敏感性。</w:t>
      </w:r>
    </w:p>
    <w:bookmarkEnd w:id="2512"/>
    <w:bookmarkStart w:id="2513" w:name="sec-151-10"/>
    <w:p>
      <w:pPr>
        <w:pStyle w:val="Heading3"/>
      </w:pPr>
      <w:r>
        <w:t xml:space="preserve">151.10　组间差异与个体参数</w:t>
      </w:r>
    </w:p>
    <w:p>
      <w:pPr>
        <w:pStyle w:val="FirstParagraph"/>
      </w:pPr>
      <w:r>
        <w:t xml:space="preserve">如果先分别拟合每个人，再把点估计当作无误差数据做组间检验，会丢失参数估计的不确定性。不同组若具有不同试次数、遗漏率或噪声，这种处理还可能把估计精度的差异误认为心理过程差异。</w:t>
      </w:r>
    </w:p>
    <w:p>
      <w:pPr>
        <w:pStyle w:val="BodyText"/>
      </w:pPr>
      <w:r>
        <w:t xml:space="preserve">联合层级模型可以把组别、个体差异和试次资料纳入同一概率结构，但模型是否合适仍需检验。若某个群体更常误解任务，而模型只允许学习率变化，联合估计也可能给出有系统偏差的结果。</w:t>
      </w:r>
    </w:p>
    <w:p>
      <w:pPr>
        <w:pStyle w:val="BodyText"/>
      </w:pPr>
      <w:r>
        <w:t xml:space="preserve">应同时查看可直接观察的行为差异、模型拟合、参数恢复及模型失配。模型参数提供一种分析视角，不能取代对原始行为模式的解释。组平均参数差异也不足以支持对单个患者进行确定分类。</w:t>
      </w:r>
    </w:p>
    <w:bookmarkEnd w:id="2513"/>
    <w:bookmarkStart w:id="2514" w:name="sec-151-11"/>
    <w:p>
      <w:pPr>
        <w:pStyle w:val="Heading3"/>
      </w:pPr>
      <w:r>
        <w:t xml:space="preserve">151.11　选择与反应时的联合建模</w:t>
      </w:r>
    </w:p>
    <w:p>
      <w:pPr>
        <w:pStyle w:val="FirstParagraph"/>
      </w:pPr>
      <w:r>
        <w:t xml:space="preserve">二选一结果只有有限的信息。反应时还可能包含决策速度、谨慎程度、证据质量和非决策过程的线索。漂移扩散等序贯采样模型尝试利用选择与时间分布区分这些因素，但其解释依赖边界、噪声尺度、起点和非决策时间等假设</w:t>
      </w:r>
      <w:r>
        <w:rPr>
          <w:vertAlign w:val="superscript"/>
        </w:rPr>
        <w:t xml:space="preserve">[</w:t>
      </w:r>
      <w:hyperlink w:anchor="ref-1638">
        <w:r>
          <w:rPr>
            <w:rStyle w:val="Hyperlink"/>
            <w:vertAlign w:val="superscript"/>
          </w:rPr>
          <w:t xml:space="preserve">1638</w:t>
        </w:r>
      </w:hyperlink>
      <w:r>
        <w:rPr>
          <w:vertAlign w:val="superscript"/>
        </w:rPr>
        <w:t xml:space="preserve">]</w:t>
      </w:r>
      <w:r>
        <w:t xml:space="preserve">。</w:t>
      </w:r>
    </w:p>
    <w:p>
      <w:pPr>
        <w:pStyle w:val="BodyText"/>
      </w:pPr>
      <w:r>
        <w:t xml:space="preserve">Hess等2025年的方法研究结合模拟与奖励学习任务，检验同时使用二元选择和连续反应时的模型。研究支持在其任务与模型条件下，多种行为资料可以改善模型及参数识别；这一结果不能自动推广为所有任务加入反应时都会提高机制有效性</w:t>
      </w:r>
      <w:r>
        <w:rPr>
          <w:vertAlign w:val="superscript"/>
        </w:rPr>
        <w:t xml:space="preserve">[</w:t>
      </w:r>
      <w:hyperlink w:anchor="ref-1635">
        <w:r>
          <w:rPr>
            <w:rStyle w:val="Hyperlink"/>
            <w:vertAlign w:val="superscript"/>
          </w:rPr>
          <w:t xml:space="preserve">1635</w:t>
        </w:r>
      </w:hyperlink>
      <w:r>
        <w:rPr>
          <w:vertAlign w:val="superscript"/>
        </w:rPr>
        <w:t xml:space="preserve">]</w:t>
      </w:r>
      <w:r>
        <w:t xml:space="preserve">。</w:t>
      </w:r>
    </w:p>
    <w:p>
      <w:pPr>
        <w:pStyle w:val="BodyText"/>
      </w:pPr>
      <w:r>
        <w:t xml:space="preserve">联合资料也会增加新的误差来源。设备延迟、速度奖励、极端反应、运动障碍及策略变化，可能影响时间分布。若反应时与选择的条件依赖被错误设定，增加一种数据流可能增加模型偏差。应检查各数据流及其联合关系。</w:t>
      </w:r>
    </w:p>
    <w:bookmarkEnd w:id="2514"/>
    <w:bookmarkStart w:id="2515" w:name="sec-151-12"/>
    <w:p>
      <w:pPr>
        <w:pStyle w:val="Heading3"/>
      </w:pPr>
      <w:r>
        <w:t xml:space="preserve">151.12　从跨诊断维度研究症状</w:t>
      </w:r>
    </w:p>
    <w:p>
      <w:pPr>
        <w:pStyle w:val="FirstParagraph"/>
      </w:pPr>
      <w:r>
        <w:t xml:space="preserve">精神障碍的临床分类可以帮助沟通、组织证据与安排照护，但同一诊断内部常存在差异，不同诊断之间也可能共享某些表现。跨诊断研究尝试把相关症状或过程作为连续维度，检验它们与行为机制的关系。</w:t>
      </w:r>
    </w:p>
    <w:p>
      <w:pPr>
        <w:pStyle w:val="BodyText"/>
      </w:pPr>
      <w:r>
        <w:t xml:space="preserve">Gillan等2016年在两个独立的一般人群网络样本中，分别分析548人和1413人的任务与问卷资料，发现强迫行为及侵入性思维维度与较低的目标导向控制相关。该设计有助于检验维度特异性，但属于一般人群中的关联研究，不能直接确立强迫障碍患者的单一病因或个人诊断阈值</w:t>
      </w:r>
      <w:r>
        <w:rPr>
          <w:vertAlign w:val="superscript"/>
        </w:rPr>
        <w:t xml:space="preserve">[</w:t>
      </w:r>
      <w:hyperlink w:anchor="ref-1639">
        <w:r>
          <w:rPr>
            <w:rStyle w:val="Hyperlink"/>
            <w:vertAlign w:val="superscript"/>
          </w:rPr>
          <w:t xml:space="preserve">1639</w:t>
        </w:r>
      </w:hyperlink>
      <w:r>
        <w:rPr>
          <w:vertAlign w:val="superscript"/>
        </w:rPr>
        <w:t xml:space="preserve">]</w:t>
      </w:r>
      <w:r>
        <w:t xml:space="preserve">。</w:t>
      </w:r>
    </w:p>
    <w:p>
      <w:pPr>
        <w:pStyle w:val="BodyText"/>
      </w:pPr>
      <w:r>
        <w:t xml:space="preserve">维度化本身也有假设。问卷项目选择、共同方法、因子数、年龄范围与症状分布会影响维度结构。若把所有症状都纳入一个总因子，可能得到共享负担指标，同时失去对某些具体机制的区分。维度和分类可以针对不同问题提供信息。</w:t>
      </w:r>
    </w:p>
    <w:bookmarkEnd w:id="2515"/>
    <w:bookmarkStart w:id="2516" w:name="sec-151-13"/>
    <w:p>
      <w:pPr>
        <w:pStyle w:val="Heading3"/>
      </w:pPr>
      <w:r>
        <w:t xml:space="preserve">151.13　常模模型与个体偏离</w:t>
      </w:r>
    </w:p>
    <w:p>
      <w:pPr>
        <w:pStyle w:val="FirstParagraph"/>
      </w:pPr>
      <w:r>
        <w:t xml:space="preserve">常模模型尝试描述某种测量在年龄、情境或其他相关变量条件下的分布，再评估个体相对于这一分布的位置。它可以保留同一临床群体内部不同方向的偏离，使研究不必只依赖病例与对照的平均差</w:t>
      </w:r>
      <w:r>
        <w:rPr>
          <w:vertAlign w:val="superscript"/>
        </w:rPr>
        <w:t xml:space="preserve">[</w:t>
      </w:r>
      <w:hyperlink w:anchor="ref-1640">
        <w:r>
          <w:rPr>
            <w:rStyle w:val="Hyperlink"/>
            <w:vertAlign w:val="superscript"/>
          </w:rPr>
          <w:t xml:space="preserve">1640</w:t>
        </w:r>
      </w:hyperlink>
      <w:r>
        <w:rPr>
          <w:vertAlign w:val="superscript"/>
        </w:rPr>
        <w:t xml:space="preserve">]</w:t>
      </w:r>
      <w:r>
        <w:t xml:space="preserve">。</w:t>
      </w:r>
    </w:p>
    <w:p>
      <w:pPr>
        <w:pStyle w:val="BodyText"/>
      </w:pPr>
      <w:r>
        <w:t xml:space="preserve">偏离值的解释取决于参照样本和预测不确定性。某个观测在当前参照群体中罕见，可能与疾病、环境、设备、人口结构或正常的少见变异有关。统计罕见与功能损害之间，需要独立证据建立联系。</w:t>
      </w:r>
    </w:p>
    <w:p>
      <w:pPr>
        <w:pStyle w:val="BodyText"/>
      </w:pPr>
      <w:r>
        <w:t xml:space="preserve">建模时还要区分个体间自然变异与模型估计不确定性。资料稀少的年龄区间应当具有较宽的预测范围。若模型在没有足够训练资料的群体中仍输出很确定的偏离分数，应检查外推、校准和群体代表性。</w:t>
      </w:r>
    </w:p>
    <w:bookmarkEnd w:id="2516"/>
    <w:bookmarkStart w:id="2517" w:name="sec-151-14"/>
    <w:p>
      <w:pPr>
        <w:pStyle w:val="Heading3"/>
      </w:pPr>
      <w:r>
        <w:t xml:space="preserve">151.14　可恢复、可重复与可推广的分离</w:t>
      </w:r>
    </w:p>
    <w:p>
      <w:pPr>
        <w:pStyle w:val="FirstParagraph"/>
      </w:pPr>
      <w:r>
        <w:t xml:space="preserve">Pike等2026年研究了548名英国网络招募参与者的五类任务及七份心理健康问卷，其中115人约14天后重测。部分任务因技术或行为质量问题使用较少资料，不能把548视为每一项分析的固定样本量。研究发现，胜出模型的参数总体恢复与重测表现较好，但概念相近参数的跨任务对应有限，与症状的关系也较弱</w:t>
      </w:r>
      <w:r>
        <w:rPr>
          <w:vertAlign w:val="superscript"/>
        </w:rPr>
        <w:t xml:space="preserve">[</w:t>
      </w:r>
      <w:hyperlink w:anchor="ref-1636">
        <w:r>
          <w:rPr>
            <w:rStyle w:val="Hyperlink"/>
            <w:vertAlign w:val="superscript"/>
          </w:rPr>
          <w:t xml:space="preserve">1636</w:t>
        </w:r>
      </w:hyperlink>
      <w:r>
        <w:rPr>
          <w:vertAlign w:val="superscript"/>
        </w:rPr>
        <w:t xml:space="preserve">]</w:t>
      </w:r>
      <w:r>
        <w:t xml:space="preserve">。</w:t>
      </w:r>
    </w:p>
    <w:p>
      <w:pPr>
        <w:pStyle w:val="BodyText"/>
      </w:pPr>
      <w:r>
        <w:t xml:space="preserve">这一结果支持分开检验多个环节。参数在同一任务中稳定，仍可能反映任务特有策略；名称相同的“敏感性”在不同方程中可能具有不同单位和含义。该论文2026年9月的勘误更正作者机构信息，未更改这些结果</w:t>
      </w:r>
      <w:r>
        <w:rPr>
          <w:vertAlign w:val="superscript"/>
        </w:rPr>
        <w:t xml:space="preserve">[</w:t>
      </w:r>
      <w:hyperlink w:anchor="ref-1636">
        <w:r>
          <w:rPr>
            <w:rStyle w:val="Hyperlink"/>
            <w:vertAlign w:val="superscript"/>
          </w:rPr>
          <w:t xml:space="preserve">1636</w:t>
        </w:r>
      </w:hyperlink>
      <w:r>
        <w:rPr>
          <w:vertAlign w:val="superscript"/>
        </w:rPr>
        <w:t xml:space="preserve">]</w:t>
      </w:r>
      <w:r>
        <w:t xml:space="preserve">。</w:t>
      </w:r>
    </w:p>
    <w:p>
      <w:pPr>
        <w:pStyle w:val="BodyText"/>
      </w:pPr>
      <w:r>
        <w:t xml:space="preserve">研究披露了部分作者与Roche、COMPASS、Oura及数字健康企业的工作、咨询或持股关系，并说明相应关联的背景。利益披露不能单独判断结果真伪，仍需结合设计、数据、分析和独立重复评估</w:t>
      </w:r>
      <w:r>
        <w:rPr>
          <w:vertAlign w:val="superscript"/>
        </w:rPr>
        <w:t xml:space="preserve">[</w:t>
      </w:r>
      <w:hyperlink w:anchor="ref-1636">
        <w:r>
          <w:rPr>
            <w:rStyle w:val="Hyperlink"/>
            <w:vertAlign w:val="superscript"/>
          </w:rPr>
          <w:t xml:space="preserve">1636</w:t>
        </w:r>
      </w:hyperlink>
      <w:r>
        <w:rPr>
          <w:vertAlign w:val="superscript"/>
        </w:rPr>
        <w:t xml:space="preserve">]</w:t>
      </w:r>
      <w:r>
        <w:t xml:space="preserve">。</w:t>
      </w:r>
    </w:p>
    <w:bookmarkEnd w:id="2517"/>
    <w:bookmarkStart w:id="2518" w:name="sec-151-15"/>
    <w:p>
      <w:pPr>
        <w:pStyle w:val="Heading3"/>
      </w:pPr>
      <w:r>
        <w:t xml:space="preserve">151.15　心境动态模型的最新检验</w:t>
      </w:r>
    </w:p>
    <w:p>
      <w:pPr>
        <w:pStyle w:val="FirstParagraph"/>
      </w:pPr>
      <w:r>
        <w:t xml:space="preserve">Carrillo等2026年在163名健康志愿者构成的不同任务样本中，检验两周重测的心境模型；每项任务的参加人数不同。研究发现基线心境和累积反馈权重相对较稳定，某些衰减或心境反过来影响反馈解释的参数则较难恢复或重复。健康样本中数分钟的评分动态，能否解释临床中持续数周的心境变化，仍需专门研究</w:t>
      </w:r>
      <w:r>
        <w:rPr>
          <w:vertAlign w:val="superscript"/>
        </w:rPr>
        <w:t xml:space="preserve">[</w:t>
      </w:r>
      <w:hyperlink w:anchor="ref-1641">
        <w:r>
          <w:rPr>
            <w:rStyle w:val="Hyperlink"/>
            <w:vertAlign w:val="superscript"/>
          </w:rPr>
          <w:t xml:space="preserve">1641</w:t>
        </w:r>
      </w:hyperlink>
      <w:r>
        <w:rPr>
          <w:vertAlign w:val="superscript"/>
        </w:rPr>
        <w:t xml:space="preserve">]</w:t>
      </w:r>
      <w:r>
        <w:t xml:space="preserve">。</w:t>
      </w:r>
    </w:p>
    <w:p>
      <w:pPr>
        <w:pStyle w:val="BodyText"/>
      </w:pPr>
      <w:r>
        <w:t xml:space="preserve">例如，新任务中反馈权重的重测相关为0.62，95%置信区间0.49至0.72；衰减参数的相关约0.21，95%置信区间0.03至0.38。统计显著和足够精确的个体测量之间仍有距离。论文披露一位作者与药物、医疗器械和数字健康企业的相关联系，其他作者声明无竞争利益</w:t>
      </w:r>
      <w:r>
        <w:rPr>
          <w:vertAlign w:val="superscript"/>
        </w:rPr>
        <w:t xml:space="preserve">[</w:t>
      </w:r>
      <w:hyperlink w:anchor="ref-1641">
        <w:r>
          <w:rPr>
            <w:rStyle w:val="Hyperlink"/>
            <w:vertAlign w:val="superscript"/>
          </w:rPr>
          <w:t xml:space="preserve">1641</w:t>
        </w:r>
      </w:hyperlink>
      <w:r>
        <w:rPr>
          <w:vertAlign w:val="superscript"/>
        </w:rPr>
        <w:t xml:space="preserve">]</w:t>
      </w:r>
      <w:r>
        <w:t xml:space="preserve">。</w:t>
      </w:r>
    </w:p>
    <w:p>
      <w:pPr>
        <w:pStyle w:val="BodyText"/>
      </w:pPr>
      <w:r>
        <w:t xml:space="preserve">这些结果也提醒研究者保留状态变化的可能性。两周后参数不同，可以同时涉及测量噪声、模型失配和真实变化。需要密集纵向资料、生活事件、症状变化及合适对照，才能进一步区分。</w:t>
      </w:r>
    </w:p>
    <w:bookmarkEnd w:id="2518"/>
    <w:bookmarkStart w:id="2519" w:name="sec-151-16"/>
    <w:p>
      <w:pPr>
        <w:pStyle w:val="Heading3"/>
      </w:pPr>
      <w:r>
        <w:t xml:space="preserve">151.16　纵向研究中的状态、特质与练习</w:t>
      </w:r>
    </w:p>
    <w:p>
      <w:pPr>
        <w:pStyle w:val="FirstParagraph"/>
      </w:pPr>
      <w:r>
        <w:t xml:space="preserve">个体差异研究常希望找到相对稳定的特征，治疗研究则希望检测变化。同一个工具可能适合其中一种目标，却不适合另一种。高重测相关描述个体排序的稳定程度；短期变化的检出能力还取决于变化量、误差结构、测量范围及重复测量设计。个体排序可以保持稳定，同时每个人都发生明显变化；敏感于状态的任务也可能具有实际价值。</w:t>
      </w:r>
    </w:p>
    <w:p>
      <w:pPr>
        <w:pStyle w:val="BodyText"/>
      </w:pPr>
      <w:r>
        <w:t xml:space="preserve">重复任务还会改变策略。参与者可能逐渐掌握隐含结构、减少探索，或对反馈产生新的期待。如果模型把每次任务都视为相同的初始状态，就可能将练习效应归入治疗效应。</w:t>
      </w:r>
    </w:p>
    <w:p>
      <w:pPr>
        <w:pStyle w:val="BodyText"/>
      </w:pPr>
      <w:r>
        <w:t xml:space="preserve">纵向设计应在时间顺序上明确测量与干预，检验参数和观察模型是否跨时间保持同样含义，并记录失访与任务完成情况。只有完成全部任务者的变化，未必代表所有接受干预者的变化。</w:t>
      </w:r>
    </w:p>
    <w:bookmarkEnd w:id="2519"/>
    <w:bookmarkStart w:id="2520" w:name="sec-151-17"/>
    <w:p>
      <w:pPr>
        <w:pStyle w:val="Heading3"/>
      </w:pPr>
      <w:r>
        <w:t xml:space="preserve">151.17　参数与脑测量的连接</w:t>
      </w:r>
    </w:p>
    <w:p>
      <w:pPr>
        <w:pStyle w:val="FirstParagraph"/>
      </w:pPr>
      <w:r>
        <w:t xml:space="preserve">模型可以产生逐试次预测误差、不确定性或价值等量，再与脑信号关联。这种分析有助于让行为理论提出神经层面的预测，但不同计算量可能高度相关，行为参数的不确定性也会传递到神经分析。</w:t>
      </w:r>
    </w:p>
    <w:p>
      <w:pPr>
        <w:pStyle w:val="BodyText"/>
      </w:pPr>
      <w:r>
        <w:t xml:space="preserve">若研究者先在同一脑数据中挑选最相关的模型，再报告该模型的显著脑区，选择过程会影响推断。应使用独立验证、明确的模型比较与适当多重比较处理。对于血氧信号，还需要考虑血流动力学和时间尺度</w:t>
      </w:r>
      <w:r>
        <w:rPr>
          <w:vertAlign w:val="superscript"/>
        </w:rPr>
        <w:t xml:space="preserve">[</w:t>
      </w:r>
      <w:hyperlink w:anchor="ref-119">
        <w:r>
          <w:rPr>
            <w:rStyle w:val="Hyperlink"/>
            <w:vertAlign w:val="superscript"/>
          </w:rPr>
          <w:t xml:space="preserve">119</w:t>
        </w:r>
      </w:hyperlink>
      <w:r>
        <w:rPr>
          <w:vertAlign w:val="superscript"/>
        </w:rPr>
        <w:t xml:space="preserve">]</w:t>
      </w:r>
      <w:r>
        <w:t xml:space="preserve">。</w:t>
      </w:r>
    </w:p>
    <w:p>
      <w:pPr>
        <w:pStyle w:val="BodyText"/>
      </w:pPr>
      <w:r>
        <w:t xml:space="preserve">某个脑区的信号与预测误差相关，支持该信号与模型量具有关系。若要进一步主张该区负责生成、传递或使用这一误差，需要操纵、时序、连接和替代模型等证据。相关分析不能直接确定计算在回路中的因果位置</w:t>
      </w:r>
      <w:r>
        <w:rPr>
          <w:vertAlign w:val="superscript"/>
        </w:rPr>
        <w:t xml:space="preserve">[</w:t>
      </w:r>
      <w:hyperlink w:anchor="ref-584">
        <w:r>
          <w:rPr>
            <w:rStyle w:val="Hyperlink"/>
            <w:vertAlign w:val="superscript"/>
          </w:rPr>
          <w:t xml:space="preserve">584</w:t>
        </w:r>
      </w:hyperlink>
      <w:r>
        <w:rPr>
          <w:vertAlign w:val="superscript"/>
        </w:rPr>
        <w:t xml:space="preserve">,</w:t>
      </w:r>
      <w:hyperlink w:anchor="ref-1622">
        <w:r>
          <w:rPr>
            <w:rStyle w:val="Hyperlink"/>
            <w:vertAlign w:val="superscript"/>
          </w:rPr>
          <w:t xml:space="preserve">1622</w:t>
        </w:r>
      </w:hyperlink>
      <w:r>
        <w:rPr>
          <w:vertAlign w:val="superscript"/>
        </w:rPr>
        <w:t xml:space="preserve">]</w:t>
      </w:r>
      <w:r>
        <w:t xml:space="preserve">。</w:t>
      </w:r>
    </w:p>
    <w:bookmarkEnd w:id="2520"/>
    <w:bookmarkStart w:id="2521" w:name="sec-151-18"/>
    <w:p>
      <w:pPr>
        <w:pStyle w:val="Heading3"/>
      </w:pPr>
      <w:r>
        <w:t xml:space="preserve">151.18　治疗预测与治疗选择</w:t>
      </w:r>
    </w:p>
    <w:p>
      <w:pPr>
        <w:pStyle w:val="FirstParagraph"/>
      </w:pPr>
      <w:r>
        <w:t xml:space="preserve">预测某人在某种治疗后改善，与判断哪一种治疗最适合该人，涉及不同目标。前者可能主要利用一般预后因素；后者需要比较不同治疗条件下的可能结局。一个总体预后较好的人，也可能在多种治疗下都较好。</w:t>
      </w:r>
    </w:p>
    <w:p>
      <w:pPr>
        <w:pStyle w:val="BodyText"/>
      </w:pPr>
      <w:r>
        <w:t xml:space="preserve">如果模型用于治疗选择，应在设计中明确治疗比较、结局、时间窗和决策代价，并检验参数是否带来超过常规临床信息的增益。模型建议改变实际行动之后，还需要评估患者结局与潜在不利影响。</w:t>
      </w:r>
    </w:p>
    <w:p>
      <w:pPr>
        <w:pStyle w:val="BodyText"/>
      </w:pPr>
      <w:r>
        <w:t xml:space="preserve">相同参数值也可能对应不同生活条件和治疗需求。睡眠、药物、身体疾病、学习经验和社会环境可以共同影响行为。计算表型应与临床访谈和功能评估结合，保留患者目标和实际可行性</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hyperlink w:anchor="ref-639">
        <w:r>
          <w:rPr>
            <w:rStyle w:val="Hyperlink"/>
            <w:vertAlign w:val="superscript"/>
          </w:rPr>
          <w:t xml:space="preserve">639</w:t>
        </w:r>
      </w:hyperlink>
      <w:r>
        <w:rPr>
          <w:vertAlign w:val="superscript"/>
        </w:rPr>
        <w:t xml:space="preserve">]</w:t>
      </w:r>
      <w:r>
        <w:t xml:space="preserve">。</w:t>
      </w:r>
    </w:p>
    <w:bookmarkEnd w:id="2521"/>
    <w:bookmarkStart w:id="2522" w:name="sec-151-19"/>
    <w:p>
      <w:pPr>
        <w:pStyle w:val="Heading3"/>
      </w:pPr>
      <w:r>
        <w:t xml:space="preserve">151.19　主动实验设计与适应性任务</w:t>
      </w:r>
    </w:p>
    <w:p>
      <w:pPr>
        <w:pStyle w:val="FirstParagraph"/>
      </w:pPr>
      <w:r>
        <w:t xml:space="preserve">如果目标是区分两个模型，可以选择让它们预测差异最大的刺激或试次。适应性任务还可以根据既往反应调整后续条件，从而提高某些参数的测量效率。这样的设计需要把选择规则纳入分析。</w:t>
      </w:r>
    </w:p>
    <w:p>
      <w:pPr>
        <w:pStyle w:val="BodyText"/>
      </w:pPr>
      <w:r>
        <w:t xml:space="preserve">提高信息量的条件可能同时改变参与者的策略。例如，持续呈现难以预测的试次，会增加疲劳或降低对任务的信任；过多极端刺激也可能偏离真实使用情境。最佳数学辨别条件未必就是最合适的人类测量条件。</w:t>
      </w:r>
    </w:p>
    <w:p>
      <w:pPr>
        <w:pStyle w:val="BodyText"/>
      </w:pPr>
      <w:r>
        <w:t xml:space="preserve">设计阶段应通过模拟检查参数恢复，并在真实参与者中检验理解、负担和失配。若适应性规则在不同组产生不同任务经历，还需评估组间比较是否仍具有相同含义。</w:t>
      </w:r>
    </w:p>
    <w:bookmarkEnd w:id="2522"/>
    <w:bookmarkStart w:id="2523" w:name="sec-151-20"/>
    <w:p>
      <w:pPr>
        <w:pStyle w:val="Heading3"/>
      </w:pPr>
      <w:r>
        <w:t xml:space="preserve">151.20　模型能够承受怎样的反证</w:t>
      </w:r>
    </w:p>
    <w:p>
      <w:pPr>
        <w:pStyle w:val="FirstParagraph"/>
      </w:pPr>
      <w:r>
        <w:t xml:space="preserve">一个解释越允许任意改变参数、观察映射和辅助假设，就越容易适配既有资料，也越难明确失败条件。研究应事先说明哪些模式会使某个关键假说受到挑战，例如反转后的方向、特定刺激的泛化，或干预对两个结局的相对影响。</w:t>
      </w:r>
    </w:p>
    <w:p>
      <w:pPr>
        <w:pStyle w:val="BodyText"/>
      </w:pPr>
      <w:r>
        <w:t xml:space="preserve">模型失败可以揭示缺失过程；一次失败不会因此否定整个研究领域。关键是记录失败发生在哪些条件，并提出能产生新预测的修改。若只是为每一异常增加自由参数，却不增加可检验约束，解释力可能下降。</w:t>
      </w:r>
    </w:p>
    <w:p>
      <w:pPr>
        <w:pStyle w:val="BodyText"/>
      </w:pPr>
      <w:r>
        <w:t xml:space="preserve">模型比较和反证应相互配合：相对比较帮助辨别现有候选，针对性实验检验模型是否能经受更严格的条件变化。计算表达使假说更清楚，其科学强度仍取决于资料与检验</w:t>
      </w:r>
      <w:r>
        <w:rPr>
          <w:vertAlign w:val="superscript"/>
        </w:rPr>
        <w:t xml:space="preserve">[</w:t>
      </w:r>
      <w:hyperlink w:anchor="ref-1637">
        <w:r>
          <w:rPr>
            <w:rStyle w:val="Hyperlink"/>
            <w:vertAlign w:val="superscript"/>
          </w:rPr>
          <w:t xml:space="preserve">1637</w:t>
        </w:r>
      </w:hyperlink>
      <w:r>
        <w:rPr>
          <w:vertAlign w:val="superscript"/>
        </w:rPr>
        <w:t xml:space="preserve">]</w:t>
      </w:r>
      <w:r>
        <w:t xml:space="preserve">。</w:t>
      </w:r>
    </w:p>
    <w:bookmarkEnd w:id="2523"/>
    <w:bookmarkStart w:id="2525" w:name="sec-151-21"/>
    <w:p>
      <w:pPr>
        <w:pStyle w:val="Heading3"/>
      </w:pPr>
      <w:r>
        <w:t xml:space="preserve">151.21　常见验证问题对照</w:t>
      </w:r>
    </w:p>
    <w:p>
      <w:pPr>
        <w:pStyle w:val="TableCaption"/>
      </w:pPr>
      <w:bookmarkStart w:id="2524" w:name="tab-model-validation"/>
      <w:bookmarkEnd w:id="2524"/>
      <w:r>
        <w:rPr>
          <w:bCs/>
          <w:b/>
        </w:rPr>
        <w:t xml:space="preserve">表 39　计算模型的常见验证问题</w:t>
      </w:r>
    </w:p>
    <w:tbl>
      <w:tblPr>
        <w:tblStyle w:val="Table"/>
        <w:tblW w:type="pct" w:w="5000"/>
        <w:jc w:val="start"/>
        <w:tblLook w:firstRow="1" w:lastRow="0" w:firstColumn="0" w:lastColumn="0" w:noHBand="0" w:noVBand="0" w:val="0020"/>
      </w:tblPr>
      <w:tblGrid>
        <w:gridCol w:w="2436"/>
        <w:gridCol w:w="2843"/>
        <w:gridCol w:w="2640"/>
      </w:tblGrid>
      <w:tr>
        <w:trPr>
          <w:tblHeader w:val="true"/>
        </w:trPr>
        <w:tc>
          <w:tcPr>
            <w:shd w:val="clear" w:color="auto" w:fill="1F3A5F"/>
          </w:tcPr>
          <w:p>
            <w:pPr>
              <w:jc w:val="left"/>
            </w:pPr>
            <w:r>
              <w:rPr>
                <w:bCs/>
                <w:b/>
                <w:color w:val="FFFFFF"/>
              </w:rPr>
              <w:t xml:space="preserve">所提出的问题</w:t>
            </w:r>
          </w:p>
        </w:tc>
        <w:tc>
          <w:tcPr>
            <w:shd w:val="clear" w:color="auto" w:fill="1F3A5F"/>
          </w:tcPr>
          <w:p>
            <w:pPr>
              <w:jc w:val="left"/>
            </w:pPr>
            <w:r>
              <w:rPr>
                <w:bCs/>
                <w:b/>
                <w:color w:val="FFFFFF"/>
              </w:rPr>
              <w:t xml:space="preserve">适当的检验方向</w:t>
            </w:r>
          </w:p>
        </w:tc>
        <w:tc>
          <w:tcPr>
            <w:shd w:val="clear" w:color="auto" w:fill="1F3A5F"/>
          </w:tcPr>
          <w:p>
            <w:pPr>
              <w:jc w:val="left"/>
            </w:pPr>
            <w:r>
              <w:rPr>
                <w:bCs/>
                <w:b/>
                <w:color w:val="FFFFFF"/>
              </w:rPr>
              <w:t xml:space="preserve">不能由此直接推出</w:t>
            </w:r>
          </w:p>
        </w:tc>
      </w:tr>
      <w:tr>
        <w:tc>
          <w:tcPr/>
          <w:p>
            <w:pPr>
              <w:jc w:val="left"/>
            </w:pPr>
            <w:r>
              <w:t xml:space="preserve">参数是否能从当前任务估计</w:t>
            </w:r>
          </w:p>
        </w:tc>
        <w:tc>
          <w:tcPr/>
          <w:p>
            <w:pPr>
              <w:jc w:val="left"/>
            </w:pPr>
            <w:r>
              <w:t xml:space="preserve">多条件参数恢复与不确定性分析</w:t>
            </w:r>
          </w:p>
        </w:tc>
        <w:tc>
          <w:tcPr/>
          <w:p>
            <w:pPr>
              <w:jc w:val="left"/>
            </w:pPr>
            <w:r>
              <w:t xml:space="preserve">真实参与者必定采用该模型</w:t>
            </w:r>
          </w:p>
        </w:tc>
      </w:tr>
      <w:tr>
        <w:tc>
          <w:tcPr/>
          <w:p>
            <w:pPr>
              <w:jc w:val="left"/>
            </w:pPr>
            <w:r>
              <w:t xml:space="preserve">候选模型能否区分</w:t>
            </w:r>
          </w:p>
        </w:tc>
        <w:tc>
          <w:tcPr/>
          <w:p>
            <w:pPr>
              <w:jc w:val="left"/>
            </w:pPr>
            <w:r>
              <w:t xml:space="preserve">模型恢复与有辨别力的操作</w:t>
            </w:r>
          </w:p>
        </w:tc>
        <w:tc>
          <w:tcPr/>
          <w:p>
            <w:pPr>
              <w:jc w:val="left"/>
            </w:pPr>
            <w:r>
              <w:t xml:space="preserve">候选集合已经覆盖全部解释</w:t>
            </w:r>
          </w:p>
        </w:tc>
      </w:tr>
      <w:tr>
        <w:tc>
          <w:tcPr/>
          <w:p>
            <w:pPr>
              <w:jc w:val="left"/>
            </w:pPr>
            <w:r>
              <w:t xml:space="preserve">同一人是否重复得到相近值</w:t>
            </w:r>
          </w:p>
        </w:tc>
        <w:tc>
          <w:tcPr/>
          <w:p>
            <w:pPr>
              <w:jc w:val="left"/>
            </w:pPr>
            <w:r>
              <w:t xml:space="preserve">目标时间间隔的重测与状态记录</w:t>
            </w:r>
          </w:p>
        </w:tc>
        <w:tc>
          <w:tcPr/>
          <w:p>
            <w:pPr>
              <w:jc w:val="left"/>
            </w:pPr>
            <w:r>
              <w:t xml:space="preserve">参数跨所有任务具有相同含义</w:t>
            </w:r>
          </w:p>
        </w:tc>
      </w:tr>
      <w:tr>
        <w:tc>
          <w:tcPr/>
          <w:p>
            <w:pPr>
              <w:jc w:val="left"/>
            </w:pPr>
            <w:r>
              <w:t xml:space="preserve">模型是否解释新资料</w:t>
            </w:r>
          </w:p>
        </w:tc>
        <w:tc>
          <w:tcPr/>
          <w:p>
            <w:pPr>
              <w:jc w:val="left"/>
            </w:pPr>
            <w:r>
              <w:t xml:space="preserve">独立预测与后验预测检查</w:t>
            </w:r>
          </w:p>
        </w:tc>
        <w:tc>
          <w:tcPr/>
          <w:p>
            <w:pPr>
              <w:jc w:val="left"/>
            </w:pPr>
            <w:r>
              <w:t xml:space="preserve">内部结构已被证明为脑内机制</w:t>
            </w:r>
          </w:p>
        </w:tc>
      </w:tr>
      <w:tr>
        <w:tc>
          <w:tcPr/>
          <w:p>
            <w:pPr>
              <w:jc w:val="left"/>
            </w:pPr>
            <w:r>
              <w:t xml:space="preserve">参数是否与症状有关</w:t>
            </w:r>
          </w:p>
        </w:tc>
        <w:tc>
          <w:tcPr/>
          <w:p>
            <w:pPr>
              <w:jc w:val="left"/>
            </w:pPr>
            <w:r>
              <w:t xml:space="preserve">合适样本中的关联及重复</w:t>
            </w:r>
          </w:p>
        </w:tc>
        <w:tc>
          <w:tcPr/>
          <w:p>
            <w:pPr>
              <w:jc w:val="left"/>
            </w:pPr>
            <w:r>
              <w:t xml:space="preserve">该参数是症状的单一原因</w:t>
            </w:r>
          </w:p>
        </w:tc>
      </w:tr>
      <w:tr>
        <w:tc>
          <w:tcPr/>
          <w:p>
            <w:pPr>
              <w:jc w:val="left"/>
            </w:pPr>
            <w:r>
              <w:t xml:space="preserve">模型是否帮助治疗选择</w:t>
            </w:r>
          </w:p>
        </w:tc>
        <w:tc>
          <w:tcPr/>
          <w:p>
            <w:pPr>
              <w:jc w:val="left"/>
            </w:pPr>
            <w:r>
              <w:t xml:space="preserve">比较治疗条件与前瞻决策研究</w:t>
            </w:r>
          </w:p>
        </w:tc>
        <w:tc>
          <w:tcPr/>
          <w:p>
            <w:pPr>
              <w:jc w:val="left"/>
            </w:pPr>
            <w:r>
              <w:t xml:space="preserve">仅凭预测相关就可用于临床</w:t>
            </w:r>
          </w:p>
        </w:tc>
      </w:tr>
    </w:tbl>
    <w:bookmarkEnd w:id="2525"/>
    <w:bookmarkStart w:id="2526" w:name="sec-151-22"/>
    <w:p>
      <w:pPr>
        <w:pStyle w:val="Heading3"/>
      </w:pPr>
      <w:r>
        <w:t xml:space="preserve">151.22　本章结论与学习检验</w:t>
      </w:r>
    </w:p>
    <w:p>
      <w:pPr>
        <w:pStyle w:val="FirstParagraph"/>
      </w:pPr>
      <w:r>
        <w:t xml:space="preserve">计算精神病学的重要贡献，是将部分心理与临床假说转换为可以模拟、比较和反驳的数量模型。可靠的应用需要贯穿任务、测量、估计、验证与临床使用的证据，任何一个环节的成功都不能自动覆盖其余环节。</w:t>
      </w:r>
    </w:p>
    <w:p>
      <w:pPr>
        <w:pStyle w:val="BodyText"/>
      </w:pPr>
      <w:r>
        <w:t xml:space="preserve">阅读一项模型研究时，可以尝试独立回答：哪些量被直接测量；哪些量通过方程推断；参数为什么可识别；替代模型能否产生相同结果；模拟恢复检验了哪些条件；个体估计有多大不确定性；跨任务、跨时间和跨人群是否得到支持；实际改变决策后是否改善结局。</w:t>
      </w:r>
    </w:p>
    <w:p>
      <w:pPr>
        <w:pStyle w:val="BodyText"/>
      </w:pPr>
      <w:r>
        <w:t xml:space="preserve">关于计算模型能够提高假说精确性和实验可检验性的判断，置信度高。关于若干任务参数在特定样本中具有可恢复性与重复性的判断，应按具体研究评估，通常为中等置信。关于复杂临床状态可以由一个通用计算参数完整刻画的主张，目前支持不足。</w:t>
      </w:r>
    </w:p>
    <w:bookmarkEnd w:id="2526"/>
    <w:bookmarkEnd w:id="2527"/>
    <w:bookmarkStart w:id="2543" w:name="ch-152"/>
    <w:p>
      <w:pPr>
        <w:pStyle w:val="Heading2"/>
      </w:pPr>
      <w:r>
        <w:t xml:space="preserve">第152章　脑机接口、神经调控与神经数据治理</w:t>
      </w:r>
    </w:p>
    <w:p>
      <w:pPr>
        <w:pStyle w:val="CalloutJudgment"/>
      </w:pPr>
      <w:r>
        <w:rPr>
          <w:bCs/>
          <w:b/>
        </w:rPr>
        <w:t xml:space="preserve">核心判断与置信度</w:t>
      </w:r>
      <w:r>
        <w:t xml:space="preserve">　脑机接口已经在人类研究中实现具有实际意义的沟通与控制功能，部分进展进入长期家庭使用验证。性能始终依赖记录方式、参与者、任务、训练和辅助系统。对技术可行性，证据在若干具体用途上较强；对跨人群普及、长期维护和全部自然场景的可靠性，仍需逐项验证</w:t>
      </w:r>
      <w:r>
        <w:rPr>
          <w:vertAlign w:val="superscript"/>
        </w:rPr>
        <w:t xml:space="preserve">[</w:t>
      </w:r>
      <w:hyperlink w:anchor="ref-1642">
        <w:r>
          <w:rPr>
            <w:rStyle w:val="Hyperlink"/>
            <w:vertAlign w:val="superscript"/>
          </w:rPr>
          <w:t xml:space="preserve">1642</w:t>
        </w:r>
      </w:hyperlink>
      <w:r>
        <w:rPr>
          <w:vertAlign w:val="superscript"/>
        </w:rPr>
        <w:t xml:space="preserve">,</w:t>
      </w:r>
      <w:hyperlink w:anchor="ref-1643">
        <w:r>
          <w:rPr>
            <w:rStyle w:val="Hyperlink"/>
            <w:vertAlign w:val="superscript"/>
          </w:rPr>
          <w:t xml:space="preserve">1643</w:t>
        </w:r>
      </w:hyperlink>
      <w:r>
        <w:rPr>
          <w:vertAlign w:val="superscript"/>
        </w:rPr>
        <w:t xml:space="preserve">,</w:t>
      </w:r>
      <w:hyperlink w:anchor="ref-1644">
        <w:r>
          <w:rPr>
            <w:rStyle w:val="Hyperlink"/>
            <w:vertAlign w:val="superscript"/>
          </w:rPr>
          <w:t xml:space="preserve">1644</w:t>
        </w:r>
      </w:hyperlink>
      <w:r>
        <w:rPr>
          <w:vertAlign w:val="superscript"/>
        </w:rPr>
        <w:t xml:space="preserve">]</w:t>
      </w:r>
      <w:r>
        <w:t xml:space="preserve">。</w:t>
      </w:r>
    </w:p>
    <w:bookmarkStart w:id="2528" w:name="sec-152-1"/>
    <w:p>
      <w:pPr>
        <w:pStyle w:val="Heading3"/>
      </w:pPr>
      <w:r>
        <w:t xml:space="preserve">152.1　从神经信号到可用功能</w:t>
      </w:r>
    </w:p>
    <w:p>
      <w:pPr>
        <w:pStyle w:val="FirstParagraph"/>
      </w:pPr>
      <w:r>
        <w:t xml:space="preserve">一套脑机接口至少包含采集、预处理、特征形成、解码、输出设备、反馈和用户控制。采集得到的是某种物理信号；算法把信号与训练任务关联；输出端将预测变成文字、声音、光标或其他动作。每个环节都会贡献误差和延迟，不能只用模型准确率代表完整系统质量。</w:t>
      </w:r>
    </w:p>
    <w:p>
      <w:pPr>
        <w:pStyle w:val="BodyText"/>
      </w:pPr>
      <w:r>
        <w:t xml:space="preserve">记录方式决定能够获得的信息范围。头皮脑电便于重复使用，但受到空间混合、头部组织传导和伪迹影响。皮层表面电极提供更局部的群体活动，需要植入过程。皮层内微电极能够记录更细的放电相关信息，同时面临组织反应、通道稳定性和设备维护等问题。方法选择要与功能目标和临床条件相配</w:t>
      </w:r>
      <w:r>
        <w:rPr>
          <w:vertAlign w:val="superscript"/>
        </w:rPr>
        <w:t xml:space="preserve">[</w:t>
      </w:r>
      <w:hyperlink w:anchor="ref-630">
        <w:r>
          <w:rPr>
            <w:rStyle w:val="Hyperlink"/>
            <w:vertAlign w:val="superscript"/>
          </w:rPr>
          <w:t xml:space="preserve">630</w:t>
        </w:r>
      </w:hyperlink>
      <w:r>
        <w:rPr>
          <w:vertAlign w:val="superscript"/>
        </w:rPr>
        <w:t xml:space="preserve">,</w:t>
      </w:r>
      <w:hyperlink w:anchor="ref-1642">
        <w:r>
          <w:rPr>
            <w:rStyle w:val="Hyperlink"/>
            <w:vertAlign w:val="superscript"/>
          </w:rPr>
          <w:t xml:space="preserve">1642</w:t>
        </w:r>
      </w:hyperlink>
      <w:r>
        <w:rPr>
          <w:vertAlign w:val="superscript"/>
        </w:rPr>
        <w:t xml:space="preserve">,</w:t>
      </w:r>
      <w:hyperlink w:anchor="ref-1643">
        <w:r>
          <w:rPr>
            <w:rStyle w:val="Hyperlink"/>
            <w:vertAlign w:val="superscript"/>
          </w:rPr>
          <w:t xml:space="preserve">1643</w:t>
        </w:r>
      </w:hyperlink>
      <w:r>
        <w:rPr>
          <w:vertAlign w:val="superscript"/>
        </w:rPr>
        <w:t xml:space="preserve">]</w:t>
      </w:r>
      <w:r>
        <w:t xml:space="preserve">。</w:t>
      </w:r>
    </w:p>
    <w:p>
      <w:pPr>
        <w:pStyle w:val="BodyText"/>
      </w:pPr>
      <w:r>
        <w:t xml:space="preserve">所谓双向接口还包括向神经系统提供刺激或反馈。记录与刺激共享某些工程挑战，同时各有独立的安全和推断要求。能够从某区域读出信息，不能直接保证向该区域输入信号就会恢复相应体验。写入需要理解刺激参数与神经响应之间的关系，并验证实际功能结果。</w:t>
      </w:r>
    </w:p>
    <w:p>
      <w:pPr>
        <w:pStyle w:val="BodyText"/>
      </w:pPr>
      <w:r>
        <w:t xml:space="preserve">用户也会随系统学习。反馈改变策略，策略改变神经模式，解码器更新又改变反馈。这是一套共同适应的闭环过程。离线分析固定资料时得到的性能，无法完整描述这种交互。临床评估应包括实际使用、纠错和长时间操作条件。</w:t>
      </w:r>
    </w:p>
    <w:bookmarkEnd w:id="2528"/>
    <w:bookmarkStart w:id="2529" w:name="sec-152-2"/>
    <w:p>
      <w:pPr>
        <w:pStyle w:val="Heading3"/>
      </w:pPr>
      <w:r>
        <w:t xml:space="preserve">152.2　尝试言语、想象言语与任意思想</w:t>
      </w:r>
    </w:p>
    <w:p>
      <w:pPr>
        <w:pStyle w:val="FirstParagraph"/>
      </w:pPr>
      <w:r>
        <w:t xml:space="preserve">尝试说话可以保留明确的发音意图与运动计划，即使肌肉输出严重受限。想象言语涉及内部模拟，其信号与实际发音可能部分共享，也可能不同。任意思想则包含远超言语运动计划的内容。三种对象需要不同训练标签与证据，不能统称为已经实现无条件读心。</w:t>
      </w:r>
    </w:p>
    <w:p>
      <w:pPr>
        <w:pStyle w:val="BodyText"/>
      </w:pPr>
      <w:r>
        <w:t xml:space="preserve">实验中的标签通常来自提示词、受试者主动选择或事后确认。标签本身可能存在误差：参与者未必在每个试次都严格按照提示执行，想象时序也可能波动。模型学到的关系受到标签可靠性限制。研究应记录任务依从性，并通过控制条件排除提示、眼动或残余肌肉活动对分类的贡献。</w:t>
      </w:r>
    </w:p>
    <w:p>
      <w:pPr>
        <w:pStyle w:val="BodyText"/>
      </w:pPr>
      <w:r>
        <w:t xml:space="preserve">2026年一项研究在9名接受清醒脑肿瘤手术的参与者中使用高密度皮层脑电，比较音节发音与想象。研究提供了共享及不同编码组织的证据；摘要所列想象分类中位准确率80.4%对应受限音节任务。它不能直接代表任意句子、日常思想或普通头皮设备的读取能力</w:t>
      </w:r>
      <w:r>
        <w:rPr>
          <w:vertAlign w:val="superscript"/>
        </w:rPr>
        <w:t xml:space="preserve">[</w:t>
      </w:r>
      <w:hyperlink w:anchor="ref-1645">
        <w:r>
          <w:rPr>
            <w:rStyle w:val="Hyperlink"/>
            <w:vertAlign w:val="superscript"/>
          </w:rPr>
          <w:t xml:space="preserve">1645</w:t>
        </w:r>
      </w:hyperlink>
      <w:r>
        <w:rPr>
          <w:vertAlign w:val="superscript"/>
        </w:rPr>
        <w:t xml:space="preserve">]</w:t>
      </w:r>
      <w:r>
        <w:t xml:space="preserve">。</w:t>
      </w:r>
    </w:p>
    <w:p>
      <w:pPr>
        <w:pStyle w:val="BodyText"/>
      </w:pPr>
      <w:r>
        <w:t xml:space="preserve">这一区分也影响隐私讨论。技术目前的范围有限，仍然值得提前保护神经数据；保护数据不需要先假定设备已经能读取全部思想。准确描述能力，能够让治理针对真实的数据流、推断用途和用户控制问题。</w:t>
      </w:r>
    </w:p>
    <w:bookmarkEnd w:id="2529"/>
    <w:bookmarkStart w:id="2530" w:name="sec-152-3"/>
    <w:p>
      <w:pPr>
        <w:pStyle w:val="Heading3"/>
      </w:pPr>
      <w:r>
        <w:t xml:space="preserve">152.3　早期言语假体的实证进展</w:t>
      </w:r>
    </w:p>
    <w:p>
      <w:pPr>
        <w:pStyle w:val="FirstParagraph"/>
      </w:pPr>
      <w:r>
        <w:t xml:space="preserve">2024年Card等在一名ALS参与者中报告皮层内言语假体。系统使用256个记录电极，经过短时校准后在受限词表中取得很高准确率，随后扩展到较大词表并持续验证交流。单例设计证明该条件下的可行性，跨参与者和长期疾病进展仍需额外证据</w:t>
      </w:r>
      <w:r>
        <w:rPr>
          <w:vertAlign w:val="superscript"/>
        </w:rPr>
        <w:t xml:space="preserve">[</w:t>
      </w:r>
      <w:hyperlink w:anchor="ref-1642">
        <w:r>
          <w:rPr>
            <w:rStyle w:val="Hyperlink"/>
            <w:vertAlign w:val="superscript"/>
          </w:rPr>
          <w:t xml:space="preserve">1642</w:t>
        </w:r>
      </w:hyperlink>
      <w:r>
        <w:rPr>
          <w:vertAlign w:val="superscript"/>
        </w:rPr>
        <w:t xml:space="preserve">]</w:t>
      </w:r>
      <w:r>
        <w:t xml:space="preserve">。</w:t>
      </w:r>
    </w:p>
    <w:p>
      <w:pPr>
        <w:pStyle w:val="BodyText"/>
      </w:pPr>
      <w:r>
        <w:t xml:space="preserve">这一研究还说明“准确率”需要连同词表、任务和使用阶段报告。50词选择问题与开放得多的词表问题，候选空间差异很大；照着提示尝试说话与自由对话，真实意图的确认方式也不同。只摘录最高百分比，会遗漏评估难度和标签来源。</w:t>
      </w:r>
    </w:p>
    <w:p>
      <w:pPr>
        <w:pStyle w:val="BodyText"/>
      </w:pPr>
      <w:r>
        <w:t xml:space="preserve">2026年的后续研究报告同一参与者结合言语与光标控制的长期家庭使用。独立使用指无需研究团队成员现场帮助；照护伙伴仍协助连接记录设备和开启系统。它提供了重要的纵向功能证据，同时延续了同一个体，不能当作新增的大样本独立重复</w:t>
      </w:r>
      <w:r>
        <w:rPr>
          <w:vertAlign w:val="superscript"/>
        </w:rPr>
        <w:t xml:space="preserve">[</w:t>
      </w:r>
      <w:hyperlink w:anchor="ref-1644">
        <w:r>
          <w:rPr>
            <w:rStyle w:val="Hyperlink"/>
            <w:vertAlign w:val="superscript"/>
          </w:rPr>
          <w:t xml:space="preserve">1644</w:t>
        </w:r>
      </w:hyperlink>
      <w:r>
        <w:rPr>
          <w:vertAlign w:val="superscript"/>
        </w:rPr>
        <w:t xml:space="preserve">]</w:t>
      </w:r>
      <w:r>
        <w:t xml:space="preserve">。</w:t>
      </w:r>
    </w:p>
    <w:p>
      <w:pPr>
        <w:pStyle w:val="BodyText"/>
      </w:pPr>
      <w:r>
        <w:t xml:space="preserve">纵向随访和新增参与者验证解决不同困难。前者显示设备能否在时间、疾病和日常使用中持续工作；后者考察解剖、病因、残余功能和学习能力差异。理想转化需要两者共同积累。长期单例能够揭示丰富的工程经验，仍不足以估计总体受益比例。</w:t>
      </w:r>
    </w:p>
    <w:bookmarkEnd w:id="2530"/>
    <w:bookmarkStart w:id="2531" w:name="sec-152-4"/>
    <w:p>
      <w:pPr>
        <w:pStyle w:val="Heading3"/>
      </w:pPr>
      <w:r>
        <w:t xml:space="preserve">152.4　连续语音与延迟的定义</w:t>
      </w:r>
    </w:p>
    <w:p>
      <w:pPr>
        <w:pStyle w:val="FirstParagraph"/>
      </w:pPr>
      <w:r>
        <w:t xml:space="preserve">2025年Littlejohn等在一名严重瘫痪且无法构音的参与者中，利用皮层表面记录实现连续语音合成，以80毫秒增量解码。这个数值描述更新分块，完整输出还受到检测说话开始、信号积累、运算和声音播放等环节影响。因此，分块时长与用户从开始尝试到听见声音的端到端延迟必须分别报告</w:t>
      </w:r>
      <w:r>
        <w:rPr>
          <w:vertAlign w:val="superscript"/>
        </w:rPr>
        <w:t xml:space="preserve">[</w:t>
      </w:r>
      <w:hyperlink w:anchor="ref-1643">
        <w:r>
          <w:rPr>
            <w:rStyle w:val="Hyperlink"/>
            <w:vertAlign w:val="superscript"/>
          </w:rPr>
          <w:t xml:space="preserve">1643</w:t>
        </w:r>
      </w:hyperlink>
      <w:r>
        <w:rPr>
          <w:vertAlign w:val="superscript"/>
        </w:rPr>
        <w:t xml:space="preserve">]</w:t>
      </w:r>
      <w:r>
        <w:t xml:space="preserve">。</w:t>
      </w:r>
    </w:p>
    <w:p>
      <w:pPr>
        <w:pStyle w:val="BodyText"/>
      </w:pPr>
      <w:r>
        <w:t xml:space="preserve">连续输出带来额外决策。系统需要判断何时开始、何时暂停、何时结束以及是否修改先前预测。如果等待更多资料，通常可以提高某些预测的可靠性，但交流延迟可能增加；如果更早输出，纠错与误触发管理就更重要。性能评价应说明系统在这一权衡中采用的位置。</w:t>
      </w:r>
    </w:p>
    <w:p>
      <w:pPr>
        <w:pStyle w:val="BodyText"/>
      </w:pPr>
      <w:r>
        <w:t xml:space="preserve">平均延迟还会掩盖长尾。大多数句子快速输出，少量句子等待很久，对对话体验仍可能有明显影响。可以同时报告中位数、分位数、失败比例和不同任务条件。端到端时钟的起点必须明确，提示出现、受试者开始尝试和算法检测到开始属于不同事件。</w:t>
      </w:r>
    </w:p>
    <w:p>
      <w:pPr>
        <w:pStyle w:val="BodyText"/>
      </w:pPr>
      <w:r>
        <w:t xml:space="preserve">声音的自然度与内容准确性也应分别测量。合成声线可能接近用户原有声音，却说出了错误词语；文字完全正确，也可能缺乏合适的韵律。理解度、声音身份、情感表达、时序和自主性共同构成沟通质量，单一的词错误率无法覆盖全部目标。</w:t>
      </w:r>
    </w:p>
    <w:bookmarkEnd w:id="2531"/>
    <w:bookmarkStart w:id="2532" w:name="sec-152-5"/>
    <w:p>
      <w:pPr>
        <w:pStyle w:val="Heading3"/>
      </w:pPr>
      <w:r>
        <w:t xml:space="preserve">152.5　多种行为同时发生时的泛化</w:t>
      </w:r>
    </w:p>
    <w:p>
      <w:pPr>
        <w:pStyle w:val="FirstParagraph"/>
      </w:pPr>
      <w:r>
        <w:t xml:space="preserve">现实交流经常伴随手势、表情、视线与其他行动。分别训练每项行为的模型，不一定能在行为同时出现时保持性能，因为神经活动可能产生非线性变化。算法需要在训练和验证中覆盖并发情境，或者明确说明尚未验证的组合。</w:t>
      </w:r>
    </w:p>
    <w:p>
      <w:pPr>
        <w:pStyle w:val="BodyText"/>
      </w:pPr>
      <w:r>
        <w:t xml:space="preserve">2026年Brosler等先在3名瘫痪参与者中验证多类动作信号的可解码性，再在其中2人研究言语与手势的并发解码及虚拟形象控制，使用单个高密度皮层表面植入记录。实时并发复制任务的定量评价仅来自其中1人；两人还完成了少量提示对话演示。纳入同时行为的训练资料改善了跨情境表现。各阶段参与人数与任务条件需要分别报告；研究使用受限词汇与动作集合，其结果支持多模态可行性，同时保留扩展到更自然交流的研究需求</w:t>
      </w:r>
      <w:r>
        <w:rPr>
          <w:vertAlign w:val="superscript"/>
        </w:rPr>
        <w:t xml:space="preserve">[</w:t>
      </w:r>
      <w:hyperlink w:anchor="ref-1646">
        <w:r>
          <w:rPr>
            <w:rStyle w:val="Hyperlink"/>
            <w:vertAlign w:val="superscript"/>
          </w:rPr>
          <w:t xml:space="preserve">1646</w:t>
        </w:r>
      </w:hyperlink>
      <w:r>
        <w:rPr>
          <w:vertAlign w:val="superscript"/>
        </w:rPr>
        <w:t xml:space="preserve">]</w:t>
      </w:r>
      <w:r>
        <w:t xml:space="preserve">。</w:t>
      </w:r>
    </w:p>
    <w:p>
      <w:pPr>
        <w:pStyle w:val="BodyText"/>
      </w:pPr>
      <w:r>
        <w:t xml:space="preserve">从这一设计可以推导出一个普遍工程原则：系统的实际使用分布应进入验证。安静实验室中坐定的任务、家里与他人交流的任务、疲劳时操作以及同时转移注意的任务，可能具有不同噪声和神经状态。声称面向日常使用时，应预先定义这些情境如何被覆盖。</w:t>
      </w:r>
    </w:p>
    <w:p>
      <w:pPr>
        <w:pStyle w:val="BodyText"/>
      </w:pPr>
      <w:r>
        <w:t xml:space="preserve">多种输出还可能发生竞争。用户想说话时系统误移动光标，或者想点击时触发错误文字，都会削弱控制感。需要分别统计目标行为成功率和非目标通道误触发率。一个通道的高准确率无法抵消另一个通道未经管理的错误。</w:t>
      </w:r>
    </w:p>
    <w:bookmarkEnd w:id="2532"/>
    <w:bookmarkStart w:id="2533" w:name="sec-152-6"/>
    <w:p>
      <w:pPr>
        <w:pStyle w:val="Heading3"/>
      </w:pPr>
      <w:r>
        <w:t xml:space="preserve">152.6　准确率之外的评价指标</w:t>
      </w:r>
    </w:p>
    <w:p>
      <w:pPr>
        <w:pStyle w:val="FirstParagraph"/>
      </w:pPr>
      <w:r>
        <w:t xml:space="preserve">词错误率通常把替换、删除和插入的词数之和除以参考文本的词数。它有明确用途，但参考文本如何获得、标点如何处理、重复词怎样计数、是否经过语言模型纠正都会影响结果。报告原始神经解码与完整系统性能，可以更清楚地说明各组成部分的贡献。</w:t>
      </w:r>
    </w:p>
    <w:p>
      <w:pPr>
        <w:pStyle w:val="BodyText"/>
      </w:pPr>
      <w:r>
        <w:t xml:space="preserve">信息传输速度也需要与纠错成本一起看。每分钟产生很多字符，若需要频繁删除和重输，最终完成任务的速度可能较低。对于沟通工具，更有实际意义的指标可以包括正确传达意图所需时间、完成一次交流的成功率，以及使用者和对话伙伴的负担。</w:t>
      </w:r>
    </w:p>
    <w:p>
      <w:pPr>
        <w:pStyle w:val="BodyText"/>
      </w:pPr>
      <w:r>
        <w:t xml:space="preserve">分类任务的候选数量决定机会水平，但机会水平本身还受到类别比例影响。若大部分时间用户处于休息状态，始终预测休息也可能获得很高总体准确率。研究应报告各类别结果、混淆模式和静息时误触发。用于自由运行的系统尤其需要这类评估。</w:t>
      </w:r>
    </w:p>
    <w:p>
      <w:pPr>
        <w:pStyle w:val="BodyText"/>
      </w:pPr>
      <w:r>
        <w:t xml:space="preserve">置信区间应对应适当独立单位。数千个词来自同一个人，能够提高该人的性能估计精度，却不能转换成数千名独立参与者。跨日重复也包含共享设备、个体和训练历史。需要在参与者、日期、会话和试次层次上说明变异来源。</w:t>
      </w:r>
    </w:p>
    <w:bookmarkEnd w:id="2533"/>
    <w:bookmarkStart w:id="2534" w:name="sec-152-7"/>
    <w:p>
      <w:pPr>
        <w:pStyle w:val="Heading3"/>
      </w:pPr>
      <w:r>
        <w:t xml:space="preserve">152.7　校准漂移与持续学习</w:t>
      </w:r>
    </w:p>
    <w:p>
      <w:pPr>
        <w:pStyle w:val="FirstParagraph"/>
      </w:pPr>
      <w:r>
        <w:t xml:space="preserve">神经信号会随时间变化，电极质量、组织状态、任务策略和疲劳均可能影响特征。固定解码器可能逐渐不匹配；持续更新可以帮助适应，同时引入新的验证问题。如果模型用自己的错误输出作为训练标签，误差可能被强化。</w:t>
      </w:r>
    </w:p>
    <w:p>
      <w:pPr>
        <w:pStyle w:val="BodyText"/>
      </w:pPr>
      <w:r>
        <w:t xml:space="preserve">可靠的更新机制应区分用户确认、算法推断和未知标签。更新后性能应通过未参与更新的资料检验，并保留回退到稳定版本的方式。算法性能发生变化时，研究需要记录发生了哪些模型、数据和界面调整，使纵向结果具有可解释性。</w:t>
      </w:r>
    </w:p>
    <w:p>
      <w:pPr>
        <w:pStyle w:val="BodyText"/>
      </w:pPr>
      <w:r>
        <w:t xml:space="preserve">用户学习与算法学习也可能互相补偿。系统表现保持稳定，可能因为算法进步抵消信号退化；也可能因为用户付出了更多努力。若只看最终错误率，就可能漏掉持续增加的认知负担。长期评估应同时观察功能、时间投入、疲劳及支持需求。</w:t>
      </w:r>
    </w:p>
    <w:p>
      <w:pPr>
        <w:pStyle w:val="BodyText"/>
      </w:pPr>
      <w:r>
        <w:t xml:space="preserve">跨人迁移可以减少校准负担，但共同表征与个体差异并存。模型在某些参与者间迁移成功后，仍需明确新增用户需要多少资料、哪些步骤需要个体标定，以及失败者如何处理。把成功样本单独展示，会夸大实际可用率。</w:t>
      </w:r>
    </w:p>
    <w:bookmarkEnd w:id="2534"/>
    <w:bookmarkStart w:id="2535" w:name="sec-152-8"/>
    <w:p>
      <w:pPr>
        <w:pStyle w:val="Heading3"/>
      </w:pPr>
      <w:r>
        <w:t xml:space="preserve">152.8　语言模型怎样帮助也怎样改变输出</w:t>
      </w:r>
    </w:p>
    <w:p>
      <w:pPr>
        <w:pStyle w:val="FirstParagraph"/>
      </w:pPr>
      <w:r>
        <w:t xml:space="preserve">语言模型能够利用词序和上下文纠正不确定的神经预测，这是完整系统的重要组成部分。与此同时，它可能倾向于常见表达，降低罕见姓名、特殊术语或不符合惯常语义的真实意图的保留率。系统应检验这些低频内容，避免只用常见句子评估。</w:t>
      </w:r>
    </w:p>
    <w:p>
      <w:pPr>
        <w:pStyle w:val="BodyText"/>
      </w:pPr>
      <w:r>
        <w:t xml:space="preserve">一个假设案例中，用户想表达一个很不常见的否定句，神经证据较弱，语言模型输出了更常见的肯定句。逐词错误比例可能很低，但意图方向已经改变。因此，医疗、财务或个人同意等高影响表达需要确认机制；总体平均错误率无法替代对关键语义错误的处理。</w:t>
      </w:r>
    </w:p>
    <w:p>
      <w:pPr>
        <w:pStyle w:val="BodyText"/>
      </w:pPr>
      <w:r>
        <w:t xml:space="preserve">用户应能够发现、撤回和修正输出。自动补全、语气调整和文本润色若进入系统，也应让用户理解它们对表达的影响。输出文字代表“系统根据神经资料与语言先验形成的预测”这一事实，关系到责任、作者身份和沟通权。</w:t>
      </w:r>
    </w:p>
    <w:p>
      <w:pPr>
        <w:pStyle w:val="BodyText"/>
      </w:pPr>
      <w:r>
        <w:t xml:space="preserve">对语言模型贡献的实验分析可以比较不同先验强度、不同词频和不同句法条件。若移除神经信号后模型仍能依靠提示猜中大量答案，就需要谨慎判断神经部分增加了多少信息。消融分析和独立任务有助于完成这一归因。</w:t>
      </w:r>
    </w:p>
    <w:bookmarkEnd w:id="2535"/>
    <w:bookmarkStart w:id="2536" w:name="sec-152-9"/>
    <w:p>
      <w:pPr>
        <w:pStyle w:val="Heading3"/>
      </w:pPr>
      <w:r>
        <w:t xml:space="preserve">152.9　临床转化与完整使用周期</w:t>
      </w:r>
    </w:p>
    <w:p>
      <w:pPr>
        <w:pStyle w:val="FirstParagraph"/>
      </w:pPr>
      <w:r>
        <w:t xml:space="preserve">早期可行性研究关注能否实现指定功能，后续研究还需评价受益范围、风险、耐久性和生活影响。美国FDA关于植入式脑机接口的指导文件明确涉及非临床测试以及可行性和关键临床研究的设计考虑。研究许可、可行性结果和广泛市场使用属于不同阶段</w:t>
      </w:r>
      <w:r>
        <w:rPr>
          <w:vertAlign w:val="superscript"/>
        </w:rPr>
        <w:t xml:space="preserve">[</w:t>
      </w:r>
      <w:hyperlink w:anchor="ref-630">
        <w:r>
          <w:rPr>
            <w:rStyle w:val="Hyperlink"/>
            <w:vertAlign w:val="superscript"/>
          </w:rPr>
          <w:t xml:space="preserve">630</w:t>
        </w:r>
      </w:hyperlink>
      <w:r>
        <w:rPr>
          <w:vertAlign w:val="superscript"/>
        </w:rPr>
        <w:t xml:space="preserve">]</w:t>
      </w:r>
      <w:r>
        <w:t xml:space="preserve">。</w:t>
      </w:r>
    </w:p>
    <w:p>
      <w:pPr>
        <w:pStyle w:val="BodyText"/>
      </w:pPr>
      <w:r>
        <w:t xml:space="preserve">植入后的长期责任包括硬件故障处理、感染与其他并发症监测、数据和软件维护、支持服务以及研究结束后的安排。对于依赖设备交流的人，系统停止服务可能直接影响日常参与。研究和产品设计因此需要提前考虑维护期限与退出路径。</w:t>
      </w:r>
    </w:p>
    <w:p>
      <w:pPr>
        <w:pStyle w:val="BodyText"/>
      </w:pPr>
      <w:r>
        <w:t xml:space="preserve">可用性也包含照护者工作量。设备可能让用户完成更多任务，同时要求家属每天连接、清洁、排查故障和联系团队。完整效果评估应纳入这些时间与负担。自主性的改善具有多维含义，既包括用户控制能力，也包括对持续支持的依赖程度。</w:t>
      </w:r>
    </w:p>
    <w:p>
      <w:pPr>
        <w:pStyle w:val="BodyText"/>
      </w:pPr>
      <w:r>
        <w:t xml:space="preserve">成本与可及性决定技术实际影响。手术条件、康复资源、网络连接、语言覆盖和家庭环境都可能限制推广。平均性能在资源丰富的研究中心达到某水平，无法直接保证不同服务体系获得同样结果。转化研究需要覆盖真实部署条件。</w:t>
      </w:r>
    </w:p>
    <w:bookmarkEnd w:id="2536"/>
    <w:bookmarkStart w:id="2537" w:name="sec-152-10"/>
    <w:p>
      <w:pPr>
        <w:pStyle w:val="Heading3"/>
      </w:pPr>
      <w:r>
        <w:t xml:space="preserve">152.10　神经调控的靶点和因果解释</w:t>
      </w:r>
    </w:p>
    <w:p>
      <w:pPr>
        <w:pStyle w:val="FirstParagraph"/>
      </w:pPr>
      <w:r>
        <w:t xml:space="preserve">神经刺激可以改变局部及网络活动，为机制研究和治疗提供工具。刺激效应取决于位置、波形、强度、频率、持续时间和原有状态。相同区域在不同参数下可能产生不同结果，某种疗法有效也不意味着已完全理解其全部机制。</w:t>
      </w:r>
    </w:p>
    <w:p>
      <w:pPr>
        <w:pStyle w:val="BodyText"/>
      </w:pPr>
      <w:r>
        <w:t xml:space="preserve">“精准靶向”至少包含解剖精度、细胞或通路选择性、时间精度与功能特异性。设备能够准确到达某坐标，并不保证只影响一种心理功能。电场或其他物理作用可以传播，网络连接也会产生远处效应。评价精确性时应说明指的是哪一层。</w:t>
      </w:r>
    </w:p>
    <w:p>
      <w:pPr>
        <w:pStyle w:val="BodyText"/>
      </w:pPr>
      <w:r>
        <w:t xml:space="preserve">闭环调控还需要验证反馈指标。若系统根据某脑信号调整刺激，必须先知道该信号与目标症状的关系、检测稳定性和延迟。如果指标只反映伴随过程，优化指标可能无法改善患者重要结局。治疗目标应保留功能与体验层面的测量。</w:t>
      </w:r>
    </w:p>
    <w:p>
      <w:pPr>
        <w:pStyle w:val="BodyText"/>
      </w:pPr>
      <w:r>
        <w:t xml:space="preserve">脑刺激、神经反馈和消费级设备在证据基础、用途与风险上存在很大差异。不能因为某项临床技术有效，就把相似名称的家用产品视为等同。逐个产品与适应范围查阅证据，比以技术大类作统一肯定或否定更准确。</w:t>
      </w:r>
    </w:p>
    <w:bookmarkEnd w:id="2537"/>
    <w:bookmarkStart w:id="2538" w:name="sec-152-11"/>
    <w:p>
      <w:pPr>
        <w:pStyle w:val="Heading3"/>
      </w:pPr>
      <w:r>
        <w:t xml:space="preserve">152.11　神经数据的具体隐私问题</w:t>
      </w:r>
    </w:p>
    <w:p>
      <w:pPr>
        <w:pStyle w:val="FirstParagraph"/>
      </w:pPr>
      <w:r>
        <w:t xml:space="preserve">神经数据具有不同形式：原始电信号、处理后的特征、疾病风险估计、行为预测和用户输出。删除姓名并不保证所有形式都不能重新关联到个人。风险取决于数据内容、其他可连接资料、访问权限和未来推断能力。</w:t>
      </w:r>
    </w:p>
    <w:p>
      <w:pPr>
        <w:pStyle w:val="BodyText"/>
      </w:pPr>
      <w:r>
        <w:t xml:space="preserve">合理治理需要明确谁能采集、谁能访问、保存多久、用于哪些目的以及如何撤回授权。用于康复沟通的数据若后来被用于广告、雇佣或保险判断，目的已经改变。是否允许这种改变，需要独立授权与适用规范支持，不能用一次宽泛同意覆盖全部未来用途。</w:t>
      </w:r>
    </w:p>
    <w:p>
      <w:pPr>
        <w:pStyle w:val="BodyText"/>
      </w:pPr>
      <w:r>
        <w:t xml:space="preserve">数据最小化具有实际工程含义。系统可以评估哪些原始信号必须长期保存，哪些可以在本地实时处理，哪些只需保留汇总结果。加密、权限管理和审计记录保护数据流；它们仍需与组织责任和用户权利共同实施。</w:t>
      </w:r>
    </w:p>
    <w:p>
      <w:pPr>
        <w:pStyle w:val="BodyText"/>
      </w:pPr>
      <w:r>
        <w:t xml:space="preserve">算法推断可能错误。一个被标注为“低注意”或“高风险”的人，可能只是设备接触不良、使用策略不同或不符合训练样本。用户应能够理解结论范围并提出异议。神经来源并不会自动使评分比其他数据更加客观。</w:t>
      </w:r>
    </w:p>
    <w:bookmarkEnd w:id="2538"/>
    <w:bookmarkStart w:id="2539" w:name="sec-152-12"/>
    <w:p>
      <w:pPr>
        <w:pStyle w:val="Heading3"/>
      </w:pPr>
      <w:r>
        <w:t xml:space="preserve">152.12　自主性、同意与算法代言</w:t>
      </w:r>
    </w:p>
    <w:p>
      <w:pPr>
        <w:pStyle w:val="FirstParagraph"/>
      </w:pPr>
      <w:r>
        <w:t xml:space="preserve">有效同意需要使用者理解系统做什么、可能怎样出错以及可以如何退出。对于交流受限者，应提供适合其能力的沟通方式，并反复确认意愿。照护者协助具有实际价值，同时需要保留使用者本人的控制与偏好。</w:t>
      </w:r>
    </w:p>
    <w:p>
      <w:pPr>
        <w:pStyle w:val="BodyText"/>
      </w:pPr>
      <w:r>
        <w:t xml:space="preserve">系统在后台持续运行时，应让用户知道何时采集、何时解码、何时输出。主动开启、暂停、撤回和确认功能可以把自主性落实到界面。某个功能看起来增加效率，却可能减少用户选择何时表达的空间，这种权衡需要由用户参与判断。</w:t>
      </w:r>
    </w:p>
    <w:p>
      <w:pPr>
        <w:pStyle w:val="BodyText"/>
      </w:pPr>
      <w:r>
        <w:t xml:space="preserve">UNESCO于2025年采纳神经技术伦理建议，强调人类尊严、自主性、隐私及公平等议题。该国际建议为治理提供规范框架；具体法律义务需要结合各地立法和制度。不能把国际建议直接写成全球所有地区已经具有相同可执行法律</w:t>
      </w:r>
      <w:r>
        <w:rPr>
          <w:vertAlign w:val="superscript"/>
        </w:rPr>
        <w:t xml:space="preserve">[</w:t>
      </w:r>
      <w:hyperlink w:anchor="ref-1647">
        <w:r>
          <w:rPr>
            <w:rStyle w:val="Hyperlink"/>
            <w:vertAlign w:val="superscript"/>
          </w:rPr>
          <w:t xml:space="preserve">1647</w:t>
        </w:r>
      </w:hyperlink>
      <w:r>
        <w:rPr>
          <w:vertAlign w:val="superscript"/>
        </w:rPr>
        <w:t xml:space="preserve">,</w:t>
      </w:r>
      <w:hyperlink w:anchor="ref-1648">
        <w:r>
          <w:rPr>
            <w:rStyle w:val="Hyperlink"/>
            <w:vertAlign w:val="superscript"/>
          </w:rPr>
          <w:t xml:space="preserve">1648</w:t>
        </w:r>
      </w:hyperlink>
      <w:r>
        <w:rPr>
          <w:vertAlign w:val="superscript"/>
        </w:rPr>
        <w:t xml:space="preserve">]</w:t>
      </w:r>
      <w:r>
        <w:t xml:space="preserve">。</w:t>
      </w:r>
    </w:p>
    <w:p>
      <w:pPr>
        <w:pStyle w:val="BodyText"/>
      </w:pPr>
      <w:r>
        <w:t xml:space="preserve">伦理要求还应落实到研究报告。作者需要披露专利、公司关系、资金来源及设备提供方的角色。披露存在利益关系不会自动否定结果，但有助于识别哪些选择需要独立复核。早期演示尤其需要区分学术论文结论与商业宣传。</w:t>
      </w:r>
    </w:p>
    <w:p>
      <w:pPr>
        <w:pStyle w:val="BodyText"/>
      </w:pPr>
      <w:r>
        <w:t xml:space="preserve">本章涉及的2025年连续语音研究披露了相关专利申请；2026年家庭使用研究披露部分作者的专利及技术许可关系；2026年言语手势研究也披露相关专利和公司关系。阅读这些成果时，应结合预先定义的评价、完整结果和独立验证判断，保留利益关系这一证据背景</w:t>
      </w:r>
      <w:r>
        <w:rPr>
          <w:vertAlign w:val="superscript"/>
        </w:rPr>
        <w:t xml:space="preserve">[</w:t>
      </w:r>
      <w:hyperlink w:anchor="ref-1643">
        <w:r>
          <w:rPr>
            <w:rStyle w:val="Hyperlink"/>
            <w:vertAlign w:val="superscript"/>
          </w:rPr>
          <w:t xml:space="preserve">1643</w:t>
        </w:r>
      </w:hyperlink>
      <w:r>
        <w:rPr>
          <w:vertAlign w:val="superscript"/>
        </w:rPr>
        <w:t xml:space="preserve">,</w:t>
      </w:r>
      <w:hyperlink w:anchor="ref-1644">
        <w:r>
          <w:rPr>
            <w:rStyle w:val="Hyperlink"/>
            <w:vertAlign w:val="superscript"/>
          </w:rPr>
          <w:t xml:space="preserve">1644</w:t>
        </w:r>
      </w:hyperlink>
      <w:r>
        <w:rPr>
          <w:vertAlign w:val="superscript"/>
        </w:rPr>
        <w:t xml:space="preserve">,</w:t>
      </w:r>
      <w:hyperlink w:anchor="ref-1646">
        <w:r>
          <w:rPr>
            <w:rStyle w:val="Hyperlink"/>
            <w:vertAlign w:val="superscript"/>
          </w:rPr>
          <w:t xml:space="preserve">1646</w:t>
        </w:r>
      </w:hyperlink>
      <w:r>
        <w:rPr>
          <w:vertAlign w:val="superscript"/>
        </w:rPr>
        <w:t xml:space="preserve">]</w:t>
      </w:r>
      <w:r>
        <w:t xml:space="preserve">。</w:t>
      </w:r>
    </w:p>
    <w:bookmarkEnd w:id="2539"/>
    <w:bookmarkStart w:id="2540" w:name="sec-152-13"/>
    <w:p>
      <w:pPr>
        <w:pStyle w:val="Heading3"/>
      </w:pPr>
      <w:r>
        <w:t xml:space="preserve">152.13　假设采购与研究评估案例</w:t>
      </w:r>
    </w:p>
    <w:p>
      <w:pPr>
        <w:pStyle w:val="FirstParagraph"/>
      </w:pPr>
      <w:r>
        <w:t xml:space="preserve">假设某系统宣传准确率95%，研究只在一名参与者的十个固定选项中测试，每次由研究者手动开始。另一系统准确率90%，在自由运行条件下提供更大词表并允许用户自主纠错。仅比较95与90无法判断哪个更适合使用。应比较任务、误触发、完整用时、支持需求与用户重要结局。</w:t>
      </w:r>
    </w:p>
    <w:p>
      <w:pPr>
        <w:pStyle w:val="BodyText"/>
      </w:pPr>
      <w:r>
        <w:t xml:space="preserve">再假设一种设备报告每分钟输出60个词，但其中包括大量自动补全，实际完成沟通需要重复确认。需要分别估计神经证据贡献、补全贡献和最终正确传达的信息。速度的统计定义应贴近使用者真正要完成的任务。</w:t>
      </w:r>
    </w:p>
    <w:p>
      <w:pPr>
        <w:pStyle w:val="BodyText"/>
      </w:pPr>
      <w:r>
        <w:t xml:space="preserve">如果公司只展示成功使用者，评估者还应了解筛选、无法完成训练、退出和不良事件的完整人数。对使用者最有帮助的问题包括有多大概率获得足够收益、需要付出什么代价，以及失败后有哪些支持选择。技术进展的价值能够在保留这些问题的情况下得到充分承认。</w:t>
      </w:r>
    </w:p>
    <w:bookmarkEnd w:id="2540"/>
    <w:bookmarkStart w:id="2542" w:name="sec-152-14"/>
    <w:p>
      <w:pPr>
        <w:pStyle w:val="Heading3"/>
      </w:pPr>
      <w:r>
        <w:t xml:space="preserve">152.14　脑机接口性能的分母与使用条件</w:t>
      </w:r>
    </w:p>
    <w:p>
      <w:pPr>
        <w:pStyle w:val="FirstParagraph"/>
      </w:pPr>
      <w:r>
        <w:t xml:space="preserve">性能指标只有与任务范围、训练条件、错误处理及使用时间一起报告，才能支持可比判断。下表适用于阅读研究报告，具体数值仍以各研究的预设定义为准</w:t>
      </w:r>
      <w:r>
        <w:rPr>
          <w:vertAlign w:val="superscript"/>
        </w:rPr>
        <w:t xml:space="preserve">[</w:t>
      </w:r>
      <w:hyperlink w:anchor="ref-630">
        <w:r>
          <w:rPr>
            <w:rStyle w:val="Hyperlink"/>
            <w:vertAlign w:val="superscript"/>
          </w:rPr>
          <w:t xml:space="preserve">630</w:t>
        </w:r>
      </w:hyperlink>
      <w:r>
        <w:rPr>
          <w:vertAlign w:val="superscript"/>
        </w:rPr>
        <w:t xml:space="preserve">,</w:t>
      </w:r>
      <w:hyperlink w:anchor="ref-1642">
        <w:r>
          <w:rPr>
            <w:rStyle w:val="Hyperlink"/>
            <w:vertAlign w:val="superscript"/>
          </w:rPr>
          <w:t xml:space="preserve">1642</w:t>
        </w:r>
      </w:hyperlink>
      <w:r>
        <w:rPr>
          <w:vertAlign w:val="superscript"/>
        </w:rPr>
        <w:t xml:space="preserve">,</w:t>
      </w:r>
      <w:hyperlink w:anchor="ref-1643">
        <w:r>
          <w:rPr>
            <w:rStyle w:val="Hyperlink"/>
            <w:vertAlign w:val="superscript"/>
          </w:rPr>
          <w:t xml:space="preserve">1643</w:t>
        </w:r>
      </w:hyperlink>
      <w:r>
        <w:rPr>
          <w:vertAlign w:val="superscript"/>
        </w:rPr>
        <w:t xml:space="preserve">,</w:t>
      </w:r>
      <w:hyperlink w:anchor="ref-1644">
        <w:r>
          <w:rPr>
            <w:rStyle w:val="Hyperlink"/>
            <w:vertAlign w:val="superscript"/>
          </w:rPr>
          <w:t xml:space="preserve">1644</w:t>
        </w:r>
      </w:hyperlink>
      <w:r>
        <w:rPr>
          <w:vertAlign w:val="superscript"/>
        </w:rPr>
        <w:t xml:space="preserve">,</w:t>
      </w:r>
      <w:hyperlink w:anchor="ref-1645">
        <w:r>
          <w:rPr>
            <w:rStyle w:val="Hyperlink"/>
            <w:vertAlign w:val="superscript"/>
          </w:rPr>
          <w:t xml:space="preserve">1645</w:t>
        </w:r>
      </w:hyperlink>
      <w:r>
        <w:rPr>
          <w:vertAlign w:val="superscript"/>
        </w:rPr>
        <w:t xml:space="preserve">,</w:t>
      </w:r>
      <w:hyperlink w:anchor="ref-1646">
        <w:r>
          <w:rPr>
            <w:rStyle w:val="Hyperlink"/>
            <w:vertAlign w:val="superscript"/>
          </w:rPr>
          <w:t xml:space="preserve">1646</w:t>
        </w:r>
      </w:hyperlink>
      <w:r>
        <w:rPr>
          <w:vertAlign w:val="superscript"/>
        </w:rPr>
        <w:t xml:space="preserve">]</w:t>
      </w:r>
      <w:r>
        <w:t xml:space="preserve">。</w:t>
      </w:r>
    </w:p>
    <w:p>
      <w:pPr>
        <w:pStyle w:val="TableCaption"/>
      </w:pPr>
      <w:bookmarkStart w:id="2541" w:name="tab-bci-metrics"/>
      <w:bookmarkEnd w:id="2541"/>
      <w:r>
        <w:rPr>
          <w:bCs/>
          <w:b/>
        </w:rPr>
        <w:t xml:space="preserve">表 40　脑机接口性能指标的计量对象</w:t>
      </w:r>
    </w:p>
    <w:tbl>
      <w:tblPr>
        <w:tblStyle w:val="Table"/>
        <w:tblW w:type="pct" w:w="5000"/>
        <w:jc w:val="start"/>
        <w:tblLook w:firstRow="1" w:lastRow="0" w:firstColumn="0" w:lastColumn="0" w:noHBand="0" w:noVBand="0" w:val="0020"/>
      </w:tblPr>
      <w:tblGrid>
        <w:gridCol w:w="1173"/>
        <w:gridCol w:w="2933"/>
        <w:gridCol w:w="3813"/>
      </w:tblGrid>
      <w:tr>
        <w:trPr>
          <w:tblHeader w:val="true"/>
        </w:trPr>
        <w:tc>
          <w:tcPr>
            <w:shd w:val="clear" w:color="auto" w:fill="1F3A5F"/>
          </w:tcPr>
          <w:p>
            <w:pPr>
              <w:jc w:val="left"/>
            </w:pPr>
            <w:r>
              <w:rPr>
                <w:bCs/>
                <w:b/>
                <w:color w:val="FFFFFF"/>
              </w:rPr>
              <w:t xml:space="preserve">指标</w:t>
            </w:r>
          </w:p>
        </w:tc>
        <w:tc>
          <w:tcPr>
            <w:shd w:val="clear" w:color="auto" w:fill="1F3A5F"/>
          </w:tcPr>
          <w:p>
            <w:pPr>
              <w:jc w:val="left"/>
            </w:pPr>
            <w:r>
              <w:rPr>
                <w:bCs/>
                <w:b/>
                <w:color w:val="FFFFFF"/>
              </w:rPr>
              <w:t xml:space="preserve">应明确的计量对象</w:t>
            </w:r>
          </w:p>
        </w:tc>
        <w:tc>
          <w:tcPr>
            <w:shd w:val="clear" w:color="auto" w:fill="1F3A5F"/>
          </w:tcPr>
          <w:p>
            <w:pPr>
              <w:jc w:val="left"/>
            </w:pPr>
            <w:r>
              <w:rPr>
                <w:bCs/>
                <w:b/>
                <w:color w:val="FFFFFF"/>
              </w:rPr>
              <w:t xml:space="preserve">容易遗漏的条件</w:t>
            </w:r>
          </w:p>
        </w:tc>
      </w:tr>
      <w:tr>
        <w:tc>
          <w:tcPr/>
          <w:p>
            <w:pPr>
              <w:jc w:val="left"/>
            </w:pPr>
            <w:r>
              <w:t xml:space="preserve">词错误率</w:t>
            </w:r>
          </w:p>
        </w:tc>
        <w:tc>
          <w:tcPr/>
          <w:p>
            <w:pPr>
              <w:jc w:val="left"/>
            </w:pPr>
            <w:r>
              <w:t xml:space="preserve">替换、删除和插入错误相对于参照词数的比例</w:t>
            </w:r>
          </w:p>
        </w:tc>
        <w:tc>
          <w:tcPr/>
          <w:p>
            <w:pPr>
              <w:jc w:val="left"/>
            </w:pPr>
            <w:r>
              <w:t xml:space="preserve">词表、句子是否预知、语言模型、说话方式与评分规则</w:t>
            </w:r>
          </w:p>
        </w:tc>
      </w:tr>
      <w:tr>
        <w:tc>
          <w:tcPr/>
          <w:p>
            <w:pPr>
              <w:jc w:val="left"/>
            </w:pPr>
            <w:r>
              <w:t xml:space="preserve">字符或词输出速度</w:t>
            </w:r>
          </w:p>
        </w:tc>
        <w:tc>
          <w:tcPr/>
          <w:p>
            <w:pPr>
              <w:jc w:val="left"/>
            </w:pPr>
            <w:r>
              <w:t xml:space="preserve">单位时间内实际产生的输出</w:t>
            </w:r>
          </w:p>
        </w:tc>
        <w:tc>
          <w:tcPr/>
          <w:p>
            <w:pPr>
              <w:jc w:val="left"/>
            </w:pPr>
            <w:r>
              <w:t xml:space="preserve">是否扣除纠错时间、等待时间、校准与设备准备</w:t>
            </w:r>
          </w:p>
        </w:tc>
      </w:tr>
      <w:tr>
        <w:tc>
          <w:tcPr/>
          <w:p>
            <w:pPr>
              <w:jc w:val="left"/>
            </w:pPr>
            <w:r>
              <w:t xml:space="preserve">解码延迟</w:t>
            </w:r>
          </w:p>
        </w:tc>
        <w:tc>
          <w:tcPr/>
          <w:p>
            <w:pPr>
              <w:jc w:val="left"/>
            </w:pPr>
            <w:r>
              <w:t xml:space="preserve">输入事件到某个输出阶段之间的时间</w:t>
            </w:r>
          </w:p>
        </w:tc>
        <w:tc>
          <w:tcPr/>
          <w:p>
            <w:pPr>
              <w:jc w:val="left"/>
            </w:pPr>
            <w:r>
              <w:t xml:space="preserve">信号分块时长与端到端延迟不同，应说明起点和终点</w:t>
            </w:r>
          </w:p>
        </w:tc>
      </w:tr>
      <w:tr>
        <w:tc>
          <w:tcPr/>
          <w:p>
            <w:pPr>
              <w:jc w:val="left"/>
            </w:pPr>
            <w:r>
              <w:t xml:space="preserve">任务完成率</w:t>
            </w:r>
          </w:p>
        </w:tc>
        <w:tc>
          <w:tcPr/>
          <w:p>
            <w:pPr>
              <w:jc w:val="left"/>
            </w:pPr>
            <w:r>
              <w:t xml:space="preserve">完成任务的次数相对于所有合格尝试</w:t>
            </w:r>
          </w:p>
        </w:tc>
        <w:tc>
          <w:tcPr/>
          <w:p>
            <w:pPr>
              <w:jc w:val="left"/>
            </w:pPr>
            <w:r>
              <w:t xml:space="preserve">失败、放弃、信号丢失及需他人介入的尝试是否计入</w:t>
            </w:r>
          </w:p>
        </w:tc>
      </w:tr>
      <w:tr>
        <w:tc>
          <w:tcPr/>
          <w:p>
            <w:pPr>
              <w:jc w:val="left"/>
            </w:pPr>
            <w:r>
              <w:t xml:space="preserve">长期稳定性</w:t>
            </w:r>
          </w:p>
        </w:tc>
        <w:tc>
          <w:tcPr/>
          <w:p>
            <w:pPr>
              <w:jc w:val="left"/>
            </w:pPr>
            <w:r>
              <w:t xml:space="preserve">随日期、环境和生理变化的性能</w:t>
            </w:r>
          </w:p>
        </w:tc>
        <w:tc>
          <w:tcPr/>
          <w:p>
            <w:pPr>
              <w:jc w:val="left"/>
            </w:pPr>
            <w:r>
              <w:t xml:space="preserve">重新校准、模型更新、硬件维护与个体病程</w:t>
            </w:r>
          </w:p>
        </w:tc>
      </w:tr>
      <w:tr>
        <w:tc>
          <w:tcPr/>
          <w:p>
            <w:pPr>
              <w:jc w:val="left"/>
            </w:pPr>
            <w:r>
              <w:t xml:space="preserve">日常可用性</w:t>
            </w:r>
          </w:p>
        </w:tc>
        <w:tc>
          <w:tcPr/>
          <w:p>
            <w:pPr>
              <w:jc w:val="left"/>
            </w:pPr>
            <w:r>
              <w:t xml:space="preserve">实际生活中能否持续完成重要活动</w:t>
            </w:r>
          </w:p>
        </w:tc>
        <w:tc>
          <w:tcPr/>
          <w:p>
            <w:pPr>
              <w:jc w:val="left"/>
            </w:pPr>
            <w:r>
              <w:t xml:space="preserve">照护者支持、连接步骤、疲劳、使用者选择和退出能力</w:t>
            </w:r>
          </w:p>
        </w:tc>
      </w:tr>
      <w:tr>
        <w:tc>
          <w:tcPr/>
          <w:p>
            <w:pPr>
              <w:jc w:val="left"/>
            </w:pPr>
            <w:r>
              <w:t xml:space="preserve">安全与可接受性</w:t>
            </w:r>
          </w:p>
        </w:tc>
        <w:tc>
          <w:tcPr/>
          <w:p>
            <w:pPr>
              <w:jc w:val="left"/>
            </w:pPr>
            <w:r>
              <w:t xml:space="preserve">器械、手术、长期使用及数据处理的后果</w:t>
            </w:r>
          </w:p>
        </w:tc>
        <w:tc>
          <w:tcPr/>
          <w:p>
            <w:pPr>
              <w:jc w:val="left"/>
            </w:pPr>
            <w:r>
              <w:t xml:space="preserve">样本规模、随访期限、严重事件定义和未观察到的罕见风险</w:t>
            </w:r>
          </w:p>
        </w:tc>
      </w:tr>
    </w:tbl>
    <w:p>
      <w:pPr>
        <w:pStyle w:val="BodyText"/>
      </w:pPr>
      <w:r>
        <w:rPr>
          <w:bCs/>
          <w:b/>
        </w:rPr>
        <w:t xml:space="preserve">本章结论</w:t>
      </w:r>
      <w:r>
        <w:t xml:space="preserve">　脑机接口与神经调控正在形成越来越具体的功能证据。严谨评价需要贯穿信号、算法、闭环交互、长期维护与用户生活。性能数字、临床价值和治理责任各有独立标准；把这些标准同时纳入，才能准确描述一项技术已经实现什么，以及下一步仍需证明什么。</w:t>
      </w:r>
    </w:p>
    <w:bookmarkEnd w:id="2542"/>
    <w:bookmarkEnd w:id="2543"/>
    <w:bookmarkStart w:id="2572" w:name="ch-153"/>
    <w:p>
      <w:pPr>
        <w:pStyle w:val="Heading2"/>
      </w:pPr>
      <w:r>
        <w:t xml:space="preserve">第153章　人源干细胞、脑类器官与神经组装体</w:t>
      </w:r>
    </w:p>
    <w:p>
      <w:pPr>
        <w:pStyle w:val="CalloutJudgment"/>
      </w:pPr>
      <w:r>
        <w:rPr>
          <w:bCs/>
          <w:b/>
        </w:rPr>
        <w:t xml:space="preserve">核心判断与置信度</w:t>
      </w:r>
      <w:r>
        <w:t xml:space="preserve">　人源干细胞衍生神经模型使研究者能够直接观察部分人类细胞发育、遗传变异和组织相互作用。其科学价值取决于模型对特定过程的重建程度，以及与人体资料、其他模型和干预结果的相互验证。关于这些系统能够研究若干人源细胞机制的判断，置信度高；关于它们已经重建完整人脑、个人心智或可直接替代临床试验的主张，证据不足。不同培养体系、成熟阶段和移植条件需要分别评价</w:t>
      </w:r>
      <w:r>
        <w:rPr>
          <w:vertAlign w:val="superscript"/>
        </w:rPr>
        <w:t xml:space="preserve">[</w:t>
      </w:r>
      <w:hyperlink w:anchor="ref-1649">
        <w:r>
          <w:rPr>
            <w:rStyle w:val="Hyperlink"/>
            <w:vertAlign w:val="superscript"/>
          </w:rPr>
          <w:t xml:space="preserve">1649</w:t>
        </w:r>
      </w:hyperlink>
      <w:r>
        <w:rPr>
          <w:vertAlign w:val="superscript"/>
        </w:rPr>
        <w:t xml:space="preserve">,</w:t>
      </w:r>
      <w:hyperlink w:anchor="ref-1650">
        <w:r>
          <w:rPr>
            <w:rStyle w:val="Hyperlink"/>
            <w:vertAlign w:val="superscript"/>
          </w:rPr>
          <w:t xml:space="preserve">1650</w:t>
        </w:r>
      </w:hyperlink>
      <w:r>
        <w:rPr>
          <w:vertAlign w:val="superscript"/>
        </w:rPr>
        <w:t xml:space="preserve">]</w:t>
      </w:r>
      <w:r>
        <w:t xml:space="preserve">。</w:t>
      </w:r>
    </w:p>
    <w:bookmarkStart w:id="2544" w:name="sec-153-1"/>
    <w:p>
      <w:pPr>
        <w:pStyle w:val="Heading3"/>
      </w:pPr>
      <w:r>
        <w:t xml:space="preserve">153.1　多能性与细胞命运的重新组织</w:t>
      </w:r>
    </w:p>
    <w:p>
      <w:pPr>
        <w:pStyle w:val="FirstParagraph"/>
      </w:pPr>
      <w:r>
        <w:t xml:space="preserve">诱导多能干细胞技术通过改变体细胞的转录调控状态，使其获得向多种细胞类型分化的潜能。Takahashi等2007年报告从成人皮肤成纤维细胞产生人诱导多能干细胞，为研究供体相关的细胞过程提供了重要起点</w:t>
      </w:r>
      <w:r>
        <w:rPr>
          <w:vertAlign w:val="superscript"/>
        </w:rPr>
        <w:t xml:space="preserve">[</w:t>
      </w:r>
      <w:hyperlink w:anchor="ref-1651">
        <w:r>
          <w:rPr>
            <w:rStyle w:val="Hyperlink"/>
            <w:vertAlign w:val="superscript"/>
          </w:rPr>
          <w:t xml:space="preserve">1651</w:t>
        </w:r>
      </w:hyperlink>
      <w:r>
        <w:rPr>
          <w:vertAlign w:val="superscript"/>
        </w:rPr>
        <w:t xml:space="preserve">]</w:t>
      </w:r>
      <w:r>
        <w:t xml:space="preserve">。</w:t>
      </w:r>
    </w:p>
    <w:p>
      <w:pPr>
        <w:pStyle w:val="BodyText"/>
      </w:pPr>
      <w:r>
        <w:t xml:space="preserve">多能状态具有特定的基因调控与染色质特征。分化则需要使细胞逐步离开这一状态，进入相应谱系。获得某几个表面标志或转录因子的表达，不能单独保证整套细胞功能已经建立；需要多种独立指标验证。</w:t>
      </w:r>
    </w:p>
    <w:p>
      <w:pPr>
        <w:pStyle w:val="BodyText"/>
      </w:pPr>
      <w:r>
        <w:t xml:space="preserve">供体基因组能够在相当程度上保留，细胞状态则经历重置和重新分化。因此，从某位患者获得细胞，并不等于把该患者多年生活经历形成的全部脑状态保存在培养皿中。供体来源、重编程、克隆选择与培养经历共同影响最终模型。</w:t>
      </w:r>
    </w:p>
    <w:bookmarkEnd w:id="2544"/>
    <w:bookmarkStart w:id="2545" w:name="sec-153-2"/>
    <w:p>
      <w:pPr>
        <w:pStyle w:val="Heading3"/>
      </w:pPr>
      <w:r>
        <w:t xml:space="preserve">153.2　不同人源模型对应不同问题</w:t>
      </w:r>
    </w:p>
    <w:p>
      <w:pPr>
        <w:pStyle w:val="FirstParagraph"/>
      </w:pPr>
      <w:r>
        <w:t xml:space="preserve">二维神经元培养便于控制细胞比例、进行成像和膜片钳记录，也便于施加相对一致的药物条件。三维体系可以提供组织内部的位置、接触、细胞外基质及局部信号梯度，但会增加空间不均匀性与测量难度。</w:t>
      </w:r>
    </w:p>
    <w:p>
      <w:pPr>
        <w:pStyle w:val="BodyText"/>
      </w:pPr>
      <w:r>
        <w:t xml:space="preserve">类器官通常强调来源细胞在一定条件下自组织，形成与器官或某个区域相关的结构和细胞组成。组装体则通过组合不同区域类器官或特定细胞类型，研究它们之间的迁移、投射与功能联系。移植体系进一步引入宿主血管、免疫、活动和全身环境</w:t>
      </w:r>
      <w:r>
        <w:rPr>
          <w:vertAlign w:val="superscript"/>
        </w:rPr>
        <w:t xml:space="preserve">[</w:t>
      </w:r>
      <w:hyperlink w:anchor="ref-1650">
        <w:r>
          <w:rPr>
            <w:rStyle w:val="Hyperlink"/>
            <w:vertAlign w:val="superscript"/>
          </w:rPr>
          <w:t xml:space="preserve">1650</w:t>
        </w:r>
      </w:hyperlink>
      <w:r>
        <w:rPr>
          <w:vertAlign w:val="superscript"/>
        </w:rPr>
        <w:t xml:space="preserve">]</w:t>
      </w:r>
      <w:r>
        <w:t xml:space="preserve">。</w:t>
      </w:r>
    </w:p>
    <w:p>
      <w:pPr>
        <w:pStyle w:val="BodyText"/>
      </w:pPr>
      <w:r>
        <w:t xml:space="preserve">这些模型之间没有适用于所有问题的简单等级。研究某个通道的门控改变，受控细胞体系可能更容易解释；研究神经元迁移则需要空间结构；研究跨区域投射需要相应连接对象。模型选择应由问题所需的条件决定。</w:t>
      </w:r>
    </w:p>
    <w:bookmarkEnd w:id="2545"/>
    <w:bookmarkStart w:id="2546" w:name="sec-153-3"/>
    <w:p>
      <w:pPr>
        <w:pStyle w:val="Heading3"/>
      </w:pPr>
      <w:r>
        <w:t xml:space="preserve">153.3　诱导信号与区域身份</w:t>
      </w:r>
    </w:p>
    <w:p>
      <w:pPr>
        <w:pStyle w:val="FirstParagraph"/>
      </w:pPr>
      <w:r>
        <w:t xml:space="preserve">发育过程中，细胞根据时间和空间上的信号形成不同命运。培养体系利用相关信号通路，引导前后轴、背腹轴和区域身份。WNT、SHH、BMP及其他调控因素的作用依赖细胞所处阶段、组合和局部环境，不能只由某一种分子的名称预测全部结果。</w:t>
      </w:r>
    </w:p>
    <w:p>
      <w:pPr>
        <w:pStyle w:val="BodyText"/>
      </w:pPr>
      <w:r>
        <w:t xml:space="preserve">同一信号在不同阶段可能影响谱系选择、增殖、成熟或存活。较早改变条件可能重塑细胞群组成，较晚改变条件则可能主要调整已有细胞的状态。因此，疾病或药物实验需要说明干预作用于哪个发育环节。</w:t>
      </w:r>
    </w:p>
    <w:p>
      <w:pPr>
        <w:pStyle w:val="BodyText"/>
      </w:pPr>
      <w:r>
        <w:t xml:space="preserve">区域身份的判断应结合多个标志、转录组、形态及连接特征。一个细胞表达某个区域相关基因，只能提供部分证据。模型中可能同时存在目标谱系、邻近谱系和偏离目标的细胞，比例变化本身也可能影响功能读数</w:t>
      </w:r>
      <w:r>
        <w:rPr>
          <w:vertAlign w:val="superscript"/>
        </w:rPr>
        <w:t xml:space="preserve">[</w:t>
      </w:r>
      <w:hyperlink w:anchor="ref-1649">
        <w:r>
          <w:rPr>
            <w:rStyle w:val="Hyperlink"/>
            <w:vertAlign w:val="superscript"/>
          </w:rPr>
          <w:t xml:space="preserve">1649</w:t>
        </w:r>
      </w:hyperlink>
      <w:r>
        <w:rPr>
          <w:vertAlign w:val="superscript"/>
        </w:rPr>
        <w:t xml:space="preserve">,</w:t>
      </w:r>
      <w:hyperlink w:anchor="ref-1652">
        <w:r>
          <w:rPr>
            <w:rStyle w:val="Hyperlink"/>
            <w:vertAlign w:val="superscript"/>
          </w:rPr>
          <w:t xml:space="preserve">1652</w:t>
        </w:r>
      </w:hyperlink>
      <w:r>
        <w:rPr>
          <w:vertAlign w:val="superscript"/>
        </w:rPr>
        <w:t xml:space="preserve">]</w:t>
      </w:r>
      <w:r>
        <w:t xml:space="preserve">。</w:t>
      </w:r>
    </w:p>
    <w:bookmarkEnd w:id="2546"/>
    <w:bookmarkStart w:id="2547" w:name="sec-153-4"/>
    <w:p>
      <w:pPr>
        <w:pStyle w:val="Heading3"/>
      </w:pPr>
      <w:r>
        <w:t xml:space="preserve">153.4　自组织中的极性与局部空间</w:t>
      </w:r>
    </w:p>
    <w:p>
      <w:pPr>
        <w:pStyle w:val="FirstParagraph"/>
      </w:pPr>
      <w:r>
        <w:t xml:space="preserve">神经上皮细胞具有顶端与基底侧的极性。细胞连接、局部腔面和基质关系，可以使培养组织形成类似神经上皮的结构，并影响祖细胞分裂和后续神经元迁移。三维空间使细胞间的作用具有方向和距离。</w:t>
      </w:r>
    </w:p>
    <w:p>
      <w:pPr>
        <w:pStyle w:val="BodyText"/>
      </w:pPr>
      <w:r>
        <w:t xml:space="preserve">组织出现局部玫瑰花样结构或分层倾向，并不保证它拥有真实皮层的完整几何关系。多个局部中心可能同时形成，区域相对位置也可能不稳定。解释空间结果时，应区分局部组织规律与全脑尺度的解剖结构。</w:t>
      </w:r>
    </w:p>
    <w:p>
      <w:pPr>
        <w:pStyle w:val="BodyText"/>
      </w:pPr>
      <w:r>
        <w:t xml:space="preserve">细胞外基质还会影响黏附、张力、迁移与分化。材料批次和成分差异可能改变这些关系。报告组织模型时，需要说明其关键环境，使其他研究能够判断结果依赖哪些条件</w:t>
      </w:r>
      <w:r>
        <w:rPr>
          <w:vertAlign w:val="superscript"/>
        </w:rPr>
        <w:t xml:space="preserve">[</w:t>
      </w:r>
      <w:hyperlink w:anchor="ref-1650">
        <w:r>
          <w:rPr>
            <w:rStyle w:val="Hyperlink"/>
            <w:vertAlign w:val="superscript"/>
          </w:rPr>
          <w:t xml:space="preserve">1650</w:t>
        </w:r>
      </w:hyperlink>
      <w:r>
        <w:rPr>
          <w:vertAlign w:val="superscript"/>
        </w:rPr>
        <w:t xml:space="preserve">]</w:t>
      </w:r>
      <w:r>
        <w:t xml:space="preserve">。</w:t>
      </w:r>
    </w:p>
    <w:bookmarkEnd w:id="2547"/>
    <w:bookmarkStart w:id="2548" w:name="sec-153-5"/>
    <w:p>
      <w:pPr>
        <w:pStyle w:val="Heading3"/>
      </w:pPr>
      <w:r>
        <w:t xml:space="preserve">153.5　神经发生与细胞组成</w:t>
      </w:r>
    </w:p>
    <w:p>
      <w:pPr>
        <w:pStyle w:val="FirstParagraph"/>
      </w:pPr>
      <w:r>
        <w:t xml:space="preserve">皮层相关培养体系可以产生祖细胞及不同阶段的兴奋性神经元，并在长期培养中出现更多胶质谱系。某一时间点的细胞组成，反映增殖、分化、迁移和存活共同作用的结果。</w:t>
      </w:r>
    </w:p>
    <w:p>
      <w:pPr>
        <w:pStyle w:val="BodyText"/>
      </w:pPr>
      <w:r>
        <w:t xml:space="preserve">假设某种遗传变异使成熟神经元比例下降，可能原因包括祖细胞产生神经元较慢、神经元死亡较多、成熟标志启动较晚，或采样更难获得某类细胞。单次测序比例无法独自区分这些过程，需要时间序列、谱系与功能测量。</w:t>
      </w:r>
    </w:p>
    <w:p>
      <w:pPr>
        <w:pStyle w:val="BodyText"/>
      </w:pPr>
      <w:r>
        <w:t xml:space="preserve">Lancaster等2013年的研究利用人源三维培养建立了脑发育及小头畸形相关的模型，展示细胞发育过程可以成为疾病研究对象。其意义需要放在特定培养结构和病例机制中理解，不能推广为所有小头畸形或所有脑发育障碍共享同一机制</w:t>
      </w:r>
      <w:r>
        <w:rPr>
          <w:vertAlign w:val="superscript"/>
        </w:rPr>
        <w:t xml:space="preserve">[</w:t>
      </w:r>
      <w:hyperlink w:anchor="ref-1649">
        <w:r>
          <w:rPr>
            <w:rStyle w:val="Hyperlink"/>
            <w:vertAlign w:val="superscript"/>
          </w:rPr>
          <w:t xml:space="preserve">1649</w:t>
        </w:r>
      </w:hyperlink>
      <w:r>
        <w:rPr>
          <w:vertAlign w:val="superscript"/>
        </w:rPr>
        <w:t xml:space="preserve">]</w:t>
      </w:r>
      <w:r>
        <w:t xml:space="preserve">。</w:t>
      </w:r>
    </w:p>
    <w:bookmarkEnd w:id="2548"/>
    <w:bookmarkStart w:id="2549" w:name="sec-153-6"/>
    <w:p>
      <w:pPr>
        <w:pStyle w:val="Heading3"/>
      </w:pPr>
      <w:r>
        <w:t xml:space="preserve">153.6　细胞身份与细胞功能</w:t>
      </w:r>
    </w:p>
    <w:p>
      <w:pPr>
        <w:pStyle w:val="FirstParagraph"/>
      </w:pPr>
      <w:r>
        <w:t xml:space="preserve">单细胞转录组可以将培养细胞与人体参考图谱比较，检验它们具有什么谱系和成熟特征。参考标签的转移是一种基于表达相似性的推断，依赖参考人群、年龄、脑区、测序技术与分析方法。</w:t>
      </w:r>
    </w:p>
    <w:p>
      <w:pPr>
        <w:pStyle w:val="BodyText"/>
      </w:pPr>
      <w:r>
        <w:t xml:space="preserve">RNA相似性不能完整代替蛋白数量、膜定位、通道电流、代谢和突触输出。某些关键功能可能受翻译后修饰或细胞环境影响，即使转录组整体相近仍存在差异。较强的验证需要跨分子、结构和生理层面建立一致关系。</w:t>
      </w:r>
    </w:p>
    <w:p>
      <w:pPr>
        <w:pStyle w:val="BodyText"/>
      </w:pPr>
      <w:r>
        <w:t xml:space="preserve">细胞类别也可能呈连续变化。强行把每个细胞贴到最相近的人体类别，会掩盖未成熟或偏离的状态。模型评价应允许“无法可靠归类”这一结果，并报告不确定性</w:t>
      </w:r>
      <w:r>
        <w:rPr>
          <w:vertAlign w:val="superscript"/>
        </w:rPr>
        <w:t xml:space="preserve">[</w:t>
      </w:r>
      <w:hyperlink w:anchor="ref-1653">
        <w:r>
          <w:rPr>
            <w:rStyle w:val="Hyperlink"/>
            <w:vertAlign w:val="superscript"/>
          </w:rPr>
          <w:t xml:space="preserve">1653</w:t>
        </w:r>
      </w:hyperlink>
      <w:r>
        <w:rPr>
          <w:vertAlign w:val="superscript"/>
        </w:rPr>
        <w:t xml:space="preserve">,</w:t>
      </w:r>
      <w:hyperlink w:anchor="ref-1654">
        <w:r>
          <w:rPr>
            <w:rStyle w:val="Hyperlink"/>
            <w:vertAlign w:val="superscript"/>
          </w:rPr>
          <w:t xml:space="preserve">1654</w:t>
        </w:r>
      </w:hyperlink>
      <w:r>
        <w:rPr>
          <w:vertAlign w:val="superscript"/>
        </w:rPr>
        <w:t xml:space="preserve">]</w:t>
      </w:r>
      <w:r>
        <w:t xml:space="preserve">。</w:t>
      </w:r>
    </w:p>
    <w:bookmarkEnd w:id="2549"/>
    <w:bookmarkStart w:id="2550" w:name="sec-153-7"/>
    <w:p>
      <w:pPr>
        <w:pStyle w:val="Heading3"/>
      </w:pPr>
      <w:r>
        <w:t xml:space="preserve">153.7　重复性与准确性应分别评价</w:t>
      </w:r>
    </w:p>
    <w:p>
      <w:pPr>
        <w:pStyle w:val="FirstParagraph"/>
      </w:pPr>
      <w:r>
        <w:t xml:space="preserve">Velasco等2019年分析21个类器官的166242个细胞，报告其特定背侧前脑方案在细胞类别组成方面具有较高重复性。这里的21个组织单位与十余万个细胞属于不同统计层次；论文结果也不表示每种类器官方案都具有相同表现</w:t>
      </w:r>
      <w:r>
        <w:rPr>
          <w:vertAlign w:val="superscript"/>
        </w:rPr>
        <w:t xml:space="preserve">[</w:t>
      </w:r>
      <w:hyperlink w:anchor="ref-1654">
        <w:r>
          <w:rPr>
            <w:rStyle w:val="Hyperlink"/>
            <w:vertAlign w:val="superscript"/>
          </w:rPr>
          <w:t xml:space="preserve">1654</w:t>
        </w:r>
      </w:hyperlink>
      <w:r>
        <w:rPr>
          <w:vertAlign w:val="superscript"/>
        </w:rPr>
        <w:t xml:space="preserve">]</w:t>
      </w:r>
      <w:r>
        <w:t xml:space="preserve">。</w:t>
      </w:r>
    </w:p>
    <w:p>
      <w:pPr>
        <w:pStyle w:val="BodyText"/>
      </w:pPr>
      <w:r>
        <w:t xml:space="preserve">Bhaduri等2020年则在比较培养组织与发育中人脑时，发现细胞应激和亚型特异性不足等问题，移植条件能够缓解其中一部分。两类研究评价的方案、参照和尺度不同，可以同时成立：一种体系能够稳定产生某种组成，同时在某些成熟亚型或状态上仍偏离体内</w:t>
      </w:r>
      <w:r>
        <w:rPr>
          <w:vertAlign w:val="superscript"/>
        </w:rPr>
        <w:t xml:space="preserve">[</w:t>
      </w:r>
      <w:hyperlink w:anchor="ref-1653">
        <w:r>
          <w:rPr>
            <w:rStyle w:val="Hyperlink"/>
            <w:vertAlign w:val="superscript"/>
          </w:rPr>
          <w:t xml:space="preserve">1653</w:t>
        </w:r>
      </w:hyperlink>
      <w:r>
        <w:rPr>
          <w:vertAlign w:val="superscript"/>
        </w:rPr>
        <w:t xml:space="preserve">]</w:t>
      </w:r>
      <w:r>
        <w:t xml:space="preserve">。</w:t>
      </w:r>
    </w:p>
    <w:p>
      <w:pPr>
        <w:pStyle w:val="BodyText"/>
      </w:pPr>
      <w:r>
        <w:t xml:space="preserve">因此，批次一致性、与人体的相似性和对疾病机制的有效性，需要分别报告。仅重复得到相同结果，无法排除稳定的培养偏差；只展示一张与人体相似的图像，也不足以证明整个实验体系可靠。</w:t>
      </w:r>
    </w:p>
    <w:bookmarkEnd w:id="2550"/>
    <w:bookmarkStart w:id="2551" w:name="sec-153-8"/>
    <w:p>
      <w:pPr>
        <w:pStyle w:val="Heading3"/>
      </w:pPr>
      <w:r>
        <w:t xml:space="preserve">153.8　氧、营养与代谢限制</w:t>
      </w:r>
    </w:p>
    <w:p>
      <w:pPr>
        <w:pStyle w:val="FirstParagraph"/>
      </w:pPr>
      <w:r>
        <w:t xml:space="preserve">三维组织内部的物质交换受到扩散距离、细胞消耗、培养液条件与组织结构影响。中心和边缘可能经历不同的氧、营养和代谢环境。体积增大可以增加可研究的组织，也可能使内部环境更加不均匀。</w:t>
      </w:r>
    </w:p>
    <w:p>
      <w:pPr>
        <w:pStyle w:val="BodyText"/>
      </w:pPr>
      <w:r>
        <w:t xml:space="preserve">细胞应激会改变基因表达、蛋白折叠、存活与分化。若疾病组与对照组大小不同，观察到的差异可能同时包含目标机制和代谢环境的影响。需要测量并控制这些中间关系，再判断差异中有多少能够归于遗传变异。</w:t>
      </w:r>
    </w:p>
    <w:p>
      <w:pPr>
        <w:pStyle w:val="BodyText"/>
      </w:pPr>
      <w:r>
        <w:t xml:space="preserve">改善交换条件可能提高某些细胞的存活和成熟，但也会改变选择压力。长期存活的细胞群，未必保持最初的全部比例。评价改进方案时，应同时看组织内不同区域、细胞组成及目标功能</w:t>
      </w:r>
      <w:r>
        <w:rPr>
          <w:vertAlign w:val="superscript"/>
        </w:rPr>
        <w:t xml:space="preserve">[</w:t>
      </w:r>
      <w:hyperlink w:anchor="ref-1653">
        <w:r>
          <w:rPr>
            <w:rStyle w:val="Hyperlink"/>
            <w:vertAlign w:val="superscript"/>
          </w:rPr>
          <w:t xml:space="preserve">1653</w:t>
        </w:r>
      </w:hyperlink>
      <w:r>
        <w:rPr>
          <w:vertAlign w:val="superscript"/>
        </w:rPr>
        <w:t xml:space="preserve">]</w:t>
      </w:r>
      <w:r>
        <w:t xml:space="preserve">。</w:t>
      </w:r>
    </w:p>
    <w:bookmarkEnd w:id="2551"/>
    <w:bookmarkStart w:id="2552" w:name="sec-153-9"/>
    <w:p>
      <w:pPr>
        <w:pStyle w:val="Heading3"/>
      </w:pPr>
      <w:r>
        <w:t xml:space="preserve">153.9　血管样结构与真实灌注</w:t>
      </w:r>
    </w:p>
    <w:p>
      <w:pPr>
        <w:pStyle w:val="FirstParagraph"/>
      </w:pPr>
      <w:r>
        <w:t xml:space="preserve">血管相关细胞可以影响组织营养、屏障、信号交换与发育。Cakir等2019年建立了带有血管样系统的脑类器官工程方案，展示增加相应细胞成分能够改变模型的组织和功能特征</w:t>
      </w:r>
      <w:r>
        <w:rPr>
          <w:vertAlign w:val="superscript"/>
        </w:rPr>
        <w:t xml:space="preserve">[</w:t>
      </w:r>
      <w:hyperlink w:anchor="ref-1655">
        <w:r>
          <w:rPr>
            <w:rStyle w:val="Hyperlink"/>
            <w:vertAlign w:val="superscript"/>
          </w:rPr>
          <w:t xml:space="preserve">1655</w:t>
        </w:r>
      </w:hyperlink>
      <w:r>
        <w:rPr>
          <w:vertAlign w:val="superscript"/>
        </w:rPr>
        <w:t xml:space="preserve">]</w:t>
      </w:r>
      <w:r>
        <w:t xml:space="preserve">。</w:t>
      </w:r>
    </w:p>
    <w:p>
      <w:pPr>
        <w:pStyle w:val="BodyText"/>
      </w:pPr>
      <w:r>
        <w:t xml:space="preserve">评价“血管化”需要说明具体证据：有无内皮标志、连续管腔、基底膜、周细胞关系、实际液体灌注、选择性通透及对压力的响应。这些指标回答不同问题，不能仅凭血管样形态就宣称形成完整的人体脑微循环。</w:t>
      </w:r>
    </w:p>
    <w:p>
      <w:pPr>
        <w:pStyle w:val="BodyText"/>
      </w:pPr>
      <w:r>
        <w:t xml:space="preserve">体外通道中的灌流，与移植后接入宿主循环系统的灌注相比，所处条件也不相同。流速、剪切力、血液细胞、免疫因素及代谢交换都可能影响结论。对于药物进入组织的研究，尤其需要区分培养液直接暴露与跨屏障进入。</w:t>
      </w:r>
    </w:p>
    <w:bookmarkEnd w:id="2552"/>
    <w:bookmarkStart w:id="2553" w:name="sec-153-10"/>
    <w:p>
      <w:pPr>
        <w:pStyle w:val="Heading3"/>
      </w:pPr>
      <w:r>
        <w:t xml:space="preserve">153.10　小胶质细胞与非神经谱系</w:t>
      </w:r>
    </w:p>
    <w:p>
      <w:pPr>
        <w:pStyle w:val="FirstParagraph"/>
      </w:pPr>
      <w:r>
        <w:t xml:space="preserve">小胶质细胞的发育来源和分化路径与神经外胚层细胞不同。某些高度定向的神经培养方案因而缺少这类细胞，另一些体系则可能保留或加入相应前体。不能把“所有类器官都没有免疫细胞”当作通用事实。</w:t>
      </w:r>
    </w:p>
    <w:p>
      <w:pPr>
        <w:pStyle w:val="BodyText"/>
      </w:pPr>
      <w:r>
        <w:t xml:space="preserve">Ormel等2018年报告某种脑类器官方案中可出现具有小胶质细胞表型的细胞，提供研究神经元、胶质与免疫相互作用的模型。其身份和功能仍需通过来源、分子表达、反应性和组织环境共同判断</w:t>
      </w:r>
      <w:r>
        <w:rPr>
          <w:vertAlign w:val="superscript"/>
        </w:rPr>
        <w:t xml:space="preserve">[</w:t>
      </w:r>
      <w:hyperlink w:anchor="ref-1656">
        <w:r>
          <w:rPr>
            <w:rStyle w:val="Hyperlink"/>
            <w:vertAlign w:val="superscript"/>
          </w:rPr>
          <w:t xml:space="preserve">1656</w:t>
        </w:r>
      </w:hyperlink>
      <w:r>
        <w:rPr>
          <w:vertAlign w:val="superscript"/>
        </w:rPr>
        <w:t xml:space="preserve">]</w:t>
      </w:r>
      <w:r>
        <w:t xml:space="preserve">。</w:t>
      </w:r>
    </w:p>
    <w:p>
      <w:pPr>
        <w:pStyle w:val="BodyText"/>
      </w:pPr>
      <w:r>
        <w:t xml:space="preserve">加入免疫细胞可能帮助研究吞噬、炎症或突触相关过程，也可能带来成熟度和刺激条件差异。培养体系中的激活状态不能直接等同患者脑内状态。若研究结论依赖炎症反应，应说明刺激、时间窗和细胞组成。</w:t>
      </w:r>
    </w:p>
    <w:bookmarkEnd w:id="2553"/>
    <w:bookmarkStart w:id="2554" w:name="sec-153-11"/>
    <w:p>
      <w:pPr>
        <w:pStyle w:val="Heading3"/>
      </w:pPr>
      <w:r>
        <w:t xml:space="preserve">153.11　成熟度具有多个维度</w:t>
      </w:r>
    </w:p>
    <w:p>
      <w:pPr>
        <w:pStyle w:val="FirstParagraph"/>
      </w:pPr>
      <w:r>
        <w:t xml:space="preserve">神经元的成熟可以从静息膜电位、输入阻抗、动作电位形状、重复放电、树突结构、突触传递和基因调控等方面评价。不同维度可能以不同速度变化，不能只由培养天数给出统一成熟等级。</w:t>
      </w:r>
    </w:p>
    <w:p>
      <w:pPr>
        <w:pStyle w:val="BodyText"/>
      </w:pPr>
      <w:r>
        <w:t xml:space="preserve">“像出生后阶段”通常意味着某些指标与参考阶段较相近。它不表示所有细胞同时到达同样年龄，也不代表已具有儿童或成人的整体脑功能。参考数据的年龄分布和测量方法会影响映射。</w:t>
      </w:r>
    </w:p>
    <w:p>
      <w:pPr>
        <w:pStyle w:val="BodyText"/>
      </w:pPr>
      <w:r>
        <w:t xml:space="preserve">发育成熟与衰老也需要区分。出现较晚的神经发育特征，不能直接解释为老年退行性改变。研究老化疾病时，需要判断模型是否包含相关年龄背景、长期环境和病理时间尺度</w:t>
      </w:r>
      <w:r>
        <w:rPr>
          <w:vertAlign w:val="superscript"/>
        </w:rPr>
        <w:t xml:space="preserve">[</w:t>
      </w:r>
      <w:hyperlink w:anchor="ref-1657">
        <w:r>
          <w:rPr>
            <w:rStyle w:val="Hyperlink"/>
            <w:vertAlign w:val="superscript"/>
          </w:rPr>
          <w:t xml:space="preserve">1657</w:t>
        </w:r>
      </w:hyperlink>
      <w:r>
        <w:rPr>
          <w:vertAlign w:val="superscript"/>
        </w:rPr>
        <w:t xml:space="preserve">,</w:t>
      </w:r>
      <w:hyperlink w:anchor="ref-1658">
        <w:r>
          <w:rPr>
            <w:rStyle w:val="Hyperlink"/>
            <w:vertAlign w:val="superscript"/>
          </w:rPr>
          <w:t xml:space="preserve">1658</w:t>
        </w:r>
      </w:hyperlink>
      <w:r>
        <w:rPr>
          <w:vertAlign w:val="superscript"/>
        </w:rPr>
        <w:t xml:space="preserve">]</w:t>
      </w:r>
      <w:r>
        <w:t xml:space="preserve">。</w:t>
      </w:r>
    </w:p>
    <w:bookmarkEnd w:id="2554"/>
    <w:bookmarkStart w:id="2555" w:name="sec-153-12"/>
    <w:p>
      <w:pPr>
        <w:pStyle w:val="Heading3"/>
      </w:pPr>
      <w:r>
        <w:t xml:space="preserve">153.12　培养五年的新证据与边界</w:t>
      </w:r>
    </w:p>
    <w:p>
      <w:pPr>
        <w:pStyle w:val="FirstParagraph"/>
      </w:pPr>
      <w:r>
        <w:t xml:space="preserve">Faravelli等2026年将人皮层类器官培养扩展至五年，并结合转录组、甲基化及结构功能测量研究时间进程。其发育时间图谱合并34个新组织样本和76个既有样本，共110个类器官、424720个细胞；最晚60个月时间点仅有两个类器官、2054个细胞，不能用总细胞量掩盖末端重复数</w:t>
      </w:r>
      <w:r>
        <w:rPr>
          <w:vertAlign w:val="superscript"/>
        </w:rPr>
        <w:t xml:space="preserve">[</w:t>
      </w:r>
      <w:hyperlink w:anchor="ref-1658">
        <w:r>
          <w:rPr>
            <w:rStyle w:val="Hyperlink"/>
            <w:vertAlign w:val="superscript"/>
          </w:rPr>
          <w:t xml:space="preserve">1658</w:t>
        </w:r>
      </w:hyperlink>
      <w:r>
        <w:rPr>
          <w:vertAlign w:val="superscript"/>
        </w:rPr>
        <w:t xml:space="preserve">]</w:t>
      </w:r>
      <w:r>
        <w:t xml:space="preserve">。</w:t>
      </w:r>
    </w:p>
    <w:p>
      <w:pPr>
        <w:pStyle w:val="BodyText"/>
      </w:pPr>
      <w:r>
        <w:t xml:space="preserve">研究支持部分细胞保留发育时间相关的信息，并在长期培养中继续变化。这里的“记录时间”指细胞发育程序及表观遗传状态，不能解释为组织产生了人类的自传体记忆。不同细胞的成熟轨迹和培养条件仍需分别分析</w:t>
      </w:r>
      <w:r>
        <w:rPr>
          <w:vertAlign w:val="superscript"/>
        </w:rPr>
        <w:t xml:space="preserve">[</w:t>
      </w:r>
      <w:hyperlink w:anchor="ref-1658">
        <w:r>
          <w:rPr>
            <w:rStyle w:val="Hyperlink"/>
            <w:vertAlign w:val="superscript"/>
          </w:rPr>
          <w:t xml:space="preserve">1658</w:t>
        </w:r>
      </w:hyperlink>
      <w:r>
        <w:rPr>
          <w:vertAlign w:val="superscript"/>
        </w:rPr>
        <w:t xml:space="preserve">]</w:t>
      </w:r>
      <w:r>
        <w:t xml:space="preserve">。</w:t>
      </w:r>
    </w:p>
    <w:p>
      <w:pPr>
        <w:pStyle w:val="BodyText"/>
      </w:pPr>
      <w:r>
        <w:t xml:space="preserve">论文披露部分作者与Foresite Labs、Avatar Bio、Genentech等企业的创办、持股或任职关系；相关数据共享还受到部分供体同意范围的限制</w:t>
      </w:r>
      <w:r>
        <w:rPr>
          <w:vertAlign w:val="superscript"/>
        </w:rPr>
        <w:t xml:space="preserve">[</w:t>
      </w:r>
      <w:hyperlink w:anchor="ref-1658">
        <w:r>
          <w:rPr>
            <w:rStyle w:val="Hyperlink"/>
            <w:vertAlign w:val="superscript"/>
          </w:rPr>
          <w:t xml:space="preserve">1658</w:t>
        </w:r>
      </w:hyperlink>
      <w:r>
        <w:rPr>
          <w:vertAlign w:val="superscript"/>
        </w:rPr>
        <w:t xml:space="preserve">]</w:t>
      </w:r>
      <w:r>
        <w:t xml:space="preserve">。</w:t>
      </w:r>
    </w:p>
    <w:p>
      <w:pPr>
        <w:pStyle w:val="BodyText"/>
      </w:pPr>
      <w:r>
        <w:t xml:space="preserve">这一进展也说明，某些先前的模型限制可以通过技术改善部分缓解。对前沿方法的判断应保留更新空间，同时具体写清已经改善的指标及仍然缺少的系统条件。</w:t>
      </w:r>
    </w:p>
    <w:bookmarkEnd w:id="2555"/>
    <w:bookmarkStart w:id="2556" w:name="sec-153-13"/>
    <w:p>
      <w:pPr>
        <w:pStyle w:val="Heading3"/>
      </w:pPr>
      <w:r>
        <w:t xml:space="preserve">153.13　重编程与老化研究的特殊问题</w:t>
      </w:r>
    </w:p>
    <w:p>
      <w:pPr>
        <w:pStyle w:val="FirstParagraph"/>
      </w:pPr>
      <w:r>
        <w:t xml:space="preserve">由老年供体获得诱导多能干细胞后再分化，可能重置某些年龄相关状态。因此，供体年龄、培养时间和衍生神经元的分子年龄不能简单互换。若疾病过程需要老化背景，这种重置可能影响表型出现。</w:t>
      </w:r>
    </w:p>
    <w:p>
      <w:pPr>
        <w:pStyle w:val="BodyText"/>
      </w:pPr>
      <w:r>
        <w:t xml:space="preserve">Mertens等2015年比较经多能阶段分化与直接转换获得的神经元，发现直接转换能够保留某些年龄相关转录特征，而多能重编程使部分特征年轻化。该结果支持按研究目标选择模型，同时不意味着直接转换保留了供体所有年龄经历</w:t>
      </w:r>
      <w:r>
        <w:rPr>
          <w:vertAlign w:val="superscript"/>
        </w:rPr>
        <w:t xml:space="preserve">[</w:t>
      </w:r>
      <w:hyperlink w:anchor="ref-1657">
        <w:r>
          <w:rPr>
            <w:rStyle w:val="Hyperlink"/>
            <w:vertAlign w:val="superscript"/>
          </w:rPr>
          <w:t xml:space="preserve">1657</w:t>
        </w:r>
      </w:hyperlink>
      <w:r>
        <w:rPr>
          <w:vertAlign w:val="superscript"/>
        </w:rPr>
        <w:t xml:space="preserve">]</w:t>
      </w:r>
      <w:r>
        <w:t xml:space="preserve">。</w:t>
      </w:r>
    </w:p>
    <w:p>
      <w:pPr>
        <w:pStyle w:val="BodyText"/>
      </w:pPr>
      <w:r>
        <w:t xml:space="preserve">人为施加氧化、蛋白稳态或其他应激可以显露某些易感性，但必须区分加速模型与自然老化。应激模型是否对应真实疾病，需要人体资料、独立模型和机制干预共同验证。</w:t>
      </w:r>
    </w:p>
    <w:bookmarkEnd w:id="2556"/>
    <w:bookmarkStart w:id="2557" w:name="sec-153-14"/>
    <w:p>
      <w:pPr>
        <w:pStyle w:val="Heading3"/>
      </w:pPr>
      <w:r>
        <w:t xml:space="preserve">153.14　组装体中的迁移</w:t>
      </w:r>
    </w:p>
    <w:p>
      <w:pPr>
        <w:pStyle w:val="FirstParagraph"/>
      </w:pPr>
      <w:r>
        <w:t xml:space="preserve">不同区域类器官组合后，细胞可以沿局部信号和结构关系迁移。前脑组装体使研究者观察部分抑制性神经元从腹侧相关组织进入背侧相关组织的过程，并测量迁移形态和时间变化。</w:t>
      </w:r>
    </w:p>
    <w:p>
      <w:pPr>
        <w:pStyle w:val="BodyText"/>
      </w:pPr>
      <w:r>
        <w:t xml:space="preserve">Birey等2017年的工作建立了功能整合的前脑球状组织体系，并研究Timothy综合征相关细胞的迁移异常。其贡献在于把某些人源发育过程转化为可观察、可操纵的模型；个体症状与完整脑网络仍需要更高层次证据</w:t>
      </w:r>
      <w:r>
        <w:rPr>
          <w:vertAlign w:val="superscript"/>
        </w:rPr>
        <w:t xml:space="preserve">[</w:t>
      </w:r>
      <w:hyperlink w:anchor="ref-1652">
        <w:r>
          <w:rPr>
            <w:rStyle w:val="Hyperlink"/>
            <w:vertAlign w:val="superscript"/>
          </w:rPr>
          <w:t xml:space="preserve">1652</w:t>
        </w:r>
      </w:hyperlink>
      <w:r>
        <w:rPr>
          <w:vertAlign w:val="superscript"/>
        </w:rPr>
        <w:t xml:space="preserve">]</w:t>
      </w:r>
      <w:r>
        <w:t xml:space="preserve">。</w:t>
      </w:r>
    </w:p>
    <w:p>
      <w:pPr>
        <w:pStyle w:val="BodyText"/>
      </w:pPr>
      <w:r>
        <w:t xml:space="preserve">迁移读数应区分启动比例、移动速度、停顿、方向、核移位和最终位置。总迁移距离相同，可能由不同的细胞行为组合产生。只报告一个综合指标，容易错过机制上的差异。</w:t>
      </w:r>
    </w:p>
    <w:bookmarkEnd w:id="2557"/>
    <w:bookmarkStart w:id="2558" w:name="sec-153-15"/>
    <w:p>
      <w:pPr>
        <w:pStyle w:val="Heading3"/>
      </w:pPr>
      <w:r>
        <w:t xml:space="preserve">153.15　跨区域投射与突触整合</w:t>
      </w:r>
    </w:p>
    <w:p>
      <w:pPr>
        <w:pStyle w:val="FirstParagraph"/>
      </w:pPr>
      <w:r>
        <w:t xml:space="preserve">轴突进入邻接组织提供解剖连接证据。要判断它是否形成有效突触，还需结合突触结构、受体相关响应、刺激后的时间关系及适当阻断。荧光纤维跨过边界并不自动说明信息以预期方式传递。</w:t>
      </w:r>
    </w:p>
    <w:p>
      <w:pPr>
        <w:pStyle w:val="BodyText"/>
      </w:pPr>
      <w:r>
        <w:t xml:space="preserve">同步活动也可能来自共同驱动、细胞外环境或网络整体状态。定向刺激、路径选择、局部记录及对照操作，可以帮助区分这些解释。若声称信息按某条多突触路线传播，就应检查中间环节是否参与。</w:t>
      </w:r>
    </w:p>
    <w:p>
      <w:pPr>
        <w:pStyle w:val="BodyText"/>
      </w:pPr>
      <w:r>
        <w:t xml:space="preserve">组装后形成的连接还受到位置、接触面积、成熟阶段和可用细胞类型影响。模型可以重建某些连接能力，同时缺少真实发育中的全脑竞争和身体反馈。功能解释需要保留这种范围</w:t>
      </w:r>
      <w:r>
        <w:rPr>
          <w:vertAlign w:val="superscript"/>
        </w:rPr>
        <w:t xml:space="preserve">[</w:t>
      </w:r>
      <w:hyperlink w:anchor="ref-1652">
        <w:r>
          <w:rPr>
            <w:rStyle w:val="Hyperlink"/>
            <w:vertAlign w:val="superscript"/>
          </w:rPr>
          <w:t xml:space="preserve">1652</w:t>
        </w:r>
      </w:hyperlink>
      <w:r>
        <w:rPr>
          <w:vertAlign w:val="superscript"/>
        </w:rPr>
        <w:t xml:space="preserve">,</w:t>
      </w:r>
      <w:hyperlink w:anchor="ref-1659">
        <w:r>
          <w:rPr>
            <w:rStyle w:val="Hyperlink"/>
            <w:vertAlign w:val="superscript"/>
          </w:rPr>
          <w:t xml:space="preserve">1659</w:t>
        </w:r>
      </w:hyperlink>
      <w:r>
        <w:rPr>
          <w:vertAlign w:val="superscript"/>
        </w:rPr>
        <w:t xml:space="preserve">]</w:t>
      </w:r>
      <w:r>
        <w:t xml:space="preserve">。</w:t>
      </w:r>
    </w:p>
    <w:bookmarkEnd w:id="2558"/>
    <w:bookmarkStart w:id="2559" w:name="sec-153-16"/>
    <w:p>
      <w:pPr>
        <w:pStyle w:val="Heading3"/>
      </w:pPr>
      <w:r>
        <w:t xml:space="preserve">153.16　皮层到肌肉的功能模型</w:t>
      </w:r>
    </w:p>
    <w:p>
      <w:pPr>
        <w:pStyle w:val="FirstParagraph"/>
      </w:pPr>
      <w:r>
        <w:t xml:space="preserve">Andersen等2020年将人皮层球状组织、后脑/颈段脊髓球状组织与人骨骼肌球状组织组合为三部分组装体，建立可研究皮层相关信号与肌肉收缩联系的系统。它使神经回路输出能够通过外周效应器测量，为发育和运动通路研究提供了工具</w:t>
      </w:r>
      <w:r>
        <w:rPr>
          <w:vertAlign w:val="superscript"/>
        </w:rPr>
        <w:t xml:space="preserve">[</w:t>
      </w:r>
      <w:hyperlink w:anchor="ref-1659">
        <w:r>
          <w:rPr>
            <w:rStyle w:val="Hyperlink"/>
            <w:vertAlign w:val="superscript"/>
          </w:rPr>
          <w:t xml:space="preserve">1659</w:t>
        </w:r>
      </w:hyperlink>
      <w:r>
        <w:rPr>
          <w:vertAlign w:val="superscript"/>
        </w:rPr>
        <w:t xml:space="preserve">]</w:t>
      </w:r>
      <w:r>
        <w:t xml:space="preserve">。</w:t>
      </w:r>
    </w:p>
    <w:p>
      <w:pPr>
        <w:pStyle w:val="BodyText"/>
      </w:pPr>
      <w:r>
        <w:t xml:space="preserve">肌肉收缩是具体的功能终点，但它本身不能证明模型完成了完整的运动计划、身体姿态控制或意图。真实运动还涉及本体感觉、负荷、关节、反射和环境反馈。不同层次的功能应分别命名。</w:t>
      </w:r>
    </w:p>
    <w:p>
      <w:pPr>
        <w:pStyle w:val="BodyText"/>
      </w:pPr>
      <w:r>
        <w:t xml:space="preserve">对这一类体系进行药物或基因干预时，需要区分作用发生在皮层神经元、下游运动神经元、神经肌肉接头还是肌肉本身。若只看最终收缩变化，多个不同机制可能给出相同结果。</w:t>
      </w:r>
    </w:p>
    <w:bookmarkEnd w:id="2559"/>
    <w:bookmarkStart w:id="2560" w:name="sec-153-17"/>
    <w:p>
      <w:pPr>
        <w:pStyle w:val="Heading3"/>
      </w:pPr>
      <w:r>
        <w:t xml:space="preserve">153.17　上行感觉通路的体外重建</w:t>
      </w:r>
    </w:p>
    <w:p>
      <w:pPr>
        <w:pStyle w:val="FirstParagraph"/>
      </w:pPr>
      <w:r>
        <w:t xml:space="preserve">Kim等2025年把躯体感觉、脊髓、丘脑和皮层相关类器官组合为四部分系统，观察到化学刺激后的协调响应，并研究SCN9A变异对同步活动的影响。失功能与增功能变异提供了不同方向的机制检验，研究对象是人源细胞通路模型</w:t>
      </w:r>
      <w:r>
        <w:rPr>
          <w:vertAlign w:val="superscript"/>
        </w:rPr>
        <w:t xml:space="preserve">[</w:t>
      </w:r>
      <w:hyperlink w:anchor="ref-1660">
        <w:r>
          <w:rPr>
            <w:rStyle w:val="Hyperlink"/>
            <w:vertAlign w:val="superscript"/>
          </w:rPr>
          <w:t xml:space="preserve">1660</w:t>
        </w:r>
      </w:hyperlink>
      <w:r>
        <w:rPr>
          <w:vertAlign w:val="superscript"/>
        </w:rPr>
        <w:t xml:space="preserve">]</w:t>
      </w:r>
      <w:r>
        <w:t xml:space="preserve">。</w:t>
      </w:r>
    </w:p>
    <w:p>
      <w:pPr>
        <w:pStyle w:val="BodyText"/>
      </w:pPr>
      <w:r>
        <w:t xml:space="preserve">伤害性化学刺激引起细胞活动，可以提供伤害感受相关过程的证据。由此推断模型具有人的疼痛体验，仍缺少必要的验证。疼痛体验、保护性反应和分子通道功能在教材中需要保持区分。</w:t>
      </w:r>
    </w:p>
    <w:p>
      <w:pPr>
        <w:pStyle w:val="BodyText"/>
      </w:pPr>
      <w:r>
        <w:t xml:space="preserve">论文披露了区域化类器官与组装体相关专利申请。技术与商业利益应透明呈现，结果可信度仍应根据对照、记录、重复与可检验机制评估</w:t>
      </w:r>
      <w:r>
        <w:rPr>
          <w:vertAlign w:val="superscript"/>
        </w:rPr>
        <w:t xml:space="preserve">[</w:t>
      </w:r>
      <w:hyperlink w:anchor="ref-1660">
        <w:r>
          <w:rPr>
            <w:rStyle w:val="Hyperlink"/>
            <w:vertAlign w:val="superscript"/>
          </w:rPr>
          <w:t xml:space="preserve">1660</w:t>
        </w:r>
      </w:hyperlink>
      <w:r>
        <w:rPr>
          <w:vertAlign w:val="superscript"/>
        </w:rPr>
        <w:t xml:space="preserve">]</w:t>
      </w:r>
      <w:r>
        <w:t xml:space="preserve">。</w:t>
      </w:r>
    </w:p>
    <w:bookmarkEnd w:id="2560"/>
    <w:bookmarkStart w:id="2561" w:name="sec-153-18"/>
    <w:p>
      <w:pPr>
        <w:pStyle w:val="Heading3"/>
      </w:pPr>
      <w:r>
        <w:t xml:space="preserve">153.18　移植如何改变模型环境</w:t>
      </w:r>
    </w:p>
    <w:p>
      <w:pPr>
        <w:pStyle w:val="FirstParagraph"/>
      </w:pPr>
      <w:r>
        <w:t xml:space="preserve">移植可以使人源组织获得宿主血管、局部细胞和活动输入，减少某些体外限制。与此同时，它引入了跨物种信号、宿主免疫背景、发育时机和解剖位置等因素。移植后的结果属于人源组织与宿主共同形成的系统。</w:t>
      </w:r>
    </w:p>
    <w:p>
      <w:pPr>
        <w:pStyle w:val="BodyText"/>
      </w:pPr>
      <w:r>
        <w:t xml:space="preserve">Revah等2022年将皮层类器官移植到新生免疫缺陷大鼠的躯体感觉皮层，发现多种成熟指标增强，并观察到宿主输入及行为相关回路联系。研究为人源细胞的体内功能检验提供了平台</w:t>
      </w:r>
      <w:r>
        <w:rPr>
          <w:vertAlign w:val="superscript"/>
        </w:rPr>
        <w:t xml:space="preserve">[</w:t>
      </w:r>
      <w:hyperlink w:anchor="ref-1661">
        <w:r>
          <w:rPr>
            <w:rStyle w:val="Hyperlink"/>
            <w:vertAlign w:val="superscript"/>
          </w:rPr>
          <w:t xml:space="preserve">1661</w:t>
        </w:r>
      </w:hyperlink>
      <w:r>
        <w:rPr>
          <w:vertAlign w:val="superscript"/>
        </w:rPr>
        <w:t xml:space="preserve">]</w:t>
      </w:r>
      <w:r>
        <w:t xml:space="preserve">。</w:t>
      </w:r>
    </w:p>
    <w:p>
      <w:pPr>
        <w:pStyle w:val="BodyText"/>
      </w:pPr>
      <w:r>
        <w:t xml:space="preserve">该论文2026年更正了图5a中一个被误重复的图像面板，原先内侧前额叶面板重复了听觉区面板。解读相关连接图像应使用更正后的资料，并把图像、独立记录和行为证据分别评价</w:t>
      </w:r>
      <w:r>
        <w:rPr>
          <w:vertAlign w:val="superscript"/>
        </w:rPr>
        <w:t xml:space="preserve">[</w:t>
      </w:r>
      <w:hyperlink w:anchor="ref-1662">
        <w:r>
          <w:rPr>
            <w:rStyle w:val="Hyperlink"/>
            <w:vertAlign w:val="superscript"/>
          </w:rPr>
          <w:t xml:space="preserve">1662</w:t>
        </w:r>
      </w:hyperlink>
      <w:r>
        <w:rPr>
          <w:vertAlign w:val="superscript"/>
        </w:rPr>
        <w:t xml:space="preserve">]</w:t>
      </w:r>
      <w:r>
        <w:t xml:space="preserve">。</w:t>
      </w:r>
    </w:p>
    <w:bookmarkEnd w:id="2561"/>
    <w:bookmarkStart w:id="2562" w:name="sec-153-19"/>
    <w:p>
      <w:pPr>
        <w:pStyle w:val="Heading3"/>
      </w:pPr>
      <w:r>
        <w:t xml:space="preserve">153.19　2026年的大范围移植平台</w:t>
      </w:r>
    </w:p>
    <w:p>
      <w:pPr>
        <w:pStyle w:val="FirstParagraph"/>
      </w:pPr>
      <w:r>
        <w:t xml:space="preserve">Kaganovsky等2026年通过遗传策略大幅减少宿主小鼠新皮层和海马的谷氨酸能神经元，再植入人源皮层类器官，研究更大范围的组织生长、细胞类型及宿主行为。该研究报告了回路活动和部分步态、行为组织差异；其中步态比较包含对照16只、皮层耗减组10只、移植组7只小鼠</w:t>
      </w:r>
      <w:r>
        <w:rPr>
          <w:vertAlign w:val="superscript"/>
        </w:rPr>
        <w:t xml:space="preserve">[</w:t>
      </w:r>
      <w:hyperlink w:anchor="ref-1663">
        <w:r>
          <w:rPr>
            <w:rStyle w:val="Hyperlink"/>
            <w:vertAlign w:val="superscript"/>
          </w:rPr>
          <w:t xml:space="preserve">1663</w:t>
        </w:r>
      </w:hyperlink>
      <w:r>
        <w:rPr>
          <w:vertAlign w:val="superscript"/>
        </w:rPr>
        <w:t xml:space="preserve">]</w:t>
      </w:r>
      <w:r>
        <w:t xml:space="preserve">。</w:t>
      </w:r>
    </w:p>
    <w:p>
      <w:pPr>
        <w:pStyle w:val="BodyText"/>
      </w:pPr>
      <w:r>
        <w:t xml:space="preserve">作者明确保留了人源移植物与宿主残余回路相互作用的解释，特定行为是否依赖某条人源通路仍需定向操纵。该平台不能据以描述为复制了人的思维。论文披露皮层类器官和移植相关专利及申请</w:t>
      </w:r>
      <w:r>
        <w:rPr>
          <w:vertAlign w:val="superscript"/>
        </w:rPr>
        <w:t xml:space="preserve">[</w:t>
      </w:r>
      <w:hyperlink w:anchor="ref-1663">
        <w:r>
          <w:rPr>
            <w:rStyle w:val="Hyperlink"/>
            <w:vertAlign w:val="superscript"/>
          </w:rPr>
          <w:t xml:space="preserve">1663</w:t>
        </w:r>
      </w:hyperlink>
      <w:r>
        <w:rPr>
          <w:vertAlign w:val="superscript"/>
        </w:rPr>
        <w:t xml:space="preserve">]</w:t>
      </w:r>
      <w:r>
        <w:t xml:space="preserve">。</w:t>
      </w:r>
    </w:p>
    <w:p>
      <w:pPr>
        <w:pStyle w:val="BodyText"/>
      </w:pPr>
      <w:r>
        <w:t xml:space="preserve">这类模型扩大了实验可及范围，也使研究对象更加复杂。宿主的发育补偿、全身状态和保留回路可能影响结果。每个功能终点都需要选择合适的对照，避免把移植带来的全部改变归为人类特异能力。</w:t>
      </w:r>
    </w:p>
    <w:bookmarkEnd w:id="2562"/>
    <w:bookmarkStart w:id="2563" w:name="sec-153-20"/>
    <w:p>
      <w:pPr>
        <w:pStyle w:val="Heading3"/>
      </w:pPr>
      <w:r>
        <w:t xml:space="preserve">153.20　供体、克隆、批次与独立重复</w:t>
      </w:r>
    </w:p>
    <w:p>
      <w:pPr>
        <w:pStyle w:val="FirstParagraph"/>
      </w:pPr>
      <w:r>
        <w:t xml:space="preserve">人源培养研究具有多层次结构：供体产生细胞系，细胞系可能有多个克隆；克隆经过不同分化批次形成多个组织；每个组织中又可测量许多细胞。各层次的差异需要在设计和分析中保留。</w:t>
      </w:r>
    </w:p>
    <w:p>
      <w:pPr>
        <w:pStyle w:val="BodyText"/>
      </w:pPr>
      <w:r>
        <w:t xml:space="preserve">从同一供体的一个克隆获得大量类器官，可以很好地研究该体系内部重复性，却不能替代增加独立供体。对一个组织测序数万个细胞，也不会使供体层面的样本数变成数万。应明确每个结论的推断单位。</w:t>
      </w:r>
    </w:p>
    <w:p>
      <w:pPr>
        <w:pStyle w:val="BodyText"/>
      </w:pPr>
      <w:r>
        <w:t xml:space="preserve">平衡批次、随机分配、盲法测量和层级分析可以降低偏差。若所有患者样本与对照样本在不同月份、材料或设备上培养，群体差异与批次可能无法分开。复杂测序技术不能自动修复这种设计混杂</w:t>
      </w:r>
      <w:r>
        <w:rPr>
          <w:vertAlign w:val="superscript"/>
        </w:rPr>
        <w:t xml:space="preserve">[</w:t>
      </w:r>
      <w:hyperlink w:anchor="ref-611">
        <w:r>
          <w:rPr>
            <w:rStyle w:val="Hyperlink"/>
            <w:vertAlign w:val="superscript"/>
          </w:rPr>
          <w:t xml:space="preserve">611</w:t>
        </w:r>
      </w:hyperlink>
      <w:r>
        <w:rPr>
          <w:vertAlign w:val="superscript"/>
        </w:rPr>
        <w:t xml:space="preserve">]</w:t>
      </w:r>
      <w:r>
        <w:t xml:space="preserve">。</w:t>
      </w:r>
    </w:p>
    <w:bookmarkEnd w:id="2563"/>
    <w:bookmarkStart w:id="2564" w:name="sec-153-21"/>
    <w:p>
      <w:pPr>
        <w:pStyle w:val="Heading3"/>
      </w:pPr>
      <w:r>
        <w:t xml:space="preserve">153.21　等基因背景与因果定位</w:t>
      </w:r>
    </w:p>
    <w:p>
      <w:pPr>
        <w:pStyle w:val="FirstParagraph"/>
      </w:pPr>
      <w:r>
        <w:t xml:space="preserve">在同一遗传背景中修正或引入某个变异，可以减少供体间其他差异对比较的影响。若修正后特定表型恢复，能够增强该变异在当前模型中参与这一表型的证据。</w:t>
      </w:r>
    </w:p>
    <w:p>
      <w:pPr>
        <w:pStyle w:val="BodyText"/>
      </w:pPr>
      <w:r>
        <w:t xml:space="preserve">这种设计仍需考虑编辑相关改变、克隆选择、嵌合、拷贝数变化和培养适应。多个独立编辑克隆、适当对照和相反方向操作，可以增加约束。一个救援结果不能自动覆盖所有细胞类型、发育阶段和临床症状。</w:t>
      </w:r>
    </w:p>
    <w:p>
      <w:pPr>
        <w:pStyle w:val="BodyText"/>
      </w:pPr>
      <w:r>
        <w:t xml:space="preserve">对于多基因和环境共同作用的疾病，单一变异实验往往回答局部机制。若某变异在特定细胞背景中没有表现，也不能直接排除其在其他阶段或环境中的作用。研究结论应与实际测试范围一致。</w:t>
      </w:r>
    </w:p>
    <w:bookmarkEnd w:id="2564"/>
    <w:bookmarkStart w:id="2565" w:name="sec-153-22"/>
    <w:p>
      <w:pPr>
        <w:pStyle w:val="Heading3"/>
      </w:pPr>
      <w:r>
        <w:t xml:space="preserve">153.22　药物筛选与表型救援</w:t>
      </w:r>
    </w:p>
    <w:p>
      <w:pPr>
        <w:pStyle w:val="FirstParagraph"/>
      </w:pPr>
      <w:r>
        <w:t xml:space="preserve">培养模型能够比较候选干预对细胞存活、分化、迁移或网络活动的影响。若疾病相关表型向对照方向移动，可以形成后续研究线索，但“恢复某一读数”与临床获益之间仍需跨越多个环节。</w:t>
      </w:r>
    </w:p>
    <w:p>
      <w:pPr>
        <w:pStyle w:val="BodyText"/>
      </w:pPr>
      <w:r>
        <w:t xml:space="preserve">例如，减少异常放电可能来自目标机制改善，也可能来自广泛抑制、能量不足或细胞毒性。应同时检查存活、基础功能、目标特异性和其他结局。把所有活动降低都称为“正常化”，会掩盖不利作用。</w:t>
      </w:r>
    </w:p>
    <w:p>
      <w:pPr>
        <w:pStyle w:val="BodyText"/>
      </w:pPr>
      <w:r>
        <w:t xml:space="preserve">培养液中的药物浓度与人体脑内游离暴露也不同。吸收、代谢、蛋白结合、屏障、给药时间及全身副作用，需要在其他研究中评价。人源模型可以补充转化链条，不能单凭体外救援宣布治疗有效。</w:t>
      </w:r>
    </w:p>
    <w:bookmarkEnd w:id="2565"/>
    <w:bookmarkStart w:id="2566" w:name="sec-153-23"/>
    <w:p>
      <w:pPr>
        <w:pStyle w:val="Heading3"/>
      </w:pPr>
      <w:r>
        <w:t xml:space="preserve">153.23　供体差异与个体预测</w:t>
      </w:r>
    </w:p>
    <w:p>
      <w:pPr>
        <w:pStyle w:val="FirstParagraph"/>
      </w:pPr>
      <w:r>
        <w:t xml:space="preserve">来自不同人的细胞对同一刺激可能出现不同反应。研究这些差异可以帮助理解遗传背景和易感性，但从少量供体推断患者群体需要谨慎。细胞反应与实际病程之间的对应关系必须直接检验。</w:t>
      </w:r>
    </w:p>
    <w:p>
      <w:pPr>
        <w:pStyle w:val="BodyText"/>
      </w:pPr>
      <w:r>
        <w:t xml:space="preserve">若希望用患者细胞预测用药效果，应在未知临床结局的情况下预先规定模型、终点和判定规则，并在独立患者中验证。研究者事后挑选最符合病程的细胞读数，容易产生过度拟合。</w:t>
      </w:r>
    </w:p>
    <w:p>
      <w:pPr>
        <w:pStyle w:val="BodyText"/>
      </w:pPr>
      <w:r>
        <w:t xml:space="preserve">还需要比较这种方法给现有临床信息增加多少价值，以及培养所需时间是否适合真实决策。即使细胞反应能够重复，成本、速度、失败率和患者可及性也会影响用途</w:t>
      </w:r>
      <w:r>
        <w:rPr>
          <w:vertAlign w:val="superscript"/>
        </w:rPr>
        <w:t xml:space="preserve">[</w:t>
      </w:r>
      <w:hyperlink w:anchor="ref-618">
        <w:r>
          <w:rPr>
            <w:rStyle w:val="Hyperlink"/>
            <w:vertAlign w:val="superscript"/>
          </w:rPr>
          <w:t xml:space="preserve">618</w:t>
        </w:r>
      </w:hyperlink>
      <w:r>
        <w:rPr>
          <w:vertAlign w:val="superscript"/>
        </w:rPr>
        <w:t xml:space="preserve">,</w:t>
      </w:r>
      <w:hyperlink w:anchor="ref-619">
        <w:r>
          <w:rPr>
            <w:rStyle w:val="Hyperlink"/>
            <w:vertAlign w:val="superscript"/>
          </w:rPr>
          <w:t xml:space="preserve">619</w:t>
        </w:r>
      </w:hyperlink>
      <w:r>
        <w:rPr>
          <w:vertAlign w:val="superscript"/>
        </w:rPr>
        <w:t xml:space="preserve">]</w:t>
      </w:r>
      <w:r>
        <w:t xml:space="preserve">。</w:t>
      </w:r>
    </w:p>
    <w:bookmarkEnd w:id="2566"/>
    <w:bookmarkStart w:id="2567" w:name="sec-153-24"/>
    <w:p>
      <w:pPr>
        <w:pStyle w:val="Heading3"/>
      </w:pPr>
      <w:r>
        <w:t xml:space="preserve">153.24　活动复杂性与意识推断</w:t>
      </w:r>
    </w:p>
    <w:p>
      <w:pPr>
        <w:pStyle w:val="FirstParagraph"/>
      </w:pPr>
      <w:r>
        <w:t xml:space="preserve">神经培养可以出现自发放电、振荡、同步及对刺激的适应。这些现象对理解网络自组织具有价值，但它们也可以存在于缺少完整感觉、身体和行为系统的局部组织中。</w:t>
      </w:r>
    </w:p>
    <w:p>
      <w:pPr>
        <w:pStyle w:val="BodyText"/>
      </w:pPr>
      <w:r>
        <w:t xml:space="preserve">若将某种活动形态与人脑记录比较，需要说明相似之处具体是什么。频段接近、统计复杂度相近或某种分类器给出类似标签，不能单独确定主观体验。测量的理论依据和反例同样重要。</w:t>
      </w:r>
    </w:p>
    <w:p>
      <w:pPr>
        <w:pStyle w:val="BodyText"/>
      </w:pPr>
      <w:r>
        <w:t xml:space="preserve">当前意识科学尚未提供一个可以无条件应用于所有培养组织的确证测试。研究可以继续建立更严格的指标和伦理讨论，同时避免把未经验证的心理词汇作为实验结果。关于意识理论与测量的具体困难，可与</w:t>
      </w:r>
      <w:hyperlink w:anchor="ch-148">
        <w:r>
          <w:rPr>
            <w:rStyle w:val="Hyperlink"/>
          </w:rPr>
          <w:t xml:space="preserve">第148章</w:t>
        </w:r>
      </w:hyperlink>
      <w:r>
        <w:t xml:space="preserve">共同阅读</w:t>
      </w:r>
      <w:r>
        <w:rPr>
          <w:vertAlign w:val="superscript"/>
        </w:rPr>
        <w:t xml:space="preserve">[</w:t>
      </w:r>
      <w:hyperlink w:anchor="ref-578">
        <w:r>
          <w:rPr>
            <w:rStyle w:val="Hyperlink"/>
            <w:vertAlign w:val="superscript"/>
          </w:rPr>
          <w:t xml:space="preserve">578</w:t>
        </w:r>
      </w:hyperlink>
      <w:r>
        <w:rPr>
          <w:vertAlign w:val="superscript"/>
        </w:rPr>
        <w:t xml:space="preserve">,</w:t>
      </w:r>
      <w:hyperlink w:anchor="ref-1650">
        <w:r>
          <w:rPr>
            <w:rStyle w:val="Hyperlink"/>
            <w:vertAlign w:val="superscript"/>
          </w:rPr>
          <w:t xml:space="preserve">1650</w:t>
        </w:r>
      </w:hyperlink>
      <w:r>
        <w:rPr>
          <w:vertAlign w:val="superscript"/>
        </w:rPr>
        <w:t xml:space="preserve">]</w:t>
      </w:r>
      <w:r>
        <w:t xml:space="preserve">。</w:t>
      </w:r>
    </w:p>
    <w:bookmarkEnd w:id="2567"/>
    <w:bookmarkStart w:id="2568" w:name="sec-153-25"/>
    <w:p>
      <w:pPr>
        <w:pStyle w:val="Heading3"/>
      </w:pPr>
      <w:r>
        <w:t xml:space="preserve">153.25　同意、隐私与动物福利</w:t>
      </w:r>
    </w:p>
    <w:p>
      <w:pPr>
        <w:pStyle w:val="FirstParagraph"/>
      </w:pPr>
      <w:r>
        <w:t xml:space="preserve">供体细胞具有可长期保存、扩增和再利用的特点，部分基因数据也可能具有识别性。研究使用范围、数据共享、商业开发和跨机构流转需要与授权及治理条件相一致。获得细胞并不自动解决所有后续用途的问题。</w:t>
      </w:r>
    </w:p>
    <w:p>
      <w:pPr>
        <w:pStyle w:val="BodyText"/>
      </w:pPr>
      <w:r>
        <w:t xml:space="preserve">移植研究还涉及宿主动物的健康、行为变化与持续监测。实验中的功能改善、疾病表型或活动变化，应与动物整体状态一起解释。伦理判断需要依据研究内容和可观察风险持续更新。</w:t>
      </w:r>
    </w:p>
    <w:p>
      <w:pPr>
        <w:pStyle w:val="BodyText"/>
      </w:pPr>
      <w:r>
        <w:t xml:space="preserve">前沿模型的公共表达也构成责任的一部分。使用准确的组织、通路和测量名称，可以让公众理解真实进展，并避免把细胞实验提前描述成已经重建个人心智。命名共识对这一点提出了明确的沟通要求</w:t>
      </w:r>
      <w:r>
        <w:rPr>
          <w:vertAlign w:val="superscript"/>
        </w:rPr>
        <w:t xml:space="preserve">[</w:t>
      </w:r>
      <w:hyperlink w:anchor="ref-1650">
        <w:r>
          <w:rPr>
            <w:rStyle w:val="Hyperlink"/>
            <w:vertAlign w:val="superscript"/>
          </w:rPr>
          <w:t xml:space="preserve">1650</w:t>
        </w:r>
      </w:hyperlink>
      <w:r>
        <w:rPr>
          <w:vertAlign w:val="superscript"/>
        </w:rPr>
        <w:t xml:space="preserve">]</w:t>
      </w:r>
      <w:r>
        <w:t xml:space="preserve">。</w:t>
      </w:r>
    </w:p>
    <w:bookmarkEnd w:id="2568"/>
    <w:bookmarkStart w:id="2570" w:name="sec-153-26"/>
    <w:p>
      <w:pPr>
        <w:pStyle w:val="Heading3"/>
      </w:pPr>
      <w:r>
        <w:t xml:space="preserve">153.26　评估模型时的层次对照</w:t>
      </w:r>
    </w:p>
    <w:p>
      <w:pPr>
        <w:pStyle w:val="TableCaption"/>
      </w:pPr>
      <w:bookmarkStart w:id="2569" w:name="tab-organoid"/>
      <w:bookmarkEnd w:id="2569"/>
      <w:r>
        <w:rPr>
          <w:bCs/>
          <w:b/>
        </w:rPr>
        <w:t xml:space="preserve">表 41　类器官与细胞模型的评估层次</w:t>
      </w:r>
    </w:p>
    <w:tbl>
      <w:tblPr>
        <w:tblStyle w:val="Table"/>
        <w:tblW w:type="pct" w:w="5000"/>
        <w:jc w:val="start"/>
        <w:tblLook w:firstRow="1" w:lastRow="0" w:firstColumn="0" w:lastColumn="0" w:noHBand="0" w:noVBand="0" w:val="0020"/>
      </w:tblPr>
      <w:tblGrid>
        <w:gridCol w:w="792"/>
        <w:gridCol w:w="3167"/>
        <w:gridCol w:w="3960"/>
      </w:tblGrid>
      <w:tr>
        <w:trPr>
          <w:tblHeader w:val="true"/>
        </w:trPr>
        <w:tc>
          <w:tcPr>
            <w:shd w:val="clear" w:color="auto" w:fill="1F3A5F"/>
          </w:tcPr>
          <w:p>
            <w:pPr>
              <w:jc w:val="left"/>
            </w:pPr>
            <w:r>
              <w:rPr>
                <w:bCs/>
                <w:b/>
                <w:color w:val="FFFFFF"/>
              </w:rPr>
              <w:t xml:space="preserve">评估层次</w:t>
            </w:r>
          </w:p>
        </w:tc>
        <w:tc>
          <w:tcPr>
            <w:shd w:val="clear" w:color="auto" w:fill="1F3A5F"/>
          </w:tcPr>
          <w:p>
            <w:pPr>
              <w:jc w:val="left"/>
            </w:pPr>
            <w:r>
              <w:rPr>
                <w:bCs/>
                <w:b/>
                <w:color w:val="FFFFFF"/>
              </w:rPr>
              <w:t xml:space="preserve">可以观察的内容</w:t>
            </w:r>
          </w:p>
        </w:tc>
        <w:tc>
          <w:tcPr>
            <w:shd w:val="clear" w:color="auto" w:fill="1F3A5F"/>
          </w:tcPr>
          <w:p>
            <w:pPr>
              <w:jc w:val="left"/>
            </w:pPr>
            <w:r>
              <w:rPr>
                <w:bCs/>
                <w:b/>
                <w:color w:val="FFFFFF"/>
              </w:rPr>
              <w:t xml:space="preserve">需要保留的解释边界</w:t>
            </w:r>
          </w:p>
        </w:tc>
      </w:tr>
      <w:tr>
        <w:tc>
          <w:tcPr/>
          <w:p>
            <w:pPr>
              <w:jc w:val="left"/>
            </w:pPr>
            <w:r>
              <w:t xml:space="preserve">细胞来源</w:t>
            </w:r>
          </w:p>
        </w:tc>
        <w:tc>
          <w:tcPr/>
          <w:p>
            <w:pPr>
              <w:jc w:val="left"/>
            </w:pPr>
            <w:r>
              <w:t xml:space="preserve">供体、细胞系、克隆及基因背景</w:t>
            </w:r>
          </w:p>
        </w:tc>
        <w:tc>
          <w:tcPr/>
          <w:p>
            <w:pPr>
              <w:jc w:val="left"/>
            </w:pPr>
            <w:r>
              <w:t xml:space="preserve">供体经历不会全部保留在重编程细胞中</w:t>
            </w:r>
          </w:p>
        </w:tc>
      </w:tr>
      <w:tr>
        <w:tc>
          <w:tcPr/>
          <w:p>
            <w:pPr>
              <w:jc w:val="left"/>
            </w:pPr>
            <w:r>
              <w:t xml:space="preserve">分子身份</w:t>
            </w:r>
          </w:p>
        </w:tc>
        <w:tc>
          <w:tcPr/>
          <w:p>
            <w:pPr>
              <w:jc w:val="left"/>
            </w:pPr>
            <w:r>
              <w:t xml:space="preserve">转录、蛋白、表观遗传和参考映射</w:t>
            </w:r>
          </w:p>
        </w:tc>
        <w:tc>
          <w:tcPr/>
          <w:p>
            <w:pPr>
              <w:jc w:val="left"/>
            </w:pPr>
            <w:r>
              <w:t xml:space="preserve">单一标志与整体表达相似不等于全部功能一致</w:t>
            </w:r>
          </w:p>
        </w:tc>
      </w:tr>
      <w:tr>
        <w:tc>
          <w:tcPr/>
          <w:p>
            <w:pPr>
              <w:jc w:val="left"/>
            </w:pPr>
            <w:r>
              <w:t xml:space="preserve">组织结构</w:t>
            </w:r>
          </w:p>
        </w:tc>
        <w:tc>
          <w:tcPr/>
          <w:p>
            <w:pPr>
              <w:jc w:val="left"/>
            </w:pPr>
            <w:r>
              <w:t xml:space="preserve">极性、局部空间、细胞分布和投射</w:t>
            </w:r>
          </w:p>
        </w:tc>
        <w:tc>
          <w:tcPr/>
          <w:p>
            <w:pPr>
              <w:jc w:val="left"/>
            </w:pPr>
            <w:r>
              <w:t xml:space="preserve">局部组织规律不能直接扩展为完整脑解剖</w:t>
            </w:r>
          </w:p>
        </w:tc>
      </w:tr>
      <w:tr>
        <w:tc>
          <w:tcPr/>
          <w:p>
            <w:pPr>
              <w:jc w:val="left"/>
            </w:pPr>
            <w:r>
              <w:t xml:space="preserve">生理功能</w:t>
            </w:r>
          </w:p>
        </w:tc>
        <w:tc>
          <w:tcPr/>
          <w:p>
            <w:pPr>
              <w:jc w:val="left"/>
            </w:pPr>
            <w:r>
              <w:t xml:space="preserve">电流、突触、活动传播和效应器响应</w:t>
            </w:r>
          </w:p>
        </w:tc>
        <w:tc>
          <w:tcPr/>
          <w:p>
            <w:pPr>
              <w:jc w:val="left"/>
            </w:pPr>
            <w:r>
              <w:t xml:space="preserve">同步或收缩不能直接证明完整认知能力</w:t>
            </w:r>
          </w:p>
        </w:tc>
      </w:tr>
      <w:tr>
        <w:tc>
          <w:tcPr/>
          <w:p>
            <w:pPr>
              <w:jc w:val="left"/>
            </w:pPr>
            <w:r>
              <w:t xml:space="preserve">疾病表型</w:t>
            </w:r>
          </w:p>
        </w:tc>
        <w:tc>
          <w:tcPr/>
          <w:p>
            <w:pPr>
              <w:jc w:val="left"/>
            </w:pPr>
            <w:r>
              <w:t xml:space="preserve">变异、环境与细胞过程的联系</w:t>
            </w:r>
          </w:p>
        </w:tc>
        <w:tc>
          <w:tcPr/>
          <w:p>
            <w:pPr>
              <w:jc w:val="left"/>
            </w:pPr>
            <w:r>
              <w:t xml:space="preserve">模型中的表型只覆盖疾病的一部分层次</w:t>
            </w:r>
          </w:p>
        </w:tc>
      </w:tr>
      <w:tr>
        <w:tc>
          <w:tcPr/>
          <w:p>
            <w:pPr>
              <w:jc w:val="left"/>
            </w:pPr>
            <w:r>
              <w:t xml:space="preserve">干预反应</w:t>
            </w:r>
          </w:p>
        </w:tc>
        <w:tc>
          <w:tcPr/>
          <w:p>
            <w:pPr>
              <w:jc w:val="left"/>
            </w:pPr>
            <w:r>
              <w:t xml:space="preserve">目标读数、毒性和机制救援</w:t>
            </w:r>
          </w:p>
        </w:tc>
        <w:tc>
          <w:tcPr/>
          <w:p>
            <w:pPr>
              <w:jc w:val="left"/>
            </w:pPr>
            <w:r>
              <w:t xml:space="preserve">体外改善尚需人体暴露与临床结局验证</w:t>
            </w:r>
          </w:p>
        </w:tc>
      </w:tr>
      <w:tr>
        <w:tc>
          <w:tcPr/>
          <w:p>
            <w:pPr>
              <w:jc w:val="left"/>
            </w:pPr>
            <w:r>
              <w:t xml:space="preserve">移植系统</w:t>
            </w:r>
          </w:p>
        </w:tc>
        <w:tc>
          <w:tcPr/>
          <w:p>
            <w:pPr>
              <w:jc w:val="left"/>
            </w:pPr>
            <w:r>
              <w:t xml:space="preserve">人源细胞与宿主回路相互作用</w:t>
            </w:r>
          </w:p>
        </w:tc>
        <w:tc>
          <w:tcPr/>
          <w:p>
            <w:pPr>
              <w:jc w:val="left"/>
            </w:pPr>
            <w:r>
              <w:t xml:space="preserve">宿主行为不能全部归属于人源组织</w:t>
            </w:r>
          </w:p>
        </w:tc>
      </w:tr>
    </w:tbl>
    <w:bookmarkEnd w:id="2570"/>
    <w:bookmarkStart w:id="2571" w:name="sec-153-27"/>
    <w:p>
      <w:pPr>
        <w:pStyle w:val="Heading3"/>
      </w:pPr>
      <w:r>
        <w:t xml:space="preserve">153.27　本章结论与学习检验</w:t>
      </w:r>
    </w:p>
    <w:p>
      <w:pPr>
        <w:pStyle w:val="FirstParagraph"/>
      </w:pPr>
      <w:r>
        <w:t xml:space="preserve">人源神经模型扩大了脑科学可直接实验的范围。其力量来自在可控制条件下观察和操纵特定过程，以及与人体参考资料和其他模型形成互相约束。模型越复杂，越需要清楚说明组成、推断单位和测量边界。</w:t>
      </w:r>
    </w:p>
    <w:p>
      <w:pPr>
        <w:pStyle w:val="BodyText"/>
      </w:pPr>
      <w:r>
        <w:t xml:space="preserve">阅读一项类器官研究时，应能够指出：它重建哪一脑区或过程；哪些细胞缺失或状态不明；年龄如何定义；是否存在代谢应激；有多少独立供体与分化批次；关键结果是否得到功能检验；药物是否仅改变一个表型；移植后哪些作用可能由宿主提供。</w:t>
      </w:r>
    </w:p>
    <w:p>
      <w:pPr>
        <w:pStyle w:val="BodyText"/>
      </w:pPr>
      <w:r>
        <w:t xml:space="preserve">关于某些发育、迁移、回路连接和遗传效应能够在人源模型中得到直接研究的判断，置信度高。关于长期成熟及更复杂移植平台的泛化能力，当前证据应按具体方案评价，通常为中等置信。关于这些模型已足以代表完整人的脑功能或直接决定个人治疗的主张，现有证据不足。</w:t>
      </w:r>
    </w:p>
    <w:bookmarkEnd w:id="2571"/>
    <w:bookmarkEnd w:id="2572"/>
    <w:bookmarkStart w:id="5970" w:name="ch-154"/>
    <w:p>
      <w:pPr>
        <w:pStyle w:val="Heading2"/>
      </w:pPr>
      <w:r>
        <w:t xml:space="preserve">第154章　遗传性神经退行性疾病与分子治疗</w:t>
      </w:r>
    </w:p>
    <w:p>
      <w:pPr>
        <w:pStyle w:val="CalloutJudgment"/>
      </w:pPr>
      <w:r>
        <w:rPr>
          <w:bCs/>
          <w:b/>
        </w:rPr>
        <w:t xml:space="preserve">核心判断与置信度</w:t>
      </w:r>
      <w:r>
        <w:t xml:space="preserve">　特定致病变异能够通过可检验的分子过程造成神经系统疾病，针对这些过程的干预在部分疾病中已经取得临床收益，这一判断的置信度高。明确病因之后，给药位置、治疗时间、正常基因功能、安全性和临床结局仍需分别验证。对一种分子指标下降足以保证患者恢复，或一种遗传病的成功能够直接推广到其他脑病的判断，置信度低。本章以运动神经元疾病、额颞叶退变和亨廷顿病说明这些关系。</w:t>
      </w:r>
    </w:p>
    <w:bookmarkStart w:id="2573" w:name="sec-154-1"/>
    <w:p>
      <w:pPr>
        <w:pStyle w:val="Heading3"/>
      </w:pPr>
      <w:r>
        <w:t xml:space="preserve">154.1　从遗传变异到临床状态</w:t>
      </w:r>
    </w:p>
    <w:p>
      <w:pPr>
        <w:pStyle w:val="FirstParagraph"/>
      </w:pPr>
      <w:r>
        <w:t xml:space="preserve">基因、蛋白、细胞和临床诊断提供不同的描述。一个基因可以包含许多变异，变异的功能影响可能不同；一种临床综合征也可以由不同基因或多种非单基因因素参与形成。评价遗传发现时，需要明确检测到了什么、该变异与疾病的证据有多强，以及它能解释哪些个人表现</w:t>
      </w:r>
      <w:r>
        <w:rPr>
          <w:vertAlign w:val="superscript"/>
        </w:rPr>
        <w:t xml:space="preserve">[</w:t>
      </w:r>
      <w:hyperlink w:anchor="ref-1664">
        <w:r>
          <w:rPr>
            <w:rStyle w:val="Hyperlink"/>
            <w:vertAlign w:val="superscript"/>
          </w:rPr>
          <w:t xml:space="preserve">1664</w:t>
        </w:r>
      </w:hyperlink>
      <w:r>
        <w:rPr>
          <w:vertAlign w:val="superscript"/>
        </w:rPr>
        <w:t xml:space="preserve">,</w:t>
      </w:r>
      <w:hyperlink w:anchor="ref-1665">
        <w:r>
          <w:rPr>
            <w:rStyle w:val="Hyperlink"/>
            <w:vertAlign w:val="superscript"/>
          </w:rPr>
          <w:t xml:space="preserve">1665</w:t>
        </w:r>
      </w:hyperlink>
      <w:r>
        <w:rPr>
          <w:vertAlign w:val="superscript"/>
        </w:rPr>
        <w:t xml:space="preserve">]</w:t>
      </w:r>
      <w:r>
        <w:t xml:space="preserve">。</w:t>
      </w:r>
    </w:p>
    <w:p>
      <w:pPr>
        <w:pStyle w:val="BodyText"/>
      </w:pPr>
      <w:r>
        <w:t xml:space="preserve">致病性与外显率应分开。前者讨论变异是否有导致某类疾病的能力，后者讨论具有相应变异的人在规定条件和年龄下表现出疾病的比例。即使致病机制清楚，起病年龄、受累系统和进展速度仍可能不同。风险估计还受到家族选择、研究人群、随访长度及其他遗传因素影响。</w:t>
      </w:r>
    </w:p>
    <w:p>
      <w:pPr>
        <w:pStyle w:val="BodyText"/>
      </w:pPr>
      <w:r>
        <w:t xml:space="preserve">2015年ACMG与AMP共识建立了广泛使用的五类序列变异解释框架，包括致病、可能致病、意义未明、可能良性和良性。该框架主要针对孟德尔病相关序列变异，具体实践还要结合疾病领域的更新与专门规则。意义未明变异不能被直接当作已确定病因，计算预测也无法独自替代人群、家系和功能证据</w:t>
      </w:r>
      <w:r>
        <w:rPr>
          <w:vertAlign w:val="superscript"/>
        </w:rPr>
        <w:t xml:space="preserve">[</w:t>
      </w:r>
      <w:hyperlink w:anchor="ref-1665">
        <w:r>
          <w:rPr>
            <w:rStyle w:val="Hyperlink"/>
            <w:vertAlign w:val="superscript"/>
          </w:rPr>
          <w:t xml:space="preserve">1665</w:t>
        </w:r>
      </w:hyperlink>
      <w:r>
        <w:rPr>
          <w:vertAlign w:val="superscript"/>
        </w:rPr>
        <w:t xml:space="preserve">]</w:t>
      </w:r>
      <w:r>
        <w:t xml:space="preserve">。</w:t>
      </w:r>
    </w:p>
    <w:p>
      <w:pPr>
        <w:pStyle w:val="BodyText"/>
      </w:pPr>
      <w:r>
        <w:t xml:space="preserve">临床遗传咨询还涉及检测前预期、结果可能性、家庭成员、知情选择和隐私。2023年ALS遗传检测与咨询共识将检测与咨询视为彼此联系的过程，并讨论不同检测技术的覆盖范围。家族史阴性无法完全排除遗传因素，检出变异也不自动回答所有亲属的风险和治疗问题</w:t>
      </w:r>
      <w:r>
        <w:rPr>
          <w:vertAlign w:val="superscript"/>
        </w:rPr>
        <w:t xml:space="preserve">[</w:t>
      </w:r>
      <w:hyperlink w:anchor="ref-1664">
        <w:r>
          <w:rPr>
            <w:rStyle w:val="Hyperlink"/>
            <w:vertAlign w:val="superscript"/>
          </w:rPr>
          <w:t xml:space="preserve">1664</w:t>
        </w:r>
      </w:hyperlink>
      <w:r>
        <w:rPr>
          <w:vertAlign w:val="superscript"/>
        </w:rPr>
        <w:t xml:space="preserve">]</w:t>
      </w:r>
      <w:r>
        <w:t xml:space="preserve">。</w:t>
      </w:r>
    </w:p>
    <w:bookmarkEnd w:id="2573"/>
    <w:bookmarkStart w:id="2574" w:name="sec-154-2"/>
    <w:p>
      <w:pPr>
        <w:pStyle w:val="Heading3"/>
      </w:pPr>
      <w:r>
        <w:t xml:space="preserve">154.2　蛋白质稳态是持续的动态过程</w:t>
      </w:r>
    </w:p>
    <w:p>
      <w:pPr>
        <w:pStyle w:val="FirstParagraph"/>
      </w:pPr>
      <w:r>
        <w:t xml:space="preserve">神经元需要不断合成、折叠、运输、定位和降解蛋白质。分子伴侣、蛋白酶体、溶酶体及相关运输过程共同参与维持蛋白质稳态。一个蛋白在错误位置积累，可能同时伴随其他位置的正常功能不足；一个降解通路被激活，也可能改变许多必要蛋白。因而，增加清除的方向需要明确对象与代价</w:t>
      </w:r>
      <w:r>
        <w:rPr>
          <w:vertAlign w:val="superscript"/>
        </w:rPr>
        <w:t xml:space="preserve">[</w:t>
      </w:r>
      <w:hyperlink w:anchor="ref-1666">
        <w:r>
          <w:rPr>
            <w:rStyle w:val="Hyperlink"/>
            <w:vertAlign w:val="superscript"/>
          </w:rPr>
          <w:t xml:space="preserve">1666</w:t>
        </w:r>
      </w:hyperlink>
      <w:r>
        <w:rPr>
          <w:vertAlign w:val="superscript"/>
        </w:rPr>
        <w:t xml:space="preserve">]</w:t>
      </w:r>
      <w:r>
        <w:t xml:space="preserve">。</w:t>
      </w:r>
    </w:p>
    <w:p>
      <w:pPr>
        <w:pStyle w:val="BodyText"/>
      </w:pPr>
      <w:r>
        <w:t xml:space="preserve">长轴突、复杂树突与局部突触使空间问题尤其重要。细胞体测得的总量正常，不能保证远端轴突拥有适当供应；局部损伤也可能通过运输和信号反馈影响细胞体。研究应把蛋白总量、区室分布、周转速度和功能读数联系起来。单次染色更强，只能直接说明该测量条件下可见信号的变化。</w:t>
      </w:r>
    </w:p>
    <w:p>
      <w:pPr>
        <w:pStyle w:val="BodyText"/>
      </w:pPr>
      <w:r>
        <w:t xml:space="preserve">用一个教学模型可以理解这种差别。设某蛋白的总量等于合成输入减去降解输出后的积累结果。总量保持不变时，合成与降解可以都很快，也可以都很慢；总量下降时，既可能来自生成减少，也可能来自清除增加。若关键问题是错误位置的有害形式，仅测全部形式的总量便不充分。</w:t>
      </w:r>
    </w:p>
    <w:bookmarkEnd w:id="2574"/>
    <w:bookmarkStart w:id="2575" w:name="sec-154-3"/>
    <w:p>
      <w:pPr>
        <w:pStyle w:val="Heading3"/>
      </w:pPr>
      <w:r>
        <w:t xml:space="preserve">154.3　聚集体的数量不能独自决定毒性</w:t>
      </w:r>
    </w:p>
    <w:p>
      <w:pPr>
        <w:pStyle w:val="FirstParagraph"/>
      </w:pPr>
      <w:r>
        <w:t xml:space="preserve">病理切片中可见的聚集体具有诊断和机制研究价值，但可见性与毒性之间需要因果证据。小型可溶性聚集、扩散的异常蛋白、大型包涵体及正常功能丢失可能产生不同影响。染色面积减少时，仍需确认有害形式是否减少，以及细胞是否因死亡而不再被统计。</w:t>
      </w:r>
    </w:p>
    <w:p>
      <w:pPr>
        <w:pStyle w:val="BodyText"/>
      </w:pPr>
      <w:r>
        <w:t xml:space="preserve">Arrasate等2004年持续追踪培养神经元，发现突变huntingtin的弥散水平与死亡风险相关；在该模型中，包涵体形成与弥散蛋白减少及较好的存活相关。研究提供了聚集可能包含应对过程的实例，不能据此宣布所有包涵体都有保护作用，也不能把培养细胞结果直接当作人体治疗证明</w:t>
      </w:r>
      <w:r>
        <w:rPr>
          <w:vertAlign w:val="superscript"/>
        </w:rPr>
        <w:t xml:space="preserve">[</w:t>
      </w:r>
      <w:hyperlink w:anchor="ref-1667">
        <w:r>
          <w:rPr>
            <w:rStyle w:val="Hyperlink"/>
            <w:vertAlign w:val="superscript"/>
          </w:rPr>
          <w:t xml:space="preserve">1667</w:t>
        </w:r>
      </w:hyperlink>
      <w:r>
        <w:rPr>
          <w:vertAlign w:val="superscript"/>
        </w:rPr>
        <w:t xml:space="preserve">]</w:t>
      </w:r>
      <w:r>
        <w:t xml:space="preserve">。</w:t>
      </w:r>
    </w:p>
    <w:p>
      <w:pPr>
        <w:pStyle w:val="BodyText"/>
      </w:pPr>
      <w:r>
        <w:t xml:space="preserve">进一步的实验可分别改变蛋白生成、聚集、运输和降解，并追踪同一细胞的时间过程。如果只在终点比较存活细胞，最严重受损的细胞可能已经丢失，得到的关系便受到存活选择影响。连续观察、细胞命运记录和总细胞数校正可以帮助区分这些解释。</w:t>
      </w:r>
    </w:p>
    <w:bookmarkEnd w:id="2575"/>
    <w:bookmarkStart w:id="2576" w:name="sec-154-4"/>
    <w:p>
      <w:pPr>
        <w:pStyle w:val="Heading3"/>
      </w:pPr>
      <w:r>
        <w:t xml:space="preserve">154.4　ALS与额颞叶退变的联系</w:t>
      </w:r>
    </w:p>
    <w:p>
      <w:pPr>
        <w:pStyle w:val="FirstParagraph"/>
      </w:pPr>
      <w:r>
        <w:t xml:space="preserve">肌萎缩侧索硬化症涉及运动神经元系统，额颞叶退变涉及特定额叶和颞叶网络及相关认知行为功能。部分患者和家系表现出两者的联系，但这不意味着所有ALS患者都存在相同认知障碍，也不意味着所有额颞叶疾病都具有同一种分子病理。临床状态、遗传原因与病理类别应分别描述</w:t>
      </w:r>
      <w:r>
        <w:rPr>
          <w:vertAlign w:val="superscript"/>
        </w:rPr>
        <w:t xml:space="preserve">[</w:t>
      </w:r>
      <w:hyperlink w:anchor="ref-1664">
        <w:r>
          <w:rPr>
            <w:rStyle w:val="Hyperlink"/>
            <w:vertAlign w:val="superscript"/>
          </w:rPr>
          <w:t xml:space="preserve">1664</w:t>
        </w:r>
      </w:hyperlink>
      <w:r>
        <w:rPr>
          <w:vertAlign w:val="superscript"/>
        </w:rPr>
        <w:t xml:space="preserve">,</w:t>
      </w:r>
      <w:hyperlink w:anchor="ref-1668">
        <w:r>
          <w:rPr>
            <w:rStyle w:val="Hyperlink"/>
            <w:vertAlign w:val="superscript"/>
          </w:rPr>
          <w:t xml:space="preserve">1668</w:t>
        </w:r>
      </w:hyperlink>
      <w:r>
        <w:rPr>
          <w:vertAlign w:val="superscript"/>
        </w:rPr>
        <w:t xml:space="preserve">,</w:t>
      </w:r>
      <w:hyperlink w:anchor="ref-1669">
        <w:r>
          <w:rPr>
            <w:rStyle w:val="Hyperlink"/>
            <w:vertAlign w:val="superscript"/>
          </w:rPr>
          <w:t xml:space="preserve">1669</w:t>
        </w:r>
      </w:hyperlink>
      <w:r>
        <w:rPr>
          <w:vertAlign w:val="superscript"/>
        </w:rPr>
        <w:t xml:space="preserve">]</w:t>
      </w:r>
      <w:r>
        <w:t xml:space="preserve">。</w:t>
      </w:r>
    </w:p>
    <w:p>
      <w:pPr>
        <w:pStyle w:val="BodyText"/>
      </w:pPr>
      <w:r>
        <w:t xml:space="preserve">2006年研究鉴定TDP-43为特定ALS和额颞叶退变病理包涵体的重要成分，连接了此前分开描述的一组病理现象。TDP-43的异常磷酸化、片段和细胞内分布成为后续研究对象。此类发现把疾病分类向分子层次推进，但病理标志的出现仍不足以独自说明全部因果顺序</w:t>
      </w:r>
      <w:r>
        <w:rPr>
          <w:vertAlign w:val="superscript"/>
        </w:rPr>
        <w:t xml:space="preserve">[</w:t>
      </w:r>
      <w:hyperlink w:anchor="ref-1668">
        <w:r>
          <w:rPr>
            <w:rStyle w:val="Hyperlink"/>
            <w:vertAlign w:val="superscript"/>
          </w:rPr>
          <w:t xml:space="preserve">1668</w:t>
        </w:r>
      </w:hyperlink>
      <w:r>
        <w:rPr>
          <w:vertAlign w:val="superscript"/>
        </w:rPr>
        <w:t xml:space="preserve">]</w:t>
      </w:r>
      <w:r>
        <w:t xml:space="preserve">。</w:t>
      </w:r>
    </w:p>
    <w:p>
      <w:pPr>
        <w:pStyle w:val="BodyText"/>
      </w:pPr>
      <w:r>
        <w:t xml:space="preserve">同一临床表现可以通过不同分子路径形成，这直接影响治疗入组。针对SOD1的方案需要匹配相应SOD1相关疾病证据；针对某种RNA加工异常的方案也需要证明目标过程在患者中存在。只依据ALS这个综合名称，把一项靶向治疗推广到全部患者，会丢失机制选择所需要的信息。</w:t>
      </w:r>
    </w:p>
    <w:bookmarkEnd w:id="2576"/>
    <w:bookmarkStart w:id="2577" w:name="sec-154-5"/>
    <w:p>
      <w:pPr>
        <w:pStyle w:val="Heading3"/>
      </w:pPr>
      <w:r>
        <w:t xml:space="preserve">154.5　TDP-43功能丢失与异常RNA加工</w:t>
      </w:r>
    </w:p>
    <w:p>
      <w:pPr>
        <w:pStyle w:val="FirstParagraph"/>
      </w:pPr>
      <w:r>
        <w:t xml:space="preserve">TDP-43参与RNA加工，正常核内功能与病理性的细胞质积累需要共同考虑。功能丢失可以使通常被排除的隐蔽外显子进入成熟RNA，改变阅读框、稳定性或蛋白生成。此时，病理问题包含正常加工约束被解除，简单降低全部TDP-43未必实现目标</w:t>
      </w:r>
      <w:r>
        <w:rPr>
          <w:vertAlign w:val="superscript"/>
        </w:rPr>
        <w:t xml:space="preserve">[</w:t>
      </w:r>
      <w:hyperlink w:anchor="ref-1670">
        <w:r>
          <w:rPr>
            <w:rStyle w:val="Hyperlink"/>
            <w:vertAlign w:val="superscript"/>
          </w:rPr>
          <w:t xml:space="preserve">1670</w:t>
        </w:r>
      </w:hyperlink>
      <w:r>
        <w:rPr>
          <w:vertAlign w:val="superscript"/>
        </w:rPr>
        <w:t xml:space="preserve">,</w:t>
      </w:r>
      <w:hyperlink w:anchor="ref-1671">
        <w:r>
          <w:rPr>
            <w:rStyle w:val="Hyperlink"/>
            <w:vertAlign w:val="superscript"/>
          </w:rPr>
          <w:t xml:space="preserve">1671</w:t>
        </w:r>
      </w:hyperlink>
      <w:r>
        <w:rPr>
          <w:vertAlign w:val="superscript"/>
        </w:rPr>
        <w:t xml:space="preserve">,</w:t>
      </w:r>
      <w:hyperlink w:anchor="ref-1672">
        <w:r>
          <w:rPr>
            <w:rStyle w:val="Hyperlink"/>
            <w:vertAlign w:val="superscript"/>
          </w:rPr>
          <w:t xml:space="preserve">1672</w:t>
        </w:r>
      </w:hyperlink>
      <w:r>
        <w:rPr>
          <w:vertAlign w:val="superscript"/>
        </w:rPr>
        <w:t xml:space="preserve">]</w:t>
      </w:r>
      <w:r>
        <w:t xml:space="preserve">。</w:t>
      </w:r>
    </w:p>
    <w:p>
      <w:pPr>
        <w:pStyle w:val="BodyText"/>
      </w:pPr>
      <w:r>
        <w:t xml:space="preserve">2019年Melamed等把TDP-43减少与STMN2前体RNA中的异常提前加尾联系起来。患者组织与细胞模型提供了相关证据；在所用诱导多能干细胞来源运动神经元中，恢复STMN2表达能够恢复特定轴突再生读数。这个救援实验支持具体机制，但所测轴突再生并不覆盖成年患者的全部功能和生存结局</w:t>
      </w:r>
      <w:r>
        <w:rPr>
          <w:vertAlign w:val="superscript"/>
        </w:rPr>
        <w:t xml:space="preserve">[</w:t>
      </w:r>
      <w:hyperlink w:anchor="ref-1670">
        <w:r>
          <w:rPr>
            <w:rStyle w:val="Hyperlink"/>
            <w:vertAlign w:val="superscript"/>
          </w:rPr>
          <w:t xml:space="preserve">1670</w:t>
        </w:r>
      </w:hyperlink>
      <w:r>
        <w:rPr>
          <w:vertAlign w:val="superscript"/>
        </w:rPr>
        <w:t xml:space="preserve">]</w:t>
      </w:r>
      <w:r>
        <w:t xml:space="preserve">。</w:t>
      </w:r>
    </w:p>
    <w:p>
      <w:pPr>
        <w:pStyle w:val="BodyText"/>
      </w:pPr>
      <w:r>
        <w:t xml:space="preserve">2022年两个研究团队进一步连接TDP-43核内功能丢失、UNC13A隐蔽外显子包含和UNC13A蛋白减少，并发现相关风险变异能够增强这种异常剪接。遗传关联由此获得细胞层面的功能解释。风险变异并不因此变成对每个人确定起病的充分条件，相关细胞过程也仍需临床干预检验</w:t>
      </w:r>
      <w:r>
        <w:rPr>
          <w:vertAlign w:val="superscript"/>
        </w:rPr>
        <w:t xml:space="preserve">[</w:t>
      </w:r>
      <w:hyperlink w:anchor="ref-1671">
        <w:r>
          <w:rPr>
            <w:rStyle w:val="Hyperlink"/>
            <w:vertAlign w:val="superscript"/>
          </w:rPr>
          <w:t xml:space="preserve">1671</w:t>
        </w:r>
      </w:hyperlink>
      <w:r>
        <w:rPr>
          <w:vertAlign w:val="superscript"/>
        </w:rPr>
        <w:t xml:space="preserve">,</w:t>
      </w:r>
      <w:hyperlink w:anchor="ref-1672">
        <w:r>
          <w:rPr>
            <w:rStyle w:val="Hyperlink"/>
            <w:vertAlign w:val="superscript"/>
          </w:rPr>
          <w:t xml:space="preserve">1672</w:t>
        </w:r>
      </w:hyperlink>
      <w:r>
        <w:rPr>
          <w:vertAlign w:val="superscript"/>
        </w:rPr>
        <w:t xml:space="preserve">]</w:t>
      </w:r>
      <w:r>
        <w:t xml:space="preserve">。</w:t>
      </w:r>
    </w:p>
    <w:p>
      <w:pPr>
        <w:pStyle w:val="BodyText"/>
      </w:pPr>
      <w:r>
        <w:t xml:space="preserve">Brown等研究在2024年更正过其中一条细胞系的身份：原先记作SK-N-DZ，确认后改为SK-N-BE(2)。讨论实验材料和复现实验时应使用更正后的身份。这个更正涉及模型来源，不能被省略，也不宜自动扩展成全部RNA机制证据均已失效</w:t>
      </w:r>
      <w:r>
        <w:rPr>
          <w:vertAlign w:val="superscript"/>
        </w:rPr>
        <w:t xml:space="preserve">[</w:t>
      </w:r>
      <w:hyperlink w:anchor="ref-1673">
        <w:r>
          <w:rPr>
            <w:rStyle w:val="Hyperlink"/>
            <w:vertAlign w:val="superscript"/>
          </w:rPr>
          <w:t xml:space="preserve">1673</w:t>
        </w:r>
      </w:hyperlink>
      <w:r>
        <w:rPr>
          <w:vertAlign w:val="superscript"/>
        </w:rPr>
        <w:t xml:space="preserve">]</w:t>
      </w:r>
      <w:r>
        <w:t xml:space="preserve">。</w:t>
      </w:r>
    </w:p>
    <w:bookmarkEnd w:id="2577"/>
    <w:bookmarkStart w:id="2578" w:name="sec-154-6"/>
    <w:p>
      <w:pPr>
        <w:pStyle w:val="Heading3"/>
      </w:pPr>
      <w:r>
        <w:t xml:space="preserve">154.6　重复序列可以在多个层次产生作用</w:t>
      </w:r>
    </w:p>
    <w:p>
      <w:pPr>
        <w:pStyle w:val="FirstParagraph"/>
      </w:pPr>
      <w:r>
        <w:t xml:space="preserve">C9ORF72中的GGGGCC重复扩增为ALS与额颞叶疾病的联系提供了另一条遗传路径。2011年的研究识别了相应家系和临床系列中的扩增，并观察到转录本变化与核内RNA聚集。研究系列中的频率依赖入组和人群，不能被当作全球所有病例中的固定比例</w:t>
      </w:r>
      <w:r>
        <w:rPr>
          <w:vertAlign w:val="superscript"/>
        </w:rPr>
        <w:t xml:space="preserve">[</w:t>
      </w:r>
      <w:hyperlink w:anchor="ref-1669">
        <w:r>
          <w:rPr>
            <w:rStyle w:val="Hyperlink"/>
            <w:vertAlign w:val="superscript"/>
          </w:rPr>
          <w:t xml:space="preserve">1669</w:t>
        </w:r>
      </w:hyperlink>
      <w:r>
        <w:rPr>
          <w:vertAlign w:val="superscript"/>
        </w:rPr>
        <w:t xml:space="preserve">]</w:t>
      </w:r>
      <w:r>
        <w:t xml:space="preserve">。</w:t>
      </w:r>
    </w:p>
    <w:p>
      <w:pPr>
        <w:pStyle w:val="BodyText"/>
      </w:pPr>
      <w:r>
        <w:t xml:space="preserve">后续研究发现，扩增序列还可以通过非常规翻译形成二肽重复蛋白。由此，同一变异可能同时涉及RNA作用、异常蛋白生成及正常基因功能变化。降低某一种可测产物时，需要检验其余过程是否仍然存在；一条机制得到支持，也不要求其他路径全部为零</w:t>
      </w:r>
      <w:r>
        <w:rPr>
          <w:vertAlign w:val="superscript"/>
        </w:rPr>
        <w:t xml:space="preserve">[</w:t>
      </w:r>
      <w:hyperlink w:anchor="ref-1674">
        <w:r>
          <w:rPr>
            <w:rStyle w:val="Hyperlink"/>
            <w:vertAlign w:val="superscript"/>
          </w:rPr>
          <w:t xml:space="preserve">1674</w:t>
        </w:r>
      </w:hyperlink>
      <w:r>
        <w:rPr>
          <w:vertAlign w:val="superscript"/>
        </w:rPr>
        <w:t xml:space="preserve">]</w:t>
      </w:r>
      <w:r>
        <w:t xml:space="preserve">。</w:t>
      </w:r>
    </w:p>
    <w:p>
      <w:pPr>
        <w:pStyle w:val="BodyText"/>
      </w:pPr>
      <w:r>
        <w:t xml:space="preserve">实验设计可以利用这种分层提出更强的区分。例如，分别改变重复RNA的量、特定翻译产物和正常蛋白表达，观察哪些细胞读数得到救援。若多个操控共享同一个脱靶效应，它们看似一致仍可能依赖共同偏倚。不同工具、遗传背景与独立实验单位有助于提高机制判断的可靠性。</w:t>
      </w:r>
    </w:p>
    <w:bookmarkEnd w:id="2578"/>
    <w:bookmarkStart w:id="2579" w:name="sec-154-7"/>
    <w:p>
      <w:pPr>
        <w:pStyle w:val="Heading3"/>
      </w:pPr>
      <w:r>
        <w:t xml:space="preserve">154.7　反义寡核苷酸的作用需要按靶点说明</w:t>
      </w:r>
    </w:p>
    <w:p>
      <w:pPr>
        <w:pStyle w:val="FirstParagraph"/>
      </w:pPr>
      <w:r>
        <w:t xml:space="preserve">反义寡核苷酸通过与目标核酸序列结合发挥作用，但具体结果可以不同。某些设计促进目标RNA降解，某些设计改变剪接。化学修饰、结合位置、细胞进入、组织分布与给药时间共同影响实际作用。把这类技术统一描述为修复基因，会模糊它究竟改变了DNA、RNA还是蛋白生成</w:t>
      </w:r>
      <w:r>
        <w:rPr>
          <w:vertAlign w:val="superscript"/>
        </w:rPr>
        <w:t xml:space="preserve">[</w:t>
      </w:r>
      <w:hyperlink w:anchor="ref-82">
        <w:r>
          <w:rPr>
            <w:rStyle w:val="Hyperlink"/>
            <w:vertAlign w:val="superscript"/>
          </w:rPr>
          <w:t xml:space="preserve">82</w:t>
        </w:r>
      </w:hyperlink>
      <w:r>
        <w:rPr>
          <w:vertAlign w:val="superscript"/>
        </w:rPr>
        <w:t xml:space="preserve">,</w:t>
      </w:r>
      <w:hyperlink w:anchor="ref-1675">
        <w:r>
          <w:rPr>
            <w:rStyle w:val="Hyperlink"/>
            <w:vertAlign w:val="superscript"/>
          </w:rPr>
          <w:t xml:space="preserve">1675</w:t>
        </w:r>
      </w:hyperlink>
      <w:r>
        <w:rPr>
          <w:vertAlign w:val="superscript"/>
        </w:rPr>
        <w:t xml:space="preserve">]</w:t>
      </w:r>
      <w:r>
        <w:t xml:space="preserve">。</w:t>
      </w:r>
    </w:p>
    <w:p>
      <w:pPr>
        <w:pStyle w:val="BodyText"/>
      </w:pPr>
      <w:r>
        <w:t xml:space="preserve">Tofersen结合SOD1 RNA并促进其降解，从而降低SOD1蛋白生成。Nusinersen则用于改变SMN2的剪接，使更多全长功能性SMN蛋白得以产生。两者同属核酸药物，却对目标表达采取不同方向。评价一种新方案前，必须先明确疾病涉及有害功能增加、必要功能不足，还是二者同时存在</w:t>
      </w:r>
      <w:r>
        <w:rPr>
          <w:vertAlign w:val="superscript"/>
        </w:rPr>
        <w:t xml:space="preserve">[</w:t>
      </w:r>
      <w:hyperlink w:anchor="ref-82">
        <w:r>
          <w:rPr>
            <w:rStyle w:val="Hyperlink"/>
            <w:vertAlign w:val="superscript"/>
          </w:rPr>
          <w:t xml:space="preserve">82</w:t>
        </w:r>
      </w:hyperlink>
      <w:r>
        <w:rPr>
          <w:vertAlign w:val="superscript"/>
        </w:rPr>
        <w:t xml:space="preserve">,</w:t>
      </w:r>
      <w:hyperlink w:anchor="ref-1675">
        <w:r>
          <w:rPr>
            <w:rStyle w:val="Hyperlink"/>
            <w:vertAlign w:val="superscript"/>
          </w:rPr>
          <w:t xml:space="preserve">1675</w:t>
        </w:r>
      </w:hyperlink>
      <w:r>
        <w:rPr>
          <w:vertAlign w:val="superscript"/>
        </w:rPr>
        <w:t xml:space="preserve">]</w:t>
      </w:r>
      <w:r>
        <w:t xml:space="preserve">。</w:t>
      </w:r>
    </w:p>
    <w:p>
      <w:pPr>
        <w:pStyle w:val="BodyText"/>
      </w:pPr>
      <w:r>
        <w:t xml:space="preserve">脑脊液给药也不等于所有神经元均获得相同暴露。药物可能在不同组织和细胞中形成梯度，目标蛋白的周转速度也可能不同。可及的脑脊液指标通常提供间接信息。将其与组织分布、功能测量及安全性联系起来，可以减少总体平均指标对局部问题的遮蔽。</w:t>
      </w:r>
    </w:p>
    <w:bookmarkEnd w:id="2579"/>
    <w:bookmarkStart w:id="2580" w:name="sec-154-8"/>
    <w:p>
      <w:pPr>
        <w:pStyle w:val="Heading3"/>
      </w:pPr>
      <w:r>
        <w:t xml:space="preserve">154.8　Tofersen试验中的三层结局</w:t>
      </w:r>
    </w:p>
    <w:p>
      <w:pPr>
        <w:pStyle w:val="FirstParagraph"/>
      </w:pPr>
      <w:r>
        <w:t xml:space="preserve">VALOR随机纳入108名SOD1相关ALS成人，72人接受tofersen，36人接受安慰剂。预设主要分析针对60名预计进展较快者；28周ALSFRS-R变化的组间估计差为1.2分，95%置信区间−3.2至5.5，主要临床终点未达到预设显著标准。同时，脑脊液SOD1与血浆神经丝轻链下降，体现了不同层次结局的分离</w:t>
      </w:r>
      <w:r>
        <w:rPr>
          <w:vertAlign w:val="superscript"/>
        </w:rPr>
        <w:t xml:space="preserve">[</w:t>
      </w:r>
      <w:hyperlink w:anchor="ref-1676">
        <w:r>
          <w:rPr>
            <w:rStyle w:val="Hyperlink"/>
            <w:vertAlign w:val="superscript"/>
          </w:rPr>
          <w:t xml:space="preserve">1676</w:t>
        </w:r>
      </w:hyperlink>
      <w:r>
        <w:rPr>
          <w:vertAlign w:val="superscript"/>
        </w:rPr>
        <w:t xml:space="preserve">]</w:t>
      </w:r>
      <w:r>
        <w:t xml:space="preserve">。</w:t>
      </w:r>
    </w:p>
    <w:p>
      <w:pPr>
        <w:pStyle w:val="BodyText"/>
      </w:pPr>
      <w:r>
        <w:t xml:space="preserve">这组结果需要分别读成靶点相关作用、轴突损伤相关标志物变化及临床功能证据。靶点受到影响，排除了一部分完全未触达目标的解释；它仍不能单独确定患者会获得多大收益。临床终点未达到标准，也无法证明所有更长时程或更早阶段的效应都严格为零。</w:t>
      </w:r>
    </w:p>
    <w:p>
      <w:pPr>
        <w:pStyle w:val="BodyText"/>
      </w:pPr>
      <w:r>
        <w:t xml:space="preserve">美国的加速批准依据血浆神经丝轻链降低这一被认为可能预测临床获益的替代指标，并保留确认临床获益的要求。相应说明书同时列出脊髓炎或神经根炎、颅内压增高相关事件与无菌性脑膜炎等风险。批准路径、适应人群、证据层级和风险应共同进入理解</w:t>
      </w:r>
      <w:r>
        <w:rPr>
          <w:vertAlign w:val="superscript"/>
        </w:rPr>
        <w:t xml:space="preserve">[</w:t>
      </w:r>
      <w:hyperlink w:anchor="ref-1675">
        <w:r>
          <w:rPr>
            <w:rStyle w:val="Hyperlink"/>
            <w:vertAlign w:val="superscript"/>
          </w:rPr>
          <w:t xml:space="preserve">1675</w:t>
        </w:r>
      </w:hyperlink>
      <w:r>
        <w:rPr>
          <w:vertAlign w:val="superscript"/>
        </w:rPr>
        <w:t xml:space="preserve">]</w:t>
      </w:r>
      <w:r>
        <w:t xml:space="preserve">。</w:t>
      </w:r>
    </w:p>
    <w:p>
      <w:pPr>
        <w:pStyle w:val="BodyText"/>
      </w:pPr>
      <w:r>
        <w:t xml:space="preserve">2026年正式卷期的长期报告整合了同一试验及其开放延长期：95人进入延长期，46人完成；148周ALSFRS-R的早启动与延后启动组间估计差为3.6分，95%置信区间−1.2至8.4。方向支持较早启动可能有利，但区间仍宽；这份报告使用的患者与原试验重叠，不能作为新的独立随机重复</w:t>
      </w:r>
      <w:r>
        <w:rPr>
          <w:vertAlign w:val="superscript"/>
        </w:rPr>
        <w:t xml:space="preserve">[</w:t>
      </w:r>
      <w:hyperlink w:anchor="ref-1677">
        <w:r>
          <w:rPr>
            <w:rStyle w:val="Hyperlink"/>
            <w:vertAlign w:val="superscript"/>
          </w:rPr>
          <w:t xml:space="preserve">1677</w:t>
        </w:r>
      </w:hyperlink>
      <w:r>
        <w:rPr>
          <w:vertAlign w:val="superscript"/>
        </w:rPr>
        <w:t xml:space="preserve">]</w:t>
      </w:r>
      <w:r>
        <w:t xml:space="preserve">。</w:t>
      </w:r>
    </w:p>
    <w:p>
      <w:pPr>
        <w:pStyle w:val="BodyText"/>
      </w:pPr>
      <w:r>
        <w:t xml:space="preserve">延长期比较继承了初始随机分组，也包含原安慰剂组约半年后开始用药的变化。它回答不同启动时间下的长期差异，无法被解释成三年持续治疗对三年持续安慰剂。失访、死亡、疾病异质性和缺失资料假设也会影响结果。临床判断可以综合这些证据，同时保留估计的实际不确定性。</w:t>
      </w:r>
    </w:p>
    <w:p>
      <w:pPr>
        <w:pStyle w:val="BodyText"/>
      </w:pPr>
      <w:r>
        <w:t xml:space="preserve">VALOR及长期报告由Biogen资助，长期论文说明申办者参与设计、数据管理、统计分析与报告；部分作者为公司雇员或具有相关经济联系。此类披露需要与预设分析、完整结果、监管审查和独立资料共同阅读，不能仅凭资助来源宣布结果无效</w:t>
      </w:r>
      <w:r>
        <w:rPr>
          <w:vertAlign w:val="superscript"/>
        </w:rPr>
        <w:t xml:space="preserve">[</w:t>
      </w:r>
      <w:hyperlink w:anchor="ref-1676">
        <w:r>
          <w:rPr>
            <w:rStyle w:val="Hyperlink"/>
            <w:vertAlign w:val="superscript"/>
          </w:rPr>
          <w:t xml:space="preserve">1676</w:t>
        </w:r>
      </w:hyperlink>
      <w:r>
        <w:rPr>
          <w:vertAlign w:val="superscript"/>
        </w:rPr>
        <w:t xml:space="preserve">,</w:t>
      </w:r>
      <w:hyperlink w:anchor="ref-1677">
        <w:r>
          <w:rPr>
            <w:rStyle w:val="Hyperlink"/>
            <w:vertAlign w:val="superscript"/>
          </w:rPr>
          <w:t xml:space="preserve">1677</w:t>
        </w:r>
      </w:hyperlink>
      <w:r>
        <w:rPr>
          <w:vertAlign w:val="superscript"/>
        </w:rPr>
        <w:t xml:space="preserve">]</w:t>
      </w:r>
      <w:r>
        <w:t xml:space="preserve">。</w:t>
      </w:r>
    </w:p>
    <w:bookmarkEnd w:id="2580"/>
    <w:bookmarkStart w:id="2581" w:name="sec-154-9"/>
    <w:p>
      <w:pPr>
        <w:pStyle w:val="Heading3"/>
      </w:pPr>
      <w:r>
        <w:t xml:space="preserve">154.9　SMA说明分子干预可以获得直接功能证据</w:t>
      </w:r>
    </w:p>
    <w:p>
      <w:pPr>
        <w:pStyle w:val="FirstParagraph"/>
      </w:pPr>
      <w:r>
        <w:t xml:space="preserve">脊髓性肌萎缩症提供了与SOD1相关ALS不同的实例。Nusinersen针对SMN2剪接增加全长SMN蛋白。ENDEAR研究采用随机、双盲、假操作对照，共随机分配122名婴儿；121人实际接受相应操作并进入时间事件分析，治疗组80人、对照组41人。研究直接测量运动里程碑及生存相关结局，从机制推进到患者功能</w:t>
      </w:r>
      <w:r>
        <w:rPr>
          <w:vertAlign w:val="superscript"/>
        </w:rPr>
        <w:t xml:space="preserve">[</w:t>
      </w:r>
      <w:hyperlink w:anchor="ref-82">
        <w:r>
          <w:rPr>
            <w:rStyle w:val="Hyperlink"/>
            <w:vertAlign w:val="superscript"/>
          </w:rPr>
          <w:t xml:space="preserve">82</w:t>
        </w:r>
      </w:hyperlink>
      <w:r>
        <w:rPr>
          <w:vertAlign w:val="superscript"/>
        </w:rPr>
        <w:t xml:space="preserve">]</w:t>
      </w:r>
      <w:r>
        <w:t xml:space="preserve">。</w:t>
      </w:r>
    </w:p>
    <w:p>
      <w:pPr>
        <w:pStyle w:val="BodyText"/>
      </w:pPr>
      <w:r>
        <w:t xml:space="preserve">最终运动里程碑分析中，治疗组37/73达到响应，对照组0/37；死亡或永久辅助通气的危险比（HR）为0.53，95%置信区间0.32至0.89。HR描述相应时间事件模型中的瞬时风险关系，不能直接换成期末事件概率之比。时间事件与运动里程碑分析使用不同人数；试验因中期结果提前终止，长期轨迹和其他人群仍需另外研究</w:t>
      </w:r>
      <w:r>
        <w:rPr>
          <w:vertAlign w:val="superscript"/>
        </w:rPr>
        <w:t xml:space="preserve">[</w:t>
      </w:r>
      <w:hyperlink w:anchor="ref-82">
        <w:r>
          <w:rPr>
            <w:rStyle w:val="Hyperlink"/>
            <w:vertAlign w:val="superscript"/>
          </w:rPr>
          <w:t xml:space="preserve">82</w:t>
        </w:r>
      </w:hyperlink>
      <w:r>
        <w:rPr>
          <w:vertAlign w:val="superscript"/>
        </w:rPr>
        <w:t xml:space="preserve">]</w:t>
      </w:r>
      <w:r>
        <w:t xml:space="preserve">。</w:t>
      </w:r>
    </w:p>
    <w:p>
      <w:pPr>
        <w:pStyle w:val="BodyText"/>
      </w:pPr>
      <w:r>
        <w:t xml:space="preserve">这些结果支持该疾病、相应人群与方案的治疗收益，并未证明RNA药物普遍有效。疾病发生阶段、剩余运动单位、分子缺陷类型与递送方式均可能影响可恢复空间。对一种技术平台，成功与失败的实例都具有解释价值，应通过具体机制和设计条件理解差异。</w:t>
      </w:r>
    </w:p>
    <w:p>
      <w:pPr>
        <w:pStyle w:val="BodyText"/>
      </w:pPr>
      <w:r>
        <w:t xml:space="preserve">NURTURE开放研究追踪25名在症状前开始治疗的儿童，其中15名具有两份SMN2，10名具有三份。约五年报告中全部存活并达到独坐里程碑；不同基线状态仍存在差异。由于缺少同期随机对照，不能仅凭这一队列精确估计提前若干周治疗的独立因果收益</w:t>
      </w:r>
      <w:r>
        <w:rPr>
          <w:vertAlign w:val="superscript"/>
        </w:rPr>
        <w:t xml:space="preserve">[</w:t>
      </w:r>
      <w:hyperlink w:anchor="ref-1678">
        <w:r>
          <w:rPr>
            <w:rStyle w:val="Hyperlink"/>
            <w:vertAlign w:val="superscript"/>
          </w:rPr>
          <w:t xml:space="preserve">1678</w:t>
        </w:r>
      </w:hyperlink>
      <w:r>
        <w:rPr>
          <w:vertAlign w:val="superscript"/>
        </w:rPr>
        <w:t xml:space="preserve">]</w:t>
      </w:r>
      <w:r>
        <w:t xml:space="preserve">。</w:t>
      </w:r>
    </w:p>
    <w:bookmarkEnd w:id="2581"/>
    <w:bookmarkStart w:id="2582" w:name="sec-154-10"/>
    <w:p>
      <w:pPr>
        <w:pStyle w:val="Heading3"/>
      </w:pPr>
      <w:r>
        <w:t xml:space="preserve">154.10　亨廷顿病中的遗传重复与体细胞变化</w:t>
      </w:r>
    </w:p>
    <w:p>
      <w:pPr>
        <w:pStyle w:val="FirstParagraph"/>
      </w:pPr>
      <w:r>
        <w:t xml:space="preserve">亨廷顿病由HTT基因中CAG三核苷酸重复的扩增引起。这段重复的长度在个体间具有遗传差异，也可以在一个人的不同细胞中进一步变化。遗传时获得的长度、检测组织中的长度分布和特定神经元后来的长度，因此属于不同测量对象。血液中看到的分布不能直接替代每类脑细胞中的状态</w:t>
      </w:r>
      <w:r>
        <w:rPr>
          <w:vertAlign w:val="superscript"/>
        </w:rPr>
        <w:t xml:space="preserve">[</w:t>
      </w:r>
      <w:hyperlink w:anchor="ref-1679">
        <w:r>
          <w:rPr>
            <w:rStyle w:val="Hyperlink"/>
            <w:vertAlign w:val="superscript"/>
          </w:rPr>
          <w:t xml:space="preserve">1679</w:t>
        </w:r>
      </w:hyperlink>
      <w:r>
        <w:rPr>
          <w:vertAlign w:val="superscript"/>
        </w:rPr>
        <w:t xml:space="preserve">,</w:t>
      </w:r>
      <w:hyperlink w:anchor="ref-1680">
        <w:r>
          <w:rPr>
            <w:rStyle w:val="Hyperlink"/>
            <w:vertAlign w:val="superscript"/>
          </w:rPr>
          <w:t xml:space="preserve">1680</w:t>
        </w:r>
      </w:hyperlink>
      <w:r>
        <w:rPr>
          <w:vertAlign w:val="superscript"/>
        </w:rPr>
        <w:t xml:space="preserve">]</w:t>
      </w:r>
      <w:r>
        <w:t xml:space="preserve">。</w:t>
      </w:r>
    </w:p>
    <w:p>
      <w:pPr>
        <w:pStyle w:val="BodyText"/>
      </w:pPr>
      <w:r>
        <w:t xml:space="preserve">重复中断序列、DNA修复相关因素与细胞类型共同参与重复稳定性。对一个人来说，疾病风险与轨迹不能只由一个脱离测量方法的整数完整表达。即使遗传长度相同，后续细胞变化、其他修饰因子和临床测量仍可产生差异。</w:t>
      </w:r>
    </w:p>
    <w:p>
      <w:pPr>
        <w:pStyle w:val="BodyText"/>
      </w:pPr>
      <w:r>
        <w:t xml:space="preserve">2025年Handsaker等将单核表达与重复长度测量连接起来。研究包含较大的供体转录组资料，关键的重复长度深度分析来自六位供体；在纹状体投射神经元中观察到从约40至45次向100至500次以上扩增，并将较长扩增与细胞身份变化联系起来。供体数、细胞数及每项分析的分母必须分别保留</w:t>
      </w:r>
      <w:r>
        <w:rPr>
          <w:vertAlign w:val="superscript"/>
        </w:rPr>
        <w:t xml:space="preserve">[</w:t>
      </w:r>
      <w:hyperlink w:anchor="ref-1679">
        <w:r>
          <w:rPr>
            <w:rStyle w:val="Hyperlink"/>
            <w:vertAlign w:val="superscript"/>
          </w:rPr>
          <w:t xml:space="preserve">1679</w:t>
        </w:r>
      </w:hyperlink>
      <w:r>
        <w:rPr>
          <w:vertAlign w:val="superscript"/>
        </w:rPr>
        <w:t xml:space="preserve">]</w:t>
      </w:r>
      <w:r>
        <w:t xml:space="preserve">。</w:t>
      </w:r>
    </w:p>
    <w:p>
      <w:pPr>
        <w:pStyle w:val="BodyText"/>
      </w:pPr>
      <w:r>
        <w:t xml:space="preserve">研究提出约150次以上重复与明显细胞状态变化相关的模型。其关键价值在于连接单细胞重复长度与功能状态，而把横断面组织中的状态排列解释成每个神经元必经的时间进程，还需要额外假设。已死亡细胞不可被完整取样，细胞来源和测量分子也会限制推断。</w:t>
      </w:r>
    </w:p>
    <w:bookmarkEnd w:id="2582"/>
    <w:bookmarkStart w:id="2583" w:name="sec-154-11"/>
    <w:p>
      <w:pPr>
        <w:pStyle w:val="Heading3"/>
      </w:pPr>
      <w:r>
        <w:t xml:space="preserve">154.11　2026年的证据为何限制固定阈值叙事</w:t>
      </w:r>
    </w:p>
    <w:p>
      <w:pPr>
        <w:pStyle w:val="FirstParagraph"/>
      </w:pPr>
      <w:r>
        <w:t xml:space="preserve">Kay等2026年人体组织研究报告，较大重复扩增随病程累积，某些重复中断丢失变异与更强的神经元扩增及细胞减少相关；同时，基因组DNA中CAG重复超过150次的神经元仍可见于存活细胞中。这支持扩增的重要性，也要求谨慎处理统一阈值与立即死亡的强解释</w:t>
      </w:r>
      <w:r>
        <w:rPr>
          <w:vertAlign w:val="superscript"/>
        </w:rPr>
        <w:t xml:space="preserve">[</w:t>
      </w:r>
      <w:hyperlink w:anchor="ref-1681">
        <w:r>
          <w:rPr>
            <w:rStyle w:val="Hyperlink"/>
            <w:vertAlign w:val="superscript"/>
          </w:rPr>
          <w:t xml:space="preserve">1681</w:t>
        </w:r>
      </w:hyperlink>
      <w:r>
        <w:rPr>
          <w:vertAlign w:val="superscript"/>
        </w:rPr>
        <w:t xml:space="preserve">]</w:t>
      </w:r>
      <w:r>
        <w:t xml:space="preserve">。</w:t>
      </w:r>
    </w:p>
    <w:p>
      <w:pPr>
        <w:pStyle w:val="BodyText"/>
      </w:pPr>
      <w:r>
        <w:t xml:space="preserve">2025年的模型本身描述超过约150次后逐渐出现的细胞状态变化；观察到存活的长重复神经元，不能单独否定这一分阶段过程。约150次是特定脑细胞研究中的机制性阈值假说，不能替代外周遗传检测的诊断标准</w:t>
      </w:r>
      <w:r>
        <w:rPr>
          <w:vertAlign w:val="superscript"/>
        </w:rPr>
        <w:t xml:space="preserve">[</w:t>
      </w:r>
      <w:hyperlink w:anchor="ref-1679">
        <w:r>
          <w:rPr>
            <w:rStyle w:val="Hyperlink"/>
            <w:vertAlign w:val="superscript"/>
          </w:rPr>
          <w:t xml:space="preserve">1679</w:t>
        </w:r>
      </w:hyperlink>
      <w:r>
        <w:rPr>
          <w:vertAlign w:val="superscript"/>
        </w:rPr>
        <w:t xml:space="preserve">,</w:t>
      </w:r>
      <w:hyperlink w:anchor="ref-1681">
        <w:r>
          <w:rPr>
            <w:rStyle w:val="Hyperlink"/>
            <w:vertAlign w:val="superscript"/>
          </w:rPr>
          <w:t xml:space="preserve">1681</w:t>
        </w:r>
      </w:hyperlink>
      <w:r>
        <w:rPr>
          <w:vertAlign w:val="superscript"/>
        </w:rPr>
        <w:t xml:space="preserve">]</w:t>
      </w:r>
      <w:r>
        <w:t xml:space="preserve">。</w:t>
      </w:r>
    </w:p>
    <w:p>
      <w:pPr>
        <w:pStyle w:val="BodyText"/>
      </w:pPr>
      <w:r>
        <w:t xml:space="preserve">两项研究的差异可以转化成可检验问题：取样阶段是否不同，测量到的是哪一种分子及细胞群，扩增长度与损伤之间是否存在可变滞后，以及修饰因子是否改变细胞耐受。提出这些可能性不等于它们已经解释了研究间的差别，需要直接比较实验来决定。</w:t>
      </w:r>
    </w:p>
    <w:p>
      <w:pPr>
        <w:pStyle w:val="BodyText"/>
      </w:pPr>
      <w:r>
        <w:t xml:space="preserve">2025年GeM-HD研究进一步显示，血液体细胞扩增、临床运动起病及认知与运动轨迹共享部分遗传修饰因素，也存在组织和结局特异的作用。有些变异影响血液扩增，却未对应相同临床变化。因而，方便测量的外周指标能否作为脑内过程或治疗替代终点，必须获得专门验证</w:t>
      </w:r>
      <w:r>
        <w:rPr>
          <w:vertAlign w:val="superscript"/>
        </w:rPr>
        <w:t xml:space="preserve">[</w:t>
      </w:r>
      <w:hyperlink w:anchor="ref-1680">
        <w:r>
          <w:rPr>
            <w:rStyle w:val="Hyperlink"/>
            <w:vertAlign w:val="superscript"/>
          </w:rPr>
          <w:t xml:space="preserve">1680</w:t>
        </w:r>
      </w:hyperlink>
      <w:r>
        <w:rPr>
          <w:vertAlign w:val="superscript"/>
        </w:rPr>
        <w:t xml:space="preserve">]</w:t>
      </w:r>
      <w:r>
        <w:t xml:space="preserve">。</w:t>
      </w:r>
    </w:p>
    <w:bookmarkEnd w:id="2583"/>
    <w:bookmarkStart w:id="2584" w:name="sec-154-12"/>
    <w:p>
      <w:pPr>
        <w:pStyle w:val="Heading3"/>
      </w:pPr>
      <w:r>
        <w:t xml:space="preserve">154.12　降低huntingtin与改善功能之间的距离</w:t>
      </w:r>
    </w:p>
    <w:p>
      <w:pPr>
        <w:pStyle w:val="FirstParagraph"/>
      </w:pPr>
      <w:r>
        <w:t xml:space="preserve">2019年的早期随机研究显示，tominersen能够降低脑脊液突变huntingtin，支持靶点相关作用。早期阶段主要用于评价安全性、耐受性及药效指标，样本与观察期无法承担确定长期临床获益的任务</w:t>
      </w:r>
      <w:r>
        <w:rPr>
          <w:vertAlign w:val="superscript"/>
        </w:rPr>
        <w:t xml:space="preserve">[</w:t>
      </w:r>
      <w:hyperlink w:anchor="ref-1682">
        <w:r>
          <w:rPr>
            <w:rStyle w:val="Hyperlink"/>
            <w:vertAlign w:val="superscript"/>
          </w:rPr>
          <w:t xml:space="preserve">1682</w:t>
        </w:r>
      </w:hyperlink>
      <w:r>
        <w:rPr>
          <w:vertAlign w:val="superscript"/>
        </w:rPr>
        <w:t xml:space="preserve">]</w:t>
      </w:r>
      <w:r>
        <w:t xml:space="preserve">。</w:t>
      </w:r>
    </w:p>
    <w:p>
      <w:pPr>
        <w:pStyle w:val="BodyText"/>
      </w:pPr>
      <w:r>
        <w:t xml:space="preserve">后续GENERATION HD1随机纳入791名已显症成人，比较两种给药间隔与安慰剂。治疗在2021年因总体获益风险评价停止；2023年发表的69周事后分析中，较频繁给药组的综合量表结果更差，较低频组未显示明确临床优势。分析时点因提前停止而改变，是解释的一项限制</w:t>
      </w:r>
      <w:r>
        <w:rPr>
          <w:vertAlign w:val="superscript"/>
        </w:rPr>
        <w:t xml:space="preserve">[</w:t>
      </w:r>
      <w:hyperlink w:anchor="ref-1683">
        <w:r>
          <w:rPr>
            <w:rStyle w:val="Hyperlink"/>
            <w:vertAlign w:val="superscript"/>
          </w:rPr>
          <w:t xml:space="preserve">1683</w:t>
        </w:r>
      </w:hyperlink>
      <w:r>
        <w:rPr>
          <w:vertAlign w:val="superscript"/>
        </w:rPr>
        <w:t xml:space="preserve">]</w:t>
      </w:r>
      <w:r>
        <w:t xml:space="preserve">。</w:t>
      </w:r>
    </w:p>
    <w:p>
      <w:pPr>
        <w:pStyle w:val="BodyText"/>
      </w:pPr>
      <w:r>
        <w:t xml:space="preserve">这一结果反驳了只要降低所测huntingtin就必然改善功能的简单推断。它并未一次排除所有靶点策略：暴露强度、正常蛋白保留、不同细胞的递送、病程阶段和其他非预期作用，都可能影响结果。每一种后续解释仍需独立检验，不能把任何失败都自动归于剂量不合适。</w:t>
      </w:r>
    </w:p>
    <w:p>
      <w:pPr>
        <w:pStyle w:val="BodyText"/>
      </w:pPr>
      <w:r>
        <w:t xml:space="preserve">等位基因选择性与总量降低回答不同问题。若希望只降低致病等位基因，需要验证选择性及适用变异范围；若同时降低正常与异常形式，则要评估正常功能的保留空间。对于重复扩增，还可以研究减少体细胞扩增的上游策略，但遗传关联支持的候选靶点仍需干预与安全性证据</w:t>
      </w:r>
      <w:r>
        <w:rPr>
          <w:vertAlign w:val="superscript"/>
        </w:rPr>
        <w:t xml:space="preserve">[</w:t>
      </w:r>
      <w:hyperlink w:anchor="ref-1680">
        <w:r>
          <w:rPr>
            <w:rStyle w:val="Hyperlink"/>
            <w:vertAlign w:val="superscript"/>
          </w:rPr>
          <w:t xml:space="preserve">1680</w:t>
        </w:r>
      </w:hyperlink>
      <w:r>
        <w:rPr>
          <w:vertAlign w:val="superscript"/>
        </w:rPr>
        <w:t xml:space="preserve">,</w:t>
      </w:r>
      <w:hyperlink w:anchor="ref-1683">
        <w:r>
          <w:rPr>
            <w:rStyle w:val="Hyperlink"/>
            <w:vertAlign w:val="superscript"/>
          </w:rPr>
          <w:t xml:space="preserve">1683</w:t>
        </w:r>
      </w:hyperlink>
      <w:r>
        <w:rPr>
          <w:vertAlign w:val="superscript"/>
        </w:rPr>
        <w:t xml:space="preserve">]</w:t>
      </w:r>
      <w:r>
        <w:t xml:space="preserve">。</w:t>
      </w:r>
    </w:p>
    <w:bookmarkEnd w:id="2584"/>
    <w:bookmarkStart w:id="2585" w:name="sec-154-13"/>
    <w:p>
      <w:pPr>
        <w:pStyle w:val="Heading3"/>
      </w:pPr>
      <w:r>
        <w:t xml:space="preserve">154.13　选择治疗窗口需要观察可挽回过程</w:t>
      </w:r>
    </w:p>
    <w:p>
      <w:pPr>
        <w:pStyle w:val="FirstParagraph"/>
      </w:pPr>
      <w:r>
        <w:t xml:space="preserve">症状出现前开始干预可能增加保留功能的机会，也同时扩大接受治疗但短期风险尚不明确的人群。合理研究需要估计个体风险、明确进入条件、设置临床相关终点并长期观察风险。早期一词应通过分子状态、功能状态及时间定义，不能仅以年龄代替。</w:t>
      </w:r>
    </w:p>
    <w:p>
      <w:pPr>
        <w:pStyle w:val="BodyText"/>
      </w:pPr>
      <w:r>
        <w:t xml:space="preserve">症状变化还取决于回路储备、代偿和组织丢失。一个方案可以减少持续损伤，却无法立刻补回已经失去的运动单位；康复和支持也可能改善日常功能，而没有逆转起始分子缺陷。把保留、恢复、代偿和减轻负担分别测量，能够更准确地描述治疗价值。</w:t>
      </w:r>
    </w:p>
    <w:p>
      <w:pPr>
        <w:pStyle w:val="BodyText"/>
      </w:pPr>
      <w:r>
        <w:t xml:space="preserve">预测疾病会发生与预测某人会从治疗中受益，也不是同一个统计任务。高风险者可能更有改善空间，也可能因损伤过多而获益更少。治疗选择模型需要检验风险与治疗效果的关系，不能直接把疾病预测模型的分数当作治疗收益排序。</w:t>
      </w:r>
    </w:p>
    <w:bookmarkEnd w:id="2585"/>
    <w:bookmarkStart w:id="2587" w:name="sec-154-14"/>
    <w:p>
      <w:pPr>
        <w:pStyle w:val="Heading3"/>
      </w:pPr>
      <w:r>
        <w:t xml:space="preserve">154.14　分子治疗的证据层次对照</w:t>
      </w:r>
    </w:p>
    <w:p>
      <w:pPr>
        <w:pStyle w:val="TableCaption"/>
      </w:pPr>
      <w:bookmarkStart w:id="2586" w:name="tab-molecular-tx"/>
      <w:bookmarkEnd w:id="2586"/>
      <w:r>
        <w:rPr>
          <w:bCs/>
          <w:b/>
        </w:rPr>
        <w:t xml:space="preserve">表 42　分子治疗的证据层次</w:t>
      </w:r>
    </w:p>
    <w:tbl>
      <w:tblPr>
        <w:tblStyle w:val="Table"/>
        <w:tblW w:type="pct" w:w="5000"/>
        <w:jc w:val="start"/>
        <w:tblLook w:firstRow="1" w:lastRow="0" w:firstColumn="0" w:lastColumn="0" w:noHBand="0" w:noVBand="0" w:val="0020"/>
      </w:tblPr>
      <w:tblGrid>
        <w:gridCol w:w="1760"/>
        <w:gridCol w:w="2991"/>
        <w:gridCol w:w="3167"/>
      </w:tblGrid>
      <w:tr>
        <w:trPr>
          <w:tblHeader w:val="true"/>
        </w:trPr>
        <w:tc>
          <w:tcPr>
            <w:shd w:val="clear" w:color="auto" w:fill="1F3A5F"/>
          </w:tcPr>
          <w:p>
            <w:pPr>
              <w:jc w:val="left"/>
            </w:pPr>
            <w:r>
              <w:rPr>
                <w:bCs/>
                <w:b/>
                <w:color w:val="FFFFFF"/>
              </w:rPr>
              <w:t xml:space="preserve">证据层次</w:t>
            </w:r>
          </w:p>
        </w:tc>
        <w:tc>
          <w:tcPr>
            <w:shd w:val="clear" w:color="auto" w:fill="1F3A5F"/>
          </w:tcPr>
          <w:p>
            <w:pPr>
              <w:jc w:val="left"/>
            </w:pPr>
            <w:r>
              <w:rPr>
                <w:bCs/>
                <w:b/>
                <w:color w:val="FFFFFF"/>
              </w:rPr>
              <w:t xml:space="preserve">能够支持的判断</w:t>
            </w:r>
          </w:p>
        </w:tc>
        <w:tc>
          <w:tcPr>
            <w:shd w:val="clear" w:color="auto" w:fill="1F3A5F"/>
          </w:tcPr>
          <w:p>
            <w:pPr>
              <w:jc w:val="left"/>
            </w:pPr>
            <w:r>
              <w:rPr>
                <w:bCs/>
                <w:b/>
                <w:color w:val="FFFFFF"/>
              </w:rPr>
              <w:t xml:space="preserve">继续需要回答的问题</w:t>
            </w:r>
          </w:p>
        </w:tc>
      </w:tr>
      <w:tr>
        <w:tc>
          <w:tcPr/>
          <w:p>
            <w:pPr>
              <w:jc w:val="left"/>
            </w:pPr>
            <w:r>
              <w:t xml:space="preserve">遗传关联与家系共分离</w:t>
            </w:r>
          </w:p>
        </w:tc>
        <w:tc>
          <w:tcPr/>
          <w:p>
            <w:pPr>
              <w:jc w:val="left"/>
            </w:pPr>
            <w:r>
              <w:t xml:space="preserve">变异与疾病发生具有特定联系</w:t>
            </w:r>
          </w:p>
        </w:tc>
        <w:tc>
          <w:tcPr/>
          <w:p>
            <w:pPr>
              <w:jc w:val="left"/>
            </w:pPr>
            <w:r>
              <w:t xml:space="preserve">致病性、外显率、人群与表型范围</w:t>
            </w:r>
          </w:p>
        </w:tc>
      </w:tr>
      <w:tr>
        <w:tc>
          <w:tcPr/>
          <w:p>
            <w:pPr>
              <w:jc w:val="left"/>
            </w:pPr>
            <w:r>
              <w:t xml:space="preserve">细胞功能与救援实验</w:t>
            </w:r>
          </w:p>
        </w:tc>
        <w:tc>
          <w:tcPr/>
          <w:p>
            <w:pPr>
              <w:jc w:val="left"/>
            </w:pPr>
            <w:r>
              <w:t xml:space="preserve">特定操控改变了所测机制或细胞结局</w:t>
            </w:r>
          </w:p>
        </w:tc>
        <w:tc>
          <w:tcPr/>
          <w:p>
            <w:pPr>
              <w:jc w:val="left"/>
            </w:pPr>
            <w:r>
              <w:t xml:space="preserve">工具特异性、成熟状态、供体与批次推广</w:t>
            </w:r>
          </w:p>
        </w:tc>
      </w:tr>
      <w:tr>
        <w:tc>
          <w:tcPr/>
          <w:p>
            <w:pPr>
              <w:jc w:val="left"/>
            </w:pPr>
            <w:r>
              <w:t xml:space="preserve">组织与体液药效指标</w:t>
            </w:r>
          </w:p>
        </w:tc>
        <w:tc>
          <w:tcPr/>
          <w:p>
            <w:pPr>
              <w:jc w:val="left"/>
            </w:pPr>
            <w:r>
              <w:t xml:space="preserve">方案触达相关过程并改变可测指标</w:t>
            </w:r>
          </w:p>
        </w:tc>
        <w:tc>
          <w:tcPr/>
          <w:p>
            <w:pPr>
              <w:jc w:val="left"/>
            </w:pPr>
            <w:r>
              <w:t xml:space="preserve">组织代表性、指标与患者功能的关系</w:t>
            </w:r>
          </w:p>
        </w:tc>
      </w:tr>
      <w:tr>
        <w:tc>
          <w:tcPr/>
          <w:p>
            <w:pPr>
              <w:jc w:val="left"/>
            </w:pPr>
            <w:r>
              <w:t xml:space="preserve">随机临床结局</w:t>
            </w:r>
          </w:p>
        </w:tc>
        <w:tc>
          <w:tcPr/>
          <w:p>
            <w:pPr>
              <w:jc w:val="left"/>
            </w:pPr>
            <w:r>
              <w:t xml:space="preserve">规定人群与比较条件下的平均治疗效果</w:t>
            </w:r>
          </w:p>
        </w:tc>
        <w:tc>
          <w:tcPr/>
          <w:p>
            <w:pPr>
              <w:jc w:val="left"/>
            </w:pPr>
            <w:r>
              <w:t xml:space="preserve">长期效果、异质性、安全性与真实使用</w:t>
            </w:r>
          </w:p>
        </w:tc>
      </w:tr>
      <w:tr>
        <w:tc>
          <w:tcPr/>
          <w:p>
            <w:pPr>
              <w:jc w:val="left"/>
            </w:pPr>
            <w:r>
              <w:t xml:space="preserve">开放延长与外部对照</w:t>
            </w:r>
          </w:p>
        </w:tc>
        <w:tc>
          <w:tcPr/>
          <w:p>
            <w:pPr>
              <w:jc w:val="left"/>
            </w:pPr>
            <w:r>
              <w:t xml:space="preserve">延长观察并提供持续性线索</w:t>
            </w:r>
          </w:p>
        </w:tc>
        <w:tc>
          <w:tcPr/>
          <w:p>
            <w:pPr>
              <w:jc w:val="left"/>
            </w:pPr>
            <w:r>
              <w:t xml:space="preserve">选择、失访、缺失资料、时代与照护差异</w:t>
            </w:r>
          </w:p>
        </w:tc>
      </w:tr>
      <w:tr>
        <w:tc>
          <w:tcPr/>
          <w:p>
            <w:pPr>
              <w:jc w:val="left"/>
            </w:pPr>
            <w:r>
              <w:t xml:space="preserve">症状前队列</w:t>
            </w:r>
          </w:p>
        </w:tc>
        <w:tc>
          <w:tcPr/>
          <w:p>
            <w:pPr>
              <w:jc w:val="left"/>
            </w:pPr>
            <w:r>
              <w:t xml:space="preserve">描述早阶段治疗后出现的轨迹</w:t>
            </w:r>
          </w:p>
        </w:tc>
        <w:tc>
          <w:tcPr/>
          <w:p>
            <w:pPr>
              <w:jc w:val="left"/>
            </w:pPr>
            <w:r>
              <w:t xml:space="preserve">同期反事实、风险分层与时间窗口</w:t>
            </w:r>
          </w:p>
        </w:tc>
      </w:tr>
    </w:tbl>
    <w:bookmarkEnd w:id="2587"/>
    <w:bookmarkStart w:id="2588" w:name="sec-154-15"/>
    <w:p>
      <w:pPr>
        <w:pStyle w:val="Heading3"/>
      </w:pPr>
      <w:r>
        <w:t xml:space="preserve">154.15　公平比较新技术的原则</w:t>
      </w:r>
    </w:p>
    <w:p>
      <w:pPr>
        <w:pStyle w:val="FirstParagraph"/>
      </w:pPr>
      <w:r>
        <w:t xml:space="preserve">ENDEAR由Biogen与Ionis资助，GENERATION HD1由Roche资助。比较这些试验时，应同时保留申办者角色、预设终点、完整不良事件和实际观察结果。已报告的阳性与阴性临床结果都必须进入评价；商业联系需要透明披露，其本身无法决定某项结论真假</w:t>
      </w:r>
      <w:r>
        <w:rPr>
          <w:vertAlign w:val="superscript"/>
        </w:rPr>
        <w:t xml:space="preserve">[</w:t>
      </w:r>
      <w:hyperlink w:anchor="ref-82">
        <w:r>
          <w:rPr>
            <w:rStyle w:val="Hyperlink"/>
            <w:vertAlign w:val="superscript"/>
          </w:rPr>
          <w:t xml:space="preserve">82</w:t>
        </w:r>
      </w:hyperlink>
      <w:r>
        <w:rPr>
          <w:vertAlign w:val="superscript"/>
        </w:rPr>
        <w:t xml:space="preserve">,</w:t>
      </w:r>
      <w:hyperlink w:anchor="ref-1683">
        <w:r>
          <w:rPr>
            <w:rStyle w:val="Hyperlink"/>
            <w:vertAlign w:val="superscript"/>
          </w:rPr>
          <w:t xml:space="preserve">1683</w:t>
        </w:r>
      </w:hyperlink>
      <w:r>
        <w:rPr>
          <w:vertAlign w:val="superscript"/>
        </w:rPr>
        <w:t xml:space="preserve">]</w:t>
      </w:r>
      <w:r>
        <w:t xml:space="preserve">。</w:t>
      </w:r>
    </w:p>
    <w:p>
      <w:pPr>
        <w:pStyle w:val="BodyText"/>
      </w:pPr>
      <w:r>
        <w:t xml:space="preserve">一项新疗法的效果不能只与历史上最严重的自然病程比较。诊断提前、呼吸支持、营养管理、照护条件与结局定义都可能随时代变化。外部对照可以有研究价值，前提是入组时点、测量和关键预后因素足够可比，并对不可测差异保持审慎。</w:t>
      </w:r>
    </w:p>
    <w:p>
      <w:pPr>
        <w:pStyle w:val="BodyText"/>
      </w:pPr>
      <w:r>
        <w:t xml:space="preserve">复合终点也需要拆开理解。死亡、永久通气、运动功能和生活质量可能受到不同因素影响。一个综合指标改善时，应检查哪一部分贡献最大、各分量方向是否一致，以及缺失和死亡怎样进入分析。对患者而言，保持交流、吞咽、移动与自主决定可能具有不同权重。</w:t>
      </w:r>
    </w:p>
    <w:p>
      <w:pPr>
        <w:pStyle w:val="BodyText"/>
      </w:pPr>
      <w:r>
        <w:t xml:space="preserve">分子治疗的发展还需要关注持续可及性。重复给药、专业操作、长期监测与照护负担会影响实际收益；治疗中断、家庭资源和地域差异也可能改变观察到的结果。这些问题不能仅从药物是否触达靶点推算，需要实施研究和以患者目标为中心的结局。</w:t>
      </w:r>
    </w:p>
    <w:bookmarkEnd w:id="2588"/>
    <w:bookmarkStart w:id="5969" w:name="sec-154-16"/>
    <w:p>
      <w:pPr>
        <w:pStyle w:val="Heading3"/>
      </w:pPr>
      <w:r>
        <w:t xml:space="preserve">154.16　本章结论与学习检验</w:t>
      </w:r>
    </w:p>
    <w:p>
      <w:pPr>
        <w:pStyle w:val="FirstParagraph"/>
      </w:pPr>
      <w:r>
        <w:t xml:space="preserve">例题一。某核酸药物使体液中目标蛋白降低一半，但主要功能终点区间仍宽。可以说已证实靶点相关作用；关于功能收益，需要保留估计与不确定性，继续检验时程、暴露和真实患者结局。不能用分子变化代替功能结论，也不能根据一次不确定结果宣布所有相关机制均无价值。</w:t>
      </w:r>
    </w:p>
    <w:p>
      <w:pPr>
        <w:pStyle w:val="BodyText"/>
      </w:pPr>
      <w:r>
        <w:t xml:space="preserve">例题二。一个细胞携带很长的重复序列却仍然存活，是否足以否定体细胞扩增参与疾病？它限制的是长度达到某值便立即死亡的强命题。扩增提高风险、与其他状态共同作用或经过不等滞后产生损伤的模型，仍需按各自预测检验。</w:t>
      </w:r>
    </w:p>
    <w:p>
      <w:pPr>
        <w:pStyle w:val="BodyText"/>
      </w:pPr>
      <w:r>
        <w:t xml:space="preserve">例题三。研究在诱导细胞中恢复了轴突再生，能否承诺患者恢复运动？需要进一步连接成熟组织中的目标过程、递送、安全性、回路功能和临床结局。细胞救援增加机制可信度，完整的转化链仍需要继续完成。</w:t>
      </w:r>
    </w:p>
    <w:p>
      <w:pPr>
        <w:pStyle w:val="BodyText"/>
      </w:pPr>
      <w:r>
        <w:t xml:space="preserve">本章对遗传因果、RNA加工异常及部分疾病可获得分子治疗收益的判断具有高置信度；对具体长期收益大小、最佳启动时机及跨疾病推广，需要按研究分别保留中等或较低置信度。最有价值的进展会同时说明它改变了什么、尚未证明什么，以及下一项研究怎样区分剩余解释。</w:t>
      </w:r>
    </w:p>
    <w:p>
      <w:pPr>
        <w:pStyle w:val="FrontHeading"/>
      </w:pPr>
      <w:bookmarkStart w:id="2589" w:name="front-4"/>
      <w:bookmarkEnd w:id="2589"/>
      <w:r>
        <w:t xml:space="preserve">术语表</w:t>
      </w:r>
    </w:p>
    <w:p>
      <w:pPr>
        <w:pStyle w:val="BodyText"/>
      </w:pPr>
      <w:r>
        <w:t xml:space="preserve">下表给出阅读时使用的简明定义与章节入口，按主题排列。定义的适用条件、竞争解释、实验例子和原始来源见对应章节，点击右栏的章节号可以跳转。</w:t>
      </w:r>
    </w:p>
    <w:p>
      <w:pPr>
        <w:pStyle w:val="TableCaption"/>
      </w:pPr>
      <w:bookmarkStart w:id="2590" w:name="tab-glossary"/>
      <w:bookmarkEnd w:id="2590"/>
      <w:r>
        <w:rPr>
          <w:bCs/>
          <w:b/>
        </w:rPr>
        <w:t xml:space="preserve">表 43　术语表</w:t>
      </w:r>
    </w:p>
    <w:tbl>
      <w:tblPr>
        <w:tblStyle w:val="Table"/>
        <w:tblW w:type="pct" w:w="5000"/>
        <w:jc w:val="start"/>
        <w:tblLook w:firstRow="1" w:lastRow="0" w:firstColumn="0" w:lastColumn="0" w:noHBand="0" w:noVBand="0" w:val="0020"/>
      </w:tblPr>
      <w:tblGrid>
        <w:gridCol w:w="1638"/>
        <w:gridCol w:w="4915"/>
        <w:gridCol w:w="1365"/>
      </w:tblGrid>
      <w:tr>
        <w:trPr>
          <w:tblHeader w:val="true"/>
        </w:trPr>
        <w:tc>
          <w:tcPr>
            <w:shd w:val="clear" w:color="auto" w:fill="1F3A5F"/>
          </w:tcPr>
          <w:p>
            <w:pPr>
              <w:pStyle w:val="Compact"/>
              <w:jc w:val="left"/>
            </w:pPr>
            <w:r>
              <w:rPr>
                <w:color w:val="FFFFFF"/>
              </w:rPr>
              <w:t xml:space="preserve">术语</w:t>
            </w:r>
          </w:p>
        </w:tc>
        <w:tc>
          <w:tcPr>
            <w:shd w:val="clear" w:color="auto" w:fill="1F3A5F"/>
          </w:tcPr>
          <w:p>
            <w:pPr>
              <w:pStyle w:val="Compact"/>
              <w:jc w:val="left"/>
            </w:pPr>
            <w:r>
              <w:rPr>
                <w:color w:val="FFFFFF"/>
              </w:rPr>
              <w:t xml:space="preserve">阅读定义</w:t>
            </w:r>
          </w:p>
        </w:tc>
        <w:tc>
          <w:tcPr>
            <w:shd w:val="clear" w:color="auto" w:fill="1F3A5F"/>
          </w:tcPr>
          <w:p>
            <w:pPr>
              <w:pStyle w:val="Compact"/>
              <w:jc w:val="left"/>
            </w:pPr>
            <w:r>
              <w:rPr>
                <w:color w:val="FFFFFF"/>
              </w:rPr>
              <w:t xml:space="preserve">章节</w:t>
            </w:r>
          </w:p>
        </w:tc>
      </w:tr>
      <w:tr>
        <w:tc>
          <w:tcPr/>
          <w:p>
            <w:pPr>
              <w:pStyle w:val="Compact"/>
              <w:jc w:val="left"/>
            </w:pPr>
            <w:r>
              <w:t xml:space="preserve">膜电位</w:t>
            </w:r>
          </w:p>
        </w:tc>
        <w:tc>
          <w:tcPr/>
          <w:p>
            <w:pPr>
              <w:pStyle w:val="Compact"/>
              <w:jc w:val="left"/>
            </w:pPr>
            <w:r>
              <w:t xml:space="preserve">细胞膜内外的电势差；符号与数值必须同时说明内外参照。膜电位受离子梯度、通透性及电生理测量条件影响。</w:t>
            </w:r>
          </w:p>
        </w:tc>
        <w:tc>
          <w:tcPr/>
          <w:p>
            <w:pPr>
              <w:pStyle w:val="Compact"/>
              <w:jc w:val="left"/>
            </w:pPr>
            <w:hyperlink w:anchor="ch-5">
              <w:r>
                <w:rPr>
                  <w:rStyle w:val="Hyperlink"/>
                </w:rPr>
                <w:t xml:space="preserve">第5章</w:t>
              </w:r>
            </w:hyperlink>
            <w:r>
              <w:t xml:space="preserve">、</w:t>
            </w:r>
            <w:hyperlink w:anchor="ch-6">
              <w:r>
                <w:rPr>
                  <w:rStyle w:val="Hyperlink"/>
                </w:rPr>
                <w:t xml:space="preserve">第6章</w:t>
              </w:r>
            </w:hyperlink>
          </w:p>
        </w:tc>
      </w:tr>
      <w:tr>
        <w:tc>
          <w:tcPr/>
          <w:p>
            <w:pPr>
              <w:pStyle w:val="Compact"/>
              <w:jc w:val="left"/>
            </w:pPr>
            <w:r>
              <w:t xml:space="preserve">电导与电阻</w:t>
            </w:r>
          </w:p>
        </w:tc>
        <w:tc>
          <w:tcPr/>
          <w:p>
            <w:pPr>
              <w:pStyle w:val="Compact"/>
              <w:jc w:val="left"/>
            </w:pPr>
            <w:r>
              <w:t xml:space="preserve">电导描述电流随驱动力变化的比例，电阻是电导的倒数。离子通道的开放会改变膜电导；通道的电压依赖性可使关系呈非线性。</w:t>
            </w:r>
          </w:p>
        </w:tc>
        <w:tc>
          <w:tcPr/>
          <w:p>
            <w:pPr>
              <w:pStyle w:val="Compact"/>
              <w:jc w:val="left"/>
            </w:pPr>
            <w:hyperlink w:anchor="ch-5">
              <w:r>
                <w:rPr>
                  <w:rStyle w:val="Hyperlink"/>
                </w:rPr>
                <w:t xml:space="preserve">第5章</w:t>
              </w:r>
            </w:hyperlink>
            <w:r>
              <w:t xml:space="preserve">、</w:t>
            </w:r>
            <w:hyperlink w:anchor="ch-6">
              <w:r>
                <w:rPr>
                  <w:rStyle w:val="Hyperlink"/>
                </w:rPr>
                <w:t xml:space="preserve">第6章</w:t>
              </w:r>
            </w:hyperlink>
          </w:p>
        </w:tc>
      </w:tr>
      <w:tr>
        <w:tc>
          <w:tcPr/>
          <w:p>
            <w:pPr>
              <w:pStyle w:val="Compact"/>
              <w:jc w:val="left"/>
            </w:pPr>
            <w:r>
              <w:t xml:space="preserve">膜时间常数与长度常数</w:t>
            </w:r>
          </w:p>
        </w:tc>
        <w:tc>
          <w:tcPr/>
          <w:p>
            <w:pPr>
              <w:pStyle w:val="Compact"/>
              <w:jc w:val="left"/>
            </w:pPr>
            <w:r>
              <w:t xml:space="preserve">被动膜模型中，时间常数描述电压接近新稳态的时间尺度，长度常数描述电压沿神经突起衰减的空间尺度；真实树突还受几何形态和主动通道影响。</w:t>
            </w:r>
          </w:p>
        </w:tc>
        <w:tc>
          <w:tcPr/>
          <w:p>
            <w:pPr>
              <w:pStyle w:val="Compact"/>
              <w:jc w:val="left"/>
            </w:pPr>
            <w:hyperlink w:anchor="ch-5">
              <w:r>
                <w:rPr>
                  <w:rStyle w:val="Hyperlink"/>
                </w:rPr>
                <w:t xml:space="preserve">第5章</w:t>
              </w:r>
            </w:hyperlink>
            <w:r>
              <w:t xml:space="preserve">、</w:t>
            </w:r>
            <w:hyperlink w:anchor="ch-6">
              <w:r>
                <w:rPr>
                  <w:rStyle w:val="Hyperlink"/>
                </w:rPr>
                <w:t xml:space="preserve">第6章</w:t>
              </w:r>
            </w:hyperlink>
          </w:p>
        </w:tc>
      </w:tr>
      <w:tr>
        <w:tc>
          <w:tcPr/>
          <w:p>
            <w:pPr>
              <w:pStyle w:val="Compact"/>
              <w:jc w:val="left"/>
            </w:pPr>
            <w:r>
              <w:t xml:space="preserve">平衡电位</w:t>
            </w:r>
          </w:p>
        </w:tc>
        <w:tc>
          <w:tcPr/>
          <w:p>
            <w:pPr>
              <w:pStyle w:val="Compact"/>
              <w:jc w:val="left"/>
            </w:pPr>
            <w:r>
              <w:t xml:space="preserve">对某一种离子，电化学驱动力相抵时的膜电位。多种离子共同通透时，静息膜电位通常不等于任何一种离子的平衡电位。</w:t>
            </w:r>
          </w:p>
        </w:tc>
        <w:tc>
          <w:tcPr/>
          <w:p>
            <w:pPr>
              <w:pStyle w:val="Compact"/>
              <w:jc w:val="left"/>
            </w:pPr>
            <w:hyperlink w:anchor="ch-5">
              <w:r>
                <w:rPr>
                  <w:rStyle w:val="Hyperlink"/>
                </w:rPr>
                <w:t xml:space="preserve">第5章</w:t>
              </w:r>
            </w:hyperlink>
          </w:p>
        </w:tc>
      </w:tr>
      <w:tr>
        <w:tc>
          <w:tcPr/>
          <w:p>
            <w:pPr>
              <w:pStyle w:val="Compact"/>
              <w:jc w:val="left"/>
            </w:pPr>
            <w:r>
              <w:t xml:space="preserve">驱动力</w:t>
            </w:r>
          </w:p>
        </w:tc>
        <w:tc>
          <w:tcPr/>
          <w:p>
            <w:pPr>
              <w:pStyle w:val="Compact"/>
              <w:jc w:val="left"/>
            </w:pPr>
            <w:r>
              <w:t xml:space="preserve">在常用电导模型中，膜电位与该通道反转电位之差；离子电流还取决于通道电导及其随时间和电压的变化。</w:t>
            </w:r>
          </w:p>
        </w:tc>
        <w:tc>
          <w:tcPr/>
          <w:p>
            <w:pPr>
              <w:pStyle w:val="Compact"/>
              <w:jc w:val="left"/>
            </w:pPr>
            <w:hyperlink w:anchor="ch-5">
              <w:r>
                <w:rPr>
                  <w:rStyle w:val="Hyperlink"/>
                </w:rPr>
                <w:t xml:space="preserve">第5章</w:t>
              </w:r>
            </w:hyperlink>
            <w:r>
              <w:t xml:space="preserve">、</w:t>
            </w:r>
            <w:hyperlink w:anchor="ch-7">
              <w:r>
                <w:rPr>
                  <w:rStyle w:val="Hyperlink"/>
                </w:rPr>
                <w:t xml:space="preserve">第7章</w:t>
              </w:r>
            </w:hyperlink>
          </w:p>
        </w:tc>
      </w:tr>
      <w:tr>
        <w:tc>
          <w:tcPr/>
          <w:p>
            <w:pPr>
              <w:pStyle w:val="Compact"/>
              <w:jc w:val="left"/>
            </w:pPr>
            <w:r>
              <w:t xml:space="preserve">分流抑制</w:t>
            </w:r>
          </w:p>
        </w:tc>
        <w:tc>
          <w:tcPr/>
          <w:p>
            <w:pPr>
              <w:pStyle w:val="Compact"/>
              <w:jc w:val="left"/>
            </w:pPr>
            <w:r>
              <w:t xml:space="preserve">增加膜电导可以降低输入电阻、缩短时间常数并削弱兴奋输入的电压响应；这种作用不要求膜电位出现很大的超极化。</w:t>
            </w:r>
          </w:p>
        </w:tc>
        <w:tc>
          <w:tcPr/>
          <w:p>
            <w:pPr>
              <w:pStyle w:val="Compact"/>
              <w:jc w:val="left"/>
            </w:pPr>
            <w:hyperlink w:anchor="ch-5">
              <w:r>
                <w:rPr>
                  <w:rStyle w:val="Hyperlink"/>
                </w:rPr>
                <w:t xml:space="preserve">第5章</w:t>
              </w:r>
            </w:hyperlink>
            <w:r>
              <w:t xml:space="preserve">、</w:t>
            </w:r>
            <w:hyperlink w:anchor="ch-7">
              <w:r>
                <w:rPr>
                  <w:rStyle w:val="Hyperlink"/>
                </w:rPr>
                <w:t xml:space="preserve">第7章</w:t>
              </w:r>
            </w:hyperlink>
          </w:p>
        </w:tc>
      </w:tr>
      <w:tr>
        <w:tc>
          <w:tcPr/>
          <w:p>
            <w:pPr>
              <w:pStyle w:val="Compact"/>
              <w:jc w:val="left"/>
            </w:pPr>
            <w:r>
              <w:t xml:space="preserve">动作电位</w:t>
            </w:r>
          </w:p>
        </w:tc>
        <w:tc>
          <w:tcPr/>
          <w:p>
            <w:pPr>
              <w:pStyle w:val="Compact"/>
              <w:jc w:val="left"/>
            </w:pPr>
            <w:r>
              <w:t xml:space="preserve">电压依赖性通道参与产生的快速膜电位变化。全或无原则需要结合触发位置、传播条件和可变的脉冲波形理解。</w:t>
            </w:r>
          </w:p>
        </w:tc>
        <w:tc>
          <w:tcPr/>
          <w:p>
            <w:pPr>
              <w:pStyle w:val="Compact"/>
              <w:jc w:val="left"/>
            </w:pPr>
            <w:hyperlink w:anchor="ch-6">
              <w:r>
                <w:rPr>
                  <w:rStyle w:val="Hyperlink"/>
                </w:rPr>
                <w:t xml:space="preserve">第6章</w:t>
              </w:r>
            </w:hyperlink>
          </w:p>
        </w:tc>
      </w:tr>
      <w:tr>
        <w:tc>
          <w:tcPr/>
          <w:p>
            <w:pPr>
              <w:pStyle w:val="Compact"/>
              <w:jc w:val="left"/>
            </w:pPr>
            <w:r>
              <w:t xml:space="preserve">树突整合</w:t>
            </w:r>
          </w:p>
        </w:tc>
        <w:tc>
          <w:tcPr/>
          <w:p>
            <w:pPr>
              <w:pStyle w:val="Compact"/>
              <w:jc w:val="left"/>
            </w:pPr>
            <w:r>
              <w:t xml:space="preserve">树突对不同位置、时间和类型的输入进行转换与组合；局部通道和突触状态可使其表现出非线性。</w:t>
            </w:r>
          </w:p>
        </w:tc>
        <w:tc>
          <w:tcPr/>
          <w:p>
            <w:pPr>
              <w:pStyle w:val="Compact"/>
              <w:jc w:val="left"/>
            </w:pPr>
            <w:hyperlink w:anchor="ch-6">
              <w:r>
                <w:rPr>
                  <w:rStyle w:val="Hyperlink"/>
                </w:rPr>
                <w:t xml:space="preserve">第6章</w:t>
              </w:r>
            </w:hyperlink>
            <w:r>
              <w:t xml:space="preserve">、</w:t>
            </w:r>
            <w:hyperlink w:anchor="ch-7">
              <w:r>
                <w:rPr>
                  <w:rStyle w:val="Hyperlink"/>
                </w:rPr>
                <w:t xml:space="preserve">第7章</w:t>
              </w:r>
            </w:hyperlink>
          </w:p>
        </w:tc>
      </w:tr>
      <w:tr>
        <w:tc>
          <w:tcPr/>
          <w:p>
            <w:pPr>
              <w:pStyle w:val="Compact"/>
              <w:jc w:val="left"/>
            </w:pPr>
            <w:r>
              <w:t xml:space="preserve">突触释放概率</w:t>
            </w:r>
          </w:p>
        </w:tc>
        <w:tc>
          <w:tcPr/>
          <w:p>
            <w:pPr>
              <w:pStyle w:val="Compact"/>
              <w:jc w:val="left"/>
            </w:pPr>
            <w:r>
              <w:t xml:space="preserve">在特定条件下，突触前事件引起囊泡释放的概率。它与释放位点数量、囊泡库及突触后响应共同影响传递。</w:t>
            </w:r>
          </w:p>
        </w:tc>
        <w:tc>
          <w:tcPr/>
          <w:p>
            <w:pPr>
              <w:pStyle w:val="Compact"/>
              <w:jc w:val="left"/>
            </w:pPr>
            <w:hyperlink w:anchor="ch-7">
              <w:r>
                <w:rPr>
                  <w:rStyle w:val="Hyperlink"/>
                </w:rPr>
                <w:t xml:space="preserve">第7章</w:t>
              </w:r>
            </w:hyperlink>
          </w:p>
        </w:tc>
      </w:tr>
      <w:tr>
        <w:tc>
          <w:tcPr/>
          <w:p>
            <w:pPr>
              <w:pStyle w:val="Compact"/>
              <w:jc w:val="left"/>
            </w:pPr>
            <w:r>
              <w:t xml:space="preserve">受体亲和力</w:t>
            </w:r>
          </w:p>
        </w:tc>
        <w:tc>
          <w:tcPr/>
          <w:p>
            <w:pPr>
              <w:pStyle w:val="Compact"/>
              <w:jc w:val="left"/>
            </w:pPr>
            <w:r>
              <w:t xml:space="preserve">描述配体与受体结合倾向的量。亲和力、受体占有率、细胞信号效能和临床疗效需要分别测量。</w:t>
            </w:r>
          </w:p>
        </w:tc>
        <w:tc>
          <w:tcPr/>
          <w:p>
            <w:pPr>
              <w:pStyle w:val="Compact"/>
              <w:jc w:val="left"/>
            </w:pPr>
            <w:hyperlink w:anchor="ch-8">
              <w:r>
                <w:rPr>
                  <w:rStyle w:val="Hyperlink"/>
                </w:rPr>
                <w:t xml:space="preserve">第8章</w:t>
              </w:r>
            </w:hyperlink>
          </w:p>
        </w:tc>
      </w:tr>
      <w:tr>
        <w:tc>
          <w:tcPr/>
          <w:p>
            <w:pPr>
              <w:pStyle w:val="Compact"/>
              <w:jc w:val="left"/>
            </w:pPr>
            <w:r>
              <w:t xml:space="preserve">AMPA与NMDA受体</w:t>
            </w:r>
          </w:p>
        </w:tc>
        <w:tc>
          <w:tcPr/>
          <w:p>
            <w:pPr>
              <w:pStyle w:val="Compact"/>
              <w:jc w:val="left"/>
            </w:pPr>
            <w:r>
              <w:t xml:space="preserve">两类离子型谷氨酸受体。NMDA受体的激活受配体、共激动剂和电压相关镁阻滞等条件影响，相关钙信号可参与特定突触的可塑性。</w:t>
            </w:r>
          </w:p>
        </w:tc>
        <w:tc>
          <w:tcPr/>
          <w:p>
            <w:pPr>
              <w:pStyle w:val="Compact"/>
              <w:jc w:val="left"/>
            </w:pPr>
            <w:hyperlink w:anchor="ch-7">
              <w:r>
                <w:rPr>
                  <w:rStyle w:val="Hyperlink"/>
                </w:rPr>
                <w:t xml:space="preserve">第7章</w:t>
              </w:r>
            </w:hyperlink>
            <w:r>
              <w:t xml:space="preserve">、</w:t>
            </w:r>
            <w:hyperlink w:anchor="ch-24">
              <w:r>
                <w:rPr>
                  <w:rStyle w:val="Hyperlink"/>
                </w:rPr>
                <w:t xml:space="preserve">第24章</w:t>
              </w:r>
            </w:hyperlink>
          </w:p>
        </w:tc>
      </w:tr>
      <w:tr>
        <w:tc>
          <w:tcPr/>
          <w:p>
            <w:pPr>
              <w:pStyle w:val="Compact"/>
              <w:jc w:val="left"/>
            </w:pPr>
            <w:r>
              <w:t xml:space="preserve">G蛋白偶联受体</w:t>
            </w:r>
          </w:p>
        </w:tc>
        <w:tc>
          <w:tcPr/>
          <w:p>
            <w:pPr>
              <w:pStyle w:val="Compact"/>
              <w:jc w:val="left"/>
            </w:pPr>
            <w:r>
              <w:t xml:space="preserve">通过G蛋白及其他细胞内信号途径调节细胞状态的受体家族。信号效应取决于受体亚型、细胞背景、时间过程与配体。</w:t>
            </w:r>
          </w:p>
        </w:tc>
        <w:tc>
          <w:tcPr/>
          <w:p>
            <w:pPr>
              <w:pStyle w:val="Compact"/>
              <w:jc w:val="left"/>
            </w:pPr>
            <w:hyperlink w:anchor="ch-8">
              <w:r>
                <w:rPr>
                  <w:rStyle w:val="Hyperlink"/>
                </w:rPr>
                <w:t xml:space="preserve">第8章</w:t>
              </w:r>
            </w:hyperlink>
          </w:p>
        </w:tc>
      </w:tr>
      <w:tr>
        <w:tc>
          <w:tcPr/>
          <w:p>
            <w:pPr>
              <w:pStyle w:val="Compact"/>
              <w:jc w:val="left"/>
            </w:pPr>
            <w:r>
              <w:t xml:space="preserve">激动剂与拮抗剂</w:t>
            </w:r>
          </w:p>
        </w:tc>
        <w:tc>
          <w:tcPr/>
          <w:p>
            <w:pPr>
              <w:pStyle w:val="Compact"/>
              <w:jc w:val="left"/>
            </w:pPr>
            <w:r>
              <w:t xml:space="preserve">激动剂在特定受体及测量系统中产生激活效应；拮抗剂阻断相应作用。部分激动、逆向激动和信号偏向进一步限定这种分类。</w:t>
            </w:r>
          </w:p>
        </w:tc>
        <w:tc>
          <w:tcPr/>
          <w:p>
            <w:pPr>
              <w:pStyle w:val="Compact"/>
              <w:jc w:val="left"/>
            </w:pPr>
            <w:hyperlink w:anchor="ch-8">
              <w:r>
                <w:rPr>
                  <w:rStyle w:val="Hyperlink"/>
                </w:rPr>
                <w:t xml:space="preserve">第8章</w:t>
              </w:r>
            </w:hyperlink>
          </w:p>
        </w:tc>
      </w:tr>
      <w:tr>
        <w:tc>
          <w:tcPr/>
          <w:p>
            <w:pPr>
              <w:pStyle w:val="Compact"/>
              <w:jc w:val="left"/>
            </w:pPr>
            <w:r>
              <w:t xml:space="preserve">药物效价与效能</w:t>
            </w:r>
          </w:p>
        </w:tc>
        <w:tc>
          <w:tcPr/>
          <w:p>
            <w:pPr>
              <w:pStyle w:val="Compact"/>
              <w:jc w:val="left"/>
            </w:pPr>
            <w:r>
              <w:t xml:space="preserve">效价描述达到指定效应需要的剂量或浓度；效能描述在给定系统中可达到的效应。两者均受测量条件影响，效价较高不自动表示临床获益较大。</w:t>
            </w:r>
          </w:p>
        </w:tc>
        <w:tc>
          <w:tcPr/>
          <w:p>
            <w:pPr>
              <w:pStyle w:val="Compact"/>
              <w:jc w:val="left"/>
            </w:pPr>
            <w:hyperlink w:anchor="ch-8">
              <w:r>
                <w:rPr>
                  <w:rStyle w:val="Hyperlink"/>
                </w:rPr>
                <w:t xml:space="preserve">第8章</w:t>
              </w:r>
            </w:hyperlink>
            <w:r>
              <w:t xml:space="preserve">、</w:t>
            </w:r>
            <w:hyperlink w:anchor="ch-9">
              <w:r>
                <w:rPr>
                  <w:rStyle w:val="Hyperlink"/>
                </w:rPr>
                <w:t xml:space="preserve">第9章</w:t>
              </w:r>
            </w:hyperlink>
          </w:p>
        </w:tc>
      </w:tr>
      <w:tr>
        <w:tc>
          <w:tcPr/>
          <w:p>
            <w:pPr>
              <w:pStyle w:val="Compact"/>
              <w:jc w:val="left"/>
            </w:pPr>
            <w:r>
              <w:t xml:space="preserve">药代动力学与药效动力学</w:t>
            </w:r>
          </w:p>
        </w:tc>
        <w:tc>
          <w:tcPr/>
          <w:p>
            <w:pPr>
              <w:pStyle w:val="Compact"/>
              <w:jc w:val="left"/>
            </w:pPr>
            <w:r>
              <w:t xml:space="preserve">前者研究药物在体内吸收、分布、代谢与排泄的过程，后者研究暴露与生物效应的关系。血液浓度、脑内游离暴露和临床结局属于不同测量层次。</w:t>
            </w:r>
          </w:p>
        </w:tc>
        <w:tc>
          <w:tcPr/>
          <w:p>
            <w:pPr>
              <w:pStyle w:val="Compact"/>
              <w:jc w:val="left"/>
            </w:pPr>
            <w:hyperlink w:anchor="ch-8">
              <w:r>
                <w:rPr>
                  <w:rStyle w:val="Hyperlink"/>
                </w:rPr>
                <w:t xml:space="preserve">第8章</w:t>
              </w:r>
            </w:hyperlink>
            <w:r>
              <w:t xml:space="preserve">、</w:t>
            </w:r>
            <w:hyperlink w:anchor="ch-9">
              <w:r>
                <w:rPr>
                  <w:rStyle w:val="Hyperlink"/>
                </w:rPr>
                <w:t xml:space="preserve">第9章</w:t>
              </w:r>
            </w:hyperlink>
          </w:p>
        </w:tc>
      </w:tr>
      <w:tr>
        <w:tc>
          <w:tcPr/>
          <w:p>
            <w:pPr>
              <w:pStyle w:val="Compact"/>
              <w:jc w:val="left"/>
            </w:pPr>
            <w:r>
              <w:t xml:space="preserve">耐受与生理依赖</w:t>
            </w:r>
          </w:p>
        </w:tc>
        <w:tc>
          <w:tcPr/>
          <w:p>
            <w:pPr>
              <w:pStyle w:val="Compact"/>
              <w:jc w:val="left"/>
            </w:pPr>
            <w:r>
              <w:t xml:space="preserve">耐受指重复暴露后同等暴露的某些效应减弱；生理依赖指适应性变化使减量或停用可能出现撤药反应。它们与成瘾的行为和功能损害标准需分别判断。</w:t>
            </w:r>
          </w:p>
        </w:tc>
        <w:tc>
          <w:tcPr/>
          <w:p>
            <w:pPr>
              <w:pStyle w:val="Compact"/>
              <w:jc w:val="left"/>
            </w:pPr>
            <w:hyperlink w:anchor="ch-134">
              <w:r>
                <w:rPr>
                  <w:rStyle w:val="Hyperlink"/>
                </w:rPr>
                <w:t xml:space="preserve">第134章</w:t>
              </w:r>
            </w:hyperlink>
            <w:r>
              <w:t xml:space="preserve">、</w:t>
            </w:r>
            <w:hyperlink w:anchor="ch-9">
              <w:r>
                <w:rPr>
                  <w:rStyle w:val="Hyperlink"/>
                </w:rPr>
                <w:t xml:space="preserve">第9章</w:t>
              </w:r>
            </w:hyperlink>
          </w:p>
        </w:tc>
      </w:tr>
      <w:tr>
        <w:tc>
          <w:tcPr/>
          <w:p>
            <w:pPr>
              <w:pStyle w:val="Compact"/>
              <w:jc w:val="left"/>
            </w:pPr>
            <w:r>
              <w:t xml:space="preserve">神经调质</w:t>
            </w:r>
          </w:p>
        </w:tc>
        <w:tc>
          <w:tcPr/>
          <w:p>
            <w:pPr>
              <w:pStyle w:val="Compact"/>
              <w:jc w:val="left"/>
            </w:pPr>
            <w:r>
              <w:t xml:space="preserve">通过受体和局部回路状态影响兴奋性、突触传递、可塑性及行为过程的信号分子；同一分子可以具有多种时空作用。</w:t>
            </w:r>
          </w:p>
        </w:tc>
        <w:tc>
          <w:tcPr/>
          <w:p>
            <w:pPr>
              <w:pStyle w:val="Compact"/>
              <w:jc w:val="left"/>
            </w:pPr>
            <w:hyperlink w:anchor="ch-8">
              <w:r>
                <w:rPr>
                  <w:rStyle w:val="Hyperlink"/>
                </w:rPr>
                <w:t xml:space="preserve">第8章</w:t>
              </w:r>
            </w:hyperlink>
            <w:r>
              <w:t xml:space="preserve">、</w:t>
            </w:r>
            <w:hyperlink w:anchor="ch-95">
              <w:r>
                <w:rPr>
                  <w:rStyle w:val="Hyperlink"/>
                </w:rPr>
                <w:t xml:space="preserve">第95章</w:t>
              </w:r>
            </w:hyperlink>
            <w:r>
              <w:t xml:space="preserve">、</w:t>
            </w:r>
            <w:hyperlink w:anchor="ch-96">
              <w:r>
                <w:rPr>
                  <w:rStyle w:val="Hyperlink"/>
                </w:rPr>
                <w:t xml:space="preserve">第96章</w:t>
              </w:r>
            </w:hyperlink>
          </w:p>
        </w:tc>
      </w:tr>
      <w:tr>
        <w:tc>
          <w:tcPr/>
          <w:p>
            <w:pPr>
              <w:pStyle w:val="Compact"/>
              <w:jc w:val="left"/>
            </w:pPr>
            <w:r>
              <w:t xml:space="preserve">星形胶质细胞</w:t>
            </w:r>
          </w:p>
        </w:tc>
        <w:tc>
          <w:tcPr/>
          <w:p>
            <w:pPr>
              <w:pStyle w:val="Compact"/>
              <w:jc w:val="left"/>
            </w:pPr>
            <w:r>
              <w:t xml:space="preserve">参与离子与递质稳态、代谢支持及血管和突触环境调节的胶质细胞；功能需要按细胞状态与实验条件具体界定。</w:t>
            </w:r>
          </w:p>
        </w:tc>
        <w:tc>
          <w:tcPr/>
          <w:p>
            <w:pPr>
              <w:pStyle w:val="Compact"/>
              <w:jc w:val="left"/>
            </w:pPr>
            <w:hyperlink w:anchor="ch-10">
              <w:r>
                <w:rPr>
                  <w:rStyle w:val="Hyperlink"/>
                </w:rPr>
                <w:t xml:space="preserve">第10章</w:t>
              </w:r>
            </w:hyperlink>
            <w:r>
              <w:t xml:space="preserve">、</w:t>
            </w:r>
            <w:hyperlink w:anchor="ch-12">
              <w:r>
                <w:rPr>
                  <w:rStyle w:val="Hyperlink"/>
                </w:rPr>
                <w:t xml:space="preserve">第12章</w:t>
              </w:r>
            </w:hyperlink>
          </w:p>
        </w:tc>
      </w:tr>
      <w:tr>
        <w:tc>
          <w:tcPr/>
          <w:p>
            <w:pPr>
              <w:pStyle w:val="Compact"/>
              <w:jc w:val="left"/>
            </w:pPr>
            <w:r>
              <w:t xml:space="preserve">小胶质细胞</w:t>
            </w:r>
          </w:p>
        </w:tc>
        <w:tc>
          <w:tcPr/>
          <w:p>
            <w:pPr>
              <w:pStyle w:val="Compact"/>
              <w:jc w:val="left"/>
            </w:pPr>
            <w:r>
              <w:t xml:space="preserve">中枢神经系统中的驻留髓系免疫细胞，参与监视、清除和组织响应；简单的好坏二分难以描述其状态与功能。</w:t>
            </w:r>
          </w:p>
        </w:tc>
        <w:tc>
          <w:tcPr/>
          <w:p>
            <w:pPr>
              <w:pStyle w:val="Compact"/>
              <w:jc w:val="left"/>
            </w:pPr>
            <w:hyperlink w:anchor="ch-10">
              <w:r>
                <w:rPr>
                  <w:rStyle w:val="Hyperlink"/>
                </w:rPr>
                <w:t xml:space="preserve">第10章</w:t>
              </w:r>
            </w:hyperlink>
            <w:r>
              <w:t xml:space="preserve">、</w:t>
            </w:r>
            <w:hyperlink w:anchor="ch-14">
              <w:r>
                <w:rPr>
                  <w:rStyle w:val="Hyperlink"/>
                </w:rPr>
                <w:t xml:space="preserve">第14章</w:t>
              </w:r>
            </w:hyperlink>
          </w:p>
        </w:tc>
      </w:tr>
      <w:tr>
        <w:tc>
          <w:tcPr/>
          <w:p>
            <w:pPr>
              <w:pStyle w:val="Compact"/>
              <w:jc w:val="left"/>
            </w:pPr>
            <w:r>
              <w:t xml:space="preserve">少突胶质细胞</w:t>
            </w:r>
          </w:p>
        </w:tc>
        <w:tc>
          <w:tcPr/>
          <w:p>
            <w:pPr>
              <w:pStyle w:val="Compact"/>
              <w:jc w:val="left"/>
            </w:pPr>
            <w:r>
              <w:t xml:space="preserve">中枢神经系统中形成髓鞘并支持轴突功能的胶质细胞。其生成、分化、存活和髓鞘更新具有不同时间过程。</w:t>
            </w:r>
          </w:p>
        </w:tc>
        <w:tc>
          <w:tcPr/>
          <w:p>
            <w:pPr>
              <w:pStyle w:val="Compact"/>
              <w:jc w:val="left"/>
            </w:pPr>
            <w:hyperlink w:anchor="ch-10">
              <w:r>
                <w:rPr>
                  <w:rStyle w:val="Hyperlink"/>
                </w:rPr>
                <w:t xml:space="preserve">第10章</w:t>
              </w:r>
            </w:hyperlink>
            <w:r>
              <w:t xml:space="preserve">、</w:t>
            </w:r>
            <w:hyperlink w:anchor="ch-11">
              <w:r>
                <w:rPr>
                  <w:rStyle w:val="Hyperlink"/>
                </w:rPr>
                <w:t xml:space="preserve">第11章</w:t>
              </w:r>
            </w:hyperlink>
          </w:p>
        </w:tc>
      </w:tr>
      <w:tr>
        <w:tc>
          <w:tcPr/>
          <w:p>
            <w:pPr>
              <w:pStyle w:val="Compact"/>
              <w:jc w:val="left"/>
            </w:pPr>
            <w:r>
              <w:t xml:space="preserve">髓鞘</w:t>
            </w:r>
          </w:p>
        </w:tc>
        <w:tc>
          <w:tcPr/>
          <w:p>
            <w:pPr>
              <w:pStyle w:val="Compact"/>
              <w:jc w:val="left"/>
            </w:pPr>
            <w:r>
              <w:t xml:space="preserve">围绕部分轴突形成的特化膜结构，影响传导和轴突代谢支持；功能取决于髓鞘、郎飞结、轴径与完整通路。</w:t>
            </w:r>
          </w:p>
        </w:tc>
        <w:tc>
          <w:tcPr/>
          <w:p>
            <w:pPr>
              <w:pStyle w:val="Compact"/>
              <w:jc w:val="left"/>
            </w:pPr>
            <w:hyperlink w:anchor="ch-11">
              <w:r>
                <w:rPr>
                  <w:rStyle w:val="Hyperlink"/>
                </w:rPr>
                <w:t xml:space="preserve">第11章</w:t>
              </w:r>
            </w:hyperlink>
          </w:p>
        </w:tc>
      </w:tr>
      <w:tr>
        <w:tc>
          <w:tcPr/>
          <w:p>
            <w:pPr>
              <w:pStyle w:val="Compact"/>
              <w:jc w:val="left"/>
            </w:pPr>
            <w:r>
              <w:t xml:space="preserve">血脑屏障</w:t>
            </w:r>
          </w:p>
        </w:tc>
        <w:tc>
          <w:tcPr/>
          <w:p>
            <w:pPr>
              <w:pStyle w:val="Compact"/>
              <w:jc w:val="left"/>
            </w:pPr>
            <w:r>
              <w:t xml:space="preserve">由脑微血管内皮的特化性质及其细胞环境共同维持的选择性交换系统。屏障的多种运输路径不能压缩成统一的开关。</w:t>
            </w:r>
          </w:p>
        </w:tc>
        <w:tc>
          <w:tcPr/>
          <w:p>
            <w:pPr>
              <w:pStyle w:val="Compact"/>
              <w:jc w:val="left"/>
            </w:pPr>
            <w:hyperlink w:anchor="ch-12">
              <w:r>
                <w:rPr>
                  <w:rStyle w:val="Hyperlink"/>
                </w:rPr>
                <w:t xml:space="preserve">第12章</w:t>
              </w:r>
            </w:hyperlink>
            <w:r>
              <w:t xml:space="preserve">、</w:t>
            </w:r>
            <w:hyperlink w:anchor="ch-94">
              <w:r>
                <w:rPr>
                  <w:rStyle w:val="Hyperlink"/>
                </w:rPr>
                <w:t xml:space="preserve">第94章</w:t>
              </w:r>
            </w:hyperlink>
          </w:p>
        </w:tc>
      </w:tr>
      <w:tr>
        <w:tc>
          <w:tcPr/>
          <w:p>
            <w:pPr>
              <w:pStyle w:val="Compact"/>
              <w:jc w:val="left"/>
            </w:pPr>
            <w:r>
              <w:t xml:space="preserve">神经血管耦合</w:t>
            </w:r>
          </w:p>
        </w:tc>
        <w:tc>
          <w:tcPr/>
          <w:p>
            <w:pPr>
              <w:pStyle w:val="Compact"/>
              <w:jc w:val="left"/>
            </w:pPr>
            <w:r>
              <w:t xml:space="preserve">神经活动与局部血流、血容量及氧代谢之间的动态联系；耦合关系会随血管、组织、药物和生理状态改变。</w:t>
            </w:r>
          </w:p>
        </w:tc>
        <w:tc>
          <w:tcPr/>
          <w:p>
            <w:pPr>
              <w:pStyle w:val="Compact"/>
              <w:jc w:val="left"/>
            </w:pPr>
            <w:hyperlink w:anchor="ch-12">
              <w:r>
                <w:rPr>
                  <w:rStyle w:val="Hyperlink"/>
                </w:rPr>
                <w:t xml:space="preserve">第12章</w:t>
              </w:r>
            </w:hyperlink>
            <w:r>
              <w:t xml:space="preserve">、</w:t>
            </w:r>
            <w:hyperlink w:anchor="ch-61">
              <w:r>
                <w:rPr>
                  <w:rStyle w:val="Hyperlink"/>
                </w:rPr>
                <w:t xml:space="preserve">第61章</w:t>
              </w:r>
            </w:hyperlink>
          </w:p>
        </w:tc>
      </w:tr>
      <w:tr>
        <w:tc>
          <w:tcPr/>
          <w:p>
            <w:pPr>
              <w:pStyle w:val="Compact"/>
              <w:jc w:val="left"/>
            </w:pPr>
            <w:r>
              <w:t xml:space="preserve">同源与趋同</w:t>
            </w:r>
          </w:p>
        </w:tc>
        <w:tc>
          <w:tcPr/>
          <w:p>
            <w:pPr>
              <w:pStyle w:val="Compact"/>
              <w:jc w:val="left"/>
            </w:pPr>
            <w:r>
              <w:t xml:space="preserve">同源强调共同祖先所建立的对应；趋同强调不同演化路径产生的相似性。功能相似本身不足以证明结构同源。</w:t>
            </w:r>
          </w:p>
        </w:tc>
        <w:tc>
          <w:tcPr/>
          <w:p>
            <w:pPr>
              <w:pStyle w:val="Compact"/>
              <w:jc w:val="left"/>
            </w:pPr>
            <w:hyperlink w:anchor="ch-3">
              <w:r>
                <w:rPr>
                  <w:rStyle w:val="Hyperlink"/>
                </w:rPr>
                <w:t xml:space="preserve">第3章</w:t>
              </w:r>
            </w:hyperlink>
            <w:r>
              <w:t xml:space="preserve">、</w:t>
            </w:r>
            <w:hyperlink w:anchor="ch-72">
              <w:r>
                <w:rPr>
                  <w:rStyle w:val="Hyperlink"/>
                </w:rPr>
                <w:t xml:space="preserve">第72章</w:t>
              </w:r>
            </w:hyperlink>
          </w:p>
        </w:tc>
      </w:tr>
      <w:tr>
        <w:tc>
          <w:tcPr/>
          <w:p>
            <w:pPr>
              <w:pStyle w:val="Compact"/>
              <w:jc w:val="left"/>
            </w:pPr>
            <w:r>
              <w:t xml:space="preserve">细胞类型与细胞状态</w:t>
            </w:r>
          </w:p>
        </w:tc>
        <w:tc>
          <w:tcPr/>
          <w:p>
            <w:pPr>
              <w:pStyle w:val="Compact"/>
              <w:jc w:val="left"/>
            </w:pPr>
            <w:r>
              <w:t xml:space="preserve">细胞类型概括较稳定的分子、形态与生理特征组合；细胞状态反映活动、发育、应激或疾病等条件下的变化。具体分类边界依赖所用证据。</w:t>
            </w:r>
          </w:p>
        </w:tc>
        <w:tc>
          <w:tcPr/>
          <w:p>
            <w:pPr>
              <w:pStyle w:val="Compact"/>
              <w:jc w:val="left"/>
            </w:pPr>
            <w:hyperlink w:anchor="ch-18">
              <w:r>
                <w:rPr>
                  <w:rStyle w:val="Hyperlink"/>
                </w:rPr>
                <w:t xml:space="preserve">第18章</w:t>
              </w:r>
            </w:hyperlink>
          </w:p>
        </w:tc>
      </w:tr>
      <w:tr>
        <w:tc>
          <w:tcPr/>
          <w:p>
            <w:pPr>
              <w:pStyle w:val="Compact"/>
              <w:jc w:val="left"/>
            </w:pPr>
            <w:r>
              <w:t xml:space="preserve">连接组</w:t>
            </w:r>
          </w:p>
        </w:tc>
        <w:tc>
          <w:tcPr/>
          <w:p>
            <w:pPr>
              <w:pStyle w:val="Compact"/>
              <w:jc w:val="left"/>
            </w:pPr>
            <w:r>
              <w:t xml:space="preserve">对规定组织范围内连接关系的系统描述。突触结构的存在不直接给出该连接在所有状态下的有效强度、信息内容或行为作用。</w:t>
            </w:r>
          </w:p>
        </w:tc>
        <w:tc>
          <w:tcPr/>
          <w:p>
            <w:pPr>
              <w:pStyle w:val="Compact"/>
              <w:jc w:val="left"/>
            </w:pPr>
            <w:hyperlink w:anchor="ch-19">
              <w:r>
                <w:rPr>
                  <w:rStyle w:val="Hyperlink"/>
                </w:rPr>
                <w:t xml:space="preserve">第19章</w:t>
              </w:r>
            </w:hyperlink>
          </w:p>
        </w:tc>
      </w:tr>
      <w:tr>
        <w:tc>
          <w:tcPr/>
          <w:p>
            <w:pPr>
              <w:pStyle w:val="Compact"/>
              <w:jc w:val="left"/>
            </w:pPr>
            <w:r>
              <w:t xml:space="preserve">半球侧化</w:t>
            </w:r>
          </w:p>
        </w:tc>
        <w:tc>
          <w:tcPr/>
          <w:p>
            <w:pPr>
              <w:pStyle w:val="Compact"/>
              <w:jc w:val="left"/>
            </w:pPr>
            <w:r>
              <w:t xml:space="preserve">某些结构或加工过程在两半球间存在相对不对称。群体侧化、个人差异和左右脑人格分类具有不同证据要求。</w:t>
            </w:r>
          </w:p>
        </w:tc>
        <w:tc>
          <w:tcPr/>
          <w:p>
            <w:pPr>
              <w:pStyle w:val="Compact"/>
              <w:jc w:val="left"/>
            </w:pPr>
            <w:hyperlink w:anchor="ch-73">
              <w:r>
                <w:rPr>
                  <w:rStyle w:val="Hyperlink"/>
                </w:rPr>
                <w:t xml:space="preserve">第73章</w:t>
              </w:r>
            </w:hyperlink>
          </w:p>
        </w:tc>
      </w:tr>
      <w:tr>
        <w:tc>
          <w:tcPr/>
          <w:p>
            <w:pPr>
              <w:pStyle w:val="Compact"/>
              <w:jc w:val="left"/>
            </w:pPr>
            <w:r>
              <w:t xml:space="preserve">感觉转导</w:t>
            </w:r>
          </w:p>
        </w:tc>
        <w:tc>
          <w:tcPr/>
          <w:p>
            <w:pPr>
              <w:pStyle w:val="Compact"/>
              <w:jc w:val="left"/>
            </w:pPr>
            <w:r>
              <w:t xml:space="preserve">感受器把光、机械、化学或其他刺激转换为细胞信号的过程；随后还要经过适应、回路加工和行为相关读取。</w:t>
            </w:r>
          </w:p>
        </w:tc>
        <w:tc>
          <w:tcPr/>
          <w:p>
            <w:pPr>
              <w:pStyle w:val="Compact"/>
              <w:jc w:val="left"/>
            </w:pPr>
            <w:hyperlink w:anchor="ch-15">
              <w:r>
                <w:rPr>
                  <w:rStyle w:val="Hyperlink"/>
                </w:rPr>
                <w:t xml:space="preserve">第15章</w:t>
              </w:r>
            </w:hyperlink>
          </w:p>
        </w:tc>
      </w:tr>
      <w:tr>
        <w:tc>
          <w:tcPr/>
          <w:p>
            <w:pPr>
              <w:pStyle w:val="Compact"/>
              <w:jc w:val="left"/>
            </w:pPr>
            <w:r>
              <w:t xml:space="preserve">内感受</w:t>
            </w:r>
          </w:p>
        </w:tc>
        <w:tc>
          <w:tcPr/>
          <w:p>
            <w:pPr>
              <w:pStyle w:val="Compact"/>
              <w:jc w:val="left"/>
            </w:pPr>
            <w:r>
              <w:t xml:space="preserve">对身体内部状态的感觉、神经表征与相关调节过程，涉及多条外周和中枢通路；主观感受与生理状态的准确性需要分别测量。</w:t>
            </w:r>
          </w:p>
        </w:tc>
        <w:tc>
          <w:tcPr/>
          <w:p>
            <w:pPr>
              <w:pStyle w:val="Compact"/>
              <w:jc w:val="left"/>
            </w:pPr>
            <w:hyperlink w:anchor="ch-46">
              <w:r>
                <w:rPr>
                  <w:rStyle w:val="Hyperlink"/>
                </w:rPr>
                <w:t xml:space="preserve">第46章</w:t>
              </w:r>
            </w:hyperlink>
            <w:r>
              <w:t xml:space="preserve">、</w:t>
            </w:r>
            <w:hyperlink w:anchor="ch-104">
              <w:r>
                <w:rPr>
                  <w:rStyle w:val="Hyperlink"/>
                </w:rPr>
                <w:t xml:space="preserve">第104章</w:t>
              </w:r>
            </w:hyperlink>
            <w:r>
              <w:t xml:space="preserve">、</w:t>
            </w:r>
            <w:hyperlink w:anchor="ch-113">
              <w:r>
                <w:rPr>
                  <w:rStyle w:val="Hyperlink"/>
                </w:rPr>
                <w:t xml:space="preserve">第113章</w:t>
              </w:r>
            </w:hyperlink>
          </w:p>
        </w:tc>
      </w:tr>
      <w:tr>
        <w:tc>
          <w:tcPr/>
          <w:p>
            <w:pPr>
              <w:pStyle w:val="Compact"/>
              <w:jc w:val="left"/>
            </w:pPr>
            <w:r>
              <w:t xml:space="preserve">心率变异性（HRV）</w:t>
            </w:r>
          </w:p>
        </w:tc>
        <w:tc>
          <w:tcPr/>
          <w:p>
            <w:pPr>
              <w:pStyle w:val="Compact"/>
              <w:jc w:val="left"/>
            </w:pPr>
            <w:r>
              <w:t xml:space="preserve">相邻心跳间隔的波动。随呼吸起伏的成分在相当程度上反映迷走神经对心脏的调节，同时受呼吸频率和深度影响，只是近似指标；低频与高频功率之比不能读作“交感与副交感的平衡”。</w:t>
            </w:r>
          </w:p>
        </w:tc>
        <w:tc>
          <w:tcPr/>
          <w:p>
            <w:pPr>
              <w:pStyle w:val="Compact"/>
              <w:jc w:val="left"/>
            </w:pPr>
            <w:hyperlink w:anchor="ch-104">
              <w:r>
                <w:rPr>
                  <w:rStyle w:val="Hyperlink"/>
                </w:rPr>
                <w:t xml:space="preserve">第104章</w:t>
              </w:r>
            </w:hyperlink>
          </w:p>
        </w:tc>
      </w:tr>
      <w:tr>
        <w:tc>
          <w:tcPr/>
          <w:p>
            <w:pPr>
              <w:pStyle w:val="Compact"/>
              <w:jc w:val="left"/>
            </w:pPr>
            <w:r>
              <w:t xml:space="preserve">感觉适应与习惯化</w:t>
            </w:r>
          </w:p>
        </w:tc>
        <w:tc>
          <w:tcPr/>
          <w:p>
            <w:pPr>
              <w:pStyle w:val="Compact"/>
              <w:jc w:val="left"/>
            </w:pPr>
            <w:r>
              <w:t xml:space="preserve">感觉适应涉及感觉系统对持续或重复输入的响应变化；习惯化是对重复刺激反应减弱的一类学习现象。具体实验需排除疲劳与感觉器官变化等解释。</w:t>
            </w:r>
          </w:p>
        </w:tc>
        <w:tc>
          <w:tcPr/>
          <w:p>
            <w:pPr>
              <w:pStyle w:val="Compact"/>
              <w:jc w:val="left"/>
            </w:pPr>
            <w:hyperlink w:anchor="ch-15">
              <w:r>
                <w:rPr>
                  <w:rStyle w:val="Hyperlink"/>
                </w:rPr>
                <w:t xml:space="preserve">第15章</w:t>
              </w:r>
            </w:hyperlink>
            <w:r>
              <w:t xml:space="preserve">、</w:t>
            </w:r>
            <w:hyperlink w:anchor="ch-135">
              <w:r>
                <w:rPr>
                  <w:rStyle w:val="Hyperlink"/>
                </w:rPr>
                <w:t xml:space="preserve">第135章</w:t>
              </w:r>
            </w:hyperlink>
          </w:p>
        </w:tc>
      </w:tr>
      <w:tr>
        <w:tc>
          <w:tcPr/>
          <w:p>
            <w:pPr>
              <w:pStyle w:val="Compact"/>
              <w:jc w:val="left"/>
            </w:pPr>
            <w:r>
              <w:t xml:space="preserve">运动单位</w:t>
            </w:r>
          </w:p>
        </w:tc>
        <w:tc>
          <w:tcPr/>
          <w:p>
            <w:pPr>
              <w:pStyle w:val="Compact"/>
              <w:jc w:val="left"/>
            </w:pPr>
            <w:r>
              <w:t xml:space="preserve">一个运动神经元及其支配的肌纤维构成的功能单位；力量和动作控制还依赖单位募集、放电时序和感觉反馈。</w:t>
            </w:r>
          </w:p>
        </w:tc>
        <w:tc>
          <w:tcPr/>
          <w:p>
            <w:pPr>
              <w:pStyle w:val="Compact"/>
              <w:jc w:val="left"/>
            </w:pPr>
            <w:hyperlink w:anchor="ch-16">
              <w:r>
                <w:rPr>
                  <w:rStyle w:val="Hyperlink"/>
                </w:rPr>
                <w:t xml:space="preserve">第16章</w:t>
              </w:r>
            </w:hyperlink>
          </w:p>
        </w:tc>
      </w:tr>
      <w:tr>
        <w:tc>
          <w:tcPr/>
          <w:p>
            <w:pPr>
              <w:pStyle w:val="Compact"/>
              <w:jc w:val="left"/>
            </w:pPr>
            <w:r>
              <w:t xml:space="preserve">奖赏预测误差</w:t>
            </w:r>
          </w:p>
        </w:tc>
        <w:tc>
          <w:tcPr/>
          <w:p>
            <w:pPr>
              <w:pStyle w:val="Compact"/>
              <w:jc w:val="left"/>
            </w:pPr>
            <w:r>
              <w:t xml:space="preserve">在明确的学习模型中，结果与预测之间的差异或相应的时间差分信号。多巴胺响应的全部变化不能都据此命名。</w:t>
            </w:r>
          </w:p>
        </w:tc>
        <w:tc>
          <w:tcPr/>
          <w:p>
            <w:pPr>
              <w:pStyle w:val="Compact"/>
              <w:jc w:val="left"/>
            </w:pPr>
            <w:hyperlink w:anchor="ch-95">
              <w:r>
                <w:rPr>
                  <w:rStyle w:val="Hyperlink"/>
                </w:rPr>
                <w:t xml:space="preserve">第95章</w:t>
              </w:r>
            </w:hyperlink>
            <w:r>
              <w:t xml:space="preserve">、</w:t>
            </w:r>
            <w:hyperlink w:anchor="ch-151">
              <w:r>
                <w:rPr>
                  <w:rStyle w:val="Hyperlink"/>
                </w:rPr>
                <w:t xml:space="preserve">第151章</w:t>
              </w:r>
            </w:hyperlink>
          </w:p>
        </w:tc>
      </w:tr>
      <w:tr>
        <w:tc>
          <w:tcPr/>
          <w:p>
            <w:pPr>
              <w:pStyle w:val="Compact"/>
              <w:jc w:val="left"/>
            </w:pPr>
            <w:r>
              <w:t xml:space="preserve">时间差分误差</w:t>
            </w:r>
          </w:p>
        </w:tc>
        <w:tc>
          <w:tcPr/>
          <w:p>
            <w:pPr>
              <w:pStyle w:val="Compact"/>
              <w:jc w:val="left"/>
            </w:pPr>
            <w:r>
              <w:t xml:space="preserve">在强化学习模型中，用当前奖励与后继状态的折扣价值，减去当前价值估计所形成的更新信号；其解释取决于状态表示和模型假设。</w:t>
            </w:r>
          </w:p>
        </w:tc>
        <w:tc>
          <w:tcPr/>
          <w:p>
            <w:pPr>
              <w:pStyle w:val="Compact"/>
              <w:jc w:val="left"/>
            </w:pPr>
            <w:hyperlink w:anchor="ch-45">
              <w:r>
                <w:rPr>
                  <w:rStyle w:val="Hyperlink"/>
                </w:rPr>
                <w:t xml:space="preserve">第45章</w:t>
              </w:r>
            </w:hyperlink>
          </w:p>
        </w:tc>
      </w:tr>
      <w:tr>
        <w:tc>
          <w:tcPr/>
          <w:p>
            <w:pPr>
              <w:pStyle w:val="Compact"/>
              <w:jc w:val="left"/>
            </w:pPr>
            <w:r>
              <w:t xml:space="preserve">基于模型与无模型学习</w:t>
            </w:r>
          </w:p>
        </w:tc>
        <w:tc>
          <w:tcPr/>
          <w:p>
            <w:pPr>
              <w:pStyle w:val="Compact"/>
              <w:jc w:val="left"/>
            </w:pPr>
            <w:r>
              <w:t xml:space="preserve">基于模型的控制利用环境转移或结果结构进行推演；无模型学习可直接更新价值或策略。真实行为可混合使用多种机制，任务指标也可能存在替代解释。</w:t>
            </w:r>
          </w:p>
        </w:tc>
        <w:tc>
          <w:tcPr/>
          <w:p>
            <w:pPr>
              <w:pStyle w:val="Compact"/>
              <w:jc w:val="left"/>
            </w:pPr>
            <w:hyperlink w:anchor="ch-45">
              <w:r>
                <w:rPr>
                  <w:rStyle w:val="Hyperlink"/>
                </w:rPr>
                <w:t xml:space="preserve">第45章</w:t>
              </w:r>
            </w:hyperlink>
          </w:p>
        </w:tc>
      </w:tr>
      <w:tr>
        <w:tc>
          <w:tcPr/>
          <w:p>
            <w:pPr>
              <w:pStyle w:val="Compact"/>
              <w:jc w:val="left"/>
            </w:pPr>
            <w:r>
              <w:t xml:space="preserve">预测编码</w:t>
            </w:r>
          </w:p>
        </w:tc>
        <w:tc>
          <w:tcPr/>
          <w:p>
            <w:pPr>
              <w:pStyle w:val="Compact"/>
              <w:jc w:val="left"/>
            </w:pPr>
            <w:r>
              <w:t xml:space="preserve">一类用预测与输入之间的差异组织信息处理的模型家族。观察到预测相关现象，与确定某套误差信号回路或统一计算算法，所需证据不同。</w:t>
            </w:r>
          </w:p>
        </w:tc>
        <w:tc>
          <w:tcPr/>
          <w:p>
            <w:pPr>
              <w:pStyle w:val="Compact"/>
              <w:jc w:val="left"/>
            </w:pPr>
            <w:hyperlink w:anchor="ch-38">
              <w:r>
                <w:rPr>
                  <w:rStyle w:val="Hyperlink"/>
                </w:rPr>
                <w:t xml:space="preserve">第38章</w:t>
              </w:r>
            </w:hyperlink>
          </w:p>
        </w:tc>
      </w:tr>
      <w:tr>
        <w:tc>
          <w:tcPr/>
          <w:p>
            <w:pPr>
              <w:pStyle w:val="Compact"/>
              <w:jc w:val="left"/>
            </w:pPr>
            <w:r>
              <w:t xml:space="preserve">应激轴</w:t>
            </w:r>
          </w:p>
        </w:tc>
        <w:tc>
          <w:tcPr/>
          <w:p>
            <w:pPr>
              <w:pStyle w:val="Compact"/>
              <w:jc w:val="left"/>
            </w:pPr>
            <w:r>
              <w:t xml:space="preserve">下丘脑、垂体与肾上腺等组成的内分泌调节系统；节律、脉冲、负反馈与情境共同决定可观察的激素曲线。</w:t>
            </w:r>
          </w:p>
        </w:tc>
        <w:tc>
          <w:tcPr/>
          <w:p>
            <w:pPr>
              <w:pStyle w:val="Compact"/>
              <w:jc w:val="left"/>
            </w:pPr>
            <w:hyperlink w:anchor="ch-99">
              <w:r>
                <w:rPr>
                  <w:rStyle w:val="Hyperlink"/>
                </w:rPr>
                <w:t xml:space="preserve">第99章</w:t>
              </w:r>
            </w:hyperlink>
            <w:r>
              <w:t xml:space="preserve">、</w:t>
            </w:r>
            <w:hyperlink w:anchor="ch-101">
              <w:r>
                <w:rPr>
                  <w:rStyle w:val="Hyperlink"/>
                </w:rPr>
                <w:t xml:space="preserve">第101章</w:t>
              </w:r>
            </w:hyperlink>
          </w:p>
        </w:tc>
      </w:tr>
      <w:tr>
        <w:tc>
          <w:tcPr/>
          <w:p>
            <w:pPr>
              <w:pStyle w:val="Compact"/>
              <w:jc w:val="left"/>
            </w:pPr>
            <w:r>
              <w:t xml:space="preserve">脑肠轴</w:t>
            </w:r>
          </w:p>
        </w:tc>
        <w:tc>
          <w:tcPr/>
          <w:p>
            <w:pPr>
              <w:pStyle w:val="Compact"/>
              <w:jc w:val="left"/>
            </w:pPr>
            <w:r>
              <w:t xml:space="preserve">脑与胃肠系统经神经、内分泌、免疫和代谢等通路形成的双向联系。机制存在与某一种产品有效是不同命题。</w:t>
            </w:r>
          </w:p>
        </w:tc>
        <w:tc>
          <w:tcPr/>
          <w:p>
            <w:pPr>
              <w:pStyle w:val="Compact"/>
              <w:jc w:val="left"/>
            </w:pPr>
            <w:hyperlink w:anchor="ch-105">
              <w:r>
                <w:rPr>
                  <w:rStyle w:val="Hyperlink"/>
                </w:rPr>
                <w:t xml:space="preserve">第105章</w:t>
              </w:r>
            </w:hyperlink>
          </w:p>
        </w:tc>
      </w:tr>
      <w:tr>
        <w:tc>
          <w:tcPr/>
          <w:p>
            <w:pPr>
              <w:pStyle w:val="Compact"/>
              <w:jc w:val="left"/>
            </w:pPr>
            <w:r>
              <w:t xml:space="preserve">LTP与LTD</w:t>
            </w:r>
          </w:p>
        </w:tc>
        <w:tc>
          <w:tcPr/>
          <w:p>
            <w:pPr>
              <w:pStyle w:val="Compact"/>
              <w:jc w:val="left"/>
            </w:pPr>
            <w:r>
              <w:t xml:space="preserve">长时程增强与长时程抑制，指特定条件下突触传递持续增强或减弱；具体机制依赖突触、诱导方式与测量尺度。</w:t>
            </w:r>
          </w:p>
        </w:tc>
        <w:tc>
          <w:tcPr/>
          <w:p>
            <w:pPr>
              <w:pStyle w:val="Compact"/>
              <w:jc w:val="left"/>
            </w:pPr>
            <w:hyperlink w:anchor="ch-7">
              <w:r>
                <w:rPr>
                  <w:rStyle w:val="Hyperlink"/>
                </w:rPr>
                <w:t xml:space="preserve">第7章</w:t>
              </w:r>
            </w:hyperlink>
            <w:r>
              <w:t xml:space="preserve">、</w:t>
            </w:r>
            <w:hyperlink w:anchor="ch-24">
              <w:r>
                <w:rPr>
                  <w:rStyle w:val="Hyperlink"/>
                </w:rPr>
                <w:t xml:space="preserve">第24章</w:t>
              </w:r>
            </w:hyperlink>
          </w:p>
        </w:tc>
      </w:tr>
      <w:tr>
        <w:tc>
          <w:tcPr/>
          <w:p>
            <w:pPr>
              <w:pStyle w:val="Compact"/>
              <w:jc w:val="left"/>
            </w:pPr>
            <w:r>
              <w:t xml:space="preserve">稳态可塑性</w:t>
            </w:r>
          </w:p>
        </w:tc>
        <w:tc>
          <w:tcPr/>
          <w:p>
            <w:pPr>
              <w:pStyle w:val="Compact"/>
              <w:jc w:val="left"/>
            </w:pPr>
            <w:r>
              <w:t xml:space="preserve">帮助神经活动或回路功能维持在可用范围内的适应过程；与联结特异性变化可以同时存在并相互制约。</w:t>
            </w:r>
          </w:p>
        </w:tc>
        <w:tc>
          <w:tcPr/>
          <w:p>
            <w:pPr>
              <w:pStyle w:val="Compact"/>
              <w:jc w:val="left"/>
            </w:pPr>
            <w:hyperlink w:anchor="ch-7">
              <w:r>
                <w:rPr>
                  <w:rStyle w:val="Hyperlink"/>
                </w:rPr>
                <w:t xml:space="preserve">第7章</w:t>
              </w:r>
            </w:hyperlink>
            <w:r>
              <w:t xml:space="preserve">、</w:t>
            </w:r>
            <w:hyperlink w:anchor="ch-21">
              <w:r>
                <w:rPr>
                  <w:rStyle w:val="Hyperlink"/>
                </w:rPr>
                <w:t xml:space="preserve">第21章</w:t>
              </w:r>
            </w:hyperlink>
            <w:r>
              <w:t xml:space="preserve">、</w:t>
            </w:r>
            <w:hyperlink w:anchor="ch-24">
              <w:r>
                <w:rPr>
                  <w:rStyle w:val="Hyperlink"/>
                </w:rPr>
                <w:t xml:space="preserve">第24章</w:t>
              </w:r>
            </w:hyperlink>
          </w:p>
        </w:tc>
      </w:tr>
      <w:tr>
        <w:tc>
          <w:tcPr/>
          <w:p>
            <w:pPr>
              <w:pStyle w:val="Compact"/>
              <w:jc w:val="left"/>
            </w:pPr>
            <w:r>
              <w:t xml:space="preserve">关键期与敏感期</w:t>
            </w:r>
          </w:p>
        </w:tc>
        <w:tc>
          <w:tcPr/>
          <w:p>
            <w:pPr>
              <w:pStyle w:val="Compact"/>
              <w:jc w:val="left"/>
            </w:pPr>
            <w:r>
              <w:t xml:space="preserve">发展中某类经验具有特殊影响的时间窗口；必须说明功能、经验和结果。不同用法对窗口关闭后的可恢复性要求不同。</w:t>
            </w:r>
          </w:p>
        </w:tc>
        <w:tc>
          <w:tcPr/>
          <w:p>
            <w:pPr>
              <w:pStyle w:val="Compact"/>
              <w:jc w:val="left"/>
            </w:pPr>
            <w:hyperlink w:anchor="ch-22">
              <w:r>
                <w:rPr>
                  <w:rStyle w:val="Hyperlink"/>
                </w:rPr>
                <w:t xml:space="preserve">第22章</w:t>
              </w:r>
            </w:hyperlink>
            <w:r>
              <w:t xml:space="preserve">、</w:t>
            </w:r>
            <w:hyperlink w:anchor="ch-122">
              <w:r>
                <w:rPr>
                  <w:rStyle w:val="Hyperlink"/>
                </w:rPr>
                <w:t xml:space="preserve">第122章</w:t>
              </w:r>
            </w:hyperlink>
          </w:p>
        </w:tc>
      </w:tr>
      <w:tr>
        <w:tc>
          <w:tcPr/>
          <w:p>
            <w:pPr>
              <w:pStyle w:val="Compact"/>
              <w:jc w:val="left"/>
            </w:pPr>
            <w:r>
              <w:t xml:space="preserve">情景与语义记忆</w:t>
            </w:r>
          </w:p>
        </w:tc>
        <w:tc>
          <w:tcPr/>
          <w:p>
            <w:pPr>
              <w:pStyle w:val="Compact"/>
              <w:jc w:val="left"/>
            </w:pPr>
            <w:r>
              <w:t xml:space="preserve">情景记忆涉及事件及其时空情境，语义记忆涉及知识与概念；两者相互作用，实验上的区分依赖具体任务。</w:t>
            </w:r>
          </w:p>
        </w:tc>
        <w:tc>
          <w:tcPr/>
          <w:p>
            <w:pPr>
              <w:pStyle w:val="Compact"/>
              <w:jc w:val="left"/>
            </w:pPr>
            <w:hyperlink w:anchor="ch-25">
              <w:r>
                <w:rPr>
                  <w:rStyle w:val="Hyperlink"/>
                </w:rPr>
                <w:t xml:space="preserve">第25章</w:t>
              </w:r>
            </w:hyperlink>
            <w:r>
              <w:t xml:space="preserve">、</w:t>
            </w:r>
            <w:hyperlink w:anchor="ch-26">
              <w:r>
                <w:rPr>
                  <w:rStyle w:val="Hyperlink"/>
                </w:rPr>
                <w:t xml:space="preserve">第26章</w:t>
              </w:r>
            </w:hyperlink>
          </w:p>
        </w:tc>
      </w:tr>
      <w:tr>
        <w:tc>
          <w:tcPr/>
          <w:p>
            <w:pPr>
              <w:pStyle w:val="Compact"/>
              <w:jc w:val="left"/>
            </w:pPr>
            <w:r>
              <w:t xml:space="preserve">工作记忆</w:t>
            </w:r>
          </w:p>
        </w:tc>
        <w:tc>
          <w:tcPr/>
          <w:p>
            <w:pPr>
              <w:pStyle w:val="Compact"/>
              <w:jc w:val="left"/>
            </w:pPr>
            <w:r>
              <w:t xml:space="preserve">为当前任务维持和操作信息的一组过程。容量估计受到材料、知识、策略、干扰和任务定义影响。</w:t>
            </w:r>
          </w:p>
        </w:tc>
        <w:tc>
          <w:tcPr/>
          <w:p>
            <w:pPr>
              <w:pStyle w:val="Compact"/>
              <w:jc w:val="left"/>
            </w:pPr>
            <w:hyperlink w:anchor="ch-35">
              <w:r>
                <w:rPr>
                  <w:rStyle w:val="Hyperlink"/>
                </w:rPr>
                <w:t xml:space="preserve">第35章</w:t>
              </w:r>
            </w:hyperlink>
            <w:r>
              <w:t xml:space="preserve">、</w:t>
            </w:r>
            <w:hyperlink w:anchor="ch-37">
              <w:r>
                <w:rPr>
                  <w:rStyle w:val="Hyperlink"/>
                </w:rPr>
                <w:t xml:space="preserve">第37章</w:t>
              </w:r>
            </w:hyperlink>
          </w:p>
        </w:tc>
      </w:tr>
      <w:tr>
        <w:tc>
          <w:tcPr/>
          <w:p>
            <w:pPr>
              <w:pStyle w:val="Compact"/>
              <w:jc w:val="left"/>
            </w:pPr>
            <w:r>
              <w:t xml:space="preserve">认知地图</w:t>
            </w:r>
          </w:p>
        </w:tc>
        <w:tc>
          <w:tcPr/>
          <w:p>
            <w:pPr>
              <w:pStyle w:val="Compact"/>
              <w:jc w:val="left"/>
            </w:pPr>
            <w:r>
              <w:t xml:space="preserve">对位置、关系或任务结构的内部表征。空间导航和抽象关系学习之间存在研究联系，是否共享同一实现机制需具体检验。</w:t>
            </w:r>
          </w:p>
        </w:tc>
        <w:tc>
          <w:tcPr/>
          <w:p>
            <w:pPr>
              <w:pStyle w:val="Compact"/>
              <w:jc w:val="left"/>
            </w:pPr>
            <w:hyperlink w:anchor="ch-44">
              <w:r>
                <w:rPr>
                  <w:rStyle w:val="Hyperlink"/>
                </w:rPr>
                <w:t xml:space="preserve">第44章</w:t>
              </w:r>
            </w:hyperlink>
          </w:p>
        </w:tc>
      </w:tr>
      <w:tr>
        <w:tc>
          <w:tcPr/>
          <w:p>
            <w:pPr>
              <w:pStyle w:val="Compact"/>
              <w:jc w:val="left"/>
            </w:pPr>
            <w:r>
              <w:t xml:space="preserve">心理理论</w:t>
            </w:r>
          </w:p>
        </w:tc>
        <w:tc>
          <w:tcPr/>
          <w:p>
            <w:pPr>
              <w:pStyle w:val="Compact"/>
              <w:jc w:val="left"/>
            </w:pPr>
            <w:r>
              <w:t xml:space="preserve">对他人的知识、信念、意图等心理状态进行推断的一组能力与任务概念。成功表现也受语言、记忆、情境和任务要求影响。</w:t>
            </w:r>
          </w:p>
        </w:tc>
        <w:tc>
          <w:tcPr/>
          <w:p>
            <w:pPr>
              <w:pStyle w:val="Compact"/>
              <w:jc w:val="left"/>
            </w:pPr>
            <w:hyperlink w:anchor="ch-75">
              <w:r>
                <w:rPr>
                  <w:rStyle w:val="Hyperlink"/>
                </w:rPr>
                <w:t xml:space="preserve">第75章</w:t>
              </w:r>
            </w:hyperlink>
            <w:r>
              <w:t xml:space="preserve">、</w:t>
            </w:r>
            <w:hyperlink w:anchor="ch-44">
              <w:r>
                <w:rPr>
                  <w:rStyle w:val="Hyperlink"/>
                </w:rPr>
                <w:t xml:space="preserve">第44章</w:t>
              </w:r>
            </w:hyperlink>
          </w:p>
        </w:tc>
      </w:tr>
      <w:tr>
        <w:tc>
          <w:tcPr/>
          <w:p>
            <w:pPr>
              <w:pStyle w:val="Compact"/>
              <w:jc w:val="left"/>
            </w:pPr>
            <w:r>
              <w:t xml:space="preserve">巩固与再巩固</w:t>
            </w:r>
          </w:p>
        </w:tc>
        <w:tc>
          <w:tcPr/>
          <w:p>
            <w:pPr>
              <w:pStyle w:val="Compact"/>
              <w:jc w:val="left"/>
            </w:pPr>
            <w:r>
              <w:t xml:space="preserve">巩固涉及记忆随时间稳定与重组；再巩固是某些条件下重新激活的记忆失稳后再次稳定的过程。更新可伴随发生，提取并不必然触发再巩固。</w:t>
            </w:r>
          </w:p>
        </w:tc>
        <w:tc>
          <w:tcPr/>
          <w:p>
            <w:pPr>
              <w:pStyle w:val="Compact"/>
              <w:jc w:val="left"/>
            </w:pPr>
            <w:hyperlink w:anchor="ch-49">
              <w:r>
                <w:rPr>
                  <w:rStyle w:val="Hyperlink"/>
                </w:rPr>
                <w:t xml:space="preserve">第49章</w:t>
              </w:r>
            </w:hyperlink>
            <w:r>
              <w:t xml:space="preserve">、</w:t>
            </w:r>
            <w:hyperlink w:anchor="ch-28">
              <w:r>
                <w:rPr>
                  <w:rStyle w:val="Hyperlink"/>
                </w:rPr>
                <w:t xml:space="preserve">第28章</w:t>
              </w:r>
            </w:hyperlink>
            <w:r>
              <w:t xml:space="preserve">、</w:t>
            </w:r>
            <w:hyperlink w:anchor="ch-25">
              <w:r>
                <w:rPr>
                  <w:rStyle w:val="Hyperlink"/>
                </w:rPr>
                <w:t xml:space="preserve">第25章</w:t>
              </w:r>
            </w:hyperlink>
          </w:p>
        </w:tc>
      </w:tr>
      <w:tr>
        <w:tc>
          <w:tcPr/>
          <w:p>
            <w:pPr>
              <w:pStyle w:val="Compact"/>
              <w:jc w:val="left"/>
            </w:pPr>
            <w:r>
              <w:t xml:space="preserve">提取练习</w:t>
            </w:r>
          </w:p>
        </w:tc>
        <w:tc>
          <w:tcPr/>
          <w:p>
            <w:pPr>
              <w:pStyle w:val="Compact"/>
              <w:jc w:val="left"/>
            </w:pPr>
            <w:r>
              <w:t xml:space="preserve">通过回忆或使用已学知识进行练习。其收益取决于提取成功、反馈、延迟、材料与后续测试之间的关系。</w:t>
            </w:r>
          </w:p>
        </w:tc>
        <w:tc>
          <w:tcPr/>
          <w:p>
            <w:pPr>
              <w:pStyle w:val="Compact"/>
              <w:jc w:val="left"/>
            </w:pPr>
            <w:hyperlink w:anchor="ch-31">
              <w:r>
                <w:rPr>
                  <w:rStyle w:val="Hyperlink"/>
                </w:rPr>
                <w:t xml:space="preserve">第31章</w:t>
              </w:r>
            </w:hyperlink>
          </w:p>
        </w:tc>
      </w:tr>
      <w:tr>
        <w:tc>
          <w:tcPr/>
          <w:p>
            <w:pPr>
              <w:pStyle w:val="Compact"/>
              <w:jc w:val="left"/>
            </w:pPr>
            <w:r>
              <w:t xml:space="preserve">间隔与交错</w:t>
            </w:r>
          </w:p>
        </w:tc>
        <w:tc>
          <w:tcPr/>
          <w:p>
            <w:pPr>
              <w:pStyle w:val="Compact"/>
              <w:jc w:val="left"/>
            </w:pPr>
            <w:r>
              <w:t xml:space="preserve">间隔改变练习之间的时间安排；交错改变练习类别的排列。两者可以组合，作用机制和合适条件需要分别判断。</w:t>
            </w:r>
          </w:p>
        </w:tc>
        <w:tc>
          <w:tcPr/>
          <w:p>
            <w:pPr>
              <w:pStyle w:val="Compact"/>
              <w:jc w:val="left"/>
            </w:pPr>
            <w:hyperlink w:anchor="ch-32">
              <w:r>
                <w:rPr>
                  <w:rStyle w:val="Hyperlink"/>
                </w:rPr>
                <w:t xml:space="preserve">第32章</w:t>
              </w:r>
            </w:hyperlink>
          </w:p>
        </w:tc>
      </w:tr>
      <w:tr>
        <w:tc>
          <w:tcPr/>
          <w:p>
            <w:pPr>
              <w:pStyle w:val="Compact"/>
              <w:jc w:val="left"/>
            </w:pPr>
            <w:r>
              <w:t xml:space="preserve">认知负荷</w:t>
            </w:r>
          </w:p>
        </w:tc>
        <w:tc>
          <w:tcPr/>
          <w:p>
            <w:pPr>
              <w:pStyle w:val="Compact"/>
              <w:jc w:val="left"/>
            </w:pPr>
            <w:r>
              <w:t xml:space="preserve">任务与学习者现有知识共同决定的加工要求。负荷分类属于解释框架，需要与可观测表现及多种测量相互校验。</w:t>
            </w:r>
          </w:p>
        </w:tc>
        <w:tc>
          <w:tcPr/>
          <w:p>
            <w:pPr>
              <w:pStyle w:val="Compact"/>
              <w:jc w:val="left"/>
            </w:pPr>
            <w:hyperlink w:anchor="ch-33">
              <w:r>
                <w:rPr>
                  <w:rStyle w:val="Hyperlink"/>
                </w:rPr>
                <w:t xml:space="preserve">第33章</w:t>
              </w:r>
            </w:hyperlink>
          </w:p>
        </w:tc>
      </w:tr>
      <w:tr>
        <w:tc>
          <w:tcPr/>
          <w:p>
            <w:pPr>
              <w:pStyle w:val="Compact"/>
              <w:jc w:val="left"/>
            </w:pPr>
            <w:r>
              <w:t xml:space="preserve">元认知</w:t>
            </w:r>
          </w:p>
        </w:tc>
        <w:tc>
          <w:tcPr/>
          <w:p>
            <w:pPr>
              <w:pStyle w:val="Compact"/>
              <w:jc w:val="left"/>
            </w:pPr>
            <w:r>
              <w:t xml:space="preserve">对自身认知过程的监测与调节。平均自信、区分正确与错误的能力，以及依据判断调整学习的能力并不相同。</w:t>
            </w:r>
          </w:p>
        </w:tc>
        <w:tc>
          <w:tcPr/>
          <w:p>
            <w:pPr>
              <w:pStyle w:val="Compact"/>
              <w:jc w:val="left"/>
            </w:pPr>
            <w:hyperlink w:anchor="ch-34">
              <w:r>
                <w:rPr>
                  <w:rStyle w:val="Hyperlink"/>
                </w:rPr>
                <w:t xml:space="preserve">第34章</w:t>
              </w:r>
            </w:hyperlink>
            <w:r>
              <w:t xml:space="preserve">、</w:t>
            </w:r>
            <w:hyperlink w:anchor="ch-27">
              <w:r>
                <w:rPr>
                  <w:rStyle w:val="Hyperlink"/>
                </w:rPr>
                <w:t xml:space="preserve">第27章</w:t>
              </w:r>
            </w:hyperlink>
          </w:p>
        </w:tc>
      </w:tr>
      <w:tr>
        <w:tc>
          <w:tcPr/>
          <w:p>
            <w:pPr>
              <w:pStyle w:val="Compact"/>
              <w:jc w:val="left"/>
            </w:pPr>
            <w:r>
              <w:t xml:space="preserve">近迁移与远迁移</w:t>
            </w:r>
          </w:p>
        </w:tc>
        <w:tc>
          <w:tcPr/>
          <w:p>
            <w:pPr>
              <w:pStyle w:val="Compact"/>
              <w:jc w:val="left"/>
            </w:pPr>
            <w:r>
              <w:t xml:space="preserve">学习收益转移到相近或差异较大任务的描述。距离必须按材料、规则、情境和能力要求操作化。</w:t>
            </w:r>
          </w:p>
        </w:tc>
        <w:tc>
          <w:tcPr/>
          <w:p>
            <w:pPr>
              <w:pStyle w:val="Compact"/>
              <w:jc w:val="left"/>
            </w:pPr>
            <w:hyperlink w:anchor="ch-85">
              <w:r>
                <w:rPr>
                  <w:rStyle w:val="Hyperlink"/>
                </w:rPr>
                <w:t xml:space="preserve">第85章</w:t>
              </w:r>
            </w:hyperlink>
            <w:r>
              <w:t xml:space="preserve">、</w:t>
            </w:r>
            <w:hyperlink w:anchor="ch-31">
              <w:r>
                <w:rPr>
                  <w:rStyle w:val="Hyperlink"/>
                </w:rPr>
                <w:t xml:space="preserve">第31章</w:t>
              </w:r>
            </w:hyperlink>
          </w:p>
        </w:tc>
      </w:tr>
      <w:tr>
        <w:tc>
          <w:tcPr/>
          <w:p>
            <w:pPr>
              <w:pStyle w:val="Compact"/>
              <w:jc w:val="left"/>
            </w:pPr>
            <w:r>
              <w:t xml:space="preserve">来源监测</w:t>
            </w:r>
          </w:p>
        </w:tc>
        <w:tc>
          <w:tcPr/>
          <w:p>
            <w:pPr>
              <w:pStyle w:val="Compact"/>
              <w:jc w:val="left"/>
            </w:pPr>
            <w:r>
              <w:t xml:space="preserve">判断某项记忆来自亲历、想象、转述或其他来源的过程；内容鲜明度与来源正确性可以分离。</w:t>
            </w:r>
          </w:p>
        </w:tc>
        <w:tc>
          <w:tcPr/>
          <w:p>
            <w:pPr>
              <w:pStyle w:val="Compact"/>
              <w:jc w:val="left"/>
            </w:pPr>
            <w:hyperlink w:anchor="ch-26">
              <w:r>
                <w:rPr>
                  <w:rStyle w:val="Hyperlink"/>
                </w:rPr>
                <w:t xml:space="preserve">第26章</w:t>
              </w:r>
            </w:hyperlink>
            <w:r>
              <w:t xml:space="preserve">、</w:t>
            </w:r>
            <w:hyperlink w:anchor="ch-27">
              <w:r>
                <w:rPr>
                  <w:rStyle w:val="Hyperlink"/>
                </w:rPr>
                <w:t xml:space="preserve">第27章</w:t>
              </w:r>
            </w:hyperlink>
            <w:r>
              <w:t xml:space="preserve">、</w:t>
            </w:r>
            <w:hyperlink w:anchor="ch-29">
              <w:r>
                <w:rPr>
                  <w:rStyle w:val="Hyperlink"/>
                </w:rPr>
                <w:t xml:space="preserve">第29章</w:t>
              </w:r>
            </w:hyperlink>
          </w:p>
        </w:tc>
      </w:tr>
      <w:tr>
        <w:tc>
          <w:tcPr/>
          <w:p>
            <w:pPr>
              <w:pStyle w:val="Compact"/>
              <w:jc w:val="left"/>
            </w:pPr>
            <w:r>
              <w:t xml:space="preserve">记忆表象</w:t>
            </w:r>
          </w:p>
        </w:tc>
        <w:tc>
          <w:tcPr/>
          <w:p>
            <w:pPr>
              <w:pStyle w:val="Compact"/>
              <w:jc w:val="left"/>
            </w:pPr>
            <w:r>
              <w:t xml:space="preserve">在缺少相应外部刺激时形成的感官样体验；表象鲜明、记忆准确和知识可用性需要分别评价。</w:t>
            </w:r>
          </w:p>
        </w:tc>
        <w:tc>
          <w:tcPr/>
          <w:p>
            <w:pPr>
              <w:pStyle w:val="Compact"/>
              <w:jc w:val="left"/>
            </w:pPr>
            <w:hyperlink w:anchor="ch-30">
              <w:r>
                <w:rPr>
                  <w:rStyle w:val="Hyperlink"/>
                </w:rPr>
                <w:t xml:space="preserve">第30章</w:t>
              </w:r>
            </w:hyperlink>
          </w:p>
        </w:tc>
      </w:tr>
      <w:tr>
        <w:tc>
          <w:tcPr/>
          <w:p>
            <w:pPr>
              <w:pStyle w:val="Compact"/>
              <w:jc w:val="left"/>
            </w:pPr>
            <w:r>
              <w:t xml:space="preserve">注意与觉醒</w:t>
            </w:r>
          </w:p>
        </w:tc>
        <w:tc>
          <w:tcPr/>
          <w:p>
            <w:pPr>
              <w:pStyle w:val="Compact"/>
              <w:jc w:val="left"/>
            </w:pPr>
            <w:r>
              <w:t xml:space="preserve">注意涉及对信息和行动的选择；觉醒涉及状态与反应准备。两者相互作用，无法由单一任务或频段完整代表。</w:t>
            </w:r>
          </w:p>
        </w:tc>
        <w:tc>
          <w:tcPr/>
          <w:p>
            <w:pPr>
              <w:pStyle w:val="Compact"/>
              <w:jc w:val="left"/>
            </w:pPr>
            <w:hyperlink w:anchor="ch-36">
              <w:r>
                <w:rPr>
                  <w:rStyle w:val="Hyperlink"/>
                </w:rPr>
                <w:t xml:space="preserve">第36章</w:t>
              </w:r>
            </w:hyperlink>
            <w:r>
              <w:t xml:space="preserve">、</w:t>
            </w:r>
            <w:hyperlink w:anchor="ch-52">
              <w:r>
                <w:rPr>
                  <w:rStyle w:val="Hyperlink"/>
                </w:rPr>
                <w:t xml:space="preserve">第52章</w:t>
              </w:r>
            </w:hyperlink>
            <w:r>
              <w:t xml:space="preserve">、</w:t>
            </w:r>
            <w:hyperlink w:anchor="ch-48">
              <w:r>
                <w:rPr>
                  <w:rStyle w:val="Hyperlink"/>
                </w:rPr>
                <w:t xml:space="preserve">第48章</w:t>
              </w:r>
            </w:hyperlink>
          </w:p>
        </w:tc>
      </w:tr>
      <w:tr>
        <w:tc>
          <w:tcPr/>
          <w:p>
            <w:pPr>
              <w:pStyle w:val="Compact"/>
              <w:jc w:val="left"/>
            </w:pPr>
            <w:r>
              <w:t xml:space="preserve">默认模式网络</w:t>
            </w:r>
          </w:p>
        </w:tc>
        <w:tc>
          <w:tcPr/>
          <w:p>
            <w:pPr>
              <w:pStyle w:val="Compact"/>
              <w:jc w:val="left"/>
            </w:pPr>
            <w:r>
              <w:t xml:space="preserve">一组在执行外部任务时活动反而降低的区域，核心节点包括内侧前额叶、后扣带回与楔前叶、角回、外侧颞叶和海马结构，参与回忆、想象未来和理解他人。</w:t>
            </w:r>
          </w:p>
        </w:tc>
        <w:tc>
          <w:tcPr/>
          <w:p>
            <w:pPr>
              <w:pStyle w:val="Compact"/>
              <w:jc w:val="left"/>
            </w:pPr>
            <w:hyperlink w:anchor="ch-93">
              <w:r>
                <w:rPr>
                  <w:rStyle w:val="Hyperlink"/>
                </w:rPr>
                <w:t xml:space="preserve">第93章</w:t>
              </w:r>
            </w:hyperlink>
          </w:p>
        </w:tc>
      </w:tr>
      <w:tr>
        <w:tc>
          <w:tcPr/>
          <w:p>
            <w:pPr>
              <w:pStyle w:val="Compact"/>
              <w:jc w:val="left"/>
            </w:pPr>
            <w:r>
              <w:t xml:space="preserve">突显网络</w:t>
            </w:r>
          </w:p>
        </w:tc>
        <w:tc>
          <w:tcPr/>
          <w:p>
            <w:pPr>
              <w:pStyle w:val="Compact"/>
              <w:jc w:val="left"/>
            </w:pPr>
            <w:r>
              <w:t xml:space="preserve">以前岛叶和背侧前扣带为核心的网络，参与判断哪些信号值得注意，并与网络之间的切换有关。</w:t>
            </w:r>
          </w:p>
        </w:tc>
        <w:tc>
          <w:tcPr/>
          <w:p>
            <w:pPr>
              <w:pStyle w:val="Compact"/>
              <w:jc w:val="left"/>
            </w:pPr>
            <w:hyperlink w:anchor="ch-93">
              <w:r>
                <w:rPr>
                  <w:rStyle w:val="Hyperlink"/>
                </w:rPr>
                <w:t xml:space="preserve">第93章</w:t>
              </w:r>
            </w:hyperlink>
          </w:p>
        </w:tc>
      </w:tr>
      <w:tr>
        <w:tc>
          <w:tcPr/>
          <w:p>
            <w:pPr>
              <w:pStyle w:val="Compact"/>
              <w:jc w:val="left"/>
            </w:pPr>
            <w:r>
              <w:t xml:space="preserve">额顶控制网络</w:t>
            </w:r>
          </w:p>
        </w:tc>
        <w:tc>
          <w:tcPr/>
          <w:p>
            <w:pPr>
              <w:pStyle w:val="Compact"/>
              <w:jc w:val="left"/>
            </w:pPr>
            <w:r>
              <w:t xml:space="preserve">以外侧前额叶、前扣带和顶下小叶为核心的网络，参与维持任务目标和灵活调整控制；不同分区方案对前扣带的归属不一。</w:t>
            </w:r>
          </w:p>
        </w:tc>
        <w:tc>
          <w:tcPr/>
          <w:p>
            <w:pPr>
              <w:pStyle w:val="Compact"/>
              <w:jc w:val="left"/>
            </w:pPr>
            <w:hyperlink w:anchor="ch-93">
              <w:r>
                <w:rPr>
                  <w:rStyle w:val="Hyperlink"/>
                </w:rPr>
                <w:t xml:space="preserve">第93章</w:t>
              </w:r>
            </w:hyperlink>
          </w:p>
        </w:tc>
      </w:tr>
      <w:tr>
        <w:tc>
          <w:tcPr/>
          <w:p>
            <w:pPr>
              <w:pStyle w:val="Compact"/>
              <w:jc w:val="left"/>
            </w:pPr>
            <w:r>
              <w:t xml:space="preserve">经验取样</w:t>
            </w:r>
          </w:p>
        </w:tc>
        <w:tc>
          <w:tcPr/>
          <w:p>
            <w:pPr>
              <w:pStyle w:val="Compact"/>
              <w:jc w:val="left"/>
            </w:pPr>
            <w:r>
              <w:t xml:space="preserve">在日常生活或实验任务中按随机或预定的时刻提示受试者，报告当下在做什么、想什么和感受如何的方法；结果对应的是被抽到并得到回答的时刻。</w:t>
            </w:r>
          </w:p>
        </w:tc>
        <w:tc>
          <w:tcPr/>
          <w:p>
            <w:pPr>
              <w:pStyle w:val="Compact"/>
              <w:jc w:val="left"/>
            </w:pPr>
            <w:hyperlink w:anchor="ch-36">
              <w:r>
                <w:rPr>
                  <w:rStyle w:val="Hyperlink"/>
                </w:rPr>
                <w:t xml:space="preserve">第36章</w:t>
              </w:r>
            </w:hyperlink>
          </w:p>
        </w:tc>
      </w:tr>
      <w:tr>
        <w:tc>
          <w:tcPr/>
          <w:p>
            <w:pPr>
              <w:pStyle w:val="Compact"/>
              <w:jc w:val="left"/>
            </w:pPr>
            <w:r>
              <w:t xml:space="preserve">遗传率</w:t>
            </w:r>
          </w:p>
        </w:tc>
        <w:tc>
          <w:tcPr/>
          <w:p>
            <w:pPr>
              <w:pStyle w:val="Compact"/>
              <w:jc w:val="left"/>
            </w:pPr>
            <w:r>
              <w:t xml:space="preserve">在规定人群、环境和模型下，表型差异中可由遗传差异解释的比例参数；不能用它分配某一个人的遗传成分。</w:t>
            </w:r>
          </w:p>
        </w:tc>
        <w:tc>
          <w:tcPr/>
          <w:p>
            <w:pPr>
              <w:pStyle w:val="Compact"/>
              <w:jc w:val="left"/>
            </w:pPr>
            <w:hyperlink w:anchor="ch-125">
              <w:r>
                <w:rPr>
                  <w:rStyle w:val="Hyperlink"/>
                </w:rPr>
                <w:t xml:space="preserve">第125章</w:t>
              </w:r>
            </w:hyperlink>
          </w:p>
        </w:tc>
      </w:tr>
      <w:tr>
        <w:tc>
          <w:tcPr/>
          <w:p>
            <w:pPr>
              <w:pStyle w:val="Compact"/>
              <w:jc w:val="left"/>
            </w:pPr>
            <w:r>
              <w:t xml:space="preserve">神经发生</w:t>
            </w:r>
          </w:p>
        </w:tc>
        <w:tc>
          <w:tcPr/>
          <w:p>
            <w:pPr>
              <w:pStyle w:val="Compact"/>
              <w:jc w:val="left"/>
            </w:pPr>
            <w:r>
              <w:t xml:space="preserve">产生新神经元并经过存活、分化与整合等阶段的过程。增殖标志、未成熟标志和成熟功能整合提供不同层次的证据。</w:t>
            </w:r>
          </w:p>
        </w:tc>
        <w:tc>
          <w:tcPr/>
          <w:p>
            <w:pPr>
              <w:pStyle w:val="Compact"/>
              <w:jc w:val="left"/>
            </w:pPr>
            <w:hyperlink w:anchor="ch-23">
              <w:r>
                <w:rPr>
                  <w:rStyle w:val="Hyperlink"/>
                </w:rPr>
                <w:t xml:space="preserve">第23章</w:t>
              </w:r>
            </w:hyperlink>
          </w:p>
        </w:tc>
      </w:tr>
      <w:tr>
        <w:tc>
          <w:tcPr/>
          <w:p>
            <w:pPr>
              <w:pStyle w:val="Compact"/>
              <w:jc w:val="left"/>
            </w:pPr>
            <w:r>
              <w:t xml:space="preserve">认知储备</w:t>
            </w:r>
          </w:p>
        </w:tc>
        <w:tc>
          <w:tcPr/>
          <w:p>
            <w:pPr>
              <w:pStyle w:val="Compact"/>
              <w:jc w:val="left"/>
            </w:pPr>
            <w:r>
              <w:t xml:space="preserve">用于解释认知表现与脑病理负担关系中个体差异的概念；代理指标、机制假说与可改变的保护效应需要区分。</w:t>
            </w:r>
          </w:p>
        </w:tc>
        <w:tc>
          <w:tcPr/>
          <w:p>
            <w:pPr>
              <w:pStyle w:val="Compact"/>
              <w:jc w:val="left"/>
            </w:pPr>
            <w:hyperlink w:anchor="ch-40">
              <w:r>
                <w:rPr>
                  <w:rStyle w:val="Hyperlink"/>
                </w:rPr>
                <w:t xml:space="preserve">第40章</w:t>
              </w:r>
            </w:hyperlink>
            <w:r>
              <w:t xml:space="preserve">、</w:t>
            </w:r>
            <w:hyperlink w:anchor="ch-138">
              <w:r>
                <w:rPr>
                  <w:rStyle w:val="Hyperlink"/>
                </w:rPr>
                <w:t xml:space="preserve">第138章</w:t>
              </w:r>
            </w:hyperlink>
          </w:p>
        </w:tc>
      </w:tr>
      <w:tr>
        <w:tc>
          <w:tcPr/>
          <w:p>
            <w:pPr>
              <w:pStyle w:val="Compact"/>
              <w:jc w:val="left"/>
            </w:pPr>
            <w:r>
              <w:t xml:space="preserve">神经多样性</w:t>
            </w:r>
          </w:p>
        </w:tc>
        <w:tc>
          <w:tcPr/>
          <w:p>
            <w:pPr>
              <w:pStyle w:val="Compact"/>
              <w:jc w:val="left"/>
            </w:pPr>
            <w:r>
              <w:t xml:space="preserve">描述与讨论神经认知差异的概念和社会框架；同时需要承认个人的支持需求、功能困难和自主目标。</w:t>
            </w:r>
          </w:p>
        </w:tc>
        <w:tc>
          <w:tcPr/>
          <w:p>
            <w:pPr>
              <w:pStyle w:val="Compact"/>
              <w:jc w:val="left"/>
            </w:pPr>
            <w:hyperlink w:anchor="ch-128">
              <w:r>
                <w:rPr>
                  <w:rStyle w:val="Hyperlink"/>
                </w:rPr>
                <w:t xml:space="preserve">第128章</w:t>
              </w:r>
            </w:hyperlink>
          </w:p>
        </w:tc>
      </w:tr>
      <w:tr>
        <w:tc>
          <w:tcPr/>
          <w:p>
            <w:pPr>
              <w:pStyle w:val="Compact"/>
              <w:jc w:val="left"/>
            </w:pPr>
            <w:r>
              <w:t xml:space="preserve">伤害感受与疼痛</w:t>
            </w:r>
          </w:p>
        </w:tc>
        <w:tc>
          <w:tcPr/>
          <w:p>
            <w:pPr>
              <w:pStyle w:val="Compact"/>
              <w:jc w:val="left"/>
            </w:pPr>
            <w:r>
              <w:t xml:space="preserve">伤害感受涉及对实际或潜在组织伤害相关刺激的神经编码；疼痛涉及个人感觉与情绪体验，两者关系需结合情境解释。</w:t>
            </w:r>
          </w:p>
        </w:tc>
        <w:tc>
          <w:tcPr/>
          <w:p>
            <w:pPr>
              <w:pStyle w:val="Compact"/>
              <w:jc w:val="left"/>
            </w:pPr>
            <w:hyperlink w:anchor="ch-135">
              <w:r>
                <w:rPr>
                  <w:rStyle w:val="Hyperlink"/>
                </w:rPr>
                <w:t xml:space="preserve">第135章</w:t>
              </w:r>
            </w:hyperlink>
            <w:r>
              <w:t xml:space="preserve">、</w:t>
            </w:r>
            <w:hyperlink w:anchor="ch-15">
              <w:r>
                <w:rPr>
                  <w:rStyle w:val="Hyperlink"/>
                </w:rPr>
                <w:t xml:space="preserve">第15章</w:t>
              </w:r>
            </w:hyperlink>
          </w:p>
        </w:tc>
      </w:tr>
      <w:tr>
        <w:tc>
          <w:tcPr/>
          <w:p>
            <w:pPr>
              <w:pStyle w:val="Compact"/>
              <w:jc w:val="left"/>
            </w:pPr>
            <w:r>
              <w:t xml:space="preserve">清除与交换</w:t>
            </w:r>
          </w:p>
        </w:tc>
        <w:tc>
          <w:tcPr/>
          <w:p>
            <w:pPr>
              <w:pStyle w:val="Compact"/>
              <w:jc w:val="left"/>
            </w:pPr>
            <w:r>
              <w:t xml:space="preserve">物质在区室间移动属于交换；从所定义系统中净移出才符合相应的清除概念。浓度变化还受到体积和生成量影响。</w:t>
            </w:r>
          </w:p>
        </w:tc>
        <w:tc>
          <w:tcPr/>
          <w:p>
            <w:pPr>
              <w:pStyle w:val="Compact"/>
              <w:jc w:val="left"/>
            </w:pPr>
            <w:hyperlink w:anchor="ch-50">
              <w:r>
                <w:rPr>
                  <w:rStyle w:val="Hyperlink"/>
                </w:rPr>
                <w:t xml:space="preserve">第50章</w:t>
              </w:r>
            </w:hyperlink>
            <w:r>
              <w:t xml:space="preserve">、</w:t>
            </w:r>
            <w:hyperlink w:anchor="ch-12">
              <w:r>
                <w:rPr>
                  <w:rStyle w:val="Hyperlink"/>
                </w:rPr>
                <w:t xml:space="preserve">第12章</w:t>
              </w:r>
            </w:hyperlink>
          </w:p>
        </w:tc>
      </w:tr>
      <w:tr>
        <w:tc>
          <w:tcPr/>
          <w:p>
            <w:pPr>
              <w:pStyle w:val="Compact"/>
              <w:jc w:val="left"/>
            </w:pPr>
            <w:r>
              <w:t xml:space="preserve">睡眠稳态与昼夜节律</w:t>
            </w:r>
          </w:p>
        </w:tc>
        <w:tc>
          <w:tcPr/>
          <w:p>
            <w:pPr>
              <w:pStyle w:val="Compact"/>
              <w:jc w:val="left"/>
            </w:pPr>
            <w:r>
              <w:t xml:space="preserve">睡眠稳态与清醒和睡眠历史相关；昼夜节律由内源振荡系统及光等授时信号共同组织。二者相互作用，影响睡意与睡眠时机。</w:t>
            </w:r>
          </w:p>
        </w:tc>
        <w:tc>
          <w:tcPr/>
          <w:p>
            <w:pPr>
              <w:pStyle w:val="Compact"/>
              <w:jc w:val="left"/>
            </w:pPr>
            <w:hyperlink w:anchor="ch-48">
              <w:r>
                <w:rPr>
                  <w:rStyle w:val="Hyperlink"/>
                </w:rPr>
                <w:t xml:space="preserve">第48章</w:t>
              </w:r>
            </w:hyperlink>
            <w:r>
              <w:t xml:space="preserve">、</w:t>
            </w:r>
            <w:hyperlink w:anchor="ch-137">
              <w:r>
                <w:rPr>
                  <w:rStyle w:val="Hyperlink"/>
                </w:rPr>
                <w:t xml:space="preserve">第137章</w:t>
              </w:r>
            </w:hyperlink>
          </w:p>
        </w:tc>
      </w:tr>
      <w:tr>
        <w:tc>
          <w:tcPr/>
          <w:p>
            <w:pPr>
              <w:pStyle w:val="Compact"/>
              <w:jc w:val="left"/>
            </w:pPr>
            <w:r>
              <w:t xml:space="preserve">阻塞性与中枢性睡眠呼吸暂停</w:t>
            </w:r>
          </w:p>
        </w:tc>
        <w:tc>
          <w:tcPr/>
          <w:p>
            <w:pPr>
              <w:pStyle w:val="Compact"/>
              <w:jc w:val="left"/>
            </w:pPr>
            <w:r>
              <w:t xml:space="preserve">前者主要涉及睡眠中上气道阻塞，后者涉及呼吸驱动暂时不足；两者可以并存，分类与干预证据需要结合具体病理和人群。</w:t>
            </w:r>
          </w:p>
        </w:tc>
        <w:tc>
          <w:tcPr/>
          <w:p>
            <w:pPr>
              <w:pStyle w:val="Compact"/>
              <w:jc w:val="left"/>
            </w:pPr>
            <w:hyperlink w:anchor="ch-137">
              <w:r>
                <w:rPr>
                  <w:rStyle w:val="Hyperlink"/>
                </w:rPr>
                <w:t xml:space="preserve">第137章</w:t>
              </w:r>
            </w:hyperlink>
          </w:p>
        </w:tc>
      </w:tr>
      <w:tr>
        <w:tc>
          <w:tcPr/>
          <w:p>
            <w:pPr>
              <w:pStyle w:val="Compact"/>
              <w:jc w:val="left"/>
            </w:pPr>
            <w:r>
              <w:t xml:space="preserve">生物标志物</w:t>
            </w:r>
          </w:p>
        </w:tc>
        <w:tc>
          <w:tcPr/>
          <w:p>
            <w:pPr>
              <w:pStyle w:val="Compact"/>
              <w:jc w:val="left"/>
            </w:pPr>
            <w:r>
              <w:t xml:space="preserve">作为生物过程、疾病过程或干预响应指标的测量；诊断、预后、预测治疗差异和替代终点具有不同验证任务。</w:t>
            </w:r>
          </w:p>
        </w:tc>
        <w:tc>
          <w:tcPr/>
          <w:p>
            <w:pPr>
              <w:pStyle w:val="Compact"/>
              <w:jc w:val="left"/>
            </w:pPr>
            <w:hyperlink w:anchor="ch-65">
              <w:r>
                <w:rPr>
                  <w:rStyle w:val="Hyperlink"/>
                </w:rPr>
                <w:t xml:space="preserve">第65章</w:t>
              </w:r>
            </w:hyperlink>
            <w:r>
              <w:t xml:space="preserve">、</w:t>
            </w:r>
            <w:hyperlink w:anchor="ch-140">
              <w:r>
                <w:rPr>
                  <w:rStyle w:val="Hyperlink"/>
                </w:rPr>
                <w:t xml:space="preserve">第140章</w:t>
              </w:r>
            </w:hyperlink>
          </w:p>
        </w:tc>
      </w:tr>
      <w:tr>
        <w:tc>
          <w:tcPr/>
          <w:p>
            <w:pPr>
              <w:pStyle w:val="Compact"/>
              <w:jc w:val="left"/>
            </w:pPr>
            <w:r>
              <w:t xml:space="preserve">疾病修饰治疗</w:t>
            </w:r>
          </w:p>
        </w:tc>
        <w:tc>
          <w:tcPr/>
          <w:p>
            <w:pPr>
              <w:pStyle w:val="Compact"/>
              <w:jc w:val="left"/>
            </w:pPr>
            <w:r>
              <w:t xml:space="preserve">旨在改变疾病过程的治疗概念。靶点变化、病理指标变化和患者临床进程变化需要分别建立证据。</w:t>
            </w:r>
          </w:p>
        </w:tc>
        <w:tc>
          <w:tcPr/>
          <w:p>
            <w:pPr>
              <w:pStyle w:val="Compact"/>
              <w:jc w:val="left"/>
            </w:pPr>
            <w:hyperlink w:anchor="ch-140">
              <w:r>
                <w:rPr>
                  <w:rStyle w:val="Hyperlink"/>
                </w:rPr>
                <w:t xml:space="preserve">第140章</w:t>
              </w:r>
            </w:hyperlink>
            <w:r>
              <w:t xml:space="preserve">、</w:t>
            </w:r>
            <w:hyperlink w:anchor="ch-144">
              <w:r>
                <w:rPr>
                  <w:rStyle w:val="Hyperlink"/>
                </w:rPr>
                <w:t xml:space="preserve">第144章</w:t>
              </w:r>
            </w:hyperlink>
          </w:p>
        </w:tc>
      </w:tr>
      <w:tr>
        <w:tc>
          <w:tcPr/>
          <w:p>
            <w:pPr>
              <w:pStyle w:val="Compact"/>
              <w:jc w:val="left"/>
            </w:pPr>
            <w:r>
              <w:t xml:space="preserve">临床终点与替代终点</w:t>
            </w:r>
          </w:p>
        </w:tc>
        <w:tc>
          <w:tcPr/>
          <w:p>
            <w:pPr>
              <w:pStyle w:val="Compact"/>
              <w:jc w:val="left"/>
            </w:pPr>
            <w:r>
              <w:t xml:space="preserve">临床终点直接描述生存、功能或感受等结局；替代终点用另一可测指标代表预期临床获益。指标随干预改善，不能单独完成替代有效性的验证。</w:t>
            </w:r>
          </w:p>
        </w:tc>
        <w:tc>
          <w:tcPr/>
          <w:p>
            <w:pPr>
              <w:pStyle w:val="Compact"/>
              <w:jc w:val="left"/>
            </w:pPr>
            <w:hyperlink w:anchor="ch-140">
              <w:r>
                <w:rPr>
                  <w:rStyle w:val="Hyperlink"/>
                </w:rPr>
                <w:t xml:space="preserve">第140章</w:t>
              </w:r>
            </w:hyperlink>
            <w:r>
              <w:t xml:space="preserve">、</w:t>
            </w:r>
            <w:hyperlink w:anchor="ch-154">
              <w:r>
                <w:rPr>
                  <w:rStyle w:val="Hyperlink"/>
                </w:rPr>
                <w:t xml:space="preserve">第154章</w:t>
              </w:r>
            </w:hyperlink>
          </w:p>
        </w:tc>
      </w:tr>
      <w:tr>
        <w:tc>
          <w:tcPr/>
          <w:p>
            <w:pPr>
              <w:pStyle w:val="Compact"/>
              <w:jc w:val="left"/>
            </w:pPr>
            <w:r>
              <w:t xml:space="preserve">开放延长期</w:t>
            </w:r>
          </w:p>
        </w:tc>
        <w:tc>
          <w:tcPr/>
          <w:p>
            <w:pPr>
              <w:pStyle w:val="Compact"/>
              <w:jc w:val="left"/>
            </w:pPr>
            <w:r>
              <w:t xml:space="preserve">原随机试验之后继续随访或提供治疗的研究阶段，可补充长期信息；治疗交叉、选择性进入、失访和暴露时间差会改变因果比较的条件。</w:t>
            </w:r>
          </w:p>
        </w:tc>
        <w:tc>
          <w:tcPr/>
          <w:p>
            <w:pPr>
              <w:pStyle w:val="Compact"/>
              <w:jc w:val="left"/>
            </w:pPr>
            <w:hyperlink w:anchor="ch-140">
              <w:r>
                <w:rPr>
                  <w:rStyle w:val="Hyperlink"/>
                </w:rPr>
                <w:t xml:space="preserve">第140章</w:t>
              </w:r>
            </w:hyperlink>
            <w:r>
              <w:t xml:space="preserve">、</w:t>
            </w:r>
            <w:hyperlink w:anchor="ch-154">
              <w:r>
                <w:rPr>
                  <w:rStyle w:val="Hyperlink"/>
                </w:rPr>
                <w:t xml:space="preserve">第154章</w:t>
              </w:r>
            </w:hyperlink>
          </w:p>
        </w:tc>
      </w:tr>
      <w:tr>
        <w:tc>
          <w:tcPr/>
          <w:p>
            <w:pPr>
              <w:pStyle w:val="Compact"/>
              <w:jc w:val="left"/>
            </w:pPr>
            <w:r>
              <w:t xml:space="preserve">ARIA</w:t>
            </w:r>
          </w:p>
        </w:tc>
        <w:tc>
          <w:tcPr/>
          <w:p>
            <w:pPr>
              <w:pStyle w:val="Compact"/>
              <w:jc w:val="left"/>
            </w:pPr>
            <w:r>
              <w:t xml:space="preserve">淀粉样蛋白相关影像异常，包括水肿或渗出相关表现及出血相关表现；影像事件、症状严重度和个人风险不能互换。</w:t>
            </w:r>
          </w:p>
        </w:tc>
        <w:tc>
          <w:tcPr/>
          <w:p>
            <w:pPr>
              <w:pStyle w:val="Compact"/>
              <w:jc w:val="left"/>
            </w:pPr>
            <w:hyperlink w:anchor="ch-140">
              <w:r>
                <w:rPr>
                  <w:rStyle w:val="Hyperlink"/>
                </w:rPr>
                <w:t xml:space="preserve">第140章</w:t>
              </w:r>
            </w:hyperlink>
          </w:p>
        </w:tc>
      </w:tr>
      <w:tr>
        <w:tc>
          <w:tcPr/>
          <w:p>
            <w:pPr>
              <w:pStyle w:val="Compact"/>
              <w:jc w:val="left"/>
            </w:pPr>
            <w:r>
              <w:t xml:space="preserve">癫痫发作与癫痫</w:t>
            </w:r>
          </w:p>
        </w:tc>
        <w:tc>
          <w:tcPr/>
          <w:p>
            <w:pPr>
              <w:pStyle w:val="Compact"/>
              <w:jc w:val="left"/>
            </w:pPr>
            <w:r>
              <w:t xml:space="preserve">一次发作是事件，癫痫是按临床定义评估的疾病状态；诱发因素、复发概率及特定综合征会影响诊断判断。</w:t>
            </w:r>
          </w:p>
        </w:tc>
        <w:tc>
          <w:tcPr/>
          <w:p>
            <w:pPr>
              <w:pStyle w:val="Compact"/>
              <w:jc w:val="left"/>
            </w:pPr>
            <w:hyperlink w:anchor="ch-142">
              <w:r>
                <w:rPr>
                  <w:rStyle w:val="Hyperlink"/>
                </w:rPr>
                <w:t xml:space="preserve">第142章</w:t>
              </w:r>
            </w:hyperlink>
          </w:p>
        </w:tc>
      </w:tr>
      <w:tr>
        <w:tc>
          <w:tcPr/>
          <w:p>
            <w:pPr>
              <w:pStyle w:val="Compact"/>
              <w:jc w:val="left"/>
            </w:pPr>
            <w:r>
              <w:t xml:space="preserve">缺血核心与半暗带</w:t>
            </w:r>
          </w:p>
        </w:tc>
        <w:tc>
          <w:tcPr/>
          <w:p>
            <w:pPr>
              <w:pStyle w:val="Compact"/>
              <w:jc w:val="left"/>
            </w:pPr>
            <w:r>
              <w:t xml:space="preserve">在特定时间与测量框架下描述受损组织和可能获益组织的概念；影像估计、真实组织命运和再灌注效果存在条件依赖。</w:t>
            </w:r>
          </w:p>
        </w:tc>
        <w:tc>
          <w:tcPr/>
          <w:p>
            <w:pPr>
              <w:pStyle w:val="Compact"/>
              <w:jc w:val="left"/>
            </w:pPr>
            <w:hyperlink w:anchor="ch-143">
              <w:r>
                <w:rPr>
                  <w:rStyle w:val="Hyperlink"/>
                </w:rPr>
                <w:t xml:space="preserve">第143章</w:t>
              </w:r>
            </w:hyperlink>
          </w:p>
        </w:tc>
      </w:tr>
      <w:tr>
        <w:tc>
          <w:tcPr/>
          <w:p>
            <w:pPr>
              <w:pStyle w:val="Compact"/>
              <w:jc w:val="left"/>
            </w:pPr>
            <w:r>
              <w:t xml:space="preserve">帕金森综合征</w:t>
            </w:r>
          </w:p>
        </w:tc>
        <w:tc>
          <w:tcPr/>
          <w:p>
            <w:pPr>
              <w:pStyle w:val="Compact"/>
              <w:jc w:val="left"/>
            </w:pPr>
            <w:r>
              <w:t xml:space="preserve">由一组运动表现界定的临床综合征；与帕金森病及其他导致相近表现的疾病之间，需要进一步鉴别。</w:t>
            </w:r>
          </w:p>
        </w:tc>
        <w:tc>
          <w:tcPr/>
          <w:p>
            <w:pPr>
              <w:pStyle w:val="Compact"/>
              <w:jc w:val="left"/>
            </w:pPr>
            <w:hyperlink w:anchor="ch-144">
              <w:r>
                <w:rPr>
                  <w:rStyle w:val="Hyperlink"/>
                </w:rPr>
                <w:t xml:space="preserve">第144章</w:t>
              </w:r>
            </w:hyperlink>
          </w:p>
        </w:tc>
      </w:tr>
      <w:tr>
        <w:tc>
          <w:tcPr/>
          <w:p>
            <w:pPr>
              <w:pStyle w:val="Compact"/>
              <w:jc w:val="left"/>
            </w:pPr>
            <w:r>
              <w:t xml:space="preserve">脑震荡</w:t>
            </w:r>
          </w:p>
        </w:tc>
        <w:tc>
          <w:tcPr/>
          <w:p>
            <w:pPr>
              <w:pStyle w:val="Compact"/>
              <w:jc w:val="left"/>
            </w:pPr>
            <w:r>
              <w:t xml:space="preserve">一种脑外伤相关临床状态；常规结构影像正常不能单独排除功能改变，症状持续也不能单独确定某一种组织病理。</w:t>
            </w:r>
          </w:p>
        </w:tc>
        <w:tc>
          <w:tcPr/>
          <w:p>
            <w:pPr>
              <w:pStyle w:val="Compact"/>
              <w:jc w:val="left"/>
            </w:pPr>
            <w:hyperlink w:anchor="ch-145">
              <w:r>
                <w:rPr>
                  <w:rStyle w:val="Hyperlink"/>
                </w:rPr>
                <w:t xml:space="preserve">第145章</w:t>
              </w:r>
            </w:hyperlink>
          </w:p>
        </w:tc>
      </w:tr>
      <w:tr>
        <w:tc>
          <w:tcPr/>
          <w:p>
            <w:pPr>
              <w:pStyle w:val="Compact"/>
              <w:jc w:val="left"/>
            </w:pPr>
            <w:r>
              <w:t xml:space="preserve">失语</w:t>
            </w:r>
          </w:p>
        </w:tc>
        <w:tc>
          <w:tcPr/>
          <w:p>
            <w:pPr>
              <w:pStyle w:val="Compact"/>
              <w:jc w:val="left"/>
            </w:pPr>
            <w:r>
              <w:t xml:space="preserve">由脑损伤或疾病引起的获得性语言功能障碍，可影响理解、表达、阅读与书写。其分布和严重程度不能用单一脑区或单一测验完整概括。</w:t>
            </w:r>
          </w:p>
        </w:tc>
        <w:tc>
          <w:tcPr/>
          <w:p>
            <w:pPr>
              <w:pStyle w:val="Compact"/>
              <w:jc w:val="left"/>
            </w:pPr>
            <w:hyperlink w:anchor="ch-143">
              <w:r>
                <w:rPr>
                  <w:rStyle w:val="Hyperlink"/>
                </w:rPr>
                <w:t xml:space="preserve">第143章</w:t>
              </w:r>
            </w:hyperlink>
            <w:r>
              <w:t xml:space="preserve">、</w:t>
            </w:r>
            <w:hyperlink w:anchor="ch-147">
              <w:r>
                <w:rPr>
                  <w:rStyle w:val="Hyperlink"/>
                </w:rPr>
                <w:t xml:space="preserve">第147章</w:t>
              </w:r>
            </w:hyperlink>
          </w:p>
        </w:tc>
      </w:tr>
      <w:tr>
        <w:tc>
          <w:tcPr/>
          <w:p>
            <w:pPr>
              <w:pStyle w:val="Compact"/>
              <w:jc w:val="left"/>
            </w:pPr>
            <w:r>
              <w:t xml:space="preserve">共济失调</w:t>
            </w:r>
          </w:p>
        </w:tc>
        <w:tc>
          <w:tcPr/>
          <w:p>
            <w:pPr>
              <w:pStyle w:val="Compact"/>
              <w:jc w:val="left"/>
            </w:pPr>
            <w:r>
              <w:t xml:space="preserve">动作协调障碍的临床表现，可涉及小脑、感觉传入、前庭等不同系统。表型相似的协调问题可能具有不同病因。</w:t>
            </w:r>
          </w:p>
        </w:tc>
        <w:tc>
          <w:tcPr/>
          <w:p>
            <w:pPr>
              <w:pStyle w:val="Compact"/>
              <w:jc w:val="left"/>
            </w:pPr>
            <w:hyperlink w:anchor="ch-16">
              <w:r>
                <w:rPr>
                  <w:rStyle w:val="Hyperlink"/>
                </w:rPr>
                <w:t xml:space="preserve">第16章</w:t>
              </w:r>
            </w:hyperlink>
            <w:r>
              <w:t xml:space="preserve">、</w:t>
            </w:r>
            <w:hyperlink w:anchor="ch-144">
              <w:r>
                <w:rPr>
                  <w:rStyle w:val="Hyperlink"/>
                </w:rPr>
                <w:t xml:space="preserve">第144章</w:t>
              </w:r>
            </w:hyperlink>
          </w:p>
        </w:tc>
      </w:tr>
      <w:tr>
        <w:tc>
          <w:tcPr/>
          <w:p>
            <w:pPr>
              <w:pStyle w:val="Compact"/>
              <w:jc w:val="left"/>
            </w:pPr>
            <w:r>
              <w:t xml:space="preserve">脑瘫</w:t>
            </w:r>
          </w:p>
        </w:tc>
        <w:tc>
          <w:tcPr/>
          <w:p>
            <w:pPr>
              <w:pStyle w:val="Compact"/>
              <w:jc w:val="left"/>
            </w:pPr>
            <w:r>
              <w:t xml:space="preserve">早期发育中的脑受到非进行性损伤或异常影响后形成的一组持续运动与姿势障碍；功能表现、伴随问题和支持需求可随成长变化。</w:t>
            </w:r>
          </w:p>
        </w:tc>
        <w:tc>
          <w:tcPr/>
          <w:p>
            <w:pPr>
              <w:pStyle w:val="Compact"/>
              <w:jc w:val="left"/>
            </w:pPr>
            <w:hyperlink w:anchor="ch-121">
              <w:r>
                <w:rPr>
                  <w:rStyle w:val="Hyperlink"/>
                </w:rPr>
                <w:t xml:space="preserve">第121章</w:t>
              </w:r>
            </w:hyperlink>
          </w:p>
        </w:tc>
      </w:tr>
      <w:tr>
        <w:tc>
          <w:tcPr/>
          <w:p>
            <w:pPr>
              <w:pStyle w:val="Compact"/>
              <w:jc w:val="left"/>
            </w:pPr>
            <w:r>
              <w:t xml:space="preserve">神经炎症</w:t>
            </w:r>
          </w:p>
        </w:tc>
        <w:tc>
          <w:tcPr/>
          <w:p>
            <w:pPr>
              <w:pStyle w:val="Compact"/>
              <w:jc w:val="left"/>
            </w:pPr>
            <w:r>
              <w:t xml:space="preserve">神经组织及其相关屏障、免疫细胞和信号网络参与的炎症过程。反应可同时包含防御、修复和损伤作用，需说明细胞、位置、时相与病因。</w:t>
            </w:r>
          </w:p>
        </w:tc>
        <w:tc>
          <w:tcPr/>
          <w:p>
            <w:pPr>
              <w:pStyle w:val="Compact"/>
              <w:jc w:val="left"/>
            </w:pPr>
            <w:hyperlink w:anchor="ch-141">
              <w:r>
                <w:rPr>
                  <w:rStyle w:val="Hyperlink"/>
                </w:rPr>
                <w:t xml:space="preserve">第141章</w:t>
              </w:r>
            </w:hyperlink>
            <w:r>
              <w:t xml:space="preserve">、</w:t>
            </w:r>
            <w:hyperlink w:anchor="ch-14">
              <w:r>
                <w:rPr>
                  <w:rStyle w:val="Hyperlink"/>
                </w:rPr>
                <w:t xml:space="preserve">第14章</w:t>
              </w:r>
            </w:hyperlink>
          </w:p>
        </w:tc>
      </w:tr>
      <w:tr>
        <w:tc>
          <w:tcPr/>
          <w:p>
            <w:pPr>
              <w:pStyle w:val="Compact"/>
              <w:jc w:val="left"/>
            </w:pPr>
            <w:r>
              <w:t xml:space="preserve">BOLD</w:t>
            </w:r>
          </w:p>
        </w:tc>
        <w:tc>
          <w:tcPr/>
          <w:p>
            <w:pPr>
              <w:pStyle w:val="Compact"/>
              <w:jc w:val="left"/>
            </w:pPr>
            <w:r>
              <w:t xml:space="preserve">血氧水平依赖信号，是功能磁共振常用的血流动力学指标；它对神经活动的映射受到血管和代谢过程共同影响。</w:t>
            </w:r>
          </w:p>
        </w:tc>
        <w:tc>
          <w:tcPr/>
          <w:p>
            <w:pPr>
              <w:pStyle w:val="Compact"/>
              <w:jc w:val="left"/>
            </w:pPr>
            <w:hyperlink w:anchor="ch-61">
              <w:r>
                <w:rPr>
                  <w:rStyle w:val="Hyperlink"/>
                </w:rPr>
                <w:t xml:space="preserve">第61章</w:t>
              </w:r>
            </w:hyperlink>
            <w:r>
              <w:t xml:space="preserve">、</w:t>
            </w:r>
            <w:hyperlink w:anchor="ch-60">
              <w:r>
                <w:rPr>
                  <w:rStyle w:val="Hyperlink"/>
                </w:rPr>
                <w:t xml:space="preserve">第60章</w:t>
              </w:r>
            </w:hyperlink>
          </w:p>
        </w:tc>
      </w:tr>
      <w:tr>
        <w:tc>
          <w:tcPr/>
          <w:p>
            <w:pPr>
              <w:pStyle w:val="Compact"/>
              <w:jc w:val="left"/>
            </w:pPr>
            <w:r>
              <w:t xml:space="preserve">功能连接</w:t>
            </w:r>
          </w:p>
        </w:tc>
        <w:tc>
          <w:tcPr/>
          <w:p>
            <w:pPr>
              <w:pStyle w:val="Compact"/>
              <w:jc w:val="left"/>
            </w:pPr>
            <w:r>
              <w:t xml:space="preserve">两个脑区信号在时间上的相关程度。它说明不了两者之间有直接的解剖连线，也说明不了信息流动的方向；共同输入、全脑生理波动、头动和预处理都能制造相关。</w:t>
            </w:r>
          </w:p>
        </w:tc>
        <w:tc>
          <w:tcPr/>
          <w:p>
            <w:pPr>
              <w:pStyle w:val="Compact"/>
              <w:jc w:val="left"/>
            </w:pPr>
            <w:hyperlink w:anchor="ch-55">
              <w:r>
                <w:rPr>
                  <w:rStyle w:val="Hyperlink"/>
                </w:rPr>
                <w:t xml:space="preserve">第55章</w:t>
              </w:r>
            </w:hyperlink>
          </w:p>
        </w:tc>
      </w:tr>
      <w:tr>
        <w:tc>
          <w:tcPr/>
          <w:p>
            <w:pPr>
              <w:pStyle w:val="Compact"/>
              <w:jc w:val="left"/>
            </w:pPr>
            <w:r>
              <w:t xml:space="preserve">灰质体积、灰质“密度”与皮层厚度</w:t>
            </w:r>
          </w:p>
        </w:tc>
        <w:tc>
          <w:tcPr/>
          <w:p>
            <w:pPr>
              <w:pStyle w:val="Compact"/>
              <w:jc w:val="left"/>
            </w:pPr>
            <w:r>
              <w:t xml:space="preserve">结构磁共振的图像指标。“密度”指体素中灰质所占的比例，与神经元的数量密度不同；这些数值的变化可能来自神经元、胶质、突触、血管或组织含水量，磁共振本身无法区分。</w:t>
            </w:r>
          </w:p>
        </w:tc>
        <w:tc>
          <w:tcPr/>
          <w:p>
            <w:pPr>
              <w:pStyle w:val="Compact"/>
              <w:jc w:val="left"/>
            </w:pPr>
            <w:hyperlink w:anchor="ch-55">
              <w:r>
                <w:rPr>
                  <w:rStyle w:val="Hyperlink"/>
                </w:rPr>
                <w:t xml:space="preserve">第55章</w:t>
              </w:r>
            </w:hyperlink>
          </w:p>
        </w:tc>
      </w:tr>
      <w:tr>
        <w:tc>
          <w:tcPr/>
          <w:p>
            <w:pPr>
              <w:pStyle w:val="Compact"/>
              <w:jc w:val="left"/>
            </w:pPr>
            <w:r>
              <w:t xml:space="preserve">各向异性分数（FA）</w:t>
            </w:r>
          </w:p>
        </w:tc>
        <w:tc>
          <w:tcPr/>
          <w:p>
            <w:pPr>
              <w:pStyle w:val="Compact"/>
              <w:jc w:val="left"/>
            </w:pPr>
            <w:r>
              <w:t xml:space="preserve">弥散成像指标，描述水分子沿白质纤维方向扩散的一致程度。升高可能来自髓鞘增厚、纤维排列更整齐，也可能来自交叉纤维中一组纤维的丢失，不能直接读成“白质更好”。</w:t>
            </w:r>
          </w:p>
        </w:tc>
        <w:tc>
          <w:tcPr/>
          <w:p>
            <w:pPr>
              <w:pStyle w:val="Compact"/>
              <w:jc w:val="left"/>
            </w:pPr>
            <w:hyperlink w:anchor="ch-55">
              <w:r>
                <w:rPr>
                  <w:rStyle w:val="Hyperlink"/>
                </w:rPr>
                <w:t xml:space="preserve">第55章</w:t>
              </w:r>
            </w:hyperlink>
          </w:p>
        </w:tc>
      </w:tr>
      <w:tr>
        <w:tc>
          <w:tcPr/>
          <w:p>
            <w:pPr>
              <w:pStyle w:val="Compact"/>
              <w:jc w:val="left"/>
            </w:pPr>
            <w:r>
              <w:t xml:space="preserve">EEG与MEG</w:t>
            </w:r>
          </w:p>
        </w:tc>
        <w:tc>
          <w:tcPr/>
          <w:p>
            <w:pPr>
              <w:pStyle w:val="Compact"/>
              <w:jc w:val="left"/>
            </w:pPr>
            <w:r>
              <w:t xml:space="preserve">脑电与脑磁记录神经活动形成的电场或磁场相关信号。源定位属于依赖模型及约束的逆问题。</w:t>
            </w:r>
          </w:p>
        </w:tc>
        <w:tc>
          <w:tcPr/>
          <w:p>
            <w:pPr>
              <w:pStyle w:val="Compact"/>
              <w:jc w:val="left"/>
            </w:pPr>
            <w:hyperlink w:anchor="ch-60">
              <w:r>
                <w:rPr>
                  <w:rStyle w:val="Hyperlink"/>
                </w:rPr>
                <w:t xml:space="preserve">第60章</w:t>
              </w:r>
            </w:hyperlink>
            <w:r>
              <w:t xml:space="preserve">、</w:t>
            </w:r>
            <w:hyperlink w:anchor="ch-52">
              <w:r>
                <w:rPr>
                  <w:rStyle w:val="Hyperlink"/>
                </w:rPr>
                <w:t xml:space="preserve">第52章</w:t>
              </w:r>
            </w:hyperlink>
          </w:p>
        </w:tc>
      </w:tr>
      <w:tr>
        <w:tc>
          <w:tcPr/>
          <w:p>
            <w:pPr>
              <w:pStyle w:val="Compact"/>
              <w:jc w:val="left"/>
            </w:pPr>
            <w:r>
              <w:t xml:space="preserve">PET</w:t>
            </w:r>
          </w:p>
        </w:tc>
        <w:tc>
          <w:tcPr/>
          <w:p>
            <w:pPr>
              <w:pStyle w:val="Compact"/>
              <w:jc w:val="left"/>
            </w:pPr>
            <w:r>
              <w:t xml:space="preserve">正电子发射断层成像通过示踪剂及动力学模型估计相应生理或分子过程；解释必须限定示踪剂、模型和时间窗。</w:t>
            </w:r>
          </w:p>
        </w:tc>
        <w:tc>
          <w:tcPr/>
          <w:p>
            <w:pPr>
              <w:pStyle w:val="Compact"/>
              <w:jc w:val="left"/>
            </w:pPr>
            <w:hyperlink w:anchor="ch-60">
              <w:r>
                <w:rPr>
                  <w:rStyle w:val="Hyperlink"/>
                </w:rPr>
                <w:t xml:space="preserve">第60章</w:t>
              </w:r>
            </w:hyperlink>
            <w:r>
              <w:t xml:space="preserve">、</w:t>
            </w:r>
            <w:hyperlink w:anchor="ch-94">
              <w:r>
                <w:rPr>
                  <w:rStyle w:val="Hyperlink"/>
                </w:rPr>
                <w:t xml:space="preserve">第94章</w:t>
              </w:r>
            </w:hyperlink>
          </w:p>
        </w:tc>
      </w:tr>
      <w:tr>
        <w:tc>
          <w:tcPr/>
          <w:p>
            <w:pPr>
              <w:pStyle w:val="Compact"/>
              <w:jc w:val="left"/>
            </w:pPr>
            <w:r>
              <w:t xml:space="preserve">逆向推断</w:t>
            </w:r>
          </w:p>
        </w:tc>
        <w:tc>
          <w:tcPr/>
          <w:p>
            <w:pPr>
              <w:pStyle w:val="Compact"/>
              <w:jc w:val="left"/>
            </w:pPr>
            <w:r>
              <w:t xml:space="preserve">从某种脑活动模式推断心理过程，需要知道该模式对不同过程的特异性与目标过程的先验概率。</w:t>
            </w:r>
          </w:p>
        </w:tc>
        <w:tc>
          <w:tcPr/>
          <w:p>
            <w:pPr>
              <w:pStyle w:val="Compact"/>
              <w:jc w:val="left"/>
            </w:pPr>
            <w:hyperlink w:anchor="ch-64">
              <w:r>
                <w:rPr>
                  <w:rStyle w:val="Hyperlink"/>
                </w:rPr>
                <w:t xml:space="preserve">第64章</w:t>
              </w:r>
            </w:hyperlink>
          </w:p>
        </w:tc>
      </w:tr>
      <w:tr>
        <w:tc>
          <w:tcPr/>
          <w:p>
            <w:pPr>
              <w:pStyle w:val="Compact"/>
              <w:jc w:val="left"/>
            </w:pPr>
            <w:r>
              <w:t xml:space="preserve">解码</w:t>
            </w:r>
          </w:p>
        </w:tc>
        <w:tc>
          <w:tcPr/>
          <w:p>
            <w:pPr>
              <w:pStyle w:val="Compact"/>
              <w:jc w:val="left"/>
            </w:pPr>
            <w:r>
              <w:t xml:space="preserve">利用测量信号预测任务标签、刺激或行为变量的分析。可预测性本身不能确定信号的因果必要性和生物读取方式。</w:t>
            </w:r>
          </w:p>
        </w:tc>
        <w:tc>
          <w:tcPr/>
          <w:p>
            <w:pPr>
              <w:pStyle w:val="Compact"/>
              <w:jc w:val="left"/>
            </w:pPr>
            <w:hyperlink w:anchor="ch-64">
              <w:r>
                <w:rPr>
                  <w:rStyle w:val="Hyperlink"/>
                </w:rPr>
                <w:t xml:space="preserve">第64章</w:t>
              </w:r>
            </w:hyperlink>
            <w:r>
              <w:t xml:space="preserve">、</w:t>
            </w:r>
            <w:hyperlink w:anchor="ch-149">
              <w:r>
                <w:rPr>
                  <w:rStyle w:val="Hyperlink"/>
                </w:rPr>
                <w:t xml:space="preserve">第149章</w:t>
              </w:r>
            </w:hyperlink>
          </w:p>
        </w:tc>
      </w:tr>
      <w:tr>
        <w:tc>
          <w:tcPr/>
          <w:p>
            <w:pPr>
              <w:pStyle w:val="Compact"/>
              <w:jc w:val="left"/>
            </w:pPr>
            <w:r>
              <w:t xml:space="preserve">效应量</w:t>
            </w:r>
          </w:p>
        </w:tc>
        <w:tc>
          <w:tcPr/>
          <w:p>
            <w:pPr>
              <w:pStyle w:val="Compact"/>
              <w:jc w:val="left"/>
            </w:pPr>
            <w:r>
              <w:t xml:space="preserve">以原始或标准化单位描述差异及关联大小的量；其意义依赖结局、样本分布、比较对象和观察时间。</w:t>
            </w:r>
          </w:p>
        </w:tc>
        <w:tc>
          <w:tcPr/>
          <w:p>
            <w:pPr>
              <w:pStyle w:val="Compact"/>
              <w:jc w:val="left"/>
            </w:pPr>
            <w:hyperlink w:anchor="ch-57">
              <w:r>
                <w:rPr>
                  <w:rStyle w:val="Hyperlink"/>
                </w:rPr>
                <w:t xml:space="preserve">第57章</w:t>
              </w:r>
            </w:hyperlink>
          </w:p>
        </w:tc>
      </w:tr>
      <w:tr>
        <w:tc>
          <w:tcPr/>
          <w:p>
            <w:pPr>
              <w:pStyle w:val="Compact"/>
              <w:jc w:val="left"/>
            </w:pPr>
            <w:r>
              <w:t xml:space="preserve">置信区间</w:t>
            </w:r>
          </w:p>
        </w:tc>
        <w:tc>
          <w:tcPr/>
          <w:p>
            <w:pPr>
              <w:pStyle w:val="Compact"/>
              <w:jc w:val="left"/>
            </w:pPr>
            <w:r>
              <w:t xml:space="preserve">由具有规定长期覆盖性质的抽样程序产生的区间。区间宽度描述模型条件下的不确定性，通常不包含全部系统偏倚。</w:t>
            </w:r>
          </w:p>
        </w:tc>
        <w:tc>
          <w:tcPr/>
          <w:p>
            <w:pPr>
              <w:pStyle w:val="Compact"/>
              <w:jc w:val="left"/>
            </w:pPr>
            <w:hyperlink w:anchor="ch-57">
              <w:r>
                <w:rPr>
                  <w:rStyle w:val="Hyperlink"/>
                </w:rPr>
                <w:t xml:space="preserve">第57章</w:t>
              </w:r>
            </w:hyperlink>
          </w:p>
        </w:tc>
      </w:tr>
      <w:tr>
        <w:tc>
          <w:tcPr/>
          <w:p>
            <w:pPr>
              <w:pStyle w:val="Compact"/>
              <w:jc w:val="left"/>
            </w:pPr>
            <w:r>
              <w:t xml:space="preserve">后验概率</w:t>
            </w:r>
          </w:p>
        </w:tc>
        <w:tc>
          <w:tcPr/>
          <w:p>
            <w:pPr>
              <w:pStyle w:val="Compact"/>
              <w:jc w:val="left"/>
            </w:pPr>
            <w:r>
              <w:t xml:space="preserve">在明确先验与似然模型下，结合当前数据获得的条件概率；需要检查先验、模型及数据生成假设。</w:t>
            </w:r>
          </w:p>
        </w:tc>
        <w:tc>
          <w:tcPr/>
          <w:p>
            <w:pPr>
              <w:pStyle w:val="Compact"/>
              <w:jc w:val="left"/>
            </w:pPr>
            <w:hyperlink w:anchor="ch-57">
              <w:r>
                <w:rPr>
                  <w:rStyle w:val="Hyperlink"/>
                </w:rPr>
                <w:t xml:space="preserve">第57章</w:t>
              </w:r>
            </w:hyperlink>
            <w:r>
              <w:t xml:space="preserve">、</w:t>
            </w:r>
            <w:hyperlink w:anchor="ch-151">
              <w:r>
                <w:rPr>
                  <w:rStyle w:val="Hyperlink"/>
                </w:rPr>
                <w:t xml:space="preserve">第151章</w:t>
              </w:r>
            </w:hyperlink>
          </w:p>
        </w:tc>
      </w:tr>
      <w:tr>
        <w:tc>
          <w:tcPr/>
          <w:p>
            <w:pPr>
              <w:pStyle w:val="Compact"/>
              <w:jc w:val="left"/>
            </w:pPr>
            <w:r>
              <w:t xml:space="preserve">等效检验</w:t>
            </w:r>
          </w:p>
        </w:tc>
        <w:tc>
          <w:tcPr/>
          <w:p>
            <w:pPr>
              <w:pStyle w:val="Compact"/>
              <w:jc w:val="left"/>
            </w:pPr>
            <w:r>
              <w:t xml:space="preserve">检验数据是否足以把效应限制在预先说明的可忽略范围内。未达到传统显著阈值无法单独建立等效。</w:t>
            </w:r>
          </w:p>
        </w:tc>
        <w:tc>
          <w:tcPr/>
          <w:p>
            <w:pPr>
              <w:pStyle w:val="Compact"/>
              <w:jc w:val="left"/>
            </w:pPr>
            <w:hyperlink w:anchor="ch-57">
              <w:r>
                <w:rPr>
                  <w:rStyle w:val="Hyperlink"/>
                </w:rPr>
                <w:t xml:space="preserve">第57章</w:t>
              </w:r>
            </w:hyperlink>
          </w:p>
        </w:tc>
      </w:tr>
      <w:tr>
        <w:tc>
          <w:tcPr/>
          <w:p>
            <w:pPr>
              <w:pStyle w:val="Compact"/>
              <w:jc w:val="left"/>
            </w:pPr>
            <w:r>
              <w:t xml:space="preserve">多重比较</w:t>
            </w:r>
          </w:p>
        </w:tc>
        <w:tc>
          <w:tcPr/>
          <w:p>
            <w:pPr>
              <w:pStyle w:val="Compact"/>
              <w:jc w:val="left"/>
            </w:pPr>
            <w:r>
              <w:t xml:space="preserve">多个检验与分析选择共同引起的错误控制问题；校正范围、依赖结构和预先指定程度都影响解释。</w:t>
            </w:r>
          </w:p>
        </w:tc>
        <w:tc>
          <w:tcPr/>
          <w:p>
            <w:pPr>
              <w:pStyle w:val="Compact"/>
              <w:jc w:val="left"/>
            </w:pPr>
            <w:hyperlink w:anchor="ch-57">
              <w:r>
                <w:rPr>
                  <w:rStyle w:val="Hyperlink"/>
                </w:rPr>
                <w:t xml:space="preserve">第57章</w:t>
              </w:r>
            </w:hyperlink>
            <w:r>
              <w:t xml:space="preserve">、</w:t>
            </w:r>
            <w:hyperlink w:anchor="ch-61">
              <w:r>
                <w:rPr>
                  <w:rStyle w:val="Hyperlink"/>
                </w:rPr>
                <w:t xml:space="preserve">第61章</w:t>
              </w:r>
            </w:hyperlink>
          </w:p>
        </w:tc>
      </w:tr>
      <w:tr>
        <w:tc>
          <w:tcPr/>
          <w:p>
            <w:pPr>
              <w:pStyle w:val="Compact"/>
              <w:jc w:val="left"/>
            </w:pPr>
            <w:r>
              <w:t xml:space="preserve">信度与效度</w:t>
            </w:r>
          </w:p>
        </w:tc>
        <w:tc>
          <w:tcPr/>
          <w:p>
            <w:pPr>
              <w:pStyle w:val="Compact"/>
              <w:jc w:val="left"/>
            </w:pPr>
            <w:r>
              <w:t xml:space="preserve">信度讨论规定条件下测量的误差和稳定性；效度讨论对分数及其用途所作解释的证据。稳定的测量仍可能不支持目标解释。</w:t>
            </w:r>
          </w:p>
        </w:tc>
        <w:tc>
          <w:tcPr/>
          <w:p>
            <w:pPr>
              <w:pStyle w:val="Compact"/>
              <w:jc w:val="left"/>
            </w:pPr>
            <w:hyperlink w:anchor="ch-66">
              <w:r>
                <w:rPr>
                  <w:rStyle w:val="Hyperlink"/>
                </w:rPr>
                <w:t xml:space="preserve">第66章</w:t>
              </w:r>
            </w:hyperlink>
            <w:r>
              <w:t xml:space="preserve">、</w:t>
            </w:r>
            <w:hyperlink w:anchor="ch-65">
              <w:r>
                <w:rPr>
                  <w:rStyle w:val="Hyperlink"/>
                </w:rPr>
                <w:t xml:space="preserve">第65章</w:t>
              </w:r>
            </w:hyperlink>
          </w:p>
        </w:tc>
      </w:tr>
      <w:tr>
        <w:tc>
          <w:tcPr/>
          <w:p>
            <w:pPr>
              <w:pStyle w:val="Compact"/>
              <w:jc w:val="left"/>
            </w:pPr>
            <w:r>
              <w:t xml:space="preserve">项目反应理论</w:t>
            </w:r>
          </w:p>
        </w:tc>
        <w:tc>
          <w:tcPr/>
          <w:p>
            <w:pPr>
              <w:pStyle w:val="Compact"/>
              <w:jc w:val="left"/>
            </w:pPr>
            <w:r>
              <w:t xml:space="preserve">用潜在特征、项目性质及其关系描述作答概率的一类测量模型；应用需要检查模型拟合、局部独立和群体可比性等条件。</w:t>
            </w:r>
          </w:p>
        </w:tc>
        <w:tc>
          <w:tcPr/>
          <w:p>
            <w:pPr>
              <w:pStyle w:val="Compact"/>
              <w:jc w:val="left"/>
            </w:pPr>
            <w:hyperlink w:anchor="ch-66">
              <w:r>
                <w:rPr>
                  <w:rStyle w:val="Hyperlink"/>
                </w:rPr>
                <w:t xml:space="preserve">第66章</w:t>
              </w:r>
            </w:hyperlink>
          </w:p>
        </w:tc>
      </w:tr>
      <w:tr>
        <w:tc>
          <w:tcPr/>
          <w:p>
            <w:pPr>
              <w:pStyle w:val="Compact"/>
              <w:jc w:val="left"/>
            </w:pPr>
            <w:r>
              <w:t xml:space="preserve">反映式指标与组成式指标</w:t>
            </w:r>
          </w:p>
        </w:tc>
        <w:tc>
          <w:tcPr/>
          <w:p>
            <w:pPr>
              <w:pStyle w:val="Compact"/>
              <w:jc w:val="left"/>
            </w:pPr>
            <w:r>
              <w:t xml:space="preserve">反映式模型假设潜变量影响观察指标；组成式模型（文献中也称形成式）把指标视为构念的成因或组成。两类模型对指标关系和验证方式的要求不同。</w:t>
            </w:r>
          </w:p>
        </w:tc>
        <w:tc>
          <w:tcPr/>
          <w:p>
            <w:pPr>
              <w:pStyle w:val="Compact"/>
              <w:jc w:val="left"/>
            </w:pPr>
            <w:hyperlink w:anchor="ch-66">
              <w:r>
                <w:rPr>
                  <w:rStyle w:val="Hyperlink"/>
                </w:rPr>
                <w:t xml:space="preserve">第66章</w:t>
              </w:r>
            </w:hyperlink>
          </w:p>
        </w:tc>
      </w:tr>
      <w:tr>
        <w:tc>
          <w:tcPr/>
          <w:p>
            <w:pPr>
              <w:pStyle w:val="Compact"/>
              <w:jc w:val="left"/>
            </w:pPr>
            <w:r>
              <w:t xml:space="preserve">测量不变性</w:t>
            </w:r>
          </w:p>
        </w:tc>
        <w:tc>
          <w:tcPr/>
          <w:p>
            <w:pPr>
              <w:pStyle w:val="Compact"/>
              <w:jc w:val="left"/>
            </w:pPr>
            <w:r>
              <w:t xml:space="preserve">比较群体或时间点时，测量模型的相应参数保持可比较的条件；不同层级的不变性支持不同类型的比较。</w:t>
            </w:r>
          </w:p>
        </w:tc>
        <w:tc>
          <w:tcPr/>
          <w:p>
            <w:pPr>
              <w:pStyle w:val="Compact"/>
              <w:jc w:val="left"/>
            </w:pPr>
            <w:hyperlink w:anchor="ch-66">
              <w:r>
                <w:rPr>
                  <w:rStyle w:val="Hyperlink"/>
                </w:rPr>
                <w:t xml:space="preserve">第66章</w:t>
              </w:r>
            </w:hyperlink>
          </w:p>
        </w:tc>
      </w:tr>
      <w:tr>
        <w:tc>
          <w:tcPr/>
          <w:p>
            <w:pPr>
              <w:pStyle w:val="Compact"/>
              <w:jc w:val="left"/>
            </w:pPr>
            <w:r>
              <w:t xml:space="preserve">混杂与中介</w:t>
            </w:r>
          </w:p>
        </w:tc>
        <w:tc>
          <w:tcPr/>
          <w:p>
            <w:pPr>
              <w:pStyle w:val="Compact"/>
              <w:jc w:val="left"/>
            </w:pPr>
            <w:r>
              <w:t xml:space="preserve">混杂涉及暴露与结局的共同原因等结构；中介位于所研究的因果路径上。调整同一变量可能因目标不同而产生不同后果。</w:t>
            </w:r>
          </w:p>
        </w:tc>
        <w:tc>
          <w:tcPr/>
          <w:p>
            <w:pPr>
              <w:pStyle w:val="Compact"/>
              <w:jc w:val="left"/>
            </w:pPr>
            <w:hyperlink w:anchor="ch-63">
              <w:r>
                <w:rPr>
                  <w:rStyle w:val="Hyperlink"/>
                </w:rPr>
                <w:t xml:space="preserve">第63章</w:t>
              </w:r>
            </w:hyperlink>
            <w:r>
              <w:t xml:space="preserve">、</w:t>
            </w:r>
            <w:hyperlink w:anchor="ch-58">
              <w:r>
                <w:rPr>
                  <w:rStyle w:val="Hyperlink"/>
                </w:rPr>
                <w:t xml:space="preserve">第58章</w:t>
              </w:r>
            </w:hyperlink>
          </w:p>
        </w:tc>
      </w:tr>
      <w:tr>
        <w:tc>
          <w:tcPr/>
          <w:p>
            <w:pPr>
              <w:pStyle w:val="Compact"/>
              <w:jc w:val="left"/>
            </w:pPr>
            <w:r>
              <w:t xml:space="preserve">效应修饰</w:t>
            </w:r>
          </w:p>
        </w:tc>
        <w:tc>
          <w:tcPr/>
          <w:p>
            <w:pPr>
              <w:pStyle w:val="Compact"/>
              <w:jc w:val="left"/>
            </w:pPr>
            <w:r>
              <w:t xml:space="preserve">某一因素改变另一因素与结局的关系大小或方向的现象，其判断依赖采用的效应尺度。它与由共同原因造成的混杂不同。</w:t>
            </w:r>
          </w:p>
        </w:tc>
        <w:tc>
          <w:tcPr/>
          <w:p>
            <w:pPr>
              <w:pStyle w:val="Compact"/>
              <w:jc w:val="left"/>
            </w:pPr>
            <w:hyperlink w:anchor="ch-58">
              <w:r>
                <w:rPr>
                  <w:rStyle w:val="Hyperlink"/>
                </w:rPr>
                <w:t xml:space="preserve">第58章</w:t>
              </w:r>
            </w:hyperlink>
            <w:r>
              <w:t xml:space="preserve">、</w:t>
            </w:r>
            <w:hyperlink w:anchor="ch-63">
              <w:r>
                <w:rPr>
                  <w:rStyle w:val="Hyperlink"/>
                </w:rPr>
                <w:t xml:space="preserve">第63章</w:t>
              </w:r>
            </w:hyperlink>
          </w:p>
        </w:tc>
      </w:tr>
      <w:tr>
        <w:tc>
          <w:tcPr/>
          <w:p>
            <w:pPr>
              <w:pStyle w:val="Compact"/>
              <w:jc w:val="left"/>
            </w:pPr>
            <w:r>
              <w:t xml:space="preserve">随机分配</w:t>
            </w:r>
          </w:p>
        </w:tc>
        <w:tc>
          <w:tcPr/>
          <w:p>
            <w:pPr>
              <w:pStyle w:val="Compact"/>
              <w:jc w:val="left"/>
            </w:pPr>
            <w:r>
              <w:t xml:space="preserve">用随机机制分配干预，以在概率意义上平衡已知和未知基线因素。它不保证每次试验完全平衡，也不能自动修复失访、测量或执行偏倚。</w:t>
            </w:r>
          </w:p>
        </w:tc>
        <w:tc>
          <w:tcPr/>
          <w:p>
            <w:pPr>
              <w:pStyle w:val="Compact"/>
              <w:jc w:val="left"/>
            </w:pPr>
            <w:hyperlink w:anchor="ch-58">
              <w:r>
                <w:rPr>
                  <w:rStyle w:val="Hyperlink"/>
                </w:rPr>
                <w:t xml:space="preserve">第58章</w:t>
              </w:r>
            </w:hyperlink>
          </w:p>
        </w:tc>
      </w:tr>
      <w:tr>
        <w:tc>
          <w:tcPr/>
          <w:p>
            <w:pPr>
              <w:pStyle w:val="Compact"/>
              <w:jc w:val="left"/>
            </w:pPr>
            <w:r>
              <w:t xml:space="preserve">横断面研究与纵向研究</w:t>
            </w:r>
          </w:p>
        </w:tc>
        <w:tc>
          <w:tcPr/>
          <w:p>
            <w:pPr>
              <w:pStyle w:val="Compact"/>
              <w:jc w:val="left"/>
            </w:pPr>
            <w:r>
              <w:t xml:space="preserve">横断面研究在同一时点比较不同人群，只能说明两组人有差异；纵向研究追踪同一批人的变化，没有随机分组时仍可能受混杂因素影响。</w:t>
            </w:r>
          </w:p>
        </w:tc>
        <w:tc>
          <w:tcPr/>
          <w:p>
            <w:pPr>
              <w:pStyle w:val="Compact"/>
              <w:jc w:val="left"/>
            </w:pPr>
            <w:hyperlink w:anchor="ch-55">
              <w:r>
                <w:rPr>
                  <w:rStyle w:val="Hyperlink"/>
                </w:rPr>
                <w:t xml:space="preserve">第55章</w:t>
              </w:r>
            </w:hyperlink>
          </w:p>
        </w:tc>
      </w:tr>
      <w:tr>
        <w:tc>
          <w:tcPr/>
          <w:p>
            <w:pPr>
              <w:pStyle w:val="Compact"/>
              <w:jc w:val="left"/>
            </w:pPr>
            <w:r>
              <w:t xml:space="preserve">主动对照与候补对照</w:t>
            </w:r>
          </w:p>
        </w:tc>
        <w:tc>
          <w:tcPr/>
          <w:p>
            <w:pPr>
              <w:pStyle w:val="Compact"/>
              <w:jc w:val="left"/>
            </w:pPr>
            <w:r>
              <w:t xml:space="preserve">候补对照让对照组等待一段时间后再接受干预，能控制时间推移，控制不了期待、注意力和团体支持；主动对照给对照组安排强度相当、但不含被检验成分的活动。</w:t>
            </w:r>
          </w:p>
        </w:tc>
        <w:tc>
          <w:tcPr/>
          <w:p>
            <w:pPr>
              <w:pStyle w:val="Compact"/>
              <w:jc w:val="left"/>
            </w:pPr>
            <w:hyperlink w:anchor="ch-55">
              <w:r>
                <w:rPr>
                  <w:rStyle w:val="Hyperlink"/>
                </w:rPr>
                <w:t xml:space="preserve">第55章</w:t>
              </w:r>
            </w:hyperlink>
            <w:r>
              <w:t xml:space="preserve">、</w:t>
            </w:r>
            <w:hyperlink w:anchor="ch-108">
              <w:r>
                <w:rPr>
                  <w:rStyle w:val="Hyperlink"/>
                </w:rPr>
                <w:t xml:space="preserve">第108章</w:t>
              </w:r>
            </w:hyperlink>
          </w:p>
        </w:tc>
      </w:tr>
      <w:tr>
        <w:tc>
          <w:tcPr/>
          <w:p>
            <w:pPr>
              <w:pStyle w:val="Compact"/>
              <w:jc w:val="left"/>
            </w:pPr>
            <w:r>
              <w:t xml:space="preserve">元分析</w:t>
            </w:r>
          </w:p>
        </w:tc>
        <w:tc>
          <w:tcPr/>
          <w:p>
            <w:pPr>
              <w:pStyle w:val="Compact"/>
              <w:jc w:val="left"/>
            </w:pPr>
            <w:r>
              <w:t xml:space="preserve">按统计方法合并多项同类研究的结果；它的可靠程度取决于被汇总的研究本身，也受发表偏倚和研究之间差异的影响。</w:t>
            </w:r>
          </w:p>
        </w:tc>
        <w:tc>
          <w:tcPr/>
          <w:p>
            <w:pPr>
              <w:pStyle w:val="Compact"/>
              <w:jc w:val="left"/>
            </w:pPr>
            <w:hyperlink w:anchor="ch-58">
              <w:r>
                <w:rPr>
                  <w:rStyle w:val="Hyperlink"/>
                </w:rPr>
                <w:t xml:space="preserve">第58章</w:t>
              </w:r>
            </w:hyperlink>
          </w:p>
        </w:tc>
      </w:tr>
      <w:tr>
        <w:tc>
          <w:tcPr/>
          <w:p>
            <w:pPr>
              <w:pStyle w:val="Compact"/>
              <w:jc w:val="left"/>
            </w:pPr>
            <w:r>
              <w:t xml:space="preserve">预注册</w:t>
            </w:r>
          </w:p>
        </w:tc>
        <w:tc>
          <w:tcPr/>
          <w:p>
            <w:pPr>
              <w:pStyle w:val="Compact"/>
              <w:jc w:val="left"/>
            </w:pPr>
            <w:r>
              <w:t xml:space="preserve">在收集或分析数据之前，公开登记研究假设、主要结局和分析计划，用来减少事后挑选结果的空间。</w:t>
            </w:r>
          </w:p>
        </w:tc>
        <w:tc>
          <w:tcPr/>
          <w:p>
            <w:pPr>
              <w:pStyle w:val="Compact"/>
              <w:jc w:val="left"/>
            </w:pPr>
            <w:hyperlink w:anchor="ch-59">
              <w:r>
                <w:rPr>
                  <w:rStyle w:val="Hyperlink"/>
                </w:rPr>
                <w:t xml:space="preserve">第59章</w:t>
              </w:r>
            </w:hyperlink>
          </w:p>
        </w:tc>
      </w:tr>
      <w:tr>
        <w:tc>
          <w:tcPr/>
          <w:p>
            <w:pPr>
              <w:pStyle w:val="Compact"/>
              <w:jc w:val="left"/>
            </w:pPr>
            <w:r>
              <w:t xml:space="preserve">意向治疗分析</w:t>
            </w:r>
          </w:p>
        </w:tc>
        <w:tc>
          <w:tcPr/>
          <w:p>
            <w:pPr>
              <w:pStyle w:val="Compact"/>
              <w:jc w:val="left"/>
            </w:pPr>
            <w:r>
              <w:t xml:space="preserve">按最初随机分组分析受试者的原则，旨在保留随机分配的比较基础。缺失数据、估计目标和实际处理仍需要明确说明。</w:t>
            </w:r>
          </w:p>
        </w:tc>
        <w:tc>
          <w:tcPr/>
          <w:p>
            <w:pPr>
              <w:pStyle w:val="Compact"/>
              <w:jc w:val="left"/>
            </w:pPr>
            <w:hyperlink w:anchor="ch-63">
              <w:r>
                <w:rPr>
                  <w:rStyle w:val="Hyperlink"/>
                </w:rPr>
                <w:t xml:space="preserve">第63章</w:t>
              </w:r>
            </w:hyperlink>
            <w:r>
              <w:t xml:space="preserve">、</w:t>
            </w:r>
            <w:hyperlink w:anchor="ch-117">
              <w:r>
                <w:rPr>
                  <w:rStyle w:val="Hyperlink"/>
                </w:rPr>
                <w:t xml:space="preserve">第117章</w:t>
              </w:r>
            </w:hyperlink>
          </w:p>
        </w:tc>
      </w:tr>
      <w:tr>
        <w:tc>
          <w:tcPr/>
          <w:p>
            <w:pPr>
              <w:pStyle w:val="Compact"/>
              <w:jc w:val="left"/>
            </w:pPr>
            <w:r>
              <w:t xml:space="preserve">碰撞点</w:t>
            </w:r>
          </w:p>
        </w:tc>
        <w:tc>
          <w:tcPr/>
          <w:p>
            <w:pPr>
              <w:pStyle w:val="Compact"/>
              <w:jc w:val="left"/>
            </w:pPr>
            <w:r>
              <w:t xml:space="preserve">在因果图的某条路径上，两条箭头同时指向的变量，例如A→C←B中的C；一个变量是否为碰撞点取决于所考察的路径。对它或其后代进行选择或调整，可能打开原先被阻断的关联路径。</w:t>
            </w:r>
          </w:p>
        </w:tc>
        <w:tc>
          <w:tcPr/>
          <w:p>
            <w:pPr>
              <w:pStyle w:val="Compact"/>
              <w:jc w:val="left"/>
            </w:pPr>
            <w:hyperlink w:anchor="ch-63">
              <w:r>
                <w:rPr>
                  <w:rStyle w:val="Hyperlink"/>
                </w:rPr>
                <w:t xml:space="preserve">第63章</w:t>
              </w:r>
            </w:hyperlink>
          </w:p>
        </w:tc>
      </w:tr>
      <w:tr>
        <w:tc>
          <w:tcPr/>
          <w:p>
            <w:pPr>
              <w:pStyle w:val="Compact"/>
              <w:jc w:val="left"/>
            </w:pPr>
            <w:r>
              <w:t xml:space="preserve">伪重复</w:t>
            </w:r>
          </w:p>
        </w:tc>
        <w:tc>
          <w:tcPr/>
          <w:p>
            <w:pPr>
              <w:pStyle w:val="Compact"/>
              <w:jc w:val="left"/>
            </w:pPr>
            <w:r>
              <w:t xml:space="preserve">把不独立的观察当成独立实验单位进行推断的问题。细胞数、试次数、动物数和供体数不能随意互换。</w:t>
            </w:r>
          </w:p>
        </w:tc>
        <w:tc>
          <w:tcPr/>
          <w:p>
            <w:pPr>
              <w:pStyle w:val="Compact"/>
              <w:jc w:val="left"/>
            </w:pPr>
            <w:hyperlink w:anchor="ch-58">
              <w:r>
                <w:rPr>
                  <w:rStyle w:val="Hyperlink"/>
                </w:rPr>
                <w:t xml:space="preserve">第58章</w:t>
              </w:r>
            </w:hyperlink>
            <w:r>
              <w:t xml:space="preserve">、</w:t>
            </w:r>
            <w:hyperlink w:anchor="ch-153">
              <w:r>
                <w:rPr>
                  <w:rStyle w:val="Hyperlink"/>
                </w:rPr>
                <w:t xml:space="preserve">第153章</w:t>
              </w:r>
            </w:hyperlink>
          </w:p>
        </w:tc>
      </w:tr>
      <w:tr>
        <w:tc>
          <w:tcPr/>
          <w:p>
            <w:pPr>
              <w:pStyle w:val="Compact"/>
              <w:jc w:val="left"/>
            </w:pPr>
            <w:r>
              <w:t xml:space="preserve">数据泄漏</w:t>
            </w:r>
          </w:p>
        </w:tc>
        <w:tc>
          <w:tcPr/>
          <w:p>
            <w:pPr>
              <w:pStyle w:val="Compact"/>
              <w:jc w:val="left"/>
            </w:pPr>
            <w:r>
              <w:t xml:space="preserve">模型开发过程中，评估集信息通过预处理、选择、调参或重复查看进入训练，使测试结果失去预期的独立性。</w:t>
            </w:r>
          </w:p>
        </w:tc>
        <w:tc>
          <w:tcPr/>
          <w:p>
            <w:pPr>
              <w:pStyle w:val="Compact"/>
              <w:jc w:val="left"/>
            </w:pPr>
            <w:hyperlink w:anchor="ch-59">
              <w:r>
                <w:rPr>
                  <w:rStyle w:val="Hyperlink"/>
                </w:rPr>
                <w:t xml:space="preserve">第59章</w:t>
              </w:r>
            </w:hyperlink>
            <w:r>
              <w:t xml:space="preserve">、</w:t>
            </w:r>
            <w:hyperlink w:anchor="ch-65">
              <w:r>
                <w:rPr>
                  <w:rStyle w:val="Hyperlink"/>
                </w:rPr>
                <w:t xml:space="preserve">第65章</w:t>
              </w:r>
            </w:hyperlink>
            <w:r>
              <w:t xml:space="preserve">、</w:t>
            </w:r>
            <w:hyperlink w:anchor="ch-150">
              <w:r>
                <w:rPr>
                  <w:rStyle w:val="Hyperlink"/>
                </w:rPr>
                <w:t xml:space="preserve">第150章</w:t>
              </w:r>
            </w:hyperlink>
          </w:p>
        </w:tc>
      </w:tr>
      <w:tr>
        <w:tc>
          <w:tcPr/>
          <w:p>
            <w:pPr>
              <w:pStyle w:val="Compact"/>
              <w:jc w:val="left"/>
            </w:pPr>
            <w:r>
              <w:t xml:space="preserve">区分度与校准</w:t>
            </w:r>
          </w:p>
        </w:tc>
        <w:tc>
          <w:tcPr/>
          <w:p>
            <w:pPr>
              <w:pStyle w:val="Compact"/>
              <w:jc w:val="left"/>
            </w:pPr>
            <w:r>
              <w:t xml:space="preserve">区分度描述风险排序或类别分离能力；校准描述预测概率与实际发生频率的关系。两者共同影响实际使用。</w:t>
            </w:r>
          </w:p>
        </w:tc>
        <w:tc>
          <w:tcPr/>
          <w:p>
            <w:pPr>
              <w:pStyle w:val="Compact"/>
              <w:jc w:val="left"/>
            </w:pPr>
            <w:hyperlink w:anchor="ch-65">
              <w:r>
                <w:rPr>
                  <w:rStyle w:val="Hyperlink"/>
                </w:rPr>
                <w:t xml:space="preserve">第65章</w:t>
              </w:r>
            </w:hyperlink>
          </w:p>
        </w:tc>
      </w:tr>
      <w:tr>
        <w:tc>
          <w:tcPr/>
          <w:p>
            <w:pPr>
              <w:pStyle w:val="Compact"/>
              <w:jc w:val="left"/>
            </w:pPr>
            <w:r>
              <w:t xml:space="preserve">敏感度与特异度</w:t>
            </w:r>
          </w:p>
        </w:tc>
        <w:tc>
          <w:tcPr/>
          <w:p>
            <w:pPr>
              <w:pStyle w:val="Compact"/>
              <w:jc w:val="left"/>
            </w:pPr>
            <w:r>
              <w:t xml:space="preserve">敏感度以有目标状态者为分母；特异度以无目标状态者为分母。还需限定参照标准、阈值及目标人群。</w:t>
            </w:r>
          </w:p>
        </w:tc>
        <w:tc>
          <w:tcPr/>
          <w:p>
            <w:pPr>
              <w:pStyle w:val="Compact"/>
              <w:jc w:val="left"/>
            </w:pPr>
            <w:hyperlink w:anchor="ch-65">
              <w:r>
                <w:rPr>
                  <w:rStyle w:val="Hyperlink"/>
                </w:rPr>
                <w:t xml:space="preserve">第65章</w:t>
              </w:r>
            </w:hyperlink>
            <w:r>
              <w:t xml:space="preserve">、</w:t>
            </w:r>
            <w:hyperlink w:anchor="ch-140">
              <w:r>
                <w:rPr>
                  <w:rStyle w:val="Hyperlink"/>
                </w:rPr>
                <w:t xml:space="preserve">第140章</w:t>
              </w:r>
            </w:hyperlink>
          </w:p>
        </w:tc>
      </w:tr>
      <w:tr>
        <w:tc>
          <w:tcPr/>
          <w:p>
            <w:pPr>
              <w:pStyle w:val="Compact"/>
              <w:jc w:val="left"/>
            </w:pPr>
            <w:r>
              <w:t xml:space="preserve">阳性预测值</w:t>
            </w:r>
          </w:p>
        </w:tc>
        <w:tc>
          <w:tcPr/>
          <w:p>
            <w:pPr>
              <w:pStyle w:val="Compact"/>
              <w:jc w:val="left"/>
            </w:pPr>
            <w:r>
              <w:t xml:space="preserve">阳性结果中实际具有目标状态的比例。它受敏感度、特异度和目标人群基率共同影响。</w:t>
            </w:r>
          </w:p>
        </w:tc>
        <w:tc>
          <w:tcPr/>
          <w:p>
            <w:pPr>
              <w:pStyle w:val="Compact"/>
              <w:jc w:val="left"/>
            </w:pPr>
            <w:hyperlink w:anchor="ch-57">
              <w:r>
                <w:rPr>
                  <w:rStyle w:val="Hyperlink"/>
                </w:rPr>
                <w:t xml:space="preserve">第57章</w:t>
              </w:r>
            </w:hyperlink>
            <w:r>
              <w:t xml:space="preserve">、</w:t>
            </w:r>
            <w:hyperlink w:anchor="ch-65">
              <w:r>
                <w:rPr>
                  <w:rStyle w:val="Hyperlink"/>
                </w:rPr>
                <w:t xml:space="preserve">第65章</w:t>
              </w:r>
            </w:hyperlink>
            <w:r>
              <w:t xml:space="preserve">、</w:t>
            </w:r>
            <w:hyperlink w:anchor="ch-140">
              <w:r>
                <w:rPr>
                  <w:rStyle w:val="Hyperlink"/>
                </w:rPr>
                <w:t xml:space="preserve">第140章</w:t>
              </w:r>
            </w:hyperlink>
          </w:p>
        </w:tc>
      </w:tr>
      <w:tr>
        <w:tc>
          <w:tcPr/>
          <w:p>
            <w:pPr>
              <w:pStyle w:val="Compact"/>
              <w:jc w:val="left"/>
            </w:pPr>
            <w:r>
              <w:t xml:space="preserve">绝对与相对风险</w:t>
            </w:r>
          </w:p>
        </w:tc>
        <w:tc>
          <w:tcPr/>
          <w:p>
            <w:pPr>
              <w:pStyle w:val="Compact"/>
              <w:jc w:val="left"/>
            </w:pPr>
            <w:r>
              <w:t xml:space="preserve">绝对风险差描述风险的百分点变化，相对风险（又称风险比）描述风险之比；二者必须与基线风险和时间范围一同报告。</w:t>
            </w:r>
          </w:p>
        </w:tc>
        <w:tc>
          <w:tcPr/>
          <w:p>
            <w:pPr>
              <w:pStyle w:val="Compact"/>
              <w:jc w:val="left"/>
            </w:pPr>
            <w:hyperlink w:anchor="ch-57">
              <w:r>
                <w:rPr>
                  <w:rStyle w:val="Hyperlink"/>
                </w:rPr>
                <w:t xml:space="preserve">第57章</w:t>
              </w:r>
            </w:hyperlink>
            <w:r>
              <w:t xml:space="preserve">、</w:t>
            </w:r>
            <w:hyperlink w:anchor="ch-140">
              <w:r>
                <w:rPr>
                  <w:rStyle w:val="Hyperlink"/>
                </w:rPr>
                <w:t xml:space="preserve">第140章</w:t>
              </w:r>
            </w:hyperlink>
          </w:p>
        </w:tc>
      </w:tr>
      <w:tr>
        <w:tc>
          <w:tcPr/>
          <w:p>
            <w:pPr>
              <w:pStyle w:val="Compact"/>
              <w:jc w:val="left"/>
            </w:pPr>
            <w:r>
              <w:t xml:space="preserve">危险比与风险比</w:t>
            </w:r>
          </w:p>
        </w:tc>
        <w:tc>
          <w:tcPr/>
          <w:p>
            <w:pPr>
              <w:pStyle w:val="Compact"/>
              <w:jc w:val="left"/>
            </w:pPr>
            <w:r>
              <w:t xml:space="preserve">危险比比较指定时间条件下的瞬时事件发生率，风险比比较指定观察期内的累积事件概率；二者不能随意互换，解释还取决于统计模型和随访。</w:t>
            </w:r>
          </w:p>
        </w:tc>
        <w:tc>
          <w:tcPr/>
          <w:p>
            <w:pPr>
              <w:pStyle w:val="Compact"/>
              <w:jc w:val="left"/>
            </w:pPr>
            <w:hyperlink w:anchor="ch-57">
              <w:r>
                <w:rPr>
                  <w:rStyle w:val="Hyperlink"/>
                </w:rPr>
                <w:t xml:space="preserve">第57章</w:t>
              </w:r>
            </w:hyperlink>
            <w:r>
              <w:t xml:space="preserve">、</w:t>
            </w:r>
            <w:hyperlink w:anchor="ch-137">
              <w:r>
                <w:rPr>
                  <w:rStyle w:val="Hyperlink"/>
                </w:rPr>
                <w:t xml:space="preserve">第137章</w:t>
              </w:r>
            </w:hyperlink>
            <w:r>
              <w:t xml:space="preserve">、</w:t>
            </w:r>
            <w:hyperlink w:anchor="ch-154">
              <w:r>
                <w:rPr>
                  <w:rStyle w:val="Hyperlink"/>
                </w:rPr>
                <w:t xml:space="preserve">第154章</w:t>
              </w:r>
            </w:hyperlink>
          </w:p>
        </w:tc>
      </w:tr>
      <w:tr>
        <w:tc>
          <w:tcPr/>
          <w:p>
            <w:pPr>
              <w:pStyle w:val="Compact"/>
              <w:jc w:val="left"/>
            </w:pPr>
            <w:r>
              <w:t xml:space="preserve">NNT与NNH</w:t>
            </w:r>
          </w:p>
        </w:tc>
        <w:tc>
          <w:tcPr/>
          <w:p>
            <w:pPr>
              <w:pStyle w:val="Compact"/>
              <w:jc w:val="left"/>
            </w:pPr>
            <w:r>
              <w:t xml:space="preserve">需要治疗人数与需要伤害人数。在明确观察期和结局下，二者分别为绝对获益风险差与绝对伤害风险差的倒数；这是群体比较量，不能识别具体受益或受损者。</w:t>
            </w:r>
          </w:p>
        </w:tc>
        <w:tc>
          <w:tcPr/>
          <w:p>
            <w:pPr>
              <w:pStyle w:val="Compact"/>
              <w:jc w:val="left"/>
            </w:pPr>
            <w:hyperlink w:anchor="ch-57">
              <w:r>
                <w:rPr>
                  <w:rStyle w:val="Hyperlink"/>
                </w:rPr>
                <w:t xml:space="preserve">第57章</w:t>
              </w:r>
            </w:hyperlink>
            <w:r>
              <w:t xml:space="preserve">、</w:t>
            </w:r>
            <w:hyperlink w:anchor="ch-140">
              <w:r>
                <w:rPr>
                  <w:rStyle w:val="Hyperlink"/>
                </w:rPr>
                <w:t xml:space="preserve">第140章</w:t>
              </w:r>
            </w:hyperlink>
          </w:p>
        </w:tc>
      </w:tr>
      <w:tr>
        <w:tc>
          <w:tcPr/>
          <w:p>
            <w:pPr>
              <w:pStyle w:val="Compact"/>
              <w:jc w:val="left"/>
            </w:pPr>
            <w:r>
              <w:t xml:space="preserve">人群归因比例</w:t>
            </w:r>
          </w:p>
        </w:tc>
        <w:tc>
          <w:tcPr/>
          <w:p>
            <w:pPr>
              <w:pStyle w:val="Compact"/>
              <w:jc w:val="left"/>
            </w:pPr>
            <w:r>
              <w:t xml:space="preserve">在规定反事实和因果假设下，估计人群结局中可归因于某暴露的比例。它不等于消除暴露后必然可避免的个人概率。</w:t>
            </w:r>
          </w:p>
        </w:tc>
        <w:tc>
          <w:tcPr/>
          <w:p>
            <w:pPr>
              <w:pStyle w:val="Compact"/>
              <w:jc w:val="left"/>
            </w:pPr>
            <w:hyperlink w:anchor="ch-138">
              <w:r>
                <w:rPr>
                  <w:rStyle w:val="Hyperlink"/>
                </w:rPr>
                <w:t xml:space="preserve">第138章</w:t>
              </w:r>
            </w:hyperlink>
          </w:p>
        </w:tc>
      </w:tr>
      <w:tr>
        <w:tc>
          <w:tcPr/>
          <w:p>
            <w:pPr>
              <w:pStyle w:val="Compact"/>
              <w:jc w:val="left"/>
            </w:pPr>
            <w:r>
              <w:t xml:space="preserve">互信息</w:t>
            </w:r>
          </w:p>
        </w:tc>
        <w:tc>
          <w:tcPr/>
          <w:p>
            <w:pPr>
              <w:pStyle w:val="Compact"/>
              <w:jc w:val="left"/>
            </w:pPr>
            <w:r>
              <w:t xml:space="preserve">在规定随机变量及其联合分布下，观察一个变量后另一个变量不确定性的平均减少量；它对两个变量对称，本身不说明因果方向。数值依赖变量定义与估计方法。</w:t>
            </w:r>
          </w:p>
        </w:tc>
        <w:tc>
          <w:tcPr/>
          <w:p>
            <w:pPr>
              <w:pStyle w:val="Compact"/>
              <w:jc w:val="left"/>
            </w:pPr>
            <w:hyperlink w:anchor="ch-149">
              <w:r>
                <w:rPr>
                  <w:rStyle w:val="Hyperlink"/>
                </w:rPr>
                <w:t xml:space="preserve">第149章</w:t>
              </w:r>
            </w:hyperlink>
          </w:p>
        </w:tc>
      </w:tr>
      <w:tr>
        <w:tc>
          <w:tcPr/>
          <w:p>
            <w:pPr>
              <w:pStyle w:val="Compact"/>
              <w:jc w:val="left"/>
            </w:pPr>
            <w:r>
              <w:t xml:space="preserve">噪声相关</w:t>
            </w:r>
          </w:p>
        </w:tc>
        <w:tc>
          <w:tcPr/>
          <w:p>
            <w:pPr>
              <w:pStyle w:val="Compact"/>
              <w:jc w:val="left"/>
            </w:pPr>
            <w:r>
              <w:t xml:space="preserve">控制所定义刺激或任务条件后，神经响应剩余变动之间的统计关联；对编码的影响取决于相关结构与信号方向。</w:t>
            </w:r>
          </w:p>
        </w:tc>
        <w:tc>
          <w:tcPr/>
          <w:p>
            <w:pPr>
              <w:pStyle w:val="Compact"/>
              <w:jc w:val="left"/>
            </w:pPr>
            <w:hyperlink w:anchor="ch-149">
              <w:r>
                <w:rPr>
                  <w:rStyle w:val="Hyperlink"/>
                </w:rPr>
                <w:t xml:space="preserve">第149章</w:t>
              </w:r>
            </w:hyperlink>
          </w:p>
        </w:tc>
      </w:tr>
      <w:tr>
        <w:tc>
          <w:tcPr/>
          <w:p>
            <w:pPr>
              <w:pStyle w:val="Compact"/>
              <w:jc w:val="left"/>
            </w:pPr>
            <w:r>
              <w:t xml:space="preserve">神经流形与潜在状态</w:t>
            </w:r>
          </w:p>
        </w:tc>
        <w:tc>
          <w:tcPr/>
          <w:p>
            <w:pPr>
              <w:pStyle w:val="Compact"/>
              <w:jc w:val="left"/>
            </w:pPr>
            <w:r>
              <w:t xml:space="preserve">用于概括高维神经数据结构的低维表示。模型坐标、可解释机制和真实解剖实体需要分别验证。</w:t>
            </w:r>
          </w:p>
        </w:tc>
        <w:tc>
          <w:tcPr/>
          <w:p>
            <w:pPr>
              <w:pStyle w:val="Compact"/>
              <w:jc w:val="left"/>
            </w:pPr>
            <w:hyperlink w:anchor="ch-149">
              <w:r>
                <w:rPr>
                  <w:rStyle w:val="Hyperlink"/>
                </w:rPr>
                <w:t xml:space="preserve">第149章</w:t>
              </w:r>
            </w:hyperlink>
            <w:r>
              <w:t xml:space="preserve">、</w:t>
            </w:r>
            <w:hyperlink w:anchor="ch-150">
              <w:r>
                <w:rPr>
                  <w:rStyle w:val="Hyperlink"/>
                </w:rPr>
                <w:t xml:space="preserve">第150章</w:t>
              </w:r>
            </w:hyperlink>
          </w:p>
        </w:tc>
      </w:tr>
      <w:tr>
        <w:tc>
          <w:tcPr/>
          <w:p>
            <w:pPr>
              <w:pStyle w:val="Compact"/>
              <w:jc w:val="left"/>
            </w:pPr>
            <w:r>
              <w:t xml:space="preserve">可识别性</w:t>
            </w:r>
          </w:p>
        </w:tc>
        <w:tc>
          <w:tcPr/>
          <w:p>
            <w:pPr>
              <w:pStyle w:val="Compact"/>
              <w:jc w:val="left"/>
            </w:pPr>
            <w:r>
              <w:t xml:space="preserve">不同参数或模型是否能够被规定数据与实验设计区分。结构上不可区分与有限数据下估计不精确具有不同原因。</w:t>
            </w:r>
          </w:p>
        </w:tc>
        <w:tc>
          <w:tcPr/>
          <w:p>
            <w:pPr>
              <w:pStyle w:val="Compact"/>
              <w:jc w:val="left"/>
            </w:pPr>
            <w:hyperlink w:anchor="ch-151">
              <w:r>
                <w:rPr>
                  <w:rStyle w:val="Hyperlink"/>
                </w:rPr>
                <w:t xml:space="preserve">第151章</w:t>
              </w:r>
            </w:hyperlink>
          </w:p>
        </w:tc>
      </w:tr>
      <w:tr>
        <w:tc>
          <w:tcPr/>
          <w:p>
            <w:pPr>
              <w:pStyle w:val="Compact"/>
              <w:jc w:val="left"/>
            </w:pPr>
            <w:r>
              <w:t xml:space="preserve">参数与模型恢复</w:t>
            </w:r>
          </w:p>
        </w:tc>
        <w:tc>
          <w:tcPr/>
          <w:p>
            <w:pPr>
              <w:pStyle w:val="Compact"/>
              <w:jc w:val="left"/>
            </w:pPr>
            <w:r>
              <w:t xml:space="preserve">用已知生成过程的数据检验能否恢复参数或区分候选模型；结果受模拟范围与候选集合限制。</w:t>
            </w:r>
          </w:p>
        </w:tc>
        <w:tc>
          <w:tcPr/>
          <w:p>
            <w:pPr>
              <w:pStyle w:val="Compact"/>
              <w:jc w:val="left"/>
            </w:pPr>
            <w:hyperlink w:anchor="ch-151">
              <w:r>
                <w:rPr>
                  <w:rStyle w:val="Hyperlink"/>
                </w:rPr>
                <w:t xml:space="preserve">第151章</w:t>
              </w:r>
            </w:hyperlink>
          </w:p>
        </w:tc>
      </w:tr>
      <w:tr>
        <w:tc>
          <w:tcPr/>
          <w:p>
            <w:pPr>
              <w:pStyle w:val="Compact"/>
              <w:jc w:val="left"/>
            </w:pPr>
            <w:r>
              <w:t xml:space="preserve">层级模型与收缩</w:t>
            </w:r>
          </w:p>
        </w:tc>
        <w:tc>
          <w:tcPr/>
          <w:p>
            <w:pPr>
              <w:pStyle w:val="Compact"/>
              <w:jc w:val="left"/>
            </w:pPr>
            <w:r>
              <w:t xml:space="preserve">在群体与个体层次共同建模，并依据不确定性共享信息。收缩幅度与模型假设相关，不能自动解释为个体更接近正常。</w:t>
            </w:r>
          </w:p>
        </w:tc>
        <w:tc>
          <w:tcPr/>
          <w:p>
            <w:pPr>
              <w:pStyle w:val="Compact"/>
              <w:jc w:val="left"/>
            </w:pPr>
            <w:hyperlink w:anchor="ch-151">
              <w:r>
                <w:rPr>
                  <w:rStyle w:val="Hyperlink"/>
                </w:rPr>
                <w:t xml:space="preserve">第151章</w:t>
              </w:r>
            </w:hyperlink>
          </w:p>
        </w:tc>
      </w:tr>
      <w:tr>
        <w:tc>
          <w:tcPr/>
          <w:p>
            <w:pPr>
              <w:pStyle w:val="Compact"/>
              <w:jc w:val="left"/>
            </w:pPr>
            <w:r>
              <w:t xml:space="preserve">意识内容与意识状态</w:t>
            </w:r>
          </w:p>
        </w:tc>
        <w:tc>
          <w:tcPr/>
          <w:p>
            <w:pPr>
              <w:pStyle w:val="Compact"/>
              <w:jc w:val="left"/>
            </w:pPr>
            <w:r>
              <w:t xml:space="preserve">内容涉及具体体验是什么，状态涉及有无及水平等条件；行为报告、任务执行和神经指标分别提供有限证据。</w:t>
            </w:r>
          </w:p>
        </w:tc>
        <w:tc>
          <w:tcPr/>
          <w:p>
            <w:pPr>
              <w:pStyle w:val="Compact"/>
              <w:jc w:val="left"/>
            </w:pPr>
            <w:hyperlink w:anchor="ch-148">
              <w:r>
                <w:rPr>
                  <w:rStyle w:val="Hyperlink"/>
                </w:rPr>
                <w:t xml:space="preserve">第148章</w:t>
              </w:r>
            </w:hyperlink>
            <w:r>
              <w:t xml:space="preserve">、</w:t>
            </w:r>
            <w:hyperlink w:anchor="ch-53">
              <w:r>
                <w:rPr>
                  <w:rStyle w:val="Hyperlink"/>
                </w:rPr>
                <w:t xml:space="preserve">第53章</w:t>
              </w:r>
            </w:hyperlink>
          </w:p>
        </w:tc>
      </w:tr>
      <w:tr>
        <w:tc>
          <w:tcPr/>
          <w:p>
            <w:pPr>
              <w:pStyle w:val="Compact"/>
              <w:jc w:val="left"/>
            </w:pPr>
            <w:r>
              <w:t xml:space="preserve">认知运动分离</w:t>
            </w:r>
          </w:p>
        </w:tc>
        <w:tc>
          <w:tcPr/>
          <w:p>
            <w:pPr>
              <w:pStyle w:val="Compact"/>
              <w:jc w:val="left"/>
            </w:pPr>
            <w:r>
              <w:t xml:space="preserve">缺乏相应床旁行为反应时，特定脑电或影像任务仍显示指令相关认知活动的情形；阴性测试不能普遍排除意识。</w:t>
            </w:r>
          </w:p>
        </w:tc>
        <w:tc>
          <w:tcPr/>
          <w:p>
            <w:pPr>
              <w:pStyle w:val="Compact"/>
              <w:jc w:val="left"/>
            </w:pPr>
            <w:hyperlink w:anchor="ch-148">
              <w:r>
                <w:rPr>
                  <w:rStyle w:val="Hyperlink"/>
                </w:rPr>
                <w:t xml:space="preserve">第148章</w:t>
              </w:r>
            </w:hyperlink>
          </w:p>
        </w:tc>
      </w:tr>
      <w:tr>
        <w:tc>
          <w:tcPr/>
          <w:p>
            <w:pPr>
              <w:pStyle w:val="Compact"/>
              <w:jc w:val="left"/>
            </w:pPr>
            <w:r>
              <w:t xml:space="preserve">脑机接口</w:t>
            </w:r>
          </w:p>
        </w:tc>
        <w:tc>
          <w:tcPr/>
          <w:p>
            <w:pPr>
              <w:pStyle w:val="Compact"/>
              <w:jc w:val="left"/>
            </w:pPr>
            <w:r>
              <w:t xml:space="preserve">将神经信号转换为通信或设备控制等输出的系统；性能需要结合校准、延迟、纠错、稳定性与实际使用条件评价。</w:t>
            </w:r>
          </w:p>
        </w:tc>
        <w:tc>
          <w:tcPr/>
          <w:p>
            <w:pPr>
              <w:pStyle w:val="Compact"/>
              <w:jc w:val="left"/>
            </w:pPr>
            <w:hyperlink w:anchor="ch-152">
              <w:r>
                <w:rPr>
                  <w:rStyle w:val="Hyperlink"/>
                </w:rPr>
                <w:t xml:space="preserve">第152章</w:t>
              </w:r>
            </w:hyperlink>
          </w:p>
        </w:tc>
      </w:tr>
      <w:tr>
        <w:tc>
          <w:tcPr/>
          <w:p>
            <w:pPr>
              <w:pStyle w:val="Compact"/>
              <w:jc w:val="left"/>
            </w:pPr>
            <w:r>
              <w:t xml:space="preserve">闭环神经调控</w:t>
            </w:r>
          </w:p>
        </w:tc>
        <w:tc>
          <w:tcPr/>
          <w:p>
            <w:pPr>
              <w:pStyle w:val="Compact"/>
              <w:jc w:val="left"/>
            </w:pPr>
            <w:r>
              <w:t xml:space="preserve">依据实时或近期测得的状态调整刺激的系统。检测、状态估计、控制策略与临床收益需要分别验证。</w:t>
            </w:r>
          </w:p>
        </w:tc>
        <w:tc>
          <w:tcPr/>
          <w:p>
            <w:pPr>
              <w:pStyle w:val="Compact"/>
              <w:jc w:val="left"/>
            </w:pPr>
            <w:hyperlink w:anchor="ch-142">
              <w:r>
                <w:rPr>
                  <w:rStyle w:val="Hyperlink"/>
                </w:rPr>
                <w:t xml:space="preserve">第142章</w:t>
              </w:r>
            </w:hyperlink>
            <w:r>
              <w:t xml:space="preserve">、</w:t>
            </w:r>
            <w:hyperlink w:anchor="ch-152">
              <w:r>
                <w:rPr>
                  <w:rStyle w:val="Hyperlink"/>
                </w:rPr>
                <w:t xml:space="preserve">第152章</w:t>
              </w:r>
            </w:hyperlink>
          </w:p>
        </w:tc>
      </w:tr>
      <w:tr>
        <w:tc>
          <w:tcPr/>
          <w:p>
            <w:pPr>
              <w:pStyle w:val="Compact"/>
              <w:jc w:val="left"/>
            </w:pPr>
            <w:r>
              <w:t xml:space="preserve">iPSC</w:t>
            </w:r>
          </w:p>
        </w:tc>
        <w:tc>
          <w:tcPr/>
          <w:p>
            <w:pPr>
              <w:pStyle w:val="Compact"/>
              <w:jc w:val="left"/>
            </w:pPr>
            <w:r>
              <w:t xml:space="preserve">诱导多能干细胞，可用于建立不同神经细胞或组织模型；重编程与培养过程会影响年龄、表观状态及实验解释。</w:t>
            </w:r>
          </w:p>
        </w:tc>
        <w:tc>
          <w:tcPr/>
          <w:p>
            <w:pPr>
              <w:pStyle w:val="Compact"/>
              <w:jc w:val="left"/>
            </w:pPr>
            <w:hyperlink w:anchor="ch-153">
              <w:r>
                <w:rPr>
                  <w:rStyle w:val="Hyperlink"/>
                </w:rPr>
                <w:t xml:space="preserve">第153章</w:t>
              </w:r>
            </w:hyperlink>
          </w:p>
        </w:tc>
      </w:tr>
      <w:tr>
        <w:tc>
          <w:tcPr/>
          <w:p>
            <w:pPr>
              <w:pStyle w:val="Compact"/>
              <w:jc w:val="left"/>
            </w:pPr>
            <w:r>
              <w:t xml:space="preserve">类器官与组装体</w:t>
            </w:r>
          </w:p>
        </w:tc>
        <w:tc>
          <w:tcPr/>
          <w:p>
            <w:pPr>
              <w:pStyle w:val="Compact"/>
              <w:jc w:val="left"/>
            </w:pPr>
            <w:r>
              <w:t xml:space="preserve">类器官通过培养中的自组织形成组织特征；神经组装体连接多个组件以研究相互作用。两者需要按来源、诱导与功能证据描述。</w:t>
            </w:r>
          </w:p>
        </w:tc>
        <w:tc>
          <w:tcPr/>
          <w:p>
            <w:pPr>
              <w:pStyle w:val="Compact"/>
              <w:jc w:val="left"/>
            </w:pPr>
            <w:hyperlink w:anchor="ch-153">
              <w:r>
                <w:rPr>
                  <w:rStyle w:val="Hyperlink"/>
                </w:rPr>
                <w:t xml:space="preserve">第153章</w:t>
              </w:r>
            </w:hyperlink>
          </w:p>
        </w:tc>
      </w:tr>
      <w:tr>
        <w:tc>
          <w:tcPr/>
          <w:p>
            <w:pPr>
              <w:pStyle w:val="Compact"/>
              <w:jc w:val="left"/>
            </w:pPr>
            <w:r>
              <w:t xml:space="preserve">等基因背景对照</w:t>
            </w:r>
          </w:p>
        </w:tc>
        <w:tc>
          <w:tcPr/>
          <w:p>
            <w:pPr>
              <w:pStyle w:val="Compact"/>
              <w:jc w:val="left"/>
            </w:pPr>
            <w:r>
              <w:t xml:space="preserve">在同一遗传背景中引入或校正特定变异，以帮助评估该变异作用的比较策略；仍需考虑编辑、克隆、批次和分化状态的差异。</w:t>
            </w:r>
          </w:p>
        </w:tc>
        <w:tc>
          <w:tcPr/>
          <w:p>
            <w:pPr>
              <w:pStyle w:val="Compact"/>
              <w:jc w:val="left"/>
            </w:pPr>
            <w:hyperlink w:anchor="ch-153">
              <w:r>
                <w:rPr>
                  <w:rStyle w:val="Hyperlink"/>
                </w:rPr>
                <w:t xml:space="preserve">第153章</w:t>
              </w:r>
            </w:hyperlink>
          </w:p>
        </w:tc>
      </w:tr>
      <w:tr>
        <w:tc>
          <w:tcPr/>
          <w:p>
            <w:pPr>
              <w:pStyle w:val="Compact"/>
              <w:jc w:val="left"/>
            </w:pPr>
            <w:r>
              <w:t xml:space="preserve">反义寡核苷酸</w:t>
            </w:r>
          </w:p>
        </w:tc>
        <w:tc>
          <w:tcPr/>
          <w:p>
            <w:pPr>
              <w:pStyle w:val="Compact"/>
              <w:jc w:val="left"/>
            </w:pPr>
            <w:r>
              <w:t xml:space="preserve">与特定核酸序列结合的分子工具或药物；不同设计可以促进RNA降解或改变剪接，实际作用需要按靶点、递送及结局验证。</w:t>
            </w:r>
          </w:p>
        </w:tc>
        <w:tc>
          <w:tcPr/>
          <w:p>
            <w:pPr>
              <w:pStyle w:val="Compact"/>
              <w:jc w:val="left"/>
            </w:pPr>
            <w:hyperlink w:anchor="ch-154">
              <w:r>
                <w:rPr>
                  <w:rStyle w:val="Hyperlink"/>
                </w:rPr>
                <w:t xml:space="preserve">第154章</w:t>
              </w:r>
            </w:hyperlink>
          </w:p>
        </w:tc>
      </w:tr>
      <w:tr>
        <w:tc>
          <w:tcPr/>
          <w:p>
            <w:pPr>
              <w:pStyle w:val="Compact"/>
              <w:jc w:val="left"/>
            </w:pPr>
            <w:r>
              <w:t xml:space="preserve">蛋白质稳态</w:t>
            </w:r>
          </w:p>
        </w:tc>
        <w:tc>
          <w:tcPr/>
          <w:p>
            <w:pPr>
              <w:pStyle w:val="Compact"/>
              <w:jc w:val="left"/>
            </w:pPr>
            <w:r>
              <w:t xml:space="preserve">细胞通过合成、折叠、运输、修复和降解等过程维持蛋白质功能与数量的动态平衡；失衡后果取决于蛋白种类、细胞区室和时间。</w:t>
            </w:r>
          </w:p>
        </w:tc>
        <w:tc>
          <w:tcPr/>
          <w:p>
            <w:pPr>
              <w:pStyle w:val="Compact"/>
              <w:jc w:val="left"/>
            </w:pPr>
            <w:hyperlink w:anchor="ch-154">
              <w:r>
                <w:rPr>
                  <w:rStyle w:val="Hyperlink"/>
                </w:rPr>
                <w:t xml:space="preserve">第154章</w:t>
              </w:r>
            </w:hyperlink>
          </w:p>
        </w:tc>
      </w:tr>
      <w:tr>
        <w:tc>
          <w:tcPr/>
          <w:p>
            <w:pPr>
              <w:pStyle w:val="Compact"/>
              <w:jc w:val="left"/>
            </w:pPr>
            <w:r>
              <w:t xml:space="preserve">体细胞重复扩增</w:t>
            </w:r>
          </w:p>
        </w:tc>
        <w:tc>
          <w:tcPr/>
          <w:p>
            <w:pPr>
              <w:pStyle w:val="Compact"/>
              <w:jc w:val="left"/>
            </w:pPr>
            <w:r>
              <w:t xml:space="preserve">某些DNA重复序列在个体生命过程中于体细胞中继续增长的现象；不同组织和细胞类型的长度分布可以不同。</w:t>
            </w:r>
          </w:p>
        </w:tc>
        <w:tc>
          <w:tcPr/>
          <w:p>
            <w:pPr>
              <w:pStyle w:val="Compact"/>
              <w:jc w:val="left"/>
            </w:pPr>
            <w:hyperlink w:anchor="ch-154">
              <w:r>
                <w:rPr>
                  <w:rStyle w:val="Hyperlink"/>
                </w:rPr>
                <w:t xml:space="preserve">第154章</w:t>
              </w:r>
            </w:hyperlink>
          </w:p>
        </w:tc>
      </w:tr>
      <w:tr>
        <w:tc>
          <w:tcPr/>
          <w:p>
            <w:pPr>
              <w:pStyle w:val="Compact"/>
              <w:jc w:val="left"/>
            </w:pPr>
            <w:r>
              <w:t xml:space="preserve">重复中断序列</w:t>
            </w:r>
          </w:p>
        </w:tc>
        <w:tc>
          <w:tcPr/>
          <w:p>
            <w:pPr>
              <w:pStyle w:val="Compact"/>
              <w:jc w:val="left"/>
            </w:pPr>
            <w:r>
              <w:t xml:space="preserve">在连续重复序列中出现不同于主要重复单位的序列片段，可影响重复稳定性与表型；影响方向取决于具体位点、组织和疾病机制。</w:t>
            </w:r>
          </w:p>
        </w:tc>
        <w:tc>
          <w:tcPr/>
          <w:p>
            <w:pPr>
              <w:pStyle w:val="Compact"/>
              <w:jc w:val="left"/>
            </w:pPr>
            <w:hyperlink w:anchor="ch-154">
              <w:r>
                <w:rPr>
                  <w:rStyle w:val="Hyperlink"/>
                </w:rPr>
                <w:t xml:space="preserve">第154章</w:t>
              </w:r>
            </w:hyperlink>
          </w:p>
        </w:tc>
      </w:tr>
      <w:tr>
        <w:tc>
          <w:tcPr/>
          <w:p>
            <w:pPr>
              <w:pStyle w:val="Compact"/>
              <w:jc w:val="left"/>
            </w:pPr>
            <w:r>
              <w:t xml:space="preserve">外显率与致病性</w:t>
            </w:r>
          </w:p>
        </w:tc>
        <w:tc>
          <w:tcPr/>
          <w:p>
            <w:pPr>
              <w:pStyle w:val="Compact"/>
              <w:jc w:val="left"/>
            </w:pPr>
            <w:r>
              <w:t xml:space="preserve">外显率描述相应变异携带者在规定条件下表现疾病的比例；致病性评价变异导致某类疾病的证据，两者不能互换。</w:t>
            </w:r>
          </w:p>
        </w:tc>
        <w:tc>
          <w:tcPr/>
          <w:p>
            <w:pPr>
              <w:pStyle w:val="Compact"/>
              <w:jc w:val="left"/>
            </w:pPr>
            <w:hyperlink w:anchor="ch-154">
              <w:r>
                <w:rPr>
                  <w:rStyle w:val="Hyperlink"/>
                </w:rPr>
                <w:t xml:space="preserve">第154章</w:t>
              </w:r>
            </w:hyperlink>
            <w:r>
              <w:t xml:space="preserve">、</w:t>
            </w:r>
            <w:hyperlink w:anchor="ch-125">
              <w:r>
                <w:rPr>
                  <w:rStyle w:val="Hyperlink"/>
                </w:rPr>
                <w:t xml:space="preserve">第125章</w:t>
              </w:r>
            </w:hyperlink>
          </w:p>
        </w:tc>
      </w:tr>
      <w:tr>
        <w:tc>
          <w:tcPr/>
          <w:p>
            <w:pPr>
              <w:pStyle w:val="Compact"/>
              <w:jc w:val="left"/>
            </w:pPr>
            <w:r>
              <w:t xml:space="preserve">正念冥想</w:t>
            </w:r>
          </w:p>
        </w:tc>
        <w:tc>
          <w:tcPr/>
          <w:p>
            <w:pPr>
              <w:pStyle w:val="Compact"/>
              <w:jc w:val="left"/>
            </w:pPr>
            <w:r>
              <w:t xml:space="preserve">本书中泛指四类对象：具体的心理练习技术、传统修行体系、以正念减压和正念认知疗法为代表的结构化临床课程，以及商业应用。“正念”一词还被分别用来指一种状态、一种人格特质、一种练习、一种课程和一个佛教概念。</w:t>
            </w:r>
          </w:p>
        </w:tc>
        <w:tc>
          <w:tcPr/>
          <w:p>
            <w:pPr>
              <w:pStyle w:val="Compact"/>
              <w:jc w:val="left"/>
            </w:pPr>
            <w:hyperlink w:anchor="ch-108">
              <w:r>
                <w:rPr>
                  <w:rStyle w:val="Hyperlink"/>
                </w:rPr>
                <w:t xml:space="preserve">第108章</w:t>
              </w:r>
            </w:hyperlink>
            <w:r>
              <w:t xml:space="preserve">、</w:t>
            </w:r>
            <w:hyperlink w:anchor="ch-118">
              <w:r>
                <w:rPr>
                  <w:rStyle w:val="Hyperlink"/>
                </w:rPr>
                <w:t xml:space="preserve">第118章</w:t>
              </w:r>
            </w:hyperlink>
          </w:p>
        </w:tc>
      </w:tr>
      <w:tr>
        <w:tc>
          <w:tcPr/>
          <w:p>
            <w:pPr>
              <w:pStyle w:val="Compact"/>
              <w:jc w:val="left"/>
            </w:pPr>
            <w:r>
              <w:t xml:space="preserve">正念减压（MBSR）</w:t>
            </w:r>
          </w:p>
        </w:tc>
        <w:tc>
          <w:tcPr/>
          <w:p>
            <w:pPr>
              <w:pStyle w:val="Compact"/>
              <w:jc w:val="left"/>
            </w:pPr>
            <w:r>
              <w:t xml:space="preserve">八周的结构化团体课程，包含静坐、身体扫描、温和瑜伽、教师接触和团体支持；随机试验估计的是“被分到整套课程”的平均效果。</w:t>
            </w:r>
          </w:p>
        </w:tc>
        <w:tc>
          <w:tcPr/>
          <w:p>
            <w:pPr>
              <w:pStyle w:val="Compact"/>
              <w:jc w:val="left"/>
            </w:pPr>
            <w:hyperlink w:anchor="ch-117">
              <w:r>
                <w:rPr>
                  <w:rStyle w:val="Hyperlink"/>
                </w:rPr>
                <w:t xml:space="preserve">第117章</w:t>
              </w:r>
            </w:hyperlink>
          </w:p>
        </w:tc>
      </w:tr>
      <w:tr>
        <w:tc>
          <w:tcPr/>
          <w:p>
            <w:pPr>
              <w:pStyle w:val="Compact"/>
              <w:jc w:val="left"/>
            </w:pPr>
            <w:r>
              <w:t xml:space="preserve">正念认知疗法（MBCT）</w:t>
            </w:r>
          </w:p>
        </w:tc>
        <w:tc>
          <w:tcPr/>
          <w:p>
            <w:pPr>
              <w:pStyle w:val="Compact"/>
              <w:jc w:val="left"/>
            </w:pPr>
            <w:r>
              <w:t xml:space="preserve">为反复发作的抑郁症设计的八周团体课程，结合认知疗法的元素与正念训练，在缓解期学习，目标是预防复发。</w:t>
            </w:r>
          </w:p>
        </w:tc>
        <w:tc>
          <w:tcPr/>
          <w:p>
            <w:pPr>
              <w:pStyle w:val="Compact"/>
              <w:jc w:val="left"/>
            </w:pPr>
            <w:hyperlink w:anchor="ch-117">
              <w:r>
                <w:rPr>
                  <w:rStyle w:val="Hyperlink"/>
                </w:rPr>
                <w:t xml:space="preserve">第117章</w:t>
              </w:r>
            </w:hyperlink>
          </w:p>
        </w:tc>
      </w:tr>
    </w:tbl>
    <w:p>
      <w:pPr>
        <w:pStyle w:val="FrontHeading"/>
      </w:pPr>
      <w:bookmarkStart w:id="2591" w:name="references"/>
      <w:bookmarkEnd w:id="2591"/>
      <w:r>
        <w:t xml:space="preserve">参考文献</w:t>
      </w:r>
    </w:p>
    <w:p>
      <w:pPr>
        <w:pStyle w:val="PartIntro"/>
      </w:pPr>
      <w:r>
        <w:t xml:space="preserve">按正文中首次引用的先后编号。期刊论文附 DOI 或 PubMed 链接，网页与古籍附网址，书籍注明出版者与年份；资料检索截至 2026 年 10 月。部分条目附“研究类型”，说明这项研究属于哪一类设计，便于判断它能回答什么问题；条目后括注的“更正”“勘误”是期刊就该文发布的正式更正。</w:t>
      </w:r>
    </w:p>
    <w:p>
      <w:pPr>
        <w:pStyle w:val="ReferenceEntry"/>
      </w:pPr>
      <w:bookmarkStart w:id="2592" w:name="ref-1"/>
      <w:r>
        <w:t xml:space="preserve">[1]</w:t>
      </w:r>
      <w:bookmarkEnd w:id="2592"/>
      <w:r>
        <w:t xml:space="preserve"> Petanjek Z, Judaš M, Šimić G, Rašin MR, Uylings HBM, Rakic P, et al. Extraordinary neoteny of synaptic spines in the human prefrontal cortex.</w:t>
      </w:r>
      <w:r>
        <w:t xml:space="preserve"> </w:t>
      </w:r>
      <w:r>
        <w:rPr>
          <w:iCs/>
          <w:i/>
        </w:rPr>
        <w:t xml:space="preserve">Proceedings of the National Academy of Sciences</w:t>
      </w:r>
      <w:r>
        <w:t xml:space="preserve">. 2011;108(32):13281–13286.</w:t>
      </w:r>
      <w:r>
        <w:t xml:space="preserve"> </w:t>
      </w:r>
      <w:hyperlink r:id="rId2593">
        <w:r>
          <w:rPr>
            <w:rStyle w:val="Hyperlink"/>
          </w:rPr>
          <w:t xml:space="preserve">https://doi.org/10.1073/pnas.1105108108</w:t>
        </w:r>
      </w:hyperlink>
      <w:r>
        <w:t xml:space="preserve">（研究类型：死后人脑形态研究）</w:t>
      </w:r>
    </w:p>
    <w:p>
      <w:pPr>
        <w:pStyle w:val="ReferenceEntry"/>
      </w:pPr>
      <w:bookmarkStart w:id="2594" w:name="ref-2"/>
      <w:r>
        <w:t xml:space="preserve">[2]</w:t>
      </w:r>
      <w:bookmarkEnd w:id="2594"/>
      <w:r>
        <w:t xml:space="preserve"> Azevedo FA, Carvalho LR, Grinberg LT, et al. Equal numbers of neuronal and nonneuronal cells make the human brain an isometrically scaled‐up primate brain.</w:t>
      </w:r>
      <w:r>
        <w:t xml:space="preserve"> </w:t>
      </w:r>
      <w:r>
        <w:rPr>
          <w:iCs/>
          <w:i/>
        </w:rPr>
        <w:t xml:space="preserve">Journal of Comparative Neurology</w:t>
      </w:r>
      <w:r>
        <w:t xml:space="preserve">. 2009;513(5):532–541.</w:t>
      </w:r>
      <w:r>
        <w:t xml:space="preserve"> </w:t>
      </w:r>
      <w:hyperlink r:id="rId2595">
        <w:r>
          <w:rPr>
            <w:rStyle w:val="Hyperlink"/>
          </w:rPr>
          <w:t xml:space="preserve">https://doi.org/10.1002/cne.21974</w:t>
        </w:r>
      </w:hyperlink>
    </w:p>
    <w:p>
      <w:pPr>
        <w:pStyle w:val="ReferenceEntry"/>
      </w:pPr>
      <w:bookmarkStart w:id="2596" w:name="ref-3"/>
      <w:r>
        <w:t xml:space="preserve">[3]</w:t>
      </w:r>
      <w:bookmarkEnd w:id="2596"/>
      <w:r>
        <w:t xml:space="preserve"> Huttenlocher PR, Dabholkar AS. Regional differences in synaptogenesis in human cerebral cortex.</w:t>
      </w:r>
      <w:r>
        <w:t xml:space="preserve"> </w:t>
      </w:r>
      <w:r>
        <w:rPr>
          <w:iCs/>
          <w:i/>
        </w:rPr>
        <w:t xml:space="preserve">The Journal of Comparative Neurology</w:t>
      </w:r>
      <w:r>
        <w:t xml:space="preserve">. 1997;387(2):167–178.</w:t>
      </w:r>
      <w:r>
        <w:t xml:space="preserve"> </w:t>
      </w:r>
      <w:hyperlink r:id="rId2597">
        <w:r>
          <w:rPr>
            <w:rStyle w:val="Hyperlink"/>
          </w:rPr>
          <w:t xml:space="preserve">https://doi.org/10.1002/(SICI)1096-9861(19971020)387:2&lt;167::AID-CNE1&gt;3.0.CO;2-Z</w:t>
        </w:r>
      </w:hyperlink>
      <w:r>
        <w:t xml:space="preserve">（研究类型：人脑发育组织形态研究）</w:t>
      </w:r>
    </w:p>
    <w:p>
      <w:pPr>
        <w:pStyle w:val="ReferenceEntry"/>
      </w:pPr>
      <w:bookmarkStart w:id="2598" w:name="ref-4"/>
      <w:r>
        <w:t xml:space="preserve">[4]</w:t>
      </w:r>
      <w:bookmarkEnd w:id="2598"/>
      <w:r>
        <w:t xml:space="preserve"> Purves D, Augustine GJ, Fitzpatrick D, et al., editors.</w:t>
      </w:r>
      <w:r>
        <w:t xml:space="preserve"> </w:t>
      </w:r>
      <w:r>
        <w:rPr>
          <w:iCs/>
          <w:i/>
        </w:rPr>
        <w:t xml:space="preserve">Neuroscience</w:t>
      </w:r>
      <w:r>
        <w:t xml:space="preserve">. 2nd ed. 2001. Chapter: Some Anatomical Terminology.</w:t>
      </w:r>
      <w:r>
        <w:t xml:space="preserve"> </w:t>
      </w:r>
      <w:hyperlink r:id="rId2599">
        <w:r>
          <w:rPr>
            <w:rStyle w:val="Hyperlink"/>
          </w:rPr>
          <w:t xml:space="preserve">https://www.ncbi.nlm.nih.gov/books/NBK10971/</w:t>
        </w:r>
      </w:hyperlink>
      <w:r>
        <w:t xml:space="preserve">（研究类型：基础神经科学教材章节）</w:t>
      </w:r>
    </w:p>
    <w:p>
      <w:pPr>
        <w:pStyle w:val="ReferenceEntry"/>
      </w:pPr>
      <w:bookmarkStart w:id="2600" w:name="ref-5"/>
      <w:r>
        <w:t xml:space="preserve">[5]</w:t>
      </w:r>
      <w:bookmarkEnd w:id="2600"/>
      <w:r>
        <w:t xml:space="preserve"> Purves D, Augustine GJ, Fitzpatrick D, et al., editors.</w:t>
      </w:r>
      <w:r>
        <w:t xml:space="preserve"> </w:t>
      </w:r>
      <w:r>
        <w:rPr>
          <w:iCs/>
          <w:i/>
        </w:rPr>
        <w:t xml:space="preserve">Neuroscience</w:t>
      </w:r>
      <w:r>
        <w:t xml:space="preserve">. 2nd ed. 2001. Chapter: The Subdivisions of the Central Nervous System.</w:t>
      </w:r>
      <w:r>
        <w:t xml:space="preserve"> </w:t>
      </w:r>
      <w:hyperlink r:id="rId2601">
        <w:r>
          <w:rPr>
            <w:rStyle w:val="Hyperlink"/>
          </w:rPr>
          <w:t xml:space="preserve">https://www.ncbi.nlm.nih.gov/books/NBK10926/</w:t>
        </w:r>
      </w:hyperlink>
      <w:r>
        <w:t xml:space="preserve">（研究类型：基础神经科学教材章节）</w:t>
      </w:r>
    </w:p>
    <w:p>
      <w:pPr>
        <w:pStyle w:val="ReferenceEntry"/>
      </w:pPr>
      <w:bookmarkStart w:id="2602" w:name="ref-6"/>
      <w:r>
        <w:t xml:space="preserve">[6]</w:t>
      </w:r>
      <w:bookmarkEnd w:id="2602"/>
      <w:r>
        <w:t xml:space="preserve"> Purves D, Augustine GJ, Fitzpatrick D, et al., editors.</w:t>
      </w:r>
      <w:r>
        <w:t xml:space="preserve"> </w:t>
      </w:r>
      <w:r>
        <w:rPr>
          <w:iCs/>
          <w:i/>
        </w:rPr>
        <w:t xml:space="preserve">Neuroscience</w:t>
      </w:r>
      <w:r>
        <w:t xml:space="preserve">. 2nd ed. 2001. Chapter: Neural Systems.</w:t>
      </w:r>
      <w:r>
        <w:t xml:space="preserve"> </w:t>
      </w:r>
      <w:hyperlink r:id="rId2603">
        <w:r>
          <w:rPr>
            <w:rStyle w:val="Hyperlink"/>
          </w:rPr>
          <w:t xml:space="preserve">https://www.ncbi.nlm.nih.gov/books/NBK11061/</w:t>
        </w:r>
      </w:hyperlink>
      <w:r>
        <w:t xml:space="preserve">（研究类型：基础神经科学教材章节）</w:t>
      </w:r>
    </w:p>
    <w:p>
      <w:pPr>
        <w:pStyle w:val="ReferenceEntry"/>
      </w:pPr>
      <w:bookmarkStart w:id="2604" w:name="ref-7"/>
      <w:r>
        <w:t xml:space="preserve">[7]</w:t>
      </w:r>
      <w:bookmarkEnd w:id="2604"/>
      <w:r>
        <w:t xml:space="preserve"> Purves D, Augustine GJ, Fitzpatrick D, et al., editors.</w:t>
      </w:r>
      <w:r>
        <w:t xml:space="preserve"> </w:t>
      </w:r>
      <w:r>
        <w:rPr>
          <w:iCs/>
          <w:i/>
        </w:rPr>
        <w:t xml:space="preserve">Neuroscience</w:t>
      </w:r>
      <w:r>
        <w:t xml:space="preserve">. 2nd ed. 2001. Chapter: Neural Circuits.</w:t>
      </w:r>
      <w:r>
        <w:t xml:space="preserve"> </w:t>
      </w:r>
      <w:hyperlink r:id="rId2605">
        <w:r>
          <w:rPr>
            <w:rStyle w:val="Hyperlink"/>
          </w:rPr>
          <w:t xml:space="preserve">https://www.ncbi.nlm.nih.gov/books/NBK11154/</w:t>
        </w:r>
      </w:hyperlink>
      <w:r>
        <w:t xml:space="preserve">（研究类型：官方托管教材章节）</w:t>
      </w:r>
    </w:p>
    <w:p>
      <w:pPr>
        <w:pStyle w:val="ReferenceEntry"/>
      </w:pPr>
      <w:bookmarkStart w:id="2606" w:name="ref-8"/>
      <w:r>
        <w:t xml:space="preserve">[8]</w:t>
      </w:r>
      <w:bookmarkEnd w:id="2606"/>
      <w:r>
        <w:t xml:space="preserve"> Duke University School of Medicine. Lab 5 Sectional Anatomy of the Human Forebrain. 检索于2026年10月.</w:t>
      </w:r>
      <w:r>
        <w:t xml:space="preserve"> </w:t>
      </w:r>
      <w:hyperlink r:id="rId2607">
        <w:r>
          <w:rPr>
            <w:rStyle w:val="Hyperlink"/>
          </w:rPr>
          <w:t xml:space="preserve">https://brain.oit.duke.edu/lab05/lab05.html</w:t>
        </w:r>
      </w:hyperlink>
      <w:r>
        <w:t xml:space="preserve">（研究类型：医学院官方解剖教学资源）</w:t>
      </w:r>
    </w:p>
    <w:p>
      <w:pPr>
        <w:pStyle w:val="ReferenceEntry"/>
      </w:pPr>
      <w:bookmarkStart w:id="2608" w:name="ref-9"/>
      <w:r>
        <w:t xml:space="preserve">[9]</w:t>
      </w:r>
      <w:bookmarkEnd w:id="2608"/>
      <w:r>
        <w:t xml:space="preserve"> Purves D, Augustine GJ, Fitzpatrick D, et al., editors.</w:t>
      </w:r>
      <w:r>
        <w:t xml:space="preserve"> </w:t>
      </w:r>
      <w:r>
        <w:rPr>
          <w:iCs/>
          <w:i/>
        </w:rPr>
        <w:t xml:space="preserve">Neuroscience</w:t>
      </w:r>
      <w:r>
        <w:t xml:space="preserve">. 2nd ed. 2001. Chapter: The Internal Anatomy of the Spinal Cord.</w:t>
      </w:r>
      <w:r>
        <w:t xml:space="preserve"> </w:t>
      </w:r>
      <w:hyperlink r:id="rId2609">
        <w:r>
          <w:rPr>
            <w:rStyle w:val="Hyperlink"/>
          </w:rPr>
          <w:t xml:space="preserve">https://www.ncbi.nlm.nih.gov/books/NBK11008/</w:t>
        </w:r>
      </w:hyperlink>
      <w:r>
        <w:t xml:space="preserve">（研究类型：基础神经科学教材章节）</w:t>
      </w:r>
    </w:p>
    <w:p>
      <w:pPr>
        <w:pStyle w:val="ReferenceEntry"/>
      </w:pPr>
      <w:bookmarkStart w:id="2610" w:name="ref-10"/>
      <w:r>
        <w:t xml:space="preserve">[10]</w:t>
      </w:r>
      <w:bookmarkEnd w:id="2610"/>
      <w:r>
        <w:t xml:space="preserve"> Purves D, Augustine GJ, Fitzpatrick D, et al., editors.</w:t>
      </w:r>
      <w:r>
        <w:t xml:space="preserve"> </w:t>
      </w:r>
      <w:r>
        <w:rPr>
          <w:iCs/>
          <w:i/>
        </w:rPr>
        <w:t xml:space="preserve">Neuroscience</w:t>
      </w:r>
      <w:r>
        <w:t xml:space="preserve">. 2nd ed. 2001. Chapter: The Primary Motor Cortex: Upper Motor Neurons That Initiate Complex Voluntary Movements.</w:t>
      </w:r>
      <w:r>
        <w:t xml:space="preserve"> </w:t>
      </w:r>
      <w:hyperlink r:id="rId2611">
        <w:r>
          <w:rPr>
            <w:rStyle w:val="Hyperlink"/>
          </w:rPr>
          <w:t xml:space="preserve">https://www.ncbi.nlm.nih.gov/books/NBK10962/</w:t>
        </w:r>
      </w:hyperlink>
      <w:r>
        <w:t xml:space="preserve">（研究类型：基础神经科学教材章节）</w:t>
      </w:r>
    </w:p>
    <w:p>
      <w:pPr>
        <w:pStyle w:val="ReferenceEntry"/>
      </w:pPr>
      <w:bookmarkStart w:id="2612" w:name="ref-11"/>
      <w:r>
        <w:t xml:space="preserve">[11]</w:t>
      </w:r>
      <w:bookmarkEnd w:id="2612"/>
      <w:r>
        <w:t xml:space="preserve"> Purves D, Augustine GJ, Fitzpatrick D, et al., editors.</w:t>
      </w:r>
      <w:r>
        <w:t xml:space="preserve"> </w:t>
      </w:r>
      <w:r>
        <w:rPr>
          <w:iCs/>
          <w:i/>
        </w:rPr>
        <w:t xml:space="preserve">Neuroscience</w:t>
      </w:r>
      <w:r>
        <w:t xml:space="preserve">. 2nd ed. 2001. Chapter: The Major Afferent Pathway for Mechanosensory Information: The Dorsal Column Medial Lemniscus System.</w:t>
      </w:r>
      <w:r>
        <w:t xml:space="preserve"> </w:t>
      </w:r>
      <w:hyperlink r:id="rId2613">
        <w:r>
          <w:rPr>
            <w:rStyle w:val="Hyperlink"/>
          </w:rPr>
          <w:t xml:space="preserve">https://www.ncbi.nlm.nih.gov/books/NBK11142/</w:t>
        </w:r>
      </w:hyperlink>
      <w:r>
        <w:t xml:space="preserve">（研究类型：基础神经科学教材章节）</w:t>
      </w:r>
    </w:p>
    <w:p>
      <w:pPr>
        <w:pStyle w:val="ReferenceEntry"/>
      </w:pPr>
      <w:bookmarkStart w:id="2614" w:name="ref-12"/>
      <w:r>
        <w:t xml:space="preserve">[12]</w:t>
      </w:r>
      <w:bookmarkEnd w:id="2614"/>
      <w:r>
        <w:t xml:space="preserve"> Purves D, Augustine GJ, Fitzpatrick D, et al., editors.</w:t>
      </w:r>
      <w:r>
        <w:t xml:space="preserve"> </w:t>
      </w:r>
      <w:r>
        <w:rPr>
          <w:iCs/>
          <w:i/>
        </w:rPr>
        <w:t xml:space="preserve">Neuroscience</w:t>
      </w:r>
      <w:r>
        <w:t xml:space="preserve">. 2nd ed. 2001. Chapter: Central Pain Pathways: The Spinothalamic Tract.</w:t>
      </w:r>
      <w:r>
        <w:t xml:space="preserve"> </w:t>
      </w:r>
      <w:hyperlink r:id="rId2615">
        <w:r>
          <w:rPr>
            <w:rStyle w:val="Hyperlink"/>
          </w:rPr>
          <w:t xml:space="preserve">https://www.ncbi.nlm.nih.gov/books/NBK10967/</w:t>
        </w:r>
      </w:hyperlink>
      <w:r>
        <w:t xml:space="preserve">（研究类型：基础神经科学教材章节）</w:t>
      </w:r>
    </w:p>
    <w:p>
      <w:pPr>
        <w:pStyle w:val="ReferenceEntry"/>
      </w:pPr>
      <w:bookmarkStart w:id="2616" w:name="ref-13"/>
      <w:r>
        <w:t xml:space="preserve">[13]</w:t>
      </w:r>
      <w:bookmarkEnd w:id="2616"/>
      <w:r>
        <w:t xml:space="preserve"> Purves D, Augustine GJ, Fitzpatrick D, et al., editors.</w:t>
      </w:r>
      <w:r>
        <w:t xml:space="preserve"> </w:t>
      </w:r>
      <w:r>
        <w:rPr>
          <w:iCs/>
          <w:i/>
        </w:rPr>
        <w:t xml:space="preserve">Neuroscience</w:t>
      </w:r>
      <w:r>
        <w:t xml:space="preserve">. 2nd ed. 2001. Chapter: The Trigeminal Portion of the Mechanosensory System.</w:t>
      </w:r>
      <w:r>
        <w:t xml:space="preserve"> </w:t>
      </w:r>
      <w:hyperlink r:id="rId2617">
        <w:r>
          <w:rPr>
            <w:rStyle w:val="Hyperlink"/>
          </w:rPr>
          <w:t xml:space="preserve">https://www.ncbi.nlm.nih.gov/books/NBK10853/</w:t>
        </w:r>
      </w:hyperlink>
      <w:r>
        <w:t xml:space="preserve">（研究类型：基础神经科学教材章节）</w:t>
      </w:r>
    </w:p>
    <w:p>
      <w:pPr>
        <w:pStyle w:val="ReferenceEntry"/>
      </w:pPr>
      <w:bookmarkStart w:id="2618" w:name="ref-14"/>
      <w:r>
        <w:t xml:space="preserve">[14]</w:t>
      </w:r>
      <w:bookmarkEnd w:id="2618"/>
      <w:r>
        <w:t xml:space="preserve"> Casselman JW, Krainik A, Macdonald I. Evaluation of Patients with Cranial Nerve Disorders.</w:t>
      </w:r>
      <w:r>
        <w:t xml:space="preserve"> </w:t>
      </w:r>
      <w:r>
        <w:rPr>
          <w:iCs/>
          <w:i/>
        </w:rPr>
        <w:t xml:space="preserve">IDKD Springer Series</w:t>
      </w:r>
      <w:r>
        <w:t xml:space="preserve">. 2024:167–186.</w:t>
      </w:r>
      <w:r>
        <w:t xml:space="preserve"> </w:t>
      </w:r>
      <w:hyperlink r:id="rId2619">
        <w:r>
          <w:rPr>
            <w:rStyle w:val="Hyperlink"/>
          </w:rPr>
          <w:t xml:space="preserve">https://doi.org/10.1007/978-3-031-50675-8_12</w:t>
        </w:r>
      </w:hyperlink>
      <w:r>
        <w:t xml:space="preserve">（研究类型：专业影像教材章节）</w:t>
      </w:r>
    </w:p>
    <w:p>
      <w:pPr>
        <w:pStyle w:val="ReferenceEntry"/>
      </w:pPr>
      <w:bookmarkStart w:id="2620" w:name="ref-15"/>
      <w:r>
        <w:t xml:space="preserve">[15]</w:t>
      </w:r>
      <w:bookmarkEnd w:id="2620"/>
      <w:r>
        <w:t xml:space="preserve"> Purves D, Augustine GJ, Fitzpatrick D, et al., editors.</w:t>
      </w:r>
      <w:r>
        <w:t xml:space="preserve"> </w:t>
      </w:r>
      <w:r>
        <w:rPr>
          <w:iCs/>
          <w:i/>
        </w:rPr>
        <w:t xml:space="preserve">Neuroscience</w:t>
      </w:r>
      <w:r>
        <w:t xml:space="preserve">. 2nd ed. 2001. Chapter: The Internal Anatomy of the Cerebral Hemispheres and Diencephalon.</w:t>
      </w:r>
      <w:r>
        <w:t xml:space="preserve"> </w:t>
      </w:r>
      <w:hyperlink r:id="rId2621">
        <w:r>
          <w:rPr>
            <w:rStyle w:val="Hyperlink"/>
          </w:rPr>
          <w:t xml:space="preserve">https://www.ncbi.nlm.nih.gov/books/NBK10889/</w:t>
        </w:r>
      </w:hyperlink>
      <w:r>
        <w:t xml:space="preserve">（研究类型：基础神经科学教材章节）</w:t>
      </w:r>
    </w:p>
    <w:p>
      <w:pPr>
        <w:pStyle w:val="ReferenceEntry"/>
      </w:pPr>
      <w:bookmarkStart w:id="2622" w:name="ref-16"/>
      <w:r>
        <w:t xml:space="preserve">[16]</w:t>
      </w:r>
      <w:bookmarkEnd w:id="2622"/>
      <w:r>
        <w:t xml:space="preserve"> Purves D, Augustine GJ, Fitzpatrick D, et al., editors.</w:t>
      </w:r>
      <w:r>
        <w:t xml:space="preserve"> </w:t>
      </w:r>
      <w:r>
        <w:rPr>
          <w:iCs/>
          <w:i/>
        </w:rPr>
        <w:t xml:space="preserve">Neuroscience</w:t>
      </w:r>
      <w:r>
        <w:t xml:space="preserve">. 2nd ed. 2001. Chapter: Sensory Components of the Visceral Motor System.</w:t>
      </w:r>
      <w:r>
        <w:t xml:space="preserve"> </w:t>
      </w:r>
      <w:hyperlink r:id="rId2623">
        <w:r>
          <w:rPr>
            <w:rStyle w:val="Hyperlink"/>
          </w:rPr>
          <w:t xml:space="preserve">https://www.ncbi.nlm.nih.gov/books/NBK10902/</w:t>
        </w:r>
      </w:hyperlink>
      <w:r>
        <w:t xml:space="preserve">（研究类型：基础神经科学教材章节）</w:t>
      </w:r>
    </w:p>
    <w:p>
      <w:pPr>
        <w:pStyle w:val="ReferenceEntry"/>
      </w:pPr>
      <w:bookmarkStart w:id="2624" w:name="ref-17"/>
      <w:r>
        <w:t xml:space="preserve">[17]</w:t>
      </w:r>
      <w:bookmarkEnd w:id="2624"/>
      <w:r>
        <w:t xml:space="preserve"> Purves D, Augustine GJ, Fitzpatrick D, et al., editors.</w:t>
      </w:r>
      <w:r>
        <w:t xml:space="preserve"> </w:t>
      </w:r>
      <w:r>
        <w:rPr>
          <w:iCs/>
          <w:i/>
        </w:rPr>
        <w:t xml:space="preserve">Neuroscience</w:t>
      </w:r>
      <w:r>
        <w:t xml:space="preserve">. 2nd ed. 2001. Chapter: The Ventricular System.</w:t>
      </w:r>
      <w:r>
        <w:t xml:space="preserve"> </w:t>
      </w:r>
      <w:hyperlink r:id="rId2625">
        <w:r>
          <w:rPr>
            <w:rStyle w:val="Hyperlink"/>
          </w:rPr>
          <w:t xml:space="preserve">https://www.ncbi.nlm.nih.gov/books/NBK11083/</w:t>
        </w:r>
      </w:hyperlink>
      <w:r>
        <w:t xml:space="preserve">（研究类型：基础神经科学教材章节）</w:t>
      </w:r>
    </w:p>
    <w:p>
      <w:pPr>
        <w:pStyle w:val="ReferenceEntry"/>
      </w:pPr>
      <w:bookmarkStart w:id="2626" w:name="ref-18"/>
      <w:r>
        <w:t xml:space="preserve">[18]</w:t>
      </w:r>
      <w:bookmarkEnd w:id="2626"/>
      <w:r>
        <w:t xml:space="preserve"> Purves D, Augustine GJ, Fitzpatrick D, et al., editors.</w:t>
      </w:r>
      <w:r>
        <w:t xml:space="preserve"> </w:t>
      </w:r>
      <w:r>
        <w:rPr>
          <w:iCs/>
          <w:i/>
        </w:rPr>
        <w:t xml:space="preserve">Neuroscience</w:t>
      </w:r>
      <w:r>
        <w:t xml:space="preserve">. 2nd ed. 2001. Chapter: The Meninges.</w:t>
      </w:r>
      <w:r>
        <w:t xml:space="preserve"> </w:t>
      </w:r>
      <w:hyperlink r:id="rId2627">
        <w:r>
          <w:rPr>
            <w:rStyle w:val="Hyperlink"/>
          </w:rPr>
          <w:t xml:space="preserve">https://www.ncbi.nlm.nih.gov/books/NBK10877/</w:t>
        </w:r>
      </w:hyperlink>
      <w:r>
        <w:t xml:space="preserve">（研究类型：基础神经科学教材章节）</w:t>
      </w:r>
    </w:p>
    <w:p>
      <w:pPr>
        <w:pStyle w:val="ReferenceEntry"/>
      </w:pPr>
      <w:bookmarkStart w:id="2628" w:name="ref-19"/>
      <w:r>
        <w:t xml:space="preserve">[19]</w:t>
      </w:r>
      <w:bookmarkEnd w:id="2628"/>
      <w:r>
        <w:t xml:space="preserve"> Louveau A, Smirnov I, Keyes TJ, Eccles JD, Rouhani SJ, Peske JD, et al. Structural and functional features of central nervous system lymphatic vessels.</w:t>
      </w:r>
      <w:r>
        <w:t xml:space="preserve"> </w:t>
      </w:r>
      <w:r>
        <w:rPr>
          <w:iCs/>
          <w:i/>
        </w:rPr>
        <w:t xml:space="preserve">Nature</w:t>
      </w:r>
      <w:r>
        <w:t xml:space="preserve">. 2015;523(7560):337–341.</w:t>
      </w:r>
      <w:r>
        <w:t xml:space="preserve"> </w:t>
      </w:r>
      <w:hyperlink r:id="rId2629">
        <w:r>
          <w:rPr>
            <w:rStyle w:val="Hyperlink"/>
          </w:rPr>
          <w:t xml:space="preserve">https://doi.org/10.1038/nature14432</w:t>
        </w:r>
      </w:hyperlink>
      <w:r>
        <w:t xml:space="preserve">（研究类型：原始解剖与运输研究）</w:t>
      </w:r>
    </w:p>
    <w:p>
      <w:pPr>
        <w:pStyle w:val="ReferenceEntry"/>
      </w:pPr>
      <w:bookmarkStart w:id="2630" w:name="ref-20"/>
      <w:r>
        <w:t xml:space="preserve">[20]</w:t>
      </w:r>
      <w:bookmarkEnd w:id="2630"/>
      <w:r>
        <w:t xml:space="preserve"> Tosches MA, Yamawaki TM, Naumann RK, Jacobi AA, Tushev G, Laurent G. Evolution of pallium, hippocampus, and cortical cell types revealed by single-cell transcriptomics in reptiles.</w:t>
      </w:r>
      <w:r>
        <w:t xml:space="preserve"> </w:t>
      </w:r>
      <w:r>
        <w:rPr>
          <w:iCs/>
          <w:i/>
        </w:rPr>
        <w:t xml:space="preserve">Science</w:t>
      </w:r>
      <w:r>
        <w:t xml:space="preserve">. 2018;360(6391):881–888.</w:t>
      </w:r>
      <w:r>
        <w:t xml:space="preserve"> </w:t>
      </w:r>
      <w:hyperlink r:id="rId2631">
        <w:r>
          <w:rPr>
            <w:rStyle w:val="Hyperlink"/>
          </w:rPr>
          <w:t xml:space="preserve">https://doi.org/10.1126/science.aar4237</w:t>
        </w:r>
      </w:hyperlink>
      <w:r>
        <w:t xml:space="preserve">（研究类型：原始跨物种单细胞转录组）</w:t>
      </w:r>
    </w:p>
    <w:p>
      <w:pPr>
        <w:pStyle w:val="ReferenceEntry"/>
      </w:pPr>
      <w:bookmarkStart w:id="2632" w:name="ref-21"/>
      <w:r>
        <w:t xml:space="preserve">[21]</w:t>
      </w:r>
      <w:bookmarkEnd w:id="2632"/>
      <w:r>
        <w:t xml:space="preserve"> Dugas-Ford J, Rowell JJ, Ragsdale CW. Cell-type homologies and the origins of the neocortex.</w:t>
      </w:r>
      <w:r>
        <w:t xml:space="preserve"> </w:t>
      </w:r>
      <w:r>
        <w:rPr>
          <w:iCs/>
          <w:i/>
        </w:rPr>
        <w:t xml:space="preserve">Proceedings of the National Academy of Sciences</w:t>
      </w:r>
      <w:r>
        <w:t xml:space="preserve">. 2012;109(42):16974–16979.</w:t>
      </w:r>
      <w:r>
        <w:t xml:space="preserve"> </w:t>
      </w:r>
      <w:hyperlink r:id="rId2633">
        <w:r>
          <w:rPr>
            <w:rStyle w:val="Hyperlink"/>
          </w:rPr>
          <w:t xml:space="preserve">https://doi.org/10.1073/pnas.1204773109</w:t>
        </w:r>
      </w:hyperlink>
      <w:r>
        <w:t xml:space="preserve">（研究类型：羊膜动物细胞标记与连接比较研究）</w:t>
      </w:r>
    </w:p>
    <w:p>
      <w:pPr>
        <w:pStyle w:val="ReferenceEntry"/>
      </w:pPr>
      <w:bookmarkStart w:id="2634" w:name="ref-22"/>
      <w:r>
        <w:t xml:space="preserve">[22]</w:t>
      </w:r>
      <w:bookmarkEnd w:id="2634"/>
      <w:r>
        <w:t xml:space="preserve"> Hodge RD, Bakken TE, Miller JA, Smith KA, Barkan ER, Graybuck LT, et al. Conserved cell types with divergent features in human versus mouse cortex.</w:t>
      </w:r>
      <w:r>
        <w:t xml:space="preserve"> </w:t>
      </w:r>
      <w:r>
        <w:rPr>
          <w:iCs/>
          <w:i/>
        </w:rPr>
        <w:t xml:space="preserve">Nature</w:t>
      </w:r>
      <w:r>
        <w:t xml:space="preserve">. 2019;573(7772):61–68.</w:t>
      </w:r>
      <w:r>
        <w:t xml:space="preserve"> </w:t>
      </w:r>
      <w:hyperlink r:id="rId2635">
        <w:r>
          <w:rPr>
            <w:rStyle w:val="Hyperlink"/>
          </w:rPr>
          <w:t xml:space="preserve">https://doi.org/10.1038/s41586-019-1506-7</w:t>
        </w:r>
      </w:hyperlink>
      <w:r>
        <w:t xml:space="preserve">（研究类型：人鼠皮层单核单细胞及形态比较）</w:t>
      </w:r>
    </w:p>
    <w:p>
      <w:pPr>
        <w:pStyle w:val="ReferenceEntry"/>
      </w:pPr>
      <w:bookmarkStart w:id="2636" w:name="ref-23"/>
      <w:r>
        <w:t xml:space="preserve">[23]</w:t>
      </w:r>
      <w:bookmarkEnd w:id="2636"/>
      <w:r>
        <w:t xml:space="preserve"> Florio M, Albert M, Taverna E, Namba T, Brandl H, Lewitus E, et al. Human-specific gene ARHGAP11B promotes basal progenitor amplification and neocortex expansion.</w:t>
      </w:r>
      <w:r>
        <w:t xml:space="preserve"> </w:t>
      </w:r>
      <w:r>
        <w:rPr>
          <w:iCs/>
          <w:i/>
        </w:rPr>
        <w:t xml:space="preserve">Science</w:t>
      </w:r>
      <w:r>
        <w:t xml:space="preserve">. 2015;347(6229):1465–1470.</w:t>
      </w:r>
      <w:r>
        <w:t xml:space="preserve"> </w:t>
      </w:r>
      <w:hyperlink r:id="rId2637">
        <w:r>
          <w:rPr>
            <w:rStyle w:val="Hyperlink"/>
          </w:rPr>
          <w:t xml:space="preserve">https://doi.org/10.1126/science.aaa1975</w:t>
        </w:r>
      </w:hyperlink>
      <w:r>
        <w:t xml:space="preserve">（研究类型：人鼠祖细胞转录比较及胚胎小鼠异位表达实验）</w:t>
      </w:r>
    </w:p>
    <w:p>
      <w:pPr>
        <w:pStyle w:val="ReferenceEntry"/>
      </w:pPr>
      <w:bookmarkStart w:id="2638" w:name="ref-24"/>
      <w:r>
        <w:t xml:space="preserve">[24]</w:t>
      </w:r>
      <w:bookmarkEnd w:id="2638"/>
      <w:r>
        <w:t xml:space="preserve"> Fiddes IT, Lodewijk GA, Mooring M, Bosworth CM, Ewing AD, Mantalas GL, et al. Human-Specific NOTCH2NL Genes Affect Notch Signaling and Cortical Neurogenesis.</w:t>
      </w:r>
      <w:r>
        <w:t xml:space="preserve"> </w:t>
      </w:r>
      <w:r>
        <w:rPr>
          <w:iCs/>
          <w:i/>
        </w:rPr>
        <w:t xml:space="preserve">Cell</w:t>
      </w:r>
      <w:r>
        <w:t xml:space="preserve">. 2018;173(6):1356–1369.e22.</w:t>
      </w:r>
      <w:r>
        <w:t xml:space="preserve"> </w:t>
      </w:r>
      <w:hyperlink r:id="rId2639">
        <w:r>
          <w:rPr>
            <w:rStyle w:val="Hyperlink"/>
          </w:rPr>
          <w:t xml:space="preserve">https://doi.org/10.1016/j.cell.2018.03.051</w:t>
        </w:r>
      </w:hyperlink>
      <w:r>
        <w:t xml:space="preserve">（研究类型：比较基因组与细胞功能及人源模型研究）</w:t>
      </w:r>
    </w:p>
    <w:p>
      <w:pPr>
        <w:pStyle w:val="ReferenceEntry"/>
      </w:pPr>
      <w:bookmarkStart w:id="2640" w:name="ref-25"/>
      <w:r>
        <w:t xml:space="preserve">[25]</w:t>
      </w:r>
      <w:bookmarkEnd w:id="2640"/>
      <w:r>
        <w:t xml:space="preserve"> Hansen DV, Lui JH, Parker PRL, Kriegstein AR. Neurogenic radial glia in the outer subventricular zone of human neocortex.</w:t>
      </w:r>
      <w:r>
        <w:t xml:space="preserve"> </w:t>
      </w:r>
      <w:r>
        <w:rPr>
          <w:iCs/>
          <w:i/>
        </w:rPr>
        <w:t xml:space="preserve">Nature</w:t>
      </w:r>
      <w:r>
        <w:t xml:space="preserve">. 2010;464(7288):554–561.</w:t>
      </w:r>
      <w:r>
        <w:t xml:space="preserve"> </w:t>
      </w:r>
      <w:hyperlink r:id="rId2641">
        <w:r>
          <w:rPr>
            <w:rStyle w:val="Hyperlink"/>
          </w:rPr>
          <w:t xml:space="preserve">https://doi.org/10.1038/nature08845</w:t>
        </w:r>
      </w:hyperlink>
      <w:r>
        <w:t xml:space="preserve">（研究类型：人类发育皮层活组织成像与克隆分析）</w:t>
      </w:r>
    </w:p>
    <w:p>
      <w:pPr>
        <w:pStyle w:val="ReferenceEntry"/>
      </w:pPr>
      <w:bookmarkStart w:id="2642" w:name="ref-26"/>
      <w:r>
        <w:t xml:space="preserve">[26]</w:t>
      </w:r>
      <w:bookmarkEnd w:id="2642"/>
      <w:r>
        <w:t xml:space="preserve"> Beaulieu-Laroche L, Brown NJ, Hansen M, Toloza EHS, Sharma J, Williams ZM, et al. Allometric rules for mammalian cortical layer 5 neuron biophysics.</w:t>
      </w:r>
      <w:r>
        <w:t xml:space="preserve"> </w:t>
      </w:r>
      <w:r>
        <w:rPr>
          <w:iCs/>
          <w:i/>
        </w:rPr>
        <w:t xml:space="preserve">Nature</w:t>
      </w:r>
      <w:r>
        <w:t xml:space="preserve">. 2021;600(7888):274–278.</w:t>
      </w:r>
      <w:r>
        <w:t xml:space="preserve"> </w:t>
      </w:r>
      <w:hyperlink r:id="rId2643">
        <w:r>
          <w:rPr>
            <w:rStyle w:val="Hyperlink"/>
          </w:rPr>
          <w:t xml:space="preserve">https://doi.org/10.1038/s41586-021-04072-3</w:t>
        </w:r>
      </w:hyperlink>
      <w:r>
        <w:t xml:space="preserve">（研究类型：十种哺乳动物第五层锥体细胞生理比较）</w:t>
      </w:r>
    </w:p>
    <w:p>
      <w:pPr>
        <w:pStyle w:val="ReferenceEntry"/>
      </w:pPr>
      <w:bookmarkStart w:id="2644" w:name="ref-27"/>
      <w:r>
        <w:t xml:space="preserve">[27]</w:t>
      </w:r>
      <w:bookmarkEnd w:id="2644"/>
      <w:r>
        <w:t xml:space="preserve"> Bakken TE, Jorstad NL, Hu Q, Lake BB, Tian W, Kalmbach BE, et al. Comparative cellular analysis of motor cortex in human, marmoset and mouse.</w:t>
      </w:r>
      <w:r>
        <w:t xml:space="preserve"> </w:t>
      </w:r>
      <w:r>
        <w:rPr>
          <w:iCs/>
          <w:i/>
        </w:rPr>
        <w:t xml:space="preserve">Nature</w:t>
      </w:r>
      <w:r>
        <w:t xml:space="preserve">. 2021;598(7879):111–119.</w:t>
      </w:r>
      <w:r>
        <w:t xml:space="preserve"> </w:t>
      </w:r>
      <w:hyperlink r:id="rId2645">
        <w:r>
          <w:rPr>
            <w:rStyle w:val="Hyperlink"/>
          </w:rPr>
          <w:t xml:space="preserve">https://doi.org/10.1038/s41586-021-03465-8</w:t>
        </w:r>
      </w:hyperlink>
      <w:r>
        <w:t xml:space="preserve">（研究类型：三物种运动皮层转录表观组及细胞生理比较）</w:t>
      </w:r>
    </w:p>
    <w:p>
      <w:pPr>
        <w:pStyle w:val="ReferenceEntry"/>
      </w:pPr>
      <w:bookmarkStart w:id="2646" w:name="ref-28"/>
      <w:r>
        <w:t xml:space="preserve">[28]</w:t>
      </w:r>
      <w:bookmarkEnd w:id="2646"/>
      <w:r>
        <w:t xml:space="preserve"> Jorstad NL, Song JHT, Exposito-Alonso D, Suresh H, Castro-Pacheco N, Krienen FM, et al. Comparative transcriptomics reveals human-specific cortical features.</w:t>
      </w:r>
      <w:r>
        <w:t xml:space="preserve"> </w:t>
      </w:r>
      <w:r>
        <w:rPr>
          <w:iCs/>
          <w:i/>
        </w:rPr>
        <w:t xml:space="preserve">Science</w:t>
      </w:r>
      <w:r>
        <w:t xml:space="preserve">. 2023;382(6667):eade9516.</w:t>
      </w:r>
      <w:r>
        <w:t xml:space="preserve"> </w:t>
      </w:r>
      <w:hyperlink r:id="rId2647">
        <w:r>
          <w:rPr>
            <w:rStyle w:val="Hyperlink"/>
          </w:rPr>
          <w:t xml:space="preserve">https://doi.org/10.1126/science.ade9516</w:t>
        </w:r>
      </w:hyperlink>
      <w:r>
        <w:t xml:space="preserve">（研究类型：五灵长类颞中回单核转录比较）</w:t>
      </w:r>
    </w:p>
    <w:p>
      <w:pPr>
        <w:pStyle w:val="ReferenceEntry"/>
      </w:pPr>
      <w:bookmarkStart w:id="2648" w:name="ref-29"/>
      <w:r>
        <w:t xml:space="preserve">[29]</w:t>
      </w:r>
      <w:bookmarkEnd w:id="2648"/>
      <w:r>
        <w:t xml:space="preserve"> Mulcahy NJ, Call J. Apes save tools for future use.</w:t>
      </w:r>
      <w:r>
        <w:t xml:space="preserve"> </w:t>
      </w:r>
      <w:r>
        <w:rPr>
          <w:iCs/>
          <w:i/>
        </w:rPr>
        <w:t xml:space="preserve">Science</w:t>
      </w:r>
      <w:r>
        <w:t xml:space="preserve">. 2006;312(5776):1038–1040.</w:t>
      </w:r>
      <w:r>
        <w:t xml:space="preserve"> </w:t>
      </w:r>
      <w:hyperlink r:id="rId2649">
        <w:r>
          <w:rPr>
            <w:rStyle w:val="Hyperlink"/>
          </w:rPr>
          <w:t xml:space="preserve">https://doi.org/10.1126/science.1125456</w:t>
        </w:r>
      </w:hyperlink>
      <w:r>
        <w:t xml:space="preserve">（研究类型：原始动物行为实验）</w:t>
      </w:r>
    </w:p>
    <w:p>
      <w:pPr>
        <w:pStyle w:val="ReferenceEntry"/>
      </w:pPr>
      <w:bookmarkStart w:id="2650" w:name="ref-30"/>
      <w:r>
        <w:t xml:space="preserve">[30]</w:t>
      </w:r>
      <w:bookmarkEnd w:id="2650"/>
      <w:r>
        <w:t xml:space="preserve"> Rosati AG, Stevens JR, Hare B, Hauser MD. The evolutionary origins of human patience: Temporal preferences in chimpanzees, bonobos, and human adults.</w:t>
      </w:r>
      <w:r>
        <w:t xml:space="preserve"> </w:t>
      </w:r>
      <w:r>
        <w:rPr>
          <w:iCs/>
          <w:i/>
        </w:rPr>
        <w:t xml:space="preserve">Current Biology</w:t>
      </w:r>
      <w:r>
        <w:t xml:space="preserve">. 2007;17(19):1663–1668.</w:t>
      </w:r>
      <w:r>
        <w:t xml:space="preserve"> </w:t>
      </w:r>
      <w:hyperlink r:id="rId2651">
        <w:r>
          <w:rPr>
            <w:rStyle w:val="Hyperlink"/>
          </w:rPr>
          <w:t xml:space="preserve">https://doi.org/10.1016/j.cub.2007.08.033</w:t>
        </w:r>
      </w:hyperlink>
      <w:r>
        <w:t xml:space="preserve">（研究类型：原始跨物种延迟选择实验）</w:t>
      </w:r>
    </w:p>
    <w:p>
      <w:pPr>
        <w:pStyle w:val="ReferenceEntry"/>
      </w:pPr>
      <w:bookmarkStart w:id="2652" w:name="ref-31"/>
      <w:r>
        <w:t xml:space="preserve">[31]</w:t>
      </w:r>
      <w:bookmarkEnd w:id="2652"/>
      <w:r>
        <w:t xml:space="preserve"> Yau KW, Hardie RC. Phototransduction motifs and variations.</w:t>
      </w:r>
      <w:r>
        <w:t xml:space="preserve"> </w:t>
      </w:r>
      <w:r>
        <w:rPr>
          <w:iCs/>
          <w:i/>
        </w:rPr>
        <w:t xml:space="preserve">Cell</w:t>
      </w:r>
      <w:r>
        <w:t xml:space="preserve">. 2009;139(2):246–264.</w:t>
      </w:r>
      <w:r>
        <w:t xml:space="preserve"> </w:t>
      </w:r>
      <w:hyperlink r:id="rId2653">
        <w:r>
          <w:rPr>
            <w:rStyle w:val="Hyperlink"/>
          </w:rPr>
          <w:t xml:space="preserve">https://doi.org/10.1016/j.cell.2009.09.029</w:t>
        </w:r>
      </w:hyperlink>
      <w:r>
        <w:t xml:space="preserve">（研究类型：机制综述）</w:t>
      </w:r>
    </w:p>
    <w:p>
      <w:pPr>
        <w:pStyle w:val="ReferenceEntry"/>
      </w:pPr>
      <w:bookmarkStart w:id="2654" w:name="ref-32"/>
      <w:r>
        <w:t xml:space="preserve">[32]</w:t>
      </w:r>
      <w:bookmarkEnd w:id="2654"/>
      <w:r>
        <w:t xml:space="preserve"> Buck L, Axel R. A novel multigene family may encode odorant receptors: a molecular basis for odor recognition.</w:t>
      </w:r>
      <w:r>
        <w:t xml:space="preserve"> </w:t>
      </w:r>
      <w:r>
        <w:rPr>
          <w:iCs/>
          <w:i/>
        </w:rPr>
        <w:t xml:space="preserve">Cell</w:t>
      </w:r>
      <w:r>
        <w:t xml:space="preserve">. 1991;65(1):175–187.</w:t>
      </w:r>
      <w:r>
        <w:t xml:space="preserve"> </w:t>
      </w:r>
      <w:hyperlink r:id="rId2655">
        <w:r>
          <w:rPr>
            <w:rStyle w:val="Hyperlink"/>
          </w:rPr>
          <w:t xml:space="preserve">https://doi.org/10.1016/0092-8674(91)90418-X</w:t>
        </w:r>
      </w:hyperlink>
      <w:r>
        <w:t xml:space="preserve">（研究类型：分子克隆）</w:t>
      </w:r>
    </w:p>
    <w:p>
      <w:pPr>
        <w:pStyle w:val="ReferenceEntry"/>
      </w:pPr>
      <w:bookmarkStart w:id="2656" w:name="ref-33"/>
      <w:r>
        <w:t xml:space="preserve">[33]</w:t>
      </w:r>
      <w:bookmarkEnd w:id="2656"/>
      <w:r>
        <w:t xml:space="preserve"> Malnic B, Hirono J, Sato T, Buck LB. Combinatorial receptor codes for odors.</w:t>
      </w:r>
      <w:r>
        <w:t xml:space="preserve"> </w:t>
      </w:r>
      <w:r>
        <w:rPr>
          <w:iCs/>
          <w:i/>
        </w:rPr>
        <w:t xml:space="preserve">Cell</w:t>
      </w:r>
      <w:r>
        <w:t xml:space="preserve">. 1999;96(5):713–723.</w:t>
      </w:r>
      <w:r>
        <w:t xml:space="preserve"> </w:t>
      </w:r>
      <w:hyperlink r:id="rId2657">
        <w:r>
          <w:rPr>
            <w:rStyle w:val="Hyperlink"/>
          </w:rPr>
          <w:t xml:space="preserve">https://doi.org/10.1016/S0092-8674(00)80581-4</w:t>
        </w:r>
      </w:hyperlink>
      <w:r>
        <w:t xml:space="preserve">（研究类型：单细胞反应与受体鉴定）</w:t>
      </w:r>
    </w:p>
    <w:p>
      <w:pPr>
        <w:pStyle w:val="ReferenceEntry"/>
      </w:pPr>
      <w:bookmarkStart w:id="2658" w:name="ref-34"/>
      <w:r>
        <w:t xml:space="preserve">[34]</w:t>
      </w:r>
      <w:bookmarkEnd w:id="2658"/>
      <w:r>
        <w:t xml:space="preserve"> Arber S, Costa RM. Connecting neuronal circuits for movement.</w:t>
      </w:r>
      <w:r>
        <w:t xml:space="preserve"> </w:t>
      </w:r>
      <w:r>
        <w:rPr>
          <w:iCs/>
          <w:i/>
        </w:rPr>
        <w:t xml:space="preserve">Science</w:t>
      </w:r>
      <w:r>
        <w:t xml:space="preserve">. 2018;360(6396):1403–1404.</w:t>
      </w:r>
      <w:r>
        <w:t xml:space="preserve"> </w:t>
      </w:r>
      <w:hyperlink r:id="rId2659">
        <w:r>
          <w:rPr>
            <w:rStyle w:val="Hyperlink"/>
          </w:rPr>
          <w:t xml:space="preserve">https://doi.org/10.1126/science.aat5994</w:t>
        </w:r>
      </w:hyperlink>
      <w:r>
        <w:t xml:space="preserve">（研究类型：观点与机制综合）</w:t>
      </w:r>
    </w:p>
    <w:p>
      <w:pPr>
        <w:pStyle w:val="ReferenceEntry"/>
      </w:pPr>
      <w:bookmarkStart w:id="2660" w:name="ref-35"/>
      <w:r>
        <w:t xml:space="preserve">[35]</w:t>
      </w:r>
      <w:bookmarkEnd w:id="2660"/>
      <w:r>
        <w:t xml:space="preserve"> Kiehn O. Decoding the organization of spinal circuits that control locomotion.</w:t>
      </w:r>
      <w:r>
        <w:t xml:space="preserve"> </w:t>
      </w:r>
      <w:r>
        <w:rPr>
          <w:iCs/>
          <w:i/>
        </w:rPr>
        <w:t xml:space="preserve">Nature Reviews Neuroscience</w:t>
      </w:r>
      <w:r>
        <w:t xml:space="preserve">. 2016;17(4):224–238.</w:t>
      </w:r>
      <w:r>
        <w:t xml:space="preserve"> </w:t>
      </w:r>
      <w:hyperlink r:id="rId2661">
        <w:r>
          <w:rPr>
            <w:rStyle w:val="Hyperlink"/>
          </w:rPr>
          <w:t xml:space="preserve">https://doi.org/10.1038/nrn.2016.9</w:t>
        </w:r>
      </w:hyperlink>
      <w:r>
        <w:t xml:space="preserve">（研究类型：机制综述）</w:t>
      </w:r>
    </w:p>
    <w:p>
      <w:pPr>
        <w:pStyle w:val="ReferenceEntry"/>
      </w:pPr>
      <w:bookmarkStart w:id="2662" w:name="ref-36"/>
      <w:r>
        <w:t xml:space="preserve">[36]</w:t>
      </w:r>
      <w:bookmarkEnd w:id="2662"/>
      <w:r>
        <w:t xml:space="preserve"> Purves D, Augustine GJ, Fitzpatrick D, et al., editors.</w:t>
      </w:r>
      <w:r>
        <w:t xml:space="preserve"> </w:t>
      </w:r>
      <w:r>
        <w:rPr>
          <w:iCs/>
          <w:i/>
        </w:rPr>
        <w:t xml:space="preserve">Neuroscience</w:t>
      </w:r>
      <w:r>
        <w:t xml:space="preserve">. 2nd ed. 2001. Chapter: Electrical Signals of Nerve Cells.</w:t>
      </w:r>
      <w:r>
        <w:t xml:space="preserve"> </w:t>
      </w:r>
      <w:hyperlink r:id="rId2663">
        <w:r>
          <w:rPr>
            <w:rStyle w:val="Hyperlink"/>
          </w:rPr>
          <w:t xml:space="preserve">https://www.ncbi.nlm.nih.gov/books/NBK11053/</w:t>
        </w:r>
      </w:hyperlink>
      <w:r>
        <w:t xml:space="preserve">（研究类型：官方托管教材章节）</w:t>
      </w:r>
    </w:p>
    <w:p>
      <w:pPr>
        <w:pStyle w:val="ReferenceEntry"/>
      </w:pPr>
      <w:bookmarkStart w:id="2664" w:name="ref-37"/>
      <w:r>
        <w:t xml:space="preserve">[37]</w:t>
      </w:r>
      <w:bookmarkEnd w:id="2664"/>
      <w:r>
        <w:t xml:space="preserve"> Goldman DE. Potential, impedance, and rectification in membranes.</w:t>
      </w:r>
      <w:r>
        <w:t xml:space="preserve"> </w:t>
      </w:r>
      <w:r>
        <w:rPr>
          <w:iCs/>
          <w:i/>
        </w:rPr>
        <w:t xml:space="preserve">Journal of General Physiology</w:t>
      </w:r>
      <w:r>
        <w:t xml:space="preserve">. 1943;27(1):37–60.</w:t>
      </w:r>
      <w:r>
        <w:t xml:space="preserve"> </w:t>
      </w:r>
      <w:hyperlink r:id="rId2665">
        <w:r>
          <w:rPr>
            <w:rStyle w:val="Hyperlink"/>
          </w:rPr>
          <w:t xml:space="preserve">https://doi.org/10.1085/jgp.27.1.37</w:t>
        </w:r>
      </w:hyperlink>
      <w:r>
        <w:t xml:space="preserve">（研究类型：膜电性质理论与实验）</w:t>
      </w:r>
    </w:p>
    <w:p>
      <w:pPr>
        <w:pStyle w:val="ReferenceEntry"/>
      </w:pPr>
      <w:bookmarkStart w:id="2666" w:name="ref-38"/>
      <w:r>
        <w:t xml:space="preserve">[38]</w:t>
      </w:r>
      <w:bookmarkEnd w:id="2666"/>
      <w:r>
        <w:t xml:space="preserve"> Hodgkin AL, Katz B. The effect of sodium ions on the electrical activity of the giant axon of the squid.</w:t>
      </w:r>
      <w:r>
        <w:t xml:space="preserve"> </w:t>
      </w:r>
      <w:r>
        <w:rPr>
          <w:iCs/>
          <w:i/>
        </w:rPr>
        <w:t xml:space="preserve">The Journal of Physiology</w:t>
      </w:r>
      <w:r>
        <w:t xml:space="preserve">. 1949;108(1):37–77.</w:t>
      </w:r>
      <w:r>
        <w:t xml:space="preserve"> </w:t>
      </w:r>
      <w:hyperlink r:id="rId2667">
        <w:r>
          <w:rPr>
            <w:rStyle w:val="Hyperlink"/>
          </w:rPr>
          <w:t xml:space="preserve">https://doi.org/10.1113/jphysiol.1949.sp004310</w:t>
        </w:r>
      </w:hyperlink>
      <w:r>
        <w:t xml:space="preserve">（研究类型：原始轴突电生理）</w:t>
      </w:r>
    </w:p>
    <w:p>
      <w:pPr>
        <w:pStyle w:val="ReferenceEntry"/>
      </w:pPr>
      <w:bookmarkStart w:id="2668" w:name="ref-39"/>
      <w:r>
        <w:t xml:space="preserve">[39]</w:t>
      </w:r>
      <w:bookmarkEnd w:id="2668"/>
      <w:r>
        <w:t xml:space="preserve"> Skou JC. The influence of some cations on an adenosine triphosphatase from peripheral nerves.</w:t>
      </w:r>
      <w:r>
        <w:t xml:space="preserve"> </w:t>
      </w:r>
      <w:r>
        <w:rPr>
          <w:iCs/>
          <w:i/>
        </w:rPr>
        <w:t xml:space="preserve">Biochimica et Biophysica Acta</w:t>
      </w:r>
      <w:r>
        <w:t xml:space="preserve">. 1957;23:394–401.</w:t>
      </w:r>
      <w:r>
        <w:t xml:space="preserve"> </w:t>
      </w:r>
      <w:hyperlink r:id="rId2669">
        <w:r>
          <w:rPr>
            <w:rStyle w:val="Hyperlink"/>
          </w:rPr>
          <w:t xml:space="preserve">https://doi.org/10.1016/0006-3002(57)90343-8</w:t>
        </w:r>
      </w:hyperlink>
      <w:r>
        <w:t xml:space="preserve">（研究类型：原始酶学实验）</w:t>
      </w:r>
    </w:p>
    <w:p>
      <w:pPr>
        <w:pStyle w:val="ReferenceEntry"/>
      </w:pPr>
      <w:bookmarkStart w:id="2670" w:name="ref-40"/>
      <w:r>
        <w:t xml:space="preserve">[40]</w:t>
      </w:r>
      <w:bookmarkEnd w:id="2670"/>
      <w:r>
        <w:t xml:space="preserve"> Hodgkin AL, Huxley AF. A quantitative description of membrane current and its application to conduction and excitation in nerve.</w:t>
      </w:r>
      <w:r>
        <w:t xml:space="preserve"> </w:t>
      </w:r>
      <w:r>
        <w:rPr>
          <w:iCs/>
          <w:i/>
        </w:rPr>
        <w:t xml:space="preserve">The Journal of Physiology</w:t>
      </w:r>
      <w:r>
        <w:t xml:space="preserve">. 1952;117(4):500–544.</w:t>
      </w:r>
      <w:r>
        <w:t xml:space="preserve"> </w:t>
      </w:r>
      <w:hyperlink r:id="rId2671">
        <w:r>
          <w:rPr>
            <w:rStyle w:val="Hyperlink"/>
          </w:rPr>
          <w:t xml:space="preserve">https://doi.org/10.1113/jphysiol.1952.sp004764</w:t>
        </w:r>
      </w:hyperlink>
      <w:r>
        <w:t xml:space="preserve">（研究类型：原始电生理和数学建模）</w:t>
      </w:r>
    </w:p>
    <w:p>
      <w:pPr>
        <w:pStyle w:val="ReferenceEntry"/>
      </w:pPr>
      <w:bookmarkStart w:id="2672" w:name="ref-41"/>
      <w:r>
        <w:t xml:space="preserve">[41]</w:t>
      </w:r>
      <w:bookmarkEnd w:id="2672"/>
      <w:r>
        <w:t xml:space="preserve"> Pressey JC, de Saint-Rome M, Raveendran VA, Woodin MA. Chloride transporters controlling neuronal excitability.</w:t>
      </w:r>
      <w:r>
        <w:t xml:space="preserve"> </w:t>
      </w:r>
      <w:r>
        <w:rPr>
          <w:iCs/>
          <w:i/>
        </w:rPr>
        <w:t xml:space="preserve">Physiological Reviews</w:t>
      </w:r>
      <w:r>
        <w:t xml:space="preserve">. 2023;103(2):1095–1135.</w:t>
      </w:r>
      <w:r>
        <w:t xml:space="preserve"> </w:t>
      </w:r>
      <w:hyperlink r:id="rId2673">
        <w:r>
          <w:rPr>
            <w:rStyle w:val="Hyperlink"/>
          </w:rPr>
          <w:t xml:space="preserve">https://doi.org/10.1152/physrev.00025.2021</w:t>
        </w:r>
      </w:hyperlink>
      <w:r>
        <w:t xml:space="preserve">（研究类型：生理机制综述）</w:t>
      </w:r>
    </w:p>
    <w:p>
      <w:pPr>
        <w:pStyle w:val="ReferenceEntry"/>
      </w:pPr>
      <w:bookmarkStart w:id="2674" w:name="ref-42"/>
      <w:r>
        <w:t xml:space="preserve">[42]</w:t>
      </w:r>
      <w:bookmarkEnd w:id="2674"/>
      <w:r>
        <w:t xml:space="preserve"> Kole MHP, Ilschner SU, Kampa BM, Williams SR, Ruben PC, Stuart GJ. Action potential generation requires a high sodium channel density in the axon initial segment.</w:t>
      </w:r>
      <w:r>
        <w:t xml:space="preserve"> </w:t>
      </w:r>
      <w:r>
        <w:rPr>
          <w:iCs/>
          <w:i/>
        </w:rPr>
        <w:t xml:space="preserve">Nature Neuroscience</w:t>
      </w:r>
      <w:r>
        <w:t xml:space="preserve">. 2008;11(2):178–186.</w:t>
      </w:r>
      <w:r>
        <w:t xml:space="preserve"> </w:t>
      </w:r>
      <w:hyperlink r:id="rId2675">
        <w:r>
          <w:rPr>
            <w:rStyle w:val="Hyperlink"/>
          </w:rPr>
          <w:t xml:space="preserve">https://doi.org/10.1038/nn2040</w:t>
        </w:r>
      </w:hyperlink>
      <w:r>
        <w:t xml:space="preserve">（研究类型：原始细胞电生理与定量分析）</w:t>
      </w:r>
    </w:p>
    <w:p>
      <w:pPr>
        <w:pStyle w:val="ReferenceEntry"/>
      </w:pPr>
      <w:bookmarkStart w:id="2676" w:name="ref-43"/>
      <w:r>
        <w:t xml:space="preserve">[43]</w:t>
      </w:r>
      <w:bookmarkEnd w:id="2676"/>
      <w:r>
        <w:t xml:space="preserve"> Stuart GJ, Sakmann B. Active propagation of somatic action potentials into neocortical pyramidal cell dendrites.</w:t>
      </w:r>
      <w:r>
        <w:t xml:space="preserve"> </w:t>
      </w:r>
      <w:r>
        <w:rPr>
          <w:iCs/>
          <w:i/>
        </w:rPr>
        <w:t xml:space="preserve">Nature</w:t>
      </w:r>
      <w:r>
        <w:t xml:space="preserve">. 1994;367(6458):69–72.</w:t>
      </w:r>
      <w:r>
        <w:t xml:space="preserve"> </w:t>
      </w:r>
      <w:hyperlink r:id="rId2677">
        <w:r>
          <w:rPr>
            <w:rStyle w:val="Hyperlink"/>
          </w:rPr>
          <w:t xml:space="preserve">https://doi.org/10.1038/367069a0</w:t>
        </w:r>
      </w:hyperlink>
      <w:r>
        <w:t xml:space="preserve">（研究类型：原始胞体树突记录）</w:t>
      </w:r>
    </w:p>
    <w:p>
      <w:pPr>
        <w:pStyle w:val="ReferenceEntry"/>
      </w:pPr>
      <w:bookmarkStart w:id="2678" w:name="ref-44"/>
      <w:r>
        <w:t xml:space="preserve">[44]</w:t>
      </w:r>
      <w:bookmarkEnd w:id="2678"/>
      <w:r>
        <w:t xml:space="preserve"> Larkum ME, Zhu JJ, Sakmann B. A new cellular mechanism for coupling inputs arriving at different cortical layers.</w:t>
      </w:r>
      <w:r>
        <w:t xml:space="preserve"> </w:t>
      </w:r>
      <w:r>
        <w:rPr>
          <w:iCs/>
          <w:i/>
        </w:rPr>
        <w:t xml:space="preserve">Nature</w:t>
      </w:r>
      <w:r>
        <w:t xml:space="preserve">. 1999;398(6725):338–341.</w:t>
      </w:r>
      <w:r>
        <w:t xml:space="preserve"> </w:t>
      </w:r>
      <w:hyperlink r:id="rId2679">
        <w:r>
          <w:rPr>
            <w:rStyle w:val="Hyperlink"/>
          </w:rPr>
          <w:t xml:space="preserve">https://doi.org/10.1038/18686</w:t>
        </w:r>
      </w:hyperlink>
      <w:r>
        <w:t xml:space="preserve">（研究类型：原始树突电生理）</w:t>
      </w:r>
    </w:p>
    <w:p>
      <w:pPr>
        <w:pStyle w:val="ReferenceEntry"/>
      </w:pPr>
      <w:bookmarkStart w:id="2680" w:name="ref-45"/>
      <w:r>
        <w:t xml:space="preserve">[45]</w:t>
      </w:r>
      <w:bookmarkEnd w:id="2680"/>
      <w:r>
        <w:t xml:space="preserve"> Bast A, Guest JM, Fruengel R, Narayanan RT, de Kock CPJ, Oberlaender M. Thalamus enables active dendritic coupling of inputs arriving at different cortical layers.</w:t>
      </w:r>
      <w:r>
        <w:t xml:space="preserve"> </w:t>
      </w:r>
      <w:r>
        <w:rPr>
          <w:iCs/>
          <w:i/>
        </w:rPr>
        <w:t xml:space="preserve">Nature Communications</w:t>
      </w:r>
      <w:r>
        <w:t xml:space="preserve">. 2025;16(1):8327.</w:t>
      </w:r>
      <w:r>
        <w:t xml:space="preserve"> </w:t>
      </w:r>
      <w:hyperlink r:id="rId2681">
        <w:r>
          <w:rPr>
            <w:rStyle w:val="Hyperlink"/>
          </w:rPr>
          <w:t xml:space="preserve">https://doi.org/10.1038/s41467-025-64152-0</w:t>
        </w:r>
      </w:hyperlink>
      <w:r>
        <w:t xml:space="preserve">（研究类型：在体记录输入重建建模与光遗传操控）</w:t>
      </w:r>
    </w:p>
    <w:p>
      <w:pPr>
        <w:pStyle w:val="ReferenceEntry"/>
      </w:pPr>
      <w:bookmarkStart w:id="2682" w:name="ref-46"/>
      <w:r>
        <w:t xml:space="preserve">[46]</w:t>
      </w:r>
      <w:bookmarkEnd w:id="2682"/>
      <w:r>
        <w:t xml:space="preserve"> Neher E, Sakmann B. Single-channel currents recorded from membrane of denervated frog muscle fibres.</w:t>
      </w:r>
      <w:r>
        <w:t xml:space="preserve"> </w:t>
      </w:r>
      <w:r>
        <w:rPr>
          <w:iCs/>
          <w:i/>
        </w:rPr>
        <w:t xml:space="preserve">Nature</w:t>
      </w:r>
      <w:r>
        <w:t xml:space="preserve">. 1976;260(5554):799–802.</w:t>
      </w:r>
      <w:r>
        <w:t xml:space="preserve"> </w:t>
      </w:r>
      <w:hyperlink r:id="rId2683">
        <w:r>
          <w:rPr>
            <w:rStyle w:val="Hyperlink"/>
          </w:rPr>
          <w:t xml:space="preserve">https://doi.org/10.1038/260799a0</w:t>
        </w:r>
      </w:hyperlink>
      <w:r>
        <w:t xml:space="preserve">（研究类型：原始膜电流记录）</w:t>
      </w:r>
    </w:p>
    <w:p>
      <w:pPr>
        <w:pStyle w:val="ReferenceEntry"/>
      </w:pPr>
      <w:bookmarkStart w:id="2684" w:name="ref-47"/>
      <w:r>
        <w:t xml:space="preserve">[47]</w:t>
      </w:r>
      <w:bookmarkEnd w:id="2684"/>
      <w:r>
        <w:t xml:space="preserve"> Hamill OP, Marty A, Neher E, Sakmann B, Sigworth FJ. Improved patch-clamp techniques for high-resolution current recording from cells and cell-free membrane patches.</w:t>
      </w:r>
      <w:r>
        <w:t xml:space="preserve"> </w:t>
      </w:r>
      <w:r>
        <w:rPr>
          <w:iCs/>
          <w:i/>
        </w:rPr>
        <w:t xml:space="preserve">Pflügers Archiv - European Journal of Physiology</w:t>
      </w:r>
      <w:r>
        <w:t xml:space="preserve">. 1981;391(2):85–100.</w:t>
      </w:r>
      <w:r>
        <w:t xml:space="preserve"> </w:t>
      </w:r>
      <w:hyperlink r:id="rId2685">
        <w:r>
          <w:rPr>
            <w:rStyle w:val="Hyperlink"/>
          </w:rPr>
          <w:t xml:space="preserve">https://doi.org/10.1007/BF00656997</w:t>
        </w:r>
      </w:hyperlink>
      <w:r>
        <w:t xml:space="preserve">（研究类型：原始电生理方法）</w:t>
      </w:r>
    </w:p>
    <w:p>
      <w:pPr>
        <w:pStyle w:val="ReferenceEntry"/>
      </w:pPr>
      <w:bookmarkStart w:id="2686" w:name="ref-48"/>
      <w:r>
        <w:t xml:space="preserve">[48]</w:t>
      </w:r>
      <w:bookmarkEnd w:id="2686"/>
      <w:r>
        <w:t xml:space="preserve"> Chen TW, Wardill TJ, Sun Y, Pulver SR, Renninger SL, Baohan A, et al. Ultrasensitive fluorescent proteins for imaging neuronal activity.</w:t>
      </w:r>
      <w:r>
        <w:t xml:space="preserve"> </w:t>
      </w:r>
      <w:r>
        <w:rPr>
          <w:iCs/>
          <w:i/>
        </w:rPr>
        <w:t xml:space="preserve">Nature</w:t>
      </w:r>
      <w:r>
        <w:t xml:space="preserve">. 2013;499(7458):295–300.</w:t>
      </w:r>
      <w:r>
        <w:t xml:space="preserve"> </w:t>
      </w:r>
      <w:hyperlink r:id="rId2687">
        <w:r>
          <w:rPr>
            <w:rStyle w:val="Hyperlink"/>
          </w:rPr>
          <w:t xml:space="preserve">https://doi.org/10.1038/nature12354</w:t>
        </w:r>
      </w:hyperlink>
      <w:r>
        <w:t xml:space="preserve">（研究类型：原始探针开发与验证）</w:t>
      </w:r>
    </w:p>
    <w:p>
      <w:pPr>
        <w:pStyle w:val="ReferenceEntry"/>
      </w:pPr>
      <w:bookmarkStart w:id="2688" w:name="ref-49"/>
      <w:r>
        <w:t xml:space="preserve">[49]</w:t>
      </w:r>
      <w:bookmarkEnd w:id="2688"/>
      <w:r>
        <w:t xml:space="preserve"> Purves D, Augustine GJ, Fitzpatrick D, et al., editors.</w:t>
      </w:r>
      <w:r>
        <w:t xml:space="preserve"> </w:t>
      </w:r>
      <w:r>
        <w:rPr>
          <w:iCs/>
          <w:i/>
        </w:rPr>
        <w:t xml:space="preserve">Neuroscience</w:t>
      </w:r>
      <w:r>
        <w:t xml:space="preserve">. 2nd ed. 2001. Chapter: Synaptic Transmission.</w:t>
      </w:r>
      <w:r>
        <w:t xml:space="preserve"> </w:t>
      </w:r>
      <w:hyperlink r:id="rId2689">
        <w:r>
          <w:rPr>
            <w:rStyle w:val="Hyperlink"/>
          </w:rPr>
          <w:t xml:space="preserve">https://www.ncbi.nlm.nih.gov/books/NBK11001/</w:t>
        </w:r>
      </w:hyperlink>
      <w:r>
        <w:t xml:space="preserve">（研究类型：官方托管教材章节）</w:t>
      </w:r>
    </w:p>
    <w:p>
      <w:pPr>
        <w:pStyle w:val="ReferenceEntry"/>
      </w:pPr>
      <w:bookmarkStart w:id="2690" w:name="ref-50"/>
      <w:r>
        <w:t xml:space="preserve">[50]</w:t>
      </w:r>
      <w:bookmarkEnd w:id="2690"/>
      <w:r>
        <w:t xml:space="preserve"> Südhof TC. Neurotransmitter release the last millisecond in the life of a synaptic vesicle.</w:t>
      </w:r>
      <w:r>
        <w:t xml:space="preserve"> </w:t>
      </w:r>
      <w:r>
        <w:rPr>
          <w:iCs/>
          <w:i/>
        </w:rPr>
        <w:t xml:space="preserve">Neuron</w:t>
      </w:r>
      <w:r>
        <w:t xml:space="preserve">. 2013;80(3):675–690.</w:t>
      </w:r>
      <w:r>
        <w:t xml:space="preserve"> </w:t>
      </w:r>
      <w:hyperlink r:id="rId2691">
        <w:r>
          <w:rPr>
            <w:rStyle w:val="Hyperlink"/>
          </w:rPr>
          <w:t xml:space="preserve">https://doi.org/10.1016/j.neuron.2013.10.022</w:t>
        </w:r>
      </w:hyperlink>
      <w:r>
        <w:t xml:space="preserve">（研究类型：突触释放机制综述）</w:t>
      </w:r>
    </w:p>
    <w:p>
      <w:pPr>
        <w:pStyle w:val="ReferenceEntry"/>
      </w:pPr>
      <w:bookmarkStart w:id="2692" w:name="ref-51"/>
      <w:r>
        <w:t xml:space="preserve">[51]</w:t>
      </w:r>
      <w:bookmarkEnd w:id="2692"/>
      <w:r>
        <w:t xml:space="preserve"> Schneggenburger R, Neher E. Intracellular calcium dependence of transmitter release rates at a fast central synapse.</w:t>
      </w:r>
      <w:r>
        <w:t xml:space="preserve"> </w:t>
      </w:r>
      <w:r>
        <w:rPr>
          <w:iCs/>
          <w:i/>
        </w:rPr>
        <w:t xml:space="preserve">Nature</w:t>
      </w:r>
      <w:r>
        <w:t xml:space="preserve">. 2000;406(6798):889–893.</w:t>
      </w:r>
      <w:r>
        <w:t xml:space="preserve"> </w:t>
      </w:r>
      <w:hyperlink r:id="rId2693">
        <w:r>
          <w:rPr>
            <w:rStyle w:val="Hyperlink"/>
          </w:rPr>
          <w:t xml:space="preserve">https://doi.org/10.1038/35022702</w:t>
        </w:r>
      </w:hyperlink>
      <w:r>
        <w:t xml:space="preserve">（研究类型：钙解笼与突触生理）</w:t>
      </w:r>
    </w:p>
    <w:p>
      <w:pPr>
        <w:pStyle w:val="ReferenceEntry"/>
      </w:pPr>
      <w:bookmarkStart w:id="2694" w:name="ref-52"/>
      <w:r>
        <w:t xml:space="preserve">[52]</w:t>
      </w:r>
      <w:bookmarkEnd w:id="2694"/>
      <w:r>
        <w:t xml:space="preserve"> Söllner T, Whiteheart SW, Brunner M, Erdjument-Bromage H, Geromanos S, Tempst P, et al. SNAP receptors implicated in vesicle targeting and fusion.</w:t>
      </w:r>
      <w:r>
        <w:t xml:space="preserve"> </w:t>
      </w:r>
      <w:r>
        <w:rPr>
          <w:iCs/>
          <w:i/>
        </w:rPr>
        <w:t xml:space="preserve">Nature</w:t>
      </w:r>
      <w:r>
        <w:t xml:space="preserve">. 1993;362(6418):318–324.</w:t>
      </w:r>
      <w:r>
        <w:t xml:space="preserve"> </w:t>
      </w:r>
      <w:hyperlink r:id="rId2695">
        <w:r>
          <w:rPr>
            <w:rStyle w:val="Hyperlink"/>
          </w:rPr>
          <w:t xml:space="preserve">https://doi.org/10.1038/362318a0</w:t>
        </w:r>
      </w:hyperlink>
      <w:r>
        <w:t xml:space="preserve">（研究类型：原始分子生化实验）</w:t>
      </w:r>
    </w:p>
    <w:p>
      <w:pPr>
        <w:pStyle w:val="ReferenceEntry"/>
      </w:pPr>
      <w:bookmarkStart w:id="2696" w:name="ref-53"/>
      <w:r>
        <w:t xml:space="preserve">[53]</w:t>
      </w:r>
      <w:bookmarkEnd w:id="2696"/>
      <w:r>
        <w:t xml:space="preserve"> Geppert M, Goda Y, Hammer RE, Li C, Rosahl TW, Stevens CF, et al. Synaptotagmin I: a major Ca2+ sensor for transmitter release at a central synapse.</w:t>
      </w:r>
      <w:r>
        <w:t xml:space="preserve"> </w:t>
      </w:r>
      <w:r>
        <w:rPr>
          <w:iCs/>
          <w:i/>
        </w:rPr>
        <w:t xml:space="preserve">Cell</w:t>
      </w:r>
      <w:r>
        <w:t xml:space="preserve">. 1994;79(4):717–727.</w:t>
      </w:r>
      <w:r>
        <w:t xml:space="preserve"> </w:t>
      </w:r>
      <w:hyperlink r:id="rId2697">
        <w:r>
          <w:rPr>
            <w:rStyle w:val="Hyperlink"/>
          </w:rPr>
          <w:t xml:space="preserve">https://doi.org/10.1016/0092-8674(94)90556-8</w:t>
        </w:r>
      </w:hyperlink>
      <w:r>
        <w:t xml:space="preserve">（研究类型：原始遗传与突触生理实验）</w:t>
      </w:r>
    </w:p>
    <w:p>
      <w:pPr>
        <w:pStyle w:val="ReferenceEntry"/>
      </w:pPr>
      <w:bookmarkStart w:id="2698" w:name="ref-54"/>
      <w:r>
        <w:t xml:space="preserve">[54]</w:t>
      </w:r>
      <w:bookmarkEnd w:id="2698"/>
      <w:r>
        <w:t xml:space="preserve"> Fatt P, Katz B. Spontaneous subthreshold activity at motor nerve endings. 1952.</w:t>
      </w:r>
      <w:r>
        <w:t xml:space="preserve"> </w:t>
      </w:r>
      <w:hyperlink r:id="rId2699">
        <w:r>
          <w:rPr>
            <w:rStyle w:val="Hyperlink"/>
          </w:rPr>
          <w:t xml:space="preserve">https://pubmed.ncbi.nlm.nih.gov/14946732/</w:t>
        </w:r>
      </w:hyperlink>
      <w:r>
        <w:t xml:space="preserve">（研究类型：原始神经肌肉接头电生理）</w:t>
      </w:r>
    </w:p>
    <w:p>
      <w:pPr>
        <w:pStyle w:val="ReferenceEntry"/>
      </w:pPr>
      <w:bookmarkStart w:id="2700" w:name="ref-55"/>
      <w:r>
        <w:t xml:space="preserve">[55]</w:t>
      </w:r>
      <w:bookmarkEnd w:id="2700"/>
      <w:r>
        <w:t xml:space="preserve"> del Castillo J, Katz B. Quantal components of the end-plate potential.</w:t>
      </w:r>
      <w:r>
        <w:t xml:space="preserve"> </w:t>
      </w:r>
      <w:r>
        <w:rPr>
          <w:iCs/>
          <w:i/>
        </w:rPr>
        <w:t xml:space="preserve">The Journal of Physiology</w:t>
      </w:r>
      <w:r>
        <w:t xml:space="preserve">. 1954;124(3):560–573.</w:t>
      </w:r>
      <w:r>
        <w:t xml:space="preserve"> </w:t>
      </w:r>
      <w:hyperlink r:id="rId2701">
        <w:r>
          <w:rPr>
            <w:rStyle w:val="Hyperlink"/>
          </w:rPr>
          <w:t xml:space="preserve">https://doi.org/10.1113/jphysiol.1954.sp005129</w:t>
        </w:r>
      </w:hyperlink>
      <w:r>
        <w:t xml:space="preserve">（研究类型：原始神经肌肉电生理）</w:t>
      </w:r>
    </w:p>
    <w:p>
      <w:pPr>
        <w:pStyle w:val="ReferenceEntry"/>
      </w:pPr>
      <w:bookmarkStart w:id="2702" w:name="ref-56"/>
      <w:r>
        <w:t xml:space="preserve">[56]</w:t>
      </w:r>
      <w:bookmarkEnd w:id="2702"/>
      <w:r>
        <w:t xml:space="preserve"> Purves D, Augustine GJ, Fitzpatrick D, et al., editors.</w:t>
      </w:r>
      <w:r>
        <w:t xml:space="preserve"> </w:t>
      </w:r>
      <w:r>
        <w:rPr>
          <w:iCs/>
          <w:i/>
        </w:rPr>
        <w:t xml:space="preserve">Neuroscience</w:t>
      </w:r>
      <w:r>
        <w:t xml:space="preserve">. 2nd ed. 2001. Chapter: Neurotransmitter Receptors and Their Effects.</w:t>
      </w:r>
      <w:r>
        <w:t xml:space="preserve"> </w:t>
      </w:r>
      <w:hyperlink r:id="rId2703">
        <w:r>
          <w:rPr>
            <w:rStyle w:val="Hyperlink"/>
          </w:rPr>
          <w:t xml:space="preserve">https://www.ncbi.nlm.nih.gov/books/NBK11099/</w:t>
        </w:r>
      </w:hyperlink>
      <w:r>
        <w:t xml:space="preserve">（研究类型：官方托管教材章节）</w:t>
      </w:r>
    </w:p>
    <w:p>
      <w:pPr>
        <w:pStyle w:val="ReferenceEntry"/>
      </w:pPr>
      <w:bookmarkStart w:id="2704" w:name="ref-57"/>
      <w:r>
        <w:t xml:space="preserve">[57]</w:t>
      </w:r>
      <w:bookmarkEnd w:id="2704"/>
      <w:r>
        <w:t xml:space="preserve"> Nowak L, Bregestovski P, Ascher P, Herbet A, Prochiantz A. Magnesium gates glutamate-activated channels in mouse central neurones.</w:t>
      </w:r>
      <w:r>
        <w:t xml:space="preserve"> </w:t>
      </w:r>
      <w:r>
        <w:rPr>
          <w:iCs/>
          <w:i/>
        </w:rPr>
        <w:t xml:space="preserve">Nature</w:t>
      </w:r>
      <w:r>
        <w:t xml:space="preserve">. 1984;307(5950):462–465.</w:t>
      </w:r>
      <w:r>
        <w:t xml:space="preserve"> </w:t>
      </w:r>
      <w:hyperlink r:id="rId2705">
        <w:r>
          <w:rPr>
            <w:rStyle w:val="Hyperlink"/>
          </w:rPr>
          <w:t xml:space="preserve">https://doi.org/10.1038/307462a0</w:t>
        </w:r>
      </w:hyperlink>
      <w:r>
        <w:t xml:space="preserve">（研究类型：原始通道电生理）</w:t>
      </w:r>
    </w:p>
    <w:p>
      <w:pPr>
        <w:pStyle w:val="ReferenceEntry"/>
      </w:pPr>
      <w:bookmarkStart w:id="2706" w:name="ref-58"/>
      <w:r>
        <w:t xml:space="preserve">[58]</w:t>
      </w:r>
      <w:bookmarkEnd w:id="2706"/>
      <w:r>
        <w:t xml:space="preserve"> Zucker RS, Regehr WG. Short-term synaptic plasticity.</w:t>
      </w:r>
      <w:r>
        <w:t xml:space="preserve"> </w:t>
      </w:r>
      <w:r>
        <w:rPr>
          <w:iCs/>
          <w:i/>
        </w:rPr>
        <w:t xml:space="preserve">Annual Review of Physiology</w:t>
      </w:r>
      <w:r>
        <w:t xml:space="preserve">. 2002;64(1):355–405.</w:t>
      </w:r>
      <w:r>
        <w:t xml:space="preserve"> </w:t>
      </w:r>
      <w:hyperlink r:id="rId2707">
        <w:r>
          <w:rPr>
            <w:rStyle w:val="Hyperlink"/>
          </w:rPr>
          <w:t xml:space="preserve">https://doi.org/10.1146/annurev.physiol.64.092501.114547</w:t>
        </w:r>
      </w:hyperlink>
      <w:r>
        <w:t xml:space="preserve">（研究类型：机制综述）</w:t>
      </w:r>
    </w:p>
    <w:p>
      <w:pPr>
        <w:pStyle w:val="ReferenceEntry"/>
      </w:pPr>
      <w:bookmarkStart w:id="2708" w:name="ref-59"/>
      <w:r>
        <w:t xml:space="preserve">[59]</w:t>
      </w:r>
      <w:bookmarkEnd w:id="2708"/>
      <w:r>
        <w:t xml:space="preserve"> Bliss TVP, Lømo T. Long-lasting potentiation of synaptic transmission in the dentate area of the anaesthetized rabbit following stimulation of the perforant path.</w:t>
      </w:r>
      <w:r>
        <w:t xml:space="preserve"> </w:t>
      </w:r>
      <w:r>
        <w:rPr>
          <w:iCs/>
          <w:i/>
        </w:rPr>
        <w:t xml:space="preserve">The Journal of Physiology</w:t>
      </w:r>
      <w:r>
        <w:t xml:space="preserve">. 1973;232(2):331–356.</w:t>
      </w:r>
      <w:r>
        <w:t xml:space="preserve"> </w:t>
      </w:r>
      <w:hyperlink r:id="rId2709">
        <w:r>
          <w:rPr>
            <w:rStyle w:val="Hyperlink"/>
          </w:rPr>
          <w:t xml:space="preserve">https://doi.org/10.1113/jphysiol.1973.sp010273</w:t>
        </w:r>
      </w:hyperlink>
      <w:r>
        <w:t xml:space="preserve">（研究类型：动物电生理刺激实验）</w:t>
      </w:r>
    </w:p>
    <w:p>
      <w:pPr>
        <w:pStyle w:val="ReferenceEntry"/>
      </w:pPr>
      <w:bookmarkStart w:id="2710" w:name="ref-60"/>
      <w:r>
        <w:t xml:space="preserve">[60]</w:t>
      </w:r>
      <w:bookmarkEnd w:id="2710"/>
      <w:r>
        <w:t xml:space="preserve"> Liao D, Hessler NA, Malinow R. Activation of postsynaptically silent synapses during pairing-induced LTP in CA1 region of hippocampal slice.</w:t>
      </w:r>
      <w:r>
        <w:t xml:space="preserve"> </w:t>
      </w:r>
      <w:r>
        <w:rPr>
          <w:iCs/>
          <w:i/>
        </w:rPr>
        <w:t xml:space="preserve">Nature</w:t>
      </w:r>
      <w:r>
        <w:t xml:space="preserve">. 1995;375(6530):400–404.</w:t>
      </w:r>
      <w:r>
        <w:t xml:space="preserve"> </w:t>
      </w:r>
      <w:hyperlink r:id="rId2711">
        <w:r>
          <w:rPr>
            <w:rStyle w:val="Hyperlink"/>
          </w:rPr>
          <w:t xml:space="preserve">https://doi.org/10.1038/375400a0</w:t>
        </w:r>
      </w:hyperlink>
      <w:r>
        <w:t xml:space="preserve">（研究类型：原始切片突触电生理）</w:t>
      </w:r>
    </w:p>
    <w:p>
      <w:pPr>
        <w:pStyle w:val="ReferenceEntry"/>
      </w:pPr>
      <w:bookmarkStart w:id="2712" w:name="ref-61"/>
      <w:r>
        <w:t xml:space="preserve">[61]</w:t>
      </w:r>
      <w:bookmarkEnd w:id="2712"/>
      <w:r>
        <w:t xml:space="preserve"> Turrigiano GG, Leslie KR, Desai NS, Rutherford LC, Nelson SB. Activity-dependent scaling of quantal amplitude in neocortical neurons.</w:t>
      </w:r>
      <w:r>
        <w:t xml:space="preserve"> </w:t>
      </w:r>
      <w:r>
        <w:rPr>
          <w:iCs/>
          <w:i/>
        </w:rPr>
        <w:t xml:space="preserve">Nature</w:t>
      </w:r>
      <w:r>
        <w:t xml:space="preserve">. 1998;391(6670):892–896.</w:t>
      </w:r>
      <w:r>
        <w:t xml:space="preserve"> </w:t>
      </w:r>
      <w:hyperlink r:id="rId2713">
        <w:r>
          <w:rPr>
            <w:rStyle w:val="Hyperlink"/>
          </w:rPr>
          <w:t xml:space="preserve">https://doi.org/10.1038/36103</w:t>
        </w:r>
      </w:hyperlink>
      <w:r>
        <w:t xml:space="preserve">（研究类型：原始培养神经元实验）</w:t>
      </w:r>
    </w:p>
    <w:p>
      <w:pPr>
        <w:pStyle w:val="ReferenceEntry"/>
      </w:pPr>
      <w:bookmarkStart w:id="2714" w:name="ref-62"/>
      <w:r>
        <w:t xml:space="preserve">[62]</w:t>
      </w:r>
      <w:bookmarkEnd w:id="2714"/>
      <w:r>
        <w:t xml:space="preserve"> Deans MR, Gibson JR, Sellitto C, Connors BW, Paul DL. Synchronous activity of inhibitory networks in neocortex requires electrical synapses containing connexin36.</w:t>
      </w:r>
      <w:r>
        <w:t xml:space="preserve"> </w:t>
      </w:r>
      <w:r>
        <w:rPr>
          <w:iCs/>
          <w:i/>
        </w:rPr>
        <w:t xml:space="preserve">Neuron</w:t>
      </w:r>
      <w:r>
        <w:t xml:space="preserve">. 2001;31(3):477–485.</w:t>
      </w:r>
      <w:r>
        <w:t xml:space="preserve"> </w:t>
      </w:r>
      <w:hyperlink r:id="rId2715">
        <w:r>
          <w:rPr>
            <w:rStyle w:val="Hyperlink"/>
          </w:rPr>
          <w:t xml:space="preserve">https://doi.org/10.1016/S0896-6273(01)00373-7</w:t>
        </w:r>
      </w:hyperlink>
      <w:r>
        <w:t xml:space="preserve">（研究类型：遗传敲除与网络电生理）</w:t>
      </w:r>
    </w:p>
    <w:p>
      <w:pPr>
        <w:pStyle w:val="ReferenceEntry"/>
      </w:pPr>
      <w:bookmarkStart w:id="2716" w:name="ref-63"/>
      <w:r>
        <w:t xml:space="preserve">[63]</w:t>
      </w:r>
      <w:bookmarkEnd w:id="2716"/>
      <w:r>
        <w:t xml:space="preserve"> Rasmussen SGF, DeVree BT, Zou Y, Kruse AC, Chung KY, Kobilka TS, et al. Crystal structure of the beta2 adrenergic receptor Gs protein complex.</w:t>
      </w:r>
      <w:r>
        <w:t xml:space="preserve"> </w:t>
      </w:r>
      <w:r>
        <w:rPr>
          <w:iCs/>
          <w:i/>
        </w:rPr>
        <w:t xml:space="preserve">Nature</w:t>
      </w:r>
      <w:r>
        <w:t xml:space="preserve">. 2011;477(7366):549–555.</w:t>
      </w:r>
      <w:r>
        <w:t xml:space="preserve"> </w:t>
      </w:r>
      <w:hyperlink r:id="rId2717">
        <w:r>
          <w:rPr>
            <w:rStyle w:val="Hyperlink"/>
          </w:rPr>
          <w:t xml:space="preserve">https://doi.org/10.1038/nature10361</w:t>
        </w:r>
      </w:hyperlink>
      <w:r>
        <w:t xml:space="preserve">（研究类型：原始蛋白复合物结构研究）</w:t>
      </w:r>
    </w:p>
    <w:p>
      <w:pPr>
        <w:pStyle w:val="ReferenceEntry"/>
      </w:pPr>
      <w:bookmarkStart w:id="2718" w:name="ref-64"/>
      <w:r>
        <w:t xml:space="preserve">[64]</w:t>
      </w:r>
      <w:bookmarkEnd w:id="2718"/>
      <w:r>
        <w:t xml:space="preserve"> Black JW, Leff P. Operational models of pharmacological agonism. Proceedings of the Royal Society of London. Series B.</w:t>
      </w:r>
      <w:r>
        <w:t xml:space="preserve"> </w:t>
      </w:r>
      <w:r>
        <w:rPr>
          <w:iCs/>
          <w:i/>
        </w:rPr>
        <w:t xml:space="preserve">Biological Sciences</w:t>
      </w:r>
      <w:r>
        <w:t xml:space="preserve">. 1983;220(1219):141–162.</w:t>
      </w:r>
      <w:r>
        <w:t xml:space="preserve"> </w:t>
      </w:r>
      <w:hyperlink r:id="rId2719">
        <w:r>
          <w:rPr>
            <w:rStyle w:val="Hyperlink"/>
          </w:rPr>
          <w:t xml:space="preserve">https://doi.org/10.1098/rspb.1983.0093</w:t>
        </w:r>
      </w:hyperlink>
      <w:r>
        <w:t xml:space="preserve">（研究类型：原始药理模型论文）</w:t>
      </w:r>
    </w:p>
    <w:p>
      <w:pPr>
        <w:pStyle w:val="ReferenceEntry"/>
      </w:pPr>
      <w:bookmarkStart w:id="2720" w:name="ref-65"/>
      <w:r>
        <w:t xml:space="preserve">[65]</w:t>
      </w:r>
      <w:bookmarkEnd w:id="2720"/>
      <w:r>
        <w:t xml:space="preserve"> International Union of Basic and Clinical Pharmacology. Pharmacodynamics. 检索于2026年10月.</w:t>
      </w:r>
      <w:r>
        <w:t xml:space="preserve"> </w:t>
      </w:r>
      <w:hyperlink r:id="rId2721">
        <w:r>
          <w:rPr>
            <w:rStyle w:val="Hyperlink"/>
          </w:rPr>
          <w:t xml:space="preserve">https://pharmacologyeducation.org/pharmacodynamics/</w:t>
        </w:r>
      </w:hyperlink>
      <w:r>
        <w:t xml:space="preserve">（研究类型：官方学会教学资源）</w:t>
      </w:r>
    </w:p>
    <w:p>
      <w:pPr>
        <w:pStyle w:val="ReferenceEntry"/>
      </w:pPr>
      <w:bookmarkStart w:id="2722" w:name="ref-66"/>
      <w:r>
        <w:t xml:space="preserve">[66]</w:t>
      </w:r>
      <w:bookmarkEnd w:id="2722"/>
      <w:r>
        <w:t xml:space="preserve"> Kenakin T, Christopoulos A. Signalling bias in new drug discovery: detection, quantification and therapeutic impact.</w:t>
      </w:r>
      <w:r>
        <w:t xml:space="preserve"> </w:t>
      </w:r>
      <w:r>
        <w:rPr>
          <w:iCs/>
          <w:i/>
        </w:rPr>
        <w:t xml:space="preserve">Nature Reviews Drug Discovery</w:t>
      </w:r>
      <w:r>
        <w:t xml:space="preserve">. 2013;12(3):205–216.</w:t>
      </w:r>
      <w:r>
        <w:t xml:space="preserve"> </w:t>
      </w:r>
      <w:hyperlink r:id="rId2723">
        <w:r>
          <w:rPr>
            <w:rStyle w:val="Hyperlink"/>
          </w:rPr>
          <w:t xml:space="preserve">https://doi.org/10.1038/nrd3954</w:t>
        </w:r>
      </w:hyperlink>
      <w:r>
        <w:t xml:space="preserve">（研究类型：机制与方法综述）</w:t>
      </w:r>
    </w:p>
    <w:p>
      <w:pPr>
        <w:pStyle w:val="ReferenceEntry"/>
      </w:pPr>
      <w:bookmarkStart w:id="2724" w:name="ref-67"/>
      <w:r>
        <w:t xml:space="preserve">[67]</w:t>
      </w:r>
      <w:bookmarkEnd w:id="2724"/>
      <w:r>
        <w:t xml:space="preserve"> Greengard P. The neurobiology of slow synaptic transmission.</w:t>
      </w:r>
      <w:r>
        <w:t xml:space="preserve"> </w:t>
      </w:r>
      <w:r>
        <w:rPr>
          <w:iCs/>
          <w:i/>
        </w:rPr>
        <w:t xml:space="preserve">Science</w:t>
      </w:r>
      <w:r>
        <w:t xml:space="preserve">. 2001;294(5544):1024–1030.</w:t>
      </w:r>
      <w:r>
        <w:t xml:space="preserve"> </w:t>
      </w:r>
      <w:hyperlink r:id="rId2725">
        <w:r>
          <w:rPr>
            <w:rStyle w:val="Hyperlink"/>
          </w:rPr>
          <w:t xml:space="preserve">https://doi.org/10.1126/science.294.5544.1024</w:t>
        </w:r>
      </w:hyperlink>
      <w:r>
        <w:t xml:space="preserve">（研究类型：机制综述）</w:t>
      </w:r>
    </w:p>
    <w:p>
      <w:pPr>
        <w:pStyle w:val="ReferenceEntry"/>
      </w:pPr>
      <w:bookmarkStart w:id="2726" w:name="ref-68"/>
      <w:r>
        <w:t xml:space="preserve">[68]</w:t>
      </w:r>
      <w:bookmarkEnd w:id="2726"/>
      <w:r>
        <w:t xml:space="preserve"> Lefkowitz RJ, Shenoy SK. Transduction of receptor signals by beta arrestins.</w:t>
      </w:r>
      <w:r>
        <w:t xml:space="preserve"> </w:t>
      </w:r>
      <w:r>
        <w:rPr>
          <w:iCs/>
          <w:i/>
        </w:rPr>
        <w:t xml:space="preserve">Science</w:t>
      </w:r>
      <w:r>
        <w:t xml:space="preserve">. 2005;308(5721):512–517.</w:t>
      </w:r>
      <w:r>
        <w:t xml:space="preserve"> </w:t>
      </w:r>
      <w:hyperlink r:id="rId2727">
        <w:r>
          <w:rPr>
            <w:rStyle w:val="Hyperlink"/>
          </w:rPr>
          <w:t xml:space="preserve">https://doi.org/10.1126/science.1109237</w:t>
        </w:r>
      </w:hyperlink>
      <w:r>
        <w:t xml:space="preserve">（研究类型：机制综述）</w:t>
      </w:r>
    </w:p>
    <w:p>
      <w:pPr>
        <w:pStyle w:val="ReferenceEntry"/>
      </w:pPr>
      <w:bookmarkStart w:id="2728" w:name="ref-69"/>
      <w:r>
        <w:t xml:space="preserve">[69]</w:t>
      </w:r>
      <w:bookmarkEnd w:id="2728"/>
      <w:r>
        <w:t xml:space="preserve"> Wilson RI, Nicoll RA. Endogenous cannabinoids mediate retrograde signalling at hippocampal synapses.</w:t>
      </w:r>
      <w:r>
        <w:t xml:space="preserve"> </w:t>
      </w:r>
      <w:r>
        <w:rPr>
          <w:iCs/>
          <w:i/>
        </w:rPr>
        <w:t xml:space="preserve">Nature</w:t>
      </w:r>
      <w:r>
        <w:t xml:space="preserve">. 2001;410(6828):588–592.</w:t>
      </w:r>
      <w:r>
        <w:t xml:space="preserve"> </w:t>
      </w:r>
      <w:hyperlink r:id="rId2729">
        <w:r>
          <w:rPr>
            <w:rStyle w:val="Hyperlink"/>
          </w:rPr>
          <w:t xml:space="preserve">https://doi.org/10.1038/35069076</w:t>
        </w:r>
      </w:hyperlink>
      <w:r>
        <w:t xml:space="preserve">（研究类型：原始突触生理研究）</w:t>
      </w:r>
    </w:p>
    <w:p>
      <w:pPr>
        <w:pStyle w:val="ReferenceEntry"/>
      </w:pPr>
      <w:bookmarkStart w:id="2730" w:name="ref-70"/>
      <w:r>
        <w:t xml:space="preserve">[70]</w:t>
      </w:r>
      <w:bookmarkEnd w:id="2730"/>
      <w:r>
        <w:t xml:space="preserve"> Garthwaite J, Charles SL, Chess-Williams R. Endothelium derived relaxing factor release on activation of NMDA receptors suggests role as intercellular messenger in the brain.</w:t>
      </w:r>
      <w:r>
        <w:t xml:space="preserve"> </w:t>
      </w:r>
      <w:r>
        <w:rPr>
          <w:iCs/>
          <w:i/>
        </w:rPr>
        <w:t xml:space="preserve">Nature</w:t>
      </w:r>
      <w:r>
        <w:t xml:space="preserve">. 1988;336(6197):385–388.</w:t>
      </w:r>
      <w:r>
        <w:t xml:space="preserve"> </w:t>
      </w:r>
      <w:hyperlink r:id="rId2731">
        <w:r>
          <w:rPr>
            <w:rStyle w:val="Hyperlink"/>
          </w:rPr>
          <w:t xml:space="preserve">https://doi.org/10.1038/336385a0</w:t>
        </w:r>
      </w:hyperlink>
      <w:r>
        <w:t xml:space="preserve">（研究类型：原始细胞间信号实验）</w:t>
      </w:r>
    </w:p>
    <w:p>
      <w:pPr>
        <w:pStyle w:val="ReferenceEntry"/>
      </w:pPr>
      <w:bookmarkStart w:id="2732" w:name="ref-71"/>
      <w:r>
        <w:t xml:space="preserve">[71]</w:t>
      </w:r>
      <w:bookmarkEnd w:id="2732"/>
      <w:r>
        <w:t xml:space="preserve"> International Union of Basic and Clinical Pharmacology. Clinical pharmacokinetics. 检索于2026年10月.</w:t>
      </w:r>
      <w:r>
        <w:t xml:space="preserve"> </w:t>
      </w:r>
      <w:hyperlink r:id="rId2733">
        <w:r>
          <w:rPr>
            <w:rStyle w:val="Hyperlink"/>
          </w:rPr>
          <w:t xml:space="preserve">https://pharmacologyeducation.org/clinical-pharmacokinetics/</w:t>
        </w:r>
      </w:hyperlink>
      <w:r>
        <w:t xml:space="preserve">（研究类型：专业学会官方教学资源）</w:t>
      </w:r>
    </w:p>
    <w:p>
      <w:pPr>
        <w:pStyle w:val="ReferenceEntry"/>
      </w:pPr>
      <w:bookmarkStart w:id="2734" w:name="ref-72"/>
      <w:r>
        <w:t xml:space="preserve">[72]</w:t>
      </w:r>
      <w:bookmarkEnd w:id="2734"/>
      <w:r>
        <w:t xml:space="preserve"> Hammarlund-Udenaes M, Fridén M, Syvänen S, Gupta A. On The Rate and Extent of Drug Delivery to the Brain.</w:t>
      </w:r>
      <w:r>
        <w:t xml:space="preserve"> </w:t>
      </w:r>
      <w:r>
        <w:rPr>
          <w:iCs/>
          <w:i/>
        </w:rPr>
        <w:t xml:space="preserve">Pharmaceutical Research</w:t>
      </w:r>
      <w:r>
        <w:t xml:space="preserve">. 2008;25(8):1737–1750.</w:t>
      </w:r>
      <w:r>
        <w:t xml:space="preserve"> </w:t>
      </w:r>
      <w:hyperlink r:id="rId2735">
        <w:r>
          <w:rPr>
            <w:rStyle w:val="Hyperlink"/>
          </w:rPr>
          <w:t xml:space="preserve">https://doi.org/10.1007/s11095-007-9502-2</w:t>
        </w:r>
      </w:hyperlink>
      <w:r>
        <w:t xml:space="preserve">（研究类型：脑药物分布机制与参数综述）</w:t>
      </w:r>
    </w:p>
    <w:p>
      <w:pPr>
        <w:pStyle w:val="ReferenceEntry"/>
      </w:pPr>
      <w:bookmarkStart w:id="2736" w:name="ref-73"/>
      <w:r>
        <w:t xml:space="preserve">[73]</w:t>
      </w:r>
      <w:bookmarkEnd w:id="2736"/>
      <w:r>
        <w:t xml:space="preserve"> Meyer JH, Wilson AA, Sagrati S, Hussey D, Carella A, Potter WZ, et al. Serotonin transporter occupancy of five selective serotonin reuptake inhibitors at different doses: an [11C]DASB positron emission tomography study.</w:t>
      </w:r>
      <w:r>
        <w:t xml:space="preserve"> </w:t>
      </w:r>
      <w:r>
        <w:rPr>
          <w:iCs/>
          <w:i/>
        </w:rPr>
        <w:t xml:space="preserve">American Journal of Psychiatry</w:t>
      </w:r>
      <w:r>
        <w:t xml:space="preserve">. 2004;161(5):826–835.</w:t>
      </w:r>
      <w:r>
        <w:t xml:space="preserve"> </w:t>
      </w:r>
      <w:hyperlink r:id="rId2737">
        <w:r>
          <w:rPr>
            <w:rStyle w:val="Hyperlink"/>
          </w:rPr>
          <w:t xml:space="preserve">https://doi.org/10.1176/appi.ajp.161.5.826</w:t>
        </w:r>
      </w:hyperlink>
      <w:r>
        <w:t xml:space="preserve">（研究类型：人体给药前后PET转运体占有研究）</w:t>
      </w:r>
    </w:p>
    <w:p>
      <w:pPr>
        <w:pStyle w:val="ReferenceEntry"/>
      </w:pPr>
      <w:bookmarkStart w:id="2738" w:name="ref-74"/>
      <w:r>
        <w:t xml:space="preserve">[74]</w:t>
      </w:r>
      <w:bookmarkEnd w:id="2738"/>
      <w:r>
        <w:t xml:space="preserve"> Schinkel AH, Smit JJM, van Tellingen O, Beijnen JH, Wagenaar E, van Deemter L, et al. Disruption of the mouse mdr1a P-glycoprotein gene leads to a deficiency in the blood-brain barrier and to increased sensitivity to drugs.</w:t>
      </w:r>
      <w:r>
        <w:t xml:space="preserve"> </w:t>
      </w:r>
      <w:r>
        <w:rPr>
          <w:iCs/>
          <w:i/>
        </w:rPr>
        <w:t xml:space="preserve">Cell</w:t>
      </w:r>
      <w:r>
        <w:t xml:space="preserve">. 1994;77(4):491–502.</w:t>
      </w:r>
      <w:r>
        <w:t xml:space="preserve"> </w:t>
      </w:r>
      <w:hyperlink r:id="rId2739">
        <w:r>
          <w:rPr>
            <w:rStyle w:val="Hyperlink"/>
          </w:rPr>
          <w:t xml:space="preserve">https://doi.org/10.1016/0092-8674(94)90212-7</w:t>
        </w:r>
      </w:hyperlink>
      <w:r>
        <w:t xml:space="preserve">（研究类型：转运体基因敲除小鼠药物分布实验）</w:t>
      </w:r>
    </w:p>
    <w:p>
      <w:pPr>
        <w:pStyle w:val="ReferenceEntry"/>
      </w:pPr>
      <w:bookmarkStart w:id="2740" w:name="ref-75"/>
      <w:r>
        <w:t xml:space="preserve">[75]</w:t>
      </w:r>
      <w:bookmarkEnd w:id="2740"/>
      <w:r>
        <w:t xml:space="preserve"> Kaufmann AM, Krise JP. Lysosomal sequestration of amine-containing drugs: analysis and therapeutic implications.</w:t>
      </w:r>
      <w:r>
        <w:t xml:space="preserve"> </w:t>
      </w:r>
      <w:r>
        <w:rPr>
          <w:iCs/>
          <w:i/>
        </w:rPr>
        <w:t xml:space="preserve">Journal of Pharmaceutical Sciences</w:t>
      </w:r>
      <w:r>
        <w:t xml:space="preserve">. 2007;96(4):729–746.</w:t>
      </w:r>
      <w:r>
        <w:t xml:space="preserve"> </w:t>
      </w:r>
      <w:hyperlink r:id="rId2741">
        <w:r>
          <w:rPr>
            <w:rStyle w:val="Hyperlink"/>
          </w:rPr>
          <w:t xml:space="preserve">https://doi.org/10.1002/jps.20792</w:t>
        </w:r>
      </w:hyperlink>
      <w:r>
        <w:t xml:space="preserve">（研究类型：弱碱药细胞器分布机制综述）</w:t>
      </w:r>
    </w:p>
    <w:p>
      <w:pPr>
        <w:pStyle w:val="ReferenceEntry"/>
      </w:pPr>
      <w:bookmarkStart w:id="2742" w:name="ref-76"/>
      <w:r>
        <w:t xml:space="preserve">[76]</w:t>
      </w:r>
      <w:bookmarkEnd w:id="2742"/>
      <w:r>
        <w:t xml:space="preserve"> Daniel WA, Wójcikowski J, Pałucha A. Intracellular distribution of psychotropic drugs in the grey and white matter of the brain: the role of lysosomal trapping.</w:t>
      </w:r>
      <w:r>
        <w:t xml:space="preserve"> </w:t>
      </w:r>
      <w:r>
        <w:rPr>
          <w:iCs/>
          <w:i/>
        </w:rPr>
        <w:t xml:space="preserve">British Journal of Pharmacology</w:t>
      </w:r>
      <w:r>
        <w:t xml:space="preserve">. 2001;134(4):807–814.</w:t>
      </w:r>
      <w:r>
        <w:t xml:space="preserve"> </w:t>
      </w:r>
      <w:hyperlink r:id="rId2743">
        <w:r>
          <w:rPr>
            <w:rStyle w:val="Hyperlink"/>
          </w:rPr>
          <w:t xml:space="preserve">https://doi.org/10.1038/sj.bjp.0704319</w:t>
        </w:r>
      </w:hyperlink>
      <w:r>
        <w:t xml:space="preserve">（研究类型：脑切片与神经及胶质培养药物摄取实验）</w:t>
      </w:r>
    </w:p>
    <w:p>
      <w:pPr>
        <w:pStyle w:val="ReferenceEntry"/>
      </w:pPr>
      <w:bookmarkStart w:id="2744" w:name="ref-77"/>
      <w:r>
        <w:t xml:space="preserve">[77]</w:t>
      </w:r>
      <w:bookmarkEnd w:id="2744"/>
      <w:r>
        <w:t xml:space="preserve"> Copeland RA. The drug-target residence time model: a 10-year retrospective.</w:t>
      </w:r>
      <w:r>
        <w:t xml:space="preserve"> </w:t>
      </w:r>
      <w:r>
        <w:rPr>
          <w:iCs/>
          <w:i/>
        </w:rPr>
        <w:t xml:space="preserve">Nature Reviews Drug Discovery</w:t>
      </w:r>
      <w:r>
        <w:t xml:space="preserve">. 2016;15(2):87–95.</w:t>
      </w:r>
      <w:r>
        <w:t xml:space="preserve"> </w:t>
      </w:r>
      <w:hyperlink r:id="rId2745">
        <w:r>
          <w:rPr>
            <w:rStyle w:val="Hyperlink"/>
          </w:rPr>
          <w:t xml:space="preserve">https://doi.org/10.1038/nrd.2015.18</w:t>
        </w:r>
      </w:hyperlink>
      <w:r>
        <w:t xml:space="preserve">（研究类型：药物靶点结合动力学综述）</w:t>
      </w:r>
    </w:p>
    <w:p>
      <w:pPr>
        <w:pStyle w:val="ReferenceEntry"/>
      </w:pPr>
      <w:bookmarkStart w:id="2746" w:name="ref-78"/>
      <w:r>
        <w:t xml:space="preserve">[78]</w:t>
      </w:r>
      <w:bookmarkEnd w:id="2746"/>
      <w:r>
        <w:t xml:space="preserve"> International Council for Harmonisation; US Food and Drug Administration. M12 Drug Interaction Studies. 2024.</w:t>
      </w:r>
      <w:r>
        <w:t xml:space="preserve"> </w:t>
      </w:r>
      <w:hyperlink r:id="rId2747">
        <w:r>
          <w:rPr>
            <w:rStyle w:val="Hyperlink"/>
          </w:rPr>
          <w:t xml:space="preserve">https://www.fda.gov/regulatory-information/search-fda-guidance-documents/m12-drug-interaction-studies</w:t>
        </w:r>
      </w:hyperlink>
      <w:r>
        <w:t xml:space="preserve">（研究类型：ICH及FDA药物相互作用研究指导文件）</w:t>
      </w:r>
    </w:p>
    <w:p>
      <w:pPr>
        <w:pStyle w:val="ReferenceEntry"/>
      </w:pPr>
      <w:bookmarkStart w:id="2748" w:name="ref-79"/>
      <w:r>
        <w:t xml:space="preserve">[79]</w:t>
      </w:r>
      <w:bookmarkEnd w:id="2748"/>
      <w:r>
        <w:t xml:space="preserve"> Bousman CA, Stevenson JM, Ramsey LB, Sangkuhl K, Hicks JK, Strawn JR, et al. Clinical Pharmacogenetics Implementation Consortium (CPIC) Guideline for CYP2D6, CYP2C19, CYP2B6, SLC6A4, and HTR2A Genotypes and Serotonin Reuptake Inhibitor Antidepressants.</w:t>
      </w:r>
      <w:r>
        <w:t xml:space="preserve"> </w:t>
      </w:r>
      <w:r>
        <w:rPr>
          <w:iCs/>
          <w:i/>
        </w:rPr>
        <w:t xml:space="preserve">Clinical Pharmacology &amp; Therapeutics</w:t>
      </w:r>
      <w:r>
        <w:t xml:space="preserve">. 2023;114(1):51–68.</w:t>
      </w:r>
      <w:r>
        <w:t xml:space="preserve"> </w:t>
      </w:r>
      <w:hyperlink r:id="rId2749">
        <w:r>
          <w:rPr>
            <w:rStyle w:val="Hyperlink"/>
          </w:rPr>
          <w:t xml:space="preserve">https://doi.org/10.1002/cpt.2903</w:t>
        </w:r>
      </w:hyperlink>
      <w:r>
        <w:t xml:space="preserve">（研究类型：CPIC药物基因组学证据指南）</w:t>
      </w:r>
    </w:p>
    <w:p>
      <w:pPr>
        <w:pStyle w:val="ReferenceEntry"/>
      </w:pPr>
      <w:bookmarkStart w:id="2750" w:name="ref-80"/>
      <w:r>
        <w:t xml:space="preserve">[80]</w:t>
      </w:r>
      <w:bookmarkEnd w:id="2750"/>
      <w:r>
        <w:t xml:space="preserve"> Yu YJ, Zhang Y, Kenrick M, Hoyte K, Luk W, Lu Y, et al. Boosting brain uptake of a therapeutic antibody by reducing its affinity for a transcytosis target.</w:t>
      </w:r>
      <w:r>
        <w:t xml:space="preserve"> </w:t>
      </w:r>
      <w:r>
        <w:rPr>
          <w:iCs/>
          <w:i/>
        </w:rPr>
        <w:t xml:space="preserve">Science Translational Medicine</w:t>
      </w:r>
      <w:r>
        <w:t xml:space="preserve">. 2011;3(84).</w:t>
      </w:r>
      <w:r>
        <w:t xml:space="preserve"> </w:t>
      </w:r>
      <w:hyperlink r:id="rId2751">
        <w:r>
          <w:rPr>
            <w:rStyle w:val="Hyperlink"/>
          </w:rPr>
          <w:t xml:space="preserve">https://doi.org/10.1126/scitranslmed.3002230</w:t>
        </w:r>
      </w:hyperlink>
      <w:r>
        <w:t xml:space="preserve">（研究类型：小鼠转铁蛋白受体抗体工程递送实验）</w:t>
      </w:r>
    </w:p>
    <w:p>
      <w:pPr>
        <w:pStyle w:val="ReferenceEntry"/>
      </w:pPr>
      <w:bookmarkStart w:id="2752" w:name="ref-81"/>
      <w:r>
        <w:t xml:space="preserve">[81]</w:t>
      </w:r>
      <w:bookmarkEnd w:id="2752"/>
      <w:r>
        <w:t xml:space="preserve"> Rigo F, Chun SJ, Norris DA, Hung G, Lee S, Matson J, et al. Pharmacology of a central nervous system delivered 2'-O-methoxyethyl-modified survival of motor neuron splicing oligonucleotide in mice and nonhuman primates.</w:t>
      </w:r>
      <w:r>
        <w:t xml:space="preserve"> </w:t>
      </w:r>
      <w:r>
        <w:rPr>
          <w:iCs/>
          <w:i/>
        </w:rPr>
        <w:t xml:space="preserve">The Journal of Pharmacology and Experimental Therapeutics</w:t>
      </w:r>
      <w:r>
        <w:t xml:space="preserve">. 2014;350(1):46–55.</w:t>
      </w:r>
      <w:r>
        <w:t xml:space="preserve"> </w:t>
      </w:r>
      <w:hyperlink r:id="rId2753">
        <w:r>
          <w:rPr>
            <w:rStyle w:val="Hyperlink"/>
          </w:rPr>
          <w:t xml:space="preserve">https://doi.org/10.1124/jpet.113.212407</w:t>
        </w:r>
      </w:hyperlink>
      <w:r>
        <w:t xml:space="preserve">（研究类型：小鼠和非人灵长类中枢反义寡核苷酸药理研究）</w:t>
      </w:r>
    </w:p>
    <w:p>
      <w:pPr>
        <w:pStyle w:val="ReferenceEntry"/>
      </w:pPr>
      <w:bookmarkStart w:id="2754" w:name="ref-82"/>
      <w:r>
        <w:t xml:space="preserve">[82]</w:t>
      </w:r>
      <w:bookmarkEnd w:id="2754"/>
      <w:r>
        <w:t xml:space="preserve"> Finkel RS, Mercuri E, Darras BT, Connolly AM, Kuntz NL, Kirschner J, et al. Nusinersen versus Sham Control in Infantile-Onset Spinal Muscular Atrophy.</w:t>
      </w:r>
      <w:r>
        <w:t xml:space="preserve"> </w:t>
      </w:r>
      <w:r>
        <w:rPr>
          <w:iCs/>
          <w:i/>
        </w:rPr>
        <w:t xml:space="preserve">New England Journal of Medicine</w:t>
      </w:r>
      <w:r>
        <w:t xml:space="preserve">. 2017;377(18):1723–1732.</w:t>
      </w:r>
      <w:r>
        <w:t xml:space="preserve"> </w:t>
      </w:r>
      <w:hyperlink r:id="rId2755">
        <w:r>
          <w:rPr>
            <w:rStyle w:val="Hyperlink"/>
          </w:rPr>
          <w:t xml:space="preserve">https://doi.org/10.1056/NEJMoa1702752</w:t>
        </w:r>
      </w:hyperlink>
      <w:r>
        <w:t xml:space="preserve">（研究类型：多中心随机双盲伪干预对照三期试验）</w:t>
      </w:r>
    </w:p>
    <w:p>
      <w:pPr>
        <w:pStyle w:val="ReferenceEntry"/>
      </w:pPr>
      <w:bookmarkStart w:id="2756" w:name="ref-83"/>
      <w:r>
        <w:t xml:space="preserve">[83]</w:t>
      </w:r>
      <w:bookmarkEnd w:id="2756"/>
      <w:r>
        <w:t xml:space="preserve"> Koob GF, Volkow ND. Neurobiology of addiction: a neurocircuitry analysis.</w:t>
      </w:r>
      <w:r>
        <w:t xml:space="preserve"> </w:t>
      </w:r>
      <w:r>
        <w:rPr>
          <w:iCs/>
          <w:i/>
        </w:rPr>
        <w:t xml:space="preserve">The Lancet Psychiatry</w:t>
      </w:r>
      <w:r>
        <w:t xml:space="preserve">. 2016;3(8):760–773.</w:t>
      </w:r>
      <w:r>
        <w:t xml:space="preserve"> </w:t>
      </w:r>
      <w:hyperlink r:id="rId2757">
        <w:r>
          <w:rPr>
            <w:rStyle w:val="Hyperlink"/>
          </w:rPr>
          <w:t xml:space="preserve">https://doi.org/10.1016/S2215-0366(16)00104-8</w:t>
        </w:r>
      </w:hyperlink>
      <w:r>
        <w:t xml:space="preserve">（研究类型：机制综合综述）</w:t>
      </w:r>
    </w:p>
    <w:p>
      <w:pPr>
        <w:pStyle w:val="ReferenceEntry"/>
      </w:pPr>
      <w:bookmarkStart w:id="2758" w:name="ref-84"/>
      <w:r>
        <w:t xml:space="preserve">[84]</w:t>
      </w:r>
      <w:bookmarkEnd w:id="2758"/>
      <w:r>
        <w:t xml:space="preserve"> Lewis G, Marston L, Duffy L, Freemantle N, Gilbody S, Hunter R, et al. Maintenance or Discontinuation of Antidepressants in Primary Care.</w:t>
      </w:r>
      <w:r>
        <w:t xml:space="preserve"> </w:t>
      </w:r>
      <w:r>
        <w:rPr>
          <w:iCs/>
          <w:i/>
        </w:rPr>
        <w:t xml:space="preserve">New England Journal of Medicine</w:t>
      </w:r>
      <w:r>
        <w:t xml:space="preserve">. 2021;385(14):1257–1267.</w:t>
      </w:r>
      <w:r>
        <w:t xml:space="preserve"> </w:t>
      </w:r>
      <w:hyperlink r:id="rId2759">
        <w:r>
          <w:rPr>
            <w:rStyle w:val="Hyperlink"/>
          </w:rPr>
          <w:t xml:space="preserve">https://doi.org/10.1056/NEJMoa2106356</w:t>
        </w:r>
      </w:hyperlink>
      <w:r>
        <w:t xml:space="preserve">（研究类型：双盲随机维持停药试验）</w:t>
      </w:r>
    </w:p>
    <w:p>
      <w:pPr>
        <w:pStyle w:val="ReferenceEntry"/>
      </w:pPr>
      <w:bookmarkStart w:id="2760" w:name="ref-85"/>
      <w:r>
        <w:t xml:space="preserve">[85]</w:t>
      </w:r>
      <w:bookmarkEnd w:id="2760"/>
      <w:r>
        <w:t xml:space="preserve"> Zaccoletti D, Mosconi C, Gastaldon C, Benedetti L, Gottardi C, Papola D, et al. Comparison of antidepressant deprescribing strategies in individuals with clinically remitted depression a systematic review and network meta analysis.</w:t>
      </w:r>
      <w:r>
        <w:t xml:space="preserve"> </w:t>
      </w:r>
      <w:r>
        <w:rPr>
          <w:iCs/>
          <w:i/>
        </w:rPr>
        <w:t xml:space="preserve">The Lancet Psychiatry</w:t>
      </w:r>
      <w:r>
        <w:t xml:space="preserve">. 2026;13(1):24–36.</w:t>
      </w:r>
      <w:r>
        <w:t xml:space="preserve"> </w:t>
      </w:r>
      <w:hyperlink r:id="rId2761">
        <w:r>
          <w:rPr>
            <w:rStyle w:val="Hyperlink"/>
          </w:rPr>
          <w:t xml:space="preserve">https://doi.org/10.1016/S2215-0366(25)00330-X</w:t>
        </w:r>
      </w:hyperlink>
      <w:r>
        <w:t xml:space="preserve">（研究类型：原始系统综述与网络元分析）</w:t>
      </w:r>
    </w:p>
    <w:p>
      <w:pPr>
        <w:pStyle w:val="ReferenceEntry"/>
      </w:pPr>
      <w:bookmarkStart w:id="2762" w:name="ref-86"/>
      <w:r>
        <w:t xml:space="preserve">[86]</w:t>
      </w:r>
      <w:bookmarkEnd w:id="2762"/>
      <w:r>
        <w:t xml:space="preserve"> Siletti K, Hodge R, Mossi Albiach A, Lee KW, Ding SL, Hu L, et al. Transcriptomic diversity of cell types across the adult human brain.</w:t>
      </w:r>
      <w:r>
        <w:t xml:space="preserve"> </w:t>
      </w:r>
      <w:r>
        <w:rPr>
          <w:iCs/>
          <w:i/>
        </w:rPr>
        <w:t xml:space="preserve">Science</w:t>
      </w:r>
      <w:r>
        <w:t xml:space="preserve">. 2023;382(6667):eadd7046.</w:t>
      </w:r>
      <w:r>
        <w:t xml:space="preserve"> </w:t>
      </w:r>
      <w:hyperlink r:id="rId2763">
        <w:r>
          <w:rPr>
            <w:rStyle w:val="Hyperlink"/>
          </w:rPr>
          <w:t xml:space="preserve">https://doi.org/10.1126/science.add7046</w:t>
        </w:r>
      </w:hyperlink>
      <w:r>
        <w:t xml:space="preserve">（研究类型：单细胞核转录组原始图谱）</w:t>
      </w:r>
    </w:p>
    <w:p>
      <w:pPr>
        <w:pStyle w:val="ReferenceEntry"/>
      </w:pPr>
      <w:bookmarkStart w:id="2764" w:name="ref-87"/>
      <w:r>
        <w:t xml:space="preserve">[87]</w:t>
      </w:r>
      <w:bookmarkEnd w:id="2764"/>
      <w:r>
        <w:t xml:space="preserve"> Escartin C, Galea E, Lakatos A, O’Callaghan JP, Petzold GC, Serrano-Pozo A, et al. Reactive astrocyte nomenclature, definitions, and future directions.</w:t>
      </w:r>
      <w:r>
        <w:t xml:space="preserve"> </w:t>
      </w:r>
      <w:r>
        <w:rPr>
          <w:iCs/>
          <w:i/>
        </w:rPr>
        <w:t xml:space="preserve">Nature Neuroscience</w:t>
      </w:r>
      <w:r>
        <w:t xml:space="preserve">. 2021;24(3):312–325.</w:t>
      </w:r>
      <w:r>
        <w:t xml:space="preserve"> </w:t>
      </w:r>
      <w:hyperlink r:id="rId2765">
        <w:r>
          <w:rPr>
            <w:rStyle w:val="Hyperlink"/>
          </w:rPr>
          <w:t xml:space="preserve">https://doi.org/10.1038/s41593-020-00783-4</w:t>
        </w:r>
      </w:hyperlink>
      <w:r>
        <w:t xml:space="preserve">（研究类型：领域共识与机制评述）</w:t>
      </w:r>
    </w:p>
    <w:p>
      <w:pPr>
        <w:pStyle w:val="ReferenceEntry"/>
      </w:pPr>
      <w:bookmarkStart w:id="2766" w:name="ref-88"/>
      <w:r>
        <w:t xml:space="preserve">[88]</w:t>
      </w:r>
      <w:bookmarkEnd w:id="2766"/>
      <w:r>
        <w:t xml:space="preserve"> Djukic B, Casper KB, Philpot BD, Chin LS, McCarthy KD. Conditional knock out of Kir4.1 leads to glial membrane depolarization, inhibition of potassium and glutamate uptake, and enhanced short term synaptic potentiation.</w:t>
      </w:r>
      <w:r>
        <w:t xml:space="preserve"> </w:t>
      </w:r>
      <w:r>
        <w:rPr>
          <w:iCs/>
          <w:i/>
        </w:rPr>
        <w:t xml:space="preserve">The Journal of Neuroscience</w:t>
      </w:r>
      <w:r>
        <w:t xml:space="preserve">. 2007;27(42):11354–11365.</w:t>
      </w:r>
      <w:r>
        <w:t xml:space="preserve"> </w:t>
      </w:r>
      <w:hyperlink r:id="rId2767">
        <w:r>
          <w:rPr>
            <w:rStyle w:val="Hyperlink"/>
          </w:rPr>
          <w:t xml:space="preserve">https://doi.org/10.1523/JNEUROSCI.0723-07.2007</w:t>
        </w:r>
      </w:hyperlink>
      <w:r>
        <w:t xml:space="preserve">（研究类型：原始条件遗传与细胞生理实验）</w:t>
      </w:r>
    </w:p>
    <w:p>
      <w:pPr>
        <w:pStyle w:val="ReferenceEntry"/>
      </w:pPr>
      <w:bookmarkStart w:id="2768" w:name="ref-89"/>
      <w:r>
        <w:t xml:space="preserve">[89]</w:t>
      </w:r>
      <w:bookmarkEnd w:id="2768"/>
      <w:r>
        <w:t xml:space="preserve"> Danbolt NC. Glutamate uptake.</w:t>
      </w:r>
      <w:r>
        <w:t xml:space="preserve"> </w:t>
      </w:r>
      <w:r>
        <w:rPr>
          <w:iCs/>
          <w:i/>
        </w:rPr>
        <w:t xml:space="preserve">Progress in Neurobiology</w:t>
      </w:r>
      <w:r>
        <w:t xml:space="preserve">. 2001;65(1):1–105.</w:t>
      </w:r>
      <w:r>
        <w:t xml:space="preserve"> </w:t>
      </w:r>
      <w:hyperlink r:id="rId2769">
        <w:r>
          <w:rPr>
            <w:rStyle w:val="Hyperlink"/>
          </w:rPr>
          <w:t xml:space="preserve">https://doi.org/10.1016/S0301-0082(00)00067-8</w:t>
        </w:r>
      </w:hyperlink>
      <w:r>
        <w:t xml:space="preserve">（研究类型：机制综述）</w:t>
      </w:r>
    </w:p>
    <w:p>
      <w:pPr>
        <w:pStyle w:val="ReferenceEntry"/>
      </w:pPr>
      <w:bookmarkStart w:id="2770" w:name="ref-90"/>
      <w:r>
        <w:t xml:space="preserve">[90]</w:t>
      </w:r>
      <w:bookmarkEnd w:id="2770"/>
      <w:r>
        <w:t xml:space="preserve"> de Ceglia R, Ledonne A, Litvin DG, Lind BL, Carriero G, Latagliata EC, et al. Specialized astrocytes mediate glutamatergic gliotransmission in the CNS.</w:t>
      </w:r>
      <w:r>
        <w:t xml:space="preserve"> </w:t>
      </w:r>
      <w:r>
        <w:rPr>
          <w:iCs/>
          <w:i/>
        </w:rPr>
        <w:t xml:space="preserve">Nature</w:t>
      </w:r>
      <w:r>
        <w:t xml:space="preserve">. 2023;622(7981):120–129.</w:t>
      </w:r>
      <w:r>
        <w:t xml:space="preserve"> </w:t>
      </w:r>
      <w:hyperlink r:id="rId2771">
        <w:r>
          <w:rPr>
            <w:rStyle w:val="Hyperlink"/>
          </w:rPr>
          <w:t xml:space="preserve">https://doi.org/10.1038/s41586-023-06502-w</w:t>
        </w:r>
      </w:hyperlink>
      <w:r>
        <w:t xml:space="preserve">（研究类型：多模态分子成像与细胞特异操控）</w:t>
      </w:r>
    </w:p>
    <w:p>
      <w:pPr>
        <w:pStyle w:val="ReferenceEntry"/>
      </w:pPr>
      <w:bookmarkStart w:id="2772" w:name="ref-91"/>
      <w:r>
        <w:t xml:space="preserve">[91]</w:t>
      </w:r>
      <w:bookmarkEnd w:id="2772"/>
      <w:r>
        <w:t xml:space="preserve"> Fiacco TA, McCarthy KD. Multiple Lines of Evidence Indicate That Gliotransmission Does Not Occur under Physiological Conditions.</w:t>
      </w:r>
      <w:r>
        <w:t xml:space="preserve"> </w:t>
      </w:r>
      <w:r>
        <w:rPr>
          <w:iCs/>
          <w:i/>
        </w:rPr>
        <w:t xml:space="preserve">The Journal of Neuroscience</w:t>
      </w:r>
      <w:r>
        <w:t xml:space="preserve">. 2018;38(1):3–13.</w:t>
      </w:r>
      <w:r>
        <w:t xml:space="preserve"> </w:t>
      </w:r>
      <w:hyperlink r:id="rId2773">
        <w:r>
          <w:rPr>
            <w:rStyle w:val="Hyperlink"/>
          </w:rPr>
          <w:t xml:space="preserve">https://doi.org/10.1523/JNEUROSCI.0016-17.2017</w:t>
        </w:r>
      </w:hyperlink>
      <w:r>
        <w:t xml:space="preserve">（研究类型：争鸣性机制评述）</w:t>
      </w:r>
    </w:p>
    <w:p>
      <w:pPr>
        <w:pStyle w:val="ReferenceEntry"/>
      </w:pPr>
      <w:bookmarkStart w:id="2774" w:name="ref-92"/>
      <w:r>
        <w:t xml:space="preserve">[92]</w:t>
      </w:r>
      <w:bookmarkEnd w:id="2774"/>
      <w:r>
        <w:t xml:space="preserve"> Allen NJ, Bennett ML, Foo LC, Wang GX, Chakraborty C, Smith SJ, et al. Astrocyte glypicans 4 and 6 promote formation of excitatory synapses via GluA1 AMPA receptors.</w:t>
      </w:r>
      <w:r>
        <w:t xml:space="preserve"> </w:t>
      </w:r>
      <w:r>
        <w:rPr>
          <w:iCs/>
          <w:i/>
        </w:rPr>
        <w:t xml:space="preserve">Nature</w:t>
      </w:r>
      <w:r>
        <w:t xml:space="preserve">. 2012;486(7403):410–414.</w:t>
      </w:r>
      <w:r>
        <w:t xml:space="preserve"> </w:t>
      </w:r>
      <w:hyperlink r:id="rId2775">
        <w:r>
          <w:rPr>
            <w:rStyle w:val="Hyperlink"/>
          </w:rPr>
          <w:t xml:space="preserve">https://doi.org/10.1038/nature11059</w:t>
        </w:r>
      </w:hyperlink>
      <w:r>
        <w:t xml:space="preserve">（研究类型：原始分泌因子与突触形成研究）</w:t>
      </w:r>
    </w:p>
    <w:p>
      <w:pPr>
        <w:pStyle w:val="ReferenceEntry"/>
      </w:pPr>
      <w:bookmarkStart w:id="2776" w:name="ref-93"/>
      <w:r>
        <w:t xml:space="preserve">[93]</w:t>
      </w:r>
      <w:bookmarkEnd w:id="2776"/>
      <w:r>
        <w:t xml:space="preserve"> Ginhoux F, Greter M, Leboeuf M, Nandi S, See P, Gokhan S, et al. Fate mapping analysis reveals that adult microglia derive from primitive macrophages.</w:t>
      </w:r>
      <w:r>
        <w:t xml:space="preserve"> </w:t>
      </w:r>
      <w:r>
        <w:rPr>
          <w:iCs/>
          <w:i/>
        </w:rPr>
        <w:t xml:space="preserve">Science</w:t>
      </w:r>
      <w:r>
        <w:t xml:space="preserve">. 2010;330(6005):841–845.</w:t>
      </w:r>
      <w:r>
        <w:t xml:space="preserve"> </w:t>
      </w:r>
      <w:hyperlink r:id="rId2777">
        <w:r>
          <w:rPr>
            <w:rStyle w:val="Hyperlink"/>
          </w:rPr>
          <w:t xml:space="preserve">https://doi.org/10.1126/science.1194637</w:t>
        </w:r>
      </w:hyperlink>
      <w:r>
        <w:t xml:space="preserve">（研究类型：原始发育谱系追踪）</w:t>
      </w:r>
    </w:p>
    <w:p>
      <w:pPr>
        <w:pStyle w:val="ReferenceEntry"/>
      </w:pPr>
      <w:bookmarkStart w:id="2778" w:name="ref-94"/>
      <w:r>
        <w:t xml:space="preserve">[94]</w:t>
      </w:r>
      <w:bookmarkEnd w:id="2778"/>
      <w:r>
        <w:t xml:space="preserve"> Nimmerjahn A, Kirchhoff F, Helmchen F. Resting microglial cells are highly dynamic surveillants of brain parenchyma in vivo.</w:t>
      </w:r>
      <w:r>
        <w:t xml:space="preserve"> </w:t>
      </w:r>
      <w:r>
        <w:rPr>
          <w:iCs/>
          <w:i/>
        </w:rPr>
        <w:t xml:space="preserve">Science</w:t>
      </w:r>
      <w:r>
        <w:t xml:space="preserve">. 2005;308(5726):1314–1318.</w:t>
      </w:r>
      <w:r>
        <w:t xml:space="preserve"> </w:t>
      </w:r>
      <w:hyperlink r:id="rId2779">
        <w:r>
          <w:rPr>
            <w:rStyle w:val="Hyperlink"/>
          </w:rPr>
          <w:t xml:space="preserve">https://doi.org/10.1126/science.1110647</w:t>
        </w:r>
      </w:hyperlink>
      <w:r>
        <w:t xml:space="preserve">（研究类型：原始在体双光子成像）</w:t>
      </w:r>
    </w:p>
    <w:p>
      <w:pPr>
        <w:pStyle w:val="ReferenceEntry"/>
      </w:pPr>
      <w:bookmarkStart w:id="2780" w:name="ref-95"/>
      <w:r>
        <w:t xml:space="preserve">[95]</w:t>
      </w:r>
      <w:bookmarkEnd w:id="2780"/>
      <w:r>
        <w:t xml:space="preserve"> Stevens B, Allen NJ, Vazquez LE, Howell GR, Christopherson KS, Nouri N, et al. The classical complement cascade mediates CNS synapse elimination.</w:t>
      </w:r>
      <w:r>
        <w:t xml:space="preserve"> </w:t>
      </w:r>
      <w:r>
        <w:rPr>
          <w:iCs/>
          <w:i/>
        </w:rPr>
        <w:t xml:space="preserve">Cell</w:t>
      </w:r>
      <w:r>
        <w:t xml:space="preserve">. 2007;131(6):1164–1178.</w:t>
      </w:r>
      <w:r>
        <w:t xml:space="preserve"> </w:t>
      </w:r>
      <w:hyperlink r:id="rId2781">
        <w:r>
          <w:rPr>
            <w:rStyle w:val="Hyperlink"/>
          </w:rPr>
          <w:t xml:space="preserve">https://doi.org/10.1016/j.cell.2007.10.036</w:t>
        </w:r>
      </w:hyperlink>
      <w:r>
        <w:t xml:space="preserve">（研究类型：原始遗传与发育连接研究）</w:t>
      </w:r>
    </w:p>
    <w:p>
      <w:pPr>
        <w:pStyle w:val="ReferenceEntry"/>
      </w:pPr>
      <w:bookmarkStart w:id="2782" w:name="ref-96"/>
      <w:r>
        <w:t xml:space="preserve">[96]</w:t>
      </w:r>
      <w:bookmarkEnd w:id="2782"/>
      <w:r>
        <w:t xml:space="preserve"> Schafer DP, Lehrman EK, Kautzman AG, Koyama R, Mardinly AR, Yamasaki R, et al. Microglia sculpt postnatal neural circuits in an activity and complement dependent manner.</w:t>
      </w:r>
      <w:r>
        <w:t xml:space="preserve"> </w:t>
      </w:r>
      <w:r>
        <w:rPr>
          <w:iCs/>
          <w:i/>
        </w:rPr>
        <w:t xml:space="preserve">Neuron</w:t>
      </w:r>
      <w:r>
        <w:t xml:space="preserve">. 2012;74(4):691–705.</w:t>
      </w:r>
      <w:r>
        <w:t xml:space="preserve"> </w:t>
      </w:r>
      <w:hyperlink r:id="rId2783">
        <w:r>
          <w:rPr>
            <w:rStyle w:val="Hyperlink"/>
          </w:rPr>
          <w:t xml:space="preserve">https://doi.org/10.1016/j.neuron.2012.03.026</w:t>
        </w:r>
      </w:hyperlink>
      <w:r>
        <w:t xml:space="preserve">（研究类型：原始发育回路实验）</w:t>
      </w:r>
    </w:p>
    <w:p>
      <w:pPr>
        <w:pStyle w:val="ReferenceEntry"/>
      </w:pPr>
      <w:bookmarkStart w:id="2784" w:name="ref-97"/>
      <w:r>
        <w:t xml:space="preserve">[97]</w:t>
      </w:r>
      <w:bookmarkEnd w:id="2784"/>
      <w:r>
        <w:t xml:space="preserve"> Paolicelli RC, Sierra A, Stevens B, Tremblay ME, Aguzzi A, Ajami B, et al. Microglia states and nomenclature: A field at its crossroads.</w:t>
      </w:r>
      <w:r>
        <w:t xml:space="preserve"> </w:t>
      </w:r>
      <w:r>
        <w:rPr>
          <w:iCs/>
          <w:i/>
        </w:rPr>
        <w:t xml:space="preserve">Neuron</w:t>
      </w:r>
      <w:r>
        <w:t xml:space="preserve">. 2022;110(21):3458–3483.</w:t>
      </w:r>
      <w:r>
        <w:t xml:space="preserve"> </w:t>
      </w:r>
      <w:hyperlink r:id="rId2785">
        <w:r>
          <w:rPr>
            <w:rStyle w:val="Hyperlink"/>
          </w:rPr>
          <w:t xml:space="preserve">https://doi.org/10.1016/j.neuron.2022.10.020</w:t>
        </w:r>
      </w:hyperlink>
      <w:r>
        <w:t xml:space="preserve">（研究类型：领域共识与证据评述）</w:t>
      </w:r>
    </w:p>
    <w:p>
      <w:pPr>
        <w:pStyle w:val="ReferenceEntry"/>
      </w:pPr>
      <w:bookmarkStart w:id="2786" w:name="ref-98"/>
      <w:r>
        <w:t xml:space="preserve">[98]</w:t>
      </w:r>
      <w:bookmarkEnd w:id="2786"/>
      <w:r>
        <w:t xml:space="preserve"> Lee Y, Morrison BM, Li Y, Lengacher S, Farah MH, Hoffman PN, et al. Oligodendroglia metabolically support axons and contribute to neurodegeneration.</w:t>
      </w:r>
      <w:r>
        <w:t xml:space="preserve"> </w:t>
      </w:r>
      <w:r>
        <w:rPr>
          <w:iCs/>
          <w:i/>
        </w:rPr>
        <w:t xml:space="preserve">Nature</w:t>
      </w:r>
      <w:r>
        <w:t xml:space="preserve">. 2012;487(7408):443–448.</w:t>
      </w:r>
      <w:r>
        <w:t xml:space="preserve"> </w:t>
      </w:r>
      <w:hyperlink r:id="rId2787">
        <w:r>
          <w:rPr>
            <w:rStyle w:val="Hyperlink"/>
          </w:rPr>
          <w:t xml:space="preserve">https://doi.org/10.1038/nature11314</w:t>
        </w:r>
      </w:hyperlink>
      <w:r>
        <w:t xml:space="preserve">（研究类型：原始细胞动物与相关人组织研究）</w:t>
      </w:r>
    </w:p>
    <w:p>
      <w:pPr>
        <w:pStyle w:val="ReferenceEntry"/>
      </w:pPr>
      <w:bookmarkStart w:id="2788" w:name="ref-99"/>
      <w:r>
        <w:t xml:space="preserve">[99]</w:t>
      </w:r>
      <w:bookmarkEnd w:id="2788"/>
      <w:r>
        <w:t xml:space="preserve"> Fünfschilling U, Supplie LM, Mahad D, Boretius S, Saab AS, Edgar J, et al. Glycolytic oligodendrocytes maintain myelin and long term axonal integrity.</w:t>
      </w:r>
      <w:r>
        <w:t xml:space="preserve"> </w:t>
      </w:r>
      <w:r>
        <w:rPr>
          <w:iCs/>
          <w:i/>
        </w:rPr>
        <w:t xml:space="preserve">Nature</w:t>
      </w:r>
      <w:r>
        <w:t xml:space="preserve">. 2012;485(7399):517–521.</w:t>
      </w:r>
      <w:r>
        <w:t xml:space="preserve"> </w:t>
      </w:r>
      <w:hyperlink r:id="rId2789">
        <w:r>
          <w:rPr>
            <w:rStyle w:val="Hyperlink"/>
          </w:rPr>
          <w:t xml:space="preserve">https://doi.org/10.1038/nature11007</w:t>
        </w:r>
      </w:hyperlink>
      <w:r>
        <w:t xml:space="preserve">（研究类型：原始遗传代谢实验）</w:t>
      </w:r>
    </w:p>
    <w:p>
      <w:pPr>
        <w:pStyle w:val="ReferenceEntry"/>
      </w:pPr>
      <w:bookmarkStart w:id="2790" w:name="ref-100"/>
      <w:r>
        <w:t xml:space="preserve">[100]</w:t>
      </w:r>
      <w:bookmarkEnd w:id="2790"/>
      <w:r>
        <w:t xml:space="preserve"> Bergles DE, Roberts JDB, Somogyi P, Jahr CE. Glutamatergic synapses on oligodendrocyte precursor cells in the hippocampus.</w:t>
      </w:r>
      <w:r>
        <w:t xml:space="preserve"> </w:t>
      </w:r>
      <w:r>
        <w:rPr>
          <w:iCs/>
          <w:i/>
        </w:rPr>
        <w:t xml:space="preserve">Nature</w:t>
      </w:r>
      <w:r>
        <w:t xml:space="preserve">. 2000;405(6783):187–191.</w:t>
      </w:r>
      <w:r>
        <w:t xml:space="preserve"> </w:t>
      </w:r>
      <w:hyperlink r:id="rId2791">
        <w:r>
          <w:rPr>
            <w:rStyle w:val="Hyperlink"/>
          </w:rPr>
          <w:t xml:space="preserve">https://doi.org/10.1038/35012083</w:t>
        </w:r>
      </w:hyperlink>
      <w:r>
        <w:t xml:space="preserve">（研究类型：原始细胞电生理与解剖研究）</w:t>
      </w:r>
    </w:p>
    <w:p>
      <w:pPr>
        <w:pStyle w:val="ReferenceEntry"/>
      </w:pPr>
      <w:bookmarkStart w:id="2792" w:name="ref-101"/>
      <w:r>
        <w:t xml:space="preserve">[101]</w:t>
      </w:r>
      <w:bookmarkEnd w:id="2792"/>
      <w:r>
        <w:t xml:space="preserve"> Rasband MN, Peles E. Mechanisms of node of Ranvier assembly.</w:t>
      </w:r>
      <w:r>
        <w:t xml:space="preserve"> </w:t>
      </w:r>
      <w:r>
        <w:rPr>
          <w:iCs/>
          <w:i/>
        </w:rPr>
        <w:t xml:space="preserve">Nature Reviews Neuroscience</w:t>
      </w:r>
      <w:r>
        <w:t xml:space="preserve">. 2021;22(1):7–20.</w:t>
      </w:r>
      <w:r>
        <w:t xml:space="preserve"> </w:t>
      </w:r>
      <w:hyperlink r:id="rId2793">
        <w:r>
          <w:rPr>
            <w:rStyle w:val="Hyperlink"/>
          </w:rPr>
          <w:t xml:space="preserve">https://doi.org/10.1038/s41583-020-00406-8</w:t>
        </w:r>
      </w:hyperlink>
      <w:r>
        <w:t xml:space="preserve">（研究类型：机制综述）</w:t>
      </w:r>
    </w:p>
    <w:p>
      <w:pPr>
        <w:pStyle w:val="ReferenceEntry"/>
      </w:pPr>
      <w:bookmarkStart w:id="2794" w:name="ref-102"/>
      <w:r>
        <w:t xml:space="preserve">[102]</w:t>
      </w:r>
      <w:bookmarkEnd w:id="2794"/>
      <w:r>
        <w:t xml:space="preserve"> Huxley AF, Stämpfli R. Evidence for saltatory conduction in peripheral myelinated nerve fibres.</w:t>
      </w:r>
      <w:r>
        <w:t xml:space="preserve"> </w:t>
      </w:r>
      <w:r>
        <w:rPr>
          <w:iCs/>
          <w:i/>
        </w:rPr>
        <w:t xml:space="preserve">The Journal of Physiology</w:t>
      </w:r>
      <w:r>
        <w:t xml:space="preserve">. 1949;108(3):315–339.</w:t>
      </w:r>
      <w:r>
        <w:t xml:space="preserve"> </w:t>
      </w:r>
      <w:hyperlink r:id="rId2795">
        <w:r>
          <w:rPr>
            <w:rStyle w:val="Hyperlink"/>
          </w:rPr>
          <w:t xml:space="preserve">https://doi.org/10.1113/jphysiol.1949.sp004335</w:t>
        </w:r>
      </w:hyperlink>
      <w:r>
        <w:t xml:space="preserve">（研究类型：原始外周神经电生理）</w:t>
      </w:r>
    </w:p>
    <w:p>
      <w:pPr>
        <w:pStyle w:val="ReferenceEntry"/>
      </w:pPr>
      <w:bookmarkStart w:id="2796" w:name="ref-103"/>
      <w:r>
        <w:t xml:space="preserve">[103]</w:t>
      </w:r>
      <w:bookmarkEnd w:id="2796"/>
      <w:r>
        <w:t xml:space="preserve"> Tomassy GS, Berger DR, Chen HH, Kasthuri N, Hayworth KJ, Vercelli A, et al. Distinct profiles of myelin distribution along single axons of pyramidal neurons in the neocortex.</w:t>
      </w:r>
      <w:r>
        <w:t xml:space="preserve"> </w:t>
      </w:r>
      <w:r>
        <w:rPr>
          <w:iCs/>
          <w:i/>
        </w:rPr>
        <w:t xml:space="preserve">Science</w:t>
      </w:r>
      <w:r>
        <w:t xml:space="preserve">. 2014;344(6181):319–324.</w:t>
      </w:r>
      <w:r>
        <w:t xml:space="preserve"> </w:t>
      </w:r>
      <w:hyperlink r:id="rId2797">
        <w:r>
          <w:rPr>
            <w:rStyle w:val="Hyperlink"/>
          </w:rPr>
          <w:t xml:space="preserve">https://doi.org/10.1126/science.1249766</w:t>
        </w:r>
      </w:hyperlink>
      <w:r>
        <w:t xml:space="preserve">（研究类型：原始电子显微重建）</w:t>
      </w:r>
    </w:p>
    <w:p>
      <w:pPr>
        <w:pStyle w:val="ReferenceEntry"/>
      </w:pPr>
      <w:bookmarkStart w:id="2798" w:name="ref-104"/>
      <w:r>
        <w:t xml:space="preserve">[104]</w:t>
      </w:r>
      <w:bookmarkEnd w:id="2798"/>
      <w:r>
        <w:t xml:space="preserve"> Stedehouder J, Couey JJ, Brizee D, Hosseini B, Slotman JA, Dirven CMF, et al. Fast spiking Parvalbumin Interneurons are Frequently Myelinated in the Cerebral Cortex of Mice and Humans.</w:t>
      </w:r>
      <w:r>
        <w:t xml:space="preserve"> </w:t>
      </w:r>
      <w:r>
        <w:rPr>
          <w:iCs/>
          <w:i/>
        </w:rPr>
        <w:t xml:space="preserve">Cerebral Cortex</w:t>
      </w:r>
      <w:r>
        <w:t xml:space="preserve">. 2017;27(10):5001–5013.</w:t>
      </w:r>
      <w:r>
        <w:t xml:space="preserve"> </w:t>
      </w:r>
      <w:hyperlink r:id="rId2799">
        <w:r>
          <w:rPr>
            <w:rStyle w:val="Hyperlink"/>
          </w:rPr>
          <w:t xml:space="preserve">https://doi.org/10.1093/cercor/bhx203</w:t>
        </w:r>
      </w:hyperlink>
      <w:r>
        <w:t xml:space="preserve">（研究类型：原始组织与细胞生理研究）</w:t>
      </w:r>
    </w:p>
    <w:p>
      <w:pPr>
        <w:pStyle w:val="ReferenceEntry"/>
      </w:pPr>
      <w:bookmarkStart w:id="2800" w:name="ref-105"/>
      <w:r>
        <w:t xml:space="preserve">[105]</w:t>
      </w:r>
      <w:bookmarkEnd w:id="2800"/>
      <w:r>
        <w:t xml:space="preserve"> Gibson EM, Purger D, Mount CW, Goldstein AK, Lin GL, Wood LS, et al. Neuronal activity promotes oligodendrogenesis and adaptive myelination in the mammalian brain.</w:t>
      </w:r>
      <w:r>
        <w:t xml:space="preserve"> </w:t>
      </w:r>
      <w:r>
        <w:rPr>
          <w:iCs/>
          <w:i/>
        </w:rPr>
        <w:t xml:space="preserve">Science</w:t>
      </w:r>
      <w:r>
        <w:t xml:space="preserve">. 2014;344(6183):1252304.</w:t>
      </w:r>
      <w:r>
        <w:t xml:space="preserve"> </w:t>
      </w:r>
      <w:hyperlink r:id="rId2801">
        <w:r>
          <w:rPr>
            <w:rStyle w:val="Hyperlink"/>
          </w:rPr>
          <w:t xml:space="preserve">https://doi.org/10.1126/science.1252304</w:t>
        </w:r>
      </w:hyperlink>
      <w:r>
        <w:t xml:space="preserve">（研究类型：原始光遗传与细胞组织学实验）</w:t>
      </w:r>
    </w:p>
    <w:p>
      <w:pPr>
        <w:pStyle w:val="ReferenceEntry"/>
      </w:pPr>
      <w:bookmarkStart w:id="2802" w:name="ref-106"/>
      <w:r>
        <w:t xml:space="preserve">[106]</w:t>
      </w:r>
      <w:bookmarkEnd w:id="2802"/>
      <w:r>
        <w:t xml:space="preserve"> McKenzie IA, Ohayon D, Li H, Paes de Faria J, Emery B, Tohyama K, et al. Motor skill learning requires active central myelination.</w:t>
      </w:r>
      <w:r>
        <w:t xml:space="preserve"> </w:t>
      </w:r>
      <w:r>
        <w:rPr>
          <w:iCs/>
          <w:i/>
        </w:rPr>
        <w:t xml:space="preserve">Science</w:t>
      </w:r>
      <w:r>
        <w:t xml:space="preserve">. 2014;346(6207):318–322.</w:t>
      </w:r>
      <w:r>
        <w:t xml:space="preserve"> </w:t>
      </w:r>
      <w:hyperlink r:id="rId2803">
        <w:r>
          <w:rPr>
            <w:rStyle w:val="Hyperlink"/>
          </w:rPr>
          <w:t xml:space="preserve">https://doi.org/10.1126/science.1254960</w:t>
        </w:r>
      </w:hyperlink>
      <w:r>
        <w:t xml:space="preserve">（研究类型：原始小鼠条件遗传实验）</w:t>
      </w:r>
    </w:p>
    <w:p>
      <w:pPr>
        <w:pStyle w:val="ReferenceEntry"/>
      </w:pPr>
      <w:bookmarkStart w:id="2804" w:name="ref-107"/>
      <w:r>
        <w:t xml:space="preserve">[107]</w:t>
      </w:r>
      <w:bookmarkEnd w:id="2804"/>
      <w:r>
        <w:t xml:space="preserve"> Xiao L, Ohayon D, McKenzie IA, Sinclair-Wilson A, Wright JL, Fudge AD, et al. Rapid production of new oligodendrocytes is required in the earliest stages of motor skill learning.</w:t>
      </w:r>
      <w:r>
        <w:t xml:space="preserve"> </w:t>
      </w:r>
      <w:r>
        <w:rPr>
          <w:iCs/>
          <w:i/>
        </w:rPr>
        <w:t xml:space="preserve">Nature Neuroscience</w:t>
      </w:r>
      <w:r>
        <w:t xml:space="preserve">. 2016;19(9):1210–1217.</w:t>
      </w:r>
      <w:r>
        <w:t xml:space="preserve"> </w:t>
      </w:r>
      <w:hyperlink r:id="rId2805">
        <w:r>
          <w:rPr>
            <w:rStyle w:val="Hyperlink"/>
          </w:rPr>
          <w:t xml:space="preserve">https://doi.org/10.1038/nn.4351</w:t>
        </w:r>
      </w:hyperlink>
      <w:r>
        <w:t xml:space="preserve">（研究类型：原始条件遗传与学习实验）</w:t>
      </w:r>
    </w:p>
    <w:p>
      <w:pPr>
        <w:pStyle w:val="ReferenceEntry"/>
      </w:pPr>
      <w:bookmarkStart w:id="2806" w:name="ref-108"/>
      <w:r>
        <w:t xml:space="preserve">[108]</w:t>
      </w:r>
      <w:bookmarkEnd w:id="2806"/>
      <w:r>
        <w:t xml:space="preserve"> Ruckh JM, Zhao JW, Shadrach JL, van Wijngaarden P, Rao TN, Wagers AJ, et al. Rejuvenation of regeneration in the aging central nervous system.</w:t>
      </w:r>
      <w:r>
        <w:t xml:space="preserve"> </w:t>
      </w:r>
      <w:r>
        <w:rPr>
          <w:iCs/>
          <w:i/>
        </w:rPr>
        <w:t xml:space="preserve">Cell Stem Cell</w:t>
      </w:r>
      <w:r>
        <w:t xml:space="preserve">. 2012;10(1):96–103.</w:t>
      </w:r>
      <w:r>
        <w:t xml:space="preserve"> </w:t>
      </w:r>
      <w:hyperlink r:id="rId2807">
        <w:r>
          <w:rPr>
            <w:rStyle w:val="Hyperlink"/>
          </w:rPr>
          <w:t xml:space="preserve">https://doi.org/10.1016/j.stem.2011.11.019</w:t>
        </w:r>
      </w:hyperlink>
      <w:r>
        <w:t xml:space="preserve">（研究类型：原始动物异龄共生与损伤实验）</w:t>
      </w:r>
    </w:p>
    <w:p>
      <w:pPr>
        <w:pStyle w:val="ReferenceEntry"/>
      </w:pPr>
      <w:bookmarkStart w:id="2808" w:name="ref-109"/>
      <w:r>
        <w:t xml:space="preserve">[109]</w:t>
      </w:r>
      <w:bookmarkEnd w:id="2808"/>
      <w:r>
        <w:t xml:space="preserve"> Lazari A, Lipp I. Can MRI measure myelin? Systematic review, qualitative assessment, and meta analysis of studies validating microstructural imaging with myelin histology.</w:t>
      </w:r>
      <w:r>
        <w:t xml:space="preserve"> </w:t>
      </w:r>
      <w:r>
        <w:rPr>
          <w:iCs/>
          <w:i/>
        </w:rPr>
        <w:t xml:space="preserve">NeuroImage</w:t>
      </w:r>
      <w:r>
        <w:t xml:space="preserve">. 2021;230:117744.</w:t>
      </w:r>
      <w:r>
        <w:t xml:space="preserve"> </w:t>
      </w:r>
      <w:hyperlink r:id="rId2809">
        <w:r>
          <w:rPr>
            <w:rStyle w:val="Hyperlink"/>
          </w:rPr>
          <w:t xml:space="preserve">https://doi.org/10.1016/j.neuroimage.2021.117744</w:t>
        </w:r>
      </w:hyperlink>
      <w:r>
        <w:t xml:space="preserve">（研究类型：原始系统综述与荟萃分析）</w:t>
      </w:r>
    </w:p>
    <w:p>
      <w:pPr>
        <w:pStyle w:val="ReferenceEntry"/>
      </w:pPr>
      <w:bookmarkStart w:id="2810" w:name="ref-110"/>
      <w:r>
        <w:t xml:space="preserve">[110]</w:t>
      </w:r>
      <w:bookmarkEnd w:id="2810"/>
      <w:r>
        <w:t xml:space="preserve"> McConnell HL, Mishra A. Cells of the Blood-Brain Barrier: An Overview of the Neurovascular Unit in Health and Disease.</w:t>
      </w:r>
      <w:r>
        <w:t xml:space="preserve"> </w:t>
      </w:r>
      <w:r>
        <w:rPr>
          <w:iCs/>
          <w:i/>
        </w:rPr>
        <w:t xml:space="preserve">Methods in Molecular Biology</w:t>
      </w:r>
      <w:r>
        <w:t xml:space="preserve">. 2022:3–24.</w:t>
      </w:r>
      <w:r>
        <w:t xml:space="preserve"> </w:t>
      </w:r>
      <w:hyperlink r:id="rId2811">
        <w:r>
          <w:rPr>
            <w:rStyle w:val="Hyperlink"/>
          </w:rPr>
          <w:t xml:space="preserve">https://doi.org/10.1007/978-1-0716-2289-6_1</w:t>
        </w:r>
      </w:hyperlink>
      <w:r>
        <w:t xml:space="preserve">（研究类型：神经血管单元综述）</w:t>
      </w:r>
    </w:p>
    <w:p>
      <w:pPr>
        <w:pStyle w:val="ReferenceEntry"/>
      </w:pPr>
      <w:bookmarkStart w:id="2812" w:name="ref-111"/>
      <w:r>
        <w:t xml:space="preserve">[111]</w:t>
      </w:r>
      <w:bookmarkEnd w:id="2812"/>
      <w:r>
        <w:t xml:space="preserve"> Iadecola C. The Neurovascular Unit Coming of Age: A Journey through Neurovascular Coupling in Health and Disease.</w:t>
      </w:r>
      <w:r>
        <w:t xml:space="preserve"> </w:t>
      </w:r>
      <w:r>
        <w:rPr>
          <w:iCs/>
          <w:i/>
        </w:rPr>
        <w:t xml:space="preserve">Neuron</w:t>
      </w:r>
      <w:r>
        <w:t xml:space="preserve">. 2017;96(1):17–42.</w:t>
      </w:r>
      <w:r>
        <w:t xml:space="preserve"> </w:t>
      </w:r>
      <w:hyperlink r:id="rId2813">
        <w:r>
          <w:rPr>
            <w:rStyle w:val="Hyperlink"/>
          </w:rPr>
          <w:t xml:space="preserve">https://doi.org/10.1016/j.neuron.2017.07.030</w:t>
        </w:r>
      </w:hyperlink>
      <w:r>
        <w:t xml:space="preserve">（研究类型：机制综述）</w:t>
      </w:r>
    </w:p>
    <w:p>
      <w:pPr>
        <w:pStyle w:val="ReferenceEntry"/>
      </w:pPr>
      <w:bookmarkStart w:id="2814" w:name="ref-112"/>
      <w:r>
        <w:t xml:space="preserve">[112]</w:t>
      </w:r>
      <w:bookmarkEnd w:id="2814"/>
      <w:r>
        <w:t xml:space="preserve"> Schaeffer S, Iadecola C. Revisiting the neurovascular unit.</w:t>
      </w:r>
      <w:r>
        <w:t xml:space="preserve"> </w:t>
      </w:r>
      <w:r>
        <w:rPr>
          <w:iCs/>
          <w:i/>
        </w:rPr>
        <w:t xml:space="preserve">Nature Neuroscience</w:t>
      </w:r>
      <w:r>
        <w:t xml:space="preserve">. 2021;24(9):1198–1209.</w:t>
      </w:r>
      <w:r>
        <w:t xml:space="preserve"> </w:t>
      </w:r>
      <w:hyperlink r:id="rId2815">
        <w:r>
          <w:rPr>
            <w:rStyle w:val="Hyperlink"/>
          </w:rPr>
          <w:t xml:space="preserve">https://doi.org/10.1038/s41593-021-00904-7</w:t>
        </w:r>
      </w:hyperlink>
      <w:r>
        <w:t xml:space="preserve">（研究类型：机制综述）</w:t>
      </w:r>
    </w:p>
    <w:p>
      <w:pPr>
        <w:pStyle w:val="ReferenceEntry"/>
      </w:pPr>
      <w:bookmarkStart w:id="2816" w:name="ref-113"/>
      <w:r>
        <w:t xml:space="preserve">[113]</w:t>
      </w:r>
      <w:bookmarkEnd w:id="2816"/>
      <w:r>
        <w:t xml:space="preserve"> Daneman R, Zhou L, Kebede AA, Barres BA. Pericytes are required for blood brain barrier integrity during embryogenesis.</w:t>
      </w:r>
      <w:r>
        <w:t xml:space="preserve"> </w:t>
      </w:r>
      <w:r>
        <w:rPr>
          <w:iCs/>
          <w:i/>
        </w:rPr>
        <w:t xml:space="preserve">Nature</w:t>
      </w:r>
      <w:r>
        <w:t xml:space="preserve">. 2010;468(7323):562–566.</w:t>
      </w:r>
      <w:r>
        <w:t xml:space="preserve"> </w:t>
      </w:r>
      <w:hyperlink r:id="rId2817">
        <w:r>
          <w:rPr>
            <w:rStyle w:val="Hyperlink"/>
          </w:rPr>
          <w:t xml:space="preserve">https://doi.org/10.1038/nature09513</w:t>
        </w:r>
      </w:hyperlink>
      <w:r>
        <w:t xml:space="preserve">（研究类型：原始发育遗传屏障实验）</w:t>
      </w:r>
    </w:p>
    <w:p>
      <w:pPr>
        <w:pStyle w:val="ReferenceEntry"/>
      </w:pPr>
      <w:bookmarkStart w:id="2818" w:name="ref-114"/>
      <w:r>
        <w:t xml:space="preserve">[114]</w:t>
      </w:r>
      <w:bookmarkEnd w:id="2818"/>
      <w:r>
        <w:t xml:space="preserve"> Armulik A, Genové G, Mäe M, Nisancioglu MH, Wallgard E, Niaudet C, et al. Pericytes regulate the blood brain barrier.</w:t>
      </w:r>
      <w:r>
        <w:t xml:space="preserve"> </w:t>
      </w:r>
      <w:r>
        <w:rPr>
          <w:iCs/>
          <w:i/>
        </w:rPr>
        <w:t xml:space="preserve">Nature</w:t>
      </w:r>
      <w:r>
        <w:t xml:space="preserve">. 2010;468(7323):557–561.</w:t>
      </w:r>
      <w:r>
        <w:t xml:space="preserve"> </w:t>
      </w:r>
      <w:hyperlink r:id="rId2819">
        <w:r>
          <w:rPr>
            <w:rStyle w:val="Hyperlink"/>
          </w:rPr>
          <w:t xml:space="preserve">https://doi.org/10.1038/nature09522</w:t>
        </w:r>
      </w:hyperlink>
      <w:r>
        <w:t xml:space="preserve">（研究类型：原始周细胞缺陷模型）</w:t>
      </w:r>
    </w:p>
    <w:p>
      <w:pPr>
        <w:pStyle w:val="ReferenceEntry"/>
      </w:pPr>
      <w:bookmarkStart w:id="2820" w:name="ref-115"/>
      <w:r>
        <w:t xml:space="preserve">[115]</w:t>
      </w:r>
      <w:bookmarkEnd w:id="2820"/>
      <w:r>
        <w:t xml:space="preserve"> Andreone BJ, Chow BW, Tata A, Lacoste B, Ben-Zvi A, Bullock K, et al. Blood Brain Barrier Permeability Is Regulated by Lipid Transport Dependent Suppression of Caveolae Mediated Transcytosis.</w:t>
      </w:r>
      <w:r>
        <w:t xml:space="preserve"> </w:t>
      </w:r>
      <w:r>
        <w:rPr>
          <w:iCs/>
          <w:i/>
        </w:rPr>
        <w:t xml:space="preserve">Neuron</w:t>
      </w:r>
      <w:r>
        <w:t xml:space="preserve">. 2017;94(3):581–594.e5.</w:t>
      </w:r>
      <w:r>
        <w:t xml:space="preserve"> </w:t>
      </w:r>
      <w:hyperlink r:id="rId2821">
        <w:r>
          <w:rPr>
            <w:rStyle w:val="Hyperlink"/>
          </w:rPr>
          <w:t xml:space="preserve">https://doi.org/10.1016/j.neuron.2017.03.043</w:t>
        </w:r>
      </w:hyperlink>
      <w:r>
        <w:t xml:space="preserve">（研究类型：原始分子脂质与屏障实验）</w:t>
      </w:r>
    </w:p>
    <w:p>
      <w:pPr>
        <w:pStyle w:val="ReferenceEntry"/>
      </w:pPr>
      <w:bookmarkStart w:id="2822" w:name="ref-116"/>
      <w:r>
        <w:t xml:space="preserve">[116]</w:t>
      </w:r>
      <w:bookmarkEnd w:id="2822"/>
      <w:r>
        <w:t xml:space="preserve"> Ben-Zvi A, Lacoste B, Kur E, Andreone BJ, Mayshar Y, Yan H, et al. Mfsd2a is critical for the formation and function of the blood brain barrier.</w:t>
      </w:r>
      <w:r>
        <w:t xml:space="preserve"> </w:t>
      </w:r>
      <w:r>
        <w:rPr>
          <w:iCs/>
          <w:i/>
        </w:rPr>
        <w:t xml:space="preserve">Nature</w:t>
      </w:r>
      <w:r>
        <w:t xml:space="preserve">. 2014;509(7501):507–511.</w:t>
      </w:r>
      <w:r>
        <w:t xml:space="preserve"> </w:t>
      </w:r>
      <w:hyperlink r:id="rId2823">
        <w:r>
          <w:rPr>
            <w:rStyle w:val="Hyperlink"/>
          </w:rPr>
          <w:t xml:space="preserve">https://doi.org/10.1038/nature13324</w:t>
        </w:r>
      </w:hyperlink>
      <w:r>
        <w:t xml:space="preserve">（研究类型：原始遗传与超微结构实验）</w:t>
      </w:r>
    </w:p>
    <w:p>
      <w:pPr>
        <w:pStyle w:val="ReferenceEntry"/>
      </w:pPr>
      <w:bookmarkStart w:id="2824" w:name="ref-117"/>
      <w:r>
        <w:t xml:space="preserve">[117]</w:t>
      </w:r>
      <w:bookmarkEnd w:id="2824"/>
      <w:r>
        <w:t xml:space="preserve"> Solár P, Zamani A, Kubíčková L, Dubový P, Joukal M. Choroid plexus and the blood cerebrospinal fluid barrier in disease.</w:t>
      </w:r>
      <w:r>
        <w:t xml:space="preserve"> </w:t>
      </w:r>
      <w:r>
        <w:rPr>
          <w:iCs/>
          <w:i/>
        </w:rPr>
        <w:t xml:space="preserve">Fluids and Barriers of the CNS</w:t>
      </w:r>
      <w:r>
        <w:t xml:space="preserve">. 2020;17(1):35.</w:t>
      </w:r>
      <w:r>
        <w:t xml:space="preserve"> </w:t>
      </w:r>
      <w:hyperlink r:id="rId2825">
        <w:r>
          <w:rPr>
            <w:rStyle w:val="Hyperlink"/>
          </w:rPr>
          <w:t xml:space="preserve">https://doi.org/10.1186/s12987-020-00196-2</w:t>
        </w:r>
      </w:hyperlink>
      <w:r>
        <w:t xml:space="preserve">（研究类型：机制综述）</w:t>
      </w:r>
    </w:p>
    <w:p>
      <w:pPr>
        <w:pStyle w:val="ReferenceEntry"/>
      </w:pPr>
      <w:bookmarkStart w:id="2826" w:name="ref-118"/>
      <w:r>
        <w:t xml:space="preserve">[118]</w:t>
      </w:r>
      <w:bookmarkEnd w:id="2826"/>
      <w:r>
        <w:t xml:space="preserve"> Hartmann DA, Berthiaume AA, Grant RI, Harrill SA, Koski T, Tieu T, et al. Brain capillary pericytes exert a substantial but slow influence on blood flow.</w:t>
      </w:r>
      <w:r>
        <w:t xml:space="preserve"> </w:t>
      </w:r>
      <w:r>
        <w:rPr>
          <w:iCs/>
          <w:i/>
        </w:rPr>
        <w:t xml:space="preserve">Nature Neuroscience</w:t>
      </w:r>
      <w:r>
        <w:t xml:space="preserve">. 2021;24(5):633–645.</w:t>
      </w:r>
      <w:r>
        <w:t xml:space="preserve"> </w:t>
      </w:r>
      <w:hyperlink r:id="rId2827">
        <w:r>
          <w:rPr>
            <w:rStyle w:val="Hyperlink"/>
          </w:rPr>
          <w:t xml:space="preserve">https://doi.org/10.1038/s41593-020-00793-2</w:t>
        </w:r>
      </w:hyperlink>
      <w:r>
        <w:t xml:space="preserve">（研究类型：原始在体成像操控）</w:t>
      </w:r>
    </w:p>
    <w:p>
      <w:pPr>
        <w:pStyle w:val="ReferenceEntry"/>
      </w:pPr>
      <w:bookmarkStart w:id="2828" w:name="ref-119"/>
      <w:r>
        <w:t xml:space="preserve">[119]</w:t>
      </w:r>
      <w:bookmarkEnd w:id="2828"/>
      <w:r>
        <w:t xml:space="preserve"> Logothetis NK, Pauls J, Augath M, Trinath T, Oeltermann A. Neurophysiological investigation of the basis of the fMRI signal.</w:t>
      </w:r>
      <w:r>
        <w:t xml:space="preserve"> </w:t>
      </w:r>
      <w:r>
        <w:rPr>
          <w:iCs/>
          <w:i/>
        </w:rPr>
        <w:t xml:space="preserve">Nature</w:t>
      </w:r>
      <w:r>
        <w:t xml:space="preserve">. 2001;412(6843):150–157.</w:t>
      </w:r>
      <w:r>
        <w:t xml:space="preserve"> </w:t>
      </w:r>
      <w:hyperlink r:id="rId2829">
        <w:r>
          <w:rPr>
            <w:rStyle w:val="Hyperlink"/>
          </w:rPr>
          <w:t xml:space="preserve">https://doi.org/10.1038/35084005</w:t>
        </w:r>
      </w:hyperlink>
      <w:r>
        <w:t xml:space="preserve">（研究类型：原始同时电生理与影像研究）</w:t>
      </w:r>
    </w:p>
    <w:p>
      <w:pPr>
        <w:pStyle w:val="ReferenceEntry"/>
      </w:pPr>
      <w:bookmarkStart w:id="2830" w:name="ref-120"/>
      <w:r>
        <w:t xml:space="preserve">[120]</w:t>
      </w:r>
      <w:bookmarkEnd w:id="2830"/>
      <w:r>
        <w:t xml:space="preserve"> Iliff JJ, Wang M, Liao Y, Plogg BA, Peng W, Gundersen GA, et al. A paravascular pathway facilitates CSF flow through the brain parenchyma and the clearance of interstitial solutes, including amyloid beta.</w:t>
      </w:r>
      <w:r>
        <w:t xml:space="preserve"> </w:t>
      </w:r>
      <w:r>
        <w:rPr>
          <w:iCs/>
          <w:i/>
        </w:rPr>
        <w:t xml:space="preserve">Science Translational Medicine</w:t>
      </w:r>
      <w:r>
        <w:t xml:space="preserve">. 2012;4(147).</w:t>
      </w:r>
      <w:r>
        <w:t xml:space="preserve"> </w:t>
      </w:r>
      <w:hyperlink r:id="rId2831">
        <w:r>
          <w:rPr>
            <w:rStyle w:val="Hyperlink"/>
          </w:rPr>
          <w:t xml:space="preserve">https://doi.org/10.1126/scitranslmed.3003748</w:t>
        </w:r>
      </w:hyperlink>
      <w:r>
        <w:t xml:space="preserve">（研究类型：原始示踪与水通道相关实验）</w:t>
      </w:r>
    </w:p>
    <w:p>
      <w:pPr>
        <w:pStyle w:val="ReferenceEntry"/>
      </w:pPr>
      <w:bookmarkStart w:id="2832" w:name="ref-121"/>
      <w:r>
        <w:t xml:space="preserve">[121]</w:t>
      </w:r>
      <w:bookmarkEnd w:id="2832"/>
      <w:r>
        <w:t xml:space="preserve"> Fultz NE, Bonmassar G, Setsompop K, et al. Coupled electrophysiological, hemodynamic, and cerebrospinal fluid oscillations in human sleep.</w:t>
      </w:r>
      <w:r>
        <w:t xml:space="preserve"> </w:t>
      </w:r>
      <w:r>
        <w:rPr>
          <w:iCs/>
          <w:i/>
        </w:rPr>
        <w:t xml:space="preserve">Science</w:t>
      </w:r>
      <w:r>
        <w:t xml:space="preserve">. 2019;366(6465):628–631.</w:t>
      </w:r>
      <w:r>
        <w:t xml:space="preserve"> </w:t>
      </w:r>
      <w:hyperlink r:id="rId2833">
        <w:r>
          <w:rPr>
            <w:rStyle w:val="Hyperlink"/>
          </w:rPr>
          <w:t xml:space="preserve">https://doi.org/10.1126/science.aax5440</w:t>
        </w:r>
      </w:hyperlink>
      <w:r>
        <w:t xml:space="preserve">（研究类型：原始人体多模态记录）</w:t>
      </w:r>
    </w:p>
    <w:p>
      <w:pPr>
        <w:pStyle w:val="ReferenceEntry"/>
      </w:pPr>
      <w:bookmarkStart w:id="2834" w:name="ref-122"/>
      <w:r>
        <w:t xml:space="preserve">[122]</w:t>
      </w:r>
      <w:bookmarkEnd w:id="2834"/>
      <w:r>
        <w:t xml:space="preserve"> Miao A, Luo T, Hsieh B, Edge CJ, Gridley M, Wong RTC, et al. Brain clearance is reduced during sleep and anesthesia.</w:t>
      </w:r>
      <w:r>
        <w:t xml:space="preserve"> </w:t>
      </w:r>
      <w:r>
        <w:rPr>
          <w:iCs/>
          <w:i/>
        </w:rPr>
        <w:t xml:space="preserve">Nature Neuroscience</w:t>
      </w:r>
      <w:r>
        <w:t xml:space="preserve">. 2024;27(6):1046–1050.</w:t>
      </w:r>
      <w:r>
        <w:t xml:space="preserve"> </w:t>
      </w:r>
      <w:hyperlink r:id="rId2835">
        <w:r>
          <w:rPr>
            <w:rStyle w:val="Hyperlink"/>
          </w:rPr>
          <w:t xml:space="preserve">https://doi.org/10.1038/s41593-024-01638-y</w:t>
        </w:r>
      </w:hyperlink>
      <w:r>
        <w:t xml:space="preserve">（作者更正见</w:t>
      </w:r>
      <w:r>
        <w:t xml:space="preserve"> </w:t>
      </w:r>
      <w:r>
        <w:rPr>
          <w:iCs/>
          <w:i/>
        </w:rPr>
        <w:t xml:space="preserve">Nature Neuroscience</w:t>
      </w:r>
      <w:r>
        <w:t xml:space="preserve">. 2024.</w:t>
      </w:r>
      <w:r>
        <w:t xml:space="preserve"> </w:t>
      </w:r>
      <w:hyperlink r:id="rId2836">
        <w:r>
          <w:rPr>
            <w:rStyle w:val="Hyperlink"/>
          </w:rPr>
          <w:t xml:space="preserve">https://doi.org/10.1038/s41593-024-01698-0</w:t>
        </w:r>
      </w:hyperlink>
      <w:r>
        <w:t xml:space="preserve">，涉及图 3b 的源数据）（研究类型：原始荧光示踪研究）</w:t>
      </w:r>
    </w:p>
    <w:p>
      <w:pPr>
        <w:pStyle w:val="ReferenceEntry"/>
      </w:pPr>
      <w:bookmarkStart w:id="2837" w:name="ref-123"/>
      <w:r>
        <w:t xml:space="preserve">[123]</w:t>
      </w:r>
      <w:bookmarkEnd w:id="2837"/>
      <w:r>
        <w:t xml:space="preserve"> Hauglund NL, Andersen M, Tokarska K, et al. Norepinephrine-mediated slow vasomotion drives glymphatic clearance during sleep.</w:t>
      </w:r>
      <w:r>
        <w:t xml:space="preserve"> </w:t>
      </w:r>
      <w:r>
        <w:rPr>
          <w:iCs/>
          <w:i/>
        </w:rPr>
        <w:t xml:space="preserve">Cell</w:t>
      </w:r>
      <w:r>
        <w:t xml:space="preserve">. 2025;188(3):606–622.e17.</w:t>
      </w:r>
      <w:r>
        <w:t xml:space="preserve"> </w:t>
      </w:r>
      <w:hyperlink r:id="rId2838">
        <w:r>
          <w:rPr>
            <w:rStyle w:val="Hyperlink"/>
          </w:rPr>
          <w:t xml:space="preserve">https://doi.org/10.1016/j.cell.2024.11.027</w:t>
        </w:r>
      </w:hyperlink>
      <w:r>
        <w:t xml:space="preserve">（研究类型：原始多模态动物记录与操控）</w:t>
      </w:r>
    </w:p>
    <w:p>
      <w:pPr>
        <w:pStyle w:val="ReferenceEntry"/>
      </w:pPr>
      <w:bookmarkStart w:id="2839" w:name="ref-124"/>
      <w:r>
        <w:t xml:space="preserve">[124]</w:t>
      </w:r>
      <w:bookmarkEnd w:id="2839"/>
      <w:r>
        <w:t xml:space="preserve"> Plá V, Kroesbergen E, Deng S, et al. A curious concept of CNS clearance.</w:t>
      </w:r>
      <w:r>
        <w:t xml:space="preserve"> </w:t>
      </w:r>
      <w:r>
        <w:rPr>
          <w:iCs/>
          <w:i/>
        </w:rPr>
        <w:t xml:space="preserve">Nature Neuroscience</w:t>
      </w:r>
      <w:r>
        <w:t xml:space="preserve">. 2025;28(4):731–733.</w:t>
      </w:r>
      <w:r>
        <w:t xml:space="preserve"> </w:t>
      </w:r>
      <w:hyperlink r:id="rId2840">
        <w:r>
          <w:rPr>
            <w:rStyle w:val="Hyperlink"/>
          </w:rPr>
          <w:t xml:space="preserve">https://doi.org/10.1038/s41593-025-01897-3</w:t>
        </w:r>
      </w:hyperlink>
      <w:r>
        <w:t xml:space="preserve">（研究类型：正式方法评论）</w:t>
      </w:r>
    </w:p>
    <w:p>
      <w:pPr>
        <w:pStyle w:val="ReferenceEntry"/>
      </w:pPr>
      <w:bookmarkStart w:id="2841" w:name="ref-125"/>
      <w:r>
        <w:t xml:space="preserve">[125]</w:t>
      </w:r>
      <w:bookmarkEnd w:id="2841"/>
      <w:r>
        <w:t xml:space="preserve"> Franks NP, Wisden W. Reply to: A curious concept of CNS clearance.</w:t>
      </w:r>
      <w:r>
        <w:t xml:space="preserve"> </w:t>
      </w:r>
      <w:r>
        <w:rPr>
          <w:iCs/>
          <w:i/>
        </w:rPr>
        <w:t xml:space="preserve">Nature Neuroscience</w:t>
      </w:r>
      <w:r>
        <w:t xml:space="preserve">. 2025;28(4):734–736.</w:t>
      </w:r>
      <w:r>
        <w:t xml:space="preserve"> </w:t>
      </w:r>
      <w:hyperlink r:id="rId2842">
        <w:r>
          <w:rPr>
            <w:rStyle w:val="Hyperlink"/>
          </w:rPr>
          <w:t xml:space="preserve">https://doi.org/10.1038/s41593-025-01898-2</w:t>
        </w:r>
      </w:hyperlink>
      <w:r>
        <w:t xml:space="preserve">（研究类型：正式作者回应）</w:t>
      </w:r>
    </w:p>
    <w:p>
      <w:pPr>
        <w:pStyle w:val="ReferenceEntry"/>
      </w:pPr>
      <w:bookmarkStart w:id="2843" w:name="ref-126"/>
      <w:r>
        <w:t xml:space="preserve">[126]</w:t>
      </w:r>
      <w:bookmarkEnd w:id="2843"/>
      <w:r>
        <w:t xml:space="preserve"> Dienel GA. Brain Glucose Metabolism: Integration of Energetics with Function.</w:t>
      </w:r>
      <w:r>
        <w:t xml:space="preserve"> </w:t>
      </w:r>
      <w:r>
        <w:rPr>
          <w:iCs/>
          <w:i/>
        </w:rPr>
        <w:t xml:space="preserve">Physiological Reviews</w:t>
      </w:r>
      <w:r>
        <w:t xml:space="preserve">. 2019;99(1):949–1045.</w:t>
      </w:r>
      <w:r>
        <w:t xml:space="preserve"> </w:t>
      </w:r>
      <w:hyperlink r:id="rId2844">
        <w:r>
          <w:rPr>
            <w:rStyle w:val="Hyperlink"/>
          </w:rPr>
          <w:t xml:space="preserve">https://doi.org/10.1152/physrev.00062.2017</w:t>
        </w:r>
      </w:hyperlink>
      <w:r>
        <w:t xml:space="preserve">（研究类型：脑葡萄糖代谢机制与测量综述）</w:t>
      </w:r>
    </w:p>
    <w:p>
      <w:pPr>
        <w:pStyle w:val="ReferenceEntry"/>
      </w:pPr>
      <w:bookmarkStart w:id="2845" w:name="ref-127"/>
      <w:r>
        <w:t xml:space="preserve">[127]</w:t>
      </w:r>
      <w:bookmarkEnd w:id="2845"/>
      <w:r>
        <w:t xml:space="preserve"> Howarth C, Gleeson P, Attwell D. Updated energy budgets for neural computation in the neocortex and cerebellum.</w:t>
      </w:r>
      <w:r>
        <w:t xml:space="preserve"> </w:t>
      </w:r>
      <w:r>
        <w:rPr>
          <w:iCs/>
          <w:i/>
        </w:rPr>
        <w:t xml:space="preserve">Journal of Cerebral Blood Flow &amp; Metabolism</w:t>
      </w:r>
      <w:r>
        <w:t xml:space="preserve">. 2012;32(7):1222–1232.</w:t>
      </w:r>
      <w:r>
        <w:t xml:space="preserve"> </w:t>
      </w:r>
      <w:hyperlink r:id="rId2846">
        <w:r>
          <w:rPr>
            <w:rStyle w:val="Hyperlink"/>
          </w:rPr>
          <w:t xml:space="preserve">https://doi.org/10.1038/jcbfm.2012.35</w:t>
        </w:r>
      </w:hyperlink>
      <w:r>
        <w:t xml:space="preserve">（研究类型：生理参数约束的皮层与小脑能量预算模型）</w:t>
      </w:r>
    </w:p>
    <w:p>
      <w:pPr>
        <w:pStyle w:val="ReferenceEntry"/>
      </w:pPr>
      <w:bookmarkStart w:id="2847" w:name="ref-128"/>
      <w:r>
        <w:t xml:space="preserve">[128]</w:t>
      </w:r>
      <w:bookmarkEnd w:id="2847"/>
      <w:r>
        <w:t xml:space="preserve"> Rangaraju V, Calloway N, Ryan TA. Activity-driven local ATP synthesis is required for synaptic function.</w:t>
      </w:r>
      <w:r>
        <w:t xml:space="preserve"> </w:t>
      </w:r>
      <w:r>
        <w:rPr>
          <w:iCs/>
          <w:i/>
        </w:rPr>
        <w:t xml:space="preserve">Cell</w:t>
      </w:r>
      <w:r>
        <w:t xml:space="preserve">. 2014;156(4):825–835.</w:t>
      </w:r>
      <w:r>
        <w:t xml:space="preserve"> </w:t>
      </w:r>
      <w:hyperlink r:id="rId2848">
        <w:r>
          <w:rPr>
            <w:rStyle w:val="Hyperlink"/>
          </w:rPr>
          <w:t xml:space="preserve">https://doi.org/10.1016/j.cell.2013.12.042</w:t>
        </w:r>
      </w:hyperlink>
      <w:r>
        <w:t xml:space="preserve">（研究类型：突触前ATP光学传感与代谢操纵研究）</w:t>
      </w:r>
    </w:p>
    <w:p>
      <w:pPr>
        <w:pStyle w:val="ReferenceEntry"/>
      </w:pPr>
      <w:bookmarkStart w:id="2849" w:name="ref-129"/>
      <w:r>
        <w:t xml:space="preserve">[129]</w:t>
      </w:r>
      <w:bookmarkEnd w:id="2849"/>
      <w:r>
        <w:t xml:space="preserve"> Díaz-García CM, Mongeon R, Lahmann C, Koveal D, Zucker H, Yellen G. Neuronal Stimulation Triggers Neuronal Glycolysis and Not Lactate Uptake.</w:t>
      </w:r>
      <w:r>
        <w:t xml:space="preserve"> </w:t>
      </w:r>
      <w:r>
        <w:rPr>
          <w:iCs/>
          <w:i/>
        </w:rPr>
        <w:t xml:space="preserve">Cell Metabolism</w:t>
      </w:r>
      <w:r>
        <w:t xml:space="preserve">. 2017;26(2):361–374.e4.</w:t>
      </w:r>
      <w:r>
        <w:t xml:space="preserve"> </w:t>
      </w:r>
      <w:hyperlink r:id="rId2850">
        <w:r>
          <w:rPr>
            <w:rStyle w:val="Hyperlink"/>
          </w:rPr>
          <w:t xml:space="preserve">https://doi.org/10.1016/j.cmet.2017.06.021</w:t>
        </w:r>
      </w:hyperlink>
      <w:r>
        <w:t xml:space="preserve">（研究类型：代谢传感器切片与清醒小鼠实验）</w:t>
      </w:r>
    </w:p>
    <w:p>
      <w:pPr>
        <w:pStyle w:val="ReferenceEntry"/>
      </w:pPr>
      <w:bookmarkStart w:id="2851" w:name="ref-130"/>
      <w:r>
        <w:t xml:space="preserve">[130]</w:t>
      </w:r>
      <w:bookmarkEnd w:id="2851"/>
      <w:r>
        <w:t xml:space="preserve"> Pellerin L, Magistretti PJ. Glutamate uptake into astrocytes stimulates aerobic glycolysis: a mechanism coupling neuronal activity to glucose utilization.</w:t>
      </w:r>
      <w:r>
        <w:t xml:space="preserve"> </w:t>
      </w:r>
      <w:r>
        <w:rPr>
          <w:iCs/>
          <w:i/>
        </w:rPr>
        <w:t xml:space="preserve">Proceedings of the National Academy of Sciences</w:t>
      </w:r>
      <w:r>
        <w:t xml:space="preserve">. 1994;91(22):10625–10629.</w:t>
      </w:r>
      <w:r>
        <w:t xml:space="preserve"> </w:t>
      </w:r>
      <w:hyperlink r:id="rId2852">
        <w:r>
          <w:rPr>
            <w:rStyle w:val="Hyperlink"/>
          </w:rPr>
          <w:t xml:space="preserve">https://doi.org/10.1073/pnas.91.22.10625</w:t>
        </w:r>
      </w:hyperlink>
      <w:r>
        <w:t xml:space="preserve">（研究类型：星形胶质培养转运与代谢实验）</w:t>
      </w:r>
    </w:p>
    <w:p>
      <w:pPr>
        <w:pStyle w:val="ReferenceEntry"/>
      </w:pPr>
      <w:bookmarkStart w:id="2853" w:name="ref-131"/>
      <w:r>
        <w:t xml:space="preserve">[131]</w:t>
      </w:r>
      <w:bookmarkEnd w:id="2853"/>
      <w:r>
        <w:t xml:space="preserve"> Suzuki A, Stern SA, Bozdagi O, Huntley GW, Walker RH, Magistretti PJ, et al. Astrocyte-neuron lactate transport is required for long-term memory formation.</w:t>
      </w:r>
      <w:r>
        <w:t xml:space="preserve"> </w:t>
      </w:r>
      <w:r>
        <w:rPr>
          <w:iCs/>
          <w:i/>
        </w:rPr>
        <w:t xml:space="preserve">Cell</w:t>
      </w:r>
      <w:r>
        <w:t xml:space="preserve">. 2011;144(5):810–823.</w:t>
      </w:r>
      <w:r>
        <w:t xml:space="preserve"> </w:t>
      </w:r>
      <w:hyperlink r:id="rId2854">
        <w:r>
          <w:rPr>
            <w:rStyle w:val="Hyperlink"/>
          </w:rPr>
          <w:t xml:space="preserve">https://doi.org/10.1016/j.cell.2011.02.018</w:t>
        </w:r>
      </w:hyperlink>
      <w:r>
        <w:t xml:space="preserve">（研究类型：大鼠海马记忆任务代谢与转运操纵）</w:t>
      </w:r>
    </w:p>
    <w:p>
      <w:pPr>
        <w:pStyle w:val="ReferenceEntry"/>
      </w:pPr>
      <w:bookmarkStart w:id="2855" w:name="ref-132"/>
      <w:r>
        <w:t xml:space="preserve">[132]</w:t>
      </w:r>
      <w:bookmarkEnd w:id="2855"/>
      <w:r>
        <w:t xml:space="preserve"> MacAskill AF, Rinholm JE, Twelvetrees AE, Arancibia-Carcamo IL, Muir J, Fransson A, et al. Miro1 is a calcium sensor for glutamate receptor-dependent localization of mitochondria at synapses.</w:t>
      </w:r>
      <w:r>
        <w:t xml:space="preserve"> </w:t>
      </w:r>
      <w:r>
        <w:rPr>
          <w:iCs/>
          <w:i/>
        </w:rPr>
        <w:t xml:space="preserve">Neuron</w:t>
      </w:r>
      <w:r>
        <w:t xml:space="preserve">. 2009;61(4):541–555.</w:t>
      </w:r>
      <w:r>
        <w:t xml:space="preserve"> </w:t>
      </w:r>
      <w:hyperlink r:id="rId2856">
        <w:r>
          <w:rPr>
            <w:rStyle w:val="Hyperlink"/>
          </w:rPr>
          <w:t xml:space="preserve">https://doi.org/10.1016/j.neuron.2009.01.030</w:t>
        </w:r>
      </w:hyperlink>
      <w:r>
        <w:t xml:space="preserve">（研究类型：神经元线粒体运输和钙感受机制实验）</w:t>
      </w:r>
    </w:p>
    <w:p>
      <w:pPr>
        <w:pStyle w:val="ReferenceEntry"/>
      </w:pPr>
      <w:bookmarkStart w:id="2857" w:name="ref-133"/>
      <w:r>
        <w:t xml:space="preserve">[133]</w:t>
      </w:r>
      <w:bookmarkEnd w:id="2857"/>
      <w:r>
        <w:t xml:space="preserve"> Narendra DP, Jin SM, Tanaka A, Suen DF, Gautier CA, Shen J, et al. PINK1 is selectively stabilized on impaired mitochondria to activate Parkin.</w:t>
      </w:r>
      <w:r>
        <w:t xml:space="preserve"> </w:t>
      </w:r>
      <w:r>
        <w:rPr>
          <w:iCs/>
          <w:i/>
        </w:rPr>
        <w:t xml:space="preserve">PLoS Biology</w:t>
      </w:r>
      <w:r>
        <w:t xml:space="preserve">. 2010;8(1):e1000298.</w:t>
      </w:r>
      <w:r>
        <w:t xml:space="preserve"> </w:t>
      </w:r>
      <w:hyperlink r:id="rId2858">
        <w:r>
          <w:rPr>
            <w:rStyle w:val="Hyperlink"/>
          </w:rPr>
          <w:t xml:space="preserve">https://doi.org/10.1371/journal.pbio.1000298</w:t>
        </w:r>
      </w:hyperlink>
      <w:r>
        <w:t xml:space="preserve">（研究类型：细胞线粒体损伤识别与蛋白募集实验）</w:t>
      </w:r>
    </w:p>
    <w:p>
      <w:pPr>
        <w:pStyle w:val="ReferenceEntry"/>
      </w:pPr>
      <w:bookmarkStart w:id="2859" w:name="ref-134"/>
      <w:r>
        <w:t xml:space="preserve">[134]</w:t>
      </w:r>
      <w:bookmarkEnd w:id="2859"/>
      <w:r>
        <w:t xml:space="preserve"> Herrero-Mendez A, Almeida A, Fernández E, Maestre C, Moncada S, Bolaños JP. The bioenergetic and antioxidant status of neurons is controlled by continuous degradation of a key glycolytic enzyme by APC/C-Cdh1.</w:t>
      </w:r>
      <w:r>
        <w:t xml:space="preserve"> </w:t>
      </w:r>
      <w:r>
        <w:rPr>
          <w:iCs/>
          <w:i/>
        </w:rPr>
        <w:t xml:space="preserve">Nature Cell Biology</w:t>
      </w:r>
      <w:r>
        <w:t xml:space="preserve">. 2009;11(6):747–752.</w:t>
      </w:r>
      <w:r>
        <w:t xml:space="preserve"> </w:t>
      </w:r>
      <w:hyperlink r:id="rId2860">
        <w:r>
          <w:rPr>
            <w:rStyle w:val="Hyperlink"/>
          </w:rPr>
          <w:t xml:space="preserve">https://doi.org/10.1038/ncb1881</w:t>
        </w:r>
      </w:hyperlink>
      <w:r>
        <w:t xml:space="preserve">（研究类型：神经细胞酶降解及葡萄糖分流操纵）</w:t>
      </w:r>
    </w:p>
    <w:p>
      <w:pPr>
        <w:pStyle w:val="ReferenceEntry"/>
      </w:pPr>
      <w:bookmarkStart w:id="2861" w:name="ref-135"/>
      <w:r>
        <w:t xml:space="preserve">[135]</w:t>
      </w:r>
      <w:bookmarkEnd w:id="2861"/>
      <w:r>
        <w:t xml:space="preserve"> Hardie DG, Ross FA, Hawley SA. AMPK: a nutrient and energy sensor that maintains energy homeostasis.</w:t>
      </w:r>
      <w:r>
        <w:t xml:space="preserve"> </w:t>
      </w:r>
      <w:r>
        <w:rPr>
          <w:iCs/>
          <w:i/>
        </w:rPr>
        <w:t xml:space="preserve">Nature Reviews Molecular Cell Biology</w:t>
      </w:r>
      <w:r>
        <w:t xml:space="preserve">. 2012;13(4):251–262.</w:t>
      </w:r>
      <w:r>
        <w:t xml:space="preserve"> </w:t>
      </w:r>
      <w:hyperlink r:id="rId2862">
        <w:r>
          <w:rPr>
            <w:rStyle w:val="Hyperlink"/>
          </w:rPr>
          <w:t xml:space="preserve">https://doi.org/10.1038/nrm3311</w:t>
        </w:r>
      </w:hyperlink>
      <w:r>
        <w:t xml:space="preserve">（研究类型：细胞能量感受与调节机制综述）</w:t>
      </w:r>
    </w:p>
    <w:p>
      <w:pPr>
        <w:pStyle w:val="ReferenceEntry"/>
      </w:pPr>
      <w:bookmarkStart w:id="2863" w:name="ref-136"/>
      <w:r>
        <w:t xml:space="preserve">[136]</w:t>
      </w:r>
      <w:bookmarkEnd w:id="2863"/>
      <w:r>
        <w:t xml:space="preserve"> Laplante M, Sabatini DM. mTOR signaling in growth control and disease.</w:t>
      </w:r>
      <w:r>
        <w:t xml:space="preserve"> </w:t>
      </w:r>
      <w:r>
        <w:rPr>
          <w:iCs/>
          <w:i/>
        </w:rPr>
        <w:t xml:space="preserve">Cell</w:t>
      </w:r>
      <w:r>
        <w:t xml:space="preserve">. 2012;149(2):274–293.</w:t>
      </w:r>
      <w:r>
        <w:t xml:space="preserve"> </w:t>
      </w:r>
      <w:hyperlink r:id="rId2864">
        <w:r>
          <w:rPr>
            <w:rStyle w:val="Hyperlink"/>
          </w:rPr>
          <w:t xml:space="preserve">https://doi.org/10.1016/j.cell.2012.03.017</w:t>
        </w:r>
      </w:hyperlink>
      <w:r>
        <w:t xml:space="preserve">（研究类型：mTOR细胞信号机制综述）</w:t>
      </w:r>
    </w:p>
    <w:p>
      <w:pPr>
        <w:pStyle w:val="ReferenceEntry"/>
      </w:pPr>
      <w:bookmarkStart w:id="2865" w:name="ref-137"/>
      <w:r>
        <w:t xml:space="preserve">[137]</w:t>
      </w:r>
      <w:bookmarkEnd w:id="2865"/>
      <w:r>
        <w:t xml:space="preserve"> Owen OE, Morgan AP, Kemp HG, Sullivan JM, Herrera MG, Cahill GF. Brain metabolism during fasting.</w:t>
      </w:r>
      <w:r>
        <w:t xml:space="preserve"> </w:t>
      </w:r>
      <w:r>
        <w:rPr>
          <w:iCs/>
          <w:i/>
        </w:rPr>
        <w:t xml:space="preserve">Journal of Clinical Investigation</w:t>
      </w:r>
      <w:r>
        <w:t xml:space="preserve">. 1967;46(10):1589–1595.</w:t>
      </w:r>
      <w:r>
        <w:t xml:space="preserve"> </w:t>
      </w:r>
      <w:hyperlink r:id="rId2866">
        <w:r>
          <w:rPr>
            <w:rStyle w:val="Hyperlink"/>
          </w:rPr>
          <w:t xml:space="preserve">https://doi.org/10.1172/JCI105650</w:t>
        </w:r>
      </w:hyperlink>
      <w:r>
        <w:t xml:space="preserve">（研究类型：小样本人体长期禁食脑血管代谢观察）</w:t>
      </w:r>
    </w:p>
    <w:p>
      <w:pPr>
        <w:pStyle w:val="ReferenceEntry"/>
      </w:pPr>
      <w:bookmarkStart w:id="2867" w:name="ref-138"/>
      <w:r>
        <w:t xml:space="preserve">[138]</w:t>
      </w:r>
      <w:bookmarkEnd w:id="2867"/>
      <w:r>
        <w:t xml:space="preserve"> Olson CA, Vuong HE, Yano JM, Liang QY, Nusbaum DJ, Hsiao EY. The Gut Microbiota Mediates the Anti-Seizure Effects of the Ketogenic Diet.</w:t>
      </w:r>
      <w:r>
        <w:t xml:space="preserve"> </w:t>
      </w:r>
      <w:r>
        <w:rPr>
          <w:iCs/>
          <w:i/>
        </w:rPr>
        <w:t xml:space="preserve">Cell</w:t>
      </w:r>
      <w:r>
        <w:t xml:space="preserve">. 2018;173(7):1728–1741.e13.</w:t>
      </w:r>
      <w:r>
        <w:t xml:space="preserve"> </w:t>
      </w:r>
      <w:hyperlink r:id="rId2868">
        <w:r>
          <w:rPr>
            <w:rStyle w:val="Hyperlink"/>
          </w:rPr>
          <w:t xml:space="preserve">https://doi.org/10.1016/j.cell.2018.04.027</w:t>
        </w:r>
      </w:hyperlink>
      <w:r>
        <w:t xml:space="preserve">（研究类型：小鼠饮食微生物操纵与发作模型研究）</w:t>
      </w:r>
    </w:p>
    <w:p>
      <w:pPr>
        <w:pStyle w:val="ReferenceEntry"/>
      </w:pPr>
      <w:bookmarkStart w:id="2869" w:name="ref-139"/>
      <w:r>
        <w:t xml:space="preserve">[139]</w:t>
      </w:r>
      <w:bookmarkEnd w:id="2869"/>
      <w:r>
        <w:t xml:space="preserve"> Rossi DJ, Oshima T, Attwell D. Glutamate release in severe brain ischaemia is mainly by reversed uptake.</w:t>
      </w:r>
      <w:r>
        <w:t xml:space="preserve"> </w:t>
      </w:r>
      <w:r>
        <w:rPr>
          <w:iCs/>
          <w:i/>
        </w:rPr>
        <w:t xml:space="preserve">Nature</w:t>
      </w:r>
      <w:r>
        <w:t xml:space="preserve">. 2000;403(6767):316–321.</w:t>
      </w:r>
      <w:r>
        <w:t xml:space="preserve"> </w:t>
      </w:r>
      <w:hyperlink r:id="rId2870">
        <w:r>
          <w:rPr>
            <w:rStyle w:val="Hyperlink"/>
          </w:rPr>
          <w:t xml:space="preserve">https://doi.org/10.1038/35002090</w:t>
        </w:r>
      </w:hyperlink>
      <w:r>
        <w:t xml:space="preserve">（研究类型：海马切片严重缺血模拟及模型研究）</w:t>
      </w:r>
    </w:p>
    <w:p>
      <w:pPr>
        <w:pStyle w:val="ReferenceEntry"/>
      </w:pPr>
      <w:bookmarkStart w:id="2871" w:name="ref-140"/>
      <w:r>
        <w:t xml:space="preserve">[140]</w:t>
      </w:r>
      <w:bookmarkEnd w:id="2871"/>
      <w:r>
        <w:t xml:space="preserve"> Sokoloff L, Reivich M, Kennedy C, Des Rosiers MH, Patlak CS, Pettigrew KD, et al. The [14C]deoxyglucose method for the measurement of local cerebral glucose utilization: theory, procedure, and normal values in the conscious and anesthetized albino rat.</w:t>
      </w:r>
      <w:r>
        <w:t xml:space="preserve"> </w:t>
      </w:r>
      <w:r>
        <w:rPr>
          <w:iCs/>
          <w:i/>
        </w:rPr>
        <w:t xml:space="preserve">Journal of Neurochemistry</w:t>
      </w:r>
      <w:r>
        <w:t xml:space="preserve">. 1977;28(5):897–916.</w:t>
      </w:r>
      <w:r>
        <w:t xml:space="preserve"> </w:t>
      </w:r>
      <w:hyperlink r:id="rId2872">
        <w:r>
          <w:rPr>
            <w:rStyle w:val="Hyperlink"/>
          </w:rPr>
          <w:t xml:space="preserve">https://doi.org/10.1111/j.1471-4159.1977.tb10649.x</w:t>
        </w:r>
      </w:hyperlink>
      <w:r>
        <w:t xml:space="preserve">（研究类型：示踪剂代谢测量方法与动物验证）</w:t>
      </w:r>
    </w:p>
    <w:p>
      <w:pPr>
        <w:pStyle w:val="ReferenceEntry"/>
      </w:pPr>
      <w:bookmarkStart w:id="2873" w:name="ref-141"/>
      <w:r>
        <w:t xml:space="preserve">[141]</w:t>
      </w:r>
      <w:bookmarkEnd w:id="2873"/>
      <w:r>
        <w:t xml:space="preserve"> Engelhardt B, Vajkoczy P, Weller RO. The movers and shapers in immune privilege of the CNS.</w:t>
      </w:r>
      <w:r>
        <w:t xml:space="preserve"> </w:t>
      </w:r>
      <w:r>
        <w:rPr>
          <w:iCs/>
          <w:i/>
        </w:rPr>
        <w:t xml:space="preserve">Nature Immunology</w:t>
      </w:r>
      <w:r>
        <w:t xml:space="preserve">. 2017;18(2):123–131.</w:t>
      </w:r>
      <w:r>
        <w:t xml:space="preserve"> </w:t>
      </w:r>
      <w:hyperlink r:id="rId2874">
        <w:r>
          <w:rPr>
            <w:rStyle w:val="Hyperlink"/>
          </w:rPr>
          <w:t xml:space="preserve">https://doi.org/10.1038/ni.3666</w:t>
        </w:r>
      </w:hyperlink>
      <w:r>
        <w:t xml:space="preserve">（研究类型：中枢免疫区室和界面机制综述）</w:t>
      </w:r>
    </w:p>
    <w:p>
      <w:pPr>
        <w:pStyle w:val="ReferenceEntry"/>
      </w:pPr>
      <w:bookmarkStart w:id="2875" w:name="ref-142"/>
      <w:r>
        <w:t xml:space="preserve">[142]</w:t>
      </w:r>
      <w:bookmarkEnd w:id="2875"/>
      <w:r>
        <w:t xml:space="preserve"> Goldmann T, Wieghofer P, Jordão MJC, Prutek F, Hagemeyer N, Frenzel K, et al. Origin, fate and dynamics of macrophages at central nervous system interfaces.</w:t>
      </w:r>
      <w:r>
        <w:t xml:space="preserve"> </w:t>
      </w:r>
      <w:r>
        <w:rPr>
          <w:iCs/>
          <w:i/>
        </w:rPr>
        <w:t xml:space="preserve">Nature Immunology</w:t>
      </w:r>
      <w:r>
        <w:t xml:space="preserve">. 2016;17(7):797–805.</w:t>
      </w:r>
      <w:r>
        <w:t xml:space="preserve"> </w:t>
      </w:r>
      <w:hyperlink r:id="rId2876">
        <w:r>
          <w:rPr>
            <w:rStyle w:val="Hyperlink"/>
          </w:rPr>
          <w:t xml:space="preserve">https://doi.org/10.1038/ni.3423</w:t>
        </w:r>
      </w:hyperlink>
      <w:r>
        <w:t xml:space="preserve">（研究类型：单细胞分析命运示踪共生与活体成像动物实验）</w:t>
      </w:r>
    </w:p>
    <w:p>
      <w:pPr>
        <w:pStyle w:val="ReferenceEntry"/>
      </w:pPr>
      <w:bookmarkStart w:id="2877" w:name="ref-143"/>
      <w:r>
        <w:t xml:space="preserve">[143]</w:t>
      </w:r>
      <w:bookmarkEnd w:id="2877"/>
      <w:r>
        <w:t xml:space="preserve"> Heneka MT, Kummer MP, Stutz A, Delekate A, Schwartz S, Vieira-Saecker A, et al. NLRP3 is activated in Alzheimer’s disease and contributes to pathology in APP/PS1 mice.</w:t>
      </w:r>
      <w:r>
        <w:t xml:space="preserve"> </w:t>
      </w:r>
      <w:r>
        <w:rPr>
          <w:iCs/>
          <w:i/>
        </w:rPr>
        <w:t xml:space="preserve">Nature</w:t>
      </w:r>
      <w:r>
        <w:t xml:space="preserve">. 2013;493(7434):674–678.</w:t>
      </w:r>
      <w:r>
        <w:t xml:space="preserve"> </w:t>
      </w:r>
      <w:hyperlink r:id="rId2878">
        <w:r>
          <w:rPr>
            <w:rStyle w:val="Hyperlink"/>
          </w:rPr>
          <w:t xml:space="preserve">https://doi.org/10.1038/nature11729</w:t>
        </w:r>
      </w:hyperlink>
      <w:r>
        <w:t xml:space="preserve">（研究类型：人体组织观察与炎性小体基因干预动物研究）</w:t>
      </w:r>
    </w:p>
    <w:p>
      <w:pPr>
        <w:pStyle w:val="ReferenceEntry"/>
      </w:pPr>
      <w:bookmarkStart w:id="2879" w:name="ref-144"/>
      <w:r>
        <w:t xml:space="preserve">[144]</w:t>
      </w:r>
      <w:bookmarkEnd w:id="2879"/>
      <w:r>
        <w:t xml:space="preserve"> Aspelund A, Antila S, Proulx ST, Karlsen TV, Karaman S, Detmar M, et al. A dural lymphatic vascular system that drains brain interstitial fluid and macromolecules.</w:t>
      </w:r>
      <w:r>
        <w:t xml:space="preserve"> </w:t>
      </w:r>
      <w:r>
        <w:rPr>
          <w:iCs/>
          <w:i/>
        </w:rPr>
        <w:t xml:space="preserve">Journal of Experimental Medicine</w:t>
      </w:r>
      <w:r>
        <w:t xml:space="preserve">. 2015;212(7):991–999.</w:t>
      </w:r>
      <w:r>
        <w:t xml:space="preserve"> </w:t>
      </w:r>
      <w:hyperlink r:id="rId2880">
        <w:r>
          <w:rPr>
            <w:rStyle w:val="Hyperlink"/>
          </w:rPr>
          <w:t xml:space="preserve">https://doi.org/10.1084/jem.20142290</w:t>
        </w:r>
      </w:hyperlink>
      <w:r>
        <w:t xml:space="preserve">（研究类型：硬脑膜淋巴解剖示踪与功能动物研究）</w:t>
      </w:r>
    </w:p>
    <w:p>
      <w:pPr>
        <w:pStyle w:val="ReferenceEntry"/>
      </w:pPr>
      <w:bookmarkStart w:id="2881" w:name="ref-145"/>
      <w:r>
        <w:t xml:space="preserve">[145]</w:t>
      </w:r>
      <w:bookmarkEnd w:id="2881"/>
      <w:r>
        <w:t xml:space="preserve"> Rustenhoven J, Drieu A, Mamuladze T, de Lima KA, Dykstra T, Wall M, et al. Functional characterization of the dural sinuses as a neuroimmune interface.</w:t>
      </w:r>
      <w:r>
        <w:t xml:space="preserve"> </w:t>
      </w:r>
      <w:r>
        <w:rPr>
          <w:iCs/>
          <w:i/>
        </w:rPr>
        <w:t xml:space="preserve">Cell</w:t>
      </w:r>
      <w:r>
        <w:t xml:space="preserve">. 2021;184(4):1000–1016.e27.</w:t>
      </w:r>
      <w:r>
        <w:t xml:space="preserve"> </w:t>
      </w:r>
      <w:hyperlink r:id="rId2882">
        <w:r>
          <w:rPr>
            <w:rStyle w:val="Hyperlink"/>
          </w:rPr>
          <w:t xml:space="preserve">https://doi.org/10.1016/j.cell.2020.12.040</w:t>
        </w:r>
      </w:hyperlink>
      <w:r>
        <w:t xml:space="preserve">（研究类型：脑膜免疫界面细胞与抗原呈递机制研究）</w:t>
      </w:r>
    </w:p>
    <w:p>
      <w:pPr>
        <w:pStyle w:val="ReferenceEntry"/>
      </w:pPr>
      <w:bookmarkStart w:id="2883" w:name="ref-146"/>
      <w:r>
        <w:t xml:space="preserve">[146]</w:t>
      </w:r>
      <w:bookmarkEnd w:id="2883"/>
      <w:r>
        <w:t xml:space="preserve"> Hughes EG, Peng X, Gleichman AJ, Lai M, Zhou L, Tsou R, et al. Cellular and synaptic mechanisms of anti-NMDA receptor encephalitis.</w:t>
      </w:r>
      <w:r>
        <w:t xml:space="preserve"> </w:t>
      </w:r>
      <w:r>
        <w:rPr>
          <w:iCs/>
          <w:i/>
        </w:rPr>
        <w:t xml:space="preserve">The Journal of Neuroscience</w:t>
      </w:r>
      <w:r>
        <w:t xml:space="preserve">. 2010;30(17):5866–5875.</w:t>
      </w:r>
      <w:r>
        <w:t xml:space="preserve"> </w:t>
      </w:r>
      <w:hyperlink r:id="rId2884">
        <w:r>
          <w:rPr>
            <w:rStyle w:val="Hyperlink"/>
          </w:rPr>
          <w:t xml:space="preserve">https://doi.org/10.1523/JNEUROSCI.0167-10.2010</w:t>
        </w:r>
      </w:hyperlink>
      <w:r>
        <w:t xml:space="preserve">（研究类型：患者抗体与神经元受体机制实验）</w:t>
      </w:r>
    </w:p>
    <w:p>
      <w:pPr>
        <w:pStyle w:val="ReferenceEntry"/>
      </w:pPr>
      <w:bookmarkStart w:id="2885" w:name="ref-147"/>
      <w:r>
        <w:t xml:space="preserve">[147]</w:t>
      </w:r>
      <w:bookmarkEnd w:id="2885"/>
      <w:r>
        <w:t xml:space="preserve"> Hong S, Beja-Glasser VF, Nfonoyim BM, Frouin A, Li S, Ramakrishnan S, et al. Complement and microglia mediate early synapse loss in Alzheimer mouse models.</w:t>
      </w:r>
      <w:r>
        <w:t xml:space="preserve"> </w:t>
      </w:r>
      <w:r>
        <w:rPr>
          <w:iCs/>
          <w:i/>
        </w:rPr>
        <w:t xml:space="preserve">Science</w:t>
      </w:r>
      <w:r>
        <w:t xml:space="preserve">. 2016;352(6286):712–716.</w:t>
      </w:r>
      <w:r>
        <w:t xml:space="preserve"> </w:t>
      </w:r>
      <w:hyperlink r:id="rId2886">
        <w:r>
          <w:rPr>
            <w:rStyle w:val="Hyperlink"/>
          </w:rPr>
          <w:t xml:space="preserve">https://doi.org/10.1126/science.aad8373</w:t>
        </w:r>
      </w:hyperlink>
      <w:r>
        <w:t xml:space="preserve">（研究类型：补体及小胶质干预神经病理动物实验）</w:t>
      </w:r>
    </w:p>
    <w:p>
      <w:pPr>
        <w:pStyle w:val="ReferenceEntry"/>
      </w:pPr>
      <w:bookmarkStart w:id="2887" w:name="ref-148"/>
      <w:r>
        <w:t xml:space="preserve">[148]</w:t>
      </w:r>
      <w:bookmarkEnd w:id="2887"/>
      <w:r>
        <w:t xml:space="preserve"> Wang Y, Cella M, Mallinson K, Ulrich JD, Young KL, Robinette ML, et al. TREM2 Lipid Sensing Sustains the Microglial Response in an Alzheimer’s Disease Model.</w:t>
      </w:r>
      <w:r>
        <w:t xml:space="preserve"> </w:t>
      </w:r>
      <w:r>
        <w:rPr>
          <w:iCs/>
          <w:i/>
        </w:rPr>
        <w:t xml:space="preserve">Cell</w:t>
      </w:r>
      <w:r>
        <w:t xml:space="preserve">. 2015;160(6):1061–1071.</w:t>
      </w:r>
      <w:r>
        <w:t xml:space="preserve"> </w:t>
      </w:r>
      <w:hyperlink r:id="rId2888">
        <w:r>
          <w:rPr>
            <w:rStyle w:val="Hyperlink"/>
          </w:rPr>
          <w:t xml:space="preserve">https://doi.org/10.1016/j.cell.2015.01.049</w:t>
        </w:r>
      </w:hyperlink>
      <w:r>
        <w:t xml:space="preserve">（研究类型：受体脂质识别及神经病理动物机制实验）</w:t>
      </w:r>
    </w:p>
    <w:p>
      <w:pPr>
        <w:pStyle w:val="ReferenceEntry"/>
      </w:pPr>
      <w:bookmarkStart w:id="2889" w:name="ref-149"/>
      <w:r>
        <w:t xml:space="preserve">[149]</w:t>
      </w:r>
      <w:bookmarkEnd w:id="2889"/>
      <w:r>
        <w:t xml:space="preserve"> Dantzer R, O'Connor JC, Freund GG, Johnson RW, Kelley KW. From inflammation to sickness and depression: when the immune system subjugates the brain.</w:t>
      </w:r>
      <w:r>
        <w:t xml:space="preserve"> </w:t>
      </w:r>
      <w:r>
        <w:rPr>
          <w:iCs/>
          <w:i/>
        </w:rPr>
        <w:t xml:space="preserve">Nature Reviews Neuroscience</w:t>
      </w:r>
      <w:r>
        <w:t xml:space="preserve">. 2008;9(1):46–56.</w:t>
      </w:r>
      <w:r>
        <w:t xml:space="preserve"> </w:t>
      </w:r>
      <w:hyperlink r:id="rId2890">
        <w:r>
          <w:rPr>
            <w:rStyle w:val="Hyperlink"/>
          </w:rPr>
          <w:t xml:space="preserve">https://doi.org/10.1038/nrn2297</w:t>
        </w:r>
      </w:hyperlink>
      <w:r>
        <w:t xml:space="preserve">（研究类型：神经免疫机制综述）</w:t>
      </w:r>
    </w:p>
    <w:p>
      <w:pPr>
        <w:pStyle w:val="ReferenceEntry"/>
      </w:pPr>
      <w:bookmarkStart w:id="2891" w:name="ref-150"/>
      <w:r>
        <w:t xml:space="preserve">[150]</w:t>
      </w:r>
      <w:bookmarkEnd w:id="2891"/>
      <w:r>
        <w:t xml:space="preserve"> Wilhelms DB, Kirilov M, Mirrasekhian E, Eskilsson A, Kugelberg UÖ, Klar C, et al. Deletion of Prostaglandin E2 Synthesizing Enzymes in Brain Endothelial Cells Attenuates Inflammatory Fever.</w:t>
      </w:r>
      <w:r>
        <w:t xml:space="preserve"> </w:t>
      </w:r>
      <w:r>
        <w:rPr>
          <w:iCs/>
          <w:i/>
        </w:rPr>
        <w:t xml:space="preserve">The Journal of Neuroscience</w:t>
      </w:r>
      <w:r>
        <w:t xml:space="preserve">. 2014;34(35):11684–11690.</w:t>
      </w:r>
      <w:r>
        <w:t xml:space="preserve"> </w:t>
      </w:r>
      <w:hyperlink r:id="rId2892">
        <w:r>
          <w:rPr>
            <w:rStyle w:val="Hyperlink"/>
          </w:rPr>
          <w:t xml:space="preserve">https://doi.org/10.1523/JNEUROSCI.1838-14.2014</w:t>
        </w:r>
      </w:hyperlink>
      <w:r>
        <w:t xml:space="preserve">（研究类型：细胞类型特异基因删除与炎症行为动物实验）</w:t>
      </w:r>
    </w:p>
    <w:p>
      <w:pPr>
        <w:pStyle w:val="ReferenceEntry"/>
      </w:pPr>
      <w:bookmarkStart w:id="2893" w:name="ref-151"/>
      <w:r>
        <w:t xml:space="preserve">[151]</w:t>
      </w:r>
      <w:bookmarkEnd w:id="2893"/>
      <w:r>
        <w:t xml:space="preserve"> Eisenberger NI, Berkman ET, Inagaki TK, Rameson LT, Mashal NM, Irwin MR. Inflammation-induced anhedonia: endotoxin reduces ventral striatum responses to reward.</w:t>
      </w:r>
      <w:r>
        <w:t xml:space="preserve"> </w:t>
      </w:r>
      <w:r>
        <w:rPr>
          <w:iCs/>
          <w:i/>
        </w:rPr>
        <w:t xml:space="preserve">Biological Psychiatry</w:t>
      </w:r>
      <w:r>
        <w:t xml:space="preserve">. 2010;68(8):748–754.</w:t>
      </w:r>
      <w:r>
        <w:t xml:space="preserve"> </w:t>
      </w:r>
      <w:hyperlink r:id="rId2894">
        <w:r>
          <w:rPr>
            <w:rStyle w:val="Hyperlink"/>
          </w:rPr>
          <w:t xml:space="preserve">https://doi.org/10.1016/j.biopsych.2010.06.010</w:t>
        </w:r>
      </w:hyperlink>
      <w:r>
        <w:t xml:space="preserve">（研究类型：随机安慰剂对照人体免疫挑战与功能成像实验）</w:t>
      </w:r>
    </w:p>
    <w:p>
      <w:pPr>
        <w:pStyle w:val="ReferenceEntry"/>
      </w:pPr>
      <w:bookmarkStart w:id="2895" w:name="ref-152"/>
      <w:r>
        <w:t xml:space="preserve">[152]</w:t>
      </w:r>
      <w:bookmarkEnd w:id="2895"/>
      <w:r>
        <w:t xml:space="preserve"> Wendeln AC, Degenhardt K, Kaurani L, Gertig M, Ulas T, Jain G, et al. Innate immune memory in the brain shapes neurological disease hallmarks.</w:t>
      </w:r>
      <w:r>
        <w:t xml:space="preserve"> </w:t>
      </w:r>
      <w:r>
        <w:rPr>
          <w:iCs/>
          <w:i/>
        </w:rPr>
        <w:t xml:space="preserve">Nature</w:t>
      </w:r>
      <w:r>
        <w:t xml:space="preserve">. 2018;556(7701):332–338.</w:t>
      </w:r>
      <w:r>
        <w:t xml:space="preserve"> </w:t>
      </w:r>
      <w:hyperlink r:id="rId2896">
        <w:r>
          <w:rPr>
            <w:rStyle w:val="Hyperlink"/>
          </w:rPr>
          <w:t xml:space="preserve">https://doi.org/10.1038/s41586-018-0023-4</w:t>
        </w:r>
      </w:hyperlink>
      <w:r>
        <w:t xml:space="preserve">（研究类型：免疫训练耐受及神经病理动物机制研究）</w:t>
      </w:r>
    </w:p>
    <w:p>
      <w:pPr>
        <w:pStyle w:val="ReferenceEntry"/>
      </w:pPr>
      <w:bookmarkStart w:id="2897" w:name="ref-153"/>
      <w:r>
        <w:t xml:space="preserve">[153]</w:t>
      </w:r>
      <w:bookmarkEnd w:id="2897"/>
      <w:r>
        <w:t xml:space="preserve"> Tsuda M, Shigemoto-Mogami Y, Koizumi S, Mizokoshi A, Kohsaka S, Salter MW, et al. P2X4 receptors induced in spinal microglia gate tactile allodynia after nerve injury.</w:t>
      </w:r>
      <w:r>
        <w:t xml:space="preserve"> </w:t>
      </w:r>
      <w:r>
        <w:rPr>
          <w:iCs/>
          <w:i/>
        </w:rPr>
        <w:t xml:space="preserve">Nature</w:t>
      </w:r>
      <w:r>
        <w:t xml:space="preserve">. 2003;424(6950):778–783.</w:t>
      </w:r>
      <w:r>
        <w:t xml:space="preserve"> </w:t>
      </w:r>
      <w:hyperlink r:id="rId2898">
        <w:r>
          <w:rPr>
            <w:rStyle w:val="Hyperlink"/>
          </w:rPr>
          <w:t xml:space="preserve">https://doi.org/10.1038/nature01786</w:t>
        </w:r>
      </w:hyperlink>
      <w:r>
        <w:t xml:space="preserve">（研究类型：脊髓小胶质受体与神经损伤后痛敏动物实验）</w:t>
      </w:r>
    </w:p>
    <w:p>
      <w:pPr>
        <w:pStyle w:val="ReferenceEntry"/>
      </w:pPr>
      <w:bookmarkStart w:id="2899" w:name="ref-154"/>
      <w:r>
        <w:t xml:space="preserve">[154]</w:t>
      </w:r>
      <w:bookmarkEnd w:id="2899"/>
      <w:r>
        <w:t xml:space="preserve"> Sorge RE, Mapplebeck JCS, Rosen S, Beggs S, Taves S, Alexander JK, et al. Different immune cells mediate mechanical pain hypersensitivity in male and female mice.</w:t>
      </w:r>
      <w:r>
        <w:t xml:space="preserve"> </w:t>
      </w:r>
      <w:r>
        <w:rPr>
          <w:iCs/>
          <w:i/>
        </w:rPr>
        <w:t xml:space="preserve">Nature Neuroscience</w:t>
      </w:r>
      <w:r>
        <w:t xml:space="preserve">. 2015;18(8):1081–1083.</w:t>
      </w:r>
      <w:r>
        <w:t xml:space="preserve"> </w:t>
      </w:r>
      <w:hyperlink r:id="rId2900">
        <w:r>
          <w:rPr>
            <w:rStyle w:val="Hyperlink"/>
          </w:rPr>
          <w:t xml:space="preserve">https://doi.org/10.1038/nn.4053</w:t>
        </w:r>
      </w:hyperlink>
      <w:r>
        <w:t xml:space="preserve">（研究类型：性别比较与免疫细胞路径干预动物实验）</w:t>
      </w:r>
    </w:p>
    <w:p>
      <w:pPr>
        <w:pStyle w:val="ReferenceEntry"/>
      </w:pPr>
      <w:bookmarkStart w:id="2901" w:name="ref-155"/>
      <w:r>
        <w:t xml:space="preserve">[155]</w:t>
      </w:r>
      <w:bookmarkEnd w:id="2901"/>
      <w:r>
        <w:t xml:space="preserve"> Nutma E, Fancy N, Weinert M, Tsartsalis S, Marzin MC, Muirhead RCJ, et al. Translocator protein is a marker of activated microglia in rodent models but not human neurodegenerative diseases.</w:t>
      </w:r>
      <w:r>
        <w:t xml:space="preserve"> </w:t>
      </w:r>
      <w:r>
        <w:rPr>
          <w:iCs/>
          <w:i/>
        </w:rPr>
        <w:t xml:space="preserve">Nature Communications</w:t>
      </w:r>
      <w:r>
        <w:t xml:space="preserve">. 2023;14(1):5247.</w:t>
      </w:r>
      <w:r>
        <w:t xml:space="preserve"> </w:t>
      </w:r>
      <w:hyperlink r:id="rId2902">
        <w:r>
          <w:rPr>
            <w:rStyle w:val="Hyperlink"/>
          </w:rPr>
          <w:t xml:space="preserve">https://doi.org/10.1038/s41467-023-40937-z</w:t>
        </w:r>
      </w:hyperlink>
      <w:r>
        <w:t xml:space="preserve">（研究类型：跨物种组织和分子表达比较研究）</w:t>
      </w:r>
    </w:p>
    <w:p>
      <w:pPr>
        <w:pStyle w:val="ReferenceEntry"/>
      </w:pPr>
      <w:bookmarkStart w:id="2903" w:name="ref-156"/>
      <w:r>
        <w:t xml:space="preserve">[156]</w:t>
      </w:r>
      <w:bookmarkEnd w:id="2903"/>
      <w:r>
        <w:t xml:space="preserve"> Pan B, Akyuz N, Liu XP, Asai Y, Nist-Lund C, Kurima K, et al. TMC1 Forms the Pore of Mechanosensory Transduction Channels in Vertebrate Inner Ear Hair Cells.</w:t>
      </w:r>
      <w:r>
        <w:t xml:space="preserve"> </w:t>
      </w:r>
      <w:r>
        <w:rPr>
          <w:iCs/>
          <w:i/>
        </w:rPr>
        <w:t xml:space="preserve">Neuron</w:t>
      </w:r>
      <w:r>
        <w:t xml:space="preserve">. 2018;99(4):736–753.e6.</w:t>
      </w:r>
      <w:r>
        <w:t xml:space="preserve"> </w:t>
      </w:r>
      <w:hyperlink r:id="rId2904">
        <w:r>
          <w:rPr>
            <w:rStyle w:val="Hyperlink"/>
          </w:rPr>
          <w:t xml:space="preserve">https://doi.org/10.1016/j.neuron.2018.07.033</w:t>
        </w:r>
      </w:hyperlink>
      <w:r>
        <w:t xml:space="preserve">（研究类型：定点突变、生物化学和毛细胞电生理）</w:t>
      </w:r>
    </w:p>
    <w:p>
      <w:pPr>
        <w:pStyle w:val="ReferenceEntry"/>
      </w:pPr>
      <w:bookmarkStart w:id="2905" w:name="ref-157"/>
      <w:r>
        <w:t xml:space="preserve">[157]</w:t>
      </w:r>
      <w:bookmarkEnd w:id="2905"/>
      <w:r>
        <w:t xml:space="preserve"> Taruno A, Vingtdeux V, Ohmoto M, Ma Z, Dvoryanchikov G, Li A, et al. CALHM1 ion channel mediates purinergic neurotransmission of sweet, bitter and umami tastes.</w:t>
      </w:r>
      <w:r>
        <w:t xml:space="preserve"> </w:t>
      </w:r>
      <w:r>
        <w:rPr>
          <w:iCs/>
          <w:i/>
        </w:rPr>
        <w:t xml:space="preserve">Nature</w:t>
      </w:r>
      <w:r>
        <w:t xml:space="preserve">. 2013;495(7440):223–226.</w:t>
      </w:r>
      <w:r>
        <w:t xml:space="preserve"> </w:t>
      </w:r>
      <w:hyperlink r:id="rId2906">
        <w:r>
          <w:rPr>
            <w:rStyle w:val="Hyperlink"/>
          </w:rPr>
          <w:t xml:space="preserve">https://doi.org/10.1038/nature11906</w:t>
        </w:r>
      </w:hyperlink>
      <w:r>
        <w:t xml:space="preserve">（研究类型：基因缺失与细胞电生理）</w:t>
      </w:r>
    </w:p>
    <w:p>
      <w:pPr>
        <w:pStyle w:val="ReferenceEntry"/>
      </w:pPr>
      <w:bookmarkStart w:id="2907" w:name="ref-158"/>
      <w:r>
        <w:t xml:space="preserve">[158]</w:t>
      </w:r>
      <w:bookmarkEnd w:id="2907"/>
      <w:r>
        <w:t xml:space="preserve"> Koike C, Obara T, Uriu Y, Numata T, Sanuki R, Miyata K, et al. TRPM1 is a component of the retinal ON bipolar cell transduction channel in the mGluR6 cascade.</w:t>
      </w:r>
      <w:r>
        <w:t xml:space="preserve"> </w:t>
      </w:r>
      <w:r>
        <w:rPr>
          <w:iCs/>
          <w:i/>
        </w:rPr>
        <w:t xml:space="preserve">Proceedings of the National Academy of Sciences</w:t>
      </w:r>
      <w:r>
        <w:t xml:space="preserve">. 2010;107(1):332–337.</w:t>
      </w:r>
      <w:r>
        <w:t xml:space="preserve"> </w:t>
      </w:r>
      <w:hyperlink r:id="rId2908">
        <w:r>
          <w:rPr>
            <w:rStyle w:val="Hyperlink"/>
          </w:rPr>
          <w:t xml:space="preserve">https://doi.org/10.1073/pnas.0912730107</w:t>
        </w:r>
      </w:hyperlink>
      <w:r>
        <w:t xml:space="preserve">（研究类型：定位、基因缺失、电生理）</w:t>
      </w:r>
    </w:p>
    <w:p>
      <w:pPr>
        <w:pStyle w:val="ReferenceEntry"/>
      </w:pPr>
      <w:bookmarkStart w:id="2909" w:name="ref-159"/>
      <w:r>
        <w:t xml:space="preserve">[159]</w:t>
      </w:r>
      <w:bookmarkEnd w:id="2909"/>
      <w:r>
        <w:t xml:space="preserve"> Purves D, Augustine GJ, Fitzpatrick D, et al., editors.</w:t>
      </w:r>
      <w:r>
        <w:t xml:space="preserve"> </w:t>
      </w:r>
      <w:r>
        <w:rPr>
          <w:iCs/>
          <w:i/>
        </w:rPr>
        <w:t xml:space="preserve">Neuroscience</w:t>
      </w:r>
      <w:r>
        <w:t xml:space="preserve">. 2nd ed. 2001. Chapter: Retinal Circuits for Detecting Differences in Luminance.</w:t>
      </w:r>
      <w:r>
        <w:t xml:space="preserve"> </w:t>
      </w:r>
      <w:hyperlink r:id="rId2910">
        <w:r>
          <w:rPr>
            <w:rStyle w:val="Hyperlink"/>
          </w:rPr>
          <w:t xml:space="preserve">https://www.ncbi.nlm.nih.gov/books/NBK11052/</w:t>
        </w:r>
      </w:hyperlink>
      <w:r>
        <w:t xml:space="preserve">（研究类型：官方托管教材章节）</w:t>
      </w:r>
    </w:p>
    <w:p>
      <w:pPr>
        <w:pStyle w:val="ReferenceEntry"/>
      </w:pPr>
      <w:bookmarkStart w:id="2911" w:name="ref-160"/>
      <w:r>
        <w:t xml:space="preserve">[160]</w:t>
      </w:r>
      <w:bookmarkEnd w:id="2911"/>
      <w:r>
        <w:t xml:space="preserve"> Purves D, Augustine GJ, Fitzpatrick D, et al., editors.</w:t>
      </w:r>
      <w:r>
        <w:t xml:space="preserve"> </w:t>
      </w:r>
      <w:r>
        <w:rPr>
          <w:iCs/>
          <w:i/>
        </w:rPr>
        <w:t xml:space="preserve">Neuroscience</w:t>
      </w:r>
      <w:r>
        <w:t xml:space="preserve">. 2nd ed. 2001. Chapter: Cones and Color Vision.</w:t>
      </w:r>
      <w:r>
        <w:t xml:space="preserve"> </w:t>
      </w:r>
      <w:hyperlink r:id="rId2912">
        <w:r>
          <w:rPr>
            <w:rStyle w:val="Hyperlink"/>
          </w:rPr>
          <w:t xml:space="preserve">https://www.ncbi.nlm.nih.gov/books/NBK11059/</w:t>
        </w:r>
      </w:hyperlink>
      <w:r>
        <w:t xml:space="preserve">（研究类型：官方托管教材章节）</w:t>
      </w:r>
    </w:p>
    <w:p>
      <w:pPr>
        <w:pStyle w:val="ReferenceEntry"/>
      </w:pPr>
      <w:bookmarkStart w:id="2913" w:name="ref-161"/>
      <w:r>
        <w:t xml:space="preserve">[161]</w:t>
      </w:r>
      <w:bookmarkEnd w:id="2913"/>
      <w:r>
        <w:t xml:space="preserve"> Purves D, Augustine GJ, Fitzpatrick D, et al., editors.</w:t>
      </w:r>
      <w:r>
        <w:t xml:space="preserve"> </w:t>
      </w:r>
      <w:r>
        <w:rPr>
          <w:iCs/>
          <w:i/>
        </w:rPr>
        <w:t xml:space="preserve">Neuroscience</w:t>
      </w:r>
      <w:r>
        <w:t xml:space="preserve">. 2nd ed. 2001. Chapter: The Inner Ear.</w:t>
      </w:r>
      <w:r>
        <w:t xml:space="preserve"> </w:t>
      </w:r>
      <w:hyperlink r:id="rId2914">
        <w:r>
          <w:rPr>
            <w:rStyle w:val="Hyperlink"/>
          </w:rPr>
          <w:t xml:space="preserve">https://www.ncbi.nlm.nih.gov/books/NBK10946/</w:t>
        </w:r>
      </w:hyperlink>
      <w:r>
        <w:t xml:space="preserve">（研究类型：官方托管教材章节）</w:t>
      </w:r>
    </w:p>
    <w:p>
      <w:pPr>
        <w:pStyle w:val="ReferenceEntry"/>
      </w:pPr>
      <w:bookmarkStart w:id="2915" w:name="ref-162"/>
      <w:r>
        <w:t xml:space="preserve">[162]</w:t>
      </w:r>
      <w:bookmarkEnd w:id="2915"/>
      <w:r>
        <w:t xml:space="preserve"> Zheng J, Shen W, He DZZ, Long KB, Madison LD, Dallos P. Prestin is the motor protein of cochlear outer hair cells.</w:t>
      </w:r>
      <w:r>
        <w:t xml:space="preserve"> </w:t>
      </w:r>
      <w:r>
        <w:rPr>
          <w:iCs/>
          <w:i/>
        </w:rPr>
        <w:t xml:space="preserve">Nature</w:t>
      </w:r>
      <w:r>
        <w:t xml:space="preserve">. 2000;405(6783):149–155.</w:t>
      </w:r>
      <w:r>
        <w:t xml:space="preserve"> </w:t>
      </w:r>
      <w:hyperlink r:id="rId2916">
        <w:r>
          <w:rPr>
            <w:rStyle w:val="Hyperlink"/>
          </w:rPr>
          <w:t xml:space="preserve">https://doi.org/10.1038/35012009</w:t>
        </w:r>
      </w:hyperlink>
      <w:r>
        <w:t xml:space="preserve">（研究类型：分子克隆与异源表达）</w:t>
      </w:r>
    </w:p>
    <w:p>
      <w:pPr>
        <w:pStyle w:val="ReferenceEntry"/>
      </w:pPr>
      <w:bookmarkStart w:id="2917" w:name="ref-163"/>
      <w:r>
        <w:t xml:space="preserve">[163]</w:t>
      </w:r>
      <w:bookmarkEnd w:id="2917"/>
      <w:r>
        <w:t xml:space="preserve"> Purves D, Augustine GJ, Fitzpatrick D, et al., editors.</w:t>
      </w:r>
      <w:r>
        <w:t xml:space="preserve"> </w:t>
      </w:r>
      <w:r>
        <w:rPr>
          <w:iCs/>
          <w:i/>
        </w:rPr>
        <w:t xml:space="preserve">Neuroscience</w:t>
      </w:r>
      <w:r>
        <w:t xml:space="preserve">. 2nd ed. 2001. Chapter: How Information from the Cochlea Reaches Targets in the Brainstem.</w:t>
      </w:r>
      <w:r>
        <w:t xml:space="preserve"> </w:t>
      </w:r>
      <w:hyperlink r:id="rId2918">
        <w:r>
          <w:rPr>
            <w:rStyle w:val="Hyperlink"/>
          </w:rPr>
          <w:t xml:space="preserve">https://www.ncbi.nlm.nih.gov/books/NBK10945/</w:t>
        </w:r>
      </w:hyperlink>
      <w:r>
        <w:t xml:space="preserve">（研究类型：官方托管教材章节）</w:t>
      </w:r>
    </w:p>
    <w:p>
      <w:pPr>
        <w:pStyle w:val="ReferenceEntry"/>
      </w:pPr>
      <w:bookmarkStart w:id="2919" w:name="ref-164"/>
      <w:r>
        <w:t xml:space="preserve">[164]</w:t>
      </w:r>
      <w:bookmarkEnd w:id="2919"/>
      <w:r>
        <w:t xml:space="preserve"> Purves D, Augustine GJ, Fitzpatrick D, et al., editors.</w:t>
      </w:r>
      <w:r>
        <w:t xml:space="preserve"> </w:t>
      </w:r>
      <w:r>
        <w:rPr>
          <w:iCs/>
          <w:i/>
        </w:rPr>
        <w:t xml:space="preserve">Neuroscience</w:t>
      </w:r>
      <w:r>
        <w:t xml:space="preserve">. 2nd ed. 2001. Chapter: Integrating Information from the Two Ears.</w:t>
      </w:r>
      <w:r>
        <w:t xml:space="preserve"> </w:t>
      </w:r>
      <w:hyperlink r:id="rId2920">
        <w:r>
          <w:rPr>
            <w:rStyle w:val="Hyperlink"/>
          </w:rPr>
          <w:t xml:space="preserve">https://www.ncbi.nlm.nih.gov/books/NBK10820/</w:t>
        </w:r>
      </w:hyperlink>
      <w:r>
        <w:t xml:space="preserve">（研究类型：官方托管教材章节）</w:t>
      </w:r>
    </w:p>
    <w:p>
      <w:pPr>
        <w:pStyle w:val="ReferenceEntry"/>
      </w:pPr>
      <w:bookmarkStart w:id="2921" w:name="ref-165"/>
      <w:r>
        <w:t xml:space="preserve">[165]</w:t>
      </w:r>
      <w:bookmarkEnd w:id="2921"/>
      <w:r>
        <w:t xml:space="preserve"> Cullen KE. Vestibular processing during natural self-motion: implications for perception and action.</w:t>
      </w:r>
      <w:r>
        <w:t xml:space="preserve"> </w:t>
      </w:r>
      <w:r>
        <w:rPr>
          <w:iCs/>
          <w:i/>
        </w:rPr>
        <w:t xml:space="preserve">Nature Reviews Neuroscience</w:t>
      </w:r>
      <w:r>
        <w:t xml:space="preserve">. 2019;20(6):346–363.</w:t>
      </w:r>
      <w:r>
        <w:t xml:space="preserve"> </w:t>
      </w:r>
      <w:hyperlink r:id="rId2922">
        <w:r>
          <w:rPr>
            <w:rStyle w:val="Hyperlink"/>
          </w:rPr>
          <w:t xml:space="preserve">https://doi.org/10.1038/s41583-019-0153-1</w:t>
        </w:r>
      </w:hyperlink>
      <w:r>
        <w:t xml:space="preserve">（研究类型：机制综述）</w:t>
      </w:r>
    </w:p>
    <w:p>
      <w:pPr>
        <w:pStyle w:val="ReferenceEntry"/>
      </w:pPr>
      <w:bookmarkStart w:id="2923" w:name="ref-166"/>
      <w:r>
        <w:t xml:space="preserve">[166]</w:t>
      </w:r>
      <w:bookmarkEnd w:id="2923"/>
      <w:r>
        <w:t xml:space="preserve"> Coste B, Mathur J, Schmidt M, Earley TJ, Ranade S, Petrus MJ, et al. Piezo1 and Piezo2 are essential components of distinct mechanically activated cation channels.</w:t>
      </w:r>
      <w:r>
        <w:t xml:space="preserve"> </w:t>
      </w:r>
      <w:r>
        <w:rPr>
          <w:iCs/>
          <w:i/>
        </w:rPr>
        <w:t xml:space="preserve">Science</w:t>
      </w:r>
      <w:r>
        <w:t xml:space="preserve">. 2010;330(6000):55–60.</w:t>
      </w:r>
      <w:r>
        <w:t xml:space="preserve"> </w:t>
      </w:r>
      <w:hyperlink r:id="rId2924">
        <w:r>
          <w:rPr>
            <w:rStyle w:val="Hyperlink"/>
          </w:rPr>
          <w:t xml:space="preserve">https://doi.org/10.1126/science.1193270</w:t>
        </w:r>
      </w:hyperlink>
      <w:r>
        <w:t xml:space="preserve">（研究类型：表达筛选、敲低及电生理）</w:t>
      </w:r>
    </w:p>
    <w:p>
      <w:pPr>
        <w:pStyle w:val="ReferenceEntry"/>
      </w:pPr>
      <w:bookmarkStart w:id="2925" w:name="ref-167"/>
      <w:r>
        <w:t xml:space="preserve">[167]</w:t>
      </w:r>
      <w:bookmarkEnd w:id="2925"/>
      <w:r>
        <w:t xml:space="preserve"> Ranade SS, Woo SH, Dubin AE, Moshourab RA, Wetzel C, Petrus M, et al. Piezo2 is the major transducer of mechanical forces for touch sensation in mice.</w:t>
      </w:r>
      <w:r>
        <w:t xml:space="preserve"> </w:t>
      </w:r>
      <w:r>
        <w:rPr>
          <w:iCs/>
          <w:i/>
        </w:rPr>
        <w:t xml:space="preserve">Nature</w:t>
      </w:r>
      <w:r>
        <w:t xml:space="preserve">. 2014;516(7529):121–125.</w:t>
      </w:r>
      <w:r>
        <w:t xml:space="preserve"> </w:t>
      </w:r>
      <w:hyperlink r:id="rId2926">
        <w:r>
          <w:rPr>
            <w:rStyle w:val="Hyperlink"/>
          </w:rPr>
          <w:t xml:space="preserve">https://doi.org/10.1038/nature13980</w:t>
        </w:r>
      </w:hyperlink>
      <w:r>
        <w:t xml:space="preserve">（研究类型：条件基因缺失与行为电生理）</w:t>
      </w:r>
    </w:p>
    <w:p>
      <w:pPr>
        <w:pStyle w:val="ReferenceEntry"/>
      </w:pPr>
      <w:bookmarkStart w:id="2927" w:name="ref-168"/>
      <w:r>
        <w:t xml:space="preserve">[168]</w:t>
      </w:r>
      <w:bookmarkEnd w:id="2927"/>
      <w:r>
        <w:t xml:space="preserve"> Chesler AT, Szczot M, Bharucha-Goebel D, Čeko M, Donkervoort S, Laubacher C, et al. The Role of PIEZO2 in Human Mechanosensation.</w:t>
      </w:r>
      <w:r>
        <w:t xml:space="preserve"> </w:t>
      </w:r>
      <w:r>
        <w:rPr>
          <w:iCs/>
          <w:i/>
        </w:rPr>
        <w:t xml:space="preserve">New England Journal of Medicine</w:t>
      </w:r>
      <w:r>
        <w:t xml:space="preserve">. 2016;375(14):1355–1364.</w:t>
      </w:r>
      <w:r>
        <w:t xml:space="preserve"> </w:t>
      </w:r>
      <w:hyperlink r:id="rId2928">
        <w:r>
          <w:rPr>
            <w:rStyle w:val="Hyperlink"/>
          </w:rPr>
          <w:t xml:space="preserve">https://doi.org/10.1056/NEJMoa1602812</w:t>
        </w:r>
      </w:hyperlink>
      <w:r>
        <w:t xml:space="preserve">（研究类型：罕见变异个案与功能验证）</w:t>
      </w:r>
    </w:p>
    <w:p>
      <w:pPr>
        <w:pStyle w:val="ReferenceEntry"/>
      </w:pPr>
      <w:bookmarkStart w:id="2929" w:name="ref-169"/>
      <w:r>
        <w:t xml:space="preserve">[169]</w:t>
      </w:r>
      <w:bookmarkEnd w:id="2929"/>
      <w:r>
        <w:t xml:space="preserve"> Caterina MJ, Schumacher MA, Tominaga M, Rosen TA, Levine JD, Julius D. The capsaicin receptor: a heat-activated ion channel in the pain pathway.</w:t>
      </w:r>
      <w:r>
        <w:t xml:space="preserve"> </w:t>
      </w:r>
      <w:r>
        <w:rPr>
          <w:iCs/>
          <w:i/>
        </w:rPr>
        <w:t xml:space="preserve">Nature</w:t>
      </w:r>
      <w:r>
        <w:t xml:space="preserve">. 1997;389(6653):816–824.</w:t>
      </w:r>
      <w:r>
        <w:t xml:space="preserve"> </w:t>
      </w:r>
      <w:hyperlink r:id="rId2930">
        <w:r>
          <w:rPr>
            <w:rStyle w:val="Hyperlink"/>
          </w:rPr>
          <w:t xml:space="preserve">https://doi.org/10.1038/39807</w:t>
        </w:r>
      </w:hyperlink>
      <w:r>
        <w:t xml:space="preserve">（研究类型：表达克隆及电生理）</w:t>
      </w:r>
    </w:p>
    <w:p>
      <w:pPr>
        <w:pStyle w:val="ReferenceEntry"/>
      </w:pPr>
      <w:bookmarkStart w:id="2931" w:name="ref-170"/>
      <w:r>
        <w:t xml:space="preserve">[170]</w:t>
      </w:r>
      <w:bookmarkEnd w:id="2931"/>
      <w:r>
        <w:t xml:space="preserve"> Peier AM, Moqrich A, Hergarden AC, Reeve AJ, Andersson DA, Story GM, et al. A TRP channel that senses cold stimuli and menthol.</w:t>
      </w:r>
      <w:r>
        <w:t xml:space="preserve"> </w:t>
      </w:r>
      <w:r>
        <w:rPr>
          <w:iCs/>
          <w:i/>
        </w:rPr>
        <w:t xml:space="preserve">Cell</w:t>
      </w:r>
      <w:r>
        <w:t xml:space="preserve">. 2002;108(5):705–715.</w:t>
      </w:r>
      <w:r>
        <w:t xml:space="preserve"> </w:t>
      </w:r>
      <w:hyperlink r:id="rId2932">
        <w:r>
          <w:rPr>
            <w:rStyle w:val="Hyperlink"/>
          </w:rPr>
          <w:t xml:space="preserve">https://doi.org/10.1016/S0092-8674(02)00652-9</w:t>
        </w:r>
      </w:hyperlink>
      <w:r>
        <w:t xml:space="preserve">（研究类型：分子克隆与功能表达）</w:t>
      </w:r>
    </w:p>
    <w:p>
      <w:pPr>
        <w:pStyle w:val="ReferenceEntry"/>
      </w:pPr>
      <w:bookmarkStart w:id="2933" w:name="ref-171"/>
      <w:r>
        <w:t xml:space="preserve">[171]</w:t>
      </w:r>
      <w:bookmarkEnd w:id="2933"/>
      <w:r>
        <w:t xml:space="preserve"> Purves D, Augustine GJ, Fitzpatrick D, et al., editors.</w:t>
      </w:r>
      <w:r>
        <w:t xml:space="preserve"> </w:t>
      </w:r>
      <w:r>
        <w:rPr>
          <w:iCs/>
          <w:i/>
        </w:rPr>
        <w:t xml:space="preserve">Neuroscience</w:t>
      </w:r>
      <w:r>
        <w:t xml:space="preserve">. 2nd ed. 2001. Chapter: The Transduction of Olfactory Signals.</w:t>
      </w:r>
      <w:r>
        <w:t xml:space="preserve"> </w:t>
      </w:r>
      <w:hyperlink r:id="rId2934">
        <w:r>
          <w:rPr>
            <w:rStyle w:val="Hyperlink"/>
          </w:rPr>
          <w:t xml:space="preserve">https://www.ncbi.nlm.nih.gov/books/NBK11039/</w:t>
        </w:r>
      </w:hyperlink>
      <w:r>
        <w:t xml:space="preserve">（研究类型：官方托管教材章节）</w:t>
      </w:r>
    </w:p>
    <w:p>
      <w:pPr>
        <w:pStyle w:val="ReferenceEntry"/>
      </w:pPr>
      <w:bookmarkStart w:id="2935" w:name="ref-172"/>
      <w:r>
        <w:t xml:space="preserve">[172]</w:t>
      </w:r>
      <w:bookmarkEnd w:id="2935"/>
      <w:r>
        <w:t xml:space="preserve"> Ma Z, Taruno A, Ohmoto M, Jyotaki M, Lim JC, Miyazaki H, et al. CALHM3 Is Essential for Rapid Ion Channel-Mediated Purinergic Neurotransmission of GPCR-Mediated Tastes.</w:t>
      </w:r>
      <w:r>
        <w:t xml:space="preserve"> </w:t>
      </w:r>
      <w:r>
        <w:rPr>
          <w:iCs/>
          <w:i/>
        </w:rPr>
        <w:t xml:space="preserve">Neuron</w:t>
      </w:r>
      <w:r>
        <w:t xml:space="preserve">. 2018;98(3):547–561.e10.</w:t>
      </w:r>
      <w:r>
        <w:t xml:space="preserve"> </w:t>
      </w:r>
      <w:hyperlink r:id="rId2936">
        <w:r>
          <w:rPr>
            <w:rStyle w:val="Hyperlink"/>
          </w:rPr>
          <w:t xml:space="preserve">https://doi.org/10.1016/j.neuron.2018.03.043</w:t>
        </w:r>
      </w:hyperlink>
      <w:r>
        <w:t xml:space="preserve">（研究类型：基因缺失、异源表达及电生理）</w:t>
      </w:r>
    </w:p>
    <w:p>
      <w:pPr>
        <w:pStyle w:val="ReferenceEntry"/>
      </w:pPr>
      <w:bookmarkStart w:id="2937" w:name="ref-173"/>
      <w:r>
        <w:t xml:space="preserve">[173]</w:t>
      </w:r>
      <w:bookmarkEnd w:id="2937"/>
      <w:r>
        <w:t xml:space="preserve"> Chandrashekar J, Hoon MA, Ryba NJP, Zuker CS. The receptors and cells for mammalian taste.</w:t>
      </w:r>
      <w:r>
        <w:t xml:space="preserve"> </w:t>
      </w:r>
      <w:r>
        <w:rPr>
          <w:iCs/>
          <w:i/>
        </w:rPr>
        <w:t xml:space="preserve">Nature</w:t>
      </w:r>
      <w:r>
        <w:t xml:space="preserve">. 2006;444(7117):288–294.</w:t>
      </w:r>
      <w:r>
        <w:t xml:space="preserve"> </w:t>
      </w:r>
      <w:hyperlink r:id="rId2938">
        <w:r>
          <w:rPr>
            <w:rStyle w:val="Hyperlink"/>
          </w:rPr>
          <w:t xml:space="preserve">https://doi.org/10.1038/nature05401</w:t>
        </w:r>
      </w:hyperlink>
      <w:r>
        <w:t xml:space="preserve">（研究类型：机制综述）</w:t>
      </w:r>
    </w:p>
    <w:p>
      <w:pPr>
        <w:pStyle w:val="ReferenceEntry"/>
      </w:pPr>
      <w:bookmarkStart w:id="2939" w:name="ref-174"/>
      <w:r>
        <w:t xml:space="preserve">[174]</w:t>
      </w:r>
      <w:bookmarkEnd w:id="2939"/>
      <w:r>
        <w:t xml:space="preserve"> Tu YH, Cooper AJ, Teng B, Chang RB, Artiga DJ, Turner HN, et al. An evolutionarily conserved gene family encodes proton-selective ion channels.</w:t>
      </w:r>
      <w:r>
        <w:t xml:space="preserve"> </w:t>
      </w:r>
      <w:r>
        <w:rPr>
          <w:iCs/>
          <w:i/>
        </w:rPr>
        <w:t xml:space="preserve">Science</w:t>
      </w:r>
      <w:r>
        <w:t xml:space="preserve">. 2018;359(6379):1047–1050.</w:t>
      </w:r>
      <w:r>
        <w:t xml:space="preserve"> </w:t>
      </w:r>
      <w:hyperlink r:id="rId2940">
        <w:r>
          <w:rPr>
            <w:rStyle w:val="Hyperlink"/>
          </w:rPr>
          <w:t xml:space="preserve">https://doi.org/10.1126/science.aao3264</w:t>
        </w:r>
      </w:hyperlink>
      <w:r>
        <w:t xml:space="preserve">（研究类型：比较转录组与通道电生理）</w:t>
      </w:r>
    </w:p>
    <w:p>
      <w:pPr>
        <w:pStyle w:val="ReferenceEntry"/>
      </w:pPr>
      <w:bookmarkStart w:id="2941" w:name="ref-175"/>
      <w:r>
        <w:t xml:space="preserve">[175]</w:t>
      </w:r>
      <w:bookmarkEnd w:id="2941"/>
      <w:r>
        <w:t xml:space="preserve"> Purves D, Augustine GJ, Fitzpatrick D, et al., editors.</w:t>
      </w:r>
      <w:r>
        <w:t xml:space="preserve"> </w:t>
      </w:r>
      <w:r>
        <w:rPr>
          <w:iCs/>
          <w:i/>
        </w:rPr>
        <w:t xml:space="preserve">Neuroscience</w:t>
      </w:r>
      <w:r>
        <w:t xml:space="preserve">. 2nd ed. 2001. Chapter: Taste Perception in Humans.</w:t>
      </w:r>
      <w:r>
        <w:t xml:space="preserve"> </w:t>
      </w:r>
      <w:hyperlink r:id="rId2942">
        <w:r>
          <w:rPr>
            <w:rStyle w:val="Hyperlink"/>
          </w:rPr>
          <w:t xml:space="preserve">https://www.ncbi.nlm.nih.gov/books/NBK10833/</w:t>
        </w:r>
      </w:hyperlink>
      <w:r>
        <w:t xml:space="preserve">（研究类型：官方托管教材章节）</w:t>
      </w:r>
    </w:p>
    <w:p>
      <w:pPr>
        <w:pStyle w:val="ReferenceEntry"/>
      </w:pPr>
      <w:bookmarkStart w:id="2943" w:name="ref-176"/>
      <w:r>
        <w:t xml:space="preserve">[176]</w:t>
      </w:r>
      <w:bookmarkEnd w:id="2943"/>
      <w:r>
        <w:t xml:space="preserve"> Todorov E, Jordan MI. Optimal feedback control as a theory of motor coordination.</w:t>
      </w:r>
      <w:r>
        <w:t xml:space="preserve"> </w:t>
      </w:r>
      <w:r>
        <w:rPr>
          <w:iCs/>
          <w:i/>
        </w:rPr>
        <w:t xml:space="preserve">Nature Neuroscience</w:t>
      </w:r>
      <w:r>
        <w:t xml:space="preserve">. 2002;5(11):1226–1235.</w:t>
      </w:r>
      <w:r>
        <w:t xml:space="preserve"> </w:t>
      </w:r>
      <w:hyperlink r:id="rId2944">
        <w:r>
          <w:rPr>
            <w:rStyle w:val="Hyperlink"/>
          </w:rPr>
          <w:t xml:space="preserve">https://doi.org/10.1038/nn963</w:t>
        </w:r>
      </w:hyperlink>
      <w:r>
        <w:t xml:space="preserve">（研究类型：理论与行为建模）</w:t>
      </w:r>
    </w:p>
    <w:p>
      <w:pPr>
        <w:pStyle w:val="ReferenceEntry"/>
      </w:pPr>
      <w:bookmarkStart w:id="2945" w:name="ref-177"/>
      <w:r>
        <w:t xml:space="preserve">[177]</w:t>
      </w:r>
      <w:bookmarkEnd w:id="2945"/>
      <w:r>
        <w:t xml:space="preserve"> Purves D, Augustine GJ, Fitzpatrick D, et al., editors.</w:t>
      </w:r>
      <w:r>
        <w:t xml:space="preserve"> </w:t>
      </w:r>
      <w:r>
        <w:rPr>
          <w:iCs/>
          <w:i/>
        </w:rPr>
        <w:t xml:space="preserve">Neuroscience</w:t>
      </w:r>
      <w:r>
        <w:t xml:space="preserve">. 2nd ed. 2001. Chapter: The Motor Unit.</w:t>
      </w:r>
      <w:r>
        <w:t xml:space="preserve"> </w:t>
      </w:r>
      <w:hyperlink r:id="rId2946">
        <w:r>
          <w:rPr>
            <w:rStyle w:val="Hyperlink"/>
          </w:rPr>
          <w:t xml:space="preserve">https://www.ncbi.nlm.nih.gov/books/NBK10874/</w:t>
        </w:r>
      </w:hyperlink>
      <w:r>
        <w:t xml:space="preserve">（研究类型：官方托管教材章节）</w:t>
      </w:r>
    </w:p>
    <w:p>
      <w:pPr>
        <w:pStyle w:val="ReferenceEntry"/>
      </w:pPr>
      <w:bookmarkStart w:id="2947" w:name="ref-178"/>
      <w:r>
        <w:t xml:space="preserve">[178]</w:t>
      </w:r>
      <w:bookmarkEnd w:id="2947"/>
      <w:r>
        <w:t xml:space="preserve"> Purves D, Augustine GJ, Fitzpatrick D, et al., editors.</w:t>
      </w:r>
      <w:r>
        <w:t xml:space="preserve"> </w:t>
      </w:r>
      <w:r>
        <w:rPr>
          <w:iCs/>
          <w:i/>
        </w:rPr>
        <w:t xml:space="preserve">Neuroscience</w:t>
      </w:r>
      <w:r>
        <w:t xml:space="preserve">. 2nd ed. 2001. Chapter: The Regulation of Muscle Force.</w:t>
      </w:r>
      <w:r>
        <w:t xml:space="preserve"> </w:t>
      </w:r>
      <w:hyperlink r:id="rId2948">
        <w:r>
          <w:rPr>
            <w:rStyle w:val="Hyperlink"/>
          </w:rPr>
          <w:t xml:space="preserve">https://www.ncbi.nlm.nih.gov/books/NBK11021/</w:t>
        </w:r>
      </w:hyperlink>
      <w:r>
        <w:t xml:space="preserve">（研究类型：官方托管教材章节）</w:t>
      </w:r>
    </w:p>
    <w:p>
      <w:pPr>
        <w:pStyle w:val="ReferenceEntry"/>
      </w:pPr>
      <w:bookmarkStart w:id="2949" w:name="ref-179"/>
      <w:r>
        <w:t xml:space="preserve">[179]</w:t>
      </w:r>
      <w:bookmarkEnd w:id="2949"/>
      <w:r>
        <w:t xml:space="preserve"> Henneman E, Somjen G, Carpenter DO. Functional significance of cell size in spinal motoneurons.</w:t>
      </w:r>
      <w:r>
        <w:t xml:space="preserve"> </w:t>
      </w:r>
      <w:r>
        <w:rPr>
          <w:iCs/>
          <w:i/>
        </w:rPr>
        <w:t xml:space="preserve">Journal of Neurophysiology</w:t>
      </w:r>
      <w:r>
        <w:t xml:space="preserve">. 1965;28(3):560–580.</w:t>
      </w:r>
      <w:r>
        <w:t xml:space="preserve"> </w:t>
      </w:r>
      <w:hyperlink r:id="rId2950">
        <w:r>
          <w:rPr>
            <w:rStyle w:val="Hyperlink"/>
          </w:rPr>
          <w:t xml:space="preserve">https://doi.org/10.1152/jn.1965.28.3.560</w:t>
        </w:r>
      </w:hyperlink>
      <w:r>
        <w:t xml:space="preserve">（研究类型：运动神经元电生理）</w:t>
      </w:r>
    </w:p>
    <w:p>
      <w:pPr>
        <w:pStyle w:val="ReferenceEntry"/>
      </w:pPr>
      <w:bookmarkStart w:id="2951" w:name="ref-180"/>
      <w:r>
        <w:t xml:space="preserve">[180]</w:t>
      </w:r>
      <w:bookmarkEnd w:id="2951"/>
      <w:r>
        <w:t xml:space="preserve"> Tuthill JC, Azim E. Proprioception.</w:t>
      </w:r>
      <w:r>
        <w:t xml:space="preserve"> </w:t>
      </w:r>
      <w:r>
        <w:rPr>
          <w:iCs/>
          <w:i/>
        </w:rPr>
        <w:t xml:space="preserve">Current Biology</w:t>
      </w:r>
      <w:r>
        <w:t xml:space="preserve">. 2018;28(5):R194–R203.</w:t>
      </w:r>
      <w:r>
        <w:t xml:space="preserve"> </w:t>
      </w:r>
      <w:hyperlink r:id="rId2952">
        <w:r>
          <w:rPr>
            <w:rStyle w:val="Hyperlink"/>
          </w:rPr>
          <w:t xml:space="preserve">https://doi.org/10.1016/j.cub.2018.01.064</w:t>
        </w:r>
      </w:hyperlink>
      <w:r>
        <w:t xml:space="preserve">（研究类型：机制综述）</w:t>
      </w:r>
    </w:p>
    <w:p>
      <w:pPr>
        <w:pStyle w:val="ReferenceEntry"/>
      </w:pPr>
      <w:bookmarkStart w:id="2953" w:name="ref-181"/>
      <w:r>
        <w:t xml:space="preserve">[181]</w:t>
      </w:r>
      <w:bookmarkEnd w:id="2953"/>
      <w:r>
        <w:t xml:space="preserve"> Capelli P, Pivetta C, Soledad Esposito M, Arber S. Locomotor speed control circuits in the caudal brainstem.</w:t>
      </w:r>
      <w:r>
        <w:t xml:space="preserve"> </w:t>
      </w:r>
      <w:r>
        <w:rPr>
          <w:iCs/>
          <w:i/>
        </w:rPr>
        <w:t xml:space="preserve">Nature</w:t>
      </w:r>
      <w:r>
        <w:t xml:space="preserve">. 2017;551(7680):373–377.</w:t>
      </w:r>
      <w:r>
        <w:t xml:space="preserve"> </w:t>
      </w:r>
      <w:hyperlink r:id="rId2954">
        <w:r>
          <w:rPr>
            <w:rStyle w:val="Hyperlink"/>
          </w:rPr>
          <w:t xml:space="preserve">https://doi.org/10.1038/nature24064</w:t>
        </w:r>
      </w:hyperlink>
      <w:r>
        <w:t xml:space="preserve">（研究类型：细胞亚群示踪及干预）</w:t>
      </w:r>
    </w:p>
    <w:p>
      <w:pPr>
        <w:pStyle w:val="ReferenceEntry"/>
      </w:pPr>
      <w:bookmarkStart w:id="2955" w:name="ref-182"/>
      <w:r>
        <w:t xml:space="preserve">[182]</w:t>
      </w:r>
      <w:bookmarkEnd w:id="2955"/>
      <w:r>
        <w:t xml:space="preserve"> Caggiano V, Leiras R, Goñi-Erro H, Masini D, Bellardita C, Bouvier J, et al. Midbrain circuits that set locomotor speed and gait selection.</w:t>
      </w:r>
      <w:r>
        <w:t xml:space="preserve"> </w:t>
      </w:r>
      <w:r>
        <w:rPr>
          <w:iCs/>
          <w:i/>
        </w:rPr>
        <w:t xml:space="preserve">Nature</w:t>
      </w:r>
      <w:r>
        <w:t xml:space="preserve">. 2018;553(7689):455–460.</w:t>
      </w:r>
      <w:r>
        <w:t xml:space="preserve"> </w:t>
      </w:r>
      <w:hyperlink r:id="rId2956">
        <w:r>
          <w:rPr>
            <w:rStyle w:val="Hyperlink"/>
          </w:rPr>
          <w:t xml:space="preserve">https://doi.org/10.1038/nature25448</w:t>
        </w:r>
      </w:hyperlink>
      <w:r>
        <w:t xml:space="preserve">（研究类型：记录、回路示踪及干预）</w:t>
      </w:r>
    </w:p>
    <w:p>
      <w:pPr>
        <w:pStyle w:val="ReferenceEntry"/>
      </w:pPr>
      <w:bookmarkStart w:id="2957" w:name="ref-183"/>
      <w:r>
        <w:t xml:space="preserve">[183]</w:t>
      </w:r>
      <w:bookmarkEnd w:id="2957"/>
      <w:r>
        <w:t xml:space="preserve"> Kravitz AV, Freeze BS, Parker PRL, Kay K, Thwin MT, Deisseroth K, et al. Regulation of parkinsonian motor behaviours by optogenetic control of basal ganglia circuitry.</w:t>
      </w:r>
      <w:r>
        <w:t xml:space="preserve"> </w:t>
      </w:r>
      <w:r>
        <w:rPr>
          <w:iCs/>
          <w:i/>
        </w:rPr>
        <w:t xml:space="preserve">Nature</w:t>
      </w:r>
      <w:r>
        <w:t xml:space="preserve">. 2010;466(7306):622–626.</w:t>
      </w:r>
      <w:r>
        <w:t xml:space="preserve"> </w:t>
      </w:r>
      <w:hyperlink r:id="rId2958">
        <w:r>
          <w:rPr>
            <w:rStyle w:val="Hyperlink"/>
          </w:rPr>
          <w:t xml:space="preserve">https://doi.org/10.1038/nature09159</w:t>
        </w:r>
      </w:hyperlink>
      <w:r>
        <w:t xml:space="preserve">（研究类型：细胞类特异光遗传干预）</w:t>
      </w:r>
    </w:p>
    <w:p>
      <w:pPr>
        <w:pStyle w:val="ReferenceEntry"/>
      </w:pPr>
      <w:bookmarkStart w:id="2959" w:name="ref-184"/>
      <w:r>
        <w:t xml:space="preserve">[184]</w:t>
      </w:r>
      <w:bookmarkEnd w:id="2959"/>
      <w:r>
        <w:t xml:space="preserve"> Cui G, Jun SB, Jin X, Pham MD, Vogel SS, Lovinger DM, et al. Concurrent activation of striatal direct and indirect pathways during action initiation.</w:t>
      </w:r>
      <w:r>
        <w:t xml:space="preserve"> </w:t>
      </w:r>
      <w:r>
        <w:rPr>
          <w:iCs/>
          <w:i/>
        </w:rPr>
        <w:t xml:space="preserve">Nature</w:t>
      </w:r>
      <w:r>
        <w:t xml:space="preserve">. 2013;494(7436):238–242.</w:t>
      </w:r>
      <w:r>
        <w:t xml:space="preserve"> </w:t>
      </w:r>
      <w:hyperlink r:id="rId2960">
        <w:r>
          <w:rPr>
            <w:rStyle w:val="Hyperlink"/>
          </w:rPr>
          <w:t xml:space="preserve">https://doi.org/10.1038/nature11846</w:t>
        </w:r>
      </w:hyperlink>
      <w:r>
        <w:t xml:space="preserve">（研究类型：细胞类特异钙记录）</w:t>
      </w:r>
    </w:p>
    <w:p>
      <w:pPr>
        <w:pStyle w:val="ReferenceEntry"/>
      </w:pPr>
      <w:bookmarkStart w:id="2961" w:name="ref-185"/>
      <w:r>
        <w:t xml:space="preserve">[185]</w:t>
      </w:r>
      <w:bookmarkEnd w:id="2961"/>
      <w:r>
        <w:t xml:space="preserve"> Purves D, Augustine GJ, Fitzpatrick D, et al., editors.</w:t>
      </w:r>
      <w:r>
        <w:t xml:space="preserve"> </w:t>
      </w:r>
      <w:r>
        <w:rPr>
          <w:iCs/>
          <w:i/>
        </w:rPr>
        <w:t xml:space="preserve">Neuroscience</w:t>
      </w:r>
      <w:r>
        <w:t xml:space="preserve">. 2nd ed. 2001. Chapter: Projections to the Cerebellum.</w:t>
      </w:r>
      <w:r>
        <w:t xml:space="preserve"> </w:t>
      </w:r>
      <w:hyperlink r:id="rId2962">
        <w:r>
          <w:rPr>
            <w:rStyle w:val="Hyperlink"/>
          </w:rPr>
          <w:t xml:space="preserve">https://www.ncbi.nlm.nih.gov/books/NBK11038/</w:t>
        </w:r>
      </w:hyperlink>
      <w:r>
        <w:t xml:space="preserve">（研究类型：官方托管教材章节）</w:t>
      </w:r>
    </w:p>
    <w:p>
      <w:pPr>
        <w:pStyle w:val="ReferenceEntry"/>
      </w:pPr>
      <w:bookmarkStart w:id="2963" w:name="ref-186"/>
      <w:r>
        <w:t xml:space="preserve">[186]</w:t>
      </w:r>
      <w:bookmarkEnd w:id="2963"/>
      <w:r>
        <w:t xml:space="preserve"> Purves D, Augustine GJ, Fitzpatrick D, et al., editors.</w:t>
      </w:r>
      <w:r>
        <w:t xml:space="preserve"> </w:t>
      </w:r>
      <w:r>
        <w:rPr>
          <w:iCs/>
          <w:i/>
        </w:rPr>
        <w:t xml:space="preserve">Neuroscience</w:t>
      </w:r>
      <w:r>
        <w:t xml:space="preserve">. 2nd ed. 2001. Chapter: Circuits within the Cerebellum.</w:t>
      </w:r>
      <w:r>
        <w:t xml:space="preserve"> </w:t>
      </w:r>
      <w:hyperlink r:id="rId2964">
        <w:r>
          <w:rPr>
            <w:rStyle w:val="Hyperlink"/>
          </w:rPr>
          <w:t xml:space="preserve">https://www.ncbi.nlm.nih.gov/books/NBK10865/</w:t>
        </w:r>
      </w:hyperlink>
      <w:r>
        <w:t xml:space="preserve">（研究类型：官方托管教材章节）</w:t>
      </w:r>
    </w:p>
    <w:p>
      <w:pPr>
        <w:pStyle w:val="ReferenceEntry"/>
      </w:pPr>
      <w:bookmarkStart w:id="2965" w:name="ref-187"/>
      <w:r>
        <w:t xml:space="preserve">[187]</w:t>
      </w:r>
      <w:bookmarkEnd w:id="2965"/>
      <w:r>
        <w:t xml:space="preserve"> Purves D, Augustine GJ, Fitzpatrick D, et al., editors.</w:t>
      </w:r>
      <w:r>
        <w:t xml:space="preserve"> </w:t>
      </w:r>
      <w:r>
        <w:rPr>
          <w:iCs/>
          <w:i/>
        </w:rPr>
        <w:t xml:space="preserve">Neuroscience</w:t>
      </w:r>
      <w:r>
        <w:t xml:space="preserve">. 2nd ed. 2001. Chapter: Projections from the Cerebellum.</w:t>
      </w:r>
      <w:r>
        <w:t xml:space="preserve"> </w:t>
      </w:r>
      <w:hyperlink r:id="rId2966">
        <w:r>
          <w:rPr>
            <w:rStyle w:val="Hyperlink"/>
          </w:rPr>
          <w:t xml:space="preserve">https://www.ncbi.nlm.nih.gov/books/NBK11100/</w:t>
        </w:r>
      </w:hyperlink>
      <w:r>
        <w:t xml:space="preserve">（研究类型：官方托管教材章节）</w:t>
      </w:r>
    </w:p>
    <w:p>
      <w:pPr>
        <w:pStyle w:val="ReferenceEntry"/>
      </w:pPr>
      <w:bookmarkStart w:id="2967" w:name="ref-188"/>
      <w:r>
        <w:t xml:space="preserve">[188]</w:t>
      </w:r>
      <w:bookmarkEnd w:id="2967"/>
      <w:r>
        <w:t xml:space="preserve"> Raymond JL, Medina JF. Computational Principles of Supervised Learning in the Cerebellum.</w:t>
      </w:r>
      <w:r>
        <w:t xml:space="preserve"> </w:t>
      </w:r>
      <w:r>
        <w:rPr>
          <w:iCs/>
          <w:i/>
        </w:rPr>
        <w:t xml:space="preserve">Annual Review of Neuroscience</w:t>
      </w:r>
      <w:r>
        <w:t xml:space="preserve">. 2018;41(1):233–253.</w:t>
      </w:r>
      <w:r>
        <w:t xml:space="preserve"> </w:t>
      </w:r>
      <w:hyperlink r:id="rId2968">
        <w:r>
          <w:rPr>
            <w:rStyle w:val="Hyperlink"/>
          </w:rPr>
          <w:t xml:space="preserve">https://doi.org/10.1146/annurev-neuro-080317-061948</w:t>
        </w:r>
      </w:hyperlink>
      <w:r>
        <w:t xml:space="preserve">（研究类型：机制与计算综述）</w:t>
      </w:r>
    </w:p>
    <w:p>
      <w:pPr>
        <w:pStyle w:val="ReferenceEntry"/>
      </w:pPr>
      <w:bookmarkStart w:id="2969" w:name="ref-189"/>
      <w:r>
        <w:t xml:space="preserve">[189]</w:t>
      </w:r>
      <w:bookmarkEnd w:id="2969"/>
      <w:r>
        <w:t xml:space="preserve"> Azim E, Jiang J, Alstermark B, Jessell TM. Skilled reaching relies on a V2a propriospinal internal copy circuit.</w:t>
      </w:r>
      <w:r>
        <w:t xml:space="preserve"> </w:t>
      </w:r>
      <w:r>
        <w:rPr>
          <w:iCs/>
          <w:i/>
        </w:rPr>
        <w:t xml:space="preserve">Nature</w:t>
      </w:r>
      <w:r>
        <w:t xml:space="preserve">. 2014;508(7496):357–363.</w:t>
      </w:r>
      <w:r>
        <w:t xml:space="preserve"> </w:t>
      </w:r>
      <w:hyperlink r:id="rId2970">
        <w:r>
          <w:rPr>
            <w:rStyle w:val="Hyperlink"/>
          </w:rPr>
          <w:t xml:space="preserve">https://doi.org/10.1038/nature13021</w:t>
        </w:r>
      </w:hyperlink>
      <w:r>
        <w:t xml:space="preserve">（研究类型：遗传消融和光遗传回路实验）</w:t>
      </w:r>
    </w:p>
    <w:p>
      <w:pPr>
        <w:pStyle w:val="ReferenceEntry"/>
      </w:pPr>
      <w:bookmarkStart w:id="2971" w:name="ref-190"/>
      <w:r>
        <w:t xml:space="preserve">[190]</w:t>
      </w:r>
      <w:bookmarkEnd w:id="2971"/>
      <w:r>
        <w:t xml:space="preserve"> Jessell TM. Neuronal specification in the spinal cord: inductive signals and transcriptional codes.</w:t>
      </w:r>
      <w:r>
        <w:t xml:space="preserve"> </w:t>
      </w:r>
      <w:r>
        <w:rPr>
          <w:iCs/>
          <w:i/>
        </w:rPr>
        <w:t xml:space="preserve">Nature Reviews Genetics</w:t>
      </w:r>
      <w:r>
        <w:t xml:space="preserve">. 2000;1(1):20–29.</w:t>
      </w:r>
      <w:r>
        <w:t xml:space="preserve"> </w:t>
      </w:r>
      <w:hyperlink r:id="rId2972">
        <w:r>
          <w:rPr>
            <w:rStyle w:val="Hyperlink"/>
          </w:rPr>
          <w:t xml:space="preserve">https://doi.org/10.1038/35049541</w:t>
        </w:r>
      </w:hyperlink>
      <w:r>
        <w:t xml:space="preserve">（研究类型：发育机制综述）</w:t>
      </w:r>
    </w:p>
    <w:p>
      <w:pPr>
        <w:pStyle w:val="ReferenceEntry"/>
      </w:pPr>
      <w:bookmarkStart w:id="2973" w:name="ref-191"/>
      <w:r>
        <w:t xml:space="preserve">[191]</w:t>
      </w:r>
      <w:bookmarkEnd w:id="2973"/>
      <w:r>
        <w:t xml:space="preserve"> Götz M, Huttner WB. The cell biology of neurogenesis.</w:t>
      </w:r>
      <w:r>
        <w:t xml:space="preserve"> </w:t>
      </w:r>
      <w:r>
        <w:rPr>
          <w:iCs/>
          <w:i/>
        </w:rPr>
        <w:t xml:space="preserve">Nature Reviews Molecular Cell Biology</w:t>
      </w:r>
      <w:r>
        <w:t xml:space="preserve">. 2005;6(10):777–788.</w:t>
      </w:r>
      <w:r>
        <w:t xml:space="preserve"> </w:t>
      </w:r>
      <w:hyperlink r:id="rId2974">
        <w:r>
          <w:rPr>
            <w:rStyle w:val="Hyperlink"/>
          </w:rPr>
          <w:t xml:space="preserve">https://doi.org/10.1038/nrm1739</w:t>
        </w:r>
      </w:hyperlink>
      <w:r>
        <w:t xml:space="preserve">（研究类型：机制综述）</w:t>
      </w:r>
    </w:p>
    <w:p>
      <w:pPr>
        <w:pStyle w:val="ReferenceEntry"/>
      </w:pPr>
      <w:bookmarkStart w:id="2975" w:name="ref-192"/>
      <w:r>
        <w:t xml:space="preserve">[192]</w:t>
      </w:r>
      <w:bookmarkEnd w:id="2975"/>
      <w:r>
        <w:t xml:space="preserve"> Noctor SC, Flint AC, Weissman TA, Dammerman RS, Kriegstein AR. Neurons derived from radial glial cells establish radial units in neocortex.</w:t>
      </w:r>
      <w:r>
        <w:t xml:space="preserve"> </w:t>
      </w:r>
      <w:r>
        <w:rPr>
          <w:iCs/>
          <w:i/>
        </w:rPr>
        <w:t xml:space="preserve">Nature</w:t>
      </w:r>
      <w:r>
        <w:t xml:space="preserve">. 2001;409(6821):714–720.</w:t>
      </w:r>
      <w:r>
        <w:t xml:space="preserve"> </w:t>
      </w:r>
      <w:hyperlink r:id="rId2976">
        <w:r>
          <w:rPr>
            <w:rStyle w:val="Hyperlink"/>
          </w:rPr>
          <w:t xml:space="preserve">https://doi.org/10.1038/35055553</w:t>
        </w:r>
      </w:hyperlink>
      <w:r>
        <w:t xml:space="preserve">（研究类型：谱系标记、活细胞观察与形态电生理）</w:t>
      </w:r>
    </w:p>
    <w:p>
      <w:pPr>
        <w:pStyle w:val="ReferenceEntry"/>
      </w:pPr>
      <w:bookmarkStart w:id="2977" w:name="ref-193"/>
      <w:r>
        <w:t xml:space="preserve">[193]</w:t>
      </w:r>
      <w:bookmarkEnd w:id="2977"/>
      <w:r>
        <w:t xml:space="preserve"> D'Arcangelo G, Miao GG, Chen SC, Soares HD, Morgan JI, Curran T. A protein related to extracellular matrix proteins deleted in the mouse mutant reeler.</w:t>
      </w:r>
      <w:r>
        <w:t xml:space="preserve"> </w:t>
      </w:r>
      <w:r>
        <w:rPr>
          <w:iCs/>
          <w:i/>
        </w:rPr>
        <w:t xml:space="preserve">Nature</w:t>
      </w:r>
      <w:r>
        <w:t xml:space="preserve">. 1995;374(6524):719–723.</w:t>
      </w:r>
      <w:r>
        <w:t xml:space="preserve"> </w:t>
      </w:r>
      <w:hyperlink r:id="rId2978">
        <w:r>
          <w:rPr>
            <w:rStyle w:val="Hyperlink"/>
          </w:rPr>
          <w:t xml:space="preserve">https://doi.org/10.1038/374719a0</w:t>
        </w:r>
      </w:hyperlink>
      <w:r>
        <w:t xml:space="preserve">（研究类型：突变体与分子鉴定）</w:t>
      </w:r>
    </w:p>
    <w:p>
      <w:pPr>
        <w:pStyle w:val="ReferenceEntry"/>
      </w:pPr>
      <w:bookmarkStart w:id="2979" w:name="ref-194"/>
      <w:r>
        <w:t xml:space="preserve">[194]</w:t>
      </w:r>
      <w:bookmarkEnd w:id="2979"/>
      <w:r>
        <w:t xml:space="preserve"> Anderson SA, Eisenstat DD, Shi L, Rubenstein JLR. Interneuron migration from basal forebrain to neocortex: dependence on Dlx genes.</w:t>
      </w:r>
      <w:r>
        <w:t xml:space="preserve"> </w:t>
      </w:r>
      <w:r>
        <w:rPr>
          <w:iCs/>
          <w:i/>
        </w:rPr>
        <w:t xml:space="preserve">Science</w:t>
      </w:r>
      <w:r>
        <w:t xml:space="preserve">. 1997;278(5337):474–476.</w:t>
      </w:r>
      <w:r>
        <w:t xml:space="preserve"> </w:t>
      </w:r>
      <w:hyperlink r:id="rId2980">
        <w:r>
          <w:rPr>
            <w:rStyle w:val="Hyperlink"/>
          </w:rPr>
          <w:t xml:space="preserve">https://doi.org/10.1126/science.278.5337.474</w:t>
        </w:r>
      </w:hyperlink>
      <w:r>
        <w:t xml:space="preserve">（研究类型：发育切片与基因缺失）</w:t>
      </w:r>
    </w:p>
    <w:p>
      <w:pPr>
        <w:pStyle w:val="ReferenceEntry"/>
      </w:pPr>
      <w:bookmarkStart w:id="2981" w:name="ref-195"/>
      <w:r>
        <w:t xml:space="preserve">[195]</w:t>
      </w:r>
      <w:bookmarkEnd w:id="2981"/>
      <w:r>
        <w:t xml:space="preserve"> Tessier-Lavigne M, Goodman CS. The molecular biology of axon guidance.</w:t>
      </w:r>
      <w:r>
        <w:t xml:space="preserve"> </w:t>
      </w:r>
      <w:r>
        <w:rPr>
          <w:iCs/>
          <w:i/>
        </w:rPr>
        <w:t xml:space="preserve">Science</w:t>
      </w:r>
      <w:r>
        <w:t xml:space="preserve">. 1996;274(5290):1123–1133.</w:t>
      </w:r>
      <w:r>
        <w:t xml:space="preserve"> </w:t>
      </w:r>
      <w:hyperlink r:id="rId2982">
        <w:r>
          <w:rPr>
            <w:rStyle w:val="Hyperlink"/>
          </w:rPr>
          <w:t xml:space="preserve">https://doi.org/10.1126/science.274.5290.1123</w:t>
        </w:r>
      </w:hyperlink>
      <w:r>
        <w:t xml:space="preserve">（研究类型：发育机制综述）</w:t>
      </w:r>
    </w:p>
    <w:p>
      <w:pPr>
        <w:pStyle w:val="ReferenceEntry"/>
      </w:pPr>
      <w:bookmarkStart w:id="2983" w:name="ref-196"/>
      <w:r>
        <w:t xml:space="preserve">[196]</w:t>
      </w:r>
      <w:bookmarkEnd w:id="2983"/>
      <w:r>
        <w:t xml:space="preserve"> Serafini T, Kennedy TE, Gaiko MJ, Mirzayan C, Jessell TM, Tessier-Lavigne M. The netrins define a family of axon outgrowth-promoting proteins homologous to C. elegans UNC-6.</w:t>
      </w:r>
      <w:r>
        <w:t xml:space="preserve"> </w:t>
      </w:r>
      <w:r>
        <w:rPr>
          <w:iCs/>
          <w:i/>
        </w:rPr>
        <w:t xml:space="preserve">Cell</w:t>
      </w:r>
      <w:r>
        <w:t xml:space="preserve">. 1994;78(3):409–424.</w:t>
      </w:r>
      <w:r>
        <w:t xml:space="preserve"> </w:t>
      </w:r>
      <w:hyperlink r:id="rId2984">
        <w:r>
          <w:rPr>
            <w:rStyle w:val="Hyperlink"/>
          </w:rPr>
          <w:t xml:space="preserve">https://doi.org/10.1016/0092-8674(94)90420-0</w:t>
        </w:r>
      </w:hyperlink>
      <w:r>
        <w:t xml:space="preserve">（研究类型：蛋白纯化、克隆及轴突培养实验）</w:t>
      </w:r>
    </w:p>
    <w:p>
      <w:pPr>
        <w:pStyle w:val="ReferenceEntry"/>
      </w:pPr>
      <w:bookmarkStart w:id="2985" w:name="ref-197"/>
      <w:r>
        <w:t xml:space="preserve">[197]</w:t>
      </w:r>
      <w:bookmarkEnd w:id="2985"/>
      <w:r>
        <w:t xml:space="preserve"> Meister M, Wong ROL, Baylor DA, Shatz CJ. Synchronous bursts of action potentials in ganglion cells of the developing mammalian retina.</w:t>
      </w:r>
      <w:r>
        <w:t xml:space="preserve"> </w:t>
      </w:r>
      <w:r>
        <w:rPr>
          <w:iCs/>
          <w:i/>
        </w:rPr>
        <w:t xml:space="preserve">Science</w:t>
      </w:r>
      <w:r>
        <w:t xml:space="preserve">. 1991;252(5008):939–943.</w:t>
      </w:r>
      <w:r>
        <w:t xml:space="preserve"> </w:t>
      </w:r>
      <w:hyperlink r:id="rId2986">
        <w:r>
          <w:rPr>
            <w:rStyle w:val="Hyperlink"/>
          </w:rPr>
          <w:t xml:space="preserve">https://doi.org/10.1126/science.2035024</w:t>
        </w:r>
      </w:hyperlink>
      <w:r>
        <w:t xml:space="preserve">（研究类型：多细胞电生理）</w:t>
      </w:r>
    </w:p>
    <w:p>
      <w:pPr>
        <w:pStyle w:val="ReferenceEntry"/>
      </w:pPr>
      <w:bookmarkStart w:id="2987" w:name="ref-198"/>
      <w:r>
        <w:t xml:space="preserve">[198]</w:t>
      </w:r>
      <w:bookmarkEnd w:id="2987"/>
      <w:r>
        <w:t xml:space="preserve"> White FA, Keller-Peck CR, Knudson CM, Korsmeyer SJ, Snider WD. Widespread elimination of naturally occurring neuronal death in Bax-deficient mice.</w:t>
      </w:r>
      <w:r>
        <w:t xml:space="preserve"> </w:t>
      </w:r>
      <w:r>
        <w:rPr>
          <w:iCs/>
          <w:i/>
        </w:rPr>
        <w:t xml:space="preserve">The Journal of Neuroscience</w:t>
      </w:r>
      <w:r>
        <w:t xml:space="preserve">. 1998;18(4):1428–1439.</w:t>
      </w:r>
      <w:r>
        <w:t xml:space="preserve"> </w:t>
      </w:r>
      <w:hyperlink r:id="rId2988">
        <w:r>
          <w:rPr>
            <w:rStyle w:val="Hyperlink"/>
          </w:rPr>
          <w:t xml:space="preserve">https://doi.org/10.1523/JNEUROSCI.18-04-01428.1998</w:t>
        </w:r>
      </w:hyperlink>
      <w:r>
        <w:t xml:space="preserve">（研究类型：遗传缺失及组织细胞死亡测量）</w:t>
      </w:r>
    </w:p>
    <w:p>
      <w:pPr>
        <w:pStyle w:val="ReferenceEntry"/>
      </w:pPr>
      <w:bookmarkStart w:id="2989" w:name="ref-199"/>
      <w:r>
        <w:t xml:space="preserve">[199]</w:t>
      </w:r>
      <w:bookmarkEnd w:id="2989"/>
      <w:r>
        <w:t xml:space="preserve"> Hensch TK. Critical period plasticity in local cortical circuits.</w:t>
      </w:r>
      <w:r>
        <w:t xml:space="preserve"> </w:t>
      </w:r>
      <w:r>
        <w:rPr>
          <w:iCs/>
          <w:i/>
        </w:rPr>
        <w:t xml:space="preserve">Nature Reviews Neuroscience</w:t>
      </w:r>
      <w:r>
        <w:t xml:space="preserve">. 2005;6(11):877–888.</w:t>
      </w:r>
      <w:r>
        <w:t xml:space="preserve"> </w:t>
      </w:r>
      <w:hyperlink r:id="rId2990">
        <w:r>
          <w:rPr>
            <w:rStyle w:val="Hyperlink"/>
          </w:rPr>
          <w:t xml:space="preserve">https://doi.org/10.1038/nrn1787</w:t>
        </w:r>
      </w:hyperlink>
      <w:r>
        <w:t xml:space="preserve">（研究类型：机制综述）</w:t>
      </w:r>
    </w:p>
    <w:p>
      <w:pPr>
        <w:pStyle w:val="ReferenceEntry"/>
      </w:pPr>
      <w:bookmarkStart w:id="2991" w:name="ref-200"/>
      <w:r>
        <w:t xml:space="preserve">[200]</w:t>
      </w:r>
      <w:bookmarkEnd w:id="2991"/>
      <w:r>
        <w:t xml:space="preserve"> Gouwens NW, Sorensen SA, Baftizadeh F, Budzillo A, Lee BR, Jarsky T, et al. Integrated Morphoelectric and Transcriptomic Classification of Cortical GABAergic Cells.</w:t>
      </w:r>
      <w:r>
        <w:t xml:space="preserve"> </w:t>
      </w:r>
      <w:r>
        <w:rPr>
          <w:iCs/>
          <w:i/>
        </w:rPr>
        <w:t xml:space="preserve">Cell</w:t>
      </w:r>
      <w:r>
        <w:t xml:space="preserve">. 2020;183(4):935–953.e19.</w:t>
      </w:r>
      <w:r>
        <w:t xml:space="preserve"> </w:t>
      </w:r>
      <w:hyperlink r:id="rId2992">
        <w:r>
          <w:rPr>
            <w:rStyle w:val="Hyperlink"/>
          </w:rPr>
          <w:t xml:space="preserve">https://doi.org/10.1016/j.cell.2020.09.057</w:t>
        </w:r>
      </w:hyperlink>
      <w:r>
        <w:t xml:space="preserve">（研究类型：小鼠皮层Patch seq多模态细胞分类研究）</w:t>
      </w:r>
    </w:p>
    <w:p>
      <w:pPr>
        <w:pStyle w:val="ReferenceEntry"/>
      </w:pPr>
      <w:bookmarkStart w:id="2993" w:name="ref-201"/>
      <w:r>
        <w:t xml:space="preserve">[201]</w:t>
      </w:r>
      <w:bookmarkEnd w:id="2993"/>
      <w:r>
        <w:t xml:space="preserve"> Bakken TE, Hodge RD, Miller JA, Yao Z, Nguyen TN, Aevermann B, et al. Single-nucleus and single-cell transcriptomes compared in matched cortical cell types.</w:t>
      </w:r>
      <w:r>
        <w:t xml:space="preserve"> </w:t>
      </w:r>
      <w:r>
        <w:rPr>
          <w:iCs/>
          <w:i/>
        </w:rPr>
        <w:t xml:space="preserve">PLOS ONE</w:t>
      </w:r>
      <w:r>
        <w:t xml:space="preserve">. 2018;13(12):e0209648.</w:t>
      </w:r>
      <w:r>
        <w:t xml:space="preserve"> </w:t>
      </w:r>
      <w:hyperlink r:id="rId2994">
        <w:r>
          <w:rPr>
            <w:rStyle w:val="Hyperlink"/>
          </w:rPr>
          <w:t xml:space="preserve">https://doi.org/10.1371/journal.pone.0209648</w:t>
        </w:r>
      </w:hyperlink>
      <w:r>
        <w:t xml:space="preserve">（研究类型：匹配细胞类型的单核与单细胞转录组方法比较）</w:t>
      </w:r>
    </w:p>
    <w:p>
      <w:pPr>
        <w:pStyle w:val="ReferenceEntry"/>
      </w:pPr>
      <w:bookmarkStart w:id="2995" w:name="ref-202"/>
      <w:r>
        <w:t xml:space="preserve">[202]</w:t>
      </w:r>
      <w:bookmarkEnd w:id="2995"/>
      <w:r>
        <w:t xml:space="preserve"> van den Brink SC, Sage F, Vértesy Á, Spanjaard B, Peterson-Maduro J, Baron CS, et al. Single-cell sequencing reveals dissociation-induced gene expression in tissue subpopulations.</w:t>
      </w:r>
      <w:r>
        <w:t xml:space="preserve"> </w:t>
      </w:r>
      <w:r>
        <w:rPr>
          <w:iCs/>
          <w:i/>
        </w:rPr>
        <w:t xml:space="preserve">Nature Methods</w:t>
      </w:r>
      <w:r>
        <w:t xml:space="preserve">. 2017;14(10):935–936.</w:t>
      </w:r>
      <w:r>
        <w:t xml:space="preserve"> </w:t>
      </w:r>
      <w:hyperlink r:id="rId2996">
        <w:r>
          <w:rPr>
            <w:rStyle w:val="Hyperlink"/>
          </w:rPr>
          <w:t xml:space="preserve">https://doi.org/10.1038/nmeth.4437</w:t>
        </w:r>
      </w:hyperlink>
      <w:r>
        <w:t xml:space="preserve">（研究类型：组织解离影响的单细胞实验方法研究）</w:t>
      </w:r>
    </w:p>
    <w:p>
      <w:pPr>
        <w:pStyle w:val="ReferenceEntry"/>
      </w:pPr>
      <w:bookmarkStart w:id="2997" w:name="ref-203"/>
      <w:r>
        <w:t xml:space="preserve">[203]</w:t>
      </w:r>
      <w:bookmarkEnd w:id="2997"/>
      <w:r>
        <w:t xml:space="preserve"> Yao Z, van Velthoven CTJ, Kunst M, Zhang M, McMillen D, Lee C, et al. A high-resolution transcriptomic and spatial atlas of cell types in the whole mouse brain.</w:t>
      </w:r>
      <w:r>
        <w:t xml:space="preserve"> </w:t>
      </w:r>
      <w:r>
        <w:rPr>
          <w:iCs/>
          <w:i/>
        </w:rPr>
        <w:t xml:space="preserve">Nature</w:t>
      </w:r>
      <w:r>
        <w:t xml:space="preserve">. 2023;624(7991):317–332.</w:t>
      </w:r>
      <w:r>
        <w:t xml:space="preserve"> </w:t>
      </w:r>
      <w:hyperlink r:id="rId2998">
        <w:r>
          <w:rPr>
            <w:rStyle w:val="Hyperlink"/>
          </w:rPr>
          <w:t xml:space="preserve">https://doi.org/10.1038/s41586-023-06812-z</w:t>
        </w:r>
      </w:hyperlink>
      <w:r>
        <w:t xml:space="preserve">（研究类型：成年小鼠全脑单细胞转录与空间图谱）</w:t>
      </w:r>
    </w:p>
    <w:p>
      <w:pPr>
        <w:pStyle w:val="ReferenceEntry"/>
      </w:pPr>
      <w:bookmarkStart w:id="2999" w:name="ref-204"/>
      <w:r>
        <w:t xml:space="preserve">[204]</w:t>
      </w:r>
      <w:bookmarkEnd w:id="2999"/>
      <w:r>
        <w:t xml:space="preserve"> Chen KH, Boettiger AN, Moffitt JR, Wang S, Zhuang X. Spatially resolved, highly multiplexed RNA profiling in single cells.</w:t>
      </w:r>
      <w:r>
        <w:t xml:space="preserve"> </w:t>
      </w:r>
      <w:r>
        <w:rPr>
          <w:iCs/>
          <w:i/>
        </w:rPr>
        <w:t xml:space="preserve">Science</w:t>
      </w:r>
      <w:r>
        <w:t xml:space="preserve">. 2015;348(6233):aaa6090.</w:t>
      </w:r>
      <w:r>
        <w:t xml:space="preserve"> </w:t>
      </w:r>
      <w:hyperlink r:id="rId3000">
        <w:r>
          <w:rPr>
            <w:rStyle w:val="Hyperlink"/>
          </w:rPr>
          <w:t xml:space="preserve">https://doi.org/10.1126/science.aaa6090</w:t>
        </w:r>
      </w:hyperlink>
      <w:r>
        <w:t xml:space="preserve">（研究类型：多重原位RNA成像方法开发与验证）</w:t>
      </w:r>
    </w:p>
    <w:p>
      <w:pPr>
        <w:pStyle w:val="ReferenceEntry"/>
      </w:pPr>
      <w:bookmarkStart w:id="3001" w:name="ref-205"/>
      <w:r>
        <w:t xml:space="preserve">[205]</w:t>
      </w:r>
      <w:bookmarkEnd w:id="3001"/>
      <w:r>
        <w:t xml:space="preserve"> Wang X, Allen WE, Wright MA, Sylwestrak EL, Samusik N, Vesuna S, et al. Three-dimensional intact-tissue sequencing of single-cell transcriptional states.</w:t>
      </w:r>
      <w:r>
        <w:t xml:space="preserve"> </w:t>
      </w:r>
      <w:r>
        <w:rPr>
          <w:iCs/>
          <w:i/>
        </w:rPr>
        <w:t xml:space="preserve">Science</w:t>
      </w:r>
      <w:r>
        <w:t xml:space="preserve">. 2018;361(6400):eaat5691.</w:t>
      </w:r>
      <w:r>
        <w:t xml:space="preserve"> </w:t>
      </w:r>
      <w:hyperlink r:id="rId3002">
        <w:r>
          <w:rPr>
            <w:rStyle w:val="Hyperlink"/>
          </w:rPr>
          <w:t xml:space="preserve">https://doi.org/10.1126/science.aat5691</w:t>
        </w:r>
      </w:hyperlink>
      <w:r>
        <w:t xml:space="preserve">（研究类型：三维组织原位转录读取方法研究）</w:t>
      </w:r>
    </w:p>
    <w:p>
      <w:pPr>
        <w:pStyle w:val="ReferenceEntry"/>
      </w:pPr>
      <w:bookmarkStart w:id="3003" w:name="ref-206"/>
      <w:r>
        <w:t xml:space="preserve">[206]</w:t>
      </w:r>
      <w:bookmarkEnd w:id="3003"/>
      <w:r>
        <w:t xml:space="preserve"> Ståhl PL, Salmén F, Vickovic S, Lundmark A, Navarro JF, Magnusson J, et al. Visualization and analysis of gene expression in tissue sections by spatial transcriptomics.</w:t>
      </w:r>
      <w:r>
        <w:t xml:space="preserve"> </w:t>
      </w:r>
      <w:r>
        <w:rPr>
          <w:iCs/>
          <w:i/>
        </w:rPr>
        <w:t xml:space="preserve">Science</w:t>
      </w:r>
      <w:r>
        <w:t xml:space="preserve">. 2016;353(6294):78–82.</w:t>
      </w:r>
      <w:r>
        <w:t xml:space="preserve"> </w:t>
      </w:r>
      <w:hyperlink r:id="rId3004">
        <w:r>
          <w:rPr>
            <w:rStyle w:val="Hyperlink"/>
          </w:rPr>
          <w:t xml:space="preserve">https://doi.org/10.1126/science.aaf2403</w:t>
        </w:r>
      </w:hyperlink>
      <w:r>
        <w:t xml:space="preserve">（研究类型：空间条形码转录组方法开发）</w:t>
      </w:r>
    </w:p>
    <w:p>
      <w:pPr>
        <w:pStyle w:val="ReferenceEntry"/>
      </w:pPr>
      <w:bookmarkStart w:id="3005" w:name="ref-207"/>
      <w:r>
        <w:t xml:space="preserve">[207]</w:t>
      </w:r>
      <w:bookmarkEnd w:id="3005"/>
      <w:r>
        <w:t xml:space="preserve"> Palmer CR, Song J, Yang B, Chen CJ, Diep D, Conklin K, et al. Single-cell multiomic human brain atlas reveals regulatory drivers of cortical regionality.</w:t>
      </w:r>
      <w:r>
        <w:t xml:space="preserve"> </w:t>
      </w:r>
      <w:r>
        <w:rPr>
          <w:iCs/>
          <w:i/>
        </w:rPr>
        <w:t xml:space="preserve">Nature Communications</w:t>
      </w:r>
      <w:r>
        <w:t xml:space="preserve">. 2026;17(1):3051.</w:t>
      </w:r>
      <w:r>
        <w:t xml:space="preserve"> </w:t>
      </w:r>
      <w:hyperlink r:id="rId3006">
        <w:r>
          <w:rPr>
            <w:rStyle w:val="Hyperlink"/>
          </w:rPr>
          <w:t xml:space="preserve">https://doi.org/10.1038/s41467-026-69368-2</w:t>
        </w:r>
      </w:hyperlink>
      <w:r>
        <w:t xml:space="preserve">（研究类型：人类皮层单核双组学与空间转录研究）</w:t>
      </w:r>
    </w:p>
    <w:p>
      <w:pPr>
        <w:pStyle w:val="ReferenceEntry"/>
      </w:pPr>
      <w:bookmarkStart w:id="3007" w:name="ref-208"/>
      <w:r>
        <w:t xml:space="preserve">[208]</w:t>
      </w:r>
      <w:bookmarkEnd w:id="3007"/>
      <w:r>
        <w:t xml:space="preserve"> Yang H, Clarence T, Scott MR, Wang X, Prashant NM, Pjanic M, et al. Lifespan single-cell transcriptomic atlas of the human prefrontal cortex.</w:t>
      </w:r>
      <w:r>
        <w:t xml:space="preserve"> </w:t>
      </w:r>
      <w:r>
        <w:rPr>
          <w:iCs/>
          <w:i/>
        </w:rPr>
        <w:t xml:space="preserve">Nature</w:t>
      </w:r>
      <w:r>
        <w:t xml:space="preserve">. 2026;657(8133):1003–1015.</w:t>
      </w:r>
      <w:r>
        <w:t xml:space="preserve"> </w:t>
      </w:r>
      <w:hyperlink r:id="rId3008">
        <w:r>
          <w:rPr>
            <w:rStyle w:val="Hyperlink"/>
          </w:rPr>
          <w:t xml:space="preserve">https://doi.org/10.1038/s41586-026-10271-7</w:t>
        </w:r>
      </w:hyperlink>
      <w:r>
        <w:t xml:space="preserve">（研究类型：人类尸后跨年龄单核转录组与空间验证研究）</w:t>
      </w:r>
    </w:p>
    <w:p>
      <w:pPr>
        <w:pStyle w:val="ReferenceEntry"/>
      </w:pPr>
      <w:bookmarkStart w:id="3009" w:name="ref-209"/>
      <w:r>
        <w:t xml:space="preserve">[209]</w:t>
      </w:r>
      <w:bookmarkEnd w:id="3009"/>
      <w:r>
        <w:t xml:space="preserve"> Zeng B, Yang H, Prashant NM, Venkatesh S, Mathur D, Auluck P, et al. Single-nucleus atlas of cell-type specific genetic regulation in the human brain.</w:t>
      </w:r>
      <w:r>
        <w:t xml:space="preserve"> </w:t>
      </w:r>
      <w:r>
        <w:rPr>
          <w:iCs/>
          <w:i/>
        </w:rPr>
        <w:t xml:space="preserve">Nature Genetics</w:t>
      </w:r>
      <w:r>
        <w:t xml:space="preserve">. 2026;58(10):2525–2534.</w:t>
      </w:r>
      <w:r>
        <w:t xml:space="preserve"> </w:t>
      </w:r>
      <w:hyperlink r:id="rId3010">
        <w:r>
          <w:rPr>
            <w:rStyle w:val="Hyperlink"/>
          </w:rPr>
          <w:t xml:space="preserve">https://doi.org/10.1038/s41588-026-02733-5</w:t>
        </w:r>
      </w:hyperlink>
      <w:r>
        <w:t xml:space="preserve">（研究类型：多祖源人类脑单核表达数量性状关联图谱）</w:t>
      </w:r>
    </w:p>
    <w:p>
      <w:pPr>
        <w:pStyle w:val="ReferenceEntry"/>
      </w:pPr>
      <w:bookmarkStart w:id="3011" w:name="ref-210"/>
      <w:r>
        <w:t xml:space="preserve">[210]</w:t>
      </w:r>
      <w:bookmarkEnd w:id="3011"/>
      <w:r>
        <w:t xml:space="preserve"> Kasthuri N, Hayworth KJ, Berger DR, Schalek RL, Conchello JA, Knowles-Barley S, et al. Saturated Reconstruction of a Volume of Neocortex.</w:t>
      </w:r>
      <w:r>
        <w:t xml:space="preserve"> </w:t>
      </w:r>
      <w:r>
        <w:rPr>
          <w:iCs/>
          <w:i/>
        </w:rPr>
        <w:t xml:space="preserve">Cell</w:t>
      </w:r>
      <w:r>
        <w:t xml:space="preserve">. 2015;162(3):648–661.</w:t>
      </w:r>
      <w:r>
        <w:t xml:space="preserve"> </w:t>
      </w:r>
      <w:hyperlink r:id="rId3012">
        <w:r>
          <w:rPr>
            <w:rStyle w:val="Hyperlink"/>
          </w:rPr>
          <w:t xml:space="preserve">https://doi.org/10.1016/j.cell.2015.06.054</w:t>
        </w:r>
      </w:hyperlink>
      <w:r>
        <w:t xml:space="preserve">（研究类型：小鼠新皮层密集电镜重建研究）</w:t>
      </w:r>
    </w:p>
    <w:p>
      <w:pPr>
        <w:pStyle w:val="ReferenceEntry"/>
      </w:pPr>
      <w:bookmarkStart w:id="3013" w:name="ref-211"/>
      <w:r>
        <w:t xml:space="preserve">[211]</w:t>
      </w:r>
      <w:bookmarkEnd w:id="3013"/>
      <w:r>
        <w:t xml:space="preserve"> Dorkenwald S, Matsliah A, Sterling AR, Schlegel P, Yu Sc, McKellar CE, et al. Neuronal wiring diagram of an adult brain.</w:t>
      </w:r>
      <w:r>
        <w:t xml:space="preserve"> </w:t>
      </w:r>
      <w:r>
        <w:rPr>
          <w:iCs/>
          <w:i/>
        </w:rPr>
        <w:t xml:space="preserve">Nature</w:t>
      </w:r>
      <w:r>
        <w:t xml:space="preserve">. 2024;634(8032):124–138.</w:t>
      </w:r>
      <w:r>
        <w:t xml:space="preserve"> </w:t>
      </w:r>
      <w:hyperlink r:id="rId3014">
        <w:r>
          <w:rPr>
            <w:rStyle w:val="Hyperlink"/>
          </w:rPr>
          <w:t xml:space="preserve">https://doi.org/10.1038/s41586-024-07558-y</w:t>
        </w:r>
      </w:hyperlink>
      <w:r>
        <w:t xml:space="preserve">（研究类型：成年果蝇全脑电镜连接组重建）</w:t>
      </w:r>
    </w:p>
    <w:p>
      <w:pPr>
        <w:pStyle w:val="ReferenceEntry"/>
      </w:pPr>
      <w:bookmarkStart w:id="3015" w:name="ref-212"/>
      <w:r>
        <w:t xml:space="preserve">[212]</w:t>
      </w:r>
      <w:bookmarkEnd w:id="3015"/>
      <w:r>
        <w:t xml:space="preserve"> Shapson-Coe A, Januszewski M, Berger DR, Pope A, Wu Y, Blakely T, et al. A petavoxel fragment of human cerebral cortex reconstructed at nanoscale resolution.</w:t>
      </w:r>
      <w:r>
        <w:t xml:space="preserve"> </w:t>
      </w:r>
      <w:r>
        <w:rPr>
          <w:iCs/>
          <w:i/>
        </w:rPr>
        <w:t xml:space="preserve">Science</w:t>
      </w:r>
      <w:r>
        <w:t xml:space="preserve">. 2024;384(6696):eadk4858.</w:t>
      </w:r>
      <w:r>
        <w:t xml:space="preserve"> </w:t>
      </w:r>
      <w:hyperlink r:id="rId3016">
        <w:r>
          <w:rPr>
            <w:rStyle w:val="Hyperlink"/>
          </w:rPr>
          <w:t xml:space="preserve">https://doi.org/10.1126/science.adk4858</w:t>
        </w:r>
      </w:hyperlink>
      <w:r>
        <w:t xml:space="preserve">（研究类型：人类颞皮层手术组织电镜重建）</w:t>
      </w:r>
    </w:p>
    <w:p>
      <w:pPr>
        <w:pStyle w:val="ReferenceEntry"/>
      </w:pPr>
      <w:bookmarkStart w:id="3017" w:name="ref-213"/>
      <w:r>
        <w:t xml:space="preserve">[213]</w:t>
      </w:r>
      <w:bookmarkEnd w:id="3017"/>
      <w:r>
        <w:t xml:space="preserve"> Cook SJ, Jarrell TA, Brittin CA, Wang Y, Bloniarz AE, Yakovlev MA, et al. Whole-animal connectomes of both Caenorhabditis elegans sexes.</w:t>
      </w:r>
      <w:r>
        <w:t xml:space="preserve"> </w:t>
      </w:r>
      <w:r>
        <w:rPr>
          <w:iCs/>
          <w:i/>
        </w:rPr>
        <w:t xml:space="preserve">Nature</w:t>
      </w:r>
      <w:r>
        <w:t xml:space="preserve">. 2019;571(7763):63–71.</w:t>
      </w:r>
      <w:r>
        <w:t xml:space="preserve"> </w:t>
      </w:r>
      <w:hyperlink r:id="rId3018">
        <w:r>
          <w:rPr>
            <w:rStyle w:val="Hyperlink"/>
          </w:rPr>
          <w:t xml:space="preserve">https://doi.org/10.1038/s41586-019-1352-7</w:t>
        </w:r>
      </w:hyperlink>
      <w:r>
        <w:t xml:space="preserve">（研究类型：线虫两性全动物连接组电镜整合）</w:t>
      </w:r>
    </w:p>
    <w:p>
      <w:pPr>
        <w:pStyle w:val="ReferenceEntry"/>
      </w:pPr>
      <w:bookmarkStart w:id="3019" w:name="ref-214"/>
      <w:r>
        <w:t xml:space="preserve">[214]</w:t>
      </w:r>
      <w:bookmarkEnd w:id="3019"/>
      <w:r>
        <w:t xml:space="preserve"> Holler S, Köstinger G, Martin KAC, Schuhknecht GFP, Stratford KJ. Structure and function of a neocortical synapse.</w:t>
      </w:r>
      <w:r>
        <w:t xml:space="preserve"> </w:t>
      </w:r>
      <w:r>
        <w:rPr>
          <w:iCs/>
          <w:i/>
        </w:rPr>
        <w:t xml:space="preserve">Nature</w:t>
      </w:r>
      <w:r>
        <w:t xml:space="preserve">. 2021;591(7848):111–116.</w:t>
      </w:r>
      <w:r>
        <w:t xml:space="preserve"> </w:t>
      </w:r>
      <w:hyperlink r:id="rId3020">
        <w:r>
          <w:rPr>
            <w:rStyle w:val="Hyperlink"/>
          </w:rPr>
          <w:t xml:space="preserve">https://doi.org/10.1038/s41586-020-03134-2</w:t>
        </w:r>
      </w:hyperlink>
      <w:r>
        <w:t xml:space="preserve">（研究类型：小鼠成对电生理与相关光镜电镜研究）</w:t>
      </w:r>
    </w:p>
    <w:p>
      <w:pPr>
        <w:pStyle w:val="ReferenceEntry"/>
      </w:pPr>
      <w:bookmarkStart w:id="3021" w:name="ref-215"/>
      <w:r>
        <w:t xml:space="preserve">[215]</w:t>
      </w:r>
      <w:bookmarkEnd w:id="3021"/>
      <w:r>
        <w:t xml:space="preserve"> The MICrONS Consortium, Bae JA, Baptiste M, Baptiste MR, Bishop CA, Bodor AL, et al. Functional connectomics spanning multiple areas of mouse visual cortex.</w:t>
      </w:r>
      <w:r>
        <w:t xml:space="preserve"> </w:t>
      </w:r>
      <w:r>
        <w:rPr>
          <w:iCs/>
          <w:i/>
        </w:rPr>
        <w:t xml:space="preserve">Nature</w:t>
      </w:r>
      <w:r>
        <w:t xml:space="preserve">. 2025;640(8058):435–447.</w:t>
      </w:r>
      <w:r>
        <w:t xml:space="preserve"> </w:t>
      </w:r>
      <w:hyperlink r:id="rId3022">
        <w:r>
          <w:rPr>
            <w:rStyle w:val="Hyperlink"/>
          </w:rPr>
          <w:t xml:space="preserve">https://doi.org/10.1038/s41586-025-08790-w</w:t>
        </w:r>
      </w:hyperlink>
      <w:r>
        <w:t xml:space="preserve">（研究类型：同体清醒钙成像与电镜结构配准研究）</w:t>
      </w:r>
    </w:p>
    <w:p>
      <w:pPr>
        <w:pStyle w:val="ReferenceEntry"/>
      </w:pPr>
      <w:bookmarkStart w:id="3023" w:name="ref-216"/>
      <w:r>
        <w:t xml:space="preserve">[216]</w:t>
      </w:r>
      <w:bookmarkEnd w:id="3023"/>
      <w:r>
        <w:t xml:space="preserve"> Ding Z, Fahey PG, Papadopoulos S, Wang EY, Celii B, Papadopoulos C, et al. Functional connectomics reveals general wiring rule in mouse visual cortex.</w:t>
      </w:r>
      <w:r>
        <w:t xml:space="preserve"> </w:t>
      </w:r>
      <w:r>
        <w:rPr>
          <w:iCs/>
          <w:i/>
        </w:rPr>
        <w:t xml:space="preserve">Nature</w:t>
      </w:r>
      <w:r>
        <w:t xml:space="preserve">. 2025;640(8058):459–469.</w:t>
      </w:r>
      <w:r>
        <w:t xml:space="preserve"> </w:t>
      </w:r>
      <w:hyperlink r:id="rId3024">
        <w:r>
          <w:rPr>
            <w:rStyle w:val="Hyperlink"/>
          </w:rPr>
          <w:t xml:space="preserve">https://doi.org/10.1038/s41586-025-08840-3</w:t>
        </w:r>
      </w:hyperlink>
      <w:r>
        <w:t xml:space="preserve">（研究类型：MICrONS结构功能关联及计算模型研究）</w:t>
      </w:r>
    </w:p>
    <w:p>
      <w:pPr>
        <w:pStyle w:val="ReferenceEntry"/>
      </w:pPr>
      <w:bookmarkStart w:id="3025" w:name="ref-217"/>
      <w:r>
        <w:t xml:space="preserve">[217]</w:t>
      </w:r>
      <w:bookmarkEnd w:id="3025"/>
      <w:r>
        <w:t xml:space="preserve"> Bates AS, Phelps JS, Kim M, Yang HH, Matsliah A, Ajabi Z, et al. Distributed control circuits across a brain and cord connectome.</w:t>
      </w:r>
      <w:r>
        <w:t xml:space="preserve"> </w:t>
      </w:r>
      <w:r>
        <w:rPr>
          <w:iCs/>
          <w:i/>
        </w:rPr>
        <w:t xml:space="preserve">Nature</w:t>
      </w:r>
      <w:r>
        <w:t xml:space="preserve">. 2026;656(8129):957–970.</w:t>
      </w:r>
      <w:r>
        <w:t xml:space="preserve"> </w:t>
      </w:r>
      <w:hyperlink r:id="rId3026">
        <w:r>
          <w:rPr>
            <w:rStyle w:val="Hyperlink"/>
          </w:rPr>
          <w:t xml:space="preserve">https://doi.org/10.1038/s41586-026-10735-w</w:t>
        </w:r>
      </w:hyperlink>
      <w:r>
        <w:t xml:space="preserve">（研究类型：原始电子显微连接组重建）</w:t>
      </w:r>
    </w:p>
    <w:p>
      <w:pPr>
        <w:pStyle w:val="ReferenceEntry"/>
      </w:pPr>
      <w:bookmarkStart w:id="3027" w:name="ref-218"/>
      <w:r>
        <w:t xml:space="preserve">[218]</w:t>
      </w:r>
      <w:bookmarkEnd w:id="3027"/>
      <w:r>
        <w:t xml:space="preserve"> Witvliet D, Mulcahy B, Mitchell JK, Meirovitch Y, Berger DR, Wu Y, et al. Connectomes across development reveal principles of brain maturation.</w:t>
      </w:r>
      <w:r>
        <w:t xml:space="preserve"> </w:t>
      </w:r>
      <w:r>
        <w:rPr>
          <w:iCs/>
          <w:i/>
        </w:rPr>
        <w:t xml:space="preserve">Nature</w:t>
      </w:r>
      <w:r>
        <w:t xml:space="preserve">. 2021;596(7871):257–261.</w:t>
      </w:r>
      <w:r>
        <w:t xml:space="preserve"> </w:t>
      </w:r>
      <w:hyperlink r:id="rId3028">
        <w:r>
          <w:rPr>
            <w:rStyle w:val="Hyperlink"/>
          </w:rPr>
          <w:t xml:space="preserve">https://doi.org/10.1038/s41586-021-03778-8</w:t>
        </w:r>
      </w:hyperlink>
      <w:r>
        <w:t xml:space="preserve">（研究类型：跨发育阶段线虫电镜连接组比较）</w:t>
      </w:r>
    </w:p>
    <w:p>
      <w:pPr>
        <w:pStyle w:val="ReferenceEntry"/>
      </w:pPr>
      <w:bookmarkStart w:id="3029" w:name="ref-219"/>
      <w:r>
        <w:t xml:space="preserve">[219]</w:t>
      </w:r>
      <w:bookmarkEnd w:id="3029"/>
      <w:r>
        <w:t xml:space="preserve"> Zatorre RJ, Fields RD, Johansen-Berg H. Plasticity in gray and white: neuroimaging changes in brain structure during learning.</w:t>
      </w:r>
      <w:r>
        <w:t xml:space="preserve"> </w:t>
      </w:r>
      <w:r>
        <w:rPr>
          <w:iCs/>
          <w:i/>
        </w:rPr>
        <w:t xml:space="preserve">Nature Neuroscience</w:t>
      </w:r>
      <w:r>
        <w:t xml:space="preserve">. 2012;15(4):528–536.</w:t>
      </w:r>
      <w:r>
        <w:t xml:space="preserve"> </w:t>
      </w:r>
      <w:hyperlink r:id="rId3030">
        <w:r>
          <w:rPr>
            <w:rStyle w:val="Hyperlink"/>
          </w:rPr>
          <w:t xml:space="preserve">https://doi.org/10.1038/nn.3045</w:t>
        </w:r>
      </w:hyperlink>
      <w:r>
        <w:t xml:space="preserve">（研究类型：机制与影像综述）</w:t>
      </w:r>
    </w:p>
    <w:p>
      <w:pPr>
        <w:pStyle w:val="ReferenceEntry"/>
      </w:pPr>
      <w:bookmarkStart w:id="3031" w:name="ref-220"/>
      <w:r>
        <w:t xml:space="preserve">[220]</w:t>
      </w:r>
      <w:bookmarkEnd w:id="3031"/>
      <w:r>
        <w:t xml:space="preserve"> May A. Experience-dependent structural plasticity in the adult human brain.</w:t>
      </w:r>
      <w:r>
        <w:t xml:space="preserve"> </w:t>
      </w:r>
      <w:r>
        <w:rPr>
          <w:iCs/>
          <w:i/>
        </w:rPr>
        <w:t xml:space="preserve">Trends in Cognitive Sciences</w:t>
      </w:r>
      <w:r>
        <w:t xml:space="preserve">. 2011;15(10):475–482.</w:t>
      </w:r>
      <w:r>
        <w:t xml:space="preserve"> </w:t>
      </w:r>
      <w:hyperlink r:id="rId3032">
        <w:r>
          <w:rPr>
            <w:rStyle w:val="Hyperlink"/>
          </w:rPr>
          <w:t xml:space="preserve">https://doi.org/10.1016/j.tics.2011.08.002</w:t>
        </w:r>
      </w:hyperlink>
      <w:r>
        <w:t xml:space="preserve">（研究类型：综述）</w:t>
      </w:r>
    </w:p>
    <w:p>
      <w:pPr>
        <w:pStyle w:val="ReferenceEntry"/>
      </w:pPr>
      <w:bookmarkStart w:id="3033" w:name="ref-221"/>
      <w:r>
        <w:t xml:space="preserve">[221]</w:t>
      </w:r>
      <w:bookmarkEnd w:id="3033"/>
      <w:r>
        <w:t xml:space="preserve"> Draganski B, Gaser C, Busch V, et al. Changes in grey matter induced by training.</w:t>
      </w:r>
      <w:r>
        <w:t xml:space="preserve"> </w:t>
      </w:r>
      <w:r>
        <w:rPr>
          <w:iCs/>
          <w:i/>
        </w:rPr>
        <w:t xml:space="preserve">Nature</w:t>
      </w:r>
      <w:r>
        <w:t xml:space="preserve">. 2004;427(6972):311–312.</w:t>
      </w:r>
      <w:r>
        <w:t xml:space="preserve"> </w:t>
      </w:r>
      <w:hyperlink r:id="rId3034">
        <w:r>
          <w:rPr>
            <w:rStyle w:val="Hyperlink"/>
          </w:rPr>
          <w:t xml:space="preserve">https://doi.org/10.1038/427311a</w:t>
        </w:r>
      </w:hyperlink>
      <w:r>
        <w:t xml:space="preserve">（研究类型：人体纵向训练影像研究）</w:t>
      </w:r>
    </w:p>
    <w:p>
      <w:pPr>
        <w:pStyle w:val="ReferenceEntry"/>
      </w:pPr>
      <w:bookmarkStart w:id="3035" w:name="ref-222"/>
      <w:r>
        <w:t xml:space="preserve">[222]</w:t>
      </w:r>
      <w:bookmarkEnd w:id="3035"/>
      <w:r>
        <w:t xml:space="preserve"> Wenger E, Brozzoli C, Lindenberger U, Lövdén M. Expansion and Renormalization of Human Brain Structure During Skill Acquisition.</w:t>
      </w:r>
      <w:r>
        <w:t xml:space="preserve"> </w:t>
      </w:r>
      <w:r>
        <w:rPr>
          <w:iCs/>
          <w:i/>
        </w:rPr>
        <w:t xml:space="preserve">Trends in Cognitive Sciences</w:t>
      </w:r>
      <w:r>
        <w:t xml:space="preserve">. 2017;21(12):930–939.</w:t>
      </w:r>
      <w:r>
        <w:t xml:space="preserve"> </w:t>
      </w:r>
      <w:hyperlink r:id="rId3036">
        <w:r>
          <w:rPr>
            <w:rStyle w:val="Hyperlink"/>
          </w:rPr>
          <w:t xml:space="preserve">https://doi.org/10.1016/j.tics.2017.09.008</w:t>
        </w:r>
      </w:hyperlink>
      <w:r>
        <w:t xml:space="preserve">（研究类型：理论模型与证据综合）</w:t>
      </w:r>
    </w:p>
    <w:p>
      <w:pPr>
        <w:pStyle w:val="ReferenceEntry"/>
      </w:pPr>
      <w:bookmarkStart w:id="3037" w:name="ref-223"/>
      <w:r>
        <w:t xml:space="preserve">[223]</w:t>
      </w:r>
      <w:bookmarkEnd w:id="3037"/>
      <w:r>
        <w:t xml:space="preserve"> Sampaio-Baptista C et al. Motor Skill Learning Induces Changes in White Matter Microstructure and Myelination. 2013.</w:t>
      </w:r>
      <w:r>
        <w:t xml:space="preserve"> </w:t>
      </w:r>
      <w:hyperlink r:id="rId3038">
        <w:r>
          <w:rPr>
            <w:rStyle w:val="Hyperlink"/>
          </w:rPr>
          <w:t xml:space="preserve">https://pmc.ncbi.nlm.nih.gov/articles/PMC3858622/</w:t>
        </w:r>
      </w:hyperlink>
      <w:r>
        <w:t xml:space="preserve">（研究类型：随机动物训练 MRI与组织学）</w:t>
      </w:r>
    </w:p>
    <w:p>
      <w:pPr>
        <w:pStyle w:val="ReferenceEntry"/>
      </w:pPr>
      <w:bookmarkStart w:id="3039" w:name="ref-224"/>
      <w:r>
        <w:t xml:space="preserve">[224]</w:t>
      </w:r>
      <w:bookmarkEnd w:id="3039"/>
      <w:r>
        <w:t xml:space="preserve"> Turrigiano G. Homeostatic Synaptic Plasticity Local and Global Mechanisms for Stabilizing Neuronal Function.</w:t>
      </w:r>
      <w:r>
        <w:t xml:space="preserve"> </w:t>
      </w:r>
      <w:r>
        <w:rPr>
          <w:iCs/>
          <w:i/>
        </w:rPr>
        <w:t xml:space="preserve">Cold Spring Harbor Perspectives in Biology</w:t>
      </w:r>
      <w:r>
        <w:t xml:space="preserve">. 2012;4(1):a005736–a005736.</w:t>
      </w:r>
      <w:r>
        <w:t xml:space="preserve"> </w:t>
      </w:r>
      <w:hyperlink r:id="rId3040">
        <w:r>
          <w:rPr>
            <w:rStyle w:val="Hyperlink"/>
          </w:rPr>
          <w:t xml:space="preserve">https://doi.org/10.1101/cshperspect.a005736</w:t>
        </w:r>
      </w:hyperlink>
      <w:r>
        <w:t xml:space="preserve">（研究类型：机制综述）</w:t>
      </w:r>
    </w:p>
    <w:p>
      <w:pPr>
        <w:pStyle w:val="ReferenceEntry"/>
      </w:pPr>
      <w:bookmarkStart w:id="3041" w:name="ref-225"/>
      <w:r>
        <w:t xml:space="preserve">[225]</w:t>
      </w:r>
      <w:bookmarkEnd w:id="3041"/>
      <w:r>
        <w:t xml:space="preserve"> Abraham WC, Bear MF. Metaplasticity: the plasticity of synaptic plasticity.</w:t>
      </w:r>
      <w:r>
        <w:t xml:space="preserve"> </w:t>
      </w:r>
      <w:r>
        <w:rPr>
          <w:iCs/>
          <w:i/>
        </w:rPr>
        <w:t xml:space="preserve">Trends in Neurosciences</w:t>
      </w:r>
      <w:r>
        <w:t xml:space="preserve">. 1996;19(4):126–130.</w:t>
      </w:r>
      <w:r>
        <w:t xml:space="preserve"> </w:t>
      </w:r>
      <w:hyperlink r:id="rId3042">
        <w:r>
          <w:rPr>
            <w:rStyle w:val="Hyperlink"/>
          </w:rPr>
          <w:t xml:space="preserve">https://doi.org/10.1016/S0166-2236(96)80018-X</w:t>
        </w:r>
      </w:hyperlink>
      <w:r>
        <w:t xml:space="preserve">（研究类型：机制概念与实验综述）</w:t>
      </w:r>
    </w:p>
    <w:p>
      <w:pPr>
        <w:pStyle w:val="ReferenceEntry"/>
      </w:pPr>
      <w:bookmarkStart w:id="3043" w:name="ref-226"/>
      <w:r>
        <w:t xml:space="preserve">[226]</w:t>
      </w:r>
      <w:bookmarkEnd w:id="3043"/>
      <w:r>
        <w:t xml:space="preserve"> Wolf SL, Winstein CJ, Miller JP, Taub E, Uswatte G, Morris D, et al. Effect of Constraint Induced Movement Therapy on Upper Extremity Function 3 to 9 Months After Stroke The EXCITE Randomized Clinical Trial.</w:t>
      </w:r>
      <w:r>
        <w:t xml:space="preserve"> </w:t>
      </w:r>
      <w:r>
        <w:rPr>
          <w:iCs/>
          <w:i/>
        </w:rPr>
        <w:t xml:space="preserve">JAMA</w:t>
      </w:r>
      <w:r>
        <w:t xml:space="preserve">. 2006;296(17):2095.</w:t>
      </w:r>
      <w:r>
        <w:t xml:space="preserve"> </w:t>
      </w:r>
      <w:hyperlink r:id="rId3044">
        <w:r>
          <w:rPr>
            <w:rStyle w:val="Hyperlink"/>
          </w:rPr>
          <w:t xml:space="preserve">https://doi.org/10.1001/jama.296.17.2095</w:t>
        </w:r>
      </w:hyperlink>
      <w:r>
        <w:t xml:space="preserve">（研究类型：随机康复试验）</w:t>
      </w:r>
    </w:p>
    <w:p>
      <w:pPr>
        <w:pStyle w:val="ReferenceEntry"/>
      </w:pPr>
      <w:bookmarkStart w:id="3045" w:name="ref-227"/>
      <w:r>
        <w:t xml:space="preserve">[227]</w:t>
      </w:r>
      <w:bookmarkEnd w:id="3045"/>
      <w:r>
        <w:t xml:space="preserve"> Hartshorne JK, Tenenbaum JB, Pinker S. A critical period for second language acquisition: Evidence from 2/3 million English speakers.</w:t>
      </w:r>
      <w:r>
        <w:t xml:space="preserve"> </w:t>
      </w:r>
      <w:r>
        <w:rPr>
          <w:iCs/>
          <w:i/>
        </w:rPr>
        <w:t xml:space="preserve">Cognition</w:t>
      </w:r>
      <w:r>
        <w:t xml:space="preserve">. 2018;177:263–277.</w:t>
      </w:r>
      <w:r>
        <w:t xml:space="preserve"> </w:t>
      </w:r>
      <w:hyperlink r:id="rId3046">
        <w:r>
          <w:rPr>
            <w:rStyle w:val="Hyperlink"/>
          </w:rPr>
          <w:t xml:space="preserve">https://doi.org/10.1016/j.cognition.2018.04.007</w:t>
        </w:r>
      </w:hyperlink>
      <w:r>
        <w:t xml:space="preserve">（研究类型：大规模在线横断面语言研究与模型）</w:t>
      </w:r>
    </w:p>
    <w:p>
      <w:pPr>
        <w:pStyle w:val="ReferenceEntry"/>
      </w:pPr>
      <w:bookmarkStart w:id="3047" w:name="ref-228"/>
      <w:r>
        <w:t xml:space="preserve">[228]</w:t>
      </w:r>
      <w:bookmarkEnd w:id="3047"/>
      <w:r>
        <w:t xml:space="preserve"> Knudsen EI. Sensitive periods in the development of the brain and behavior.</w:t>
      </w:r>
      <w:r>
        <w:t xml:space="preserve"> </w:t>
      </w:r>
      <w:r>
        <w:rPr>
          <w:iCs/>
          <w:i/>
        </w:rPr>
        <w:t xml:space="preserve">Journal of Cognitive Neuroscience</w:t>
      </w:r>
      <w:r>
        <w:t xml:space="preserve">. 2004;16(8):1412–1425.</w:t>
      </w:r>
      <w:r>
        <w:t xml:space="preserve"> </w:t>
      </w:r>
      <w:hyperlink r:id="rId3048">
        <w:r>
          <w:rPr>
            <w:rStyle w:val="Hyperlink"/>
          </w:rPr>
          <w:t xml:space="preserve">https://doi.org/10.1162/0898929042304796</w:t>
        </w:r>
      </w:hyperlink>
      <w:r>
        <w:t xml:space="preserve">（研究类型：回路机制综述与理论框架）</w:t>
      </w:r>
    </w:p>
    <w:p>
      <w:pPr>
        <w:pStyle w:val="ReferenceEntry"/>
      </w:pPr>
      <w:bookmarkStart w:id="3049" w:name="ref-229"/>
      <w:r>
        <w:t xml:space="preserve">[229]</w:t>
      </w:r>
      <w:bookmarkEnd w:id="3049"/>
      <w:r>
        <w:t xml:space="preserve"> Werker JF, Hensch TK. Critical periods in speech perception: new directions.</w:t>
      </w:r>
      <w:r>
        <w:t xml:space="preserve"> </w:t>
      </w:r>
      <w:r>
        <w:rPr>
          <w:iCs/>
          <w:i/>
        </w:rPr>
        <w:t xml:space="preserve">Annual Review of Psychology</w:t>
      </w:r>
      <w:r>
        <w:t xml:space="preserve">. 2015;66(1):173–196.</w:t>
      </w:r>
      <w:r>
        <w:t xml:space="preserve"> </w:t>
      </w:r>
      <w:hyperlink r:id="rId3050">
        <w:r>
          <w:rPr>
            <w:rStyle w:val="Hyperlink"/>
          </w:rPr>
          <w:t xml:space="preserve">https://doi.org/10.1146/annurev-psych-010814-015104</w:t>
        </w:r>
      </w:hyperlink>
      <w:r>
        <w:t xml:space="preserve">（研究类型：语言知觉与神经机制综合）</w:t>
      </w:r>
    </w:p>
    <w:p>
      <w:pPr>
        <w:pStyle w:val="ReferenceEntry"/>
      </w:pPr>
      <w:bookmarkStart w:id="3051" w:name="ref-230"/>
      <w:r>
        <w:t xml:space="preserve">[230]</w:t>
      </w:r>
      <w:bookmarkEnd w:id="3051"/>
      <w:r>
        <w:t xml:space="preserve"> Mayberry RI, Kluender R. Rethinking the critical period for language: New insights into an old question from American Sign Language.</w:t>
      </w:r>
      <w:r>
        <w:t xml:space="preserve"> </w:t>
      </w:r>
      <w:r>
        <w:rPr>
          <w:iCs/>
          <w:i/>
        </w:rPr>
        <w:t xml:space="preserve">Bilingualism: Language and Cognition</w:t>
      </w:r>
      <w:r>
        <w:t xml:space="preserve">. 2018;21(5):886–905.</w:t>
      </w:r>
      <w:r>
        <w:t xml:space="preserve"> </w:t>
      </w:r>
      <w:hyperlink r:id="rId3052">
        <w:r>
          <w:rPr>
            <w:rStyle w:val="Hyperlink"/>
          </w:rPr>
          <w:t xml:space="preserve">https://doi.org/10.1017/S1366728917000724</w:t>
        </w:r>
      </w:hyperlink>
      <w:r>
        <w:t xml:space="preserve">（研究类型：手语及语言年龄研究理论讨论与回应）</w:t>
      </w:r>
    </w:p>
    <w:p>
      <w:pPr>
        <w:pStyle w:val="ReferenceEntry"/>
      </w:pPr>
      <w:bookmarkStart w:id="3053" w:name="ref-231"/>
      <w:r>
        <w:t xml:space="preserve">[231]</w:t>
      </w:r>
      <w:bookmarkEnd w:id="3053"/>
      <w:r>
        <w:t xml:space="preserve"> Eriksson PS, Perfilieva E, Björk-Eriksson T, et al. Neurogenesis in the adult human hippocampus.</w:t>
      </w:r>
      <w:r>
        <w:t xml:space="preserve"> </w:t>
      </w:r>
      <w:r>
        <w:rPr>
          <w:iCs/>
          <w:i/>
        </w:rPr>
        <w:t xml:space="preserve">Nature Medicine</w:t>
      </w:r>
      <w:r>
        <w:t xml:space="preserve">. 1998;4(11):1313–1317.</w:t>
      </w:r>
      <w:r>
        <w:t xml:space="preserve"> </w:t>
      </w:r>
      <w:hyperlink r:id="rId3054">
        <w:r>
          <w:rPr>
            <w:rStyle w:val="Hyperlink"/>
          </w:rPr>
          <w:t xml:space="preserve">https://doi.org/10.1038/3305</w:t>
        </w:r>
      </w:hyperlink>
    </w:p>
    <w:p>
      <w:pPr>
        <w:pStyle w:val="ReferenceEntry"/>
      </w:pPr>
      <w:bookmarkStart w:id="3055" w:name="ref-232"/>
      <w:r>
        <w:t xml:space="preserve">[232]</w:t>
      </w:r>
      <w:bookmarkEnd w:id="3055"/>
      <w:r>
        <w:t xml:space="preserve"> Spalding KL, Bergmann O, Alkass K, et al. Dynamics of Hippocampal Neurogenesis in Adult Humans.</w:t>
      </w:r>
      <w:r>
        <w:t xml:space="preserve"> </w:t>
      </w:r>
      <w:r>
        <w:rPr>
          <w:iCs/>
          <w:i/>
        </w:rPr>
        <w:t xml:space="preserve">Cell</w:t>
      </w:r>
      <w:r>
        <w:t xml:space="preserve">. 2013;153(6):1219–1227.</w:t>
      </w:r>
      <w:r>
        <w:t xml:space="preserve"> </w:t>
      </w:r>
      <w:hyperlink r:id="rId3056">
        <w:r>
          <w:rPr>
            <w:rStyle w:val="Hyperlink"/>
          </w:rPr>
          <w:t xml:space="preserve">https://doi.org/10.1016/j.cell.2013.05.002</w:t>
        </w:r>
      </w:hyperlink>
      <w:r>
        <w:t xml:space="preserve">（研究类型：碳14细胞出生年代与更新模型）</w:t>
      </w:r>
    </w:p>
    <w:p>
      <w:pPr>
        <w:pStyle w:val="ReferenceEntry"/>
      </w:pPr>
      <w:bookmarkStart w:id="3057" w:name="ref-233"/>
      <w:r>
        <w:t xml:space="preserve">[233]</w:t>
      </w:r>
      <w:bookmarkEnd w:id="3057"/>
      <w:r>
        <w:t xml:space="preserve"> Sorrells SF, Paredes MF, Cebrian-Silla A, et al. Human hippocampal neurogenesis drops sharply in children to undetectable levels in adults.</w:t>
      </w:r>
      <w:r>
        <w:t xml:space="preserve"> </w:t>
      </w:r>
      <w:r>
        <w:rPr>
          <w:iCs/>
          <w:i/>
        </w:rPr>
        <w:t xml:space="preserve">Nature</w:t>
      </w:r>
      <w:r>
        <w:t xml:space="preserve">. 2018;555(7696):377–381.</w:t>
      </w:r>
      <w:r>
        <w:t xml:space="preserve"> </w:t>
      </w:r>
      <w:hyperlink r:id="rId3058">
        <w:r>
          <w:rPr>
            <w:rStyle w:val="Hyperlink"/>
          </w:rPr>
          <w:t xml:space="preserve">https://doi.org/10.1038/nature25975</w:t>
        </w:r>
      </w:hyperlink>
      <w:r>
        <w:t xml:space="preserve">（研究类型：人体组织学）</w:t>
      </w:r>
    </w:p>
    <w:p>
      <w:pPr>
        <w:pStyle w:val="ReferenceEntry"/>
      </w:pPr>
      <w:bookmarkStart w:id="3059" w:name="ref-234"/>
      <w:r>
        <w:t xml:space="preserve">[234]</w:t>
      </w:r>
      <w:bookmarkEnd w:id="3059"/>
      <w:r>
        <w:t xml:space="preserve"> Boldrini M, Fulmore CA, Tartt AN, et al. Human Hippocampal Neurogenesis Persists throughout Aging.</w:t>
      </w:r>
      <w:r>
        <w:t xml:space="preserve"> </w:t>
      </w:r>
      <w:r>
        <w:rPr>
          <w:iCs/>
          <w:i/>
        </w:rPr>
        <w:t xml:space="preserve">Cell Stem Cell</w:t>
      </w:r>
      <w:r>
        <w:t xml:space="preserve">. 2018;22(4):589–599.e5.</w:t>
      </w:r>
      <w:r>
        <w:t xml:space="preserve"> </w:t>
      </w:r>
      <w:hyperlink r:id="rId3060">
        <w:r>
          <w:rPr>
            <w:rStyle w:val="Hyperlink"/>
          </w:rPr>
          <w:t xml:space="preserve">https://doi.org/10.1016/j.stem.2018.03.015</w:t>
        </w:r>
      </w:hyperlink>
    </w:p>
    <w:p>
      <w:pPr>
        <w:pStyle w:val="ReferenceEntry"/>
      </w:pPr>
      <w:bookmarkStart w:id="3061" w:name="ref-235"/>
      <w:r>
        <w:t xml:space="preserve">[235]</w:t>
      </w:r>
      <w:bookmarkEnd w:id="3061"/>
      <w:r>
        <w:t xml:space="preserve"> Moreno-Jiménez EP, Flor-García M, Terreros-Roncal J, et al. Adult hippocampal neurogenesis is abundant in neurologically healthy subjects and drops sharply in patients with Alzheimer’s disease.</w:t>
      </w:r>
      <w:r>
        <w:t xml:space="preserve"> </w:t>
      </w:r>
      <w:r>
        <w:rPr>
          <w:iCs/>
          <w:i/>
        </w:rPr>
        <w:t xml:space="preserve">Nature Medicine</w:t>
      </w:r>
      <w:r>
        <w:t xml:space="preserve">. 2019;25(4):554–560.</w:t>
      </w:r>
      <w:r>
        <w:t xml:space="preserve"> </w:t>
      </w:r>
      <w:hyperlink r:id="rId3062">
        <w:r>
          <w:rPr>
            <w:rStyle w:val="Hyperlink"/>
          </w:rPr>
          <w:t xml:space="preserve">https://doi.org/10.1038/s41591-019-0375-9</w:t>
        </w:r>
      </w:hyperlink>
    </w:p>
    <w:p>
      <w:pPr>
        <w:pStyle w:val="ReferenceEntry"/>
      </w:pPr>
      <w:bookmarkStart w:id="3063" w:name="ref-236"/>
      <w:r>
        <w:t xml:space="preserve">[236]</w:t>
      </w:r>
      <w:bookmarkEnd w:id="3063"/>
      <w:r>
        <w:t xml:space="preserve"> Dumitru I, Paterlini M, Zamboni M, et al. Identification of proliferating neural progenitors in the adult human hippocampus.</w:t>
      </w:r>
      <w:r>
        <w:t xml:space="preserve"> </w:t>
      </w:r>
      <w:r>
        <w:rPr>
          <w:iCs/>
          <w:i/>
        </w:rPr>
        <w:t xml:space="preserve">Science</w:t>
      </w:r>
      <w:r>
        <w:t xml:space="preserve">. 2025;389(6755):58–63.</w:t>
      </w:r>
      <w:r>
        <w:t xml:space="preserve"> </w:t>
      </w:r>
      <w:hyperlink r:id="rId3064">
        <w:r>
          <w:rPr>
            <w:rStyle w:val="Hyperlink"/>
          </w:rPr>
          <w:t xml:space="preserve">https://doi.org/10.1126/science.adu9575</w:t>
        </w:r>
      </w:hyperlink>
      <w:r>
        <w:t xml:space="preserve">（研究类型：单核测序、标记与空间定位）</w:t>
      </w:r>
    </w:p>
    <w:p>
      <w:pPr>
        <w:pStyle w:val="ReferenceEntry"/>
      </w:pPr>
      <w:bookmarkStart w:id="3065" w:name="ref-237"/>
      <w:r>
        <w:t xml:space="preserve">[237]</w:t>
      </w:r>
      <w:bookmarkEnd w:id="3065"/>
      <w:r>
        <w:t xml:space="preserve"> Disouky A, Sanborn MA, Sabitha KR, et al. Human hippocampal neurogenesis in adulthood, ageing and Alzheimer’s disease.</w:t>
      </w:r>
      <w:r>
        <w:t xml:space="preserve"> </w:t>
      </w:r>
      <w:r>
        <w:rPr>
          <w:iCs/>
          <w:i/>
        </w:rPr>
        <w:t xml:space="preserve">Nature</w:t>
      </w:r>
      <w:r>
        <w:t xml:space="preserve">. 2026;652(8112):1264–1273.</w:t>
      </w:r>
      <w:r>
        <w:t xml:space="preserve"> </w:t>
      </w:r>
      <w:hyperlink r:id="rId3066">
        <w:r>
          <w:rPr>
            <w:rStyle w:val="Hyperlink"/>
          </w:rPr>
          <w:t xml:space="preserve">https://doi.org/10.1038/s41586-026-10169-4</w:t>
        </w:r>
      </w:hyperlink>
      <w:r>
        <w:t xml:space="preserve">（研究类型：死后海马单核多组学）</w:t>
      </w:r>
    </w:p>
    <w:p>
      <w:pPr>
        <w:pStyle w:val="ReferenceEntry"/>
      </w:pPr>
      <w:bookmarkStart w:id="3067" w:name="ref-238"/>
      <w:r>
        <w:t xml:space="preserve">[238]</w:t>
      </w:r>
      <w:bookmarkEnd w:id="3067"/>
      <w:r>
        <w:t xml:space="preserve"> Peng MS, Jiang J, Polizzi L, et al. Dysregulated adult hippocampal neurogenesis in major depressive disorder.</w:t>
      </w:r>
      <w:r>
        <w:t xml:space="preserve"> </w:t>
      </w:r>
      <w:r>
        <w:rPr>
          <w:iCs/>
          <w:i/>
        </w:rPr>
        <w:t xml:space="preserve">Nature Medicine</w:t>
      </w:r>
      <w:r>
        <w:t xml:space="preserve">. 2026;32(10):3884–3898.</w:t>
      </w:r>
      <w:r>
        <w:t xml:space="preserve"> </w:t>
      </w:r>
      <w:hyperlink r:id="rId3068">
        <w:r>
          <w:rPr>
            <w:rStyle w:val="Hyperlink"/>
          </w:rPr>
          <w:t xml:space="preserve">https://doi.org/10.1038/s41591-026-04571-8</w:t>
        </w:r>
      </w:hyperlink>
    </w:p>
    <w:p>
      <w:pPr>
        <w:pStyle w:val="ReferenceEntry"/>
      </w:pPr>
      <w:bookmarkStart w:id="3069" w:name="ref-239"/>
      <w:r>
        <w:t xml:space="preserve">[239]</w:t>
      </w:r>
      <w:bookmarkEnd w:id="3069"/>
      <w:r>
        <w:t xml:space="preserve"> Wang LL, Serrano C, Zhong X, Ma S, Zou Y, Zhang CL. Revisiting astrocyte to neuron conversion with lineage tracing in vivo.</w:t>
      </w:r>
      <w:r>
        <w:t xml:space="preserve"> </w:t>
      </w:r>
      <w:r>
        <w:rPr>
          <w:iCs/>
          <w:i/>
        </w:rPr>
        <w:t xml:space="preserve">Cell</w:t>
      </w:r>
      <w:r>
        <w:t xml:space="preserve">. 2021;184(21):5465–5481.e16.</w:t>
      </w:r>
      <w:r>
        <w:t xml:space="preserve"> </w:t>
      </w:r>
      <w:hyperlink r:id="rId3070">
        <w:r>
          <w:rPr>
            <w:rStyle w:val="Hyperlink"/>
          </w:rPr>
          <w:t xml:space="preserve">https://doi.org/10.1016/j.cell.2021.09.005</w:t>
        </w:r>
      </w:hyperlink>
      <w:r>
        <w:t xml:space="preserve">（研究类型：小鼠严格谱系追踪）</w:t>
      </w:r>
    </w:p>
    <w:p>
      <w:pPr>
        <w:pStyle w:val="ReferenceEntry"/>
      </w:pPr>
      <w:bookmarkStart w:id="3071" w:name="ref-240"/>
      <w:r>
        <w:t xml:space="preserve">[240]</w:t>
      </w:r>
      <w:bookmarkEnd w:id="3071"/>
      <w:r>
        <w:t xml:space="preserve"> Takeuchi T, Duszkiewicz AJ, Morris RGM. The synaptic plasticity and memory hypothesis: encoding, storage and persistence.</w:t>
      </w:r>
      <w:r>
        <w:t xml:space="preserve"> </w:t>
      </w:r>
      <w:r>
        <w:rPr>
          <w:iCs/>
          <w:i/>
        </w:rPr>
        <w:t xml:space="preserve">Philosophical Transactions of the Royal Society B: Biological Sciences</w:t>
      </w:r>
      <w:r>
        <w:t xml:space="preserve">. 2014;369(1633):20130288.</w:t>
      </w:r>
      <w:r>
        <w:t xml:space="preserve"> </w:t>
      </w:r>
      <w:hyperlink r:id="rId3072">
        <w:r>
          <w:rPr>
            <w:rStyle w:val="Hyperlink"/>
          </w:rPr>
          <w:t xml:space="preserve">https://doi.org/10.1098/rstb.2013.0288</w:t>
        </w:r>
      </w:hyperlink>
      <w:r>
        <w:t xml:space="preserve">（研究类型：突触记忆假说与因果标准综述）</w:t>
      </w:r>
    </w:p>
    <w:p>
      <w:pPr>
        <w:pStyle w:val="ReferenceEntry"/>
      </w:pPr>
      <w:bookmarkStart w:id="3073" w:name="ref-241"/>
      <w:r>
        <w:t xml:space="preserve">[241]</w:t>
      </w:r>
      <w:bookmarkEnd w:id="3073"/>
      <w:r>
        <w:t xml:space="preserve"> Malenka RC, Bear MF. LTP and LTD: an embarrassment of riches.</w:t>
      </w:r>
      <w:r>
        <w:t xml:space="preserve"> </w:t>
      </w:r>
      <w:r>
        <w:rPr>
          <w:iCs/>
          <w:i/>
        </w:rPr>
        <w:t xml:space="preserve">Neuron</w:t>
      </w:r>
      <w:r>
        <w:t xml:space="preserve">. 2004;44(1):5–21.</w:t>
      </w:r>
      <w:r>
        <w:t xml:space="preserve"> </w:t>
      </w:r>
      <w:hyperlink r:id="rId3074">
        <w:r>
          <w:rPr>
            <w:rStyle w:val="Hyperlink"/>
          </w:rPr>
          <w:t xml:space="preserve">https://doi.org/10.1016/j.neuron.2004.09.012</w:t>
        </w:r>
      </w:hyperlink>
      <w:r>
        <w:t xml:space="preserve">（研究类型：突触机制综述）</w:t>
      </w:r>
    </w:p>
    <w:p>
      <w:pPr>
        <w:pStyle w:val="ReferenceEntry"/>
      </w:pPr>
      <w:bookmarkStart w:id="3075" w:name="ref-242"/>
      <w:r>
        <w:t xml:space="preserve">[242]</w:t>
      </w:r>
      <w:bookmarkEnd w:id="3075"/>
      <w:r>
        <w:t xml:space="preserve"> Nicoll RA. A Brief History of Long-Term Potentiation.</w:t>
      </w:r>
      <w:r>
        <w:t xml:space="preserve"> </w:t>
      </w:r>
      <w:r>
        <w:rPr>
          <w:iCs/>
          <w:i/>
        </w:rPr>
        <w:t xml:space="preserve">Neuron</w:t>
      </w:r>
      <w:r>
        <w:t xml:space="preserve">. 2017;93(2):281–290.</w:t>
      </w:r>
      <w:r>
        <w:t xml:space="preserve"> </w:t>
      </w:r>
      <w:hyperlink r:id="rId3076">
        <w:r>
          <w:rPr>
            <w:rStyle w:val="Hyperlink"/>
          </w:rPr>
          <w:t xml:space="preserve">https://doi.org/10.1016/j.neuron.2016.12.015</w:t>
        </w:r>
      </w:hyperlink>
      <w:r>
        <w:t xml:space="preserve">（研究类型：历史与机制综述）</w:t>
      </w:r>
    </w:p>
    <w:p>
      <w:pPr>
        <w:pStyle w:val="ReferenceEntry"/>
      </w:pPr>
      <w:bookmarkStart w:id="3077" w:name="ref-243"/>
      <w:r>
        <w:t xml:space="preserve">[243]</w:t>
      </w:r>
      <w:bookmarkEnd w:id="3077"/>
      <w:r>
        <w:t xml:space="preserve"> Lisman J, Yasuda R, Raghavachari S. Mechanisms of CaMKII action in long-term potentiation.</w:t>
      </w:r>
      <w:r>
        <w:t xml:space="preserve"> </w:t>
      </w:r>
      <w:r>
        <w:rPr>
          <w:iCs/>
          <w:i/>
        </w:rPr>
        <w:t xml:space="preserve">Nature Reviews Neuroscience</w:t>
      </w:r>
      <w:r>
        <w:t xml:space="preserve">. 2012;13(3):169–182.</w:t>
      </w:r>
      <w:r>
        <w:t xml:space="preserve"> </w:t>
      </w:r>
      <w:hyperlink r:id="rId3078">
        <w:r>
          <w:rPr>
            <w:rStyle w:val="Hyperlink"/>
          </w:rPr>
          <w:t xml:space="preserve">https://doi.org/10.1038/nrn3192</w:t>
        </w:r>
      </w:hyperlink>
      <w:r>
        <w:t xml:space="preserve">（研究类型：分子机制综述）</w:t>
      </w:r>
    </w:p>
    <w:p>
      <w:pPr>
        <w:pStyle w:val="ReferenceEntry"/>
      </w:pPr>
      <w:bookmarkStart w:id="3079" w:name="ref-244"/>
      <w:r>
        <w:t xml:space="preserve">[244]</w:t>
      </w:r>
      <w:bookmarkEnd w:id="3079"/>
      <w:r>
        <w:t xml:space="preserve"> Bi Gq, Poo Mm. Synaptic modifications in cultured hippocampal neurons: dependence on spike timing, synaptic strength, and postsynaptic cell type.</w:t>
      </w:r>
      <w:r>
        <w:t xml:space="preserve"> </w:t>
      </w:r>
      <w:r>
        <w:rPr>
          <w:iCs/>
          <w:i/>
        </w:rPr>
        <w:t xml:space="preserve">The Journal of Neuroscience</w:t>
      </w:r>
      <w:r>
        <w:t xml:space="preserve">. 1998;18(24):10464–10472.</w:t>
      </w:r>
      <w:r>
        <w:t xml:space="preserve"> </w:t>
      </w:r>
      <w:hyperlink r:id="rId3080">
        <w:r>
          <w:rPr>
            <w:rStyle w:val="Hyperlink"/>
          </w:rPr>
          <w:t xml:space="preserve">https://doi.org/10.1523/JNEUROSCI.18-24-10464.1998</w:t>
        </w:r>
      </w:hyperlink>
      <w:r>
        <w:t xml:space="preserve">（研究类型：培养神经元前后放电时序实验）</w:t>
      </w:r>
    </w:p>
    <w:p>
      <w:pPr>
        <w:pStyle w:val="ReferenceEntry"/>
      </w:pPr>
      <w:bookmarkStart w:id="3081" w:name="ref-245"/>
      <w:r>
        <w:t xml:space="preserve">[245]</w:t>
      </w:r>
      <w:bookmarkEnd w:id="3081"/>
      <w:r>
        <w:t xml:space="preserve"> Frey U, Morris RGM. Synaptic tagging and long-term potentiation.</w:t>
      </w:r>
      <w:r>
        <w:t xml:space="preserve"> </w:t>
      </w:r>
      <w:r>
        <w:rPr>
          <w:iCs/>
          <w:i/>
        </w:rPr>
        <w:t xml:space="preserve">Nature</w:t>
      </w:r>
      <w:r>
        <w:t xml:space="preserve">. 1997;385(6616):533–536.</w:t>
      </w:r>
      <w:r>
        <w:t xml:space="preserve"> </w:t>
      </w:r>
      <w:hyperlink r:id="rId3082">
        <w:r>
          <w:rPr>
            <w:rStyle w:val="Hyperlink"/>
          </w:rPr>
          <w:t xml:space="preserve">https://doi.org/10.1038/385533a0</w:t>
        </w:r>
      </w:hyperlink>
      <w:r>
        <w:t xml:space="preserve">（研究类型：海马电生理与蛋白合成操纵）</w:t>
      </w:r>
    </w:p>
    <w:p>
      <w:pPr>
        <w:pStyle w:val="ReferenceEntry"/>
      </w:pPr>
      <w:bookmarkStart w:id="3083" w:name="ref-246"/>
      <w:r>
        <w:t xml:space="preserve">[246]</w:t>
      </w:r>
      <w:bookmarkEnd w:id="3083"/>
      <w:r>
        <w:t xml:space="preserve"> Tsien JZ, Huerta PT, Tonegawa S. The essential role of hippocampal CA1 NMDA receptor-dependent synaptic plasticity in spatial memory.</w:t>
      </w:r>
      <w:r>
        <w:t xml:space="preserve"> </w:t>
      </w:r>
      <w:r>
        <w:rPr>
          <w:iCs/>
          <w:i/>
        </w:rPr>
        <w:t xml:space="preserve">Cell</w:t>
      </w:r>
      <w:r>
        <w:t xml:space="preserve">. 1996;87(7):1327–1338.</w:t>
      </w:r>
      <w:r>
        <w:t xml:space="preserve"> </w:t>
      </w:r>
      <w:hyperlink r:id="rId3084">
        <w:r>
          <w:rPr>
            <w:rStyle w:val="Hyperlink"/>
          </w:rPr>
          <w:t xml:space="preserve">https://doi.org/10.1016/S0092-8674(00)81827-9</w:t>
        </w:r>
      </w:hyperlink>
      <w:r>
        <w:t xml:space="preserve">（研究类型：小鼠区域选择性遗传操纵与学习）</w:t>
      </w:r>
    </w:p>
    <w:p>
      <w:pPr>
        <w:pStyle w:val="ReferenceEntry"/>
      </w:pPr>
      <w:bookmarkStart w:id="3085" w:name="ref-247"/>
      <w:r>
        <w:t xml:space="preserve">[247]</w:t>
      </w:r>
      <w:bookmarkEnd w:id="3085"/>
      <w:r>
        <w:t xml:space="preserve"> Nabavi S, Fox R, Proulx CD, Lin JY, Tsien RY, Malinow R. Engineering a memory with LTD and LTP.</w:t>
      </w:r>
      <w:r>
        <w:t xml:space="preserve"> </w:t>
      </w:r>
      <w:r>
        <w:rPr>
          <w:iCs/>
          <w:i/>
        </w:rPr>
        <w:t xml:space="preserve">Nature</w:t>
      </w:r>
      <w:r>
        <w:t xml:space="preserve">. 2014;511(7509):348–352.</w:t>
      </w:r>
      <w:r>
        <w:t xml:space="preserve"> </w:t>
      </w:r>
      <w:hyperlink r:id="rId3086">
        <w:r>
          <w:rPr>
            <w:rStyle w:val="Hyperlink"/>
          </w:rPr>
          <w:t xml:space="preserve">https://doi.org/10.1038/nature13294</w:t>
        </w:r>
      </w:hyperlink>
      <w:r>
        <w:t xml:space="preserve">（研究类型：动物光遗传与突触可塑性操纵）</w:t>
      </w:r>
    </w:p>
    <w:p>
      <w:pPr>
        <w:pStyle w:val="ReferenceEntry"/>
      </w:pPr>
      <w:bookmarkStart w:id="3087" w:name="ref-248"/>
      <w:r>
        <w:t xml:space="preserve">[248]</w:t>
      </w:r>
      <w:bookmarkEnd w:id="3087"/>
      <w:r>
        <w:t xml:space="preserve"> Gerstner W, Lehmann M, Liakoni V, Corneil D, Brea J. Eligibility Traces and Plasticity on Behavioral Time Scales: Experimental Support of NeoHebbian Three-Factor Learning Rules.</w:t>
      </w:r>
      <w:r>
        <w:t xml:space="preserve"> </w:t>
      </w:r>
      <w:r>
        <w:rPr>
          <w:iCs/>
          <w:i/>
        </w:rPr>
        <w:t xml:space="preserve">Frontiers in Neural Circuits</w:t>
      </w:r>
      <w:r>
        <w:t xml:space="preserve">. 2018;12:53.</w:t>
      </w:r>
      <w:r>
        <w:t xml:space="preserve"> </w:t>
      </w:r>
      <w:hyperlink r:id="rId3088">
        <w:r>
          <w:rPr>
            <w:rStyle w:val="Hyperlink"/>
          </w:rPr>
          <w:t xml:space="preserve">https://doi.org/10.3389/fncir.2018.00053</w:t>
        </w:r>
      </w:hyperlink>
      <w:r>
        <w:t xml:space="preserve">（研究类型：三因素规则理论与实验综合）</w:t>
      </w:r>
    </w:p>
    <w:p>
      <w:pPr>
        <w:pStyle w:val="ReferenceEntry"/>
      </w:pPr>
      <w:bookmarkStart w:id="3089" w:name="ref-249"/>
      <w:r>
        <w:t xml:space="preserve">[249]</w:t>
      </w:r>
      <w:bookmarkEnd w:id="3089"/>
      <w:r>
        <w:t xml:space="preserve"> Squire LR, Zola SM. Structure and function of declarative and nondeclarative memory systems.</w:t>
      </w:r>
      <w:r>
        <w:t xml:space="preserve"> </w:t>
      </w:r>
      <w:r>
        <w:rPr>
          <w:iCs/>
          <w:i/>
        </w:rPr>
        <w:t xml:space="preserve">Proceedings of the National Academy of Sciences</w:t>
      </w:r>
      <w:r>
        <w:t xml:space="preserve">. 1996;93(24):13515–13522.</w:t>
      </w:r>
      <w:r>
        <w:t xml:space="preserve"> </w:t>
      </w:r>
      <w:hyperlink r:id="rId3090">
        <w:r>
          <w:rPr>
            <w:rStyle w:val="Hyperlink"/>
          </w:rPr>
          <w:t xml:space="preserve">https://doi.org/10.1073/pnas.93.24.13515</w:t>
        </w:r>
      </w:hyperlink>
      <w:r>
        <w:t xml:space="preserve">（研究类型：记忆系统综述）</w:t>
      </w:r>
    </w:p>
    <w:p>
      <w:pPr>
        <w:pStyle w:val="ReferenceEntry"/>
      </w:pPr>
      <w:bookmarkStart w:id="3091" w:name="ref-250"/>
      <w:r>
        <w:t xml:space="preserve">[250]</w:t>
      </w:r>
      <w:bookmarkEnd w:id="3091"/>
      <w:r>
        <w:t xml:space="preserve"> Tulving E. Episodic memory: from mind to brain.</w:t>
      </w:r>
      <w:r>
        <w:t xml:space="preserve"> </w:t>
      </w:r>
      <w:r>
        <w:rPr>
          <w:iCs/>
          <w:i/>
        </w:rPr>
        <w:t xml:space="preserve">Annual Review of Psychology</w:t>
      </w:r>
      <w:r>
        <w:t xml:space="preserve">. 2002;53(1):1–25.</w:t>
      </w:r>
      <w:r>
        <w:t xml:space="preserve"> </w:t>
      </w:r>
      <w:hyperlink r:id="rId3092">
        <w:r>
          <w:rPr>
            <w:rStyle w:val="Hyperlink"/>
          </w:rPr>
          <w:t xml:space="preserve">https://doi.org/10.1146/annurev.psych.53.100901.135114</w:t>
        </w:r>
      </w:hyperlink>
      <w:r>
        <w:t xml:space="preserve">（研究类型：情景记忆理论与证据综合）</w:t>
      </w:r>
    </w:p>
    <w:p>
      <w:pPr>
        <w:pStyle w:val="ReferenceEntry"/>
      </w:pPr>
      <w:bookmarkStart w:id="3093" w:name="ref-251"/>
      <w:r>
        <w:t xml:space="preserve">[251]</w:t>
      </w:r>
      <w:bookmarkEnd w:id="3093"/>
      <w:r>
        <w:t xml:space="preserve"> Scoville WB, Milner B. Loss of recent memory after bilateral hippocampal lesions.</w:t>
      </w:r>
      <w:r>
        <w:t xml:space="preserve"> </w:t>
      </w:r>
      <w:r>
        <w:rPr>
          <w:iCs/>
          <w:i/>
        </w:rPr>
        <w:t xml:space="preserve">Journal of Neurology, Neurosurgery &amp; Psychiatry</w:t>
      </w:r>
      <w:r>
        <w:t xml:space="preserve">. 1957;20(1):11–21.</w:t>
      </w:r>
      <w:r>
        <w:t xml:space="preserve"> </w:t>
      </w:r>
      <w:hyperlink r:id="rId3094">
        <w:r>
          <w:rPr>
            <w:rStyle w:val="Hyperlink"/>
          </w:rPr>
          <w:t xml:space="preserve">https://doi.org/10.1136/jnnp.20.1.11</w:t>
        </w:r>
      </w:hyperlink>
      <w:r>
        <w:t xml:space="preserve">（研究类型：临床病例研究）</w:t>
      </w:r>
    </w:p>
    <w:p>
      <w:pPr>
        <w:pStyle w:val="ReferenceEntry"/>
      </w:pPr>
      <w:bookmarkStart w:id="3095" w:name="ref-252"/>
      <w:r>
        <w:t xml:space="preserve">[252]</w:t>
      </w:r>
      <w:bookmarkEnd w:id="3095"/>
      <w:r>
        <w:t xml:space="preserve"> Cohen NJ, Squire LR. Preserved learning and retention of pattern-analyzing skill in amnesia: dissociation of knowing how and knowing that.</w:t>
      </w:r>
      <w:r>
        <w:t xml:space="preserve"> </w:t>
      </w:r>
      <w:r>
        <w:rPr>
          <w:iCs/>
          <w:i/>
        </w:rPr>
        <w:t xml:space="preserve">Science</w:t>
      </w:r>
      <w:r>
        <w:t xml:space="preserve">. 1980;210(4466):207–210.</w:t>
      </w:r>
      <w:r>
        <w:t xml:space="preserve"> </w:t>
      </w:r>
      <w:hyperlink r:id="rId3096">
        <w:r>
          <w:rPr>
            <w:rStyle w:val="Hyperlink"/>
          </w:rPr>
          <w:t xml:space="preserve">https://doi.org/10.1126/science.7414331</w:t>
        </w:r>
      </w:hyperlink>
      <w:r>
        <w:t xml:space="preserve">（研究类型：失忆患者与对照技能学习实验）</w:t>
      </w:r>
    </w:p>
    <w:p>
      <w:pPr>
        <w:pStyle w:val="ReferenceEntry"/>
      </w:pPr>
      <w:bookmarkStart w:id="3097" w:name="ref-253"/>
      <w:r>
        <w:t xml:space="preserve">[253]</w:t>
      </w:r>
      <w:bookmarkEnd w:id="3097"/>
      <w:r>
        <w:t xml:space="preserve"> Gabrieli JDE, Fleischman DA, Keane MM, Reminger SL, Morrell F. Double Dissociation Between Memory Systems Underlying Explicit and Implicit Memory in the Human Brain.</w:t>
      </w:r>
      <w:r>
        <w:t xml:space="preserve"> </w:t>
      </w:r>
      <w:r>
        <w:rPr>
          <w:iCs/>
          <w:i/>
        </w:rPr>
        <w:t xml:space="preserve">Psychological Science</w:t>
      </w:r>
      <w:r>
        <w:t xml:space="preserve">. 1995;6(2):76–82.</w:t>
      </w:r>
      <w:r>
        <w:t xml:space="preserve"> </w:t>
      </w:r>
      <w:hyperlink r:id="rId3098">
        <w:r>
          <w:rPr>
            <w:rStyle w:val="Hyperlink"/>
          </w:rPr>
          <w:t xml:space="preserve">https://doi.org/10.1111/j.1467-9280.1995.tb00310.x</w:t>
        </w:r>
      </w:hyperlink>
      <w:r>
        <w:t xml:space="preserve">（研究类型：神经心理病例与比较）</w:t>
      </w:r>
    </w:p>
    <w:p>
      <w:pPr>
        <w:pStyle w:val="ReferenceEntry"/>
      </w:pPr>
      <w:bookmarkStart w:id="3099" w:name="ref-254"/>
      <w:r>
        <w:t xml:space="preserve">[254]</w:t>
      </w:r>
      <w:bookmarkEnd w:id="3099"/>
      <w:r>
        <w:t xml:space="preserve"> Knowlton BJ, Mangels JA, Squire LR. A neostriatal habit learning system in humans.</w:t>
      </w:r>
      <w:r>
        <w:t xml:space="preserve"> </w:t>
      </w:r>
      <w:r>
        <w:rPr>
          <w:iCs/>
          <w:i/>
        </w:rPr>
        <w:t xml:space="preserve">Science</w:t>
      </w:r>
      <w:r>
        <w:t xml:space="preserve">. 1996;273(5280):1399–1402.</w:t>
      </w:r>
      <w:r>
        <w:t xml:space="preserve"> </w:t>
      </w:r>
      <w:hyperlink r:id="rId3100">
        <w:r>
          <w:rPr>
            <w:rStyle w:val="Hyperlink"/>
          </w:rPr>
          <w:t xml:space="preserve">https://doi.org/10.1126/science.273.5280.1399</w:t>
        </w:r>
      </w:hyperlink>
      <w:r>
        <w:t xml:space="preserve">（研究类型：失忆及帕金森病组比较实验）</w:t>
      </w:r>
    </w:p>
    <w:p>
      <w:pPr>
        <w:pStyle w:val="ReferenceEntry"/>
      </w:pPr>
      <w:bookmarkStart w:id="3101" w:name="ref-255"/>
      <w:r>
        <w:t xml:space="preserve">[255]</w:t>
      </w:r>
      <w:bookmarkEnd w:id="3101"/>
      <w:r>
        <w:t xml:space="preserve"> Renoult L, Davidson PSR, Palombo DJ, Moscovitch M, Levine B. Personal semantics: at the crossroads of semantic and episodic memory.</w:t>
      </w:r>
      <w:r>
        <w:t xml:space="preserve"> </w:t>
      </w:r>
      <w:r>
        <w:rPr>
          <w:iCs/>
          <w:i/>
        </w:rPr>
        <w:t xml:space="preserve">Trends in Cognitive Sciences</w:t>
      </w:r>
      <w:r>
        <w:t xml:space="preserve">. 2012;16(11):550–558.</w:t>
      </w:r>
      <w:r>
        <w:t xml:space="preserve"> </w:t>
      </w:r>
      <w:hyperlink r:id="rId3102">
        <w:r>
          <w:rPr>
            <w:rStyle w:val="Hyperlink"/>
          </w:rPr>
          <w:t xml:space="preserve">https://doi.org/10.1016/j.tics.2012.09.003</w:t>
        </w:r>
      </w:hyperlink>
      <w:r>
        <w:t xml:space="preserve">（研究类型：个人语义理论综述）</w:t>
      </w:r>
    </w:p>
    <w:p>
      <w:pPr>
        <w:pStyle w:val="ReferenceEntry"/>
      </w:pPr>
      <w:bookmarkStart w:id="3103" w:name="ref-256"/>
      <w:r>
        <w:t xml:space="preserve">[256]</w:t>
      </w:r>
      <w:bookmarkEnd w:id="3103"/>
      <w:r>
        <w:t xml:space="preserve"> Eichenbaum H, Cohen NJ. Can we reconcile the declarative memory and spatial navigation views on hippocampal function?.</w:t>
      </w:r>
      <w:r>
        <w:t xml:space="preserve"> </w:t>
      </w:r>
      <w:r>
        <w:rPr>
          <w:iCs/>
          <w:i/>
        </w:rPr>
        <w:t xml:space="preserve">Neuron</w:t>
      </w:r>
      <w:r>
        <w:t xml:space="preserve">. 2014;83(4):764–770.</w:t>
      </w:r>
      <w:r>
        <w:t xml:space="preserve"> </w:t>
      </w:r>
      <w:hyperlink r:id="rId3104">
        <w:r>
          <w:rPr>
            <w:rStyle w:val="Hyperlink"/>
          </w:rPr>
          <w:t xml:space="preserve">https://doi.org/10.1016/j.neuron.2014.07.032</w:t>
        </w:r>
      </w:hyperlink>
      <w:r>
        <w:t xml:space="preserve">（研究类型：海马关系与空间理论讨论）</w:t>
      </w:r>
    </w:p>
    <w:p>
      <w:pPr>
        <w:pStyle w:val="ReferenceEntry"/>
      </w:pPr>
      <w:bookmarkStart w:id="3105" w:name="ref-257"/>
      <w:r>
        <w:t xml:space="preserve">[257]</w:t>
      </w:r>
      <w:bookmarkEnd w:id="3105"/>
      <w:r>
        <w:t xml:space="preserve"> Yassa MA, Stark CEL. Pattern separation in the hippocampus.</w:t>
      </w:r>
      <w:r>
        <w:t xml:space="preserve"> </w:t>
      </w:r>
      <w:r>
        <w:rPr>
          <w:iCs/>
          <w:i/>
        </w:rPr>
        <w:t xml:space="preserve">Trends in Neurosciences</w:t>
      </w:r>
      <w:r>
        <w:t xml:space="preserve">. 2011;34(10):515–525.</w:t>
      </w:r>
      <w:r>
        <w:t xml:space="preserve"> </w:t>
      </w:r>
      <w:hyperlink r:id="rId3106">
        <w:r>
          <w:rPr>
            <w:rStyle w:val="Hyperlink"/>
          </w:rPr>
          <w:t xml:space="preserve">https://doi.org/10.1016/j.tins.2011.06.006</w:t>
        </w:r>
      </w:hyperlink>
      <w:r>
        <w:t xml:space="preserve">（研究类型：模式分离机制综述）</w:t>
      </w:r>
    </w:p>
    <w:p>
      <w:pPr>
        <w:pStyle w:val="ReferenceEntry"/>
      </w:pPr>
      <w:bookmarkStart w:id="3107" w:name="ref-258"/>
      <w:r>
        <w:t xml:space="preserve">[258]</w:t>
      </w:r>
      <w:bookmarkEnd w:id="3107"/>
      <w:r>
        <w:t xml:space="preserve"> Nakazawa K, Quirk MC, Chitwood RA, Watanabe M, Yeckel MF, Sun LD, et al. Requirement for Hippocampal CA3 NMDA Receptors in Associative Memory Recall.</w:t>
      </w:r>
      <w:r>
        <w:t xml:space="preserve"> </w:t>
      </w:r>
      <w:r>
        <w:rPr>
          <w:iCs/>
          <w:i/>
        </w:rPr>
        <w:t xml:space="preserve">Science</w:t>
      </w:r>
      <w:r>
        <w:t xml:space="preserve">. 2002;297(5579):211–218.</w:t>
      </w:r>
      <w:r>
        <w:t xml:space="preserve"> </w:t>
      </w:r>
      <w:hyperlink r:id="rId3108">
        <w:r>
          <w:rPr>
            <w:rStyle w:val="Hyperlink"/>
          </w:rPr>
          <w:t xml:space="preserve">https://doi.org/10.1126/science.1071795</w:t>
        </w:r>
      </w:hyperlink>
      <w:r>
        <w:t xml:space="preserve">（研究类型：小鼠CA3相关遗传操纵）</w:t>
      </w:r>
    </w:p>
    <w:p>
      <w:pPr>
        <w:pStyle w:val="ReferenceEntry"/>
      </w:pPr>
      <w:bookmarkStart w:id="3109" w:name="ref-259"/>
      <w:r>
        <w:t xml:space="preserve">[259]</w:t>
      </w:r>
      <w:bookmarkEnd w:id="3109"/>
      <w:r>
        <w:t xml:space="preserve"> McClelland JL, McNaughton BL, O'Reilly RC. Why there are complementary learning systems in the hippocampus and neocortex: insights from the successes and failures of connectionist models of learning and memory.</w:t>
      </w:r>
      <w:r>
        <w:t xml:space="preserve"> </w:t>
      </w:r>
      <w:r>
        <w:rPr>
          <w:iCs/>
          <w:i/>
        </w:rPr>
        <w:t xml:space="preserve">Psychological Review</w:t>
      </w:r>
      <w:r>
        <w:t xml:space="preserve">. 1995;102(3):419–457.</w:t>
      </w:r>
      <w:r>
        <w:t xml:space="preserve"> </w:t>
      </w:r>
      <w:hyperlink r:id="rId3110">
        <w:r>
          <w:rPr>
            <w:rStyle w:val="Hyperlink"/>
          </w:rPr>
          <w:t xml:space="preserve">https://doi.org/10.1037/0033-295X.102.3.419</w:t>
        </w:r>
      </w:hyperlink>
      <w:r>
        <w:t xml:space="preserve">（研究类型：计算理论与证据整合）</w:t>
      </w:r>
    </w:p>
    <w:p>
      <w:pPr>
        <w:pStyle w:val="ReferenceEntry"/>
      </w:pPr>
      <w:bookmarkStart w:id="3111" w:name="ref-260"/>
      <w:r>
        <w:t xml:space="preserve">[260]</w:t>
      </w:r>
      <w:bookmarkEnd w:id="3111"/>
      <w:r>
        <w:t xml:space="preserve"> Schapiro AC, Turk-Browne NB, Botvinick MM, Norman KA. Complementary learning systems within the hippocampus: a neural network modelling approach to reconciling episodic memory with statistical learning.</w:t>
      </w:r>
      <w:r>
        <w:t xml:space="preserve"> </w:t>
      </w:r>
      <w:r>
        <w:rPr>
          <w:iCs/>
          <w:i/>
        </w:rPr>
        <w:t xml:space="preserve">Philosophical Transactions of the Royal Society B: Biological Sciences</w:t>
      </w:r>
      <w:r>
        <w:t xml:space="preserve">. 2017;372(1711):20160049.</w:t>
      </w:r>
      <w:r>
        <w:t xml:space="preserve"> </w:t>
      </w:r>
      <w:hyperlink r:id="rId3112">
        <w:r>
          <w:rPr>
            <w:rStyle w:val="Hyperlink"/>
          </w:rPr>
          <w:t xml:space="preserve">https://doi.org/10.1098/rstb.2016.0049</w:t>
        </w:r>
      </w:hyperlink>
      <w:r>
        <w:t xml:space="preserve">（研究类型：海马神经网络建模）</w:t>
      </w:r>
    </w:p>
    <w:p>
      <w:pPr>
        <w:pStyle w:val="ReferenceEntry"/>
      </w:pPr>
      <w:bookmarkStart w:id="3113" w:name="ref-261"/>
      <w:r>
        <w:t xml:space="preserve">[261]</w:t>
      </w:r>
      <w:bookmarkEnd w:id="3113"/>
      <w:r>
        <w:t xml:space="preserve"> Squire LR, Genzel L, Wixted JT, Morris RG. Memory Consolidation.</w:t>
      </w:r>
      <w:r>
        <w:t xml:space="preserve"> </w:t>
      </w:r>
      <w:r>
        <w:rPr>
          <w:iCs/>
          <w:i/>
        </w:rPr>
        <w:t xml:space="preserve">Cold Spring Harbor Perspectives in Biology</w:t>
      </w:r>
      <w:r>
        <w:t xml:space="preserve">. 2015;7(8):a021766.</w:t>
      </w:r>
      <w:r>
        <w:t xml:space="preserve"> </w:t>
      </w:r>
      <w:hyperlink r:id="rId3114">
        <w:r>
          <w:rPr>
            <w:rStyle w:val="Hyperlink"/>
          </w:rPr>
          <w:t xml:space="preserve">https://doi.org/10.1101/cshperspect.a021766</w:t>
        </w:r>
      </w:hyperlink>
      <w:r>
        <w:t xml:space="preserve">（研究类型：系统巩固综述）</w:t>
      </w:r>
    </w:p>
    <w:p>
      <w:pPr>
        <w:pStyle w:val="ReferenceEntry"/>
      </w:pPr>
      <w:bookmarkStart w:id="3115" w:name="ref-262"/>
      <w:r>
        <w:t xml:space="preserve">[262]</w:t>
      </w:r>
      <w:bookmarkEnd w:id="3115"/>
      <w:r>
        <w:t xml:space="preserve"> Nadel L, Moscovitch M. Memory consolidation, retrograde amnesia and the hippocampal complex.</w:t>
      </w:r>
      <w:r>
        <w:t xml:space="preserve"> </w:t>
      </w:r>
      <w:r>
        <w:rPr>
          <w:iCs/>
          <w:i/>
        </w:rPr>
        <w:t xml:space="preserve">Current Opinion in Neurobiology</w:t>
      </w:r>
      <w:r>
        <w:t xml:space="preserve">. 1997;7(2):217–227.</w:t>
      </w:r>
      <w:r>
        <w:t xml:space="preserve"> </w:t>
      </w:r>
      <w:hyperlink r:id="rId3116">
        <w:r>
          <w:rPr>
            <w:rStyle w:val="Hyperlink"/>
          </w:rPr>
          <w:t xml:space="preserve">https://doi.org/10.1016/S0959-4388(97)80010-4</w:t>
        </w:r>
      </w:hyperlink>
      <w:r>
        <w:t xml:space="preserve">（研究类型：巩固理论与遗忘证据讨论）</w:t>
      </w:r>
    </w:p>
    <w:p>
      <w:pPr>
        <w:pStyle w:val="ReferenceEntry"/>
      </w:pPr>
      <w:bookmarkStart w:id="3117" w:name="ref-263"/>
      <w:r>
        <w:t xml:space="preserve">[263]</w:t>
      </w:r>
      <w:bookmarkEnd w:id="3117"/>
      <w:r>
        <w:t xml:space="preserve"> Tse D, Langston RF, Kakeyama M, Bethus I, Spooner PA, Wood ER, et al. Schemas and memory consolidation.</w:t>
      </w:r>
      <w:r>
        <w:t xml:space="preserve"> </w:t>
      </w:r>
      <w:r>
        <w:rPr>
          <w:iCs/>
          <w:i/>
        </w:rPr>
        <w:t xml:space="preserve">Science</w:t>
      </w:r>
      <w:r>
        <w:t xml:space="preserve">. 2007;316(5821):76–82.</w:t>
      </w:r>
      <w:r>
        <w:t xml:space="preserve"> </w:t>
      </w:r>
      <w:hyperlink r:id="rId3118">
        <w:r>
          <w:rPr>
            <w:rStyle w:val="Hyperlink"/>
          </w:rPr>
          <w:t xml:space="preserve">https://doi.org/10.1126/science.1135935</w:t>
        </w:r>
      </w:hyperlink>
      <w:r>
        <w:t xml:space="preserve">（研究类型：大鼠味道地点关联与图式实验）</w:t>
      </w:r>
    </w:p>
    <w:p>
      <w:pPr>
        <w:pStyle w:val="ReferenceEntry"/>
      </w:pPr>
      <w:bookmarkStart w:id="3119" w:name="ref-264"/>
      <w:r>
        <w:t xml:space="preserve">[264]</w:t>
      </w:r>
      <w:bookmarkEnd w:id="3119"/>
      <w:r>
        <w:t xml:space="preserve"> Loftus EF, Palmer JC. Reconstruction of automobile destruction: An example of the interaction between language and memory.</w:t>
      </w:r>
      <w:r>
        <w:t xml:space="preserve"> </w:t>
      </w:r>
      <w:r>
        <w:rPr>
          <w:iCs/>
          <w:i/>
        </w:rPr>
        <w:t xml:space="preserve">Journal of Verbal Learning and Verbal Behavior</w:t>
      </w:r>
      <w:r>
        <w:t xml:space="preserve">. 1974;13(5):585–589.</w:t>
      </w:r>
      <w:r>
        <w:t xml:space="preserve"> </w:t>
      </w:r>
      <w:hyperlink r:id="rId3120">
        <w:r>
          <w:rPr>
            <w:rStyle w:val="Hyperlink"/>
          </w:rPr>
          <w:t xml:space="preserve">https://doi.org/10.1016/S0022-5371(74)80011-3</w:t>
        </w:r>
      </w:hyperlink>
      <w:r>
        <w:t xml:space="preserve">（研究类型：事后措辞误导实验）</w:t>
      </w:r>
    </w:p>
    <w:p>
      <w:pPr>
        <w:pStyle w:val="ReferenceEntry"/>
      </w:pPr>
      <w:bookmarkStart w:id="3121" w:name="ref-265"/>
      <w:r>
        <w:t xml:space="preserve">[265]</w:t>
      </w:r>
      <w:bookmarkEnd w:id="3121"/>
      <w:r>
        <w:t xml:space="preserve"> Roediger HL, McDermott KB. Creating false memories: Remembering words not presented in lists.</w:t>
      </w:r>
      <w:r>
        <w:t xml:space="preserve"> </w:t>
      </w:r>
      <w:r>
        <w:rPr>
          <w:iCs/>
          <w:i/>
        </w:rPr>
        <w:t xml:space="preserve">Journal of Experimental Psychology: Learning, Memory, and Cognition</w:t>
      </w:r>
      <w:r>
        <w:t xml:space="preserve">. 1995;21(4):803–814.</w:t>
      </w:r>
      <w:r>
        <w:t xml:space="preserve"> </w:t>
      </w:r>
      <w:hyperlink r:id="rId3122">
        <w:r>
          <w:rPr>
            <w:rStyle w:val="Hyperlink"/>
          </w:rPr>
          <w:t xml:space="preserve">https://doi.org/10.1037/0278-7393.21.4.803</w:t>
        </w:r>
      </w:hyperlink>
      <w:r>
        <w:t xml:space="preserve">（研究类型：关联词表错误记忆实验）</w:t>
      </w:r>
    </w:p>
    <w:p>
      <w:pPr>
        <w:pStyle w:val="ReferenceEntry"/>
      </w:pPr>
      <w:bookmarkStart w:id="3123" w:name="ref-266"/>
      <w:r>
        <w:t xml:space="preserve">[266]</w:t>
      </w:r>
      <w:bookmarkEnd w:id="3123"/>
      <w:r>
        <w:t xml:space="preserve"> Johnson MK, Hashtroudi S, Lindsay DS. Source monitoring.</w:t>
      </w:r>
      <w:r>
        <w:t xml:space="preserve"> </w:t>
      </w:r>
      <w:r>
        <w:rPr>
          <w:iCs/>
          <w:i/>
        </w:rPr>
        <w:t xml:space="preserve">Psychological Bulletin</w:t>
      </w:r>
      <w:r>
        <w:t xml:space="preserve">. 1993;114(1):3–28.</w:t>
      </w:r>
      <w:r>
        <w:t xml:space="preserve"> </w:t>
      </w:r>
      <w:hyperlink r:id="rId3124">
        <w:r>
          <w:rPr>
            <w:rStyle w:val="Hyperlink"/>
          </w:rPr>
          <w:t xml:space="preserve">https://doi.org/10.1037/0033-2909.114.1.3</w:t>
        </w:r>
      </w:hyperlink>
      <w:r>
        <w:t xml:space="preserve">（研究类型：来源监控理论与证据综合）</w:t>
      </w:r>
    </w:p>
    <w:p>
      <w:pPr>
        <w:pStyle w:val="ReferenceEntry"/>
      </w:pPr>
      <w:bookmarkStart w:id="3125" w:name="ref-267"/>
      <w:r>
        <w:t xml:space="preserve">[267]</w:t>
      </w:r>
      <w:bookmarkEnd w:id="3125"/>
      <w:r>
        <w:t xml:space="preserve"> Brainerd CJ, Reyna VF. Fuzzy-Trace Theory and False Memory.</w:t>
      </w:r>
      <w:r>
        <w:t xml:space="preserve"> </w:t>
      </w:r>
      <w:r>
        <w:rPr>
          <w:iCs/>
          <w:i/>
        </w:rPr>
        <w:t xml:space="preserve">Current Directions in Psychological Science</w:t>
      </w:r>
      <w:r>
        <w:t xml:space="preserve">. 2002;11(5):164–169.</w:t>
      </w:r>
      <w:r>
        <w:t xml:space="preserve"> </w:t>
      </w:r>
      <w:hyperlink r:id="rId3126">
        <w:r>
          <w:rPr>
            <w:rStyle w:val="Hyperlink"/>
          </w:rPr>
          <w:t xml:space="preserve">https://doi.org/10.1111/1467-8721.00192</w:t>
        </w:r>
      </w:hyperlink>
      <w:r>
        <w:t xml:space="preserve">（研究类型：理论综合）</w:t>
      </w:r>
    </w:p>
    <w:p>
      <w:pPr>
        <w:pStyle w:val="ReferenceEntry"/>
      </w:pPr>
      <w:bookmarkStart w:id="3127" w:name="ref-268"/>
      <w:r>
        <w:t xml:space="preserve">[268]</w:t>
      </w:r>
      <w:bookmarkEnd w:id="3127"/>
      <w:r>
        <w:t xml:space="preserve"> Talarico JM, Rubin DC. Confidence, Not Consistency, Characterizes Flashbulb Memories.</w:t>
      </w:r>
      <w:r>
        <w:t xml:space="preserve"> </w:t>
      </w:r>
      <w:r>
        <w:rPr>
          <w:iCs/>
          <w:i/>
        </w:rPr>
        <w:t xml:space="preserve">Psychological Science</w:t>
      </w:r>
      <w:r>
        <w:t xml:space="preserve">. 2003;14(5):455–461.</w:t>
      </w:r>
      <w:r>
        <w:t xml:space="preserve"> </w:t>
      </w:r>
      <w:hyperlink r:id="rId3128">
        <w:r>
          <w:rPr>
            <w:rStyle w:val="Hyperlink"/>
          </w:rPr>
          <w:t xml:space="preserve">https://doi.org/10.1111/1467-9280.02453</w:t>
        </w:r>
      </w:hyperlink>
      <w:r>
        <w:t xml:space="preserve">（研究类型：闪光灯记忆纵向比较）</w:t>
      </w:r>
    </w:p>
    <w:p>
      <w:pPr>
        <w:pStyle w:val="ReferenceEntry"/>
      </w:pPr>
      <w:bookmarkStart w:id="3129" w:name="ref-269"/>
      <w:r>
        <w:t xml:space="preserve">[269]</w:t>
      </w:r>
      <w:bookmarkEnd w:id="3129"/>
      <w:r>
        <w:t xml:space="preserve"> Wixted JT, Wells GL. The Relationship Between Eyewitness Confidence and Identification Accuracy: A New Synthesis.</w:t>
      </w:r>
      <w:r>
        <w:t xml:space="preserve"> </w:t>
      </w:r>
      <w:r>
        <w:rPr>
          <w:iCs/>
          <w:i/>
        </w:rPr>
        <w:t xml:space="preserve">Psychological Science in the Public Interest</w:t>
      </w:r>
      <w:r>
        <w:t xml:space="preserve">. 2017;18(1):10–65.</w:t>
      </w:r>
      <w:r>
        <w:t xml:space="preserve"> </w:t>
      </w:r>
      <w:hyperlink r:id="rId3130">
        <w:r>
          <w:rPr>
            <w:rStyle w:val="Hyperlink"/>
          </w:rPr>
          <w:t xml:space="preserve">https://doi.org/10.1177/1529100616686966</w:t>
        </w:r>
      </w:hyperlink>
      <w:r>
        <w:t xml:space="preserve">（研究类型：目击信心与准确性综合分析）</w:t>
      </w:r>
    </w:p>
    <w:p>
      <w:pPr>
        <w:pStyle w:val="ReferenceEntry"/>
      </w:pPr>
      <w:bookmarkStart w:id="3131" w:name="ref-270"/>
      <w:r>
        <w:t xml:space="preserve">[270]</w:t>
      </w:r>
      <w:bookmarkEnd w:id="3131"/>
      <w:r>
        <w:t xml:space="preserve"> Wixted JT, Mickes L, Dunn JC, Clark SE, Wells W. Estimating the reliability of eyewitness identifications from police lineups.</w:t>
      </w:r>
      <w:r>
        <w:t xml:space="preserve"> </w:t>
      </w:r>
      <w:r>
        <w:rPr>
          <w:iCs/>
          <w:i/>
        </w:rPr>
        <w:t xml:space="preserve">Proceedings of the National Academy of Sciences</w:t>
      </w:r>
      <w:r>
        <w:t xml:space="preserve">. 2016;113(2):304–309.</w:t>
      </w:r>
      <w:r>
        <w:t xml:space="preserve"> </w:t>
      </w:r>
      <w:hyperlink r:id="rId3132">
        <w:r>
          <w:rPr>
            <w:rStyle w:val="Hyperlink"/>
          </w:rPr>
          <w:t xml:space="preserve">https://doi.org/10.1073/pnas.1516814112</w:t>
        </w:r>
      </w:hyperlink>
      <w:r>
        <w:t xml:space="preserve">（研究类型：警方实地辨认与信号检测建模）</w:t>
      </w:r>
    </w:p>
    <w:p>
      <w:pPr>
        <w:pStyle w:val="ReferenceEntry"/>
      </w:pPr>
      <w:bookmarkStart w:id="3133" w:name="ref-271"/>
      <w:r>
        <w:t xml:space="preserve">[271]</w:t>
      </w:r>
      <w:bookmarkEnd w:id="3133"/>
      <w:r>
        <w:t xml:space="preserve"> Nader K, Schafe GE, Le Doux JE. Fear memories require protein synthesis in the amygdala for reconsolidation after retrieval.</w:t>
      </w:r>
      <w:r>
        <w:t xml:space="preserve"> </w:t>
      </w:r>
      <w:r>
        <w:rPr>
          <w:iCs/>
          <w:i/>
        </w:rPr>
        <w:t xml:space="preserve">Nature</w:t>
      </w:r>
      <w:r>
        <w:t xml:space="preserve">. 2000;406(6797):722–726.</w:t>
      </w:r>
      <w:r>
        <w:t xml:space="preserve"> </w:t>
      </w:r>
      <w:hyperlink r:id="rId3134">
        <w:r>
          <w:rPr>
            <w:rStyle w:val="Hyperlink"/>
          </w:rPr>
          <w:t xml:space="preserve">https://doi.org/10.1038/35021052</w:t>
        </w:r>
      </w:hyperlink>
      <w:r>
        <w:t xml:space="preserve">（研究类型：动物药理操纵实验）</w:t>
      </w:r>
    </w:p>
    <w:p>
      <w:pPr>
        <w:pStyle w:val="ReferenceEntry"/>
      </w:pPr>
      <w:bookmarkStart w:id="3135" w:name="ref-272"/>
      <w:r>
        <w:t xml:space="preserve">[272]</w:t>
      </w:r>
      <w:bookmarkEnd w:id="3135"/>
      <w:r>
        <w:t xml:space="preserve"> Sevenster D, Beckers T, Kindt M. Prediction error governs pharmacologically induced amnesia for learned fear.</w:t>
      </w:r>
      <w:r>
        <w:t xml:space="preserve"> </w:t>
      </w:r>
      <w:r>
        <w:rPr>
          <w:iCs/>
          <w:i/>
        </w:rPr>
        <w:t xml:space="preserve">Science</w:t>
      </w:r>
      <w:r>
        <w:t xml:space="preserve">. 2013;339(6121):830–833.</w:t>
      </w:r>
      <w:r>
        <w:t xml:space="preserve"> </w:t>
      </w:r>
      <w:hyperlink r:id="rId3136">
        <w:r>
          <w:rPr>
            <w:rStyle w:val="Hyperlink"/>
          </w:rPr>
          <w:t xml:space="preserve">https://doi.org/10.1126/science.1231357</w:t>
        </w:r>
      </w:hyperlink>
      <w:r>
        <w:t xml:space="preserve">（研究类型：人体恐惧记忆药理实验）</w:t>
      </w:r>
    </w:p>
    <w:p>
      <w:pPr>
        <w:pStyle w:val="ReferenceEntry"/>
      </w:pPr>
      <w:bookmarkStart w:id="3137" w:name="ref-273"/>
      <w:r>
        <w:t xml:space="preserve">[273]</w:t>
      </w:r>
      <w:bookmarkEnd w:id="3137"/>
      <w:r>
        <w:t xml:space="preserve"> Dunsmoor JE, Niv Y, Daw N, Phelps EA. Rethinking Extinction.</w:t>
      </w:r>
      <w:r>
        <w:t xml:space="preserve"> </w:t>
      </w:r>
      <w:r>
        <w:rPr>
          <w:iCs/>
          <w:i/>
        </w:rPr>
        <w:t xml:space="preserve">Neuron</w:t>
      </w:r>
      <w:r>
        <w:t xml:space="preserve">. 2015;88(1):47–63.</w:t>
      </w:r>
      <w:r>
        <w:t xml:space="preserve"> </w:t>
      </w:r>
      <w:hyperlink r:id="rId3138">
        <w:r>
          <w:rPr>
            <w:rStyle w:val="Hyperlink"/>
          </w:rPr>
          <w:t xml:space="preserve">https://doi.org/10.1016/j.neuron.2015.09.028</w:t>
        </w:r>
      </w:hyperlink>
      <w:r>
        <w:t xml:space="preserve">（研究类型：计算与神经机制综述）</w:t>
      </w:r>
    </w:p>
    <w:p>
      <w:pPr>
        <w:pStyle w:val="ReferenceEntry"/>
      </w:pPr>
      <w:bookmarkStart w:id="3139" w:name="ref-274"/>
      <w:r>
        <w:t xml:space="preserve">[274]</w:t>
      </w:r>
      <w:bookmarkEnd w:id="3139"/>
      <w:r>
        <w:t xml:space="preserve"> Monfils MH, Cowansage KK, Klann E, LeDoux JE. Extinction-reconsolidation boundaries: key to persistent attenuation of fear memories.</w:t>
      </w:r>
      <w:r>
        <w:t xml:space="preserve"> </w:t>
      </w:r>
      <w:r>
        <w:rPr>
          <w:iCs/>
          <w:i/>
        </w:rPr>
        <w:t xml:space="preserve">Science</w:t>
      </w:r>
      <w:r>
        <w:t xml:space="preserve">. 2009;324(5929):951–955.</w:t>
      </w:r>
      <w:r>
        <w:t xml:space="preserve"> </w:t>
      </w:r>
      <w:hyperlink r:id="rId3140">
        <w:r>
          <w:rPr>
            <w:rStyle w:val="Hyperlink"/>
          </w:rPr>
          <w:t xml:space="preserve">https://doi.org/10.1126/science.1167975</w:t>
        </w:r>
      </w:hyperlink>
      <w:r>
        <w:t xml:space="preserve">（研究类型：大鼠再激活后消退实验）</w:t>
      </w:r>
    </w:p>
    <w:p>
      <w:pPr>
        <w:pStyle w:val="ReferenceEntry"/>
      </w:pPr>
      <w:bookmarkStart w:id="3141" w:name="ref-275"/>
      <w:r>
        <w:t xml:space="preserve">[275]</w:t>
      </w:r>
      <w:bookmarkEnd w:id="3141"/>
      <w:r>
        <w:t xml:space="preserve"> Schiller D, Monfils MH, Raio CM, Johnson DC, LeDoux JE, Phelps EA. Preventing the return of fear in humans using reconsolidation update mechanisms.</w:t>
      </w:r>
      <w:r>
        <w:t xml:space="preserve"> </w:t>
      </w:r>
      <w:r>
        <w:rPr>
          <w:iCs/>
          <w:i/>
        </w:rPr>
        <w:t xml:space="preserve">Nature</w:t>
      </w:r>
      <w:r>
        <w:t xml:space="preserve">. 2010;463(7277):49–53.</w:t>
      </w:r>
      <w:r>
        <w:t xml:space="preserve"> </w:t>
      </w:r>
      <w:hyperlink r:id="rId3142">
        <w:r>
          <w:rPr>
            <w:rStyle w:val="Hyperlink"/>
          </w:rPr>
          <w:t xml:space="preserve">https://doi.org/10.1038/nature08637</w:t>
        </w:r>
      </w:hyperlink>
      <w:r>
        <w:t xml:space="preserve">（研究类型：人体再激活后消退实验）</w:t>
      </w:r>
    </w:p>
    <w:p>
      <w:pPr>
        <w:pStyle w:val="ReferenceEntry"/>
      </w:pPr>
      <w:bookmarkStart w:id="3143" w:name="ref-276"/>
      <w:r>
        <w:t xml:space="preserve">[276]</w:t>
      </w:r>
      <w:bookmarkEnd w:id="3143"/>
      <w:r>
        <w:t xml:space="preserve"> Schiller D, Monfils MH, Raio CM, Johnson DC, LeDoux JE, Phelps EA. Addendum: Preventing the return of fear in humans using reconsolidation update mechanisms.</w:t>
      </w:r>
      <w:r>
        <w:t xml:space="preserve"> </w:t>
      </w:r>
      <w:r>
        <w:rPr>
          <w:iCs/>
          <w:i/>
        </w:rPr>
        <w:t xml:space="preserve">Nature</w:t>
      </w:r>
      <w:r>
        <w:t xml:space="preserve">. 2018;562(7727):E21–E21.</w:t>
      </w:r>
      <w:r>
        <w:t xml:space="preserve"> </w:t>
      </w:r>
      <w:hyperlink r:id="rId3144">
        <w:r>
          <w:rPr>
            <w:rStyle w:val="Hyperlink"/>
          </w:rPr>
          <w:t xml:space="preserve">https://doi.org/10.1038/s41586-018-0405-7</w:t>
        </w:r>
      </w:hyperlink>
      <w:r>
        <w:t xml:space="preserve">（研究类型：原研究补充说明）</w:t>
      </w:r>
    </w:p>
    <w:p>
      <w:pPr>
        <w:pStyle w:val="ReferenceEntry"/>
      </w:pPr>
      <w:bookmarkStart w:id="3145" w:name="ref-277"/>
      <w:r>
        <w:t xml:space="preserve">[277]</w:t>
      </w:r>
      <w:bookmarkEnd w:id="3145"/>
      <w:r>
        <w:t xml:space="preserve"> Chalkia A, Van Oudenhove L, Beckers T. Preventing the return of fear in humans using reconsolidation update mechanisms: A verification report of Schiller et al. (2010).</w:t>
      </w:r>
      <w:r>
        <w:t xml:space="preserve"> </w:t>
      </w:r>
      <w:r>
        <w:rPr>
          <w:iCs/>
          <w:i/>
        </w:rPr>
        <w:t xml:space="preserve">Cortex</w:t>
      </w:r>
      <w:r>
        <w:t xml:space="preserve">. 2020;129:510–525.</w:t>
      </w:r>
      <w:r>
        <w:t xml:space="preserve"> </w:t>
      </w:r>
      <w:hyperlink r:id="rId3146">
        <w:r>
          <w:rPr>
            <w:rStyle w:val="Hyperlink"/>
          </w:rPr>
          <w:t xml:space="preserve">https://doi.org/10.1016/j.cortex.2020.03.031</w:t>
        </w:r>
      </w:hyperlink>
      <w:r>
        <w:t xml:space="preserve">（研究类型：原始数据独立核验）</w:t>
      </w:r>
    </w:p>
    <w:p>
      <w:pPr>
        <w:pStyle w:val="ReferenceEntry"/>
      </w:pPr>
      <w:bookmarkStart w:id="3147" w:name="ref-278"/>
      <w:r>
        <w:t xml:space="preserve">[278]</w:t>
      </w:r>
      <w:bookmarkEnd w:id="3147"/>
      <w:r>
        <w:t xml:space="preserve"> Chalkia A, Schroyens N, Leng L, Vanhasbroeck N, Zenses AK, Van Oudenhove L, et al. No persistent attenuation of fear memories in humans: A registered replication of the reactivation-extinction effect.</w:t>
      </w:r>
      <w:r>
        <w:t xml:space="preserve"> </w:t>
      </w:r>
      <w:r>
        <w:rPr>
          <w:iCs/>
          <w:i/>
        </w:rPr>
        <w:t xml:space="preserve">Cortex</w:t>
      </w:r>
      <w:r>
        <w:t xml:space="preserve">. 2020;129:496–509.</w:t>
      </w:r>
      <w:r>
        <w:t xml:space="preserve"> </w:t>
      </w:r>
      <w:hyperlink r:id="rId3148">
        <w:r>
          <w:rPr>
            <w:rStyle w:val="Hyperlink"/>
          </w:rPr>
          <w:t xml:space="preserve">https://doi.org/10.1016/j.cortex.2020.04.017</w:t>
        </w:r>
      </w:hyperlink>
      <w:r>
        <w:t xml:space="preserve">（研究类型：预注册直接重复）</w:t>
      </w:r>
    </w:p>
    <w:p>
      <w:pPr>
        <w:pStyle w:val="ReferenceEntry"/>
      </w:pPr>
      <w:bookmarkStart w:id="3149" w:name="ref-279"/>
      <w:r>
        <w:t xml:space="preserve">[279]</w:t>
      </w:r>
      <w:bookmarkEnd w:id="3149"/>
      <w:r>
        <w:t xml:space="preserve"> Alberini CM, LeDoux JE. Memory reconsolidation.</w:t>
      </w:r>
      <w:r>
        <w:t xml:space="preserve"> </w:t>
      </w:r>
      <w:r>
        <w:rPr>
          <w:iCs/>
          <w:i/>
        </w:rPr>
        <w:t xml:space="preserve">Current Biology</w:t>
      </w:r>
      <w:r>
        <w:t xml:space="preserve">. 2013;23(17):R746–R750.</w:t>
      </w:r>
      <w:r>
        <w:t xml:space="preserve"> </w:t>
      </w:r>
      <w:hyperlink r:id="rId3150">
        <w:r>
          <w:rPr>
            <w:rStyle w:val="Hyperlink"/>
          </w:rPr>
          <w:t xml:space="preserve">https://doi.org/10.1016/j.cub.2013.06.046</w:t>
        </w:r>
      </w:hyperlink>
      <w:r>
        <w:t xml:space="preserve">（研究类型：机制综述）</w:t>
      </w:r>
    </w:p>
    <w:p>
      <w:pPr>
        <w:pStyle w:val="ReferenceEntry"/>
      </w:pPr>
      <w:bookmarkStart w:id="3151" w:name="ref-280"/>
      <w:r>
        <w:t xml:space="preserve">[280]</w:t>
      </w:r>
      <w:bookmarkEnd w:id="3151"/>
      <w:r>
        <w:t xml:space="preserve"> Otgaar H, Howe ML, Patihis L, Merckelbach H, Lynn SJ, Lilienfeld SO, et al. The Return of the Repressed: The Persistent and Problematic Claims of Long-Forgotten Trauma.</w:t>
      </w:r>
      <w:r>
        <w:t xml:space="preserve"> </w:t>
      </w:r>
      <w:r>
        <w:rPr>
          <w:iCs/>
          <w:i/>
        </w:rPr>
        <w:t xml:space="preserve">Perspectives on Psychological Science</w:t>
      </w:r>
      <w:r>
        <w:t xml:space="preserve">. 2019;14(6):1072–1095.</w:t>
      </w:r>
      <w:r>
        <w:t xml:space="preserve"> </w:t>
      </w:r>
      <w:hyperlink r:id="rId3152">
        <w:r>
          <w:rPr>
            <w:rStyle w:val="Hyperlink"/>
          </w:rPr>
          <w:t xml:space="preserve">https://doi.org/10.1177/1745691619862306</w:t>
        </w:r>
      </w:hyperlink>
      <w:r>
        <w:t xml:space="preserve">（研究类型：有明确批判立场的综述）</w:t>
      </w:r>
    </w:p>
    <w:p>
      <w:pPr>
        <w:pStyle w:val="ReferenceEntry"/>
      </w:pPr>
      <w:bookmarkStart w:id="3153" w:name="ref-281"/>
      <w:r>
        <w:t xml:space="preserve">[281]</w:t>
      </w:r>
      <w:bookmarkEnd w:id="3153"/>
      <w:r>
        <w:t xml:space="preserve"> Brewin CR, Andrews B. Creating Memories for False Autobiographical Events in Childhood: A Systematic Review.</w:t>
      </w:r>
      <w:r>
        <w:t xml:space="preserve"> </w:t>
      </w:r>
      <w:r>
        <w:rPr>
          <w:iCs/>
          <w:i/>
        </w:rPr>
        <w:t xml:space="preserve">Applied Cognitive Psychology</w:t>
      </w:r>
      <w:r>
        <w:t xml:space="preserve">. 2017;31(1):2–23.</w:t>
      </w:r>
      <w:r>
        <w:t xml:space="preserve"> </w:t>
      </w:r>
      <w:hyperlink r:id="rId3154">
        <w:r>
          <w:rPr>
            <w:rStyle w:val="Hyperlink"/>
          </w:rPr>
          <w:t xml:space="preserve">https://doi.org/10.1002/acp.3220</w:t>
        </w:r>
      </w:hyperlink>
      <w:r>
        <w:t xml:space="preserve">（研究类型：系统综述）</w:t>
      </w:r>
    </w:p>
    <w:p>
      <w:pPr>
        <w:pStyle w:val="ReferenceEntry"/>
      </w:pPr>
      <w:bookmarkStart w:id="3155" w:name="ref-282"/>
      <w:r>
        <w:t xml:space="preserve">[282]</w:t>
      </w:r>
      <w:bookmarkEnd w:id="3155"/>
      <w:r>
        <w:t xml:space="preserve"> Geraerts E, Schooler JW, Merckelbach H, Jelicic M, Hauer BJA, Ambadar Z. The reality of recovered memories: corroborating continuous and discontinuous memories of childhood sexual abuse.</w:t>
      </w:r>
      <w:r>
        <w:t xml:space="preserve"> </w:t>
      </w:r>
      <w:r>
        <w:rPr>
          <w:iCs/>
          <w:i/>
        </w:rPr>
        <w:t xml:space="preserve">Psychological Science</w:t>
      </w:r>
      <w:r>
        <w:t xml:space="preserve">. 2007;18(7):564–568.</w:t>
      </w:r>
      <w:r>
        <w:t xml:space="preserve"> </w:t>
      </w:r>
      <w:hyperlink r:id="rId3156">
        <w:r>
          <w:rPr>
            <w:rStyle w:val="Hyperlink"/>
          </w:rPr>
          <w:t xml:space="preserve">https://doi.org/10.1111/j.1467-9280.2007.01940.x</w:t>
        </w:r>
      </w:hyperlink>
      <w:r>
        <w:t xml:space="preserve">（研究类型：回忆情境与佐证比较观察研究）</w:t>
      </w:r>
    </w:p>
    <w:p>
      <w:pPr>
        <w:pStyle w:val="ReferenceEntry"/>
      </w:pPr>
      <w:bookmarkStart w:id="3157" w:name="ref-283"/>
      <w:r>
        <w:t xml:space="preserve">[283]</w:t>
      </w:r>
      <w:bookmarkEnd w:id="3157"/>
      <w:r>
        <w:t xml:space="preserve"> Ericsson KA, Chase WG, Faloon S. Acquisition of a memory skill.</w:t>
      </w:r>
      <w:r>
        <w:t xml:space="preserve"> </w:t>
      </w:r>
      <w:r>
        <w:rPr>
          <w:iCs/>
          <w:i/>
        </w:rPr>
        <w:t xml:space="preserve">Science</w:t>
      </w:r>
      <w:r>
        <w:t xml:space="preserve">. 1980;208(4448):1181–1182.</w:t>
      </w:r>
      <w:r>
        <w:t xml:space="preserve"> </w:t>
      </w:r>
      <w:hyperlink r:id="rId3158">
        <w:r>
          <w:rPr>
            <w:rStyle w:val="Hyperlink"/>
          </w:rPr>
          <w:t xml:space="preserve">https://doi.org/10.1126/science.7375930</w:t>
        </w:r>
      </w:hyperlink>
      <w:r>
        <w:t xml:space="preserve">（研究类型：密集训练个案）</w:t>
      </w:r>
    </w:p>
    <w:p>
      <w:pPr>
        <w:pStyle w:val="ReferenceEntry"/>
      </w:pPr>
      <w:bookmarkStart w:id="3159" w:name="ref-284"/>
      <w:r>
        <w:t xml:space="preserve">[284]</w:t>
      </w:r>
      <w:bookmarkEnd w:id="3159"/>
      <w:r>
        <w:t xml:space="preserve"> Patihis L, Frenda SJ, LePort AKR, Petersen N, Nichols RM, Stark CEL, et al. False memories in highly superior autobiographical memory individuals.</w:t>
      </w:r>
      <w:r>
        <w:t xml:space="preserve"> </w:t>
      </w:r>
      <w:r>
        <w:rPr>
          <w:iCs/>
          <w:i/>
        </w:rPr>
        <w:t xml:space="preserve">Proceedings of the National Academy of Sciences</w:t>
      </w:r>
      <w:r>
        <w:t xml:space="preserve">. 2013;110(52):20947–20952.</w:t>
      </w:r>
      <w:r>
        <w:t xml:space="preserve"> </w:t>
      </w:r>
      <w:hyperlink r:id="rId3160">
        <w:r>
          <w:rPr>
            <w:rStyle w:val="Hyperlink"/>
          </w:rPr>
          <w:t xml:space="preserve">https://doi.org/10.1073/pnas.1314373110</w:t>
        </w:r>
      </w:hyperlink>
      <w:r>
        <w:t xml:space="preserve">（研究类型：特殊记忆个体与对照比较实验）</w:t>
      </w:r>
    </w:p>
    <w:p>
      <w:pPr>
        <w:pStyle w:val="ReferenceEntry"/>
      </w:pPr>
      <w:bookmarkStart w:id="3161" w:name="ref-285"/>
      <w:r>
        <w:t xml:space="preserve">[285]</w:t>
      </w:r>
      <w:bookmarkEnd w:id="3161"/>
      <w:r>
        <w:t xml:space="preserve"> Marks DF. Phenomenological Studies of Visual Mental Imagery: A Review and Synthesis of Historical Datasets.</w:t>
      </w:r>
      <w:r>
        <w:t xml:space="preserve"> </w:t>
      </w:r>
      <w:r>
        <w:rPr>
          <w:iCs/>
          <w:i/>
        </w:rPr>
        <w:t xml:space="preserve">Vision</w:t>
      </w:r>
      <w:r>
        <w:t xml:space="preserve">. 2023;7(4):67.</w:t>
      </w:r>
      <w:r>
        <w:t xml:space="preserve"> </w:t>
      </w:r>
      <w:hyperlink r:id="rId3162">
        <w:r>
          <w:rPr>
            <w:rStyle w:val="Hyperlink"/>
          </w:rPr>
          <w:t xml:space="preserve">https://doi.org/10.3390/vision7040067</w:t>
        </w:r>
      </w:hyperlink>
      <w:r>
        <w:t xml:space="preserve">（研究类型：表象现象学综述）</w:t>
      </w:r>
    </w:p>
    <w:p>
      <w:pPr>
        <w:pStyle w:val="ReferenceEntry"/>
      </w:pPr>
      <w:bookmarkStart w:id="3163" w:name="ref-286"/>
      <w:r>
        <w:t xml:space="preserve">[286]</w:t>
      </w:r>
      <w:bookmarkEnd w:id="3163"/>
      <w:r>
        <w:t xml:space="preserve"> Brady TF, Konkle T, Alvarez GA, Oliva A. Visual long-term memory has a massive storage capacity for object details.</w:t>
      </w:r>
      <w:r>
        <w:t xml:space="preserve"> </w:t>
      </w:r>
      <w:r>
        <w:rPr>
          <w:iCs/>
          <w:i/>
        </w:rPr>
        <w:t xml:space="preserve">Proceedings of the National Academy of Sciences</w:t>
      </w:r>
      <w:r>
        <w:t xml:space="preserve">. 2008;105(38):14325–14329.</w:t>
      </w:r>
      <w:r>
        <w:t xml:space="preserve"> </w:t>
      </w:r>
      <w:hyperlink r:id="rId3164">
        <w:r>
          <w:rPr>
            <w:rStyle w:val="Hyperlink"/>
          </w:rPr>
          <w:t xml:space="preserve">https://doi.org/10.1073/pnas.0803390105</w:t>
        </w:r>
      </w:hyperlink>
      <w:r>
        <w:t xml:space="preserve">（研究类型：视觉长期再认实验）</w:t>
      </w:r>
    </w:p>
    <w:p>
      <w:pPr>
        <w:pStyle w:val="ReferenceEntry"/>
      </w:pPr>
      <w:bookmarkStart w:id="3165" w:name="ref-287"/>
      <w:r>
        <w:t xml:space="preserve">[287]</w:t>
      </w:r>
      <w:bookmarkEnd w:id="3165"/>
      <w:r>
        <w:t xml:space="preserve"> Dresler M, Shirer WR, Konrad BN, Müller NCJ, Wagner IC, Fernández G, et al. Mnemonic Training Reshapes Brain Networks to Support Superior Memory.</w:t>
      </w:r>
      <w:r>
        <w:t xml:space="preserve"> </w:t>
      </w:r>
      <w:r>
        <w:rPr>
          <w:iCs/>
          <w:i/>
        </w:rPr>
        <w:t xml:space="preserve">Neuron</w:t>
      </w:r>
      <w:r>
        <w:t xml:space="preserve">. 2017;93(5):1227–1235.e6.</w:t>
      </w:r>
      <w:r>
        <w:t xml:space="preserve"> </w:t>
      </w:r>
      <w:hyperlink r:id="rId3166">
        <w:r>
          <w:rPr>
            <w:rStyle w:val="Hyperlink"/>
          </w:rPr>
          <w:t xml:space="preserve">https://doi.org/10.1016/j.neuron.2017.02.003</w:t>
        </w:r>
      </w:hyperlink>
      <w:r>
        <w:t xml:space="preserve">（研究类型：记忆运动员比较与训练实验）</w:t>
      </w:r>
    </w:p>
    <w:p>
      <w:pPr>
        <w:pStyle w:val="ReferenceEntry"/>
      </w:pPr>
      <w:bookmarkStart w:id="3167" w:name="ref-288"/>
      <w:r>
        <w:t xml:space="preserve">[288]</w:t>
      </w:r>
      <w:bookmarkEnd w:id="3167"/>
      <w:r>
        <w:t xml:space="preserve"> Kay L, Keogh R, Andrillon T, Pearson J. The pupillary light response as a physiological index of aphantasia, sensory and phenomenological imagery strength.</w:t>
      </w:r>
      <w:r>
        <w:t xml:space="preserve"> </w:t>
      </w:r>
      <w:r>
        <w:rPr>
          <w:iCs/>
          <w:i/>
        </w:rPr>
        <w:t xml:space="preserve">eLife</w:t>
      </w:r>
      <w:r>
        <w:t xml:space="preserve">. 2022;11:e72484.</w:t>
      </w:r>
      <w:r>
        <w:t xml:space="preserve"> </w:t>
      </w:r>
      <w:hyperlink r:id="rId3168">
        <w:r>
          <w:rPr>
            <w:rStyle w:val="Hyperlink"/>
          </w:rPr>
          <w:t xml:space="preserve">https://doi.org/10.7554/eLife.72484</w:t>
        </w:r>
      </w:hyperlink>
      <w:r>
        <w:t xml:space="preserve">（研究类型：生理表象实验）</w:t>
      </w:r>
    </w:p>
    <w:p>
      <w:pPr>
        <w:pStyle w:val="ReferenceEntry"/>
      </w:pPr>
      <w:bookmarkStart w:id="3169" w:name="ref-289"/>
      <w:r>
        <w:t xml:space="preserve">[289]</w:t>
      </w:r>
      <w:bookmarkEnd w:id="3169"/>
      <w:r>
        <w:t xml:space="preserve"> Chase WG, Simon HA. Perception in chess.</w:t>
      </w:r>
      <w:r>
        <w:t xml:space="preserve"> </w:t>
      </w:r>
      <w:r>
        <w:rPr>
          <w:iCs/>
          <w:i/>
        </w:rPr>
        <w:t xml:space="preserve">Cognitive Psychology</w:t>
      </w:r>
      <w:r>
        <w:t xml:space="preserve">. 1973;4(1):55–81.</w:t>
      </w:r>
      <w:r>
        <w:t xml:space="preserve"> </w:t>
      </w:r>
      <w:hyperlink r:id="rId3170">
        <w:r>
          <w:rPr>
            <w:rStyle w:val="Hyperlink"/>
          </w:rPr>
          <w:t xml:space="preserve">https://doi.org/10.1016/0010-0285(73)90004-2</w:t>
        </w:r>
      </w:hyperlink>
      <w:r>
        <w:t xml:space="preserve">（研究类型：棋局知觉与短时重建实验）</w:t>
      </w:r>
    </w:p>
    <w:p>
      <w:pPr>
        <w:pStyle w:val="ReferenceEntry"/>
      </w:pPr>
      <w:bookmarkStart w:id="3171" w:name="ref-290"/>
      <w:r>
        <w:t xml:space="preserve">[290]</w:t>
      </w:r>
      <w:bookmarkEnd w:id="3171"/>
      <w:r>
        <w:t xml:space="preserve"> Bainbridge WA, Pounder Z, Eardley AF, Baker CI. Quantifying aphantasia through drawing: Those without visual imagery show deficits in object but not spatial memory.</w:t>
      </w:r>
      <w:r>
        <w:t xml:space="preserve"> </w:t>
      </w:r>
      <w:r>
        <w:rPr>
          <w:iCs/>
          <w:i/>
        </w:rPr>
        <w:t xml:space="preserve">Cortex</w:t>
      </w:r>
      <w:r>
        <w:t xml:space="preserve">. 2021;135:159–172.</w:t>
      </w:r>
      <w:r>
        <w:t xml:space="preserve"> </w:t>
      </w:r>
      <w:hyperlink r:id="rId3172">
        <w:r>
          <w:rPr>
            <w:rStyle w:val="Hyperlink"/>
          </w:rPr>
          <w:t xml:space="preserve">https://doi.org/10.1016/j.cortex.2020.11.014</w:t>
        </w:r>
      </w:hyperlink>
      <w:r>
        <w:t xml:space="preserve">（研究类型：在线绘图与记忆比较）</w:t>
      </w:r>
    </w:p>
    <w:p>
      <w:pPr>
        <w:pStyle w:val="ReferenceEntry"/>
      </w:pPr>
      <w:bookmarkStart w:id="3173" w:name="ref-291"/>
      <w:r>
        <w:t xml:space="preserve">[291]</w:t>
      </w:r>
      <w:bookmarkEnd w:id="3173"/>
      <w:r>
        <w:t xml:space="preserve"> Roediger HL, Karpicke JD. Test-Enhanced Learning: Taking Memory Tests Improves Long-Term Retention.</w:t>
      </w:r>
      <w:r>
        <w:t xml:space="preserve"> </w:t>
      </w:r>
      <w:r>
        <w:rPr>
          <w:iCs/>
          <w:i/>
        </w:rPr>
        <w:t xml:space="preserve">Psychological Science</w:t>
      </w:r>
      <w:r>
        <w:t xml:space="preserve">. 2006;17(3):249–255.</w:t>
      </w:r>
      <w:r>
        <w:t xml:space="preserve"> </w:t>
      </w:r>
      <w:hyperlink r:id="rId3174">
        <w:r>
          <w:rPr>
            <w:rStyle w:val="Hyperlink"/>
          </w:rPr>
          <w:t xml:space="preserve">https://doi.org/10.1111/j.1467-9280.2006.01693.x</w:t>
        </w:r>
      </w:hyperlink>
      <w:r>
        <w:t xml:space="preserve">（研究类型：两项散文学习实验）</w:t>
      </w:r>
    </w:p>
    <w:p>
      <w:pPr>
        <w:pStyle w:val="ReferenceEntry"/>
      </w:pPr>
      <w:bookmarkStart w:id="3175" w:name="ref-292"/>
      <w:r>
        <w:t xml:space="preserve">[292]</w:t>
      </w:r>
      <w:bookmarkEnd w:id="3175"/>
      <w:r>
        <w:t xml:space="preserve"> Rowland CA. The effect of testing versus restudy on retention: a meta-analytic review of the testing effect.</w:t>
      </w:r>
      <w:r>
        <w:t xml:space="preserve"> </w:t>
      </w:r>
      <w:r>
        <w:rPr>
          <w:iCs/>
          <w:i/>
        </w:rPr>
        <w:t xml:space="preserve">Psychological Bulletin</w:t>
      </w:r>
      <w:r>
        <w:t xml:space="preserve">. 2014;140(6):1432–1463.</w:t>
      </w:r>
      <w:r>
        <w:t xml:space="preserve"> </w:t>
      </w:r>
      <w:hyperlink r:id="rId3176">
        <w:r>
          <w:rPr>
            <w:rStyle w:val="Hyperlink"/>
          </w:rPr>
          <w:t xml:space="preserve">https://doi.org/10.1037/a0037559</w:t>
        </w:r>
      </w:hyperlink>
      <w:r>
        <w:t xml:space="preserve">（研究类型：元分析）</w:t>
      </w:r>
    </w:p>
    <w:p>
      <w:pPr>
        <w:pStyle w:val="ReferenceEntry"/>
      </w:pPr>
      <w:bookmarkStart w:id="3177" w:name="ref-293"/>
      <w:r>
        <w:t xml:space="preserve">[293]</w:t>
      </w:r>
      <w:bookmarkEnd w:id="3177"/>
      <w:r>
        <w:t xml:space="preserve"> Yang C, Luo L, Vadillo MA, Yu R, Shanks DR. Testing (quizzing) boosts classroom learning: A systematic and meta-analytic review.</w:t>
      </w:r>
      <w:r>
        <w:t xml:space="preserve"> </w:t>
      </w:r>
      <w:r>
        <w:rPr>
          <w:iCs/>
          <w:i/>
        </w:rPr>
        <w:t xml:space="preserve">Psychological Bulletin</w:t>
      </w:r>
      <w:r>
        <w:t xml:space="preserve">. 2021;147(4):399–435.</w:t>
      </w:r>
      <w:r>
        <w:t xml:space="preserve"> </w:t>
      </w:r>
      <w:hyperlink r:id="rId3178">
        <w:r>
          <w:rPr>
            <w:rStyle w:val="Hyperlink"/>
          </w:rPr>
          <w:t xml:space="preserve">https://doi.org/10.1037/bul0000309</w:t>
        </w:r>
      </w:hyperlink>
      <w:r>
        <w:t xml:space="preserve">（研究类型：课堂系统综述与元分析）</w:t>
      </w:r>
    </w:p>
    <w:p>
      <w:pPr>
        <w:pStyle w:val="ReferenceEntry"/>
      </w:pPr>
      <w:bookmarkStart w:id="3179" w:name="ref-294"/>
      <w:r>
        <w:t xml:space="preserve">[294]</w:t>
      </w:r>
      <w:bookmarkEnd w:id="3179"/>
      <w:r>
        <w:t xml:space="preserve"> Gonçalves AdO, Muniz BFB, Jaeger A. Retrieval Practice Versus Elaborative Encoding: A Systematic and Meta-analytic Review.</w:t>
      </w:r>
      <w:r>
        <w:t xml:space="preserve"> </w:t>
      </w:r>
      <w:r>
        <w:rPr>
          <w:iCs/>
          <w:i/>
        </w:rPr>
        <w:t xml:space="preserve">Educational Psychology Review</w:t>
      </w:r>
      <w:r>
        <w:t xml:space="preserve">. 2025;37(4):100.</w:t>
      </w:r>
      <w:r>
        <w:t xml:space="preserve"> </w:t>
      </w:r>
      <w:hyperlink r:id="rId3180">
        <w:r>
          <w:rPr>
            <w:rStyle w:val="Hyperlink"/>
          </w:rPr>
          <w:t xml:space="preserve">https://doi.org/10.1007/s10648-025-10076-6</w:t>
        </w:r>
      </w:hyperlink>
      <w:r>
        <w:t xml:space="preserve">（研究类型：系统综述与元分析）</w:t>
      </w:r>
    </w:p>
    <w:p>
      <w:pPr>
        <w:pStyle w:val="ReferenceEntry"/>
      </w:pPr>
      <w:bookmarkStart w:id="3181" w:name="ref-295"/>
      <w:r>
        <w:t xml:space="preserve">[295]</w:t>
      </w:r>
      <w:bookmarkEnd w:id="3181"/>
      <w:r>
        <w:t xml:space="preserve"> Karpicke JD, Lehman M, Aue WR. Retrieval-Based Learning: An Episodic Context Account.</w:t>
      </w:r>
      <w:r>
        <w:t xml:space="preserve"> </w:t>
      </w:r>
      <w:r>
        <w:rPr>
          <w:iCs/>
          <w:i/>
        </w:rPr>
        <w:t xml:space="preserve">Psychology of Learning and Motivation</w:t>
      </w:r>
      <w:r>
        <w:t xml:space="preserve">. 2014:237–284.</w:t>
      </w:r>
      <w:r>
        <w:t xml:space="preserve"> </w:t>
      </w:r>
      <w:hyperlink r:id="rId3182">
        <w:r>
          <w:rPr>
            <w:rStyle w:val="Hyperlink"/>
          </w:rPr>
          <w:t xml:space="preserve">https://doi.org/10.1016/B978-0-12-800283-4.00007-1</w:t>
        </w:r>
      </w:hyperlink>
      <w:r>
        <w:t xml:space="preserve">（研究类型：理论综述章节）</w:t>
      </w:r>
    </w:p>
    <w:p>
      <w:pPr>
        <w:pStyle w:val="ReferenceEntry"/>
      </w:pPr>
      <w:bookmarkStart w:id="3183" w:name="ref-296"/>
      <w:r>
        <w:t xml:space="preserve">[296]</w:t>
      </w:r>
      <w:bookmarkEnd w:id="3183"/>
      <w:r>
        <w:t xml:space="preserve"> Karpicke JD, Roediger HL. The critical importance of retrieval for learning.</w:t>
      </w:r>
      <w:r>
        <w:t xml:space="preserve"> </w:t>
      </w:r>
      <w:r>
        <w:rPr>
          <w:iCs/>
          <w:i/>
        </w:rPr>
        <w:t xml:space="preserve">Science</w:t>
      </w:r>
      <w:r>
        <w:t xml:space="preserve">. 2008;319(5865):966–968.</w:t>
      </w:r>
      <w:r>
        <w:t xml:space="preserve"> </w:t>
      </w:r>
      <w:hyperlink r:id="rId3184">
        <w:r>
          <w:rPr>
            <w:rStyle w:val="Hyperlink"/>
          </w:rPr>
          <w:t xml:space="preserve">https://doi.org/10.1126/science.1152408</w:t>
        </w:r>
      </w:hyperlink>
      <w:r>
        <w:t xml:space="preserve">（研究类型：词汇学习实验）</w:t>
      </w:r>
    </w:p>
    <w:p>
      <w:pPr>
        <w:pStyle w:val="ReferenceEntry"/>
      </w:pPr>
      <w:bookmarkStart w:id="3185" w:name="ref-297"/>
      <w:r>
        <w:t xml:space="preserve">[297]</w:t>
      </w:r>
      <w:bookmarkEnd w:id="3185"/>
      <w:r>
        <w:t xml:space="preserve"> Kornell N, Hays MJ, Bjork RA. Unsuccessful retrieval attempts enhance subsequent learning.</w:t>
      </w:r>
      <w:r>
        <w:t xml:space="preserve"> </w:t>
      </w:r>
      <w:r>
        <w:rPr>
          <w:iCs/>
          <w:i/>
        </w:rPr>
        <w:t xml:space="preserve">Journal of Experimental Psychology: Learning, Memory, and Cognition</w:t>
      </w:r>
      <w:r>
        <w:t xml:space="preserve">. 2009;35(4):989–998.</w:t>
      </w:r>
      <w:r>
        <w:t xml:space="preserve"> </w:t>
      </w:r>
      <w:hyperlink r:id="rId3186">
        <w:r>
          <w:rPr>
            <w:rStyle w:val="Hyperlink"/>
          </w:rPr>
          <w:t xml:space="preserve">https://doi.org/10.1037/a0015729</w:t>
        </w:r>
      </w:hyperlink>
      <w:r>
        <w:t xml:space="preserve">（研究类型：实验）</w:t>
      </w:r>
    </w:p>
    <w:p>
      <w:pPr>
        <w:pStyle w:val="ReferenceEntry"/>
      </w:pPr>
      <w:bookmarkStart w:id="3187" w:name="ref-298"/>
      <w:r>
        <w:t xml:space="preserve">[298]</w:t>
      </w:r>
      <w:bookmarkEnd w:id="3187"/>
      <w:r>
        <w:t xml:space="preserve"> Butler AC, Karpicke JD, Roediger HL. Correcting a metacognitive error: feedback increases retention of low-confidence correct responses.</w:t>
      </w:r>
      <w:r>
        <w:t xml:space="preserve"> </w:t>
      </w:r>
      <w:r>
        <w:rPr>
          <w:iCs/>
          <w:i/>
        </w:rPr>
        <w:t xml:space="preserve">Journal of Experimental Psychology: Learning, Memory, and Cognition</w:t>
      </w:r>
      <w:r>
        <w:t xml:space="preserve">. 2008;34(4):918–928.</w:t>
      </w:r>
      <w:r>
        <w:t xml:space="preserve"> </w:t>
      </w:r>
      <w:hyperlink r:id="rId3188">
        <w:r>
          <w:rPr>
            <w:rStyle w:val="Hyperlink"/>
          </w:rPr>
          <w:t xml:space="preserve">https://doi.org/10.1037/0278-7393.34.4.918</w:t>
        </w:r>
      </w:hyperlink>
      <w:r>
        <w:t xml:space="preserve">（研究类型：实验）</w:t>
      </w:r>
    </w:p>
    <w:p>
      <w:pPr>
        <w:pStyle w:val="ReferenceEntry"/>
      </w:pPr>
      <w:bookmarkStart w:id="3189" w:name="ref-299"/>
      <w:r>
        <w:t xml:space="preserve">[299]</w:t>
      </w:r>
      <w:bookmarkEnd w:id="3189"/>
      <w:r>
        <w:t xml:space="preserve"> Smith MA, Karpicke JD. Retrieval practice with short-answer, multiple-choice, and hybrid tests.</w:t>
      </w:r>
      <w:r>
        <w:t xml:space="preserve"> </w:t>
      </w:r>
      <w:r>
        <w:rPr>
          <w:iCs/>
          <w:i/>
        </w:rPr>
        <w:t xml:space="preserve">Memory</w:t>
      </w:r>
      <w:r>
        <w:t xml:space="preserve">. 2014;22(7):784–802.</w:t>
      </w:r>
      <w:r>
        <w:t xml:space="preserve"> </w:t>
      </w:r>
      <w:hyperlink r:id="rId3190">
        <w:r>
          <w:rPr>
            <w:rStyle w:val="Hyperlink"/>
          </w:rPr>
          <w:t xml:space="preserve">https://doi.org/10.1080/09658211.2013.831454</w:t>
        </w:r>
      </w:hyperlink>
      <w:r>
        <w:t xml:space="preserve">（研究类型：系列实验）</w:t>
      </w:r>
    </w:p>
    <w:p>
      <w:pPr>
        <w:pStyle w:val="ReferenceEntry"/>
      </w:pPr>
      <w:bookmarkStart w:id="3191" w:name="ref-300"/>
      <w:r>
        <w:t xml:space="preserve">[300]</w:t>
      </w:r>
      <w:bookmarkEnd w:id="3191"/>
      <w:r>
        <w:t xml:space="preserve"> Butler AC, Roediger HL. Feedback enhances the positive effects and reduces the negative effects of multiple-choice testing.</w:t>
      </w:r>
      <w:r>
        <w:t xml:space="preserve"> </w:t>
      </w:r>
      <w:r>
        <w:rPr>
          <w:iCs/>
          <w:i/>
        </w:rPr>
        <w:t xml:space="preserve">Memory &amp; Cognition</w:t>
      </w:r>
      <w:r>
        <w:t xml:space="preserve">. 2008;36(3):604–616.</w:t>
      </w:r>
      <w:r>
        <w:t xml:space="preserve"> </w:t>
      </w:r>
      <w:hyperlink r:id="rId3192">
        <w:r>
          <w:rPr>
            <w:rStyle w:val="Hyperlink"/>
          </w:rPr>
          <w:t xml:space="preserve">https://doi.org/10.3758/MC.36.3.604</w:t>
        </w:r>
      </w:hyperlink>
      <w:r>
        <w:t xml:space="preserve">（研究类型：反馈实验）</w:t>
      </w:r>
    </w:p>
    <w:p>
      <w:pPr>
        <w:pStyle w:val="ReferenceEntry"/>
      </w:pPr>
      <w:bookmarkStart w:id="3193" w:name="ref-301"/>
      <w:r>
        <w:t xml:space="preserve">[301]</w:t>
      </w:r>
      <w:bookmarkEnd w:id="3193"/>
      <w:r>
        <w:t xml:space="preserve"> Karpicke JD, Blunt JR. Retrieval practice produces more learning than elaborative studying with concept mapping.</w:t>
      </w:r>
      <w:r>
        <w:t xml:space="preserve"> </w:t>
      </w:r>
      <w:r>
        <w:rPr>
          <w:iCs/>
          <w:i/>
        </w:rPr>
        <w:t xml:space="preserve">Science</w:t>
      </w:r>
      <w:r>
        <w:t xml:space="preserve">. 2011;331(6018):772–775.</w:t>
      </w:r>
      <w:r>
        <w:t xml:space="preserve"> </w:t>
      </w:r>
      <w:hyperlink r:id="rId3194">
        <w:r>
          <w:rPr>
            <w:rStyle w:val="Hyperlink"/>
          </w:rPr>
          <w:t xml:space="preserve">https://doi.org/10.1126/science.1199327</w:t>
        </w:r>
      </w:hyperlink>
      <w:r>
        <w:t xml:space="preserve">（研究类型：随机实验）</w:t>
      </w:r>
    </w:p>
    <w:p>
      <w:pPr>
        <w:pStyle w:val="ReferenceEntry"/>
      </w:pPr>
      <w:bookmarkStart w:id="3195" w:name="ref-302"/>
      <w:r>
        <w:t xml:space="preserve">[302]</w:t>
      </w:r>
      <w:bookmarkEnd w:id="3195"/>
      <w:r>
        <w:t xml:space="preserve"> Pan SC, Rickard TC. Transfer of test-enhanced learning: Meta-analytic review and synthesis.</w:t>
      </w:r>
      <w:r>
        <w:t xml:space="preserve"> </w:t>
      </w:r>
      <w:r>
        <w:rPr>
          <w:iCs/>
          <w:i/>
        </w:rPr>
        <w:t xml:space="preserve">Psychological Bulletin</w:t>
      </w:r>
      <w:r>
        <w:t xml:space="preserve">. 2018;144(7):710–756.</w:t>
      </w:r>
      <w:r>
        <w:t xml:space="preserve"> </w:t>
      </w:r>
      <w:hyperlink r:id="rId3196">
        <w:r>
          <w:rPr>
            <w:rStyle w:val="Hyperlink"/>
          </w:rPr>
          <w:t xml:space="preserve">https://doi.org/10.1037/bul0000151</w:t>
        </w:r>
      </w:hyperlink>
      <w:r>
        <w:t xml:space="preserve">（研究类型：元分析）</w:t>
      </w:r>
    </w:p>
    <w:p>
      <w:pPr>
        <w:pStyle w:val="ReferenceEntry"/>
      </w:pPr>
      <w:bookmarkStart w:id="3197" w:name="ref-303"/>
      <w:r>
        <w:t xml:space="preserve">[303]</w:t>
      </w:r>
      <w:bookmarkEnd w:id="3197"/>
      <w:r>
        <w:t xml:space="preserve"> Anderson MC, Bjork RA, Bjork EL. Remembering can cause forgetting: retrieval dynamics in long-term memory.</w:t>
      </w:r>
      <w:r>
        <w:t xml:space="preserve"> </w:t>
      </w:r>
      <w:r>
        <w:rPr>
          <w:iCs/>
          <w:i/>
        </w:rPr>
        <w:t xml:space="preserve">Journal of Experimental Psychology: Learning, Memory, and Cognition</w:t>
      </w:r>
      <w:r>
        <w:t xml:space="preserve">. 1994;20(5):1063–1087.</w:t>
      </w:r>
      <w:r>
        <w:t xml:space="preserve"> </w:t>
      </w:r>
      <w:hyperlink r:id="rId3198">
        <w:r>
          <w:rPr>
            <w:rStyle w:val="Hyperlink"/>
          </w:rPr>
          <w:t xml:space="preserve">https://doi.org/10.1037/0278-7393.20.5.1063</w:t>
        </w:r>
      </w:hyperlink>
      <w:r>
        <w:t xml:space="preserve">（研究类型：选择性提取实验）</w:t>
      </w:r>
    </w:p>
    <w:p>
      <w:pPr>
        <w:pStyle w:val="ReferenceEntry"/>
      </w:pPr>
      <w:bookmarkStart w:id="3199" w:name="ref-304"/>
      <w:r>
        <w:t xml:space="preserve">[304]</w:t>
      </w:r>
      <w:bookmarkEnd w:id="3199"/>
      <w:r>
        <w:t xml:space="preserve"> Cepeda NJ, Pashler H, Vul E, Wixted JT, Rohrer D. Distributed practice in verbal recall tasks: A review and quantitative synthesis.</w:t>
      </w:r>
      <w:r>
        <w:t xml:space="preserve"> </w:t>
      </w:r>
      <w:r>
        <w:rPr>
          <w:iCs/>
          <w:i/>
        </w:rPr>
        <w:t xml:space="preserve">Psychological Bulletin</w:t>
      </w:r>
      <w:r>
        <w:t xml:space="preserve">. 2006;132(3):354–380.</w:t>
      </w:r>
      <w:r>
        <w:t xml:space="preserve"> </w:t>
      </w:r>
      <w:hyperlink r:id="rId3200">
        <w:r>
          <w:rPr>
            <w:rStyle w:val="Hyperlink"/>
          </w:rPr>
          <w:t xml:space="preserve">https://doi.org/10.1037/0033-2909.132.3.354</w:t>
        </w:r>
      </w:hyperlink>
      <w:r>
        <w:t xml:space="preserve">（研究类型：元分析）</w:t>
      </w:r>
    </w:p>
    <w:p>
      <w:pPr>
        <w:pStyle w:val="ReferenceEntry"/>
      </w:pPr>
      <w:bookmarkStart w:id="3201" w:name="ref-305"/>
      <w:r>
        <w:t xml:space="preserve">[305]</w:t>
      </w:r>
      <w:bookmarkEnd w:id="3201"/>
      <w:r>
        <w:t xml:space="preserve"> Cepeda NJ, Vul E, Rohrer D, Wixted JT, Pashler H. Spacing effects in learning: a temporal ridgeline of optimal retention.</w:t>
      </w:r>
      <w:r>
        <w:t xml:space="preserve"> </w:t>
      </w:r>
      <w:r>
        <w:rPr>
          <w:iCs/>
          <w:i/>
        </w:rPr>
        <w:t xml:space="preserve">Psychological Science</w:t>
      </w:r>
      <w:r>
        <w:t xml:space="preserve">. 2008;19(11):1095–1102.</w:t>
      </w:r>
      <w:r>
        <w:t xml:space="preserve"> </w:t>
      </w:r>
      <w:hyperlink r:id="rId3202">
        <w:r>
          <w:rPr>
            <w:rStyle w:val="Hyperlink"/>
          </w:rPr>
          <w:t xml:space="preserve">https://doi.org/10.1111/j.1467-9280.2008.02209.x</w:t>
        </w:r>
      </w:hyperlink>
      <w:r>
        <w:t xml:space="preserve">（研究类型：事实学习间隔实验）</w:t>
      </w:r>
    </w:p>
    <w:p>
      <w:pPr>
        <w:pStyle w:val="ReferenceEntry"/>
      </w:pPr>
      <w:bookmarkStart w:id="3203" w:name="ref-306"/>
      <w:r>
        <w:t xml:space="preserve">[306]</w:t>
      </w:r>
      <w:bookmarkEnd w:id="3203"/>
      <w:r>
        <w:t xml:space="preserve"> Rasch B, Born J. About Sleep’s Role in Memory.</w:t>
      </w:r>
      <w:r>
        <w:t xml:space="preserve"> </w:t>
      </w:r>
      <w:r>
        <w:rPr>
          <w:iCs/>
          <w:i/>
        </w:rPr>
        <w:t xml:space="preserve">Physiological Reviews</w:t>
      </w:r>
      <w:r>
        <w:t xml:space="preserve">. 2013;93(2):681–766.</w:t>
      </w:r>
      <w:r>
        <w:t xml:space="preserve"> </w:t>
      </w:r>
      <w:hyperlink r:id="rId3204">
        <w:r>
          <w:rPr>
            <w:rStyle w:val="Hyperlink"/>
          </w:rPr>
          <w:t xml:space="preserve">https://doi.org/10.1152/physrev.00032.2012</w:t>
        </w:r>
      </w:hyperlink>
      <w:r>
        <w:t xml:space="preserve">（研究类型：大型综述）</w:t>
      </w:r>
    </w:p>
    <w:p>
      <w:pPr>
        <w:pStyle w:val="ReferenceEntry"/>
      </w:pPr>
      <w:bookmarkStart w:id="3205" w:name="ref-307"/>
      <w:r>
        <w:t xml:space="preserve">[307]</w:t>
      </w:r>
      <w:bookmarkEnd w:id="3205"/>
      <w:r>
        <w:t xml:space="preserve"> Karpicke JD, Roediger HL. Expanding retrieval practice promotes short-term retention, but equally spaced retrieval enhances long-term retention.</w:t>
      </w:r>
      <w:r>
        <w:t xml:space="preserve"> </w:t>
      </w:r>
      <w:r>
        <w:rPr>
          <w:iCs/>
          <w:i/>
        </w:rPr>
        <w:t xml:space="preserve">Journal of Experimental Psychology: Learning, Memory, and Cognition</w:t>
      </w:r>
      <w:r>
        <w:t xml:space="preserve">. 2007;33(4):704–719.</w:t>
      </w:r>
      <w:r>
        <w:t xml:space="preserve"> </w:t>
      </w:r>
      <w:hyperlink r:id="rId3206">
        <w:r>
          <w:rPr>
            <w:rStyle w:val="Hyperlink"/>
          </w:rPr>
          <w:t xml:space="preserve">https://doi.org/10.1037/0278-7393.33.4.704</w:t>
        </w:r>
      </w:hyperlink>
      <w:r>
        <w:t xml:space="preserve">（研究类型：提取日程实验）</w:t>
      </w:r>
    </w:p>
    <w:p>
      <w:pPr>
        <w:pStyle w:val="ReferenceEntry"/>
      </w:pPr>
      <w:bookmarkStart w:id="3207" w:name="ref-308"/>
      <w:r>
        <w:t xml:space="preserve">[308]</w:t>
      </w:r>
      <w:bookmarkEnd w:id="3207"/>
      <w:r>
        <w:t xml:space="preserve"> Rawson KA, Dunlosky J. Optimizing schedules of retrieval practice for durable and efficient learning: how much is enough?.</w:t>
      </w:r>
      <w:r>
        <w:t xml:space="preserve"> </w:t>
      </w:r>
      <w:r>
        <w:rPr>
          <w:iCs/>
          <w:i/>
        </w:rPr>
        <w:t xml:space="preserve">Journal of Experimental Psychology: General</w:t>
      </w:r>
      <w:r>
        <w:t xml:space="preserve">. 2011;140(3):283–302.</w:t>
      </w:r>
      <w:r>
        <w:t xml:space="preserve"> </w:t>
      </w:r>
      <w:hyperlink r:id="rId3208">
        <w:r>
          <w:rPr>
            <w:rStyle w:val="Hyperlink"/>
          </w:rPr>
          <w:t xml:space="preserve">https://doi.org/10.1037/a0023956</w:t>
        </w:r>
      </w:hyperlink>
      <w:r>
        <w:t xml:space="preserve">（研究类型：重复学习实验）</w:t>
      </w:r>
    </w:p>
    <w:p>
      <w:pPr>
        <w:pStyle w:val="ReferenceEntry"/>
      </w:pPr>
      <w:bookmarkStart w:id="3209" w:name="ref-309"/>
      <w:r>
        <w:t xml:space="preserve">[309]</w:t>
      </w:r>
      <w:bookmarkEnd w:id="3209"/>
      <w:r>
        <w:t xml:space="preserve"> Rawson KA, Dunlosky J, Sciartelli SM. The Power of Successive Relearning: Improving Performance on Course Exams and Long-Term Retention.</w:t>
      </w:r>
      <w:r>
        <w:t xml:space="preserve"> </w:t>
      </w:r>
      <w:r>
        <w:rPr>
          <w:iCs/>
          <w:i/>
        </w:rPr>
        <w:t xml:space="preserve">Educational Psychology Review</w:t>
      </w:r>
      <w:r>
        <w:t xml:space="preserve">. 2013;25(4):523–548.</w:t>
      </w:r>
      <w:r>
        <w:t xml:space="preserve"> </w:t>
      </w:r>
      <w:hyperlink r:id="rId3210">
        <w:r>
          <w:rPr>
            <w:rStyle w:val="Hyperlink"/>
          </w:rPr>
          <w:t xml:space="preserve">https://doi.org/10.1007/s10648-013-9240-4</w:t>
        </w:r>
      </w:hyperlink>
      <w:r>
        <w:t xml:space="preserve">（研究类型：两项课程实验）</w:t>
      </w:r>
    </w:p>
    <w:p>
      <w:pPr>
        <w:pStyle w:val="ReferenceEntry"/>
      </w:pPr>
      <w:bookmarkStart w:id="3211" w:name="ref-310"/>
      <w:r>
        <w:t xml:space="preserve">[310]</w:t>
      </w:r>
      <w:bookmarkEnd w:id="3211"/>
      <w:r>
        <w:t xml:space="preserve"> Kornell N, Bjork RA. Learning concepts and categories: is spacing the enemy of induction?.</w:t>
      </w:r>
      <w:r>
        <w:t xml:space="preserve"> </w:t>
      </w:r>
      <w:r>
        <w:rPr>
          <w:iCs/>
          <w:i/>
        </w:rPr>
        <w:t xml:space="preserve">Psychological Science</w:t>
      </w:r>
      <w:r>
        <w:t xml:space="preserve">. 2008;19(6):585–592.</w:t>
      </w:r>
      <w:r>
        <w:t xml:space="preserve"> </w:t>
      </w:r>
      <w:hyperlink r:id="rId3212">
        <w:r>
          <w:rPr>
            <w:rStyle w:val="Hyperlink"/>
          </w:rPr>
          <w:t xml:space="preserve">https://doi.org/10.1111/j.1467-9280.2008.02127.x</w:t>
        </w:r>
      </w:hyperlink>
      <w:r>
        <w:t xml:space="preserve">（研究类型：类别归纳实验）</w:t>
      </w:r>
    </w:p>
    <w:p>
      <w:pPr>
        <w:pStyle w:val="ReferenceEntry"/>
      </w:pPr>
      <w:bookmarkStart w:id="3213" w:name="ref-311"/>
      <w:r>
        <w:t xml:space="preserve">[311]</w:t>
      </w:r>
      <w:bookmarkEnd w:id="3213"/>
      <w:r>
        <w:t xml:space="preserve"> Kang SHK, Pashler H. Learning Painting Styles: Spacing is Advantageous when it Promotes Discriminative Contrast.</w:t>
      </w:r>
      <w:r>
        <w:t xml:space="preserve"> </w:t>
      </w:r>
      <w:r>
        <w:rPr>
          <w:iCs/>
          <w:i/>
        </w:rPr>
        <w:t xml:space="preserve">Applied Cognitive Psychology</w:t>
      </w:r>
      <w:r>
        <w:t xml:space="preserve">. 2012;26(1):97–103.</w:t>
      </w:r>
      <w:r>
        <w:t xml:space="preserve"> </w:t>
      </w:r>
      <w:hyperlink r:id="rId3214">
        <w:r>
          <w:rPr>
            <w:rStyle w:val="Hyperlink"/>
          </w:rPr>
          <w:t xml:space="preserve">https://doi.org/10.1002/acp.1801</w:t>
        </w:r>
      </w:hyperlink>
      <w:r>
        <w:t xml:space="preserve">（研究类型：类别辨别实验）</w:t>
      </w:r>
    </w:p>
    <w:p>
      <w:pPr>
        <w:pStyle w:val="ReferenceEntry"/>
      </w:pPr>
      <w:bookmarkStart w:id="3215" w:name="ref-312"/>
      <w:r>
        <w:t xml:space="preserve">[312]</w:t>
      </w:r>
      <w:bookmarkEnd w:id="3215"/>
      <w:r>
        <w:t xml:space="preserve"> Brunmair M, Richter T. Similarity matters: A meta-analysis of interleaved learning and its moderators.</w:t>
      </w:r>
      <w:r>
        <w:t xml:space="preserve"> </w:t>
      </w:r>
      <w:r>
        <w:rPr>
          <w:iCs/>
          <w:i/>
        </w:rPr>
        <w:t xml:space="preserve">Psychological Bulletin</w:t>
      </w:r>
      <w:r>
        <w:t xml:space="preserve">. 2019;145(11):1029–1052.</w:t>
      </w:r>
      <w:r>
        <w:t xml:space="preserve"> </w:t>
      </w:r>
      <w:hyperlink r:id="rId3216">
        <w:r>
          <w:rPr>
            <w:rStyle w:val="Hyperlink"/>
          </w:rPr>
          <w:t xml:space="preserve">https://doi.org/10.1037/bul0000209</w:t>
        </w:r>
      </w:hyperlink>
      <w:r>
        <w:t xml:space="preserve">（研究类型：多层元分析）</w:t>
      </w:r>
    </w:p>
    <w:p>
      <w:pPr>
        <w:pStyle w:val="ReferenceEntry"/>
      </w:pPr>
      <w:bookmarkStart w:id="3217" w:name="ref-313"/>
      <w:r>
        <w:t xml:space="preserve">[313]</w:t>
      </w:r>
      <w:bookmarkEnd w:id="3217"/>
      <w:r>
        <w:t xml:space="preserve"> Rohrer D, Dedrick RF, Hartwig MK, Cheung CN. A randomized controlled trial of interleaved mathematics practice.</w:t>
      </w:r>
      <w:r>
        <w:t xml:space="preserve"> </w:t>
      </w:r>
      <w:r>
        <w:rPr>
          <w:iCs/>
          <w:i/>
        </w:rPr>
        <w:t xml:space="preserve">Journal of Educational Psychology</w:t>
      </w:r>
      <w:r>
        <w:t xml:space="preserve">. 2020;112(1):40–52.</w:t>
      </w:r>
      <w:r>
        <w:t xml:space="preserve"> </w:t>
      </w:r>
      <w:hyperlink r:id="rId3218">
        <w:r>
          <w:rPr>
            <w:rStyle w:val="Hyperlink"/>
          </w:rPr>
          <w:t xml:space="preserve">https://doi.org/10.1037/edu0000367</w:t>
        </w:r>
      </w:hyperlink>
      <w:r>
        <w:t xml:space="preserve">（研究类型：预注册整群随机试验）</w:t>
      </w:r>
    </w:p>
    <w:p>
      <w:pPr>
        <w:pStyle w:val="ReferenceEntry"/>
      </w:pPr>
      <w:bookmarkStart w:id="3219" w:name="ref-314"/>
      <w:r>
        <w:t xml:space="preserve">[314]</w:t>
      </w:r>
      <w:bookmarkEnd w:id="3219"/>
      <w:r>
        <w:t xml:space="preserve"> Murray E, Horner AJ, Göbel SM. A Meta-analytic Review of the Effectiveness of Spacing and Retrieval Practice for Mathematics Learning.</w:t>
      </w:r>
      <w:r>
        <w:t xml:space="preserve"> </w:t>
      </w:r>
      <w:r>
        <w:rPr>
          <w:iCs/>
          <w:i/>
        </w:rPr>
        <w:t xml:space="preserve">Educational Psychology Review</w:t>
      </w:r>
      <w:r>
        <w:t xml:space="preserve">. 2025;37(3):75.</w:t>
      </w:r>
      <w:r>
        <w:t xml:space="preserve"> </w:t>
      </w:r>
      <w:hyperlink r:id="rId3220">
        <w:r>
          <w:rPr>
            <w:rStyle w:val="Hyperlink"/>
          </w:rPr>
          <w:t xml:space="preserve">https://doi.org/10.1007/s10648-025-10035-1</w:t>
        </w:r>
      </w:hyperlink>
      <w:r>
        <w:t xml:space="preserve">（研究类型：元分析）</w:t>
      </w:r>
    </w:p>
    <w:p>
      <w:pPr>
        <w:pStyle w:val="ReferenceEntry"/>
      </w:pPr>
      <w:bookmarkStart w:id="3221" w:name="ref-315"/>
      <w:r>
        <w:t xml:space="preserve">[315]</w:t>
      </w:r>
      <w:bookmarkEnd w:id="3221"/>
      <w:r>
        <w:t xml:space="preserve"> Vlach HA, Sandhofer CM, Kornell N. The spacing effect in children’s memory and category induction.</w:t>
      </w:r>
      <w:r>
        <w:t xml:space="preserve"> </w:t>
      </w:r>
      <w:r>
        <w:rPr>
          <w:iCs/>
          <w:i/>
        </w:rPr>
        <w:t xml:space="preserve">Cognition</w:t>
      </w:r>
      <w:r>
        <w:t xml:space="preserve">. 2008;109(1):163–167.</w:t>
      </w:r>
      <w:r>
        <w:t xml:space="preserve"> </w:t>
      </w:r>
      <w:hyperlink r:id="rId3222">
        <w:r>
          <w:rPr>
            <w:rStyle w:val="Hyperlink"/>
          </w:rPr>
          <w:t xml:space="preserve">https://doi.org/10.1016/j.cognition.2008.07.013</w:t>
        </w:r>
      </w:hyperlink>
      <w:r>
        <w:t xml:space="preserve">（研究类型：儿童学习实验）</w:t>
      </w:r>
    </w:p>
    <w:p>
      <w:pPr>
        <w:pStyle w:val="ReferenceEntry"/>
      </w:pPr>
      <w:bookmarkStart w:id="3223" w:name="ref-316"/>
      <w:r>
        <w:t xml:space="preserve">[316]</w:t>
      </w:r>
      <w:bookmarkEnd w:id="3223"/>
      <w:r>
        <w:t xml:space="preserve"> Birnbaum MS, Kornell N, Bjork EL, Bjork RA. Why interleaving enhances inductive learning: the roles of discrimination and retrieval.</w:t>
      </w:r>
      <w:r>
        <w:t xml:space="preserve"> </w:t>
      </w:r>
      <w:r>
        <w:rPr>
          <w:iCs/>
          <w:i/>
        </w:rPr>
        <w:t xml:space="preserve">Memory &amp; Cognition</w:t>
      </w:r>
      <w:r>
        <w:t xml:space="preserve">. 2013;41(3):392–402.</w:t>
      </w:r>
      <w:r>
        <w:t xml:space="preserve"> </w:t>
      </w:r>
      <w:hyperlink r:id="rId3224">
        <w:r>
          <w:rPr>
            <w:rStyle w:val="Hyperlink"/>
          </w:rPr>
          <w:t xml:space="preserve">https://doi.org/10.3758/s13421-012-0272-7</w:t>
        </w:r>
      </w:hyperlink>
      <w:r>
        <w:t xml:space="preserve">（研究类型：系列类别学习实验）</w:t>
      </w:r>
    </w:p>
    <w:p>
      <w:pPr>
        <w:pStyle w:val="ReferenceEntry"/>
      </w:pPr>
      <w:bookmarkStart w:id="3225" w:name="ref-317"/>
      <w:r>
        <w:t xml:space="preserve">[317]</w:t>
      </w:r>
      <w:bookmarkEnd w:id="3225"/>
      <w:r>
        <w:t xml:space="preserve"> Sweller J. Cognitive Load During Problem Solving: Effects on Learning.</w:t>
      </w:r>
      <w:r>
        <w:t xml:space="preserve"> </w:t>
      </w:r>
      <w:r>
        <w:rPr>
          <w:iCs/>
          <w:i/>
        </w:rPr>
        <w:t xml:space="preserve">Cognitive Science</w:t>
      </w:r>
      <w:r>
        <w:t xml:space="preserve">. 1988;12(2):257–285.</w:t>
      </w:r>
      <w:r>
        <w:t xml:space="preserve"> </w:t>
      </w:r>
      <w:hyperlink r:id="rId3226">
        <w:r>
          <w:rPr>
            <w:rStyle w:val="Hyperlink"/>
          </w:rPr>
          <w:t xml:space="preserve">https://doi.org/10.1207/s15516709cog1202_4</w:t>
        </w:r>
      </w:hyperlink>
      <w:r>
        <w:t xml:space="preserve">（研究类型：认知理论及实验）</w:t>
      </w:r>
    </w:p>
    <w:p>
      <w:pPr>
        <w:pStyle w:val="ReferenceEntry"/>
      </w:pPr>
      <w:bookmarkStart w:id="3227" w:name="ref-318"/>
      <w:r>
        <w:t xml:space="preserve">[318]</w:t>
      </w:r>
      <w:bookmarkEnd w:id="3227"/>
      <w:r>
        <w:t xml:space="preserve"> Sweller J, van Merriënboer JJG, Paas F. Cognitive Architecture and Instructional Design: 20 Years Later.</w:t>
      </w:r>
      <w:r>
        <w:t xml:space="preserve"> </w:t>
      </w:r>
      <w:r>
        <w:rPr>
          <w:iCs/>
          <w:i/>
        </w:rPr>
        <w:t xml:space="preserve">Educational Psychology Review</w:t>
      </w:r>
      <w:r>
        <w:t xml:space="preserve">. 2019;31(2):261–292.</w:t>
      </w:r>
      <w:r>
        <w:t xml:space="preserve"> </w:t>
      </w:r>
      <w:hyperlink r:id="rId3228">
        <w:r>
          <w:rPr>
            <w:rStyle w:val="Hyperlink"/>
          </w:rPr>
          <w:t xml:space="preserve">https://doi.org/10.1007/s10648-019-09465-5</w:t>
        </w:r>
      </w:hyperlink>
      <w:r>
        <w:t xml:space="preserve">（研究类型：理论综述）</w:t>
      </w:r>
    </w:p>
    <w:p>
      <w:pPr>
        <w:pStyle w:val="ReferenceEntry"/>
      </w:pPr>
      <w:bookmarkStart w:id="3229" w:name="ref-319"/>
      <w:r>
        <w:t xml:space="preserve">[319]</w:t>
      </w:r>
      <w:bookmarkEnd w:id="3229"/>
      <w:r>
        <w:t xml:space="preserve"> de Jong T. Cognitive load theory, educational research, and instructional design: some food for thought.</w:t>
      </w:r>
      <w:r>
        <w:t xml:space="preserve"> </w:t>
      </w:r>
      <w:r>
        <w:rPr>
          <w:iCs/>
          <w:i/>
        </w:rPr>
        <w:t xml:space="preserve">Instructional Science</w:t>
      </w:r>
      <w:r>
        <w:t xml:space="preserve">. 2010;38(2):105–134.</w:t>
      </w:r>
      <w:r>
        <w:t xml:space="preserve"> </w:t>
      </w:r>
      <w:hyperlink r:id="rId3230">
        <w:r>
          <w:rPr>
            <w:rStyle w:val="Hyperlink"/>
          </w:rPr>
          <w:t xml:space="preserve">https://doi.org/10.1007/s11251-009-9110-0</w:t>
        </w:r>
      </w:hyperlink>
      <w:r>
        <w:t xml:space="preserve">（研究类型：批判性理论综述）</w:t>
      </w:r>
    </w:p>
    <w:p>
      <w:pPr>
        <w:pStyle w:val="ReferenceEntry"/>
      </w:pPr>
      <w:bookmarkStart w:id="3231" w:name="ref-320"/>
      <w:r>
        <w:t xml:space="preserve">[320]</w:t>
      </w:r>
      <w:bookmarkEnd w:id="3231"/>
      <w:r>
        <w:t xml:space="preserve"> Atkinson RK, Derry SJ, Renkl A, Wortham D. Learning from Examples: Instructional Principles from the Worked Examples Research.</w:t>
      </w:r>
      <w:r>
        <w:t xml:space="preserve"> </w:t>
      </w:r>
      <w:r>
        <w:rPr>
          <w:iCs/>
          <w:i/>
        </w:rPr>
        <w:t xml:space="preserve">Review of Educational Research</w:t>
      </w:r>
      <w:r>
        <w:t xml:space="preserve">. 2000;70(2):181–214.</w:t>
      </w:r>
      <w:r>
        <w:t xml:space="preserve"> </w:t>
      </w:r>
      <w:hyperlink r:id="rId3232">
        <w:r>
          <w:rPr>
            <w:rStyle w:val="Hyperlink"/>
          </w:rPr>
          <w:t xml:space="preserve">https://doi.org/10.3102/00346543070002181</w:t>
        </w:r>
      </w:hyperlink>
      <w:r>
        <w:t xml:space="preserve">（研究类型：研究综述）</w:t>
      </w:r>
    </w:p>
    <w:p>
      <w:pPr>
        <w:pStyle w:val="ReferenceEntry"/>
      </w:pPr>
      <w:bookmarkStart w:id="3233" w:name="ref-321"/>
      <w:r>
        <w:t xml:space="preserve">[321]</w:t>
      </w:r>
      <w:bookmarkEnd w:id="3233"/>
      <w:r>
        <w:t xml:space="preserve"> Chi MTH, Bassok M, Lewis MW, Reimann P, Glaser R. Self-Explanations: How Students Study and Use Examples in Learning to Solve Problems.</w:t>
      </w:r>
      <w:r>
        <w:t xml:space="preserve"> </w:t>
      </w:r>
      <w:r>
        <w:rPr>
          <w:iCs/>
          <w:i/>
        </w:rPr>
        <w:t xml:space="preserve">Cognitive Science</w:t>
      </w:r>
      <w:r>
        <w:t xml:space="preserve">. 1989;13(2):145–182.</w:t>
      </w:r>
      <w:r>
        <w:t xml:space="preserve"> </w:t>
      </w:r>
      <w:hyperlink r:id="rId3234">
        <w:r>
          <w:rPr>
            <w:rStyle w:val="Hyperlink"/>
          </w:rPr>
          <w:t xml:space="preserve">https://doi.org/10.1207/s15516709cog1302_1</w:t>
        </w:r>
      </w:hyperlink>
      <w:r>
        <w:t xml:space="preserve">（研究类型：言语报告与问题解决研究）</w:t>
      </w:r>
    </w:p>
    <w:p>
      <w:pPr>
        <w:pStyle w:val="ReferenceEntry"/>
      </w:pPr>
      <w:bookmarkStart w:id="3235" w:name="ref-322"/>
      <w:r>
        <w:t xml:space="preserve">[322]</w:t>
      </w:r>
      <w:bookmarkEnd w:id="3235"/>
      <w:r>
        <w:t xml:space="preserve"> Kalyuga S, Ayres P, Chandler P, Sweller J. The Expertise Reversal Effect.</w:t>
      </w:r>
      <w:r>
        <w:t xml:space="preserve"> </w:t>
      </w:r>
      <w:r>
        <w:rPr>
          <w:iCs/>
          <w:i/>
        </w:rPr>
        <w:t xml:space="preserve">Educational Psychologist</w:t>
      </w:r>
      <w:r>
        <w:t xml:space="preserve">. 2003;38(1):23–31.</w:t>
      </w:r>
      <w:r>
        <w:t xml:space="preserve"> </w:t>
      </w:r>
      <w:hyperlink r:id="rId3236">
        <w:r>
          <w:rPr>
            <w:rStyle w:val="Hyperlink"/>
          </w:rPr>
          <w:t xml:space="preserve">https://doi.org/10.1207/S15326985EP3801_4</w:t>
        </w:r>
      </w:hyperlink>
      <w:r>
        <w:t xml:space="preserve">（研究类型：证据综述）</w:t>
      </w:r>
    </w:p>
    <w:p>
      <w:pPr>
        <w:pStyle w:val="ReferenceEntry"/>
      </w:pPr>
      <w:bookmarkStart w:id="3237" w:name="ref-323"/>
      <w:r>
        <w:t xml:space="preserve">[323]</w:t>
      </w:r>
      <w:bookmarkEnd w:id="3237"/>
      <w:r>
        <w:t xml:space="preserve"> Chandler P, Sweller J. Cognitive Load Theory and the Format of Instruction.</w:t>
      </w:r>
      <w:r>
        <w:t xml:space="preserve"> </w:t>
      </w:r>
      <w:r>
        <w:rPr>
          <w:iCs/>
          <w:i/>
        </w:rPr>
        <w:t xml:space="preserve">Cognition and Instruction</w:t>
      </w:r>
      <w:r>
        <w:t xml:space="preserve">. 1991;8(4):293–332.</w:t>
      </w:r>
      <w:r>
        <w:t xml:space="preserve"> </w:t>
      </w:r>
      <w:hyperlink r:id="rId3238">
        <w:r>
          <w:rPr>
            <w:rStyle w:val="Hyperlink"/>
          </w:rPr>
          <w:t xml:space="preserve">https://doi.org/10.1207/s1532690xci0804_2</w:t>
        </w:r>
      </w:hyperlink>
      <w:r>
        <w:t xml:space="preserve">（研究类型：教学呈现实验）</w:t>
      </w:r>
    </w:p>
    <w:p>
      <w:pPr>
        <w:pStyle w:val="ReferenceEntry"/>
      </w:pPr>
      <w:bookmarkStart w:id="3239" w:name="ref-324"/>
      <w:r>
        <w:t xml:space="preserve">[324]</w:t>
      </w:r>
      <w:bookmarkEnd w:id="3239"/>
      <w:r>
        <w:t xml:space="preserve"> Schroeder NL, Cenkci AT. Spatial Contiguity and Spatial Split-Attention Effects in Multimedia Learning Environments: a Meta-Analysis.</w:t>
      </w:r>
      <w:r>
        <w:t xml:space="preserve"> </w:t>
      </w:r>
      <w:r>
        <w:rPr>
          <w:iCs/>
          <w:i/>
        </w:rPr>
        <w:t xml:space="preserve">Educational Psychology Review</w:t>
      </w:r>
      <w:r>
        <w:t xml:space="preserve">. 2018;30(3):679–701.</w:t>
      </w:r>
      <w:r>
        <w:t xml:space="preserve"> </w:t>
      </w:r>
      <w:hyperlink r:id="rId3240">
        <w:r>
          <w:rPr>
            <w:rStyle w:val="Hyperlink"/>
          </w:rPr>
          <w:t xml:space="preserve">https://doi.org/10.1007/s10648-018-9435-9</w:t>
        </w:r>
      </w:hyperlink>
      <w:r>
        <w:t xml:space="preserve">（研究类型：元分析）</w:t>
      </w:r>
    </w:p>
    <w:p>
      <w:pPr>
        <w:pStyle w:val="ReferenceEntry"/>
      </w:pPr>
      <w:bookmarkStart w:id="3241" w:name="ref-325"/>
      <w:r>
        <w:t xml:space="preserve">[325]</w:t>
      </w:r>
      <w:bookmarkEnd w:id="3241"/>
      <w:r>
        <w:t xml:space="preserve"> Rey GD, Beege M, Nebel S, Wirzberger M, Schmitt TH, Schneider S. A Meta-analysis of the Segmenting Effect.</w:t>
      </w:r>
      <w:r>
        <w:t xml:space="preserve"> </w:t>
      </w:r>
      <w:r>
        <w:rPr>
          <w:iCs/>
          <w:i/>
        </w:rPr>
        <w:t xml:space="preserve">Educational Psychology Review</w:t>
      </w:r>
      <w:r>
        <w:t xml:space="preserve">. 2019;31(2):389–419.</w:t>
      </w:r>
      <w:r>
        <w:t xml:space="preserve"> </w:t>
      </w:r>
      <w:hyperlink r:id="rId3242">
        <w:r>
          <w:rPr>
            <w:rStyle w:val="Hyperlink"/>
          </w:rPr>
          <w:t xml:space="preserve">https://doi.org/10.1007/s10648-018-9456-4</w:t>
        </w:r>
      </w:hyperlink>
      <w:r>
        <w:t xml:space="preserve">（研究类型：元分析）</w:t>
      </w:r>
    </w:p>
    <w:p>
      <w:pPr>
        <w:pStyle w:val="ReferenceEntry"/>
      </w:pPr>
      <w:bookmarkStart w:id="3243" w:name="ref-326"/>
      <w:r>
        <w:t xml:space="preserve">[326]</w:t>
      </w:r>
      <w:bookmarkEnd w:id="3243"/>
      <w:r>
        <w:t xml:space="preserve"> Mayer RE, Moreno R. Nine Ways to Reduce Cognitive Load in Multimedia Learning.</w:t>
      </w:r>
      <w:r>
        <w:t xml:space="preserve"> </w:t>
      </w:r>
      <w:r>
        <w:rPr>
          <w:iCs/>
          <w:i/>
        </w:rPr>
        <w:t xml:space="preserve">Educational Psychologist</w:t>
      </w:r>
      <w:r>
        <w:t xml:space="preserve">. 2003;38(1):43–52.</w:t>
      </w:r>
      <w:r>
        <w:t xml:space="preserve"> </w:t>
      </w:r>
      <w:hyperlink r:id="rId3244">
        <w:r>
          <w:rPr>
            <w:rStyle w:val="Hyperlink"/>
          </w:rPr>
          <w:t xml:space="preserve">https://doi.org/10.1207/S15326985EP3801_6</w:t>
        </w:r>
      </w:hyperlink>
      <w:r>
        <w:t xml:space="preserve">（研究类型：理论与作者实验综合）</w:t>
      </w:r>
    </w:p>
    <w:p>
      <w:pPr>
        <w:pStyle w:val="ReferenceEntry"/>
      </w:pPr>
      <w:bookmarkStart w:id="3245" w:name="ref-327"/>
      <w:r>
        <w:t xml:space="preserve">[327]</w:t>
      </w:r>
      <w:bookmarkEnd w:id="3245"/>
      <w:r>
        <w:t xml:space="preserve"> Rey GD. A review of research and a meta-analysis of the seductive detail effect.</w:t>
      </w:r>
      <w:r>
        <w:t xml:space="preserve"> </w:t>
      </w:r>
      <w:r>
        <w:rPr>
          <w:iCs/>
          <w:i/>
        </w:rPr>
        <w:t xml:space="preserve">Educational Research Review</w:t>
      </w:r>
      <w:r>
        <w:t xml:space="preserve">. 2012;7(3):216–237.</w:t>
      </w:r>
      <w:r>
        <w:t xml:space="preserve"> </w:t>
      </w:r>
      <w:hyperlink r:id="rId3246">
        <w:r>
          <w:rPr>
            <w:rStyle w:val="Hyperlink"/>
          </w:rPr>
          <w:t xml:space="preserve">https://doi.org/10.1016/j.edurev.2012.05.003</w:t>
        </w:r>
      </w:hyperlink>
      <w:r>
        <w:t xml:space="preserve">（研究类型：综述与元分析）</w:t>
      </w:r>
    </w:p>
    <w:p>
      <w:pPr>
        <w:pStyle w:val="ReferenceEntry"/>
      </w:pPr>
      <w:bookmarkStart w:id="3247" w:name="ref-328"/>
      <w:r>
        <w:t xml:space="preserve">[328]</w:t>
      </w:r>
      <w:bookmarkEnd w:id="3247"/>
      <w:r>
        <w:t xml:space="preserve"> Cheng C, Wu Y, Wang R, Wang Z. Seductive Details, Cognitive Load, and Learning Outcomes: A Multi-level Meta-analysis and MASEM.</w:t>
      </w:r>
      <w:r>
        <w:t xml:space="preserve"> </w:t>
      </w:r>
      <w:r>
        <w:rPr>
          <w:iCs/>
          <w:i/>
        </w:rPr>
        <w:t xml:space="preserve">Educational Psychology Review</w:t>
      </w:r>
      <w:r>
        <w:t xml:space="preserve">. 2026;38(1):28.</w:t>
      </w:r>
      <w:r>
        <w:t xml:space="preserve"> </w:t>
      </w:r>
      <w:hyperlink r:id="rId3248">
        <w:r>
          <w:rPr>
            <w:rStyle w:val="Hyperlink"/>
          </w:rPr>
          <w:t xml:space="preserve">https://doi.org/10.1007/s10648-025-10099-z</w:t>
        </w:r>
      </w:hyperlink>
      <w:r>
        <w:t xml:space="preserve">（研究类型：多层元分析及元分析结构方程模型）</w:t>
      </w:r>
    </w:p>
    <w:p>
      <w:pPr>
        <w:pStyle w:val="ReferenceEntry"/>
      </w:pPr>
      <w:bookmarkStart w:id="3249" w:name="ref-329"/>
      <w:r>
        <w:t xml:space="preserve">[329]</w:t>
      </w:r>
      <w:bookmarkEnd w:id="3249"/>
      <w:r>
        <w:t xml:space="preserve"> Alfieri L, Brooks PJ, Aldrich NJ, Tenenbaum HR. Does discovery-based instruction enhance learning?.</w:t>
      </w:r>
      <w:r>
        <w:t xml:space="preserve"> </w:t>
      </w:r>
      <w:r>
        <w:rPr>
          <w:iCs/>
          <w:i/>
        </w:rPr>
        <w:t xml:space="preserve">Journal of Educational Psychology</w:t>
      </w:r>
      <w:r>
        <w:t xml:space="preserve">. 2011;103(1):1–18.</w:t>
      </w:r>
      <w:r>
        <w:t xml:space="preserve"> </w:t>
      </w:r>
      <w:hyperlink r:id="rId3250">
        <w:r>
          <w:rPr>
            <w:rStyle w:val="Hyperlink"/>
          </w:rPr>
          <w:t xml:space="preserve">https://doi.org/10.1037/a0021017</w:t>
        </w:r>
      </w:hyperlink>
      <w:r>
        <w:t xml:space="preserve">（研究类型：两项元分析）</w:t>
      </w:r>
    </w:p>
    <w:p>
      <w:pPr>
        <w:pStyle w:val="ReferenceEntry"/>
      </w:pPr>
      <w:bookmarkStart w:id="3251" w:name="ref-330"/>
      <w:r>
        <w:t xml:space="preserve">[330]</w:t>
      </w:r>
      <w:bookmarkEnd w:id="3251"/>
      <w:r>
        <w:t xml:space="preserve"> Lazonder AW, Harmsen R. Meta-Analysis of Inquiry-Based Learning: Effects of Guidance.</w:t>
      </w:r>
      <w:r>
        <w:t xml:space="preserve"> </w:t>
      </w:r>
      <w:r>
        <w:rPr>
          <w:iCs/>
          <w:i/>
        </w:rPr>
        <w:t xml:space="preserve">Review of Educational Research</w:t>
      </w:r>
      <w:r>
        <w:t xml:space="preserve">. 2016;86(3):681–718.</w:t>
      </w:r>
      <w:r>
        <w:t xml:space="preserve"> </w:t>
      </w:r>
      <w:hyperlink r:id="rId3252">
        <w:r>
          <w:rPr>
            <w:rStyle w:val="Hyperlink"/>
          </w:rPr>
          <w:t xml:space="preserve">https://doi.org/10.3102/0034654315627366</w:t>
        </w:r>
      </w:hyperlink>
      <w:r>
        <w:t xml:space="preserve">（研究类型：元分析）</w:t>
      </w:r>
    </w:p>
    <w:p>
      <w:pPr>
        <w:pStyle w:val="ReferenceEntry"/>
      </w:pPr>
      <w:bookmarkStart w:id="3253" w:name="ref-331"/>
      <w:r>
        <w:t xml:space="preserve">[331]</w:t>
      </w:r>
      <w:bookmarkEnd w:id="3253"/>
      <w:r>
        <w:t xml:space="preserve"> Nelson TO, Narens L. Metamemory: A Theoretical Framework and New Findings.</w:t>
      </w:r>
      <w:r>
        <w:t xml:space="preserve"> </w:t>
      </w:r>
      <w:r>
        <w:rPr>
          <w:iCs/>
          <w:i/>
        </w:rPr>
        <w:t xml:space="preserve">Psychology of Learning and Motivation</w:t>
      </w:r>
      <w:r>
        <w:t xml:space="preserve">. 1990:125–173.</w:t>
      </w:r>
      <w:r>
        <w:t xml:space="preserve"> </w:t>
      </w:r>
      <w:hyperlink r:id="rId3254">
        <w:r>
          <w:rPr>
            <w:rStyle w:val="Hyperlink"/>
          </w:rPr>
          <w:t xml:space="preserve">https://doi.org/10.1016/S0079-7421(08)60053-5</w:t>
        </w:r>
      </w:hyperlink>
      <w:r>
        <w:t xml:space="preserve">（研究类型：理论章节）</w:t>
      </w:r>
    </w:p>
    <w:p>
      <w:pPr>
        <w:pStyle w:val="ReferenceEntry"/>
      </w:pPr>
      <w:bookmarkStart w:id="3255" w:name="ref-332"/>
      <w:r>
        <w:t xml:space="preserve">[332]</w:t>
      </w:r>
      <w:bookmarkEnd w:id="3255"/>
      <w:r>
        <w:t xml:space="preserve"> Koriat A. Monitoring one’s own knowledge during study: A cue-utilization approach to judgments of learning.</w:t>
      </w:r>
      <w:r>
        <w:t xml:space="preserve"> </w:t>
      </w:r>
      <w:r>
        <w:rPr>
          <w:iCs/>
          <w:i/>
        </w:rPr>
        <w:t xml:space="preserve">Journal of Experimental Psychology: General</w:t>
      </w:r>
      <w:r>
        <w:t xml:space="preserve">. 1997;126(4):349–370.</w:t>
      </w:r>
      <w:r>
        <w:t xml:space="preserve"> </w:t>
      </w:r>
      <w:hyperlink r:id="rId3256">
        <w:r>
          <w:rPr>
            <w:rStyle w:val="Hyperlink"/>
          </w:rPr>
          <w:t xml:space="preserve">https://doi.org/10.1037/0096-3445.126.4.349</w:t>
        </w:r>
      </w:hyperlink>
      <w:r>
        <w:t xml:space="preserve">（研究类型：理论及实验）</w:t>
      </w:r>
    </w:p>
    <w:p>
      <w:pPr>
        <w:pStyle w:val="ReferenceEntry"/>
      </w:pPr>
      <w:bookmarkStart w:id="3257" w:name="ref-333"/>
      <w:r>
        <w:t xml:space="preserve">[333]</w:t>
      </w:r>
      <w:bookmarkEnd w:id="3257"/>
      <w:r>
        <w:t xml:space="preserve"> Koriat A, Bjork RA. Illusions of competence in monitoring one’s knowledge during study.</w:t>
      </w:r>
      <w:r>
        <w:t xml:space="preserve"> </w:t>
      </w:r>
      <w:r>
        <w:rPr>
          <w:iCs/>
          <w:i/>
        </w:rPr>
        <w:t xml:space="preserve">Journal of Experimental Psychology: Learning, Memory, and Cognition</w:t>
      </w:r>
      <w:r>
        <w:t xml:space="preserve">. 2005;31(2):187–194.</w:t>
      </w:r>
      <w:r>
        <w:t xml:space="preserve"> </w:t>
      </w:r>
      <w:hyperlink r:id="rId3258">
        <w:r>
          <w:rPr>
            <w:rStyle w:val="Hyperlink"/>
          </w:rPr>
          <w:t xml:space="preserve">https://doi.org/10.1037/0278-7393.31.2.187</w:t>
        </w:r>
      </w:hyperlink>
      <w:r>
        <w:t xml:space="preserve">（研究类型：实验）</w:t>
      </w:r>
    </w:p>
    <w:p>
      <w:pPr>
        <w:pStyle w:val="ReferenceEntry"/>
      </w:pPr>
      <w:bookmarkStart w:id="3259" w:name="ref-334"/>
      <w:r>
        <w:t xml:space="preserve">[334]</w:t>
      </w:r>
      <w:bookmarkEnd w:id="3259"/>
      <w:r>
        <w:t xml:space="preserve"> Nelson TO, Dunlosky J. When People’s Judgments of Learning Are Extremely Accurate at Predicting Subsequent Recall: The Delayed-JOL Effect.</w:t>
      </w:r>
      <w:r>
        <w:t xml:space="preserve"> </w:t>
      </w:r>
      <w:r>
        <w:rPr>
          <w:iCs/>
          <w:i/>
        </w:rPr>
        <w:t xml:space="preserve">Psychological Science</w:t>
      </w:r>
      <w:r>
        <w:t xml:space="preserve">. 1991;2(4):267–271.</w:t>
      </w:r>
      <w:r>
        <w:t xml:space="preserve"> </w:t>
      </w:r>
      <w:hyperlink r:id="rId3260">
        <w:r>
          <w:rPr>
            <w:rStyle w:val="Hyperlink"/>
          </w:rPr>
          <w:t xml:space="preserve">https://doi.org/10.1111/j.1467-9280.1991.tb00147.x</w:t>
        </w:r>
      </w:hyperlink>
      <w:r>
        <w:t xml:space="preserve">（研究类型：实验）</w:t>
      </w:r>
    </w:p>
    <w:p>
      <w:pPr>
        <w:pStyle w:val="ReferenceEntry"/>
      </w:pPr>
      <w:bookmarkStart w:id="3261" w:name="ref-335"/>
      <w:r>
        <w:t xml:space="preserve">[335]</w:t>
      </w:r>
      <w:bookmarkEnd w:id="3261"/>
      <w:r>
        <w:t xml:space="preserve"> Rozenblit L, Keil F. The misunderstood limits of folk science: an illusion of explanatory depth.</w:t>
      </w:r>
      <w:r>
        <w:t xml:space="preserve"> </w:t>
      </w:r>
      <w:r>
        <w:rPr>
          <w:iCs/>
          <w:i/>
        </w:rPr>
        <w:t xml:space="preserve">Cognitive Science</w:t>
      </w:r>
      <w:r>
        <w:t xml:space="preserve">. 2002;26(5):521–562.</w:t>
      </w:r>
      <w:r>
        <w:t xml:space="preserve"> </w:t>
      </w:r>
      <w:hyperlink r:id="rId3262">
        <w:r>
          <w:rPr>
            <w:rStyle w:val="Hyperlink"/>
          </w:rPr>
          <w:t xml:space="preserve">https://doi.org/10.1207/s15516709cog2605_1</w:t>
        </w:r>
      </w:hyperlink>
      <w:r>
        <w:t xml:space="preserve">（研究类型：系列实验）</w:t>
      </w:r>
    </w:p>
    <w:p>
      <w:pPr>
        <w:pStyle w:val="ReferenceEntry"/>
      </w:pPr>
      <w:bookmarkStart w:id="3263" w:name="ref-336"/>
      <w:r>
        <w:t xml:space="preserve">[336]</w:t>
      </w:r>
      <w:bookmarkEnd w:id="3263"/>
      <w:r>
        <w:t xml:space="preserve"> Soderstrom NC, Bjork RA. Learning Versus Performance: An Integrative Review.</w:t>
      </w:r>
      <w:r>
        <w:t xml:space="preserve"> </w:t>
      </w:r>
      <w:r>
        <w:rPr>
          <w:iCs/>
          <w:i/>
        </w:rPr>
        <w:t xml:space="preserve">Perspectives on Psychological Science</w:t>
      </w:r>
      <w:r>
        <w:t xml:space="preserve">. 2015;10(2):176–199.</w:t>
      </w:r>
      <w:r>
        <w:t xml:space="preserve"> </w:t>
      </w:r>
      <w:hyperlink r:id="rId3264">
        <w:r>
          <w:rPr>
            <w:rStyle w:val="Hyperlink"/>
          </w:rPr>
          <w:t xml:space="preserve">https://doi.org/10.1177/1745691615569000</w:t>
        </w:r>
      </w:hyperlink>
      <w:r>
        <w:t xml:space="preserve">（研究类型：整合综述）</w:t>
      </w:r>
    </w:p>
    <w:p>
      <w:pPr>
        <w:pStyle w:val="ReferenceEntry"/>
      </w:pPr>
      <w:bookmarkStart w:id="3265" w:name="ref-337"/>
      <w:r>
        <w:t xml:space="preserve">[337]</w:t>
      </w:r>
      <w:bookmarkEnd w:id="3265"/>
      <w:r>
        <w:t xml:space="preserve"> Thiede KW, Anderson MCM, Therriault D. Accuracy of Metacognitive Monitoring Affects Learning of Texts.</w:t>
      </w:r>
      <w:r>
        <w:t xml:space="preserve"> </w:t>
      </w:r>
      <w:r>
        <w:rPr>
          <w:iCs/>
          <w:i/>
        </w:rPr>
        <w:t xml:space="preserve">Journal of Educational Psychology</w:t>
      </w:r>
      <w:r>
        <w:t xml:space="preserve">. 2003;95(1):66–73.</w:t>
      </w:r>
      <w:r>
        <w:t xml:space="preserve"> </w:t>
      </w:r>
      <w:hyperlink r:id="rId3266">
        <w:r>
          <w:rPr>
            <w:rStyle w:val="Hyperlink"/>
          </w:rPr>
          <w:t xml:space="preserve">https://doi.org/10.1037/0022-0663.95.1.66</w:t>
        </w:r>
      </w:hyperlink>
      <w:r>
        <w:t xml:space="preserve">（研究类型：文本学习实验）</w:t>
      </w:r>
    </w:p>
    <w:p>
      <w:pPr>
        <w:pStyle w:val="ReferenceEntry"/>
      </w:pPr>
      <w:bookmarkStart w:id="3267" w:name="ref-338"/>
      <w:r>
        <w:t xml:space="preserve">[338]</w:t>
      </w:r>
      <w:bookmarkEnd w:id="3267"/>
      <w:r>
        <w:t xml:space="preserve"> Metcalfe J, Kornell N. A Region of Proximal Learning model of study time allocation.</w:t>
      </w:r>
      <w:r>
        <w:t xml:space="preserve"> </w:t>
      </w:r>
      <w:r>
        <w:rPr>
          <w:iCs/>
          <w:i/>
        </w:rPr>
        <w:t xml:space="preserve">Journal of Memory and Language</w:t>
      </w:r>
      <w:r>
        <w:t xml:space="preserve">. 2005;52(4):463–477.</w:t>
      </w:r>
      <w:r>
        <w:t xml:space="preserve"> </w:t>
      </w:r>
      <w:hyperlink r:id="rId3268">
        <w:r>
          <w:rPr>
            <w:rStyle w:val="Hyperlink"/>
          </w:rPr>
          <w:t xml:space="preserve">https://doi.org/10.1016/j.jml.2004.12.001</w:t>
        </w:r>
      </w:hyperlink>
      <w:r>
        <w:t xml:space="preserve">（研究类型：模型与实验）</w:t>
      </w:r>
    </w:p>
    <w:p>
      <w:pPr>
        <w:pStyle w:val="ReferenceEntry"/>
      </w:pPr>
      <w:bookmarkStart w:id="3269" w:name="ref-339"/>
      <w:r>
        <w:t xml:space="preserve">[339]</w:t>
      </w:r>
      <w:bookmarkEnd w:id="3269"/>
      <w:r>
        <w:t xml:space="preserve"> Zimmerman BJ. Becoming a Self-Regulated Learner: An Overview.</w:t>
      </w:r>
      <w:r>
        <w:t xml:space="preserve"> </w:t>
      </w:r>
      <w:r>
        <w:rPr>
          <w:iCs/>
          <w:i/>
        </w:rPr>
        <w:t xml:space="preserve">Theory Into Practice</w:t>
      </w:r>
      <w:r>
        <w:t xml:space="preserve">. 2002;41(2):64–70.</w:t>
      </w:r>
      <w:r>
        <w:t xml:space="preserve"> </w:t>
      </w:r>
      <w:hyperlink r:id="rId3270">
        <w:r>
          <w:rPr>
            <w:rStyle w:val="Hyperlink"/>
          </w:rPr>
          <w:t xml:space="preserve">https://doi.org/10.1207/s15430421tip4102_2</w:t>
        </w:r>
      </w:hyperlink>
      <w:r>
        <w:t xml:space="preserve">（研究类型：理论综述）</w:t>
      </w:r>
    </w:p>
    <w:p>
      <w:pPr>
        <w:pStyle w:val="ReferenceEntry"/>
      </w:pPr>
      <w:bookmarkStart w:id="3271" w:name="ref-340"/>
      <w:r>
        <w:t xml:space="preserve">[340]</w:t>
      </w:r>
      <w:bookmarkEnd w:id="3271"/>
      <w:r>
        <w:t xml:space="preserve"> Shenhav A, Botvinick MM, Cohen JD. The Expected Value of Control: An Integrative Theory of Anterior Cingulate Cortex Function.</w:t>
      </w:r>
      <w:r>
        <w:t xml:space="preserve"> </w:t>
      </w:r>
      <w:r>
        <w:rPr>
          <w:iCs/>
          <w:i/>
        </w:rPr>
        <w:t xml:space="preserve">Neuron</w:t>
      </w:r>
      <w:r>
        <w:t xml:space="preserve">. 2013;79(2):217–240.</w:t>
      </w:r>
      <w:r>
        <w:t xml:space="preserve"> </w:t>
      </w:r>
      <w:hyperlink r:id="rId3272">
        <w:r>
          <w:rPr>
            <w:rStyle w:val="Hyperlink"/>
          </w:rPr>
          <w:t xml:space="preserve">https://doi.org/10.1016/j.neuron.2013.07.007</w:t>
        </w:r>
      </w:hyperlink>
      <w:r>
        <w:t xml:space="preserve">（研究类型：规范计算模型与理论综合）</w:t>
      </w:r>
    </w:p>
    <w:p>
      <w:pPr>
        <w:pStyle w:val="ReferenceEntry"/>
      </w:pPr>
      <w:bookmarkStart w:id="3273" w:name="ref-341"/>
      <w:r>
        <w:t xml:space="preserve">[341]</w:t>
      </w:r>
      <w:bookmarkEnd w:id="3273"/>
      <w:r>
        <w:t xml:space="preserve"> Kornell N, Bjork RA. The promise and perils of self-regulated study.</w:t>
      </w:r>
      <w:r>
        <w:t xml:space="preserve"> </w:t>
      </w:r>
      <w:r>
        <w:rPr>
          <w:iCs/>
          <w:i/>
        </w:rPr>
        <w:t xml:space="preserve">Psychonomic Bulletin &amp; Review</w:t>
      </w:r>
      <w:r>
        <w:t xml:space="preserve">. 2007;14(2):219–224.</w:t>
      </w:r>
      <w:r>
        <w:t xml:space="preserve"> </w:t>
      </w:r>
      <w:hyperlink r:id="rId3274">
        <w:r>
          <w:rPr>
            <w:rStyle w:val="Hyperlink"/>
          </w:rPr>
          <w:t xml:space="preserve">https://doi.org/10.3758/BF03194055</w:t>
        </w:r>
      </w:hyperlink>
      <w:r>
        <w:t xml:space="preserve">（研究类型：实验与理论分析）</w:t>
      </w:r>
    </w:p>
    <w:p>
      <w:pPr>
        <w:pStyle w:val="ReferenceEntry"/>
      </w:pPr>
      <w:bookmarkStart w:id="3275" w:name="ref-342"/>
      <w:r>
        <w:t xml:space="preserve">[342]</w:t>
      </w:r>
      <w:bookmarkEnd w:id="3275"/>
      <w:r>
        <w:t xml:space="preserve"> Donker AS, de Boer H, Kostons D, Dignath van Ewijk CC, van der Werf MPC. Effectiveness of learning strategy instruction on academic performance: A meta-analysis.</w:t>
      </w:r>
      <w:r>
        <w:t xml:space="preserve"> </w:t>
      </w:r>
      <w:r>
        <w:rPr>
          <w:iCs/>
          <w:i/>
        </w:rPr>
        <w:t xml:space="preserve">Educational Research Review</w:t>
      </w:r>
      <w:r>
        <w:t xml:space="preserve">. 2014;11:1–26.</w:t>
      </w:r>
      <w:r>
        <w:t xml:space="preserve"> </w:t>
      </w:r>
      <w:hyperlink r:id="rId3276">
        <w:r>
          <w:rPr>
            <w:rStyle w:val="Hyperlink"/>
          </w:rPr>
          <w:t xml:space="preserve">https://doi.org/10.1016/j.edurev.2013.11.002</w:t>
        </w:r>
      </w:hyperlink>
      <w:r>
        <w:t xml:space="preserve">（研究类型：元分析）</w:t>
      </w:r>
    </w:p>
    <w:p>
      <w:pPr>
        <w:pStyle w:val="ReferenceEntry"/>
      </w:pPr>
      <w:bookmarkStart w:id="3277" w:name="ref-343"/>
      <w:r>
        <w:t xml:space="preserve">[343]</w:t>
      </w:r>
      <w:bookmarkEnd w:id="3277"/>
      <w:r>
        <w:t xml:space="preserve"> Dignath C, Buettner G, Langfeldt HP. How can primary school students learn self-regulated learning strategies most effectively? A meta-analysis on self-regulation training programmes.</w:t>
      </w:r>
      <w:r>
        <w:t xml:space="preserve"> </w:t>
      </w:r>
      <w:r>
        <w:rPr>
          <w:iCs/>
          <w:i/>
        </w:rPr>
        <w:t xml:space="preserve">Educational Research Review</w:t>
      </w:r>
      <w:r>
        <w:t xml:space="preserve">. 2008;3(2):101–129.</w:t>
      </w:r>
      <w:r>
        <w:t xml:space="preserve"> </w:t>
      </w:r>
      <w:hyperlink r:id="rId3278">
        <w:r>
          <w:rPr>
            <w:rStyle w:val="Hyperlink"/>
          </w:rPr>
          <w:t xml:space="preserve">https://doi.org/10.1016/j.edurev.2008.02.003</w:t>
        </w:r>
      </w:hyperlink>
      <w:r>
        <w:t xml:space="preserve">（研究类型：元分析）</w:t>
      </w:r>
    </w:p>
    <w:p>
      <w:pPr>
        <w:pStyle w:val="ReferenceEntry"/>
      </w:pPr>
      <w:bookmarkStart w:id="3279" w:name="ref-344"/>
      <w:r>
        <w:t xml:space="preserve">[344]</w:t>
      </w:r>
      <w:bookmarkEnd w:id="3279"/>
      <w:r>
        <w:t xml:space="preserve"> Bjork RA, Dunlosky J, Kornell N. Self-regulated learning: beliefs, techniques, and illusions.</w:t>
      </w:r>
      <w:r>
        <w:t xml:space="preserve"> </w:t>
      </w:r>
      <w:r>
        <w:rPr>
          <w:iCs/>
          <w:i/>
        </w:rPr>
        <w:t xml:space="preserve">Annual Review of Psychology</w:t>
      </w:r>
      <w:r>
        <w:t xml:space="preserve">. 2013;64(1):417–444.</w:t>
      </w:r>
      <w:r>
        <w:t xml:space="preserve"> </w:t>
      </w:r>
      <w:hyperlink r:id="rId3280">
        <w:r>
          <w:rPr>
            <w:rStyle w:val="Hyperlink"/>
          </w:rPr>
          <w:t xml:space="preserve">https://doi.org/10.1146/annurev-psych-113011-143823</w:t>
        </w:r>
      </w:hyperlink>
      <w:r>
        <w:t xml:space="preserve">（研究类型：综述）</w:t>
      </w:r>
    </w:p>
    <w:p>
      <w:pPr>
        <w:pStyle w:val="ReferenceEntry"/>
      </w:pPr>
      <w:bookmarkStart w:id="3281" w:name="ref-345"/>
      <w:r>
        <w:t xml:space="preserve">[345]</w:t>
      </w:r>
      <w:bookmarkEnd w:id="3281"/>
      <w:r>
        <w:t xml:space="preserve"> Baddeley AD, Hitch G. Working Memory.</w:t>
      </w:r>
      <w:r>
        <w:t xml:space="preserve"> </w:t>
      </w:r>
      <w:r>
        <w:rPr>
          <w:iCs/>
          <w:i/>
        </w:rPr>
        <w:t xml:space="preserve">Psychology of Learning and Motivation</w:t>
      </w:r>
      <w:r>
        <w:t xml:space="preserve">. 1974:47–89.</w:t>
      </w:r>
      <w:r>
        <w:t xml:space="preserve"> </w:t>
      </w:r>
      <w:hyperlink r:id="rId3282">
        <w:r>
          <w:rPr>
            <w:rStyle w:val="Hyperlink"/>
          </w:rPr>
          <w:t xml:space="preserve">https://doi.org/10.1016/S0079-7421(08)60452-1</w:t>
        </w:r>
      </w:hyperlink>
      <w:r>
        <w:t xml:space="preserve">（研究类型：实验与理论章节）</w:t>
      </w:r>
    </w:p>
    <w:p>
      <w:pPr>
        <w:pStyle w:val="ReferenceEntry"/>
      </w:pPr>
      <w:bookmarkStart w:id="3283" w:name="ref-346"/>
      <w:r>
        <w:t xml:space="preserve">[346]</w:t>
      </w:r>
      <w:bookmarkEnd w:id="3283"/>
      <w:r>
        <w:t xml:space="preserve"> Baddeley A. The episodic buffer: a new component of working memory?.</w:t>
      </w:r>
      <w:r>
        <w:t xml:space="preserve"> </w:t>
      </w:r>
      <w:r>
        <w:rPr>
          <w:iCs/>
          <w:i/>
        </w:rPr>
        <w:t xml:space="preserve">Trends in Cognitive Sciences</w:t>
      </w:r>
      <w:r>
        <w:t xml:space="preserve">. 2000;4(11):417–423.</w:t>
      </w:r>
      <w:r>
        <w:t xml:space="preserve"> </w:t>
      </w:r>
      <w:hyperlink r:id="rId3284">
        <w:r>
          <w:rPr>
            <w:rStyle w:val="Hyperlink"/>
          </w:rPr>
          <w:t xml:space="preserve">https://doi.org/10.1016/S1364-6613(00)01538-2</w:t>
        </w:r>
      </w:hyperlink>
      <w:r>
        <w:t xml:space="preserve">（研究类型：理论综述）</w:t>
      </w:r>
    </w:p>
    <w:p>
      <w:pPr>
        <w:pStyle w:val="ReferenceEntry"/>
      </w:pPr>
      <w:bookmarkStart w:id="3285" w:name="ref-347"/>
      <w:r>
        <w:t xml:space="preserve">[347]</w:t>
      </w:r>
      <w:bookmarkEnd w:id="3285"/>
      <w:r>
        <w:t xml:space="preserve"> Oberauer K. Working Memory and Attention – A Conceptual Analysis and Review.</w:t>
      </w:r>
      <w:r>
        <w:t xml:space="preserve"> </w:t>
      </w:r>
      <w:r>
        <w:rPr>
          <w:iCs/>
          <w:i/>
        </w:rPr>
        <w:t xml:space="preserve">Journal of Cognition</w:t>
      </w:r>
      <w:r>
        <w:t xml:space="preserve">. 2019;2(1):36.</w:t>
      </w:r>
      <w:r>
        <w:t xml:space="preserve"> </w:t>
      </w:r>
      <w:hyperlink r:id="rId3286">
        <w:r>
          <w:rPr>
            <w:rStyle w:val="Hyperlink"/>
          </w:rPr>
          <w:t xml:space="preserve">https://doi.org/10.5334/joc.58</w:t>
        </w:r>
      </w:hyperlink>
      <w:r>
        <w:t xml:space="preserve">（研究类型：概念分析与综述）</w:t>
      </w:r>
    </w:p>
    <w:p>
      <w:pPr>
        <w:pStyle w:val="ReferenceEntry"/>
      </w:pPr>
      <w:bookmarkStart w:id="3287" w:name="ref-348"/>
      <w:r>
        <w:t xml:space="preserve">[348]</w:t>
      </w:r>
      <w:bookmarkEnd w:id="3287"/>
      <w:r>
        <w:t xml:space="preserve"> Daneman M, Carpenter PA. Individual differences in working memory and reading.</w:t>
      </w:r>
      <w:r>
        <w:t xml:space="preserve"> </w:t>
      </w:r>
      <w:r>
        <w:rPr>
          <w:iCs/>
          <w:i/>
        </w:rPr>
        <w:t xml:space="preserve">Journal of Verbal Learning and Verbal Behavior</w:t>
      </w:r>
      <w:r>
        <w:t xml:space="preserve">. 1980;19(4):450–466.</w:t>
      </w:r>
      <w:r>
        <w:t xml:space="preserve"> </w:t>
      </w:r>
      <w:hyperlink r:id="rId3288">
        <w:r>
          <w:rPr>
            <w:rStyle w:val="Hyperlink"/>
          </w:rPr>
          <w:t xml:space="preserve">https://doi.org/10.1016/S0022-5371(80)90312-6</w:t>
        </w:r>
      </w:hyperlink>
      <w:r>
        <w:t xml:space="preserve">（研究类型：阅读广度与个体差异实验）</w:t>
      </w:r>
    </w:p>
    <w:p>
      <w:pPr>
        <w:pStyle w:val="ReferenceEntry"/>
      </w:pPr>
      <w:bookmarkStart w:id="3289" w:name="ref-349"/>
      <w:r>
        <w:t xml:space="preserve">[349]</w:t>
      </w:r>
      <w:bookmarkEnd w:id="3289"/>
      <w:r>
        <w:t xml:space="preserve"> Melby-Lervåg M, Redick TS, Hulme C. Working Memory Training Does Not Improve Performance on Measures of Intelligence or Other Measures of Far Transfer: Evidence From a Meta-Analytic Review.</w:t>
      </w:r>
      <w:r>
        <w:t xml:space="preserve"> </w:t>
      </w:r>
      <w:r>
        <w:rPr>
          <w:iCs/>
          <w:i/>
        </w:rPr>
        <w:t xml:space="preserve">Perspectives on Psychological Science</w:t>
      </w:r>
      <w:r>
        <w:t xml:space="preserve">. 2016;11(4):512–534.</w:t>
      </w:r>
      <w:r>
        <w:t xml:space="preserve"> </w:t>
      </w:r>
      <w:hyperlink r:id="rId3290">
        <w:r>
          <w:rPr>
            <w:rStyle w:val="Hyperlink"/>
          </w:rPr>
          <w:t xml:space="preserve">https://doi.org/10.1177/1745691616635612</w:t>
        </w:r>
      </w:hyperlink>
      <w:r>
        <w:t xml:space="preserve">（研究类型：元分析）</w:t>
      </w:r>
    </w:p>
    <w:p>
      <w:pPr>
        <w:pStyle w:val="ReferenceEntry"/>
      </w:pPr>
      <w:bookmarkStart w:id="3291" w:name="ref-350"/>
      <w:r>
        <w:t xml:space="preserve">[350]</w:t>
      </w:r>
      <w:bookmarkEnd w:id="3291"/>
      <w:r>
        <w:t xml:space="preserve"> Cowan N. The magical number 4 in short-term memory: a reconsideration of mental storage capacity.</w:t>
      </w:r>
      <w:r>
        <w:t xml:space="preserve"> </w:t>
      </w:r>
      <w:r>
        <w:rPr>
          <w:iCs/>
          <w:i/>
        </w:rPr>
        <w:t xml:space="preserve">Behavioral and Brain Sciences</w:t>
      </w:r>
      <w:r>
        <w:t xml:space="preserve">. 2001;24(1):87–114.</w:t>
      </w:r>
      <w:r>
        <w:t xml:space="preserve"> </w:t>
      </w:r>
      <w:hyperlink r:id="rId3292">
        <w:r>
          <w:rPr>
            <w:rStyle w:val="Hyperlink"/>
          </w:rPr>
          <w:t xml:space="preserve">https://doi.org/10.1017/S0140525X01003922</w:t>
        </w:r>
      </w:hyperlink>
      <w:r>
        <w:t xml:space="preserve">（研究类型：理论与证据综述）</w:t>
      </w:r>
    </w:p>
    <w:p>
      <w:pPr>
        <w:pStyle w:val="ReferenceEntry"/>
      </w:pPr>
      <w:bookmarkStart w:id="3293" w:name="ref-351"/>
      <w:r>
        <w:t xml:space="preserve">[351]</w:t>
      </w:r>
      <w:bookmarkEnd w:id="3293"/>
      <w:r>
        <w:t xml:space="preserve"> Luck SJ, Vogel EK. The capacity of visual working memory for features and conjunctions.</w:t>
      </w:r>
      <w:r>
        <w:t xml:space="preserve"> </w:t>
      </w:r>
      <w:r>
        <w:rPr>
          <w:iCs/>
          <w:i/>
        </w:rPr>
        <w:t xml:space="preserve">Nature</w:t>
      </w:r>
      <w:r>
        <w:t xml:space="preserve">. 1997;390(6657):279–281.</w:t>
      </w:r>
      <w:r>
        <w:t xml:space="preserve"> </w:t>
      </w:r>
      <w:hyperlink r:id="rId3294">
        <w:r>
          <w:rPr>
            <w:rStyle w:val="Hyperlink"/>
          </w:rPr>
          <w:t xml:space="preserve">https://doi.org/10.1038/36846</w:t>
        </w:r>
      </w:hyperlink>
      <w:r>
        <w:t xml:space="preserve">（研究类型：视觉变化检测实验）</w:t>
      </w:r>
    </w:p>
    <w:p>
      <w:pPr>
        <w:pStyle w:val="ReferenceEntry"/>
      </w:pPr>
      <w:bookmarkStart w:id="3295" w:name="ref-352"/>
      <w:r>
        <w:t xml:space="preserve">[352]</w:t>
      </w:r>
      <w:bookmarkEnd w:id="3295"/>
      <w:r>
        <w:t xml:space="preserve"> Bays PM, Husain M. Dynamic shifts of limited working memory resources in human vision.</w:t>
      </w:r>
      <w:r>
        <w:t xml:space="preserve"> </w:t>
      </w:r>
      <w:r>
        <w:rPr>
          <w:iCs/>
          <w:i/>
        </w:rPr>
        <w:t xml:space="preserve">Science</w:t>
      </w:r>
      <w:r>
        <w:t xml:space="preserve">. 2008;321(5890):851–854.</w:t>
      </w:r>
      <w:r>
        <w:t xml:space="preserve"> </w:t>
      </w:r>
      <w:hyperlink r:id="rId3296">
        <w:r>
          <w:rPr>
            <w:rStyle w:val="Hyperlink"/>
          </w:rPr>
          <w:t xml:space="preserve">https://doi.org/10.1126/science.1158023</w:t>
        </w:r>
      </w:hyperlink>
      <w:r>
        <w:t xml:space="preserve">（研究类型：视觉连续报告实验）</w:t>
      </w:r>
    </w:p>
    <w:p>
      <w:pPr>
        <w:pStyle w:val="ReferenceEntry"/>
      </w:pPr>
      <w:bookmarkStart w:id="3297" w:name="ref-353"/>
      <w:r>
        <w:t xml:space="preserve">[353]</w:t>
      </w:r>
      <w:bookmarkEnd w:id="3297"/>
      <w:r>
        <w:t xml:space="preserve"> Ma WJ, Husain M, Bays PM. Changing concepts of working memory.</w:t>
      </w:r>
      <w:r>
        <w:t xml:space="preserve"> </w:t>
      </w:r>
      <w:r>
        <w:rPr>
          <w:iCs/>
          <w:i/>
        </w:rPr>
        <w:t xml:space="preserve">Nature Neuroscience</w:t>
      </w:r>
      <w:r>
        <w:t xml:space="preserve">. 2014;17(3):347–356.</w:t>
      </w:r>
      <w:r>
        <w:t xml:space="preserve"> </w:t>
      </w:r>
      <w:hyperlink r:id="rId3298">
        <w:r>
          <w:rPr>
            <w:rStyle w:val="Hyperlink"/>
          </w:rPr>
          <w:t xml:space="preserve">https://doi.org/10.1038/nn.3655</w:t>
        </w:r>
      </w:hyperlink>
      <w:r>
        <w:t xml:space="preserve">（研究类型：理论综述）</w:t>
      </w:r>
    </w:p>
    <w:p>
      <w:pPr>
        <w:pStyle w:val="ReferenceEntry"/>
      </w:pPr>
      <w:bookmarkStart w:id="3299" w:name="ref-354"/>
      <w:r>
        <w:t xml:space="preserve">[354]</w:t>
      </w:r>
      <w:bookmarkEnd w:id="3299"/>
      <w:r>
        <w:t xml:space="preserve"> Stokes MG. Activity-silent working memory in prefrontal cortex: a dynamic coding framework.</w:t>
      </w:r>
      <w:r>
        <w:t xml:space="preserve"> </w:t>
      </w:r>
      <w:r>
        <w:rPr>
          <w:iCs/>
          <w:i/>
        </w:rPr>
        <w:t xml:space="preserve">Trends in Cognitive Sciences</w:t>
      </w:r>
      <w:r>
        <w:t xml:space="preserve">. 2015;19(7):394–405.</w:t>
      </w:r>
      <w:r>
        <w:t xml:space="preserve"> </w:t>
      </w:r>
      <w:hyperlink r:id="rId3300">
        <w:r>
          <w:rPr>
            <w:rStyle w:val="Hyperlink"/>
          </w:rPr>
          <w:t xml:space="preserve">https://doi.org/10.1016/j.tics.2015.05.004</w:t>
        </w:r>
      </w:hyperlink>
      <w:r>
        <w:t xml:space="preserve">（研究类型：机制理论综述）</w:t>
      </w:r>
    </w:p>
    <w:p>
      <w:pPr>
        <w:pStyle w:val="ReferenceEntry"/>
      </w:pPr>
      <w:bookmarkStart w:id="3301" w:name="ref-355"/>
      <w:r>
        <w:t xml:space="preserve">[355]</w:t>
      </w:r>
      <w:bookmarkEnd w:id="3301"/>
      <w:r>
        <w:t xml:space="preserve"> Rose NS, LaRocque JJ, Riggall AC, Gosseries O, Starrett MJ, Meyering EE, et al. Reactivation of latent working memories with transcranial magnetic stimulation.</w:t>
      </w:r>
      <w:r>
        <w:t xml:space="preserve"> </w:t>
      </w:r>
      <w:r>
        <w:rPr>
          <w:iCs/>
          <w:i/>
        </w:rPr>
        <w:t xml:space="preserve">Science</w:t>
      </w:r>
      <w:r>
        <w:t xml:space="preserve">. 2016;354(6316):1136–1139.</w:t>
      </w:r>
      <w:r>
        <w:t xml:space="preserve"> </w:t>
      </w:r>
      <w:hyperlink r:id="rId3302">
        <w:r>
          <w:rPr>
            <w:rStyle w:val="Hyperlink"/>
          </w:rPr>
          <w:t xml:space="preserve">https://doi.org/10.1126/science.aah7011</w:t>
        </w:r>
      </w:hyperlink>
      <w:r>
        <w:t xml:space="preserve">（研究类型：原始人体TMS与脑信号实验）</w:t>
      </w:r>
    </w:p>
    <w:p>
      <w:pPr>
        <w:pStyle w:val="ReferenceEntry"/>
      </w:pPr>
      <w:bookmarkStart w:id="3303" w:name="ref-356"/>
      <w:r>
        <w:t xml:space="preserve">[356]</w:t>
      </w:r>
      <w:bookmarkEnd w:id="3303"/>
      <w:r>
        <w:t xml:space="preserve"> Unsworth N, Engle RW. The nature of individual differences in working memory capacity: active maintenance in primary memory and controlled search from secondary memory.</w:t>
      </w:r>
      <w:r>
        <w:t xml:space="preserve"> </w:t>
      </w:r>
      <w:r>
        <w:rPr>
          <w:iCs/>
          <w:i/>
        </w:rPr>
        <w:t xml:space="preserve">Psychological Review</w:t>
      </w:r>
      <w:r>
        <w:t xml:space="preserve">. 2007;114(1):104–132.</w:t>
      </w:r>
      <w:r>
        <w:t xml:space="preserve"> </w:t>
      </w:r>
      <w:hyperlink r:id="rId3304">
        <w:r>
          <w:rPr>
            <w:rStyle w:val="Hyperlink"/>
          </w:rPr>
          <w:t xml:space="preserve">https://doi.org/10.1037/0033-295X.114.1.104</w:t>
        </w:r>
      </w:hyperlink>
      <w:r>
        <w:t xml:space="preserve">（研究类型：理论及实验证据综合）</w:t>
      </w:r>
    </w:p>
    <w:p>
      <w:pPr>
        <w:pStyle w:val="ReferenceEntry"/>
      </w:pPr>
      <w:bookmarkStart w:id="3305" w:name="ref-357"/>
      <w:r>
        <w:t xml:space="preserve">[357]</w:t>
      </w:r>
      <w:bookmarkEnd w:id="3305"/>
      <w:r>
        <w:t xml:space="preserve"> Bradbury NA. Attention span during lectures: 8 seconds, 10 minutes, or more?.</w:t>
      </w:r>
      <w:r>
        <w:t xml:space="preserve"> </w:t>
      </w:r>
      <w:r>
        <w:rPr>
          <w:iCs/>
          <w:i/>
        </w:rPr>
        <w:t xml:space="preserve">Advances in Physiology Education</w:t>
      </w:r>
      <w:r>
        <w:t xml:space="preserve">. 2016;40(4):509–513.</w:t>
      </w:r>
      <w:r>
        <w:t xml:space="preserve"> </w:t>
      </w:r>
      <w:hyperlink r:id="rId3306">
        <w:r>
          <w:rPr>
            <w:rStyle w:val="Hyperlink"/>
          </w:rPr>
          <w:t xml:space="preserve">https://doi.org/10.1152/advan.00109.2016</w:t>
        </w:r>
      </w:hyperlink>
      <w:r>
        <w:t xml:space="preserve">（研究类型：证据链批判审查）</w:t>
      </w:r>
    </w:p>
    <w:p>
      <w:pPr>
        <w:pStyle w:val="ReferenceEntry"/>
      </w:pPr>
      <w:bookmarkStart w:id="3307" w:name="ref-358"/>
      <w:r>
        <w:t xml:space="preserve">[358]</w:t>
      </w:r>
      <w:bookmarkEnd w:id="3307"/>
      <w:r>
        <w:t xml:space="preserve"> Fan J, McCandliss BD, Sommer T, Raz A, Posner MI. Testing the efficiency and independence of attentional networks.</w:t>
      </w:r>
      <w:r>
        <w:t xml:space="preserve"> </w:t>
      </w:r>
      <w:r>
        <w:rPr>
          <w:iCs/>
          <w:i/>
        </w:rPr>
        <w:t xml:space="preserve">Journal of Cognitive Neuroscience</w:t>
      </w:r>
      <w:r>
        <w:t xml:space="preserve">. 2002;14(3):340–347.</w:t>
      </w:r>
      <w:r>
        <w:t xml:space="preserve"> </w:t>
      </w:r>
      <w:hyperlink r:id="rId3308">
        <w:r>
          <w:rPr>
            <w:rStyle w:val="Hyperlink"/>
          </w:rPr>
          <w:t xml:space="preserve">https://doi.org/10.1162/089892902317361886</w:t>
        </w:r>
      </w:hyperlink>
      <w:r>
        <w:t xml:space="preserve">（研究类型：注意网络测验研究）</w:t>
      </w:r>
    </w:p>
    <w:p>
      <w:pPr>
        <w:pStyle w:val="ReferenceEntry"/>
      </w:pPr>
      <w:bookmarkStart w:id="3309" w:name="ref-359"/>
      <w:r>
        <w:t xml:space="preserve">[359]</w:t>
      </w:r>
      <w:bookmarkEnd w:id="3309"/>
      <w:r>
        <w:t xml:space="preserve"> Warm JS, Parasuraman R, Matthews G. Vigilance requires hard mental work and is stressful.</w:t>
      </w:r>
      <w:r>
        <w:t xml:space="preserve"> </w:t>
      </w:r>
      <w:r>
        <w:rPr>
          <w:iCs/>
          <w:i/>
        </w:rPr>
        <w:t xml:space="preserve">Human Factors: The Journal of the Human Factors and Ergonomics Society</w:t>
      </w:r>
      <w:r>
        <w:t xml:space="preserve">. 2008;50(3):433–441.</w:t>
      </w:r>
      <w:r>
        <w:t xml:space="preserve"> </w:t>
      </w:r>
      <w:hyperlink r:id="rId3310">
        <w:r>
          <w:rPr>
            <w:rStyle w:val="Hyperlink"/>
          </w:rPr>
          <w:t xml:space="preserve">https://doi.org/10.1518/001872008X312152</w:t>
        </w:r>
      </w:hyperlink>
      <w:r>
        <w:t xml:space="preserve">（研究类型：持续警觉研究综述）</w:t>
      </w:r>
    </w:p>
    <w:p>
      <w:pPr>
        <w:pStyle w:val="ReferenceEntry"/>
      </w:pPr>
      <w:bookmarkStart w:id="3311" w:name="ref-360"/>
      <w:r>
        <w:t xml:space="preserve">[360]</w:t>
      </w:r>
      <w:bookmarkEnd w:id="3311"/>
      <w:r>
        <w:t xml:space="preserve"> Esterman M, Noonan SK, Rosenberg M, DeGutis J. In the zone or zoning out? Tracking behavioral and neural fluctuations during sustained attention.</w:t>
      </w:r>
      <w:r>
        <w:t xml:space="preserve"> </w:t>
      </w:r>
      <w:r>
        <w:rPr>
          <w:iCs/>
          <w:i/>
        </w:rPr>
        <w:t xml:space="preserve">Cerebral Cortex</w:t>
      </w:r>
      <w:r>
        <w:t xml:space="preserve">. 2013;23(11):2712–2723.</w:t>
      </w:r>
      <w:r>
        <w:t xml:space="preserve"> </w:t>
      </w:r>
      <w:hyperlink r:id="rId3312">
        <w:r>
          <w:rPr>
            <w:rStyle w:val="Hyperlink"/>
          </w:rPr>
          <w:t xml:space="preserve">https://doi.org/10.1093/cercor/bhs261</w:t>
        </w:r>
      </w:hyperlink>
      <w:r>
        <w:t xml:space="preserve">（研究类型：渐变持续执行任务与成像研究）</w:t>
      </w:r>
    </w:p>
    <w:p>
      <w:pPr>
        <w:pStyle w:val="ReferenceEntry"/>
      </w:pPr>
      <w:bookmarkStart w:id="3313" w:name="ref-361"/>
      <w:r>
        <w:t xml:space="preserve">[361]</w:t>
      </w:r>
      <w:bookmarkEnd w:id="3313"/>
      <w:r>
        <w:t xml:space="preserve"> Killingsworth MA, Gilbert DT. A Wandering Mind Is an Unhappy Mind.</w:t>
      </w:r>
      <w:r>
        <w:t xml:space="preserve"> </w:t>
      </w:r>
      <w:r>
        <w:rPr>
          <w:iCs/>
          <w:i/>
        </w:rPr>
        <w:t xml:space="preserve">Science</w:t>
      </w:r>
      <w:r>
        <w:t xml:space="preserve">. 2010;330(6006):932.</w:t>
      </w:r>
      <w:r>
        <w:t xml:space="preserve"> </w:t>
      </w:r>
      <w:hyperlink r:id="rId3314">
        <w:r>
          <w:rPr>
            <w:rStyle w:val="Hyperlink"/>
          </w:rPr>
          <w:t xml:space="preserve">https://doi.org/10.1126/science.1192439</w:t>
        </w:r>
      </w:hyperlink>
    </w:p>
    <w:p>
      <w:pPr>
        <w:pStyle w:val="ReferenceEntry"/>
      </w:pPr>
      <w:bookmarkStart w:id="3315" w:name="ref-362"/>
      <w:r>
        <w:t xml:space="preserve">[362]</w:t>
      </w:r>
      <w:bookmarkEnd w:id="3315"/>
      <w:r>
        <w:t xml:space="preserve"> Kawashima I, Hinuma T, Tanaka SC. Ecological momentary assessment of mind-wandering: meta-analysis and systematic review.</w:t>
      </w:r>
      <w:r>
        <w:t xml:space="preserve"> </w:t>
      </w:r>
      <w:r>
        <w:rPr>
          <w:iCs/>
          <w:i/>
        </w:rPr>
        <w:t xml:space="preserve">Scientific Reports</w:t>
      </w:r>
      <w:r>
        <w:t xml:space="preserve">. 2023;13(1):2873.</w:t>
      </w:r>
      <w:r>
        <w:t xml:space="preserve"> </w:t>
      </w:r>
      <w:hyperlink r:id="rId3316">
        <w:r>
          <w:rPr>
            <w:rStyle w:val="Hyperlink"/>
          </w:rPr>
          <w:t xml:space="preserve">https://doi.org/10.1038/s41598-023-29854-9</w:t>
        </w:r>
      </w:hyperlink>
    </w:p>
    <w:p>
      <w:pPr>
        <w:pStyle w:val="ReferenceEntry"/>
      </w:pPr>
      <w:bookmarkStart w:id="3317" w:name="ref-363"/>
      <w:r>
        <w:t xml:space="preserve">[363]</w:t>
      </w:r>
      <w:bookmarkEnd w:id="3317"/>
      <w:r>
        <w:t xml:space="preserve"> Kam JWY, Wong AY, Thiemann RF, et al. On the relationship between unprompted thought and affective well-being: A systematic review and meta-analysis.</w:t>
      </w:r>
      <w:r>
        <w:t xml:space="preserve"> </w:t>
      </w:r>
      <w:r>
        <w:rPr>
          <w:iCs/>
          <w:i/>
        </w:rPr>
        <w:t xml:space="preserve">Psychological Bulletin</w:t>
      </w:r>
      <w:r>
        <w:t xml:space="preserve">. 2024;150(5):621–641.</w:t>
      </w:r>
      <w:r>
        <w:t xml:space="preserve"> </w:t>
      </w:r>
      <w:hyperlink r:id="rId3318">
        <w:r>
          <w:rPr>
            <w:rStyle w:val="Hyperlink"/>
          </w:rPr>
          <w:t xml:space="preserve">https://doi.org/10.1037/bul0000428</w:t>
        </w:r>
      </w:hyperlink>
    </w:p>
    <w:p>
      <w:pPr>
        <w:pStyle w:val="ReferenceEntry"/>
      </w:pPr>
      <w:bookmarkStart w:id="3319" w:name="ref-364"/>
      <w:r>
        <w:t xml:space="preserve">[364]</w:t>
      </w:r>
      <w:bookmarkEnd w:id="3319"/>
      <w:r>
        <w:t xml:space="preserve"> Poerio GL, Totterdell P, Miles E. Mind-wandering and negative mood: Does one thing really lead to another?</w:t>
      </w:r>
      <w:r>
        <w:t xml:space="preserve"> </w:t>
      </w:r>
      <w:r>
        <w:rPr>
          <w:iCs/>
          <w:i/>
        </w:rPr>
        <w:t xml:space="preserve">Consciousness and Cognition</w:t>
      </w:r>
      <w:r>
        <w:t xml:space="preserve">. 2013;22(4):1412–1421.</w:t>
      </w:r>
      <w:r>
        <w:t xml:space="preserve"> </w:t>
      </w:r>
      <w:hyperlink r:id="rId3320">
        <w:r>
          <w:rPr>
            <w:rStyle w:val="Hyperlink"/>
          </w:rPr>
          <w:t xml:space="preserve">https://doi.org/10.1016/j.concog.2013.09.012</w:t>
        </w:r>
      </w:hyperlink>
    </w:p>
    <w:p>
      <w:pPr>
        <w:pStyle w:val="ReferenceEntry"/>
      </w:pPr>
      <w:bookmarkStart w:id="3321" w:name="ref-365"/>
      <w:r>
        <w:t xml:space="preserve">[365]</w:t>
      </w:r>
      <w:bookmarkEnd w:id="3321"/>
      <w:r>
        <w:t xml:space="preserve"> Seli P, Risko EF, Smilek D, et al. Mind-Wandering With and Without Intention.</w:t>
      </w:r>
      <w:r>
        <w:t xml:space="preserve"> </w:t>
      </w:r>
      <w:r>
        <w:rPr>
          <w:iCs/>
          <w:i/>
        </w:rPr>
        <w:t xml:space="preserve">Trends in Cognitive Sciences</w:t>
      </w:r>
      <w:r>
        <w:t xml:space="preserve">. 2016;20(8):605–617.</w:t>
      </w:r>
      <w:r>
        <w:t xml:space="preserve"> </w:t>
      </w:r>
      <w:hyperlink r:id="rId3322">
        <w:r>
          <w:rPr>
            <w:rStyle w:val="Hyperlink"/>
          </w:rPr>
          <w:t xml:space="preserve">https://doi.org/10.1016/j.tics.2016.05.010</w:t>
        </w:r>
      </w:hyperlink>
    </w:p>
    <w:p>
      <w:pPr>
        <w:pStyle w:val="ReferenceEntry"/>
      </w:pPr>
      <w:bookmarkStart w:id="3323" w:name="ref-366"/>
      <w:r>
        <w:t xml:space="preserve">[366]</w:t>
      </w:r>
      <w:bookmarkEnd w:id="3323"/>
      <w:r>
        <w:t xml:space="preserve"> Christoff K, Irving ZC, Fox KC, et al. Mind-wandering as spontaneous thought: a dynamic framework.</w:t>
      </w:r>
      <w:r>
        <w:t xml:space="preserve"> </w:t>
      </w:r>
      <w:r>
        <w:rPr>
          <w:iCs/>
          <w:i/>
        </w:rPr>
        <w:t xml:space="preserve">Nature Reviews Neuroscience</w:t>
      </w:r>
      <w:r>
        <w:t xml:space="preserve">. 2016;17(11):718–731.</w:t>
      </w:r>
      <w:r>
        <w:t xml:space="preserve"> </w:t>
      </w:r>
      <w:hyperlink r:id="rId3324">
        <w:r>
          <w:rPr>
            <w:rStyle w:val="Hyperlink"/>
          </w:rPr>
          <w:t xml:space="preserve">https://doi.org/10.1038/nrn.2016.113</w:t>
        </w:r>
      </w:hyperlink>
    </w:p>
    <w:p>
      <w:pPr>
        <w:pStyle w:val="ReferenceEntry"/>
      </w:pPr>
      <w:bookmarkStart w:id="3325" w:name="ref-367"/>
      <w:r>
        <w:t xml:space="preserve">[367]</w:t>
      </w:r>
      <w:bookmarkEnd w:id="3325"/>
      <w:r>
        <w:t xml:space="preserve"> Baird B, Smallwood J, Mrazek MD, et al. Inspired by Distraction: Mind Wandering Facilitates Creative Incubation.</w:t>
      </w:r>
      <w:r>
        <w:t xml:space="preserve"> </w:t>
      </w:r>
      <w:r>
        <w:rPr>
          <w:iCs/>
          <w:i/>
        </w:rPr>
        <w:t xml:space="preserve">Psychological Science</w:t>
      </w:r>
      <w:r>
        <w:t xml:space="preserve">. 2012;23(10):1117–1122.</w:t>
      </w:r>
      <w:r>
        <w:t xml:space="preserve"> </w:t>
      </w:r>
      <w:hyperlink r:id="rId3326">
        <w:r>
          <w:rPr>
            <w:rStyle w:val="Hyperlink"/>
          </w:rPr>
          <w:t xml:space="preserve">https://doi.org/10.1177/0956797612446024</w:t>
        </w:r>
      </w:hyperlink>
    </w:p>
    <w:p>
      <w:pPr>
        <w:pStyle w:val="ReferenceEntry"/>
      </w:pPr>
      <w:bookmarkStart w:id="3327" w:name="ref-368"/>
      <w:r>
        <w:t xml:space="preserve">[368]</w:t>
      </w:r>
      <w:bookmarkEnd w:id="3327"/>
      <w:r>
        <w:t xml:space="preserve"> Smeekens BA, Kane MJ. Working memory capacity, mind wandering, and creative cognition: An individual-differences investigation into the benefits of controlled versus spontaneous thought.</w:t>
      </w:r>
      <w:r>
        <w:t xml:space="preserve"> </w:t>
      </w:r>
      <w:r>
        <w:rPr>
          <w:iCs/>
          <w:i/>
        </w:rPr>
        <w:t xml:space="preserve">Psychology of Aesthetics, Creativity, and the Arts</w:t>
      </w:r>
      <w:r>
        <w:t xml:space="preserve">. 2016;10(4):389–415.</w:t>
      </w:r>
      <w:r>
        <w:t xml:space="preserve"> </w:t>
      </w:r>
      <w:hyperlink r:id="rId3328">
        <w:r>
          <w:rPr>
            <w:rStyle w:val="Hyperlink"/>
          </w:rPr>
          <w:t xml:space="preserve">https://doi.org/10.1037/aca0000046</w:t>
        </w:r>
      </w:hyperlink>
    </w:p>
    <w:p>
      <w:pPr>
        <w:pStyle w:val="ReferenceEntry"/>
      </w:pPr>
      <w:bookmarkStart w:id="3329" w:name="ref-369"/>
      <w:r>
        <w:t xml:space="preserve">[369]</w:t>
      </w:r>
      <w:bookmarkEnd w:id="3329"/>
      <w:r>
        <w:t xml:space="preserve"> Castelo N, Kushlev K, Ward AF, Esterman M, Reiner PB. Blocking mobile internet on smartphones improves sustained attention, mental health, and subjective well-being.</w:t>
      </w:r>
      <w:r>
        <w:t xml:space="preserve"> </w:t>
      </w:r>
      <w:r>
        <w:rPr>
          <w:iCs/>
          <w:i/>
        </w:rPr>
        <w:t xml:space="preserve">PNAS Nexus</w:t>
      </w:r>
      <w:r>
        <w:t xml:space="preserve">. 2025;4(2):pgaf017.</w:t>
      </w:r>
      <w:r>
        <w:t xml:space="preserve"> </w:t>
      </w:r>
      <w:hyperlink r:id="rId3330">
        <w:r>
          <w:rPr>
            <w:rStyle w:val="Hyperlink"/>
          </w:rPr>
          <w:t xml:space="preserve">https://doi.org/10.1093/pnasnexus/pgaf017</w:t>
        </w:r>
      </w:hyperlink>
      <w:r>
        <w:t xml:space="preserve">（研究类型：随机延迟干预试验，预注册）</w:t>
      </w:r>
    </w:p>
    <w:p>
      <w:pPr>
        <w:pStyle w:val="ReferenceEntry"/>
      </w:pPr>
      <w:bookmarkStart w:id="3331" w:name="ref-370"/>
      <w:r>
        <w:t xml:space="preserve">[370]</w:t>
      </w:r>
      <w:bookmarkEnd w:id="3331"/>
      <w:r>
        <w:t xml:space="preserve"> Smallwood J, Schooler JW. The science of mind wandering: empirically navigating the stream of consciousness.</w:t>
      </w:r>
      <w:r>
        <w:t xml:space="preserve"> </w:t>
      </w:r>
      <w:r>
        <w:rPr>
          <w:iCs/>
          <w:i/>
        </w:rPr>
        <w:t xml:space="preserve">Annual Review of Psychology</w:t>
      </w:r>
      <w:r>
        <w:t xml:space="preserve">. 2015;66(1):487–518.</w:t>
      </w:r>
      <w:r>
        <w:t xml:space="preserve"> </w:t>
      </w:r>
      <w:hyperlink r:id="rId3332">
        <w:r>
          <w:rPr>
            <w:rStyle w:val="Hyperlink"/>
          </w:rPr>
          <w:t xml:space="preserve">https://doi.org/10.1146/annurev-psych-010814-015331</w:t>
        </w:r>
      </w:hyperlink>
      <w:r>
        <w:t xml:space="preserve">（研究类型：走神研究综合）</w:t>
      </w:r>
    </w:p>
    <w:p>
      <w:pPr>
        <w:pStyle w:val="ReferenceEntry"/>
      </w:pPr>
      <w:bookmarkStart w:id="3333" w:name="ref-371"/>
      <w:r>
        <w:t xml:space="preserve">[371]</w:t>
      </w:r>
      <w:bookmarkEnd w:id="3333"/>
      <w:r>
        <w:t xml:space="preserve"> Monsell S. Task switching.</w:t>
      </w:r>
      <w:r>
        <w:t xml:space="preserve"> </w:t>
      </w:r>
      <w:r>
        <w:rPr>
          <w:iCs/>
          <w:i/>
        </w:rPr>
        <w:t xml:space="preserve">Trends in Cognitive Sciences</w:t>
      </w:r>
      <w:r>
        <w:t xml:space="preserve">. 2003;7(3):134–140.</w:t>
      </w:r>
      <w:r>
        <w:t xml:space="preserve"> </w:t>
      </w:r>
      <w:hyperlink r:id="rId3334">
        <w:r>
          <w:rPr>
            <w:rStyle w:val="Hyperlink"/>
          </w:rPr>
          <w:t xml:space="preserve">https://doi.org/10.1016/S1364-6613(03)00028-7</w:t>
        </w:r>
      </w:hyperlink>
      <w:r>
        <w:t xml:space="preserve">（研究类型：任务切换综述）</w:t>
      </w:r>
    </w:p>
    <w:p>
      <w:pPr>
        <w:pStyle w:val="ReferenceEntry"/>
      </w:pPr>
      <w:bookmarkStart w:id="3335" w:name="ref-372"/>
      <w:r>
        <w:t xml:space="preserve">[372]</w:t>
      </w:r>
      <w:bookmarkEnd w:id="3335"/>
      <w:r>
        <w:t xml:space="preserve"> Pashler H. Dual-task interference in simple tasks: Data and theory.</w:t>
      </w:r>
      <w:r>
        <w:t xml:space="preserve"> </w:t>
      </w:r>
      <w:r>
        <w:rPr>
          <w:iCs/>
          <w:i/>
        </w:rPr>
        <w:t xml:space="preserve">Psychological Bulletin</w:t>
      </w:r>
      <w:r>
        <w:t xml:space="preserve">. 1994;116(2):220–244.</w:t>
      </w:r>
      <w:r>
        <w:t xml:space="preserve"> </w:t>
      </w:r>
      <w:hyperlink r:id="rId3336">
        <w:r>
          <w:rPr>
            <w:rStyle w:val="Hyperlink"/>
          </w:rPr>
          <w:t xml:space="preserve">https://doi.org/10.1037/0033-2909.116.2.220</w:t>
        </w:r>
      </w:hyperlink>
      <w:r>
        <w:t xml:space="preserve">（研究类型：双任务机制综述）</w:t>
      </w:r>
    </w:p>
    <w:p>
      <w:pPr>
        <w:pStyle w:val="ReferenceEntry"/>
      </w:pPr>
      <w:bookmarkStart w:id="3337" w:name="ref-373"/>
      <w:r>
        <w:t xml:space="preserve">[373]</w:t>
      </w:r>
      <w:bookmarkEnd w:id="3337"/>
      <w:r>
        <w:t xml:space="preserve"> Uncapher MR, Wagner AD. Minds and brains of media multitaskers: Current findings and future directions.</w:t>
      </w:r>
      <w:r>
        <w:t xml:space="preserve"> </w:t>
      </w:r>
      <w:r>
        <w:rPr>
          <w:iCs/>
          <w:i/>
        </w:rPr>
        <w:t xml:space="preserve">Proceedings of the National Academy of Sciences</w:t>
      </w:r>
      <w:r>
        <w:t xml:space="preserve">. 2018;115(40):9889–9896.</w:t>
      </w:r>
      <w:r>
        <w:t xml:space="preserve"> </w:t>
      </w:r>
      <w:hyperlink r:id="rId3338">
        <w:r>
          <w:rPr>
            <w:rStyle w:val="Hyperlink"/>
          </w:rPr>
          <w:t xml:space="preserve">https://doi.org/10.1073/pnas.1611612115</w:t>
        </w:r>
      </w:hyperlink>
      <w:r>
        <w:t xml:space="preserve">（研究类型：综述）</w:t>
      </w:r>
    </w:p>
    <w:p>
      <w:pPr>
        <w:pStyle w:val="ReferenceEntry"/>
      </w:pPr>
      <w:bookmarkStart w:id="3339" w:name="ref-374"/>
      <w:r>
        <w:t xml:space="preserve">[374]</w:t>
      </w:r>
      <w:bookmarkEnd w:id="3339"/>
      <w:r>
        <w:t xml:space="preserve"> Miyake A, Friedman NP, Emerson MJ, Witzki AH, Howerter A, Wager TD. The unity and diversity of executive functions and their contributions to complex “Frontal Lobe” tasks: a latent variable analysis.</w:t>
      </w:r>
      <w:r>
        <w:t xml:space="preserve"> </w:t>
      </w:r>
      <w:r>
        <w:rPr>
          <w:iCs/>
          <w:i/>
        </w:rPr>
        <w:t xml:space="preserve">Cognitive Psychology</w:t>
      </w:r>
      <w:r>
        <w:t xml:space="preserve">. 2000;41(1):49–100.</w:t>
      </w:r>
      <w:r>
        <w:t xml:space="preserve"> </w:t>
      </w:r>
      <w:hyperlink r:id="rId3340">
        <w:r>
          <w:rPr>
            <w:rStyle w:val="Hyperlink"/>
          </w:rPr>
          <w:t xml:space="preserve">https://doi.org/10.1006/cogp.1999.0734</w:t>
        </w:r>
      </w:hyperlink>
      <w:r>
        <w:t xml:space="preserve">（研究类型：执行功能潜在变量分析，使用多项任务）</w:t>
      </w:r>
    </w:p>
    <w:p>
      <w:pPr>
        <w:pStyle w:val="ReferenceEntry"/>
      </w:pPr>
      <w:bookmarkStart w:id="3341" w:name="ref-375"/>
      <w:r>
        <w:t xml:space="preserve">[375]</w:t>
      </w:r>
      <w:bookmarkEnd w:id="3341"/>
      <w:r>
        <w:t xml:space="preserve"> Dux PE, Tombu MN, Harrison S, Rogers BP, Tong F, Marois R. Training improves multitasking performance by increasing the speed of information processing in human prefrontal cortex.</w:t>
      </w:r>
      <w:r>
        <w:t xml:space="preserve"> </w:t>
      </w:r>
      <w:r>
        <w:rPr>
          <w:iCs/>
          <w:i/>
        </w:rPr>
        <w:t xml:space="preserve">Neuron</w:t>
      </w:r>
      <w:r>
        <w:t xml:space="preserve">. 2009;63(1):127–138.</w:t>
      </w:r>
      <w:r>
        <w:t xml:space="preserve"> </w:t>
      </w:r>
      <w:hyperlink r:id="rId3342">
        <w:r>
          <w:rPr>
            <w:rStyle w:val="Hyperlink"/>
          </w:rPr>
          <w:t xml:space="preserve">https://doi.org/10.1016/j.neuron.2009.06.005</w:t>
        </w:r>
      </w:hyperlink>
      <w:r>
        <w:t xml:space="preserve">（研究类型：双任务训练及成像实验）</w:t>
      </w:r>
    </w:p>
    <w:p>
      <w:pPr>
        <w:pStyle w:val="ReferenceEntry"/>
      </w:pPr>
      <w:bookmarkStart w:id="3343" w:name="ref-376"/>
      <w:r>
        <w:t xml:space="preserve">[376]</w:t>
      </w:r>
      <w:bookmarkEnd w:id="3343"/>
      <w:r>
        <w:t xml:space="preserve"> Verbruggen F, Aron AR, Band GP, Beste C, Bissett PG, Brockett AT, et al. A consensus guide to capturing the ability to inhibit actions and impulsive behaviors in the stop-signal task.</w:t>
      </w:r>
      <w:r>
        <w:t xml:space="preserve"> </w:t>
      </w:r>
      <w:r>
        <w:rPr>
          <w:iCs/>
          <w:i/>
        </w:rPr>
        <w:t xml:space="preserve">eLife</w:t>
      </w:r>
      <w:r>
        <w:t xml:space="preserve">. 2019;8:e46323.</w:t>
      </w:r>
      <w:r>
        <w:t xml:space="preserve"> </w:t>
      </w:r>
      <w:hyperlink r:id="rId3344">
        <w:r>
          <w:rPr>
            <w:rStyle w:val="Hyperlink"/>
          </w:rPr>
          <w:t xml:space="preserve">https://doi.org/10.7554/eLife.46323</w:t>
        </w:r>
      </w:hyperlink>
      <w:r>
        <w:t xml:space="preserve">（研究类型：方法共识指南）</w:t>
      </w:r>
    </w:p>
    <w:p>
      <w:pPr>
        <w:pStyle w:val="ReferenceEntry"/>
      </w:pPr>
      <w:bookmarkStart w:id="3345" w:name="ref-377"/>
      <w:r>
        <w:t xml:space="preserve">[377]</w:t>
      </w:r>
      <w:bookmarkEnd w:id="3345"/>
      <w:r>
        <w:t xml:space="preserve"> Kersten D, Mamassian P, Yuille A. Object perception as Bayesian inference.</w:t>
      </w:r>
      <w:r>
        <w:t xml:space="preserve"> </w:t>
      </w:r>
      <w:r>
        <w:rPr>
          <w:iCs/>
          <w:i/>
        </w:rPr>
        <w:t xml:space="preserve">Annual Review of Psychology</w:t>
      </w:r>
      <w:r>
        <w:t xml:space="preserve">. 2004;55(1):271–304.</w:t>
      </w:r>
      <w:r>
        <w:t xml:space="preserve"> </w:t>
      </w:r>
      <w:hyperlink r:id="rId3346">
        <w:r>
          <w:rPr>
            <w:rStyle w:val="Hyperlink"/>
          </w:rPr>
          <w:t xml:space="preserve">https://doi.org/10.1146/annurev.psych.55.090902.142005</w:t>
        </w:r>
      </w:hyperlink>
      <w:r>
        <w:t xml:space="preserve">（研究类型：理论与实验综述）</w:t>
      </w:r>
    </w:p>
    <w:p>
      <w:pPr>
        <w:pStyle w:val="ReferenceEntry"/>
      </w:pPr>
      <w:bookmarkStart w:id="3347" w:name="ref-378"/>
      <w:r>
        <w:t xml:space="preserve">[378]</w:t>
      </w:r>
      <w:bookmarkEnd w:id="3347"/>
      <w:r>
        <w:t xml:space="preserve"> Ernst MO, Banks MS. Humans integrate visual and haptic information in a statistically optimal fashion.</w:t>
      </w:r>
      <w:r>
        <w:t xml:space="preserve"> </w:t>
      </w:r>
      <w:r>
        <w:rPr>
          <w:iCs/>
          <w:i/>
        </w:rPr>
        <w:t xml:space="preserve">Nature</w:t>
      </w:r>
      <w:r>
        <w:t xml:space="preserve">. 2002;415(6870):429–433.</w:t>
      </w:r>
      <w:r>
        <w:t xml:space="preserve"> </w:t>
      </w:r>
      <w:hyperlink r:id="rId3348">
        <w:r>
          <w:rPr>
            <w:rStyle w:val="Hyperlink"/>
          </w:rPr>
          <w:t xml:space="preserve">https://doi.org/10.1038/415429a</w:t>
        </w:r>
      </w:hyperlink>
      <w:r>
        <w:t xml:space="preserve">（研究类型：人类心理物理实验）</w:t>
      </w:r>
    </w:p>
    <w:p>
      <w:pPr>
        <w:pStyle w:val="ReferenceEntry"/>
      </w:pPr>
      <w:bookmarkStart w:id="3349" w:name="ref-379"/>
      <w:r>
        <w:t xml:space="preserve">[379]</w:t>
      </w:r>
      <w:bookmarkEnd w:id="3349"/>
      <w:r>
        <w:t xml:space="preserve"> Körding KP, Beierholm U, Ma WJ, Quartz S, Tenenbaum JB, Shams L. Causal Inference in Multisensory Perception.</w:t>
      </w:r>
      <w:r>
        <w:t xml:space="preserve"> </w:t>
      </w:r>
      <w:r>
        <w:rPr>
          <w:iCs/>
          <w:i/>
        </w:rPr>
        <w:t xml:space="preserve">PLoS ONE</w:t>
      </w:r>
      <w:r>
        <w:t xml:space="preserve">. 2007;2(9):e943.</w:t>
      </w:r>
      <w:r>
        <w:t xml:space="preserve"> </w:t>
      </w:r>
      <w:hyperlink r:id="rId3350">
        <w:r>
          <w:rPr>
            <w:rStyle w:val="Hyperlink"/>
          </w:rPr>
          <w:t xml:space="preserve">https://doi.org/10.1371/journal.pone.0000943</w:t>
        </w:r>
      </w:hyperlink>
      <w:r>
        <w:t xml:space="preserve">（研究类型：多感官行为实验与计算建模）</w:t>
      </w:r>
    </w:p>
    <w:p>
      <w:pPr>
        <w:pStyle w:val="ReferenceEntry"/>
      </w:pPr>
      <w:bookmarkStart w:id="3351" w:name="ref-380"/>
      <w:r>
        <w:t xml:space="preserve">[380]</w:t>
      </w:r>
      <w:bookmarkEnd w:id="3351"/>
      <w:r>
        <w:t xml:space="preserve"> de Lange FP, Heilbron M, Kok P. How Do Expectations Shape Perception?.</w:t>
      </w:r>
      <w:r>
        <w:t xml:space="preserve"> </w:t>
      </w:r>
      <w:r>
        <w:rPr>
          <w:iCs/>
          <w:i/>
        </w:rPr>
        <w:t xml:space="preserve">Trends in Cognitive Sciences</w:t>
      </w:r>
      <w:r>
        <w:t xml:space="preserve">. 2018;22(9):764–779.</w:t>
      </w:r>
      <w:r>
        <w:t xml:space="preserve"> </w:t>
      </w:r>
      <w:hyperlink r:id="rId3352">
        <w:r>
          <w:rPr>
            <w:rStyle w:val="Hyperlink"/>
          </w:rPr>
          <w:t xml:space="preserve">https://doi.org/10.1016/j.tics.2018.06.002</w:t>
        </w:r>
      </w:hyperlink>
      <w:r>
        <w:t xml:space="preserve">（研究类型：认知神经科学综述）</w:t>
      </w:r>
    </w:p>
    <w:p>
      <w:pPr>
        <w:pStyle w:val="ReferenceEntry"/>
      </w:pPr>
      <w:bookmarkStart w:id="3353" w:name="ref-381"/>
      <w:r>
        <w:t xml:space="preserve">[381]</w:t>
      </w:r>
      <w:bookmarkEnd w:id="3353"/>
      <w:r>
        <w:t xml:space="preserve"> Rao RPN, Ballard DH. Predictive coding in the visual cortex: a functional interpretation of some extra-classical receptive-field effects.</w:t>
      </w:r>
      <w:r>
        <w:t xml:space="preserve"> </w:t>
      </w:r>
      <w:r>
        <w:rPr>
          <w:iCs/>
          <w:i/>
        </w:rPr>
        <w:t xml:space="preserve">Nature Neuroscience</w:t>
      </w:r>
      <w:r>
        <w:t xml:space="preserve">. 1999;2(1):79–87.</w:t>
      </w:r>
      <w:r>
        <w:t xml:space="preserve"> </w:t>
      </w:r>
      <w:hyperlink r:id="rId3354">
        <w:r>
          <w:rPr>
            <w:rStyle w:val="Hyperlink"/>
          </w:rPr>
          <w:t xml:space="preserve">https://doi.org/10.1038/4580</w:t>
        </w:r>
      </w:hyperlink>
      <w:r>
        <w:t xml:space="preserve">（研究类型：层级计算模型）</w:t>
      </w:r>
    </w:p>
    <w:p>
      <w:pPr>
        <w:pStyle w:val="ReferenceEntry"/>
      </w:pPr>
      <w:bookmarkStart w:id="3355" w:name="ref-382"/>
      <w:r>
        <w:t xml:space="preserve">[382]</w:t>
      </w:r>
      <w:bookmarkEnd w:id="3355"/>
      <w:r>
        <w:t xml:space="preserve"> Keller GB, Mrsic-Flogel TD. Predictive Processing: A Canonical Cortical Computation.</w:t>
      </w:r>
      <w:r>
        <w:t xml:space="preserve"> </w:t>
      </w:r>
      <w:r>
        <w:rPr>
          <w:iCs/>
          <w:i/>
        </w:rPr>
        <w:t xml:space="preserve">Neuron</w:t>
      </w:r>
      <w:r>
        <w:t xml:space="preserve">. 2018;100(2):424–435.</w:t>
      </w:r>
      <w:r>
        <w:t xml:space="preserve"> </w:t>
      </w:r>
      <w:hyperlink r:id="rId3356">
        <w:r>
          <w:rPr>
            <w:rStyle w:val="Hyperlink"/>
          </w:rPr>
          <w:t xml:space="preserve">https://doi.org/10.1016/j.neuron.2018.10.003</w:t>
        </w:r>
      </w:hyperlink>
      <w:r>
        <w:t xml:space="preserve">（研究类型：机制观点综述）</w:t>
      </w:r>
    </w:p>
    <w:p>
      <w:pPr>
        <w:pStyle w:val="ReferenceEntry"/>
      </w:pPr>
      <w:bookmarkStart w:id="3357" w:name="ref-383"/>
      <w:r>
        <w:t xml:space="preserve">[383]</w:t>
      </w:r>
      <w:bookmarkEnd w:id="3357"/>
      <w:r>
        <w:t xml:space="preserve"> Furutachi S, Hofer SB. Rethinking Predictive Processing.</w:t>
      </w:r>
      <w:r>
        <w:t xml:space="preserve"> </w:t>
      </w:r>
      <w:r>
        <w:rPr>
          <w:iCs/>
          <w:i/>
        </w:rPr>
        <w:t xml:space="preserve">Annual Review of Neuroscience</w:t>
      </w:r>
      <w:r>
        <w:t xml:space="preserve">. 2026;49(1):471–494.</w:t>
      </w:r>
      <w:r>
        <w:t xml:space="preserve"> </w:t>
      </w:r>
      <w:hyperlink r:id="rId3358">
        <w:r>
          <w:rPr>
            <w:rStyle w:val="Hyperlink"/>
          </w:rPr>
          <w:t xml:space="preserve">https://doi.org/10.1146/annurev-neuro-102124-031410</w:t>
        </w:r>
      </w:hyperlink>
      <w:r>
        <w:t xml:space="preserve">（研究类型：批判性机制综述）</w:t>
      </w:r>
    </w:p>
    <w:p>
      <w:pPr>
        <w:pStyle w:val="ReferenceEntry"/>
      </w:pPr>
      <w:bookmarkStart w:id="3359" w:name="ref-384"/>
      <w:r>
        <w:t xml:space="preserve">[384]</w:t>
      </w:r>
      <w:bookmarkEnd w:id="3359"/>
      <w:r>
        <w:t xml:space="preserve"> Kok P, Jehee JFM, de Lange FP. Less Is More: Expectation Sharpens Representations in the Primary Visual Cortex.</w:t>
      </w:r>
      <w:r>
        <w:t xml:space="preserve"> </w:t>
      </w:r>
      <w:r>
        <w:rPr>
          <w:iCs/>
          <w:i/>
        </w:rPr>
        <w:t xml:space="preserve">Neuron</w:t>
      </w:r>
      <w:r>
        <w:t xml:space="preserve">. 2012;75(2):265–270.</w:t>
      </w:r>
      <w:r>
        <w:t xml:space="preserve"> </w:t>
      </w:r>
      <w:hyperlink r:id="rId3360">
        <w:r>
          <w:rPr>
            <w:rStyle w:val="Hyperlink"/>
          </w:rPr>
          <w:t xml:space="preserve">https://doi.org/10.1016/j.neuron.2012.04.034</w:t>
        </w:r>
      </w:hyperlink>
      <w:r>
        <w:t xml:space="preserve">（研究类型：人类功能磁共振实验）</w:t>
      </w:r>
    </w:p>
    <w:p>
      <w:pPr>
        <w:pStyle w:val="ReferenceEntry"/>
      </w:pPr>
      <w:bookmarkStart w:id="3361" w:name="ref-385"/>
      <w:r>
        <w:t xml:space="preserve">[385]</w:t>
      </w:r>
      <w:bookmarkEnd w:id="3361"/>
      <w:r>
        <w:t xml:space="preserve"> Keller GB, Bonhoeffer T, Hübener M. Sensorimotor mismatch signals in primary visual cortex of the behaving mouse.</w:t>
      </w:r>
      <w:r>
        <w:t xml:space="preserve"> </w:t>
      </w:r>
      <w:r>
        <w:rPr>
          <w:iCs/>
          <w:i/>
        </w:rPr>
        <w:t xml:space="preserve">Neuron</w:t>
      </w:r>
      <w:r>
        <w:t xml:space="preserve">. 2012;74(5):809–815.</w:t>
      </w:r>
      <w:r>
        <w:t xml:space="preserve"> </w:t>
      </w:r>
      <w:hyperlink r:id="rId3362">
        <w:r>
          <w:rPr>
            <w:rStyle w:val="Hyperlink"/>
          </w:rPr>
          <w:t xml:space="preserve">https://doi.org/10.1016/j.neuron.2012.03.040</w:t>
        </w:r>
      </w:hyperlink>
      <w:r>
        <w:t xml:space="preserve">（研究类型：小鼠在体神经记录）</w:t>
      </w:r>
    </w:p>
    <w:p>
      <w:pPr>
        <w:pStyle w:val="ReferenceEntry"/>
      </w:pPr>
      <w:bookmarkStart w:id="3363" w:name="ref-386"/>
      <w:r>
        <w:t xml:space="preserve">[386]</w:t>
      </w:r>
      <w:bookmarkEnd w:id="3363"/>
      <w:r>
        <w:t xml:space="preserve"> Muzzu T, Saleem AB. Feature selectivity can explain mismatch signals in mouse visual cortex.</w:t>
      </w:r>
      <w:r>
        <w:t xml:space="preserve"> </w:t>
      </w:r>
      <w:r>
        <w:rPr>
          <w:iCs/>
          <w:i/>
        </w:rPr>
        <w:t xml:space="preserve">Cell Reports</w:t>
      </w:r>
      <w:r>
        <w:t xml:space="preserve">. 2021;37(1):109772.</w:t>
      </w:r>
      <w:r>
        <w:t xml:space="preserve"> </w:t>
      </w:r>
      <w:hyperlink r:id="rId3364">
        <w:r>
          <w:rPr>
            <w:rStyle w:val="Hyperlink"/>
          </w:rPr>
          <w:t xml:space="preserve">https://doi.org/10.1016/j.celrep.2021.109772</w:t>
        </w:r>
      </w:hyperlink>
      <w:r>
        <w:t xml:space="preserve">（更正见</w:t>
      </w:r>
      <w:r>
        <w:t xml:space="preserve"> </w:t>
      </w:r>
      <w:r>
        <w:rPr>
          <w:iCs/>
          <w:i/>
        </w:rPr>
        <w:t xml:space="preserve">Cell Reports</w:t>
      </w:r>
      <w:r>
        <w:t xml:space="preserve">. 2022;38(7):110413.</w:t>
      </w:r>
      <w:r>
        <w:t xml:space="preserve"> </w:t>
      </w:r>
      <w:hyperlink r:id="rId3365">
        <w:r>
          <w:rPr>
            <w:rStyle w:val="Hyperlink"/>
          </w:rPr>
          <w:t xml:space="preserve">https://doi.org/10.1016/j.celrep.2022.110413</w:t>
        </w:r>
      </w:hyperlink>
      <w:r>
        <w:t xml:space="preserve">）（研究类型：小鼠视觉皮层神经记录）</w:t>
      </w:r>
    </w:p>
    <w:p>
      <w:pPr>
        <w:pStyle w:val="ReferenceEntry"/>
      </w:pPr>
      <w:bookmarkStart w:id="3366" w:name="ref-387"/>
      <w:r>
        <w:t xml:space="preserve">[387]</w:t>
      </w:r>
      <w:bookmarkEnd w:id="3366"/>
      <w:r>
        <w:t xml:space="preserve"> Vasilevskaya A, Widmer FC, Keller GB, Jordan R. Locomotion-induced gain of visual responses cannot explain visuomotor mismatch responses in layer 2/3 of primary visual cortex.</w:t>
      </w:r>
      <w:r>
        <w:t xml:space="preserve"> </w:t>
      </w:r>
      <w:r>
        <w:rPr>
          <w:iCs/>
          <w:i/>
        </w:rPr>
        <w:t xml:space="preserve">Cell Reports</w:t>
      </w:r>
      <w:r>
        <w:t xml:space="preserve">. 2023;42(3):112096.</w:t>
      </w:r>
      <w:r>
        <w:t xml:space="preserve"> </w:t>
      </w:r>
      <w:hyperlink r:id="rId3367">
        <w:r>
          <w:rPr>
            <w:rStyle w:val="Hyperlink"/>
          </w:rPr>
          <w:t xml:space="preserve">https://doi.org/10.1016/j.celrep.2023.112096</w:t>
        </w:r>
      </w:hyperlink>
      <w:r>
        <w:t xml:space="preserve">（研究类型：争鸣与钙成像数据再分析）</w:t>
      </w:r>
    </w:p>
    <w:p>
      <w:pPr>
        <w:pStyle w:val="ReferenceEntry"/>
      </w:pPr>
      <w:bookmarkStart w:id="3368" w:name="ref-388"/>
      <w:r>
        <w:t xml:space="preserve">[388]</w:t>
      </w:r>
      <w:bookmarkEnd w:id="3368"/>
      <w:r>
        <w:t xml:space="preserve"> Muzzu T, Saleem AB. Redefining sensorimotor mismatch selectivity in the visual cortex.</w:t>
      </w:r>
      <w:r>
        <w:t xml:space="preserve"> </w:t>
      </w:r>
      <w:r>
        <w:rPr>
          <w:iCs/>
          <w:i/>
        </w:rPr>
        <w:t xml:space="preserve">Cell Reports</w:t>
      </w:r>
      <w:r>
        <w:t xml:space="preserve">. 2023;42(3):112098.</w:t>
      </w:r>
      <w:r>
        <w:t xml:space="preserve"> </w:t>
      </w:r>
      <w:hyperlink r:id="rId3369">
        <w:r>
          <w:rPr>
            <w:rStyle w:val="Hyperlink"/>
          </w:rPr>
          <w:t xml:space="preserve">https://doi.org/10.1016/j.celrep.2023.112098</w:t>
        </w:r>
      </w:hyperlink>
      <w:r>
        <w:t xml:space="preserve">（研究类型：争鸣回应）</w:t>
      </w:r>
    </w:p>
    <w:p>
      <w:pPr>
        <w:pStyle w:val="ReferenceEntry"/>
      </w:pPr>
      <w:bookmarkStart w:id="3370" w:name="ref-389"/>
      <w:r>
        <w:t xml:space="preserve">[389]</w:t>
      </w:r>
      <w:bookmarkEnd w:id="3370"/>
      <w:r>
        <w:t xml:space="preserve"> Awh E, Belopolsky AV, Theeuwes J. Top-down versus bottom-up attentional control: a failed theoretical dichotomy.</w:t>
      </w:r>
      <w:r>
        <w:t xml:space="preserve"> </w:t>
      </w:r>
      <w:r>
        <w:rPr>
          <w:iCs/>
          <w:i/>
        </w:rPr>
        <w:t xml:space="preserve">Trends in Cognitive Sciences</w:t>
      </w:r>
      <w:r>
        <w:t xml:space="preserve">. 2012;16(8):437–443.</w:t>
      </w:r>
      <w:r>
        <w:t xml:space="preserve"> </w:t>
      </w:r>
      <w:hyperlink r:id="rId3371">
        <w:r>
          <w:rPr>
            <w:rStyle w:val="Hyperlink"/>
          </w:rPr>
          <w:t xml:space="preserve">https://doi.org/10.1016/j.tics.2012.06.010</w:t>
        </w:r>
      </w:hyperlink>
      <w:r>
        <w:t xml:space="preserve">（研究类型：注意控制理论综述）</w:t>
      </w:r>
    </w:p>
    <w:p>
      <w:pPr>
        <w:pStyle w:val="ReferenceEntry"/>
      </w:pPr>
      <w:bookmarkStart w:id="3372" w:name="ref-390"/>
      <w:r>
        <w:t xml:space="preserve">[390]</w:t>
      </w:r>
      <w:bookmarkEnd w:id="3372"/>
      <w:r>
        <w:t xml:space="preserve"> Corbetta M, Shulman GL. Control of goal-directed and stimulus-driven attention in the brain.</w:t>
      </w:r>
      <w:r>
        <w:t xml:space="preserve"> </w:t>
      </w:r>
      <w:r>
        <w:rPr>
          <w:iCs/>
          <w:i/>
        </w:rPr>
        <w:t xml:space="preserve">Nature Reviews Neuroscience</w:t>
      </w:r>
      <w:r>
        <w:t xml:space="preserve">. 2002;3(3):201–215.</w:t>
      </w:r>
      <w:r>
        <w:t xml:space="preserve"> </w:t>
      </w:r>
      <w:hyperlink r:id="rId3373">
        <w:r>
          <w:rPr>
            <w:rStyle w:val="Hyperlink"/>
          </w:rPr>
          <w:t xml:space="preserve">https://doi.org/10.1038/nrn755</w:t>
        </w:r>
      </w:hyperlink>
      <w:r>
        <w:t xml:space="preserve">（研究类型：神经影像与注意综述）</w:t>
      </w:r>
    </w:p>
    <w:p>
      <w:pPr>
        <w:pStyle w:val="ReferenceEntry"/>
      </w:pPr>
      <w:bookmarkStart w:id="3374" w:name="ref-391"/>
      <w:r>
        <w:t xml:space="preserve">[391]</w:t>
      </w:r>
      <w:bookmarkEnd w:id="3374"/>
      <w:r>
        <w:t xml:space="preserve"> Reynolds JH, Heeger DJ. The Normalization Model of Attention.</w:t>
      </w:r>
      <w:r>
        <w:t xml:space="preserve"> </w:t>
      </w:r>
      <w:r>
        <w:rPr>
          <w:iCs/>
          <w:i/>
        </w:rPr>
        <w:t xml:space="preserve">Neuron</w:t>
      </w:r>
      <w:r>
        <w:t xml:space="preserve">. 2009;61(2):168–185.</w:t>
      </w:r>
      <w:r>
        <w:t xml:space="preserve"> </w:t>
      </w:r>
      <w:hyperlink r:id="rId3375">
        <w:r>
          <w:rPr>
            <w:rStyle w:val="Hyperlink"/>
          </w:rPr>
          <w:t xml:space="preserve">https://doi.org/10.1016/j.neuron.2009.01.002</w:t>
        </w:r>
      </w:hyperlink>
      <w:r>
        <w:t xml:space="preserve">（研究类型：计算模型与神经生理综合）</w:t>
      </w:r>
    </w:p>
    <w:p>
      <w:pPr>
        <w:pStyle w:val="ReferenceEntry"/>
      </w:pPr>
      <w:bookmarkStart w:id="3376" w:name="ref-392"/>
      <w:r>
        <w:t xml:space="preserve">[392]</w:t>
      </w:r>
      <w:bookmarkEnd w:id="3376"/>
      <w:r>
        <w:t xml:space="preserve"> Wolfe JM. Guided Search 6.0: An updated model of visual search.</w:t>
      </w:r>
      <w:r>
        <w:t xml:space="preserve"> </w:t>
      </w:r>
      <w:r>
        <w:rPr>
          <w:iCs/>
          <w:i/>
        </w:rPr>
        <w:t xml:space="preserve">Psychonomic Bulletin &amp; Review</w:t>
      </w:r>
      <w:r>
        <w:t xml:space="preserve">. 2021;28(4):1060–1092.</w:t>
      </w:r>
      <w:r>
        <w:t xml:space="preserve"> </w:t>
      </w:r>
      <w:hyperlink r:id="rId3377">
        <w:r>
          <w:rPr>
            <w:rStyle w:val="Hyperlink"/>
          </w:rPr>
          <w:t xml:space="preserve">https://doi.org/10.3758/s13423-020-01859-9</w:t>
        </w:r>
      </w:hyperlink>
      <w:r>
        <w:t xml:space="preserve">（研究类型：视觉搜索理论模型）</w:t>
      </w:r>
    </w:p>
    <w:p>
      <w:pPr>
        <w:pStyle w:val="ReferenceEntry"/>
      </w:pPr>
      <w:bookmarkStart w:id="3378" w:name="ref-393"/>
      <w:r>
        <w:t xml:space="preserve">[393]</w:t>
      </w:r>
      <w:bookmarkEnd w:id="3378"/>
      <w:r>
        <w:t xml:space="preserve"> Liesefeld HR, Lamy D, Gaspelin N, Geng JJ, Kerzel D, Schall JD, et al. Terms of debate: Consensus definitions to guide the scientific discourse on visual distraction.</w:t>
      </w:r>
      <w:r>
        <w:t xml:space="preserve"> </w:t>
      </w:r>
      <w:r>
        <w:rPr>
          <w:iCs/>
          <w:i/>
        </w:rPr>
        <w:t xml:space="preserve">Attention, Perception, &amp; Psychophysics</w:t>
      </w:r>
      <w:r>
        <w:t xml:space="preserve">. 2024;86(5):1445–1472.</w:t>
      </w:r>
      <w:r>
        <w:t xml:space="preserve"> </w:t>
      </w:r>
      <w:hyperlink r:id="rId3379">
        <w:r>
          <w:rPr>
            <w:rStyle w:val="Hyperlink"/>
          </w:rPr>
          <w:t xml:space="preserve">https://doi.org/10.3758/s13414-023-02820-3</w:t>
        </w:r>
      </w:hyperlink>
      <w:r>
        <w:t xml:space="preserve">（研究类型：跨立场术语共识）</w:t>
      </w:r>
    </w:p>
    <w:p>
      <w:pPr>
        <w:pStyle w:val="ReferenceEntry"/>
      </w:pPr>
      <w:bookmarkStart w:id="3380" w:name="ref-394"/>
      <w:r>
        <w:t xml:space="preserve">[394]</w:t>
      </w:r>
      <w:bookmarkEnd w:id="3380"/>
      <w:r>
        <w:t xml:space="preserve"> Simons DJ, Chabris CF. Gorillas in our midst: sustained inattentional blindness for dynamic events.</w:t>
      </w:r>
      <w:r>
        <w:t xml:space="preserve"> </w:t>
      </w:r>
      <w:r>
        <w:rPr>
          <w:iCs/>
          <w:i/>
        </w:rPr>
        <w:t xml:space="preserve">Perception</w:t>
      </w:r>
      <w:r>
        <w:t xml:space="preserve">. 1999;28(9):1059–1074.</w:t>
      </w:r>
      <w:r>
        <w:t xml:space="preserve"> </w:t>
      </w:r>
      <w:hyperlink r:id="rId3381">
        <w:r>
          <w:rPr>
            <w:rStyle w:val="Hyperlink"/>
          </w:rPr>
          <w:t xml:space="preserve">https://doi.org/10.1068/p281059</w:t>
        </w:r>
      </w:hyperlink>
      <w:r>
        <w:t xml:space="preserve">（研究类型：注意与觉察行为实验）</w:t>
      </w:r>
    </w:p>
    <w:p>
      <w:pPr>
        <w:pStyle w:val="ReferenceEntry"/>
      </w:pPr>
      <w:bookmarkStart w:id="3382" w:name="ref-395"/>
      <w:r>
        <w:t xml:space="preserve">[395]</w:t>
      </w:r>
      <w:bookmarkEnd w:id="3382"/>
      <w:r>
        <w:t xml:space="preserve"> Simons DJ, Levin DT. Failure to detect changes to people during a real-world interaction.</w:t>
      </w:r>
      <w:r>
        <w:t xml:space="preserve"> </w:t>
      </w:r>
      <w:r>
        <w:rPr>
          <w:iCs/>
          <w:i/>
        </w:rPr>
        <w:t xml:space="preserve">Psychonomic Bulletin &amp; Review</w:t>
      </w:r>
      <w:r>
        <w:t xml:space="preserve">. 1998;5(4):644–649.</w:t>
      </w:r>
      <w:r>
        <w:t xml:space="preserve"> </w:t>
      </w:r>
      <w:hyperlink r:id="rId3383">
        <w:r>
          <w:rPr>
            <w:rStyle w:val="Hyperlink"/>
          </w:rPr>
          <w:t xml:space="preserve">https://doi.org/10.3758/BF03208840</w:t>
        </w:r>
      </w:hyperlink>
      <w:r>
        <w:t xml:space="preserve">（研究类型：现实互动中的变化检测实验）</w:t>
      </w:r>
    </w:p>
    <w:p>
      <w:pPr>
        <w:pStyle w:val="ReferenceEntry"/>
      </w:pPr>
      <w:bookmarkStart w:id="3384" w:name="ref-396"/>
      <w:r>
        <w:t xml:space="preserve">[396]</w:t>
      </w:r>
      <w:bookmarkEnd w:id="3384"/>
      <w:r>
        <w:t xml:space="preserve"> Wolpert DM, Ghahramani Z, Jordan MI. An internal model for sensorimotor integration.</w:t>
      </w:r>
      <w:r>
        <w:t xml:space="preserve"> </w:t>
      </w:r>
      <w:r>
        <w:rPr>
          <w:iCs/>
          <w:i/>
        </w:rPr>
        <w:t xml:space="preserve">Science</w:t>
      </w:r>
      <w:r>
        <w:t xml:space="preserve">. 1995;269(5232):1880–1882.</w:t>
      </w:r>
      <w:r>
        <w:t xml:space="preserve"> </w:t>
      </w:r>
      <w:hyperlink r:id="rId3385">
        <w:r>
          <w:rPr>
            <w:rStyle w:val="Hyperlink"/>
          </w:rPr>
          <w:t xml:space="preserve">https://doi.org/10.1126/science.7569931</w:t>
        </w:r>
      </w:hyperlink>
      <w:r>
        <w:t xml:space="preserve">（研究类型：人类运动实验与建模）</w:t>
      </w:r>
    </w:p>
    <w:p>
      <w:pPr>
        <w:pStyle w:val="ReferenceEntry"/>
      </w:pPr>
      <w:bookmarkStart w:id="3386" w:name="ref-397"/>
      <w:r>
        <w:t xml:space="preserve">[397]</w:t>
      </w:r>
      <w:bookmarkEnd w:id="3386"/>
      <w:r>
        <w:t xml:space="preserve"> Shadmehr R, Smith MA, Krakauer JW. Error Correction, Sensory Prediction, and Adaptation in Motor Control.</w:t>
      </w:r>
      <w:r>
        <w:t xml:space="preserve"> </w:t>
      </w:r>
      <w:r>
        <w:rPr>
          <w:iCs/>
          <w:i/>
        </w:rPr>
        <w:t xml:space="preserve">Annual Review of Neuroscience</w:t>
      </w:r>
      <w:r>
        <w:t xml:space="preserve">. 2010;33(1):89–108.</w:t>
      </w:r>
      <w:r>
        <w:t xml:space="preserve"> </w:t>
      </w:r>
      <w:hyperlink r:id="rId3387">
        <w:r>
          <w:rPr>
            <w:rStyle w:val="Hyperlink"/>
          </w:rPr>
          <w:t xml:space="preserve">https://doi.org/10.1146/annurev-neuro-060909-153135</w:t>
        </w:r>
      </w:hyperlink>
      <w:r>
        <w:t xml:space="preserve">（研究类型：运动学习机制综述）</w:t>
      </w:r>
    </w:p>
    <w:p>
      <w:pPr>
        <w:pStyle w:val="ReferenceEntry"/>
      </w:pPr>
      <w:bookmarkStart w:id="3388" w:name="ref-398"/>
      <w:r>
        <w:t xml:space="preserve">[398]</w:t>
      </w:r>
      <w:bookmarkEnd w:id="3388"/>
      <w:r>
        <w:t xml:space="preserve"> Goodale MA, Milner AD. Separate visual pathways for perception and action.</w:t>
      </w:r>
      <w:r>
        <w:t xml:space="preserve"> </w:t>
      </w:r>
      <w:r>
        <w:rPr>
          <w:iCs/>
          <w:i/>
        </w:rPr>
        <w:t xml:space="preserve">Trends in Neurosciences</w:t>
      </w:r>
      <w:r>
        <w:t xml:space="preserve">. 1992;15(1):20–25.</w:t>
      </w:r>
      <w:r>
        <w:t xml:space="preserve"> </w:t>
      </w:r>
      <w:hyperlink r:id="rId3389">
        <w:r>
          <w:rPr>
            <w:rStyle w:val="Hyperlink"/>
          </w:rPr>
          <w:t xml:space="preserve">https://doi.org/10.1016/0166-2236(92)90344-8</w:t>
        </w:r>
      </w:hyperlink>
      <w:r>
        <w:t xml:space="preserve">（研究类型：视觉神经心理学理论综述）</w:t>
      </w:r>
    </w:p>
    <w:p>
      <w:pPr>
        <w:pStyle w:val="ReferenceEntry"/>
      </w:pPr>
      <w:bookmarkStart w:id="3390" w:name="ref-399"/>
      <w:r>
        <w:t xml:space="preserve">[399]</w:t>
      </w:r>
      <w:bookmarkEnd w:id="3390"/>
      <w:r>
        <w:t xml:space="preserve"> Blakemore SJ, Wolpert DM, Frith CD. Central cancellation of self-produced tickle sensation.</w:t>
      </w:r>
      <w:r>
        <w:t xml:space="preserve"> </w:t>
      </w:r>
      <w:r>
        <w:rPr>
          <w:iCs/>
          <w:i/>
        </w:rPr>
        <w:t xml:space="preserve">Nature Neuroscience</w:t>
      </w:r>
      <w:r>
        <w:t xml:space="preserve">. 1998;1(7):635–640.</w:t>
      </w:r>
      <w:r>
        <w:t xml:space="preserve"> </w:t>
      </w:r>
      <w:hyperlink r:id="rId3391">
        <w:r>
          <w:rPr>
            <w:rStyle w:val="Hyperlink"/>
          </w:rPr>
          <w:t xml:space="preserve">https://doi.org/10.1038/2870</w:t>
        </w:r>
      </w:hyperlink>
      <w:r>
        <w:t xml:space="preserve">（研究类型：人类感觉运动实验）</w:t>
      </w:r>
    </w:p>
    <w:p>
      <w:pPr>
        <w:pStyle w:val="ReferenceEntry"/>
      </w:pPr>
      <w:bookmarkStart w:id="3392" w:name="ref-400"/>
      <w:r>
        <w:t xml:space="preserve">[400]</w:t>
      </w:r>
      <w:bookmarkEnd w:id="3392"/>
      <w:r>
        <w:t xml:space="preserve"> Hickok G, Poeppel D. The cortical organization of speech processing.</w:t>
      </w:r>
      <w:r>
        <w:t xml:space="preserve"> </w:t>
      </w:r>
      <w:r>
        <w:rPr>
          <w:iCs/>
          <w:i/>
        </w:rPr>
        <w:t xml:space="preserve">Nature Reviews Neuroscience</w:t>
      </w:r>
      <w:r>
        <w:t xml:space="preserve">. 2007;8(5):393–402.</w:t>
      </w:r>
      <w:r>
        <w:t xml:space="preserve"> </w:t>
      </w:r>
      <w:hyperlink r:id="rId3393">
        <w:r>
          <w:rPr>
            <w:rStyle w:val="Hyperlink"/>
          </w:rPr>
          <w:t xml:space="preserve">https://doi.org/10.1038/nrn2113</w:t>
        </w:r>
      </w:hyperlink>
      <w:r>
        <w:t xml:space="preserve">（研究类型：神经认知理论综述）</w:t>
      </w:r>
    </w:p>
    <w:p>
      <w:pPr>
        <w:pStyle w:val="ReferenceEntry"/>
      </w:pPr>
      <w:bookmarkStart w:id="3394" w:name="ref-401"/>
      <w:r>
        <w:t xml:space="preserve">[401]</w:t>
      </w:r>
      <w:bookmarkEnd w:id="3394"/>
      <w:r>
        <w:t xml:space="preserve"> Fedorenko E, Duncan J, Kanwisher N. Language-selective and domain-general regions lie side by side within Broca’s area.</w:t>
      </w:r>
      <w:r>
        <w:t xml:space="preserve"> </w:t>
      </w:r>
      <w:r>
        <w:rPr>
          <w:iCs/>
          <w:i/>
        </w:rPr>
        <w:t xml:space="preserve">Current Biology</w:t>
      </w:r>
      <w:r>
        <w:t xml:space="preserve">. 2012;22(21):2059–2062.</w:t>
      </w:r>
      <w:r>
        <w:t xml:space="preserve"> </w:t>
      </w:r>
      <w:hyperlink r:id="rId3395">
        <w:r>
          <w:rPr>
            <w:rStyle w:val="Hyperlink"/>
          </w:rPr>
          <w:t xml:space="preserve">https://doi.org/10.1016/j.cub.2012.09.011</w:t>
        </w:r>
      </w:hyperlink>
      <w:r>
        <w:t xml:space="preserve">（研究类型：个体功能定位成像研究）</w:t>
      </w:r>
    </w:p>
    <w:p>
      <w:pPr>
        <w:pStyle w:val="ReferenceEntry"/>
      </w:pPr>
      <w:bookmarkStart w:id="3396" w:name="ref-402"/>
      <w:r>
        <w:t xml:space="preserve">[402]</w:t>
      </w:r>
      <w:bookmarkEnd w:id="3396"/>
      <w:r>
        <w:t xml:space="preserve"> Malik-Moraleda S, Ayyash D, Gallée J, Affourtit J, Hoffmann M, Mineroff Z, et al. An investigation across 45 languages and 12 language families reveals a universal language network.</w:t>
      </w:r>
      <w:r>
        <w:t xml:space="preserve"> </w:t>
      </w:r>
      <w:r>
        <w:rPr>
          <w:iCs/>
          <w:i/>
        </w:rPr>
        <w:t xml:space="preserve">Nature Neuroscience</w:t>
      </w:r>
      <w:r>
        <w:t xml:space="preserve">. 2022;25(8):1014–1019.</w:t>
      </w:r>
      <w:r>
        <w:t xml:space="preserve"> </w:t>
      </w:r>
      <w:hyperlink r:id="rId3397">
        <w:r>
          <w:rPr>
            <w:rStyle w:val="Hyperlink"/>
          </w:rPr>
          <w:t xml:space="preserve">https://doi.org/10.1038/s41593-022-01114-5</w:t>
        </w:r>
      </w:hyperlink>
      <w:r>
        <w:t xml:space="preserve">（研究类型：跨语言功能成像）</w:t>
      </w:r>
    </w:p>
    <w:p>
      <w:pPr>
        <w:pStyle w:val="ReferenceEntry"/>
      </w:pPr>
      <w:bookmarkStart w:id="3398" w:name="ref-403"/>
      <w:r>
        <w:t xml:space="preserve">[403]</w:t>
      </w:r>
      <w:bookmarkEnd w:id="3398"/>
      <w:r>
        <w:t xml:space="preserve"> Castles A, Rastle K, Nation K. Ending the Reading Wars: Reading Acquisition From Novice to Expert.</w:t>
      </w:r>
      <w:r>
        <w:t xml:space="preserve"> </w:t>
      </w:r>
      <w:r>
        <w:rPr>
          <w:iCs/>
          <w:i/>
        </w:rPr>
        <w:t xml:space="preserve">Psychological Science in the Public Interest</w:t>
      </w:r>
      <w:r>
        <w:t xml:space="preserve">. 2018;19(1):5–51.</w:t>
      </w:r>
      <w:r>
        <w:t xml:space="preserve"> </w:t>
      </w:r>
      <w:hyperlink r:id="rId3399">
        <w:r>
          <w:rPr>
            <w:rStyle w:val="Hyperlink"/>
          </w:rPr>
          <w:t xml:space="preserve">https://doi.org/10.1177/1529100618772271</w:t>
        </w:r>
      </w:hyperlink>
      <w:r>
        <w:t xml:space="preserve">（勘误见</w:t>
      </w:r>
      <w:r>
        <w:t xml:space="preserve"> </w:t>
      </w:r>
      <w:r>
        <w:rPr>
          <w:iCs/>
          <w:i/>
        </w:rPr>
        <w:t xml:space="preserve">Psychological Science in the Public Interest</w:t>
      </w:r>
      <w:r>
        <w:t xml:space="preserve">. 2018;19(2):93.</w:t>
      </w:r>
      <w:r>
        <w:t xml:space="preserve"> </w:t>
      </w:r>
      <w:hyperlink r:id="rId3400">
        <w:r>
          <w:rPr>
            <w:rStyle w:val="Hyperlink"/>
          </w:rPr>
          <w:t xml:space="preserve">https://doi.org/10.1177/1529100618786959</w:t>
        </w:r>
      </w:hyperlink>
      <w:r>
        <w:t xml:space="preserve">）（研究类型：教学性综述）</w:t>
      </w:r>
    </w:p>
    <w:p>
      <w:pPr>
        <w:pStyle w:val="ReferenceEntry"/>
      </w:pPr>
      <w:bookmarkStart w:id="3401" w:name="ref-404"/>
      <w:r>
        <w:t xml:space="preserve">[404]</w:t>
      </w:r>
      <w:bookmarkEnd w:id="3401"/>
      <w:r>
        <w:t xml:space="preserve"> Dehaene S, Pegado F, Braga LW, Ventura P, Filho GN, Jobert A, et al. How learning to read changes the cortical networks for vision and language.</w:t>
      </w:r>
      <w:r>
        <w:t xml:space="preserve"> </w:t>
      </w:r>
      <w:r>
        <w:rPr>
          <w:iCs/>
          <w:i/>
        </w:rPr>
        <w:t xml:space="preserve">Science</w:t>
      </w:r>
      <w:r>
        <w:t xml:space="preserve">. 2010;330(6009):1359–1364.</w:t>
      </w:r>
      <w:r>
        <w:t xml:space="preserve"> </w:t>
      </w:r>
      <w:hyperlink r:id="rId3402">
        <w:r>
          <w:rPr>
            <w:rStyle w:val="Hyperlink"/>
          </w:rPr>
          <w:t xml:space="preserve">https://doi.org/10.1126/science.1194140</w:t>
        </w:r>
      </w:hyperlink>
      <w:r>
        <w:t xml:space="preserve">（研究类型：不同识字经验成人的功能成像比较）</w:t>
      </w:r>
    </w:p>
    <w:p>
      <w:pPr>
        <w:pStyle w:val="ReferenceEntry"/>
      </w:pPr>
      <w:bookmarkStart w:id="3403" w:name="ref-405"/>
      <w:r>
        <w:t xml:space="preserve">[405]</w:t>
      </w:r>
      <w:bookmarkEnd w:id="3403"/>
      <w:r>
        <w:t xml:space="preserve"> Perfetti CA, Liu Y, Tan LH. The lexical constituency model: some implications of research on Chinese for general theories of reading.</w:t>
      </w:r>
      <w:r>
        <w:t xml:space="preserve"> </w:t>
      </w:r>
      <w:r>
        <w:rPr>
          <w:iCs/>
          <w:i/>
        </w:rPr>
        <w:t xml:space="preserve">Psychological Review</w:t>
      </w:r>
      <w:r>
        <w:t xml:space="preserve">. 2005;112(1):43–59.</w:t>
      </w:r>
      <w:r>
        <w:t xml:space="preserve"> </w:t>
      </w:r>
      <w:hyperlink r:id="rId3404">
        <w:r>
          <w:rPr>
            <w:rStyle w:val="Hyperlink"/>
          </w:rPr>
          <w:t xml:space="preserve">https://doi.org/10.1037/0033-295X.112.1.43</w:t>
        </w:r>
      </w:hyperlink>
      <w:r>
        <w:t xml:space="preserve">（研究类型：计算模型与理论）</w:t>
      </w:r>
    </w:p>
    <w:p>
      <w:pPr>
        <w:pStyle w:val="ReferenceEntry"/>
      </w:pPr>
      <w:bookmarkStart w:id="3405" w:name="ref-406"/>
      <w:r>
        <w:t xml:space="preserve">[406]</w:t>
      </w:r>
      <w:bookmarkEnd w:id="3405"/>
      <w:r>
        <w:t xml:space="preserve"> Share DL. Phonological recoding and self-teaching: sine qua non of reading acquisition.</w:t>
      </w:r>
      <w:r>
        <w:t xml:space="preserve"> </w:t>
      </w:r>
      <w:r>
        <w:rPr>
          <w:iCs/>
          <w:i/>
        </w:rPr>
        <w:t xml:space="preserve">Cognition</w:t>
      </w:r>
      <w:r>
        <w:t xml:space="preserve">. 1995;55(2):151–218.</w:t>
      </w:r>
      <w:r>
        <w:t xml:space="preserve"> </w:t>
      </w:r>
      <w:hyperlink r:id="rId3406">
        <w:r>
          <w:rPr>
            <w:rStyle w:val="Hyperlink"/>
          </w:rPr>
          <w:t xml:space="preserve">https://doi.org/10.1016/0010-0277(94)00645-2</w:t>
        </w:r>
      </w:hyperlink>
      <w:r>
        <w:t xml:space="preserve">（研究类型：理论与证据综述）</w:t>
      </w:r>
    </w:p>
    <w:p>
      <w:pPr>
        <w:pStyle w:val="ReferenceEntry"/>
      </w:pPr>
      <w:bookmarkStart w:id="3407" w:name="ref-407"/>
      <w:r>
        <w:t xml:space="preserve">[407]</w:t>
      </w:r>
      <w:bookmarkEnd w:id="3407"/>
      <w:r>
        <w:t xml:space="preserve"> Ziegler JC, Goswami U. Reading acquisition, developmental dyslexia, and skilled reading across languages: a psycholinguistic grain size theory.</w:t>
      </w:r>
      <w:r>
        <w:t xml:space="preserve"> </w:t>
      </w:r>
      <w:r>
        <w:rPr>
          <w:iCs/>
          <w:i/>
        </w:rPr>
        <w:t xml:space="preserve">Psychological Bulletin</w:t>
      </w:r>
      <w:r>
        <w:t xml:space="preserve">. 2005;131(1):3–29.</w:t>
      </w:r>
      <w:r>
        <w:t xml:space="preserve"> </w:t>
      </w:r>
      <w:hyperlink r:id="rId3408">
        <w:r>
          <w:rPr>
            <w:rStyle w:val="Hyperlink"/>
          </w:rPr>
          <w:t xml:space="preserve">https://doi.org/10.1037/0033-2909.131.1.3</w:t>
        </w:r>
      </w:hyperlink>
      <w:r>
        <w:t xml:space="preserve">（研究类型：跨语言理论综述）</w:t>
      </w:r>
    </w:p>
    <w:p>
      <w:pPr>
        <w:pStyle w:val="ReferenceEntry"/>
      </w:pPr>
      <w:bookmarkStart w:id="3409" w:name="ref-408"/>
      <w:r>
        <w:t xml:space="preserve">[408]</w:t>
      </w:r>
      <w:bookmarkEnd w:id="3409"/>
      <w:r>
        <w:t xml:space="preserve"> Coltheart M, Rastle K, Perry C, Langdon R, Ziegler J. DRC: a dual route cascaded model of visual word recognition and reading aloud.</w:t>
      </w:r>
      <w:r>
        <w:t xml:space="preserve"> </w:t>
      </w:r>
      <w:r>
        <w:rPr>
          <w:iCs/>
          <w:i/>
        </w:rPr>
        <w:t xml:space="preserve">Psychological Review</w:t>
      </w:r>
      <w:r>
        <w:t xml:space="preserve">. 2001;108(1):204–256.</w:t>
      </w:r>
      <w:r>
        <w:t xml:space="preserve"> </w:t>
      </w:r>
      <w:hyperlink r:id="rId3410">
        <w:r>
          <w:rPr>
            <w:rStyle w:val="Hyperlink"/>
          </w:rPr>
          <w:t xml:space="preserve">https://doi.org/10.1037/0033-295X.108.1.204</w:t>
        </w:r>
      </w:hyperlink>
      <w:r>
        <w:t xml:space="preserve">（研究类型：计算模型）</w:t>
      </w:r>
    </w:p>
    <w:p>
      <w:pPr>
        <w:pStyle w:val="ReferenceEntry"/>
      </w:pPr>
      <w:bookmarkStart w:id="3411" w:name="ref-409"/>
      <w:r>
        <w:t xml:space="preserve">[409]</w:t>
      </w:r>
      <w:bookmarkEnd w:id="3411"/>
      <w:r>
        <w:t xml:space="preserve"> Seidenberg MS, McClelland JL. A distributed, developmental model of word recognition and naming.</w:t>
      </w:r>
      <w:r>
        <w:t xml:space="preserve"> </w:t>
      </w:r>
      <w:r>
        <w:rPr>
          <w:iCs/>
          <w:i/>
        </w:rPr>
        <w:t xml:space="preserve">Psychological Review</w:t>
      </w:r>
      <w:r>
        <w:t xml:space="preserve">. 1989;96(4):523–568.</w:t>
      </w:r>
      <w:r>
        <w:t xml:space="preserve"> </w:t>
      </w:r>
      <w:hyperlink r:id="rId3412">
        <w:r>
          <w:rPr>
            <w:rStyle w:val="Hyperlink"/>
          </w:rPr>
          <w:t xml:space="preserve">https://doi.org/10.1037/0033-295X.96.4.523</w:t>
        </w:r>
      </w:hyperlink>
      <w:r>
        <w:t xml:space="preserve">（研究类型：连接主义计算模型）</w:t>
      </w:r>
    </w:p>
    <w:p>
      <w:pPr>
        <w:pStyle w:val="ReferenceEntry"/>
      </w:pPr>
      <w:bookmarkStart w:id="3413" w:name="ref-410"/>
      <w:r>
        <w:t xml:space="preserve">[410]</w:t>
      </w:r>
      <w:bookmarkEnd w:id="3413"/>
      <w:r>
        <w:t xml:space="preserve"> Shu H, McBride-Chang C, Wu S, Liu H. Understanding Chinese developmental dyslexia: Morphological awareness as a core cognitive construct.</w:t>
      </w:r>
      <w:r>
        <w:t xml:space="preserve"> </w:t>
      </w:r>
      <w:r>
        <w:rPr>
          <w:iCs/>
          <w:i/>
        </w:rPr>
        <w:t xml:space="preserve">Journal of Educational Psychology</w:t>
      </w:r>
      <w:r>
        <w:t xml:space="preserve">. 2006;98(1):122–133.</w:t>
      </w:r>
      <w:r>
        <w:t xml:space="preserve"> </w:t>
      </w:r>
      <w:hyperlink r:id="rId3414">
        <w:r>
          <w:rPr>
            <w:rStyle w:val="Hyperlink"/>
          </w:rPr>
          <w:t xml:space="preserve">https://doi.org/10.1037/0022-0663.98.1.122</w:t>
        </w:r>
      </w:hyperlink>
      <w:r>
        <w:t xml:space="preserve">（研究类型：组间比较与路径分析）</w:t>
      </w:r>
    </w:p>
    <w:p>
      <w:pPr>
        <w:pStyle w:val="ReferenceEntry"/>
      </w:pPr>
      <w:bookmarkStart w:id="3415" w:name="ref-411"/>
      <w:r>
        <w:t xml:space="preserve">[411]</w:t>
      </w:r>
      <w:bookmarkEnd w:id="3415"/>
      <w:r>
        <w:t xml:space="preserve"> Rayner K, Schotter ER, Masson MEJ, Potter MC, Treiman R. So Much to Read, So Little Time: How Do We Read, and Can Speed Reading Help?.</w:t>
      </w:r>
      <w:r>
        <w:t xml:space="preserve"> </w:t>
      </w:r>
      <w:r>
        <w:rPr>
          <w:iCs/>
          <w:i/>
        </w:rPr>
        <w:t xml:space="preserve">Psychological Science in the Public Interest</w:t>
      </w:r>
      <w:r>
        <w:t xml:space="preserve">. 2016;17(1):4–34.</w:t>
      </w:r>
      <w:r>
        <w:t xml:space="preserve"> </w:t>
      </w:r>
      <w:hyperlink r:id="rId3416">
        <w:r>
          <w:rPr>
            <w:rStyle w:val="Hyperlink"/>
          </w:rPr>
          <w:t xml:space="preserve">https://doi.org/10.1177/1529100615623267</w:t>
        </w:r>
      </w:hyperlink>
      <w:r>
        <w:t xml:space="preserve">（研究类型：阅读机制综述）</w:t>
      </w:r>
    </w:p>
    <w:p>
      <w:pPr>
        <w:pStyle w:val="ReferenceEntry"/>
      </w:pPr>
      <w:bookmarkStart w:id="3417" w:name="ref-412"/>
      <w:r>
        <w:t xml:space="preserve">[412]</w:t>
      </w:r>
      <w:bookmarkEnd w:id="3417"/>
      <w:r>
        <w:t xml:space="preserve"> Hoover WA, Gough PB. The simple view of reading.</w:t>
      </w:r>
      <w:r>
        <w:t xml:space="preserve"> </w:t>
      </w:r>
      <w:r>
        <w:rPr>
          <w:iCs/>
          <w:i/>
        </w:rPr>
        <w:t xml:space="preserve">Reading and Writing</w:t>
      </w:r>
      <w:r>
        <w:t xml:space="preserve">. 1990;2(2):127–160.</w:t>
      </w:r>
      <w:r>
        <w:t xml:space="preserve"> </w:t>
      </w:r>
      <w:hyperlink r:id="rId3418">
        <w:r>
          <w:rPr>
            <w:rStyle w:val="Hyperlink"/>
          </w:rPr>
          <w:t xml:space="preserve">https://doi.org/10.1007/BF00401799</w:t>
        </w:r>
      </w:hyperlink>
      <w:r>
        <w:t xml:space="preserve">（研究类型：理论及纵向证据）</w:t>
      </w:r>
    </w:p>
    <w:p>
      <w:pPr>
        <w:pStyle w:val="ReferenceEntry"/>
      </w:pPr>
      <w:bookmarkStart w:id="3419" w:name="ref-413"/>
      <w:r>
        <w:t xml:space="preserve">[413]</w:t>
      </w:r>
      <w:bookmarkEnd w:id="3419"/>
      <w:r>
        <w:t xml:space="preserve"> Nation K. Children’s reading difficulties, language, and reflections on the simple view of reading.</w:t>
      </w:r>
      <w:r>
        <w:t xml:space="preserve"> </w:t>
      </w:r>
      <w:r>
        <w:rPr>
          <w:iCs/>
          <w:i/>
        </w:rPr>
        <w:t xml:space="preserve">Australian Journal of Learning Difficulties</w:t>
      </w:r>
      <w:r>
        <w:t xml:space="preserve">. 2019;24(1):47–73.</w:t>
      </w:r>
      <w:r>
        <w:t xml:space="preserve"> </w:t>
      </w:r>
      <w:hyperlink r:id="rId3420">
        <w:r>
          <w:rPr>
            <w:rStyle w:val="Hyperlink"/>
          </w:rPr>
          <w:t xml:space="preserve">https://doi.org/10.1080/19404158.2019.1609272</w:t>
        </w:r>
      </w:hyperlink>
      <w:r>
        <w:t xml:space="preserve">（研究类型：理论综述）</w:t>
      </w:r>
    </w:p>
    <w:p>
      <w:pPr>
        <w:pStyle w:val="ReferenceEntry"/>
      </w:pPr>
      <w:bookmarkStart w:id="3421" w:name="ref-414"/>
      <w:r>
        <w:t xml:space="preserve">[414]</w:t>
      </w:r>
      <w:bookmarkEnd w:id="3421"/>
      <w:r>
        <w:t xml:space="preserve"> Clarke PJ, Snowling MJ, Truelove E, Hulme C. Ameliorating children’s reading-comprehension difficulties: a randomized controlled trial.</w:t>
      </w:r>
      <w:r>
        <w:t xml:space="preserve"> </w:t>
      </w:r>
      <w:r>
        <w:rPr>
          <w:iCs/>
          <w:i/>
        </w:rPr>
        <w:t xml:space="preserve">Psychological Science</w:t>
      </w:r>
      <w:r>
        <w:t xml:space="preserve">. 2010;21(8):1106–1116.</w:t>
      </w:r>
      <w:r>
        <w:t xml:space="preserve"> </w:t>
      </w:r>
      <w:hyperlink r:id="rId3422">
        <w:r>
          <w:rPr>
            <w:rStyle w:val="Hyperlink"/>
          </w:rPr>
          <w:t xml:space="preserve">https://doi.org/10.1177/0956797610375449</w:t>
        </w:r>
      </w:hyperlink>
      <w:r>
        <w:t xml:space="preserve">（研究类型：随机试验）</w:t>
      </w:r>
    </w:p>
    <w:p>
      <w:pPr>
        <w:pStyle w:val="ReferenceEntry"/>
      </w:pPr>
      <w:bookmarkStart w:id="3423" w:name="ref-415"/>
      <w:r>
        <w:t xml:space="preserve">[415]</w:t>
      </w:r>
      <w:bookmarkEnd w:id="3423"/>
      <w:r>
        <w:t xml:space="preserve"> Ruan Y, Maurer U, McBride C. Effectiveness of Reading Interventions on Literacy Skills for Chinese Children with and Without Dyslexia: a Meta-analysis of Randomized Controlled Trials.</w:t>
      </w:r>
      <w:r>
        <w:t xml:space="preserve"> </w:t>
      </w:r>
      <w:r>
        <w:rPr>
          <w:iCs/>
          <w:i/>
        </w:rPr>
        <w:t xml:space="preserve">Educational Psychology Review</w:t>
      </w:r>
      <w:r>
        <w:t xml:space="preserve">. 2024;36(3):80.</w:t>
      </w:r>
      <w:r>
        <w:t xml:space="preserve"> </w:t>
      </w:r>
      <w:hyperlink r:id="rId3424">
        <w:r>
          <w:rPr>
            <w:rStyle w:val="Hyperlink"/>
          </w:rPr>
          <w:t xml:space="preserve">https://doi.org/10.1007/s10648-024-09915-9</w:t>
        </w:r>
      </w:hyperlink>
      <w:r>
        <w:t xml:space="preserve">（研究类型：随机试验元分析）</w:t>
      </w:r>
    </w:p>
    <w:p>
      <w:pPr>
        <w:pStyle w:val="ReferenceEntry"/>
      </w:pPr>
      <w:bookmarkStart w:id="3425" w:name="ref-416"/>
      <w:r>
        <w:t xml:space="preserve">[416]</w:t>
      </w:r>
      <w:bookmarkEnd w:id="3425"/>
      <w:r>
        <w:t xml:space="preserve"> Shen L, Feng G, Shi L, Wu Y, Cao F. The effectiveness of phonological training and morphological training in Chinese children with reading difficulty.</w:t>
      </w:r>
      <w:r>
        <w:t xml:space="preserve"> </w:t>
      </w:r>
      <w:r>
        <w:rPr>
          <w:iCs/>
          <w:i/>
        </w:rPr>
        <w:t xml:space="preserve">Reading and Writing</w:t>
      </w:r>
      <w:r>
        <w:t xml:space="preserve">. 2025;38(10):2979–3008.</w:t>
      </w:r>
      <w:r>
        <w:t xml:space="preserve"> </w:t>
      </w:r>
      <w:hyperlink r:id="rId3426">
        <w:r>
          <w:rPr>
            <w:rStyle w:val="Hyperlink"/>
          </w:rPr>
          <w:t xml:space="preserve">https://doi.org/10.1007/s11145-024-10623-7</w:t>
        </w:r>
      </w:hyperlink>
      <w:r>
        <w:t xml:space="preserve">（研究类型：随机对照试验）</w:t>
      </w:r>
    </w:p>
    <w:p>
      <w:pPr>
        <w:pStyle w:val="ReferenceEntry"/>
      </w:pPr>
      <w:bookmarkStart w:id="3427" w:name="ref-417"/>
      <w:r>
        <w:t xml:space="preserve">[417]</w:t>
      </w:r>
      <w:bookmarkEnd w:id="3427"/>
      <w:r>
        <w:t xml:space="preserve"> Carroll JM, Holden C, Kirby P, Thompson PA, Snowling MJ, the Dyslexia Delphi Panel. Toward a consensus on dyslexia: findings from a Delphi study.</w:t>
      </w:r>
      <w:r>
        <w:t xml:space="preserve"> </w:t>
      </w:r>
      <w:r>
        <w:rPr>
          <w:iCs/>
          <w:i/>
        </w:rPr>
        <w:t xml:space="preserve">Journal of Child Psychology and Psychiatry</w:t>
      </w:r>
      <w:r>
        <w:t xml:space="preserve">. 2025;66(7):1065–1076.</w:t>
      </w:r>
      <w:r>
        <w:t xml:space="preserve"> </w:t>
      </w:r>
      <w:hyperlink r:id="rId3428">
        <w:r>
          <w:rPr>
            <w:rStyle w:val="Hyperlink"/>
          </w:rPr>
          <w:t xml:space="preserve">https://doi.org/10.1111/jcpp.14123</w:t>
        </w:r>
      </w:hyperlink>
      <w:r>
        <w:t xml:space="preserve">（研究类型：德尔菲共识研究）</w:t>
      </w:r>
    </w:p>
    <w:p>
      <w:pPr>
        <w:pStyle w:val="ReferenceEntry"/>
      </w:pPr>
      <w:bookmarkStart w:id="3429" w:name="ref-418"/>
      <w:r>
        <w:t xml:space="preserve">[418]</w:t>
      </w:r>
      <w:bookmarkEnd w:id="3429"/>
      <w:r>
        <w:t xml:space="preserve"> Holden C, Kirby P, Snowling MJ, Thompson PA, Carroll JM. Towards a Consensus for Dyslexia Practice: Findings of a Delphi Study on Assessment and Identification.</w:t>
      </w:r>
      <w:r>
        <w:t xml:space="preserve"> </w:t>
      </w:r>
      <w:r>
        <w:rPr>
          <w:iCs/>
          <w:i/>
        </w:rPr>
        <w:t xml:space="preserve">Dyslexia</w:t>
      </w:r>
      <w:r>
        <w:t xml:space="preserve">. 2025;31(1):e1800.</w:t>
      </w:r>
      <w:r>
        <w:t xml:space="preserve"> </w:t>
      </w:r>
      <w:hyperlink r:id="rId3430">
        <w:r>
          <w:rPr>
            <w:rStyle w:val="Hyperlink"/>
          </w:rPr>
          <w:t xml:space="preserve">https://doi.org/10.1002/dys.1800</w:t>
        </w:r>
      </w:hyperlink>
      <w:r>
        <w:t xml:space="preserve">（研究类型：德尔菲共识与评估框架）</w:t>
      </w:r>
    </w:p>
    <w:p>
      <w:pPr>
        <w:pStyle w:val="ReferenceEntry"/>
      </w:pPr>
      <w:bookmarkStart w:id="3431" w:name="ref-419"/>
      <w:r>
        <w:t xml:space="preserve">[419]</w:t>
      </w:r>
      <w:bookmarkEnd w:id="3431"/>
      <w:r>
        <w:t xml:space="preserve"> Lehtonen M, Soveri A, Laine A, Järvenpää J, de Bruin A, Antfolk J. Is bilingualism associated with enhanced executive functioning in adults? A meta-analytic review.</w:t>
      </w:r>
      <w:r>
        <w:t xml:space="preserve"> </w:t>
      </w:r>
      <w:r>
        <w:rPr>
          <w:iCs/>
          <w:i/>
        </w:rPr>
        <w:t xml:space="preserve">Psychological Bulletin</w:t>
      </w:r>
      <w:r>
        <w:t xml:space="preserve">. 2018;144(4):394–425.</w:t>
      </w:r>
      <w:r>
        <w:t xml:space="preserve"> </w:t>
      </w:r>
      <w:hyperlink r:id="rId3432">
        <w:r>
          <w:rPr>
            <w:rStyle w:val="Hyperlink"/>
          </w:rPr>
          <w:t xml:space="preserve">https://doi.org/10.1037/bul0000142</w:t>
        </w:r>
      </w:hyperlink>
      <w:r>
        <w:t xml:space="preserve">（研究类型：成人双语执行功能元分析）</w:t>
      </w:r>
    </w:p>
    <w:p>
      <w:pPr>
        <w:pStyle w:val="ReferenceEntry"/>
      </w:pPr>
      <w:bookmarkStart w:id="3433" w:name="ref-420"/>
      <w:r>
        <w:t xml:space="preserve">[420]</w:t>
      </w:r>
      <w:bookmarkEnd w:id="3433"/>
      <w:r>
        <w:t xml:space="preserve"> de Bruin A, Treccani B, Della Sala S. Cognitive advantage in bilingualism: An example of publication bias?.</w:t>
      </w:r>
      <w:r>
        <w:t xml:space="preserve"> </w:t>
      </w:r>
      <w:r>
        <w:rPr>
          <w:iCs/>
          <w:i/>
        </w:rPr>
        <w:t xml:space="preserve">Psychological Science</w:t>
      </w:r>
      <w:r>
        <w:t xml:space="preserve">. 2015;26(1):99–107.</w:t>
      </w:r>
      <w:r>
        <w:t xml:space="preserve"> </w:t>
      </w:r>
      <w:hyperlink r:id="rId3434">
        <w:r>
          <w:rPr>
            <w:rStyle w:val="Hyperlink"/>
          </w:rPr>
          <w:t xml:space="preserve">https://doi.org/10.1177/0956797614557866</w:t>
        </w:r>
      </w:hyperlink>
      <w:r>
        <w:t xml:space="preserve">（研究类型：发表偏倚研究）</w:t>
      </w:r>
    </w:p>
    <w:p>
      <w:pPr>
        <w:pStyle w:val="ReferenceEntry"/>
      </w:pPr>
      <w:bookmarkStart w:id="3435" w:name="ref-421"/>
      <w:r>
        <w:t xml:space="preserve">[421]</w:t>
      </w:r>
      <w:bookmarkEnd w:id="3435"/>
      <w:r>
        <w:t xml:space="preserve"> Hedge C, Powell G, Sumner P. The reliability paradox: Why robust cognitive tasks do not produce reliable individual differences.</w:t>
      </w:r>
      <w:r>
        <w:t xml:space="preserve"> </w:t>
      </w:r>
      <w:r>
        <w:rPr>
          <w:iCs/>
          <w:i/>
        </w:rPr>
        <w:t xml:space="preserve">Behavior Research Methods</w:t>
      </w:r>
      <w:r>
        <w:t xml:space="preserve">. 2018;50(3):1166–1186.</w:t>
      </w:r>
      <w:r>
        <w:t xml:space="preserve"> </w:t>
      </w:r>
      <w:hyperlink r:id="rId3436">
        <w:r>
          <w:rPr>
            <w:rStyle w:val="Hyperlink"/>
          </w:rPr>
          <w:t xml:space="preserve">https://doi.org/10.3758/s13428-017-0935-1</w:t>
        </w:r>
      </w:hyperlink>
      <w:r>
        <w:t xml:space="preserve">（研究类型：三项重测可靠性研究）</w:t>
      </w:r>
    </w:p>
    <w:p>
      <w:pPr>
        <w:pStyle w:val="ReferenceEntry"/>
      </w:pPr>
      <w:bookmarkStart w:id="3437" w:name="ref-422"/>
      <w:r>
        <w:t xml:space="preserve">[422]</w:t>
      </w:r>
      <w:bookmarkEnd w:id="3437"/>
      <w:r>
        <w:t xml:space="preserve"> Amoruso L, Hernandez H, Santamaria-Garcia H, Moguilner S, Legaz A, Prado P, et al. Multilingualism protects against accelerated aging in cross-sectional and longitudinal analyses of 27 European countries.</w:t>
      </w:r>
      <w:r>
        <w:t xml:space="preserve"> </w:t>
      </w:r>
      <w:r>
        <w:rPr>
          <w:iCs/>
          <w:i/>
        </w:rPr>
        <w:t xml:space="preserve">Nature Aging</w:t>
      </w:r>
      <w:r>
        <w:t xml:space="preserve">. 2025;5(11):2340–2354.</w:t>
      </w:r>
      <w:r>
        <w:t xml:space="preserve"> </w:t>
      </w:r>
      <w:hyperlink r:id="rId3438">
        <w:r>
          <w:rPr>
            <w:rStyle w:val="Hyperlink"/>
          </w:rPr>
          <w:t xml:space="preserve">https://doi.org/10.1038/s43587-025-01000-2</w:t>
        </w:r>
      </w:hyperlink>
      <w:r>
        <w:t xml:space="preserve">（研究类型：跨国横断面及纵向观察）</w:t>
      </w:r>
    </w:p>
    <w:p>
      <w:pPr>
        <w:pStyle w:val="ReferenceEntry"/>
      </w:pPr>
      <w:bookmarkStart w:id="3439" w:name="ref-423"/>
      <w:r>
        <w:t xml:space="preserve">[423]</w:t>
      </w:r>
      <w:bookmarkEnd w:id="3439"/>
      <w:r>
        <w:t xml:space="preserve"> DeLuca V, Rothman J, Bialystok E, Pliatsikas C. Redefining bilingualism as a spectrum of experiences that differentially affects brain structure and function.</w:t>
      </w:r>
      <w:r>
        <w:t xml:space="preserve"> </w:t>
      </w:r>
      <w:r>
        <w:rPr>
          <w:iCs/>
          <w:i/>
        </w:rPr>
        <w:t xml:space="preserve">Proceedings of the National Academy of Sciences</w:t>
      </w:r>
      <w:r>
        <w:t xml:space="preserve">. 2019;116(15):7565–7574.</w:t>
      </w:r>
      <w:r>
        <w:t xml:space="preserve"> </w:t>
      </w:r>
      <w:hyperlink r:id="rId3440">
        <w:r>
          <w:rPr>
            <w:rStyle w:val="Hyperlink"/>
          </w:rPr>
          <w:t xml:space="preserve">https://doi.org/10.1073/pnas.1811513116</w:t>
        </w:r>
      </w:hyperlink>
      <w:r>
        <w:t xml:space="preserve">（研究类型：语言经历与神经结构连接观察研究）</w:t>
      </w:r>
    </w:p>
    <w:p>
      <w:pPr>
        <w:pStyle w:val="ReferenceEntry"/>
      </w:pPr>
      <w:bookmarkStart w:id="3441" w:name="ref-424"/>
      <w:r>
        <w:t xml:space="preserve">[424]</w:t>
      </w:r>
      <w:bookmarkEnd w:id="3441"/>
      <w:r>
        <w:t xml:space="preserve"> Green DW, Abutalebi J. Language control in bilinguals: The adaptive control hypothesis.</w:t>
      </w:r>
      <w:r>
        <w:t xml:space="preserve"> </w:t>
      </w:r>
      <w:r>
        <w:rPr>
          <w:iCs/>
          <w:i/>
        </w:rPr>
        <w:t xml:space="preserve">Journal of Cognitive Psychology</w:t>
      </w:r>
      <w:r>
        <w:t xml:space="preserve">. 2013;25(5):515–530.</w:t>
      </w:r>
      <w:r>
        <w:t xml:space="preserve"> </w:t>
      </w:r>
      <w:hyperlink r:id="rId3442">
        <w:r>
          <w:rPr>
            <w:rStyle w:val="Hyperlink"/>
          </w:rPr>
          <w:t xml:space="preserve">https://doi.org/10.1080/20445911.2013.796377</w:t>
        </w:r>
      </w:hyperlink>
      <w:r>
        <w:t xml:space="preserve">（研究类型：理论假说）</w:t>
      </w:r>
    </w:p>
    <w:p>
      <w:pPr>
        <w:pStyle w:val="ReferenceEntry"/>
      </w:pPr>
      <w:bookmarkStart w:id="3443" w:name="ref-425"/>
      <w:r>
        <w:t xml:space="preserve">[425]</w:t>
      </w:r>
      <w:bookmarkEnd w:id="3443"/>
      <w:r>
        <w:t xml:space="preserve"> Nieder A, Dehaene S. Representation of Number in the Brain.</w:t>
      </w:r>
      <w:r>
        <w:t xml:space="preserve"> </w:t>
      </w:r>
      <w:r>
        <w:rPr>
          <w:iCs/>
          <w:i/>
        </w:rPr>
        <w:t xml:space="preserve">Annual Review of Neuroscience</w:t>
      </w:r>
      <w:r>
        <w:t xml:space="preserve">. 2009;32(1):185–208.</w:t>
      </w:r>
      <w:r>
        <w:t xml:space="preserve"> </w:t>
      </w:r>
      <w:hyperlink r:id="rId3444">
        <w:r>
          <w:rPr>
            <w:rStyle w:val="Hyperlink"/>
          </w:rPr>
          <w:t xml:space="preserve">https://doi.org/10.1146/annurev.neuro.051508.135550</w:t>
        </w:r>
      </w:hyperlink>
      <w:r>
        <w:t xml:space="preserve">（研究类型：跨物种神经机制综述）</w:t>
      </w:r>
    </w:p>
    <w:p>
      <w:pPr>
        <w:pStyle w:val="ReferenceEntry"/>
      </w:pPr>
      <w:bookmarkStart w:id="3445" w:name="ref-426"/>
      <w:r>
        <w:t xml:space="preserve">[426]</w:t>
      </w:r>
      <w:bookmarkEnd w:id="3445"/>
      <w:r>
        <w:t xml:space="preserve"> Dehaene S, Piazza M, Pinel P, et al. Three parietal circuits for number processing.</w:t>
      </w:r>
      <w:r>
        <w:t xml:space="preserve"> </w:t>
      </w:r>
      <w:r>
        <w:rPr>
          <w:iCs/>
          <w:i/>
        </w:rPr>
        <w:t xml:space="preserve">Cognitive Neuropsychology</w:t>
      </w:r>
      <w:r>
        <w:t xml:space="preserve">. 2003;20(3-6):487–506.</w:t>
      </w:r>
      <w:r>
        <w:t xml:space="preserve"> </w:t>
      </w:r>
      <w:hyperlink r:id="rId3446">
        <w:r>
          <w:rPr>
            <w:rStyle w:val="Hyperlink"/>
          </w:rPr>
          <w:t xml:space="preserve">https://doi.org/10.1080/02643290244000239</w:t>
        </w:r>
      </w:hyperlink>
      <w:r>
        <w:t xml:space="preserve">（研究类型：成像与神经心理证据综述）</w:t>
      </w:r>
    </w:p>
    <w:p>
      <w:pPr>
        <w:pStyle w:val="ReferenceEntry"/>
      </w:pPr>
      <w:bookmarkStart w:id="3447" w:name="ref-427"/>
      <w:r>
        <w:t xml:space="preserve">[427]</w:t>
      </w:r>
      <w:bookmarkEnd w:id="3447"/>
      <w:r>
        <w:t xml:space="preserve"> Gebuis T, Reynvoet B. The interplay between nonsymbolic number and its continuous visual properties.</w:t>
      </w:r>
      <w:r>
        <w:t xml:space="preserve"> </w:t>
      </w:r>
      <w:r>
        <w:rPr>
          <w:iCs/>
          <w:i/>
        </w:rPr>
        <w:t xml:space="preserve">Journal of Experimental Psychology: General</w:t>
      </w:r>
      <w:r>
        <w:t xml:space="preserve">. 2012;141(4):642–648.</w:t>
      </w:r>
      <w:r>
        <w:t xml:space="preserve"> </w:t>
      </w:r>
      <w:hyperlink r:id="rId3448">
        <w:r>
          <w:rPr>
            <w:rStyle w:val="Hyperlink"/>
          </w:rPr>
          <w:t xml:space="preserve">https://doi.org/10.1037/a0026218</w:t>
        </w:r>
      </w:hyperlink>
      <w:r>
        <w:t xml:space="preserve">（研究类型：视觉数量判断实验）</w:t>
      </w:r>
    </w:p>
    <w:p>
      <w:pPr>
        <w:pStyle w:val="ReferenceEntry"/>
      </w:pPr>
      <w:bookmarkStart w:id="3449" w:name="ref-428"/>
      <w:r>
        <w:t xml:space="preserve">[428]</w:t>
      </w:r>
      <w:bookmarkEnd w:id="3449"/>
      <w:r>
        <w:t xml:space="preserve"> Schneider M, Beeres K, Coban L, Merz S, Susan Schmidt S, Stricker J, et al. Associations of non-symbolic and symbolic numerical magnitude processing with mathematical competence: a meta-analysis.</w:t>
      </w:r>
      <w:r>
        <w:t xml:space="preserve"> </w:t>
      </w:r>
      <w:r>
        <w:rPr>
          <w:iCs/>
          <w:i/>
        </w:rPr>
        <w:t xml:space="preserve">Developmental Science</w:t>
      </w:r>
      <w:r>
        <w:t xml:space="preserve">. 2017;20(3):e12372.</w:t>
      </w:r>
      <w:r>
        <w:t xml:space="preserve"> </w:t>
      </w:r>
      <w:hyperlink r:id="rId3450">
        <w:r>
          <w:rPr>
            <w:rStyle w:val="Hyperlink"/>
          </w:rPr>
          <w:t xml:space="preserve">https://doi.org/10.1111/desc.12372</w:t>
        </w:r>
      </w:hyperlink>
      <w:r>
        <w:t xml:space="preserve">（研究类型：元分析）</w:t>
      </w:r>
    </w:p>
    <w:p>
      <w:pPr>
        <w:pStyle w:val="ReferenceEntry"/>
      </w:pPr>
      <w:bookmarkStart w:id="3451" w:name="ref-429"/>
      <w:r>
        <w:t xml:space="preserve">[429]</w:t>
      </w:r>
      <w:bookmarkEnd w:id="3451"/>
      <w:r>
        <w:t xml:space="preserve"> Sarnecka BW, Carey S. How counting represents number: what children must learn and when they learn it.</w:t>
      </w:r>
      <w:r>
        <w:t xml:space="preserve"> </w:t>
      </w:r>
      <w:r>
        <w:rPr>
          <w:iCs/>
          <w:i/>
        </w:rPr>
        <w:t xml:space="preserve">Cognition</w:t>
      </w:r>
      <w:r>
        <w:t xml:space="preserve">. 2008;108(3):662–674.</w:t>
      </w:r>
      <w:r>
        <w:t xml:space="preserve"> </w:t>
      </w:r>
      <w:hyperlink r:id="rId3452">
        <w:r>
          <w:rPr>
            <w:rStyle w:val="Hyperlink"/>
          </w:rPr>
          <w:t xml:space="preserve">https://doi.org/10.1016/j.cognition.2008.05.007</w:t>
        </w:r>
      </w:hyperlink>
      <w:r>
        <w:t xml:space="preserve">（研究类型：儿童数概念实验）</w:t>
      </w:r>
    </w:p>
    <w:p>
      <w:pPr>
        <w:pStyle w:val="ReferenceEntry"/>
      </w:pPr>
      <w:bookmarkStart w:id="3453" w:name="ref-430"/>
      <w:r>
        <w:t xml:space="preserve">[430]</w:t>
      </w:r>
      <w:bookmarkEnd w:id="3453"/>
      <w:r>
        <w:t xml:space="preserve"> Siegler RS, Opfer JE. The development of numerical estimation: evidence for multiple representations of numerical quantity.</w:t>
      </w:r>
      <w:r>
        <w:t xml:space="preserve"> </w:t>
      </w:r>
      <w:r>
        <w:rPr>
          <w:iCs/>
          <w:i/>
        </w:rPr>
        <w:t xml:space="preserve">Psychological Science</w:t>
      </w:r>
      <w:r>
        <w:t xml:space="preserve">. 2003;14(3):237–250.</w:t>
      </w:r>
      <w:r>
        <w:t xml:space="preserve"> </w:t>
      </w:r>
      <w:hyperlink r:id="rId3454">
        <w:r>
          <w:rPr>
            <w:rStyle w:val="Hyperlink"/>
          </w:rPr>
          <w:t xml:space="preserve">https://doi.org/10.1111/1467-9280.02438</w:t>
        </w:r>
      </w:hyperlink>
      <w:r>
        <w:t xml:space="preserve">（研究类型：儿童与成人数值估计实验）</w:t>
      </w:r>
    </w:p>
    <w:p>
      <w:pPr>
        <w:pStyle w:val="ReferenceEntry"/>
      </w:pPr>
      <w:bookmarkStart w:id="3455" w:name="ref-431"/>
      <w:r>
        <w:t xml:space="preserve">[431]</w:t>
      </w:r>
      <w:bookmarkEnd w:id="3455"/>
      <w:r>
        <w:t xml:space="preserve"> Barth HC, Paladino AM. The development of numerical estimation: evidence against a representational shift.</w:t>
      </w:r>
      <w:r>
        <w:t xml:space="preserve"> </w:t>
      </w:r>
      <w:r>
        <w:rPr>
          <w:iCs/>
          <w:i/>
        </w:rPr>
        <w:t xml:space="preserve">Developmental Science</w:t>
      </w:r>
      <w:r>
        <w:t xml:space="preserve">. 2011;14(1):125–135.</w:t>
      </w:r>
      <w:r>
        <w:t xml:space="preserve"> </w:t>
      </w:r>
      <w:hyperlink r:id="rId3456">
        <w:r>
          <w:rPr>
            <w:rStyle w:val="Hyperlink"/>
          </w:rPr>
          <w:t xml:space="preserve">https://doi.org/10.1111/j.1467-7687.2010.00962.x</w:t>
        </w:r>
      </w:hyperlink>
      <w:r>
        <w:t xml:space="preserve">（研究类型：数线估计模型与实验）</w:t>
      </w:r>
    </w:p>
    <w:p>
      <w:pPr>
        <w:pStyle w:val="ReferenceEntry"/>
      </w:pPr>
      <w:bookmarkStart w:id="3457" w:name="ref-432"/>
      <w:r>
        <w:t xml:space="preserve">[432]</w:t>
      </w:r>
      <w:bookmarkEnd w:id="3457"/>
      <w:r>
        <w:t xml:space="preserve"> Ramani GB, Siegler RS. Promoting Broad and Stable Improvements in Low-Income Children’s Numerical Knowledge Through Playing Number Board Games.</w:t>
      </w:r>
      <w:r>
        <w:t xml:space="preserve"> </w:t>
      </w:r>
      <w:r>
        <w:rPr>
          <w:iCs/>
          <w:i/>
        </w:rPr>
        <w:t xml:space="preserve">Child Development</w:t>
      </w:r>
      <w:r>
        <w:t xml:space="preserve">. 2008;79(2):375–394.</w:t>
      </w:r>
      <w:r>
        <w:t xml:space="preserve"> </w:t>
      </w:r>
      <w:hyperlink r:id="rId3458">
        <w:r>
          <w:rPr>
            <w:rStyle w:val="Hyperlink"/>
          </w:rPr>
          <w:t xml:space="preserve">https://doi.org/10.1111/j.1467-8624.2007.01131.x</w:t>
        </w:r>
      </w:hyperlink>
      <w:r>
        <w:t xml:space="preserve">（研究类型：数字棋盘教学实验）</w:t>
      </w:r>
    </w:p>
    <w:p>
      <w:pPr>
        <w:pStyle w:val="ReferenceEntry"/>
      </w:pPr>
      <w:bookmarkStart w:id="3459" w:name="ref-433"/>
      <w:r>
        <w:t xml:space="preserve">[433]</w:t>
      </w:r>
      <w:bookmarkEnd w:id="3459"/>
      <w:r>
        <w:t xml:space="preserve"> Rittle-Johnson B, Schneider M, Star JR. Not a One-Way Street: Bidirectional Relations Between Procedural and Conceptual Knowledge of Mathematics.</w:t>
      </w:r>
      <w:r>
        <w:t xml:space="preserve"> </w:t>
      </w:r>
      <w:r>
        <w:rPr>
          <w:iCs/>
          <w:i/>
        </w:rPr>
        <w:t xml:space="preserve">Educational Psychology Review</w:t>
      </w:r>
      <w:r>
        <w:t xml:space="preserve">. 2015;27(4):587–597.</w:t>
      </w:r>
      <w:r>
        <w:t xml:space="preserve"> </w:t>
      </w:r>
      <w:hyperlink r:id="rId3460">
        <w:r>
          <w:rPr>
            <w:rStyle w:val="Hyperlink"/>
          </w:rPr>
          <w:t xml:space="preserve">https://doi.org/10.1007/s10648-015-9302-x</w:t>
        </w:r>
      </w:hyperlink>
      <w:r>
        <w:t xml:space="preserve">（研究类型：证据综述）</w:t>
      </w:r>
    </w:p>
    <w:p>
      <w:pPr>
        <w:pStyle w:val="ReferenceEntry"/>
      </w:pPr>
      <w:bookmarkStart w:id="3461" w:name="ref-434"/>
      <w:r>
        <w:t xml:space="preserve">[434]</w:t>
      </w:r>
      <w:bookmarkEnd w:id="3461"/>
      <w:r>
        <w:t xml:space="preserve"> Rittle-Johnson B, Star JR. Does comparing solution methods facilitate conceptual and procedural knowledge? An experimental study on learning to solve equations.</w:t>
      </w:r>
      <w:r>
        <w:t xml:space="preserve"> </w:t>
      </w:r>
      <w:r>
        <w:rPr>
          <w:iCs/>
          <w:i/>
        </w:rPr>
        <w:t xml:space="preserve">Journal of Educational Psychology</w:t>
      </w:r>
      <w:r>
        <w:t xml:space="preserve">. 2007;99(3):561–574.</w:t>
      </w:r>
      <w:r>
        <w:t xml:space="preserve"> </w:t>
      </w:r>
      <w:hyperlink r:id="rId3462">
        <w:r>
          <w:rPr>
            <w:rStyle w:val="Hyperlink"/>
          </w:rPr>
          <w:t xml:space="preserve">https://doi.org/10.1037/0022-0663.99.3.561</w:t>
        </w:r>
      </w:hyperlink>
      <w:r>
        <w:t xml:space="preserve">（研究类型：课堂实验）</w:t>
      </w:r>
    </w:p>
    <w:p>
      <w:pPr>
        <w:pStyle w:val="ReferenceEntry"/>
      </w:pPr>
      <w:bookmarkStart w:id="3463" w:name="ref-435"/>
      <w:r>
        <w:t xml:space="preserve">[435]</w:t>
      </w:r>
      <w:bookmarkEnd w:id="3463"/>
      <w:r>
        <w:t xml:space="preserve"> Siegler RS, Duncan GJ, Davis-Kean PE, Duckworth K, Claessens A, Engel M, et al. Early Predictors of High School Mathematics Achievement.</w:t>
      </w:r>
      <w:r>
        <w:t xml:space="preserve"> </w:t>
      </w:r>
      <w:r>
        <w:rPr>
          <w:iCs/>
          <w:i/>
        </w:rPr>
        <w:t xml:space="preserve">Psychological Science</w:t>
      </w:r>
      <w:r>
        <w:t xml:space="preserve">. 2012;23(7):691–697.</w:t>
      </w:r>
      <w:r>
        <w:t xml:space="preserve"> </w:t>
      </w:r>
      <w:hyperlink r:id="rId3464">
        <w:r>
          <w:rPr>
            <w:rStyle w:val="Hyperlink"/>
          </w:rPr>
          <w:t xml:space="preserve">https://doi.org/10.1177/0956797612440101</w:t>
        </w:r>
      </w:hyperlink>
      <w:r>
        <w:t xml:space="preserve">（研究类型：纵向数据分析）</w:t>
      </w:r>
    </w:p>
    <w:p>
      <w:pPr>
        <w:pStyle w:val="ReferenceEntry"/>
      </w:pPr>
      <w:bookmarkStart w:id="3465" w:name="ref-436"/>
      <w:r>
        <w:t xml:space="preserve">[436]</w:t>
      </w:r>
      <w:bookmarkEnd w:id="3465"/>
      <w:r>
        <w:t xml:space="preserve"> Siegler RS, Thompson CA, Schneider M. An integrated theory of whole number and fractions development.</w:t>
      </w:r>
      <w:r>
        <w:t xml:space="preserve"> </w:t>
      </w:r>
      <w:r>
        <w:rPr>
          <w:iCs/>
          <w:i/>
        </w:rPr>
        <w:t xml:space="preserve">Cognitive Psychology</w:t>
      </w:r>
      <w:r>
        <w:t xml:space="preserve">. 2011;62(4):273–296.</w:t>
      </w:r>
      <w:r>
        <w:t xml:space="preserve"> </w:t>
      </w:r>
      <w:hyperlink r:id="rId3466">
        <w:r>
          <w:rPr>
            <w:rStyle w:val="Hyperlink"/>
          </w:rPr>
          <w:t xml:space="preserve">https://doi.org/10.1016/j.cogpsych.2011.03.001</w:t>
        </w:r>
      </w:hyperlink>
      <w:r>
        <w:t xml:space="preserve">（研究类型：理论与行为研究）</w:t>
      </w:r>
    </w:p>
    <w:p>
      <w:pPr>
        <w:pStyle w:val="ReferenceEntry"/>
      </w:pPr>
      <w:bookmarkStart w:id="3467" w:name="ref-437"/>
      <w:r>
        <w:t xml:space="preserve">[437]</w:t>
      </w:r>
      <w:bookmarkEnd w:id="3467"/>
      <w:r>
        <w:t xml:space="preserve"> Haberstroh S, Schulte-Körne G. The Diagnosis and Treatment of Dyscalculia.</w:t>
      </w:r>
      <w:r>
        <w:t xml:space="preserve"> </w:t>
      </w:r>
      <w:r>
        <w:rPr>
          <w:iCs/>
          <w:i/>
        </w:rPr>
        <w:t xml:space="preserve">Deutsches Ärzteblatt international</w:t>
      </w:r>
      <w:r>
        <w:t xml:space="preserve">. 2019.</w:t>
      </w:r>
      <w:r>
        <w:t xml:space="preserve"> </w:t>
      </w:r>
      <w:hyperlink r:id="rId3468">
        <w:r>
          <w:rPr>
            <w:rStyle w:val="Hyperlink"/>
          </w:rPr>
          <w:t xml:space="preserve">https://doi.org/10.3238/arztebl.2019.0107</w:t>
        </w:r>
      </w:hyperlink>
      <w:r>
        <w:t xml:space="preserve">（研究类型：系统检索及指南证据综述）</w:t>
      </w:r>
    </w:p>
    <w:p>
      <w:pPr>
        <w:pStyle w:val="ReferenceEntry"/>
      </w:pPr>
      <w:bookmarkStart w:id="3469" w:name="ref-438"/>
      <w:r>
        <w:t xml:space="preserve">[438]</w:t>
      </w:r>
      <w:bookmarkEnd w:id="3469"/>
      <w:r>
        <w:t xml:space="preserve"> Barroso C, Ganley CM, McGraw AL, Geer EA, Hart SA, Daucourt MC. A meta-analysis of the relation between math anxiety and math achievement.</w:t>
      </w:r>
      <w:r>
        <w:t xml:space="preserve"> </w:t>
      </w:r>
      <w:r>
        <w:rPr>
          <w:iCs/>
          <w:i/>
        </w:rPr>
        <w:t xml:space="preserve">Psychological Bulletin</w:t>
      </w:r>
      <w:r>
        <w:t xml:space="preserve">. 2021;147(2):134–168.</w:t>
      </w:r>
      <w:r>
        <w:t xml:space="preserve"> </w:t>
      </w:r>
      <w:hyperlink r:id="rId3470">
        <w:r>
          <w:rPr>
            <w:rStyle w:val="Hyperlink"/>
          </w:rPr>
          <w:t xml:space="preserve">https://doi.org/10.1037/bul0000307</w:t>
        </w:r>
      </w:hyperlink>
      <w:r>
        <w:t xml:space="preserve">（研究类型：元分析）</w:t>
      </w:r>
    </w:p>
    <w:p>
      <w:pPr>
        <w:pStyle w:val="ReferenceEntry"/>
      </w:pPr>
      <w:bookmarkStart w:id="3471" w:name="ref-439"/>
      <w:r>
        <w:t xml:space="preserve">[439]</w:t>
      </w:r>
      <w:bookmarkEnd w:id="3471"/>
      <w:r>
        <w:t xml:space="preserve"> Qiu K, Chen EH, Wan S, Bailey DH. A multilevel meta-analysis on the causal effect of approximate number system training on symbolic math performance.</w:t>
      </w:r>
      <w:r>
        <w:t xml:space="preserve"> </w:t>
      </w:r>
      <w:r>
        <w:rPr>
          <w:iCs/>
          <w:i/>
        </w:rPr>
        <w:t xml:space="preserve">Journal of Experimental Psychology: Learning, Memory, and Cognition</w:t>
      </w:r>
      <w:r>
        <w:t xml:space="preserve">. 2021;47(11):1820–1835.</w:t>
      </w:r>
      <w:r>
        <w:t xml:space="preserve"> </w:t>
      </w:r>
      <w:hyperlink r:id="rId3472">
        <w:r>
          <w:rPr>
            <w:rStyle w:val="Hyperlink"/>
          </w:rPr>
          <w:t xml:space="preserve">https://doi.org/10.1037/xlm0001087</w:t>
        </w:r>
      </w:hyperlink>
      <w:r>
        <w:t xml:space="preserve">（研究类型：多层元分析）</w:t>
      </w:r>
    </w:p>
    <w:p>
      <w:pPr>
        <w:pStyle w:val="ReferenceEntry"/>
      </w:pPr>
      <w:bookmarkStart w:id="3473" w:name="ref-440"/>
      <w:r>
        <w:t xml:space="preserve">[440]</w:t>
      </w:r>
      <w:bookmarkEnd w:id="3473"/>
      <w:r>
        <w:t xml:space="preserve"> Zhu J, Liu Q, Zhang W. Effect of approximate system training on mathematical ability.</w:t>
      </w:r>
      <w:r>
        <w:t xml:space="preserve"> </w:t>
      </w:r>
      <w:r>
        <w:rPr>
          <w:iCs/>
          <w:i/>
        </w:rPr>
        <w:t xml:space="preserve">Cogent Psychology</w:t>
      </w:r>
      <w:r>
        <w:t xml:space="preserve">. 2025;12(1):2496026.</w:t>
      </w:r>
      <w:r>
        <w:t xml:space="preserve"> </w:t>
      </w:r>
      <w:hyperlink r:id="rId3474">
        <w:r>
          <w:rPr>
            <w:rStyle w:val="Hyperlink"/>
          </w:rPr>
          <w:t xml:space="preserve">https://doi.org/10.1080/23311908.2025.2496026</w:t>
        </w:r>
      </w:hyperlink>
      <w:r>
        <w:t xml:space="preserve">（研究类型：随机对照实验）</w:t>
      </w:r>
    </w:p>
    <w:p>
      <w:pPr>
        <w:pStyle w:val="ReferenceEntry"/>
      </w:pPr>
      <w:bookmarkStart w:id="3475" w:name="ref-441"/>
      <w:r>
        <w:t xml:space="preserve">[441]</w:t>
      </w:r>
      <w:bookmarkEnd w:id="3475"/>
      <w:r>
        <w:t xml:space="preserve"> Reilly J, Shain C, Borghesani V, Kuhnke P, Vigliocco G, Peelle JE, et al. What we mean when we say semantic: Toward a multidisciplinary semantic glossary.</w:t>
      </w:r>
      <w:r>
        <w:t xml:space="preserve"> </w:t>
      </w:r>
      <w:r>
        <w:rPr>
          <w:iCs/>
          <w:i/>
        </w:rPr>
        <w:t xml:space="preserve">Psychonomic Bulletin &amp; Review</w:t>
      </w:r>
      <w:r>
        <w:t xml:space="preserve">. 2025;32(1):243–280.</w:t>
      </w:r>
      <w:r>
        <w:t xml:space="preserve"> </w:t>
      </w:r>
      <w:hyperlink r:id="rId3476">
        <w:r>
          <w:rPr>
            <w:rStyle w:val="Hyperlink"/>
          </w:rPr>
          <w:t xml:space="preserve">https://doi.org/10.3758/s13423-024-02556-7</w:t>
        </w:r>
      </w:hyperlink>
      <w:r>
        <w:t xml:space="preserve">（研究类型：跨学科术语与共识研究）</w:t>
      </w:r>
    </w:p>
    <w:p>
      <w:pPr>
        <w:pStyle w:val="ReferenceEntry"/>
      </w:pPr>
      <w:bookmarkStart w:id="3477" w:name="ref-442"/>
      <w:r>
        <w:t xml:space="preserve">[442]</w:t>
      </w:r>
      <w:bookmarkEnd w:id="3477"/>
      <w:r>
        <w:t xml:space="preserve"> Rosch E, Mervis CB. Family resemblances: Studies in the internal structure of categories.</w:t>
      </w:r>
      <w:r>
        <w:t xml:space="preserve"> </w:t>
      </w:r>
      <w:r>
        <w:rPr>
          <w:iCs/>
          <w:i/>
        </w:rPr>
        <w:t xml:space="preserve">Cognitive Psychology</w:t>
      </w:r>
      <w:r>
        <w:t xml:space="preserve">. 1975;7(4):573–605.</w:t>
      </w:r>
      <w:r>
        <w:t xml:space="preserve"> </w:t>
      </w:r>
      <w:hyperlink r:id="rId3478">
        <w:r>
          <w:rPr>
            <w:rStyle w:val="Hyperlink"/>
          </w:rPr>
          <w:t xml:space="preserve">https://doi.org/10.1016/0010-0285(75)90024-9</w:t>
        </w:r>
      </w:hyperlink>
      <w:r>
        <w:t xml:space="preserve">（研究类型：系列分类实验）</w:t>
      </w:r>
    </w:p>
    <w:p>
      <w:pPr>
        <w:pStyle w:val="ReferenceEntry"/>
      </w:pPr>
      <w:bookmarkStart w:id="3479" w:name="ref-443"/>
      <w:r>
        <w:t xml:space="preserve">[443]</w:t>
      </w:r>
      <w:bookmarkEnd w:id="3479"/>
      <w:r>
        <w:t xml:space="preserve"> Nosofsky RM. Attention, similarity, and the identification-categorization relationship.</w:t>
      </w:r>
      <w:r>
        <w:t xml:space="preserve"> </w:t>
      </w:r>
      <w:r>
        <w:rPr>
          <w:iCs/>
          <w:i/>
        </w:rPr>
        <w:t xml:space="preserve">Journal of Experimental Psychology: General</w:t>
      </w:r>
      <w:r>
        <w:t xml:space="preserve">. 1986;115(1):39–57.</w:t>
      </w:r>
      <w:r>
        <w:t xml:space="preserve"> </w:t>
      </w:r>
      <w:hyperlink r:id="rId3480">
        <w:r>
          <w:rPr>
            <w:rStyle w:val="Hyperlink"/>
          </w:rPr>
          <w:t xml:space="preserve">https://doi.org/10.1037/0096-3445.115.1.39</w:t>
        </w:r>
      </w:hyperlink>
      <w:r>
        <w:t xml:space="preserve">（研究类型：计算模型与行为实验）</w:t>
      </w:r>
    </w:p>
    <w:p>
      <w:pPr>
        <w:pStyle w:val="ReferenceEntry"/>
      </w:pPr>
      <w:bookmarkStart w:id="3481" w:name="ref-444"/>
      <w:r>
        <w:t xml:space="preserve">[444]</w:t>
      </w:r>
      <w:bookmarkEnd w:id="3481"/>
      <w:r>
        <w:t xml:space="preserve"> Murphy GL, Medin DL. The role of theories in conceptual coherence.</w:t>
      </w:r>
      <w:r>
        <w:t xml:space="preserve"> </w:t>
      </w:r>
      <w:r>
        <w:rPr>
          <w:iCs/>
          <w:i/>
        </w:rPr>
        <w:t xml:space="preserve">Psychological Review</w:t>
      </w:r>
      <w:r>
        <w:t xml:space="preserve">. 1985;92(3):289–316.</w:t>
      </w:r>
      <w:r>
        <w:t xml:space="preserve"> </w:t>
      </w:r>
      <w:hyperlink r:id="rId3482">
        <w:r>
          <w:rPr>
            <w:rStyle w:val="Hyperlink"/>
          </w:rPr>
          <w:t xml:space="preserve">https://doi.org/10.1037/0033-295X.92.3.289</w:t>
        </w:r>
      </w:hyperlink>
      <w:r>
        <w:t xml:space="preserve">（研究类型：理论与证据分析）</w:t>
      </w:r>
    </w:p>
    <w:p>
      <w:pPr>
        <w:pStyle w:val="ReferenceEntry"/>
      </w:pPr>
      <w:bookmarkStart w:id="3483" w:name="ref-445"/>
      <w:r>
        <w:t xml:space="preserve">[445]</w:t>
      </w:r>
      <w:bookmarkEnd w:id="3483"/>
      <w:r>
        <w:t xml:space="preserve"> Barsalou LW. Ad hoc categories.</w:t>
      </w:r>
      <w:r>
        <w:t xml:space="preserve"> </w:t>
      </w:r>
      <w:r>
        <w:rPr>
          <w:iCs/>
          <w:i/>
        </w:rPr>
        <w:t xml:space="preserve">Memory &amp; Cognition</w:t>
      </w:r>
      <w:r>
        <w:t xml:space="preserve">. 1983;11(3):211–227.</w:t>
      </w:r>
      <w:r>
        <w:t xml:space="preserve"> </w:t>
      </w:r>
      <w:hyperlink r:id="rId3484">
        <w:r>
          <w:rPr>
            <w:rStyle w:val="Hyperlink"/>
          </w:rPr>
          <w:t xml:space="preserve">https://doi.org/10.3758/BF03196968</w:t>
        </w:r>
      </w:hyperlink>
      <w:r>
        <w:t xml:space="preserve">（研究类型：目标导向类别实验）</w:t>
      </w:r>
    </w:p>
    <w:p>
      <w:pPr>
        <w:pStyle w:val="ReferenceEntry"/>
      </w:pPr>
      <w:bookmarkStart w:id="3485" w:name="ref-446"/>
      <w:r>
        <w:t xml:space="preserve">[446]</w:t>
      </w:r>
      <w:bookmarkEnd w:id="3485"/>
      <w:r>
        <w:t xml:space="preserve"> Patterson K, Nestor PJ, Rogers TT. Where do you know what you know? The representation of semantic knowledge in the human brain.</w:t>
      </w:r>
      <w:r>
        <w:t xml:space="preserve"> </w:t>
      </w:r>
      <w:r>
        <w:rPr>
          <w:iCs/>
          <w:i/>
        </w:rPr>
        <w:t xml:space="preserve">Nature Reviews Neuroscience</w:t>
      </w:r>
      <w:r>
        <w:t xml:space="preserve">. 2007;8(12):976–987.</w:t>
      </w:r>
      <w:r>
        <w:t xml:space="preserve"> </w:t>
      </w:r>
      <w:hyperlink r:id="rId3486">
        <w:r>
          <w:rPr>
            <w:rStyle w:val="Hyperlink"/>
          </w:rPr>
          <w:t xml:space="preserve">https://doi.org/10.1038/nrn2277</w:t>
        </w:r>
      </w:hyperlink>
      <w:r>
        <w:t xml:space="preserve">（研究类型：语义记忆神经证据综述）</w:t>
      </w:r>
    </w:p>
    <w:p>
      <w:pPr>
        <w:pStyle w:val="ReferenceEntry"/>
      </w:pPr>
      <w:bookmarkStart w:id="3487" w:name="ref-447"/>
      <w:r>
        <w:t xml:space="preserve">[447]</w:t>
      </w:r>
      <w:bookmarkEnd w:id="3487"/>
      <w:r>
        <w:t xml:space="preserve"> Lambon Ralph MA, Jefferies E, Patterson K, Rogers TT. The neural and computational bases of semantic cognition.</w:t>
      </w:r>
      <w:r>
        <w:t xml:space="preserve"> </w:t>
      </w:r>
      <w:r>
        <w:rPr>
          <w:iCs/>
          <w:i/>
        </w:rPr>
        <w:t xml:space="preserve">Nature Reviews Neuroscience</w:t>
      </w:r>
      <w:r>
        <w:t xml:space="preserve">. 2017;18(1):42–55.</w:t>
      </w:r>
      <w:r>
        <w:t xml:space="preserve"> </w:t>
      </w:r>
      <w:hyperlink r:id="rId3488">
        <w:r>
          <w:rPr>
            <w:rStyle w:val="Hyperlink"/>
          </w:rPr>
          <w:t xml:space="preserve">https://doi.org/10.1038/nrn.2016.150</w:t>
        </w:r>
      </w:hyperlink>
      <w:r>
        <w:t xml:space="preserve">（研究类型：神经与计算理论综述）</w:t>
      </w:r>
    </w:p>
    <w:p>
      <w:pPr>
        <w:pStyle w:val="ReferenceEntry"/>
      </w:pPr>
      <w:bookmarkStart w:id="3489" w:name="ref-448"/>
      <w:r>
        <w:t xml:space="preserve">[448]</w:t>
      </w:r>
      <w:bookmarkEnd w:id="3489"/>
      <w:r>
        <w:t xml:space="preserve"> Hoffman P, McClelland JL, Lambon Ralph MA. Concepts, control, and context: A connectionist account of normal and disordered semantic cognition.</w:t>
      </w:r>
      <w:r>
        <w:t xml:space="preserve"> </w:t>
      </w:r>
      <w:r>
        <w:rPr>
          <w:iCs/>
          <w:i/>
        </w:rPr>
        <w:t xml:space="preserve">Psychological Review</w:t>
      </w:r>
      <w:r>
        <w:t xml:space="preserve">. 2018;125(3):293–328.</w:t>
      </w:r>
      <w:r>
        <w:t xml:space="preserve"> </w:t>
      </w:r>
      <w:hyperlink r:id="rId3490">
        <w:r>
          <w:rPr>
            <w:rStyle w:val="Hyperlink"/>
          </w:rPr>
          <w:t xml:space="preserve">https://doi.org/10.1037/rev0000094</w:t>
        </w:r>
      </w:hyperlink>
      <w:r>
        <w:t xml:space="preserve">（研究类型：连接主义计算模型）</w:t>
      </w:r>
    </w:p>
    <w:p>
      <w:pPr>
        <w:pStyle w:val="ReferenceEntry"/>
      </w:pPr>
      <w:bookmarkStart w:id="3491" w:name="ref-449"/>
      <w:r>
        <w:t xml:space="preserve">[449]</w:t>
      </w:r>
      <w:bookmarkEnd w:id="3491"/>
      <w:r>
        <w:t xml:space="preserve"> Barsalou LW. Grounded cognition.</w:t>
      </w:r>
      <w:r>
        <w:t xml:space="preserve"> </w:t>
      </w:r>
      <w:r>
        <w:rPr>
          <w:iCs/>
          <w:i/>
        </w:rPr>
        <w:t xml:space="preserve">Annual Review of Psychology</w:t>
      </w:r>
      <w:r>
        <w:t xml:space="preserve">. 2008;59(1):617–645.</w:t>
      </w:r>
      <w:r>
        <w:t xml:space="preserve"> </w:t>
      </w:r>
      <w:hyperlink r:id="rId3492">
        <w:r>
          <w:rPr>
            <w:rStyle w:val="Hyperlink"/>
          </w:rPr>
          <w:t xml:space="preserve">https://doi.org/10.1146/annurev.psych.59.103006.093639</w:t>
        </w:r>
      </w:hyperlink>
      <w:r>
        <w:t xml:space="preserve">（研究类型：理论综述）</w:t>
      </w:r>
    </w:p>
    <w:p>
      <w:pPr>
        <w:pStyle w:val="ReferenceEntry"/>
      </w:pPr>
      <w:bookmarkStart w:id="3493" w:name="ref-450"/>
      <w:r>
        <w:t xml:space="preserve">[450]</w:t>
      </w:r>
      <w:bookmarkEnd w:id="3493"/>
      <w:r>
        <w:t xml:space="preserve"> Mahon BZ, Caramazza A. A critical look at the embodied cognition hypothesis and a new proposal for grounding conceptual content.</w:t>
      </w:r>
      <w:r>
        <w:t xml:space="preserve"> </w:t>
      </w:r>
      <w:r>
        <w:rPr>
          <w:iCs/>
          <w:i/>
        </w:rPr>
        <w:t xml:space="preserve">Journal of Physiology-Paris</w:t>
      </w:r>
      <w:r>
        <w:t xml:space="preserve">. 2008;102(1-3):59–70.</w:t>
      </w:r>
      <w:r>
        <w:t xml:space="preserve"> </w:t>
      </w:r>
      <w:hyperlink r:id="rId3494">
        <w:r>
          <w:rPr>
            <w:rStyle w:val="Hyperlink"/>
          </w:rPr>
          <w:t xml:space="preserve">https://doi.org/10.1016/j.jphysparis.2008.03.004</w:t>
        </w:r>
      </w:hyperlink>
      <w:r>
        <w:t xml:space="preserve">（研究类型：批判性理论综述）</w:t>
      </w:r>
    </w:p>
    <w:p>
      <w:pPr>
        <w:pStyle w:val="ReferenceEntry"/>
      </w:pPr>
      <w:bookmarkStart w:id="3495" w:name="ref-451"/>
      <w:r>
        <w:t xml:space="preserve">[451]</w:t>
      </w:r>
      <w:bookmarkEnd w:id="3495"/>
      <w:r>
        <w:t xml:space="preserve"> Kim JS, Aheimer B, Montané Manrara V, Bedny M. Shared understanding of color among sighted and blind adults.</w:t>
      </w:r>
      <w:r>
        <w:t xml:space="preserve"> </w:t>
      </w:r>
      <w:r>
        <w:rPr>
          <w:iCs/>
          <w:i/>
        </w:rPr>
        <w:t xml:space="preserve">Proceedings of the National Academy of Sciences</w:t>
      </w:r>
      <w:r>
        <w:t xml:space="preserve">. 2021;118(33):e2020192118.</w:t>
      </w:r>
      <w:r>
        <w:t xml:space="preserve"> </w:t>
      </w:r>
      <w:hyperlink r:id="rId3496">
        <w:r>
          <w:rPr>
            <w:rStyle w:val="Hyperlink"/>
          </w:rPr>
          <w:t xml:space="preserve">https://doi.org/10.1073/pnas.2020192118</w:t>
        </w:r>
      </w:hyperlink>
      <w:r>
        <w:t xml:space="preserve">（研究类型：盲人与明眼人的概念行为比较）</w:t>
      </w:r>
    </w:p>
    <w:p>
      <w:pPr>
        <w:pStyle w:val="ReferenceEntry"/>
      </w:pPr>
      <w:bookmarkStart w:id="3497" w:name="ref-452"/>
      <w:r>
        <w:t xml:space="preserve">[452]</w:t>
      </w:r>
      <w:bookmarkEnd w:id="3497"/>
      <w:r>
        <w:t xml:space="preserve"> Striem-Amit E, Wang X, Bi Y, Caramazza A. Neural representation of visual concepts in people born blind.</w:t>
      </w:r>
      <w:r>
        <w:t xml:space="preserve"> </w:t>
      </w:r>
      <w:r>
        <w:rPr>
          <w:iCs/>
          <w:i/>
        </w:rPr>
        <w:t xml:space="preserve">Nature Communications</w:t>
      </w:r>
      <w:r>
        <w:t xml:space="preserve">. 2018;9(1):5250.</w:t>
      </w:r>
      <w:r>
        <w:t xml:space="preserve"> </w:t>
      </w:r>
      <w:hyperlink r:id="rId3498">
        <w:r>
          <w:rPr>
            <w:rStyle w:val="Hyperlink"/>
          </w:rPr>
          <w:t xml:space="preserve">https://doi.org/10.1038/s41467-018-07574-3</w:t>
        </w:r>
      </w:hyperlink>
      <w:r>
        <w:t xml:space="preserve">（研究类型：功能成像研究）</w:t>
      </w:r>
    </w:p>
    <w:p>
      <w:pPr>
        <w:pStyle w:val="ReferenceEntry"/>
      </w:pPr>
      <w:bookmarkStart w:id="3499" w:name="ref-453"/>
      <w:r>
        <w:t xml:space="preserve">[453]</w:t>
      </w:r>
      <w:bookmarkEnd w:id="3499"/>
      <w:r>
        <w:t xml:space="preserve"> Wang Z, Akshi, Keil S, Kim J, Bedny M. Constructing Meaning from Language: Visual Knowledge in People Born Blind and in Large Language Models.</w:t>
      </w:r>
      <w:r>
        <w:t xml:space="preserve"> </w:t>
      </w:r>
      <w:r>
        <w:rPr>
          <w:iCs/>
          <w:i/>
        </w:rPr>
        <w:t xml:space="preserve">Annual Review of Linguistics</w:t>
      </w:r>
      <w:r>
        <w:t xml:space="preserve">. 2026;12(1):295–323.</w:t>
      </w:r>
      <w:r>
        <w:t xml:space="preserve"> </w:t>
      </w:r>
      <w:hyperlink r:id="rId3500">
        <w:r>
          <w:rPr>
            <w:rStyle w:val="Hyperlink"/>
          </w:rPr>
          <w:t xml:space="preserve">https://doi.org/10.1146/annurev-linguistics-011724-121432</w:t>
        </w:r>
      </w:hyperlink>
      <w:r>
        <w:t xml:space="preserve">（研究类型：原始学术综述）</w:t>
      </w:r>
    </w:p>
    <w:p>
      <w:pPr>
        <w:pStyle w:val="ReferenceEntry"/>
      </w:pPr>
      <w:bookmarkStart w:id="3501" w:name="ref-454"/>
      <w:r>
        <w:t xml:space="preserve">[454]</w:t>
      </w:r>
      <w:bookmarkEnd w:id="3501"/>
      <w:r>
        <w:t xml:space="preserve"> Tenenbaum JB, Kemp C, Griffiths TL, Goodman ND. How to grow a mind: statistics, structure, and abstraction.</w:t>
      </w:r>
      <w:r>
        <w:t xml:space="preserve"> </w:t>
      </w:r>
      <w:r>
        <w:rPr>
          <w:iCs/>
          <w:i/>
        </w:rPr>
        <w:t xml:space="preserve">Science</w:t>
      </w:r>
      <w:r>
        <w:t xml:space="preserve">. 2011;331(6022):1279–1285.</w:t>
      </w:r>
      <w:r>
        <w:t xml:space="preserve"> </w:t>
      </w:r>
      <w:hyperlink r:id="rId3502">
        <w:r>
          <w:rPr>
            <w:rStyle w:val="Hyperlink"/>
          </w:rPr>
          <w:t xml:space="preserve">https://doi.org/10.1126/science.1192788</w:t>
        </w:r>
      </w:hyperlink>
      <w:r>
        <w:t xml:space="preserve">（研究类型：计算理论综述）</w:t>
      </w:r>
    </w:p>
    <w:p>
      <w:pPr>
        <w:pStyle w:val="ReferenceEntry"/>
      </w:pPr>
      <w:bookmarkStart w:id="3503" w:name="ref-455"/>
      <w:r>
        <w:t xml:space="preserve">[455]</w:t>
      </w:r>
      <w:bookmarkEnd w:id="3503"/>
      <w:r>
        <w:t xml:space="preserve"> Shtulman A, Valcarcel J. Scientific knowledge suppresses but does not supplant earlier intuitions.</w:t>
      </w:r>
      <w:r>
        <w:t xml:space="preserve"> </w:t>
      </w:r>
      <w:r>
        <w:rPr>
          <w:iCs/>
          <w:i/>
        </w:rPr>
        <w:t xml:space="preserve">Cognition</w:t>
      </w:r>
      <w:r>
        <w:t xml:space="preserve">. 2012;124(2):209–215.</w:t>
      </w:r>
      <w:r>
        <w:t xml:space="preserve"> </w:t>
      </w:r>
      <w:hyperlink r:id="rId3504">
        <w:r>
          <w:rPr>
            <w:rStyle w:val="Hyperlink"/>
          </w:rPr>
          <w:t xml:space="preserve">https://doi.org/10.1016/j.cognition.2012.04.005</w:t>
        </w:r>
      </w:hyperlink>
      <w:r>
        <w:t xml:space="preserve">（研究类型：快速科学命题判断实验）</w:t>
      </w:r>
    </w:p>
    <w:p>
      <w:pPr>
        <w:pStyle w:val="ReferenceEntry"/>
      </w:pPr>
      <w:bookmarkStart w:id="3505" w:name="ref-456"/>
      <w:r>
        <w:t xml:space="preserve">[456]</w:t>
      </w:r>
      <w:bookmarkEnd w:id="3505"/>
      <w:r>
        <w:t xml:space="preserve"> Waldmann MR, Hagmayer Y. Seeing versus doing: two modes of accessing causal knowledge.</w:t>
      </w:r>
      <w:r>
        <w:t xml:space="preserve"> </w:t>
      </w:r>
      <w:r>
        <w:rPr>
          <w:iCs/>
          <w:i/>
        </w:rPr>
        <w:t xml:space="preserve">Journal of Experimental Psychology: Learning, Memory, and Cognition</w:t>
      </w:r>
      <w:r>
        <w:t xml:space="preserve">. 2005;31(2):216–227.</w:t>
      </w:r>
      <w:r>
        <w:t xml:space="preserve"> </w:t>
      </w:r>
      <w:hyperlink r:id="rId3506">
        <w:r>
          <w:rPr>
            <w:rStyle w:val="Hyperlink"/>
          </w:rPr>
          <w:t xml:space="preserve">https://doi.org/10.1037/0278-7393.31.2.216</w:t>
        </w:r>
      </w:hyperlink>
      <w:r>
        <w:t xml:space="preserve">（研究类型：四项学习实验）</w:t>
      </w:r>
    </w:p>
    <w:p>
      <w:pPr>
        <w:pStyle w:val="ReferenceEntry"/>
      </w:pPr>
      <w:bookmarkStart w:id="3507" w:name="ref-457"/>
      <w:r>
        <w:t xml:space="preserve">[457]</w:t>
      </w:r>
      <w:bookmarkEnd w:id="3507"/>
      <w:r>
        <w:t xml:space="preserve"> Gopnik A, Glymour C, Sobel DM, Schulz LE, Kushnir T, Danks D. A theory of causal learning in children: causal maps and Bayes nets.</w:t>
      </w:r>
      <w:r>
        <w:t xml:space="preserve"> </w:t>
      </w:r>
      <w:r>
        <w:rPr>
          <w:iCs/>
          <w:i/>
        </w:rPr>
        <w:t xml:space="preserve">Psychological Review</w:t>
      </w:r>
      <w:r>
        <w:t xml:space="preserve">. 2004;111(1):3–32.</w:t>
      </w:r>
      <w:r>
        <w:t xml:space="preserve"> </w:t>
      </w:r>
      <w:hyperlink r:id="rId3508">
        <w:r>
          <w:rPr>
            <w:rStyle w:val="Hyperlink"/>
          </w:rPr>
          <w:t xml:space="preserve">https://doi.org/10.1037/0033-295X.111.1.3</w:t>
        </w:r>
      </w:hyperlink>
      <w:r>
        <w:t xml:space="preserve">（研究类型：发展计算理论）</w:t>
      </w:r>
    </w:p>
    <w:p>
      <w:pPr>
        <w:pStyle w:val="ReferenceEntry"/>
      </w:pPr>
      <w:bookmarkStart w:id="3509" w:name="ref-458"/>
      <w:r>
        <w:t xml:space="preserve">[458]</w:t>
      </w:r>
      <w:bookmarkEnd w:id="3509"/>
      <w:r>
        <w:t xml:space="preserve"> Cheng PW. From Covariation to Causation: A Causal Power Theory.</w:t>
      </w:r>
      <w:r>
        <w:t xml:space="preserve"> </w:t>
      </w:r>
      <w:r>
        <w:rPr>
          <w:iCs/>
          <w:i/>
        </w:rPr>
        <w:t xml:space="preserve">Psychological Review</w:t>
      </w:r>
      <w:r>
        <w:t xml:space="preserve">. 1997;104(2):367–405.</w:t>
      </w:r>
      <w:r>
        <w:t xml:space="preserve"> </w:t>
      </w:r>
      <w:hyperlink r:id="rId3510">
        <w:r>
          <w:rPr>
            <w:rStyle w:val="Hyperlink"/>
          </w:rPr>
          <w:t xml:space="preserve">https://doi.org/10.1037/0033-295X.104.2.367</w:t>
        </w:r>
      </w:hyperlink>
      <w:r>
        <w:t xml:space="preserve">（研究类型：理论与实验综合）</w:t>
      </w:r>
    </w:p>
    <w:p>
      <w:pPr>
        <w:pStyle w:val="ReferenceEntry"/>
      </w:pPr>
      <w:bookmarkStart w:id="3511" w:name="ref-459"/>
      <w:r>
        <w:t xml:space="preserve">[459]</w:t>
      </w:r>
      <w:bookmarkEnd w:id="3511"/>
      <w:r>
        <w:t xml:space="preserve"> Matute H, Blanco F, Yarritu I, Díaz-Lago M, Vadillo MA, Barberia I. Illusions of causality: how they bias our everyday thinking and how they could be reduced.</w:t>
      </w:r>
      <w:r>
        <w:t xml:space="preserve"> </w:t>
      </w:r>
      <w:r>
        <w:rPr>
          <w:iCs/>
          <w:i/>
        </w:rPr>
        <w:t xml:space="preserve">Frontiers in Psychology</w:t>
      </w:r>
      <w:r>
        <w:t xml:space="preserve">. 2015;6.</w:t>
      </w:r>
      <w:r>
        <w:t xml:space="preserve"> </w:t>
      </w:r>
      <w:hyperlink r:id="rId3512">
        <w:r>
          <w:rPr>
            <w:rStyle w:val="Hyperlink"/>
          </w:rPr>
          <w:t xml:space="preserve">https://doi.org/10.3389/fpsyg.2015.00888</w:t>
        </w:r>
      </w:hyperlink>
      <w:r>
        <w:t xml:space="preserve">（研究类型：实验研究综述）</w:t>
      </w:r>
    </w:p>
    <w:p>
      <w:pPr>
        <w:pStyle w:val="ReferenceEntry"/>
      </w:pPr>
      <w:bookmarkStart w:id="3513" w:name="ref-460"/>
      <w:r>
        <w:t xml:space="preserve">[460]</w:t>
      </w:r>
      <w:bookmarkEnd w:id="3513"/>
      <w:r>
        <w:t xml:space="preserve"> Basch S, Wang SH. Causal learning by infants and young children: From computational theories to language practices.</w:t>
      </w:r>
      <w:r>
        <w:t xml:space="preserve"> </w:t>
      </w:r>
      <w:r>
        <w:rPr>
          <w:iCs/>
          <w:i/>
        </w:rPr>
        <w:t xml:space="preserve">WIREs Cognitive Science</w:t>
      </w:r>
      <w:r>
        <w:t xml:space="preserve">. 2024;15(4):e1678.</w:t>
      </w:r>
      <w:r>
        <w:t xml:space="preserve"> </w:t>
      </w:r>
      <w:hyperlink r:id="rId3514">
        <w:r>
          <w:rPr>
            <w:rStyle w:val="Hyperlink"/>
          </w:rPr>
          <w:t xml:space="preserve">https://doi.org/10.1002/wcs.1678</w:t>
        </w:r>
      </w:hyperlink>
      <w:r>
        <w:t xml:space="preserve">（研究类型：发展理论综述）</w:t>
      </w:r>
    </w:p>
    <w:p>
      <w:pPr>
        <w:pStyle w:val="ReferenceEntry"/>
      </w:pPr>
      <w:bookmarkStart w:id="3515" w:name="ref-461"/>
      <w:r>
        <w:t xml:space="preserve">[461]</w:t>
      </w:r>
      <w:bookmarkEnd w:id="3515"/>
      <w:r>
        <w:t xml:space="preserve"> Bonawitz E, Shafto P, Gweon H, Goodman ND, Spelke E, Schulz L. The double-edged sword of pedagogy: Instruction limits spontaneous exploration and discovery.</w:t>
      </w:r>
      <w:r>
        <w:t xml:space="preserve"> </w:t>
      </w:r>
      <w:r>
        <w:rPr>
          <w:iCs/>
          <w:i/>
        </w:rPr>
        <w:t xml:space="preserve">Cognition</w:t>
      </w:r>
      <w:r>
        <w:t xml:space="preserve">. 2011;120(3):322–330.</w:t>
      </w:r>
      <w:r>
        <w:t xml:space="preserve"> </w:t>
      </w:r>
      <w:hyperlink r:id="rId3516">
        <w:r>
          <w:rPr>
            <w:rStyle w:val="Hyperlink"/>
          </w:rPr>
          <w:t xml:space="preserve">https://doi.org/10.1016/j.cognition.2010.10.001</w:t>
        </w:r>
      </w:hyperlink>
      <w:r>
        <w:t xml:space="preserve">（研究类型：学龄前儿童玩具探索实验）</w:t>
      </w:r>
    </w:p>
    <w:p>
      <w:pPr>
        <w:pStyle w:val="ReferenceEntry"/>
      </w:pPr>
      <w:bookmarkStart w:id="3517" w:name="ref-462"/>
      <w:r>
        <w:t xml:space="preserve">[462]</w:t>
      </w:r>
      <w:bookmarkEnd w:id="3517"/>
      <w:r>
        <w:t xml:space="preserve"> Gerstenberg T, Goodman ND, Lagnado DA, Tenenbaum JB. A counterfactual simulation model of causal judgments for physical events.</w:t>
      </w:r>
      <w:r>
        <w:t xml:space="preserve"> </w:t>
      </w:r>
      <w:r>
        <w:rPr>
          <w:iCs/>
          <w:i/>
        </w:rPr>
        <w:t xml:space="preserve">Psychological Review</w:t>
      </w:r>
      <w:r>
        <w:t xml:space="preserve">. 2021;128(5):936–975.</w:t>
      </w:r>
      <w:r>
        <w:t xml:space="preserve"> </w:t>
      </w:r>
      <w:hyperlink r:id="rId3518">
        <w:r>
          <w:rPr>
            <w:rStyle w:val="Hyperlink"/>
          </w:rPr>
          <w:t xml:space="preserve">https://doi.org/10.1037/rev0000281</w:t>
        </w:r>
      </w:hyperlink>
      <w:r>
        <w:t xml:space="preserve">（研究类型：计算模型与物理事件实验）</w:t>
      </w:r>
    </w:p>
    <w:p>
      <w:pPr>
        <w:pStyle w:val="ReferenceEntry"/>
      </w:pPr>
      <w:bookmarkStart w:id="3519" w:name="ref-463"/>
      <w:r>
        <w:t xml:space="preserve">[463]</w:t>
      </w:r>
      <w:bookmarkEnd w:id="3519"/>
      <w:r>
        <w:t xml:space="preserve"> Gentner D. Structure-mapping: A theoretical framework for analogy.</w:t>
      </w:r>
      <w:r>
        <w:t xml:space="preserve"> </w:t>
      </w:r>
      <w:r>
        <w:rPr>
          <w:iCs/>
          <w:i/>
        </w:rPr>
        <w:t xml:space="preserve">Cognitive Science</w:t>
      </w:r>
      <w:r>
        <w:t xml:space="preserve">. 1983;7(2):155–170.</w:t>
      </w:r>
      <w:r>
        <w:t xml:space="preserve"> </w:t>
      </w:r>
      <w:hyperlink r:id="rId3520">
        <w:r>
          <w:rPr>
            <w:rStyle w:val="Hyperlink"/>
          </w:rPr>
          <w:t xml:space="preserve">https://doi.org/10.1207/s15516709cog0702_3</w:t>
        </w:r>
      </w:hyperlink>
      <w:r>
        <w:t xml:space="preserve">（研究类型：类比理论）</w:t>
      </w:r>
    </w:p>
    <w:p>
      <w:pPr>
        <w:pStyle w:val="ReferenceEntry"/>
      </w:pPr>
      <w:bookmarkStart w:id="3521" w:name="ref-464"/>
      <w:r>
        <w:t xml:space="preserve">[464]</w:t>
      </w:r>
      <w:bookmarkEnd w:id="3521"/>
      <w:r>
        <w:t xml:space="preserve"> Gick ML, Holyoak KJ. Analogical problem solving.</w:t>
      </w:r>
      <w:r>
        <w:t xml:space="preserve"> </w:t>
      </w:r>
      <w:r>
        <w:rPr>
          <w:iCs/>
          <w:i/>
        </w:rPr>
        <w:t xml:space="preserve">Cognitive Psychology</w:t>
      </w:r>
      <w:r>
        <w:t xml:space="preserve">. 1980;12(3):306–355.</w:t>
      </w:r>
      <w:r>
        <w:t xml:space="preserve"> </w:t>
      </w:r>
      <w:hyperlink r:id="rId3522">
        <w:r>
          <w:rPr>
            <w:rStyle w:val="Hyperlink"/>
          </w:rPr>
          <w:t xml:space="preserve">https://doi.org/10.1016/0010-0285(80)90013-4</w:t>
        </w:r>
      </w:hyperlink>
      <w:r>
        <w:t xml:space="preserve">（研究类型：系列类比迁移实验）</w:t>
      </w:r>
    </w:p>
    <w:p>
      <w:pPr>
        <w:pStyle w:val="ReferenceEntry"/>
      </w:pPr>
      <w:bookmarkStart w:id="3523" w:name="ref-465"/>
      <w:r>
        <w:t xml:space="preserve">[465]</w:t>
      </w:r>
      <w:bookmarkEnd w:id="3523"/>
      <w:r>
        <w:t xml:space="preserve"> Richland LE, Morrison RG, Holyoak KJ. Children’s development of analogical reasoning: Insights from scene analogy problems.</w:t>
      </w:r>
      <w:r>
        <w:t xml:space="preserve"> </w:t>
      </w:r>
      <w:r>
        <w:rPr>
          <w:iCs/>
          <w:i/>
        </w:rPr>
        <w:t xml:space="preserve">Journal of Experimental Child Psychology</w:t>
      </w:r>
      <w:r>
        <w:t xml:space="preserve">. 2006;94(3):249–273.</w:t>
      </w:r>
      <w:r>
        <w:t xml:space="preserve"> </w:t>
      </w:r>
      <w:hyperlink r:id="rId3524">
        <w:r>
          <w:rPr>
            <w:rStyle w:val="Hyperlink"/>
          </w:rPr>
          <w:t xml:space="preserve">https://doi.org/10.1016/j.jecp.2006.02.002</w:t>
        </w:r>
      </w:hyperlink>
      <w:r>
        <w:t xml:space="preserve">（研究类型：儿童场景类比实验）</w:t>
      </w:r>
    </w:p>
    <w:p>
      <w:pPr>
        <w:pStyle w:val="ReferenceEntry"/>
      </w:pPr>
      <w:bookmarkStart w:id="3525" w:name="ref-466"/>
      <w:r>
        <w:t xml:space="preserve">[466]</w:t>
      </w:r>
      <w:bookmarkEnd w:id="3525"/>
      <w:r>
        <w:t xml:space="preserve"> Gick ML, Holyoak KJ. Schema induction and analogical transfer.</w:t>
      </w:r>
      <w:r>
        <w:t xml:space="preserve"> </w:t>
      </w:r>
      <w:r>
        <w:rPr>
          <w:iCs/>
          <w:i/>
        </w:rPr>
        <w:t xml:space="preserve">Cognitive Psychology</w:t>
      </w:r>
      <w:r>
        <w:t xml:space="preserve">. 1983;15(1):1–38.</w:t>
      </w:r>
      <w:r>
        <w:t xml:space="preserve"> </w:t>
      </w:r>
      <w:hyperlink r:id="rId3526">
        <w:r>
          <w:rPr>
            <w:rStyle w:val="Hyperlink"/>
          </w:rPr>
          <w:t xml:space="preserve">https://doi.org/10.1016/0010-0285(83)90002-6</w:t>
        </w:r>
      </w:hyperlink>
      <w:r>
        <w:t xml:space="preserve">（研究类型：类比与图式归纳实验）</w:t>
      </w:r>
    </w:p>
    <w:p>
      <w:pPr>
        <w:pStyle w:val="ReferenceEntry"/>
      </w:pPr>
      <w:bookmarkStart w:id="3527" w:name="ref-467"/>
      <w:r>
        <w:t xml:space="preserve">[467]</w:t>
      </w:r>
      <w:bookmarkEnd w:id="3527"/>
      <w:r>
        <w:t xml:space="preserve"> Gentner D, Loewenstein J, Thompson L. Learning and Transfer: A General Role for Analogical Encoding.</w:t>
      </w:r>
      <w:r>
        <w:t xml:space="preserve"> </w:t>
      </w:r>
      <w:r>
        <w:rPr>
          <w:iCs/>
          <w:i/>
        </w:rPr>
        <w:t xml:space="preserve">Journal of Educational Psychology</w:t>
      </w:r>
      <w:r>
        <w:t xml:space="preserve">. 2003;95(2):393–408.</w:t>
      </w:r>
      <w:r>
        <w:t xml:space="preserve"> </w:t>
      </w:r>
      <w:hyperlink r:id="rId3528">
        <w:r>
          <w:rPr>
            <w:rStyle w:val="Hyperlink"/>
          </w:rPr>
          <w:t xml:space="preserve">https://doi.org/10.1037/0022-0663.95.2.393</w:t>
        </w:r>
      </w:hyperlink>
      <w:r>
        <w:t xml:space="preserve">（研究类型：三项案例比较实验）</w:t>
      </w:r>
    </w:p>
    <w:p>
      <w:pPr>
        <w:pStyle w:val="ReferenceEntry"/>
      </w:pPr>
      <w:bookmarkStart w:id="3529" w:name="ref-468"/>
      <w:r>
        <w:t xml:space="preserve">[468]</w:t>
      </w:r>
      <w:bookmarkEnd w:id="3529"/>
      <w:r>
        <w:t xml:space="preserve"> Barnett SM, Ceci SJ. When and where do we apply what we learn? A taxonomy for far transfer.</w:t>
      </w:r>
      <w:r>
        <w:t xml:space="preserve"> </w:t>
      </w:r>
      <w:r>
        <w:rPr>
          <w:iCs/>
          <w:i/>
        </w:rPr>
        <w:t xml:space="preserve">Psychological Bulletin</w:t>
      </w:r>
      <w:r>
        <w:t xml:space="preserve">. 2002;128(4):612–637.</w:t>
      </w:r>
      <w:r>
        <w:t xml:space="preserve"> </w:t>
      </w:r>
      <w:hyperlink r:id="rId3530">
        <w:r>
          <w:rPr>
            <w:rStyle w:val="Hyperlink"/>
          </w:rPr>
          <w:t xml:space="preserve">https://doi.org/10.1037/0033-2909.128.4.612</w:t>
        </w:r>
      </w:hyperlink>
      <w:r>
        <w:t xml:space="preserve">（研究类型：迁移分类与综述）</w:t>
      </w:r>
    </w:p>
    <w:p>
      <w:pPr>
        <w:pStyle w:val="ReferenceEntry"/>
      </w:pPr>
      <w:bookmarkStart w:id="3531" w:name="ref-469"/>
      <w:r>
        <w:t xml:space="preserve">[469]</w:t>
      </w:r>
      <w:bookmarkEnd w:id="3531"/>
      <w:r>
        <w:t xml:space="preserve"> Bransford JD, Schwartz DL. Rethinking Transfer: A Simple Proposal With Multiple Implications.</w:t>
      </w:r>
      <w:r>
        <w:t xml:space="preserve"> </w:t>
      </w:r>
      <w:r>
        <w:rPr>
          <w:iCs/>
          <w:i/>
        </w:rPr>
        <w:t xml:space="preserve">Review of Research in Education</w:t>
      </w:r>
      <w:r>
        <w:t xml:space="preserve">. 1999;24(1):61–100.</w:t>
      </w:r>
      <w:r>
        <w:t xml:space="preserve"> </w:t>
      </w:r>
      <w:hyperlink r:id="rId3532">
        <w:r>
          <w:rPr>
            <w:rStyle w:val="Hyperlink"/>
          </w:rPr>
          <w:t xml:space="preserve">https://doi.org/10.3102/0091732X024001061</w:t>
        </w:r>
      </w:hyperlink>
      <w:r>
        <w:t xml:space="preserve">（研究类型：教育理论与证据综述）</w:t>
      </w:r>
    </w:p>
    <w:p>
      <w:pPr>
        <w:pStyle w:val="ReferenceEntry"/>
      </w:pPr>
      <w:bookmarkStart w:id="3533" w:name="ref-470"/>
      <w:r>
        <w:t xml:space="preserve">[470]</w:t>
      </w:r>
      <w:bookmarkEnd w:id="3533"/>
      <w:r>
        <w:t xml:space="preserve"> Sinha T, Kapur M. When Problem Solving Followed by Instruction Works: Evidence for Productive Failure.</w:t>
      </w:r>
      <w:r>
        <w:t xml:space="preserve"> </w:t>
      </w:r>
      <w:r>
        <w:rPr>
          <w:iCs/>
          <w:i/>
        </w:rPr>
        <w:t xml:space="preserve">Review of Educational Research</w:t>
      </w:r>
      <w:r>
        <w:t xml:space="preserve">. 2021;91(5):761–798.</w:t>
      </w:r>
      <w:r>
        <w:t xml:space="preserve"> </w:t>
      </w:r>
      <w:hyperlink r:id="rId3534">
        <w:r>
          <w:rPr>
            <w:rStyle w:val="Hyperlink"/>
          </w:rPr>
          <w:t xml:space="preserve">https://doi.org/10.3102/00346543211019105</w:t>
        </w:r>
      </w:hyperlink>
      <w:r>
        <w:t xml:space="preserve">（研究类型：元分析）</w:t>
      </w:r>
    </w:p>
    <w:p>
      <w:pPr>
        <w:pStyle w:val="ReferenceEntry"/>
      </w:pPr>
      <w:bookmarkStart w:id="3535" w:name="ref-471"/>
      <w:r>
        <w:t xml:space="preserve">[471]</w:t>
      </w:r>
      <w:bookmarkEnd w:id="3535"/>
      <w:r>
        <w:t xml:space="preserve"> Epstein RA, Patai EZ, Julian JB, Spiers HJ. The cognitive map in humans: spatial navigation and beyond.</w:t>
      </w:r>
      <w:r>
        <w:t xml:space="preserve"> </w:t>
      </w:r>
      <w:r>
        <w:rPr>
          <w:iCs/>
          <w:i/>
        </w:rPr>
        <w:t xml:space="preserve">Nature Neuroscience</w:t>
      </w:r>
      <w:r>
        <w:t xml:space="preserve">. 2017;20(11):1504–1513.</w:t>
      </w:r>
      <w:r>
        <w:t xml:space="preserve"> </w:t>
      </w:r>
      <w:hyperlink r:id="rId3536">
        <w:r>
          <w:rPr>
            <w:rStyle w:val="Hyperlink"/>
          </w:rPr>
          <w:t xml:space="preserve">https://doi.org/10.1038/nn.4656</w:t>
        </w:r>
      </w:hyperlink>
      <w:r>
        <w:t xml:space="preserve">（研究类型：人类导航机制综述）</w:t>
      </w:r>
    </w:p>
    <w:p>
      <w:pPr>
        <w:pStyle w:val="ReferenceEntry"/>
      </w:pPr>
      <w:bookmarkStart w:id="3537" w:name="ref-472"/>
      <w:r>
        <w:t xml:space="preserve">[472]</w:t>
      </w:r>
      <w:bookmarkEnd w:id="3537"/>
      <w:r>
        <w:t xml:space="preserve"> Mou W. Representing place locations and orientations in cognitive maps.</w:t>
      </w:r>
      <w:r>
        <w:t xml:space="preserve"> </w:t>
      </w:r>
      <w:r>
        <w:rPr>
          <w:iCs/>
          <w:i/>
        </w:rPr>
        <w:t xml:space="preserve">Nature Reviews Psychology</w:t>
      </w:r>
      <w:r>
        <w:t xml:space="preserve">. 2025;4(5):347–360.</w:t>
      </w:r>
      <w:r>
        <w:t xml:space="preserve"> </w:t>
      </w:r>
      <w:hyperlink r:id="rId3538">
        <w:r>
          <w:rPr>
            <w:rStyle w:val="Hyperlink"/>
          </w:rPr>
          <w:t xml:space="preserve">https://doi.org/10.1038/s44159-025-00442-0</w:t>
        </w:r>
      </w:hyperlink>
      <w:r>
        <w:t xml:space="preserve">（研究类型：空间认知综述）</w:t>
      </w:r>
    </w:p>
    <w:p>
      <w:pPr>
        <w:pStyle w:val="ReferenceEntry"/>
      </w:pPr>
      <w:bookmarkStart w:id="3539" w:name="ref-473"/>
      <w:r>
        <w:t xml:space="preserve">[473]</w:t>
      </w:r>
      <w:bookmarkEnd w:id="3539"/>
      <w:r>
        <w:t xml:space="preserve"> FeldmanHall O, Son JY, Bhandari A. Abstract Cognitive Maps for Complex Social Systems.</w:t>
      </w:r>
      <w:r>
        <w:t xml:space="preserve"> </w:t>
      </w:r>
      <w:r>
        <w:rPr>
          <w:iCs/>
          <w:i/>
        </w:rPr>
        <w:t xml:space="preserve">Current Directions in Psychological Science</w:t>
      </w:r>
      <w:r>
        <w:t xml:space="preserve">. 2025;34(6):349–356.</w:t>
      </w:r>
      <w:r>
        <w:t xml:space="preserve"> </w:t>
      </w:r>
      <w:hyperlink r:id="rId3540">
        <w:r>
          <w:rPr>
            <w:rStyle w:val="Hyperlink"/>
          </w:rPr>
          <w:t xml:space="preserve">https://doi.org/10.1177/09637214251342742</w:t>
        </w:r>
      </w:hyperlink>
      <w:r>
        <w:t xml:space="preserve">（研究类型：社会关系表征综述）</w:t>
      </w:r>
    </w:p>
    <w:p>
      <w:pPr>
        <w:pStyle w:val="ReferenceEntry"/>
      </w:pPr>
      <w:bookmarkStart w:id="3541" w:name="ref-474"/>
      <w:r>
        <w:t xml:space="preserve">[474]</w:t>
      </w:r>
      <w:bookmarkEnd w:id="3541"/>
      <w:r>
        <w:t xml:space="preserve"> Etienne AS, Jeffery KJ. Path integration in mammals.</w:t>
      </w:r>
      <w:r>
        <w:t xml:space="preserve"> </w:t>
      </w:r>
      <w:r>
        <w:rPr>
          <w:iCs/>
          <w:i/>
        </w:rPr>
        <w:t xml:space="preserve">Hippocampus</w:t>
      </w:r>
      <w:r>
        <w:t xml:space="preserve">. 2004;14(2):180–192.</w:t>
      </w:r>
      <w:r>
        <w:t xml:space="preserve"> </w:t>
      </w:r>
      <w:hyperlink r:id="rId3542">
        <w:r>
          <w:rPr>
            <w:rStyle w:val="Hyperlink"/>
          </w:rPr>
          <w:t xml:space="preserve">https://doi.org/10.1002/hipo.10173</w:t>
        </w:r>
      </w:hyperlink>
      <w:r>
        <w:t xml:space="preserve">（研究类型：哺乳动物导航综述）</w:t>
      </w:r>
    </w:p>
    <w:p>
      <w:pPr>
        <w:pStyle w:val="ReferenceEntry"/>
      </w:pPr>
      <w:bookmarkStart w:id="3543" w:name="ref-475"/>
      <w:r>
        <w:t xml:space="preserve">[475]</w:t>
      </w:r>
      <w:bookmarkEnd w:id="3543"/>
      <w:r>
        <w:t xml:space="preserve"> O'Keefe J, Dostrovsky J. The hippocampus as a spatial map. Preliminary evidence from unit activity in the freely-moving rat.</w:t>
      </w:r>
      <w:r>
        <w:t xml:space="preserve"> </w:t>
      </w:r>
      <w:r>
        <w:rPr>
          <w:iCs/>
          <w:i/>
        </w:rPr>
        <w:t xml:space="preserve">Brain Research</w:t>
      </w:r>
      <w:r>
        <w:t xml:space="preserve">. 1971;34(1):171–175.</w:t>
      </w:r>
      <w:r>
        <w:t xml:space="preserve"> </w:t>
      </w:r>
      <w:hyperlink r:id="rId3544">
        <w:r>
          <w:rPr>
            <w:rStyle w:val="Hyperlink"/>
          </w:rPr>
          <w:t xml:space="preserve">https://doi.org/10.1016/0006-8993(71)90358-1</w:t>
        </w:r>
      </w:hyperlink>
      <w:r>
        <w:t xml:space="preserve">（研究类型：大鼠单神经元记录）</w:t>
      </w:r>
    </w:p>
    <w:p>
      <w:pPr>
        <w:pStyle w:val="ReferenceEntry"/>
      </w:pPr>
      <w:bookmarkStart w:id="3545" w:name="ref-476"/>
      <w:r>
        <w:t xml:space="preserve">[476]</w:t>
      </w:r>
      <w:bookmarkEnd w:id="3545"/>
      <w:r>
        <w:t xml:space="preserve"> Hafting T, Fyhn M, Molden S, Moser MB, Moser EI. Microstructure of a spatial map in the entorhinal cortex.</w:t>
      </w:r>
      <w:r>
        <w:t xml:space="preserve"> </w:t>
      </w:r>
      <w:r>
        <w:rPr>
          <w:iCs/>
          <w:i/>
        </w:rPr>
        <w:t xml:space="preserve">Nature</w:t>
      </w:r>
      <w:r>
        <w:t xml:space="preserve">. 2005;436(7052):801–806.</w:t>
      </w:r>
      <w:r>
        <w:t xml:space="preserve"> </w:t>
      </w:r>
      <w:hyperlink r:id="rId3546">
        <w:r>
          <w:rPr>
            <w:rStyle w:val="Hyperlink"/>
          </w:rPr>
          <w:t xml:space="preserve">https://doi.org/10.1038/nature03721</w:t>
        </w:r>
      </w:hyperlink>
      <w:r>
        <w:t xml:space="preserve">（研究类型：大鼠单神经元记录）</w:t>
      </w:r>
    </w:p>
    <w:p>
      <w:pPr>
        <w:pStyle w:val="ReferenceEntry"/>
      </w:pPr>
      <w:bookmarkStart w:id="3547" w:name="ref-477"/>
      <w:r>
        <w:t xml:space="preserve">[477]</w:t>
      </w:r>
      <w:bookmarkEnd w:id="3547"/>
      <w:r>
        <w:t xml:space="preserve"> Taube JS, Muller RU, Ranck JB Jr. Head-direction cells recorded from the postsubiculum in freely moving rats. I. Description and quantitative analysis.</w:t>
      </w:r>
      <w:r>
        <w:t xml:space="preserve"> </w:t>
      </w:r>
      <w:r>
        <w:rPr>
          <w:iCs/>
          <w:i/>
        </w:rPr>
        <w:t xml:space="preserve">The Journal of Neuroscience</w:t>
      </w:r>
      <w:r>
        <w:t xml:space="preserve">. 1990;10(2):420–435.</w:t>
      </w:r>
      <w:r>
        <w:t xml:space="preserve"> </w:t>
      </w:r>
      <w:hyperlink r:id="rId3548">
        <w:r>
          <w:rPr>
            <w:rStyle w:val="Hyperlink"/>
          </w:rPr>
          <w:t xml:space="preserve">https://doi.org/10.1523/JNEUROSCI.10-02-00420.1990</w:t>
        </w:r>
      </w:hyperlink>
      <w:r>
        <w:t xml:space="preserve">（研究类型：大鼠单神经元记录）</w:t>
      </w:r>
    </w:p>
    <w:p>
      <w:pPr>
        <w:pStyle w:val="ReferenceEntry"/>
      </w:pPr>
      <w:bookmarkStart w:id="3549" w:name="ref-478"/>
      <w:r>
        <w:t xml:space="preserve">[478]</w:t>
      </w:r>
      <w:bookmarkEnd w:id="3549"/>
      <w:r>
        <w:t xml:space="preserve"> Solstad T, Boccara CN, Kropff E, Moser MB, Moser EI. Representation of geometric borders in the entorhinal cortex.</w:t>
      </w:r>
      <w:r>
        <w:t xml:space="preserve"> </w:t>
      </w:r>
      <w:r>
        <w:rPr>
          <w:iCs/>
          <w:i/>
        </w:rPr>
        <w:t xml:space="preserve">Science</w:t>
      </w:r>
      <w:r>
        <w:t xml:space="preserve">. 2008;322(5909):1865–1868.</w:t>
      </w:r>
      <w:r>
        <w:t xml:space="preserve"> </w:t>
      </w:r>
      <w:hyperlink r:id="rId3550">
        <w:r>
          <w:rPr>
            <w:rStyle w:val="Hyperlink"/>
          </w:rPr>
          <w:t xml:space="preserve">https://doi.org/10.1126/science.1166466</w:t>
        </w:r>
      </w:hyperlink>
      <w:r>
        <w:t xml:space="preserve">（研究类型：啮齿动物神经记录）</w:t>
      </w:r>
    </w:p>
    <w:p>
      <w:pPr>
        <w:pStyle w:val="ReferenceEntry"/>
      </w:pPr>
      <w:bookmarkStart w:id="3551" w:name="ref-479"/>
      <w:r>
        <w:t xml:space="preserve">[479]</w:t>
      </w:r>
      <w:bookmarkEnd w:id="3551"/>
      <w:r>
        <w:t xml:space="preserve"> Moser EI, Kropff E, Moser MB. Place Cells, Grid Cells, and the Brain’s Spatial Representation System.</w:t>
      </w:r>
      <w:r>
        <w:t xml:space="preserve"> </w:t>
      </w:r>
      <w:r>
        <w:rPr>
          <w:iCs/>
          <w:i/>
        </w:rPr>
        <w:t xml:space="preserve">Annual Review of Neuroscience</w:t>
      </w:r>
      <w:r>
        <w:t xml:space="preserve">. 2008;31(1):69–89.</w:t>
      </w:r>
      <w:r>
        <w:t xml:space="preserve"> </w:t>
      </w:r>
      <w:hyperlink r:id="rId3552">
        <w:r>
          <w:rPr>
            <w:rStyle w:val="Hyperlink"/>
          </w:rPr>
          <w:t xml:space="preserve">https://doi.org/10.1146/annurev.neuro.31.061307.090723</w:t>
        </w:r>
      </w:hyperlink>
      <w:r>
        <w:t xml:space="preserve">（研究类型：空间表征综述）</w:t>
      </w:r>
    </w:p>
    <w:p>
      <w:pPr>
        <w:pStyle w:val="ReferenceEntry"/>
      </w:pPr>
      <w:bookmarkStart w:id="3553" w:name="ref-480"/>
      <w:r>
        <w:t xml:space="preserve">[480]</w:t>
      </w:r>
      <w:bookmarkEnd w:id="3553"/>
      <w:r>
        <w:t xml:space="preserve"> Mark L, Giocomo LM. State-dependent spatial maps for navigation.</w:t>
      </w:r>
      <w:r>
        <w:t xml:space="preserve"> </w:t>
      </w:r>
      <w:r>
        <w:rPr>
          <w:iCs/>
          <w:i/>
        </w:rPr>
        <w:t xml:space="preserve">Trends in Cognitive Sciences</w:t>
      </w:r>
      <w:r>
        <w:t xml:space="preserve">. 2026;30(9):817–829.</w:t>
      </w:r>
      <w:r>
        <w:t xml:space="preserve"> </w:t>
      </w:r>
      <w:hyperlink r:id="rId3554">
        <w:r>
          <w:rPr>
            <w:rStyle w:val="Hyperlink"/>
          </w:rPr>
          <w:t xml:space="preserve">https://doi.org/10.1016/j.tics.2026.01.009</w:t>
        </w:r>
      </w:hyperlink>
      <w:r>
        <w:t xml:space="preserve">（研究类型：空间回路机制综述）</w:t>
      </w:r>
    </w:p>
    <w:p>
      <w:pPr>
        <w:pStyle w:val="ReferenceEntry"/>
      </w:pPr>
      <w:bookmarkStart w:id="3555" w:name="ref-481"/>
      <w:r>
        <w:t xml:space="preserve">[481]</w:t>
      </w:r>
      <w:bookmarkEnd w:id="3555"/>
      <w:r>
        <w:t xml:space="preserve"> Ekstrom AD, Kahana MJ, Caplan JB, Fields TA, Isham EA, Newman EL, et al. Cellular networks underlying human spatial navigation.</w:t>
      </w:r>
      <w:r>
        <w:t xml:space="preserve"> </w:t>
      </w:r>
      <w:r>
        <w:rPr>
          <w:iCs/>
          <w:i/>
        </w:rPr>
        <w:t xml:space="preserve">Nature</w:t>
      </w:r>
      <w:r>
        <w:t xml:space="preserve">. 2003;425(6954):184–188.</w:t>
      </w:r>
      <w:r>
        <w:t xml:space="preserve"> </w:t>
      </w:r>
      <w:hyperlink r:id="rId3556">
        <w:r>
          <w:rPr>
            <w:rStyle w:val="Hyperlink"/>
          </w:rPr>
          <w:t xml:space="preserve">https://doi.org/10.1038/nature01964</w:t>
        </w:r>
      </w:hyperlink>
      <w:r>
        <w:t xml:space="preserve">（研究类型：临床颅内单神经元记录）</w:t>
      </w:r>
    </w:p>
    <w:p>
      <w:pPr>
        <w:pStyle w:val="ReferenceEntry"/>
      </w:pPr>
      <w:bookmarkStart w:id="3557" w:name="ref-482"/>
      <w:r>
        <w:t xml:space="preserve">[482]</w:t>
      </w:r>
      <w:bookmarkEnd w:id="3557"/>
      <w:r>
        <w:t xml:space="preserve"> Doeller CF, Barry C, Burgess N. Evidence for grid cells in a human memory network.</w:t>
      </w:r>
      <w:r>
        <w:t xml:space="preserve"> </w:t>
      </w:r>
      <w:r>
        <w:rPr>
          <w:iCs/>
          <w:i/>
        </w:rPr>
        <w:t xml:space="preserve">Nature</w:t>
      </w:r>
      <w:r>
        <w:t xml:space="preserve">. 2010;463(7281):657–661.</w:t>
      </w:r>
      <w:r>
        <w:t xml:space="preserve"> </w:t>
      </w:r>
      <w:hyperlink r:id="rId3558">
        <w:r>
          <w:rPr>
            <w:rStyle w:val="Hyperlink"/>
          </w:rPr>
          <w:t xml:space="preserve">https://doi.org/10.1038/nature08704</w:t>
        </w:r>
      </w:hyperlink>
      <w:r>
        <w:t xml:space="preserve">（研究类型：人类功能磁共振与啮齿动物生理联系）</w:t>
      </w:r>
    </w:p>
    <w:p>
      <w:pPr>
        <w:pStyle w:val="ReferenceEntry"/>
      </w:pPr>
      <w:bookmarkStart w:id="3559" w:name="ref-483"/>
      <w:r>
        <w:t xml:space="preserve">[483]</w:t>
      </w:r>
      <w:bookmarkEnd w:id="3559"/>
      <w:r>
        <w:t xml:space="preserve"> Shepard RN, Metzler J. Mental rotation of three-dimensional objects.</w:t>
      </w:r>
      <w:r>
        <w:t xml:space="preserve"> </w:t>
      </w:r>
      <w:r>
        <w:rPr>
          <w:iCs/>
          <w:i/>
        </w:rPr>
        <w:t xml:space="preserve">Science</w:t>
      </w:r>
      <w:r>
        <w:t xml:space="preserve">. 1971;171(3972):701–703.</w:t>
      </w:r>
      <w:r>
        <w:t xml:space="preserve"> </w:t>
      </w:r>
      <w:hyperlink r:id="rId3560">
        <w:r>
          <w:rPr>
            <w:rStyle w:val="Hyperlink"/>
          </w:rPr>
          <w:t xml:space="preserve">https://doi.org/10.1126/science.171.3972.701</w:t>
        </w:r>
      </w:hyperlink>
      <w:r>
        <w:t xml:space="preserve">（研究类型：人类心理旋转实验）</w:t>
      </w:r>
    </w:p>
    <w:p>
      <w:pPr>
        <w:pStyle w:val="ReferenceEntry"/>
      </w:pPr>
      <w:bookmarkStart w:id="3561" w:name="ref-484"/>
      <w:r>
        <w:t xml:space="preserve">[484]</w:t>
      </w:r>
      <w:bookmarkEnd w:id="3561"/>
      <w:r>
        <w:t xml:space="preserve"> Uttal DH, Meadow NG, Tipton E, Hand LL, Alden AR, Warren C, et al. The malleability of spatial skills: A meta-analysis of training studies.</w:t>
      </w:r>
      <w:r>
        <w:t xml:space="preserve"> </w:t>
      </w:r>
      <w:r>
        <w:rPr>
          <w:iCs/>
          <w:i/>
        </w:rPr>
        <w:t xml:space="preserve">Psychological Bulletin</w:t>
      </w:r>
      <w:r>
        <w:t xml:space="preserve">. 2013;139(2):352–402.</w:t>
      </w:r>
      <w:r>
        <w:t xml:space="preserve"> </w:t>
      </w:r>
      <w:hyperlink r:id="rId3562">
        <w:r>
          <w:rPr>
            <w:rStyle w:val="Hyperlink"/>
          </w:rPr>
          <w:t xml:space="preserve">https://doi.org/10.1037/a0028446</w:t>
        </w:r>
      </w:hyperlink>
      <w:r>
        <w:t xml:space="preserve">（研究类型：训练研究元分析）</w:t>
      </w:r>
    </w:p>
    <w:p>
      <w:pPr>
        <w:pStyle w:val="ReferenceEntry"/>
      </w:pPr>
      <w:bookmarkStart w:id="3563" w:name="ref-485"/>
      <w:r>
        <w:t xml:space="preserve">[485]</w:t>
      </w:r>
      <w:bookmarkEnd w:id="3563"/>
      <w:r>
        <w:t xml:space="preserve"> Constantinescu AO, O’Reilly JX, Behrens TEJ. Organizing conceptual knowledge in humans with a gridlike code.</w:t>
      </w:r>
      <w:r>
        <w:t xml:space="preserve"> </w:t>
      </w:r>
      <w:r>
        <w:rPr>
          <w:iCs/>
          <w:i/>
        </w:rPr>
        <w:t xml:space="preserve">Science</w:t>
      </w:r>
      <w:r>
        <w:t xml:space="preserve">. 2016;352(6292):1464–1468.</w:t>
      </w:r>
      <w:r>
        <w:t xml:space="preserve"> </w:t>
      </w:r>
      <w:hyperlink r:id="rId3564">
        <w:r>
          <w:rPr>
            <w:rStyle w:val="Hyperlink"/>
          </w:rPr>
          <w:t xml:space="preserve">https://doi.org/10.1126/science.aaf0941</w:t>
        </w:r>
      </w:hyperlink>
      <w:r>
        <w:t xml:space="preserve">（研究类型：人类功能磁共振与概念任务）</w:t>
      </w:r>
    </w:p>
    <w:p>
      <w:pPr>
        <w:pStyle w:val="ReferenceEntry"/>
      </w:pPr>
      <w:bookmarkStart w:id="3565" w:name="ref-486"/>
      <w:r>
        <w:t xml:space="preserve">[486]</w:t>
      </w:r>
      <w:bookmarkEnd w:id="3565"/>
      <w:r>
        <w:t xml:space="preserve"> Whittington JCR, Muller TH, Mark S, Chen G, Barry C, Burgess N, et al. The Tolman-Eichenbaum Machine: Unifying Space and Relational Memory through Generalization in the Hippocampal Formation.</w:t>
      </w:r>
      <w:r>
        <w:t xml:space="preserve"> </w:t>
      </w:r>
      <w:r>
        <w:rPr>
          <w:iCs/>
          <w:i/>
        </w:rPr>
        <w:t xml:space="preserve">Cell</w:t>
      </w:r>
      <w:r>
        <w:t xml:space="preserve">. 2020;183(5):1249–1263.e23.</w:t>
      </w:r>
      <w:r>
        <w:t xml:space="preserve"> </w:t>
      </w:r>
      <w:hyperlink r:id="rId3566">
        <w:r>
          <w:rPr>
            <w:rStyle w:val="Hyperlink"/>
          </w:rPr>
          <w:t xml:space="preserve">https://doi.org/10.1016/j.cell.2020.10.024</w:t>
        </w:r>
      </w:hyperlink>
      <w:r>
        <w:t xml:space="preserve">（研究类型：计算模型）</w:t>
      </w:r>
    </w:p>
    <w:p>
      <w:pPr>
        <w:pStyle w:val="ReferenceEntry"/>
      </w:pPr>
      <w:bookmarkStart w:id="3567" w:name="ref-487"/>
      <w:r>
        <w:t xml:space="preserve">[487]</w:t>
      </w:r>
      <w:bookmarkEnd w:id="3567"/>
      <w:r>
        <w:t xml:space="preserve"> Baker CL, Saxe R, Tenenbaum JB. Action understanding as inverse planning.</w:t>
      </w:r>
      <w:r>
        <w:t xml:space="preserve"> </w:t>
      </w:r>
      <w:r>
        <w:rPr>
          <w:iCs/>
          <w:i/>
        </w:rPr>
        <w:t xml:space="preserve">Cognition</w:t>
      </w:r>
      <w:r>
        <w:t xml:space="preserve">. 2009;113(3):329–349.</w:t>
      </w:r>
      <w:r>
        <w:t xml:space="preserve"> </w:t>
      </w:r>
      <w:hyperlink r:id="rId3568">
        <w:r>
          <w:rPr>
            <w:rStyle w:val="Hyperlink"/>
          </w:rPr>
          <w:t xml:space="preserve">https://doi.org/10.1016/j.cognition.2009.07.005</w:t>
        </w:r>
      </w:hyperlink>
      <w:r>
        <w:t xml:space="preserve">（研究类型：行为实验与计算模型）</w:t>
      </w:r>
    </w:p>
    <w:p>
      <w:pPr>
        <w:pStyle w:val="ReferenceEntry"/>
      </w:pPr>
      <w:bookmarkStart w:id="3569" w:name="ref-488"/>
      <w:r>
        <w:t xml:space="preserve">[488]</w:t>
      </w:r>
      <w:bookmarkEnd w:id="3569"/>
      <w:r>
        <w:t xml:space="preserve"> Baker CL, Jara-Ettinger J, Saxe R, Tenenbaum JB. Rational quantitative attribution of beliefs, desires and percepts in human mentalizing.</w:t>
      </w:r>
      <w:r>
        <w:t xml:space="preserve"> </w:t>
      </w:r>
      <w:r>
        <w:rPr>
          <w:iCs/>
          <w:i/>
        </w:rPr>
        <w:t xml:space="preserve">Nature Human Behaviour</w:t>
      </w:r>
      <w:r>
        <w:t xml:space="preserve">. 2017;1(4):0064.</w:t>
      </w:r>
      <w:r>
        <w:t xml:space="preserve"> </w:t>
      </w:r>
      <w:hyperlink r:id="rId3570">
        <w:r>
          <w:rPr>
            <w:rStyle w:val="Hyperlink"/>
          </w:rPr>
          <w:t xml:space="preserve">https://doi.org/10.1038/s41562-017-0064</w:t>
        </w:r>
      </w:hyperlink>
      <w:r>
        <w:t xml:space="preserve">（研究类型：行为与计算建模）</w:t>
      </w:r>
    </w:p>
    <w:p>
      <w:pPr>
        <w:pStyle w:val="ReferenceEntry"/>
      </w:pPr>
      <w:bookmarkStart w:id="3571" w:name="ref-489"/>
      <w:r>
        <w:t xml:space="preserve">[489]</w:t>
      </w:r>
      <w:bookmarkEnd w:id="3571"/>
      <w:r>
        <w:t xml:space="preserve"> Wellman HM, Cross D, Watson J. Meta-analysis of theory-of-mind development: The truth about false belief.</w:t>
      </w:r>
      <w:r>
        <w:t xml:space="preserve"> </w:t>
      </w:r>
      <w:r>
        <w:rPr>
          <w:iCs/>
          <w:i/>
        </w:rPr>
        <w:t xml:space="preserve">Child Development</w:t>
      </w:r>
      <w:r>
        <w:t xml:space="preserve">. 2001;72(3):655–684.</w:t>
      </w:r>
      <w:r>
        <w:t xml:space="preserve"> </w:t>
      </w:r>
      <w:hyperlink r:id="rId3572">
        <w:r>
          <w:rPr>
            <w:rStyle w:val="Hyperlink"/>
          </w:rPr>
          <w:t xml:space="preserve">https://doi.org/10.1111/1467-8624.00304</w:t>
        </w:r>
      </w:hyperlink>
      <w:r>
        <w:t xml:space="preserve">（研究类型：发展研究元分析）</w:t>
      </w:r>
    </w:p>
    <w:p>
      <w:pPr>
        <w:pStyle w:val="ReferenceEntry"/>
      </w:pPr>
      <w:bookmarkStart w:id="3573" w:name="ref-490"/>
      <w:r>
        <w:t xml:space="preserve">[490]</w:t>
      </w:r>
      <w:bookmarkEnd w:id="3573"/>
      <w:r>
        <w:t xml:space="preserve"> Milligan K, Astington JW, Dack LA. Language and theory of mind: Meta-analysis of the relation between language ability and false-belief understanding.</w:t>
      </w:r>
      <w:r>
        <w:t xml:space="preserve"> </w:t>
      </w:r>
      <w:r>
        <w:rPr>
          <w:iCs/>
          <w:i/>
        </w:rPr>
        <w:t xml:space="preserve">Child Development</w:t>
      </w:r>
      <w:r>
        <w:t xml:space="preserve">. 2007;78(2):622–646.</w:t>
      </w:r>
      <w:r>
        <w:t xml:space="preserve"> </w:t>
      </w:r>
      <w:hyperlink r:id="rId3574">
        <w:r>
          <w:rPr>
            <w:rStyle w:val="Hyperlink"/>
          </w:rPr>
          <w:t xml:space="preserve">https://doi.org/10.1111/j.1467-8624.2007.01018.x</w:t>
        </w:r>
      </w:hyperlink>
      <w:r>
        <w:t xml:space="preserve">（研究类型：发展研究元分析）</w:t>
      </w:r>
    </w:p>
    <w:p>
      <w:pPr>
        <w:pStyle w:val="ReferenceEntry"/>
      </w:pPr>
      <w:bookmarkStart w:id="3575" w:name="ref-491"/>
      <w:r>
        <w:t xml:space="preserve">[491]</w:t>
      </w:r>
      <w:bookmarkEnd w:id="3575"/>
      <w:r>
        <w:t xml:space="preserve"> Southgate V, Senju A, Csibra G. Action anticipation through attribution of false belief by 2-year-olds.</w:t>
      </w:r>
      <w:r>
        <w:t xml:space="preserve"> </w:t>
      </w:r>
      <w:r>
        <w:rPr>
          <w:iCs/>
          <w:i/>
        </w:rPr>
        <w:t xml:space="preserve">Psychological Science</w:t>
      </w:r>
      <w:r>
        <w:t xml:space="preserve">. 2007;18(7):587–592.</w:t>
      </w:r>
      <w:r>
        <w:t xml:space="preserve"> </w:t>
      </w:r>
      <w:hyperlink r:id="rId3576">
        <w:r>
          <w:rPr>
            <w:rStyle w:val="Hyperlink"/>
          </w:rPr>
          <w:t xml:space="preserve">https://doi.org/10.1111/j.1467-9280.2007.01944.x</w:t>
        </w:r>
      </w:hyperlink>
      <w:r>
        <w:t xml:space="preserve">（研究类型：幼儿预期注视实验）</w:t>
      </w:r>
    </w:p>
    <w:p>
      <w:pPr>
        <w:pStyle w:val="ReferenceEntry"/>
      </w:pPr>
      <w:bookmarkStart w:id="3577" w:name="ref-492"/>
      <w:r>
        <w:t xml:space="preserve">[492]</w:t>
      </w:r>
      <w:bookmarkEnd w:id="3577"/>
      <w:r>
        <w:t xml:space="preserve"> Kampis D, Kármán P, Csibra G, Southgate V, Hernik M. A two-lab direct replication attempt of Southgate, Senju and Csibra (2007).</w:t>
      </w:r>
      <w:r>
        <w:t xml:space="preserve"> </w:t>
      </w:r>
      <w:r>
        <w:rPr>
          <w:iCs/>
          <w:i/>
        </w:rPr>
        <w:t xml:space="preserve">Royal Society Open Science</w:t>
      </w:r>
      <w:r>
        <w:t xml:space="preserve">. 2021;8(8):210190.</w:t>
      </w:r>
      <w:r>
        <w:t xml:space="preserve"> </w:t>
      </w:r>
      <w:hyperlink r:id="rId3578">
        <w:r>
          <w:rPr>
            <w:rStyle w:val="Hyperlink"/>
          </w:rPr>
          <w:t xml:space="preserve">https://doi.org/10.1098/rsos.210190</w:t>
        </w:r>
      </w:hyperlink>
      <w:r>
        <w:t xml:space="preserve">（研究类型：预注册双实验室直接重复）</w:t>
      </w:r>
    </w:p>
    <w:p>
      <w:pPr>
        <w:pStyle w:val="ReferenceEntry"/>
      </w:pPr>
      <w:bookmarkStart w:id="3579" w:name="ref-493"/>
      <w:r>
        <w:t xml:space="preserve">[493]</w:t>
      </w:r>
      <w:bookmarkEnd w:id="3579"/>
      <w:r>
        <w:t xml:space="preserve"> ManyBabies2 collaboration. ManyBabies2 Theory of Mind project. 2026.</w:t>
      </w:r>
      <w:r>
        <w:t xml:space="preserve"> </w:t>
      </w:r>
      <w:hyperlink r:id="rId3580">
        <w:r>
          <w:rPr>
            <w:rStyle w:val="Hyperlink"/>
          </w:rPr>
          <w:t xml:space="preserve">https://manybabies.org/MB2/</w:t>
        </w:r>
      </w:hyperlink>
      <w:r>
        <w:t xml:space="preserve">（研究类型：研究协作组官方网站的项目与结果进展）</w:t>
      </w:r>
    </w:p>
    <w:p>
      <w:pPr>
        <w:pStyle w:val="ReferenceEntry"/>
      </w:pPr>
      <w:bookmarkStart w:id="3581" w:name="ref-494"/>
      <w:r>
        <w:t xml:space="preserve">[494]</w:t>
      </w:r>
      <w:bookmarkEnd w:id="3581"/>
      <w:r>
        <w:t xml:space="preserve"> Saxe R, Kanwisher N. People thinking about thinking people: The role of the temporo-parietal junction in theory of mind.</w:t>
      </w:r>
      <w:r>
        <w:t xml:space="preserve"> </w:t>
      </w:r>
      <w:r>
        <w:rPr>
          <w:iCs/>
          <w:i/>
        </w:rPr>
        <w:t xml:space="preserve">NeuroImage</w:t>
      </w:r>
      <w:r>
        <w:t xml:space="preserve">. 2003;19(4):1835–1842.</w:t>
      </w:r>
      <w:r>
        <w:t xml:space="preserve"> </w:t>
      </w:r>
      <w:hyperlink r:id="rId3582">
        <w:r>
          <w:rPr>
            <w:rStyle w:val="Hyperlink"/>
          </w:rPr>
          <w:t xml:space="preserve">https://doi.org/10.1016/S1053-8119(03)00230-1</w:t>
        </w:r>
      </w:hyperlink>
      <w:r>
        <w:t xml:space="preserve">（研究类型：人类功能磁共振）</w:t>
      </w:r>
    </w:p>
    <w:p>
      <w:pPr>
        <w:pStyle w:val="ReferenceEntry"/>
      </w:pPr>
      <w:bookmarkStart w:id="3583" w:name="ref-495"/>
      <w:r>
        <w:t xml:space="preserve">[495]</w:t>
      </w:r>
      <w:bookmarkEnd w:id="3583"/>
      <w:r>
        <w:t xml:space="preserve"> Schurz M, Radua J, Aichhorn M, Richlan F, Perner J. Fractionating theory of mind: a meta-analysis of functional brain imaging studies.</w:t>
      </w:r>
      <w:r>
        <w:t xml:space="preserve"> </w:t>
      </w:r>
      <w:r>
        <w:rPr>
          <w:iCs/>
          <w:i/>
        </w:rPr>
        <w:t xml:space="preserve">Neuroscience &amp; Biobehavioral Reviews</w:t>
      </w:r>
      <w:r>
        <w:t xml:space="preserve">. 2014;42:9–34.</w:t>
      </w:r>
      <w:r>
        <w:t xml:space="preserve"> </w:t>
      </w:r>
      <w:hyperlink r:id="rId3584">
        <w:r>
          <w:rPr>
            <w:rStyle w:val="Hyperlink"/>
          </w:rPr>
          <w:t xml:space="preserve">https://doi.org/10.1016/j.neubiorev.2014.01.009</w:t>
        </w:r>
      </w:hyperlink>
      <w:r>
        <w:t xml:space="preserve">（研究类型：神经影像元分析）</w:t>
      </w:r>
    </w:p>
    <w:p>
      <w:pPr>
        <w:pStyle w:val="ReferenceEntry"/>
      </w:pPr>
      <w:bookmarkStart w:id="3585" w:name="ref-496"/>
      <w:r>
        <w:t xml:space="preserve">[496]</w:t>
      </w:r>
      <w:bookmarkEnd w:id="3585"/>
      <w:r>
        <w:t xml:space="preserve"> Keysar B, Barr DJ, Balin JA, Brauner JS. Taking perspective in conversation: The role of mutual knowledge in comprehension.</w:t>
      </w:r>
      <w:r>
        <w:t xml:space="preserve"> </w:t>
      </w:r>
      <w:r>
        <w:rPr>
          <w:iCs/>
          <w:i/>
        </w:rPr>
        <w:t xml:space="preserve">Psychological Science</w:t>
      </w:r>
      <w:r>
        <w:t xml:space="preserve">. 2000;11(1):32–38.</w:t>
      </w:r>
      <w:r>
        <w:t xml:space="preserve"> </w:t>
      </w:r>
      <w:hyperlink r:id="rId3586">
        <w:r>
          <w:rPr>
            <w:rStyle w:val="Hyperlink"/>
          </w:rPr>
          <w:t xml:space="preserve">https://doi.org/10.1111/1467-9280.00211</w:t>
        </w:r>
      </w:hyperlink>
      <w:r>
        <w:t xml:space="preserve">（研究类型：交流中的行为与眼动研究）</w:t>
      </w:r>
    </w:p>
    <w:p>
      <w:pPr>
        <w:pStyle w:val="ReferenceEntry"/>
      </w:pPr>
      <w:bookmarkStart w:id="3587" w:name="ref-497"/>
      <w:r>
        <w:t xml:space="preserve">[497]</w:t>
      </w:r>
      <w:bookmarkEnd w:id="3587"/>
      <w:r>
        <w:t xml:space="preserve"> Schurz M, Radua J, Tholen MG, Maliske L, Margulies DS, Mars RB, et al. Toward a hierarchical model of social cognition: A neuroimaging meta-analysis and integrative review of empathy and theory of mind.</w:t>
      </w:r>
      <w:r>
        <w:t xml:space="preserve"> </w:t>
      </w:r>
      <w:r>
        <w:rPr>
          <w:iCs/>
          <w:i/>
        </w:rPr>
        <w:t xml:space="preserve">Psychological Bulletin</w:t>
      </w:r>
      <w:r>
        <w:t xml:space="preserve">. 2021;147(3):293–327.</w:t>
      </w:r>
      <w:r>
        <w:t xml:space="preserve"> </w:t>
      </w:r>
      <w:hyperlink r:id="rId3588">
        <w:r>
          <w:rPr>
            <w:rStyle w:val="Hyperlink"/>
          </w:rPr>
          <w:t xml:space="preserve">https://doi.org/10.1037/bul0000303</w:t>
        </w:r>
      </w:hyperlink>
      <w:r>
        <w:t xml:space="preserve">（研究类型：神经影像元分析与整合综述）</w:t>
      </w:r>
    </w:p>
    <w:p>
      <w:pPr>
        <w:pStyle w:val="ReferenceEntry"/>
      </w:pPr>
      <w:bookmarkStart w:id="3589" w:name="ref-498"/>
      <w:r>
        <w:t xml:space="preserve">[498]</w:t>
      </w:r>
      <w:bookmarkEnd w:id="3589"/>
      <w:r>
        <w:t xml:space="preserve"> Zaki J, Ochsner KN. The neuroscience of empathy: progress, pitfalls and promise.</w:t>
      </w:r>
      <w:r>
        <w:t xml:space="preserve"> </w:t>
      </w:r>
      <w:r>
        <w:rPr>
          <w:iCs/>
          <w:i/>
        </w:rPr>
        <w:t xml:space="preserve">Nature Neuroscience</w:t>
      </w:r>
      <w:r>
        <w:t xml:space="preserve">. 2012;15(5):675–680.</w:t>
      </w:r>
      <w:r>
        <w:t xml:space="preserve"> </w:t>
      </w:r>
      <w:hyperlink r:id="rId3590">
        <w:r>
          <w:rPr>
            <w:rStyle w:val="Hyperlink"/>
          </w:rPr>
          <w:t xml:space="preserve">https://doi.org/10.1038/nn.3085</w:t>
        </w:r>
      </w:hyperlink>
      <w:r>
        <w:t xml:space="preserve">（更正见</w:t>
      </w:r>
      <w:r>
        <w:t xml:space="preserve"> </w:t>
      </w:r>
      <w:r>
        <w:rPr>
          <w:iCs/>
          <w:i/>
        </w:rPr>
        <w:t xml:space="preserve">Nature Neuroscience</w:t>
      </w:r>
      <w:r>
        <w:t xml:space="preserve">. 2013;16(12):1907.</w:t>
      </w:r>
      <w:r>
        <w:t xml:space="preserve"> </w:t>
      </w:r>
      <w:hyperlink r:id="rId3591">
        <w:r>
          <w:rPr>
            <w:rStyle w:val="Hyperlink"/>
          </w:rPr>
          <w:t xml:space="preserve">https://doi.org/10.1038/nn1213-1907c</w:t>
        </w:r>
      </w:hyperlink>
      <w:r>
        <w:t xml:space="preserve">）（研究类型：社会神经科学综述）</w:t>
      </w:r>
    </w:p>
    <w:p>
      <w:pPr>
        <w:pStyle w:val="ReferenceEntry"/>
      </w:pPr>
      <w:bookmarkStart w:id="3592" w:name="ref-499"/>
      <w:r>
        <w:t xml:space="preserve">[499]</w:t>
      </w:r>
      <w:bookmarkEnd w:id="3592"/>
      <w:r>
        <w:t xml:space="preserve"> Rilling JK, Sanfey AG. The Neuroscience of Social Decision-Making.</w:t>
      </w:r>
      <w:r>
        <w:t xml:space="preserve"> </w:t>
      </w:r>
      <w:r>
        <w:rPr>
          <w:iCs/>
          <w:i/>
        </w:rPr>
        <w:t xml:space="preserve">Annual Review of Psychology</w:t>
      </w:r>
      <w:r>
        <w:t xml:space="preserve">. 2011;62(1):23–48.</w:t>
      </w:r>
      <w:r>
        <w:t xml:space="preserve"> </w:t>
      </w:r>
      <w:hyperlink r:id="rId3593">
        <w:r>
          <w:rPr>
            <w:rStyle w:val="Hyperlink"/>
          </w:rPr>
          <w:t xml:space="preserve">https://doi.org/10.1146/annurev.psych.121208.131647</w:t>
        </w:r>
      </w:hyperlink>
      <w:r>
        <w:t xml:space="preserve">（研究类型：社会决策神经科学综述）</w:t>
      </w:r>
    </w:p>
    <w:p>
      <w:pPr>
        <w:pStyle w:val="ReferenceEntry"/>
      </w:pPr>
      <w:bookmarkStart w:id="3594" w:name="ref-500"/>
      <w:r>
        <w:t xml:space="preserve">[500]</w:t>
      </w:r>
      <w:bookmarkEnd w:id="3594"/>
      <w:r>
        <w:t xml:space="preserve"> Tavares RM, Mendelsohn A, Grossman Y, Williams CH, Shapiro M, Trope Y, et al. A Map for Social Navigation in the Human Brain.</w:t>
      </w:r>
      <w:r>
        <w:t xml:space="preserve"> </w:t>
      </w:r>
      <w:r>
        <w:rPr>
          <w:iCs/>
          <w:i/>
        </w:rPr>
        <w:t xml:space="preserve">Neuron</w:t>
      </w:r>
      <w:r>
        <w:t xml:space="preserve">. 2015;87(1):231–243.</w:t>
      </w:r>
      <w:r>
        <w:t xml:space="preserve"> </w:t>
      </w:r>
      <w:hyperlink r:id="rId3595">
        <w:r>
          <w:rPr>
            <w:rStyle w:val="Hyperlink"/>
          </w:rPr>
          <w:t xml:space="preserve">https://doi.org/10.1016/j.neuron.2015.06.011</w:t>
        </w:r>
      </w:hyperlink>
      <w:r>
        <w:t xml:space="preserve">（研究类型：人类互动任务与功能磁共振）</w:t>
      </w:r>
    </w:p>
    <w:p>
      <w:pPr>
        <w:pStyle w:val="ReferenceEntry"/>
      </w:pPr>
      <w:bookmarkStart w:id="3596" w:name="ref-501"/>
      <w:r>
        <w:t xml:space="preserve">[501]</w:t>
      </w:r>
      <w:bookmarkEnd w:id="3596"/>
      <w:r>
        <w:t xml:space="preserve"> Fernandez Velasco P, Sutton J. Collaborative Wayfinding: A Critical Review.</w:t>
      </w:r>
      <w:r>
        <w:t xml:space="preserve"> </w:t>
      </w:r>
      <w:r>
        <w:rPr>
          <w:iCs/>
          <w:i/>
        </w:rPr>
        <w:t xml:space="preserve">WIREs Cognitive Science</w:t>
      </w:r>
      <w:r>
        <w:t xml:space="preserve">. 2026;17(5):e70040.</w:t>
      </w:r>
      <w:r>
        <w:t xml:space="preserve"> </w:t>
      </w:r>
      <w:hyperlink r:id="rId3597">
        <w:r>
          <w:rPr>
            <w:rStyle w:val="Hyperlink"/>
          </w:rPr>
          <w:t xml:space="preserve">https://doi.org/10.1002/wcs.70040</w:t>
        </w:r>
      </w:hyperlink>
      <w:r>
        <w:t xml:space="preserve">（研究类型：协作认知批判性综述）</w:t>
      </w:r>
    </w:p>
    <w:p>
      <w:pPr>
        <w:pStyle w:val="ReferenceEntry"/>
      </w:pPr>
      <w:bookmarkStart w:id="3598" w:name="ref-502"/>
      <w:r>
        <w:t xml:space="preserve">[502]</w:t>
      </w:r>
      <w:bookmarkEnd w:id="3598"/>
      <w:r>
        <w:t xml:space="preserve"> Sutton RS. Learning to predict by the methods of temporal differences.</w:t>
      </w:r>
      <w:r>
        <w:t xml:space="preserve"> </w:t>
      </w:r>
      <w:r>
        <w:rPr>
          <w:iCs/>
          <w:i/>
        </w:rPr>
        <w:t xml:space="preserve">Machine Learning</w:t>
      </w:r>
      <w:r>
        <w:t xml:space="preserve">. 1988;3(1):9–44.</w:t>
      </w:r>
      <w:r>
        <w:t xml:space="preserve"> </w:t>
      </w:r>
      <w:hyperlink r:id="rId3599">
        <w:r>
          <w:rPr>
            <w:rStyle w:val="Hyperlink"/>
          </w:rPr>
          <w:t xml:space="preserve">https://doi.org/10.1007/BF00115009</w:t>
        </w:r>
      </w:hyperlink>
      <w:r>
        <w:t xml:space="preserve">（研究类型：算法理论与模拟）</w:t>
      </w:r>
    </w:p>
    <w:p>
      <w:pPr>
        <w:pStyle w:val="ReferenceEntry"/>
      </w:pPr>
      <w:bookmarkStart w:id="3600" w:name="ref-503"/>
      <w:r>
        <w:t xml:space="preserve">[503]</w:t>
      </w:r>
      <w:bookmarkEnd w:id="3600"/>
      <w:r>
        <w:t xml:space="preserve"> Collins AGE, Frank MJ. How much of reinforcement learning is working memory, not reinforcement learning? A behavioral, computational, and neurogenetic analysis.</w:t>
      </w:r>
      <w:r>
        <w:t xml:space="preserve"> </w:t>
      </w:r>
      <w:r>
        <w:rPr>
          <w:iCs/>
          <w:i/>
        </w:rPr>
        <w:t xml:space="preserve">European Journal of Neuroscience</w:t>
      </w:r>
      <w:r>
        <w:t xml:space="preserve">. 2012;35(7):1024–1035.</w:t>
      </w:r>
      <w:r>
        <w:t xml:space="preserve"> </w:t>
      </w:r>
      <w:hyperlink r:id="rId3601">
        <w:r>
          <w:rPr>
            <w:rStyle w:val="Hyperlink"/>
          </w:rPr>
          <w:t xml:space="preserve">https://doi.org/10.1111/j.1460-9568.2011.07980.x</w:t>
        </w:r>
      </w:hyperlink>
      <w:r>
        <w:t xml:space="preserve">（研究类型：人类行为与计算分析）</w:t>
      </w:r>
    </w:p>
    <w:p>
      <w:pPr>
        <w:pStyle w:val="ReferenceEntry"/>
      </w:pPr>
      <w:bookmarkStart w:id="3602" w:name="ref-504"/>
      <w:r>
        <w:t xml:space="preserve">[504]</w:t>
      </w:r>
      <w:bookmarkEnd w:id="3602"/>
      <w:r>
        <w:t xml:space="preserve"> Gershman SJ, Daw ND. Reinforcement Learning and Episodic Memory in Humans and Animals: An Integrative Framework.</w:t>
      </w:r>
      <w:r>
        <w:t xml:space="preserve"> </w:t>
      </w:r>
      <w:r>
        <w:rPr>
          <w:iCs/>
          <w:i/>
        </w:rPr>
        <w:t xml:space="preserve">Annual Review of Psychology</w:t>
      </w:r>
      <w:r>
        <w:t xml:space="preserve">. 2017;68(1):101–128.</w:t>
      </w:r>
      <w:r>
        <w:t xml:space="preserve"> </w:t>
      </w:r>
      <w:hyperlink r:id="rId3603">
        <w:r>
          <w:rPr>
            <w:rStyle w:val="Hyperlink"/>
          </w:rPr>
          <w:t xml:space="preserve">https://doi.org/10.1146/annurev-psych-122414-033625</w:t>
        </w:r>
      </w:hyperlink>
      <w:r>
        <w:t xml:space="preserve">（研究类型：学习记忆整合综述）</w:t>
      </w:r>
    </w:p>
    <w:p>
      <w:pPr>
        <w:pStyle w:val="ReferenceEntry"/>
      </w:pPr>
      <w:bookmarkStart w:id="3604" w:name="ref-505"/>
      <w:r>
        <w:t xml:space="preserve">[505]</w:t>
      </w:r>
      <w:bookmarkEnd w:id="3604"/>
      <w:r>
        <w:t xml:space="preserve"> Gershman SJ, Niv Y. Learning latent structure: carving nature at its joints.</w:t>
      </w:r>
      <w:r>
        <w:t xml:space="preserve"> </w:t>
      </w:r>
      <w:r>
        <w:rPr>
          <w:iCs/>
          <w:i/>
        </w:rPr>
        <w:t xml:space="preserve">Current Opinion in Neurobiology</w:t>
      </w:r>
      <w:r>
        <w:t xml:space="preserve">. 2010;20(2):251–256.</w:t>
      </w:r>
      <w:r>
        <w:t xml:space="preserve"> </w:t>
      </w:r>
      <w:hyperlink r:id="rId3605">
        <w:r>
          <w:rPr>
            <w:rStyle w:val="Hyperlink"/>
          </w:rPr>
          <w:t xml:space="preserve">https://doi.org/10.1016/j.conb.2010.02.008</w:t>
        </w:r>
      </w:hyperlink>
      <w:r>
        <w:t xml:space="preserve">（研究类型：结构学习综述）</w:t>
      </w:r>
    </w:p>
    <w:p>
      <w:pPr>
        <w:pStyle w:val="ReferenceEntry"/>
      </w:pPr>
      <w:bookmarkStart w:id="3606" w:name="ref-506"/>
      <w:r>
        <w:t xml:space="preserve">[506]</w:t>
      </w:r>
      <w:bookmarkEnd w:id="3606"/>
      <w:r>
        <w:t xml:space="preserve"> Wilson RC, Takahashi YK, Schoenbaum G, Niv Y. Orbitofrontal cortex as a cognitive map of task space.</w:t>
      </w:r>
      <w:r>
        <w:t xml:space="preserve"> </w:t>
      </w:r>
      <w:r>
        <w:rPr>
          <w:iCs/>
          <w:i/>
        </w:rPr>
        <w:t xml:space="preserve">Neuron</w:t>
      </w:r>
      <w:r>
        <w:t xml:space="preserve">. 2014;81(2):267–279.</w:t>
      </w:r>
      <w:r>
        <w:t xml:space="preserve"> </w:t>
      </w:r>
      <w:hyperlink r:id="rId3607">
        <w:r>
          <w:rPr>
            <w:rStyle w:val="Hyperlink"/>
          </w:rPr>
          <w:t xml:space="preserve">https://doi.org/10.1016/j.neuron.2013.11.005</w:t>
        </w:r>
      </w:hyperlink>
      <w:r>
        <w:t xml:space="preserve">（研究类型：神经机制理论综述）</w:t>
      </w:r>
    </w:p>
    <w:p>
      <w:pPr>
        <w:pStyle w:val="ReferenceEntry"/>
      </w:pPr>
      <w:bookmarkStart w:id="3608" w:name="ref-507"/>
      <w:r>
        <w:t xml:space="preserve">[507]</w:t>
      </w:r>
      <w:bookmarkEnd w:id="3608"/>
      <w:r>
        <w:t xml:space="preserve"> Balleine BW, Dickinson A. Goal-directed instrumental action: contingency and incentive learning and their cortical substrates.</w:t>
      </w:r>
      <w:r>
        <w:t xml:space="preserve"> </w:t>
      </w:r>
      <w:r>
        <w:rPr>
          <w:iCs/>
          <w:i/>
        </w:rPr>
        <w:t xml:space="preserve">Neuropharmacology</w:t>
      </w:r>
      <w:r>
        <w:t xml:space="preserve">. 1998;37(4-5):407–419.</w:t>
      </w:r>
      <w:r>
        <w:t xml:space="preserve"> </w:t>
      </w:r>
      <w:hyperlink r:id="rId3609">
        <w:r>
          <w:rPr>
            <w:rStyle w:val="Hyperlink"/>
          </w:rPr>
          <w:t xml:space="preserve">https://doi.org/10.1016/S0028-3908(98)00033-1</w:t>
        </w:r>
      </w:hyperlink>
      <w:r>
        <w:t xml:space="preserve">（研究类型：工具性学习机制综述）</w:t>
      </w:r>
    </w:p>
    <w:p>
      <w:pPr>
        <w:pStyle w:val="ReferenceEntry"/>
      </w:pPr>
      <w:bookmarkStart w:id="3610" w:name="ref-508"/>
      <w:r>
        <w:t xml:space="preserve">[508]</w:t>
      </w:r>
      <w:bookmarkEnd w:id="3610"/>
      <w:r>
        <w:t xml:space="preserve"> Schultz W, Dayan P, Montague PR. A Neural Substrate of Prediction and Reward.</w:t>
      </w:r>
      <w:r>
        <w:t xml:space="preserve"> </w:t>
      </w:r>
      <w:r>
        <w:rPr>
          <w:iCs/>
          <w:i/>
        </w:rPr>
        <w:t xml:space="preserve">Science</w:t>
      </w:r>
      <w:r>
        <w:t xml:space="preserve">. 1997;275(5306):1593–1599.</w:t>
      </w:r>
      <w:r>
        <w:t xml:space="preserve"> </w:t>
      </w:r>
      <w:hyperlink r:id="rId3611">
        <w:r>
          <w:rPr>
            <w:rStyle w:val="Hyperlink"/>
          </w:rPr>
          <w:t xml:space="preserve">https://doi.org/10.1126/science.275.5306.1593</w:t>
        </w:r>
      </w:hyperlink>
      <w:r>
        <w:t xml:space="preserve">（研究类型：既有灵长类电生理资料与时间差分模型的整合论文）</w:t>
      </w:r>
    </w:p>
    <w:p>
      <w:pPr>
        <w:pStyle w:val="ReferenceEntry"/>
      </w:pPr>
      <w:bookmarkStart w:id="3612" w:name="ref-509"/>
      <w:r>
        <w:t xml:space="preserve">[509]</w:t>
      </w:r>
      <w:bookmarkEnd w:id="3612"/>
      <w:r>
        <w:t xml:space="preserve"> Steinberg EE, Keiflin R, Boivin JR, Witten IB, Deisseroth K, Janak PH. A causal link between prediction errors, dopamine neurons and learning.</w:t>
      </w:r>
      <w:r>
        <w:t xml:space="preserve"> </w:t>
      </w:r>
      <w:r>
        <w:rPr>
          <w:iCs/>
          <w:i/>
        </w:rPr>
        <w:t xml:space="preserve">Nature Neuroscience</w:t>
      </w:r>
      <w:r>
        <w:t xml:space="preserve">. 2013;16(7):966–973.</w:t>
      </w:r>
      <w:r>
        <w:t xml:space="preserve"> </w:t>
      </w:r>
      <w:hyperlink r:id="rId3613">
        <w:r>
          <w:rPr>
            <w:rStyle w:val="Hyperlink"/>
          </w:rPr>
          <w:t xml:space="preserve">https://doi.org/10.1038/nn.3413</w:t>
        </w:r>
      </w:hyperlink>
      <w:r>
        <w:t xml:space="preserve">（研究类型：动物光遗传操控实验）</w:t>
      </w:r>
    </w:p>
    <w:p>
      <w:pPr>
        <w:pStyle w:val="ReferenceEntry"/>
      </w:pPr>
      <w:bookmarkStart w:id="3614" w:name="ref-510"/>
      <w:r>
        <w:t xml:space="preserve">[510]</w:t>
      </w:r>
      <w:bookmarkEnd w:id="3614"/>
      <w:r>
        <w:t xml:space="preserve"> Gardner MPH, Schoenbaum G, Gershman SJ. Rethinking dopamine as generalized prediction error.</w:t>
      </w:r>
      <w:r>
        <w:t xml:space="preserve"> </w:t>
      </w:r>
      <w:r>
        <w:rPr>
          <w:iCs/>
          <w:i/>
        </w:rPr>
        <w:t xml:space="preserve">Proceedings of the Royal Society B: Biological Sciences</w:t>
      </w:r>
      <w:r>
        <w:t xml:space="preserve">. 2018;285(1891):20181645.</w:t>
      </w:r>
      <w:r>
        <w:t xml:space="preserve"> </w:t>
      </w:r>
      <w:hyperlink r:id="rId3615">
        <w:r>
          <w:rPr>
            <w:rStyle w:val="Hyperlink"/>
          </w:rPr>
          <w:t xml:space="preserve">https://doi.org/10.1098/rspb.2018.1645</w:t>
        </w:r>
      </w:hyperlink>
      <w:r>
        <w:t xml:space="preserve">（研究类型：计算机制观点）</w:t>
      </w:r>
    </w:p>
    <w:p>
      <w:pPr>
        <w:pStyle w:val="ReferenceEntry"/>
      </w:pPr>
      <w:bookmarkStart w:id="3616" w:name="ref-511"/>
      <w:r>
        <w:t xml:space="preserve">[511]</w:t>
      </w:r>
      <w:bookmarkEnd w:id="3616"/>
      <w:r>
        <w:t xml:space="preserve"> Daw ND, Niv Y, Dayan P. Uncertainty-based competition between prefrontal and dorsolateral striatal systems for behavioral control.</w:t>
      </w:r>
      <w:r>
        <w:t xml:space="preserve"> </w:t>
      </w:r>
      <w:r>
        <w:rPr>
          <w:iCs/>
          <w:i/>
        </w:rPr>
        <w:t xml:space="preserve">Nature Neuroscience</w:t>
      </w:r>
      <w:r>
        <w:t xml:space="preserve">. 2005;8(12):1704–1711.</w:t>
      </w:r>
      <w:r>
        <w:t xml:space="preserve"> </w:t>
      </w:r>
      <w:hyperlink r:id="rId3617">
        <w:r>
          <w:rPr>
            <w:rStyle w:val="Hyperlink"/>
          </w:rPr>
          <w:t xml:space="preserve">https://doi.org/10.1038/nn1560</w:t>
        </w:r>
      </w:hyperlink>
      <w:r>
        <w:t xml:space="preserve">（研究类型：计算理论）</w:t>
      </w:r>
    </w:p>
    <w:p>
      <w:pPr>
        <w:pStyle w:val="ReferenceEntry"/>
      </w:pPr>
      <w:bookmarkStart w:id="3618" w:name="ref-512"/>
      <w:r>
        <w:t xml:space="preserve">[512]</w:t>
      </w:r>
      <w:bookmarkEnd w:id="3618"/>
      <w:r>
        <w:t xml:space="preserve"> Dolan RJ, Dayan P. Goals and habits in the brain.</w:t>
      </w:r>
      <w:r>
        <w:t xml:space="preserve"> </w:t>
      </w:r>
      <w:r>
        <w:rPr>
          <w:iCs/>
          <w:i/>
        </w:rPr>
        <w:t xml:space="preserve">Neuron</w:t>
      </w:r>
      <w:r>
        <w:t xml:space="preserve">. 2013;80(2):312–325.</w:t>
      </w:r>
      <w:r>
        <w:t xml:space="preserve"> </w:t>
      </w:r>
      <w:hyperlink r:id="rId3619">
        <w:r>
          <w:rPr>
            <w:rStyle w:val="Hyperlink"/>
          </w:rPr>
          <w:t xml:space="preserve">https://doi.org/10.1016/j.neuron.2013.09.007</w:t>
        </w:r>
      </w:hyperlink>
      <w:r>
        <w:t xml:space="preserve">（研究类型：目标与习惯机制综述）</w:t>
      </w:r>
    </w:p>
    <w:p>
      <w:pPr>
        <w:pStyle w:val="ReferenceEntry"/>
      </w:pPr>
      <w:bookmarkStart w:id="3620" w:name="ref-513"/>
      <w:r>
        <w:t xml:space="preserve">[513]</w:t>
      </w:r>
      <w:bookmarkEnd w:id="3620"/>
      <w:r>
        <w:t xml:space="preserve"> Daw ND, Gershman SJ, Seymour B, Dayan P, Dolan RJ. Model-based influences on humans’ choices and striatal prediction errors.</w:t>
      </w:r>
      <w:r>
        <w:t xml:space="preserve"> </w:t>
      </w:r>
      <w:r>
        <w:rPr>
          <w:iCs/>
          <w:i/>
        </w:rPr>
        <w:t xml:space="preserve">Neuron</w:t>
      </w:r>
      <w:r>
        <w:t xml:space="preserve">. 2011;69(6):1204–1215.</w:t>
      </w:r>
      <w:r>
        <w:t xml:space="preserve"> </w:t>
      </w:r>
      <w:hyperlink r:id="rId3621">
        <w:r>
          <w:rPr>
            <w:rStyle w:val="Hyperlink"/>
          </w:rPr>
          <w:t xml:space="preserve">https://doi.org/10.1016/j.neuron.2011.02.027</w:t>
        </w:r>
      </w:hyperlink>
      <w:r>
        <w:t xml:space="preserve">（研究类型：人类两阶段决策与功能磁共振）</w:t>
      </w:r>
    </w:p>
    <w:p>
      <w:pPr>
        <w:pStyle w:val="ReferenceEntry"/>
      </w:pPr>
      <w:bookmarkStart w:id="3622" w:name="ref-514"/>
      <w:r>
        <w:t xml:space="preserve">[514]</w:t>
      </w:r>
      <w:bookmarkEnd w:id="3622"/>
      <w:r>
        <w:t xml:space="preserve"> Kool W, Cushman FA, Gershman SJ. When Does Model-Based Control Pay Off?.</w:t>
      </w:r>
      <w:r>
        <w:t xml:space="preserve"> </w:t>
      </w:r>
      <w:r>
        <w:rPr>
          <w:iCs/>
          <w:i/>
        </w:rPr>
        <w:t xml:space="preserve">PLOS Computational Biology</w:t>
      </w:r>
      <w:r>
        <w:t xml:space="preserve">. 2016;12(8):e1005090.</w:t>
      </w:r>
      <w:r>
        <w:t xml:space="preserve"> </w:t>
      </w:r>
      <w:hyperlink r:id="rId3623">
        <w:r>
          <w:rPr>
            <w:rStyle w:val="Hyperlink"/>
          </w:rPr>
          <w:t xml:space="preserve">https://doi.org/10.1371/journal.pcbi.1005090</w:t>
        </w:r>
      </w:hyperlink>
      <w:r>
        <w:t xml:space="preserve">（研究类型：计算分析与行为实验）</w:t>
      </w:r>
    </w:p>
    <w:p>
      <w:pPr>
        <w:pStyle w:val="ReferenceEntry"/>
      </w:pPr>
      <w:bookmarkStart w:id="3624" w:name="ref-515"/>
      <w:r>
        <w:t xml:space="preserve">[515]</w:t>
      </w:r>
      <w:bookmarkEnd w:id="3624"/>
      <w:r>
        <w:t xml:space="preserve"> Balleine BW, O'Doherty JP. Human and Rodent Homologies in Action Control: Corticostriatal Determinants of Goal-Directed and Habitual Action.</w:t>
      </w:r>
      <w:r>
        <w:t xml:space="preserve"> </w:t>
      </w:r>
      <w:r>
        <w:rPr>
          <w:iCs/>
          <w:i/>
        </w:rPr>
        <w:t xml:space="preserve">Neuropsychopharmacology</w:t>
      </w:r>
      <w:r>
        <w:t xml:space="preserve">. 2010;35(1):48–69.</w:t>
      </w:r>
      <w:r>
        <w:t xml:space="preserve"> </w:t>
      </w:r>
      <w:hyperlink r:id="rId3625">
        <w:r>
          <w:rPr>
            <w:rStyle w:val="Hyperlink"/>
          </w:rPr>
          <w:t xml:space="preserve">https://doi.org/10.1038/npp.2009.131</w:t>
        </w:r>
      </w:hyperlink>
      <w:r>
        <w:t xml:space="preserve">（研究类型：跨物种行为及回路综述）</w:t>
      </w:r>
    </w:p>
    <w:p>
      <w:pPr>
        <w:pStyle w:val="ReferenceEntry"/>
      </w:pPr>
      <w:bookmarkStart w:id="3626" w:name="ref-516"/>
      <w:r>
        <w:t xml:space="preserve">[516]</w:t>
      </w:r>
      <w:bookmarkEnd w:id="3626"/>
      <w:r>
        <w:t xml:space="preserve"> Miller KJ, Shenhav A, Ludvig EA. Habits without values.</w:t>
      </w:r>
      <w:r>
        <w:t xml:space="preserve"> </w:t>
      </w:r>
      <w:r>
        <w:rPr>
          <w:iCs/>
          <w:i/>
        </w:rPr>
        <w:t xml:space="preserve">Psychological Review</w:t>
      </w:r>
      <w:r>
        <w:t xml:space="preserve">. 2019;126(2):292–311.</w:t>
      </w:r>
      <w:r>
        <w:t xml:space="preserve"> </w:t>
      </w:r>
      <w:hyperlink r:id="rId3627">
        <w:r>
          <w:rPr>
            <w:rStyle w:val="Hyperlink"/>
          </w:rPr>
          <w:t xml:space="preserve">https://doi.org/10.1037/rev0000120</w:t>
        </w:r>
      </w:hyperlink>
      <w:r>
        <w:t xml:space="preserve">（研究类型：习惯计算理论）</w:t>
      </w:r>
    </w:p>
    <w:p>
      <w:pPr>
        <w:pStyle w:val="ReferenceEntry"/>
      </w:pPr>
      <w:bookmarkStart w:id="3628" w:name="ref-517"/>
      <w:r>
        <w:t xml:space="preserve">[517]</w:t>
      </w:r>
      <w:bookmarkEnd w:id="3628"/>
      <w:r>
        <w:t xml:space="preserve"> Dayan P. Improving Generalization for Temporal Difference Learning: The Successor Representation.</w:t>
      </w:r>
      <w:r>
        <w:t xml:space="preserve"> </w:t>
      </w:r>
      <w:r>
        <w:rPr>
          <w:iCs/>
          <w:i/>
        </w:rPr>
        <w:t xml:space="preserve">Neural Computation</w:t>
      </w:r>
      <w:r>
        <w:t xml:space="preserve">. 1993;5(4):613–624.</w:t>
      </w:r>
      <w:r>
        <w:t xml:space="preserve"> </w:t>
      </w:r>
      <w:hyperlink r:id="rId3629">
        <w:r>
          <w:rPr>
            <w:rStyle w:val="Hyperlink"/>
          </w:rPr>
          <w:t xml:space="preserve">https://doi.org/10.1162/neco.1993.5.4.613</w:t>
        </w:r>
      </w:hyperlink>
      <w:r>
        <w:t xml:space="preserve">（研究类型：计算方法与模拟）</w:t>
      </w:r>
    </w:p>
    <w:p>
      <w:pPr>
        <w:pStyle w:val="ReferenceEntry"/>
      </w:pPr>
      <w:bookmarkStart w:id="3630" w:name="ref-518"/>
      <w:r>
        <w:t xml:space="preserve">[518]</w:t>
      </w:r>
      <w:bookmarkEnd w:id="3630"/>
      <w:r>
        <w:t xml:space="preserve"> Collins AGE. A habit and working memory model as an alternative account of human reward-based learning.</w:t>
      </w:r>
      <w:r>
        <w:t xml:space="preserve"> </w:t>
      </w:r>
      <w:r>
        <w:rPr>
          <w:iCs/>
          <w:i/>
        </w:rPr>
        <w:t xml:space="preserve">Nature Human Behaviour</w:t>
      </w:r>
      <w:r>
        <w:t xml:space="preserve">. 2026;10(2):357–369.</w:t>
      </w:r>
      <w:r>
        <w:t xml:space="preserve"> </w:t>
      </w:r>
      <w:hyperlink r:id="rId3631">
        <w:r>
          <w:rPr>
            <w:rStyle w:val="Hyperlink"/>
          </w:rPr>
          <w:t xml:space="preserve">https://doi.org/10.1038/s41562-025-02340-0</w:t>
        </w:r>
      </w:hyperlink>
      <w:r>
        <w:t xml:space="preserve">（研究类型：行为数据再分析与计算模型比较）</w:t>
      </w:r>
    </w:p>
    <w:p>
      <w:pPr>
        <w:pStyle w:val="ReferenceEntry"/>
      </w:pPr>
      <w:bookmarkStart w:id="3632" w:name="ref-519"/>
      <w:r>
        <w:t xml:space="preserve">[519]</w:t>
      </w:r>
      <w:bookmarkEnd w:id="3632"/>
      <w:r>
        <w:t xml:space="preserve"> Kuperwajs I, Russek EM, Mattar MG, Ma WJ, Griffiths TL. Looking deeper into the algorithms underlying human planning.</w:t>
      </w:r>
      <w:r>
        <w:t xml:space="preserve"> </w:t>
      </w:r>
      <w:r>
        <w:rPr>
          <w:iCs/>
          <w:i/>
        </w:rPr>
        <w:t xml:space="preserve">Trends in Cognitive Sciences</w:t>
      </w:r>
      <w:r>
        <w:t xml:space="preserve">. 2026;30(2):149–161.</w:t>
      </w:r>
      <w:r>
        <w:t xml:space="preserve"> </w:t>
      </w:r>
      <w:hyperlink r:id="rId3633">
        <w:r>
          <w:rPr>
            <w:rStyle w:val="Hyperlink"/>
          </w:rPr>
          <w:t xml:space="preserve">https://doi.org/10.1016/j.tics.2025.06.006</w:t>
        </w:r>
      </w:hyperlink>
      <w:r>
        <w:t xml:space="preserve">（研究类型：规划算法综述）</w:t>
      </w:r>
    </w:p>
    <w:p>
      <w:pPr>
        <w:pStyle w:val="ReferenceEntry"/>
      </w:pPr>
      <w:bookmarkStart w:id="3634" w:name="ref-520"/>
      <w:r>
        <w:t xml:space="preserve">[520]</w:t>
      </w:r>
      <w:bookmarkEnd w:id="3634"/>
      <w:r>
        <w:t xml:space="preserve"> Kool W, Gershman SJ, Cushman FA. Cost-Benefit Arbitration Between Multiple Reinforcement-Learning Systems.</w:t>
      </w:r>
      <w:r>
        <w:t xml:space="preserve"> </w:t>
      </w:r>
      <w:r>
        <w:rPr>
          <w:iCs/>
          <w:i/>
        </w:rPr>
        <w:t xml:space="preserve">Psychological Science</w:t>
      </w:r>
      <w:r>
        <w:t xml:space="preserve">. 2017;28(9):1321–1333.</w:t>
      </w:r>
      <w:r>
        <w:t xml:space="preserve"> </w:t>
      </w:r>
      <w:hyperlink r:id="rId3635">
        <w:r>
          <w:rPr>
            <w:rStyle w:val="Hyperlink"/>
          </w:rPr>
          <w:t xml:space="preserve">https://doi.org/10.1177/0956797617708288</w:t>
        </w:r>
      </w:hyperlink>
      <w:r>
        <w:t xml:space="preserve">（研究类型：人类行为与计算建模）</w:t>
      </w:r>
    </w:p>
    <w:p>
      <w:pPr>
        <w:pStyle w:val="ReferenceEntry"/>
      </w:pPr>
      <w:bookmarkStart w:id="3636" w:name="ref-521"/>
      <w:r>
        <w:t xml:space="preserve">[521]</w:t>
      </w:r>
      <w:bookmarkEnd w:id="3636"/>
      <w:r>
        <w:t xml:space="preserve"> Mattar MG, Daw ND. Prioritized memory access explains planning and hippocampal replay.</w:t>
      </w:r>
      <w:r>
        <w:t xml:space="preserve"> </w:t>
      </w:r>
      <w:r>
        <w:rPr>
          <w:iCs/>
          <w:i/>
        </w:rPr>
        <w:t xml:space="preserve">Nature Neuroscience</w:t>
      </w:r>
      <w:r>
        <w:t xml:space="preserve">. 2018;21(11):1609–1617.</w:t>
      </w:r>
      <w:r>
        <w:t xml:space="preserve"> </w:t>
      </w:r>
      <w:hyperlink r:id="rId3637">
        <w:r>
          <w:rPr>
            <w:rStyle w:val="Hyperlink"/>
          </w:rPr>
          <w:t xml:space="preserve">https://doi.org/10.1038/s41593-018-0232-z</w:t>
        </w:r>
      </w:hyperlink>
      <w:r>
        <w:t xml:space="preserve">（研究类型：计算模型）</w:t>
      </w:r>
    </w:p>
    <w:p>
      <w:pPr>
        <w:pStyle w:val="ReferenceEntry"/>
      </w:pPr>
      <w:bookmarkStart w:id="3638" w:name="ref-522"/>
      <w:r>
        <w:t xml:space="preserve">[522]</w:t>
      </w:r>
      <w:bookmarkEnd w:id="3638"/>
      <w:r>
        <w:t xml:space="preserve"> Daw ND, O'Doherty JP, Dayan P, Seymour B, Dolan RJ. Cortical substrates for exploratory decisions in humans.</w:t>
      </w:r>
      <w:r>
        <w:t xml:space="preserve"> </w:t>
      </w:r>
      <w:r>
        <w:rPr>
          <w:iCs/>
          <w:i/>
        </w:rPr>
        <w:t xml:space="preserve">Nature</w:t>
      </w:r>
      <w:r>
        <w:t xml:space="preserve">. 2006;441(7095):876–879.</w:t>
      </w:r>
      <w:r>
        <w:t xml:space="preserve"> </w:t>
      </w:r>
      <w:hyperlink r:id="rId3639">
        <w:r>
          <w:rPr>
            <w:rStyle w:val="Hyperlink"/>
          </w:rPr>
          <w:t xml:space="preserve">https://doi.org/10.1038/nature04766</w:t>
        </w:r>
      </w:hyperlink>
      <w:r>
        <w:t xml:space="preserve">（研究类型：人类多臂选择与功能磁共振）</w:t>
      </w:r>
    </w:p>
    <w:p>
      <w:pPr>
        <w:pStyle w:val="ReferenceEntry"/>
      </w:pPr>
      <w:bookmarkStart w:id="3640" w:name="ref-523"/>
      <w:r>
        <w:t xml:space="preserve">[523]</w:t>
      </w:r>
      <w:bookmarkEnd w:id="3640"/>
      <w:r>
        <w:t xml:space="preserve"> Wilson RC, Geana A, White JM, Ludvig EA, Cohen JD. Humans use directed and random exploration to solve the explore–exploit dilemma.</w:t>
      </w:r>
      <w:r>
        <w:t xml:space="preserve"> </w:t>
      </w:r>
      <w:r>
        <w:rPr>
          <w:iCs/>
          <w:i/>
        </w:rPr>
        <w:t xml:space="preserve">Journal of Experimental Psychology: General</w:t>
      </w:r>
      <w:r>
        <w:t xml:space="preserve">. 2014;143(6):2074–2081.</w:t>
      </w:r>
      <w:r>
        <w:t xml:space="preserve"> </w:t>
      </w:r>
      <w:hyperlink r:id="rId3641">
        <w:r>
          <w:rPr>
            <w:rStyle w:val="Hyperlink"/>
          </w:rPr>
          <w:t xml:space="preserve">https://doi.org/10.1037/a0038199</w:t>
        </w:r>
      </w:hyperlink>
      <w:r>
        <w:t xml:space="preserve">（研究类型：人类行为与计算建模）</w:t>
      </w:r>
    </w:p>
    <w:p>
      <w:pPr>
        <w:pStyle w:val="ReferenceEntry"/>
      </w:pPr>
      <w:bookmarkStart w:id="3642" w:name="ref-524"/>
      <w:r>
        <w:t xml:space="preserve">[524]</w:t>
      </w:r>
      <w:bookmarkEnd w:id="3642"/>
      <w:r>
        <w:t xml:space="preserve"> Nassar MR, Wilson RC, Heasly B, Gold JI. An approximately Bayesian delta-rule model explains the dynamics of belief updating in a changing environment.</w:t>
      </w:r>
      <w:r>
        <w:t xml:space="preserve"> </w:t>
      </w:r>
      <w:r>
        <w:rPr>
          <w:iCs/>
          <w:i/>
        </w:rPr>
        <w:t xml:space="preserve">The Journal of Neuroscience</w:t>
      </w:r>
      <w:r>
        <w:t xml:space="preserve">. 2010;30(37):12366–12378.</w:t>
      </w:r>
      <w:r>
        <w:t xml:space="preserve"> </w:t>
      </w:r>
      <w:hyperlink r:id="rId3643">
        <w:r>
          <w:rPr>
            <w:rStyle w:val="Hyperlink"/>
          </w:rPr>
          <w:t xml:space="preserve">https://doi.org/10.1523/JNEUROSCI.0822-10.2010</w:t>
        </w:r>
      </w:hyperlink>
      <w:r>
        <w:t xml:space="preserve">（研究类型：人类动态预测任务与建模）</w:t>
      </w:r>
    </w:p>
    <w:p>
      <w:pPr>
        <w:pStyle w:val="ReferenceEntry"/>
      </w:pPr>
      <w:bookmarkStart w:id="3644" w:name="ref-525"/>
      <w:r>
        <w:t xml:space="preserve">[525]</w:t>
      </w:r>
      <w:bookmarkEnd w:id="3644"/>
      <w:r>
        <w:t xml:space="preserve"> Guitart-Masip M, Huys QJM, Fuentemilla L, Dayan P, Duzel E, Dolan RJ. Go and no-go learning in reward and punishment: interactions between affect and effect.</w:t>
      </w:r>
      <w:r>
        <w:t xml:space="preserve"> </w:t>
      </w:r>
      <w:r>
        <w:rPr>
          <w:iCs/>
          <w:i/>
        </w:rPr>
        <w:t xml:space="preserve">NeuroImage</w:t>
      </w:r>
      <w:r>
        <w:t xml:space="preserve">. 2012;62(1):154–166.</w:t>
      </w:r>
      <w:r>
        <w:t xml:space="preserve"> </w:t>
      </w:r>
      <w:hyperlink r:id="rId3645">
        <w:r>
          <w:rPr>
            <w:rStyle w:val="Hyperlink"/>
          </w:rPr>
          <w:t xml:space="preserve">https://doi.org/10.1016/j.neuroimage.2012.04.024</w:t>
        </w:r>
      </w:hyperlink>
      <w:r>
        <w:t xml:space="preserve">（研究类型：人类行为与神经影像实验）</w:t>
      </w:r>
    </w:p>
    <w:p>
      <w:pPr>
        <w:pStyle w:val="ReferenceEntry"/>
      </w:pPr>
      <w:bookmarkStart w:id="3646" w:name="ref-526"/>
      <w:r>
        <w:t xml:space="preserve">[526]</w:t>
      </w:r>
      <w:bookmarkEnd w:id="3646"/>
      <w:r>
        <w:t xml:space="preserve"> Westbrook A, Kester D, Braver TS. What Is the Subjective Cost of Cognitive Effort? Load, Trait, and Aging Effects Revealed by Economic Preference.</w:t>
      </w:r>
      <w:r>
        <w:t xml:space="preserve"> </w:t>
      </w:r>
      <w:r>
        <w:rPr>
          <w:iCs/>
          <w:i/>
        </w:rPr>
        <w:t xml:space="preserve">PLoS ONE</w:t>
      </w:r>
      <w:r>
        <w:t xml:space="preserve">. 2013;8(7):e68210.</w:t>
      </w:r>
      <w:r>
        <w:t xml:space="preserve"> </w:t>
      </w:r>
      <w:hyperlink r:id="rId3647">
        <w:r>
          <w:rPr>
            <w:rStyle w:val="Hyperlink"/>
          </w:rPr>
          <w:t xml:space="preserve">https://doi.org/10.1371/journal.pone.0068210</w:t>
        </w:r>
      </w:hyperlink>
      <w:r>
        <w:t xml:space="preserve">（研究类型：认知努力折扣实验）</w:t>
      </w:r>
    </w:p>
    <w:p>
      <w:pPr>
        <w:pStyle w:val="ReferenceEntry"/>
      </w:pPr>
      <w:bookmarkStart w:id="3648" w:name="ref-527"/>
      <w:r>
        <w:t xml:space="preserve">[527]</w:t>
      </w:r>
      <w:bookmarkEnd w:id="3648"/>
      <w:r>
        <w:t xml:space="preserve"> Niv Y, Daw ND, Joel D, Dayan P. Tonic dopamine: opportunity costs and the control of response vigor.</w:t>
      </w:r>
      <w:r>
        <w:t xml:space="preserve"> </w:t>
      </w:r>
      <w:r>
        <w:rPr>
          <w:iCs/>
          <w:i/>
        </w:rPr>
        <w:t xml:space="preserve">Psychopharmacology</w:t>
      </w:r>
      <w:r>
        <w:t xml:space="preserve">. 2007;191(3):507–520.</w:t>
      </w:r>
      <w:r>
        <w:t xml:space="preserve"> </w:t>
      </w:r>
      <w:hyperlink r:id="rId3649">
        <w:r>
          <w:rPr>
            <w:rStyle w:val="Hyperlink"/>
          </w:rPr>
          <w:t xml:space="preserve">https://doi.org/10.1007/s00213-006-0502-4</w:t>
        </w:r>
      </w:hyperlink>
      <w:r>
        <w:t xml:space="preserve">（研究类型：计算理论）</w:t>
      </w:r>
    </w:p>
    <w:p>
      <w:pPr>
        <w:pStyle w:val="ReferenceEntry"/>
      </w:pPr>
      <w:bookmarkStart w:id="3650" w:name="ref-528"/>
      <w:r>
        <w:t xml:space="preserve">[528]</w:t>
      </w:r>
      <w:bookmarkEnd w:id="3650"/>
      <w:r>
        <w:t xml:space="preserve"> Tversky A, Kahneman D. Advances in prospect theory: Cumulative representation of uncertainty.</w:t>
      </w:r>
      <w:r>
        <w:t xml:space="preserve"> </w:t>
      </w:r>
      <w:r>
        <w:rPr>
          <w:iCs/>
          <w:i/>
        </w:rPr>
        <w:t xml:space="preserve">Journal of Risk and Uncertainty</w:t>
      </w:r>
      <w:r>
        <w:t xml:space="preserve">. 1992;5(4):297–323.</w:t>
      </w:r>
      <w:r>
        <w:t xml:space="preserve"> </w:t>
      </w:r>
      <w:hyperlink r:id="rId3651">
        <w:r>
          <w:rPr>
            <w:rStyle w:val="Hyperlink"/>
          </w:rPr>
          <w:t xml:space="preserve">https://doi.org/10.1007/BF00122574</w:t>
        </w:r>
      </w:hyperlink>
      <w:r>
        <w:t xml:space="preserve">（研究类型：决策理论与实验证据）</w:t>
      </w:r>
    </w:p>
    <w:p>
      <w:pPr>
        <w:pStyle w:val="ReferenceEntry"/>
      </w:pPr>
      <w:bookmarkStart w:id="3652" w:name="ref-529"/>
      <w:r>
        <w:t xml:space="preserve">[529]</w:t>
      </w:r>
      <w:bookmarkEnd w:id="3652"/>
      <w:r>
        <w:t xml:space="preserve"> Kable JW, Glimcher PW. The neural correlates of subjective value during intertemporal choice.</w:t>
      </w:r>
      <w:r>
        <w:t xml:space="preserve"> </w:t>
      </w:r>
      <w:r>
        <w:rPr>
          <w:iCs/>
          <w:i/>
        </w:rPr>
        <w:t xml:space="preserve">Nature Neuroscience</w:t>
      </w:r>
      <w:r>
        <w:t xml:space="preserve">. 2007;10(12):1625–1633.</w:t>
      </w:r>
      <w:r>
        <w:t xml:space="preserve"> </w:t>
      </w:r>
      <w:hyperlink r:id="rId3653">
        <w:r>
          <w:rPr>
            <w:rStyle w:val="Hyperlink"/>
          </w:rPr>
          <w:t xml:space="preserve">https://doi.org/10.1038/nn2007</w:t>
        </w:r>
      </w:hyperlink>
      <w:r>
        <w:t xml:space="preserve">（研究类型：人类延迟选择与功能磁共振）</w:t>
      </w:r>
    </w:p>
    <w:p>
      <w:pPr>
        <w:pStyle w:val="ReferenceEntry"/>
      </w:pPr>
      <w:bookmarkStart w:id="3654" w:name="ref-530"/>
      <w:r>
        <w:t xml:space="preserve">[530]</w:t>
      </w:r>
      <w:bookmarkEnd w:id="3654"/>
      <w:r>
        <w:t xml:space="preserve"> Ratcliff R, McKoon G. The diffusion decision model: theory and data for two-choice decision tasks.</w:t>
      </w:r>
      <w:r>
        <w:t xml:space="preserve"> </w:t>
      </w:r>
      <w:r>
        <w:rPr>
          <w:iCs/>
          <w:i/>
        </w:rPr>
        <w:t xml:space="preserve">Neural Computation</w:t>
      </w:r>
      <w:r>
        <w:t xml:space="preserve">. 2008;20(4):873–922.</w:t>
      </w:r>
      <w:r>
        <w:t xml:space="preserve"> </w:t>
      </w:r>
      <w:hyperlink r:id="rId3655">
        <w:r>
          <w:rPr>
            <w:rStyle w:val="Hyperlink"/>
          </w:rPr>
          <w:t xml:space="preserve">https://doi.org/10.1162/neco.2008.12-06-420</w:t>
        </w:r>
      </w:hyperlink>
      <w:r>
        <w:t xml:space="preserve">（研究类型：决策模型综述）</w:t>
      </w:r>
    </w:p>
    <w:p>
      <w:pPr>
        <w:pStyle w:val="ReferenceEntry"/>
      </w:pPr>
      <w:bookmarkStart w:id="3656" w:name="ref-531"/>
      <w:r>
        <w:t xml:space="preserve">[531]</w:t>
      </w:r>
      <w:bookmarkEnd w:id="3656"/>
      <w:r>
        <w:t xml:space="preserve"> Pessoa L. On the relationship between emotion and cognition.</w:t>
      </w:r>
      <w:r>
        <w:t xml:space="preserve"> </w:t>
      </w:r>
      <w:r>
        <w:rPr>
          <w:iCs/>
          <w:i/>
        </w:rPr>
        <w:t xml:space="preserve">Nature Reviews Neuroscience</w:t>
      </w:r>
      <w:r>
        <w:t xml:space="preserve">. 2008;9(2):148–158.</w:t>
      </w:r>
      <w:r>
        <w:t xml:space="preserve"> </w:t>
      </w:r>
      <w:hyperlink r:id="rId3657">
        <w:r>
          <w:rPr>
            <w:rStyle w:val="Hyperlink"/>
          </w:rPr>
          <w:t xml:space="preserve">https://doi.org/10.1038/nrn2317</w:t>
        </w:r>
      </w:hyperlink>
      <w:r>
        <w:t xml:space="preserve">（研究类型：机制综述）</w:t>
      </w:r>
    </w:p>
    <w:p>
      <w:pPr>
        <w:pStyle w:val="ReferenceEntry"/>
      </w:pPr>
      <w:bookmarkStart w:id="3658" w:name="ref-532"/>
      <w:r>
        <w:t xml:space="preserve">[532]</w:t>
      </w:r>
      <w:bookmarkEnd w:id="3658"/>
      <w:r>
        <w:t xml:space="preserve"> Lindquist KA, Wager TD, Kober H, et al. The brain basis of emotion: A meta-analytic review.</w:t>
      </w:r>
      <w:r>
        <w:t xml:space="preserve"> </w:t>
      </w:r>
      <w:r>
        <w:rPr>
          <w:iCs/>
          <w:i/>
        </w:rPr>
        <w:t xml:space="preserve">Behavioral and Brain Sciences</w:t>
      </w:r>
      <w:r>
        <w:t xml:space="preserve">. 2012;35(3):121–143.</w:t>
      </w:r>
      <w:r>
        <w:t xml:space="preserve"> </w:t>
      </w:r>
      <w:hyperlink r:id="rId3659">
        <w:r>
          <w:rPr>
            <w:rStyle w:val="Hyperlink"/>
          </w:rPr>
          <w:t xml:space="preserve">https://doi.org/10.1017/s0140525x11000446</w:t>
        </w:r>
      </w:hyperlink>
      <w:r>
        <w:t xml:space="preserve">（研究类型：神经影像元分析）</w:t>
      </w:r>
    </w:p>
    <w:p>
      <w:pPr>
        <w:pStyle w:val="ReferenceEntry"/>
      </w:pPr>
      <w:bookmarkStart w:id="3660" w:name="ref-533"/>
      <w:r>
        <w:t xml:space="preserve">[533]</w:t>
      </w:r>
      <w:bookmarkEnd w:id="3660"/>
      <w:r>
        <w:t xml:space="preserve"> Saarimäki H, Gotsopoulos A, Jääskeläinen IP, et al. Discrete Neural Signatures of Basic Emotions.</w:t>
      </w:r>
      <w:r>
        <w:t xml:space="preserve"> </w:t>
      </w:r>
      <w:r>
        <w:rPr>
          <w:iCs/>
          <w:i/>
        </w:rPr>
        <w:t xml:space="preserve">Cerebral Cortex</w:t>
      </w:r>
      <w:r>
        <w:t xml:space="preserve">. 2016;26(6):2563–2573.</w:t>
      </w:r>
      <w:r>
        <w:t xml:space="preserve"> </w:t>
      </w:r>
      <w:hyperlink r:id="rId3661">
        <w:r>
          <w:rPr>
            <w:rStyle w:val="Hyperlink"/>
          </w:rPr>
          <w:t xml:space="preserve">https://doi.org/10.1093/cercor/bhv086</w:t>
        </w:r>
      </w:hyperlink>
    </w:p>
    <w:p>
      <w:pPr>
        <w:pStyle w:val="ReferenceEntry"/>
      </w:pPr>
      <w:bookmarkStart w:id="3662" w:name="ref-534"/>
      <w:r>
        <w:t xml:space="preserve">[534]</w:t>
      </w:r>
      <w:bookmarkEnd w:id="3662"/>
      <w:r>
        <w:t xml:space="preserve"> Clark-Polner E, Johnson TD, Barrett LF. Multivoxel Pattern Analysis Does Not Provide Evidence to Support the Existence of Basic Emotions.</w:t>
      </w:r>
      <w:r>
        <w:t xml:space="preserve"> </w:t>
      </w:r>
      <w:r>
        <w:rPr>
          <w:iCs/>
          <w:i/>
        </w:rPr>
        <w:t xml:space="preserve">Cerebral Cortex</w:t>
      </w:r>
      <w:r>
        <w:t xml:space="preserve">. 2017;27(3):1944–1948.</w:t>
      </w:r>
      <w:r>
        <w:t xml:space="preserve"> </w:t>
      </w:r>
      <w:hyperlink r:id="rId3663">
        <w:r>
          <w:rPr>
            <w:rStyle w:val="Hyperlink"/>
          </w:rPr>
          <w:t xml:space="preserve">https://doi.org/10.1093/cercor/bhw028</w:t>
        </w:r>
      </w:hyperlink>
    </w:p>
    <w:p>
      <w:pPr>
        <w:pStyle w:val="ReferenceEntry"/>
      </w:pPr>
      <w:bookmarkStart w:id="3664" w:name="ref-535"/>
      <w:r>
        <w:t xml:space="preserve">[535]</w:t>
      </w:r>
      <w:bookmarkEnd w:id="3664"/>
      <w:r>
        <w:t xml:space="preserve"> Damasio AR.</w:t>
      </w:r>
      <w:r>
        <w:t xml:space="preserve"> </w:t>
      </w:r>
      <w:r>
        <w:rPr>
          <w:iCs/>
          <w:i/>
        </w:rPr>
        <w:t xml:space="preserve">Descartes’ Error: Emotion, Reason, and the Human Brain</w:t>
      </w:r>
      <w:r>
        <w:t xml:space="preserve">. New York: G. P. Putnam’s Sons; 1994.</w:t>
      </w:r>
    </w:p>
    <w:p>
      <w:pPr>
        <w:pStyle w:val="ReferenceEntry"/>
      </w:pPr>
      <w:bookmarkStart w:id="3665" w:name="ref-536"/>
      <w:r>
        <w:t xml:space="preserve">[536]</w:t>
      </w:r>
      <w:bookmarkEnd w:id="3665"/>
      <w:r>
        <w:t xml:space="preserve"> Dunn BD, Dalgleish T, Lawrence AD. The somatic marker hypothesis: A critical evaluation.</w:t>
      </w:r>
      <w:r>
        <w:t xml:space="preserve"> </w:t>
      </w:r>
      <w:r>
        <w:rPr>
          <w:iCs/>
          <w:i/>
        </w:rPr>
        <w:t xml:space="preserve">Neuroscience &amp; Biobehavioral Reviews</w:t>
      </w:r>
      <w:r>
        <w:t xml:space="preserve">. 2006;30(2):239–271.</w:t>
      </w:r>
      <w:r>
        <w:t xml:space="preserve"> </w:t>
      </w:r>
      <w:hyperlink r:id="rId3666">
        <w:r>
          <w:rPr>
            <w:rStyle w:val="Hyperlink"/>
          </w:rPr>
          <w:t xml:space="preserve">https://doi.org/10.1016/j.neubiorev.2005.07.001</w:t>
        </w:r>
      </w:hyperlink>
    </w:p>
    <w:p>
      <w:pPr>
        <w:pStyle w:val="ReferenceEntry"/>
      </w:pPr>
      <w:bookmarkStart w:id="3667" w:name="ref-537"/>
      <w:r>
        <w:t xml:space="preserve">[537]</w:t>
      </w:r>
      <w:bookmarkEnd w:id="3667"/>
      <w:r>
        <w:t xml:space="preserve"> Barrett LF. The theory of constructed emotion: an active inference account of interoception and categorization.</w:t>
      </w:r>
      <w:r>
        <w:t xml:space="preserve"> </w:t>
      </w:r>
      <w:r>
        <w:rPr>
          <w:iCs/>
          <w:i/>
        </w:rPr>
        <w:t xml:space="preserve">Social Cognitive and Affective Neuroscience</w:t>
      </w:r>
      <w:r>
        <w:t xml:space="preserve">. 2017;12(1):1–23.</w:t>
      </w:r>
      <w:r>
        <w:t xml:space="preserve"> </w:t>
      </w:r>
      <w:hyperlink r:id="rId3668">
        <w:r>
          <w:rPr>
            <w:rStyle w:val="Hyperlink"/>
          </w:rPr>
          <w:t xml:space="preserve">https://doi.org/10.1093/scan/nsw154</w:t>
        </w:r>
      </w:hyperlink>
    </w:p>
    <w:p>
      <w:pPr>
        <w:pStyle w:val="ReferenceEntry"/>
      </w:pPr>
      <w:bookmarkStart w:id="3669" w:name="ref-538"/>
      <w:r>
        <w:t xml:space="preserve">[538]</w:t>
      </w:r>
      <w:bookmarkEnd w:id="3669"/>
      <w:r>
        <w:t xml:space="preserve"> Phelps EA, Lempert KM, Sokol-Hessner P. Emotion and Decision Making: Multiple Modulatory Neural Circuits.</w:t>
      </w:r>
      <w:r>
        <w:t xml:space="preserve"> </w:t>
      </w:r>
      <w:r>
        <w:rPr>
          <w:iCs/>
          <w:i/>
        </w:rPr>
        <w:t xml:space="preserve">Annual Review of Neuroscience</w:t>
      </w:r>
      <w:r>
        <w:t xml:space="preserve">. 2014;37(1):263–287.</w:t>
      </w:r>
      <w:r>
        <w:t xml:space="preserve"> </w:t>
      </w:r>
      <w:hyperlink r:id="rId3670">
        <w:r>
          <w:rPr>
            <w:rStyle w:val="Hyperlink"/>
          </w:rPr>
          <w:t xml:space="preserve">https://doi.org/10.1146/annurev-neuro-071013-014119</w:t>
        </w:r>
      </w:hyperlink>
      <w:r>
        <w:t xml:space="preserve">（研究类型：机制综述）</w:t>
      </w:r>
    </w:p>
    <w:p>
      <w:pPr>
        <w:pStyle w:val="ReferenceEntry"/>
      </w:pPr>
      <w:bookmarkStart w:id="3671" w:name="ref-539"/>
      <w:r>
        <w:t xml:space="preserve">[539]</w:t>
      </w:r>
      <w:bookmarkEnd w:id="3671"/>
      <w:r>
        <w:t xml:space="preserve"> Bechara A, Damasio H, Tranel D, Damasio AR. Deciding advantageously before knowing the advantageous strategy.</w:t>
      </w:r>
      <w:r>
        <w:t xml:space="preserve"> </w:t>
      </w:r>
      <w:r>
        <w:rPr>
          <w:iCs/>
          <w:i/>
        </w:rPr>
        <w:t xml:space="preserve">Science</w:t>
      </w:r>
      <w:r>
        <w:t xml:space="preserve">. 1997;275(5304):1293–1295.</w:t>
      </w:r>
      <w:r>
        <w:t xml:space="preserve"> </w:t>
      </w:r>
      <w:hyperlink r:id="rId3672">
        <w:r>
          <w:rPr>
            <w:rStyle w:val="Hyperlink"/>
          </w:rPr>
          <w:t xml:space="preserve">https://doi.org/10.1126/science.275.5304.1293</w:t>
        </w:r>
      </w:hyperlink>
      <w:r>
        <w:t xml:space="preserve">（研究类型：人体行为皮肤电记录与局灶病损比较研究）</w:t>
      </w:r>
    </w:p>
    <w:p>
      <w:pPr>
        <w:pStyle w:val="ReferenceEntry"/>
      </w:pPr>
      <w:bookmarkStart w:id="3673" w:name="ref-540"/>
      <w:r>
        <w:t xml:space="preserve">[540]</w:t>
      </w:r>
      <w:bookmarkEnd w:id="3673"/>
      <w:r>
        <w:t xml:space="preserve"> Maia TV, McClelland JL. A reexamination of the evidence for the somatic marker hypothesis: What participants really know in the Iowa gambling task.</w:t>
      </w:r>
      <w:r>
        <w:t xml:space="preserve"> </w:t>
      </w:r>
      <w:r>
        <w:rPr>
          <w:iCs/>
          <w:i/>
        </w:rPr>
        <w:t xml:space="preserve">Proceedings of the National Academy of Sciences</w:t>
      </w:r>
      <w:r>
        <w:t xml:space="preserve">. 2004;101(45):16075–16080.</w:t>
      </w:r>
      <w:r>
        <w:t xml:space="preserve"> </w:t>
      </w:r>
      <w:hyperlink r:id="rId3674">
        <w:r>
          <w:rPr>
            <w:rStyle w:val="Hyperlink"/>
          </w:rPr>
          <w:t xml:space="preserve">https://doi.org/10.1073/pnas.0406666101</w:t>
        </w:r>
      </w:hyperlink>
      <w:r>
        <w:t xml:space="preserve">（研究类型：原始行为研究）</w:t>
      </w:r>
    </w:p>
    <w:p>
      <w:pPr>
        <w:pStyle w:val="ReferenceEntry"/>
      </w:pPr>
      <w:bookmarkStart w:id="3675" w:name="ref-541"/>
      <w:r>
        <w:t xml:space="preserve">[541]</w:t>
      </w:r>
      <w:bookmarkEnd w:id="3675"/>
      <w:r>
        <w:t xml:space="preserve"> Garfinkel SN, Minati L, Gray MA, Seth AK, Dolan RJ, Critchley HD. Fear from the heart: sensitivity to fear stimuli depends on individual heartbeats.</w:t>
      </w:r>
      <w:r>
        <w:t xml:space="preserve"> </w:t>
      </w:r>
      <w:r>
        <w:rPr>
          <w:iCs/>
          <w:i/>
        </w:rPr>
        <w:t xml:space="preserve">The Journal of Neuroscience</w:t>
      </w:r>
      <w:r>
        <w:t xml:space="preserve">. 2014;34(19):6573–6582.</w:t>
      </w:r>
      <w:r>
        <w:t xml:space="preserve"> </w:t>
      </w:r>
      <w:hyperlink r:id="rId3676">
        <w:r>
          <w:rPr>
            <w:rStyle w:val="Hyperlink"/>
          </w:rPr>
          <w:t xml:space="preserve">https://doi.org/10.1523/JNEUROSCI.3507-13.2014</w:t>
        </w:r>
      </w:hyperlink>
      <w:r>
        <w:t xml:space="preserve">（研究类型：心搏相位同步刺激与行为及影像）</w:t>
      </w:r>
    </w:p>
    <w:p>
      <w:pPr>
        <w:pStyle w:val="ReferenceEntry"/>
      </w:pPr>
      <w:bookmarkStart w:id="3677" w:name="ref-542"/>
      <w:r>
        <w:t xml:space="preserve">[542]</w:t>
      </w:r>
      <w:bookmarkEnd w:id="3677"/>
      <w:r>
        <w:t xml:space="preserve"> De Neys W. Dual processing in reasoning: Two systems but one reasoner.</w:t>
      </w:r>
      <w:r>
        <w:t xml:space="preserve"> </w:t>
      </w:r>
      <w:r>
        <w:rPr>
          <w:iCs/>
          <w:i/>
        </w:rPr>
        <w:t xml:space="preserve">Psychological Science</w:t>
      </w:r>
      <w:r>
        <w:t xml:space="preserve">. 2006;17(5):428–433.</w:t>
      </w:r>
      <w:r>
        <w:t xml:space="preserve"> </w:t>
      </w:r>
      <w:hyperlink r:id="rId3678">
        <w:r>
          <w:rPr>
            <w:rStyle w:val="Hyperlink"/>
          </w:rPr>
          <w:t xml:space="preserve">https://doi.org/10.1111/j.1467-9280.2006.01723.x</w:t>
        </w:r>
      </w:hyperlink>
      <w:r>
        <w:t xml:space="preserve">（研究类型：原始推理实验）</w:t>
      </w:r>
    </w:p>
    <w:p>
      <w:pPr>
        <w:pStyle w:val="ReferenceEntry"/>
      </w:pPr>
      <w:bookmarkStart w:id="3679" w:name="ref-543"/>
      <w:r>
        <w:t xml:space="preserve">[543]</w:t>
      </w:r>
      <w:bookmarkEnd w:id="3679"/>
      <w:r>
        <w:t xml:space="preserve"> Evans JSBT, Stanovich KE. Dual-Process Theories of Higher Cognition: Advancing the Debate.</w:t>
      </w:r>
      <w:r>
        <w:t xml:space="preserve"> </w:t>
      </w:r>
      <w:r>
        <w:rPr>
          <w:iCs/>
          <w:i/>
        </w:rPr>
        <w:t xml:space="preserve">Perspectives on Psychological Science</w:t>
      </w:r>
      <w:r>
        <w:t xml:space="preserve">. 2013;8(3):223–241.</w:t>
      </w:r>
      <w:r>
        <w:t xml:space="preserve"> </w:t>
      </w:r>
      <w:hyperlink r:id="rId3680">
        <w:r>
          <w:rPr>
            <w:rStyle w:val="Hyperlink"/>
          </w:rPr>
          <w:t xml:space="preserve">https://doi.org/10.1177/1745691612460685</w:t>
        </w:r>
      </w:hyperlink>
      <w:r>
        <w:t xml:space="preserve">（研究类型：理论综述）</w:t>
      </w:r>
    </w:p>
    <w:p>
      <w:pPr>
        <w:pStyle w:val="ReferenceEntry"/>
      </w:pPr>
      <w:bookmarkStart w:id="3681" w:name="ref-544"/>
      <w:r>
        <w:t xml:space="preserve">[544]</w:t>
      </w:r>
      <w:bookmarkEnd w:id="3681"/>
      <w:r>
        <w:t xml:space="preserve"> NHLBI NIH. How Sleep Works Sleep Phases and Stages. 2022.</w:t>
      </w:r>
      <w:r>
        <w:t xml:space="preserve"> </w:t>
      </w:r>
      <w:hyperlink r:id="rId3682">
        <w:r>
          <w:rPr>
            <w:rStyle w:val="Hyperlink"/>
          </w:rPr>
          <w:t xml:space="preserve">https://www.nhlbi.nih.gov/health/sleep/stages-of-sleep</w:t>
        </w:r>
      </w:hyperlink>
      <w:r>
        <w:t xml:space="preserve">（研究类型：官方睡眠生理说明）</w:t>
      </w:r>
    </w:p>
    <w:p>
      <w:pPr>
        <w:pStyle w:val="ReferenceEntry"/>
      </w:pPr>
      <w:bookmarkStart w:id="3683" w:name="ref-545"/>
      <w:r>
        <w:t xml:space="preserve">[545]</w:t>
      </w:r>
      <w:bookmarkEnd w:id="3683"/>
      <w:r>
        <w:t xml:space="preserve"> Van Dongen HPA, Maislin G, Mullington JM, Dinges DF. The cumulative cost of additional wakefulness: dose-response effects on neurobehavioral functions and sleep physiology from chronic sleep restriction and total sleep deprivation.</w:t>
      </w:r>
      <w:r>
        <w:t xml:space="preserve"> </w:t>
      </w:r>
      <w:r>
        <w:rPr>
          <w:iCs/>
          <w:i/>
        </w:rPr>
        <w:t xml:space="preserve">Sleep</w:t>
      </w:r>
      <w:r>
        <w:t xml:space="preserve">. 2003;26(2):117–126.</w:t>
      </w:r>
      <w:r>
        <w:t xml:space="preserve"> </w:t>
      </w:r>
      <w:hyperlink r:id="rId3684">
        <w:r>
          <w:rPr>
            <w:rStyle w:val="Hyperlink"/>
          </w:rPr>
          <w:t xml:space="preserve">https://doi.org/10.1093/sleep/26.2.117</w:t>
        </w:r>
      </w:hyperlink>
      <w:r>
        <w:t xml:space="preserve">（研究类型：实验室睡眠限制）</w:t>
      </w:r>
    </w:p>
    <w:p>
      <w:pPr>
        <w:pStyle w:val="ReferenceEntry"/>
      </w:pPr>
      <w:bookmarkStart w:id="3685" w:name="ref-546"/>
      <w:r>
        <w:t xml:space="preserve">[546]</w:t>
      </w:r>
      <w:bookmarkEnd w:id="3685"/>
      <w:r>
        <w:t xml:space="preserve"> Watson NF, Badr MS, Belenky G, Bliwise DL, Buxton OM, Buysse D, et al. Recommended Amount of Sleep for a Healthy Adult: A Joint Consensus Statement of the American Academy of Sleep Medicine and Sleep Research Society.</w:t>
      </w:r>
      <w:r>
        <w:t xml:space="preserve"> </w:t>
      </w:r>
      <w:r>
        <w:rPr>
          <w:iCs/>
          <w:i/>
        </w:rPr>
        <w:t xml:space="preserve">Sleep</w:t>
      </w:r>
      <w:r>
        <w:t xml:space="preserve">. 2015.</w:t>
      </w:r>
      <w:r>
        <w:t xml:space="preserve"> </w:t>
      </w:r>
      <w:hyperlink r:id="rId3686">
        <w:r>
          <w:rPr>
            <w:rStyle w:val="Hyperlink"/>
          </w:rPr>
          <w:t xml:space="preserve">https://doi.org/10.5665/sleep.4716</w:t>
        </w:r>
      </w:hyperlink>
      <w:r>
        <w:t xml:space="preserve">（研究类型：专业共识）</w:t>
      </w:r>
    </w:p>
    <w:p>
      <w:pPr>
        <w:pStyle w:val="ReferenceEntry"/>
      </w:pPr>
      <w:bookmarkStart w:id="3687" w:name="ref-547"/>
      <w:r>
        <w:t xml:space="preserve">[547]</w:t>
      </w:r>
      <w:bookmarkEnd w:id="3687"/>
      <w:r>
        <w:t xml:space="preserve"> Edinger JD, Arnedt JT, Bertisch SM, et al. Behavioral and psychological treatments for chronic insomnia disorder in adults: an American Academy of Sleep Medicine clinical practice guideline.</w:t>
      </w:r>
      <w:r>
        <w:t xml:space="preserve"> </w:t>
      </w:r>
      <w:r>
        <w:rPr>
          <w:iCs/>
          <w:i/>
        </w:rPr>
        <w:t xml:space="preserve">Journal of Clinical Sleep Medicine</w:t>
      </w:r>
      <w:r>
        <w:t xml:space="preserve">. 2021;17(2):255–262.</w:t>
      </w:r>
      <w:r>
        <w:t xml:space="preserve"> </w:t>
      </w:r>
      <w:hyperlink r:id="rId3688">
        <w:r>
          <w:rPr>
            <w:rStyle w:val="Hyperlink"/>
          </w:rPr>
          <w:t xml:space="preserve">https://doi.org/10.5664/jcsm.8986</w:t>
        </w:r>
      </w:hyperlink>
      <w:r>
        <w:t xml:space="preserve">（研究类型：临床指南）</w:t>
      </w:r>
    </w:p>
    <w:p>
      <w:pPr>
        <w:pStyle w:val="ReferenceEntry"/>
      </w:pPr>
      <w:bookmarkStart w:id="3689" w:name="ref-548"/>
      <w:r>
        <w:t xml:space="preserve">[548]</w:t>
      </w:r>
      <w:bookmarkEnd w:id="3689"/>
      <w:r>
        <w:t xml:space="preserve"> Kapur VK et al. Clinical Practice Guideline for Diagnostic Testing for Adult Obstructive Sleep Apnea. 2017.</w:t>
      </w:r>
      <w:r>
        <w:t xml:space="preserve"> </w:t>
      </w:r>
      <w:hyperlink r:id="rId3690">
        <w:r>
          <w:rPr>
            <w:rStyle w:val="Hyperlink"/>
          </w:rPr>
          <w:t xml:space="preserve">https://pmc.ncbi.nlm.nih.gov/articles/PMC5337595/</w:t>
        </w:r>
      </w:hyperlink>
      <w:r>
        <w:t xml:space="preserve">（研究类型：临床指南）</w:t>
      </w:r>
    </w:p>
    <w:p>
      <w:pPr>
        <w:pStyle w:val="ReferenceEntry"/>
      </w:pPr>
      <w:bookmarkStart w:id="3691" w:name="ref-549"/>
      <w:r>
        <w:t xml:space="preserve">[549]</w:t>
      </w:r>
      <w:bookmarkEnd w:id="3691"/>
      <w:r>
        <w:t xml:space="preserve"> Saper CB, Fuller PM, Pedersen NP, Lu J, Scammell TE. Sleep state switching.</w:t>
      </w:r>
      <w:r>
        <w:t xml:space="preserve"> </w:t>
      </w:r>
      <w:r>
        <w:rPr>
          <w:iCs/>
          <w:i/>
        </w:rPr>
        <w:t xml:space="preserve">Neuron</w:t>
      </w:r>
      <w:r>
        <w:t xml:space="preserve">. 2010;68(6):1023–1042.</w:t>
      </w:r>
      <w:r>
        <w:t xml:space="preserve"> </w:t>
      </w:r>
      <w:hyperlink r:id="rId3692">
        <w:r>
          <w:rPr>
            <w:rStyle w:val="Hyperlink"/>
          </w:rPr>
          <w:t xml:space="preserve">https://doi.org/10.1016/j.neuron.2010.11.032</w:t>
        </w:r>
      </w:hyperlink>
      <w:r>
        <w:t xml:space="preserve">（研究类型：机制综述）</w:t>
      </w:r>
    </w:p>
    <w:p>
      <w:pPr>
        <w:pStyle w:val="ReferenceEntry"/>
      </w:pPr>
      <w:bookmarkStart w:id="3693" w:name="ref-550"/>
      <w:r>
        <w:t xml:space="preserve">[550]</w:t>
      </w:r>
      <w:bookmarkEnd w:id="3693"/>
      <w:r>
        <w:t xml:space="preserve"> Vyazovskiy VV, Olcese U, Hanlon EC, Nir Y, Cirelli C, Tononi G. Local sleep in awake rats.</w:t>
      </w:r>
      <w:r>
        <w:t xml:space="preserve"> </w:t>
      </w:r>
      <w:r>
        <w:rPr>
          <w:iCs/>
          <w:i/>
        </w:rPr>
        <w:t xml:space="preserve">Nature</w:t>
      </w:r>
      <w:r>
        <w:t xml:space="preserve">. 2011;472(7344):443–447.</w:t>
      </w:r>
      <w:r>
        <w:t xml:space="preserve"> </w:t>
      </w:r>
      <w:hyperlink r:id="rId3694">
        <w:r>
          <w:rPr>
            <w:rStyle w:val="Hyperlink"/>
          </w:rPr>
          <w:t xml:space="preserve">https://doi.org/10.1038/nature10009</w:t>
        </w:r>
      </w:hyperlink>
      <w:r>
        <w:t xml:space="preserve">（研究类型：大鼠电生理与行为实验）</w:t>
      </w:r>
    </w:p>
    <w:p>
      <w:pPr>
        <w:pStyle w:val="ReferenceEntry"/>
      </w:pPr>
      <w:bookmarkStart w:id="3695" w:name="ref-551"/>
      <w:r>
        <w:t xml:space="preserve">[551]</w:t>
      </w:r>
      <w:bookmarkEnd w:id="3695"/>
      <w:r>
        <w:t xml:space="preserve"> Schreiner T, Rasch B. Boosting Vocabulary Learning by Verbal Cueing During Sleep.</w:t>
      </w:r>
      <w:r>
        <w:t xml:space="preserve"> </w:t>
      </w:r>
      <w:r>
        <w:rPr>
          <w:iCs/>
          <w:i/>
        </w:rPr>
        <w:t xml:space="preserve">Cerebral Cortex</w:t>
      </w:r>
      <w:r>
        <w:t xml:space="preserve">. 2015;25(11):4169–4179.</w:t>
      </w:r>
      <w:r>
        <w:t xml:space="preserve"> </w:t>
      </w:r>
      <w:hyperlink r:id="rId3696">
        <w:r>
          <w:rPr>
            <w:rStyle w:val="Hyperlink"/>
          </w:rPr>
          <w:t xml:space="preserve">https://doi.org/10.1093/cercor/bhu139</w:t>
        </w:r>
      </w:hyperlink>
      <w:r>
        <w:t xml:space="preserve">（研究类型：睡眠线索提示实验）</w:t>
      </w:r>
    </w:p>
    <w:p>
      <w:pPr>
        <w:pStyle w:val="ReferenceEntry"/>
      </w:pPr>
      <w:bookmarkStart w:id="3697" w:name="ref-552"/>
      <w:r>
        <w:t xml:space="preserve">[552]</w:t>
      </w:r>
      <w:bookmarkEnd w:id="3697"/>
      <w:r>
        <w:t xml:space="preserve"> Hu X, Cheng LY, Chiu MH, Paller KA. Promoting memory consolidation during sleep: A meta-analysis of targeted memory reactivation.</w:t>
      </w:r>
      <w:r>
        <w:t xml:space="preserve"> </w:t>
      </w:r>
      <w:r>
        <w:rPr>
          <w:iCs/>
          <w:i/>
        </w:rPr>
        <w:t xml:space="preserve">Psychological Bulletin</w:t>
      </w:r>
      <w:r>
        <w:t xml:space="preserve">. 2020;146(3):218–244.</w:t>
      </w:r>
      <w:r>
        <w:t xml:space="preserve"> </w:t>
      </w:r>
      <w:hyperlink r:id="rId3698">
        <w:r>
          <w:rPr>
            <w:rStyle w:val="Hyperlink"/>
          </w:rPr>
          <w:t xml:space="preserve">https://doi.org/10.1037/bul0000223</w:t>
        </w:r>
      </w:hyperlink>
      <w:r>
        <w:t xml:space="preserve">（研究类型：元分析）</w:t>
      </w:r>
    </w:p>
    <w:p>
      <w:pPr>
        <w:pStyle w:val="ReferenceEntry"/>
      </w:pPr>
      <w:bookmarkStart w:id="3699" w:name="ref-553"/>
      <w:r>
        <w:t xml:space="preserve">[553]</w:t>
      </w:r>
      <w:bookmarkEnd w:id="3699"/>
      <w:r>
        <w:t xml:space="preserve"> Züst MA, Ruch S, Wiest R, Henke K. Implicit Vocabulary Learning during Sleep Is Bound to Slow-Wave Peaks.</w:t>
      </w:r>
      <w:r>
        <w:t xml:space="preserve"> </w:t>
      </w:r>
      <w:r>
        <w:rPr>
          <w:iCs/>
          <w:i/>
        </w:rPr>
        <w:t xml:space="preserve">Current Biology</w:t>
      </w:r>
      <w:r>
        <w:t xml:space="preserve">. 2019;29(4):541–553.e7.</w:t>
      </w:r>
      <w:r>
        <w:t xml:space="preserve"> </w:t>
      </w:r>
      <w:hyperlink r:id="rId3700">
        <w:r>
          <w:rPr>
            <w:rStyle w:val="Hyperlink"/>
          </w:rPr>
          <w:t xml:space="preserve">https://doi.org/10.1016/j.cub.2018.12.038</w:t>
        </w:r>
      </w:hyperlink>
      <w:r>
        <w:t xml:space="preserve">（研究类型：睡眠期联结学习实验）</w:t>
      </w:r>
    </w:p>
    <w:p>
      <w:pPr>
        <w:pStyle w:val="ReferenceEntry"/>
      </w:pPr>
      <w:bookmarkStart w:id="3701" w:name="ref-554"/>
      <w:r>
        <w:t xml:space="preserve">[554]</w:t>
      </w:r>
      <w:bookmarkEnd w:id="3701"/>
      <w:r>
        <w:t xml:space="preserve"> Staresina BP, Bergmann TO, Bonnefond M, van der Meij R, Jensen O, Deuker L, et al. Hierarchical nesting of slow oscillations, spindles and ripples in the human hippocampus during sleep.</w:t>
      </w:r>
      <w:r>
        <w:t xml:space="preserve"> </w:t>
      </w:r>
      <w:r>
        <w:rPr>
          <w:iCs/>
          <w:i/>
        </w:rPr>
        <w:t xml:space="preserve">Nature Neuroscience</w:t>
      </w:r>
      <w:r>
        <w:t xml:space="preserve">. 2015;18(11):1679–1686.</w:t>
      </w:r>
      <w:r>
        <w:t xml:space="preserve"> </w:t>
      </w:r>
      <w:hyperlink r:id="rId3702">
        <w:r>
          <w:rPr>
            <w:rStyle w:val="Hyperlink"/>
          </w:rPr>
          <w:t xml:space="preserve">https://doi.org/10.1038/nn.4119</w:t>
        </w:r>
      </w:hyperlink>
      <w:r>
        <w:t xml:space="preserve">（研究类型：人类睡眠颅内电生理记录）</w:t>
      </w:r>
    </w:p>
    <w:p>
      <w:pPr>
        <w:pStyle w:val="ReferenceEntry"/>
      </w:pPr>
      <w:bookmarkStart w:id="3703" w:name="ref-555"/>
      <w:r>
        <w:t xml:space="preserve">[555]</w:t>
      </w:r>
      <w:bookmarkEnd w:id="3703"/>
      <w:r>
        <w:t xml:space="preserve"> Ngo HVV, Martinetz T, Born J, Mölle M. Auditory closed-loop stimulation of the sleep slow oscillation enhances memory.</w:t>
      </w:r>
      <w:r>
        <w:t xml:space="preserve"> </w:t>
      </w:r>
      <w:r>
        <w:rPr>
          <w:iCs/>
          <w:i/>
        </w:rPr>
        <w:t xml:space="preserve">Neuron</w:t>
      </w:r>
      <w:r>
        <w:t xml:space="preserve">. 2013;78(3):545–553.</w:t>
      </w:r>
      <w:r>
        <w:t xml:space="preserve"> </w:t>
      </w:r>
      <w:hyperlink r:id="rId3704">
        <w:r>
          <w:rPr>
            <w:rStyle w:val="Hyperlink"/>
          </w:rPr>
          <w:t xml:space="preserve">https://doi.org/10.1016/j.neuron.2013.03.006</w:t>
        </w:r>
      </w:hyperlink>
      <w:r>
        <w:t xml:space="preserve">（研究类型：人类睡眠闭环声音刺激实验）</w:t>
      </w:r>
    </w:p>
    <w:p>
      <w:pPr>
        <w:pStyle w:val="ReferenceEntry"/>
      </w:pPr>
      <w:bookmarkStart w:id="3705" w:name="ref-556"/>
      <w:r>
        <w:t xml:space="preserve">[556]</w:t>
      </w:r>
      <w:bookmarkEnd w:id="3705"/>
      <w:r>
        <w:t xml:space="preserve"> Ruch S, Henke K. Learning During Sleep: A Dream Comes True?.</w:t>
      </w:r>
      <w:r>
        <w:t xml:space="preserve"> </w:t>
      </w:r>
      <w:r>
        <w:rPr>
          <w:iCs/>
          <w:i/>
        </w:rPr>
        <w:t xml:space="preserve">Trends in Cognitive Sciences</w:t>
      </w:r>
      <w:r>
        <w:t xml:space="preserve">. 2020;24(3):170–172.</w:t>
      </w:r>
      <w:r>
        <w:t xml:space="preserve"> </w:t>
      </w:r>
      <w:hyperlink r:id="rId3706">
        <w:r>
          <w:rPr>
            <w:rStyle w:val="Hyperlink"/>
          </w:rPr>
          <w:t xml:space="preserve">https://doi.org/10.1016/j.tics.2019.12.007</w:t>
        </w:r>
      </w:hyperlink>
      <w:r>
        <w:t xml:space="preserve">（研究类型：观点综述）</w:t>
      </w:r>
    </w:p>
    <w:p>
      <w:pPr>
        <w:pStyle w:val="ReferenceEntry"/>
      </w:pPr>
      <w:bookmarkStart w:id="3707" w:name="ref-557"/>
      <w:r>
        <w:t xml:space="preserve">[557]</w:t>
      </w:r>
      <w:bookmarkEnd w:id="3707"/>
      <w:r>
        <w:t xml:space="preserve"> Xie L, Kang H, Xu Q, et al. Sleep Drives Metabolite Clearance from the Adult Brain.</w:t>
      </w:r>
      <w:r>
        <w:t xml:space="preserve"> </w:t>
      </w:r>
      <w:r>
        <w:rPr>
          <w:iCs/>
          <w:i/>
        </w:rPr>
        <w:t xml:space="preserve">Science</w:t>
      </w:r>
      <w:r>
        <w:t xml:space="preserve">. 2013;342(6156):373–377.</w:t>
      </w:r>
      <w:r>
        <w:t xml:space="preserve"> </w:t>
      </w:r>
      <w:hyperlink r:id="rId3708">
        <w:r>
          <w:rPr>
            <w:rStyle w:val="Hyperlink"/>
          </w:rPr>
          <w:t xml:space="preserve">https://doi.org/10.1126/science.1241224</w:t>
        </w:r>
      </w:hyperlink>
      <w:r>
        <w:t xml:space="preserve">（研究类型：小鼠示踪与生理实验）</w:t>
      </w:r>
    </w:p>
    <w:p>
      <w:pPr>
        <w:pStyle w:val="ReferenceEntry"/>
      </w:pPr>
      <w:bookmarkStart w:id="3709" w:name="ref-558"/>
      <w:r>
        <w:t xml:space="preserve">[558]</w:t>
      </w:r>
      <w:bookmarkEnd w:id="3709"/>
      <w:r>
        <w:t xml:space="preserve"> Smith AJ, Yao X, Dix JA, Jin BJ, Verkman AS. Test of the glymphatic hypothesis demonstrates diffusive and aquaporin 4 independent solute transport in rodent brain parenchyma.</w:t>
      </w:r>
      <w:r>
        <w:t xml:space="preserve"> </w:t>
      </w:r>
      <w:r>
        <w:rPr>
          <w:iCs/>
          <w:i/>
        </w:rPr>
        <w:t xml:space="preserve">eLife</w:t>
      </w:r>
      <w:r>
        <w:t xml:space="preserve">. 2017;6:e27679.</w:t>
      </w:r>
      <w:r>
        <w:t xml:space="preserve"> </w:t>
      </w:r>
      <w:hyperlink r:id="rId3710">
        <w:r>
          <w:rPr>
            <w:rStyle w:val="Hyperlink"/>
          </w:rPr>
          <w:t xml:space="preserve">https://doi.org/10.7554/eLife.27679</w:t>
        </w:r>
      </w:hyperlink>
      <w:r>
        <w:t xml:space="preserve">（研究类型：啮齿动物示踪与Aqp4敲除实验）</w:t>
      </w:r>
    </w:p>
    <w:p>
      <w:pPr>
        <w:pStyle w:val="ReferenceEntry"/>
      </w:pPr>
      <w:bookmarkStart w:id="3711" w:name="ref-559"/>
      <w:r>
        <w:t xml:space="preserve">[559]</w:t>
      </w:r>
      <w:bookmarkEnd w:id="3711"/>
      <w:r>
        <w:t xml:space="preserve"> Hablitz LM, Plá V, Giannetto M, Vinitsky HS, Stæger FF, Metcalfe T, et al. Circadian control of brain glymphatic and lymphatic fluid flow.</w:t>
      </w:r>
      <w:r>
        <w:t xml:space="preserve"> </w:t>
      </w:r>
      <w:r>
        <w:rPr>
          <w:iCs/>
          <w:i/>
        </w:rPr>
        <w:t xml:space="preserve">Nature Communications</w:t>
      </w:r>
      <w:r>
        <w:t xml:space="preserve">. 2020;11(1):4411.</w:t>
      </w:r>
      <w:r>
        <w:t xml:space="preserve"> </w:t>
      </w:r>
      <w:hyperlink r:id="rId3712">
        <w:r>
          <w:rPr>
            <w:rStyle w:val="Hyperlink"/>
          </w:rPr>
          <w:t xml:space="preserve">https://doi.org/10.1038/s41467-020-18115-2</w:t>
        </w:r>
      </w:hyperlink>
      <w:r>
        <w:t xml:space="preserve">（研究类型：小鼠昼夜节律与示踪实验）</w:t>
      </w:r>
    </w:p>
    <w:p>
      <w:pPr>
        <w:pStyle w:val="ReferenceEntry"/>
      </w:pPr>
      <w:bookmarkStart w:id="3713" w:name="ref-560"/>
      <w:r>
        <w:t xml:space="preserve">[560]</w:t>
      </w:r>
      <w:bookmarkEnd w:id="3713"/>
      <w:r>
        <w:t xml:space="preserve"> Dreha-Kulaczewski S, Joseph AA, Merboldt KD, et al. Inspiration Is the Major Regulator of Human CSF Flow.</w:t>
      </w:r>
      <w:r>
        <w:t xml:space="preserve"> </w:t>
      </w:r>
      <w:r>
        <w:rPr>
          <w:iCs/>
          <w:i/>
        </w:rPr>
        <w:t xml:space="preserve">The Journal of Neuroscience</w:t>
      </w:r>
      <w:r>
        <w:t xml:space="preserve">. 2015;35(6):2485–2491.</w:t>
      </w:r>
      <w:r>
        <w:t xml:space="preserve"> </w:t>
      </w:r>
      <w:hyperlink r:id="rId3714">
        <w:r>
          <w:rPr>
            <w:rStyle w:val="Hyperlink"/>
          </w:rPr>
          <w:t xml:space="preserve">https://doi.org/10.1523/jneurosci.3246-14.2015</w:t>
        </w:r>
      </w:hyperlink>
    </w:p>
    <w:p>
      <w:pPr>
        <w:pStyle w:val="ReferenceEntry"/>
      </w:pPr>
      <w:bookmarkStart w:id="3715" w:name="ref-561"/>
      <w:r>
        <w:t xml:space="preserve">[561]</w:t>
      </w:r>
      <w:bookmarkEnd w:id="3715"/>
      <w:r>
        <w:t xml:space="preserve"> Siclari F, Baird B, Perogamvros L, Bernardi G, LaRocque JJ, Riedner B, et al. The neural correlates of dreaming.</w:t>
      </w:r>
      <w:r>
        <w:t xml:space="preserve"> </w:t>
      </w:r>
      <w:r>
        <w:rPr>
          <w:iCs/>
          <w:i/>
        </w:rPr>
        <w:t xml:space="preserve">Nature Neuroscience</w:t>
      </w:r>
      <w:r>
        <w:t xml:space="preserve">. 2017;20(6):872–878.</w:t>
      </w:r>
      <w:r>
        <w:t xml:space="preserve"> </w:t>
      </w:r>
      <w:hyperlink r:id="rId3716">
        <w:r>
          <w:rPr>
            <w:rStyle w:val="Hyperlink"/>
          </w:rPr>
          <w:t xml:space="preserve">https://doi.org/10.1038/nn.4545</w:t>
        </w:r>
      </w:hyperlink>
      <w:r>
        <w:t xml:space="preserve">（研究类型：睡眠高密度EEG与唤醒报告）</w:t>
      </w:r>
    </w:p>
    <w:p>
      <w:pPr>
        <w:pStyle w:val="ReferenceEntry"/>
      </w:pPr>
      <w:bookmarkStart w:id="3717" w:name="ref-562"/>
      <w:r>
        <w:t xml:space="preserve">[562]</w:t>
      </w:r>
      <w:bookmarkEnd w:id="3717"/>
      <w:r>
        <w:t xml:space="preserve"> Konkoly KR, Appel K, Chabani E, Mangiaruga A, Gott J, Mallett R, et al. Real-time dialogue between experimenters and dreamers during REM sleep.</w:t>
      </w:r>
      <w:r>
        <w:t xml:space="preserve"> </w:t>
      </w:r>
      <w:r>
        <w:rPr>
          <w:iCs/>
          <w:i/>
        </w:rPr>
        <w:t xml:space="preserve">Current Biology</w:t>
      </w:r>
      <w:r>
        <w:t xml:space="preserve">. 2021;31(7):1417–1427.e6.</w:t>
      </w:r>
      <w:r>
        <w:t xml:space="preserve"> </w:t>
      </w:r>
      <w:hyperlink r:id="rId3718">
        <w:r>
          <w:rPr>
            <w:rStyle w:val="Hyperlink"/>
          </w:rPr>
          <w:t xml:space="preserve">https://doi.org/10.1016/j.cub.2021.01.026</w:t>
        </w:r>
      </w:hyperlink>
      <w:r>
        <w:t xml:space="preserve">（研究类型：四实验室清醒梦交流实验）</w:t>
      </w:r>
    </w:p>
    <w:p>
      <w:pPr>
        <w:pStyle w:val="ReferenceEntry"/>
      </w:pPr>
      <w:bookmarkStart w:id="3719" w:name="ref-563"/>
      <w:r>
        <w:t xml:space="preserve">[563]</w:t>
      </w:r>
      <w:bookmarkEnd w:id="3719"/>
      <w:r>
        <w:t xml:space="preserve"> Nir Y, Tononi G. Dreaming and the brain from phenomenology to neurophysiology.</w:t>
      </w:r>
      <w:r>
        <w:t xml:space="preserve"> </w:t>
      </w:r>
      <w:r>
        <w:rPr>
          <w:iCs/>
          <w:i/>
        </w:rPr>
        <w:t xml:space="preserve">Trends in Cognitive Sciences</w:t>
      </w:r>
      <w:r>
        <w:t xml:space="preserve">. 2010;14(2):88–100.</w:t>
      </w:r>
      <w:r>
        <w:t xml:space="preserve"> </w:t>
      </w:r>
      <w:hyperlink r:id="rId3720">
        <w:r>
          <w:rPr>
            <w:rStyle w:val="Hyperlink"/>
          </w:rPr>
          <w:t xml:space="preserve">https://doi.org/10.1016/j.tics.2009.12.001</w:t>
        </w:r>
      </w:hyperlink>
      <w:r>
        <w:t xml:space="preserve">（研究类型：梦神经科学综述）</w:t>
      </w:r>
    </w:p>
    <w:p>
      <w:pPr>
        <w:pStyle w:val="ReferenceEntry"/>
      </w:pPr>
      <w:bookmarkStart w:id="3721" w:name="ref-564"/>
      <w:r>
        <w:t xml:space="preserve">[564]</w:t>
      </w:r>
      <w:bookmarkEnd w:id="3721"/>
      <w:r>
        <w:t xml:space="preserve"> Howell M, Avidan AY, Foldvary-Schaefer N, Malkani RG, During EH, Roland JP, et al. Management of REM sleep behavior disorder: an American Academy of Sleep Medicine clinical practice guideline.</w:t>
      </w:r>
      <w:r>
        <w:t xml:space="preserve"> </w:t>
      </w:r>
      <w:r>
        <w:rPr>
          <w:iCs/>
          <w:i/>
        </w:rPr>
        <w:t xml:space="preserve">Journal of Clinical Sleep Medicine</w:t>
      </w:r>
      <w:r>
        <w:t xml:space="preserve">. 2023;19(4):759–768.</w:t>
      </w:r>
      <w:r>
        <w:t xml:space="preserve"> </w:t>
      </w:r>
      <w:hyperlink r:id="rId3722">
        <w:r>
          <w:rPr>
            <w:rStyle w:val="Hyperlink"/>
          </w:rPr>
          <w:t xml:space="preserve">https://doi.org/10.5664/jcsm.10424</w:t>
        </w:r>
      </w:hyperlink>
      <w:r>
        <w:t xml:space="preserve">（研究类型：专业临床指南）</w:t>
      </w:r>
    </w:p>
    <w:p>
      <w:pPr>
        <w:pStyle w:val="ReferenceEntry"/>
      </w:pPr>
      <w:bookmarkStart w:id="3723" w:name="ref-565"/>
      <w:r>
        <w:t xml:space="preserve">[565]</w:t>
      </w:r>
      <w:bookmarkEnd w:id="3723"/>
      <w:r>
        <w:t xml:space="preserve"> Morgenthaler TI, Auerbach S, Casey KR, Kristo D, Maganti R, Ramar K, et al. Position Paper for the Treatment of Nightmare Disorder in Adults: An American Academy of Sleep Medicine Position Paper.</w:t>
      </w:r>
      <w:r>
        <w:t xml:space="preserve"> </w:t>
      </w:r>
      <w:r>
        <w:rPr>
          <w:iCs/>
          <w:i/>
        </w:rPr>
        <w:t xml:space="preserve">Journal of Clinical Sleep Medicine</w:t>
      </w:r>
      <w:r>
        <w:t xml:space="preserve">. 2018;14(6):1041–1055.</w:t>
      </w:r>
      <w:r>
        <w:t xml:space="preserve"> </w:t>
      </w:r>
      <w:hyperlink r:id="rId3724">
        <w:r>
          <w:rPr>
            <w:rStyle w:val="Hyperlink"/>
          </w:rPr>
          <w:t xml:space="preserve">https://doi.org/10.5664/jcsm.7178</w:t>
        </w:r>
      </w:hyperlink>
      <w:r>
        <w:t xml:space="preserve">（研究类型：专业立场文件）</w:t>
      </w:r>
    </w:p>
    <w:p>
      <w:pPr>
        <w:pStyle w:val="ReferenceEntry"/>
      </w:pPr>
      <w:bookmarkStart w:id="3725" w:name="ref-566"/>
      <w:r>
        <w:t xml:space="preserve">[566]</w:t>
      </w:r>
      <w:bookmarkEnd w:id="3725"/>
      <w:r>
        <w:t xml:space="preserve"> Donoghue T, Haller M, Peterson EJ, et al. Parameterizing neural power spectra into periodic and aperiodic components.</w:t>
      </w:r>
      <w:r>
        <w:t xml:space="preserve"> </w:t>
      </w:r>
      <w:r>
        <w:rPr>
          <w:iCs/>
          <w:i/>
        </w:rPr>
        <w:t xml:space="preserve">Nature Neuroscience</w:t>
      </w:r>
      <w:r>
        <w:t xml:space="preserve">. 2020;23(12):1655–1665.</w:t>
      </w:r>
      <w:r>
        <w:t xml:space="preserve"> </w:t>
      </w:r>
      <w:hyperlink r:id="rId3726">
        <w:r>
          <w:rPr>
            <w:rStyle w:val="Hyperlink"/>
          </w:rPr>
          <w:t xml:space="preserve">https://doi.org/10.1038/s41593-020-00744-x</w:t>
        </w:r>
      </w:hyperlink>
      <w:r>
        <w:t xml:space="preserve">（研究类型：计算方法与数据验证）</w:t>
      </w:r>
    </w:p>
    <w:p>
      <w:pPr>
        <w:pStyle w:val="ReferenceEntry"/>
      </w:pPr>
      <w:bookmarkStart w:id="3727" w:name="ref-567"/>
      <w:r>
        <w:t xml:space="preserve">[567]</w:t>
      </w:r>
      <w:bookmarkEnd w:id="3727"/>
      <w:r>
        <w:t xml:space="preserve"> Jensen O, Mazaheri A. Shaping Functional Architecture by Oscillatory Alpha Activity: Gating by Inhibition.</w:t>
      </w:r>
      <w:r>
        <w:t xml:space="preserve"> </w:t>
      </w:r>
      <w:r>
        <w:rPr>
          <w:iCs/>
          <w:i/>
        </w:rPr>
        <w:t xml:space="preserve">Frontiers in Human Neuroscience</w:t>
      </w:r>
      <w:r>
        <w:t xml:space="preserve">. 2010;4:186.</w:t>
      </w:r>
      <w:r>
        <w:t xml:space="preserve"> </w:t>
      </w:r>
      <w:hyperlink r:id="rId3728">
        <w:r>
          <w:rPr>
            <w:rStyle w:val="Hyperlink"/>
          </w:rPr>
          <w:t xml:space="preserve">https://doi.org/10.3389/fnhum.2010.00186</w:t>
        </w:r>
      </w:hyperlink>
    </w:p>
    <w:p>
      <w:pPr>
        <w:pStyle w:val="ReferenceEntry"/>
      </w:pPr>
      <w:bookmarkStart w:id="3729" w:name="ref-568"/>
      <w:r>
        <w:t xml:space="preserve">[568]</w:t>
      </w:r>
      <w:bookmarkEnd w:id="3729"/>
      <w:r>
        <w:t xml:space="preserve"> Morrow A, Elias M, Samaha J. Evaluating the Evidence for the Functional Inhibition Account of Alpha-band Oscillations during Preparatory Attention.</w:t>
      </w:r>
      <w:r>
        <w:t xml:space="preserve"> </w:t>
      </w:r>
      <w:r>
        <w:rPr>
          <w:iCs/>
          <w:i/>
        </w:rPr>
        <w:t xml:space="preserve">Journal of Cognitive Neuroscience</w:t>
      </w:r>
      <w:r>
        <w:t xml:space="preserve">. 2023;35(8):1195–1211.</w:t>
      </w:r>
      <w:r>
        <w:t xml:space="preserve"> </w:t>
      </w:r>
      <w:hyperlink r:id="rId3730">
        <w:r>
          <w:rPr>
            <w:rStyle w:val="Hyperlink"/>
          </w:rPr>
          <w:t xml:space="preserve">https://doi.org/10.1162/jocn_a_02009</w:t>
        </w:r>
      </w:hyperlink>
    </w:p>
    <w:p>
      <w:pPr>
        <w:pStyle w:val="ReferenceEntry"/>
      </w:pPr>
      <w:bookmarkStart w:id="3731" w:name="ref-569"/>
      <w:r>
        <w:t xml:space="preserve">[569]</w:t>
      </w:r>
      <w:bookmarkEnd w:id="3731"/>
      <w:r>
        <w:t xml:space="preserve"> Cavanagh JF, Frank MJ. Frontal theta as a mechanism for cognitive control.</w:t>
      </w:r>
      <w:r>
        <w:t xml:space="preserve"> </w:t>
      </w:r>
      <w:r>
        <w:rPr>
          <w:iCs/>
          <w:i/>
        </w:rPr>
        <w:t xml:space="preserve">Trends in Cognitive Sciences</w:t>
      </w:r>
      <w:r>
        <w:t xml:space="preserve">. 2014;18(8):414–421.</w:t>
      </w:r>
      <w:r>
        <w:t xml:space="preserve"> </w:t>
      </w:r>
      <w:hyperlink r:id="rId3732">
        <w:r>
          <w:rPr>
            <w:rStyle w:val="Hyperlink"/>
          </w:rPr>
          <w:t xml:space="preserve">https://doi.org/10.1016/j.tics.2014.04.012</w:t>
        </w:r>
      </w:hyperlink>
    </w:p>
    <w:p>
      <w:pPr>
        <w:pStyle w:val="ReferenceEntry"/>
      </w:pPr>
      <w:bookmarkStart w:id="3733" w:name="ref-570"/>
      <w:r>
        <w:t xml:space="preserve">[570]</w:t>
      </w:r>
      <w:bookmarkEnd w:id="3733"/>
      <w:r>
        <w:t xml:space="preserve"> Whitham EM, Pope KJ, Fitzgibbon SP, et al. Scalp electrical recording during paralysis: Quantitative evidence that EEG frequencies above 20 Hz are contaminated by EMG.</w:t>
      </w:r>
      <w:r>
        <w:t xml:space="preserve"> </w:t>
      </w:r>
      <w:r>
        <w:rPr>
          <w:iCs/>
          <w:i/>
        </w:rPr>
        <w:t xml:space="preserve">Clinical Neurophysiology</w:t>
      </w:r>
      <w:r>
        <w:t xml:space="preserve">. 2007;118(8):1877–1888.</w:t>
      </w:r>
      <w:r>
        <w:t xml:space="preserve"> </w:t>
      </w:r>
      <w:hyperlink r:id="rId3734">
        <w:r>
          <w:rPr>
            <w:rStyle w:val="Hyperlink"/>
          </w:rPr>
          <w:t xml:space="preserve">https://doi.org/10.1016/j.clinph.2007.04.027</w:t>
        </w:r>
      </w:hyperlink>
    </w:p>
    <w:p>
      <w:pPr>
        <w:pStyle w:val="ReferenceEntry"/>
      </w:pPr>
      <w:bookmarkStart w:id="3735" w:name="ref-571"/>
      <w:r>
        <w:t xml:space="preserve">[571]</w:t>
      </w:r>
      <w:bookmarkEnd w:id="3735"/>
      <w:r>
        <w:t xml:space="preserve"> Yuval-Greenberg S, Tomer O, Keren AS, et al. Transient Induced Gamma-Band Response in EEG as a Manifestation of Miniature Saccades.</w:t>
      </w:r>
      <w:r>
        <w:t xml:space="preserve"> </w:t>
      </w:r>
      <w:r>
        <w:rPr>
          <w:iCs/>
          <w:i/>
        </w:rPr>
        <w:t xml:space="preserve">Neuron</w:t>
      </w:r>
      <w:r>
        <w:t xml:space="preserve">. 2008;58(3):429–441.</w:t>
      </w:r>
      <w:r>
        <w:t xml:space="preserve"> </w:t>
      </w:r>
      <w:hyperlink r:id="rId3736">
        <w:r>
          <w:rPr>
            <w:rStyle w:val="Hyperlink"/>
          </w:rPr>
          <w:t xml:space="preserve">https://doi.org/10.1016/j.neuron.2008.03.027</w:t>
        </w:r>
      </w:hyperlink>
      <w:r>
        <w:t xml:space="preserve">（研究类型：同步眼动与脑电实验）</w:t>
      </w:r>
    </w:p>
    <w:p>
      <w:pPr>
        <w:pStyle w:val="ReferenceEntry"/>
      </w:pPr>
      <w:bookmarkStart w:id="3737" w:name="ref-572"/>
      <w:r>
        <w:t xml:space="preserve">[572]</w:t>
      </w:r>
      <w:bookmarkEnd w:id="3737"/>
      <w:r>
        <w:t xml:space="preserve"> Fries P. Rhythms for Cognition: Communication through Coherence.</w:t>
      </w:r>
      <w:r>
        <w:t xml:space="preserve"> </w:t>
      </w:r>
      <w:r>
        <w:rPr>
          <w:iCs/>
          <w:i/>
        </w:rPr>
        <w:t xml:space="preserve">Neuron</w:t>
      </w:r>
      <w:r>
        <w:t xml:space="preserve">. 2015;88(1):220–235.</w:t>
      </w:r>
      <w:r>
        <w:t xml:space="preserve"> </w:t>
      </w:r>
      <w:hyperlink r:id="rId3738">
        <w:r>
          <w:rPr>
            <w:rStyle w:val="Hyperlink"/>
          </w:rPr>
          <w:t xml:space="preserve">https://doi.org/10.1016/j.neuron.2015.09.034</w:t>
        </w:r>
      </w:hyperlink>
      <w:r>
        <w:t xml:space="preserve">（研究类型：理论与证据综述）</w:t>
      </w:r>
    </w:p>
    <w:p>
      <w:pPr>
        <w:pStyle w:val="ReferenceEntry"/>
      </w:pPr>
      <w:bookmarkStart w:id="3739" w:name="ref-573"/>
      <w:r>
        <w:t xml:space="preserve">[573]</w:t>
      </w:r>
      <w:bookmarkEnd w:id="3739"/>
      <w:r>
        <w:t xml:space="preserve"> Garcia-Argibay M, Santed MA, Reales JM. Efficacy of binaural auditory beats in cognition, anxiety, and pain perception: a meta-analysis.</w:t>
      </w:r>
      <w:r>
        <w:t xml:space="preserve"> </w:t>
      </w:r>
      <w:r>
        <w:rPr>
          <w:iCs/>
          <w:i/>
        </w:rPr>
        <w:t xml:space="preserve">Psychological Research</w:t>
      </w:r>
      <w:r>
        <w:t xml:space="preserve">. 2019;83(2):357–372.</w:t>
      </w:r>
      <w:r>
        <w:t xml:space="preserve"> </w:t>
      </w:r>
      <w:hyperlink r:id="rId3740">
        <w:r>
          <w:rPr>
            <w:rStyle w:val="Hyperlink"/>
          </w:rPr>
          <w:t xml:space="preserve">https://doi.org/10.1007/s00426-018-1066-8</w:t>
        </w:r>
      </w:hyperlink>
    </w:p>
    <w:p>
      <w:pPr>
        <w:pStyle w:val="ReferenceEntry"/>
      </w:pPr>
      <w:bookmarkStart w:id="3741" w:name="ref-574"/>
      <w:r>
        <w:t xml:space="preserve">[574]</w:t>
      </w:r>
      <w:bookmarkEnd w:id="3741"/>
      <w:r>
        <w:t xml:space="preserve"> Ingendoh RM, Posny ES, Heine A. Binaural beats to entrain the brain? A systematic review of the effects of binaural beat stimulation on brain oscillatory activity, and the implications for psychological research and intervention.</w:t>
      </w:r>
      <w:r>
        <w:t xml:space="preserve"> </w:t>
      </w:r>
      <w:r>
        <w:rPr>
          <w:iCs/>
          <w:i/>
        </w:rPr>
        <w:t xml:space="preserve">PLOS ONE</w:t>
      </w:r>
      <w:r>
        <w:t xml:space="preserve">. 2023;18(5):e0286023.</w:t>
      </w:r>
      <w:r>
        <w:t xml:space="preserve"> </w:t>
      </w:r>
      <w:hyperlink r:id="rId3742">
        <w:r>
          <w:rPr>
            <w:rStyle w:val="Hyperlink"/>
          </w:rPr>
          <w:t xml:space="preserve">https://doi.org/10.1371/journal.pone.0286023</w:t>
        </w:r>
      </w:hyperlink>
      <w:r>
        <w:t xml:space="preserve">（研究类型：系统综述）</w:t>
      </w:r>
    </w:p>
    <w:p>
      <w:pPr>
        <w:pStyle w:val="ReferenceEntry"/>
      </w:pPr>
      <w:bookmarkStart w:id="3743" w:name="ref-575"/>
      <w:r>
        <w:t xml:space="preserve">[575]</w:t>
      </w:r>
      <w:bookmarkEnd w:id="3743"/>
      <w:r>
        <w:t xml:space="preserve"> Buzsáki G, Anastassiou CA, Koch C. The origin of extracellular fields and currents—EEG, ECoG, LFP and spikes.</w:t>
      </w:r>
      <w:r>
        <w:t xml:space="preserve"> </w:t>
      </w:r>
      <w:r>
        <w:rPr>
          <w:iCs/>
          <w:i/>
        </w:rPr>
        <w:t xml:space="preserve">Nature Reviews Neuroscience</w:t>
      </w:r>
      <w:r>
        <w:t xml:space="preserve">. 2012;13(6):407–420.</w:t>
      </w:r>
      <w:r>
        <w:t xml:space="preserve"> </w:t>
      </w:r>
      <w:hyperlink r:id="rId3744">
        <w:r>
          <w:rPr>
            <w:rStyle w:val="Hyperlink"/>
          </w:rPr>
          <w:t xml:space="preserve">https://doi.org/10.1038/nrn3241</w:t>
        </w:r>
      </w:hyperlink>
      <w:r>
        <w:t xml:space="preserve">（研究类型：电生理测量原理）</w:t>
      </w:r>
    </w:p>
    <w:p>
      <w:pPr>
        <w:pStyle w:val="ReferenceEntry"/>
      </w:pPr>
      <w:bookmarkStart w:id="3745" w:name="ref-576"/>
      <w:r>
        <w:t xml:space="preserve">[576]</w:t>
      </w:r>
      <w:bookmarkEnd w:id="3745"/>
      <w:r>
        <w:t xml:space="preserve"> Dehaene S, Changeux JP. Experimental and theoretical approaches to conscious processing.</w:t>
      </w:r>
      <w:r>
        <w:t xml:space="preserve"> </w:t>
      </w:r>
      <w:r>
        <w:rPr>
          <w:iCs/>
          <w:i/>
        </w:rPr>
        <w:t xml:space="preserve">Neuron</w:t>
      </w:r>
      <w:r>
        <w:t xml:space="preserve">. 2011;70(2):200–227.</w:t>
      </w:r>
      <w:r>
        <w:t xml:space="preserve"> </w:t>
      </w:r>
      <w:hyperlink r:id="rId3746">
        <w:r>
          <w:rPr>
            <w:rStyle w:val="Hyperlink"/>
          </w:rPr>
          <w:t xml:space="preserve">https://doi.org/10.1016/j.neuron.2011.03.018</w:t>
        </w:r>
      </w:hyperlink>
      <w:r>
        <w:t xml:space="preserve">（研究类型：意识理论与实验综述）</w:t>
      </w:r>
    </w:p>
    <w:p>
      <w:pPr>
        <w:pStyle w:val="ReferenceEntry"/>
      </w:pPr>
      <w:bookmarkStart w:id="3747" w:name="ref-577"/>
      <w:r>
        <w:t xml:space="preserve">[577]</w:t>
      </w:r>
      <w:bookmarkEnd w:id="3747"/>
      <w:r>
        <w:t xml:space="preserve"> Newell BR, Shanks DR. Unconscious influences on decision making: A critical review.</w:t>
      </w:r>
      <w:r>
        <w:t xml:space="preserve"> </w:t>
      </w:r>
      <w:r>
        <w:rPr>
          <w:iCs/>
          <w:i/>
        </w:rPr>
        <w:t xml:space="preserve">Behavioral and Brain Sciences</w:t>
      </w:r>
      <w:r>
        <w:t xml:space="preserve">. 2014;37(1):1–19.</w:t>
      </w:r>
      <w:r>
        <w:t xml:space="preserve"> </w:t>
      </w:r>
      <w:hyperlink r:id="rId3748">
        <w:r>
          <w:rPr>
            <w:rStyle w:val="Hyperlink"/>
          </w:rPr>
          <w:t xml:space="preserve">https://doi.org/10.1017/S0140525X12003214</w:t>
        </w:r>
      </w:hyperlink>
      <w:r>
        <w:t xml:space="preserve">（研究类型：决策无意识影响批判综述）</w:t>
      </w:r>
    </w:p>
    <w:p>
      <w:pPr>
        <w:pStyle w:val="ReferenceEntry"/>
      </w:pPr>
      <w:bookmarkStart w:id="3749" w:name="ref-578"/>
      <w:r>
        <w:t xml:space="preserve">[578]</w:t>
      </w:r>
      <w:bookmarkEnd w:id="3749"/>
      <w:r>
        <w:t xml:space="preserve"> Cogitate Consortium, Ferrante O, Gorska-Klimowska U, Henin S, Hirschhorn R, Khalaf A, et al. Adversarial testing of global neuronal workspace and integrated information theories of consciousness.</w:t>
      </w:r>
      <w:r>
        <w:t xml:space="preserve"> </w:t>
      </w:r>
      <w:r>
        <w:rPr>
          <w:iCs/>
          <w:i/>
        </w:rPr>
        <w:t xml:space="preserve">Nature</w:t>
      </w:r>
      <w:r>
        <w:t xml:space="preserve">. 2025;642(8066):133–142.</w:t>
      </w:r>
      <w:r>
        <w:t xml:space="preserve"> </w:t>
      </w:r>
      <w:hyperlink r:id="rId3750">
        <w:r>
          <w:rPr>
            <w:rStyle w:val="Hyperlink"/>
          </w:rPr>
          <w:t xml:space="preserve">https://doi.org/10.1038/s41586-025-08888-1</w:t>
        </w:r>
      </w:hyperlink>
      <w:r>
        <w:t xml:space="preserve">（研究类型：预注册对抗性理论合作，多模态实验）</w:t>
      </w:r>
    </w:p>
    <w:p>
      <w:pPr>
        <w:pStyle w:val="ReferenceEntry"/>
      </w:pPr>
      <w:bookmarkStart w:id="3751" w:name="ref-579"/>
      <w:r>
        <w:t xml:space="preserve">[579]</w:t>
      </w:r>
      <w:bookmarkEnd w:id="3751"/>
      <w:r>
        <w:t xml:space="preserve"> Libet B, Gleason CA, Wright EW, Pearl DK. Time of conscious intention to act in relation to onset of cerebral activity (readiness-potential). The unconscious initiation of a freely voluntary act.</w:t>
      </w:r>
      <w:r>
        <w:t xml:space="preserve"> </w:t>
      </w:r>
      <w:r>
        <w:rPr>
          <w:iCs/>
          <w:i/>
        </w:rPr>
        <w:t xml:space="preserve">Brain</w:t>
      </w:r>
      <w:r>
        <w:t xml:space="preserve">. 1983;106(3):623–642.</w:t>
      </w:r>
      <w:r>
        <w:t xml:space="preserve"> </w:t>
      </w:r>
      <w:hyperlink r:id="rId3752">
        <w:r>
          <w:rPr>
            <w:rStyle w:val="Hyperlink"/>
          </w:rPr>
          <w:t xml:space="preserve">https://doi.org/10.1093/brain/106.3.623</w:t>
        </w:r>
      </w:hyperlink>
      <w:r>
        <w:t xml:space="preserve">（研究类型：动作准备电位与主观时间报告）</w:t>
      </w:r>
    </w:p>
    <w:p>
      <w:pPr>
        <w:pStyle w:val="ReferenceEntry"/>
      </w:pPr>
      <w:bookmarkStart w:id="3753" w:name="ref-580"/>
      <w:r>
        <w:t xml:space="preserve">[580]</w:t>
      </w:r>
      <w:bookmarkEnd w:id="3753"/>
      <w:r>
        <w:t xml:space="preserve"> Schurger A, Sitt JD, Dehaene S. An accumulator model for spontaneous neural activity prior to self-initiated movement.</w:t>
      </w:r>
      <w:r>
        <w:t xml:space="preserve"> </w:t>
      </w:r>
      <w:r>
        <w:rPr>
          <w:iCs/>
          <w:i/>
        </w:rPr>
        <w:t xml:space="preserve">Proceedings of the National Academy of Sciences</w:t>
      </w:r>
      <w:r>
        <w:t xml:space="preserve">. 2012;109(42).</w:t>
      </w:r>
      <w:r>
        <w:t xml:space="preserve"> </w:t>
      </w:r>
      <w:hyperlink r:id="rId3754">
        <w:r>
          <w:rPr>
            <w:rStyle w:val="Hyperlink"/>
          </w:rPr>
          <w:t xml:space="preserve">https://doi.org/10.1073/pnas.1210467109</w:t>
        </w:r>
      </w:hyperlink>
      <w:r>
        <w:t xml:space="preserve">（研究类型：计算模型与实验）</w:t>
      </w:r>
    </w:p>
    <w:p>
      <w:pPr>
        <w:pStyle w:val="ReferenceEntry"/>
      </w:pPr>
      <w:bookmarkStart w:id="3755" w:name="ref-581"/>
      <w:r>
        <w:t xml:space="preserve">[581]</w:t>
      </w:r>
      <w:bookmarkEnd w:id="3755"/>
      <w:r>
        <w:t xml:space="preserve"> Maoz U, Yaffe G, Koch C, Mudrik L. Neural precursors of decisions that matter—an ERP study of deliberate and arbitrary choice.</w:t>
      </w:r>
      <w:r>
        <w:t xml:space="preserve"> </w:t>
      </w:r>
      <w:r>
        <w:rPr>
          <w:iCs/>
          <w:i/>
        </w:rPr>
        <w:t xml:space="preserve">eLife</w:t>
      </w:r>
      <w:r>
        <w:t xml:space="preserve">. 2019;8:e39787.</w:t>
      </w:r>
      <w:r>
        <w:t xml:space="preserve"> </w:t>
      </w:r>
      <w:hyperlink r:id="rId3756">
        <w:r>
          <w:rPr>
            <w:rStyle w:val="Hyperlink"/>
          </w:rPr>
          <w:t xml:space="preserve">https://doi.org/10.7554/eLife.39787</w:t>
        </w:r>
      </w:hyperlink>
      <w:r>
        <w:t xml:space="preserve">（研究类型：任意与审慎决策比较）</w:t>
      </w:r>
    </w:p>
    <w:p>
      <w:pPr>
        <w:pStyle w:val="ReferenceEntry"/>
      </w:pPr>
      <w:bookmarkStart w:id="3757" w:name="ref-582"/>
      <w:r>
        <w:t xml:space="preserve">[582]</w:t>
      </w:r>
      <w:bookmarkEnd w:id="3757"/>
      <w:r>
        <w:t xml:space="preserve"> Matsuhashi M, Hallett M. The timing of the conscious intention to move.</w:t>
      </w:r>
      <w:r>
        <w:t xml:space="preserve"> </w:t>
      </w:r>
      <w:r>
        <w:rPr>
          <w:iCs/>
          <w:i/>
        </w:rPr>
        <w:t xml:space="preserve">European Journal of Neuroscience</w:t>
      </w:r>
      <w:r>
        <w:t xml:space="preserve">. 2008;28(11):2344–2351.</w:t>
      </w:r>
      <w:r>
        <w:t xml:space="preserve"> </w:t>
      </w:r>
      <w:hyperlink r:id="rId3758">
        <w:r>
          <w:rPr>
            <w:rStyle w:val="Hyperlink"/>
          </w:rPr>
          <w:t xml:space="preserve">https://doi.org/10.1111/j.1460-9568.2008.06525.x</w:t>
        </w:r>
      </w:hyperlink>
      <w:r>
        <w:t xml:space="preserve">（研究类型：意识意图时间测量实验）</w:t>
      </w:r>
    </w:p>
    <w:p>
      <w:pPr>
        <w:pStyle w:val="ReferenceEntry"/>
      </w:pPr>
      <w:bookmarkStart w:id="3759" w:name="ref-583"/>
      <w:r>
        <w:t xml:space="preserve">[583]</w:t>
      </w:r>
      <w:bookmarkEnd w:id="3759"/>
      <w:r>
        <w:t xml:space="preserve"> Schultze-Kraft M, Birman D, Rusconi M, Allefeld C, Görgen K, Dähne S, et al. The point of no return in vetoing self-initiated movements.</w:t>
      </w:r>
      <w:r>
        <w:t xml:space="preserve"> </w:t>
      </w:r>
      <w:r>
        <w:rPr>
          <w:iCs/>
          <w:i/>
        </w:rPr>
        <w:t xml:space="preserve">Proceedings of the National Academy of Sciences</w:t>
      </w:r>
      <w:r>
        <w:t xml:space="preserve">. 2016;113(4):1080–1085.</w:t>
      </w:r>
      <w:r>
        <w:t xml:space="preserve"> </w:t>
      </w:r>
      <w:hyperlink r:id="rId3760">
        <w:r>
          <w:rPr>
            <w:rStyle w:val="Hyperlink"/>
          </w:rPr>
          <w:t xml:space="preserve">https://doi.org/10.1073/pnas.1513569112</w:t>
        </w:r>
      </w:hyperlink>
      <w:r>
        <w:t xml:space="preserve">（研究类型：实时预测与动作取消实验）</w:t>
      </w:r>
    </w:p>
    <w:p>
      <w:pPr>
        <w:pStyle w:val="ReferenceEntry"/>
      </w:pPr>
      <w:bookmarkStart w:id="3761" w:name="ref-584"/>
      <w:r>
        <w:t xml:space="preserve">[584]</w:t>
      </w:r>
      <w:bookmarkEnd w:id="3761"/>
      <w:r>
        <w:t xml:space="preserve"> Poldrack RA. Can cognitive processes be inferred from neuroimaging data?</w:t>
      </w:r>
      <w:r>
        <w:t xml:space="preserve"> </w:t>
      </w:r>
      <w:r>
        <w:rPr>
          <w:iCs/>
          <w:i/>
        </w:rPr>
        <w:t xml:space="preserve">Trends in Cognitive Sciences</w:t>
      </w:r>
      <w:r>
        <w:t xml:space="preserve">. 2006;10(2):59–63.</w:t>
      </w:r>
      <w:r>
        <w:t xml:space="preserve"> </w:t>
      </w:r>
      <w:hyperlink r:id="rId3762">
        <w:r>
          <w:rPr>
            <w:rStyle w:val="Hyperlink"/>
          </w:rPr>
          <w:t xml:space="preserve">https://doi.org/10.1016/j.tics.2005.12.004</w:t>
        </w:r>
      </w:hyperlink>
      <w:r>
        <w:t xml:space="preserve">（研究类型：方法与数据库分析）</w:t>
      </w:r>
    </w:p>
    <w:p>
      <w:pPr>
        <w:pStyle w:val="ReferenceEntry"/>
      </w:pPr>
      <w:bookmarkStart w:id="3763" w:name="ref-585"/>
      <w:r>
        <w:t xml:space="preserve">[585]</w:t>
      </w:r>
      <w:bookmarkEnd w:id="3763"/>
      <w:r>
        <w:t xml:space="preserve"> Yarkoni T, Poldrack RA, Nichols TE, et al. Large-scale automated synthesis of human functional neuroimaging data.</w:t>
      </w:r>
      <w:r>
        <w:t xml:space="preserve"> </w:t>
      </w:r>
      <w:r>
        <w:rPr>
          <w:iCs/>
          <w:i/>
        </w:rPr>
        <w:t xml:space="preserve">Nature Methods</w:t>
      </w:r>
      <w:r>
        <w:t xml:space="preserve">. 2011;8(8):665–670.</w:t>
      </w:r>
      <w:r>
        <w:t xml:space="preserve"> </w:t>
      </w:r>
      <w:hyperlink r:id="rId3764">
        <w:r>
          <w:rPr>
            <w:rStyle w:val="Hyperlink"/>
          </w:rPr>
          <w:t xml:space="preserve">https://doi.org/10.1038/nmeth.1635</w:t>
        </w:r>
      </w:hyperlink>
    </w:p>
    <w:p>
      <w:pPr>
        <w:pStyle w:val="ReferenceEntry"/>
      </w:pPr>
      <w:bookmarkStart w:id="3765" w:name="ref-586"/>
      <w:r>
        <w:t xml:space="preserve">[586]</w:t>
      </w:r>
      <w:bookmarkEnd w:id="3765"/>
      <w:r>
        <w:t xml:space="preserve"> Elliott ML, Knodt AR, Ireland D, et al. What Is the Test-Retest Reliability of Common Task-Functional MRI Measures? New Empirical Evidence and a Meta-Analysis.</w:t>
      </w:r>
      <w:r>
        <w:t xml:space="preserve"> </w:t>
      </w:r>
      <w:r>
        <w:rPr>
          <w:iCs/>
          <w:i/>
        </w:rPr>
        <w:t xml:space="preserve">Psychological Science</w:t>
      </w:r>
      <w:r>
        <w:t xml:space="preserve">. 2020;31(7):792–806.</w:t>
      </w:r>
      <w:r>
        <w:t xml:space="preserve"> </w:t>
      </w:r>
      <w:hyperlink r:id="rId3766">
        <w:r>
          <w:rPr>
            <w:rStyle w:val="Hyperlink"/>
          </w:rPr>
          <w:t xml:space="preserve">https://doi.org/10.1177/0956797620916786</w:t>
        </w:r>
      </w:hyperlink>
      <w:r>
        <w:t xml:space="preserve">（研究类型：90实验1008人元分析与实证）</w:t>
      </w:r>
    </w:p>
    <w:p>
      <w:pPr>
        <w:pStyle w:val="ReferenceEntry"/>
      </w:pPr>
      <w:bookmarkStart w:id="3767" w:name="ref-587"/>
      <w:r>
        <w:t xml:space="preserve">[587]</w:t>
      </w:r>
      <w:bookmarkEnd w:id="3767"/>
      <w:r>
        <w:t xml:space="preserve"> Trefler A, Sadeghi N, Thomas AG, et al. Impact of time-of-day on brain morphometric measures derived from T1-weighted magnetic resonance imaging.</w:t>
      </w:r>
      <w:r>
        <w:t xml:space="preserve"> </w:t>
      </w:r>
      <w:r>
        <w:rPr>
          <w:iCs/>
          <w:i/>
        </w:rPr>
        <w:t xml:space="preserve">NeuroImage</w:t>
      </w:r>
      <w:r>
        <w:t xml:space="preserve">. 2016;133:41–52.</w:t>
      </w:r>
      <w:r>
        <w:t xml:space="preserve"> </w:t>
      </w:r>
      <w:hyperlink r:id="rId3768">
        <w:r>
          <w:rPr>
            <w:rStyle w:val="Hyperlink"/>
          </w:rPr>
          <w:t xml:space="preserve">https://doi.org/10.1016/j.neuroimage.2016.02.034</w:t>
        </w:r>
      </w:hyperlink>
    </w:p>
    <w:p>
      <w:pPr>
        <w:pStyle w:val="ReferenceEntry"/>
      </w:pPr>
      <w:bookmarkStart w:id="3769" w:name="ref-588"/>
      <w:r>
        <w:t xml:space="preserve">[588]</w:t>
      </w:r>
      <w:bookmarkEnd w:id="3769"/>
      <w:r>
        <w:t xml:space="preserve"> Reuter M, Tisdall MD, Qureshi A, et al. Head motion during MRI acquisition reduces gray matter volume and thickness estimates.</w:t>
      </w:r>
      <w:r>
        <w:t xml:space="preserve"> </w:t>
      </w:r>
      <w:r>
        <w:rPr>
          <w:iCs/>
          <w:i/>
        </w:rPr>
        <w:t xml:space="preserve">NeuroImage</w:t>
      </w:r>
      <w:r>
        <w:t xml:space="preserve">. 2015;107:107–115.</w:t>
      </w:r>
      <w:r>
        <w:t xml:space="preserve"> </w:t>
      </w:r>
      <w:hyperlink r:id="rId3770">
        <w:r>
          <w:rPr>
            <w:rStyle w:val="Hyperlink"/>
          </w:rPr>
          <w:t xml:space="preserve">https://doi.org/10.1016/j.neuroimage.2014.12.006</w:t>
        </w:r>
      </w:hyperlink>
    </w:p>
    <w:p>
      <w:pPr>
        <w:pStyle w:val="ReferenceEntry"/>
      </w:pPr>
      <w:bookmarkStart w:id="3771" w:name="ref-589"/>
      <w:r>
        <w:t xml:space="preserve">[589]</w:t>
      </w:r>
      <w:bookmarkEnd w:id="3771"/>
      <w:r>
        <w:t xml:space="preserve"> Duning T, Kloska S, Steinsträter O, et al. Dehydration confounds the assessment of brain atrophy.</w:t>
      </w:r>
      <w:r>
        <w:t xml:space="preserve"> </w:t>
      </w:r>
      <w:r>
        <w:rPr>
          <w:iCs/>
          <w:i/>
        </w:rPr>
        <w:t xml:space="preserve">Neurology</w:t>
      </w:r>
      <w:r>
        <w:t xml:space="preserve">. 2005;64(3):548–550.</w:t>
      </w:r>
      <w:r>
        <w:t xml:space="preserve"> </w:t>
      </w:r>
      <w:hyperlink r:id="rId3772">
        <w:r>
          <w:rPr>
            <w:rStyle w:val="Hyperlink"/>
          </w:rPr>
          <w:t xml:space="preserve">https://doi.org/10.1212/01.wnl.0000150542.16969.cc</w:t>
        </w:r>
      </w:hyperlink>
    </w:p>
    <w:p>
      <w:pPr>
        <w:pStyle w:val="ReferenceEntry"/>
      </w:pPr>
      <w:bookmarkStart w:id="3773" w:name="ref-590"/>
      <w:r>
        <w:t xml:space="preserve">[590]</w:t>
      </w:r>
      <w:bookmarkEnd w:id="3773"/>
      <w:r>
        <w:t xml:space="preserve"> Meyers SM, Tam R, Lee JS, et al. Does hydration status affect MRI measures of brain volume or water content?</w:t>
      </w:r>
      <w:r>
        <w:t xml:space="preserve"> </w:t>
      </w:r>
      <w:r>
        <w:rPr>
          <w:iCs/>
          <w:i/>
        </w:rPr>
        <w:t xml:space="preserve">Journal of Magnetic Resonance Imaging</w:t>
      </w:r>
      <w:r>
        <w:t xml:space="preserve">. 2016;44(2):296–304.</w:t>
      </w:r>
      <w:r>
        <w:t xml:space="preserve"> </w:t>
      </w:r>
      <w:hyperlink r:id="rId3774">
        <w:r>
          <w:rPr>
            <w:rStyle w:val="Hyperlink"/>
          </w:rPr>
          <w:t xml:space="preserve">https://doi.org/10.1002/jmri.25168</w:t>
        </w:r>
      </w:hyperlink>
    </w:p>
    <w:p>
      <w:pPr>
        <w:pStyle w:val="ReferenceEntry"/>
      </w:pPr>
      <w:bookmarkStart w:id="3775" w:name="ref-591"/>
      <w:r>
        <w:t xml:space="preserve">[591]</w:t>
      </w:r>
      <w:bookmarkEnd w:id="3775"/>
      <w:r>
        <w:t xml:space="preserve"> Kharabian Masouleh S, Eickhoff SB, Zeighami Y, et al. Influence of Processing Pipeline on Cortical Thickness Measurement.</w:t>
      </w:r>
      <w:r>
        <w:t xml:space="preserve"> </w:t>
      </w:r>
      <w:r>
        <w:rPr>
          <w:iCs/>
          <w:i/>
        </w:rPr>
        <w:t xml:space="preserve">Cerebral Cortex</w:t>
      </w:r>
      <w:r>
        <w:t xml:space="preserve">. 2020;30(9):5014–5027.</w:t>
      </w:r>
      <w:r>
        <w:t xml:space="preserve"> </w:t>
      </w:r>
      <w:hyperlink r:id="rId3776">
        <w:r>
          <w:rPr>
            <w:rStyle w:val="Hyperlink"/>
          </w:rPr>
          <w:t xml:space="preserve">https://doi.org/10.1093/cercor/bhaa097</w:t>
        </w:r>
      </w:hyperlink>
    </w:p>
    <w:p>
      <w:pPr>
        <w:pStyle w:val="ReferenceEntry"/>
      </w:pPr>
      <w:bookmarkStart w:id="3777" w:name="ref-592"/>
      <w:r>
        <w:t xml:space="preserve">[592]</w:t>
      </w:r>
      <w:bookmarkEnd w:id="3777"/>
      <w:r>
        <w:t xml:space="preserve"> Birn RM, Diamond JB, Smith MA, et al. Separating respiratory-variation-related fluctuations from neuronal-activity-related fluctuations in fMRI.</w:t>
      </w:r>
      <w:r>
        <w:t xml:space="preserve"> </w:t>
      </w:r>
      <w:r>
        <w:rPr>
          <w:iCs/>
          <w:i/>
        </w:rPr>
        <w:t xml:space="preserve">NeuroImage</w:t>
      </w:r>
      <w:r>
        <w:t xml:space="preserve">. 2006;31(4):1536–1548.</w:t>
      </w:r>
      <w:r>
        <w:t xml:space="preserve"> </w:t>
      </w:r>
      <w:hyperlink r:id="rId3778">
        <w:r>
          <w:rPr>
            <w:rStyle w:val="Hyperlink"/>
          </w:rPr>
          <w:t xml:space="preserve">https://doi.org/10.1016/j.neuroimage.2006.02.048</w:t>
        </w:r>
      </w:hyperlink>
    </w:p>
    <w:p>
      <w:pPr>
        <w:pStyle w:val="ReferenceEntry"/>
      </w:pPr>
      <w:bookmarkStart w:id="3779" w:name="ref-593"/>
      <w:r>
        <w:t xml:space="preserve">[593]</w:t>
      </w:r>
      <w:bookmarkEnd w:id="3779"/>
      <w:r>
        <w:t xml:space="preserve"> Jeurissen B, Leemans A, Tournier JD, et al. Investigating the prevalence of complex fiber configurations in white matter tissue with diffusion magnetic resonance imaging.</w:t>
      </w:r>
      <w:r>
        <w:t xml:space="preserve"> </w:t>
      </w:r>
      <w:r>
        <w:rPr>
          <w:iCs/>
          <w:i/>
        </w:rPr>
        <w:t xml:space="preserve">Human Brain Mapping</w:t>
      </w:r>
      <w:r>
        <w:t xml:space="preserve">. 2013;34(11):2747–2766.</w:t>
      </w:r>
      <w:r>
        <w:t xml:space="preserve"> </w:t>
      </w:r>
      <w:hyperlink r:id="rId3780">
        <w:r>
          <w:rPr>
            <w:rStyle w:val="Hyperlink"/>
          </w:rPr>
          <w:t xml:space="preserve">https://doi.org/10.1002/hbm.22099</w:t>
        </w:r>
      </w:hyperlink>
    </w:p>
    <w:p>
      <w:pPr>
        <w:pStyle w:val="ReferenceEntry"/>
      </w:pPr>
      <w:bookmarkStart w:id="3781" w:name="ref-594"/>
      <w:r>
        <w:t xml:space="preserve">[594]</w:t>
      </w:r>
      <w:bookmarkEnd w:id="3781"/>
      <w:r>
        <w:t xml:space="preserve"> Jones DK, Knösche TR, Turner R. White matter integrity, fiber count, and other fallacies: The do's and don'ts of diffusion MRI.</w:t>
      </w:r>
      <w:r>
        <w:t xml:space="preserve"> </w:t>
      </w:r>
      <w:r>
        <w:rPr>
          <w:iCs/>
          <w:i/>
        </w:rPr>
        <w:t xml:space="preserve">NeuroImage</w:t>
      </w:r>
      <w:r>
        <w:t xml:space="preserve">. 2013;73:239–254.</w:t>
      </w:r>
      <w:r>
        <w:t xml:space="preserve"> </w:t>
      </w:r>
      <w:hyperlink r:id="rId3782">
        <w:r>
          <w:rPr>
            <w:rStyle w:val="Hyperlink"/>
          </w:rPr>
          <w:t xml:space="preserve">https://doi.org/10.1016/j.neuroimage.2012.06.081</w:t>
        </w:r>
      </w:hyperlink>
    </w:p>
    <w:p>
      <w:pPr>
        <w:pStyle w:val="ReferenceEntry"/>
      </w:pPr>
      <w:bookmarkStart w:id="3783" w:name="ref-595"/>
      <w:r>
        <w:t xml:space="preserve">[595]</w:t>
      </w:r>
      <w:bookmarkEnd w:id="3783"/>
      <w:r>
        <w:t xml:space="preserve"> Button KS, Ioannidis JP, Mokrysz C, et al. Power failure: why small sample size undermines the reliability of neuroscience.</w:t>
      </w:r>
      <w:r>
        <w:t xml:space="preserve"> </w:t>
      </w:r>
      <w:r>
        <w:rPr>
          <w:iCs/>
          <w:i/>
        </w:rPr>
        <w:t xml:space="preserve">Nature Reviews Neuroscience</w:t>
      </w:r>
      <w:r>
        <w:t xml:space="preserve">. 2013;14(5):365–376.</w:t>
      </w:r>
      <w:r>
        <w:t xml:space="preserve"> </w:t>
      </w:r>
      <w:hyperlink r:id="rId3784">
        <w:r>
          <w:rPr>
            <w:rStyle w:val="Hyperlink"/>
          </w:rPr>
          <w:t xml:space="preserve">https://doi.org/10.1038/nrn3475</w:t>
        </w:r>
      </w:hyperlink>
      <w:r>
        <w:t xml:space="preserve">（研究类型：统计功效分析）</w:t>
      </w:r>
    </w:p>
    <w:p>
      <w:pPr>
        <w:pStyle w:val="ReferenceEntry"/>
      </w:pPr>
      <w:bookmarkStart w:id="3785" w:name="ref-596"/>
      <w:r>
        <w:t xml:space="preserve">[596]</w:t>
      </w:r>
      <w:bookmarkEnd w:id="3785"/>
      <w:r>
        <w:t xml:space="preserve"> Marek S, Tervo-Clemmens B, Calabro FJ, et al. Reproducible brain-wide association studies require thousands of individuals.</w:t>
      </w:r>
      <w:r>
        <w:t xml:space="preserve"> </w:t>
      </w:r>
      <w:r>
        <w:rPr>
          <w:iCs/>
          <w:i/>
        </w:rPr>
        <w:t xml:space="preserve">Nature</w:t>
      </w:r>
      <w:r>
        <w:t xml:space="preserve">. 2022;603(7902):654–660.</w:t>
      </w:r>
      <w:r>
        <w:t xml:space="preserve"> </w:t>
      </w:r>
      <w:hyperlink r:id="rId3786">
        <w:r>
          <w:rPr>
            <w:rStyle w:val="Hyperlink"/>
          </w:rPr>
          <w:t xml:space="preserve">https://doi.org/10.1038/s41586-022-04492-9</w:t>
        </w:r>
      </w:hyperlink>
      <w:r>
        <w:t xml:space="preserve">（研究类型：大型数据集重抽样）</w:t>
      </w:r>
    </w:p>
    <w:p>
      <w:pPr>
        <w:pStyle w:val="ReferenceEntry"/>
      </w:pPr>
      <w:bookmarkStart w:id="3787" w:name="ref-597"/>
      <w:r>
        <w:t xml:space="preserve">[597]</w:t>
      </w:r>
      <w:bookmarkEnd w:id="3787"/>
      <w:r>
        <w:t xml:space="preserve"> Spisak T, Bingel U, Wager TD. Multivariate BWAS can be replicable with moderate sample sizes.</w:t>
      </w:r>
      <w:r>
        <w:t xml:space="preserve"> </w:t>
      </w:r>
      <w:r>
        <w:rPr>
          <w:iCs/>
          <w:i/>
        </w:rPr>
        <w:t xml:space="preserve">Nature</w:t>
      </w:r>
      <w:r>
        <w:t xml:space="preserve">. 2023;615(7951):E4–E7.</w:t>
      </w:r>
      <w:r>
        <w:t xml:space="preserve"> </w:t>
      </w:r>
      <w:hyperlink r:id="rId3788">
        <w:r>
          <w:rPr>
            <w:rStyle w:val="Hyperlink"/>
          </w:rPr>
          <w:t xml:space="preserve">https://doi.org/10.1038/s41586-023-05745-x</w:t>
        </w:r>
      </w:hyperlink>
    </w:p>
    <w:p>
      <w:pPr>
        <w:pStyle w:val="ReferenceEntry"/>
      </w:pPr>
      <w:bookmarkStart w:id="3789" w:name="ref-598"/>
      <w:r>
        <w:t xml:space="preserve">[598]</w:t>
      </w:r>
      <w:bookmarkEnd w:id="3789"/>
      <w:r>
        <w:t xml:space="preserve"> Botvinik-Nezer R, Holzmeister F, Camerer CF, et al. Variability in the analysis of a single neuroimaging dataset by many teams.</w:t>
      </w:r>
      <w:r>
        <w:t xml:space="preserve"> </w:t>
      </w:r>
      <w:r>
        <w:rPr>
          <w:iCs/>
          <w:i/>
        </w:rPr>
        <w:t xml:space="preserve">Nature</w:t>
      </w:r>
      <w:r>
        <w:t xml:space="preserve">. 2020;582(7810):84–88.</w:t>
      </w:r>
      <w:r>
        <w:t xml:space="preserve"> </w:t>
      </w:r>
      <w:hyperlink r:id="rId3790">
        <w:r>
          <w:rPr>
            <w:rStyle w:val="Hyperlink"/>
          </w:rPr>
          <w:t xml:space="preserve">https://doi.org/10.1038/s41586-020-2314-9</w:t>
        </w:r>
      </w:hyperlink>
      <w:r>
        <w:t xml:space="preserve">（研究类型：70团队同数据分析）</w:t>
      </w:r>
    </w:p>
    <w:p>
      <w:pPr>
        <w:pStyle w:val="ReferenceEntry"/>
      </w:pPr>
      <w:bookmarkStart w:id="3791" w:name="ref-599"/>
      <w:r>
        <w:t xml:space="preserve">[599]</w:t>
      </w:r>
      <w:bookmarkEnd w:id="3791"/>
      <w:r>
        <w:t xml:space="preserve"> Eklund A, Nichols TE, Knutsson H. Cluster failure: Why fMRI inferences for spatial extent have inflated false-positive rates.</w:t>
      </w:r>
      <w:r>
        <w:t xml:space="preserve"> </w:t>
      </w:r>
      <w:r>
        <w:rPr>
          <w:iCs/>
          <w:i/>
        </w:rPr>
        <w:t xml:space="preserve">Proceedings of the National Academy of Sciences</w:t>
      </w:r>
      <w:r>
        <w:t xml:space="preserve">. 2016;113(28):7900–7905.</w:t>
      </w:r>
      <w:r>
        <w:t xml:space="preserve"> </w:t>
      </w:r>
      <w:hyperlink r:id="rId3792">
        <w:r>
          <w:rPr>
            <w:rStyle w:val="Hyperlink"/>
          </w:rPr>
          <w:t xml:space="preserve">https://doi.org/10.1073/pnas.1602413113</w:t>
        </w:r>
      </w:hyperlink>
      <w:r>
        <w:t xml:space="preserve">（更正见</w:t>
      </w:r>
      <w:r>
        <w:t xml:space="preserve"> </w:t>
      </w:r>
      <w:r>
        <w:rPr>
          <w:iCs/>
          <w:i/>
        </w:rPr>
        <w:t xml:space="preserve">Proceedings of the National Academy of Sciences</w:t>
      </w:r>
      <w:r>
        <w:t xml:space="preserve">. 2016;113(33).</w:t>
      </w:r>
      <w:r>
        <w:t xml:space="preserve"> </w:t>
      </w:r>
      <w:hyperlink r:id="rId3793">
        <w:r>
          <w:rPr>
            <w:rStyle w:val="Hyperlink"/>
          </w:rPr>
          <w:t xml:space="preserve">https://doi.org/10.1073/pnas.1612033113</w:t>
        </w:r>
      </w:hyperlink>
      <w:r>
        <w:t xml:space="preserve">）（研究类型：模拟与真实静息数据检验）</w:t>
      </w:r>
    </w:p>
    <w:p>
      <w:pPr>
        <w:pStyle w:val="ReferenceEntry"/>
      </w:pPr>
      <w:bookmarkStart w:id="3794" w:name="ref-600"/>
      <w:r>
        <w:t xml:space="preserve">[600]</w:t>
      </w:r>
      <w:bookmarkEnd w:id="3794"/>
      <w:r>
        <w:t xml:space="preserve"> Bennett CM, Miller MB, Wolford GL. Neural correlates of interspecies perspective taking in the post-mortem Atlantic Salmon: an argument for multiple comparisons correction.</w:t>
      </w:r>
      <w:r>
        <w:t xml:space="preserve"> </w:t>
      </w:r>
      <w:r>
        <w:rPr>
          <w:iCs/>
          <w:i/>
        </w:rPr>
        <w:t xml:space="preserve">NeuroImage</w:t>
      </w:r>
      <w:r>
        <w:t xml:space="preserve">. 2009;47(Suppl 1):S125（会议摘要）.</w:t>
      </w:r>
      <w:r>
        <w:t xml:space="preserve"> </w:t>
      </w:r>
      <w:hyperlink r:id="rId3795">
        <w:r>
          <w:rPr>
            <w:rStyle w:val="Hyperlink"/>
          </w:rPr>
          <w:t xml:space="preserve">https://doi.org/10.1016/s1053-8119(09)71202-9</w:t>
        </w:r>
      </w:hyperlink>
    </w:p>
    <w:p>
      <w:pPr>
        <w:pStyle w:val="ReferenceEntry"/>
      </w:pPr>
      <w:bookmarkStart w:id="3796" w:name="ref-601"/>
      <w:r>
        <w:t xml:space="preserve">[601]</w:t>
      </w:r>
      <w:bookmarkEnd w:id="3796"/>
      <w:r>
        <w:t xml:space="preserve"> Weisberg DS, Keil FC, Goodstein J, et al. The Seductive Allure of Neuroscience Explanations.</w:t>
      </w:r>
      <w:r>
        <w:t xml:space="preserve"> </w:t>
      </w:r>
      <w:r>
        <w:rPr>
          <w:iCs/>
          <w:i/>
        </w:rPr>
        <w:t xml:space="preserve">Journal of Cognitive Neuroscience</w:t>
      </w:r>
      <w:r>
        <w:t xml:space="preserve">. 2008;20(3):470–477.</w:t>
      </w:r>
      <w:r>
        <w:t xml:space="preserve"> </w:t>
      </w:r>
      <w:hyperlink r:id="rId3797">
        <w:r>
          <w:rPr>
            <w:rStyle w:val="Hyperlink"/>
          </w:rPr>
          <w:t xml:space="preserve">https://doi.org/10.1162/jocn.2008.20040</w:t>
        </w:r>
      </w:hyperlink>
      <w:r>
        <w:t xml:space="preserve">（研究类型：解释评价实验）</w:t>
      </w:r>
    </w:p>
    <w:p>
      <w:pPr>
        <w:pStyle w:val="ReferenceEntry"/>
      </w:pPr>
      <w:bookmarkStart w:id="3798" w:name="ref-602"/>
      <w:r>
        <w:t xml:space="preserve">[602]</w:t>
      </w:r>
      <w:bookmarkEnd w:id="3798"/>
      <w:r>
        <w:t xml:space="preserve"> Michael RB, Newman EJ, Vuorre M, et al. On the (non)persuasive power of a brain image.</w:t>
      </w:r>
      <w:r>
        <w:t xml:space="preserve"> </w:t>
      </w:r>
      <w:r>
        <w:rPr>
          <w:iCs/>
          <w:i/>
        </w:rPr>
        <w:t xml:space="preserve">Psychonomic Bulletin &amp; Review</w:t>
      </w:r>
      <w:r>
        <w:t xml:space="preserve">. 2013;20(4):720–725.</w:t>
      </w:r>
      <w:r>
        <w:t xml:space="preserve"> </w:t>
      </w:r>
      <w:hyperlink r:id="rId3799">
        <w:r>
          <w:rPr>
            <w:rStyle w:val="Hyperlink"/>
          </w:rPr>
          <w:t xml:space="preserve">https://doi.org/10.3758/s13423-013-0391-6</w:t>
        </w:r>
      </w:hyperlink>
      <w:r>
        <w:t xml:space="preserve">（研究类型：10次重复与元分析）</w:t>
      </w:r>
    </w:p>
    <w:p>
      <w:pPr>
        <w:pStyle w:val="ReferenceEntry"/>
      </w:pPr>
      <w:bookmarkStart w:id="3800" w:name="ref-603"/>
      <w:r>
        <w:t xml:space="preserve">[603]</w:t>
      </w:r>
      <w:bookmarkEnd w:id="3800"/>
      <w:r>
        <w:t xml:space="preserve"> Bennett EM, McLaughlin PJ. Neuroscience explanations really do satisfy: A systematic review and meta-analysis of the seductive allure of neuroscience.</w:t>
      </w:r>
      <w:r>
        <w:t xml:space="preserve"> </w:t>
      </w:r>
      <w:r>
        <w:rPr>
          <w:iCs/>
          <w:i/>
        </w:rPr>
        <w:t xml:space="preserve">Public Understanding of Science</w:t>
      </w:r>
      <w:r>
        <w:t xml:space="preserve">. 2024;33(3):290–307.</w:t>
      </w:r>
      <w:r>
        <w:t xml:space="preserve"> </w:t>
      </w:r>
      <w:hyperlink r:id="rId3801">
        <w:r>
          <w:rPr>
            <w:rStyle w:val="Hyperlink"/>
          </w:rPr>
          <w:t xml:space="preserve">https://doi.org/10.1177/09636625231205005</w:t>
        </w:r>
      </w:hyperlink>
      <w:r>
        <w:t xml:space="preserve">（研究类型：系统综述与元分析）</w:t>
      </w:r>
    </w:p>
    <w:p>
      <w:pPr>
        <w:pStyle w:val="ReferenceEntry"/>
      </w:pPr>
      <w:bookmarkStart w:id="3802" w:name="ref-604"/>
      <w:r>
        <w:t xml:space="preserve">[604]</w:t>
      </w:r>
      <w:bookmarkEnd w:id="3802"/>
      <w:r>
        <w:t xml:space="preserve"> Dekker S, Lee NC, Howard-Jones P, et al. Neuromyths in Education: Prevalence and Predictors of Misconceptions among Teachers.</w:t>
      </w:r>
      <w:r>
        <w:t xml:space="preserve"> </w:t>
      </w:r>
      <w:r>
        <w:rPr>
          <w:iCs/>
          <w:i/>
        </w:rPr>
        <w:t xml:space="preserve">Frontiers in Psychology</w:t>
      </w:r>
      <w:r>
        <w:t xml:space="preserve">. 2012;3:429.</w:t>
      </w:r>
      <w:r>
        <w:t xml:space="preserve"> </w:t>
      </w:r>
      <w:hyperlink r:id="rId3803">
        <w:r>
          <w:rPr>
            <w:rStyle w:val="Hyperlink"/>
          </w:rPr>
          <w:t xml:space="preserve">https://doi.org/10.3389/fpsyg.2012.00429</w:t>
        </w:r>
      </w:hyperlink>
    </w:p>
    <w:p>
      <w:pPr>
        <w:pStyle w:val="ReferenceEntry"/>
      </w:pPr>
      <w:bookmarkStart w:id="3804" w:name="ref-605"/>
      <w:r>
        <w:t xml:space="preserve">[605]</w:t>
      </w:r>
      <w:bookmarkEnd w:id="3804"/>
      <w:r>
        <w:t xml:space="preserve"> Macdonald K, Germine L, Anderson A, et al. Dispelling the Myth: Training in Education or Neuroscience Decreases but Does Not Eliminate Beliefs in Neuromyths.</w:t>
      </w:r>
      <w:r>
        <w:t xml:space="preserve"> </w:t>
      </w:r>
      <w:r>
        <w:rPr>
          <w:iCs/>
          <w:i/>
        </w:rPr>
        <w:t xml:space="preserve">Frontiers in Psychology</w:t>
      </w:r>
      <w:r>
        <w:t xml:space="preserve">. 2017;8:1314.</w:t>
      </w:r>
      <w:r>
        <w:t xml:space="preserve"> </w:t>
      </w:r>
      <w:hyperlink r:id="rId3805">
        <w:r>
          <w:rPr>
            <w:rStyle w:val="Hyperlink"/>
          </w:rPr>
          <w:t xml:space="preserve">https://doi.org/10.3389/fpsyg.2017.01314</w:t>
        </w:r>
      </w:hyperlink>
    </w:p>
    <w:p>
      <w:pPr>
        <w:pStyle w:val="ReferenceEntry"/>
      </w:pPr>
      <w:bookmarkStart w:id="3806" w:name="ref-606"/>
      <w:r>
        <w:t xml:space="preserve">[606]</w:t>
      </w:r>
      <w:bookmarkEnd w:id="3806"/>
      <w:r>
        <w:t xml:space="preserve"> Lakens D. Equivalence Tests: A Practical Primer for t Tests, Correlations, and Meta-Analyses.</w:t>
      </w:r>
      <w:r>
        <w:t xml:space="preserve"> </w:t>
      </w:r>
      <w:r>
        <w:rPr>
          <w:iCs/>
          <w:i/>
        </w:rPr>
        <w:t xml:space="preserve">Social Psychological and Personality Science</w:t>
      </w:r>
      <w:r>
        <w:t xml:space="preserve">. 2017;8(4):355–362.</w:t>
      </w:r>
      <w:r>
        <w:t xml:space="preserve"> </w:t>
      </w:r>
      <w:hyperlink r:id="rId3807">
        <w:r>
          <w:rPr>
            <w:rStyle w:val="Hyperlink"/>
          </w:rPr>
          <w:t xml:space="preserve">https://doi.org/10.1177/1948550617697177</w:t>
        </w:r>
      </w:hyperlink>
      <w:r>
        <w:t xml:space="preserve">（研究类型：统计方法）</w:t>
      </w:r>
    </w:p>
    <w:p>
      <w:pPr>
        <w:pStyle w:val="ReferenceEntry"/>
      </w:pPr>
      <w:bookmarkStart w:id="3808" w:name="ref-607"/>
      <w:r>
        <w:t xml:space="preserve">[607]</w:t>
      </w:r>
      <w:bookmarkEnd w:id="3808"/>
      <w:r>
        <w:t xml:space="preserve"> Wasserstein RL, Lazar NA. The ASA Statement on p-Values: Context, Process, and Purpose.</w:t>
      </w:r>
      <w:r>
        <w:t xml:space="preserve"> </w:t>
      </w:r>
      <w:r>
        <w:rPr>
          <w:iCs/>
          <w:i/>
        </w:rPr>
        <w:t xml:space="preserve">The American Statistician</w:t>
      </w:r>
      <w:r>
        <w:t xml:space="preserve">. 2016;70(2):129–133.</w:t>
      </w:r>
      <w:r>
        <w:t xml:space="preserve"> </w:t>
      </w:r>
      <w:hyperlink r:id="rId3809">
        <w:r>
          <w:rPr>
            <w:rStyle w:val="Hyperlink"/>
          </w:rPr>
          <w:t xml:space="preserve">https://doi.org/10.1080/00031305.2016.1154108</w:t>
        </w:r>
      </w:hyperlink>
      <w:r>
        <w:t xml:space="preserve">（研究类型：统计学会声明）</w:t>
      </w:r>
    </w:p>
    <w:p>
      <w:pPr>
        <w:pStyle w:val="ReferenceEntry"/>
      </w:pPr>
      <w:bookmarkStart w:id="3810" w:name="ref-608"/>
      <w:r>
        <w:t xml:space="preserve">[608]</w:t>
      </w:r>
      <w:bookmarkEnd w:id="3810"/>
      <w:r>
        <w:t xml:space="preserve"> Gelman A, Stern H. The Difference Between Significant and Not Significant is not Itself Statistically Significant.</w:t>
      </w:r>
      <w:r>
        <w:t xml:space="preserve"> </w:t>
      </w:r>
      <w:r>
        <w:rPr>
          <w:iCs/>
          <w:i/>
        </w:rPr>
        <w:t xml:space="preserve">The American Statistician</w:t>
      </w:r>
      <w:r>
        <w:t xml:space="preserve">. 2006;60(4):328–331.</w:t>
      </w:r>
      <w:r>
        <w:t xml:space="preserve"> </w:t>
      </w:r>
      <w:hyperlink r:id="rId3811">
        <w:r>
          <w:rPr>
            <w:rStyle w:val="Hyperlink"/>
          </w:rPr>
          <w:t xml:space="preserve">https://doi.org/10.1198/000313006X152649</w:t>
        </w:r>
      </w:hyperlink>
      <w:r>
        <w:t xml:space="preserve">（研究类型：统计方法）</w:t>
      </w:r>
    </w:p>
    <w:p>
      <w:pPr>
        <w:pStyle w:val="ReferenceEntry"/>
      </w:pPr>
      <w:bookmarkStart w:id="3812" w:name="ref-609"/>
      <w:r>
        <w:t xml:space="preserve">[609]</w:t>
      </w:r>
      <w:bookmarkEnd w:id="3812"/>
      <w:r>
        <w:t xml:space="preserve"> Nosek BA, Ebersole CR, DeHaven AC, Mellor DT. The preregistration revolution.</w:t>
      </w:r>
      <w:r>
        <w:t xml:space="preserve"> </w:t>
      </w:r>
      <w:r>
        <w:rPr>
          <w:iCs/>
          <w:i/>
        </w:rPr>
        <w:t xml:space="preserve">Proceedings of the National Academy of Sciences</w:t>
      </w:r>
      <w:r>
        <w:t xml:space="preserve">. 2018;115(11):2600–2606.</w:t>
      </w:r>
      <w:r>
        <w:t xml:space="preserve"> </w:t>
      </w:r>
      <w:hyperlink r:id="rId3813">
        <w:r>
          <w:rPr>
            <w:rStyle w:val="Hyperlink"/>
          </w:rPr>
          <w:t xml:space="preserve">https://doi.org/10.1073/pnas.1708274114</w:t>
        </w:r>
      </w:hyperlink>
      <w:r>
        <w:t xml:space="preserve">（研究类型：开放科学方法论）</w:t>
      </w:r>
    </w:p>
    <w:p>
      <w:pPr>
        <w:pStyle w:val="ReferenceEntry"/>
      </w:pPr>
      <w:bookmarkStart w:id="3814" w:name="ref-610"/>
      <w:r>
        <w:t xml:space="preserve">[610]</w:t>
      </w:r>
      <w:bookmarkEnd w:id="3814"/>
      <w:r>
        <w:t xml:space="preserve"> Simmons JP, Nelson LD, Simonsohn U. False-positive psychology: undisclosed flexibility in data collection and analysis allows presenting anything as significant.</w:t>
      </w:r>
      <w:r>
        <w:t xml:space="preserve"> </w:t>
      </w:r>
      <w:r>
        <w:rPr>
          <w:iCs/>
          <w:i/>
        </w:rPr>
        <w:t xml:space="preserve">Psychological Science</w:t>
      </w:r>
      <w:r>
        <w:t xml:space="preserve">. 2011;22(11):1359–1366.</w:t>
      </w:r>
      <w:r>
        <w:t xml:space="preserve"> </w:t>
      </w:r>
      <w:hyperlink r:id="rId3815">
        <w:r>
          <w:rPr>
            <w:rStyle w:val="Hyperlink"/>
          </w:rPr>
          <w:t xml:space="preserve">https://doi.org/10.1177/0956797611417632</w:t>
        </w:r>
      </w:hyperlink>
      <w:r>
        <w:t xml:space="preserve">（研究类型：模拟与演示实验）</w:t>
      </w:r>
    </w:p>
    <w:p>
      <w:pPr>
        <w:pStyle w:val="ReferenceEntry"/>
      </w:pPr>
      <w:bookmarkStart w:id="3816" w:name="ref-611"/>
      <w:r>
        <w:t xml:space="preserve">[611]</w:t>
      </w:r>
      <w:bookmarkEnd w:id="3816"/>
      <w:r>
        <w:t xml:space="preserve"> Lazic SE. The problem of pseudoreplication in neuroscientific studies: is it affecting your analysis?.</w:t>
      </w:r>
      <w:r>
        <w:t xml:space="preserve"> </w:t>
      </w:r>
      <w:r>
        <w:rPr>
          <w:iCs/>
          <w:i/>
        </w:rPr>
        <w:t xml:space="preserve">BMC Neuroscience</w:t>
      </w:r>
      <w:r>
        <w:t xml:space="preserve">. 2010;11(1):5.</w:t>
      </w:r>
      <w:r>
        <w:t xml:space="preserve"> </w:t>
      </w:r>
      <w:hyperlink r:id="rId3817">
        <w:r>
          <w:rPr>
            <w:rStyle w:val="Hyperlink"/>
          </w:rPr>
          <w:t xml:space="preserve">https://doi.org/10.1186/1471-2202-11-5</w:t>
        </w:r>
      </w:hyperlink>
      <w:r>
        <w:t xml:space="preserve">（研究类型：研究方法与文献审查）</w:t>
      </w:r>
    </w:p>
    <w:p>
      <w:pPr>
        <w:pStyle w:val="ReferenceEntry"/>
      </w:pPr>
      <w:bookmarkStart w:id="3818" w:name="ref-612"/>
      <w:r>
        <w:t xml:space="preserve">[612]</w:t>
      </w:r>
      <w:bookmarkEnd w:id="3818"/>
      <w:r>
        <w:t xml:space="preserve"> Hopewell S, Chan AW, Collins GS, Hróbjartsson A, Moher D, Schulz KF, et al. CONSORT 2025 statement: updated guideline for reporting randomised trials.</w:t>
      </w:r>
      <w:r>
        <w:t xml:space="preserve"> </w:t>
      </w:r>
      <w:r>
        <w:rPr>
          <w:iCs/>
          <w:i/>
        </w:rPr>
        <w:t xml:space="preserve">BMJ</w:t>
      </w:r>
      <w:r>
        <w:t xml:space="preserve">. 2025;389:e081123.</w:t>
      </w:r>
      <w:r>
        <w:t xml:space="preserve"> </w:t>
      </w:r>
      <w:hyperlink r:id="rId3819">
        <w:r>
          <w:rPr>
            <w:rStyle w:val="Hyperlink"/>
          </w:rPr>
          <w:t xml:space="preserve">https://doi.org/10.1136/bmj-2024-081123</w:t>
        </w:r>
      </w:hyperlink>
      <w:r>
        <w:t xml:space="preserve">（研究类型：随机试验报告指南）</w:t>
      </w:r>
    </w:p>
    <w:p>
      <w:pPr>
        <w:pStyle w:val="ReferenceEntry"/>
      </w:pPr>
      <w:bookmarkStart w:id="3820" w:name="ref-613"/>
      <w:r>
        <w:t xml:space="preserve">[613]</w:t>
      </w:r>
      <w:bookmarkEnd w:id="3820"/>
      <w:r>
        <w:t xml:space="preserve"> Page MJ, McKenzie JE, Bossuyt PM, Boutron I, Hoffmann TC, Mulrow CD, et al. The PRISMA 2020 statement: an updated guideline for reporting systematic reviews.</w:t>
      </w:r>
      <w:r>
        <w:t xml:space="preserve"> </w:t>
      </w:r>
      <w:r>
        <w:rPr>
          <w:iCs/>
          <w:i/>
        </w:rPr>
        <w:t xml:space="preserve">BMJ</w:t>
      </w:r>
      <w:r>
        <w:t xml:space="preserve">. 2021:n71.</w:t>
      </w:r>
      <w:r>
        <w:t xml:space="preserve"> </w:t>
      </w:r>
      <w:hyperlink r:id="rId3821">
        <w:r>
          <w:rPr>
            <w:rStyle w:val="Hyperlink"/>
          </w:rPr>
          <w:t xml:space="preserve">https://doi.org/10.1136/bmj.n71</w:t>
        </w:r>
      </w:hyperlink>
      <w:r>
        <w:t xml:space="preserve">（研究类型：系统综述报告指南）</w:t>
      </w:r>
    </w:p>
    <w:p>
      <w:pPr>
        <w:pStyle w:val="ReferenceEntry"/>
      </w:pPr>
      <w:bookmarkStart w:id="3822" w:name="ref-614"/>
      <w:r>
        <w:t xml:space="preserve">[614]</w:t>
      </w:r>
      <w:bookmarkEnd w:id="3822"/>
      <w:r>
        <w:t xml:space="preserve"> Sterne JAC, Savović J, Page MJ, Elbers RG, Blencowe NS, Boutron I, et al. RoB 2: a revised tool for assessing risk of bias in randomised trials.</w:t>
      </w:r>
      <w:r>
        <w:t xml:space="preserve"> </w:t>
      </w:r>
      <w:r>
        <w:rPr>
          <w:iCs/>
          <w:i/>
        </w:rPr>
        <w:t xml:space="preserve">BMJ</w:t>
      </w:r>
      <w:r>
        <w:t xml:space="preserve">. 2019:l4898.</w:t>
      </w:r>
      <w:r>
        <w:t xml:space="preserve"> </w:t>
      </w:r>
      <w:hyperlink r:id="rId3823">
        <w:r>
          <w:rPr>
            <w:rStyle w:val="Hyperlink"/>
          </w:rPr>
          <w:t xml:space="preserve">https://doi.org/10.1136/bmj.l4898</w:t>
        </w:r>
      </w:hyperlink>
      <w:r>
        <w:t xml:space="preserve">（研究类型：偏倚评价方法）</w:t>
      </w:r>
    </w:p>
    <w:p>
      <w:pPr>
        <w:pStyle w:val="ReferenceEntry"/>
      </w:pPr>
      <w:bookmarkStart w:id="3824" w:name="ref-615"/>
      <w:r>
        <w:t xml:space="preserve">[615]</w:t>
      </w:r>
      <w:bookmarkEnd w:id="3824"/>
      <w:r>
        <w:t xml:space="preserve"> Sterne JA, Hernán MA, Reeves BC, Savović J, Berkman ND, Viswanathan M, et al. ROBINS-I: a tool for assessing risk of bias in non-randomised studies of interventions.</w:t>
      </w:r>
      <w:r>
        <w:t xml:space="preserve"> </w:t>
      </w:r>
      <w:r>
        <w:rPr>
          <w:iCs/>
          <w:i/>
        </w:rPr>
        <w:t xml:space="preserve">BMJ</w:t>
      </w:r>
      <w:r>
        <w:t xml:space="preserve">. 2016:i4919.</w:t>
      </w:r>
      <w:r>
        <w:t xml:space="preserve"> </w:t>
      </w:r>
      <w:hyperlink r:id="rId3825">
        <w:r>
          <w:rPr>
            <w:rStyle w:val="Hyperlink"/>
          </w:rPr>
          <w:t xml:space="preserve">https://doi.org/10.1136/bmj.i4919</w:t>
        </w:r>
      </w:hyperlink>
      <w:r>
        <w:t xml:space="preserve">（研究类型：观察干预研究偏倚方法）</w:t>
      </w:r>
    </w:p>
    <w:p>
      <w:pPr>
        <w:pStyle w:val="ReferenceEntry"/>
      </w:pPr>
      <w:bookmarkStart w:id="3826" w:name="ref-616"/>
      <w:r>
        <w:t xml:space="preserve">[616]</w:t>
      </w:r>
      <w:bookmarkEnd w:id="3826"/>
      <w:r>
        <w:t xml:space="preserve"> Hernán MA, Robins JM. Causal Inference: What If. 2020.</w:t>
      </w:r>
      <w:r>
        <w:t xml:space="preserve"> </w:t>
      </w:r>
      <w:hyperlink r:id="rId3827">
        <w:r>
          <w:rPr>
            <w:rStyle w:val="Hyperlink"/>
          </w:rPr>
          <w:t xml:space="preserve">https://miguelhernan.org/whatifbook</w:t>
        </w:r>
      </w:hyperlink>
      <w:r>
        <w:t xml:space="preserve">（研究类型：因果推断教材）</w:t>
      </w:r>
    </w:p>
    <w:p>
      <w:pPr>
        <w:pStyle w:val="ReferenceEntry"/>
      </w:pPr>
      <w:bookmarkStart w:id="3828" w:name="ref-617"/>
      <w:r>
        <w:t xml:space="preserve">[617]</w:t>
      </w:r>
      <w:bookmarkEnd w:id="3828"/>
      <w:r>
        <w:t xml:space="preserve"> Percie du Sert N, Hurst V, Ahluwalia A, Alam S, Avey MT, Baker M, et al. The ARRIVE guidelines 2.0: Updated guidelines for reporting animal research.</w:t>
      </w:r>
      <w:r>
        <w:t xml:space="preserve"> </w:t>
      </w:r>
      <w:r>
        <w:rPr>
          <w:iCs/>
          <w:i/>
        </w:rPr>
        <w:t xml:space="preserve">PLOS Biology</w:t>
      </w:r>
      <w:r>
        <w:t xml:space="preserve">. 2020;18(7):e3000410.</w:t>
      </w:r>
      <w:r>
        <w:t xml:space="preserve"> </w:t>
      </w:r>
      <w:hyperlink r:id="rId3829">
        <w:r>
          <w:rPr>
            <w:rStyle w:val="Hyperlink"/>
          </w:rPr>
          <w:t xml:space="preserve">https://doi.org/10.1371/journal.pbio.3000410</w:t>
        </w:r>
      </w:hyperlink>
      <w:r>
        <w:t xml:space="preserve">（研究类型：动物研究报告指南）</w:t>
      </w:r>
    </w:p>
    <w:p>
      <w:pPr>
        <w:pStyle w:val="ReferenceEntry"/>
      </w:pPr>
      <w:bookmarkStart w:id="3830" w:name="ref-618"/>
      <w:r>
        <w:t xml:space="preserve">[618]</w:t>
      </w:r>
      <w:bookmarkEnd w:id="3830"/>
      <w:r>
        <w:t xml:space="preserve"> Collins GS, Moons KGM, Dhiman P, Riley RD, Beam AL, Van Calster B, et al. TRIPOD+AI statement: updated guidance for reporting clinical prediction models that use regression or machine learning methods.</w:t>
      </w:r>
      <w:r>
        <w:t xml:space="preserve"> </w:t>
      </w:r>
      <w:r>
        <w:rPr>
          <w:iCs/>
          <w:i/>
        </w:rPr>
        <w:t xml:space="preserve">BMJ</w:t>
      </w:r>
      <w:r>
        <w:t xml:space="preserve">. 2024;385:e078378.</w:t>
      </w:r>
      <w:r>
        <w:t xml:space="preserve"> </w:t>
      </w:r>
      <w:hyperlink r:id="rId3831">
        <w:r>
          <w:rPr>
            <w:rStyle w:val="Hyperlink"/>
          </w:rPr>
          <w:t xml:space="preserve">https://doi.org/10.1136/bmj-2023-078378</w:t>
        </w:r>
      </w:hyperlink>
      <w:r>
        <w:t xml:space="preserve">（研究类型：预测模型报告指南）</w:t>
      </w:r>
    </w:p>
    <w:p>
      <w:pPr>
        <w:pStyle w:val="ReferenceEntry"/>
      </w:pPr>
      <w:bookmarkStart w:id="3832" w:name="ref-619"/>
      <w:r>
        <w:t xml:space="preserve">[619]</w:t>
      </w:r>
      <w:bookmarkEnd w:id="3832"/>
      <w:r>
        <w:t xml:space="preserve"> Moons KGM, Damen JAA, Kaul T, Hooft L, Andaur Navarro C, Dhiman P, et al. PROBAST+AI: an updated quality, risk of bias, and applicability assessment tool for prediction models using regression or artificial intelligence methods.</w:t>
      </w:r>
      <w:r>
        <w:t xml:space="preserve"> </w:t>
      </w:r>
      <w:r>
        <w:rPr>
          <w:iCs/>
          <w:i/>
        </w:rPr>
        <w:t xml:space="preserve">BMJ</w:t>
      </w:r>
      <w:r>
        <w:t xml:space="preserve">. 2025;388:e082505.</w:t>
      </w:r>
      <w:r>
        <w:t xml:space="preserve"> </w:t>
      </w:r>
      <w:hyperlink r:id="rId3833">
        <w:r>
          <w:rPr>
            <w:rStyle w:val="Hyperlink"/>
          </w:rPr>
          <w:t xml:space="preserve">https://doi.org/10.1136/bmj-2024-082505</w:t>
        </w:r>
      </w:hyperlink>
      <w:r>
        <w:t xml:space="preserve">（研究类型：模型偏倚评价框架）</w:t>
      </w:r>
    </w:p>
    <w:p>
      <w:pPr>
        <w:pStyle w:val="ReferenceEntry"/>
      </w:pPr>
      <w:bookmarkStart w:id="3834" w:name="ref-620"/>
      <w:r>
        <w:t xml:space="preserve">[620]</w:t>
      </w:r>
      <w:bookmarkEnd w:id="3834"/>
      <w:r>
        <w:t xml:space="preserve"> Hämäläinen M, Hari R, Ilmoniemi RJ, Knuutila J, Lounasmaa OV. Magnetoencephalography—theory, instrumentation, and applications to noninvasive studies of the working human brain.</w:t>
      </w:r>
      <w:r>
        <w:t xml:space="preserve"> </w:t>
      </w:r>
      <w:r>
        <w:rPr>
          <w:iCs/>
          <w:i/>
        </w:rPr>
        <w:t xml:space="preserve">Reviews of Modern Physics</w:t>
      </w:r>
      <w:r>
        <w:t xml:space="preserve">. 1993;65(2):413–497.</w:t>
      </w:r>
      <w:r>
        <w:t xml:space="preserve"> </w:t>
      </w:r>
      <w:hyperlink r:id="rId3835">
        <w:r>
          <w:rPr>
            <w:rStyle w:val="Hyperlink"/>
          </w:rPr>
          <w:t xml:space="preserve">https://doi.org/10.1103/RevModPhys.65.413</w:t>
        </w:r>
      </w:hyperlink>
      <w:r>
        <w:t xml:space="preserve">（研究类型：测量理论与仪器）</w:t>
      </w:r>
    </w:p>
    <w:p>
      <w:pPr>
        <w:pStyle w:val="ReferenceEntry"/>
      </w:pPr>
      <w:bookmarkStart w:id="3836" w:name="ref-621"/>
      <w:r>
        <w:t xml:space="preserve">[621]</w:t>
      </w:r>
      <w:bookmarkEnd w:id="3836"/>
      <w:r>
        <w:t xml:space="preserve"> Yücel MA, von Lühmann A, Scholkmann F, Gervain J, Dan I, Ayaz H, et al. Best practices for fNIRS publications.</w:t>
      </w:r>
      <w:r>
        <w:t xml:space="preserve"> </w:t>
      </w:r>
      <w:r>
        <w:rPr>
          <w:iCs/>
          <w:i/>
        </w:rPr>
        <w:t xml:space="preserve">Neurophotonics</w:t>
      </w:r>
      <w:r>
        <w:t xml:space="preserve">. 2021;8(1):012101.</w:t>
      </w:r>
      <w:r>
        <w:t xml:space="preserve"> </w:t>
      </w:r>
      <w:hyperlink r:id="rId3837">
        <w:r>
          <w:rPr>
            <w:rStyle w:val="Hyperlink"/>
          </w:rPr>
          <w:t xml:space="preserve">https://doi.org/10.1117/1.NPh.8.1.012101</w:t>
        </w:r>
      </w:hyperlink>
      <w:r>
        <w:t xml:space="preserve">（研究类型：方法报告共识）</w:t>
      </w:r>
    </w:p>
    <w:p>
      <w:pPr>
        <w:pStyle w:val="ReferenceEntry"/>
      </w:pPr>
      <w:bookmarkStart w:id="3838" w:name="ref-622"/>
      <w:r>
        <w:t xml:space="preserve">[622]</w:t>
      </w:r>
      <w:bookmarkEnd w:id="3838"/>
      <w:r>
        <w:t xml:space="preserve"> Innis RB, Cunningham VJ, Delforge J, Fujita M, Gjedde A, Gunn RN, et al. Consensus nomenclature for in vivo imaging of reversibly binding radioligands.</w:t>
      </w:r>
      <w:r>
        <w:t xml:space="preserve"> </w:t>
      </w:r>
      <w:r>
        <w:rPr>
          <w:iCs/>
          <w:i/>
        </w:rPr>
        <w:t xml:space="preserve">Journal of Cerebral Blood Flow &amp; Metabolism</w:t>
      </w:r>
      <w:r>
        <w:t xml:space="preserve">. 2007;27(9):1533–1539.</w:t>
      </w:r>
      <w:r>
        <w:t xml:space="preserve"> </w:t>
      </w:r>
      <w:hyperlink r:id="rId3839">
        <w:r>
          <w:rPr>
            <w:rStyle w:val="Hyperlink"/>
          </w:rPr>
          <w:t xml:space="preserve">https://doi.org/10.1038/sj.jcbfm.9600493</w:t>
        </w:r>
      </w:hyperlink>
      <w:r>
        <w:t xml:space="preserve">（研究类型：分子成像参数共识）</w:t>
      </w:r>
    </w:p>
    <w:p>
      <w:pPr>
        <w:pStyle w:val="ReferenceEntry"/>
      </w:pPr>
      <w:bookmarkStart w:id="3840" w:name="ref-623"/>
      <w:r>
        <w:t xml:space="preserve">[623]</w:t>
      </w:r>
      <w:bookmarkEnd w:id="3840"/>
      <w:r>
        <w:t xml:space="preserve"> Maier-Hein KH, Neher PF, Houde JC, Côté MA, Garyfallidis E, Zhong J, et al. The challenge of mapping the human connectome based on diffusion tractography.</w:t>
      </w:r>
      <w:r>
        <w:t xml:space="preserve"> </w:t>
      </w:r>
      <w:r>
        <w:rPr>
          <w:iCs/>
          <w:i/>
        </w:rPr>
        <w:t xml:space="preserve">Nature Communications</w:t>
      </w:r>
      <w:r>
        <w:t xml:space="preserve">. 2017;8(1):1349.</w:t>
      </w:r>
      <w:r>
        <w:t xml:space="preserve"> </w:t>
      </w:r>
      <w:hyperlink r:id="rId3841">
        <w:r>
          <w:rPr>
            <w:rStyle w:val="Hyperlink"/>
          </w:rPr>
          <w:t xml:space="preserve">https://doi.org/10.1038/s41467-017-01285-x</w:t>
        </w:r>
      </w:hyperlink>
      <w:r>
        <w:t xml:space="preserve">（研究类型：纤维追踪验证挑战）</w:t>
      </w:r>
    </w:p>
    <w:p>
      <w:pPr>
        <w:pStyle w:val="ReferenceEntry"/>
      </w:pPr>
      <w:bookmarkStart w:id="3842" w:name="ref-624"/>
      <w:r>
        <w:t xml:space="preserve">[624]</w:t>
      </w:r>
      <w:bookmarkEnd w:id="3842"/>
      <w:r>
        <w:t xml:space="preserve"> Jun JJ, Steinmetz NA, Siegle JH, Denman DJ, Bauza M, Barbarits B, et al. Fully integrated silicon probes for high-density recording of neural activity.</w:t>
      </w:r>
      <w:r>
        <w:t xml:space="preserve"> </w:t>
      </w:r>
      <w:r>
        <w:rPr>
          <w:iCs/>
          <w:i/>
        </w:rPr>
        <w:t xml:space="preserve">Nature</w:t>
      </w:r>
      <w:r>
        <w:t xml:space="preserve">. 2017;551(7679):232–236.</w:t>
      </w:r>
      <w:r>
        <w:t xml:space="preserve"> </w:t>
      </w:r>
      <w:hyperlink r:id="rId3843">
        <w:r>
          <w:rPr>
            <w:rStyle w:val="Hyperlink"/>
          </w:rPr>
          <w:t xml:space="preserve">https://doi.org/10.1038/nature24636</w:t>
        </w:r>
      </w:hyperlink>
      <w:r>
        <w:t xml:space="preserve">（研究类型：神经记录工具开发）</w:t>
      </w:r>
    </w:p>
    <w:p>
      <w:pPr>
        <w:pStyle w:val="ReferenceEntry"/>
      </w:pPr>
      <w:bookmarkStart w:id="3844" w:name="ref-625"/>
      <w:r>
        <w:t xml:space="preserve">[625]</w:t>
      </w:r>
      <w:bookmarkEnd w:id="3844"/>
      <w:r>
        <w:t xml:space="preserve"> Steinmetz NA, Aydin C, Lebedeva A, Okun M, Pachitariu M, Bauza M, et al. Neuropixels 2.0: A miniaturized high-density probe for stable, long-term brain recordings.</w:t>
      </w:r>
      <w:r>
        <w:t xml:space="preserve"> </w:t>
      </w:r>
      <w:r>
        <w:rPr>
          <w:iCs/>
          <w:i/>
        </w:rPr>
        <w:t xml:space="preserve">Science</w:t>
      </w:r>
      <w:r>
        <w:t xml:space="preserve">. 2021;372(6539):eabf4588.</w:t>
      </w:r>
      <w:r>
        <w:t xml:space="preserve"> </w:t>
      </w:r>
      <w:hyperlink r:id="rId3845">
        <w:r>
          <w:rPr>
            <w:rStyle w:val="Hyperlink"/>
          </w:rPr>
          <w:t xml:space="preserve">https://doi.org/10.1126/science.abf4588</w:t>
        </w:r>
      </w:hyperlink>
      <w:r>
        <w:t xml:space="preserve">（研究类型：长期神经记录工具验证）</w:t>
      </w:r>
    </w:p>
    <w:p>
      <w:pPr>
        <w:pStyle w:val="ReferenceEntry"/>
      </w:pPr>
      <w:bookmarkStart w:id="3846" w:name="ref-626"/>
      <w:r>
        <w:t xml:space="preserve">[626]</w:t>
      </w:r>
      <w:bookmarkEnd w:id="3846"/>
      <w:r>
        <w:t xml:space="preserve"> Logothetis NK. What we can do and what we cannot do with fMRI.</w:t>
      </w:r>
      <w:r>
        <w:t xml:space="preserve"> </w:t>
      </w:r>
      <w:r>
        <w:rPr>
          <w:iCs/>
          <w:i/>
        </w:rPr>
        <w:t xml:space="preserve">Nature</w:t>
      </w:r>
      <w:r>
        <w:t xml:space="preserve">. 2008;453(7197):869–878.</w:t>
      </w:r>
      <w:r>
        <w:t xml:space="preserve"> </w:t>
      </w:r>
      <w:hyperlink r:id="rId3847">
        <w:r>
          <w:rPr>
            <w:rStyle w:val="Hyperlink"/>
          </w:rPr>
          <w:t xml:space="preserve">https://doi.org/10.1038/nature06976</w:t>
        </w:r>
      </w:hyperlink>
      <w:r>
        <w:t xml:space="preserve">（研究类型：方法综述）</w:t>
      </w:r>
    </w:p>
    <w:p>
      <w:pPr>
        <w:pStyle w:val="ReferenceEntry"/>
      </w:pPr>
      <w:bookmarkStart w:id="3848" w:name="ref-627"/>
      <w:r>
        <w:t xml:space="preserve">[627]</w:t>
      </w:r>
      <w:bookmarkEnd w:id="3848"/>
      <w:r>
        <w:t xml:space="preserve"> Boyden ES, Zhang F, Bamberg E, Nagel G, Deisseroth K. Millisecond-timescale, genetically targeted optical control of neural activity.</w:t>
      </w:r>
      <w:r>
        <w:t xml:space="preserve"> </w:t>
      </w:r>
      <w:r>
        <w:rPr>
          <w:iCs/>
          <w:i/>
        </w:rPr>
        <w:t xml:space="preserve">Nature Neuroscience</w:t>
      </w:r>
      <w:r>
        <w:t xml:space="preserve">. 2005;8(9):1263–1268.</w:t>
      </w:r>
      <w:r>
        <w:t xml:space="preserve"> </w:t>
      </w:r>
      <w:hyperlink r:id="rId3849">
        <w:r>
          <w:rPr>
            <w:rStyle w:val="Hyperlink"/>
          </w:rPr>
          <w:t xml:space="preserve">https://doi.org/10.1038/nn1525</w:t>
        </w:r>
      </w:hyperlink>
      <w:r>
        <w:t xml:space="preserve">（研究类型：光遗传工具开发）</w:t>
      </w:r>
    </w:p>
    <w:p>
      <w:pPr>
        <w:pStyle w:val="ReferenceEntry"/>
      </w:pPr>
      <w:bookmarkStart w:id="3850" w:name="ref-628"/>
      <w:r>
        <w:t xml:space="preserve">[628]</w:t>
      </w:r>
      <w:bookmarkEnd w:id="3850"/>
      <w:r>
        <w:t xml:space="preserve"> Gomez JL, Bonaventura J, Lesniak W, Mathews WB, Sysa-Shah P, Rodriguez LA, et al. Chemogenetics revealed: DREADD occupancy and activation via converted clozapine.</w:t>
      </w:r>
      <w:r>
        <w:t xml:space="preserve"> </w:t>
      </w:r>
      <w:r>
        <w:rPr>
          <w:iCs/>
          <w:i/>
        </w:rPr>
        <w:t xml:space="preserve">Science</w:t>
      </w:r>
      <w:r>
        <w:t xml:space="preserve">. 2017;357(6350):503–507.</w:t>
      </w:r>
      <w:r>
        <w:t xml:space="preserve"> </w:t>
      </w:r>
      <w:hyperlink r:id="rId3851">
        <w:r>
          <w:rPr>
            <w:rStyle w:val="Hyperlink"/>
          </w:rPr>
          <w:t xml:space="preserve">https://doi.org/10.1126/science.aan2475</w:t>
        </w:r>
      </w:hyperlink>
      <w:r>
        <w:t xml:space="preserve">（研究类型：受体占据与药代机制实验）</w:t>
      </w:r>
    </w:p>
    <w:p>
      <w:pPr>
        <w:pStyle w:val="ReferenceEntry"/>
      </w:pPr>
      <w:bookmarkStart w:id="3852" w:name="ref-629"/>
      <w:r>
        <w:t xml:space="preserve">[629]</w:t>
      </w:r>
      <w:bookmarkEnd w:id="3852"/>
      <w:r>
        <w:t xml:space="preserve"> Nestler EJ, Hyman SE. Animal models of neuropsychiatric disorders.</w:t>
      </w:r>
      <w:r>
        <w:t xml:space="preserve"> </w:t>
      </w:r>
      <w:r>
        <w:rPr>
          <w:iCs/>
          <w:i/>
        </w:rPr>
        <w:t xml:space="preserve">Nature Neuroscience</w:t>
      </w:r>
      <w:r>
        <w:t xml:space="preserve">. 2010;13(10):1161–1169.</w:t>
      </w:r>
      <w:r>
        <w:t xml:space="preserve"> </w:t>
      </w:r>
      <w:hyperlink r:id="rId3853">
        <w:r>
          <w:rPr>
            <w:rStyle w:val="Hyperlink"/>
          </w:rPr>
          <w:t xml:space="preserve">https://doi.org/10.1038/nn.2647</w:t>
        </w:r>
      </w:hyperlink>
      <w:r>
        <w:t xml:space="preserve">（研究类型：动物模型方法综述）</w:t>
      </w:r>
    </w:p>
    <w:p>
      <w:pPr>
        <w:pStyle w:val="ReferenceEntry"/>
      </w:pPr>
      <w:bookmarkStart w:id="3854" w:name="ref-630"/>
      <w:r>
        <w:t xml:space="preserve">[630]</w:t>
      </w:r>
      <w:bookmarkEnd w:id="3854"/>
      <w:r>
        <w:t xml:space="preserve"> US Food and Drug Administration. Implanted Brain-Computer Interface (BCI) Devices for Patients with Paralysis or Amputation — Non-clinical Testing and Clinical Considerations. 2021.</w:t>
      </w:r>
      <w:r>
        <w:t xml:space="preserve"> </w:t>
      </w:r>
      <w:hyperlink r:id="rId3855">
        <w:r>
          <w:rPr>
            <w:rStyle w:val="Hyperlink"/>
          </w:rPr>
          <w:t xml:space="preserve">https://www.fda.gov/regulatory-information/search-fda-guidance-documents/implanted-brain-computer-interface-bci-devices-patients-paralysis-or-amputation-non-clinical-testing</w:t>
        </w:r>
      </w:hyperlink>
      <w:r>
        <w:t xml:space="preserve">（研究类型：监管指导文件）</w:t>
      </w:r>
    </w:p>
    <w:p>
      <w:pPr>
        <w:pStyle w:val="ReferenceEntry"/>
      </w:pPr>
      <w:bookmarkStart w:id="3856" w:name="ref-631"/>
      <w:r>
        <w:t xml:space="preserve">[631]</w:t>
      </w:r>
      <w:bookmarkEnd w:id="3856"/>
      <w:r>
        <w:t xml:space="preserve"> Rohrer JM. Thinking Clearly About Correlations and Causation: Graphical Causal Models for Observational Data.</w:t>
      </w:r>
      <w:r>
        <w:t xml:space="preserve"> </w:t>
      </w:r>
      <w:r>
        <w:rPr>
          <w:iCs/>
          <w:i/>
        </w:rPr>
        <w:t xml:space="preserve">Advances in Methods and Practices in Psychological Science</w:t>
      </w:r>
      <w:r>
        <w:t xml:space="preserve">. 2018;1(1):27–42.</w:t>
      </w:r>
      <w:r>
        <w:t xml:space="preserve"> </w:t>
      </w:r>
      <w:hyperlink r:id="rId3857">
        <w:r>
          <w:rPr>
            <w:rStyle w:val="Hyperlink"/>
          </w:rPr>
          <w:t xml:space="preserve">https://doi.org/10.1177/2515245917745629</w:t>
        </w:r>
      </w:hyperlink>
      <w:r>
        <w:t xml:space="preserve">（研究类型：因果方法）</w:t>
      </w:r>
    </w:p>
    <w:p>
      <w:pPr>
        <w:pStyle w:val="ReferenceEntry"/>
      </w:pPr>
      <w:bookmarkStart w:id="3858" w:name="ref-632"/>
      <w:r>
        <w:t xml:space="preserve">[632]</w:t>
      </w:r>
      <w:bookmarkEnd w:id="3858"/>
      <w:r>
        <w:t xml:space="preserve"> VanderWeele TJ. Mediation Analysis: A Practitioner's Guide.</w:t>
      </w:r>
      <w:r>
        <w:t xml:space="preserve"> </w:t>
      </w:r>
      <w:r>
        <w:rPr>
          <w:iCs/>
          <w:i/>
        </w:rPr>
        <w:t xml:space="preserve">Annual Review of Public Health</w:t>
      </w:r>
      <w:r>
        <w:t xml:space="preserve">. 2016;37(1):17–32.</w:t>
      </w:r>
      <w:r>
        <w:t xml:space="preserve"> </w:t>
      </w:r>
      <w:hyperlink r:id="rId3859">
        <w:r>
          <w:rPr>
            <w:rStyle w:val="Hyperlink"/>
          </w:rPr>
          <w:t xml:space="preserve">https://doi.org/10.1146/annurev-publhealth-032315-021402</w:t>
        </w:r>
      </w:hyperlink>
      <w:r>
        <w:t xml:space="preserve">（研究类型：中介分析方法）</w:t>
      </w:r>
    </w:p>
    <w:p>
      <w:pPr>
        <w:pStyle w:val="ReferenceEntry"/>
      </w:pPr>
      <w:bookmarkStart w:id="3860" w:name="ref-633"/>
      <w:r>
        <w:t xml:space="preserve">[633]</w:t>
      </w:r>
      <w:bookmarkEnd w:id="3860"/>
      <w:r>
        <w:t xml:space="preserve"> Robins JM, Hernán MÁ, Brumback B. Marginal structural models and causal inference in epidemiology.</w:t>
      </w:r>
      <w:r>
        <w:t xml:space="preserve"> </w:t>
      </w:r>
      <w:r>
        <w:rPr>
          <w:iCs/>
          <w:i/>
        </w:rPr>
        <w:t xml:space="preserve">Epidemiology</w:t>
      </w:r>
      <w:r>
        <w:t xml:space="preserve">. 2000;11(5):550–560.</w:t>
      </w:r>
      <w:r>
        <w:t xml:space="preserve"> </w:t>
      </w:r>
      <w:hyperlink r:id="rId3861">
        <w:r>
          <w:rPr>
            <w:rStyle w:val="Hyperlink"/>
          </w:rPr>
          <w:t xml:space="preserve">https://doi.org/10.1097/00001648-200009000-00011</w:t>
        </w:r>
      </w:hyperlink>
      <w:r>
        <w:t xml:space="preserve">（研究类型：因果识别方法）</w:t>
      </w:r>
    </w:p>
    <w:p>
      <w:pPr>
        <w:pStyle w:val="ReferenceEntry"/>
      </w:pPr>
      <w:bookmarkStart w:id="3862" w:name="ref-634"/>
      <w:r>
        <w:t xml:space="preserve">[634]</w:t>
      </w:r>
      <w:bookmarkEnd w:id="3862"/>
      <w:r>
        <w:t xml:space="preserve"> Imbens GW, Angrist JD. Identification and Estimation of Local Average Treatment Effects.</w:t>
      </w:r>
      <w:r>
        <w:t xml:space="preserve"> </w:t>
      </w:r>
      <w:r>
        <w:rPr>
          <w:iCs/>
          <w:i/>
        </w:rPr>
        <w:t xml:space="preserve">Econometrica</w:t>
      </w:r>
      <w:r>
        <w:t xml:space="preserve">. 1994;62(2):467.</w:t>
      </w:r>
      <w:r>
        <w:t xml:space="preserve"> </w:t>
      </w:r>
      <w:hyperlink r:id="rId3863">
        <w:r>
          <w:rPr>
            <w:rStyle w:val="Hyperlink"/>
          </w:rPr>
          <w:t xml:space="preserve">https://doi.org/10.2307/2951620</w:t>
        </w:r>
      </w:hyperlink>
      <w:r>
        <w:t xml:space="preserve">（研究类型：工具变量识别方法）</w:t>
      </w:r>
    </w:p>
    <w:p>
      <w:pPr>
        <w:pStyle w:val="ReferenceEntry"/>
      </w:pPr>
      <w:bookmarkStart w:id="3864" w:name="ref-635"/>
      <w:r>
        <w:t xml:space="preserve">[635]</w:t>
      </w:r>
      <w:bookmarkEnd w:id="3864"/>
      <w:r>
        <w:t xml:space="preserve"> Tang J, LeBel A, Jain S, Huth AG. Semantic reconstruction of continuous language from non-invasive brain recordings.</w:t>
      </w:r>
      <w:r>
        <w:t xml:space="preserve"> </w:t>
      </w:r>
      <w:r>
        <w:rPr>
          <w:iCs/>
          <w:i/>
        </w:rPr>
        <w:t xml:space="preserve">Nature Neuroscience</w:t>
      </w:r>
      <w:r>
        <w:t xml:space="preserve">. 2023;26(5):858–866.</w:t>
      </w:r>
      <w:r>
        <w:t xml:space="preserve"> </w:t>
      </w:r>
      <w:hyperlink r:id="rId3865">
        <w:r>
          <w:rPr>
            <w:rStyle w:val="Hyperlink"/>
          </w:rPr>
          <w:t xml:space="preserve">https://doi.org/10.1038/s41593-023-01304-9</w:t>
        </w:r>
      </w:hyperlink>
      <w:r>
        <w:t xml:space="preserve">（研究类型：3人个体语义解码）</w:t>
      </w:r>
    </w:p>
    <w:p>
      <w:pPr>
        <w:pStyle w:val="ReferenceEntry"/>
      </w:pPr>
      <w:bookmarkStart w:id="3866" w:name="ref-636"/>
      <w:r>
        <w:t xml:space="preserve">[636]</w:t>
      </w:r>
      <w:bookmarkEnd w:id="3866"/>
      <w:r>
        <w:t xml:space="preserve"> Tang J, Huth AG. Semantic language decoding across participants and stimulus modalities.</w:t>
      </w:r>
      <w:r>
        <w:t xml:space="preserve"> </w:t>
      </w:r>
      <w:r>
        <w:rPr>
          <w:iCs/>
          <w:i/>
        </w:rPr>
        <w:t xml:space="preserve">Current Biology</w:t>
      </w:r>
      <w:r>
        <w:t xml:space="preserve">. 2025;35(5):1023–1032.e6.</w:t>
      </w:r>
      <w:r>
        <w:t xml:space="preserve"> </w:t>
      </w:r>
      <w:hyperlink r:id="rId3867">
        <w:r>
          <w:rPr>
            <w:rStyle w:val="Hyperlink"/>
          </w:rPr>
          <w:t xml:space="preserve">https://doi.org/10.1016/j.cub.2025.01.024</w:t>
        </w:r>
      </w:hyperlink>
      <w:r>
        <w:t xml:space="preserve">（研究类型：跨参与者功能对齐）</w:t>
      </w:r>
    </w:p>
    <w:p>
      <w:pPr>
        <w:pStyle w:val="ReferenceEntry"/>
      </w:pPr>
      <w:bookmarkStart w:id="3868" w:name="ref-637"/>
      <w:r>
        <w:t xml:space="preserve">[637]</w:t>
      </w:r>
      <w:bookmarkEnd w:id="3868"/>
      <w:r>
        <w:t xml:space="preserve"> Woo CW, Chang LJ, Lindquist MA, Wager TD. Building better biomarkers: brain models in translational neuroimaging.</w:t>
      </w:r>
      <w:r>
        <w:t xml:space="preserve"> </w:t>
      </w:r>
      <w:r>
        <w:rPr>
          <w:iCs/>
          <w:i/>
        </w:rPr>
        <w:t xml:space="preserve">Nature Neuroscience</w:t>
      </w:r>
      <w:r>
        <w:t xml:space="preserve">. 2017;20(3):365–377.</w:t>
      </w:r>
      <w:r>
        <w:t xml:space="preserve"> </w:t>
      </w:r>
      <w:hyperlink r:id="rId3869">
        <w:r>
          <w:rPr>
            <w:rStyle w:val="Hyperlink"/>
          </w:rPr>
          <w:t xml:space="preserve">https://doi.org/10.1038/nn.4478</w:t>
        </w:r>
      </w:hyperlink>
      <w:r>
        <w:t xml:space="preserve">（研究类型：方法综述）</w:t>
      </w:r>
    </w:p>
    <w:p>
      <w:pPr>
        <w:pStyle w:val="ReferenceEntry"/>
      </w:pPr>
      <w:bookmarkStart w:id="3870" w:name="ref-638"/>
      <w:r>
        <w:t xml:space="preserve">[638]</w:t>
      </w:r>
      <w:bookmarkEnd w:id="3870"/>
      <w:r>
        <w:t xml:space="preserve"> Van Calster B, McLernon DJ, van Smeden M, Wynants L, Steyerberg EW; Topic Group ‘Evaluating diagnostic tests and prediction models’ of the STRATOS initiative. Calibration: the Achilles heel of predictive analytics.</w:t>
      </w:r>
      <w:r>
        <w:t xml:space="preserve"> </w:t>
      </w:r>
      <w:r>
        <w:rPr>
          <w:iCs/>
          <w:i/>
        </w:rPr>
        <w:t xml:space="preserve">BMC Medicine</w:t>
      </w:r>
      <w:r>
        <w:t xml:space="preserve">. 2019;17(1):230.</w:t>
      </w:r>
      <w:r>
        <w:t xml:space="preserve"> </w:t>
      </w:r>
      <w:hyperlink r:id="rId3871">
        <w:r>
          <w:rPr>
            <w:rStyle w:val="Hyperlink"/>
          </w:rPr>
          <w:t xml:space="preserve">https://doi.org/10.1186/s12916-019-1466-7</w:t>
        </w:r>
      </w:hyperlink>
      <w:r>
        <w:t xml:space="preserve">（研究类型：模型校准方法）</w:t>
      </w:r>
    </w:p>
    <w:p>
      <w:pPr>
        <w:pStyle w:val="ReferenceEntry"/>
      </w:pPr>
      <w:bookmarkStart w:id="3872" w:name="ref-639"/>
      <w:r>
        <w:t xml:space="preserve">[639]</w:t>
      </w:r>
      <w:bookmarkEnd w:id="3872"/>
      <w:r>
        <w:t xml:space="preserve"> Vickers AJ, Elkin EB. Decision curve analysis: a novel method for evaluating prediction models.</w:t>
      </w:r>
      <w:r>
        <w:t xml:space="preserve"> </w:t>
      </w:r>
      <w:r>
        <w:rPr>
          <w:iCs/>
          <w:i/>
        </w:rPr>
        <w:t xml:space="preserve">Medical Decision Making</w:t>
      </w:r>
      <w:r>
        <w:t xml:space="preserve">. 2006;26(6):565–574.</w:t>
      </w:r>
      <w:r>
        <w:t xml:space="preserve"> </w:t>
      </w:r>
      <w:hyperlink r:id="rId3873">
        <w:r>
          <w:rPr>
            <w:rStyle w:val="Hyperlink"/>
          </w:rPr>
          <w:t xml:space="preserve">https://doi.org/10.1177/0272989X06295361</w:t>
        </w:r>
      </w:hyperlink>
      <w:r>
        <w:t xml:space="preserve">（研究类型：决策评价方法）</w:t>
      </w:r>
    </w:p>
    <w:p>
      <w:pPr>
        <w:pStyle w:val="ReferenceEntry"/>
      </w:pPr>
      <w:bookmarkStart w:id="3874" w:name="ref-640"/>
      <w:r>
        <w:t xml:space="preserve">[640]</w:t>
      </w:r>
      <w:bookmarkEnd w:id="3874"/>
      <w:r>
        <w:t xml:space="preserve"> Cronbach LJ, Meehl PE. Construct validity in psychological tests.</w:t>
      </w:r>
      <w:r>
        <w:t xml:space="preserve"> </w:t>
      </w:r>
      <w:r>
        <w:rPr>
          <w:iCs/>
          <w:i/>
        </w:rPr>
        <w:t xml:space="preserve">Psychological Bulletin</w:t>
      </w:r>
      <w:r>
        <w:t xml:space="preserve">. 1955;52(4):281–302.</w:t>
      </w:r>
      <w:r>
        <w:t xml:space="preserve"> </w:t>
      </w:r>
      <w:hyperlink r:id="rId3875">
        <w:r>
          <w:rPr>
            <w:rStyle w:val="Hyperlink"/>
          </w:rPr>
          <w:t xml:space="preserve">https://doi.org/10.1037/h0040957</w:t>
        </w:r>
      </w:hyperlink>
      <w:r>
        <w:t xml:space="preserve">（研究类型：构念效度理论）</w:t>
      </w:r>
    </w:p>
    <w:p>
      <w:pPr>
        <w:pStyle w:val="ReferenceEntry"/>
      </w:pPr>
      <w:bookmarkStart w:id="3876" w:name="ref-641"/>
      <w:r>
        <w:t xml:space="preserve">[641]</w:t>
      </w:r>
      <w:bookmarkEnd w:id="3876"/>
      <w:r>
        <w:t xml:space="preserve"> Flake JK, Fried EI. Measurement Schmeasurement: Questionable Measurement Practices and How to Avoid Them.</w:t>
      </w:r>
      <w:r>
        <w:t xml:space="preserve"> </w:t>
      </w:r>
      <w:r>
        <w:rPr>
          <w:iCs/>
          <w:i/>
        </w:rPr>
        <w:t xml:space="preserve">Advances in Methods and Practices in Psychological Science</w:t>
      </w:r>
      <w:r>
        <w:t xml:space="preserve">. 2020;3(4):456–465.</w:t>
      </w:r>
      <w:r>
        <w:t xml:space="preserve"> </w:t>
      </w:r>
      <w:hyperlink r:id="rId3877">
        <w:r>
          <w:rPr>
            <w:rStyle w:val="Hyperlink"/>
          </w:rPr>
          <w:t xml:space="preserve">https://doi.org/10.1177/2515245920952393</w:t>
        </w:r>
      </w:hyperlink>
      <w:r>
        <w:t xml:space="preserve">（研究类型：测量方法与研究实践分析）</w:t>
      </w:r>
    </w:p>
    <w:p>
      <w:pPr>
        <w:pStyle w:val="ReferenceEntry"/>
      </w:pPr>
      <w:bookmarkStart w:id="3878" w:name="ref-642"/>
      <w:r>
        <w:t xml:space="preserve">[642]</w:t>
      </w:r>
      <w:bookmarkEnd w:id="3878"/>
      <w:r>
        <w:t xml:space="preserve"> Borsboom D, Mellenbergh GJ, van Heerden J. The concept of validity.</w:t>
      </w:r>
      <w:r>
        <w:t xml:space="preserve"> </w:t>
      </w:r>
      <w:r>
        <w:rPr>
          <w:iCs/>
          <w:i/>
        </w:rPr>
        <w:t xml:space="preserve">Psychological Review</w:t>
      </w:r>
      <w:r>
        <w:t xml:space="preserve">. 2004;111(4):1061–1071.</w:t>
      </w:r>
      <w:r>
        <w:t xml:space="preserve"> </w:t>
      </w:r>
      <w:hyperlink r:id="rId3879">
        <w:r>
          <w:rPr>
            <w:rStyle w:val="Hyperlink"/>
          </w:rPr>
          <w:t xml:space="preserve">https://doi.org/10.1037/0033-295X.111.4.1061</w:t>
        </w:r>
      </w:hyperlink>
      <w:r>
        <w:t xml:space="preserve">（研究类型：效度概念与因果理论）</w:t>
      </w:r>
    </w:p>
    <w:p>
      <w:pPr>
        <w:pStyle w:val="ReferenceEntry"/>
      </w:pPr>
      <w:bookmarkStart w:id="3880" w:name="ref-643"/>
      <w:r>
        <w:t xml:space="preserve">[643]</w:t>
      </w:r>
      <w:bookmarkEnd w:id="3880"/>
      <w:r>
        <w:t xml:space="preserve"> McNeish D. Thanks coefficient alpha, we'll take it from here.</w:t>
      </w:r>
      <w:r>
        <w:t xml:space="preserve"> </w:t>
      </w:r>
      <w:r>
        <w:rPr>
          <w:iCs/>
          <w:i/>
        </w:rPr>
        <w:t xml:space="preserve">Psychological Methods</w:t>
      </w:r>
      <w:r>
        <w:t xml:space="preserve">. 2018;23(3):412–433.</w:t>
      </w:r>
      <w:r>
        <w:t xml:space="preserve"> </w:t>
      </w:r>
      <w:hyperlink r:id="rId3881">
        <w:r>
          <w:rPr>
            <w:rStyle w:val="Hyperlink"/>
          </w:rPr>
          <w:t xml:space="preserve">https://doi.org/10.1037/met0000144</w:t>
        </w:r>
      </w:hyperlink>
      <w:r>
        <w:t xml:space="preserve">（研究类型：信度估计方法论）</w:t>
      </w:r>
    </w:p>
    <w:p>
      <w:pPr>
        <w:pStyle w:val="ReferenceEntry"/>
      </w:pPr>
      <w:bookmarkStart w:id="3882" w:name="ref-644"/>
      <w:r>
        <w:t xml:space="preserve">[644]</w:t>
      </w:r>
      <w:bookmarkEnd w:id="3882"/>
      <w:r>
        <w:t xml:space="preserve"> Campbell DT, Fiske DW. Convergent and discriminant validation by the multitrait-multimethod matrix.</w:t>
      </w:r>
      <w:r>
        <w:t xml:space="preserve"> </w:t>
      </w:r>
      <w:r>
        <w:rPr>
          <w:iCs/>
          <w:i/>
        </w:rPr>
        <w:t xml:space="preserve">Psychological Bulletin</w:t>
      </w:r>
      <w:r>
        <w:t xml:space="preserve">. 1959;56(2):81–105.</w:t>
      </w:r>
      <w:r>
        <w:t xml:space="preserve"> </w:t>
      </w:r>
      <w:hyperlink r:id="rId3883">
        <w:r>
          <w:rPr>
            <w:rStyle w:val="Hyperlink"/>
          </w:rPr>
          <w:t xml:space="preserve">https://doi.org/10.1037/h0046016</w:t>
        </w:r>
      </w:hyperlink>
      <w:r>
        <w:t xml:space="preserve">（研究类型：多特质多方法效度理论）</w:t>
      </w:r>
    </w:p>
    <w:p>
      <w:pPr>
        <w:pStyle w:val="ReferenceEntry"/>
      </w:pPr>
      <w:bookmarkStart w:id="3884" w:name="ref-645"/>
      <w:r>
        <w:t xml:space="preserve">[645]</w:t>
      </w:r>
      <w:bookmarkEnd w:id="3884"/>
      <w:r>
        <w:t xml:space="preserve"> Bollen KA, Bauldry S. Three Cs in measurement models: causal indicators, composite indicators, and covariates.</w:t>
      </w:r>
      <w:r>
        <w:t xml:space="preserve"> </w:t>
      </w:r>
      <w:r>
        <w:rPr>
          <w:iCs/>
          <w:i/>
        </w:rPr>
        <w:t xml:space="preserve">Psychological Methods</w:t>
      </w:r>
      <w:r>
        <w:t xml:space="preserve">. 2011;16(3):265–284.</w:t>
      </w:r>
      <w:r>
        <w:t xml:space="preserve"> </w:t>
      </w:r>
      <w:hyperlink r:id="rId3885">
        <w:r>
          <w:rPr>
            <w:rStyle w:val="Hyperlink"/>
          </w:rPr>
          <w:t xml:space="preserve">https://doi.org/10.1037/a0024448</w:t>
        </w:r>
      </w:hyperlink>
      <w:r>
        <w:t xml:space="preserve">（研究类型：测量模型理论与实证示例）</w:t>
      </w:r>
    </w:p>
    <w:p>
      <w:pPr>
        <w:pStyle w:val="ReferenceEntry"/>
      </w:pPr>
      <w:bookmarkStart w:id="3886" w:name="ref-646"/>
      <w:r>
        <w:t xml:space="preserve">[646]</w:t>
      </w:r>
      <w:bookmarkEnd w:id="3886"/>
      <w:r>
        <w:t xml:space="preserve"> Bock RD, Aitkin M. Marginal maximum likelihood estimation of item parameters: Application of an EM algorithm.</w:t>
      </w:r>
      <w:r>
        <w:t xml:space="preserve"> </w:t>
      </w:r>
      <w:r>
        <w:rPr>
          <w:iCs/>
          <w:i/>
        </w:rPr>
        <w:t xml:space="preserve">Psychometrika</w:t>
      </w:r>
      <w:r>
        <w:t xml:space="preserve">. 1981;46(4):443–459.</w:t>
      </w:r>
      <w:r>
        <w:t xml:space="preserve"> </w:t>
      </w:r>
      <w:hyperlink r:id="rId3887">
        <w:r>
          <w:rPr>
            <w:rStyle w:val="Hyperlink"/>
          </w:rPr>
          <w:t xml:space="preserve">https://doi.org/10.1007/BF02293801</w:t>
        </w:r>
      </w:hyperlink>
      <w:r>
        <w:t xml:space="preserve">（研究类型：项目反应参数估计方法）</w:t>
      </w:r>
    </w:p>
    <w:p>
      <w:pPr>
        <w:pStyle w:val="ReferenceEntry"/>
      </w:pPr>
      <w:bookmarkStart w:id="3888" w:name="ref-647"/>
      <w:r>
        <w:t xml:space="preserve">[647]</w:t>
      </w:r>
      <w:bookmarkEnd w:id="3888"/>
      <w:r>
        <w:t xml:space="preserve"> Meredith W. Measurement invariance, factor analysis and factorial invariance.</w:t>
      </w:r>
      <w:r>
        <w:t xml:space="preserve"> </w:t>
      </w:r>
      <w:r>
        <w:rPr>
          <w:iCs/>
          <w:i/>
        </w:rPr>
        <w:t xml:space="preserve">Psychometrika</w:t>
      </w:r>
      <w:r>
        <w:t xml:space="preserve">. 1993;58(4):525–543.</w:t>
      </w:r>
      <w:r>
        <w:t xml:space="preserve"> </w:t>
      </w:r>
      <w:hyperlink r:id="rId3889">
        <w:r>
          <w:rPr>
            <w:rStyle w:val="Hyperlink"/>
          </w:rPr>
          <w:t xml:space="preserve">https://doi.org/10.1007/BF02294825</w:t>
        </w:r>
      </w:hyperlink>
      <w:r>
        <w:t xml:space="preserve">（研究类型：测量不变性理论）</w:t>
      </w:r>
    </w:p>
    <w:p>
      <w:pPr>
        <w:pStyle w:val="ReferenceEntry"/>
      </w:pPr>
      <w:bookmarkStart w:id="3890" w:name="ref-648"/>
      <w:r>
        <w:t xml:space="preserve">[648]</w:t>
      </w:r>
      <w:bookmarkEnd w:id="3890"/>
      <w:r>
        <w:t xml:space="preserve"> Jacobson NS, Truax P. Clinical significance: A statistical approach to defining meaningful change in psychotherapy research.</w:t>
      </w:r>
      <w:r>
        <w:t xml:space="preserve"> </w:t>
      </w:r>
      <w:r>
        <w:rPr>
          <w:iCs/>
          <w:i/>
        </w:rPr>
        <w:t xml:space="preserve">Journal of Consulting and Clinical Psychology</w:t>
      </w:r>
      <w:r>
        <w:t xml:space="preserve">. 1991;59(1):12–19.</w:t>
      </w:r>
      <w:r>
        <w:t xml:space="preserve"> </w:t>
      </w:r>
      <w:hyperlink r:id="rId3891">
        <w:r>
          <w:rPr>
            <w:rStyle w:val="Hyperlink"/>
          </w:rPr>
          <w:t xml:space="preserve">https://doi.org/10.1037/0022-006X.59.1.12</w:t>
        </w:r>
      </w:hyperlink>
      <w:r>
        <w:t xml:space="preserve">（研究类型：可靠变化与临床意义方法）</w:t>
      </w:r>
    </w:p>
    <w:p>
      <w:pPr>
        <w:pStyle w:val="ReferenceEntry"/>
      </w:pPr>
      <w:bookmarkStart w:id="3892" w:name="ref-649"/>
      <w:r>
        <w:t xml:space="preserve">[649]</w:t>
      </w:r>
      <w:bookmarkEnd w:id="3892"/>
      <w:r>
        <w:t xml:space="preserve"> Shuaib A, Lees KR, Lyden P, Grotta J, Davalos A, Davis SM, et al. NXY-059 for the treatment of acute ischemic stroke.</w:t>
      </w:r>
      <w:r>
        <w:t xml:space="preserve"> </w:t>
      </w:r>
      <w:r>
        <w:rPr>
          <w:iCs/>
          <w:i/>
        </w:rPr>
        <w:t xml:space="preserve">New England Journal of Medicine</w:t>
      </w:r>
      <w:r>
        <w:t xml:space="preserve">. 2007;357(6):562–571.</w:t>
      </w:r>
      <w:r>
        <w:t xml:space="preserve"> </w:t>
      </w:r>
      <w:hyperlink r:id="rId3893">
        <w:r>
          <w:rPr>
            <w:rStyle w:val="Hyperlink"/>
          </w:rPr>
          <w:t xml:space="preserve">https://doi.org/10.1056/NEJMoa070240</w:t>
        </w:r>
      </w:hyperlink>
      <w:r>
        <w:t xml:space="preserve">（研究类型：3306人随机双盲试验）</w:t>
      </w:r>
    </w:p>
    <w:p>
      <w:pPr>
        <w:pStyle w:val="ReferenceEntry"/>
      </w:pPr>
      <w:bookmarkStart w:id="3894" w:name="ref-650"/>
      <w:r>
        <w:t xml:space="preserve">[650]</w:t>
      </w:r>
      <w:bookmarkEnd w:id="3894"/>
      <w:r>
        <w:t xml:space="preserve"> Diener HC, Lees KR, Lyden P, Grotta J, Davalos A, Davis SM, et al. NXY-059 for the treatment of acute stroke: pooled analysis of the SAINT I and II Trials.</w:t>
      </w:r>
      <w:r>
        <w:t xml:space="preserve"> </w:t>
      </w:r>
      <w:r>
        <w:rPr>
          <w:iCs/>
          <w:i/>
        </w:rPr>
        <w:t xml:space="preserve">Stroke</w:t>
      </w:r>
      <w:r>
        <w:t xml:space="preserve">. 2008;39(6):1751–1758.</w:t>
      </w:r>
      <w:r>
        <w:t xml:space="preserve"> </w:t>
      </w:r>
      <w:hyperlink r:id="rId3895">
        <w:r>
          <w:rPr>
            <w:rStyle w:val="Hyperlink"/>
          </w:rPr>
          <w:t xml:space="preserve">https://doi.org/10.1161/STROKEAHA.107.503334</w:t>
        </w:r>
      </w:hyperlink>
      <w:r>
        <w:t xml:space="preserve">（研究类型：两随机试验合并分析）</w:t>
      </w:r>
    </w:p>
    <w:p>
      <w:pPr>
        <w:pStyle w:val="ReferenceEntry"/>
      </w:pPr>
      <w:bookmarkStart w:id="3896" w:name="ref-651"/>
      <w:r>
        <w:t xml:space="preserve">[651]</w:t>
      </w:r>
      <w:bookmarkEnd w:id="3896"/>
      <w:r>
        <w:t xml:space="preserve"> Macleod MR, van der Worp HB, Sena ES, Howells DW, Dirnagl U, Donnan GA. Evidence for the efficacy of NXY-059 in experimental focal cerebral ischaemia is confounded by study quality.</w:t>
      </w:r>
      <w:r>
        <w:t xml:space="preserve"> </w:t>
      </w:r>
      <w:r>
        <w:rPr>
          <w:iCs/>
          <w:i/>
        </w:rPr>
        <w:t xml:space="preserve">Stroke</w:t>
      </w:r>
      <w:r>
        <w:t xml:space="preserve">. 2008;39(10):2824–2829.</w:t>
      </w:r>
      <w:r>
        <w:t xml:space="preserve"> </w:t>
      </w:r>
      <w:hyperlink r:id="rId3897">
        <w:r>
          <w:rPr>
            <w:rStyle w:val="Hyperlink"/>
          </w:rPr>
          <w:t xml:space="preserve">https://doi.org/10.1161/STROKEAHA.108.515957</w:t>
        </w:r>
      </w:hyperlink>
      <w:r>
        <w:t xml:space="preserve">（研究类型：动物研究系统综述与分层元分析）</w:t>
      </w:r>
    </w:p>
    <w:p>
      <w:pPr>
        <w:pStyle w:val="ReferenceEntry"/>
      </w:pPr>
      <w:bookmarkStart w:id="3898" w:name="ref-652"/>
      <w:r>
        <w:t xml:space="preserve">[652]</w:t>
      </w:r>
      <w:bookmarkEnd w:id="3898"/>
      <w:r>
        <w:t xml:space="preserve"> Bath P, Gray L, Bath A, Buchan A, Miyata T, Green A. Effects of NXY-059 in experimental stroke: an individual animal meta-analysis.</w:t>
      </w:r>
      <w:r>
        <w:t xml:space="preserve"> </w:t>
      </w:r>
      <w:r>
        <w:rPr>
          <w:iCs/>
          <w:i/>
        </w:rPr>
        <w:t xml:space="preserve">British Journal of Pharmacology</w:t>
      </w:r>
      <w:r>
        <w:t xml:space="preserve">. 2009;157(7):1157–1171.</w:t>
      </w:r>
      <w:r>
        <w:t xml:space="preserve"> </w:t>
      </w:r>
      <w:hyperlink r:id="rId3899">
        <w:r>
          <w:rPr>
            <w:rStyle w:val="Hyperlink"/>
          </w:rPr>
          <w:t xml:space="preserve">https://doi.org/10.1111/j.1476-5381.2009.00196.x</w:t>
        </w:r>
      </w:hyperlink>
      <w:r>
        <w:t xml:space="preserve">（研究类型：个体动物数据元分析）</w:t>
      </w:r>
    </w:p>
    <w:p>
      <w:pPr>
        <w:pStyle w:val="ReferenceEntry"/>
      </w:pPr>
      <w:bookmarkStart w:id="3900" w:name="ref-653"/>
      <w:r>
        <w:t xml:space="preserve">[653]</w:t>
      </w:r>
      <w:bookmarkEnd w:id="3900"/>
      <w:r>
        <w:t xml:space="preserve"> Fernandez-Duque D, Evans J, Christian C, et al. Superfluous Neuroscience Information Makes Explanations of Psychological Phenomena More Appealing.</w:t>
      </w:r>
      <w:r>
        <w:t xml:space="preserve"> </w:t>
      </w:r>
      <w:r>
        <w:rPr>
          <w:iCs/>
          <w:i/>
        </w:rPr>
        <w:t xml:space="preserve">Journal of Cognitive Neuroscience</w:t>
      </w:r>
      <w:r>
        <w:t xml:space="preserve">. 2015;27(5):926–944.</w:t>
      </w:r>
      <w:r>
        <w:t xml:space="preserve"> </w:t>
      </w:r>
      <w:hyperlink r:id="rId3901">
        <w:r>
          <w:rPr>
            <w:rStyle w:val="Hyperlink"/>
          </w:rPr>
          <w:t xml:space="preserve">https://doi.org/10.1162/jocn_a_00750</w:t>
        </w:r>
      </w:hyperlink>
    </w:p>
    <w:p>
      <w:pPr>
        <w:pStyle w:val="ReferenceEntry"/>
      </w:pPr>
      <w:bookmarkStart w:id="3902" w:name="ref-654"/>
      <w:r>
        <w:t xml:space="preserve">[654]</w:t>
      </w:r>
      <w:bookmarkEnd w:id="3902"/>
      <w:r>
        <w:t xml:space="preserve"> Racine E, Bar-Ilan O, Illes J. fMRI in the public eye.</w:t>
      </w:r>
      <w:r>
        <w:t xml:space="preserve"> </w:t>
      </w:r>
      <w:r>
        <w:rPr>
          <w:iCs/>
          <w:i/>
        </w:rPr>
        <w:t xml:space="preserve">Nature Reviews Neuroscience</w:t>
      </w:r>
      <w:r>
        <w:t xml:space="preserve">. 2005;6(2):159–164.</w:t>
      </w:r>
      <w:r>
        <w:t xml:space="preserve"> </w:t>
      </w:r>
      <w:hyperlink r:id="rId3903">
        <w:r>
          <w:rPr>
            <w:rStyle w:val="Hyperlink"/>
          </w:rPr>
          <w:t xml:space="preserve">https://doi.org/10.1038/nrn1609</w:t>
        </w:r>
      </w:hyperlink>
    </w:p>
    <w:p>
      <w:pPr>
        <w:pStyle w:val="ReferenceEntry"/>
      </w:pPr>
      <w:bookmarkStart w:id="3904" w:name="ref-655"/>
      <w:r>
        <w:t xml:space="preserve">[655]</w:t>
      </w:r>
      <w:bookmarkEnd w:id="3904"/>
      <w:r>
        <w:t xml:space="preserve"> Liu L, Yu S, Liu M, et al. Do neuroscience knowledge and attitudes differ across pre-service and in-service teacher groups? Evidence from teacher education programs in China.</w:t>
      </w:r>
      <w:r>
        <w:t xml:space="preserve"> </w:t>
      </w:r>
      <w:r>
        <w:rPr>
          <w:iCs/>
          <w:i/>
        </w:rPr>
        <w:t xml:space="preserve">Trends in Neuroscience and Education</w:t>
      </w:r>
      <w:r>
        <w:t xml:space="preserve">. 2025;40:100269.</w:t>
      </w:r>
      <w:r>
        <w:t xml:space="preserve"> </w:t>
      </w:r>
      <w:hyperlink r:id="rId3905">
        <w:r>
          <w:rPr>
            <w:rStyle w:val="Hyperlink"/>
          </w:rPr>
          <w:t xml:space="preserve">https://doi.org/10.1016/j.tine.2025.100269</w:t>
        </w:r>
      </w:hyperlink>
    </w:p>
    <w:p>
      <w:pPr>
        <w:pStyle w:val="ReferenceEntry"/>
      </w:pPr>
      <w:bookmarkStart w:id="3906" w:name="ref-656"/>
      <w:r>
        <w:t xml:space="preserve">[656]</w:t>
      </w:r>
      <w:bookmarkEnd w:id="3906"/>
      <w:r>
        <w:t xml:space="preserve"> Ching FNY, So WWM, Lo SK, et al. Preservice teachers’ neuroscience literacy and perceptions of neuroscience in education: Implications for teacher education.</w:t>
      </w:r>
      <w:r>
        <w:t xml:space="preserve"> </w:t>
      </w:r>
      <w:r>
        <w:rPr>
          <w:iCs/>
          <w:i/>
        </w:rPr>
        <w:t xml:space="preserve">Trends in Neuroscience and Education</w:t>
      </w:r>
      <w:r>
        <w:t xml:space="preserve">. 2020;21:100144.</w:t>
      </w:r>
      <w:r>
        <w:t xml:space="preserve"> </w:t>
      </w:r>
      <w:hyperlink r:id="rId3907">
        <w:r>
          <w:rPr>
            <w:rStyle w:val="Hyperlink"/>
          </w:rPr>
          <w:t xml:space="preserve">https://doi.org/10.1016/j.tine.2020.100144</w:t>
        </w:r>
      </w:hyperlink>
    </w:p>
    <w:p>
      <w:pPr>
        <w:pStyle w:val="ReferenceEntry"/>
      </w:pPr>
      <w:bookmarkStart w:id="3908" w:name="ref-657"/>
      <w:r>
        <w:t xml:space="preserve">[657]</w:t>
      </w:r>
      <w:bookmarkEnd w:id="3908"/>
      <w:r>
        <w:t xml:space="preserve"> Ruiz-Martin H, Portero-Tresserra M, Martínez-Molina A, et al. Tenacious educational neuromyths: Prevalence among teachers and an intervention.</w:t>
      </w:r>
      <w:r>
        <w:t xml:space="preserve"> </w:t>
      </w:r>
      <w:r>
        <w:rPr>
          <w:iCs/>
          <w:i/>
        </w:rPr>
        <w:t xml:space="preserve">Trends in Neuroscience and Education</w:t>
      </w:r>
      <w:r>
        <w:t xml:space="preserve">. 2022;29:100192.</w:t>
      </w:r>
      <w:r>
        <w:t xml:space="preserve"> </w:t>
      </w:r>
      <w:hyperlink r:id="rId3909">
        <w:r>
          <w:rPr>
            <w:rStyle w:val="Hyperlink"/>
          </w:rPr>
          <w:t xml:space="preserve">https://doi.org/10.1016/j.tine.2022.100192</w:t>
        </w:r>
      </w:hyperlink>
    </w:p>
    <w:p>
      <w:pPr>
        <w:pStyle w:val="ReferenceEntry"/>
      </w:pPr>
      <w:bookmarkStart w:id="3910" w:name="ref-658"/>
      <w:r>
        <w:t xml:space="preserve">[658]</w:t>
      </w:r>
      <w:bookmarkEnd w:id="3910"/>
      <w:r>
        <w:t xml:space="preserve"> MacLean PD.</w:t>
      </w:r>
      <w:r>
        <w:t xml:space="preserve"> </w:t>
      </w:r>
      <w:r>
        <w:rPr>
          <w:iCs/>
          <w:i/>
        </w:rPr>
        <w:t xml:space="preserve">The Triune Brain in Evolution: Role in Paleocerebral Functions</w:t>
      </w:r>
      <w:r>
        <w:t xml:space="preserve">. New York: Plenum Press; 1990.</w:t>
      </w:r>
    </w:p>
    <w:p>
      <w:pPr>
        <w:pStyle w:val="ReferenceEntry"/>
      </w:pPr>
      <w:bookmarkStart w:id="3911" w:name="ref-659"/>
      <w:r>
        <w:t xml:space="preserve">[659]</w:t>
      </w:r>
      <w:bookmarkEnd w:id="3911"/>
      <w:r>
        <w:t xml:space="preserve"> Reiner A. An explanation of behavior [review of P. D. MacLean, The Triune Brain in Evolution: Role in Paleocerebral Functions].</w:t>
      </w:r>
      <w:r>
        <w:t xml:space="preserve"> </w:t>
      </w:r>
      <w:r>
        <w:rPr>
          <w:iCs/>
          <w:i/>
        </w:rPr>
        <w:t xml:space="preserve">Science</w:t>
      </w:r>
      <w:r>
        <w:t xml:space="preserve">. 1990;250(4978):303–305.</w:t>
      </w:r>
      <w:r>
        <w:t xml:space="preserve"> </w:t>
      </w:r>
      <w:hyperlink r:id="rId3912">
        <w:r>
          <w:rPr>
            <w:rStyle w:val="Hyperlink"/>
          </w:rPr>
          <w:t xml:space="preserve">https://doi.org/10.1126/science.250.4978.303-b</w:t>
        </w:r>
      </w:hyperlink>
    </w:p>
    <w:p>
      <w:pPr>
        <w:pStyle w:val="ReferenceEntry"/>
      </w:pPr>
      <w:bookmarkStart w:id="3913" w:name="ref-660"/>
      <w:r>
        <w:t xml:space="preserve">[660]</w:t>
      </w:r>
      <w:bookmarkEnd w:id="3913"/>
      <w:r>
        <w:t xml:space="preserve"> 周岭.《认知觉醒：开启自我改变的原动力》. 北京：人民邮电出版社，2020.</w:t>
      </w:r>
    </w:p>
    <w:p>
      <w:pPr>
        <w:pStyle w:val="ReferenceEntry"/>
      </w:pPr>
      <w:bookmarkStart w:id="3914" w:name="ref-661"/>
      <w:r>
        <w:t xml:space="preserve">[661]</w:t>
      </w:r>
      <w:bookmarkEnd w:id="3914"/>
      <w:r>
        <w:t xml:space="preserve"> Cesario J, Johnson DJ, Eisthen HL. Your Brain Is Not an Onion With a Tiny Reptile Inside.</w:t>
      </w:r>
      <w:r>
        <w:t xml:space="preserve"> </w:t>
      </w:r>
      <w:r>
        <w:rPr>
          <w:iCs/>
          <w:i/>
        </w:rPr>
        <w:t xml:space="preserve">Current Directions in Psychological Science</w:t>
      </w:r>
      <w:r>
        <w:t xml:space="preserve">. 2020;29(3):255–260.</w:t>
      </w:r>
      <w:r>
        <w:t xml:space="preserve"> </w:t>
      </w:r>
      <w:hyperlink r:id="rId3915">
        <w:r>
          <w:rPr>
            <w:rStyle w:val="Hyperlink"/>
          </w:rPr>
          <w:t xml:space="preserve">https://doi.org/10.1177/0963721420917687</w:t>
        </w:r>
      </w:hyperlink>
    </w:p>
    <w:p>
      <w:pPr>
        <w:pStyle w:val="ReferenceEntry"/>
      </w:pPr>
      <w:bookmarkStart w:id="3916" w:name="ref-662"/>
      <w:r>
        <w:t xml:space="preserve">[662]</w:t>
      </w:r>
      <w:bookmarkEnd w:id="3916"/>
      <w:r>
        <w:t xml:space="preserve"> Zaremba B, Fallahshahroudi A, Schneider C, et al. Developmental origins and evolution of pallial cell types and structures in birds.</w:t>
      </w:r>
      <w:r>
        <w:t xml:space="preserve"> </w:t>
      </w:r>
      <w:r>
        <w:rPr>
          <w:iCs/>
          <w:i/>
        </w:rPr>
        <w:t xml:space="preserve">Science</w:t>
      </w:r>
      <w:r>
        <w:t xml:space="preserve">. 2025;387(6735):eadp5182.</w:t>
      </w:r>
      <w:r>
        <w:t xml:space="preserve"> </w:t>
      </w:r>
      <w:hyperlink r:id="rId3917">
        <w:r>
          <w:rPr>
            <w:rStyle w:val="Hyperlink"/>
          </w:rPr>
          <w:t xml:space="preserve">https://doi.org/10.1126/science.adp5182</w:t>
        </w:r>
      </w:hyperlink>
    </w:p>
    <w:p>
      <w:pPr>
        <w:pStyle w:val="ReferenceEntry"/>
      </w:pPr>
      <w:bookmarkStart w:id="3918" w:name="ref-663"/>
      <w:r>
        <w:t xml:space="preserve">[663]</w:t>
      </w:r>
      <w:bookmarkEnd w:id="3918"/>
      <w:r>
        <w:t xml:space="preserve"> Reiner A, Perkel DJ, Bruce LL, et al. Revised nomenclature for avian telencephalon and some related brainstem nuclei.</w:t>
      </w:r>
      <w:r>
        <w:t xml:space="preserve"> </w:t>
      </w:r>
      <w:r>
        <w:rPr>
          <w:iCs/>
          <w:i/>
        </w:rPr>
        <w:t xml:space="preserve">Journal of Comparative Neurology</w:t>
      </w:r>
      <w:r>
        <w:t xml:space="preserve">. 2004;473(3):377–414.</w:t>
      </w:r>
      <w:r>
        <w:t xml:space="preserve"> </w:t>
      </w:r>
      <w:hyperlink r:id="rId3919">
        <w:r>
          <w:rPr>
            <w:rStyle w:val="Hyperlink"/>
          </w:rPr>
          <w:t xml:space="preserve">https://doi.org/10.1002/cne.20118</w:t>
        </w:r>
      </w:hyperlink>
    </w:p>
    <w:p>
      <w:pPr>
        <w:pStyle w:val="ReferenceEntry"/>
      </w:pPr>
      <w:bookmarkStart w:id="3920" w:name="ref-664"/>
      <w:r>
        <w:t xml:space="preserve">[664]</w:t>
      </w:r>
      <w:bookmarkEnd w:id="3920"/>
      <w:r>
        <w:t xml:space="preserve"> Jarvis ED, Güntürkün O, Bruce L, et al. Avian brains and a new understanding of vertebrate brain evolution.</w:t>
      </w:r>
      <w:r>
        <w:t xml:space="preserve"> </w:t>
      </w:r>
      <w:r>
        <w:rPr>
          <w:iCs/>
          <w:i/>
        </w:rPr>
        <w:t xml:space="preserve">Nature Reviews Neuroscience</w:t>
      </w:r>
      <w:r>
        <w:t xml:space="preserve">. 2005;6(2):151–159.</w:t>
      </w:r>
      <w:r>
        <w:t xml:space="preserve"> </w:t>
      </w:r>
      <w:hyperlink r:id="rId3921">
        <w:r>
          <w:rPr>
            <w:rStyle w:val="Hyperlink"/>
          </w:rPr>
          <w:t xml:space="preserve">https://doi.org/10.1038/nrn1606</w:t>
        </w:r>
      </w:hyperlink>
      <w:r>
        <w:t xml:space="preserve">（研究类型：综述与神经命名学综合）</w:t>
      </w:r>
    </w:p>
    <w:p>
      <w:pPr>
        <w:pStyle w:val="ReferenceEntry"/>
      </w:pPr>
      <w:bookmarkStart w:id="3922" w:name="ref-665"/>
      <w:r>
        <w:t xml:space="preserve">[665]</w:t>
      </w:r>
      <w:bookmarkEnd w:id="3922"/>
      <w:r>
        <w:t xml:space="preserve"> Olkowicz S, Kocourek M, Lučan RK, et al. Birds have primate-like numbers of neurons in the forebrain.</w:t>
      </w:r>
      <w:r>
        <w:t xml:space="preserve"> </w:t>
      </w:r>
      <w:r>
        <w:rPr>
          <w:iCs/>
          <w:i/>
        </w:rPr>
        <w:t xml:space="preserve">Proceedings of the National Academy of Sciences</w:t>
      </w:r>
      <w:r>
        <w:t xml:space="preserve">. 2016;113(26):7255–7260.</w:t>
      </w:r>
      <w:r>
        <w:t xml:space="preserve"> </w:t>
      </w:r>
      <w:hyperlink r:id="rId3923">
        <w:r>
          <w:rPr>
            <w:rStyle w:val="Hyperlink"/>
          </w:rPr>
          <w:t xml:space="preserve">https://doi.org/10.1073/pnas.1517131113</w:t>
        </w:r>
      </w:hyperlink>
    </w:p>
    <w:p>
      <w:pPr>
        <w:pStyle w:val="ReferenceEntry"/>
      </w:pPr>
      <w:bookmarkStart w:id="3924" w:name="ref-666"/>
      <w:r>
        <w:t xml:space="preserve">[666]</w:t>
      </w:r>
      <w:bookmarkEnd w:id="3924"/>
      <w:r>
        <w:t xml:space="preserve"> Libé-Philippot B, Lejeune A, Wierda K, Louros N, Erkol E, Vlaeminck I, et al. LRRC37B is a human modifier of voltage-gated sodium channels and axon excitability in cortical neurons.</w:t>
      </w:r>
      <w:r>
        <w:t xml:space="preserve"> </w:t>
      </w:r>
      <w:r>
        <w:rPr>
          <w:iCs/>
          <w:i/>
        </w:rPr>
        <w:t xml:space="preserve">Cell</w:t>
      </w:r>
      <w:r>
        <w:t xml:space="preserve">. 2023;186(26):5766–5783.e25.</w:t>
      </w:r>
      <w:r>
        <w:t xml:space="preserve"> </w:t>
      </w:r>
      <w:hyperlink r:id="rId3925">
        <w:r>
          <w:rPr>
            <w:rStyle w:val="Hyperlink"/>
          </w:rPr>
          <w:t xml:space="preserve">https://doi.org/10.1016/j.cell.2023.11.028</w:t>
        </w:r>
      </w:hyperlink>
      <w:r>
        <w:t xml:space="preserve">（研究类型：比较分子细胞实验）</w:t>
      </w:r>
    </w:p>
    <w:p>
      <w:pPr>
        <w:pStyle w:val="ReferenceEntry"/>
      </w:pPr>
      <w:bookmarkStart w:id="3926" w:name="ref-667"/>
      <w:r>
        <w:t xml:space="preserve">[667]</w:t>
      </w:r>
      <w:bookmarkEnd w:id="3926"/>
      <w:r>
        <w:t xml:space="preserve"> Gazzaniga MS. Forty-five years of split-brain research and still going strong.</w:t>
      </w:r>
      <w:r>
        <w:t xml:space="preserve"> </w:t>
      </w:r>
      <w:r>
        <w:rPr>
          <w:iCs/>
          <w:i/>
        </w:rPr>
        <w:t xml:space="preserve">Nature Reviews Neuroscience</w:t>
      </w:r>
      <w:r>
        <w:t xml:space="preserve">. 2005;6(8):653–659.</w:t>
      </w:r>
      <w:r>
        <w:t xml:space="preserve"> </w:t>
      </w:r>
      <w:hyperlink r:id="rId3927">
        <w:r>
          <w:rPr>
            <w:rStyle w:val="Hyperlink"/>
          </w:rPr>
          <w:t xml:space="preserve">https://doi.org/10.1038/nrn1723</w:t>
        </w:r>
      </w:hyperlink>
    </w:p>
    <w:p>
      <w:pPr>
        <w:pStyle w:val="ReferenceEntry"/>
      </w:pPr>
      <w:bookmarkStart w:id="3928" w:name="ref-668"/>
      <w:r>
        <w:t xml:space="preserve">[668]</w:t>
      </w:r>
      <w:bookmarkEnd w:id="3928"/>
      <w:r>
        <w:t xml:space="preserve"> 张晔. 左撇子智商高、古典音乐提升记忆力？小心这些伪科学. 科技日报，中国新闻网转载，2020-07-02.</w:t>
      </w:r>
      <w:r>
        <w:t xml:space="preserve"> </w:t>
      </w:r>
      <w:hyperlink r:id="rId3929">
        <w:r>
          <w:rPr>
            <w:rStyle w:val="Hyperlink"/>
          </w:rPr>
          <w:t xml:space="preserve">https://www.chinanews.com.cn/sh/2020/07-02/9227067.shtml</w:t>
        </w:r>
      </w:hyperlink>
      <w:r>
        <w:t xml:space="preserve">（2026 年 10 月访问）</w:t>
      </w:r>
    </w:p>
    <w:p>
      <w:pPr>
        <w:pStyle w:val="ReferenceEntry"/>
      </w:pPr>
      <w:bookmarkStart w:id="3930" w:name="ref-669"/>
      <w:r>
        <w:t xml:space="preserve">[669]</w:t>
      </w:r>
      <w:bookmarkEnd w:id="3930"/>
      <w:r>
        <w:t xml:space="preserve"> Knecht S, Dräger B, Deppe M, et al. Handedness and hemispheric language dominance in healthy humans.</w:t>
      </w:r>
      <w:r>
        <w:t xml:space="preserve"> </w:t>
      </w:r>
      <w:r>
        <w:rPr>
          <w:iCs/>
          <w:i/>
        </w:rPr>
        <w:t xml:space="preserve">Brain</w:t>
      </w:r>
      <w:r>
        <w:t xml:space="preserve">. 2000;123(12):2512–2518.</w:t>
      </w:r>
      <w:r>
        <w:t xml:space="preserve"> </w:t>
      </w:r>
      <w:hyperlink r:id="rId3931">
        <w:r>
          <w:rPr>
            <w:rStyle w:val="Hyperlink"/>
          </w:rPr>
          <w:t xml:space="preserve">https://doi.org/10.1093/brain/123.12.2512</w:t>
        </w:r>
      </w:hyperlink>
    </w:p>
    <w:p>
      <w:pPr>
        <w:pStyle w:val="ReferenceEntry"/>
      </w:pPr>
      <w:bookmarkStart w:id="3932" w:name="ref-670"/>
      <w:r>
        <w:t xml:space="preserve">[670]</w:t>
      </w:r>
      <w:bookmarkEnd w:id="3932"/>
      <w:r>
        <w:t xml:space="preserve"> Nielsen JA, Zielinski BA, Ferguson MA, et al. An Evaluation of the Left-Brain vs. Right-Brain Hypothesis with Resting State Functional Connectivity Magnetic Resonance Imaging.</w:t>
      </w:r>
      <w:r>
        <w:t xml:space="preserve"> </w:t>
      </w:r>
      <w:r>
        <w:rPr>
          <w:iCs/>
          <w:i/>
        </w:rPr>
        <w:t xml:space="preserve">PLOS ONE</w:t>
      </w:r>
      <w:r>
        <w:t xml:space="preserve">. 2013;8(8):e71275.</w:t>
      </w:r>
      <w:r>
        <w:t xml:space="preserve"> </w:t>
      </w:r>
      <w:hyperlink r:id="rId3933">
        <w:r>
          <w:rPr>
            <w:rStyle w:val="Hyperlink"/>
          </w:rPr>
          <w:t xml:space="preserve">https://doi.org/10.1371/journal.pone.0071275</w:t>
        </w:r>
      </w:hyperlink>
      <w:r>
        <w:t xml:space="preserve">（研究类型：静息态功能连接观察研究）</w:t>
      </w:r>
    </w:p>
    <w:p>
      <w:pPr>
        <w:pStyle w:val="ReferenceEntry"/>
      </w:pPr>
      <w:bookmarkStart w:id="3934" w:name="ref-671"/>
      <w:r>
        <w:t xml:space="preserve">[671]</w:t>
      </w:r>
      <w:bookmarkEnd w:id="3934"/>
      <w:r>
        <w:t xml:space="preserve"> Corballis MC. Left Brain, Right Brain: Facts and Fantasies.</w:t>
      </w:r>
      <w:r>
        <w:t xml:space="preserve"> </w:t>
      </w:r>
      <w:r>
        <w:rPr>
          <w:iCs/>
          <w:i/>
        </w:rPr>
        <w:t xml:space="preserve">PLOS Biology</w:t>
      </w:r>
      <w:r>
        <w:t xml:space="preserve">. 2014;12(1):e1001767.</w:t>
      </w:r>
      <w:r>
        <w:t xml:space="preserve"> </w:t>
      </w:r>
      <w:hyperlink r:id="rId3935">
        <w:r>
          <w:rPr>
            <w:rStyle w:val="Hyperlink"/>
          </w:rPr>
          <w:t xml:space="preserve">https://doi.org/10.1371/journal.pbio.1001767</w:t>
        </w:r>
      </w:hyperlink>
    </w:p>
    <w:p>
      <w:pPr>
        <w:pStyle w:val="ReferenceEntry"/>
      </w:pPr>
      <w:bookmarkStart w:id="3936" w:name="ref-672"/>
      <w:r>
        <w:t xml:space="preserve">[672]</w:t>
      </w:r>
      <w:bookmarkEnd w:id="3936"/>
      <w:r>
        <w:t xml:space="preserve"> Amalric M, Dehaene S. Origins of the brain networks for advanced mathematics in expert mathematicians.</w:t>
      </w:r>
      <w:r>
        <w:t xml:space="preserve"> </w:t>
      </w:r>
      <w:r>
        <w:rPr>
          <w:iCs/>
          <w:i/>
        </w:rPr>
        <w:t xml:space="preserve">Proceedings of the National Academy of Sciences</w:t>
      </w:r>
      <w:r>
        <w:t xml:space="preserve">. 2016;113(18):4909–4917.</w:t>
      </w:r>
      <w:r>
        <w:t xml:space="preserve"> </w:t>
      </w:r>
      <w:hyperlink r:id="rId3937">
        <w:r>
          <w:rPr>
            <w:rStyle w:val="Hyperlink"/>
          </w:rPr>
          <w:t xml:space="preserve">https://doi.org/10.1073/pnas.1603205113</w:t>
        </w:r>
      </w:hyperlink>
    </w:p>
    <w:p>
      <w:pPr>
        <w:pStyle w:val="ReferenceEntry"/>
      </w:pPr>
      <w:bookmarkStart w:id="3938" w:name="ref-673"/>
      <w:r>
        <w:t xml:space="preserve">[673]</w:t>
      </w:r>
      <w:bookmarkEnd w:id="3938"/>
      <w:r>
        <w:t xml:space="preserve"> Pinto Y, Neville DA, Otten M, et al. Split brain: divided perception but undivided consciousness.</w:t>
      </w:r>
      <w:r>
        <w:t xml:space="preserve"> </w:t>
      </w:r>
      <w:r>
        <w:rPr>
          <w:iCs/>
          <w:i/>
        </w:rPr>
        <w:t xml:space="preserve">Brain</w:t>
      </w:r>
      <w:r>
        <w:t xml:space="preserve">. 2017;140(5):1231–1237.</w:t>
      </w:r>
      <w:r>
        <w:t xml:space="preserve"> </w:t>
      </w:r>
      <w:hyperlink r:id="rId3939">
        <w:r>
          <w:rPr>
            <w:rStyle w:val="Hyperlink"/>
          </w:rPr>
          <w:t xml:space="preserve">https://doi.org/10.1093/brain/aww358</w:t>
        </w:r>
      </w:hyperlink>
    </w:p>
    <w:p>
      <w:pPr>
        <w:pStyle w:val="ReferenceEntry"/>
      </w:pPr>
      <w:bookmarkStart w:id="3940" w:name="ref-674"/>
      <w:r>
        <w:t xml:space="preserve">[674]</w:t>
      </w:r>
      <w:bookmarkEnd w:id="3940"/>
      <w:r>
        <w:t xml:space="preserve"> Beaty RE, Benedek M, Barry Kaufman S, Silvia PJ. Default and executive network coupling supports creative idea production.</w:t>
      </w:r>
      <w:r>
        <w:t xml:space="preserve"> </w:t>
      </w:r>
      <w:r>
        <w:rPr>
          <w:iCs/>
          <w:i/>
        </w:rPr>
        <w:t xml:space="preserve">Scientific Reports</w:t>
      </w:r>
      <w:r>
        <w:t xml:space="preserve">. 2015;5(1):10964.</w:t>
      </w:r>
      <w:r>
        <w:t xml:space="preserve"> </w:t>
      </w:r>
      <w:hyperlink r:id="rId3941">
        <w:r>
          <w:rPr>
            <w:rStyle w:val="Hyperlink"/>
          </w:rPr>
          <w:t xml:space="preserve">https://doi.org/10.1038/srep10964</w:t>
        </w:r>
      </w:hyperlink>
      <w:r>
        <w:t xml:space="preserve">（研究类型：任务功能磁共振研究）</w:t>
      </w:r>
    </w:p>
    <w:p>
      <w:pPr>
        <w:pStyle w:val="ReferenceEntry"/>
      </w:pPr>
      <w:bookmarkStart w:id="3942" w:name="ref-675"/>
      <w:r>
        <w:t xml:space="preserve">[675]</w:t>
      </w:r>
      <w:bookmarkEnd w:id="3942"/>
      <w:r>
        <w:t xml:space="preserve"> Purves D, Augustine GJ, Fitzpatrick D, et al., editors.</w:t>
      </w:r>
      <w:r>
        <w:t xml:space="preserve"> </w:t>
      </w:r>
      <w:r>
        <w:rPr>
          <w:iCs/>
          <w:i/>
        </w:rPr>
        <w:t xml:space="preserve">Neuroscience</w:t>
      </w:r>
      <w:r>
        <w:t xml:space="preserve">. 2nd ed. 2001. Chapter: Language and Lateralization.</w:t>
      </w:r>
      <w:r>
        <w:t xml:space="preserve"> </w:t>
      </w:r>
      <w:hyperlink r:id="rId3943">
        <w:r>
          <w:rPr>
            <w:rStyle w:val="Hyperlink"/>
          </w:rPr>
          <w:t xml:space="preserve">https://www.ncbi.nlm.nih.gov/books/NBK10936/</w:t>
        </w:r>
      </w:hyperlink>
      <w:r>
        <w:t xml:space="preserve">（研究类型：官方托管教材章节）</w:t>
      </w:r>
    </w:p>
    <w:p>
      <w:pPr>
        <w:pStyle w:val="ReferenceEntry"/>
      </w:pPr>
      <w:bookmarkStart w:id="3944" w:name="ref-676"/>
      <w:r>
        <w:t xml:space="preserve">[676]</w:t>
      </w:r>
      <w:bookmarkEnd w:id="3944"/>
      <w:r>
        <w:t xml:space="preserve"> Fedorenko E, Behr MK, Kanwisher N. Functional specificity for high level linguistic processing in the human brain.</w:t>
      </w:r>
      <w:r>
        <w:t xml:space="preserve"> </w:t>
      </w:r>
      <w:r>
        <w:rPr>
          <w:iCs/>
          <w:i/>
        </w:rPr>
        <w:t xml:space="preserve">Proceedings of the National Academy of Sciences</w:t>
      </w:r>
      <w:r>
        <w:t xml:space="preserve">. 2011;108(39):16428–16433.</w:t>
      </w:r>
      <w:r>
        <w:t xml:space="preserve"> </w:t>
      </w:r>
      <w:hyperlink r:id="rId3945">
        <w:r>
          <w:rPr>
            <w:rStyle w:val="Hyperlink"/>
          </w:rPr>
          <w:t xml:space="preserve">https://doi.org/10.1073/pnas.1112937108</w:t>
        </w:r>
      </w:hyperlink>
      <w:r>
        <w:t xml:space="preserve">（研究类型：原始个体功能定位fMRI）</w:t>
      </w:r>
    </w:p>
    <w:p>
      <w:pPr>
        <w:pStyle w:val="ReferenceEntry"/>
      </w:pPr>
      <w:bookmarkStart w:id="3946" w:name="ref-677"/>
      <w:r>
        <w:t xml:space="preserve">[677]</w:t>
      </w:r>
      <w:bookmarkEnd w:id="3946"/>
      <w:r>
        <w:t xml:space="preserve"> Hinkley LBN, Marco EJ, Brown EG, Bukshpun P, Gold J, Hill S, et al. The Contribution of the Corpus Callosum to Language Lateralization.</w:t>
      </w:r>
      <w:r>
        <w:t xml:space="preserve"> </w:t>
      </w:r>
      <w:r>
        <w:rPr>
          <w:iCs/>
          <w:i/>
        </w:rPr>
        <w:t xml:space="preserve">The Journal of Neuroscience</w:t>
      </w:r>
      <w:r>
        <w:t xml:space="preserve">. 2016;36(16):4522–4533.</w:t>
      </w:r>
      <w:r>
        <w:t xml:space="preserve"> </w:t>
      </w:r>
      <w:hyperlink r:id="rId3947">
        <w:r>
          <w:rPr>
            <w:rStyle w:val="Hyperlink"/>
          </w:rPr>
          <w:t xml:space="preserve">https://doi.org/10.1523/JNEUROSCI.3850-14.2016</w:t>
        </w:r>
      </w:hyperlink>
      <w:r>
        <w:t xml:space="preserve">（研究类型：先天结构差异MEG观察研究）</w:t>
      </w:r>
    </w:p>
    <w:p>
      <w:pPr>
        <w:pStyle w:val="ReferenceEntry"/>
      </w:pPr>
      <w:bookmarkStart w:id="3948" w:name="ref-678"/>
      <w:r>
        <w:t xml:space="preserve">[678]</w:t>
      </w:r>
      <w:bookmarkEnd w:id="3948"/>
      <w:r>
        <w:t xml:space="preserve"> Jarrett C.</w:t>
      </w:r>
      <w:r>
        <w:t xml:space="preserve"> </w:t>
      </w:r>
      <w:r>
        <w:rPr>
          <w:iCs/>
          <w:i/>
        </w:rPr>
        <w:t xml:space="preserve">Great Myths of the Brain</w:t>
      </w:r>
      <w:r>
        <w:t xml:space="preserve">. Chichester: Wiley-Blackwell; 2014. 相关章节节选：Great myths of the brain: we only use 10 per cent.</w:t>
      </w:r>
      <w:r>
        <w:t xml:space="preserve"> </w:t>
      </w:r>
      <w:r>
        <w:rPr>
          <w:iCs/>
          <w:i/>
        </w:rPr>
        <w:t xml:space="preserve">The Psychologist</w:t>
      </w:r>
      <w:r>
        <w:t xml:space="preserve">（英国心理学会）.</w:t>
      </w:r>
      <w:r>
        <w:t xml:space="preserve"> </w:t>
      </w:r>
      <w:hyperlink r:id="rId3949">
        <w:r>
          <w:rPr>
            <w:rStyle w:val="Hyperlink"/>
          </w:rPr>
          <w:t xml:space="preserve">https://thepsychologist.bps.org.uk/great-myths-brain-we-only-use-10-cent</w:t>
        </w:r>
      </w:hyperlink>
      <w:r>
        <w:t xml:space="preserve">（2026 年 10 月访问）</w:t>
      </w:r>
    </w:p>
    <w:p>
      <w:pPr>
        <w:pStyle w:val="ReferenceEntry"/>
      </w:pPr>
      <w:bookmarkStart w:id="3950" w:name="ref-679"/>
      <w:r>
        <w:t xml:space="preserve">[679]</w:t>
      </w:r>
      <w:bookmarkEnd w:id="3950"/>
      <w:r>
        <w:t xml:space="preserve"> Raichle ME, Gusnard DA. Appraising the brain's energy budget.</w:t>
      </w:r>
      <w:r>
        <w:t xml:space="preserve"> </w:t>
      </w:r>
      <w:r>
        <w:rPr>
          <w:iCs/>
          <w:i/>
        </w:rPr>
        <w:t xml:space="preserve">Proceedings of the National Academy of Sciences</w:t>
      </w:r>
      <w:r>
        <w:t xml:space="preserve">. 2002;99(16):10237–10239.</w:t>
      </w:r>
      <w:r>
        <w:t xml:space="preserve"> </w:t>
      </w:r>
      <w:hyperlink r:id="rId3951">
        <w:r>
          <w:rPr>
            <w:rStyle w:val="Hyperlink"/>
          </w:rPr>
          <w:t xml:space="preserve">https://doi.org/10.1073/pnas.172399499</w:t>
        </w:r>
      </w:hyperlink>
    </w:p>
    <w:p>
      <w:pPr>
        <w:pStyle w:val="ReferenceEntry"/>
      </w:pPr>
      <w:bookmarkStart w:id="3952" w:name="ref-680"/>
      <w:r>
        <w:t xml:space="preserve">[680]</w:t>
      </w:r>
      <w:bookmarkEnd w:id="3952"/>
      <w:r>
        <w:t xml:space="preserve"> Lennie P. The Cost of Cortical Computation.</w:t>
      </w:r>
      <w:r>
        <w:t xml:space="preserve"> </w:t>
      </w:r>
      <w:r>
        <w:rPr>
          <w:iCs/>
          <w:i/>
        </w:rPr>
        <w:t xml:space="preserve">Current Biology</w:t>
      </w:r>
      <w:r>
        <w:t xml:space="preserve">. 2003;13(6):493–497.</w:t>
      </w:r>
      <w:r>
        <w:t xml:space="preserve"> </w:t>
      </w:r>
      <w:hyperlink r:id="rId3953">
        <w:r>
          <w:rPr>
            <w:rStyle w:val="Hyperlink"/>
          </w:rPr>
          <w:t xml:space="preserve">https://doi.org/10.1016/s0960-9822(03)00135-0</w:t>
        </w:r>
      </w:hyperlink>
      <w:r>
        <w:t xml:space="preserve">（研究类型：生理能量预算模型）</w:t>
      </w:r>
    </w:p>
    <w:p>
      <w:pPr>
        <w:pStyle w:val="ReferenceEntry"/>
      </w:pPr>
      <w:bookmarkStart w:id="3954" w:name="ref-681"/>
      <w:r>
        <w:t xml:space="preserve">[681]</w:t>
      </w:r>
      <w:bookmarkEnd w:id="3954"/>
      <w:r>
        <w:t xml:space="preserve"> Raichle ME, Mintun MA. Brain work and brain imaging.</w:t>
      </w:r>
      <w:r>
        <w:t xml:space="preserve"> </w:t>
      </w:r>
      <w:r>
        <w:rPr>
          <w:iCs/>
          <w:i/>
        </w:rPr>
        <w:t xml:space="preserve">Annual Review of Neuroscience</w:t>
      </w:r>
      <w:r>
        <w:t xml:space="preserve">. 2006;29(1):449–476.</w:t>
      </w:r>
      <w:r>
        <w:t xml:space="preserve"> </w:t>
      </w:r>
      <w:hyperlink r:id="rId3955">
        <w:r>
          <w:rPr>
            <w:rStyle w:val="Hyperlink"/>
          </w:rPr>
          <w:t xml:space="preserve">https://doi.org/10.1146/annurev.neuro.29.051605.112819</w:t>
        </w:r>
      </w:hyperlink>
      <w:r>
        <w:t xml:space="preserve">（研究类型：综述）</w:t>
      </w:r>
    </w:p>
    <w:p>
      <w:pPr>
        <w:pStyle w:val="ReferenceEntry"/>
      </w:pPr>
      <w:bookmarkStart w:id="3956" w:name="ref-682"/>
      <w:r>
        <w:t xml:space="preserve">[682]</w:t>
      </w:r>
      <w:bookmarkEnd w:id="3956"/>
      <w:r>
        <w:t xml:space="preserve"> di Pellegrino G, Fadiga L, Fogassi L, et al. Understanding motor events: a neurophysiological study.</w:t>
      </w:r>
      <w:r>
        <w:t xml:space="preserve"> </w:t>
      </w:r>
      <w:r>
        <w:rPr>
          <w:iCs/>
          <w:i/>
        </w:rPr>
        <w:t xml:space="preserve">Experimental Brain Research</w:t>
      </w:r>
      <w:r>
        <w:t xml:space="preserve">. 1992;91(1):176–180.</w:t>
      </w:r>
      <w:r>
        <w:t xml:space="preserve"> </w:t>
      </w:r>
      <w:hyperlink r:id="rId3957">
        <w:r>
          <w:rPr>
            <w:rStyle w:val="Hyperlink"/>
          </w:rPr>
          <w:t xml:space="preserve">https://doi.org/10.1007/bf00230027</w:t>
        </w:r>
      </w:hyperlink>
    </w:p>
    <w:p>
      <w:pPr>
        <w:pStyle w:val="ReferenceEntry"/>
      </w:pPr>
      <w:bookmarkStart w:id="3958" w:name="ref-683"/>
      <w:r>
        <w:t xml:space="preserve">[683]</w:t>
      </w:r>
      <w:bookmarkEnd w:id="3958"/>
      <w:r>
        <w:t xml:space="preserve"> Gallese V, Fadiga L, Fogassi L, et al. Action recognition in the premotor cortex.</w:t>
      </w:r>
      <w:r>
        <w:t xml:space="preserve"> </w:t>
      </w:r>
      <w:r>
        <w:rPr>
          <w:iCs/>
          <w:i/>
        </w:rPr>
        <w:t xml:space="preserve">Brain</w:t>
      </w:r>
      <w:r>
        <w:t xml:space="preserve">. 1996;119(2):593–609.</w:t>
      </w:r>
      <w:r>
        <w:t xml:space="preserve"> </w:t>
      </w:r>
      <w:hyperlink r:id="rId3959">
        <w:r>
          <w:rPr>
            <w:rStyle w:val="Hyperlink"/>
          </w:rPr>
          <w:t xml:space="preserve">https://doi.org/10.1093/brain/119.2.593</w:t>
        </w:r>
      </w:hyperlink>
    </w:p>
    <w:p>
      <w:pPr>
        <w:pStyle w:val="ReferenceEntry"/>
      </w:pPr>
      <w:bookmarkStart w:id="3960" w:name="ref-684"/>
      <w:r>
        <w:t xml:space="preserve">[684]</w:t>
      </w:r>
      <w:bookmarkEnd w:id="3960"/>
      <w:r>
        <w:t xml:space="preserve"> Hickok G. Eight Problems for the Mirror Neuron Theory of Action Understanding in Monkeys and Humans.</w:t>
      </w:r>
      <w:r>
        <w:t xml:space="preserve"> </w:t>
      </w:r>
      <w:r>
        <w:rPr>
          <w:iCs/>
          <w:i/>
        </w:rPr>
        <w:t xml:space="preserve">Journal of Cognitive Neuroscience</w:t>
      </w:r>
      <w:r>
        <w:t xml:space="preserve">. 2009;21(7):1229–1243.</w:t>
      </w:r>
      <w:r>
        <w:t xml:space="preserve"> </w:t>
      </w:r>
      <w:hyperlink r:id="rId3961">
        <w:r>
          <w:rPr>
            <w:rStyle w:val="Hyperlink"/>
          </w:rPr>
          <w:t xml:space="preserve">https://doi.org/10.1162/jocn.2009.21189</w:t>
        </w:r>
      </w:hyperlink>
      <w:r>
        <w:t xml:space="preserve">（研究类型：理论批评与证据综述）</w:t>
      </w:r>
    </w:p>
    <w:p>
      <w:pPr>
        <w:pStyle w:val="ReferenceEntry"/>
      </w:pPr>
      <w:bookmarkStart w:id="3962" w:name="ref-685"/>
      <w:r>
        <w:t xml:space="preserve">[685]</w:t>
      </w:r>
      <w:bookmarkEnd w:id="3962"/>
      <w:r>
        <w:t xml:space="preserve"> Heyes C, Catmur C. What Happened to Mirror Neurons?</w:t>
      </w:r>
      <w:r>
        <w:t xml:space="preserve"> </w:t>
      </w:r>
      <w:r>
        <w:rPr>
          <w:iCs/>
          <w:i/>
        </w:rPr>
        <w:t xml:space="preserve">Perspectives on Psychological Science</w:t>
      </w:r>
      <w:r>
        <w:t xml:space="preserve">. 2022;17(1):153–168.</w:t>
      </w:r>
      <w:r>
        <w:t xml:space="preserve"> </w:t>
      </w:r>
      <w:hyperlink r:id="rId3963">
        <w:r>
          <w:rPr>
            <w:rStyle w:val="Hyperlink"/>
          </w:rPr>
          <w:t xml:space="preserve">https://doi.org/10.1177/1745691621990638</w:t>
        </w:r>
      </w:hyperlink>
    </w:p>
    <w:p>
      <w:pPr>
        <w:pStyle w:val="ReferenceEntry"/>
      </w:pPr>
      <w:bookmarkStart w:id="3964" w:name="ref-686"/>
      <w:r>
        <w:t xml:space="preserve">[686]</w:t>
      </w:r>
      <w:bookmarkEnd w:id="3964"/>
      <w:r>
        <w:t xml:space="preserve"> Cook R, Bird G, Catmur C, et al. Mirror neurons: From origin to function.</w:t>
      </w:r>
      <w:r>
        <w:t xml:space="preserve"> </w:t>
      </w:r>
      <w:r>
        <w:rPr>
          <w:iCs/>
          <w:i/>
        </w:rPr>
        <w:t xml:space="preserve">Behavioral and Brain Sciences</w:t>
      </w:r>
      <w:r>
        <w:t xml:space="preserve">. 2014;37(2):177–192.</w:t>
      </w:r>
      <w:r>
        <w:t xml:space="preserve"> </w:t>
      </w:r>
      <w:hyperlink r:id="rId3965">
        <w:r>
          <w:rPr>
            <w:rStyle w:val="Hyperlink"/>
          </w:rPr>
          <w:t xml:space="preserve">https://doi.org/10.1017/s0140525x13000903</w:t>
        </w:r>
      </w:hyperlink>
      <w:r>
        <w:t xml:space="preserve">（研究类型：理论目标论文）</w:t>
      </w:r>
    </w:p>
    <w:p>
      <w:pPr>
        <w:pStyle w:val="ReferenceEntry"/>
      </w:pPr>
      <w:bookmarkStart w:id="3966" w:name="ref-687"/>
      <w:r>
        <w:t xml:space="preserve">[687]</w:t>
      </w:r>
      <w:bookmarkEnd w:id="3966"/>
      <w:r>
        <w:t xml:space="preserve"> Hamilton AF. Reflecting on the mirror neuron system in autism: A systematic review of current theories.</w:t>
      </w:r>
      <w:r>
        <w:t xml:space="preserve"> </w:t>
      </w:r>
      <w:r>
        <w:rPr>
          <w:iCs/>
          <w:i/>
        </w:rPr>
        <w:t xml:space="preserve">Developmental Cognitive Neuroscience</w:t>
      </w:r>
      <w:r>
        <w:t xml:space="preserve">. 2013;3:91–105.</w:t>
      </w:r>
      <w:r>
        <w:t xml:space="preserve"> </w:t>
      </w:r>
      <w:hyperlink r:id="rId3967">
        <w:r>
          <w:rPr>
            <w:rStyle w:val="Hyperlink"/>
          </w:rPr>
          <w:t xml:space="preserve">https://doi.org/10.1016/j.dcn.2012.09.008</w:t>
        </w:r>
      </w:hyperlink>
      <w:r>
        <w:t xml:space="preserve">（研究类型：原始系统综述）</w:t>
      </w:r>
    </w:p>
    <w:p>
      <w:pPr>
        <w:pStyle w:val="ReferenceEntry"/>
      </w:pPr>
      <w:bookmarkStart w:id="3968" w:name="ref-688"/>
      <w:r>
        <w:t xml:space="preserve">[688]</w:t>
      </w:r>
      <w:bookmarkEnd w:id="3968"/>
      <w:r>
        <w:t xml:space="preserve"> Mukamel R, Ekstrom AD, Kaplan J, et al. Single-Neuron Responses in Humans during Execution and Observation of Actions.</w:t>
      </w:r>
      <w:r>
        <w:t xml:space="preserve"> </w:t>
      </w:r>
      <w:r>
        <w:rPr>
          <w:iCs/>
          <w:i/>
        </w:rPr>
        <w:t xml:space="preserve">Current Biology</w:t>
      </w:r>
      <w:r>
        <w:t xml:space="preserve">. 2010;20(8):750–756.</w:t>
      </w:r>
      <w:r>
        <w:t xml:space="preserve"> </w:t>
      </w:r>
      <w:hyperlink r:id="rId3969">
        <w:r>
          <w:rPr>
            <w:rStyle w:val="Hyperlink"/>
          </w:rPr>
          <w:t xml:space="preserve">https://doi.org/10.1016/j.cub.2010.02.045</w:t>
        </w:r>
      </w:hyperlink>
      <w:r>
        <w:t xml:space="preserve">（研究类型：临床患者单细胞记录）</w:t>
      </w:r>
    </w:p>
    <w:p>
      <w:pPr>
        <w:pStyle w:val="ReferenceEntry"/>
      </w:pPr>
      <w:bookmarkStart w:id="3970" w:name="ref-689"/>
      <w:r>
        <w:t xml:space="preserve">[689]</w:t>
      </w:r>
      <w:bookmarkEnd w:id="3970"/>
      <w:r>
        <w:t xml:space="preserve"> Rizzolatti G, Sinigaglia C. The Mirror Mechanism: A Basic Principle of Brain Function.</w:t>
      </w:r>
      <w:r>
        <w:t xml:space="preserve"> </w:t>
      </w:r>
      <w:r>
        <w:rPr>
          <w:iCs/>
          <w:i/>
        </w:rPr>
        <w:t xml:space="preserve">Nature Reviews Neuroscience</w:t>
      </w:r>
      <w:r>
        <w:t xml:space="preserve">. 2016;17(12):757–765.</w:t>
      </w:r>
      <w:r>
        <w:t xml:space="preserve"> </w:t>
      </w:r>
      <w:hyperlink r:id="rId3971">
        <w:r>
          <w:rPr>
            <w:rStyle w:val="Hyperlink"/>
          </w:rPr>
          <w:t xml:space="preserve">https://doi.org/10.1038/nrn.2016.135</w:t>
        </w:r>
      </w:hyperlink>
      <w:r>
        <w:t xml:space="preserve">（研究类型：机制综述）</w:t>
      </w:r>
    </w:p>
    <w:p>
      <w:pPr>
        <w:pStyle w:val="ReferenceEntry"/>
      </w:pPr>
      <w:bookmarkStart w:id="3972" w:name="ref-690"/>
      <w:r>
        <w:t xml:space="preserve">[690]</w:t>
      </w:r>
      <w:bookmarkEnd w:id="3972"/>
      <w:r>
        <w:t xml:space="preserve"> Hobson HM, Bishop DVM. Mu suppression – A good measure of the human mirror neuron system?</w:t>
      </w:r>
      <w:r>
        <w:t xml:space="preserve"> </w:t>
      </w:r>
      <w:r>
        <w:rPr>
          <w:iCs/>
          <w:i/>
        </w:rPr>
        <w:t xml:space="preserve">Cortex</w:t>
      </w:r>
      <w:r>
        <w:t xml:space="preserve">. 2016;82:290–310.</w:t>
      </w:r>
      <w:r>
        <w:t xml:space="preserve"> </w:t>
      </w:r>
      <w:hyperlink r:id="rId3973">
        <w:r>
          <w:rPr>
            <w:rStyle w:val="Hyperlink"/>
          </w:rPr>
          <w:t xml:space="preserve">https://doi.org/10.1016/j.cortex.2016.03.019</w:t>
        </w:r>
      </w:hyperlink>
      <w:r>
        <w:t xml:space="preserve">（研究类型：原始脑电实验与测量评估）</w:t>
      </w:r>
    </w:p>
    <w:p>
      <w:pPr>
        <w:pStyle w:val="ReferenceEntry"/>
      </w:pPr>
      <w:bookmarkStart w:id="3974" w:name="ref-691"/>
      <w:r>
        <w:t xml:space="preserve">[691]</w:t>
      </w:r>
      <w:bookmarkEnd w:id="3974"/>
      <w:r>
        <w:t xml:space="preserve"> Bowman LC, Bakermans-Kranenburg MJ, Yoo KH, Cannon EN, Vanderwert RE, Ferrari PF, et al. The mu rhythm can mirror Insights from experimental design and looking past the controversy.</w:t>
      </w:r>
      <w:r>
        <w:t xml:space="preserve"> </w:t>
      </w:r>
      <w:r>
        <w:rPr>
          <w:iCs/>
          <w:i/>
        </w:rPr>
        <w:t xml:space="preserve">Cortex</w:t>
      </w:r>
      <w:r>
        <w:t xml:space="preserve">. 2017;96:121–125.</w:t>
      </w:r>
      <w:r>
        <w:t xml:space="preserve"> </w:t>
      </w:r>
      <w:hyperlink r:id="rId3975">
        <w:r>
          <w:rPr>
            <w:rStyle w:val="Hyperlink"/>
          </w:rPr>
          <w:t xml:space="preserve">https://doi.org/10.1016/j.cortex.2017.03.025</w:t>
        </w:r>
      </w:hyperlink>
      <w:r>
        <w:t xml:space="preserve">（研究类型：学术评论）</w:t>
      </w:r>
    </w:p>
    <w:p>
      <w:pPr>
        <w:pStyle w:val="ReferenceEntry"/>
      </w:pPr>
      <w:bookmarkStart w:id="3976" w:name="ref-692"/>
      <w:r>
        <w:t xml:space="preserve">[692]</w:t>
      </w:r>
      <w:bookmarkEnd w:id="3976"/>
      <w:r>
        <w:t xml:space="preserve"> Wolpert DM, Doya K, Kawato M. A unifying computational framework for motor control and social interaction. Philosophical Transactions of the Royal Society of London.</w:t>
      </w:r>
      <w:r>
        <w:t xml:space="preserve"> </w:t>
      </w:r>
      <w:r>
        <w:rPr>
          <w:iCs/>
          <w:i/>
        </w:rPr>
        <w:t xml:space="preserve">Series B: Biological Sciences</w:t>
      </w:r>
      <w:r>
        <w:t xml:space="preserve">. 2003;358(1431):593–602.</w:t>
      </w:r>
      <w:r>
        <w:t xml:space="preserve"> </w:t>
      </w:r>
      <w:hyperlink r:id="rId3977">
        <w:r>
          <w:rPr>
            <w:rStyle w:val="Hyperlink"/>
          </w:rPr>
          <w:t xml:space="preserve">https://doi.org/10.1098/rstb.2002.1238</w:t>
        </w:r>
      </w:hyperlink>
      <w:r>
        <w:t xml:space="preserve">（研究类型：计算理论综合）</w:t>
      </w:r>
    </w:p>
    <w:p>
      <w:pPr>
        <w:pStyle w:val="ReferenceEntry"/>
      </w:pPr>
      <w:bookmarkStart w:id="3978" w:name="ref-693"/>
      <w:r>
        <w:t xml:space="preserve">[693]</w:t>
      </w:r>
      <w:bookmarkEnd w:id="3978"/>
      <w:r>
        <w:t xml:space="preserve"> Goleman D.</w:t>
      </w:r>
      <w:r>
        <w:t xml:space="preserve"> </w:t>
      </w:r>
      <w:r>
        <w:rPr>
          <w:iCs/>
          <w:i/>
        </w:rPr>
        <w:t xml:space="preserve">Emotional Intelligence</w:t>
      </w:r>
      <w:r>
        <w:t xml:space="preserve">. New York: Bantam Books; 1995.</w:t>
      </w:r>
    </w:p>
    <w:p>
      <w:pPr>
        <w:pStyle w:val="ReferenceEntry"/>
      </w:pPr>
      <w:bookmarkStart w:id="3979" w:name="ref-694"/>
      <w:r>
        <w:t xml:space="preserve">[694]</w:t>
      </w:r>
      <w:bookmarkEnd w:id="3979"/>
      <w:r>
        <w:t xml:space="preserve"> Méndez-Bértolo C, Moratti S, Toledano R, et al. A fast pathway for fear in human amygdala.</w:t>
      </w:r>
      <w:r>
        <w:t xml:space="preserve"> </w:t>
      </w:r>
      <w:r>
        <w:rPr>
          <w:iCs/>
          <w:i/>
        </w:rPr>
        <w:t xml:space="preserve">Nature Neuroscience</w:t>
      </w:r>
      <w:r>
        <w:t xml:space="preserve">. 2016;19(8):1041–1049.</w:t>
      </w:r>
      <w:r>
        <w:t xml:space="preserve"> </w:t>
      </w:r>
      <w:hyperlink r:id="rId3980">
        <w:r>
          <w:rPr>
            <w:rStyle w:val="Hyperlink"/>
          </w:rPr>
          <w:t xml:space="preserve">https://doi.org/10.1038/nn.4324</w:t>
        </w:r>
      </w:hyperlink>
    </w:p>
    <w:p>
      <w:pPr>
        <w:pStyle w:val="ReferenceEntry"/>
      </w:pPr>
      <w:bookmarkStart w:id="3981" w:name="ref-695"/>
      <w:r>
        <w:t xml:space="preserve">[695]</w:t>
      </w:r>
      <w:bookmarkEnd w:id="3981"/>
      <w:r>
        <w:t xml:space="preserve"> Pessoa L, Adolphs R. Emotion processing and the amygdala: from a 'low road' to 'many roads' of evaluating biological significance.</w:t>
      </w:r>
      <w:r>
        <w:t xml:space="preserve"> </w:t>
      </w:r>
      <w:r>
        <w:rPr>
          <w:iCs/>
          <w:i/>
        </w:rPr>
        <w:t xml:space="preserve">Nature Reviews Neuroscience</w:t>
      </w:r>
      <w:r>
        <w:t xml:space="preserve">. 2010;11(11):773–782.</w:t>
      </w:r>
      <w:r>
        <w:t xml:space="preserve"> </w:t>
      </w:r>
      <w:hyperlink r:id="rId3982">
        <w:r>
          <w:rPr>
            <w:rStyle w:val="Hyperlink"/>
          </w:rPr>
          <w:t xml:space="preserve">https://doi.org/10.1038/nrn2920</w:t>
        </w:r>
      </w:hyperlink>
      <w:r>
        <w:t xml:space="preserve">（研究类型：机制综述）</w:t>
      </w:r>
    </w:p>
    <w:p>
      <w:pPr>
        <w:pStyle w:val="ReferenceEntry"/>
      </w:pPr>
      <w:bookmarkStart w:id="3983" w:name="ref-696"/>
      <w:r>
        <w:t xml:space="preserve">[696]</w:t>
      </w:r>
      <w:bookmarkEnd w:id="3983"/>
      <w:r>
        <w:t xml:space="preserve"> LeDoux JE, Pine DS. Using Neuroscience to Help Understand Fear and Anxiety: A Two-System Framework.</w:t>
      </w:r>
      <w:r>
        <w:t xml:space="preserve"> </w:t>
      </w:r>
      <w:r>
        <w:rPr>
          <w:iCs/>
          <w:i/>
        </w:rPr>
        <w:t xml:space="preserve">American Journal of Psychiatry</w:t>
      </w:r>
      <w:r>
        <w:t xml:space="preserve">. 2016;173(11):1083–1093.</w:t>
      </w:r>
      <w:r>
        <w:t xml:space="preserve"> </w:t>
      </w:r>
      <w:hyperlink r:id="rId3984">
        <w:r>
          <w:rPr>
            <w:rStyle w:val="Hyperlink"/>
          </w:rPr>
          <w:t xml:space="preserve">https://doi.org/10.1176/appi.ajp.2016.16030353</w:t>
        </w:r>
      </w:hyperlink>
      <w:r>
        <w:t xml:space="preserve">（研究类型：机制理论框架）</w:t>
      </w:r>
    </w:p>
    <w:p>
      <w:pPr>
        <w:pStyle w:val="ReferenceEntry"/>
      </w:pPr>
      <w:bookmarkStart w:id="3985" w:name="ref-697"/>
      <w:r>
        <w:t xml:space="preserve">[697]</w:t>
      </w:r>
      <w:bookmarkEnd w:id="3985"/>
      <w:r>
        <w:t xml:space="preserve"> Six Seconds. Why “Six Seconds”? The inside story &amp; neuroscience behind our intriguing name. 2019-06-19.</w:t>
      </w:r>
      <w:r>
        <w:t xml:space="preserve"> </w:t>
      </w:r>
      <w:hyperlink r:id="rId3986">
        <w:r>
          <w:rPr>
            <w:rStyle w:val="Hyperlink"/>
          </w:rPr>
          <w:t xml:space="preserve">https://www.6seconds.org/2019/06/19/why-six-seconds-about-our-intriguing-name</w:t>
        </w:r>
      </w:hyperlink>
      <w:r>
        <w:t xml:space="preserve">（2026 年 10 月访问）</w:t>
      </w:r>
    </w:p>
    <w:p>
      <w:pPr>
        <w:pStyle w:val="ReferenceEntry"/>
      </w:pPr>
      <w:bookmarkStart w:id="3987" w:name="ref-698"/>
      <w:r>
        <w:t xml:space="preserve">[698]</w:t>
      </w:r>
      <w:bookmarkEnd w:id="3987"/>
      <w:r>
        <w:t xml:space="preserve"> Taylor JB.</w:t>
      </w:r>
      <w:r>
        <w:t xml:space="preserve"> </w:t>
      </w:r>
      <w:r>
        <w:rPr>
          <w:iCs/>
          <w:i/>
        </w:rPr>
        <w:t xml:space="preserve">My Stroke of Insight: A Brain Scientist’s Personal Journey</w:t>
      </w:r>
      <w:r>
        <w:t xml:space="preserve">. New York: Viking; 2008.</w:t>
      </w:r>
    </w:p>
    <w:p>
      <w:pPr>
        <w:pStyle w:val="ReferenceEntry"/>
      </w:pPr>
      <w:bookmarkStart w:id="3988" w:name="ref-699"/>
      <w:r>
        <w:t xml:space="preserve">[699]</w:t>
      </w:r>
      <w:bookmarkEnd w:id="3988"/>
      <w:r>
        <w:t xml:space="preserve"> Hindmarsh PC, Charmandari E. Variation in absorption and half‐life of hydrocortisone influence plasma cortisol concentrations.</w:t>
      </w:r>
      <w:r>
        <w:t xml:space="preserve"> </w:t>
      </w:r>
      <w:r>
        <w:rPr>
          <w:iCs/>
          <w:i/>
        </w:rPr>
        <w:t xml:space="preserve">Clinical Endocrinology</w:t>
      </w:r>
      <w:r>
        <w:t xml:space="preserve">. 2015;82(4):557–561.</w:t>
      </w:r>
      <w:r>
        <w:t xml:space="preserve"> </w:t>
      </w:r>
      <w:hyperlink r:id="rId3989">
        <w:r>
          <w:rPr>
            <w:rStyle w:val="Hyperlink"/>
          </w:rPr>
          <w:t xml:space="preserve">https://doi.org/10.1111/cen.12653</w:t>
        </w:r>
      </w:hyperlink>
    </w:p>
    <w:p>
      <w:pPr>
        <w:pStyle w:val="ReferenceEntry"/>
      </w:pPr>
      <w:bookmarkStart w:id="3990" w:name="ref-700"/>
      <w:r>
        <w:t xml:space="preserve">[700]</w:t>
      </w:r>
      <w:bookmarkEnd w:id="3990"/>
      <w:r>
        <w:t xml:space="preserve"> Verduyn P, Lavrijsen S. Which emotions last longest and why: The role of event importance and rumination.</w:t>
      </w:r>
      <w:r>
        <w:t xml:space="preserve"> </w:t>
      </w:r>
      <w:r>
        <w:rPr>
          <w:iCs/>
          <w:i/>
        </w:rPr>
        <w:t xml:space="preserve">Motivation and Emotion</w:t>
      </w:r>
      <w:r>
        <w:t xml:space="preserve">. 2015;39(1):119–127.</w:t>
      </w:r>
      <w:r>
        <w:t xml:space="preserve"> </w:t>
      </w:r>
      <w:hyperlink r:id="rId3991">
        <w:r>
          <w:rPr>
            <w:rStyle w:val="Hyperlink"/>
          </w:rPr>
          <w:t xml:space="preserve">https://doi.org/10.1007/s11031-014-9445-y</w:t>
        </w:r>
      </w:hyperlink>
    </w:p>
    <w:p>
      <w:pPr>
        <w:pStyle w:val="ReferenceEntry"/>
      </w:pPr>
      <w:bookmarkStart w:id="3992" w:name="ref-701"/>
      <w:r>
        <w:t xml:space="preserve">[701]</w:t>
      </w:r>
      <w:bookmarkEnd w:id="3992"/>
      <w:r>
        <w:t xml:space="preserve"> Maltz M.</w:t>
      </w:r>
      <w:r>
        <w:t xml:space="preserve"> </w:t>
      </w:r>
      <w:r>
        <w:rPr>
          <w:iCs/>
          <w:i/>
        </w:rPr>
        <w:t xml:space="preserve">Psycho-Cybernetics</w:t>
      </w:r>
      <w:r>
        <w:t xml:space="preserve">. Englewood Cliffs, NJ: Prentice-Hall; 1960.</w:t>
      </w:r>
    </w:p>
    <w:p>
      <w:pPr>
        <w:pStyle w:val="ReferenceEntry"/>
      </w:pPr>
      <w:bookmarkStart w:id="3993" w:name="ref-702"/>
      <w:r>
        <w:t xml:space="preserve">[702]</w:t>
      </w:r>
      <w:bookmarkEnd w:id="3993"/>
      <w:r>
        <w:t xml:space="preserve"> Lally P, van Jaarsveld CHM, Potts HWW, et al. How are habits formed: Modelling habit formation in the real world.</w:t>
      </w:r>
      <w:r>
        <w:t xml:space="preserve"> </w:t>
      </w:r>
      <w:r>
        <w:rPr>
          <w:iCs/>
          <w:i/>
        </w:rPr>
        <w:t xml:space="preserve">European Journal of Social Psychology</w:t>
      </w:r>
      <w:r>
        <w:t xml:space="preserve">. 2010;40(6):998–1009.</w:t>
      </w:r>
      <w:r>
        <w:t xml:space="preserve"> </w:t>
      </w:r>
      <w:hyperlink r:id="rId3994">
        <w:r>
          <w:rPr>
            <w:rStyle w:val="Hyperlink"/>
          </w:rPr>
          <w:t xml:space="preserve">https://doi.org/10.1002/ejsp.674</w:t>
        </w:r>
      </w:hyperlink>
    </w:p>
    <w:p>
      <w:pPr>
        <w:pStyle w:val="ReferenceEntry"/>
      </w:pPr>
      <w:bookmarkStart w:id="3995" w:name="ref-703"/>
      <w:r>
        <w:t xml:space="preserve">[703]</w:t>
      </w:r>
      <w:bookmarkEnd w:id="3995"/>
      <w:r>
        <w:t xml:space="preserve"> Singh B, Murphy A, Maher C, et al. Time to Form a Habit: A Systematic Review and Meta-Analysis of Health Behaviour Habit Formation and Its Determinants.</w:t>
      </w:r>
      <w:r>
        <w:t xml:space="preserve"> </w:t>
      </w:r>
      <w:r>
        <w:rPr>
          <w:iCs/>
          <w:i/>
        </w:rPr>
        <w:t xml:space="preserve">Healthcare</w:t>
      </w:r>
      <w:r>
        <w:t xml:space="preserve">. 2024;12(23):2488.</w:t>
      </w:r>
      <w:r>
        <w:t xml:space="preserve"> </w:t>
      </w:r>
      <w:hyperlink r:id="rId3996">
        <w:r>
          <w:rPr>
            <w:rStyle w:val="Hyperlink"/>
          </w:rPr>
          <w:t xml:space="preserve">https://doi.org/10.3390/healthcare12232488</w:t>
        </w:r>
      </w:hyperlink>
    </w:p>
    <w:p>
      <w:pPr>
        <w:pStyle w:val="ReferenceEntry"/>
      </w:pPr>
      <w:bookmarkStart w:id="3997" w:name="ref-704"/>
      <w:r>
        <w:t xml:space="preserve">[704]</w:t>
      </w:r>
      <w:bookmarkEnd w:id="3997"/>
      <w:r>
        <w:t xml:space="preserve"> Lyubomirsky S, Sheldon KM, Schkade D. Pursuing Happiness: The Architecture of Sustainable Change.</w:t>
      </w:r>
      <w:r>
        <w:t xml:space="preserve"> </w:t>
      </w:r>
      <w:r>
        <w:rPr>
          <w:iCs/>
          <w:i/>
        </w:rPr>
        <w:t xml:space="preserve">Review of General Psychology</w:t>
      </w:r>
      <w:r>
        <w:t xml:space="preserve">. 2005;9(2):111–131.</w:t>
      </w:r>
      <w:r>
        <w:t xml:space="preserve"> </w:t>
      </w:r>
      <w:hyperlink r:id="rId3998">
        <w:r>
          <w:rPr>
            <w:rStyle w:val="Hyperlink"/>
          </w:rPr>
          <w:t xml:space="preserve">https://doi.org/10.1037/1089-2680.9.2.111</w:t>
        </w:r>
      </w:hyperlink>
    </w:p>
    <w:p>
      <w:pPr>
        <w:pStyle w:val="ReferenceEntry"/>
      </w:pPr>
      <w:bookmarkStart w:id="3999" w:name="ref-705"/>
      <w:r>
        <w:t xml:space="preserve">[705]</w:t>
      </w:r>
      <w:bookmarkEnd w:id="3999"/>
      <w:r>
        <w:t xml:space="preserve"> Brown NJL, Rohrer JM. Easy as (Happiness) Pie? A Critical Evaluation of a Popular Model of the Determinants of Well-Being.</w:t>
      </w:r>
      <w:r>
        <w:t xml:space="preserve"> </w:t>
      </w:r>
      <w:r>
        <w:rPr>
          <w:iCs/>
          <w:i/>
        </w:rPr>
        <w:t xml:space="preserve">Journal of Happiness Studies</w:t>
      </w:r>
      <w:r>
        <w:t xml:space="preserve">. 2020;21(4):1285–1301（2019 年在线发表）.</w:t>
      </w:r>
      <w:r>
        <w:t xml:space="preserve"> </w:t>
      </w:r>
      <w:hyperlink r:id="rId4000">
        <w:r>
          <w:rPr>
            <w:rStyle w:val="Hyperlink"/>
          </w:rPr>
          <w:t xml:space="preserve">https://doi.org/10.1007/s10902-019-00128-4</w:t>
        </w:r>
      </w:hyperlink>
    </w:p>
    <w:p>
      <w:pPr>
        <w:pStyle w:val="ReferenceEntry"/>
      </w:pPr>
      <w:bookmarkStart w:id="4001" w:name="ref-706"/>
      <w:r>
        <w:t xml:space="preserve">[706]</w:t>
      </w:r>
      <w:bookmarkEnd w:id="4001"/>
      <w:r>
        <w:t xml:space="preserve"> Sheldon KM, Lyubomirsky S. Revisiting the Sustainable Happiness Model and Pie Chart: Can Happiness Be Successfully Pursued?</w:t>
      </w:r>
      <w:r>
        <w:t xml:space="preserve"> </w:t>
      </w:r>
      <w:r>
        <w:rPr>
          <w:iCs/>
          <w:i/>
        </w:rPr>
        <w:t xml:space="preserve">The Journal of Positive Psychology</w:t>
      </w:r>
      <w:r>
        <w:t xml:space="preserve">. 2021;16(2):145–154.</w:t>
      </w:r>
      <w:r>
        <w:t xml:space="preserve"> </w:t>
      </w:r>
      <w:hyperlink r:id="rId4002">
        <w:r>
          <w:rPr>
            <w:rStyle w:val="Hyperlink"/>
          </w:rPr>
          <w:t xml:space="preserve">https://doi.org/10.1080/17439760.2019.1689421</w:t>
        </w:r>
      </w:hyperlink>
    </w:p>
    <w:p>
      <w:pPr>
        <w:pStyle w:val="ReferenceEntry"/>
      </w:pPr>
      <w:bookmarkStart w:id="4003" w:name="ref-707"/>
      <w:r>
        <w:t xml:space="preserve">[707]</w:t>
      </w:r>
      <w:bookmarkEnd w:id="4003"/>
      <w:r>
        <w:t xml:space="preserve"> Watts TW, Duncan GJ, Quan H. Revisiting the Marshmallow Test: A Conceptual Replication Investigating Links Between Early Delay of Gratification and Later Outcomes.</w:t>
      </w:r>
      <w:r>
        <w:t xml:space="preserve"> </w:t>
      </w:r>
      <w:r>
        <w:rPr>
          <w:iCs/>
          <w:i/>
        </w:rPr>
        <w:t xml:space="preserve">Psychological Science</w:t>
      </w:r>
      <w:r>
        <w:t xml:space="preserve">. 2018;29(7):1159–1177.</w:t>
      </w:r>
      <w:r>
        <w:t xml:space="preserve"> </w:t>
      </w:r>
      <w:hyperlink r:id="rId4004">
        <w:r>
          <w:rPr>
            <w:rStyle w:val="Hyperlink"/>
          </w:rPr>
          <w:t xml:space="preserve">https://doi.org/10.1177/0956797618761661</w:t>
        </w:r>
      </w:hyperlink>
    </w:p>
    <w:p>
      <w:pPr>
        <w:pStyle w:val="ReferenceEntry"/>
      </w:pPr>
      <w:bookmarkStart w:id="4005" w:name="ref-708"/>
      <w:r>
        <w:t xml:space="preserve">[708]</w:t>
      </w:r>
      <w:bookmarkEnd w:id="4005"/>
      <w:r>
        <w:t xml:space="preserve"> Benjamin DJ, Laibson D, Mischel W, et al. Predicting mid-life capital formation with pre-school delay of gratification and life-course measures of self-regulation.</w:t>
      </w:r>
      <w:r>
        <w:t xml:space="preserve"> </w:t>
      </w:r>
      <w:r>
        <w:rPr>
          <w:iCs/>
          <w:i/>
        </w:rPr>
        <w:t xml:space="preserve">Journal of Economic Behavior &amp; Organization</w:t>
      </w:r>
      <w:r>
        <w:t xml:space="preserve">. 2020;179:743–756.</w:t>
      </w:r>
      <w:r>
        <w:t xml:space="preserve"> </w:t>
      </w:r>
      <w:hyperlink r:id="rId4006">
        <w:r>
          <w:rPr>
            <w:rStyle w:val="Hyperlink"/>
          </w:rPr>
          <w:t xml:space="preserve">https://doi.org/10.1016/j.jebo.2019.08.016</w:t>
        </w:r>
      </w:hyperlink>
    </w:p>
    <w:p>
      <w:pPr>
        <w:pStyle w:val="ReferenceEntry"/>
      </w:pPr>
      <w:bookmarkStart w:id="4007" w:name="ref-709"/>
      <w:r>
        <w:t xml:space="preserve">[709]</w:t>
      </w:r>
      <w:bookmarkEnd w:id="4007"/>
      <w:r>
        <w:t xml:space="preserve"> Kidd C, Palmeri H, Aslin RN. Rational snacking: Young children’s decision-making on the marshmallow task is moderated by beliefs about environmental reliability.</w:t>
      </w:r>
      <w:r>
        <w:t xml:space="preserve"> </w:t>
      </w:r>
      <w:r>
        <w:rPr>
          <w:iCs/>
          <w:i/>
        </w:rPr>
        <w:t xml:space="preserve">Cognition</w:t>
      </w:r>
      <w:r>
        <w:t xml:space="preserve">. 2013;126(1):109–114.</w:t>
      </w:r>
      <w:r>
        <w:t xml:space="preserve"> </w:t>
      </w:r>
      <w:hyperlink r:id="rId4008">
        <w:r>
          <w:rPr>
            <w:rStyle w:val="Hyperlink"/>
          </w:rPr>
          <w:t xml:space="preserve">https://doi.org/10.1016/j.cognition.2012.08.004</w:t>
        </w:r>
      </w:hyperlink>
    </w:p>
    <w:p>
      <w:pPr>
        <w:pStyle w:val="ReferenceEntry"/>
      </w:pPr>
      <w:bookmarkStart w:id="4009" w:name="ref-710"/>
      <w:r>
        <w:t xml:space="preserve">[710]</w:t>
      </w:r>
      <w:bookmarkEnd w:id="4009"/>
      <w:r>
        <w:t xml:space="preserve"> Hagger MS, Chatzisarantis NLD, Alberts H, et al. A Multilab Preregistered Replication of the Ego-Depletion Effect.</w:t>
      </w:r>
      <w:r>
        <w:t xml:space="preserve"> </w:t>
      </w:r>
      <w:r>
        <w:rPr>
          <w:iCs/>
          <w:i/>
        </w:rPr>
        <w:t xml:space="preserve">Perspectives on Psychological Science</w:t>
      </w:r>
      <w:r>
        <w:t xml:space="preserve">. 2016;11(4):546–573.</w:t>
      </w:r>
      <w:r>
        <w:t xml:space="preserve"> </w:t>
      </w:r>
      <w:hyperlink r:id="rId4010">
        <w:r>
          <w:rPr>
            <w:rStyle w:val="Hyperlink"/>
          </w:rPr>
          <w:t xml:space="preserve">https://doi.org/10.1177/1745691616652873</w:t>
        </w:r>
      </w:hyperlink>
    </w:p>
    <w:p>
      <w:pPr>
        <w:pStyle w:val="ReferenceEntry"/>
      </w:pPr>
      <w:bookmarkStart w:id="4011" w:name="ref-711"/>
      <w:r>
        <w:t xml:space="preserve">[711]</w:t>
      </w:r>
      <w:bookmarkEnd w:id="4011"/>
      <w:r>
        <w:t xml:space="preserve"> Vohs KD, Schmeichel BJ, Lohmann S, et al. A Multisite Preregistered Paradigmatic Test of the Ego-Depletion Effect.</w:t>
      </w:r>
      <w:r>
        <w:t xml:space="preserve"> </w:t>
      </w:r>
      <w:r>
        <w:rPr>
          <w:iCs/>
          <w:i/>
        </w:rPr>
        <w:t xml:space="preserve">Psychological Science</w:t>
      </w:r>
      <w:r>
        <w:t xml:space="preserve">. 2021;32(10):1566–1581.</w:t>
      </w:r>
      <w:r>
        <w:t xml:space="preserve"> </w:t>
      </w:r>
      <w:hyperlink r:id="rId4012">
        <w:r>
          <w:rPr>
            <w:rStyle w:val="Hyperlink"/>
          </w:rPr>
          <w:t xml:space="preserve">https://doi.org/10.1177/0956797621989733</w:t>
        </w:r>
      </w:hyperlink>
    </w:p>
    <w:p>
      <w:pPr>
        <w:pStyle w:val="ReferenceEntry"/>
      </w:pPr>
      <w:bookmarkStart w:id="4013" w:name="ref-712"/>
      <w:r>
        <w:t xml:space="preserve">[712]</w:t>
      </w:r>
      <w:bookmarkEnd w:id="4013"/>
      <w:r>
        <w:t xml:space="preserve"> Dang J, Xiao S, Mao L, et al. Revisiting Ego Depletion: Evidence from Multi-Lab Collaborations.</w:t>
      </w:r>
      <w:r>
        <w:t xml:space="preserve"> </w:t>
      </w:r>
      <w:r>
        <w:rPr>
          <w:iCs/>
          <w:i/>
        </w:rPr>
        <w:t xml:space="preserve">Journal of Pacific Rim Psychology</w:t>
      </w:r>
      <w:r>
        <w:t xml:space="preserve">. 2025;19:18344909251386084.</w:t>
      </w:r>
      <w:r>
        <w:t xml:space="preserve"> </w:t>
      </w:r>
      <w:hyperlink r:id="rId4014">
        <w:r>
          <w:rPr>
            <w:rStyle w:val="Hyperlink"/>
          </w:rPr>
          <w:t xml:space="preserve">https://doi.org/10.1177/18344909251386084</w:t>
        </w:r>
      </w:hyperlink>
    </w:p>
    <w:p>
      <w:pPr>
        <w:pStyle w:val="ReferenceEntry"/>
      </w:pPr>
      <w:bookmarkStart w:id="4015" w:name="ref-713"/>
      <w:r>
        <w:t xml:space="preserve">[713]</w:t>
      </w:r>
      <w:bookmarkEnd w:id="4015"/>
      <w:r>
        <w:t xml:space="preserve"> Vadillo MA, Gold N, Osman M. The Bitter Truth About Sugar and Willpower: The Limited Evidential Value of the Glucose Model of Ego Depletion.</w:t>
      </w:r>
      <w:r>
        <w:t xml:space="preserve"> </w:t>
      </w:r>
      <w:r>
        <w:rPr>
          <w:iCs/>
          <w:i/>
        </w:rPr>
        <w:t xml:space="preserve">Psychological Science</w:t>
      </w:r>
      <w:r>
        <w:t xml:space="preserve">. 2016;27(9):1207–1214.</w:t>
      </w:r>
      <w:r>
        <w:t xml:space="preserve"> </w:t>
      </w:r>
      <w:hyperlink r:id="rId4016">
        <w:r>
          <w:rPr>
            <w:rStyle w:val="Hyperlink"/>
          </w:rPr>
          <w:t xml:space="preserve">https://doi.org/10.1177/0956797616654911</w:t>
        </w:r>
      </w:hyperlink>
    </w:p>
    <w:p>
      <w:pPr>
        <w:pStyle w:val="ReferenceEntry"/>
      </w:pPr>
      <w:bookmarkStart w:id="4017" w:name="ref-714"/>
      <w:r>
        <w:t xml:space="preserve">[714]</w:t>
      </w:r>
      <w:bookmarkEnd w:id="4017"/>
      <w:r>
        <w:t xml:space="preserve"> Macmillan M. Restoring Phineas Gage: A 150th Retrospective.</w:t>
      </w:r>
      <w:r>
        <w:t xml:space="preserve"> </w:t>
      </w:r>
      <w:r>
        <w:rPr>
          <w:iCs/>
          <w:i/>
        </w:rPr>
        <w:t xml:space="preserve">Journal of the History of the Neurosciences</w:t>
      </w:r>
      <w:r>
        <w:t xml:space="preserve">. 2000;9(1):46–66.</w:t>
      </w:r>
      <w:r>
        <w:t xml:space="preserve"> </w:t>
      </w:r>
      <w:hyperlink r:id="rId4018">
        <w:r>
          <w:rPr>
            <w:rStyle w:val="Hyperlink"/>
          </w:rPr>
          <w:t xml:space="preserve">https://doi.org/10.1076/0964-704x(200004)9:1;1-2;ft046</w:t>
        </w:r>
      </w:hyperlink>
    </w:p>
    <w:p>
      <w:pPr>
        <w:pStyle w:val="ReferenceEntry"/>
      </w:pPr>
      <w:bookmarkStart w:id="4019" w:name="ref-715"/>
      <w:r>
        <w:t xml:space="preserve">[715]</w:t>
      </w:r>
      <w:bookmarkEnd w:id="4019"/>
      <w:r>
        <w:t xml:space="preserve"> Macmillan M, Lena ML. Rehabilitating Phineas Gage.</w:t>
      </w:r>
      <w:r>
        <w:t xml:space="preserve"> </w:t>
      </w:r>
      <w:r>
        <w:rPr>
          <w:iCs/>
          <w:i/>
        </w:rPr>
        <w:t xml:space="preserve">Neuropsychological Rehabilitation</w:t>
      </w:r>
      <w:r>
        <w:t xml:space="preserve">. 2010;20(5):641–658.</w:t>
      </w:r>
      <w:r>
        <w:t xml:space="preserve"> </w:t>
      </w:r>
      <w:hyperlink r:id="rId4020">
        <w:r>
          <w:rPr>
            <w:rStyle w:val="Hyperlink"/>
          </w:rPr>
          <w:t xml:space="preserve">https://doi.org/10.1080/09602011003760527</w:t>
        </w:r>
      </w:hyperlink>
    </w:p>
    <w:p>
      <w:pPr>
        <w:pStyle w:val="ReferenceEntry"/>
      </w:pPr>
      <w:bookmarkStart w:id="4021" w:name="ref-716"/>
      <w:r>
        <w:t xml:space="preserve">[716]</w:t>
      </w:r>
      <w:bookmarkEnd w:id="4021"/>
      <w:r>
        <w:t xml:space="preserve"> Damasio H, Grabowski T, Frank R, et al. The Return of Phineas Gage: Clues About the Brain from the Skull of a Famous Patient.</w:t>
      </w:r>
      <w:r>
        <w:t xml:space="preserve"> </w:t>
      </w:r>
      <w:r>
        <w:rPr>
          <w:iCs/>
          <w:i/>
        </w:rPr>
        <w:t xml:space="preserve">Science</w:t>
      </w:r>
      <w:r>
        <w:t xml:space="preserve">. 1994;264(5162):1102–1105.</w:t>
      </w:r>
      <w:r>
        <w:t xml:space="preserve"> </w:t>
      </w:r>
      <w:hyperlink r:id="rId4022">
        <w:r>
          <w:rPr>
            <w:rStyle w:val="Hyperlink"/>
          </w:rPr>
          <w:t xml:space="preserve">https://doi.org/10.1126/science.8178168</w:t>
        </w:r>
      </w:hyperlink>
    </w:p>
    <w:p>
      <w:pPr>
        <w:pStyle w:val="ReferenceEntry"/>
      </w:pPr>
      <w:bookmarkStart w:id="4023" w:name="ref-717"/>
      <w:r>
        <w:t xml:space="preserve">[717]</w:t>
      </w:r>
      <w:bookmarkEnd w:id="4023"/>
      <w:r>
        <w:t xml:space="preserve"> Ratiu P, Talos IF, Haker S, et al. The Tale of Phineas Gage, Digitally Remastered.</w:t>
      </w:r>
      <w:r>
        <w:t xml:space="preserve"> </w:t>
      </w:r>
      <w:r>
        <w:rPr>
          <w:iCs/>
          <w:i/>
        </w:rPr>
        <w:t xml:space="preserve">Journal of Neurotrauma</w:t>
      </w:r>
      <w:r>
        <w:t xml:space="preserve">. 2004;21(5):637–643.</w:t>
      </w:r>
      <w:r>
        <w:t xml:space="preserve"> </w:t>
      </w:r>
      <w:hyperlink r:id="rId4024">
        <w:r>
          <w:rPr>
            <w:rStyle w:val="Hyperlink"/>
          </w:rPr>
          <w:t xml:space="preserve">https://doi.org/10.1089/089771504774129964</w:t>
        </w:r>
      </w:hyperlink>
    </w:p>
    <w:p>
      <w:pPr>
        <w:pStyle w:val="ReferenceEntry"/>
      </w:pPr>
      <w:bookmarkStart w:id="4025" w:name="ref-718"/>
      <w:r>
        <w:t xml:space="preserve">[718]</w:t>
      </w:r>
      <w:bookmarkEnd w:id="4025"/>
      <w:r>
        <w:t xml:space="preserve"> Woollett K, Maguire EA. Acquiring “the Knowledge” of London's Layout Drives Structural Brain Changes.</w:t>
      </w:r>
      <w:r>
        <w:t xml:space="preserve"> </w:t>
      </w:r>
      <w:r>
        <w:rPr>
          <w:iCs/>
          <w:i/>
        </w:rPr>
        <w:t xml:space="preserve">Current Biology</w:t>
      </w:r>
      <w:r>
        <w:t xml:space="preserve">. 2011;21(24):2109–2114.</w:t>
      </w:r>
      <w:r>
        <w:t xml:space="preserve"> </w:t>
      </w:r>
      <w:hyperlink r:id="rId4026">
        <w:r>
          <w:rPr>
            <w:rStyle w:val="Hyperlink"/>
          </w:rPr>
          <w:t xml:space="preserve">https://doi.org/10.1016/j.cub.2011.11.018</w:t>
        </w:r>
      </w:hyperlink>
    </w:p>
    <w:p>
      <w:pPr>
        <w:pStyle w:val="ReferenceEntry"/>
      </w:pPr>
      <w:bookmarkStart w:id="4027" w:name="ref-719"/>
      <w:r>
        <w:t xml:space="preserve">[719]</w:t>
      </w:r>
      <w:bookmarkEnd w:id="4027"/>
      <w:r>
        <w:t xml:space="preserve"> Simons DJ, Boot WR, Charness N, et al. Do “Brain-Training” Programs Work?</w:t>
      </w:r>
      <w:r>
        <w:t xml:space="preserve"> </w:t>
      </w:r>
      <w:r>
        <w:rPr>
          <w:iCs/>
          <w:i/>
        </w:rPr>
        <w:t xml:space="preserve">Psychological Science in the Public Interest</w:t>
      </w:r>
      <w:r>
        <w:t xml:space="preserve">. 2016;17(3):103–186.</w:t>
      </w:r>
      <w:r>
        <w:t xml:space="preserve"> </w:t>
      </w:r>
      <w:hyperlink r:id="rId4028">
        <w:r>
          <w:rPr>
            <w:rStyle w:val="Hyperlink"/>
          </w:rPr>
          <w:t xml:space="preserve">https://doi.org/10.1177/1529100616661983</w:t>
        </w:r>
      </w:hyperlink>
      <w:r>
        <w:t xml:space="preserve">（研究类型：综合证据审查）</w:t>
      </w:r>
    </w:p>
    <w:p>
      <w:pPr>
        <w:pStyle w:val="ReferenceEntry"/>
      </w:pPr>
      <w:bookmarkStart w:id="4029" w:name="ref-720"/>
      <w:r>
        <w:t xml:space="preserve">[720]</w:t>
      </w:r>
      <w:bookmarkEnd w:id="4029"/>
      <w:r>
        <w:t xml:space="preserve"> 扬子晚报. 年少唯爱多巴胺，中年才懂内啡肽？专家解读. 中国新闻网转载，2022-07-05.</w:t>
      </w:r>
      <w:r>
        <w:t xml:space="preserve"> </w:t>
      </w:r>
      <w:hyperlink r:id="rId4030">
        <w:r>
          <w:rPr>
            <w:rStyle w:val="Hyperlink"/>
          </w:rPr>
          <w:t xml:space="preserve">https://www.chinanews.com.cn/sh/2022/07-05/9795566.shtml</w:t>
        </w:r>
      </w:hyperlink>
      <w:r>
        <w:t xml:space="preserve">（2026 年 10 月访问）</w:t>
      </w:r>
    </w:p>
    <w:p>
      <w:pPr>
        <w:pStyle w:val="ReferenceEntry"/>
      </w:pPr>
      <w:bookmarkStart w:id="4031" w:name="ref-721"/>
      <w:r>
        <w:t xml:space="preserve">[721]</w:t>
      </w:r>
      <w:bookmarkEnd w:id="4031"/>
      <w:r>
        <w:t xml:space="preserve"> Breuning LG. Nature gave us four kinds of happiness.</w:t>
      </w:r>
      <w:r>
        <w:t xml:space="preserve"> </w:t>
      </w:r>
      <w:r>
        <w:rPr>
          <w:iCs/>
          <w:i/>
        </w:rPr>
        <w:t xml:space="preserve">Psychology Today</w:t>
      </w:r>
      <w:r>
        <w:t xml:space="preserve">（博客 Your Neurochemical Self）. 2011-07-06.</w:t>
      </w:r>
      <w:r>
        <w:t xml:space="preserve"> </w:t>
      </w:r>
      <w:hyperlink r:id="rId4032">
        <w:r>
          <w:rPr>
            <w:rStyle w:val="Hyperlink"/>
          </w:rPr>
          <w:t xml:space="preserve">https://www.psychologytoday.com/us/blog/your-neurochemical-self/201107/nature-gave-us-four-kinds-happiness</w:t>
        </w:r>
      </w:hyperlink>
      <w:r>
        <w:t xml:space="preserve">（2026 年 10 月访问）</w:t>
      </w:r>
    </w:p>
    <w:p>
      <w:pPr>
        <w:pStyle w:val="ReferenceEntry"/>
      </w:pPr>
      <w:bookmarkStart w:id="4033" w:name="ref-722"/>
      <w:r>
        <w:t xml:space="preserve">[722]</w:t>
      </w:r>
      <w:bookmarkEnd w:id="4033"/>
      <w:r>
        <w:t xml:space="preserve"> Breuning LG.</w:t>
      </w:r>
      <w:r>
        <w:t xml:space="preserve"> </w:t>
      </w:r>
      <w:r>
        <w:rPr>
          <w:iCs/>
          <w:i/>
        </w:rPr>
        <w:t xml:space="preserve">Habits of a Happy Brain: Retrain Your Brain to Boost Your Serotonin, Dopamine, Oxytocin, &amp; Endorphin Levels</w:t>
      </w:r>
      <w:r>
        <w:t xml:space="preserve">. Avon, MA: Adams Media; 2015.</w:t>
      </w:r>
    </w:p>
    <w:p>
      <w:pPr>
        <w:pStyle w:val="ReferenceEntry"/>
      </w:pPr>
      <w:bookmarkStart w:id="4034" w:name="ref-723"/>
      <w:r>
        <w:t xml:space="preserve">[723]</w:t>
      </w:r>
      <w:bookmarkEnd w:id="4034"/>
      <w:r>
        <w:t xml:space="preserve"> del Castillo A. Silicon Valley takes on ‘Dopamine Fasting 2.0’ to battle bad habits, addiction.</w:t>
      </w:r>
      <w:r>
        <w:t xml:space="preserve"> </w:t>
      </w:r>
      <w:r>
        <w:rPr>
          <w:iCs/>
          <w:i/>
        </w:rPr>
        <w:t xml:space="preserve">ABC7 News</w:t>
      </w:r>
      <w:r>
        <w:t xml:space="preserve">（旧金山）. 2019-11-09.</w:t>
      </w:r>
      <w:r>
        <w:t xml:space="preserve"> </w:t>
      </w:r>
      <w:hyperlink r:id="rId4035">
        <w:r>
          <w:rPr>
            <w:rStyle w:val="Hyperlink"/>
          </w:rPr>
          <w:t xml:space="preserve">https://abc7news.com/post/silicon-valley-takes-on-dopamine-fasting-20-to-battle-bad-habits-addiction/5685298/</w:t>
        </w:r>
      </w:hyperlink>
      <w:r>
        <w:t xml:space="preserve">（2026 年 10 月访问）</w:t>
      </w:r>
    </w:p>
    <w:p>
      <w:pPr>
        <w:pStyle w:val="ReferenceEntry"/>
      </w:pPr>
      <w:bookmarkStart w:id="4036" w:name="ref-724"/>
      <w:r>
        <w:t xml:space="preserve">[724]</w:t>
      </w:r>
      <w:bookmarkEnd w:id="4036"/>
      <w:r>
        <w:t xml:space="preserve"> Grinspoon P. Dopamine fasting: misunderstanding science spawns a maladaptive fad.</w:t>
      </w:r>
      <w:r>
        <w:t xml:space="preserve"> </w:t>
      </w:r>
      <w:r>
        <w:rPr>
          <w:iCs/>
          <w:i/>
        </w:rPr>
        <w:t xml:space="preserve">Harvard Health Blog</w:t>
      </w:r>
      <w:r>
        <w:t xml:space="preserve">. 2020-02-26.</w:t>
      </w:r>
      <w:r>
        <w:t xml:space="preserve"> </w:t>
      </w:r>
      <w:hyperlink r:id="rId4037">
        <w:r>
          <w:rPr>
            <w:rStyle w:val="Hyperlink"/>
          </w:rPr>
          <w:t xml:space="preserve">https://www.health.harvard.edu/blog/dopamine-fasting-misunderstanding-science-spawns-a-maladaptive-fad-2020022618917</w:t>
        </w:r>
      </w:hyperlink>
      <w:r>
        <w:t xml:space="preserve">（2026 年 10 月访问）</w:t>
      </w:r>
    </w:p>
    <w:p>
      <w:pPr>
        <w:pStyle w:val="ReferenceEntry"/>
      </w:pPr>
      <w:bookmarkStart w:id="4038" w:name="ref-725"/>
      <w:r>
        <w:t xml:space="preserve">[725]</w:t>
      </w:r>
      <w:bookmarkEnd w:id="4038"/>
      <w:r>
        <w:t xml:space="preserve"> Su C, Zhou H, Gong L, et al. Viewing personalized video clips recommended by TikTok activates default mode network and ventral tegmental area.</w:t>
      </w:r>
      <w:r>
        <w:t xml:space="preserve"> </w:t>
      </w:r>
      <w:r>
        <w:rPr>
          <w:iCs/>
          <w:i/>
        </w:rPr>
        <w:t xml:space="preserve">NeuroImage</w:t>
      </w:r>
      <w:r>
        <w:t xml:space="preserve">. 2021;237:118136.</w:t>
      </w:r>
      <w:r>
        <w:t xml:space="preserve"> </w:t>
      </w:r>
      <w:hyperlink r:id="rId4039">
        <w:r>
          <w:rPr>
            <w:rStyle w:val="Hyperlink"/>
          </w:rPr>
          <w:t xml:space="preserve">https://doi.org/10.1016/j.neuroimage.2021.118136</w:t>
        </w:r>
      </w:hyperlink>
    </w:p>
    <w:p>
      <w:pPr>
        <w:pStyle w:val="ReferenceEntry"/>
      </w:pPr>
      <w:bookmarkStart w:id="4040" w:name="ref-726"/>
      <w:r>
        <w:t xml:space="preserve">[726]</w:t>
      </w:r>
      <w:bookmarkEnd w:id="4040"/>
      <w:r>
        <w:t xml:space="preserve"> Lambert J, Barnstable G, Minter E, Cooper J, McEwan D. Taking a One-Week Break from Social Media Improves Well-Being, Depression, and Anxiety: A Randomized Controlled Trial.</w:t>
      </w:r>
      <w:r>
        <w:t xml:space="preserve"> </w:t>
      </w:r>
      <w:r>
        <w:rPr>
          <w:iCs/>
          <w:i/>
        </w:rPr>
        <w:t xml:space="preserve">Cyberpsychology, Behavior, and Social Networking</w:t>
      </w:r>
      <w:r>
        <w:t xml:space="preserve">. 2022;25(5):287–293.</w:t>
      </w:r>
      <w:r>
        <w:t xml:space="preserve"> </w:t>
      </w:r>
      <w:hyperlink r:id="rId4041">
        <w:r>
          <w:rPr>
            <w:rStyle w:val="Hyperlink"/>
          </w:rPr>
          <w:t xml:space="preserve">https://doi.org/10.1089/cyber.2021.0324</w:t>
        </w:r>
      </w:hyperlink>
      <w:r>
        <w:t xml:space="preserve">（研究类型：随机对照试验）</w:t>
      </w:r>
    </w:p>
    <w:p>
      <w:pPr>
        <w:pStyle w:val="ReferenceEntry"/>
      </w:pPr>
      <w:bookmarkStart w:id="4042" w:name="ref-727"/>
      <w:r>
        <w:t xml:space="preserve">[727]</w:t>
      </w:r>
      <w:bookmarkEnd w:id="4042"/>
      <w:r>
        <w:t xml:space="preserve"> Berridge KC, Robinson TE. Liking, wanting, and the incentive-sensitization theory of addiction.</w:t>
      </w:r>
      <w:r>
        <w:t xml:space="preserve"> </w:t>
      </w:r>
      <w:r>
        <w:rPr>
          <w:iCs/>
          <w:i/>
        </w:rPr>
        <w:t xml:space="preserve">American Psychologist</w:t>
      </w:r>
      <w:r>
        <w:t xml:space="preserve">. 2016;71(8):670–679.</w:t>
      </w:r>
      <w:r>
        <w:t xml:space="preserve"> </w:t>
      </w:r>
      <w:hyperlink r:id="rId4043">
        <w:r>
          <w:rPr>
            <w:rStyle w:val="Hyperlink"/>
          </w:rPr>
          <w:t xml:space="preserve">https://doi.org/10.1037/amp0000059</w:t>
        </w:r>
      </w:hyperlink>
      <w:r>
        <w:t xml:space="preserve">（研究类型：理论机制综述）</w:t>
      </w:r>
    </w:p>
    <w:p>
      <w:pPr>
        <w:pStyle w:val="ReferenceEntry"/>
      </w:pPr>
      <w:bookmarkStart w:id="4044" w:name="ref-728"/>
      <w:r>
        <w:t xml:space="preserve">[728]</w:t>
      </w:r>
      <w:bookmarkEnd w:id="4044"/>
      <w:r>
        <w:t xml:space="preserve"> Volkow ND, Koob GF, McLellan AT. Neurobiologic Advances from the Brain Disease Model of Addiction.</w:t>
      </w:r>
      <w:r>
        <w:t xml:space="preserve"> </w:t>
      </w:r>
      <w:r>
        <w:rPr>
          <w:iCs/>
          <w:i/>
        </w:rPr>
        <w:t xml:space="preserve">New England Journal of Medicine</w:t>
      </w:r>
      <w:r>
        <w:t xml:space="preserve">. 2016;374(4):363–371.</w:t>
      </w:r>
      <w:r>
        <w:t xml:space="preserve"> </w:t>
      </w:r>
      <w:hyperlink r:id="rId4045">
        <w:r>
          <w:rPr>
            <w:rStyle w:val="Hyperlink"/>
          </w:rPr>
          <w:t xml:space="preserve">https://doi.org/10.1056/NEJMra1511480</w:t>
        </w:r>
      </w:hyperlink>
      <w:r>
        <w:t xml:space="preserve">（研究类型：成瘾神经生物学机制综述）</w:t>
      </w:r>
    </w:p>
    <w:p>
      <w:pPr>
        <w:pStyle w:val="ReferenceEntry"/>
      </w:pPr>
      <w:bookmarkStart w:id="4046" w:name="ref-729"/>
      <w:r>
        <w:t xml:space="preserve">[729]</w:t>
      </w:r>
      <w:bookmarkEnd w:id="4046"/>
      <w:r>
        <w:t xml:space="preserve"> van Wezel MMC, Abrahamse EL, Vanden Abeele MMP. Does a 7 day restriction on the use of social media improve cognitive functioning and emotional well being Results from a randomized controlled trial.</w:t>
      </w:r>
      <w:r>
        <w:t xml:space="preserve"> </w:t>
      </w:r>
      <w:r>
        <w:rPr>
          <w:iCs/>
          <w:i/>
        </w:rPr>
        <w:t xml:space="preserve">Addictive Behaviors Reports</w:t>
      </w:r>
      <w:r>
        <w:t xml:space="preserve">. 2021;14:100365.</w:t>
      </w:r>
      <w:r>
        <w:t xml:space="preserve"> </w:t>
      </w:r>
      <w:hyperlink r:id="rId4047">
        <w:r>
          <w:rPr>
            <w:rStyle w:val="Hyperlink"/>
          </w:rPr>
          <w:t xml:space="preserve">https://doi.org/10.1016/j.abrep.2021.100365</w:t>
        </w:r>
      </w:hyperlink>
      <w:r>
        <w:t xml:space="preserve">（研究类型：原始随机行为干预）</w:t>
      </w:r>
    </w:p>
    <w:p>
      <w:pPr>
        <w:pStyle w:val="ReferenceEntry"/>
      </w:pPr>
      <w:bookmarkStart w:id="4048" w:name="ref-730"/>
      <w:r>
        <w:t xml:space="preserve">[730]</w:t>
      </w:r>
      <w:bookmarkEnd w:id="4048"/>
      <w:r>
        <w:t xml:space="preserve"> Yagishita S, Hayashi-Takagi A, Ellis-Davies GCR, Urakubo H, Ishii S, Kasai H. A critical time window for dopamine actions on the structural plasticity of dendritic spines.</w:t>
      </w:r>
      <w:r>
        <w:t xml:space="preserve"> </w:t>
      </w:r>
      <w:r>
        <w:rPr>
          <w:iCs/>
          <w:i/>
        </w:rPr>
        <w:t xml:space="preserve">Science</w:t>
      </w:r>
      <w:r>
        <w:t xml:space="preserve">. 2014;345(6204):1616–1620.</w:t>
      </w:r>
      <w:r>
        <w:t xml:space="preserve"> </w:t>
      </w:r>
      <w:hyperlink r:id="rId4049">
        <w:r>
          <w:rPr>
            <w:rStyle w:val="Hyperlink"/>
          </w:rPr>
          <w:t xml:space="preserve">https://doi.org/10.1126/science.1255514</w:t>
        </w:r>
      </w:hyperlink>
      <w:r>
        <w:t xml:space="preserve">（研究类型：光学独立刺激及树突棘成像）</w:t>
      </w:r>
    </w:p>
    <w:p>
      <w:pPr>
        <w:pStyle w:val="ReferenceEntry"/>
      </w:pPr>
      <w:bookmarkStart w:id="4050" w:name="ref-731"/>
      <w:r>
        <w:t xml:space="preserve">[731]</w:t>
      </w:r>
      <w:bookmarkEnd w:id="4050"/>
      <w:r>
        <w:t xml:space="preserve"> Miller EK, Cohen JD. An Integrative Theory of Prefrontal Cortex Function.</w:t>
      </w:r>
      <w:r>
        <w:t xml:space="preserve"> </w:t>
      </w:r>
      <w:r>
        <w:rPr>
          <w:iCs/>
          <w:i/>
        </w:rPr>
        <w:t xml:space="preserve">Annual Review of Neuroscience</w:t>
      </w:r>
      <w:r>
        <w:t xml:space="preserve">. 2001;24(1):167–202.</w:t>
      </w:r>
      <w:r>
        <w:t xml:space="preserve"> </w:t>
      </w:r>
      <w:hyperlink r:id="rId4051">
        <w:r>
          <w:rPr>
            <w:rStyle w:val="Hyperlink"/>
          </w:rPr>
          <w:t xml:space="preserve">https://doi.org/10.1146/annurev.neuro.24.1.167</w:t>
        </w:r>
      </w:hyperlink>
      <w:r>
        <w:t xml:space="preserve">（研究类型：机制理论综述）</w:t>
      </w:r>
    </w:p>
    <w:p>
      <w:pPr>
        <w:pStyle w:val="ReferenceEntry"/>
      </w:pPr>
      <w:bookmarkStart w:id="4052" w:name="ref-732"/>
      <w:r>
        <w:t xml:space="preserve">[732]</w:t>
      </w:r>
      <w:bookmarkEnd w:id="4052"/>
      <w:r>
        <w:t xml:space="preserve"> Clinton-Lisell V, Litzinger C. Is it really a neuromyth? A meta-analysis of the learning styles matching hypothesis.</w:t>
      </w:r>
      <w:r>
        <w:t xml:space="preserve"> </w:t>
      </w:r>
      <w:r>
        <w:rPr>
          <w:iCs/>
          <w:i/>
        </w:rPr>
        <w:t xml:space="preserve">Frontiers in Psychology</w:t>
      </w:r>
      <w:r>
        <w:t xml:space="preserve">. 2024;15:1428732.</w:t>
      </w:r>
      <w:r>
        <w:t xml:space="preserve"> </w:t>
      </w:r>
      <w:hyperlink r:id="rId4053">
        <w:r>
          <w:rPr>
            <w:rStyle w:val="Hyperlink"/>
          </w:rPr>
          <w:t xml:space="preserve">https://doi.org/10.3389/fpsyg.2024.1428732</w:t>
        </w:r>
      </w:hyperlink>
      <w:r>
        <w:t xml:space="preserve">（研究类型：系统综述与稳健方差元分析）</w:t>
      </w:r>
    </w:p>
    <w:p>
      <w:pPr>
        <w:pStyle w:val="ReferenceEntry"/>
      </w:pPr>
      <w:bookmarkStart w:id="4054" w:name="ref-733"/>
      <w:r>
        <w:t xml:space="preserve">[733]</w:t>
      </w:r>
      <w:bookmarkEnd w:id="4054"/>
      <w:r>
        <w:t xml:space="preserve"> Pashler H, McDaniel M, Rohrer D, Bjork R. Learning Styles: Concepts and Evidence.</w:t>
      </w:r>
      <w:r>
        <w:t xml:space="preserve"> </w:t>
      </w:r>
      <w:r>
        <w:rPr>
          <w:iCs/>
          <w:i/>
        </w:rPr>
        <w:t xml:space="preserve">Psychological Science in the Public Interest</w:t>
      </w:r>
      <w:r>
        <w:t xml:space="preserve">. 2008;9(3):105–119.</w:t>
      </w:r>
      <w:r>
        <w:t xml:space="preserve"> </w:t>
      </w:r>
      <w:hyperlink r:id="rId4055">
        <w:r>
          <w:rPr>
            <w:rStyle w:val="Hyperlink"/>
          </w:rPr>
          <w:t xml:space="preserve">https://doi.org/10.1111/j.1539-6053.2009.01038.x</w:t>
        </w:r>
      </w:hyperlink>
      <w:r>
        <w:t xml:space="preserve">（研究类型：证据综述与检验标准分析）</w:t>
      </w:r>
    </w:p>
    <w:p>
      <w:pPr>
        <w:pStyle w:val="ReferenceEntry"/>
      </w:pPr>
      <w:bookmarkStart w:id="4056" w:name="ref-734"/>
      <w:r>
        <w:t xml:space="preserve">[734]</w:t>
      </w:r>
      <w:bookmarkEnd w:id="4056"/>
      <w:r>
        <w:t xml:space="preserve"> Rogowsky BA, Calhoun BM, Tallal P. Matching learning style to instructional method: Effects on comprehension.</w:t>
      </w:r>
      <w:r>
        <w:t xml:space="preserve"> </w:t>
      </w:r>
      <w:r>
        <w:rPr>
          <w:iCs/>
          <w:i/>
        </w:rPr>
        <w:t xml:space="preserve">Journal of Educational Psychology</w:t>
      </w:r>
      <w:r>
        <w:t xml:space="preserve">. 2015;107(1):64–78.</w:t>
      </w:r>
      <w:r>
        <w:t xml:space="preserve"> </w:t>
      </w:r>
      <w:hyperlink r:id="rId4057">
        <w:r>
          <w:rPr>
            <w:rStyle w:val="Hyperlink"/>
          </w:rPr>
          <w:t xml:space="preserve">https://doi.org/10.1037/a0037478</w:t>
        </w:r>
      </w:hyperlink>
      <w:r>
        <w:t xml:space="preserve">（研究类型：教学方式比较实验）</w:t>
      </w:r>
    </w:p>
    <w:p>
      <w:pPr>
        <w:pStyle w:val="ReferenceEntry"/>
      </w:pPr>
      <w:bookmarkStart w:id="4058" w:name="ref-735"/>
      <w:r>
        <w:t xml:space="preserve">[735]</w:t>
      </w:r>
      <w:bookmarkEnd w:id="4058"/>
      <w:r>
        <w:t xml:space="preserve"> Pietschnig J, Voracek M, Formann AK. Mozart effect–Shmozart effect: A meta-analysis.</w:t>
      </w:r>
      <w:r>
        <w:t xml:space="preserve"> </w:t>
      </w:r>
      <w:r>
        <w:rPr>
          <w:iCs/>
          <w:i/>
        </w:rPr>
        <w:t xml:space="preserve">Intelligence</w:t>
      </w:r>
      <w:r>
        <w:t xml:space="preserve">. 2010;38(3):314–323.</w:t>
      </w:r>
      <w:r>
        <w:t xml:space="preserve"> </w:t>
      </w:r>
      <w:hyperlink r:id="rId4059">
        <w:r>
          <w:rPr>
            <w:rStyle w:val="Hyperlink"/>
          </w:rPr>
          <w:t xml:space="preserve">https://doi.org/10.1016/j.intell.2010.03.001</w:t>
        </w:r>
      </w:hyperlink>
      <w:r>
        <w:t xml:space="preserve">（研究类型：元分析）</w:t>
      </w:r>
    </w:p>
    <w:p>
      <w:pPr>
        <w:pStyle w:val="ReferenceEntry"/>
      </w:pPr>
      <w:bookmarkStart w:id="4060" w:name="ref-736"/>
      <w:r>
        <w:t xml:space="preserve">[736]</w:t>
      </w:r>
      <w:bookmarkEnd w:id="4060"/>
      <w:r>
        <w:t xml:space="preserve"> Thompson WF, Schellenberg EG, Husain G. Arousal, mood, and the Mozart effect.</w:t>
      </w:r>
      <w:r>
        <w:t xml:space="preserve"> </w:t>
      </w:r>
      <w:r>
        <w:rPr>
          <w:iCs/>
          <w:i/>
        </w:rPr>
        <w:t xml:space="preserve">Psychological Science</w:t>
      </w:r>
      <w:r>
        <w:t xml:space="preserve">. 2001;12(3):248–251.</w:t>
      </w:r>
      <w:r>
        <w:t xml:space="preserve"> </w:t>
      </w:r>
      <w:hyperlink r:id="rId4061">
        <w:r>
          <w:rPr>
            <w:rStyle w:val="Hyperlink"/>
          </w:rPr>
          <w:t xml:space="preserve">https://doi.org/10.1111/1467-9280.00345</w:t>
        </w:r>
      </w:hyperlink>
      <w:r>
        <w:t xml:space="preserve">（研究类型：实验研究）</w:t>
      </w:r>
    </w:p>
    <w:p>
      <w:pPr>
        <w:pStyle w:val="ReferenceEntry"/>
      </w:pPr>
      <w:bookmarkStart w:id="4062" w:name="ref-737"/>
      <w:r>
        <w:t xml:space="preserve">[737]</w:t>
      </w:r>
      <w:bookmarkEnd w:id="4062"/>
      <w:r>
        <w:t xml:space="preserve"> Schellenberg EG. Music lessons enhance IQ.</w:t>
      </w:r>
      <w:r>
        <w:t xml:space="preserve"> </w:t>
      </w:r>
      <w:r>
        <w:rPr>
          <w:iCs/>
          <w:i/>
        </w:rPr>
        <w:t xml:space="preserve">Psychological Science</w:t>
      </w:r>
      <w:r>
        <w:t xml:space="preserve">. 2004;15(8):511–514.</w:t>
      </w:r>
      <w:r>
        <w:t xml:space="preserve"> </w:t>
      </w:r>
      <w:hyperlink r:id="rId4063">
        <w:r>
          <w:rPr>
            <w:rStyle w:val="Hyperlink"/>
          </w:rPr>
          <w:t xml:space="preserve">https://doi.org/10.1111/j.0956-7976.2004.00711.x</w:t>
        </w:r>
      </w:hyperlink>
      <w:r>
        <w:t xml:space="preserve">（研究类型：随机课程实验）</w:t>
      </w:r>
    </w:p>
    <w:p>
      <w:pPr>
        <w:pStyle w:val="ReferenceEntry"/>
      </w:pPr>
      <w:bookmarkStart w:id="4064" w:name="ref-738"/>
      <w:r>
        <w:t xml:space="preserve">[738]</w:t>
      </w:r>
      <w:bookmarkEnd w:id="4064"/>
      <w:r>
        <w:t xml:space="preserve"> Sala G, Gobet F. Cognitive and academic benefits of music training with children: A multilevel meta-analysis.</w:t>
      </w:r>
      <w:r>
        <w:t xml:space="preserve"> </w:t>
      </w:r>
      <w:r>
        <w:rPr>
          <w:iCs/>
          <w:i/>
        </w:rPr>
        <w:t xml:space="preserve">Memory &amp; Cognition</w:t>
      </w:r>
      <w:r>
        <w:t xml:space="preserve">. 2020;48(8):1429–1441.</w:t>
      </w:r>
      <w:r>
        <w:t xml:space="preserve"> </w:t>
      </w:r>
      <w:hyperlink r:id="rId4065">
        <w:r>
          <w:rPr>
            <w:rStyle w:val="Hyperlink"/>
          </w:rPr>
          <w:t xml:space="preserve">https://doi.org/10.3758/s13421-020-01060-2</w:t>
        </w:r>
      </w:hyperlink>
      <w:r>
        <w:t xml:space="preserve">（研究类型：多层元分析）</w:t>
      </w:r>
    </w:p>
    <w:p>
      <w:pPr>
        <w:pStyle w:val="ReferenceEntry"/>
      </w:pPr>
      <w:bookmarkStart w:id="4066" w:name="ref-739"/>
      <w:r>
        <w:t xml:space="preserve">[739]</w:t>
      </w:r>
      <w:bookmarkEnd w:id="4066"/>
      <w:r>
        <w:t xml:space="preserve"> Spaulding LS, Mostert MP, Beam AP. Is Brain Gym an Effective Educational Intervention?.</w:t>
      </w:r>
      <w:r>
        <w:t xml:space="preserve"> </w:t>
      </w:r>
      <w:r>
        <w:rPr>
          <w:iCs/>
          <w:i/>
        </w:rPr>
        <w:t xml:space="preserve">Exceptionality</w:t>
      </w:r>
      <w:r>
        <w:t xml:space="preserve">. 2010;18(1):18–30.</w:t>
      </w:r>
      <w:r>
        <w:t xml:space="preserve"> </w:t>
      </w:r>
      <w:hyperlink r:id="rId4067">
        <w:r>
          <w:rPr>
            <w:rStyle w:val="Hyperlink"/>
          </w:rPr>
          <w:t xml:space="preserve">https://doi.org/10.1080/09362830903462508</w:t>
        </w:r>
      </w:hyperlink>
      <w:r>
        <w:t xml:space="preserve">（研究类型：教育干预证据审查）</w:t>
      </w:r>
    </w:p>
    <w:p>
      <w:pPr>
        <w:pStyle w:val="ReferenceEntry"/>
      </w:pPr>
      <w:bookmarkStart w:id="4068" w:name="ref-740"/>
      <w:r>
        <w:t xml:space="preserve">[740]</w:t>
      </w:r>
      <w:bookmarkEnd w:id="4068"/>
      <w:r>
        <w:t xml:space="preserve"> Howard-Jones PA. Neuroscience and education: myths and messages.</w:t>
      </w:r>
      <w:r>
        <w:t xml:space="preserve"> </w:t>
      </w:r>
      <w:r>
        <w:rPr>
          <w:iCs/>
          <w:i/>
        </w:rPr>
        <w:t xml:space="preserve">Nature Reviews Neuroscience</w:t>
      </w:r>
      <w:r>
        <w:t xml:space="preserve">. 2014;15(12):817–824.</w:t>
      </w:r>
      <w:r>
        <w:t xml:space="preserve"> </w:t>
      </w:r>
      <w:hyperlink r:id="rId4069">
        <w:r>
          <w:rPr>
            <w:rStyle w:val="Hyperlink"/>
          </w:rPr>
          <w:t xml:space="preserve">https://doi.org/10.1038/nrn3817</w:t>
        </w:r>
      </w:hyperlink>
      <w:r>
        <w:t xml:space="preserve">（研究类型：神经教育综述）</w:t>
      </w:r>
    </w:p>
    <w:p>
      <w:pPr>
        <w:pStyle w:val="ReferenceEntry"/>
      </w:pPr>
      <w:bookmarkStart w:id="4070" w:name="ref-741"/>
      <w:r>
        <w:t xml:space="preserve">[741]</w:t>
      </w:r>
      <w:bookmarkEnd w:id="4070"/>
      <w:r>
        <w:t xml:space="preserve"> Hillman CH, Pontifex MB, Castelli DM, Khan NA, Raine LB, Scudder MR, et al. Effects of the FITKids randomized controlled trial on executive control and brain function.</w:t>
      </w:r>
      <w:r>
        <w:t xml:space="preserve"> </w:t>
      </w:r>
      <w:r>
        <w:rPr>
          <w:iCs/>
          <w:i/>
        </w:rPr>
        <w:t xml:space="preserve">Pediatrics</w:t>
      </w:r>
      <w:r>
        <w:t xml:space="preserve">. 2014;134(4):e1063–e1071.</w:t>
      </w:r>
      <w:r>
        <w:t xml:space="preserve"> </w:t>
      </w:r>
      <w:hyperlink r:id="rId4071">
        <w:r>
          <w:rPr>
            <w:rStyle w:val="Hyperlink"/>
          </w:rPr>
          <w:t xml:space="preserve">https://doi.org/10.1542/peds.2013-3219</w:t>
        </w:r>
      </w:hyperlink>
      <w:r>
        <w:t xml:space="preserve">（研究类型：随机试验）</w:t>
      </w:r>
    </w:p>
    <w:p>
      <w:pPr>
        <w:pStyle w:val="ReferenceEntry"/>
      </w:pPr>
      <w:bookmarkStart w:id="4072" w:name="ref-742"/>
      <w:r>
        <w:t xml:space="preserve">[742]</w:t>
      </w:r>
      <w:bookmarkEnd w:id="4072"/>
      <w:r>
        <w:t xml:space="preserve"> Galuschka K, Ise E, Krick K, Schulte-Körne G. Effectiveness of treatment approaches for children and adolescents with reading disabilities: A meta-analysis of randomized controlled trials.</w:t>
      </w:r>
      <w:r>
        <w:t xml:space="preserve"> </w:t>
      </w:r>
      <w:r>
        <w:rPr>
          <w:iCs/>
          <w:i/>
        </w:rPr>
        <w:t xml:space="preserve">PLoS ONE</w:t>
      </w:r>
      <w:r>
        <w:t xml:space="preserve">. 2014;9(2):e89900.</w:t>
      </w:r>
      <w:r>
        <w:t xml:space="preserve"> </w:t>
      </w:r>
      <w:hyperlink r:id="rId4073">
        <w:r>
          <w:rPr>
            <w:rStyle w:val="Hyperlink"/>
          </w:rPr>
          <w:t xml:space="preserve">https://doi.org/10.1371/journal.pone.0089900</w:t>
        </w:r>
      </w:hyperlink>
      <w:r>
        <w:t xml:space="preserve">（研究类型：随机试验元分析）</w:t>
      </w:r>
    </w:p>
    <w:p>
      <w:pPr>
        <w:pStyle w:val="ReferenceEntry"/>
      </w:pPr>
      <w:bookmarkStart w:id="4074" w:name="ref-743"/>
      <w:r>
        <w:t xml:space="preserve">[743]</w:t>
      </w:r>
      <w:bookmarkEnd w:id="4074"/>
      <w:r>
        <w:t xml:space="preserve"> Owen AM, Hampshire A, Grahn JA, Stenton R, Dajani S, Burns AS, et al. Putting brain training to the test.</w:t>
      </w:r>
      <w:r>
        <w:t xml:space="preserve"> </w:t>
      </w:r>
      <w:r>
        <w:rPr>
          <w:iCs/>
          <w:i/>
        </w:rPr>
        <w:t xml:space="preserve">Nature</w:t>
      </w:r>
      <w:r>
        <w:t xml:space="preserve">. 2010;465(7299):775–778.</w:t>
      </w:r>
      <w:r>
        <w:t xml:space="preserve"> </w:t>
      </w:r>
      <w:hyperlink r:id="rId4075">
        <w:r>
          <w:rPr>
            <w:rStyle w:val="Hyperlink"/>
          </w:rPr>
          <w:t xml:space="preserve">https://doi.org/10.1038/nature09042</w:t>
        </w:r>
      </w:hyperlink>
      <w:r>
        <w:t xml:space="preserve">（研究类型：在线认知训练随机实验）</w:t>
      </w:r>
    </w:p>
    <w:p>
      <w:pPr>
        <w:pStyle w:val="ReferenceEntry"/>
      </w:pPr>
      <w:bookmarkStart w:id="4076" w:name="ref-744"/>
      <w:r>
        <w:t xml:space="preserve">[744]</w:t>
      </w:r>
      <w:bookmarkEnd w:id="4076"/>
      <w:r>
        <w:t xml:space="preserve"> Rebok GW, Ball K, Guey LT, Jones RN, Kim HY, King JW, et al. Ten-year effects of the Advanced Cognitive Training for Independent and Vital Elderly cognitive training trial on cognition and everyday functioning in older adults.</w:t>
      </w:r>
      <w:r>
        <w:t xml:space="preserve"> </w:t>
      </w:r>
      <w:r>
        <w:rPr>
          <w:iCs/>
          <w:i/>
        </w:rPr>
        <w:t xml:space="preserve">Journal of the American Geriatrics Society</w:t>
      </w:r>
      <w:r>
        <w:t xml:space="preserve">. 2014;62(1):16–24.</w:t>
      </w:r>
      <w:r>
        <w:t xml:space="preserve"> </w:t>
      </w:r>
      <w:hyperlink r:id="rId4077">
        <w:r>
          <w:rPr>
            <w:rStyle w:val="Hyperlink"/>
          </w:rPr>
          <w:t xml:space="preserve">https://doi.org/10.1111/jgs.12607</w:t>
        </w:r>
      </w:hyperlink>
      <w:r>
        <w:t xml:space="preserve">（研究类型：随机试验10年随访）</w:t>
      </w:r>
    </w:p>
    <w:p>
      <w:pPr>
        <w:pStyle w:val="ReferenceEntry"/>
      </w:pPr>
      <w:bookmarkStart w:id="4078" w:name="ref-745"/>
      <w:r>
        <w:t xml:space="preserve">[745]</w:t>
      </w:r>
      <w:bookmarkEnd w:id="4078"/>
      <w:r>
        <w:t xml:space="preserve"> Coe NB, Miller KEM, Sun C, Taggert E, Gross AL, Jones RN, et al. Impact of cognitive training on claims-based diagnosed dementia over 20 years: evidence from the ACTIVE study.</w:t>
      </w:r>
      <w:r>
        <w:t xml:space="preserve"> </w:t>
      </w:r>
      <w:r>
        <w:rPr>
          <w:iCs/>
          <w:i/>
        </w:rPr>
        <w:t xml:space="preserve">Alzheimer's &amp; Dementia: Translational Research &amp; Clinical Interventions</w:t>
      </w:r>
      <w:r>
        <w:t xml:space="preserve">. 2026;12(1):e70197.</w:t>
      </w:r>
      <w:r>
        <w:t xml:space="preserve"> </w:t>
      </w:r>
      <w:hyperlink r:id="rId4079">
        <w:r>
          <w:rPr>
            <w:rStyle w:val="Hyperlink"/>
          </w:rPr>
          <w:t xml:space="preserve">https://doi.org/10.1002/trc2.70197</w:t>
        </w:r>
      </w:hyperlink>
      <w:r>
        <w:t xml:space="preserve">（研究类型：随机试验与医疗索赔长期链接分析）</w:t>
      </w:r>
    </w:p>
    <w:p>
      <w:pPr>
        <w:pStyle w:val="ReferenceEntry"/>
      </w:pPr>
      <w:bookmarkStart w:id="4080" w:name="ref-746"/>
      <w:r>
        <w:t xml:space="preserve">[746]</w:t>
      </w:r>
      <w:bookmarkEnd w:id="4080"/>
      <w:r>
        <w:t xml:space="preserve"> Dahlin E, Neely AS, Larsson A, Bäckman L, Nyberg L. Transfer of learning after updating training mediated by the striatum.</w:t>
      </w:r>
      <w:r>
        <w:t xml:space="preserve"> </w:t>
      </w:r>
      <w:r>
        <w:rPr>
          <w:iCs/>
          <w:i/>
        </w:rPr>
        <w:t xml:space="preserve">Science</w:t>
      </w:r>
      <w:r>
        <w:t xml:space="preserve">. 2008;320(5882):1510–1512.</w:t>
      </w:r>
      <w:r>
        <w:t xml:space="preserve"> </w:t>
      </w:r>
      <w:hyperlink r:id="rId4081">
        <w:r>
          <w:rPr>
            <w:rStyle w:val="Hyperlink"/>
          </w:rPr>
          <w:t xml:space="preserve">https://doi.org/10.1126/science.1155466</w:t>
        </w:r>
      </w:hyperlink>
      <w:r>
        <w:t xml:space="preserve">（研究类型：更新训练随机实验及成像）</w:t>
      </w:r>
    </w:p>
    <w:p>
      <w:pPr>
        <w:pStyle w:val="ReferenceEntry"/>
      </w:pPr>
      <w:bookmarkStart w:id="4082" w:name="ref-747"/>
      <w:r>
        <w:t xml:space="preserve">[747]</w:t>
      </w:r>
      <w:bookmarkEnd w:id="4082"/>
      <w:r>
        <w:t xml:space="preserve"> Makris N, Goldstein JM, Kennedy D, et al. Decreased volume of left and total anterior insular lobule in schizophrenia.</w:t>
      </w:r>
      <w:r>
        <w:t xml:space="preserve"> </w:t>
      </w:r>
      <w:r>
        <w:rPr>
          <w:iCs/>
          <w:i/>
        </w:rPr>
        <w:t xml:space="preserve">Schizophrenia Research</w:t>
      </w:r>
      <w:r>
        <w:t xml:space="preserve">. 2006;83(2-3):155–171.</w:t>
      </w:r>
      <w:r>
        <w:t xml:space="preserve"> </w:t>
      </w:r>
      <w:hyperlink r:id="rId4083">
        <w:r>
          <w:rPr>
            <w:rStyle w:val="Hyperlink"/>
          </w:rPr>
          <w:t xml:space="preserve">https://doi.org/10.1016/j.schres.2005.11.020</w:t>
        </w:r>
      </w:hyperlink>
    </w:p>
    <w:p>
      <w:pPr>
        <w:pStyle w:val="ReferenceEntry"/>
      </w:pPr>
      <w:bookmarkStart w:id="4084" w:name="ref-748"/>
      <w:r>
        <w:t xml:space="preserve">[748]</w:t>
      </w:r>
      <w:bookmarkEnd w:id="4084"/>
      <w:r>
        <w:t xml:space="preserve"> Desikan RS, Ségonne F, Fischl B, et al. An automated labeling system for subdividing the human cerebral cortex on MRI scans into gyral based regions of interest.</w:t>
      </w:r>
      <w:r>
        <w:t xml:space="preserve"> </w:t>
      </w:r>
      <w:r>
        <w:rPr>
          <w:iCs/>
          <w:i/>
        </w:rPr>
        <w:t xml:space="preserve">NeuroImage</w:t>
      </w:r>
      <w:r>
        <w:t xml:space="preserve">. 2006;31(3):968–980.</w:t>
      </w:r>
      <w:r>
        <w:t xml:space="preserve"> </w:t>
      </w:r>
      <w:hyperlink r:id="rId4085">
        <w:r>
          <w:rPr>
            <w:rStyle w:val="Hyperlink"/>
          </w:rPr>
          <w:t xml:space="preserve">https://doi.org/10.1016/j.neuroimage.2006.01.021</w:t>
        </w:r>
      </w:hyperlink>
    </w:p>
    <w:p>
      <w:pPr>
        <w:pStyle w:val="ReferenceEntry"/>
      </w:pPr>
      <w:bookmarkStart w:id="4086" w:name="ref-749"/>
      <w:r>
        <w:t xml:space="preserve">[749]</w:t>
      </w:r>
      <w:bookmarkEnd w:id="4086"/>
      <w:r>
        <w:t xml:space="preserve"> Fischl B, Sereno MI, Tootell RBH, et al. High-resolution intersubject averaging and a coordinate system for the cortical surface.</w:t>
      </w:r>
      <w:r>
        <w:t xml:space="preserve"> </w:t>
      </w:r>
      <w:r>
        <w:rPr>
          <w:iCs/>
          <w:i/>
        </w:rPr>
        <w:t xml:space="preserve">Human Brain Mapping</w:t>
      </w:r>
      <w:r>
        <w:t xml:space="preserve">. 1999;8(4):272–284.</w:t>
      </w:r>
      <w:r>
        <w:t xml:space="preserve"> </w:t>
      </w:r>
      <w:hyperlink r:id="rId4087">
        <w:r>
          <w:rPr>
            <w:rStyle w:val="Hyperlink"/>
          </w:rPr>
          <w:t xml:space="preserve">https://doi.org/10.1002/(sici)1097-0193(1999)8:4&lt;272::aid-hbm10&gt;3.0.co;2-4</w:t>
        </w:r>
      </w:hyperlink>
    </w:p>
    <w:p>
      <w:pPr>
        <w:pStyle w:val="ReferenceEntry"/>
      </w:pPr>
      <w:bookmarkStart w:id="4088" w:name="ref-750"/>
      <w:r>
        <w:t xml:space="preserve">[750]</w:t>
      </w:r>
      <w:bookmarkEnd w:id="4088"/>
      <w:r>
        <w:t xml:space="preserve"> Fonov V, Evans AC, Botteron K, et al. Unbiased average age-appropriate atlases for pediatric studies.</w:t>
      </w:r>
      <w:r>
        <w:t xml:space="preserve"> </w:t>
      </w:r>
      <w:r>
        <w:rPr>
          <w:iCs/>
          <w:i/>
        </w:rPr>
        <w:t xml:space="preserve">NeuroImage</w:t>
      </w:r>
      <w:r>
        <w:t xml:space="preserve">. 2011;54(1):313–327.</w:t>
      </w:r>
      <w:r>
        <w:t xml:space="preserve"> </w:t>
      </w:r>
      <w:hyperlink r:id="rId4089">
        <w:r>
          <w:rPr>
            <w:rStyle w:val="Hyperlink"/>
          </w:rPr>
          <w:t xml:space="preserve">https://doi.org/10.1016/j.neuroimage.2010.07.033</w:t>
        </w:r>
      </w:hyperlink>
    </w:p>
    <w:p>
      <w:pPr>
        <w:pStyle w:val="ReferenceEntry"/>
      </w:pPr>
      <w:bookmarkStart w:id="4090" w:name="ref-751"/>
      <w:r>
        <w:t xml:space="preserve">[751]</w:t>
      </w:r>
      <w:bookmarkEnd w:id="4090"/>
      <w:r>
        <w:t xml:space="preserve"> Frazier JA, Chiu S, Breeze JL, et al. Structural Brain Magnetic Resonance Imaging of Limbic and Thalamic Volumes in Pediatric Bipolar Disorder.</w:t>
      </w:r>
      <w:r>
        <w:t xml:space="preserve"> </w:t>
      </w:r>
      <w:r>
        <w:rPr>
          <w:iCs/>
          <w:i/>
        </w:rPr>
        <w:t xml:space="preserve">American Journal of Psychiatry</w:t>
      </w:r>
      <w:r>
        <w:t xml:space="preserve">. 2005;162(7):1256–1265.</w:t>
      </w:r>
      <w:r>
        <w:t xml:space="preserve"> </w:t>
      </w:r>
      <w:hyperlink r:id="rId4091">
        <w:r>
          <w:rPr>
            <w:rStyle w:val="Hyperlink"/>
          </w:rPr>
          <w:t xml:space="preserve">https://doi.org/10.1176/appi.ajp.162.7.1256</w:t>
        </w:r>
      </w:hyperlink>
    </w:p>
    <w:p>
      <w:pPr>
        <w:pStyle w:val="ReferenceEntry"/>
      </w:pPr>
      <w:bookmarkStart w:id="4092" w:name="ref-752"/>
      <w:r>
        <w:t xml:space="preserve">[752]</w:t>
      </w:r>
      <w:bookmarkEnd w:id="4092"/>
      <w:r>
        <w:t xml:space="preserve"> Janak PH, Tye KM. From circuits to behaviour in the amygdala.</w:t>
      </w:r>
      <w:r>
        <w:t xml:space="preserve"> </w:t>
      </w:r>
      <w:r>
        <w:rPr>
          <w:iCs/>
          <w:i/>
        </w:rPr>
        <w:t xml:space="preserve">Nature</w:t>
      </w:r>
      <w:r>
        <w:t xml:space="preserve">. 2015;517(7534):284–292.</w:t>
      </w:r>
      <w:r>
        <w:t xml:space="preserve"> </w:t>
      </w:r>
      <w:hyperlink r:id="rId4093">
        <w:r>
          <w:rPr>
            <w:rStyle w:val="Hyperlink"/>
          </w:rPr>
          <w:t xml:space="preserve">https://doi.org/10.1038/nature14188</w:t>
        </w:r>
      </w:hyperlink>
    </w:p>
    <w:p>
      <w:pPr>
        <w:pStyle w:val="ReferenceEntry"/>
      </w:pPr>
      <w:bookmarkStart w:id="4094" w:name="ref-753"/>
      <w:r>
        <w:t xml:space="preserve">[753]</w:t>
      </w:r>
      <w:bookmarkEnd w:id="4094"/>
      <w:r>
        <w:t xml:space="preserve"> Bechara A, Tranel D, Damasio H, et al. Double Dissociation of Conditioning and Declarative Knowledge Relative to the Amygdala and Hippocampus in Humans.</w:t>
      </w:r>
      <w:r>
        <w:t xml:space="preserve"> </w:t>
      </w:r>
      <w:r>
        <w:rPr>
          <w:iCs/>
          <w:i/>
        </w:rPr>
        <w:t xml:space="preserve">Science</w:t>
      </w:r>
      <w:r>
        <w:t xml:space="preserve">. 1995;269(5227):1115–1118.</w:t>
      </w:r>
      <w:r>
        <w:t xml:space="preserve"> </w:t>
      </w:r>
      <w:hyperlink r:id="rId4095">
        <w:r>
          <w:rPr>
            <w:rStyle w:val="Hyperlink"/>
          </w:rPr>
          <w:t xml:space="preserve">https://doi.org/10.1126/science.7652558</w:t>
        </w:r>
      </w:hyperlink>
    </w:p>
    <w:p>
      <w:pPr>
        <w:pStyle w:val="ReferenceEntry"/>
      </w:pPr>
      <w:bookmarkStart w:id="4096" w:name="ref-754"/>
      <w:r>
        <w:t xml:space="preserve">[754]</w:t>
      </w:r>
      <w:bookmarkEnd w:id="4096"/>
      <w:r>
        <w:t xml:space="preserve"> Paton JJ, Belova MA, Morrison SE, et al. The primate amygdala represents the positive and negative value of visual stimuli during learning.</w:t>
      </w:r>
      <w:r>
        <w:t xml:space="preserve"> </w:t>
      </w:r>
      <w:r>
        <w:rPr>
          <w:iCs/>
          <w:i/>
        </w:rPr>
        <w:t xml:space="preserve">Nature</w:t>
      </w:r>
      <w:r>
        <w:t xml:space="preserve">. 2006;439(7078):865–870.</w:t>
      </w:r>
      <w:r>
        <w:t xml:space="preserve"> </w:t>
      </w:r>
      <w:hyperlink r:id="rId4097">
        <w:r>
          <w:rPr>
            <w:rStyle w:val="Hyperlink"/>
          </w:rPr>
          <w:t xml:space="preserve">https://doi.org/10.1038/nature04490</w:t>
        </w:r>
      </w:hyperlink>
    </w:p>
    <w:p>
      <w:pPr>
        <w:pStyle w:val="ReferenceEntry"/>
      </w:pPr>
      <w:bookmarkStart w:id="4098" w:name="ref-755"/>
      <w:r>
        <w:t xml:space="preserve">[755]</w:t>
      </w:r>
      <w:bookmarkEnd w:id="4098"/>
      <w:r>
        <w:t xml:space="preserve"> Adolphs R, Gosselin F, Buchanan TW, et al. A mechanism for impaired fear recognition after amygdala damage.</w:t>
      </w:r>
      <w:r>
        <w:t xml:space="preserve"> </w:t>
      </w:r>
      <w:r>
        <w:rPr>
          <w:iCs/>
          <w:i/>
        </w:rPr>
        <w:t xml:space="preserve">Nature</w:t>
      </w:r>
      <w:r>
        <w:t xml:space="preserve">. 2005;433(7021):68–72.</w:t>
      </w:r>
      <w:r>
        <w:t xml:space="preserve"> </w:t>
      </w:r>
      <w:hyperlink r:id="rId4099">
        <w:r>
          <w:rPr>
            <w:rStyle w:val="Hyperlink"/>
          </w:rPr>
          <w:t xml:space="preserve">https://doi.org/10.1038/nature03086</w:t>
        </w:r>
      </w:hyperlink>
    </w:p>
    <w:p>
      <w:pPr>
        <w:pStyle w:val="ReferenceEntry"/>
      </w:pPr>
      <w:bookmarkStart w:id="4100" w:name="ref-756"/>
      <w:r>
        <w:t xml:space="preserve">[756]</w:t>
      </w:r>
      <w:bookmarkEnd w:id="4100"/>
      <w:r>
        <w:t xml:space="preserve"> Kennedy DP, Gläscher J, Tyszka JM, et al. Personal space regulation by the human amygdala.</w:t>
      </w:r>
      <w:r>
        <w:t xml:space="preserve"> </w:t>
      </w:r>
      <w:r>
        <w:rPr>
          <w:iCs/>
          <w:i/>
        </w:rPr>
        <w:t xml:space="preserve">Nature Neuroscience</w:t>
      </w:r>
      <w:r>
        <w:t xml:space="preserve">. 2009;12(10):1226–1227.</w:t>
      </w:r>
      <w:r>
        <w:t xml:space="preserve"> </w:t>
      </w:r>
      <w:hyperlink r:id="rId4101">
        <w:r>
          <w:rPr>
            <w:rStyle w:val="Hyperlink"/>
          </w:rPr>
          <w:t xml:space="preserve">https://doi.org/10.1038/nn.2381</w:t>
        </w:r>
      </w:hyperlink>
    </w:p>
    <w:p>
      <w:pPr>
        <w:pStyle w:val="ReferenceEntry"/>
      </w:pPr>
      <w:bookmarkStart w:id="4102" w:name="ref-757"/>
      <w:r>
        <w:t xml:space="preserve">[757]</w:t>
      </w:r>
      <w:bookmarkEnd w:id="4102"/>
      <w:r>
        <w:t xml:space="preserve"> Sander D, Grafman J, Zalla T. The Human Amygdala: An Evolved System for Relevance Detection.</w:t>
      </w:r>
      <w:r>
        <w:t xml:space="preserve"> </w:t>
      </w:r>
      <w:r>
        <w:rPr>
          <w:iCs/>
          <w:i/>
        </w:rPr>
        <w:t xml:space="preserve">Reviews in the Neurosciences</w:t>
      </w:r>
      <w:r>
        <w:t xml:space="preserve">. 2003;14(4):303–316.</w:t>
      </w:r>
      <w:r>
        <w:t xml:space="preserve"> </w:t>
      </w:r>
      <w:hyperlink r:id="rId4103">
        <w:r>
          <w:rPr>
            <w:rStyle w:val="Hyperlink"/>
          </w:rPr>
          <w:t xml:space="preserve">https://doi.org/10.1515/revneuro.2003.14.4.303</w:t>
        </w:r>
      </w:hyperlink>
    </w:p>
    <w:p>
      <w:pPr>
        <w:pStyle w:val="ReferenceEntry"/>
      </w:pPr>
      <w:bookmarkStart w:id="4104" w:name="ref-758"/>
      <w:r>
        <w:t xml:space="preserve">[758]</w:t>
      </w:r>
      <w:bookmarkEnd w:id="4104"/>
      <w:r>
        <w:t xml:space="preserve"> Feinstein JS, Adolphs R, Damasio A, et al. The Human Amygdala and the Induction and Experience of Fear.</w:t>
      </w:r>
      <w:r>
        <w:t xml:space="preserve"> </w:t>
      </w:r>
      <w:r>
        <w:rPr>
          <w:iCs/>
          <w:i/>
        </w:rPr>
        <w:t xml:space="preserve">Current Biology</w:t>
      </w:r>
      <w:r>
        <w:t xml:space="preserve">. 2011;21(1):34–38.</w:t>
      </w:r>
      <w:r>
        <w:t xml:space="preserve"> </w:t>
      </w:r>
      <w:hyperlink r:id="rId4105">
        <w:r>
          <w:rPr>
            <w:rStyle w:val="Hyperlink"/>
          </w:rPr>
          <w:t xml:space="preserve">https://doi.org/10.1016/j.cub.2010.11.042</w:t>
        </w:r>
      </w:hyperlink>
    </w:p>
    <w:p>
      <w:pPr>
        <w:pStyle w:val="ReferenceEntry"/>
      </w:pPr>
      <w:bookmarkStart w:id="4106" w:name="ref-759"/>
      <w:r>
        <w:t xml:space="preserve">[759]</w:t>
      </w:r>
      <w:bookmarkEnd w:id="4106"/>
      <w:r>
        <w:t xml:space="preserve"> Feinstein JS, Buzza C, Hurlemann R, et al. Fear and panic in humans with bilateral amygdala damage.</w:t>
      </w:r>
      <w:r>
        <w:t xml:space="preserve"> </w:t>
      </w:r>
      <w:r>
        <w:rPr>
          <w:iCs/>
          <w:i/>
        </w:rPr>
        <w:t xml:space="preserve">Nature Neuroscience</w:t>
      </w:r>
      <w:r>
        <w:t xml:space="preserve">. 2013;16(3):270–272.</w:t>
      </w:r>
      <w:r>
        <w:t xml:space="preserve"> </w:t>
      </w:r>
      <w:hyperlink r:id="rId4107">
        <w:r>
          <w:rPr>
            <w:rStyle w:val="Hyperlink"/>
          </w:rPr>
          <w:t xml:space="preserve">https://doi.org/10.1038/nn.3323</w:t>
        </w:r>
      </w:hyperlink>
      <w:r>
        <w:t xml:space="preserve">（研究类型：罕见病损人体诱发实验）</w:t>
      </w:r>
    </w:p>
    <w:p>
      <w:pPr>
        <w:pStyle w:val="ReferenceEntry"/>
      </w:pPr>
      <w:bookmarkStart w:id="4108" w:name="ref-760"/>
      <w:r>
        <w:t xml:space="preserve">[760]</w:t>
      </w:r>
      <w:bookmarkEnd w:id="4108"/>
      <w:r>
        <w:t xml:space="preserve"> LeDoux JE. The amygdala is not the brain’s fear center.</w:t>
      </w:r>
      <w:r>
        <w:t xml:space="preserve"> </w:t>
      </w:r>
      <w:r>
        <w:rPr>
          <w:iCs/>
          <w:i/>
        </w:rPr>
        <w:t xml:space="preserve">Psychology Today</w:t>
      </w:r>
      <w:r>
        <w:t xml:space="preserve">（博客 I Got a Mind to Tell You）. 2015-08-10.</w:t>
      </w:r>
      <w:r>
        <w:t xml:space="preserve"> </w:t>
      </w:r>
      <w:hyperlink r:id="rId4109">
        <w:r>
          <w:rPr>
            <w:rStyle w:val="Hyperlink"/>
          </w:rPr>
          <w:t xml:space="preserve">https://www.psychologytoday.com/us/blog/i-got-mind-tell-you/201508/the-amygdala-is-not-the-brains-fear-center</w:t>
        </w:r>
      </w:hyperlink>
      <w:r>
        <w:t xml:space="preserve">（2026 年 10 月访问）</w:t>
      </w:r>
    </w:p>
    <w:p>
      <w:pPr>
        <w:pStyle w:val="ReferenceEntry"/>
      </w:pPr>
      <w:bookmarkStart w:id="4110" w:name="ref-761"/>
      <w:r>
        <w:t xml:space="preserve">[761]</w:t>
      </w:r>
      <w:bookmarkEnd w:id="4110"/>
      <w:r>
        <w:t xml:space="preserve"> LeDoux JE. Coming to Terms with Fear.</w:t>
      </w:r>
      <w:r>
        <w:t xml:space="preserve"> </w:t>
      </w:r>
      <w:r>
        <w:rPr>
          <w:iCs/>
          <w:i/>
        </w:rPr>
        <w:t xml:space="preserve">Proceedings of the National Academy of Sciences</w:t>
      </w:r>
      <w:r>
        <w:t xml:space="preserve">. 2014;111(8):2871–2878.</w:t>
      </w:r>
      <w:r>
        <w:t xml:space="preserve"> </w:t>
      </w:r>
      <w:hyperlink r:id="rId4111">
        <w:r>
          <w:rPr>
            <w:rStyle w:val="Hyperlink"/>
          </w:rPr>
          <w:t xml:space="preserve">https://doi.org/10.1073/pnas.1400335111</w:t>
        </w:r>
      </w:hyperlink>
      <w:r>
        <w:t xml:space="preserve">（研究类型：概念与机制分析）</w:t>
      </w:r>
    </w:p>
    <w:p>
      <w:pPr>
        <w:pStyle w:val="ReferenceEntry"/>
      </w:pPr>
      <w:bookmarkStart w:id="4112" w:name="ref-762"/>
      <w:r>
        <w:t xml:space="preserve">[762]</w:t>
      </w:r>
      <w:bookmarkEnd w:id="4112"/>
      <w:r>
        <w:t xml:space="preserve"> Khalsa SS, Feinstein JS, Li W, Feusner JD, Adolphs R, Hurlemann R. Panic Anxiety in Humans with Bilateral Amygdala Lesions Pharmacological Induction via Cardiorespiratory Interoceptive Pathways.</w:t>
      </w:r>
      <w:r>
        <w:t xml:space="preserve"> </w:t>
      </w:r>
      <w:r>
        <w:rPr>
          <w:iCs/>
          <w:i/>
        </w:rPr>
        <w:t xml:space="preserve">The Journal of Neuroscience</w:t>
      </w:r>
      <w:r>
        <w:t xml:space="preserve">. 2016;36(12):3559–3566.</w:t>
      </w:r>
      <w:r>
        <w:t xml:space="preserve"> </w:t>
      </w:r>
      <w:hyperlink r:id="rId4113">
        <w:r>
          <w:rPr>
            <w:rStyle w:val="Hyperlink"/>
          </w:rPr>
          <w:t xml:space="preserve">https://doi.org/10.1523/JNEUROSCI.4109-15.2016</w:t>
        </w:r>
      </w:hyperlink>
      <w:r>
        <w:t xml:space="preserve">（研究类型：病损人体药理诱发）</w:t>
      </w:r>
    </w:p>
    <w:p>
      <w:pPr>
        <w:pStyle w:val="ReferenceEntry"/>
      </w:pPr>
      <w:bookmarkStart w:id="4114" w:name="ref-763"/>
      <w:r>
        <w:t xml:space="preserve">[763]</w:t>
      </w:r>
      <w:bookmarkEnd w:id="4114"/>
      <w:r>
        <w:t xml:space="preserve"> Ciocchi S, Herry C, Grenier F, Wolff SBE, Letzkus JJ, Vlachos I, et al. Encoding of conditioned fear in central amygdala inhibitory circuits.</w:t>
      </w:r>
      <w:r>
        <w:t xml:space="preserve"> </w:t>
      </w:r>
      <w:r>
        <w:rPr>
          <w:iCs/>
          <w:i/>
        </w:rPr>
        <w:t xml:space="preserve">Nature</w:t>
      </w:r>
      <w:r>
        <w:t xml:space="preserve">. 2010;468(7321):277–282.</w:t>
      </w:r>
      <w:r>
        <w:t xml:space="preserve"> </w:t>
      </w:r>
      <w:hyperlink r:id="rId4115">
        <w:r>
          <w:rPr>
            <w:rStyle w:val="Hyperlink"/>
          </w:rPr>
          <w:t xml:space="preserve">https://doi.org/10.1038/nature09559</w:t>
        </w:r>
      </w:hyperlink>
      <w:r>
        <w:t xml:space="preserve">（研究类型：原始小鼠电生理光遗传药理）</w:t>
      </w:r>
    </w:p>
    <w:p>
      <w:pPr>
        <w:pStyle w:val="ReferenceEntry"/>
      </w:pPr>
      <w:bookmarkStart w:id="4116" w:name="ref-764"/>
      <w:r>
        <w:t xml:space="preserve">[764]</w:t>
      </w:r>
      <w:bookmarkEnd w:id="4116"/>
      <w:r>
        <w:t xml:space="preserve"> Tye KM, Prakash R, Kim SY, Fenno LE, Grosenick L, Zarabi H, et al. Amygdala circuitry mediating reversible and bidirectional control of anxiety.</w:t>
      </w:r>
      <w:r>
        <w:t xml:space="preserve"> </w:t>
      </w:r>
      <w:r>
        <w:rPr>
          <w:iCs/>
          <w:i/>
        </w:rPr>
        <w:t xml:space="preserve">Nature</w:t>
      </w:r>
      <w:r>
        <w:t xml:space="preserve">. 2011;471(7338):358–362.</w:t>
      </w:r>
      <w:r>
        <w:t xml:space="preserve"> </w:t>
      </w:r>
      <w:hyperlink r:id="rId4117">
        <w:r>
          <w:rPr>
            <w:rStyle w:val="Hyperlink"/>
          </w:rPr>
          <w:t xml:space="preserve">https://doi.org/10.1038/nature09820</w:t>
        </w:r>
      </w:hyperlink>
      <w:r>
        <w:t xml:space="preserve">（研究类型：原始小鼠投射选择光遗传实验）</w:t>
      </w:r>
    </w:p>
    <w:p>
      <w:pPr>
        <w:pStyle w:val="ReferenceEntry"/>
      </w:pPr>
      <w:bookmarkStart w:id="4118" w:name="ref-765"/>
      <w:r>
        <w:t xml:space="preserve">[765]</w:t>
      </w:r>
      <w:bookmarkEnd w:id="4118"/>
      <w:r>
        <w:t xml:space="preserve"> Tovote P, Esposito MS, Botta P, Chaudun F, Fadok JP, Markovic M, et al. Midbrain circuits for defensive behaviour.</w:t>
      </w:r>
      <w:r>
        <w:t xml:space="preserve"> </w:t>
      </w:r>
      <w:r>
        <w:rPr>
          <w:iCs/>
          <w:i/>
        </w:rPr>
        <w:t xml:space="preserve">Nature</w:t>
      </w:r>
      <w:r>
        <w:t xml:space="preserve">. 2016;534(7606):206–212.</w:t>
      </w:r>
      <w:r>
        <w:t xml:space="preserve"> </w:t>
      </w:r>
      <w:hyperlink r:id="rId4119">
        <w:r>
          <w:rPr>
            <w:rStyle w:val="Hyperlink"/>
          </w:rPr>
          <w:t xml:space="preserve">https://doi.org/10.1038/nature17996</w:t>
        </w:r>
      </w:hyperlink>
      <w:r>
        <w:t xml:space="preserve">（研究类型：回路追踪、电生理与光遗传）</w:t>
      </w:r>
    </w:p>
    <w:p>
      <w:pPr>
        <w:pStyle w:val="ReferenceEntry"/>
      </w:pPr>
      <w:bookmarkStart w:id="4120" w:name="ref-766"/>
      <w:r>
        <w:t xml:space="preserve">[766]</w:t>
      </w:r>
      <w:bookmarkEnd w:id="4120"/>
      <w:r>
        <w:t xml:space="preserve"> LeDoux JE. Emotional Memory Systems in the Brain.</w:t>
      </w:r>
      <w:r>
        <w:t xml:space="preserve"> </w:t>
      </w:r>
      <w:r>
        <w:rPr>
          <w:iCs/>
          <w:i/>
        </w:rPr>
        <w:t xml:space="preserve">Behavioural Brain Research</w:t>
      </w:r>
      <w:r>
        <w:t xml:space="preserve">. 1993;58(1-2):69–79.</w:t>
      </w:r>
      <w:r>
        <w:t xml:space="preserve"> </w:t>
      </w:r>
      <w:hyperlink r:id="rId4121">
        <w:r>
          <w:rPr>
            <w:rStyle w:val="Hyperlink"/>
          </w:rPr>
          <w:t xml:space="preserve">https://doi.org/10.1016/0166-4328(93)90091-4</w:t>
        </w:r>
      </w:hyperlink>
      <w:r>
        <w:t xml:space="preserve">（研究类型：情绪学习回路综述）</w:t>
      </w:r>
    </w:p>
    <w:p>
      <w:pPr>
        <w:pStyle w:val="ReferenceEntry"/>
      </w:pPr>
      <w:bookmarkStart w:id="4122" w:name="ref-767"/>
      <w:r>
        <w:t xml:space="preserve">[767]</w:t>
      </w:r>
      <w:bookmarkEnd w:id="4122"/>
      <w:r>
        <w:t xml:space="preserve"> MacLean PD. Some psychiatric implications of physiological studies on frontotemporal portion of limbic system (Visceral brain).</w:t>
      </w:r>
      <w:r>
        <w:t xml:space="preserve"> </w:t>
      </w:r>
      <w:r>
        <w:rPr>
          <w:iCs/>
          <w:i/>
        </w:rPr>
        <w:t xml:space="preserve">Electroencephalography and Clinical Neurophysiology</w:t>
      </w:r>
      <w:r>
        <w:t xml:space="preserve">. 1952;4(4):407–418.</w:t>
      </w:r>
      <w:r>
        <w:t xml:space="preserve"> </w:t>
      </w:r>
      <w:hyperlink r:id="rId4123">
        <w:r>
          <w:rPr>
            <w:rStyle w:val="Hyperlink"/>
          </w:rPr>
          <w:t xml:space="preserve">https://doi.org/10.1016/0013-4694(52)90073-4</w:t>
        </w:r>
      </w:hyperlink>
    </w:p>
    <w:p>
      <w:pPr>
        <w:pStyle w:val="ReferenceEntry"/>
      </w:pPr>
      <w:bookmarkStart w:id="4124" w:name="ref-768"/>
      <w:r>
        <w:t xml:space="preserve">[768]</w:t>
      </w:r>
      <w:bookmarkEnd w:id="4124"/>
      <w:r>
        <w:t xml:space="preserve"> Rolls ET. Limbic systems for emotion and for memory, but no single limbic system.</w:t>
      </w:r>
      <w:r>
        <w:t xml:space="preserve"> </w:t>
      </w:r>
      <w:r>
        <w:rPr>
          <w:iCs/>
          <w:i/>
        </w:rPr>
        <w:t xml:space="preserve">Cortex</w:t>
      </w:r>
      <w:r>
        <w:t xml:space="preserve">. 2015;62:119–157.</w:t>
      </w:r>
      <w:r>
        <w:t xml:space="preserve"> </w:t>
      </w:r>
      <w:hyperlink r:id="rId4125">
        <w:r>
          <w:rPr>
            <w:rStyle w:val="Hyperlink"/>
          </w:rPr>
          <w:t xml:space="preserve">https://doi.org/10.1016/j.cortex.2013.12.005</w:t>
        </w:r>
      </w:hyperlink>
    </w:p>
    <w:p>
      <w:pPr>
        <w:pStyle w:val="ReferenceEntry"/>
      </w:pPr>
      <w:bookmarkStart w:id="4126" w:name="ref-769"/>
      <w:r>
        <w:t xml:space="preserve">[769]</w:t>
      </w:r>
      <w:bookmarkEnd w:id="4126"/>
      <w:r>
        <w:t xml:space="preserve"> LeDoux J. Rethinking the Emotional Brain.</w:t>
      </w:r>
      <w:r>
        <w:t xml:space="preserve"> </w:t>
      </w:r>
      <w:r>
        <w:rPr>
          <w:iCs/>
          <w:i/>
        </w:rPr>
        <w:t xml:space="preserve">Neuron</w:t>
      </w:r>
      <w:r>
        <w:t xml:space="preserve">. 2012;73(4):653–676.</w:t>
      </w:r>
      <w:r>
        <w:t xml:space="preserve"> </w:t>
      </w:r>
      <w:hyperlink r:id="rId4127">
        <w:r>
          <w:rPr>
            <w:rStyle w:val="Hyperlink"/>
          </w:rPr>
          <w:t xml:space="preserve">https://doi.org/10.1016/j.neuron.2012.02.004</w:t>
        </w:r>
      </w:hyperlink>
    </w:p>
    <w:p>
      <w:pPr>
        <w:pStyle w:val="ReferenceEntry"/>
      </w:pPr>
      <w:bookmarkStart w:id="4128" w:name="ref-770"/>
      <w:r>
        <w:t xml:space="preserve">[770]</w:t>
      </w:r>
      <w:bookmarkEnd w:id="4128"/>
      <w:r>
        <w:t xml:space="preserve"> Kober H, Barrett LF, Joseph J, Bliss-Moreau E, Lindquist K, Wager TD. Functional grouping and cortical-subcortical interactions in emotion: A meta-analysis of neuroimaging studies.</w:t>
      </w:r>
      <w:r>
        <w:t xml:space="preserve"> </w:t>
      </w:r>
      <w:r>
        <w:rPr>
          <w:iCs/>
          <w:i/>
        </w:rPr>
        <w:t xml:space="preserve">NeuroImage</w:t>
      </w:r>
      <w:r>
        <w:t xml:space="preserve">. 2008;42(2):998–1031.</w:t>
      </w:r>
      <w:r>
        <w:t xml:space="preserve"> </w:t>
      </w:r>
      <w:hyperlink r:id="rId4129">
        <w:r>
          <w:rPr>
            <w:rStyle w:val="Hyperlink"/>
          </w:rPr>
          <w:t xml:space="preserve">https://doi.org/10.1016/j.neuroimage.2008.03.059</w:t>
        </w:r>
      </w:hyperlink>
      <w:r>
        <w:t xml:space="preserve">（研究类型：神经影像元分析）</w:t>
      </w:r>
    </w:p>
    <w:p>
      <w:pPr>
        <w:pStyle w:val="ReferenceEntry"/>
      </w:pPr>
      <w:bookmarkStart w:id="4130" w:name="ref-771"/>
      <w:r>
        <w:t xml:space="preserve">[771]</w:t>
      </w:r>
      <w:bookmarkEnd w:id="4130"/>
      <w:r>
        <w:t xml:space="preserve"> Aggleton JP, Brown MW. Episodic memory, amnesia, and the hippocampal-anterior thalamic axis.</w:t>
      </w:r>
      <w:r>
        <w:t xml:space="preserve"> </w:t>
      </w:r>
      <w:r>
        <w:rPr>
          <w:iCs/>
          <w:i/>
        </w:rPr>
        <w:t xml:space="preserve">Behavioral and Brain Sciences</w:t>
      </w:r>
      <w:r>
        <w:t xml:space="preserve">. 1999;22(3):425–444.</w:t>
      </w:r>
      <w:r>
        <w:t xml:space="preserve"> </w:t>
      </w:r>
      <w:hyperlink r:id="rId4131">
        <w:r>
          <w:rPr>
            <w:rStyle w:val="Hyperlink"/>
          </w:rPr>
          <w:t xml:space="preserve">https://doi.org/10.1017/S0140525X99002034</w:t>
        </w:r>
      </w:hyperlink>
      <w:r>
        <w:t xml:space="preserve">（研究类型：临床动物与回路证据理论综合）</w:t>
      </w:r>
    </w:p>
    <w:p>
      <w:pPr>
        <w:pStyle w:val="ReferenceEntry"/>
      </w:pPr>
      <w:bookmarkStart w:id="4132" w:name="ref-772"/>
      <w:r>
        <w:t xml:space="preserve">[772]</w:t>
      </w:r>
      <w:bookmarkEnd w:id="4132"/>
      <w:r>
        <w:t xml:space="preserve"> Kalafatakis K, Russell GM, Harmer CJ, Munafo MR, Marchant N, Wilson A, et al. Ultradian rhythmicity of plasma cortisol is necessary for normal emotional and cognitive responses in man.</w:t>
      </w:r>
      <w:r>
        <w:t xml:space="preserve"> </w:t>
      </w:r>
      <w:r>
        <w:rPr>
          <w:iCs/>
          <w:i/>
        </w:rPr>
        <w:t xml:space="preserve">Proceedings of the National Academy of Sciences</w:t>
      </w:r>
      <w:r>
        <w:t xml:space="preserve">. 2018;115(17).</w:t>
      </w:r>
      <w:r>
        <w:t xml:space="preserve"> </w:t>
      </w:r>
      <w:hyperlink r:id="rId4133">
        <w:r>
          <w:rPr>
            <w:rStyle w:val="Hyperlink"/>
          </w:rPr>
          <w:t xml:space="preserve">https://doi.org/10.1073/pnas.1714239115</w:t>
        </w:r>
      </w:hyperlink>
      <w:r>
        <w:t xml:space="preserve">（研究类型：原始人体药理节律操纵）</w:t>
      </w:r>
    </w:p>
    <w:p>
      <w:pPr>
        <w:pStyle w:val="ReferenceEntry"/>
      </w:pPr>
      <w:bookmarkStart w:id="4134" w:name="ref-773"/>
      <w:r>
        <w:t xml:space="preserve">[773]</w:t>
      </w:r>
      <w:bookmarkEnd w:id="4134"/>
      <w:r>
        <w:t xml:space="preserve"> Denny BT, Kober H, Wager TD, et al. A Meta-analysis of Functional Neuroimaging Studies of Self- and Other Judgments Reveals a Spatial Gradient for Mentalizing in Medial Prefrontal Cortex.</w:t>
      </w:r>
      <w:r>
        <w:t xml:space="preserve"> </w:t>
      </w:r>
      <w:r>
        <w:rPr>
          <w:iCs/>
          <w:i/>
        </w:rPr>
        <w:t xml:space="preserve">Journal of Cognitive Neuroscience</w:t>
      </w:r>
      <w:r>
        <w:t xml:space="preserve">. 2012;24(8):1742–1752.</w:t>
      </w:r>
      <w:r>
        <w:t xml:space="preserve"> </w:t>
      </w:r>
      <w:hyperlink r:id="rId4135">
        <w:r>
          <w:rPr>
            <w:rStyle w:val="Hyperlink"/>
          </w:rPr>
          <w:t xml:space="preserve">https://doi.org/10.1162/jocn_a_00233</w:t>
        </w:r>
      </w:hyperlink>
    </w:p>
    <w:p>
      <w:pPr>
        <w:pStyle w:val="ReferenceEntry"/>
      </w:pPr>
      <w:bookmarkStart w:id="4136" w:name="ref-774"/>
      <w:r>
        <w:t xml:space="preserve">[774]</w:t>
      </w:r>
      <w:bookmarkEnd w:id="4136"/>
      <w:r>
        <w:t xml:space="preserve"> Buhle JT, Silvers JA, Wager TD, et al. Cognitive Reappraisal of Emotion: A Meta-Analysis of Human Neuroimaging Studies.</w:t>
      </w:r>
      <w:r>
        <w:t xml:space="preserve"> </w:t>
      </w:r>
      <w:r>
        <w:rPr>
          <w:iCs/>
          <w:i/>
        </w:rPr>
        <w:t xml:space="preserve">Cerebral Cortex</w:t>
      </w:r>
      <w:r>
        <w:t xml:space="preserve">. 2014;24(11):2981–2990.</w:t>
      </w:r>
      <w:r>
        <w:t xml:space="preserve"> </w:t>
      </w:r>
      <w:hyperlink r:id="rId4137">
        <w:r>
          <w:rPr>
            <w:rStyle w:val="Hyperlink"/>
          </w:rPr>
          <w:t xml:space="preserve">https://doi.org/10.1093/cercor/bht154</w:t>
        </w:r>
      </w:hyperlink>
    </w:p>
    <w:p>
      <w:pPr>
        <w:pStyle w:val="ReferenceEntry"/>
      </w:pPr>
      <w:bookmarkStart w:id="4138" w:name="ref-775"/>
      <w:r>
        <w:t xml:space="preserve">[775]</w:t>
      </w:r>
      <w:bookmarkEnd w:id="4138"/>
      <w:r>
        <w:t xml:space="preserve"> Badre D, D'Esposito M. Is the rostro-caudal axis of the frontal lobe hierarchical?</w:t>
      </w:r>
      <w:r>
        <w:t xml:space="preserve"> </w:t>
      </w:r>
      <w:r>
        <w:rPr>
          <w:iCs/>
          <w:i/>
        </w:rPr>
        <w:t xml:space="preserve">Nature Reviews Neuroscience</w:t>
      </w:r>
      <w:r>
        <w:t xml:space="preserve">. 2009;10(9):659–669.</w:t>
      </w:r>
      <w:r>
        <w:t xml:space="preserve"> </w:t>
      </w:r>
      <w:hyperlink r:id="rId4139">
        <w:r>
          <w:rPr>
            <w:rStyle w:val="Hyperlink"/>
          </w:rPr>
          <w:t xml:space="preserve">https://doi.org/10.1038/nrn2667</w:t>
        </w:r>
      </w:hyperlink>
    </w:p>
    <w:p>
      <w:pPr>
        <w:pStyle w:val="ReferenceEntry"/>
      </w:pPr>
      <w:bookmarkStart w:id="4140" w:name="ref-776"/>
      <w:r>
        <w:t xml:space="preserve">[776]</w:t>
      </w:r>
      <w:bookmarkEnd w:id="4140"/>
      <w:r>
        <w:t xml:space="preserve"> Badre D, Nee DE. Frontal Cortex and the Hierarchical Control of Behavior.</w:t>
      </w:r>
      <w:r>
        <w:t xml:space="preserve"> </w:t>
      </w:r>
      <w:r>
        <w:rPr>
          <w:iCs/>
          <w:i/>
        </w:rPr>
        <w:t xml:space="preserve">Trends in Cognitive Sciences</w:t>
      </w:r>
      <w:r>
        <w:t xml:space="preserve">. 2018;22(2):170–188.</w:t>
      </w:r>
      <w:r>
        <w:t xml:space="preserve"> </w:t>
      </w:r>
      <w:hyperlink r:id="rId4141">
        <w:r>
          <w:rPr>
            <w:rStyle w:val="Hyperlink"/>
          </w:rPr>
          <w:t xml:space="preserve">https://doi.org/10.1016/j.tics.2017.11.005</w:t>
        </w:r>
      </w:hyperlink>
    </w:p>
    <w:p>
      <w:pPr>
        <w:pStyle w:val="ReferenceEntry"/>
      </w:pPr>
      <w:bookmarkStart w:id="4142" w:name="ref-777"/>
      <w:r>
        <w:t xml:space="preserve">[777]</w:t>
      </w:r>
      <w:bookmarkEnd w:id="4142"/>
      <w:r>
        <w:t xml:space="preserve"> Christoff K, Prabhakaran V, Dorfman J, et al. Rostrolateral Prefrontal Cortex Involvement in Relational Integration during Reasoning.</w:t>
      </w:r>
      <w:r>
        <w:t xml:space="preserve"> </w:t>
      </w:r>
      <w:r>
        <w:rPr>
          <w:iCs/>
          <w:i/>
        </w:rPr>
        <w:t xml:space="preserve">NeuroImage</w:t>
      </w:r>
      <w:r>
        <w:t xml:space="preserve">. 2001;14(5):1136–1149.</w:t>
      </w:r>
      <w:r>
        <w:t xml:space="preserve"> </w:t>
      </w:r>
      <w:hyperlink r:id="rId4143">
        <w:r>
          <w:rPr>
            <w:rStyle w:val="Hyperlink"/>
          </w:rPr>
          <w:t xml:space="preserve">https://doi.org/10.1006/nimg.2001.0922</w:t>
        </w:r>
      </w:hyperlink>
    </w:p>
    <w:p>
      <w:pPr>
        <w:pStyle w:val="ReferenceEntry"/>
      </w:pPr>
      <w:bookmarkStart w:id="4144" w:name="ref-778"/>
      <w:r>
        <w:t xml:space="preserve">[778]</w:t>
      </w:r>
      <w:bookmarkEnd w:id="4144"/>
      <w:r>
        <w:t xml:space="preserve"> Huth AG, de Heer WA, Griffiths TL, et al. Natural speech reveals the semantic maps that tile human cerebral cortex.</w:t>
      </w:r>
      <w:r>
        <w:t xml:space="preserve"> </w:t>
      </w:r>
      <w:r>
        <w:rPr>
          <w:iCs/>
          <w:i/>
        </w:rPr>
        <w:t xml:space="preserve">Nature</w:t>
      </w:r>
      <w:r>
        <w:t xml:space="preserve">. 2016;532(7600):453–458.</w:t>
      </w:r>
      <w:r>
        <w:t xml:space="preserve"> </w:t>
      </w:r>
      <w:hyperlink r:id="rId4145">
        <w:r>
          <w:rPr>
            <w:rStyle w:val="Hyperlink"/>
          </w:rPr>
          <w:t xml:space="preserve">https://doi.org/10.1038/nature17637</w:t>
        </w:r>
      </w:hyperlink>
    </w:p>
    <w:p>
      <w:pPr>
        <w:pStyle w:val="ReferenceEntry"/>
      </w:pPr>
      <w:bookmarkStart w:id="4146" w:name="ref-779"/>
      <w:r>
        <w:t xml:space="preserve">[779]</w:t>
      </w:r>
      <w:bookmarkEnd w:id="4146"/>
      <w:r>
        <w:t xml:space="preserve"> Cole MW, Reynolds JR, Power JD, Repovs G, Anticevic A, Braver TS. Multi-task connectivity reveals flexible hubs for adaptive task control.</w:t>
      </w:r>
      <w:r>
        <w:t xml:space="preserve"> </w:t>
      </w:r>
      <w:r>
        <w:rPr>
          <w:iCs/>
          <w:i/>
        </w:rPr>
        <w:t xml:space="preserve">Nature Neuroscience</w:t>
      </w:r>
      <w:r>
        <w:t xml:space="preserve">. 2013;16(9):1348–1355.</w:t>
      </w:r>
      <w:r>
        <w:t xml:space="preserve"> </w:t>
      </w:r>
      <w:hyperlink r:id="rId4147">
        <w:r>
          <w:rPr>
            <w:rStyle w:val="Hyperlink"/>
          </w:rPr>
          <w:t xml:space="preserve">https://doi.org/10.1038/nn.3470</w:t>
        </w:r>
      </w:hyperlink>
      <w:r>
        <w:t xml:space="preserve">（研究类型：任务连接组观察研究）</w:t>
      </w:r>
    </w:p>
    <w:p>
      <w:pPr>
        <w:pStyle w:val="ReferenceEntry"/>
      </w:pPr>
      <w:bookmarkStart w:id="4148" w:name="ref-780"/>
      <w:r>
        <w:t xml:space="preserve">[780]</w:t>
      </w:r>
      <w:bookmarkEnd w:id="4148"/>
      <w:r>
        <w:t xml:space="preserve"> Schmitt LI, Wimmer RD, Nakajima M, Happ M, Mofakham S, Halassa MM. Thalamic amplification of cortical connectivity sustains attentional control.</w:t>
      </w:r>
      <w:r>
        <w:t xml:space="preserve"> </w:t>
      </w:r>
      <w:r>
        <w:rPr>
          <w:iCs/>
          <w:i/>
        </w:rPr>
        <w:t xml:space="preserve">Nature</w:t>
      </w:r>
      <w:r>
        <w:t xml:space="preserve">. 2017;545(7653):219–223.</w:t>
      </w:r>
      <w:r>
        <w:t xml:space="preserve"> </w:t>
      </w:r>
      <w:hyperlink r:id="rId4149">
        <w:r>
          <w:rPr>
            <w:rStyle w:val="Hyperlink"/>
          </w:rPr>
          <w:t xml:space="preserve">https://doi.org/10.1038/nature22073</w:t>
        </w:r>
      </w:hyperlink>
      <w:r>
        <w:t xml:space="preserve">（研究类型：记录与回路干预）</w:t>
      </w:r>
    </w:p>
    <w:p>
      <w:pPr>
        <w:pStyle w:val="ReferenceEntry"/>
      </w:pPr>
      <w:bookmarkStart w:id="4150" w:name="ref-781"/>
      <w:r>
        <w:t xml:space="preserve">[781]</w:t>
      </w:r>
      <w:bookmarkEnd w:id="4150"/>
      <w:r>
        <w:t xml:space="preserve"> Sherman SM. Thalamus plays a central role in ongoing cortical functioning.</w:t>
      </w:r>
      <w:r>
        <w:t xml:space="preserve"> </w:t>
      </w:r>
      <w:r>
        <w:rPr>
          <w:iCs/>
          <w:i/>
        </w:rPr>
        <w:t xml:space="preserve">Nature Neuroscience</w:t>
      </w:r>
      <w:r>
        <w:t xml:space="preserve">. 2016;19(4):533–541.</w:t>
      </w:r>
      <w:r>
        <w:t xml:space="preserve"> </w:t>
      </w:r>
      <w:hyperlink r:id="rId4151">
        <w:r>
          <w:rPr>
            <w:rStyle w:val="Hyperlink"/>
          </w:rPr>
          <w:t xml:space="preserve">https://doi.org/10.1038/nn.4269</w:t>
        </w:r>
      </w:hyperlink>
      <w:r>
        <w:t xml:space="preserve">（研究类型：机制综述与理论）</w:t>
      </w:r>
    </w:p>
    <w:p>
      <w:pPr>
        <w:pStyle w:val="ReferenceEntry"/>
      </w:pPr>
      <w:bookmarkStart w:id="4152" w:name="ref-782"/>
      <w:r>
        <w:t xml:space="preserve">[782]</w:t>
      </w:r>
      <w:bookmarkEnd w:id="4152"/>
      <w:r>
        <w:t xml:space="preserve"> Botvinick MM, Braver TS, Barch DM, et al. Conflict monitoring and cognitive control.</w:t>
      </w:r>
      <w:r>
        <w:t xml:space="preserve"> </w:t>
      </w:r>
      <w:r>
        <w:rPr>
          <w:iCs/>
          <w:i/>
        </w:rPr>
        <w:t xml:space="preserve">Psychological Review</w:t>
      </w:r>
      <w:r>
        <w:t xml:space="preserve">. 2001;108(3):624–652.</w:t>
      </w:r>
      <w:r>
        <w:t xml:space="preserve"> </w:t>
      </w:r>
      <w:hyperlink r:id="rId4153">
        <w:r>
          <w:rPr>
            <w:rStyle w:val="Hyperlink"/>
          </w:rPr>
          <w:t xml:space="preserve">https://doi.org/10.1037/0033-295x.108.3.624</w:t>
        </w:r>
      </w:hyperlink>
    </w:p>
    <w:p>
      <w:pPr>
        <w:pStyle w:val="ReferenceEntry"/>
      </w:pPr>
      <w:bookmarkStart w:id="4154" w:name="ref-783"/>
      <w:r>
        <w:t xml:space="preserve">[783]</w:t>
      </w:r>
      <w:bookmarkEnd w:id="4154"/>
      <w:r>
        <w:t xml:space="preserve"> Rainville P, Duncan GH, Price DD, et al. Pain Affect Encoded in Human Anterior Cingulate But Not Somatosensory Cortex.</w:t>
      </w:r>
      <w:r>
        <w:t xml:space="preserve"> </w:t>
      </w:r>
      <w:r>
        <w:rPr>
          <w:iCs/>
          <w:i/>
        </w:rPr>
        <w:t xml:space="preserve">Science</w:t>
      </w:r>
      <w:r>
        <w:t xml:space="preserve">. 1997;277(5328):968–971.</w:t>
      </w:r>
      <w:r>
        <w:t xml:space="preserve"> </w:t>
      </w:r>
      <w:hyperlink r:id="rId4155">
        <w:r>
          <w:rPr>
            <w:rStyle w:val="Hyperlink"/>
          </w:rPr>
          <w:t xml:space="preserve">https://doi.org/10.1126/science.277.5328.968</w:t>
        </w:r>
      </w:hyperlink>
    </w:p>
    <w:p>
      <w:pPr>
        <w:pStyle w:val="ReferenceEntry"/>
      </w:pPr>
      <w:bookmarkStart w:id="4156" w:name="ref-784"/>
      <w:r>
        <w:t xml:space="preserve">[784]</w:t>
      </w:r>
      <w:bookmarkEnd w:id="4156"/>
      <w:r>
        <w:t xml:space="preserve"> Eisenberger NI, Lieberman MD, Williams KD. Does Rejection Hurt? An fMRI Study of Social Exclusion.</w:t>
      </w:r>
      <w:r>
        <w:t xml:space="preserve"> </w:t>
      </w:r>
      <w:r>
        <w:rPr>
          <w:iCs/>
          <w:i/>
        </w:rPr>
        <w:t xml:space="preserve">Science</w:t>
      </w:r>
      <w:r>
        <w:t xml:space="preserve">. 2003;302(5643):290–292.</w:t>
      </w:r>
      <w:r>
        <w:t xml:space="preserve"> </w:t>
      </w:r>
      <w:hyperlink r:id="rId4157">
        <w:r>
          <w:rPr>
            <w:rStyle w:val="Hyperlink"/>
          </w:rPr>
          <w:t xml:space="preserve">https://doi.org/10.1126/science.1089134</w:t>
        </w:r>
      </w:hyperlink>
    </w:p>
    <w:p>
      <w:pPr>
        <w:pStyle w:val="ReferenceEntry"/>
      </w:pPr>
      <w:bookmarkStart w:id="4158" w:name="ref-785"/>
      <w:r>
        <w:t xml:space="preserve">[785]</w:t>
      </w:r>
      <w:bookmarkEnd w:id="4158"/>
      <w:r>
        <w:t xml:space="preserve"> Woo CW, Koban L, Kross E, et al. Separate neural representations for physical pain and social rejection.</w:t>
      </w:r>
      <w:r>
        <w:t xml:space="preserve"> </w:t>
      </w:r>
      <w:r>
        <w:rPr>
          <w:iCs/>
          <w:i/>
        </w:rPr>
        <w:t xml:space="preserve">Nature Communications</w:t>
      </w:r>
      <w:r>
        <w:t xml:space="preserve">. 2014;5(1):5380.</w:t>
      </w:r>
      <w:r>
        <w:t xml:space="preserve"> </w:t>
      </w:r>
      <w:hyperlink r:id="rId4159">
        <w:r>
          <w:rPr>
            <w:rStyle w:val="Hyperlink"/>
          </w:rPr>
          <w:t xml:space="preserve">https://doi.org/10.1038/ncomms6380</w:t>
        </w:r>
      </w:hyperlink>
    </w:p>
    <w:p>
      <w:pPr>
        <w:pStyle w:val="ReferenceEntry"/>
      </w:pPr>
      <w:bookmarkStart w:id="4160" w:name="ref-786"/>
      <w:r>
        <w:t xml:space="preserve">[786]</w:t>
      </w:r>
      <w:bookmarkEnd w:id="4160"/>
      <w:r>
        <w:t xml:space="preserve"> Cacioppo S, Frum C, Asp E, et al. A Quantitative Meta-Analysis of Functional Imaging Studies of Social Rejection.</w:t>
      </w:r>
      <w:r>
        <w:t xml:space="preserve"> </w:t>
      </w:r>
      <w:r>
        <w:rPr>
          <w:iCs/>
          <w:i/>
        </w:rPr>
        <w:t xml:space="preserve">Scientific Reports</w:t>
      </w:r>
      <w:r>
        <w:t xml:space="preserve">. 2013;3(1):2027.</w:t>
      </w:r>
      <w:r>
        <w:t xml:space="preserve"> </w:t>
      </w:r>
      <w:hyperlink r:id="rId4161">
        <w:r>
          <w:rPr>
            <w:rStyle w:val="Hyperlink"/>
          </w:rPr>
          <w:t xml:space="preserve">https://doi.org/10.1038/srep02027</w:t>
        </w:r>
      </w:hyperlink>
    </w:p>
    <w:p>
      <w:pPr>
        <w:pStyle w:val="ReferenceEntry"/>
      </w:pPr>
      <w:bookmarkStart w:id="4162" w:name="ref-787"/>
      <w:r>
        <w:t xml:space="preserve">[787]</w:t>
      </w:r>
      <w:bookmarkEnd w:id="4162"/>
      <w:r>
        <w:t xml:space="preserve"> Kross E, Berman MG, Mischel W, et al. Social rejection shares somatosensory representations with physical pain.</w:t>
      </w:r>
      <w:r>
        <w:t xml:space="preserve"> </w:t>
      </w:r>
      <w:r>
        <w:rPr>
          <w:iCs/>
          <w:i/>
        </w:rPr>
        <w:t xml:space="preserve">Proceedings of the National Academy of Sciences</w:t>
      </w:r>
      <w:r>
        <w:t xml:space="preserve">. 2011;108(15):6270–6275.</w:t>
      </w:r>
      <w:r>
        <w:t xml:space="preserve"> </w:t>
      </w:r>
      <w:hyperlink r:id="rId4163">
        <w:r>
          <w:rPr>
            <w:rStyle w:val="Hyperlink"/>
          </w:rPr>
          <w:t xml:space="preserve">https://doi.org/10.1073/pnas.1102693108</w:t>
        </w:r>
      </w:hyperlink>
    </w:p>
    <w:p>
      <w:pPr>
        <w:pStyle w:val="ReferenceEntry"/>
      </w:pPr>
      <w:bookmarkStart w:id="4164" w:name="ref-788"/>
      <w:r>
        <w:t xml:space="preserve">[788]</w:t>
      </w:r>
      <w:bookmarkEnd w:id="4164"/>
      <w:r>
        <w:t xml:space="preserve"> Lieberman MD, Eisenberger NI. The dorsal anterior cingulate cortex is selective for pain: Results from large-scale reverse inference.</w:t>
      </w:r>
      <w:r>
        <w:t xml:space="preserve"> </w:t>
      </w:r>
      <w:r>
        <w:rPr>
          <w:iCs/>
          <w:i/>
        </w:rPr>
        <w:t xml:space="preserve">Proceedings of the National Academy of Sciences</w:t>
      </w:r>
      <w:r>
        <w:t xml:space="preserve">. 2015;112(49):15250–15255.</w:t>
      </w:r>
      <w:r>
        <w:t xml:space="preserve"> </w:t>
      </w:r>
      <w:hyperlink r:id="rId4165">
        <w:r>
          <w:rPr>
            <w:rStyle w:val="Hyperlink"/>
          </w:rPr>
          <w:t xml:space="preserve">https://doi.org/10.1073/pnas.1515083112</w:t>
        </w:r>
      </w:hyperlink>
    </w:p>
    <w:p>
      <w:pPr>
        <w:pStyle w:val="ReferenceEntry"/>
      </w:pPr>
      <w:bookmarkStart w:id="4166" w:name="ref-789"/>
      <w:r>
        <w:t xml:space="preserve">[789]</w:t>
      </w:r>
      <w:bookmarkEnd w:id="4166"/>
      <w:r>
        <w:t xml:space="preserve"> Wager TD, Atlas LY, Botvinick MM, et al. Pain in the ACC?</w:t>
      </w:r>
      <w:r>
        <w:t xml:space="preserve"> </w:t>
      </w:r>
      <w:r>
        <w:rPr>
          <w:iCs/>
          <w:i/>
        </w:rPr>
        <w:t xml:space="preserve">Proceedings of the National Academy of Sciences</w:t>
      </w:r>
      <w:r>
        <w:t xml:space="preserve">. 2016;113(18):E2474–E2475.</w:t>
      </w:r>
      <w:r>
        <w:t xml:space="preserve"> </w:t>
      </w:r>
      <w:hyperlink r:id="rId4167">
        <w:r>
          <w:rPr>
            <w:rStyle w:val="Hyperlink"/>
          </w:rPr>
          <w:t xml:space="preserve">https://doi.org/10.1073/pnas.1600282113</w:t>
        </w:r>
      </w:hyperlink>
    </w:p>
    <w:p>
      <w:pPr>
        <w:pStyle w:val="ReferenceEntry"/>
      </w:pPr>
      <w:bookmarkStart w:id="4168" w:name="ref-790"/>
      <w:r>
        <w:t xml:space="preserve">[790]</w:t>
      </w:r>
      <w:bookmarkEnd w:id="4168"/>
      <w:r>
        <w:t xml:space="preserve"> Craig AD. How do you feel — now? The anterior insula and human awareness.</w:t>
      </w:r>
      <w:r>
        <w:t xml:space="preserve"> </w:t>
      </w:r>
      <w:r>
        <w:rPr>
          <w:iCs/>
          <w:i/>
        </w:rPr>
        <w:t xml:space="preserve">Nature Reviews Neuroscience</w:t>
      </w:r>
      <w:r>
        <w:t xml:space="preserve">. 2009;10(1):59–70.</w:t>
      </w:r>
      <w:r>
        <w:t xml:space="preserve"> </w:t>
      </w:r>
      <w:hyperlink r:id="rId4169">
        <w:r>
          <w:rPr>
            <w:rStyle w:val="Hyperlink"/>
          </w:rPr>
          <w:t xml:space="preserve">https://doi.org/10.1038/nrn2555</w:t>
        </w:r>
      </w:hyperlink>
    </w:p>
    <w:p>
      <w:pPr>
        <w:pStyle w:val="ReferenceEntry"/>
      </w:pPr>
      <w:bookmarkStart w:id="4170" w:name="ref-791"/>
      <w:r>
        <w:t xml:space="preserve">[791]</w:t>
      </w:r>
      <w:bookmarkEnd w:id="4170"/>
      <w:r>
        <w:t xml:space="preserve"> Philippi CL, Feinstein JS, Khalsa SS, et al. Preserved Self-Awareness following Extensive Bilateral Brain Damage to the Insula, Anterior Cingulate, and Medial Prefrontal Cortices.</w:t>
      </w:r>
      <w:r>
        <w:t xml:space="preserve"> </w:t>
      </w:r>
      <w:r>
        <w:rPr>
          <w:iCs/>
          <w:i/>
        </w:rPr>
        <w:t xml:space="preserve">PLOS ONE</w:t>
      </w:r>
      <w:r>
        <w:t xml:space="preserve">. 2012;7(8):e38413.</w:t>
      </w:r>
      <w:r>
        <w:t xml:space="preserve"> </w:t>
      </w:r>
      <w:hyperlink r:id="rId4171">
        <w:r>
          <w:rPr>
            <w:rStyle w:val="Hyperlink"/>
          </w:rPr>
          <w:t xml:space="preserve">https://doi.org/10.1371/journal.pone.0038413</w:t>
        </w:r>
      </w:hyperlink>
    </w:p>
    <w:p>
      <w:pPr>
        <w:pStyle w:val="ReferenceEntry"/>
      </w:pPr>
      <w:bookmarkStart w:id="4172" w:name="ref-792"/>
      <w:r>
        <w:t xml:space="preserve">[792]</w:t>
      </w:r>
      <w:bookmarkEnd w:id="4172"/>
      <w:r>
        <w:t xml:space="preserve"> Damasio A, Damasio H, Tranel D. Persistence of Feelings and Sentience after Bilateral Damage of the Insula.</w:t>
      </w:r>
      <w:r>
        <w:t xml:space="preserve"> </w:t>
      </w:r>
      <w:r>
        <w:rPr>
          <w:iCs/>
          <w:i/>
        </w:rPr>
        <w:t xml:space="preserve">Cerebral Cortex</w:t>
      </w:r>
      <w:r>
        <w:t xml:space="preserve">. 2013;23(4):833–846.</w:t>
      </w:r>
      <w:r>
        <w:t xml:space="preserve"> </w:t>
      </w:r>
      <w:hyperlink r:id="rId4173">
        <w:r>
          <w:rPr>
            <w:rStyle w:val="Hyperlink"/>
          </w:rPr>
          <w:t xml:space="preserve">https://doi.org/10.1093/cercor/bhs077</w:t>
        </w:r>
      </w:hyperlink>
    </w:p>
    <w:p>
      <w:pPr>
        <w:pStyle w:val="ReferenceEntry"/>
      </w:pPr>
      <w:bookmarkStart w:id="4174" w:name="ref-793"/>
      <w:r>
        <w:t xml:space="preserve">[793]</w:t>
      </w:r>
      <w:bookmarkEnd w:id="4174"/>
      <w:r>
        <w:t xml:space="preserve"> Khalsa SS, Rudrauf D, Feinstein JS, et al. The pathways of interoceptive awareness.</w:t>
      </w:r>
      <w:r>
        <w:t xml:space="preserve"> </w:t>
      </w:r>
      <w:r>
        <w:rPr>
          <w:iCs/>
          <w:i/>
        </w:rPr>
        <w:t xml:space="preserve">Nature Neuroscience</w:t>
      </w:r>
      <w:r>
        <w:t xml:space="preserve">. 2009;12(12):1494–1496.</w:t>
      </w:r>
      <w:r>
        <w:t xml:space="preserve"> </w:t>
      </w:r>
      <w:hyperlink r:id="rId4175">
        <w:r>
          <w:rPr>
            <w:rStyle w:val="Hyperlink"/>
          </w:rPr>
          <w:t xml:space="preserve">https://doi.org/10.1038/nn.2411</w:t>
        </w:r>
      </w:hyperlink>
    </w:p>
    <w:p>
      <w:pPr>
        <w:pStyle w:val="ReferenceEntry"/>
      </w:pPr>
      <w:bookmarkStart w:id="4176" w:name="ref-794"/>
      <w:r>
        <w:t xml:space="preserve">[794]</w:t>
      </w:r>
      <w:bookmarkEnd w:id="4176"/>
      <w:r>
        <w:t xml:space="preserve"> Hassabis D, Kumaran D, Vann SD, et al. Patients with hippocampal amnesia cannot imagine new experiences.</w:t>
      </w:r>
      <w:r>
        <w:t xml:space="preserve"> </w:t>
      </w:r>
      <w:r>
        <w:rPr>
          <w:iCs/>
          <w:i/>
        </w:rPr>
        <w:t xml:space="preserve">Proceedings of the National Academy of Sciences</w:t>
      </w:r>
      <w:r>
        <w:t xml:space="preserve">. 2007;104(5):1726–1731.</w:t>
      </w:r>
      <w:r>
        <w:t xml:space="preserve"> </w:t>
      </w:r>
      <w:hyperlink r:id="rId4177">
        <w:r>
          <w:rPr>
            <w:rStyle w:val="Hyperlink"/>
          </w:rPr>
          <w:t xml:space="preserve">https://doi.org/10.1073/pnas.0610561104</w:t>
        </w:r>
      </w:hyperlink>
    </w:p>
    <w:p>
      <w:pPr>
        <w:pStyle w:val="ReferenceEntry"/>
      </w:pPr>
      <w:bookmarkStart w:id="4178" w:name="ref-795"/>
      <w:r>
        <w:t xml:space="preserve">[795]</w:t>
      </w:r>
      <w:bookmarkEnd w:id="4178"/>
      <w:r>
        <w:t xml:space="preserve"> Maguire EA, Gadian DG, Johnsrude IS, et al. Navigation-related structural change in the hippocampi of taxi drivers.</w:t>
      </w:r>
      <w:r>
        <w:t xml:space="preserve"> </w:t>
      </w:r>
      <w:r>
        <w:rPr>
          <w:iCs/>
          <w:i/>
        </w:rPr>
        <w:t xml:space="preserve">Proceedings of the National Academy of Sciences</w:t>
      </w:r>
      <w:r>
        <w:t xml:space="preserve">. 2000;97(8):4398–4403.</w:t>
      </w:r>
      <w:r>
        <w:t xml:space="preserve"> </w:t>
      </w:r>
      <w:hyperlink r:id="rId4179">
        <w:r>
          <w:rPr>
            <w:rStyle w:val="Hyperlink"/>
          </w:rPr>
          <w:t xml:space="preserve">https://doi.org/10.1073/pnas.070039597</w:t>
        </w:r>
      </w:hyperlink>
    </w:p>
    <w:p>
      <w:pPr>
        <w:pStyle w:val="ReferenceEntry"/>
      </w:pPr>
      <w:bookmarkStart w:id="4180" w:name="ref-796"/>
      <w:r>
        <w:t xml:space="preserve">[796]</w:t>
      </w:r>
      <w:bookmarkEnd w:id="4180"/>
      <w:r>
        <w:t xml:space="preserve"> Sapolsky RM, Krey LC, McEwen BS. The Neuroendocrinology of Stress and Aging: The Glucocorticoid Cascade Hypothesis*.</w:t>
      </w:r>
      <w:r>
        <w:t xml:space="preserve"> </w:t>
      </w:r>
      <w:r>
        <w:rPr>
          <w:iCs/>
          <w:i/>
        </w:rPr>
        <w:t xml:space="preserve">Endocrine Reviews</w:t>
      </w:r>
      <w:r>
        <w:t xml:space="preserve">. 1986;7(3):284–301.</w:t>
      </w:r>
      <w:r>
        <w:t xml:space="preserve"> </w:t>
      </w:r>
      <w:hyperlink r:id="rId4181">
        <w:r>
          <w:rPr>
            <w:rStyle w:val="Hyperlink"/>
          </w:rPr>
          <w:t xml:space="preserve">https://doi.org/10.1210/edrv-7-3-284</w:t>
        </w:r>
      </w:hyperlink>
    </w:p>
    <w:p>
      <w:pPr>
        <w:pStyle w:val="ReferenceEntry"/>
      </w:pPr>
      <w:bookmarkStart w:id="4182" w:name="ref-797"/>
      <w:r>
        <w:t xml:space="preserve">[797]</w:t>
      </w:r>
      <w:bookmarkEnd w:id="4182"/>
      <w:r>
        <w:t xml:space="preserve"> Uno H, Tarara R, Else JG, et al. Hippocampal damage associated with prolonged and fatal stress in primates.</w:t>
      </w:r>
      <w:r>
        <w:t xml:space="preserve"> </w:t>
      </w:r>
      <w:r>
        <w:rPr>
          <w:iCs/>
          <w:i/>
        </w:rPr>
        <w:t xml:space="preserve">The Journal of Neuroscience</w:t>
      </w:r>
      <w:r>
        <w:t xml:space="preserve">. 1989;9(5):1705–1711.</w:t>
      </w:r>
      <w:r>
        <w:t xml:space="preserve"> </w:t>
      </w:r>
      <w:hyperlink r:id="rId4183">
        <w:r>
          <w:rPr>
            <w:rStyle w:val="Hyperlink"/>
          </w:rPr>
          <w:t xml:space="preserve">https://doi.org/10.1523/jneurosci.09-05-01705.1989</w:t>
        </w:r>
      </w:hyperlink>
    </w:p>
    <w:p>
      <w:pPr>
        <w:pStyle w:val="ReferenceEntry"/>
      </w:pPr>
      <w:bookmarkStart w:id="4184" w:name="ref-798"/>
      <w:r>
        <w:t xml:space="preserve">[798]</w:t>
      </w:r>
      <w:bookmarkEnd w:id="4184"/>
      <w:r>
        <w:t xml:space="preserve"> Leverenz JB, Wilkinson CW, Wamble M, et al. Effect of Chronic High-Dose Exogenous Cortisol on Hippocampal Neuronal Number in Aged Nonhuman Primates.</w:t>
      </w:r>
      <w:r>
        <w:t xml:space="preserve"> </w:t>
      </w:r>
      <w:r>
        <w:rPr>
          <w:iCs/>
          <w:i/>
        </w:rPr>
        <w:t xml:space="preserve">The Journal of Neuroscience</w:t>
      </w:r>
      <w:r>
        <w:t xml:space="preserve">. 1999;19(6):2356–2361.</w:t>
      </w:r>
      <w:r>
        <w:t xml:space="preserve"> </w:t>
      </w:r>
      <w:hyperlink r:id="rId4185">
        <w:r>
          <w:rPr>
            <w:rStyle w:val="Hyperlink"/>
          </w:rPr>
          <w:t xml:space="preserve">https://doi.org/10.1523/jneurosci.19-06-02356.1999</w:t>
        </w:r>
      </w:hyperlink>
    </w:p>
    <w:p>
      <w:pPr>
        <w:pStyle w:val="ReferenceEntry"/>
      </w:pPr>
      <w:bookmarkStart w:id="4186" w:name="ref-799"/>
      <w:r>
        <w:t xml:space="preserve">[799]</w:t>
      </w:r>
      <w:bookmarkEnd w:id="4186"/>
      <w:r>
        <w:t xml:space="preserve"> Stockmeier CA, Mahajan GJ, Konick LC, et al. Cellular changes in the postmortem hippocampus in major depression.</w:t>
      </w:r>
      <w:r>
        <w:t xml:space="preserve"> </w:t>
      </w:r>
      <w:r>
        <w:rPr>
          <w:iCs/>
          <w:i/>
        </w:rPr>
        <w:t xml:space="preserve">Biological Psychiatry</w:t>
      </w:r>
      <w:r>
        <w:t xml:space="preserve">. 2004;56(9):640–650.</w:t>
      </w:r>
      <w:r>
        <w:t xml:space="preserve"> </w:t>
      </w:r>
      <w:hyperlink r:id="rId4187">
        <w:r>
          <w:rPr>
            <w:rStyle w:val="Hyperlink"/>
          </w:rPr>
          <w:t xml:space="preserve">https://doi.org/10.1016/j.biopsych.2004.08.022</w:t>
        </w:r>
      </w:hyperlink>
    </w:p>
    <w:p>
      <w:pPr>
        <w:pStyle w:val="ReferenceEntry"/>
      </w:pPr>
      <w:bookmarkStart w:id="4188" w:name="ref-800"/>
      <w:r>
        <w:t xml:space="preserve">[800]</w:t>
      </w:r>
      <w:bookmarkEnd w:id="4188"/>
      <w:r>
        <w:t xml:space="preserve"> Schmaal L, Veltman DJ, van Erp TG, et al. Subcortical brain alterations in major depressive disorder: findings from the ENIGMA Major Depressive Disorder working group.</w:t>
      </w:r>
      <w:r>
        <w:t xml:space="preserve"> </w:t>
      </w:r>
      <w:r>
        <w:rPr>
          <w:iCs/>
          <w:i/>
        </w:rPr>
        <w:t xml:space="preserve">Molecular Psychiatry</w:t>
      </w:r>
      <w:r>
        <w:t xml:space="preserve">. 2016;21(6):806–812.</w:t>
      </w:r>
      <w:r>
        <w:t xml:space="preserve"> </w:t>
      </w:r>
      <w:hyperlink r:id="rId4189">
        <w:r>
          <w:rPr>
            <w:rStyle w:val="Hyperlink"/>
          </w:rPr>
          <w:t xml:space="preserve">https://doi.org/10.1038/mp.2015.69</w:t>
        </w:r>
      </w:hyperlink>
    </w:p>
    <w:p>
      <w:pPr>
        <w:pStyle w:val="ReferenceEntry"/>
      </w:pPr>
      <w:bookmarkStart w:id="4190" w:name="ref-801"/>
      <w:r>
        <w:t xml:space="preserve">[801]</w:t>
      </w:r>
      <w:bookmarkEnd w:id="4190"/>
      <w:r>
        <w:t xml:space="preserve"> Logue MW, van Rooij SJH, Dennis EL, et al. Smaller Hippocampal Volume in Posttraumatic Stress Disorder: A Multisite ENIGMA-PGC Study: Subcortical Volumetry Results From Posttraumatic Stress Disorder Consortia.</w:t>
      </w:r>
      <w:r>
        <w:t xml:space="preserve"> </w:t>
      </w:r>
      <w:r>
        <w:rPr>
          <w:iCs/>
          <w:i/>
        </w:rPr>
        <w:t xml:space="preserve">Biological Psychiatry</w:t>
      </w:r>
      <w:r>
        <w:t xml:space="preserve">. 2018;83(3):244–253.</w:t>
      </w:r>
      <w:r>
        <w:t xml:space="preserve"> </w:t>
      </w:r>
      <w:hyperlink r:id="rId4191">
        <w:r>
          <w:rPr>
            <w:rStyle w:val="Hyperlink"/>
          </w:rPr>
          <w:t xml:space="preserve">https://doi.org/10.1016/j.biopsych.2017.09.006</w:t>
        </w:r>
      </w:hyperlink>
    </w:p>
    <w:p>
      <w:pPr>
        <w:pStyle w:val="ReferenceEntry"/>
      </w:pPr>
      <w:bookmarkStart w:id="4192" w:name="ref-802"/>
      <w:r>
        <w:t xml:space="preserve">[802]</w:t>
      </w:r>
      <w:bookmarkEnd w:id="4192"/>
      <w:r>
        <w:t xml:space="preserve"> Gilbertson MW, Shenton ME, Ciszewski A, et al. Smaller hippocampal volume predicts pathologic vulnerability to psychological trauma.</w:t>
      </w:r>
      <w:r>
        <w:t xml:space="preserve"> </w:t>
      </w:r>
      <w:r>
        <w:rPr>
          <w:iCs/>
          <w:i/>
        </w:rPr>
        <w:t xml:space="preserve">Nature Neuroscience</w:t>
      </w:r>
      <w:r>
        <w:t xml:space="preserve">. 2002;5(11):1242–1247.</w:t>
      </w:r>
      <w:r>
        <w:t xml:space="preserve"> </w:t>
      </w:r>
      <w:hyperlink r:id="rId4193">
        <w:r>
          <w:rPr>
            <w:rStyle w:val="Hyperlink"/>
          </w:rPr>
          <w:t xml:space="preserve">https://doi.org/10.1038/nn958</w:t>
        </w:r>
      </w:hyperlink>
      <w:r>
        <w:t xml:space="preserve">（研究类型：创伤暴露不一致同卵双生子MRI）</w:t>
      </w:r>
    </w:p>
    <w:p>
      <w:pPr>
        <w:pStyle w:val="ReferenceEntry"/>
      </w:pPr>
      <w:bookmarkStart w:id="4194" w:name="ref-803"/>
      <w:r>
        <w:t xml:space="preserve">[803]</w:t>
      </w:r>
      <w:bookmarkEnd w:id="4194"/>
      <w:r>
        <w:t xml:space="preserve"> Leech R, Sharp DJ. The role of the posterior cingulate cortex in cognition and disease.</w:t>
      </w:r>
      <w:r>
        <w:t xml:space="preserve"> </w:t>
      </w:r>
      <w:r>
        <w:rPr>
          <w:iCs/>
          <w:i/>
        </w:rPr>
        <w:t xml:space="preserve">Brain</w:t>
      </w:r>
      <w:r>
        <w:t xml:space="preserve">. 2014;137(1):12–32.</w:t>
      </w:r>
      <w:r>
        <w:t xml:space="preserve"> </w:t>
      </w:r>
      <w:hyperlink r:id="rId4195">
        <w:r>
          <w:rPr>
            <w:rStyle w:val="Hyperlink"/>
          </w:rPr>
          <w:t xml:space="preserve">https://doi.org/10.1093/brain/awt162</w:t>
        </w:r>
      </w:hyperlink>
    </w:p>
    <w:p>
      <w:pPr>
        <w:pStyle w:val="ReferenceEntry"/>
      </w:pPr>
      <w:bookmarkStart w:id="4196" w:name="ref-804"/>
      <w:r>
        <w:t xml:space="preserve">[804]</w:t>
      </w:r>
      <w:bookmarkEnd w:id="4196"/>
      <w:r>
        <w:t xml:space="preserve"> Krall SC, Rottschy C, Oberwelland E, et al. The role of the right temporoparietal junction in attention and social interaction as revealed by ALE meta-analysis.</w:t>
      </w:r>
      <w:r>
        <w:t xml:space="preserve"> </w:t>
      </w:r>
      <w:r>
        <w:rPr>
          <w:iCs/>
          <w:i/>
        </w:rPr>
        <w:t xml:space="preserve">Brain Structure and Function</w:t>
      </w:r>
      <w:r>
        <w:t xml:space="preserve">. 2015;220(2):587–604.</w:t>
      </w:r>
      <w:r>
        <w:t xml:space="preserve"> </w:t>
      </w:r>
      <w:hyperlink r:id="rId4197">
        <w:r>
          <w:rPr>
            <w:rStyle w:val="Hyperlink"/>
          </w:rPr>
          <w:t xml:space="preserve">https://doi.org/10.1007/s00429-014-0803-z</w:t>
        </w:r>
      </w:hyperlink>
    </w:p>
    <w:p>
      <w:pPr>
        <w:pStyle w:val="ReferenceEntry"/>
      </w:pPr>
      <w:bookmarkStart w:id="4198" w:name="ref-805"/>
      <w:r>
        <w:t xml:space="preserve">[805]</w:t>
      </w:r>
      <w:bookmarkEnd w:id="4198"/>
      <w:r>
        <w:t xml:space="preserve"> Blanke O, Ortigue S, Landis T, et al. Stimulating illusory own-body perceptions.</w:t>
      </w:r>
      <w:r>
        <w:t xml:space="preserve"> </w:t>
      </w:r>
      <w:r>
        <w:rPr>
          <w:iCs/>
          <w:i/>
        </w:rPr>
        <w:t xml:space="preserve">Nature</w:t>
      </w:r>
      <w:r>
        <w:t xml:space="preserve">. 2002;419(6904):269–270.</w:t>
      </w:r>
      <w:r>
        <w:t xml:space="preserve"> </w:t>
      </w:r>
      <w:hyperlink r:id="rId4199">
        <w:r>
          <w:rPr>
            <w:rStyle w:val="Hyperlink"/>
          </w:rPr>
          <w:t xml:space="preserve">https://doi.org/10.1038/419269a</w:t>
        </w:r>
      </w:hyperlink>
    </w:p>
    <w:p>
      <w:pPr>
        <w:pStyle w:val="ReferenceEntry"/>
      </w:pPr>
      <w:bookmarkStart w:id="4200" w:name="ref-806"/>
      <w:r>
        <w:t xml:space="preserve">[806]</w:t>
      </w:r>
      <w:bookmarkEnd w:id="4200"/>
      <w:r>
        <w:t xml:space="preserve"> Blanke O, Mohr C, Michel CM, et al. Linking Out-of-Body Experience and Self Processing to Mental Own-Body Imagery at the Temporoparietal Junction.</w:t>
      </w:r>
      <w:r>
        <w:t xml:space="preserve"> </w:t>
      </w:r>
      <w:r>
        <w:rPr>
          <w:iCs/>
          <w:i/>
        </w:rPr>
        <w:t xml:space="preserve">The Journal of Neuroscience</w:t>
      </w:r>
      <w:r>
        <w:t xml:space="preserve">. 2005;25(3):550–557.</w:t>
      </w:r>
      <w:r>
        <w:t xml:space="preserve"> </w:t>
      </w:r>
      <w:hyperlink r:id="rId4201">
        <w:r>
          <w:rPr>
            <w:rStyle w:val="Hyperlink"/>
          </w:rPr>
          <w:t xml:space="preserve">https://doi.org/10.1523/jneurosci.2612-04.2005</w:t>
        </w:r>
      </w:hyperlink>
    </w:p>
    <w:p>
      <w:pPr>
        <w:pStyle w:val="ReferenceEntry"/>
      </w:pPr>
      <w:bookmarkStart w:id="4202" w:name="ref-807"/>
      <w:r>
        <w:t xml:space="preserve">[807]</w:t>
      </w:r>
      <w:bookmarkEnd w:id="4202"/>
      <w:r>
        <w:t xml:space="preserve"> Graybiel AM. Habits, Rituals, and the Evaluative Brain.</w:t>
      </w:r>
      <w:r>
        <w:t xml:space="preserve"> </w:t>
      </w:r>
      <w:r>
        <w:rPr>
          <w:iCs/>
          <w:i/>
        </w:rPr>
        <w:t xml:space="preserve">Annual Review of Neuroscience</w:t>
      </w:r>
      <w:r>
        <w:t xml:space="preserve">. 2008;31(1):359–387.</w:t>
      </w:r>
      <w:r>
        <w:t xml:space="preserve"> </w:t>
      </w:r>
      <w:hyperlink r:id="rId4203">
        <w:r>
          <w:rPr>
            <w:rStyle w:val="Hyperlink"/>
          </w:rPr>
          <w:t xml:space="preserve">https://doi.org/10.1146/annurev.neuro.29.051605.112851</w:t>
        </w:r>
      </w:hyperlink>
    </w:p>
    <w:p>
      <w:pPr>
        <w:pStyle w:val="ReferenceEntry"/>
      </w:pPr>
      <w:bookmarkStart w:id="4204" w:name="ref-808"/>
      <w:r>
        <w:t xml:space="preserve">[808]</w:t>
      </w:r>
      <w:bookmarkEnd w:id="4204"/>
      <w:r>
        <w:t xml:space="preserve"> Berridge KC, Kringelbach ML. Pleasure Systems in the Brain.</w:t>
      </w:r>
      <w:r>
        <w:t xml:space="preserve"> </w:t>
      </w:r>
      <w:r>
        <w:rPr>
          <w:iCs/>
          <w:i/>
        </w:rPr>
        <w:t xml:space="preserve">Neuron</w:t>
      </w:r>
      <w:r>
        <w:t xml:space="preserve">. 2015;86(3):646–664.</w:t>
      </w:r>
      <w:r>
        <w:t xml:space="preserve"> </w:t>
      </w:r>
      <w:hyperlink r:id="rId4205">
        <w:r>
          <w:rPr>
            <w:rStyle w:val="Hyperlink"/>
          </w:rPr>
          <w:t xml:space="preserve">https://doi.org/10.1016/j.neuron.2015.02.018</w:t>
        </w:r>
      </w:hyperlink>
    </w:p>
    <w:p>
      <w:pPr>
        <w:pStyle w:val="ReferenceEntry"/>
      </w:pPr>
      <w:bookmarkStart w:id="4206" w:name="ref-809"/>
      <w:r>
        <w:t xml:space="preserve">[809]</w:t>
      </w:r>
      <w:bookmarkEnd w:id="4206"/>
      <w:r>
        <w:t xml:space="preserve"> Halassa MM, Kastner S. Thalamic functions in distributed cognitive control.</w:t>
      </w:r>
      <w:r>
        <w:t xml:space="preserve"> </w:t>
      </w:r>
      <w:r>
        <w:rPr>
          <w:iCs/>
          <w:i/>
        </w:rPr>
        <w:t xml:space="preserve">Nature Neuroscience</w:t>
      </w:r>
      <w:r>
        <w:t xml:space="preserve">. 2017;20(12):1669–1679.</w:t>
      </w:r>
      <w:r>
        <w:t xml:space="preserve"> </w:t>
      </w:r>
      <w:hyperlink r:id="rId4207">
        <w:r>
          <w:rPr>
            <w:rStyle w:val="Hyperlink"/>
          </w:rPr>
          <w:t xml:space="preserve">https://doi.org/10.1038/s41593-017-0020-1</w:t>
        </w:r>
      </w:hyperlink>
    </w:p>
    <w:p>
      <w:pPr>
        <w:pStyle w:val="ReferenceEntry"/>
      </w:pPr>
      <w:bookmarkStart w:id="4208" w:name="ref-810"/>
      <w:r>
        <w:t xml:space="preserve">[810]</w:t>
      </w:r>
      <w:bookmarkEnd w:id="4208"/>
      <w:r>
        <w:t xml:space="preserve"> Redinbaugh MJ, Phillips JM, Kambi NA, et al. Thalamus Modulates Consciousness via Layer-Specific Control of Cortex.</w:t>
      </w:r>
      <w:r>
        <w:t xml:space="preserve"> </w:t>
      </w:r>
      <w:r>
        <w:rPr>
          <w:iCs/>
          <w:i/>
        </w:rPr>
        <w:t xml:space="preserve">Neuron</w:t>
      </w:r>
      <w:r>
        <w:t xml:space="preserve">. 2020;106(1):66–75.e12.</w:t>
      </w:r>
      <w:r>
        <w:t xml:space="preserve"> </w:t>
      </w:r>
      <w:hyperlink r:id="rId4209">
        <w:r>
          <w:rPr>
            <w:rStyle w:val="Hyperlink"/>
          </w:rPr>
          <w:t xml:space="preserve">https://doi.org/10.1016/j.neuron.2020.01.005</w:t>
        </w:r>
      </w:hyperlink>
    </w:p>
    <w:p>
      <w:pPr>
        <w:pStyle w:val="ReferenceEntry"/>
      </w:pPr>
      <w:bookmarkStart w:id="4210" w:name="ref-811"/>
      <w:r>
        <w:t xml:space="preserve">[811]</w:t>
      </w:r>
      <w:bookmarkEnd w:id="4210"/>
      <w:r>
        <w:t xml:space="preserve"> Herculano-Houzel S. The human brain in numbers: a linearly scaled-up primate brain.</w:t>
      </w:r>
      <w:r>
        <w:t xml:space="preserve"> </w:t>
      </w:r>
      <w:r>
        <w:rPr>
          <w:iCs/>
          <w:i/>
        </w:rPr>
        <w:t xml:space="preserve">Frontiers in Human Neuroscience</w:t>
      </w:r>
      <w:r>
        <w:t xml:space="preserve">. 2009;3:31.</w:t>
      </w:r>
      <w:r>
        <w:t xml:space="preserve"> </w:t>
      </w:r>
      <w:hyperlink r:id="rId4211">
        <w:r>
          <w:rPr>
            <w:rStyle w:val="Hyperlink"/>
          </w:rPr>
          <w:t xml:space="preserve">https://doi.org/10.3389/neuro.09.031.2009</w:t>
        </w:r>
      </w:hyperlink>
    </w:p>
    <w:p>
      <w:pPr>
        <w:pStyle w:val="ReferenceEntry"/>
      </w:pPr>
      <w:bookmarkStart w:id="4212" w:name="ref-812"/>
      <w:r>
        <w:t xml:space="preserve">[812]</w:t>
      </w:r>
      <w:bookmarkEnd w:id="4212"/>
      <w:r>
        <w:t xml:space="preserve"> Schmahmann JD, Sherman JC. The cerebellar cognitive affective syndrome.</w:t>
      </w:r>
      <w:r>
        <w:t xml:space="preserve"> </w:t>
      </w:r>
      <w:r>
        <w:rPr>
          <w:iCs/>
          <w:i/>
        </w:rPr>
        <w:t xml:space="preserve">Brain</w:t>
      </w:r>
      <w:r>
        <w:t xml:space="preserve">. 1998;121(4):561–579.</w:t>
      </w:r>
      <w:r>
        <w:t xml:space="preserve"> </w:t>
      </w:r>
      <w:hyperlink r:id="rId4213">
        <w:r>
          <w:rPr>
            <w:rStyle w:val="Hyperlink"/>
          </w:rPr>
          <w:t xml:space="preserve">https://doi.org/10.1093/brain/121.4.561</w:t>
        </w:r>
      </w:hyperlink>
    </w:p>
    <w:p>
      <w:pPr>
        <w:pStyle w:val="ReferenceEntry"/>
      </w:pPr>
      <w:bookmarkStart w:id="4214" w:name="ref-813"/>
      <w:r>
        <w:t xml:space="preserve">[813]</w:t>
      </w:r>
      <w:bookmarkEnd w:id="4214"/>
      <w:r>
        <w:t xml:space="preserve"> Buckner RL. The Cerebellum and Cognitive Function: 25 Years of Insight from Anatomy and Neuroimaging.</w:t>
      </w:r>
      <w:r>
        <w:t xml:space="preserve"> </w:t>
      </w:r>
      <w:r>
        <w:rPr>
          <w:iCs/>
          <w:i/>
        </w:rPr>
        <w:t xml:space="preserve">Neuron</w:t>
      </w:r>
      <w:r>
        <w:t xml:space="preserve">. 2013;80(3):807–815.</w:t>
      </w:r>
      <w:r>
        <w:t xml:space="preserve"> </w:t>
      </w:r>
      <w:hyperlink r:id="rId4215">
        <w:r>
          <w:rPr>
            <w:rStyle w:val="Hyperlink"/>
          </w:rPr>
          <w:t xml:space="preserve">https://doi.org/10.1016/j.neuron.2013.10.044</w:t>
        </w:r>
      </w:hyperlink>
    </w:p>
    <w:p>
      <w:pPr>
        <w:pStyle w:val="ReferenceEntry"/>
      </w:pPr>
      <w:bookmarkStart w:id="4216" w:name="ref-814"/>
      <w:r>
        <w:t xml:space="preserve">[814]</w:t>
      </w:r>
      <w:bookmarkEnd w:id="4216"/>
      <w:r>
        <w:t xml:space="preserve"> Douaud G, Jbabdi S, Behrens TE, et al. DTI measures in crossing-fibre areas: Increased diffusion anisotropy reveals early white matter alteration in MCI and mild Alzheimer's disease.</w:t>
      </w:r>
      <w:r>
        <w:t xml:space="preserve"> </w:t>
      </w:r>
      <w:r>
        <w:rPr>
          <w:iCs/>
          <w:i/>
        </w:rPr>
        <w:t xml:space="preserve">NeuroImage</w:t>
      </w:r>
      <w:r>
        <w:t xml:space="preserve">. 2011;55(3):880–890.</w:t>
      </w:r>
      <w:r>
        <w:t xml:space="preserve"> </w:t>
      </w:r>
      <w:hyperlink r:id="rId4217">
        <w:r>
          <w:rPr>
            <w:rStyle w:val="Hyperlink"/>
          </w:rPr>
          <w:t xml:space="preserve">https://doi.org/10.1016/j.neuroimage.2010.12.008</w:t>
        </w:r>
      </w:hyperlink>
    </w:p>
    <w:p>
      <w:pPr>
        <w:pStyle w:val="ReferenceEntry"/>
      </w:pPr>
      <w:bookmarkStart w:id="4218" w:name="ref-815"/>
      <w:r>
        <w:t xml:space="preserve">[815]</w:t>
      </w:r>
      <w:bookmarkEnd w:id="4218"/>
      <w:r>
        <w:t xml:space="preserve"> Crick FC, Koch C. What is the function of the claustrum?</w:t>
      </w:r>
      <w:r>
        <w:t xml:space="preserve"> </w:t>
      </w:r>
      <w:r>
        <w:rPr>
          <w:iCs/>
          <w:i/>
        </w:rPr>
        <w:t xml:space="preserve">Philosophical Transactions of the Royal Society B: Biological Sciences</w:t>
      </w:r>
      <w:r>
        <w:t xml:space="preserve">. 2005;360(1458):1271–1279.</w:t>
      </w:r>
      <w:r>
        <w:t xml:space="preserve"> </w:t>
      </w:r>
      <w:hyperlink r:id="rId4219">
        <w:r>
          <w:rPr>
            <w:rStyle w:val="Hyperlink"/>
          </w:rPr>
          <w:t xml:space="preserve">https://doi.org/10.1098/rstb.2005.1661</w:t>
        </w:r>
      </w:hyperlink>
    </w:p>
    <w:p>
      <w:pPr>
        <w:pStyle w:val="ReferenceEntry"/>
      </w:pPr>
      <w:bookmarkStart w:id="4220" w:name="ref-816"/>
      <w:r>
        <w:t xml:space="preserve">[816]</w:t>
      </w:r>
      <w:bookmarkEnd w:id="4220"/>
      <w:r>
        <w:t xml:space="preserve"> Koubeissi MZ, Bartolomei F, Beltagy A, et al. Electrical stimulation of a small brain area reversibly disrupts consciousness.</w:t>
      </w:r>
      <w:r>
        <w:t xml:space="preserve"> </w:t>
      </w:r>
      <w:r>
        <w:rPr>
          <w:iCs/>
          <w:i/>
        </w:rPr>
        <w:t xml:space="preserve">Epilepsy &amp; Behavior</w:t>
      </w:r>
      <w:r>
        <w:t xml:space="preserve">. 2014;37:32–35.</w:t>
      </w:r>
      <w:r>
        <w:t xml:space="preserve"> </w:t>
      </w:r>
      <w:hyperlink r:id="rId4221">
        <w:r>
          <w:rPr>
            <w:rStyle w:val="Hyperlink"/>
          </w:rPr>
          <w:t xml:space="preserve">https://doi.org/10.1016/j.yebeh.2014.05.027</w:t>
        </w:r>
      </w:hyperlink>
    </w:p>
    <w:p>
      <w:pPr>
        <w:pStyle w:val="ReferenceEntry"/>
      </w:pPr>
      <w:bookmarkStart w:id="4222" w:name="ref-817"/>
      <w:r>
        <w:t xml:space="preserve">[817]</w:t>
      </w:r>
      <w:bookmarkEnd w:id="4222"/>
      <w:r>
        <w:t xml:space="preserve"> Bickel S, Parvizi J. Electrical stimulation of the human claustrum.</w:t>
      </w:r>
      <w:r>
        <w:t xml:space="preserve"> </w:t>
      </w:r>
      <w:r>
        <w:rPr>
          <w:iCs/>
          <w:i/>
        </w:rPr>
        <w:t xml:space="preserve">Epilepsy &amp; Behavior</w:t>
      </w:r>
      <w:r>
        <w:t xml:space="preserve">. 2019;97:296–303.</w:t>
      </w:r>
      <w:r>
        <w:t xml:space="preserve"> </w:t>
      </w:r>
      <w:hyperlink r:id="rId4223">
        <w:r>
          <w:rPr>
            <w:rStyle w:val="Hyperlink"/>
          </w:rPr>
          <w:t xml:space="preserve">https://doi.org/10.1016/j.yebeh.2019.03.051</w:t>
        </w:r>
      </w:hyperlink>
    </w:p>
    <w:p>
      <w:pPr>
        <w:pStyle w:val="ReferenceEntry"/>
      </w:pPr>
      <w:bookmarkStart w:id="4224" w:name="ref-818"/>
      <w:r>
        <w:t xml:space="preserve">[818]</w:t>
      </w:r>
      <w:bookmarkEnd w:id="4224"/>
      <w:r>
        <w:t xml:space="preserve"> Narikiyo K, Mizuguchi R, Ajima A, et al. The claustrum coordinates cortical slow-wave activity.</w:t>
      </w:r>
      <w:r>
        <w:t xml:space="preserve"> </w:t>
      </w:r>
      <w:r>
        <w:rPr>
          <w:iCs/>
          <w:i/>
        </w:rPr>
        <w:t xml:space="preserve">Nature Neuroscience</w:t>
      </w:r>
      <w:r>
        <w:t xml:space="preserve">. 2020;23(6):741–753.</w:t>
      </w:r>
      <w:r>
        <w:t xml:space="preserve"> </w:t>
      </w:r>
      <w:hyperlink r:id="rId4225">
        <w:r>
          <w:rPr>
            <w:rStyle w:val="Hyperlink"/>
          </w:rPr>
          <w:t xml:space="preserve">https://doi.org/10.1038/s41593-020-0625-7</w:t>
        </w:r>
      </w:hyperlink>
    </w:p>
    <w:p>
      <w:pPr>
        <w:pStyle w:val="ReferenceEntry"/>
      </w:pPr>
      <w:bookmarkStart w:id="4226" w:name="ref-819"/>
      <w:r>
        <w:t xml:space="preserve">[819]</w:t>
      </w:r>
      <w:bookmarkEnd w:id="4226"/>
      <w:r>
        <w:t xml:space="preserve"> Atlan G, Terem A, Peretz-Rivlin N, et al. The Claustrum Supports Resilience to Distraction.</w:t>
      </w:r>
      <w:r>
        <w:t xml:space="preserve"> </w:t>
      </w:r>
      <w:r>
        <w:rPr>
          <w:iCs/>
          <w:i/>
        </w:rPr>
        <w:t xml:space="preserve">Current Biology</w:t>
      </w:r>
      <w:r>
        <w:t xml:space="preserve">. 2018;28(17):2752–2762.e7.</w:t>
      </w:r>
      <w:r>
        <w:t xml:space="preserve"> </w:t>
      </w:r>
      <w:hyperlink r:id="rId4227">
        <w:r>
          <w:rPr>
            <w:rStyle w:val="Hyperlink"/>
          </w:rPr>
          <w:t xml:space="preserve">https://doi.org/10.1016/j.cub.2018.06.068</w:t>
        </w:r>
      </w:hyperlink>
    </w:p>
    <w:p>
      <w:pPr>
        <w:pStyle w:val="ReferenceEntry"/>
      </w:pPr>
      <w:bookmarkStart w:id="4228" w:name="ref-820"/>
      <w:r>
        <w:t xml:space="preserve">[820]</w:t>
      </w:r>
      <w:bookmarkEnd w:id="4228"/>
      <w:r>
        <w:t xml:space="preserve"> Nichols DE. N,N -dimethyltryptamine and the pineal gland: Separating fact from myth.</w:t>
      </w:r>
      <w:r>
        <w:t xml:space="preserve"> </w:t>
      </w:r>
      <w:r>
        <w:rPr>
          <w:iCs/>
          <w:i/>
        </w:rPr>
        <w:t xml:space="preserve">Journal of Psychopharmacology</w:t>
      </w:r>
      <w:r>
        <w:t xml:space="preserve">. 2018;32(1):30–36.</w:t>
      </w:r>
      <w:r>
        <w:t xml:space="preserve"> </w:t>
      </w:r>
      <w:hyperlink r:id="rId4229">
        <w:r>
          <w:rPr>
            <w:rStyle w:val="Hyperlink"/>
          </w:rPr>
          <w:t xml:space="preserve">https://doi.org/10.1177/0269881117736919</w:t>
        </w:r>
      </w:hyperlink>
    </w:p>
    <w:p>
      <w:pPr>
        <w:pStyle w:val="ReferenceEntry"/>
      </w:pPr>
      <w:bookmarkStart w:id="4230" w:name="ref-821"/>
      <w:r>
        <w:t xml:space="preserve">[821]</w:t>
      </w:r>
      <w:bookmarkEnd w:id="4230"/>
      <w:r>
        <w:t xml:space="preserve"> Dean JG, Liu T, Huff S, et al. Biosynthesis and Extracellular Concentrations of N,N-dimethyltryptamine (DMT) in Mammalian Brain.</w:t>
      </w:r>
      <w:r>
        <w:t xml:space="preserve"> </w:t>
      </w:r>
      <w:r>
        <w:rPr>
          <w:iCs/>
          <w:i/>
        </w:rPr>
        <w:t xml:space="preserve">Scientific Reports</w:t>
      </w:r>
      <w:r>
        <w:t xml:space="preserve">. 2019;9(1):9333.</w:t>
      </w:r>
      <w:r>
        <w:t xml:space="preserve"> </w:t>
      </w:r>
      <w:hyperlink r:id="rId4231">
        <w:r>
          <w:rPr>
            <w:rStyle w:val="Hyperlink"/>
          </w:rPr>
          <w:t xml:space="preserve">https://doi.org/10.1038/s41598-019-45812-w</w:t>
        </w:r>
      </w:hyperlink>
    </w:p>
    <w:p>
      <w:pPr>
        <w:pStyle w:val="ReferenceEntry"/>
      </w:pPr>
      <w:bookmarkStart w:id="4232" w:name="ref-822"/>
      <w:r>
        <w:t xml:space="preserve">[822]</w:t>
      </w:r>
      <w:bookmarkEnd w:id="4232"/>
      <w:r>
        <w:t xml:space="preserve"> Del Brutto OH, Mera RM, Arias EE, et al. Automated measurement of pineal gland calcification volumes and sleep quality in adults living in costal Ecuador.</w:t>
      </w:r>
      <w:r>
        <w:t xml:space="preserve"> </w:t>
      </w:r>
      <w:r>
        <w:rPr>
          <w:iCs/>
          <w:i/>
        </w:rPr>
        <w:t xml:space="preserve">Arquivos de Neuro-Psiquiatria</w:t>
      </w:r>
      <w:r>
        <w:t xml:space="preserve">. 2026;84(1):1–5.</w:t>
      </w:r>
      <w:r>
        <w:t xml:space="preserve"> </w:t>
      </w:r>
      <w:hyperlink r:id="rId4233">
        <w:r>
          <w:rPr>
            <w:rStyle w:val="Hyperlink"/>
          </w:rPr>
          <w:t xml:space="preserve">https://doi.org/10.1055/s-0045-1814399</w:t>
        </w:r>
      </w:hyperlink>
    </w:p>
    <w:p>
      <w:pPr>
        <w:pStyle w:val="ReferenceEntry"/>
      </w:pPr>
      <w:bookmarkStart w:id="4234" w:name="ref-823"/>
      <w:r>
        <w:t xml:space="preserve">[823]</w:t>
      </w:r>
      <w:bookmarkEnd w:id="4234"/>
      <w:r>
        <w:t xml:space="preserve"> Shulman GL, Fiez JA, Corbetta M, et al. Common Blood Flow Changes across Visual Tasks: II. Decreases in Cerebral Cortex.</w:t>
      </w:r>
      <w:r>
        <w:t xml:space="preserve"> </w:t>
      </w:r>
      <w:r>
        <w:rPr>
          <w:iCs/>
          <w:i/>
        </w:rPr>
        <w:t xml:space="preserve">Journal of Cognitive Neuroscience</w:t>
      </w:r>
      <w:r>
        <w:t xml:space="preserve">. 1997;9(5):648–663.</w:t>
      </w:r>
      <w:r>
        <w:t xml:space="preserve"> </w:t>
      </w:r>
      <w:hyperlink r:id="rId4235">
        <w:r>
          <w:rPr>
            <w:rStyle w:val="Hyperlink"/>
          </w:rPr>
          <w:t xml:space="preserve">https://doi.org/10.1162/jocn.1997.9.5.648</w:t>
        </w:r>
      </w:hyperlink>
    </w:p>
    <w:p>
      <w:pPr>
        <w:pStyle w:val="ReferenceEntry"/>
      </w:pPr>
      <w:bookmarkStart w:id="4236" w:name="ref-824"/>
      <w:r>
        <w:t xml:space="preserve">[824]</w:t>
      </w:r>
      <w:bookmarkEnd w:id="4236"/>
      <w:r>
        <w:t xml:space="preserve"> Raichle ME, MacLeod AM, Snyder AZ, et al. A default mode of brain function.</w:t>
      </w:r>
      <w:r>
        <w:t xml:space="preserve"> </w:t>
      </w:r>
      <w:r>
        <w:rPr>
          <w:iCs/>
          <w:i/>
        </w:rPr>
        <w:t xml:space="preserve">Proceedings of the National Academy of Sciences</w:t>
      </w:r>
      <w:r>
        <w:t xml:space="preserve">. 2001;98(2):676–682.</w:t>
      </w:r>
      <w:r>
        <w:t xml:space="preserve"> </w:t>
      </w:r>
      <w:hyperlink r:id="rId4237">
        <w:r>
          <w:rPr>
            <w:rStyle w:val="Hyperlink"/>
          </w:rPr>
          <w:t xml:space="preserve">https://doi.org/10.1073/pnas.98.2.676</w:t>
        </w:r>
      </w:hyperlink>
    </w:p>
    <w:p>
      <w:pPr>
        <w:pStyle w:val="ReferenceEntry"/>
      </w:pPr>
      <w:bookmarkStart w:id="4238" w:name="ref-825"/>
      <w:r>
        <w:t xml:space="preserve">[825]</w:t>
      </w:r>
      <w:bookmarkEnd w:id="4238"/>
      <w:r>
        <w:t xml:space="preserve"> Buckner RL, Andrews-Hanna JR, Schacter DL. The Brain's Default Network: Anatomy, Function, and Relevance to Disease.</w:t>
      </w:r>
      <w:r>
        <w:t xml:space="preserve"> </w:t>
      </w:r>
      <w:r>
        <w:rPr>
          <w:iCs/>
          <w:i/>
        </w:rPr>
        <w:t xml:space="preserve">Annals of the New York Academy of Sciences</w:t>
      </w:r>
      <w:r>
        <w:t xml:space="preserve">. 2008;1124(1):1–38.</w:t>
      </w:r>
      <w:r>
        <w:t xml:space="preserve"> </w:t>
      </w:r>
      <w:hyperlink r:id="rId4239">
        <w:r>
          <w:rPr>
            <w:rStyle w:val="Hyperlink"/>
          </w:rPr>
          <w:t xml:space="preserve">https://doi.org/10.1196/annals.1440.011</w:t>
        </w:r>
      </w:hyperlink>
    </w:p>
    <w:p>
      <w:pPr>
        <w:pStyle w:val="ReferenceEntry"/>
      </w:pPr>
      <w:bookmarkStart w:id="4240" w:name="ref-826"/>
      <w:r>
        <w:t xml:space="preserve">[826]</w:t>
      </w:r>
      <w:bookmarkEnd w:id="4240"/>
      <w:r>
        <w:t xml:space="preserve"> Andrews-Hanna JR, Smallwood J, Spreng RN. The default network and self‐generated thought: component processes, dynamic control, and clinical relevance.</w:t>
      </w:r>
      <w:r>
        <w:t xml:space="preserve"> </w:t>
      </w:r>
      <w:r>
        <w:rPr>
          <w:iCs/>
          <w:i/>
        </w:rPr>
        <w:t xml:space="preserve">Annals of the New York Academy of Sciences</w:t>
      </w:r>
      <w:r>
        <w:t xml:space="preserve">. 2014;1316(1):29–52.</w:t>
      </w:r>
      <w:r>
        <w:t xml:space="preserve"> </w:t>
      </w:r>
      <w:hyperlink r:id="rId4241">
        <w:r>
          <w:rPr>
            <w:rStyle w:val="Hyperlink"/>
          </w:rPr>
          <w:t xml:space="preserve">https://doi.org/10.1111/nyas.12360</w:t>
        </w:r>
      </w:hyperlink>
    </w:p>
    <w:p>
      <w:pPr>
        <w:pStyle w:val="ReferenceEntry"/>
      </w:pPr>
      <w:bookmarkStart w:id="4242" w:name="ref-827"/>
      <w:r>
        <w:t xml:space="preserve">[827]</w:t>
      </w:r>
      <w:bookmarkEnd w:id="4242"/>
      <w:r>
        <w:t xml:space="preserve"> Crittenden BM, Mitchell DJ, Duncan J. Recruitment of the default mode network during a demanding act of executive control.</w:t>
      </w:r>
      <w:r>
        <w:t xml:space="preserve"> </w:t>
      </w:r>
      <w:r>
        <w:rPr>
          <w:iCs/>
          <w:i/>
        </w:rPr>
        <w:t xml:space="preserve">eLife</w:t>
      </w:r>
      <w:r>
        <w:t xml:space="preserve">. 2015;4:e06481.</w:t>
      </w:r>
      <w:r>
        <w:t xml:space="preserve"> </w:t>
      </w:r>
      <w:hyperlink r:id="rId4243">
        <w:r>
          <w:rPr>
            <w:rStyle w:val="Hyperlink"/>
          </w:rPr>
          <w:t xml:space="preserve">https://doi.org/10.7554/elife.06481</w:t>
        </w:r>
      </w:hyperlink>
    </w:p>
    <w:p>
      <w:pPr>
        <w:pStyle w:val="ReferenceEntry"/>
      </w:pPr>
      <w:bookmarkStart w:id="4244" w:name="ref-828"/>
      <w:r>
        <w:t xml:space="preserve">[828]</w:t>
      </w:r>
      <w:bookmarkEnd w:id="4244"/>
      <w:r>
        <w:t xml:space="preserve"> Vincent JL, Patel GH, Fox MD, et al. Intrinsic functional architecture in the anaesthetized monkey brain.</w:t>
      </w:r>
      <w:r>
        <w:t xml:space="preserve"> </w:t>
      </w:r>
      <w:r>
        <w:rPr>
          <w:iCs/>
          <w:i/>
        </w:rPr>
        <w:t xml:space="preserve">Nature</w:t>
      </w:r>
      <w:r>
        <w:t xml:space="preserve">. 2007;447(7140):83–86.</w:t>
      </w:r>
      <w:r>
        <w:t xml:space="preserve"> </w:t>
      </w:r>
      <w:hyperlink r:id="rId4245">
        <w:r>
          <w:rPr>
            <w:rStyle w:val="Hyperlink"/>
          </w:rPr>
          <w:t xml:space="preserve">https://doi.org/10.1038/nature05758</w:t>
        </w:r>
      </w:hyperlink>
    </w:p>
    <w:p>
      <w:pPr>
        <w:pStyle w:val="ReferenceEntry"/>
      </w:pPr>
      <w:bookmarkStart w:id="4246" w:name="ref-829"/>
      <w:r>
        <w:t xml:space="preserve">[829]</w:t>
      </w:r>
      <w:bookmarkEnd w:id="4246"/>
      <w:r>
        <w:t xml:space="preserve"> Davey CG, Pujol J, Harrison BJ. Mapping the self in the brain's default mode network.</w:t>
      </w:r>
      <w:r>
        <w:t xml:space="preserve"> </w:t>
      </w:r>
      <w:r>
        <w:rPr>
          <w:iCs/>
          <w:i/>
        </w:rPr>
        <w:t xml:space="preserve">NeuroImage</w:t>
      </w:r>
      <w:r>
        <w:t xml:space="preserve">. 2016;132:390–397.</w:t>
      </w:r>
      <w:r>
        <w:t xml:space="preserve"> </w:t>
      </w:r>
      <w:hyperlink r:id="rId4247">
        <w:r>
          <w:rPr>
            <w:rStyle w:val="Hyperlink"/>
          </w:rPr>
          <w:t xml:space="preserve">https://doi.org/10.1016/j.neuroimage.2016.02.022</w:t>
        </w:r>
      </w:hyperlink>
    </w:p>
    <w:p>
      <w:pPr>
        <w:pStyle w:val="ReferenceEntry"/>
      </w:pPr>
      <w:bookmarkStart w:id="4248" w:name="ref-830"/>
      <w:r>
        <w:t xml:space="preserve">[830]</w:t>
      </w:r>
      <w:bookmarkEnd w:id="4248"/>
      <w:r>
        <w:t xml:space="preserve"> Zhou HX, Chen X, Shen YQ, et al. Rumination and the default mode network: Meta-analysis of brain imaging studies and implications for depression.</w:t>
      </w:r>
      <w:r>
        <w:t xml:space="preserve"> </w:t>
      </w:r>
      <w:r>
        <w:rPr>
          <w:iCs/>
          <w:i/>
        </w:rPr>
        <w:t xml:space="preserve">NeuroImage</w:t>
      </w:r>
      <w:r>
        <w:t xml:space="preserve">. 2020;206:116287.</w:t>
      </w:r>
      <w:r>
        <w:t xml:space="preserve"> </w:t>
      </w:r>
      <w:hyperlink r:id="rId4249">
        <w:r>
          <w:rPr>
            <w:rStyle w:val="Hyperlink"/>
          </w:rPr>
          <w:t xml:space="preserve">https://doi.org/10.1016/j.neuroimage.2019.116287</w:t>
        </w:r>
      </w:hyperlink>
    </w:p>
    <w:p>
      <w:pPr>
        <w:pStyle w:val="ReferenceEntry"/>
      </w:pPr>
      <w:bookmarkStart w:id="4250" w:name="ref-831"/>
      <w:r>
        <w:t xml:space="preserve">[831]</w:t>
      </w:r>
      <w:bookmarkEnd w:id="4250"/>
      <w:r>
        <w:t xml:space="preserve"> Yan CG, Chen X, Li L, et al. Reduced default mode network functional connectivity in patients with recurrent major depressive disorder.</w:t>
      </w:r>
      <w:r>
        <w:t xml:space="preserve"> </w:t>
      </w:r>
      <w:r>
        <w:rPr>
          <w:iCs/>
          <w:i/>
        </w:rPr>
        <w:t xml:space="preserve">Proceedings of the National Academy of Sciences</w:t>
      </w:r>
      <w:r>
        <w:t xml:space="preserve">. 2019;116(18):9078–9083.</w:t>
      </w:r>
      <w:r>
        <w:t xml:space="preserve"> </w:t>
      </w:r>
      <w:hyperlink r:id="rId4251">
        <w:r>
          <w:rPr>
            <w:rStyle w:val="Hyperlink"/>
          </w:rPr>
          <w:t xml:space="preserve">https://doi.org/10.1073/pnas.1900390116</w:t>
        </w:r>
      </w:hyperlink>
    </w:p>
    <w:p>
      <w:pPr>
        <w:pStyle w:val="ReferenceEntry"/>
      </w:pPr>
      <w:bookmarkStart w:id="4252" w:name="ref-832"/>
      <w:r>
        <w:t xml:space="preserve">[832]</w:t>
      </w:r>
      <w:bookmarkEnd w:id="4252"/>
      <w:r>
        <w:t xml:space="preserve"> Tozzi L, Zhang X, Chesnut M, et al. Reduced functional connectivity of default mode network subsystems in depression: Meta-analytic evidence and relationship with trait rumination.</w:t>
      </w:r>
      <w:r>
        <w:t xml:space="preserve"> </w:t>
      </w:r>
      <w:r>
        <w:rPr>
          <w:iCs/>
          <w:i/>
        </w:rPr>
        <w:t xml:space="preserve">NeuroImage: Clinical</w:t>
      </w:r>
      <w:r>
        <w:t xml:space="preserve">. 2021;30:102570.</w:t>
      </w:r>
      <w:r>
        <w:t xml:space="preserve"> </w:t>
      </w:r>
      <w:hyperlink r:id="rId4253">
        <w:r>
          <w:rPr>
            <w:rStyle w:val="Hyperlink"/>
          </w:rPr>
          <w:t xml:space="preserve">https://doi.org/10.1016/j.nicl.2021.102570</w:t>
        </w:r>
      </w:hyperlink>
    </w:p>
    <w:p>
      <w:pPr>
        <w:pStyle w:val="ReferenceEntry"/>
      </w:pPr>
      <w:bookmarkStart w:id="4254" w:name="ref-833"/>
      <w:r>
        <w:t xml:space="preserve">[833]</w:t>
      </w:r>
      <w:bookmarkEnd w:id="4254"/>
      <w:r>
        <w:t xml:space="preserve"> Hamilton JP, Farmer M, Fogelman P, et al. Depressive Rumination, the Default-Mode Network, and the Dark Matter of Clinical Neuroscience.</w:t>
      </w:r>
      <w:r>
        <w:t xml:space="preserve"> </w:t>
      </w:r>
      <w:r>
        <w:rPr>
          <w:iCs/>
          <w:i/>
        </w:rPr>
        <w:t xml:space="preserve">Biological Psychiatry</w:t>
      </w:r>
      <w:r>
        <w:t xml:space="preserve">. 2015;78(4):224–230.</w:t>
      </w:r>
      <w:r>
        <w:t xml:space="preserve"> </w:t>
      </w:r>
      <w:hyperlink r:id="rId4255">
        <w:r>
          <w:rPr>
            <w:rStyle w:val="Hyperlink"/>
          </w:rPr>
          <w:t xml:space="preserve">https://doi.org/10.1016/j.biopsych.2015.02.020</w:t>
        </w:r>
      </w:hyperlink>
    </w:p>
    <w:p>
      <w:pPr>
        <w:pStyle w:val="ReferenceEntry"/>
      </w:pPr>
      <w:bookmarkStart w:id="4256" w:name="ref-834"/>
      <w:r>
        <w:t xml:space="preserve">[834]</w:t>
      </w:r>
      <w:bookmarkEnd w:id="4256"/>
      <w:r>
        <w:t xml:space="preserve"> Seeley WW, Menon V, Schatzberg AF, et al. Dissociable Intrinsic Connectivity Networks for Salience Processing and Executive Control.</w:t>
      </w:r>
      <w:r>
        <w:t xml:space="preserve"> </w:t>
      </w:r>
      <w:r>
        <w:rPr>
          <w:iCs/>
          <w:i/>
        </w:rPr>
        <w:t xml:space="preserve">The Journal of Neuroscience</w:t>
      </w:r>
      <w:r>
        <w:t xml:space="preserve">. 2007;27(9):2349–2356.</w:t>
      </w:r>
      <w:r>
        <w:t xml:space="preserve"> </w:t>
      </w:r>
      <w:hyperlink r:id="rId4257">
        <w:r>
          <w:rPr>
            <w:rStyle w:val="Hyperlink"/>
          </w:rPr>
          <w:t xml:space="preserve">https://doi.org/10.1523/jneurosci.5587-06.2007</w:t>
        </w:r>
      </w:hyperlink>
    </w:p>
    <w:p>
      <w:pPr>
        <w:pStyle w:val="ReferenceEntry"/>
      </w:pPr>
      <w:bookmarkStart w:id="4258" w:name="ref-835"/>
      <w:r>
        <w:t xml:space="preserve">[835]</w:t>
      </w:r>
      <w:bookmarkEnd w:id="4258"/>
      <w:r>
        <w:t xml:space="preserve"> Menon V. Large-scale brain networks and psychopathology: a unifying triple network model.</w:t>
      </w:r>
      <w:r>
        <w:t xml:space="preserve"> </w:t>
      </w:r>
      <w:r>
        <w:rPr>
          <w:iCs/>
          <w:i/>
        </w:rPr>
        <w:t xml:space="preserve">Trends in Cognitive Sciences</w:t>
      </w:r>
      <w:r>
        <w:t xml:space="preserve">. 2011;15(10):483–506.</w:t>
      </w:r>
      <w:r>
        <w:t xml:space="preserve"> </w:t>
      </w:r>
      <w:hyperlink r:id="rId4259">
        <w:r>
          <w:rPr>
            <w:rStyle w:val="Hyperlink"/>
          </w:rPr>
          <w:t xml:space="preserve">https://doi.org/10.1016/j.tics.2011.08.003</w:t>
        </w:r>
      </w:hyperlink>
    </w:p>
    <w:p>
      <w:pPr>
        <w:pStyle w:val="ReferenceEntry"/>
      </w:pPr>
      <w:bookmarkStart w:id="4260" w:name="ref-836"/>
      <w:r>
        <w:t xml:space="preserve">[836]</w:t>
      </w:r>
      <w:bookmarkEnd w:id="4260"/>
      <w:r>
        <w:t xml:space="preserve"> Menon V, Cerri D, Lee B, et al. Optogenetic stimulation of anterior insular cortex neurons in male rats reveals causal mechanisms underlying suppression of the default mode network by the salience network.</w:t>
      </w:r>
      <w:r>
        <w:t xml:space="preserve"> </w:t>
      </w:r>
      <w:r>
        <w:rPr>
          <w:iCs/>
          <w:i/>
        </w:rPr>
        <w:t xml:space="preserve">Nature Communications</w:t>
      </w:r>
      <w:r>
        <w:t xml:space="preserve">. 2023;14(1):866.</w:t>
      </w:r>
      <w:r>
        <w:t xml:space="preserve"> </w:t>
      </w:r>
      <w:hyperlink r:id="rId4261">
        <w:r>
          <w:rPr>
            <w:rStyle w:val="Hyperlink"/>
          </w:rPr>
          <w:t xml:space="preserve">https://doi.org/10.1038/s41467-023-36616-8</w:t>
        </w:r>
      </w:hyperlink>
    </w:p>
    <w:p>
      <w:pPr>
        <w:pStyle w:val="ReferenceEntry"/>
      </w:pPr>
      <w:bookmarkStart w:id="4262" w:name="ref-837"/>
      <w:r>
        <w:t xml:space="preserve">[837]</w:t>
      </w:r>
      <w:bookmarkEnd w:id="4262"/>
      <w:r>
        <w:t xml:space="preserve"> Das A, Menon V. Electrophysiological dynamics of salience, default mode, and frontoparietal networks during episodic memory formation and recall revealed through multi-experiment iEEG replication.</w:t>
      </w:r>
      <w:r>
        <w:t xml:space="preserve"> </w:t>
      </w:r>
      <w:r>
        <w:rPr>
          <w:iCs/>
          <w:i/>
        </w:rPr>
        <w:t xml:space="preserve">eLife</w:t>
      </w:r>
      <w:r>
        <w:t xml:space="preserve">. 2024;13:RP99018.</w:t>
      </w:r>
      <w:r>
        <w:t xml:space="preserve"> </w:t>
      </w:r>
      <w:hyperlink r:id="rId4263">
        <w:r>
          <w:rPr>
            <w:rStyle w:val="Hyperlink"/>
          </w:rPr>
          <w:t xml:space="preserve">https://doi.org/10.7554/elife.99018</w:t>
        </w:r>
      </w:hyperlink>
    </w:p>
    <w:p>
      <w:pPr>
        <w:pStyle w:val="ReferenceEntry"/>
      </w:pPr>
      <w:bookmarkStart w:id="4264" w:name="ref-838"/>
      <w:r>
        <w:t xml:space="preserve">[838]</w:t>
      </w:r>
      <w:bookmarkEnd w:id="4264"/>
      <w:r>
        <w:t xml:space="preserve"> Vincent JL, Kahn I, Snyder AZ, et al. Evidence for a Frontoparietal Control System Revealed by Intrinsic Functional Connectivity.</w:t>
      </w:r>
      <w:r>
        <w:t xml:space="preserve"> </w:t>
      </w:r>
      <w:r>
        <w:rPr>
          <w:iCs/>
          <w:i/>
        </w:rPr>
        <w:t xml:space="preserve">Journal of Neurophysiology</w:t>
      </w:r>
      <w:r>
        <w:t xml:space="preserve">. 2008;100(6):3328–3342.</w:t>
      </w:r>
      <w:r>
        <w:t xml:space="preserve"> </w:t>
      </w:r>
      <w:hyperlink r:id="rId4265">
        <w:r>
          <w:rPr>
            <w:rStyle w:val="Hyperlink"/>
          </w:rPr>
          <w:t xml:space="preserve">https://doi.org/10.1152/jn.90355.2008</w:t>
        </w:r>
      </w:hyperlink>
    </w:p>
    <w:p>
      <w:pPr>
        <w:pStyle w:val="ReferenceEntry"/>
      </w:pPr>
      <w:bookmarkStart w:id="4266" w:name="ref-839"/>
      <w:r>
        <w:t xml:space="preserve">[839]</w:t>
      </w:r>
      <w:bookmarkEnd w:id="4266"/>
      <w:r>
        <w:t xml:space="preserve"> Petersen SE, Posner MI. The Attention System of the Human Brain: 20 Years After.</w:t>
      </w:r>
      <w:r>
        <w:t xml:space="preserve"> </w:t>
      </w:r>
      <w:r>
        <w:rPr>
          <w:iCs/>
          <w:i/>
        </w:rPr>
        <w:t xml:space="preserve">Annual Review of Neuroscience</w:t>
      </w:r>
      <w:r>
        <w:t xml:space="preserve">. 2012;35(1):73–89.</w:t>
      </w:r>
      <w:r>
        <w:t xml:space="preserve"> </w:t>
      </w:r>
      <w:hyperlink r:id="rId4267">
        <w:r>
          <w:rPr>
            <w:rStyle w:val="Hyperlink"/>
          </w:rPr>
          <w:t xml:space="preserve">https://doi.org/10.1146/annurev-neuro-062111-150525</w:t>
        </w:r>
      </w:hyperlink>
    </w:p>
    <w:p>
      <w:pPr>
        <w:pStyle w:val="ReferenceEntry"/>
      </w:pPr>
      <w:bookmarkStart w:id="4268" w:name="ref-840"/>
      <w:r>
        <w:t xml:space="preserve">[840]</w:t>
      </w:r>
      <w:bookmarkEnd w:id="4268"/>
      <w:r>
        <w:t xml:space="preserve"> Macleod JW, Lawrence MA, McConnell MM, et al. Appraising the ANT: Psychometric and theoretical considerations of the Attention Network Test.</w:t>
      </w:r>
      <w:r>
        <w:t xml:space="preserve"> </w:t>
      </w:r>
      <w:r>
        <w:rPr>
          <w:iCs/>
          <w:i/>
        </w:rPr>
        <w:t xml:space="preserve">Neuropsychology</w:t>
      </w:r>
      <w:r>
        <w:t xml:space="preserve">. 2010;24(5):637–651.</w:t>
      </w:r>
      <w:r>
        <w:t xml:space="preserve"> </w:t>
      </w:r>
      <w:hyperlink r:id="rId4269">
        <w:r>
          <w:rPr>
            <w:rStyle w:val="Hyperlink"/>
          </w:rPr>
          <w:t xml:space="preserve">https://doi.org/10.1037/a0019803</w:t>
        </w:r>
      </w:hyperlink>
    </w:p>
    <w:p>
      <w:pPr>
        <w:pStyle w:val="ReferenceEntry"/>
      </w:pPr>
      <w:bookmarkStart w:id="4270" w:name="ref-841"/>
      <w:r>
        <w:t xml:space="preserve">[841]</w:t>
      </w:r>
      <w:bookmarkEnd w:id="4270"/>
      <w:r>
        <w:t xml:space="preserve"> Fujimura H, Altar CA, Chen R, et al. Brain-derived neurotrophic factor is stored in human platelets and released by agonist stimulation.</w:t>
      </w:r>
      <w:r>
        <w:t xml:space="preserve"> </w:t>
      </w:r>
      <w:r>
        <w:rPr>
          <w:iCs/>
          <w:i/>
        </w:rPr>
        <w:t xml:space="preserve">Thrombosis and Haemostasis</w:t>
      </w:r>
      <w:r>
        <w:t xml:space="preserve">. 2002;87(4):728–734.</w:t>
      </w:r>
      <w:r>
        <w:t xml:space="preserve"> </w:t>
      </w:r>
      <w:hyperlink r:id="rId4271">
        <w:r>
          <w:rPr>
            <w:rStyle w:val="Hyperlink"/>
          </w:rPr>
          <w:t xml:space="preserve">PMID: 12008958</w:t>
        </w:r>
      </w:hyperlink>
    </w:p>
    <w:p>
      <w:pPr>
        <w:pStyle w:val="ReferenceEntry"/>
      </w:pPr>
      <w:bookmarkStart w:id="4272" w:name="ref-842"/>
      <w:r>
        <w:t xml:space="preserve">[842]</w:t>
      </w:r>
      <w:bookmarkEnd w:id="4272"/>
      <w:r>
        <w:t xml:space="preserve"> McCullough ME, Churchland PS, Mendez AJ. Problems with measuring peripheral oxytocin: Can the data on oxytocin and human behavior be trusted?</w:t>
      </w:r>
      <w:r>
        <w:t xml:space="preserve"> </w:t>
      </w:r>
      <w:r>
        <w:rPr>
          <w:iCs/>
          <w:i/>
        </w:rPr>
        <w:t xml:space="preserve">Neuroscience &amp; Biobehavioral Reviews</w:t>
      </w:r>
      <w:r>
        <w:t xml:space="preserve">. 2013;37(8):1485–1492.</w:t>
      </w:r>
      <w:r>
        <w:t xml:space="preserve"> </w:t>
      </w:r>
      <w:hyperlink r:id="rId4273">
        <w:r>
          <w:rPr>
            <w:rStyle w:val="Hyperlink"/>
          </w:rPr>
          <w:t xml:space="preserve">https://doi.org/10.1016/j.neubiorev.2013.04.018</w:t>
        </w:r>
      </w:hyperlink>
    </w:p>
    <w:p>
      <w:pPr>
        <w:pStyle w:val="ReferenceEntry"/>
      </w:pPr>
      <w:bookmarkStart w:id="4274" w:name="ref-843"/>
      <w:r>
        <w:t xml:space="preserve">[843]</w:t>
      </w:r>
      <w:bookmarkEnd w:id="4274"/>
      <w:r>
        <w:t xml:space="preserve"> Berger M, Gray JA, Roth BL. The expanded biology of serotonin.</w:t>
      </w:r>
      <w:r>
        <w:t xml:space="preserve"> </w:t>
      </w:r>
      <w:r>
        <w:rPr>
          <w:iCs/>
          <w:i/>
        </w:rPr>
        <w:t xml:space="preserve">Annual Review of Medicine</w:t>
      </w:r>
      <w:r>
        <w:t xml:space="preserve">. 2009;60(1):355–366.</w:t>
      </w:r>
      <w:r>
        <w:t xml:space="preserve"> </w:t>
      </w:r>
      <w:hyperlink r:id="rId4275">
        <w:r>
          <w:rPr>
            <w:rStyle w:val="Hyperlink"/>
          </w:rPr>
          <w:t xml:space="preserve">https://doi.org/10.1146/annurev.med.60.042307.110802</w:t>
        </w:r>
      </w:hyperlink>
      <w:r>
        <w:t xml:space="preserve">（研究类型：血清素多组织生理功能综述）</w:t>
      </w:r>
    </w:p>
    <w:p>
      <w:pPr>
        <w:pStyle w:val="ReferenceEntry"/>
      </w:pPr>
      <w:bookmarkStart w:id="4276" w:name="ref-844"/>
      <w:r>
        <w:t xml:space="preserve">[844]</w:t>
      </w:r>
      <w:bookmarkEnd w:id="4276"/>
      <w:r>
        <w:t xml:space="preserve"> Hepsomali P, Groeger JA, Nishihira J, Scholey A. Effects of Oral Gamma-Aminobutyric Acid (GABA) Administration on Stress and Sleep in Humans: A Systematic Review.</w:t>
      </w:r>
      <w:r>
        <w:t xml:space="preserve"> </w:t>
      </w:r>
      <w:r>
        <w:rPr>
          <w:iCs/>
          <w:i/>
        </w:rPr>
        <w:t xml:space="preserve">Frontiers in Neuroscience</w:t>
      </w:r>
      <w:r>
        <w:t xml:space="preserve">. 2020;14:923.</w:t>
      </w:r>
      <w:r>
        <w:t xml:space="preserve"> </w:t>
      </w:r>
      <w:hyperlink r:id="rId4277">
        <w:r>
          <w:rPr>
            <w:rStyle w:val="Hyperlink"/>
          </w:rPr>
          <w:t xml:space="preserve">https://doi.org/10.3389/fnins.2020.00923</w:t>
        </w:r>
      </w:hyperlink>
      <w:r>
        <w:t xml:space="preserve">（研究类型：原始系统综述）</w:t>
      </w:r>
    </w:p>
    <w:p>
      <w:pPr>
        <w:pStyle w:val="ReferenceEntry"/>
      </w:pPr>
      <w:bookmarkStart w:id="4278" w:name="ref-845"/>
      <w:r>
        <w:t xml:space="preserve">[845]</w:t>
      </w:r>
      <w:bookmarkEnd w:id="4278"/>
      <w:r>
        <w:t xml:space="preserve"> Sulzer D, Cragg SJ, Rice ME. Striatal dopamine neurotransmission: regulation of release and uptake.</w:t>
      </w:r>
      <w:r>
        <w:t xml:space="preserve"> </w:t>
      </w:r>
      <w:r>
        <w:rPr>
          <w:iCs/>
          <w:i/>
        </w:rPr>
        <w:t xml:space="preserve">Basal Ganglia</w:t>
      </w:r>
      <w:r>
        <w:t xml:space="preserve">. 2016;6(3):123–148.</w:t>
      </w:r>
      <w:r>
        <w:t xml:space="preserve"> </w:t>
      </w:r>
      <w:hyperlink r:id="rId4279">
        <w:r>
          <w:rPr>
            <w:rStyle w:val="Hyperlink"/>
          </w:rPr>
          <w:t xml:space="preserve">https://doi.org/10.1016/j.baga.2016.02.001</w:t>
        </w:r>
      </w:hyperlink>
      <w:r>
        <w:t xml:space="preserve">（研究类型：机制综述）</w:t>
      </w:r>
    </w:p>
    <w:p>
      <w:pPr>
        <w:pStyle w:val="ReferenceEntry"/>
      </w:pPr>
      <w:bookmarkStart w:id="4280" w:name="ref-846"/>
      <w:r>
        <w:t xml:space="preserve">[846]</w:t>
      </w:r>
      <w:bookmarkEnd w:id="4280"/>
      <w:r>
        <w:t xml:space="preserve"> Tabak BA, Leng G, Szeto A, Parker KJ, Verbalis JG, Ziegler TE, et al. Advances in human oxytocin measurement challenges and proposed solutions.</w:t>
      </w:r>
      <w:r>
        <w:t xml:space="preserve"> </w:t>
      </w:r>
      <w:r>
        <w:rPr>
          <w:iCs/>
          <w:i/>
        </w:rPr>
        <w:t xml:space="preserve">Molecular Psychiatry</w:t>
      </w:r>
      <w:r>
        <w:t xml:space="preserve">. 2023;28(1):127–140.</w:t>
      </w:r>
      <w:r>
        <w:t xml:space="preserve"> </w:t>
      </w:r>
      <w:hyperlink r:id="rId4281">
        <w:r>
          <w:rPr>
            <w:rStyle w:val="Hyperlink"/>
          </w:rPr>
          <w:t xml:space="preserve">https://doi.org/10.1038/s41380-022-01719-z</w:t>
        </w:r>
      </w:hyperlink>
      <w:r>
        <w:t xml:space="preserve">（研究类型：分析方法综述）</w:t>
      </w:r>
    </w:p>
    <w:p>
      <w:pPr>
        <w:pStyle w:val="ReferenceEntry"/>
      </w:pPr>
      <w:bookmarkStart w:id="4282" w:name="ref-847"/>
      <w:r>
        <w:t xml:space="preserve">[847]</w:t>
      </w:r>
      <w:bookmarkEnd w:id="4282"/>
      <w:r>
        <w:t xml:space="preserve"> Volkow ND, Wang GJ, Telang F, Fowler JS, Logan J, Childress AR, et al. Cocaine cues and dopamine in dorsal striatum: mechanism of craving in cocaine addiction.</w:t>
      </w:r>
      <w:r>
        <w:t xml:space="preserve"> </w:t>
      </w:r>
      <w:r>
        <w:rPr>
          <w:iCs/>
          <w:i/>
        </w:rPr>
        <w:t xml:space="preserve">Journal of Neuroscience</w:t>
      </w:r>
      <w:r>
        <w:t xml:space="preserve">. 2006;26(24):6583–6588.</w:t>
      </w:r>
      <w:r>
        <w:t xml:space="preserve"> </w:t>
      </w:r>
      <w:hyperlink r:id="rId4283">
        <w:r>
          <w:rPr>
            <w:rStyle w:val="Hyperlink"/>
          </w:rPr>
          <w:t xml:space="preserve">https://doi.org/10.1523/JNEUROSCI.1544-06.2006</w:t>
        </w:r>
      </w:hyperlink>
      <w:r>
        <w:t xml:space="preserve">（研究类型：人体PET线索诱发与渴求关联研究）</w:t>
      </w:r>
    </w:p>
    <w:p>
      <w:pPr>
        <w:pStyle w:val="ReferenceEntry"/>
      </w:pPr>
      <w:bookmarkStart w:id="4284" w:name="ref-848"/>
      <w:r>
        <w:t xml:space="preserve">[848]</w:t>
      </w:r>
      <w:bookmarkEnd w:id="4284"/>
      <w:r>
        <w:t xml:space="preserve"> Berridge KC, Robinson TE. What is the role of dopamine in reward: hedonic impact, reward learning, or incentive salience?</w:t>
      </w:r>
      <w:r>
        <w:t xml:space="preserve"> </w:t>
      </w:r>
      <w:r>
        <w:rPr>
          <w:iCs/>
          <w:i/>
        </w:rPr>
        <w:t xml:space="preserve">Brain Research Reviews</w:t>
      </w:r>
      <w:r>
        <w:t xml:space="preserve">. 1998;28(3):309–369.</w:t>
      </w:r>
      <w:r>
        <w:t xml:space="preserve"> </w:t>
      </w:r>
      <w:hyperlink r:id="rId4285">
        <w:r>
          <w:rPr>
            <w:rStyle w:val="Hyperlink"/>
          </w:rPr>
          <w:t xml:space="preserve">https://doi.org/10.1016/s0165-0173(98)00019-8</w:t>
        </w:r>
      </w:hyperlink>
      <w:r>
        <w:t xml:space="preserve">（研究类型：机制综述）</w:t>
      </w:r>
    </w:p>
    <w:p>
      <w:pPr>
        <w:pStyle w:val="ReferenceEntry"/>
      </w:pPr>
      <w:bookmarkStart w:id="4286" w:name="ref-849"/>
      <w:r>
        <w:t xml:space="preserve">[849]</w:t>
      </w:r>
      <w:bookmarkEnd w:id="4286"/>
      <w:r>
        <w:t xml:space="preserve"> Jeong H, Taylor A, Floeder JR, et al. Mesolimbic dopamine release conveys causal associations.</w:t>
      </w:r>
      <w:r>
        <w:t xml:space="preserve"> </w:t>
      </w:r>
      <w:r>
        <w:rPr>
          <w:iCs/>
          <w:i/>
        </w:rPr>
        <w:t xml:space="preserve">Science</w:t>
      </w:r>
      <w:r>
        <w:t xml:space="preserve">. 2022;378(6626):eabq6740.</w:t>
      </w:r>
      <w:r>
        <w:t xml:space="preserve"> </w:t>
      </w:r>
      <w:hyperlink r:id="rId4287">
        <w:r>
          <w:rPr>
            <w:rStyle w:val="Hyperlink"/>
          </w:rPr>
          <w:t xml:space="preserve">https://doi.org/10.1126/science.abq6740</w:t>
        </w:r>
      </w:hyperlink>
    </w:p>
    <w:p>
      <w:pPr>
        <w:pStyle w:val="ReferenceEntry"/>
      </w:pPr>
      <w:bookmarkStart w:id="4288" w:name="ref-850"/>
      <w:r>
        <w:t xml:space="preserve">[850]</w:t>
      </w:r>
      <w:bookmarkEnd w:id="4288"/>
      <w:r>
        <w:t xml:space="preserve"> Mohebi A, Pettibone JR, Hamid AA, Wong JMT, Vinson LT, Patriarchi T, et al. Dissociable dopamine dynamics for learning and motivation.</w:t>
      </w:r>
      <w:r>
        <w:t xml:space="preserve"> </w:t>
      </w:r>
      <w:r>
        <w:rPr>
          <w:iCs/>
          <w:i/>
        </w:rPr>
        <w:t xml:space="preserve">Nature</w:t>
      </w:r>
      <w:r>
        <w:t xml:space="preserve">. 2019;570(7759):65–70.</w:t>
      </w:r>
      <w:r>
        <w:t xml:space="preserve"> </w:t>
      </w:r>
      <w:hyperlink r:id="rId4289">
        <w:r>
          <w:rPr>
            <w:rStyle w:val="Hyperlink"/>
          </w:rPr>
          <w:t xml:space="preserve">https://doi.org/10.1038/s41586-019-1235-y</w:t>
        </w:r>
      </w:hyperlink>
      <w:r>
        <w:t xml:space="preserve">（研究类型：动物记录与递质测量）</w:t>
      </w:r>
    </w:p>
    <w:p>
      <w:pPr>
        <w:pStyle w:val="ReferenceEntry"/>
      </w:pPr>
      <w:bookmarkStart w:id="4290" w:name="ref-851"/>
      <w:r>
        <w:t xml:space="preserve">[851]</w:t>
      </w:r>
      <w:bookmarkEnd w:id="4290"/>
      <w:r>
        <w:t xml:space="preserve"> Patriarchi T, Cho JR, Merten K, Howe MW, Marley A, Xiong WH, et al. Ultrafast neuronal imaging of dopamine dynamics with designed genetically encoded sensors.</w:t>
      </w:r>
      <w:r>
        <w:t xml:space="preserve"> </w:t>
      </w:r>
      <w:r>
        <w:rPr>
          <w:iCs/>
          <w:i/>
        </w:rPr>
        <w:t xml:space="preserve">Science</w:t>
      </w:r>
      <w:r>
        <w:t xml:space="preserve">. 2018;360(6396):eaat4422.</w:t>
      </w:r>
      <w:r>
        <w:t xml:space="preserve"> </w:t>
      </w:r>
      <w:hyperlink r:id="rId4291">
        <w:r>
          <w:rPr>
            <w:rStyle w:val="Hyperlink"/>
          </w:rPr>
          <w:t xml:space="preserve">https://doi.org/10.1126/science.aat4422</w:t>
        </w:r>
      </w:hyperlink>
      <w:r>
        <w:t xml:space="preserve">（研究类型：原始探针开发与动物成像）</w:t>
      </w:r>
    </w:p>
    <w:p>
      <w:pPr>
        <w:pStyle w:val="ReferenceEntry"/>
      </w:pPr>
      <w:bookmarkStart w:id="4292" w:name="ref-852"/>
      <w:r>
        <w:t xml:space="preserve">[852]</w:t>
      </w:r>
      <w:bookmarkEnd w:id="4292"/>
      <w:r>
        <w:t xml:space="preserve"> Yano JM, Yu K, Donaldson GP, et al. Indigenous Bacteria from the Gut Microbiota Regulate Host Serotonin Biosynthesis.</w:t>
      </w:r>
      <w:r>
        <w:t xml:space="preserve"> </w:t>
      </w:r>
      <w:r>
        <w:rPr>
          <w:iCs/>
          <w:i/>
        </w:rPr>
        <w:t xml:space="preserve">Cell</w:t>
      </w:r>
      <w:r>
        <w:t xml:space="preserve">. 2015;161(2):264–276.</w:t>
      </w:r>
      <w:r>
        <w:t xml:space="preserve"> </w:t>
      </w:r>
      <w:hyperlink r:id="rId4293">
        <w:r>
          <w:rPr>
            <w:rStyle w:val="Hyperlink"/>
          </w:rPr>
          <w:t xml:space="preserve">https://doi.org/10.1016/j.cell.2015.02.047</w:t>
        </w:r>
      </w:hyperlink>
      <w:r>
        <w:t xml:space="preserve">（研究类型：菌群定植代谢物和宿主血清素实验）</w:t>
      </w:r>
    </w:p>
    <w:p>
      <w:pPr>
        <w:pStyle w:val="ReferenceEntry"/>
      </w:pPr>
      <w:bookmarkStart w:id="4294" w:name="ref-853"/>
      <w:r>
        <w:t xml:space="preserve">[853]</w:t>
      </w:r>
      <w:bookmarkEnd w:id="4294"/>
      <w:r>
        <w:t xml:space="preserve"> Ruhé HG, Mason NS, Schene AH. Mood is indirectly related to serotonin, norepinephrine and dopamine levels in humans: a meta-analysis of monoamine depletion studies.</w:t>
      </w:r>
      <w:r>
        <w:t xml:space="preserve"> </w:t>
      </w:r>
      <w:r>
        <w:rPr>
          <w:iCs/>
          <w:i/>
        </w:rPr>
        <w:t xml:space="preserve">Molecular Psychiatry</w:t>
      </w:r>
      <w:r>
        <w:t xml:space="preserve">. 2007;12(4):331–359.</w:t>
      </w:r>
      <w:r>
        <w:t xml:space="preserve"> </w:t>
      </w:r>
      <w:hyperlink r:id="rId4295">
        <w:r>
          <w:rPr>
            <w:rStyle w:val="Hyperlink"/>
          </w:rPr>
          <w:t xml:space="preserve">https://doi.org/10.1038/sj.mp.4001949</w:t>
        </w:r>
      </w:hyperlink>
    </w:p>
    <w:p>
      <w:pPr>
        <w:pStyle w:val="ReferenceEntry"/>
      </w:pPr>
      <w:bookmarkStart w:id="4296" w:name="ref-854"/>
      <w:r>
        <w:t xml:space="preserve">[854]</w:t>
      </w:r>
      <w:bookmarkEnd w:id="4296"/>
      <w:r>
        <w:t xml:space="preserve"> Jacka FN, O'Neil A, Opie R, et al. A randomised controlled trial of dietary improvement for adults with major depression (the ‘SMILES’ trial).</w:t>
      </w:r>
      <w:r>
        <w:t xml:space="preserve"> </w:t>
      </w:r>
      <w:r>
        <w:rPr>
          <w:iCs/>
          <w:i/>
        </w:rPr>
        <w:t xml:space="preserve">BMC Medicine</w:t>
      </w:r>
      <w:r>
        <w:t xml:space="preserve">. 2017;15(1):23（2018 年发表更正，见</w:t>
      </w:r>
      <w:r>
        <w:t xml:space="preserve"> </w:t>
      </w:r>
      <w:hyperlink r:id="rId4297">
        <w:r>
          <w:rPr>
            <w:rStyle w:val="Hyperlink"/>
          </w:rPr>
          <w:t xml:space="preserve">https://doi.org/10.1186/s12916-018-1220-6</w:t>
        </w:r>
      </w:hyperlink>
      <w:r>
        <w:t xml:space="preserve">）.</w:t>
      </w:r>
      <w:r>
        <w:t xml:space="preserve"> </w:t>
      </w:r>
      <w:hyperlink r:id="rId4298">
        <w:r>
          <w:rPr>
            <w:rStyle w:val="Hyperlink"/>
          </w:rPr>
          <w:t xml:space="preserve">https://doi.org/10.1186/s12916-017-0791-y</w:t>
        </w:r>
      </w:hyperlink>
    </w:p>
    <w:p>
      <w:pPr>
        <w:pStyle w:val="ReferenceEntry"/>
      </w:pPr>
      <w:bookmarkStart w:id="4299" w:name="ref-855"/>
      <w:r>
        <w:t xml:space="preserve">[855]</w:t>
      </w:r>
      <w:bookmarkEnd w:id="4299"/>
      <w:r>
        <w:t xml:space="preserve"> Molendijk ML, Fried EI, Van der Does W. The SMILES trial: do undisclosed recruitment practices explain the remarkably large effect?</w:t>
      </w:r>
      <w:r>
        <w:t xml:space="preserve"> </w:t>
      </w:r>
      <w:r>
        <w:rPr>
          <w:iCs/>
          <w:i/>
        </w:rPr>
        <w:t xml:space="preserve">BMC Medicine</w:t>
      </w:r>
      <w:r>
        <w:t xml:space="preserve">. 2018;16(1):243.</w:t>
      </w:r>
      <w:r>
        <w:t xml:space="preserve"> </w:t>
      </w:r>
      <w:hyperlink r:id="rId4300">
        <w:r>
          <w:rPr>
            <w:rStyle w:val="Hyperlink"/>
          </w:rPr>
          <w:t xml:space="preserve">https://doi.org/10.1186/s12916-018-1221-5</w:t>
        </w:r>
      </w:hyperlink>
    </w:p>
    <w:p>
      <w:pPr>
        <w:pStyle w:val="ReferenceEntry"/>
      </w:pPr>
      <w:bookmarkStart w:id="4301" w:name="ref-856"/>
      <w:r>
        <w:t xml:space="preserve">[856]</w:t>
      </w:r>
      <w:bookmarkEnd w:id="4301"/>
      <w:r>
        <w:t xml:space="preserve"> Jacka FN, O'Neil A, Itsiopoulos C, et al. The SMILES trial: an important first step.</w:t>
      </w:r>
      <w:r>
        <w:t xml:space="preserve"> </w:t>
      </w:r>
      <w:r>
        <w:rPr>
          <w:iCs/>
          <w:i/>
        </w:rPr>
        <w:t xml:space="preserve">BMC Medicine</w:t>
      </w:r>
      <w:r>
        <w:t xml:space="preserve">. 2018;16(1):237.</w:t>
      </w:r>
      <w:r>
        <w:t xml:space="preserve"> </w:t>
      </w:r>
      <w:hyperlink r:id="rId4302">
        <w:r>
          <w:rPr>
            <w:rStyle w:val="Hyperlink"/>
          </w:rPr>
          <w:t xml:space="preserve">https://doi.org/10.1186/s12916-018-1228-y</w:t>
        </w:r>
      </w:hyperlink>
    </w:p>
    <w:p>
      <w:pPr>
        <w:pStyle w:val="ReferenceEntry"/>
      </w:pPr>
      <w:bookmarkStart w:id="4303" w:name="ref-857"/>
      <w:r>
        <w:t xml:space="preserve">[857]</w:t>
      </w:r>
      <w:bookmarkEnd w:id="4303"/>
      <w:r>
        <w:t xml:space="preserve"> Moncrieff J, Cooper RE, Stockmann T, et al. The serotonin theory of depression: a systematic umbrella review of the evidence.</w:t>
      </w:r>
      <w:r>
        <w:t xml:space="preserve"> </w:t>
      </w:r>
      <w:r>
        <w:rPr>
          <w:iCs/>
          <w:i/>
        </w:rPr>
        <w:t xml:space="preserve">Molecular Psychiatry</w:t>
      </w:r>
      <w:r>
        <w:t xml:space="preserve">. 2023;28(8):3243–3256（2022 年在线发表）.</w:t>
      </w:r>
      <w:r>
        <w:t xml:space="preserve"> </w:t>
      </w:r>
      <w:hyperlink r:id="rId4304">
        <w:r>
          <w:rPr>
            <w:rStyle w:val="Hyperlink"/>
          </w:rPr>
          <w:t xml:space="preserve">https://doi.org/10.1038/s41380-022-01661-0</w:t>
        </w:r>
      </w:hyperlink>
      <w:r>
        <w:t xml:space="preserve">（研究类型：原始伞式系统综述）</w:t>
      </w:r>
    </w:p>
    <w:p>
      <w:pPr>
        <w:pStyle w:val="ReferenceEntry"/>
      </w:pPr>
      <w:bookmarkStart w:id="4305" w:name="ref-858"/>
      <w:r>
        <w:t xml:space="preserve">[858]</w:t>
      </w:r>
      <w:bookmarkEnd w:id="4305"/>
      <w:r>
        <w:t xml:space="preserve"> Jauhar S, Arnone D, Baldwin DS, et al. A leaky umbrella has little value: evidence clearly indicates the serotonin system is implicated in depression.</w:t>
      </w:r>
      <w:r>
        <w:t xml:space="preserve"> </w:t>
      </w:r>
      <w:r>
        <w:rPr>
          <w:iCs/>
          <w:i/>
        </w:rPr>
        <w:t xml:space="preserve">Molecular Psychiatry</w:t>
      </w:r>
      <w:r>
        <w:t xml:space="preserve">. 2023;28(8):3149–3152.</w:t>
      </w:r>
      <w:r>
        <w:t xml:space="preserve"> </w:t>
      </w:r>
      <w:hyperlink r:id="rId4306">
        <w:r>
          <w:rPr>
            <w:rStyle w:val="Hyperlink"/>
          </w:rPr>
          <w:t xml:space="preserve">https://doi.org/10.1038/s41380-023-02095-y</w:t>
        </w:r>
      </w:hyperlink>
    </w:p>
    <w:p>
      <w:pPr>
        <w:pStyle w:val="ReferenceEntry"/>
      </w:pPr>
      <w:bookmarkStart w:id="4307" w:name="ref-859"/>
      <w:r>
        <w:t xml:space="preserve">[859]</w:t>
      </w:r>
      <w:bookmarkEnd w:id="4307"/>
      <w:r>
        <w:t xml:space="preserve"> Erritzoe D, Godlewska BR, Rizzo G, et al. Brain Serotonin Release Is Reduced in Patients With Depression: A [11C]Cimbi-36 Positron Emission Tomography Study With a d-Amphetamine Challenge.</w:t>
      </w:r>
      <w:r>
        <w:t xml:space="preserve"> </w:t>
      </w:r>
      <w:r>
        <w:rPr>
          <w:iCs/>
          <w:i/>
        </w:rPr>
        <w:t xml:space="preserve">Biological Psychiatry</w:t>
      </w:r>
      <w:r>
        <w:t xml:space="preserve">. 2023;93(12):1089–1098.</w:t>
      </w:r>
      <w:r>
        <w:t xml:space="preserve"> </w:t>
      </w:r>
      <w:hyperlink r:id="rId4308">
        <w:r>
          <w:rPr>
            <w:rStyle w:val="Hyperlink"/>
          </w:rPr>
          <w:t xml:space="preserve">https://doi.org/10.1016/j.biopsych.2022.10.012</w:t>
        </w:r>
      </w:hyperlink>
    </w:p>
    <w:p>
      <w:pPr>
        <w:pStyle w:val="ReferenceEntry"/>
      </w:pPr>
      <w:bookmarkStart w:id="4309" w:name="ref-860"/>
      <w:r>
        <w:t xml:space="preserve">[860]</w:t>
      </w:r>
      <w:bookmarkEnd w:id="4309"/>
      <w:r>
        <w:t xml:space="preserve"> Jauhar S, Cowen PJ, Browning M. Fifty years on: Serotonin and depression.</w:t>
      </w:r>
      <w:r>
        <w:t xml:space="preserve"> </w:t>
      </w:r>
      <w:r>
        <w:rPr>
          <w:iCs/>
          <w:i/>
        </w:rPr>
        <w:t xml:space="preserve">Journal of Psychopharmacology</w:t>
      </w:r>
      <w:r>
        <w:t xml:space="preserve">. 2023;37(3):237–241.</w:t>
      </w:r>
      <w:r>
        <w:t xml:space="preserve"> </w:t>
      </w:r>
      <w:hyperlink r:id="rId4310">
        <w:r>
          <w:rPr>
            <w:rStyle w:val="Hyperlink"/>
          </w:rPr>
          <w:t xml:space="preserve">https://doi.org/10.1177/02698811231161813</w:t>
        </w:r>
      </w:hyperlink>
      <w:r>
        <w:t xml:space="preserve">（研究类型：机制与证据综述）</w:t>
      </w:r>
    </w:p>
    <w:p>
      <w:pPr>
        <w:pStyle w:val="ReferenceEntry"/>
      </w:pPr>
      <w:bookmarkStart w:id="4311" w:name="ref-861"/>
      <w:r>
        <w:t xml:space="preserve">[861]</w:t>
      </w:r>
      <w:bookmarkEnd w:id="4311"/>
      <w:r>
        <w:t xml:space="preserve"> Cipriani A, Furukawa TA, Salanti G, Chaimani A, Atkinson LZ, Ogawa Y, et al. Comparative efficacy and acceptability of 21 antidepressant drugs for the acute treatment of adults with major depressive disorder: a systematic review and network meta-analysis.</w:t>
      </w:r>
      <w:r>
        <w:t xml:space="preserve"> </w:t>
      </w:r>
      <w:r>
        <w:rPr>
          <w:iCs/>
          <w:i/>
        </w:rPr>
        <w:t xml:space="preserve">The Lancet</w:t>
      </w:r>
      <w:r>
        <w:t xml:space="preserve">. 2018;391(10128):1357–1366.</w:t>
      </w:r>
      <w:r>
        <w:t xml:space="preserve"> </w:t>
      </w:r>
      <w:hyperlink r:id="rId4312">
        <w:r>
          <w:rPr>
            <w:rStyle w:val="Hyperlink"/>
          </w:rPr>
          <w:t xml:space="preserve">https://doi.org/10.1016/S0140-6736(17)32802-7</w:t>
        </w:r>
      </w:hyperlink>
      <w:r>
        <w:t xml:space="preserve">（研究类型：系统综述与网络元分析）</w:t>
      </w:r>
    </w:p>
    <w:p>
      <w:pPr>
        <w:pStyle w:val="ReferenceEntry"/>
      </w:pPr>
      <w:bookmarkStart w:id="4313" w:name="ref-862"/>
      <w:r>
        <w:t xml:space="preserve">[862]</w:t>
      </w:r>
      <w:bookmarkEnd w:id="4313"/>
      <w:r>
        <w:t xml:space="preserve"> National Institute of Mental Health. Depression. 检索于2026年10月.</w:t>
      </w:r>
      <w:r>
        <w:t xml:space="preserve"> </w:t>
      </w:r>
      <w:hyperlink r:id="rId4314">
        <w:r>
          <w:rPr>
            <w:rStyle w:val="Hyperlink"/>
          </w:rPr>
          <w:t xml:space="preserve">https://www.nimh.nih.gov/health/publications/depression</w:t>
        </w:r>
      </w:hyperlink>
      <w:r>
        <w:t xml:space="preserve">（研究类型：官方公众信息）</w:t>
      </w:r>
    </w:p>
    <w:p>
      <w:pPr>
        <w:pStyle w:val="ReferenceEntry"/>
      </w:pPr>
      <w:bookmarkStart w:id="4315" w:name="ref-863"/>
      <w:r>
        <w:t xml:space="preserve">[863]</w:t>
      </w:r>
      <w:bookmarkEnd w:id="4315"/>
      <w:r>
        <w:t xml:space="preserve"> National Institute for Health and Care Excellence. Depression in adults treatment and management NG222 Recommendations. 2022.</w:t>
      </w:r>
      <w:r>
        <w:t xml:space="preserve"> </w:t>
      </w:r>
      <w:hyperlink r:id="rId4316">
        <w:r>
          <w:rPr>
            <w:rStyle w:val="Hyperlink"/>
          </w:rPr>
          <w:t xml:space="preserve">https://www.nice.org.uk/guidance/ng222/chapter/Recommendations</w:t>
        </w:r>
      </w:hyperlink>
      <w:r>
        <w:t xml:space="preserve">（研究类型：官方临床指南）</w:t>
      </w:r>
    </w:p>
    <w:p>
      <w:pPr>
        <w:pStyle w:val="ReferenceEntry"/>
      </w:pPr>
      <w:bookmarkStart w:id="4317" w:name="ref-864"/>
      <w:r>
        <w:t xml:space="preserve">[864]</w:t>
      </w:r>
      <w:bookmarkEnd w:id="4317"/>
      <w:r>
        <w:t xml:space="preserve"> Richardson-Jones JW, Craige CP, Guiard BP, Stephen A, Metzger KL, Kung HF, et al. 5-HT1A autoreceptor levels determine vulnerability to stress and response to antidepressants.</w:t>
      </w:r>
      <w:r>
        <w:t xml:space="preserve"> </w:t>
      </w:r>
      <w:r>
        <w:rPr>
          <w:iCs/>
          <w:i/>
        </w:rPr>
        <w:t xml:space="preserve">Neuron</w:t>
      </w:r>
      <w:r>
        <w:t xml:space="preserve">. 2010;65(1):40–52.</w:t>
      </w:r>
      <w:r>
        <w:t xml:space="preserve"> </w:t>
      </w:r>
      <w:hyperlink r:id="rId4318">
        <w:r>
          <w:rPr>
            <w:rStyle w:val="Hyperlink"/>
          </w:rPr>
          <w:t xml:space="preserve">https://doi.org/10.1016/j.neuron.2009.12.003</w:t>
        </w:r>
      </w:hyperlink>
      <w:r>
        <w:t xml:space="preserve">（研究类型：受体水平遗传操纵与电生理行为）</w:t>
      </w:r>
    </w:p>
    <w:p>
      <w:pPr>
        <w:pStyle w:val="ReferenceEntry"/>
      </w:pPr>
      <w:bookmarkStart w:id="4319" w:name="ref-865"/>
      <w:r>
        <w:t xml:space="preserve">[865]</w:t>
      </w:r>
      <w:bookmarkEnd w:id="4319"/>
      <w:r>
        <w:t xml:space="preserve"> Boecker H, Sprenger T, Spilker ME, et al. The Runner's High: Opioidergic Mechanisms in the Human Brain.</w:t>
      </w:r>
      <w:r>
        <w:t xml:space="preserve"> </w:t>
      </w:r>
      <w:r>
        <w:rPr>
          <w:iCs/>
          <w:i/>
        </w:rPr>
        <w:t xml:space="preserve">Cerebral Cortex</w:t>
      </w:r>
      <w:r>
        <w:t xml:space="preserve">. 2008;18(11):2523–2531.</w:t>
      </w:r>
      <w:r>
        <w:t xml:space="preserve"> </w:t>
      </w:r>
      <w:hyperlink r:id="rId4320">
        <w:r>
          <w:rPr>
            <w:rStyle w:val="Hyperlink"/>
          </w:rPr>
          <w:t xml:space="preserve">https://doi.org/10.1093/cercor/bhn013</w:t>
        </w:r>
      </w:hyperlink>
    </w:p>
    <w:p>
      <w:pPr>
        <w:pStyle w:val="ReferenceEntry"/>
      </w:pPr>
      <w:bookmarkStart w:id="4321" w:name="ref-866"/>
      <w:r>
        <w:t xml:space="preserve">[866]</w:t>
      </w:r>
      <w:bookmarkEnd w:id="4321"/>
      <w:r>
        <w:t xml:space="preserve"> Siebers M, Biedermann SV, Bindila L, et al. Exercise-induced euphoria and anxiolysis do not depend on endogenous opioids in humans.</w:t>
      </w:r>
      <w:r>
        <w:t xml:space="preserve"> </w:t>
      </w:r>
      <w:r>
        <w:rPr>
          <w:iCs/>
          <w:i/>
        </w:rPr>
        <w:t xml:space="preserve">Psychoneuroendocrinology</w:t>
      </w:r>
      <w:r>
        <w:t xml:space="preserve">. 2021;126:105173.</w:t>
      </w:r>
      <w:r>
        <w:t xml:space="preserve"> </w:t>
      </w:r>
      <w:hyperlink r:id="rId4322">
        <w:r>
          <w:rPr>
            <w:rStyle w:val="Hyperlink"/>
          </w:rPr>
          <w:t xml:space="preserve">https://doi.org/10.1016/j.psyneuen.2021.105173</w:t>
        </w:r>
      </w:hyperlink>
    </w:p>
    <w:p>
      <w:pPr>
        <w:pStyle w:val="ReferenceEntry"/>
      </w:pPr>
      <w:bookmarkStart w:id="4323" w:name="ref-867"/>
      <w:r>
        <w:t xml:space="preserve">[867]</w:t>
      </w:r>
      <w:bookmarkEnd w:id="4323"/>
      <w:r>
        <w:t xml:space="preserve"> Aston-Jones G, Cohen JD. An integrative theory of locus coeruleus-norepinephrine function: adaptive gain and optimal performance.</w:t>
      </w:r>
      <w:r>
        <w:t xml:space="preserve"> </w:t>
      </w:r>
      <w:r>
        <w:rPr>
          <w:iCs/>
          <w:i/>
        </w:rPr>
        <w:t xml:space="preserve">Annual Review of Neuroscience</w:t>
      </w:r>
      <w:r>
        <w:t xml:space="preserve">. 2005;28(1):403–450.</w:t>
      </w:r>
      <w:r>
        <w:t xml:space="preserve"> </w:t>
      </w:r>
      <w:hyperlink r:id="rId4324">
        <w:r>
          <w:rPr>
            <w:rStyle w:val="Hyperlink"/>
          </w:rPr>
          <w:t xml:space="preserve">https://doi.org/10.1146/annurev.neuro.28.061604.135709</w:t>
        </w:r>
      </w:hyperlink>
    </w:p>
    <w:p>
      <w:pPr>
        <w:pStyle w:val="ReferenceEntry"/>
      </w:pPr>
      <w:bookmarkStart w:id="4325" w:name="ref-868"/>
      <w:r>
        <w:t xml:space="preserve">[868]</w:t>
      </w:r>
      <w:bookmarkEnd w:id="4325"/>
      <w:r>
        <w:t xml:space="preserve"> Joshi S, Li Y, Kalwani RM, et al. Relationships between Pupil Diameter and Neuronal Activity in the Locus Coeruleus, Colliculi, and Cingulate Cortex.</w:t>
      </w:r>
      <w:r>
        <w:t xml:space="preserve"> </w:t>
      </w:r>
      <w:r>
        <w:rPr>
          <w:iCs/>
          <w:i/>
        </w:rPr>
        <w:t xml:space="preserve">Neuron</w:t>
      </w:r>
      <w:r>
        <w:t xml:space="preserve">. 2016;89(1):221–234.</w:t>
      </w:r>
      <w:r>
        <w:t xml:space="preserve"> </w:t>
      </w:r>
      <w:hyperlink r:id="rId4326">
        <w:r>
          <w:rPr>
            <w:rStyle w:val="Hyperlink"/>
          </w:rPr>
          <w:t xml:space="preserve">https://doi.org/10.1016/j.neuron.2015.11.028</w:t>
        </w:r>
      </w:hyperlink>
    </w:p>
    <w:p>
      <w:pPr>
        <w:pStyle w:val="ReferenceEntry"/>
      </w:pPr>
      <w:bookmarkStart w:id="4327" w:name="ref-869"/>
      <w:r>
        <w:t xml:space="preserve">[869]</w:t>
      </w:r>
      <w:bookmarkEnd w:id="4327"/>
      <w:r>
        <w:t xml:space="preserve"> Stagg CJ. Magnetic Resonance Spectroscopy as a tool to study the role of GABA in motor-cortical plasticity.</w:t>
      </w:r>
      <w:r>
        <w:t xml:space="preserve"> </w:t>
      </w:r>
      <w:r>
        <w:rPr>
          <w:iCs/>
          <w:i/>
        </w:rPr>
        <w:t xml:space="preserve">NeuroImage</w:t>
      </w:r>
      <w:r>
        <w:t xml:space="preserve">. 2014;86:19–27.</w:t>
      </w:r>
      <w:r>
        <w:t xml:space="preserve"> </w:t>
      </w:r>
      <w:hyperlink r:id="rId4328">
        <w:r>
          <w:rPr>
            <w:rStyle w:val="Hyperlink"/>
          </w:rPr>
          <w:t xml:space="preserve">https://doi.org/10.1016/j.neuroimage.2013.01.009</w:t>
        </w:r>
      </w:hyperlink>
    </w:p>
    <w:p>
      <w:pPr>
        <w:pStyle w:val="ReferenceEntry"/>
      </w:pPr>
      <w:bookmarkStart w:id="4329" w:name="ref-870"/>
      <w:r>
        <w:t xml:space="preserve">[870]</w:t>
      </w:r>
      <w:bookmarkEnd w:id="4329"/>
      <w:r>
        <w:t xml:space="preserve"> Mullins PG, McGonigle DJ, O'Gorman RL, et al. Current practice in the use of MEGA-PRESS spectroscopy for the detection of GABA.</w:t>
      </w:r>
      <w:r>
        <w:t xml:space="preserve"> </w:t>
      </w:r>
      <w:r>
        <w:rPr>
          <w:iCs/>
          <w:i/>
        </w:rPr>
        <w:t xml:space="preserve">NeuroImage</w:t>
      </w:r>
      <w:r>
        <w:t xml:space="preserve">. 2014;86:43–52.</w:t>
      </w:r>
      <w:r>
        <w:t xml:space="preserve"> </w:t>
      </w:r>
      <w:hyperlink r:id="rId4330">
        <w:r>
          <w:rPr>
            <w:rStyle w:val="Hyperlink"/>
          </w:rPr>
          <w:t xml:space="preserve">https://doi.org/10.1016/j.neuroimage.2012.12.004</w:t>
        </w:r>
      </w:hyperlink>
    </w:p>
    <w:p>
      <w:pPr>
        <w:pStyle w:val="ReferenceEntry"/>
      </w:pPr>
      <w:bookmarkStart w:id="4331" w:name="ref-871"/>
      <w:r>
        <w:t xml:space="preserve">[871]</w:t>
      </w:r>
      <w:bookmarkEnd w:id="4331"/>
      <w:r>
        <w:t xml:space="preserve"> Tracey KJ. The inflammatory reflex.</w:t>
      </w:r>
      <w:r>
        <w:t xml:space="preserve"> </w:t>
      </w:r>
      <w:r>
        <w:rPr>
          <w:iCs/>
          <w:i/>
        </w:rPr>
        <w:t xml:space="preserve">Nature</w:t>
      </w:r>
      <w:r>
        <w:t xml:space="preserve">. 2002;420(6917):853–859.</w:t>
      </w:r>
      <w:r>
        <w:t xml:space="preserve"> </w:t>
      </w:r>
      <w:hyperlink r:id="rId4332">
        <w:r>
          <w:rPr>
            <w:rStyle w:val="Hyperlink"/>
          </w:rPr>
          <w:t xml:space="preserve">https://doi.org/10.1038/nature01321</w:t>
        </w:r>
      </w:hyperlink>
    </w:p>
    <w:p>
      <w:pPr>
        <w:pStyle w:val="ReferenceEntry"/>
      </w:pPr>
      <w:bookmarkStart w:id="4333" w:name="ref-872"/>
      <w:r>
        <w:t xml:space="preserve">[872]</w:t>
      </w:r>
      <w:bookmarkEnd w:id="4333"/>
      <w:r>
        <w:t xml:space="preserve"> Szuhany KL, Bugatti M, Otto MW. A meta-analytic review of the effects of exercise on brain-derived neurotrophic factor.</w:t>
      </w:r>
      <w:r>
        <w:t xml:space="preserve"> </w:t>
      </w:r>
      <w:r>
        <w:rPr>
          <w:iCs/>
          <w:i/>
        </w:rPr>
        <w:t xml:space="preserve">Journal of Psychiatric Research</w:t>
      </w:r>
      <w:r>
        <w:t xml:space="preserve">. 2015;60:56–64.</w:t>
      </w:r>
      <w:r>
        <w:t xml:space="preserve"> </w:t>
      </w:r>
      <w:hyperlink r:id="rId4334">
        <w:r>
          <w:rPr>
            <w:rStyle w:val="Hyperlink"/>
          </w:rPr>
          <w:t xml:space="preserve">https://doi.org/10.1016/j.jpsychires.2014.10.003</w:t>
        </w:r>
      </w:hyperlink>
    </w:p>
    <w:p>
      <w:pPr>
        <w:pStyle w:val="ReferenceEntry"/>
      </w:pPr>
      <w:bookmarkStart w:id="4335" w:name="ref-873"/>
      <w:r>
        <w:t xml:space="preserve">[873]</w:t>
      </w:r>
      <w:bookmarkEnd w:id="4335"/>
      <w:r>
        <w:t xml:space="preserve"> Kosfeld M, Heinrichs M, Zak PJ, et al. Oxytocin increases trust in humans.</w:t>
      </w:r>
      <w:r>
        <w:t xml:space="preserve"> </w:t>
      </w:r>
      <w:r>
        <w:rPr>
          <w:iCs/>
          <w:i/>
        </w:rPr>
        <w:t xml:space="preserve">Nature</w:t>
      </w:r>
      <w:r>
        <w:t xml:space="preserve">. 2005;435(7042):673–676.</w:t>
      </w:r>
      <w:r>
        <w:t xml:space="preserve"> </w:t>
      </w:r>
      <w:hyperlink r:id="rId4336">
        <w:r>
          <w:rPr>
            <w:rStyle w:val="Hyperlink"/>
          </w:rPr>
          <w:t xml:space="preserve">https://doi.org/10.1038/nature03701</w:t>
        </w:r>
      </w:hyperlink>
      <w:r>
        <w:t xml:space="preserve">（研究类型：鼻内催产素随机安慰剂对照实验）</w:t>
      </w:r>
    </w:p>
    <w:p>
      <w:pPr>
        <w:pStyle w:val="ReferenceEntry"/>
      </w:pPr>
      <w:bookmarkStart w:id="4337" w:name="ref-874"/>
      <w:r>
        <w:t xml:space="preserve">[874]</w:t>
      </w:r>
      <w:bookmarkEnd w:id="4337"/>
      <w:r>
        <w:t xml:space="preserve"> Nave G, Camerer C, McCullough M. Does Oxytocin Increase Trust in Humans? A Critical Review of Research.</w:t>
      </w:r>
      <w:r>
        <w:t xml:space="preserve"> </w:t>
      </w:r>
      <w:r>
        <w:rPr>
          <w:iCs/>
          <w:i/>
        </w:rPr>
        <w:t xml:space="preserve">Perspectives on Psychological Science</w:t>
      </w:r>
      <w:r>
        <w:t xml:space="preserve">. 2015;10(6):772–789.</w:t>
      </w:r>
      <w:r>
        <w:t xml:space="preserve"> </w:t>
      </w:r>
      <w:hyperlink r:id="rId4338">
        <w:r>
          <w:rPr>
            <w:rStyle w:val="Hyperlink"/>
          </w:rPr>
          <w:t xml:space="preserve">https://doi.org/10.1177/1745691615600138</w:t>
        </w:r>
      </w:hyperlink>
    </w:p>
    <w:p>
      <w:pPr>
        <w:pStyle w:val="ReferenceEntry"/>
      </w:pPr>
      <w:bookmarkStart w:id="4339" w:name="ref-875"/>
      <w:r>
        <w:t xml:space="preserve">[875]</w:t>
      </w:r>
      <w:bookmarkEnd w:id="4339"/>
      <w:r>
        <w:t xml:space="preserve"> Walum H, Waldman ID, Young LJ. Statistical and Methodological Considerations for the Interpretation of Intranasal Oxytocin Studies.</w:t>
      </w:r>
      <w:r>
        <w:t xml:space="preserve"> </w:t>
      </w:r>
      <w:r>
        <w:rPr>
          <w:iCs/>
          <w:i/>
        </w:rPr>
        <w:t xml:space="preserve">Biological Psychiatry</w:t>
      </w:r>
      <w:r>
        <w:t xml:space="preserve">. 2016;79(3):251–257.</w:t>
      </w:r>
      <w:r>
        <w:t xml:space="preserve"> </w:t>
      </w:r>
      <w:hyperlink r:id="rId4340">
        <w:r>
          <w:rPr>
            <w:rStyle w:val="Hyperlink"/>
          </w:rPr>
          <w:t xml:space="preserve">https://doi.org/10.1016/j.biopsych.2015.06.016</w:t>
        </w:r>
      </w:hyperlink>
    </w:p>
    <w:p>
      <w:pPr>
        <w:pStyle w:val="ReferenceEntry"/>
      </w:pPr>
      <w:bookmarkStart w:id="4341" w:name="ref-876"/>
      <w:r>
        <w:t xml:space="preserve">[876]</w:t>
      </w:r>
      <w:bookmarkEnd w:id="4341"/>
      <w:r>
        <w:t xml:space="preserve"> Declerck CH, Boone C, Pauwels L, et al. A registered replication study on oxytocin and trust.</w:t>
      </w:r>
      <w:r>
        <w:t xml:space="preserve"> </w:t>
      </w:r>
      <w:r>
        <w:rPr>
          <w:iCs/>
          <w:i/>
        </w:rPr>
        <w:t xml:space="preserve">Nature Human Behaviour</w:t>
      </w:r>
      <w:r>
        <w:t xml:space="preserve">. 2020;4(6):646–655.</w:t>
      </w:r>
      <w:r>
        <w:t xml:space="preserve"> </w:t>
      </w:r>
      <w:hyperlink r:id="rId4342">
        <w:r>
          <w:rPr>
            <w:rStyle w:val="Hyperlink"/>
          </w:rPr>
          <w:t xml:space="preserve">https://doi.org/10.1038/s41562-020-0878-x</w:t>
        </w:r>
      </w:hyperlink>
      <w:r>
        <w:t xml:space="preserve">（研究类型：注册重复试验）</w:t>
      </w:r>
    </w:p>
    <w:p>
      <w:pPr>
        <w:pStyle w:val="ReferenceEntry"/>
      </w:pPr>
      <w:bookmarkStart w:id="4343" w:name="ref-877"/>
      <w:r>
        <w:t xml:space="preserve">[877]</w:t>
      </w:r>
      <w:bookmarkEnd w:id="4343"/>
      <w:r>
        <w:t xml:space="preserve"> Leng G, Ludwig M. Intranasal Oxytocin: Myths and Delusions.</w:t>
      </w:r>
      <w:r>
        <w:t xml:space="preserve"> </w:t>
      </w:r>
      <w:r>
        <w:rPr>
          <w:iCs/>
          <w:i/>
        </w:rPr>
        <w:t xml:space="preserve">Biological Psychiatry</w:t>
      </w:r>
      <w:r>
        <w:t xml:space="preserve">. 2016;79(3):243–250.</w:t>
      </w:r>
      <w:r>
        <w:t xml:space="preserve"> </w:t>
      </w:r>
      <w:hyperlink r:id="rId4344">
        <w:r>
          <w:rPr>
            <w:rStyle w:val="Hyperlink"/>
          </w:rPr>
          <w:t xml:space="preserve">https://doi.org/10.1016/j.biopsych.2015.05.003</w:t>
        </w:r>
      </w:hyperlink>
    </w:p>
    <w:p>
      <w:pPr>
        <w:pStyle w:val="ReferenceEntry"/>
      </w:pPr>
      <w:bookmarkStart w:id="4345" w:name="ref-878"/>
      <w:r>
        <w:t xml:space="preserve">[878]</w:t>
      </w:r>
      <w:bookmarkEnd w:id="4345"/>
      <w:r>
        <w:t xml:space="preserve"> De Dreu CK, Greer LL, Handgraaf MJ, et al. The Neuropeptide Oxytocin Regulates Parochial Altruism in Intergroup Conflict Among Humans.</w:t>
      </w:r>
      <w:r>
        <w:t xml:space="preserve"> </w:t>
      </w:r>
      <w:r>
        <w:rPr>
          <w:iCs/>
          <w:i/>
        </w:rPr>
        <w:t xml:space="preserve">Science</w:t>
      </w:r>
      <w:r>
        <w:t xml:space="preserve">. 2010;328(5984):1408–1411.</w:t>
      </w:r>
      <w:r>
        <w:t xml:space="preserve"> </w:t>
      </w:r>
      <w:hyperlink r:id="rId4346">
        <w:r>
          <w:rPr>
            <w:rStyle w:val="Hyperlink"/>
          </w:rPr>
          <w:t xml:space="preserve">https://doi.org/10.1126/science.1189047</w:t>
        </w:r>
      </w:hyperlink>
    </w:p>
    <w:p>
      <w:pPr>
        <w:pStyle w:val="ReferenceEntry"/>
      </w:pPr>
      <w:bookmarkStart w:id="4347" w:name="ref-879"/>
      <w:r>
        <w:t xml:space="preserve">[879]</w:t>
      </w:r>
      <w:bookmarkEnd w:id="4347"/>
      <w:r>
        <w:t xml:space="preserve"> Bartz JA, Zaki J, Bolger N, Ochsner KN. Social effects of oxytocin in humans: context and person matter.</w:t>
      </w:r>
      <w:r>
        <w:t xml:space="preserve"> </w:t>
      </w:r>
      <w:r>
        <w:rPr>
          <w:iCs/>
          <w:i/>
        </w:rPr>
        <w:t xml:space="preserve">Trends in Cognitive Sciences</w:t>
      </w:r>
      <w:r>
        <w:t xml:space="preserve">. 2011.</w:t>
      </w:r>
      <w:r>
        <w:t xml:space="preserve"> </w:t>
      </w:r>
      <w:hyperlink r:id="rId4348">
        <w:r>
          <w:rPr>
            <w:rStyle w:val="Hyperlink"/>
          </w:rPr>
          <w:t xml:space="preserve">https://doi.org/10.1016/j.tics.2011.05.002</w:t>
        </w:r>
      </w:hyperlink>
      <w:r>
        <w:t xml:space="preserve">（研究类型：催产素社会效应的情境与个体差异综述）</w:t>
      </w:r>
    </w:p>
    <w:p>
      <w:pPr>
        <w:pStyle w:val="ReferenceEntry"/>
      </w:pPr>
      <w:bookmarkStart w:id="4349" w:name="ref-880"/>
      <w:r>
        <w:t xml:space="preserve">[880]</w:t>
      </w:r>
      <w:bookmarkEnd w:id="4349"/>
      <w:r>
        <w:t xml:space="preserve"> Kroll CF, Schruers KRJ, Viechtbauer W, Vingerhoets C, Seidel L, Riedl A, et al. Absence of a meaningful effect of intranasal oxytocin on trusting behavior: a registered report with pooled equivalence testing.</w:t>
      </w:r>
      <w:r>
        <w:t xml:space="preserve"> </w:t>
      </w:r>
      <w:r>
        <w:rPr>
          <w:iCs/>
          <w:i/>
        </w:rPr>
        <w:t xml:space="preserve">Cortex</w:t>
      </w:r>
      <w:r>
        <w:t xml:space="preserve">. 2026;198:208–233.</w:t>
      </w:r>
      <w:r>
        <w:t xml:space="preserve"> </w:t>
      </w:r>
      <w:hyperlink r:id="rId4350">
        <w:r>
          <w:rPr>
            <w:rStyle w:val="Hyperlink"/>
          </w:rPr>
          <w:t xml:space="preserve">https://doi.org/10.1016/j.cortex.2026.03.006</w:t>
        </w:r>
      </w:hyperlink>
      <w:r>
        <w:t xml:space="preserve">（研究类型：注册报告与合并等效检验）</w:t>
      </w:r>
    </w:p>
    <w:p>
      <w:pPr>
        <w:pStyle w:val="ReferenceEntry"/>
      </w:pPr>
      <w:bookmarkStart w:id="4351" w:name="ref-881"/>
      <w:r>
        <w:t xml:space="preserve">[881]</w:t>
      </w:r>
      <w:bookmarkEnd w:id="4351"/>
      <w:r>
        <w:t xml:space="preserve"> Berendzen KM, Sharma R, Mandujano MA, Wei Y, Rogers FD, Simmons TC, et al. Oxytocin receptor is not required for social attachment in prairie voles.</w:t>
      </w:r>
      <w:r>
        <w:t xml:space="preserve"> </w:t>
      </w:r>
      <w:r>
        <w:rPr>
          <w:iCs/>
          <w:i/>
        </w:rPr>
        <w:t xml:space="preserve">Neuron</w:t>
      </w:r>
      <w:r>
        <w:t xml:space="preserve">. 2023;111(6):787–796.e4.</w:t>
      </w:r>
      <w:r>
        <w:t xml:space="preserve"> </w:t>
      </w:r>
      <w:hyperlink r:id="rId4352">
        <w:r>
          <w:rPr>
            <w:rStyle w:val="Hyperlink"/>
          </w:rPr>
          <w:t xml:space="preserve">https://doi.org/10.1016/j.neuron.2022.12.011</w:t>
        </w:r>
      </w:hyperlink>
      <w:r>
        <w:t xml:space="preserve">（研究类型：原始遗传敲除动物实验）</w:t>
      </w:r>
    </w:p>
    <w:p>
      <w:pPr>
        <w:pStyle w:val="ReferenceEntry"/>
      </w:pPr>
      <w:bookmarkStart w:id="4353" w:name="ref-882"/>
      <w:r>
        <w:t xml:space="preserve">[882]</w:t>
      </w:r>
      <w:bookmarkEnd w:id="4353"/>
      <w:r>
        <w:t xml:space="preserve"> Black AM, Komatsu N, Zhao J, Taskey SR, Serrano NS, Sharma R, et al. Oxytocin receptors mediate social selectivity in prairie vole peer relationships.</w:t>
      </w:r>
      <w:r>
        <w:t xml:space="preserve"> </w:t>
      </w:r>
      <w:r>
        <w:rPr>
          <w:iCs/>
          <w:i/>
        </w:rPr>
        <w:t xml:space="preserve">Current Biology</w:t>
      </w:r>
      <w:r>
        <w:t xml:space="preserve">. 2025;35(17):4178–4187.e5.</w:t>
      </w:r>
      <w:r>
        <w:t xml:space="preserve"> </w:t>
      </w:r>
      <w:hyperlink r:id="rId4354">
        <w:r>
          <w:rPr>
            <w:rStyle w:val="Hyperlink"/>
          </w:rPr>
          <w:t xml:space="preserve">https://doi.org/10.1016/j.cub.2025.07.042</w:t>
        </w:r>
      </w:hyperlink>
      <w:r>
        <w:t xml:space="preserve">（研究类型：原始动物遗传与社会行为实验）</w:t>
      </w:r>
    </w:p>
    <w:p>
      <w:pPr>
        <w:pStyle w:val="ReferenceEntry"/>
      </w:pPr>
      <w:bookmarkStart w:id="4355" w:name="ref-883"/>
      <w:r>
        <w:t xml:space="preserve">[883]</w:t>
      </w:r>
      <w:bookmarkEnd w:id="4355"/>
      <w:r>
        <w:t xml:space="preserve"> Jurek B, Neumann ID. The Oxytocin Receptor From Intracellular Signaling to Behavior.</w:t>
      </w:r>
      <w:r>
        <w:t xml:space="preserve"> </w:t>
      </w:r>
      <w:r>
        <w:rPr>
          <w:iCs/>
          <w:i/>
        </w:rPr>
        <w:t xml:space="preserve">Physiological Reviews</w:t>
      </w:r>
      <w:r>
        <w:t xml:space="preserve">. 2018;98(3):1805–1908.</w:t>
      </w:r>
      <w:r>
        <w:t xml:space="preserve"> </w:t>
      </w:r>
      <w:hyperlink r:id="rId4356">
        <w:r>
          <w:rPr>
            <w:rStyle w:val="Hyperlink"/>
          </w:rPr>
          <w:t xml:space="preserve">https://doi.org/10.1152/physrev.00031.2017</w:t>
        </w:r>
      </w:hyperlink>
      <w:r>
        <w:t xml:space="preserve">（研究类型：分子细胞与行为机制综述）</w:t>
      </w:r>
    </w:p>
    <w:p>
      <w:pPr>
        <w:pStyle w:val="ReferenceEntry"/>
      </w:pPr>
      <w:bookmarkStart w:id="4357" w:name="ref-884"/>
      <w:r>
        <w:t xml:space="preserve">[884]</w:t>
      </w:r>
      <w:bookmarkEnd w:id="4357"/>
      <w:r>
        <w:t xml:space="preserve"> Martins DA, Mazibuko N, Zelaya F, Vasilakopoulou S, Loveridge J, Oates A, et al. Effects of route of administration on oxytocin induced changes in regional cerebral blood flow in humans.</w:t>
      </w:r>
      <w:r>
        <w:t xml:space="preserve"> </w:t>
      </w:r>
      <w:r>
        <w:rPr>
          <w:iCs/>
          <w:i/>
        </w:rPr>
        <w:t xml:space="preserve">Nature Communications</w:t>
      </w:r>
      <w:r>
        <w:t xml:space="preserve">. 2020;11(1):1160.</w:t>
      </w:r>
      <w:r>
        <w:t xml:space="preserve"> </w:t>
      </w:r>
      <w:hyperlink r:id="rId4358">
        <w:r>
          <w:rPr>
            <w:rStyle w:val="Hyperlink"/>
          </w:rPr>
          <w:t xml:space="preserve">https://doi.org/10.1038/s41467-020-14845-5</w:t>
        </w:r>
      </w:hyperlink>
      <w:r>
        <w:t xml:space="preserve">（研究类型：双盲安慰剂交叉药理研究）</w:t>
      </w:r>
    </w:p>
    <w:p>
      <w:pPr>
        <w:pStyle w:val="ReferenceEntry"/>
      </w:pPr>
      <w:bookmarkStart w:id="4359" w:name="ref-885"/>
      <w:r>
        <w:t xml:space="preserve">[885]</w:t>
      </w:r>
      <w:bookmarkEnd w:id="4359"/>
      <w:r>
        <w:t xml:space="preserve"> Manning M, Misicka A, Olma A, Bankowski K, Stoev S, Chini B, et al. Oxytocin and vasopressin agonists and antagonists as research tools and potential therapeutics.</w:t>
      </w:r>
      <w:r>
        <w:t xml:space="preserve"> </w:t>
      </w:r>
      <w:r>
        <w:rPr>
          <w:iCs/>
          <w:i/>
        </w:rPr>
        <w:t xml:space="preserve">Journal of Neuroendocrinology</w:t>
      </w:r>
      <w:r>
        <w:t xml:space="preserve">. 2012;24(4):609–628.</w:t>
      </w:r>
      <w:r>
        <w:t xml:space="preserve"> </w:t>
      </w:r>
      <w:hyperlink r:id="rId4360">
        <w:r>
          <w:rPr>
            <w:rStyle w:val="Hyperlink"/>
          </w:rPr>
          <w:t xml:space="preserve">https://doi.org/10.1111/j.1365-2826.2012.02303.x</w:t>
        </w:r>
      </w:hyperlink>
      <w:r>
        <w:t xml:space="preserve">（研究类型：药理机制综述）</w:t>
      </w:r>
    </w:p>
    <w:p>
      <w:pPr>
        <w:pStyle w:val="ReferenceEntry"/>
      </w:pPr>
      <w:bookmarkStart w:id="4361" w:name="ref-886"/>
      <w:r>
        <w:t xml:space="preserve">[886]</w:t>
      </w:r>
      <w:bookmarkEnd w:id="4361"/>
      <w:r>
        <w:t xml:space="preserve"> Stalder T, Kirschbaum C, Kudielka BM, et al. Assessment of the cortisol awakening response: Expert consensus guidelines.</w:t>
      </w:r>
      <w:r>
        <w:t xml:space="preserve"> </w:t>
      </w:r>
      <w:r>
        <w:rPr>
          <w:iCs/>
          <w:i/>
        </w:rPr>
        <w:t xml:space="preserve">Psychoneuroendocrinology</w:t>
      </w:r>
      <w:r>
        <w:t xml:space="preserve">. 2016;63:414–432.</w:t>
      </w:r>
      <w:r>
        <w:t xml:space="preserve"> </w:t>
      </w:r>
      <w:hyperlink r:id="rId4362">
        <w:r>
          <w:rPr>
            <w:rStyle w:val="Hyperlink"/>
          </w:rPr>
          <w:t xml:space="preserve">https://doi.org/10.1016/j.psyneuen.2015.10.010</w:t>
        </w:r>
      </w:hyperlink>
      <w:r>
        <w:t xml:space="preserve">（研究类型：专家共识方法指南）</w:t>
      </w:r>
    </w:p>
    <w:p>
      <w:pPr>
        <w:pStyle w:val="ReferenceEntry"/>
      </w:pPr>
      <w:bookmarkStart w:id="4363" w:name="ref-887"/>
      <w:r>
        <w:t xml:space="preserve">[887]</w:t>
      </w:r>
      <w:bookmarkEnd w:id="4363"/>
      <w:r>
        <w:t xml:space="preserve"> Sapolsky RM, Romero LM, Munck AU. How Do Glucocorticoids Influence Stress Responses? Integrating Permissive, Suppressive, Stimulatory, and Preparative Actions*.</w:t>
      </w:r>
      <w:r>
        <w:t xml:space="preserve"> </w:t>
      </w:r>
      <w:r>
        <w:rPr>
          <w:iCs/>
          <w:i/>
        </w:rPr>
        <w:t xml:space="preserve">Endocrine Reviews</w:t>
      </w:r>
      <w:r>
        <w:t xml:space="preserve">. 2000;21(1):55–89.</w:t>
      </w:r>
      <w:r>
        <w:t xml:space="preserve"> </w:t>
      </w:r>
      <w:hyperlink r:id="rId4364">
        <w:r>
          <w:rPr>
            <w:rStyle w:val="Hyperlink"/>
          </w:rPr>
          <w:t xml:space="preserve">https://doi.org/10.1210/edrv.21.1.0389</w:t>
        </w:r>
      </w:hyperlink>
    </w:p>
    <w:p>
      <w:pPr>
        <w:pStyle w:val="ReferenceEntry"/>
      </w:pPr>
      <w:bookmarkStart w:id="4365" w:name="ref-888"/>
      <w:r>
        <w:t xml:space="preserve">[888]</w:t>
      </w:r>
      <w:bookmarkEnd w:id="4365"/>
      <w:r>
        <w:t xml:space="preserve"> Adam EK, Quinn ME, Tavernier R, et al. Diurnal cortisol slopes and mental and physical health outcomes: A systematic review and meta-analysis.</w:t>
      </w:r>
      <w:r>
        <w:t xml:space="preserve"> </w:t>
      </w:r>
      <w:r>
        <w:rPr>
          <w:iCs/>
          <w:i/>
        </w:rPr>
        <w:t xml:space="preserve">Psychoneuroendocrinology</w:t>
      </w:r>
      <w:r>
        <w:t xml:space="preserve">. 2017;83:25–41.</w:t>
      </w:r>
      <w:r>
        <w:t xml:space="preserve"> </w:t>
      </w:r>
      <w:hyperlink r:id="rId4366">
        <w:r>
          <w:rPr>
            <w:rStyle w:val="Hyperlink"/>
          </w:rPr>
          <w:t xml:space="preserve">https://doi.org/10.1016/j.psyneuen.2017.05.018</w:t>
        </w:r>
      </w:hyperlink>
    </w:p>
    <w:p>
      <w:pPr>
        <w:pStyle w:val="ReferenceEntry"/>
      </w:pPr>
      <w:bookmarkStart w:id="4367" w:name="ref-889"/>
      <w:r>
        <w:t xml:space="preserve">[889]</w:t>
      </w:r>
      <w:bookmarkEnd w:id="4367"/>
      <w:r>
        <w:t xml:space="preserve"> McEwen BS. Neurobiological and Systemic Effects of Chronic Stress.</w:t>
      </w:r>
      <w:r>
        <w:t xml:space="preserve"> </w:t>
      </w:r>
      <w:r>
        <w:rPr>
          <w:iCs/>
          <w:i/>
        </w:rPr>
        <w:t xml:space="preserve">Chronic Stress</w:t>
      </w:r>
      <w:r>
        <w:t xml:space="preserve">. 2017;1:2470547017692328.</w:t>
      </w:r>
      <w:r>
        <w:t xml:space="preserve"> </w:t>
      </w:r>
      <w:hyperlink r:id="rId4368">
        <w:r>
          <w:rPr>
            <w:rStyle w:val="Hyperlink"/>
          </w:rPr>
          <w:t xml:space="preserve">https://doi.org/10.1177/2470547017692328</w:t>
        </w:r>
      </w:hyperlink>
      <w:r>
        <w:t xml:space="preserve">（研究类型：慢性压力的神经生物学与全身效应综述）</w:t>
      </w:r>
    </w:p>
    <w:p>
      <w:pPr>
        <w:pStyle w:val="ReferenceEntry"/>
      </w:pPr>
      <w:bookmarkStart w:id="4369" w:name="ref-890"/>
      <w:r>
        <w:t xml:space="preserve">[890]</w:t>
      </w:r>
      <w:bookmarkEnd w:id="4369"/>
      <w:r>
        <w:t xml:space="preserve"> National Institute of Diabetes and Digestive and Kidney Diseases. Adrenal Insufficiency &amp; Addison’s Disease. 检索于2026年10月.</w:t>
      </w:r>
      <w:r>
        <w:t xml:space="preserve"> </w:t>
      </w:r>
      <w:hyperlink r:id="rId4370">
        <w:r>
          <w:rPr>
            <w:rStyle w:val="Hyperlink"/>
          </w:rPr>
          <w:t xml:space="preserve">https://www.niddk.nih.gov/health-information/endocrine-diseases/adrenal-insufficiency-addisons-disease</w:t>
        </w:r>
      </w:hyperlink>
      <w:r>
        <w:t xml:space="preserve">（研究类型：官方医学公众信息）</w:t>
      </w:r>
    </w:p>
    <w:p>
      <w:pPr>
        <w:pStyle w:val="ReferenceEntry"/>
      </w:pPr>
      <w:bookmarkStart w:id="4371" w:name="ref-891"/>
      <w:r>
        <w:t xml:space="preserve">[891]</w:t>
      </w:r>
      <w:bookmarkEnd w:id="4371"/>
      <w:r>
        <w:t xml:space="preserve"> Endocrine Society. Primary Adrenal Insufficiency Guideline Resources. 2016.</w:t>
      </w:r>
      <w:r>
        <w:t xml:space="preserve"> </w:t>
      </w:r>
      <w:hyperlink r:id="rId4372">
        <w:r>
          <w:rPr>
            <w:rStyle w:val="Hyperlink"/>
          </w:rPr>
          <w:t xml:space="preserve">https://www.endocrine.org/clinical-practice-guidelines/primary-adrenal-insufficiency</w:t>
        </w:r>
      </w:hyperlink>
      <w:r>
        <w:t xml:space="preserve">（研究类型：官方临床指南）</w:t>
      </w:r>
    </w:p>
    <w:p>
      <w:pPr>
        <w:pStyle w:val="ReferenceEntry"/>
      </w:pPr>
      <w:bookmarkStart w:id="4373" w:name="ref-892"/>
      <w:r>
        <w:t xml:space="preserve">[892]</w:t>
      </w:r>
      <w:bookmarkEnd w:id="4373"/>
      <w:r>
        <w:t xml:space="preserve"> Nicolaides NC; Pavlaki AN; Magiakou MA; Chrousos GP. Glucocorticoid Therapy and Adrenal Suppression. 2018.</w:t>
      </w:r>
      <w:r>
        <w:t xml:space="preserve"> </w:t>
      </w:r>
      <w:hyperlink r:id="rId4374">
        <w:r>
          <w:rPr>
            <w:rStyle w:val="Hyperlink"/>
          </w:rPr>
          <w:t xml:space="preserve">https://www.ncbi.nlm.nih.gov/books/NBK279156/</w:t>
        </w:r>
      </w:hyperlink>
      <w:r>
        <w:t xml:space="preserve">（研究类型：官方托管内分泌教材章节）</w:t>
      </w:r>
    </w:p>
    <w:p>
      <w:pPr>
        <w:pStyle w:val="ReferenceEntry"/>
      </w:pPr>
      <w:bookmarkStart w:id="4375" w:name="ref-893"/>
      <w:r>
        <w:t xml:space="preserve">[893]</w:t>
      </w:r>
      <w:bookmarkEnd w:id="4375"/>
      <w:r>
        <w:t xml:space="preserve"> Lightman SL, Birnie MT, Conway-Campbell BL. Dynamics of ACTH and Cortisol Secretion and Implications for Disease.</w:t>
      </w:r>
      <w:r>
        <w:t xml:space="preserve"> </w:t>
      </w:r>
      <w:r>
        <w:rPr>
          <w:iCs/>
          <w:i/>
        </w:rPr>
        <w:t xml:space="preserve">Endocrine Reviews</w:t>
      </w:r>
      <w:r>
        <w:t xml:space="preserve">. 2020;41(3):bnaa002.</w:t>
      </w:r>
      <w:r>
        <w:t xml:space="preserve"> </w:t>
      </w:r>
      <w:hyperlink r:id="rId4376">
        <w:r>
          <w:rPr>
            <w:rStyle w:val="Hyperlink"/>
          </w:rPr>
          <w:t xml:space="preserve">https://doi.org/10.1210/endrev/bnaa002</w:t>
        </w:r>
      </w:hyperlink>
      <w:r>
        <w:t xml:space="preserve">（研究类型：动态内分泌机制综述）</w:t>
      </w:r>
    </w:p>
    <w:p>
      <w:pPr>
        <w:pStyle w:val="ReferenceEntry"/>
      </w:pPr>
      <w:bookmarkStart w:id="4377" w:name="ref-894"/>
      <w:r>
        <w:t xml:space="preserve">[894]</w:t>
      </w:r>
      <w:bookmarkEnd w:id="4377"/>
      <w:r>
        <w:t xml:space="preserve"> Beuschlein F, Else T, Bancos I, Hahner S, Hamidi O, van Hulsteijn L, et al. European Society of Endocrinology and Endocrine Society Joint Clinical Guideline Diagnosis and Therapy of Glucocorticoid induced Adrenal Insufficiency.</w:t>
      </w:r>
      <w:r>
        <w:t xml:space="preserve"> </w:t>
      </w:r>
      <w:r>
        <w:rPr>
          <w:iCs/>
          <w:i/>
        </w:rPr>
        <w:t xml:space="preserve">The Journal of Clinical Endocrinology &amp; Metabolism</w:t>
      </w:r>
      <w:r>
        <w:t xml:space="preserve">. 2024;109(7):1657–1683.</w:t>
      </w:r>
      <w:r>
        <w:t xml:space="preserve"> </w:t>
      </w:r>
      <w:hyperlink r:id="rId4378">
        <w:r>
          <w:rPr>
            <w:rStyle w:val="Hyperlink"/>
          </w:rPr>
          <w:t xml:space="preserve">https://doi.org/10.1210/clinem/dgae250</w:t>
        </w:r>
      </w:hyperlink>
      <w:r>
        <w:t xml:space="preserve">（研究类型：官方临床指南）</w:t>
      </w:r>
    </w:p>
    <w:p>
      <w:pPr>
        <w:pStyle w:val="ReferenceEntry"/>
      </w:pPr>
      <w:bookmarkStart w:id="4379" w:name="ref-895"/>
      <w:r>
        <w:t xml:space="preserve">[895]</w:t>
      </w:r>
      <w:bookmarkEnd w:id="4379"/>
      <w:r>
        <w:t xml:space="preserve"> Arnsten AFT. Stress signalling pathways that impair prefrontal cortex structure and function.</w:t>
      </w:r>
      <w:r>
        <w:t xml:space="preserve"> </w:t>
      </w:r>
      <w:r>
        <w:rPr>
          <w:iCs/>
          <w:i/>
        </w:rPr>
        <w:t xml:space="preserve">Nature Reviews Neuroscience</w:t>
      </w:r>
      <w:r>
        <w:t xml:space="preserve">. 2009;10(6):410–422.</w:t>
      </w:r>
      <w:r>
        <w:t xml:space="preserve"> </w:t>
      </w:r>
      <w:hyperlink r:id="rId4380">
        <w:r>
          <w:rPr>
            <w:rStyle w:val="Hyperlink"/>
          </w:rPr>
          <w:t xml:space="preserve">https://doi.org/10.1038/nrn2648</w:t>
        </w:r>
      </w:hyperlink>
      <w:r>
        <w:t xml:space="preserve">（研究类型：机制综述）</w:t>
      </w:r>
    </w:p>
    <w:p>
      <w:pPr>
        <w:pStyle w:val="ReferenceEntry"/>
      </w:pPr>
      <w:bookmarkStart w:id="4381" w:name="ref-896"/>
      <w:r>
        <w:t xml:space="preserve">[896]</w:t>
      </w:r>
      <w:bookmarkEnd w:id="4381"/>
      <w:r>
        <w:t xml:space="preserve"> Wang M, Ramos BP, Paspalas CD, Shu Y, Simen A, Duque A, et al. Alpha2A adrenoceptors strengthen working memory networks by inhibiting cAMP HCN channel signaling in prefrontal cortex.</w:t>
      </w:r>
      <w:r>
        <w:t xml:space="preserve"> </w:t>
      </w:r>
      <w:r>
        <w:rPr>
          <w:iCs/>
          <w:i/>
        </w:rPr>
        <w:t xml:space="preserve">Cell</w:t>
      </w:r>
      <w:r>
        <w:t xml:space="preserve">. 2007;129(2):397–410.</w:t>
      </w:r>
      <w:r>
        <w:t xml:space="preserve"> </w:t>
      </w:r>
      <w:hyperlink r:id="rId4382">
        <w:r>
          <w:rPr>
            <w:rStyle w:val="Hyperlink"/>
          </w:rPr>
          <w:t xml:space="preserve">https://doi.org/10.1016/j.cell.2007.03.015</w:t>
        </w:r>
      </w:hyperlink>
      <w:r>
        <w:t xml:space="preserve">（研究类型：原始细胞回路药理研究）</w:t>
      </w:r>
    </w:p>
    <w:p>
      <w:pPr>
        <w:pStyle w:val="ReferenceEntry"/>
      </w:pPr>
      <w:bookmarkStart w:id="4383" w:name="ref-897"/>
      <w:r>
        <w:t xml:space="preserve">[897]</w:t>
      </w:r>
      <w:bookmarkEnd w:id="4383"/>
      <w:r>
        <w:t xml:space="preserve"> Arnsten AFT. Stress weakens prefrontal networks: molecular insults to higher cognition.</w:t>
      </w:r>
      <w:r>
        <w:t xml:space="preserve"> </w:t>
      </w:r>
      <w:r>
        <w:rPr>
          <w:iCs/>
          <w:i/>
        </w:rPr>
        <w:t xml:space="preserve">Nature Neuroscience</w:t>
      </w:r>
      <w:r>
        <w:t xml:space="preserve">. 2015;18(10):1376–1385.</w:t>
      </w:r>
      <w:r>
        <w:t xml:space="preserve"> </w:t>
      </w:r>
      <w:hyperlink r:id="rId4384">
        <w:r>
          <w:rPr>
            <w:rStyle w:val="Hyperlink"/>
          </w:rPr>
          <w:t xml:space="preserve">https://doi.org/10.1038/nn.4087</w:t>
        </w:r>
      </w:hyperlink>
      <w:r>
        <w:t xml:space="preserve">（研究类型：机制综述）</w:t>
      </w:r>
    </w:p>
    <w:p>
      <w:pPr>
        <w:pStyle w:val="ReferenceEntry"/>
      </w:pPr>
      <w:bookmarkStart w:id="4385" w:name="ref-898"/>
      <w:r>
        <w:t xml:space="preserve">[898]</w:t>
      </w:r>
      <w:bookmarkEnd w:id="4385"/>
      <w:r>
        <w:t xml:space="preserve"> Liston C, McEwen BS, Casey BJ. Psychosocial stress reversibly disrupts prefrontal processing and attentional control.</w:t>
      </w:r>
      <w:r>
        <w:t xml:space="preserve"> </w:t>
      </w:r>
      <w:r>
        <w:rPr>
          <w:iCs/>
          <w:i/>
        </w:rPr>
        <w:t xml:space="preserve">Proceedings of the National Academy of Sciences</w:t>
      </w:r>
      <w:r>
        <w:t xml:space="preserve">. 2009;106(3):912–917.</w:t>
      </w:r>
      <w:r>
        <w:t xml:space="preserve"> </w:t>
      </w:r>
      <w:hyperlink r:id="rId4386">
        <w:r>
          <w:rPr>
            <w:rStyle w:val="Hyperlink"/>
          </w:rPr>
          <w:t xml:space="preserve">https://doi.org/10.1073/pnas.0807041106</w:t>
        </w:r>
      </w:hyperlink>
      <w:r>
        <w:t xml:space="preserve">（研究类型：纵向自然压力研究）</w:t>
      </w:r>
    </w:p>
    <w:p>
      <w:pPr>
        <w:pStyle w:val="ReferenceEntry"/>
      </w:pPr>
      <w:bookmarkStart w:id="4387" w:name="ref-899"/>
      <w:r>
        <w:t xml:space="preserve">[899]</w:t>
      </w:r>
      <w:bookmarkEnd w:id="4387"/>
      <w:r>
        <w:t xml:space="preserve"> McEwen BS. Protective and Damaging Effects of Stress Mediators.</w:t>
      </w:r>
      <w:r>
        <w:t xml:space="preserve"> </w:t>
      </w:r>
      <w:r>
        <w:rPr>
          <w:iCs/>
          <w:i/>
        </w:rPr>
        <w:t xml:space="preserve">New England Journal of Medicine</w:t>
      </w:r>
      <w:r>
        <w:t xml:space="preserve">. 1998;338(3):171–179.</w:t>
      </w:r>
      <w:r>
        <w:t xml:space="preserve"> </w:t>
      </w:r>
      <w:hyperlink r:id="rId4388">
        <w:r>
          <w:rPr>
            <w:rStyle w:val="Hyperlink"/>
          </w:rPr>
          <w:t xml:space="preserve">https://doi.org/10.1056/NEJM199801153380307</w:t>
        </w:r>
      </w:hyperlink>
      <w:r>
        <w:t xml:space="preserve">（研究类型：机制综述）</w:t>
      </w:r>
    </w:p>
    <w:p>
      <w:pPr>
        <w:pStyle w:val="ReferenceEntry"/>
      </w:pPr>
      <w:bookmarkStart w:id="4389" w:name="ref-900"/>
      <w:r>
        <w:t xml:space="preserve">[900]</w:t>
      </w:r>
      <w:bookmarkEnd w:id="4389"/>
      <w:r>
        <w:t xml:space="preserve"> de Quervain DJF, Roozendaal B, Nitsch RM, McGaugh JL, Hock C. Acute cortisone administration impairs retrieval of long term declarative memory in humans.</w:t>
      </w:r>
      <w:r>
        <w:t xml:space="preserve"> </w:t>
      </w:r>
      <w:r>
        <w:rPr>
          <w:iCs/>
          <w:i/>
        </w:rPr>
        <w:t xml:space="preserve">Nature Neuroscience</w:t>
      </w:r>
      <w:r>
        <w:t xml:space="preserve">. 2000;3(4):313–314.</w:t>
      </w:r>
      <w:r>
        <w:t xml:space="preserve"> </w:t>
      </w:r>
      <w:hyperlink r:id="rId4390">
        <w:r>
          <w:rPr>
            <w:rStyle w:val="Hyperlink"/>
          </w:rPr>
          <w:t xml:space="preserve">https://doi.org/10.1038/73873</w:t>
        </w:r>
      </w:hyperlink>
      <w:r>
        <w:t xml:space="preserve">（研究类型：双盲安慰剂对照阶段性给药）</w:t>
      </w:r>
    </w:p>
    <w:p>
      <w:pPr>
        <w:pStyle w:val="ReferenceEntry"/>
      </w:pPr>
      <w:bookmarkStart w:id="4391" w:name="ref-901"/>
      <w:r>
        <w:t xml:space="preserve">[901]</w:t>
      </w:r>
      <w:bookmarkEnd w:id="4391"/>
      <w:r>
        <w:t xml:space="preserve"> Berntson GG, Cacioppo JT, Quigley KS. Autonomic determinism: The modes of autonomic control, the doctrine of autonomic space, and the laws of autonomic constraint.</w:t>
      </w:r>
      <w:r>
        <w:t xml:space="preserve"> </w:t>
      </w:r>
      <w:r>
        <w:rPr>
          <w:iCs/>
          <w:i/>
        </w:rPr>
        <w:t xml:space="preserve">Psychological Review</w:t>
      </w:r>
      <w:r>
        <w:t xml:space="preserve">. 1991;98(4):459–487.</w:t>
      </w:r>
      <w:r>
        <w:t xml:space="preserve"> </w:t>
      </w:r>
      <w:hyperlink r:id="rId4392">
        <w:r>
          <w:rPr>
            <w:rStyle w:val="Hyperlink"/>
          </w:rPr>
          <w:t xml:space="preserve">https://doi.org/10.1037/0033-295x.98.4.459</w:t>
        </w:r>
      </w:hyperlink>
    </w:p>
    <w:p>
      <w:pPr>
        <w:pStyle w:val="ReferenceEntry"/>
      </w:pPr>
      <w:bookmarkStart w:id="4393" w:name="ref-902"/>
      <w:r>
        <w:t xml:space="preserve">[902]</w:t>
      </w:r>
      <w:bookmarkEnd w:id="4393"/>
      <w:r>
        <w:t xml:space="preserve"> Zimmerman CA, Lin YC, Leib DE, Guo L, Huey EL, Daly GE, et al. Thirst neurons anticipate the homeostatic consequences of eating and drinking.</w:t>
      </w:r>
      <w:r>
        <w:t xml:space="preserve"> </w:t>
      </w:r>
      <w:r>
        <w:rPr>
          <w:iCs/>
          <w:i/>
        </w:rPr>
        <w:t xml:space="preserve">Nature</w:t>
      </w:r>
      <w:r>
        <w:t xml:space="preserve">. 2016;537(7622):680–684.</w:t>
      </w:r>
      <w:r>
        <w:t xml:space="preserve"> </w:t>
      </w:r>
      <w:hyperlink r:id="rId4394">
        <w:r>
          <w:rPr>
            <w:rStyle w:val="Hyperlink"/>
          </w:rPr>
          <w:t xml:space="preserve">https://doi.org/10.1038/nature18950</w:t>
        </w:r>
      </w:hyperlink>
      <w:r>
        <w:t xml:space="preserve">（研究类型：清醒小鼠渴相关细胞记录与回路研究）</w:t>
      </w:r>
    </w:p>
    <w:p>
      <w:pPr>
        <w:pStyle w:val="ReferenceEntry"/>
      </w:pPr>
      <w:bookmarkStart w:id="4395" w:name="ref-903"/>
      <w:r>
        <w:t xml:space="preserve">[903]</w:t>
      </w:r>
      <w:bookmarkEnd w:id="4395"/>
      <w:r>
        <w:t xml:space="preserve"> Chen Y, Lin YC, Kuo TW, Knight ZA. Sensory detection of food rapidly modulates arcuate feeding circuits.</w:t>
      </w:r>
      <w:r>
        <w:t xml:space="preserve"> </w:t>
      </w:r>
      <w:r>
        <w:rPr>
          <w:iCs/>
          <w:i/>
        </w:rPr>
        <w:t xml:space="preserve">Cell</w:t>
      </w:r>
      <w:r>
        <w:t xml:space="preserve">. 2015;160(5):829–841.</w:t>
      </w:r>
      <w:r>
        <w:t xml:space="preserve"> </w:t>
      </w:r>
      <w:hyperlink r:id="rId4396">
        <w:r>
          <w:rPr>
            <w:rStyle w:val="Hyperlink"/>
          </w:rPr>
          <w:t xml:space="preserve">https://doi.org/10.1016/j.cell.2015.01.033</w:t>
        </w:r>
      </w:hyperlink>
      <w:r>
        <w:t xml:space="preserve">（研究类型：清醒小鼠摄食相关细胞光学记录）</w:t>
      </w:r>
    </w:p>
    <w:p>
      <w:pPr>
        <w:pStyle w:val="ReferenceEntry"/>
      </w:pPr>
      <w:bookmarkStart w:id="4397" w:name="ref-904"/>
      <w:r>
        <w:t xml:space="preserve">[904]</w:t>
      </w:r>
      <w:bookmarkEnd w:id="4397"/>
      <w:r>
        <w:t xml:space="preserve"> Purves D, Augustine GJ, Fitzpatrick D, et al., editors.</w:t>
      </w:r>
      <w:r>
        <w:t xml:space="preserve"> </w:t>
      </w:r>
      <w:r>
        <w:rPr>
          <w:iCs/>
          <w:i/>
        </w:rPr>
        <w:t xml:space="preserve">Neuroscience</w:t>
      </w:r>
      <w:r>
        <w:t xml:space="preserve">. 2nd ed. 2001. Chapter: The Visceral Motor System.</w:t>
      </w:r>
      <w:r>
        <w:t xml:space="preserve"> </w:t>
      </w:r>
      <w:hyperlink r:id="rId4398">
        <w:r>
          <w:rPr>
            <w:rStyle w:val="Hyperlink"/>
          </w:rPr>
          <w:t xml:space="preserve">https://www.ncbi.nlm.nih.gov/books/NBK11023/</w:t>
        </w:r>
      </w:hyperlink>
      <w:r>
        <w:t xml:space="preserve">（研究类型：神经科学教材章节）</w:t>
      </w:r>
    </w:p>
    <w:p>
      <w:pPr>
        <w:pStyle w:val="ReferenceEntry"/>
      </w:pPr>
      <w:bookmarkStart w:id="4399" w:name="ref-905"/>
      <w:r>
        <w:t xml:space="preserve">[905]</w:t>
      </w:r>
      <w:bookmarkEnd w:id="4399"/>
      <w:r>
        <w:t xml:space="preserve"> Purves D, Augustine GJ, Fitzpatrick D, et al., editors.</w:t>
      </w:r>
      <w:r>
        <w:t xml:space="preserve"> </w:t>
      </w:r>
      <w:r>
        <w:rPr>
          <w:iCs/>
          <w:i/>
        </w:rPr>
        <w:t xml:space="preserve">Neuroscience</w:t>
      </w:r>
      <w:r>
        <w:t xml:space="preserve">. 2nd ed. 2001. Chapter: Neurotransmission in the Visceral Motor System.</w:t>
      </w:r>
      <w:r>
        <w:t xml:space="preserve"> </w:t>
      </w:r>
      <w:hyperlink r:id="rId4400">
        <w:r>
          <w:rPr>
            <w:rStyle w:val="Hyperlink"/>
          </w:rPr>
          <w:t xml:space="preserve">https://www.ncbi.nlm.nih.gov/books/NBK10854/</w:t>
        </w:r>
      </w:hyperlink>
      <w:r>
        <w:t xml:space="preserve">（研究类型：神经科学教材章节）</w:t>
      </w:r>
    </w:p>
    <w:p>
      <w:pPr>
        <w:pStyle w:val="ReferenceEntry"/>
      </w:pPr>
      <w:bookmarkStart w:id="4401" w:name="ref-906"/>
      <w:r>
        <w:t xml:space="preserve">[906]</w:t>
      </w:r>
      <w:bookmarkEnd w:id="4401"/>
      <w:r>
        <w:t xml:space="preserve"> Zeng WZ, Marshall KL, Min S, Daou I, Chapleau MW, Abboud FM, et al. PIEZOs mediate neuronal sensing of blood pressure and the baroreceptor reflex.</w:t>
      </w:r>
      <w:r>
        <w:t xml:space="preserve"> </w:t>
      </w:r>
      <w:r>
        <w:rPr>
          <w:iCs/>
          <w:i/>
        </w:rPr>
        <w:t xml:space="preserve">Science</w:t>
      </w:r>
      <w:r>
        <w:t xml:space="preserve">. 2018;362(6413):464–467.</w:t>
      </w:r>
      <w:r>
        <w:t xml:space="preserve"> </w:t>
      </w:r>
      <w:hyperlink r:id="rId4402">
        <w:r>
          <w:rPr>
            <w:rStyle w:val="Hyperlink"/>
          </w:rPr>
          <w:t xml:space="preserve">https://doi.org/10.1126/science.aau6324</w:t>
        </w:r>
      </w:hyperlink>
      <w:r>
        <w:t xml:space="preserve">（研究类型：小鼠遗传消融电生理及光遗传压力反射实验）</w:t>
      </w:r>
    </w:p>
    <w:p>
      <w:pPr>
        <w:pStyle w:val="ReferenceEntry"/>
      </w:pPr>
      <w:bookmarkStart w:id="4403" w:name="ref-907"/>
      <w:r>
        <w:t xml:space="preserve">[907]</w:t>
      </w:r>
      <w:bookmarkEnd w:id="4403"/>
      <w:r>
        <w:t xml:space="preserve"> Smith JC, Ellenberger HH, Ballanyi K, Richter DW, Feldman JL. Pre-Bötzinger complex: a brainstem region that may generate respiratory rhythm in mammals.</w:t>
      </w:r>
      <w:r>
        <w:t xml:space="preserve"> </w:t>
      </w:r>
      <w:r>
        <w:rPr>
          <w:iCs/>
          <w:i/>
        </w:rPr>
        <w:t xml:space="preserve">Science</w:t>
      </w:r>
      <w:r>
        <w:t xml:space="preserve">. 1991;254(5032):726–729.</w:t>
      </w:r>
      <w:r>
        <w:t xml:space="preserve"> </w:t>
      </w:r>
      <w:hyperlink r:id="rId4404">
        <w:r>
          <w:rPr>
            <w:rStyle w:val="Hyperlink"/>
          </w:rPr>
          <w:t xml:space="preserve">https://doi.org/10.1126/science.1683005</w:t>
        </w:r>
      </w:hyperlink>
      <w:r>
        <w:t xml:space="preserve">（研究类型：新生大鼠脑干切片微切与电生理）</w:t>
      </w:r>
    </w:p>
    <w:p>
      <w:pPr>
        <w:pStyle w:val="ReferenceEntry"/>
      </w:pPr>
      <w:bookmarkStart w:id="4405" w:name="ref-908"/>
      <w:r>
        <w:t xml:space="preserve">[908]</w:t>
      </w:r>
      <w:bookmarkEnd w:id="4405"/>
      <w:r>
        <w:t xml:space="preserve"> Guyenet PG, Bayliss DA. Neural Control of Breathing and CO2 Homeostasis.</w:t>
      </w:r>
      <w:r>
        <w:t xml:space="preserve"> </w:t>
      </w:r>
      <w:r>
        <w:rPr>
          <w:iCs/>
          <w:i/>
        </w:rPr>
        <w:t xml:space="preserve">Neuron</w:t>
      </w:r>
      <w:r>
        <w:t xml:space="preserve">. 2015;87(5):946–961.</w:t>
      </w:r>
      <w:r>
        <w:t xml:space="preserve"> </w:t>
      </w:r>
      <w:hyperlink r:id="rId4406">
        <w:r>
          <w:rPr>
            <w:rStyle w:val="Hyperlink"/>
          </w:rPr>
          <w:t xml:space="preserve">https://doi.org/10.1016/j.neuron.2015.08.001</w:t>
        </w:r>
      </w:hyperlink>
      <w:r>
        <w:t xml:space="preserve">（研究类型：呼吸化学感受与回路机制综述）</w:t>
      </w:r>
    </w:p>
    <w:p>
      <w:pPr>
        <w:pStyle w:val="ReferenceEntry"/>
      </w:pPr>
      <w:bookmarkStart w:id="4407" w:name="ref-909"/>
      <w:r>
        <w:t xml:space="preserve">[909]</w:t>
      </w:r>
      <w:bookmarkEnd w:id="4407"/>
      <w:r>
        <w:t xml:space="preserve"> Tan CL, Cooke EK, Leib DE, Lin YC, Daly GE, Zimmerman CA, et al. Warm-Sensitive Neurons that Control Body Temperature.</w:t>
      </w:r>
      <w:r>
        <w:t xml:space="preserve"> </w:t>
      </w:r>
      <w:r>
        <w:rPr>
          <w:iCs/>
          <w:i/>
        </w:rPr>
        <w:t xml:space="preserve">Cell</w:t>
      </w:r>
      <w:r>
        <w:t xml:space="preserve">. 2016;167(1):47–59.e15.</w:t>
      </w:r>
      <w:r>
        <w:t xml:space="preserve"> </w:t>
      </w:r>
      <w:hyperlink r:id="rId4408">
        <w:r>
          <w:rPr>
            <w:rStyle w:val="Hyperlink"/>
          </w:rPr>
          <w:t xml:space="preserve">https://doi.org/10.1016/j.cell.2016.08.028</w:t>
        </w:r>
      </w:hyperlink>
      <w:r>
        <w:t xml:space="preserve">（研究类型：小鼠温敏细胞记录和功能操纵）</w:t>
      </w:r>
    </w:p>
    <w:p>
      <w:pPr>
        <w:pStyle w:val="ReferenceEntry"/>
      </w:pPr>
      <w:bookmarkStart w:id="4409" w:name="ref-910"/>
      <w:r>
        <w:t xml:space="preserve">[910]</w:t>
      </w:r>
      <w:bookmarkEnd w:id="4409"/>
      <w:r>
        <w:t xml:space="preserve"> Halaas JL, Gajiwala KS, Maffei M, Cohen SL, Chait BT, Rabinowitz D, et al. Weight-reducing effects of the plasma protein encoded by the obese gene.</w:t>
      </w:r>
      <w:r>
        <w:t xml:space="preserve"> </w:t>
      </w:r>
      <w:r>
        <w:rPr>
          <w:iCs/>
          <w:i/>
        </w:rPr>
        <w:t xml:space="preserve">Science</w:t>
      </w:r>
      <w:r>
        <w:t xml:space="preserve">. 1995;269(5223):543–546.</w:t>
      </w:r>
      <w:r>
        <w:t xml:space="preserve"> </w:t>
      </w:r>
      <w:hyperlink r:id="rId4410">
        <w:r>
          <w:rPr>
            <w:rStyle w:val="Hyperlink"/>
          </w:rPr>
          <w:t xml:space="preserve">https://doi.org/10.1126/science.7624777</w:t>
        </w:r>
      </w:hyperlink>
      <w:r>
        <w:t xml:space="preserve">（研究类型：瘦素相关小鼠蛋白补充实验）</w:t>
      </w:r>
    </w:p>
    <w:p>
      <w:pPr>
        <w:pStyle w:val="ReferenceEntry"/>
      </w:pPr>
      <w:bookmarkStart w:id="4411" w:name="ref-911"/>
      <w:r>
        <w:t xml:space="preserve">[911]</w:t>
      </w:r>
      <w:bookmarkEnd w:id="4411"/>
      <w:r>
        <w:t xml:space="preserve"> Mariotti S; Beck-Peccoz P. Physiology of the Hypothalamic-Pituitary-Thyroid Axis. 2021.</w:t>
      </w:r>
      <w:r>
        <w:t xml:space="preserve"> </w:t>
      </w:r>
      <w:hyperlink r:id="rId4412">
        <w:r>
          <w:rPr>
            <w:rStyle w:val="Hyperlink"/>
          </w:rPr>
          <w:t xml:space="preserve">https://www.ncbi.nlm.nih.gov/books/NBK278958/</w:t>
        </w:r>
      </w:hyperlink>
      <w:r>
        <w:t xml:space="preserve">（研究类型：Endotext内分泌生理综述章节）</w:t>
      </w:r>
    </w:p>
    <w:p>
      <w:pPr>
        <w:pStyle w:val="ReferenceEntry"/>
      </w:pPr>
      <w:bookmarkStart w:id="4413" w:name="ref-912"/>
      <w:r>
        <w:t xml:space="preserve">[912]</w:t>
      </w:r>
      <w:bookmarkEnd w:id="4413"/>
      <w:r>
        <w:t xml:space="preserve"> Olarescu NC, Gunawardane K, Hansen TK, Møller N, Jørgensen JOL. Normal Physiology of Growth Hormone in Adults.</w:t>
      </w:r>
      <w:r>
        <w:t xml:space="preserve"> </w:t>
      </w:r>
      <w:r>
        <w:rPr>
          <w:iCs/>
          <w:i/>
        </w:rPr>
        <w:t xml:space="preserve">Endotext</w:t>
      </w:r>
      <w:r>
        <w:t xml:space="preserve">. 2025.</w:t>
      </w:r>
      <w:r>
        <w:t xml:space="preserve"> </w:t>
      </w:r>
      <w:hyperlink r:id="rId4414">
        <w:r>
          <w:rPr>
            <w:rStyle w:val="Hyperlink"/>
          </w:rPr>
          <w:t xml:space="preserve">https://www.ncbi.nlm.nih.gov/books/NBK279056/</w:t>
        </w:r>
      </w:hyperlink>
      <w:r>
        <w:t xml:space="preserve">（研究类型：Endotext成人生长激素生理综述章节）</w:t>
      </w:r>
    </w:p>
    <w:p>
      <w:pPr>
        <w:pStyle w:val="ReferenceEntry"/>
      </w:pPr>
      <w:bookmarkStart w:id="4415" w:name="ref-913"/>
      <w:r>
        <w:t xml:space="preserve">[913]</w:t>
      </w:r>
      <w:bookmarkEnd w:id="4415"/>
      <w:r>
        <w:t xml:space="preserve"> Belchetz PE, Plant TM, Nakai Y, Keogh EJ, Knobil E. Hypophysial responses to continuous and intermittent delivery of hypothalamic gonadotropin-releasing hormone.</w:t>
      </w:r>
      <w:r>
        <w:t xml:space="preserve"> </w:t>
      </w:r>
      <w:r>
        <w:rPr>
          <w:iCs/>
          <w:i/>
        </w:rPr>
        <w:t xml:space="preserve">Science</w:t>
      </w:r>
      <w:r>
        <w:t xml:space="preserve">. 1978;202(4368):631–633.</w:t>
      </w:r>
      <w:r>
        <w:t xml:space="preserve"> </w:t>
      </w:r>
      <w:hyperlink r:id="rId4416">
        <w:r>
          <w:rPr>
            <w:rStyle w:val="Hyperlink"/>
          </w:rPr>
          <w:t xml:space="preserve">https://doi.org/10.1126/science.100883</w:t>
        </w:r>
      </w:hyperlink>
      <w:r>
        <w:t xml:space="preserve">（研究类型：下丘脑病损猕猴连续与间歇GnRH实验）</w:t>
      </w:r>
    </w:p>
    <w:p>
      <w:pPr>
        <w:pStyle w:val="ReferenceEntry"/>
      </w:pPr>
      <w:bookmarkStart w:id="4417" w:name="ref-914"/>
      <w:r>
        <w:t xml:space="preserve">[914]</w:t>
      </w:r>
      <w:bookmarkEnd w:id="4417"/>
      <w:r>
        <w:t xml:space="preserve"> Clarkson J, Han SY, Piet R, McLennan T, Kane GM, Ng J, et al. Definition of the hypothalamic GnRH pulse generator in mice.</w:t>
      </w:r>
      <w:r>
        <w:t xml:space="preserve"> </w:t>
      </w:r>
      <w:r>
        <w:rPr>
          <w:iCs/>
          <w:i/>
        </w:rPr>
        <w:t xml:space="preserve">Proceedings of the National Academy of Sciences</w:t>
      </w:r>
      <w:r>
        <w:t xml:space="preserve">. 2017;114(47).</w:t>
      </w:r>
      <w:r>
        <w:t xml:space="preserve"> </w:t>
      </w:r>
      <w:hyperlink r:id="rId4418">
        <w:r>
          <w:rPr>
            <w:rStyle w:val="Hyperlink"/>
          </w:rPr>
          <w:t xml:space="preserve">https://doi.org/10.1073/pnas.1713897114</w:t>
        </w:r>
      </w:hyperlink>
      <w:r>
        <w:t xml:space="preserve">（研究类型：小鼠细胞记录与光遗传促性腺轴实验）</w:t>
      </w:r>
    </w:p>
    <w:p>
      <w:pPr>
        <w:pStyle w:val="ReferenceEntry"/>
      </w:pPr>
      <w:bookmarkStart w:id="4419" w:name="ref-915"/>
      <w:r>
        <w:t xml:space="preserve">[915]</w:t>
      </w:r>
      <w:bookmarkEnd w:id="4419"/>
      <w:r>
        <w:t xml:space="preserve"> Takahashi JS. Transcriptional architecture of the mammalian circadian clock.</w:t>
      </w:r>
      <w:r>
        <w:t xml:space="preserve"> </w:t>
      </w:r>
      <w:r>
        <w:rPr>
          <w:iCs/>
          <w:i/>
        </w:rPr>
        <w:t xml:space="preserve">Nature Reviews Genetics</w:t>
      </w:r>
      <w:r>
        <w:t xml:space="preserve">. 2017;18(3):164–179.</w:t>
      </w:r>
      <w:r>
        <w:t xml:space="preserve"> </w:t>
      </w:r>
      <w:hyperlink r:id="rId4420">
        <w:r>
          <w:rPr>
            <w:rStyle w:val="Hyperlink"/>
          </w:rPr>
          <w:t xml:space="preserve">https://doi.org/10.1038/nrg.2016.150</w:t>
        </w:r>
      </w:hyperlink>
      <w:r>
        <w:t xml:space="preserve">（研究类型：哺乳动物时钟分子机制综述）</w:t>
      </w:r>
    </w:p>
    <w:p>
      <w:pPr>
        <w:pStyle w:val="ReferenceEntry"/>
      </w:pPr>
      <w:bookmarkStart w:id="4421" w:name="ref-916"/>
      <w:r>
        <w:t xml:space="preserve">[916]</w:t>
      </w:r>
      <w:bookmarkEnd w:id="4421"/>
      <w:r>
        <w:t xml:space="preserve"> Berthoud HR, Neuhuber WL. Functional and chemical anatomy of the afferent vagal system.</w:t>
      </w:r>
      <w:r>
        <w:t xml:space="preserve"> </w:t>
      </w:r>
      <w:r>
        <w:rPr>
          <w:iCs/>
          <w:i/>
        </w:rPr>
        <w:t xml:space="preserve">Autonomic Neuroscience</w:t>
      </w:r>
      <w:r>
        <w:t xml:space="preserve">. 2000;85(1-3):1–17.</w:t>
      </w:r>
      <w:r>
        <w:t xml:space="preserve"> </w:t>
      </w:r>
      <w:hyperlink r:id="rId4422">
        <w:r>
          <w:rPr>
            <w:rStyle w:val="Hyperlink"/>
          </w:rPr>
          <w:t xml:space="preserve">https://doi.org/10.1016/s1566-0702(00)00215-0</w:t>
        </w:r>
      </w:hyperlink>
    </w:p>
    <w:p>
      <w:pPr>
        <w:pStyle w:val="ReferenceEntry"/>
      </w:pPr>
      <w:bookmarkStart w:id="4423" w:name="ref-917"/>
      <w:r>
        <w:t xml:space="preserve">[917]</w:t>
      </w:r>
      <w:bookmarkEnd w:id="4423"/>
      <w:r>
        <w:t xml:space="preserve"> Porges SW. Orienting in a defensive world: Mammalian modifications of our evolutionary heritage. A Polyvagal Theory.</w:t>
      </w:r>
      <w:r>
        <w:t xml:space="preserve"> </w:t>
      </w:r>
      <w:r>
        <w:rPr>
          <w:iCs/>
          <w:i/>
        </w:rPr>
        <w:t xml:space="preserve">Psychophysiology</w:t>
      </w:r>
      <w:r>
        <w:t xml:space="preserve">. 1995;32(4):301–318.</w:t>
      </w:r>
      <w:r>
        <w:t xml:space="preserve"> </w:t>
      </w:r>
      <w:hyperlink r:id="rId4424">
        <w:r>
          <w:rPr>
            <w:rStyle w:val="Hyperlink"/>
          </w:rPr>
          <w:t xml:space="preserve">https://doi.org/10.1111/j.1469-8986.1995.tb01213.x</w:t>
        </w:r>
      </w:hyperlink>
    </w:p>
    <w:p>
      <w:pPr>
        <w:pStyle w:val="ReferenceEntry"/>
      </w:pPr>
      <w:bookmarkStart w:id="4425" w:name="ref-918"/>
      <w:r>
        <w:t xml:space="preserve">[918]</w:t>
      </w:r>
      <w:bookmarkEnd w:id="4425"/>
      <w:r>
        <w:t xml:space="preserve"> Porges SW. Polyvagal Theory: A Science of Safety.</w:t>
      </w:r>
      <w:r>
        <w:t xml:space="preserve"> </w:t>
      </w:r>
      <w:r>
        <w:rPr>
          <w:iCs/>
          <w:i/>
        </w:rPr>
        <w:t xml:space="preserve">Frontiers in Integrative Neuroscience</w:t>
      </w:r>
      <w:r>
        <w:t xml:space="preserve">. 2022;16:871227.</w:t>
      </w:r>
      <w:r>
        <w:t xml:space="preserve"> </w:t>
      </w:r>
      <w:hyperlink r:id="rId4426">
        <w:r>
          <w:rPr>
            <w:rStyle w:val="Hyperlink"/>
          </w:rPr>
          <w:t xml:space="preserve">https://doi.org/10.3389/fnint.2022.871227</w:t>
        </w:r>
      </w:hyperlink>
    </w:p>
    <w:p>
      <w:pPr>
        <w:pStyle w:val="ReferenceEntry"/>
      </w:pPr>
      <w:bookmarkStart w:id="4427" w:name="ref-919"/>
      <w:r>
        <w:t xml:space="preserve">[919]</w:t>
      </w:r>
      <w:bookmarkEnd w:id="4427"/>
      <w:r>
        <w:t xml:space="preserve"> Grossman P, Taylor EW. Toward understanding respiratory sinus arrhythmia: Relations to cardiac vagal tone, evolution and biobehavioral functions.</w:t>
      </w:r>
      <w:r>
        <w:t xml:space="preserve"> </w:t>
      </w:r>
      <w:r>
        <w:rPr>
          <w:iCs/>
          <w:i/>
        </w:rPr>
        <w:t xml:space="preserve">Biological Psychology</w:t>
      </w:r>
      <w:r>
        <w:t xml:space="preserve">. 2007;74(2):263–285.</w:t>
      </w:r>
      <w:r>
        <w:t xml:space="preserve"> </w:t>
      </w:r>
      <w:hyperlink r:id="rId4428">
        <w:r>
          <w:rPr>
            <w:rStyle w:val="Hyperlink"/>
          </w:rPr>
          <w:t xml:space="preserve">https://doi.org/10.1016/j.biopsycho.2005.11.014</w:t>
        </w:r>
      </w:hyperlink>
    </w:p>
    <w:p>
      <w:pPr>
        <w:pStyle w:val="ReferenceEntry"/>
      </w:pPr>
      <w:bookmarkStart w:id="4429" w:name="ref-920"/>
      <w:r>
        <w:t xml:space="preserve">[920]</w:t>
      </w:r>
      <w:bookmarkEnd w:id="4429"/>
      <w:r>
        <w:t xml:space="preserve"> Grossman P. Fundamental challenges and likely refutations of the five basic premises of the polyvagal theory.</w:t>
      </w:r>
      <w:r>
        <w:t xml:space="preserve"> </w:t>
      </w:r>
      <w:r>
        <w:rPr>
          <w:iCs/>
          <w:i/>
        </w:rPr>
        <w:t xml:space="preserve">Biological Psychology</w:t>
      </w:r>
      <w:r>
        <w:t xml:space="preserve">. 2023;180:108589.</w:t>
      </w:r>
      <w:r>
        <w:t xml:space="preserve"> </w:t>
      </w:r>
      <w:hyperlink r:id="rId4430">
        <w:r>
          <w:rPr>
            <w:rStyle w:val="Hyperlink"/>
          </w:rPr>
          <w:t xml:space="preserve">https://doi.org/10.1016/j.biopsycho.2023.108589</w:t>
        </w:r>
      </w:hyperlink>
    </w:p>
    <w:p>
      <w:pPr>
        <w:pStyle w:val="ReferenceEntry"/>
      </w:pPr>
      <w:bookmarkStart w:id="4431" w:name="ref-921"/>
      <w:r>
        <w:t xml:space="preserve">[921]</w:t>
      </w:r>
      <w:bookmarkEnd w:id="4431"/>
      <w:r>
        <w:t xml:space="preserve"> Monteiro DA, Taylor EW, Sartori MR, et al. Cardiorespiratory interactions previously identified as mammalian are present in the primitive lungfish.</w:t>
      </w:r>
      <w:r>
        <w:t xml:space="preserve"> </w:t>
      </w:r>
      <w:r>
        <w:rPr>
          <w:iCs/>
          <w:i/>
        </w:rPr>
        <w:t xml:space="preserve">Science Advances</w:t>
      </w:r>
      <w:r>
        <w:t xml:space="preserve">. 2018;4(2):eaaq0800.</w:t>
      </w:r>
      <w:r>
        <w:t xml:space="preserve"> </w:t>
      </w:r>
      <w:hyperlink r:id="rId4432">
        <w:r>
          <w:rPr>
            <w:rStyle w:val="Hyperlink"/>
          </w:rPr>
          <w:t xml:space="preserve">https://doi.org/10.1126/sciadv.aaq0800</w:t>
        </w:r>
      </w:hyperlink>
    </w:p>
    <w:p>
      <w:pPr>
        <w:pStyle w:val="ReferenceEntry"/>
      </w:pPr>
      <w:bookmarkStart w:id="4433" w:name="ref-922"/>
      <w:r>
        <w:t xml:space="preserve">[922]</w:t>
      </w:r>
      <w:bookmarkEnd w:id="4433"/>
      <w:r>
        <w:t xml:space="preserve"> Sanches PVW, Taylor EW, Duran LM, et al. Respiratory sinus arrhythmia is a major component of heart rate variability in undisturbed, remotely monitored rattlesnakes, Crotalus durissus.</w:t>
      </w:r>
      <w:r>
        <w:t xml:space="preserve"> </w:t>
      </w:r>
      <w:r>
        <w:rPr>
          <w:iCs/>
          <w:i/>
        </w:rPr>
        <w:t xml:space="preserve">Journal of Experimental Biology</w:t>
      </w:r>
      <w:r>
        <w:t xml:space="preserve">. 2019;222(9):jeb197954.</w:t>
      </w:r>
      <w:r>
        <w:t xml:space="preserve"> </w:t>
      </w:r>
      <w:hyperlink r:id="rId4434">
        <w:r>
          <w:rPr>
            <w:rStyle w:val="Hyperlink"/>
          </w:rPr>
          <w:t xml:space="preserve">https://doi.org/10.1242/jeb.197954</w:t>
        </w:r>
      </w:hyperlink>
    </w:p>
    <w:p>
      <w:pPr>
        <w:pStyle w:val="ReferenceEntry"/>
      </w:pPr>
      <w:bookmarkStart w:id="4435" w:name="ref-923"/>
      <w:r>
        <w:t xml:space="preserve">[923]</w:t>
      </w:r>
      <w:bookmarkEnd w:id="4435"/>
      <w:r>
        <w:t xml:space="preserve"> Doody JS, Burghardt G, Dinets V. The evolution of sociality and the polyvagal theory.</w:t>
      </w:r>
      <w:r>
        <w:t xml:space="preserve"> </w:t>
      </w:r>
      <w:r>
        <w:rPr>
          <w:iCs/>
          <w:i/>
        </w:rPr>
        <w:t xml:space="preserve">Biological Psychology</w:t>
      </w:r>
      <w:r>
        <w:t xml:space="preserve">. 2023;180:108569.</w:t>
      </w:r>
      <w:r>
        <w:t xml:space="preserve"> </w:t>
      </w:r>
      <w:hyperlink r:id="rId4436">
        <w:r>
          <w:rPr>
            <w:rStyle w:val="Hyperlink"/>
          </w:rPr>
          <w:t xml:space="preserve">https://doi.org/10.1016/j.biopsycho.2023.108569</w:t>
        </w:r>
      </w:hyperlink>
    </w:p>
    <w:p>
      <w:pPr>
        <w:pStyle w:val="ReferenceEntry"/>
      </w:pPr>
      <w:bookmarkStart w:id="4437" w:name="ref-924"/>
      <w:r>
        <w:t xml:space="preserve">[924]</w:t>
      </w:r>
      <w:bookmarkEnd w:id="4437"/>
      <w:r>
        <w:t xml:space="preserve"> Strain MM, Conley NJ, Kauffman LS, et al. Dorsal motor vagal neurons can elicit bradycardia and reduce anxiety-like behavior.</w:t>
      </w:r>
      <w:r>
        <w:t xml:space="preserve"> </w:t>
      </w:r>
      <w:r>
        <w:rPr>
          <w:iCs/>
          <w:i/>
        </w:rPr>
        <w:t xml:space="preserve">iScience</w:t>
      </w:r>
      <w:r>
        <w:t xml:space="preserve">. 2024;27(3):109137.</w:t>
      </w:r>
      <w:r>
        <w:t xml:space="preserve"> </w:t>
      </w:r>
      <w:hyperlink r:id="rId4438">
        <w:r>
          <w:rPr>
            <w:rStyle w:val="Hyperlink"/>
          </w:rPr>
          <w:t xml:space="preserve">https://doi.org/10.1016/j.isci.2024.109137</w:t>
        </w:r>
      </w:hyperlink>
    </w:p>
    <w:p>
      <w:pPr>
        <w:pStyle w:val="ReferenceEntry"/>
      </w:pPr>
      <w:bookmarkStart w:id="4439" w:name="ref-925"/>
      <w:r>
        <w:t xml:space="preserve">[925]</w:t>
      </w:r>
      <w:bookmarkEnd w:id="4439"/>
      <w:r>
        <w:t xml:space="preserve"> Grossman P, Ackland GL, Allen AM, et al. Why the polyvagal theory is untenable: an international expert evaluation of the polyvagal theory and commentary upon Porges (2025).</w:t>
      </w:r>
      <w:r>
        <w:t xml:space="preserve"> </w:t>
      </w:r>
      <w:r>
        <w:rPr>
          <w:iCs/>
          <w:i/>
        </w:rPr>
        <w:t xml:space="preserve">Clinical Neuropsychiatry</w:t>
      </w:r>
      <w:r>
        <w:t xml:space="preserve">. 2026;23(1):100–112.</w:t>
      </w:r>
      <w:r>
        <w:t xml:space="preserve"> </w:t>
      </w:r>
      <w:hyperlink r:id="rId4440">
        <w:r>
          <w:rPr>
            <w:rStyle w:val="Hyperlink"/>
          </w:rPr>
          <w:t xml:space="preserve">https://doi.org/10.36131/cnfioritieditore20260110</w:t>
        </w:r>
      </w:hyperlink>
    </w:p>
    <w:p>
      <w:pPr>
        <w:pStyle w:val="ReferenceEntry"/>
      </w:pPr>
      <w:bookmarkStart w:id="4441" w:name="ref-926"/>
      <w:r>
        <w:t xml:space="preserve">[926]</w:t>
      </w:r>
      <w:bookmarkEnd w:id="4441"/>
      <w:r>
        <w:t xml:space="preserve"> Porges SW. When a critique becomes untenable: a scholarly response to Grossman et al.’s evaluation of polyvagal theory.</w:t>
      </w:r>
      <w:r>
        <w:t xml:space="preserve"> </w:t>
      </w:r>
      <w:r>
        <w:rPr>
          <w:iCs/>
          <w:i/>
        </w:rPr>
        <w:t xml:space="preserve">Clinical Neuropsychiatry</w:t>
      </w:r>
      <w:r>
        <w:t xml:space="preserve">. 2026;23(1):113–128.</w:t>
      </w:r>
      <w:r>
        <w:t xml:space="preserve"> </w:t>
      </w:r>
      <w:hyperlink r:id="rId4442">
        <w:r>
          <w:rPr>
            <w:rStyle w:val="Hyperlink"/>
          </w:rPr>
          <w:t xml:space="preserve">https://doi.org/10.36131/cnfioritieditore20260111</w:t>
        </w:r>
      </w:hyperlink>
    </w:p>
    <w:p>
      <w:pPr>
        <w:pStyle w:val="ReferenceEntry"/>
      </w:pPr>
      <w:bookmarkStart w:id="4443" w:name="ref-927"/>
      <w:r>
        <w:t xml:space="preserve">[927]</w:t>
      </w:r>
      <w:bookmarkEnd w:id="4443"/>
      <w:r>
        <w:t xml:space="preserve"> Laborde S, Allen MS, Borges U, et al. Effects of voluntary slow breathing on heart rate and heart rate variability: A systematic review and a meta-analysis.</w:t>
      </w:r>
      <w:r>
        <w:t xml:space="preserve"> </w:t>
      </w:r>
      <w:r>
        <w:rPr>
          <w:iCs/>
          <w:i/>
        </w:rPr>
        <w:t xml:space="preserve">Neuroscience &amp; Biobehavioral Reviews</w:t>
      </w:r>
      <w:r>
        <w:t xml:space="preserve">. 2022;138:104711.</w:t>
      </w:r>
      <w:r>
        <w:t xml:space="preserve"> </w:t>
      </w:r>
      <w:hyperlink r:id="rId4444">
        <w:r>
          <w:rPr>
            <w:rStyle w:val="Hyperlink"/>
          </w:rPr>
          <w:t xml:space="preserve">https://doi.org/10.1016/j.neubiorev.2022.104711</w:t>
        </w:r>
      </w:hyperlink>
    </w:p>
    <w:p>
      <w:pPr>
        <w:pStyle w:val="ReferenceEntry"/>
      </w:pPr>
      <w:bookmarkStart w:id="4445" w:name="ref-928"/>
      <w:r>
        <w:t xml:space="preserve">[928]</w:t>
      </w:r>
      <w:bookmarkEnd w:id="4445"/>
      <w:r>
        <w:t xml:space="preserve"> Jungmann M, Vencatachellum S, Van Ryckeghem D, et al. Effects of Cold Stimulation on Cardiac-Vagal Activation in Healthy Participants: Randomized Controlled Trial.</w:t>
      </w:r>
      <w:r>
        <w:t xml:space="preserve"> </w:t>
      </w:r>
      <w:r>
        <w:rPr>
          <w:iCs/>
          <w:i/>
        </w:rPr>
        <w:t xml:space="preserve">JMIR Formative Research</w:t>
      </w:r>
      <w:r>
        <w:t xml:space="preserve">. 2018;2(2):e10257.</w:t>
      </w:r>
      <w:r>
        <w:t xml:space="preserve"> </w:t>
      </w:r>
      <w:hyperlink r:id="rId4446">
        <w:r>
          <w:rPr>
            <w:rStyle w:val="Hyperlink"/>
          </w:rPr>
          <w:t xml:space="preserve">https://doi.org/10.2196/10257</w:t>
        </w:r>
      </w:hyperlink>
    </w:p>
    <w:p>
      <w:pPr>
        <w:pStyle w:val="ReferenceEntry"/>
      </w:pPr>
      <w:bookmarkStart w:id="4447" w:name="ref-929"/>
      <w:r>
        <w:t xml:space="preserve">[929]</w:t>
      </w:r>
      <w:bookmarkEnd w:id="4447"/>
      <w:r>
        <w:t xml:space="preserve"> Wolf V, Kühnel A, Teckentrup V, et al. Does transcutaneous auricular vagus nerve stimulation affect vagally mediated heart rate variability? A living and interactive Bayesian meta‐analysis.</w:t>
      </w:r>
      <w:r>
        <w:t xml:space="preserve"> </w:t>
      </w:r>
      <w:r>
        <w:rPr>
          <w:iCs/>
          <w:i/>
        </w:rPr>
        <w:t xml:space="preserve">Psychophysiology</w:t>
      </w:r>
      <w:r>
        <w:t xml:space="preserve">. 2021;58(11):e13933.</w:t>
      </w:r>
      <w:r>
        <w:t xml:space="preserve"> </w:t>
      </w:r>
      <w:hyperlink r:id="rId4448">
        <w:r>
          <w:rPr>
            <w:rStyle w:val="Hyperlink"/>
          </w:rPr>
          <w:t xml:space="preserve">https://doi.org/10.1111/psyp.13933</w:t>
        </w:r>
      </w:hyperlink>
    </w:p>
    <w:p>
      <w:pPr>
        <w:pStyle w:val="ReferenceEntry"/>
      </w:pPr>
      <w:bookmarkStart w:id="4449" w:name="ref-930"/>
      <w:r>
        <w:t xml:space="preserve">[930]</w:t>
      </w:r>
      <w:bookmarkEnd w:id="4449"/>
      <w:r>
        <w:t xml:space="preserve"> Weitzberg E, Lundberg JO. Humming Greatly Increases Nasal Nitric Oxide.</w:t>
      </w:r>
      <w:r>
        <w:t xml:space="preserve"> </w:t>
      </w:r>
      <w:r>
        <w:rPr>
          <w:iCs/>
          <w:i/>
        </w:rPr>
        <w:t xml:space="preserve">American Journal of Respiratory and Critical Care Medicine</w:t>
      </w:r>
      <w:r>
        <w:t xml:space="preserve">. 2002;166(2):144–145.</w:t>
      </w:r>
      <w:r>
        <w:t xml:space="preserve"> </w:t>
      </w:r>
      <w:hyperlink r:id="rId4450">
        <w:r>
          <w:rPr>
            <w:rStyle w:val="Hyperlink"/>
          </w:rPr>
          <w:t xml:space="preserve">https://doi.org/10.1164/rccm.200202-138bc</w:t>
        </w:r>
      </w:hyperlink>
    </w:p>
    <w:p>
      <w:pPr>
        <w:pStyle w:val="ReferenceEntry"/>
      </w:pPr>
      <w:bookmarkStart w:id="4451" w:name="ref-931"/>
      <w:r>
        <w:t xml:space="preserve">[931]</w:t>
      </w:r>
      <w:bookmarkEnd w:id="4451"/>
      <w:r>
        <w:t xml:space="preserve"> Lehrer PM, Gevirtz R. Heart rate variability biofeedback: how and why does it work?</w:t>
      </w:r>
      <w:r>
        <w:t xml:space="preserve"> </w:t>
      </w:r>
      <w:r>
        <w:rPr>
          <w:iCs/>
          <w:i/>
        </w:rPr>
        <w:t xml:space="preserve">Frontiers in Psychology</w:t>
      </w:r>
      <w:r>
        <w:t xml:space="preserve">. 2014;5:756.</w:t>
      </w:r>
      <w:r>
        <w:t xml:space="preserve"> </w:t>
      </w:r>
      <w:hyperlink r:id="rId4452">
        <w:r>
          <w:rPr>
            <w:rStyle w:val="Hyperlink"/>
          </w:rPr>
          <w:t xml:space="preserve">https://doi.org/10.3389/fpsyg.2014.00756</w:t>
        </w:r>
      </w:hyperlink>
    </w:p>
    <w:p>
      <w:pPr>
        <w:pStyle w:val="ReferenceEntry"/>
      </w:pPr>
      <w:bookmarkStart w:id="4453" w:name="ref-932"/>
      <w:r>
        <w:t xml:space="preserve">[932]</w:t>
      </w:r>
      <w:bookmarkEnd w:id="4453"/>
      <w:r>
        <w:t xml:space="preserve"> Billman GE. The LF/HF ratio does not accurately measure cardiac sympatho-vagal balance.</w:t>
      </w:r>
      <w:r>
        <w:t xml:space="preserve"> </w:t>
      </w:r>
      <w:r>
        <w:rPr>
          <w:iCs/>
          <w:i/>
        </w:rPr>
        <w:t xml:space="preserve">Frontiers in Physiology</w:t>
      </w:r>
      <w:r>
        <w:t xml:space="preserve">. 2013;4:26.</w:t>
      </w:r>
      <w:r>
        <w:t xml:space="preserve"> </w:t>
      </w:r>
      <w:hyperlink r:id="rId4454">
        <w:r>
          <w:rPr>
            <w:rStyle w:val="Hyperlink"/>
          </w:rPr>
          <w:t xml:space="preserve">https://doi.org/10.3389/fphys.2013.00026</w:t>
        </w:r>
      </w:hyperlink>
    </w:p>
    <w:p>
      <w:pPr>
        <w:pStyle w:val="ReferenceEntry"/>
      </w:pPr>
      <w:bookmarkStart w:id="4455" w:name="ref-933"/>
      <w:r>
        <w:t xml:space="preserve">[933]</w:t>
      </w:r>
      <w:bookmarkEnd w:id="4455"/>
      <w:r>
        <w:t xml:space="preserve"> Lehrer P, Kaur K, Sharma A, et al. Heart Rate Variability Biofeedback Improves Emotional and Physical Health and Performance: A Systematic Review and Meta Analysis.</w:t>
      </w:r>
      <w:r>
        <w:t xml:space="preserve"> </w:t>
      </w:r>
      <w:r>
        <w:rPr>
          <w:iCs/>
          <w:i/>
        </w:rPr>
        <w:t xml:space="preserve">Applied Psychophysiology and Biofeedback</w:t>
      </w:r>
      <w:r>
        <w:t xml:space="preserve">. 2020;45(3):109–129.</w:t>
      </w:r>
      <w:r>
        <w:t xml:space="preserve"> </w:t>
      </w:r>
      <w:hyperlink r:id="rId4456">
        <w:r>
          <w:rPr>
            <w:rStyle w:val="Hyperlink"/>
          </w:rPr>
          <w:t xml:space="preserve">https://doi.org/10.1007/s10484-020-09466-z</w:t>
        </w:r>
      </w:hyperlink>
    </w:p>
    <w:p>
      <w:pPr>
        <w:pStyle w:val="ReferenceEntry"/>
      </w:pPr>
      <w:bookmarkStart w:id="4457" w:name="ref-934"/>
      <w:r>
        <w:t xml:space="preserve">[934]</w:t>
      </w:r>
      <w:bookmarkEnd w:id="4457"/>
      <w:r>
        <w:t xml:space="preserve"> Goessl VC, Curtiss JE, Hofmann SG. The effect of heart rate variability biofeedback training on stress and anxiety: a meta-analysis.</w:t>
      </w:r>
      <w:r>
        <w:t xml:space="preserve"> </w:t>
      </w:r>
      <w:r>
        <w:rPr>
          <w:iCs/>
          <w:i/>
        </w:rPr>
        <w:t xml:space="preserve">Psychological Medicine</w:t>
      </w:r>
      <w:r>
        <w:t xml:space="preserve">. 2017;47(15):2578–2586.</w:t>
      </w:r>
      <w:r>
        <w:t xml:space="preserve"> </w:t>
      </w:r>
      <w:hyperlink r:id="rId4458">
        <w:r>
          <w:rPr>
            <w:rStyle w:val="Hyperlink"/>
          </w:rPr>
          <w:t xml:space="preserve">https://doi.org/10.1017/s0033291717001003</w:t>
        </w:r>
      </w:hyperlink>
    </w:p>
    <w:p>
      <w:pPr>
        <w:pStyle w:val="ReferenceEntry"/>
      </w:pPr>
      <w:bookmarkStart w:id="4459" w:name="ref-935"/>
      <w:r>
        <w:t xml:space="preserve">[935]</w:t>
      </w:r>
      <w:bookmarkEnd w:id="4459"/>
      <w:r>
        <w:t xml:space="preserve"> Fincham GW, Strauss C, Montero-Marin J, et al. Effect of breathwork on stress and mental health: A meta-analysis of randomised-controlled trials.</w:t>
      </w:r>
      <w:r>
        <w:t xml:space="preserve"> </w:t>
      </w:r>
      <w:r>
        <w:rPr>
          <w:iCs/>
          <w:i/>
        </w:rPr>
        <w:t xml:space="preserve">Scientific Reports</w:t>
      </w:r>
      <w:r>
        <w:t xml:space="preserve">. 2023;13(1):432.</w:t>
      </w:r>
      <w:r>
        <w:t xml:space="preserve"> </w:t>
      </w:r>
      <w:hyperlink r:id="rId4460">
        <w:r>
          <w:rPr>
            <w:rStyle w:val="Hyperlink"/>
          </w:rPr>
          <w:t xml:space="preserve">https://doi.org/10.1038/s41598-022-27247-y</w:t>
        </w:r>
      </w:hyperlink>
    </w:p>
    <w:p>
      <w:pPr>
        <w:pStyle w:val="ReferenceEntry"/>
      </w:pPr>
      <w:bookmarkStart w:id="4461" w:name="ref-936"/>
      <w:r>
        <w:t xml:space="preserve">[936]</w:t>
      </w:r>
      <w:bookmarkEnd w:id="4461"/>
      <w:r>
        <w:t xml:space="preserve"> Balban MY, Neri E, Kogon MM, et al. Brief structured respiration practices enhance mood and reduce physiological arousal.</w:t>
      </w:r>
      <w:r>
        <w:t xml:space="preserve"> </w:t>
      </w:r>
      <w:r>
        <w:rPr>
          <w:iCs/>
          <w:i/>
        </w:rPr>
        <w:t xml:space="preserve">Cell Reports Medicine</w:t>
      </w:r>
      <w:r>
        <w:t xml:space="preserve">. 2023;4(1):100895.</w:t>
      </w:r>
      <w:r>
        <w:t xml:space="preserve"> </w:t>
      </w:r>
      <w:hyperlink r:id="rId4462">
        <w:r>
          <w:rPr>
            <w:rStyle w:val="Hyperlink"/>
          </w:rPr>
          <w:t xml:space="preserve">https://doi.org/10.1016/j.xcrm.2022.100895</w:t>
        </w:r>
      </w:hyperlink>
    </w:p>
    <w:p>
      <w:pPr>
        <w:pStyle w:val="ReferenceEntry"/>
      </w:pPr>
      <w:bookmarkStart w:id="4463" w:name="ref-937"/>
      <w:r>
        <w:t xml:space="preserve">[937]</w:t>
      </w:r>
      <w:bookmarkEnd w:id="4463"/>
      <w:r>
        <w:t xml:space="preserve"> Choi H, Kim C, Lim S, et al. Respiratory rate and minute ventilation independently modulate cardiovascular and autonomic responses in healthy adults.</w:t>
      </w:r>
      <w:r>
        <w:t xml:space="preserve"> </w:t>
      </w:r>
      <w:r>
        <w:rPr>
          <w:iCs/>
          <w:i/>
        </w:rPr>
        <w:t xml:space="preserve">Scientific Reports</w:t>
      </w:r>
      <w:r>
        <w:t xml:space="preserve">. 2026;16(1):32524.</w:t>
      </w:r>
      <w:r>
        <w:t xml:space="preserve"> </w:t>
      </w:r>
      <w:hyperlink r:id="rId4464">
        <w:r>
          <w:rPr>
            <w:rStyle w:val="Hyperlink"/>
          </w:rPr>
          <w:t xml:space="preserve">https://doi.org/10.1038/s41598-026-60600-z</w:t>
        </w:r>
      </w:hyperlink>
    </w:p>
    <w:p>
      <w:pPr>
        <w:pStyle w:val="ReferenceEntry"/>
      </w:pPr>
      <w:bookmarkStart w:id="4465" w:name="ref-938"/>
      <w:r>
        <w:t xml:space="preserve">[938]</w:t>
      </w:r>
      <w:bookmarkEnd w:id="4465"/>
      <w:r>
        <w:t xml:space="preserve"> Kox M, van Eijk LT, Zwaag J, et al. Voluntary activation of the sympathetic nervous system and attenuation of the innate immune response in humans.</w:t>
      </w:r>
      <w:r>
        <w:t xml:space="preserve"> </w:t>
      </w:r>
      <w:r>
        <w:rPr>
          <w:iCs/>
          <w:i/>
        </w:rPr>
        <w:t xml:space="preserve">Proceedings of the National Academy of Sciences</w:t>
      </w:r>
      <w:r>
        <w:t xml:space="preserve">. 2014;111(20):7379–7384.</w:t>
      </w:r>
      <w:r>
        <w:t xml:space="preserve"> </w:t>
      </w:r>
      <w:hyperlink r:id="rId4466">
        <w:r>
          <w:rPr>
            <w:rStyle w:val="Hyperlink"/>
          </w:rPr>
          <w:t xml:space="preserve">https://doi.org/10.1073/pnas.1322174111</w:t>
        </w:r>
      </w:hyperlink>
    </w:p>
    <w:p>
      <w:pPr>
        <w:pStyle w:val="ReferenceEntry"/>
      </w:pPr>
      <w:bookmarkStart w:id="4467" w:name="ref-939"/>
      <w:r>
        <w:t xml:space="preserve">[939]</w:t>
      </w:r>
      <w:bookmarkEnd w:id="4467"/>
      <w:r>
        <w:t xml:space="preserve"> Zwaag J, Naaktgeboren R, van Herwaarden AE, et al. The Effects of Cold Exposure Training and a Breathing Exercise on the Inflammatory Response in Humans: A Pilot Study.</w:t>
      </w:r>
      <w:r>
        <w:t xml:space="preserve"> </w:t>
      </w:r>
      <w:r>
        <w:rPr>
          <w:iCs/>
          <w:i/>
        </w:rPr>
        <w:t xml:space="preserve">Psychosomatic Medicine</w:t>
      </w:r>
      <w:r>
        <w:t xml:space="preserve">. 2022;84(4):457–467.</w:t>
      </w:r>
      <w:r>
        <w:t xml:space="preserve"> </w:t>
      </w:r>
      <w:hyperlink r:id="rId4468">
        <w:r>
          <w:rPr>
            <w:rStyle w:val="Hyperlink"/>
          </w:rPr>
          <w:t xml:space="preserve">https://doi.org/10.1097/psy.0000000000001065</w:t>
        </w:r>
      </w:hyperlink>
    </w:p>
    <w:p>
      <w:pPr>
        <w:pStyle w:val="ReferenceEntry"/>
      </w:pPr>
      <w:bookmarkStart w:id="4469" w:name="ref-940"/>
      <w:r>
        <w:t xml:space="preserve">[940]</w:t>
      </w:r>
      <w:bookmarkEnd w:id="4469"/>
      <w:r>
        <w:t xml:space="preserve"> Boyd C, Levy A, McProud T, et al. Fatal and nonfatal drowning outcomes related to dangerous underwater breath-holding behaviors — New York State, 1988–2011.</w:t>
      </w:r>
      <w:r>
        <w:t xml:space="preserve"> </w:t>
      </w:r>
      <w:r>
        <w:rPr>
          <w:iCs/>
          <w:i/>
        </w:rPr>
        <w:t xml:space="preserve">MMWR Morbidity and Mortality Weekly Report</w:t>
      </w:r>
      <w:r>
        <w:t xml:space="preserve">. 2015;64(19):518–521.</w:t>
      </w:r>
      <w:r>
        <w:t xml:space="preserve"> </w:t>
      </w:r>
      <w:hyperlink r:id="rId4470">
        <w:r>
          <w:rPr>
            <w:rStyle w:val="Hyperlink"/>
          </w:rPr>
          <w:t xml:space="preserve">PMID: 25996093</w:t>
        </w:r>
      </w:hyperlink>
    </w:p>
    <w:p>
      <w:pPr>
        <w:pStyle w:val="ReferenceEntry"/>
      </w:pPr>
      <w:bookmarkStart w:id="4471" w:name="ref-941"/>
      <w:r>
        <w:t xml:space="preserve">[941]</w:t>
      </w:r>
      <w:bookmarkEnd w:id="4471"/>
      <w:r>
        <w:t xml:space="preserve"> Zelano C, Jiang H, Zhou G, et al. Nasal Respiration Entrains Human Limbic Oscillations and Modulates Cognitive Function.</w:t>
      </w:r>
      <w:r>
        <w:t xml:space="preserve"> </w:t>
      </w:r>
      <w:r>
        <w:rPr>
          <w:iCs/>
          <w:i/>
        </w:rPr>
        <w:t xml:space="preserve">The Journal of Neuroscience</w:t>
      </w:r>
      <w:r>
        <w:t xml:space="preserve">. 2016;36(49):12448–12467.</w:t>
      </w:r>
      <w:r>
        <w:t xml:space="preserve"> </w:t>
      </w:r>
      <w:hyperlink r:id="rId4472">
        <w:r>
          <w:rPr>
            <w:rStyle w:val="Hyperlink"/>
          </w:rPr>
          <w:t xml:space="preserve">https://doi.org/10.1523/jneurosci.2586-16.2016</w:t>
        </w:r>
      </w:hyperlink>
    </w:p>
    <w:p>
      <w:pPr>
        <w:pStyle w:val="ReferenceEntry"/>
      </w:pPr>
      <w:bookmarkStart w:id="4473" w:name="ref-942"/>
      <w:r>
        <w:t xml:space="preserve">[942]</w:t>
      </w:r>
      <w:bookmarkEnd w:id="4473"/>
      <w:r>
        <w:t xml:space="preserve"> Yackle K, Schwarz LA, Kam K, et al. Breathing control center neurons that promote arousal in mice.</w:t>
      </w:r>
      <w:r>
        <w:t xml:space="preserve"> </w:t>
      </w:r>
      <w:r>
        <w:rPr>
          <w:iCs/>
          <w:i/>
        </w:rPr>
        <w:t xml:space="preserve">Science</w:t>
      </w:r>
      <w:r>
        <w:t xml:space="preserve">. 2017;355(6332):1411–1415.</w:t>
      </w:r>
      <w:r>
        <w:t xml:space="preserve"> </w:t>
      </w:r>
      <w:hyperlink r:id="rId4474">
        <w:r>
          <w:rPr>
            <w:rStyle w:val="Hyperlink"/>
          </w:rPr>
          <w:t xml:space="preserve">https://doi.org/10.1126/science.aai7984</w:t>
        </w:r>
      </w:hyperlink>
    </w:p>
    <w:p>
      <w:pPr>
        <w:pStyle w:val="ReferenceEntry"/>
      </w:pPr>
      <w:bookmarkStart w:id="4475" w:name="ref-943"/>
      <w:r>
        <w:t xml:space="preserve">[943]</w:t>
      </w:r>
      <w:bookmarkEnd w:id="4475"/>
      <w:r>
        <w:t xml:space="preserve"> Thunell E, Francis G, Dal Bò E, et al. Nasal inhalation does not improve memory of visual repetitions.</w:t>
      </w:r>
      <w:r>
        <w:t xml:space="preserve"> </w:t>
      </w:r>
      <w:r>
        <w:rPr>
          <w:iCs/>
          <w:i/>
        </w:rPr>
        <w:t xml:space="preserve">Psychophysiology</w:t>
      </w:r>
      <w:r>
        <w:t xml:space="preserve">. 2024;61(10):e14609.</w:t>
      </w:r>
      <w:r>
        <w:t xml:space="preserve"> </w:t>
      </w:r>
      <w:hyperlink r:id="rId4476">
        <w:r>
          <w:rPr>
            <w:rStyle w:val="Hyperlink"/>
          </w:rPr>
          <w:t xml:space="preserve">https://doi.org/10.1111/psyp.14609</w:t>
        </w:r>
      </w:hyperlink>
    </w:p>
    <w:p>
      <w:pPr>
        <w:pStyle w:val="ReferenceEntry"/>
      </w:pPr>
      <w:bookmarkStart w:id="4477" w:name="ref-944"/>
      <w:r>
        <w:t xml:space="preserve">[944]</w:t>
      </w:r>
      <w:bookmarkEnd w:id="4477"/>
      <w:r>
        <w:t xml:space="preserve"> Garfinkel SN, Seth AK, Barrett AB, et al. Knowing your own heart: Distinguishing interoceptive accuracy from interoceptive awareness.</w:t>
      </w:r>
      <w:r>
        <w:t xml:space="preserve"> </w:t>
      </w:r>
      <w:r>
        <w:rPr>
          <w:iCs/>
          <w:i/>
        </w:rPr>
        <w:t xml:space="preserve">Biological Psychology</w:t>
      </w:r>
      <w:r>
        <w:t xml:space="preserve">. 2015;104:65–74.</w:t>
      </w:r>
      <w:r>
        <w:t xml:space="preserve"> </w:t>
      </w:r>
      <w:hyperlink r:id="rId4478">
        <w:r>
          <w:rPr>
            <w:rStyle w:val="Hyperlink"/>
          </w:rPr>
          <w:t xml:space="preserve">https://doi.org/10.1016/j.biopsycho.2014.11.004</w:t>
        </w:r>
      </w:hyperlink>
    </w:p>
    <w:p>
      <w:pPr>
        <w:pStyle w:val="ReferenceEntry"/>
      </w:pPr>
      <w:bookmarkStart w:id="4479" w:name="ref-945"/>
      <w:r>
        <w:t xml:space="preserve">[945]</w:t>
      </w:r>
      <w:bookmarkEnd w:id="4479"/>
      <w:r>
        <w:t xml:space="preserve"> Zamariola G, Maurage P, Luminet O, et al. Interoceptive accuracy scores from the heartbeat counting task are problematic: Evidence from simple bivariate correlations.</w:t>
      </w:r>
      <w:r>
        <w:t xml:space="preserve"> </w:t>
      </w:r>
      <w:r>
        <w:rPr>
          <w:iCs/>
          <w:i/>
        </w:rPr>
        <w:t xml:space="preserve">Biological Psychology</w:t>
      </w:r>
      <w:r>
        <w:t xml:space="preserve">. 2018;137:12–17.</w:t>
      </w:r>
      <w:r>
        <w:t xml:space="preserve"> </w:t>
      </w:r>
      <w:hyperlink r:id="rId4480">
        <w:r>
          <w:rPr>
            <w:rStyle w:val="Hyperlink"/>
          </w:rPr>
          <w:t xml:space="preserve">https://doi.org/10.1016/j.biopsycho.2018.06.006</w:t>
        </w:r>
      </w:hyperlink>
    </w:p>
    <w:p>
      <w:pPr>
        <w:pStyle w:val="ReferenceEntry"/>
      </w:pPr>
      <w:bookmarkStart w:id="4481" w:name="ref-946"/>
      <w:r>
        <w:t xml:space="preserve">[946]</w:t>
      </w:r>
      <w:bookmarkEnd w:id="4481"/>
      <w:r>
        <w:t xml:space="preserve"> Cryan JF, O'Riordan KJ, Cowan CSM, Sandhu KV, Bastiaanssen TFS, Boehme M, et al. The Microbiota-Gut-Brain Axis.</w:t>
      </w:r>
      <w:r>
        <w:t xml:space="preserve"> </w:t>
      </w:r>
      <w:r>
        <w:rPr>
          <w:iCs/>
          <w:i/>
        </w:rPr>
        <w:t xml:space="preserve">Physiological Reviews</w:t>
      </w:r>
      <w:r>
        <w:t xml:space="preserve">. 2019;99(4):1877–2013.</w:t>
      </w:r>
      <w:r>
        <w:t xml:space="preserve"> </w:t>
      </w:r>
      <w:hyperlink r:id="rId4482">
        <w:r>
          <w:rPr>
            <w:rStyle w:val="Hyperlink"/>
          </w:rPr>
          <w:t xml:space="preserve">https://doi.org/10.1152/physrev.00018.2018</w:t>
        </w:r>
      </w:hyperlink>
      <w:r>
        <w:t xml:space="preserve">（研究类型：微生物群肠脑轴机制综合综述）</w:t>
      </w:r>
    </w:p>
    <w:p>
      <w:pPr>
        <w:pStyle w:val="ReferenceEntry"/>
      </w:pPr>
      <w:bookmarkStart w:id="4483" w:name="ref-947"/>
      <w:r>
        <w:t xml:space="preserve">[947]</w:t>
      </w:r>
      <w:bookmarkEnd w:id="4483"/>
      <w:r>
        <w:t xml:space="preserve"> Sudo N, Chida Y, Aiba Y, Sonoda J, Oyama N, Yu XN, et al. Postnatal microbial colonization programs the hypothalamic-pituitary-adrenal system for stress response in mice.</w:t>
      </w:r>
      <w:r>
        <w:t xml:space="preserve"> </w:t>
      </w:r>
      <w:r>
        <w:rPr>
          <w:iCs/>
          <w:i/>
        </w:rPr>
        <w:t xml:space="preserve">The Journal of Physiology</w:t>
      </w:r>
      <w:r>
        <w:t xml:space="preserve">. 2004;558(1):263–275.</w:t>
      </w:r>
      <w:r>
        <w:t xml:space="preserve"> </w:t>
      </w:r>
      <w:hyperlink r:id="rId4484">
        <w:r>
          <w:rPr>
            <w:rStyle w:val="Hyperlink"/>
          </w:rPr>
          <w:t xml:space="preserve">https://doi.org/10.1113/jphysiol.2004.063388</w:t>
        </w:r>
      </w:hyperlink>
      <w:r>
        <w:t xml:space="preserve">（研究类型：原始无菌动物实验）</w:t>
      </w:r>
    </w:p>
    <w:p>
      <w:pPr>
        <w:pStyle w:val="ReferenceEntry"/>
      </w:pPr>
      <w:bookmarkStart w:id="4485" w:name="ref-948"/>
      <w:r>
        <w:t xml:space="preserve">[948]</w:t>
      </w:r>
      <w:bookmarkEnd w:id="4485"/>
      <w:r>
        <w:t xml:space="preserve"> Nikolova VL, Cleare AJ, Young AH, Stone JM. Acceptability, Tolerability, and Estimates of Putative Treatment Effects of Probiotics as Adjunctive Treatment in Patients With Depression: A Randomized Clinical Trial.</w:t>
      </w:r>
      <w:r>
        <w:t xml:space="preserve"> </w:t>
      </w:r>
      <w:r>
        <w:rPr>
          <w:iCs/>
          <w:i/>
        </w:rPr>
        <w:t xml:space="preserve">JAMA Psychiatry</w:t>
      </w:r>
      <w:r>
        <w:t xml:space="preserve">. 2023;80(8):842.</w:t>
      </w:r>
      <w:r>
        <w:t xml:space="preserve"> </w:t>
      </w:r>
      <w:hyperlink r:id="rId4486">
        <w:r>
          <w:rPr>
            <w:rStyle w:val="Hyperlink"/>
          </w:rPr>
          <w:t xml:space="preserve">https://doi.org/10.1001/jamapsychiatry.2023.1817</w:t>
        </w:r>
      </w:hyperlink>
      <w:r>
        <w:t xml:space="preserve">（研究类型：随机安慰剂对照试点）</w:t>
      </w:r>
    </w:p>
    <w:p>
      <w:pPr>
        <w:pStyle w:val="ReferenceEntry"/>
      </w:pPr>
      <w:bookmarkStart w:id="4487" w:name="ref-949"/>
      <w:r>
        <w:t xml:space="preserve">[949]</w:t>
      </w:r>
      <w:bookmarkEnd w:id="4487"/>
      <w:r>
        <w:t xml:space="preserve"> Nikolova VL, Cleare AJ, Young AH, Stone JM. Exploring the mechanisms of action of probiotics in depression: Results from a randomized controlled pilot trial.</w:t>
      </w:r>
      <w:r>
        <w:t xml:space="preserve"> </w:t>
      </w:r>
      <w:r>
        <w:rPr>
          <w:iCs/>
          <w:i/>
        </w:rPr>
        <w:t xml:space="preserve">Journal of Affective Disorders</w:t>
      </w:r>
      <w:r>
        <w:t xml:space="preserve">. 2025;376:241–250.</w:t>
      </w:r>
      <w:r>
        <w:t xml:space="preserve"> </w:t>
      </w:r>
      <w:hyperlink r:id="rId4488">
        <w:r>
          <w:rPr>
            <w:rStyle w:val="Hyperlink"/>
          </w:rPr>
          <w:t xml:space="preserve">https://doi.org/10.1016/j.jad.2025.01.153</w:t>
        </w:r>
      </w:hyperlink>
      <w:r>
        <w:t xml:space="preserve">（研究类型：既有随机试点的探索机制分析）</w:t>
      </w:r>
    </w:p>
    <w:p>
      <w:pPr>
        <w:pStyle w:val="ReferenceEntry"/>
      </w:pPr>
      <w:bookmarkStart w:id="4489" w:name="ref-950"/>
      <w:r>
        <w:t xml:space="preserve">[950]</w:t>
      </w:r>
      <w:bookmarkEnd w:id="4489"/>
      <w:r>
        <w:t xml:space="preserve"> Kaelberer MM, Buchanan KL, Klein ME, Barth BB, Montoya MM, Shen X, et al. A gut brain neural circuit for nutrient sensory transduction.</w:t>
      </w:r>
      <w:r>
        <w:t xml:space="preserve"> </w:t>
      </w:r>
      <w:r>
        <w:rPr>
          <w:iCs/>
          <w:i/>
        </w:rPr>
        <w:t xml:space="preserve">Science</w:t>
      </w:r>
      <w:r>
        <w:t xml:space="preserve">. 2018;361(6408):eaat5236.</w:t>
      </w:r>
      <w:r>
        <w:t xml:space="preserve"> </w:t>
      </w:r>
      <w:hyperlink r:id="rId4490">
        <w:r>
          <w:rPr>
            <w:rStyle w:val="Hyperlink"/>
          </w:rPr>
          <w:t xml:space="preserve">https://doi.org/10.1126/science.aat5236</w:t>
        </w:r>
      </w:hyperlink>
      <w:r>
        <w:t xml:space="preserve">（研究类型：原始细胞回路实验）</w:t>
      </w:r>
    </w:p>
    <w:p>
      <w:pPr>
        <w:pStyle w:val="ReferenceEntry"/>
      </w:pPr>
      <w:bookmarkStart w:id="4491" w:name="ref-951"/>
      <w:r>
        <w:t xml:space="preserve">[951]</w:t>
      </w:r>
      <w:bookmarkEnd w:id="4491"/>
      <w:r>
        <w:t xml:space="preserve"> Vandeputte D, Kathagen G, D’hoe K, Vieira-Silva S, Valles-Colomer M, Sabino J, et al. Quantitative microbiome profiling links gut community variation to microbial load.</w:t>
      </w:r>
      <w:r>
        <w:t xml:space="preserve"> </w:t>
      </w:r>
      <w:r>
        <w:rPr>
          <w:iCs/>
          <w:i/>
        </w:rPr>
        <w:t xml:space="preserve">Nature</w:t>
      </w:r>
      <w:r>
        <w:t xml:space="preserve">. 2017;551(7681):507–511.</w:t>
      </w:r>
      <w:r>
        <w:t xml:space="preserve"> </w:t>
      </w:r>
      <w:hyperlink r:id="rId4492">
        <w:r>
          <w:rPr>
            <w:rStyle w:val="Hyperlink"/>
          </w:rPr>
          <w:t xml:space="preserve">https://doi.org/10.1038/nature24460</w:t>
        </w:r>
      </w:hyperlink>
      <w:r>
        <w:t xml:space="preserve">（研究类型：原始定量微生物组方法及数据研究）</w:t>
      </w:r>
    </w:p>
    <w:p>
      <w:pPr>
        <w:pStyle w:val="ReferenceEntry"/>
      </w:pPr>
      <w:bookmarkStart w:id="4493" w:name="ref-952"/>
      <w:r>
        <w:t xml:space="preserve">[952]</w:t>
      </w:r>
      <w:bookmarkEnd w:id="4493"/>
      <w:r>
        <w:t xml:space="preserve"> Kelly JR, Borre Y, O' Brien C, Patterson E, El Aidy S, Deane J, et al. Transferring the blues Depression associated gut microbiota induces neurobehavioural changes in the rat.</w:t>
      </w:r>
      <w:r>
        <w:t xml:space="preserve"> </w:t>
      </w:r>
      <w:r>
        <w:rPr>
          <w:iCs/>
          <w:i/>
        </w:rPr>
        <w:t xml:space="preserve">Journal of Psychiatric Research</w:t>
      </w:r>
      <w:r>
        <w:t xml:space="preserve">. 2016;82:109–118.</w:t>
      </w:r>
      <w:r>
        <w:t xml:space="preserve"> </w:t>
      </w:r>
      <w:hyperlink r:id="rId4494">
        <w:r>
          <w:rPr>
            <w:rStyle w:val="Hyperlink"/>
          </w:rPr>
          <w:t xml:space="preserve">https://doi.org/10.1016/j.jpsychires.2016.07.019</w:t>
        </w:r>
      </w:hyperlink>
      <w:r>
        <w:t xml:space="preserve">（研究类型：患者观察与动物移植实验）</w:t>
      </w:r>
    </w:p>
    <w:p>
      <w:pPr>
        <w:pStyle w:val="ReferenceEntry"/>
      </w:pPr>
      <w:bookmarkStart w:id="4495" w:name="ref-953"/>
      <w:r>
        <w:t xml:space="preserve">[953]</w:t>
      </w:r>
      <w:bookmarkEnd w:id="4495"/>
      <w:r>
        <w:t xml:space="preserve"> Bellono NW, Bayrer JR, Leitch DB, Castro J, Zhang C, O’Donnell TA, et al. Enterochromaffin Cells Are Gut Chemosensors that Couple to Sensory Neural Pathways.</w:t>
      </w:r>
      <w:r>
        <w:t xml:space="preserve"> </w:t>
      </w:r>
      <w:r>
        <w:rPr>
          <w:iCs/>
          <w:i/>
        </w:rPr>
        <w:t xml:space="preserve">Cell</w:t>
      </w:r>
      <w:r>
        <w:t xml:space="preserve">. 2017;170(1):185–198.e16.</w:t>
      </w:r>
      <w:r>
        <w:t xml:space="preserve"> </w:t>
      </w:r>
      <w:hyperlink r:id="rId4496">
        <w:r>
          <w:rPr>
            <w:rStyle w:val="Hyperlink"/>
          </w:rPr>
          <w:t xml:space="preserve">https://doi.org/10.1016/j.cell.2017.05.034</w:t>
        </w:r>
      </w:hyperlink>
      <w:r>
        <w:t xml:space="preserve">（研究类型：类器官、单细胞及感觉纤维功能实验）</w:t>
      </w:r>
    </w:p>
    <w:p>
      <w:pPr>
        <w:pStyle w:val="ReferenceEntry"/>
      </w:pPr>
      <w:bookmarkStart w:id="4497" w:name="ref-954"/>
      <w:r>
        <w:t xml:space="preserve">[954]</w:t>
      </w:r>
      <w:bookmarkEnd w:id="4497"/>
      <w:r>
        <w:t xml:space="preserve"> Brown AJ, Goldsworthy SM, Barnes AA, Eilert MM, Tcheang L, Daniels D, et al. The Orphan G protein-coupled receptors GPR41 and GPR43 are activated by propionate and other short chain carboxylic acids.</w:t>
      </w:r>
      <w:r>
        <w:t xml:space="preserve"> </w:t>
      </w:r>
      <w:r>
        <w:rPr>
          <w:iCs/>
          <w:i/>
        </w:rPr>
        <w:t xml:space="preserve">Journal of Biological Chemistry</w:t>
      </w:r>
      <w:r>
        <w:t xml:space="preserve">. 2003;278(13):11312–11319.</w:t>
      </w:r>
      <w:r>
        <w:t xml:space="preserve"> </w:t>
      </w:r>
      <w:hyperlink r:id="rId4498">
        <w:r>
          <w:rPr>
            <w:rStyle w:val="Hyperlink"/>
          </w:rPr>
          <w:t xml:space="preserve">https://doi.org/10.1074/jbc.M211609200</w:t>
        </w:r>
      </w:hyperlink>
      <w:r>
        <w:t xml:space="preserve">（研究类型：受体配体筛选与异源细胞信号实验）</w:t>
      </w:r>
    </w:p>
    <w:p>
      <w:pPr>
        <w:pStyle w:val="ReferenceEntry"/>
      </w:pPr>
      <w:bookmarkStart w:id="4499" w:name="ref-955"/>
      <w:r>
        <w:t xml:space="preserve">[955]</w:t>
      </w:r>
      <w:bookmarkEnd w:id="4499"/>
      <w:r>
        <w:t xml:space="preserve"> Rothhammer V, Mascanfroni ID, Bunse L, Takenaka MC, Kenison JE, Mayo L, et al. Type I interferons and microbial metabolites of tryptophan modulate astrocyte activity and central nervous system inflammation via the aryl hydrocarbon receptor.</w:t>
      </w:r>
      <w:r>
        <w:t xml:space="preserve"> </w:t>
      </w:r>
      <w:r>
        <w:rPr>
          <w:iCs/>
          <w:i/>
        </w:rPr>
        <w:t xml:space="preserve">Nature Medicine</w:t>
      </w:r>
      <w:r>
        <w:t xml:space="preserve">. 2016;22(6):586–597.</w:t>
      </w:r>
      <w:r>
        <w:t xml:space="preserve"> </w:t>
      </w:r>
      <w:hyperlink r:id="rId4500">
        <w:r>
          <w:rPr>
            <w:rStyle w:val="Hyperlink"/>
          </w:rPr>
          <w:t xml:space="preserve">https://doi.org/10.1038/nm.4106</w:t>
        </w:r>
      </w:hyperlink>
      <w:r>
        <w:t xml:space="preserve">（研究类型：实验性自身免疫性脑脊髓炎小鼠模型的机制研究及人体病理样本关联分析）</w:t>
      </w:r>
    </w:p>
    <w:p>
      <w:pPr>
        <w:pStyle w:val="ReferenceEntry"/>
      </w:pPr>
      <w:bookmarkStart w:id="4501" w:name="ref-956"/>
      <w:r>
        <w:t xml:space="preserve">[956]</w:t>
      </w:r>
      <w:bookmarkEnd w:id="4501"/>
      <w:r>
        <w:t xml:space="preserve"> Thomas C, Gioiello A, Noriega L, Strehle A, Oury J, Rizzo G, et al. TGR5-Mediated Bile Acid Sensing Controls Glucose Homeostasis.</w:t>
      </w:r>
      <w:r>
        <w:t xml:space="preserve"> </w:t>
      </w:r>
      <w:r>
        <w:rPr>
          <w:iCs/>
          <w:i/>
        </w:rPr>
        <w:t xml:space="preserve">Cell Metabolism</w:t>
      </w:r>
      <w:r>
        <w:t xml:space="preserve">. 2009;10(3):167–177.</w:t>
      </w:r>
      <w:r>
        <w:t xml:space="preserve"> </w:t>
      </w:r>
      <w:hyperlink r:id="rId4502">
        <w:r>
          <w:rPr>
            <w:rStyle w:val="Hyperlink"/>
          </w:rPr>
          <w:t xml:space="preserve">https://doi.org/10.1016/j.cmet.2009.08.001</w:t>
        </w:r>
      </w:hyperlink>
      <w:r>
        <w:t xml:space="preserve">（研究类型：药理遗传与肠内分泌细胞实验）</w:t>
      </w:r>
    </w:p>
    <w:p>
      <w:pPr>
        <w:pStyle w:val="ReferenceEntry"/>
      </w:pPr>
      <w:bookmarkStart w:id="4503" w:name="ref-957"/>
      <w:r>
        <w:t xml:space="preserve">[957]</w:t>
      </w:r>
      <w:bookmarkEnd w:id="4503"/>
      <w:r>
        <w:t xml:space="preserve"> Buchanan KL, Rupprecht LE, Kaelberer MM, Sahasrabudhe A, Klein ME, Villalobos JA, et al. The preference for sugar over sweetener depends on a gut sensor cell.</w:t>
      </w:r>
      <w:r>
        <w:t xml:space="preserve"> </w:t>
      </w:r>
      <w:r>
        <w:rPr>
          <w:iCs/>
          <w:i/>
        </w:rPr>
        <w:t xml:space="preserve">Nature Neuroscience</w:t>
      </w:r>
      <w:r>
        <w:t xml:space="preserve">. 2022;25(2):191–200.</w:t>
      </w:r>
      <w:r>
        <w:t xml:space="preserve"> </w:t>
      </w:r>
      <w:hyperlink r:id="rId4504">
        <w:r>
          <w:rPr>
            <w:rStyle w:val="Hyperlink"/>
          </w:rPr>
          <w:t xml:space="preserve">https://doi.org/10.1038/s41593-021-00982-7</w:t>
        </w:r>
      </w:hyperlink>
      <w:r>
        <w:t xml:space="preserve">（研究类型：小鼠肠感觉细胞记录与光遗传行为研究）</w:t>
      </w:r>
    </w:p>
    <w:p>
      <w:pPr>
        <w:pStyle w:val="ReferenceEntry"/>
      </w:pPr>
      <w:bookmarkStart w:id="4505" w:name="ref-958"/>
      <w:r>
        <w:t xml:space="preserve">[958]</w:t>
      </w:r>
      <w:bookmarkEnd w:id="4505"/>
      <w:r>
        <w:t xml:space="preserve"> Williams EK, Chang RB, Strochlic DE, Umans BD, Lowell BB, Liberles SD. Sensory Neurons that Detect Stretch and Nutrients in the Digestive System.</w:t>
      </w:r>
      <w:r>
        <w:t xml:space="preserve"> </w:t>
      </w:r>
      <w:r>
        <w:rPr>
          <w:iCs/>
          <w:i/>
        </w:rPr>
        <w:t xml:space="preserve">Cell</w:t>
      </w:r>
      <w:r>
        <w:t xml:space="preserve">. 2016;166(1):209–221.</w:t>
      </w:r>
      <w:r>
        <w:t xml:space="preserve"> </w:t>
      </w:r>
      <w:hyperlink r:id="rId4506">
        <w:r>
          <w:rPr>
            <w:rStyle w:val="Hyperlink"/>
          </w:rPr>
          <w:t xml:space="preserve">https://doi.org/10.1016/j.cell.2016.05.011</w:t>
        </w:r>
      </w:hyperlink>
      <w:r>
        <w:t xml:space="preserve">（研究类型：小鼠迷走感觉细胞遗传解剖与记录操纵）</w:t>
      </w:r>
    </w:p>
    <w:p>
      <w:pPr>
        <w:pStyle w:val="ReferenceEntry"/>
      </w:pPr>
      <w:bookmarkStart w:id="4507" w:name="ref-959"/>
      <w:r>
        <w:t xml:space="preserve">[959]</w:t>
      </w:r>
      <w:bookmarkEnd w:id="4507"/>
      <w:r>
        <w:t xml:space="preserve"> Rao M, Rastelli D, Dong L, Chiu S, Setlik W, Gershon MD, et al. Enteric Glia Regulate Gastrointestinal Motility but Are Not Required for Maintenance of the Epithelium in Mice.</w:t>
      </w:r>
      <w:r>
        <w:t xml:space="preserve"> </w:t>
      </w:r>
      <w:r>
        <w:rPr>
          <w:iCs/>
          <w:i/>
        </w:rPr>
        <w:t xml:space="preserve">Gastroenterology</w:t>
      </w:r>
      <w:r>
        <w:t xml:space="preserve">. 2017;153(4):1068–1081.e7.</w:t>
      </w:r>
      <w:r>
        <w:t xml:space="preserve"> </w:t>
      </w:r>
      <w:hyperlink r:id="rId4508">
        <w:r>
          <w:rPr>
            <w:rStyle w:val="Hyperlink"/>
          </w:rPr>
          <w:t xml:space="preserve">https://doi.org/10.1053/j.gastro.2017.07.002</w:t>
        </w:r>
      </w:hyperlink>
      <w:r>
        <w:t xml:space="preserve">（研究类型：不同靶向胶质清除方案的小鼠比较实验）</w:t>
      </w:r>
    </w:p>
    <w:p>
      <w:pPr>
        <w:pStyle w:val="ReferenceEntry"/>
      </w:pPr>
      <w:bookmarkStart w:id="4509" w:name="ref-960"/>
      <w:r>
        <w:t xml:space="preserve">[960]</w:t>
      </w:r>
      <w:bookmarkEnd w:id="4509"/>
      <w:r>
        <w:t xml:space="preserve"> Ibiza S, García-Cassani B, Ribeiro H, Carvalho T, Almeida L, Marques R, et al. Glial-cell-derived neuroregulators control type 3 innate lymphoid cells and gut defence.</w:t>
      </w:r>
      <w:r>
        <w:t xml:space="preserve"> </w:t>
      </w:r>
      <w:r>
        <w:rPr>
          <w:iCs/>
          <w:i/>
        </w:rPr>
        <w:t xml:space="preserve">Nature</w:t>
      </w:r>
      <w:r>
        <w:t xml:space="preserve">. 2016;535(7612):440–443.</w:t>
      </w:r>
      <w:r>
        <w:t xml:space="preserve"> </w:t>
      </w:r>
      <w:hyperlink r:id="rId4510">
        <w:r>
          <w:rPr>
            <w:rStyle w:val="Hyperlink"/>
          </w:rPr>
          <w:t xml:space="preserve">https://doi.org/10.1038/nature18644</w:t>
        </w:r>
      </w:hyperlink>
      <w:r>
        <w:t xml:space="preserve">（研究类型：小鼠胶质固有淋巴细胞与上皮信号操纵）</w:t>
      </w:r>
    </w:p>
    <w:p>
      <w:pPr>
        <w:pStyle w:val="ReferenceEntry"/>
      </w:pPr>
      <w:bookmarkStart w:id="4511" w:name="ref-961"/>
      <w:r>
        <w:t xml:space="preserve">[961]</w:t>
      </w:r>
      <w:bookmarkEnd w:id="4511"/>
      <w:r>
        <w:t xml:space="preserve"> Sampson TR, Debelius JW, Thron T, Janssen S, Shastri GG, Ilhan ZE, et al. Gut Microbiota Regulate Motor Deficits and Neuroinflammation in a Model of Parkinson's Disease.</w:t>
      </w:r>
      <w:r>
        <w:t xml:space="preserve"> </w:t>
      </w:r>
      <w:r>
        <w:rPr>
          <w:iCs/>
          <w:i/>
        </w:rPr>
        <w:t xml:space="preserve">Cell</w:t>
      </w:r>
      <w:r>
        <w:t xml:space="preserve">. 2016;167(6):1469–1480.e12.</w:t>
      </w:r>
      <w:r>
        <w:t xml:space="preserve"> </w:t>
      </w:r>
      <w:hyperlink r:id="rId4512">
        <w:r>
          <w:rPr>
            <w:rStyle w:val="Hyperlink"/>
          </w:rPr>
          <w:t xml:space="preserve">https://doi.org/10.1016/j.cell.2016.11.018</w:t>
        </w:r>
      </w:hyperlink>
      <w:r>
        <w:t xml:space="preserve">（研究类型：α突触核蛋白模型小鼠微生物操纵研究）</w:t>
      </w:r>
    </w:p>
    <w:p>
      <w:pPr>
        <w:pStyle w:val="ReferenceEntry"/>
      </w:pPr>
      <w:bookmarkStart w:id="4513" w:name="ref-962"/>
      <w:r>
        <w:t xml:space="preserve">[962]</w:t>
      </w:r>
      <w:bookmarkEnd w:id="4513"/>
      <w:r>
        <w:t xml:space="preserve"> Fox KC, Dixon ML, Nijeboer S, et al. Functional neuroanatomy of meditation: A review and meta-analysis of 78 functional neuroimaging investigations.</w:t>
      </w:r>
      <w:r>
        <w:t xml:space="preserve"> </w:t>
      </w:r>
      <w:r>
        <w:rPr>
          <w:iCs/>
          <w:i/>
        </w:rPr>
        <w:t xml:space="preserve">Neuroscience &amp; Biobehavioral Reviews</w:t>
      </w:r>
      <w:r>
        <w:t xml:space="preserve">. 2016;65:208–228.</w:t>
      </w:r>
      <w:r>
        <w:t xml:space="preserve"> </w:t>
      </w:r>
      <w:hyperlink r:id="rId4514">
        <w:r>
          <w:rPr>
            <w:rStyle w:val="Hyperlink"/>
          </w:rPr>
          <w:t xml:space="preserve">https://doi.org/10.1016/j.neubiorev.2016.03.021</w:t>
        </w:r>
      </w:hyperlink>
    </w:p>
    <w:p>
      <w:pPr>
        <w:pStyle w:val="ReferenceEntry"/>
      </w:pPr>
      <w:bookmarkStart w:id="4515" w:name="ref-963"/>
      <w:r>
        <w:t xml:space="preserve">[963]</w:t>
      </w:r>
      <w:bookmarkEnd w:id="4515"/>
      <w:r>
        <w:t xml:space="preserve"> Lutz A, Slagter HA, Dunne JD, et al. Attention regulation and monitoring in meditation.</w:t>
      </w:r>
      <w:r>
        <w:t xml:space="preserve"> </w:t>
      </w:r>
      <w:r>
        <w:rPr>
          <w:iCs/>
          <w:i/>
        </w:rPr>
        <w:t xml:space="preserve">Trends in Cognitive Sciences</w:t>
      </w:r>
      <w:r>
        <w:t xml:space="preserve">. 2008;12(4):163–169.</w:t>
      </w:r>
      <w:r>
        <w:t xml:space="preserve"> </w:t>
      </w:r>
      <w:hyperlink r:id="rId4516">
        <w:r>
          <w:rPr>
            <w:rStyle w:val="Hyperlink"/>
          </w:rPr>
          <w:t xml:space="preserve">https://doi.org/10.1016/j.tics.2008.01.005</w:t>
        </w:r>
      </w:hyperlink>
    </w:p>
    <w:p>
      <w:pPr>
        <w:pStyle w:val="ReferenceEntry"/>
      </w:pPr>
      <w:bookmarkStart w:id="4517" w:name="ref-964"/>
      <w:r>
        <w:t xml:space="preserve">[964]</w:t>
      </w:r>
      <w:bookmarkEnd w:id="4517"/>
      <w:r>
        <w:t xml:space="preserve"> Dahl CJ, Lutz A, Davidson RJ. Reconstructing and deconstructing the self: cognitive mechanisms in meditation practice.</w:t>
      </w:r>
      <w:r>
        <w:t xml:space="preserve"> </w:t>
      </w:r>
      <w:r>
        <w:rPr>
          <w:iCs/>
          <w:i/>
        </w:rPr>
        <w:t xml:space="preserve">Trends in Cognitive Sciences</w:t>
      </w:r>
      <w:r>
        <w:t xml:space="preserve">. 2015;19(9):515–523.</w:t>
      </w:r>
      <w:r>
        <w:t xml:space="preserve"> </w:t>
      </w:r>
      <w:hyperlink r:id="rId4518">
        <w:r>
          <w:rPr>
            <w:rStyle w:val="Hyperlink"/>
          </w:rPr>
          <w:t xml:space="preserve">https://doi.org/10.1016/j.tics.2015.07.001</w:t>
        </w:r>
      </w:hyperlink>
    </w:p>
    <w:p>
      <w:pPr>
        <w:pStyle w:val="ReferenceEntry"/>
      </w:pPr>
      <w:bookmarkStart w:id="4519" w:name="ref-965"/>
      <w:r>
        <w:t xml:space="preserve">[965]</w:t>
      </w:r>
      <w:bookmarkEnd w:id="4519"/>
      <w:r>
        <w:t xml:space="preserve"> Matko K, Sedlmeier P. What Is Meditation? Proposing an Empirically Derived Classification System.</w:t>
      </w:r>
      <w:r>
        <w:t xml:space="preserve"> </w:t>
      </w:r>
      <w:r>
        <w:rPr>
          <w:iCs/>
          <w:i/>
        </w:rPr>
        <w:t xml:space="preserve">Frontiers in Psychology</w:t>
      </w:r>
      <w:r>
        <w:t xml:space="preserve">. 2019;10:2276.</w:t>
      </w:r>
      <w:r>
        <w:t xml:space="preserve"> </w:t>
      </w:r>
      <w:hyperlink r:id="rId4520">
        <w:r>
          <w:rPr>
            <w:rStyle w:val="Hyperlink"/>
          </w:rPr>
          <w:t xml:space="preserve">https://doi.org/10.3389/fpsyg.2019.02276</w:t>
        </w:r>
      </w:hyperlink>
    </w:p>
    <w:p>
      <w:pPr>
        <w:pStyle w:val="ReferenceEntry"/>
      </w:pPr>
      <w:bookmarkStart w:id="4521" w:name="ref-966"/>
      <w:r>
        <w:t xml:space="preserve">[966]</w:t>
      </w:r>
      <w:bookmarkEnd w:id="4521"/>
      <w:r>
        <w:t xml:space="preserve"> MacCoon DG, Imel ZE, Rosenkranz MA, et al. The validation of an active control intervention for Mindfulness Based Stress Reduction (MBSR).</w:t>
      </w:r>
      <w:r>
        <w:t xml:space="preserve"> </w:t>
      </w:r>
      <w:r>
        <w:rPr>
          <w:iCs/>
          <w:i/>
        </w:rPr>
        <w:t xml:space="preserve">Behaviour Research and Therapy</w:t>
      </w:r>
      <w:r>
        <w:t xml:space="preserve">. 2012;50(1):3–12.</w:t>
      </w:r>
      <w:r>
        <w:t xml:space="preserve"> </w:t>
      </w:r>
      <w:hyperlink r:id="rId4522">
        <w:r>
          <w:rPr>
            <w:rStyle w:val="Hyperlink"/>
          </w:rPr>
          <w:t xml:space="preserve">https://doi.org/10.1016/j.brat.2011.10.011</w:t>
        </w:r>
      </w:hyperlink>
    </w:p>
    <w:p>
      <w:pPr>
        <w:pStyle w:val="ReferenceEntry"/>
      </w:pPr>
      <w:bookmarkStart w:id="4523" w:name="ref-967"/>
      <w:r>
        <w:t xml:space="preserve">[967]</w:t>
      </w:r>
      <w:bookmarkEnd w:id="4523"/>
      <w:r>
        <w:t xml:space="preserve"> Davidson RJ, Kaszniak AW. Conceptual and methodological issues in research on mindfulness and meditation.</w:t>
      </w:r>
      <w:r>
        <w:t xml:space="preserve"> </w:t>
      </w:r>
      <w:r>
        <w:rPr>
          <w:iCs/>
          <w:i/>
        </w:rPr>
        <w:t xml:space="preserve">American Psychologist</w:t>
      </w:r>
      <w:r>
        <w:t xml:space="preserve">. 2015;70(7):581–592.</w:t>
      </w:r>
      <w:r>
        <w:t xml:space="preserve"> </w:t>
      </w:r>
      <w:hyperlink r:id="rId4524">
        <w:r>
          <w:rPr>
            <w:rStyle w:val="Hyperlink"/>
          </w:rPr>
          <w:t xml:space="preserve">https://doi.org/10.1037/a0039512</w:t>
        </w:r>
      </w:hyperlink>
    </w:p>
    <w:p>
      <w:pPr>
        <w:pStyle w:val="ReferenceEntry"/>
      </w:pPr>
      <w:bookmarkStart w:id="4525" w:name="ref-968"/>
      <w:r>
        <w:t xml:space="preserve">[968]</w:t>
      </w:r>
      <w:bookmarkEnd w:id="4525"/>
      <w:r>
        <w:t xml:space="preserve"> Zeidan F, Emerson NM, Farris SR, et al. Mindfulness Meditation-Based Pain Relief Employs Different Neural Mechanisms Than Placebo and Sham Mindfulness Meditation-Induced Analgesia.</w:t>
      </w:r>
      <w:r>
        <w:t xml:space="preserve"> </w:t>
      </w:r>
      <w:r>
        <w:rPr>
          <w:iCs/>
          <w:i/>
        </w:rPr>
        <w:t xml:space="preserve">The Journal of Neuroscience</w:t>
      </w:r>
      <w:r>
        <w:t xml:space="preserve">. 2015;35(46):15307–15325.</w:t>
      </w:r>
      <w:r>
        <w:t xml:space="preserve"> </w:t>
      </w:r>
      <w:hyperlink r:id="rId4526">
        <w:r>
          <w:rPr>
            <w:rStyle w:val="Hyperlink"/>
          </w:rPr>
          <w:t xml:space="preserve">https://doi.org/10.1523/jneurosci.2542-15.2015</w:t>
        </w:r>
      </w:hyperlink>
    </w:p>
    <w:p>
      <w:pPr>
        <w:pStyle w:val="ReferenceEntry"/>
      </w:pPr>
      <w:bookmarkStart w:id="4527" w:name="ref-969"/>
      <w:r>
        <w:t xml:space="preserve">[969]</w:t>
      </w:r>
      <w:bookmarkEnd w:id="4527"/>
      <w:r>
        <w:t xml:space="preserve"> Kral TRA, Davis K, Korponay C, et al. Absence of structural brain changes from mindfulness-based stress reduction: Two combined randomized controlled trials.</w:t>
      </w:r>
      <w:r>
        <w:t xml:space="preserve"> </w:t>
      </w:r>
      <w:r>
        <w:rPr>
          <w:iCs/>
          <w:i/>
        </w:rPr>
        <w:t xml:space="preserve">Science Advances</w:t>
      </w:r>
      <w:r>
        <w:t xml:space="preserve">. 2022;8(20):eabk3316.</w:t>
      </w:r>
      <w:r>
        <w:t xml:space="preserve"> </w:t>
      </w:r>
      <w:hyperlink r:id="rId4528">
        <w:r>
          <w:rPr>
            <w:rStyle w:val="Hyperlink"/>
          </w:rPr>
          <w:t xml:space="preserve">https://doi.org/10.1126/sciadv.abk3316</w:t>
        </w:r>
      </w:hyperlink>
    </w:p>
    <w:p>
      <w:pPr>
        <w:pStyle w:val="ReferenceEntry"/>
      </w:pPr>
      <w:bookmarkStart w:id="4529" w:name="ref-970"/>
      <w:r>
        <w:t xml:space="preserve">[970]</w:t>
      </w:r>
      <w:bookmarkEnd w:id="4529"/>
      <w:r>
        <w:t xml:space="preserve"> Van Dam NT, van Vugt MK, Vago DR, et al. Mind the Hype: A Critical Evaluation and Prescriptive Agenda for Research on Mindfulness and Meditation.</w:t>
      </w:r>
      <w:r>
        <w:t xml:space="preserve"> </w:t>
      </w:r>
      <w:r>
        <w:rPr>
          <w:iCs/>
          <w:i/>
        </w:rPr>
        <w:t xml:space="preserve">Perspectives on Psychological Science</w:t>
      </w:r>
      <w:r>
        <w:t xml:space="preserve">. 2018;13(1):36–61.</w:t>
      </w:r>
      <w:r>
        <w:t xml:space="preserve"> </w:t>
      </w:r>
      <w:hyperlink r:id="rId4530">
        <w:r>
          <w:rPr>
            <w:rStyle w:val="Hyperlink"/>
          </w:rPr>
          <w:t xml:space="preserve">https://doi.org/10.1177/1745691617709589</w:t>
        </w:r>
      </w:hyperlink>
      <w:r>
        <w:t xml:space="preserve">（研究类型：研究质量批判综述）</w:t>
      </w:r>
    </w:p>
    <w:p>
      <w:pPr>
        <w:pStyle w:val="ReferenceEntry"/>
      </w:pPr>
      <w:bookmarkStart w:id="4531" w:name="ref-971"/>
      <w:r>
        <w:t xml:space="preserve">[971]</w:t>
      </w:r>
      <w:bookmarkEnd w:id="4531"/>
      <w:r>
        <w:t xml:space="preserve"> Kabat-Zinn J. An outpatient program in behavioral medicine for chronic pain patients based on the practice of mindfulness meditation: Theoretical considerations and preliminary results.</w:t>
      </w:r>
      <w:r>
        <w:t xml:space="preserve"> </w:t>
      </w:r>
      <w:r>
        <w:rPr>
          <w:iCs/>
          <w:i/>
        </w:rPr>
        <w:t xml:space="preserve">General Hospital Psychiatry</w:t>
      </w:r>
      <w:r>
        <w:t xml:space="preserve">. 1982;4(1):33–47.</w:t>
      </w:r>
      <w:r>
        <w:t xml:space="preserve"> </w:t>
      </w:r>
      <w:hyperlink r:id="rId4532">
        <w:r>
          <w:rPr>
            <w:rStyle w:val="Hyperlink"/>
          </w:rPr>
          <w:t xml:space="preserve">https://doi.org/10.1016/0163-8343(82)90026-3</w:t>
        </w:r>
      </w:hyperlink>
    </w:p>
    <w:p>
      <w:pPr>
        <w:pStyle w:val="ReferenceEntry"/>
      </w:pPr>
      <w:bookmarkStart w:id="4533" w:name="ref-972"/>
      <w:r>
        <w:t xml:space="preserve">[972]</w:t>
      </w:r>
      <w:bookmarkEnd w:id="4533"/>
      <w:r>
        <w:t xml:space="preserve"> Kjaer TW, Bertelsen C, Piccini P, et al. Increased dopamine tone during meditation-induced change of consciousness.</w:t>
      </w:r>
      <w:r>
        <w:t xml:space="preserve"> </w:t>
      </w:r>
      <w:r>
        <w:rPr>
          <w:iCs/>
          <w:i/>
        </w:rPr>
        <w:t xml:space="preserve">Cognitive Brain Research</w:t>
      </w:r>
      <w:r>
        <w:t xml:space="preserve">. 2002;13(2):255–259.</w:t>
      </w:r>
      <w:r>
        <w:t xml:space="preserve"> </w:t>
      </w:r>
      <w:hyperlink r:id="rId4534">
        <w:r>
          <w:rPr>
            <w:rStyle w:val="Hyperlink"/>
          </w:rPr>
          <w:t xml:space="preserve">https://doi.org/10.1016/s0926-6410(01)00106-9</w:t>
        </w:r>
      </w:hyperlink>
    </w:p>
    <w:p>
      <w:pPr>
        <w:pStyle w:val="ReferenceEntry"/>
      </w:pPr>
      <w:bookmarkStart w:id="4535" w:name="ref-973"/>
      <w:r>
        <w:t xml:space="preserve">[973]</w:t>
      </w:r>
      <w:bookmarkEnd w:id="4535"/>
      <w:r>
        <w:t xml:space="preserve"> Davidson RJ, Kabat-Zinn J, Schumacher J, et al. Alterations in Brain and Immune Function Produced by Mindfulness Meditation.</w:t>
      </w:r>
      <w:r>
        <w:t xml:space="preserve"> </w:t>
      </w:r>
      <w:r>
        <w:rPr>
          <w:iCs/>
          <w:i/>
        </w:rPr>
        <w:t xml:space="preserve">Psychosomatic Medicine</w:t>
      </w:r>
      <w:r>
        <w:t xml:space="preserve">. 2003;65(4):564–570.</w:t>
      </w:r>
      <w:r>
        <w:t xml:space="preserve"> </w:t>
      </w:r>
      <w:hyperlink r:id="rId4536">
        <w:r>
          <w:rPr>
            <w:rStyle w:val="Hyperlink"/>
          </w:rPr>
          <w:t xml:space="preserve">https://doi.org/10.1097/01.psy.0000077505.67574.e3</w:t>
        </w:r>
      </w:hyperlink>
    </w:p>
    <w:p>
      <w:pPr>
        <w:pStyle w:val="ReferenceEntry"/>
      </w:pPr>
      <w:bookmarkStart w:id="4537" w:name="ref-974"/>
      <w:r>
        <w:t xml:space="preserve">[974]</w:t>
      </w:r>
      <w:bookmarkEnd w:id="4537"/>
      <w:r>
        <w:t xml:space="preserve"> Lutz A, Greischar LL, Rawlings NB, et al. Long-term meditators self-induce high-amplitude gamma synchrony during mental practice.</w:t>
      </w:r>
      <w:r>
        <w:t xml:space="preserve"> </w:t>
      </w:r>
      <w:r>
        <w:rPr>
          <w:iCs/>
          <w:i/>
        </w:rPr>
        <w:t xml:space="preserve">Proceedings of the National Academy of Sciences</w:t>
      </w:r>
      <w:r>
        <w:t xml:space="preserve">. 2004;101(46):16369–16373.</w:t>
      </w:r>
      <w:r>
        <w:t xml:space="preserve"> </w:t>
      </w:r>
      <w:hyperlink r:id="rId4538">
        <w:r>
          <w:rPr>
            <w:rStyle w:val="Hyperlink"/>
          </w:rPr>
          <w:t xml:space="preserve">https://doi.org/10.1073/pnas.0407401101</w:t>
        </w:r>
      </w:hyperlink>
    </w:p>
    <w:p>
      <w:pPr>
        <w:pStyle w:val="ReferenceEntry"/>
      </w:pPr>
      <w:bookmarkStart w:id="4539" w:name="ref-975"/>
      <w:r>
        <w:t xml:space="preserve">[975]</w:t>
      </w:r>
      <w:bookmarkEnd w:id="4539"/>
      <w:r>
        <w:t xml:space="preserve"> Lazar SW, Kerr CE, Wasserman RH, et al. Meditation experience is associated with increased cortical thickness.</w:t>
      </w:r>
      <w:r>
        <w:t xml:space="preserve"> </w:t>
      </w:r>
      <w:r>
        <w:rPr>
          <w:iCs/>
          <w:i/>
        </w:rPr>
        <w:t xml:space="preserve">NeuroReport</w:t>
      </w:r>
      <w:r>
        <w:t xml:space="preserve">. 2005;16(17):1893–1897.</w:t>
      </w:r>
      <w:r>
        <w:t xml:space="preserve"> </w:t>
      </w:r>
      <w:hyperlink r:id="rId4540">
        <w:r>
          <w:rPr>
            <w:rStyle w:val="Hyperlink"/>
          </w:rPr>
          <w:t xml:space="preserve">https://doi.org/10.1097/01.wnr.0000186598.66243.19</w:t>
        </w:r>
      </w:hyperlink>
    </w:p>
    <w:p>
      <w:pPr>
        <w:pStyle w:val="ReferenceEntry"/>
      </w:pPr>
      <w:bookmarkStart w:id="4541" w:name="ref-976"/>
      <w:r>
        <w:t xml:space="preserve">[976]</w:t>
      </w:r>
      <w:bookmarkEnd w:id="4541"/>
      <w:r>
        <w:t xml:space="preserve"> Tang YY, Ma Y, Wang J, et al. Short-term meditation training improves attention and self-regulation.</w:t>
      </w:r>
      <w:r>
        <w:t xml:space="preserve"> </w:t>
      </w:r>
      <w:r>
        <w:rPr>
          <w:iCs/>
          <w:i/>
        </w:rPr>
        <w:t xml:space="preserve">Proceedings of the National Academy of Sciences</w:t>
      </w:r>
      <w:r>
        <w:t xml:space="preserve">. 2007;104(43):17152–17156.</w:t>
      </w:r>
      <w:r>
        <w:t xml:space="preserve"> </w:t>
      </w:r>
      <w:hyperlink r:id="rId4542">
        <w:r>
          <w:rPr>
            <w:rStyle w:val="Hyperlink"/>
          </w:rPr>
          <w:t xml:space="preserve">https://doi.org/10.1073/pnas.0707678104</w:t>
        </w:r>
      </w:hyperlink>
    </w:p>
    <w:p>
      <w:pPr>
        <w:pStyle w:val="ReferenceEntry"/>
      </w:pPr>
      <w:bookmarkStart w:id="4543" w:name="ref-977"/>
      <w:r>
        <w:t xml:space="preserve">[977]</w:t>
      </w:r>
      <w:bookmarkEnd w:id="4543"/>
      <w:r>
        <w:t xml:space="preserve"> Farb NA, Segal ZV, Mayberg H, et al. Attending to the present: mindfulness meditation reveals distinct neural modes of self-reference.</w:t>
      </w:r>
      <w:r>
        <w:t xml:space="preserve"> </w:t>
      </w:r>
      <w:r>
        <w:rPr>
          <w:iCs/>
          <w:i/>
        </w:rPr>
        <w:t xml:space="preserve">Social Cognitive and Affective Neuroscience</w:t>
      </w:r>
      <w:r>
        <w:t xml:space="preserve">. 2007;2(4):313–322.</w:t>
      </w:r>
      <w:r>
        <w:t xml:space="preserve"> </w:t>
      </w:r>
      <w:hyperlink r:id="rId4544">
        <w:r>
          <w:rPr>
            <w:rStyle w:val="Hyperlink"/>
          </w:rPr>
          <w:t xml:space="preserve">https://doi.org/10.1093/scan/nsm030</w:t>
        </w:r>
      </w:hyperlink>
    </w:p>
    <w:p>
      <w:pPr>
        <w:pStyle w:val="ReferenceEntry"/>
      </w:pPr>
      <w:bookmarkStart w:id="4545" w:name="ref-978"/>
      <w:r>
        <w:t xml:space="preserve">[978]</w:t>
      </w:r>
      <w:bookmarkEnd w:id="4545"/>
      <w:r>
        <w:t xml:space="preserve"> Hölzel BK, Carmody J, Evans KC, et al. Stress reduction correlates with structural changes in the amygdala.</w:t>
      </w:r>
      <w:r>
        <w:t xml:space="preserve"> </w:t>
      </w:r>
      <w:r>
        <w:rPr>
          <w:iCs/>
          <w:i/>
        </w:rPr>
        <w:t xml:space="preserve">Social Cognitive and Affective Neuroscience</w:t>
      </w:r>
      <w:r>
        <w:t xml:space="preserve">. 2010;5(1):11–17.</w:t>
      </w:r>
      <w:r>
        <w:t xml:space="preserve"> </w:t>
      </w:r>
      <w:hyperlink r:id="rId4546">
        <w:r>
          <w:rPr>
            <w:rStyle w:val="Hyperlink"/>
          </w:rPr>
          <w:t xml:space="preserve">https://doi.org/10.1093/scan/nsp034</w:t>
        </w:r>
      </w:hyperlink>
    </w:p>
    <w:p>
      <w:pPr>
        <w:pStyle w:val="ReferenceEntry"/>
      </w:pPr>
      <w:bookmarkStart w:id="4547" w:name="ref-979"/>
      <w:r>
        <w:t xml:space="preserve">[979]</w:t>
      </w:r>
      <w:bookmarkEnd w:id="4547"/>
      <w:r>
        <w:t xml:space="preserve"> Hölzel BK, Carmody J, Vangel M, et al. Mindfulness practice leads to increases in regional brain gray matter density.</w:t>
      </w:r>
      <w:r>
        <w:t xml:space="preserve"> </w:t>
      </w:r>
      <w:r>
        <w:rPr>
          <w:iCs/>
          <w:i/>
        </w:rPr>
        <w:t xml:space="preserve">Psychiatry Research: Neuroimaging</w:t>
      </w:r>
      <w:r>
        <w:t xml:space="preserve">. 2011;191(1):36–43.</w:t>
      </w:r>
      <w:r>
        <w:t xml:space="preserve"> </w:t>
      </w:r>
      <w:hyperlink r:id="rId4548">
        <w:r>
          <w:rPr>
            <w:rStyle w:val="Hyperlink"/>
          </w:rPr>
          <w:t xml:space="preserve">https://doi.org/10.1016/j.pscychresns.2010.08.006</w:t>
        </w:r>
      </w:hyperlink>
    </w:p>
    <w:p>
      <w:pPr>
        <w:pStyle w:val="ReferenceEntry"/>
      </w:pPr>
      <w:bookmarkStart w:id="4549" w:name="ref-980"/>
      <w:r>
        <w:t xml:space="preserve">[980]</w:t>
      </w:r>
      <w:bookmarkEnd w:id="4549"/>
      <w:r>
        <w:t xml:space="preserve"> Brewer JA, Worhunsky PD, Gray JR, et al. Meditation experience is associated with differences in default mode network activity and connectivity.</w:t>
      </w:r>
      <w:r>
        <w:t xml:space="preserve"> </w:t>
      </w:r>
      <w:r>
        <w:rPr>
          <w:iCs/>
          <w:i/>
        </w:rPr>
        <w:t xml:space="preserve">Proceedings of the National Academy of Sciences</w:t>
      </w:r>
      <w:r>
        <w:t xml:space="preserve">. 2011;108(50):20254–20259.</w:t>
      </w:r>
      <w:r>
        <w:t xml:space="preserve"> </w:t>
      </w:r>
      <w:hyperlink r:id="rId4550">
        <w:r>
          <w:rPr>
            <w:rStyle w:val="Hyperlink"/>
          </w:rPr>
          <w:t xml:space="preserve">https://doi.org/10.1073/pnas.1112029108</w:t>
        </w:r>
      </w:hyperlink>
    </w:p>
    <w:p>
      <w:pPr>
        <w:pStyle w:val="ReferenceEntry"/>
      </w:pPr>
      <w:bookmarkStart w:id="4551" w:name="ref-981"/>
      <w:r>
        <w:t xml:space="preserve">[981]</w:t>
      </w:r>
      <w:bookmarkEnd w:id="4551"/>
      <w:r>
        <w:t xml:space="preserve"> Hasenkamp W, Wilson-Mendenhall CD, Duncan E, et al. Mind wandering and attention during focused meditation: A fine-grained temporal analysis of fluctuating cognitive states.</w:t>
      </w:r>
      <w:r>
        <w:t xml:space="preserve"> </w:t>
      </w:r>
      <w:r>
        <w:rPr>
          <w:iCs/>
          <w:i/>
        </w:rPr>
        <w:t xml:space="preserve">NeuroImage</w:t>
      </w:r>
      <w:r>
        <w:t xml:space="preserve">. 2012;59(1):750–760.</w:t>
      </w:r>
      <w:r>
        <w:t xml:space="preserve"> </w:t>
      </w:r>
      <w:hyperlink r:id="rId4552">
        <w:r>
          <w:rPr>
            <w:rStyle w:val="Hyperlink"/>
          </w:rPr>
          <w:t xml:space="preserve">https://doi.org/10.1016/j.neuroimage.2011.07.008</w:t>
        </w:r>
      </w:hyperlink>
    </w:p>
    <w:p>
      <w:pPr>
        <w:pStyle w:val="ReferenceEntry"/>
      </w:pPr>
      <w:bookmarkStart w:id="4553" w:name="ref-982"/>
      <w:r>
        <w:t xml:space="preserve">[982]</w:t>
      </w:r>
      <w:bookmarkEnd w:id="4553"/>
      <w:r>
        <w:t xml:space="preserve"> Goyal M, Singh S, Sibinga EM, et al. Meditation Programs for Psychological Stress and Well-being: A Systematic Review and Meta-analysis.</w:t>
      </w:r>
      <w:r>
        <w:t xml:space="preserve"> </w:t>
      </w:r>
      <w:r>
        <w:rPr>
          <w:iCs/>
          <w:i/>
        </w:rPr>
        <w:t xml:space="preserve">JAMA Internal Medicine</w:t>
      </w:r>
      <w:r>
        <w:t xml:space="preserve">. 2014;174(3):357–368.</w:t>
      </w:r>
      <w:r>
        <w:t xml:space="preserve"> </w:t>
      </w:r>
      <w:hyperlink r:id="rId4554">
        <w:r>
          <w:rPr>
            <w:rStyle w:val="Hyperlink"/>
          </w:rPr>
          <w:t xml:space="preserve">https://doi.org/10.1001/jamainternmed.2013.13018</w:t>
        </w:r>
      </w:hyperlink>
      <w:r>
        <w:t xml:space="preserve">（研究类型：系统综述与元分析）</w:t>
      </w:r>
    </w:p>
    <w:p>
      <w:pPr>
        <w:pStyle w:val="ReferenceEntry"/>
      </w:pPr>
      <w:bookmarkStart w:id="4555" w:name="ref-983"/>
      <w:r>
        <w:t xml:space="preserve">[983]</w:t>
      </w:r>
      <w:bookmarkEnd w:id="4555"/>
      <w:r>
        <w:t xml:space="preserve"> Fox KC, Nijeboer S, Dixon ML, et al. Is meditation associated with altered brain structure? A systematic review and meta-analysis of morphometric neuroimaging in meditation practitioners.</w:t>
      </w:r>
      <w:r>
        <w:t xml:space="preserve"> </w:t>
      </w:r>
      <w:r>
        <w:rPr>
          <w:iCs/>
          <w:i/>
        </w:rPr>
        <w:t xml:space="preserve">Neuroscience &amp; Biobehavioral Reviews</w:t>
      </w:r>
      <w:r>
        <w:t xml:space="preserve">. 2014;43:48–73.</w:t>
      </w:r>
      <w:r>
        <w:t xml:space="preserve"> </w:t>
      </w:r>
      <w:hyperlink r:id="rId4556">
        <w:r>
          <w:rPr>
            <w:rStyle w:val="Hyperlink"/>
          </w:rPr>
          <w:t xml:space="preserve">https://doi.org/10.1016/j.neubiorev.2014.03.016</w:t>
        </w:r>
      </w:hyperlink>
    </w:p>
    <w:p>
      <w:pPr>
        <w:pStyle w:val="ReferenceEntry"/>
      </w:pPr>
      <w:bookmarkStart w:id="4557" w:name="ref-984"/>
      <w:r>
        <w:t xml:space="preserve">[984]</w:t>
      </w:r>
      <w:bookmarkEnd w:id="4557"/>
      <w:r>
        <w:t xml:space="preserve"> Luders E, Cherbuin N, Gaser C. Estimating brain age using high-resolution pattern recognition: Younger brains in long-term meditation practitioners.</w:t>
      </w:r>
      <w:r>
        <w:t xml:space="preserve"> </w:t>
      </w:r>
      <w:r>
        <w:rPr>
          <w:iCs/>
          <w:i/>
        </w:rPr>
        <w:t xml:space="preserve">NeuroImage</w:t>
      </w:r>
      <w:r>
        <w:t xml:space="preserve">. 2016;134:508–513.</w:t>
      </w:r>
      <w:r>
        <w:t xml:space="preserve"> </w:t>
      </w:r>
      <w:hyperlink r:id="rId4558">
        <w:r>
          <w:rPr>
            <w:rStyle w:val="Hyperlink"/>
          </w:rPr>
          <w:t xml:space="preserve">https://doi.org/10.1016/j.neuroimage.2016.04.007</w:t>
        </w:r>
      </w:hyperlink>
    </w:p>
    <w:p>
      <w:pPr>
        <w:pStyle w:val="ReferenceEntry"/>
      </w:pPr>
      <w:bookmarkStart w:id="4559" w:name="ref-985"/>
      <w:r>
        <w:t xml:space="preserve">[985]</w:t>
      </w:r>
      <w:bookmarkEnd w:id="4559"/>
      <w:r>
        <w:t xml:space="preserve"> Kuyken W, Warren FC, Taylor RS, et al. Efficacy of Mindfulness-Based Cognitive Therapy in Prevention of Depressive Relapse: An Individual Patient Data Meta-analysis From Randomized Trials.</w:t>
      </w:r>
      <w:r>
        <w:t xml:space="preserve"> </w:t>
      </w:r>
      <w:r>
        <w:rPr>
          <w:iCs/>
          <w:i/>
        </w:rPr>
        <w:t xml:space="preserve">JAMA Psychiatry</w:t>
      </w:r>
      <w:r>
        <w:t xml:space="preserve">. 2016;73(6):565–574.</w:t>
      </w:r>
      <w:r>
        <w:t xml:space="preserve"> </w:t>
      </w:r>
      <w:hyperlink r:id="rId4560">
        <w:r>
          <w:rPr>
            <w:rStyle w:val="Hyperlink"/>
          </w:rPr>
          <w:t xml:space="preserve">https://doi.org/10.1001/jamapsychiatry.2016.0076</w:t>
        </w:r>
      </w:hyperlink>
    </w:p>
    <w:p>
      <w:pPr>
        <w:pStyle w:val="ReferenceEntry"/>
      </w:pPr>
      <w:bookmarkStart w:id="4561" w:name="ref-986"/>
      <w:r>
        <w:t xml:space="preserve">[986]</w:t>
      </w:r>
      <w:bookmarkEnd w:id="4561"/>
      <w:r>
        <w:t xml:space="preserve"> Zeidan F, Adler-Neal AL, Wells RE, et al. Mindfulness-Meditation-Based Pain Relief Is Not Mediated by Endogenous Opioids.</w:t>
      </w:r>
      <w:r>
        <w:t xml:space="preserve"> </w:t>
      </w:r>
      <w:r>
        <w:rPr>
          <w:iCs/>
          <w:i/>
        </w:rPr>
        <w:t xml:space="preserve">The Journal of Neuroscience</w:t>
      </w:r>
      <w:r>
        <w:t xml:space="preserve">. 2016;36(11):3391–3397.</w:t>
      </w:r>
      <w:r>
        <w:t xml:space="preserve"> </w:t>
      </w:r>
      <w:hyperlink r:id="rId4562">
        <w:r>
          <w:rPr>
            <w:rStyle w:val="Hyperlink"/>
          </w:rPr>
          <w:t xml:space="preserve">https://doi.org/10.1523/jneurosci.4328-15.2016</w:t>
        </w:r>
      </w:hyperlink>
    </w:p>
    <w:p>
      <w:pPr>
        <w:pStyle w:val="ReferenceEntry"/>
      </w:pPr>
      <w:bookmarkStart w:id="4563" w:name="ref-987"/>
      <w:r>
        <w:t xml:space="preserve">[987]</w:t>
      </w:r>
      <w:bookmarkEnd w:id="4563"/>
      <w:r>
        <w:t xml:space="preserve"> Creswell JD, Taren AA, Lindsay EK, et al. Alterations in Resting-State Functional Connectivity Link Mindfulness Meditation With Reduced Interleukin-6: A Randomized Controlled Trial.</w:t>
      </w:r>
      <w:r>
        <w:t xml:space="preserve"> </w:t>
      </w:r>
      <w:r>
        <w:rPr>
          <w:iCs/>
          <w:i/>
        </w:rPr>
        <w:t xml:space="preserve">Biological Psychiatry</w:t>
      </w:r>
      <w:r>
        <w:t xml:space="preserve">. 2016;80(1):53–61.</w:t>
      </w:r>
      <w:r>
        <w:t xml:space="preserve"> </w:t>
      </w:r>
      <w:hyperlink r:id="rId4564">
        <w:r>
          <w:rPr>
            <w:rStyle w:val="Hyperlink"/>
          </w:rPr>
          <w:t xml:space="preserve">https://doi.org/10.1016/j.biopsych.2016.01.008</w:t>
        </w:r>
      </w:hyperlink>
    </w:p>
    <w:p>
      <w:pPr>
        <w:pStyle w:val="ReferenceEntry"/>
      </w:pPr>
      <w:bookmarkStart w:id="4565" w:name="ref-988"/>
      <w:r>
        <w:t xml:space="preserve">[988]</w:t>
      </w:r>
      <w:bookmarkEnd w:id="4565"/>
      <w:r>
        <w:t xml:space="preserve"> Engert V, Kok BE, Papassotiriou I, et al. Specific reduction in cortisol stress reactivity after social but not attention-based mental training.</w:t>
      </w:r>
      <w:r>
        <w:t xml:space="preserve"> </w:t>
      </w:r>
      <w:r>
        <w:rPr>
          <w:iCs/>
          <w:i/>
        </w:rPr>
        <w:t xml:space="preserve">Science Advances</w:t>
      </w:r>
      <w:r>
        <w:t xml:space="preserve">. 2017;3(10):e1700495.</w:t>
      </w:r>
      <w:r>
        <w:t xml:space="preserve"> </w:t>
      </w:r>
      <w:hyperlink r:id="rId4566">
        <w:r>
          <w:rPr>
            <w:rStyle w:val="Hyperlink"/>
          </w:rPr>
          <w:t xml:space="preserve">https://doi.org/10.1126/sciadv.1700495</w:t>
        </w:r>
      </w:hyperlink>
    </w:p>
    <w:p>
      <w:pPr>
        <w:pStyle w:val="ReferenceEntry"/>
      </w:pPr>
      <w:bookmarkStart w:id="4567" w:name="ref-989"/>
      <w:r>
        <w:t xml:space="preserve">[989]</w:t>
      </w:r>
      <w:bookmarkEnd w:id="4567"/>
      <w:r>
        <w:t xml:space="preserve"> Kuyken W, Ball S, Crane C, et al. Effectiveness and cost-effectiveness of universal school-based mindfulness training compared with normal school provision in reducing risk of mental health problems and promoting well-being in adolescence: the MYRIAD cluster randomised controlled trial.</w:t>
      </w:r>
      <w:r>
        <w:t xml:space="preserve"> </w:t>
      </w:r>
      <w:r>
        <w:rPr>
          <w:iCs/>
          <w:i/>
        </w:rPr>
        <w:t xml:space="preserve">Evidence Based Mental Health</w:t>
      </w:r>
      <w:r>
        <w:t xml:space="preserve">. 2022;25(3):99–109.</w:t>
      </w:r>
      <w:r>
        <w:t xml:space="preserve"> </w:t>
      </w:r>
      <w:hyperlink r:id="rId4568">
        <w:r>
          <w:rPr>
            <w:rStyle w:val="Hyperlink"/>
          </w:rPr>
          <w:t xml:space="preserve">https://doi.org/10.1136/ebmental-2021-300396</w:t>
        </w:r>
      </w:hyperlink>
    </w:p>
    <w:p>
      <w:pPr>
        <w:pStyle w:val="ReferenceEntry"/>
      </w:pPr>
      <w:bookmarkStart w:id="4569" w:name="ref-990"/>
      <w:r>
        <w:t xml:space="preserve">[990]</w:t>
      </w:r>
      <w:bookmarkEnd w:id="4569"/>
      <w:r>
        <w:t xml:space="preserve"> Hoge EA, Bui E, Mete M, et al. Mindfulness-Based Stress Reduction vs Escitalopram for the Treatment of Adults With Anxiety Disorders: A Randomized Clinical Trial.</w:t>
      </w:r>
      <w:r>
        <w:t xml:space="preserve"> </w:t>
      </w:r>
      <w:r>
        <w:rPr>
          <w:iCs/>
          <w:i/>
        </w:rPr>
        <w:t xml:space="preserve">JAMA Psychiatry</w:t>
      </w:r>
      <w:r>
        <w:t xml:space="preserve">. 2023;80(1):13–21.</w:t>
      </w:r>
      <w:r>
        <w:t xml:space="preserve"> </w:t>
      </w:r>
      <w:hyperlink r:id="rId4570">
        <w:r>
          <w:rPr>
            <w:rStyle w:val="Hyperlink"/>
          </w:rPr>
          <w:t xml:space="preserve">https://doi.org/10.1001/jamapsychiatry.2022.3679</w:t>
        </w:r>
      </w:hyperlink>
    </w:p>
    <w:p>
      <w:pPr>
        <w:pStyle w:val="ReferenceEntry"/>
      </w:pPr>
      <w:bookmarkStart w:id="4571" w:name="ref-991"/>
      <w:r>
        <w:t xml:space="preserve">[991]</w:t>
      </w:r>
      <w:bookmarkEnd w:id="4571"/>
      <w:r>
        <w:t xml:space="preserve"> Taren AA, Creswell JD, Gianaros PJ. Dispositional Mindfulness Co-Varies with Smaller Amygdala and Caudate Volumes in Community Adults.</w:t>
      </w:r>
      <w:r>
        <w:t xml:space="preserve"> </w:t>
      </w:r>
      <w:r>
        <w:rPr>
          <w:iCs/>
          <w:i/>
        </w:rPr>
        <w:t xml:space="preserve">PLOS ONE</w:t>
      </w:r>
      <w:r>
        <w:t xml:space="preserve">. 2013;8(5):e64574.</w:t>
      </w:r>
      <w:r>
        <w:t xml:space="preserve"> </w:t>
      </w:r>
      <w:hyperlink r:id="rId4572">
        <w:r>
          <w:rPr>
            <w:rStyle w:val="Hyperlink"/>
          </w:rPr>
          <w:t xml:space="preserve">https://doi.org/10.1371/journal.pone.0064574</w:t>
        </w:r>
      </w:hyperlink>
    </w:p>
    <w:p>
      <w:pPr>
        <w:pStyle w:val="ReferenceEntry"/>
      </w:pPr>
      <w:bookmarkStart w:id="4573" w:name="ref-992"/>
      <w:r>
        <w:t xml:space="preserve">[992]</w:t>
      </w:r>
      <w:bookmarkEnd w:id="4573"/>
      <w:r>
        <w:t xml:space="preserve"> Gotink RA, Vernooij MW, Ikram MA, et al. Meditation and yoga practice are associated with smaller right amygdala volume: the Rotterdam study.</w:t>
      </w:r>
      <w:r>
        <w:t xml:space="preserve"> </w:t>
      </w:r>
      <w:r>
        <w:rPr>
          <w:iCs/>
          <w:i/>
        </w:rPr>
        <w:t xml:space="preserve">Brain Imaging and Behavior</w:t>
      </w:r>
      <w:r>
        <w:t xml:space="preserve">. 2018;12(6):1631–1639.</w:t>
      </w:r>
      <w:r>
        <w:t xml:space="preserve"> </w:t>
      </w:r>
      <w:hyperlink r:id="rId4574">
        <w:r>
          <w:rPr>
            <w:rStyle w:val="Hyperlink"/>
          </w:rPr>
          <w:t xml:space="preserve">https://doi.org/10.1007/s11682-018-9826-z</w:t>
        </w:r>
      </w:hyperlink>
    </w:p>
    <w:p>
      <w:pPr>
        <w:pStyle w:val="ReferenceEntry"/>
      </w:pPr>
      <w:bookmarkStart w:id="4575" w:name="ref-993"/>
      <w:r>
        <w:t xml:space="preserve">[993]</w:t>
      </w:r>
      <w:bookmarkEnd w:id="4575"/>
      <w:r>
        <w:t xml:space="preserve"> Joss D, Lu J, Teicher MH, et al. Childhood adversity severity modulates the associations between adaptive psychological changes and amygdala volumetric changes in response to behavioral interventions.</w:t>
      </w:r>
      <w:r>
        <w:t xml:space="preserve"> </w:t>
      </w:r>
      <w:r>
        <w:rPr>
          <w:iCs/>
          <w:i/>
        </w:rPr>
        <w:t xml:space="preserve">Journal of Affective Disorders Reports</w:t>
      </w:r>
      <w:r>
        <w:t xml:space="preserve">. 2024;15:100714.</w:t>
      </w:r>
      <w:r>
        <w:t xml:space="preserve"> </w:t>
      </w:r>
      <w:hyperlink r:id="rId4576">
        <w:r>
          <w:rPr>
            <w:rStyle w:val="Hyperlink"/>
          </w:rPr>
          <w:t xml:space="preserve">https://doi.org/10.1016/j.jadr.2023.100714</w:t>
        </w:r>
      </w:hyperlink>
    </w:p>
    <w:p>
      <w:pPr>
        <w:pStyle w:val="ReferenceEntry"/>
      </w:pPr>
      <w:bookmarkStart w:id="4577" w:name="ref-994"/>
      <w:r>
        <w:t xml:space="preserve">[994]</w:t>
      </w:r>
      <w:bookmarkEnd w:id="4577"/>
      <w:r>
        <w:t xml:space="preserve"> Desbordes G, Negi LT, Pace TW, et al. Effects of mindful-attention and compassion meditation training on amygdala response to emotional stimuli in an ordinary, non-meditative state.</w:t>
      </w:r>
      <w:r>
        <w:t xml:space="preserve"> </w:t>
      </w:r>
      <w:r>
        <w:rPr>
          <w:iCs/>
          <w:i/>
        </w:rPr>
        <w:t xml:space="preserve">Frontiers in Human Neuroscience</w:t>
      </w:r>
      <w:r>
        <w:t xml:space="preserve">. 2012;6:292.</w:t>
      </w:r>
      <w:r>
        <w:t xml:space="preserve"> </w:t>
      </w:r>
      <w:hyperlink r:id="rId4578">
        <w:r>
          <w:rPr>
            <w:rStyle w:val="Hyperlink"/>
          </w:rPr>
          <w:t xml:space="preserve">https://doi.org/10.3389/fnhum.2012.00292</w:t>
        </w:r>
      </w:hyperlink>
    </w:p>
    <w:p>
      <w:pPr>
        <w:pStyle w:val="ReferenceEntry"/>
      </w:pPr>
      <w:bookmarkStart w:id="4579" w:name="ref-995"/>
      <w:r>
        <w:t xml:space="preserve">[995]</w:t>
      </w:r>
      <w:bookmarkEnd w:id="4579"/>
      <w:r>
        <w:t xml:space="preserve"> Kral TRA, Schuyler BS, Mumford JA, et al. Impact of short- and long-term mindfulness meditation training on amygdala reactivity to emotional stimuli.</w:t>
      </w:r>
      <w:r>
        <w:t xml:space="preserve"> </w:t>
      </w:r>
      <w:r>
        <w:rPr>
          <w:iCs/>
          <w:i/>
        </w:rPr>
        <w:t xml:space="preserve">NeuroImage</w:t>
      </w:r>
      <w:r>
        <w:t xml:space="preserve">. 2018;181:301–313.</w:t>
      </w:r>
      <w:r>
        <w:t xml:space="preserve"> </w:t>
      </w:r>
      <w:hyperlink r:id="rId4580">
        <w:r>
          <w:rPr>
            <w:rStyle w:val="Hyperlink"/>
          </w:rPr>
          <w:t xml:space="preserve">https://doi.org/10.1016/j.neuroimage.2018.07.013</w:t>
        </w:r>
      </w:hyperlink>
    </w:p>
    <w:p>
      <w:pPr>
        <w:pStyle w:val="ReferenceEntry"/>
      </w:pPr>
      <w:bookmarkStart w:id="4581" w:name="ref-996"/>
      <w:r>
        <w:t xml:space="preserve">[996]</w:t>
      </w:r>
      <w:bookmarkEnd w:id="4581"/>
      <w:r>
        <w:t xml:space="preserve"> Lutz A, Brefczynski-Lewis J, Johnstone T, et al. Regulation of the Neural Circuitry of Emotion by Compassion Meditation: Effects of Meditative Expertise.</w:t>
      </w:r>
      <w:r>
        <w:t xml:space="preserve"> </w:t>
      </w:r>
      <w:r>
        <w:rPr>
          <w:iCs/>
          <w:i/>
        </w:rPr>
        <w:t xml:space="preserve">PLOS ONE</w:t>
      </w:r>
      <w:r>
        <w:t xml:space="preserve">. 2008;3(3):e1897.</w:t>
      </w:r>
      <w:r>
        <w:t xml:space="preserve"> </w:t>
      </w:r>
      <w:hyperlink r:id="rId4582">
        <w:r>
          <w:rPr>
            <w:rStyle w:val="Hyperlink"/>
          </w:rPr>
          <w:t xml:space="preserve">https://doi.org/10.1371/journal.pone.0001897</w:t>
        </w:r>
      </w:hyperlink>
    </w:p>
    <w:p>
      <w:pPr>
        <w:pStyle w:val="ReferenceEntry"/>
      </w:pPr>
      <w:bookmarkStart w:id="4583" w:name="ref-997"/>
      <w:r>
        <w:t xml:space="preserve">[997]</w:t>
      </w:r>
      <w:bookmarkEnd w:id="4583"/>
      <w:r>
        <w:t xml:space="preserve"> Maher C, Tortolero L, Jun S, et al. Intracranial substrates of meditation-induced neuromodulation in the amygdala and hippocampus.</w:t>
      </w:r>
      <w:r>
        <w:t xml:space="preserve"> </w:t>
      </w:r>
      <w:r>
        <w:rPr>
          <w:iCs/>
          <w:i/>
        </w:rPr>
        <w:t xml:space="preserve">Proceedings of the National Academy of Sciences</w:t>
      </w:r>
      <w:r>
        <w:t xml:space="preserve">. 2025;122(6):e2409423122（2025 年发表更正，见</w:t>
      </w:r>
      <w:r>
        <w:t xml:space="preserve"> </w:t>
      </w:r>
      <w:hyperlink r:id="rId4584">
        <w:r>
          <w:rPr>
            <w:rStyle w:val="Hyperlink"/>
          </w:rPr>
          <w:t xml:space="preserve">https://doi.org/10.1073/pnas.2511043122</w:t>
        </w:r>
      </w:hyperlink>
      <w:r>
        <w:t xml:space="preserve">）.</w:t>
      </w:r>
      <w:r>
        <w:t xml:space="preserve"> </w:t>
      </w:r>
      <w:hyperlink r:id="rId4585">
        <w:r>
          <w:rPr>
            <w:rStyle w:val="Hyperlink"/>
          </w:rPr>
          <w:t xml:space="preserve">https://doi.org/10.1073/pnas.2409423122</w:t>
        </w:r>
      </w:hyperlink>
    </w:p>
    <w:p>
      <w:pPr>
        <w:pStyle w:val="ReferenceEntry"/>
      </w:pPr>
      <w:bookmarkStart w:id="4586" w:name="ref-998"/>
      <w:r>
        <w:t xml:space="preserve">[998]</w:t>
      </w:r>
      <w:bookmarkEnd w:id="4586"/>
      <w:r>
        <w:t xml:space="preserve"> Björkstrand J, Olsson E, Clancy OH, et al. Effect of app-based mindfulness on extinction recall – a 7T-fMRI study.</w:t>
      </w:r>
      <w:r>
        <w:t xml:space="preserve"> </w:t>
      </w:r>
      <w:r>
        <w:rPr>
          <w:iCs/>
          <w:i/>
        </w:rPr>
        <w:t xml:space="preserve">Scientific Reports</w:t>
      </w:r>
      <w:r>
        <w:t xml:space="preserve">. 2026;16(1):9957.</w:t>
      </w:r>
      <w:r>
        <w:t xml:space="preserve"> </w:t>
      </w:r>
      <w:hyperlink r:id="rId4587">
        <w:r>
          <w:rPr>
            <w:rStyle w:val="Hyperlink"/>
          </w:rPr>
          <w:t xml:space="preserve">https://doi.org/10.1038/s41598-026-45569-z</w:t>
        </w:r>
      </w:hyperlink>
    </w:p>
    <w:p>
      <w:pPr>
        <w:pStyle w:val="ReferenceEntry"/>
      </w:pPr>
      <w:bookmarkStart w:id="4588" w:name="ref-999"/>
      <w:r>
        <w:t xml:space="preserve">[999]</w:t>
      </w:r>
      <w:bookmarkEnd w:id="4588"/>
      <w:r>
        <w:t xml:space="preserve"> Taren AA, Gianaros PJ, Greco CM, et al. Mindfulness meditation training alters stress-related amygdala resting state functional connectivity: a randomized controlled trial.</w:t>
      </w:r>
      <w:r>
        <w:t xml:space="preserve"> </w:t>
      </w:r>
      <w:r>
        <w:rPr>
          <w:iCs/>
          <w:i/>
        </w:rPr>
        <w:t xml:space="preserve">Social Cognitive and Affective Neuroscience</w:t>
      </w:r>
      <w:r>
        <w:t xml:space="preserve">. 2015;10(12):1758–1768.</w:t>
      </w:r>
      <w:r>
        <w:t xml:space="preserve"> </w:t>
      </w:r>
      <w:hyperlink r:id="rId4589">
        <w:r>
          <w:rPr>
            <w:rStyle w:val="Hyperlink"/>
          </w:rPr>
          <w:t xml:space="preserve">https://doi.org/10.1093/scan/nsv066</w:t>
        </w:r>
      </w:hyperlink>
    </w:p>
    <w:p>
      <w:pPr>
        <w:pStyle w:val="ReferenceEntry"/>
      </w:pPr>
      <w:bookmarkStart w:id="4590" w:name="ref-1000"/>
      <w:r>
        <w:t xml:space="preserve">[1000]</w:t>
      </w:r>
      <w:bookmarkEnd w:id="4590"/>
      <w:r>
        <w:t xml:space="preserve"> Creswell JD, Way BM, Eisenberger NI, et al. Neural Correlates of Dispositional Mindfulness During Affect Labeling.</w:t>
      </w:r>
      <w:r>
        <w:t xml:space="preserve"> </w:t>
      </w:r>
      <w:r>
        <w:rPr>
          <w:iCs/>
          <w:i/>
        </w:rPr>
        <w:t xml:space="preserve">Psychosomatic Medicine</w:t>
      </w:r>
      <w:r>
        <w:t xml:space="preserve">. 2007;69(6):560–565.</w:t>
      </w:r>
      <w:r>
        <w:t xml:space="preserve"> </w:t>
      </w:r>
      <w:hyperlink r:id="rId4591">
        <w:r>
          <w:rPr>
            <w:rStyle w:val="Hyperlink"/>
          </w:rPr>
          <w:t xml:space="preserve">https://doi.org/10.1097/psy.0b013e3180f6171f</w:t>
        </w:r>
      </w:hyperlink>
    </w:p>
    <w:p>
      <w:pPr>
        <w:pStyle w:val="ReferenceEntry"/>
      </w:pPr>
      <w:bookmarkStart w:id="4592" w:name="ref-1001"/>
      <w:r>
        <w:t xml:space="preserve">[1001]</w:t>
      </w:r>
      <w:bookmarkEnd w:id="4592"/>
      <w:r>
        <w:t xml:space="preserve"> Grant JA, Courtemanche J, Rainville P. A non-elaborative mental stance and decoupling of executive and pain-related cortices predicts low pain sensitivity in Zen meditators.</w:t>
      </w:r>
      <w:r>
        <w:t xml:space="preserve"> </w:t>
      </w:r>
      <w:r>
        <w:rPr>
          <w:iCs/>
          <w:i/>
        </w:rPr>
        <w:t xml:space="preserve">Pain</w:t>
      </w:r>
      <w:r>
        <w:t xml:space="preserve">. 2011;152(1):150–156.</w:t>
      </w:r>
      <w:r>
        <w:t xml:space="preserve"> </w:t>
      </w:r>
      <w:hyperlink r:id="rId4593">
        <w:r>
          <w:rPr>
            <w:rStyle w:val="Hyperlink"/>
          </w:rPr>
          <w:t xml:space="preserve">https://doi.org/10.1016/j.pain.2010.10.006</w:t>
        </w:r>
      </w:hyperlink>
    </w:p>
    <w:p>
      <w:pPr>
        <w:pStyle w:val="ReferenceEntry"/>
      </w:pPr>
      <w:bookmarkStart w:id="4594" w:name="ref-1002"/>
      <w:r>
        <w:t xml:space="preserve">[1002]</w:t>
      </w:r>
      <w:bookmarkEnd w:id="4594"/>
      <w:r>
        <w:t xml:space="preserve"> Chiesa A, Serretti A, Jakobsen JC. Mindfulness: Top–down or bottom–up emotion regulation strategy?</w:t>
      </w:r>
      <w:r>
        <w:t xml:space="preserve"> </w:t>
      </w:r>
      <w:r>
        <w:rPr>
          <w:iCs/>
          <w:i/>
        </w:rPr>
        <w:t xml:space="preserve">Clinical Psychology Review</w:t>
      </w:r>
      <w:r>
        <w:t xml:space="preserve">. 2013;33(1):82–96.</w:t>
      </w:r>
      <w:r>
        <w:t xml:space="preserve"> </w:t>
      </w:r>
      <w:hyperlink r:id="rId4595">
        <w:r>
          <w:rPr>
            <w:rStyle w:val="Hyperlink"/>
          </w:rPr>
          <w:t xml:space="preserve">https://doi.org/10.1016/j.cpr.2012.10.006</w:t>
        </w:r>
      </w:hyperlink>
    </w:p>
    <w:p>
      <w:pPr>
        <w:pStyle w:val="ReferenceEntry"/>
      </w:pPr>
      <w:bookmarkStart w:id="4596" w:name="ref-1003"/>
      <w:r>
        <w:t xml:space="preserve">[1003]</w:t>
      </w:r>
      <w:bookmarkEnd w:id="4596"/>
      <w:r>
        <w:t xml:space="preserve"> Chételat G, Lutz A, Klimecki O, et al. Effect of an 18-Month Meditation Training on Regional Brain Volume and Perfusion in Older Adults: The Age-Well Randomized Clinical Trial.</w:t>
      </w:r>
      <w:r>
        <w:t xml:space="preserve"> </w:t>
      </w:r>
      <w:r>
        <w:rPr>
          <w:iCs/>
          <w:i/>
        </w:rPr>
        <w:t xml:space="preserve">JAMA Neurology</w:t>
      </w:r>
      <w:r>
        <w:t xml:space="preserve">. 2022;79(11):1165–1174.</w:t>
      </w:r>
      <w:r>
        <w:t xml:space="preserve"> </w:t>
      </w:r>
      <w:hyperlink r:id="rId4597">
        <w:r>
          <w:rPr>
            <w:rStyle w:val="Hyperlink"/>
          </w:rPr>
          <w:t xml:space="preserve">https://doi.org/10.1001/jamaneurol.2022.3185</w:t>
        </w:r>
      </w:hyperlink>
    </w:p>
    <w:p>
      <w:pPr>
        <w:pStyle w:val="ReferenceEntry"/>
      </w:pPr>
      <w:bookmarkStart w:id="4598" w:name="ref-1004"/>
      <w:r>
        <w:t xml:space="preserve">[1004]</w:t>
      </w:r>
      <w:bookmarkEnd w:id="4598"/>
      <w:r>
        <w:t xml:space="preserve"> Valk SL, Bernhardt BC, Trautwein FM, et al. Structural plasticity of the social brain: Differential change after socio-affective and cognitive mental training.</w:t>
      </w:r>
      <w:r>
        <w:t xml:space="preserve"> </w:t>
      </w:r>
      <w:r>
        <w:rPr>
          <w:iCs/>
          <w:i/>
        </w:rPr>
        <w:t xml:space="preserve">Science Advances</w:t>
      </w:r>
      <w:r>
        <w:t xml:space="preserve">. 2017;3(10):e1700489.</w:t>
      </w:r>
      <w:r>
        <w:t xml:space="preserve"> </w:t>
      </w:r>
      <w:hyperlink r:id="rId4599">
        <w:r>
          <w:rPr>
            <w:rStyle w:val="Hyperlink"/>
          </w:rPr>
          <w:t xml:space="preserve">https://doi.org/10.1126/sciadv.1700489</w:t>
        </w:r>
      </w:hyperlink>
    </w:p>
    <w:p>
      <w:pPr>
        <w:pStyle w:val="ReferenceEntry"/>
      </w:pPr>
      <w:bookmarkStart w:id="4600" w:name="ref-1005"/>
      <w:r>
        <w:t xml:space="preserve">[1005]</w:t>
      </w:r>
      <w:bookmarkEnd w:id="4600"/>
      <w:r>
        <w:t xml:space="preserve"> Fleming SM, Weil RS, Nagy Z, et al. Relating Introspective Accuracy to Individual Differences in Brain Structure.</w:t>
      </w:r>
      <w:r>
        <w:t xml:space="preserve"> </w:t>
      </w:r>
      <w:r>
        <w:rPr>
          <w:iCs/>
          <w:i/>
        </w:rPr>
        <w:t xml:space="preserve">Science</w:t>
      </w:r>
      <w:r>
        <w:t xml:space="preserve">. 2010;329(5998):1541–1543.</w:t>
      </w:r>
      <w:r>
        <w:t xml:space="preserve"> </w:t>
      </w:r>
      <w:hyperlink r:id="rId4601">
        <w:r>
          <w:rPr>
            <w:rStyle w:val="Hyperlink"/>
          </w:rPr>
          <w:t xml:space="preserve">https://doi.org/10.1126/science.1191883</w:t>
        </w:r>
      </w:hyperlink>
    </w:p>
    <w:p>
      <w:pPr>
        <w:pStyle w:val="ReferenceEntry"/>
      </w:pPr>
      <w:bookmarkStart w:id="4602" w:name="ref-1006"/>
      <w:r>
        <w:t xml:space="preserve">[1006]</w:t>
      </w:r>
      <w:bookmarkEnd w:id="4602"/>
      <w:r>
        <w:t xml:space="preserve"> Tang YY. Mechanism of Integrative Body-Mind Training.</w:t>
      </w:r>
      <w:r>
        <w:t xml:space="preserve"> </w:t>
      </w:r>
      <w:r>
        <w:rPr>
          <w:iCs/>
          <w:i/>
        </w:rPr>
        <w:t xml:space="preserve">Neuroscience Bulletin</w:t>
      </w:r>
      <w:r>
        <w:t xml:space="preserve">. 2011;27(6):383–388.</w:t>
      </w:r>
      <w:r>
        <w:t xml:space="preserve"> </w:t>
      </w:r>
      <w:hyperlink r:id="rId4603">
        <w:r>
          <w:rPr>
            <w:rStyle w:val="Hyperlink"/>
          </w:rPr>
          <w:t xml:space="preserve">https://doi.org/10.1007/s12264-011-1141-2</w:t>
        </w:r>
      </w:hyperlink>
    </w:p>
    <w:p>
      <w:pPr>
        <w:pStyle w:val="ReferenceEntry"/>
      </w:pPr>
      <w:bookmarkStart w:id="4604" w:name="ref-1007"/>
      <w:r>
        <w:t xml:space="preserve">[1007]</w:t>
      </w:r>
      <w:bookmarkEnd w:id="4604"/>
      <w:r>
        <w:t xml:space="preserve"> Tang YY, Ma Y, Fan Y, et al. Central and autonomic nervous system interaction is altered by short-term meditation.</w:t>
      </w:r>
      <w:r>
        <w:t xml:space="preserve"> </w:t>
      </w:r>
      <w:r>
        <w:rPr>
          <w:iCs/>
          <w:i/>
        </w:rPr>
        <w:t xml:space="preserve">Proceedings of the National Academy of Sciences</w:t>
      </w:r>
      <w:r>
        <w:t xml:space="preserve">. 2009;106(22):8865–8870.</w:t>
      </w:r>
      <w:r>
        <w:t xml:space="preserve"> </w:t>
      </w:r>
      <w:hyperlink r:id="rId4605">
        <w:r>
          <w:rPr>
            <w:rStyle w:val="Hyperlink"/>
          </w:rPr>
          <w:t xml:space="preserve">https://doi.org/10.1073/pnas.0904031106</w:t>
        </w:r>
      </w:hyperlink>
    </w:p>
    <w:p>
      <w:pPr>
        <w:pStyle w:val="ReferenceEntry"/>
      </w:pPr>
      <w:bookmarkStart w:id="4606" w:name="ref-1008"/>
      <w:r>
        <w:t xml:space="preserve">[1008]</w:t>
      </w:r>
      <w:bookmarkEnd w:id="4606"/>
      <w:r>
        <w:t xml:space="preserve"> Tang YY, Lu Q, Geng X, et al. Short-term meditation induces white matter changes in the anterior cingulate.</w:t>
      </w:r>
      <w:r>
        <w:t xml:space="preserve"> </w:t>
      </w:r>
      <w:r>
        <w:rPr>
          <w:iCs/>
          <w:i/>
        </w:rPr>
        <w:t xml:space="preserve">Proceedings of the National Academy of Sciences</w:t>
      </w:r>
      <w:r>
        <w:t xml:space="preserve">. 2010;107(35):15649–15652.</w:t>
      </w:r>
      <w:r>
        <w:t xml:space="preserve"> </w:t>
      </w:r>
      <w:hyperlink r:id="rId4607">
        <w:r>
          <w:rPr>
            <w:rStyle w:val="Hyperlink"/>
          </w:rPr>
          <w:t xml:space="preserve">https://doi.org/10.1073/pnas.1011043107</w:t>
        </w:r>
      </w:hyperlink>
    </w:p>
    <w:p>
      <w:pPr>
        <w:pStyle w:val="ReferenceEntry"/>
      </w:pPr>
      <w:bookmarkStart w:id="4608" w:name="ref-1009"/>
      <w:r>
        <w:t xml:space="preserve">[1009]</w:t>
      </w:r>
      <w:bookmarkEnd w:id="4608"/>
      <w:r>
        <w:t xml:space="preserve"> Zeidan F, Martucci KT, Kraft RA, et al. Brain Mechanisms Supporting the Modulation of Pain by Mindfulness Meditation.</w:t>
      </w:r>
      <w:r>
        <w:t xml:space="preserve"> </w:t>
      </w:r>
      <w:r>
        <w:rPr>
          <w:iCs/>
          <w:i/>
        </w:rPr>
        <w:t xml:space="preserve">The Journal of Neuroscience</w:t>
      </w:r>
      <w:r>
        <w:t xml:space="preserve">. 2011;31(14):5540–5548.</w:t>
      </w:r>
      <w:r>
        <w:t xml:space="preserve"> </w:t>
      </w:r>
      <w:hyperlink r:id="rId4609">
        <w:r>
          <w:rPr>
            <w:rStyle w:val="Hyperlink"/>
          </w:rPr>
          <w:t xml:space="preserve">https://doi.org/10.1523/jneurosci.5791-10.2011</w:t>
        </w:r>
      </w:hyperlink>
    </w:p>
    <w:p>
      <w:pPr>
        <w:pStyle w:val="ReferenceEntry"/>
      </w:pPr>
      <w:bookmarkStart w:id="4610" w:name="ref-1010"/>
      <w:r>
        <w:t xml:space="preserve">[1010]</w:t>
      </w:r>
      <w:bookmarkEnd w:id="4610"/>
      <w:r>
        <w:t xml:space="preserve"> Wielgosz J, Kral TRA, Perlman DM, et al. Neural Signatures of Pain Modulation in Short-Term and Long-Term Mindfulness Training: A Randomized Active-Control Trial.</w:t>
      </w:r>
      <w:r>
        <w:t xml:space="preserve"> </w:t>
      </w:r>
      <w:r>
        <w:rPr>
          <w:iCs/>
          <w:i/>
        </w:rPr>
        <w:t xml:space="preserve">American Journal of Psychiatry</w:t>
      </w:r>
      <w:r>
        <w:t xml:space="preserve">. 2022;179(10):758–767（2022 年发表更正，见</w:t>
      </w:r>
      <w:r>
        <w:t xml:space="preserve"> </w:t>
      </w:r>
      <w:hyperlink r:id="rId4611">
        <w:r>
          <w:rPr>
            <w:rStyle w:val="Hyperlink"/>
          </w:rPr>
          <w:t xml:space="preserve">https://doi.org/10.1176/appi.ajp.21020145correction</w:t>
        </w:r>
      </w:hyperlink>
      <w:r>
        <w:t xml:space="preserve">）.</w:t>
      </w:r>
      <w:r>
        <w:t xml:space="preserve"> </w:t>
      </w:r>
      <w:hyperlink r:id="rId4612">
        <w:r>
          <w:rPr>
            <w:rStyle w:val="Hyperlink"/>
          </w:rPr>
          <w:t xml:space="preserve">https://doi.org/10.1176/appi.ajp.21020145</w:t>
        </w:r>
      </w:hyperlink>
    </w:p>
    <w:p>
      <w:pPr>
        <w:pStyle w:val="ReferenceEntry"/>
      </w:pPr>
      <w:bookmarkStart w:id="4613" w:name="ref-1011"/>
      <w:r>
        <w:t xml:space="preserve">[1011]</w:t>
      </w:r>
      <w:bookmarkEnd w:id="4613"/>
      <w:r>
        <w:t xml:space="preserve"> Pernet CR, Belov N, Delorme A, et al. Mindfulness related changes in grey matter: a systematic review and meta‐analysis.</w:t>
      </w:r>
      <w:r>
        <w:t xml:space="preserve"> </w:t>
      </w:r>
      <w:r>
        <w:rPr>
          <w:iCs/>
          <w:i/>
        </w:rPr>
        <w:t xml:space="preserve">Brain Imaging and Behavior</w:t>
      </w:r>
      <w:r>
        <w:t xml:space="preserve">. 2021;15(5):2720–2730.</w:t>
      </w:r>
      <w:r>
        <w:t xml:space="preserve"> </w:t>
      </w:r>
      <w:hyperlink r:id="rId4614">
        <w:r>
          <w:rPr>
            <w:rStyle w:val="Hyperlink"/>
          </w:rPr>
          <w:t xml:space="preserve">https://doi.org/10.1007/s11682-021-00453-4</w:t>
        </w:r>
      </w:hyperlink>
    </w:p>
    <w:p>
      <w:pPr>
        <w:pStyle w:val="ReferenceEntry"/>
      </w:pPr>
      <w:bookmarkStart w:id="4615" w:name="ref-1012"/>
      <w:r>
        <w:t xml:space="preserve">[1012]</w:t>
      </w:r>
      <w:bookmarkEnd w:id="4615"/>
      <w:r>
        <w:t xml:space="preserve"> Siew S, Yu J. Mindfulness-based randomized controlled trials led to brain structural changes: an anatomical likelihood meta-analysis.</w:t>
      </w:r>
      <w:r>
        <w:t xml:space="preserve"> </w:t>
      </w:r>
      <w:r>
        <w:rPr>
          <w:iCs/>
          <w:i/>
        </w:rPr>
        <w:t xml:space="preserve">Scientific Reports</w:t>
      </w:r>
      <w:r>
        <w:t xml:space="preserve">. 2023;13(1):18469（已于 2025 年撤稿，撤稿声明见 Scientific Reports 15:25545,</w:t>
      </w:r>
      <w:r>
        <w:t xml:space="preserve"> </w:t>
      </w:r>
      <w:hyperlink r:id="rId4616">
        <w:r>
          <w:rPr>
            <w:rStyle w:val="Hyperlink"/>
          </w:rPr>
          <w:t xml:space="preserve">https://doi.org/10.1038/s41598-025-11069-9</w:t>
        </w:r>
      </w:hyperlink>
      <w:r>
        <w:t xml:space="preserve">）.</w:t>
      </w:r>
      <w:r>
        <w:t xml:space="preserve"> </w:t>
      </w:r>
      <w:hyperlink r:id="rId4617">
        <w:r>
          <w:rPr>
            <w:rStyle w:val="Hyperlink"/>
          </w:rPr>
          <w:t xml:space="preserve">https://doi.org/10.1038/s41598-023-45765-1</w:t>
        </w:r>
      </w:hyperlink>
    </w:p>
    <w:p>
      <w:pPr>
        <w:pStyle w:val="ReferenceEntry"/>
      </w:pPr>
      <w:bookmarkStart w:id="4618" w:name="ref-1013"/>
      <w:r>
        <w:t xml:space="preserve">[1013]</w:t>
      </w:r>
      <w:bookmarkEnd w:id="4618"/>
      <w:r>
        <w:t xml:space="preserve"> Farb NA, Segal ZV, Anderson AK. Mindfulness meditation training alters cortical representations of interoceptive attention.</w:t>
      </w:r>
      <w:r>
        <w:t xml:space="preserve"> </w:t>
      </w:r>
      <w:r>
        <w:rPr>
          <w:iCs/>
          <w:i/>
        </w:rPr>
        <w:t xml:space="preserve">Social Cognitive and Affective Neuroscience</w:t>
      </w:r>
      <w:r>
        <w:t xml:space="preserve">. 2013;8(1):15–26.</w:t>
      </w:r>
      <w:r>
        <w:t xml:space="preserve"> </w:t>
      </w:r>
      <w:hyperlink r:id="rId4619">
        <w:r>
          <w:rPr>
            <w:rStyle w:val="Hyperlink"/>
          </w:rPr>
          <w:t xml:space="preserve">https://doi.org/10.1093/scan/nss066</w:t>
        </w:r>
      </w:hyperlink>
    </w:p>
    <w:p>
      <w:pPr>
        <w:pStyle w:val="ReferenceEntry"/>
      </w:pPr>
      <w:bookmarkStart w:id="4620" w:name="ref-1014"/>
      <w:r>
        <w:t xml:space="preserve">[1014]</w:t>
      </w:r>
      <w:bookmarkEnd w:id="4620"/>
      <w:r>
        <w:t xml:space="preserve"> Young KS, van der Velden AM, Craske MG, et al. The impact of mindfulness-based interventions on brain activity: A systematic review of functional magnetic resonance imaging studies.</w:t>
      </w:r>
      <w:r>
        <w:t xml:space="preserve"> </w:t>
      </w:r>
      <w:r>
        <w:rPr>
          <w:iCs/>
          <w:i/>
        </w:rPr>
        <w:t xml:space="preserve">Neuroscience &amp; Biobehavioral Reviews</w:t>
      </w:r>
      <w:r>
        <w:t xml:space="preserve">. 2018;84:424–433.</w:t>
      </w:r>
      <w:r>
        <w:t xml:space="preserve"> </w:t>
      </w:r>
      <w:hyperlink r:id="rId4621">
        <w:r>
          <w:rPr>
            <w:rStyle w:val="Hyperlink"/>
          </w:rPr>
          <w:t xml:space="preserve">https://doi.org/10.1016/j.neubiorev.2017.08.003</w:t>
        </w:r>
      </w:hyperlink>
    </w:p>
    <w:p>
      <w:pPr>
        <w:pStyle w:val="ReferenceEntry"/>
      </w:pPr>
      <w:bookmarkStart w:id="4622" w:name="ref-1015"/>
      <w:r>
        <w:t xml:space="preserve">[1015]</w:t>
      </w:r>
      <w:bookmarkEnd w:id="4622"/>
      <w:r>
        <w:t xml:space="preserve"> Baten C, Keller AS, Miller CH, et al. The functional neuroimaging of meditation: A quantitative whole-brain meta-analysis and systematic review.</w:t>
      </w:r>
      <w:r>
        <w:t xml:space="preserve"> </w:t>
      </w:r>
      <w:r>
        <w:rPr>
          <w:iCs/>
          <w:i/>
        </w:rPr>
        <w:t xml:space="preserve">Neuroscience &amp; Biobehavioral Reviews</w:t>
      </w:r>
      <w:r>
        <w:t xml:space="preserve">. 2026;186:106709.</w:t>
      </w:r>
      <w:r>
        <w:t xml:space="preserve"> </w:t>
      </w:r>
      <w:hyperlink r:id="rId4623">
        <w:r>
          <w:rPr>
            <w:rStyle w:val="Hyperlink"/>
          </w:rPr>
          <w:t xml:space="preserve">https://doi.org/10.1016/j.neubiorev.2026.106709</w:t>
        </w:r>
      </w:hyperlink>
    </w:p>
    <w:p>
      <w:pPr>
        <w:pStyle w:val="ReferenceEntry"/>
      </w:pPr>
      <w:bookmarkStart w:id="4624" w:name="ref-1016"/>
      <w:r>
        <w:t xml:space="preserve">[1016]</w:t>
      </w:r>
      <w:bookmarkEnd w:id="4624"/>
      <w:r>
        <w:t xml:space="preserve"> Luders E, Toga AW, Lepore N, et al. The underlying anatomical correlates of long-term meditation: Larger hippocampal and frontal volumes of gray matter.</w:t>
      </w:r>
      <w:r>
        <w:t xml:space="preserve"> </w:t>
      </w:r>
      <w:r>
        <w:rPr>
          <w:iCs/>
          <w:i/>
        </w:rPr>
        <w:t xml:space="preserve">NeuroImage</w:t>
      </w:r>
      <w:r>
        <w:t xml:space="preserve">. 2009;45(3):672–678.</w:t>
      </w:r>
      <w:r>
        <w:t xml:space="preserve"> </w:t>
      </w:r>
      <w:hyperlink r:id="rId4625">
        <w:r>
          <w:rPr>
            <w:rStyle w:val="Hyperlink"/>
          </w:rPr>
          <w:t xml:space="preserve">https://doi.org/10.1016/j.neuroimage.2008.12.061</w:t>
        </w:r>
      </w:hyperlink>
    </w:p>
    <w:p>
      <w:pPr>
        <w:pStyle w:val="ReferenceEntry"/>
      </w:pPr>
      <w:bookmarkStart w:id="4626" w:name="ref-1017"/>
      <w:r>
        <w:t xml:space="preserve">[1017]</w:t>
      </w:r>
      <w:bookmarkEnd w:id="4626"/>
      <w:r>
        <w:t xml:space="preserve"> Luders E, Thompson PM, Kurth F, et al. Global and regional alterations of hippocampal anatomy in long‐term meditation practitioners.</w:t>
      </w:r>
      <w:r>
        <w:t xml:space="preserve"> </w:t>
      </w:r>
      <w:r>
        <w:rPr>
          <w:iCs/>
          <w:i/>
        </w:rPr>
        <w:t xml:space="preserve">Human Brain Mapping</w:t>
      </w:r>
      <w:r>
        <w:t xml:space="preserve">. 2013;34(12):3369–3375.</w:t>
      </w:r>
      <w:r>
        <w:t xml:space="preserve"> </w:t>
      </w:r>
      <w:hyperlink r:id="rId4627">
        <w:r>
          <w:rPr>
            <w:rStyle w:val="Hyperlink"/>
          </w:rPr>
          <w:t xml:space="preserve">https://doi.org/10.1002/hbm.22153</w:t>
        </w:r>
      </w:hyperlink>
    </w:p>
    <w:p>
      <w:pPr>
        <w:pStyle w:val="ReferenceEntry"/>
      </w:pPr>
      <w:bookmarkStart w:id="4628" w:name="ref-1018"/>
      <w:r>
        <w:t xml:space="preserve">[1018]</w:t>
      </w:r>
      <w:bookmarkEnd w:id="4628"/>
      <w:r>
        <w:t xml:space="preserve"> Lenze EJ, Voegtle M, Miller JP, et al. Effects of Mindfulness Training and Exercise on Cognitive Function in Older Adults: A Randomized Clinical Trial.</w:t>
      </w:r>
      <w:r>
        <w:t xml:space="preserve"> </w:t>
      </w:r>
      <w:r>
        <w:rPr>
          <w:iCs/>
          <w:i/>
        </w:rPr>
        <w:t xml:space="preserve">JAMA</w:t>
      </w:r>
      <w:r>
        <w:t xml:space="preserve">. 2022;328(22):2218–2229.</w:t>
      </w:r>
      <w:r>
        <w:t xml:space="preserve"> </w:t>
      </w:r>
      <w:hyperlink r:id="rId4629">
        <w:r>
          <w:rPr>
            <w:rStyle w:val="Hyperlink"/>
          </w:rPr>
          <w:t xml:space="preserve">https://doi.org/10.1001/jama.2022.21680</w:t>
        </w:r>
      </w:hyperlink>
    </w:p>
    <w:p>
      <w:pPr>
        <w:pStyle w:val="ReferenceEntry"/>
      </w:pPr>
      <w:bookmarkStart w:id="4630" w:name="ref-1019"/>
      <w:r>
        <w:t xml:space="preserve">[1019]</w:t>
      </w:r>
      <w:bookmarkEnd w:id="4630"/>
      <w:r>
        <w:t xml:space="preserve"> Joss D, Teicher MH, Lazar SW. Beneficial effects of mindfulness-based intervention on hippocampal volumes and episodic memory for childhood adversity survivors.</w:t>
      </w:r>
      <w:r>
        <w:t xml:space="preserve"> </w:t>
      </w:r>
      <w:r>
        <w:rPr>
          <w:iCs/>
          <w:i/>
        </w:rPr>
        <w:t xml:space="preserve">Journal of Affective Disorders Reports</w:t>
      </w:r>
      <w:r>
        <w:t xml:space="preserve">. 2024;16:100769.</w:t>
      </w:r>
      <w:r>
        <w:t xml:space="preserve"> </w:t>
      </w:r>
      <w:hyperlink r:id="rId4631">
        <w:r>
          <w:rPr>
            <w:rStyle w:val="Hyperlink"/>
          </w:rPr>
          <w:t xml:space="preserve">https://doi.org/10.1016/j.jadr.2024.100769</w:t>
        </w:r>
      </w:hyperlink>
    </w:p>
    <w:p>
      <w:pPr>
        <w:pStyle w:val="ReferenceEntry"/>
      </w:pPr>
      <w:bookmarkStart w:id="4632" w:name="ref-1020"/>
      <w:r>
        <w:t xml:space="preserve">[1020]</w:t>
      </w:r>
      <w:bookmarkEnd w:id="4632"/>
      <w:r>
        <w:t xml:space="preserve"> Valk SL, Engert V, Puhlmann L, et al. Differential increase of hippocampal subfield volume after socio-affective mental training relates to reductions in diurnal cortisol.</w:t>
      </w:r>
      <w:r>
        <w:t xml:space="preserve"> </w:t>
      </w:r>
      <w:r>
        <w:rPr>
          <w:iCs/>
          <w:i/>
        </w:rPr>
        <w:t xml:space="preserve">eLife</w:t>
      </w:r>
      <w:r>
        <w:t xml:space="preserve">. 2024;12:RP87634.</w:t>
      </w:r>
      <w:r>
        <w:t xml:space="preserve"> </w:t>
      </w:r>
      <w:hyperlink r:id="rId4633">
        <w:r>
          <w:rPr>
            <w:rStyle w:val="Hyperlink"/>
          </w:rPr>
          <w:t xml:space="preserve">https://doi.org/10.7554/elife.87634</w:t>
        </w:r>
      </w:hyperlink>
    </w:p>
    <w:p>
      <w:pPr>
        <w:pStyle w:val="ReferenceEntry"/>
      </w:pPr>
      <w:bookmarkStart w:id="4634" w:name="ref-1021"/>
      <w:r>
        <w:t xml:space="preserve">[1021]</w:t>
      </w:r>
      <w:bookmarkEnd w:id="4634"/>
      <w:r>
        <w:t xml:space="preserve"> Garrison KA, Scheinost D, Worhunsky PD, et al. Real-time fMRI links subjective experience with brain activity during focused attention.</w:t>
      </w:r>
      <w:r>
        <w:t xml:space="preserve"> </w:t>
      </w:r>
      <w:r>
        <w:rPr>
          <w:iCs/>
          <w:i/>
        </w:rPr>
        <w:t xml:space="preserve">NeuroImage</w:t>
      </w:r>
      <w:r>
        <w:t xml:space="preserve">. 2013;81:110–118.</w:t>
      </w:r>
      <w:r>
        <w:t xml:space="preserve"> </w:t>
      </w:r>
      <w:hyperlink r:id="rId4635">
        <w:r>
          <w:rPr>
            <w:rStyle w:val="Hyperlink"/>
          </w:rPr>
          <w:t xml:space="preserve">https://doi.org/10.1016/j.neuroimage.2013.05.030</w:t>
        </w:r>
      </w:hyperlink>
    </w:p>
    <w:p>
      <w:pPr>
        <w:pStyle w:val="ReferenceEntry"/>
      </w:pPr>
      <w:bookmarkStart w:id="4636" w:name="ref-1022"/>
      <w:r>
        <w:t xml:space="preserve">[1022]</w:t>
      </w:r>
      <w:bookmarkEnd w:id="4636"/>
      <w:r>
        <w:t xml:space="preserve"> Garrison KA, Santoyo JF, Davis JH, et al. Effortless awareness: using real time neurofeedback to investigate correlates of posterior cingulate cortex activity in meditators' self-report.</w:t>
      </w:r>
      <w:r>
        <w:t xml:space="preserve"> </w:t>
      </w:r>
      <w:r>
        <w:rPr>
          <w:iCs/>
          <w:i/>
        </w:rPr>
        <w:t xml:space="preserve">Frontiers in Human Neuroscience</w:t>
      </w:r>
      <w:r>
        <w:t xml:space="preserve">. 2013;7:440.</w:t>
      </w:r>
      <w:r>
        <w:t xml:space="preserve"> </w:t>
      </w:r>
      <w:hyperlink r:id="rId4637">
        <w:r>
          <w:rPr>
            <w:rStyle w:val="Hyperlink"/>
          </w:rPr>
          <w:t xml:space="preserve">https://doi.org/10.3389/fnhum.2013.00440</w:t>
        </w:r>
      </w:hyperlink>
    </w:p>
    <w:p>
      <w:pPr>
        <w:pStyle w:val="ReferenceEntry"/>
      </w:pPr>
      <w:bookmarkStart w:id="4638" w:name="ref-1023"/>
      <w:r>
        <w:t xml:space="preserve">[1023]</w:t>
      </w:r>
      <w:bookmarkEnd w:id="4638"/>
      <w:r>
        <w:t xml:space="preserve"> Kral TRA, Imhoff-Smith T, Dean DC, et al. Mindfulness-Based Stress Reduction-related changes in posterior cingulate resting brain connectivity.</w:t>
      </w:r>
      <w:r>
        <w:t xml:space="preserve"> </w:t>
      </w:r>
      <w:r>
        <w:rPr>
          <w:iCs/>
          <w:i/>
        </w:rPr>
        <w:t xml:space="preserve">Social Cognitive and Affective Neuroscience</w:t>
      </w:r>
      <w:r>
        <w:t xml:space="preserve">. 2019;14(7):777–787.</w:t>
      </w:r>
      <w:r>
        <w:t xml:space="preserve"> </w:t>
      </w:r>
      <w:hyperlink r:id="rId4639">
        <w:r>
          <w:rPr>
            <w:rStyle w:val="Hyperlink"/>
          </w:rPr>
          <w:t xml:space="preserve">https://doi.org/10.1093/scan/nsz050</w:t>
        </w:r>
      </w:hyperlink>
    </w:p>
    <w:p>
      <w:pPr>
        <w:pStyle w:val="ReferenceEntry"/>
      </w:pPr>
      <w:bookmarkStart w:id="4640" w:name="ref-1024"/>
      <w:r>
        <w:t xml:space="preserve">[1024]</w:t>
      </w:r>
      <w:bookmarkEnd w:id="4640"/>
      <w:r>
        <w:t xml:space="preserve"> Pagnoni G, Cekic M. Age effects on gray matter volume and attentional performance in Zen meditation.</w:t>
      </w:r>
      <w:r>
        <w:t xml:space="preserve"> </w:t>
      </w:r>
      <w:r>
        <w:rPr>
          <w:iCs/>
          <w:i/>
        </w:rPr>
        <w:t xml:space="preserve">Neurobiology of Aging</w:t>
      </w:r>
      <w:r>
        <w:t xml:space="preserve">. 2007;28(10):1623–1627.</w:t>
      </w:r>
      <w:r>
        <w:t xml:space="preserve"> </w:t>
      </w:r>
      <w:hyperlink r:id="rId4641">
        <w:r>
          <w:rPr>
            <w:rStyle w:val="Hyperlink"/>
          </w:rPr>
          <w:t xml:space="preserve">https://doi.org/10.1016/j.neurobiolaging.2007.06.008</w:t>
        </w:r>
      </w:hyperlink>
    </w:p>
    <w:p>
      <w:pPr>
        <w:pStyle w:val="ReferenceEntry"/>
      </w:pPr>
      <w:bookmarkStart w:id="4642" w:name="ref-1025"/>
      <w:r>
        <w:t xml:space="preserve">[1025]</w:t>
      </w:r>
      <w:bookmarkEnd w:id="4642"/>
      <w:r>
        <w:t xml:space="preserve"> Kirk U, Brown KW, Downar J. Adaptive neural reward processing during anticipation and receipt of monetary rewards in mindfulness meditators.</w:t>
      </w:r>
      <w:r>
        <w:t xml:space="preserve"> </w:t>
      </w:r>
      <w:r>
        <w:rPr>
          <w:iCs/>
          <w:i/>
        </w:rPr>
        <w:t xml:space="preserve">Social Cognitive and Affective Neuroscience</w:t>
      </w:r>
      <w:r>
        <w:t xml:space="preserve">. 2015;10(5):752–759.</w:t>
      </w:r>
      <w:r>
        <w:t xml:space="preserve"> </w:t>
      </w:r>
      <w:hyperlink r:id="rId4643">
        <w:r>
          <w:rPr>
            <w:rStyle w:val="Hyperlink"/>
          </w:rPr>
          <w:t xml:space="preserve">https://doi.org/10.1093/scan/nsu112</w:t>
        </w:r>
      </w:hyperlink>
    </w:p>
    <w:p>
      <w:pPr>
        <w:pStyle w:val="ReferenceEntry"/>
      </w:pPr>
      <w:bookmarkStart w:id="4644" w:name="ref-1026"/>
      <w:r>
        <w:t xml:space="preserve">[1026]</w:t>
      </w:r>
      <w:bookmarkEnd w:id="4644"/>
      <w:r>
        <w:t xml:space="preserve"> Hagerty MR, Isaacs J, Brasington L, et al. Case Study of Ecstatic Meditation: fMRI and EEG Evidence of Self‐Stimulating a Reward System.</w:t>
      </w:r>
      <w:r>
        <w:t xml:space="preserve"> </w:t>
      </w:r>
      <w:r>
        <w:rPr>
          <w:iCs/>
          <w:i/>
        </w:rPr>
        <w:t xml:space="preserve">Neural Plasticity</w:t>
      </w:r>
      <w:r>
        <w:t xml:space="preserve">. 2013;2013(1):653572.</w:t>
      </w:r>
      <w:r>
        <w:t xml:space="preserve"> </w:t>
      </w:r>
      <w:hyperlink r:id="rId4645">
        <w:r>
          <w:rPr>
            <w:rStyle w:val="Hyperlink"/>
          </w:rPr>
          <w:t xml:space="preserve">https://doi.org/10.1155/2013/653572</w:t>
        </w:r>
      </w:hyperlink>
    </w:p>
    <w:p>
      <w:pPr>
        <w:pStyle w:val="ReferenceEntry"/>
      </w:pPr>
      <w:bookmarkStart w:id="4646" w:name="ref-1027"/>
      <w:r>
        <w:t xml:space="preserve">[1027]</w:t>
      </w:r>
      <w:bookmarkEnd w:id="4646"/>
      <w:r>
        <w:t xml:space="preserve"> Brewer JA, Elwafi HM, Davis JH. Craving to quit: Psychological models and neurobiological mechanisms of mindfulness training as treatment for addictions.</w:t>
      </w:r>
      <w:r>
        <w:t xml:space="preserve"> </w:t>
      </w:r>
      <w:r>
        <w:rPr>
          <w:iCs/>
          <w:i/>
        </w:rPr>
        <w:t xml:space="preserve">Psychology of Addictive Behaviors</w:t>
      </w:r>
      <w:r>
        <w:t xml:space="preserve">. 2013;27(2):366–379.</w:t>
      </w:r>
      <w:r>
        <w:t xml:space="preserve"> </w:t>
      </w:r>
      <w:hyperlink r:id="rId4647">
        <w:r>
          <w:rPr>
            <w:rStyle w:val="Hyperlink"/>
          </w:rPr>
          <w:t xml:space="preserve">https://doi.org/10.1037/a0028490</w:t>
        </w:r>
      </w:hyperlink>
    </w:p>
    <w:p>
      <w:pPr>
        <w:pStyle w:val="ReferenceEntry"/>
      </w:pPr>
      <w:bookmarkStart w:id="4648" w:name="ref-1028"/>
      <w:r>
        <w:t xml:space="preserve">[1028]</w:t>
      </w:r>
      <w:bookmarkEnd w:id="4648"/>
      <w:r>
        <w:t xml:space="preserve"> Newberg A, Alavi A, Baime M, et al. The measurement of regional cerebral blood flow during the complex cognitive task of meditation: a preliminary SPECT study.</w:t>
      </w:r>
      <w:r>
        <w:t xml:space="preserve"> </w:t>
      </w:r>
      <w:r>
        <w:rPr>
          <w:iCs/>
          <w:i/>
        </w:rPr>
        <w:t xml:space="preserve">Psychiatry Research: Neuroimaging</w:t>
      </w:r>
      <w:r>
        <w:t xml:space="preserve">. 2001;106(2):113–122.</w:t>
      </w:r>
      <w:r>
        <w:t xml:space="preserve"> </w:t>
      </w:r>
      <w:hyperlink r:id="rId4649">
        <w:r>
          <w:rPr>
            <w:rStyle w:val="Hyperlink"/>
          </w:rPr>
          <w:t xml:space="preserve">https://doi.org/10.1016/s0925-4927(01)00074-9</w:t>
        </w:r>
      </w:hyperlink>
    </w:p>
    <w:p>
      <w:pPr>
        <w:pStyle w:val="ReferenceEntry"/>
      </w:pPr>
      <w:bookmarkStart w:id="4650" w:name="ref-1029"/>
      <w:r>
        <w:t xml:space="preserve">[1029]</w:t>
      </w:r>
      <w:bookmarkEnd w:id="4650"/>
      <w:r>
        <w:t xml:space="preserve"> Lazar SW, Bush G, Gollub RL, et al. Functional brain mapping of the relaxation response and meditation.</w:t>
      </w:r>
      <w:r>
        <w:t xml:space="preserve"> </w:t>
      </w:r>
      <w:r>
        <w:rPr>
          <w:iCs/>
          <w:i/>
        </w:rPr>
        <w:t xml:space="preserve">NeuroReport</w:t>
      </w:r>
      <w:r>
        <w:t xml:space="preserve">. 2000;11(7):1581–1585（PubMed 编号 10841380）.</w:t>
      </w:r>
      <w:r>
        <w:t xml:space="preserve"> </w:t>
      </w:r>
      <w:hyperlink r:id="rId4651">
        <w:r>
          <w:rPr>
            <w:rStyle w:val="Hyperlink"/>
          </w:rPr>
          <w:t xml:space="preserve">https://doi.org/10.1097/00001756-200005150-00042</w:t>
        </w:r>
      </w:hyperlink>
    </w:p>
    <w:p>
      <w:pPr>
        <w:pStyle w:val="ReferenceEntry"/>
      </w:pPr>
      <w:bookmarkStart w:id="4652" w:name="ref-1030"/>
      <w:r>
        <w:t xml:space="preserve">[1030]</w:t>
      </w:r>
      <w:bookmarkEnd w:id="4652"/>
      <w:r>
        <w:t xml:space="preserve"> Newberg AB, Iversen J. The neural basis of the complex mental task of meditation: neurotransmitter and neurochemical considerations.</w:t>
      </w:r>
      <w:r>
        <w:t xml:space="preserve"> </w:t>
      </w:r>
      <w:r>
        <w:rPr>
          <w:iCs/>
          <w:i/>
        </w:rPr>
        <w:t xml:space="preserve">Medical Hypotheses</w:t>
      </w:r>
      <w:r>
        <w:t xml:space="preserve">. 2003;61(2):282–291.</w:t>
      </w:r>
      <w:r>
        <w:t xml:space="preserve"> </w:t>
      </w:r>
      <w:hyperlink r:id="rId4653">
        <w:r>
          <w:rPr>
            <w:rStyle w:val="Hyperlink"/>
          </w:rPr>
          <w:t xml:space="preserve">https://doi.org/10.1016/s0306-9877(03)00175-0</w:t>
        </w:r>
      </w:hyperlink>
    </w:p>
    <w:p>
      <w:pPr>
        <w:pStyle w:val="ReferenceEntry"/>
      </w:pPr>
      <w:bookmarkStart w:id="4654" w:name="ref-1031"/>
      <w:r>
        <w:t xml:space="preserve">[1031]</w:t>
      </w:r>
      <w:bookmarkEnd w:id="4654"/>
      <w:r>
        <w:t xml:space="preserve"> Vestergaard-Poulsen P, van Beek M, Skewes J, et al. Long-term meditation is associated with increased gray matter density in the brain stem.</w:t>
      </w:r>
      <w:r>
        <w:t xml:space="preserve"> </w:t>
      </w:r>
      <w:r>
        <w:rPr>
          <w:iCs/>
          <w:i/>
        </w:rPr>
        <w:t xml:space="preserve">NeuroReport</w:t>
      </w:r>
      <w:r>
        <w:t xml:space="preserve">. 2009;20(2):170–174.</w:t>
      </w:r>
      <w:r>
        <w:t xml:space="preserve"> </w:t>
      </w:r>
      <w:hyperlink r:id="rId4655">
        <w:r>
          <w:rPr>
            <w:rStyle w:val="Hyperlink"/>
          </w:rPr>
          <w:t xml:space="preserve">https://doi.org/10.1097/wnr.0b013e328320012a</w:t>
        </w:r>
      </w:hyperlink>
    </w:p>
    <w:p>
      <w:pPr>
        <w:pStyle w:val="ReferenceEntry"/>
      </w:pPr>
      <w:bookmarkStart w:id="4656" w:name="ref-1032"/>
      <w:r>
        <w:t xml:space="preserve">[1032]</w:t>
      </w:r>
      <w:bookmarkEnd w:id="4656"/>
      <w:r>
        <w:t xml:space="preserve"> Singleton O, Hölzel BK, Vangel M, et al. Change in Brainstem Gray Matter Concentration Following a Mindfulness-Based Intervention is Correlated with Improvement in Psychological Well-Being.</w:t>
      </w:r>
      <w:r>
        <w:t xml:space="preserve"> </w:t>
      </w:r>
      <w:r>
        <w:rPr>
          <w:iCs/>
          <w:i/>
        </w:rPr>
        <w:t xml:space="preserve">Frontiers in Human Neuroscience</w:t>
      </w:r>
      <w:r>
        <w:t xml:space="preserve">. 2014;8:33.</w:t>
      </w:r>
      <w:r>
        <w:t xml:space="preserve"> </w:t>
      </w:r>
      <w:hyperlink r:id="rId4657">
        <w:r>
          <w:rPr>
            <w:rStyle w:val="Hyperlink"/>
          </w:rPr>
          <w:t xml:space="preserve">https://doi.org/10.3389/fnhum.2014.00033</w:t>
        </w:r>
      </w:hyperlink>
    </w:p>
    <w:p>
      <w:pPr>
        <w:pStyle w:val="ReferenceEntry"/>
      </w:pPr>
      <w:bookmarkStart w:id="4658" w:name="ref-1033"/>
      <w:r>
        <w:t xml:space="preserve">[1033]</w:t>
      </w:r>
      <w:bookmarkEnd w:id="4658"/>
      <w:r>
        <w:t xml:space="preserve"> Luders E, Clark K, Narr KL, et al. Enhanced brain connectivity in long-term meditation practitioners.</w:t>
      </w:r>
      <w:r>
        <w:t xml:space="preserve"> </w:t>
      </w:r>
      <w:r>
        <w:rPr>
          <w:iCs/>
          <w:i/>
        </w:rPr>
        <w:t xml:space="preserve">NeuroImage</w:t>
      </w:r>
      <w:r>
        <w:t xml:space="preserve">. 2011;57(4):1308–1316.</w:t>
      </w:r>
      <w:r>
        <w:t xml:space="preserve"> </w:t>
      </w:r>
      <w:hyperlink r:id="rId4659">
        <w:r>
          <w:rPr>
            <w:rStyle w:val="Hyperlink"/>
          </w:rPr>
          <w:t xml:space="preserve">https://doi.org/10.1016/j.neuroimage.2011.05.075</w:t>
        </w:r>
      </w:hyperlink>
    </w:p>
    <w:p>
      <w:pPr>
        <w:pStyle w:val="ReferenceEntry"/>
      </w:pPr>
      <w:bookmarkStart w:id="4660" w:name="ref-1034"/>
      <w:r>
        <w:t xml:space="preserve">[1034]</w:t>
      </w:r>
      <w:bookmarkEnd w:id="4660"/>
      <w:r>
        <w:t xml:space="preserve"> Luders E, Phillips OR, Clark K, et al. Bridging the hemispheres in meditation: Thicker callosal regions and enhanced fractional anisotropy (FA) in long-term practitioners.</w:t>
      </w:r>
      <w:r>
        <w:t xml:space="preserve"> </w:t>
      </w:r>
      <w:r>
        <w:rPr>
          <w:iCs/>
          <w:i/>
        </w:rPr>
        <w:t xml:space="preserve">NeuroImage</w:t>
      </w:r>
      <w:r>
        <w:t xml:space="preserve">. 2012;61(1):181–187.</w:t>
      </w:r>
      <w:r>
        <w:t xml:space="preserve"> </w:t>
      </w:r>
      <w:hyperlink r:id="rId4661">
        <w:r>
          <w:rPr>
            <w:rStyle w:val="Hyperlink"/>
          </w:rPr>
          <w:t xml:space="preserve">https://doi.org/10.1016/j.neuroimage.2012.02.026</w:t>
        </w:r>
      </w:hyperlink>
    </w:p>
    <w:p>
      <w:pPr>
        <w:pStyle w:val="ReferenceEntry"/>
      </w:pPr>
      <w:bookmarkStart w:id="4662" w:name="ref-1035"/>
      <w:r>
        <w:t xml:space="preserve">[1035]</w:t>
      </w:r>
      <w:bookmarkEnd w:id="4662"/>
      <w:r>
        <w:t xml:space="preserve"> Tang YY, Lu Q, Fan M, et al. Mechanisms of white matter changes induced by meditation.</w:t>
      </w:r>
      <w:r>
        <w:t xml:space="preserve"> </w:t>
      </w:r>
      <w:r>
        <w:rPr>
          <w:iCs/>
          <w:i/>
        </w:rPr>
        <w:t xml:space="preserve">Proceedings of the National Academy of Sciences</w:t>
      </w:r>
      <w:r>
        <w:t xml:space="preserve">. 2012;109(26):10570–10574.</w:t>
      </w:r>
      <w:r>
        <w:t xml:space="preserve"> </w:t>
      </w:r>
      <w:hyperlink r:id="rId4663">
        <w:r>
          <w:rPr>
            <w:rStyle w:val="Hyperlink"/>
          </w:rPr>
          <w:t xml:space="preserve">https://doi.org/10.1073/pnas.1207817109</w:t>
        </w:r>
      </w:hyperlink>
    </w:p>
    <w:p>
      <w:pPr>
        <w:pStyle w:val="ReferenceEntry"/>
      </w:pPr>
      <w:bookmarkStart w:id="4664" w:name="ref-1036"/>
      <w:r>
        <w:t xml:space="preserve">[1036]</w:t>
      </w:r>
      <w:bookmarkEnd w:id="4664"/>
      <w:r>
        <w:t xml:space="preserve"> Kerr CE, Jones SR, Wan Q, et al. Effects of mindfulness meditation training on anticipatory alpha modulation in primary somatosensory cortex.</w:t>
      </w:r>
      <w:r>
        <w:t xml:space="preserve"> </w:t>
      </w:r>
      <w:r>
        <w:rPr>
          <w:iCs/>
          <w:i/>
        </w:rPr>
        <w:t xml:space="preserve">Brain Research Bulletin</w:t>
      </w:r>
      <w:r>
        <w:t xml:space="preserve">. 2011;85(3-4):96–103.</w:t>
      </w:r>
      <w:r>
        <w:t xml:space="preserve"> </w:t>
      </w:r>
      <w:hyperlink r:id="rId4665">
        <w:r>
          <w:rPr>
            <w:rStyle w:val="Hyperlink"/>
          </w:rPr>
          <w:t xml:space="preserve">https://doi.org/10.1016/j.brainresbull.2011.03.026</w:t>
        </w:r>
      </w:hyperlink>
    </w:p>
    <w:p>
      <w:pPr>
        <w:pStyle w:val="ReferenceEntry"/>
      </w:pPr>
      <w:bookmarkStart w:id="4666" w:name="ref-1037"/>
      <w:r>
        <w:t xml:space="preserve">[1037]</w:t>
      </w:r>
      <w:bookmarkEnd w:id="4666"/>
      <w:r>
        <w:t xml:space="preserve"> Kerr CE, Sacchet MD, Lazar SW, et al. Mindfulness starts with the body: somatosensory attention and top-down modulation of cortical alpha rhythms in mindfulness meditation.</w:t>
      </w:r>
      <w:r>
        <w:t xml:space="preserve"> </w:t>
      </w:r>
      <w:r>
        <w:rPr>
          <w:iCs/>
          <w:i/>
        </w:rPr>
        <w:t xml:space="preserve">Frontiers in Human Neuroscience</w:t>
      </w:r>
      <w:r>
        <w:t xml:space="preserve">. 2013;7:12.</w:t>
      </w:r>
      <w:r>
        <w:t xml:space="preserve"> </w:t>
      </w:r>
      <w:hyperlink r:id="rId4667">
        <w:r>
          <w:rPr>
            <w:rStyle w:val="Hyperlink"/>
          </w:rPr>
          <w:t xml:space="preserve">https://doi.org/10.3389/fnhum.2013.00012</w:t>
        </w:r>
      </w:hyperlink>
    </w:p>
    <w:p>
      <w:pPr>
        <w:pStyle w:val="ReferenceEntry"/>
      </w:pPr>
      <w:bookmarkStart w:id="4668" w:name="ref-1038"/>
      <w:r>
        <w:t xml:space="preserve">[1038]</w:t>
      </w:r>
      <w:bookmarkEnd w:id="4668"/>
      <w:r>
        <w:t xml:space="preserve"> Boccia M, Piccardi L, Guariglia P. The Meditative Mind: A Comprehensive Meta-Analysis of MRI Studies.</w:t>
      </w:r>
      <w:r>
        <w:t xml:space="preserve"> </w:t>
      </w:r>
      <w:r>
        <w:rPr>
          <w:iCs/>
          <w:i/>
        </w:rPr>
        <w:t xml:space="preserve">BioMed Research International</w:t>
      </w:r>
      <w:r>
        <w:t xml:space="preserve">. 2015;2015:419808.</w:t>
      </w:r>
      <w:r>
        <w:t xml:space="preserve"> </w:t>
      </w:r>
      <w:hyperlink r:id="rId4669">
        <w:r>
          <w:rPr>
            <w:rStyle w:val="Hyperlink"/>
          </w:rPr>
          <w:t xml:space="preserve">https://doi.org/10.1155/2015/419808</w:t>
        </w:r>
      </w:hyperlink>
    </w:p>
    <w:p>
      <w:pPr>
        <w:pStyle w:val="ReferenceEntry"/>
      </w:pPr>
      <w:bookmarkStart w:id="4670" w:name="ref-1039"/>
      <w:r>
        <w:t xml:space="preserve">[1039]</w:t>
      </w:r>
      <w:bookmarkEnd w:id="4670"/>
      <w:r>
        <w:t xml:space="preserve"> Fahmy R, Wasfi M, Mamdouh R, et al. Mindfulness-based interventions modulate structural network strength in patients with opioid dependence.</w:t>
      </w:r>
      <w:r>
        <w:t xml:space="preserve"> </w:t>
      </w:r>
      <w:r>
        <w:rPr>
          <w:iCs/>
          <w:i/>
        </w:rPr>
        <w:t xml:space="preserve">Addictive Behaviors</w:t>
      </w:r>
      <w:r>
        <w:t xml:space="preserve">. 2018;82:50–56.</w:t>
      </w:r>
      <w:r>
        <w:t xml:space="preserve"> </w:t>
      </w:r>
      <w:hyperlink r:id="rId4671">
        <w:r>
          <w:rPr>
            <w:rStyle w:val="Hyperlink"/>
          </w:rPr>
          <w:t xml:space="preserve">https://doi.org/10.1016/j.addbeh.2018.02.013</w:t>
        </w:r>
      </w:hyperlink>
    </w:p>
    <w:p>
      <w:pPr>
        <w:pStyle w:val="ReferenceEntry"/>
      </w:pPr>
      <w:bookmarkStart w:id="4672" w:name="ref-1040"/>
      <w:r>
        <w:t xml:space="preserve">[1040]</w:t>
      </w:r>
      <w:bookmarkEnd w:id="4672"/>
      <w:r>
        <w:t xml:space="preserve"> Garrison KA, Zeffiro TA, Scheinost D, et al. Meditation leads to reduced default mode network activity beyond an active task.</w:t>
      </w:r>
      <w:r>
        <w:t xml:space="preserve"> </w:t>
      </w:r>
      <w:r>
        <w:rPr>
          <w:iCs/>
          <w:i/>
        </w:rPr>
        <w:t xml:space="preserve">Cognitive, Affective, &amp; Behavioral Neuroscience</w:t>
      </w:r>
      <w:r>
        <w:t xml:space="preserve">. 2015;15(3):712–720.</w:t>
      </w:r>
      <w:r>
        <w:t xml:space="preserve"> </w:t>
      </w:r>
      <w:hyperlink r:id="rId4673">
        <w:r>
          <w:rPr>
            <w:rStyle w:val="Hyperlink"/>
          </w:rPr>
          <w:t xml:space="preserve">https://doi.org/10.3758/s13415-015-0358-3</w:t>
        </w:r>
      </w:hyperlink>
    </w:p>
    <w:p>
      <w:pPr>
        <w:pStyle w:val="ReferenceEntry"/>
      </w:pPr>
      <w:bookmarkStart w:id="4674" w:name="ref-1041"/>
      <w:r>
        <w:t xml:space="preserve">[1041]</w:t>
      </w:r>
      <w:bookmarkEnd w:id="4674"/>
      <w:r>
        <w:t xml:space="preserve"> Rahrig H, Vago DR, Passarelli MA, et al. Meta-analytic evidence that mindfulness training alters resting state default mode network connectivity.</w:t>
      </w:r>
      <w:r>
        <w:t xml:space="preserve"> </w:t>
      </w:r>
      <w:r>
        <w:rPr>
          <w:iCs/>
          <w:i/>
        </w:rPr>
        <w:t xml:space="preserve">Scientific Reports</w:t>
      </w:r>
      <w:r>
        <w:t xml:space="preserve">. 2022;12(1):12260.</w:t>
      </w:r>
      <w:r>
        <w:t xml:space="preserve"> </w:t>
      </w:r>
      <w:hyperlink r:id="rId4675">
        <w:r>
          <w:rPr>
            <w:rStyle w:val="Hyperlink"/>
          </w:rPr>
          <w:t xml:space="preserve">https://doi.org/10.1038/s41598-022-15195-6</w:t>
        </w:r>
      </w:hyperlink>
    </w:p>
    <w:p>
      <w:pPr>
        <w:pStyle w:val="ReferenceEntry"/>
      </w:pPr>
      <w:bookmarkStart w:id="4676" w:name="ref-1042"/>
      <w:r>
        <w:t xml:space="preserve">[1042]</w:t>
      </w:r>
      <w:bookmarkEnd w:id="4676"/>
      <w:r>
        <w:t xml:space="preserve"> Ganesan S, Van Dam NT, Kamboj SK, et al. Neurofeedback Training Facilitates Awareness and Enhances Emotional Well-being Associated with Real-World Meditation Practice: A 7-T MRI Study.</w:t>
      </w:r>
      <w:r>
        <w:t xml:space="preserve"> </w:t>
      </w:r>
      <w:r>
        <w:rPr>
          <w:iCs/>
          <w:i/>
        </w:rPr>
        <w:t xml:space="preserve">Mindfulness</w:t>
      </w:r>
      <w:r>
        <w:t xml:space="preserve">. 2025;16(10):2787–2807.</w:t>
      </w:r>
      <w:r>
        <w:t xml:space="preserve"> </w:t>
      </w:r>
      <w:hyperlink r:id="rId4677">
        <w:r>
          <w:rPr>
            <w:rStyle w:val="Hyperlink"/>
          </w:rPr>
          <w:t xml:space="preserve">https://doi.org/10.1007/s12671-025-02671-z</w:t>
        </w:r>
      </w:hyperlink>
    </w:p>
    <w:p>
      <w:pPr>
        <w:pStyle w:val="ReferenceEntry"/>
      </w:pPr>
      <w:bookmarkStart w:id="4678" w:name="ref-1043"/>
      <w:r>
        <w:t xml:space="preserve">[1043]</w:t>
      </w:r>
      <w:bookmarkEnd w:id="4678"/>
      <w:r>
        <w:t xml:space="preserve"> Mrazek MD, Franklin MS, Phillips DT, et al. Mindfulness Training Improves Working Memory Capacity and GRE Performance While Reducing Mind Wandering.</w:t>
      </w:r>
      <w:r>
        <w:t xml:space="preserve"> </w:t>
      </w:r>
      <w:r>
        <w:rPr>
          <w:iCs/>
          <w:i/>
        </w:rPr>
        <w:t xml:space="preserve">Psychological Science</w:t>
      </w:r>
      <w:r>
        <w:t xml:space="preserve">. 2013;24(5):776–781.</w:t>
      </w:r>
      <w:r>
        <w:t xml:space="preserve"> </w:t>
      </w:r>
      <w:hyperlink r:id="rId4679">
        <w:r>
          <w:rPr>
            <w:rStyle w:val="Hyperlink"/>
          </w:rPr>
          <w:t xml:space="preserve">https://doi.org/10.1177/0956797612459659</w:t>
        </w:r>
      </w:hyperlink>
    </w:p>
    <w:p>
      <w:pPr>
        <w:pStyle w:val="ReferenceEntry"/>
      </w:pPr>
      <w:bookmarkStart w:id="4680" w:name="ref-1044"/>
      <w:r>
        <w:t xml:space="preserve">[1044]</w:t>
      </w:r>
      <w:bookmarkEnd w:id="4680"/>
      <w:r>
        <w:t xml:space="preserve"> Rahl HA, Lindsay EK, Pacilio LE, et al. Brief mindfulness meditation training reduces mind wandering: The critical role of acceptance.</w:t>
      </w:r>
      <w:r>
        <w:t xml:space="preserve"> </w:t>
      </w:r>
      <w:r>
        <w:rPr>
          <w:iCs/>
          <w:i/>
        </w:rPr>
        <w:t xml:space="preserve">Emotion</w:t>
      </w:r>
      <w:r>
        <w:t xml:space="preserve">. 2017;17(2):224–230.</w:t>
      </w:r>
      <w:r>
        <w:t xml:space="preserve"> </w:t>
      </w:r>
      <w:hyperlink r:id="rId4681">
        <w:r>
          <w:rPr>
            <w:rStyle w:val="Hyperlink"/>
          </w:rPr>
          <w:t xml:space="preserve">https://doi.org/10.1037/emo0000250</w:t>
        </w:r>
      </w:hyperlink>
    </w:p>
    <w:p>
      <w:pPr>
        <w:pStyle w:val="ReferenceEntry"/>
      </w:pPr>
      <w:bookmarkStart w:id="4682" w:name="ref-1045"/>
      <w:r>
        <w:t xml:space="preserve">[1045]</w:t>
      </w:r>
      <w:bookmarkEnd w:id="4682"/>
      <w:r>
        <w:t xml:space="preserve"> Fisher M, Phansikar M, Teng J, et al. Effects of mindfulness training on sustained attention and mind-wandering in older adults: results from the HealthyAgers randomized controlled trial.</w:t>
      </w:r>
      <w:r>
        <w:t xml:space="preserve"> </w:t>
      </w:r>
      <w:r>
        <w:rPr>
          <w:iCs/>
          <w:i/>
        </w:rPr>
        <w:t xml:space="preserve">The Journals of Gerontology, Series B: Psychological Sciences and Social Sciences</w:t>
      </w:r>
      <w:r>
        <w:t xml:space="preserve">. 2026;81(2):gbaf235.</w:t>
      </w:r>
      <w:r>
        <w:t xml:space="preserve"> </w:t>
      </w:r>
      <w:hyperlink r:id="rId4683">
        <w:r>
          <w:rPr>
            <w:rStyle w:val="Hyperlink"/>
          </w:rPr>
          <w:t xml:space="preserve">https://doi.org/10.1093/geronb/gbaf235</w:t>
        </w:r>
      </w:hyperlink>
    </w:p>
    <w:p>
      <w:pPr>
        <w:pStyle w:val="ReferenceEntry"/>
      </w:pPr>
      <w:bookmarkStart w:id="4684" w:name="ref-1046"/>
      <w:r>
        <w:t xml:space="preserve">[1046]</w:t>
      </w:r>
      <w:bookmarkEnd w:id="4684"/>
      <w:r>
        <w:t xml:space="preserve"> Jha AP, Krompinger J, Baime MJ. Mindfulness training modifies subsystems of attention.</w:t>
      </w:r>
      <w:r>
        <w:t xml:space="preserve"> </w:t>
      </w:r>
      <w:r>
        <w:rPr>
          <w:iCs/>
          <w:i/>
        </w:rPr>
        <w:t xml:space="preserve">Cognitive, Affective, &amp; Behavioral Neuroscience</w:t>
      </w:r>
      <w:r>
        <w:t xml:space="preserve">. 2007;7(2):109–119.</w:t>
      </w:r>
      <w:r>
        <w:t xml:space="preserve"> </w:t>
      </w:r>
      <w:hyperlink r:id="rId4685">
        <w:r>
          <w:rPr>
            <w:rStyle w:val="Hyperlink"/>
          </w:rPr>
          <w:t xml:space="preserve">https://doi.org/10.3758/cabn.7.2.109</w:t>
        </w:r>
      </w:hyperlink>
    </w:p>
    <w:p>
      <w:pPr>
        <w:pStyle w:val="ReferenceEntry"/>
      </w:pPr>
      <w:bookmarkStart w:id="4686" w:name="ref-1047"/>
      <w:r>
        <w:t xml:space="preserve">[1047]</w:t>
      </w:r>
      <w:bookmarkEnd w:id="4686"/>
      <w:r>
        <w:t xml:space="preserve"> Whitfield T, Barnhofer T, Acabchuk R, et al. The Effect of Mindfulness-based Programs on Cognitive Function in Adults: A Systematic Review and Meta-analysis.</w:t>
      </w:r>
      <w:r>
        <w:t xml:space="preserve"> </w:t>
      </w:r>
      <w:r>
        <w:rPr>
          <w:iCs/>
          <w:i/>
        </w:rPr>
        <w:t xml:space="preserve">Neuropsychology Review</w:t>
      </w:r>
      <w:r>
        <w:t xml:space="preserve">. 2022;32(3):677–702.</w:t>
      </w:r>
      <w:r>
        <w:t xml:space="preserve"> </w:t>
      </w:r>
      <w:hyperlink r:id="rId4687">
        <w:r>
          <w:rPr>
            <w:rStyle w:val="Hyperlink"/>
          </w:rPr>
          <w:t xml:space="preserve">https://doi.org/10.1007/s11065-021-09519-y</w:t>
        </w:r>
      </w:hyperlink>
    </w:p>
    <w:p>
      <w:pPr>
        <w:pStyle w:val="ReferenceEntry"/>
      </w:pPr>
      <w:bookmarkStart w:id="4688" w:name="ref-1048"/>
      <w:r>
        <w:t xml:space="preserve">[1048]</w:t>
      </w:r>
      <w:bookmarkEnd w:id="4688"/>
      <w:r>
        <w:t xml:space="preserve"> Treves IN, Pichappan K, Hammoud J, et al. The Mindful Brain: A Systematic Review of the Neural Correlates of Trait Mindfulness.</w:t>
      </w:r>
      <w:r>
        <w:t xml:space="preserve"> </w:t>
      </w:r>
      <w:r>
        <w:rPr>
          <w:iCs/>
          <w:i/>
        </w:rPr>
        <w:t xml:space="preserve">Journal of Cognitive Neuroscience</w:t>
      </w:r>
      <w:r>
        <w:t xml:space="preserve">. 2024;36(11):2518–2555.</w:t>
      </w:r>
      <w:r>
        <w:t xml:space="preserve"> </w:t>
      </w:r>
      <w:hyperlink r:id="rId4689">
        <w:r>
          <w:rPr>
            <w:rStyle w:val="Hyperlink"/>
          </w:rPr>
          <w:t xml:space="preserve">https://doi.org/10.1162/jocn_a_02230</w:t>
        </w:r>
      </w:hyperlink>
    </w:p>
    <w:p>
      <w:pPr>
        <w:pStyle w:val="ReferenceEntry"/>
      </w:pPr>
      <w:bookmarkStart w:id="4690" w:name="ref-1049"/>
      <w:r>
        <w:t xml:space="preserve">[1049]</w:t>
      </w:r>
      <w:bookmarkEnd w:id="4690"/>
      <w:r>
        <w:t xml:space="preserve"> Treves IN, Kucyi A, Park M, et al. Connectome‐Based Predictive Modeling of Trait Mindfulness.</w:t>
      </w:r>
      <w:r>
        <w:t xml:space="preserve"> </w:t>
      </w:r>
      <w:r>
        <w:rPr>
          <w:iCs/>
          <w:i/>
        </w:rPr>
        <w:t xml:space="preserve">Human Brain Mapping</w:t>
      </w:r>
      <w:r>
        <w:t xml:space="preserve">. 2025;46(1):e70123.</w:t>
      </w:r>
      <w:r>
        <w:t xml:space="preserve"> </w:t>
      </w:r>
      <w:hyperlink r:id="rId4691">
        <w:r>
          <w:rPr>
            <w:rStyle w:val="Hyperlink"/>
          </w:rPr>
          <w:t xml:space="preserve">https://doi.org/10.1002/hbm.70123</w:t>
        </w:r>
      </w:hyperlink>
    </w:p>
    <w:p>
      <w:pPr>
        <w:pStyle w:val="ReferenceEntry"/>
      </w:pPr>
      <w:bookmarkStart w:id="4692" w:name="ref-1050"/>
      <w:r>
        <w:t xml:space="preserve">[1050]</w:t>
      </w:r>
      <w:bookmarkEnd w:id="4692"/>
      <w:r>
        <w:t xml:space="preserve"> Ganesan S, Barrios FA, Batta I, et al. ENIGMA-Meditation: Worldwide Consortium for Neuroscientific Investigations of Meditation Practices.</w:t>
      </w:r>
      <w:r>
        <w:t xml:space="preserve"> </w:t>
      </w:r>
      <w:r>
        <w:rPr>
          <w:iCs/>
          <w:i/>
        </w:rPr>
        <w:t xml:space="preserve">Biological Psychiatry: Cognitive Neuroscience and Neuroimaging</w:t>
      </w:r>
      <w:r>
        <w:t xml:space="preserve">. 2025;10(4):425–436.</w:t>
      </w:r>
      <w:r>
        <w:t xml:space="preserve"> </w:t>
      </w:r>
      <w:hyperlink r:id="rId4693">
        <w:r>
          <w:rPr>
            <w:rStyle w:val="Hyperlink"/>
          </w:rPr>
          <w:t xml:space="preserve">https://doi.org/10.1016/j.bpsc.2024.10.015</w:t>
        </w:r>
      </w:hyperlink>
    </w:p>
    <w:p>
      <w:pPr>
        <w:pStyle w:val="ReferenceEntry"/>
      </w:pPr>
      <w:bookmarkStart w:id="4694" w:name="ref-1051"/>
      <w:r>
        <w:t xml:space="preserve">[1051]</w:t>
      </w:r>
      <w:bookmarkEnd w:id="4694"/>
      <w:r>
        <w:t xml:space="preserve"> Tang YY, Hölzel BK, Posner MI. The neuroscience of mindfulness meditation.</w:t>
      </w:r>
      <w:r>
        <w:t xml:space="preserve"> </w:t>
      </w:r>
      <w:r>
        <w:rPr>
          <w:iCs/>
          <w:i/>
        </w:rPr>
        <w:t xml:space="preserve">Nature Reviews Neuroscience</w:t>
      </w:r>
      <w:r>
        <w:t xml:space="preserve">. 2015;16(4):213–225.</w:t>
      </w:r>
      <w:r>
        <w:t xml:space="preserve"> </w:t>
      </w:r>
      <w:hyperlink r:id="rId4695">
        <w:r>
          <w:rPr>
            <w:rStyle w:val="Hyperlink"/>
          </w:rPr>
          <w:t xml:space="preserve">https://doi.org/10.1038/nrn3916</w:t>
        </w:r>
      </w:hyperlink>
    </w:p>
    <w:p>
      <w:pPr>
        <w:pStyle w:val="ReferenceEntry"/>
      </w:pPr>
      <w:bookmarkStart w:id="4696" w:name="ref-1052"/>
      <w:r>
        <w:t xml:space="preserve">[1052]</w:t>
      </w:r>
      <w:bookmarkEnd w:id="4696"/>
      <w:r>
        <w:t xml:space="preserve"> Pagnoni G. The contemplative exercise through the lenses of predictive processing: A promising approach.</w:t>
      </w:r>
      <w:r>
        <w:t xml:space="preserve"> </w:t>
      </w:r>
      <w:r>
        <w:rPr>
          <w:iCs/>
          <w:i/>
        </w:rPr>
        <w:t xml:space="preserve">Progress in Brain Research</w:t>
      </w:r>
      <w:r>
        <w:t xml:space="preserve">. 2019;244:299–322.</w:t>
      </w:r>
      <w:r>
        <w:t xml:space="preserve"> </w:t>
      </w:r>
      <w:hyperlink r:id="rId4697">
        <w:r>
          <w:rPr>
            <w:rStyle w:val="Hyperlink"/>
          </w:rPr>
          <w:t xml:space="preserve">https://doi.org/10.1016/bs.pbr.2018.10.022</w:t>
        </w:r>
      </w:hyperlink>
    </w:p>
    <w:p>
      <w:pPr>
        <w:pStyle w:val="ReferenceEntry"/>
      </w:pPr>
      <w:bookmarkStart w:id="4698" w:name="ref-1053"/>
      <w:r>
        <w:t xml:space="preserve">[1053]</w:t>
      </w:r>
      <w:bookmarkEnd w:id="4698"/>
      <w:r>
        <w:t xml:space="preserve"> Lutz A, Mattout J, Pagnoni G. The epistemic and pragmatic value of non-action: a predictive coding perspective on meditation.</w:t>
      </w:r>
      <w:r>
        <w:t xml:space="preserve"> </w:t>
      </w:r>
      <w:r>
        <w:rPr>
          <w:iCs/>
          <w:i/>
        </w:rPr>
        <w:t xml:space="preserve">Current Opinion in Psychology</w:t>
      </w:r>
      <w:r>
        <w:t xml:space="preserve">. 2019;28:166–171.</w:t>
      </w:r>
      <w:r>
        <w:t xml:space="preserve"> </w:t>
      </w:r>
      <w:hyperlink r:id="rId4699">
        <w:r>
          <w:rPr>
            <w:rStyle w:val="Hyperlink"/>
          </w:rPr>
          <w:t xml:space="preserve">https://doi.org/10.1016/j.copsyc.2018.12.019</w:t>
        </w:r>
      </w:hyperlink>
    </w:p>
    <w:p>
      <w:pPr>
        <w:pStyle w:val="ReferenceEntry"/>
      </w:pPr>
      <w:bookmarkStart w:id="4700" w:name="ref-1054"/>
      <w:r>
        <w:t xml:space="preserve">[1054]</w:t>
      </w:r>
      <w:bookmarkEnd w:id="4700"/>
      <w:r>
        <w:t xml:space="preserve"> Laukkonen RE, Slagter HA. From many to (n)one: Meditation and the plasticity of the predictive mind.</w:t>
      </w:r>
      <w:r>
        <w:t xml:space="preserve"> </w:t>
      </w:r>
      <w:r>
        <w:rPr>
          <w:iCs/>
          <w:i/>
        </w:rPr>
        <w:t xml:space="preserve">Neuroscience &amp; Biobehavioral Reviews</w:t>
      </w:r>
      <w:r>
        <w:t xml:space="preserve">. 2021;128:199–217.</w:t>
      </w:r>
      <w:r>
        <w:t xml:space="preserve"> </w:t>
      </w:r>
      <w:hyperlink r:id="rId4701">
        <w:r>
          <w:rPr>
            <w:rStyle w:val="Hyperlink"/>
          </w:rPr>
          <w:t xml:space="preserve">https://doi.org/10.1016/j.neubiorev.2021.06.021</w:t>
        </w:r>
      </w:hyperlink>
    </w:p>
    <w:p>
      <w:pPr>
        <w:pStyle w:val="ReferenceEntry"/>
      </w:pPr>
      <w:bookmarkStart w:id="4702" w:name="ref-1055"/>
      <w:r>
        <w:t xml:space="preserve">[1055]</w:t>
      </w:r>
      <w:bookmarkEnd w:id="4702"/>
      <w:r>
        <w:t xml:space="preserve"> Tal H, Wright M, Prest S, et al. Active inference, computational phenomenology, and advanced meditation: Toward the formalization of the experience of meditation.</w:t>
      </w:r>
      <w:r>
        <w:t xml:space="preserve"> </w:t>
      </w:r>
      <w:r>
        <w:rPr>
          <w:iCs/>
          <w:i/>
        </w:rPr>
        <w:t xml:space="preserve">Neuroscience &amp; Biobehavioral Reviews</w:t>
      </w:r>
      <w:r>
        <w:t xml:space="preserve">. 2026;182:106539.</w:t>
      </w:r>
      <w:r>
        <w:t xml:space="preserve"> </w:t>
      </w:r>
      <w:hyperlink r:id="rId4703">
        <w:r>
          <w:rPr>
            <w:rStyle w:val="Hyperlink"/>
          </w:rPr>
          <w:t xml:space="preserve">https://doi.org/10.1016/j.neubiorev.2025.106539</w:t>
        </w:r>
      </w:hyperlink>
    </w:p>
    <w:p>
      <w:pPr>
        <w:pStyle w:val="ReferenceEntry"/>
      </w:pPr>
      <w:bookmarkStart w:id="4704" w:name="ref-1056"/>
      <w:r>
        <w:t xml:space="preserve">[1056]</w:t>
      </w:r>
      <w:bookmarkEnd w:id="4704"/>
      <w:r>
        <w:t xml:space="preserve"> Fucci E, Abdoun O, Caclin A, et al. Differential effects of non-dual and focused attention meditations on the formation of automatic perceptual habits in expert practitioners.</w:t>
      </w:r>
      <w:r>
        <w:t xml:space="preserve"> </w:t>
      </w:r>
      <w:r>
        <w:rPr>
          <w:iCs/>
          <w:i/>
        </w:rPr>
        <w:t xml:space="preserve">Neuropsychologia</w:t>
      </w:r>
      <w:r>
        <w:t xml:space="preserve">. 2018;119:92–100.</w:t>
      </w:r>
      <w:r>
        <w:t xml:space="preserve"> </w:t>
      </w:r>
      <w:hyperlink r:id="rId4705">
        <w:r>
          <w:rPr>
            <w:rStyle w:val="Hyperlink"/>
          </w:rPr>
          <w:t xml:space="preserve">https://doi.org/10.1016/j.neuropsychologia.2018.07.025</w:t>
        </w:r>
      </w:hyperlink>
    </w:p>
    <w:p>
      <w:pPr>
        <w:pStyle w:val="ReferenceEntry"/>
      </w:pPr>
      <w:bookmarkStart w:id="4706" w:name="ref-1057"/>
      <w:r>
        <w:t xml:space="preserve">[1057]</w:t>
      </w:r>
      <w:bookmarkEnd w:id="4706"/>
      <w:r>
        <w:t xml:space="preserve"> Fucci E, Poublan-Couzardot A, Abdoun O, et al. No effect of focused attention and open monitoring meditation on EEG auditory mismatch negativity in expert and novice practitioners.</w:t>
      </w:r>
      <w:r>
        <w:t xml:space="preserve"> </w:t>
      </w:r>
      <w:r>
        <w:rPr>
          <w:iCs/>
          <w:i/>
        </w:rPr>
        <w:t xml:space="preserve">International Journal of Psychophysiology</w:t>
      </w:r>
      <w:r>
        <w:t xml:space="preserve">. 2022;176:62–72.</w:t>
      </w:r>
      <w:r>
        <w:t xml:space="preserve"> </w:t>
      </w:r>
      <w:hyperlink r:id="rId4707">
        <w:r>
          <w:rPr>
            <w:rStyle w:val="Hyperlink"/>
          </w:rPr>
          <w:t xml:space="preserve">https://doi.org/10.1016/j.ijpsycho.2022.03.010</w:t>
        </w:r>
      </w:hyperlink>
    </w:p>
    <w:p>
      <w:pPr>
        <w:pStyle w:val="ReferenceEntry"/>
      </w:pPr>
      <w:bookmarkStart w:id="4708" w:name="ref-1058"/>
      <w:r>
        <w:t xml:space="preserve">[1058]</w:t>
      </w:r>
      <w:bookmarkEnd w:id="4708"/>
      <w:r>
        <w:t xml:space="preserve"> Newberg AB, Wintering N, Yaden DB, et al. Effect of a one-week spiritual retreat on dopamine and serotonin transporter binding: a preliminary study.</w:t>
      </w:r>
      <w:r>
        <w:t xml:space="preserve"> </w:t>
      </w:r>
      <w:r>
        <w:rPr>
          <w:iCs/>
          <w:i/>
        </w:rPr>
        <w:t xml:space="preserve">Religion, Brain &amp; Behavior</w:t>
      </w:r>
      <w:r>
        <w:t xml:space="preserve">. 2018;8(3):265–278.</w:t>
      </w:r>
      <w:r>
        <w:t xml:space="preserve"> </w:t>
      </w:r>
      <w:hyperlink r:id="rId4709">
        <w:r>
          <w:rPr>
            <w:rStyle w:val="Hyperlink"/>
          </w:rPr>
          <w:t xml:space="preserve">https://doi.org/10.1080/2153599x.2016.1267035</w:t>
        </w:r>
      </w:hyperlink>
    </w:p>
    <w:p>
      <w:pPr>
        <w:pStyle w:val="ReferenceEntry"/>
      </w:pPr>
      <w:bookmarkStart w:id="4710" w:name="ref-1059"/>
      <w:r>
        <w:t xml:space="preserve">[1059]</w:t>
      </w:r>
      <w:bookmarkEnd w:id="4710"/>
      <w:r>
        <w:t xml:space="preserve"> Husain W, Ammar A, Wusqa UT, et al. The Neuroscience of Religious and Spiritual Practices: A Systematic Review of Neurotheological Evidence.</w:t>
      </w:r>
      <w:r>
        <w:t xml:space="preserve"> </w:t>
      </w:r>
      <w:r>
        <w:rPr>
          <w:iCs/>
          <w:i/>
        </w:rPr>
        <w:t xml:space="preserve">Brain and Behavior</w:t>
      </w:r>
      <w:r>
        <w:t xml:space="preserve">. 2026;16(9):e71733.</w:t>
      </w:r>
      <w:r>
        <w:t xml:space="preserve"> </w:t>
      </w:r>
      <w:hyperlink r:id="rId4711">
        <w:r>
          <w:rPr>
            <w:rStyle w:val="Hyperlink"/>
          </w:rPr>
          <w:t xml:space="preserve">https://doi.org/10.1002/brb3.71733</w:t>
        </w:r>
      </w:hyperlink>
    </w:p>
    <w:p>
      <w:pPr>
        <w:pStyle w:val="ReferenceEntry"/>
      </w:pPr>
      <w:bookmarkStart w:id="4712" w:name="ref-1060"/>
      <w:r>
        <w:t xml:space="preserve">[1060]</w:t>
      </w:r>
      <w:bookmarkEnd w:id="4712"/>
      <w:r>
        <w:t xml:space="preserve"> Breier A, Su TP, Saunders R, et al. Schizophrenia is associated with elevated amphetamine-induced synaptic dopamine concentrations: Evidence from a novel positron emission tomography method.</w:t>
      </w:r>
      <w:r>
        <w:t xml:space="preserve"> </w:t>
      </w:r>
      <w:r>
        <w:rPr>
          <w:iCs/>
          <w:i/>
        </w:rPr>
        <w:t xml:space="preserve">Proceedings of the National Academy of Sciences</w:t>
      </w:r>
      <w:r>
        <w:t xml:space="preserve">. 1997;94(6):2569–2574.</w:t>
      </w:r>
      <w:r>
        <w:t xml:space="preserve"> </w:t>
      </w:r>
      <w:hyperlink r:id="rId4713">
        <w:r>
          <w:rPr>
            <w:rStyle w:val="Hyperlink"/>
          </w:rPr>
          <w:t xml:space="preserve">https://doi.org/10.1073/pnas.94.6.2569</w:t>
        </w:r>
      </w:hyperlink>
    </w:p>
    <w:p>
      <w:pPr>
        <w:pStyle w:val="ReferenceEntry"/>
      </w:pPr>
      <w:bookmarkStart w:id="4714" w:name="ref-1061"/>
      <w:r>
        <w:t xml:space="preserve">[1061]</w:t>
      </w:r>
      <w:bookmarkEnd w:id="4714"/>
      <w:r>
        <w:t xml:space="preserve"> Sescousse G, Ligneul R, van Holst RJ, et al. Spontaneous eye blink rate and dopamine synthesis capacity: preliminary evidence for an absence of positive correlation.</w:t>
      </w:r>
      <w:r>
        <w:t xml:space="preserve"> </w:t>
      </w:r>
      <w:r>
        <w:rPr>
          <w:iCs/>
          <w:i/>
        </w:rPr>
        <w:t xml:space="preserve">European Journal of Neuroscience</w:t>
      </w:r>
      <w:r>
        <w:t xml:space="preserve">. 2018;47(9):1081–1086.</w:t>
      </w:r>
      <w:r>
        <w:t xml:space="preserve"> </w:t>
      </w:r>
      <w:hyperlink r:id="rId4715">
        <w:r>
          <w:rPr>
            <w:rStyle w:val="Hyperlink"/>
          </w:rPr>
          <w:t xml:space="preserve">https://doi.org/10.1111/ejn.13895</w:t>
        </w:r>
      </w:hyperlink>
    </w:p>
    <w:p>
      <w:pPr>
        <w:pStyle w:val="ReferenceEntry"/>
      </w:pPr>
      <w:bookmarkStart w:id="4716" w:name="ref-1062"/>
      <w:r>
        <w:t xml:space="preserve">[1062]</w:t>
      </w:r>
      <w:bookmarkEnd w:id="4716"/>
      <w:r>
        <w:t xml:space="preserve"> Kruis A, Slagter HA, Bachhuber DR, et al. Effects of meditation practice on spontaneous eyeblink rate.</w:t>
      </w:r>
      <w:r>
        <w:t xml:space="preserve"> </w:t>
      </w:r>
      <w:r>
        <w:rPr>
          <w:iCs/>
          <w:i/>
        </w:rPr>
        <w:t xml:space="preserve">Psychophysiology</w:t>
      </w:r>
      <w:r>
        <w:t xml:space="preserve">. 2016;53(5):749–758.</w:t>
      </w:r>
      <w:r>
        <w:t xml:space="preserve"> </w:t>
      </w:r>
      <w:hyperlink r:id="rId4717">
        <w:r>
          <w:rPr>
            <w:rStyle w:val="Hyperlink"/>
          </w:rPr>
          <w:t xml:space="preserve">https://doi.org/10.1111/psyp.12619</w:t>
        </w:r>
      </w:hyperlink>
    </w:p>
    <w:p>
      <w:pPr>
        <w:pStyle w:val="ReferenceEntry"/>
      </w:pPr>
      <w:bookmarkStart w:id="4718" w:name="ref-1063"/>
      <w:r>
        <w:t xml:space="preserve">[1063]</w:t>
      </w:r>
      <w:bookmarkEnd w:id="4718"/>
      <w:r>
        <w:t xml:space="preserve"> Solberg EE, Holen A, Ekeberg Ø, et al. The effects of long meditation on plasma melatonin and blood serotonin.</w:t>
      </w:r>
      <w:r>
        <w:t xml:space="preserve"> </w:t>
      </w:r>
      <w:r>
        <w:rPr>
          <w:iCs/>
          <w:i/>
        </w:rPr>
        <w:t xml:space="preserve">Medical Science Monitor</w:t>
      </w:r>
      <w:r>
        <w:t xml:space="preserve">. 2004;10(3):CR96–CR101.</w:t>
      </w:r>
      <w:r>
        <w:t xml:space="preserve"> </w:t>
      </w:r>
      <w:hyperlink r:id="rId4719">
        <w:r>
          <w:rPr>
            <w:rStyle w:val="Hyperlink"/>
          </w:rPr>
          <w:t xml:space="preserve">PMID: 14976457</w:t>
        </w:r>
      </w:hyperlink>
    </w:p>
    <w:p>
      <w:pPr>
        <w:pStyle w:val="ReferenceEntry"/>
      </w:pPr>
      <w:bookmarkStart w:id="4720" w:name="ref-1064"/>
      <w:r>
        <w:t xml:space="preserve">[1064]</w:t>
      </w:r>
      <w:bookmarkEnd w:id="4720"/>
      <w:r>
        <w:t xml:space="preserve"> Thambyrajah JC, Dilanthi HW, Handunnetti SM, et al. Serum melatonin and serotonin levels in long-term skilled meditators.</w:t>
      </w:r>
      <w:r>
        <w:t xml:space="preserve"> </w:t>
      </w:r>
      <w:r>
        <w:rPr>
          <w:iCs/>
          <w:i/>
        </w:rPr>
        <w:t xml:space="preserve">EXPLORE</w:t>
      </w:r>
      <w:r>
        <w:t xml:space="preserve">. 2023;19(5):695–701.</w:t>
      </w:r>
      <w:r>
        <w:t xml:space="preserve"> </w:t>
      </w:r>
      <w:hyperlink r:id="rId4721">
        <w:r>
          <w:rPr>
            <w:rStyle w:val="Hyperlink"/>
          </w:rPr>
          <w:t xml:space="preserve">https://doi.org/10.1016/j.explore.2023.03.006</w:t>
        </w:r>
      </w:hyperlink>
    </w:p>
    <w:p>
      <w:pPr>
        <w:pStyle w:val="ReferenceEntry"/>
      </w:pPr>
      <w:bookmarkStart w:id="4722" w:name="ref-1065"/>
      <w:r>
        <w:t xml:space="preserve">[1065]</w:t>
      </w:r>
      <w:bookmarkEnd w:id="4722"/>
      <w:r>
        <w:t xml:space="preserve"> Sun Y, Ju P, Xue T, et al. Alteration of faecal microbiota balance related to long‐term deep meditation.</w:t>
      </w:r>
      <w:r>
        <w:t xml:space="preserve"> </w:t>
      </w:r>
      <w:r>
        <w:rPr>
          <w:iCs/>
          <w:i/>
        </w:rPr>
        <w:t xml:space="preserve">General Psychiatry</w:t>
      </w:r>
      <w:r>
        <w:t xml:space="preserve">. 2023;36(1):e100893.</w:t>
      </w:r>
      <w:r>
        <w:t xml:space="preserve"> </w:t>
      </w:r>
      <w:hyperlink r:id="rId4723">
        <w:r>
          <w:rPr>
            <w:rStyle w:val="Hyperlink"/>
          </w:rPr>
          <w:t xml:space="preserve">https://doi.org/10.1136/gpsych-2022-100893</w:t>
        </w:r>
      </w:hyperlink>
    </w:p>
    <w:p>
      <w:pPr>
        <w:pStyle w:val="ReferenceEntry"/>
      </w:pPr>
      <w:bookmarkStart w:id="4724" w:name="ref-1066"/>
      <w:r>
        <w:t xml:space="preserve">[1066]</w:t>
      </w:r>
      <w:bookmarkEnd w:id="4724"/>
      <w:r>
        <w:t xml:space="preserve"> Wang Z, Liu S, Xu X, et al. Gut Microbiota Associated With Effectiveness And Responsiveness to Mindfulness-Based Cognitive Therapy in Improving Trait Anxiety.</w:t>
      </w:r>
      <w:r>
        <w:t xml:space="preserve"> </w:t>
      </w:r>
      <w:r>
        <w:rPr>
          <w:iCs/>
          <w:i/>
        </w:rPr>
        <w:t xml:space="preserve">Frontiers in Cellular and Infection Microbiology</w:t>
      </w:r>
      <w:r>
        <w:t xml:space="preserve">. 2022;12:719829.</w:t>
      </w:r>
      <w:r>
        <w:t xml:space="preserve"> </w:t>
      </w:r>
      <w:hyperlink r:id="rId4725">
        <w:r>
          <w:rPr>
            <w:rStyle w:val="Hyperlink"/>
          </w:rPr>
          <w:t xml:space="preserve">https://doi.org/10.3389/fcimb.2022.719829</w:t>
        </w:r>
      </w:hyperlink>
    </w:p>
    <w:p>
      <w:pPr>
        <w:pStyle w:val="ReferenceEntry"/>
      </w:pPr>
      <w:bookmarkStart w:id="4726" w:name="ref-1067"/>
      <w:r>
        <w:t xml:space="preserve">[1067]</w:t>
      </w:r>
      <w:bookmarkEnd w:id="4726"/>
      <w:r>
        <w:t xml:space="preserve"> Swarup S, Gupta A, Chung M, et al. Rapid shift of gut microbiome and enrichment of beneficial microbes during arhatic yoga meditation retreat in a single-arm pilot study.</w:t>
      </w:r>
      <w:r>
        <w:t xml:space="preserve"> </w:t>
      </w:r>
      <w:r>
        <w:rPr>
          <w:iCs/>
          <w:i/>
        </w:rPr>
        <w:t xml:space="preserve">BMC Complementary Medicine and Therapies</w:t>
      </w:r>
      <w:r>
        <w:t xml:space="preserve">. 2025;25(1):51.</w:t>
      </w:r>
      <w:r>
        <w:t xml:space="preserve"> </w:t>
      </w:r>
      <w:hyperlink r:id="rId4727">
        <w:r>
          <w:rPr>
            <w:rStyle w:val="Hyperlink"/>
          </w:rPr>
          <w:t xml:space="preserve">https://doi.org/10.1186/s12906-025-04783-4</w:t>
        </w:r>
      </w:hyperlink>
    </w:p>
    <w:p>
      <w:pPr>
        <w:pStyle w:val="ReferenceEntry"/>
      </w:pPr>
      <w:bookmarkStart w:id="4728" w:name="ref-1068"/>
      <w:r>
        <w:t xml:space="preserve">[1068]</w:t>
      </w:r>
      <w:bookmarkEnd w:id="4728"/>
      <w:r>
        <w:t xml:space="preserve"> Selma-Royo M, Crispi F, Castro-Barquero S, et al. Effects of Mediterranean diet or Mindfulness-Based Stress Reduction during pregnancy on maternal gut and vaginal microbiota: a subanalysis of the Improving Mothers for a better PrenAtal Care Trial BarCeloNa (IMPACT BCN) trial.</w:t>
      </w:r>
      <w:r>
        <w:t xml:space="preserve"> </w:t>
      </w:r>
      <w:r>
        <w:rPr>
          <w:iCs/>
          <w:i/>
        </w:rPr>
        <w:t xml:space="preserve">The American Journal of Clinical Nutrition</w:t>
      </w:r>
      <w:r>
        <w:t xml:space="preserve">. 2025;122(4):1121–1133（2026 年发表更正，见</w:t>
      </w:r>
      <w:r>
        <w:t xml:space="preserve"> </w:t>
      </w:r>
      <w:hyperlink r:id="rId4729">
        <w:r>
          <w:rPr>
            <w:rStyle w:val="Hyperlink"/>
          </w:rPr>
          <w:t xml:space="preserve">https://doi.org/10.1016/j.ajcnut.2026.101390</w:t>
        </w:r>
      </w:hyperlink>
      <w:r>
        <w:t xml:space="preserve">）.</w:t>
      </w:r>
      <w:r>
        <w:t xml:space="preserve"> </w:t>
      </w:r>
      <w:hyperlink r:id="rId4730">
        <w:r>
          <w:rPr>
            <w:rStyle w:val="Hyperlink"/>
          </w:rPr>
          <w:t xml:space="preserve">https://doi.org/10.1016/j.ajcnut.2025.07.030</w:t>
        </w:r>
      </w:hyperlink>
    </w:p>
    <w:p>
      <w:pPr>
        <w:pStyle w:val="ReferenceEntry"/>
      </w:pPr>
      <w:bookmarkStart w:id="4731" w:name="ref-1069"/>
      <w:r>
        <w:t xml:space="preserve">[1069]</w:t>
      </w:r>
      <w:bookmarkEnd w:id="4731"/>
      <w:r>
        <w:t xml:space="preserve"> Khatib L, Dean JG, Oliva V, et al. The role of endogenous opioids in mindfulness and sham mindfulness-meditation for the direct alleviation of evoked chronic low back pain: a randomized clinical trial.</w:t>
      </w:r>
      <w:r>
        <w:t xml:space="preserve"> </w:t>
      </w:r>
      <w:r>
        <w:rPr>
          <w:iCs/>
          <w:i/>
        </w:rPr>
        <w:t xml:space="preserve">Neuropsychopharmacology</w:t>
      </w:r>
      <w:r>
        <w:t xml:space="preserve">. 2024;49(7):1069–1077.</w:t>
      </w:r>
      <w:r>
        <w:t xml:space="preserve"> </w:t>
      </w:r>
      <w:hyperlink r:id="rId4732">
        <w:r>
          <w:rPr>
            <w:rStyle w:val="Hyperlink"/>
          </w:rPr>
          <w:t xml:space="preserve">https://doi.org/10.1038/s41386-023-01766-2</w:t>
        </w:r>
      </w:hyperlink>
    </w:p>
    <w:p>
      <w:pPr>
        <w:pStyle w:val="ReferenceEntry"/>
      </w:pPr>
      <w:bookmarkStart w:id="4733" w:name="ref-1070"/>
      <w:r>
        <w:t xml:space="preserve">[1070]</w:t>
      </w:r>
      <w:bookmarkEnd w:id="4733"/>
      <w:r>
        <w:t xml:space="preserve"> Sharon H, Maron-Katz A, Ben Simon E, et al. Mindfulness Meditation Modulates Pain Through Endogenous Opioids.</w:t>
      </w:r>
      <w:r>
        <w:t xml:space="preserve"> </w:t>
      </w:r>
      <w:r>
        <w:rPr>
          <w:iCs/>
          <w:i/>
        </w:rPr>
        <w:t xml:space="preserve">The American Journal of Medicine</w:t>
      </w:r>
      <w:r>
        <w:t xml:space="preserve">. 2016;129(7):755–758.</w:t>
      </w:r>
      <w:r>
        <w:t xml:space="preserve"> </w:t>
      </w:r>
      <w:hyperlink r:id="rId4734">
        <w:r>
          <w:rPr>
            <w:rStyle w:val="Hyperlink"/>
          </w:rPr>
          <w:t xml:space="preserve">https://doi.org/10.1016/j.amjmed.2016.03.002</w:t>
        </w:r>
      </w:hyperlink>
    </w:p>
    <w:p>
      <w:pPr>
        <w:pStyle w:val="ReferenceEntry"/>
      </w:pPr>
      <w:bookmarkStart w:id="4735" w:name="ref-1071"/>
      <w:r>
        <w:t xml:space="preserve">[1071]</w:t>
      </w:r>
      <w:bookmarkEnd w:id="4735"/>
      <w:r>
        <w:t xml:space="preserve"> Zeidan F. No, Mindfulness Meditation-Based Analgesia Is Not Mediated by Endogenous Opioids.</w:t>
      </w:r>
      <w:r>
        <w:t xml:space="preserve"> </w:t>
      </w:r>
      <w:r>
        <w:rPr>
          <w:iCs/>
          <w:i/>
        </w:rPr>
        <w:t xml:space="preserve">The American Journal of Medicine</w:t>
      </w:r>
      <w:r>
        <w:t xml:space="preserve">. 2016;129(11):e297.</w:t>
      </w:r>
      <w:r>
        <w:t xml:space="preserve"> </w:t>
      </w:r>
      <w:hyperlink r:id="rId4736">
        <w:r>
          <w:rPr>
            <w:rStyle w:val="Hyperlink"/>
          </w:rPr>
          <w:t xml:space="preserve">https://doi.org/10.1016/j.amjmed.2016.04.027</w:t>
        </w:r>
      </w:hyperlink>
    </w:p>
    <w:p>
      <w:pPr>
        <w:pStyle w:val="ReferenceEntry"/>
      </w:pPr>
      <w:bookmarkStart w:id="4737" w:name="ref-1072"/>
      <w:r>
        <w:t xml:space="preserve">[1072]</w:t>
      </w:r>
      <w:bookmarkEnd w:id="4737"/>
      <w:r>
        <w:t xml:space="preserve"> May LM, Kosek P, Zeidan F, et al. Enhancement of Meditation Analgesia by Opioid Antagonist in Experienced Meditators.</w:t>
      </w:r>
      <w:r>
        <w:t xml:space="preserve"> </w:t>
      </w:r>
      <w:r>
        <w:rPr>
          <w:iCs/>
          <w:i/>
        </w:rPr>
        <w:t xml:space="preserve">Psychosomatic Medicine</w:t>
      </w:r>
      <w:r>
        <w:t xml:space="preserve">. 2018;80(9):807–813.</w:t>
      </w:r>
      <w:r>
        <w:t xml:space="preserve"> </w:t>
      </w:r>
      <w:hyperlink r:id="rId4738">
        <w:r>
          <w:rPr>
            <w:rStyle w:val="Hyperlink"/>
          </w:rPr>
          <w:t xml:space="preserve">https://doi.org/10.1097/psy.0000000000000580</w:t>
        </w:r>
      </w:hyperlink>
    </w:p>
    <w:p>
      <w:pPr>
        <w:pStyle w:val="ReferenceEntry"/>
      </w:pPr>
      <w:bookmarkStart w:id="4739" w:name="ref-1073"/>
      <w:r>
        <w:t xml:space="preserve">[1073]</w:t>
      </w:r>
      <w:bookmarkEnd w:id="4739"/>
      <w:r>
        <w:t xml:space="preserve"> Dean JG, Reyes M, Oliva V, et al. Self-regulated analgesia in males but not females is mediated by endogenous opioids.</w:t>
      </w:r>
      <w:r>
        <w:t xml:space="preserve"> </w:t>
      </w:r>
      <w:r>
        <w:rPr>
          <w:iCs/>
          <w:i/>
        </w:rPr>
        <w:t xml:space="preserve">PNAS Nexus</w:t>
      </w:r>
      <w:r>
        <w:t xml:space="preserve">. 2024;3(10):pgae453.</w:t>
      </w:r>
      <w:r>
        <w:t xml:space="preserve"> </w:t>
      </w:r>
      <w:hyperlink r:id="rId4740">
        <w:r>
          <w:rPr>
            <w:rStyle w:val="Hyperlink"/>
          </w:rPr>
          <w:t xml:space="preserve">https://doi.org/10.1093/pnasnexus/pgae453</w:t>
        </w:r>
      </w:hyperlink>
    </w:p>
    <w:p>
      <w:pPr>
        <w:pStyle w:val="ReferenceEntry"/>
      </w:pPr>
      <w:bookmarkStart w:id="4741" w:name="ref-1074"/>
      <w:r>
        <w:t xml:space="preserve">[1074]</w:t>
      </w:r>
      <w:bookmarkEnd w:id="4741"/>
      <w:r>
        <w:t xml:space="preserve"> Hoehne K, Vrtička P, Engert V, et al. Plasma oxytocin is modulated by mental training, but does not mediate its stress-buffering effect.</w:t>
      </w:r>
      <w:r>
        <w:t xml:space="preserve"> </w:t>
      </w:r>
      <w:r>
        <w:rPr>
          <w:iCs/>
          <w:i/>
        </w:rPr>
        <w:t xml:space="preserve">Psychoneuroendocrinology</w:t>
      </w:r>
      <w:r>
        <w:t xml:space="preserve">. 2022;141:105734.</w:t>
      </w:r>
      <w:r>
        <w:t xml:space="preserve"> </w:t>
      </w:r>
      <w:hyperlink r:id="rId4742">
        <w:r>
          <w:rPr>
            <w:rStyle w:val="Hyperlink"/>
          </w:rPr>
          <w:t xml:space="preserve">https://doi.org/10.1016/j.psyneuen.2022.105734</w:t>
        </w:r>
      </w:hyperlink>
    </w:p>
    <w:p>
      <w:pPr>
        <w:pStyle w:val="ReferenceEntry"/>
      </w:pPr>
      <w:bookmarkStart w:id="4743" w:name="ref-1075"/>
      <w:r>
        <w:t xml:space="preserve">[1075]</w:t>
      </w:r>
      <w:bookmarkEnd w:id="4743"/>
      <w:r>
        <w:t xml:space="preserve"> Conklin QA, Zanesco AP, King BG, et al. Changes in peripheral oxytocin and vasopressin during a silent month-long Insight meditation retreat.</w:t>
      </w:r>
      <w:r>
        <w:t xml:space="preserve"> </w:t>
      </w:r>
      <w:r>
        <w:rPr>
          <w:iCs/>
          <w:i/>
        </w:rPr>
        <w:t xml:space="preserve">Frontiers in Endocrinology</w:t>
      </w:r>
      <w:r>
        <w:t xml:space="preserve">. 2024;15:1345527.</w:t>
      </w:r>
      <w:r>
        <w:t xml:space="preserve"> </w:t>
      </w:r>
      <w:hyperlink r:id="rId4744">
        <w:r>
          <w:rPr>
            <w:rStyle w:val="Hyperlink"/>
          </w:rPr>
          <w:t xml:space="preserve">https://doi.org/10.3389/fendo.2024.1345527</w:t>
        </w:r>
      </w:hyperlink>
    </w:p>
    <w:p>
      <w:pPr>
        <w:pStyle w:val="ReferenceEntry"/>
      </w:pPr>
      <w:bookmarkStart w:id="4745" w:name="ref-1076"/>
      <w:r>
        <w:t xml:space="preserve">[1076]</w:t>
      </w:r>
      <w:bookmarkEnd w:id="4745"/>
      <w:r>
        <w:t xml:space="preserve"> Koncz A, Demetrovics Z, Takacs ZK. Meditation interventions efficiently reduce cortisol levels of at-risk samples: a meta-analysis.</w:t>
      </w:r>
      <w:r>
        <w:t xml:space="preserve"> </w:t>
      </w:r>
      <w:r>
        <w:rPr>
          <w:iCs/>
          <w:i/>
        </w:rPr>
        <w:t xml:space="preserve">Health Psychology Review</w:t>
      </w:r>
      <w:r>
        <w:t xml:space="preserve">. 2021;15(1):56–84.</w:t>
      </w:r>
      <w:r>
        <w:t xml:space="preserve"> </w:t>
      </w:r>
      <w:hyperlink r:id="rId4746">
        <w:r>
          <w:rPr>
            <w:rStyle w:val="Hyperlink"/>
          </w:rPr>
          <w:t xml:space="preserve">https://doi.org/10.1080/17437199.2020.1760727</w:t>
        </w:r>
      </w:hyperlink>
    </w:p>
    <w:p>
      <w:pPr>
        <w:pStyle w:val="ReferenceEntry"/>
      </w:pPr>
      <w:bookmarkStart w:id="4747" w:name="ref-1077"/>
      <w:r>
        <w:t xml:space="preserve">[1077]</w:t>
      </w:r>
      <w:bookmarkEnd w:id="4747"/>
      <w:r>
        <w:t xml:space="preserve"> Johnson BT, Simon TJ, Li C, et al. Mindfulness-based stress reduction interventions and cortisol regulation: A systematic review and meta-analysis.</w:t>
      </w:r>
      <w:r>
        <w:t xml:space="preserve"> </w:t>
      </w:r>
      <w:r>
        <w:rPr>
          <w:iCs/>
          <w:i/>
        </w:rPr>
        <w:t xml:space="preserve">Health Psychology</w:t>
      </w:r>
      <w:r>
        <w:t xml:space="preserve">. 2026（在线发表）.</w:t>
      </w:r>
      <w:r>
        <w:t xml:space="preserve"> </w:t>
      </w:r>
      <w:hyperlink r:id="rId4748">
        <w:r>
          <w:rPr>
            <w:rStyle w:val="Hyperlink"/>
          </w:rPr>
          <w:t xml:space="preserve">https://doi.org/10.1037/hea0001636</w:t>
        </w:r>
      </w:hyperlink>
    </w:p>
    <w:p>
      <w:pPr>
        <w:pStyle w:val="ReferenceEntry"/>
      </w:pPr>
      <w:bookmarkStart w:id="4749" w:name="ref-1078"/>
      <w:r>
        <w:t xml:space="preserve">[1078]</w:t>
      </w:r>
      <w:bookmarkEnd w:id="4749"/>
      <w:r>
        <w:t xml:space="preserve"> Grasmann J, Almenräder F, Voracek M, et al. Only Small Effects of Mindfulness-Based Interventions on Biomarker Levels of Inflammation and Stress: A Preregistered Systematic Review and Two Three-Level Meta-Analyses.</w:t>
      </w:r>
      <w:r>
        <w:t xml:space="preserve"> </w:t>
      </w:r>
      <w:r>
        <w:rPr>
          <w:iCs/>
          <w:i/>
        </w:rPr>
        <w:t xml:space="preserve">International Journal of Molecular Sciences</w:t>
      </w:r>
      <w:r>
        <w:t xml:space="preserve">. 2023;24(5):4445.</w:t>
      </w:r>
      <w:r>
        <w:t xml:space="preserve"> </w:t>
      </w:r>
      <w:hyperlink r:id="rId4750">
        <w:r>
          <w:rPr>
            <w:rStyle w:val="Hyperlink"/>
          </w:rPr>
          <w:t xml:space="preserve">https://doi.org/10.3390/ijms24054445</w:t>
        </w:r>
      </w:hyperlink>
    </w:p>
    <w:p>
      <w:pPr>
        <w:pStyle w:val="ReferenceEntry"/>
      </w:pPr>
      <w:bookmarkStart w:id="4751" w:name="ref-1079"/>
      <w:r>
        <w:t xml:space="preserve">[1079]</w:t>
      </w:r>
      <w:bookmarkEnd w:id="4751"/>
      <w:r>
        <w:t xml:space="preserve"> Puhlmann LMC, Vrtička P, Linz R, et al. Contemplative Mental Training Reduces Hair Glucocorticoid Levels in a Randomized Clinical Trial.</w:t>
      </w:r>
      <w:r>
        <w:t xml:space="preserve"> </w:t>
      </w:r>
      <w:r>
        <w:rPr>
          <w:iCs/>
          <w:i/>
        </w:rPr>
        <w:t xml:space="preserve">Psychosomatic Medicine</w:t>
      </w:r>
      <w:r>
        <w:t xml:space="preserve">. 2021;83(8):894–905.</w:t>
      </w:r>
      <w:r>
        <w:t xml:space="preserve"> </w:t>
      </w:r>
      <w:hyperlink r:id="rId4752">
        <w:r>
          <w:rPr>
            <w:rStyle w:val="Hyperlink"/>
          </w:rPr>
          <w:t xml:space="preserve">https://doi.org/10.1097/psy.0000000000000970</w:t>
        </w:r>
      </w:hyperlink>
    </w:p>
    <w:p>
      <w:pPr>
        <w:pStyle w:val="ReferenceEntry"/>
      </w:pPr>
      <w:bookmarkStart w:id="4753" w:name="ref-1080"/>
      <w:r>
        <w:t xml:space="preserve">[1080]</w:t>
      </w:r>
      <w:bookmarkEnd w:id="4753"/>
      <w:r>
        <w:t xml:space="preserve"> Melnychuk MC, Dockree PM, O'Connell RG, et al. Coupling of respiration and attention via the locus coeruleus: Effects of meditation and pranayama.</w:t>
      </w:r>
      <w:r>
        <w:t xml:space="preserve"> </w:t>
      </w:r>
      <w:r>
        <w:rPr>
          <w:iCs/>
          <w:i/>
        </w:rPr>
        <w:t xml:space="preserve">Psychophysiology</w:t>
      </w:r>
      <w:r>
        <w:t xml:space="preserve">. 2018;55(9):e13091.</w:t>
      </w:r>
      <w:r>
        <w:t xml:space="preserve"> </w:t>
      </w:r>
      <w:hyperlink r:id="rId4754">
        <w:r>
          <w:rPr>
            <w:rStyle w:val="Hyperlink"/>
          </w:rPr>
          <w:t xml:space="preserve">https://doi.org/10.1111/psyp.13091</w:t>
        </w:r>
      </w:hyperlink>
    </w:p>
    <w:p>
      <w:pPr>
        <w:pStyle w:val="ReferenceEntry"/>
      </w:pPr>
      <w:bookmarkStart w:id="4755" w:name="ref-1081"/>
      <w:r>
        <w:t xml:space="preserve">[1081]</w:t>
      </w:r>
      <w:bookmarkEnd w:id="4755"/>
      <w:r>
        <w:t xml:space="preserve"> Streeter CC, Jensen JE, Perlmutter RM, et al. Yoga Asana Sessions Increase Brain GABA Levels: A Pilot Study.</w:t>
      </w:r>
      <w:r>
        <w:t xml:space="preserve"> </w:t>
      </w:r>
      <w:r>
        <w:rPr>
          <w:iCs/>
          <w:i/>
        </w:rPr>
        <w:t xml:space="preserve">The Journal of Alternative and Complementary Medicine</w:t>
      </w:r>
      <w:r>
        <w:t xml:space="preserve">. 2007;13(4):419–426.</w:t>
      </w:r>
      <w:r>
        <w:t xml:space="preserve"> </w:t>
      </w:r>
      <w:hyperlink r:id="rId4756">
        <w:r>
          <w:rPr>
            <w:rStyle w:val="Hyperlink"/>
          </w:rPr>
          <w:t xml:space="preserve">https://doi.org/10.1089/acm.2007.6338</w:t>
        </w:r>
      </w:hyperlink>
    </w:p>
    <w:p>
      <w:pPr>
        <w:pStyle w:val="ReferenceEntry"/>
      </w:pPr>
      <w:bookmarkStart w:id="4757" w:name="ref-1082"/>
      <w:r>
        <w:t xml:space="preserve">[1082]</w:t>
      </w:r>
      <w:bookmarkEnd w:id="4757"/>
      <w:r>
        <w:t xml:space="preserve"> Streeter CC, Whitfield TH, Owen L, et al. Effects of Yoga Versus Walking on Mood, Anxiety, and Brain GABA Levels: A Randomized Controlled MRS Study.</w:t>
      </w:r>
      <w:r>
        <w:t xml:space="preserve"> </w:t>
      </w:r>
      <w:r>
        <w:rPr>
          <w:iCs/>
          <w:i/>
        </w:rPr>
        <w:t xml:space="preserve">The Journal of Alternative and Complementary Medicine</w:t>
      </w:r>
      <w:r>
        <w:t xml:space="preserve">. 2010;16(11):1145–1152.</w:t>
      </w:r>
      <w:r>
        <w:t xml:space="preserve"> </w:t>
      </w:r>
      <w:hyperlink r:id="rId4758">
        <w:r>
          <w:rPr>
            <w:rStyle w:val="Hyperlink"/>
          </w:rPr>
          <w:t xml:space="preserve">https://doi.org/10.1089/acm.2010.0007</w:t>
        </w:r>
      </w:hyperlink>
    </w:p>
    <w:p>
      <w:pPr>
        <w:pStyle w:val="ReferenceEntry"/>
      </w:pPr>
      <w:bookmarkStart w:id="4759" w:name="ref-1083"/>
      <w:r>
        <w:t xml:space="preserve">[1083]</w:t>
      </w:r>
      <w:bookmarkEnd w:id="4759"/>
      <w:r>
        <w:t xml:space="preserve"> Streeter CC, Gerbarg PL, Brown RP, et al. Thalamic Gamma Aminobutyric Acid Level Changes in Major Depressive Disorder After a 12-Week Iyengar Yoga and Coherent Breathing Intervention.</w:t>
      </w:r>
      <w:r>
        <w:t xml:space="preserve"> </w:t>
      </w:r>
      <w:r>
        <w:rPr>
          <w:iCs/>
          <w:i/>
        </w:rPr>
        <w:t xml:space="preserve">The Journal of Alternative and Complementary Medicine</w:t>
      </w:r>
      <w:r>
        <w:t xml:space="preserve">. 2020;26(3):190–197.</w:t>
      </w:r>
      <w:r>
        <w:t xml:space="preserve"> </w:t>
      </w:r>
      <w:hyperlink r:id="rId4760">
        <w:r>
          <w:rPr>
            <w:rStyle w:val="Hyperlink"/>
          </w:rPr>
          <w:t xml:space="preserve">https://doi.org/10.1089/acm.2019.0234</w:t>
        </w:r>
      </w:hyperlink>
    </w:p>
    <w:p>
      <w:pPr>
        <w:pStyle w:val="ReferenceEntry"/>
      </w:pPr>
      <w:bookmarkStart w:id="4761" w:name="ref-1084"/>
      <w:r>
        <w:t xml:space="preserve">[1084]</w:t>
      </w:r>
      <w:bookmarkEnd w:id="4761"/>
      <w:r>
        <w:t xml:space="preserve"> Tooley GA, Armstrong SM, Norman TR, et al. Acute increases in night-time plasma melatonin levels following a period of meditation.</w:t>
      </w:r>
      <w:r>
        <w:t xml:space="preserve"> </w:t>
      </w:r>
      <w:r>
        <w:rPr>
          <w:iCs/>
          <w:i/>
        </w:rPr>
        <w:t xml:space="preserve">Biological Psychology</w:t>
      </w:r>
      <w:r>
        <w:t xml:space="preserve">. 2000;53(1):69–78.</w:t>
      </w:r>
      <w:r>
        <w:t xml:space="preserve"> </w:t>
      </w:r>
      <w:hyperlink r:id="rId4762">
        <w:r>
          <w:rPr>
            <w:rStyle w:val="Hyperlink"/>
          </w:rPr>
          <w:t xml:space="preserve">https://doi.org/10.1016/s0301-0511(00)00035-1</w:t>
        </w:r>
      </w:hyperlink>
    </w:p>
    <w:p>
      <w:pPr>
        <w:pStyle w:val="ReferenceEntry"/>
      </w:pPr>
      <w:bookmarkStart w:id="4763" w:name="ref-1085"/>
      <w:r>
        <w:t xml:space="preserve">[1085]</w:t>
      </w:r>
      <w:bookmarkEnd w:id="4763"/>
      <w:r>
        <w:t xml:space="preserve"> Govindasamy K, Vengadajalapathi S, Yusuff S, et al. Meta-analysis of the Effect of Yogic Techniques on Melatonin Levels: Implications for Sleep Health.</w:t>
      </w:r>
      <w:r>
        <w:t xml:space="preserve"> </w:t>
      </w:r>
      <w:r>
        <w:rPr>
          <w:iCs/>
          <w:i/>
        </w:rPr>
        <w:t xml:space="preserve">International Journal of Yoga</w:t>
      </w:r>
      <w:r>
        <w:t xml:space="preserve">. 2025;18(3):255–261.</w:t>
      </w:r>
      <w:r>
        <w:t xml:space="preserve"> </w:t>
      </w:r>
      <w:hyperlink r:id="rId4764">
        <w:r>
          <w:rPr>
            <w:rStyle w:val="Hyperlink"/>
          </w:rPr>
          <w:t xml:space="preserve">https://doi.org/10.4103/ijoy.ijoy_17_25</w:t>
        </w:r>
      </w:hyperlink>
    </w:p>
    <w:p>
      <w:pPr>
        <w:pStyle w:val="ReferenceEntry"/>
      </w:pPr>
      <w:bookmarkStart w:id="4765" w:name="ref-1086"/>
      <w:r>
        <w:t xml:space="preserve">[1086]</w:t>
      </w:r>
      <w:bookmarkEnd w:id="4765"/>
      <w:r>
        <w:t xml:space="preserve"> Cahn BR, Goodman MS, Peterson CT, et al. Yoga, Meditation and Mind-Body Health: Increased BDNF, Cortisol Awakening Response, and Altered Inflammatory Marker Expression after a 3-Month Yoga and Meditation Retreat.</w:t>
      </w:r>
      <w:r>
        <w:t xml:space="preserve"> </w:t>
      </w:r>
      <w:r>
        <w:rPr>
          <w:iCs/>
          <w:i/>
        </w:rPr>
        <w:t xml:space="preserve">Frontiers in Human Neuroscience</w:t>
      </w:r>
      <w:r>
        <w:t xml:space="preserve">. 2017;11:315.</w:t>
      </w:r>
      <w:r>
        <w:t xml:space="preserve"> </w:t>
      </w:r>
      <w:hyperlink r:id="rId4766">
        <w:r>
          <w:rPr>
            <w:rStyle w:val="Hyperlink"/>
          </w:rPr>
          <w:t xml:space="preserve">https://doi.org/10.3389/fnhum.2017.00315</w:t>
        </w:r>
      </w:hyperlink>
    </w:p>
    <w:p>
      <w:pPr>
        <w:pStyle w:val="ReferenceEntry"/>
      </w:pPr>
      <w:bookmarkStart w:id="4767" w:name="ref-1087"/>
      <w:r>
        <w:t xml:space="preserve">[1087]</w:t>
      </w:r>
      <w:bookmarkEnd w:id="4767"/>
      <w:r>
        <w:t xml:space="preserve"> Gomutbutra P, Yingchankul N, Chattipakorn N, et al. The Effect of Mindfulness-Based Intervention on Brain-Derived Neurotrophic Factor (BDNF): A Systematic Review and Meta-Analysis of Controlled Trials.</w:t>
      </w:r>
      <w:r>
        <w:t xml:space="preserve"> </w:t>
      </w:r>
      <w:r>
        <w:rPr>
          <w:iCs/>
          <w:i/>
        </w:rPr>
        <w:t xml:space="preserve">Frontiers in Psychology</w:t>
      </w:r>
      <w:r>
        <w:t xml:space="preserve">. 2020;11:2209.</w:t>
      </w:r>
      <w:r>
        <w:t xml:space="preserve"> </w:t>
      </w:r>
      <w:hyperlink r:id="rId4768">
        <w:r>
          <w:rPr>
            <w:rStyle w:val="Hyperlink"/>
          </w:rPr>
          <w:t xml:space="preserve">https://doi.org/10.3389/fpsyg.2020.02209</w:t>
        </w:r>
      </w:hyperlink>
    </w:p>
    <w:p>
      <w:pPr>
        <w:pStyle w:val="ReferenceEntry"/>
      </w:pPr>
      <w:bookmarkStart w:id="4769" w:name="ref-1088"/>
      <w:r>
        <w:t xml:space="preserve">[1088]</w:t>
      </w:r>
      <w:bookmarkEnd w:id="4769"/>
      <w:r>
        <w:t xml:space="preserve"> Pereira AC, Huddleston DE, Brickman AM, et al. An</w:t>
      </w:r>
      <w:r>
        <w:t xml:space="preserve"> </w:t>
      </w:r>
      <w:r>
        <w:rPr>
          <w:iCs/>
          <w:i/>
        </w:rPr>
        <w:t xml:space="preserve">in vivo</w:t>
      </w:r>
      <w:r>
        <w:t xml:space="preserve"> </w:t>
      </w:r>
      <w:r>
        <w:t xml:space="preserve">correlate of exercise-induced neurogenesis in the adult dentate gyrus.</w:t>
      </w:r>
      <w:r>
        <w:t xml:space="preserve"> </w:t>
      </w:r>
      <w:r>
        <w:rPr>
          <w:iCs/>
          <w:i/>
        </w:rPr>
        <w:t xml:space="preserve">Proceedings of the National Academy of Sciences</w:t>
      </w:r>
      <w:r>
        <w:t xml:space="preserve">. 2007;104(13):5638–5643.</w:t>
      </w:r>
      <w:r>
        <w:t xml:space="preserve"> </w:t>
      </w:r>
      <w:hyperlink r:id="rId4770">
        <w:r>
          <w:rPr>
            <w:rStyle w:val="Hyperlink"/>
          </w:rPr>
          <w:t xml:space="preserve">https://doi.org/10.1073/pnas.0611721104</w:t>
        </w:r>
      </w:hyperlink>
    </w:p>
    <w:p>
      <w:pPr>
        <w:pStyle w:val="ReferenceEntry"/>
      </w:pPr>
      <w:bookmarkStart w:id="4771" w:name="ref-1089"/>
      <w:r>
        <w:t xml:space="preserve">[1089]</w:t>
      </w:r>
      <w:bookmarkEnd w:id="4771"/>
      <w:r>
        <w:t xml:space="preserve"> Jacobs TL, Epel ES, Lin J, et al. Intensive meditation training, immune cell telomerase activity, and psychological mediators.</w:t>
      </w:r>
      <w:r>
        <w:t xml:space="preserve"> </w:t>
      </w:r>
      <w:r>
        <w:rPr>
          <w:iCs/>
          <w:i/>
        </w:rPr>
        <w:t xml:space="preserve">Psychoneuroendocrinology</w:t>
      </w:r>
      <w:r>
        <w:t xml:space="preserve">. 2011;36(5):664–681.</w:t>
      </w:r>
      <w:r>
        <w:t xml:space="preserve"> </w:t>
      </w:r>
      <w:hyperlink r:id="rId4772">
        <w:r>
          <w:rPr>
            <w:rStyle w:val="Hyperlink"/>
          </w:rPr>
          <w:t xml:space="preserve">https://doi.org/10.1016/j.psyneuen.2010.09.010</w:t>
        </w:r>
      </w:hyperlink>
    </w:p>
    <w:p>
      <w:pPr>
        <w:pStyle w:val="ReferenceEntry"/>
      </w:pPr>
      <w:bookmarkStart w:id="4773" w:name="ref-1090"/>
      <w:r>
        <w:t xml:space="preserve">[1090]</w:t>
      </w:r>
      <w:bookmarkEnd w:id="4773"/>
      <w:r>
        <w:t xml:space="preserve"> Schutte NS, Malouff JM. A meta-analytic review of the effects of mindfulness meditation on telomerase activity.</w:t>
      </w:r>
      <w:r>
        <w:t xml:space="preserve"> </w:t>
      </w:r>
      <w:r>
        <w:rPr>
          <w:iCs/>
          <w:i/>
        </w:rPr>
        <w:t xml:space="preserve">Psychoneuroendocrinology</w:t>
      </w:r>
      <w:r>
        <w:t xml:space="preserve">. 2014;42:45–48.</w:t>
      </w:r>
      <w:r>
        <w:t xml:space="preserve"> </w:t>
      </w:r>
      <w:hyperlink r:id="rId4774">
        <w:r>
          <w:rPr>
            <w:rStyle w:val="Hyperlink"/>
          </w:rPr>
          <w:t xml:space="preserve">https://doi.org/10.1016/j.psyneuen.2013.12.017</w:t>
        </w:r>
      </w:hyperlink>
    </w:p>
    <w:p>
      <w:pPr>
        <w:pStyle w:val="ReferenceEntry"/>
      </w:pPr>
      <w:bookmarkStart w:id="4775" w:name="ref-1091"/>
      <w:r>
        <w:t xml:space="preserve">[1091]</w:t>
      </w:r>
      <w:bookmarkEnd w:id="4775"/>
      <w:r>
        <w:t xml:space="preserve"> Schutte NS, Malouff JM, Keng SL. Meditation and telomere length: a meta-analysis.</w:t>
      </w:r>
      <w:r>
        <w:t xml:space="preserve"> </w:t>
      </w:r>
      <w:r>
        <w:rPr>
          <w:iCs/>
          <w:i/>
        </w:rPr>
        <w:t xml:space="preserve">Psychology &amp; Health</w:t>
      </w:r>
      <w:r>
        <w:t xml:space="preserve">. 2020;35(8):901–915.</w:t>
      </w:r>
      <w:r>
        <w:t xml:space="preserve"> </w:t>
      </w:r>
      <w:hyperlink r:id="rId4776">
        <w:r>
          <w:rPr>
            <w:rStyle w:val="Hyperlink"/>
          </w:rPr>
          <w:t xml:space="preserve">https://doi.org/10.1080/08870446.2019.1707827</w:t>
        </w:r>
      </w:hyperlink>
    </w:p>
    <w:p>
      <w:pPr>
        <w:pStyle w:val="ReferenceEntry"/>
      </w:pPr>
      <w:bookmarkStart w:id="4777" w:name="ref-1092"/>
      <w:r>
        <w:t xml:space="preserve">[1092]</w:t>
      </w:r>
      <w:bookmarkEnd w:id="4777"/>
      <w:r>
        <w:t xml:space="preserve"> Le Nguyen KD, Lin J, Algoe SB, et al. Loving-kindness meditation slows biological aging in novices: Evidence from a 12-week randomized controlled trial.</w:t>
      </w:r>
      <w:r>
        <w:t xml:space="preserve"> </w:t>
      </w:r>
      <w:r>
        <w:rPr>
          <w:iCs/>
          <w:i/>
        </w:rPr>
        <w:t xml:space="preserve">Psychoneuroendocrinology</w:t>
      </w:r>
      <w:r>
        <w:t xml:space="preserve">. 2019;108:20–27（2019 年发表更正，见</w:t>
      </w:r>
      <w:r>
        <w:t xml:space="preserve"> </w:t>
      </w:r>
      <w:hyperlink r:id="rId4778">
        <w:r>
          <w:rPr>
            <w:rStyle w:val="Hyperlink"/>
          </w:rPr>
          <w:t xml:space="preserve">https://doi.org/10.1016/j.psyneuen.2019.104440</w:t>
        </w:r>
      </w:hyperlink>
      <w:r>
        <w:t xml:space="preserve">）.</w:t>
      </w:r>
      <w:r>
        <w:t xml:space="preserve"> </w:t>
      </w:r>
      <w:hyperlink r:id="rId4779">
        <w:r>
          <w:rPr>
            <w:rStyle w:val="Hyperlink"/>
          </w:rPr>
          <w:t xml:space="preserve">https://doi.org/10.1016/j.psyneuen.2019.05.020</w:t>
        </w:r>
      </w:hyperlink>
    </w:p>
    <w:p>
      <w:pPr>
        <w:pStyle w:val="ReferenceEntry"/>
      </w:pPr>
      <w:bookmarkStart w:id="4780" w:name="ref-1093"/>
      <w:r>
        <w:t xml:space="preserve">[1093]</w:t>
      </w:r>
      <w:bookmarkEnd w:id="4780"/>
      <w:r>
        <w:t xml:space="preserve"> Friedman HL, MacDonald DA, Brown NJL, et al. Extraordinary claims require compelling evidence: Concerns about “loving-kindness meditation slows biological aging in novices”.</w:t>
      </w:r>
      <w:r>
        <w:t xml:space="preserve"> </w:t>
      </w:r>
      <w:r>
        <w:rPr>
          <w:iCs/>
          <w:i/>
        </w:rPr>
        <w:t xml:space="preserve">Psychoneuroendocrinology</w:t>
      </w:r>
      <w:r>
        <w:t xml:space="preserve">. 2020;111:104410.</w:t>
      </w:r>
      <w:r>
        <w:t xml:space="preserve"> </w:t>
      </w:r>
      <w:hyperlink r:id="rId4781">
        <w:r>
          <w:rPr>
            <w:rStyle w:val="Hyperlink"/>
          </w:rPr>
          <w:t xml:space="preserve">https://doi.org/10.1016/j.psyneuen.2019.104410</w:t>
        </w:r>
      </w:hyperlink>
    </w:p>
    <w:p>
      <w:pPr>
        <w:pStyle w:val="ReferenceEntry"/>
      </w:pPr>
      <w:bookmarkStart w:id="4782" w:name="ref-1094"/>
      <w:r>
        <w:t xml:space="preserve">[1094]</w:t>
      </w:r>
      <w:bookmarkEnd w:id="4782"/>
      <w:r>
        <w:t xml:space="preserve"> Kaliman P, Álvarez-López MJ, Lehodey A, et al. Effect of an 18-Month Meditation Training on Telomeres in Older Adults: A Secondary Analysis of the Age-Well Randomized Controlled Trial.</w:t>
      </w:r>
      <w:r>
        <w:t xml:space="preserve"> </w:t>
      </w:r>
      <w:r>
        <w:rPr>
          <w:iCs/>
          <w:i/>
        </w:rPr>
        <w:t xml:space="preserve">Biological Psychiatry Global Open Science</w:t>
      </w:r>
      <w:r>
        <w:t xml:space="preserve">. 2025;5(1):100398.</w:t>
      </w:r>
      <w:r>
        <w:t xml:space="preserve"> </w:t>
      </w:r>
      <w:hyperlink r:id="rId4783">
        <w:r>
          <w:rPr>
            <w:rStyle w:val="Hyperlink"/>
          </w:rPr>
          <w:t xml:space="preserve">https://doi.org/10.1016/j.bpsgos.2024.100398</w:t>
        </w:r>
      </w:hyperlink>
    </w:p>
    <w:p>
      <w:pPr>
        <w:pStyle w:val="ReferenceEntry"/>
      </w:pPr>
      <w:bookmarkStart w:id="4784" w:name="ref-1095"/>
      <w:r>
        <w:t xml:space="preserve">[1095]</w:t>
      </w:r>
      <w:bookmarkEnd w:id="4784"/>
      <w:r>
        <w:t xml:space="preserve"> Kim NW, Piatyszek MA, Prowse KR, et al. Specific Association of Human Telomerase Activity with Immortal Cells and Cancer.</w:t>
      </w:r>
      <w:r>
        <w:t xml:space="preserve"> </w:t>
      </w:r>
      <w:r>
        <w:rPr>
          <w:iCs/>
          <w:i/>
        </w:rPr>
        <w:t xml:space="preserve">Science</w:t>
      </w:r>
      <w:r>
        <w:t xml:space="preserve">. 1994;266(5193):2011–2015.</w:t>
      </w:r>
      <w:r>
        <w:t xml:space="preserve"> </w:t>
      </w:r>
      <w:hyperlink r:id="rId4785">
        <w:r>
          <w:rPr>
            <w:rStyle w:val="Hyperlink"/>
          </w:rPr>
          <w:t xml:space="preserve">https://doi.org/10.1126/science.7605428</w:t>
        </w:r>
      </w:hyperlink>
    </w:p>
    <w:p>
      <w:pPr>
        <w:pStyle w:val="ReferenceEntry"/>
      </w:pPr>
      <w:bookmarkStart w:id="4786" w:name="ref-1096"/>
      <w:r>
        <w:t xml:space="preserve">[1096]</w:t>
      </w:r>
      <w:bookmarkEnd w:id="4786"/>
      <w:r>
        <w:t xml:space="preserve"> Black DS, Slavich GM. Mindfulness meditation and the immune system: a systematic review of randomized controlled trials.</w:t>
      </w:r>
      <w:r>
        <w:t xml:space="preserve"> </w:t>
      </w:r>
      <w:r>
        <w:rPr>
          <w:iCs/>
          <w:i/>
        </w:rPr>
        <w:t xml:space="preserve">Annals of the New York Academy of Sciences</w:t>
      </w:r>
      <w:r>
        <w:t xml:space="preserve">. 2016;1373(1):13–24.</w:t>
      </w:r>
      <w:r>
        <w:t xml:space="preserve"> </w:t>
      </w:r>
      <w:hyperlink r:id="rId4787">
        <w:r>
          <w:rPr>
            <w:rStyle w:val="Hyperlink"/>
          </w:rPr>
          <w:t xml:space="preserve">https://doi.org/10.1111/nyas.12998</w:t>
        </w:r>
      </w:hyperlink>
    </w:p>
    <w:p>
      <w:pPr>
        <w:pStyle w:val="ReferenceEntry"/>
      </w:pPr>
      <w:bookmarkStart w:id="4788" w:name="ref-1097"/>
      <w:r>
        <w:t xml:space="preserve">[1097]</w:t>
      </w:r>
      <w:bookmarkEnd w:id="4788"/>
      <w:r>
        <w:t xml:space="preserve"> Villalba DK, Lindsay EK, Marsland AL, et al. Mindfulness training and systemic low-grade inflammation in stressed community adults: Evidence from two randomized controlled trials.</w:t>
      </w:r>
      <w:r>
        <w:t xml:space="preserve"> </w:t>
      </w:r>
      <w:r>
        <w:rPr>
          <w:iCs/>
          <w:i/>
        </w:rPr>
        <w:t xml:space="preserve">PLOS ONE</w:t>
      </w:r>
      <w:r>
        <w:t xml:space="preserve">. 2019;14(7):e0219120.</w:t>
      </w:r>
      <w:r>
        <w:t xml:space="preserve"> </w:t>
      </w:r>
      <w:hyperlink r:id="rId4789">
        <w:r>
          <w:rPr>
            <w:rStyle w:val="Hyperlink"/>
          </w:rPr>
          <w:t xml:space="preserve">https://doi.org/10.1371/journal.pone.0219120</w:t>
        </w:r>
      </w:hyperlink>
    </w:p>
    <w:p>
      <w:pPr>
        <w:pStyle w:val="ReferenceEntry"/>
      </w:pPr>
      <w:bookmarkStart w:id="4790" w:name="ref-1098"/>
      <w:r>
        <w:t xml:space="preserve">[1098]</w:t>
      </w:r>
      <w:bookmarkEnd w:id="4790"/>
      <w:r>
        <w:t xml:space="preserve"> Denninger JW, Joss D, Romero PM, et al. Psychological assessments, allostatic load and gene expression analyses in a randomized controlled trial comparing meditation, yoga, and stress education.</w:t>
      </w:r>
      <w:r>
        <w:t xml:space="preserve"> </w:t>
      </w:r>
      <w:r>
        <w:rPr>
          <w:iCs/>
          <w:i/>
        </w:rPr>
        <w:t xml:space="preserve">Frontiers in Psychology</w:t>
      </w:r>
      <w:r>
        <w:t xml:space="preserve">. 2025;16:1653242.</w:t>
      </w:r>
      <w:r>
        <w:t xml:space="preserve"> </w:t>
      </w:r>
      <w:hyperlink r:id="rId4791">
        <w:r>
          <w:rPr>
            <w:rStyle w:val="Hyperlink"/>
          </w:rPr>
          <w:t xml:space="preserve">https://doi.org/10.3389/fpsyg.2025.1653242</w:t>
        </w:r>
      </w:hyperlink>
    </w:p>
    <w:p>
      <w:pPr>
        <w:pStyle w:val="ReferenceEntry"/>
      </w:pPr>
      <w:bookmarkStart w:id="4792" w:name="ref-1099"/>
      <w:r>
        <w:t xml:space="preserve">[1099]</w:t>
      </w:r>
      <w:bookmarkEnd w:id="4792"/>
      <w:r>
        <w:t xml:space="preserve"> Shields GS, Spahr CM, Slavich GM. Psychosocial Interventions and Immune System Function: A Systematic Review and Meta-analysis of Randomized Clinical Trials.</w:t>
      </w:r>
      <w:r>
        <w:t xml:space="preserve"> </w:t>
      </w:r>
      <w:r>
        <w:rPr>
          <w:iCs/>
          <w:i/>
        </w:rPr>
        <w:t xml:space="preserve">JAMA Psychiatry</w:t>
      </w:r>
      <w:r>
        <w:t xml:space="preserve">. 2020;77(10):1031–1043.</w:t>
      </w:r>
      <w:r>
        <w:t xml:space="preserve"> </w:t>
      </w:r>
      <w:hyperlink r:id="rId4793">
        <w:r>
          <w:rPr>
            <w:rStyle w:val="Hyperlink"/>
          </w:rPr>
          <w:t xml:space="preserve">https://doi.org/10.1001/jamapsychiatry.2020.0431</w:t>
        </w:r>
      </w:hyperlink>
    </w:p>
    <w:p>
      <w:pPr>
        <w:pStyle w:val="ReferenceEntry"/>
      </w:pPr>
      <w:bookmarkStart w:id="4794" w:name="ref-1100"/>
      <w:r>
        <w:t xml:space="preserve">[1100]</w:t>
      </w:r>
      <w:bookmarkEnd w:id="4794"/>
      <w:r>
        <w:t xml:space="preserve"> Kaliman P, Alvarez-López MJ, Cosín-Tomás M, et al. Rapid changes in histone deacetylases and inflammatory gene expression in expert meditators.</w:t>
      </w:r>
      <w:r>
        <w:t xml:space="preserve"> </w:t>
      </w:r>
      <w:r>
        <w:rPr>
          <w:iCs/>
          <w:i/>
        </w:rPr>
        <w:t xml:space="preserve">Psychoneuroendocrinology</w:t>
      </w:r>
      <w:r>
        <w:t xml:space="preserve">. 2014;40:96–107.</w:t>
      </w:r>
      <w:r>
        <w:t xml:space="preserve"> </w:t>
      </w:r>
      <w:hyperlink r:id="rId4795">
        <w:r>
          <w:rPr>
            <w:rStyle w:val="Hyperlink"/>
          </w:rPr>
          <w:t xml:space="preserve">https://doi.org/10.1016/j.psyneuen.2013.11.004</w:t>
        </w:r>
      </w:hyperlink>
    </w:p>
    <w:p>
      <w:pPr>
        <w:pStyle w:val="ReferenceEntry"/>
      </w:pPr>
      <w:bookmarkStart w:id="4796" w:name="ref-1101"/>
      <w:r>
        <w:t xml:space="preserve">[1101]</w:t>
      </w:r>
      <w:bookmarkEnd w:id="4796"/>
      <w:r>
        <w:t xml:space="preserve"> Buric I, Farias M, Jong J, et al. What Is the Molecular Signature of Mind–Body Interventions? A Systematic Review of Gene Expression Changes Induced by Meditation and Related Practices.</w:t>
      </w:r>
      <w:r>
        <w:t xml:space="preserve"> </w:t>
      </w:r>
      <w:r>
        <w:rPr>
          <w:iCs/>
          <w:i/>
        </w:rPr>
        <w:t xml:space="preserve">Frontiers in Immunology</w:t>
      </w:r>
      <w:r>
        <w:t xml:space="preserve">. 2017;8:670.</w:t>
      </w:r>
      <w:r>
        <w:t xml:space="preserve"> </w:t>
      </w:r>
      <w:hyperlink r:id="rId4797">
        <w:r>
          <w:rPr>
            <w:rStyle w:val="Hyperlink"/>
          </w:rPr>
          <w:t xml:space="preserve">https://doi.org/10.3389/fimmu.2017.00670</w:t>
        </w:r>
      </w:hyperlink>
    </w:p>
    <w:p>
      <w:pPr>
        <w:pStyle w:val="ReferenceEntry"/>
      </w:pPr>
      <w:bookmarkStart w:id="4798" w:name="ref-1102"/>
      <w:r>
        <w:t xml:space="preserve">[1102]</w:t>
      </w:r>
      <w:bookmarkEnd w:id="4798"/>
      <w:r>
        <w:t xml:space="preserve"> Epel ES, Puterman E, Lin J, et al. Meditation and vacation effects have an impact on disease-associated molecular phenotypes.</w:t>
      </w:r>
      <w:r>
        <w:t xml:space="preserve"> </w:t>
      </w:r>
      <w:r>
        <w:rPr>
          <w:iCs/>
          <w:i/>
        </w:rPr>
        <w:t xml:space="preserve">Translational Psychiatry</w:t>
      </w:r>
      <w:r>
        <w:t xml:space="preserve">. 2016;6(8):e880.</w:t>
      </w:r>
      <w:r>
        <w:t xml:space="preserve"> </w:t>
      </w:r>
      <w:hyperlink r:id="rId4799">
        <w:r>
          <w:rPr>
            <w:rStyle w:val="Hyperlink"/>
          </w:rPr>
          <w:t xml:space="preserve">https://doi.org/10.1038/tp.2016.164</w:t>
        </w:r>
      </w:hyperlink>
    </w:p>
    <w:p>
      <w:pPr>
        <w:pStyle w:val="ReferenceEntry"/>
      </w:pPr>
      <w:bookmarkStart w:id="4800" w:name="ref-1103"/>
      <w:r>
        <w:t xml:space="preserve">[1103]</w:t>
      </w:r>
      <w:bookmarkEnd w:id="4800"/>
      <w:r>
        <w:t xml:space="preserve"> West TN, Zhou J, Brantley MM, et al. Effect of Mindfulness Versus Loving-kindness Training on Leukocyte Gene Expression in Midlife Adults Raised in Low-Socioeconomic Status Households.</w:t>
      </w:r>
      <w:r>
        <w:t xml:space="preserve"> </w:t>
      </w:r>
      <w:r>
        <w:rPr>
          <w:iCs/>
          <w:i/>
        </w:rPr>
        <w:t xml:space="preserve">Mindfulness</w:t>
      </w:r>
      <w:r>
        <w:t xml:space="preserve">. 2022;13(5):1185–1196.</w:t>
      </w:r>
      <w:r>
        <w:t xml:space="preserve"> </w:t>
      </w:r>
      <w:hyperlink r:id="rId4801">
        <w:r>
          <w:rPr>
            <w:rStyle w:val="Hyperlink"/>
          </w:rPr>
          <w:t xml:space="preserve">https://doi.org/10.1007/s12671-022-01857-z</w:t>
        </w:r>
      </w:hyperlink>
    </w:p>
    <w:p>
      <w:pPr>
        <w:pStyle w:val="ReferenceEntry"/>
      </w:pPr>
      <w:bookmarkStart w:id="4802" w:name="ref-1104"/>
      <w:r>
        <w:t xml:space="preserve">[1104]</w:t>
      </w:r>
      <w:bookmarkEnd w:id="4802"/>
      <w:r>
        <w:t xml:space="preserve"> Amihai I, Kozhevnikov M. Arousal vs. Relaxation: A Comparison of the Neurophysiological and Cognitive Correlates of Vajrayana and Theravada Meditative Practices.</w:t>
      </w:r>
      <w:r>
        <w:t xml:space="preserve"> </w:t>
      </w:r>
      <w:r>
        <w:rPr>
          <w:iCs/>
          <w:i/>
        </w:rPr>
        <w:t xml:space="preserve">PLOS ONE</w:t>
      </w:r>
      <w:r>
        <w:t xml:space="preserve">. 2014;9(7):e102990.</w:t>
      </w:r>
      <w:r>
        <w:t xml:space="preserve"> </w:t>
      </w:r>
      <w:hyperlink r:id="rId4803">
        <w:r>
          <w:rPr>
            <w:rStyle w:val="Hyperlink"/>
          </w:rPr>
          <w:t xml:space="preserve">https://doi.org/10.1371/journal.pone.0102990</w:t>
        </w:r>
      </w:hyperlink>
    </w:p>
    <w:p>
      <w:pPr>
        <w:pStyle w:val="ReferenceEntry"/>
      </w:pPr>
      <w:bookmarkStart w:id="4804" w:name="ref-1105"/>
      <w:r>
        <w:t xml:space="preserve">[1105]</w:t>
      </w:r>
      <w:bookmarkEnd w:id="4804"/>
      <w:r>
        <w:t xml:space="preserve"> Kozhevnikov M, Elliott J, Shephard J, et al. Neurocognitive and Somatic Components of Temperature Increases during g-Tummo Meditation: Legend and Reality.</w:t>
      </w:r>
      <w:r>
        <w:t xml:space="preserve"> </w:t>
      </w:r>
      <w:r>
        <w:rPr>
          <w:iCs/>
          <w:i/>
        </w:rPr>
        <w:t xml:space="preserve">PLOS ONE</w:t>
      </w:r>
      <w:r>
        <w:t xml:space="preserve">. 2013;8(3):e58244.</w:t>
      </w:r>
      <w:r>
        <w:t xml:space="preserve"> </w:t>
      </w:r>
      <w:hyperlink r:id="rId4805">
        <w:r>
          <w:rPr>
            <w:rStyle w:val="Hyperlink"/>
          </w:rPr>
          <w:t xml:space="preserve">https://doi.org/10.1371/journal.pone.0058244</w:t>
        </w:r>
      </w:hyperlink>
    </w:p>
    <w:p>
      <w:pPr>
        <w:pStyle w:val="ReferenceEntry"/>
      </w:pPr>
      <w:bookmarkStart w:id="4806" w:name="ref-1106"/>
      <w:r>
        <w:t xml:space="preserve">[1106]</w:t>
      </w:r>
      <w:bookmarkEnd w:id="4806"/>
      <w:r>
        <w:t xml:space="preserve"> Sezer I, Sacchet MD. Advanced and long-term meditation and the autonomic nervous system: A review and synthesis.</w:t>
      </w:r>
      <w:r>
        <w:t xml:space="preserve"> </w:t>
      </w:r>
      <w:r>
        <w:rPr>
          <w:iCs/>
          <w:i/>
        </w:rPr>
        <w:t xml:space="preserve">Neuroscience &amp; Biobehavioral Reviews</w:t>
      </w:r>
      <w:r>
        <w:t xml:space="preserve">. 2025;173:106141.</w:t>
      </w:r>
      <w:r>
        <w:t xml:space="preserve"> </w:t>
      </w:r>
      <w:hyperlink r:id="rId4807">
        <w:r>
          <w:rPr>
            <w:rStyle w:val="Hyperlink"/>
          </w:rPr>
          <w:t xml:space="preserve">https://doi.org/10.1016/j.neubiorev.2025.106141</w:t>
        </w:r>
      </w:hyperlink>
    </w:p>
    <w:p>
      <w:pPr>
        <w:pStyle w:val="ReferenceEntry"/>
      </w:pPr>
      <w:bookmarkStart w:id="4808" w:name="ref-1107"/>
      <w:r>
        <w:t xml:space="preserve">[1107]</w:t>
      </w:r>
      <w:bookmarkEnd w:id="4808"/>
      <w:r>
        <w:t xml:space="preserve"> Brown L, Rando AA, Eichel K, et al. The Effects of Mindfulness and Meditation on Vagally Mediated Heart Rate Variability: A Meta-Analysis.</w:t>
      </w:r>
      <w:r>
        <w:t xml:space="preserve"> </w:t>
      </w:r>
      <w:r>
        <w:rPr>
          <w:iCs/>
          <w:i/>
        </w:rPr>
        <w:t xml:space="preserve">Psychosomatic Medicine</w:t>
      </w:r>
      <w:r>
        <w:t xml:space="preserve">. 2021;83(6):631–640.</w:t>
      </w:r>
      <w:r>
        <w:t xml:space="preserve"> </w:t>
      </w:r>
      <w:hyperlink r:id="rId4809">
        <w:r>
          <w:rPr>
            <w:rStyle w:val="Hyperlink"/>
          </w:rPr>
          <w:t xml:space="preserve">https://doi.org/10.1097/psy.0000000000000900</w:t>
        </w:r>
      </w:hyperlink>
    </w:p>
    <w:p>
      <w:pPr>
        <w:pStyle w:val="ReferenceEntry"/>
      </w:pPr>
      <w:bookmarkStart w:id="4810" w:name="ref-1108"/>
      <w:r>
        <w:t xml:space="preserve">[1108]</w:t>
      </w:r>
      <w:bookmarkEnd w:id="4810"/>
      <w:r>
        <w:t xml:space="preserve"> Khalsa SS, Rudrauf D, Damasio AR, et al. Interoceptive awareness in experienced meditators.</w:t>
      </w:r>
      <w:r>
        <w:t xml:space="preserve"> </w:t>
      </w:r>
      <w:r>
        <w:rPr>
          <w:iCs/>
          <w:i/>
        </w:rPr>
        <w:t xml:space="preserve">Psychophysiology</w:t>
      </w:r>
      <w:r>
        <w:t xml:space="preserve">. 2008;45(4):671–677.</w:t>
      </w:r>
      <w:r>
        <w:t xml:space="preserve"> </w:t>
      </w:r>
      <w:hyperlink r:id="rId4811">
        <w:r>
          <w:rPr>
            <w:rStyle w:val="Hyperlink"/>
          </w:rPr>
          <w:t xml:space="preserve">https://doi.org/10.1111/j.1469-8986.2008.00666.x</w:t>
        </w:r>
      </w:hyperlink>
    </w:p>
    <w:p>
      <w:pPr>
        <w:pStyle w:val="ReferenceEntry"/>
      </w:pPr>
      <w:bookmarkStart w:id="4812" w:name="ref-1109"/>
      <w:r>
        <w:t xml:space="preserve">[1109]</w:t>
      </w:r>
      <w:bookmarkEnd w:id="4812"/>
      <w:r>
        <w:t xml:space="preserve"> Khalsa SS, Rudrauf D, Hassanpour MS, et al. The practice of meditation is not associated with improved interoceptive awareness of the heartbeat.</w:t>
      </w:r>
      <w:r>
        <w:t xml:space="preserve"> </w:t>
      </w:r>
      <w:r>
        <w:rPr>
          <w:iCs/>
          <w:i/>
        </w:rPr>
        <w:t xml:space="preserve">Psychophysiology</w:t>
      </w:r>
      <w:r>
        <w:t xml:space="preserve">. 2020;57(2):e13479.</w:t>
      </w:r>
      <w:r>
        <w:t xml:space="preserve"> </w:t>
      </w:r>
      <w:hyperlink r:id="rId4813">
        <w:r>
          <w:rPr>
            <w:rStyle w:val="Hyperlink"/>
          </w:rPr>
          <w:t xml:space="preserve">https://doi.org/10.1111/psyp.13479</w:t>
        </w:r>
      </w:hyperlink>
    </w:p>
    <w:p>
      <w:pPr>
        <w:pStyle w:val="ReferenceEntry"/>
      </w:pPr>
      <w:bookmarkStart w:id="4814" w:name="ref-1110"/>
      <w:r>
        <w:t xml:space="preserve">[1110]</w:t>
      </w:r>
      <w:bookmarkEnd w:id="4814"/>
      <w:r>
        <w:t xml:space="preserve"> Schwartz K, Ganster FM, Voracek M, et al. Mindfulness and Objective Measures of Body Awareness: A Preregistered Systematic Review and Multilevel Meta-Analysis.</w:t>
      </w:r>
      <w:r>
        <w:t xml:space="preserve"> </w:t>
      </w:r>
      <w:r>
        <w:rPr>
          <w:iCs/>
          <w:i/>
        </w:rPr>
        <w:t xml:space="preserve">Biopsychosocial Science and Medicine</w:t>
      </w:r>
      <w:r>
        <w:t xml:space="preserve">. 2025;87(4):235–248.</w:t>
      </w:r>
      <w:r>
        <w:t xml:space="preserve"> </w:t>
      </w:r>
      <w:hyperlink r:id="rId4815">
        <w:r>
          <w:rPr>
            <w:rStyle w:val="Hyperlink"/>
          </w:rPr>
          <w:t xml:space="preserve">https://doi.org/10.1097/psy.0000000000001381</w:t>
        </w:r>
      </w:hyperlink>
    </w:p>
    <w:p>
      <w:pPr>
        <w:pStyle w:val="ReferenceEntry"/>
      </w:pPr>
      <w:bookmarkStart w:id="4816" w:name="ref-1111"/>
      <w:r>
        <w:t xml:space="preserve">[1111]</w:t>
      </w:r>
      <w:bookmarkEnd w:id="4816"/>
      <w:r>
        <w:t xml:space="preserve"> Bornemann B, Singer T. Taking time to feel our body: Steady increases in heartbeat perception accuracy and decreases in alexithymia over 9 months of contemplative mental training.</w:t>
      </w:r>
      <w:r>
        <w:t xml:space="preserve"> </w:t>
      </w:r>
      <w:r>
        <w:rPr>
          <w:iCs/>
          <w:i/>
        </w:rPr>
        <w:t xml:space="preserve">Psychophysiology</w:t>
      </w:r>
      <w:r>
        <w:t xml:space="preserve">. 2017;54(3):469–482.</w:t>
      </w:r>
      <w:r>
        <w:t xml:space="preserve"> </w:t>
      </w:r>
      <w:hyperlink r:id="rId4817">
        <w:r>
          <w:rPr>
            <w:rStyle w:val="Hyperlink"/>
          </w:rPr>
          <w:t xml:space="preserve">https://doi.org/10.1111/psyp.12790</w:t>
        </w:r>
      </w:hyperlink>
    </w:p>
    <w:p>
      <w:pPr>
        <w:pStyle w:val="ReferenceEntry"/>
      </w:pPr>
      <w:bookmarkStart w:id="4818" w:name="ref-1112"/>
      <w:r>
        <w:t xml:space="preserve">[1112]</w:t>
      </w:r>
      <w:bookmarkEnd w:id="4818"/>
      <w:r>
        <w:t xml:space="preserve"> Lima-Araujo GL, de Sousa Júnior GM, Mendes T, et al. The impact of a brief mindfulness training on interoception: A randomized controlled trial.</w:t>
      </w:r>
      <w:r>
        <w:t xml:space="preserve"> </w:t>
      </w:r>
      <w:r>
        <w:rPr>
          <w:iCs/>
          <w:i/>
        </w:rPr>
        <w:t xml:space="preserve">PLOS ONE</w:t>
      </w:r>
      <w:r>
        <w:t xml:space="preserve">. 2022;17(9):e0273864.</w:t>
      </w:r>
      <w:r>
        <w:t xml:space="preserve"> </w:t>
      </w:r>
      <w:hyperlink r:id="rId4819">
        <w:r>
          <w:rPr>
            <w:rStyle w:val="Hyperlink"/>
          </w:rPr>
          <w:t xml:space="preserve">https://doi.org/10.1371/journal.pone.0273864</w:t>
        </w:r>
      </w:hyperlink>
    </w:p>
    <w:p>
      <w:pPr>
        <w:pStyle w:val="ReferenceEntry"/>
      </w:pPr>
      <w:bookmarkStart w:id="4820" w:name="ref-1113"/>
      <w:r>
        <w:t xml:space="preserve">[1113]</w:t>
      </w:r>
      <w:bookmarkEnd w:id="4820"/>
      <w:r>
        <w:t xml:space="preserve"> Cahn BR, Polich J. Meditation states and traits: EEG, ERP, and neuroimaging studies.</w:t>
      </w:r>
      <w:r>
        <w:t xml:space="preserve"> </w:t>
      </w:r>
      <w:r>
        <w:rPr>
          <w:iCs/>
          <w:i/>
        </w:rPr>
        <w:t xml:space="preserve">Psychological Bulletin</w:t>
      </w:r>
      <w:r>
        <w:t xml:space="preserve">. 2006;132(2):180–211.</w:t>
      </w:r>
      <w:r>
        <w:t xml:space="preserve"> </w:t>
      </w:r>
      <w:hyperlink r:id="rId4821">
        <w:r>
          <w:rPr>
            <w:rStyle w:val="Hyperlink"/>
          </w:rPr>
          <w:t xml:space="preserve">https://doi.org/10.1037/0033-2909.132.2.180</w:t>
        </w:r>
      </w:hyperlink>
    </w:p>
    <w:p>
      <w:pPr>
        <w:pStyle w:val="ReferenceEntry"/>
      </w:pPr>
      <w:bookmarkStart w:id="4822" w:name="ref-1114"/>
      <w:r>
        <w:t xml:space="preserve">[1114]</w:t>
      </w:r>
      <w:bookmarkEnd w:id="4822"/>
      <w:r>
        <w:t xml:space="preserve"> Lomas T, Ivtzan I, Fu CH. A systematic review of the neurophysiology of mindfulness on EEG oscillations.</w:t>
      </w:r>
      <w:r>
        <w:t xml:space="preserve"> </w:t>
      </w:r>
      <w:r>
        <w:rPr>
          <w:iCs/>
          <w:i/>
        </w:rPr>
        <w:t xml:space="preserve">Neuroscience &amp; Biobehavioral Reviews</w:t>
      </w:r>
      <w:r>
        <w:t xml:space="preserve">. 2015;57:401–410.</w:t>
      </w:r>
      <w:r>
        <w:t xml:space="preserve"> </w:t>
      </w:r>
      <w:hyperlink r:id="rId4823">
        <w:r>
          <w:rPr>
            <w:rStyle w:val="Hyperlink"/>
          </w:rPr>
          <w:t xml:space="preserve">https://doi.org/10.1016/j.neubiorev.2015.09.018</w:t>
        </w:r>
      </w:hyperlink>
    </w:p>
    <w:p>
      <w:pPr>
        <w:pStyle w:val="ReferenceEntry"/>
      </w:pPr>
      <w:bookmarkStart w:id="4824" w:name="ref-1115"/>
      <w:r>
        <w:t xml:space="preserve">[1115]</w:t>
      </w:r>
      <w:bookmarkEnd w:id="4824"/>
      <w:r>
        <w:t xml:space="preserve"> Yan T, Wei Y, Geng F, et al. EEG oscillatory correlates of meditation practice: a systematic review and exploratory meta-analysis.</w:t>
      </w:r>
      <w:r>
        <w:t xml:space="preserve"> </w:t>
      </w:r>
      <w:r>
        <w:rPr>
          <w:iCs/>
          <w:i/>
        </w:rPr>
        <w:t xml:space="preserve">Neuroscience</w:t>
      </w:r>
      <w:r>
        <w:t xml:space="preserve">. 2026;611:324–338.</w:t>
      </w:r>
      <w:r>
        <w:t xml:space="preserve"> </w:t>
      </w:r>
      <w:hyperlink r:id="rId4825">
        <w:r>
          <w:rPr>
            <w:rStyle w:val="Hyperlink"/>
          </w:rPr>
          <w:t xml:space="preserve">https://doi.org/10.1016/j.neuroscience.2026.07.012</w:t>
        </w:r>
      </w:hyperlink>
    </w:p>
    <w:p>
      <w:pPr>
        <w:pStyle w:val="ReferenceEntry"/>
      </w:pPr>
      <w:bookmarkStart w:id="4826" w:name="ref-1116"/>
      <w:r>
        <w:t xml:space="preserve">[1116]</w:t>
      </w:r>
      <w:bookmarkEnd w:id="4826"/>
      <w:r>
        <w:t xml:space="preserve"> DeLosAngeles D, Williams G, Burston J, et al. Electroencephalographic correlates of states of concentrative meditation.</w:t>
      </w:r>
      <w:r>
        <w:t xml:space="preserve"> </w:t>
      </w:r>
      <w:r>
        <w:rPr>
          <w:iCs/>
          <w:i/>
        </w:rPr>
        <w:t xml:space="preserve">International Journal of Psychophysiology</w:t>
      </w:r>
      <w:r>
        <w:t xml:space="preserve">. 2016;110:27–39.</w:t>
      </w:r>
      <w:r>
        <w:t xml:space="preserve"> </w:t>
      </w:r>
      <w:hyperlink r:id="rId4827">
        <w:r>
          <w:rPr>
            <w:rStyle w:val="Hyperlink"/>
          </w:rPr>
          <w:t xml:space="preserve">https://doi.org/10.1016/j.ijpsycho.2016.09.020</w:t>
        </w:r>
      </w:hyperlink>
    </w:p>
    <w:p>
      <w:pPr>
        <w:pStyle w:val="ReferenceEntry"/>
      </w:pPr>
      <w:bookmarkStart w:id="4828" w:name="ref-1117"/>
      <w:r>
        <w:t xml:space="preserve">[1117]</w:t>
      </w:r>
      <w:bookmarkEnd w:id="4828"/>
      <w:r>
        <w:t xml:space="preserve"> Cahn BR, Delorme A, Polich J. Occipital gamma activation during Vipassana meditation.</w:t>
      </w:r>
      <w:r>
        <w:t xml:space="preserve"> </w:t>
      </w:r>
      <w:r>
        <w:rPr>
          <w:iCs/>
          <w:i/>
        </w:rPr>
        <w:t xml:space="preserve">Cognitive Processing</w:t>
      </w:r>
      <w:r>
        <w:t xml:space="preserve">. 2010;11(1):39–56.</w:t>
      </w:r>
      <w:r>
        <w:t xml:space="preserve"> </w:t>
      </w:r>
      <w:hyperlink r:id="rId4829">
        <w:r>
          <w:rPr>
            <w:rStyle w:val="Hyperlink"/>
          </w:rPr>
          <w:t xml:space="preserve">https://doi.org/10.1007/s10339-009-0352-1</w:t>
        </w:r>
      </w:hyperlink>
    </w:p>
    <w:p>
      <w:pPr>
        <w:pStyle w:val="ReferenceEntry"/>
      </w:pPr>
      <w:bookmarkStart w:id="4830" w:name="ref-1118"/>
      <w:r>
        <w:t xml:space="preserve">[1118]</w:t>
      </w:r>
      <w:bookmarkEnd w:id="4830"/>
      <w:r>
        <w:t xml:space="preserve"> Braboszcz C, Cahn BR, Levy J, et al. Increased Gamma Brainwave Amplitude Compared to Control in Three Different Meditation Traditions.</w:t>
      </w:r>
      <w:r>
        <w:t xml:space="preserve"> </w:t>
      </w:r>
      <w:r>
        <w:rPr>
          <w:iCs/>
          <w:i/>
        </w:rPr>
        <w:t xml:space="preserve">PLOS ONE</w:t>
      </w:r>
      <w:r>
        <w:t xml:space="preserve">. 2017;12(1):e0170647.</w:t>
      </w:r>
      <w:r>
        <w:t xml:space="preserve"> </w:t>
      </w:r>
      <w:hyperlink r:id="rId4831">
        <w:r>
          <w:rPr>
            <w:rStyle w:val="Hyperlink"/>
          </w:rPr>
          <w:t xml:space="preserve">https://doi.org/10.1371/journal.pone.0170647</w:t>
        </w:r>
      </w:hyperlink>
    </w:p>
    <w:p>
      <w:pPr>
        <w:pStyle w:val="ReferenceEntry"/>
      </w:pPr>
      <w:bookmarkStart w:id="4832" w:name="ref-1119"/>
      <w:r>
        <w:t xml:space="preserve">[1119]</w:t>
      </w:r>
      <w:bookmarkEnd w:id="4832"/>
      <w:r>
        <w:t xml:space="preserve"> Ferrarelli F, Smith R, Dentico D, et al. Experienced Mindfulness Meditators Exhibit Higher Parietal-Occipital EEG Gamma Activity during NREM Sleep.</w:t>
      </w:r>
      <w:r>
        <w:t xml:space="preserve"> </w:t>
      </w:r>
      <w:r>
        <w:rPr>
          <w:iCs/>
          <w:i/>
        </w:rPr>
        <w:t xml:space="preserve">PLOS ONE</w:t>
      </w:r>
      <w:r>
        <w:t xml:space="preserve">. 2013;8(8):e73417.</w:t>
      </w:r>
      <w:r>
        <w:t xml:space="preserve"> </w:t>
      </w:r>
      <w:hyperlink r:id="rId4833">
        <w:r>
          <w:rPr>
            <w:rStyle w:val="Hyperlink"/>
          </w:rPr>
          <w:t xml:space="preserve">https://doi.org/10.1371/journal.pone.0073417</w:t>
        </w:r>
      </w:hyperlink>
    </w:p>
    <w:p>
      <w:pPr>
        <w:pStyle w:val="ReferenceEntry"/>
      </w:pPr>
      <w:bookmarkStart w:id="4834" w:name="ref-1120"/>
      <w:r>
        <w:t xml:space="preserve">[1120]</w:t>
      </w:r>
      <w:bookmarkEnd w:id="4834"/>
      <w:r>
        <w:t xml:space="preserve"> Biswas A, Aggarwal S, Sharma K, et al. Simultaneous enhancement of stimulus-induced and stimulus-free gamma in open-eye meditators.</w:t>
      </w:r>
      <w:r>
        <w:t xml:space="preserve"> </w:t>
      </w:r>
      <w:r>
        <w:rPr>
          <w:iCs/>
          <w:i/>
        </w:rPr>
        <w:t xml:space="preserve">Imaging Neuroscience</w:t>
      </w:r>
      <w:r>
        <w:t xml:space="preserve">. 2026;4:IMAG.a.1145.</w:t>
      </w:r>
      <w:r>
        <w:t xml:space="preserve"> </w:t>
      </w:r>
      <w:hyperlink r:id="rId4835">
        <w:r>
          <w:rPr>
            <w:rStyle w:val="Hyperlink"/>
          </w:rPr>
          <w:t xml:space="preserve">https://doi.org/10.1162/imag.a.1145</w:t>
        </w:r>
      </w:hyperlink>
    </w:p>
    <w:p>
      <w:pPr>
        <w:pStyle w:val="ReferenceEntry"/>
      </w:pPr>
      <w:bookmarkStart w:id="4836" w:name="ref-1121"/>
      <w:r>
        <w:t xml:space="preserve">[1121]</w:t>
      </w:r>
      <w:bookmarkEnd w:id="4836"/>
      <w:r>
        <w:t xml:space="preserve"> Moynihan JA, Chapman BP, Klorman R, et al. Mindfulness-Based Stress Reduction for Older Adults: Effects on Executive Function, Frontal Alpha Asymmetry and Immune Function.</w:t>
      </w:r>
      <w:r>
        <w:t xml:space="preserve"> </w:t>
      </w:r>
      <w:r>
        <w:rPr>
          <w:iCs/>
          <w:i/>
        </w:rPr>
        <w:t xml:space="preserve">Neuropsychobiology</w:t>
      </w:r>
      <w:r>
        <w:t xml:space="preserve">. 2013;68(1):34–43.</w:t>
      </w:r>
      <w:r>
        <w:t xml:space="preserve"> </w:t>
      </w:r>
      <w:hyperlink r:id="rId4837">
        <w:r>
          <w:rPr>
            <w:rStyle w:val="Hyperlink"/>
          </w:rPr>
          <w:t xml:space="preserve">https://doi.org/10.1159/000350949</w:t>
        </w:r>
      </w:hyperlink>
    </w:p>
    <w:p>
      <w:pPr>
        <w:pStyle w:val="ReferenceEntry"/>
      </w:pPr>
      <w:bookmarkStart w:id="4838" w:name="ref-1122"/>
      <w:r>
        <w:t xml:space="preserve">[1122]</w:t>
      </w:r>
      <w:bookmarkEnd w:id="4838"/>
      <w:r>
        <w:t xml:space="preserve"> Szumska I, Gola M, Rusanowska M, et al. Mindfulness-based cognitive therapy reduces clinical symptoms, but do not change frontal alpha asymmetry in people with major depression disorder.</w:t>
      </w:r>
      <w:r>
        <w:t xml:space="preserve"> </w:t>
      </w:r>
      <w:r>
        <w:rPr>
          <w:iCs/>
          <w:i/>
        </w:rPr>
        <w:t xml:space="preserve">International Journal of Neuroscience</w:t>
      </w:r>
      <w:r>
        <w:t xml:space="preserve">. 2021;131(5):453–461.</w:t>
      </w:r>
      <w:r>
        <w:t xml:space="preserve"> </w:t>
      </w:r>
      <w:hyperlink r:id="rId4839">
        <w:r>
          <w:rPr>
            <w:rStyle w:val="Hyperlink"/>
          </w:rPr>
          <w:t xml:space="preserve">https://doi.org/10.1080/00207454.2020.1748621</w:t>
        </w:r>
      </w:hyperlink>
    </w:p>
    <w:p>
      <w:pPr>
        <w:pStyle w:val="ReferenceEntry"/>
      </w:pPr>
      <w:bookmarkStart w:id="4840" w:name="ref-1123"/>
      <w:r>
        <w:t xml:space="preserve">[1123]</w:t>
      </w:r>
      <w:bookmarkEnd w:id="4840"/>
      <w:r>
        <w:t xml:space="preserve"> van der Vinne N, Vollebregt MA, van Putten MJAM, et al. Frontal alpha asymmetry as a diagnostic marker in depression: Fact or fiction? A meta-analysis.</w:t>
      </w:r>
      <w:r>
        <w:t xml:space="preserve"> </w:t>
      </w:r>
      <w:r>
        <w:rPr>
          <w:iCs/>
          <w:i/>
        </w:rPr>
        <w:t xml:space="preserve">NeuroImage: Clinical</w:t>
      </w:r>
      <w:r>
        <w:t xml:space="preserve">. 2017;16:79–87.</w:t>
      </w:r>
      <w:r>
        <w:t xml:space="preserve"> </w:t>
      </w:r>
      <w:hyperlink r:id="rId4841">
        <w:r>
          <w:rPr>
            <w:rStyle w:val="Hyperlink"/>
          </w:rPr>
          <w:t xml:space="preserve">https://doi.org/10.1016/j.nicl.2017.07.006</w:t>
        </w:r>
      </w:hyperlink>
    </w:p>
    <w:p>
      <w:pPr>
        <w:pStyle w:val="ReferenceEntry"/>
      </w:pPr>
      <w:bookmarkStart w:id="4842" w:name="ref-1124"/>
      <w:r>
        <w:t xml:space="preserve">[1124]</w:t>
      </w:r>
      <w:bookmarkEnd w:id="4842"/>
      <w:r>
        <w:t xml:space="preserve"> Reznik SJ, Allen JJB. Frontal asymmetry as a mediator and moderator of emotion: An updated review.</w:t>
      </w:r>
      <w:r>
        <w:t xml:space="preserve"> </w:t>
      </w:r>
      <w:r>
        <w:rPr>
          <w:iCs/>
          <w:i/>
        </w:rPr>
        <w:t xml:space="preserve">Psychophysiology</w:t>
      </w:r>
      <w:r>
        <w:t xml:space="preserve">. 2018;55(1):e12965.</w:t>
      </w:r>
      <w:r>
        <w:t xml:space="preserve"> </w:t>
      </w:r>
      <w:hyperlink r:id="rId4843">
        <w:r>
          <w:rPr>
            <w:rStyle w:val="Hyperlink"/>
          </w:rPr>
          <w:t xml:space="preserve">https://doi.org/10.1111/psyp.12965</w:t>
        </w:r>
      </w:hyperlink>
    </w:p>
    <w:p>
      <w:pPr>
        <w:pStyle w:val="ReferenceEntry"/>
      </w:pPr>
      <w:bookmarkStart w:id="4844" w:name="ref-1125"/>
      <w:r>
        <w:t xml:space="preserve">[1125]</w:t>
      </w:r>
      <w:bookmarkEnd w:id="4844"/>
      <w:r>
        <w:t xml:space="preserve"> Krigolson OE, Williams CC, Norton A, et al. Choosing MUSE: Validation of a Low-Cost, Portable EEG System for ERP Research.</w:t>
      </w:r>
      <w:r>
        <w:t xml:space="preserve"> </w:t>
      </w:r>
      <w:r>
        <w:rPr>
          <w:iCs/>
          <w:i/>
        </w:rPr>
        <w:t xml:space="preserve">Frontiers in Neuroscience</w:t>
      </w:r>
      <w:r>
        <w:t xml:space="preserve">. 2017;11:109.</w:t>
      </w:r>
      <w:r>
        <w:t xml:space="preserve"> </w:t>
      </w:r>
      <w:hyperlink r:id="rId4845">
        <w:r>
          <w:rPr>
            <w:rStyle w:val="Hyperlink"/>
          </w:rPr>
          <w:t xml:space="preserve">https://doi.org/10.3389/fnins.2017.00109</w:t>
        </w:r>
      </w:hyperlink>
    </w:p>
    <w:p>
      <w:pPr>
        <w:pStyle w:val="ReferenceEntry"/>
      </w:pPr>
      <w:bookmarkStart w:id="4846" w:name="ref-1126"/>
      <w:r>
        <w:t xml:space="preserve">[1126]</w:t>
      </w:r>
      <w:bookmarkEnd w:id="4846"/>
      <w:r>
        <w:t xml:space="preserve"> Svetlov AS, Nelson MM, Antonenko PD, et al. Commercial mindfulness aid does not aid short-term stress reduction compared to unassisted relaxation.</w:t>
      </w:r>
      <w:r>
        <w:t xml:space="preserve"> </w:t>
      </w:r>
      <w:r>
        <w:rPr>
          <w:iCs/>
          <w:i/>
        </w:rPr>
        <w:t xml:space="preserve">Heliyon</w:t>
      </w:r>
      <w:r>
        <w:t xml:space="preserve">. 2019;5(3):e01351.</w:t>
      </w:r>
      <w:r>
        <w:t xml:space="preserve"> </w:t>
      </w:r>
      <w:hyperlink r:id="rId4847">
        <w:r>
          <w:rPr>
            <w:rStyle w:val="Hyperlink"/>
          </w:rPr>
          <w:t xml:space="preserve">https://doi.org/10.1016/j.heliyon.2019.e01351</w:t>
        </w:r>
      </w:hyperlink>
    </w:p>
    <w:p>
      <w:pPr>
        <w:pStyle w:val="ReferenceEntry"/>
      </w:pPr>
      <w:bookmarkStart w:id="4848" w:name="ref-1127"/>
      <w:r>
        <w:t xml:space="preserve">[1127]</w:t>
      </w:r>
      <w:bookmarkEnd w:id="4848"/>
      <w:r>
        <w:t xml:space="preserve"> Bhayee S, Tomaszewski P, Lee DH, et al. Attentional and affective consequences of technology supported mindfulness training: a randomised, active control, efficacy trial.</w:t>
      </w:r>
      <w:r>
        <w:t xml:space="preserve"> </w:t>
      </w:r>
      <w:r>
        <w:rPr>
          <w:iCs/>
          <w:i/>
        </w:rPr>
        <w:t xml:space="preserve">BMC Psychology</w:t>
      </w:r>
      <w:r>
        <w:t xml:space="preserve">. 2016;4(1):60.</w:t>
      </w:r>
      <w:r>
        <w:t xml:space="preserve"> </w:t>
      </w:r>
      <w:hyperlink r:id="rId4849">
        <w:r>
          <w:rPr>
            <w:rStyle w:val="Hyperlink"/>
          </w:rPr>
          <w:t xml:space="preserve">https://doi.org/10.1186/s40359-016-0168-6</w:t>
        </w:r>
      </w:hyperlink>
    </w:p>
    <w:p>
      <w:pPr>
        <w:pStyle w:val="ReferenceEntry"/>
      </w:pPr>
      <w:bookmarkStart w:id="4850" w:name="ref-1128"/>
      <w:r>
        <w:t xml:space="preserve">[1128]</w:t>
      </w:r>
      <w:bookmarkEnd w:id="4850"/>
      <w:r>
        <w:t xml:space="preserve"> Treves IN, Greene KD, Bajwa Z, et al. Mindfulness-based neurofeedback: A systematic review of EEG and fMRI studies.</w:t>
      </w:r>
      <w:r>
        <w:t xml:space="preserve"> </w:t>
      </w:r>
      <w:r>
        <w:rPr>
          <w:iCs/>
          <w:i/>
        </w:rPr>
        <w:t xml:space="preserve">Imaging Neuroscience</w:t>
      </w:r>
      <w:r>
        <w:t xml:space="preserve">. 2024;2:imag-2-00396.</w:t>
      </w:r>
      <w:r>
        <w:t xml:space="preserve"> </w:t>
      </w:r>
      <w:hyperlink r:id="rId4851">
        <w:r>
          <w:rPr>
            <w:rStyle w:val="Hyperlink"/>
          </w:rPr>
          <w:t xml:space="preserve">https://doi.org/10.1162/imag_a_00396</w:t>
        </w:r>
      </w:hyperlink>
    </w:p>
    <w:p>
      <w:pPr>
        <w:pStyle w:val="ReferenceEntry"/>
      </w:pPr>
      <w:bookmarkStart w:id="4852" w:name="ref-1129"/>
      <w:r>
        <w:t xml:space="preserve">[1129]</w:t>
      </w:r>
      <w:bookmarkEnd w:id="4852"/>
      <w:r>
        <w:t xml:space="preserve"> Kirk U, Downar J, Montague PR. Interoception Drives Increased Rational Decision-Making in Meditators Playing the Ultimatum Game.</w:t>
      </w:r>
      <w:r>
        <w:t xml:space="preserve"> </w:t>
      </w:r>
      <w:r>
        <w:rPr>
          <w:iCs/>
          <w:i/>
        </w:rPr>
        <w:t xml:space="preserve">Frontiers in Neuroscience</w:t>
      </w:r>
      <w:r>
        <w:t xml:space="preserve">. 2011;5:49.</w:t>
      </w:r>
      <w:r>
        <w:t xml:space="preserve"> </w:t>
      </w:r>
      <w:hyperlink r:id="rId4853">
        <w:r>
          <w:rPr>
            <w:rStyle w:val="Hyperlink"/>
          </w:rPr>
          <w:t xml:space="preserve">https://doi.org/10.3389/fnins.2011.00049</w:t>
        </w:r>
      </w:hyperlink>
    </w:p>
    <w:p>
      <w:pPr>
        <w:pStyle w:val="ReferenceEntry"/>
      </w:pPr>
      <w:bookmarkStart w:id="4854" w:name="ref-1130"/>
      <w:r>
        <w:t xml:space="preserve">[1130]</w:t>
      </w:r>
      <w:bookmarkEnd w:id="4854"/>
      <w:r>
        <w:t xml:space="preserve"> Gross JJ. Emotion regulation: Affective, cognitive, and social consequences.</w:t>
      </w:r>
      <w:r>
        <w:t xml:space="preserve"> </w:t>
      </w:r>
      <w:r>
        <w:rPr>
          <w:iCs/>
          <w:i/>
        </w:rPr>
        <w:t xml:space="preserve">Psychophysiology</w:t>
      </w:r>
      <w:r>
        <w:t xml:space="preserve">. 2002;39(3):281–291.</w:t>
      </w:r>
      <w:r>
        <w:t xml:space="preserve"> </w:t>
      </w:r>
      <w:hyperlink r:id="rId4855">
        <w:r>
          <w:rPr>
            <w:rStyle w:val="Hyperlink"/>
          </w:rPr>
          <w:t xml:space="preserve">https://doi.org/10.1017/s0048577201393198</w:t>
        </w:r>
      </w:hyperlink>
    </w:p>
    <w:p>
      <w:pPr>
        <w:pStyle w:val="ReferenceEntry"/>
      </w:pPr>
      <w:bookmarkStart w:id="4856" w:name="ref-1131"/>
      <w:r>
        <w:t xml:space="preserve">[1131]</w:t>
      </w:r>
      <w:bookmarkEnd w:id="4856"/>
      <w:r>
        <w:t xml:space="preserve"> Gard T, Taquet M, Dixit R, et al. Fluid intelligence and brain functional organization in aging yoga and meditation practitioners.</w:t>
      </w:r>
      <w:r>
        <w:t xml:space="preserve"> </w:t>
      </w:r>
      <w:r>
        <w:rPr>
          <w:iCs/>
          <w:i/>
        </w:rPr>
        <w:t xml:space="preserve">Frontiers in Aging Neuroscience</w:t>
      </w:r>
      <w:r>
        <w:t xml:space="preserve">. 2014;6:76.</w:t>
      </w:r>
      <w:r>
        <w:t xml:space="preserve"> </w:t>
      </w:r>
      <w:hyperlink r:id="rId4857">
        <w:r>
          <w:rPr>
            <w:rStyle w:val="Hyperlink"/>
          </w:rPr>
          <w:t xml:space="preserve">https://doi.org/10.3389/fnagi.2014.00076</w:t>
        </w:r>
      </w:hyperlink>
    </w:p>
    <w:p>
      <w:pPr>
        <w:pStyle w:val="ReferenceEntry"/>
      </w:pPr>
      <w:bookmarkStart w:id="4858" w:name="ref-1132"/>
      <w:r>
        <w:t xml:space="preserve">[1132]</w:t>
      </w:r>
      <w:bookmarkEnd w:id="4858"/>
      <w:r>
        <w:t xml:space="preserve"> Keating BA, Vago D, Hett K, et al. Neurofluid circulation changes during a focused attention style of mindfulness meditation.</w:t>
      </w:r>
      <w:r>
        <w:t xml:space="preserve"> </w:t>
      </w:r>
      <w:r>
        <w:rPr>
          <w:iCs/>
          <w:i/>
        </w:rPr>
        <w:t xml:space="preserve">Proceedings of the National Academy of Sciences</w:t>
      </w:r>
      <w:r>
        <w:t xml:space="preserve">. 2025;122(49):e2504961122.</w:t>
      </w:r>
      <w:r>
        <w:t xml:space="preserve"> </w:t>
      </w:r>
      <w:hyperlink r:id="rId4859">
        <w:r>
          <w:rPr>
            <w:rStyle w:val="Hyperlink"/>
          </w:rPr>
          <w:t xml:space="preserve">https://doi.org/10.1073/pnas.2504961122</w:t>
        </w:r>
      </w:hyperlink>
    </w:p>
    <w:p>
      <w:pPr>
        <w:pStyle w:val="ReferenceEntry"/>
      </w:pPr>
      <w:bookmarkStart w:id="4860" w:name="ref-1133"/>
      <w:r>
        <w:t xml:space="preserve">[1133]</w:t>
      </w:r>
      <w:bookmarkEnd w:id="4860"/>
      <w:r>
        <w:t xml:space="preserve"> Cromie WJ. Meditation found to increase brain size.</w:t>
      </w:r>
      <w:r>
        <w:t xml:space="preserve"> </w:t>
      </w:r>
      <w:r>
        <w:rPr>
          <w:iCs/>
          <w:i/>
        </w:rPr>
        <w:t xml:space="preserve">Harvard Gazette</w:t>
      </w:r>
      <w:r>
        <w:t xml:space="preserve">. 2006-02-02.</w:t>
      </w:r>
      <w:r>
        <w:t xml:space="preserve"> </w:t>
      </w:r>
      <w:hyperlink r:id="rId4861">
        <w:r>
          <w:rPr>
            <w:rStyle w:val="Hyperlink"/>
          </w:rPr>
          <w:t xml:space="preserve">https://news.harvard.edu/gazette/story/2006/02/meditation-found-to-increase-brain-size/</w:t>
        </w:r>
      </w:hyperlink>
      <w:r>
        <w:t xml:space="preserve">（2026 年 10 月访问）</w:t>
      </w:r>
    </w:p>
    <w:p>
      <w:pPr>
        <w:pStyle w:val="ReferenceEntry"/>
      </w:pPr>
      <w:bookmarkStart w:id="4862" w:name="ref-1134"/>
      <w:r>
        <w:t xml:space="preserve">[1134]</w:t>
      </w:r>
      <w:bookmarkEnd w:id="4862"/>
      <w:r>
        <w:t xml:space="preserve"> Cole JH, Franke K. Predicting Age Using Neuroimaging: Innovative Brain Ageing Biomarkers.</w:t>
      </w:r>
      <w:r>
        <w:t xml:space="preserve"> </w:t>
      </w:r>
      <w:r>
        <w:rPr>
          <w:iCs/>
          <w:i/>
        </w:rPr>
        <w:t xml:space="preserve">Trends in Neurosciences</w:t>
      </w:r>
      <w:r>
        <w:t xml:space="preserve">. 2017;40(12):681–690.</w:t>
      </w:r>
      <w:r>
        <w:t xml:space="preserve"> </w:t>
      </w:r>
      <w:hyperlink r:id="rId4863">
        <w:r>
          <w:rPr>
            <w:rStyle w:val="Hyperlink"/>
          </w:rPr>
          <w:t xml:space="preserve">https://doi.org/10.1016/j.tins.2017.10.001</w:t>
        </w:r>
      </w:hyperlink>
    </w:p>
    <w:p>
      <w:pPr>
        <w:pStyle w:val="ReferenceEntry"/>
      </w:pPr>
      <w:bookmarkStart w:id="4864" w:name="ref-1135"/>
      <w:r>
        <w:t xml:space="preserve">[1135]</w:t>
      </w:r>
      <w:bookmarkEnd w:id="4864"/>
      <w:r>
        <w:t xml:space="preserve"> Haudry S, Lambert N, Gaser C, et al. Impact of meditation on brain age derived from multimodal neuroimaging in experts and older adults from a randomized trial.</w:t>
      </w:r>
      <w:r>
        <w:t xml:space="preserve"> </w:t>
      </w:r>
      <w:r>
        <w:rPr>
          <w:iCs/>
          <w:i/>
        </w:rPr>
        <w:t xml:space="preserve">Scientific Reports</w:t>
      </w:r>
      <w:r>
        <w:t xml:space="preserve">. 2025;15(1):37710.</w:t>
      </w:r>
      <w:r>
        <w:t xml:space="preserve"> </w:t>
      </w:r>
      <w:hyperlink r:id="rId4865">
        <w:r>
          <w:rPr>
            <w:rStyle w:val="Hyperlink"/>
          </w:rPr>
          <w:t xml:space="preserve">https://doi.org/10.1038/s41598-025-21490-9</w:t>
        </w:r>
      </w:hyperlink>
    </w:p>
    <w:p>
      <w:pPr>
        <w:pStyle w:val="ReferenceEntry"/>
      </w:pPr>
      <w:bookmarkStart w:id="4866" w:name="ref-1136"/>
      <w:r>
        <w:t xml:space="preserve">[1136]</w:t>
      </w:r>
      <w:bookmarkEnd w:id="4866"/>
      <w:r>
        <w:t xml:space="preserve"> McGreevey S. Eight weeks to a better brain.</w:t>
      </w:r>
      <w:r>
        <w:t xml:space="preserve"> </w:t>
      </w:r>
      <w:r>
        <w:rPr>
          <w:iCs/>
          <w:i/>
        </w:rPr>
        <w:t xml:space="preserve">Harvard Gazette</w:t>
      </w:r>
      <w:r>
        <w:t xml:space="preserve">. 2011-01-21.</w:t>
      </w:r>
      <w:r>
        <w:t xml:space="preserve"> </w:t>
      </w:r>
      <w:hyperlink r:id="rId4867">
        <w:r>
          <w:rPr>
            <w:rStyle w:val="Hyperlink"/>
          </w:rPr>
          <w:t xml:space="preserve">https://news.harvard.edu/gazette/story/2011/01/eight-weeks-to-a-better-brain/</w:t>
        </w:r>
      </w:hyperlink>
      <w:r>
        <w:t xml:space="preserve">（2026 年 10 月访问）</w:t>
      </w:r>
    </w:p>
    <w:p>
      <w:pPr>
        <w:pStyle w:val="ReferenceEntry"/>
      </w:pPr>
      <w:bookmarkStart w:id="4868" w:name="ref-1137"/>
      <w:r>
        <w:t xml:space="preserve">[1137]</w:t>
      </w:r>
      <w:bookmarkEnd w:id="4868"/>
      <w:r>
        <w:t xml:space="preserve"> Congleton C, Hölzel BK, Lazar SW. Mindfulness can literally change your brain.</w:t>
      </w:r>
      <w:r>
        <w:t xml:space="preserve"> </w:t>
      </w:r>
      <w:r>
        <w:rPr>
          <w:iCs/>
          <w:i/>
        </w:rPr>
        <w:t xml:space="preserve">Harvard Business Review</w:t>
      </w:r>
      <w:r>
        <w:t xml:space="preserve">. 2015-01-08.</w:t>
      </w:r>
      <w:r>
        <w:t xml:space="preserve"> </w:t>
      </w:r>
      <w:hyperlink r:id="rId4869">
        <w:r>
          <w:rPr>
            <w:rStyle w:val="Hyperlink"/>
          </w:rPr>
          <w:t xml:space="preserve">https://hbr.org/2015/01/mindfulness-can-literally-change-your-brain</w:t>
        </w:r>
      </w:hyperlink>
      <w:r>
        <w:t xml:space="preserve">（2026 年 10 月访问）</w:t>
      </w:r>
    </w:p>
    <w:p>
      <w:pPr>
        <w:pStyle w:val="ReferenceEntry"/>
      </w:pPr>
      <w:bookmarkStart w:id="4870" w:name="ref-1138"/>
      <w:r>
        <w:t xml:space="preserve">[1138]</w:t>
      </w:r>
      <w:bookmarkEnd w:id="4870"/>
      <w:r>
        <w:t xml:space="preserve"> Rafter C, McCarthy E, Stilp C, et al. Mindfulness Practice and Increases in Gray Matter Density, Gray Matter Volume, and Cortical Thickness: A Scoping Review.</w:t>
      </w:r>
      <w:r>
        <w:t xml:space="preserve"> </w:t>
      </w:r>
      <w:r>
        <w:rPr>
          <w:iCs/>
          <w:i/>
        </w:rPr>
        <w:t xml:space="preserve">Brain Sciences</w:t>
      </w:r>
      <w:r>
        <w:t xml:space="preserve">. 2026;16(5):483.</w:t>
      </w:r>
      <w:r>
        <w:t xml:space="preserve"> </w:t>
      </w:r>
      <w:hyperlink r:id="rId4871">
        <w:r>
          <w:rPr>
            <w:rStyle w:val="Hyperlink"/>
          </w:rPr>
          <w:t xml:space="preserve">https://doi.org/10.3390/brainsci16050483</w:t>
        </w:r>
      </w:hyperlink>
    </w:p>
    <w:p>
      <w:pPr>
        <w:pStyle w:val="ReferenceEntry"/>
      </w:pPr>
      <w:bookmarkStart w:id="4872" w:name="ref-1139"/>
      <w:r>
        <w:t xml:space="preserve">[1139]</w:t>
      </w:r>
      <w:bookmarkEnd w:id="4872"/>
      <w:r>
        <w:t xml:space="preserve"> Valk SL, Kanske P, Park BY, et al. Functional and microstructural plasticity following social and interoceptive mental training.</w:t>
      </w:r>
      <w:r>
        <w:t xml:space="preserve"> </w:t>
      </w:r>
      <w:r>
        <w:rPr>
          <w:iCs/>
          <w:i/>
        </w:rPr>
        <w:t xml:space="preserve">eLife</w:t>
      </w:r>
      <w:r>
        <w:t xml:space="preserve">. 2023;12:e85188.</w:t>
      </w:r>
      <w:r>
        <w:t xml:space="preserve"> </w:t>
      </w:r>
      <w:hyperlink r:id="rId4873">
        <w:r>
          <w:rPr>
            <w:rStyle w:val="Hyperlink"/>
          </w:rPr>
          <w:t xml:space="preserve">https://doi.org/10.7554/elife.85188</w:t>
        </w:r>
      </w:hyperlink>
    </w:p>
    <w:p>
      <w:pPr>
        <w:pStyle w:val="ReferenceEntry"/>
      </w:pPr>
      <w:bookmarkStart w:id="4874" w:name="ref-1140"/>
      <w:r>
        <w:t xml:space="preserve">[1140]</w:t>
      </w:r>
      <w:bookmarkEnd w:id="4874"/>
      <w:r>
        <w:t xml:space="preserve"> Thomas C, Baker CI. Teaching an adult brain new tricks: A critical review of evidence for training-dependent structural plasticity in humans.</w:t>
      </w:r>
      <w:r>
        <w:t xml:space="preserve"> </w:t>
      </w:r>
      <w:r>
        <w:rPr>
          <w:iCs/>
          <w:i/>
        </w:rPr>
        <w:t xml:space="preserve">NeuroImage</w:t>
      </w:r>
      <w:r>
        <w:t xml:space="preserve">. 2013;73:225–236.</w:t>
      </w:r>
      <w:r>
        <w:t xml:space="preserve"> </w:t>
      </w:r>
      <w:hyperlink r:id="rId4875">
        <w:r>
          <w:rPr>
            <w:rStyle w:val="Hyperlink"/>
          </w:rPr>
          <w:t xml:space="preserve">https://doi.org/10.1016/j.neuroimage.2012.03.069</w:t>
        </w:r>
      </w:hyperlink>
    </w:p>
    <w:p>
      <w:pPr>
        <w:pStyle w:val="ReferenceEntry"/>
      </w:pPr>
      <w:bookmarkStart w:id="4876" w:name="ref-1141"/>
      <w:r>
        <w:t xml:space="preserve">[1141]</w:t>
      </w:r>
      <w:bookmarkEnd w:id="4876"/>
      <w:r>
        <w:t xml:space="preserve"> Nuwer R. The world’s happiest man is a Tibetan monk.</w:t>
      </w:r>
      <w:r>
        <w:t xml:space="preserve"> </w:t>
      </w:r>
      <w:r>
        <w:rPr>
          <w:iCs/>
          <w:i/>
        </w:rPr>
        <w:t xml:space="preserve">Smithsonian Magazine</w:t>
      </w:r>
      <w:r>
        <w:t xml:space="preserve">. 2012-11-01.</w:t>
      </w:r>
      <w:r>
        <w:t xml:space="preserve"> </w:t>
      </w:r>
      <w:hyperlink r:id="rId4877">
        <w:r>
          <w:rPr>
            <w:rStyle w:val="Hyperlink"/>
          </w:rPr>
          <w:t xml:space="preserve">https://www.smithsonianmag.com/smart-news/the-worlds-happiest-man-is-a-tibetan-monk-105980614/</w:t>
        </w:r>
      </w:hyperlink>
      <w:r>
        <w:t xml:space="preserve">（2026 年 10 月访问）</w:t>
      </w:r>
    </w:p>
    <w:p>
      <w:pPr>
        <w:pStyle w:val="ReferenceEntry"/>
      </w:pPr>
      <w:bookmarkStart w:id="4878" w:name="ref-1142"/>
      <w:r>
        <w:t xml:space="preserve">[1142]</w:t>
      </w:r>
      <w:bookmarkEnd w:id="4878"/>
      <w:r>
        <w:t xml:space="preserve"> Beddington E. The world’s happiest man? Matthieu Ricard on the secrets of a serene, successful, satisfying life.</w:t>
      </w:r>
      <w:r>
        <w:t xml:space="preserve"> </w:t>
      </w:r>
      <w:r>
        <w:rPr>
          <w:iCs/>
          <w:i/>
        </w:rPr>
        <w:t xml:space="preserve">The Guardian</w:t>
      </w:r>
      <w:r>
        <w:t xml:space="preserve">. 2023-09-18（转载于 matthieuricard.org）.</w:t>
      </w:r>
      <w:r>
        <w:t xml:space="preserve"> </w:t>
      </w:r>
      <w:hyperlink r:id="rId4879">
        <w:r>
          <w:rPr>
            <w:rStyle w:val="Hyperlink"/>
          </w:rPr>
          <w:t xml:space="preserve">https://www.matthieuricard.org/en/articles/the-worlds-happiest-man-matthieu-ricard-on-the-secrets-of-a-serene-successful-satisfying-life/</w:t>
        </w:r>
      </w:hyperlink>
      <w:r>
        <w:t xml:space="preserve">（2026 年 10 月访问）</w:t>
      </w:r>
    </w:p>
    <w:p>
      <w:pPr>
        <w:pStyle w:val="ReferenceEntry"/>
      </w:pPr>
      <w:bookmarkStart w:id="4880" w:name="ref-1143"/>
      <w:r>
        <w:t xml:space="preserve">[1143]</w:t>
      </w:r>
      <w:bookmarkEnd w:id="4880"/>
      <w:r>
        <w:t xml:space="preserve"> Goldberg SB, Tucker RP, Greene PA, et al. Mindfulness-based interventions for psychiatric disorders: A systematic review and meta-analysis.</w:t>
      </w:r>
      <w:r>
        <w:t xml:space="preserve"> </w:t>
      </w:r>
      <w:r>
        <w:rPr>
          <w:iCs/>
          <w:i/>
        </w:rPr>
        <w:t xml:space="preserve">Clinical Psychology Review</w:t>
      </w:r>
      <w:r>
        <w:t xml:space="preserve">. 2018;59:52–60.</w:t>
      </w:r>
      <w:r>
        <w:t xml:space="preserve"> </w:t>
      </w:r>
      <w:hyperlink r:id="rId4881">
        <w:r>
          <w:rPr>
            <w:rStyle w:val="Hyperlink"/>
          </w:rPr>
          <w:t xml:space="preserve">https://doi.org/10.1016/j.cpr.2017.10.011</w:t>
        </w:r>
      </w:hyperlink>
    </w:p>
    <w:p>
      <w:pPr>
        <w:pStyle w:val="ReferenceEntry"/>
      </w:pPr>
      <w:bookmarkStart w:id="4882" w:name="ref-1144"/>
      <w:r>
        <w:t xml:space="preserve">[1144]</w:t>
      </w:r>
      <w:bookmarkEnd w:id="4882"/>
      <w:r>
        <w:t xml:space="preserve"> Goldberg SB, Riordan KM, Sun S, et al. The Empirical Status of Mindfulness-Based Interventions: A Systematic Review of 44 Meta-Analyses of Randomized Controlled Trials.</w:t>
      </w:r>
      <w:r>
        <w:t xml:space="preserve"> </w:t>
      </w:r>
      <w:r>
        <w:rPr>
          <w:iCs/>
          <w:i/>
        </w:rPr>
        <w:t xml:space="preserve">Perspectives on Psychological Science</w:t>
      </w:r>
      <w:r>
        <w:t xml:space="preserve">. 2022;17(1):108–130.</w:t>
      </w:r>
      <w:r>
        <w:t xml:space="preserve"> </w:t>
      </w:r>
      <w:hyperlink r:id="rId4883">
        <w:r>
          <w:rPr>
            <w:rStyle w:val="Hyperlink"/>
          </w:rPr>
          <w:t xml:space="preserve">https://doi.org/10.1177/1745691620968771</w:t>
        </w:r>
      </w:hyperlink>
    </w:p>
    <w:p>
      <w:pPr>
        <w:pStyle w:val="ReferenceEntry"/>
      </w:pPr>
      <w:bookmarkStart w:id="4884" w:name="ref-1145"/>
      <w:r>
        <w:t xml:space="preserve">[1145]</w:t>
      </w:r>
      <w:bookmarkEnd w:id="4884"/>
      <w:r>
        <w:t xml:space="preserve"> Goldberg SB, Tucker RP. Allegiance effects in mindfulness-based interventions for psychiatric disorders: A meta-re-analysis.</w:t>
      </w:r>
      <w:r>
        <w:t xml:space="preserve"> </w:t>
      </w:r>
      <w:r>
        <w:rPr>
          <w:iCs/>
          <w:i/>
        </w:rPr>
        <w:t xml:space="preserve">Psychotherapy Research</w:t>
      </w:r>
      <w:r>
        <w:t xml:space="preserve">. 2020;30(6):753–762.</w:t>
      </w:r>
      <w:r>
        <w:t xml:space="preserve"> </w:t>
      </w:r>
      <w:hyperlink r:id="rId4885">
        <w:r>
          <w:rPr>
            <w:rStyle w:val="Hyperlink"/>
          </w:rPr>
          <w:t xml:space="preserve">https://doi.org/10.1080/10503307.2019.1664783</w:t>
        </w:r>
      </w:hyperlink>
    </w:p>
    <w:p>
      <w:pPr>
        <w:pStyle w:val="ReferenceEntry"/>
      </w:pPr>
      <w:bookmarkStart w:id="4886" w:name="ref-1146"/>
      <w:r>
        <w:t xml:space="preserve">[1146]</w:t>
      </w:r>
      <w:bookmarkEnd w:id="4886"/>
      <w:r>
        <w:t xml:space="preserve"> Coronado-Montoya S, Levis AW, Kwakkenbos L, et al. Reporting of Positive Results in Randomized Controlled Trials of Mindfulness-Based Mental Health Interventions.</w:t>
      </w:r>
      <w:r>
        <w:t xml:space="preserve"> </w:t>
      </w:r>
      <w:r>
        <w:rPr>
          <w:iCs/>
          <w:i/>
        </w:rPr>
        <w:t xml:space="preserve">PLOS ONE</w:t>
      </w:r>
      <w:r>
        <w:t xml:space="preserve">. 2016;11(4):e0153220.</w:t>
      </w:r>
      <w:r>
        <w:t xml:space="preserve"> </w:t>
      </w:r>
      <w:hyperlink r:id="rId4887">
        <w:r>
          <w:rPr>
            <w:rStyle w:val="Hyperlink"/>
          </w:rPr>
          <w:t xml:space="preserve">https://doi.org/10.1371/journal.pone.0153220</w:t>
        </w:r>
      </w:hyperlink>
    </w:p>
    <w:p>
      <w:pPr>
        <w:pStyle w:val="ReferenceEntry"/>
      </w:pPr>
      <w:bookmarkStart w:id="4888" w:name="ref-1147"/>
      <w:r>
        <w:t xml:space="preserve">[1147]</w:t>
      </w:r>
      <w:bookmarkEnd w:id="4888"/>
      <w:r>
        <w:t xml:space="preserve"> Kuyken W, Hayes R, Barrett B, et al. Effectiveness and cost-effectiveness of mindfulness-based cognitive therapy compared with maintenance antidepressant treatment in the prevention of depressive relapse or recurrence (PREVENT): a randomised controlled trial.</w:t>
      </w:r>
      <w:r>
        <w:t xml:space="preserve"> </w:t>
      </w:r>
      <w:r>
        <w:rPr>
          <w:iCs/>
          <w:i/>
        </w:rPr>
        <w:t xml:space="preserve">The Lancet</w:t>
      </w:r>
      <w:r>
        <w:t xml:space="preserve">. 2015;386(9988):63–73.</w:t>
      </w:r>
      <w:r>
        <w:t xml:space="preserve"> </w:t>
      </w:r>
      <w:hyperlink r:id="rId4889">
        <w:r>
          <w:rPr>
            <w:rStyle w:val="Hyperlink"/>
          </w:rPr>
          <w:t xml:space="preserve">https://doi.org/10.1016/s0140-6736(14)62222-4</w:t>
        </w:r>
      </w:hyperlink>
      <w:r>
        <w:t xml:space="preserve">（研究类型：随机优效性试验）</w:t>
      </w:r>
    </w:p>
    <w:p>
      <w:pPr>
        <w:pStyle w:val="ReferenceEntry"/>
      </w:pPr>
      <w:bookmarkStart w:id="4890" w:name="ref-1148"/>
      <w:r>
        <w:t xml:space="preserve">[1148]</w:t>
      </w:r>
      <w:bookmarkEnd w:id="4890"/>
      <w:r>
        <w:t xml:space="preserve"> Huijbers MJ, Spinhoven P, Spijker J, et al. Discontinuation of antidepressant medication after mindfulness-based cognitive therapy for recurrent depression: Randomised controlled non-inferiority trial.</w:t>
      </w:r>
      <w:r>
        <w:t xml:space="preserve"> </w:t>
      </w:r>
      <w:r>
        <w:rPr>
          <w:iCs/>
          <w:i/>
        </w:rPr>
        <w:t xml:space="preserve">British Journal of Psychiatry</w:t>
      </w:r>
      <w:r>
        <w:t xml:space="preserve">. 2016;208(4):366–373.</w:t>
      </w:r>
      <w:r>
        <w:t xml:space="preserve"> </w:t>
      </w:r>
      <w:hyperlink r:id="rId4891">
        <w:r>
          <w:rPr>
            <w:rStyle w:val="Hyperlink"/>
          </w:rPr>
          <w:t xml:space="preserve">https://doi.org/10.1192/bjp.bp.115.168971</w:t>
        </w:r>
      </w:hyperlink>
    </w:p>
    <w:p>
      <w:pPr>
        <w:pStyle w:val="ReferenceEntry"/>
      </w:pPr>
      <w:bookmarkStart w:id="4892" w:name="ref-1149"/>
      <w:r>
        <w:t xml:space="preserve">[1149]</w:t>
      </w:r>
      <w:bookmarkEnd w:id="4892"/>
      <w:r>
        <w:t xml:space="preserve"> National Institute for Health and Care Excellence. Depression in adults: treatment and management（NICE guideline NG222）. London: NICE; 2022-06-29.</w:t>
      </w:r>
      <w:r>
        <w:t xml:space="preserve"> </w:t>
      </w:r>
      <w:hyperlink r:id="rId4893">
        <w:r>
          <w:rPr>
            <w:rStyle w:val="Hyperlink"/>
          </w:rPr>
          <w:t xml:space="preserve">https://www.nice.org.uk/guidance/ng222</w:t>
        </w:r>
      </w:hyperlink>
      <w:r>
        <w:t xml:space="preserve">（2026 年 10 月访问）</w:t>
      </w:r>
    </w:p>
    <w:p>
      <w:pPr>
        <w:pStyle w:val="ReferenceEntry"/>
      </w:pPr>
      <w:bookmarkStart w:id="4894" w:name="ref-1150"/>
      <w:r>
        <w:t xml:space="preserve">[1150]</w:t>
      </w:r>
      <w:bookmarkEnd w:id="4894"/>
      <w:r>
        <w:t xml:space="preserve"> Barnhofer T, Dunn BD, Strauss C, et al. Mindfulness-based cognitive therapy versus treatment as usual after non-remission with NHS Talking Therapies high-intensity psychological therapy for depression: a UK-based clinical effectiveness and cost-effectiveness randomised, controlled, superiority trial.</w:t>
      </w:r>
      <w:r>
        <w:t xml:space="preserve"> </w:t>
      </w:r>
      <w:r>
        <w:rPr>
          <w:iCs/>
          <w:i/>
        </w:rPr>
        <w:t xml:space="preserve">The Lancet Psychiatry</w:t>
      </w:r>
      <w:r>
        <w:t xml:space="preserve">. 2025;12(6):433–446.</w:t>
      </w:r>
      <w:r>
        <w:t xml:space="preserve"> </w:t>
      </w:r>
      <w:hyperlink r:id="rId4895">
        <w:r>
          <w:rPr>
            <w:rStyle w:val="Hyperlink"/>
          </w:rPr>
          <w:t xml:space="preserve">https://doi.org/10.1016/s2215-0366(25)00105-1</w:t>
        </w:r>
      </w:hyperlink>
    </w:p>
    <w:p>
      <w:pPr>
        <w:pStyle w:val="ReferenceEntry"/>
      </w:pPr>
      <w:bookmarkStart w:id="4896" w:name="ref-1151"/>
      <w:r>
        <w:t xml:space="preserve">[1151]</w:t>
      </w:r>
      <w:bookmarkEnd w:id="4896"/>
      <w:r>
        <w:t xml:space="preserve"> Barnhofer T, Niemi M, Michalak J, et al. Efficacy and Moderators of Mindfulness-Based Cognitive Therapy in Difficult-to-Treat Depression: A Systematic Review and Individual Participant Data Meta-Analysis.</w:t>
      </w:r>
      <w:r>
        <w:t xml:space="preserve"> </w:t>
      </w:r>
      <w:r>
        <w:rPr>
          <w:iCs/>
          <w:i/>
        </w:rPr>
        <w:t xml:space="preserve">Psychotherapy and Psychosomatics</w:t>
      </w:r>
      <w:r>
        <w:t xml:space="preserve">. 2026:1–16（在线发表）.</w:t>
      </w:r>
      <w:r>
        <w:t xml:space="preserve"> </w:t>
      </w:r>
      <w:hyperlink r:id="rId4897">
        <w:r>
          <w:rPr>
            <w:rStyle w:val="Hyperlink"/>
          </w:rPr>
          <w:t xml:space="preserve">https://doi.org/10.1159/000552831</w:t>
        </w:r>
      </w:hyperlink>
    </w:p>
    <w:p>
      <w:pPr>
        <w:pStyle w:val="ReferenceEntry"/>
      </w:pPr>
      <w:bookmarkStart w:id="4898" w:name="ref-1152"/>
      <w:r>
        <w:t xml:space="preserve">[1152]</w:t>
      </w:r>
      <w:bookmarkEnd w:id="4898"/>
      <w:r>
        <w:t xml:space="preserve"> Strauss C, Bibby-Jones AM, Jones F, et al. Clinical Effectiveness and Cost-Effectiveness of Supported Mindfulness-Based Cognitive Therapy Self-help Compared With Supported Cognitive Behavioral Therapy Self-help for Adults Experiencing Depression: The Low-Intensity Guided Help Through Mindfulness (LIGHTMind) Randomized Clinical Trial.</w:t>
      </w:r>
      <w:r>
        <w:t xml:space="preserve"> </w:t>
      </w:r>
      <w:r>
        <w:rPr>
          <w:iCs/>
          <w:i/>
        </w:rPr>
        <w:t xml:space="preserve">JAMA Psychiatry</w:t>
      </w:r>
      <w:r>
        <w:t xml:space="preserve">. 2023;80(5):415–424（2023 年发表更正，涉及作者署名，见</w:t>
      </w:r>
      <w:r>
        <w:t xml:space="preserve"> </w:t>
      </w:r>
      <w:hyperlink r:id="rId4899">
        <w:r>
          <w:rPr>
            <w:rStyle w:val="Hyperlink"/>
          </w:rPr>
          <w:t xml:space="preserve">https://doi.org/10.1001/jamapsychiatry.2023.1466</w:t>
        </w:r>
      </w:hyperlink>
      <w:r>
        <w:t xml:space="preserve">）.</w:t>
      </w:r>
      <w:r>
        <w:t xml:space="preserve"> </w:t>
      </w:r>
      <w:hyperlink r:id="rId4900">
        <w:r>
          <w:rPr>
            <w:rStyle w:val="Hyperlink"/>
          </w:rPr>
          <w:t xml:space="preserve">https://doi.org/10.1001/jamapsychiatry.2023.0222</w:t>
        </w:r>
      </w:hyperlink>
    </w:p>
    <w:p>
      <w:pPr>
        <w:pStyle w:val="ReferenceEntry"/>
      </w:pPr>
      <w:bookmarkStart w:id="4901" w:name="ref-1153"/>
      <w:r>
        <w:t xml:space="preserve">[1153]</w:t>
      </w:r>
      <w:bookmarkEnd w:id="4901"/>
      <w:r>
        <w:t xml:space="preserve"> Hoge EA, Mete M, Baker AW, et al. A randomized controlled trial comparing mindfulness to escitalopram for anxiety: In-person and remote, synchronous delivery pre and post COVID-19 pandemic.</w:t>
      </w:r>
      <w:r>
        <w:t xml:space="preserve"> </w:t>
      </w:r>
      <w:r>
        <w:rPr>
          <w:iCs/>
          <w:i/>
        </w:rPr>
        <w:t xml:space="preserve">Journal of Affective Disorders</w:t>
      </w:r>
      <w:r>
        <w:t xml:space="preserve">. 2025;384:163–172.</w:t>
      </w:r>
      <w:r>
        <w:t xml:space="preserve"> </w:t>
      </w:r>
      <w:hyperlink r:id="rId4902">
        <w:r>
          <w:rPr>
            <w:rStyle w:val="Hyperlink"/>
          </w:rPr>
          <w:t xml:space="preserve">https://doi.org/10.1016/j.jad.2025.04.145</w:t>
        </w:r>
      </w:hyperlink>
    </w:p>
    <w:p>
      <w:pPr>
        <w:pStyle w:val="ReferenceEntry"/>
      </w:pPr>
      <w:bookmarkStart w:id="4903" w:name="ref-1154"/>
      <w:r>
        <w:t xml:space="preserve">[1154]</w:t>
      </w:r>
      <w:bookmarkEnd w:id="4903"/>
      <w:r>
        <w:t xml:space="preserve"> Hu H, Mete M, Rustgi NK, et al. Mindfulness Meditation vs Escitalopram for Treatment of Anxiety Disorders: Secondary Analysis of a Randomized Clinical Trial.</w:t>
      </w:r>
      <w:r>
        <w:t xml:space="preserve"> </w:t>
      </w:r>
      <w:r>
        <w:rPr>
          <w:iCs/>
          <w:i/>
        </w:rPr>
        <w:t xml:space="preserve">JAMA Network Open</w:t>
      </w:r>
      <w:r>
        <w:t xml:space="preserve">. 2024;7(10):e2438453.</w:t>
      </w:r>
      <w:r>
        <w:t xml:space="preserve"> </w:t>
      </w:r>
      <w:hyperlink r:id="rId4904">
        <w:r>
          <w:rPr>
            <w:rStyle w:val="Hyperlink"/>
          </w:rPr>
          <w:t xml:space="preserve">https://doi.org/10.1001/jamanetworkopen.2024.38453</w:t>
        </w:r>
      </w:hyperlink>
    </w:p>
    <w:p>
      <w:pPr>
        <w:pStyle w:val="ReferenceEntry"/>
      </w:pPr>
      <w:bookmarkStart w:id="4905" w:name="ref-1155"/>
      <w:r>
        <w:t xml:space="preserve">[1155]</w:t>
      </w:r>
      <w:bookmarkEnd w:id="4905"/>
      <w:r>
        <w:t xml:space="preserve"> Haller H, Breilmann P, Schröter M, et al. A systematic review and meta-analysis of acceptance- and mindfulness-based interventions for DSM-5 anxiety disorders.</w:t>
      </w:r>
      <w:r>
        <w:t xml:space="preserve"> </w:t>
      </w:r>
      <w:r>
        <w:rPr>
          <w:iCs/>
          <w:i/>
        </w:rPr>
        <w:t xml:space="preserve">Scientific Reports</w:t>
      </w:r>
      <w:r>
        <w:t xml:space="preserve">. 2021;11(1):20385.</w:t>
      </w:r>
      <w:r>
        <w:t xml:space="preserve"> </w:t>
      </w:r>
      <w:hyperlink r:id="rId4906">
        <w:r>
          <w:rPr>
            <w:rStyle w:val="Hyperlink"/>
          </w:rPr>
          <w:t xml:space="preserve">https://doi.org/10.1038/s41598-021-99882-w</w:t>
        </w:r>
      </w:hyperlink>
    </w:p>
    <w:p>
      <w:pPr>
        <w:pStyle w:val="ReferenceEntry"/>
      </w:pPr>
      <w:bookmarkStart w:id="4907" w:name="ref-1156"/>
      <w:r>
        <w:t xml:space="preserve">[1156]</w:t>
      </w:r>
      <w:bookmarkEnd w:id="4907"/>
      <w:r>
        <w:t xml:space="preserve"> Hilton L, Hempel S, Ewing BA, et al. Mindfulness Meditation for Chronic Pain: Systematic Review and Meta-analysis.</w:t>
      </w:r>
      <w:r>
        <w:t xml:space="preserve"> </w:t>
      </w:r>
      <w:r>
        <w:rPr>
          <w:iCs/>
          <w:i/>
        </w:rPr>
        <w:t xml:space="preserve">Annals of Behavioral Medicine</w:t>
      </w:r>
      <w:r>
        <w:t xml:space="preserve">. 2017;51(2):199–213.</w:t>
      </w:r>
      <w:r>
        <w:t xml:space="preserve"> </w:t>
      </w:r>
      <w:hyperlink r:id="rId4908">
        <w:r>
          <w:rPr>
            <w:rStyle w:val="Hyperlink"/>
          </w:rPr>
          <w:t xml:space="preserve">https://doi.org/10.1007/s12160-016-9844-2</w:t>
        </w:r>
      </w:hyperlink>
    </w:p>
    <w:p>
      <w:pPr>
        <w:pStyle w:val="ReferenceEntry"/>
      </w:pPr>
      <w:bookmarkStart w:id="4909" w:name="ref-1157"/>
      <w:r>
        <w:t xml:space="preserve">[1157]</w:t>
      </w:r>
      <w:bookmarkEnd w:id="4909"/>
      <w:r>
        <w:t xml:space="preserve"> Sharpe L, Richmond B, Menzies RE, et al. A synthesis of meta-analyses of mindfulness-based interventions in pain.</w:t>
      </w:r>
      <w:r>
        <w:t xml:space="preserve"> </w:t>
      </w:r>
      <w:r>
        <w:rPr>
          <w:iCs/>
          <w:i/>
        </w:rPr>
        <w:t xml:space="preserve">Pain</w:t>
      </w:r>
      <w:r>
        <w:t xml:space="preserve">. 2024;165(1):18–28.</w:t>
      </w:r>
      <w:r>
        <w:t xml:space="preserve"> </w:t>
      </w:r>
      <w:hyperlink r:id="rId4910">
        <w:r>
          <w:rPr>
            <w:rStyle w:val="Hyperlink"/>
          </w:rPr>
          <w:t xml:space="preserve">https://doi.org/10.1097/j.pain.0000000000002997</w:t>
        </w:r>
      </w:hyperlink>
    </w:p>
    <w:p>
      <w:pPr>
        <w:pStyle w:val="ReferenceEntry"/>
      </w:pPr>
      <w:bookmarkStart w:id="4911" w:name="ref-1158"/>
      <w:r>
        <w:t xml:space="preserve">[1158]</w:t>
      </w:r>
      <w:bookmarkEnd w:id="4911"/>
      <w:r>
        <w:t xml:space="preserve"> Burgess DJ, Calvert C, Hagel Campbell EM, et al. Telehealth Mindfulness-Based Interventions for Chronic Pain: The LAMP Randomized Clinical Trial.</w:t>
      </w:r>
      <w:r>
        <w:t xml:space="preserve"> </w:t>
      </w:r>
      <w:r>
        <w:rPr>
          <w:iCs/>
          <w:i/>
        </w:rPr>
        <w:t xml:space="preserve">JAMA Internal Medicine</w:t>
      </w:r>
      <w:r>
        <w:t xml:space="preserve">. 2024;184(10):1163–1173（2024 年发表更正，涉及表 2，见</w:t>
      </w:r>
      <w:r>
        <w:t xml:space="preserve"> </w:t>
      </w:r>
      <w:hyperlink r:id="rId4912">
        <w:r>
          <w:rPr>
            <w:rStyle w:val="Hyperlink"/>
          </w:rPr>
          <w:t xml:space="preserve">https://doi.org/10.1001/jamainternmed.2024.5487</w:t>
        </w:r>
      </w:hyperlink>
      <w:r>
        <w:t xml:space="preserve">）.</w:t>
      </w:r>
      <w:r>
        <w:t xml:space="preserve"> </w:t>
      </w:r>
      <w:hyperlink r:id="rId4913">
        <w:r>
          <w:rPr>
            <w:rStyle w:val="Hyperlink"/>
          </w:rPr>
          <w:t xml:space="preserve">https://doi.org/10.1001/jamainternmed.2024.3940</w:t>
        </w:r>
      </w:hyperlink>
    </w:p>
    <w:p>
      <w:pPr>
        <w:pStyle w:val="ReferenceEntry"/>
      </w:pPr>
      <w:bookmarkStart w:id="4914" w:name="ref-1159"/>
      <w:r>
        <w:t xml:space="preserve">[1159]</w:t>
      </w:r>
      <w:bookmarkEnd w:id="4914"/>
      <w:r>
        <w:t xml:space="preserve"> Cherkin DC, Sherman KJ, Balderson BH, et al. Effect of Mindfulness-Based Stress Reduction vs Cognitive Behavioral Therapy or Usual Care on Back Pain and Functional Limitations in Adults With Chronic Low Back Pain: A Randomized Clinical Trial.</w:t>
      </w:r>
      <w:r>
        <w:t xml:space="preserve"> </w:t>
      </w:r>
      <w:r>
        <w:rPr>
          <w:iCs/>
          <w:i/>
        </w:rPr>
        <w:t xml:space="preserve">JAMA</w:t>
      </w:r>
      <w:r>
        <w:t xml:space="preserve">. 2016;315(12):1240.</w:t>
      </w:r>
      <w:r>
        <w:t xml:space="preserve"> </w:t>
      </w:r>
      <w:hyperlink r:id="rId4915">
        <w:r>
          <w:rPr>
            <w:rStyle w:val="Hyperlink"/>
          </w:rPr>
          <w:t xml:space="preserve">https://doi.org/10.1001/jama.2016.2323</w:t>
        </w:r>
      </w:hyperlink>
    </w:p>
    <w:p>
      <w:pPr>
        <w:pStyle w:val="ReferenceEntry"/>
      </w:pPr>
      <w:bookmarkStart w:id="4916" w:name="ref-1160"/>
      <w:r>
        <w:t xml:space="preserve">[1160]</w:t>
      </w:r>
      <w:bookmarkEnd w:id="4916"/>
      <w:r>
        <w:t xml:space="preserve"> Zgierska AE, Edwards RR, Barrett B, et al. Mindfulness vs Cognitive Behavioral Therapy for Chronic Low Back Pain Treated With Opioids: A Randomized Clinical Trial.</w:t>
      </w:r>
      <w:r>
        <w:t xml:space="preserve"> </w:t>
      </w:r>
      <w:r>
        <w:rPr>
          <w:iCs/>
          <w:i/>
        </w:rPr>
        <w:t xml:space="preserve">JAMA Network Open</w:t>
      </w:r>
      <w:r>
        <w:t xml:space="preserve">. 2025;8(4):e253204.</w:t>
      </w:r>
      <w:r>
        <w:t xml:space="preserve"> </w:t>
      </w:r>
      <w:hyperlink r:id="rId4917">
        <w:r>
          <w:rPr>
            <w:rStyle w:val="Hyperlink"/>
          </w:rPr>
          <w:t xml:space="preserve">https://doi.org/10.1001/jamanetworkopen.2025.3204</w:t>
        </w:r>
      </w:hyperlink>
    </w:p>
    <w:p>
      <w:pPr>
        <w:pStyle w:val="ReferenceEntry"/>
      </w:pPr>
      <w:bookmarkStart w:id="4918" w:name="ref-1161"/>
      <w:r>
        <w:t xml:space="preserve">[1161]</w:t>
      </w:r>
      <w:bookmarkEnd w:id="4918"/>
      <w:r>
        <w:t xml:space="preserve"> Amorim AB, Gianola M, Barrows D, et al. Mindfulness meditation reduces pain more effectively than slow-breathing meditation: the mediating role of respiration.</w:t>
      </w:r>
      <w:r>
        <w:t xml:space="preserve"> </w:t>
      </w:r>
      <w:r>
        <w:rPr>
          <w:iCs/>
          <w:i/>
        </w:rPr>
        <w:t xml:space="preserve">Pain</w:t>
      </w:r>
      <w:r>
        <w:t xml:space="preserve">. 2026;167(3):678–690.</w:t>
      </w:r>
      <w:r>
        <w:t xml:space="preserve"> </w:t>
      </w:r>
      <w:hyperlink r:id="rId4919">
        <w:r>
          <w:rPr>
            <w:rStyle w:val="Hyperlink"/>
          </w:rPr>
          <w:t xml:space="preserve">https://doi.org/10.1097/j.pain.0000000000003832</w:t>
        </w:r>
      </w:hyperlink>
    </w:p>
    <w:p>
      <w:pPr>
        <w:pStyle w:val="ReferenceEntry"/>
      </w:pPr>
      <w:bookmarkStart w:id="4920" w:name="ref-1162"/>
      <w:r>
        <w:t xml:space="preserve">[1162]</w:t>
      </w:r>
      <w:bookmarkEnd w:id="4920"/>
      <w:r>
        <w:t xml:space="preserve"> Case L, Adler-Neal AL, Wells RE, et al. The Role of Expectations and Endogenous Opioids in Mindfulness-Based Relief of Experimentally Induced Acute Pain.</w:t>
      </w:r>
      <w:r>
        <w:t xml:space="preserve"> </w:t>
      </w:r>
      <w:r>
        <w:rPr>
          <w:iCs/>
          <w:i/>
        </w:rPr>
        <w:t xml:space="preserve">Psychosomatic Medicine</w:t>
      </w:r>
      <w:r>
        <w:t xml:space="preserve">. 2021;83(6):549–556.</w:t>
      </w:r>
      <w:r>
        <w:t xml:space="preserve"> </w:t>
      </w:r>
      <w:hyperlink r:id="rId4921">
        <w:r>
          <w:rPr>
            <w:rStyle w:val="Hyperlink"/>
          </w:rPr>
          <w:t xml:space="preserve">https://doi.org/10.1097/psy.0000000000000908</w:t>
        </w:r>
      </w:hyperlink>
    </w:p>
    <w:p>
      <w:pPr>
        <w:pStyle w:val="ReferenceEntry"/>
      </w:pPr>
      <w:bookmarkStart w:id="4922" w:name="ref-1163"/>
      <w:r>
        <w:t xml:space="preserve">[1163]</w:t>
      </w:r>
      <w:bookmarkEnd w:id="4922"/>
      <w:r>
        <w:t xml:space="preserve"> Carlson LE, Ismaila N, Addington EL, et al. Integrative Oncology Care of Symptoms of Anxiety and Depression in Adults With Cancer: Society for Integrative Oncology–ASCO Guideline.</w:t>
      </w:r>
      <w:r>
        <w:t xml:space="preserve"> </w:t>
      </w:r>
      <w:r>
        <w:rPr>
          <w:iCs/>
          <w:i/>
        </w:rPr>
        <w:t xml:space="preserve">Journal of Clinical Oncology</w:t>
      </w:r>
      <w:r>
        <w:t xml:space="preserve">. 2023;41(28):4562–4591.</w:t>
      </w:r>
      <w:r>
        <w:t xml:space="preserve"> </w:t>
      </w:r>
      <w:hyperlink r:id="rId4923">
        <w:r>
          <w:rPr>
            <w:rStyle w:val="Hyperlink"/>
          </w:rPr>
          <w:t xml:space="preserve">https://doi.org/10.1200/jco.23.00857</w:t>
        </w:r>
      </w:hyperlink>
    </w:p>
    <w:p>
      <w:pPr>
        <w:pStyle w:val="ReferenceEntry"/>
      </w:pPr>
      <w:bookmarkStart w:id="4924" w:name="ref-1164"/>
      <w:r>
        <w:t xml:space="preserve">[1164]</w:t>
      </w:r>
      <w:bookmarkEnd w:id="4924"/>
      <w:r>
        <w:t xml:space="preserve"> Garland EL, Hanley AW, Nakamura Y, et al. Mindfulness-Oriented Recovery Enhancement vs Supportive Group Therapy for Co-occurring Opioid Misuse and Chronic Pain in Primary Care: A Randomized Clinical Trial.</w:t>
      </w:r>
      <w:r>
        <w:t xml:space="preserve"> </w:t>
      </w:r>
      <w:r>
        <w:rPr>
          <w:iCs/>
          <w:i/>
        </w:rPr>
        <w:t xml:space="preserve">JAMA Internal Medicine</w:t>
      </w:r>
      <w:r>
        <w:t xml:space="preserve">. 2022;182(4):407–417.</w:t>
      </w:r>
      <w:r>
        <w:t xml:space="preserve"> </w:t>
      </w:r>
      <w:hyperlink r:id="rId4925">
        <w:r>
          <w:rPr>
            <w:rStyle w:val="Hyperlink"/>
          </w:rPr>
          <w:t xml:space="preserve">https://doi.org/10.1001/jamainternmed.2022.0033</w:t>
        </w:r>
      </w:hyperlink>
    </w:p>
    <w:p>
      <w:pPr>
        <w:pStyle w:val="ReferenceEntry"/>
      </w:pPr>
      <w:bookmarkStart w:id="4926" w:name="ref-1165"/>
      <w:r>
        <w:t xml:space="preserve">[1165]</w:t>
      </w:r>
      <w:bookmarkEnd w:id="4926"/>
      <w:r>
        <w:t xml:space="preserve"> Garland EL, Nakamura Y, Bryan CJ, et al. Mindfulness-Oriented Recovery Enhancement for Veterans and Military Personnel on Long-Term Opioid Therapy for Chronic Pain: A Randomized Clinical Trial.</w:t>
      </w:r>
      <w:r>
        <w:t xml:space="preserve"> </w:t>
      </w:r>
      <w:r>
        <w:rPr>
          <w:iCs/>
          <w:i/>
        </w:rPr>
        <w:t xml:space="preserve">American Journal of Psychiatry</w:t>
      </w:r>
      <w:r>
        <w:t xml:space="preserve">. 2024;181(2):125–134.</w:t>
      </w:r>
      <w:r>
        <w:t xml:space="preserve"> </w:t>
      </w:r>
      <w:hyperlink r:id="rId4927">
        <w:r>
          <w:rPr>
            <w:rStyle w:val="Hyperlink"/>
          </w:rPr>
          <w:t xml:space="preserve">https://doi.org/10.1176/appi.ajp.20230272</w:t>
        </w:r>
      </w:hyperlink>
    </w:p>
    <w:p>
      <w:pPr>
        <w:pStyle w:val="ReferenceEntry"/>
      </w:pPr>
      <w:bookmarkStart w:id="4928" w:name="ref-1166"/>
      <w:r>
        <w:t xml:space="preserve">[1166]</w:t>
      </w:r>
      <w:bookmarkEnd w:id="4928"/>
      <w:r>
        <w:t xml:space="preserve"> Brewer JA, Mallik S, Babuscio TA, et al. Mindfulness training for smoking cessation: Results from a randomized controlled trial.</w:t>
      </w:r>
      <w:r>
        <w:t xml:space="preserve"> </w:t>
      </w:r>
      <w:r>
        <w:rPr>
          <w:iCs/>
          <w:i/>
        </w:rPr>
        <w:t xml:space="preserve">Drug and Alcohol Dependence</w:t>
      </w:r>
      <w:r>
        <w:t xml:space="preserve">. 2011;119(1-2):72–80.</w:t>
      </w:r>
      <w:r>
        <w:t xml:space="preserve"> </w:t>
      </w:r>
      <w:hyperlink r:id="rId4929">
        <w:r>
          <w:rPr>
            <w:rStyle w:val="Hyperlink"/>
          </w:rPr>
          <w:t xml:space="preserve">https://doi.org/10.1016/j.drugalcdep.2011.05.027</w:t>
        </w:r>
      </w:hyperlink>
    </w:p>
    <w:p>
      <w:pPr>
        <w:pStyle w:val="ReferenceEntry"/>
      </w:pPr>
      <w:bookmarkStart w:id="4930" w:name="ref-1167"/>
      <w:r>
        <w:t xml:space="preserve">[1167]</w:t>
      </w:r>
      <w:bookmarkEnd w:id="4930"/>
      <w:r>
        <w:t xml:space="preserve"> Garrison KA, Pal P, O'Malley SS, et al. Craving to Quit: A Randomized Controlled Trial of Smartphone App–Based Mindfulness Training for Smoking Cessation.</w:t>
      </w:r>
      <w:r>
        <w:t xml:space="preserve"> </w:t>
      </w:r>
      <w:r>
        <w:rPr>
          <w:iCs/>
          <w:i/>
        </w:rPr>
        <w:t xml:space="preserve">Nicotine and Tobacco Research</w:t>
      </w:r>
      <w:r>
        <w:t xml:space="preserve">. 2020;22(3):324–331.</w:t>
      </w:r>
      <w:r>
        <w:t xml:space="preserve"> </w:t>
      </w:r>
      <w:hyperlink r:id="rId4931">
        <w:r>
          <w:rPr>
            <w:rStyle w:val="Hyperlink"/>
          </w:rPr>
          <w:t xml:space="preserve">https://doi.org/10.1093/ntr/nty126</w:t>
        </w:r>
      </w:hyperlink>
    </w:p>
    <w:p>
      <w:pPr>
        <w:pStyle w:val="ReferenceEntry"/>
      </w:pPr>
      <w:bookmarkStart w:id="4932" w:name="ref-1168"/>
      <w:r>
        <w:t xml:space="preserve">[1168]</w:t>
      </w:r>
      <w:bookmarkEnd w:id="4932"/>
      <w:r>
        <w:t xml:space="preserve"> Jackson S, Brown J, Norris E, et al. Mindfulness for smoking cessation.</w:t>
      </w:r>
      <w:r>
        <w:t xml:space="preserve"> </w:t>
      </w:r>
      <w:r>
        <w:rPr>
          <w:iCs/>
          <w:i/>
        </w:rPr>
        <w:t xml:space="preserve">Cochrane Database of Systematic Reviews</w:t>
      </w:r>
      <w:r>
        <w:t xml:space="preserve">. 2022;4(4):CD013696.</w:t>
      </w:r>
      <w:r>
        <w:t xml:space="preserve"> </w:t>
      </w:r>
      <w:hyperlink r:id="rId4933">
        <w:r>
          <w:rPr>
            <w:rStyle w:val="Hyperlink"/>
          </w:rPr>
          <w:t xml:space="preserve">https://doi.org/10.1002/14651858.cd013696.pub2</w:t>
        </w:r>
      </w:hyperlink>
    </w:p>
    <w:p>
      <w:pPr>
        <w:pStyle w:val="ReferenceEntry"/>
      </w:pPr>
      <w:bookmarkStart w:id="4934" w:name="ref-1169"/>
      <w:r>
        <w:t xml:space="preserve">[1169]</w:t>
      </w:r>
      <w:bookmarkEnd w:id="4934"/>
      <w:r>
        <w:t xml:space="preserve"> Black DS, Kirkpatrick MG. Effect of a mindfulness training app on a cigarette quit attempt: an investigator-blinded, 58-county randomized controlled trial.</w:t>
      </w:r>
      <w:r>
        <w:t xml:space="preserve"> </w:t>
      </w:r>
      <w:r>
        <w:rPr>
          <w:iCs/>
          <w:i/>
        </w:rPr>
        <w:t xml:space="preserve">JNCI Cancer Spectrum</w:t>
      </w:r>
      <w:r>
        <w:t xml:space="preserve">. 2023;7(6):pkad095.</w:t>
      </w:r>
      <w:r>
        <w:t xml:space="preserve"> </w:t>
      </w:r>
      <w:hyperlink r:id="rId4935">
        <w:r>
          <w:rPr>
            <w:rStyle w:val="Hyperlink"/>
          </w:rPr>
          <w:t xml:space="preserve">https://doi.org/10.1093/jncics/pkad095</w:t>
        </w:r>
      </w:hyperlink>
    </w:p>
    <w:p>
      <w:pPr>
        <w:pStyle w:val="ReferenceEntry"/>
      </w:pPr>
      <w:bookmarkStart w:id="4936" w:name="ref-1170"/>
      <w:r>
        <w:t xml:space="preserve">[1170]</w:t>
      </w:r>
      <w:bookmarkEnd w:id="4936"/>
      <w:r>
        <w:t xml:space="preserve"> Rusch HL, Rosario M, Levison LM, et al. The effect of mindfulness meditation on sleep quality: a systematic review and meta‐analysis of randomized controlled trials.</w:t>
      </w:r>
      <w:r>
        <w:t xml:space="preserve"> </w:t>
      </w:r>
      <w:r>
        <w:rPr>
          <w:iCs/>
          <w:i/>
        </w:rPr>
        <w:t xml:space="preserve">Annals of the New York Academy of Sciences</w:t>
      </w:r>
      <w:r>
        <w:t xml:space="preserve">. 2019;1445(1):5–16.</w:t>
      </w:r>
      <w:r>
        <w:t xml:space="preserve"> </w:t>
      </w:r>
      <w:hyperlink r:id="rId4937">
        <w:r>
          <w:rPr>
            <w:rStyle w:val="Hyperlink"/>
          </w:rPr>
          <w:t xml:space="preserve">https://doi.org/10.1111/nyas.13996</w:t>
        </w:r>
      </w:hyperlink>
    </w:p>
    <w:p>
      <w:pPr>
        <w:pStyle w:val="ReferenceEntry"/>
      </w:pPr>
      <w:bookmarkStart w:id="4938" w:name="ref-1171"/>
      <w:r>
        <w:t xml:space="preserve">[1171]</w:t>
      </w:r>
      <w:bookmarkEnd w:id="4938"/>
      <w:r>
        <w:t xml:space="preserve"> Department of Veterans Affairs, Department of Defense. VA/DoD Clinical Practice Guideline for the Management of Chronic Insomnia Disorder and Obstructive Sleep Apnea（Version 3.0）. 2025.</w:t>
      </w:r>
      <w:r>
        <w:t xml:space="preserve"> </w:t>
      </w:r>
      <w:hyperlink r:id="rId4939">
        <w:r>
          <w:rPr>
            <w:rStyle w:val="Hyperlink"/>
          </w:rPr>
          <w:t xml:space="preserve">https://www.healthquality.va.gov/HEALTHQUALITY/guidelines/CD/insomnia/index.asp</w:t>
        </w:r>
      </w:hyperlink>
      <w:r>
        <w:t xml:space="preserve">（2026 年 10 月访问）</w:t>
      </w:r>
    </w:p>
    <w:p>
      <w:pPr>
        <w:pStyle w:val="ReferenceEntry"/>
      </w:pPr>
      <w:bookmarkStart w:id="4940" w:name="ref-1172"/>
      <w:r>
        <w:t xml:space="preserve">[1172]</w:t>
      </w:r>
      <w:bookmarkEnd w:id="4940"/>
      <w:r>
        <w:t xml:space="preserve"> Levine GN, Lange RA, Bairey-Merz CN, et al. Meditation and Cardiovascular Risk Reduction: A Scientific Statement From the American Heart Association.</w:t>
      </w:r>
      <w:r>
        <w:t xml:space="preserve"> </w:t>
      </w:r>
      <w:r>
        <w:rPr>
          <w:iCs/>
          <w:i/>
        </w:rPr>
        <w:t xml:space="preserve">Journal of the American Heart Association</w:t>
      </w:r>
      <w:r>
        <w:t xml:space="preserve">. 2017;6(10):e002218.</w:t>
      </w:r>
      <w:r>
        <w:t xml:space="preserve"> </w:t>
      </w:r>
      <w:hyperlink r:id="rId4941">
        <w:r>
          <w:rPr>
            <w:rStyle w:val="Hyperlink"/>
          </w:rPr>
          <w:t xml:space="preserve">https://doi.org/10.1161/jaha.117.002218</w:t>
        </w:r>
      </w:hyperlink>
    </w:p>
    <w:p>
      <w:pPr>
        <w:pStyle w:val="ReferenceEntry"/>
      </w:pPr>
      <w:bookmarkStart w:id="4942" w:name="ref-1173"/>
      <w:r>
        <w:t xml:space="preserve">[1173]</w:t>
      </w:r>
      <w:bookmarkEnd w:id="4942"/>
      <w:r>
        <w:t xml:space="preserve"> Jones DW, Ferdinand KC, Taler SJ, et al. 2025 AHA/ACC/AANP/AAPA/ABC/ACCP/ACPM/AGS/AMA/ASPC/NMA/PCNA/SGIM Guideline for the Prevention, Detection, Evaluation, and Management of High Blood Pressure in Adults.</w:t>
      </w:r>
      <w:r>
        <w:t xml:space="preserve"> </w:t>
      </w:r>
      <w:r>
        <w:rPr>
          <w:iCs/>
          <w:i/>
        </w:rPr>
        <w:t xml:space="preserve">JACC</w:t>
      </w:r>
      <w:r>
        <w:t xml:space="preserve">. 2025;86(18):1567–1678.</w:t>
      </w:r>
      <w:r>
        <w:t xml:space="preserve"> </w:t>
      </w:r>
      <w:hyperlink r:id="rId4943">
        <w:r>
          <w:rPr>
            <w:rStyle w:val="Hyperlink"/>
          </w:rPr>
          <w:t xml:space="preserve">https://doi.org/10.1016/j.jacc.2025.05.007</w:t>
        </w:r>
      </w:hyperlink>
    </w:p>
    <w:p>
      <w:pPr>
        <w:pStyle w:val="ReferenceEntry"/>
      </w:pPr>
      <w:bookmarkStart w:id="4944" w:name="ref-1174"/>
      <w:r>
        <w:t xml:space="preserve">[1174]</w:t>
      </w:r>
      <w:bookmarkEnd w:id="4944"/>
      <w:r>
        <w:t xml:space="preserve"> Lee EK, Wang S, Ng CS, et al. Mindfulness based interventions for blood pressure reduction: systematic and umbrella review of existing meta-analyses.</w:t>
      </w:r>
      <w:r>
        <w:t xml:space="preserve"> </w:t>
      </w:r>
      <w:r>
        <w:rPr>
          <w:iCs/>
          <w:i/>
        </w:rPr>
        <w:t xml:space="preserve">Journal of Human Hypertension</w:t>
      </w:r>
      <w:r>
        <w:t xml:space="preserve">. 2026;40(9):689–701.</w:t>
      </w:r>
      <w:r>
        <w:t xml:space="preserve"> </w:t>
      </w:r>
      <w:hyperlink r:id="rId4945">
        <w:r>
          <w:rPr>
            <w:rStyle w:val="Hyperlink"/>
          </w:rPr>
          <w:t xml:space="preserve">https://doi.org/10.1038/s41371-026-01173-2</w:t>
        </w:r>
      </w:hyperlink>
    </w:p>
    <w:p>
      <w:pPr>
        <w:pStyle w:val="ReferenceEntry"/>
      </w:pPr>
      <w:bookmarkStart w:id="4946" w:name="ref-1175"/>
      <w:r>
        <w:t xml:space="preserve">[1175]</w:t>
      </w:r>
      <w:bookmarkEnd w:id="4946"/>
      <w:r>
        <w:t xml:space="preserve"> Loucks EB, Schuman-Olivier Z, Saadeh FB, et al. Effect of Adapted Mindfulness Training in Participants With Elevated Office Blood Pressure: The MB‐BP Study: A Randomized Clinical Trial.</w:t>
      </w:r>
      <w:r>
        <w:t xml:space="preserve"> </w:t>
      </w:r>
      <w:r>
        <w:rPr>
          <w:iCs/>
          <w:i/>
        </w:rPr>
        <w:t xml:space="preserve">Journal of the American Heart Association</w:t>
      </w:r>
      <w:r>
        <w:t xml:space="preserve">. 2023;12(11):e028712.</w:t>
      </w:r>
      <w:r>
        <w:t xml:space="preserve"> </w:t>
      </w:r>
      <w:hyperlink r:id="rId4947">
        <w:r>
          <w:rPr>
            <w:rStyle w:val="Hyperlink"/>
          </w:rPr>
          <w:t xml:space="preserve">https://doi.org/10.1161/jaha.122.028712</w:t>
        </w:r>
      </w:hyperlink>
    </w:p>
    <w:p>
      <w:pPr>
        <w:pStyle w:val="ReferenceEntry"/>
      </w:pPr>
      <w:bookmarkStart w:id="4948" w:name="ref-1176"/>
      <w:r>
        <w:t xml:space="preserve">[1176]</w:t>
      </w:r>
      <w:bookmarkEnd w:id="4948"/>
      <w:r>
        <w:t xml:space="preserve"> Loucks EB, Kronish IM, Saadeh FB, et al. Adapted Mindfulness Training for Interoception and Adherence to the DASH Diet: A Phase 2 Randomized Clinical Trial.</w:t>
      </w:r>
      <w:r>
        <w:t xml:space="preserve"> </w:t>
      </w:r>
      <w:r>
        <w:rPr>
          <w:iCs/>
          <w:i/>
        </w:rPr>
        <w:t xml:space="preserve">JAMA Network Open</w:t>
      </w:r>
      <w:r>
        <w:t xml:space="preserve">. 2023;6(11):e2339243.</w:t>
      </w:r>
      <w:r>
        <w:t xml:space="preserve"> </w:t>
      </w:r>
      <w:hyperlink r:id="rId4949">
        <w:r>
          <w:rPr>
            <w:rStyle w:val="Hyperlink"/>
          </w:rPr>
          <w:t xml:space="preserve">https://doi.org/10.1001/jamanetworkopen.2023.39243</w:t>
        </w:r>
      </w:hyperlink>
    </w:p>
    <w:p>
      <w:pPr>
        <w:pStyle w:val="ReferenceEntry"/>
      </w:pPr>
      <w:bookmarkStart w:id="4950" w:name="ref-1177"/>
      <w:r>
        <w:t xml:space="preserve">[1177]</w:t>
      </w:r>
      <w:bookmarkEnd w:id="4950"/>
      <w:r>
        <w:t xml:space="preserve"> Montero-Marin J, Allwood M, Ball S, et al. School-based mindfulness training in early adolescence: what works, for whom and how in the MYRIAD trial?</w:t>
      </w:r>
      <w:r>
        <w:t xml:space="preserve"> </w:t>
      </w:r>
      <w:r>
        <w:rPr>
          <w:iCs/>
          <w:i/>
        </w:rPr>
        <w:t xml:space="preserve">Evidence Based Mental Health</w:t>
      </w:r>
      <w:r>
        <w:t xml:space="preserve">. 2022;25(3):117–124.</w:t>
      </w:r>
      <w:r>
        <w:t xml:space="preserve"> </w:t>
      </w:r>
      <w:hyperlink r:id="rId4951">
        <w:r>
          <w:rPr>
            <w:rStyle w:val="Hyperlink"/>
          </w:rPr>
          <w:t xml:space="preserve">https://doi.org/10.1136/ebmental-2022-300439</w:t>
        </w:r>
      </w:hyperlink>
    </w:p>
    <w:p>
      <w:pPr>
        <w:pStyle w:val="ReferenceEntry"/>
      </w:pPr>
      <w:bookmarkStart w:id="4952" w:name="ref-1178"/>
      <w:r>
        <w:t xml:space="preserve">[1178]</w:t>
      </w:r>
      <w:bookmarkEnd w:id="4952"/>
      <w:r>
        <w:t xml:space="preserve"> Dunning D, Tudor K, Radley L, et al. Do mindfulness-based programmes improve the cognitive skills, behaviour and mental health of children and adolescents? An updated meta-analysis of randomised controlled trials.</w:t>
      </w:r>
      <w:r>
        <w:t xml:space="preserve"> </w:t>
      </w:r>
      <w:r>
        <w:rPr>
          <w:iCs/>
          <w:i/>
        </w:rPr>
        <w:t xml:space="preserve">Evidence Based Mental Health</w:t>
      </w:r>
      <w:r>
        <w:t xml:space="preserve">. 2022;25(3):135–142.</w:t>
      </w:r>
      <w:r>
        <w:t xml:space="preserve"> </w:t>
      </w:r>
      <w:hyperlink r:id="rId4953">
        <w:r>
          <w:rPr>
            <w:rStyle w:val="Hyperlink"/>
          </w:rPr>
          <w:t xml:space="preserve">https://doi.org/10.1136/ebmental-2022-300464</w:t>
        </w:r>
      </w:hyperlink>
    </w:p>
    <w:p>
      <w:pPr>
        <w:pStyle w:val="ReferenceEntry"/>
      </w:pPr>
      <w:bookmarkStart w:id="4954" w:name="ref-1179"/>
      <w:r>
        <w:t xml:space="preserve">[1179]</w:t>
      </w:r>
      <w:bookmarkEnd w:id="4954"/>
      <w:r>
        <w:t xml:space="preserve"> Galante J, Friedrich C, Dawson AF, et al. Mindfulness-based programmes for mental health promotion in adults in nonclinical settings: A systematic review and meta-analysis of randomised controlled trials.</w:t>
      </w:r>
      <w:r>
        <w:t xml:space="preserve"> </w:t>
      </w:r>
      <w:r>
        <w:rPr>
          <w:iCs/>
          <w:i/>
        </w:rPr>
        <w:t xml:space="preserve">PLOS Medicine</w:t>
      </w:r>
      <w:r>
        <w:t xml:space="preserve">. 2021;18(1):e1003481.</w:t>
      </w:r>
      <w:r>
        <w:t xml:space="preserve"> </w:t>
      </w:r>
      <w:hyperlink r:id="rId4955">
        <w:r>
          <w:rPr>
            <w:rStyle w:val="Hyperlink"/>
          </w:rPr>
          <w:t xml:space="preserve">https://doi.org/10.1371/journal.pmed.1003481</w:t>
        </w:r>
      </w:hyperlink>
    </w:p>
    <w:p>
      <w:pPr>
        <w:pStyle w:val="ReferenceEntry"/>
      </w:pPr>
      <w:bookmarkStart w:id="4956" w:name="ref-1180"/>
      <w:r>
        <w:t xml:space="preserve">[1180]</w:t>
      </w:r>
      <w:bookmarkEnd w:id="4956"/>
      <w:r>
        <w:t xml:space="preserve"> Galante J, Friedrich C, Collaboration of Mindfulness Trials (CoMinT), et al. Systematic review and individual participant data meta-analysis of randomized controlled trials assessing mindfulness-based programs for mental health promotion.</w:t>
      </w:r>
      <w:r>
        <w:t xml:space="preserve"> </w:t>
      </w:r>
      <w:r>
        <w:rPr>
          <w:iCs/>
          <w:i/>
        </w:rPr>
        <w:t xml:space="preserve">Nature Mental Health</w:t>
      </w:r>
      <w:r>
        <w:t xml:space="preserve">. 2023;1(7):462–476.</w:t>
      </w:r>
      <w:r>
        <w:t xml:space="preserve"> </w:t>
      </w:r>
      <w:hyperlink r:id="rId4957">
        <w:r>
          <w:rPr>
            <w:rStyle w:val="Hyperlink"/>
          </w:rPr>
          <w:t xml:space="preserve">https://doi.org/10.1038/s44220-023-00081-5</w:t>
        </w:r>
      </w:hyperlink>
    </w:p>
    <w:p>
      <w:pPr>
        <w:pStyle w:val="ReferenceEntry"/>
      </w:pPr>
      <w:bookmarkStart w:id="4958" w:name="ref-1181"/>
      <w:r>
        <w:t xml:space="preserve">[1181]</w:t>
      </w:r>
      <w:bookmarkEnd w:id="4958"/>
      <w:r>
        <w:t xml:space="preserve"> Bartlett L, Martin A, Neil AL, et al. A systematic review and meta-analysis of workplace mindfulness training randomized controlled trials.</w:t>
      </w:r>
      <w:r>
        <w:t xml:space="preserve"> </w:t>
      </w:r>
      <w:r>
        <w:rPr>
          <w:iCs/>
          <w:i/>
        </w:rPr>
        <w:t xml:space="preserve">Journal of Occupational Health Psychology</w:t>
      </w:r>
      <w:r>
        <w:t xml:space="preserve">. 2019;24(1):108–126.</w:t>
      </w:r>
      <w:r>
        <w:t xml:space="preserve"> </w:t>
      </w:r>
      <w:hyperlink r:id="rId4959">
        <w:r>
          <w:rPr>
            <w:rStyle w:val="Hyperlink"/>
          </w:rPr>
          <w:t xml:space="preserve">https://doi.org/10.1037/ocp0000146</w:t>
        </w:r>
      </w:hyperlink>
    </w:p>
    <w:p>
      <w:pPr>
        <w:pStyle w:val="ReferenceEntry"/>
      </w:pPr>
      <w:bookmarkStart w:id="4960" w:name="ref-1182"/>
      <w:r>
        <w:t xml:space="preserve">[1182]</w:t>
      </w:r>
      <w:bookmarkEnd w:id="4960"/>
      <w:r>
        <w:t xml:space="preserve"> Fleming WJ. Employee well‐being outcomes from individual‐level mental health interventions: Cross‐sectional evidence from the United Kingdom.</w:t>
      </w:r>
      <w:r>
        <w:t xml:space="preserve"> </w:t>
      </w:r>
      <w:r>
        <w:rPr>
          <w:iCs/>
          <w:i/>
        </w:rPr>
        <w:t xml:space="preserve">Industrial Relations Journal</w:t>
      </w:r>
      <w:r>
        <w:t xml:space="preserve">. 2024;55(2):162–182.</w:t>
      </w:r>
      <w:r>
        <w:t xml:space="preserve"> </w:t>
      </w:r>
      <w:hyperlink r:id="rId4961">
        <w:r>
          <w:rPr>
            <w:rStyle w:val="Hyperlink"/>
          </w:rPr>
          <w:t xml:space="preserve">https://doi.org/10.1111/irj.12418</w:t>
        </w:r>
      </w:hyperlink>
    </w:p>
    <w:p>
      <w:pPr>
        <w:pStyle w:val="ReferenceEntry"/>
      </w:pPr>
      <w:bookmarkStart w:id="4962" w:name="ref-1183"/>
      <w:r>
        <w:t xml:space="preserve">[1183]</w:t>
      </w:r>
      <w:bookmarkEnd w:id="4962"/>
      <w:r>
        <w:t xml:space="preserve"> Linardon J, Messer M, Goldberg SB, et al. The efficacy of mindfulness apps on symptoms of depression and anxiety: An updated meta-analysis of randomized controlled trials.</w:t>
      </w:r>
      <w:r>
        <w:t xml:space="preserve"> </w:t>
      </w:r>
      <w:r>
        <w:rPr>
          <w:iCs/>
          <w:i/>
        </w:rPr>
        <w:t xml:space="preserve">Clinical Psychology Review</w:t>
      </w:r>
      <w:r>
        <w:t xml:space="preserve">. 2024;107:102370.</w:t>
      </w:r>
      <w:r>
        <w:t xml:space="preserve"> </w:t>
      </w:r>
      <w:hyperlink r:id="rId4963">
        <w:r>
          <w:rPr>
            <w:rStyle w:val="Hyperlink"/>
          </w:rPr>
          <w:t xml:space="preserve">https://doi.org/10.1016/j.cpr.2023.102370</w:t>
        </w:r>
      </w:hyperlink>
    </w:p>
    <w:p>
      <w:pPr>
        <w:pStyle w:val="ReferenceEntry"/>
      </w:pPr>
      <w:bookmarkStart w:id="4964" w:name="ref-1184"/>
      <w:r>
        <w:t xml:space="preserve">[1184]</w:t>
      </w:r>
      <w:bookmarkEnd w:id="4964"/>
      <w:r>
        <w:t xml:space="preserve"> Linardon J. Rates of attrition and engagement in randomized controlled trials of mindfulness apps: Systematic review and meta-analysis.</w:t>
      </w:r>
      <w:r>
        <w:t xml:space="preserve"> </w:t>
      </w:r>
      <w:r>
        <w:rPr>
          <w:iCs/>
          <w:i/>
        </w:rPr>
        <w:t xml:space="preserve">Behaviour Research and Therapy</w:t>
      </w:r>
      <w:r>
        <w:t xml:space="preserve">. 2023;170:104421.</w:t>
      </w:r>
      <w:r>
        <w:t xml:space="preserve"> </w:t>
      </w:r>
      <w:hyperlink r:id="rId4965">
        <w:r>
          <w:rPr>
            <w:rStyle w:val="Hyperlink"/>
          </w:rPr>
          <w:t xml:space="preserve">https://doi.org/10.1016/j.brat.2023.104421</w:t>
        </w:r>
      </w:hyperlink>
    </w:p>
    <w:p>
      <w:pPr>
        <w:pStyle w:val="ReferenceEntry"/>
      </w:pPr>
      <w:bookmarkStart w:id="4966" w:name="ref-1185"/>
      <w:r>
        <w:t xml:space="preserve">[1185]</w:t>
      </w:r>
      <w:bookmarkEnd w:id="4966"/>
      <w:r>
        <w:t xml:space="preserve"> Sparacio A, IJzerman H, Ropovik I, et al. Self-administered mindfulness interventions reduce stress in a large, randomized controlled multi-site study.</w:t>
      </w:r>
      <w:r>
        <w:t xml:space="preserve"> </w:t>
      </w:r>
      <w:r>
        <w:rPr>
          <w:iCs/>
          <w:i/>
        </w:rPr>
        <w:t xml:space="preserve">Nature Human Behaviour</w:t>
      </w:r>
      <w:r>
        <w:t xml:space="preserve">. 2024;8(9):1716–1725.</w:t>
      </w:r>
      <w:r>
        <w:t xml:space="preserve"> </w:t>
      </w:r>
      <w:hyperlink r:id="rId4967">
        <w:r>
          <w:rPr>
            <w:rStyle w:val="Hyperlink"/>
          </w:rPr>
          <w:t xml:space="preserve">https://doi.org/10.1038/s41562-024-01907-7</w:t>
        </w:r>
      </w:hyperlink>
    </w:p>
    <w:p>
      <w:pPr>
        <w:pStyle w:val="ReferenceEntry"/>
      </w:pPr>
      <w:bookmarkStart w:id="4968" w:name="ref-1186"/>
      <w:r>
        <w:t xml:space="preserve">[1186]</w:t>
      </w:r>
      <w:bookmarkEnd w:id="4968"/>
      <w:r>
        <w:t xml:space="preserve"> Kreplin U, Farias M, Brazil IA. The limited prosocial effects of meditation: A systematic review and meta-analysis.</w:t>
      </w:r>
      <w:r>
        <w:t xml:space="preserve"> </w:t>
      </w:r>
      <w:r>
        <w:rPr>
          <w:iCs/>
          <w:i/>
        </w:rPr>
        <w:t xml:space="preserve">Scientific Reports</w:t>
      </w:r>
      <w:r>
        <w:t xml:space="preserve">. 2018;8(1):2403.</w:t>
      </w:r>
      <w:r>
        <w:t xml:space="preserve"> </w:t>
      </w:r>
      <w:hyperlink r:id="rId4969">
        <w:r>
          <w:rPr>
            <w:rStyle w:val="Hyperlink"/>
          </w:rPr>
          <w:t xml:space="preserve">https://doi.org/10.1038/s41598-018-20299-z</w:t>
        </w:r>
      </w:hyperlink>
    </w:p>
    <w:p>
      <w:pPr>
        <w:pStyle w:val="ReferenceEntry"/>
      </w:pPr>
      <w:bookmarkStart w:id="4970" w:name="ref-1187"/>
      <w:r>
        <w:t xml:space="preserve">[1187]</w:t>
      </w:r>
      <w:bookmarkEnd w:id="4970"/>
      <w:r>
        <w:t xml:space="preserve"> Berry DR, Hoerr JP, Cesko S, et al. Does Mindfulness Training Without Explicit Ethics-Based Instruction Promote Prosocial Behaviors? A Meta-Analysis.</w:t>
      </w:r>
      <w:r>
        <w:t xml:space="preserve"> </w:t>
      </w:r>
      <w:r>
        <w:rPr>
          <w:iCs/>
          <w:i/>
        </w:rPr>
        <w:t xml:space="preserve">Personality and Social Psychology Bulletin</w:t>
      </w:r>
      <w:r>
        <w:t xml:space="preserve">. 2020;46(8):1247–1269.</w:t>
      </w:r>
      <w:r>
        <w:t xml:space="preserve"> </w:t>
      </w:r>
      <w:hyperlink r:id="rId4971">
        <w:r>
          <w:rPr>
            <w:rStyle w:val="Hyperlink"/>
          </w:rPr>
          <w:t xml:space="preserve">https://doi.org/10.1177/0146167219900418</w:t>
        </w:r>
      </w:hyperlink>
    </w:p>
    <w:p>
      <w:pPr>
        <w:pStyle w:val="ReferenceEntry"/>
      </w:pPr>
      <w:bookmarkStart w:id="4972" w:name="ref-1188"/>
      <w:r>
        <w:t xml:space="preserve">[1188]</w:t>
      </w:r>
      <w:bookmarkEnd w:id="4972"/>
      <w:r>
        <w:t xml:space="preserve"> Bishop SR, Lau M, Shapiro S, et al. Mindfulness: A proposed operational definition.</w:t>
      </w:r>
      <w:r>
        <w:t xml:space="preserve"> </w:t>
      </w:r>
      <w:r>
        <w:rPr>
          <w:iCs/>
          <w:i/>
        </w:rPr>
        <w:t xml:space="preserve">Clinical Psychology: Science and Practice</w:t>
      </w:r>
      <w:r>
        <w:t xml:space="preserve">. 2004;11(3):230–241.</w:t>
      </w:r>
      <w:r>
        <w:t xml:space="preserve"> </w:t>
      </w:r>
      <w:hyperlink r:id="rId4973">
        <w:r>
          <w:rPr>
            <w:rStyle w:val="Hyperlink"/>
          </w:rPr>
          <w:t xml:space="preserve">https://doi.org/10.1093/clipsy.bph077</w:t>
        </w:r>
      </w:hyperlink>
    </w:p>
    <w:p>
      <w:pPr>
        <w:pStyle w:val="ReferenceEntry"/>
      </w:pPr>
      <w:bookmarkStart w:id="4974" w:name="ref-1189"/>
      <w:r>
        <w:t xml:space="preserve">[1189]</w:t>
      </w:r>
      <w:bookmarkEnd w:id="4974"/>
      <w:r>
        <w:t xml:space="preserve"> Shapiro SL, Carlson LE, Astin JA, et al. Mechanisms of mindfulness.</w:t>
      </w:r>
      <w:r>
        <w:t xml:space="preserve"> </w:t>
      </w:r>
      <w:r>
        <w:rPr>
          <w:iCs/>
          <w:i/>
        </w:rPr>
        <w:t xml:space="preserve">Journal of Clinical Psychology</w:t>
      </w:r>
      <w:r>
        <w:t xml:space="preserve">. 2006;62(3):373–386.</w:t>
      </w:r>
      <w:r>
        <w:t xml:space="preserve"> </w:t>
      </w:r>
      <w:hyperlink r:id="rId4975">
        <w:r>
          <w:rPr>
            <w:rStyle w:val="Hyperlink"/>
          </w:rPr>
          <w:t xml:space="preserve">https://doi.org/10.1002/jclp.20237</w:t>
        </w:r>
      </w:hyperlink>
    </w:p>
    <w:p>
      <w:pPr>
        <w:pStyle w:val="ReferenceEntry"/>
      </w:pPr>
      <w:bookmarkStart w:id="4976" w:name="ref-1190"/>
      <w:r>
        <w:t xml:space="preserve">[1190]</w:t>
      </w:r>
      <w:bookmarkEnd w:id="4976"/>
      <w:r>
        <w:t xml:space="preserve"> Hölzel BK, Lazar SW, Gard T, et al. How Does Mindfulness Meditation Work? Proposing Mechanisms of Action From a Conceptual and Neural Perspective.</w:t>
      </w:r>
      <w:r>
        <w:t xml:space="preserve"> </w:t>
      </w:r>
      <w:r>
        <w:rPr>
          <w:iCs/>
          <w:i/>
        </w:rPr>
        <w:t xml:space="preserve">Perspectives on Psychological Science</w:t>
      </w:r>
      <w:r>
        <w:t xml:space="preserve">. 2011;6(6):537–559.</w:t>
      </w:r>
      <w:r>
        <w:t xml:space="preserve"> </w:t>
      </w:r>
      <w:hyperlink r:id="rId4977">
        <w:r>
          <w:rPr>
            <w:rStyle w:val="Hyperlink"/>
          </w:rPr>
          <w:t xml:space="preserve">https://doi.org/10.1177/1745691611419671</w:t>
        </w:r>
      </w:hyperlink>
    </w:p>
    <w:p>
      <w:pPr>
        <w:pStyle w:val="ReferenceEntry"/>
      </w:pPr>
      <w:bookmarkStart w:id="4978" w:name="ref-1191"/>
      <w:r>
        <w:t xml:space="preserve">[1191]</w:t>
      </w:r>
      <w:bookmarkEnd w:id="4978"/>
      <w:r>
        <w:t xml:space="preserve"> Lindsay EK, Creswell JD. Mechanisms of mindfulness training: Monitor and Acceptance Theory (MAT).</w:t>
      </w:r>
      <w:r>
        <w:t xml:space="preserve"> </w:t>
      </w:r>
      <w:r>
        <w:rPr>
          <w:iCs/>
          <w:i/>
        </w:rPr>
        <w:t xml:space="preserve">Clinical Psychology Review</w:t>
      </w:r>
      <w:r>
        <w:t xml:space="preserve">. 2017;51:48–59.</w:t>
      </w:r>
      <w:r>
        <w:t xml:space="preserve"> </w:t>
      </w:r>
      <w:hyperlink r:id="rId4979">
        <w:r>
          <w:rPr>
            <w:rStyle w:val="Hyperlink"/>
          </w:rPr>
          <w:t xml:space="preserve">https://doi.org/10.1016/j.cpr.2016.10.011</w:t>
        </w:r>
      </w:hyperlink>
    </w:p>
    <w:p>
      <w:pPr>
        <w:pStyle w:val="ReferenceEntry"/>
      </w:pPr>
      <w:bookmarkStart w:id="4980" w:name="ref-1192"/>
      <w:r>
        <w:t xml:space="preserve">[1192]</w:t>
      </w:r>
      <w:bookmarkEnd w:id="4980"/>
      <w:r>
        <w:t xml:space="preserve"> Lindsay EK, Young S, Smyth JM, et al. Acceptance lowers stress reactivity: Dismantling mindfulness training in a randomized controlled trial.</w:t>
      </w:r>
      <w:r>
        <w:t xml:space="preserve"> </w:t>
      </w:r>
      <w:r>
        <w:rPr>
          <w:iCs/>
          <w:i/>
        </w:rPr>
        <w:t xml:space="preserve">Psychoneuroendocrinology</w:t>
      </w:r>
      <w:r>
        <w:t xml:space="preserve">. 2018;87:63–73.</w:t>
      </w:r>
      <w:r>
        <w:t xml:space="preserve"> </w:t>
      </w:r>
      <w:hyperlink r:id="rId4981">
        <w:r>
          <w:rPr>
            <w:rStyle w:val="Hyperlink"/>
          </w:rPr>
          <w:t xml:space="preserve">https://doi.org/10.1016/j.psyneuen.2017.09.015</w:t>
        </w:r>
      </w:hyperlink>
    </w:p>
    <w:p>
      <w:pPr>
        <w:pStyle w:val="ReferenceEntry"/>
      </w:pPr>
      <w:bookmarkStart w:id="4982" w:name="ref-1193"/>
      <w:r>
        <w:t xml:space="preserve">[1193]</w:t>
      </w:r>
      <w:bookmarkEnd w:id="4982"/>
      <w:r>
        <w:t xml:space="preserve"> Lindsay EK, Young S, Brown KW, et al. Mindfulness training reduces loneliness and increases social contact in a randomized controlled trial.</w:t>
      </w:r>
      <w:r>
        <w:t xml:space="preserve"> </w:t>
      </w:r>
      <w:r>
        <w:rPr>
          <w:iCs/>
          <w:i/>
        </w:rPr>
        <w:t xml:space="preserve">Proceedings of the National Academy of Sciences</w:t>
      </w:r>
      <w:r>
        <w:t xml:space="preserve">. 2019;116(9):3488–3493.</w:t>
      </w:r>
      <w:r>
        <w:t xml:space="preserve"> </w:t>
      </w:r>
      <w:hyperlink r:id="rId4983">
        <w:r>
          <w:rPr>
            <w:rStyle w:val="Hyperlink"/>
          </w:rPr>
          <w:t xml:space="preserve">https://doi.org/10.1073/pnas.1813588116</w:t>
        </w:r>
      </w:hyperlink>
    </w:p>
    <w:p>
      <w:pPr>
        <w:pStyle w:val="ReferenceEntry"/>
      </w:pPr>
      <w:bookmarkStart w:id="4984" w:name="ref-1194"/>
      <w:r>
        <w:t xml:space="preserve">[1194]</w:t>
      </w:r>
      <w:bookmarkEnd w:id="4984"/>
      <w:r>
        <w:t xml:space="preserve"> Gu J, Strauss C, Bond R, et al. How do mindfulness-based cognitive therapy and mindfulness-based stress reduction improve mental health and wellbeing? A systematic review and meta-analysis of mediation studies.</w:t>
      </w:r>
      <w:r>
        <w:t xml:space="preserve"> </w:t>
      </w:r>
      <w:r>
        <w:rPr>
          <w:iCs/>
          <w:i/>
        </w:rPr>
        <w:t xml:space="preserve">Clinical Psychology Review</w:t>
      </w:r>
      <w:r>
        <w:t xml:space="preserve">. 2015;37:1–12.</w:t>
      </w:r>
      <w:r>
        <w:t xml:space="preserve"> </w:t>
      </w:r>
      <w:hyperlink r:id="rId4985">
        <w:r>
          <w:rPr>
            <w:rStyle w:val="Hyperlink"/>
          </w:rPr>
          <w:t xml:space="preserve">https://doi.org/10.1016/j.cpr.2015.01.006</w:t>
        </w:r>
      </w:hyperlink>
    </w:p>
    <w:p>
      <w:pPr>
        <w:pStyle w:val="ReferenceEntry"/>
      </w:pPr>
      <w:bookmarkStart w:id="4986" w:name="ref-1195"/>
      <w:r>
        <w:t xml:space="preserve">[1195]</w:t>
      </w:r>
      <w:bookmarkEnd w:id="4986"/>
      <w:r>
        <w:t xml:space="preserve"> Johannsen M, Nissen ER, Lundorff M, et al. Mediators of acceptance and mindfulness-based therapies for anxiety and depression: A systematic review and meta-analysis.</w:t>
      </w:r>
      <w:r>
        <w:t xml:space="preserve"> </w:t>
      </w:r>
      <w:r>
        <w:rPr>
          <w:iCs/>
          <w:i/>
        </w:rPr>
        <w:t xml:space="preserve">Clinical Psychology Review</w:t>
      </w:r>
      <w:r>
        <w:t xml:space="preserve">. 2022;94:102156.</w:t>
      </w:r>
      <w:r>
        <w:t xml:space="preserve"> </w:t>
      </w:r>
      <w:hyperlink r:id="rId4987">
        <w:r>
          <w:rPr>
            <w:rStyle w:val="Hyperlink"/>
          </w:rPr>
          <w:t xml:space="preserve">https://doi.org/10.1016/j.cpr.2022.102156</w:t>
        </w:r>
      </w:hyperlink>
    </w:p>
    <w:p>
      <w:pPr>
        <w:pStyle w:val="ReferenceEntry"/>
      </w:pPr>
      <w:bookmarkStart w:id="4988" w:name="ref-1196"/>
      <w:r>
        <w:t xml:space="preserve">[1196]</w:t>
      </w:r>
      <w:bookmarkEnd w:id="4988"/>
      <w:r>
        <w:t xml:space="preserve"> Canby NK, Eichel K, Lindahl J, et al. The Contribution of Common and Specific Therapeutic Factors to Mindfulness-Based Intervention Outcomes.</w:t>
      </w:r>
      <w:r>
        <w:t xml:space="preserve"> </w:t>
      </w:r>
      <w:r>
        <w:rPr>
          <w:iCs/>
          <w:i/>
        </w:rPr>
        <w:t xml:space="preserve">Frontiers in Psychology</w:t>
      </w:r>
      <w:r>
        <w:t xml:space="preserve">. 2021;11:603394.</w:t>
      </w:r>
      <w:r>
        <w:t xml:space="preserve"> </w:t>
      </w:r>
      <w:hyperlink r:id="rId4989">
        <w:r>
          <w:rPr>
            <w:rStyle w:val="Hyperlink"/>
          </w:rPr>
          <w:t xml:space="preserve">https://doi.org/10.3389/fpsyg.2020.603394</w:t>
        </w:r>
      </w:hyperlink>
    </w:p>
    <w:p>
      <w:pPr>
        <w:pStyle w:val="ReferenceEntry"/>
      </w:pPr>
      <w:bookmarkStart w:id="4990" w:name="ref-1197"/>
      <w:r>
        <w:t xml:space="preserve">[1197]</w:t>
      </w:r>
      <w:bookmarkEnd w:id="4990"/>
      <w:r>
        <w:t xml:space="preserve"> Farias M, Maraldi E, Wallenkampf KC, et al. Adverse events in meditation practices and meditation‐based therapies: a systematic review.</w:t>
      </w:r>
      <w:r>
        <w:t xml:space="preserve"> </w:t>
      </w:r>
      <w:r>
        <w:rPr>
          <w:iCs/>
          <w:i/>
        </w:rPr>
        <w:t xml:space="preserve">Acta Psychiatrica Scandinavica</w:t>
      </w:r>
      <w:r>
        <w:t xml:space="preserve">. 2020;142(5):374–393.</w:t>
      </w:r>
      <w:r>
        <w:t xml:space="preserve"> </w:t>
      </w:r>
      <w:hyperlink r:id="rId4991">
        <w:r>
          <w:rPr>
            <w:rStyle w:val="Hyperlink"/>
          </w:rPr>
          <w:t xml:space="preserve">https://doi.org/10.1111/acps.13225</w:t>
        </w:r>
      </w:hyperlink>
      <w:r>
        <w:t xml:space="preserve">（研究类型：系统综述）</w:t>
      </w:r>
    </w:p>
    <w:p>
      <w:pPr>
        <w:pStyle w:val="ReferenceEntry"/>
      </w:pPr>
      <w:bookmarkStart w:id="4992" w:name="ref-1198"/>
      <w:r>
        <w:t xml:space="preserve">[1198]</w:t>
      </w:r>
      <w:bookmarkEnd w:id="4992"/>
      <w:r>
        <w:t xml:space="preserve"> Britton WB, Lindahl JR, Cooper DJ, et al. Defining and Measuring Meditation-Related Adverse Effects in Mindfulness-Based Programs.</w:t>
      </w:r>
      <w:r>
        <w:t xml:space="preserve"> </w:t>
      </w:r>
      <w:r>
        <w:rPr>
          <w:iCs/>
          <w:i/>
        </w:rPr>
        <w:t xml:space="preserve">Clinical Psychological Science</w:t>
      </w:r>
      <w:r>
        <w:t xml:space="preserve">. 2021;9(6):1185–1204.</w:t>
      </w:r>
      <w:r>
        <w:t xml:space="preserve"> </w:t>
      </w:r>
      <w:hyperlink r:id="rId4993">
        <w:r>
          <w:rPr>
            <w:rStyle w:val="Hyperlink"/>
          </w:rPr>
          <w:t xml:space="preserve">https://doi.org/10.1177/2167702621996340</w:t>
        </w:r>
      </w:hyperlink>
    </w:p>
    <w:p>
      <w:pPr>
        <w:pStyle w:val="ReferenceEntry"/>
      </w:pPr>
      <w:bookmarkStart w:id="4994" w:name="ref-1199"/>
      <w:r>
        <w:t xml:space="preserve">[1199]</w:t>
      </w:r>
      <w:bookmarkEnd w:id="4994"/>
      <w:r>
        <w:t xml:space="preserve"> Goldberg SB, Lam SU, Britton WB, et al. Prevalence of meditation-related adverse effects in a population-based sample in the United States.</w:t>
      </w:r>
      <w:r>
        <w:t xml:space="preserve"> </w:t>
      </w:r>
      <w:r>
        <w:rPr>
          <w:iCs/>
          <w:i/>
        </w:rPr>
        <w:t xml:space="preserve">Psychotherapy Research</w:t>
      </w:r>
      <w:r>
        <w:t xml:space="preserve">. 2022;32(3):291–305.</w:t>
      </w:r>
      <w:r>
        <w:t xml:space="preserve"> </w:t>
      </w:r>
      <w:hyperlink r:id="rId4995">
        <w:r>
          <w:rPr>
            <w:rStyle w:val="Hyperlink"/>
          </w:rPr>
          <w:t xml:space="preserve">https://doi.org/10.1080/10503307.2021.1933646</w:t>
        </w:r>
      </w:hyperlink>
    </w:p>
    <w:p>
      <w:pPr>
        <w:pStyle w:val="ReferenceEntry"/>
      </w:pPr>
      <w:bookmarkStart w:id="4996" w:name="ref-1200"/>
      <w:r>
        <w:t xml:space="preserve">[1200]</w:t>
      </w:r>
      <w:bookmarkEnd w:id="4996"/>
      <w:r>
        <w:t xml:space="preserve"> Van Dam NT, Targett J, Davies JN, et al. Incidence and Predictors of Meditation-Related Unusual Experiences and Adverse Effects in a Representative Sample of Meditators in the United States.</w:t>
      </w:r>
      <w:r>
        <w:t xml:space="preserve"> </w:t>
      </w:r>
      <w:r>
        <w:rPr>
          <w:iCs/>
          <w:i/>
        </w:rPr>
        <w:t xml:space="preserve">Clinical Psychological Science</w:t>
      </w:r>
      <w:r>
        <w:t xml:space="preserve">. 2025;13(3):632–648.</w:t>
      </w:r>
      <w:r>
        <w:t xml:space="preserve"> </w:t>
      </w:r>
      <w:hyperlink r:id="rId4997">
        <w:r>
          <w:rPr>
            <w:rStyle w:val="Hyperlink"/>
          </w:rPr>
          <w:t xml:space="preserve">https://doi.org/10.1177/21677026241298269</w:t>
        </w:r>
      </w:hyperlink>
    </w:p>
    <w:p>
      <w:pPr>
        <w:pStyle w:val="ReferenceEntry"/>
      </w:pPr>
      <w:bookmarkStart w:id="4998" w:name="ref-1201"/>
      <w:r>
        <w:t xml:space="preserve">[1201]</w:t>
      </w:r>
      <w:bookmarkEnd w:id="4998"/>
      <w:r>
        <w:t xml:space="preserve"> Schlosser M, Sparby T, Vörös S, et al. Unpleasant meditation-related experiences in regular meditators: Prevalence, predictors, and conceptual considerations.</w:t>
      </w:r>
      <w:r>
        <w:t xml:space="preserve"> </w:t>
      </w:r>
      <w:r>
        <w:rPr>
          <w:iCs/>
          <w:i/>
        </w:rPr>
        <w:t xml:space="preserve">PLOS ONE</w:t>
      </w:r>
      <w:r>
        <w:t xml:space="preserve">. 2019;14(5):e0216643.</w:t>
      </w:r>
      <w:r>
        <w:t xml:space="preserve"> </w:t>
      </w:r>
      <w:hyperlink r:id="rId4999">
        <w:r>
          <w:rPr>
            <w:rStyle w:val="Hyperlink"/>
          </w:rPr>
          <w:t xml:space="preserve">https://doi.org/10.1371/journal.pone.0216643</w:t>
        </w:r>
      </w:hyperlink>
    </w:p>
    <w:p>
      <w:pPr>
        <w:pStyle w:val="ReferenceEntry"/>
      </w:pPr>
      <w:bookmarkStart w:id="5000" w:name="ref-1202"/>
      <w:r>
        <w:t xml:space="preserve">[1202]</w:t>
      </w:r>
      <w:bookmarkEnd w:id="5000"/>
      <w:r>
        <w:t xml:space="preserve"> Lindahl JR, Fisher NE, Cooper DJ, et al. The varieties of contemplative experience: A mixed-methods study of meditation-related challenges in Western Buddhists.</w:t>
      </w:r>
      <w:r>
        <w:t xml:space="preserve"> </w:t>
      </w:r>
      <w:r>
        <w:rPr>
          <w:iCs/>
          <w:i/>
        </w:rPr>
        <w:t xml:space="preserve">PLOS ONE</w:t>
      </w:r>
      <w:r>
        <w:t xml:space="preserve">. 2017;12(5):e0176239.</w:t>
      </w:r>
      <w:r>
        <w:t xml:space="preserve"> </w:t>
      </w:r>
      <w:hyperlink r:id="rId5001">
        <w:r>
          <w:rPr>
            <w:rStyle w:val="Hyperlink"/>
          </w:rPr>
          <w:t xml:space="preserve">https://doi.org/10.1371/journal.pone.0176239</w:t>
        </w:r>
      </w:hyperlink>
    </w:p>
    <w:p>
      <w:pPr>
        <w:pStyle w:val="ReferenceEntry"/>
      </w:pPr>
      <w:bookmarkStart w:id="5002" w:name="ref-1203"/>
      <w:r>
        <w:t xml:space="preserve">[1203]</w:t>
      </w:r>
      <w:bookmarkEnd w:id="5002"/>
      <w:r>
        <w:t xml:space="preserve"> Hirshberg MJ, Goldberg SB, Rosenkranz M, et al. Prevalence of harm in mindfulness-based stress reduction.</w:t>
      </w:r>
      <w:r>
        <w:t xml:space="preserve"> </w:t>
      </w:r>
      <w:r>
        <w:rPr>
          <w:iCs/>
          <w:i/>
        </w:rPr>
        <w:t xml:space="preserve">Psychological Medicine</w:t>
      </w:r>
      <w:r>
        <w:t xml:space="preserve">. 2022;52(6):1080–1088.</w:t>
      </w:r>
      <w:r>
        <w:t xml:space="preserve"> </w:t>
      </w:r>
      <w:hyperlink r:id="rId5003">
        <w:r>
          <w:rPr>
            <w:rStyle w:val="Hyperlink"/>
          </w:rPr>
          <w:t xml:space="preserve">https://doi.org/10.1017/s0033291720002834</w:t>
        </w:r>
      </w:hyperlink>
    </w:p>
    <w:p>
      <w:pPr>
        <w:pStyle w:val="ReferenceEntry"/>
      </w:pPr>
      <w:bookmarkStart w:id="5004" w:name="ref-1204"/>
      <w:r>
        <w:t xml:space="preserve">[1204]</w:t>
      </w:r>
      <w:bookmarkEnd w:id="5004"/>
      <w:r>
        <w:t xml:space="preserve"> Burgess DJ, Calvert C, Bangerter A, et al. Do mindfulness interventions cause harm? Findings from the Learning to Apply Mindfulness to Pain (LAMP) Pragmatic Clinical Trial.</w:t>
      </w:r>
      <w:r>
        <w:t xml:space="preserve"> </w:t>
      </w:r>
      <w:r>
        <w:rPr>
          <w:iCs/>
          <w:i/>
        </w:rPr>
        <w:t xml:space="preserve">Pain Medicine</w:t>
      </w:r>
      <w:r>
        <w:t xml:space="preserve">. 2024;25(Supplement_1):S68–S76.</w:t>
      </w:r>
      <w:r>
        <w:t xml:space="preserve"> </w:t>
      </w:r>
      <w:hyperlink r:id="rId5005">
        <w:r>
          <w:rPr>
            <w:rStyle w:val="Hyperlink"/>
          </w:rPr>
          <w:t xml:space="preserve">https://doi.org/10.1093/pm/pnae056</w:t>
        </w:r>
      </w:hyperlink>
    </w:p>
    <w:p>
      <w:pPr>
        <w:pStyle w:val="ReferenceEntry"/>
      </w:pPr>
      <w:bookmarkStart w:id="5006" w:name="ref-1205"/>
      <w:r>
        <w:t xml:space="preserve">[1205]</w:t>
      </w:r>
      <w:bookmarkEnd w:id="5006"/>
      <w:r>
        <w:t xml:space="preserve"> Goldberg SB, Simonsson O, Warren FC, et al. Symptom Worsening in Mindfulness-Based Cognitive Therapy.</w:t>
      </w:r>
      <w:r>
        <w:t xml:space="preserve"> </w:t>
      </w:r>
      <w:r>
        <w:rPr>
          <w:iCs/>
          <w:i/>
        </w:rPr>
        <w:t xml:space="preserve">JAMA Network Open</w:t>
      </w:r>
      <w:r>
        <w:t xml:space="preserve">. 2026;9(8):e2629946.</w:t>
      </w:r>
      <w:r>
        <w:t xml:space="preserve"> </w:t>
      </w:r>
      <w:hyperlink r:id="rId5007">
        <w:r>
          <w:rPr>
            <w:rStyle w:val="Hyperlink"/>
          </w:rPr>
          <w:t xml:space="preserve">https://doi.org/10.1001/jamanetworkopen.2026.29946</w:t>
        </w:r>
      </w:hyperlink>
    </w:p>
    <w:p>
      <w:pPr>
        <w:pStyle w:val="ReferenceEntry"/>
      </w:pPr>
      <w:bookmarkStart w:id="5008" w:name="ref-1206"/>
      <w:r>
        <w:t xml:space="preserve">[1206]</w:t>
      </w:r>
      <w:bookmarkEnd w:id="5008"/>
      <w:r>
        <w:t xml:space="preserve"> O'Brien-Venus B, Ellett L, Burgess-Barr S, et al. Systematic review of the safety of mindfulness-based interventions for psychosis.</w:t>
      </w:r>
      <w:r>
        <w:t xml:space="preserve"> </w:t>
      </w:r>
      <w:r>
        <w:rPr>
          <w:iCs/>
          <w:i/>
        </w:rPr>
        <w:t xml:space="preserve">Clinical Psychology Review</w:t>
      </w:r>
      <w:r>
        <w:t xml:space="preserve">. 2024;112:102445.</w:t>
      </w:r>
      <w:r>
        <w:t xml:space="preserve"> </w:t>
      </w:r>
      <w:hyperlink r:id="rId5009">
        <w:r>
          <w:rPr>
            <w:rStyle w:val="Hyperlink"/>
          </w:rPr>
          <w:t xml:space="preserve">https://doi.org/10.1016/j.cpr.2024.102445</w:t>
        </w:r>
      </w:hyperlink>
    </w:p>
    <w:p>
      <w:pPr>
        <w:pStyle w:val="ReferenceEntry"/>
      </w:pPr>
      <w:bookmarkStart w:id="5010" w:name="ref-1207"/>
      <w:r>
        <w:t xml:space="preserve">[1207]</w:t>
      </w:r>
      <w:bookmarkEnd w:id="5010"/>
      <w:r>
        <w:t xml:space="preserve"> Baer R, Crane C, Montero-Marin J, et al. Frequency of Self-reported Unpleasant Events and Harm in a Mindfulness-Based Program in Two General Population Samples.</w:t>
      </w:r>
      <w:r>
        <w:t xml:space="preserve"> </w:t>
      </w:r>
      <w:r>
        <w:rPr>
          <w:iCs/>
          <w:i/>
        </w:rPr>
        <w:t xml:space="preserve">Mindfulness</w:t>
      </w:r>
      <w:r>
        <w:t xml:space="preserve">. 2021;12(3):763–774.</w:t>
      </w:r>
      <w:r>
        <w:t xml:space="preserve"> </w:t>
      </w:r>
      <w:hyperlink r:id="rId5011">
        <w:r>
          <w:rPr>
            <w:rStyle w:val="Hyperlink"/>
          </w:rPr>
          <w:t xml:space="preserve">https://doi.org/10.1007/s12671-020-01547-8</w:t>
        </w:r>
      </w:hyperlink>
    </w:p>
    <w:p>
      <w:pPr>
        <w:pStyle w:val="ReferenceEntry"/>
      </w:pPr>
      <w:bookmarkStart w:id="5012" w:name="ref-1208"/>
      <w:r>
        <w:t xml:space="preserve">[1208]</w:t>
      </w:r>
      <w:bookmarkEnd w:id="5012"/>
      <w:r>
        <w:t xml:space="preserve"> Canby NK, Cosby EA, Palitsky R, et al. Childhood trauma and subclinical PTSD symptoms predict adverse effects and worse outcomes across two mindfulness-based programs for active depression.</w:t>
      </w:r>
      <w:r>
        <w:t xml:space="preserve"> </w:t>
      </w:r>
      <w:r>
        <w:rPr>
          <w:iCs/>
          <w:i/>
        </w:rPr>
        <w:t xml:space="preserve">PLOS ONE</w:t>
      </w:r>
      <w:r>
        <w:t xml:space="preserve">. 2025;20(1):e0318499.</w:t>
      </w:r>
      <w:r>
        <w:t xml:space="preserve"> </w:t>
      </w:r>
      <w:hyperlink r:id="rId5013">
        <w:r>
          <w:rPr>
            <w:rStyle w:val="Hyperlink"/>
          </w:rPr>
          <w:t xml:space="preserve">https://doi.org/10.1371/journal.pone.0318499</w:t>
        </w:r>
      </w:hyperlink>
    </w:p>
    <w:p>
      <w:pPr>
        <w:pStyle w:val="ReferenceEntry"/>
      </w:pPr>
      <w:bookmarkStart w:id="5014" w:name="ref-1209"/>
      <w:r>
        <w:t xml:space="preserve">[1209]</w:t>
      </w:r>
      <w:bookmarkEnd w:id="5014"/>
      <w:r>
        <w:t xml:space="preserve"> Department of Veterans Affairs, Department of Defense. VA/DoD Clinical Practice Guideline for Management of Posttraumatic Stress Disorder and Acute Stress Disorder（Version 4.0）. 2023.</w:t>
      </w:r>
      <w:r>
        <w:t xml:space="preserve"> </w:t>
      </w:r>
      <w:hyperlink r:id="rId5015">
        <w:r>
          <w:rPr>
            <w:rStyle w:val="Hyperlink"/>
          </w:rPr>
          <w:t xml:space="preserve">https://www.healthquality.va.gov/HEALTHQUALITY/guidelines/mh/ptsd/index.asp</w:t>
        </w:r>
      </w:hyperlink>
      <w:r>
        <w:t xml:space="preserve">（2026 年 10 月访问）</w:t>
      </w:r>
    </w:p>
    <w:p>
      <w:pPr>
        <w:pStyle w:val="ReferenceEntry"/>
      </w:pPr>
      <w:bookmarkStart w:id="5016" w:name="ref-1210"/>
      <w:r>
        <w:t xml:space="preserve">[1210]</w:t>
      </w:r>
      <w:bookmarkEnd w:id="5016"/>
      <w:r>
        <w:t xml:space="preserve"> Sharma P, Mahapatra A, Gupta R. Meditation-induced psychosis: a narrative review and individual patient data analysis.</w:t>
      </w:r>
      <w:r>
        <w:t xml:space="preserve"> </w:t>
      </w:r>
      <w:r>
        <w:rPr>
          <w:iCs/>
          <w:i/>
        </w:rPr>
        <w:t xml:space="preserve">Irish Journal of Psychological Medicine</w:t>
      </w:r>
      <w:r>
        <w:t xml:space="preserve">. 2022;39(4):391–397.</w:t>
      </w:r>
      <w:r>
        <w:t xml:space="preserve"> </w:t>
      </w:r>
      <w:hyperlink r:id="rId5017">
        <w:r>
          <w:rPr>
            <w:rStyle w:val="Hyperlink"/>
          </w:rPr>
          <w:t xml:space="preserve">https://doi.org/10.1017/ipm.2019.47</w:t>
        </w:r>
      </w:hyperlink>
    </w:p>
    <w:p>
      <w:pPr>
        <w:pStyle w:val="ReferenceEntry"/>
      </w:pPr>
      <w:bookmarkStart w:id="5018" w:name="ref-1211"/>
      <w:r>
        <w:t xml:space="preserve">[1211]</w:t>
      </w:r>
      <w:bookmarkEnd w:id="5018"/>
      <w:r>
        <w:t xml:space="preserve"> Baer R, Crane C, Miller E, et al. Doing no harm in mindfulness-based programs: Conceptual issues and empirical findings.</w:t>
      </w:r>
      <w:r>
        <w:t xml:space="preserve"> </w:t>
      </w:r>
      <w:r>
        <w:rPr>
          <w:iCs/>
          <w:i/>
        </w:rPr>
        <w:t xml:space="preserve">Clinical Psychology Review</w:t>
      </w:r>
      <w:r>
        <w:t xml:space="preserve">. 2019;71:101–114.</w:t>
      </w:r>
      <w:r>
        <w:t xml:space="preserve"> </w:t>
      </w:r>
      <w:hyperlink r:id="rId5019">
        <w:r>
          <w:rPr>
            <w:rStyle w:val="Hyperlink"/>
          </w:rPr>
          <w:t xml:space="preserve">https://doi.org/10.1016/j.cpr.2019.01.001</w:t>
        </w:r>
      </w:hyperlink>
    </w:p>
    <w:p>
      <w:pPr>
        <w:pStyle w:val="ReferenceEntry"/>
      </w:pPr>
      <w:bookmarkStart w:id="5020" w:name="ref-1212"/>
      <w:r>
        <w:t xml:space="preserve">[1212]</w:t>
      </w:r>
      <w:bookmarkEnd w:id="5020"/>
      <w:r>
        <w:t xml:space="preserve"> Hadash Y, Veksler T, Dar O, et al. Peak experiences during insight mindfulness meditation retreats and their salutary and adverse impact: A prospective matched-controlled intervention study.</w:t>
      </w:r>
      <w:r>
        <w:t xml:space="preserve"> </w:t>
      </w:r>
      <w:r>
        <w:rPr>
          <w:iCs/>
          <w:i/>
        </w:rPr>
        <w:t xml:space="preserve">Journal of Consulting and Clinical Psychology</w:t>
      </w:r>
      <w:r>
        <w:t xml:space="preserve">. 2024;92(4):213–225.</w:t>
      </w:r>
      <w:r>
        <w:t xml:space="preserve"> </w:t>
      </w:r>
      <w:hyperlink r:id="rId5021">
        <w:r>
          <w:rPr>
            <w:rStyle w:val="Hyperlink"/>
          </w:rPr>
          <w:t xml:space="preserve">https://doi.org/10.1037/ccp0000875</w:t>
        </w:r>
      </w:hyperlink>
    </w:p>
    <w:p>
      <w:pPr>
        <w:pStyle w:val="ReferenceEntry"/>
      </w:pPr>
      <w:bookmarkStart w:id="5022" w:name="ref-1213"/>
      <w:r>
        <w:t xml:space="preserve">[1213]</w:t>
      </w:r>
      <w:bookmarkEnd w:id="5022"/>
      <w:r>
        <w:t xml:space="preserve"> Treleaven DA.</w:t>
      </w:r>
      <w:r>
        <w:t xml:space="preserve"> </w:t>
      </w:r>
      <w:r>
        <w:rPr>
          <w:iCs/>
          <w:i/>
        </w:rPr>
        <w:t xml:space="preserve">Trauma-Sensitive Mindfulness: Practices for Safe and Transformative Healing</w:t>
      </w:r>
      <w:r>
        <w:t xml:space="preserve">. New York: W. W. Norton; 2018.</w:t>
      </w:r>
    </w:p>
    <w:p>
      <w:pPr>
        <w:pStyle w:val="ReferenceEntry"/>
      </w:pPr>
      <w:bookmarkStart w:id="5023" w:name="ref-1214"/>
      <w:r>
        <w:t xml:space="preserve">[1214]</w:t>
      </w:r>
      <w:bookmarkEnd w:id="5023"/>
      <w:r>
        <w:t xml:space="preserve"> Grossman P. Defining mindfulness by how poorly I think I pay attention during everyday awareness and other intractable problems for psychology's (re)invention of mindfulness: Comment on Brown et al. (2011).</w:t>
      </w:r>
      <w:r>
        <w:t xml:space="preserve"> </w:t>
      </w:r>
      <w:r>
        <w:rPr>
          <w:iCs/>
          <w:i/>
        </w:rPr>
        <w:t xml:space="preserve">Psychological Assessment</w:t>
      </w:r>
      <w:r>
        <w:t xml:space="preserve">. 2011;23(4):1034–1040.</w:t>
      </w:r>
      <w:r>
        <w:t xml:space="preserve"> </w:t>
      </w:r>
      <w:hyperlink r:id="rId5024">
        <w:r>
          <w:rPr>
            <w:rStyle w:val="Hyperlink"/>
          </w:rPr>
          <w:t xml:space="preserve">https://doi.org/10.1037/a0022713</w:t>
        </w:r>
      </w:hyperlink>
    </w:p>
    <w:p>
      <w:pPr>
        <w:pStyle w:val="ReferenceEntry"/>
      </w:pPr>
      <w:bookmarkStart w:id="5025" w:name="ref-1215"/>
      <w:r>
        <w:t xml:space="preserve">[1215]</w:t>
      </w:r>
      <w:bookmarkEnd w:id="5025"/>
      <w:r>
        <w:t xml:space="preserve"> Goldberg SB, Wielgosz J, Dahl C, et al. Does the Five Facet Mindfulness Questionnaire measure what we think it does? Construct validity evidence from an active controlled randomized clinical trial.</w:t>
      </w:r>
      <w:r>
        <w:t xml:space="preserve"> </w:t>
      </w:r>
      <w:r>
        <w:rPr>
          <w:iCs/>
          <w:i/>
        </w:rPr>
        <w:t xml:space="preserve">Psychological Assessment</w:t>
      </w:r>
      <w:r>
        <w:t xml:space="preserve">. 2016;28(8):1009–1014.</w:t>
      </w:r>
      <w:r>
        <w:t xml:space="preserve"> </w:t>
      </w:r>
      <w:hyperlink r:id="rId5026">
        <w:r>
          <w:rPr>
            <w:rStyle w:val="Hyperlink"/>
          </w:rPr>
          <w:t xml:space="preserve">https://doi.org/10.1037/pas0000233</w:t>
        </w:r>
      </w:hyperlink>
    </w:p>
    <w:p>
      <w:pPr>
        <w:pStyle w:val="ReferenceEntry"/>
      </w:pPr>
      <w:bookmarkStart w:id="5027" w:name="ref-1216"/>
      <w:r>
        <w:t xml:space="preserve">[1216]</w:t>
      </w:r>
      <w:bookmarkEnd w:id="5027"/>
      <w:r>
        <w:t xml:space="preserve"> Isbel B, Stefanidis K, Summers MJ. Assessing mindfulness: Experimental support for the discriminant validity of breath counting as a measure of mindfulness but not self-report questionnaires.</w:t>
      </w:r>
      <w:r>
        <w:t xml:space="preserve"> </w:t>
      </w:r>
      <w:r>
        <w:rPr>
          <w:iCs/>
          <w:i/>
        </w:rPr>
        <w:t xml:space="preserve">Psychological Assessment</w:t>
      </w:r>
      <w:r>
        <w:t xml:space="preserve">. 2020;32(12):1184–1190.</w:t>
      </w:r>
      <w:r>
        <w:t xml:space="preserve"> </w:t>
      </w:r>
      <w:hyperlink r:id="rId5028">
        <w:r>
          <w:rPr>
            <w:rStyle w:val="Hyperlink"/>
          </w:rPr>
          <w:t xml:space="preserve">https://doi.org/10.1037/pas0000957</w:t>
        </w:r>
      </w:hyperlink>
    </w:p>
    <w:p>
      <w:pPr>
        <w:pStyle w:val="ReferenceEntry"/>
      </w:pPr>
      <w:bookmarkStart w:id="5029" w:name="ref-1217"/>
      <w:r>
        <w:t xml:space="preserve">[1217]</w:t>
      </w:r>
      <w:bookmarkEnd w:id="5029"/>
      <w:r>
        <w:t xml:space="preserve"> Chems-Maarif R, Cavanagh K, Baer R, et al. Measuring mindfulness: A systematic review and evaluation of self-report mindfulness scales.</w:t>
      </w:r>
      <w:r>
        <w:t xml:space="preserve"> </w:t>
      </w:r>
      <w:r>
        <w:rPr>
          <w:iCs/>
          <w:i/>
        </w:rPr>
        <w:t xml:space="preserve">Clinical Psychology Review</w:t>
      </w:r>
      <w:r>
        <w:t xml:space="preserve">. 2026;125:102719.</w:t>
      </w:r>
      <w:r>
        <w:t xml:space="preserve"> </w:t>
      </w:r>
      <w:hyperlink r:id="rId5030">
        <w:r>
          <w:rPr>
            <w:rStyle w:val="Hyperlink"/>
          </w:rPr>
          <w:t xml:space="preserve">https://doi.org/10.1016/j.cpr.2026.102719</w:t>
        </w:r>
      </w:hyperlink>
    </w:p>
    <w:p>
      <w:pPr>
        <w:pStyle w:val="ReferenceEntry"/>
      </w:pPr>
      <w:bookmarkStart w:id="5031" w:name="ref-1218"/>
      <w:r>
        <w:t xml:space="preserve">[1218]</w:t>
      </w:r>
      <w:bookmarkEnd w:id="5031"/>
      <w:r>
        <w:t xml:space="preserve"> 《相应部》48.10（Saṃyutta Nikāya 48.10）. 巴利原文及 Bhikkhu Sujato 英译. SuttaCentral.</w:t>
      </w:r>
      <w:r>
        <w:t xml:space="preserve"> </w:t>
      </w:r>
      <w:hyperlink r:id="rId5032">
        <w:r>
          <w:rPr>
            <w:rStyle w:val="Hyperlink"/>
          </w:rPr>
          <w:t xml:space="preserve">https://suttacentral.net/sn48.10/en/sujato</w:t>
        </w:r>
      </w:hyperlink>
      <w:r>
        <w:t xml:space="preserve">（2026 年 10 月访问）</w:t>
      </w:r>
    </w:p>
    <w:p>
      <w:pPr>
        <w:pStyle w:val="ReferenceEntry"/>
      </w:pPr>
      <w:bookmarkStart w:id="5033" w:name="ref-1219"/>
      <w:r>
        <w:t xml:space="preserve">[1219]</w:t>
      </w:r>
      <w:bookmarkEnd w:id="5033"/>
      <w:r>
        <w:t xml:space="preserve"> 《杂阿含经》卷二十八，第 784 经. 求那跋陀罗译. 大正藏第 2 册，No. 99，页 203a.</w:t>
      </w:r>
      <w:r>
        <w:t xml:space="preserve"> </w:t>
      </w:r>
      <w:hyperlink r:id="rId5034">
        <w:r>
          <w:rPr>
            <w:rStyle w:val="Hyperlink"/>
          </w:rPr>
          <w:t xml:space="preserve">https://suttacentral.net/sa784/lzh</w:t>
        </w:r>
      </w:hyperlink>
      <w:r>
        <w:t xml:space="preserve">（2026 年 10 月访问）</w:t>
      </w:r>
    </w:p>
    <w:p>
      <w:pPr>
        <w:pStyle w:val="ReferenceEntry"/>
      </w:pPr>
      <w:bookmarkStart w:id="5035" w:name="ref-1220"/>
      <w:r>
        <w:t xml:space="preserve">[1220]</w:t>
      </w:r>
      <w:bookmarkEnd w:id="5035"/>
      <w:r>
        <w:t xml:space="preserve"> 《相应部》47.2（Sati Sutta）. 巴利原文及 Bhikkhu Sujato 英译. SuttaCentral.</w:t>
      </w:r>
      <w:r>
        <w:t xml:space="preserve"> </w:t>
      </w:r>
      <w:hyperlink r:id="rId5036">
        <w:r>
          <w:rPr>
            <w:rStyle w:val="Hyperlink"/>
          </w:rPr>
          <w:t xml:space="preserve">https://suttacentral.net/sn47.2/en/sujato</w:t>
        </w:r>
      </w:hyperlink>
      <w:r>
        <w:t xml:space="preserve">（2026 年 10 月访问）</w:t>
      </w:r>
    </w:p>
    <w:p>
      <w:pPr>
        <w:pStyle w:val="ReferenceEntry"/>
      </w:pPr>
      <w:bookmarkStart w:id="5037" w:name="ref-1221"/>
      <w:r>
        <w:t xml:space="preserve">[1221]</w:t>
      </w:r>
      <w:bookmarkEnd w:id="5037"/>
      <w:r>
        <w:t xml:space="preserve"> Gethin R. On some definitions of mindfulness.</w:t>
      </w:r>
      <w:r>
        <w:t xml:space="preserve"> </w:t>
      </w:r>
      <w:r>
        <w:rPr>
          <w:iCs/>
          <w:i/>
        </w:rPr>
        <w:t xml:space="preserve">Contemporary Buddhism</w:t>
      </w:r>
      <w:r>
        <w:t xml:space="preserve">. 2011;12(1):263–279.</w:t>
      </w:r>
      <w:r>
        <w:t xml:space="preserve"> </w:t>
      </w:r>
      <w:hyperlink r:id="rId5038">
        <w:r>
          <w:rPr>
            <w:rStyle w:val="Hyperlink"/>
          </w:rPr>
          <w:t xml:space="preserve">https://doi.org/10.1080/14639947.2011.564843</w:t>
        </w:r>
      </w:hyperlink>
    </w:p>
    <w:p>
      <w:pPr>
        <w:pStyle w:val="ReferenceEntry"/>
      </w:pPr>
      <w:bookmarkStart w:id="5039" w:name="ref-1222"/>
      <w:r>
        <w:t xml:space="preserve">[1222]</w:t>
      </w:r>
      <w:bookmarkEnd w:id="5039"/>
      <w:r>
        <w:t xml:space="preserve"> Dreyfus G. Is mindfulness present-centred and non-judgmental? A discussion of the cognitive dimensions of mindfulness.</w:t>
      </w:r>
      <w:r>
        <w:t xml:space="preserve"> </w:t>
      </w:r>
      <w:r>
        <w:rPr>
          <w:iCs/>
          <w:i/>
        </w:rPr>
        <w:t xml:space="preserve">Contemporary Buddhism</w:t>
      </w:r>
      <w:r>
        <w:t xml:space="preserve">. 2011;12(1):41–54.</w:t>
      </w:r>
      <w:r>
        <w:t xml:space="preserve"> </w:t>
      </w:r>
      <w:hyperlink r:id="rId5040">
        <w:r>
          <w:rPr>
            <w:rStyle w:val="Hyperlink"/>
          </w:rPr>
          <w:t xml:space="preserve">https://doi.org/10.1080/14639947.2011.564815</w:t>
        </w:r>
      </w:hyperlink>
    </w:p>
    <w:p>
      <w:pPr>
        <w:pStyle w:val="ReferenceEntry"/>
      </w:pPr>
      <w:bookmarkStart w:id="5041" w:name="ref-1223"/>
      <w:r>
        <w:t xml:space="preserve">[1223]</w:t>
      </w:r>
      <w:bookmarkEnd w:id="5041"/>
      <w:r>
        <w:t xml:space="preserve"> Sharf RH. Is mindfulness Buddhist? (and why it matters).</w:t>
      </w:r>
      <w:r>
        <w:t xml:space="preserve"> </w:t>
      </w:r>
      <w:r>
        <w:rPr>
          <w:iCs/>
          <w:i/>
        </w:rPr>
        <w:t xml:space="preserve">Transcultural Psychiatry</w:t>
      </w:r>
      <w:r>
        <w:t xml:space="preserve">. 2015;52(4):470–484.</w:t>
      </w:r>
      <w:r>
        <w:t xml:space="preserve"> </w:t>
      </w:r>
      <w:hyperlink r:id="rId5042">
        <w:r>
          <w:rPr>
            <w:rStyle w:val="Hyperlink"/>
          </w:rPr>
          <w:t xml:space="preserve">https://doi.org/10.1177/1363461514557561</w:t>
        </w:r>
      </w:hyperlink>
    </w:p>
    <w:p>
      <w:pPr>
        <w:pStyle w:val="ReferenceEntry"/>
      </w:pPr>
      <w:bookmarkStart w:id="5043" w:name="ref-1224"/>
      <w:r>
        <w:t xml:space="preserve">[1224]</w:t>
      </w:r>
      <w:bookmarkEnd w:id="5043"/>
      <w:r>
        <w:t xml:space="preserve"> 溫宗堃. 當代正念課程批評者的雄辯修辭：來自正念減壓教學者的回應. 《臺大佛學研究》, 2021, 41: 133–190.</w:t>
      </w:r>
      <w:r>
        <w:t xml:space="preserve"> </w:t>
      </w:r>
      <w:hyperlink r:id="rId5044">
        <w:r>
          <w:rPr>
            <w:rStyle w:val="Hyperlink"/>
          </w:rPr>
          <w:t xml:space="preserve">https://doi.org/10.6727/TJBS.202106_(41).0004</w:t>
        </w:r>
      </w:hyperlink>
    </w:p>
    <w:p>
      <w:pPr>
        <w:pStyle w:val="ReferenceEntry"/>
      </w:pPr>
      <w:bookmarkStart w:id="5045" w:name="ref-1225"/>
      <w:r>
        <w:t xml:space="preserve">[1225]</w:t>
      </w:r>
      <w:bookmarkEnd w:id="5045"/>
      <w:r>
        <w:t xml:space="preserve"> 溫宗堃. 印順法師怎麼說正念：論中文「正念」的多重含義. 《圓光佛學學報》, 2022, 40: 65–108.</w:t>
      </w:r>
      <w:r>
        <w:t xml:space="preserve"> </w:t>
      </w:r>
      <w:hyperlink r:id="rId5046">
        <w:r>
          <w:rPr>
            <w:rStyle w:val="Hyperlink"/>
          </w:rPr>
          <w:t xml:space="preserve">https://dlbs.liberal.ntu.edu.tw/search/search_detail.jsp?seq=666743</w:t>
        </w:r>
      </w:hyperlink>
      <w:r>
        <w:t xml:space="preserve">（2026 年 10 月访问）</w:t>
      </w:r>
    </w:p>
    <w:p>
      <w:pPr>
        <w:pStyle w:val="ReferenceEntry"/>
      </w:pPr>
      <w:bookmarkStart w:id="5047" w:name="ref-1226"/>
      <w:r>
        <w:t xml:space="preserve">[1226]</w:t>
      </w:r>
      <w:bookmarkEnd w:id="5047"/>
      <w:r>
        <w:t xml:space="preserve"> Yang WFZ, Chowdhury A, Bianciardi M, et al. Intensive whole-brain 7T MRI case study of volitional control of brain activity in deep absorptive meditation states.</w:t>
      </w:r>
      <w:r>
        <w:t xml:space="preserve"> </w:t>
      </w:r>
      <w:r>
        <w:rPr>
          <w:iCs/>
          <w:i/>
        </w:rPr>
        <w:t xml:space="preserve">Cerebral Cortex</w:t>
      </w:r>
      <w:r>
        <w:t xml:space="preserve">. 2024;34(1):bhad408.</w:t>
      </w:r>
      <w:r>
        <w:t xml:space="preserve"> </w:t>
      </w:r>
      <w:hyperlink r:id="rId5048">
        <w:r>
          <w:rPr>
            <w:rStyle w:val="Hyperlink"/>
          </w:rPr>
          <w:t xml:space="preserve">https://doi.org/10.1093/cercor/bhad408</w:t>
        </w:r>
      </w:hyperlink>
    </w:p>
    <w:p>
      <w:pPr>
        <w:pStyle w:val="ReferenceEntry"/>
      </w:pPr>
      <w:bookmarkStart w:id="5049" w:name="ref-1227"/>
      <w:r>
        <w:t xml:space="preserve">[1227]</w:t>
      </w:r>
      <w:bookmarkEnd w:id="5049"/>
      <w:r>
        <w:t xml:space="preserve"> Josipovic Z. Neural correlates of nondual awareness in meditation.</w:t>
      </w:r>
      <w:r>
        <w:t xml:space="preserve"> </w:t>
      </w:r>
      <w:r>
        <w:rPr>
          <w:iCs/>
          <w:i/>
        </w:rPr>
        <w:t xml:space="preserve">Annals of the New York Academy of Sciences</w:t>
      </w:r>
      <w:r>
        <w:t xml:space="preserve">. 2014;1307(1):9–18.</w:t>
      </w:r>
      <w:r>
        <w:t xml:space="preserve"> </w:t>
      </w:r>
      <w:hyperlink r:id="rId5050">
        <w:r>
          <w:rPr>
            <w:rStyle w:val="Hyperlink"/>
          </w:rPr>
          <w:t xml:space="preserve">https://doi.org/10.1111/nyas.12261</w:t>
        </w:r>
      </w:hyperlink>
    </w:p>
    <w:p>
      <w:pPr>
        <w:pStyle w:val="ReferenceEntry"/>
      </w:pPr>
      <w:bookmarkStart w:id="5051" w:name="ref-1228"/>
      <w:r>
        <w:t xml:space="preserve">[1228]</w:t>
      </w:r>
      <w:bookmarkEnd w:id="5051"/>
      <w:r>
        <w:t xml:space="preserve"> Josipovic Z, Dinstein I, Weber J, et al. Influence of meditation on anti-correlated networks in the brain.</w:t>
      </w:r>
      <w:r>
        <w:t xml:space="preserve"> </w:t>
      </w:r>
      <w:r>
        <w:rPr>
          <w:iCs/>
          <w:i/>
        </w:rPr>
        <w:t xml:space="preserve">Frontiers in Human Neuroscience</w:t>
      </w:r>
      <w:r>
        <w:t xml:space="preserve">. 2012;5:183.</w:t>
      </w:r>
      <w:r>
        <w:t xml:space="preserve"> </w:t>
      </w:r>
      <w:hyperlink r:id="rId5052">
        <w:r>
          <w:rPr>
            <w:rStyle w:val="Hyperlink"/>
          </w:rPr>
          <w:t xml:space="preserve">https://doi.org/10.3389/fnhum.2011.00183</w:t>
        </w:r>
      </w:hyperlink>
    </w:p>
    <w:p>
      <w:pPr>
        <w:pStyle w:val="ReferenceEntry"/>
      </w:pPr>
      <w:bookmarkStart w:id="5053" w:name="ref-1229"/>
      <w:r>
        <w:t xml:space="preserve">[1229]</w:t>
      </w:r>
      <w:bookmarkEnd w:id="5053"/>
      <w:r>
        <w:t xml:space="preserve"> Klimecki OM, Leiberg S, Lamm C, et al. Functional Neural Plasticity and Associated Changes in Positive Affect After Compassion Training.</w:t>
      </w:r>
      <w:r>
        <w:t xml:space="preserve"> </w:t>
      </w:r>
      <w:r>
        <w:rPr>
          <w:iCs/>
          <w:i/>
        </w:rPr>
        <w:t xml:space="preserve">Cerebral Cortex</w:t>
      </w:r>
      <w:r>
        <w:t xml:space="preserve">. 2013;23(7):1552–1561.</w:t>
      </w:r>
      <w:r>
        <w:t xml:space="preserve"> </w:t>
      </w:r>
      <w:hyperlink r:id="rId5054">
        <w:r>
          <w:rPr>
            <w:rStyle w:val="Hyperlink"/>
          </w:rPr>
          <w:t xml:space="preserve">https://doi.org/10.1093/cercor/bhs142</w:t>
        </w:r>
      </w:hyperlink>
    </w:p>
    <w:p>
      <w:pPr>
        <w:pStyle w:val="ReferenceEntry"/>
      </w:pPr>
      <w:bookmarkStart w:id="5055" w:name="ref-1230"/>
      <w:r>
        <w:t xml:space="preserve">[1230]</w:t>
      </w:r>
      <w:bookmarkEnd w:id="5055"/>
      <w:r>
        <w:t xml:space="preserve"> Klimecki OM, Leiberg S, Ricard M, et al. Differential pattern of functional brain plasticity after compassion and empathy training.</w:t>
      </w:r>
      <w:r>
        <w:t xml:space="preserve"> </w:t>
      </w:r>
      <w:r>
        <w:rPr>
          <w:iCs/>
          <w:i/>
        </w:rPr>
        <w:t xml:space="preserve">Social Cognitive and Affective Neuroscience</w:t>
      </w:r>
      <w:r>
        <w:t xml:space="preserve">. 2014;9(6):873–879.</w:t>
      </w:r>
      <w:r>
        <w:t xml:space="preserve"> </w:t>
      </w:r>
      <w:hyperlink r:id="rId5056">
        <w:r>
          <w:rPr>
            <w:rStyle w:val="Hyperlink"/>
          </w:rPr>
          <w:t xml:space="preserve">https://doi.org/10.1093/scan/nst060</w:t>
        </w:r>
      </w:hyperlink>
    </w:p>
    <w:p>
      <w:pPr>
        <w:pStyle w:val="ReferenceEntry"/>
      </w:pPr>
      <w:bookmarkStart w:id="5057" w:name="ref-1231"/>
      <w:r>
        <w:t xml:space="preserve">[1231]</w:t>
      </w:r>
      <w:bookmarkEnd w:id="5057"/>
      <w:r>
        <w:t xml:space="preserve"> Weng HY, Fox AS, Shackman AJ, et al. Compassion Training Alters Altruism and Neural Responses to Suffering.</w:t>
      </w:r>
      <w:r>
        <w:t xml:space="preserve"> </w:t>
      </w:r>
      <w:r>
        <w:rPr>
          <w:iCs/>
          <w:i/>
        </w:rPr>
        <w:t xml:space="preserve">Psychological Science</w:t>
      </w:r>
      <w:r>
        <w:t xml:space="preserve">. 2013;24(7):1171–1180.</w:t>
      </w:r>
      <w:r>
        <w:t xml:space="preserve"> </w:t>
      </w:r>
      <w:hyperlink r:id="rId5058">
        <w:r>
          <w:rPr>
            <w:rStyle w:val="Hyperlink"/>
          </w:rPr>
          <w:t xml:space="preserve">https://doi.org/10.1177/0956797612469537</w:t>
        </w:r>
      </w:hyperlink>
    </w:p>
    <w:p>
      <w:pPr>
        <w:pStyle w:val="ReferenceEntry"/>
      </w:pPr>
      <w:bookmarkStart w:id="5059" w:name="ref-1232"/>
      <w:r>
        <w:t xml:space="preserve">[1232]</w:t>
      </w:r>
      <w:bookmarkEnd w:id="5059"/>
      <w:r>
        <w:t xml:space="preserve"> Galante J, Galante I, Bekkers MJ, et al. Effect of kindness-based meditation on health and well-being: A systematic review and meta-analysis.</w:t>
      </w:r>
      <w:r>
        <w:t xml:space="preserve"> </w:t>
      </w:r>
      <w:r>
        <w:rPr>
          <w:iCs/>
          <w:i/>
        </w:rPr>
        <w:t xml:space="preserve">Journal of Consulting and Clinical Psychology</w:t>
      </w:r>
      <w:r>
        <w:t xml:space="preserve">. 2014;82(6):1101–1114.</w:t>
      </w:r>
      <w:r>
        <w:t xml:space="preserve"> </w:t>
      </w:r>
      <w:hyperlink r:id="rId5060">
        <w:r>
          <w:rPr>
            <w:rStyle w:val="Hyperlink"/>
          </w:rPr>
          <w:t xml:space="preserve">https://doi.org/10.1037/a0037249</w:t>
        </w:r>
      </w:hyperlink>
    </w:p>
    <w:p>
      <w:pPr>
        <w:pStyle w:val="ReferenceEntry"/>
      </w:pPr>
      <w:bookmarkStart w:id="5061" w:name="ref-1233"/>
      <w:r>
        <w:t xml:space="preserve">[1233]</w:t>
      </w:r>
      <w:bookmarkEnd w:id="5061"/>
      <w:r>
        <w:t xml:space="preserve"> Dor-Ziderman Y, Berkovich-Ohana A, Glicksohn J, et al. Mindfulness-induced selflessness: a MEG neurophenomenological study.</w:t>
      </w:r>
      <w:r>
        <w:t xml:space="preserve"> </w:t>
      </w:r>
      <w:r>
        <w:rPr>
          <w:iCs/>
          <w:i/>
        </w:rPr>
        <w:t xml:space="preserve">Frontiers in Human Neuroscience</w:t>
      </w:r>
      <w:r>
        <w:t xml:space="preserve">. 2013;7:582.</w:t>
      </w:r>
      <w:r>
        <w:t xml:space="preserve"> </w:t>
      </w:r>
      <w:hyperlink r:id="rId5062">
        <w:r>
          <w:rPr>
            <w:rStyle w:val="Hyperlink"/>
          </w:rPr>
          <w:t xml:space="preserve">https://doi.org/10.3389/fnhum.2013.00582</w:t>
        </w:r>
      </w:hyperlink>
    </w:p>
    <w:p>
      <w:pPr>
        <w:pStyle w:val="ReferenceEntry"/>
      </w:pPr>
      <w:bookmarkStart w:id="5063" w:name="ref-1234"/>
      <w:r>
        <w:t xml:space="preserve">[1234]</w:t>
      </w:r>
      <w:bookmarkEnd w:id="5063"/>
      <w:r>
        <w:t xml:space="preserve"> Trautwein FM, Schweitzer Y, Dor-Ziderman Y, et al. Suspending the Embodied Self in Meditation Attenuates Beta Oscillations in the Posterior Medial Cortex.</w:t>
      </w:r>
      <w:r>
        <w:t xml:space="preserve"> </w:t>
      </w:r>
      <w:r>
        <w:rPr>
          <w:iCs/>
          <w:i/>
        </w:rPr>
        <w:t xml:space="preserve">The Journal of Neuroscience</w:t>
      </w:r>
      <w:r>
        <w:t xml:space="preserve">. 2024;44(26):e1182232024.</w:t>
      </w:r>
      <w:r>
        <w:t xml:space="preserve"> </w:t>
      </w:r>
      <w:hyperlink r:id="rId5064">
        <w:r>
          <w:rPr>
            <w:rStyle w:val="Hyperlink"/>
          </w:rPr>
          <w:t xml:space="preserve">https://doi.org/10.1523/jneurosci.1182-23.2024</w:t>
        </w:r>
      </w:hyperlink>
    </w:p>
    <w:p>
      <w:pPr>
        <w:pStyle w:val="ReferenceEntry"/>
      </w:pPr>
      <w:bookmarkStart w:id="5065" w:name="ref-1235"/>
      <w:r>
        <w:t xml:space="preserve">[1235]</w:t>
      </w:r>
      <w:bookmarkEnd w:id="5065"/>
      <w:r>
        <w:t xml:space="preserve"> Röhr H, Atad DA, Trautwein FM, et al. Decoding the Self: Single‐Trial Prediction of Self‐Boundary Meditation States From Magnetoencephalography Recordings.</w:t>
      </w:r>
      <w:r>
        <w:t xml:space="preserve"> </w:t>
      </w:r>
      <w:r>
        <w:rPr>
          <w:iCs/>
          <w:i/>
        </w:rPr>
        <w:t xml:space="preserve">Human Brain Mapping</w:t>
      </w:r>
      <w:r>
        <w:t xml:space="preserve">. 2026;47(1):e70440.</w:t>
      </w:r>
      <w:r>
        <w:t xml:space="preserve"> </w:t>
      </w:r>
      <w:hyperlink r:id="rId5066">
        <w:r>
          <w:rPr>
            <w:rStyle w:val="Hyperlink"/>
          </w:rPr>
          <w:t xml:space="preserve">https://doi.org/10.1002/hbm.70440</w:t>
        </w:r>
      </w:hyperlink>
    </w:p>
    <w:p>
      <w:pPr>
        <w:pStyle w:val="ReferenceEntry"/>
      </w:pPr>
      <w:bookmarkStart w:id="5067" w:name="ref-1236"/>
      <w:r>
        <w:t xml:space="preserve">[1236]</w:t>
      </w:r>
      <w:bookmarkEnd w:id="5067"/>
      <w:r>
        <w:t xml:space="preserve"> Gamma A, Metzinger T. The Minimal Phenomenal Experience questionnaire (MPE-92M): Towards a phenomenological profile of “pure awareness” experiences in meditators.</w:t>
      </w:r>
      <w:r>
        <w:t xml:space="preserve"> </w:t>
      </w:r>
      <w:r>
        <w:rPr>
          <w:iCs/>
          <w:i/>
        </w:rPr>
        <w:t xml:space="preserve">PLOS ONE</w:t>
      </w:r>
      <w:r>
        <w:t xml:space="preserve">. 2021;16(7):e0253694.</w:t>
      </w:r>
      <w:r>
        <w:t xml:space="preserve"> </w:t>
      </w:r>
      <w:hyperlink r:id="rId5068">
        <w:r>
          <w:rPr>
            <w:rStyle w:val="Hyperlink"/>
          </w:rPr>
          <w:t xml:space="preserve">https://doi.org/10.1371/journal.pone.0253694</w:t>
        </w:r>
      </w:hyperlink>
    </w:p>
    <w:p>
      <w:pPr>
        <w:pStyle w:val="ReferenceEntry"/>
      </w:pPr>
      <w:bookmarkStart w:id="5069" w:name="ref-1237"/>
      <w:r>
        <w:t xml:space="preserve">[1237]</w:t>
      </w:r>
      <w:bookmarkEnd w:id="5069"/>
      <w:r>
        <w:t xml:space="preserve"> Metzinger T.</w:t>
      </w:r>
      <w:r>
        <w:t xml:space="preserve"> </w:t>
      </w:r>
      <w:r>
        <w:rPr>
          <w:iCs/>
          <w:i/>
        </w:rPr>
        <w:t xml:space="preserve">The Elephant and the Blind: The Experience of Pure Consciousness: Philosophy, Science, and 500+ Experiential Reports</w:t>
      </w:r>
      <w:r>
        <w:t xml:space="preserve">. MIT Press; 2024.</w:t>
      </w:r>
      <w:r>
        <w:t xml:space="preserve"> </w:t>
      </w:r>
      <w:hyperlink r:id="rId5070">
        <w:r>
          <w:rPr>
            <w:rStyle w:val="Hyperlink"/>
          </w:rPr>
          <w:t xml:space="preserve">https://doi.org/10.7551/mitpress/15196.001.0001</w:t>
        </w:r>
      </w:hyperlink>
    </w:p>
    <w:p>
      <w:pPr>
        <w:pStyle w:val="ReferenceEntry"/>
      </w:pPr>
      <w:bookmarkStart w:id="5071" w:name="ref-1238"/>
      <w:r>
        <w:t xml:space="preserve">[1238]</w:t>
      </w:r>
      <w:bookmarkEnd w:id="5071"/>
      <w:r>
        <w:t xml:space="preserve"> Josipovic Z, Miskovic V. Nondual Awareness and Minimal Phenomenal Experience.</w:t>
      </w:r>
      <w:r>
        <w:t xml:space="preserve"> </w:t>
      </w:r>
      <w:r>
        <w:rPr>
          <w:iCs/>
          <w:i/>
        </w:rPr>
        <w:t xml:space="preserve">Frontiers in Psychology</w:t>
      </w:r>
      <w:r>
        <w:t xml:space="preserve">. 2020;11:2087.</w:t>
      </w:r>
      <w:r>
        <w:t xml:space="preserve"> </w:t>
      </w:r>
      <w:hyperlink r:id="rId5072">
        <w:r>
          <w:rPr>
            <w:rStyle w:val="Hyperlink"/>
          </w:rPr>
          <w:t xml:space="preserve">https://doi.org/10.3389/fpsyg.2020.02087</w:t>
        </w:r>
      </w:hyperlink>
    </w:p>
    <w:p>
      <w:pPr>
        <w:pStyle w:val="ReferenceEntry"/>
      </w:pPr>
      <w:bookmarkStart w:id="5073" w:name="ref-1239"/>
      <w:r>
        <w:t xml:space="preserve">[1239]</w:t>
      </w:r>
      <w:bookmarkEnd w:id="5073"/>
      <w:r>
        <w:t xml:space="preserve"> Carhart-Harris RL, Erritzoe D, Williams T, et al. Neural correlates of the psychedelic state as determined by fMRI studies with psilocybin.</w:t>
      </w:r>
      <w:r>
        <w:t xml:space="preserve"> </w:t>
      </w:r>
      <w:r>
        <w:rPr>
          <w:iCs/>
          <w:i/>
        </w:rPr>
        <w:t xml:space="preserve">Proceedings of the National Academy of Sciences</w:t>
      </w:r>
      <w:r>
        <w:t xml:space="preserve">. 2012;109(6):2138–2143.</w:t>
      </w:r>
      <w:r>
        <w:t xml:space="preserve"> </w:t>
      </w:r>
      <w:hyperlink r:id="rId5074">
        <w:r>
          <w:rPr>
            <w:rStyle w:val="Hyperlink"/>
          </w:rPr>
          <w:t xml:space="preserve">https://doi.org/10.1073/pnas.1119598109</w:t>
        </w:r>
      </w:hyperlink>
    </w:p>
    <w:p>
      <w:pPr>
        <w:pStyle w:val="ReferenceEntry"/>
      </w:pPr>
      <w:bookmarkStart w:id="5075" w:name="ref-1240"/>
      <w:r>
        <w:t xml:space="preserve">[1240]</w:t>
      </w:r>
      <w:bookmarkEnd w:id="5075"/>
      <w:r>
        <w:t xml:space="preserve"> Vollenweider FX, Vollenweider-Scherpenhuyzen MF, Bäbler A, et al. Psilocybin induces schizophrenia-like psychosis in humans via a serotonin-2 agonist action.</w:t>
      </w:r>
      <w:r>
        <w:t xml:space="preserve"> </w:t>
      </w:r>
      <w:r>
        <w:rPr>
          <w:iCs/>
          <w:i/>
        </w:rPr>
        <w:t xml:space="preserve">NeuroReport</w:t>
      </w:r>
      <w:r>
        <w:t xml:space="preserve">. 1998;9(17):3897–3902.</w:t>
      </w:r>
      <w:r>
        <w:t xml:space="preserve"> </w:t>
      </w:r>
      <w:hyperlink r:id="rId5076">
        <w:r>
          <w:rPr>
            <w:rStyle w:val="Hyperlink"/>
          </w:rPr>
          <w:t xml:space="preserve">https://doi.org/10.1097/00001756-199812010-00024</w:t>
        </w:r>
      </w:hyperlink>
    </w:p>
    <w:p>
      <w:pPr>
        <w:pStyle w:val="ReferenceEntry"/>
      </w:pPr>
      <w:bookmarkStart w:id="5077" w:name="ref-1241"/>
      <w:r>
        <w:t xml:space="preserve">[1241]</w:t>
      </w:r>
      <w:bookmarkEnd w:id="5077"/>
      <w:r>
        <w:t xml:space="preserve"> Smigielski L, Scheidegger M, Kometer M, et al. Psilocybin-assisted mindfulness training modulates self-consciousness and brain default mode network connectivity with lasting effects.</w:t>
      </w:r>
      <w:r>
        <w:t xml:space="preserve"> </w:t>
      </w:r>
      <w:r>
        <w:rPr>
          <w:iCs/>
          <w:i/>
        </w:rPr>
        <w:t xml:space="preserve">NeuroImage</w:t>
      </w:r>
      <w:r>
        <w:t xml:space="preserve">. 2019;196:207–215.</w:t>
      </w:r>
      <w:r>
        <w:t xml:space="preserve"> </w:t>
      </w:r>
      <w:hyperlink r:id="rId5078">
        <w:r>
          <w:rPr>
            <w:rStyle w:val="Hyperlink"/>
          </w:rPr>
          <w:t xml:space="preserve">https://doi.org/10.1016/j.neuroimage.2019.04.009</w:t>
        </w:r>
      </w:hyperlink>
    </w:p>
    <w:p>
      <w:pPr>
        <w:pStyle w:val="ReferenceEntry"/>
      </w:pPr>
      <w:bookmarkStart w:id="5079" w:name="ref-1242"/>
      <w:r>
        <w:t xml:space="preserve">[1242]</w:t>
      </w:r>
      <w:bookmarkEnd w:id="5079"/>
      <w:r>
        <w:t xml:space="preserve"> Laukkonen RE, Sacchet MD, Barendregt H, et al. Cessations of consciousness in meditation: Advancing a scientific understanding of nirodha samāpatti.</w:t>
      </w:r>
      <w:r>
        <w:t xml:space="preserve"> </w:t>
      </w:r>
      <w:r>
        <w:rPr>
          <w:iCs/>
          <w:i/>
        </w:rPr>
        <w:t xml:space="preserve">Progress in Brain Research</w:t>
      </w:r>
      <w:r>
        <w:t xml:space="preserve">. 2023;280:61–87.</w:t>
      </w:r>
      <w:r>
        <w:t xml:space="preserve"> </w:t>
      </w:r>
      <w:hyperlink r:id="rId5080">
        <w:r>
          <w:rPr>
            <w:rStyle w:val="Hyperlink"/>
          </w:rPr>
          <w:t xml:space="preserve">https://doi.org/10.1016/bs.pbr.2022.12.007</w:t>
        </w:r>
      </w:hyperlink>
    </w:p>
    <w:p>
      <w:pPr>
        <w:pStyle w:val="ReferenceEntry"/>
      </w:pPr>
      <w:bookmarkStart w:id="5081" w:name="ref-1243"/>
      <w:r>
        <w:t xml:space="preserve">[1243]</w:t>
      </w:r>
      <w:bookmarkEnd w:id="5081"/>
      <w:r>
        <w:t xml:space="preserve"> Potash RM, Yang WFZ, Winston B, et al. Investigating the complex cortical dynamics of an advanced concentrative absorption meditation called jhanas (ACAM-J): a geometric eigenmode analysis.</w:t>
      </w:r>
      <w:r>
        <w:t xml:space="preserve"> </w:t>
      </w:r>
      <w:r>
        <w:rPr>
          <w:iCs/>
          <w:i/>
        </w:rPr>
        <w:t xml:space="preserve">Cerebral Cortex</w:t>
      </w:r>
      <w:r>
        <w:t xml:space="preserve">. 2025;35(2):bhaf039.</w:t>
      </w:r>
      <w:r>
        <w:t xml:space="preserve"> </w:t>
      </w:r>
      <w:hyperlink r:id="rId5082">
        <w:r>
          <w:rPr>
            <w:rStyle w:val="Hyperlink"/>
          </w:rPr>
          <w:t xml:space="preserve">https://doi.org/10.1093/cercor/bhaf039</w:t>
        </w:r>
      </w:hyperlink>
    </w:p>
    <w:p>
      <w:pPr>
        <w:pStyle w:val="ReferenceEntry"/>
      </w:pPr>
      <w:bookmarkStart w:id="5083" w:name="ref-1244"/>
      <w:r>
        <w:t xml:space="preserve">[1244]</w:t>
      </w:r>
      <w:bookmarkEnd w:id="5083"/>
      <w:r>
        <w:t xml:space="preserve"> Chowdhury A, van Lutterveld R, Laukkonen RE, et al. Investigation of advanced mindfulness meditation “cessation” experiences using EEG spectral analysis in an intensively sampled case study.</w:t>
      </w:r>
      <w:r>
        <w:t xml:space="preserve"> </w:t>
      </w:r>
      <w:r>
        <w:rPr>
          <w:iCs/>
          <w:i/>
        </w:rPr>
        <w:t xml:space="preserve">Neuropsychologia</w:t>
      </w:r>
      <w:r>
        <w:t xml:space="preserve">. 2023;190:108694.</w:t>
      </w:r>
      <w:r>
        <w:t xml:space="preserve"> </w:t>
      </w:r>
      <w:hyperlink r:id="rId5084">
        <w:r>
          <w:rPr>
            <w:rStyle w:val="Hyperlink"/>
          </w:rPr>
          <w:t xml:space="preserve">https://doi.org/10.1016/j.neuropsychologia.2023.108694</w:t>
        </w:r>
      </w:hyperlink>
    </w:p>
    <w:p>
      <w:pPr>
        <w:pStyle w:val="ReferenceEntry"/>
      </w:pPr>
      <w:bookmarkStart w:id="5085" w:name="ref-1245"/>
      <w:r>
        <w:t xml:space="preserve">[1245]</w:t>
      </w:r>
      <w:bookmarkEnd w:id="5085"/>
      <w:r>
        <w:t xml:space="preserve"> van Lutterveld R, Chowdhury A, Ingram DM, et al. Neurophenomenological Investigation of Mindfulness Meditation “Cessation” Experiences Using EEG Network Analysis in an Intensively Sampled Adept Meditator.</w:t>
      </w:r>
      <w:r>
        <w:t xml:space="preserve"> </w:t>
      </w:r>
      <w:r>
        <w:rPr>
          <w:iCs/>
          <w:i/>
        </w:rPr>
        <w:t xml:space="preserve">Brain Topography</w:t>
      </w:r>
      <w:r>
        <w:t xml:space="preserve">. 2024;37(5):849–858.</w:t>
      </w:r>
      <w:r>
        <w:t xml:space="preserve"> </w:t>
      </w:r>
      <w:hyperlink r:id="rId5086">
        <w:r>
          <w:rPr>
            <w:rStyle w:val="Hyperlink"/>
          </w:rPr>
          <w:t xml:space="preserve">https://doi.org/10.1007/s10548-024-01052-4</w:t>
        </w:r>
      </w:hyperlink>
    </w:p>
    <w:p>
      <w:pPr>
        <w:pStyle w:val="ReferenceEntry"/>
      </w:pPr>
      <w:bookmarkStart w:id="5087" w:name="ref-1246"/>
      <w:r>
        <w:t xml:space="preserve">[1246]</w:t>
      </w:r>
      <w:bookmarkEnd w:id="5087"/>
      <w:r>
        <w:t xml:space="preserve"> Yang WFZ, Potash R, Mackin G, et al. The neuroscience of highly stable, positive, and refined states of consciousness during jhana-type advanced concentration absorption meditation (ACAM-J).</w:t>
      </w:r>
      <w:r>
        <w:t xml:space="preserve"> </w:t>
      </w:r>
      <w:r>
        <w:rPr>
          <w:iCs/>
          <w:i/>
        </w:rPr>
        <w:t xml:space="preserve">bioRxiv</w:t>
      </w:r>
      <w:r>
        <w:t xml:space="preserve">. 2025（预印本，未经同行评议；第 1 版，2025 年 11 月 13 日）.</w:t>
      </w:r>
      <w:r>
        <w:t xml:space="preserve"> </w:t>
      </w:r>
      <w:hyperlink r:id="rId5088">
        <w:r>
          <w:rPr>
            <w:rStyle w:val="Hyperlink"/>
          </w:rPr>
          <w:t xml:space="preserve">https://doi.org/10.1101/2025.11.12.688050</w:t>
        </w:r>
      </w:hyperlink>
    </w:p>
    <w:p>
      <w:pPr>
        <w:pStyle w:val="ReferenceEntry"/>
      </w:pPr>
      <w:bookmarkStart w:id="5089" w:name="ref-1247"/>
      <w:r>
        <w:t xml:space="preserve">[1247]</w:t>
      </w:r>
      <w:bookmarkEnd w:id="5089"/>
      <w:r>
        <w:t xml:space="preserve"> Shinozuka K, Yang WFZ, Potash RM, et al. Neuroelectrophysiological correlates of extended cessation of consciousness in advanced meditators: A multimodal EEG and MEG study.</w:t>
      </w:r>
      <w:r>
        <w:t xml:space="preserve"> </w:t>
      </w:r>
      <w:r>
        <w:rPr>
          <w:iCs/>
          <w:i/>
        </w:rPr>
        <w:t xml:space="preserve">bioRxiv</w:t>
      </w:r>
      <w:r>
        <w:t xml:space="preserve">. 2025（预印本，未经同行评议；本书依据 2026 年 10 月 17 日的第 3 版，主要结果与 2025 年 9 月的第 1 版不同）.</w:t>
      </w:r>
      <w:r>
        <w:t xml:space="preserve"> </w:t>
      </w:r>
      <w:hyperlink r:id="rId5090">
        <w:r>
          <w:rPr>
            <w:rStyle w:val="Hyperlink"/>
          </w:rPr>
          <w:t xml:space="preserve">https://doi.org/10.1101/2025.09.19.677455</w:t>
        </w:r>
      </w:hyperlink>
    </w:p>
    <w:p>
      <w:pPr>
        <w:pStyle w:val="ReferenceEntry"/>
      </w:pPr>
      <w:bookmarkStart w:id="5091" w:name="ref-1248"/>
      <w:r>
        <w:t xml:space="preserve">[1248]</w:t>
      </w:r>
      <w:bookmarkEnd w:id="5091"/>
      <w:r>
        <w:t xml:space="preserve"> Dhammadinnā B, Saron CD. Letter to the Editors.</w:t>
      </w:r>
      <w:r>
        <w:t xml:space="preserve"> </w:t>
      </w:r>
      <w:r>
        <w:rPr>
          <w:iCs/>
          <w:i/>
        </w:rPr>
        <w:t xml:space="preserve">Brain Topography</w:t>
      </w:r>
      <w:r>
        <w:t xml:space="preserve">. 2025;38(1):14（2024 年在线发表）.</w:t>
      </w:r>
      <w:r>
        <w:t xml:space="preserve"> </w:t>
      </w:r>
      <w:hyperlink r:id="rId5092">
        <w:r>
          <w:rPr>
            <w:rStyle w:val="Hyperlink"/>
          </w:rPr>
          <w:t xml:space="preserve">https://doi.org/10.1007/s10548-024-01089-5</w:t>
        </w:r>
      </w:hyperlink>
    </w:p>
    <w:p>
      <w:pPr>
        <w:pStyle w:val="ReferenceEntry"/>
      </w:pPr>
      <w:bookmarkStart w:id="5093" w:name="ref-1249"/>
      <w:r>
        <w:t xml:space="preserve">[1249]</w:t>
      </w:r>
      <w:bookmarkEnd w:id="5093"/>
      <w:r>
        <w:t xml:space="preserve"> van Lutterveld R, Chowdhury A, Ingram DM, et al. Response to Letter to the Editors “Neurophenomenological Investigation of Mindfulness Meditation “Cessation” Experiences Using EEG Network Analysis in an Intensively Sampled Adept Meditator”.</w:t>
      </w:r>
      <w:r>
        <w:t xml:space="preserve"> </w:t>
      </w:r>
      <w:r>
        <w:rPr>
          <w:iCs/>
          <w:i/>
        </w:rPr>
        <w:t xml:space="preserve">Brain Topography</w:t>
      </w:r>
      <w:r>
        <w:t xml:space="preserve">. 2025;38(1):13（2024 年在线发表）.</w:t>
      </w:r>
      <w:r>
        <w:t xml:space="preserve"> </w:t>
      </w:r>
      <w:hyperlink r:id="rId5094">
        <w:r>
          <w:rPr>
            <w:rStyle w:val="Hyperlink"/>
          </w:rPr>
          <w:t xml:space="preserve">https://doi.org/10.1007/s10548-024-01090-y</w:t>
        </w:r>
      </w:hyperlink>
    </w:p>
    <w:p>
      <w:pPr>
        <w:pStyle w:val="ReferenceEntry"/>
      </w:pPr>
      <w:bookmarkStart w:id="5095" w:name="ref-1250"/>
      <w:r>
        <w:t xml:space="preserve">[1250]</w:t>
      </w:r>
      <w:bookmarkEnd w:id="5095"/>
      <w:r>
        <w:t xml:space="preserve"> Lott DT, Yeshi T, Norchung N, et al. No Detectable Electroencephalographic Activity After Clinical Declaration of Death Among Tibetan Buddhist Meditators in Apparent Tukdam, a Putative Postmortem Meditation State.</w:t>
      </w:r>
      <w:r>
        <w:t xml:space="preserve"> </w:t>
      </w:r>
      <w:r>
        <w:rPr>
          <w:iCs/>
          <w:i/>
        </w:rPr>
        <w:t xml:space="preserve">Frontiers in Psychology</w:t>
      </w:r>
      <w:r>
        <w:t xml:space="preserve">. 2021;11:599190.</w:t>
      </w:r>
      <w:r>
        <w:t xml:space="preserve"> </w:t>
      </w:r>
      <w:hyperlink r:id="rId5096">
        <w:r>
          <w:rPr>
            <w:rStyle w:val="Hyperlink"/>
          </w:rPr>
          <w:t xml:space="preserve">https://doi.org/10.3389/fpsyg.2020.599190</w:t>
        </w:r>
      </w:hyperlink>
    </w:p>
    <w:p>
      <w:pPr>
        <w:pStyle w:val="ReferenceEntry"/>
      </w:pPr>
      <w:bookmarkStart w:id="5097" w:name="ref-1251"/>
      <w:r>
        <w:t xml:space="preserve">[1251]</w:t>
      </w:r>
      <w:bookmarkEnd w:id="5097"/>
      <w:r>
        <w:t xml:space="preserve"> 《相应部》54.9（Vesālī Sutta）. 巴利原文及 Bhikkhu Sujato 英译. SuttaCentral.</w:t>
      </w:r>
      <w:r>
        <w:t xml:space="preserve"> </w:t>
      </w:r>
      <w:hyperlink r:id="rId5098">
        <w:r>
          <w:rPr>
            <w:rStyle w:val="Hyperlink"/>
          </w:rPr>
          <w:t xml:space="preserve">https://suttacentral.net/sn54.9/en/sujato</w:t>
        </w:r>
      </w:hyperlink>
      <w:r>
        <w:t xml:space="preserve">（2026 年 10 月访问）</w:t>
      </w:r>
    </w:p>
    <w:p>
      <w:pPr>
        <w:pStyle w:val="ReferenceEntry"/>
      </w:pPr>
      <w:bookmarkStart w:id="5099" w:name="ref-1252"/>
      <w:r>
        <w:t xml:space="preserve">[1252]</w:t>
      </w:r>
      <w:bookmarkEnd w:id="5099"/>
      <w:r>
        <w:t xml:space="preserve"> 《增支部》6.55（Soṇa Sutta）. 巴利原文及 Bhikkhu Sujato 英译. SuttaCentral.</w:t>
      </w:r>
      <w:r>
        <w:t xml:space="preserve"> </w:t>
      </w:r>
      <w:hyperlink r:id="rId5100">
        <w:r>
          <w:rPr>
            <w:rStyle w:val="Hyperlink"/>
          </w:rPr>
          <w:t xml:space="preserve">https://suttacentral.net/an6.55/en/sujato</w:t>
        </w:r>
      </w:hyperlink>
      <w:r>
        <w:t xml:space="preserve">（2026 年 10 月访问）</w:t>
      </w:r>
    </w:p>
    <w:p>
      <w:pPr>
        <w:pStyle w:val="ReferenceEntry"/>
      </w:pPr>
      <w:bookmarkStart w:id="5101" w:name="ref-1253"/>
      <w:r>
        <w:t xml:space="preserve">[1253]</w:t>
      </w:r>
      <w:bookmarkEnd w:id="5101"/>
      <w:r>
        <w:t xml:space="preserve"> 沮渠京声译.《治禅病秘要法》. 大正藏第 15 册，No. 620. CBETA.</w:t>
      </w:r>
      <w:r>
        <w:t xml:space="preserve"> </w:t>
      </w:r>
      <w:hyperlink r:id="rId5102">
        <w:r>
          <w:rPr>
            <w:rStyle w:val="Hyperlink"/>
          </w:rPr>
          <w:t xml:space="preserve">https://cbetaonline.dila.edu.tw/zh/T0620</w:t>
        </w:r>
      </w:hyperlink>
      <w:r>
        <w:t xml:space="preserve">（2026 年 10 月访问）</w:t>
      </w:r>
    </w:p>
    <w:p>
      <w:pPr>
        <w:pStyle w:val="ReferenceEntry"/>
      </w:pPr>
      <w:bookmarkStart w:id="5103" w:name="ref-1254"/>
      <w:r>
        <w:t xml:space="preserve">[1254]</w:t>
      </w:r>
      <w:bookmarkEnd w:id="5103"/>
      <w:r>
        <w:t xml:space="preserve"> 智顗.《修习止观坐禅法要》. 大正藏第 46 册，No. 1915. CBETA.</w:t>
      </w:r>
      <w:r>
        <w:t xml:space="preserve"> </w:t>
      </w:r>
      <w:hyperlink r:id="rId5104">
        <w:r>
          <w:rPr>
            <w:rStyle w:val="Hyperlink"/>
          </w:rPr>
          <w:t xml:space="preserve">https://cbetaonline.dila.edu.tw/zh/T1915</w:t>
        </w:r>
      </w:hyperlink>
      <w:r>
        <w:t xml:space="preserve">（2026 年 10 月访问）</w:t>
      </w:r>
    </w:p>
    <w:p>
      <w:pPr>
        <w:pStyle w:val="ReferenceEntry"/>
      </w:pPr>
      <w:bookmarkStart w:id="5105" w:name="ref-1255"/>
      <w:r>
        <w:t xml:space="preserve">[1255]</w:t>
      </w:r>
      <w:bookmarkEnd w:id="5105"/>
      <w:r>
        <w:t xml:space="preserve"> Thompson E.</w:t>
      </w:r>
      <w:r>
        <w:t xml:space="preserve"> </w:t>
      </w:r>
      <w:r>
        <w:rPr>
          <w:iCs/>
          <w:i/>
        </w:rPr>
        <w:t xml:space="preserve">Why I Am Not a Buddhist</w:t>
      </w:r>
      <w:r>
        <w:t xml:space="preserve">. Yale University Press; 2020.</w:t>
      </w:r>
      <w:r>
        <w:t xml:space="preserve"> </w:t>
      </w:r>
      <w:hyperlink r:id="rId5106">
        <w:r>
          <w:rPr>
            <w:rStyle w:val="Hyperlink"/>
          </w:rPr>
          <w:t xml:space="preserve">https://doi.org/10.12987/9780300248708</w:t>
        </w:r>
      </w:hyperlink>
    </w:p>
    <w:p>
      <w:pPr>
        <w:pStyle w:val="ReferenceEntry"/>
      </w:pPr>
      <w:bookmarkStart w:id="5107" w:name="ref-1256"/>
      <w:r>
        <w:t xml:space="preserve">[1256]</w:t>
      </w:r>
      <w:bookmarkEnd w:id="5107"/>
      <w:r>
        <w:t xml:space="preserve"> Purser RE.</w:t>
      </w:r>
      <w:r>
        <w:t xml:space="preserve"> </w:t>
      </w:r>
      <w:r>
        <w:rPr>
          <w:iCs/>
          <w:i/>
        </w:rPr>
        <w:t xml:space="preserve">McMindfulness: How Mindfulness Became the New Capitalist Spirituality</w:t>
      </w:r>
      <w:r>
        <w:t xml:space="preserve">. London: Repeater Books; 2019.</w:t>
      </w:r>
    </w:p>
    <w:p>
      <w:pPr>
        <w:pStyle w:val="ReferenceEntry"/>
      </w:pPr>
      <w:bookmarkStart w:id="5108" w:name="ref-1257"/>
      <w:r>
        <w:t xml:space="preserve">[1257]</w:t>
      </w:r>
      <w:bookmarkEnd w:id="5108"/>
      <w:r>
        <w:t xml:space="preserve"> Parsons CE, Crane C, Parsons LJ, et al. Home practice in Mindfulness-Based Cognitive Therapy and Mindfulness-Based Stress Reduction: A systematic review and meta-analysis of participants' mindfulness practice and its association with outcomes.</w:t>
      </w:r>
      <w:r>
        <w:t xml:space="preserve"> </w:t>
      </w:r>
      <w:r>
        <w:rPr>
          <w:iCs/>
          <w:i/>
        </w:rPr>
        <w:t xml:space="preserve">Behaviour Research and Therapy</w:t>
      </w:r>
      <w:r>
        <w:t xml:space="preserve">. 2017;95:29–41.</w:t>
      </w:r>
      <w:r>
        <w:t xml:space="preserve"> </w:t>
      </w:r>
      <w:hyperlink r:id="rId5109">
        <w:r>
          <w:rPr>
            <w:rStyle w:val="Hyperlink"/>
          </w:rPr>
          <w:t xml:space="preserve">https://doi.org/10.1016/j.brat.2017.05.004</w:t>
        </w:r>
      </w:hyperlink>
    </w:p>
    <w:p>
      <w:pPr>
        <w:pStyle w:val="ReferenceEntry"/>
      </w:pPr>
      <w:bookmarkStart w:id="5110" w:name="ref-1258"/>
      <w:r>
        <w:t xml:space="preserve">[1258]</w:t>
      </w:r>
      <w:bookmarkEnd w:id="5110"/>
      <w:r>
        <w:t xml:space="preserve"> Strohmaier S. The Relationship Between Doses of Mindfulness-Based Programs and Depression, Anxiety, Stress, and Mindfulness: a Dose-Response Meta-Regression of Randomized Controlled Trials.</w:t>
      </w:r>
      <w:r>
        <w:t xml:space="preserve"> </w:t>
      </w:r>
      <w:r>
        <w:rPr>
          <w:iCs/>
          <w:i/>
        </w:rPr>
        <w:t xml:space="preserve">Mindfulness</w:t>
      </w:r>
      <w:r>
        <w:t xml:space="preserve">. 2020;11(6):1315–1335.</w:t>
      </w:r>
      <w:r>
        <w:t xml:space="preserve"> </w:t>
      </w:r>
      <w:hyperlink r:id="rId5111">
        <w:r>
          <w:rPr>
            <w:rStyle w:val="Hyperlink"/>
          </w:rPr>
          <w:t xml:space="preserve">https://doi.org/10.1007/s12671-020-01319-4</w:t>
        </w:r>
      </w:hyperlink>
    </w:p>
    <w:p>
      <w:pPr>
        <w:pStyle w:val="ReferenceEntry"/>
      </w:pPr>
      <w:bookmarkStart w:id="5112" w:name="ref-1259"/>
      <w:r>
        <w:t xml:space="preserve">[1259]</w:t>
      </w:r>
      <w:bookmarkEnd w:id="5112"/>
      <w:r>
        <w:t xml:space="preserve"> Strohmaier S, Jones F, Medvedev O. Evaluating the Effectiveness of Mindfulness Practice Doses in the General Population Through Personalization—A Randomized Controlled Experiment.</w:t>
      </w:r>
      <w:r>
        <w:t xml:space="preserve"> </w:t>
      </w:r>
      <w:r>
        <w:rPr>
          <w:iCs/>
          <w:i/>
        </w:rPr>
        <w:t xml:space="preserve">Mindfulness</w:t>
      </w:r>
      <w:r>
        <w:t xml:space="preserve">. 2026;17(3):731–745.</w:t>
      </w:r>
      <w:r>
        <w:t xml:space="preserve"> </w:t>
      </w:r>
      <w:hyperlink r:id="rId5113">
        <w:r>
          <w:rPr>
            <w:rStyle w:val="Hyperlink"/>
          </w:rPr>
          <w:t xml:space="preserve">https://doi.org/10.1007/s12671-026-02762-5</w:t>
        </w:r>
      </w:hyperlink>
    </w:p>
    <w:p>
      <w:pPr>
        <w:pStyle w:val="ReferenceEntry"/>
      </w:pPr>
      <w:bookmarkStart w:id="5114" w:name="ref-1260"/>
      <w:r>
        <w:t xml:space="preserve">[1260]</w:t>
      </w:r>
      <w:bookmarkEnd w:id="5114"/>
      <w:r>
        <w:t xml:space="preserve"> Nowakowski TJ, Bhaduri A, Pollen AA, Alvarado B, Mostajo-Radji MA, Di Lullo E, et al. Spatiotemporal gene expression trajectories reveal developmental hierarchies of the human cortex.</w:t>
      </w:r>
      <w:r>
        <w:t xml:space="preserve"> </w:t>
      </w:r>
      <w:r>
        <w:rPr>
          <w:iCs/>
          <w:i/>
        </w:rPr>
        <w:t xml:space="preserve">Science</w:t>
      </w:r>
      <w:r>
        <w:t xml:space="preserve">. 2017;358(6368):1318–1323.</w:t>
      </w:r>
      <w:r>
        <w:t xml:space="preserve"> </w:t>
      </w:r>
      <w:hyperlink r:id="rId5115">
        <w:r>
          <w:rPr>
            <w:rStyle w:val="Hyperlink"/>
          </w:rPr>
          <w:t xml:space="preserve">https://doi.org/10.1126/science.aap8809</w:t>
        </w:r>
      </w:hyperlink>
      <w:r>
        <w:t xml:space="preserve">（研究类型：人类发育皮质单细胞图谱）</w:t>
      </w:r>
    </w:p>
    <w:p>
      <w:pPr>
        <w:pStyle w:val="ReferenceEntry"/>
      </w:pPr>
      <w:bookmarkStart w:id="5116" w:name="ref-1261"/>
      <w:r>
        <w:t xml:space="preserve">[1261]</w:t>
      </w:r>
      <w:bookmarkEnd w:id="5116"/>
      <w:r>
        <w:t xml:space="preserve"> National Institute of Child Health and Human Development. About Neural Tube Defects. 2026.</w:t>
      </w:r>
      <w:r>
        <w:t xml:space="preserve"> </w:t>
      </w:r>
      <w:hyperlink r:id="rId5117">
        <w:r>
          <w:rPr>
            <w:rStyle w:val="Hyperlink"/>
          </w:rPr>
          <w:t xml:space="preserve">https://www.nichd.nih.gov/health/topics/ntds/conditioninfo</w:t>
        </w:r>
      </w:hyperlink>
      <w:r>
        <w:t xml:space="preserve">（研究类型：现行官方说明）</w:t>
      </w:r>
    </w:p>
    <w:p>
      <w:pPr>
        <w:pStyle w:val="ReferenceEntry"/>
      </w:pPr>
      <w:bookmarkStart w:id="5118" w:name="ref-1262"/>
      <w:r>
        <w:t xml:space="preserve">[1262]</w:t>
      </w:r>
      <w:bookmarkEnd w:id="5118"/>
      <w:r>
        <w:t xml:space="preserve"> US Preventive Services Task Force. Folic Acid Supplementation to Prevent Neural Tube Defects Preventive Medication. 2023.</w:t>
      </w:r>
      <w:r>
        <w:t xml:space="preserve"> </w:t>
      </w:r>
      <w:hyperlink r:id="rId5119">
        <w:r>
          <w:rPr>
            <w:rStyle w:val="Hyperlink"/>
          </w:rPr>
          <w:t xml:space="preserve">https://www.uspreventiveservicestaskforce.org/uspstf/recommendation/folic-acid-for-the-prevention-of-neural-tube-defects-preventive-medication</w:t>
        </w:r>
      </w:hyperlink>
      <w:r>
        <w:t xml:space="preserve">（研究类型：官方预防建议）</w:t>
      </w:r>
    </w:p>
    <w:p>
      <w:pPr>
        <w:pStyle w:val="ReferenceEntry"/>
      </w:pPr>
      <w:bookmarkStart w:id="5120" w:name="ref-1263"/>
      <w:r>
        <w:t xml:space="preserve">[1263]</w:t>
      </w:r>
      <w:bookmarkEnd w:id="5120"/>
      <w:r>
        <w:t xml:space="preserve"> MRC Vitamin Study Research Group. Prevention of neural tube defects results of the Medical Research Council Vitamin Study. 1991.</w:t>
      </w:r>
      <w:r>
        <w:t xml:space="preserve"> </w:t>
      </w:r>
      <w:hyperlink r:id="rId5121">
        <w:r>
          <w:rPr>
            <w:rStyle w:val="Hyperlink"/>
          </w:rPr>
          <w:t xml:space="preserve">https://pubmed.ncbi.nlm.nih.gov/1677062/</w:t>
        </w:r>
      </w:hyperlink>
      <w:r>
        <w:t xml:space="preserve">（研究类型：随机双盲析因试验）</w:t>
      </w:r>
    </w:p>
    <w:p>
      <w:pPr>
        <w:pStyle w:val="ReferenceEntry"/>
      </w:pPr>
      <w:bookmarkStart w:id="5122" w:name="ref-1264"/>
      <w:r>
        <w:t xml:space="preserve">[1264]</w:t>
      </w:r>
      <w:bookmarkEnd w:id="5122"/>
      <w:r>
        <w:t xml:space="preserve"> NIH Office of Dietary Supplements. Iodine Health Professional Fact Sheet. 2026.</w:t>
      </w:r>
      <w:r>
        <w:t xml:space="preserve"> </w:t>
      </w:r>
      <w:hyperlink r:id="rId5123">
        <w:r>
          <w:rPr>
            <w:rStyle w:val="Hyperlink"/>
          </w:rPr>
          <w:t xml:space="preserve">https://ods.od.nih.gov/factsheets/Iodine-HealthProfessional/</w:t>
        </w:r>
      </w:hyperlink>
      <w:r>
        <w:t xml:space="preserve">（研究类型：现行专业营养说明）</w:t>
      </w:r>
    </w:p>
    <w:p>
      <w:pPr>
        <w:pStyle w:val="ReferenceEntry"/>
      </w:pPr>
      <w:bookmarkStart w:id="5124" w:name="ref-1265"/>
      <w:r>
        <w:t xml:space="preserve">[1265]</w:t>
      </w:r>
      <w:bookmarkEnd w:id="5124"/>
      <w:r>
        <w:t xml:space="preserve"> World Health Organization. WHO recommendations for care of the preterm or low birth weight infant. 2022.</w:t>
      </w:r>
      <w:r>
        <w:t xml:space="preserve"> </w:t>
      </w:r>
      <w:hyperlink r:id="rId5125">
        <w:r>
          <w:rPr>
            <w:rStyle w:val="Hyperlink"/>
          </w:rPr>
          <w:t xml:space="preserve">https://www.who.int/publications/i/item/9789240058262/</w:t>
        </w:r>
      </w:hyperlink>
      <w:r>
        <w:t xml:space="preserve">（研究类型：官方循证指南）</w:t>
      </w:r>
    </w:p>
    <w:p>
      <w:pPr>
        <w:pStyle w:val="ReferenceEntry"/>
      </w:pPr>
      <w:bookmarkStart w:id="5126" w:name="ref-1266"/>
      <w:r>
        <w:t xml:space="preserve">[1266]</w:t>
      </w:r>
      <w:bookmarkEnd w:id="5126"/>
      <w:r>
        <w:t xml:space="preserve"> Back SA et al. Late oligodendrocyte progenitors coincide with the developmental window of vulnerability for human perinatal white matter injury. 2001.</w:t>
      </w:r>
      <w:r>
        <w:t xml:space="preserve"> </w:t>
      </w:r>
      <w:hyperlink r:id="rId5127">
        <w:r>
          <w:rPr>
            <w:rStyle w:val="Hyperlink"/>
          </w:rPr>
          <w:t xml:space="preserve">https://pubmed.ncbi.nlm.nih.gov/11160401/</w:t>
        </w:r>
      </w:hyperlink>
      <w:r>
        <w:t xml:space="preserve">（研究类型：人类发育组织学）</w:t>
      </w:r>
    </w:p>
    <w:p>
      <w:pPr>
        <w:pStyle w:val="ReferenceEntry"/>
      </w:pPr>
      <w:bookmarkStart w:id="5128" w:name="ref-1267"/>
      <w:r>
        <w:t xml:space="preserve">[1267]</w:t>
      </w:r>
      <w:bookmarkEnd w:id="5128"/>
      <w:r>
        <w:t xml:space="preserve"> Buser JR, Maire J, Riddle A, Gong X, Nguyen T, Nelson K, et al. Arrested preoligodendrocyte maturation contributes to myelination failure in premature infants.</w:t>
      </w:r>
      <w:r>
        <w:t xml:space="preserve"> </w:t>
      </w:r>
      <w:r>
        <w:rPr>
          <w:iCs/>
          <w:i/>
        </w:rPr>
        <w:t xml:space="preserve">Annals of Neurology</w:t>
      </w:r>
      <w:r>
        <w:t xml:space="preserve">. 2012;71(1):93–109.</w:t>
      </w:r>
      <w:r>
        <w:t xml:space="preserve"> </w:t>
      </w:r>
      <w:hyperlink r:id="rId5129">
        <w:r>
          <w:rPr>
            <w:rStyle w:val="Hyperlink"/>
          </w:rPr>
          <w:t xml:space="preserve">https://doi.org/10.1002/ana.22627</w:t>
        </w:r>
      </w:hyperlink>
      <w:r>
        <w:t xml:space="preserve">（研究类型：人类死后病理比较）</w:t>
      </w:r>
    </w:p>
    <w:p>
      <w:pPr>
        <w:pStyle w:val="ReferenceEntry"/>
      </w:pPr>
      <w:bookmarkStart w:id="5130" w:name="ref-1268"/>
      <w:r>
        <w:t xml:space="preserve">[1268]</w:t>
      </w:r>
      <w:bookmarkEnd w:id="5130"/>
      <w:r>
        <w:t xml:space="preserve"> Limperopoulos C, Soul JS, Haidar H, Huppi PS, Bassan H, Warfield SK, et al. Impaired trophic interactions between the cerebellum and the cerebrum among preterm infants.</w:t>
      </w:r>
      <w:r>
        <w:t xml:space="preserve"> </w:t>
      </w:r>
      <w:r>
        <w:rPr>
          <w:iCs/>
          <w:i/>
        </w:rPr>
        <w:t xml:space="preserve">Pediatrics</w:t>
      </w:r>
      <w:r>
        <w:t xml:space="preserve">. 2005;116(4):844–850.</w:t>
      </w:r>
      <w:r>
        <w:t xml:space="preserve"> </w:t>
      </w:r>
      <w:hyperlink r:id="rId5131">
        <w:r>
          <w:rPr>
            <w:rStyle w:val="Hyperlink"/>
          </w:rPr>
          <w:t xml:space="preserve">https://doi.org/10.1542/peds.2004-2282</w:t>
        </w:r>
      </w:hyperlink>
      <w:r>
        <w:t xml:space="preserve">（研究类型：早产影像观察）</w:t>
      </w:r>
    </w:p>
    <w:p>
      <w:pPr>
        <w:pStyle w:val="ReferenceEntry"/>
      </w:pPr>
      <w:bookmarkStart w:id="5132" w:name="ref-1269"/>
      <w:r>
        <w:t xml:space="preserve">[1269]</w:t>
      </w:r>
      <w:bookmarkEnd w:id="5132"/>
      <w:r>
        <w:t xml:space="preserve"> American College of Obstetricians and Gynecologists and American Academy of Pediatrics. Committee Opinion No 644 The Apgar Score.</w:t>
      </w:r>
      <w:r>
        <w:t xml:space="preserve"> </w:t>
      </w:r>
      <w:r>
        <w:rPr>
          <w:iCs/>
          <w:i/>
        </w:rPr>
        <w:t xml:space="preserve">Obstetrics &amp; Gynecology</w:t>
      </w:r>
      <w:r>
        <w:t xml:space="preserve">. 2015;126(4):e52–e55.</w:t>
      </w:r>
      <w:r>
        <w:t xml:space="preserve"> </w:t>
      </w:r>
      <w:hyperlink r:id="rId5133">
        <w:r>
          <w:rPr>
            <w:rStyle w:val="Hyperlink"/>
          </w:rPr>
          <w:t xml:space="preserve">https://doi.org/10.1097/AOG.0000000000001108</w:t>
        </w:r>
      </w:hyperlink>
      <w:r>
        <w:t xml:space="preserve">（研究类型：专业意见）</w:t>
      </w:r>
    </w:p>
    <w:p>
      <w:pPr>
        <w:pStyle w:val="ReferenceEntry"/>
      </w:pPr>
      <w:bookmarkStart w:id="5134" w:name="ref-1270"/>
      <w:r>
        <w:t xml:space="preserve">[1270]</w:t>
      </w:r>
      <w:bookmarkEnd w:id="5134"/>
      <w:r>
        <w:t xml:space="preserve"> Shankaran S, Laptook AR, Ehrenkranz RA, Tyson JE, McDonald SA, Donovan EF, et al. Whole body hypothermia for neonates with hypoxic ischemic encephalopathy.</w:t>
      </w:r>
      <w:r>
        <w:t xml:space="preserve"> </w:t>
      </w:r>
      <w:r>
        <w:rPr>
          <w:iCs/>
          <w:i/>
        </w:rPr>
        <w:t xml:space="preserve">New England Journal of Medicine</w:t>
      </w:r>
      <w:r>
        <w:t xml:space="preserve">. 2005;353(15):1574–1584.</w:t>
      </w:r>
      <w:r>
        <w:t xml:space="preserve"> </w:t>
      </w:r>
      <w:hyperlink r:id="rId5135">
        <w:r>
          <w:rPr>
            <w:rStyle w:val="Hyperlink"/>
          </w:rPr>
          <w:t xml:space="preserve">https://doi.org/10.1056/NEJMcps050929</w:t>
        </w:r>
      </w:hyperlink>
      <w:r>
        <w:t xml:space="preserve">（研究类型：随机试验）</w:t>
      </w:r>
    </w:p>
    <w:p>
      <w:pPr>
        <w:pStyle w:val="ReferenceEntry"/>
      </w:pPr>
      <w:bookmarkStart w:id="5136" w:name="ref-1271"/>
      <w:r>
        <w:t xml:space="preserve">[1271]</w:t>
      </w:r>
      <w:bookmarkEnd w:id="5136"/>
      <w:r>
        <w:t xml:space="preserve"> Thayyil S, Pant S, Montaldo P, Shukla D, Oliveira V, Ivain P, et al. Hypothermia for moderate or severe neonatal encephalopathy in low income and middle income countries HELIX a randomised controlled trial in India Sri Lanka and Bangladesh.</w:t>
      </w:r>
      <w:r>
        <w:t xml:space="preserve"> </w:t>
      </w:r>
      <w:r>
        <w:rPr>
          <w:iCs/>
          <w:i/>
        </w:rPr>
        <w:t xml:space="preserve">The Lancet Global Health</w:t>
      </w:r>
      <w:r>
        <w:t xml:space="preserve">. 2021;9(9):e1273–e1285.</w:t>
      </w:r>
      <w:r>
        <w:t xml:space="preserve"> </w:t>
      </w:r>
      <w:hyperlink r:id="rId5137">
        <w:r>
          <w:rPr>
            <w:rStyle w:val="Hyperlink"/>
          </w:rPr>
          <w:t xml:space="preserve">https://doi.org/10.1016/S2214-109X(21)00264-3</w:t>
        </w:r>
      </w:hyperlink>
      <w:r>
        <w:t xml:space="preserve">（研究类型：七三级中心随机试验）</w:t>
      </w:r>
    </w:p>
    <w:p>
      <w:pPr>
        <w:pStyle w:val="ReferenceEntry"/>
      </w:pPr>
      <w:bookmarkStart w:id="5138" w:name="ref-1272"/>
      <w:r>
        <w:t xml:space="preserve">[1272]</w:t>
      </w:r>
      <w:bookmarkEnd w:id="5138"/>
      <w:r>
        <w:t xml:space="preserve"> Faix RG, Laptook AR, Shankaran S, Eggleston B, Chowdhury D, Heyne RJ, et al. Whole Body Hypothermia for Neonatal Encephalopathy in Preterm Infants 33 to 35 Weeks Gestation A Randomized Clinical Trial.</w:t>
      </w:r>
      <w:r>
        <w:t xml:space="preserve"> </w:t>
      </w:r>
      <w:r>
        <w:rPr>
          <w:iCs/>
          <w:i/>
        </w:rPr>
        <w:t xml:space="preserve">JAMA Pediatrics</w:t>
      </w:r>
      <w:r>
        <w:t xml:space="preserve">. 2025;179(4):396.</w:t>
      </w:r>
      <w:r>
        <w:t xml:space="preserve"> </w:t>
      </w:r>
      <w:hyperlink r:id="rId5139">
        <w:r>
          <w:rPr>
            <w:rStyle w:val="Hyperlink"/>
          </w:rPr>
          <w:t xml:space="preserve">https://doi.org/10.1001/jamapediatrics.2024.6613</w:t>
        </w:r>
      </w:hyperlink>
      <w:r>
        <w:t xml:space="preserve">（研究类型：19中心随机贝叶斯试验）</w:t>
      </w:r>
    </w:p>
    <w:p>
      <w:pPr>
        <w:pStyle w:val="ReferenceEntry"/>
      </w:pPr>
      <w:bookmarkStart w:id="5140" w:name="ref-1273"/>
      <w:r>
        <w:t xml:space="preserve">[1273]</w:t>
      </w:r>
      <w:bookmarkEnd w:id="5140"/>
      <w:r>
        <w:t xml:space="preserve"> Pressler RM, Abend NS, Auvin S, Boylan G, Brigo F, Cilio MR, et al. Treatment of seizures in the neonate Guidelines and consensus based recommendations Special report from the ILAE Task Force on Neonatal Seizures.</w:t>
      </w:r>
      <w:r>
        <w:t xml:space="preserve"> </w:t>
      </w:r>
      <w:r>
        <w:rPr>
          <w:iCs/>
          <w:i/>
        </w:rPr>
        <w:t xml:space="preserve">Epilepsia</w:t>
      </w:r>
      <w:r>
        <w:t xml:space="preserve">. 2023;64(10):2550–2570.</w:t>
      </w:r>
      <w:r>
        <w:t xml:space="preserve"> </w:t>
      </w:r>
      <w:hyperlink r:id="rId5141">
        <w:r>
          <w:rPr>
            <w:rStyle w:val="Hyperlink"/>
          </w:rPr>
          <w:t xml:space="preserve">https://doi.org/10.1111/epi.17745</w:t>
        </w:r>
      </w:hyperlink>
      <w:r>
        <w:t xml:space="preserve">（研究类型：循证与专家共识指南）</w:t>
      </w:r>
    </w:p>
    <w:p>
      <w:pPr>
        <w:pStyle w:val="ReferenceEntry"/>
      </w:pPr>
      <w:bookmarkStart w:id="5142" w:name="ref-1274"/>
      <w:r>
        <w:t xml:space="preserve">[1274]</w:t>
      </w:r>
      <w:bookmarkEnd w:id="5142"/>
      <w:r>
        <w:t xml:space="preserve"> Kemper AR, Newman TB, Slaughter JL, Maisels MJ, Watchko JF, Downs SM, et al. Clinical Practice Guideline Revision Management of Hyperbilirubinemia in the Newborn Infant 35 or More Weeks of Gestation.</w:t>
      </w:r>
      <w:r>
        <w:t xml:space="preserve"> </w:t>
      </w:r>
      <w:r>
        <w:rPr>
          <w:iCs/>
          <w:i/>
        </w:rPr>
        <w:t xml:space="preserve">Pediatrics</w:t>
      </w:r>
      <w:r>
        <w:t xml:space="preserve">. 2022;150(3):e2022058859.</w:t>
      </w:r>
      <w:r>
        <w:t xml:space="preserve"> </w:t>
      </w:r>
      <w:hyperlink r:id="rId5143">
        <w:r>
          <w:rPr>
            <w:rStyle w:val="Hyperlink"/>
          </w:rPr>
          <w:t xml:space="preserve">https://doi.org/10.1542/peds.2022-058859</w:t>
        </w:r>
      </w:hyperlink>
      <w:r>
        <w:t xml:space="preserve">（研究类型：AAP循证指南）</w:t>
      </w:r>
    </w:p>
    <w:p>
      <w:pPr>
        <w:pStyle w:val="ReferenceEntry"/>
      </w:pPr>
      <w:bookmarkStart w:id="5144" w:name="ref-1275"/>
      <w:r>
        <w:t xml:space="preserve">[1275]</w:t>
      </w:r>
      <w:bookmarkEnd w:id="5144"/>
      <w:r>
        <w:t xml:space="preserve"> Woodward LJ, Anderson PJ, Austin NC, Howard K, Inder TE. Neonatal MRI to predict neurodevelopmental outcomes in preterm infants.</w:t>
      </w:r>
      <w:r>
        <w:t xml:space="preserve"> </w:t>
      </w:r>
      <w:r>
        <w:rPr>
          <w:iCs/>
          <w:i/>
        </w:rPr>
        <w:t xml:space="preserve">New England Journal of Medicine</w:t>
      </w:r>
      <w:r>
        <w:t xml:space="preserve">. 2006;355(7):685–694.</w:t>
      </w:r>
      <w:r>
        <w:t xml:space="preserve"> </w:t>
      </w:r>
      <w:hyperlink r:id="rId5145">
        <w:r>
          <w:rPr>
            <w:rStyle w:val="Hyperlink"/>
          </w:rPr>
          <w:t xml:space="preserve">https://doi.org/10.1056/NEJMoa053792</w:t>
        </w:r>
      </w:hyperlink>
      <w:r>
        <w:t xml:space="preserve">（研究类型：前瞻影像队列）</w:t>
      </w:r>
    </w:p>
    <w:p>
      <w:pPr>
        <w:pStyle w:val="ReferenceEntry"/>
      </w:pPr>
      <w:bookmarkStart w:id="5146" w:name="ref-1276"/>
      <w:r>
        <w:t xml:space="preserve">[1276]</w:t>
      </w:r>
      <w:bookmarkEnd w:id="5146"/>
      <w:r>
        <w:t xml:space="preserve"> NICE. Developmental follow up of children and young people born preterm NG72. 2017.</w:t>
      </w:r>
      <w:r>
        <w:t xml:space="preserve"> </w:t>
      </w:r>
      <w:hyperlink r:id="rId5147">
        <w:r>
          <w:rPr>
            <w:rStyle w:val="Hyperlink"/>
          </w:rPr>
          <w:t xml:space="preserve">https://www.nice.org.uk/guidance/ng72/chapter/recommendations</w:t>
        </w:r>
      </w:hyperlink>
      <w:r>
        <w:t xml:space="preserve">（研究类型：官方指南）</w:t>
      </w:r>
    </w:p>
    <w:p>
      <w:pPr>
        <w:pStyle w:val="ReferenceEntry"/>
      </w:pPr>
      <w:bookmarkStart w:id="5148" w:name="ref-1277"/>
      <w:r>
        <w:t xml:space="preserve">[1277]</w:t>
      </w:r>
      <w:bookmarkEnd w:id="5148"/>
      <w:r>
        <w:t xml:space="preserve"> Novak I, Morgan C, Adde L, Blackman J, Boyd RN, Brunstrom-Hernandez J, et al. Early Accurate Diagnosis and Early Intervention in Cerebral Palsy Advances in Diagnosis and Treatment.</w:t>
      </w:r>
      <w:r>
        <w:t xml:space="preserve"> </w:t>
      </w:r>
      <w:r>
        <w:rPr>
          <w:iCs/>
          <w:i/>
        </w:rPr>
        <w:t xml:space="preserve">JAMA Pediatrics</w:t>
      </w:r>
      <w:r>
        <w:t xml:space="preserve">. 2017;171(9):897.</w:t>
      </w:r>
      <w:r>
        <w:t xml:space="preserve"> </w:t>
      </w:r>
      <w:hyperlink r:id="rId5149">
        <w:r>
          <w:rPr>
            <w:rStyle w:val="Hyperlink"/>
          </w:rPr>
          <w:t xml:space="preserve">https://doi.org/10.1001/jamapediatrics.2017.1689</w:t>
        </w:r>
      </w:hyperlink>
      <w:r>
        <w:t xml:space="preserve">（更正见</w:t>
      </w:r>
      <w:r>
        <w:t xml:space="preserve"> </w:t>
      </w:r>
      <w:r>
        <w:rPr>
          <w:iCs/>
          <w:i/>
        </w:rPr>
        <w:t xml:space="preserve">JAMA Pediatrics</w:t>
      </w:r>
      <w:r>
        <w:t xml:space="preserve">. 2017;171(9):919.</w:t>
      </w:r>
      <w:r>
        <w:t xml:space="preserve"> </w:t>
      </w:r>
      <w:hyperlink r:id="rId5150">
        <w:r>
          <w:rPr>
            <w:rStyle w:val="Hyperlink"/>
          </w:rPr>
          <w:t xml:space="preserve">https://doi.org/10.1001/jamapediatrics.2017.3169</w:t>
        </w:r>
      </w:hyperlink>
      <w:r>
        <w:t xml:space="preserve">）（研究类型：系统综述与早期识别框架）</w:t>
      </w:r>
    </w:p>
    <w:p>
      <w:pPr>
        <w:pStyle w:val="ReferenceEntry"/>
      </w:pPr>
      <w:bookmarkStart w:id="5151" w:name="ref-1278"/>
      <w:r>
        <w:t xml:space="preserve">[1278]</w:t>
      </w:r>
      <w:bookmarkEnd w:id="5151"/>
      <w:r>
        <w:t xml:space="preserve"> Morgan C, Fetters L, Adde L, Badawi N, Bancale A, Boyd RN, et al. Early Intervention for Children Aged 0 to 2 Years With or at High Risk of Cerebral Palsy International Clinical Practice Guideline Based on Systematic Reviews.</w:t>
      </w:r>
      <w:r>
        <w:t xml:space="preserve"> </w:t>
      </w:r>
      <w:r>
        <w:rPr>
          <w:iCs/>
          <w:i/>
        </w:rPr>
        <w:t xml:space="preserve">JAMA Pediatrics</w:t>
      </w:r>
      <w:r>
        <w:t xml:space="preserve">. 2021;175(8):846.</w:t>
      </w:r>
      <w:r>
        <w:t xml:space="preserve"> </w:t>
      </w:r>
      <w:hyperlink r:id="rId5152">
        <w:r>
          <w:rPr>
            <w:rStyle w:val="Hyperlink"/>
          </w:rPr>
          <w:t xml:space="preserve">https://doi.org/10.1001/jamapediatrics.2021.0878</w:t>
        </w:r>
      </w:hyperlink>
      <w:r>
        <w:t xml:space="preserve">（研究类型：循证国际指南）</w:t>
      </w:r>
    </w:p>
    <w:p>
      <w:pPr>
        <w:pStyle w:val="ReferenceEntry"/>
      </w:pPr>
      <w:bookmarkStart w:id="5153" w:name="ref-1279"/>
      <w:r>
        <w:t xml:space="preserve">[1279]</w:t>
      </w:r>
      <w:bookmarkEnd w:id="5153"/>
      <w:r>
        <w:t xml:space="preserve"> Gonzalez-Mantilla PJ, Hu Y, Myers SM, Finucane BM, Ledbetter DH, Martin CL, et al. Diagnostic Yield of Exome Sequencing in Cerebral Palsy and Implications for Genetic Testing Guidelines A Systematic Review and Meta analysis.</w:t>
      </w:r>
      <w:r>
        <w:t xml:space="preserve"> </w:t>
      </w:r>
      <w:r>
        <w:rPr>
          <w:iCs/>
          <w:i/>
        </w:rPr>
        <w:t xml:space="preserve">JAMA Pediatrics</w:t>
      </w:r>
      <w:r>
        <w:t xml:space="preserve">. 2023;177(5):472.</w:t>
      </w:r>
      <w:r>
        <w:t xml:space="preserve"> </w:t>
      </w:r>
      <w:hyperlink r:id="rId5154">
        <w:r>
          <w:rPr>
            <w:rStyle w:val="Hyperlink"/>
          </w:rPr>
          <w:t xml:space="preserve">https://doi.org/10.1001/jamapediatrics.2023.0008</w:t>
        </w:r>
      </w:hyperlink>
      <w:r>
        <w:t xml:space="preserve">（研究类型：系统综述元分析）</w:t>
      </w:r>
    </w:p>
    <w:p>
      <w:pPr>
        <w:pStyle w:val="ReferenceEntry"/>
      </w:pPr>
      <w:bookmarkStart w:id="5155" w:name="ref-1280"/>
      <w:r>
        <w:t xml:space="preserve">[1280]</w:t>
      </w:r>
      <w:bookmarkEnd w:id="5155"/>
      <w:r>
        <w:t xml:space="preserve"> WHO Immediate KMC Study Group. Immediate Kangaroo Mother Care and Survival of Infants with Low Birth Weight.</w:t>
      </w:r>
      <w:r>
        <w:t xml:space="preserve"> </w:t>
      </w:r>
      <w:r>
        <w:rPr>
          <w:iCs/>
          <w:i/>
        </w:rPr>
        <w:t xml:space="preserve">New England Journal of Medicine</w:t>
      </w:r>
      <w:r>
        <w:t xml:space="preserve">. 2021;384(21):2028–2038.</w:t>
      </w:r>
      <w:r>
        <w:t xml:space="preserve"> </w:t>
      </w:r>
      <w:hyperlink r:id="rId5156">
        <w:r>
          <w:rPr>
            <w:rStyle w:val="Hyperlink"/>
          </w:rPr>
          <w:t xml:space="preserve">https://doi.org/10.1056/NEJMoa2026486</w:t>
        </w:r>
      </w:hyperlink>
      <w:r>
        <w:t xml:space="preserve">（研究类型：多中心随机试验）</w:t>
      </w:r>
    </w:p>
    <w:p>
      <w:pPr>
        <w:pStyle w:val="ReferenceEntry"/>
      </w:pPr>
      <w:bookmarkStart w:id="5157" w:name="ref-1281"/>
      <w:r>
        <w:t xml:space="preserve">[1281]</w:t>
      </w:r>
      <w:bookmarkEnd w:id="5157"/>
      <w:r>
        <w:t xml:space="preserve"> Brummelte S, Grunau RE, Chau V, Poskitt KJ, Brant R, Vinall J, et al. Procedural pain and brain development in premature newborns.</w:t>
      </w:r>
      <w:r>
        <w:t xml:space="preserve"> </w:t>
      </w:r>
      <w:r>
        <w:rPr>
          <w:iCs/>
          <w:i/>
        </w:rPr>
        <w:t xml:space="preserve">Annals of Neurology</w:t>
      </w:r>
      <w:r>
        <w:t xml:space="preserve">. 2012;71(3):385–396.</w:t>
      </w:r>
      <w:r>
        <w:t xml:space="preserve"> </w:t>
      </w:r>
      <w:hyperlink r:id="rId5158">
        <w:r>
          <w:rPr>
            <w:rStyle w:val="Hyperlink"/>
          </w:rPr>
          <w:t xml:space="preserve">https://doi.org/10.1002/ana.22267</w:t>
        </w:r>
      </w:hyperlink>
      <w:r>
        <w:t xml:space="preserve">（研究类型：前瞻观察）</w:t>
      </w:r>
    </w:p>
    <w:p>
      <w:pPr>
        <w:pStyle w:val="ReferenceEntry"/>
      </w:pPr>
      <w:bookmarkStart w:id="5159" w:name="ref-1282"/>
      <w:r>
        <w:t xml:space="preserve">[1282]</w:t>
      </w:r>
      <w:bookmarkEnd w:id="5159"/>
      <w:r>
        <w:t xml:space="preserve"> Shepherd ES, Goldsmith S, Doyle LW, Middleton P, Marret S, Rouse DJ, et al. Magnesium sulphate for women at risk of preterm birth for neuroprotection of the fetus.</w:t>
      </w:r>
      <w:r>
        <w:t xml:space="preserve"> </w:t>
      </w:r>
      <w:r>
        <w:rPr>
          <w:iCs/>
          <w:i/>
        </w:rPr>
        <w:t xml:space="preserve">Cochrane Database of Systematic Reviews</w:t>
      </w:r>
      <w:r>
        <w:t xml:space="preserve">. 2026;2026(9).</w:t>
      </w:r>
      <w:r>
        <w:t xml:space="preserve"> </w:t>
      </w:r>
      <w:hyperlink r:id="rId5160">
        <w:r>
          <w:rPr>
            <w:rStyle w:val="Hyperlink"/>
          </w:rPr>
          <w:t xml:space="preserve">https://doi.org/10.1002/14651858.CD004661.pub5</w:t>
        </w:r>
      </w:hyperlink>
      <w:r>
        <w:t xml:space="preserve">（研究类型：Cochrane系统综述更新）</w:t>
      </w:r>
    </w:p>
    <w:p>
      <w:pPr>
        <w:pStyle w:val="ReferenceEntry"/>
      </w:pPr>
      <w:bookmarkStart w:id="5161" w:name="ref-1283"/>
      <w:r>
        <w:t xml:space="preserve">[1283]</w:t>
      </w:r>
      <w:bookmarkEnd w:id="5161"/>
      <w:r>
        <w:t xml:space="preserve"> McGoldrick E, Stewart F, Parker R, Dalziel SR. Antenatal corticosteroids for accelerating fetal lung maturation for women at risk of preterm birth.</w:t>
      </w:r>
      <w:r>
        <w:t xml:space="preserve"> </w:t>
      </w:r>
      <w:r>
        <w:rPr>
          <w:iCs/>
          <w:i/>
        </w:rPr>
        <w:t xml:space="preserve">Cochrane Database of Systematic Reviews</w:t>
      </w:r>
      <w:r>
        <w:t xml:space="preserve">. 2020:CD004454.</w:t>
      </w:r>
      <w:r>
        <w:t xml:space="preserve"> </w:t>
      </w:r>
      <w:hyperlink r:id="rId5162">
        <w:r>
          <w:rPr>
            <w:rStyle w:val="Hyperlink"/>
          </w:rPr>
          <w:t xml:space="preserve">https://doi.org/10.1002/14651858.CD004454.pub4</w:t>
        </w:r>
      </w:hyperlink>
      <w:r>
        <w:t xml:space="preserve">（研究类型：Cochrane系统综述）</w:t>
      </w:r>
    </w:p>
    <w:p>
      <w:pPr>
        <w:pStyle w:val="ReferenceEntry"/>
      </w:pPr>
      <w:bookmarkStart w:id="5163" w:name="ref-1284"/>
      <w:r>
        <w:t xml:space="preserve">[1284]</w:t>
      </w:r>
      <w:bookmarkEnd w:id="5163"/>
      <w:r>
        <w:t xml:space="preserve"> US Centers for Disease Control and Prevention. Congenital CMV and Hearing Loss. 2024.</w:t>
      </w:r>
      <w:r>
        <w:t xml:space="preserve"> </w:t>
      </w:r>
      <w:hyperlink r:id="rId5164">
        <w:r>
          <w:rPr>
            <w:rStyle w:val="Hyperlink"/>
          </w:rPr>
          <w:t xml:space="preserve">https://www.cdc.gov/cytomegalovirus/congenital-infection/hearing-loss.html</w:t>
        </w:r>
      </w:hyperlink>
      <w:r>
        <w:t xml:space="preserve">（研究类型：官方临床公众说明）</w:t>
      </w:r>
    </w:p>
    <w:p>
      <w:pPr>
        <w:pStyle w:val="ReferenceEntry"/>
      </w:pPr>
      <w:bookmarkStart w:id="5165" w:name="ref-1285"/>
      <w:r>
        <w:t xml:space="preserve">[1285]</w:t>
      </w:r>
      <w:bookmarkEnd w:id="5165"/>
      <w:r>
        <w:t xml:space="preserve"> Gogtay N, Giedd JN, Lusk L, et al. Dynamic mapping of human cortical development during childhood through early adulthood.</w:t>
      </w:r>
      <w:r>
        <w:t xml:space="preserve"> </w:t>
      </w:r>
      <w:r>
        <w:rPr>
          <w:iCs/>
          <w:i/>
        </w:rPr>
        <w:t xml:space="preserve">Proceedings of the National Academy of Sciences</w:t>
      </w:r>
      <w:r>
        <w:t xml:space="preserve">. 2004;101(21):8174–8179.</w:t>
      </w:r>
      <w:r>
        <w:t xml:space="preserve"> </w:t>
      </w:r>
      <w:hyperlink r:id="rId5166">
        <w:r>
          <w:rPr>
            <w:rStyle w:val="Hyperlink"/>
          </w:rPr>
          <w:t xml:space="preserve">https://doi.org/10.1073/pnas.0402680101</w:t>
        </w:r>
      </w:hyperlink>
    </w:p>
    <w:p>
      <w:pPr>
        <w:pStyle w:val="ReferenceEntry"/>
      </w:pPr>
      <w:bookmarkStart w:id="5167" w:name="ref-1286"/>
      <w:r>
        <w:t xml:space="preserve">[1286]</w:t>
      </w:r>
      <w:bookmarkEnd w:id="5167"/>
      <w:r>
        <w:t xml:space="preserve"> Bethlehem RAI, Seidlitz J, White SR, et al. Brain charts for the human lifespan.</w:t>
      </w:r>
      <w:r>
        <w:t xml:space="preserve"> </w:t>
      </w:r>
      <w:r>
        <w:rPr>
          <w:iCs/>
          <w:i/>
        </w:rPr>
        <w:t xml:space="preserve">Nature</w:t>
      </w:r>
      <w:r>
        <w:t xml:space="preserve">. 2022;604(7906):525–533.</w:t>
      </w:r>
      <w:r>
        <w:t xml:space="preserve"> </w:t>
      </w:r>
      <w:hyperlink r:id="rId5168">
        <w:r>
          <w:rPr>
            <w:rStyle w:val="Hyperlink"/>
          </w:rPr>
          <w:t xml:space="preserve">https://doi.org/10.1038/s41586-022-04554-y</w:t>
        </w:r>
      </w:hyperlink>
      <w:r>
        <w:t xml:space="preserve">（研究类型：多队列MRI参考曲线）</w:t>
      </w:r>
    </w:p>
    <w:p>
      <w:pPr>
        <w:pStyle w:val="ReferenceEntry"/>
      </w:pPr>
      <w:bookmarkStart w:id="5169" w:name="ref-1287"/>
      <w:r>
        <w:t xml:space="preserve">[1287]</w:t>
      </w:r>
      <w:bookmarkEnd w:id="5169"/>
      <w:r>
        <w:t xml:space="preserve"> Tervo-Clemmens B, Calabro FJ, Parr AC, et al. A canonical trajectory of executive function maturation from adolescence to adulthood.</w:t>
      </w:r>
      <w:r>
        <w:t xml:space="preserve"> </w:t>
      </w:r>
      <w:r>
        <w:rPr>
          <w:iCs/>
          <w:i/>
        </w:rPr>
        <w:t xml:space="preserve">Nature Communications</w:t>
      </w:r>
      <w:r>
        <w:t xml:space="preserve">. 2023;14(1):6922.</w:t>
      </w:r>
      <w:r>
        <w:t xml:space="preserve"> </w:t>
      </w:r>
      <w:hyperlink r:id="rId5170">
        <w:r>
          <w:rPr>
            <w:rStyle w:val="Hyperlink"/>
          </w:rPr>
          <w:t xml:space="preserve">https://doi.org/10.1038/s41467-023-42540-8</w:t>
        </w:r>
      </w:hyperlink>
      <w:r>
        <w:t xml:space="preserve">（研究类型：四数据集发展轨迹整合）</w:t>
      </w:r>
    </w:p>
    <w:p>
      <w:pPr>
        <w:pStyle w:val="ReferenceEntry"/>
      </w:pPr>
      <w:bookmarkStart w:id="5171" w:name="ref-1288"/>
      <w:r>
        <w:t xml:space="preserve">[1288]</w:t>
      </w:r>
      <w:bookmarkEnd w:id="5171"/>
      <w:r>
        <w:t xml:space="preserve"> Somerville LH. Searching for Signatures of Brain Maturity: What Are We Searching For?</w:t>
      </w:r>
      <w:r>
        <w:t xml:space="preserve"> </w:t>
      </w:r>
      <w:r>
        <w:rPr>
          <w:iCs/>
          <w:i/>
        </w:rPr>
        <w:t xml:space="preserve">Neuron</w:t>
      </w:r>
      <w:r>
        <w:t xml:space="preserve">. 2016;92(6):1164–1167.</w:t>
      </w:r>
      <w:r>
        <w:t xml:space="preserve"> </w:t>
      </w:r>
      <w:hyperlink r:id="rId5172">
        <w:r>
          <w:rPr>
            <w:rStyle w:val="Hyperlink"/>
          </w:rPr>
          <w:t xml:space="preserve">https://doi.org/10.1016/j.neuron.2016.10.059</w:t>
        </w:r>
      </w:hyperlink>
      <w:r>
        <w:t xml:space="preserve">（研究类型：概念与方法讨论）</w:t>
      </w:r>
    </w:p>
    <w:p>
      <w:pPr>
        <w:pStyle w:val="ReferenceEntry"/>
      </w:pPr>
      <w:bookmarkStart w:id="5173" w:name="ref-1289"/>
      <w:r>
        <w:t xml:space="preserve">[1289]</w:t>
      </w:r>
      <w:bookmarkEnd w:id="5173"/>
      <w:r>
        <w:t xml:space="preserve"> Cohen AO, Breiner K, Steinberg L, Bonnie RJ, Scott ES, Taylor-Thompson K, et al. When Is an Adolescent an Adult? Assessing Cognitive Control in Emotional and Nonemotional Contexts.</w:t>
      </w:r>
      <w:r>
        <w:t xml:space="preserve"> </w:t>
      </w:r>
      <w:r>
        <w:rPr>
          <w:iCs/>
          <w:i/>
        </w:rPr>
        <w:t xml:space="preserve">Psychological Science</w:t>
      </w:r>
      <w:r>
        <w:t xml:space="preserve">. 2016;27(4):549–562.</w:t>
      </w:r>
      <w:r>
        <w:t xml:space="preserve"> </w:t>
      </w:r>
      <w:hyperlink r:id="rId5174">
        <w:r>
          <w:rPr>
            <w:rStyle w:val="Hyperlink"/>
          </w:rPr>
          <w:t xml:space="preserve">https://doi.org/10.1177/0956797615627625</w:t>
        </w:r>
      </w:hyperlink>
      <w:r>
        <w:t xml:space="preserve">（研究类型：发展任务与fMRI）</w:t>
      </w:r>
    </w:p>
    <w:p>
      <w:pPr>
        <w:pStyle w:val="ReferenceEntry"/>
      </w:pPr>
      <w:bookmarkStart w:id="5175" w:name="ref-1290"/>
      <w:r>
        <w:t xml:space="preserve">[1290]</w:t>
      </w:r>
      <w:bookmarkEnd w:id="5175"/>
      <w:r>
        <w:t xml:space="preserve"> Nelson CA, Zeanah CH, Fox NA, Marshall PJ, Smyke AT, Guthrie D. Cognitive recovery in socially deprived young children the Bucharest Early Intervention Project.</w:t>
      </w:r>
      <w:r>
        <w:t xml:space="preserve"> </w:t>
      </w:r>
      <w:r>
        <w:rPr>
          <w:iCs/>
          <w:i/>
        </w:rPr>
        <w:t xml:space="preserve">Science</w:t>
      </w:r>
      <w:r>
        <w:t xml:space="preserve">. 2007;318(5858):1937–1940.</w:t>
      </w:r>
      <w:r>
        <w:t xml:space="preserve"> </w:t>
      </w:r>
      <w:hyperlink r:id="rId5176">
        <w:r>
          <w:rPr>
            <w:rStyle w:val="Hyperlink"/>
          </w:rPr>
          <w:t xml:space="preserve">https://doi.org/10.1126/science.1143921</w:t>
        </w:r>
      </w:hyperlink>
      <w:r>
        <w:t xml:space="preserve">（研究类型：随机照护干预）</w:t>
      </w:r>
    </w:p>
    <w:p>
      <w:pPr>
        <w:pStyle w:val="ReferenceEntry"/>
      </w:pPr>
      <w:bookmarkStart w:id="5177" w:name="ref-1291"/>
      <w:r>
        <w:t xml:space="preserve">[1291]</w:t>
      </w:r>
      <w:bookmarkEnd w:id="5177"/>
      <w:r>
        <w:t xml:space="preserve"> Ritchie SJ, Cox SR, Shen X, Lombardo MV, Reus LM, Alloza C, et al. Sex Differences in the Adult Human Brain: Evidence from 5216 UK Biobank Participants.</w:t>
      </w:r>
      <w:r>
        <w:t xml:space="preserve"> </w:t>
      </w:r>
      <w:r>
        <w:rPr>
          <w:iCs/>
          <w:i/>
        </w:rPr>
        <w:t xml:space="preserve">Cerebral Cortex</w:t>
      </w:r>
      <w:r>
        <w:t xml:space="preserve">. 2018;28(8):2959–2975.</w:t>
      </w:r>
      <w:r>
        <w:t xml:space="preserve"> </w:t>
      </w:r>
      <w:hyperlink r:id="rId5178">
        <w:r>
          <w:rPr>
            <w:rStyle w:val="Hyperlink"/>
          </w:rPr>
          <w:t xml:space="preserve">https://doi.org/10.1093/cercor/bhy109</w:t>
        </w:r>
      </w:hyperlink>
      <w:r>
        <w:t xml:space="preserve">（研究类型：大样本横断面影像）</w:t>
      </w:r>
    </w:p>
    <w:p>
      <w:pPr>
        <w:pStyle w:val="ReferenceEntry"/>
      </w:pPr>
      <w:bookmarkStart w:id="5179" w:name="ref-1292"/>
      <w:r>
        <w:t xml:space="preserve">[1292]</w:t>
      </w:r>
      <w:bookmarkEnd w:id="5179"/>
      <w:r>
        <w:t xml:space="preserve"> Eliot L, Ahmed A, Khan H, Patel J. Dump the dimorphism: Comprehensive synthesis of human brain studies reveals few male-female differences beyond size.</w:t>
      </w:r>
      <w:r>
        <w:t xml:space="preserve"> </w:t>
      </w:r>
      <w:r>
        <w:rPr>
          <w:iCs/>
          <w:i/>
        </w:rPr>
        <w:t xml:space="preserve">Neuroscience &amp; Biobehavioral Reviews</w:t>
      </w:r>
      <w:r>
        <w:t xml:space="preserve">. 2021;125:667–697.</w:t>
      </w:r>
      <w:r>
        <w:t xml:space="preserve"> </w:t>
      </w:r>
      <w:hyperlink r:id="rId5180">
        <w:r>
          <w:rPr>
            <w:rStyle w:val="Hyperlink"/>
          </w:rPr>
          <w:t xml:space="preserve">https://doi.org/10.1016/j.neubiorev.2021.02.026</w:t>
        </w:r>
      </w:hyperlink>
      <w:r>
        <w:t xml:space="preserve">（研究类型：综合综述）</w:t>
      </w:r>
    </w:p>
    <w:p>
      <w:pPr>
        <w:pStyle w:val="ReferenceEntry"/>
      </w:pPr>
      <w:bookmarkStart w:id="5181" w:name="ref-1293"/>
      <w:r>
        <w:t xml:space="preserve">[1293]</w:t>
      </w:r>
      <w:bookmarkEnd w:id="5181"/>
      <w:r>
        <w:t xml:space="preserve"> DeCasien AR, Guma E, Liu S, Raznahan A. Sex differences in the human brain: a roadmap for more careful analysis and interpretation of a biological reality.</w:t>
      </w:r>
      <w:r>
        <w:t xml:space="preserve"> </w:t>
      </w:r>
      <w:r>
        <w:rPr>
          <w:iCs/>
          <w:i/>
        </w:rPr>
        <w:t xml:space="preserve">Biology of Sex Differences</w:t>
      </w:r>
      <w:r>
        <w:t xml:space="preserve">. 2022;13(1):43.</w:t>
      </w:r>
      <w:r>
        <w:t xml:space="preserve"> </w:t>
      </w:r>
      <w:hyperlink r:id="rId5182">
        <w:r>
          <w:rPr>
            <w:rStyle w:val="Hyperlink"/>
          </w:rPr>
          <w:t xml:space="preserve">https://doi.org/10.1186/s13293-022-00448-w</w:t>
        </w:r>
      </w:hyperlink>
      <w:r>
        <w:t xml:space="preserve">（研究类型：方法与证据综合）</w:t>
      </w:r>
    </w:p>
    <w:p>
      <w:pPr>
        <w:pStyle w:val="ReferenceEntry"/>
      </w:pPr>
      <w:bookmarkStart w:id="5183" w:name="ref-1294"/>
      <w:r>
        <w:t xml:space="preserve">[1294]</w:t>
      </w:r>
      <w:bookmarkEnd w:id="5183"/>
      <w:r>
        <w:t xml:space="preserve"> Hoekzema E, Barba-Müller E, Pozzobon C, Picado M, Lucco F, García-García D, et al. Pregnancy leads to long lasting changes in human brain structure.</w:t>
      </w:r>
      <w:r>
        <w:t xml:space="preserve"> </w:t>
      </w:r>
      <w:r>
        <w:rPr>
          <w:iCs/>
          <w:i/>
        </w:rPr>
        <w:t xml:space="preserve">Nature Neuroscience</w:t>
      </w:r>
      <w:r>
        <w:t xml:space="preserve">. 2017;20(2):287–296.</w:t>
      </w:r>
      <w:r>
        <w:t xml:space="preserve"> </w:t>
      </w:r>
      <w:hyperlink r:id="rId5184">
        <w:r>
          <w:rPr>
            <w:rStyle w:val="Hyperlink"/>
          </w:rPr>
          <w:t xml:space="preserve">https://doi.org/10.1038/nn.4458</w:t>
        </w:r>
      </w:hyperlink>
      <w:r>
        <w:t xml:space="preserve">（研究类型：前瞻妊娠前后与对照研究）</w:t>
      </w:r>
    </w:p>
    <w:p>
      <w:pPr>
        <w:pStyle w:val="ReferenceEntry"/>
      </w:pPr>
      <w:bookmarkStart w:id="5185" w:name="ref-1295"/>
      <w:r>
        <w:t xml:space="preserve">[1295]</w:t>
      </w:r>
      <w:bookmarkEnd w:id="5185"/>
      <w:r>
        <w:t xml:space="preserve"> Pritschet L, Taylor CM, Cossio D, Faskowitz J, Santander T, Handwerker DA, et al. Neuroanatomical changes observed over the course of a human pregnancy.</w:t>
      </w:r>
      <w:r>
        <w:t xml:space="preserve"> </w:t>
      </w:r>
      <w:r>
        <w:rPr>
          <w:iCs/>
          <w:i/>
        </w:rPr>
        <w:t xml:space="preserve">Nature Neuroscience</w:t>
      </w:r>
      <w:r>
        <w:t xml:space="preserve">. 2024;27(11):2253–2260.</w:t>
      </w:r>
      <w:r>
        <w:t xml:space="preserve"> </w:t>
      </w:r>
      <w:hyperlink r:id="rId5186">
        <w:r>
          <w:rPr>
            <w:rStyle w:val="Hyperlink"/>
          </w:rPr>
          <w:t xml:space="preserve">https://doi.org/10.1038/s41593-024-01741-0</w:t>
        </w:r>
      </w:hyperlink>
      <w:r>
        <w:t xml:space="preserve">（研究类型：密集个体纵向MRI）</w:t>
      </w:r>
    </w:p>
    <w:p>
      <w:pPr>
        <w:pStyle w:val="ReferenceEntry"/>
      </w:pPr>
      <w:bookmarkStart w:id="5187" w:name="ref-1296"/>
      <w:r>
        <w:t xml:space="preserve">[1296]</w:t>
      </w:r>
      <w:bookmarkEnd w:id="5187"/>
      <w:r>
        <w:t xml:space="preserve"> Reardon PK, Clasen L, Giedd JN, Blumenthal J, Lerch JP, Chakravarty MM, et al. An Allometric Analysis of Sex and Sex Chromosome Dosage Effects on Subcortical Anatomy in Humans.</w:t>
      </w:r>
      <w:r>
        <w:t xml:space="preserve"> </w:t>
      </w:r>
      <w:r>
        <w:rPr>
          <w:iCs/>
          <w:i/>
        </w:rPr>
        <w:t xml:space="preserve">The Journal of Neuroscience</w:t>
      </w:r>
      <w:r>
        <w:t xml:space="preserve">. 2016;36(8):2438–2448.</w:t>
      </w:r>
      <w:r>
        <w:t xml:space="preserve"> </w:t>
      </w:r>
      <w:hyperlink r:id="rId5188">
        <w:r>
          <w:rPr>
            <w:rStyle w:val="Hyperlink"/>
          </w:rPr>
          <w:t xml:space="preserve">https://doi.org/10.1523/JNEUROSCI.3195-15.2016</w:t>
        </w:r>
      </w:hyperlink>
      <w:r>
        <w:t xml:space="preserve">（研究类型：异速生长与染色体剂量成像分析）</w:t>
      </w:r>
    </w:p>
    <w:p>
      <w:pPr>
        <w:pStyle w:val="ReferenceEntry"/>
      </w:pPr>
      <w:bookmarkStart w:id="5189" w:name="ref-1297"/>
      <w:r>
        <w:t xml:space="preserve">[1297]</w:t>
      </w:r>
      <w:bookmarkEnd w:id="5189"/>
      <w:r>
        <w:t xml:space="preserve"> Pietschnig J, Penke L, Wicherts JM, Zeiler M, Voracek M. Meta-analysis of associations between human brain volume and intelligence differences: How strong are they and what do they mean?.</w:t>
      </w:r>
      <w:r>
        <w:t xml:space="preserve"> </w:t>
      </w:r>
      <w:r>
        <w:rPr>
          <w:iCs/>
          <w:i/>
        </w:rPr>
        <w:t xml:space="preserve">Neuroscience &amp; Biobehavioral Reviews</w:t>
      </w:r>
      <w:r>
        <w:t xml:space="preserve">. 2015;57:411–432.</w:t>
      </w:r>
      <w:r>
        <w:t xml:space="preserve"> </w:t>
      </w:r>
      <w:hyperlink r:id="rId5190">
        <w:r>
          <w:rPr>
            <w:rStyle w:val="Hyperlink"/>
          </w:rPr>
          <w:t xml:space="preserve">https://doi.org/10.1016/j.neubiorev.2015.09.017</w:t>
        </w:r>
      </w:hyperlink>
      <w:r>
        <w:t xml:space="preserve">（研究类型：系统综述与元分析）</w:t>
      </w:r>
    </w:p>
    <w:p>
      <w:pPr>
        <w:pStyle w:val="ReferenceEntry"/>
      </w:pPr>
      <w:bookmarkStart w:id="5191" w:name="ref-1298"/>
      <w:r>
        <w:t xml:space="preserve">[1298]</w:t>
      </w:r>
      <w:bookmarkEnd w:id="5191"/>
      <w:r>
        <w:t xml:space="preserve"> Pietschnig J, Gerdesmann D, Zeiler M, Voracek M. Of differing methods, disputed estimates and discordant interpretations: the meta-analytical multiverse of brain volume and IQ associations.</w:t>
      </w:r>
      <w:r>
        <w:t xml:space="preserve"> </w:t>
      </w:r>
      <w:r>
        <w:rPr>
          <w:iCs/>
          <w:i/>
        </w:rPr>
        <w:t xml:space="preserve">Royal Society Open Science</w:t>
      </w:r>
      <w:r>
        <w:t xml:space="preserve">. 2022;9(5):211621.</w:t>
      </w:r>
      <w:r>
        <w:t xml:space="preserve"> </w:t>
      </w:r>
      <w:hyperlink r:id="rId5192">
        <w:r>
          <w:rPr>
            <w:rStyle w:val="Hyperlink"/>
          </w:rPr>
          <w:t xml:space="preserve">https://doi.org/10.1098/rsos.211621</w:t>
        </w:r>
      </w:hyperlink>
      <w:r>
        <w:t xml:space="preserve">（研究类型：多重规格元分析）</w:t>
      </w:r>
    </w:p>
    <w:p>
      <w:pPr>
        <w:pStyle w:val="ReferenceEntry"/>
      </w:pPr>
      <w:bookmarkStart w:id="5193" w:name="ref-1299"/>
      <w:r>
        <w:t xml:space="preserve">[1299]</w:t>
      </w:r>
      <w:bookmarkEnd w:id="5193"/>
      <w:r>
        <w:t xml:space="preserve"> Reardon PK, Seidlitz J, Vandekar S, Liu S, Patel R, Park MTM, et al. Normative brain size variation and brain shape diversity in humans.</w:t>
      </w:r>
      <w:r>
        <w:t xml:space="preserve"> </w:t>
      </w:r>
      <w:r>
        <w:rPr>
          <w:iCs/>
          <w:i/>
        </w:rPr>
        <w:t xml:space="preserve">Science</w:t>
      </w:r>
      <w:r>
        <w:t xml:space="preserve">. 2018;360(6394):1222–1227.</w:t>
      </w:r>
      <w:r>
        <w:t xml:space="preserve"> </w:t>
      </w:r>
      <w:hyperlink r:id="rId5194">
        <w:r>
          <w:rPr>
            <w:rStyle w:val="Hyperlink"/>
          </w:rPr>
          <w:t xml:space="preserve">https://doi.org/10.1126/science.aar2578</w:t>
        </w:r>
      </w:hyperlink>
      <w:r>
        <w:t xml:space="preserve">（研究类型：多队列结构MRI）</w:t>
      </w:r>
    </w:p>
    <w:p>
      <w:pPr>
        <w:pStyle w:val="ReferenceEntry"/>
      </w:pPr>
      <w:bookmarkStart w:id="5195" w:name="ref-1300"/>
      <w:r>
        <w:t xml:space="preserve">[1300]</w:t>
      </w:r>
      <w:bookmarkEnd w:id="5195"/>
      <w:r>
        <w:t xml:space="preserve"> American Association on Intellectual and Developmental Disabilities. Defining Criteria for Intellectual Disability. 检索于2026年10月.</w:t>
      </w:r>
      <w:r>
        <w:t xml:space="preserve"> </w:t>
      </w:r>
      <w:hyperlink r:id="rId5196">
        <w:r>
          <w:rPr>
            <w:rStyle w:val="Hyperlink"/>
          </w:rPr>
          <w:t xml:space="preserve">https://aaidd.org/intellectual-disability/definition</w:t>
        </w:r>
      </w:hyperlink>
      <w:r>
        <w:t xml:space="preserve">（研究类型：专业定义）</w:t>
      </w:r>
    </w:p>
    <w:p>
      <w:pPr>
        <w:pStyle w:val="ReferenceEntry"/>
      </w:pPr>
      <w:bookmarkStart w:id="5197" w:name="ref-1301"/>
      <w:r>
        <w:t xml:space="preserve">[1301]</w:t>
      </w:r>
      <w:bookmarkEnd w:id="5197"/>
      <w:r>
        <w:t xml:space="preserve"> MedlinePlus Genetics. What is heritability?. 2021.</w:t>
      </w:r>
      <w:r>
        <w:t xml:space="preserve"> </w:t>
      </w:r>
      <w:hyperlink r:id="rId5198">
        <w:r>
          <w:rPr>
            <w:rStyle w:val="Hyperlink"/>
          </w:rPr>
          <w:t xml:space="preserve">https://medlineplus.gov/genetics/understanding/inheritance/heritability/</w:t>
        </w:r>
      </w:hyperlink>
      <w:r>
        <w:t xml:space="preserve">（研究类型：官方遗传学概念说明）</w:t>
      </w:r>
    </w:p>
    <w:p>
      <w:pPr>
        <w:pStyle w:val="ReferenceEntry"/>
      </w:pPr>
      <w:bookmarkStart w:id="5199" w:name="ref-1302"/>
      <w:r>
        <w:t xml:space="preserve">[1302]</w:t>
      </w:r>
      <w:bookmarkEnd w:id="5199"/>
      <w:r>
        <w:t xml:space="preserve"> MedlinePlus Genetics. Phenylketonuria. 2023.</w:t>
      </w:r>
      <w:r>
        <w:t xml:space="preserve"> </w:t>
      </w:r>
      <w:hyperlink r:id="rId5200">
        <w:r>
          <w:rPr>
            <w:rStyle w:val="Hyperlink"/>
          </w:rPr>
          <w:t xml:space="preserve">https://www.medlineplus.gov/genetics/condition/phenylketonuria/</w:t>
        </w:r>
      </w:hyperlink>
      <w:r>
        <w:t xml:space="preserve">（研究类型：官方疾病说明）</w:t>
      </w:r>
    </w:p>
    <w:p>
      <w:pPr>
        <w:pStyle w:val="ReferenceEntry"/>
      </w:pPr>
      <w:bookmarkStart w:id="5201" w:name="ref-1303"/>
      <w:r>
        <w:t xml:space="preserve">[1303]</w:t>
      </w:r>
      <w:bookmarkEnd w:id="5201"/>
      <w:r>
        <w:t xml:space="preserve"> Ritchie SJ, Tucker-Drob EM. How Much Does Education Improve Intelligence? A Meta-Analysis.</w:t>
      </w:r>
      <w:r>
        <w:t xml:space="preserve"> </w:t>
      </w:r>
      <w:r>
        <w:rPr>
          <w:iCs/>
          <w:i/>
        </w:rPr>
        <w:t xml:space="preserve">Psychological Science</w:t>
      </w:r>
      <w:r>
        <w:t xml:space="preserve">. 2018;29(8):1358–1369.</w:t>
      </w:r>
      <w:r>
        <w:t xml:space="preserve"> </w:t>
      </w:r>
      <w:hyperlink r:id="rId5202">
        <w:r>
          <w:rPr>
            <w:rStyle w:val="Hyperlink"/>
          </w:rPr>
          <w:t xml:space="preserve">https://doi.org/10.1177/0956797618774253</w:t>
        </w:r>
      </w:hyperlink>
      <w:r>
        <w:t xml:space="preserve">（研究类型：准实验元分析）</w:t>
      </w:r>
    </w:p>
    <w:p>
      <w:pPr>
        <w:pStyle w:val="ReferenceEntry"/>
      </w:pPr>
      <w:bookmarkStart w:id="5203" w:name="ref-1304"/>
      <w:r>
        <w:t xml:space="preserve">[1304]</w:t>
      </w:r>
      <w:bookmarkEnd w:id="5203"/>
      <w:r>
        <w:t xml:space="preserve"> Kong A, Thorleifsson G, Frigge ML, Vilhjalmsson BJ, Young AI, Thorgeirsson TE, et al. The nature of nurture: Effects of parental genotypes.</w:t>
      </w:r>
      <w:r>
        <w:t xml:space="preserve"> </w:t>
      </w:r>
      <w:r>
        <w:rPr>
          <w:iCs/>
          <w:i/>
        </w:rPr>
        <w:t xml:space="preserve">Science</w:t>
      </w:r>
      <w:r>
        <w:t xml:space="preserve">. 2018;359(6374):424–428.</w:t>
      </w:r>
      <w:r>
        <w:t xml:space="preserve"> </w:t>
      </w:r>
      <w:hyperlink r:id="rId5204">
        <w:r>
          <w:rPr>
            <w:rStyle w:val="Hyperlink"/>
          </w:rPr>
          <w:t xml:space="preserve">https://doi.org/10.1126/science.aan6877</w:t>
        </w:r>
      </w:hyperlink>
      <w:r>
        <w:t xml:space="preserve">（研究类型：亲子基因与教育关联）</w:t>
      </w:r>
    </w:p>
    <w:p>
      <w:pPr>
        <w:pStyle w:val="ReferenceEntry"/>
      </w:pPr>
      <w:bookmarkStart w:id="5205" w:name="ref-1305"/>
      <w:r>
        <w:t xml:space="preserve">[1305]</w:t>
      </w:r>
      <w:bookmarkEnd w:id="5205"/>
      <w:r>
        <w:t xml:space="preserve"> Howe LJ, Nivard MG, Morris TT, Hansen AF, Rasheed H, Cho Y, et al. Within-sibship genome-wide association analyses decrease bias in estimates of direct genetic effects.</w:t>
      </w:r>
      <w:r>
        <w:t xml:space="preserve"> </w:t>
      </w:r>
      <w:r>
        <w:rPr>
          <w:iCs/>
          <w:i/>
        </w:rPr>
        <w:t xml:space="preserve">Nature Genetics</w:t>
      </w:r>
      <w:r>
        <w:t xml:space="preserve">. 2022;54(5):581–592.</w:t>
      </w:r>
      <w:r>
        <w:t xml:space="preserve"> </w:t>
      </w:r>
      <w:hyperlink r:id="rId5206">
        <w:r>
          <w:rPr>
            <w:rStyle w:val="Hyperlink"/>
          </w:rPr>
          <w:t xml:space="preserve">https://doi.org/10.1038/s41588-022-01062-7</w:t>
        </w:r>
      </w:hyperlink>
      <w:r>
        <w:t xml:space="preserve">（研究类型：同胞内与群体GWAS比较）</w:t>
      </w:r>
    </w:p>
    <w:p>
      <w:pPr>
        <w:pStyle w:val="ReferenceEntry"/>
      </w:pPr>
      <w:bookmarkStart w:id="5207" w:name="ref-1306"/>
      <w:r>
        <w:t xml:space="preserve">[1306]</w:t>
      </w:r>
      <w:bookmarkEnd w:id="5207"/>
      <w:r>
        <w:t xml:space="preserve"> Martin AR, Kanai M, Kamatani Y, Okada Y, Neale BM, Daly MJ. Clinical use of current polygenic risk scores may exacerbate health disparities.</w:t>
      </w:r>
      <w:r>
        <w:t xml:space="preserve"> </w:t>
      </w:r>
      <w:r>
        <w:rPr>
          <w:iCs/>
          <w:i/>
        </w:rPr>
        <w:t xml:space="preserve">Nature Genetics</w:t>
      </w:r>
      <w:r>
        <w:t xml:space="preserve">. 2019;51(4):584–591.</w:t>
      </w:r>
      <w:r>
        <w:t xml:space="preserve"> </w:t>
      </w:r>
      <w:hyperlink r:id="rId5208">
        <w:r>
          <w:rPr>
            <w:rStyle w:val="Hyperlink"/>
          </w:rPr>
          <w:t xml:space="preserve">https://doi.org/10.1038/s41588-019-0379-x</w:t>
        </w:r>
      </w:hyperlink>
      <w:r>
        <w:t xml:space="preserve">（研究类型：方法分析与观点）</w:t>
      </w:r>
    </w:p>
    <w:p>
      <w:pPr>
        <w:pStyle w:val="ReferenceEntry"/>
      </w:pPr>
      <w:bookmarkStart w:id="5209" w:name="ref-1307"/>
      <w:r>
        <w:t xml:space="preserve">[1307]</w:t>
      </w:r>
      <w:bookmarkEnd w:id="5209"/>
      <w:r>
        <w:t xml:space="preserve"> Okbay A, Wu Y, Wang N, Jayashankar H, Bennett M, Nehzati SM, et al. Polygenic prediction of educational attainment within and between families from genome wide association analyses in 3 million individuals.</w:t>
      </w:r>
      <w:r>
        <w:t xml:space="preserve"> </w:t>
      </w:r>
      <w:r>
        <w:rPr>
          <w:iCs/>
          <w:i/>
        </w:rPr>
        <w:t xml:space="preserve">Nature Genetics</w:t>
      </w:r>
      <w:r>
        <w:t xml:space="preserve">. 2022;54(4):437–449.</w:t>
      </w:r>
      <w:r>
        <w:t xml:space="preserve"> </w:t>
      </w:r>
      <w:hyperlink r:id="rId5210">
        <w:r>
          <w:rPr>
            <w:rStyle w:val="Hyperlink"/>
          </w:rPr>
          <w:t xml:space="preserve">https://doi.org/10.1038/s41588-022-01016-z</w:t>
        </w:r>
      </w:hyperlink>
      <w:r>
        <w:t xml:space="preserve">（研究类型：GWAS与家内外预测）</w:t>
      </w:r>
    </w:p>
    <w:p>
      <w:pPr>
        <w:pStyle w:val="ReferenceEntry"/>
      </w:pPr>
      <w:bookmarkStart w:id="5211" w:name="ref-1308"/>
      <w:r>
        <w:t xml:space="preserve">[1308]</w:t>
      </w:r>
      <w:bookmarkEnd w:id="5211"/>
      <w:r>
        <w:t xml:space="preserve"> Sanderson E, Glymour MM, Holmes MV, Kang H, Morrison J, Munafò MR, et al. Mendelian randomization.</w:t>
      </w:r>
      <w:r>
        <w:t xml:space="preserve"> </w:t>
      </w:r>
      <w:r>
        <w:rPr>
          <w:iCs/>
          <w:i/>
        </w:rPr>
        <w:t xml:space="preserve">Nature Reviews Methods Primers</w:t>
      </w:r>
      <w:r>
        <w:t xml:space="preserve">. 2022;2(1):6.</w:t>
      </w:r>
      <w:r>
        <w:t xml:space="preserve"> </w:t>
      </w:r>
      <w:hyperlink r:id="rId5212">
        <w:r>
          <w:rPr>
            <w:rStyle w:val="Hyperlink"/>
          </w:rPr>
          <w:t xml:space="preserve">https://doi.org/10.1038/s43586-021-00092-5</w:t>
        </w:r>
      </w:hyperlink>
      <w:r>
        <w:t xml:space="preserve">（研究类型：方法学综述）</w:t>
      </w:r>
    </w:p>
    <w:p>
      <w:pPr>
        <w:pStyle w:val="ReferenceEntry"/>
      </w:pPr>
      <w:bookmarkStart w:id="5213" w:name="ref-1309"/>
      <w:r>
        <w:t xml:space="preserve">[1309]</w:t>
      </w:r>
      <w:bookmarkEnd w:id="5213"/>
      <w:r>
        <w:t xml:space="preserve"> NIMH. Attention-Deficit Hyperactivity Disorder What You Need to Know. 检索于2026年10月.</w:t>
      </w:r>
      <w:r>
        <w:t xml:space="preserve"> </w:t>
      </w:r>
      <w:hyperlink r:id="rId5214">
        <w:r>
          <w:rPr>
            <w:rStyle w:val="Hyperlink"/>
          </w:rPr>
          <w:t xml:space="preserve">https://www.nimh.nih.gov/health/publications/attention-deficit-hyperactivity-disorder-what-you-need-to-know</w:t>
        </w:r>
      </w:hyperlink>
      <w:r>
        <w:t xml:space="preserve">（研究类型：官方临床说明）</w:t>
      </w:r>
    </w:p>
    <w:p>
      <w:pPr>
        <w:pStyle w:val="ReferenceEntry"/>
      </w:pPr>
      <w:bookmarkStart w:id="5215" w:name="ref-1310"/>
      <w:r>
        <w:t xml:space="preserve">[1310]</w:t>
      </w:r>
      <w:bookmarkEnd w:id="5215"/>
      <w:r>
        <w:t xml:space="preserve"> NICE. Attention deficit hyperactivity disorder: diagnosis and management NG87. 2018.</w:t>
      </w:r>
      <w:r>
        <w:t xml:space="preserve"> </w:t>
      </w:r>
      <w:hyperlink r:id="rId5216">
        <w:r>
          <w:rPr>
            <w:rStyle w:val="Hyperlink"/>
          </w:rPr>
          <w:t xml:space="preserve">https://www.nice.org.uk/guidance/ng87/chapter/recommendations</w:t>
        </w:r>
      </w:hyperlink>
      <w:r>
        <w:t xml:space="preserve">（研究类型：临床指南、章节含后续更新）</w:t>
      </w:r>
    </w:p>
    <w:p>
      <w:pPr>
        <w:pStyle w:val="ReferenceEntry"/>
      </w:pPr>
      <w:bookmarkStart w:id="5217" w:name="ref-1311"/>
      <w:r>
        <w:t xml:space="preserve">[1311]</w:t>
      </w:r>
      <w:bookmarkEnd w:id="5217"/>
      <w:r>
        <w:t xml:space="preserve"> Wolraich ML, Hagan JF, Allan C, Chan E, Davison D, Earls M, et al. Clinical Practice Guideline for the Diagnosis Evaluation and Treatment of Attention Deficit Hyperactivity Disorder in Children and Adolescents.</w:t>
      </w:r>
      <w:r>
        <w:t xml:space="preserve"> </w:t>
      </w:r>
      <w:r>
        <w:rPr>
          <w:iCs/>
          <w:i/>
        </w:rPr>
        <w:t xml:space="preserve">Pediatrics</w:t>
      </w:r>
      <w:r>
        <w:t xml:space="preserve">. 2019;144(4):e20192528.</w:t>
      </w:r>
      <w:r>
        <w:t xml:space="preserve"> </w:t>
      </w:r>
      <w:hyperlink r:id="rId5218">
        <w:r>
          <w:rPr>
            <w:rStyle w:val="Hyperlink"/>
          </w:rPr>
          <w:t xml:space="preserve">https://doi.org/10.1542/peds.2019-2528</w:t>
        </w:r>
      </w:hyperlink>
      <w:r>
        <w:t xml:space="preserve">（研究类型：AAP临床指南）</w:t>
      </w:r>
    </w:p>
    <w:p>
      <w:pPr>
        <w:pStyle w:val="ReferenceEntry"/>
      </w:pPr>
      <w:bookmarkStart w:id="5219" w:name="ref-1312"/>
      <w:r>
        <w:t xml:space="preserve">[1312]</w:t>
      </w:r>
      <w:bookmarkEnd w:id="5219"/>
      <w:r>
        <w:t xml:space="preserve"> Centers for Disease Control and Prevention. Diagnosing ADHD. 2026.</w:t>
      </w:r>
      <w:r>
        <w:t xml:space="preserve"> </w:t>
      </w:r>
      <w:hyperlink r:id="rId5220">
        <w:r>
          <w:rPr>
            <w:rStyle w:val="Hyperlink"/>
          </w:rPr>
          <w:t xml:space="preserve">https://www.cdc.gov/adhd/diagnosis/</w:t>
        </w:r>
      </w:hyperlink>
      <w:r>
        <w:t xml:space="preserve">（研究类型：官方诊断说明 2026年10月21日更新）</w:t>
      </w:r>
    </w:p>
    <w:p>
      <w:pPr>
        <w:pStyle w:val="ReferenceEntry"/>
      </w:pPr>
      <w:bookmarkStart w:id="5221" w:name="ref-1313"/>
      <w:r>
        <w:t xml:space="preserve">[1313]</w:t>
      </w:r>
      <w:bookmarkEnd w:id="5221"/>
      <w:r>
        <w:t xml:space="preserve"> Faraone SV, Banaschewski T, Coghill D, Zheng Y, Biederman J, Bellgrove MA, et al. The World Federation of ADHD International Consensus Statement: 208 Evidence-based conclusions about the disorder.</w:t>
      </w:r>
      <w:r>
        <w:t xml:space="preserve"> </w:t>
      </w:r>
      <w:r>
        <w:rPr>
          <w:iCs/>
          <w:i/>
        </w:rPr>
        <w:t xml:space="preserve">Neuroscience &amp; Biobehavioral Reviews</w:t>
      </w:r>
      <w:r>
        <w:t xml:space="preserve">. 2021;128:789–818.</w:t>
      </w:r>
      <w:r>
        <w:t xml:space="preserve"> </w:t>
      </w:r>
      <w:hyperlink r:id="rId5222">
        <w:r>
          <w:rPr>
            <w:rStyle w:val="Hyperlink"/>
          </w:rPr>
          <w:t xml:space="preserve">https://doi.org/10.1016/j.neubiorev.2021.01.022</w:t>
        </w:r>
      </w:hyperlink>
      <w:r>
        <w:t xml:space="preserve">（研究类型：证据整合与共识）</w:t>
      </w:r>
    </w:p>
    <w:p>
      <w:pPr>
        <w:pStyle w:val="ReferenceEntry"/>
      </w:pPr>
      <w:bookmarkStart w:id="5223" w:name="ref-1314"/>
      <w:r>
        <w:t xml:space="preserve">[1314]</w:t>
      </w:r>
      <w:bookmarkEnd w:id="5223"/>
      <w:r>
        <w:t xml:space="preserve"> Cortese S, Adamo N, Del Giovane C, Mohr-Jensen C, Hayes AJ, Carucci S, et al. Comparative efficacy and tolerability of medications for attention-deficit hyperactivity disorder in children, adolescents, and adults: a systematic review and network meta-analysis.</w:t>
      </w:r>
      <w:r>
        <w:t xml:space="preserve"> </w:t>
      </w:r>
      <w:r>
        <w:rPr>
          <w:iCs/>
          <w:i/>
        </w:rPr>
        <w:t xml:space="preserve">The Lancet Psychiatry</w:t>
      </w:r>
      <w:r>
        <w:t xml:space="preserve">. 2018;5(9):727–738.</w:t>
      </w:r>
      <w:r>
        <w:t xml:space="preserve"> </w:t>
      </w:r>
      <w:hyperlink r:id="rId5224">
        <w:r>
          <w:rPr>
            <w:rStyle w:val="Hyperlink"/>
          </w:rPr>
          <w:t xml:space="preserve">https://doi.org/10.1016/S2215-0366(18)30269-4</w:t>
        </w:r>
      </w:hyperlink>
      <w:r>
        <w:t xml:space="preserve">（研究类型：网络元分析）</w:t>
      </w:r>
    </w:p>
    <w:p>
      <w:pPr>
        <w:pStyle w:val="ReferenceEntry"/>
      </w:pPr>
      <w:bookmarkStart w:id="5225" w:name="ref-1315"/>
      <w:r>
        <w:t xml:space="preserve">[1315]</w:t>
      </w:r>
      <w:bookmarkEnd w:id="5225"/>
      <w:r>
        <w:t xml:space="preserve"> Westwood SJ, Aggensteiner PM, Kaiser A, Nagy P, Donno F, Merkl D, et al. Neurofeedback for Attention-Deficit/Hyperactivity Disorder: A Systematic Review and Meta-Analysis.</w:t>
      </w:r>
      <w:r>
        <w:t xml:space="preserve"> </w:t>
      </w:r>
      <w:r>
        <w:rPr>
          <w:iCs/>
          <w:i/>
        </w:rPr>
        <w:t xml:space="preserve">JAMA Psychiatry</w:t>
      </w:r>
      <w:r>
        <w:t xml:space="preserve">. 2025;82(2):118.</w:t>
      </w:r>
      <w:r>
        <w:t xml:space="preserve"> </w:t>
      </w:r>
      <w:hyperlink r:id="rId5226">
        <w:r>
          <w:rPr>
            <w:rStyle w:val="Hyperlink"/>
          </w:rPr>
          <w:t xml:space="preserve">https://doi.org/10.1001/jamapsychiatry.2024.3702</w:t>
        </w:r>
      </w:hyperlink>
      <w:r>
        <w:t xml:space="preserve">（研究类型：随机试验系统综述）</w:t>
      </w:r>
    </w:p>
    <w:p>
      <w:pPr>
        <w:pStyle w:val="ReferenceEntry"/>
      </w:pPr>
      <w:bookmarkStart w:id="5227" w:name="ref-1316"/>
      <w:r>
        <w:t xml:space="preserve">[1316]</w:t>
      </w:r>
      <w:bookmarkEnd w:id="5227"/>
      <w:r>
        <w:t xml:space="preserve"> Aster HC, Waltmann M, Busch A, Romanos M, Gamer M, Maria van Noort B, et al. Impaired flexible reward learning in ADHD patients is associated with blunted reinforcement sensitivity and neural signals in ventral striatum and parietal cortex.</w:t>
      </w:r>
      <w:r>
        <w:t xml:space="preserve"> </w:t>
      </w:r>
      <w:r>
        <w:rPr>
          <w:iCs/>
          <w:i/>
        </w:rPr>
        <w:t xml:space="preserve">NeuroImage: Clinical</w:t>
      </w:r>
      <w:r>
        <w:t xml:space="preserve">. 2024;42:103588.</w:t>
      </w:r>
      <w:r>
        <w:t xml:space="preserve"> </w:t>
      </w:r>
      <w:hyperlink r:id="rId5228">
        <w:r>
          <w:rPr>
            <w:rStyle w:val="Hyperlink"/>
          </w:rPr>
          <w:t xml:space="preserve">https://doi.org/10.1016/j.nicl.2024.103588</w:t>
        </w:r>
      </w:hyperlink>
      <w:r>
        <w:t xml:space="preserve">（研究类型：反转学习计算模型与fMRI）</w:t>
      </w:r>
    </w:p>
    <w:p>
      <w:pPr>
        <w:pStyle w:val="ReferenceEntry"/>
      </w:pPr>
      <w:bookmarkStart w:id="5229" w:name="ref-1317"/>
      <w:r>
        <w:t xml:space="preserve">[1317]</w:t>
      </w:r>
      <w:bookmarkEnd w:id="5229"/>
      <w:r>
        <w:t xml:space="preserve"> Hoogman M, Bralten J, Hibar DP, Mennes M, Zwiers MP, Schweren LSJ, et al. Subcortical brain volume differences in participants with attention deficit hyperactivity disorder in children and adults a cross sectional mega analysis.</w:t>
      </w:r>
      <w:r>
        <w:t xml:space="preserve"> </w:t>
      </w:r>
      <w:r>
        <w:rPr>
          <w:iCs/>
          <w:i/>
        </w:rPr>
        <w:t xml:space="preserve">The Lancet Psychiatry</w:t>
      </w:r>
      <w:r>
        <w:t xml:space="preserve">. 2017;4(4):310–319.</w:t>
      </w:r>
      <w:r>
        <w:t xml:space="preserve"> </w:t>
      </w:r>
      <w:hyperlink r:id="rId5230">
        <w:r>
          <w:rPr>
            <w:rStyle w:val="Hyperlink"/>
          </w:rPr>
          <w:t xml:space="preserve">https://doi.org/10.1016/S2215-0366(17)30049-4</w:t>
        </w:r>
      </w:hyperlink>
      <w:r>
        <w:t xml:space="preserve">（研究类型：跨中心结构MRI合并分析）</w:t>
      </w:r>
    </w:p>
    <w:p>
      <w:pPr>
        <w:pStyle w:val="ReferenceEntry"/>
      </w:pPr>
      <w:bookmarkStart w:id="5231" w:name="ref-1318"/>
      <w:r>
        <w:t xml:space="preserve">[1318]</w:t>
      </w:r>
      <w:bookmarkEnd w:id="5231"/>
      <w:r>
        <w:t xml:space="preserve"> Hviid A, Hansen JV, Frisch M, Melbye M. Measles, Mumps, Rubella Vaccination and Autism: A Nationwide Cohort Study.</w:t>
      </w:r>
      <w:r>
        <w:t xml:space="preserve"> </w:t>
      </w:r>
      <w:r>
        <w:rPr>
          <w:iCs/>
          <w:i/>
        </w:rPr>
        <w:t xml:space="preserve">Annals of Internal Medicine</w:t>
      </w:r>
      <w:r>
        <w:t xml:space="preserve">. 2019;170(8):513–520.</w:t>
      </w:r>
      <w:r>
        <w:t xml:space="preserve"> </w:t>
      </w:r>
      <w:hyperlink r:id="rId5232">
        <w:r>
          <w:rPr>
            <w:rStyle w:val="Hyperlink"/>
          </w:rPr>
          <w:t xml:space="preserve">https://doi.org/10.7326/M18-2101</w:t>
        </w:r>
      </w:hyperlink>
      <w:r>
        <w:t xml:space="preserve">（研究类型：丹麦全国登记队列）</w:t>
      </w:r>
    </w:p>
    <w:p>
      <w:pPr>
        <w:pStyle w:val="ReferenceEntry"/>
      </w:pPr>
      <w:bookmarkStart w:id="5233" w:name="ref-1319"/>
      <w:r>
        <w:t xml:space="preserve">[1319]</w:t>
      </w:r>
      <w:bookmarkEnd w:id="5233"/>
      <w:r>
        <w:t xml:space="preserve"> WHO GACVS. Statement of the WHO Global Advisory Committee on Vaccine Safety on vaccines and autism. 2025.</w:t>
      </w:r>
      <w:r>
        <w:t xml:space="preserve"> </w:t>
      </w:r>
      <w:hyperlink r:id="rId5234">
        <w:r>
          <w:rPr>
            <w:rStyle w:val="Hyperlink"/>
          </w:rPr>
          <w:t xml:space="preserve">https://www.who.int/news/item/11-12-2025-statement-gacvs-vaccines-autism</w:t>
        </w:r>
      </w:hyperlink>
      <w:r>
        <w:t xml:space="preserve">（研究类型：官方系统证据评估）</w:t>
      </w:r>
    </w:p>
    <w:p>
      <w:pPr>
        <w:pStyle w:val="ReferenceEntry"/>
      </w:pPr>
      <w:bookmarkStart w:id="5235" w:name="ref-1320"/>
      <w:r>
        <w:t xml:space="preserve">[1320]</w:t>
      </w:r>
      <w:bookmarkEnd w:id="5235"/>
      <w:r>
        <w:t xml:space="preserve"> World Health Organization. Autism Questions and answers. 2025.</w:t>
      </w:r>
      <w:r>
        <w:t xml:space="preserve"> </w:t>
      </w:r>
      <w:hyperlink r:id="rId5236">
        <w:r>
          <w:rPr>
            <w:rStyle w:val="Hyperlink"/>
          </w:rPr>
          <w:t xml:space="preserve">https://www.who.int/news-room/questions-and-answers/item/autism-spectrum-disorders-(asd)</w:t>
        </w:r>
      </w:hyperlink>
      <w:r>
        <w:t xml:space="preserve">（研究类型：官方疾病说明）</w:t>
      </w:r>
    </w:p>
    <w:p>
      <w:pPr>
        <w:pStyle w:val="ReferenceEntry"/>
      </w:pPr>
      <w:bookmarkStart w:id="5237" w:name="ref-1321"/>
      <w:r>
        <w:t xml:space="preserve">[1321]</w:t>
      </w:r>
      <w:bookmarkEnd w:id="5237"/>
      <w:r>
        <w:t xml:space="preserve"> NICE. Autism spectrum disorder in under 19s support and management CG170. 2013.</w:t>
      </w:r>
      <w:r>
        <w:t xml:space="preserve"> </w:t>
      </w:r>
      <w:hyperlink r:id="rId5238">
        <w:r>
          <w:rPr>
            <w:rStyle w:val="Hyperlink"/>
          </w:rPr>
          <w:t xml:space="preserve">https://www.nice.org.uk/guidance/cg170/chapter/recommendations</w:t>
        </w:r>
      </w:hyperlink>
      <w:r>
        <w:t xml:space="preserve">（研究类型：临床指南、含后续更新）</w:t>
      </w:r>
    </w:p>
    <w:p>
      <w:pPr>
        <w:pStyle w:val="ReferenceEntry"/>
      </w:pPr>
      <w:bookmarkStart w:id="5239" w:name="ref-1322"/>
      <w:r>
        <w:t xml:space="preserve">[1322]</w:t>
      </w:r>
      <w:bookmarkEnd w:id="5239"/>
      <w:r>
        <w:t xml:space="preserve"> Satterstrom FK, Kosmicki JA, Wang J, Breen MS, De Rubeis S, An JY, et al. Large Scale Exome Sequencing Study Implicates Both Developmental and Functional Changes in the Neurobiology of Autism.</w:t>
      </w:r>
      <w:r>
        <w:t xml:space="preserve"> </w:t>
      </w:r>
      <w:r>
        <w:rPr>
          <w:iCs/>
          <w:i/>
        </w:rPr>
        <w:t xml:space="preserve">Cell</w:t>
      </w:r>
      <w:r>
        <w:t xml:space="preserve">. 2020;180(3):568–584.e23.</w:t>
      </w:r>
      <w:r>
        <w:t xml:space="preserve"> </w:t>
      </w:r>
      <w:hyperlink r:id="rId5240">
        <w:r>
          <w:rPr>
            <w:rStyle w:val="Hyperlink"/>
          </w:rPr>
          <w:t xml:space="preserve">https://doi.org/10.1016/j.cell.2019.12.036</w:t>
        </w:r>
      </w:hyperlink>
      <w:r>
        <w:t xml:space="preserve">（研究类型：外显子组关联研究）</w:t>
      </w:r>
    </w:p>
    <w:p>
      <w:pPr>
        <w:pStyle w:val="ReferenceEntry"/>
      </w:pPr>
      <w:bookmarkStart w:id="5241" w:name="ref-1323"/>
      <w:r>
        <w:t xml:space="preserve">[1323]</w:t>
      </w:r>
      <w:bookmarkEnd w:id="5241"/>
      <w:r>
        <w:t xml:space="preserve"> Bai D, Yip BHK, Windham GC, Sourander A, Francis R, Yoffe R, et al. Association of Genetic and Environmental Factors With Autism in a 5 Country Cohort.</w:t>
      </w:r>
      <w:r>
        <w:t xml:space="preserve"> </w:t>
      </w:r>
      <w:r>
        <w:rPr>
          <w:iCs/>
          <w:i/>
        </w:rPr>
        <w:t xml:space="preserve">JAMA Psychiatry</w:t>
      </w:r>
      <w:r>
        <w:t xml:space="preserve">. 2019;76(10):1035.</w:t>
      </w:r>
      <w:r>
        <w:t xml:space="preserve"> </w:t>
      </w:r>
      <w:hyperlink r:id="rId5242">
        <w:r>
          <w:rPr>
            <w:rStyle w:val="Hyperlink"/>
          </w:rPr>
          <w:t xml:space="preserve">https://doi.org/10.1001/jamapsychiatry.2019.1411</w:t>
        </w:r>
      </w:hyperlink>
      <w:r>
        <w:t xml:space="preserve">（研究类型：五国登记家系模型）</w:t>
      </w:r>
    </w:p>
    <w:p>
      <w:pPr>
        <w:pStyle w:val="ReferenceEntry"/>
      </w:pPr>
      <w:bookmarkStart w:id="5243" w:name="ref-1324"/>
      <w:r>
        <w:t xml:space="preserve">[1324]</w:t>
      </w:r>
      <w:bookmarkEnd w:id="5243"/>
      <w:r>
        <w:t xml:space="preserve"> Hansen SN, Schendel DE, Parner ET. Explaining the Increase in the Prevalence of Autism Spectrum Disorders The Proportion Attributable to Changes in Reporting Practices.</w:t>
      </w:r>
      <w:r>
        <w:t xml:space="preserve"> </w:t>
      </w:r>
      <w:r>
        <w:rPr>
          <w:iCs/>
          <w:i/>
        </w:rPr>
        <w:t xml:space="preserve">JAMA Pediatrics</w:t>
      </w:r>
      <w:r>
        <w:t xml:space="preserve">. 2015;169(1):56.</w:t>
      </w:r>
      <w:r>
        <w:t xml:space="preserve"> </w:t>
      </w:r>
      <w:hyperlink r:id="rId5244">
        <w:r>
          <w:rPr>
            <w:rStyle w:val="Hyperlink"/>
          </w:rPr>
          <w:t xml:space="preserve">https://doi.org/10.1001/jamapediatrics.2014.1893</w:t>
        </w:r>
      </w:hyperlink>
      <w:r>
        <w:t xml:space="preserve">（研究类型：丹麦历史登记队列模型）</w:t>
      </w:r>
    </w:p>
    <w:p>
      <w:pPr>
        <w:pStyle w:val="ReferenceEntry"/>
      </w:pPr>
      <w:bookmarkStart w:id="5245" w:name="ref-1325"/>
      <w:r>
        <w:t xml:space="preserve">[1325]</w:t>
      </w:r>
      <w:bookmarkEnd w:id="5245"/>
      <w:r>
        <w:t xml:space="preserve"> Dwyer P. The Neurodiversity Approach(es): What Are They and What Do They Mean for Researchers?.</w:t>
      </w:r>
      <w:r>
        <w:t xml:space="preserve"> </w:t>
      </w:r>
      <w:r>
        <w:rPr>
          <w:iCs/>
          <w:i/>
        </w:rPr>
        <w:t xml:space="preserve">Human Development</w:t>
      </w:r>
      <w:r>
        <w:t xml:space="preserve">. 2022;66(2):73–92.</w:t>
      </w:r>
      <w:r>
        <w:t xml:space="preserve"> </w:t>
      </w:r>
      <w:hyperlink r:id="rId5246">
        <w:r>
          <w:rPr>
            <w:rStyle w:val="Hyperlink"/>
          </w:rPr>
          <w:t xml:space="preserve">https://doi.org/10.1159/000523723</w:t>
        </w:r>
      </w:hyperlink>
      <w:r>
        <w:t xml:space="preserve">（研究类型：概念与文献分析）</w:t>
      </w:r>
    </w:p>
    <w:p>
      <w:pPr>
        <w:pStyle w:val="ReferenceEntry"/>
      </w:pPr>
      <w:bookmarkStart w:id="5247" w:name="ref-1326"/>
      <w:r>
        <w:t xml:space="preserve">[1326]</w:t>
      </w:r>
      <w:bookmarkEnd w:id="5247"/>
      <w:r>
        <w:t xml:space="preserve"> Kapp SK, Gillespie-Lynch K, Sherman LE, Hutman T. Deficit, difference, or both? Autism and neurodiversity.</w:t>
      </w:r>
      <w:r>
        <w:t xml:space="preserve"> </w:t>
      </w:r>
      <w:r>
        <w:rPr>
          <w:iCs/>
          <w:i/>
        </w:rPr>
        <w:t xml:space="preserve">Developmental Psychology</w:t>
      </w:r>
      <w:r>
        <w:t xml:space="preserve">. 2013;49(1):59–71.</w:t>
      </w:r>
      <w:r>
        <w:t xml:space="preserve"> </w:t>
      </w:r>
      <w:hyperlink r:id="rId5248">
        <w:r>
          <w:rPr>
            <w:rStyle w:val="Hyperlink"/>
          </w:rPr>
          <w:t xml:space="preserve">https://doi.org/10.1037/a0028353</w:t>
        </w:r>
      </w:hyperlink>
      <w:r>
        <w:t xml:space="preserve">（研究类型：在线横断面问卷）</w:t>
      </w:r>
    </w:p>
    <w:p>
      <w:pPr>
        <w:pStyle w:val="ReferenceEntry"/>
      </w:pPr>
      <w:bookmarkStart w:id="5249" w:name="ref-1327"/>
      <w:r>
        <w:t xml:space="preserve">[1327]</w:t>
      </w:r>
      <w:bookmarkEnd w:id="5249"/>
      <w:r>
        <w:t xml:space="preserve"> Sandbank M, Bottema-Beutel K, Crowley LaPoint S, Feldman JI, Barrett DJ, Caldwell N, et al. Autism intervention meta-analysis of early childhood studies Project AIM updated systematic review and secondary analysis.</w:t>
      </w:r>
      <w:r>
        <w:t xml:space="preserve"> </w:t>
      </w:r>
      <w:r>
        <w:rPr>
          <w:iCs/>
          <w:i/>
        </w:rPr>
        <w:t xml:space="preserve">BMJ</w:t>
      </w:r>
      <w:r>
        <w:t xml:space="preserve">. 2023;383:e076733.</w:t>
      </w:r>
      <w:r>
        <w:t xml:space="preserve"> </w:t>
      </w:r>
      <w:hyperlink r:id="rId5250">
        <w:r>
          <w:rPr>
            <w:rStyle w:val="Hyperlink"/>
          </w:rPr>
          <w:t xml:space="preserve">https://doi.org/10.1136/bmj-2023-076733</w:t>
        </w:r>
      </w:hyperlink>
      <w:r>
        <w:t xml:space="preserve">（研究类型：系统综述、元分析）</w:t>
      </w:r>
    </w:p>
    <w:p>
      <w:pPr>
        <w:pStyle w:val="ReferenceEntry"/>
      </w:pPr>
      <w:bookmarkStart w:id="5251" w:name="ref-1328"/>
      <w:r>
        <w:t xml:space="preserve">[1328]</w:t>
      </w:r>
      <w:bookmarkEnd w:id="5251"/>
      <w:r>
        <w:t xml:space="preserve"> World Health Organization. International Classification of Functioning Disability and Health ICF. 2001.</w:t>
      </w:r>
      <w:r>
        <w:t xml:space="preserve"> </w:t>
      </w:r>
      <w:hyperlink r:id="rId5252">
        <w:r>
          <w:rPr>
            <w:rStyle w:val="Hyperlink"/>
          </w:rPr>
          <w:t xml:space="preserve">https://www.who.int/classifications/international-classification-of-functioning-disability-and-health</w:t>
        </w:r>
      </w:hyperlink>
      <w:r>
        <w:t xml:space="preserve">（研究类型：官方分类框架）</w:t>
      </w:r>
    </w:p>
    <w:p>
      <w:pPr>
        <w:pStyle w:val="ReferenceEntry"/>
      </w:pPr>
      <w:bookmarkStart w:id="5253" w:name="ref-1329"/>
      <w:r>
        <w:t xml:space="preserve">[1329]</w:t>
      </w:r>
      <w:bookmarkEnd w:id="5253"/>
      <w:r>
        <w:t xml:space="preserve"> Kasari C, Kaiser A, Goods K, Nietfeld J, Mathy P, Landa R, et al. Communication interventions for minimally verbal children with autism a sequential multiple assignment randomized trial.</w:t>
      </w:r>
      <w:r>
        <w:t xml:space="preserve"> </w:t>
      </w:r>
      <w:r>
        <w:rPr>
          <w:iCs/>
          <w:i/>
        </w:rPr>
        <w:t xml:space="preserve">Journal of the American Academy of Child &amp; Adolescent Psychiatry</w:t>
      </w:r>
      <w:r>
        <w:t xml:space="preserve">. 2014;53(6):635–646.</w:t>
      </w:r>
      <w:r>
        <w:t xml:space="preserve"> </w:t>
      </w:r>
      <w:hyperlink r:id="rId5254">
        <w:r>
          <w:rPr>
            <w:rStyle w:val="Hyperlink"/>
          </w:rPr>
          <w:t xml:space="preserve">https://doi.org/10.1016/j.jaac.2014.01.019</w:t>
        </w:r>
      </w:hyperlink>
      <w:r>
        <w:t xml:space="preserve">（研究类型：适应性随机试验）</w:t>
      </w:r>
    </w:p>
    <w:p>
      <w:pPr>
        <w:pStyle w:val="ReferenceEntry"/>
      </w:pPr>
      <w:bookmarkStart w:id="5255" w:name="ref-1330"/>
      <w:r>
        <w:t xml:space="preserve">[1330]</w:t>
      </w:r>
      <w:bookmarkEnd w:id="5255"/>
      <w:r>
        <w:t xml:space="preserve"> American Speech Language Hearing Association. Facilitated Communication Position Statement. 2018.</w:t>
      </w:r>
      <w:r>
        <w:t xml:space="preserve"> </w:t>
      </w:r>
      <w:hyperlink r:id="rId5256">
        <w:r>
          <w:rPr>
            <w:rStyle w:val="Hyperlink"/>
          </w:rPr>
          <w:t xml:space="preserve">https://www.asha.org/policy/ps2018-00352/</w:t>
        </w:r>
      </w:hyperlink>
      <w:r>
        <w:t xml:space="preserve">（研究类型：专业立场和证据评估）</w:t>
      </w:r>
    </w:p>
    <w:p>
      <w:pPr>
        <w:pStyle w:val="ReferenceEntry"/>
      </w:pPr>
      <w:bookmarkStart w:id="5257" w:name="ref-1331"/>
      <w:r>
        <w:t xml:space="preserve">[1331]</w:t>
      </w:r>
      <w:bookmarkEnd w:id="5257"/>
      <w:r>
        <w:t xml:space="preserve"> National Institutes of Health. Autism Spectrum Disorder. 检索于2026年10月.</w:t>
      </w:r>
      <w:r>
        <w:t xml:space="preserve"> </w:t>
      </w:r>
      <w:hyperlink r:id="rId5258">
        <w:r>
          <w:rPr>
            <w:rStyle w:val="Hyperlink"/>
          </w:rPr>
          <w:t xml:space="preserve">https://health.nih.gov/health-topics-a-z/autism</w:t>
        </w:r>
      </w:hyperlink>
      <w:r>
        <w:t xml:space="preserve">（研究类型：官方临床说明）</w:t>
      </w:r>
    </w:p>
    <w:p>
      <w:pPr>
        <w:pStyle w:val="ReferenceEntry"/>
      </w:pPr>
      <w:bookmarkStart w:id="5259" w:name="ref-1332"/>
      <w:r>
        <w:t xml:space="preserve">[1332]</w:t>
      </w:r>
      <w:bookmarkEnd w:id="5259"/>
      <w:r>
        <w:t xml:space="preserve"> DeRubeis RJ, Hollon SD, Amsterdam JD, Shelton RC, Young PR, Salomon RM, et al. Cognitive Therapy vs Medications in the Treatment of Moderate to Severe Depression.</w:t>
      </w:r>
      <w:r>
        <w:t xml:space="preserve"> </w:t>
      </w:r>
      <w:r>
        <w:rPr>
          <w:iCs/>
          <w:i/>
        </w:rPr>
        <w:t xml:space="preserve">Archives of General Psychiatry</w:t>
      </w:r>
      <w:r>
        <w:t xml:space="preserve">. 2005;62(4):409.</w:t>
      </w:r>
      <w:r>
        <w:t xml:space="preserve"> </w:t>
      </w:r>
      <w:hyperlink r:id="rId5260">
        <w:r>
          <w:rPr>
            <w:rStyle w:val="Hyperlink"/>
          </w:rPr>
          <w:t xml:space="preserve">https://doi.org/10.1001/archpsyc.62.4.409</w:t>
        </w:r>
      </w:hyperlink>
      <w:r>
        <w:t xml:space="preserve">（研究类型：随机临床试验）</w:t>
      </w:r>
    </w:p>
    <w:p>
      <w:pPr>
        <w:pStyle w:val="ReferenceEntry"/>
      </w:pPr>
      <w:bookmarkStart w:id="5261" w:name="ref-1333"/>
      <w:r>
        <w:t xml:space="preserve">[1333]</w:t>
      </w:r>
      <w:bookmarkEnd w:id="5261"/>
      <w:r>
        <w:t xml:space="preserve"> National Institutes of Health. Bipolar Disorder. 检索于2026年10月.</w:t>
      </w:r>
      <w:r>
        <w:t xml:space="preserve"> </w:t>
      </w:r>
      <w:hyperlink r:id="rId5262">
        <w:r>
          <w:rPr>
            <w:rStyle w:val="Hyperlink"/>
          </w:rPr>
          <w:t xml:space="preserve">https://health.nih.gov/health-topics-a-z/bipolar-disorder</w:t>
        </w:r>
      </w:hyperlink>
      <w:r>
        <w:t xml:space="preserve">（研究类型：官方临床说明）</w:t>
      </w:r>
    </w:p>
    <w:p>
      <w:pPr>
        <w:pStyle w:val="ReferenceEntry"/>
      </w:pPr>
      <w:bookmarkStart w:id="5263" w:name="ref-1334"/>
      <w:r>
        <w:t xml:space="preserve">[1334]</w:t>
      </w:r>
      <w:bookmarkEnd w:id="5263"/>
      <w:r>
        <w:t xml:space="preserve"> National Institute of Mental Health. About RDoC. 检索于2026年10月.</w:t>
      </w:r>
      <w:r>
        <w:t xml:space="preserve"> </w:t>
      </w:r>
      <w:hyperlink r:id="rId5264">
        <w:r>
          <w:rPr>
            <w:rStyle w:val="Hyperlink"/>
          </w:rPr>
          <w:t xml:space="preserve">https://www.nimh.nih.gov/research/research-funded-by-nimh/rdoc/about-rdoc</w:t>
        </w:r>
      </w:hyperlink>
      <w:r>
        <w:t xml:space="preserve">（研究类型：官方研究框架）</w:t>
      </w:r>
    </w:p>
    <w:p>
      <w:pPr>
        <w:pStyle w:val="ReferenceEntry"/>
      </w:pPr>
      <w:bookmarkStart w:id="5265" w:name="ref-1335"/>
      <w:r>
        <w:t xml:space="preserve">[1335]</w:t>
      </w:r>
      <w:bookmarkEnd w:id="5265"/>
      <w:r>
        <w:t xml:space="preserve"> Sullivan PF, Neale MC, Kendler KS. Genetic epidemiology of major depression review and meta analysis.</w:t>
      </w:r>
      <w:r>
        <w:t xml:space="preserve"> </w:t>
      </w:r>
      <w:r>
        <w:rPr>
          <w:iCs/>
          <w:i/>
        </w:rPr>
        <w:t xml:space="preserve">American Journal of Psychiatry</w:t>
      </w:r>
      <w:r>
        <w:t xml:space="preserve">. 2000;157(10):1552–1562.</w:t>
      </w:r>
      <w:r>
        <w:t xml:space="preserve"> </w:t>
      </w:r>
      <w:hyperlink r:id="rId5266">
        <w:r>
          <w:rPr>
            <w:rStyle w:val="Hyperlink"/>
          </w:rPr>
          <w:t xml:space="preserve">https://doi.org/10.1176/appi.ajp.157.10.1552</w:t>
        </w:r>
      </w:hyperlink>
      <w:r>
        <w:t xml:space="preserve">（研究类型：家系双生子研究元分析）</w:t>
      </w:r>
    </w:p>
    <w:p>
      <w:pPr>
        <w:pStyle w:val="ReferenceEntry"/>
      </w:pPr>
      <w:bookmarkStart w:id="5267" w:name="ref-1336"/>
      <w:r>
        <w:t xml:space="preserve">[1336]</w:t>
      </w:r>
      <w:bookmarkEnd w:id="5267"/>
      <w:r>
        <w:t xml:space="preserve"> Sekar A, Bialas AR, de Rivera H, Davis A, Hammond TR, Kamitaki N, et al. Schizophrenia risk from complex variation of complement component 4.</w:t>
      </w:r>
      <w:r>
        <w:t xml:space="preserve"> </w:t>
      </w:r>
      <w:r>
        <w:rPr>
          <w:iCs/>
          <w:i/>
        </w:rPr>
        <w:t xml:space="preserve">Nature</w:t>
      </w:r>
      <w:r>
        <w:t xml:space="preserve">. 2016;530(7589):177–183.</w:t>
      </w:r>
      <w:r>
        <w:t xml:space="preserve"> </w:t>
      </w:r>
      <w:hyperlink r:id="rId5268">
        <w:r>
          <w:rPr>
            <w:rStyle w:val="Hyperlink"/>
          </w:rPr>
          <w:t xml:space="preserve">https://doi.org/10.1038/nature16549</w:t>
        </w:r>
      </w:hyperlink>
      <w:r>
        <w:t xml:space="preserve">（研究类型：人类遗传与表达结合小鼠机制）</w:t>
      </w:r>
    </w:p>
    <w:p>
      <w:pPr>
        <w:pStyle w:val="ReferenceEntry"/>
      </w:pPr>
      <w:bookmarkStart w:id="5269" w:name="ref-1337"/>
      <w:r>
        <w:t xml:space="preserve">[1337]</w:t>
      </w:r>
      <w:bookmarkEnd w:id="5269"/>
      <w:r>
        <w:t xml:space="preserve"> Treadway MT, Bossaller NA, Shelton RC, Zald DH. Effort based decision making in major depressive disorder a translational model of motivational anhedonia.</w:t>
      </w:r>
      <w:r>
        <w:t xml:space="preserve"> </w:t>
      </w:r>
      <w:r>
        <w:rPr>
          <w:iCs/>
          <w:i/>
        </w:rPr>
        <w:t xml:space="preserve">Journal of Abnormal Psychology</w:t>
      </w:r>
      <w:r>
        <w:t xml:space="preserve">. 2012;121(3):553–558.</w:t>
      </w:r>
      <w:r>
        <w:t xml:space="preserve"> </w:t>
      </w:r>
      <w:hyperlink r:id="rId5270">
        <w:r>
          <w:rPr>
            <w:rStyle w:val="Hyperlink"/>
          </w:rPr>
          <w:t xml:space="preserve">https://doi.org/10.1037/a0028813</w:t>
        </w:r>
      </w:hyperlink>
      <w:r>
        <w:t xml:space="preserve">（研究类型：临床行为任务比较）</w:t>
      </w:r>
    </w:p>
    <w:p>
      <w:pPr>
        <w:pStyle w:val="ReferenceEntry"/>
      </w:pPr>
      <w:bookmarkStart w:id="5271" w:name="ref-1338"/>
      <w:r>
        <w:t xml:space="preserve">[1338]</w:t>
      </w:r>
      <w:bookmarkEnd w:id="5271"/>
      <w:r>
        <w:t xml:space="preserve"> Raison CL, Rutherford RE, Woolwine BJ, Shuo C, Schettler P, Drake DF, et al. A randomized controlled trial of the tumor necrosis factor antagonist infliximab for treatment resistant depression the role of baseline inflammatory biomarkers.</w:t>
      </w:r>
      <w:r>
        <w:t xml:space="preserve"> </w:t>
      </w:r>
      <w:r>
        <w:rPr>
          <w:iCs/>
          <w:i/>
        </w:rPr>
        <w:t xml:space="preserve">JAMA Psychiatry</w:t>
      </w:r>
      <w:r>
        <w:t xml:space="preserve">. 2013;70(1):31.</w:t>
      </w:r>
      <w:r>
        <w:t xml:space="preserve"> </w:t>
      </w:r>
      <w:hyperlink r:id="rId5272">
        <w:r>
          <w:rPr>
            <w:rStyle w:val="Hyperlink"/>
          </w:rPr>
          <w:t xml:space="preserve">https://doi.org/10.1001/2013.jamapsychiatry.4</w:t>
        </w:r>
      </w:hyperlink>
      <w:r>
        <w:t xml:space="preserve">（研究类型：双盲安慰剂概念验证）</w:t>
      </w:r>
    </w:p>
    <w:p>
      <w:pPr>
        <w:pStyle w:val="ReferenceEntry"/>
      </w:pPr>
      <w:bookmarkStart w:id="5273" w:name="ref-1339"/>
      <w:r>
        <w:t xml:space="preserve">[1339]</w:t>
      </w:r>
      <w:bookmarkEnd w:id="5273"/>
      <w:r>
        <w:t xml:space="preserve"> O’Connell KS, Koromina M, van der Veen T, Boltz T, David FS, Yang JMK, et al. Genomics yields biological and phenotypic insights into bipolar disorder.</w:t>
      </w:r>
      <w:r>
        <w:t xml:space="preserve"> </w:t>
      </w:r>
      <w:r>
        <w:rPr>
          <w:iCs/>
          <w:i/>
        </w:rPr>
        <w:t xml:space="preserve">Nature</w:t>
      </w:r>
      <w:r>
        <w:t xml:space="preserve">. 2025;639(8056):968–975.</w:t>
      </w:r>
      <w:r>
        <w:t xml:space="preserve"> </w:t>
      </w:r>
      <w:hyperlink r:id="rId5274">
        <w:r>
          <w:rPr>
            <w:rStyle w:val="Hyperlink"/>
          </w:rPr>
          <w:t xml:space="preserve">https://doi.org/10.1038/s41586-024-08468-9</w:t>
        </w:r>
      </w:hyperlink>
      <w:r>
        <w:t xml:space="preserve">（研究类型：多祖源GWAS及功能整合）</w:t>
      </w:r>
    </w:p>
    <w:p>
      <w:pPr>
        <w:pStyle w:val="ReferenceEntry"/>
      </w:pPr>
      <w:bookmarkStart w:id="5275" w:name="ref-1340"/>
      <w:r>
        <w:t xml:space="preserve">[1340]</w:t>
      </w:r>
      <w:bookmarkEnd w:id="5275"/>
      <w:r>
        <w:t xml:space="preserve"> Adams MJ, Streit F, Meng X, Awasthi S, Adey BN, Choi KW, et al. Trans ancestry genome wide study of depression identifies 697 associations implicating cell types and pharmacotherapies.</w:t>
      </w:r>
      <w:r>
        <w:t xml:space="preserve"> </w:t>
      </w:r>
      <w:r>
        <w:rPr>
          <w:iCs/>
          <w:i/>
        </w:rPr>
        <w:t xml:space="preserve">Cell</w:t>
      </w:r>
      <w:r>
        <w:t xml:space="preserve">. 2025;188(3):640–652.e9.</w:t>
      </w:r>
      <w:r>
        <w:t xml:space="preserve"> </w:t>
      </w:r>
      <w:hyperlink r:id="rId5276">
        <w:r>
          <w:rPr>
            <w:rStyle w:val="Hyperlink"/>
          </w:rPr>
          <w:t xml:space="preserve">https://doi.org/10.1016/j.cell.2024.12.002</w:t>
        </w:r>
      </w:hyperlink>
      <w:r>
        <w:t xml:space="preserve">（研究类型：跨祖源GWAS）</w:t>
      </w:r>
    </w:p>
    <w:p>
      <w:pPr>
        <w:pStyle w:val="ReferenceEntry"/>
      </w:pPr>
      <w:bookmarkStart w:id="5277" w:name="ref-1341"/>
      <w:r>
        <w:t xml:space="preserve">[1341]</w:t>
      </w:r>
      <w:bookmarkEnd w:id="5277"/>
      <w:r>
        <w:t xml:space="preserve"> Harmer CJ, Duman RS, Cowen PJ. How do antidepressants work New perspectives for refining future treatment approaches.</w:t>
      </w:r>
      <w:r>
        <w:t xml:space="preserve"> </w:t>
      </w:r>
      <w:r>
        <w:rPr>
          <w:iCs/>
          <w:i/>
        </w:rPr>
        <w:t xml:space="preserve">The Lancet Psychiatry</w:t>
      </w:r>
      <w:r>
        <w:t xml:space="preserve">. 2017;4(5):409–418.</w:t>
      </w:r>
      <w:r>
        <w:t xml:space="preserve"> </w:t>
      </w:r>
      <w:hyperlink r:id="rId5278">
        <w:r>
          <w:rPr>
            <w:rStyle w:val="Hyperlink"/>
          </w:rPr>
          <w:t xml:space="preserve">https://doi.org/10.1016/S2215-0366(17)30015-9</w:t>
        </w:r>
      </w:hyperlink>
      <w:r>
        <w:t xml:space="preserve">（研究类型：机制证据综述）</w:t>
      </w:r>
    </w:p>
    <w:p>
      <w:pPr>
        <w:pStyle w:val="ReferenceEntry"/>
      </w:pPr>
      <w:bookmarkStart w:id="5279" w:name="ref-1342"/>
      <w:r>
        <w:t xml:space="preserve">[1342]</w:t>
      </w:r>
      <w:bookmarkEnd w:id="5279"/>
      <w:r>
        <w:t xml:space="preserve"> Keramatian K, Chithra NK, Yatham LN. The CANMAT and ISBD Guidelines for the Treatment of Bipolar Disorder Summary and a 2023 Update of Evidence.</w:t>
      </w:r>
      <w:r>
        <w:t xml:space="preserve"> </w:t>
      </w:r>
      <w:r>
        <w:rPr>
          <w:iCs/>
          <w:i/>
        </w:rPr>
        <w:t xml:space="preserve">Focus</w:t>
      </w:r>
      <w:r>
        <w:t xml:space="preserve">. 2023;21(4):344–353.</w:t>
      </w:r>
      <w:r>
        <w:t xml:space="preserve"> </w:t>
      </w:r>
      <w:hyperlink r:id="rId5280">
        <w:r>
          <w:rPr>
            <w:rStyle w:val="Hyperlink"/>
          </w:rPr>
          <w:t xml:space="preserve">https://doi.org/10.1176/appi.focus.20230009</w:t>
        </w:r>
      </w:hyperlink>
      <w:r>
        <w:t xml:space="preserve">（研究类型：指南总结和证据更新）</w:t>
      </w:r>
    </w:p>
    <w:p>
      <w:pPr>
        <w:pStyle w:val="ReferenceEntry"/>
      </w:pPr>
      <w:bookmarkStart w:id="5281" w:name="ref-1343"/>
      <w:r>
        <w:t xml:space="preserve">[1343]</w:t>
      </w:r>
      <w:bookmarkEnd w:id="5281"/>
      <w:r>
        <w:t xml:space="preserve"> Li N, Lee B, Liu RJ, Banasr M, Dwyer JM, Iwata M, et al. mTOR dependent synapse formation underlies the rapid antidepressant effects of NMDA antagonists.</w:t>
      </w:r>
      <w:r>
        <w:t xml:space="preserve"> </w:t>
      </w:r>
      <w:r>
        <w:rPr>
          <w:iCs/>
          <w:i/>
        </w:rPr>
        <w:t xml:space="preserve">Science</w:t>
      </w:r>
      <w:r>
        <w:t xml:space="preserve">. 2010;329(5994):959–964.</w:t>
      </w:r>
      <w:r>
        <w:t xml:space="preserve"> </w:t>
      </w:r>
      <w:hyperlink r:id="rId5282">
        <w:r>
          <w:rPr>
            <w:rStyle w:val="Hyperlink"/>
          </w:rPr>
          <w:t xml:space="preserve">https://doi.org/10.1126/science.1190287</w:t>
        </w:r>
      </w:hyperlink>
      <w:r>
        <w:t xml:space="preserve">（研究类型：大鼠分子突触行为实验）</w:t>
      </w:r>
    </w:p>
    <w:p>
      <w:pPr>
        <w:pStyle w:val="ReferenceEntry"/>
      </w:pPr>
      <w:bookmarkStart w:id="5283" w:name="ref-1344"/>
      <w:r>
        <w:t xml:space="preserve">[1344]</w:t>
      </w:r>
      <w:bookmarkEnd w:id="5283"/>
      <w:r>
        <w:t xml:space="preserve"> Anand A, Mathew SJ, Sanacora G, Murrough JW, Goes FS, Altinay M, et al. Ketamine versus ECT for Nonpsychotic Treatment Resistant Major Depression.</w:t>
      </w:r>
      <w:r>
        <w:t xml:space="preserve"> </w:t>
      </w:r>
      <w:r>
        <w:rPr>
          <w:iCs/>
          <w:i/>
        </w:rPr>
        <w:t xml:space="preserve">New England Journal of Medicine</w:t>
      </w:r>
      <w:r>
        <w:t xml:space="preserve">. 2023;388(25):2315–2325.</w:t>
      </w:r>
      <w:r>
        <w:t xml:space="preserve"> </w:t>
      </w:r>
      <w:hyperlink r:id="rId5284">
        <w:r>
          <w:rPr>
            <w:rStyle w:val="Hyperlink"/>
          </w:rPr>
          <w:t xml:space="preserve">https://doi.org/10.1056/NEJMoa2302399</w:t>
        </w:r>
      </w:hyperlink>
      <w:r>
        <w:t xml:space="preserve">（研究类型：开放随机非劣效）</w:t>
      </w:r>
    </w:p>
    <w:p>
      <w:pPr>
        <w:pStyle w:val="ReferenceEntry"/>
      </w:pPr>
      <w:bookmarkStart w:id="5285" w:name="ref-1345"/>
      <w:r>
        <w:t xml:space="preserve">[1345]</w:t>
      </w:r>
      <w:bookmarkEnd w:id="5285"/>
      <w:r>
        <w:t xml:space="preserve"> Blumberger DM, Vila-Rodriguez F, Thorpe KE, Feffer K, Noda Y, Giacobbe P, et al. Effectiveness of theta burst versus high frequency repetitive transcranial magnetic stimulation in patients with depression THREE D a randomised non inferiority trial.</w:t>
      </w:r>
      <w:r>
        <w:t xml:space="preserve"> </w:t>
      </w:r>
      <w:r>
        <w:rPr>
          <w:iCs/>
          <w:i/>
        </w:rPr>
        <w:t xml:space="preserve">The Lancet</w:t>
      </w:r>
      <w:r>
        <w:t xml:space="preserve">. 2018;391(10131):1683–1692.</w:t>
      </w:r>
      <w:r>
        <w:t xml:space="preserve"> </w:t>
      </w:r>
      <w:hyperlink r:id="rId5286">
        <w:r>
          <w:rPr>
            <w:rStyle w:val="Hyperlink"/>
          </w:rPr>
          <w:t xml:space="preserve">https://doi.org/10.1016/S0140-6736(18)30295-2</w:t>
        </w:r>
      </w:hyperlink>
      <w:r>
        <w:t xml:space="preserve">（研究类型：随机非劣效）</w:t>
      </w:r>
    </w:p>
    <w:p>
      <w:pPr>
        <w:pStyle w:val="ReferenceEntry"/>
      </w:pPr>
      <w:bookmarkStart w:id="5287" w:name="ref-1346"/>
      <w:r>
        <w:t xml:space="preserve">[1346]</w:t>
      </w:r>
      <w:bookmarkEnd w:id="5287"/>
      <w:r>
        <w:t xml:space="preserve"> Lancet. Department of Error.</w:t>
      </w:r>
      <w:r>
        <w:t xml:space="preserve"> </w:t>
      </w:r>
      <w:r>
        <w:rPr>
          <w:iCs/>
          <w:i/>
        </w:rPr>
        <w:t xml:space="preserve">The Lancet</w:t>
      </w:r>
      <w:r>
        <w:t xml:space="preserve">. 2018;391(10139):e24.</w:t>
      </w:r>
      <w:r>
        <w:t xml:space="preserve"> </w:t>
      </w:r>
      <w:hyperlink r:id="rId5288">
        <w:r>
          <w:rPr>
            <w:rStyle w:val="Hyperlink"/>
          </w:rPr>
          <w:t xml:space="preserve">https://doi.org/10.1016/S0140-6736(18)31323-0</w:t>
        </w:r>
      </w:hyperlink>
      <w:r>
        <w:t xml:space="preserve">（研究类型：正式更正）</w:t>
      </w:r>
    </w:p>
    <w:p>
      <w:pPr>
        <w:pStyle w:val="ReferenceEntry"/>
      </w:pPr>
      <w:bookmarkStart w:id="5289" w:name="ref-1347"/>
      <w:r>
        <w:t xml:space="preserve">[1347]</w:t>
      </w:r>
      <w:bookmarkEnd w:id="5289"/>
      <w:r>
        <w:t xml:space="preserve"> Goodwin GM, Aaronson ST, Alvarez O, Arden PC, Baker A, Bennett JC, et al. Single Dose Psilocybin for a Treatment Resistant Episode of Major Depression.</w:t>
      </w:r>
      <w:r>
        <w:t xml:space="preserve"> </w:t>
      </w:r>
      <w:r>
        <w:rPr>
          <w:iCs/>
          <w:i/>
        </w:rPr>
        <w:t xml:space="preserve">New England Journal of Medicine</w:t>
      </w:r>
      <w:r>
        <w:t xml:space="preserve">. 2022;387(18):1637–1648.</w:t>
      </w:r>
      <w:r>
        <w:t xml:space="preserve"> </w:t>
      </w:r>
      <w:hyperlink r:id="rId5290">
        <w:r>
          <w:rPr>
            <w:rStyle w:val="Hyperlink"/>
          </w:rPr>
          <w:t xml:space="preserve">https://doi.org/10.1056/NEJMoa2206443</w:t>
        </w:r>
      </w:hyperlink>
      <w:r>
        <w:t xml:space="preserve">（研究类型：二期随机剂量对照加心理支持）</w:t>
      </w:r>
    </w:p>
    <w:p>
      <w:pPr>
        <w:pStyle w:val="ReferenceEntry"/>
      </w:pPr>
      <w:bookmarkStart w:id="5291" w:name="ref-1348"/>
      <w:r>
        <w:t xml:space="preserve">[1348]</w:t>
      </w:r>
      <w:bookmarkEnd w:id="5291"/>
      <w:r>
        <w:t xml:space="preserve"> Henssler J, Schmidt Y, Schmidt U, Schwarzer G, Bschor T, Baethge C. Incidence of antidepressant discontinuation symptoms a systematic review and meta analysis.</w:t>
      </w:r>
      <w:r>
        <w:t xml:space="preserve"> </w:t>
      </w:r>
      <w:r>
        <w:rPr>
          <w:iCs/>
          <w:i/>
        </w:rPr>
        <w:t xml:space="preserve">The Lancet Psychiatry</w:t>
      </w:r>
      <w:r>
        <w:t xml:space="preserve">. 2024;11(7):526–535.</w:t>
      </w:r>
      <w:r>
        <w:t xml:space="preserve"> </w:t>
      </w:r>
      <w:hyperlink r:id="rId5292">
        <w:r>
          <w:rPr>
            <w:rStyle w:val="Hyperlink"/>
          </w:rPr>
          <w:t xml:space="preserve">https://doi.org/10.1016/S2215-0366(24)00133-0</w:t>
        </w:r>
      </w:hyperlink>
      <w:r>
        <w:t xml:space="preserve">（研究类型：系统综述元分析）</w:t>
      </w:r>
    </w:p>
    <w:p>
      <w:pPr>
        <w:pStyle w:val="ReferenceEntry"/>
      </w:pPr>
      <w:bookmarkStart w:id="5293" w:name="ref-1349"/>
      <w:r>
        <w:t xml:space="preserve">[1349]</w:t>
      </w:r>
      <w:bookmarkEnd w:id="5293"/>
      <w:r>
        <w:t xml:space="preserve"> Lancet Psychiatry. Correction to Lancet Psychiatry 2024 11 526 35.</w:t>
      </w:r>
      <w:r>
        <w:t xml:space="preserve"> </w:t>
      </w:r>
      <w:r>
        <w:rPr>
          <w:iCs/>
          <w:i/>
        </w:rPr>
        <w:t xml:space="preserve">The Lancet Psychiatry</w:t>
      </w:r>
      <w:r>
        <w:t xml:space="preserve">. 2024;11(9):e11.</w:t>
      </w:r>
      <w:r>
        <w:t xml:space="preserve"> </w:t>
      </w:r>
      <w:hyperlink r:id="rId5294">
        <w:r>
          <w:rPr>
            <w:rStyle w:val="Hyperlink"/>
          </w:rPr>
          <w:t xml:space="preserve">https://doi.org/10.1016/S2215-0366(24)00253-0</w:t>
        </w:r>
      </w:hyperlink>
      <w:r>
        <w:t xml:space="preserve">（研究类型：正式更正）</w:t>
      </w:r>
    </w:p>
    <w:p>
      <w:pPr>
        <w:pStyle w:val="ReferenceEntry"/>
      </w:pPr>
      <w:bookmarkStart w:id="5295" w:name="ref-1350"/>
      <w:r>
        <w:t xml:space="preserve">[1350]</w:t>
      </w:r>
      <w:bookmarkEnd w:id="5295"/>
      <w:r>
        <w:t xml:space="preserve"> Kalfas M, Tsapekos D, Butler M, McCutcheon RA, Pillinger T, Strawbridge R, et al. Incidence and Nature of Antidepressant Discontinuation Symptoms A Systematic Review and Meta Analysis.</w:t>
      </w:r>
      <w:r>
        <w:t xml:space="preserve"> </w:t>
      </w:r>
      <w:r>
        <w:rPr>
          <w:iCs/>
          <w:i/>
        </w:rPr>
        <w:t xml:space="preserve">JAMA Psychiatry</w:t>
      </w:r>
      <w:r>
        <w:t xml:space="preserve">. 2025;82(9):896.</w:t>
      </w:r>
      <w:r>
        <w:t xml:space="preserve"> </w:t>
      </w:r>
      <w:hyperlink r:id="rId5296">
        <w:r>
          <w:rPr>
            <w:rStyle w:val="Hyperlink"/>
          </w:rPr>
          <w:t xml:space="preserve">https://doi.org/10.1001/jamapsychiatry.2025.1362</w:t>
        </w:r>
      </w:hyperlink>
      <w:r>
        <w:t xml:space="preserve">（研究类型：随机试验系统综述）</w:t>
      </w:r>
    </w:p>
    <w:p>
      <w:pPr>
        <w:pStyle w:val="ReferenceEntry"/>
      </w:pPr>
      <w:bookmarkStart w:id="5297" w:name="ref-1351"/>
      <w:r>
        <w:t xml:space="preserve">[1351]</w:t>
      </w:r>
      <w:bookmarkEnd w:id="5297"/>
      <w:r>
        <w:t xml:space="preserve"> The Pharmacogenomics of Bipolar Disorder Study, Mertens J, Wang QW, Kim Y, Yu DX, Pham S, et al. Differential responses to lithium in hyperexcitable neurons from patients with bipolar disorder.</w:t>
      </w:r>
      <w:r>
        <w:t xml:space="preserve"> </w:t>
      </w:r>
      <w:r>
        <w:rPr>
          <w:iCs/>
          <w:i/>
        </w:rPr>
        <w:t xml:space="preserve">Nature</w:t>
      </w:r>
      <w:r>
        <w:t xml:space="preserve">. 2015;527(7576):95–99.</w:t>
      </w:r>
      <w:r>
        <w:t xml:space="preserve"> </w:t>
      </w:r>
      <w:hyperlink r:id="rId5298">
        <w:r>
          <w:rPr>
            <w:rStyle w:val="Hyperlink"/>
          </w:rPr>
          <w:t xml:space="preserve">https://doi.org/10.1038/nature15526</w:t>
        </w:r>
      </w:hyperlink>
      <w:r>
        <w:t xml:space="preserve">（研究类型：患者来源iPSC分化神经元）</w:t>
      </w:r>
    </w:p>
    <w:p>
      <w:pPr>
        <w:pStyle w:val="ReferenceEntry"/>
      </w:pPr>
      <w:bookmarkStart w:id="5299" w:name="ref-1352"/>
      <w:r>
        <w:t xml:space="preserve">[1352]</w:t>
      </w:r>
      <w:bookmarkEnd w:id="5299"/>
      <w:r>
        <w:t xml:space="preserve"> The Pharmacogenomics of Bipolar Disorder Study, Mertens J, Wang QW, Kim Y, Yu DX, Pham S, et al. Erratum Differential responses to lithium in hyperexcitable neurons from patients with bipolar disorder.</w:t>
      </w:r>
      <w:r>
        <w:t xml:space="preserve"> </w:t>
      </w:r>
      <w:r>
        <w:rPr>
          <w:iCs/>
          <w:i/>
        </w:rPr>
        <w:t xml:space="preserve">Nature</w:t>
      </w:r>
      <w:r>
        <w:t xml:space="preserve">. 2016;530(7589):242–242.</w:t>
      </w:r>
      <w:r>
        <w:t xml:space="preserve"> </w:t>
      </w:r>
      <w:hyperlink r:id="rId5300">
        <w:r>
          <w:rPr>
            <w:rStyle w:val="Hyperlink"/>
          </w:rPr>
          <w:t xml:space="preserve">https://doi.org/10.1038/nature16182</w:t>
        </w:r>
      </w:hyperlink>
      <w:r>
        <w:t xml:space="preserve">（研究类型：正式更正）</w:t>
      </w:r>
    </w:p>
    <w:p>
      <w:pPr>
        <w:pStyle w:val="ReferenceEntry"/>
      </w:pPr>
      <w:bookmarkStart w:id="5301" w:name="ref-1353"/>
      <w:r>
        <w:t xml:space="preserve">[1353]</w:t>
      </w:r>
      <w:bookmarkEnd w:id="5301"/>
      <w:r>
        <w:t xml:space="preserve"> BALANCE investigators and collaborators. Lithium plus valproate combination therapy versus monotherapy for relapse prevention in bipolar I disorder BALANCE a randomised open label trial.</w:t>
      </w:r>
      <w:r>
        <w:t xml:space="preserve"> </w:t>
      </w:r>
      <w:r>
        <w:rPr>
          <w:iCs/>
          <w:i/>
        </w:rPr>
        <w:t xml:space="preserve">The Lancet</w:t>
      </w:r>
      <w:r>
        <w:t xml:space="preserve">. 2010;375(9712):385–395.</w:t>
      </w:r>
      <w:r>
        <w:t xml:space="preserve"> </w:t>
      </w:r>
      <w:hyperlink r:id="rId5302">
        <w:r>
          <w:rPr>
            <w:rStyle w:val="Hyperlink"/>
          </w:rPr>
          <w:t xml:space="preserve">https://doi.org/10.1016/S0140-6736(09)61828-6</w:t>
        </w:r>
      </w:hyperlink>
      <w:r>
        <w:t xml:space="preserve">（研究类型：开放随机三组）</w:t>
      </w:r>
    </w:p>
    <w:p>
      <w:pPr>
        <w:pStyle w:val="ReferenceEntry"/>
      </w:pPr>
      <w:bookmarkStart w:id="5303" w:name="ref-1354"/>
      <w:r>
        <w:t xml:space="preserve">[1354]</w:t>
      </w:r>
      <w:bookmarkEnd w:id="5303"/>
      <w:r>
        <w:t xml:space="preserve"> Nabi Z, Stansfeld J, Plöderl M, Wood L, Moncrieff J. Effects of lithium on suicide and suicidal behaviour a systematic review and meta analysis of randomised trials.</w:t>
      </w:r>
      <w:r>
        <w:t xml:space="preserve"> </w:t>
      </w:r>
      <w:r>
        <w:rPr>
          <w:iCs/>
          <w:i/>
        </w:rPr>
        <w:t xml:space="preserve">Epidemiology and Psychiatric Sciences</w:t>
      </w:r>
      <w:r>
        <w:t xml:space="preserve">. 2022;31:e65.</w:t>
      </w:r>
      <w:r>
        <w:t xml:space="preserve"> </w:t>
      </w:r>
      <w:hyperlink r:id="rId5304">
        <w:r>
          <w:rPr>
            <w:rStyle w:val="Hyperlink"/>
          </w:rPr>
          <w:t xml:space="preserve">https://doi.org/10.1017/S204579602200049X</w:t>
        </w:r>
      </w:hyperlink>
      <w:r>
        <w:t xml:space="preserve">（研究类型：随机试验系统综述）</w:t>
      </w:r>
    </w:p>
    <w:p>
      <w:pPr>
        <w:pStyle w:val="ReferenceEntry"/>
      </w:pPr>
      <w:bookmarkStart w:id="5305" w:name="ref-1355"/>
      <w:r>
        <w:t xml:space="preserve">[1355]</w:t>
      </w:r>
      <w:bookmarkEnd w:id="5305"/>
      <w:r>
        <w:t xml:space="preserve"> Deligiannidis KM, Meltzer-Brody S, Maximos B, Peeper EQ, Freeman M, Lasser R, et al. Zuranolone for the Treatment of Postpartum Depression.</w:t>
      </w:r>
      <w:r>
        <w:t xml:space="preserve"> </w:t>
      </w:r>
      <w:r>
        <w:rPr>
          <w:iCs/>
          <w:i/>
        </w:rPr>
        <w:t xml:space="preserve">American Journal of Psychiatry</w:t>
      </w:r>
      <w:r>
        <w:t xml:space="preserve">. 2023;180(9):668–675.</w:t>
      </w:r>
      <w:r>
        <w:t xml:space="preserve"> </w:t>
      </w:r>
      <w:hyperlink r:id="rId5306">
        <w:r>
          <w:rPr>
            <w:rStyle w:val="Hyperlink"/>
          </w:rPr>
          <w:t xml:space="preserve">https://doi.org/10.1176/appi.ajp.20220785</w:t>
        </w:r>
      </w:hyperlink>
      <w:r>
        <w:t xml:space="preserve">（研究类型：随机安慰剂）</w:t>
      </w:r>
    </w:p>
    <w:p>
      <w:pPr>
        <w:pStyle w:val="ReferenceEntry"/>
      </w:pPr>
      <w:bookmarkStart w:id="5307" w:name="ref-1356"/>
      <w:r>
        <w:t xml:space="preserve">[1356]</w:t>
      </w:r>
      <w:bookmarkEnd w:id="5307"/>
      <w:r>
        <w:t xml:space="preserve"> US FDA DailyMed. ZURZUVAE zuranolone prescribing information. 2026.</w:t>
      </w:r>
      <w:r>
        <w:t xml:space="preserve"> </w:t>
      </w:r>
      <w:hyperlink r:id="rId5308">
        <w:r>
          <w:rPr>
            <w:rStyle w:val="Hyperlink"/>
          </w:rPr>
          <w:t xml:space="preserve">https://dailymed.nlm.nih.gov/dailymed/fda/fdaDrugXsl.cfm?setid=f18e53b0-d0bb-422d-8de7-ab64b7292b29</w:t>
        </w:r>
      </w:hyperlink>
      <w:r>
        <w:t xml:space="preserve">（研究类型：现行药品标示）</w:t>
      </w:r>
    </w:p>
    <w:p>
      <w:pPr>
        <w:pStyle w:val="ReferenceEntry"/>
      </w:pPr>
      <w:bookmarkStart w:id="5309" w:name="ref-1357"/>
      <w:r>
        <w:t xml:space="preserve">[1357]</w:t>
      </w:r>
      <w:bookmarkEnd w:id="5309"/>
      <w:r>
        <w:t xml:space="preserve"> NICE. Self harm assessment management and preventing recurrence NG225. 2022.</w:t>
      </w:r>
      <w:r>
        <w:t xml:space="preserve"> </w:t>
      </w:r>
      <w:hyperlink r:id="rId5310">
        <w:r>
          <w:rPr>
            <w:rStyle w:val="Hyperlink"/>
          </w:rPr>
          <w:t xml:space="preserve">https://www.nice.org.uk/guidance/ng225/chapter/recommendations</w:t>
        </w:r>
      </w:hyperlink>
      <w:r>
        <w:t xml:space="preserve">（研究类型：官方循证指南）</w:t>
      </w:r>
    </w:p>
    <w:p>
      <w:pPr>
        <w:pStyle w:val="ReferenceEntry"/>
      </w:pPr>
      <w:bookmarkStart w:id="5311" w:name="ref-1358"/>
      <w:r>
        <w:t xml:space="preserve">[1358]</w:t>
      </w:r>
      <w:bookmarkEnd w:id="5311"/>
      <w:r>
        <w:t xml:space="preserve"> NICE. Generalised anxiety disorder and panic disorder in adults management CG113. 2011.</w:t>
      </w:r>
      <w:r>
        <w:t xml:space="preserve"> </w:t>
      </w:r>
      <w:hyperlink r:id="rId5312">
        <w:r>
          <w:rPr>
            <w:rStyle w:val="Hyperlink"/>
          </w:rPr>
          <w:t xml:space="preserve">https://www.nice.org.uk/guidance/cg113/chapter/recommendations</w:t>
        </w:r>
      </w:hyperlink>
      <w:r>
        <w:t xml:space="preserve">（研究类型：现行官方循证指南）</w:t>
      </w:r>
    </w:p>
    <w:p>
      <w:pPr>
        <w:pStyle w:val="ReferenceEntry"/>
      </w:pPr>
      <w:bookmarkStart w:id="5313" w:name="ref-1359"/>
      <w:r>
        <w:t xml:space="preserve">[1359]</w:t>
      </w:r>
      <w:bookmarkEnd w:id="5313"/>
      <w:r>
        <w:t xml:space="preserve"> NICE. Social anxiety disorder recognition assessment and treatment CG159. 2013.</w:t>
      </w:r>
      <w:r>
        <w:t xml:space="preserve"> </w:t>
      </w:r>
      <w:hyperlink r:id="rId5314">
        <w:r>
          <w:rPr>
            <w:rStyle w:val="Hyperlink"/>
          </w:rPr>
          <w:t xml:space="preserve">https://www.nice.org.uk/Guidance/CG159/chapter/recommendations</w:t>
        </w:r>
      </w:hyperlink>
      <w:r>
        <w:t xml:space="preserve">（研究类型：官方现行指南2024监察）</w:t>
      </w:r>
    </w:p>
    <w:p>
      <w:pPr>
        <w:pStyle w:val="ReferenceEntry"/>
      </w:pPr>
      <w:bookmarkStart w:id="5315" w:name="ref-1360"/>
      <w:r>
        <w:t xml:space="preserve">[1360]</w:t>
      </w:r>
      <w:bookmarkEnd w:id="5315"/>
      <w:r>
        <w:t xml:space="preserve"> Craske MG, Treanor M, Conway CC, Zbozinek T, Vervliet B. Maximizing exposure therapy an inhibitory learning approach.</w:t>
      </w:r>
      <w:r>
        <w:t xml:space="preserve"> </w:t>
      </w:r>
      <w:r>
        <w:rPr>
          <w:iCs/>
          <w:i/>
        </w:rPr>
        <w:t xml:space="preserve">Behaviour Research and Therapy</w:t>
      </w:r>
      <w:r>
        <w:t xml:space="preserve">. 2014;58:10–23.</w:t>
      </w:r>
      <w:r>
        <w:t xml:space="preserve"> </w:t>
      </w:r>
      <w:hyperlink r:id="rId5316">
        <w:r>
          <w:rPr>
            <w:rStyle w:val="Hyperlink"/>
          </w:rPr>
          <w:t xml:space="preserve">https://doi.org/10.1016/j.brat.2014.04.006</w:t>
        </w:r>
      </w:hyperlink>
      <w:r>
        <w:t xml:space="preserve">（研究类型：学习机制转化框架）</w:t>
      </w:r>
    </w:p>
    <w:p>
      <w:pPr>
        <w:pStyle w:val="ReferenceEntry"/>
      </w:pPr>
      <w:bookmarkStart w:id="5317" w:name="ref-1361"/>
      <w:r>
        <w:t xml:space="preserve">[1361]</w:t>
      </w:r>
      <w:bookmarkEnd w:id="5317"/>
      <w:r>
        <w:t xml:space="preserve"> NICE. Post-traumatic stress disorder NG116. 2018.</w:t>
      </w:r>
      <w:r>
        <w:t xml:space="preserve"> </w:t>
      </w:r>
      <w:hyperlink r:id="rId5318">
        <w:r>
          <w:rPr>
            <w:rStyle w:val="Hyperlink"/>
          </w:rPr>
          <w:t xml:space="preserve">https://www.nice.org.uk/guidance/ng116/chapter/recommendations</w:t>
        </w:r>
      </w:hyperlink>
      <w:r>
        <w:t xml:space="preserve">（研究类型：临床指南）</w:t>
      </w:r>
    </w:p>
    <w:p>
      <w:pPr>
        <w:pStyle w:val="ReferenceEntry"/>
      </w:pPr>
      <w:bookmarkStart w:id="5319" w:name="ref-1362"/>
      <w:r>
        <w:t xml:space="preserve">[1362]</w:t>
      </w:r>
      <w:bookmarkEnd w:id="5319"/>
      <w:r>
        <w:t xml:space="preserve"> Papola D, Miguel C, Mazzaglia M, Franco P, Tedeschi F, Romero SA, et al. Psychotherapies for Generalized Anxiety Disorder in Adults A Systematic Review and Network Meta-Analysis of Randomized Clinical Trials.</w:t>
      </w:r>
      <w:r>
        <w:t xml:space="preserve"> </w:t>
      </w:r>
      <w:r>
        <w:rPr>
          <w:iCs/>
          <w:i/>
        </w:rPr>
        <w:t xml:space="preserve">JAMA Psychiatry</w:t>
      </w:r>
      <w:r>
        <w:t xml:space="preserve">. 2024;81(3):250.</w:t>
      </w:r>
      <w:r>
        <w:t xml:space="preserve"> </w:t>
      </w:r>
      <w:hyperlink r:id="rId5320">
        <w:r>
          <w:rPr>
            <w:rStyle w:val="Hyperlink"/>
          </w:rPr>
          <w:t xml:space="preserve">https://doi.org/10.1001/jamapsychiatry.2023.3971</w:t>
        </w:r>
      </w:hyperlink>
      <w:r>
        <w:t xml:space="preserve">（研究类型：随机试验网络元分析）</w:t>
      </w:r>
    </w:p>
    <w:p>
      <w:pPr>
        <w:pStyle w:val="ReferenceEntry"/>
      </w:pPr>
      <w:bookmarkStart w:id="5321" w:name="ref-1363"/>
      <w:r>
        <w:t xml:space="preserve">[1363]</w:t>
      </w:r>
      <w:bookmarkEnd w:id="5321"/>
      <w:r>
        <w:t xml:space="preserve"> JAMA Psychiatry. Errors in Network Meta-Analysis.</w:t>
      </w:r>
      <w:r>
        <w:t xml:space="preserve"> </w:t>
      </w:r>
      <w:r>
        <w:rPr>
          <w:iCs/>
          <w:i/>
        </w:rPr>
        <w:t xml:space="preserve">JAMA Psychiatry</w:t>
      </w:r>
      <w:r>
        <w:t xml:space="preserve">. 2024;81(3):320.</w:t>
      </w:r>
      <w:r>
        <w:t xml:space="preserve"> </w:t>
      </w:r>
      <w:hyperlink r:id="rId5322">
        <w:r>
          <w:rPr>
            <w:rStyle w:val="Hyperlink"/>
          </w:rPr>
          <w:t xml:space="preserve">https://doi.org/10.1001/jamapsychiatry.2023.5480</w:t>
        </w:r>
      </w:hyperlink>
      <w:r>
        <w:t xml:space="preserve">（研究类型：C375正式更正）</w:t>
      </w:r>
    </w:p>
    <w:p>
      <w:pPr>
        <w:pStyle w:val="ReferenceEntry"/>
      </w:pPr>
      <w:bookmarkStart w:id="5323" w:name="ref-1364"/>
      <w:r>
        <w:t xml:space="preserve">[1364]</w:t>
      </w:r>
      <w:bookmarkEnd w:id="5323"/>
      <w:r>
        <w:t xml:space="preserve"> Papola D. Errors in Network Meta-Analysis of Generalized Anxiety Disorder Psychotherapies.</w:t>
      </w:r>
      <w:r>
        <w:t xml:space="preserve"> </w:t>
      </w:r>
      <w:r>
        <w:rPr>
          <w:iCs/>
          <w:i/>
        </w:rPr>
        <w:t xml:space="preserve">JAMA Psychiatry</w:t>
      </w:r>
      <w:r>
        <w:t xml:space="preserve">. 2024;81(3):320.</w:t>
      </w:r>
      <w:r>
        <w:t xml:space="preserve"> </w:t>
      </w:r>
      <w:hyperlink r:id="rId5324">
        <w:r>
          <w:rPr>
            <w:rStyle w:val="Hyperlink"/>
          </w:rPr>
          <w:t xml:space="preserve">https://doi.org/10.1001/jamapsychiatry.2023.5364</w:t>
        </w:r>
      </w:hyperlink>
      <w:r>
        <w:t xml:space="preserve">（研究类型：C375作者纠错函）</w:t>
      </w:r>
    </w:p>
    <w:p>
      <w:pPr>
        <w:pStyle w:val="ReferenceEntry"/>
      </w:pPr>
      <w:bookmarkStart w:id="5325" w:name="ref-1365"/>
      <w:r>
        <w:t xml:space="preserve">[1365]</w:t>
      </w:r>
      <w:bookmarkEnd w:id="5325"/>
      <w:r>
        <w:t xml:space="preserve"> US Food and Drug Administration. FDA requiring Boxed Warning updated to improve safe use of benzodiazepine drug class. 2020.</w:t>
      </w:r>
      <w:r>
        <w:t xml:space="preserve"> </w:t>
      </w:r>
      <w:hyperlink r:id="rId5326">
        <w:r>
          <w:rPr>
            <w:rStyle w:val="Hyperlink"/>
          </w:rPr>
          <w:t xml:space="preserve">https://www.fda.gov/drugs/drug-safety-and-availability/fda-requiring-boxed-warning-updated-improve-safe-use-benzodiazepine-drug-class</w:t>
        </w:r>
      </w:hyperlink>
      <w:r>
        <w:t xml:space="preserve">（研究类型：官方药品安全通报）</w:t>
      </w:r>
    </w:p>
    <w:p>
      <w:pPr>
        <w:pStyle w:val="ReferenceEntry"/>
      </w:pPr>
      <w:bookmarkStart w:id="5327" w:name="ref-1366"/>
      <w:r>
        <w:t xml:space="preserve">[1366]</w:t>
      </w:r>
      <w:bookmarkEnd w:id="5327"/>
      <w:r>
        <w:t xml:space="preserve"> Walkup JT, Albano AM, Piacentini J, Birmaher B, Compton SN, Sherrill JT, et al. Cognitive behavioral therapy sertraline or a combination in childhood anxiety.</w:t>
      </w:r>
      <w:r>
        <w:t xml:space="preserve"> </w:t>
      </w:r>
      <w:r>
        <w:rPr>
          <w:iCs/>
          <w:i/>
        </w:rPr>
        <w:t xml:space="preserve">New England Journal of Medicine</w:t>
      </w:r>
      <w:r>
        <w:t xml:space="preserve">. 2008;359(26):2753–2766.</w:t>
      </w:r>
      <w:r>
        <w:t xml:space="preserve"> </w:t>
      </w:r>
      <w:hyperlink r:id="rId5328">
        <w:r>
          <w:rPr>
            <w:rStyle w:val="Hyperlink"/>
          </w:rPr>
          <w:t xml:space="preserve">https://doi.org/10.1056/NEJMoa0804633</w:t>
        </w:r>
      </w:hyperlink>
      <w:r>
        <w:t xml:space="preserve">（研究类型：随机四组试验CAMS）</w:t>
      </w:r>
    </w:p>
    <w:p>
      <w:pPr>
        <w:pStyle w:val="ReferenceEntry"/>
      </w:pPr>
      <w:bookmarkStart w:id="5329" w:name="ref-1367"/>
      <w:r>
        <w:t xml:space="preserve">[1367]</w:t>
      </w:r>
      <w:bookmarkEnd w:id="5329"/>
      <w:r>
        <w:t xml:space="preserve"> National Institute of Mental Health. Obsessive Compulsive Disorder When Unwanted Thoughts or Repetitive Behaviors Take Over. 2026.</w:t>
      </w:r>
      <w:r>
        <w:t xml:space="preserve"> </w:t>
      </w:r>
      <w:hyperlink r:id="rId5330">
        <w:r>
          <w:rPr>
            <w:rStyle w:val="Hyperlink"/>
          </w:rPr>
          <w:t xml:space="preserve">https://www.nimh.nih.gov/health/publications/obsessive-compulsive-disorder-when-unwanted-thoughts-or-repetitive-behaviors-take-over</w:t>
        </w:r>
      </w:hyperlink>
      <w:r>
        <w:t xml:space="preserve">（研究类型：2026读取官方说明）</w:t>
      </w:r>
    </w:p>
    <w:p>
      <w:pPr>
        <w:pStyle w:val="ReferenceEntry"/>
      </w:pPr>
      <w:bookmarkStart w:id="5331" w:name="ref-1368"/>
      <w:r>
        <w:t xml:space="preserve">[1368]</w:t>
      </w:r>
      <w:bookmarkEnd w:id="5331"/>
      <w:r>
        <w:t xml:space="preserve"> Gillan CM, Papmeyer M, Morein-Zamir S, Sahakian BJ, Fineberg NA, Robbins TW, et al. Disruption in the balance between goal-directed behavior and habit learning in obsessive-compulsive disorder.</w:t>
      </w:r>
      <w:r>
        <w:t xml:space="preserve"> </w:t>
      </w:r>
      <w:r>
        <w:rPr>
          <w:iCs/>
          <w:i/>
        </w:rPr>
        <w:t xml:space="preserve">American Journal of Psychiatry</w:t>
      </w:r>
      <w:r>
        <w:t xml:space="preserve">. 2011;168(7):718–726.</w:t>
      </w:r>
      <w:r>
        <w:t xml:space="preserve"> </w:t>
      </w:r>
      <w:hyperlink r:id="rId5332">
        <w:r>
          <w:rPr>
            <w:rStyle w:val="Hyperlink"/>
          </w:rPr>
          <w:t xml:space="preserve">https://doi.org/10.1176/appi.ajp.2011.10071062</w:t>
        </w:r>
      </w:hyperlink>
      <w:r>
        <w:t xml:space="preserve">（研究类型：行为学习及结果贬值任务）</w:t>
      </w:r>
    </w:p>
    <w:p>
      <w:pPr>
        <w:pStyle w:val="ReferenceEntry"/>
      </w:pPr>
      <w:bookmarkStart w:id="5333" w:name="ref-1369"/>
      <w:r>
        <w:t xml:space="preserve">[1369]</w:t>
      </w:r>
      <w:bookmarkEnd w:id="5333"/>
      <w:r>
        <w:t xml:space="preserve"> Ahmari SE, Spellman T, Douglass NL, Kheirbek MA, Simpson HB, Deisseroth K, et al. Repeated cortico-striatal stimulation generates persistent OCD-like behavior.</w:t>
      </w:r>
      <w:r>
        <w:t xml:space="preserve"> </w:t>
      </w:r>
      <w:r>
        <w:rPr>
          <w:iCs/>
          <w:i/>
        </w:rPr>
        <w:t xml:space="preserve">Science</w:t>
      </w:r>
      <w:r>
        <w:t xml:space="preserve">. 2013;340(6137):1234–1239.</w:t>
      </w:r>
      <w:r>
        <w:t xml:space="preserve"> </w:t>
      </w:r>
      <w:hyperlink r:id="rId5334">
        <w:r>
          <w:rPr>
            <w:rStyle w:val="Hyperlink"/>
          </w:rPr>
          <w:t xml:space="preserve">https://doi.org/10.1126/science.1234733</w:t>
        </w:r>
      </w:hyperlink>
      <w:r>
        <w:t xml:space="preserve">（研究类型：小鼠重复光遗传操纵）</w:t>
      </w:r>
    </w:p>
    <w:p>
      <w:pPr>
        <w:pStyle w:val="ReferenceEntry"/>
      </w:pPr>
      <w:bookmarkStart w:id="5335" w:name="ref-1370"/>
      <w:r>
        <w:t xml:space="preserve">[1370]</w:t>
      </w:r>
      <w:bookmarkEnd w:id="5335"/>
      <w:r>
        <w:t xml:space="preserve"> Burguière E, Monteiro P, Feng G, Graybiel AM. Optogenetic stimulation of lateral orbitofronto-striatal pathway suppresses compulsive behaviors.</w:t>
      </w:r>
      <w:r>
        <w:t xml:space="preserve"> </w:t>
      </w:r>
      <w:r>
        <w:rPr>
          <w:iCs/>
          <w:i/>
        </w:rPr>
        <w:t xml:space="preserve">Science</w:t>
      </w:r>
      <w:r>
        <w:t xml:space="preserve">. 2013;340(6137):1243–1246.</w:t>
      </w:r>
      <w:r>
        <w:t xml:space="preserve"> </w:t>
      </w:r>
      <w:hyperlink r:id="rId5336">
        <w:r>
          <w:rPr>
            <w:rStyle w:val="Hyperlink"/>
          </w:rPr>
          <w:t xml:space="preserve">https://doi.org/10.1126/science.1232380</w:t>
        </w:r>
      </w:hyperlink>
      <w:r>
        <w:t xml:space="preserve">（研究类型：Sapap3小鼠光遗传回路操纵）</w:t>
      </w:r>
    </w:p>
    <w:p>
      <w:pPr>
        <w:pStyle w:val="ReferenceEntry"/>
      </w:pPr>
      <w:bookmarkStart w:id="5337" w:name="ref-1371"/>
      <w:r>
        <w:t xml:space="preserve">[1371]</w:t>
      </w:r>
      <w:bookmarkEnd w:id="5337"/>
      <w:r>
        <w:t xml:space="preserve"> NICE. Obsessive compulsive disorder and body dysmorphic disorder treatment CG31. 2005.</w:t>
      </w:r>
      <w:r>
        <w:t xml:space="preserve"> </w:t>
      </w:r>
      <w:hyperlink r:id="rId5338">
        <w:r>
          <w:rPr>
            <w:rStyle w:val="Hyperlink"/>
          </w:rPr>
          <w:t xml:space="preserve">https://www.nice.org.uk/guidance/cg31/chapter/Recommendations</w:t>
        </w:r>
      </w:hyperlink>
      <w:r>
        <w:t xml:space="preserve">（研究类型：现行官方指南）</w:t>
      </w:r>
    </w:p>
    <w:p>
      <w:pPr>
        <w:pStyle w:val="ReferenceEntry"/>
      </w:pPr>
      <w:bookmarkStart w:id="5339" w:name="ref-1372"/>
      <w:r>
        <w:t xml:space="preserve">[1372]</w:t>
      </w:r>
      <w:bookmarkEnd w:id="5339"/>
      <w:r>
        <w:t xml:space="preserve"> Simpson HB, Foa EB, Liebowitz MR, Huppert JD, Cahill S, Maher MJ, et al. Cognitive-behavioral therapy vs risperidone for augmenting serotonin reuptake inhibitors in obsessive-compulsive disorder a randomized clinical trial.</w:t>
      </w:r>
      <w:r>
        <w:t xml:space="preserve"> </w:t>
      </w:r>
      <w:r>
        <w:rPr>
          <w:iCs/>
          <w:i/>
        </w:rPr>
        <w:t xml:space="preserve">JAMA Psychiatry</w:t>
      </w:r>
      <w:r>
        <w:t xml:space="preserve">. 2013;70(11):1190.</w:t>
      </w:r>
      <w:r>
        <w:t xml:space="preserve"> </w:t>
      </w:r>
      <w:hyperlink r:id="rId5340">
        <w:r>
          <w:rPr>
            <w:rStyle w:val="Hyperlink"/>
          </w:rPr>
          <w:t xml:space="preserve">https://doi.org/10.1001/jamapsychiatry.2013.1932</w:t>
        </w:r>
      </w:hyperlink>
      <w:r>
        <w:t xml:space="preserve">（研究类型：随机增效试验）</w:t>
      </w:r>
    </w:p>
    <w:p>
      <w:pPr>
        <w:pStyle w:val="ReferenceEntry"/>
      </w:pPr>
      <w:bookmarkStart w:id="5341" w:name="ref-1373"/>
      <w:r>
        <w:t xml:space="preserve">[1373]</w:t>
      </w:r>
      <w:bookmarkEnd w:id="5341"/>
      <w:r>
        <w:t xml:space="preserve"> Pediatric OCD Treatment Study Team. Cognitive-behavior therapy sertraline and their combination for children and adolescents with obsessive-compulsive disorder the Pediatric OCD Treatment Study POTS randomized controlled trial.</w:t>
      </w:r>
      <w:r>
        <w:t xml:space="preserve"> </w:t>
      </w:r>
      <w:r>
        <w:rPr>
          <w:iCs/>
          <w:i/>
        </w:rPr>
        <w:t xml:space="preserve">JAMA</w:t>
      </w:r>
      <w:r>
        <w:t xml:space="preserve">. 2004;292(16):1969.</w:t>
      </w:r>
      <w:r>
        <w:t xml:space="preserve"> </w:t>
      </w:r>
      <w:hyperlink r:id="rId5342">
        <w:r>
          <w:rPr>
            <w:rStyle w:val="Hyperlink"/>
          </w:rPr>
          <w:t xml:space="preserve">https://doi.org/10.1001/jama.292.16.1969</w:t>
        </w:r>
      </w:hyperlink>
      <w:r>
        <w:t xml:space="preserve">（研究类型：随机四组试验）</w:t>
      </w:r>
    </w:p>
    <w:p>
      <w:pPr>
        <w:pStyle w:val="ReferenceEntry"/>
      </w:pPr>
      <w:bookmarkStart w:id="5343" w:name="ref-1374"/>
      <w:r>
        <w:t xml:space="preserve">[1374]</w:t>
      </w:r>
      <w:bookmarkEnd w:id="5343"/>
      <w:r>
        <w:t xml:space="preserve"> American Academy of Pediatrics Board of Directors. Pediatric Acute-Onset Neuropsychiatric Syndrome PANS Clinical Report.</w:t>
      </w:r>
      <w:r>
        <w:t xml:space="preserve"> </w:t>
      </w:r>
      <w:r>
        <w:rPr>
          <w:iCs/>
          <w:i/>
        </w:rPr>
        <w:t xml:space="preserve">Pediatrics</w:t>
      </w:r>
      <w:r>
        <w:t xml:space="preserve">. 2025;155(3):e2024070334.</w:t>
      </w:r>
      <w:r>
        <w:t xml:space="preserve"> </w:t>
      </w:r>
      <w:hyperlink r:id="rId5344">
        <w:r>
          <w:rPr>
            <w:rStyle w:val="Hyperlink"/>
          </w:rPr>
          <w:t xml:space="preserve">https://doi.org/10.1542/peds.2024-070334</w:t>
        </w:r>
      </w:hyperlink>
      <w:r>
        <w:t xml:space="preserve">（研究类型：AAP临床报告）</w:t>
      </w:r>
    </w:p>
    <w:p>
      <w:pPr>
        <w:pStyle w:val="ReferenceEntry"/>
      </w:pPr>
      <w:bookmarkStart w:id="5345" w:name="ref-1375"/>
      <w:r>
        <w:t xml:space="preserve">[1375]</w:t>
      </w:r>
      <w:bookmarkEnd w:id="5345"/>
      <w:r>
        <w:t xml:space="preserve"> Carmi L, Tendler A, Bystritsky A, Hollander E, Blumberger DM, Daskalakis J, et al. Efficacy and Safety of Deep Transcranial Magnetic Stimulation for Obsessive-Compulsive Disorder A Prospective Multicenter Randomized Double-Blind Placebo-Controlled Trial.</w:t>
      </w:r>
      <w:r>
        <w:t xml:space="preserve"> </w:t>
      </w:r>
      <w:r>
        <w:rPr>
          <w:iCs/>
          <w:i/>
        </w:rPr>
        <w:t xml:space="preserve">American Journal of Psychiatry</w:t>
      </w:r>
      <w:r>
        <w:t xml:space="preserve">. 2019;176(11):931–938.</w:t>
      </w:r>
      <w:r>
        <w:t xml:space="preserve"> </w:t>
      </w:r>
      <w:hyperlink r:id="rId5346">
        <w:r>
          <w:rPr>
            <w:rStyle w:val="Hyperlink"/>
          </w:rPr>
          <w:t xml:space="preserve">https://doi.org/10.1176/appi.ajp.2019.18101180</w:t>
        </w:r>
      </w:hyperlink>
      <w:r>
        <w:t xml:space="preserve">（研究类型：11中心随机假刺激对照）</w:t>
      </w:r>
    </w:p>
    <w:p>
      <w:pPr>
        <w:pStyle w:val="ReferenceEntry"/>
      </w:pPr>
      <w:bookmarkStart w:id="5347" w:name="ref-1376"/>
      <w:r>
        <w:t xml:space="preserve">[1376]</w:t>
      </w:r>
      <w:bookmarkEnd w:id="5347"/>
      <w:r>
        <w:t xml:space="preserve"> World Health Organization. Clinical descriptions and diagnostic requirements for ICD-11 mental behavioural and neurodevelopmental disorders. 2024.</w:t>
      </w:r>
      <w:r>
        <w:t xml:space="preserve"> </w:t>
      </w:r>
      <w:hyperlink r:id="rId5348">
        <w:r>
          <w:rPr>
            <w:rStyle w:val="Hyperlink"/>
          </w:rPr>
          <w:t xml:space="preserve">https://www.who.int/publications/i/item/9789240077263</w:t>
        </w:r>
      </w:hyperlink>
      <w:r>
        <w:t xml:space="preserve">（研究类型：WHO临床分类手册）</w:t>
      </w:r>
    </w:p>
    <w:p>
      <w:pPr>
        <w:pStyle w:val="ReferenceEntry"/>
      </w:pPr>
      <w:bookmarkStart w:id="5349" w:name="ref-1377"/>
      <w:r>
        <w:t xml:space="preserve">[1377]</w:t>
      </w:r>
      <w:bookmarkEnd w:id="5349"/>
      <w:r>
        <w:t xml:space="preserve"> National Center for PTSD US Department of Veterans Affairs. Complex PTSD Assessment and Treatment. 2026.</w:t>
      </w:r>
      <w:r>
        <w:t xml:space="preserve"> </w:t>
      </w:r>
      <w:hyperlink r:id="rId5350">
        <w:r>
          <w:rPr>
            <w:rStyle w:val="Hyperlink"/>
          </w:rPr>
          <w:t xml:space="preserve">https://ptsd.va.gov/professional/treat/txessentials/complex_ptsd_assessment.asp</w:t>
        </w:r>
      </w:hyperlink>
      <w:r>
        <w:t xml:space="preserve">（研究类型：2026读取官方专业说明）</w:t>
      </w:r>
    </w:p>
    <w:p>
      <w:pPr>
        <w:pStyle w:val="ReferenceEntry"/>
      </w:pPr>
      <w:bookmarkStart w:id="5351" w:name="ref-1378"/>
      <w:r>
        <w:t xml:space="preserve">[1378]</w:t>
      </w:r>
      <w:bookmarkEnd w:id="5351"/>
      <w:r>
        <w:t xml:space="preserve"> Schnurr PP, Chard KM, Ruzek JI, Chow BK, Resick PA, Foa EB, et al. Comparison of Prolonged Exposure vs Cognitive Processing Therapy for Treatment of Posttraumatic Stress Disorder Among US Veterans A Randomized Clinical Trial.</w:t>
      </w:r>
      <w:r>
        <w:t xml:space="preserve"> </w:t>
      </w:r>
      <w:r>
        <w:rPr>
          <w:iCs/>
          <w:i/>
        </w:rPr>
        <w:t xml:space="preserve">JAMA Network Open</w:t>
      </w:r>
      <w:r>
        <w:t xml:space="preserve">. 2022;5(1):e2136921.</w:t>
      </w:r>
      <w:r>
        <w:t xml:space="preserve"> </w:t>
      </w:r>
      <w:hyperlink r:id="rId5352">
        <w:r>
          <w:rPr>
            <w:rStyle w:val="Hyperlink"/>
          </w:rPr>
          <w:t xml:space="preserve">https://doi.org/10.1001/jamanetworkopen.2021.36921</w:t>
        </w:r>
      </w:hyperlink>
      <w:r>
        <w:t xml:space="preserve">（研究类型：多中心随机疗法比较）</w:t>
      </w:r>
    </w:p>
    <w:p>
      <w:pPr>
        <w:pStyle w:val="ReferenceEntry"/>
      </w:pPr>
      <w:bookmarkStart w:id="5353" w:name="ref-1379"/>
      <w:r>
        <w:t xml:space="preserve">[1379]</w:t>
      </w:r>
      <w:bookmarkEnd w:id="5353"/>
      <w:r>
        <w:t xml:space="preserve"> Gunter RW, Bodner GE. How eye movements affect unpleasant memories support for a working-memory account.</w:t>
      </w:r>
      <w:r>
        <w:t xml:space="preserve"> </w:t>
      </w:r>
      <w:r>
        <w:rPr>
          <w:iCs/>
          <w:i/>
        </w:rPr>
        <w:t xml:space="preserve">Behaviour Research and Therapy</w:t>
      </w:r>
      <w:r>
        <w:t xml:space="preserve">. 2008;46(8):913–931.</w:t>
      </w:r>
      <w:r>
        <w:t xml:space="preserve"> </w:t>
      </w:r>
      <w:hyperlink r:id="rId5354">
        <w:r>
          <w:rPr>
            <w:rStyle w:val="Hyperlink"/>
          </w:rPr>
          <w:t xml:space="preserve">https://doi.org/10.1016/j.brat.2008.04.006</w:t>
        </w:r>
      </w:hyperlink>
      <w:r>
        <w:t xml:space="preserve">（研究类型：三项记忆双任务实验）</w:t>
      </w:r>
    </w:p>
    <w:p>
      <w:pPr>
        <w:pStyle w:val="ReferenceEntry"/>
      </w:pPr>
      <w:bookmarkStart w:id="5355" w:name="ref-1380"/>
      <w:r>
        <w:t xml:space="preserve">[1380]</w:t>
      </w:r>
      <w:bookmarkEnd w:id="5355"/>
      <w:r>
        <w:t xml:space="preserve"> Raskind MA, Peskind ER, Chow B, Harris C, Davis-Karim A, Holmes HA, et al. Trial of Prazosin for Post-Traumatic Stress Disorder in Military Veterans.</w:t>
      </w:r>
      <w:r>
        <w:t xml:space="preserve"> </w:t>
      </w:r>
      <w:r>
        <w:rPr>
          <w:iCs/>
          <w:i/>
        </w:rPr>
        <w:t xml:space="preserve">New England Journal of Medicine</w:t>
      </w:r>
      <w:r>
        <w:t xml:space="preserve">. 2018;378(6):507–517.</w:t>
      </w:r>
      <w:r>
        <w:t xml:space="preserve"> </w:t>
      </w:r>
      <w:hyperlink r:id="rId5356">
        <w:r>
          <w:rPr>
            <w:rStyle w:val="Hyperlink"/>
          </w:rPr>
          <w:t xml:space="preserve">https://doi.org/10.1056/NEJMoa1507598</w:t>
        </w:r>
      </w:hyperlink>
      <w:r>
        <w:t xml:space="preserve">（研究类型：随机双盲安慰剂对照）</w:t>
      </w:r>
    </w:p>
    <w:p>
      <w:pPr>
        <w:pStyle w:val="ReferenceEntry"/>
      </w:pPr>
      <w:bookmarkStart w:id="5357" w:name="ref-1381"/>
      <w:r>
        <w:t xml:space="preserve">[1381]</w:t>
      </w:r>
      <w:bookmarkEnd w:id="5357"/>
      <w:r>
        <w:t xml:space="preserve"> National Center for PTSD US Department of Veterans Affairs. Clinicians Guide to Medications for PTSD. 2026.</w:t>
      </w:r>
      <w:r>
        <w:t xml:space="preserve"> </w:t>
      </w:r>
      <w:hyperlink r:id="rId5358">
        <w:r>
          <w:rPr>
            <w:rStyle w:val="Hyperlink"/>
          </w:rPr>
          <w:t xml:space="preserve">https://www.ptsd.va.gov/professional/treat/txessentials/clinician_guide_meds.asp</w:t>
        </w:r>
      </w:hyperlink>
      <w:r>
        <w:t xml:space="preserve">（研究类型：2023指南对应现行专业说明）</w:t>
      </w:r>
    </w:p>
    <w:p>
      <w:pPr>
        <w:pStyle w:val="ReferenceEntry"/>
      </w:pPr>
      <w:bookmarkStart w:id="5359" w:name="ref-1382"/>
      <w:r>
        <w:t xml:space="preserve">[1382]</w:t>
      </w:r>
      <w:bookmarkEnd w:id="5359"/>
      <w:r>
        <w:t xml:space="preserve"> Gentsch A, Kuehn E. Clinical Manifestations of Body Memories: The Impact of Past Bodily Experiences on Mental Health.</w:t>
      </w:r>
      <w:r>
        <w:t xml:space="preserve"> </w:t>
      </w:r>
      <w:r>
        <w:rPr>
          <w:iCs/>
          <w:i/>
        </w:rPr>
        <w:t xml:space="preserve">Brain Sciences</w:t>
      </w:r>
      <w:r>
        <w:t xml:space="preserve">. 2022;12(5):594.</w:t>
      </w:r>
      <w:r>
        <w:t xml:space="preserve"> </w:t>
      </w:r>
      <w:hyperlink r:id="rId5360">
        <w:r>
          <w:rPr>
            <w:rStyle w:val="Hyperlink"/>
          </w:rPr>
          <w:t xml:space="preserve">https://doi.org/10.3390/brainsci12050594</w:t>
        </w:r>
      </w:hyperlink>
      <w:r>
        <w:t xml:space="preserve">（研究类型：整合性机制框架）</w:t>
      </w:r>
    </w:p>
    <w:p>
      <w:pPr>
        <w:pStyle w:val="ReferenceEntry"/>
      </w:pPr>
      <w:bookmarkStart w:id="5361" w:name="ref-1383"/>
      <w:r>
        <w:t xml:space="preserve">[1383]</w:t>
      </w:r>
      <w:bookmarkEnd w:id="5361"/>
      <w:r>
        <w:t xml:space="preserve"> Pitman RK, Orr SP, Steketee GS. Psychophysiological investigations of posttraumatic stress disorder imagery. 1989.</w:t>
      </w:r>
      <w:r>
        <w:t xml:space="preserve"> </w:t>
      </w:r>
      <w:hyperlink r:id="rId5362">
        <w:r>
          <w:rPr>
            <w:rStyle w:val="Hyperlink"/>
          </w:rPr>
          <w:t xml:space="preserve">https://pubmed.ncbi.nlm.nih.gov/2626518/</w:t>
        </w:r>
      </w:hyperlink>
      <w:r>
        <w:t xml:space="preserve">（研究类型：创伤脚本生理反应比较）</w:t>
      </w:r>
    </w:p>
    <w:p>
      <w:pPr>
        <w:pStyle w:val="ReferenceEntry"/>
      </w:pPr>
      <w:bookmarkStart w:id="5363" w:name="ref-1384"/>
      <w:r>
        <w:t xml:space="preserve">[1384]</w:t>
      </w:r>
      <w:bookmarkEnd w:id="5363"/>
      <w:r>
        <w:t xml:space="preserve"> Andrade J, Kavanagh D, Baddeley A. Eye movements and visual imagery a working memory approach to the treatment of post traumatic stress disorder.</w:t>
      </w:r>
      <w:r>
        <w:t xml:space="preserve"> </w:t>
      </w:r>
      <w:r>
        <w:rPr>
          <w:iCs/>
          <w:i/>
        </w:rPr>
        <w:t xml:space="preserve">British Journal of Clinical Psychology</w:t>
      </w:r>
      <w:r>
        <w:t xml:space="preserve">. 1997;36(2):209–223.</w:t>
      </w:r>
      <w:r>
        <w:t xml:space="preserve"> </w:t>
      </w:r>
      <w:hyperlink r:id="rId5364">
        <w:r>
          <w:rPr>
            <w:rStyle w:val="Hyperlink"/>
          </w:rPr>
          <w:t xml:space="preserve">https://doi.org/10.1111/j.2044-8260.1997.tb01408.x</w:t>
        </w:r>
      </w:hyperlink>
      <w:r>
        <w:t xml:space="preserve">（研究类型：实验性意象与工作记忆研究）</w:t>
      </w:r>
    </w:p>
    <w:p>
      <w:pPr>
        <w:pStyle w:val="ReferenceEntry"/>
      </w:pPr>
      <w:bookmarkStart w:id="5365" w:name="ref-1385"/>
      <w:r>
        <w:t xml:space="preserve">[1385]</w:t>
      </w:r>
      <w:bookmarkEnd w:id="5365"/>
      <w:r>
        <w:t xml:space="preserve"> Rose SC, Bisson J, Churchill R, Wessely S. Psychological debriefing for preventing post traumatic stress disorder PTSD.</w:t>
      </w:r>
      <w:r>
        <w:t xml:space="preserve"> </w:t>
      </w:r>
      <w:r>
        <w:rPr>
          <w:iCs/>
          <w:i/>
        </w:rPr>
        <w:t xml:space="preserve">Cochrane Database of Systematic Reviews</w:t>
      </w:r>
      <w:r>
        <w:t xml:space="preserve">. 2002.</w:t>
      </w:r>
      <w:r>
        <w:t xml:space="preserve"> </w:t>
      </w:r>
      <w:hyperlink r:id="rId5366">
        <w:r>
          <w:rPr>
            <w:rStyle w:val="Hyperlink"/>
          </w:rPr>
          <w:t xml:space="preserve">https://doi.org/10.1002/14651858.CD000560</w:t>
        </w:r>
      </w:hyperlink>
      <w:r>
        <w:t xml:space="preserve">（研究类型：随机试验系统综述）</w:t>
      </w:r>
    </w:p>
    <w:p>
      <w:pPr>
        <w:pStyle w:val="ReferenceEntry"/>
      </w:pPr>
      <w:bookmarkStart w:id="5367" w:name="ref-1386"/>
      <w:r>
        <w:t xml:space="preserve">[1386]</w:t>
      </w:r>
      <w:bookmarkEnd w:id="5367"/>
      <w:r>
        <w:t xml:space="preserve"> National Institute of Mental Health. Understanding Psychosis. 2026.</w:t>
      </w:r>
      <w:r>
        <w:t xml:space="preserve"> </w:t>
      </w:r>
      <w:hyperlink r:id="rId5368">
        <w:r>
          <w:rPr>
            <w:rStyle w:val="Hyperlink"/>
          </w:rPr>
          <w:t xml:space="preserve">https://www.nimh.nih.gov/health/publications/understanding-psychosis</w:t>
        </w:r>
      </w:hyperlink>
      <w:r>
        <w:t xml:space="preserve">（研究类型：2026读取官方科普）</w:t>
      </w:r>
    </w:p>
    <w:p>
      <w:pPr>
        <w:pStyle w:val="ReferenceEntry"/>
      </w:pPr>
      <w:bookmarkStart w:id="5369" w:name="ref-1387"/>
      <w:r>
        <w:t xml:space="preserve">[1387]</w:t>
      </w:r>
      <w:bookmarkEnd w:id="5369"/>
      <w:r>
        <w:t xml:space="preserve"> Powers AR, Mathys C, Corlett PR. Pavlovian conditioning-induced hallucinations result from overweighting of perceptual priors.</w:t>
      </w:r>
      <w:r>
        <w:t xml:space="preserve"> </w:t>
      </w:r>
      <w:r>
        <w:rPr>
          <w:iCs/>
          <w:i/>
        </w:rPr>
        <w:t xml:space="preserve">Science</w:t>
      </w:r>
      <w:r>
        <w:t xml:space="preserve">. 2017;357(6351):596–600.</w:t>
      </w:r>
      <w:r>
        <w:t xml:space="preserve"> </w:t>
      </w:r>
      <w:hyperlink r:id="rId5370">
        <w:r>
          <w:rPr>
            <w:rStyle w:val="Hyperlink"/>
          </w:rPr>
          <w:t xml:space="preserve">https://doi.org/10.1126/science.aan3458</w:t>
        </w:r>
      </w:hyperlink>
      <w:r>
        <w:t xml:space="preserve">（研究类型：条件学习任务加计算建模影像）</w:t>
      </w:r>
    </w:p>
    <w:p>
      <w:pPr>
        <w:pStyle w:val="ReferenceEntry"/>
      </w:pPr>
      <w:bookmarkStart w:id="5371" w:name="ref-1388"/>
      <w:r>
        <w:t xml:space="preserve">[1388]</w:t>
      </w:r>
      <w:bookmarkEnd w:id="5371"/>
      <w:r>
        <w:t xml:space="preserve"> Keepers GA, Fochtmann LJ, Anzia JM, Benjamin S, Lyness JM, Mojtabai R, et al. The American Psychiatric Association Practice Guideline for the Treatment of Patients With Schizophrenia.</w:t>
      </w:r>
      <w:r>
        <w:t xml:space="preserve"> </w:t>
      </w:r>
      <w:r>
        <w:rPr>
          <w:iCs/>
          <w:i/>
        </w:rPr>
        <w:t xml:space="preserve">American Journal of Psychiatry</w:t>
      </w:r>
      <w:r>
        <w:t xml:space="preserve">. 2020;177(9):868–872.</w:t>
      </w:r>
      <w:r>
        <w:t xml:space="preserve"> </w:t>
      </w:r>
      <w:hyperlink r:id="rId5372">
        <w:r>
          <w:rPr>
            <w:rStyle w:val="Hyperlink"/>
          </w:rPr>
          <w:t xml:space="preserve">https://doi.org/10.1176/appi.ajp.2020.177901</w:t>
        </w:r>
      </w:hyperlink>
      <w:r>
        <w:t xml:space="preserve">（研究类型：循证实践指南）</w:t>
      </w:r>
    </w:p>
    <w:p>
      <w:pPr>
        <w:pStyle w:val="ReferenceEntry"/>
      </w:pPr>
      <w:bookmarkStart w:id="5373" w:name="ref-1389"/>
      <w:r>
        <w:t xml:space="preserve">[1389]</w:t>
      </w:r>
      <w:bookmarkEnd w:id="5373"/>
      <w:r>
        <w:t xml:space="preserve"> NICE. Psychosis and schizophrenia in adults prevention and management CG178. 2014.</w:t>
      </w:r>
      <w:r>
        <w:t xml:space="preserve"> </w:t>
      </w:r>
      <w:hyperlink r:id="rId5374">
        <w:r>
          <w:rPr>
            <w:rStyle w:val="Hyperlink"/>
          </w:rPr>
          <w:t xml:space="preserve">https://www.nice.org.uk/guidance/cg178/chapter/recommendations</w:t>
        </w:r>
      </w:hyperlink>
      <w:r>
        <w:t xml:space="preserve">（研究类型：官方临床指南 2025监察）</w:t>
      </w:r>
    </w:p>
    <w:p>
      <w:pPr>
        <w:pStyle w:val="ReferenceEntry"/>
      </w:pPr>
      <w:bookmarkStart w:id="5375" w:name="ref-1390"/>
      <w:r>
        <w:t xml:space="preserve">[1390]</w:t>
      </w:r>
      <w:bookmarkEnd w:id="5375"/>
      <w:r>
        <w:t xml:space="preserve"> Galderisi S, Mucci A, Dollfus S, Nordentoft M, Falkai P, Kaiser S, et al. EPA guidance on assessment of negative symptoms in schizophrenia.</w:t>
      </w:r>
      <w:r>
        <w:t xml:space="preserve"> </w:t>
      </w:r>
      <w:r>
        <w:rPr>
          <w:iCs/>
          <w:i/>
        </w:rPr>
        <w:t xml:space="preserve">European Psychiatry</w:t>
      </w:r>
      <w:r>
        <w:t xml:space="preserve">. 2021;64(1):e23.</w:t>
      </w:r>
      <w:r>
        <w:t xml:space="preserve"> </w:t>
      </w:r>
      <w:hyperlink r:id="rId5376">
        <w:r>
          <w:rPr>
            <w:rStyle w:val="Hyperlink"/>
          </w:rPr>
          <w:t xml:space="preserve">https://doi.org/10.1192/j.eurpsy.2021.11</w:t>
        </w:r>
      </w:hyperlink>
      <w:r>
        <w:t xml:space="preserve">（研究类型：系统综述及专业指导）</w:t>
      </w:r>
    </w:p>
    <w:p>
      <w:pPr>
        <w:pStyle w:val="ReferenceEntry"/>
      </w:pPr>
      <w:bookmarkStart w:id="5377" w:name="ref-1391"/>
      <w:r>
        <w:t xml:space="preserve">[1391]</w:t>
      </w:r>
      <w:bookmarkEnd w:id="5377"/>
      <w:r>
        <w:t xml:space="preserve"> Vita A, Barlati S, Ceraso A, Nibbio G, Ariu C, Deste G, et al. Effectiveness Core Elements and Moderators of Response of Cognitive Remediation for Schizophrenia A Systematic Review and Meta-analysis of Randomized Clinical Trials.</w:t>
      </w:r>
      <w:r>
        <w:t xml:space="preserve"> </w:t>
      </w:r>
      <w:r>
        <w:rPr>
          <w:iCs/>
          <w:i/>
        </w:rPr>
        <w:t xml:space="preserve">JAMA Psychiatry</w:t>
      </w:r>
      <w:r>
        <w:t xml:space="preserve">. 2021;78(8):848.</w:t>
      </w:r>
      <w:r>
        <w:t xml:space="preserve"> </w:t>
      </w:r>
      <w:hyperlink r:id="rId5378">
        <w:r>
          <w:rPr>
            <w:rStyle w:val="Hyperlink"/>
          </w:rPr>
          <w:t xml:space="preserve">https://doi.org/10.1001/jamapsychiatry.2021.0620</w:t>
        </w:r>
      </w:hyperlink>
      <w:r>
        <w:t xml:space="preserve">（研究类型：随机试验系统综述元分析）</w:t>
      </w:r>
    </w:p>
    <w:p>
      <w:pPr>
        <w:pStyle w:val="ReferenceEntry"/>
      </w:pPr>
      <w:bookmarkStart w:id="5379" w:name="ref-1392"/>
      <w:r>
        <w:t xml:space="preserve">[1392]</w:t>
      </w:r>
      <w:bookmarkEnd w:id="5379"/>
      <w:r>
        <w:t xml:space="preserve"> Rogers JP, Oldham MA, Fricchione G, Northoff G, Ellen Wilson J, Mann SC, et al. Evidence-based consensus guidelines for the management of catatonia Recommendations from the British Association for Psychopharmacology.</w:t>
      </w:r>
      <w:r>
        <w:t xml:space="preserve"> </w:t>
      </w:r>
      <w:r>
        <w:rPr>
          <w:iCs/>
          <w:i/>
        </w:rPr>
        <w:t xml:space="preserve">Journal of Psychopharmacology</w:t>
      </w:r>
      <w:r>
        <w:t xml:space="preserve">. 2023;37(4):327–369.</w:t>
      </w:r>
      <w:r>
        <w:t xml:space="preserve"> </w:t>
      </w:r>
      <w:hyperlink r:id="rId5380">
        <w:r>
          <w:rPr>
            <w:rStyle w:val="Hyperlink"/>
          </w:rPr>
          <w:t xml:space="preserve">https://doi.org/10.1177/02698811231158232</w:t>
        </w:r>
      </w:hyperlink>
      <w:r>
        <w:t xml:space="preserve">（研究类型：多学科证据及共识指南）</w:t>
      </w:r>
    </w:p>
    <w:p>
      <w:pPr>
        <w:pStyle w:val="ReferenceEntry"/>
      </w:pPr>
      <w:bookmarkStart w:id="5381" w:name="ref-1393"/>
      <w:r>
        <w:t xml:space="preserve">[1393]</w:t>
      </w:r>
      <w:bookmarkEnd w:id="5381"/>
      <w:r>
        <w:t xml:space="preserve"> Howes OD, Kambeitz J, Kim E, Stahl D, Slifstein M, Abi-Dargham A, et al. The Nature of Dopamine Dysfunction in Schizophrenia and What This Means for Treatment: Meta-analysis of Imaging Studies.</w:t>
      </w:r>
      <w:r>
        <w:t xml:space="preserve"> </w:t>
      </w:r>
      <w:r>
        <w:rPr>
          <w:iCs/>
          <w:i/>
        </w:rPr>
        <w:t xml:space="preserve">Archives of General Psychiatry</w:t>
      </w:r>
      <w:r>
        <w:t xml:space="preserve">. 2012;69(8).</w:t>
      </w:r>
      <w:r>
        <w:t xml:space="preserve"> </w:t>
      </w:r>
      <w:hyperlink r:id="rId5382">
        <w:r>
          <w:rPr>
            <w:rStyle w:val="Hyperlink"/>
          </w:rPr>
          <w:t xml:space="preserve">https://doi.org/10.1001/archgenpsychiatry.2012.169</w:t>
        </w:r>
      </w:hyperlink>
      <w:r>
        <w:t xml:space="preserve">（研究类型：PET及SPECT系统综述元分析）</w:t>
      </w:r>
    </w:p>
    <w:p>
      <w:pPr>
        <w:pStyle w:val="ReferenceEntry"/>
      </w:pPr>
      <w:bookmarkStart w:id="5383" w:name="ref-1394"/>
      <w:r>
        <w:t xml:space="preserve">[1394]</w:t>
      </w:r>
      <w:bookmarkEnd w:id="5383"/>
      <w:r>
        <w:t xml:space="preserve"> Krystal JH, et al. Subanesthetic effects of the noncompetitive NMDA antagonist ketamine in humans Psychotomimetic perceptual cognitive and neuroendocrine responses.</w:t>
      </w:r>
      <w:r>
        <w:t xml:space="preserve"> </w:t>
      </w:r>
      <w:r>
        <w:rPr>
          <w:iCs/>
          <w:i/>
        </w:rPr>
        <w:t xml:space="preserve">Archives of General Psychiatry</w:t>
      </w:r>
      <w:r>
        <w:t xml:space="preserve">. 1994;51(3):199.</w:t>
      </w:r>
      <w:r>
        <w:t xml:space="preserve"> </w:t>
      </w:r>
      <w:hyperlink r:id="rId5384">
        <w:r>
          <w:rPr>
            <w:rStyle w:val="Hyperlink"/>
          </w:rPr>
          <w:t xml:space="preserve">https://doi.org/10.1001/archpsyc.1994.03950030035004</w:t>
        </w:r>
      </w:hyperlink>
      <w:r>
        <w:t xml:space="preserve">（研究类型：随机双盲安慰剂人体挑战）</w:t>
      </w:r>
    </w:p>
    <w:p>
      <w:pPr>
        <w:pStyle w:val="ReferenceEntry"/>
      </w:pPr>
      <w:bookmarkStart w:id="5385" w:name="ref-1395"/>
      <w:r>
        <w:t xml:space="preserve">[1395]</w:t>
      </w:r>
      <w:bookmarkEnd w:id="5385"/>
      <w:r>
        <w:t xml:space="preserve"> Ford JM, Mathalon DH, Heinks T, Kalba S, Faustman WO, Roth WT. Neurophysiological Evidence of Corollary Discharge Dysfunction in Schizophrenia.</w:t>
      </w:r>
      <w:r>
        <w:t xml:space="preserve"> </w:t>
      </w:r>
      <w:r>
        <w:rPr>
          <w:iCs/>
          <w:i/>
        </w:rPr>
        <w:t xml:space="preserve">American Journal of Psychiatry</w:t>
      </w:r>
      <w:r>
        <w:t xml:space="preserve">. 2001;158(12):2069–2071.</w:t>
      </w:r>
      <w:r>
        <w:t xml:space="preserve"> </w:t>
      </w:r>
      <w:hyperlink r:id="rId5386">
        <w:r>
          <w:rPr>
            <w:rStyle w:val="Hyperlink"/>
          </w:rPr>
          <w:t xml:space="preserve">https://doi.org/10.1176/appi.ajp.158.12.2069</w:t>
        </w:r>
      </w:hyperlink>
      <w:r>
        <w:t xml:space="preserve">（研究类型：说话与回放ERP比较）</w:t>
      </w:r>
    </w:p>
    <w:p>
      <w:pPr>
        <w:pStyle w:val="ReferenceEntry"/>
      </w:pPr>
      <w:bookmarkStart w:id="5387" w:name="ref-1396"/>
      <w:r>
        <w:t xml:space="preserve">[1396]</w:t>
      </w:r>
      <w:bookmarkEnd w:id="5387"/>
      <w:r>
        <w:t xml:space="preserve"> Trubetskoy V, Pardiñas AF, Qi T, Panagiotaropoulou G, Awasthi S, Bigdeli TB, et al. Mapping genomic loci implicates genes and synaptic biology in schizophrenia.</w:t>
      </w:r>
      <w:r>
        <w:t xml:space="preserve"> </w:t>
      </w:r>
      <w:r>
        <w:rPr>
          <w:iCs/>
          <w:i/>
        </w:rPr>
        <w:t xml:space="preserve">Nature</w:t>
      </w:r>
      <w:r>
        <w:t xml:space="preserve">. 2022;604(7906):502–508.</w:t>
      </w:r>
      <w:r>
        <w:t xml:space="preserve"> </w:t>
      </w:r>
      <w:hyperlink r:id="rId5388">
        <w:r>
          <w:rPr>
            <w:rStyle w:val="Hyperlink"/>
          </w:rPr>
          <w:t xml:space="preserve">https://doi.org/10.1038/s41586-022-04434-5</w:t>
        </w:r>
      </w:hyperlink>
      <w:r>
        <w:t xml:space="preserve">（研究类型：两阶段GWAS及精细定位）</w:t>
      </w:r>
    </w:p>
    <w:p>
      <w:pPr>
        <w:pStyle w:val="ReferenceEntry"/>
      </w:pPr>
      <w:bookmarkStart w:id="5389" w:name="ref-1397"/>
      <w:r>
        <w:t xml:space="preserve">[1397]</w:t>
      </w:r>
      <w:bookmarkEnd w:id="5389"/>
      <w:r>
        <w:t xml:space="preserve"> Singh T, Poterba T, Curtis D, Akil H, Al Eissa M, Barchas JD, et al. Rare coding variants in ten genes confer substantial risk for schizophrenia.</w:t>
      </w:r>
      <w:r>
        <w:t xml:space="preserve"> </w:t>
      </w:r>
      <w:r>
        <w:rPr>
          <w:iCs/>
          <w:i/>
        </w:rPr>
        <w:t xml:space="preserve">Nature</w:t>
      </w:r>
      <w:r>
        <w:t xml:space="preserve">. 2022;604(7906):509–516.</w:t>
      </w:r>
      <w:r>
        <w:t xml:space="preserve"> </w:t>
      </w:r>
      <w:hyperlink r:id="rId5390">
        <w:r>
          <w:rPr>
            <w:rStyle w:val="Hyperlink"/>
          </w:rPr>
          <w:t xml:space="preserve">https://doi.org/10.1038/s41586-022-04556-w</w:t>
        </w:r>
      </w:hyperlink>
      <w:r>
        <w:t xml:space="preserve">（研究类型：外显子组病例对照综合）</w:t>
      </w:r>
    </w:p>
    <w:p>
      <w:pPr>
        <w:pStyle w:val="ReferenceEntry"/>
      </w:pPr>
      <w:bookmarkStart w:id="5391" w:name="ref-1398"/>
      <w:r>
        <w:t xml:space="preserve">[1398]</w:t>
      </w:r>
      <w:bookmarkEnd w:id="5391"/>
      <w:r>
        <w:t xml:space="preserve"> Salazar de Pablo G, Radua J, Pereira J, Bonoldi I, Arienti V, Besana F, et al. Probability of Transition to Psychosis in Individuals at Clinical High Risk An Updated Meta-analysis.</w:t>
      </w:r>
      <w:r>
        <w:t xml:space="preserve"> </w:t>
      </w:r>
      <w:r>
        <w:rPr>
          <w:iCs/>
          <w:i/>
        </w:rPr>
        <w:t xml:space="preserve">JAMA Psychiatry</w:t>
      </w:r>
      <w:r>
        <w:t xml:space="preserve">. 2021;78(9):970.</w:t>
      </w:r>
      <w:r>
        <w:t xml:space="preserve"> </w:t>
      </w:r>
      <w:hyperlink r:id="rId5392">
        <w:r>
          <w:rPr>
            <w:rStyle w:val="Hyperlink"/>
          </w:rPr>
          <w:t xml:space="preserve">https://doi.org/10.1001/jamapsychiatry.2021.0830</w:t>
        </w:r>
      </w:hyperlink>
      <w:r>
        <w:t xml:space="preserve">（研究类型：纵向队列元分析）</w:t>
      </w:r>
    </w:p>
    <w:p>
      <w:pPr>
        <w:pStyle w:val="ReferenceEntry"/>
      </w:pPr>
      <w:bookmarkStart w:id="5393" w:name="ref-1399"/>
      <w:r>
        <w:t xml:space="preserve">[1399]</w:t>
      </w:r>
      <w:bookmarkEnd w:id="5393"/>
      <w:r>
        <w:t xml:space="preserve"> Huhn M, Nikolakopoulou A, Schneider-Thoma J, Krause M, Samara M, Peter N, et al. Comparative efficacy and tolerability of 32 oral antipsychotics for the acute treatment of adults with multi-episode schizophrenia a systematic review and network meta-analysis.</w:t>
      </w:r>
      <w:r>
        <w:t xml:space="preserve"> </w:t>
      </w:r>
      <w:r>
        <w:rPr>
          <w:iCs/>
          <w:i/>
        </w:rPr>
        <w:t xml:space="preserve">The Lancet</w:t>
      </w:r>
      <w:r>
        <w:t xml:space="preserve">. 2019;394(10202):939–951.</w:t>
      </w:r>
      <w:r>
        <w:t xml:space="preserve"> </w:t>
      </w:r>
      <w:hyperlink r:id="rId5394">
        <w:r>
          <w:rPr>
            <w:rStyle w:val="Hyperlink"/>
          </w:rPr>
          <w:t xml:space="preserve">https://doi.org/10.1016/S0140-6736(19)31135-3</w:t>
        </w:r>
      </w:hyperlink>
      <w:r>
        <w:t xml:space="preserve">（研究类型：网络元分析）</w:t>
      </w:r>
    </w:p>
    <w:p>
      <w:pPr>
        <w:pStyle w:val="ReferenceEntry"/>
      </w:pPr>
      <w:bookmarkStart w:id="5395" w:name="ref-1400"/>
      <w:r>
        <w:t xml:space="preserve">[1400]</w:t>
      </w:r>
      <w:bookmarkEnd w:id="5395"/>
      <w:r>
        <w:t xml:space="preserve"> Ceraso A, Lin JJ, Schneider-Thoma J, Siafis S, Tardy M, Komossa K, et al. Maintenance treatment with antipsychotic drugs for schizophrenia.</w:t>
      </w:r>
      <w:r>
        <w:t xml:space="preserve"> </w:t>
      </w:r>
      <w:r>
        <w:rPr>
          <w:iCs/>
          <w:i/>
        </w:rPr>
        <w:t xml:space="preserve">Cochrane Database of Systematic Reviews</w:t>
      </w:r>
      <w:r>
        <w:t xml:space="preserve">. 2020;2020(8).</w:t>
      </w:r>
      <w:r>
        <w:t xml:space="preserve"> </w:t>
      </w:r>
      <w:hyperlink r:id="rId5396">
        <w:r>
          <w:rPr>
            <w:rStyle w:val="Hyperlink"/>
          </w:rPr>
          <w:t xml:space="preserve">https://doi.org/10.1002/14651858.CD008016.pub3</w:t>
        </w:r>
      </w:hyperlink>
      <w:r>
        <w:t xml:space="preserve">（研究类型：Cochrane随机试验综述）</w:t>
      </w:r>
    </w:p>
    <w:p>
      <w:pPr>
        <w:pStyle w:val="ReferenceEntry"/>
      </w:pPr>
      <w:bookmarkStart w:id="5397" w:name="ref-1401"/>
      <w:r>
        <w:t xml:space="preserve">[1401]</w:t>
      </w:r>
      <w:bookmarkEnd w:id="5397"/>
      <w:r>
        <w:t xml:space="preserve"> US Food and Drug Administration. FDA removes risk evaluation and mitigation strategy REMS program for the antipsychotic drug Clozapine. 2025.</w:t>
      </w:r>
      <w:r>
        <w:t xml:space="preserve"> </w:t>
      </w:r>
      <w:hyperlink r:id="rId5398">
        <w:r>
          <w:rPr>
            <w:rStyle w:val="Hyperlink"/>
          </w:rPr>
          <w:t xml:space="preserve">https://www.fda.gov/drugs/drug-safety-communications/fda-removes-risk-evaluation-and-mitigation-strategy-rems-program-antipsychotic-drug-clozapine</w:t>
        </w:r>
      </w:hyperlink>
      <w:r>
        <w:t xml:space="preserve">（研究类型：官方监管安全通报）</w:t>
      </w:r>
    </w:p>
    <w:p>
      <w:pPr>
        <w:pStyle w:val="ReferenceEntry"/>
      </w:pPr>
      <w:bookmarkStart w:id="5399" w:name="ref-1402"/>
      <w:r>
        <w:t xml:space="preserve">[1402]</w:t>
      </w:r>
      <w:bookmarkEnd w:id="5399"/>
      <w:r>
        <w:t xml:space="preserve"> US Food and Drug Administration. FDA Approves Drug with New Mechanism of Action for Treatment of Schizophrenia. 2024.</w:t>
      </w:r>
      <w:r>
        <w:t xml:space="preserve"> </w:t>
      </w:r>
      <w:hyperlink r:id="rId5400">
        <w:r>
          <w:rPr>
            <w:rStyle w:val="Hyperlink"/>
          </w:rPr>
          <w:t xml:space="preserve">https://www.fda.gov/news-events/press-announcements/fda-approves-drug-new-mechanism-action-treatment-schizophrenia</w:t>
        </w:r>
      </w:hyperlink>
      <w:r>
        <w:t xml:space="preserve">（研究类型：美国批准公告）</w:t>
      </w:r>
    </w:p>
    <w:p>
      <w:pPr>
        <w:pStyle w:val="ReferenceEntry"/>
      </w:pPr>
      <w:bookmarkStart w:id="5401" w:name="ref-1403"/>
      <w:r>
        <w:t xml:space="preserve">[1403]</w:t>
      </w:r>
      <w:bookmarkEnd w:id="5401"/>
      <w:r>
        <w:t xml:space="preserve"> Kaul I, Sawchak S, Walling DP, Tamminga CA, Breier A, Zhu H, et al. Efficacy and Safety of Xanomeline-Trospium Chloride in Schizophrenia A Randomized Clinical Trial.</w:t>
      </w:r>
      <w:r>
        <w:t xml:space="preserve"> </w:t>
      </w:r>
      <w:r>
        <w:rPr>
          <w:iCs/>
          <w:i/>
        </w:rPr>
        <w:t xml:space="preserve">JAMA Psychiatry</w:t>
      </w:r>
      <w:r>
        <w:t xml:space="preserve">. 2024;81(8):749.</w:t>
      </w:r>
      <w:r>
        <w:t xml:space="preserve"> </w:t>
      </w:r>
      <w:hyperlink r:id="rId5402">
        <w:r>
          <w:rPr>
            <w:rStyle w:val="Hyperlink"/>
          </w:rPr>
          <w:t xml:space="preserve">https://doi.org/10.1001/jamapsychiatry.2024.0785</w:t>
        </w:r>
      </w:hyperlink>
      <w:r>
        <w:t xml:space="preserve">（研究类型：EMERGENT3随机双盲安慰剂对照）</w:t>
      </w:r>
    </w:p>
    <w:p>
      <w:pPr>
        <w:pStyle w:val="ReferenceEntry"/>
      </w:pPr>
      <w:bookmarkStart w:id="5403" w:name="ref-1404"/>
      <w:r>
        <w:t xml:space="preserve">[1404]</w:t>
      </w:r>
      <w:bookmarkEnd w:id="5403"/>
      <w:r>
        <w:t xml:space="preserve"> JAMA Psychiatry. Error in Results.</w:t>
      </w:r>
      <w:r>
        <w:t xml:space="preserve"> </w:t>
      </w:r>
      <w:r>
        <w:rPr>
          <w:iCs/>
          <w:i/>
        </w:rPr>
        <w:t xml:space="preserve">JAMA Psychiatry</w:t>
      </w:r>
      <w:r>
        <w:t xml:space="preserve">. 2024;81(8):846.</w:t>
      </w:r>
      <w:r>
        <w:t xml:space="preserve"> </w:t>
      </w:r>
      <w:hyperlink r:id="rId5404">
        <w:r>
          <w:rPr>
            <w:rStyle w:val="Hyperlink"/>
          </w:rPr>
          <w:t xml:space="preserve">https://doi.org/10.1001/jamapsychiatry.2024.2002</w:t>
        </w:r>
      </w:hyperlink>
      <w:r>
        <w:t xml:space="preserve">（研究类型：C350官方更正）</w:t>
      </w:r>
    </w:p>
    <w:p>
      <w:pPr>
        <w:pStyle w:val="ReferenceEntry"/>
      </w:pPr>
      <w:bookmarkStart w:id="5405" w:name="ref-1405"/>
      <w:r>
        <w:t xml:space="preserve">[1405]</w:t>
      </w:r>
      <w:bookmarkEnd w:id="5405"/>
      <w:r>
        <w:t xml:space="preserve"> Bristol Myers Squibb US label via DailyMed. COBENFY xanomeline and trospium chloride prescribing information. 2026.</w:t>
      </w:r>
      <w:r>
        <w:t xml:space="preserve"> </w:t>
      </w:r>
      <w:hyperlink r:id="rId5406">
        <w:r>
          <w:rPr>
            <w:rStyle w:val="Hyperlink"/>
          </w:rPr>
          <w:t xml:space="preserve">https://dailymed.nlm.nih.gov/dailymed/lookup.cfm?setid=8f0e73bf-6025-44f6-ab64-0983322de0df</w:t>
        </w:r>
      </w:hyperlink>
      <w:r>
        <w:t xml:space="preserve">（研究类型：2026现行药品标签）</w:t>
      </w:r>
    </w:p>
    <w:p>
      <w:pPr>
        <w:pStyle w:val="ReferenceEntry"/>
      </w:pPr>
      <w:bookmarkStart w:id="5407" w:name="ref-1406"/>
      <w:r>
        <w:t xml:space="preserve">[1406]</w:t>
      </w:r>
      <w:bookmarkEnd w:id="5407"/>
      <w:r>
        <w:t xml:space="preserve"> Kane JM, Robinson DG, Schooler NR, Mueser KT, Penn DL, Rosenheck RA, et al. Comprehensive Versus Usual Community Care for First-Episode Psychosis 2-Year Outcomes From the NIMH RAISE Early Treatment Program.</w:t>
      </w:r>
      <w:r>
        <w:t xml:space="preserve"> </w:t>
      </w:r>
      <w:r>
        <w:rPr>
          <w:iCs/>
          <w:i/>
        </w:rPr>
        <w:t xml:space="preserve">American Journal of Psychiatry</w:t>
      </w:r>
      <w:r>
        <w:t xml:space="preserve">. 2016;173(4):362–372.</w:t>
      </w:r>
      <w:r>
        <w:t xml:space="preserve"> </w:t>
      </w:r>
      <w:hyperlink r:id="rId5408">
        <w:r>
          <w:rPr>
            <w:rStyle w:val="Hyperlink"/>
          </w:rPr>
          <w:t xml:space="preserve">https://doi.org/10.1176/appi.ajp.2015.15050632</w:t>
        </w:r>
      </w:hyperlink>
      <w:r>
        <w:t xml:space="preserve">（研究类型：34中心整群随机）</w:t>
      </w:r>
    </w:p>
    <w:p>
      <w:pPr>
        <w:pStyle w:val="ReferenceEntry"/>
      </w:pPr>
      <w:bookmarkStart w:id="5409" w:name="ref-1407"/>
      <w:r>
        <w:t xml:space="preserve">[1407]</w:t>
      </w:r>
      <w:bookmarkEnd w:id="5409"/>
      <w:r>
        <w:t xml:space="preserve"> National Institutes of Health. Substance Use Disorders. 检索于2026年10月.</w:t>
      </w:r>
      <w:r>
        <w:t xml:space="preserve"> </w:t>
      </w:r>
      <w:hyperlink r:id="rId5410">
        <w:r>
          <w:rPr>
            <w:rStyle w:val="Hyperlink"/>
          </w:rPr>
          <w:t xml:space="preserve">https://health.nih.gov/health-topics-a-z/substance-use-disorder</w:t>
        </w:r>
      </w:hyperlink>
      <w:r>
        <w:t xml:space="preserve">（研究类型：官方公众医学信息）</w:t>
      </w:r>
    </w:p>
    <w:p>
      <w:pPr>
        <w:pStyle w:val="ReferenceEntry"/>
      </w:pPr>
      <w:bookmarkStart w:id="5411" w:name="ref-1408"/>
      <w:r>
        <w:t xml:space="preserve">[1408]</w:t>
      </w:r>
      <w:bookmarkEnd w:id="5411"/>
      <w:r>
        <w:t xml:space="preserve"> Raja SN, Carr DB, Cohen M, Finnerup NB, Flor H, Gibson S, et al. The revised International Association for the Study of Pain definition of pain: concepts, challenges, and compromises.</w:t>
      </w:r>
      <w:r>
        <w:t xml:space="preserve"> </w:t>
      </w:r>
      <w:r>
        <w:rPr>
          <w:iCs/>
          <w:i/>
        </w:rPr>
        <w:t xml:space="preserve">Pain</w:t>
      </w:r>
      <w:r>
        <w:t xml:space="preserve">. 2020;161(9):1976–1982.</w:t>
      </w:r>
      <w:r>
        <w:t xml:space="preserve"> </w:t>
      </w:r>
      <w:hyperlink r:id="rId5412">
        <w:r>
          <w:rPr>
            <w:rStyle w:val="Hyperlink"/>
          </w:rPr>
          <w:t xml:space="preserve">https://doi.org/10.1097/j.pain.0000000000001939</w:t>
        </w:r>
      </w:hyperlink>
      <w:r>
        <w:t xml:space="preserve">（研究类型：专业定义与概念论证）</w:t>
      </w:r>
    </w:p>
    <w:p>
      <w:pPr>
        <w:pStyle w:val="ReferenceEntry"/>
      </w:pPr>
      <w:bookmarkStart w:id="5413" w:name="ref-1409"/>
      <w:r>
        <w:t xml:space="preserve">[1409]</w:t>
      </w:r>
      <w:bookmarkEnd w:id="5413"/>
      <w:r>
        <w:t xml:space="preserve"> Wager TD, Rilling JK, Smith EE, Sokolik A, Casey KL, Davidson RJ, et al. Placebo-induced changes in fMRI in the anticipation and experience of pain.</w:t>
      </w:r>
      <w:r>
        <w:t xml:space="preserve"> </w:t>
      </w:r>
      <w:r>
        <w:rPr>
          <w:iCs/>
          <w:i/>
        </w:rPr>
        <w:t xml:space="preserve">Science</w:t>
      </w:r>
      <w:r>
        <w:t xml:space="preserve">. 2004;303(5661):1162–1167.</w:t>
      </w:r>
      <w:r>
        <w:t xml:space="preserve"> </w:t>
      </w:r>
      <w:hyperlink r:id="rId5414">
        <w:r>
          <w:rPr>
            <w:rStyle w:val="Hyperlink"/>
          </w:rPr>
          <w:t xml:space="preserve">https://doi.org/10.1126/science.1093065</w:t>
        </w:r>
      </w:hyperlink>
      <w:r>
        <w:t xml:space="preserve">（研究类型：实验性安慰剂疼痛fMRI）</w:t>
      </w:r>
    </w:p>
    <w:p>
      <w:pPr>
        <w:pStyle w:val="ReferenceEntry"/>
      </w:pPr>
      <w:bookmarkStart w:id="5415" w:name="ref-1410"/>
      <w:r>
        <w:t xml:space="preserve">[1410]</w:t>
      </w:r>
      <w:bookmarkEnd w:id="5415"/>
      <w:r>
        <w:t xml:space="preserve"> Levine J, Gordon N, Fields H. The mechanism of placebo analgesia.</w:t>
      </w:r>
      <w:r>
        <w:t xml:space="preserve"> </w:t>
      </w:r>
      <w:r>
        <w:rPr>
          <w:iCs/>
          <w:i/>
        </w:rPr>
        <w:t xml:space="preserve">The Lancet</w:t>
      </w:r>
      <w:r>
        <w:t xml:space="preserve">. 1978;312(8091):654–657.</w:t>
      </w:r>
      <w:r>
        <w:t xml:space="preserve"> </w:t>
      </w:r>
      <w:hyperlink r:id="rId5416">
        <w:r>
          <w:rPr>
            <w:rStyle w:val="Hyperlink"/>
          </w:rPr>
          <w:t xml:space="preserve">https://doi.org/10.1016/S0140-6736(78)92762-9</w:t>
        </w:r>
      </w:hyperlink>
      <w:r>
        <w:t xml:space="preserve">（研究类型：牙科术后随机双盲药理实验）</w:t>
      </w:r>
    </w:p>
    <w:p>
      <w:pPr>
        <w:pStyle w:val="ReferenceEntry"/>
      </w:pPr>
      <w:bookmarkStart w:id="5417" w:name="ref-1411"/>
      <w:r>
        <w:t xml:space="preserve">[1411]</w:t>
      </w:r>
      <w:bookmarkEnd w:id="5417"/>
      <w:r>
        <w:t xml:space="preserve"> Kosek E, Clauw D, Nijs J, Baron R, Gilron I, Harris RE, et al. Chronic nociplastic pain affecting the musculoskeletal system clinical criteria and grading system.</w:t>
      </w:r>
      <w:r>
        <w:t xml:space="preserve"> </w:t>
      </w:r>
      <w:r>
        <w:rPr>
          <w:iCs/>
          <w:i/>
        </w:rPr>
        <w:t xml:space="preserve">Pain</w:t>
      </w:r>
      <w:r>
        <w:t xml:space="preserve">. 2021;162(11):2629–2634.</w:t>
      </w:r>
      <w:r>
        <w:t xml:space="preserve"> </w:t>
      </w:r>
      <w:hyperlink r:id="rId5418">
        <w:r>
          <w:rPr>
            <w:rStyle w:val="Hyperlink"/>
          </w:rPr>
          <w:t xml:space="preserve">https://doi.org/10.1097/j.pain.0000000000002324</w:t>
        </w:r>
      </w:hyperlink>
      <w:r>
        <w:t xml:space="preserve">（研究类型：专业临床标准）</w:t>
      </w:r>
    </w:p>
    <w:p>
      <w:pPr>
        <w:pStyle w:val="ReferenceEntry"/>
      </w:pPr>
      <w:bookmarkStart w:id="5419" w:name="ref-1412"/>
      <w:r>
        <w:t xml:space="preserve">[1412]</w:t>
      </w:r>
      <w:bookmarkEnd w:id="5419"/>
      <w:r>
        <w:t xml:space="preserve"> Finnerup NB, Haroutounian S, Kamerman P, Baron R, Bennett DLH, Bouhassira D, et al. Neuropathic pain an updated grading system for research and clinical practice.</w:t>
      </w:r>
      <w:r>
        <w:t xml:space="preserve"> </w:t>
      </w:r>
      <w:r>
        <w:rPr>
          <w:iCs/>
          <w:i/>
        </w:rPr>
        <w:t xml:space="preserve">Pain</w:t>
      </w:r>
      <w:r>
        <w:t xml:space="preserve">. 2016;157(8):1599–1606.</w:t>
      </w:r>
      <w:r>
        <w:t xml:space="preserve"> </w:t>
      </w:r>
      <w:hyperlink r:id="rId5420">
        <w:r>
          <w:rPr>
            <w:rStyle w:val="Hyperlink"/>
          </w:rPr>
          <w:t xml:space="preserve">https://doi.org/10.1097/j.pain.0000000000000492</w:t>
        </w:r>
      </w:hyperlink>
      <w:r>
        <w:t xml:space="preserve">（研究类型：专业分级框架）</w:t>
      </w:r>
    </w:p>
    <w:p>
      <w:pPr>
        <w:pStyle w:val="ReferenceEntry"/>
      </w:pPr>
      <w:bookmarkStart w:id="5421" w:name="ref-1413"/>
      <w:r>
        <w:t xml:space="preserve">[1413]</w:t>
      </w:r>
      <w:bookmarkEnd w:id="5421"/>
      <w:r>
        <w:t xml:space="preserve"> Brinjikji W, Luetmer PH, Comstock B, Bresnahan BW, Chen LE, Deyo RA, et al. Systematic literature review of imaging features of spinal degeneration in asymptomatic populations.</w:t>
      </w:r>
      <w:r>
        <w:t xml:space="preserve"> </w:t>
      </w:r>
      <w:r>
        <w:rPr>
          <w:iCs/>
          <w:i/>
        </w:rPr>
        <w:t xml:space="preserve">American Journal of Neuroradiology</w:t>
      </w:r>
      <w:r>
        <w:t xml:space="preserve">. 2015;36(4):811–816.</w:t>
      </w:r>
      <w:r>
        <w:t xml:space="preserve"> </w:t>
      </w:r>
      <w:hyperlink r:id="rId5422">
        <w:r>
          <w:rPr>
            <w:rStyle w:val="Hyperlink"/>
          </w:rPr>
          <w:t xml:space="preserve">https://doi.org/10.3174/ajnr.A4173</w:t>
        </w:r>
      </w:hyperlink>
      <w:r>
        <w:t xml:space="preserve">（研究类型：系统综述）</w:t>
      </w:r>
    </w:p>
    <w:p>
      <w:pPr>
        <w:pStyle w:val="ReferenceEntry"/>
      </w:pPr>
      <w:bookmarkStart w:id="5423" w:name="ref-1414"/>
      <w:r>
        <w:t xml:space="preserve">[1414]</w:t>
      </w:r>
      <w:bookmarkEnd w:id="5423"/>
      <w:r>
        <w:t xml:space="preserve"> Flor H. Phantom limb pain characteristics causes and treatment.</w:t>
      </w:r>
      <w:r>
        <w:t xml:space="preserve"> </w:t>
      </w:r>
      <w:r>
        <w:rPr>
          <w:iCs/>
          <w:i/>
        </w:rPr>
        <w:t xml:space="preserve">The Lancet Neurology</w:t>
      </w:r>
      <w:r>
        <w:t xml:space="preserve">. 2002;1(3):182–189.</w:t>
      </w:r>
      <w:r>
        <w:t xml:space="preserve"> </w:t>
      </w:r>
      <w:hyperlink r:id="rId5424">
        <w:r>
          <w:rPr>
            <w:rStyle w:val="Hyperlink"/>
          </w:rPr>
          <w:t xml:space="preserve">https://doi.org/10.1016/S1474-4422(02)00074-1</w:t>
        </w:r>
      </w:hyperlink>
      <w:r>
        <w:t xml:space="preserve">（研究类型：机制临床综述）</w:t>
      </w:r>
    </w:p>
    <w:p>
      <w:pPr>
        <w:pStyle w:val="ReferenceEntry"/>
      </w:pPr>
      <w:bookmarkStart w:id="5425" w:name="ref-1415"/>
      <w:r>
        <w:t xml:space="preserve">[1415]</w:t>
      </w:r>
      <w:bookmarkEnd w:id="5425"/>
      <w:r>
        <w:t xml:space="preserve"> Headache Classification Committee of the International Headache Society. The International Classification of Headache Disorders 3rd edition.</w:t>
      </w:r>
      <w:r>
        <w:t xml:space="preserve"> </w:t>
      </w:r>
      <w:r>
        <w:rPr>
          <w:iCs/>
          <w:i/>
        </w:rPr>
        <w:t xml:space="preserve">Cephalalgia</w:t>
      </w:r>
      <w:r>
        <w:t xml:space="preserve">. 2018;38(1):1–211.</w:t>
      </w:r>
      <w:r>
        <w:t xml:space="preserve"> </w:t>
      </w:r>
      <w:hyperlink r:id="rId5426">
        <w:r>
          <w:rPr>
            <w:rStyle w:val="Hyperlink"/>
          </w:rPr>
          <w:t xml:space="preserve">https://doi.org/10.1177/0333102417738202</w:t>
        </w:r>
      </w:hyperlink>
      <w:r>
        <w:t xml:space="preserve">（研究类型：国际头痛分类）</w:t>
      </w:r>
    </w:p>
    <w:p>
      <w:pPr>
        <w:pStyle w:val="ReferenceEntry"/>
      </w:pPr>
      <w:bookmarkStart w:id="5427" w:name="ref-1416"/>
      <w:r>
        <w:t xml:space="preserve">[1416]</w:t>
      </w:r>
      <w:bookmarkEnd w:id="5427"/>
      <w:r>
        <w:t xml:space="preserve"> International Headache Society. 1.2 Migraine with aura. 2026.</w:t>
      </w:r>
      <w:r>
        <w:t xml:space="preserve"> </w:t>
      </w:r>
      <w:hyperlink r:id="rId5428">
        <w:r>
          <w:rPr>
            <w:rStyle w:val="Hyperlink"/>
          </w:rPr>
          <w:t xml:space="preserve">https://ichd-3.org/1-migraine/1-2-migraine-with-aura/</w:t>
        </w:r>
      </w:hyperlink>
      <w:r>
        <w:t xml:space="preserve">（研究类型：ICHD3现行分类条目）</w:t>
      </w:r>
    </w:p>
    <w:p>
      <w:pPr>
        <w:pStyle w:val="ReferenceEntry"/>
      </w:pPr>
      <w:bookmarkStart w:id="5429" w:name="ref-1417"/>
      <w:r>
        <w:t xml:space="preserve">[1417]</w:t>
      </w:r>
      <w:bookmarkEnd w:id="5429"/>
      <w:r>
        <w:t xml:space="preserve"> Hadjikhani N, Sanchez del Rio M, Wu O, Schwartz D, Bakker D, Fischl B, et al. Mechanisms of migraine aura revealed by functional MRI in human visual cortex.</w:t>
      </w:r>
      <w:r>
        <w:t xml:space="preserve"> </w:t>
      </w:r>
      <w:r>
        <w:rPr>
          <w:iCs/>
          <w:i/>
        </w:rPr>
        <w:t xml:space="preserve">Proceedings of the National Academy of Sciences</w:t>
      </w:r>
      <w:r>
        <w:t xml:space="preserve">. 2001;98(8):4687–4692.</w:t>
      </w:r>
      <w:r>
        <w:t xml:space="preserve"> </w:t>
      </w:r>
      <w:hyperlink r:id="rId5430">
        <w:r>
          <w:rPr>
            <w:rStyle w:val="Hyperlink"/>
          </w:rPr>
          <w:t xml:space="preserve">https://doi.org/10.1073/pnas.071582498</w:t>
        </w:r>
      </w:hyperlink>
      <w:r>
        <w:t xml:space="preserve">（研究类型：发作期间连续功能MRI）</w:t>
      </w:r>
    </w:p>
    <w:p>
      <w:pPr>
        <w:pStyle w:val="ReferenceEntry"/>
      </w:pPr>
      <w:bookmarkStart w:id="5431" w:name="ref-1418"/>
      <w:r>
        <w:t xml:space="preserve">[1418]</w:t>
      </w:r>
      <w:bookmarkEnd w:id="5431"/>
      <w:r>
        <w:t xml:space="preserve"> Bolay H, Reuter U, Dunn AK, Huang Z, Boas DA, Moskowitz MA. Intrinsic brain activity triggers trigeminal meningeal afferents in a migraine model.</w:t>
      </w:r>
      <w:r>
        <w:t xml:space="preserve"> </w:t>
      </w:r>
      <w:r>
        <w:rPr>
          <w:iCs/>
          <w:i/>
        </w:rPr>
        <w:t xml:space="preserve">Nature Medicine</w:t>
      </w:r>
      <w:r>
        <w:t xml:space="preserve">. 2002;8(2):136–142.</w:t>
      </w:r>
      <w:r>
        <w:t xml:space="preserve"> </w:t>
      </w:r>
      <w:hyperlink r:id="rId5432">
        <w:r>
          <w:rPr>
            <w:rStyle w:val="Hyperlink"/>
          </w:rPr>
          <w:t xml:space="preserve">https://doi.org/10.1038/nm0202-136</w:t>
        </w:r>
      </w:hyperlink>
      <w:r>
        <w:t xml:space="preserve">（研究类型：动物神经血管机制实验）</w:t>
      </w:r>
    </w:p>
    <w:p>
      <w:pPr>
        <w:pStyle w:val="ReferenceEntry"/>
      </w:pPr>
      <w:bookmarkStart w:id="5433" w:name="ref-1419"/>
      <w:r>
        <w:t xml:space="preserve">[1419]</w:t>
      </w:r>
      <w:bookmarkEnd w:id="5433"/>
      <w:r>
        <w:t xml:space="preserve"> Hautakangas H, Winsvold BS, Ruotsalainen SE, Bjornsdottir G, Harder AVE, Kogelman LJA, et al. Genome-wide analysis of 102084 migraine cases identifies 123 risk loci and subtype-specific risk alleles.</w:t>
      </w:r>
      <w:r>
        <w:t xml:space="preserve"> </w:t>
      </w:r>
      <w:r>
        <w:rPr>
          <w:iCs/>
          <w:i/>
        </w:rPr>
        <w:t xml:space="preserve">Nature Genetics</w:t>
      </w:r>
      <w:r>
        <w:t xml:space="preserve">. 2022;54(2):152–160.</w:t>
      </w:r>
      <w:r>
        <w:t xml:space="preserve"> </w:t>
      </w:r>
      <w:hyperlink r:id="rId5434">
        <w:r>
          <w:rPr>
            <w:rStyle w:val="Hyperlink"/>
          </w:rPr>
          <w:t xml:space="preserve">https://doi.org/10.1038/s41588-021-00990-0</w:t>
        </w:r>
      </w:hyperlink>
      <w:r>
        <w:t xml:space="preserve">（研究类型：GWAS）</w:t>
      </w:r>
    </w:p>
    <w:p>
      <w:pPr>
        <w:pStyle w:val="ReferenceEntry"/>
      </w:pPr>
      <w:bookmarkStart w:id="5435" w:name="ref-1420"/>
      <w:r>
        <w:t xml:space="preserve">[1420]</w:t>
      </w:r>
      <w:bookmarkEnd w:id="5435"/>
      <w:r>
        <w:t xml:space="preserve"> Lassen L, Haderslev P, Jacobsen V, Iversen H, Sperling B, Olesen J. CGRP may play a causative role in migraine.</w:t>
      </w:r>
      <w:r>
        <w:t xml:space="preserve"> </w:t>
      </w:r>
      <w:r>
        <w:rPr>
          <w:iCs/>
          <w:i/>
        </w:rPr>
        <w:t xml:space="preserve">Cephalalgia</w:t>
      </w:r>
      <w:r>
        <w:t xml:space="preserve">. 2002;22(1):54–61.</w:t>
      </w:r>
      <w:r>
        <w:t xml:space="preserve"> </w:t>
      </w:r>
      <w:hyperlink r:id="rId5436">
        <w:r>
          <w:rPr>
            <w:rStyle w:val="Hyperlink"/>
          </w:rPr>
          <w:t xml:space="preserve">https://doi.org/10.1046/j.1468-2982.2002.00310.x</w:t>
        </w:r>
      </w:hyperlink>
      <w:r>
        <w:t xml:space="preserve">（研究类型：随机双盲交叉人体挑战）</w:t>
      </w:r>
    </w:p>
    <w:p>
      <w:pPr>
        <w:pStyle w:val="ReferenceEntry"/>
      </w:pPr>
      <w:bookmarkStart w:id="5437" w:name="ref-1421"/>
      <w:r>
        <w:t xml:space="preserve">[1421]</w:t>
      </w:r>
      <w:bookmarkEnd w:id="5437"/>
      <w:r>
        <w:t xml:space="preserve"> Charles AC, Digre KB, Goadsby PJ, Robbins MS, Hershey A, The American Headache Society. Calcitonin gene-related peptide-targeting therapies are a first-line option for the prevention of migraine An American Headache Society position statement update.</w:t>
      </w:r>
      <w:r>
        <w:t xml:space="preserve"> </w:t>
      </w:r>
      <w:r>
        <w:rPr>
          <w:iCs/>
          <w:i/>
        </w:rPr>
        <w:t xml:space="preserve">Headache: The Journal of Head and Face Pain</w:t>
      </w:r>
      <w:r>
        <w:t xml:space="preserve">. 2024;64(4):333–341.</w:t>
      </w:r>
      <w:r>
        <w:t xml:space="preserve"> </w:t>
      </w:r>
      <w:hyperlink r:id="rId5438">
        <w:r>
          <w:rPr>
            <w:rStyle w:val="Hyperlink"/>
          </w:rPr>
          <w:t xml:space="preserve">https://doi.org/10.1111/head.14692</w:t>
        </w:r>
      </w:hyperlink>
      <w:r>
        <w:t xml:space="preserve">（研究类型：美国头痛学会立场更新）</w:t>
      </w:r>
    </w:p>
    <w:p>
      <w:pPr>
        <w:pStyle w:val="ReferenceEntry"/>
      </w:pPr>
      <w:bookmarkStart w:id="5439" w:name="ref-1422"/>
      <w:r>
        <w:t xml:space="preserve">[1422]</w:t>
      </w:r>
      <w:bookmarkEnd w:id="5439"/>
      <w:r>
        <w:t xml:space="preserve"> International Headache Society. 8.2 Medication-overuse headache MOH. 2026.</w:t>
      </w:r>
      <w:r>
        <w:t xml:space="preserve"> </w:t>
      </w:r>
      <w:hyperlink r:id="rId5440">
        <w:r>
          <w:rPr>
            <w:rStyle w:val="Hyperlink"/>
          </w:rPr>
          <w:t xml:space="preserve">https://ichd-3.org/8-headache-attributed-to-a-substance-or-its-withdrawal/8-2-medication-overuse-headache-moh/</w:t>
        </w:r>
      </w:hyperlink>
      <w:r>
        <w:t xml:space="preserve">（研究类型：ICHD3现行分类条目）</w:t>
      </w:r>
    </w:p>
    <w:p>
      <w:pPr>
        <w:pStyle w:val="ReferenceEntry"/>
      </w:pPr>
      <w:bookmarkStart w:id="5441" w:name="ref-1423"/>
      <w:r>
        <w:t xml:space="preserve">[1423]</w:t>
      </w:r>
      <w:bookmarkEnd w:id="5441"/>
      <w:r>
        <w:t xml:space="preserve"> Reuter U, Ehrlich M, Gendolla A, Heinze A, Klatt J, Wen S, et al. Erenumab versus topiramate for the prevention of migraine a randomised double-blind active-controlled phase 4 trial.</w:t>
      </w:r>
      <w:r>
        <w:t xml:space="preserve"> </w:t>
      </w:r>
      <w:r>
        <w:rPr>
          <w:iCs/>
          <w:i/>
        </w:rPr>
        <w:t xml:space="preserve">Cephalalgia</w:t>
      </w:r>
      <w:r>
        <w:t xml:space="preserve">. 2022;42(2):108–118.</w:t>
      </w:r>
      <w:r>
        <w:t xml:space="preserve"> </w:t>
      </w:r>
      <w:hyperlink r:id="rId5442">
        <w:r>
          <w:rPr>
            <w:rStyle w:val="Hyperlink"/>
          </w:rPr>
          <w:t xml:space="preserve">https://doi.org/10.1177/03331024211053571</w:t>
        </w:r>
      </w:hyperlink>
      <w:r>
        <w:t xml:space="preserve">（研究类型：HER-MES随机双盲双模拟活性对照）</w:t>
      </w:r>
    </w:p>
    <w:p>
      <w:pPr>
        <w:pStyle w:val="ReferenceEntry"/>
      </w:pPr>
      <w:bookmarkStart w:id="5443" w:name="ref-1424"/>
      <w:r>
        <w:t xml:space="preserve">[1424]</w:t>
      </w:r>
      <w:bookmarkEnd w:id="5443"/>
      <w:r>
        <w:t xml:space="preserve"> Amgen US label via DailyMed. AIMOVIG erenumab-aooe prescribing information. 2026.</w:t>
      </w:r>
      <w:r>
        <w:t xml:space="preserve"> </w:t>
      </w:r>
      <w:hyperlink r:id="rId5444">
        <w:r>
          <w:rPr>
            <w:rStyle w:val="Hyperlink"/>
          </w:rPr>
          <w:t xml:space="preserve">https://dailymed.nlm.nih.gov/dailymed/fda/fdaDrugXsl.cfm?setid=b998ed05-94b0-47fd-b28f-cddd1e128fd8</w:t>
        </w:r>
      </w:hyperlink>
      <w:r>
        <w:t xml:space="preserve">（研究类型：2026读取现行美国药品标签2025修订）</w:t>
      </w:r>
    </w:p>
    <w:p>
      <w:pPr>
        <w:pStyle w:val="ReferenceEntry"/>
      </w:pPr>
      <w:bookmarkStart w:id="5445" w:name="ref-1425"/>
      <w:r>
        <w:t xml:space="preserve">[1425]</w:t>
      </w:r>
      <w:bookmarkEnd w:id="5445"/>
      <w:r>
        <w:t xml:space="preserve"> International Headache Society. 3.1 Cluster headache. 2026.</w:t>
      </w:r>
      <w:r>
        <w:t xml:space="preserve"> </w:t>
      </w:r>
      <w:hyperlink r:id="rId5446">
        <w:r>
          <w:rPr>
            <w:rStyle w:val="Hyperlink"/>
          </w:rPr>
          <w:t xml:space="preserve">https://ichd-3.org/3-trigeminal-autonomic-cephalalgias/3-1-cluster-headache/</w:t>
        </w:r>
      </w:hyperlink>
      <w:r>
        <w:t xml:space="preserve">（研究类型：ICHD3现行分类条目）</w:t>
      </w:r>
    </w:p>
    <w:p>
      <w:pPr>
        <w:pStyle w:val="ReferenceEntry"/>
      </w:pPr>
      <w:bookmarkStart w:id="5447" w:name="ref-1426"/>
      <w:r>
        <w:t xml:space="preserve">[1426]</w:t>
      </w:r>
      <w:bookmarkEnd w:id="5447"/>
      <w:r>
        <w:t xml:space="preserve"> May A, Bahra A, Büchel C, Frackowiak RS, Goadsby PJ. Hypothalamic activation in cluster headache attacks.</w:t>
      </w:r>
      <w:r>
        <w:t xml:space="preserve"> </w:t>
      </w:r>
      <w:r>
        <w:rPr>
          <w:iCs/>
          <w:i/>
        </w:rPr>
        <w:t xml:space="preserve">The Lancet</w:t>
      </w:r>
      <w:r>
        <w:t xml:space="preserve">. 1998;352(9124):275–278.</w:t>
      </w:r>
      <w:r>
        <w:t xml:space="preserve"> </w:t>
      </w:r>
      <w:hyperlink r:id="rId5448">
        <w:r>
          <w:rPr>
            <w:rStyle w:val="Hyperlink"/>
          </w:rPr>
          <w:t xml:space="preserve">https://doi.org/10.1016/S0140-6736(98)02470-2</w:t>
        </w:r>
      </w:hyperlink>
      <w:r>
        <w:t xml:space="preserve">（研究类型：发作诱发PET区域血流）</w:t>
      </w:r>
    </w:p>
    <w:p>
      <w:pPr>
        <w:pStyle w:val="ReferenceEntry"/>
      </w:pPr>
      <w:bookmarkStart w:id="5449" w:name="ref-1427"/>
      <w:r>
        <w:t xml:space="preserve">[1427]</w:t>
      </w:r>
      <w:bookmarkEnd w:id="5449"/>
      <w:r>
        <w:t xml:space="preserve"> Goadsby PJ, Dodick DW, Leone M, Bardos JN, Oakes TM, Millen BA, et al. Trial of Galcanezumab in Prevention of Episodic Cluster Headache.</w:t>
      </w:r>
      <w:r>
        <w:t xml:space="preserve"> </w:t>
      </w:r>
      <w:r>
        <w:rPr>
          <w:iCs/>
          <w:i/>
        </w:rPr>
        <w:t xml:space="preserve">New England Journal of Medicine</w:t>
      </w:r>
      <w:r>
        <w:t xml:space="preserve">. 2019;381(2):132–141.</w:t>
      </w:r>
      <w:r>
        <w:t xml:space="preserve"> </w:t>
      </w:r>
      <w:hyperlink r:id="rId5450">
        <w:r>
          <w:rPr>
            <w:rStyle w:val="Hyperlink"/>
          </w:rPr>
          <w:t xml:space="preserve">https://doi.org/10.1056/NEJMoa1813440</w:t>
        </w:r>
      </w:hyperlink>
      <w:r>
        <w:t xml:space="preserve">（研究类型：随机安慰剂对照）</w:t>
      </w:r>
    </w:p>
    <w:p>
      <w:pPr>
        <w:pStyle w:val="ReferenceEntry"/>
      </w:pPr>
      <w:bookmarkStart w:id="5451" w:name="ref-1428"/>
      <w:r>
        <w:t xml:space="preserve">[1428]</w:t>
      </w:r>
      <w:bookmarkEnd w:id="5451"/>
      <w:r>
        <w:t xml:space="preserve"> Dodick DW, Goadsby PJ, Lucas C, Jensen R, Bardos JN, Martinez JM, et al. Phase 3 randomized placebo-controlled study of galcanezumab in patients with chronic cluster headache Results from 3-month double-blind treatment.</w:t>
      </w:r>
      <w:r>
        <w:t xml:space="preserve"> </w:t>
      </w:r>
      <w:r>
        <w:rPr>
          <w:iCs/>
          <w:i/>
        </w:rPr>
        <w:t xml:space="preserve">Cephalalgia</w:t>
      </w:r>
      <w:r>
        <w:t xml:space="preserve">. 2020;40(9):935–948.</w:t>
      </w:r>
      <w:r>
        <w:t xml:space="preserve"> </w:t>
      </w:r>
      <w:hyperlink r:id="rId5452">
        <w:r>
          <w:rPr>
            <w:rStyle w:val="Hyperlink"/>
          </w:rPr>
          <w:t xml:space="preserve">https://doi.org/10.1177/0333102420905321</w:t>
        </w:r>
      </w:hyperlink>
      <w:r>
        <w:t xml:space="preserve">（研究类型：随机双盲安慰剂）</w:t>
      </w:r>
    </w:p>
    <w:p>
      <w:pPr>
        <w:pStyle w:val="ReferenceEntry"/>
      </w:pPr>
      <w:bookmarkStart w:id="5453" w:name="ref-1429"/>
      <w:r>
        <w:t xml:space="preserve">[1429]</w:t>
      </w:r>
      <w:bookmarkEnd w:id="5453"/>
      <w:r>
        <w:t xml:space="preserve"> Jensen RH, Tassorelli C, Tepper SJ, Charles A, Goadsby PJ, Snoer AH, et al. Efficacy and Safety of Eptinezumab in Episodic Cluster Headache A Randomized Clinical Trial.</w:t>
      </w:r>
      <w:r>
        <w:t xml:space="preserve"> </w:t>
      </w:r>
      <w:r>
        <w:rPr>
          <w:iCs/>
          <w:i/>
        </w:rPr>
        <w:t xml:space="preserve">JAMA Neurology</w:t>
      </w:r>
      <w:r>
        <w:t xml:space="preserve">. 2025;82(7):706.</w:t>
      </w:r>
      <w:r>
        <w:t xml:space="preserve"> </w:t>
      </w:r>
      <w:hyperlink r:id="rId5454">
        <w:r>
          <w:rPr>
            <w:rStyle w:val="Hyperlink"/>
          </w:rPr>
          <w:t xml:space="preserve">https://doi.org/10.1001/jamaneurol.2025.1317</w:t>
        </w:r>
      </w:hyperlink>
      <w:r>
        <w:t xml:space="preserve">（研究类型：ALLEVIATE随机双盲安慰剂）</w:t>
      </w:r>
    </w:p>
    <w:p>
      <w:pPr>
        <w:pStyle w:val="ReferenceEntry"/>
      </w:pPr>
      <w:bookmarkStart w:id="5455" w:name="ref-1430"/>
      <w:r>
        <w:t xml:space="preserve">[1430]</w:t>
      </w:r>
      <w:bookmarkEnd w:id="5455"/>
      <w:r>
        <w:t xml:space="preserve"> Bendtsen L, Zakrzewska JM, Abbott J, Braschinsky M, Di Stefano G, Donnet A, et al. European Academy of Neurology guideline on trigeminal neuralgia.</w:t>
      </w:r>
      <w:r>
        <w:t xml:space="preserve"> </w:t>
      </w:r>
      <w:r>
        <w:rPr>
          <w:iCs/>
          <w:i/>
        </w:rPr>
        <w:t xml:space="preserve">European Journal of Neurology</w:t>
      </w:r>
      <w:r>
        <w:t xml:space="preserve">. 2019;26(6):831–849.</w:t>
      </w:r>
      <w:r>
        <w:t xml:space="preserve"> </w:t>
      </w:r>
      <w:hyperlink r:id="rId5456">
        <w:r>
          <w:rPr>
            <w:rStyle w:val="Hyperlink"/>
          </w:rPr>
          <w:t xml:space="preserve">https://doi.org/10.1111/ene.13950</w:t>
        </w:r>
      </w:hyperlink>
      <w:r>
        <w:t xml:space="preserve">（研究类型：系统综述及EAN指南）</w:t>
      </w:r>
    </w:p>
    <w:p>
      <w:pPr>
        <w:pStyle w:val="ReferenceEntry"/>
      </w:pPr>
      <w:bookmarkStart w:id="5457" w:name="ref-1431"/>
      <w:r>
        <w:t xml:space="preserve">[1431]</w:t>
      </w:r>
      <w:bookmarkEnd w:id="5457"/>
      <w:r>
        <w:t xml:space="preserve"> Do TP, Remmers A, Schytz HW, Schankin C, Nelson SE, Obermann M, et al. Red and orange flags for secondary headaches in clinical practice SNNOOP10 list.</w:t>
      </w:r>
      <w:r>
        <w:t xml:space="preserve"> </w:t>
      </w:r>
      <w:r>
        <w:rPr>
          <w:iCs/>
          <w:i/>
        </w:rPr>
        <w:t xml:space="preserve">Neurology</w:t>
      </w:r>
      <w:r>
        <w:t xml:space="preserve">. 2019;92(3):134–144.</w:t>
      </w:r>
      <w:r>
        <w:t xml:space="preserve"> </w:t>
      </w:r>
      <w:hyperlink r:id="rId5458">
        <w:r>
          <w:rPr>
            <w:rStyle w:val="Hyperlink"/>
          </w:rPr>
          <w:t xml:space="preserve">https://doi.org/10.1212/WNL.0000000000006697</w:t>
        </w:r>
      </w:hyperlink>
      <w:r>
        <w:t xml:space="preserve">（研究类型：临床风险线索证据综述）</w:t>
      </w:r>
    </w:p>
    <w:p>
      <w:pPr>
        <w:pStyle w:val="ReferenceEntry"/>
      </w:pPr>
      <w:bookmarkStart w:id="5459" w:name="ref-1432"/>
      <w:r>
        <w:t xml:space="preserve">[1432]</w:t>
      </w:r>
      <w:bookmarkEnd w:id="5459"/>
      <w:r>
        <w:t xml:space="preserve"> Lempert T, Olesen J, Furman J, Waterston J, Seemungal B, Carey J, et al. Vestibular migraine: Diagnostic criteria (Update): Literature update 2021: Consensus document of the Bárány Society and the International Headache Society.</w:t>
      </w:r>
      <w:r>
        <w:t xml:space="preserve"> </w:t>
      </w:r>
      <w:r>
        <w:rPr>
          <w:iCs/>
          <w:i/>
        </w:rPr>
        <w:t xml:space="preserve">Journal of Vestibular Research</w:t>
      </w:r>
      <w:r>
        <w:t xml:space="preserve">. 2022;32(1):1–6.</w:t>
      </w:r>
      <w:r>
        <w:t xml:space="preserve"> </w:t>
      </w:r>
      <w:hyperlink r:id="rId5460">
        <w:r>
          <w:rPr>
            <w:rStyle w:val="Hyperlink"/>
          </w:rPr>
          <w:t xml:space="preserve">https://doi.org/10.3233/VES-201644</w:t>
        </w:r>
      </w:hyperlink>
      <w:r>
        <w:t xml:space="preserve">（研究类型：两协会分类共识更新）</w:t>
      </w:r>
    </w:p>
    <w:p>
      <w:pPr>
        <w:pStyle w:val="ReferenceEntry"/>
      </w:pPr>
      <w:bookmarkStart w:id="5461" w:name="ref-1433"/>
      <w:r>
        <w:t xml:space="preserve">[1433]</w:t>
      </w:r>
      <w:bookmarkEnd w:id="5461"/>
      <w:r>
        <w:t xml:space="preserve"> Staab JP, Eckhardt-Henn A, Horii A, Jacob R, Strupp M, Brandt T, et al. Diagnostic criteria for persistent postural-perceptual dizziness PPPD Consensus document of the committee for the Classification of Vestibular Disorders of the Barany Society.</w:t>
      </w:r>
      <w:r>
        <w:t xml:space="preserve"> </w:t>
      </w:r>
      <w:r>
        <w:rPr>
          <w:iCs/>
          <w:i/>
        </w:rPr>
        <w:t xml:space="preserve">Journal of Vestibular Research</w:t>
      </w:r>
      <w:r>
        <w:t xml:space="preserve">. 2017;27(4):191–208.</w:t>
      </w:r>
      <w:r>
        <w:t xml:space="preserve"> </w:t>
      </w:r>
      <w:hyperlink r:id="rId5462">
        <w:r>
          <w:rPr>
            <w:rStyle w:val="Hyperlink"/>
          </w:rPr>
          <w:t xml:space="preserve">https://doi.org/10.3233/VES-170622</w:t>
        </w:r>
      </w:hyperlink>
      <w:r>
        <w:t xml:space="preserve">（研究类型：专业分类共识）</w:t>
      </w:r>
    </w:p>
    <w:p>
      <w:pPr>
        <w:pStyle w:val="ReferenceEntry"/>
      </w:pPr>
      <w:bookmarkStart w:id="5463" w:name="ref-1434"/>
      <w:r>
        <w:t xml:space="preserve">[1434]</w:t>
      </w:r>
      <w:bookmarkEnd w:id="5463"/>
      <w:r>
        <w:t xml:space="preserve"> Webster KE, Harrington-Benton NA, Judd O, Kaski D, Maarsingh OR, MacKeith S, et al. Pharmacological interventions for persistent postural-perceptual dizziness PPPD.</w:t>
      </w:r>
      <w:r>
        <w:t xml:space="preserve"> </w:t>
      </w:r>
      <w:r>
        <w:rPr>
          <w:iCs/>
          <w:i/>
        </w:rPr>
        <w:t xml:space="preserve">Cochrane Database of Systematic Reviews</w:t>
      </w:r>
      <w:r>
        <w:t xml:space="preserve">. 2023;2023(3).</w:t>
      </w:r>
      <w:r>
        <w:t xml:space="preserve"> </w:t>
      </w:r>
      <w:hyperlink r:id="rId5464">
        <w:r>
          <w:rPr>
            <w:rStyle w:val="Hyperlink"/>
          </w:rPr>
          <w:t xml:space="preserve">https://doi.org/10.1002/14651858.CD015188.pub2</w:t>
        </w:r>
      </w:hyperlink>
      <w:r>
        <w:t xml:space="preserve">（研究类型：Cochrane系统综述）</w:t>
      </w:r>
    </w:p>
    <w:p>
      <w:pPr>
        <w:pStyle w:val="ReferenceEntry"/>
      </w:pPr>
      <w:bookmarkStart w:id="5465" w:name="ref-1435"/>
      <w:r>
        <w:t xml:space="preserve">[1435]</w:t>
      </w:r>
      <w:bookmarkEnd w:id="5465"/>
      <w:r>
        <w:t xml:space="preserve"> Bukovsky D, Song J, Shewchuk H, Carmona-Torres E, Crawford E, Dillon WA, et al. Evaluating the effect of antidepressants for persistent postural-perceptual dizziness A systematic review.</w:t>
      </w:r>
      <w:r>
        <w:t xml:space="preserve"> </w:t>
      </w:r>
      <w:r>
        <w:rPr>
          <w:iCs/>
          <w:i/>
        </w:rPr>
        <w:t xml:space="preserve">Journal of Vestibular Research</w:t>
      </w:r>
      <w:r>
        <w:t xml:space="preserve">. 2026:09574271261468395.</w:t>
      </w:r>
      <w:r>
        <w:t xml:space="preserve"> </w:t>
      </w:r>
      <w:hyperlink r:id="rId5466">
        <w:r>
          <w:rPr>
            <w:rStyle w:val="Hyperlink"/>
          </w:rPr>
          <w:t xml:space="preserve">https://doi.org/10.1177/09574271261468395</w:t>
        </w:r>
      </w:hyperlink>
      <w:r>
        <w:t xml:space="preserve">（研究类型：系统综述含多种设计与旧诊断）</w:t>
      </w:r>
    </w:p>
    <w:p>
      <w:pPr>
        <w:pStyle w:val="ReferenceEntry"/>
      </w:pPr>
      <w:bookmarkStart w:id="5467" w:name="ref-1436"/>
      <w:r>
        <w:t xml:space="preserve">[1436]</w:t>
      </w:r>
      <w:bookmarkEnd w:id="5467"/>
      <w:r>
        <w:t xml:space="preserve"> Aybek S, Perez DL. Diagnosis and management of functional neurological disorder.</w:t>
      </w:r>
      <w:r>
        <w:t xml:space="preserve"> </w:t>
      </w:r>
      <w:r>
        <w:rPr>
          <w:iCs/>
          <w:i/>
        </w:rPr>
        <w:t xml:space="preserve">BMJ</w:t>
      </w:r>
      <w:r>
        <w:t xml:space="preserve">. 2022:o64.</w:t>
      </w:r>
      <w:r>
        <w:t xml:space="preserve"> </w:t>
      </w:r>
      <w:hyperlink r:id="rId5468">
        <w:r>
          <w:rPr>
            <w:rStyle w:val="Hyperlink"/>
          </w:rPr>
          <w:t xml:space="preserve">https://doi.org/10.1136/bmj.o64</w:t>
        </w:r>
      </w:hyperlink>
      <w:r>
        <w:t xml:space="preserve">（研究类型：临床证据综述）</w:t>
      </w:r>
    </w:p>
    <w:p>
      <w:pPr>
        <w:pStyle w:val="ReferenceEntry"/>
      </w:pPr>
      <w:bookmarkStart w:id="5469" w:name="ref-1437"/>
      <w:r>
        <w:t xml:space="preserve">[1437]</w:t>
      </w:r>
      <w:bookmarkEnd w:id="5469"/>
      <w:r>
        <w:t xml:space="preserve"> Hallett M, Aybek S, Dworetzky BA, McWhirter L, Staab JP, Stone J. Functional neurological disorder new subtypes and shared mechanisms.</w:t>
      </w:r>
      <w:r>
        <w:t xml:space="preserve"> </w:t>
      </w:r>
      <w:r>
        <w:rPr>
          <w:iCs/>
          <w:i/>
        </w:rPr>
        <w:t xml:space="preserve">The Lancet Neurology</w:t>
      </w:r>
      <w:r>
        <w:t xml:space="preserve">. 2022;21(6):537–550.</w:t>
      </w:r>
      <w:r>
        <w:t xml:space="preserve"> </w:t>
      </w:r>
      <w:hyperlink r:id="rId5470">
        <w:r>
          <w:rPr>
            <w:rStyle w:val="Hyperlink"/>
          </w:rPr>
          <w:t xml:space="preserve">https://doi.org/10.1016/S1474-4422(21)00422-1</w:t>
        </w:r>
      </w:hyperlink>
      <w:r>
        <w:t xml:space="preserve">（研究类型：机制与临床整合综述）</w:t>
      </w:r>
    </w:p>
    <w:p>
      <w:pPr>
        <w:pStyle w:val="ReferenceEntry"/>
      </w:pPr>
      <w:bookmarkStart w:id="5471" w:name="ref-1438"/>
      <w:r>
        <w:t xml:space="preserve">[1438]</w:t>
      </w:r>
      <w:bookmarkEnd w:id="5471"/>
      <w:r>
        <w:t xml:space="preserve"> McWhirter L, Stone J, Sandercock P, Whiteley W. Hoovers sign for the diagnosis of functional weakness A prospective unblinded cohort study in patients with suspected stroke.</w:t>
      </w:r>
      <w:r>
        <w:t xml:space="preserve"> </w:t>
      </w:r>
      <w:r>
        <w:rPr>
          <w:iCs/>
          <w:i/>
        </w:rPr>
        <w:t xml:space="preserve">Journal of Psychosomatic Research</w:t>
      </w:r>
      <w:r>
        <w:t xml:space="preserve">. 2011;71(6):384–386.</w:t>
      </w:r>
      <w:r>
        <w:t xml:space="preserve"> </w:t>
      </w:r>
      <w:hyperlink r:id="rId5472">
        <w:r>
          <w:rPr>
            <w:rStyle w:val="Hyperlink"/>
          </w:rPr>
          <w:t xml:space="preserve">https://doi.org/10.1016/j.jpsychores.2011.09.003</w:t>
        </w:r>
      </w:hyperlink>
      <w:r>
        <w:t xml:space="preserve">（研究类型：疑卒中前瞻非盲诊断队列）</w:t>
      </w:r>
    </w:p>
    <w:p>
      <w:pPr>
        <w:pStyle w:val="ReferenceEntry"/>
      </w:pPr>
      <w:bookmarkStart w:id="5473" w:name="ref-1439"/>
      <w:r>
        <w:t xml:space="preserve">[1439]</w:t>
      </w:r>
      <w:bookmarkEnd w:id="5473"/>
      <w:r>
        <w:t xml:space="preserve"> Schwingenschuh P, Saifee TA, Katschnig‐Winter P, Macerollo A, Koegl‐Wallner M, Culea V, et al. Validation of laboratory-supported criteria for functional psychogenic tremor.</w:t>
      </w:r>
      <w:r>
        <w:t xml:space="preserve"> </w:t>
      </w:r>
      <w:r>
        <w:rPr>
          <w:iCs/>
          <w:i/>
        </w:rPr>
        <w:t xml:space="preserve">Movement Disorders</w:t>
      </w:r>
      <w:r>
        <w:t xml:space="preserve">. 2016;31(4):555–562.</w:t>
      </w:r>
      <w:r>
        <w:t xml:space="preserve"> </w:t>
      </w:r>
      <w:hyperlink r:id="rId5474">
        <w:r>
          <w:rPr>
            <w:rStyle w:val="Hyperlink"/>
          </w:rPr>
          <w:t xml:space="preserve">https://doi.org/10.1002/mds.26525</w:t>
        </w:r>
      </w:hyperlink>
      <w:r>
        <w:t xml:space="preserve">（研究类型：前瞻电生理电池验证）</w:t>
      </w:r>
    </w:p>
    <w:p>
      <w:pPr>
        <w:pStyle w:val="ReferenceEntry"/>
      </w:pPr>
      <w:bookmarkStart w:id="5475" w:name="ref-1440"/>
      <w:r>
        <w:t xml:space="preserve">[1440]</w:t>
      </w:r>
      <w:bookmarkEnd w:id="5475"/>
      <w:r>
        <w:t xml:space="preserve"> Edwards MJ, Adams RA, Brown H, Parees I, Friston KJ. A Bayesian account of hysteria.</w:t>
      </w:r>
      <w:r>
        <w:t xml:space="preserve"> </w:t>
      </w:r>
      <w:r>
        <w:rPr>
          <w:iCs/>
          <w:i/>
        </w:rPr>
        <w:t xml:space="preserve">Brain</w:t>
      </w:r>
      <w:r>
        <w:t xml:space="preserve">. 2012;135(11):3495–3512.</w:t>
      </w:r>
      <w:r>
        <w:t xml:space="preserve"> </w:t>
      </w:r>
      <w:hyperlink r:id="rId5476">
        <w:r>
          <w:rPr>
            <w:rStyle w:val="Hyperlink"/>
          </w:rPr>
          <w:t xml:space="preserve">https://doi.org/10.1093/brain/aws129</w:t>
        </w:r>
      </w:hyperlink>
      <w:r>
        <w:t xml:space="preserve">（研究类型：功能运动感觉症状理论模型）</w:t>
      </w:r>
    </w:p>
    <w:p>
      <w:pPr>
        <w:pStyle w:val="ReferenceEntry"/>
      </w:pPr>
      <w:bookmarkStart w:id="5477" w:name="ref-1441"/>
      <w:r>
        <w:t xml:space="preserve">[1441]</w:t>
      </w:r>
      <w:bookmarkEnd w:id="5477"/>
      <w:r>
        <w:t xml:space="preserve"> LaFrance WC, Baker GA, Duncan R, Goldstein LH, Reuber M. Minimum requirements for the diagnosis of psychogenic nonepileptic seizures: a staged approach: a report from the International League Against Epilepsy Nonepileptic Seizures Task Force.</w:t>
      </w:r>
      <w:r>
        <w:t xml:space="preserve"> </w:t>
      </w:r>
      <w:r>
        <w:rPr>
          <w:iCs/>
          <w:i/>
        </w:rPr>
        <w:t xml:space="preserve">Epilepsia</w:t>
      </w:r>
      <w:r>
        <w:t xml:space="preserve">. 2013;54(11):2005–2018.</w:t>
      </w:r>
      <w:r>
        <w:t xml:space="preserve"> </w:t>
      </w:r>
      <w:hyperlink r:id="rId5478">
        <w:r>
          <w:rPr>
            <w:rStyle w:val="Hyperlink"/>
          </w:rPr>
          <w:t xml:space="preserve">https://doi.org/10.1111/epi.12356</w:t>
        </w:r>
      </w:hyperlink>
      <w:r>
        <w:t xml:space="preserve">（研究类型：ILAE诊断共识）</w:t>
      </w:r>
    </w:p>
    <w:p>
      <w:pPr>
        <w:pStyle w:val="ReferenceEntry"/>
      </w:pPr>
      <w:bookmarkStart w:id="5479" w:name="ref-1442"/>
      <w:r>
        <w:t xml:space="preserve">[1442]</w:t>
      </w:r>
      <w:bookmarkEnd w:id="5479"/>
      <w:r>
        <w:t xml:space="preserve"> Tolchin B, Goldstein LH, Reuber M, Stone J, Perez DL, LaFrance WC, et al. Management of Functional Seizures Practice Guideline Executive Summary Report of the AAN Guidelines Subcommittee.</w:t>
      </w:r>
      <w:r>
        <w:t xml:space="preserve"> </w:t>
      </w:r>
      <w:r>
        <w:rPr>
          <w:iCs/>
          <w:i/>
        </w:rPr>
        <w:t xml:space="preserve">Neurology</w:t>
      </w:r>
      <w:r>
        <w:t xml:space="preserve">. 2026;106(1):e214466.</w:t>
      </w:r>
      <w:r>
        <w:t xml:space="preserve"> </w:t>
      </w:r>
      <w:hyperlink r:id="rId5480">
        <w:r>
          <w:rPr>
            <w:rStyle w:val="Hyperlink"/>
          </w:rPr>
          <w:t xml:space="preserve">https://doi.org/10.1212/WNL.0000000000214466</w:t>
        </w:r>
      </w:hyperlink>
      <w:r>
        <w:t xml:space="preserve">（研究类型：AAN系统综述与实践指南）</w:t>
      </w:r>
    </w:p>
    <w:p>
      <w:pPr>
        <w:pStyle w:val="ReferenceEntry"/>
      </w:pPr>
      <w:bookmarkStart w:id="5481" w:name="ref-1443"/>
      <w:r>
        <w:t xml:space="preserve">[1443]</w:t>
      </w:r>
      <w:bookmarkEnd w:id="5481"/>
      <w:r>
        <w:t xml:space="preserve"> Goldstein LH, Robinson EJ, Mellers JDC, Stone J, Carson A, Reuber M, et al. Cognitive behavioural therapy for adults with dissociative seizures CODES a pragmatic multicentre randomised controlled trial.</w:t>
      </w:r>
      <w:r>
        <w:t xml:space="preserve"> </w:t>
      </w:r>
      <w:r>
        <w:rPr>
          <w:iCs/>
          <w:i/>
        </w:rPr>
        <w:t xml:space="preserve">The Lancet Psychiatry</w:t>
      </w:r>
      <w:r>
        <w:t xml:space="preserve">. 2020;7(6):491–505.</w:t>
      </w:r>
      <w:r>
        <w:t xml:space="preserve"> </w:t>
      </w:r>
      <w:hyperlink r:id="rId5482">
        <w:r>
          <w:rPr>
            <w:rStyle w:val="Hyperlink"/>
          </w:rPr>
          <w:t xml:space="preserve">https://doi.org/10.1016/S2215-0366(20)30128-0</w:t>
        </w:r>
      </w:hyperlink>
      <w:r>
        <w:t xml:space="preserve">（研究类型：随机实用多中心）</w:t>
      </w:r>
    </w:p>
    <w:p>
      <w:pPr>
        <w:pStyle w:val="ReferenceEntry"/>
      </w:pPr>
      <w:bookmarkStart w:id="5483" w:name="ref-1444"/>
      <w:r>
        <w:t xml:space="preserve">[1444]</w:t>
      </w:r>
      <w:bookmarkEnd w:id="5483"/>
      <w:r>
        <w:t xml:space="preserve"> Nielsen G, Stone J, Matthews A, Brown M, Sparkes C, Farmer R, et al. Physiotherapy for functional motor disorders a consensus recommendation.</w:t>
      </w:r>
      <w:r>
        <w:t xml:space="preserve"> </w:t>
      </w:r>
      <w:r>
        <w:rPr>
          <w:iCs/>
          <w:i/>
        </w:rPr>
        <w:t xml:space="preserve">Journal of Neurology, Neurosurgery &amp; Psychiatry</w:t>
      </w:r>
      <w:r>
        <w:t xml:space="preserve">. 2015;86(10):1113–1119.</w:t>
      </w:r>
      <w:r>
        <w:t xml:space="preserve"> </w:t>
      </w:r>
      <w:hyperlink r:id="rId5484">
        <w:r>
          <w:rPr>
            <w:rStyle w:val="Hyperlink"/>
          </w:rPr>
          <w:t xml:space="preserve">https://doi.org/10.1136/jnnp-2014-309255</w:t>
        </w:r>
      </w:hyperlink>
      <w:r>
        <w:t xml:space="preserve">（研究类型：专业共识框架）</w:t>
      </w:r>
    </w:p>
    <w:p>
      <w:pPr>
        <w:pStyle w:val="ReferenceEntry"/>
      </w:pPr>
      <w:bookmarkStart w:id="5485" w:name="ref-1445"/>
      <w:r>
        <w:t xml:space="preserve">[1445]</w:t>
      </w:r>
      <w:bookmarkEnd w:id="5485"/>
      <w:r>
        <w:t xml:space="preserve"> Nielsen G, Stone J, Lee TC, Goldstein LH, Marston L, Hunter RM, et al. Specialist physiotherapy for functional motor disorder in England and Scotland Physio4FMD a pragmatic multicentre phase 3 randomised controlled trial.</w:t>
      </w:r>
      <w:r>
        <w:t xml:space="preserve"> </w:t>
      </w:r>
      <w:r>
        <w:rPr>
          <w:iCs/>
          <w:i/>
        </w:rPr>
        <w:t xml:space="preserve">The Lancet Neurology</w:t>
      </w:r>
      <w:r>
        <w:t xml:space="preserve">. 2024;23(7):675–686.</w:t>
      </w:r>
      <w:r>
        <w:t xml:space="preserve"> </w:t>
      </w:r>
      <w:hyperlink r:id="rId5486">
        <w:r>
          <w:rPr>
            <w:rStyle w:val="Hyperlink"/>
          </w:rPr>
          <w:t xml:space="preserve">https://doi.org/10.1016/S1474-4422(24)00135-2</w:t>
        </w:r>
      </w:hyperlink>
      <w:r>
        <w:t xml:space="preserve">（研究类型：随机实用三期）</w:t>
      </w:r>
    </w:p>
    <w:p>
      <w:pPr>
        <w:pStyle w:val="ReferenceEntry"/>
      </w:pPr>
      <w:bookmarkStart w:id="5487" w:name="ref-1446"/>
      <w:r>
        <w:t xml:space="preserve">[1446]</w:t>
      </w:r>
      <w:bookmarkEnd w:id="5487"/>
      <w:r>
        <w:t xml:space="preserve"> Ball HA, McWhirter L, Ballard C, Bhome R, Blackburn DJ, Edwards MJ, et al. Functional cognitive disorder dementias blind spot.</w:t>
      </w:r>
      <w:r>
        <w:t xml:space="preserve"> </w:t>
      </w:r>
      <w:r>
        <w:rPr>
          <w:iCs/>
          <w:i/>
        </w:rPr>
        <w:t xml:space="preserve">Brain</w:t>
      </w:r>
      <w:r>
        <w:t xml:space="preserve">. 2020;143(10):2895–2903.</w:t>
      </w:r>
      <w:r>
        <w:t xml:space="preserve"> </w:t>
      </w:r>
      <w:hyperlink r:id="rId5488">
        <w:r>
          <w:rPr>
            <w:rStyle w:val="Hyperlink"/>
          </w:rPr>
          <w:t xml:space="preserve">https://doi.org/10.1093/brain/awaa224</w:t>
        </w:r>
      </w:hyperlink>
      <w:r>
        <w:t xml:space="preserve">（研究类型：临床概念及诊断框架）</w:t>
      </w:r>
    </w:p>
    <w:p>
      <w:pPr>
        <w:pStyle w:val="ReferenceEntry"/>
      </w:pPr>
      <w:bookmarkStart w:id="5489" w:name="ref-1447"/>
      <w:r>
        <w:t xml:space="preserve">[1447]</w:t>
      </w:r>
      <w:bookmarkEnd w:id="5489"/>
      <w:r>
        <w:t xml:space="preserve"> Riemann D, Espie CA, Altena E, Arnardottir ES, Baglioni C, Bassetti CLA, et al. The European Insomnia Guideline An update on the diagnosis and treatment of insomnia 2023.</w:t>
      </w:r>
      <w:r>
        <w:t xml:space="preserve"> </w:t>
      </w:r>
      <w:r>
        <w:rPr>
          <w:iCs/>
          <w:i/>
        </w:rPr>
        <w:t xml:space="preserve">Journal of Sleep Research</w:t>
      </w:r>
      <w:r>
        <w:t xml:space="preserve">. 2023;32(6):e14035.</w:t>
      </w:r>
      <w:r>
        <w:t xml:space="preserve"> </w:t>
      </w:r>
      <w:hyperlink r:id="rId5490">
        <w:r>
          <w:rPr>
            <w:rStyle w:val="Hyperlink"/>
          </w:rPr>
          <w:t xml:space="preserve">https://doi.org/10.1111/jsr.14035</w:t>
        </w:r>
      </w:hyperlink>
      <w:r>
        <w:t xml:space="preserve">（研究类型：循证指南）</w:t>
      </w:r>
    </w:p>
    <w:p>
      <w:pPr>
        <w:pStyle w:val="ReferenceEntry"/>
      </w:pPr>
      <w:bookmarkStart w:id="5491" w:name="ref-1448"/>
      <w:r>
        <w:t xml:space="preserve">[1448]</w:t>
      </w:r>
      <w:bookmarkEnd w:id="5491"/>
      <w:r>
        <w:t xml:space="preserve"> Maski K, Trotti LM, Kotagal S, Auger RR, Rowley JA, Hashmi SD, et al. Treatment of central disorders of hypersomnolence: an American Academy of Sleep Medicine clinical practice guideline.</w:t>
      </w:r>
      <w:r>
        <w:t xml:space="preserve"> </w:t>
      </w:r>
      <w:r>
        <w:rPr>
          <w:iCs/>
          <w:i/>
        </w:rPr>
        <w:t xml:space="preserve">Journal of Clinical Sleep Medicine</w:t>
      </w:r>
      <w:r>
        <w:t xml:space="preserve">. 2021;17(9):1881–1893.</w:t>
      </w:r>
      <w:r>
        <w:t xml:space="preserve"> </w:t>
      </w:r>
      <w:hyperlink r:id="rId5492">
        <w:r>
          <w:rPr>
            <w:rStyle w:val="Hyperlink"/>
          </w:rPr>
          <w:t xml:space="preserve">https://doi.org/10.5664/jcsm.9328</w:t>
        </w:r>
      </w:hyperlink>
      <w:r>
        <w:t xml:space="preserve">（研究类型：循证临床指南）</w:t>
      </w:r>
    </w:p>
    <w:p>
      <w:pPr>
        <w:pStyle w:val="ReferenceEntry"/>
      </w:pPr>
      <w:bookmarkStart w:id="5493" w:name="ref-1449"/>
      <w:r>
        <w:t xml:space="preserve">[1449]</w:t>
      </w:r>
      <w:bookmarkEnd w:id="5493"/>
      <w:r>
        <w:t xml:space="preserve"> Auger RR, Burgess HJ, Emens JS, Deriy LV, Thomas SM, Sharkey KM. Clinical Practice Guideline for the Treatment of Intrinsic Circadian Rhythm Sleep-Wake Disorders: Advanced Sleep-Wake Phase Disorder (ASWPD), Delayed Sleep-Wake Phase Disorder (DSWPD), Non-24-Hour Sleep-Wake Rhythm Disorder (N24SWD), and Irregular Sleep-Wake Rhythm Disorder (ISWRD). An Update for 2015: An American Academy of Sleep Medicine Clinical Practice Guideline.</w:t>
      </w:r>
      <w:r>
        <w:t xml:space="preserve"> </w:t>
      </w:r>
      <w:r>
        <w:rPr>
          <w:iCs/>
          <w:i/>
        </w:rPr>
        <w:t xml:space="preserve">Journal of Clinical Sleep Medicine</w:t>
      </w:r>
      <w:r>
        <w:t xml:space="preserve">. 2015;11(10):1199–1236.</w:t>
      </w:r>
      <w:r>
        <w:t xml:space="preserve"> </w:t>
      </w:r>
      <w:hyperlink r:id="rId5494">
        <w:r>
          <w:rPr>
            <w:rStyle w:val="Hyperlink"/>
          </w:rPr>
          <w:t xml:space="preserve">https://doi.org/10.5664/jcsm.5100</w:t>
        </w:r>
      </w:hyperlink>
      <w:r>
        <w:t xml:space="preserve">（研究类型：循证节律障碍指南）</w:t>
      </w:r>
    </w:p>
    <w:p>
      <w:pPr>
        <w:pStyle w:val="ReferenceEntry"/>
      </w:pPr>
      <w:bookmarkStart w:id="5495" w:name="ref-1450"/>
      <w:r>
        <w:t xml:space="preserve">[1450]</w:t>
      </w:r>
      <w:bookmarkEnd w:id="5495"/>
      <w:r>
        <w:t xml:space="preserve"> Dijk DJ, Czeisler CA. Contribution of the circadian pacemaker and the sleep homeostat to sleep propensity, sleep structure, electroencephalographic slow waves, and sleep spindle activity in humans.</w:t>
      </w:r>
      <w:r>
        <w:t xml:space="preserve"> </w:t>
      </w:r>
      <w:r>
        <w:rPr>
          <w:iCs/>
          <w:i/>
        </w:rPr>
        <w:t xml:space="preserve">The Journal of Neuroscience</w:t>
      </w:r>
      <w:r>
        <w:t xml:space="preserve">. 1995;15(5):3526–3538.</w:t>
      </w:r>
      <w:r>
        <w:t xml:space="preserve"> </w:t>
      </w:r>
      <w:hyperlink r:id="rId5496">
        <w:r>
          <w:rPr>
            <w:rStyle w:val="Hyperlink"/>
          </w:rPr>
          <w:t xml:space="preserve">https://doi.org/10.1523/JNEUROSCI.15-05-03526.1995</w:t>
        </w:r>
      </w:hyperlink>
      <w:r>
        <w:t xml:space="preserve">（研究类型：强迫去同步人体生理）</w:t>
      </w:r>
    </w:p>
    <w:p>
      <w:pPr>
        <w:pStyle w:val="ReferenceEntry"/>
      </w:pPr>
      <w:bookmarkStart w:id="5497" w:name="ref-1451"/>
      <w:r>
        <w:t xml:space="preserve">[1451]</w:t>
      </w:r>
      <w:bookmarkEnd w:id="5497"/>
      <w:r>
        <w:t xml:space="preserve"> Khalsa SBS, Jewett ME, Cajochen C, Czeisler CA. A phase response curve to single bright light pulses in human subjects.</w:t>
      </w:r>
      <w:r>
        <w:t xml:space="preserve"> </w:t>
      </w:r>
      <w:r>
        <w:rPr>
          <w:iCs/>
          <w:i/>
        </w:rPr>
        <w:t xml:space="preserve">The Journal of Physiology</w:t>
      </w:r>
      <w:r>
        <w:t xml:space="preserve">. 2003;549(3):945–952.</w:t>
      </w:r>
      <w:r>
        <w:t xml:space="preserve"> </w:t>
      </w:r>
      <w:hyperlink r:id="rId5498">
        <w:r>
          <w:rPr>
            <w:rStyle w:val="Hyperlink"/>
          </w:rPr>
          <w:t xml:space="preserve">https://doi.org/10.1113/jphysiol.2003.040477</w:t>
        </w:r>
      </w:hyperlink>
      <w:r>
        <w:t xml:space="preserve">（研究类型：受控人体光照实验）</w:t>
      </w:r>
    </w:p>
    <w:p>
      <w:pPr>
        <w:pStyle w:val="ReferenceEntry"/>
      </w:pPr>
      <w:bookmarkStart w:id="5499" w:name="ref-1452"/>
      <w:r>
        <w:t xml:space="preserve">[1452]</w:t>
      </w:r>
      <w:bookmarkEnd w:id="5499"/>
      <w:r>
        <w:t xml:space="preserve"> Scammell TE, Arrigoni E, Lipton JO. Neural Circuitry of Wakefulness and Sleep.</w:t>
      </w:r>
      <w:r>
        <w:t xml:space="preserve"> </w:t>
      </w:r>
      <w:r>
        <w:rPr>
          <w:iCs/>
          <w:i/>
        </w:rPr>
        <w:t xml:space="preserve">Neuron</w:t>
      </w:r>
      <w:r>
        <w:t xml:space="preserve">. 2017;93(4):747–765.</w:t>
      </w:r>
      <w:r>
        <w:t xml:space="preserve"> </w:t>
      </w:r>
      <w:hyperlink r:id="rId5500">
        <w:r>
          <w:rPr>
            <w:rStyle w:val="Hyperlink"/>
          </w:rPr>
          <w:t xml:space="preserve">https://doi.org/10.1016/j.neuron.2017.01.014</w:t>
        </w:r>
      </w:hyperlink>
      <w:r>
        <w:t xml:space="preserve">（研究类型：神经回路证据综述）</w:t>
      </w:r>
    </w:p>
    <w:p>
      <w:pPr>
        <w:pStyle w:val="ReferenceEntry"/>
      </w:pPr>
      <w:bookmarkStart w:id="5501" w:name="ref-1453"/>
      <w:r>
        <w:t xml:space="preserve">[1453]</w:t>
      </w:r>
      <w:bookmarkEnd w:id="5501"/>
      <w:r>
        <w:t xml:space="preserve"> Eckert DJ, White DP, Jordan AS, Malhotra A, Wellman A. Defining phenotypic causes of obstructive sleep apnea Identification of novel therapeutic targets.</w:t>
      </w:r>
      <w:r>
        <w:t xml:space="preserve"> </w:t>
      </w:r>
      <w:r>
        <w:rPr>
          <w:iCs/>
          <w:i/>
        </w:rPr>
        <w:t xml:space="preserve">American Journal of Respiratory and Critical Care Medicine</w:t>
      </w:r>
      <w:r>
        <w:t xml:space="preserve">. 2013;188(8):996–1004.</w:t>
      </w:r>
      <w:r>
        <w:t xml:space="preserve"> </w:t>
      </w:r>
      <w:hyperlink r:id="rId5502">
        <w:r>
          <w:rPr>
            <w:rStyle w:val="Hyperlink"/>
          </w:rPr>
          <w:t xml:space="preserve">https://doi.org/10.1164/rccm.201303-0448OC</w:t>
        </w:r>
      </w:hyperlink>
      <w:r>
        <w:t xml:space="preserve">（研究类型：人体生理分型实验）</w:t>
      </w:r>
    </w:p>
    <w:p>
      <w:pPr>
        <w:pStyle w:val="ReferenceEntry"/>
      </w:pPr>
      <w:bookmarkStart w:id="5503" w:name="ref-1454"/>
      <w:r>
        <w:t xml:space="preserve">[1454]</w:t>
      </w:r>
      <w:bookmarkEnd w:id="5503"/>
      <w:r>
        <w:t xml:space="preserve"> McEvoy RD, Antic NA, Heeley E, Luo Y, Ou Q, Zhang X, et al. CPAP for Prevention of Cardiovascular Events in Obstructive Sleep Apnea.</w:t>
      </w:r>
      <w:r>
        <w:t xml:space="preserve"> </w:t>
      </w:r>
      <w:r>
        <w:rPr>
          <w:iCs/>
          <w:i/>
        </w:rPr>
        <w:t xml:space="preserve">New England Journal of Medicine</w:t>
      </w:r>
      <w:r>
        <w:t xml:space="preserve">. 2016;375(10):919–931.</w:t>
      </w:r>
      <w:r>
        <w:t xml:space="preserve"> </w:t>
      </w:r>
      <w:hyperlink r:id="rId5504">
        <w:r>
          <w:rPr>
            <w:rStyle w:val="Hyperlink"/>
          </w:rPr>
          <w:t xml:space="preserve">https://doi.org/10.1056/NEJMoa1606599</w:t>
        </w:r>
      </w:hyperlink>
      <w:r>
        <w:t xml:space="preserve">（研究类型：随机试验）</w:t>
      </w:r>
    </w:p>
    <w:p>
      <w:pPr>
        <w:pStyle w:val="ReferenceEntry"/>
      </w:pPr>
      <w:bookmarkStart w:id="5505" w:name="ref-1455"/>
      <w:r>
        <w:t xml:space="preserve">[1455]</w:t>
      </w:r>
      <w:bookmarkEnd w:id="5505"/>
      <w:r>
        <w:t xml:space="preserve"> Malhotra A, Grunstein RR, Fietze I, Weaver TE, Redline S, Azarbarzin A, et al. Tirzepatide for the Treatment of Obstructive Sleep Apnea and Obesity.</w:t>
      </w:r>
      <w:r>
        <w:t xml:space="preserve"> </w:t>
      </w:r>
      <w:r>
        <w:rPr>
          <w:iCs/>
          <w:i/>
        </w:rPr>
        <w:t xml:space="preserve">New England Journal of Medicine</w:t>
      </w:r>
      <w:r>
        <w:t xml:space="preserve">. 2024;391(13):1193–1205.</w:t>
      </w:r>
      <w:r>
        <w:t xml:space="preserve"> </w:t>
      </w:r>
      <w:hyperlink r:id="rId5506">
        <w:r>
          <w:rPr>
            <w:rStyle w:val="Hyperlink"/>
          </w:rPr>
          <w:t xml:space="preserve">https://doi.org/10.1056/NEJMoa2404881</w:t>
        </w:r>
      </w:hyperlink>
      <w:r>
        <w:t xml:space="preserve">（研究类型：两项三期随机安慰剂试验）</w:t>
      </w:r>
    </w:p>
    <w:p>
      <w:pPr>
        <w:pStyle w:val="ReferenceEntry"/>
      </w:pPr>
      <w:bookmarkStart w:id="5507" w:name="ref-1456"/>
      <w:r>
        <w:t xml:space="preserve">[1456]</w:t>
      </w:r>
      <w:bookmarkEnd w:id="5507"/>
      <w:r>
        <w:t xml:space="preserve"> Badr MS, Khayat RN, Allam JS, Hyer S, Mustafa RA, Naughton MT, et al. Treatment of central sleep apnea in adults an American Academy of Sleep Medicine clinical practice guideline.</w:t>
      </w:r>
      <w:r>
        <w:t xml:space="preserve"> </w:t>
      </w:r>
      <w:r>
        <w:rPr>
          <w:iCs/>
          <w:i/>
        </w:rPr>
        <w:t xml:space="preserve">Journal of Clinical Sleep Medicine</w:t>
      </w:r>
      <w:r>
        <w:t xml:space="preserve">. 2025;21(12):2181–2191.</w:t>
      </w:r>
      <w:r>
        <w:t xml:space="preserve"> </w:t>
      </w:r>
      <w:hyperlink r:id="rId5508">
        <w:r>
          <w:rPr>
            <w:rStyle w:val="Hyperlink"/>
          </w:rPr>
          <w:t xml:space="preserve">https://doi.org/10.5664/jcsm.11858</w:t>
        </w:r>
      </w:hyperlink>
      <w:r>
        <w:t xml:space="preserve">（研究类型：循证指南）</w:t>
      </w:r>
    </w:p>
    <w:p>
      <w:pPr>
        <w:pStyle w:val="ReferenceEntry"/>
      </w:pPr>
      <w:bookmarkStart w:id="5509" w:name="ref-1457"/>
      <w:r>
        <w:t xml:space="preserve">[1457]</w:t>
      </w:r>
      <w:bookmarkEnd w:id="5509"/>
      <w:r>
        <w:t xml:space="preserve"> Cowie MR, Woehrle H, Wegscheider K, Angermann C, d’Ortho MP, Erdmann E, et al. Adaptive Servo Ventilation for Central Sleep Apnea in Systolic Heart Failure.</w:t>
      </w:r>
      <w:r>
        <w:t xml:space="preserve"> </w:t>
      </w:r>
      <w:r>
        <w:rPr>
          <w:iCs/>
          <w:i/>
        </w:rPr>
        <w:t xml:space="preserve">New England Journal of Medicine</w:t>
      </w:r>
      <w:r>
        <w:t xml:space="preserve">. 2015;373(12):1095–1105.</w:t>
      </w:r>
      <w:r>
        <w:t xml:space="preserve"> </w:t>
      </w:r>
      <w:hyperlink r:id="rId5510">
        <w:r>
          <w:rPr>
            <w:rStyle w:val="Hyperlink"/>
          </w:rPr>
          <w:t xml:space="preserve">https://doi.org/10.1056/NEJMoa1506459</w:t>
        </w:r>
      </w:hyperlink>
      <w:r>
        <w:t xml:space="preserve">（研究类型：随机试验）</w:t>
      </w:r>
    </w:p>
    <w:p>
      <w:pPr>
        <w:pStyle w:val="ReferenceEntry"/>
      </w:pPr>
      <w:bookmarkStart w:id="5511" w:name="ref-1458"/>
      <w:r>
        <w:t xml:space="preserve">[1458]</w:t>
      </w:r>
      <w:bookmarkEnd w:id="5511"/>
      <w:r>
        <w:t xml:space="preserve"> Bradley TD, Logan AG, Lorenzi Filho G, Kimoff RJ, Durán Cantolla J, Arzt M, et al. Adaptive servo ventilation for sleep disordered breathing in patients with heart failure with reduced ejection fraction ADVENT HF a multicentre multinational parallel group open label phase 3 randomised controlled trial.</w:t>
      </w:r>
      <w:r>
        <w:t xml:space="preserve"> </w:t>
      </w:r>
      <w:r>
        <w:rPr>
          <w:iCs/>
          <w:i/>
        </w:rPr>
        <w:t xml:space="preserve">The Lancet Respiratory Medicine</w:t>
      </w:r>
      <w:r>
        <w:t xml:space="preserve">. 2024;12(2):153–166.</w:t>
      </w:r>
      <w:r>
        <w:t xml:space="preserve"> </w:t>
      </w:r>
      <w:hyperlink r:id="rId5512">
        <w:r>
          <w:rPr>
            <w:rStyle w:val="Hyperlink"/>
          </w:rPr>
          <w:t xml:space="preserve">https://doi.org/10.1016/S2213-2600(23)00374-0</w:t>
        </w:r>
      </w:hyperlink>
      <w:r>
        <w:t xml:space="preserve">（研究类型：随机开放盲结局）</w:t>
      </w:r>
    </w:p>
    <w:p>
      <w:pPr>
        <w:pStyle w:val="ReferenceEntry"/>
      </w:pPr>
      <w:bookmarkStart w:id="5513" w:name="ref-1459"/>
      <w:r>
        <w:t xml:space="preserve">[1459]</w:t>
      </w:r>
      <w:bookmarkEnd w:id="5513"/>
      <w:r>
        <w:t xml:space="preserve"> Krahn LE, Arand DL, Avidan AY, Davila DG, DeBassio WA, Ruoff CM, et al. Recommended protocols for the Multiple Sleep Latency Test and Maintenance of Wakefulness Test in adults guidance from the American Academy of Sleep Medicine.</w:t>
      </w:r>
      <w:r>
        <w:t xml:space="preserve"> </w:t>
      </w:r>
      <w:r>
        <w:rPr>
          <w:iCs/>
          <w:i/>
        </w:rPr>
        <w:t xml:space="preserve">Journal of Clinical Sleep Medicine</w:t>
      </w:r>
      <w:r>
        <w:t xml:space="preserve">. 2021;17(12):2489–2498.</w:t>
      </w:r>
      <w:r>
        <w:t xml:space="preserve"> </w:t>
      </w:r>
      <w:hyperlink r:id="rId5514">
        <w:r>
          <w:rPr>
            <w:rStyle w:val="Hyperlink"/>
          </w:rPr>
          <w:t xml:space="preserve">https://doi.org/10.5664/jcsm.9620</w:t>
        </w:r>
      </w:hyperlink>
      <w:r>
        <w:t xml:space="preserve">（研究类型：专业测试协议）</w:t>
      </w:r>
    </w:p>
    <w:p>
      <w:pPr>
        <w:pStyle w:val="ReferenceEntry"/>
      </w:pPr>
      <w:bookmarkStart w:id="5515" w:name="ref-1460"/>
      <w:r>
        <w:t xml:space="preserve">[1460]</w:t>
      </w:r>
      <w:bookmarkEnd w:id="5515"/>
      <w:r>
        <w:t xml:space="preserve"> Thannickal TC, Moore RY, Nienhuis R, Ramanathan L, Gulyani S, Aldrich M, et al. Reduced number of hypocretin neurons in human narcolepsy.</w:t>
      </w:r>
      <w:r>
        <w:t xml:space="preserve"> </w:t>
      </w:r>
      <w:r>
        <w:rPr>
          <w:iCs/>
          <w:i/>
        </w:rPr>
        <w:t xml:space="preserve">Neuron</w:t>
      </w:r>
      <w:r>
        <w:t xml:space="preserve">. 2000;27(3):469–474.</w:t>
      </w:r>
      <w:r>
        <w:t xml:space="preserve"> </w:t>
      </w:r>
      <w:hyperlink r:id="rId5516">
        <w:r>
          <w:rPr>
            <w:rStyle w:val="Hyperlink"/>
          </w:rPr>
          <w:t xml:space="preserve">https://doi.org/10.1016/S0896-6273(00)00058-1</w:t>
        </w:r>
      </w:hyperlink>
      <w:r>
        <w:t xml:space="preserve">（研究类型：死后人体神经病理）</w:t>
      </w:r>
    </w:p>
    <w:p>
      <w:pPr>
        <w:pStyle w:val="ReferenceEntry"/>
      </w:pPr>
      <w:bookmarkStart w:id="5517" w:name="ref-1461"/>
      <w:r>
        <w:t xml:space="preserve">[1461]</w:t>
      </w:r>
      <w:bookmarkEnd w:id="5517"/>
      <w:r>
        <w:t xml:space="preserve"> National Institute of Neurological Disorders and Stroke. Narcolepsy. 2026.</w:t>
      </w:r>
      <w:r>
        <w:t xml:space="preserve"> </w:t>
      </w:r>
      <w:hyperlink r:id="rId5518">
        <w:r>
          <w:rPr>
            <w:rStyle w:val="Hyperlink"/>
          </w:rPr>
          <w:t xml:space="preserve">https://www.ninds.nih.gov/health-information/disorders/narcolepsy</w:t>
        </w:r>
      </w:hyperlink>
      <w:r>
        <w:t xml:space="preserve">（研究类型：现行官方疾病说明）</w:t>
      </w:r>
    </w:p>
    <w:p>
      <w:pPr>
        <w:pStyle w:val="ReferenceEntry"/>
      </w:pPr>
      <w:bookmarkStart w:id="5519" w:name="ref-1462"/>
      <w:r>
        <w:t xml:space="preserve">[1462]</w:t>
      </w:r>
      <w:bookmarkEnd w:id="5519"/>
      <w:r>
        <w:t xml:space="preserve"> Dauvilliers Y, Plazzi G, Mignot E, Lammers GJ, del Río Villegas R, Khatami R, et al. Oveporexton an Oral Orexin Receptor 2 Selective Agonist in Narcolepsy Type 1.</w:t>
      </w:r>
      <w:r>
        <w:t xml:space="preserve"> </w:t>
      </w:r>
      <w:r>
        <w:rPr>
          <w:iCs/>
          <w:i/>
        </w:rPr>
        <w:t xml:space="preserve">New England Journal of Medicine</w:t>
      </w:r>
      <w:r>
        <w:t xml:space="preserve">. 2025;392(19):1905–1916.</w:t>
      </w:r>
      <w:r>
        <w:t xml:space="preserve"> </w:t>
      </w:r>
      <w:hyperlink r:id="rId5520">
        <w:r>
          <w:rPr>
            <w:rStyle w:val="Hyperlink"/>
          </w:rPr>
          <w:t xml:space="preserve">https://doi.org/10.1056/NEJMoa2405847</w:t>
        </w:r>
      </w:hyperlink>
      <w:r>
        <w:t xml:space="preserve">（研究类型：二期随机安慰剂）</w:t>
      </w:r>
    </w:p>
    <w:p>
      <w:pPr>
        <w:pStyle w:val="ReferenceEntry"/>
      </w:pPr>
      <w:bookmarkStart w:id="5521" w:name="ref-1463"/>
      <w:r>
        <w:t xml:space="preserve">[1463]</w:t>
      </w:r>
      <w:bookmarkEnd w:id="5521"/>
      <w:r>
        <w:t xml:space="preserve"> Allen RP, Picchietti DL, Garcia-Borreguero D, Ondo WG, Walters AS, Winkelman JW, et al. Restless legs syndrome Willis Ekbom disease diagnostic criteria updated International Restless Legs Syndrome Study Group consensus criteria history rationale description and significance.</w:t>
      </w:r>
      <w:r>
        <w:t xml:space="preserve"> </w:t>
      </w:r>
      <w:r>
        <w:rPr>
          <w:iCs/>
          <w:i/>
        </w:rPr>
        <w:t xml:space="preserve">Sleep Medicine</w:t>
      </w:r>
      <w:r>
        <w:t xml:space="preserve">. 2014;15(8):860–873.</w:t>
      </w:r>
      <w:r>
        <w:t xml:space="preserve"> </w:t>
      </w:r>
      <w:hyperlink r:id="rId5522">
        <w:r>
          <w:rPr>
            <w:rStyle w:val="Hyperlink"/>
          </w:rPr>
          <w:t xml:space="preserve">https://doi.org/10.1016/j.sleep.2014.03.025</w:t>
        </w:r>
      </w:hyperlink>
      <w:r>
        <w:t xml:space="preserve">（研究类型：专家诊断共识）</w:t>
      </w:r>
    </w:p>
    <w:p>
      <w:pPr>
        <w:pStyle w:val="ReferenceEntry"/>
      </w:pPr>
      <w:bookmarkStart w:id="5523" w:name="ref-1464"/>
      <w:r>
        <w:t xml:space="preserve">[1464]</w:t>
      </w:r>
      <w:bookmarkEnd w:id="5523"/>
      <w:r>
        <w:t xml:space="preserve"> Winkelman JW, Berkowski JA, DelRosso LM, Koo BB, Scharf MT, Sharon D, et al. Treatment of restless legs syndrome and periodic limb movement disorder an American Academy of Sleep Medicine clinical practice guideline.</w:t>
      </w:r>
      <w:r>
        <w:t xml:space="preserve"> </w:t>
      </w:r>
      <w:r>
        <w:rPr>
          <w:iCs/>
          <w:i/>
        </w:rPr>
        <w:t xml:space="preserve">Journal of Clinical Sleep Medicine</w:t>
      </w:r>
      <w:r>
        <w:t xml:space="preserve">. 2025;21(1):137–152.</w:t>
      </w:r>
      <w:r>
        <w:t xml:space="preserve"> </w:t>
      </w:r>
      <w:hyperlink r:id="rId5524">
        <w:r>
          <w:rPr>
            <w:rStyle w:val="Hyperlink"/>
          </w:rPr>
          <w:t xml:space="preserve">https://doi.org/10.5664/jcsm.11390</w:t>
        </w:r>
      </w:hyperlink>
      <w:r>
        <w:t xml:space="preserve">（研究类型：循证指南）</w:t>
      </w:r>
    </w:p>
    <w:p>
      <w:pPr>
        <w:pStyle w:val="ReferenceEntry"/>
      </w:pPr>
      <w:bookmarkStart w:id="5525" w:name="ref-1465"/>
      <w:r>
        <w:t xml:space="preserve">[1465]</w:t>
      </w:r>
      <w:bookmarkEnd w:id="5525"/>
      <w:r>
        <w:t xml:space="preserve"> Postuma RB, Iranzo A, Hu M, Högl B, Boeve BF, Manni R, et al. Risk and predictors of dementia and parkinsonism in idiopathic REM sleep behaviour disorder a multicentre study.</w:t>
      </w:r>
      <w:r>
        <w:t xml:space="preserve"> </w:t>
      </w:r>
      <w:r>
        <w:rPr>
          <w:iCs/>
          <w:i/>
        </w:rPr>
        <w:t xml:space="preserve">Brain</w:t>
      </w:r>
      <w:r>
        <w:t xml:space="preserve">. 2019;142(3):744–759.</w:t>
      </w:r>
      <w:r>
        <w:t xml:space="preserve"> </w:t>
      </w:r>
      <w:hyperlink r:id="rId5526">
        <w:r>
          <w:rPr>
            <w:rStyle w:val="Hyperlink"/>
          </w:rPr>
          <w:t xml:space="preserve">https://doi.org/10.1093/brain/awz030</w:t>
        </w:r>
      </w:hyperlink>
      <w:r>
        <w:t xml:space="preserve">（研究类型：24中心前瞻队列）</w:t>
      </w:r>
    </w:p>
    <w:p>
      <w:pPr>
        <w:pStyle w:val="ReferenceEntry"/>
      </w:pPr>
      <w:bookmarkStart w:id="5527" w:name="ref-1466"/>
      <w:r>
        <w:t xml:space="preserve">[1466]</w:t>
      </w:r>
      <w:bookmarkEnd w:id="5527"/>
      <w:r>
        <w:t xml:space="preserve"> Khosla S, Deak MC, Gault D, Goldstein CA, Hwang D, Kwon Y, et al. Consumer Sleep Technology An American Academy of Sleep Medicine Position Statement.</w:t>
      </w:r>
      <w:r>
        <w:t xml:space="preserve"> </w:t>
      </w:r>
      <w:r>
        <w:rPr>
          <w:iCs/>
          <w:i/>
        </w:rPr>
        <w:t xml:space="preserve">Journal of Clinical Sleep Medicine</w:t>
      </w:r>
      <w:r>
        <w:t xml:space="preserve">. 2018;14(5):877–880.</w:t>
      </w:r>
      <w:r>
        <w:t xml:space="preserve"> </w:t>
      </w:r>
      <w:hyperlink r:id="rId5528">
        <w:r>
          <w:rPr>
            <w:rStyle w:val="Hyperlink"/>
          </w:rPr>
          <w:t xml:space="preserve">https://doi.org/10.5664/jcsm.7128</w:t>
        </w:r>
      </w:hyperlink>
      <w:r>
        <w:t xml:space="preserve">（研究类型：专业立场声明）</w:t>
      </w:r>
    </w:p>
    <w:p>
      <w:pPr>
        <w:pStyle w:val="ReferenceEntry"/>
      </w:pPr>
      <w:bookmarkStart w:id="5529" w:name="ref-1467"/>
      <w:r>
        <w:t xml:space="preserve">[1467]</w:t>
      </w:r>
      <w:bookmarkEnd w:id="5529"/>
      <w:r>
        <w:t xml:space="preserve"> US Food and Drug Administration. FDA Roundup September 17 2024 Sleep Apnea Notification Feature. 2024.</w:t>
      </w:r>
      <w:r>
        <w:t xml:space="preserve"> </w:t>
      </w:r>
      <w:hyperlink r:id="rId5530">
        <w:r>
          <w:rPr>
            <w:rStyle w:val="Hyperlink"/>
          </w:rPr>
          <w:t xml:space="preserve">https://www.fda.gov/news-events/press-announcements/fda-roundup-september-17-2024</w:t>
        </w:r>
      </w:hyperlink>
      <w:r>
        <w:t xml:space="preserve">（研究类型：监管发布）</w:t>
      </w:r>
    </w:p>
    <w:p>
      <w:pPr>
        <w:pStyle w:val="ReferenceEntry"/>
      </w:pPr>
      <w:bookmarkStart w:id="5531" w:name="ref-1468"/>
      <w:r>
        <w:t xml:space="preserve">[1468]</w:t>
      </w:r>
      <w:bookmarkEnd w:id="5531"/>
      <w:r>
        <w:t xml:space="preserve"> National Institute on Aging. Memory Problems Forgetfulness and Aging. 检索于2026年10月.</w:t>
      </w:r>
      <w:r>
        <w:t xml:space="preserve"> </w:t>
      </w:r>
      <w:hyperlink r:id="rId5532">
        <w:r>
          <w:rPr>
            <w:rStyle w:val="Hyperlink"/>
          </w:rPr>
          <w:t xml:space="preserve">https://www.nia.nih.gov/health/memory-loss-and-forgetfulness/memory-forgetfulness-and-aging-whats-normal-and-whats-not</w:t>
        </w:r>
      </w:hyperlink>
      <w:r>
        <w:t xml:space="preserve">（研究类型：官方公众临床说明）</w:t>
      </w:r>
    </w:p>
    <w:p>
      <w:pPr>
        <w:pStyle w:val="ReferenceEntry"/>
      </w:pPr>
      <w:bookmarkStart w:id="5533" w:name="ref-1469"/>
      <w:r>
        <w:t xml:space="preserve">[1469]</w:t>
      </w:r>
      <w:bookmarkEnd w:id="5533"/>
      <w:r>
        <w:t xml:space="preserve"> Stern Y, Arenaza‐Urquijo EM, Bartrés‐Faz D, Belleville S, Cantilon M, Chetelat G, et al. Whitepaper Defining and investigating cognitive reserve brain reserve and brain maintenance.</w:t>
      </w:r>
      <w:r>
        <w:t xml:space="preserve"> </w:t>
      </w:r>
      <w:r>
        <w:rPr>
          <w:iCs/>
          <w:i/>
        </w:rPr>
        <w:t xml:space="preserve">Alzheimer's &amp; Dementia</w:t>
      </w:r>
      <w:r>
        <w:t xml:space="preserve">. 2020;16(9):1305–1311.</w:t>
      </w:r>
      <w:r>
        <w:t xml:space="preserve"> </w:t>
      </w:r>
      <w:hyperlink r:id="rId5534">
        <w:r>
          <w:rPr>
            <w:rStyle w:val="Hyperlink"/>
          </w:rPr>
          <w:t xml:space="preserve">https://doi.org/10.1016/j.jalz.2018.07.219</w:t>
        </w:r>
      </w:hyperlink>
      <w:r>
        <w:t xml:space="preserve">（研究类型：概念共识）</w:t>
      </w:r>
    </w:p>
    <w:p>
      <w:pPr>
        <w:pStyle w:val="ReferenceEntry"/>
      </w:pPr>
      <w:bookmarkStart w:id="5535" w:name="ref-1470"/>
      <w:r>
        <w:t xml:space="preserve">[1470]</w:t>
      </w:r>
      <w:bookmarkEnd w:id="5535"/>
      <w:r>
        <w:t xml:space="preserve"> Boyle PA, Yu L, Wilson RS, Leurgans SE, Schneider JA, Bennett DA. Person specific contribution of neuropathologies to cognitive loss in old age.</w:t>
      </w:r>
      <w:r>
        <w:t xml:space="preserve"> </w:t>
      </w:r>
      <w:r>
        <w:rPr>
          <w:iCs/>
          <w:i/>
        </w:rPr>
        <w:t xml:space="preserve">Annals of Neurology</w:t>
      </w:r>
      <w:r>
        <w:t xml:space="preserve">. 2018;83(1):74–83.</w:t>
      </w:r>
      <w:r>
        <w:t xml:space="preserve"> </w:t>
      </w:r>
      <w:hyperlink r:id="rId5536">
        <w:r>
          <w:rPr>
            <w:rStyle w:val="Hyperlink"/>
          </w:rPr>
          <w:t xml:space="preserve">https://doi.org/10.1002/ana.25123</w:t>
        </w:r>
      </w:hyperlink>
      <w:r>
        <w:t xml:space="preserve">（研究类型：纵向临床病理队列）</w:t>
      </w:r>
    </w:p>
    <w:p>
      <w:pPr>
        <w:pStyle w:val="ReferenceEntry"/>
      </w:pPr>
      <w:bookmarkStart w:id="5537" w:name="ref-1471"/>
      <w:r>
        <w:t xml:space="preserve">[1471]</w:t>
      </w:r>
      <w:bookmarkEnd w:id="5537"/>
      <w:r>
        <w:t xml:space="preserve"> Livingston G, Huntley J, Liu KY, Costafreda SG, Selbæk G, Alladi S, et al. Dementia prevention, intervention, and care: 2024 report of the Lancet standing Commission.</w:t>
      </w:r>
      <w:r>
        <w:t xml:space="preserve"> </w:t>
      </w:r>
      <w:r>
        <w:rPr>
          <w:iCs/>
          <w:i/>
        </w:rPr>
        <w:t xml:space="preserve">The Lancet</w:t>
      </w:r>
      <w:r>
        <w:t xml:space="preserve">. 2024;404(10452):572–628.</w:t>
      </w:r>
      <w:r>
        <w:t xml:space="preserve"> </w:t>
      </w:r>
      <w:hyperlink r:id="rId5538">
        <w:r>
          <w:rPr>
            <w:rStyle w:val="Hyperlink"/>
          </w:rPr>
          <w:t xml:space="preserve">https://doi.org/10.1016/S0140-6736(24)01296-0</w:t>
        </w:r>
      </w:hyperlink>
      <w:r>
        <w:t xml:space="preserve">（研究类型：证据综合与人群归因模型）</w:t>
      </w:r>
    </w:p>
    <w:p>
      <w:pPr>
        <w:pStyle w:val="ReferenceEntry"/>
      </w:pPr>
      <w:bookmarkStart w:id="5539" w:name="ref-1472"/>
      <w:r>
        <w:t xml:space="preserve">[1472]</w:t>
      </w:r>
      <w:bookmarkEnd w:id="5539"/>
      <w:r>
        <w:t xml:space="preserve"> Ngandu T, Lehtisalo J, Solomon A, Levälahti E, Ahtiluoto S, Antikainen R, et al. A 2 year multidomain intervention of diet, exercise, cognitive training, and vascular risk monitoring versus control to prevent cognitive decline in at-risk elderly people FINGER a randomised controlled trial.</w:t>
      </w:r>
      <w:r>
        <w:t xml:space="preserve"> </w:t>
      </w:r>
      <w:r>
        <w:rPr>
          <w:iCs/>
          <w:i/>
        </w:rPr>
        <w:t xml:space="preserve">The Lancet</w:t>
      </w:r>
      <w:r>
        <w:t xml:space="preserve">. 2015;385(9984):2255–2263.</w:t>
      </w:r>
      <w:r>
        <w:t xml:space="preserve"> </w:t>
      </w:r>
      <w:hyperlink r:id="rId5540">
        <w:r>
          <w:rPr>
            <w:rStyle w:val="Hyperlink"/>
          </w:rPr>
          <w:t xml:space="preserve">https://doi.org/10.1016/S0140-6736(15)60461-5</w:t>
        </w:r>
      </w:hyperlink>
      <w:r>
        <w:t xml:space="preserve">（研究类型：两年随机多领域干预）</w:t>
      </w:r>
    </w:p>
    <w:p>
      <w:pPr>
        <w:pStyle w:val="ReferenceEntry"/>
      </w:pPr>
      <w:bookmarkStart w:id="5541" w:name="ref-1473"/>
      <w:r>
        <w:t xml:space="preserve">[1473]</w:t>
      </w:r>
      <w:bookmarkEnd w:id="5541"/>
      <w:r>
        <w:t xml:space="preserve"> Baker LD, Espeland MA, Whitmer RA, Snyder HM, Leng X, Lovato L, et al. Structured vs Self-Guided Multidomain Lifestyle Interventions for Global Cognitive Function The US POINTER Randomized Clinical Trial.</w:t>
      </w:r>
      <w:r>
        <w:t xml:space="preserve"> </w:t>
      </w:r>
      <w:r>
        <w:rPr>
          <w:iCs/>
          <w:i/>
        </w:rPr>
        <w:t xml:space="preserve">JAMA</w:t>
      </w:r>
      <w:r>
        <w:t xml:space="preserve">. 2025;334(8):681.</w:t>
      </w:r>
      <w:r>
        <w:t xml:space="preserve"> </w:t>
      </w:r>
      <w:hyperlink r:id="rId5542">
        <w:r>
          <w:rPr>
            <w:rStyle w:val="Hyperlink"/>
          </w:rPr>
          <w:t xml:space="preserve">https://doi.org/10.1001/jama.2025.12923</w:t>
        </w:r>
      </w:hyperlink>
      <w:r>
        <w:t xml:space="preserve">（研究类型：两年随机试验）</w:t>
      </w:r>
    </w:p>
    <w:p>
      <w:pPr>
        <w:pStyle w:val="ReferenceEntry"/>
      </w:pPr>
      <w:bookmarkStart w:id="5543" w:name="ref-1474"/>
      <w:r>
        <w:t xml:space="preserve">[1474]</w:t>
      </w:r>
      <w:bookmarkEnd w:id="5543"/>
      <w:r>
        <w:t xml:space="preserve"> Barnes LL, Dhana K, Liu X, Carey VJ, Ventrelle J, Johnson K, et al. Trial of the MIND Diet for Prevention of Cognitive Decline in Older Persons.</w:t>
      </w:r>
      <w:r>
        <w:t xml:space="preserve"> </w:t>
      </w:r>
      <w:r>
        <w:rPr>
          <w:iCs/>
          <w:i/>
        </w:rPr>
        <w:t xml:space="preserve">New England Journal of Medicine</w:t>
      </w:r>
      <w:r>
        <w:t xml:space="preserve">. 2023;389(7):602–611.</w:t>
      </w:r>
      <w:r>
        <w:t xml:space="preserve"> </w:t>
      </w:r>
      <w:hyperlink r:id="rId5544">
        <w:r>
          <w:rPr>
            <w:rStyle w:val="Hyperlink"/>
          </w:rPr>
          <w:t xml:space="preserve">https://doi.org/10.1056/NEJMoa2302368</w:t>
        </w:r>
      </w:hyperlink>
      <w:r>
        <w:t xml:space="preserve">（研究类型：三年随机饮食试验）</w:t>
      </w:r>
    </w:p>
    <w:p>
      <w:pPr>
        <w:pStyle w:val="ReferenceEntry"/>
      </w:pPr>
      <w:bookmarkStart w:id="5545" w:name="ref-1475"/>
      <w:r>
        <w:t xml:space="preserve">[1475]</w:t>
      </w:r>
      <w:bookmarkEnd w:id="5545"/>
      <w:r>
        <w:t xml:space="preserve"> Erickson KI, Voss MW, Prakash RS, Basak C, Szabo A, Chaddock L, et al. Exercise training increases size of hippocampus and improves memory.</w:t>
      </w:r>
      <w:r>
        <w:t xml:space="preserve"> </w:t>
      </w:r>
      <w:r>
        <w:rPr>
          <w:iCs/>
          <w:i/>
        </w:rPr>
        <w:t xml:space="preserve">Proceedings of the National Academy of Sciences</w:t>
      </w:r>
      <w:r>
        <w:t xml:space="preserve">. 2011;108(7):3017–3022.</w:t>
      </w:r>
      <w:r>
        <w:t xml:space="preserve"> </w:t>
      </w:r>
      <w:hyperlink r:id="rId5546">
        <w:r>
          <w:rPr>
            <w:rStyle w:val="Hyperlink"/>
          </w:rPr>
          <w:t xml:space="preserve">https://doi.org/10.1073/pnas.1015950108</w:t>
        </w:r>
      </w:hyperlink>
      <w:r>
        <w:t xml:space="preserve">（研究类型：随机运动试验）</w:t>
      </w:r>
    </w:p>
    <w:p>
      <w:pPr>
        <w:pStyle w:val="ReferenceEntry"/>
      </w:pPr>
      <w:bookmarkStart w:id="5547" w:name="ref-1476"/>
      <w:r>
        <w:t xml:space="preserve">[1476]</w:t>
      </w:r>
      <w:bookmarkEnd w:id="5547"/>
      <w:r>
        <w:t xml:space="preserve"> Sink KM, Espeland MA, Castro CM, Church T, Cohen R, Dodson JA, et al. Effect of a 24 Month Physical Activity Intervention vs Health Education on Cognitive Outcomes in Sedentary Older Adults The LIFE Randomized Trial.</w:t>
      </w:r>
      <w:r>
        <w:t xml:space="preserve"> </w:t>
      </w:r>
      <w:r>
        <w:rPr>
          <w:iCs/>
          <w:i/>
        </w:rPr>
        <w:t xml:space="preserve">JAMA</w:t>
      </w:r>
      <w:r>
        <w:t xml:space="preserve">. 2015;314(8):781.</w:t>
      </w:r>
      <w:r>
        <w:t xml:space="preserve"> </w:t>
      </w:r>
      <w:hyperlink r:id="rId5548">
        <w:r>
          <w:rPr>
            <w:rStyle w:val="Hyperlink"/>
          </w:rPr>
          <w:t xml:space="preserve">https://doi.org/10.1001/jama.2015.9617</w:t>
        </w:r>
      </w:hyperlink>
      <w:r>
        <w:t xml:space="preserve">（研究类型：两年随机试验认知结局）</w:t>
      </w:r>
    </w:p>
    <w:p>
      <w:pPr>
        <w:pStyle w:val="ReferenceEntry"/>
      </w:pPr>
      <w:bookmarkStart w:id="5549" w:name="ref-1477"/>
      <w:r>
        <w:t xml:space="preserve">[1477]</w:t>
      </w:r>
      <w:bookmarkEnd w:id="5549"/>
      <w:r>
        <w:t xml:space="preserve"> Lin FR, Pike JR, Albert MS, Arnold M, Burgard S, Chisolm T, et al. Hearing intervention versus health education control to reduce cognitive decline in older adults with hearing loss in the USA ACHIEVE a multicentre randomised controlled trial.</w:t>
      </w:r>
      <w:r>
        <w:t xml:space="preserve"> </w:t>
      </w:r>
      <w:r>
        <w:rPr>
          <w:iCs/>
          <w:i/>
        </w:rPr>
        <w:t xml:space="preserve">The Lancet</w:t>
      </w:r>
      <w:r>
        <w:t xml:space="preserve">. 2023;402(10404):786–797.</w:t>
      </w:r>
      <w:r>
        <w:t xml:space="preserve"> </w:t>
      </w:r>
      <w:hyperlink r:id="rId5550">
        <w:r>
          <w:rPr>
            <w:rStyle w:val="Hyperlink"/>
          </w:rPr>
          <w:t xml:space="preserve">https://doi.org/10.1016/S0140-6736(23)01406-X</w:t>
        </w:r>
      </w:hyperlink>
      <w:r>
        <w:t xml:space="preserve">（研究类型：三年随机试验）</w:t>
      </w:r>
    </w:p>
    <w:p>
      <w:pPr>
        <w:pStyle w:val="ReferenceEntry"/>
      </w:pPr>
      <w:bookmarkStart w:id="5551" w:name="ref-1478"/>
      <w:r>
        <w:t xml:space="preserve">[1478]</w:t>
      </w:r>
      <w:bookmarkEnd w:id="5551"/>
      <w:r>
        <w:t xml:space="preserve"> The SPRINT MIND Investigators for the SPRINT Research Group, Williamson JD, Pajewski NM, Auchus AP, Bryan RN, Chelune G, et al. Effect of Intensive vs Standard Blood Pressure Control on Probable Dementia A Randomized Clinical Trial.</w:t>
      </w:r>
      <w:r>
        <w:t xml:space="preserve"> </w:t>
      </w:r>
      <w:r>
        <w:rPr>
          <w:iCs/>
          <w:i/>
        </w:rPr>
        <w:t xml:space="preserve">JAMA</w:t>
      </w:r>
      <w:r>
        <w:t xml:space="preserve">. 2019;321(6):553.</w:t>
      </w:r>
      <w:r>
        <w:t xml:space="preserve"> </w:t>
      </w:r>
      <w:hyperlink r:id="rId5552">
        <w:r>
          <w:rPr>
            <w:rStyle w:val="Hyperlink"/>
          </w:rPr>
          <w:t xml:space="preserve">https://doi.org/10.1001/jama.2018.21442</w:t>
        </w:r>
      </w:hyperlink>
      <w:r>
        <w:t xml:space="preserve">（研究类型：随机降压试验认知随访）</w:t>
      </w:r>
    </w:p>
    <w:p>
      <w:pPr>
        <w:pStyle w:val="ReferenceEntry"/>
      </w:pPr>
      <w:bookmarkStart w:id="5553" w:name="ref-1479"/>
      <w:r>
        <w:t xml:space="preserve">[1479]</w:t>
      </w:r>
      <w:bookmarkEnd w:id="5553"/>
      <w:r>
        <w:t xml:space="preserve"> Reboussin DM, Gaussoin SA, Pajewski NM, Jaeger BC, Sachs B, Rapp SR, et al. Long Term Effect of Intensive vs Standard Blood Pressure Control on Mild Cognitive Impairment and Probable Dementia in SPRINT.</w:t>
      </w:r>
      <w:r>
        <w:t xml:space="preserve"> </w:t>
      </w:r>
      <w:r>
        <w:rPr>
          <w:iCs/>
          <w:i/>
        </w:rPr>
        <w:t xml:space="preserve">Neurology</w:t>
      </w:r>
      <w:r>
        <w:t xml:space="preserve">. 2025;104(3):e213334.</w:t>
      </w:r>
      <w:r>
        <w:t xml:space="preserve"> </w:t>
      </w:r>
      <w:hyperlink r:id="rId5554">
        <w:r>
          <w:rPr>
            <w:rStyle w:val="Hyperlink"/>
          </w:rPr>
          <w:t xml:space="preserve">https://doi.org/10.1212/WNL.0000000000213334</w:t>
        </w:r>
      </w:hyperlink>
      <w:r>
        <w:t xml:space="preserve">（勘误见</w:t>
      </w:r>
      <w:r>
        <w:t xml:space="preserve"> </w:t>
      </w:r>
      <w:r>
        <w:rPr>
          <w:iCs/>
          <w:i/>
        </w:rPr>
        <w:t xml:space="preserve">Neurology</w:t>
      </w:r>
      <w:r>
        <w:t xml:space="preserve">. 2025;104(10):e213686.</w:t>
      </w:r>
      <w:r>
        <w:t xml:space="preserve"> </w:t>
      </w:r>
      <w:hyperlink r:id="rId5555">
        <w:r>
          <w:rPr>
            <w:rStyle w:val="Hyperlink"/>
          </w:rPr>
          <w:t xml:space="preserve">https://doi.org/10.1212/WNL.0000000000213686</w:t>
        </w:r>
      </w:hyperlink>
      <w:r>
        <w:t xml:space="preserve">）（研究类型：随机试验延长随访）</w:t>
      </w:r>
    </w:p>
    <w:p>
      <w:pPr>
        <w:pStyle w:val="ReferenceEntry"/>
      </w:pPr>
      <w:bookmarkStart w:id="5556" w:name="ref-1480"/>
      <w:r>
        <w:t xml:space="preserve">[1480]</w:t>
      </w:r>
      <w:bookmarkEnd w:id="5556"/>
      <w:r>
        <w:t xml:space="preserve"> DeKosky ST, et al. Ginkgo biloba for prevention of dementia: a randomized controlled trial.</w:t>
      </w:r>
      <w:r>
        <w:t xml:space="preserve"> </w:t>
      </w:r>
      <w:r>
        <w:rPr>
          <w:iCs/>
          <w:i/>
        </w:rPr>
        <w:t xml:space="preserve">JAMA</w:t>
      </w:r>
      <w:r>
        <w:t xml:space="preserve">. 2008;300(19):2253.</w:t>
      </w:r>
      <w:r>
        <w:t xml:space="preserve"> </w:t>
      </w:r>
      <w:hyperlink r:id="rId5557">
        <w:r>
          <w:rPr>
            <w:rStyle w:val="Hyperlink"/>
          </w:rPr>
          <w:t xml:space="preserve">https://doi.org/10.1001/jama.2008.683</w:t>
        </w:r>
      </w:hyperlink>
      <w:r>
        <w:t xml:space="preserve">（研究类型：随机双盲安慰剂试验）</w:t>
      </w:r>
    </w:p>
    <w:p>
      <w:pPr>
        <w:pStyle w:val="ReferenceEntry"/>
      </w:pPr>
      <w:bookmarkStart w:id="5558" w:name="ref-1481"/>
      <w:r>
        <w:t xml:space="preserve">[1481]</w:t>
      </w:r>
      <w:bookmarkEnd w:id="5558"/>
      <w:r>
        <w:t xml:space="preserve"> Yeung LK, Alschuler DM, Wall M, Luttmann-Gibson H, Copeland T, Hale C, et al. Multivitamin supplementation improves memory in older adults A randomized clinical trial.</w:t>
      </w:r>
      <w:r>
        <w:t xml:space="preserve"> </w:t>
      </w:r>
      <w:r>
        <w:rPr>
          <w:iCs/>
          <w:i/>
        </w:rPr>
        <w:t xml:space="preserve">The American Journal of Clinical Nutrition</w:t>
      </w:r>
      <w:r>
        <w:t xml:space="preserve">. 2023;118(1):273–282.</w:t>
      </w:r>
      <w:r>
        <w:t xml:space="preserve"> </w:t>
      </w:r>
      <w:hyperlink r:id="rId5559">
        <w:r>
          <w:rPr>
            <w:rStyle w:val="Hyperlink"/>
          </w:rPr>
          <w:t xml:space="preserve">https://doi.org/10.1016/j.ajcnut.2023.05.011</w:t>
        </w:r>
      </w:hyperlink>
      <w:r>
        <w:t xml:space="preserve">（研究类型：COSMOS Web随机试验）</w:t>
      </w:r>
    </w:p>
    <w:p>
      <w:pPr>
        <w:pStyle w:val="ReferenceEntry"/>
      </w:pPr>
      <w:bookmarkStart w:id="5560" w:name="ref-1482"/>
      <w:r>
        <w:t xml:space="preserve">[1482]</w:t>
      </w:r>
      <w:bookmarkEnd w:id="5560"/>
      <w:r>
        <w:t xml:space="preserve"> Vyas CM, Manson JE, Sesso HD, Cook NR, Rist PM, Weinberg A, et al. Effect of multivitamin-mineral supplementation versus placebo on cognitive function: results from the clinic subcohort of the COcoa Supplement and Multivitamin Outcomes Study (COSMOS) randomized clinical trial and meta-analysis of 3 cognitive studies within COSMOS.</w:t>
      </w:r>
      <w:r>
        <w:t xml:space="preserve"> </w:t>
      </w:r>
      <w:r>
        <w:rPr>
          <w:iCs/>
          <w:i/>
        </w:rPr>
        <w:t xml:space="preserve">The American Journal of Clinical Nutrition</w:t>
      </w:r>
      <w:r>
        <w:t xml:space="preserve">. 2024;119(3):692–701.</w:t>
      </w:r>
      <w:r>
        <w:t xml:space="preserve"> </w:t>
      </w:r>
      <w:hyperlink r:id="rId5561">
        <w:r>
          <w:rPr>
            <w:rStyle w:val="Hyperlink"/>
          </w:rPr>
          <w:t xml:space="preserve">https://doi.org/10.1016/j.ajcnut.2023.12.011</w:t>
        </w:r>
      </w:hyperlink>
      <w:r>
        <w:t xml:space="preserve">（研究类型：随机试验子队列及内部元分析）</w:t>
      </w:r>
    </w:p>
    <w:p>
      <w:pPr>
        <w:pStyle w:val="ReferenceEntry"/>
      </w:pPr>
      <w:bookmarkStart w:id="5562" w:name="ref-1483"/>
      <w:r>
        <w:t xml:space="preserve">[1483]</w:t>
      </w:r>
      <w:bookmarkEnd w:id="5562"/>
      <w:r>
        <w:t xml:space="preserve"> National Institute for Health and Care Excellence. Vitamin B12 deficiency in over 16s: diagnosis and management. 2024.</w:t>
      </w:r>
      <w:r>
        <w:t xml:space="preserve"> </w:t>
      </w:r>
      <w:hyperlink r:id="rId5563">
        <w:r>
          <w:rPr>
            <w:rStyle w:val="Hyperlink"/>
          </w:rPr>
          <w:t xml:space="preserve">https://www.nice.org.uk/guidance/ng239/chapter/recommendations</w:t>
        </w:r>
      </w:hyperlink>
      <w:r>
        <w:t xml:space="preserve">（研究类型：官方指南）</w:t>
      </w:r>
    </w:p>
    <w:p>
      <w:pPr>
        <w:pStyle w:val="ReferenceEntry"/>
      </w:pPr>
      <w:bookmarkStart w:id="5564" w:name="ref-1484"/>
      <w:r>
        <w:t xml:space="preserve">[1484]</w:t>
      </w:r>
      <w:bookmarkEnd w:id="5564"/>
      <w:r>
        <w:t xml:space="preserve"> NIH Office of Dietary Supplements. Vitamin B6 Fact Sheet for Health Professionals. 检索于2026年10月.</w:t>
      </w:r>
      <w:r>
        <w:t xml:space="preserve"> </w:t>
      </w:r>
      <w:hyperlink r:id="rId5565">
        <w:r>
          <w:rPr>
            <w:rStyle w:val="Hyperlink"/>
          </w:rPr>
          <w:t xml:space="preserve">https://ods.od.nih.gov/factsheets/VitaminB6-HealthProfessional/</w:t>
        </w:r>
      </w:hyperlink>
      <w:r>
        <w:t xml:space="preserve">（研究类型：官方营养事实表）</w:t>
      </w:r>
    </w:p>
    <w:p>
      <w:pPr>
        <w:pStyle w:val="ReferenceEntry"/>
      </w:pPr>
      <w:bookmarkStart w:id="5566" w:name="ref-1485"/>
      <w:r>
        <w:t xml:space="preserve">[1485]</w:t>
      </w:r>
      <w:bookmarkEnd w:id="5566"/>
      <w:r>
        <w:t xml:space="preserve"> Snitz BE, et al. Ginkgo biloba for preventing cognitive decline in older adults a randomized trial.</w:t>
      </w:r>
      <w:r>
        <w:t xml:space="preserve"> </w:t>
      </w:r>
      <w:r>
        <w:rPr>
          <w:iCs/>
          <w:i/>
        </w:rPr>
        <w:t xml:space="preserve">JAMA</w:t>
      </w:r>
      <w:r>
        <w:t xml:space="preserve">. 2009;302(24):2663.</w:t>
      </w:r>
      <w:r>
        <w:t xml:space="preserve"> </w:t>
      </w:r>
      <w:hyperlink r:id="rId5567">
        <w:r>
          <w:rPr>
            <w:rStyle w:val="Hyperlink"/>
          </w:rPr>
          <w:t xml:space="preserve">https://doi.org/10.1001/jama.2009.1913</w:t>
        </w:r>
      </w:hyperlink>
      <w:r>
        <w:t xml:space="preserve">（研究类型：GEM随机试验认知结局）</w:t>
      </w:r>
    </w:p>
    <w:p>
      <w:pPr>
        <w:pStyle w:val="ReferenceEntry"/>
      </w:pPr>
      <w:bookmarkStart w:id="5568" w:name="ref-1486"/>
      <w:r>
        <w:t xml:space="preserve">[1486]</w:t>
      </w:r>
      <w:bookmarkEnd w:id="5568"/>
      <w:r>
        <w:t xml:space="preserve"> National Center for Complementary and Integrative Health. Ginkgo Usefulness and Safety. 2025.</w:t>
      </w:r>
      <w:r>
        <w:t xml:space="preserve"> </w:t>
      </w:r>
      <w:hyperlink r:id="rId5569">
        <w:r>
          <w:rPr>
            <w:rStyle w:val="Hyperlink"/>
          </w:rPr>
          <w:t xml:space="preserve">https://www.nccih.nih.gov/health/ginkgo</w:t>
        </w:r>
      </w:hyperlink>
      <w:r>
        <w:t xml:space="preserve">（研究类型：官方证据与安全信息）</w:t>
      </w:r>
    </w:p>
    <w:p>
      <w:pPr>
        <w:pStyle w:val="ReferenceEntry"/>
      </w:pPr>
      <w:bookmarkStart w:id="5570" w:name="ref-1487"/>
      <w:r>
        <w:t xml:space="preserve">[1487]</w:t>
      </w:r>
      <w:bookmarkEnd w:id="5570"/>
      <w:r>
        <w:t xml:space="preserve"> Jack CR, Andrews JS, Beach TG, Buracchio T, Dunn B, Graf A, et al. Revised criteria for diagnosis and staging of Alzheimer's disease: Alzheimer's Association Workgroup.</w:t>
      </w:r>
      <w:r>
        <w:t xml:space="preserve"> </w:t>
      </w:r>
      <w:r>
        <w:rPr>
          <w:iCs/>
          <w:i/>
        </w:rPr>
        <w:t xml:space="preserve">Alzheimer's &amp; Dementia</w:t>
      </w:r>
      <w:r>
        <w:t xml:space="preserve">. 2024;20(8):5143–5169.</w:t>
      </w:r>
      <w:r>
        <w:t xml:space="preserve"> </w:t>
      </w:r>
      <w:hyperlink r:id="rId5571">
        <w:r>
          <w:rPr>
            <w:rStyle w:val="Hyperlink"/>
          </w:rPr>
          <w:t xml:space="preserve">https://doi.org/10.1002/alz.13859</w:t>
        </w:r>
      </w:hyperlink>
      <w:r>
        <w:t xml:space="preserve">（研究类型：诊断和分期框架）</w:t>
      </w:r>
    </w:p>
    <w:p>
      <w:pPr>
        <w:pStyle w:val="ReferenceEntry"/>
      </w:pPr>
      <w:bookmarkStart w:id="5572" w:name="ref-1488"/>
      <w:r>
        <w:t xml:space="preserve">[1488]</w:t>
      </w:r>
      <w:bookmarkEnd w:id="5572"/>
      <w:r>
        <w:t xml:space="preserve"> Dubois B, Villain N, Schneider L, Fox N, Campbell N, Galasko D, et al. Alzheimer Disease as a Clinical Biological Construct An International Working Group Recommendation.</w:t>
      </w:r>
      <w:r>
        <w:t xml:space="preserve"> </w:t>
      </w:r>
      <w:r>
        <w:rPr>
          <w:iCs/>
          <w:i/>
        </w:rPr>
        <w:t xml:space="preserve">JAMA Neurology</w:t>
      </w:r>
      <w:r>
        <w:t xml:space="preserve">. 2024;81(12):1304.</w:t>
      </w:r>
      <w:r>
        <w:t xml:space="preserve"> </w:t>
      </w:r>
      <w:hyperlink r:id="rId5573">
        <w:r>
          <w:rPr>
            <w:rStyle w:val="Hyperlink"/>
          </w:rPr>
          <w:t xml:space="preserve">https://doi.org/10.1001/jamaneurol.2024.3770</w:t>
        </w:r>
      </w:hyperlink>
      <w:r>
        <w:t xml:space="preserve">（研究类型：国际工作组建议）</w:t>
      </w:r>
    </w:p>
    <w:p>
      <w:pPr>
        <w:pStyle w:val="ReferenceEntry"/>
      </w:pPr>
      <w:bookmarkStart w:id="5574" w:name="ref-1489"/>
      <w:r>
        <w:t xml:space="preserve">[1489]</w:t>
      </w:r>
      <w:bookmarkEnd w:id="5574"/>
      <w:r>
        <w:t xml:space="preserve"> Palmqvist S, Whitson HE, Allen LA, Suarez‐Calvet M, Galasko D, Karikari TK, et al. Alzheimer Association Clinical Practice Guideline on the use of blood based biomarkers in the diagnostic workup of suspected Alzheimer disease within specialized care settings.</w:t>
      </w:r>
      <w:r>
        <w:t xml:space="preserve"> </w:t>
      </w:r>
      <w:r>
        <w:rPr>
          <w:iCs/>
          <w:i/>
        </w:rPr>
        <w:t xml:space="preserve">Alzheimer's &amp; Dementia</w:t>
      </w:r>
      <w:r>
        <w:t xml:space="preserve">. 2025;21(7):e70535.</w:t>
      </w:r>
      <w:r>
        <w:t xml:space="preserve"> </w:t>
      </w:r>
      <w:hyperlink r:id="rId5575">
        <w:r>
          <w:rPr>
            <w:rStyle w:val="Hyperlink"/>
          </w:rPr>
          <w:t xml:space="preserve">https://doi.org/10.1002/alz.70535</w:t>
        </w:r>
      </w:hyperlink>
      <w:r>
        <w:t xml:space="preserve">（研究类型：系统评证和临床指南）</w:t>
      </w:r>
    </w:p>
    <w:p>
      <w:pPr>
        <w:pStyle w:val="ReferenceEntry"/>
      </w:pPr>
      <w:bookmarkStart w:id="5576" w:name="ref-1490"/>
      <w:r>
        <w:t xml:space="preserve">[1490]</w:t>
      </w:r>
      <w:bookmarkEnd w:id="5576"/>
      <w:r>
        <w:t xml:space="preserve"> Palmqvist S, Tideman P, Mattsson-Carlgren N, Schindler SE, Smith R, Ossenkoppele R, et al. Blood Biomarkers to Detect Alzheimer Disease in Primary Care and Secondary Care.</w:t>
      </w:r>
      <w:r>
        <w:t xml:space="preserve"> </w:t>
      </w:r>
      <w:r>
        <w:rPr>
          <w:iCs/>
          <w:i/>
        </w:rPr>
        <w:t xml:space="preserve">JAMA</w:t>
      </w:r>
      <w:r>
        <w:t xml:space="preserve">. 2024;332(15):1245.</w:t>
      </w:r>
      <w:r>
        <w:t xml:space="preserve"> </w:t>
      </w:r>
      <w:hyperlink r:id="rId5577">
        <w:r>
          <w:rPr>
            <w:rStyle w:val="Hyperlink"/>
          </w:rPr>
          <w:t xml:space="preserve">https://doi.org/10.1001/jama.2024.13855</w:t>
        </w:r>
      </w:hyperlink>
      <w:r>
        <w:t xml:space="preserve">（研究类型：预定义阈值临床诊断验证）</w:t>
      </w:r>
    </w:p>
    <w:p>
      <w:pPr>
        <w:pStyle w:val="ReferenceEntry"/>
      </w:pPr>
      <w:bookmarkStart w:id="5578" w:name="ref-1491"/>
      <w:r>
        <w:t xml:space="preserve">[1491]</w:t>
      </w:r>
      <w:bookmarkEnd w:id="5578"/>
      <w:r>
        <w:t xml:space="preserve"> US Food and Drug Administration. FDA Clears First Blood Test Used in Diagnosing Alzheimer Disease. 2025.</w:t>
      </w:r>
      <w:r>
        <w:t xml:space="preserve"> </w:t>
      </w:r>
      <w:hyperlink r:id="rId5579">
        <w:r>
          <w:rPr>
            <w:rStyle w:val="Hyperlink"/>
          </w:rPr>
          <w:t xml:space="preserve">https://www.fda.gov/news-events/press-announcements/fda-clears-first-blood-test-used-diagnosing-alzheimers-disease</w:t>
        </w:r>
      </w:hyperlink>
      <w:r>
        <w:t xml:space="preserve">（研究类型：监管审核公告）</w:t>
      </w:r>
    </w:p>
    <w:p>
      <w:pPr>
        <w:pStyle w:val="ReferenceEntry"/>
      </w:pPr>
      <w:bookmarkStart w:id="5580" w:name="ref-1492"/>
      <w:r>
        <w:t xml:space="preserve">[1492]</w:t>
      </w:r>
      <w:bookmarkEnd w:id="5580"/>
      <w:r>
        <w:t xml:space="preserve"> Janelidze S, Barthélemy NR, He Y, Bateman RJ, Hansson O. Mitigating the Associations of Kidney Dysfunction With Blood Biomarkers of Alzheimer Disease by Using Phosphorylated Tau to Total Tau Ratios.</w:t>
      </w:r>
      <w:r>
        <w:t xml:space="preserve"> </w:t>
      </w:r>
      <w:r>
        <w:rPr>
          <w:iCs/>
          <w:i/>
        </w:rPr>
        <w:t xml:space="preserve">JAMA Neurology</w:t>
      </w:r>
      <w:r>
        <w:t xml:space="preserve">. 2023;80(5):516.</w:t>
      </w:r>
      <w:r>
        <w:t xml:space="preserve"> </w:t>
      </w:r>
      <w:hyperlink r:id="rId5581">
        <w:r>
          <w:rPr>
            <w:rStyle w:val="Hyperlink"/>
          </w:rPr>
          <w:t xml:space="preserve">https://doi.org/10.1001/jamaneurol.2023.0199</w:t>
        </w:r>
      </w:hyperlink>
      <w:r>
        <w:t xml:space="preserve">（研究类型：两个队列横断面研究）</w:t>
      </w:r>
    </w:p>
    <w:p>
      <w:pPr>
        <w:pStyle w:val="ReferenceEntry"/>
      </w:pPr>
      <w:bookmarkStart w:id="5582" w:name="ref-1493"/>
      <w:r>
        <w:t xml:space="preserve">[1493]</w:t>
      </w:r>
      <w:bookmarkEnd w:id="5582"/>
      <w:r>
        <w:t xml:space="preserve"> van Dyck CH, Swanson CJ, Aisen P, Bateman RJ, Chen C, Gee M, et al. Lecanemab in Early Alzheimer’s Disease.</w:t>
      </w:r>
      <w:r>
        <w:t xml:space="preserve"> </w:t>
      </w:r>
      <w:r>
        <w:rPr>
          <w:iCs/>
          <w:i/>
        </w:rPr>
        <w:t xml:space="preserve">New England Journal of Medicine</w:t>
      </w:r>
      <w:r>
        <w:t xml:space="preserve">. 2023;388(1):9–21.</w:t>
      </w:r>
      <w:r>
        <w:t xml:space="preserve"> </w:t>
      </w:r>
      <w:hyperlink r:id="rId5583">
        <w:r>
          <w:rPr>
            <w:rStyle w:val="Hyperlink"/>
          </w:rPr>
          <w:t xml:space="preserve">https://doi.org/10.1056/NEJMoa2212948</w:t>
        </w:r>
      </w:hyperlink>
      <w:r>
        <w:t xml:space="preserve">（研究类型：18个月随机双盲安慰剂试验）</w:t>
      </w:r>
    </w:p>
    <w:p>
      <w:pPr>
        <w:pStyle w:val="ReferenceEntry"/>
      </w:pPr>
      <w:bookmarkStart w:id="5584" w:name="ref-1494"/>
      <w:r>
        <w:t xml:space="preserve">[1494]</w:t>
      </w:r>
      <w:bookmarkEnd w:id="5584"/>
      <w:r>
        <w:t xml:space="preserve"> Sims JR, Zimmer JA, Evans CD, Lu M, Ardayfio P, Sparks J, et al. Donanemab in Early Symptomatic Alzheimer Disease: The TRAILBLAZER-ALZ 2 Randomized Clinical Trial.</w:t>
      </w:r>
      <w:r>
        <w:t xml:space="preserve"> </w:t>
      </w:r>
      <w:r>
        <w:rPr>
          <w:iCs/>
          <w:i/>
        </w:rPr>
        <w:t xml:space="preserve">JAMA</w:t>
      </w:r>
      <w:r>
        <w:t xml:space="preserve">. 2023;330(6):512.</w:t>
      </w:r>
      <w:r>
        <w:t xml:space="preserve"> </w:t>
      </w:r>
      <w:hyperlink r:id="rId5585">
        <w:r>
          <w:rPr>
            <w:rStyle w:val="Hyperlink"/>
          </w:rPr>
          <w:t xml:space="preserve">https://doi.org/10.1001/jama.2023.13239</w:t>
        </w:r>
      </w:hyperlink>
      <w:r>
        <w:t xml:space="preserve">（研究类型：76周随机双盲安慰剂试验）</w:t>
      </w:r>
    </w:p>
    <w:p>
      <w:pPr>
        <w:pStyle w:val="ReferenceEntry"/>
      </w:pPr>
      <w:bookmarkStart w:id="5586" w:name="ref-1495"/>
      <w:r>
        <w:t xml:space="preserve">[1495]</w:t>
      </w:r>
      <w:bookmarkEnd w:id="5586"/>
      <w:r>
        <w:t xml:space="preserve"> US National Library of Medicine DailyMed. LEQEMBI prescribing information revised July 2026. 2026.</w:t>
      </w:r>
      <w:r>
        <w:t xml:space="preserve"> </w:t>
      </w:r>
      <w:hyperlink r:id="rId5587">
        <w:r>
          <w:rPr>
            <w:rStyle w:val="Hyperlink"/>
          </w:rPr>
          <w:t xml:space="preserve">https://dailymed.nlm.nih.gov/dailymed/drugInfo.cfm?setid=9d1ff786-e577-410a-a273-c4d7d0e4e975</w:t>
        </w:r>
      </w:hyperlink>
      <w:r>
        <w:t xml:space="preserve">（研究类型：美国现行药品说明书）</w:t>
      </w:r>
    </w:p>
    <w:p>
      <w:pPr>
        <w:pStyle w:val="ReferenceEntry"/>
      </w:pPr>
      <w:bookmarkStart w:id="5588" w:name="ref-1496"/>
      <w:r>
        <w:t xml:space="preserve">[1496]</w:t>
      </w:r>
      <w:bookmarkEnd w:id="5588"/>
      <w:r>
        <w:t xml:space="preserve"> US Food and Drug Administration. KISUNLA prescribing information revised July 2025. 2025.</w:t>
      </w:r>
      <w:r>
        <w:t xml:space="preserve"> </w:t>
      </w:r>
      <w:hyperlink r:id="rId5589">
        <w:r>
          <w:rPr>
            <w:rStyle w:val="Hyperlink"/>
          </w:rPr>
          <w:t xml:space="preserve">https://www.accessdata.fda.gov/drugsatfda_docs/label/2025/761248s004lbl.pdf</w:t>
        </w:r>
      </w:hyperlink>
      <w:r>
        <w:t xml:space="preserve">（研究类型：美国药品说明书）</w:t>
      </w:r>
    </w:p>
    <w:p>
      <w:pPr>
        <w:pStyle w:val="ReferenceEntry"/>
      </w:pPr>
      <w:bookmarkStart w:id="5590" w:name="ref-1497"/>
      <w:r>
        <w:t xml:space="preserve">[1497]</w:t>
      </w:r>
      <w:bookmarkEnd w:id="5590"/>
      <w:r>
        <w:t xml:space="preserve"> Graus F, Titulaer MJ, Balu R, Benseler S, Bien CG, Cellucci T, et al. A clinical approach to diagnosis of autoimmune encephalitis.</w:t>
      </w:r>
      <w:r>
        <w:t xml:space="preserve"> </w:t>
      </w:r>
      <w:r>
        <w:rPr>
          <w:iCs/>
          <w:i/>
        </w:rPr>
        <w:t xml:space="preserve">The Lancet Neurology</w:t>
      </w:r>
      <w:r>
        <w:t xml:space="preserve">. 2016;15(4):391–404.</w:t>
      </w:r>
      <w:r>
        <w:t xml:space="preserve"> </w:t>
      </w:r>
      <w:hyperlink r:id="rId5591">
        <w:r>
          <w:rPr>
            <w:rStyle w:val="Hyperlink"/>
          </w:rPr>
          <w:t xml:space="preserve">https://doi.org/10.1016/S1474-4422(15)00401-9</w:t>
        </w:r>
      </w:hyperlink>
      <w:r>
        <w:t xml:space="preserve">（研究类型：专业综合诊断标准）</w:t>
      </w:r>
    </w:p>
    <w:p>
      <w:pPr>
        <w:pStyle w:val="ReferenceEntry"/>
      </w:pPr>
      <w:bookmarkStart w:id="5592" w:name="ref-1498"/>
      <w:r>
        <w:t xml:space="preserve">[1498]</w:t>
      </w:r>
      <w:bookmarkEnd w:id="5592"/>
      <w:r>
        <w:t xml:space="preserve"> Abboud H, Probasco JC, Irani S, Ances B, Benavides DR, Bradshaw M, et al. Autoimmune encephalitis: proposed best practice recommendations for diagnosis and acute management.</w:t>
      </w:r>
      <w:r>
        <w:t xml:space="preserve"> </w:t>
      </w:r>
      <w:r>
        <w:rPr>
          <w:iCs/>
          <w:i/>
        </w:rPr>
        <w:t xml:space="preserve">Journal of Neurology, Neurosurgery &amp; Psychiatry</w:t>
      </w:r>
      <w:r>
        <w:t xml:space="preserve">. 2021;92(7):757–768.</w:t>
      </w:r>
      <w:r>
        <w:t xml:space="preserve"> </w:t>
      </w:r>
      <w:hyperlink r:id="rId5593">
        <w:r>
          <w:rPr>
            <w:rStyle w:val="Hyperlink"/>
          </w:rPr>
          <w:t xml:space="preserve">https://doi.org/10.1136/jnnp-2020-325300</w:t>
        </w:r>
      </w:hyperlink>
      <w:r>
        <w:t xml:space="preserve">（研究类型：专家网络最佳实践建议）</w:t>
      </w:r>
    </w:p>
    <w:p>
      <w:pPr>
        <w:pStyle w:val="ReferenceEntry"/>
      </w:pPr>
      <w:bookmarkStart w:id="5594" w:name="ref-1499"/>
      <w:r>
        <w:t xml:space="preserve">[1499]</w:t>
      </w:r>
      <w:bookmarkEnd w:id="5594"/>
      <w:r>
        <w:t xml:space="preserve"> Sechi E, Buciuc M, Pittock SJ, Chen JJ, Fryer JP, Jenkins SM, et al. Positive Predictive Value of Myelin Oligodendrocyte Glycoprotein Autoantibody Testing.</w:t>
      </w:r>
      <w:r>
        <w:t xml:space="preserve"> </w:t>
      </w:r>
      <w:r>
        <w:rPr>
          <w:iCs/>
          <w:i/>
        </w:rPr>
        <w:t xml:space="preserve">JAMA Neurology</w:t>
      </w:r>
      <w:r>
        <w:t xml:space="preserve">. 2021;78(6):741.</w:t>
      </w:r>
      <w:r>
        <w:t xml:space="preserve"> </w:t>
      </w:r>
      <w:hyperlink r:id="rId5595">
        <w:r>
          <w:rPr>
            <w:rStyle w:val="Hyperlink"/>
          </w:rPr>
          <w:t xml:space="preserve">https://doi.org/10.1001/jamaneurol.2021.0912</w:t>
        </w:r>
      </w:hyperlink>
      <w:r>
        <w:t xml:space="preserve">（研究类型：三级中心诊断研究）</w:t>
      </w:r>
    </w:p>
    <w:p>
      <w:pPr>
        <w:pStyle w:val="ReferenceEntry"/>
      </w:pPr>
      <w:bookmarkStart w:id="5596" w:name="ref-1500"/>
      <w:r>
        <w:t xml:space="preserve">[1500]</w:t>
      </w:r>
      <w:bookmarkEnd w:id="5596"/>
      <w:r>
        <w:t xml:space="preserve"> Flanagan EP, Geschwind MD, Lopez-Chiriboga AS, Blackburn KM, Turaga S, Binks S, et al. Autoimmune Encephalitis Misdiagnosis in Adults.</w:t>
      </w:r>
      <w:r>
        <w:t xml:space="preserve"> </w:t>
      </w:r>
      <w:r>
        <w:rPr>
          <w:iCs/>
          <w:i/>
        </w:rPr>
        <w:t xml:space="preserve">JAMA Neurology</w:t>
      </w:r>
      <w:r>
        <w:t xml:space="preserve">. 2023;80(1):30.</w:t>
      </w:r>
      <w:r>
        <w:t xml:space="preserve"> </w:t>
      </w:r>
      <w:hyperlink r:id="rId5597">
        <w:r>
          <w:rPr>
            <w:rStyle w:val="Hyperlink"/>
          </w:rPr>
          <w:t xml:space="preserve">https://doi.org/10.1001/jamaneurol.2022.4251</w:t>
        </w:r>
      </w:hyperlink>
      <w:r>
        <w:t xml:space="preserve">（研究类型：回顾性多中心转诊误诊系列）</w:t>
      </w:r>
    </w:p>
    <w:p>
      <w:pPr>
        <w:pStyle w:val="ReferenceEntry"/>
      </w:pPr>
      <w:bookmarkStart w:id="5598" w:name="ref-1501"/>
      <w:r>
        <w:t xml:space="preserve">[1501]</w:t>
      </w:r>
      <w:bookmarkEnd w:id="5598"/>
      <w:r>
        <w:t xml:space="preserve"> Titulaer MJ, McCracken L, Gabilondo I, Armangué T, Glaser C, Iizuka T, et al. Treatment and prognostic factors for long-term outcome in patients with anti-NMDA receptor encephalitis: an observational cohort study.</w:t>
      </w:r>
      <w:r>
        <w:t xml:space="preserve"> </w:t>
      </w:r>
      <w:r>
        <w:rPr>
          <w:iCs/>
          <w:i/>
        </w:rPr>
        <w:t xml:space="preserve">The Lancet Neurology</w:t>
      </w:r>
      <w:r>
        <w:t xml:space="preserve">. 2013;12(2):157–165.</w:t>
      </w:r>
      <w:r>
        <w:t xml:space="preserve"> </w:t>
      </w:r>
      <w:hyperlink r:id="rId5599">
        <w:r>
          <w:rPr>
            <w:rStyle w:val="Hyperlink"/>
          </w:rPr>
          <w:t xml:space="preserve">https://doi.org/10.1016/S1474-4422(12)70310-1</w:t>
        </w:r>
      </w:hyperlink>
      <w:r>
        <w:t xml:space="preserve">（研究类型：观察性多中心队列）</w:t>
      </w:r>
    </w:p>
    <w:p>
      <w:pPr>
        <w:pStyle w:val="ReferenceEntry"/>
      </w:pPr>
      <w:bookmarkStart w:id="5600" w:name="ref-1502"/>
      <w:r>
        <w:t xml:space="preserve">[1502]</w:t>
      </w:r>
      <w:bookmarkEnd w:id="5600"/>
      <w:r>
        <w:t xml:space="preserve"> National Institute for Health and Care Excellence. Multiple sclerosis in adults: management. 2022.</w:t>
      </w:r>
      <w:r>
        <w:t xml:space="preserve"> </w:t>
      </w:r>
      <w:hyperlink r:id="rId5601">
        <w:r>
          <w:rPr>
            <w:rStyle w:val="Hyperlink"/>
          </w:rPr>
          <w:t xml:space="preserve">https://www.nice.org.uk/guidance/ng220/chapter/Recommendations</w:t>
        </w:r>
      </w:hyperlink>
      <w:r>
        <w:t xml:space="preserve">（研究类型：官方指南）</w:t>
      </w:r>
    </w:p>
    <w:p>
      <w:pPr>
        <w:pStyle w:val="ReferenceEntry"/>
      </w:pPr>
      <w:bookmarkStart w:id="5602" w:name="ref-1503"/>
      <w:r>
        <w:t xml:space="preserve">[1503]</w:t>
      </w:r>
      <w:bookmarkEnd w:id="5602"/>
      <w:r>
        <w:t xml:space="preserve"> Montalban X, Lebrun-Frénay C, Oh J, Arrambide G, Moccia M, Pia Amato M, et al. Diagnosis of multiple sclerosis: 2024 revisions of the McDonald criteria.</w:t>
      </w:r>
      <w:r>
        <w:t xml:space="preserve"> </w:t>
      </w:r>
      <w:r>
        <w:rPr>
          <w:iCs/>
          <w:i/>
        </w:rPr>
        <w:t xml:space="preserve">The Lancet Neurology</w:t>
      </w:r>
      <w:r>
        <w:t xml:space="preserve">. 2025;24(10):850–865.</w:t>
      </w:r>
      <w:r>
        <w:t xml:space="preserve"> </w:t>
      </w:r>
      <w:hyperlink r:id="rId5603">
        <w:r>
          <w:rPr>
            <w:rStyle w:val="Hyperlink"/>
          </w:rPr>
          <w:t xml:space="preserve">https://doi.org/10.1016/S1474-4422(25)00270-4</w:t>
        </w:r>
      </w:hyperlink>
      <w:r>
        <w:t xml:space="preserve">（研究类型：国际诊断标准修订）</w:t>
      </w:r>
    </w:p>
    <w:p>
      <w:pPr>
        <w:pStyle w:val="ReferenceEntry"/>
      </w:pPr>
      <w:bookmarkStart w:id="5604" w:name="ref-1504"/>
      <w:r>
        <w:t xml:space="preserve">[1504]</w:t>
      </w:r>
      <w:bookmarkEnd w:id="5604"/>
      <w:r>
        <w:t xml:space="preserve"> Kappos L, Wolinsky JS, Giovannoni G, Arnold DL, Wang Q, Bernasconi C, et al. Contribution of Relapse-Independent Progression vs Relapse-Associated Worsening to Overall Confirmed Disability Accumulation in Typical Relapsing Multiple Sclerosis in a Pooled Analysis of 2 Randomized Clinical Trials.</w:t>
      </w:r>
      <w:r>
        <w:t xml:space="preserve"> </w:t>
      </w:r>
      <w:r>
        <w:rPr>
          <w:iCs/>
          <w:i/>
        </w:rPr>
        <w:t xml:space="preserve">JAMA Neurology</w:t>
      </w:r>
      <w:r>
        <w:t xml:space="preserve">. 2020;77(9):1132.</w:t>
      </w:r>
      <w:r>
        <w:t xml:space="preserve"> </w:t>
      </w:r>
      <w:hyperlink r:id="rId5605">
        <w:r>
          <w:rPr>
            <w:rStyle w:val="Hyperlink"/>
          </w:rPr>
          <w:t xml:space="preserve">https://doi.org/10.1001/jamaneurol.2020.1568</w:t>
        </w:r>
      </w:hyperlink>
      <w:r>
        <w:t xml:space="preserve">（研究类型：OPERA I II随机试验的合并再分析）</w:t>
      </w:r>
    </w:p>
    <w:p>
      <w:pPr>
        <w:pStyle w:val="ReferenceEntry"/>
      </w:pPr>
      <w:bookmarkStart w:id="5606" w:name="ref-1505"/>
      <w:r>
        <w:t xml:space="preserve">[1505]</w:t>
      </w:r>
      <w:bookmarkEnd w:id="5606"/>
      <w:r>
        <w:t xml:space="preserve"> Bjornevik K, Cortese M, Healy BC, Kuhle J, Mina MJ, Leng Y, et al. Longitudinal analysis reveals high prevalence of Epstein-Barr virus associated with multiple sclerosis.</w:t>
      </w:r>
      <w:r>
        <w:t xml:space="preserve"> </w:t>
      </w:r>
      <w:r>
        <w:rPr>
          <w:iCs/>
          <w:i/>
        </w:rPr>
        <w:t xml:space="preserve">Science</w:t>
      </w:r>
      <w:r>
        <w:t xml:space="preserve">. 2022;375(6578):296–301.</w:t>
      </w:r>
      <w:r>
        <w:t xml:space="preserve"> </w:t>
      </w:r>
      <w:hyperlink r:id="rId5607">
        <w:r>
          <w:rPr>
            <w:rStyle w:val="Hyperlink"/>
          </w:rPr>
          <w:t xml:space="preserve">https://doi.org/10.1126/science.abj8222</w:t>
        </w:r>
      </w:hyperlink>
      <w:r>
        <w:t xml:space="preserve">（研究类型：纵向军人血清队列）</w:t>
      </w:r>
    </w:p>
    <w:p>
      <w:pPr>
        <w:pStyle w:val="ReferenceEntry"/>
      </w:pPr>
      <w:bookmarkStart w:id="5608" w:name="ref-1506"/>
      <w:r>
        <w:t xml:space="preserve">[1506]</w:t>
      </w:r>
      <w:bookmarkEnd w:id="5608"/>
      <w:r>
        <w:t xml:space="preserve"> Lanz TV, Brewer RC, Ho PP, Moon JS, Jude KM, Fernandez D, et al. Clonally expanded B cells in multiple sclerosis bind EBV EBNA1 and GlialCAM.</w:t>
      </w:r>
      <w:r>
        <w:t xml:space="preserve"> </w:t>
      </w:r>
      <w:r>
        <w:rPr>
          <w:iCs/>
          <w:i/>
        </w:rPr>
        <w:t xml:space="preserve">Nature</w:t>
      </w:r>
      <w:r>
        <w:t xml:space="preserve">. 2022;603(7900):321–327.</w:t>
      </w:r>
      <w:r>
        <w:t xml:space="preserve"> </w:t>
      </w:r>
      <w:hyperlink r:id="rId5609">
        <w:r>
          <w:rPr>
            <w:rStyle w:val="Hyperlink"/>
          </w:rPr>
          <w:t xml:space="preserve">https://doi.org/10.1038/s41586-022-04432-7</w:t>
        </w:r>
      </w:hyperlink>
      <w:r>
        <w:t xml:space="preserve">（研究类型：人B细胞抗体、结构与动物机制实验）</w:t>
      </w:r>
    </w:p>
    <w:p>
      <w:pPr>
        <w:pStyle w:val="ReferenceEntry"/>
      </w:pPr>
      <w:bookmarkStart w:id="5610" w:name="ref-1507"/>
      <w:r>
        <w:t xml:space="preserve">[1507]</w:t>
      </w:r>
      <w:bookmarkEnd w:id="5610"/>
      <w:r>
        <w:t xml:space="preserve"> Banwell B, Bennett JL, Marignier R, Kim HJ, Brilot F, Flanagan EP, et al. Diagnosis of myelin oligodendrocyte glycoprotein antibody-associated disease: International MOGAD Panel proposed criteria.</w:t>
      </w:r>
      <w:r>
        <w:t xml:space="preserve"> </w:t>
      </w:r>
      <w:r>
        <w:rPr>
          <w:iCs/>
          <w:i/>
        </w:rPr>
        <w:t xml:space="preserve">The Lancet Neurology</w:t>
      </w:r>
      <w:r>
        <w:t xml:space="preserve">. 2023;22(3):268–282.</w:t>
      </w:r>
      <w:r>
        <w:t xml:space="preserve"> </w:t>
      </w:r>
      <w:hyperlink r:id="rId5611">
        <w:r>
          <w:rPr>
            <w:rStyle w:val="Hyperlink"/>
          </w:rPr>
          <w:t xml:space="preserve">https://doi.org/10.1016/S1474-4422(22)00431-8</w:t>
        </w:r>
      </w:hyperlink>
      <w:r>
        <w:t xml:space="preserve">（研究类型：国际专家诊断标准）</w:t>
      </w:r>
    </w:p>
    <w:p>
      <w:pPr>
        <w:pStyle w:val="ReferenceEntry"/>
      </w:pPr>
      <w:bookmarkStart w:id="5612" w:name="ref-1508"/>
      <w:r>
        <w:t xml:space="preserve">[1508]</w:t>
      </w:r>
      <w:bookmarkEnd w:id="5612"/>
      <w:r>
        <w:t xml:space="preserve"> Jarius S, Aktas O, Ayzenberg I, Bellmann-Strobl J, Berthele A, Giglhuber K, et al. Update on the diagnosis and treatment of neuromyelits optica spectrum disorders (NMOSD) - revised recommendations of the Neuromyelitis Optica Study Group (NEMOS). Part I: Diagnosis and differential diagnosis.</w:t>
      </w:r>
      <w:r>
        <w:t xml:space="preserve"> </w:t>
      </w:r>
      <w:r>
        <w:rPr>
          <w:iCs/>
          <w:i/>
        </w:rPr>
        <w:t xml:space="preserve">Journal of Neurology</w:t>
      </w:r>
      <w:r>
        <w:t xml:space="preserve">. 2023;270(7):3341–3368.</w:t>
      </w:r>
      <w:r>
        <w:t xml:space="preserve"> </w:t>
      </w:r>
      <w:hyperlink r:id="rId5613">
        <w:r>
          <w:rPr>
            <w:rStyle w:val="Hyperlink"/>
          </w:rPr>
          <w:t xml:space="preserve">https://doi.org/10.1007/s00415-023-11634-0</w:t>
        </w:r>
      </w:hyperlink>
      <w:r>
        <w:t xml:space="preserve">（研究类型：专业诊断建议）</w:t>
      </w:r>
    </w:p>
    <w:p>
      <w:pPr>
        <w:pStyle w:val="ReferenceEntry"/>
      </w:pPr>
      <w:bookmarkStart w:id="5614" w:name="ref-1509"/>
      <w:r>
        <w:t xml:space="preserve">[1509]</w:t>
      </w:r>
      <w:bookmarkEnd w:id="5614"/>
      <w:r>
        <w:t xml:space="preserve"> Pittock SJ, Berthele A, Fujihara K, Kim HJ, Levy M, Palace J, et al. Eculizumab in Aquaporin-4-Positive Neuromyelitis Optica Spectrum Disorder.</w:t>
      </w:r>
      <w:r>
        <w:t xml:space="preserve"> </w:t>
      </w:r>
      <w:r>
        <w:rPr>
          <w:iCs/>
          <w:i/>
        </w:rPr>
        <w:t xml:space="preserve">New England Journal of Medicine</w:t>
      </w:r>
      <w:r>
        <w:t xml:space="preserve">. 2019;381(7):614–625.</w:t>
      </w:r>
      <w:r>
        <w:t xml:space="preserve"> </w:t>
      </w:r>
      <w:hyperlink r:id="rId5615">
        <w:r>
          <w:rPr>
            <w:rStyle w:val="Hyperlink"/>
          </w:rPr>
          <w:t xml:space="preserve">https://doi.org/10.1056/NEJMoa1900866</w:t>
        </w:r>
      </w:hyperlink>
      <w:r>
        <w:t xml:space="preserve">（研究类型：随机双盲时间至事件试验）</w:t>
      </w:r>
    </w:p>
    <w:p>
      <w:pPr>
        <w:pStyle w:val="ReferenceEntry"/>
      </w:pPr>
      <w:bookmarkStart w:id="5616" w:name="ref-1510"/>
      <w:r>
        <w:t xml:space="preserve">[1510]</w:t>
      </w:r>
      <w:bookmarkEnd w:id="5616"/>
      <w:r>
        <w:t xml:space="preserve"> US Food and Drug Administration and DailyMed. SOLIRIS eculizumab prescribing information. 2026.</w:t>
      </w:r>
      <w:r>
        <w:t xml:space="preserve"> </w:t>
      </w:r>
      <w:hyperlink r:id="rId5617">
        <w:r>
          <w:rPr>
            <w:rStyle w:val="Hyperlink"/>
          </w:rPr>
          <w:t xml:space="preserve">https://dailymed.nlm.nih.gov/dailymed/drugInfo.cfm?setid=ebcd67fa-b4d1-4a22-b33d-ee8bf6b9c722</w:t>
        </w:r>
      </w:hyperlink>
      <w:r>
        <w:t xml:space="preserve">（研究类型：官方药品说明）</w:t>
      </w:r>
    </w:p>
    <w:p>
      <w:pPr>
        <w:pStyle w:val="ReferenceEntry"/>
      </w:pPr>
      <w:bookmarkStart w:id="5618" w:name="ref-1511"/>
      <w:r>
        <w:t xml:space="preserve">[1511]</w:t>
      </w:r>
      <w:bookmarkEnd w:id="5618"/>
      <w:r>
        <w:t xml:space="preserve"> Fisher RS, Acevedo C, Arzimanoglou A, Bogacz A, Cross JH, Elger CE, et al. ILAE official report: a practical clinical definition of epilepsy.</w:t>
      </w:r>
      <w:r>
        <w:t xml:space="preserve"> </w:t>
      </w:r>
      <w:r>
        <w:rPr>
          <w:iCs/>
          <w:i/>
        </w:rPr>
        <w:t xml:space="preserve">Epilepsia</w:t>
      </w:r>
      <w:r>
        <w:t xml:space="preserve">. 2014;55(4):475–482.</w:t>
      </w:r>
      <w:r>
        <w:t xml:space="preserve"> </w:t>
      </w:r>
      <w:hyperlink r:id="rId5619">
        <w:r>
          <w:rPr>
            <w:rStyle w:val="Hyperlink"/>
          </w:rPr>
          <w:t xml:space="preserve">https://doi.org/10.1111/epi.12550</w:t>
        </w:r>
      </w:hyperlink>
      <w:r>
        <w:t xml:space="preserve">（研究类型：ILAE定义）</w:t>
      </w:r>
    </w:p>
    <w:p>
      <w:pPr>
        <w:pStyle w:val="ReferenceEntry"/>
      </w:pPr>
      <w:bookmarkStart w:id="5620" w:name="ref-1512"/>
      <w:r>
        <w:t xml:space="preserve">[1512]</w:t>
      </w:r>
      <w:bookmarkEnd w:id="5620"/>
      <w:r>
        <w:t xml:space="preserve"> Beniczky S, Trinka E, Wirrell E, Abdulla F, Al Baradie R, Alonso Vanegas M, et al. Updated classification of epileptic seizures: Position paper of the International League Against Epilepsy.</w:t>
      </w:r>
      <w:r>
        <w:t xml:space="preserve"> </w:t>
      </w:r>
      <w:r>
        <w:rPr>
          <w:iCs/>
          <w:i/>
        </w:rPr>
        <w:t xml:space="preserve">Epilepsia</w:t>
      </w:r>
      <w:r>
        <w:t xml:space="preserve">. 2025;66(6):1804–1823.</w:t>
      </w:r>
      <w:r>
        <w:t xml:space="preserve"> </w:t>
      </w:r>
      <w:hyperlink r:id="rId5621">
        <w:r>
          <w:rPr>
            <w:rStyle w:val="Hyperlink"/>
          </w:rPr>
          <w:t xml:space="preserve">https://doi.org/10.1111/epi.18338</w:t>
        </w:r>
      </w:hyperlink>
      <w:r>
        <w:t xml:space="preserve">（研究类型：ILAE分类立场文件）</w:t>
      </w:r>
    </w:p>
    <w:p>
      <w:pPr>
        <w:pStyle w:val="ReferenceEntry"/>
      </w:pPr>
      <w:bookmarkStart w:id="5622" w:name="ref-1513"/>
      <w:r>
        <w:t xml:space="preserve">[1513]</w:t>
      </w:r>
      <w:bookmarkEnd w:id="5622"/>
      <w:r>
        <w:t xml:space="preserve"> Staley K. Molecular mechanisms of epilepsy.</w:t>
      </w:r>
      <w:r>
        <w:t xml:space="preserve"> </w:t>
      </w:r>
      <w:r>
        <w:rPr>
          <w:iCs/>
          <w:i/>
        </w:rPr>
        <w:t xml:space="preserve">Nature Neuroscience</w:t>
      </w:r>
      <w:r>
        <w:t xml:space="preserve">. 2015;18(3):367–372.</w:t>
      </w:r>
      <w:r>
        <w:t xml:space="preserve"> </w:t>
      </w:r>
      <w:hyperlink r:id="rId5623">
        <w:r>
          <w:rPr>
            <w:rStyle w:val="Hyperlink"/>
          </w:rPr>
          <w:t xml:space="preserve">https://doi.org/10.1038/nn.3947</w:t>
        </w:r>
      </w:hyperlink>
      <w:r>
        <w:t xml:space="preserve">（研究类型：机制综述）</w:t>
      </w:r>
    </w:p>
    <w:p>
      <w:pPr>
        <w:pStyle w:val="ReferenceEntry"/>
      </w:pPr>
      <w:bookmarkStart w:id="5624" w:name="ref-1514"/>
      <w:r>
        <w:t xml:space="preserve">[1514]</w:t>
      </w:r>
      <w:bookmarkEnd w:id="5624"/>
      <w:r>
        <w:t xml:space="preserve"> Magloire V, Cornford J, Lieb A, Kullmann DM, Pavlov I. KCC2 overexpression prevents the paradoxical seizure-promoting action of somatic inhibition.</w:t>
      </w:r>
      <w:r>
        <w:t xml:space="preserve"> </w:t>
      </w:r>
      <w:r>
        <w:rPr>
          <w:iCs/>
          <w:i/>
        </w:rPr>
        <w:t xml:space="preserve">Nature Communications</w:t>
      </w:r>
      <w:r>
        <w:t xml:space="preserve">. 2019;10(1):1225.</w:t>
      </w:r>
      <w:r>
        <w:t xml:space="preserve"> </w:t>
      </w:r>
      <w:hyperlink r:id="rId5625">
        <w:r>
          <w:rPr>
            <w:rStyle w:val="Hyperlink"/>
          </w:rPr>
          <w:t xml:space="preserve">https://doi.org/10.1038/s41467-019-08933-4</w:t>
        </w:r>
      </w:hyperlink>
      <w:r>
        <w:t xml:space="preserve">（研究类型：清醒小鼠急性局灶发作闭环光遗传实验）</w:t>
      </w:r>
    </w:p>
    <w:p>
      <w:pPr>
        <w:pStyle w:val="ReferenceEntry"/>
      </w:pPr>
      <w:bookmarkStart w:id="5626" w:name="ref-1515"/>
      <w:r>
        <w:t xml:space="preserve">[1515]</w:t>
      </w:r>
      <w:bookmarkEnd w:id="5626"/>
      <w:r>
        <w:t xml:space="preserve"> Lim JS, Kim Wi, Kang HC, Kim SH, Park AH, Park EK, et al. Brain somatic mutations in MTOR cause focal cortical dysplasia type II leading to intractable epilepsy.</w:t>
      </w:r>
      <w:r>
        <w:t xml:space="preserve"> </w:t>
      </w:r>
      <w:r>
        <w:rPr>
          <w:iCs/>
          <w:i/>
        </w:rPr>
        <w:t xml:space="preserve">Nature Medicine</w:t>
      </w:r>
      <w:r>
        <w:t xml:space="preserve">. 2015;21(4):395–400.</w:t>
      </w:r>
      <w:r>
        <w:t xml:space="preserve"> </w:t>
      </w:r>
      <w:hyperlink r:id="rId5627">
        <w:r>
          <w:rPr>
            <w:rStyle w:val="Hyperlink"/>
          </w:rPr>
          <w:t xml:space="preserve">https://doi.org/10.1038/nm.3824</w:t>
        </w:r>
      </w:hyperlink>
      <w:r>
        <w:t xml:space="preserve">（研究类型：患者脑血深度测序与小鼠模型）</w:t>
      </w:r>
    </w:p>
    <w:p>
      <w:pPr>
        <w:pStyle w:val="ReferenceEntry"/>
      </w:pPr>
      <w:bookmarkStart w:id="5628" w:name="ref-1516"/>
      <w:r>
        <w:t xml:space="preserve">[1516]</w:t>
      </w:r>
      <w:bookmarkEnd w:id="5628"/>
      <w:r>
        <w:t xml:space="preserve"> Krey I, Platzer K, Esterhuizen A, Berkovic SF, Helbig I, Hildebrand MS, et al. Current practice in diagnostic genetic testing of the epilepsies.</w:t>
      </w:r>
      <w:r>
        <w:t xml:space="preserve"> </w:t>
      </w:r>
      <w:r>
        <w:rPr>
          <w:iCs/>
          <w:i/>
        </w:rPr>
        <w:t xml:space="preserve">Epileptic Disorders</w:t>
      </w:r>
      <w:r>
        <w:t xml:space="preserve">. 2022;24(5):765–786.</w:t>
      </w:r>
      <w:r>
        <w:t xml:space="preserve"> </w:t>
      </w:r>
      <w:hyperlink r:id="rId5629">
        <w:r>
          <w:rPr>
            <w:rStyle w:val="Hyperlink"/>
          </w:rPr>
          <w:t xml:space="preserve">https://doi.org/10.1684/epd.2022.1448</w:t>
        </w:r>
      </w:hyperlink>
      <w:r>
        <w:t xml:space="preserve">（研究类型：ILAE遗传检测实践建议）</w:t>
      </w:r>
    </w:p>
    <w:p>
      <w:pPr>
        <w:pStyle w:val="ReferenceEntry"/>
      </w:pPr>
      <w:bookmarkStart w:id="5630" w:name="ref-1517"/>
      <w:r>
        <w:t xml:space="preserve">[1517]</w:t>
      </w:r>
      <w:bookmarkEnd w:id="5630"/>
      <w:r>
        <w:t xml:space="preserve"> National Institute for Health and Care Excellence. Epilepsies in children, young people and adults. 2025.</w:t>
      </w:r>
      <w:r>
        <w:t xml:space="preserve"> </w:t>
      </w:r>
      <w:hyperlink r:id="rId5631">
        <w:r>
          <w:rPr>
            <w:rStyle w:val="Hyperlink"/>
          </w:rPr>
          <w:t xml:space="preserve">https://www.nice.org.uk/guidance/ng217/chapter/diagnosis-and-assessment-of-epilepsy</w:t>
        </w:r>
      </w:hyperlink>
      <w:r>
        <w:t xml:space="preserve">（研究类型：官方指南2025更新）</w:t>
      </w:r>
    </w:p>
    <w:p>
      <w:pPr>
        <w:pStyle w:val="ReferenceEntry"/>
      </w:pPr>
      <w:bookmarkStart w:id="5632" w:name="ref-1518"/>
      <w:r>
        <w:t xml:space="preserve">[1518]</w:t>
      </w:r>
      <w:bookmarkEnd w:id="5632"/>
      <w:r>
        <w:t xml:space="preserve"> Casale MJ, Marcuse LV, Young JJ, Jette N, Panov FE, Bender HA, et al. The Sensitivity of Scalp EEG at Detecting Seizures A Simultaneous Scalp and Stereo EEG Study.</w:t>
      </w:r>
      <w:r>
        <w:t xml:space="preserve"> </w:t>
      </w:r>
      <w:r>
        <w:rPr>
          <w:iCs/>
          <w:i/>
        </w:rPr>
        <w:t xml:space="preserve">Journal of Clinical Neurophysiology</w:t>
      </w:r>
      <w:r>
        <w:t xml:space="preserve">. 2022;39(1):78–84.</w:t>
      </w:r>
      <w:r>
        <w:t xml:space="preserve"> </w:t>
      </w:r>
      <w:hyperlink r:id="rId5633">
        <w:r>
          <w:rPr>
            <w:rStyle w:val="Hyperlink"/>
          </w:rPr>
          <w:t xml:space="preserve">https://doi.org/10.1097/WNP.0000000000000739</w:t>
        </w:r>
      </w:hyperlink>
      <w:r>
        <w:t xml:space="preserve">（研究类型：同步头皮和颅内记录）</w:t>
      </w:r>
    </w:p>
    <w:p>
      <w:pPr>
        <w:pStyle w:val="ReferenceEntry"/>
      </w:pPr>
      <w:bookmarkStart w:id="5634" w:name="ref-1519"/>
      <w:r>
        <w:t xml:space="preserve">[1519]</w:t>
      </w:r>
      <w:bookmarkEnd w:id="5634"/>
      <w:r>
        <w:t xml:space="preserve"> Baykan B, Dunne J, Wiebe S, Maillard L, Beniczky S, Koutroumanidis M, et al. Presence of interictal epileptiform EEG discharges implies increased risk of recurrence after the first unprovoked seizure: Report of the International League Against Epilepsy and International Federation of Clinical Neurophysiology.</w:t>
      </w:r>
      <w:r>
        <w:t xml:space="preserve"> </w:t>
      </w:r>
      <w:r>
        <w:rPr>
          <w:iCs/>
          <w:i/>
        </w:rPr>
        <w:t xml:space="preserve">Epilepsia</w:t>
      </w:r>
      <w:r>
        <w:t xml:space="preserve">. 2025;66(10):3920–3936.</w:t>
      </w:r>
      <w:r>
        <w:t xml:space="preserve"> </w:t>
      </w:r>
      <w:hyperlink r:id="rId5635">
        <w:r>
          <w:rPr>
            <w:rStyle w:val="Hyperlink"/>
          </w:rPr>
          <w:t xml:space="preserve">https://doi.org/10.1111/epi.18591</w:t>
        </w:r>
      </w:hyperlink>
      <w:r>
        <w:t xml:space="preserve">（研究类型：系统综述与元分析）</w:t>
      </w:r>
    </w:p>
    <w:p>
      <w:pPr>
        <w:pStyle w:val="ReferenceEntry"/>
      </w:pPr>
      <w:bookmarkStart w:id="5636" w:name="ref-1520"/>
      <w:r>
        <w:t xml:space="preserve">[1520]</w:t>
      </w:r>
      <w:bookmarkEnd w:id="5636"/>
      <w:r>
        <w:t xml:space="preserve"> Krumholz A, Wiebe S, Gronseth GS, Gloss DS, Sanchez AM, Kabir AA, et al. Evidence-based guideline: Management of an unprovoked first seizure in adults: Report of the Guideline Development Subcommittee of the American Academy of Neurology and the American Epilepsy Society.</w:t>
      </w:r>
      <w:r>
        <w:t xml:space="preserve"> </w:t>
      </w:r>
      <w:r>
        <w:rPr>
          <w:iCs/>
          <w:i/>
        </w:rPr>
        <w:t xml:space="preserve">Neurology</w:t>
      </w:r>
      <w:r>
        <w:t xml:space="preserve">. 2015;84(16):1705–1713.</w:t>
      </w:r>
      <w:r>
        <w:t xml:space="preserve"> </w:t>
      </w:r>
      <w:hyperlink r:id="rId5637">
        <w:r>
          <w:rPr>
            <w:rStyle w:val="Hyperlink"/>
          </w:rPr>
          <w:t xml:space="preserve">https://doi.org/10.1212/WNL.0000000000001487</w:t>
        </w:r>
      </w:hyperlink>
      <w:r>
        <w:t xml:space="preserve">（研究类型：AAN AES循证指南）</w:t>
      </w:r>
    </w:p>
    <w:p>
      <w:pPr>
        <w:pStyle w:val="ReferenceEntry"/>
      </w:pPr>
      <w:bookmarkStart w:id="5638" w:name="ref-1521"/>
      <w:r>
        <w:t xml:space="preserve">[1521]</w:t>
      </w:r>
      <w:bookmarkEnd w:id="5638"/>
      <w:r>
        <w:t xml:space="preserve"> Kwan P, Arzimanoglou A, Berg AT, Brodie MJ, Allen Hauser W, Mathern G, et al. Definition of drug resistant epilepsy: consensus proposal by the ad hoc Task Force of the ILAE Commission on Therapeutic Strategies.</w:t>
      </w:r>
      <w:r>
        <w:t xml:space="preserve"> </w:t>
      </w:r>
      <w:r>
        <w:rPr>
          <w:iCs/>
          <w:i/>
        </w:rPr>
        <w:t xml:space="preserve">Epilepsia</w:t>
      </w:r>
      <w:r>
        <w:t xml:space="preserve">. 2010;51(6):1069–1077.</w:t>
      </w:r>
      <w:r>
        <w:t xml:space="preserve"> </w:t>
      </w:r>
      <w:hyperlink r:id="rId5639">
        <w:r>
          <w:rPr>
            <w:rStyle w:val="Hyperlink"/>
          </w:rPr>
          <w:t xml:space="preserve">https://doi.org/10.1111/j.1528-1167.2009.02397.x</w:t>
        </w:r>
      </w:hyperlink>
      <w:r>
        <w:t xml:space="preserve">（研究类型：ILAE共识定义）</w:t>
      </w:r>
    </w:p>
    <w:p>
      <w:pPr>
        <w:pStyle w:val="ReferenceEntry"/>
      </w:pPr>
      <w:bookmarkStart w:id="5640" w:name="ref-1522"/>
      <w:r>
        <w:t xml:space="preserve">[1522]</w:t>
      </w:r>
      <w:bookmarkEnd w:id="5640"/>
      <w:r>
        <w:t xml:space="preserve"> Wiebe S, Blume WT, Girvin JP, Eliasziw M. A randomized, controlled trial of surgery for temporal-lobe epilepsy.</w:t>
      </w:r>
      <w:r>
        <w:t xml:space="preserve"> </w:t>
      </w:r>
      <w:r>
        <w:rPr>
          <w:iCs/>
          <w:i/>
        </w:rPr>
        <w:t xml:space="preserve">New England Journal of Medicine</w:t>
      </w:r>
      <w:r>
        <w:t xml:space="preserve">. 2001;345(5):311–318.</w:t>
      </w:r>
      <w:r>
        <w:t xml:space="preserve"> </w:t>
      </w:r>
      <w:hyperlink r:id="rId5641">
        <w:r>
          <w:rPr>
            <w:rStyle w:val="Hyperlink"/>
          </w:rPr>
          <w:t xml:space="preserve">https://doi.org/10.1056/NEJM200108023450501</w:t>
        </w:r>
      </w:hyperlink>
      <w:r>
        <w:t xml:space="preserve">（研究类型：随机手术与药物比较）</w:t>
      </w:r>
    </w:p>
    <w:p>
      <w:pPr>
        <w:pStyle w:val="ReferenceEntry"/>
      </w:pPr>
      <w:bookmarkStart w:id="5642" w:name="ref-1523"/>
      <w:r>
        <w:t xml:space="preserve">[1523]</w:t>
      </w:r>
      <w:bookmarkEnd w:id="5642"/>
      <w:r>
        <w:t xml:space="preserve"> Nair DR, Laxer KD, Weber PB, Murro AM, Park YD, Barkley GL, et al. Nine-year prospective efficacy and safety of brain-responsive neurostimulation for focal epilepsy.</w:t>
      </w:r>
      <w:r>
        <w:t xml:space="preserve"> </w:t>
      </w:r>
      <w:r>
        <w:rPr>
          <w:iCs/>
          <w:i/>
        </w:rPr>
        <w:t xml:space="preserve">Neurology</w:t>
      </w:r>
      <w:r>
        <w:t xml:space="preserve">. 2020;95(9).</w:t>
      </w:r>
      <w:r>
        <w:t xml:space="preserve"> </w:t>
      </w:r>
      <w:hyperlink r:id="rId5643">
        <w:r>
          <w:rPr>
            <w:rStyle w:val="Hyperlink"/>
          </w:rPr>
          <w:t xml:space="preserve">https://doi.org/10.1212/WNL.0000000000010154</w:t>
        </w:r>
      </w:hyperlink>
      <w:r>
        <w:t xml:space="preserve">（研究类型：开放长期延长随访）</w:t>
      </w:r>
    </w:p>
    <w:p>
      <w:pPr>
        <w:pStyle w:val="ReferenceEntry"/>
      </w:pPr>
      <w:bookmarkStart w:id="5644" w:name="ref-1524"/>
      <w:r>
        <w:t xml:space="preserve">[1524]</w:t>
      </w:r>
      <w:bookmarkEnd w:id="5644"/>
      <w:r>
        <w:t xml:space="preserve"> Trinka E, Cock H, Hesdorffer D, Rossetti AO, Scheffer IE, Shinnar S, et al. A definition and classification of status epilepticus Report of the ILAE Task Force on Classification of Status Epilepticus.</w:t>
      </w:r>
      <w:r>
        <w:t xml:space="preserve"> </w:t>
      </w:r>
      <w:r>
        <w:rPr>
          <w:iCs/>
          <w:i/>
        </w:rPr>
        <w:t xml:space="preserve">Epilepsia</w:t>
      </w:r>
      <w:r>
        <w:t xml:space="preserve">. 2015;56(10):1515–1523.</w:t>
      </w:r>
      <w:r>
        <w:t xml:space="preserve"> </w:t>
      </w:r>
      <w:hyperlink r:id="rId5645">
        <w:r>
          <w:rPr>
            <w:rStyle w:val="Hyperlink"/>
          </w:rPr>
          <w:t xml:space="preserve">https://doi.org/10.1111/epi.13121</w:t>
        </w:r>
      </w:hyperlink>
      <w:r>
        <w:t xml:space="preserve">（研究类型：ILAE定义）</w:t>
      </w:r>
    </w:p>
    <w:p>
      <w:pPr>
        <w:pStyle w:val="ReferenceEntry"/>
      </w:pPr>
      <w:bookmarkStart w:id="5646" w:name="ref-1525"/>
      <w:r>
        <w:t xml:space="preserve">[1525]</w:t>
      </w:r>
      <w:bookmarkEnd w:id="5646"/>
      <w:r>
        <w:t xml:space="preserve"> Kapur J, Elm J, Chamberlain JM, Barsan W, Cloyd J, Lowenstein D, et al. Randomized Trial of Three Anticonvulsant Medications for Status Epilepticus.</w:t>
      </w:r>
      <w:r>
        <w:t xml:space="preserve"> </w:t>
      </w:r>
      <w:r>
        <w:rPr>
          <w:iCs/>
          <w:i/>
        </w:rPr>
        <w:t xml:space="preserve">New England Journal of Medicine</w:t>
      </w:r>
      <w:r>
        <w:t xml:space="preserve">. 2019;381(22):2103–2113.</w:t>
      </w:r>
      <w:r>
        <w:t xml:space="preserve"> </w:t>
      </w:r>
      <w:hyperlink r:id="rId5647">
        <w:r>
          <w:rPr>
            <w:rStyle w:val="Hyperlink"/>
          </w:rPr>
          <w:t xml:space="preserve">https://doi.org/10.1056/NEJMoa1905795</w:t>
        </w:r>
      </w:hyperlink>
      <w:r>
        <w:t xml:space="preserve">（研究类型：随机盲法适应性比较）</w:t>
      </w:r>
    </w:p>
    <w:p>
      <w:pPr>
        <w:pStyle w:val="ReferenceEntry"/>
      </w:pPr>
      <w:bookmarkStart w:id="5648" w:name="ref-1526"/>
      <w:r>
        <w:t xml:space="preserve">[1526]</w:t>
      </w:r>
      <w:bookmarkEnd w:id="5648"/>
      <w:r>
        <w:t xml:space="preserve"> Centers for Disease Control and Prevention. First Aid for Seizures. 2024.</w:t>
      </w:r>
      <w:r>
        <w:t xml:space="preserve"> </w:t>
      </w:r>
      <w:hyperlink r:id="rId5649">
        <w:r>
          <w:rPr>
            <w:rStyle w:val="Hyperlink"/>
          </w:rPr>
          <w:t xml:space="preserve">https://www.cdc.gov/epilepsy/first-aid-for-seizures/</w:t>
        </w:r>
      </w:hyperlink>
      <w:r>
        <w:t xml:space="preserve">（研究类型：官方急救说明）</w:t>
      </w:r>
    </w:p>
    <w:p>
      <w:pPr>
        <w:pStyle w:val="ReferenceEntry"/>
      </w:pPr>
      <w:bookmarkStart w:id="5650" w:name="ref-1527"/>
      <w:r>
        <w:t xml:space="preserve">[1527]</w:t>
      </w:r>
      <w:bookmarkEnd w:id="5650"/>
      <w:r>
        <w:t xml:space="preserve"> Harden C, Tomson T, Gloss D, Buchhalter J, Cross JH, Donner E, et al. Practice guideline summary: Sudden unexpected death in epilepsy incidence rates and risk factors: Report of the Guideline Development, Dissemination, and Implementation Subcommittee of the American Academy of Neurology and the American Epilepsy Society.</w:t>
      </w:r>
      <w:r>
        <w:t xml:space="preserve"> </w:t>
      </w:r>
      <w:r>
        <w:rPr>
          <w:iCs/>
          <w:i/>
        </w:rPr>
        <w:t xml:space="preserve">Neurology</w:t>
      </w:r>
      <w:r>
        <w:t xml:space="preserve">. 2017;88(17):1674–1680.</w:t>
      </w:r>
      <w:r>
        <w:t xml:space="preserve"> </w:t>
      </w:r>
      <w:hyperlink r:id="rId5651">
        <w:r>
          <w:rPr>
            <w:rStyle w:val="Hyperlink"/>
          </w:rPr>
          <w:t xml:space="preserve">https://doi.org/10.1212/WNL.0000000000003685</w:t>
        </w:r>
      </w:hyperlink>
      <w:r>
        <w:t xml:space="preserve">（更正见</w:t>
      </w:r>
      <w:r>
        <w:t xml:space="preserve"> </w:t>
      </w:r>
      <w:r>
        <w:rPr>
          <w:iCs/>
          <w:i/>
        </w:rPr>
        <w:t xml:space="preserve">Neurology</w:t>
      </w:r>
      <w:r>
        <w:t xml:space="preserve">. 2019;93(22):982.</w:t>
      </w:r>
      <w:r>
        <w:t xml:space="preserve"> </w:t>
      </w:r>
      <w:hyperlink r:id="rId5652">
        <w:r>
          <w:rPr>
            <w:rStyle w:val="Hyperlink"/>
          </w:rPr>
          <w:t xml:space="preserve">https://doi.org/10.1212/WNL.0000000000008565</w:t>
        </w:r>
      </w:hyperlink>
      <w:r>
        <w:t xml:space="preserve">）（研究类型：AAN AES系统证据指南）</w:t>
      </w:r>
    </w:p>
    <w:p>
      <w:pPr>
        <w:pStyle w:val="ReferenceEntry"/>
      </w:pPr>
      <w:bookmarkStart w:id="5653" w:name="ref-1528"/>
      <w:r>
        <w:t xml:space="preserve">[1528]</w:t>
      </w:r>
      <w:bookmarkEnd w:id="5653"/>
      <w:r>
        <w:t xml:space="preserve"> Prabhakaran S, Gonzalez NR, Zachrison KS, Adeoye O, Alexandrov AW, Ansari SA, et al. 2026 Guideline for the Early Management of Patients With Acute Ischemic Stroke: A Guideline From the American Heart Association/American Stroke Association.</w:t>
      </w:r>
      <w:r>
        <w:t xml:space="preserve"> </w:t>
      </w:r>
      <w:r>
        <w:rPr>
          <w:iCs/>
          <w:i/>
        </w:rPr>
        <w:t xml:space="preserve">Stroke</w:t>
      </w:r>
      <w:r>
        <w:t xml:space="preserve">. 2026.</w:t>
      </w:r>
      <w:r>
        <w:t xml:space="preserve"> </w:t>
      </w:r>
      <w:hyperlink r:id="rId5654">
        <w:r>
          <w:rPr>
            <w:rStyle w:val="Hyperlink"/>
          </w:rPr>
          <w:t xml:space="preserve">https://doi.org/10.1161/STR.0000000000000513</w:t>
        </w:r>
      </w:hyperlink>
      <w:r>
        <w:t xml:space="preserve">（更正见</w:t>
      </w:r>
      <w:r>
        <w:t xml:space="preserve"> </w:t>
      </w:r>
      <w:r>
        <w:rPr>
          <w:iCs/>
          <w:i/>
        </w:rPr>
        <w:t xml:space="preserve">Stroke</w:t>
      </w:r>
      <w:r>
        <w:t xml:space="preserve">. 2026;57(8).</w:t>
      </w:r>
      <w:r>
        <w:t xml:space="preserve"> </w:t>
      </w:r>
      <w:hyperlink r:id="rId5655">
        <w:r>
          <w:rPr>
            <w:rStyle w:val="Hyperlink"/>
          </w:rPr>
          <w:t xml:space="preserve">https://doi.org/10.1161/STR.0000000000000530</w:t>
        </w:r>
      </w:hyperlink>
      <w:r>
        <w:t xml:space="preserve">）（研究类型：AHA ASA临床指南）</w:t>
      </w:r>
    </w:p>
    <w:p>
      <w:pPr>
        <w:pStyle w:val="ReferenceEntry"/>
      </w:pPr>
      <w:bookmarkStart w:id="5656" w:name="ref-1529"/>
      <w:r>
        <w:t xml:space="preserve">[1529]</w:t>
      </w:r>
      <w:bookmarkEnd w:id="5656"/>
      <w:r>
        <w:t xml:space="preserve"> Greenberg SM, Ziai WC, Cordonnier C, Dowlatshahi D, Francis B, Goldstein JN, et al. 2022 Guideline for the Management of Patients With Spontaneous Intracerebral Hemorrhage: A Guideline From the American Heart Association/American Stroke Association.</w:t>
      </w:r>
      <w:r>
        <w:t xml:space="preserve"> </w:t>
      </w:r>
      <w:r>
        <w:rPr>
          <w:iCs/>
          <w:i/>
        </w:rPr>
        <w:t xml:space="preserve">Stroke</w:t>
      </w:r>
      <w:r>
        <w:t xml:space="preserve">. 2022;53(7).</w:t>
      </w:r>
      <w:r>
        <w:t xml:space="preserve"> </w:t>
      </w:r>
      <w:hyperlink r:id="rId5657">
        <w:r>
          <w:rPr>
            <w:rStyle w:val="Hyperlink"/>
          </w:rPr>
          <w:t xml:space="preserve">https://doi.org/10.1161/STR.0000000000000407</w:t>
        </w:r>
      </w:hyperlink>
      <w:r>
        <w:t xml:space="preserve">（研究类型：AHA ASA临床指南）</w:t>
      </w:r>
    </w:p>
    <w:p>
      <w:pPr>
        <w:pStyle w:val="ReferenceEntry"/>
      </w:pPr>
      <w:bookmarkStart w:id="5658" w:name="ref-1530"/>
      <w:r>
        <w:t xml:space="preserve">[1530]</w:t>
      </w:r>
      <w:bookmarkEnd w:id="5658"/>
      <w:r>
        <w:t xml:space="preserve"> Hoh BL, Ko NU, Amin-Hanjani S, Chou SHY, Cruz-Flores S, Dangayach NS, et al. 2023 Guideline for the Management of Patients With Aneurysmal Subarachnoid Hemorrhage: A Guideline From the American Heart Association/American Stroke Association.</w:t>
      </w:r>
      <w:r>
        <w:t xml:space="preserve"> </w:t>
      </w:r>
      <w:r>
        <w:rPr>
          <w:iCs/>
          <w:i/>
        </w:rPr>
        <w:t xml:space="preserve">Stroke</w:t>
      </w:r>
      <w:r>
        <w:t xml:space="preserve">. 2023;54(7).</w:t>
      </w:r>
      <w:r>
        <w:t xml:space="preserve"> </w:t>
      </w:r>
      <w:hyperlink r:id="rId5659">
        <w:r>
          <w:rPr>
            <w:rStyle w:val="Hyperlink"/>
          </w:rPr>
          <w:t xml:space="preserve">https://doi.org/10.1161/STR.0000000000000436</w:t>
        </w:r>
      </w:hyperlink>
      <w:r>
        <w:t xml:space="preserve">（研究类型：AHA ASA临床指南）</w:t>
      </w:r>
    </w:p>
    <w:p>
      <w:pPr>
        <w:pStyle w:val="ReferenceEntry"/>
      </w:pPr>
      <w:bookmarkStart w:id="5660" w:name="ref-1531"/>
      <w:r>
        <w:t xml:space="preserve">[1531]</w:t>
      </w:r>
      <w:bookmarkEnd w:id="5660"/>
      <w:r>
        <w:t xml:space="preserve"> Saposnik G, Bushnell C, Coutinho JM, Field TS, Furie KL, Galadanci N, et al. Diagnosis and Management of Cerebral Venous Thrombosis: A Scientific Statement From the American Heart Association.</w:t>
      </w:r>
      <w:r>
        <w:t xml:space="preserve"> </w:t>
      </w:r>
      <w:r>
        <w:rPr>
          <w:iCs/>
          <w:i/>
        </w:rPr>
        <w:t xml:space="preserve">Stroke</w:t>
      </w:r>
      <w:r>
        <w:t xml:space="preserve">. 2024;55(3).</w:t>
      </w:r>
      <w:r>
        <w:t xml:space="preserve"> </w:t>
      </w:r>
      <w:hyperlink r:id="rId5661">
        <w:r>
          <w:rPr>
            <w:rStyle w:val="Hyperlink"/>
          </w:rPr>
          <w:t xml:space="preserve">https://doi.org/10.1161/STR.0000000000000456</w:t>
        </w:r>
      </w:hyperlink>
      <w:r>
        <w:t xml:space="preserve">（研究类型：AHA科学声明）</w:t>
      </w:r>
    </w:p>
    <w:p>
      <w:pPr>
        <w:pStyle w:val="ReferenceEntry"/>
      </w:pPr>
      <w:bookmarkStart w:id="5662" w:name="ref-1532"/>
      <w:r>
        <w:t xml:space="preserve">[1532]</w:t>
      </w:r>
      <w:bookmarkEnd w:id="5662"/>
      <w:r>
        <w:t xml:space="preserve"> Lo EH, Dalkara T, Moskowitz MA. Mechanisms, challenges and opportunities in stroke.</w:t>
      </w:r>
      <w:r>
        <w:t xml:space="preserve"> </w:t>
      </w:r>
      <w:r>
        <w:rPr>
          <w:iCs/>
          <w:i/>
        </w:rPr>
        <w:t xml:space="preserve">Nature Reviews Neuroscience</w:t>
      </w:r>
      <w:r>
        <w:t xml:space="preserve">. 2003;4(5):399–414.</w:t>
      </w:r>
      <w:r>
        <w:t xml:space="preserve"> </w:t>
      </w:r>
      <w:hyperlink r:id="rId5663">
        <w:r>
          <w:rPr>
            <w:rStyle w:val="Hyperlink"/>
          </w:rPr>
          <w:t xml:space="preserve">https://doi.org/10.1038/nrn1106</w:t>
        </w:r>
      </w:hyperlink>
      <w:r>
        <w:t xml:space="preserve">（研究类型：机制综述）</w:t>
      </w:r>
    </w:p>
    <w:p>
      <w:pPr>
        <w:pStyle w:val="ReferenceEntry"/>
      </w:pPr>
      <w:bookmarkStart w:id="5664" w:name="ref-1533"/>
      <w:r>
        <w:t xml:space="preserve">[1533]</w:t>
      </w:r>
      <w:bookmarkEnd w:id="5664"/>
      <w:r>
        <w:t xml:space="preserve"> Amin HP, Madsen TE, Bravata DM, Wira CR, Johnston SC, Ashcraft S, et al. Diagnosis, Workup, Risk Reduction of Transient Ischemic Attack in the Emergency Department Setting: A Scientific Statement From the American Heart Association.</w:t>
      </w:r>
      <w:r>
        <w:t xml:space="preserve"> </w:t>
      </w:r>
      <w:r>
        <w:rPr>
          <w:iCs/>
          <w:i/>
        </w:rPr>
        <w:t xml:space="preserve">Stroke</w:t>
      </w:r>
      <w:r>
        <w:t xml:space="preserve">. 2023;54(3).</w:t>
      </w:r>
      <w:r>
        <w:t xml:space="preserve"> </w:t>
      </w:r>
      <w:hyperlink r:id="rId5665">
        <w:r>
          <w:rPr>
            <w:rStyle w:val="Hyperlink"/>
          </w:rPr>
          <w:t xml:space="preserve">https://doi.org/10.1161/STR.0000000000000418</w:t>
        </w:r>
      </w:hyperlink>
      <w:r>
        <w:t xml:space="preserve">（研究类型：AHA科学声明）</w:t>
      </w:r>
    </w:p>
    <w:p>
      <w:pPr>
        <w:pStyle w:val="ReferenceEntry"/>
      </w:pPr>
      <w:bookmarkStart w:id="5666" w:name="ref-1534"/>
      <w:r>
        <w:t xml:space="preserve">[1534]</w:t>
      </w:r>
      <w:bookmarkEnd w:id="5666"/>
      <w:r>
        <w:t xml:space="preserve"> Duering M, Biessels GJ, Brodtmann A, Chen C, Cordonnier C, de Leeuw FE, et al. Neuroimaging standards for research into small vessel disease advances since 2013.</w:t>
      </w:r>
      <w:r>
        <w:t xml:space="preserve"> </w:t>
      </w:r>
      <w:r>
        <w:rPr>
          <w:iCs/>
          <w:i/>
        </w:rPr>
        <w:t xml:space="preserve">The Lancet Neurology</w:t>
      </w:r>
      <w:r>
        <w:t xml:space="preserve">. 2023;22(7):602–618.</w:t>
      </w:r>
      <w:r>
        <w:t xml:space="preserve"> </w:t>
      </w:r>
      <w:hyperlink r:id="rId5667">
        <w:r>
          <w:rPr>
            <w:rStyle w:val="Hyperlink"/>
          </w:rPr>
          <w:t xml:space="preserve">https://doi.org/10.1016/S1474-4422(23)00131-X</w:t>
        </w:r>
      </w:hyperlink>
      <w:r>
        <w:t xml:space="preserve">（研究类型：STRIVE2影像标准共识）</w:t>
      </w:r>
    </w:p>
    <w:p>
      <w:pPr>
        <w:pStyle w:val="ReferenceEntry"/>
      </w:pPr>
      <w:bookmarkStart w:id="5668" w:name="ref-1535"/>
      <w:r>
        <w:t xml:space="preserve">[1535]</w:t>
      </w:r>
      <w:bookmarkEnd w:id="5668"/>
      <w:r>
        <w:t xml:space="preserve"> El Husseini N, Katzan IL, Rost NS, Blake ML, Byun E, Pendlebury ST, et al. Cognitive Impairment After Ischemic and Hemorrhagic Stroke: A Scientific Statement From the American Heart Association/American Stroke Association.</w:t>
      </w:r>
      <w:r>
        <w:t xml:space="preserve"> </w:t>
      </w:r>
      <w:r>
        <w:rPr>
          <w:iCs/>
          <w:i/>
        </w:rPr>
        <w:t xml:space="preserve">Stroke</w:t>
      </w:r>
      <w:r>
        <w:t xml:space="preserve">. 2023;54(6).</w:t>
      </w:r>
      <w:r>
        <w:t xml:space="preserve"> </w:t>
      </w:r>
      <w:hyperlink r:id="rId5669">
        <w:r>
          <w:rPr>
            <w:rStyle w:val="Hyperlink"/>
          </w:rPr>
          <w:t xml:space="preserve">https://doi.org/10.1161/STR.0000000000000430</w:t>
        </w:r>
      </w:hyperlink>
      <w:r>
        <w:t xml:space="preserve">（研究类型：AHA ASA科学声明）</w:t>
      </w:r>
    </w:p>
    <w:p>
      <w:pPr>
        <w:pStyle w:val="ReferenceEntry"/>
      </w:pPr>
      <w:bookmarkStart w:id="5670" w:name="ref-1536"/>
      <w:r>
        <w:t xml:space="preserve">[1536]</w:t>
      </w:r>
      <w:bookmarkEnd w:id="5670"/>
      <w:r>
        <w:t xml:space="preserve"> Goyal M, Menon BK, van Zwam WH, Dippel DWJ, Mitchell PJ, Demchuk AM, et al. Endovascular thrombectomy after large-vessel ischaemic stroke: a meta-analysis of individual patient data from five randomised trials.</w:t>
      </w:r>
      <w:r>
        <w:t xml:space="preserve"> </w:t>
      </w:r>
      <w:r>
        <w:rPr>
          <w:iCs/>
          <w:i/>
        </w:rPr>
        <w:t xml:space="preserve">The Lancet</w:t>
      </w:r>
      <w:r>
        <w:t xml:space="preserve">. 2016;387(10029):1723–1731.</w:t>
      </w:r>
      <w:r>
        <w:t xml:space="preserve"> </w:t>
      </w:r>
      <w:hyperlink r:id="rId5671">
        <w:r>
          <w:rPr>
            <w:rStyle w:val="Hyperlink"/>
          </w:rPr>
          <w:t xml:space="preserve">https://doi.org/10.1016/S0140-6736(16)00163-X</w:t>
        </w:r>
      </w:hyperlink>
      <w:r>
        <w:t xml:space="preserve">（研究类型：5随机试验个体资料荟萃）</w:t>
      </w:r>
    </w:p>
    <w:p>
      <w:pPr>
        <w:pStyle w:val="ReferenceEntry"/>
      </w:pPr>
      <w:bookmarkStart w:id="5672" w:name="ref-1537"/>
      <w:r>
        <w:t xml:space="preserve">[1537]</w:t>
      </w:r>
      <w:bookmarkEnd w:id="5672"/>
      <w:r>
        <w:t xml:space="preserve"> Nogueira RG, Jadhav AP, Haussen DC, Bonafe A, Budzik RF, Bhuva P, et al. Thrombectomy 6 to 24 Hours after Stroke with a Mismatch between Deficit and Infarct.</w:t>
      </w:r>
      <w:r>
        <w:t xml:space="preserve"> </w:t>
      </w:r>
      <w:r>
        <w:rPr>
          <w:iCs/>
          <w:i/>
        </w:rPr>
        <w:t xml:space="preserve">New England Journal of Medicine</w:t>
      </w:r>
      <w:r>
        <w:t xml:space="preserve">. 2018;378(1):11–21.</w:t>
      </w:r>
      <w:r>
        <w:t xml:space="preserve"> </w:t>
      </w:r>
      <w:hyperlink r:id="rId5673">
        <w:r>
          <w:rPr>
            <w:rStyle w:val="Hyperlink"/>
          </w:rPr>
          <w:t xml:space="preserve">https://doi.org/10.1056/NEJMoa1706442</w:t>
        </w:r>
      </w:hyperlink>
      <w:r>
        <w:t xml:space="preserve">（研究类型：随机试验DAWN）</w:t>
      </w:r>
    </w:p>
    <w:p>
      <w:pPr>
        <w:pStyle w:val="ReferenceEntry"/>
      </w:pPr>
      <w:bookmarkStart w:id="5674" w:name="ref-1538"/>
      <w:r>
        <w:t xml:space="preserve">[1538]</w:t>
      </w:r>
      <w:bookmarkEnd w:id="5674"/>
      <w:r>
        <w:t xml:space="preserve"> Sarraj A, Hassan AE, Abraham MG, Ortega-Gutierrez S, Kasner SE, Hussain MS, et al. Trial of Endovascular Thrombectomy for Large Ischemic Strokes.</w:t>
      </w:r>
      <w:r>
        <w:t xml:space="preserve"> </w:t>
      </w:r>
      <w:r>
        <w:rPr>
          <w:iCs/>
          <w:i/>
        </w:rPr>
        <w:t xml:space="preserve">New England Journal of Medicine</w:t>
      </w:r>
      <w:r>
        <w:t xml:space="preserve">. 2023;388(14):1259–1271.</w:t>
      </w:r>
      <w:r>
        <w:t xml:space="preserve"> </w:t>
      </w:r>
      <w:hyperlink r:id="rId5675">
        <w:r>
          <w:rPr>
            <w:rStyle w:val="Hyperlink"/>
          </w:rPr>
          <w:t xml:space="preserve">https://doi.org/10.1056/NEJMoa2214403</w:t>
        </w:r>
      </w:hyperlink>
      <w:r>
        <w:t xml:space="preserve">（研究类型：随机开放盲终点评估SELECT2）</w:t>
      </w:r>
    </w:p>
    <w:p>
      <w:pPr>
        <w:pStyle w:val="ReferenceEntry"/>
      </w:pPr>
      <w:bookmarkStart w:id="5676" w:name="ref-1539"/>
      <w:r>
        <w:t xml:space="preserve">[1539]</w:t>
      </w:r>
      <w:bookmarkEnd w:id="5676"/>
      <w:r>
        <w:t xml:space="preserve"> Menon BK, Buck BH, Singh N, Deschaintre Y, Almekhlafi MA, Coutts SB, et al. Intravenous tenecteplase compared with alteplase for acute ischaemic stroke in Canada (AcT): a pragmatic, multicentre, open-label, registry-linked, randomised, controlled, non-inferiority trial.</w:t>
      </w:r>
      <w:r>
        <w:t xml:space="preserve"> </w:t>
      </w:r>
      <w:r>
        <w:rPr>
          <w:iCs/>
          <w:i/>
        </w:rPr>
        <w:t xml:space="preserve">The Lancet</w:t>
      </w:r>
      <w:r>
        <w:t xml:space="preserve">. 2022;400(10347):161–169.</w:t>
      </w:r>
      <w:r>
        <w:t xml:space="preserve"> </w:t>
      </w:r>
      <w:hyperlink r:id="rId5677">
        <w:r>
          <w:rPr>
            <w:rStyle w:val="Hyperlink"/>
          </w:rPr>
          <w:t xml:space="preserve">https://doi.org/10.1016/S0140-6736(22)01054-6</w:t>
        </w:r>
      </w:hyperlink>
      <w:r>
        <w:t xml:space="preserve">（研究类型：随机非劣效试验）</w:t>
      </w:r>
    </w:p>
    <w:p>
      <w:pPr>
        <w:pStyle w:val="ReferenceEntry"/>
      </w:pPr>
      <w:bookmarkStart w:id="5678" w:name="ref-1540"/>
      <w:r>
        <w:t xml:space="preserve">[1540]</w:t>
      </w:r>
      <w:bookmarkEnd w:id="5678"/>
      <w:r>
        <w:t xml:space="preserve"> Johnston SC, Easton JD, Farrant M, Barsan W, Conwit RA, Elm JJ, et al. Clopidogrel and Aspirin in Acute Ischemic Stroke and High-Risk TIA.</w:t>
      </w:r>
      <w:r>
        <w:t xml:space="preserve"> </w:t>
      </w:r>
      <w:r>
        <w:rPr>
          <w:iCs/>
          <w:i/>
        </w:rPr>
        <w:t xml:space="preserve">New England Journal of Medicine</w:t>
      </w:r>
      <w:r>
        <w:t xml:space="preserve">. 2018;379(3):215–225.</w:t>
      </w:r>
      <w:r>
        <w:t xml:space="preserve"> </w:t>
      </w:r>
      <w:hyperlink r:id="rId5679">
        <w:r>
          <w:rPr>
            <w:rStyle w:val="Hyperlink"/>
          </w:rPr>
          <w:t xml:space="preserve">https://doi.org/10.1056/NEJMoa1800410</w:t>
        </w:r>
      </w:hyperlink>
      <w:r>
        <w:t xml:space="preserve">（研究类型：随机双盲试验POINT）</w:t>
      </w:r>
    </w:p>
    <w:p>
      <w:pPr>
        <w:pStyle w:val="ReferenceEntry"/>
      </w:pPr>
      <w:bookmarkStart w:id="5680" w:name="ref-1541"/>
      <w:r>
        <w:t xml:space="preserve">[1541]</w:t>
      </w:r>
      <w:bookmarkEnd w:id="5680"/>
      <w:r>
        <w:t xml:space="preserve"> Fischer U, Koga M, Strbian D, Branca M, Abend S, Trelle S, et al. Early versus Later Anticoagulation for Stroke with Atrial Fibrillation.</w:t>
      </w:r>
      <w:r>
        <w:t xml:space="preserve"> </w:t>
      </w:r>
      <w:r>
        <w:rPr>
          <w:iCs/>
          <w:i/>
        </w:rPr>
        <w:t xml:space="preserve">New England Journal of Medicine</w:t>
      </w:r>
      <w:r>
        <w:t xml:space="preserve">. 2023;388(26):2411–2421.</w:t>
      </w:r>
      <w:r>
        <w:t xml:space="preserve"> </w:t>
      </w:r>
      <w:hyperlink r:id="rId5681">
        <w:r>
          <w:rPr>
            <w:rStyle w:val="Hyperlink"/>
          </w:rPr>
          <w:t xml:space="preserve">https://doi.org/10.1056/NEJMoa2303048</w:t>
        </w:r>
      </w:hyperlink>
      <w:r>
        <w:t xml:space="preserve">（研究类型：随机开放盲终点评估ELAN）</w:t>
      </w:r>
    </w:p>
    <w:p>
      <w:pPr>
        <w:pStyle w:val="ReferenceEntry"/>
      </w:pPr>
      <w:bookmarkStart w:id="5682" w:name="ref-1542"/>
      <w:r>
        <w:t xml:space="preserve">[1542]</w:t>
      </w:r>
      <w:bookmarkEnd w:id="5682"/>
      <w:r>
        <w:t xml:space="preserve"> Kleindorfer DO, Towfighi A, Chaturvedi S, Cockroft KM, Gutierrez J, Lombardi-Hill D, et al. 2021 Guideline for the Prevention of Stroke in Patients With Stroke and Transient Ischemic Attack: A Guideline From the American Heart Association/American Stroke Association.</w:t>
      </w:r>
      <w:r>
        <w:t xml:space="preserve"> </w:t>
      </w:r>
      <w:r>
        <w:rPr>
          <w:iCs/>
          <w:i/>
        </w:rPr>
        <w:t xml:space="preserve">Stroke</w:t>
      </w:r>
      <w:r>
        <w:t xml:space="preserve">. 2021;52(7).</w:t>
      </w:r>
      <w:r>
        <w:t xml:space="preserve"> </w:t>
      </w:r>
      <w:hyperlink r:id="rId5683">
        <w:r>
          <w:rPr>
            <w:rStyle w:val="Hyperlink"/>
          </w:rPr>
          <w:t xml:space="preserve">https://doi.org/10.1161/STR.0000000000000375</w:t>
        </w:r>
      </w:hyperlink>
      <w:r>
        <w:t xml:space="preserve">（研究类型：AHA ASA二级预防指南）</w:t>
      </w:r>
    </w:p>
    <w:p>
      <w:pPr>
        <w:pStyle w:val="ReferenceEntry"/>
      </w:pPr>
      <w:bookmarkStart w:id="5684" w:name="ref-1543"/>
      <w:r>
        <w:t xml:space="preserve">[1543]</w:t>
      </w:r>
      <w:bookmarkEnd w:id="5684"/>
      <w:r>
        <w:t xml:space="preserve"> Postuma RB, Berg D, Stern M, Poewe W, Olanow CW, Oertel W, et al. MDS clinical diagnostic criteria for Parkinson's disease.</w:t>
      </w:r>
      <w:r>
        <w:t xml:space="preserve"> </w:t>
      </w:r>
      <w:r>
        <w:rPr>
          <w:iCs/>
          <w:i/>
        </w:rPr>
        <w:t xml:space="preserve">Movement Disorders</w:t>
      </w:r>
      <w:r>
        <w:t xml:space="preserve">. 2015;30(12):1591–1601.</w:t>
      </w:r>
      <w:r>
        <w:t xml:space="preserve"> </w:t>
      </w:r>
      <w:hyperlink r:id="rId5685">
        <w:r>
          <w:rPr>
            <w:rStyle w:val="Hyperlink"/>
          </w:rPr>
          <w:t xml:space="preserve">https://doi.org/10.1002/mds.26424</w:t>
        </w:r>
      </w:hyperlink>
      <w:r>
        <w:t xml:space="preserve">（研究类型：MDS诊断共识）</w:t>
      </w:r>
    </w:p>
    <w:p>
      <w:pPr>
        <w:pStyle w:val="ReferenceEntry"/>
      </w:pPr>
      <w:bookmarkStart w:id="5686" w:name="ref-1544"/>
      <w:r>
        <w:t xml:space="preserve">[1544]</w:t>
      </w:r>
      <w:bookmarkEnd w:id="5686"/>
      <w:r>
        <w:t xml:space="preserve"> Bhatia KP, Bain P, Bajaj N, Elble RJ, Hallett M, Louis ED, et al. Consensus Statement on the classification of tremors. From the task force on tremor of the International Parkinson and Movement Disorder Society.</w:t>
      </w:r>
      <w:r>
        <w:t xml:space="preserve"> </w:t>
      </w:r>
      <w:r>
        <w:rPr>
          <w:iCs/>
          <w:i/>
        </w:rPr>
        <w:t xml:space="preserve">Movement Disorders</w:t>
      </w:r>
      <w:r>
        <w:t xml:space="preserve">. 2018;33(1):75–87.</w:t>
      </w:r>
      <w:r>
        <w:t xml:space="preserve"> </w:t>
      </w:r>
      <w:hyperlink r:id="rId5687">
        <w:r>
          <w:rPr>
            <w:rStyle w:val="Hyperlink"/>
          </w:rPr>
          <w:t xml:space="preserve">https://doi.org/10.1002/mds.27121</w:t>
        </w:r>
      </w:hyperlink>
      <w:r>
        <w:t xml:space="preserve">（研究类型：MDS分类共识）</w:t>
      </w:r>
    </w:p>
    <w:p>
      <w:pPr>
        <w:pStyle w:val="ReferenceEntry"/>
      </w:pPr>
      <w:bookmarkStart w:id="5688" w:name="ref-1545"/>
      <w:r>
        <w:t xml:space="preserve">[1545]</w:t>
      </w:r>
      <w:bookmarkEnd w:id="5688"/>
      <w:r>
        <w:t xml:space="preserve"> NICE. Parkinson’s disease in adults NG71. 2017.</w:t>
      </w:r>
      <w:r>
        <w:t xml:space="preserve"> </w:t>
      </w:r>
      <w:hyperlink r:id="rId5689">
        <w:r>
          <w:rPr>
            <w:rStyle w:val="Hyperlink"/>
          </w:rPr>
          <w:t xml:space="preserve">https://www.nice.org.uk/guidance/ng71/chapter/Recommendations</w:t>
        </w:r>
      </w:hyperlink>
      <w:r>
        <w:t xml:space="preserve">（研究类型：现行官方指南 2024链接更新）</w:t>
      </w:r>
    </w:p>
    <w:p>
      <w:pPr>
        <w:pStyle w:val="ReferenceEntry"/>
      </w:pPr>
      <w:bookmarkStart w:id="5690" w:name="ref-1546"/>
      <w:r>
        <w:t xml:space="preserve">[1546]</w:t>
      </w:r>
      <w:bookmarkEnd w:id="5690"/>
      <w:r>
        <w:t xml:space="preserve"> Narendra D, Tanaka A, Suen DF, Youle RJ. Parkin is recruited selectively to impaired mitochondria and promotes their autophagy.</w:t>
      </w:r>
      <w:r>
        <w:t xml:space="preserve"> </w:t>
      </w:r>
      <w:r>
        <w:rPr>
          <w:iCs/>
          <w:i/>
        </w:rPr>
        <w:t xml:space="preserve">The Journal of Cell Biology</w:t>
      </w:r>
      <w:r>
        <w:t xml:space="preserve">. 2008;183(5):795–803.</w:t>
      </w:r>
      <w:r>
        <w:t xml:space="preserve"> </w:t>
      </w:r>
      <w:hyperlink r:id="rId5691">
        <w:r>
          <w:rPr>
            <w:rStyle w:val="Hyperlink"/>
          </w:rPr>
          <w:t xml:space="preserve">https://doi.org/10.1083/jcb.200809125</w:t>
        </w:r>
      </w:hyperlink>
      <w:r>
        <w:t xml:space="preserve">（研究类型：哺乳细胞机制实验）</w:t>
      </w:r>
    </w:p>
    <w:p>
      <w:pPr>
        <w:pStyle w:val="ReferenceEntry"/>
      </w:pPr>
      <w:bookmarkStart w:id="5692" w:name="ref-1547"/>
      <w:r>
        <w:t xml:space="preserve">[1547]</w:t>
      </w:r>
      <w:bookmarkEnd w:id="5692"/>
      <w:r>
        <w:t xml:space="preserve"> Mazzulli JR, Xu YH, Sun Y, Knight AL, McLean PJ, Caldwell GA, et al. Gaucher disease glucocerebrosidase and α-synuclein form a bidirectional pathogenic loop in synucleinopathies.</w:t>
      </w:r>
      <w:r>
        <w:t xml:space="preserve"> </w:t>
      </w:r>
      <w:r>
        <w:rPr>
          <w:iCs/>
          <w:i/>
        </w:rPr>
        <w:t xml:space="preserve">Cell</w:t>
      </w:r>
      <w:r>
        <w:t xml:space="preserve">. 2011;146(1):37–52.</w:t>
      </w:r>
      <w:r>
        <w:t xml:space="preserve"> </w:t>
      </w:r>
      <w:hyperlink r:id="rId5693">
        <w:r>
          <w:rPr>
            <w:rStyle w:val="Hyperlink"/>
          </w:rPr>
          <w:t xml:space="preserve">https://doi.org/10.1016/j.cell.2011.06.001</w:t>
        </w:r>
      </w:hyperlink>
      <w:r>
        <w:t xml:space="preserve">（研究类型：细胞 iPS神经元及患者组织机制研究）</w:t>
      </w:r>
    </w:p>
    <w:p>
      <w:pPr>
        <w:pStyle w:val="ReferenceEntry"/>
      </w:pPr>
      <w:bookmarkStart w:id="5694" w:name="ref-1548"/>
      <w:r>
        <w:t xml:space="preserve">[1548]</w:t>
      </w:r>
      <w:bookmarkEnd w:id="5694"/>
      <w:r>
        <w:t xml:space="preserve"> Siderowf A, Concha-Marambio L, Lafontant DE, Farris CM, Ma Y, Urenia PA, et al. Assessment of heterogeneity among participants in the Parkinson's Progression Markers Initiative cohort using α-synuclein seed amplification: a cross-sectional study.</w:t>
      </w:r>
      <w:r>
        <w:t xml:space="preserve"> </w:t>
      </w:r>
      <w:r>
        <w:rPr>
          <w:iCs/>
          <w:i/>
        </w:rPr>
        <w:t xml:space="preserve">The Lancet Neurology</w:t>
      </w:r>
      <w:r>
        <w:t xml:space="preserve">. 2023;22(5):407–417.</w:t>
      </w:r>
      <w:r>
        <w:t xml:space="preserve"> </w:t>
      </w:r>
      <w:hyperlink r:id="rId5695">
        <w:r>
          <w:rPr>
            <w:rStyle w:val="Hyperlink"/>
          </w:rPr>
          <w:t xml:space="preserve">https://doi.org/10.1016/S1474-4422(23)00109-6</w:t>
        </w:r>
      </w:hyperlink>
      <w:r>
        <w:t xml:space="preserve">（研究类型：PPMI横断面多中心）</w:t>
      </w:r>
    </w:p>
    <w:p>
      <w:pPr>
        <w:pStyle w:val="ReferenceEntry"/>
      </w:pPr>
      <w:bookmarkStart w:id="5696" w:name="ref-1549"/>
      <w:r>
        <w:t xml:space="preserve">[1549]</w:t>
      </w:r>
      <w:bookmarkEnd w:id="5696"/>
      <w:r>
        <w:t xml:space="preserve"> Simuni T, Chahine LM, Poston K, Brumm M, Buracchio T, Campbell M, et al. A biological definition of neuronal α-synuclein disease: towards an integrated staging system for research.</w:t>
      </w:r>
      <w:r>
        <w:t xml:space="preserve"> </w:t>
      </w:r>
      <w:r>
        <w:rPr>
          <w:iCs/>
          <w:i/>
        </w:rPr>
        <w:t xml:space="preserve">The Lancet Neurology</w:t>
      </w:r>
      <w:r>
        <w:t xml:space="preserve">. 2024;23(2):178–190.</w:t>
      </w:r>
      <w:r>
        <w:t xml:space="preserve"> </w:t>
      </w:r>
      <w:hyperlink r:id="rId5697">
        <w:r>
          <w:rPr>
            <w:rStyle w:val="Hyperlink"/>
          </w:rPr>
          <w:t xml:space="preserve">https://doi.org/10.1016/S1474-4422(23)00405-2</w:t>
        </w:r>
      </w:hyperlink>
      <w:r>
        <w:t xml:space="preserve">（研究类型：研究框架提议）</w:t>
      </w:r>
    </w:p>
    <w:p>
      <w:pPr>
        <w:pStyle w:val="ReferenceEntry"/>
      </w:pPr>
      <w:bookmarkStart w:id="5698" w:name="ref-1550"/>
      <w:r>
        <w:t xml:space="preserve">[1550]</w:t>
      </w:r>
      <w:bookmarkEnd w:id="5698"/>
      <w:r>
        <w:t xml:space="preserve"> Höglinger GU, Adler CH, Berg D, Klein C, Outeiro TF, Poewe W, et al. A biological classification of Parkinson's disease: the SynNeurGe research diagnostic criteria.</w:t>
      </w:r>
      <w:r>
        <w:t xml:space="preserve"> </w:t>
      </w:r>
      <w:r>
        <w:rPr>
          <w:iCs/>
          <w:i/>
        </w:rPr>
        <w:t xml:space="preserve">The Lancet Neurology</w:t>
      </w:r>
      <w:r>
        <w:t xml:space="preserve">. 2024;23(2):191–204.</w:t>
      </w:r>
      <w:r>
        <w:t xml:space="preserve"> </w:t>
      </w:r>
      <w:hyperlink r:id="rId5699">
        <w:r>
          <w:rPr>
            <w:rStyle w:val="Hyperlink"/>
          </w:rPr>
          <w:t xml:space="preserve">https://doi.org/10.1016/S1474-4422(23)00404-0</w:t>
        </w:r>
      </w:hyperlink>
      <w:r>
        <w:t xml:space="preserve">（更正见</w:t>
      </w:r>
      <w:r>
        <w:t xml:space="preserve"> </w:t>
      </w:r>
      <w:r>
        <w:rPr>
          <w:iCs/>
          <w:i/>
        </w:rPr>
        <w:t xml:space="preserve">The Lancet Neurology</w:t>
      </w:r>
      <w:r>
        <w:t xml:space="preserve">. 2024;23(3):e7.</w:t>
      </w:r>
      <w:r>
        <w:t xml:space="preserve"> </w:t>
      </w:r>
      <w:hyperlink r:id="rId5700">
        <w:r>
          <w:rPr>
            <w:rStyle w:val="Hyperlink"/>
          </w:rPr>
          <w:t xml:space="preserve">https://doi.org/10.1016/S1474-4422(24)00048-6</w:t>
        </w:r>
      </w:hyperlink>
      <w:r>
        <w:t xml:space="preserve">00048-6)）（研究类型：研究分类提议）</w:t>
      </w:r>
    </w:p>
    <w:p>
      <w:pPr>
        <w:pStyle w:val="ReferenceEntry"/>
      </w:pPr>
      <w:bookmarkStart w:id="5701" w:name="ref-1551"/>
      <w:r>
        <w:t xml:space="preserve">[1551]</w:t>
      </w:r>
      <w:bookmarkEnd w:id="5701"/>
      <w:r>
        <w:t xml:space="preserve"> Horsager J, Andersen KB, Knudsen K, Skjærbæk C, Fedorova TD, Okkels N, et al. Brain-first versus body-first Parkinson's disease: a multimodal imaging case-control study.</w:t>
      </w:r>
      <w:r>
        <w:t xml:space="preserve"> </w:t>
      </w:r>
      <w:r>
        <w:rPr>
          <w:iCs/>
          <w:i/>
        </w:rPr>
        <w:t xml:space="preserve">Brain</w:t>
      </w:r>
      <w:r>
        <w:t xml:space="preserve">. 2020;143(10):3077–3088.</w:t>
      </w:r>
      <w:r>
        <w:t xml:space="preserve"> </w:t>
      </w:r>
      <w:hyperlink r:id="rId5702">
        <w:r>
          <w:rPr>
            <w:rStyle w:val="Hyperlink"/>
          </w:rPr>
          <w:t xml:space="preserve">https://doi.org/10.1093/brain/awaa238</w:t>
        </w:r>
      </w:hyperlink>
      <w:r>
        <w:t xml:space="preserve">（研究类型：多模态病例对照）</w:t>
      </w:r>
    </w:p>
    <w:p>
      <w:pPr>
        <w:pStyle w:val="ReferenceEntry"/>
      </w:pPr>
      <w:bookmarkStart w:id="5703" w:name="ref-1552"/>
      <w:r>
        <w:t xml:space="preserve">[1552]</w:t>
      </w:r>
      <w:bookmarkEnd w:id="5703"/>
      <w:r>
        <w:t xml:space="preserve"> Verschuur CVM, Suwijn SR, Boel JA, Post B, Bloem BR, van Hilten JJ, et al. Randomized Delayed-Start Trial of Levodopa in Parkinson's Disease.</w:t>
      </w:r>
      <w:r>
        <w:t xml:space="preserve"> </w:t>
      </w:r>
      <w:r>
        <w:rPr>
          <w:iCs/>
          <w:i/>
        </w:rPr>
        <w:t xml:space="preserve">New England Journal of Medicine</w:t>
      </w:r>
      <w:r>
        <w:t xml:space="preserve">. 2019;380(4):315–324.</w:t>
      </w:r>
      <w:r>
        <w:t xml:space="preserve"> </w:t>
      </w:r>
      <w:hyperlink r:id="rId5704">
        <w:r>
          <w:rPr>
            <w:rStyle w:val="Hyperlink"/>
          </w:rPr>
          <w:t xml:space="preserve">https://doi.org/10.1056/NEJMoa1809983</w:t>
        </w:r>
      </w:hyperlink>
      <w:r>
        <w:t xml:space="preserve">（研究类型：随机延迟开始LEAP）</w:t>
      </w:r>
    </w:p>
    <w:p>
      <w:pPr>
        <w:pStyle w:val="ReferenceEntry"/>
      </w:pPr>
      <w:bookmarkStart w:id="5705" w:name="ref-1553"/>
      <w:r>
        <w:t xml:space="preserve">[1553]</w:t>
      </w:r>
      <w:bookmarkEnd w:id="5705"/>
      <w:r>
        <w:t xml:space="preserve"> Deuschl G, Schade-Brittinger C, Krack P, Volkmann J, Schäfer H, Bötzel K, et al. A randomized trial of deep-brain stimulation for Parkinson's disease.</w:t>
      </w:r>
      <w:r>
        <w:t xml:space="preserve"> </w:t>
      </w:r>
      <w:r>
        <w:rPr>
          <w:iCs/>
          <w:i/>
        </w:rPr>
        <w:t xml:space="preserve">New England Journal of Medicine</w:t>
      </w:r>
      <w:r>
        <w:t xml:space="preserve">. 2006;355(9):896–908.</w:t>
      </w:r>
      <w:r>
        <w:t xml:space="preserve"> </w:t>
      </w:r>
      <w:hyperlink r:id="rId5706">
        <w:r>
          <w:rPr>
            <w:rStyle w:val="Hyperlink"/>
          </w:rPr>
          <w:t xml:space="preserve">https://doi.org/10.1056/NEJMoa060281</w:t>
        </w:r>
      </w:hyperlink>
      <w:r>
        <w:t xml:space="preserve">（研究类型：随机配对试验）</w:t>
      </w:r>
    </w:p>
    <w:p>
      <w:pPr>
        <w:pStyle w:val="ReferenceEntry"/>
      </w:pPr>
      <w:bookmarkStart w:id="5707" w:name="ref-1554"/>
      <w:r>
        <w:t xml:space="preserve">[1554]</w:t>
      </w:r>
      <w:bookmarkEnd w:id="5707"/>
      <w:r>
        <w:t xml:space="preserve"> Oehrn CR, Cernera S, Hammer LH, Shcherbakova M, Yao J, Hahn A, et al. Chronic adaptive deep brain stimulation versus conventional stimulation in Parkinson's disease: a blinded randomized feasibility trial.</w:t>
      </w:r>
      <w:r>
        <w:t xml:space="preserve"> </w:t>
      </w:r>
      <w:r>
        <w:rPr>
          <w:iCs/>
          <w:i/>
        </w:rPr>
        <w:t xml:space="preserve">Nature Medicine</w:t>
      </w:r>
      <w:r>
        <w:t xml:space="preserve">. 2024;30(11):3345–3356.</w:t>
      </w:r>
      <w:r>
        <w:t xml:space="preserve"> </w:t>
      </w:r>
      <w:hyperlink r:id="rId5708">
        <w:r>
          <w:rPr>
            <w:rStyle w:val="Hyperlink"/>
          </w:rPr>
          <w:t xml:space="preserve">https://doi.org/10.1038/s41591-024-03196-z</w:t>
        </w:r>
      </w:hyperlink>
      <w:r>
        <w:t xml:space="preserve">（研究类型：盲法随机交叉可行性）</w:t>
      </w:r>
    </w:p>
    <w:p>
      <w:pPr>
        <w:pStyle w:val="ReferenceEntry"/>
      </w:pPr>
      <w:bookmarkStart w:id="5709" w:name="ref-1555"/>
      <w:r>
        <w:t xml:space="preserve">[1555]</w:t>
      </w:r>
      <w:bookmarkEnd w:id="5709"/>
      <w:r>
        <w:t xml:space="preserve"> Tanimura J, Yako T, Hashimoto T. Clinical Outcomes with Chronic Adaptive Versus Conventional DBS in Parkinson's Disease: A Pilot Randomized Crossover Trial.</w:t>
      </w:r>
      <w:r>
        <w:t xml:space="preserve"> </w:t>
      </w:r>
      <w:r>
        <w:rPr>
          <w:iCs/>
          <w:i/>
        </w:rPr>
        <w:t xml:space="preserve">Movement Disorders Clinical Practice</w:t>
      </w:r>
      <w:r>
        <w:t xml:space="preserve">. 2026:mdc3.70824.</w:t>
      </w:r>
      <w:r>
        <w:t xml:space="preserve"> </w:t>
      </w:r>
      <w:hyperlink r:id="rId5710">
        <w:r>
          <w:rPr>
            <w:rStyle w:val="Hyperlink"/>
          </w:rPr>
          <w:t xml:space="preserve">https://doi.org/10.1002/mdc3.70824</w:t>
        </w:r>
      </w:hyperlink>
      <w:r>
        <w:t xml:space="preserve">（研究类型：双盲随机交叉先导）</w:t>
      </w:r>
    </w:p>
    <w:p>
      <w:pPr>
        <w:pStyle w:val="ReferenceEntry"/>
      </w:pPr>
      <w:bookmarkStart w:id="5711" w:name="ref-1556"/>
      <w:r>
        <w:t xml:space="preserve">[1556]</w:t>
      </w:r>
      <w:bookmarkEnd w:id="5711"/>
      <w:r>
        <w:t xml:space="preserve"> Meissner WG, Remy P, Giordana C, Maltête D, Derkinderen P, Houéto JL, et al. Trial of Lixisenatide in Early Parkinson's Disease.</w:t>
      </w:r>
      <w:r>
        <w:t xml:space="preserve"> </w:t>
      </w:r>
      <w:r>
        <w:rPr>
          <w:iCs/>
          <w:i/>
        </w:rPr>
        <w:t xml:space="preserve">New England Journal of Medicine</w:t>
      </w:r>
      <w:r>
        <w:t xml:space="preserve">. 2024;390(13):1176–1185.</w:t>
      </w:r>
      <w:r>
        <w:t xml:space="preserve"> </w:t>
      </w:r>
      <w:hyperlink r:id="rId5712">
        <w:r>
          <w:rPr>
            <w:rStyle w:val="Hyperlink"/>
          </w:rPr>
          <w:t xml:space="preserve">https://doi.org/10.1056/NEJMoa2312323</w:t>
        </w:r>
      </w:hyperlink>
      <w:r>
        <w:t xml:space="preserve">（研究类型：随机双盲二期）</w:t>
      </w:r>
    </w:p>
    <w:p>
      <w:pPr>
        <w:pStyle w:val="ReferenceEntry"/>
      </w:pPr>
      <w:bookmarkStart w:id="5713" w:name="ref-1557"/>
      <w:r>
        <w:t xml:space="preserve">[1557]</w:t>
      </w:r>
      <w:bookmarkEnd w:id="5713"/>
      <w:r>
        <w:t xml:space="preserve"> Vijiaratnam N, Girges C, Auld G, McComish R, King A, Skene SS, et al. Exenatide once a week versus placebo as a potential disease-modifying treatment for people with Parkinson's disease in the UK: a phase 3, multicentre, double-blind, parallel-group, randomised, placebo-controlled trial.</w:t>
      </w:r>
      <w:r>
        <w:t xml:space="preserve"> </w:t>
      </w:r>
      <w:r>
        <w:rPr>
          <w:iCs/>
          <w:i/>
        </w:rPr>
        <w:t xml:space="preserve">The Lancet</w:t>
      </w:r>
      <w:r>
        <w:t xml:space="preserve">. 2025;405(10479):627–636.</w:t>
      </w:r>
      <w:r>
        <w:t xml:space="preserve"> </w:t>
      </w:r>
      <w:hyperlink r:id="rId5714">
        <w:r>
          <w:rPr>
            <w:rStyle w:val="Hyperlink"/>
          </w:rPr>
          <w:t xml:space="preserve">https://doi.org/10.1016/S0140-6736(24)02808-3</w:t>
        </w:r>
      </w:hyperlink>
      <w:r>
        <w:t xml:space="preserve">（研究类型：随机双盲三期）</w:t>
      </w:r>
    </w:p>
    <w:p>
      <w:pPr>
        <w:pStyle w:val="ReferenceEntry"/>
      </w:pPr>
      <w:bookmarkStart w:id="5715" w:name="ref-1558"/>
      <w:r>
        <w:t xml:space="preserve">[1558]</w:t>
      </w:r>
      <w:bookmarkEnd w:id="5715"/>
      <w:r>
        <w:t xml:space="preserve"> The Editors of The Lancet. Expression of Concern: Exenatide once a week versus placebo as a potential disease-modifying treatment for people with Parkinson's disease in the UK: a phase 3, multicentre, double-blind, parallel-group, randomised, placebo-controlled trial.</w:t>
      </w:r>
      <w:r>
        <w:t xml:space="preserve"> </w:t>
      </w:r>
      <w:r>
        <w:rPr>
          <w:iCs/>
          <w:i/>
        </w:rPr>
        <w:t xml:space="preserve">The Lancet</w:t>
      </w:r>
      <w:r>
        <w:t xml:space="preserve">. 2026;407(10548):2588.</w:t>
      </w:r>
      <w:r>
        <w:t xml:space="preserve"> </w:t>
      </w:r>
      <w:hyperlink r:id="rId5716">
        <w:r>
          <w:rPr>
            <w:rStyle w:val="Hyperlink"/>
          </w:rPr>
          <w:t xml:space="preserve">https://doi.org/10.1016/S0140-6736(26)01241-9</w:t>
        </w:r>
      </w:hyperlink>
      <w:r>
        <w:t xml:space="preserve">（研究类型：期刊关注声明）</w:t>
      </w:r>
    </w:p>
    <w:p>
      <w:pPr>
        <w:pStyle w:val="ReferenceEntry"/>
      </w:pPr>
      <w:bookmarkStart w:id="5717" w:name="ref-1559"/>
      <w:r>
        <w:t xml:space="preserve">[1559]</w:t>
      </w:r>
      <w:bookmarkEnd w:id="5717"/>
      <w:r>
        <w:t xml:space="preserve"> Wenning GK, Stankovic I, Vignatelli L, Fanciulli A, Calandra‐Buonaura G, Seppi K, et al. The Movement Disorder Society Criteria for the Diagnosis of Multiple System Atrophy.</w:t>
      </w:r>
      <w:r>
        <w:t xml:space="preserve"> </w:t>
      </w:r>
      <w:r>
        <w:rPr>
          <w:iCs/>
          <w:i/>
        </w:rPr>
        <w:t xml:space="preserve">Movement Disorders</w:t>
      </w:r>
      <w:r>
        <w:t xml:space="preserve">. 2022;37(6):1131–1148.</w:t>
      </w:r>
      <w:r>
        <w:t xml:space="preserve"> </w:t>
      </w:r>
      <w:hyperlink r:id="rId5718">
        <w:r>
          <w:rPr>
            <w:rStyle w:val="Hyperlink"/>
          </w:rPr>
          <w:t xml:space="preserve">https://doi.org/10.1002/mds.29005</w:t>
        </w:r>
      </w:hyperlink>
      <w:r>
        <w:t xml:space="preserve">（研究类型：MDS系统证据及Delphi共识）</w:t>
      </w:r>
    </w:p>
    <w:p>
      <w:pPr>
        <w:pStyle w:val="ReferenceEntry"/>
      </w:pPr>
      <w:bookmarkStart w:id="5719" w:name="ref-1560"/>
      <w:r>
        <w:t xml:space="preserve">[1560]</w:t>
      </w:r>
      <w:bookmarkEnd w:id="5719"/>
      <w:r>
        <w:t xml:space="preserve"> Höglinger GU, Respondek G, Stamelou M, Kurz C, Josephs KA, Lang AE, et al. Clinical diagnosis of progressive supranuclear palsy: The movement disorder society criteria.</w:t>
      </w:r>
      <w:r>
        <w:t xml:space="preserve"> </w:t>
      </w:r>
      <w:r>
        <w:rPr>
          <w:iCs/>
          <w:i/>
        </w:rPr>
        <w:t xml:space="preserve">Movement Disorders</w:t>
      </w:r>
      <w:r>
        <w:t xml:space="preserve">. 2017;32(6):853–864.</w:t>
      </w:r>
      <w:r>
        <w:t xml:space="preserve"> </w:t>
      </w:r>
      <w:hyperlink r:id="rId5720">
        <w:r>
          <w:rPr>
            <w:rStyle w:val="Hyperlink"/>
          </w:rPr>
          <w:t xml:space="preserve">https://doi.org/10.1002/mds.26987</w:t>
        </w:r>
      </w:hyperlink>
      <w:r>
        <w:t xml:space="preserve">（研究类型：证据及尸检病例支持的共识）</w:t>
      </w:r>
    </w:p>
    <w:p>
      <w:pPr>
        <w:pStyle w:val="ReferenceEntry"/>
      </w:pPr>
      <w:bookmarkStart w:id="5721" w:name="ref-1561"/>
      <w:r>
        <w:t xml:space="preserve">[1561]</w:t>
      </w:r>
      <w:bookmarkEnd w:id="5721"/>
      <w:r>
        <w:t xml:space="preserve"> McKeith IG, Boeve BF, Dickson DW, Halliday G, Taylor JP, Weintraub D, et al. Diagnosis and management of dementia with Lewy bodies: Fourth consensus report of the DLB Consortium.</w:t>
      </w:r>
      <w:r>
        <w:t xml:space="preserve"> </w:t>
      </w:r>
      <w:r>
        <w:rPr>
          <w:iCs/>
          <w:i/>
        </w:rPr>
        <w:t xml:space="preserve">Neurology</w:t>
      </w:r>
      <w:r>
        <w:t xml:space="preserve">. 2017;89(1):88–100.</w:t>
      </w:r>
      <w:r>
        <w:t xml:space="preserve"> </w:t>
      </w:r>
      <w:hyperlink r:id="rId5722">
        <w:r>
          <w:rPr>
            <w:rStyle w:val="Hyperlink"/>
          </w:rPr>
          <w:t xml:space="preserve">https://doi.org/10.1212/WNL.0000000000004058</w:t>
        </w:r>
      </w:hyperlink>
      <w:r>
        <w:t xml:space="preserve">（研究类型：国际诊断管理共识）</w:t>
      </w:r>
    </w:p>
    <w:p>
      <w:pPr>
        <w:pStyle w:val="ReferenceEntry"/>
      </w:pPr>
      <w:bookmarkStart w:id="5723" w:name="ref-1562"/>
      <w:r>
        <w:t xml:space="preserve">[1562]</w:t>
      </w:r>
      <w:bookmarkEnd w:id="5723"/>
      <w:r>
        <w:t xml:space="preserve"> Silverberg ND, Iverson GL, Cogan A, Dams-O-Connor K, Delmonico R, Graf MJP, et al. The American Congress of Rehabilitation Medicine Diagnostic Criteria for Mild Traumatic Brain Injury.</w:t>
      </w:r>
      <w:r>
        <w:t xml:space="preserve"> </w:t>
      </w:r>
      <w:r>
        <w:rPr>
          <w:iCs/>
          <w:i/>
        </w:rPr>
        <w:t xml:space="preserve">Archives of Physical Medicine and Rehabilitation</w:t>
      </w:r>
      <w:r>
        <w:t xml:space="preserve">. 2023;104(8):1343–1355.</w:t>
      </w:r>
      <w:r>
        <w:t xml:space="preserve"> </w:t>
      </w:r>
      <w:hyperlink r:id="rId5724">
        <w:r>
          <w:rPr>
            <w:rStyle w:val="Hyperlink"/>
          </w:rPr>
          <w:t xml:space="preserve">https://doi.org/10.1016/j.apmr.2023.03.036</w:t>
        </w:r>
      </w:hyperlink>
      <w:r>
        <w:t xml:space="preserve">（研究类型：证据回顾与Delphi诊断共识）</w:t>
      </w:r>
    </w:p>
    <w:p>
      <w:pPr>
        <w:pStyle w:val="ReferenceEntry"/>
      </w:pPr>
      <w:bookmarkStart w:id="5725" w:name="ref-1563"/>
      <w:r>
        <w:t xml:space="preserve">[1563]</w:t>
      </w:r>
      <w:bookmarkEnd w:id="5725"/>
      <w:r>
        <w:t xml:space="preserve"> Patricios JS, Schneider KJ, Dvorak J, Ahmed OH, Blauwet C, Cantu RC, et al. Consensus statement on concussion in sport: the 6th International Conference on Concussion in Sport Amsterdam October 2022.</w:t>
      </w:r>
      <w:r>
        <w:t xml:space="preserve"> </w:t>
      </w:r>
      <w:r>
        <w:rPr>
          <w:iCs/>
          <w:i/>
        </w:rPr>
        <w:t xml:space="preserve">British Journal of Sports Medicine</w:t>
      </w:r>
      <w:r>
        <w:t xml:space="preserve">. 2023;57(11):695–711.</w:t>
      </w:r>
      <w:r>
        <w:t xml:space="preserve"> </w:t>
      </w:r>
      <w:hyperlink r:id="rId5726">
        <w:r>
          <w:rPr>
            <w:rStyle w:val="Hyperlink"/>
          </w:rPr>
          <w:t xml:space="preserve">https://doi.org/10.1136/bjsports-2023-106898</w:t>
        </w:r>
      </w:hyperlink>
      <w:r>
        <w:t xml:space="preserve">（研究类型：国际运动脑震荡共识与系统综述基础）</w:t>
      </w:r>
    </w:p>
    <w:p>
      <w:pPr>
        <w:pStyle w:val="ReferenceEntry"/>
      </w:pPr>
      <w:bookmarkStart w:id="5727" w:name="ref-1564"/>
      <w:r>
        <w:t xml:space="preserve">[1564]</w:t>
      </w:r>
      <w:bookmarkEnd w:id="5727"/>
      <w:r>
        <w:t xml:space="preserve"> Tang‐Schomer MD, Patel AR, Baas PW, Smith DH. Mechanical breaking of microtubules in axons during dynamic stretch injury underlies delayed elasticity microtubule disassembly and axon degeneration.</w:t>
      </w:r>
      <w:r>
        <w:t xml:space="preserve"> </w:t>
      </w:r>
      <w:r>
        <w:rPr>
          <w:iCs/>
          <w:i/>
        </w:rPr>
        <w:t xml:space="preserve">The FASEB Journal</w:t>
      </w:r>
      <w:r>
        <w:t xml:space="preserve">. 2010;24(5):1401–1410.</w:t>
      </w:r>
      <w:r>
        <w:t xml:space="preserve"> </w:t>
      </w:r>
      <w:hyperlink r:id="rId5728">
        <w:r>
          <w:rPr>
            <w:rStyle w:val="Hyperlink"/>
          </w:rPr>
          <w:t xml:space="preserve">https://doi.org/10.1096/fj.09-142844</w:t>
        </w:r>
      </w:hyperlink>
      <w:r>
        <w:t xml:space="preserve">（研究类型：培养轴突动态拉伸及超微结构实验）</w:t>
      </w:r>
    </w:p>
    <w:p>
      <w:pPr>
        <w:pStyle w:val="ReferenceEntry"/>
      </w:pPr>
      <w:bookmarkStart w:id="5729" w:name="ref-1565"/>
      <w:r>
        <w:t xml:space="preserve">[1565]</w:t>
      </w:r>
      <w:bookmarkEnd w:id="5729"/>
      <w:r>
        <w:t xml:space="preserve"> Giza CC, Hovda DA. The new neurometabolic cascade of concussion.</w:t>
      </w:r>
      <w:r>
        <w:t xml:space="preserve"> </w:t>
      </w:r>
      <w:r>
        <w:rPr>
          <w:iCs/>
          <w:i/>
        </w:rPr>
        <w:t xml:space="preserve">Neurosurgery</w:t>
      </w:r>
      <w:r>
        <w:t xml:space="preserve">. 2014;75(Supplement 4):S24–S33.</w:t>
      </w:r>
      <w:r>
        <w:t xml:space="preserve"> </w:t>
      </w:r>
      <w:hyperlink r:id="rId5730">
        <w:r>
          <w:rPr>
            <w:rStyle w:val="Hyperlink"/>
          </w:rPr>
          <w:t xml:space="preserve">https://doi.org/10.1227/NEU.0000000000000505</w:t>
        </w:r>
      </w:hyperlink>
      <w:r>
        <w:t xml:space="preserve">（研究类型：机制综述）</w:t>
      </w:r>
    </w:p>
    <w:p>
      <w:pPr>
        <w:pStyle w:val="ReferenceEntry"/>
      </w:pPr>
      <w:bookmarkStart w:id="5731" w:name="ref-1566"/>
      <w:r>
        <w:t xml:space="preserve">[1566]</w:t>
      </w:r>
      <w:bookmarkEnd w:id="5731"/>
      <w:r>
        <w:t xml:space="preserve"> Bazarian JJ, Biberthaler P, Welch RD, Lewis LM, Barzo P, Bogner-Flatz V, et al. Serum GFAP and UCH-L1 for prediction of absence of intracranial injuries on head CT ALERT TBI a multicentre observational study.</w:t>
      </w:r>
      <w:r>
        <w:t xml:space="preserve"> </w:t>
      </w:r>
      <w:r>
        <w:rPr>
          <w:iCs/>
          <w:i/>
        </w:rPr>
        <w:t xml:space="preserve">The Lancet Neurology</w:t>
      </w:r>
      <w:r>
        <w:t xml:space="preserve">. 2018;17(9):782–789.</w:t>
      </w:r>
      <w:r>
        <w:t xml:space="preserve"> </w:t>
      </w:r>
      <w:hyperlink r:id="rId5732">
        <w:r>
          <w:rPr>
            <w:rStyle w:val="Hyperlink"/>
          </w:rPr>
          <w:t xml:space="preserve">https://doi.org/10.1016/S1474-4422(18)30231-X</w:t>
        </w:r>
      </w:hyperlink>
      <w:r>
        <w:t xml:space="preserve">（研究类型：前瞻多中心诊断研究）</w:t>
      </w:r>
    </w:p>
    <w:p>
      <w:pPr>
        <w:pStyle w:val="ReferenceEntry"/>
      </w:pPr>
      <w:bookmarkStart w:id="5733" w:name="ref-1567"/>
      <w:r>
        <w:t xml:space="preserve">[1567]</w:t>
      </w:r>
      <w:bookmarkEnd w:id="5733"/>
      <w:r>
        <w:t xml:space="preserve"> Centers for Disease Control and Prevention. Symptoms of Mild TBI and Concussion. 2025.</w:t>
      </w:r>
      <w:r>
        <w:t xml:space="preserve"> </w:t>
      </w:r>
      <w:hyperlink r:id="rId5734">
        <w:r>
          <w:rPr>
            <w:rStyle w:val="Hyperlink"/>
          </w:rPr>
          <w:t xml:space="preserve">https://www.cdc.gov/traumatic-brain-injury/signs-symptoms/index.html</w:t>
        </w:r>
      </w:hyperlink>
      <w:r>
        <w:t xml:space="preserve">（研究类型：官方症状急救说明）</w:t>
      </w:r>
    </w:p>
    <w:p>
      <w:pPr>
        <w:pStyle w:val="ReferenceEntry"/>
      </w:pPr>
      <w:bookmarkStart w:id="5735" w:name="ref-1568"/>
      <w:r>
        <w:t xml:space="preserve">[1568]</w:t>
      </w:r>
      <w:bookmarkEnd w:id="5735"/>
      <w:r>
        <w:t xml:space="preserve"> Leddy JJ, Haider MN, Ellis MJ, Mannix R, Darling SR, Freitas MS, et al. Early Subthreshold Aerobic Exercise for Sport Related Concussion A Randomized Clinical Trial.</w:t>
      </w:r>
      <w:r>
        <w:t xml:space="preserve"> </w:t>
      </w:r>
      <w:r>
        <w:rPr>
          <w:iCs/>
          <w:i/>
        </w:rPr>
        <w:t xml:space="preserve">JAMA Pediatrics</w:t>
      </w:r>
      <w:r>
        <w:t xml:space="preserve">. 2019;173(4):319.</w:t>
      </w:r>
      <w:r>
        <w:t xml:space="preserve"> </w:t>
      </w:r>
      <w:hyperlink r:id="rId5736">
        <w:r>
          <w:rPr>
            <w:rStyle w:val="Hyperlink"/>
          </w:rPr>
          <w:t xml:space="preserve">https://doi.org/10.1001/jamapediatrics.2018.4397</w:t>
        </w:r>
      </w:hyperlink>
      <w:r>
        <w:t xml:space="preserve">（研究类型：随机临床试验）</w:t>
      </w:r>
    </w:p>
    <w:p>
      <w:pPr>
        <w:pStyle w:val="ReferenceEntry"/>
      </w:pPr>
      <w:bookmarkStart w:id="5737" w:name="ref-1569"/>
      <w:r>
        <w:t xml:space="preserve">[1569]</w:t>
      </w:r>
      <w:bookmarkEnd w:id="5737"/>
      <w:r>
        <w:t xml:space="preserve"> Stein MB, Jain S, Giacino JT, Levin H, Dikmen S, Nelson LD, et al. Risk of Posttraumatic Stress Disorder and Major Depression in Civilian Patients After Mild Traumatic Brain Injury A TRACK TBI Study.</w:t>
      </w:r>
      <w:r>
        <w:t xml:space="preserve"> </w:t>
      </w:r>
      <w:r>
        <w:rPr>
          <w:iCs/>
          <w:i/>
        </w:rPr>
        <w:t xml:space="preserve">JAMA Psychiatry</w:t>
      </w:r>
      <w:r>
        <w:t xml:space="preserve">. 2019;76(3):249.</w:t>
      </w:r>
      <w:r>
        <w:t xml:space="preserve"> </w:t>
      </w:r>
      <w:hyperlink r:id="rId5738">
        <w:r>
          <w:rPr>
            <w:rStyle w:val="Hyperlink"/>
          </w:rPr>
          <w:t xml:space="preserve">https://doi.org/10.1001/jamapsychiatry.2018.4288</w:t>
        </w:r>
      </w:hyperlink>
      <w:r>
        <w:t xml:space="preserve">（研究类型：前瞻纵向创伤队列）</w:t>
      </w:r>
    </w:p>
    <w:p>
      <w:pPr>
        <w:pStyle w:val="ReferenceEntry"/>
      </w:pPr>
      <w:bookmarkStart w:id="5739" w:name="ref-1570"/>
      <w:r>
        <w:t xml:space="preserve">[1570]</w:t>
      </w:r>
      <w:bookmarkEnd w:id="5739"/>
      <w:r>
        <w:t xml:space="preserve"> Carney N, Totten AM, O'Reilly C, Ullman JS, Hawryluk GWJ, Bell MJ, et al. Guidelines for the Management of Severe Traumatic Brain Injury Fourth Edition.</w:t>
      </w:r>
      <w:r>
        <w:t xml:space="preserve"> </w:t>
      </w:r>
      <w:r>
        <w:rPr>
          <w:iCs/>
          <w:i/>
        </w:rPr>
        <w:t xml:space="preserve">Neurosurgery</w:t>
      </w:r>
      <w:r>
        <w:t xml:space="preserve">. 2017;80(1):6–15.</w:t>
      </w:r>
      <w:r>
        <w:t xml:space="preserve"> </w:t>
      </w:r>
      <w:hyperlink r:id="rId5740">
        <w:r>
          <w:rPr>
            <w:rStyle w:val="Hyperlink"/>
          </w:rPr>
          <w:t xml:space="preserve">https://doi.org/10.1227/NEU.0000000000001432</w:t>
        </w:r>
      </w:hyperlink>
      <w:r>
        <w:t xml:space="preserve">（研究类型：BTF循证指南）</w:t>
      </w:r>
    </w:p>
    <w:p>
      <w:pPr>
        <w:pStyle w:val="ReferenceEntry"/>
      </w:pPr>
      <w:bookmarkStart w:id="5741" w:name="ref-1571"/>
      <w:r>
        <w:t xml:space="preserve">[1571]</w:t>
      </w:r>
      <w:bookmarkEnd w:id="5741"/>
      <w:r>
        <w:t xml:space="preserve"> Roberts I et al. Effect of intravenous corticosteroids on death within 14 days in 10008 adults with clinically significant head injury MRC CRASH trial randomised placebo controlled trial.</w:t>
      </w:r>
      <w:r>
        <w:t xml:space="preserve"> </w:t>
      </w:r>
      <w:r>
        <w:rPr>
          <w:iCs/>
          <w:i/>
        </w:rPr>
        <w:t xml:space="preserve">The Lancet</w:t>
      </w:r>
      <w:r>
        <w:t xml:space="preserve">. 2004;364(9442):1321–1328.</w:t>
      </w:r>
      <w:r>
        <w:t xml:space="preserve"> </w:t>
      </w:r>
      <w:hyperlink r:id="rId5742">
        <w:r>
          <w:rPr>
            <w:rStyle w:val="Hyperlink"/>
          </w:rPr>
          <w:t xml:space="preserve">https://doi.org/10.1016/S0140-6736(04)17188-2</w:t>
        </w:r>
      </w:hyperlink>
      <w:r>
        <w:t xml:space="preserve">（研究类型：国际随机安慰剂对照）</w:t>
      </w:r>
    </w:p>
    <w:p>
      <w:pPr>
        <w:pStyle w:val="ReferenceEntry"/>
      </w:pPr>
      <w:bookmarkStart w:id="5743" w:name="ref-1572"/>
      <w:r>
        <w:t xml:space="preserve">[1572]</w:t>
      </w:r>
      <w:bookmarkEnd w:id="5743"/>
      <w:r>
        <w:t xml:space="preserve"> Cooper DJ, Rosenfeld JV, Murray L, Arabi YM, Davies AR, D'Urso P, et al. Decompressive craniectomy in diffuse traumatic brain injury.</w:t>
      </w:r>
      <w:r>
        <w:t xml:space="preserve"> </w:t>
      </w:r>
      <w:r>
        <w:rPr>
          <w:iCs/>
          <w:i/>
        </w:rPr>
        <w:t xml:space="preserve">New England Journal of Medicine</w:t>
      </w:r>
      <w:r>
        <w:t xml:space="preserve">. 2011;364(16):1493–1502.</w:t>
      </w:r>
      <w:r>
        <w:t xml:space="preserve"> </w:t>
      </w:r>
      <w:hyperlink r:id="rId5744">
        <w:r>
          <w:rPr>
            <w:rStyle w:val="Hyperlink"/>
          </w:rPr>
          <w:t xml:space="preserve">https://doi.org/10.1056/NEJMoa1102077</w:t>
        </w:r>
      </w:hyperlink>
      <w:r>
        <w:t xml:space="preserve">（研究类型：随机DECRA）</w:t>
      </w:r>
    </w:p>
    <w:p>
      <w:pPr>
        <w:pStyle w:val="ReferenceEntry"/>
      </w:pPr>
      <w:bookmarkStart w:id="5745" w:name="ref-1573"/>
      <w:r>
        <w:t xml:space="preserve">[1573]</w:t>
      </w:r>
      <w:bookmarkEnd w:id="5745"/>
      <w:r>
        <w:t xml:space="preserve"> Hutchinson PJ, Kolias AG, Timofeev IS, Corteen EA, Czosnyka M, Timothy J, et al. Trial of Decompressive Craniectomy for Traumatic Intracranial Hypertension.</w:t>
      </w:r>
      <w:r>
        <w:t xml:space="preserve"> </w:t>
      </w:r>
      <w:r>
        <w:rPr>
          <w:iCs/>
          <w:i/>
        </w:rPr>
        <w:t xml:space="preserve">New England Journal of Medicine</w:t>
      </w:r>
      <w:r>
        <w:t xml:space="preserve">. 2016;375(12):1119–1130.</w:t>
      </w:r>
      <w:r>
        <w:t xml:space="preserve"> </w:t>
      </w:r>
      <w:hyperlink r:id="rId5746">
        <w:r>
          <w:rPr>
            <w:rStyle w:val="Hyperlink"/>
          </w:rPr>
          <w:t xml:space="preserve">https://doi.org/10.1056/NEJMoa1605215</w:t>
        </w:r>
      </w:hyperlink>
      <w:r>
        <w:t xml:space="preserve">（研究类型：随机RESCUEicp）</w:t>
      </w:r>
    </w:p>
    <w:p>
      <w:pPr>
        <w:pStyle w:val="ReferenceEntry"/>
      </w:pPr>
      <w:bookmarkStart w:id="5747" w:name="ref-1574"/>
      <w:r>
        <w:t xml:space="preserve">[1574]</w:t>
      </w:r>
      <w:bookmarkEnd w:id="5747"/>
      <w:r>
        <w:t xml:space="preserve"> Hawryluk GWJ, Rubiano AM, Totten AM, O’Reilly C, Ullman JS, Bratton SL, et al. Guidelines for the Management of Severe Traumatic Brain Injury 2020 Update of the Decompressive Craniectomy Recommendations.</w:t>
      </w:r>
      <w:r>
        <w:t xml:space="preserve"> </w:t>
      </w:r>
      <w:r>
        <w:rPr>
          <w:iCs/>
          <w:i/>
        </w:rPr>
        <w:t xml:space="preserve">Neurosurgery</w:t>
      </w:r>
      <w:r>
        <w:t xml:space="preserve">. 2020;87(3):427–434.</w:t>
      </w:r>
      <w:r>
        <w:t xml:space="preserve"> </w:t>
      </w:r>
      <w:hyperlink r:id="rId5748">
        <w:r>
          <w:rPr>
            <w:rStyle w:val="Hyperlink"/>
          </w:rPr>
          <w:t xml:space="preserve">https://doi.org/10.1093/neuros/nyaa278</w:t>
        </w:r>
      </w:hyperlink>
      <w:r>
        <w:t xml:space="preserve">（研究类型：BTF循证更新）</w:t>
      </w:r>
    </w:p>
    <w:p>
      <w:pPr>
        <w:pStyle w:val="ReferenceEntry"/>
      </w:pPr>
      <w:bookmarkStart w:id="5749" w:name="ref-1575"/>
      <w:r>
        <w:t xml:space="preserve">[1575]</w:t>
      </w:r>
      <w:bookmarkEnd w:id="5749"/>
      <w:r>
        <w:t xml:space="preserve"> Bieniek KF, Cairns NJ, Crary JF, Dickson DW, Folkerth RD, Keene CD, et al. The Second NINDS NIBIB Consensus Meeting to Define Neuropathological Criteria for the Diagnosis of Chronic Traumatic Encephalopathy.</w:t>
      </w:r>
      <w:r>
        <w:t xml:space="preserve"> </w:t>
      </w:r>
      <w:r>
        <w:rPr>
          <w:iCs/>
          <w:i/>
        </w:rPr>
        <w:t xml:space="preserve">Journal of Neuropathology &amp; Experimental Neurology</w:t>
      </w:r>
      <w:r>
        <w:t xml:space="preserve">. 2021;80(3):210–219.</w:t>
      </w:r>
      <w:r>
        <w:t xml:space="preserve"> </w:t>
      </w:r>
      <w:hyperlink r:id="rId5750">
        <w:r>
          <w:rPr>
            <w:rStyle w:val="Hyperlink"/>
          </w:rPr>
          <w:t xml:space="preserve">https://doi.org/10.1093/jnen/nlab001</w:t>
        </w:r>
      </w:hyperlink>
      <w:r>
        <w:t xml:space="preserve">（研究类型：盲法病理专家共识）</w:t>
      </w:r>
    </w:p>
    <w:p>
      <w:pPr>
        <w:pStyle w:val="ReferenceEntry"/>
      </w:pPr>
      <w:bookmarkStart w:id="5751" w:name="ref-1576"/>
      <w:r>
        <w:t xml:space="preserve">[1576]</w:t>
      </w:r>
      <w:bookmarkEnd w:id="5751"/>
      <w:r>
        <w:t xml:space="preserve"> Daneshvar DH, Nair ES, Baucom ZH, Rasch A, Abdolmohammadi B, Uretsky M, et al. Leveraging football accelerometer data to quantify associations between repetitive head impacts and chronic traumatic encephalopathy in males.</w:t>
      </w:r>
      <w:r>
        <w:t xml:space="preserve"> </w:t>
      </w:r>
      <w:r>
        <w:rPr>
          <w:iCs/>
          <w:i/>
        </w:rPr>
        <w:t xml:space="preserve">Nature Communications</w:t>
      </w:r>
      <w:r>
        <w:t xml:space="preserve">. 2023;14(1):3470.</w:t>
      </w:r>
      <w:r>
        <w:t xml:space="preserve"> </w:t>
      </w:r>
      <w:hyperlink r:id="rId5752">
        <w:r>
          <w:rPr>
            <w:rStyle w:val="Hyperlink"/>
          </w:rPr>
          <w:t xml:space="preserve">https://doi.org/10.1038/s41467-023-39183-0</w:t>
        </w:r>
      </w:hyperlink>
      <w:r>
        <w:t xml:space="preserve">（研究类型：捐献脑病例暴露估计关联）</w:t>
      </w:r>
    </w:p>
    <w:p>
      <w:pPr>
        <w:pStyle w:val="ReferenceEntry"/>
      </w:pPr>
      <w:bookmarkStart w:id="5753" w:name="ref-1577"/>
      <w:r>
        <w:t xml:space="preserve">[1577]</w:t>
      </w:r>
      <w:bookmarkEnd w:id="5753"/>
      <w:r>
        <w:t xml:space="preserve"> Katz DI, Bernick C, Dodick DW, Mez J, Mariani ML, Adler CH, et al. National Institute of Neurological Disorders and Stroke Consensus Diagnostic Criteria for Traumatic Encephalopathy Syndrome.</w:t>
      </w:r>
      <w:r>
        <w:t xml:space="preserve"> </w:t>
      </w:r>
      <w:r>
        <w:rPr>
          <w:iCs/>
          <w:i/>
        </w:rPr>
        <w:t xml:space="preserve">Neurology</w:t>
      </w:r>
      <w:r>
        <w:t xml:space="preserve">. 2021;96(18):848–863.</w:t>
      </w:r>
      <w:r>
        <w:t xml:space="preserve"> </w:t>
      </w:r>
      <w:hyperlink r:id="rId5754">
        <w:r>
          <w:rPr>
            <w:rStyle w:val="Hyperlink"/>
          </w:rPr>
          <w:t xml:space="preserve">https://doi.org/10.1212/WNL.0000000000011850</w:t>
        </w:r>
      </w:hyperlink>
      <w:r>
        <w:t xml:space="preserve">（研究类型：NINDS研究诊断共识）</w:t>
      </w:r>
    </w:p>
    <w:p>
      <w:pPr>
        <w:pStyle w:val="ReferenceEntry"/>
      </w:pPr>
      <w:bookmarkStart w:id="5755" w:name="ref-1578"/>
      <w:r>
        <w:t xml:space="preserve">[1578]</w:t>
      </w:r>
      <w:bookmarkEnd w:id="5755"/>
      <w:r>
        <w:t xml:space="preserve"> Louis DN, Perry A, Wesseling P, Brat DJ, Cree IA, Figarella-Branger D, et al. The 2021 WHO Classification of Tumors of the Central Nervous System a summary.</w:t>
      </w:r>
      <w:r>
        <w:t xml:space="preserve"> </w:t>
      </w:r>
      <w:r>
        <w:rPr>
          <w:iCs/>
          <w:i/>
        </w:rPr>
        <w:t xml:space="preserve">Neuro-Oncology</w:t>
      </w:r>
      <w:r>
        <w:t xml:space="preserve">. 2021;23(8):1231–1251.</w:t>
      </w:r>
      <w:r>
        <w:t xml:space="preserve"> </w:t>
      </w:r>
      <w:hyperlink r:id="rId5756">
        <w:r>
          <w:rPr>
            <w:rStyle w:val="Hyperlink"/>
          </w:rPr>
          <w:t xml:space="preserve">https://doi.org/10.1093/neuonc/noab106</w:t>
        </w:r>
      </w:hyperlink>
      <w:r>
        <w:t xml:space="preserve">（研究类型：WHO分类作者总结）</w:t>
      </w:r>
    </w:p>
    <w:p>
      <w:pPr>
        <w:pStyle w:val="ReferenceEntry"/>
      </w:pPr>
      <w:bookmarkStart w:id="5757" w:name="ref-1579"/>
      <w:r>
        <w:t xml:space="preserve">[1579]</w:t>
      </w:r>
      <w:bookmarkEnd w:id="5757"/>
      <w:r>
        <w:t xml:space="preserve"> Weller M, van den Bent M, Preusser M, Le Rhun E, Tonn JC, Minniti G, et al. EANO guidelines on the diagnosis and treatment of diffuse gliomas of adulthood.</w:t>
      </w:r>
      <w:r>
        <w:t xml:space="preserve"> </w:t>
      </w:r>
      <w:r>
        <w:rPr>
          <w:iCs/>
          <w:i/>
        </w:rPr>
        <w:t xml:space="preserve">Nature Reviews Clinical Oncology</w:t>
      </w:r>
      <w:r>
        <w:t xml:space="preserve">. 2021;18(3):170–186.</w:t>
      </w:r>
      <w:r>
        <w:t xml:space="preserve"> </w:t>
      </w:r>
      <w:hyperlink r:id="rId5758">
        <w:r>
          <w:rPr>
            <w:rStyle w:val="Hyperlink"/>
          </w:rPr>
          <w:t xml:space="preserve">https://doi.org/10.1038/s41571-020-00447-z</w:t>
        </w:r>
      </w:hyperlink>
      <w:r>
        <w:t xml:space="preserve">（研究类型：EANO循证指南）</w:t>
      </w:r>
    </w:p>
    <w:p>
      <w:pPr>
        <w:pStyle w:val="ReferenceEntry"/>
      </w:pPr>
      <w:bookmarkStart w:id="5759" w:name="ref-1580"/>
      <w:r>
        <w:t xml:space="preserve">[1580]</w:t>
      </w:r>
      <w:bookmarkEnd w:id="5759"/>
      <w:r>
        <w:t xml:space="preserve"> Goldbrunner R, Stavrinou P, Jenkinson MD, Sahm F, Mawrin C, Weber DC, et al. EANO guideline on the diagnosis and management of meningiomas.</w:t>
      </w:r>
      <w:r>
        <w:t xml:space="preserve"> </w:t>
      </w:r>
      <w:r>
        <w:rPr>
          <w:iCs/>
          <w:i/>
        </w:rPr>
        <w:t xml:space="preserve">Neuro-Oncology</w:t>
      </w:r>
      <w:r>
        <w:t xml:space="preserve">. 2021;23(11):1821–1834.</w:t>
      </w:r>
      <w:r>
        <w:t xml:space="preserve"> </w:t>
      </w:r>
      <w:hyperlink r:id="rId5760">
        <w:r>
          <w:rPr>
            <w:rStyle w:val="Hyperlink"/>
          </w:rPr>
          <w:t xml:space="preserve">https://doi.org/10.1093/neuonc/noab150</w:t>
        </w:r>
      </w:hyperlink>
      <w:r>
        <w:t xml:space="preserve">（研究类型：EANO指南）</w:t>
      </w:r>
    </w:p>
    <w:p>
      <w:pPr>
        <w:pStyle w:val="ReferenceEntry"/>
      </w:pPr>
      <w:bookmarkStart w:id="5761" w:name="ref-1581"/>
      <w:r>
        <w:t xml:space="preserve">[1581]</w:t>
      </w:r>
      <w:bookmarkEnd w:id="5761"/>
      <w:r>
        <w:t xml:space="preserve"> Dang L, White DW, Gross S, Bennett BD, Bittinger MA, Driggers EM, et al. Cancer associated IDH1 mutations produce 2 hydroxyglutarate.</w:t>
      </w:r>
      <w:r>
        <w:t xml:space="preserve"> </w:t>
      </w:r>
      <w:r>
        <w:rPr>
          <w:iCs/>
          <w:i/>
        </w:rPr>
        <w:t xml:space="preserve">Nature</w:t>
      </w:r>
      <w:r>
        <w:t xml:space="preserve">. 2009;462(7274):739–744.</w:t>
      </w:r>
      <w:r>
        <w:t xml:space="preserve"> </w:t>
      </w:r>
      <w:hyperlink r:id="rId5762">
        <w:r>
          <w:rPr>
            <w:rStyle w:val="Hyperlink"/>
          </w:rPr>
          <w:t xml:space="preserve">https://doi.org/10.1038/nature08617</w:t>
        </w:r>
      </w:hyperlink>
      <w:r>
        <w:t xml:space="preserve">（研究类型：生化结构细胞与肿瘤样本）</w:t>
      </w:r>
    </w:p>
    <w:p>
      <w:pPr>
        <w:pStyle w:val="ReferenceEntry"/>
      </w:pPr>
      <w:bookmarkStart w:id="5763" w:name="ref-1582"/>
      <w:r>
        <w:t xml:space="preserve">[1582]</w:t>
      </w:r>
      <w:bookmarkEnd w:id="5763"/>
      <w:r>
        <w:t xml:space="preserve"> Lu C, Ward PS, Kapoor GS, Rohle D, Turcan S, Abdel-Wahab O, et al. IDH mutation impairs histone demethylation and results in a block to cell differentiation.</w:t>
      </w:r>
      <w:r>
        <w:t xml:space="preserve"> </w:t>
      </w:r>
      <w:r>
        <w:rPr>
          <w:iCs/>
          <w:i/>
        </w:rPr>
        <w:t xml:space="preserve">Nature</w:t>
      </w:r>
      <w:r>
        <w:t xml:space="preserve">. 2012;483(7390):474–478.</w:t>
      </w:r>
      <w:r>
        <w:t xml:space="preserve"> </w:t>
      </w:r>
      <w:hyperlink r:id="rId5764">
        <w:r>
          <w:rPr>
            <w:rStyle w:val="Hyperlink"/>
          </w:rPr>
          <w:t xml:space="preserve">https://doi.org/10.1038/nature10860</w:t>
        </w:r>
      </w:hyperlink>
      <w:r>
        <w:t xml:space="preserve">（研究类型：细胞与组织机制实验）</w:t>
      </w:r>
    </w:p>
    <w:p>
      <w:pPr>
        <w:pStyle w:val="ReferenceEntry"/>
      </w:pPr>
      <w:bookmarkStart w:id="5765" w:name="ref-1583"/>
      <w:r>
        <w:t xml:space="preserve">[1583]</w:t>
      </w:r>
      <w:bookmarkEnd w:id="5765"/>
      <w:r>
        <w:t xml:space="preserve"> Capper D, Jones DTW, Sill M, Hovestadt V, Schrimpf D, Sturm D, et al. DNA methylation based classification of central nervous system tumours.</w:t>
      </w:r>
      <w:r>
        <w:t xml:space="preserve"> </w:t>
      </w:r>
      <w:r>
        <w:rPr>
          <w:iCs/>
          <w:i/>
        </w:rPr>
        <w:t xml:space="preserve">Nature</w:t>
      </w:r>
      <w:r>
        <w:t xml:space="preserve">. 2018;555(7697):469–474.</w:t>
      </w:r>
      <w:r>
        <w:t xml:space="preserve"> </w:t>
      </w:r>
      <w:hyperlink r:id="rId5766">
        <w:r>
          <w:rPr>
            <w:rStyle w:val="Hyperlink"/>
          </w:rPr>
          <w:t xml:space="preserve">https://doi.org/10.1038/nature26000</w:t>
        </w:r>
      </w:hyperlink>
      <w:r>
        <w:t xml:space="preserve">（研究类型：甲基化分类器开发及诊断应用）</w:t>
      </w:r>
    </w:p>
    <w:p>
      <w:pPr>
        <w:pStyle w:val="ReferenceEntry"/>
      </w:pPr>
      <w:bookmarkStart w:id="5767" w:name="ref-1584"/>
      <w:r>
        <w:t xml:space="preserve">[1584]</w:t>
      </w:r>
      <w:bookmarkEnd w:id="5767"/>
      <w:r>
        <w:t xml:space="preserve"> Venkataramani V, Tanev DI, Strahle C, Studier-Fischer A, Fankhauser L, Kessler T, et al. Glutamatergic synaptic input to glioma cells drives brain tumour progression.</w:t>
      </w:r>
      <w:r>
        <w:t xml:space="preserve"> </w:t>
      </w:r>
      <w:r>
        <w:rPr>
          <w:iCs/>
          <w:i/>
        </w:rPr>
        <w:t xml:space="preserve">Nature</w:t>
      </w:r>
      <w:r>
        <w:t xml:space="preserve">. 2019;573(7775):532–538.</w:t>
      </w:r>
      <w:r>
        <w:t xml:space="preserve"> </w:t>
      </w:r>
      <w:hyperlink r:id="rId5768">
        <w:r>
          <w:rPr>
            <w:rStyle w:val="Hyperlink"/>
          </w:rPr>
          <w:t xml:space="preserve">https://doi.org/10.1038/s41586-019-1564-x</w:t>
        </w:r>
      </w:hyperlink>
      <w:r>
        <w:t xml:space="preserve">（研究类型：人肿瘤样本与疾病模型电生理超微结构因果操纵）</w:t>
      </w:r>
    </w:p>
    <w:p>
      <w:pPr>
        <w:pStyle w:val="ReferenceEntry"/>
      </w:pPr>
      <w:bookmarkStart w:id="5769" w:name="ref-1585"/>
      <w:r>
        <w:t xml:space="preserve">[1585]</w:t>
      </w:r>
      <w:bookmarkEnd w:id="5769"/>
      <w:r>
        <w:t xml:space="preserve"> Wen PY, van den Bent M, Youssef G, Cloughesy TF, Ellingson BM, Weller M, et al. RANO 2.0 Update to the Response Assessment in Neuro Oncology Criteria for High and Low Grade Gliomas in Adults.</w:t>
      </w:r>
      <w:r>
        <w:t xml:space="preserve"> </w:t>
      </w:r>
      <w:r>
        <w:rPr>
          <w:iCs/>
          <w:i/>
        </w:rPr>
        <w:t xml:space="preserve">Journal of Clinical Oncology</w:t>
      </w:r>
      <w:r>
        <w:t xml:space="preserve">. 2023;41(33):5187–5199.</w:t>
      </w:r>
      <w:r>
        <w:t xml:space="preserve"> </w:t>
      </w:r>
      <w:hyperlink r:id="rId5770">
        <w:r>
          <w:rPr>
            <w:rStyle w:val="Hyperlink"/>
          </w:rPr>
          <w:t xml:space="preserve">https://doi.org/10.1200/JCO.23.01059</w:t>
        </w:r>
      </w:hyperlink>
      <w:r>
        <w:t xml:space="preserve">（研究类型：疗效评价共识）</w:t>
      </w:r>
    </w:p>
    <w:p>
      <w:pPr>
        <w:pStyle w:val="ReferenceEntry"/>
      </w:pPr>
      <w:bookmarkStart w:id="5771" w:name="ref-1586"/>
      <w:r>
        <w:t xml:space="preserve">[1586]</w:t>
      </w:r>
      <w:bookmarkEnd w:id="5771"/>
      <w:r>
        <w:t xml:space="preserve"> Stupp R, Mason WP, van den Bent MJ, Weller M, Fisher B, Taphoorn MJB, et al. Radiotherapy plus concomitant and adjuvant temozolomide for glioblastoma.</w:t>
      </w:r>
      <w:r>
        <w:t xml:space="preserve"> </w:t>
      </w:r>
      <w:r>
        <w:rPr>
          <w:iCs/>
          <w:i/>
        </w:rPr>
        <w:t xml:space="preserve">New England Journal of Medicine</w:t>
      </w:r>
      <w:r>
        <w:t xml:space="preserve">. 2005;352(10):987–996.</w:t>
      </w:r>
      <w:r>
        <w:t xml:space="preserve"> </w:t>
      </w:r>
      <w:hyperlink r:id="rId5772">
        <w:r>
          <w:rPr>
            <w:rStyle w:val="Hyperlink"/>
          </w:rPr>
          <w:t xml:space="preserve">https://doi.org/10.1056/NEJMoa043330</w:t>
        </w:r>
      </w:hyperlink>
      <w:r>
        <w:t xml:space="preserve">（研究类型：随机三期）</w:t>
      </w:r>
    </w:p>
    <w:p>
      <w:pPr>
        <w:pStyle w:val="ReferenceEntry"/>
      </w:pPr>
      <w:bookmarkStart w:id="5773" w:name="ref-1587"/>
      <w:r>
        <w:t xml:space="preserve">[1587]</w:t>
      </w:r>
      <w:bookmarkEnd w:id="5773"/>
      <w:r>
        <w:t xml:space="preserve"> Hegi ME, Diserens AC, Gorlia T, Hamou MF, de Tribolet N, Weller M, et al. MGMT gene silencing and benefit from temozolomide in glioblastoma.</w:t>
      </w:r>
      <w:r>
        <w:t xml:space="preserve"> </w:t>
      </w:r>
      <w:r>
        <w:rPr>
          <w:iCs/>
          <w:i/>
        </w:rPr>
        <w:t xml:space="preserve">New England Journal of Medicine</w:t>
      </w:r>
      <w:r>
        <w:t xml:space="preserve">. 2005;352(10):997–1003.</w:t>
      </w:r>
      <w:r>
        <w:t xml:space="preserve"> </w:t>
      </w:r>
      <w:hyperlink r:id="rId5774">
        <w:r>
          <w:rPr>
            <w:rStyle w:val="Hyperlink"/>
          </w:rPr>
          <w:t xml:space="preserve">https://doi.org/10.1056/NEJMoa043331</w:t>
        </w:r>
      </w:hyperlink>
      <w:r>
        <w:t xml:space="preserve">（研究类型：随机试验组织标志物亚组）</w:t>
      </w:r>
    </w:p>
    <w:p>
      <w:pPr>
        <w:pStyle w:val="ReferenceEntry"/>
      </w:pPr>
      <w:bookmarkStart w:id="5775" w:name="ref-1588"/>
      <w:r>
        <w:t xml:space="preserve">[1588]</w:t>
      </w:r>
      <w:bookmarkEnd w:id="5775"/>
      <w:r>
        <w:t xml:space="preserve"> Mellinghoff IK, van den Bent MJ, Blumenthal DT, Touat M, Peters KB, Clarke J, et al. Vorasidenib in IDH1 or IDH2 Mutant Low Grade Glioma.</w:t>
      </w:r>
      <w:r>
        <w:t xml:space="preserve"> </w:t>
      </w:r>
      <w:r>
        <w:rPr>
          <w:iCs/>
          <w:i/>
        </w:rPr>
        <w:t xml:space="preserve">New England Journal of Medicine</w:t>
      </w:r>
      <w:r>
        <w:t xml:space="preserve">. 2023;389(7):589–601.</w:t>
      </w:r>
      <w:r>
        <w:t xml:space="preserve"> </w:t>
      </w:r>
      <w:hyperlink r:id="rId5776">
        <w:r>
          <w:rPr>
            <w:rStyle w:val="Hyperlink"/>
          </w:rPr>
          <w:t xml:space="preserve">https://doi.org/10.1056/NEJMoa2304194</w:t>
        </w:r>
      </w:hyperlink>
      <w:r>
        <w:t xml:space="preserve">（研究类型：随机双盲三期INDIGO）</w:t>
      </w:r>
    </w:p>
    <w:p>
      <w:pPr>
        <w:pStyle w:val="ReferenceEntry"/>
      </w:pPr>
      <w:bookmarkStart w:id="5777" w:name="ref-1589"/>
      <w:r>
        <w:t xml:space="preserve">[1589]</w:t>
      </w:r>
      <w:bookmarkEnd w:id="5777"/>
      <w:r>
        <w:t xml:space="preserve"> US Food and Drug Administration. FDA approves vorasidenib for Grade 2 astrocytoma or oligodendroglioma with a susceptible IDH1 or IDH2 mutation. 2024.</w:t>
      </w:r>
      <w:r>
        <w:t xml:space="preserve"> </w:t>
      </w:r>
      <w:hyperlink r:id="rId5778">
        <w:r>
          <w:rPr>
            <w:rStyle w:val="Hyperlink"/>
          </w:rPr>
          <w:t xml:space="preserve">https://www.fda.gov/drugs/resources-information-approved-drugs/fda-approves-vorasidenib-grade-2-astrocytoma-or-oligodendroglioma-susceptible-idh1-or-idh2-mutation</w:t>
        </w:r>
      </w:hyperlink>
      <w:r>
        <w:t xml:space="preserve">（研究类型：官方批准公告）</w:t>
      </w:r>
    </w:p>
    <w:p>
      <w:pPr>
        <w:pStyle w:val="ReferenceEntry"/>
      </w:pPr>
      <w:bookmarkStart w:id="5779" w:name="ref-1590"/>
      <w:r>
        <w:t xml:space="preserve">[1590]</w:t>
      </w:r>
      <w:bookmarkEnd w:id="5779"/>
      <w:r>
        <w:t xml:space="preserve"> Blakeley J, Mohile NA, Messersmith H, Lassman AB, Schiff D, for the Therapy for Diffuse Astrocytic and Oligodendroglial Tumors in Adults Guideline Expert Panel, et al. Therapy for Diffuse Astrocytic and Oligodendroglial Tumors in Adults ASCO SNO Guideline Rapid Recommendation Update.</w:t>
      </w:r>
      <w:r>
        <w:t xml:space="preserve"> </w:t>
      </w:r>
      <w:r>
        <w:rPr>
          <w:iCs/>
          <w:i/>
        </w:rPr>
        <w:t xml:space="preserve">Journal of Clinical Oncology</w:t>
      </w:r>
      <w:r>
        <w:t xml:space="preserve">. 2025;43(18):2129–2133.</w:t>
      </w:r>
      <w:r>
        <w:t xml:space="preserve"> </w:t>
      </w:r>
      <w:hyperlink r:id="rId5780">
        <w:r>
          <w:rPr>
            <w:rStyle w:val="Hyperlink"/>
          </w:rPr>
          <w:t xml:space="preserve">https://doi.org/10.1200/JCO-25-00250</w:t>
        </w:r>
      </w:hyperlink>
      <w:r>
        <w:t xml:space="preserve">（研究类型：ASCO SNO证据快速更新）</w:t>
      </w:r>
    </w:p>
    <w:p>
      <w:pPr>
        <w:pStyle w:val="ReferenceEntry"/>
      </w:pPr>
      <w:bookmarkStart w:id="5781" w:name="ref-1591"/>
      <w:r>
        <w:t xml:space="preserve">[1591]</w:t>
      </w:r>
      <w:bookmarkEnd w:id="5781"/>
      <w:r>
        <w:t xml:space="preserve"> Choi BD, Gerstner ER, Frigault MJ, Leick MB, Mount CW, Balaj L, et al. Intraventricular CARv3 TEAM E T Cells in Recurrent Glioblastoma.</w:t>
      </w:r>
      <w:r>
        <w:t xml:space="preserve"> </w:t>
      </w:r>
      <w:r>
        <w:rPr>
          <w:iCs/>
          <w:i/>
        </w:rPr>
        <w:t xml:space="preserve">New England Journal of Medicine</w:t>
      </w:r>
      <w:r>
        <w:t xml:space="preserve">. 2024;390(14):1290–1298.</w:t>
      </w:r>
      <w:r>
        <w:t xml:space="preserve"> </w:t>
      </w:r>
      <w:hyperlink r:id="rId5782">
        <w:r>
          <w:rPr>
            <w:rStyle w:val="Hyperlink"/>
          </w:rPr>
          <w:t xml:space="preserve">https://doi.org/10.1056/NEJMoa2314390</w:t>
        </w:r>
      </w:hyperlink>
      <w:r>
        <w:t xml:space="preserve">（研究类型：首次人体开放早期）</w:t>
      </w:r>
    </w:p>
    <w:p>
      <w:pPr>
        <w:pStyle w:val="ReferenceEntry"/>
      </w:pPr>
      <w:bookmarkStart w:id="5783" w:name="ref-1592"/>
      <w:r>
        <w:t xml:space="preserve">[1592]</w:t>
      </w:r>
      <w:bookmarkEnd w:id="5783"/>
      <w:r>
        <w:t xml:space="preserve"> Vogelbaum MA, Brown PD, Messersmith H, Brastianos PK, Burri S, Cahill D, et al. Treatment for Brain Metastases ASCO SNO ASTRO Guideline.</w:t>
      </w:r>
      <w:r>
        <w:t xml:space="preserve"> </w:t>
      </w:r>
      <w:r>
        <w:rPr>
          <w:iCs/>
          <w:i/>
        </w:rPr>
        <w:t xml:space="preserve">Journal of Clinical Oncology</w:t>
      </w:r>
      <w:r>
        <w:t xml:space="preserve">. 2022;40(5):492–516.</w:t>
      </w:r>
      <w:r>
        <w:t xml:space="preserve"> </w:t>
      </w:r>
      <w:hyperlink r:id="rId5784">
        <w:r>
          <w:rPr>
            <w:rStyle w:val="Hyperlink"/>
          </w:rPr>
          <w:t xml:space="preserve">https://doi.org/10.1200/JCO.21.02314</w:t>
        </w:r>
      </w:hyperlink>
      <w:r>
        <w:t xml:space="preserve">（研究类型：系统综述与多学科指南）</w:t>
      </w:r>
    </w:p>
    <w:p>
      <w:pPr>
        <w:pStyle w:val="ReferenceEntry"/>
      </w:pPr>
      <w:bookmarkStart w:id="5785" w:name="ref-1593"/>
      <w:r>
        <w:t xml:space="preserve">[1593]</w:t>
      </w:r>
      <w:bookmarkEnd w:id="5785"/>
      <w:r>
        <w:t xml:space="preserve"> Brown PD, Gondi V, Pugh S, Tome WA, Wefel JS, Armstrong TS, et al. Hippocampal Avoidance During Whole Brain Radiotherapy Plus Memantine for Patients With Brain Metastases Phase III Trial NRG Oncology CC001.</w:t>
      </w:r>
      <w:r>
        <w:t xml:space="preserve"> </w:t>
      </w:r>
      <w:r>
        <w:rPr>
          <w:iCs/>
          <w:i/>
        </w:rPr>
        <w:t xml:space="preserve">Journal of Clinical Oncology</w:t>
      </w:r>
      <w:r>
        <w:t xml:space="preserve">. 2020;38(10):1019–1029.</w:t>
      </w:r>
      <w:r>
        <w:t xml:space="preserve"> </w:t>
      </w:r>
      <w:hyperlink r:id="rId5786">
        <w:r>
          <w:rPr>
            <w:rStyle w:val="Hyperlink"/>
          </w:rPr>
          <w:t xml:space="preserve">https://doi.org/10.1200/JCO.19.02767</w:t>
        </w:r>
      </w:hyperlink>
      <w:r>
        <w:t xml:space="preserve">（研究类型：随机三期）</w:t>
      </w:r>
    </w:p>
    <w:p>
      <w:pPr>
        <w:pStyle w:val="ReferenceEntry"/>
      </w:pPr>
      <w:bookmarkStart w:id="5787" w:name="ref-1594"/>
      <w:r>
        <w:t xml:space="preserve">[1594]</w:t>
      </w:r>
      <w:bookmarkEnd w:id="5787"/>
      <w:r>
        <w:t xml:space="preserve"> Gondi V, Deshmukh S, Brown PD, Wefel JS, Armstrong TS, Tome WA, et al. Sustained Preservation of Cognition and Prevention of Patient Reported Symptoms With Hippocampal Avoidance During Whole Brain Radiation Therapy for Brain Metastases Final Results of NRG Oncology CC001.</w:t>
      </w:r>
      <w:r>
        <w:t xml:space="preserve"> </w:t>
      </w:r>
      <w:r>
        <w:rPr>
          <w:iCs/>
          <w:i/>
        </w:rPr>
        <w:t xml:space="preserve">International Journal of Radiation Oncology*Biology*Physics</w:t>
      </w:r>
      <w:r>
        <w:t xml:space="preserve">. 2023;117(3):571–580.</w:t>
      </w:r>
      <w:r>
        <w:t xml:space="preserve"> </w:t>
      </w:r>
      <w:hyperlink r:id="rId5788">
        <w:r>
          <w:rPr>
            <w:rStyle w:val="Hyperlink"/>
          </w:rPr>
          <w:t xml:space="preserve">https://doi.org/10.1016/j.ijrobp.2023.04.030</w:t>
        </w:r>
      </w:hyperlink>
      <w:r>
        <w:t xml:space="preserve">（研究类型：同一随机队列延长随访）</w:t>
      </w:r>
    </w:p>
    <w:p>
      <w:pPr>
        <w:pStyle w:val="ReferenceEntry"/>
      </w:pPr>
      <w:bookmarkStart w:id="5789" w:name="ref-1595"/>
      <w:r>
        <w:t xml:space="preserve">[1595]</w:t>
      </w:r>
      <w:bookmarkEnd w:id="5789"/>
      <w:r>
        <w:t xml:space="preserve"> National Cancer Institute. Childhood Medulloblastoma and Other CNS Embryonal Tumors Treatment PDQ Health Professional Version. 2026.</w:t>
      </w:r>
      <w:r>
        <w:t xml:space="preserve"> </w:t>
      </w:r>
      <w:hyperlink r:id="rId5790">
        <w:r>
          <w:rPr>
            <w:rStyle w:val="Hyperlink"/>
          </w:rPr>
          <w:t xml:space="preserve">https://www.cancer.gov/types/brain/hp/child-cns-embryonal-treatment-pdq</w:t>
        </w:r>
      </w:hyperlink>
      <w:r>
        <w:t xml:space="preserve">（研究类型：现行官方专业PDQ）</w:t>
      </w:r>
    </w:p>
    <w:p>
      <w:pPr>
        <w:pStyle w:val="ReferenceEntry"/>
      </w:pPr>
      <w:bookmarkStart w:id="5791" w:name="ref-1596"/>
      <w:r>
        <w:t xml:space="preserve">[1596]</w:t>
      </w:r>
      <w:bookmarkEnd w:id="5791"/>
      <w:r>
        <w:t xml:space="preserve"> NICE. Stroke rehabilitation in adults NG236. 2023.</w:t>
      </w:r>
      <w:r>
        <w:t xml:space="preserve"> </w:t>
      </w:r>
      <w:hyperlink r:id="rId5792">
        <w:r>
          <w:rPr>
            <w:rStyle w:val="Hyperlink"/>
          </w:rPr>
          <w:t xml:space="preserve">https://www.nice.org.uk/guidance/ng236/chapter/Recommendations</w:t>
        </w:r>
      </w:hyperlink>
      <w:r>
        <w:t xml:space="preserve">（研究类型：官方循证指南）</w:t>
      </w:r>
    </w:p>
    <w:p>
      <w:pPr>
        <w:pStyle w:val="ReferenceEntry"/>
      </w:pPr>
      <w:bookmarkStart w:id="5793" w:name="ref-1597"/>
      <w:r>
        <w:t xml:space="preserve">[1597]</w:t>
      </w:r>
      <w:bookmarkEnd w:id="5793"/>
      <w:r>
        <w:t xml:space="preserve"> Levin MF, Kleim JA, Wolf SL. What do motor recovery and compensation mean in patients following stroke.</w:t>
      </w:r>
      <w:r>
        <w:t xml:space="preserve"> </w:t>
      </w:r>
      <w:r>
        <w:rPr>
          <w:iCs/>
          <w:i/>
        </w:rPr>
        <w:t xml:space="preserve">Neurorehabilitation and Neural Repair</w:t>
      </w:r>
      <w:r>
        <w:t xml:space="preserve">. 2009;23(4):313–319.</w:t>
      </w:r>
      <w:r>
        <w:t xml:space="preserve"> </w:t>
      </w:r>
      <w:hyperlink r:id="rId5794">
        <w:r>
          <w:rPr>
            <w:rStyle w:val="Hyperlink"/>
          </w:rPr>
          <w:t xml:space="preserve">https://doi.org/10.1177/1545968308328727</w:t>
        </w:r>
      </w:hyperlink>
      <w:r>
        <w:t xml:space="preserve">（研究类型：概念框架）</w:t>
      </w:r>
    </w:p>
    <w:p>
      <w:pPr>
        <w:pStyle w:val="ReferenceEntry"/>
      </w:pPr>
      <w:bookmarkStart w:id="5795" w:name="ref-1598"/>
      <w:r>
        <w:t xml:space="preserve">[1598]</w:t>
      </w:r>
      <w:bookmarkEnd w:id="5795"/>
      <w:r>
        <w:t xml:space="preserve"> Nudo RJ, Wise BM, SiFuentes F, Milliken GW. Neural substrates for the effects of rehabilitative training on motor recovery after ischemic infarct.</w:t>
      </w:r>
      <w:r>
        <w:t xml:space="preserve"> </w:t>
      </w:r>
      <w:r>
        <w:rPr>
          <w:iCs/>
          <w:i/>
        </w:rPr>
        <w:t xml:space="preserve">Science</w:t>
      </w:r>
      <w:r>
        <w:t xml:space="preserve">. 1996;272(5269):1791–1794.</w:t>
      </w:r>
      <w:r>
        <w:t xml:space="preserve"> </w:t>
      </w:r>
      <w:hyperlink r:id="rId5796">
        <w:r>
          <w:rPr>
            <w:rStyle w:val="Hyperlink"/>
          </w:rPr>
          <w:t xml:space="preserve">https://doi.org/10.1126/science.272.5269.1791</w:t>
        </w:r>
      </w:hyperlink>
      <w:r>
        <w:t xml:space="preserve">（研究类型：成人松鼠猴局灶缺血及训练实验）</w:t>
      </w:r>
    </w:p>
    <w:p>
      <w:pPr>
        <w:pStyle w:val="ReferenceEntry"/>
      </w:pPr>
      <w:bookmarkStart w:id="5797" w:name="ref-1599"/>
      <w:r>
        <w:t xml:space="preserve">[1599]</w:t>
      </w:r>
      <w:bookmarkEnd w:id="5797"/>
      <w:r>
        <w:t xml:space="preserve"> Di Pino G, Pellegrino G, Assenza G, Capone F, Ferreri F, Formica D, et al. Modulation of brain plasticity in stroke a novel model for neurorehabilitation.</w:t>
      </w:r>
      <w:r>
        <w:t xml:space="preserve"> </w:t>
      </w:r>
      <w:r>
        <w:rPr>
          <w:iCs/>
          <w:i/>
        </w:rPr>
        <w:t xml:space="preserve">Nature Reviews Neurology</w:t>
      </w:r>
      <w:r>
        <w:t xml:space="preserve">. 2014;10(10):597–608.</w:t>
      </w:r>
      <w:r>
        <w:t xml:space="preserve"> </w:t>
      </w:r>
      <w:hyperlink r:id="rId5798">
        <w:r>
          <w:rPr>
            <w:rStyle w:val="Hyperlink"/>
          </w:rPr>
          <w:t xml:space="preserve">https://doi.org/10.1038/nrneurol.2014.162</w:t>
        </w:r>
      </w:hyperlink>
      <w:r>
        <w:t xml:space="preserve">（研究类型：理论框架与机制综述）</w:t>
      </w:r>
    </w:p>
    <w:p>
      <w:pPr>
        <w:pStyle w:val="ReferenceEntry"/>
      </w:pPr>
      <w:bookmarkStart w:id="5799" w:name="ref-1600"/>
      <w:r>
        <w:t xml:space="preserve">[1600]</w:t>
      </w:r>
      <w:bookmarkEnd w:id="5799"/>
      <w:r>
        <w:t xml:space="preserve"> Carey L, Macdonell R, Matyas TA. SENSe Study of the Effectiveness of Neurorehabilitation on Sensation a randomized controlled trial.</w:t>
      </w:r>
      <w:r>
        <w:t xml:space="preserve"> </w:t>
      </w:r>
      <w:r>
        <w:rPr>
          <w:iCs/>
          <w:i/>
        </w:rPr>
        <w:t xml:space="preserve">Neurorehabilitation and Neural Repair</w:t>
      </w:r>
      <w:r>
        <w:t xml:space="preserve">. 2011;25(4):304–313.</w:t>
      </w:r>
      <w:r>
        <w:t xml:space="preserve"> </w:t>
      </w:r>
      <w:hyperlink r:id="rId5800">
        <w:r>
          <w:rPr>
            <w:rStyle w:val="Hyperlink"/>
          </w:rPr>
          <w:t xml:space="preserve">https://doi.org/10.1177/1545968310397705</w:t>
        </w:r>
      </w:hyperlink>
      <w:r>
        <w:t xml:space="preserve">（研究类型：盲法平行随机试验）</w:t>
      </w:r>
    </w:p>
    <w:p>
      <w:pPr>
        <w:pStyle w:val="ReferenceEntry"/>
      </w:pPr>
      <w:bookmarkStart w:id="5801" w:name="ref-1601"/>
      <w:r>
        <w:t xml:space="preserve">[1601]</w:t>
      </w:r>
      <w:bookmarkEnd w:id="5801"/>
      <w:r>
        <w:t xml:space="preserve"> Shaw LC, Price CIM, van Wijck FMJ, Shackley P, Steen N, Barnes MP, et al. Botulinum Toxin for the Upper Limb after Stroke BoTULS Trial effect on impairment activity limitation and pain.</w:t>
      </w:r>
      <w:r>
        <w:t xml:space="preserve"> </w:t>
      </w:r>
      <w:r>
        <w:rPr>
          <w:iCs/>
          <w:i/>
        </w:rPr>
        <w:t xml:space="preserve">Stroke</w:t>
      </w:r>
      <w:r>
        <w:t xml:space="preserve">. 2011;42(5):1371–1379.</w:t>
      </w:r>
      <w:r>
        <w:t xml:space="preserve"> </w:t>
      </w:r>
      <w:hyperlink r:id="rId5802">
        <w:r>
          <w:rPr>
            <w:rStyle w:val="Hyperlink"/>
          </w:rPr>
          <w:t xml:space="preserve">https://doi.org/10.1161/STROKEAHA.110.582197</w:t>
        </w:r>
      </w:hyperlink>
      <w:r>
        <w:t xml:space="preserve">（研究类型：多中心随机试验）</w:t>
      </w:r>
    </w:p>
    <w:p>
      <w:pPr>
        <w:pStyle w:val="ReferenceEntry"/>
      </w:pPr>
      <w:bookmarkStart w:id="5803" w:name="ref-1602"/>
      <w:r>
        <w:t xml:space="preserve">[1602]</w:t>
      </w:r>
      <w:bookmarkEnd w:id="5803"/>
      <w:r>
        <w:t xml:space="preserve"> AVERT Trial Collaboration group. Efficacy and safety of very early mobilisation within 24 h of stroke onset AVERT a randomised controlled trial.</w:t>
      </w:r>
      <w:r>
        <w:t xml:space="preserve"> </w:t>
      </w:r>
      <w:r>
        <w:rPr>
          <w:iCs/>
          <w:i/>
        </w:rPr>
        <w:t xml:space="preserve">The Lancet</w:t>
      </w:r>
      <w:r>
        <w:t xml:space="preserve">. 2015;386(9988):46–55.</w:t>
      </w:r>
      <w:r>
        <w:t xml:space="preserve"> </w:t>
      </w:r>
      <w:hyperlink r:id="rId5804">
        <w:r>
          <w:rPr>
            <w:rStyle w:val="Hyperlink"/>
          </w:rPr>
          <w:t xml:space="preserve">https://doi.org/10.1016/S0140-6736(15)60690-0</w:t>
        </w:r>
      </w:hyperlink>
      <w:r>
        <w:t xml:space="preserve">（研究类型：随机试验）</w:t>
      </w:r>
    </w:p>
    <w:p>
      <w:pPr>
        <w:pStyle w:val="ReferenceEntry"/>
      </w:pPr>
      <w:bookmarkStart w:id="5805" w:name="ref-1603"/>
      <w:r>
        <w:t xml:space="preserve">[1603]</w:t>
      </w:r>
      <w:bookmarkEnd w:id="5805"/>
      <w:r>
        <w:t xml:space="preserve"> Rodgers H, Bosomworth H, Krebs HI, van Wijck F, Howel D, Wilson N, et al. Robot assisted training for the upper limb after stroke RATULS a multicentre randomised controlled trial.</w:t>
      </w:r>
      <w:r>
        <w:t xml:space="preserve"> </w:t>
      </w:r>
      <w:r>
        <w:rPr>
          <w:iCs/>
          <w:i/>
        </w:rPr>
        <w:t xml:space="preserve">The Lancet</w:t>
      </w:r>
      <w:r>
        <w:t xml:space="preserve">. 2019;394(10192):51–62.</w:t>
      </w:r>
      <w:r>
        <w:t xml:space="preserve"> </w:t>
      </w:r>
      <w:hyperlink r:id="rId5806">
        <w:r>
          <w:rPr>
            <w:rStyle w:val="Hyperlink"/>
          </w:rPr>
          <w:t xml:space="preserve">https://doi.org/10.1016/S0140-6736(19)31055-4</w:t>
        </w:r>
      </w:hyperlink>
      <w:r>
        <w:t xml:space="preserve">（研究类型：三组随机实用试验）</w:t>
      </w:r>
    </w:p>
    <w:p>
      <w:pPr>
        <w:pStyle w:val="ReferenceEntry"/>
      </w:pPr>
      <w:bookmarkStart w:id="5807" w:name="ref-1604"/>
      <w:r>
        <w:t xml:space="preserve">[1604]</w:t>
      </w:r>
      <w:bookmarkEnd w:id="5807"/>
      <w:r>
        <w:t xml:space="preserve"> Dawson J, Liu CY, Francisco GE, Cramer SC, Wolf SL, Dixit A, et al. Vagus nerve stimulation paired with rehabilitation for upper limb motor function after ischaemic stroke VNS REHAB a randomised blinded pivotal device trial.</w:t>
      </w:r>
      <w:r>
        <w:t xml:space="preserve"> </w:t>
      </w:r>
      <w:r>
        <w:rPr>
          <w:iCs/>
          <w:i/>
        </w:rPr>
        <w:t xml:space="preserve">The Lancet</w:t>
      </w:r>
      <w:r>
        <w:t xml:space="preserve">. 2021;397(10284):1545–1553.</w:t>
      </w:r>
      <w:r>
        <w:t xml:space="preserve"> </w:t>
      </w:r>
      <w:hyperlink r:id="rId5808">
        <w:r>
          <w:rPr>
            <w:rStyle w:val="Hyperlink"/>
          </w:rPr>
          <w:t xml:space="preserve">https://doi.org/10.1016/S0140-6736(21)00475-X</w:t>
        </w:r>
      </w:hyperlink>
      <w:r>
        <w:t xml:space="preserve">（研究类型：随机盲法假刺激器械试验）</w:t>
      </w:r>
    </w:p>
    <w:p>
      <w:pPr>
        <w:pStyle w:val="ReferenceEntry"/>
      </w:pPr>
      <w:bookmarkStart w:id="5809" w:name="ref-1605"/>
      <w:r>
        <w:t xml:space="preserve">[1605]</w:t>
      </w:r>
      <w:bookmarkEnd w:id="5809"/>
      <w:r>
        <w:t xml:space="preserve"> Brady MC, Kelly H, Godwin J, Enderby P, Campbell P. Speech and language therapy for aphasia following stroke.</w:t>
      </w:r>
      <w:r>
        <w:t xml:space="preserve"> </w:t>
      </w:r>
      <w:r>
        <w:rPr>
          <w:iCs/>
          <w:i/>
        </w:rPr>
        <w:t xml:space="preserve">Cochrane Database of Systematic Reviews</w:t>
      </w:r>
      <w:r>
        <w:t xml:space="preserve">. 2016;2016(6).</w:t>
      </w:r>
      <w:r>
        <w:t xml:space="preserve"> </w:t>
      </w:r>
      <w:hyperlink r:id="rId5810">
        <w:r>
          <w:rPr>
            <w:rStyle w:val="Hyperlink"/>
          </w:rPr>
          <w:t xml:space="preserve">https://doi.org/10.1002/14651858.CD000425.pub4</w:t>
        </w:r>
      </w:hyperlink>
      <w:r>
        <w:t xml:space="preserve">（研究类型：Cochrane系统综述）</w:t>
      </w:r>
    </w:p>
    <w:p>
      <w:pPr>
        <w:pStyle w:val="ReferenceEntry"/>
      </w:pPr>
      <w:bookmarkStart w:id="5811" w:name="ref-1606"/>
      <w:r>
        <w:t xml:space="preserve">[1606]</w:t>
      </w:r>
      <w:bookmarkEnd w:id="5811"/>
      <w:r>
        <w:t xml:space="preserve"> Palmer R, Dimairo M, Cooper C, Enderby P, Brady M, Bowen A, et al. Self managed computerised speech and language therapy for patients with chronic aphasia post stroke compared with usual care or attention control Big CACTUS a multicentre single blinded randomised controlled trial.</w:t>
      </w:r>
      <w:r>
        <w:t xml:space="preserve"> </w:t>
      </w:r>
      <w:r>
        <w:rPr>
          <w:iCs/>
          <w:i/>
        </w:rPr>
        <w:t xml:space="preserve">The Lancet Neurology</w:t>
      </w:r>
      <w:r>
        <w:t xml:space="preserve">. 2019;18(9):821–833.</w:t>
      </w:r>
      <w:r>
        <w:t xml:space="preserve"> </w:t>
      </w:r>
      <w:hyperlink r:id="rId5812">
        <w:r>
          <w:rPr>
            <w:rStyle w:val="Hyperlink"/>
          </w:rPr>
          <w:t xml:space="preserve">https://doi.org/10.1016/S1474-4422(19)30192-9</w:t>
        </w:r>
      </w:hyperlink>
      <w:r>
        <w:t xml:space="preserve">（研究类型：三组随机试验）</w:t>
      </w:r>
    </w:p>
    <w:p>
      <w:pPr>
        <w:pStyle w:val="ReferenceEntry"/>
      </w:pPr>
      <w:bookmarkStart w:id="5813" w:name="ref-1607"/>
      <w:r>
        <w:t xml:space="preserve">[1607]</w:t>
      </w:r>
      <w:bookmarkEnd w:id="5813"/>
      <w:r>
        <w:t xml:space="preserve"> Togher L, Douglas J, Turkstra LS, Welch-West P, Janzen S, Harnett A, et al. INCOG 2.0 Guidelines for Cognitive Rehabilitation Following Traumatic Brain Injury Part IV Cognitive Communication and Social Cognition Disorders.</w:t>
      </w:r>
      <w:r>
        <w:t xml:space="preserve"> </w:t>
      </w:r>
      <w:r>
        <w:rPr>
          <w:iCs/>
          <w:i/>
        </w:rPr>
        <w:t xml:space="preserve">Journal of Head Trauma Rehabilitation</w:t>
      </w:r>
      <w:r>
        <w:t xml:space="preserve">. 2023;38(1):65–82.</w:t>
      </w:r>
      <w:r>
        <w:t xml:space="preserve"> </w:t>
      </w:r>
      <w:hyperlink r:id="rId5814">
        <w:r>
          <w:rPr>
            <w:rStyle w:val="Hyperlink"/>
          </w:rPr>
          <w:t xml:space="preserve">https://doi.org/10.1097/HTR.0000000000000835</w:t>
        </w:r>
      </w:hyperlink>
      <w:r>
        <w:t xml:space="preserve">（研究类型：证据及专家指南）</w:t>
      </w:r>
    </w:p>
    <w:p>
      <w:pPr>
        <w:pStyle w:val="ReferenceEntry"/>
      </w:pPr>
      <w:bookmarkStart w:id="5815" w:name="ref-1608"/>
      <w:r>
        <w:t xml:space="preserve">[1608]</w:t>
      </w:r>
      <w:bookmarkEnd w:id="5815"/>
      <w:r>
        <w:t xml:space="preserve"> Ponsford J, Velikonja D, Janzen S, Harnett A, McIntyre A, Wiseman-Hakes C, et al. INCOG 2.0 Guidelines for Cognitive Rehabilitation Following Traumatic Brain Injury Part II Attention and Information Processing Speed.</w:t>
      </w:r>
      <w:r>
        <w:t xml:space="preserve"> </w:t>
      </w:r>
      <w:r>
        <w:rPr>
          <w:iCs/>
          <w:i/>
        </w:rPr>
        <w:t xml:space="preserve">Journal of Head Trauma Rehabilitation</w:t>
      </w:r>
      <w:r>
        <w:t xml:space="preserve">. 2023;38(1):38–51.</w:t>
      </w:r>
      <w:r>
        <w:t xml:space="preserve"> </w:t>
      </w:r>
      <w:hyperlink r:id="rId5816">
        <w:r>
          <w:rPr>
            <w:rStyle w:val="Hyperlink"/>
          </w:rPr>
          <w:t xml:space="preserve">https://doi.org/10.1097/HTR.0000000000000839</w:t>
        </w:r>
      </w:hyperlink>
      <w:r>
        <w:t xml:space="preserve">（研究类型：证据及专家指南）</w:t>
      </w:r>
    </w:p>
    <w:p>
      <w:pPr>
        <w:pStyle w:val="ReferenceEntry"/>
      </w:pPr>
      <w:bookmarkStart w:id="5817" w:name="ref-1609"/>
      <w:r>
        <w:t xml:space="preserve">[1609]</w:t>
      </w:r>
      <w:bookmarkEnd w:id="5817"/>
      <w:r>
        <w:t xml:space="preserve"> Velikonja D, Ponsford J, Janzen S, Harnett A, Patsakos E, Kennedy M, et al. INCOG 2.0 Guidelines for Cognitive Rehabilitation Following Traumatic Brain Injury Part V Memory.</w:t>
      </w:r>
      <w:r>
        <w:t xml:space="preserve"> </w:t>
      </w:r>
      <w:r>
        <w:rPr>
          <w:iCs/>
          <w:i/>
        </w:rPr>
        <w:t xml:space="preserve">Journal of Head Trauma Rehabilitation</w:t>
      </w:r>
      <w:r>
        <w:t xml:space="preserve">. 2023;38(1):83–102.</w:t>
      </w:r>
      <w:r>
        <w:t xml:space="preserve"> </w:t>
      </w:r>
      <w:hyperlink r:id="rId5818">
        <w:r>
          <w:rPr>
            <w:rStyle w:val="Hyperlink"/>
          </w:rPr>
          <w:t xml:space="preserve">https://doi.org/10.1097/HTR.0000000000000837</w:t>
        </w:r>
      </w:hyperlink>
      <w:r>
        <w:t xml:space="preserve">（研究类型：证据及专家指南）</w:t>
      </w:r>
    </w:p>
    <w:p>
      <w:pPr>
        <w:pStyle w:val="ReferenceEntry"/>
      </w:pPr>
      <w:bookmarkStart w:id="5819" w:name="ref-1610"/>
      <w:r>
        <w:t xml:space="preserve">[1610]</w:t>
      </w:r>
      <w:bookmarkEnd w:id="5819"/>
      <w:r>
        <w:t xml:space="preserve"> Jeffay E, Ponsford J, Harnett A, Janzen S, Patsakos E, Douglas J, et al. INCOG 2.0 Guidelines for Cognitive Rehabilitation Following Traumatic Brain Injury Part III Executive Functions.</w:t>
      </w:r>
      <w:r>
        <w:t xml:space="preserve"> </w:t>
      </w:r>
      <w:r>
        <w:rPr>
          <w:iCs/>
          <w:i/>
        </w:rPr>
        <w:t xml:space="preserve">Journal of Head Trauma Rehabilitation</w:t>
      </w:r>
      <w:r>
        <w:t xml:space="preserve">. 2023;38(1):52–64.</w:t>
      </w:r>
      <w:r>
        <w:t xml:space="preserve"> </w:t>
      </w:r>
      <w:hyperlink r:id="rId5820">
        <w:r>
          <w:rPr>
            <w:rStyle w:val="Hyperlink"/>
          </w:rPr>
          <w:t xml:space="preserve">https://doi.org/10.1097/HTR.0000000000000834</w:t>
        </w:r>
      </w:hyperlink>
      <w:r>
        <w:t xml:space="preserve">（研究类型：证据及专家指南）</w:t>
      </w:r>
    </w:p>
    <w:p>
      <w:pPr>
        <w:pStyle w:val="ReferenceEntry"/>
      </w:pPr>
      <w:bookmarkStart w:id="5821" w:name="ref-1611"/>
      <w:r>
        <w:t xml:space="preserve">[1611]</w:t>
      </w:r>
      <w:bookmarkEnd w:id="5821"/>
      <w:r>
        <w:t xml:space="preserve"> Longley V, Hazelton C, Heal C, Pollock A, Woodward-Nutt K, Mitchell C, et al. Non pharmacological interventions for spatial neglect or inattention following stroke and other non progressive brain injury.</w:t>
      </w:r>
      <w:r>
        <w:t xml:space="preserve"> </w:t>
      </w:r>
      <w:r>
        <w:rPr>
          <w:iCs/>
          <w:i/>
        </w:rPr>
        <w:t xml:space="preserve">Cochrane Database of Systematic Reviews</w:t>
      </w:r>
      <w:r>
        <w:t xml:space="preserve">. 2021;2021(7).</w:t>
      </w:r>
      <w:r>
        <w:t xml:space="preserve"> </w:t>
      </w:r>
      <w:hyperlink r:id="rId5822">
        <w:r>
          <w:rPr>
            <w:rStyle w:val="Hyperlink"/>
          </w:rPr>
          <w:t xml:space="preserve">https://doi.org/10.1002/14651858.CD003586.pub4</w:t>
        </w:r>
      </w:hyperlink>
      <w:r>
        <w:t xml:space="preserve">（研究类型：Cochrane系统综述）</w:t>
      </w:r>
    </w:p>
    <w:p>
      <w:pPr>
        <w:pStyle w:val="ReferenceEntry"/>
      </w:pPr>
      <w:bookmarkStart w:id="5823" w:name="ref-1612"/>
      <w:r>
        <w:t xml:space="preserve">[1612]</w:t>
      </w:r>
      <w:bookmarkEnd w:id="5823"/>
      <w:r>
        <w:t xml:space="preserve"> American Speech Language Hearing Association. Adult Dysphagia Practice Portal. 2026.</w:t>
      </w:r>
      <w:r>
        <w:t xml:space="preserve"> </w:t>
      </w:r>
      <w:hyperlink r:id="rId5824">
        <w:r>
          <w:rPr>
            <w:rStyle w:val="Hyperlink"/>
          </w:rPr>
          <w:t xml:space="preserve">https://www.asha.org/practice-portal/clinical-topics/adult-dysphagia/</w:t>
        </w:r>
      </w:hyperlink>
      <w:r>
        <w:t xml:space="preserve">（研究类型：现行专业实践说明）</w:t>
      </w:r>
    </w:p>
    <w:p>
      <w:pPr>
        <w:pStyle w:val="ReferenceEntry"/>
      </w:pPr>
      <w:bookmarkStart w:id="5825" w:name="ref-1613"/>
      <w:r>
        <w:t xml:space="preserve">[1613]</w:t>
      </w:r>
      <w:bookmarkEnd w:id="5825"/>
      <w:r>
        <w:t xml:space="preserve"> Langhorne P, Baylan S, Early Supported Discharge Trialists. Early supported discharge services for people with acute stroke.</w:t>
      </w:r>
      <w:r>
        <w:t xml:space="preserve"> </w:t>
      </w:r>
      <w:r>
        <w:rPr>
          <w:iCs/>
          <w:i/>
        </w:rPr>
        <w:t xml:space="preserve">Cochrane Database of Systematic Reviews</w:t>
      </w:r>
      <w:r>
        <w:t xml:space="preserve">. 2017;2017(7).</w:t>
      </w:r>
      <w:r>
        <w:t xml:space="preserve"> </w:t>
      </w:r>
      <w:hyperlink r:id="rId5826">
        <w:r>
          <w:rPr>
            <w:rStyle w:val="Hyperlink"/>
          </w:rPr>
          <w:t xml:space="preserve">https://doi.org/10.1002/14651858.CD000443.pub4</w:t>
        </w:r>
      </w:hyperlink>
      <w:r>
        <w:t xml:space="preserve">（研究类型：Cochrane系统综述）</w:t>
      </w:r>
    </w:p>
    <w:p>
      <w:pPr>
        <w:pStyle w:val="ReferenceEntry"/>
      </w:pPr>
      <w:bookmarkStart w:id="5827" w:name="ref-1614"/>
      <w:r>
        <w:t xml:space="preserve">[1614]</w:t>
      </w:r>
      <w:bookmarkEnd w:id="5827"/>
      <w:r>
        <w:t xml:space="preserve"> Hope TMH, Friston K, Price CJ, Leff AP, Rotshtein P, Bowman H. Recovery after stroke: not so proportional after all?</w:t>
      </w:r>
      <w:r>
        <w:t xml:space="preserve"> </w:t>
      </w:r>
      <w:r>
        <w:rPr>
          <w:iCs/>
          <w:i/>
        </w:rPr>
        <w:t xml:space="preserve">Brain</w:t>
      </w:r>
      <w:r>
        <w:t xml:space="preserve">. 2019;142(1):15–22.</w:t>
      </w:r>
      <w:r>
        <w:t xml:space="preserve"> </w:t>
      </w:r>
      <w:hyperlink r:id="rId5828">
        <w:r>
          <w:rPr>
            <w:rStyle w:val="Hyperlink"/>
          </w:rPr>
          <w:t xml:space="preserve">https://doi.org/10.1093/brain/awy302</w:t>
        </w:r>
      </w:hyperlink>
      <w:r>
        <w:t xml:space="preserve">（研究类型：形式分析模拟与已有资料复核）</w:t>
      </w:r>
    </w:p>
    <w:p>
      <w:pPr>
        <w:pStyle w:val="ReferenceEntry"/>
      </w:pPr>
      <w:bookmarkStart w:id="5829" w:name="ref-1615"/>
      <w:r>
        <w:t xml:space="preserve">[1615]</w:t>
      </w:r>
      <w:bookmarkEnd w:id="5829"/>
      <w:r>
        <w:t xml:space="preserve"> Bodien YG, Allanson J, Cardone P, Bonhomme A, Carmona J, Chatelle C, et al. Cognitive Motor Dissociation in Disorders of Consciousness.</w:t>
      </w:r>
      <w:r>
        <w:t xml:space="preserve"> </w:t>
      </w:r>
      <w:r>
        <w:rPr>
          <w:iCs/>
          <w:i/>
        </w:rPr>
        <w:t xml:space="preserve">New England Journal of Medicine</w:t>
      </w:r>
      <w:r>
        <w:t xml:space="preserve">. 2024;391(7):598–608.</w:t>
      </w:r>
      <w:r>
        <w:t xml:space="preserve"> </w:t>
      </w:r>
      <w:hyperlink r:id="rId5830">
        <w:r>
          <w:rPr>
            <w:rStyle w:val="Hyperlink"/>
          </w:rPr>
          <w:t xml:space="preserve">https://doi.org/10.1056/NEJMoa2400645</w:t>
        </w:r>
      </w:hyperlink>
      <w:r>
        <w:t xml:space="preserve">（研究类型：353人六中心前瞻队列）</w:t>
      </w:r>
    </w:p>
    <w:p>
      <w:pPr>
        <w:pStyle w:val="ReferenceEntry"/>
      </w:pPr>
      <w:bookmarkStart w:id="5831" w:name="ref-1616"/>
      <w:r>
        <w:t xml:space="preserve">[1616]</w:t>
      </w:r>
      <w:bookmarkEnd w:id="5831"/>
      <w:r>
        <w:t xml:space="preserve"> Albantakis L, Barbosa L, Findlay G, Grasso M, Haun AM, Marshall W, et al. Integrated information theory (IIT) 4.0: Formulating the properties of phenomenal existence in physical terms.</w:t>
      </w:r>
      <w:r>
        <w:t xml:space="preserve"> </w:t>
      </w:r>
      <w:r>
        <w:rPr>
          <w:iCs/>
          <w:i/>
        </w:rPr>
        <w:t xml:space="preserve">PLOS Computational Biology</w:t>
      </w:r>
      <w:r>
        <w:t xml:space="preserve">. 2023;19(10):e1011465.</w:t>
      </w:r>
      <w:r>
        <w:t xml:space="preserve"> </w:t>
      </w:r>
      <w:hyperlink r:id="rId5832">
        <w:r>
          <w:rPr>
            <w:rStyle w:val="Hyperlink"/>
          </w:rPr>
          <w:t xml:space="preserve">https://doi.org/10.1371/journal.pcbi.1011465</w:t>
        </w:r>
      </w:hyperlink>
      <w:r>
        <w:t xml:space="preserve">（研究类型：理论形式化）</w:t>
      </w:r>
    </w:p>
    <w:p>
      <w:pPr>
        <w:pStyle w:val="ReferenceEntry"/>
      </w:pPr>
      <w:bookmarkStart w:id="5833" w:name="ref-1617"/>
      <w:r>
        <w:t xml:space="preserve">[1617]</w:t>
      </w:r>
      <w:bookmarkEnd w:id="5833"/>
      <w:r>
        <w:t xml:space="preserve"> Tsuchiya N, Wilke M, Frässle S, Lamme VAF. No-Report Paradigms: Extracting the True Neural Correlates of Consciousness.</w:t>
      </w:r>
      <w:r>
        <w:t xml:space="preserve"> </w:t>
      </w:r>
      <w:r>
        <w:rPr>
          <w:iCs/>
          <w:i/>
        </w:rPr>
        <w:t xml:space="preserve">Trends in Cognitive Sciences</w:t>
      </w:r>
      <w:r>
        <w:t xml:space="preserve">. 2015;19(12):757–770.</w:t>
      </w:r>
      <w:r>
        <w:t xml:space="preserve"> </w:t>
      </w:r>
      <w:hyperlink r:id="rId5834">
        <w:r>
          <w:rPr>
            <w:rStyle w:val="Hyperlink"/>
          </w:rPr>
          <w:t xml:space="preserve">https://doi.org/10.1016/j.tics.2015.10.002</w:t>
        </w:r>
      </w:hyperlink>
      <w:r>
        <w:t xml:space="preserve">（研究类型：方法与理论）</w:t>
      </w:r>
    </w:p>
    <w:p>
      <w:pPr>
        <w:pStyle w:val="ReferenceEntry"/>
      </w:pPr>
      <w:bookmarkStart w:id="5835" w:name="ref-1618"/>
      <w:r>
        <w:t xml:space="preserve">[1618]</w:t>
      </w:r>
      <w:bookmarkEnd w:id="5835"/>
      <w:r>
        <w:t xml:space="preserve"> Giacino JT, Katz DI, Schiff ND, Whyte J, Ashman EJ, Ashwal S, et al. Practice guideline update recommendations summary: Disorders of consciousness: Report of the Guideline Development, Dissemination, and Implementation Subcommittee of the American Academy of Neurology; the American Congress of Rehabilitation Medicine; and the National Institute on Disability, Independent Living, and Rehabilitation Research.</w:t>
      </w:r>
      <w:r>
        <w:t xml:space="preserve"> </w:t>
      </w:r>
      <w:r>
        <w:rPr>
          <w:iCs/>
          <w:i/>
        </w:rPr>
        <w:t xml:space="preserve">Neurology</w:t>
      </w:r>
      <w:r>
        <w:t xml:space="preserve">. 2018;91(10):450–460.</w:t>
      </w:r>
      <w:r>
        <w:t xml:space="preserve"> </w:t>
      </w:r>
      <w:hyperlink r:id="rId5836">
        <w:r>
          <w:rPr>
            <w:rStyle w:val="Hyperlink"/>
          </w:rPr>
          <w:t xml:space="preserve">https://doi.org/10.1212/WNL.0000000000005926</w:t>
        </w:r>
      </w:hyperlink>
      <w:r>
        <w:t xml:space="preserve">（研究类型：多学会临床指南）</w:t>
      </w:r>
    </w:p>
    <w:p>
      <w:pPr>
        <w:pStyle w:val="ReferenceEntry"/>
      </w:pPr>
      <w:bookmarkStart w:id="5837" w:name="ref-1619"/>
      <w:r>
        <w:t xml:space="preserve">[1619]</w:t>
      </w:r>
      <w:bookmarkEnd w:id="5837"/>
      <w:r>
        <w:t xml:space="preserve"> Casali AG, Gosseries O, Rosanova M, Boly M, Sarasso S, Casali KR, et al. A theoretically based index of consciousness independent of sensory processing and behavior.</w:t>
      </w:r>
      <w:r>
        <w:t xml:space="preserve"> </w:t>
      </w:r>
      <w:r>
        <w:rPr>
          <w:iCs/>
          <w:i/>
        </w:rPr>
        <w:t xml:space="preserve">Science Translational Medicine</w:t>
      </w:r>
      <w:r>
        <w:t xml:space="preserve">. 2013;5(198).</w:t>
      </w:r>
      <w:r>
        <w:t xml:space="preserve"> </w:t>
      </w:r>
      <w:hyperlink r:id="rId5838">
        <w:r>
          <w:rPr>
            <w:rStyle w:val="Hyperlink"/>
          </w:rPr>
          <w:t xml:space="preserve">https://doi.org/10.1126/scitranslmed.3006294</w:t>
        </w:r>
      </w:hyperlink>
      <w:r>
        <w:t xml:space="preserve">（研究类型：扰动与状态验证研究）</w:t>
      </w:r>
    </w:p>
    <w:p>
      <w:pPr>
        <w:pStyle w:val="ReferenceEntry"/>
      </w:pPr>
      <w:bookmarkStart w:id="5839" w:name="ref-1620"/>
      <w:r>
        <w:t xml:space="preserve">[1620]</w:t>
      </w:r>
      <w:bookmarkEnd w:id="5839"/>
      <w:r>
        <w:t xml:space="preserve"> Greer DM, Kirschen MP, Lewis A, Gronseth GS, Rae-Grant A, Ashwal S, et al. Pediatric and Adult Brain Death/Death by Neurologic Criteria Consensus Guideline: Report of the AAN Guidelines Subcommittee, AAP, CNS, and SCCM.</w:t>
      </w:r>
      <w:r>
        <w:t xml:space="preserve"> </w:t>
      </w:r>
      <w:r>
        <w:rPr>
          <w:iCs/>
          <w:i/>
        </w:rPr>
        <w:t xml:space="preserve">Neurology</w:t>
      </w:r>
      <w:r>
        <w:t xml:space="preserve">. 2023;101(24):1112–1132.</w:t>
      </w:r>
      <w:r>
        <w:t xml:space="preserve"> </w:t>
      </w:r>
      <w:hyperlink r:id="rId5840">
        <w:r>
          <w:rPr>
            <w:rStyle w:val="Hyperlink"/>
          </w:rPr>
          <w:t xml:space="preserve">https://doi.org/10.1212/WNL.0000000000207740</w:t>
        </w:r>
      </w:hyperlink>
      <w:r>
        <w:t xml:space="preserve">（更正见</w:t>
      </w:r>
      <w:r>
        <w:t xml:space="preserve"> </w:t>
      </w:r>
      <w:r>
        <w:rPr>
          <w:iCs/>
          <w:i/>
        </w:rPr>
        <w:t xml:space="preserve">Neurology</w:t>
      </w:r>
      <w:r>
        <w:t xml:space="preserve">. 2024;102(3):e208108.</w:t>
      </w:r>
      <w:r>
        <w:t xml:space="preserve"> </w:t>
      </w:r>
      <w:hyperlink r:id="rId5841">
        <w:r>
          <w:rPr>
            <w:rStyle w:val="Hyperlink"/>
          </w:rPr>
          <w:t xml:space="preserve">https://doi.org/10.1212/WNL.0000000000208108</w:t>
        </w:r>
      </w:hyperlink>
      <w:r>
        <w:t xml:space="preserve">）（研究类型：美国多学会共识指南）</w:t>
      </w:r>
    </w:p>
    <w:p>
      <w:pPr>
        <w:pStyle w:val="ReferenceEntry"/>
      </w:pPr>
      <w:bookmarkStart w:id="5842" w:name="ref-1621"/>
      <w:r>
        <w:t xml:space="preserve">[1621]</w:t>
      </w:r>
      <w:bookmarkEnd w:id="5842"/>
      <w:r>
        <w:t xml:space="preserve"> Kriegeskorte N, Mur M, Bandettini P. Representational similarity analysis – connecting the branches of systems neuroscience.</w:t>
      </w:r>
      <w:r>
        <w:t xml:space="preserve"> </w:t>
      </w:r>
      <w:r>
        <w:rPr>
          <w:iCs/>
          <w:i/>
        </w:rPr>
        <w:t xml:space="preserve">Frontiers in Systems Neuroscience</w:t>
      </w:r>
      <w:r>
        <w:t xml:space="preserve">. 2008;2:4.</w:t>
      </w:r>
      <w:r>
        <w:t xml:space="preserve"> </w:t>
      </w:r>
      <w:hyperlink r:id="rId5843">
        <w:r>
          <w:rPr>
            <w:rStyle w:val="Hyperlink"/>
          </w:rPr>
          <w:t xml:space="preserve">https://doi.org/10.3389/neuro.06.004.2008</w:t>
        </w:r>
      </w:hyperlink>
      <w:r>
        <w:t xml:space="preserve">（研究类型：表征比较方法与实证示例）</w:t>
      </w:r>
    </w:p>
    <w:p>
      <w:pPr>
        <w:pStyle w:val="ReferenceEntry"/>
      </w:pPr>
      <w:bookmarkStart w:id="5844" w:name="ref-1622"/>
      <w:r>
        <w:t xml:space="preserve">[1622]</w:t>
      </w:r>
      <w:bookmarkEnd w:id="5844"/>
      <w:r>
        <w:t xml:space="preserve"> Diedrichsen J, Kriegeskorte N. Representational models: A common framework for understanding encoding, pattern-component, and representational-similarity analysis.</w:t>
      </w:r>
      <w:r>
        <w:t xml:space="preserve"> </w:t>
      </w:r>
      <w:r>
        <w:rPr>
          <w:iCs/>
          <w:i/>
        </w:rPr>
        <w:t xml:space="preserve">PLOS Computational Biology</w:t>
      </w:r>
      <w:r>
        <w:t xml:space="preserve">. 2017;13(4):e1005508.</w:t>
      </w:r>
      <w:r>
        <w:t xml:space="preserve"> </w:t>
      </w:r>
      <w:hyperlink r:id="rId5845">
        <w:r>
          <w:rPr>
            <w:rStyle w:val="Hyperlink"/>
          </w:rPr>
          <w:t xml:space="preserve">https://doi.org/10.1371/journal.pcbi.1005508</w:t>
        </w:r>
      </w:hyperlink>
      <w:r>
        <w:t xml:space="preserve">（研究类型：方法理论与模拟比较）</w:t>
      </w:r>
    </w:p>
    <w:p>
      <w:pPr>
        <w:pStyle w:val="ReferenceEntry"/>
      </w:pPr>
      <w:bookmarkStart w:id="5846" w:name="ref-1623"/>
      <w:r>
        <w:t xml:space="preserve">[1623]</w:t>
      </w:r>
      <w:bookmarkEnd w:id="5846"/>
      <w:r>
        <w:t xml:space="preserve"> Shannon CE. A Mathematical Theory of Communication.</w:t>
      </w:r>
      <w:r>
        <w:t xml:space="preserve"> </w:t>
      </w:r>
      <w:r>
        <w:rPr>
          <w:iCs/>
          <w:i/>
        </w:rPr>
        <w:t xml:space="preserve">Bell System Technical Journal</w:t>
      </w:r>
      <w:r>
        <w:t xml:space="preserve">. 1948;27(3):379–423.</w:t>
      </w:r>
      <w:r>
        <w:t xml:space="preserve"> </w:t>
      </w:r>
      <w:hyperlink r:id="rId5847">
        <w:r>
          <w:rPr>
            <w:rStyle w:val="Hyperlink"/>
          </w:rPr>
          <w:t xml:space="preserve">https://doi.org/10.1002/j.1538-7305.1948.tb01338.x</w:t>
        </w:r>
      </w:hyperlink>
      <w:r>
        <w:t xml:space="preserve">（研究类型：信息论原始理论）</w:t>
      </w:r>
    </w:p>
    <w:p>
      <w:pPr>
        <w:pStyle w:val="ReferenceEntry"/>
      </w:pPr>
      <w:bookmarkStart w:id="5848" w:name="ref-1624"/>
      <w:r>
        <w:t xml:space="preserve">[1624]</w:t>
      </w:r>
      <w:bookmarkEnd w:id="5848"/>
      <w:r>
        <w:t xml:space="preserve"> Seung HS, Sompolinsky H. Simple models for reading neuronal population codes.</w:t>
      </w:r>
      <w:r>
        <w:t xml:space="preserve"> </w:t>
      </w:r>
      <w:r>
        <w:rPr>
          <w:iCs/>
          <w:i/>
        </w:rPr>
        <w:t xml:space="preserve">Proceedings of the National Academy of Sciences</w:t>
      </w:r>
      <w:r>
        <w:t xml:space="preserve">. 1993;90(22):10749–10753.</w:t>
      </w:r>
      <w:r>
        <w:t xml:space="preserve"> </w:t>
      </w:r>
      <w:hyperlink r:id="rId5849">
        <w:r>
          <w:rPr>
            <w:rStyle w:val="Hyperlink"/>
          </w:rPr>
          <w:t xml:space="preserve">https://doi.org/10.1073/pnas.90.22.10749</w:t>
        </w:r>
      </w:hyperlink>
      <w:r>
        <w:t xml:space="preserve">（研究类型：群体编码理论模型）</w:t>
      </w:r>
    </w:p>
    <w:p>
      <w:pPr>
        <w:pStyle w:val="ReferenceEntry"/>
      </w:pPr>
      <w:bookmarkStart w:id="5850" w:name="ref-1625"/>
      <w:r>
        <w:t xml:space="preserve">[1625]</w:t>
      </w:r>
      <w:bookmarkEnd w:id="5850"/>
      <w:r>
        <w:t xml:space="preserve"> Georgopoulos AP, Schwartz AB, Kettner RE. Neuronal population coding of movement direction.</w:t>
      </w:r>
      <w:r>
        <w:t xml:space="preserve"> </w:t>
      </w:r>
      <w:r>
        <w:rPr>
          <w:iCs/>
          <w:i/>
        </w:rPr>
        <w:t xml:space="preserve">Science</w:t>
      </w:r>
      <w:r>
        <w:t xml:space="preserve">. 1986;233(4771):1416–1419.</w:t>
      </w:r>
      <w:r>
        <w:t xml:space="preserve"> </w:t>
      </w:r>
      <w:hyperlink r:id="rId5851">
        <w:r>
          <w:rPr>
            <w:rStyle w:val="Hyperlink"/>
          </w:rPr>
          <w:t xml:space="preserve">https://doi.org/10.1126/science.3749885</w:t>
        </w:r>
      </w:hyperlink>
      <w:r>
        <w:t xml:space="preserve">（研究类型：运动皮层群体编码实验）</w:t>
      </w:r>
    </w:p>
    <w:p>
      <w:pPr>
        <w:pStyle w:val="ReferenceEntry"/>
      </w:pPr>
      <w:bookmarkStart w:id="5852" w:name="ref-1626"/>
      <w:r>
        <w:t xml:space="preserve">[1626]</w:t>
      </w:r>
      <w:bookmarkEnd w:id="5852"/>
      <w:r>
        <w:t xml:space="preserve"> Moreno-Bote R, Beck J, Kanitscheider I, Pitkow X, Latham P, Pouget A. Information-limiting correlations.</w:t>
      </w:r>
      <w:r>
        <w:t xml:space="preserve"> </w:t>
      </w:r>
      <w:r>
        <w:rPr>
          <w:iCs/>
          <w:i/>
        </w:rPr>
        <w:t xml:space="preserve">Nature Neuroscience</w:t>
      </w:r>
      <w:r>
        <w:t xml:space="preserve">. 2014;17(10):1410–1417.</w:t>
      </w:r>
      <w:r>
        <w:t xml:space="preserve"> </w:t>
      </w:r>
      <w:hyperlink r:id="rId5853">
        <w:r>
          <w:rPr>
            <w:rStyle w:val="Hyperlink"/>
          </w:rPr>
          <w:t xml:space="preserve">https://doi.org/10.1038/nn.3807</w:t>
        </w:r>
      </w:hyperlink>
      <w:r>
        <w:t xml:space="preserve">（研究类型：理论推导与神经网络模拟）</w:t>
      </w:r>
    </w:p>
    <w:p>
      <w:pPr>
        <w:pStyle w:val="ReferenceEntry"/>
      </w:pPr>
      <w:bookmarkStart w:id="5854" w:name="ref-1627"/>
      <w:r>
        <w:t xml:space="preserve">[1627]</w:t>
      </w:r>
      <w:bookmarkEnd w:id="5854"/>
      <w:r>
        <w:t xml:space="preserve"> Rigotti M, Barak O, Warden MR, Wang XJ, Daw ND, Miller EK, et al. The importance of mixed selectivity in complex cognitive tasks.</w:t>
      </w:r>
      <w:r>
        <w:t xml:space="preserve"> </w:t>
      </w:r>
      <w:r>
        <w:rPr>
          <w:iCs/>
          <w:i/>
        </w:rPr>
        <w:t xml:space="preserve">Nature</w:t>
      </w:r>
      <w:r>
        <w:t xml:space="preserve">. 2013;497(7451):585–590.</w:t>
      </w:r>
      <w:r>
        <w:t xml:space="preserve"> </w:t>
      </w:r>
      <w:hyperlink r:id="rId5855">
        <w:r>
          <w:rPr>
            <w:rStyle w:val="Hyperlink"/>
          </w:rPr>
          <w:t xml:space="preserve">https://doi.org/10.1038/nature12160</w:t>
        </w:r>
      </w:hyperlink>
      <w:r>
        <w:t xml:space="preserve">（研究类型：两只猴记录与群体理论分析）</w:t>
      </w:r>
    </w:p>
    <w:p>
      <w:pPr>
        <w:pStyle w:val="ReferenceEntry"/>
      </w:pPr>
      <w:bookmarkStart w:id="5856" w:name="ref-1628"/>
      <w:r>
        <w:t xml:space="preserve">[1628]</w:t>
      </w:r>
      <w:bookmarkEnd w:id="5856"/>
      <w:r>
        <w:t xml:space="preserve"> Churchland MM, Cunningham JP, Kaufman MT, Foster JD, Nuyujukian P, Ryu SI, et al. Neural population dynamics during reaching.</w:t>
      </w:r>
      <w:r>
        <w:t xml:space="preserve"> </w:t>
      </w:r>
      <w:r>
        <w:rPr>
          <w:iCs/>
          <w:i/>
        </w:rPr>
        <w:t xml:space="preserve">Nature</w:t>
      </w:r>
      <w:r>
        <w:t xml:space="preserve">. 2012;487(7405):51–56.</w:t>
      </w:r>
      <w:r>
        <w:t xml:space="preserve"> </w:t>
      </w:r>
      <w:hyperlink r:id="rId5857">
        <w:r>
          <w:rPr>
            <w:rStyle w:val="Hyperlink"/>
          </w:rPr>
          <w:t xml:space="preserve">https://doi.org/10.1038/nature11129</w:t>
        </w:r>
      </w:hyperlink>
      <w:r>
        <w:t xml:space="preserve">（研究类型：四只猴的群体动态记录与模型）</w:t>
      </w:r>
    </w:p>
    <w:p>
      <w:pPr>
        <w:pStyle w:val="ReferenceEntry"/>
      </w:pPr>
      <w:bookmarkStart w:id="5858" w:name="ref-1629"/>
      <w:r>
        <w:t xml:space="preserve">[1629]</w:t>
      </w:r>
      <w:bookmarkEnd w:id="5858"/>
      <w:r>
        <w:t xml:space="preserve"> Mante V, Sussillo D, Shenoy KV, Newsome WT. Context-dependent computation by recurrent dynamics in prefrontal cortex.</w:t>
      </w:r>
      <w:r>
        <w:t xml:space="preserve"> </w:t>
      </w:r>
      <w:r>
        <w:rPr>
          <w:iCs/>
          <w:i/>
        </w:rPr>
        <w:t xml:space="preserve">Nature</w:t>
      </w:r>
      <w:r>
        <w:t xml:space="preserve">. 2013;503(7474):78–84.</w:t>
      </w:r>
      <w:r>
        <w:t xml:space="preserve"> </w:t>
      </w:r>
      <w:hyperlink r:id="rId5859">
        <w:r>
          <w:rPr>
            <w:rStyle w:val="Hyperlink"/>
          </w:rPr>
          <w:t xml:space="preserve">https://doi.org/10.1038/nature12742</w:t>
        </w:r>
      </w:hyperlink>
      <w:r>
        <w:t xml:space="preserve">（研究类型：两只猕猴任务记录与递归网络建模）</w:t>
      </w:r>
    </w:p>
    <w:p>
      <w:pPr>
        <w:pStyle w:val="ReferenceEntry"/>
      </w:pPr>
      <w:bookmarkStart w:id="5860" w:name="ref-1630"/>
      <w:r>
        <w:t xml:space="preserve">[1630]</w:t>
      </w:r>
      <w:bookmarkEnd w:id="5860"/>
      <w:r>
        <w:t xml:space="preserve"> Stringer C, Pachitariu M, Steinmetz N, Reddy CB, Carandini M, Harris KD. Spontaneous behaviors drive multidimensional, brainwide activity.</w:t>
      </w:r>
      <w:r>
        <w:t xml:space="preserve"> </w:t>
      </w:r>
      <w:r>
        <w:rPr>
          <w:iCs/>
          <w:i/>
        </w:rPr>
        <w:t xml:space="preserve">Science</w:t>
      </w:r>
      <w:r>
        <w:t xml:space="preserve">. 2019;364(6437):eaav7893.</w:t>
      </w:r>
      <w:r>
        <w:t xml:space="preserve"> </w:t>
      </w:r>
      <w:hyperlink r:id="rId5861">
        <w:r>
          <w:rPr>
            <w:rStyle w:val="Hyperlink"/>
          </w:rPr>
          <w:t xml:space="preserve">https://doi.org/10.1126/science.aav7893</w:t>
        </w:r>
      </w:hyperlink>
      <w:r>
        <w:t xml:space="preserve">（研究类型：小鼠钙成像与多脑区电生理）</w:t>
      </w:r>
    </w:p>
    <w:p>
      <w:pPr>
        <w:pStyle w:val="ReferenceEntry"/>
      </w:pPr>
      <w:bookmarkStart w:id="5862" w:name="ref-1631"/>
      <w:r>
        <w:t xml:space="preserve">[1631]</w:t>
      </w:r>
      <w:bookmarkEnd w:id="5862"/>
      <w:r>
        <w:t xml:space="preserve"> Pandarinath C, O’Shea DJ, Collins J, Jozefowicz R, Stavisky SD, Kao JC, et al. Inferring single-trial neural population dynamics using sequential auto-encoders.</w:t>
      </w:r>
      <w:r>
        <w:t xml:space="preserve"> </w:t>
      </w:r>
      <w:r>
        <w:rPr>
          <w:iCs/>
          <w:i/>
        </w:rPr>
        <w:t xml:space="preserve">Nature Methods</w:t>
      </w:r>
      <w:r>
        <w:t xml:space="preserve">. 2018;15(10):805–815.</w:t>
      </w:r>
      <w:r>
        <w:t xml:space="preserve"> </w:t>
      </w:r>
      <w:hyperlink r:id="rId5863">
        <w:r>
          <w:rPr>
            <w:rStyle w:val="Hyperlink"/>
          </w:rPr>
          <w:t xml:space="preserve">https://doi.org/10.1038/s41592-018-0109-9</w:t>
        </w:r>
      </w:hyperlink>
      <w:r>
        <w:t xml:space="preserve">（研究类型：序列自编码动态模型与记录验证）</w:t>
      </w:r>
    </w:p>
    <w:p>
      <w:pPr>
        <w:pStyle w:val="ReferenceEntry"/>
      </w:pPr>
      <w:bookmarkStart w:id="5864" w:name="ref-1632"/>
      <w:r>
        <w:t xml:space="preserve">[1632]</w:t>
      </w:r>
      <w:bookmarkEnd w:id="5864"/>
      <w:r>
        <w:t xml:space="preserve"> Yamins DLK, Hong H, Cadieu CF, Solomon EA, Seibert D, DiCarlo JJ. Performance-optimized hierarchical models predict neural responses in higher visual cortex.</w:t>
      </w:r>
      <w:r>
        <w:t xml:space="preserve"> </w:t>
      </w:r>
      <w:r>
        <w:rPr>
          <w:iCs/>
          <w:i/>
        </w:rPr>
        <w:t xml:space="preserve">Proceedings of the National Academy of Sciences</w:t>
      </w:r>
      <w:r>
        <w:t xml:space="preserve">. 2014;111(23):8619–8624.</w:t>
      </w:r>
      <w:r>
        <w:t xml:space="preserve"> </w:t>
      </w:r>
      <w:hyperlink r:id="rId5865">
        <w:r>
          <w:rPr>
            <w:rStyle w:val="Hyperlink"/>
          </w:rPr>
          <w:t xml:space="preserve">https://doi.org/10.1073/pnas.1403112111</w:t>
        </w:r>
      </w:hyperlink>
      <w:r>
        <w:t xml:space="preserve">（研究类型：计算模型与灵长类神经预测）</w:t>
      </w:r>
    </w:p>
    <w:p>
      <w:pPr>
        <w:pStyle w:val="ReferenceEntry"/>
      </w:pPr>
      <w:bookmarkStart w:id="5866" w:name="ref-1633"/>
      <w:r>
        <w:t xml:space="preserve">[1633]</w:t>
      </w:r>
      <w:bookmarkEnd w:id="5866"/>
      <w:r>
        <w:t xml:space="preserve"> Saxe A, Nelli S, Summerfield C. If deep learning is the answer, what is the question?.</w:t>
      </w:r>
      <w:r>
        <w:t xml:space="preserve"> </w:t>
      </w:r>
      <w:r>
        <w:rPr>
          <w:iCs/>
          <w:i/>
        </w:rPr>
        <w:t xml:space="preserve">Nature Reviews Neuroscience</w:t>
      </w:r>
      <w:r>
        <w:t xml:space="preserve">. 2021;22(1):55–67.</w:t>
      </w:r>
      <w:r>
        <w:t xml:space="preserve"> </w:t>
      </w:r>
      <w:hyperlink r:id="rId5867">
        <w:r>
          <w:rPr>
            <w:rStyle w:val="Hyperlink"/>
          </w:rPr>
          <w:t xml:space="preserve">https://doi.org/10.1038/s41583-020-00395-8</w:t>
        </w:r>
      </w:hyperlink>
      <w:r>
        <w:t xml:space="preserve">（研究类型：理论方法综述）</w:t>
      </w:r>
    </w:p>
    <w:p>
      <w:pPr>
        <w:pStyle w:val="ReferenceEntry"/>
      </w:pPr>
      <w:bookmarkStart w:id="5868" w:name="ref-1634"/>
      <w:r>
        <w:t xml:space="preserve">[1634]</w:t>
      </w:r>
      <w:bookmarkEnd w:id="5868"/>
      <w:r>
        <w:t xml:space="preserve"> Wilson RC, Collins AG. Ten simple rules for the computational modeling of behavioral data.</w:t>
      </w:r>
      <w:r>
        <w:t xml:space="preserve"> </w:t>
      </w:r>
      <w:r>
        <w:rPr>
          <w:iCs/>
          <w:i/>
        </w:rPr>
        <w:t xml:space="preserve">eLife</w:t>
      </w:r>
      <w:r>
        <w:t xml:space="preserve">. 2019;8:e49547.</w:t>
      </w:r>
      <w:r>
        <w:t xml:space="preserve"> </w:t>
      </w:r>
      <w:hyperlink r:id="rId5869">
        <w:r>
          <w:rPr>
            <w:rStyle w:val="Hyperlink"/>
          </w:rPr>
          <w:t xml:space="preserve">https://doi.org/10.7554/eLife.49547</w:t>
        </w:r>
      </w:hyperlink>
      <w:r>
        <w:t xml:space="preserve">（研究类型：建模方法与模拟演示）</w:t>
      </w:r>
    </w:p>
    <w:p>
      <w:pPr>
        <w:pStyle w:val="ReferenceEntry"/>
      </w:pPr>
      <w:bookmarkStart w:id="5870" w:name="ref-1635"/>
      <w:r>
        <w:t xml:space="preserve">[1635]</w:t>
      </w:r>
      <w:bookmarkEnd w:id="5870"/>
      <w:r>
        <w:t xml:space="preserve"> Hess AJ, Iglesias S, Köchli L, Marino S, Müller-Schrader M, Rigoux L, et al. Bayesian Workflow for Generative Modeling in Computational Psychiatry.</w:t>
      </w:r>
      <w:r>
        <w:t xml:space="preserve"> </w:t>
      </w:r>
      <w:r>
        <w:rPr>
          <w:iCs/>
          <w:i/>
        </w:rPr>
        <w:t xml:space="preserve">Computational Psychiatry</w:t>
      </w:r>
      <w:r>
        <w:t xml:space="preserve">. 2025;9(1):76–99.</w:t>
      </w:r>
      <w:r>
        <w:t xml:space="preserve"> </w:t>
      </w:r>
      <w:hyperlink r:id="rId5871">
        <w:r>
          <w:rPr>
            <w:rStyle w:val="Hyperlink"/>
          </w:rPr>
          <w:t xml:space="preserve">https://doi.org/10.5334/cpsy.116</w:t>
        </w:r>
      </w:hyperlink>
      <w:r>
        <w:t xml:space="preserve">（研究类型：模拟与奖励学习任务方法验证）</w:t>
      </w:r>
    </w:p>
    <w:p>
      <w:pPr>
        <w:pStyle w:val="ReferenceEntry"/>
      </w:pPr>
      <w:bookmarkStart w:id="5872" w:name="ref-1636"/>
      <w:r>
        <w:t xml:space="preserve">[1636]</w:t>
      </w:r>
      <w:bookmarkEnd w:id="5872"/>
      <w:r>
        <w:t xml:space="preserve"> Pike AC, Board R, Travers E, Croal M, Lam YC, Valton V, et al. The recoverability, reliability, and generalizability of reward processing parameters and relation to mental health symptoms.</w:t>
      </w:r>
      <w:r>
        <w:t xml:space="preserve"> </w:t>
      </w:r>
      <w:r>
        <w:rPr>
          <w:iCs/>
          <w:i/>
        </w:rPr>
        <w:t xml:space="preserve">Psychological Medicine</w:t>
      </w:r>
      <w:r>
        <w:t xml:space="preserve">. 2026;56:e238.</w:t>
      </w:r>
      <w:r>
        <w:t xml:space="preserve"> </w:t>
      </w:r>
      <w:hyperlink r:id="rId5873">
        <w:r>
          <w:rPr>
            <w:rStyle w:val="Hyperlink"/>
          </w:rPr>
          <w:t xml:space="preserve">https://doi.org/10.1017/S0033291726105340</w:t>
        </w:r>
      </w:hyperlink>
      <w:r>
        <w:t xml:space="preserve">（更正见</w:t>
      </w:r>
      <w:r>
        <w:t xml:space="preserve"> </w:t>
      </w:r>
      <w:r>
        <w:rPr>
          <w:iCs/>
          <w:i/>
        </w:rPr>
        <w:t xml:space="preserve">Psychological Medicine</w:t>
      </w:r>
      <w:r>
        <w:t xml:space="preserve">. 2026;56:e303.</w:t>
      </w:r>
      <w:r>
        <w:t xml:space="preserve"> </w:t>
      </w:r>
      <w:hyperlink r:id="rId5874">
        <w:r>
          <w:rPr>
            <w:rStyle w:val="Hyperlink"/>
          </w:rPr>
          <w:t xml:space="preserve">https://doi.org/10.1017/S0033291726105960</w:t>
        </w:r>
      </w:hyperlink>
      <w:r>
        <w:t xml:space="preserve">）（研究类型：548人网络样本及115人两周重测）</w:t>
      </w:r>
    </w:p>
    <w:p>
      <w:pPr>
        <w:pStyle w:val="ReferenceEntry"/>
      </w:pPr>
      <w:bookmarkStart w:id="5875" w:name="ref-1637"/>
      <w:r>
        <w:t xml:space="preserve">[1637]</w:t>
      </w:r>
      <w:bookmarkEnd w:id="5875"/>
      <w:r>
        <w:t xml:space="preserve"> Palminteri S, Wyart V, Koechlin E. The Importance of Falsification in Computational Cognitive Modeling.</w:t>
      </w:r>
      <w:r>
        <w:t xml:space="preserve"> </w:t>
      </w:r>
      <w:r>
        <w:rPr>
          <w:iCs/>
          <w:i/>
        </w:rPr>
        <w:t xml:space="preserve">Trends in Cognitive Sciences</w:t>
      </w:r>
      <w:r>
        <w:t xml:space="preserve">. 2017;21(6):425–433.</w:t>
      </w:r>
      <w:r>
        <w:t xml:space="preserve"> </w:t>
      </w:r>
      <w:hyperlink r:id="rId5876">
        <w:r>
          <w:rPr>
            <w:rStyle w:val="Hyperlink"/>
          </w:rPr>
          <w:t xml:space="preserve">https://doi.org/10.1016/j.tics.2017.03.011</w:t>
        </w:r>
      </w:hyperlink>
      <w:r>
        <w:t xml:space="preserve">（研究类型：计算模型方法论）</w:t>
      </w:r>
    </w:p>
    <w:p>
      <w:pPr>
        <w:pStyle w:val="ReferenceEntry"/>
      </w:pPr>
      <w:bookmarkStart w:id="5877" w:name="ref-1638"/>
      <w:r>
        <w:t xml:space="preserve">[1638]</w:t>
      </w:r>
      <w:bookmarkEnd w:id="5877"/>
      <w:r>
        <w:t xml:space="preserve"> Wiecki TV, Sofer I, Frank MJ. HDDM: Hierarchical Bayesian estimation of the Drift-Diffusion Model in Python.</w:t>
      </w:r>
      <w:r>
        <w:t xml:space="preserve"> </w:t>
      </w:r>
      <w:r>
        <w:rPr>
          <w:iCs/>
          <w:i/>
        </w:rPr>
        <w:t xml:space="preserve">Frontiers in Neuroinformatics</w:t>
      </w:r>
      <w:r>
        <w:t xml:space="preserve">. 2013;7.</w:t>
      </w:r>
      <w:r>
        <w:t xml:space="preserve"> </w:t>
      </w:r>
      <w:hyperlink r:id="rId5878">
        <w:r>
          <w:rPr>
            <w:rStyle w:val="Hyperlink"/>
          </w:rPr>
          <w:t xml:space="preserve">https://doi.org/10.3389/fninf.2013.00014</w:t>
        </w:r>
      </w:hyperlink>
      <w:r>
        <w:t xml:space="preserve">（研究类型：层级模型方法与模拟检验）</w:t>
      </w:r>
    </w:p>
    <w:p>
      <w:pPr>
        <w:pStyle w:val="ReferenceEntry"/>
      </w:pPr>
      <w:bookmarkStart w:id="5879" w:name="ref-1639"/>
      <w:r>
        <w:t xml:space="preserve">[1639]</w:t>
      </w:r>
      <w:bookmarkEnd w:id="5879"/>
      <w:r>
        <w:t xml:space="preserve"> Gillan CM, Kosinski M, Whelan R, Phelps EA, Daw ND. Characterizing a psychiatric symptom dimension related to deficits in goal-directed control.</w:t>
      </w:r>
      <w:r>
        <w:t xml:space="preserve"> </w:t>
      </w:r>
      <w:r>
        <w:rPr>
          <w:iCs/>
          <w:i/>
        </w:rPr>
        <w:t xml:space="preserve">eLife</w:t>
      </w:r>
      <w:r>
        <w:t xml:space="preserve">. 2016;5:e11305.</w:t>
      </w:r>
      <w:r>
        <w:t xml:space="preserve"> </w:t>
      </w:r>
      <w:hyperlink r:id="rId5880">
        <w:r>
          <w:rPr>
            <w:rStyle w:val="Hyperlink"/>
          </w:rPr>
          <w:t xml:space="preserve">https://doi.org/10.7554/eLife.11305</w:t>
        </w:r>
      </w:hyperlink>
      <w:r>
        <w:t xml:space="preserve">（研究类型：两个独立网络样本关联研究）</w:t>
      </w:r>
    </w:p>
    <w:p>
      <w:pPr>
        <w:pStyle w:val="ReferenceEntry"/>
      </w:pPr>
      <w:bookmarkStart w:id="5881" w:name="ref-1640"/>
      <w:r>
        <w:t xml:space="preserve">[1640]</w:t>
      </w:r>
      <w:bookmarkEnd w:id="5881"/>
      <w:r>
        <w:t xml:space="preserve"> Marquand AF, Rezek I, Buitelaar J, Beckmann CF. Understanding Heterogeneity in Clinical Cohorts Using Normative Models: Beyond Case-Control Studies.</w:t>
      </w:r>
      <w:r>
        <w:t xml:space="preserve"> </w:t>
      </w:r>
      <w:r>
        <w:rPr>
          <w:iCs/>
          <w:i/>
        </w:rPr>
        <w:t xml:space="preserve">Biological Psychiatry</w:t>
      </w:r>
      <w:r>
        <w:t xml:space="preserve">. 2016;80(7):552–561.</w:t>
      </w:r>
      <w:r>
        <w:t xml:space="preserve"> </w:t>
      </w:r>
      <w:hyperlink r:id="rId5882">
        <w:r>
          <w:rPr>
            <w:rStyle w:val="Hyperlink"/>
          </w:rPr>
          <w:t xml:space="preserve">https://doi.org/10.1016/j.biopsych.2015.12.023</w:t>
        </w:r>
      </w:hyperlink>
      <w:r>
        <w:t xml:space="preserve">（研究类型：常模建模方法与临床队列应用）</w:t>
      </w:r>
    </w:p>
    <w:p>
      <w:pPr>
        <w:pStyle w:val="ReferenceEntry"/>
      </w:pPr>
      <w:bookmarkStart w:id="5883" w:name="ref-1641"/>
      <w:r>
        <w:t xml:space="preserve">[1641]</w:t>
      </w:r>
      <w:bookmarkEnd w:id="5883"/>
      <w:r>
        <w:t xml:space="preserve"> Carrillo P, Benhamou M, Heerema R, Daunizeau J, Pessiglione M, Vinckier F. Assessing the validity and reliability of computational phenotyping of mood.</w:t>
      </w:r>
      <w:r>
        <w:t xml:space="preserve"> </w:t>
      </w:r>
      <w:r>
        <w:rPr>
          <w:iCs/>
          <w:i/>
        </w:rPr>
        <w:t xml:space="preserve">PLOS Computational Biology</w:t>
      </w:r>
      <w:r>
        <w:t xml:space="preserve">. 2026;22(8):e1014597.</w:t>
      </w:r>
      <w:r>
        <w:t xml:space="preserve"> </w:t>
      </w:r>
      <w:hyperlink r:id="rId5884">
        <w:r>
          <w:rPr>
            <w:rStyle w:val="Hyperlink"/>
          </w:rPr>
          <w:t xml:space="preserve">https://doi.org/10.1371/journal.pcbi.1014597</w:t>
        </w:r>
      </w:hyperlink>
      <w:r>
        <w:t xml:space="preserve">（研究类型：163健康志愿者多任务样本及模拟重测验证）</w:t>
      </w:r>
    </w:p>
    <w:p>
      <w:pPr>
        <w:pStyle w:val="ReferenceEntry"/>
      </w:pPr>
      <w:bookmarkStart w:id="5885" w:name="ref-1642"/>
      <w:r>
        <w:t xml:space="preserve">[1642]</w:t>
      </w:r>
      <w:bookmarkEnd w:id="5885"/>
      <w:r>
        <w:t xml:space="preserve"> Card NS, Wairagkar M, Iacobacci C, Hou X, Singer-Clark T, Willett FR, et al. An Accurate and Rapidly Calibrating Speech Neuroprosthesis.</w:t>
      </w:r>
      <w:r>
        <w:t xml:space="preserve"> </w:t>
      </w:r>
      <w:r>
        <w:rPr>
          <w:iCs/>
          <w:i/>
        </w:rPr>
        <w:t xml:space="preserve">New England Journal of Medicine</w:t>
      </w:r>
      <w:r>
        <w:t xml:space="preserve">. 2024;391(7):609–618.</w:t>
      </w:r>
      <w:r>
        <w:t xml:space="preserve"> </w:t>
      </w:r>
      <w:hyperlink r:id="rId5886">
        <w:r>
          <w:rPr>
            <w:rStyle w:val="Hyperlink"/>
          </w:rPr>
          <w:t xml:space="preserve">https://doi.org/10.1056/NEJMoa2314132</w:t>
        </w:r>
      </w:hyperlink>
      <w:r>
        <w:t xml:space="preserve">（研究类型：单例侵入式语言BCI）</w:t>
      </w:r>
    </w:p>
    <w:p>
      <w:pPr>
        <w:pStyle w:val="ReferenceEntry"/>
      </w:pPr>
      <w:bookmarkStart w:id="5887" w:name="ref-1643"/>
      <w:r>
        <w:t xml:space="preserve">[1643]</w:t>
      </w:r>
      <w:bookmarkEnd w:id="5887"/>
      <w:r>
        <w:t xml:space="preserve"> Littlejohn KT, Cho CJ, Liu JR, Silva AB, Yu B, Anderson VR, et al. A streaming brain-to-voice neuroprosthesis to restore naturalistic communication.</w:t>
      </w:r>
      <w:r>
        <w:t xml:space="preserve"> </w:t>
      </w:r>
      <w:r>
        <w:rPr>
          <w:iCs/>
          <w:i/>
        </w:rPr>
        <w:t xml:space="preserve">Nature Neuroscience</w:t>
      </w:r>
      <w:r>
        <w:t xml:space="preserve">. 2025;28(4):902–912.</w:t>
      </w:r>
      <w:r>
        <w:t xml:space="preserve"> </w:t>
      </w:r>
      <w:hyperlink r:id="rId5888">
        <w:r>
          <w:rPr>
            <w:rStyle w:val="Hyperlink"/>
          </w:rPr>
          <w:t xml:space="preserve">https://doi.org/10.1038/s41593-025-01905-6</w:t>
        </w:r>
      </w:hyperlink>
      <w:r>
        <w:t xml:space="preserve">（研究类型：单例实时语音合成BCI）</w:t>
      </w:r>
    </w:p>
    <w:p>
      <w:pPr>
        <w:pStyle w:val="ReferenceEntry"/>
      </w:pPr>
      <w:bookmarkStart w:id="5889" w:name="ref-1644"/>
      <w:r>
        <w:t xml:space="preserve">[1644]</w:t>
      </w:r>
      <w:bookmarkEnd w:id="5889"/>
      <w:r>
        <w:t xml:space="preserve"> Card NS, Singer-Clark T, Peracha H, Iacobacci C, Hou X, Wairagkar M, et al. Long-term independent use of an intracortical brain–computer interface for speech and cursor control.</w:t>
      </w:r>
      <w:r>
        <w:t xml:space="preserve"> </w:t>
      </w:r>
      <w:r>
        <w:rPr>
          <w:iCs/>
          <w:i/>
        </w:rPr>
        <w:t xml:space="preserve">Nature Medicine</w:t>
      </w:r>
      <w:r>
        <w:t xml:space="preserve">. 2026;32(7):2504–2510.</w:t>
      </w:r>
      <w:r>
        <w:t xml:space="preserve"> </w:t>
      </w:r>
      <w:hyperlink r:id="rId5890">
        <w:r>
          <w:rPr>
            <w:rStyle w:val="Hyperlink"/>
          </w:rPr>
          <w:t xml:space="preserve">https://doi.org/10.1038/s41591-026-04414-6</w:t>
        </w:r>
      </w:hyperlink>
      <w:r>
        <w:t xml:space="preserve">（研究类型：单例纵向家庭使用随访）</w:t>
      </w:r>
    </w:p>
    <w:p>
      <w:pPr>
        <w:pStyle w:val="ReferenceEntry"/>
      </w:pPr>
      <w:bookmarkStart w:id="5891" w:name="ref-1645"/>
      <w:r>
        <w:t xml:space="preserve">[1645]</w:t>
      </w:r>
      <w:bookmarkEnd w:id="5891"/>
      <w:r>
        <w:t xml:space="preserve"> Zhao Z, Wang Z, Liu Y, Qian Y, Yin Y, Gao X, et al. A neural architecture for imagined and overt speech motor dynamics.</w:t>
      </w:r>
      <w:r>
        <w:t xml:space="preserve"> </w:t>
      </w:r>
      <w:r>
        <w:rPr>
          <w:iCs/>
          <w:i/>
        </w:rPr>
        <w:t xml:space="preserve">Nature Neuroscience</w:t>
      </w:r>
      <w:r>
        <w:t xml:space="preserve">. 2026.</w:t>
      </w:r>
      <w:r>
        <w:t xml:space="preserve"> </w:t>
      </w:r>
      <w:hyperlink r:id="rId5892">
        <w:r>
          <w:rPr>
            <w:rStyle w:val="Hyperlink"/>
          </w:rPr>
          <w:t xml:space="preserve">https://doi.org/10.1038/s41593-026-02456-0</w:t>
        </w:r>
      </w:hyperlink>
      <w:r>
        <w:t xml:space="preserve">（研究类型：九参与者术中皮层脑电研究）</w:t>
      </w:r>
    </w:p>
    <w:p>
      <w:pPr>
        <w:pStyle w:val="ReferenceEntry"/>
      </w:pPr>
      <w:bookmarkStart w:id="5893" w:name="ref-1646"/>
      <w:r>
        <w:t xml:space="preserve">[1646]</w:t>
      </w:r>
      <w:bookmarkEnd w:id="5893"/>
      <w:r>
        <w:t xml:space="preserve"> Brosler SC, Liu JR, Silva AB, Hallinan IP, Kurtz-Miott CM, Dunkel Wilker JFB, et al. Simultaneous speech and gesture decoding for multimodal communication in paralysis.</w:t>
      </w:r>
      <w:r>
        <w:t xml:space="preserve"> </w:t>
      </w:r>
      <w:r>
        <w:rPr>
          <w:iCs/>
          <w:i/>
        </w:rPr>
        <w:t xml:space="preserve">Nature Neuroscience</w:t>
      </w:r>
      <w:r>
        <w:t xml:space="preserve">. 2026;29(10):2445–2455.</w:t>
      </w:r>
      <w:r>
        <w:t xml:space="preserve"> </w:t>
      </w:r>
      <w:hyperlink r:id="rId5894">
        <w:r>
          <w:rPr>
            <w:rStyle w:val="Hyperlink"/>
          </w:rPr>
          <w:t xml:space="preserve">https://doi.org/10.1038/s41593-026-02446-2</w:t>
        </w:r>
      </w:hyperlink>
      <w:r>
        <w:t xml:space="preserve">（研究类型：三名参与者的多效应器表征研究，含两人的言语手势并发解码与虚拟形象实验）</w:t>
      </w:r>
    </w:p>
    <w:p>
      <w:pPr>
        <w:pStyle w:val="ReferenceEntry"/>
      </w:pPr>
      <w:bookmarkStart w:id="5895" w:name="ref-1647"/>
      <w:r>
        <w:t xml:space="preserve">[1647]</w:t>
      </w:r>
      <w:bookmarkEnd w:id="5895"/>
      <w:r>
        <w:t xml:space="preserve"> UNESCO. Recommendation on the Ethics of Neurotechnology. 2025.</w:t>
      </w:r>
      <w:r>
        <w:t xml:space="preserve"> </w:t>
      </w:r>
      <w:hyperlink r:id="rId5896">
        <w:r>
          <w:rPr>
            <w:rStyle w:val="Hyperlink"/>
          </w:rPr>
          <w:t xml:space="preserve">https://www.unesco.org/en/node/86248</w:t>
        </w:r>
      </w:hyperlink>
      <w:r>
        <w:t xml:space="preserve">（研究类型：国际伦理建议）</w:t>
      </w:r>
    </w:p>
    <w:p>
      <w:pPr>
        <w:pStyle w:val="ReferenceEntry"/>
      </w:pPr>
      <w:bookmarkStart w:id="5897" w:name="ref-1648"/>
      <w:r>
        <w:t xml:space="preserve">[1648]</w:t>
      </w:r>
      <w:bookmarkEnd w:id="5897"/>
      <w:r>
        <w:t xml:space="preserve"> UNESCO. Ethics of neurotechnology: UNESCO adopts the first global standard in the cutting-edge technology. 2025.</w:t>
      </w:r>
      <w:r>
        <w:t xml:space="preserve"> </w:t>
      </w:r>
      <w:hyperlink r:id="rId5898">
        <w:r>
          <w:rPr>
            <w:rStyle w:val="Hyperlink"/>
          </w:rPr>
          <w:t xml:space="preserve">https://www.unesco.org/en/articles/ethics-neurotechnology-unesco-adopts-first-global-standard-cutting-edge-technology</w:t>
        </w:r>
      </w:hyperlink>
      <w:r>
        <w:t xml:space="preserve">（研究类型：官方采纳说明）</w:t>
      </w:r>
    </w:p>
    <w:p>
      <w:pPr>
        <w:pStyle w:val="ReferenceEntry"/>
      </w:pPr>
      <w:bookmarkStart w:id="5899" w:name="ref-1649"/>
      <w:r>
        <w:t xml:space="preserve">[1649]</w:t>
      </w:r>
      <w:bookmarkEnd w:id="5899"/>
      <w:r>
        <w:t xml:space="preserve"> Lancaster MA, Renner M, Martin CA, Wenzel D, Bicknell LS, Hurles ME, et al. Cerebral organoids model human brain development and microcephaly.</w:t>
      </w:r>
      <w:r>
        <w:t xml:space="preserve"> </w:t>
      </w:r>
      <w:r>
        <w:rPr>
          <w:iCs/>
          <w:i/>
        </w:rPr>
        <w:t xml:space="preserve">Nature</w:t>
      </w:r>
      <w:r>
        <w:t xml:space="preserve">. 2013;501(7467):373–379.</w:t>
      </w:r>
      <w:r>
        <w:t xml:space="preserve"> </w:t>
      </w:r>
      <w:hyperlink r:id="rId5900">
        <w:r>
          <w:rPr>
            <w:rStyle w:val="Hyperlink"/>
          </w:rPr>
          <w:t xml:space="preserve">https://doi.org/10.1038/nature12517</w:t>
        </w:r>
      </w:hyperlink>
      <w:r>
        <w:t xml:space="preserve">（研究类型：人源三维培养与发育疾病模型）</w:t>
      </w:r>
    </w:p>
    <w:p>
      <w:pPr>
        <w:pStyle w:val="ReferenceEntry"/>
      </w:pPr>
      <w:bookmarkStart w:id="5901" w:name="ref-1650"/>
      <w:r>
        <w:t xml:space="preserve">[1650]</w:t>
      </w:r>
      <w:bookmarkEnd w:id="5901"/>
      <w:r>
        <w:t xml:space="preserve"> Pașca SP, Arlotta P, Bateup HS, Camp JG, Cappello S, Gage FH, et al. A nomenclature consensus for nervous system organoids and assembloids.</w:t>
      </w:r>
      <w:r>
        <w:t xml:space="preserve"> </w:t>
      </w:r>
      <w:r>
        <w:rPr>
          <w:iCs/>
          <w:i/>
        </w:rPr>
        <w:t xml:space="preserve">Nature</w:t>
      </w:r>
      <w:r>
        <w:t xml:space="preserve">. 2022;609(7929):907–910.</w:t>
      </w:r>
      <w:r>
        <w:t xml:space="preserve"> </w:t>
      </w:r>
      <w:hyperlink r:id="rId5902">
        <w:r>
          <w:rPr>
            <w:rStyle w:val="Hyperlink"/>
          </w:rPr>
          <w:t xml:space="preserve">https://doi.org/10.1038/s41586-022-05219-6</w:t>
        </w:r>
      </w:hyperlink>
      <w:r>
        <w:t xml:space="preserve">（研究类型：神经系统类器官命名共识）</w:t>
      </w:r>
    </w:p>
    <w:p>
      <w:pPr>
        <w:pStyle w:val="ReferenceEntry"/>
      </w:pPr>
      <w:bookmarkStart w:id="5903" w:name="ref-1651"/>
      <w:r>
        <w:t xml:space="preserve">[1651]</w:t>
      </w:r>
      <w:bookmarkEnd w:id="5903"/>
      <w:r>
        <w:t xml:space="preserve"> Takahashi K, Tanabe K, Ohnuki M, Narita M, Ichisaka T, Tomoda K, et al. Induction of pluripotent stem cells from adult human fibroblasts by defined factors.</w:t>
      </w:r>
      <w:r>
        <w:t xml:space="preserve"> </w:t>
      </w:r>
      <w:r>
        <w:rPr>
          <w:iCs/>
          <w:i/>
        </w:rPr>
        <w:t xml:space="preserve">Cell</w:t>
      </w:r>
      <w:r>
        <w:t xml:space="preserve">. 2007;131(5):861–872.</w:t>
      </w:r>
      <w:r>
        <w:t xml:space="preserve"> </w:t>
      </w:r>
      <w:hyperlink r:id="rId5904">
        <w:r>
          <w:rPr>
            <w:rStyle w:val="Hyperlink"/>
          </w:rPr>
          <w:t xml:space="preserve">https://doi.org/10.1016/j.cell.2007.11.019</w:t>
        </w:r>
      </w:hyperlink>
      <w:r>
        <w:t xml:space="preserve">（研究类型：人源诱导多能干细胞实验）</w:t>
      </w:r>
    </w:p>
    <w:p>
      <w:pPr>
        <w:pStyle w:val="ReferenceEntry"/>
      </w:pPr>
      <w:bookmarkStart w:id="5905" w:name="ref-1652"/>
      <w:r>
        <w:t xml:space="preserve">[1652]</w:t>
      </w:r>
      <w:bookmarkEnd w:id="5905"/>
      <w:r>
        <w:t xml:space="preserve"> Birey F, Andersen J, Makinson CD, Islam S, Wei W, Huber N, et al. Assembly of functionally integrated human forebrain spheroids.</w:t>
      </w:r>
      <w:r>
        <w:t xml:space="preserve"> </w:t>
      </w:r>
      <w:r>
        <w:rPr>
          <w:iCs/>
          <w:i/>
        </w:rPr>
        <w:t xml:space="preserve">Nature</w:t>
      </w:r>
      <w:r>
        <w:t xml:space="preserve">. 2017;545(7652):54–59.</w:t>
      </w:r>
      <w:r>
        <w:t xml:space="preserve"> </w:t>
      </w:r>
      <w:hyperlink r:id="rId5906">
        <w:r>
          <w:rPr>
            <w:rStyle w:val="Hyperlink"/>
          </w:rPr>
          <w:t xml:space="preserve">https://doi.org/10.1038/nature22330</w:t>
        </w:r>
      </w:hyperlink>
      <w:r>
        <w:t xml:space="preserve">（研究类型：人源前脑组装体与迁移实验）</w:t>
      </w:r>
    </w:p>
    <w:p>
      <w:pPr>
        <w:pStyle w:val="ReferenceEntry"/>
      </w:pPr>
      <w:bookmarkStart w:id="5907" w:name="ref-1653"/>
      <w:r>
        <w:t xml:space="preserve">[1653]</w:t>
      </w:r>
      <w:bookmarkEnd w:id="5907"/>
      <w:r>
        <w:t xml:space="preserve"> Bhaduri A, Andrews MG, Mancia Leon W, Jung D, Shin D, Allen D, et al. Cell stress in cortical organoids impairs molecular subtype specification.</w:t>
      </w:r>
      <w:r>
        <w:t xml:space="preserve"> </w:t>
      </w:r>
      <w:r>
        <w:rPr>
          <w:iCs/>
          <w:i/>
        </w:rPr>
        <w:t xml:space="preserve">Nature</w:t>
      </w:r>
      <w:r>
        <w:t xml:space="preserve">. 2020;578(7793):142–148.</w:t>
      </w:r>
      <w:r>
        <w:t xml:space="preserve"> </w:t>
      </w:r>
      <w:hyperlink r:id="rId5908">
        <w:r>
          <w:rPr>
            <w:rStyle w:val="Hyperlink"/>
          </w:rPr>
          <w:t xml:space="preserve">https://doi.org/10.1038/s41586-020-1962-0</w:t>
        </w:r>
      </w:hyperlink>
      <w:r>
        <w:t xml:space="preserve">（研究类型：类器官与发育中皮层比较及移植实验）</w:t>
      </w:r>
    </w:p>
    <w:p>
      <w:pPr>
        <w:pStyle w:val="ReferenceEntry"/>
      </w:pPr>
      <w:bookmarkStart w:id="5909" w:name="ref-1654"/>
      <w:r>
        <w:t xml:space="preserve">[1654]</w:t>
      </w:r>
      <w:bookmarkEnd w:id="5909"/>
      <w:r>
        <w:t xml:space="preserve"> Velasco S, Kedaigle AJ, Simmons SK, Nash A, Rocha M, Quadrato G, et al. Individual brain organoids reproducibly form cell diversity of the human cerebral cortex.</w:t>
      </w:r>
      <w:r>
        <w:t xml:space="preserve"> </w:t>
      </w:r>
      <w:r>
        <w:rPr>
          <w:iCs/>
          <w:i/>
        </w:rPr>
        <w:t xml:space="preserve">Nature</w:t>
      </w:r>
      <w:r>
        <w:t xml:space="preserve">. 2019;570(7762):523–527.</w:t>
      </w:r>
      <w:r>
        <w:t xml:space="preserve"> </w:t>
      </w:r>
      <w:hyperlink r:id="rId5910">
        <w:r>
          <w:rPr>
            <w:rStyle w:val="Hyperlink"/>
          </w:rPr>
          <w:t xml:space="preserve">https://doi.org/10.1038/s41586-019-1289-x</w:t>
        </w:r>
      </w:hyperlink>
      <w:r>
        <w:t xml:space="preserve">（研究类型：21个类器官单细胞与重复性分析）</w:t>
      </w:r>
    </w:p>
    <w:p>
      <w:pPr>
        <w:pStyle w:val="ReferenceEntry"/>
      </w:pPr>
      <w:bookmarkStart w:id="5911" w:name="ref-1655"/>
      <w:r>
        <w:t xml:space="preserve">[1655]</w:t>
      </w:r>
      <w:bookmarkEnd w:id="5911"/>
      <w:r>
        <w:t xml:space="preserve"> Cakir B, Xiang Y, Tanaka Y, Kural MH, Parent M, Kang YJ, et al. Engineering of human brain organoids with a functional vascular-like system.</w:t>
      </w:r>
      <w:r>
        <w:t xml:space="preserve"> </w:t>
      </w:r>
      <w:r>
        <w:rPr>
          <w:iCs/>
          <w:i/>
        </w:rPr>
        <w:t xml:space="preserve">Nature Methods</w:t>
      </w:r>
      <w:r>
        <w:t xml:space="preserve">. 2019;16(11):1169–1175.</w:t>
      </w:r>
      <w:r>
        <w:t xml:space="preserve"> </w:t>
      </w:r>
      <w:hyperlink r:id="rId5912">
        <w:r>
          <w:rPr>
            <w:rStyle w:val="Hyperlink"/>
          </w:rPr>
          <w:t xml:space="preserve">https://doi.org/10.1038/s41592-019-0586-5</w:t>
        </w:r>
      </w:hyperlink>
      <w:r>
        <w:t xml:space="preserve">（研究类型：血管样脑类器官工程实验）</w:t>
      </w:r>
    </w:p>
    <w:p>
      <w:pPr>
        <w:pStyle w:val="ReferenceEntry"/>
      </w:pPr>
      <w:bookmarkStart w:id="5913" w:name="ref-1656"/>
      <w:r>
        <w:t xml:space="preserve">[1656]</w:t>
      </w:r>
      <w:bookmarkEnd w:id="5913"/>
      <w:r>
        <w:t xml:space="preserve"> Ormel PR, Vieira de Sá R, van Bodegraven EJ, Karst H, Harschnitz O, Sneeboer MAM, et al. Microglia innately develop within cerebral organoids.</w:t>
      </w:r>
      <w:r>
        <w:t xml:space="preserve"> </w:t>
      </w:r>
      <w:r>
        <w:rPr>
          <w:iCs/>
          <w:i/>
        </w:rPr>
        <w:t xml:space="preserve">Nature Communications</w:t>
      </w:r>
      <w:r>
        <w:t xml:space="preserve">. 2018;9(1):4167.</w:t>
      </w:r>
      <w:r>
        <w:t xml:space="preserve"> </w:t>
      </w:r>
      <w:hyperlink r:id="rId5914">
        <w:r>
          <w:rPr>
            <w:rStyle w:val="Hyperlink"/>
          </w:rPr>
          <w:t xml:space="preserve">https://doi.org/10.1038/s41467-018-06684-2</w:t>
        </w:r>
      </w:hyperlink>
      <w:r>
        <w:t xml:space="preserve">（研究类型：含小胶质细胞的脑类器官实验）</w:t>
      </w:r>
    </w:p>
    <w:p>
      <w:pPr>
        <w:pStyle w:val="ReferenceEntry"/>
      </w:pPr>
      <w:bookmarkStart w:id="5915" w:name="ref-1657"/>
      <w:r>
        <w:t xml:space="preserve">[1657]</w:t>
      </w:r>
      <w:bookmarkEnd w:id="5915"/>
      <w:r>
        <w:t xml:space="preserve"> Mertens J, Paquola ACM, Ku M, Hatch E, Böhnke L, Ladjevardi S, et al. Directly Reprogrammed Human Neurons Retain Aging-Associated Transcriptomic Signatures and Reveal Age-Related Nucleocytoplasmic Defects.</w:t>
      </w:r>
      <w:r>
        <w:t xml:space="preserve"> </w:t>
      </w:r>
      <w:r>
        <w:rPr>
          <w:iCs/>
          <w:i/>
        </w:rPr>
        <w:t xml:space="preserve">Cell Stem Cell</w:t>
      </w:r>
      <w:r>
        <w:t xml:space="preserve">. 2015;17(6):705–718.</w:t>
      </w:r>
      <w:r>
        <w:t xml:space="preserve"> </w:t>
      </w:r>
      <w:hyperlink r:id="rId5916">
        <w:r>
          <w:rPr>
            <w:rStyle w:val="Hyperlink"/>
          </w:rPr>
          <w:t xml:space="preserve">https://doi.org/10.1016/j.stem.2015.09.001</w:t>
        </w:r>
      </w:hyperlink>
      <w:r>
        <w:t xml:space="preserve">（研究类型：直接转换与多能重编程神经元比较）</w:t>
      </w:r>
    </w:p>
    <w:p>
      <w:pPr>
        <w:pStyle w:val="ReferenceEntry"/>
      </w:pPr>
      <w:bookmarkStart w:id="5917" w:name="ref-1658"/>
      <w:r>
        <w:t xml:space="preserve">[1658]</w:t>
      </w:r>
      <w:bookmarkEnd w:id="5917"/>
      <w:r>
        <w:t xml:space="preserve"> Faravelli I, Antón-Bolaños N, Wei A, Faits T, Kumar AS, Andreadis S, et al. Human brain organoids record the passage of time over multiple years.</w:t>
      </w:r>
      <w:r>
        <w:t xml:space="preserve"> </w:t>
      </w:r>
      <w:r>
        <w:rPr>
          <w:iCs/>
          <w:i/>
        </w:rPr>
        <w:t xml:space="preserve">Nature</w:t>
      </w:r>
      <w:r>
        <w:t xml:space="preserve">. 2026;657(8132):713–723.</w:t>
      </w:r>
      <w:r>
        <w:t xml:space="preserve"> </w:t>
      </w:r>
      <w:hyperlink r:id="rId5918">
        <w:r>
          <w:rPr>
            <w:rStyle w:val="Hyperlink"/>
          </w:rPr>
          <w:t xml:space="preserve">https://doi.org/10.1038/s41586-026-10877-x</w:t>
        </w:r>
      </w:hyperlink>
      <w:r>
        <w:t xml:space="preserve">（研究类型：最长五年培养及多组学研究）</w:t>
      </w:r>
    </w:p>
    <w:p>
      <w:pPr>
        <w:pStyle w:val="ReferenceEntry"/>
      </w:pPr>
      <w:bookmarkStart w:id="5919" w:name="ref-1659"/>
      <w:r>
        <w:t xml:space="preserve">[1659]</w:t>
      </w:r>
      <w:bookmarkEnd w:id="5919"/>
      <w:r>
        <w:t xml:space="preserve"> Andersen J, Revah O, Miura Y, Thom N, Amin ND, Kelley KW, et al. Generation of Functional Human 3D Cortico-Motor Assembloids.</w:t>
      </w:r>
      <w:r>
        <w:t xml:space="preserve"> </w:t>
      </w:r>
      <w:r>
        <w:rPr>
          <w:iCs/>
          <w:i/>
        </w:rPr>
        <w:t xml:space="preserve">Cell</w:t>
      </w:r>
      <w:r>
        <w:t xml:space="preserve">. 2020;183(7):1913–1929.e26.</w:t>
      </w:r>
      <w:r>
        <w:t xml:space="preserve"> </w:t>
      </w:r>
      <w:hyperlink r:id="rId5920">
        <w:r>
          <w:rPr>
            <w:rStyle w:val="Hyperlink"/>
          </w:rPr>
          <w:t xml:space="preserve">https://doi.org/10.1016/j.cell.2020.11.017</w:t>
        </w:r>
      </w:hyperlink>
      <w:r>
        <w:t xml:space="preserve">（研究类型：人源皮层运动通路组装体实验）</w:t>
      </w:r>
    </w:p>
    <w:p>
      <w:pPr>
        <w:pStyle w:val="ReferenceEntry"/>
      </w:pPr>
      <w:bookmarkStart w:id="5921" w:name="ref-1660"/>
      <w:r>
        <w:t xml:space="preserve">[1660]</w:t>
      </w:r>
      <w:bookmarkEnd w:id="5921"/>
      <w:r>
        <w:t xml:space="preserve"> Kim JI, Imaizumi K, Jurjuț O, Kelley KW, Wang D, Thete MV, et al. Human assembloid model of the ascending neural sensory pathway.</w:t>
      </w:r>
      <w:r>
        <w:t xml:space="preserve"> </w:t>
      </w:r>
      <w:r>
        <w:rPr>
          <w:iCs/>
          <w:i/>
        </w:rPr>
        <w:t xml:space="preserve">Nature</w:t>
      </w:r>
      <w:r>
        <w:t xml:space="preserve">. 2025;642(8066):143–153.</w:t>
      </w:r>
      <w:r>
        <w:t xml:space="preserve"> </w:t>
      </w:r>
      <w:hyperlink r:id="rId5922">
        <w:r>
          <w:rPr>
            <w:rStyle w:val="Hyperlink"/>
          </w:rPr>
          <w:t xml:space="preserve">https://doi.org/10.1038/s41586-025-08808-3</w:t>
        </w:r>
      </w:hyperlink>
      <w:r>
        <w:t xml:space="preserve">（研究类型：四区域人源上行感觉通路模型与遗传干预）</w:t>
      </w:r>
    </w:p>
    <w:p>
      <w:pPr>
        <w:pStyle w:val="ReferenceEntry"/>
      </w:pPr>
      <w:bookmarkStart w:id="5923" w:name="ref-1661"/>
      <w:r>
        <w:t xml:space="preserve">[1661]</w:t>
      </w:r>
      <w:bookmarkEnd w:id="5923"/>
      <w:r>
        <w:t xml:space="preserve"> Revah O, Gore F, Kelley KW, Andersen J, Sakai N, Chen X, et al. Maturation and circuit integration of transplanted human cortical organoids.</w:t>
      </w:r>
      <w:r>
        <w:t xml:space="preserve"> </w:t>
      </w:r>
      <w:r>
        <w:rPr>
          <w:iCs/>
          <w:i/>
        </w:rPr>
        <w:t xml:space="preserve">Nature</w:t>
      </w:r>
      <w:r>
        <w:t xml:space="preserve">. 2022;610(7931):319–326.</w:t>
      </w:r>
      <w:r>
        <w:t xml:space="preserve"> </w:t>
      </w:r>
      <w:hyperlink r:id="rId5924">
        <w:r>
          <w:rPr>
            <w:rStyle w:val="Hyperlink"/>
          </w:rPr>
          <w:t xml:space="preserve">https://doi.org/10.1038/s41586-022-05277-w</w:t>
        </w:r>
      </w:hyperlink>
      <w:r>
        <w:t xml:space="preserve">（研究类型：人源类器官移植至新生大鼠及回路分析）</w:t>
      </w:r>
    </w:p>
    <w:p>
      <w:pPr>
        <w:pStyle w:val="ReferenceEntry"/>
      </w:pPr>
      <w:bookmarkStart w:id="5925" w:name="ref-1662"/>
      <w:r>
        <w:t xml:space="preserve">[1662]</w:t>
      </w:r>
      <w:bookmarkEnd w:id="5925"/>
      <w:r>
        <w:t xml:space="preserve"> Revah O, Gore F, Kelley KW, Andersen J, Sakai N, Chen X, et al. Author Correction: Maturation and circuit integration of transplanted human cortical organoids.</w:t>
      </w:r>
      <w:r>
        <w:t xml:space="preserve"> </w:t>
      </w:r>
      <w:r>
        <w:rPr>
          <w:iCs/>
          <w:i/>
        </w:rPr>
        <w:t xml:space="preserve">Nature</w:t>
      </w:r>
      <w:r>
        <w:t xml:space="preserve">. 2026;656(8128):E41–E41.</w:t>
      </w:r>
      <w:r>
        <w:t xml:space="preserve"> </w:t>
      </w:r>
      <w:hyperlink r:id="rId5926">
        <w:r>
          <w:rPr>
            <w:rStyle w:val="Hyperlink"/>
          </w:rPr>
          <w:t xml:space="preserve">https://doi.org/10.1038/s41586-026-10943-4</w:t>
        </w:r>
      </w:hyperlink>
      <w:r>
        <w:t xml:space="preserve">（研究类型：图5a重复面板更正）</w:t>
      </w:r>
    </w:p>
    <w:p>
      <w:pPr>
        <w:pStyle w:val="ReferenceEntry"/>
      </w:pPr>
      <w:bookmarkStart w:id="5927" w:name="ref-1663"/>
      <w:r>
        <w:t xml:space="preserve">[1663]</w:t>
      </w:r>
      <w:bookmarkEnd w:id="5927"/>
      <w:r>
        <w:t xml:space="preserve"> Kaganovsky K, Kelley KW, Gschwind T, Harary PM, Kochalka J, White AD, et al. Developmental xenocortication using human-derived organoids in mice.</w:t>
      </w:r>
      <w:r>
        <w:t xml:space="preserve"> </w:t>
      </w:r>
      <w:r>
        <w:rPr>
          <w:iCs/>
          <w:i/>
        </w:rPr>
        <w:t xml:space="preserve">Nature</w:t>
      </w:r>
      <w:r>
        <w:t xml:space="preserve">. 2026;658(8135):430–441.</w:t>
      </w:r>
      <w:r>
        <w:t xml:space="preserve"> </w:t>
      </w:r>
      <w:hyperlink r:id="rId5928">
        <w:r>
          <w:rPr>
            <w:rStyle w:val="Hyperlink"/>
          </w:rPr>
          <w:t xml:space="preserve">https://doi.org/10.1038/s41586-026-11032-2</w:t>
        </w:r>
      </w:hyperlink>
      <w:r>
        <w:t xml:space="preserve">（研究类型：遗传性皮层耗减小鼠中的人源组织移植与行为研究）</w:t>
      </w:r>
    </w:p>
    <w:p>
      <w:pPr>
        <w:pStyle w:val="ReferenceEntry"/>
      </w:pPr>
      <w:bookmarkStart w:id="5929" w:name="ref-1664"/>
      <w:r>
        <w:t xml:space="preserve">[1664]</w:t>
      </w:r>
      <w:bookmarkEnd w:id="5929"/>
      <w:r>
        <w:t xml:space="preserve"> Roggenbuck J, Eubank BHF, Wright J, Harms MB, Kolb SJ, the ALS Genetic Testing and Counseling Guidelines Expert Panel. Evidence-based consensus guidelines for ALS genetic testing and counseling.</w:t>
      </w:r>
      <w:r>
        <w:t xml:space="preserve"> </w:t>
      </w:r>
      <w:r>
        <w:rPr>
          <w:iCs/>
          <w:i/>
        </w:rPr>
        <w:t xml:space="preserve">Annals of Clinical and Translational Neurology</w:t>
      </w:r>
      <w:r>
        <w:t xml:space="preserve">. 2023;10(11):2074–2091.</w:t>
      </w:r>
      <w:r>
        <w:t xml:space="preserve"> </w:t>
      </w:r>
      <w:hyperlink r:id="rId5930">
        <w:r>
          <w:rPr>
            <w:rStyle w:val="Hyperlink"/>
          </w:rPr>
          <w:t xml:space="preserve">https://doi.org/10.1002/acn3.51895</w:t>
        </w:r>
      </w:hyperlink>
      <w:r>
        <w:t xml:space="preserve">（研究类型：循证遗传检测与咨询专家共识）</w:t>
      </w:r>
    </w:p>
    <w:p>
      <w:pPr>
        <w:pStyle w:val="ReferenceEntry"/>
      </w:pPr>
      <w:bookmarkStart w:id="5931" w:name="ref-1665"/>
      <w:r>
        <w:t xml:space="preserve">[1665]</w:t>
      </w:r>
      <w:bookmarkEnd w:id="5931"/>
      <w:r>
        <w:t xml:space="preserve"> Richards S, Aziz N, Bale S, Bick D, Das S, Gastier-Foster J, et al. Standards and guidelines for the interpretation of sequence variants: a joint consensus recommendation of the American College of Medical Genetics and Genomics and the Association for Molecular Pathology.</w:t>
      </w:r>
      <w:r>
        <w:t xml:space="preserve"> </w:t>
      </w:r>
      <w:r>
        <w:rPr>
          <w:iCs/>
          <w:i/>
        </w:rPr>
        <w:t xml:space="preserve">Genetics in Medicine</w:t>
      </w:r>
      <w:r>
        <w:t xml:space="preserve">. 2015;17(5):405–424.</w:t>
      </w:r>
      <w:r>
        <w:t xml:space="preserve"> </w:t>
      </w:r>
      <w:hyperlink r:id="rId5932">
        <w:r>
          <w:rPr>
            <w:rStyle w:val="Hyperlink"/>
          </w:rPr>
          <w:t xml:space="preserve">https://doi.org/10.1038/gim.2015.30</w:t>
        </w:r>
      </w:hyperlink>
      <w:r>
        <w:t xml:space="preserve">（研究类型：临床遗传序列变异解释共识）</w:t>
      </w:r>
    </w:p>
    <w:p>
      <w:pPr>
        <w:pStyle w:val="ReferenceEntry"/>
      </w:pPr>
      <w:bookmarkStart w:id="5933" w:name="ref-1666"/>
      <w:r>
        <w:t xml:space="preserve">[1666]</w:t>
      </w:r>
      <w:bookmarkEnd w:id="5933"/>
      <w:r>
        <w:t xml:space="preserve"> Balch WE, Morimoto RI, Dillin A, Kelly JW. Adapting proteostasis for disease intervention.</w:t>
      </w:r>
      <w:r>
        <w:t xml:space="preserve"> </w:t>
      </w:r>
      <w:r>
        <w:rPr>
          <w:iCs/>
          <w:i/>
        </w:rPr>
        <w:t xml:space="preserve">Science</w:t>
      </w:r>
      <w:r>
        <w:t xml:space="preserve">. 2008;319(5865):916–919.</w:t>
      </w:r>
      <w:r>
        <w:t xml:space="preserve"> </w:t>
      </w:r>
      <w:hyperlink r:id="rId5934">
        <w:r>
          <w:rPr>
            <w:rStyle w:val="Hyperlink"/>
          </w:rPr>
          <w:t xml:space="preserve">https://doi.org/10.1126/science.1141448</w:t>
        </w:r>
      </w:hyperlink>
      <w:r>
        <w:t xml:space="preserve">（研究类型：蛋白质稳态机制综述）</w:t>
      </w:r>
    </w:p>
    <w:p>
      <w:pPr>
        <w:pStyle w:val="ReferenceEntry"/>
      </w:pPr>
      <w:bookmarkStart w:id="5935" w:name="ref-1667"/>
      <w:r>
        <w:t xml:space="preserve">[1667]</w:t>
      </w:r>
      <w:bookmarkEnd w:id="5935"/>
      <w:r>
        <w:t xml:space="preserve"> Arrasate M, Mitra S, Schweitzer ES, Segal MR, Finkbeiner S. Inclusion body formation reduces levels of mutant huntingtin and the risk of neuronal death.</w:t>
      </w:r>
      <w:r>
        <w:t xml:space="preserve"> </w:t>
      </w:r>
      <w:r>
        <w:rPr>
          <w:iCs/>
          <w:i/>
        </w:rPr>
        <w:t xml:space="preserve">Nature</w:t>
      </w:r>
      <w:r>
        <w:t xml:space="preserve">. 2004;431(7010):805–810.</w:t>
      </w:r>
      <w:r>
        <w:t xml:space="preserve"> </w:t>
      </w:r>
      <w:hyperlink r:id="rId5936">
        <w:r>
          <w:rPr>
            <w:rStyle w:val="Hyperlink"/>
          </w:rPr>
          <w:t xml:space="preserve">https://doi.org/10.1038/nature02998</w:t>
        </w:r>
      </w:hyperlink>
      <w:r>
        <w:t xml:space="preserve">（研究类型：培养神经元纵向成像与存活分析）</w:t>
      </w:r>
    </w:p>
    <w:p>
      <w:pPr>
        <w:pStyle w:val="ReferenceEntry"/>
      </w:pPr>
      <w:bookmarkStart w:id="5937" w:name="ref-1668"/>
      <w:r>
        <w:t xml:space="preserve">[1668]</w:t>
      </w:r>
      <w:bookmarkEnd w:id="5937"/>
      <w:r>
        <w:t xml:space="preserve"> Neumann M, Sampathu DM, Kwong LK, Truax AC, Micsenyi MC, Chou TT, et al. Ubiquitinated TDP-43 in frontotemporal lobar degeneration and amyotrophic lateral sclerosis.</w:t>
      </w:r>
      <w:r>
        <w:t xml:space="preserve"> </w:t>
      </w:r>
      <w:r>
        <w:rPr>
          <w:iCs/>
          <w:i/>
        </w:rPr>
        <w:t xml:space="preserve">Science</w:t>
      </w:r>
      <w:r>
        <w:t xml:space="preserve">. 2006;314(5796):130–133.</w:t>
      </w:r>
      <w:r>
        <w:t xml:space="preserve"> </w:t>
      </w:r>
      <w:hyperlink r:id="rId5938">
        <w:r>
          <w:rPr>
            <w:rStyle w:val="Hyperlink"/>
          </w:rPr>
          <w:t xml:space="preserve">https://doi.org/10.1126/science.1134108</w:t>
        </w:r>
      </w:hyperlink>
      <w:r>
        <w:t xml:space="preserve">（研究类型：人体疾病组织病理生化研究）</w:t>
      </w:r>
    </w:p>
    <w:p>
      <w:pPr>
        <w:pStyle w:val="ReferenceEntry"/>
      </w:pPr>
      <w:bookmarkStart w:id="5939" w:name="ref-1669"/>
      <w:r>
        <w:t xml:space="preserve">[1669]</w:t>
      </w:r>
      <w:bookmarkEnd w:id="5939"/>
      <w:r>
        <w:t xml:space="preserve"> DeJesus-Hernandez M, Mackenzie IR, Boeve BF, Boxer AL, Baker M, Rutherford NJ, et al. Expanded GGGGCC hexanucleotide repeat in noncoding region of C9ORF72 causes chromosome 9p-linked FTD and ALS.</w:t>
      </w:r>
      <w:r>
        <w:t xml:space="preserve"> </w:t>
      </w:r>
      <w:r>
        <w:rPr>
          <w:iCs/>
          <w:i/>
        </w:rPr>
        <w:t xml:space="preserve">Neuron</w:t>
      </w:r>
      <w:r>
        <w:t xml:space="preserve">. 2011;72(2):245–256.</w:t>
      </w:r>
      <w:r>
        <w:t xml:space="preserve"> </w:t>
      </w:r>
      <w:hyperlink r:id="rId5940">
        <w:r>
          <w:rPr>
            <w:rStyle w:val="Hyperlink"/>
          </w:rPr>
          <w:t xml:space="preserve">https://doi.org/10.1016/j.neuron.2011.09.011</w:t>
        </w:r>
      </w:hyperlink>
      <w:r>
        <w:t xml:space="preserve">（研究类型：家系遗传发现与临床系列验证）</w:t>
      </w:r>
    </w:p>
    <w:p>
      <w:pPr>
        <w:pStyle w:val="ReferenceEntry"/>
      </w:pPr>
      <w:bookmarkStart w:id="5941" w:name="ref-1670"/>
      <w:r>
        <w:t xml:space="preserve">[1670]</w:t>
      </w:r>
      <w:bookmarkEnd w:id="5941"/>
      <w:r>
        <w:t xml:space="preserve"> Melamed Z, López-Erauskin J, Baughn MW, Zhang O, Drenner K, Sun Y, et al. Premature polyadenylation-mediated loss of stathmin-2 is a hallmark of TDP-43-dependent neurodegeneration.</w:t>
      </w:r>
      <w:r>
        <w:t xml:space="preserve"> </w:t>
      </w:r>
      <w:r>
        <w:rPr>
          <w:iCs/>
          <w:i/>
        </w:rPr>
        <w:t xml:space="preserve">Nature Neuroscience</w:t>
      </w:r>
      <w:r>
        <w:t xml:space="preserve">. 2019;22(2):180–190.</w:t>
      </w:r>
      <w:r>
        <w:t xml:space="preserve"> </w:t>
      </w:r>
      <w:hyperlink r:id="rId5942">
        <w:r>
          <w:rPr>
            <w:rStyle w:val="Hyperlink"/>
          </w:rPr>
          <w:t xml:space="preserve">https://doi.org/10.1038/s41593-018-0293-z</w:t>
        </w:r>
      </w:hyperlink>
      <w:r>
        <w:t xml:space="preserve">（研究类型：患者组织与细胞机制及救援实验）</w:t>
      </w:r>
    </w:p>
    <w:p>
      <w:pPr>
        <w:pStyle w:val="ReferenceEntry"/>
      </w:pPr>
      <w:bookmarkStart w:id="5943" w:name="ref-1671"/>
      <w:r>
        <w:t xml:space="preserve">[1671]</w:t>
      </w:r>
      <w:bookmarkEnd w:id="5943"/>
      <w:r>
        <w:t xml:space="preserve"> Brown AL, Wilkins OG, Keuss MJ, Kargbo-Hill SE, Zanovello M, Lee WC, et al. TDP-43 loss and ALS-risk SNPs drive mis-splicing and depletion of UNC13A.</w:t>
      </w:r>
      <w:r>
        <w:t xml:space="preserve"> </w:t>
      </w:r>
      <w:r>
        <w:rPr>
          <w:iCs/>
          <w:i/>
        </w:rPr>
        <w:t xml:space="preserve">Nature</w:t>
      </w:r>
      <w:r>
        <w:t xml:space="preserve">. 2022;603(7899):131–137.</w:t>
      </w:r>
      <w:r>
        <w:t xml:space="preserve"> </w:t>
      </w:r>
      <w:hyperlink r:id="rId5944">
        <w:r>
          <w:rPr>
            <w:rStyle w:val="Hyperlink"/>
          </w:rPr>
          <w:t xml:space="preserve">https://doi.org/10.1038/s41586-022-04436-3</w:t>
        </w:r>
      </w:hyperlink>
      <w:r>
        <w:t xml:space="preserve">（研究类型：患者组织与细胞遗传机制研究）</w:t>
      </w:r>
    </w:p>
    <w:p>
      <w:pPr>
        <w:pStyle w:val="ReferenceEntry"/>
      </w:pPr>
      <w:bookmarkStart w:id="5945" w:name="ref-1672"/>
      <w:r>
        <w:t xml:space="preserve">[1672]</w:t>
      </w:r>
      <w:bookmarkEnd w:id="5945"/>
      <w:r>
        <w:t xml:space="preserve"> Ma XR, Prudencio M, Koike Y, Vatsavayai SC, Kim G, Harbinski F, et al. TDP-43 represses cryptic exon inclusion in the FTD–ALS gene UNC13A.</w:t>
      </w:r>
      <w:r>
        <w:t xml:space="preserve"> </w:t>
      </w:r>
      <w:r>
        <w:rPr>
          <w:iCs/>
          <w:i/>
        </w:rPr>
        <w:t xml:space="preserve">Nature</w:t>
      </w:r>
      <w:r>
        <w:t xml:space="preserve">. 2022;603(7899):124–130.</w:t>
      </w:r>
      <w:r>
        <w:t xml:space="preserve"> </w:t>
      </w:r>
      <w:hyperlink r:id="rId5946">
        <w:r>
          <w:rPr>
            <w:rStyle w:val="Hyperlink"/>
          </w:rPr>
          <w:t xml:space="preserve">https://doi.org/10.1038/s41586-022-04424-7</w:t>
        </w:r>
      </w:hyperlink>
      <w:r>
        <w:t xml:space="preserve">（研究类型：人体组织与细胞遗传机制研究）</w:t>
      </w:r>
    </w:p>
    <w:p>
      <w:pPr>
        <w:pStyle w:val="ReferenceEntry"/>
      </w:pPr>
      <w:bookmarkStart w:id="5947" w:name="ref-1673"/>
      <w:r>
        <w:t xml:space="preserve">[1673]</w:t>
      </w:r>
      <w:bookmarkEnd w:id="5947"/>
      <w:r>
        <w:t xml:space="preserve"> Brown AL, Wilkins OG, Keuss MJ, Kargbo-Hill SE, Zanovello M, Lee WC, et al. Author Correction: TDP-43 loss and ALS-risk SNPs drive mis-splicing and depletion of UNC13A.</w:t>
      </w:r>
      <w:r>
        <w:t xml:space="preserve"> </w:t>
      </w:r>
      <w:r>
        <w:rPr>
          <w:iCs/>
          <w:i/>
        </w:rPr>
        <w:t xml:space="preserve">Nature</w:t>
      </w:r>
      <w:r>
        <w:t xml:space="preserve">. 2024;631(8020):E7–E7.</w:t>
      </w:r>
      <w:r>
        <w:t xml:space="preserve"> </w:t>
      </w:r>
      <w:hyperlink r:id="rId5948">
        <w:r>
          <w:rPr>
            <w:rStyle w:val="Hyperlink"/>
          </w:rPr>
          <w:t xml:space="preserve">https://doi.org/10.1038/s41586-024-07577-9</w:t>
        </w:r>
      </w:hyperlink>
      <w:r>
        <w:t xml:space="preserve">（研究类型：作者正式更正）</w:t>
      </w:r>
    </w:p>
    <w:p>
      <w:pPr>
        <w:pStyle w:val="ReferenceEntry"/>
      </w:pPr>
      <w:bookmarkStart w:id="5949" w:name="ref-1674"/>
      <w:r>
        <w:t xml:space="preserve">[1674]</w:t>
      </w:r>
      <w:bookmarkEnd w:id="5949"/>
      <w:r>
        <w:t xml:space="preserve"> Mori K, Weng SM, Arzberger T, May S, Rentzsch K, Kremmer E, et al. The C9orf72 GGGGCC repeat is translated into aggregating dipeptide-repeat proteins in FTLD/ALS.</w:t>
      </w:r>
      <w:r>
        <w:t xml:space="preserve"> </w:t>
      </w:r>
      <w:r>
        <w:rPr>
          <w:iCs/>
          <w:i/>
        </w:rPr>
        <w:t xml:space="preserve">Science</w:t>
      </w:r>
      <w:r>
        <w:t xml:space="preserve">. 2013;339(6125):1335–1338.</w:t>
      </w:r>
      <w:r>
        <w:t xml:space="preserve"> </w:t>
      </w:r>
      <w:hyperlink r:id="rId5950">
        <w:r>
          <w:rPr>
            <w:rStyle w:val="Hyperlink"/>
          </w:rPr>
          <w:t xml:space="preserve">https://doi.org/10.1126/science.1232927</w:t>
        </w:r>
      </w:hyperlink>
      <w:r>
        <w:t xml:space="preserve">（研究类型：患者病理与分子翻译研究）</w:t>
      </w:r>
    </w:p>
    <w:p>
      <w:pPr>
        <w:pStyle w:val="ReferenceEntry"/>
      </w:pPr>
      <w:bookmarkStart w:id="5951" w:name="ref-1675"/>
      <w:r>
        <w:t xml:space="preserve">[1675]</w:t>
      </w:r>
      <w:bookmarkEnd w:id="5951"/>
      <w:r>
        <w:t xml:space="preserve"> Biogen; DailyMed, U.S. National Library of Medicine. QALSODY (tofersen) prescribing information. 2025.</w:t>
      </w:r>
      <w:r>
        <w:t xml:space="preserve"> </w:t>
      </w:r>
      <w:hyperlink r:id="rId5952">
        <w:r>
          <w:rPr>
            <w:rStyle w:val="Hyperlink"/>
          </w:rPr>
          <w:t xml:space="preserve">https://dailymed.nlm.nih.gov/dailymed/drugInfo.cfm?setid=81356b45-1cb7-4eef-88ea-e44cc18b47c5</w:t>
        </w:r>
      </w:hyperlink>
      <w:r>
        <w:t xml:space="preserve">（研究类型：美国处方说明书）</w:t>
      </w:r>
    </w:p>
    <w:p>
      <w:pPr>
        <w:pStyle w:val="ReferenceEntry"/>
      </w:pPr>
      <w:bookmarkStart w:id="5953" w:name="ref-1676"/>
      <w:r>
        <w:t xml:space="preserve">[1676]</w:t>
      </w:r>
      <w:bookmarkEnd w:id="5953"/>
      <w:r>
        <w:t xml:space="preserve"> Miller TM, Cudkowicz ME, Genge A, Shaw PJ, Sobue G, Bucelli RC, et al. Trial of Antisense Oligonucleotide Tofersen for SOD1 ALS.</w:t>
      </w:r>
      <w:r>
        <w:t xml:space="preserve"> </w:t>
      </w:r>
      <w:r>
        <w:rPr>
          <w:iCs/>
          <w:i/>
        </w:rPr>
        <w:t xml:space="preserve">New England Journal of Medicine</w:t>
      </w:r>
      <w:r>
        <w:t xml:space="preserve">. 2022;387(12):1099–1110.</w:t>
      </w:r>
      <w:r>
        <w:t xml:space="preserve"> </w:t>
      </w:r>
      <w:hyperlink r:id="rId5954">
        <w:r>
          <w:rPr>
            <w:rStyle w:val="Hyperlink"/>
          </w:rPr>
          <w:t xml:space="preserve">https://doi.org/10.1056/NEJMoa2204705</w:t>
        </w:r>
      </w:hyperlink>
      <w:r>
        <w:t xml:space="preserve">（研究类型：随机双盲安慰剂对照三期试验及预设延长分析）</w:t>
      </w:r>
    </w:p>
    <w:p>
      <w:pPr>
        <w:pStyle w:val="ReferenceEntry"/>
      </w:pPr>
      <w:bookmarkStart w:id="5955" w:name="ref-1677"/>
      <w:r>
        <w:t xml:space="preserve">[1677]</w:t>
      </w:r>
      <w:bookmarkEnd w:id="5955"/>
      <w:r>
        <w:t xml:space="preserve"> Miller TM, Cudkowicz ME, Shaw PJ, Genge A, Sobue G, Bucelli RC, et al. Long-Term Tofersen in SOD1 Amyotrophic Lateral Sclerosis.</w:t>
      </w:r>
      <w:r>
        <w:t xml:space="preserve"> </w:t>
      </w:r>
      <w:r>
        <w:rPr>
          <w:iCs/>
          <w:i/>
        </w:rPr>
        <w:t xml:space="preserve">JAMA Neurology</w:t>
      </w:r>
      <w:r>
        <w:t xml:space="preserve">. 2026;83(2):115.</w:t>
      </w:r>
      <w:r>
        <w:t xml:space="preserve"> </w:t>
      </w:r>
      <w:hyperlink r:id="rId5956">
        <w:r>
          <w:rPr>
            <w:rStyle w:val="Hyperlink"/>
          </w:rPr>
          <w:t xml:space="preserve">https://doi.org/10.1001/jamaneurol.2025.4946</w:t>
        </w:r>
      </w:hyperlink>
      <w:r>
        <w:t xml:space="preserve">（研究类型：随机试验与开放延长期整合随访）</w:t>
      </w:r>
    </w:p>
    <w:p>
      <w:pPr>
        <w:pStyle w:val="ReferenceEntry"/>
      </w:pPr>
      <w:bookmarkStart w:id="5957" w:name="ref-1678"/>
      <w:r>
        <w:t xml:space="preserve">[1678]</w:t>
      </w:r>
      <w:bookmarkEnd w:id="5957"/>
      <w:r>
        <w:t xml:space="preserve"> Crawford TO, Swoboda KJ, De Vivo DC, Bertini E, Hwu WL, Finkel RS, et al. Continued benefit of nusinersen initiated in the presymptomatic stage of spinal muscular atrophy: 5-year update of the NURTURE study.</w:t>
      </w:r>
      <w:r>
        <w:t xml:space="preserve"> </w:t>
      </w:r>
      <w:r>
        <w:rPr>
          <w:iCs/>
          <w:i/>
        </w:rPr>
        <w:t xml:space="preserve">Muscle &amp; Nerve</w:t>
      </w:r>
      <w:r>
        <w:t xml:space="preserve">. 2023;68(2):157–170.</w:t>
      </w:r>
      <w:r>
        <w:t xml:space="preserve"> </w:t>
      </w:r>
      <w:hyperlink r:id="rId5958">
        <w:r>
          <w:rPr>
            <w:rStyle w:val="Hyperlink"/>
          </w:rPr>
          <w:t xml:space="preserve">https://doi.org/10.1002/mus.27853</w:t>
        </w:r>
      </w:hyperlink>
      <w:r>
        <w:t xml:space="preserve">（研究类型：症状前开放标签纵向临床研究）</w:t>
      </w:r>
    </w:p>
    <w:p>
      <w:pPr>
        <w:pStyle w:val="ReferenceEntry"/>
      </w:pPr>
      <w:bookmarkStart w:id="5959" w:name="ref-1679"/>
      <w:r>
        <w:t xml:space="preserve">[1679]</w:t>
      </w:r>
      <w:bookmarkEnd w:id="5959"/>
      <w:r>
        <w:t xml:space="preserve"> Handsaker RE, Kashin S, Reed NM, Tan S, Lee WS, McDonald TM, et al. Long somatic DNA-repeat expansion drives neurodegeneration in Huntington's disease.</w:t>
      </w:r>
      <w:r>
        <w:t xml:space="preserve"> </w:t>
      </w:r>
      <w:r>
        <w:rPr>
          <w:iCs/>
          <w:i/>
        </w:rPr>
        <w:t xml:space="preserve">Cell</w:t>
      </w:r>
      <w:r>
        <w:t xml:space="preserve">. 2025;188(3):623–639.e19.</w:t>
      </w:r>
      <w:r>
        <w:t xml:space="preserve"> </w:t>
      </w:r>
      <w:hyperlink r:id="rId5960">
        <w:r>
          <w:rPr>
            <w:rStyle w:val="Hyperlink"/>
          </w:rPr>
          <w:t xml:space="preserve">https://doi.org/10.1016/j.cell.2024.11.038</w:t>
        </w:r>
      </w:hyperlink>
      <w:r>
        <w:t xml:space="preserve">（研究类型：人体尸检组织单核重复长度及转录组研究）</w:t>
      </w:r>
    </w:p>
    <w:p>
      <w:pPr>
        <w:pStyle w:val="ReferenceEntry"/>
      </w:pPr>
      <w:bookmarkStart w:id="5961" w:name="ref-1680"/>
      <w:r>
        <w:t xml:space="preserve">[1680]</w:t>
      </w:r>
      <w:bookmarkEnd w:id="5961"/>
      <w:r>
        <w:t xml:space="preserve"> Genetic Modifiers of Huntington’s Disease (GeM-HD) Consortium, Group 1, Lee JM, McLean ZL, Correia K, Shin JW, et al. Genetic modifiers of somatic expansion and clinical phenotypes in Huntington’s disease highlight shared and tissue-specific effects.</w:t>
      </w:r>
      <w:r>
        <w:t xml:space="preserve"> </w:t>
      </w:r>
      <w:r>
        <w:rPr>
          <w:iCs/>
          <w:i/>
        </w:rPr>
        <w:t xml:space="preserve">Nature Genetics</w:t>
      </w:r>
      <w:r>
        <w:t xml:space="preserve">. 2025;57(6):1426–1436.</w:t>
      </w:r>
      <w:r>
        <w:t xml:space="preserve"> </w:t>
      </w:r>
      <w:hyperlink r:id="rId5962">
        <w:r>
          <w:rPr>
            <w:rStyle w:val="Hyperlink"/>
          </w:rPr>
          <w:t xml:space="preserve">https://doi.org/10.1038/s41588-025-02191-5</w:t>
        </w:r>
      </w:hyperlink>
      <w:r>
        <w:t xml:space="preserve">（研究类型：遗传关联与不同组织结局比较）</w:t>
      </w:r>
    </w:p>
    <w:p>
      <w:pPr>
        <w:pStyle w:val="ReferenceEntry"/>
      </w:pPr>
      <w:bookmarkStart w:id="5963" w:name="ref-1681"/>
      <w:r>
        <w:t xml:space="preserve">[1681]</w:t>
      </w:r>
      <w:bookmarkEnd w:id="5963"/>
      <w:r>
        <w:t xml:space="preserve"> Kay C, Levesley J, Mätlik K, Findlay Black H, Harvey E, Bortnick S, et al. Loss of interruption in the HTT CAG repeat is associated with somatic expansion and loss of medium spiny neurons in Huntington's disease.</w:t>
      </w:r>
      <w:r>
        <w:t xml:space="preserve"> </w:t>
      </w:r>
      <w:r>
        <w:rPr>
          <w:iCs/>
          <w:i/>
        </w:rPr>
        <w:t xml:space="preserve">Neuron</w:t>
      </w:r>
      <w:r>
        <w:t xml:space="preserve">. 2026.</w:t>
      </w:r>
      <w:r>
        <w:t xml:space="preserve"> </w:t>
      </w:r>
      <w:hyperlink r:id="rId5964">
        <w:r>
          <w:rPr>
            <w:rStyle w:val="Hyperlink"/>
          </w:rPr>
          <w:t xml:space="preserve">https://doi.org/10.1016/j.neuron.2026.08.010</w:t>
        </w:r>
      </w:hyperlink>
      <w:r>
        <w:t xml:space="preserve">（研究类型：人体脑组织重复序列与神经元病理研究）</w:t>
      </w:r>
    </w:p>
    <w:p>
      <w:pPr>
        <w:pStyle w:val="ReferenceEntry"/>
      </w:pPr>
      <w:bookmarkStart w:id="5965" w:name="ref-1682"/>
      <w:r>
        <w:t xml:space="preserve">[1682]</w:t>
      </w:r>
      <w:bookmarkEnd w:id="5965"/>
      <w:r>
        <w:t xml:space="preserve"> Tabrizi SJ, Leavitt BR, Landwehrmeyer GB, Wild EJ, Saft C, Barker RA, et al. Targeting Huntingtin Expression in Patients with Huntington's Disease.</w:t>
      </w:r>
      <w:r>
        <w:t xml:space="preserve"> </w:t>
      </w:r>
      <w:r>
        <w:rPr>
          <w:iCs/>
          <w:i/>
        </w:rPr>
        <w:t xml:space="preserve">New England Journal of Medicine</w:t>
      </w:r>
      <w:r>
        <w:t xml:space="preserve">. 2019;380(24):2307–2316.</w:t>
      </w:r>
      <w:r>
        <w:t xml:space="preserve"> </w:t>
      </w:r>
      <w:hyperlink r:id="rId5966">
        <w:r>
          <w:rPr>
            <w:rStyle w:val="Hyperlink"/>
          </w:rPr>
          <w:t xml:space="preserve">https://doi.org/10.1056/NEJMoa1900907</w:t>
        </w:r>
      </w:hyperlink>
      <w:r>
        <w:t xml:space="preserve">（研究类型：随机早期剂量递增临床研究）</w:t>
      </w:r>
    </w:p>
    <w:p>
      <w:pPr>
        <w:pStyle w:val="ReferenceEntry"/>
      </w:pPr>
      <w:bookmarkStart w:id="5967" w:name="ref-1683"/>
      <w:r>
        <w:t xml:space="preserve">[1683]</w:t>
      </w:r>
      <w:bookmarkEnd w:id="5967"/>
      <w:r>
        <w:t xml:space="preserve"> McColgan P, Thobhani A, Boak L, Schobel SA, Nicotra A, Palermo G, et al. Tominersen in Adults with Manifest Huntington's Disease.</w:t>
      </w:r>
      <w:r>
        <w:t xml:space="preserve"> </w:t>
      </w:r>
      <w:r>
        <w:rPr>
          <w:iCs/>
          <w:i/>
        </w:rPr>
        <w:t xml:space="preserve">New England Journal of Medicine</w:t>
      </w:r>
      <w:r>
        <w:t xml:space="preserve">. 2023;389(23):2203–2205.</w:t>
      </w:r>
      <w:r>
        <w:t xml:space="preserve"> </w:t>
      </w:r>
      <w:hyperlink r:id="rId5968">
        <w:r>
          <w:rPr>
            <w:rStyle w:val="Hyperlink"/>
          </w:rPr>
          <w:t xml:space="preserve">https://doi.org/10.1056/NEJMc2300400</w:t>
        </w:r>
      </w:hyperlink>
      <w:r>
        <w:t xml:space="preserve">（研究类型：随机三期试验提前停止后的结果简报，以 NEJM 来信形式发表）</w:t>
      </w:r>
    </w:p>
    <w:bookmarkEnd w:id="5969"/>
    <w:bookmarkEnd w:id="5970"/>
    <w:bookmarkEnd w:id="5971"/>
    <w:sectPr>
      <w:headerReference w:type="default" r:id="rIdHdrDefault"/>
      <w:headerReference w:type="first" r:id="rIdHdrFirst"/>
      <w:footerReference w:type="default" r:id="rIdFtrDefault"/>
      <w:footerReference w:type="first" r:id="rIdFtrFirst"/>
      <w:pgSz w:w="11906" w:h="16838"/>
      <w:pgMar w:top="1361" w:right="1247" w:bottom="1304" w:left="1247" w:header="680" w:footer="624" w:gutter="0"/>
      <w:pgNumType w:start="1"/>
      <w:cols w:space="425"/>
      <w:titlePg/>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Bdr>
        <w:bottom w:val="single" w:sz="4" w:space="4" w:color="C9D3DE"/>
      </w:pBdr>
      <w:jc w:val="right"/>
    </w:pPr>
    <w:r>
      <w:t>脑科学原理、证据与常见误解</w:t>
    </w:r>
  </w:p>
</w:hdr>
</file>

<file path=word/header2.xml><?xml version="1.0" encoding="utf-8"?>
<w:hdr xmlns:w="http://schemas.openxmlformats.org/wordprocessingml/2006/main" xmlns:r="http://schemas.openxmlformats.org/officeDocument/2006/relationships">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color w:val="1A1A1A"/>
        <w:sz w:val="21"/>
        <w:szCs w:val="21"/>
        <w:lang w:bidi="ar-SA" w:eastAsia="zh-CN" w:val="en-US"/>
      </w:rPr>
    </w:rPrDefault>
    <w:pPrDefault>
      <w:pPr>
        <w:widowControl/>
        <w:spacing w:after="0" w:line="240" w:lineRule="auto"/>
      </w:pPr>
    </w:pPrDefault>
  </w:docDefaults>
  <w:latentStyles w:count="276" w:defLockedState="0" w:defQFormat="0" w:defSemiHidden="0" w:defUIPriority="99" w:defUnhideWhenUsed="0"/>
  <w:style w:default="1" w:styleId="Normal" w:type="paragraph">
    <w:name w:val="Normal"/>
    <w:qFormat/>
    <w:pPr>
      <w:widowControl/>
      <w:spacing w:after="140" w:before="0" w:line="350" w:lineRule="exact"/>
      <w:jc w:val="both"/>
    </w:pPr>
    <w:rPr>
      <w:rFonts w:ascii="Times New Roman" w:cs="Times New Roman" w:eastAsia="SimSun" w:hAnsi="Times New Roman"/>
      <w:color w:val="1A1A1A"/>
      <w:kern w:val="0"/>
      <w:sz w:val="21"/>
      <w:szCs w:val="21"/>
    </w:rPr>
  </w:style>
  <w:style w:styleId="BodyText" w:type="paragraph">
    <w:name w:val="Body Text"/>
    <w:basedOn w:val="Normal"/>
    <w:qFormat/>
    <w:pPr/>
    <w:rPr/>
  </w:style>
  <w:style w:styleId="FirstParagraph" w:type="paragraph">
    <w:name w:val="First Paragraph"/>
    <w:basedOn w:val="BodyText"/>
    <w:next w:val="BodyText"/>
    <w:qFormat/>
    <w:pPr/>
    <w:rPr/>
  </w:style>
  <w:style w:styleId="Compact" w:type="paragraph">
    <w:name w:val="Compact"/>
    <w:basedOn w:val="BodyText"/>
    <w:qFormat/>
    <w:pPr>
      <w:spacing w:after="20" w:before="20" w:line="270" w:lineRule="exact"/>
      <w:jc w:val="left"/>
    </w:pPr>
    <w:rPr>
      <w:rFonts w:ascii="Arial" w:cs="Arial" w:eastAsia="Microsoft YaHei" w:hAnsi="Arial"/>
      <w:sz w:val="17"/>
      <w:szCs w:val="17"/>
    </w:rPr>
  </w:style>
  <w:style w:styleId="Heading1" w:type="paragraph">
    <w:name w:val="heading 1"/>
    <w:basedOn w:val="Normal"/>
    <w:next w:val="BodyText"/>
    <w:qFormat/>
    <w:pPr>
      <w:keepNext/>
      <w:keepLines/>
      <w:pageBreakBefore/>
      <w:pBdr>
        <w:bottom w:color="2B6F6D" w:space="10" w:sz="12" w:val="single"/>
      </w:pBdr>
      <w:spacing w:after="600" w:before="2400" w:line="560" w:lineRule="exact"/>
      <w:jc w:val="center"/>
      <w:outlineLvl w:val="0"/>
    </w:pPr>
    <w:rPr>
      <w:rFonts w:ascii="Arial" w:cs="Arial" w:eastAsia="Microsoft YaHei" w:hAnsi="Arial"/>
      <w:b/>
      <w:bCs/>
      <w:color w:val="1F3A5F"/>
      <w:sz w:val="44"/>
      <w:szCs w:val="44"/>
    </w:rPr>
  </w:style>
  <w:style w:styleId="Heading2" w:type="paragraph">
    <w:name w:val="heading 2"/>
    <w:basedOn w:val="Normal"/>
    <w:next w:val="BodyText"/>
    <w:qFormat/>
    <w:pPr>
      <w:keepNext/>
      <w:keepLines/>
      <w:pageBreakBefore/>
      <w:pBdr>
        <w:bottom w:color="2B6F6D" w:space="6" w:sz="8" w:val="single"/>
      </w:pBdr>
      <w:spacing w:after="360" w:before="240" w:line="440" w:lineRule="exact"/>
      <w:jc w:val="left"/>
      <w:outlineLvl w:val="1"/>
    </w:pPr>
    <w:rPr>
      <w:rFonts w:ascii="Arial" w:cs="Arial" w:eastAsia="Microsoft YaHei" w:hAnsi="Arial"/>
      <w:b/>
      <w:bCs/>
      <w:color w:val="1F3A5F"/>
      <w:sz w:val="32"/>
      <w:szCs w:val="32"/>
    </w:rPr>
  </w:style>
  <w:style w:styleId="Heading3" w:type="paragraph">
    <w:name w:val="heading 3"/>
    <w:basedOn w:val="Normal"/>
    <w:next w:val="BodyText"/>
    <w:qFormat/>
    <w:pPr>
      <w:keepNext/>
      <w:keepLines/>
      <w:spacing w:after="140" w:before="360" w:line="360" w:lineRule="exact"/>
      <w:jc w:val="left"/>
      <w:outlineLvl w:val="2"/>
    </w:pPr>
    <w:rPr>
      <w:rFonts w:ascii="Arial" w:cs="Arial" w:eastAsia="Microsoft YaHei" w:hAnsi="Arial"/>
      <w:b/>
      <w:bCs/>
      <w:color w:val="1F3A5F"/>
      <w:sz w:val="25"/>
      <w:szCs w:val="25"/>
    </w:rPr>
  </w:style>
  <w:style w:styleId="Heading4" w:type="paragraph">
    <w:name w:val="heading 4"/>
    <w:basedOn w:val="Normal"/>
    <w:next w:val="BodyText"/>
    <w:qFormat/>
    <w:pPr>
      <w:keepNext/>
      <w:keepLines/>
      <w:spacing w:after="100" w:before="240" w:line="320" w:lineRule="exact"/>
      <w:jc w:val="left"/>
      <w:outlineLvl w:val="3"/>
    </w:pPr>
    <w:rPr>
      <w:rFonts w:ascii="Arial" w:cs="Arial" w:eastAsia="Microsoft YaHei" w:hAnsi="Arial"/>
      <w:b/>
      <w:bCs/>
      <w:color w:val="2B6F6D"/>
      <w:sz w:val="22"/>
      <w:szCs w:val="22"/>
    </w:rPr>
  </w:style>
  <w:style w:styleId="Heading5" w:type="paragraph">
    <w:name w:val="heading 5"/>
    <w:basedOn w:val="Normal"/>
    <w:next w:val="BodyText"/>
    <w:qFormat/>
    <w:pPr>
      <w:keepNext/>
      <w:spacing w:after="80" w:before="200"/>
      <w:outlineLvl w:val="4"/>
    </w:pPr>
    <w:rPr>
      <w:rFonts w:ascii="Arial" w:cs="Arial" w:eastAsia="Microsoft YaHei" w:hAnsi="Arial"/>
      <w:b/>
      <w:bCs/>
      <w:sz w:val="21"/>
      <w:szCs w:val="21"/>
    </w:rPr>
  </w:style>
  <w:style w:styleId="Heading6" w:type="paragraph">
    <w:name w:val="heading 6"/>
    <w:basedOn w:val="Normal"/>
    <w:next w:val="BodyText"/>
    <w:qFormat/>
    <w:pPr>
      <w:keepNext/>
      <w:spacing w:after="80" w:before="200"/>
      <w:outlineLvl w:val="5"/>
    </w:pPr>
    <w:rPr>
      <w:rFonts w:ascii="Arial" w:cs="Arial" w:eastAsia="Microsoft YaHei" w:hAnsi="Arial"/>
      <w:b/>
      <w:bCs/>
      <w:sz w:val="21"/>
      <w:szCs w:val="21"/>
    </w:rPr>
  </w:style>
  <w:style w:styleId="Heading7" w:type="paragraph">
    <w:name w:val="heading 7"/>
    <w:basedOn w:val="Normal"/>
    <w:next w:val="BodyText"/>
    <w:qFormat/>
    <w:pPr>
      <w:keepNext/>
      <w:spacing w:after="80" w:before="200"/>
      <w:outlineLvl w:val="6"/>
    </w:pPr>
    <w:rPr>
      <w:rFonts w:ascii="Arial" w:cs="Arial" w:eastAsia="Microsoft YaHei" w:hAnsi="Arial"/>
      <w:b/>
      <w:bCs/>
      <w:sz w:val="21"/>
      <w:szCs w:val="21"/>
    </w:rPr>
  </w:style>
  <w:style w:styleId="Heading8" w:type="paragraph">
    <w:name w:val="heading 8"/>
    <w:basedOn w:val="Normal"/>
    <w:next w:val="BodyText"/>
    <w:qFormat/>
    <w:pPr>
      <w:keepNext/>
      <w:spacing w:after="80" w:before="200"/>
      <w:outlineLvl w:val="7"/>
    </w:pPr>
    <w:rPr>
      <w:rFonts w:ascii="Arial" w:cs="Arial" w:eastAsia="Microsoft YaHei" w:hAnsi="Arial"/>
      <w:b/>
      <w:bCs/>
      <w:sz w:val="21"/>
      <w:szCs w:val="21"/>
    </w:rPr>
  </w:style>
  <w:style w:styleId="Heading9" w:type="paragraph">
    <w:name w:val="heading 9"/>
    <w:basedOn w:val="Normal"/>
    <w:next w:val="BodyText"/>
    <w:qFormat/>
    <w:pPr>
      <w:keepNext/>
      <w:spacing w:after="80" w:before="200"/>
      <w:outlineLvl w:val="8"/>
    </w:pPr>
    <w:rPr>
      <w:rFonts w:ascii="Arial" w:cs="Arial" w:eastAsia="Microsoft YaHei" w:hAnsi="Arial"/>
      <w:b/>
      <w:bCs/>
      <w:sz w:val="21"/>
      <w:szCs w:val="21"/>
    </w:rPr>
  </w:style>
  <w:style w:styleId="Title" w:type="paragraph">
    <w:name w:val="Title"/>
    <w:basedOn w:val="Normal"/>
    <w:next w:val="BodyText"/>
    <w:qFormat/>
    <w:pPr>
      <w:jc w:val="center"/>
    </w:pPr>
    <w:rPr>
      <w:rFonts w:ascii="Arial" w:cs="Arial" w:eastAsia="Microsoft YaHei" w:hAnsi="Arial"/>
      <w:b/>
      <w:color w:val="1F3A5F"/>
      <w:sz w:val="52"/>
    </w:rPr>
  </w:style>
  <w:style w:styleId="Subtitle" w:type="paragraph">
    <w:name w:val="Subtitle"/>
    <w:basedOn w:val="Title"/>
    <w:next w:val="BodyText"/>
    <w:qFormat/>
    <w:pPr>
      <w:jc w:val="center"/>
    </w:pPr>
    <w:rPr>
      <w:rFonts w:ascii="Arial" w:cs="Arial" w:eastAsia="Microsoft YaHei" w:hAnsi="Arial"/>
      <w:color w:val="2B6F6D"/>
      <w:sz w:val="28"/>
    </w:rPr>
  </w:style>
  <w:style w:customStyle="1" w:styleId="Author" w:type="paragraph">
    <w:name w:val="Author"/>
    <w:basedOn w:val="BodyText"/>
    <w:next w:val="BodyText"/>
    <w:qFormat/>
    <w:pPr>
      <w:jc w:val="center"/>
    </w:pPr>
    <w:rPr/>
  </w:style>
  <w:style w:customStyle="1" w:styleId="Date" w:type="paragraph">
    <w:name w:val="Date"/>
    <w:basedOn w:val="BodyText"/>
    <w:next w:val="BodyText"/>
    <w:qFormat/>
    <w:pPr>
      <w:jc w:val="center"/>
    </w:pPr>
    <w:rPr/>
  </w:style>
  <w:style w:customStyle="1" w:styleId="Abstract" w:type="paragraph">
    <w:name w:val="Abstract"/>
    <w:basedOn w:val="BodyText"/>
    <w:next w:val="BodyText"/>
    <w:qFormat/>
    <w:pPr/>
    <w:rPr/>
  </w:style>
  <w:style w:customStyle="1" w:styleId="Bibliography" w:type="paragraph">
    <w:name w:val="Bibliography"/>
    <w:basedOn w:val="BodyText"/>
    <w:next w:val="BodyText"/>
    <w:qFormat/>
    <w:pPr/>
    <w:rPr/>
  </w:style>
  <w:style w:styleId="BlockText" w:type="paragraph">
    <w:name w:val="Block Text"/>
    <w:basedOn w:val="BodyText"/>
    <w:next w:val="BodyText"/>
    <w:qFormat/>
    <w:pPr>
      <w:pBdr>
        <w:left w:color="2B6F6D" w:space="8" w:sz="18" w:val="single"/>
      </w:pBdr>
      <w:shd w:color="auto" w:fill="EEF4F3" w:val="clear"/>
      <w:spacing w:after="160" w:before="60" w:line="320" w:lineRule="exact"/>
      <w:ind w:left="200" w:right="120"/>
    </w:pPr>
    <w:rPr>
      <w:sz w:val="20"/>
      <w:szCs w:val="20"/>
    </w:rPr>
  </w:style>
  <w:style w:customStyle="1" w:styleId="CalloutJudgment" w:type="paragraph">
    <w:name w:val="Callout Judgment"/>
    <w:basedOn w:val="Normal"/>
    <w:qFormat/>
    <w:pPr>
      <w:pBdr>
        <w:left w:color="1F3A5F" w:space="8" w:sz="18" w:val="single"/>
      </w:pBdr>
      <w:shd w:color="auto" w:fill="EAF0F7" w:val="clear"/>
      <w:spacing w:after="160" w:before="60" w:line="320" w:lineRule="exact"/>
      <w:ind w:left="200" w:right="120"/>
      <w:jc w:val="both"/>
    </w:pPr>
    <w:rPr>
      <w:rFonts w:ascii="Times New Roman" w:cs="Times New Roman" w:eastAsia="SimSun" w:hAnsi="Times New Roman"/>
      <w:sz w:val="20"/>
      <w:szCs w:val="20"/>
    </w:rPr>
  </w:style>
  <w:style w:customStyle="1" w:styleId="CalloutMyth" w:type="paragraph">
    <w:name w:val="Callout Myth"/>
    <w:basedOn w:val="Normal"/>
    <w:qFormat/>
    <w:pPr>
      <w:pBdr>
        <w:left w:color="C07A12" w:space="8" w:sz="18" w:val="single"/>
      </w:pBdr>
      <w:shd w:color="auto" w:fill="FBF3E6" w:val="clear"/>
      <w:spacing w:after="160" w:before="60" w:line="320" w:lineRule="exact"/>
      <w:ind w:left="200" w:right="120"/>
      <w:jc w:val="both"/>
    </w:pPr>
    <w:rPr>
      <w:rFonts w:ascii="Times New Roman" w:cs="Times New Roman" w:eastAsia="SimSun" w:hAnsi="Times New Roman"/>
      <w:sz w:val="20"/>
      <w:szCs w:val="20"/>
    </w:rPr>
  </w:style>
  <w:style w:customStyle="1" w:styleId="CalloutPractice" w:type="paragraph">
    <w:name w:val="Callout Practice"/>
    <w:basedOn w:val="Normal"/>
    <w:qFormat/>
    <w:pPr>
      <w:pBdr>
        <w:left w:color="2B6F6D" w:space="8" w:sz="18" w:val="single"/>
      </w:pBdr>
      <w:shd w:color="auto" w:fill="EDF5F1" w:val="clear"/>
      <w:spacing w:after="160" w:before="60" w:line="320" w:lineRule="exact"/>
      <w:ind w:left="200" w:right="120"/>
      <w:jc w:val="both"/>
    </w:pPr>
    <w:rPr>
      <w:rFonts w:ascii="Times New Roman" w:cs="Times New Roman" w:eastAsia="SimSun" w:hAnsi="Times New Roman"/>
      <w:sz w:val="20"/>
      <w:szCs w:val="20"/>
    </w:rPr>
  </w:style>
  <w:style w:customStyle="1" w:styleId="CalloutNote" w:type="paragraph">
    <w:name w:val="Callout Note"/>
    <w:basedOn w:val="Normal"/>
    <w:qFormat/>
    <w:pPr>
      <w:pBdr>
        <w:left w:color="7F7F7F" w:space="8" w:sz="18" w:val="single"/>
      </w:pBdr>
      <w:shd w:color="auto" w:fill="F2F2F2" w:val="clear"/>
      <w:spacing w:after="160" w:before="60" w:line="320" w:lineRule="exact"/>
      <w:ind w:left="200" w:right="120"/>
      <w:jc w:val="both"/>
    </w:pPr>
    <w:rPr>
      <w:rFonts w:ascii="Times New Roman" w:cs="Times New Roman" w:eastAsia="SimSun" w:hAnsi="Times New Roman"/>
      <w:sz w:val="20"/>
      <w:szCs w:val="20"/>
    </w:rPr>
  </w:style>
  <w:style w:styleId="Caption" w:type="paragraph">
    <w:name w:val="caption"/>
    <w:basedOn w:val="Normal"/>
    <w:next w:val="BodyText"/>
    <w:qFormat/>
    <w:pPr>
      <w:spacing w:after="200" w:before="80" w:line="290" w:lineRule="exact"/>
    </w:pPr>
    <w:rPr>
      <w:rFonts w:ascii="Arial" w:cs="Arial" w:eastAsia="Microsoft YaHei" w:hAnsi="Arial"/>
      <w:color w:val="595959"/>
      <w:sz w:val="18"/>
      <w:szCs w:val="18"/>
    </w:rPr>
  </w:style>
  <w:style w:customStyle="1" w:styleId="TableCaption" w:type="paragraph">
    <w:name w:val="Table Caption"/>
    <w:basedOn w:val="Caption"/>
    <w:next w:val="BodyText"/>
    <w:qFormat/>
    <w:pPr>
      <w:keepNext/>
      <w:keepLines/>
      <w:spacing w:after="100" w:before="280" w:line="300" w:lineRule="exact"/>
      <w:jc w:val="left"/>
    </w:pPr>
    <w:rPr>
      <w:rFonts w:ascii="Arial" w:cs="Arial" w:eastAsia="Microsoft YaHei" w:hAnsi="Arial"/>
      <w:b/>
      <w:bCs/>
      <w:color w:val="1F3A5F"/>
      <w:sz w:val="20"/>
      <w:szCs w:val="20"/>
    </w:rPr>
  </w:style>
  <w:style w:customStyle="1" w:styleId="ImageCaption" w:type="paragraph">
    <w:name w:val="Image Caption"/>
    <w:basedOn w:val="Caption"/>
    <w:next w:val="BodyText"/>
    <w:qFormat/>
    <w:pPr>
      <w:keepLines/>
      <w:spacing w:after="260" w:before="60" w:line="290" w:lineRule="exact"/>
      <w:ind w:left="280" w:right="280"/>
      <w:jc w:val="both"/>
    </w:pPr>
    <w:rPr>
      <w:rFonts w:ascii="Arial" w:cs="Arial" w:eastAsia="Microsoft YaHei" w:hAnsi="Arial"/>
      <w:color w:val="595959"/>
      <w:sz w:val="18"/>
      <w:szCs w:val="18"/>
    </w:rPr>
  </w:style>
  <w:style w:customStyle="1" w:styleId="Figure" w:type="paragraph">
    <w:name w:val="Figure"/>
    <w:basedOn w:val="BodyText"/>
    <w:next w:val="BodyText"/>
    <w:qFormat/>
    <w:pPr>
      <w:keepNext/>
      <w:spacing w:after="60" w:before="120" w:line="240" w:lineRule="auto"/>
      <w:jc w:val="center"/>
    </w:pPr>
    <w:rPr/>
  </w:style>
  <w:style w:customStyle="1" w:styleId="CaptionedFigure" w:type="paragraph">
    <w:name w:val="Captioned Figure"/>
    <w:basedOn w:val="Figure"/>
    <w:next w:val="BodyText"/>
    <w:qFormat/>
    <w:pPr>
      <w:keepNext/>
      <w:jc w:val="center"/>
    </w:pPr>
    <w:rPr/>
  </w:style>
  <w:style w:customStyle="1" w:styleId="TableNote" w:type="paragraph">
    <w:name w:val="Table Note"/>
    <w:basedOn w:val="Normal"/>
    <w:next w:val="BodyText"/>
    <w:qFormat/>
    <w:pPr>
      <w:spacing w:after="200" w:before="60" w:line="270" w:lineRule="exact"/>
    </w:pPr>
    <w:rPr>
      <w:rFonts w:ascii="Arial" w:cs="Arial" w:eastAsia="Microsoft YaHei" w:hAnsi="Arial"/>
      <w:color w:val="595959"/>
      <w:sz w:val="17"/>
      <w:szCs w:val="17"/>
    </w:rPr>
  </w:style>
  <w:style w:customStyle="1" w:styleId="ReferenceEntry" w:type="paragraph">
    <w:name w:val="Reference Entry"/>
    <w:basedOn w:val="Normal"/>
    <w:next w:val="ReferenceEntry"/>
    <w:qFormat/>
    <w:pPr>
      <w:spacing w:after="70" w:before="0" w:line="270" w:lineRule="exact"/>
      <w:ind w:hanging="680" w:left="680"/>
      <w:jc w:val="left"/>
    </w:pPr>
    <w:rPr>
      <w:rFonts w:ascii="Times New Roman" w:cs="Times New Roman" w:eastAsia="SimSun" w:hAnsi="Times New Roman"/>
      <w:sz w:val="17"/>
      <w:szCs w:val="17"/>
    </w:rPr>
  </w:style>
  <w:style w:customStyle="1" w:styleId="GlossaryEntry" w:type="paragraph">
    <w:name w:val="Glossary Entry"/>
    <w:basedOn w:val="Normal"/>
    <w:next w:val="GlossaryEntry"/>
    <w:qFormat/>
    <w:pPr>
      <w:spacing w:after="80" w:before="0" w:line="290" w:lineRule="exact"/>
      <w:ind w:hanging="360" w:left="360"/>
      <w:jc w:val="left"/>
    </w:pPr>
    <w:rPr>
      <w:sz w:val="19"/>
      <w:szCs w:val="19"/>
    </w:rPr>
  </w:style>
  <w:style w:customStyle="1" w:styleId="CoverTitle" w:type="paragraph">
    <w:name w:val="Cover Title"/>
    <w:basedOn w:val="Normal"/>
    <w:next w:val="CoverSubtitle"/>
    <w:qFormat/>
    <w:pPr>
      <w:spacing w:after="360" w:before="3600" w:line="800" w:lineRule="exact"/>
      <w:jc w:val="center"/>
    </w:pPr>
    <w:rPr>
      <w:rFonts w:ascii="Arial" w:cs="Arial" w:eastAsia="Microsoft YaHei" w:hAnsi="Arial"/>
      <w:b/>
      <w:bCs/>
      <w:color w:val="1F3A5F"/>
      <w:sz w:val="60"/>
      <w:szCs w:val="60"/>
    </w:rPr>
  </w:style>
  <w:style w:customStyle="1" w:styleId="CoverSubtitle" w:type="paragraph">
    <w:name w:val="Cover Subtitle"/>
    <w:basedOn w:val="Normal"/>
    <w:next w:val="CoverMeta"/>
    <w:qFormat/>
    <w:pPr>
      <w:spacing w:after="240" w:before="0" w:line="440" w:lineRule="exact"/>
      <w:jc w:val="center"/>
    </w:pPr>
    <w:rPr>
      <w:rFonts w:ascii="Arial" w:cs="Arial" w:eastAsia="Microsoft YaHei" w:hAnsi="Arial"/>
      <w:color w:val="2B6F6D"/>
      <w:sz w:val="30"/>
      <w:szCs w:val="30"/>
    </w:rPr>
  </w:style>
  <w:style w:customStyle="1" w:styleId="CoverMeta" w:type="paragraph">
    <w:name w:val="Cover Meta"/>
    <w:basedOn w:val="Normal"/>
    <w:next w:val="CoverMeta"/>
    <w:qFormat/>
    <w:pPr>
      <w:pBdr>
        <w:top w:color="2B6F6D" w:space="12" w:sz="8" w:val="single"/>
      </w:pBdr>
      <w:spacing w:after="120" w:before="1200" w:line="340" w:lineRule="exact"/>
      <w:jc w:val="center"/>
    </w:pPr>
    <w:rPr>
      <w:rFonts w:ascii="Arial" w:cs="Arial" w:eastAsia="Microsoft YaHei" w:hAnsi="Arial"/>
      <w:color w:val="5B6B7F"/>
      <w:sz w:val="20"/>
      <w:szCs w:val="20"/>
    </w:rPr>
  </w:style>
  <w:style w:customStyle="1" w:styleId="CoverNote" w:type="paragraph">
    <w:name w:val="Cover Note"/>
    <w:basedOn w:val="Normal"/>
    <w:next w:val="CoverNote"/>
    <w:qFormat/>
    <w:pPr>
      <w:spacing w:after="80" w:before="0" w:line="320" w:lineRule="exact"/>
      <w:jc w:val="center"/>
    </w:pPr>
    <w:rPr>
      <w:rFonts w:ascii="Arial" w:cs="Arial" w:eastAsia="Microsoft YaHei" w:hAnsi="Arial"/>
      <w:color w:val="5B6B7F"/>
      <w:sz w:val="19"/>
      <w:szCs w:val="19"/>
    </w:rPr>
  </w:style>
  <w:style w:customStyle="1" w:styleId="FrontHeading" w:type="paragraph">
    <w:name w:val="Front Heading"/>
    <w:basedOn w:val="Normal"/>
    <w:next w:val="BodyText"/>
    <w:qFormat/>
    <w:pPr>
      <w:keepNext/>
      <w:pageBreakBefore/>
      <w:pBdr>
        <w:bottom w:color="2B6F6D" w:space="6" w:sz="8" w:val="single"/>
      </w:pBdr>
      <w:spacing w:after="360" w:before="240" w:line="440" w:lineRule="exact"/>
      <w:outlineLvl w:val="0"/>
    </w:pPr>
    <w:rPr>
      <w:rFonts w:ascii="Arial" w:cs="Arial" w:eastAsia="Microsoft YaHei" w:hAnsi="Arial"/>
      <w:b/>
      <w:bCs/>
      <w:color w:val="1F3A5F"/>
      <w:sz w:val="32"/>
      <w:szCs w:val="32"/>
    </w:rPr>
  </w:style>
  <w:style w:customStyle="1" w:styleId="TOCHeadingCustom" w:type="paragraph">
    <w:name w:val="Contents Heading"/>
    <w:basedOn w:val="Normal"/>
    <w:next w:val="BodyText"/>
    <w:qFormat/>
    <w:pPr>
      <w:keepNext/>
      <w:pageBreakBefore/>
      <w:pBdr>
        <w:bottom w:color="2B6F6D" w:space="6" w:sz="8" w:val="single"/>
      </w:pBdr>
      <w:spacing w:after="360" w:before="240" w:line="440" w:lineRule="exact"/>
    </w:pPr>
    <w:rPr>
      <w:rFonts w:ascii="Arial" w:cs="Arial" w:eastAsia="Microsoft YaHei" w:hAnsi="Arial"/>
      <w:b/>
      <w:bCs/>
      <w:color w:val="1F3A5F"/>
      <w:sz w:val="32"/>
      <w:szCs w:val="32"/>
    </w:rPr>
  </w:style>
  <w:style w:customStyle="1" w:styleId="PartIntro" w:type="paragraph">
    <w:name w:val="Part Intro"/>
    <w:basedOn w:val="Normal"/>
    <w:next w:val="PartIntro"/>
    <w:qFormat/>
    <w:pPr>
      <w:spacing w:after="160" w:before="120" w:line="360" w:lineRule="exact"/>
      <w:ind w:left="600" w:right="600"/>
      <w:jc w:val="both"/>
    </w:pPr>
    <w:rPr>
      <w:color w:val="404040"/>
      <w:sz w:val="21"/>
      <w:szCs w:val="21"/>
    </w:rPr>
  </w:style>
  <w:style w:styleId="TOCHeading" w:type="paragraph">
    <w:name w:val="TOC Heading"/>
    <w:basedOn w:val="Heading1"/>
    <w:next w:val="BodyText"/>
    <w:qFormat/>
    <w:pPr>
      <w:outlineLvl w:val="9"/>
    </w:pPr>
    <w:rPr/>
  </w:style>
  <w:style w:styleId="TOC1" w:type="paragraph">
    <w:name w:val="toc 1"/>
    <w:basedOn w:val="Normal"/>
    <w:next w:val="Normal"/>
    <w:qFormat/>
    <w:pPr>
      <w:tabs>
        <w:tab w:leader="dot" w:pos="9400" w:val="right"/>
      </w:tabs>
      <w:spacing w:after="40" w:before="160" w:line="300" w:lineRule="exact"/>
    </w:pPr>
    <w:rPr>
      <w:rFonts w:ascii="Arial" w:cs="Arial" w:eastAsia="Microsoft YaHei" w:hAnsi="Arial"/>
      <w:b/>
      <w:color w:val="1F3A5F"/>
      <w:sz w:val="21"/>
      <w:szCs w:val="21"/>
    </w:rPr>
  </w:style>
  <w:style w:styleId="TOC2" w:type="paragraph">
    <w:name w:val="toc 2"/>
    <w:basedOn w:val="Normal"/>
    <w:next w:val="Normal"/>
    <w:qFormat/>
    <w:pPr>
      <w:tabs>
        <w:tab w:leader="dot" w:pos="9400" w:val="right"/>
      </w:tabs>
      <w:spacing w:after="20" w:before="0" w:line="280" w:lineRule="exact"/>
      <w:ind w:left="420"/>
    </w:pPr>
    <w:rPr>
      <w:sz w:val="19"/>
      <w:szCs w:val="19"/>
    </w:rPr>
  </w:style>
  <w:style w:styleId="TOC3" w:type="paragraph">
    <w:name w:val="toc 3"/>
    <w:basedOn w:val="Normal"/>
    <w:next w:val="Normal"/>
    <w:qFormat/>
    <w:pPr>
      <w:tabs>
        <w:tab w:leader="dot" w:pos="9400" w:val="right"/>
      </w:tabs>
      <w:spacing w:after="0" w:before="0"/>
      <w:ind w:left="840"/>
    </w:pPr>
    <w:rPr>
      <w:sz w:val="18"/>
      <w:szCs w:val="18"/>
    </w:rPr>
  </w:style>
  <w:style w:styleId="Header" w:type="paragraph">
    <w:name w:val="header"/>
    <w:basedOn w:val="Normal"/>
    <w:qFormat/>
    <w:pPr>
      <w:tabs>
        <w:tab w:pos="4706" w:val="center"/>
        <w:tab w:pos="9412" w:val="right"/>
      </w:tabs>
      <w:spacing w:after="0" w:line="240" w:lineRule="auto"/>
    </w:pPr>
    <w:rPr>
      <w:rFonts w:ascii="Arial" w:cs="Arial" w:eastAsia="Microsoft YaHei" w:hAnsi="Arial"/>
      <w:color w:val="7F7F7F"/>
      <w:sz w:val="16"/>
      <w:szCs w:val="16"/>
    </w:rPr>
  </w:style>
  <w:style w:styleId="Footer" w:type="paragraph">
    <w:name w:val="footer"/>
    <w:basedOn w:val="Normal"/>
    <w:qFormat/>
    <w:pPr>
      <w:tabs>
        <w:tab w:pos="4706" w:val="center"/>
        <w:tab w:pos="9412" w:val="right"/>
      </w:tabs>
      <w:spacing w:after="0" w:line="240" w:lineRule="auto"/>
      <w:jc w:val="center"/>
    </w:pPr>
    <w:rPr>
      <w:rFonts w:ascii="Arial" w:cs="Arial" w:eastAsia="Microsoft YaHei" w:hAnsi="Arial"/>
      <w:color w:val="7F7F7F"/>
      <w:sz w:val="17"/>
      <w:szCs w:val="17"/>
    </w:rPr>
  </w:style>
  <w:style w:styleId="FootnoteText" w:type="paragraph">
    <w:name w:val="footnote text"/>
    <w:basedOn w:val="Normal"/>
    <w:qFormat/>
    <w:pPr/>
    <w:rPr>
      <w:sz w:val="18"/>
    </w:rPr>
  </w:style>
  <w:style w:default="1" w:styleId="DefaultParagraphFont" w:type="character">
    <w:name w:val="Default Paragraph Font"/>
    <w:uiPriority w:val="1"/>
    <w:semiHidden/>
    <w:unhideWhenUsed/>
  </w:style>
  <w:style w:styleId="BodyTextChar" w:type="character">
    <w:name w:val="Body Text Char"/>
    <w:basedOn w:val="DefaultParagraphFont"/>
    <w:rPr/>
  </w:style>
  <w:style w:styleId="VerbatimChar" w:type="character">
    <w:name w:val="Verbatim Char"/>
    <w:basedOn w:val="BodyTextChar"/>
    <w:rPr>
      <w:rFonts w:ascii="Consolas" w:hAnsi="Consolas"/>
      <w:sz w:val="19"/>
    </w:rPr>
  </w:style>
  <w:style w:styleId="SectionNumber" w:type="character">
    <w:name w:val="Section Number"/>
    <w:basedOn w:val="BodyTextChar"/>
    <w:rPr/>
  </w:style>
  <w:style w:styleId="FootnoteReference" w:type="character">
    <w:name w:val="footnote reference"/>
    <w:basedOn w:val="BodyTextChar"/>
    <w:rPr>
      <w:vertAlign w:val="superscript"/>
    </w:rPr>
  </w:style>
  <w:style w:styleId="Hyperlink" w:type="character">
    <w:name w:val="Hyperlink"/>
    <w:basedOn w:val="BodyTextChar"/>
    <w:rPr>
      <w:color w:val="2B6F6D"/>
    </w:rPr>
  </w:style>
  <w:style w:styleId="CiteChar" w:type="character">
    <w:name w:val="Cite Char"/>
    <w:basedOn w:val="BodyTextChar"/>
    <w:rPr>
      <w:color w:val="2B6F6D"/>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qFormat/>
    <w:pPr>
      <w:spacing w:after="20" w:before="20" w:line="270" w:lineRule="exact"/>
      <w:jc w:val="left"/>
    </w:pPr>
    <w:rPr>
      <w:rFonts w:ascii="Arial" w:cs="Arial" w:eastAsia="Microsoft YaHei" w:hAnsi="Arial"/>
      <w:sz w:val="17"/>
      <w:szCs w:val="17"/>
    </w:rPr>
    <w:tblPr>
      <w:tblBorders>
        <w:top w:color="1F3A5F" w:space="0" w:sz="6" w:val="single"/>
        <w:bottom w:color="1F3A5F" w:space="0" w:sz="6" w:val="single"/>
        <w:insideH w:color="C9D3DE" w:space="0" w:sz="4" w:val="single"/>
        <w:insideV w:color="C9D3DE" w:space="0" w:sz="4" w:val="single"/>
      </w:tblBorders>
      <w:tblCellMar>
        <w:top w:type="dxa" w:w="50"/>
        <w:left w:type="dxa" w:w="90"/>
        <w:bottom w:type="dxa" w:w="50"/>
        <w:right w:type="dxa" w:w="90"/>
      </w:tblCellMar>
    </w:tblPr>
    <w:tblStylePr w:type="firstRow">
      <w:rPr>
        <w:b/>
        <w:bCs/>
        <w:color w:val="FFFFFF"/>
      </w:rPr>
      <w:tblPr/>
      <w:tcPr>
        <w:shd w:color="auto" w:fill="1F3A5F" w:val="clear"/>
      </w:tcPr>
    </w:tblStylePr>
    <w:tblStylePr w:type="band1Horz">
      <w:tblPr/>
      <w:tcPr>
        <w:shd w:color="auto" w:fill="F5F8FB" w:val="clear"/>
      </w:tcPr>
    </w:tblStyle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4" Target="media/rId1494.png" /><Relationship Type="http://schemas.openxmlformats.org/officeDocument/2006/relationships/image" Id="rId1498" Target="media/rId1498.png" /><Relationship Type="http://schemas.openxmlformats.org/officeDocument/2006/relationships/image" Id="rId1115" Target="media/rId1115.png" /><Relationship Type="http://schemas.openxmlformats.org/officeDocument/2006/relationships/image" Id="rId135" Target="media/rId135.png" /><Relationship Type="http://schemas.openxmlformats.org/officeDocument/2006/relationships/image" Id="rId237" Target="media/rId237.png" /><Relationship Type="http://schemas.openxmlformats.org/officeDocument/2006/relationships/image" Id="rId604" Target="media/rId604.png" /><Relationship Type="http://schemas.openxmlformats.org/officeDocument/2006/relationships/image" Id="rId999" Target="media/rId999.png" /><Relationship Type="http://schemas.openxmlformats.org/officeDocument/2006/relationships/image" Id="rId2273" Target="media/rId2273.png" /><Relationship Type="http://schemas.openxmlformats.org/officeDocument/2006/relationships/image" Id="rId2467" Target="media/rId2467.png" /><Relationship Type="http://schemas.openxmlformats.org/officeDocument/2006/relationships/image" Id="rId1122" Target="media/rId1122.png" /><Relationship Type="http://schemas.openxmlformats.org/officeDocument/2006/relationships/image" Id="rId1133" Target="media/rId1133.png" /><Relationship Type="http://schemas.openxmlformats.org/officeDocument/2006/relationships/image" Id="rId982" Target="media/rId982.png" /><Relationship Type="http://schemas.openxmlformats.org/officeDocument/2006/relationships/image" Id="rId482" Target="media/rId482.png" /><Relationship Type="http://schemas.openxmlformats.org/officeDocument/2006/relationships/image" Id="rId2161" Target="media/rId2161.png" /><Relationship Type="http://schemas.openxmlformats.org/officeDocument/2006/relationships/image" Id="rId1215" Target="media/rId1215.png" /><Relationship Type="http://schemas.openxmlformats.org/officeDocument/2006/relationships/image" Id="rId1086" Target="media/rId1086.png" /><Relationship Type="http://schemas.openxmlformats.org/officeDocument/2006/relationships/image" Id="rId107" Target="media/rId107.png" /><Relationship Type="http://schemas.openxmlformats.org/officeDocument/2006/relationships/hyperlink" Id="rId5196" Target="https://aaidd.org/intellectual-disability/definition" TargetMode="External" /><Relationship Type="http://schemas.openxmlformats.org/officeDocument/2006/relationships/hyperlink" Id="rId4035" Target="https://abc7news.com/post/silicon-valley-takes-on-dopamine-fasting-20-to-battle-bad-habits-addiction/5685298/" TargetMode="External" /><Relationship Type="http://schemas.openxmlformats.org/officeDocument/2006/relationships/hyperlink" Id="rId2607" Target="https://brain.oit.duke.edu/lab05/lab05.html" TargetMode="External" /><Relationship Type="http://schemas.openxmlformats.org/officeDocument/2006/relationships/hyperlink" Id="rId5102" Target="https://cbetaonline.dila.edu.tw/zh/T0620" TargetMode="External" /><Relationship Type="http://schemas.openxmlformats.org/officeDocument/2006/relationships/hyperlink" Id="rId5104" Target="https://cbetaonline.dila.edu.tw/zh/T1915" TargetMode="External" /><Relationship Type="http://schemas.openxmlformats.org/officeDocument/2006/relationships/hyperlink" Id="rId5952" Target="https://dailymed.nlm.nih.gov/dailymed/drugInfo.cfm?setid=81356b45-1cb7-4eef-88ea-e44cc18b47c5" TargetMode="External" /><Relationship Type="http://schemas.openxmlformats.org/officeDocument/2006/relationships/hyperlink" Id="rId5587" Target="https://dailymed.nlm.nih.gov/dailymed/drugInfo.cfm?setid=9d1ff786-e577-410a-a273-c4d7d0e4e975" TargetMode="External" /><Relationship Type="http://schemas.openxmlformats.org/officeDocument/2006/relationships/hyperlink" Id="rId5617" Target="https://dailymed.nlm.nih.gov/dailymed/drugInfo.cfm?setid=ebcd67fa-b4d1-4a22-b33d-ee8bf6b9c722" TargetMode="External" /><Relationship Type="http://schemas.openxmlformats.org/officeDocument/2006/relationships/hyperlink" Id="rId5444" Target="https://dailymed.nlm.nih.gov/dailymed/fda/fdaDrugXsl.cfm?setid=b998ed05-94b0-47fd-b28f-cddd1e128fd8" TargetMode="External" /><Relationship Type="http://schemas.openxmlformats.org/officeDocument/2006/relationships/hyperlink" Id="rId5308" Target="https://dailymed.nlm.nih.gov/dailymed/fda/fdaDrugXsl.cfm?setid=f18e53b0-d0bb-422d-8de7-ab64b7292b29" TargetMode="External" /><Relationship Type="http://schemas.openxmlformats.org/officeDocument/2006/relationships/hyperlink" Id="rId5406" Target="https://dailymed.nlm.nih.gov/dailymed/lookup.cfm?setid=8f0e73bf-6025-44f6-ab64-0983322de0df" TargetMode="External" /><Relationship Type="http://schemas.openxmlformats.org/officeDocument/2006/relationships/hyperlink" Id="rId5046" Target="https://dlbs.liberal.ntu.edu.tw/search/search_detail.jsp?seq=666743" TargetMode="External" /><Relationship Type="http://schemas.openxmlformats.org/officeDocument/2006/relationships/hyperlink" Id="rId5272" Target="https://doi.org/10.1001/2013.jamapsychiatry.4" TargetMode="External" /><Relationship Type="http://schemas.openxmlformats.org/officeDocument/2006/relationships/hyperlink" Id="rId5382" Target="https://doi.org/10.1001/archgenpsychiatry.2012.169" TargetMode="External" /><Relationship Type="http://schemas.openxmlformats.org/officeDocument/2006/relationships/hyperlink" Id="rId5384" Target="https://doi.org/10.1001/archpsyc.1994.03950030035004" TargetMode="External" /><Relationship Type="http://schemas.openxmlformats.org/officeDocument/2006/relationships/hyperlink" Id="rId5260" Target="https://doi.org/10.1001/archpsyc.62.4.409" TargetMode="External" /><Relationship Type="http://schemas.openxmlformats.org/officeDocument/2006/relationships/hyperlink" Id="rId5557" Target="https://doi.org/10.1001/jama.2008.683" TargetMode="External" /><Relationship Type="http://schemas.openxmlformats.org/officeDocument/2006/relationships/hyperlink" Id="rId5567" Target="https://doi.org/10.1001/jama.2009.1913" TargetMode="External" /><Relationship Type="http://schemas.openxmlformats.org/officeDocument/2006/relationships/hyperlink" Id="rId5548" Target="https://doi.org/10.1001/jama.2015.9617" TargetMode="External" /><Relationship Type="http://schemas.openxmlformats.org/officeDocument/2006/relationships/hyperlink" Id="rId4915" Target="https://doi.org/10.1001/jama.2016.2323" TargetMode="External" /><Relationship Type="http://schemas.openxmlformats.org/officeDocument/2006/relationships/hyperlink" Id="rId5552" Target="https://doi.org/10.1001/jama.2018.21442" TargetMode="External" /><Relationship Type="http://schemas.openxmlformats.org/officeDocument/2006/relationships/hyperlink" Id="rId4629" Target="https://doi.org/10.1001/jama.2022.21680" TargetMode="External" /><Relationship Type="http://schemas.openxmlformats.org/officeDocument/2006/relationships/hyperlink" Id="rId5585" Target="https://doi.org/10.1001/jama.2023.13239" TargetMode="External" /><Relationship Type="http://schemas.openxmlformats.org/officeDocument/2006/relationships/hyperlink" Id="rId5577" Target="https://doi.org/10.1001/jama.2024.13855" TargetMode="External" /><Relationship Type="http://schemas.openxmlformats.org/officeDocument/2006/relationships/hyperlink" Id="rId5542" Target="https://doi.org/10.1001/jama.2025.12923" TargetMode="External" /><Relationship Type="http://schemas.openxmlformats.org/officeDocument/2006/relationships/hyperlink" Id="rId5342" Target="https://doi.org/10.1001/jama.292.16.1969" TargetMode="External" /><Relationship Type="http://schemas.openxmlformats.org/officeDocument/2006/relationships/hyperlink" Id="rId3044" Target="https://doi.org/10.1001/jama.296.17.2095" TargetMode="External" /><Relationship Type="http://schemas.openxmlformats.org/officeDocument/2006/relationships/hyperlink" Id="rId4554" Target="https://doi.org/10.1001/jamainternmed.2013.13018" TargetMode="External" /><Relationship Type="http://schemas.openxmlformats.org/officeDocument/2006/relationships/hyperlink" Id="rId4925" Target="https://doi.org/10.1001/jamainternmed.2022.0033" TargetMode="External" /><Relationship Type="http://schemas.openxmlformats.org/officeDocument/2006/relationships/hyperlink" Id="rId4913" Target="https://doi.org/10.1001/jamainternmed.2024.3940" TargetMode="External" /><Relationship Type="http://schemas.openxmlformats.org/officeDocument/2006/relationships/hyperlink" Id="rId4912" Target="https://doi.org/10.1001/jamainternmed.2024.5487" TargetMode="External" /><Relationship Type="http://schemas.openxmlformats.org/officeDocument/2006/relationships/hyperlink" Id="rId5352" Target="https://doi.org/10.1001/jamanetworkopen.2021.36921" TargetMode="External" /><Relationship Type="http://schemas.openxmlformats.org/officeDocument/2006/relationships/hyperlink" Id="rId4949" Target="https://doi.org/10.1001/jamanetworkopen.2023.39243" TargetMode="External" /><Relationship Type="http://schemas.openxmlformats.org/officeDocument/2006/relationships/hyperlink" Id="rId4904" Target="https://doi.org/10.1001/jamanetworkopen.2024.38453" TargetMode="External" /><Relationship Type="http://schemas.openxmlformats.org/officeDocument/2006/relationships/hyperlink" Id="rId4917" Target="https://doi.org/10.1001/jamanetworkopen.2025.3204" TargetMode="External" /><Relationship Type="http://schemas.openxmlformats.org/officeDocument/2006/relationships/hyperlink" Id="rId5007" Target="https://doi.org/10.1001/jamanetworkopen.2026.29946" TargetMode="External" /><Relationship Type="http://schemas.openxmlformats.org/officeDocument/2006/relationships/hyperlink" Id="rId5605" Target="https://doi.org/10.1001/jamaneurol.2020.1568" TargetMode="External" /><Relationship Type="http://schemas.openxmlformats.org/officeDocument/2006/relationships/hyperlink" Id="rId5595" Target="https://doi.org/10.1001/jamaneurol.2021.0912" TargetMode="External" /><Relationship Type="http://schemas.openxmlformats.org/officeDocument/2006/relationships/hyperlink" Id="rId4597" Target="https://doi.org/10.1001/jamaneurol.2022.3185" TargetMode="External" /><Relationship Type="http://schemas.openxmlformats.org/officeDocument/2006/relationships/hyperlink" Id="rId5597" Target="https://doi.org/10.1001/jamaneurol.2022.4251" TargetMode="External" /><Relationship Type="http://schemas.openxmlformats.org/officeDocument/2006/relationships/hyperlink" Id="rId5581" Target="https://doi.org/10.1001/jamaneurol.2023.0199" TargetMode="External" /><Relationship Type="http://schemas.openxmlformats.org/officeDocument/2006/relationships/hyperlink" Id="rId5573" Target="https://doi.org/10.1001/jamaneurol.2024.3770" TargetMode="External" /><Relationship Type="http://schemas.openxmlformats.org/officeDocument/2006/relationships/hyperlink" Id="rId5454" Target="https://doi.org/10.1001/jamaneurol.2025.1317" TargetMode="External" /><Relationship Type="http://schemas.openxmlformats.org/officeDocument/2006/relationships/hyperlink" Id="rId5956" Target="https://doi.org/10.1001/jamaneurol.2025.4946" TargetMode="External" /><Relationship Type="http://schemas.openxmlformats.org/officeDocument/2006/relationships/hyperlink" Id="rId5244" Target="https://doi.org/10.1001/jamapediatrics.2014.1893" TargetMode="External" /><Relationship Type="http://schemas.openxmlformats.org/officeDocument/2006/relationships/hyperlink" Id="rId5149" Target="https://doi.org/10.1001/jamapediatrics.2017.1689" TargetMode="External" /><Relationship Type="http://schemas.openxmlformats.org/officeDocument/2006/relationships/hyperlink" Id="rId5150" Target="https://doi.org/10.1001/jamapediatrics.2017.3169" TargetMode="External" /><Relationship Type="http://schemas.openxmlformats.org/officeDocument/2006/relationships/hyperlink" Id="rId5736" Target="https://doi.org/10.1001/jamapediatrics.2018.4397" TargetMode="External" /><Relationship Type="http://schemas.openxmlformats.org/officeDocument/2006/relationships/hyperlink" Id="rId5152" Target="https://doi.org/10.1001/jamapediatrics.2021.0878" TargetMode="External" /><Relationship Type="http://schemas.openxmlformats.org/officeDocument/2006/relationships/hyperlink" Id="rId5154" Target="https://doi.org/10.1001/jamapediatrics.2023.0008" TargetMode="External" /><Relationship Type="http://schemas.openxmlformats.org/officeDocument/2006/relationships/hyperlink" Id="rId5139" Target="https://doi.org/10.1001/jamapediatrics.2024.6613" TargetMode="External" /><Relationship Type="http://schemas.openxmlformats.org/officeDocument/2006/relationships/hyperlink" Id="rId5340" Target="https://doi.org/10.1001/jamapsychiatry.2013.1932" TargetMode="External" /><Relationship Type="http://schemas.openxmlformats.org/officeDocument/2006/relationships/hyperlink" Id="rId4560" Target="https://doi.org/10.1001/jamapsychiatry.2016.0076" TargetMode="External" /><Relationship Type="http://schemas.openxmlformats.org/officeDocument/2006/relationships/hyperlink" Id="rId5738" Target="https://doi.org/10.1001/jamapsychiatry.2018.4288" TargetMode="External" /><Relationship Type="http://schemas.openxmlformats.org/officeDocument/2006/relationships/hyperlink" Id="rId5242" Target="https://doi.org/10.1001/jamapsychiatry.2019.1411" TargetMode="External" /><Relationship Type="http://schemas.openxmlformats.org/officeDocument/2006/relationships/hyperlink" Id="rId4793" Target="https://doi.org/10.1001/jamapsychiatry.2020.0431" TargetMode="External" /><Relationship Type="http://schemas.openxmlformats.org/officeDocument/2006/relationships/hyperlink" Id="rId5378" Target="https://doi.org/10.1001/jamapsychiatry.2021.0620" TargetMode="External" /><Relationship Type="http://schemas.openxmlformats.org/officeDocument/2006/relationships/hyperlink" Id="rId5392" Target="https://doi.org/10.1001/jamapsychiatry.2021.0830" TargetMode="External" /><Relationship Type="http://schemas.openxmlformats.org/officeDocument/2006/relationships/hyperlink" Id="rId4570" Target="https://doi.org/10.1001/jamapsychiatry.2022.3679" TargetMode="External" /><Relationship Type="http://schemas.openxmlformats.org/officeDocument/2006/relationships/hyperlink" Id="rId4900" Target="https://doi.org/10.1001/jamapsychiatry.2023.0222" TargetMode="External" /><Relationship Type="http://schemas.openxmlformats.org/officeDocument/2006/relationships/hyperlink" Id="rId4899" Target="https://doi.org/10.1001/jamapsychiatry.2023.1466" TargetMode="External" /><Relationship Type="http://schemas.openxmlformats.org/officeDocument/2006/relationships/hyperlink" Id="rId4486" Target="https://doi.org/10.1001/jamapsychiatry.2023.1817" TargetMode="External" /><Relationship Type="http://schemas.openxmlformats.org/officeDocument/2006/relationships/hyperlink" Id="rId5320" Target="https://doi.org/10.1001/jamapsychiatry.2023.3971" TargetMode="External" /><Relationship Type="http://schemas.openxmlformats.org/officeDocument/2006/relationships/hyperlink" Id="rId5324" Target="https://doi.org/10.1001/jamapsychiatry.2023.5364" TargetMode="External" /><Relationship Type="http://schemas.openxmlformats.org/officeDocument/2006/relationships/hyperlink" Id="rId5322" Target="https://doi.org/10.1001/jamapsychiatry.2023.5480" TargetMode="External" /><Relationship Type="http://schemas.openxmlformats.org/officeDocument/2006/relationships/hyperlink" Id="rId5402" Target="https://doi.org/10.1001/jamapsychiatry.2024.0785" TargetMode="External" /><Relationship Type="http://schemas.openxmlformats.org/officeDocument/2006/relationships/hyperlink" Id="rId5404" Target="https://doi.org/10.1001/jamapsychiatry.2024.2002" TargetMode="External" /><Relationship Type="http://schemas.openxmlformats.org/officeDocument/2006/relationships/hyperlink" Id="rId5226" Target="https://doi.org/10.1001/jamapsychiatry.2024.3702" TargetMode="External" /><Relationship Type="http://schemas.openxmlformats.org/officeDocument/2006/relationships/hyperlink" Id="rId5296" Target="https://doi.org/10.1001/jamapsychiatry.2025.1362" TargetMode="External" /><Relationship Type="http://schemas.openxmlformats.org/officeDocument/2006/relationships/hyperlink" Id="rId2597" Target="https://doi.org/10.1002/(SICI)1096-9861(19971020)387:2&lt;167::AID-CNE1&gt;3.0.CO;2-Z" TargetMode="External" /><Relationship Type="http://schemas.openxmlformats.org/officeDocument/2006/relationships/hyperlink" Id="rId4087" Target="https://doi.org/10.1002/(sici)1097-0193(1999)8:4%3C272::aid-hbm10%3E3.0.co;2-4" TargetMode="External" /><Relationship Type="http://schemas.openxmlformats.org/officeDocument/2006/relationships/hyperlink" Id="rId5810" Target="https://doi.org/10.1002/14651858.CD000425.pub4" TargetMode="External" /><Relationship Type="http://schemas.openxmlformats.org/officeDocument/2006/relationships/hyperlink" Id="rId5826" Target="https://doi.org/10.1002/14651858.CD000443.pub4" TargetMode="External" /><Relationship Type="http://schemas.openxmlformats.org/officeDocument/2006/relationships/hyperlink" Id="rId5366" Target="https://doi.org/10.1002/14651858.CD000560" TargetMode="External" /><Relationship Type="http://schemas.openxmlformats.org/officeDocument/2006/relationships/hyperlink" Id="rId5822" Target="https://doi.org/10.1002/14651858.CD003586.pub4" TargetMode="External" /><Relationship Type="http://schemas.openxmlformats.org/officeDocument/2006/relationships/hyperlink" Id="rId5162" Target="https://doi.org/10.1002/14651858.CD004454.pub4" TargetMode="External" /><Relationship Type="http://schemas.openxmlformats.org/officeDocument/2006/relationships/hyperlink" Id="rId5160" Target="https://doi.org/10.1002/14651858.CD004661.pub5" TargetMode="External" /><Relationship Type="http://schemas.openxmlformats.org/officeDocument/2006/relationships/hyperlink" Id="rId5396" Target="https://doi.org/10.1002/14651858.CD008016.pub3" TargetMode="External" /><Relationship Type="http://schemas.openxmlformats.org/officeDocument/2006/relationships/hyperlink" Id="rId5464" Target="https://doi.org/10.1002/14651858.CD015188.pub2" TargetMode="External" /><Relationship Type="http://schemas.openxmlformats.org/officeDocument/2006/relationships/hyperlink" Id="rId4933" Target="https://doi.org/10.1002/14651858.cd013696.pub2" TargetMode="External" /><Relationship Type="http://schemas.openxmlformats.org/officeDocument/2006/relationships/hyperlink" Id="rId5930" Target="https://doi.org/10.1002/acn3.51895" TargetMode="External" /><Relationship Type="http://schemas.openxmlformats.org/officeDocument/2006/relationships/hyperlink" Id="rId3214" Target="https://doi.org/10.1002/acp.1801" TargetMode="External" /><Relationship Type="http://schemas.openxmlformats.org/officeDocument/2006/relationships/hyperlink" Id="rId3154" Target="https://doi.org/10.1002/acp.3220" TargetMode="External" /><Relationship Type="http://schemas.openxmlformats.org/officeDocument/2006/relationships/hyperlink" Id="rId5571" Target="https://doi.org/10.1002/alz.13859" TargetMode="External" /><Relationship Type="http://schemas.openxmlformats.org/officeDocument/2006/relationships/hyperlink" Id="rId5575" Target="https://doi.org/10.1002/alz.70535" TargetMode="External" /><Relationship Type="http://schemas.openxmlformats.org/officeDocument/2006/relationships/hyperlink" Id="rId5158" Target="https://doi.org/10.1002/ana.22267" TargetMode="External" /><Relationship Type="http://schemas.openxmlformats.org/officeDocument/2006/relationships/hyperlink" Id="rId5129" Target="https://doi.org/10.1002/ana.22627" TargetMode="External" /><Relationship Type="http://schemas.openxmlformats.org/officeDocument/2006/relationships/hyperlink" Id="rId5536" Target="https://doi.org/10.1002/ana.25123" TargetMode="External" /><Relationship Type="http://schemas.openxmlformats.org/officeDocument/2006/relationships/hyperlink" Id="rId4711" Target="https://doi.org/10.1002/brb3.71733" TargetMode="External" /><Relationship Type="http://schemas.openxmlformats.org/officeDocument/2006/relationships/hyperlink" Id="rId3919" Target="https://doi.org/10.1002/cne.20118" TargetMode="External" /><Relationship Type="http://schemas.openxmlformats.org/officeDocument/2006/relationships/hyperlink" Id="rId2595" Target="https://doi.org/10.1002/cne.21974" TargetMode="External" /><Relationship Type="http://schemas.openxmlformats.org/officeDocument/2006/relationships/hyperlink" Id="rId2749" Target="https://doi.org/10.1002/cpt.2903" TargetMode="External" /><Relationship Type="http://schemas.openxmlformats.org/officeDocument/2006/relationships/hyperlink" Id="rId3430" Target="https://doi.org/10.1002/dys.1800" TargetMode="External" /><Relationship Type="http://schemas.openxmlformats.org/officeDocument/2006/relationships/hyperlink" Id="rId3994" Target="https://doi.org/10.1002/ejsp.674" TargetMode="External" /><Relationship Type="http://schemas.openxmlformats.org/officeDocument/2006/relationships/hyperlink" Id="rId3780" Target="https://doi.org/10.1002/hbm.22099" TargetMode="External" /><Relationship Type="http://schemas.openxmlformats.org/officeDocument/2006/relationships/hyperlink" Id="rId4627" Target="https://doi.org/10.1002/hbm.22153" TargetMode="External" /><Relationship Type="http://schemas.openxmlformats.org/officeDocument/2006/relationships/hyperlink" Id="rId4691" Target="https://doi.org/10.1002/hbm.70123" TargetMode="External" /><Relationship Type="http://schemas.openxmlformats.org/officeDocument/2006/relationships/hyperlink" Id="rId5066" Target="https://doi.org/10.1002/hbm.70440" TargetMode="External" /><Relationship Type="http://schemas.openxmlformats.org/officeDocument/2006/relationships/hyperlink" Id="rId3542" Target="https://doi.org/10.1002/hipo.10173" TargetMode="External" /><Relationship Type="http://schemas.openxmlformats.org/officeDocument/2006/relationships/hyperlink" Id="rId5847" Target="https://doi.org/10.1002/j.1538-7305.1948.tb01338.x" TargetMode="External" /><Relationship Type="http://schemas.openxmlformats.org/officeDocument/2006/relationships/hyperlink" Id="rId4975" Target="https://doi.org/10.1002/jclp.20237" TargetMode="External" /><Relationship Type="http://schemas.openxmlformats.org/officeDocument/2006/relationships/hyperlink" Id="rId3774" Target="https://doi.org/10.1002/jmri.25168" TargetMode="External" /><Relationship Type="http://schemas.openxmlformats.org/officeDocument/2006/relationships/hyperlink" Id="rId2741" Target="https://doi.org/10.1002/jps.20792" TargetMode="External" /><Relationship Type="http://schemas.openxmlformats.org/officeDocument/2006/relationships/hyperlink" Id="rId5710" Target="https://doi.org/10.1002/mdc3.70824" TargetMode="External" /><Relationship Type="http://schemas.openxmlformats.org/officeDocument/2006/relationships/hyperlink" Id="rId5685" Target="https://doi.org/10.1002/mds.26424" TargetMode="External" /><Relationship Type="http://schemas.openxmlformats.org/officeDocument/2006/relationships/hyperlink" Id="rId5474" Target="https://doi.org/10.1002/mds.26525" TargetMode="External" /><Relationship Type="http://schemas.openxmlformats.org/officeDocument/2006/relationships/hyperlink" Id="rId5720" Target="https://doi.org/10.1002/mds.26987" TargetMode="External" /><Relationship Type="http://schemas.openxmlformats.org/officeDocument/2006/relationships/hyperlink" Id="rId5687" Target="https://doi.org/10.1002/mds.27121" TargetMode="External" /><Relationship Type="http://schemas.openxmlformats.org/officeDocument/2006/relationships/hyperlink" Id="rId5718" Target="https://doi.org/10.1002/mds.29005" TargetMode="External" /><Relationship Type="http://schemas.openxmlformats.org/officeDocument/2006/relationships/hyperlink" Id="rId5958" Target="https://doi.org/10.1002/mus.27853" TargetMode="External" /><Relationship Type="http://schemas.openxmlformats.org/officeDocument/2006/relationships/hyperlink" Id="rId4079" Target="https://doi.org/10.1002/trc2.70197" TargetMode="External" /><Relationship Type="http://schemas.openxmlformats.org/officeDocument/2006/relationships/hyperlink" Id="rId3514" Target="https://doi.org/10.1002/wcs.1678" TargetMode="External" /><Relationship Type="http://schemas.openxmlformats.org/officeDocument/2006/relationships/hyperlink" Id="rId3597" Target="https://doi.org/10.1002/wcs.70040" TargetMode="External" /><Relationship Type="http://schemas.openxmlformats.org/officeDocument/2006/relationships/hyperlink" Id="rId3340" Target="https://doi.org/10.1006/cogp.1999.0734" TargetMode="External" /><Relationship Type="http://schemas.openxmlformats.org/officeDocument/2006/relationships/hyperlink" Id="rId4143" Target="https://doi.org/10.1006/nimg.2001.0922" TargetMode="External" /><Relationship Type="http://schemas.openxmlformats.org/officeDocument/2006/relationships/hyperlink" Id="rId2811" Target="https://doi.org/10.1007/978-1-0716-2289-6_1" TargetMode="External" /><Relationship Type="http://schemas.openxmlformats.org/officeDocument/2006/relationships/hyperlink" Id="rId2619" Target="https://doi.org/10.1007/978-3-031-50675-8_12" TargetMode="External" /><Relationship Type="http://schemas.openxmlformats.org/officeDocument/2006/relationships/hyperlink" Id="rId3599" Target="https://doi.org/10.1007/BF00115009" TargetMode="External" /><Relationship Type="http://schemas.openxmlformats.org/officeDocument/2006/relationships/hyperlink" Id="rId3651" Target="https://doi.org/10.1007/BF00122574" TargetMode="External" /><Relationship Type="http://schemas.openxmlformats.org/officeDocument/2006/relationships/hyperlink" Id="rId3418" Target="https://doi.org/10.1007/BF00401799" TargetMode="External" /><Relationship Type="http://schemas.openxmlformats.org/officeDocument/2006/relationships/hyperlink" Id="rId2685" Target="https://doi.org/10.1007/BF00656997" TargetMode="External" /><Relationship Type="http://schemas.openxmlformats.org/officeDocument/2006/relationships/hyperlink" Id="rId3887" Target="https://doi.org/10.1007/BF02293801" TargetMode="External" /><Relationship Type="http://schemas.openxmlformats.org/officeDocument/2006/relationships/hyperlink" Id="rId3889" Target="https://doi.org/10.1007/BF02294825" TargetMode="External" /><Relationship Type="http://schemas.openxmlformats.org/officeDocument/2006/relationships/hyperlink" Id="rId3957" Target="https://doi.org/10.1007/bf00230027" TargetMode="External" /><Relationship Type="http://schemas.openxmlformats.org/officeDocument/2006/relationships/hyperlink" Id="rId3649" Target="https://doi.org/10.1007/s00213-006-0502-4" TargetMode="External" /><Relationship Type="http://schemas.openxmlformats.org/officeDocument/2006/relationships/hyperlink" Id="rId5613" Target="https://doi.org/10.1007/s00415-023-11634-0" TargetMode="External" /><Relationship Type="http://schemas.openxmlformats.org/officeDocument/2006/relationships/hyperlink" Id="rId3740" Target="https://doi.org/10.1007/s00426-018-1066-8" TargetMode="External" /><Relationship Type="http://schemas.openxmlformats.org/officeDocument/2006/relationships/hyperlink" Id="rId4197" Target="https://doi.org/10.1007/s00429-014-0803-z" TargetMode="External" /><Relationship Type="http://schemas.openxmlformats.org/officeDocument/2006/relationships/hyperlink" Id="rId4829" Target="https://doi.org/10.1007/s10339-009-0352-1" TargetMode="External" /><Relationship Type="http://schemas.openxmlformats.org/officeDocument/2006/relationships/hyperlink" Id="rId4456" Target="https://doi.org/10.1007/s10484-020-09466-z" TargetMode="External" /><Relationship Type="http://schemas.openxmlformats.org/officeDocument/2006/relationships/hyperlink" Id="rId5086" Target="https://doi.org/10.1007/s10548-024-01052-4" TargetMode="External" /><Relationship Type="http://schemas.openxmlformats.org/officeDocument/2006/relationships/hyperlink" Id="rId5092" Target="https://doi.org/10.1007/s10548-024-01089-5" TargetMode="External" /><Relationship Type="http://schemas.openxmlformats.org/officeDocument/2006/relationships/hyperlink" Id="rId5094" Target="https://doi.org/10.1007/s10548-024-01090-y" TargetMode="External" /><Relationship Type="http://schemas.openxmlformats.org/officeDocument/2006/relationships/hyperlink" Id="rId3210" Target="https://doi.org/10.1007/s10648-013-9240-4" TargetMode="External" /><Relationship Type="http://schemas.openxmlformats.org/officeDocument/2006/relationships/hyperlink" Id="rId3460" Target="https://doi.org/10.1007/s10648-015-9302-x" TargetMode="External" /><Relationship Type="http://schemas.openxmlformats.org/officeDocument/2006/relationships/hyperlink" Id="rId3240" Target="https://doi.org/10.1007/s10648-018-9435-9" TargetMode="External" /><Relationship Type="http://schemas.openxmlformats.org/officeDocument/2006/relationships/hyperlink" Id="rId3242" Target="https://doi.org/10.1007/s10648-018-9456-4" TargetMode="External" /><Relationship Type="http://schemas.openxmlformats.org/officeDocument/2006/relationships/hyperlink" Id="rId3228" Target="https://doi.org/10.1007/s10648-019-09465-5" TargetMode="External" /><Relationship Type="http://schemas.openxmlformats.org/officeDocument/2006/relationships/hyperlink" Id="rId3424" Target="https://doi.org/10.1007/s10648-024-09915-9" TargetMode="External" /><Relationship Type="http://schemas.openxmlformats.org/officeDocument/2006/relationships/hyperlink" Id="rId3220" Target="https://doi.org/10.1007/s10648-025-10035-1" TargetMode="External" /><Relationship Type="http://schemas.openxmlformats.org/officeDocument/2006/relationships/hyperlink" Id="rId3180" Target="https://doi.org/10.1007/s10648-025-10076-6" TargetMode="External" /><Relationship Type="http://schemas.openxmlformats.org/officeDocument/2006/relationships/hyperlink" Id="rId3248" Target="https://doi.org/10.1007/s10648-025-10099-z" TargetMode="External" /><Relationship Type="http://schemas.openxmlformats.org/officeDocument/2006/relationships/hyperlink" Id="rId4000" Target="https://doi.org/10.1007/s10902-019-00128-4" TargetMode="External" /><Relationship Type="http://schemas.openxmlformats.org/officeDocument/2006/relationships/hyperlink" Id="rId3991" Target="https://doi.org/10.1007/s11031-014-9445-y" TargetMode="External" /><Relationship Type="http://schemas.openxmlformats.org/officeDocument/2006/relationships/hyperlink" Id="rId4687" Target="https://doi.org/10.1007/s11065-021-09519-y" TargetMode="External" /><Relationship Type="http://schemas.openxmlformats.org/officeDocument/2006/relationships/hyperlink" Id="rId2735" Target="https://doi.org/10.1007/s11095-007-9502-2" TargetMode="External" /><Relationship Type="http://schemas.openxmlformats.org/officeDocument/2006/relationships/hyperlink" Id="rId3426" Target="https://doi.org/10.1007/s11145-024-10623-7" TargetMode="External" /><Relationship Type="http://schemas.openxmlformats.org/officeDocument/2006/relationships/hyperlink" Id="rId3230" Target="https://doi.org/10.1007/s11251-009-9110-0" TargetMode="External" /><Relationship Type="http://schemas.openxmlformats.org/officeDocument/2006/relationships/hyperlink" Id="rId4574" Target="https://doi.org/10.1007/s11682-018-9826-z" TargetMode="External" /><Relationship Type="http://schemas.openxmlformats.org/officeDocument/2006/relationships/hyperlink" Id="rId4614" Target="https://doi.org/10.1007/s11682-021-00453-4" TargetMode="External" /><Relationship Type="http://schemas.openxmlformats.org/officeDocument/2006/relationships/hyperlink" Id="rId4908" Target="https://doi.org/10.1007/s12160-016-9844-2" TargetMode="External" /><Relationship Type="http://schemas.openxmlformats.org/officeDocument/2006/relationships/hyperlink" Id="rId4603" Target="https://doi.org/10.1007/s12264-011-1141-2" TargetMode="External" /><Relationship Type="http://schemas.openxmlformats.org/officeDocument/2006/relationships/hyperlink" Id="rId5111" Target="https://doi.org/10.1007/s12671-020-01319-4" TargetMode="External" /><Relationship Type="http://schemas.openxmlformats.org/officeDocument/2006/relationships/hyperlink" Id="rId5011" Target="https://doi.org/10.1007/s12671-020-01547-8" TargetMode="External" /><Relationship Type="http://schemas.openxmlformats.org/officeDocument/2006/relationships/hyperlink" Id="rId4801" Target="https://doi.org/10.1007/s12671-022-01857-z" TargetMode="External" /><Relationship Type="http://schemas.openxmlformats.org/officeDocument/2006/relationships/hyperlink" Id="rId4677" Target="https://doi.org/10.1007/s12671-025-02671-z" TargetMode="External" /><Relationship Type="http://schemas.openxmlformats.org/officeDocument/2006/relationships/hyperlink" Id="rId5113" Target="https://doi.org/10.1007/s12671-026-02762-5" TargetMode="External" /><Relationship Type="http://schemas.openxmlformats.org/officeDocument/2006/relationships/hyperlink" Id="rId2669" Target="https://doi.org/10.1016/0006-3002(57)90343-8" TargetMode="External" /><Relationship Type="http://schemas.openxmlformats.org/officeDocument/2006/relationships/hyperlink" Id="rId3544" Target="https://doi.org/10.1016/0006-8993(71)90358-1" TargetMode="External" /><Relationship Type="http://schemas.openxmlformats.org/officeDocument/2006/relationships/hyperlink" Id="rId3406" Target="https://doi.org/10.1016/0010-0277(94)00645-2" TargetMode="External" /><Relationship Type="http://schemas.openxmlformats.org/officeDocument/2006/relationships/hyperlink" Id="rId3170" Target="https://doi.org/10.1016/0010-0285(73)90004-2" TargetMode="External" /><Relationship Type="http://schemas.openxmlformats.org/officeDocument/2006/relationships/hyperlink" Id="rId3478" Target="https://doi.org/10.1016/0010-0285(75)90024-9" TargetMode="External" /><Relationship Type="http://schemas.openxmlformats.org/officeDocument/2006/relationships/hyperlink" Id="rId3522" Target="https://doi.org/10.1016/0010-0285(80)90013-4" TargetMode="External" /><Relationship Type="http://schemas.openxmlformats.org/officeDocument/2006/relationships/hyperlink" Id="rId3526" Target="https://doi.org/10.1016/0010-0285(83)90002-6" TargetMode="External" /><Relationship Type="http://schemas.openxmlformats.org/officeDocument/2006/relationships/hyperlink" Id="rId4123" Target="https://doi.org/10.1016/0013-4694(52)90073-4" TargetMode="External" /><Relationship Type="http://schemas.openxmlformats.org/officeDocument/2006/relationships/hyperlink" Id="rId2655" Target="https://doi.org/10.1016/0092-8674(91)90418-X" TargetMode="External" /><Relationship Type="http://schemas.openxmlformats.org/officeDocument/2006/relationships/hyperlink" Id="rId2739" Target="https://doi.org/10.1016/0092-8674(94)90212-7" TargetMode="External" /><Relationship Type="http://schemas.openxmlformats.org/officeDocument/2006/relationships/hyperlink" Id="rId2984" Target="https://doi.org/10.1016/0092-8674(94)90420-0" TargetMode="External" /><Relationship Type="http://schemas.openxmlformats.org/officeDocument/2006/relationships/hyperlink" Id="rId2697" Target="https://doi.org/10.1016/0092-8674(94)90556-8" TargetMode="External" /><Relationship Type="http://schemas.openxmlformats.org/officeDocument/2006/relationships/hyperlink" Id="rId4532" Target="https://doi.org/10.1016/0163-8343(82)90026-3" TargetMode="External" /><Relationship Type="http://schemas.openxmlformats.org/officeDocument/2006/relationships/hyperlink" Id="rId3389" Target="https://doi.org/10.1016/0166-2236(92)90344-8" TargetMode="External" /><Relationship Type="http://schemas.openxmlformats.org/officeDocument/2006/relationships/hyperlink" Id="rId4121" Target="https://doi.org/10.1016/0166-4328(93)90091-4" TargetMode="External" /><Relationship Type="http://schemas.openxmlformats.org/officeDocument/2006/relationships/hyperlink" Id="rId3182" Target="https://doi.org/10.1016/B978-0-12-800283-4.00007-1" TargetMode="External" /><Relationship Type="http://schemas.openxmlformats.org/officeDocument/2006/relationships/hyperlink" Id="rId3120" Target="https://doi.org/10.1016/S0022-5371(74)80011-3" TargetMode="External" /><Relationship Type="http://schemas.openxmlformats.org/officeDocument/2006/relationships/hyperlink" Id="rId3288" Target="https://doi.org/10.1016/S0022-5371(80)90312-6" TargetMode="External" /><Relationship Type="http://schemas.openxmlformats.org/officeDocument/2006/relationships/hyperlink" Id="rId3609" Target="https://doi.org/10.1016/S0028-3908(98)00033-1" TargetMode="External" /><Relationship Type="http://schemas.openxmlformats.org/officeDocument/2006/relationships/hyperlink" Id="rId3254" Target="https://doi.org/10.1016/S0079-7421(08)60053-5" TargetMode="External" /><Relationship Type="http://schemas.openxmlformats.org/officeDocument/2006/relationships/hyperlink" Id="rId3282" Target="https://doi.org/10.1016/S0079-7421(08)60452-1" TargetMode="External" /><Relationship Type="http://schemas.openxmlformats.org/officeDocument/2006/relationships/hyperlink" Id="rId2657" Target="https://doi.org/10.1016/S0092-8674(00)80581-4" TargetMode="External" /><Relationship Type="http://schemas.openxmlformats.org/officeDocument/2006/relationships/hyperlink" Id="rId3084" Target="https://doi.org/10.1016/S0092-8674(00)81827-9" TargetMode="External" /><Relationship Type="http://schemas.openxmlformats.org/officeDocument/2006/relationships/hyperlink" Id="rId2932" Target="https://doi.org/10.1016/S0092-8674(02)00652-9" TargetMode="External" /><Relationship Type="http://schemas.openxmlformats.org/officeDocument/2006/relationships/hyperlink" Id="rId5742" Target="https://doi.org/10.1016/S0140-6736(04)17188-2" TargetMode="External" /><Relationship Type="http://schemas.openxmlformats.org/officeDocument/2006/relationships/hyperlink" Id="rId5302" Target="https://doi.org/10.1016/S0140-6736(09)61828-6" TargetMode="External" /><Relationship Type="http://schemas.openxmlformats.org/officeDocument/2006/relationships/hyperlink" Id="rId5540" Target="https://doi.org/10.1016/S0140-6736(15)60461-5" TargetMode="External" /><Relationship Type="http://schemas.openxmlformats.org/officeDocument/2006/relationships/hyperlink" Id="rId5804" Target="https://doi.org/10.1016/S0140-6736(15)60690-0" TargetMode="External" /><Relationship Type="http://schemas.openxmlformats.org/officeDocument/2006/relationships/hyperlink" Id="rId5671" Target="https://doi.org/10.1016/S0140-6736(16)00163-X" TargetMode="External" /><Relationship Type="http://schemas.openxmlformats.org/officeDocument/2006/relationships/hyperlink" Id="rId4312" Target="https://doi.org/10.1016/S0140-6736(17)32802-7" TargetMode="External" /><Relationship Type="http://schemas.openxmlformats.org/officeDocument/2006/relationships/hyperlink" Id="rId5286" Target="https://doi.org/10.1016/S0140-6736(18)30295-2" TargetMode="External" /><Relationship Type="http://schemas.openxmlformats.org/officeDocument/2006/relationships/hyperlink" Id="rId5288" Target="https://doi.org/10.1016/S0140-6736(18)31323-0" TargetMode="External" /><Relationship Type="http://schemas.openxmlformats.org/officeDocument/2006/relationships/hyperlink" Id="rId5806" Target="https://doi.org/10.1016/S0140-6736(19)31055-4" TargetMode="External" /><Relationship Type="http://schemas.openxmlformats.org/officeDocument/2006/relationships/hyperlink" Id="rId5394" Target="https://doi.org/10.1016/S0140-6736(19)31135-3" TargetMode="External" /><Relationship Type="http://schemas.openxmlformats.org/officeDocument/2006/relationships/hyperlink" Id="rId5808" Target="https://doi.org/10.1016/S0140-6736(21)00475-X" TargetMode="External" /><Relationship Type="http://schemas.openxmlformats.org/officeDocument/2006/relationships/hyperlink" Id="rId5677" Target="https://doi.org/10.1016/S0140-6736(22)01054-6" TargetMode="External" /><Relationship Type="http://schemas.openxmlformats.org/officeDocument/2006/relationships/hyperlink" Id="rId5550" Target="https://doi.org/10.1016/S0140-6736(23)01406-X" TargetMode="External" /><Relationship Type="http://schemas.openxmlformats.org/officeDocument/2006/relationships/hyperlink" Id="rId5538" Target="https://doi.org/10.1016/S0140-6736(24)01296-0" TargetMode="External" /><Relationship Type="http://schemas.openxmlformats.org/officeDocument/2006/relationships/hyperlink" Id="rId5714" Target="https://doi.org/10.1016/S0140-6736(24)02808-3" TargetMode="External" /><Relationship Type="http://schemas.openxmlformats.org/officeDocument/2006/relationships/hyperlink" Id="rId5716" Target="https://doi.org/10.1016/S0140-6736(26)01241-9" TargetMode="External" /><Relationship Type="http://schemas.openxmlformats.org/officeDocument/2006/relationships/hyperlink" Id="rId5416" Target="https://doi.org/10.1016/S0140-6736(78)92762-9" TargetMode="External" /><Relationship Type="http://schemas.openxmlformats.org/officeDocument/2006/relationships/hyperlink" Id="rId5448" Target="https://doi.org/10.1016/S0140-6736(98)02470-2" TargetMode="External" /><Relationship Type="http://schemas.openxmlformats.org/officeDocument/2006/relationships/hyperlink" Id="rId3042" Target="https://doi.org/10.1016/S0166-2236(96)80018-X" TargetMode="External" /><Relationship Type="http://schemas.openxmlformats.org/officeDocument/2006/relationships/hyperlink" Id="rId2769" Target="https://doi.org/10.1016/S0301-0082(00)00067-8" TargetMode="External" /><Relationship Type="http://schemas.openxmlformats.org/officeDocument/2006/relationships/hyperlink" Id="rId5516" Target="https://doi.org/10.1016/S0896-6273(00)00058-1" TargetMode="External" /><Relationship Type="http://schemas.openxmlformats.org/officeDocument/2006/relationships/hyperlink" Id="rId2715" Target="https://doi.org/10.1016/S0896-6273(01)00373-7" TargetMode="External" /><Relationship Type="http://schemas.openxmlformats.org/officeDocument/2006/relationships/hyperlink" Id="rId3116" Target="https://doi.org/10.1016/S0959-4388(97)80010-4" TargetMode="External" /><Relationship Type="http://schemas.openxmlformats.org/officeDocument/2006/relationships/hyperlink" Id="rId3582" Target="https://doi.org/10.1016/S1053-8119(03)00230-1" TargetMode="External" /><Relationship Type="http://schemas.openxmlformats.org/officeDocument/2006/relationships/hyperlink" Id="rId3284" Target="https://doi.org/10.1016/S1364-6613(00)01538-2" TargetMode="External" /><Relationship Type="http://schemas.openxmlformats.org/officeDocument/2006/relationships/hyperlink" Id="rId3334" Target="https://doi.org/10.1016/S1364-6613(03)00028-7" TargetMode="External" /><Relationship Type="http://schemas.openxmlformats.org/officeDocument/2006/relationships/hyperlink" Id="rId5424" Target="https://doi.org/10.1016/S1474-4422(02)00074-1" TargetMode="External" /><Relationship Type="http://schemas.openxmlformats.org/officeDocument/2006/relationships/hyperlink" Id="rId5599" Target="https://doi.org/10.1016/S1474-4422(12)70310-1" TargetMode="External" /><Relationship Type="http://schemas.openxmlformats.org/officeDocument/2006/relationships/hyperlink" Id="rId5591" Target="https://doi.org/10.1016/S1474-4422(15)00401-9" TargetMode="External" /><Relationship Type="http://schemas.openxmlformats.org/officeDocument/2006/relationships/hyperlink" Id="rId5732" Target="https://doi.org/10.1016/S1474-4422(18)30231-X" TargetMode="External" /><Relationship Type="http://schemas.openxmlformats.org/officeDocument/2006/relationships/hyperlink" Id="rId5812" Target="https://doi.org/10.1016/S1474-4422(19)30192-9" TargetMode="External" /><Relationship Type="http://schemas.openxmlformats.org/officeDocument/2006/relationships/hyperlink" Id="rId5470" Target="https://doi.org/10.1016/S1474-4422(21)00422-1" TargetMode="External" /><Relationship Type="http://schemas.openxmlformats.org/officeDocument/2006/relationships/hyperlink" Id="rId5611" Target="https://doi.org/10.1016/S1474-4422(22)00431-8" TargetMode="External" /><Relationship Type="http://schemas.openxmlformats.org/officeDocument/2006/relationships/hyperlink" Id="rId5695" Target="https://doi.org/10.1016/S1474-4422(23)00109-6" TargetMode="External" /><Relationship Type="http://schemas.openxmlformats.org/officeDocument/2006/relationships/hyperlink" Id="rId5667" Target="https://doi.org/10.1016/S1474-4422(23)00131-X" TargetMode="External" /><Relationship Type="http://schemas.openxmlformats.org/officeDocument/2006/relationships/hyperlink" Id="rId5699" Target="https://doi.org/10.1016/S1474-4422(23)00404-0" TargetMode="External" /><Relationship Type="http://schemas.openxmlformats.org/officeDocument/2006/relationships/hyperlink" Id="rId5697" Target="https://doi.org/10.1016/S1474-4422(23)00405-2" TargetMode="External" /><Relationship Type="http://schemas.openxmlformats.org/officeDocument/2006/relationships/hyperlink" Id="rId5700" Target="https://doi.org/10.1016/S1474-4422(24" TargetMode="External" /><Relationship Type="http://schemas.openxmlformats.org/officeDocument/2006/relationships/hyperlink" Id="rId5486" Target="https://doi.org/10.1016/S1474-4422(24)00135-2" TargetMode="External" /><Relationship Type="http://schemas.openxmlformats.org/officeDocument/2006/relationships/hyperlink" Id="rId5603" Target="https://doi.org/10.1016/S1474-4422(25)00270-4" TargetMode="External" /><Relationship Type="http://schemas.openxmlformats.org/officeDocument/2006/relationships/hyperlink" Id="rId5512" Target="https://doi.org/10.1016/S2213-2600(23)00374-0" TargetMode="External" /><Relationship Type="http://schemas.openxmlformats.org/officeDocument/2006/relationships/hyperlink" Id="rId5137" Target="https://doi.org/10.1016/S2214-109X(21)00264-3" TargetMode="External" /><Relationship Type="http://schemas.openxmlformats.org/officeDocument/2006/relationships/hyperlink" Id="rId2757" Target="https://doi.org/10.1016/S2215-0366(16)00104-8" TargetMode="External" /><Relationship Type="http://schemas.openxmlformats.org/officeDocument/2006/relationships/hyperlink" Id="rId5278" Target="https://doi.org/10.1016/S2215-0366(17)30015-9" TargetMode="External" /><Relationship Type="http://schemas.openxmlformats.org/officeDocument/2006/relationships/hyperlink" Id="rId5230" Target="https://doi.org/10.1016/S2215-0366(17)30049-4" TargetMode="External" /><Relationship Type="http://schemas.openxmlformats.org/officeDocument/2006/relationships/hyperlink" Id="rId5224" Target="https://doi.org/10.1016/S2215-0366(18)30269-4" TargetMode="External" /><Relationship Type="http://schemas.openxmlformats.org/officeDocument/2006/relationships/hyperlink" Id="rId5482" Target="https://doi.org/10.1016/S2215-0366(20)30128-0" TargetMode="External" /><Relationship Type="http://schemas.openxmlformats.org/officeDocument/2006/relationships/hyperlink" Id="rId5292" Target="https://doi.org/10.1016/S2215-0366(24)00133-0" TargetMode="External" /><Relationship Type="http://schemas.openxmlformats.org/officeDocument/2006/relationships/hyperlink" Id="rId5294" Target="https://doi.org/10.1016/S2215-0366(24)00253-0" TargetMode="External" /><Relationship Type="http://schemas.openxmlformats.org/officeDocument/2006/relationships/hyperlink" Id="rId2761" Target="https://doi.org/10.1016/S2215-0366(25)00330-X" TargetMode="External" /><Relationship Type="http://schemas.openxmlformats.org/officeDocument/2006/relationships/hyperlink" Id="rId4697" Target="https://doi.org/10.1016/bs.pbr.2018.10.022" TargetMode="External" /><Relationship Type="http://schemas.openxmlformats.org/officeDocument/2006/relationships/hyperlink" Id="rId5080" Target="https://doi.org/10.1016/bs.pbr.2022.12.007" TargetMode="External" /><Relationship Type="http://schemas.openxmlformats.org/officeDocument/2006/relationships/hyperlink" Id="rId4047" Target="https://doi.org/10.1016/j.abrep.2021.100365" TargetMode="External" /><Relationship Type="http://schemas.openxmlformats.org/officeDocument/2006/relationships/hyperlink" Id="rId4671" Target="https://doi.org/10.1016/j.addbeh.2018.02.013" TargetMode="External" /><Relationship Type="http://schemas.openxmlformats.org/officeDocument/2006/relationships/hyperlink" Id="rId5559" Target="https://doi.org/10.1016/j.ajcnut.2023.05.011" TargetMode="External" /><Relationship Type="http://schemas.openxmlformats.org/officeDocument/2006/relationships/hyperlink" Id="rId5561" Target="https://doi.org/10.1016/j.ajcnut.2023.12.011" TargetMode="External" /><Relationship Type="http://schemas.openxmlformats.org/officeDocument/2006/relationships/hyperlink" Id="rId4730" Target="https://doi.org/10.1016/j.ajcnut.2025.07.030" TargetMode="External" /><Relationship Type="http://schemas.openxmlformats.org/officeDocument/2006/relationships/hyperlink" Id="rId4729" Target="https://doi.org/10.1016/j.ajcnut.2026.101390" TargetMode="External" /><Relationship Type="http://schemas.openxmlformats.org/officeDocument/2006/relationships/hyperlink" Id="rId4734" Target="https://doi.org/10.1016/j.amjmed.2016.03.002" TargetMode="External" /><Relationship Type="http://schemas.openxmlformats.org/officeDocument/2006/relationships/hyperlink" Id="rId4736" Target="https://doi.org/10.1016/j.amjmed.2016.04.027" TargetMode="External" /><Relationship Type="http://schemas.openxmlformats.org/officeDocument/2006/relationships/hyperlink" Id="rId5724" Target="https://doi.org/10.1016/j.apmr.2023.03.036" TargetMode="External" /><Relationship Type="http://schemas.openxmlformats.org/officeDocument/2006/relationships/hyperlink" Id="rId4279" Target="https://doi.org/10.1016/j.baga.2016.02.001" TargetMode="External" /><Relationship Type="http://schemas.openxmlformats.org/officeDocument/2006/relationships/hyperlink" Id="rId4187" Target="https://doi.org/10.1016/j.biopsych.2004.08.022" TargetMode="External" /><Relationship Type="http://schemas.openxmlformats.org/officeDocument/2006/relationships/hyperlink" Id="rId2894" Target="https://doi.org/10.1016/j.biopsych.2010.06.010" TargetMode="External" /><Relationship Type="http://schemas.openxmlformats.org/officeDocument/2006/relationships/hyperlink" Id="rId4255" Target="https://doi.org/10.1016/j.biopsych.2015.02.020" TargetMode="External" /><Relationship Type="http://schemas.openxmlformats.org/officeDocument/2006/relationships/hyperlink" Id="rId4344" Target="https://doi.org/10.1016/j.biopsych.2015.05.003" TargetMode="External" /><Relationship Type="http://schemas.openxmlformats.org/officeDocument/2006/relationships/hyperlink" Id="rId4340" Target="https://doi.org/10.1016/j.biopsych.2015.06.016" TargetMode="External" /><Relationship Type="http://schemas.openxmlformats.org/officeDocument/2006/relationships/hyperlink" Id="rId5882" Target="https://doi.org/10.1016/j.biopsych.2015.12.023" TargetMode="External" /><Relationship Type="http://schemas.openxmlformats.org/officeDocument/2006/relationships/hyperlink" Id="rId4564" Target="https://doi.org/10.1016/j.biopsych.2016.01.008" TargetMode="External" /><Relationship Type="http://schemas.openxmlformats.org/officeDocument/2006/relationships/hyperlink" Id="rId4191" Target="https://doi.org/10.1016/j.biopsych.2017.09.006" TargetMode="External" /><Relationship Type="http://schemas.openxmlformats.org/officeDocument/2006/relationships/hyperlink" Id="rId4308" Target="https://doi.org/10.1016/j.biopsych.2022.10.012" TargetMode="External" /><Relationship Type="http://schemas.openxmlformats.org/officeDocument/2006/relationships/hyperlink" Id="rId4428" Target="https://doi.org/10.1016/j.biopsycho.2005.11.014" TargetMode="External" /><Relationship Type="http://schemas.openxmlformats.org/officeDocument/2006/relationships/hyperlink" Id="rId4478" Target="https://doi.org/10.1016/j.biopsycho.2014.11.004" TargetMode="External" /><Relationship Type="http://schemas.openxmlformats.org/officeDocument/2006/relationships/hyperlink" Id="rId4480" Target="https://doi.org/10.1016/j.biopsycho.2018.06.006" TargetMode="External" /><Relationship Type="http://schemas.openxmlformats.org/officeDocument/2006/relationships/hyperlink" Id="rId4436" Target="https://doi.org/10.1016/j.biopsycho.2023.108569" TargetMode="External" /><Relationship Type="http://schemas.openxmlformats.org/officeDocument/2006/relationships/hyperlink" Id="rId4430" Target="https://doi.org/10.1016/j.biopsycho.2023.108589" TargetMode="External" /><Relationship Type="http://schemas.openxmlformats.org/officeDocument/2006/relationships/hyperlink" Id="rId4693" Target="https://doi.org/10.1016/j.bpsc.2024.10.015" TargetMode="External" /><Relationship Type="http://schemas.openxmlformats.org/officeDocument/2006/relationships/hyperlink" Id="rId4783" Target="https://doi.org/10.1016/j.bpsgos.2024.100398" TargetMode="External" /><Relationship Type="http://schemas.openxmlformats.org/officeDocument/2006/relationships/hyperlink" Id="rId4665" Target="https://doi.org/10.1016/j.brainresbull.2011.03.026" TargetMode="External" /><Relationship Type="http://schemas.openxmlformats.org/officeDocument/2006/relationships/hyperlink" Id="rId5354" Target="https://doi.org/10.1016/j.brat.2008.04.006" TargetMode="External" /><Relationship Type="http://schemas.openxmlformats.org/officeDocument/2006/relationships/hyperlink" Id="rId4522" Target="https://doi.org/10.1016/j.brat.2011.10.011" TargetMode="External" /><Relationship Type="http://schemas.openxmlformats.org/officeDocument/2006/relationships/hyperlink" Id="rId5316" Target="https://doi.org/10.1016/j.brat.2014.04.006" TargetMode="External" /><Relationship Type="http://schemas.openxmlformats.org/officeDocument/2006/relationships/hyperlink" Id="rId5109" Target="https://doi.org/10.1016/j.brat.2017.05.004" TargetMode="External" /><Relationship Type="http://schemas.openxmlformats.org/officeDocument/2006/relationships/hyperlink" Id="rId4965" Target="https://doi.org/10.1016/j.brat.2023.104421" TargetMode="External" /><Relationship Type="http://schemas.openxmlformats.org/officeDocument/2006/relationships/hyperlink" Id="rId4382" Target="https://doi.org/10.1016/j.cell.2007.03.015" TargetMode="External" /><Relationship Type="http://schemas.openxmlformats.org/officeDocument/2006/relationships/hyperlink" Id="rId2781" Target="https://doi.org/10.1016/j.cell.2007.10.036" TargetMode="External" /><Relationship Type="http://schemas.openxmlformats.org/officeDocument/2006/relationships/hyperlink" Id="rId5904" Target="https://doi.org/10.1016/j.cell.2007.11.019" TargetMode="External" /><Relationship Type="http://schemas.openxmlformats.org/officeDocument/2006/relationships/hyperlink" Id="rId2653" Target="https://doi.org/10.1016/j.cell.2009.09.029" TargetMode="External" /><Relationship Type="http://schemas.openxmlformats.org/officeDocument/2006/relationships/hyperlink" Id="rId2854" Target="https://doi.org/10.1016/j.cell.2011.02.018" TargetMode="External" /><Relationship Type="http://schemas.openxmlformats.org/officeDocument/2006/relationships/hyperlink" Id="rId5693" Target="https://doi.org/10.1016/j.cell.2011.06.001" TargetMode="External" /><Relationship Type="http://schemas.openxmlformats.org/officeDocument/2006/relationships/hyperlink" Id="rId2864" Target="https://doi.org/10.1016/j.cell.2012.03.017" TargetMode="External" /><Relationship Type="http://schemas.openxmlformats.org/officeDocument/2006/relationships/hyperlink" Id="rId3056" Target="https://doi.org/10.1016/j.cell.2013.05.002" TargetMode="External" /><Relationship Type="http://schemas.openxmlformats.org/officeDocument/2006/relationships/hyperlink" Id="rId2848" Target="https://doi.org/10.1016/j.cell.2013.12.042" TargetMode="External" /><Relationship Type="http://schemas.openxmlformats.org/officeDocument/2006/relationships/hyperlink" Id="rId4396" Target="https://doi.org/10.1016/j.cell.2015.01.033" TargetMode="External" /><Relationship Type="http://schemas.openxmlformats.org/officeDocument/2006/relationships/hyperlink" Id="rId2888" Target="https://doi.org/10.1016/j.cell.2015.01.049" TargetMode="External" /><Relationship Type="http://schemas.openxmlformats.org/officeDocument/2006/relationships/hyperlink" Id="rId4293" Target="https://doi.org/10.1016/j.cell.2015.02.047" TargetMode="External" /><Relationship Type="http://schemas.openxmlformats.org/officeDocument/2006/relationships/hyperlink" Id="rId3012" Target="https://doi.org/10.1016/j.cell.2015.06.054" TargetMode="External" /><Relationship Type="http://schemas.openxmlformats.org/officeDocument/2006/relationships/hyperlink" Id="rId4506" Target="https://doi.org/10.1016/j.cell.2016.05.011" TargetMode="External" /><Relationship Type="http://schemas.openxmlformats.org/officeDocument/2006/relationships/hyperlink" Id="rId4408" Target="https://doi.org/10.1016/j.cell.2016.08.028" TargetMode="External" /><Relationship Type="http://schemas.openxmlformats.org/officeDocument/2006/relationships/hyperlink" Id="rId4512" Target="https://doi.org/10.1016/j.cell.2016.11.018" TargetMode="External" /><Relationship Type="http://schemas.openxmlformats.org/officeDocument/2006/relationships/hyperlink" Id="rId4496" Target="https://doi.org/10.1016/j.cell.2017.05.034" TargetMode="External" /><Relationship Type="http://schemas.openxmlformats.org/officeDocument/2006/relationships/hyperlink" Id="rId2639" Target="https://doi.org/10.1016/j.cell.2018.03.051" TargetMode="External" /><Relationship Type="http://schemas.openxmlformats.org/officeDocument/2006/relationships/hyperlink" Id="rId2868" Target="https://doi.org/10.1016/j.cell.2018.04.027" TargetMode="External" /><Relationship Type="http://schemas.openxmlformats.org/officeDocument/2006/relationships/hyperlink" Id="rId5240" Target="https://doi.org/10.1016/j.cell.2019.12.036" TargetMode="External" /><Relationship Type="http://schemas.openxmlformats.org/officeDocument/2006/relationships/hyperlink" Id="rId2992" Target="https://doi.org/10.1016/j.cell.2020.09.057" TargetMode="External" /><Relationship Type="http://schemas.openxmlformats.org/officeDocument/2006/relationships/hyperlink" Id="rId3566" Target="https://doi.org/10.1016/j.cell.2020.10.024" TargetMode="External" /><Relationship Type="http://schemas.openxmlformats.org/officeDocument/2006/relationships/hyperlink" Id="rId5920" Target="https://doi.org/10.1016/j.cell.2020.11.017" TargetMode="External" /><Relationship Type="http://schemas.openxmlformats.org/officeDocument/2006/relationships/hyperlink" Id="rId2882" Target="https://doi.org/10.1016/j.cell.2020.12.040" TargetMode="External" /><Relationship Type="http://schemas.openxmlformats.org/officeDocument/2006/relationships/hyperlink" Id="rId3070" Target="https://doi.org/10.1016/j.cell.2021.09.005" TargetMode="External" /><Relationship Type="http://schemas.openxmlformats.org/officeDocument/2006/relationships/hyperlink" Id="rId3925" Target="https://doi.org/10.1016/j.cell.2023.11.028" TargetMode="External" /><Relationship Type="http://schemas.openxmlformats.org/officeDocument/2006/relationships/hyperlink" Id="rId2838" Target="https://doi.org/10.1016/j.cell.2024.11.027" TargetMode="External" /><Relationship Type="http://schemas.openxmlformats.org/officeDocument/2006/relationships/hyperlink" Id="rId5960" Target="https://doi.org/10.1016/j.cell.2024.11.038" TargetMode="External" /><Relationship Type="http://schemas.openxmlformats.org/officeDocument/2006/relationships/hyperlink" Id="rId5276" Target="https://doi.org/10.1016/j.cell.2024.12.002" TargetMode="External" /><Relationship Type="http://schemas.openxmlformats.org/officeDocument/2006/relationships/hyperlink" Id="rId3364" Target="https://doi.org/10.1016/j.celrep.2021.109772" TargetMode="External" /><Relationship Type="http://schemas.openxmlformats.org/officeDocument/2006/relationships/hyperlink" Id="rId3365" Target="https://doi.org/10.1016/j.celrep.2022.110413" TargetMode="External" /><Relationship Type="http://schemas.openxmlformats.org/officeDocument/2006/relationships/hyperlink" Id="rId3367" Target="https://doi.org/10.1016/j.celrep.2023.112096" TargetMode="External" /><Relationship Type="http://schemas.openxmlformats.org/officeDocument/2006/relationships/hyperlink" Id="rId3369" Target="https://doi.org/10.1016/j.celrep.2023.112098" TargetMode="External" /><Relationship Type="http://schemas.openxmlformats.org/officeDocument/2006/relationships/hyperlink" Id="rId3734" Target="https://doi.org/10.1016/j.clinph.2007.04.027" TargetMode="External" /><Relationship Type="http://schemas.openxmlformats.org/officeDocument/2006/relationships/hyperlink" Id="rId4502" Target="https://doi.org/10.1016/j.cmet.2009.08.001" TargetMode="External" /><Relationship Type="http://schemas.openxmlformats.org/officeDocument/2006/relationships/hyperlink" Id="rId2850" Target="https://doi.org/10.1016/j.cmet.2017.06.021" TargetMode="External" /><Relationship Type="http://schemas.openxmlformats.org/officeDocument/2006/relationships/hyperlink" Id="rId3452" Target="https://doi.org/10.1016/j.cognition.2008.05.007" TargetMode="External" /><Relationship Type="http://schemas.openxmlformats.org/officeDocument/2006/relationships/hyperlink" Id="rId3222" Target="https://doi.org/10.1016/j.cognition.2008.07.013" TargetMode="External" /><Relationship Type="http://schemas.openxmlformats.org/officeDocument/2006/relationships/hyperlink" Id="rId3568" Target="https://doi.org/10.1016/j.cognition.2009.07.005" TargetMode="External" /><Relationship Type="http://schemas.openxmlformats.org/officeDocument/2006/relationships/hyperlink" Id="rId3516" Target="https://doi.org/10.1016/j.cognition.2010.10.001" TargetMode="External" /><Relationship Type="http://schemas.openxmlformats.org/officeDocument/2006/relationships/hyperlink" Id="rId3504" Target="https://doi.org/10.1016/j.cognition.2012.04.005" TargetMode="External" /><Relationship Type="http://schemas.openxmlformats.org/officeDocument/2006/relationships/hyperlink" Id="rId4008" Target="https://doi.org/10.1016/j.cognition.2012.08.004" TargetMode="External" /><Relationship Type="http://schemas.openxmlformats.org/officeDocument/2006/relationships/hyperlink" Id="rId3046" Target="https://doi.org/10.1016/j.cognition.2018.04.007" TargetMode="External" /><Relationship Type="http://schemas.openxmlformats.org/officeDocument/2006/relationships/hyperlink" Id="rId3466" Target="https://doi.org/10.1016/j.cogpsych.2011.03.001" TargetMode="External" /><Relationship Type="http://schemas.openxmlformats.org/officeDocument/2006/relationships/hyperlink" Id="rId3605" Target="https://doi.org/10.1016/j.conb.2010.02.008" TargetMode="External" /><Relationship Type="http://schemas.openxmlformats.org/officeDocument/2006/relationships/hyperlink" Id="rId3320" Target="https://doi.org/10.1016/j.concog.2013.09.012" TargetMode="External" /><Relationship Type="http://schemas.openxmlformats.org/officeDocument/2006/relationships/hyperlink" Id="rId4699" Target="https://doi.org/10.1016/j.copsyc.2018.12.019" TargetMode="External" /><Relationship Type="http://schemas.openxmlformats.org/officeDocument/2006/relationships/hyperlink" Id="rId4125" Target="https://doi.org/10.1016/j.cortex.2013.12.005" TargetMode="External" /><Relationship Type="http://schemas.openxmlformats.org/officeDocument/2006/relationships/hyperlink" Id="rId3973" Target="https://doi.org/10.1016/j.cortex.2016.03.019" TargetMode="External" /><Relationship Type="http://schemas.openxmlformats.org/officeDocument/2006/relationships/hyperlink" Id="rId3975" Target="https://doi.org/10.1016/j.cortex.2017.03.025" TargetMode="External" /><Relationship Type="http://schemas.openxmlformats.org/officeDocument/2006/relationships/hyperlink" Id="rId3146" Target="https://doi.org/10.1016/j.cortex.2020.03.031" TargetMode="External" /><Relationship Type="http://schemas.openxmlformats.org/officeDocument/2006/relationships/hyperlink" Id="rId3148" Target="https://doi.org/10.1016/j.cortex.2020.04.017" TargetMode="External" /><Relationship Type="http://schemas.openxmlformats.org/officeDocument/2006/relationships/hyperlink" Id="rId3172" Target="https://doi.org/10.1016/j.cortex.2020.11.014" TargetMode="External" /><Relationship Type="http://schemas.openxmlformats.org/officeDocument/2006/relationships/hyperlink" Id="rId4350" Target="https://doi.org/10.1016/j.cortex.2026.03.006" TargetMode="External" /><Relationship Type="http://schemas.openxmlformats.org/officeDocument/2006/relationships/hyperlink" Id="rId4595" Target="https://doi.org/10.1016/j.cpr.2012.10.006" TargetMode="External" /><Relationship Type="http://schemas.openxmlformats.org/officeDocument/2006/relationships/hyperlink" Id="rId4985" Target="https://doi.org/10.1016/j.cpr.2015.01.006" TargetMode="External" /><Relationship Type="http://schemas.openxmlformats.org/officeDocument/2006/relationships/hyperlink" Id="rId4979" Target="https://doi.org/10.1016/j.cpr.2016.10.011" TargetMode="External" /><Relationship Type="http://schemas.openxmlformats.org/officeDocument/2006/relationships/hyperlink" Id="rId4881" Target="https://doi.org/10.1016/j.cpr.2017.10.011" TargetMode="External" /><Relationship Type="http://schemas.openxmlformats.org/officeDocument/2006/relationships/hyperlink" Id="rId5019" Target="https://doi.org/10.1016/j.cpr.2019.01.001" TargetMode="External" /><Relationship Type="http://schemas.openxmlformats.org/officeDocument/2006/relationships/hyperlink" Id="rId4987" Target="https://doi.org/10.1016/j.cpr.2022.102156" TargetMode="External" /><Relationship Type="http://schemas.openxmlformats.org/officeDocument/2006/relationships/hyperlink" Id="rId4963" Target="https://doi.org/10.1016/j.cpr.2023.102370" TargetMode="External" /><Relationship Type="http://schemas.openxmlformats.org/officeDocument/2006/relationships/hyperlink" Id="rId5009" Target="https://doi.org/10.1016/j.cpr.2024.102445" TargetMode="External" /><Relationship Type="http://schemas.openxmlformats.org/officeDocument/2006/relationships/hyperlink" Id="rId5030" Target="https://doi.org/10.1016/j.cpr.2026.102719" TargetMode="External" /><Relationship Type="http://schemas.openxmlformats.org/officeDocument/2006/relationships/hyperlink" Id="rId2651" Target="https://doi.org/10.1016/j.cub.2007.08.033" TargetMode="External" /><Relationship Type="http://schemas.openxmlformats.org/officeDocument/2006/relationships/hyperlink" Id="rId3969" Target="https://doi.org/10.1016/j.cub.2010.02.045" TargetMode="External" /><Relationship Type="http://schemas.openxmlformats.org/officeDocument/2006/relationships/hyperlink" Id="rId4105" Target="https://doi.org/10.1016/j.cub.2010.11.042" TargetMode="External" /><Relationship Type="http://schemas.openxmlformats.org/officeDocument/2006/relationships/hyperlink" Id="rId4026" Target="https://doi.org/10.1016/j.cub.2011.11.018" TargetMode="External" /><Relationship Type="http://schemas.openxmlformats.org/officeDocument/2006/relationships/hyperlink" Id="rId3395" Target="https://doi.org/10.1016/j.cub.2012.09.011" TargetMode="External" /><Relationship Type="http://schemas.openxmlformats.org/officeDocument/2006/relationships/hyperlink" Id="rId3150" Target="https://doi.org/10.1016/j.cub.2013.06.046" TargetMode="External" /><Relationship Type="http://schemas.openxmlformats.org/officeDocument/2006/relationships/hyperlink" Id="rId2952" Target="https://doi.org/10.1016/j.cub.2018.01.064" TargetMode="External" /><Relationship Type="http://schemas.openxmlformats.org/officeDocument/2006/relationships/hyperlink" Id="rId4227" Target="https://doi.org/10.1016/j.cub.2018.06.068" TargetMode="External" /><Relationship Type="http://schemas.openxmlformats.org/officeDocument/2006/relationships/hyperlink" Id="rId3700" Target="https://doi.org/10.1016/j.cub.2018.12.038" TargetMode="External" /><Relationship Type="http://schemas.openxmlformats.org/officeDocument/2006/relationships/hyperlink" Id="rId3718" Target="https://doi.org/10.1016/j.cub.2021.01.026" TargetMode="External" /><Relationship Type="http://schemas.openxmlformats.org/officeDocument/2006/relationships/hyperlink" Id="rId3867" Target="https://doi.org/10.1016/j.cub.2025.01.024" TargetMode="External" /><Relationship Type="http://schemas.openxmlformats.org/officeDocument/2006/relationships/hyperlink" Id="rId4354" Target="https://doi.org/10.1016/j.cub.2025.07.042" TargetMode="External" /><Relationship Type="http://schemas.openxmlformats.org/officeDocument/2006/relationships/hyperlink" Id="rId3967" Target="https://doi.org/10.1016/j.dcn.2012.09.008" TargetMode="External" /><Relationship Type="http://schemas.openxmlformats.org/officeDocument/2006/relationships/hyperlink" Id="rId4929" Target="https://doi.org/10.1016/j.drugalcdep.2011.05.027" TargetMode="External" /><Relationship Type="http://schemas.openxmlformats.org/officeDocument/2006/relationships/hyperlink" Id="rId3278" Target="https://doi.org/10.1016/j.edurev.2008.02.003" TargetMode="External" /><Relationship Type="http://schemas.openxmlformats.org/officeDocument/2006/relationships/hyperlink" Id="rId3246" Target="https://doi.org/10.1016/j.edurev.2012.05.003" TargetMode="External" /><Relationship Type="http://schemas.openxmlformats.org/officeDocument/2006/relationships/hyperlink" Id="rId3276" Target="https://doi.org/10.1016/j.edurev.2013.11.002" TargetMode="External" /><Relationship Type="http://schemas.openxmlformats.org/officeDocument/2006/relationships/hyperlink" Id="rId4721" Target="https://doi.org/10.1016/j.explore.2023.03.006" TargetMode="External" /><Relationship Type="http://schemas.openxmlformats.org/officeDocument/2006/relationships/hyperlink" Id="rId4847" Target="https://doi.org/10.1016/j.heliyon.2019.e01351" TargetMode="External" /><Relationship Type="http://schemas.openxmlformats.org/officeDocument/2006/relationships/hyperlink" Id="rId4827" Target="https://doi.org/10.1016/j.ijpsycho.2016.09.020" TargetMode="External" /><Relationship Type="http://schemas.openxmlformats.org/officeDocument/2006/relationships/hyperlink" Id="rId4707" Target="https://doi.org/10.1016/j.ijpsycho.2022.03.010" TargetMode="External" /><Relationship Type="http://schemas.openxmlformats.org/officeDocument/2006/relationships/hyperlink" Id="rId5788" Target="https://doi.org/10.1016/j.ijrobp.2023.04.030" TargetMode="External" /><Relationship Type="http://schemas.openxmlformats.org/officeDocument/2006/relationships/hyperlink" Id="rId4059" Target="https://doi.org/10.1016/j.intell.2010.03.001" TargetMode="External" /><Relationship Type="http://schemas.openxmlformats.org/officeDocument/2006/relationships/hyperlink" Id="rId4438" Target="https://doi.org/10.1016/j.isci.2024.109137" TargetMode="External" /><Relationship Type="http://schemas.openxmlformats.org/officeDocument/2006/relationships/hyperlink" Id="rId5254" Target="https://doi.org/10.1016/j.jaac.2014.01.019" TargetMode="External" /><Relationship Type="http://schemas.openxmlformats.org/officeDocument/2006/relationships/hyperlink" Id="rId4943" Target="https://doi.org/10.1016/j.jacc.2025.05.007" TargetMode="External" /><Relationship Type="http://schemas.openxmlformats.org/officeDocument/2006/relationships/hyperlink" Id="rId4488" Target="https://doi.org/10.1016/j.jad.2025.01.153" TargetMode="External" /><Relationship Type="http://schemas.openxmlformats.org/officeDocument/2006/relationships/hyperlink" Id="rId4902" Target="https://doi.org/10.1016/j.jad.2025.04.145" TargetMode="External" /><Relationship Type="http://schemas.openxmlformats.org/officeDocument/2006/relationships/hyperlink" Id="rId4576" Target="https://doi.org/10.1016/j.jadr.2023.100714" TargetMode="External" /><Relationship Type="http://schemas.openxmlformats.org/officeDocument/2006/relationships/hyperlink" Id="rId4631" Target="https://doi.org/10.1016/j.jadr.2024.100769" TargetMode="External" /><Relationship Type="http://schemas.openxmlformats.org/officeDocument/2006/relationships/hyperlink" Id="rId5534" Target="https://doi.org/10.1016/j.jalz.2018.07.219" TargetMode="External" /><Relationship Type="http://schemas.openxmlformats.org/officeDocument/2006/relationships/hyperlink" Id="rId4006" Target="https://doi.org/10.1016/j.jebo.2019.08.016" TargetMode="External" /><Relationship Type="http://schemas.openxmlformats.org/officeDocument/2006/relationships/hyperlink" Id="rId3524" Target="https://doi.org/10.1016/j.jecp.2006.02.002" TargetMode="External" /><Relationship Type="http://schemas.openxmlformats.org/officeDocument/2006/relationships/hyperlink" Id="rId3268" Target="https://doi.org/10.1016/j.jml.2004.12.001" TargetMode="External" /><Relationship Type="http://schemas.openxmlformats.org/officeDocument/2006/relationships/hyperlink" Id="rId3494" Target="https://doi.org/10.1016/j.jphysparis.2008.03.004" TargetMode="External" /><Relationship Type="http://schemas.openxmlformats.org/officeDocument/2006/relationships/hyperlink" Id="rId4334" Target="https://doi.org/10.1016/j.jpsychires.2014.10.003" TargetMode="External" /><Relationship Type="http://schemas.openxmlformats.org/officeDocument/2006/relationships/hyperlink" Id="rId4494" Target="https://doi.org/10.1016/j.jpsychires.2016.07.019" TargetMode="External" /><Relationship Type="http://schemas.openxmlformats.org/officeDocument/2006/relationships/hyperlink" Id="rId5472" Target="https://doi.org/10.1016/j.jpsychores.2011.09.003" TargetMode="External" /><Relationship Type="http://schemas.openxmlformats.org/officeDocument/2006/relationships/hyperlink" Id="rId3666" Target="https://doi.org/10.1016/j.neubiorev.2005.07.001" TargetMode="External" /><Relationship Type="http://schemas.openxmlformats.org/officeDocument/2006/relationships/hyperlink" Id="rId4273" Target="https://doi.org/10.1016/j.neubiorev.2013.04.018" TargetMode="External" /><Relationship Type="http://schemas.openxmlformats.org/officeDocument/2006/relationships/hyperlink" Id="rId3584" Target="https://doi.org/10.1016/j.neubiorev.2014.01.009" TargetMode="External" /><Relationship Type="http://schemas.openxmlformats.org/officeDocument/2006/relationships/hyperlink" Id="rId4556" Target="https://doi.org/10.1016/j.neubiorev.2014.03.016" TargetMode="External" /><Relationship Type="http://schemas.openxmlformats.org/officeDocument/2006/relationships/hyperlink" Id="rId5190" Target="https://doi.org/10.1016/j.neubiorev.2015.09.017" TargetMode="External" /><Relationship Type="http://schemas.openxmlformats.org/officeDocument/2006/relationships/hyperlink" Id="rId4823" Target="https://doi.org/10.1016/j.neubiorev.2015.09.018" TargetMode="External" /><Relationship Type="http://schemas.openxmlformats.org/officeDocument/2006/relationships/hyperlink" Id="rId4514" Target="https://doi.org/10.1016/j.neubiorev.2016.03.021" TargetMode="External" /><Relationship Type="http://schemas.openxmlformats.org/officeDocument/2006/relationships/hyperlink" Id="rId4621" Target="https://doi.org/10.1016/j.neubiorev.2017.08.003" TargetMode="External" /><Relationship Type="http://schemas.openxmlformats.org/officeDocument/2006/relationships/hyperlink" Id="rId5222" Target="https://doi.org/10.1016/j.neubiorev.2021.01.022" TargetMode="External" /><Relationship Type="http://schemas.openxmlformats.org/officeDocument/2006/relationships/hyperlink" Id="rId5180" Target="https://doi.org/10.1016/j.neubiorev.2021.02.026" TargetMode="External" /><Relationship Type="http://schemas.openxmlformats.org/officeDocument/2006/relationships/hyperlink" Id="rId4701" Target="https://doi.org/10.1016/j.neubiorev.2021.06.021" TargetMode="External" /><Relationship Type="http://schemas.openxmlformats.org/officeDocument/2006/relationships/hyperlink" Id="rId4444" Target="https://doi.org/10.1016/j.neubiorev.2022.104711" TargetMode="External" /><Relationship Type="http://schemas.openxmlformats.org/officeDocument/2006/relationships/hyperlink" Id="rId4807" Target="https://doi.org/10.1016/j.neubiorev.2025.106141" TargetMode="External" /><Relationship Type="http://schemas.openxmlformats.org/officeDocument/2006/relationships/hyperlink" Id="rId4703" Target="https://doi.org/10.1016/j.neubiorev.2025.106539" TargetMode="External" /><Relationship Type="http://schemas.openxmlformats.org/officeDocument/2006/relationships/hyperlink" Id="rId4623" Target="https://doi.org/10.1016/j.neubiorev.2026.106709" TargetMode="External" /><Relationship Type="http://schemas.openxmlformats.org/officeDocument/2006/relationships/hyperlink" Id="rId4641" Target="https://doi.org/10.1016/j.neurobiolaging.2007.06.008" TargetMode="External" /><Relationship Type="http://schemas.openxmlformats.org/officeDocument/2006/relationships/hyperlink" Id="rId4085" Target="https://doi.org/10.1016/j.neuroimage.2006.01.021" TargetMode="External" /><Relationship Type="http://schemas.openxmlformats.org/officeDocument/2006/relationships/hyperlink" Id="rId3778" Target="https://doi.org/10.1016/j.neuroimage.2006.02.048" TargetMode="External" /><Relationship Type="http://schemas.openxmlformats.org/officeDocument/2006/relationships/hyperlink" Id="rId4129" Target="https://doi.org/10.1016/j.neuroimage.2008.03.059" TargetMode="External" /><Relationship Type="http://schemas.openxmlformats.org/officeDocument/2006/relationships/hyperlink" Id="rId4625" Target="https://doi.org/10.1016/j.neuroimage.2008.12.061" TargetMode="External" /><Relationship Type="http://schemas.openxmlformats.org/officeDocument/2006/relationships/hyperlink" Id="rId4089" Target="https://doi.org/10.1016/j.neuroimage.2010.07.033" TargetMode="External" /><Relationship Type="http://schemas.openxmlformats.org/officeDocument/2006/relationships/hyperlink" Id="rId4217" Target="https://doi.org/10.1016/j.neuroimage.2010.12.008" TargetMode="External" /><Relationship Type="http://schemas.openxmlformats.org/officeDocument/2006/relationships/hyperlink" Id="rId4659" Target="https://doi.org/10.1016/j.neuroimage.2011.05.075" TargetMode="External" /><Relationship Type="http://schemas.openxmlformats.org/officeDocument/2006/relationships/hyperlink" Id="rId4552" Target="https://doi.org/10.1016/j.neuroimage.2011.07.008" TargetMode="External" /><Relationship Type="http://schemas.openxmlformats.org/officeDocument/2006/relationships/hyperlink" Id="rId4661" Target="https://doi.org/10.1016/j.neuroimage.2012.02.026" TargetMode="External" /><Relationship Type="http://schemas.openxmlformats.org/officeDocument/2006/relationships/hyperlink" Id="rId4875" Target="https://doi.org/10.1016/j.neuroimage.2012.03.069" TargetMode="External" /><Relationship Type="http://schemas.openxmlformats.org/officeDocument/2006/relationships/hyperlink" Id="rId3645" Target="https://doi.org/10.1016/j.neuroimage.2012.04.024" TargetMode="External" /><Relationship Type="http://schemas.openxmlformats.org/officeDocument/2006/relationships/hyperlink" Id="rId3782" Target="https://doi.org/10.1016/j.neuroimage.2012.06.081" TargetMode="External" /><Relationship Type="http://schemas.openxmlformats.org/officeDocument/2006/relationships/hyperlink" Id="rId4330" Target="https://doi.org/10.1016/j.neuroimage.2012.12.004" TargetMode="External" /><Relationship Type="http://schemas.openxmlformats.org/officeDocument/2006/relationships/hyperlink" Id="rId4328" Target="https://doi.org/10.1016/j.neuroimage.2013.01.009" TargetMode="External" /><Relationship Type="http://schemas.openxmlformats.org/officeDocument/2006/relationships/hyperlink" Id="rId4635" Target="https://doi.org/10.1016/j.neuroimage.2013.05.030" TargetMode="External" /><Relationship Type="http://schemas.openxmlformats.org/officeDocument/2006/relationships/hyperlink" Id="rId3770" Target="https://doi.org/10.1016/j.neuroimage.2014.12.006" TargetMode="External" /><Relationship Type="http://schemas.openxmlformats.org/officeDocument/2006/relationships/hyperlink" Id="rId4247" Target="https://doi.org/10.1016/j.neuroimage.2016.02.022" TargetMode="External" /><Relationship Type="http://schemas.openxmlformats.org/officeDocument/2006/relationships/hyperlink" Id="rId3768" Target="https://doi.org/10.1016/j.neuroimage.2016.02.034" TargetMode="External" /><Relationship Type="http://schemas.openxmlformats.org/officeDocument/2006/relationships/hyperlink" Id="rId4558" Target="https://doi.org/10.1016/j.neuroimage.2016.04.007" TargetMode="External" /><Relationship Type="http://schemas.openxmlformats.org/officeDocument/2006/relationships/hyperlink" Id="rId4580" Target="https://doi.org/10.1016/j.neuroimage.2018.07.013" TargetMode="External" /><Relationship Type="http://schemas.openxmlformats.org/officeDocument/2006/relationships/hyperlink" Id="rId5078" Target="https://doi.org/10.1016/j.neuroimage.2019.04.009" TargetMode="External" /><Relationship Type="http://schemas.openxmlformats.org/officeDocument/2006/relationships/hyperlink" Id="rId4249" Target="https://doi.org/10.1016/j.neuroimage.2019.116287" TargetMode="External" /><Relationship Type="http://schemas.openxmlformats.org/officeDocument/2006/relationships/hyperlink" Id="rId2809" Target="https://doi.org/10.1016/j.neuroimage.2021.117744" TargetMode="External" /><Relationship Type="http://schemas.openxmlformats.org/officeDocument/2006/relationships/hyperlink" Id="rId4039" Target="https://doi.org/10.1016/j.neuroimage.2021.118136" TargetMode="External" /><Relationship Type="http://schemas.openxmlformats.org/officeDocument/2006/relationships/hyperlink" Id="rId3074" Target="https://doi.org/10.1016/j.neuron.2004.09.012" TargetMode="External" /><Relationship Type="http://schemas.openxmlformats.org/officeDocument/2006/relationships/hyperlink" Id="rId3736" Target="https://doi.org/10.1016/j.neuron.2008.03.027" TargetMode="External" /><Relationship Type="http://schemas.openxmlformats.org/officeDocument/2006/relationships/hyperlink" Id="rId3375" Target="https://doi.org/10.1016/j.neuron.2009.01.002" TargetMode="External" /><Relationship Type="http://schemas.openxmlformats.org/officeDocument/2006/relationships/hyperlink" Id="rId2856" Target="https://doi.org/10.1016/j.neuron.2009.01.030" TargetMode="External" /><Relationship Type="http://schemas.openxmlformats.org/officeDocument/2006/relationships/hyperlink" Id="rId3342" Target="https://doi.org/10.1016/j.neuron.2009.06.005" TargetMode="External" /><Relationship Type="http://schemas.openxmlformats.org/officeDocument/2006/relationships/hyperlink" Id="rId4318" Target="https://doi.org/10.1016/j.neuron.2009.12.003" TargetMode="External" /><Relationship Type="http://schemas.openxmlformats.org/officeDocument/2006/relationships/hyperlink" Id="rId3692" Target="https://doi.org/10.1016/j.neuron.2010.11.032" TargetMode="External" /><Relationship Type="http://schemas.openxmlformats.org/officeDocument/2006/relationships/hyperlink" Id="rId3621" Target="https://doi.org/10.1016/j.neuron.2011.02.027" TargetMode="External" /><Relationship Type="http://schemas.openxmlformats.org/officeDocument/2006/relationships/hyperlink" Id="rId3746" Target="https://doi.org/10.1016/j.neuron.2011.03.018" TargetMode="External" /><Relationship Type="http://schemas.openxmlformats.org/officeDocument/2006/relationships/hyperlink" Id="rId5940" Target="https://doi.org/10.1016/j.neuron.2011.09.011" TargetMode="External" /><Relationship Type="http://schemas.openxmlformats.org/officeDocument/2006/relationships/hyperlink" Id="rId4127" Target="https://doi.org/10.1016/j.neuron.2012.02.004" TargetMode="External" /><Relationship Type="http://schemas.openxmlformats.org/officeDocument/2006/relationships/hyperlink" Id="rId2783" Target="https://doi.org/10.1016/j.neuron.2012.03.026" TargetMode="External" /><Relationship Type="http://schemas.openxmlformats.org/officeDocument/2006/relationships/hyperlink" Id="rId3362" Target="https://doi.org/10.1016/j.neuron.2012.03.040" TargetMode="External" /><Relationship Type="http://schemas.openxmlformats.org/officeDocument/2006/relationships/hyperlink" Id="rId3360" Target="https://doi.org/10.1016/j.neuron.2012.04.034" TargetMode="External" /><Relationship Type="http://schemas.openxmlformats.org/officeDocument/2006/relationships/hyperlink" Id="rId3704" Target="https://doi.org/10.1016/j.neuron.2013.03.006" TargetMode="External" /><Relationship Type="http://schemas.openxmlformats.org/officeDocument/2006/relationships/hyperlink" Id="rId3272" Target="https://doi.org/10.1016/j.neuron.2013.07.007" TargetMode="External" /><Relationship Type="http://schemas.openxmlformats.org/officeDocument/2006/relationships/hyperlink" Id="rId3619" Target="https://doi.org/10.1016/j.neuron.2013.09.007" TargetMode="External" /><Relationship Type="http://schemas.openxmlformats.org/officeDocument/2006/relationships/hyperlink" Id="rId2691" Target="https://doi.org/10.1016/j.neuron.2013.10.022" TargetMode="External" /><Relationship Type="http://schemas.openxmlformats.org/officeDocument/2006/relationships/hyperlink" Id="rId4215" Target="https://doi.org/10.1016/j.neuron.2013.10.044" TargetMode="External" /><Relationship Type="http://schemas.openxmlformats.org/officeDocument/2006/relationships/hyperlink" Id="rId3607" Target="https://doi.org/10.1016/j.neuron.2013.11.005" TargetMode="External" /><Relationship Type="http://schemas.openxmlformats.org/officeDocument/2006/relationships/hyperlink" Id="rId3104" Target="https://doi.org/10.1016/j.neuron.2014.07.032" TargetMode="External" /><Relationship Type="http://schemas.openxmlformats.org/officeDocument/2006/relationships/hyperlink" Id="rId4205" Target="https://doi.org/10.1016/j.neuron.2015.02.018" TargetMode="External" /><Relationship Type="http://schemas.openxmlformats.org/officeDocument/2006/relationships/hyperlink" Id="rId3595" Target="https://doi.org/10.1016/j.neuron.2015.06.011" TargetMode="External" /><Relationship Type="http://schemas.openxmlformats.org/officeDocument/2006/relationships/hyperlink" Id="rId4406" Target="https://doi.org/10.1016/j.neuron.2015.08.001" TargetMode="External" /><Relationship Type="http://schemas.openxmlformats.org/officeDocument/2006/relationships/hyperlink" Id="rId3138" Target="https://doi.org/10.1016/j.neuron.2015.09.028" TargetMode="External" /><Relationship Type="http://schemas.openxmlformats.org/officeDocument/2006/relationships/hyperlink" Id="rId3738" Target="https://doi.org/10.1016/j.neuron.2015.09.034" TargetMode="External" /><Relationship Type="http://schemas.openxmlformats.org/officeDocument/2006/relationships/hyperlink" Id="rId4326" Target="https://doi.org/10.1016/j.neuron.2015.11.028" TargetMode="External" /><Relationship Type="http://schemas.openxmlformats.org/officeDocument/2006/relationships/hyperlink" Id="rId5172" Target="https://doi.org/10.1016/j.neuron.2016.10.059" TargetMode="External" /><Relationship Type="http://schemas.openxmlformats.org/officeDocument/2006/relationships/hyperlink" Id="rId3076" Target="https://doi.org/10.1016/j.neuron.2016.12.015" TargetMode="External" /><Relationship Type="http://schemas.openxmlformats.org/officeDocument/2006/relationships/hyperlink" Id="rId5500" Target="https://doi.org/10.1016/j.neuron.2017.01.014" TargetMode="External" /><Relationship Type="http://schemas.openxmlformats.org/officeDocument/2006/relationships/hyperlink" Id="rId3166" Target="https://doi.org/10.1016/j.neuron.2017.02.003" TargetMode="External" /><Relationship Type="http://schemas.openxmlformats.org/officeDocument/2006/relationships/hyperlink" Id="rId2821" Target="https://doi.org/10.1016/j.neuron.2017.03.043" TargetMode="External" /><Relationship Type="http://schemas.openxmlformats.org/officeDocument/2006/relationships/hyperlink" Id="rId2813" Target="https://doi.org/10.1016/j.neuron.2017.07.030" TargetMode="External" /><Relationship Type="http://schemas.openxmlformats.org/officeDocument/2006/relationships/hyperlink" Id="rId2936" Target="https://doi.org/10.1016/j.neuron.2018.03.043" TargetMode="External" /><Relationship Type="http://schemas.openxmlformats.org/officeDocument/2006/relationships/hyperlink" Id="rId2904" Target="https://doi.org/10.1016/j.neuron.2018.07.033" TargetMode="External" /><Relationship Type="http://schemas.openxmlformats.org/officeDocument/2006/relationships/hyperlink" Id="rId3356" Target="https://doi.org/10.1016/j.neuron.2018.10.003" TargetMode="External" /><Relationship Type="http://schemas.openxmlformats.org/officeDocument/2006/relationships/hyperlink" Id="rId4209" Target="https://doi.org/10.1016/j.neuron.2020.01.005" TargetMode="External" /><Relationship Type="http://schemas.openxmlformats.org/officeDocument/2006/relationships/hyperlink" Id="rId2785" Target="https://doi.org/10.1016/j.neuron.2022.10.020" TargetMode="External" /><Relationship Type="http://schemas.openxmlformats.org/officeDocument/2006/relationships/hyperlink" Id="rId4352" Target="https://doi.org/10.1016/j.neuron.2022.12.011" TargetMode="External" /><Relationship Type="http://schemas.openxmlformats.org/officeDocument/2006/relationships/hyperlink" Id="rId5964" Target="https://doi.org/10.1016/j.neuron.2026.08.010" TargetMode="External" /><Relationship Type="http://schemas.openxmlformats.org/officeDocument/2006/relationships/hyperlink" Id="rId4705" Target="https://doi.org/10.1016/j.neuropsychologia.2018.07.025" TargetMode="External" /><Relationship Type="http://schemas.openxmlformats.org/officeDocument/2006/relationships/hyperlink" Id="rId5084" Target="https://doi.org/10.1016/j.neuropsychologia.2023.108694" TargetMode="External" /><Relationship Type="http://schemas.openxmlformats.org/officeDocument/2006/relationships/hyperlink" Id="rId4825" Target="https://doi.org/10.1016/j.neuroscience.2026.07.012" TargetMode="External" /><Relationship Type="http://schemas.openxmlformats.org/officeDocument/2006/relationships/hyperlink" Id="rId4841" Target="https://doi.org/10.1016/j.nicl.2017.07.006" TargetMode="External" /><Relationship Type="http://schemas.openxmlformats.org/officeDocument/2006/relationships/hyperlink" Id="rId4253" Target="https://doi.org/10.1016/j.nicl.2021.102570" TargetMode="External" /><Relationship Type="http://schemas.openxmlformats.org/officeDocument/2006/relationships/hyperlink" Id="rId5228" Target="https://doi.org/10.1016/j.nicl.2024.103588" TargetMode="External" /><Relationship Type="http://schemas.openxmlformats.org/officeDocument/2006/relationships/hyperlink" Id="rId4593" Target="https://doi.org/10.1016/j.pain.2010.10.006" TargetMode="External" /><Relationship Type="http://schemas.openxmlformats.org/officeDocument/2006/relationships/hyperlink" Id="rId4548" Target="https://doi.org/10.1016/j.pscychresns.2010.08.006" TargetMode="External" /><Relationship Type="http://schemas.openxmlformats.org/officeDocument/2006/relationships/hyperlink" Id="rId4772" Target="https://doi.org/10.1016/j.psyneuen.2010.09.010" TargetMode="External" /><Relationship Type="http://schemas.openxmlformats.org/officeDocument/2006/relationships/hyperlink" Id="rId4795" Target="https://doi.org/10.1016/j.psyneuen.2013.11.004" TargetMode="External" /><Relationship Type="http://schemas.openxmlformats.org/officeDocument/2006/relationships/hyperlink" Id="rId4774" Target="https://doi.org/10.1016/j.psyneuen.2013.12.017" TargetMode="External" /><Relationship Type="http://schemas.openxmlformats.org/officeDocument/2006/relationships/hyperlink" Id="rId4362" Target="https://doi.org/10.1016/j.psyneuen.2015.10.010" TargetMode="External" /><Relationship Type="http://schemas.openxmlformats.org/officeDocument/2006/relationships/hyperlink" Id="rId4366" Target="https://doi.org/10.1016/j.psyneuen.2017.05.018" TargetMode="External" /><Relationship Type="http://schemas.openxmlformats.org/officeDocument/2006/relationships/hyperlink" Id="rId4981" Target="https://doi.org/10.1016/j.psyneuen.2017.09.015" TargetMode="External" /><Relationship Type="http://schemas.openxmlformats.org/officeDocument/2006/relationships/hyperlink" Id="rId4779" Target="https://doi.org/10.1016/j.psyneuen.2019.05.020" TargetMode="External" /><Relationship Type="http://schemas.openxmlformats.org/officeDocument/2006/relationships/hyperlink" Id="rId4781" Target="https://doi.org/10.1016/j.psyneuen.2019.104410" TargetMode="External" /><Relationship Type="http://schemas.openxmlformats.org/officeDocument/2006/relationships/hyperlink" Id="rId4778" Target="https://doi.org/10.1016/j.psyneuen.2019.104440" TargetMode="External" /><Relationship Type="http://schemas.openxmlformats.org/officeDocument/2006/relationships/hyperlink" Id="rId4322" Target="https://doi.org/10.1016/j.psyneuen.2021.105173" TargetMode="External" /><Relationship Type="http://schemas.openxmlformats.org/officeDocument/2006/relationships/hyperlink" Id="rId4742" Target="https://doi.org/10.1016/j.psyneuen.2022.105734" TargetMode="External" /><Relationship Type="http://schemas.openxmlformats.org/officeDocument/2006/relationships/hyperlink" Id="rId4083" Target="https://doi.org/10.1016/j.schres.2005.11.020" TargetMode="External" /><Relationship Type="http://schemas.openxmlformats.org/officeDocument/2006/relationships/hyperlink" Id="rId5522" Target="https://doi.org/10.1016/j.sleep.2014.03.025" TargetMode="External" /><Relationship Type="http://schemas.openxmlformats.org/officeDocument/2006/relationships/hyperlink" Id="rId2807" Target="https://doi.org/10.1016/j.stem.2011.11.019" TargetMode="External" /><Relationship Type="http://schemas.openxmlformats.org/officeDocument/2006/relationships/hyperlink" Id="rId5916" Target="https://doi.org/10.1016/j.stem.2015.09.001" TargetMode="External" /><Relationship Type="http://schemas.openxmlformats.org/officeDocument/2006/relationships/hyperlink" Id="rId3060" Target="https://doi.org/10.1016/j.stem.2018.03.015" TargetMode="External" /><Relationship Type="http://schemas.openxmlformats.org/officeDocument/2006/relationships/hyperlink" Id="rId3762" Target="https://doi.org/10.1016/j.tics.2005.12.004" TargetMode="External" /><Relationship Type="http://schemas.openxmlformats.org/officeDocument/2006/relationships/hyperlink" Id="rId4516" Target="https://doi.org/10.1016/j.tics.2008.01.005" TargetMode="External" /><Relationship Type="http://schemas.openxmlformats.org/officeDocument/2006/relationships/hyperlink" Id="rId3720" Target="https://doi.org/10.1016/j.tics.2009.12.001" TargetMode="External" /><Relationship Type="http://schemas.openxmlformats.org/officeDocument/2006/relationships/hyperlink" Id="rId4348" Target="https://doi.org/10.1016/j.tics.2011.05.002" TargetMode="External" /><Relationship Type="http://schemas.openxmlformats.org/officeDocument/2006/relationships/hyperlink" Id="rId3032" Target="https://doi.org/10.1016/j.tics.2011.08.002" TargetMode="External" /><Relationship Type="http://schemas.openxmlformats.org/officeDocument/2006/relationships/hyperlink" Id="rId4259" Target="https://doi.org/10.1016/j.tics.2011.08.003" TargetMode="External" /><Relationship Type="http://schemas.openxmlformats.org/officeDocument/2006/relationships/hyperlink" Id="rId3371" Target="https://doi.org/10.1016/j.tics.2012.06.010" TargetMode="External" /><Relationship Type="http://schemas.openxmlformats.org/officeDocument/2006/relationships/hyperlink" Id="rId3102" Target="https://doi.org/10.1016/j.tics.2012.09.003" TargetMode="External" /><Relationship Type="http://schemas.openxmlformats.org/officeDocument/2006/relationships/hyperlink" Id="rId3732" Target="https://doi.org/10.1016/j.tics.2014.04.012" TargetMode="External" /><Relationship Type="http://schemas.openxmlformats.org/officeDocument/2006/relationships/hyperlink" Id="rId3300" Target="https://doi.org/10.1016/j.tics.2015.05.004" TargetMode="External" /><Relationship Type="http://schemas.openxmlformats.org/officeDocument/2006/relationships/hyperlink" Id="rId4518" Target="https://doi.org/10.1016/j.tics.2015.07.001" TargetMode="External" /><Relationship Type="http://schemas.openxmlformats.org/officeDocument/2006/relationships/hyperlink" Id="rId5834" Target="https://doi.org/10.1016/j.tics.2015.10.002" TargetMode="External" /><Relationship Type="http://schemas.openxmlformats.org/officeDocument/2006/relationships/hyperlink" Id="rId3322" Target="https://doi.org/10.1016/j.tics.2016.05.010" TargetMode="External" /><Relationship Type="http://schemas.openxmlformats.org/officeDocument/2006/relationships/hyperlink" Id="rId5876" Target="https://doi.org/10.1016/j.tics.2017.03.011" TargetMode="External" /><Relationship Type="http://schemas.openxmlformats.org/officeDocument/2006/relationships/hyperlink" Id="rId3036" Target="https://doi.org/10.1016/j.tics.2017.09.008" TargetMode="External" /><Relationship Type="http://schemas.openxmlformats.org/officeDocument/2006/relationships/hyperlink" Id="rId4141" Target="https://doi.org/10.1016/j.tics.2017.11.005" TargetMode="External" /><Relationship Type="http://schemas.openxmlformats.org/officeDocument/2006/relationships/hyperlink" Id="rId3352" Target="https://doi.org/10.1016/j.tics.2018.06.002" TargetMode="External" /><Relationship Type="http://schemas.openxmlformats.org/officeDocument/2006/relationships/hyperlink" Id="rId3706" Target="https://doi.org/10.1016/j.tics.2019.12.007" TargetMode="External" /><Relationship Type="http://schemas.openxmlformats.org/officeDocument/2006/relationships/hyperlink" Id="rId3633" Target="https://doi.org/10.1016/j.tics.2025.06.006" TargetMode="External" /><Relationship Type="http://schemas.openxmlformats.org/officeDocument/2006/relationships/hyperlink" Id="rId3554" Target="https://doi.org/10.1016/j.tics.2026.01.009" TargetMode="External" /><Relationship Type="http://schemas.openxmlformats.org/officeDocument/2006/relationships/hyperlink" Id="rId3907" Target="https://doi.org/10.1016/j.tine.2020.100144" TargetMode="External" /><Relationship Type="http://schemas.openxmlformats.org/officeDocument/2006/relationships/hyperlink" Id="rId3909" Target="https://doi.org/10.1016/j.tine.2022.100192" TargetMode="External" /><Relationship Type="http://schemas.openxmlformats.org/officeDocument/2006/relationships/hyperlink" Id="rId3905" Target="https://doi.org/10.1016/j.tine.2025.100269" TargetMode="External" /><Relationship Type="http://schemas.openxmlformats.org/officeDocument/2006/relationships/hyperlink" Id="rId3106" Target="https://doi.org/10.1016/j.tins.2011.06.006" TargetMode="External" /><Relationship Type="http://schemas.openxmlformats.org/officeDocument/2006/relationships/hyperlink" Id="rId4863" Target="https://doi.org/10.1016/j.tins.2017.10.001" TargetMode="External" /><Relationship Type="http://schemas.openxmlformats.org/officeDocument/2006/relationships/hyperlink" Id="rId4462" Target="https://doi.org/10.1016/j.xcrm.2022.100895" TargetMode="External" /><Relationship Type="http://schemas.openxmlformats.org/officeDocument/2006/relationships/hyperlink" Id="rId4221" Target="https://doi.org/10.1016/j.yebeh.2014.05.027" TargetMode="External" /><Relationship Type="http://schemas.openxmlformats.org/officeDocument/2006/relationships/hyperlink" Id="rId4223" Target="https://doi.org/10.1016/j.yebeh.2019.03.051" TargetMode="External" /><Relationship Type="http://schemas.openxmlformats.org/officeDocument/2006/relationships/hyperlink" Id="rId4889" Target="https://doi.org/10.1016/s0140-6736(14)62222-4" TargetMode="External" /><Relationship Type="http://schemas.openxmlformats.org/officeDocument/2006/relationships/hyperlink" Id="rId4285" Target="https://doi.org/10.1016/s0165-0173(98)00019-8" TargetMode="External" /><Relationship Type="http://schemas.openxmlformats.org/officeDocument/2006/relationships/hyperlink" Id="rId4762" Target="https://doi.org/10.1016/s0301-0511(00)00035-1" TargetMode="External" /><Relationship Type="http://schemas.openxmlformats.org/officeDocument/2006/relationships/hyperlink" Id="rId4653" Target="https://doi.org/10.1016/s0306-9877(03)00175-0" TargetMode="External" /><Relationship Type="http://schemas.openxmlformats.org/officeDocument/2006/relationships/hyperlink" Id="rId4649" Target="https://doi.org/10.1016/s0925-4927(01)00074-9" TargetMode="External" /><Relationship Type="http://schemas.openxmlformats.org/officeDocument/2006/relationships/hyperlink" Id="rId4534" Target="https://doi.org/10.1016/s0926-6410(01)00106-9" TargetMode="External" /><Relationship Type="http://schemas.openxmlformats.org/officeDocument/2006/relationships/hyperlink" Id="rId3953" Target="https://doi.org/10.1016/s0960-9822(03)00135-0" TargetMode="External" /><Relationship Type="http://schemas.openxmlformats.org/officeDocument/2006/relationships/hyperlink" Id="rId3795" Target="https://doi.org/10.1016/s1053-8119(09)71202-9" TargetMode="External" /><Relationship Type="http://schemas.openxmlformats.org/officeDocument/2006/relationships/hyperlink" Id="rId4422" Target="https://doi.org/10.1016/s1566-0702(00)00215-0" TargetMode="External" /><Relationship Type="http://schemas.openxmlformats.org/officeDocument/2006/relationships/hyperlink" Id="rId4895" Target="https://doi.org/10.1016/s2215-0366(25)00105-1" TargetMode="External" /><Relationship Type="http://schemas.openxmlformats.org/officeDocument/2006/relationships/hyperlink" Id="rId5873" Target="https://doi.org/10.1017/S0033291726105340" TargetMode="External" /><Relationship Type="http://schemas.openxmlformats.org/officeDocument/2006/relationships/hyperlink" Id="rId5874" Target="https://doi.org/10.1017/S0033291726105960" TargetMode="External" /><Relationship Type="http://schemas.openxmlformats.org/officeDocument/2006/relationships/hyperlink" Id="rId3292" Target="https://doi.org/10.1017/S0140525X01003922" TargetMode="External" /><Relationship Type="http://schemas.openxmlformats.org/officeDocument/2006/relationships/hyperlink" Id="rId3748" Target="https://doi.org/10.1017/S0140525X12003214" TargetMode="External" /><Relationship Type="http://schemas.openxmlformats.org/officeDocument/2006/relationships/hyperlink" Id="rId4131" Target="https://doi.org/10.1017/S0140525X99002034" TargetMode="External" /><Relationship Type="http://schemas.openxmlformats.org/officeDocument/2006/relationships/hyperlink" Id="rId3052" Target="https://doi.org/10.1017/S1366728917000724" TargetMode="External" /><Relationship Type="http://schemas.openxmlformats.org/officeDocument/2006/relationships/hyperlink" Id="rId5304" Target="https://doi.org/10.1017/S204579602200049X" TargetMode="External" /><Relationship Type="http://schemas.openxmlformats.org/officeDocument/2006/relationships/hyperlink" Id="rId5017" Target="https://doi.org/10.1017/ipm.2019.47" TargetMode="External" /><Relationship Type="http://schemas.openxmlformats.org/officeDocument/2006/relationships/hyperlink" Id="rId4458" Target="https://doi.org/10.1017/s0033291717001003" TargetMode="External" /><Relationship Type="http://schemas.openxmlformats.org/officeDocument/2006/relationships/hyperlink" Id="rId5003" Target="https://doi.org/10.1017/s0033291720002834" TargetMode="External" /><Relationship Type="http://schemas.openxmlformats.org/officeDocument/2006/relationships/hyperlink" Id="rId4855" Target="https://doi.org/10.1017/s0048577201393198" TargetMode="External" /><Relationship Type="http://schemas.openxmlformats.org/officeDocument/2006/relationships/hyperlink" Id="rId3659" Target="https://doi.org/10.1017/s0140525x11000446" TargetMode="External" /><Relationship Type="http://schemas.openxmlformats.org/officeDocument/2006/relationships/hyperlink" Id="rId3965" Target="https://doi.org/10.1017/s0140525x13000903" TargetMode="External" /><Relationship Type="http://schemas.openxmlformats.org/officeDocument/2006/relationships/hyperlink" Id="rId3891" Target="https://doi.org/10.1037/0022-006X.59.1.12" TargetMode="External" /><Relationship Type="http://schemas.openxmlformats.org/officeDocument/2006/relationships/hyperlink" Id="rId3266" Target="https://doi.org/10.1037/0022-0663.95.1.66" TargetMode="External" /><Relationship Type="http://schemas.openxmlformats.org/officeDocument/2006/relationships/hyperlink" Id="rId3528" Target="https://doi.org/10.1037/0022-0663.95.2.393" TargetMode="External" /><Relationship Type="http://schemas.openxmlformats.org/officeDocument/2006/relationships/hyperlink" Id="rId3414" Target="https://doi.org/10.1037/0022-0663.98.1.122" TargetMode="External" /><Relationship Type="http://schemas.openxmlformats.org/officeDocument/2006/relationships/hyperlink" Id="rId3462" Target="https://doi.org/10.1037/0022-0663.99.3.561" TargetMode="External" /><Relationship Type="http://schemas.openxmlformats.org/officeDocument/2006/relationships/hyperlink" Id="rId3124" Target="https://doi.org/10.1037/0033-2909.114.1.3" TargetMode="External" /><Relationship Type="http://schemas.openxmlformats.org/officeDocument/2006/relationships/hyperlink" Id="rId3336" Target="https://doi.org/10.1037/0033-2909.116.2.220" TargetMode="External" /><Relationship Type="http://schemas.openxmlformats.org/officeDocument/2006/relationships/hyperlink" Id="rId3530" Target="https://doi.org/10.1037/0033-2909.128.4.612" TargetMode="External" /><Relationship Type="http://schemas.openxmlformats.org/officeDocument/2006/relationships/hyperlink" Id="rId3408" Target="https://doi.org/10.1037/0033-2909.131.1.3" TargetMode="External" /><Relationship Type="http://schemas.openxmlformats.org/officeDocument/2006/relationships/hyperlink" Id="rId4821" Target="https://doi.org/10.1037/0033-2909.132.2.180" TargetMode="External" /><Relationship Type="http://schemas.openxmlformats.org/officeDocument/2006/relationships/hyperlink" Id="rId3200" Target="https://doi.org/10.1037/0033-2909.132.3.354" TargetMode="External" /><Relationship Type="http://schemas.openxmlformats.org/officeDocument/2006/relationships/hyperlink" Id="rId3110" Target="https://doi.org/10.1037/0033-295X.102.3.419" TargetMode="External" /><Relationship Type="http://schemas.openxmlformats.org/officeDocument/2006/relationships/hyperlink" Id="rId3510" Target="https://doi.org/10.1037/0033-295X.104.2.367" TargetMode="External" /><Relationship Type="http://schemas.openxmlformats.org/officeDocument/2006/relationships/hyperlink" Id="rId3410" Target="https://doi.org/10.1037/0033-295X.108.1.204" TargetMode="External" /><Relationship Type="http://schemas.openxmlformats.org/officeDocument/2006/relationships/hyperlink" Id="rId3508" Target="https://doi.org/10.1037/0033-295X.111.1.3" TargetMode="External" /><Relationship Type="http://schemas.openxmlformats.org/officeDocument/2006/relationships/hyperlink" Id="rId3879" Target="https://doi.org/10.1037/0033-295X.111.4.1061" TargetMode="External" /><Relationship Type="http://schemas.openxmlformats.org/officeDocument/2006/relationships/hyperlink" Id="rId3404" Target="https://doi.org/10.1037/0033-295X.112.1.43" TargetMode="External" /><Relationship Type="http://schemas.openxmlformats.org/officeDocument/2006/relationships/hyperlink" Id="rId3304" Target="https://doi.org/10.1037/0033-295X.114.1.104" TargetMode="External" /><Relationship Type="http://schemas.openxmlformats.org/officeDocument/2006/relationships/hyperlink" Id="rId3482" Target="https://doi.org/10.1037/0033-295X.92.3.289" TargetMode="External" /><Relationship Type="http://schemas.openxmlformats.org/officeDocument/2006/relationships/hyperlink" Id="rId3412" Target="https://doi.org/10.1037/0033-295X.96.4.523" TargetMode="External" /><Relationship Type="http://schemas.openxmlformats.org/officeDocument/2006/relationships/hyperlink" Id="rId4153" Target="https://doi.org/10.1037/0033-295x.108.3.624" TargetMode="External" /><Relationship Type="http://schemas.openxmlformats.org/officeDocument/2006/relationships/hyperlink" Id="rId4392" Target="https://doi.org/10.1037/0033-295x.98.4.459" TargetMode="External" /><Relationship Type="http://schemas.openxmlformats.org/officeDocument/2006/relationships/hyperlink" Id="rId3480" Target="https://doi.org/10.1037/0096-3445.115.1.39" TargetMode="External" /><Relationship Type="http://schemas.openxmlformats.org/officeDocument/2006/relationships/hyperlink" Id="rId3256" Target="https://doi.org/10.1037/0096-3445.126.4.349" TargetMode="External" /><Relationship Type="http://schemas.openxmlformats.org/officeDocument/2006/relationships/hyperlink" Id="rId3198" Target="https://doi.org/10.1037/0278-7393.20.5.1063" TargetMode="External" /><Relationship Type="http://schemas.openxmlformats.org/officeDocument/2006/relationships/hyperlink" Id="rId3122" Target="https://doi.org/10.1037/0278-7393.21.4.803" TargetMode="External" /><Relationship Type="http://schemas.openxmlformats.org/officeDocument/2006/relationships/hyperlink" Id="rId3258" Target="https://doi.org/10.1037/0278-7393.31.2.187" TargetMode="External" /><Relationship Type="http://schemas.openxmlformats.org/officeDocument/2006/relationships/hyperlink" Id="rId3506" Target="https://doi.org/10.1037/0278-7393.31.2.216" TargetMode="External" /><Relationship Type="http://schemas.openxmlformats.org/officeDocument/2006/relationships/hyperlink" Id="rId3206" Target="https://doi.org/10.1037/0278-7393.33.4.704" TargetMode="External" /><Relationship Type="http://schemas.openxmlformats.org/officeDocument/2006/relationships/hyperlink" Id="rId3188" Target="https://doi.org/10.1037/0278-7393.34.4.918" TargetMode="External" /><Relationship Type="http://schemas.openxmlformats.org/officeDocument/2006/relationships/hyperlink" Id="rId3998" Target="https://doi.org/10.1037/1089-2680.9.2.111" TargetMode="External" /><Relationship Type="http://schemas.openxmlformats.org/officeDocument/2006/relationships/hyperlink" Id="rId3186" Target="https://doi.org/10.1037/a0015729" TargetMode="External" /><Relationship Type="http://schemas.openxmlformats.org/officeDocument/2006/relationships/hyperlink" Id="rId4269" Target="https://doi.org/10.1037/a0019803" TargetMode="External" /><Relationship Type="http://schemas.openxmlformats.org/officeDocument/2006/relationships/hyperlink" Id="rId3250" Target="https://doi.org/10.1037/a0021017" TargetMode="External" /><Relationship Type="http://schemas.openxmlformats.org/officeDocument/2006/relationships/hyperlink" Id="rId5024" Target="https://doi.org/10.1037/a0022713" TargetMode="External" /><Relationship Type="http://schemas.openxmlformats.org/officeDocument/2006/relationships/hyperlink" Id="rId3208" Target="https://doi.org/10.1037/a0023956" TargetMode="External" /><Relationship Type="http://schemas.openxmlformats.org/officeDocument/2006/relationships/hyperlink" Id="rId3885" Target="https://doi.org/10.1037/a0024448" TargetMode="External" /><Relationship Type="http://schemas.openxmlformats.org/officeDocument/2006/relationships/hyperlink" Id="rId3448" Target="https://doi.org/10.1037/a0026218" TargetMode="External" /><Relationship Type="http://schemas.openxmlformats.org/officeDocument/2006/relationships/hyperlink" Id="rId5248" Target="https://doi.org/10.1037/a0028353" TargetMode="External" /><Relationship Type="http://schemas.openxmlformats.org/officeDocument/2006/relationships/hyperlink" Id="rId3562" Target="https://doi.org/10.1037/a0028446" TargetMode="External" /><Relationship Type="http://schemas.openxmlformats.org/officeDocument/2006/relationships/hyperlink" Id="rId4647" Target="https://doi.org/10.1037/a0028490" TargetMode="External" /><Relationship Type="http://schemas.openxmlformats.org/officeDocument/2006/relationships/hyperlink" Id="rId5270" Target="https://doi.org/10.1037/a0028813" TargetMode="External" /><Relationship Type="http://schemas.openxmlformats.org/officeDocument/2006/relationships/hyperlink" Id="rId5060" Target="https://doi.org/10.1037/a0037249" TargetMode="External" /><Relationship Type="http://schemas.openxmlformats.org/officeDocument/2006/relationships/hyperlink" Id="rId4057" Target="https://doi.org/10.1037/a0037478" TargetMode="External" /><Relationship Type="http://schemas.openxmlformats.org/officeDocument/2006/relationships/hyperlink" Id="rId3176" Target="https://doi.org/10.1037/a0037559" TargetMode="External" /><Relationship Type="http://schemas.openxmlformats.org/officeDocument/2006/relationships/hyperlink" Id="rId3641" Target="https://doi.org/10.1037/a0038199" TargetMode="External" /><Relationship Type="http://schemas.openxmlformats.org/officeDocument/2006/relationships/hyperlink" Id="rId4524" Target="https://doi.org/10.1037/a0039512" TargetMode="External" /><Relationship Type="http://schemas.openxmlformats.org/officeDocument/2006/relationships/hyperlink" Id="rId3328" Target="https://doi.org/10.1037/aca0000046" TargetMode="External" /><Relationship Type="http://schemas.openxmlformats.org/officeDocument/2006/relationships/hyperlink" Id="rId4043" Target="https://doi.org/10.1037/amp0000059" TargetMode="External" /><Relationship Type="http://schemas.openxmlformats.org/officeDocument/2006/relationships/hyperlink" Id="rId3432" Target="https://doi.org/10.1037/bul0000142" TargetMode="External" /><Relationship Type="http://schemas.openxmlformats.org/officeDocument/2006/relationships/hyperlink" Id="rId3196" Target="https://doi.org/10.1037/bul0000151" TargetMode="External" /><Relationship Type="http://schemas.openxmlformats.org/officeDocument/2006/relationships/hyperlink" Id="rId3216" Target="https://doi.org/10.1037/bul0000209" TargetMode="External" /><Relationship Type="http://schemas.openxmlformats.org/officeDocument/2006/relationships/hyperlink" Id="rId3698" Target="https://doi.org/10.1037/bul0000223" TargetMode="External" /><Relationship Type="http://schemas.openxmlformats.org/officeDocument/2006/relationships/hyperlink" Id="rId3588" Target="https://doi.org/10.1037/bul0000303" TargetMode="External" /><Relationship Type="http://schemas.openxmlformats.org/officeDocument/2006/relationships/hyperlink" Id="rId3470" Target="https://doi.org/10.1037/bul0000307" TargetMode="External" /><Relationship Type="http://schemas.openxmlformats.org/officeDocument/2006/relationships/hyperlink" Id="rId3178" Target="https://doi.org/10.1037/bul0000309" TargetMode="External" /><Relationship Type="http://schemas.openxmlformats.org/officeDocument/2006/relationships/hyperlink" Id="rId3318" Target="https://doi.org/10.1037/bul0000428" TargetMode="External" /><Relationship Type="http://schemas.openxmlformats.org/officeDocument/2006/relationships/hyperlink" Id="rId5021" Target="https://doi.org/10.1037/ccp0000875" TargetMode="External" /><Relationship Type="http://schemas.openxmlformats.org/officeDocument/2006/relationships/hyperlink" Id="rId3218" Target="https://doi.org/10.1037/edu0000367" TargetMode="External" /><Relationship Type="http://schemas.openxmlformats.org/officeDocument/2006/relationships/hyperlink" Id="rId4681" Target="https://doi.org/10.1037/emo0000250" TargetMode="External" /><Relationship Type="http://schemas.openxmlformats.org/officeDocument/2006/relationships/hyperlink" Id="rId3875" Target="https://doi.org/10.1037/h0040957" TargetMode="External" /><Relationship Type="http://schemas.openxmlformats.org/officeDocument/2006/relationships/hyperlink" Id="rId3883" Target="https://doi.org/10.1037/h0046016" TargetMode="External" /><Relationship Type="http://schemas.openxmlformats.org/officeDocument/2006/relationships/hyperlink" Id="rId4748" Target="https://doi.org/10.1037/hea0001636" TargetMode="External" /><Relationship Type="http://schemas.openxmlformats.org/officeDocument/2006/relationships/hyperlink" Id="rId3881" Target="https://doi.org/10.1037/met0000144" TargetMode="External" /><Relationship Type="http://schemas.openxmlformats.org/officeDocument/2006/relationships/hyperlink" Id="rId4959" Target="https://doi.org/10.1037/ocp0000146" TargetMode="External" /><Relationship Type="http://schemas.openxmlformats.org/officeDocument/2006/relationships/hyperlink" Id="rId5026" Target="https://doi.org/10.1037/pas0000233" TargetMode="External" /><Relationship Type="http://schemas.openxmlformats.org/officeDocument/2006/relationships/hyperlink" Id="rId5028" Target="https://doi.org/10.1037/pas0000957" TargetMode="External" /><Relationship Type="http://schemas.openxmlformats.org/officeDocument/2006/relationships/hyperlink" Id="rId3490" Target="https://doi.org/10.1037/rev0000094" TargetMode="External" /><Relationship Type="http://schemas.openxmlformats.org/officeDocument/2006/relationships/hyperlink" Id="rId3627" Target="https://doi.org/10.1037/rev0000120" TargetMode="External" /><Relationship Type="http://schemas.openxmlformats.org/officeDocument/2006/relationships/hyperlink" Id="rId3518" Target="https://doi.org/10.1037/rev0000281" TargetMode="External" /><Relationship Type="http://schemas.openxmlformats.org/officeDocument/2006/relationships/hyperlink" Id="rId3472" Target="https://doi.org/10.1037/xlm0001087" TargetMode="External" /><Relationship Type="http://schemas.openxmlformats.org/officeDocument/2006/relationships/hyperlink" Id="rId2679" Target="https://doi.org/10.1038/18686" TargetMode="External" /><Relationship Type="http://schemas.openxmlformats.org/officeDocument/2006/relationships/hyperlink" Id="rId2683" Target="https://doi.org/10.1038/260799a0" TargetMode="External" /><Relationship Type="http://schemas.openxmlformats.org/officeDocument/2006/relationships/hyperlink" Id="rId3391" Target="https://doi.org/10.1038/2870" TargetMode="External" /><Relationship Type="http://schemas.openxmlformats.org/officeDocument/2006/relationships/hyperlink" Id="rId2705" Target="https://doi.org/10.1038/307462a0" TargetMode="External" /><Relationship Type="http://schemas.openxmlformats.org/officeDocument/2006/relationships/hyperlink" Id="rId3054" Target="https://doi.org/10.1038/3305" TargetMode="External" /><Relationship Type="http://schemas.openxmlformats.org/officeDocument/2006/relationships/hyperlink" Id="rId2731" Target="https://doi.org/10.1038/336385a0" TargetMode="External" /><Relationship Type="http://schemas.openxmlformats.org/officeDocument/2006/relationships/hyperlink" Id="rId2870" Target="https://doi.org/10.1038/35002090" TargetMode="External" /><Relationship Type="http://schemas.openxmlformats.org/officeDocument/2006/relationships/hyperlink" Id="rId2916" Target="https://doi.org/10.1038/35012009" TargetMode="External" /><Relationship Type="http://schemas.openxmlformats.org/officeDocument/2006/relationships/hyperlink" Id="rId2791" Target="https://doi.org/10.1038/35012083" TargetMode="External" /><Relationship Type="http://schemas.openxmlformats.org/officeDocument/2006/relationships/hyperlink" Id="rId3134" Target="https://doi.org/10.1038/35021052" TargetMode="External" /><Relationship Type="http://schemas.openxmlformats.org/officeDocument/2006/relationships/hyperlink" Id="rId2693" Target="https://doi.org/10.1038/35022702" TargetMode="External" /><Relationship Type="http://schemas.openxmlformats.org/officeDocument/2006/relationships/hyperlink" Id="rId2972" Target="https://doi.org/10.1038/35049541" TargetMode="External" /><Relationship Type="http://schemas.openxmlformats.org/officeDocument/2006/relationships/hyperlink" Id="rId2976" Target="https://doi.org/10.1038/35055553" TargetMode="External" /><Relationship Type="http://schemas.openxmlformats.org/officeDocument/2006/relationships/hyperlink" Id="rId2729" Target="https://doi.org/10.1038/35069076" TargetMode="External" /><Relationship Type="http://schemas.openxmlformats.org/officeDocument/2006/relationships/hyperlink" Id="rId2829" Target="https://doi.org/10.1038/35084005" TargetMode="External" /><Relationship Type="http://schemas.openxmlformats.org/officeDocument/2006/relationships/hyperlink" Id="rId2713" Target="https://doi.org/10.1038/36103" TargetMode="External" /><Relationship Type="http://schemas.openxmlformats.org/officeDocument/2006/relationships/hyperlink" Id="rId2695" Target="https://doi.org/10.1038/362318a0" TargetMode="External" /><Relationship Type="http://schemas.openxmlformats.org/officeDocument/2006/relationships/hyperlink" Id="rId2677" Target="https://doi.org/10.1038/367069a0" TargetMode="External" /><Relationship Type="http://schemas.openxmlformats.org/officeDocument/2006/relationships/hyperlink" Id="rId3294" Target="https://doi.org/10.1038/36846" TargetMode="External" /><Relationship Type="http://schemas.openxmlformats.org/officeDocument/2006/relationships/hyperlink" Id="rId2978" Target="https://doi.org/10.1038/374719a0" TargetMode="External" /><Relationship Type="http://schemas.openxmlformats.org/officeDocument/2006/relationships/hyperlink" Id="rId2711" Target="https://doi.org/10.1038/375400a0" TargetMode="External" /><Relationship Type="http://schemas.openxmlformats.org/officeDocument/2006/relationships/hyperlink" Id="rId3082" Target="https://doi.org/10.1038/385533a0" TargetMode="External" /><Relationship Type="http://schemas.openxmlformats.org/officeDocument/2006/relationships/hyperlink" Id="rId2930" Target="https://doi.org/10.1038/39807" TargetMode="External" /><Relationship Type="http://schemas.openxmlformats.org/officeDocument/2006/relationships/hyperlink" Id="rId3348" Target="https://doi.org/10.1038/415429a" TargetMode="External" /><Relationship Type="http://schemas.openxmlformats.org/officeDocument/2006/relationships/hyperlink" Id="rId4199" Target="https://doi.org/10.1038/419269a" TargetMode="External" /><Relationship Type="http://schemas.openxmlformats.org/officeDocument/2006/relationships/hyperlink" Id="rId3034" Target="https://doi.org/10.1038/427311a" TargetMode="External" /><Relationship Type="http://schemas.openxmlformats.org/officeDocument/2006/relationships/hyperlink" Id="rId3354" Target="https://doi.org/10.1038/4580" TargetMode="External" /><Relationship Type="http://schemas.openxmlformats.org/officeDocument/2006/relationships/hyperlink" Id="rId4390" Target="https://doi.org/10.1038/73873" TargetMode="External" /><Relationship Type="http://schemas.openxmlformats.org/officeDocument/2006/relationships/hyperlink" Id="rId5932" Target="https://doi.org/10.1038/gim.2015.30" TargetMode="External" /><Relationship Type="http://schemas.openxmlformats.org/officeDocument/2006/relationships/hyperlink" Id="rId2846" Target="https://doi.org/10.1038/jcbfm.2012.35" TargetMode="External" /><Relationship Type="http://schemas.openxmlformats.org/officeDocument/2006/relationships/hyperlink" Id="rId4189" Target="https://doi.org/10.1038/mp.2015.69" TargetMode="External" /><Relationship Type="http://schemas.openxmlformats.org/officeDocument/2006/relationships/hyperlink" Id="rId4332" Target="https://doi.org/10.1038/nature01321" TargetMode="External" /><Relationship Type="http://schemas.openxmlformats.org/officeDocument/2006/relationships/hyperlink" Id="rId2898" Target="https://doi.org/10.1038/nature01786" TargetMode="External" /><Relationship Type="http://schemas.openxmlformats.org/officeDocument/2006/relationships/hyperlink" Id="rId3556" Target="https://doi.org/10.1038/nature01964" TargetMode="External" /><Relationship Type="http://schemas.openxmlformats.org/officeDocument/2006/relationships/hyperlink" Id="rId5936" Target="https://doi.org/10.1038/nature02998" TargetMode="External" /><Relationship Type="http://schemas.openxmlformats.org/officeDocument/2006/relationships/hyperlink" Id="rId4099" Target="https://doi.org/10.1038/nature03086" TargetMode="External" /><Relationship Type="http://schemas.openxmlformats.org/officeDocument/2006/relationships/hyperlink" Id="rId4336" Target="https://doi.org/10.1038/nature03701" TargetMode="External" /><Relationship Type="http://schemas.openxmlformats.org/officeDocument/2006/relationships/hyperlink" Id="rId3546" Target="https://doi.org/10.1038/nature03721" TargetMode="External" /><Relationship Type="http://schemas.openxmlformats.org/officeDocument/2006/relationships/hyperlink" Id="rId4097" Target="https://doi.org/10.1038/nature04490" TargetMode="External" /><Relationship Type="http://schemas.openxmlformats.org/officeDocument/2006/relationships/hyperlink" Id="rId3639" Target="https://doi.org/10.1038/nature04766" TargetMode="External" /><Relationship Type="http://schemas.openxmlformats.org/officeDocument/2006/relationships/hyperlink" Id="rId2938" Target="https://doi.org/10.1038/nature05401" TargetMode="External" /><Relationship Type="http://schemas.openxmlformats.org/officeDocument/2006/relationships/hyperlink" Id="rId4245" Target="https://doi.org/10.1038/nature05758" TargetMode="External" /><Relationship Type="http://schemas.openxmlformats.org/officeDocument/2006/relationships/hyperlink" Id="rId3847" Target="https://doi.org/10.1038/nature06976" TargetMode="External" /><Relationship Type="http://schemas.openxmlformats.org/officeDocument/2006/relationships/hyperlink" Id="rId5762" Target="https://doi.org/10.1038/nature08617" TargetMode="External" /><Relationship Type="http://schemas.openxmlformats.org/officeDocument/2006/relationships/hyperlink" Id="rId3142" Target="https://doi.org/10.1038/nature08637" TargetMode="External" /><Relationship Type="http://schemas.openxmlformats.org/officeDocument/2006/relationships/hyperlink" Id="rId3558" Target="https://doi.org/10.1038/nature08704" TargetMode="External" /><Relationship Type="http://schemas.openxmlformats.org/officeDocument/2006/relationships/hyperlink" Id="rId2641" Target="https://doi.org/10.1038/nature08845" TargetMode="External" /><Relationship Type="http://schemas.openxmlformats.org/officeDocument/2006/relationships/hyperlink" Id="rId4075" Target="https://doi.org/10.1038/nature09042" TargetMode="External" /><Relationship Type="http://schemas.openxmlformats.org/officeDocument/2006/relationships/hyperlink" Id="rId2958" Target="https://doi.org/10.1038/nature09159" TargetMode="External" /><Relationship Type="http://schemas.openxmlformats.org/officeDocument/2006/relationships/hyperlink" Id="rId2817" Target="https://doi.org/10.1038/nature09513" TargetMode="External" /><Relationship Type="http://schemas.openxmlformats.org/officeDocument/2006/relationships/hyperlink" Id="rId2819" Target="https://doi.org/10.1038/nature09522" TargetMode="External" /><Relationship Type="http://schemas.openxmlformats.org/officeDocument/2006/relationships/hyperlink" Id="rId4115" Target="https://doi.org/10.1038/nature09559" TargetMode="External" /><Relationship Type="http://schemas.openxmlformats.org/officeDocument/2006/relationships/hyperlink" Id="rId4117" Target="https://doi.org/10.1038/nature09820" TargetMode="External" /><Relationship Type="http://schemas.openxmlformats.org/officeDocument/2006/relationships/hyperlink" Id="rId3694" Target="https://doi.org/10.1038/nature10009" TargetMode="External" /><Relationship Type="http://schemas.openxmlformats.org/officeDocument/2006/relationships/hyperlink" Id="rId2717" Target="https://doi.org/10.1038/nature10361" TargetMode="External" /><Relationship Type="http://schemas.openxmlformats.org/officeDocument/2006/relationships/hyperlink" Id="rId5764" Target="https://doi.org/10.1038/nature10860" TargetMode="External" /><Relationship Type="http://schemas.openxmlformats.org/officeDocument/2006/relationships/hyperlink" Id="rId2789" Target="https://doi.org/10.1038/nature11007" TargetMode="External" /><Relationship Type="http://schemas.openxmlformats.org/officeDocument/2006/relationships/hyperlink" Id="rId2775" Target="https://doi.org/10.1038/nature11059" TargetMode="External" /><Relationship Type="http://schemas.openxmlformats.org/officeDocument/2006/relationships/hyperlink" Id="rId5857" Target="https://doi.org/10.1038/nature11129" TargetMode="External" /><Relationship Type="http://schemas.openxmlformats.org/officeDocument/2006/relationships/hyperlink" Id="rId2787" Target="https://doi.org/10.1038/nature11314" TargetMode="External" /><Relationship Type="http://schemas.openxmlformats.org/officeDocument/2006/relationships/hyperlink" Id="rId2878" Target="https://doi.org/10.1038/nature11729" TargetMode="External" /><Relationship Type="http://schemas.openxmlformats.org/officeDocument/2006/relationships/hyperlink" Id="rId2960" Target="https://doi.org/10.1038/nature11846" TargetMode="External" /><Relationship Type="http://schemas.openxmlformats.org/officeDocument/2006/relationships/hyperlink" Id="rId2906" Target="https://doi.org/10.1038/nature11906" TargetMode="External" /><Relationship Type="http://schemas.openxmlformats.org/officeDocument/2006/relationships/hyperlink" Id="rId5855" Target="https://doi.org/10.1038/nature12160" TargetMode="External" /><Relationship Type="http://schemas.openxmlformats.org/officeDocument/2006/relationships/hyperlink" Id="rId2687" Target="https://doi.org/10.1038/nature12354" TargetMode="External" /><Relationship Type="http://schemas.openxmlformats.org/officeDocument/2006/relationships/hyperlink" Id="rId5900" Target="https://doi.org/10.1038/nature12517" TargetMode="External" /><Relationship Type="http://schemas.openxmlformats.org/officeDocument/2006/relationships/hyperlink" Id="rId5859" Target="https://doi.org/10.1038/nature12742" TargetMode="External" /><Relationship Type="http://schemas.openxmlformats.org/officeDocument/2006/relationships/hyperlink" Id="rId2970" Target="https://doi.org/10.1038/nature13021" TargetMode="External" /><Relationship Type="http://schemas.openxmlformats.org/officeDocument/2006/relationships/hyperlink" Id="rId3086" Target="https://doi.org/10.1038/nature13294" TargetMode="External" /><Relationship Type="http://schemas.openxmlformats.org/officeDocument/2006/relationships/hyperlink" Id="rId2823" Target="https://doi.org/10.1038/nature13324" TargetMode="External" /><Relationship Type="http://schemas.openxmlformats.org/officeDocument/2006/relationships/hyperlink" Id="rId2926" Target="https://doi.org/10.1038/nature13980" TargetMode="External" /><Relationship Type="http://schemas.openxmlformats.org/officeDocument/2006/relationships/hyperlink" Id="rId4093" Target="https://doi.org/10.1038/nature14188" TargetMode="External" /><Relationship Type="http://schemas.openxmlformats.org/officeDocument/2006/relationships/hyperlink" Id="rId2629" Target="https://doi.org/10.1038/nature14432" TargetMode="External" /><Relationship Type="http://schemas.openxmlformats.org/officeDocument/2006/relationships/hyperlink" Id="rId5298" Target="https://doi.org/10.1038/nature15526" TargetMode="External" /><Relationship Type="http://schemas.openxmlformats.org/officeDocument/2006/relationships/hyperlink" Id="rId5300" Target="https://doi.org/10.1038/nature16182" TargetMode="External" /><Relationship Type="http://schemas.openxmlformats.org/officeDocument/2006/relationships/hyperlink" Id="rId5268" Target="https://doi.org/10.1038/nature16549" TargetMode="External" /><Relationship Type="http://schemas.openxmlformats.org/officeDocument/2006/relationships/hyperlink" Id="rId4145" Target="https://doi.org/10.1038/nature17637" TargetMode="External" /><Relationship Type="http://schemas.openxmlformats.org/officeDocument/2006/relationships/hyperlink" Id="rId4119" Target="https://doi.org/10.1038/nature17996" TargetMode="External" /><Relationship Type="http://schemas.openxmlformats.org/officeDocument/2006/relationships/hyperlink" Id="rId4510" Target="https://doi.org/10.1038/nature18644" TargetMode="External" /><Relationship Type="http://schemas.openxmlformats.org/officeDocument/2006/relationships/hyperlink" Id="rId4394" Target="https://doi.org/10.1038/nature18950" TargetMode="External" /><Relationship Type="http://schemas.openxmlformats.org/officeDocument/2006/relationships/hyperlink" Id="rId4149" Target="https://doi.org/10.1038/nature22073" TargetMode="External" /><Relationship Type="http://schemas.openxmlformats.org/officeDocument/2006/relationships/hyperlink" Id="rId5906" Target="https://doi.org/10.1038/nature22330" TargetMode="External" /><Relationship Type="http://schemas.openxmlformats.org/officeDocument/2006/relationships/hyperlink" Id="rId2954" Target="https://doi.org/10.1038/nature24064" TargetMode="External" /><Relationship Type="http://schemas.openxmlformats.org/officeDocument/2006/relationships/hyperlink" Id="rId4492" Target="https://doi.org/10.1038/nature24460" TargetMode="External" /><Relationship Type="http://schemas.openxmlformats.org/officeDocument/2006/relationships/hyperlink" Id="rId3843" Target="https://doi.org/10.1038/nature24636" TargetMode="External" /><Relationship Type="http://schemas.openxmlformats.org/officeDocument/2006/relationships/hyperlink" Id="rId2956" Target="https://doi.org/10.1038/nature25448" TargetMode="External" /><Relationship Type="http://schemas.openxmlformats.org/officeDocument/2006/relationships/hyperlink" Id="rId3058" Target="https://doi.org/10.1038/nature25975" TargetMode="External" /><Relationship Type="http://schemas.openxmlformats.org/officeDocument/2006/relationships/hyperlink" Id="rId5766" Target="https://doi.org/10.1038/nature26000" TargetMode="External" /><Relationship Type="http://schemas.openxmlformats.org/officeDocument/2006/relationships/hyperlink" Id="rId2860" Target="https://doi.org/10.1038/ncb1881" TargetMode="External" /><Relationship Type="http://schemas.openxmlformats.org/officeDocument/2006/relationships/hyperlink" Id="rId4159" Target="https://doi.org/10.1038/ncomms6380" TargetMode="External" /><Relationship Type="http://schemas.openxmlformats.org/officeDocument/2006/relationships/hyperlink" Id="rId2876" Target="https://doi.org/10.1038/ni.3423" TargetMode="External" /><Relationship Type="http://schemas.openxmlformats.org/officeDocument/2006/relationships/hyperlink" Id="rId2874" Target="https://doi.org/10.1038/ni.3666" TargetMode="External" /><Relationship Type="http://schemas.openxmlformats.org/officeDocument/2006/relationships/hyperlink" Id="rId5627" Target="https://doi.org/10.1038/nm.3824" TargetMode="External" /><Relationship Type="http://schemas.openxmlformats.org/officeDocument/2006/relationships/hyperlink" Id="rId4500" Target="https://doi.org/10.1038/nm.4106" TargetMode="External" /><Relationship Type="http://schemas.openxmlformats.org/officeDocument/2006/relationships/hyperlink" Id="rId5432" Target="https://doi.org/10.1038/nm0202-136" TargetMode="External" /><Relationship Type="http://schemas.openxmlformats.org/officeDocument/2006/relationships/hyperlink" Id="rId3764" Target="https://doi.org/10.1038/nmeth.1635" TargetMode="External" /><Relationship Type="http://schemas.openxmlformats.org/officeDocument/2006/relationships/hyperlink" Id="rId2996" Target="https://doi.org/10.1038/nmeth.4437" TargetMode="External" /><Relationship Type="http://schemas.openxmlformats.org/officeDocument/2006/relationships/hyperlink" Id="rId4101" Target="https://doi.org/10.1038/nn.2381" TargetMode="External" /><Relationship Type="http://schemas.openxmlformats.org/officeDocument/2006/relationships/hyperlink" Id="rId4175" Target="https://doi.org/10.1038/nn.2411" TargetMode="External" /><Relationship Type="http://schemas.openxmlformats.org/officeDocument/2006/relationships/hyperlink" Id="rId3853" Target="https://doi.org/10.1038/nn.2647" TargetMode="External" /><Relationship Type="http://schemas.openxmlformats.org/officeDocument/2006/relationships/hyperlink" Id="rId3030" Target="https://doi.org/10.1038/nn.3045" TargetMode="External" /><Relationship Type="http://schemas.openxmlformats.org/officeDocument/2006/relationships/hyperlink" Id="rId3590" Target="https://doi.org/10.1038/nn.3085" TargetMode="External" /><Relationship Type="http://schemas.openxmlformats.org/officeDocument/2006/relationships/hyperlink" Id="rId4107" Target="https://doi.org/10.1038/nn.3323" TargetMode="External" /><Relationship Type="http://schemas.openxmlformats.org/officeDocument/2006/relationships/hyperlink" Id="rId3613" Target="https://doi.org/10.1038/nn.3413" TargetMode="External" /><Relationship Type="http://schemas.openxmlformats.org/officeDocument/2006/relationships/hyperlink" Id="rId4147" Target="https://doi.org/10.1038/nn.3470" TargetMode="External" /><Relationship Type="http://schemas.openxmlformats.org/officeDocument/2006/relationships/hyperlink" Id="rId3298" Target="https://doi.org/10.1038/nn.3655" TargetMode="External" /><Relationship Type="http://schemas.openxmlformats.org/officeDocument/2006/relationships/hyperlink" Id="rId5853" Target="https://doi.org/10.1038/nn.3807" TargetMode="External" /><Relationship Type="http://schemas.openxmlformats.org/officeDocument/2006/relationships/hyperlink" Id="rId5623" Target="https://doi.org/10.1038/nn.3947" TargetMode="External" /><Relationship Type="http://schemas.openxmlformats.org/officeDocument/2006/relationships/hyperlink" Id="rId2900" Target="https://doi.org/10.1038/nn.4053" TargetMode="External" /><Relationship Type="http://schemas.openxmlformats.org/officeDocument/2006/relationships/hyperlink" Id="rId4384" Target="https://doi.org/10.1038/nn.4087" TargetMode="External" /><Relationship Type="http://schemas.openxmlformats.org/officeDocument/2006/relationships/hyperlink" Id="rId3702" Target="https://doi.org/10.1038/nn.4119" TargetMode="External" /><Relationship Type="http://schemas.openxmlformats.org/officeDocument/2006/relationships/hyperlink" Id="rId4151" Target="https://doi.org/10.1038/nn.4269" TargetMode="External" /><Relationship Type="http://schemas.openxmlformats.org/officeDocument/2006/relationships/hyperlink" Id="rId3980" Target="https://doi.org/10.1038/nn.4324" TargetMode="External" /><Relationship Type="http://schemas.openxmlformats.org/officeDocument/2006/relationships/hyperlink" Id="rId2805" Target="https://doi.org/10.1038/nn.4351" TargetMode="External" /><Relationship Type="http://schemas.openxmlformats.org/officeDocument/2006/relationships/hyperlink" Id="rId5184" Target="https://doi.org/10.1038/nn.4458" TargetMode="External" /><Relationship Type="http://schemas.openxmlformats.org/officeDocument/2006/relationships/hyperlink" Id="rId3869" Target="https://doi.org/10.1038/nn.4478" TargetMode="External" /><Relationship Type="http://schemas.openxmlformats.org/officeDocument/2006/relationships/hyperlink" Id="rId3716" Target="https://doi.org/10.1038/nn.4545" TargetMode="External" /><Relationship Type="http://schemas.openxmlformats.org/officeDocument/2006/relationships/hyperlink" Id="rId3536" Target="https://doi.org/10.1038/nn.4656" TargetMode="External" /><Relationship Type="http://schemas.openxmlformats.org/officeDocument/2006/relationships/hyperlink" Id="rId3591" Target="https://doi.org/10.1038/nn1213-1907c" TargetMode="External" /><Relationship Type="http://schemas.openxmlformats.org/officeDocument/2006/relationships/hyperlink" Id="rId3849" Target="https://doi.org/10.1038/nn1525" TargetMode="External" /><Relationship Type="http://schemas.openxmlformats.org/officeDocument/2006/relationships/hyperlink" Id="rId3617" Target="https://doi.org/10.1038/nn1560" TargetMode="External" /><Relationship Type="http://schemas.openxmlformats.org/officeDocument/2006/relationships/hyperlink" Id="rId3653" Target="https://doi.org/10.1038/nn2007" TargetMode="External" /><Relationship Type="http://schemas.openxmlformats.org/officeDocument/2006/relationships/hyperlink" Id="rId2675" Target="https://doi.org/10.1038/nn2040" TargetMode="External" /><Relationship Type="http://schemas.openxmlformats.org/officeDocument/2006/relationships/hyperlink" Id="rId4193" Target="https://doi.org/10.1038/nn958" TargetMode="External" /><Relationship Type="http://schemas.openxmlformats.org/officeDocument/2006/relationships/hyperlink" Id="rId2944" Target="https://doi.org/10.1038/nn963" TargetMode="External" /><Relationship Type="http://schemas.openxmlformats.org/officeDocument/2006/relationships/hyperlink" Id="rId3625" Target="https://doi.org/10.1038/npp.2009.131" TargetMode="External" /><Relationship Type="http://schemas.openxmlformats.org/officeDocument/2006/relationships/hyperlink" Id="rId2745" Target="https://doi.org/10.1038/nrd.2015.18" TargetMode="External" /><Relationship Type="http://schemas.openxmlformats.org/officeDocument/2006/relationships/hyperlink" Id="rId2723" Target="https://doi.org/10.1038/nrd3954" TargetMode="External" /><Relationship Type="http://schemas.openxmlformats.org/officeDocument/2006/relationships/hyperlink" Id="rId4420" Target="https://doi.org/10.1038/nrg.2016.150" TargetMode="External" /><Relationship Type="http://schemas.openxmlformats.org/officeDocument/2006/relationships/hyperlink" Id="rId2974" Target="https://doi.org/10.1038/nrm1739" TargetMode="External" /><Relationship Type="http://schemas.openxmlformats.org/officeDocument/2006/relationships/hyperlink" Id="rId2862" Target="https://doi.org/10.1038/nrm3311" TargetMode="External" /><Relationship Type="http://schemas.openxmlformats.org/officeDocument/2006/relationships/hyperlink" Id="rId3324" Target="https://doi.org/10.1038/nrn.2016.113" TargetMode="External" /><Relationship Type="http://schemas.openxmlformats.org/officeDocument/2006/relationships/hyperlink" Id="rId3971" Target="https://doi.org/10.1038/nrn.2016.135" TargetMode="External" /><Relationship Type="http://schemas.openxmlformats.org/officeDocument/2006/relationships/hyperlink" Id="rId3488" Target="https://doi.org/10.1038/nrn.2016.150" TargetMode="External" /><Relationship Type="http://schemas.openxmlformats.org/officeDocument/2006/relationships/hyperlink" Id="rId2661" Target="https://doi.org/10.1038/nrn.2016.9" TargetMode="External" /><Relationship Type="http://schemas.openxmlformats.org/officeDocument/2006/relationships/hyperlink" Id="rId5663" Target="https://doi.org/10.1038/nrn1106" TargetMode="External" /><Relationship Type="http://schemas.openxmlformats.org/officeDocument/2006/relationships/hyperlink" Id="rId3921" Target="https://doi.org/10.1038/nrn1606" TargetMode="External" /><Relationship Type="http://schemas.openxmlformats.org/officeDocument/2006/relationships/hyperlink" Id="rId3903" Target="https://doi.org/10.1038/nrn1609" TargetMode="External" /><Relationship Type="http://schemas.openxmlformats.org/officeDocument/2006/relationships/hyperlink" Id="rId3927" Target="https://doi.org/10.1038/nrn1723" TargetMode="External" /><Relationship Type="http://schemas.openxmlformats.org/officeDocument/2006/relationships/hyperlink" Id="rId2990" Target="https://doi.org/10.1038/nrn1787" TargetMode="External" /><Relationship Type="http://schemas.openxmlformats.org/officeDocument/2006/relationships/hyperlink" Id="rId3393" Target="https://doi.org/10.1038/nrn2113" TargetMode="External" /><Relationship Type="http://schemas.openxmlformats.org/officeDocument/2006/relationships/hyperlink" Id="rId3486" Target="https://doi.org/10.1038/nrn2277" TargetMode="External" /><Relationship Type="http://schemas.openxmlformats.org/officeDocument/2006/relationships/hyperlink" Id="rId2890" Target="https://doi.org/10.1038/nrn2297" TargetMode="External" /><Relationship Type="http://schemas.openxmlformats.org/officeDocument/2006/relationships/hyperlink" Id="rId3657" Target="https://doi.org/10.1038/nrn2317" TargetMode="External" /><Relationship Type="http://schemas.openxmlformats.org/officeDocument/2006/relationships/hyperlink" Id="rId4169" Target="https://doi.org/10.1038/nrn2555" TargetMode="External" /><Relationship Type="http://schemas.openxmlformats.org/officeDocument/2006/relationships/hyperlink" Id="rId4380" Target="https://doi.org/10.1038/nrn2648" TargetMode="External" /><Relationship Type="http://schemas.openxmlformats.org/officeDocument/2006/relationships/hyperlink" Id="rId4139" Target="https://doi.org/10.1038/nrn2667" TargetMode="External" /><Relationship Type="http://schemas.openxmlformats.org/officeDocument/2006/relationships/hyperlink" Id="rId3982" Target="https://doi.org/10.1038/nrn2920" TargetMode="External" /><Relationship Type="http://schemas.openxmlformats.org/officeDocument/2006/relationships/hyperlink" Id="rId3078" Target="https://doi.org/10.1038/nrn3192" TargetMode="External" /><Relationship Type="http://schemas.openxmlformats.org/officeDocument/2006/relationships/hyperlink" Id="rId3744" Target="https://doi.org/10.1038/nrn3241" TargetMode="External" /><Relationship Type="http://schemas.openxmlformats.org/officeDocument/2006/relationships/hyperlink" Id="rId3784" Target="https://doi.org/10.1038/nrn3475" TargetMode="External" /><Relationship Type="http://schemas.openxmlformats.org/officeDocument/2006/relationships/hyperlink" Id="rId4069" Target="https://doi.org/10.1038/nrn3817" TargetMode="External" /><Relationship Type="http://schemas.openxmlformats.org/officeDocument/2006/relationships/hyperlink" Id="rId4695" Target="https://doi.org/10.1038/nrn3916" TargetMode="External" /><Relationship Type="http://schemas.openxmlformats.org/officeDocument/2006/relationships/hyperlink" Id="rId3373" Target="https://doi.org/10.1038/nrn755" TargetMode="External" /><Relationship Type="http://schemas.openxmlformats.org/officeDocument/2006/relationships/hyperlink" Id="rId5798" Target="https://doi.org/10.1038/nrneurol.2014.162" TargetMode="External" /><Relationship Type="http://schemas.openxmlformats.org/officeDocument/2006/relationships/hyperlink" Id="rId4945" Target="https://doi.org/10.1038/s41371-026-01173-2" TargetMode="External" /><Relationship Type="http://schemas.openxmlformats.org/officeDocument/2006/relationships/hyperlink" Id="rId4304" Target="https://doi.org/10.1038/s41380-022-01661-0" TargetMode="External" /><Relationship Type="http://schemas.openxmlformats.org/officeDocument/2006/relationships/hyperlink" Id="rId4281" Target="https://doi.org/10.1038/s41380-022-01719-z" TargetMode="External" /><Relationship Type="http://schemas.openxmlformats.org/officeDocument/2006/relationships/hyperlink" Id="rId4306" Target="https://doi.org/10.1038/s41380-023-02095-y" TargetMode="External" /><Relationship Type="http://schemas.openxmlformats.org/officeDocument/2006/relationships/hyperlink" Id="rId4732" Target="https://doi.org/10.1038/s41386-023-01766-2" TargetMode="External" /><Relationship Type="http://schemas.openxmlformats.org/officeDocument/2006/relationships/hyperlink" Id="rId3841" Target="https://doi.org/10.1038/s41467-017-01285-x" TargetMode="External" /><Relationship Type="http://schemas.openxmlformats.org/officeDocument/2006/relationships/hyperlink" Id="rId5914" Target="https://doi.org/10.1038/s41467-018-06684-2" TargetMode="External" /><Relationship Type="http://schemas.openxmlformats.org/officeDocument/2006/relationships/hyperlink" Id="rId3498" Target="https://doi.org/10.1038/s41467-018-07574-3" TargetMode="External" /><Relationship Type="http://schemas.openxmlformats.org/officeDocument/2006/relationships/hyperlink" Id="rId5625" Target="https://doi.org/10.1038/s41467-019-08933-4" TargetMode="External" /><Relationship Type="http://schemas.openxmlformats.org/officeDocument/2006/relationships/hyperlink" Id="rId4358" Target="https://doi.org/10.1038/s41467-020-14845-5" TargetMode="External" /><Relationship Type="http://schemas.openxmlformats.org/officeDocument/2006/relationships/hyperlink" Id="rId3712" Target="https://doi.org/10.1038/s41467-020-18115-2" TargetMode="External" /><Relationship Type="http://schemas.openxmlformats.org/officeDocument/2006/relationships/hyperlink" Id="rId4261" Target="https://doi.org/10.1038/s41467-023-36616-8" TargetMode="External" /><Relationship Type="http://schemas.openxmlformats.org/officeDocument/2006/relationships/hyperlink" Id="rId5752" Target="https://doi.org/10.1038/s41467-023-39183-0" TargetMode="External" /><Relationship Type="http://schemas.openxmlformats.org/officeDocument/2006/relationships/hyperlink" Id="rId2902" Target="https://doi.org/10.1038/s41467-023-40937-z" TargetMode="External" /><Relationship Type="http://schemas.openxmlformats.org/officeDocument/2006/relationships/hyperlink" Id="rId5170" Target="https://doi.org/10.1038/s41467-023-42540-8" TargetMode="External" /><Relationship Type="http://schemas.openxmlformats.org/officeDocument/2006/relationships/hyperlink" Id="rId2681" Target="https://doi.org/10.1038/s41467-025-64152-0" TargetMode="External" /><Relationship Type="http://schemas.openxmlformats.org/officeDocument/2006/relationships/hyperlink" Id="rId3006" Target="https://doi.org/10.1038/s41467-026-69368-2" TargetMode="External" /><Relationship Type="http://schemas.openxmlformats.org/officeDocument/2006/relationships/hyperlink" Id="rId3570" Target="https://doi.org/10.1038/s41562-017-0064" TargetMode="External" /><Relationship Type="http://schemas.openxmlformats.org/officeDocument/2006/relationships/hyperlink" Id="rId4342" Target="https://doi.org/10.1038/s41562-020-0878-x" TargetMode="External" /><Relationship Type="http://schemas.openxmlformats.org/officeDocument/2006/relationships/hyperlink" Id="rId4967" Target="https://doi.org/10.1038/s41562-024-01907-7" TargetMode="External" /><Relationship Type="http://schemas.openxmlformats.org/officeDocument/2006/relationships/hyperlink" Id="rId3631" Target="https://doi.org/10.1038/s41562-025-02340-0" TargetMode="External" /><Relationship Type="http://schemas.openxmlformats.org/officeDocument/2006/relationships/hyperlink" Id="rId5758" Target="https://doi.org/10.1038/s41571-020-00447-z" TargetMode="External" /><Relationship Type="http://schemas.openxmlformats.org/officeDocument/2006/relationships/hyperlink" Id="rId2922" Target="https://doi.org/10.1038/s41583-019-0153-1" TargetMode="External" /><Relationship Type="http://schemas.openxmlformats.org/officeDocument/2006/relationships/hyperlink" Id="rId5867" Target="https://doi.org/10.1038/s41583-020-00395-8" TargetMode="External" /><Relationship Type="http://schemas.openxmlformats.org/officeDocument/2006/relationships/hyperlink" Id="rId2793" Target="https://doi.org/10.1038/s41583-020-00406-8" TargetMode="External" /><Relationship Type="http://schemas.openxmlformats.org/officeDocument/2006/relationships/hyperlink" Id="rId2896" Target="https://doi.org/10.1038/s41586-018-0023-4" TargetMode="External" /><Relationship Type="http://schemas.openxmlformats.org/officeDocument/2006/relationships/hyperlink" Id="rId3144" Target="https://doi.org/10.1038/s41586-018-0405-7" TargetMode="External" /><Relationship Type="http://schemas.openxmlformats.org/officeDocument/2006/relationships/hyperlink" Id="rId4289" Target="https://doi.org/10.1038/s41586-019-1235-y" TargetMode="External" /><Relationship Type="http://schemas.openxmlformats.org/officeDocument/2006/relationships/hyperlink" Id="rId5910" Target="https://doi.org/10.1038/s41586-019-1289-x" TargetMode="External" /><Relationship Type="http://schemas.openxmlformats.org/officeDocument/2006/relationships/hyperlink" Id="rId3018" Target="https://doi.org/10.1038/s41586-019-1352-7" TargetMode="External" /><Relationship Type="http://schemas.openxmlformats.org/officeDocument/2006/relationships/hyperlink" Id="rId2635" Target="https://doi.org/10.1038/s41586-019-1506-7" TargetMode="External" /><Relationship Type="http://schemas.openxmlformats.org/officeDocument/2006/relationships/hyperlink" Id="rId5768" Target="https://doi.org/10.1038/s41586-019-1564-x" TargetMode="External" /><Relationship Type="http://schemas.openxmlformats.org/officeDocument/2006/relationships/hyperlink" Id="rId3020" Target="https://doi.org/10.1038/s41586-020-03134-2" TargetMode="External" /><Relationship Type="http://schemas.openxmlformats.org/officeDocument/2006/relationships/hyperlink" Id="rId5908" Target="https://doi.org/10.1038/s41586-020-1962-0" TargetMode="External" /><Relationship Type="http://schemas.openxmlformats.org/officeDocument/2006/relationships/hyperlink" Id="rId3790" Target="https://doi.org/10.1038/s41586-020-2314-9" TargetMode="External" /><Relationship Type="http://schemas.openxmlformats.org/officeDocument/2006/relationships/hyperlink" Id="rId2645" Target="https://doi.org/10.1038/s41586-021-03465-8" TargetMode="External" /><Relationship Type="http://schemas.openxmlformats.org/officeDocument/2006/relationships/hyperlink" Id="rId3028" Target="https://doi.org/10.1038/s41586-021-03778-8" TargetMode="External" /><Relationship Type="http://schemas.openxmlformats.org/officeDocument/2006/relationships/hyperlink" Id="rId2643" Target="https://doi.org/10.1038/s41586-021-04072-3" TargetMode="External" /><Relationship Type="http://schemas.openxmlformats.org/officeDocument/2006/relationships/hyperlink" Id="rId5946" Target="https://doi.org/10.1038/s41586-022-04424-7" TargetMode="External" /><Relationship Type="http://schemas.openxmlformats.org/officeDocument/2006/relationships/hyperlink" Id="rId5609" Target="https://doi.org/10.1038/s41586-022-04432-7" TargetMode="External" /><Relationship Type="http://schemas.openxmlformats.org/officeDocument/2006/relationships/hyperlink" Id="rId5388" Target="https://doi.org/10.1038/s41586-022-04434-5" TargetMode="External" /><Relationship Type="http://schemas.openxmlformats.org/officeDocument/2006/relationships/hyperlink" Id="rId5944" Target="https://doi.org/10.1038/s41586-022-04436-3" TargetMode="External" /><Relationship Type="http://schemas.openxmlformats.org/officeDocument/2006/relationships/hyperlink" Id="rId3786" Target="https://doi.org/10.1038/s41586-022-04492-9" TargetMode="External" /><Relationship Type="http://schemas.openxmlformats.org/officeDocument/2006/relationships/hyperlink" Id="rId5168" Target="https://doi.org/10.1038/s41586-022-04554-y" TargetMode="External" /><Relationship Type="http://schemas.openxmlformats.org/officeDocument/2006/relationships/hyperlink" Id="rId5390" Target="https://doi.org/10.1038/s41586-022-04556-w" TargetMode="External" /><Relationship Type="http://schemas.openxmlformats.org/officeDocument/2006/relationships/hyperlink" Id="rId5902" Target="https://doi.org/10.1038/s41586-022-05219-6" TargetMode="External" /><Relationship Type="http://schemas.openxmlformats.org/officeDocument/2006/relationships/hyperlink" Id="rId5924" Target="https://doi.org/10.1038/s41586-022-05277-w" TargetMode="External" /><Relationship Type="http://schemas.openxmlformats.org/officeDocument/2006/relationships/hyperlink" Id="rId3788" Target="https://doi.org/10.1038/s41586-023-05745-x" TargetMode="External" /><Relationship Type="http://schemas.openxmlformats.org/officeDocument/2006/relationships/hyperlink" Id="rId2771" Target="https://doi.org/10.1038/s41586-023-06502-w" TargetMode="External" /><Relationship Type="http://schemas.openxmlformats.org/officeDocument/2006/relationships/hyperlink" Id="rId2998" Target="https://doi.org/10.1038/s41586-023-06812-z" TargetMode="External" /><Relationship Type="http://schemas.openxmlformats.org/officeDocument/2006/relationships/hyperlink" Id="rId3014" Target="https://doi.org/10.1038/s41586-024-07558-y" TargetMode="External" /><Relationship Type="http://schemas.openxmlformats.org/officeDocument/2006/relationships/hyperlink" Id="rId5948" Target="https://doi.org/10.1038/s41586-024-07577-9" TargetMode="External" /><Relationship Type="http://schemas.openxmlformats.org/officeDocument/2006/relationships/hyperlink" Id="rId5274" Target="https://doi.org/10.1038/s41586-024-08468-9" TargetMode="External" /><Relationship Type="http://schemas.openxmlformats.org/officeDocument/2006/relationships/hyperlink" Id="rId3022" Target="https://doi.org/10.1038/s41586-025-08790-w" TargetMode="External" /><Relationship Type="http://schemas.openxmlformats.org/officeDocument/2006/relationships/hyperlink" Id="rId5922" Target="https://doi.org/10.1038/s41586-025-08808-3" TargetMode="External" /><Relationship Type="http://schemas.openxmlformats.org/officeDocument/2006/relationships/hyperlink" Id="rId3024" Target="https://doi.org/10.1038/s41586-025-08840-3" TargetMode="External" /><Relationship Type="http://schemas.openxmlformats.org/officeDocument/2006/relationships/hyperlink" Id="rId3750" Target="https://doi.org/10.1038/s41586-025-08888-1" TargetMode="External" /><Relationship Type="http://schemas.openxmlformats.org/officeDocument/2006/relationships/hyperlink" Id="rId3066" Target="https://doi.org/10.1038/s41586-026-10169-4" TargetMode="External" /><Relationship Type="http://schemas.openxmlformats.org/officeDocument/2006/relationships/hyperlink" Id="rId3008" Target="https://doi.org/10.1038/s41586-026-10271-7" TargetMode="External" /><Relationship Type="http://schemas.openxmlformats.org/officeDocument/2006/relationships/hyperlink" Id="rId3026" Target="https://doi.org/10.1038/s41586-026-10735-w" TargetMode="External" /><Relationship Type="http://schemas.openxmlformats.org/officeDocument/2006/relationships/hyperlink" Id="rId5918" Target="https://doi.org/10.1038/s41586-026-10877-x" TargetMode="External" /><Relationship Type="http://schemas.openxmlformats.org/officeDocument/2006/relationships/hyperlink" Id="rId5926" Target="https://doi.org/10.1038/s41586-026-10943-4" TargetMode="External" /><Relationship Type="http://schemas.openxmlformats.org/officeDocument/2006/relationships/hyperlink" Id="rId5928" Target="https://doi.org/10.1038/s41586-026-11032-2" TargetMode="External" /><Relationship Type="http://schemas.openxmlformats.org/officeDocument/2006/relationships/hyperlink" Id="rId5208" Target="https://doi.org/10.1038/s41588-019-0379-x" TargetMode="External" /><Relationship Type="http://schemas.openxmlformats.org/officeDocument/2006/relationships/hyperlink" Id="rId5434" Target="https://doi.org/10.1038/s41588-021-00990-0" TargetMode="External" /><Relationship Type="http://schemas.openxmlformats.org/officeDocument/2006/relationships/hyperlink" Id="rId5210" Target="https://doi.org/10.1038/s41588-022-01016-z" TargetMode="External" /><Relationship Type="http://schemas.openxmlformats.org/officeDocument/2006/relationships/hyperlink" Id="rId5206" Target="https://doi.org/10.1038/s41588-022-01062-7" TargetMode="External" /><Relationship Type="http://schemas.openxmlformats.org/officeDocument/2006/relationships/hyperlink" Id="rId5962" Target="https://doi.org/10.1038/s41588-025-02191-5" TargetMode="External" /><Relationship Type="http://schemas.openxmlformats.org/officeDocument/2006/relationships/hyperlink" Id="rId3010" Target="https://doi.org/10.1038/s41588-026-02733-5" TargetMode="External" /><Relationship Type="http://schemas.openxmlformats.org/officeDocument/2006/relationships/hyperlink" Id="rId3062" Target="https://doi.org/10.1038/s41591-019-0375-9" TargetMode="External" /><Relationship Type="http://schemas.openxmlformats.org/officeDocument/2006/relationships/hyperlink" Id="rId5708" Target="https://doi.org/10.1038/s41591-024-03196-z" TargetMode="External" /><Relationship Type="http://schemas.openxmlformats.org/officeDocument/2006/relationships/hyperlink" Id="rId5890" Target="https://doi.org/10.1038/s41591-026-04414-6" TargetMode="External" /><Relationship Type="http://schemas.openxmlformats.org/officeDocument/2006/relationships/hyperlink" Id="rId3068" Target="https://doi.org/10.1038/s41591-026-04571-8" TargetMode="External" /><Relationship Type="http://schemas.openxmlformats.org/officeDocument/2006/relationships/hyperlink" Id="rId5863" Target="https://doi.org/10.1038/s41592-018-0109-9" TargetMode="External" /><Relationship Type="http://schemas.openxmlformats.org/officeDocument/2006/relationships/hyperlink" Id="rId5912" Target="https://doi.org/10.1038/s41592-019-0586-5" TargetMode="External" /><Relationship Type="http://schemas.openxmlformats.org/officeDocument/2006/relationships/hyperlink" Id="rId4207" Target="https://doi.org/10.1038/s41593-017-0020-1" TargetMode="External" /><Relationship Type="http://schemas.openxmlformats.org/officeDocument/2006/relationships/hyperlink" Id="rId3637" Target="https://doi.org/10.1038/s41593-018-0232-z" TargetMode="External" /><Relationship Type="http://schemas.openxmlformats.org/officeDocument/2006/relationships/hyperlink" Id="rId5942" Target="https://doi.org/10.1038/s41593-018-0293-z" TargetMode="External" /><Relationship Type="http://schemas.openxmlformats.org/officeDocument/2006/relationships/hyperlink" Id="rId3726" Target="https://doi.org/10.1038/s41593-020-00744-x" TargetMode="External" /><Relationship Type="http://schemas.openxmlformats.org/officeDocument/2006/relationships/hyperlink" Id="rId2765" Target="https://doi.org/10.1038/s41593-020-00783-4" TargetMode="External" /><Relationship Type="http://schemas.openxmlformats.org/officeDocument/2006/relationships/hyperlink" Id="rId2827" Target="https://doi.org/10.1038/s41593-020-00793-2" TargetMode="External" /><Relationship Type="http://schemas.openxmlformats.org/officeDocument/2006/relationships/hyperlink" Id="rId4225" Target="https://doi.org/10.1038/s41593-020-0625-7" TargetMode="External" /><Relationship Type="http://schemas.openxmlformats.org/officeDocument/2006/relationships/hyperlink" Id="rId2815" Target="https://doi.org/10.1038/s41593-021-00904-7" TargetMode="External" /><Relationship Type="http://schemas.openxmlformats.org/officeDocument/2006/relationships/hyperlink" Id="rId4504" Target="https://doi.org/10.1038/s41593-021-00982-7" TargetMode="External" /><Relationship Type="http://schemas.openxmlformats.org/officeDocument/2006/relationships/hyperlink" Id="rId3397" Target="https://doi.org/10.1038/s41593-022-01114-5" TargetMode="External" /><Relationship Type="http://schemas.openxmlformats.org/officeDocument/2006/relationships/hyperlink" Id="rId3865" Target="https://doi.org/10.1038/s41593-023-01304-9" TargetMode="External" /><Relationship Type="http://schemas.openxmlformats.org/officeDocument/2006/relationships/hyperlink" Id="rId2835" Target="https://doi.org/10.1038/s41593-024-01638-y" TargetMode="External" /><Relationship Type="http://schemas.openxmlformats.org/officeDocument/2006/relationships/hyperlink" Id="rId2836" Target="https://doi.org/10.1038/s41593-024-01698-0" TargetMode="External" /><Relationship Type="http://schemas.openxmlformats.org/officeDocument/2006/relationships/hyperlink" Id="rId5186" Target="https://doi.org/10.1038/s41593-024-01741-0" TargetMode="External" /><Relationship Type="http://schemas.openxmlformats.org/officeDocument/2006/relationships/hyperlink" Id="rId2840" Target="https://doi.org/10.1038/s41593-025-01897-3" TargetMode="External" /><Relationship Type="http://schemas.openxmlformats.org/officeDocument/2006/relationships/hyperlink" Id="rId2842" Target="https://doi.org/10.1038/s41593-025-01898-2" TargetMode="External" /><Relationship Type="http://schemas.openxmlformats.org/officeDocument/2006/relationships/hyperlink" Id="rId5888" Target="https://doi.org/10.1038/s41593-025-01905-6" TargetMode="External" /><Relationship Type="http://schemas.openxmlformats.org/officeDocument/2006/relationships/hyperlink" Id="rId5894" Target="https://doi.org/10.1038/s41593-026-02446-2" TargetMode="External" /><Relationship Type="http://schemas.openxmlformats.org/officeDocument/2006/relationships/hyperlink" Id="rId5892" Target="https://doi.org/10.1038/s41593-026-02456-0" TargetMode="External" /><Relationship Type="http://schemas.openxmlformats.org/officeDocument/2006/relationships/hyperlink" Id="rId4969" Target="https://doi.org/10.1038/s41598-018-20299-z" TargetMode="External" /><Relationship Type="http://schemas.openxmlformats.org/officeDocument/2006/relationships/hyperlink" Id="rId4231" Target="https://doi.org/10.1038/s41598-019-45812-w" TargetMode="External" /><Relationship Type="http://schemas.openxmlformats.org/officeDocument/2006/relationships/hyperlink" Id="rId4906" Target="https://doi.org/10.1038/s41598-021-99882-w" TargetMode="External" /><Relationship Type="http://schemas.openxmlformats.org/officeDocument/2006/relationships/hyperlink" Id="rId4675" Target="https://doi.org/10.1038/s41598-022-15195-6" TargetMode="External" /><Relationship Type="http://schemas.openxmlformats.org/officeDocument/2006/relationships/hyperlink" Id="rId4460" Target="https://doi.org/10.1038/s41598-022-27247-y" TargetMode="External" /><Relationship Type="http://schemas.openxmlformats.org/officeDocument/2006/relationships/hyperlink" Id="rId3316" Target="https://doi.org/10.1038/s41598-023-29854-9" TargetMode="External" /><Relationship Type="http://schemas.openxmlformats.org/officeDocument/2006/relationships/hyperlink" Id="rId4617" Target="https://doi.org/10.1038/s41598-023-45765-1" TargetMode="External" /><Relationship Type="http://schemas.openxmlformats.org/officeDocument/2006/relationships/hyperlink" Id="rId4616" Target="https://doi.org/10.1038/s41598-025-11069-9" TargetMode="External" /><Relationship Type="http://schemas.openxmlformats.org/officeDocument/2006/relationships/hyperlink" Id="rId4865" Target="https://doi.org/10.1038/s41598-025-21490-9" TargetMode="External" /><Relationship Type="http://schemas.openxmlformats.org/officeDocument/2006/relationships/hyperlink" Id="rId4587" Target="https://doi.org/10.1038/s41598-026-45569-z" TargetMode="External" /><Relationship Type="http://schemas.openxmlformats.org/officeDocument/2006/relationships/hyperlink" Id="rId4464" Target="https://doi.org/10.1038/s41598-026-60600-z" TargetMode="External" /><Relationship Type="http://schemas.openxmlformats.org/officeDocument/2006/relationships/hyperlink" Id="rId5212" Target="https://doi.org/10.1038/s43586-021-00092-5" TargetMode="External" /><Relationship Type="http://schemas.openxmlformats.org/officeDocument/2006/relationships/hyperlink" Id="rId3438" Target="https://doi.org/10.1038/s43587-025-01000-2" TargetMode="External" /><Relationship Type="http://schemas.openxmlformats.org/officeDocument/2006/relationships/hyperlink" Id="rId3538" Target="https://doi.org/10.1038/s44159-025-00442-0" TargetMode="External" /><Relationship Type="http://schemas.openxmlformats.org/officeDocument/2006/relationships/hyperlink" Id="rId4957" Target="https://doi.org/10.1038/s44220-023-00081-5" TargetMode="External" /><Relationship Type="http://schemas.openxmlformats.org/officeDocument/2006/relationships/hyperlink" Id="rId2743" Target="https://doi.org/10.1038/sj.bjp.0704319" TargetMode="External" /><Relationship Type="http://schemas.openxmlformats.org/officeDocument/2006/relationships/hyperlink" Id="rId3839" Target="https://doi.org/10.1038/sj.jcbfm.9600493" TargetMode="External" /><Relationship Type="http://schemas.openxmlformats.org/officeDocument/2006/relationships/hyperlink" Id="rId4295" Target="https://doi.org/10.1038/sj.mp.4001949" TargetMode="External" /><Relationship Type="http://schemas.openxmlformats.org/officeDocument/2006/relationships/hyperlink" Id="rId4161" Target="https://doi.org/10.1038/srep02027" TargetMode="External" /><Relationship Type="http://schemas.openxmlformats.org/officeDocument/2006/relationships/hyperlink" Id="rId3941" Target="https://doi.org/10.1038/srep10964" TargetMode="External" /><Relationship Type="http://schemas.openxmlformats.org/officeDocument/2006/relationships/hyperlink" Id="rId4799" Target="https://doi.org/10.1038/tp.2016.164" TargetMode="External" /><Relationship Type="http://schemas.openxmlformats.org/officeDocument/2006/relationships/hyperlink" Id="rId5436" Target="https://doi.org/10.1046/j.1468-2982.2002.00310.x" TargetMode="External" /><Relationship Type="http://schemas.openxmlformats.org/officeDocument/2006/relationships/hyperlink" Id="rId4508" Target="https://doi.org/10.1053/j.gastro.2017.07.002" TargetMode="External" /><Relationship Type="http://schemas.openxmlformats.org/officeDocument/2006/relationships/hyperlink" Id="rId4233" Target="https://doi.org/10.1055/s-0045-1814399" TargetMode="External" /><Relationship Type="http://schemas.openxmlformats.org/officeDocument/2006/relationships/hyperlink" Id="rId4388" Target="https://doi.org/10.1056/NEJM199801153380307" TargetMode="External" /><Relationship Type="http://schemas.openxmlformats.org/officeDocument/2006/relationships/hyperlink" Id="rId5641" Target="https://doi.org/10.1056/NEJM200108023450501" TargetMode="External" /><Relationship Type="http://schemas.openxmlformats.org/officeDocument/2006/relationships/hyperlink" Id="rId5968" Target="https://doi.org/10.1056/NEJMc2300400" TargetMode="External" /><Relationship Type="http://schemas.openxmlformats.org/officeDocument/2006/relationships/hyperlink" Id="rId5135" Target="https://doi.org/10.1056/NEJMcps050929" TargetMode="External" /><Relationship Type="http://schemas.openxmlformats.org/officeDocument/2006/relationships/hyperlink" Id="rId5772" Target="https://doi.org/10.1056/NEJMoa043330" TargetMode="External" /><Relationship Type="http://schemas.openxmlformats.org/officeDocument/2006/relationships/hyperlink" Id="rId5774" Target="https://doi.org/10.1056/NEJMoa043331" TargetMode="External" /><Relationship Type="http://schemas.openxmlformats.org/officeDocument/2006/relationships/hyperlink" Id="rId5145" Target="https://doi.org/10.1056/NEJMoa053792" TargetMode="External" /><Relationship Type="http://schemas.openxmlformats.org/officeDocument/2006/relationships/hyperlink" Id="rId5706" Target="https://doi.org/10.1056/NEJMoa060281" TargetMode="External" /><Relationship Type="http://schemas.openxmlformats.org/officeDocument/2006/relationships/hyperlink" Id="rId3893" Target="https://doi.org/10.1056/NEJMoa070240" TargetMode="External" /><Relationship Type="http://schemas.openxmlformats.org/officeDocument/2006/relationships/hyperlink" Id="rId5328" Target="https://doi.org/10.1056/NEJMoa0804633" TargetMode="External" /><Relationship Type="http://schemas.openxmlformats.org/officeDocument/2006/relationships/hyperlink" Id="rId5744" Target="https://doi.org/10.1056/NEJMoa1102077" TargetMode="External" /><Relationship Type="http://schemas.openxmlformats.org/officeDocument/2006/relationships/hyperlink" Id="rId5510" Target="https://doi.org/10.1056/NEJMoa1506459" TargetMode="External" /><Relationship Type="http://schemas.openxmlformats.org/officeDocument/2006/relationships/hyperlink" Id="rId5356" Target="https://doi.org/10.1056/NEJMoa1507598" TargetMode="External" /><Relationship Type="http://schemas.openxmlformats.org/officeDocument/2006/relationships/hyperlink" Id="rId2928" Target="https://doi.org/10.1056/NEJMoa1602812" TargetMode="External" /><Relationship Type="http://schemas.openxmlformats.org/officeDocument/2006/relationships/hyperlink" Id="rId5746" Target="https://doi.org/10.1056/NEJMoa1605215" TargetMode="External" /><Relationship Type="http://schemas.openxmlformats.org/officeDocument/2006/relationships/hyperlink" Id="rId5504" Target="https://doi.org/10.1056/NEJMoa1606599" TargetMode="External" /><Relationship Type="http://schemas.openxmlformats.org/officeDocument/2006/relationships/hyperlink" Id="rId2755" Target="https://doi.org/10.1056/NEJMoa1702752" TargetMode="External" /><Relationship Type="http://schemas.openxmlformats.org/officeDocument/2006/relationships/hyperlink" Id="rId5673" Target="https://doi.org/10.1056/NEJMoa1706442" TargetMode="External" /><Relationship Type="http://schemas.openxmlformats.org/officeDocument/2006/relationships/hyperlink" Id="rId5679" Target="https://doi.org/10.1056/NEJMoa1800410" TargetMode="External" /><Relationship Type="http://schemas.openxmlformats.org/officeDocument/2006/relationships/hyperlink" Id="rId5704" Target="https://doi.org/10.1056/NEJMoa1809983" TargetMode="External" /><Relationship Type="http://schemas.openxmlformats.org/officeDocument/2006/relationships/hyperlink" Id="rId5450" Target="https://doi.org/10.1056/NEJMoa1813440" TargetMode="External" /><Relationship Type="http://schemas.openxmlformats.org/officeDocument/2006/relationships/hyperlink" Id="rId5615" Target="https://doi.org/10.1056/NEJMoa1900866" TargetMode="External" /><Relationship Type="http://schemas.openxmlformats.org/officeDocument/2006/relationships/hyperlink" Id="rId5966" Target="https://doi.org/10.1056/NEJMoa1900907" TargetMode="External" /><Relationship Type="http://schemas.openxmlformats.org/officeDocument/2006/relationships/hyperlink" Id="rId5647" Target="https://doi.org/10.1056/NEJMoa1905795" TargetMode="External" /><Relationship Type="http://schemas.openxmlformats.org/officeDocument/2006/relationships/hyperlink" Id="rId5156" Target="https://doi.org/10.1056/NEJMoa2026486" TargetMode="External" /><Relationship Type="http://schemas.openxmlformats.org/officeDocument/2006/relationships/hyperlink" Id="rId2759" Target="https://doi.org/10.1056/NEJMoa2106356" TargetMode="External" /><Relationship Type="http://schemas.openxmlformats.org/officeDocument/2006/relationships/hyperlink" Id="rId5954" Target="https://doi.org/10.1056/NEJMoa2204705" TargetMode="External" /><Relationship Type="http://schemas.openxmlformats.org/officeDocument/2006/relationships/hyperlink" Id="rId5290" Target="https://doi.org/10.1056/NEJMoa2206443" TargetMode="External" /><Relationship Type="http://schemas.openxmlformats.org/officeDocument/2006/relationships/hyperlink" Id="rId5583" Target="https://doi.org/10.1056/NEJMoa2212948" TargetMode="External" /><Relationship Type="http://schemas.openxmlformats.org/officeDocument/2006/relationships/hyperlink" Id="rId5675" Target="https://doi.org/10.1056/NEJMoa2214403" TargetMode="External" /><Relationship Type="http://schemas.openxmlformats.org/officeDocument/2006/relationships/hyperlink" Id="rId5544" Target="https://doi.org/10.1056/NEJMoa2302368" TargetMode="External" /><Relationship Type="http://schemas.openxmlformats.org/officeDocument/2006/relationships/hyperlink" Id="rId5284" Target="https://doi.org/10.1056/NEJMoa2302399" TargetMode="External" /><Relationship Type="http://schemas.openxmlformats.org/officeDocument/2006/relationships/hyperlink" Id="rId5681" Target="https://doi.org/10.1056/NEJMoa2303048" TargetMode="External" /><Relationship Type="http://schemas.openxmlformats.org/officeDocument/2006/relationships/hyperlink" Id="rId5776" Target="https://doi.org/10.1056/NEJMoa2304194" TargetMode="External" /><Relationship Type="http://schemas.openxmlformats.org/officeDocument/2006/relationships/hyperlink" Id="rId5712" Target="https://doi.org/10.1056/NEJMoa2312323" TargetMode="External" /><Relationship Type="http://schemas.openxmlformats.org/officeDocument/2006/relationships/hyperlink" Id="rId5886" Target="https://doi.org/10.1056/NEJMoa2314132" TargetMode="External" /><Relationship Type="http://schemas.openxmlformats.org/officeDocument/2006/relationships/hyperlink" Id="rId5782" Target="https://doi.org/10.1056/NEJMoa2314390" TargetMode="External" /><Relationship Type="http://schemas.openxmlformats.org/officeDocument/2006/relationships/hyperlink" Id="rId5830" Target="https://doi.org/10.1056/NEJMoa2400645" TargetMode="External" /><Relationship Type="http://schemas.openxmlformats.org/officeDocument/2006/relationships/hyperlink" Id="rId5506" Target="https://doi.org/10.1056/NEJMoa2404881" TargetMode="External" /><Relationship Type="http://schemas.openxmlformats.org/officeDocument/2006/relationships/hyperlink" Id="rId5520" Target="https://doi.org/10.1056/NEJMoa2405847" TargetMode="External" /><Relationship Type="http://schemas.openxmlformats.org/officeDocument/2006/relationships/hyperlink" Id="rId4045" Target="https://doi.org/10.1056/NEJMra1511480" TargetMode="External" /><Relationship Type="http://schemas.openxmlformats.org/officeDocument/2006/relationships/hyperlink" Id="rId3381" Target="https://doi.org/10.1068/p281059" TargetMode="External" /><Relationship Type="http://schemas.openxmlformats.org/officeDocument/2006/relationships/hyperlink" Id="rId5166" Target="https://doi.org/10.1073/pnas.0402680101" TargetMode="External" /><Relationship Type="http://schemas.openxmlformats.org/officeDocument/2006/relationships/hyperlink" Id="rId3674" Target="https://doi.org/10.1073/pnas.0406666101" TargetMode="External" /><Relationship Type="http://schemas.openxmlformats.org/officeDocument/2006/relationships/hyperlink" Id="rId4538" Target="https://doi.org/10.1073/pnas.0407401101" TargetMode="External" /><Relationship Type="http://schemas.openxmlformats.org/officeDocument/2006/relationships/hyperlink" Id="rId4177" Target="https://doi.org/10.1073/pnas.0610561104" TargetMode="External" /><Relationship Type="http://schemas.openxmlformats.org/officeDocument/2006/relationships/hyperlink" Id="rId4770" Target="https://doi.org/10.1073/pnas.0611721104" TargetMode="External" /><Relationship Type="http://schemas.openxmlformats.org/officeDocument/2006/relationships/hyperlink" Id="rId4179" Target="https://doi.org/10.1073/pnas.070039597" TargetMode="External" /><Relationship Type="http://schemas.openxmlformats.org/officeDocument/2006/relationships/hyperlink" Id="rId4542" Target="https://doi.org/10.1073/pnas.0707678104" TargetMode="External" /><Relationship Type="http://schemas.openxmlformats.org/officeDocument/2006/relationships/hyperlink" Id="rId5430" Target="https://doi.org/10.1073/pnas.071582498" TargetMode="External" /><Relationship Type="http://schemas.openxmlformats.org/officeDocument/2006/relationships/hyperlink" Id="rId3164" Target="https://doi.org/10.1073/pnas.0803390105" TargetMode="External" /><Relationship Type="http://schemas.openxmlformats.org/officeDocument/2006/relationships/hyperlink" Id="rId4386" Target="https://doi.org/10.1073/pnas.0807041106" TargetMode="External" /><Relationship Type="http://schemas.openxmlformats.org/officeDocument/2006/relationships/hyperlink" Id="rId4605" Target="https://doi.org/10.1073/pnas.0904031106" TargetMode="External" /><Relationship Type="http://schemas.openxmlformats.org/officeDocument/2006/relationships/hyperlink" Id="rId2908" Target="https://doi.org/10.1073/pnas.0912730107" TargetMode="External" /><Relationship Type="http://schemas.openxmlformats.org/officeDocument/2006/relationships/hyperlink" Id="rId4607" Target="https://doi.org/10.1073/pnas.1011043107" TargetMode="External" /><Relationship Type="http://schemas.openxmlformats.org/officeDocument/2006/relationships/hyperlink" Id="rId5546" Target="https://doi.org/10.1073/pnas.1015950108" TargetMode="External" /><Relationship Type="http://schemas.openxmlformats.org/officeDocument/2006/relationships/hyperlink" Id="rId4163" Target="https://doi.org/10.1073/pnas.1102693108" TargetMode="External" /><Relationship Type="http://schemas.openxmlformats.org/officeDocument/2006/relationships/hyperlink" Id="rId2593" Target="https://doi.org/10.1073/pnas.1105108108" TargetMode="External" /><Relationship Type="http://schemas.openxmlformats.org/officeDocument/2006/relationships/hyperlink" Id="rId4550" Target="https://doi.org/10.1073/pnas.1112029108" TargetMode="External" /><Relationship Type="http://schemas.openxmlformats.org/officeDocument/2006/relationships/hyperlink" Id="rId3945" Target="https://doi.org/10.1073/pnas.1112937108" TargetMode="External" /><Relationship Type="http://schemas.openxmlformats.org/officeDocument/2006/relationships/hyperlink" Id="rId5074" Target="https://doi.org/10.1073/pnas.1119598109" TargetMode="External" /><Relationship Type="http://schemas.openxmlformats.org/officeDocument/2006/relationships/hyperlink" Id="rId2633" Target="https://doi.org/10.1073/pnas.1204773109" TargetMode="External" /><Relationship Type="http://schemas.openxmlformats.org/officeDocument/2006/relationships/hyperlink" Id="rId4663" Target="https://doi.org/10.1073/pnas.1207817109" TargetMode="External" /><Relationship Type="http://schemas.openxmlformats.org/officeDocument/2006/relationships/hyperlink" Id="rId3754" Target="https://doi.org/10.1073/pnas.1210467109" TargetMode="External" /><Relationship Type="http://schemas.openxmlformats.org/officeDocument/2006/relationships/hyperlink" Id="rId3160" Target="https://doi.org/10.1073/pnas.1314373110" TargetMode="External" /><Relationship Type="http://schemas.openxmlformats.org/officeDocument/2006/relationships/hyperlink" Id="rId4466" Target="https://doi.org/10.1073/pnas.1322174111" TargetMode="External" /><Relationship Type="http://schemas.openxmlformats.org/officeDocument/2006/relationships/hyperlink" Id="rId4111" Target="https://doi.org/10.1073/pnas.1400335111" TargetMode="External" /><Relationship Type="http://schemas.openxmlformats.org/officeDocument/2006/relationships/hyperlink" Id="rId5865" Target="https://doi.org/10.1073/pnas.1403112111" TargetMode="External" /><Relationship Type="http://schemas.openxmlformats.org/officeDocument/2006/relationships/hyperlink" Id="rId3760" Target="https://doi.org/10.1073/pnas.1513569112" TargetMode="External" /><Relationship Type="http://schemas.openxmlformats.org/officeDocument/2006/relationships/hyperlink" Id="rId4165" Target="https://doi.org/10.1073/pnas.1515083112" TargetMode="External" /><Relationship Type="http://schemas.openxmlformats.org/officeDocument/2006/relationships/hyperlink" Id="rId3132" Target="https://doi.org/10.1073/pnas.1516814112" TargetMode="External" /><Relationship Type="http://schemas.openxmlformats.org/officeDocument/2006/relationships/hyperlink" Id="rId3923" Target="https://doi.org/10.1073/pnas.1517131113" TargetMode="External" /><Relationship Type="http://schemas.openxmlformats.org/officeDocument/2006/relationships/hyperlink" Id="rId4167" Target="https://doi.org/10.1073/pnas.1600282113" TargetMode="External" /><Relationship Type="http://schemas.openxmlformats.org/officeDocument/2006/relationships/hyperlink" Id="rId3792" Target="https://doi.org/10.1073/pnas.1602413113" TargetMode="External" /><Relationship Type="http://schemas.openxmlformats.org/officeDocument/2006/relationships/hyperlink" Id="rId3937" Target="https://doi.org/10.1073/pnas.1603205113" TargetMode="External" /><Relationship Type="http://schemas.openxmlformats.org/officeDocument/2006/relationships/hyperlink" Id="rId3338" Target="https://doi.org/10.1073/pnas.1611612115" TargetMode="External" /><Relationship Type="http://schemas.openxmlformats.org/officeDocument/2006/relationships/hyperlink" Id="rId3793" Target="https://doi.org/10.1073/pnas.1612033113" TargetMode="External" /><Relationship Type="http://schemas.openxmlformats.org/officeDocument/2006/relationships/hyperlink" Id="rId3813" Target="https://doi.org/10.1073/pnas.1708274114" TargetMode="External" /><Relationship Type="http://schemas.openxmlformats.org/officeDocument/2006/relationships/hyperlink" Id="rId4418" Target="https://doi.org/10.1073/pnas.1713897114" TargetMode="External" /><Relationship Type="http://schemas.openxmlformats.org/officeDocument/2006/relationships/hyperlink" Id="rId4133" Target="https://doi.org/10.1073/pnas.1714239115" TargetMode="External" /><Relationship Type="http://schemas.openxmlformats.org/officeDocument/2006/relationships/hyperlink" Id="rId3951" Target="https://doi.org/10.1073/pnas.172399499" TargetMode="External" /><Relationship Type="http://schemas.openxmlformats.org/officeDocument/2006/relationships/hyperlink" Id="rId3440" Target="https://doi.org/10.1073/pnas.1811513116" TargetMode="External" /><Relationship Type="http://schemas.openxmlformats.org/officeDocument/2006/relationships/hyperlink" Id="rId4983" Target="https://doi.org/10.1073/pnas.1813588116" TargetMode="External" /><Relationship Type="http://schemas.openxmlformats.org/officeDocument/2006/relationships/hyperlink" Id="rId4251" Target="https://doi.org/10.1073/pnas.1900390116" TargetMode="External" /><Relationship Type="http://schemas.openxmlformats.org/officeDocument/2006/relationships/hyperlink" Id="rId3496" Target="https://doi.org/10.1073/pnas.2020192118" TargetMode="External" /><Relationship Type="http://schemas.openxmlformats.org/officeDocument/2006/relationships/hyperlink" Id="rId4585" Target="https://doi.org/10.1073/pnas.2409423122" TargetMode="External" /><Relationship Type="http://schemas.openxmlformats.org/officeDocument/2006/relationships/hyperlink" Id="rId4859" Target="https://doi.org/10.1073/pnas.2504961122" TargetMode="External" /><Relationship Type="http://schemas.openxmlformats.org/officeDocument/2006/relationships/hyperlink" Id="rId4584" Target="https://doi.org/10.1073/pnas.2511043122" TargetMode="External" /><Relationship Type="http://schemas.openxmlformats.org/officeDocument/2006/relationships/hyperlink" Id="rId5849" Target="https://doi.org/10.1073/pnas.90.22.10749" TargetMode="External" /><Relationship Type="http://schemas.openxmlformats.org/officeDocument/2006/relationships/hyperlink" Id="rId2852" Target="https://doi.org/10.1073/pnas.91.22.10625" TargetMode="External" /><Relationship Type="http://schemas.openxmlformats.org/officeDocument/2006/relationships/hyperlink" Id="rId3090" Target="https://doi.org/10.1073/pnas.93.24.13515" TargetMode="External" /><Relationship Type="http://schemas.openxmlformats.org/officeDocument/2006/relationships/hyperlink" Id="rId4713" Target="https://doi.org/10.1073/pnas.94.6.2569" TargetMode="External" /><Relationship Type="http://schemas.openxmlformats.org/officeDocument/2006/relationships/hyperlink" Id="rId4237" Target="https://doi.org/10.1073/pnas.98.2.676" TargetMode="External" /><Relationship Type="http://schemas.openxmlformats.org/officeDocument/2006/relationships/hyperlink" Id="rId4498" Target="https://doi.org/10.1074/jbc.M211609200" TargetMode="External" /><Relationship Type="http://schemas.openxmlformats.org/officeDocument/2006/relationships/hyperlink" Id="rId4018" Target="https://doi.org/10.1076/0964-704x(200004)9:1;1-2;ft046" TargetMode="External" /><Relationship Type="http://schemas.openxmlformats.org/officeDocument/2006/relationships/hyperlink" Id="rId3809" Target="https://doi.org/10.1080/00031305.2016.1154108" TargetMode="External" /><Relationship Type="http://schemas.openxmlformats.org/officeDocument/2006/relationships/hyperlink" Id="rId4839" Target="https://doi.org/10.1080/00207454.2020.1748621" TargetMode="External" /><Relationship Type="http://schemas.openxmlformats.org/officeDocument/2006/relationships/hyperlink" Id="rId3446" Target="https://doi.org/10.1080/02643290244000239" TargetMode="External" /><Relationship Type="http://schemas.openxmlformats.org/officeDocument/2006/relationships/hyperlink" Id="rId4776" Target="https://doi.org/10.1080/08870446.2019.1707827" TargetMode="External" /><Relationship Type="http://schemas.openxmlformats.org/officeDocument/2006/relationships/hyperlink" Id="rId4067" Target="https://doi.org/10.1080/09362830903462508" TargetMode="External" /><Relationship Type="http://schemas.openxmlformats.org/officeDocument/2006/relationships/hyperlink" Id="rId4020" Target="https://doi.org/10.1080/09602011003760527" TargetMode="External" /><Relationship Type="http://schemas.openxmlformats.org/officeDocument/2006/relationships/hyperlink" Id="rId3190" Target="https://doi.org/10.1080/09658211.2013.831454" TargetMode="External" /><Relationship Type="http://schemas.openxmlformats.org/officeDocument/2006/relationships/hyperlink" Id="rId4885" Target="https://doi.org/10.1080/10503307.2019.1664783" TargetMode="External" /><Relationship Type="http://schemas.openxmlformats.org/officeDocument/2006/relationships/hyperlink" Id="rId4995" Target="https://doi.org/10.1080/10503307.2021.1933646" TargetMode="External" /><Relationship Type="http://schemas.openxmlformats.org/officeDocument/2006/relationships/hyperlink" Id="rId5040" Target="https://doi.org/10.1080/14639947.2011.564815" TargetMode="External" /><Relationship Type="http://schemas.openxmlformats.org/officeDocument/2006/relationships/hyperlink" Id="rId5038" Target="https://doi.org/10.1080/14639947.2011.564843" TargetMode="External" /><Relationship Type="http://schemas.openxmlformats.org/officeDocument/2006/relationships/hyperlink" Id="rId4746" Target="https://doi.org/10.1080/17437199.2020.1760727" TargetMode="External" /><Relationship Type="http://schemas.openxmlformats.org/officeDocument/2006/relationships/hyperlink" Id="rId4002" Target="https://doi.org/10.1080/17439760.2019.1689421" TargetMode="External" /><Relationship Type="http://schemas.openxmlformats.org/officeDocument/2006/relationships/hyperlink" Id="rId3420" Target="https://doi.org/10.1080/19404158.2019.1609272" TargetMode="External" /><Relationship Type="http://schemas.openxmlformats.org/officeDocument/2006/relationships/hyperlink" Id="rId3442" Target="https://doi.org/10.1080/20445911.2013.796377" TargetMode="External" /><Relationship Type="http://schemas.openxmlformats.org/officeDocument/2006/relationships/hyperlink" Id="rId4709" Target="https://doi.org/10.1080/2153599x.2016.1267035" TargetMode="External" /><Relationship Type="http://schemas.openxmlformats.org/officeDocument/2006/relationships/hyperlink" Id="rId3474" Target="https://doi.org/10.1080/23311908.2025.2496026" TargetMode="External" /><Relationship Type="http://schemas.openxmlformats.org/officeDocument/2006/relationships/hyperlink" Id="rId5691" Target="https://doi.org/10.1083/jcb.200809125" TargetMode="External" /><Relationship Type="http://schemas.openxmlformats.org/officeDocument/2006/relationships/hyperlink" Id="rId2880" Target="https://doi.org/10.1084/jem.20142290" TargetMode="External" /><Relationship Type="http://schemas.openxmlformats.org/officeDocument/2006/relationships/hyperlink" Id="rId2665" Target="https://doi.org/10.1085/jgp.27.1.37" TargetMode="External" /><Relationship Type="http://schemas.openxmlformats.org/officeDocument/2006/relationships/hyperlink" Id="rId4024" Target="https://doi.org/10.1089/089771504774129964" TargetMode="External" /><Relationship Type="http://schemas.openxmlformats.org/officeDocument/2006/relationships/hyperlink" Id="rId4756" Target="https://doi.org/10.1089/acm.2007.6338" TargetMode="External" /><Relationship Type="http://schemas.openxmlformats.org/officeDocument/2006/relationships/hyperlink" Id="rId4758" Target="https://doi.org/10.1089/acm.2010.0007" TargetMode="External" /><Relationship Type="http://schemas.openxmlformats.org/officeDocument/2006/relationships/hyperlink" Id="rId4760" Target="https://doi.org/10.1089/acm.2019.0234" TargetMode="External" /><Relationship Type="http://schemas.openxmlformats.org/officeDocument/2006/relationships/hyperlink" Id="rId4041" Target="https://doi.org/10.1089/cyber.2021.0324" TargetMode="External" /><Relationship Type="http://schemas.openxmlformats.org/officeDocument/2006/relationships/hyperlink" Id="rId3752" Target="https://doi.org/10.1093/brain/106.3.623" TargetMode="External" /><Relationship Type="http://schemas.openxmlformats.org/officeDocument/2006/relationships/hyperlink" Id="rId3959" Target="https://doi.org/10.1093/brain/119.2.593" TargetMode="External" /><Relationship Type="http://schemas.openxmlformats.org/officeDocument/2006/relationships/hyperlink" Id="rId4213" Target="https://doi.org/10.1093/brain/121.4.561" TargetMode="External" /><Relationship Type="http://schemas.openxmlformats.org/officeDocument/2006/relationships/hyperlink" Id="rId3931" Target="https://doi.org/10.1093/brain/123.12.2512" TargetMode="External" /><Relationship Type="http://schemas.openxmlformats.org/officeDocument/2006/relationships/hyperlink" Id="rId5488" Target="https://doi.org/10.1093/brain/awaa224" TargetMode="External" /><Relationship Type="http://schemas.openxmlformats.org/officeDocument/2006/relationships/hyperlink" Id="rId5702" Target="https://doi.org/10.1093/brain/awaa238" TargetMode="External" /><Relationship Type="http://schemas.openxmlformats.org/officeDocument/2006/relationships/hyperlink" Id="rId5476" Target="https://doi.org/10.1093/brain/aws129" TargetMode="External" /><Relationship Type="http://schemas.openxmlformats.org/officeDocument/2006/relationships/hyperlink" Id="rId4195" Target="https://doi.org/10.1093/brain/awt162" TargetMode="External" /><Relationship Type="http://schemas.openxmlformats.org/officeDocument/2006/relationships/hyperlink" Id="rId3939" Target="https://doi.org/10.1093/brain/aww358" TargetMode="External" /><Relationship Type="http://schemas.openxmlformats.org/officeDocument/2006/relationships/hyperlink" Id="rId5828" Target="https://doi.org/10.1093/brain/awy302" TargetMode="External" /><Relationship Type="http://schemas.openxmlformats.org/officeDocument/2006/relationships/hyperlink" Id="rId5526" Target="https://doi.org/10.1093/brain/awz030" TargetMode="External" /><Relationship Type="http://schemas.openxmlformats.org/officeDocument/2006/relationships/hyperlink" Id="rId3776" Target="https://doi.org/10.1093/cercor/bhaa097" TargetMode="External" /><Relationship Type="http://schemas.openxmlformats.org/officeDocument/2006/relationships/hyperlink" Id="rId5048" Target="https://doi.org/10.1093/cercor/bhad408" TargetMode="External" /><Relationship Type="http://schemas.openxmlformats.org/officeDocument/2006/relationships/hyperlink" Id="rId5082" Target="https://doi.org/10.1093/cercor/bhaf039" TargetMode="External" /><Relationship Type="http://schemas.openxmlformats.org/officeDocument/2006/relationships/hyperlink" Id="rId4320" Target="https://doi.org/10.1093/cercor/bhn013" TargetMode="External" /><Relationship Type="http://schemas.openxmlformats.org/officeDocument/2006/relationships/hyperlink" Id="rId4173" Target="https://doi.org/10.1093/cercor/bhs077" TargetMode="External" /><Relationship Type="http://schemas.openxmlformats.org/officeDocument/2006/relationships/hyperlink" Id="rId5054" Target="https://doi.org/10.1093/cercor/bhs142" TargetMode="External" /><Relationship Type="http://schemas.openxmlformats.org/officeDocument/2006/relationships/hyperlink" Id="rId3312" Target="https://doi.org/10.1093/cercor/bhs261" TargetMode="External" /><Relationship Type="http://schemas.openxmlformats.org/officeDocument/2006/relationships/hyperlink" Id="rId4137" Target="https://doi.org/10.1093/cercor/bht154" TargetMode="External" /><Relationship Type="http://schemas.openxmlformats.org/officeDocument/2006/relationships/hyperlink" Id="rId3696" Target="https://doi.org/10.1093/cercor/bhu139" TargetMode="External" /><Relationship Type="http://schemas.openxmlformats.org/officeDocument/2006/relationships/hyperlink" Id="rId3661" Target="https://doi.org/10.1093/cercor/bhv086" TargetMode="External" /><Relationship Type="http://schemas.openxmlformats.org/officeDocument/2006/relationships/hyperlink" Id="rId3663" Target="https://doi.org/10.1093/cercor/bhw028" TargetMode="External" /><Relationship Type="http://schemas.openxmlformats.org/officeDocument/2006/relationships/hyperlink" Id="rId2799" Target="https://doi.org/10.1093/cercor/bhx203" TargetMode="External" /><Relationship Type="http://schemas.openxmlformats.org/officeDocument/2006/relationships/hyperlink" Id="rId5178" Target="https://doi.org/10.1093/cercor/bhy109" TargetMode="External" /><Relationship Type="http://schemas.openxmlformats.org/officeDocument/2006/relationships/hyperlink" Id="rId4973" Target="https://doi.org/10.1093/clipsy.bph077" TargetMode="External" /><Relationship Type="http://schemas.openxmlformats.org/officeDocument/2006/relationships/hyperlink" Id="rId4683" Target="https://doi.org/10.1093/geronb/gbaf235" TargetMode="External" /><Relationship Type="http://schemas.openxmlformats.org/officeDocument/2006/relationships/hyperlink" Id="rId4935" Target="https://doi.org/10.1093/jncics/pkad095" TargetMode="External" /><Relationship Type="http://schemas.openxmlformats.org/officeDocument/2006/relationships/hyperlink" Id="rId5750" Target="https://doi.org/10.1093/jnen/nlab001" TargetMode="External" /><Relationship Type="http://schemas.openxmlformats.org/officeDocument/2006/relationships/hyperlink" Id="rId5756" Target="https://doi.org/10.1093/neuonc/noab106" TargetMode="External" /><Relationship Type="http://schemas.openxmlformats.org/officeDocument/2006/relationships/hyperlink" Id="rId5760" Target="https://doi.org/10.1093/neuonc/noab150" TargetMode="External" /><Relationship Type="http://schemas.openxmlformats.org/officeDocument/2006/relationships/hyperlink" Id="rId5748" Target="https://doi.org/10.1093/neuros/nyaa278" TargetMode="External" /><Relationship Type="http://schemas.openxmlformats.org/officeDocument/2006/relationships/hyperlink" Id="rId4931" Target="https://doi.org/10.1093/ntr/nty126" TargetMode="External" /><Relationship Type="http://schemas.openxmlformats.org/officeDocument/2006/relationships/hyperlink" Id="rId5005" Target="https://doi.org/10.1093/pm/pnae056" TargetMode="External" /><Relationship Type="http://schemas.openxmlformats.org/officeDocument/2006/relationships/hyperlink" Id="rId4740" Target="https://doi.org/10.1093/pnasnexus/pgae453" TargetMode="External" /><Relationship Type="http://schemas.openxmlformats.org/officeDocument/2006/relationships/hyperlink" Id="rId3330" Target="https://doi.org/10.1093/pnasnexus/pgaf017" TargetMode="External" /><Relationship Type="http://schemas.openxmlformats.org/officeDocument/2006/relationships/hyperlink" Id="rId4544" Target="https://doi.org/10.1093/scan/nsm030" TargetMode="External" /><Relationship Type="http://schemas.openxmlformats.org/officeDocument/2006/relationships/hyperlink" Id="rId4546" Target="https://doi.org/10.1093/scan/nsp034" TargetMode="External" /><Relationship Type="http://schemas.openxmlformats.org/officeDocument/2006/relationships/hyperlink" Id="rId4619" Target="https://doi.org/10.1093/scan/nss066" TargetMode="External" /><Relationship Type="http://schemas.openxmlformats.org/officeDocument/2006/relationships/hyperlink" Id="rId5056" Target="https://doi.org/10.1093/scan/nst060" TargetMode="External" /><Relationship Type="http://schemas.openxmlformats.org/officeDocument/2006/relationships/hyperlink" Id="rId4643" Target="https://doi.org/10.1093/scan/nsu112" TargetMode="External" /><Relationship Type="http://schemas.openxmlformats.org/officeDocument/2006/relationships/hyperlink" Id="rId4589" Target="https://doi.org/10.1093/scan/nsv066" TargetMode="External" /><Relationship Type="http://schemas.openxmlformats.org/officeDocument/2006/relationships/hyperlink" Id="rId3668" Target="https://doi.org/10.1093/scan/nsw154" TargetMode="External" /><Relationship Type="http://schemas.openxmlformats.org/officeDocument/2006/relationships/hyperlink" Id="rId4639" Target="https://doi.org/10.1093/scan/nsz050" TargetMode="External" /><Relationship Type="http://schemas.openxmlformats.org/officeDocument/2006/relationships/hyperlink" Id="rId3684" Target="https://doi.org/10.1093/sleep/26.2.117" TargetMode="External" /><Relationship Type="http://schemas.openxmlformats.org/officeDocument/2006/relationships/hyperlink" Id="rId5728" Target="https://doi.org/10.1096/fj.09-142844" TargetMode="External" /><Relationship Type="http://schemas.openxmlformats.org/officeDocument/2006/relationships/hyperlink" Id="rId3861" Target="https://doi.org/10.1097/00001648-200009000-00011" TargetMode="External" /><Relationship Type="http://schemas.openxmlformats.org/officeDocument/2006/relationships/hyperlink" Id="rId5076" Target="https://doi.org/10.1097/00001756-199812010-00024" TargetMode="External" /><Relationship Type="http://schemas.openxmlformats.org/officeDocument/2006/relationships/hyperlink" Id="rId4651" Target="https://doi.org/10.1097/00001756-200005150-00042" TargetMode="External" /><Relationship Type="http://schemas.openxmlformats.org/officeDocument/2006/relationships/hyperlink" Id="rId4536" Target="https://doi.org/10.1097/01.psy.0000077505.67574.e3" TargetMode="External" /><Relationship Type="http://schemas.openxmlformats.org/officeDocument/2006/relationships/hyperlink" Id="rId4540" Target="https://doi.org/10.1097/01.wnr.0000186598.66243.19" TargetMode="External" /><Relationship Type="http://schemas.openxmlformats.org/officeDocument/2006/relationships/hyperlink" Id="rId5133" Target="https://doi.org/10.1097/AOG.0000000000001108" TargetMode="External" /><Relationship Type="http://schemas.openxmlformats.org/officeDocument/2006/relationships/hyperlink" Id="rId5820" Target="https://doi.org/10.1097/HTR.0000000000000834" TargetMode="External" /><Relationship Type="http://schemas.openxmlformats.org/officeDocument/2006/relationships/hyperlink" Id="rId5814" Target="https://doi.org/10.1097/HTR.0000000000000835" TargetMode="External" /><Relationship Type="http://schemas.openxmlformats.org/officeDocument/2006/relationships/hyperlink" Id="rId5818" Target="https://doi.org/10.1097/HTR.0000000000000837" TargetMode="External" /><Relationship Type="http://schemas.openxmlformats.org/officeDocument/2006/relationships/hyperlink" Id="rId5816" Target="https://doi.org/10.1097/HTR.0000000000000839" TargetMode="External" /><Relationship Type="http://schemas.openxmlformats.org/officeDocument/2006/relationships/hyperlink" Id="rId5633" Target="https://doi.org/10.1097/WNP.0000000000000739" TargetMode="External" /><Relationship Type="http://schemas.openxmlformats.org/officeDocument/2006/relationships/hyperlink" Id="rId5420" Target="https://doi.org/10.1097/j.pain.0000000000000492" TargetMode="External" /><Relationship Type="http://schemas.openxmlformats.org/officeDocument/2006/relationships/hyperlink" Id="rId5412" Target="https://doi.org/10.1097/j.pain.0000000000001939" TargetMode="External" /><Relationship Type="http://schemas.openxmlformats.org/officeDocument/2006/relationships/hyperlink" Id="rId5418" Target="https://doi.org/10.1097/j.pain.0000000000002324" TargetMode="External" /><Relationship Type="http://schemas.openxmlformats.org/officeDocument/2006/relationships/hyperlink" Id="rId4910" Target="https://doi.org/10.1097/j.pain.0000000000002997" TargetMode="External" /><Relationship Type="http://schemas.openxmlformats.org/officeDocument/2006/relationships/hyperlink" Id="rId4919" Target="https://doi.org/10.1097/j.pain.0000000000003832" TargetMode="External" /><Relationship Type="http://schemas.openxmlformats.org/officeDocument/2006/relationships/hyperlink" Id="rId4738" Target="https://doi.org/10.1097/psy.0000000000000580" TargetMode="External" /><Relationship Type="http://schemas.openxmlformats.org/officeDocument/2006/relationships/hyperlink" Id="rId4809" Target="https://doi.org/10.1097/psy.0000000000000900" TargetMode="External" /><Relationship Type="http://schemas.openxmlformats.org/officeDocument/2006/relationships/hyperlink" Id="rId4921" Target="https://doi.org/10.1097/psy.0000000000000908" TargetMode="External" /><Relationship Type="http://schemas.openxmlformats.org/officeDocument/2006/relationships/hyperlink" Id="rId4752" Target="https://doi.org/10.1097/psy.0000000000000970" TargetMode="External" /><Relationship Type="http://schemas.openxmlformats.org/officeDocument/2006/relationships/hyperlink" Id="rId4468" Target="https://doi.org/10.1097/psy.0000000000001065" TargetMode="External" /><Relationship Type="http://schemas.openxmlformats.org/officeDocument/2006/relationships/hyperlink" Id="rId4815" Target="https://doi.org/10.1097/psy.0000000000001381" TargetMode="External" /><Relationship Type="http://schemas.openxmlformats.org/officeDocument/2006/relationships/hyperlink" Id="rId4591" Target="https://doi.org/10.1097/psy.0b013e3180f6171f" TargetMode="External" /><Relationship Type="http://schemas.openxmlformats.org/officeDocument/2006/relationships/hyperlink" Id="rId4655" Target="https://doi.org/10.1097/wnr.0b013e328320012a" TargetMode="External" /><Relationship Type="http://schemas.openxmlformats.org/officeDocument/2006/relationships/hyperlink" Id="rId3578" Target="https://doi.org/10.1098/rsos.210190" TargetMode="External" /><Relationship Type="http://schemas.openxmlformats.org/officeDocument/2006/relationships/hyperlink" Id="rId5192" Target="https://doi.org/10.1098/rsos.211621" TargetMode="External" /><Relationship Type="http://schemas.openxmlformats.org/officeDocument/2006/relationships/hyperlink" Id="rId2719" Target="https://doi.org/10.1098/rspb.1983.0093" TargetMode="External" /><Relationship Type="http://schemas.openxmlformats.org/officeDocument/2006/relationships/hyperlink" Id="rId3615" Target="https://doi.org/10.1098/rspb.2018.1645" TargetMode="External" /><Relationship Type="http://schemas.openxmlformats.org/officeDocument/2006/relationships/hyperlink" Id="rId3977" Target="https://doi.org/10.1098/rstb.2002.1238" TargetMode="External" /><Relationship Type="http://schemas.openxmlformats.org/officeDocument/2006/relationships/hyperlink" Id="rId4219" Target="https://doi.org/10.1098/rstb.2005.1661" TargetMode="External" /><Relationship Type="http://schemas.openxmlformats.org/officeDocument/2006/relationships/hyperlink" Id="rId3072" Target="https://doi.org/10.1098/rstb.2013.0288" TargetMode="External" /><Relationship Type="http://schemas.openxmlformats.org/officeDocument/2006/relationships/hyperlink" Id="rId3112" Target="https://doi.org/10.1098/rstb.2016.0049" TargetMode="External" /><Relationship Type="http://schemas.openxmlformats.org/officeDocument/2006/relationships/hyperlink" Id="rId5090" Target="https://doi.org/10.1101/2025.09.19.677455" TargetMode="External" /><Relationship Type="http://schemas.openxmlformats.org/officeDocument/2006/relationships/hyperlink" Id="rId5088" Target="https://doi.org/10.1101/2025.11.12.688050" TargetMode="External" /><Relationship Type="http://schemas.openxmlformats.org/officeDocument/2006/relationships/hyperlink" Id="rId3040" Target="https://doi.org/10.1101/cshperspect.a005736" TargetMode="External" /><Relationship Type="http://schemas.openxmlformats.org/officeDocument/2006/relationships/hyperlink" Id="rId3114" Target="https://doi.org/10.1101/cshperspect.a021766" TargetMode="External" /><Relationship Type="http://schemas.openxmlformats.org/officeDocument/2006/relationships/hyperlink" Id="rId3835" Target="https://doi.org/10.1103/RevModPhys.65.413" TargetMode="External" /><Relationship Type="http://schemas.openxmlformats.org/officeDocument/2006/relationships/hyperlink" Id="rId3572" Target="https://doi.org/10.1111/1467-8624.00304" TargetMode="External" /><Relationship Type="http://schemas.openxmlformats.org/officeDocument/2006/relationships/hyperlink" Id="rId3126" Target="https://doi.org/10.1111/1467-8721.00192" TargetMode="External" /><Relationship Type="http://schemas.openxmlformats.org/officeDocument/2006/relationships/hyperlink" Id="rId3586" Target="https://doi.org/10.1111/1467-9280.00211" TargetMode="External" /><Relationship Type="http://schemas.openxmlformats.org/officeDocument/2006/relationships/hyperlink" Id="rId4061" Target="https://doi.org/10.1111/1467-9280.00345" TargetMode="External" /><Relationship Type="http://schemas.openxmlformats.org/officeDocument/2006/relationships/hyperlink" Id="rId3454" Target="https://doi.org/10.1111/1467-9280.02438" TargetMode="External" /><Relationship Type="http://schemas.openxmlformats.org/officeDocument/2006/relationships/hyperlink" Id="rId3128" Target="https://doi.org/10.1111/1467-9280.02453" TargetMode="External" /><Relationship Type="http://schemas.openxmlformats.org/officeDocument/2006/relationships/hyperlink" Id="rId4991" Target="https://doi.org/10.1111/acps.13225" TargetMode="External" /><Relationship Type="http://schemas.openxmlformats.org/officeDocument/2006/relationships/hyperlink" Id="rId3989" Target="https://doi.org/10.1111/cen.12653" TargetMode="External" /><Relationship Type="http://schemas.openxmlformats.org/officeDocument/2006/relationships/hyperlink" Id="rId3450" Target="https://doi.org/10.1111/desc.12372" TargetMode="External" /><Relationship Type="http://schemas.openxmlformats.org/officeDocument/2006/relationships/hyperlink" Id="rId4715" Target="https://doi.org/10.1111/ejn.13895" TargetMode="External" /><Relationship Type="http://schemas.openxmlformats.org/officeDocument/2006/relationships/hyperlink" Id="rId5456" Target="https://doi.org/10.1111/ene.13950" TargetMode="External" /><Relationship Type="http://schemas.openxmlformats.org/officeDocument/2006/relationships/hyperlink" Id="rId5478" Target="https://doi.org/10.1111/epi.12356" TargetMode="External" /><Relationship Type="http://schemas.openxmlformats.org/officeDocument/2006/relationships/hyperlink" Id="rId5619" Target="https://doi.org/10.1111/epi.12550" TargetMode="External" /><Relationship Type="http://schemas.openxmlformats.org/officeDocument/2006/relationships/hyperlink" Id="rId5645" Target="https://doi.org/10.1111/epi.13121" TargetMode="External" /><Relationship Type="http://schemas.openxmlformats.org/officeDocument/2006/relationships/hyperlink" Id="rId5141" Target="https://doi.org/10.1111/epi.17745" TargetMode="External" /><Relationship Type="http://schemas.openxmlformats.org/officeDocument/2006/relationships/hyperlink" Id="rId5621" Target="https://doi.org/10.1111/epi.18338" TargetMode="External" /><Relationship Type="http://schemas.openxmlformats.org/officeDocument/2006/relationships/hyperlink" Id="rId5635" Target="https://doi.org/10.1111/epi.18591" TargetMode="External" /><Relationship Type="http://schemas.openxmlformats.org/officeDocument/2006/relationships/hyperlink" Id="rId5438" Target="https://doi.org/10.1111/head.14692" TargetMode="External" /><Relationship Type="http://schemas.openxmlformats.org/officeDocument/2006/relationships/hyperlink" Id="rId4961" Target="https://doi.org/10.1111/irj.12418" TargetMode="External" /><Relationship Type="http://schemas.openxmlformats.org/officeDocument/2006/relationships/hyperlink" Id="rId4063" Target="https://doi.org/10.1111/j.0956-7976.2004.00711.x" TargetMode="External" /><Relationship Type="http://schemas.openxmlformats.org/officeDocument/2006/relationships/hyperlink" Id="rId4360" Target="https://doi.org/10.1111/j.1365-2826.2012.02303.x" TargetMode="External" /><Relationship Type="http://schemas.openxmlformats.org/officeDocument/2006/relationships/hyperlink" Id="rId3758" Target="https://doi.org/10.1111/j.1460-9568.2008.06525.x" TargetMode="External" /><Relationship Type="http://schemas.openxmlformats.org/officeDocument/2006/relationships/hyperlink" Id="rId3601" Target="https://doi.org/10.1111/j.1460-9568.2011.07980.x" TargetMode="External" /><Relationship Type="http://schemas.openxmlformats.org/officeDocument/2006/relationships/hyperlink" Id="rId3456" Target="https://doi.org/10.1111/j.1467-7687.2010.00962.x" TargetMode="External" /><Relationship Type="http://schemas.openxmlformats.org/officeDocument/2006/relationships/hyperlink" Id="rId3574" Target="https://doi.org/10.1111/j.1467-8624.2007.01018.x" TargetMode="External" /><Relationship Type="http://schemas.openxmlformats.org/officeDocument/2006/relationships/hyperlink" Id="rId3458" Target="https://doi.org/10.1111/j.1467-8624.2007.01131.x" TargetMode="External" /><Relationship Type="http://schemas.openxmlformats.org/officeDocument/2006/relationships/hyperlink" Id="rId3260" Target="https://doi.org/10.1111/j.1467-9280.1991.tb00147.x" TargetMode="External" /><Relationship Type="http://schemas.openxmlformats.org/officeDocument/2006/relationships/hyperlink" Id="rId3098" Target="https://doi.org/10.1111/j.1467-9280.1995.tb00310.x" TargetMode="External" /><Relationship Type="http://schemas.openxmlformats.org/officeDocument/2006/relationships/hyperlink" Id="rId3174" Target="https://doi.org/10.1111/j.1467-9280.2006.01693.x" TargetMode="External" /><Relationship Type="http://schemas.openxmlformats.org/officeDocument/2006/relationships/hyperlink" Id="rId3678" Target="https://doi.org/10.1111/j.1467-9280.2006.01723.x" TargetMode="External" /><Relationship Type="http://schemas.openxmlformats.org/officeDocument/2006/relationships/hyperlink" Id="rId3156" Target="https://doi.org/10.1111/j.1467-9280.2007.01940.x" TargetMode="External" /><Relationship Type="http://schemas.openxmlformats.org/officeDocument/2006/relationships/hyperlink" Id="rId3576" Target="https://doi.org/10.1111/j.1467-9280.2007.01944.x" TargetMode="External" /><Relationship Type="http://schemas.openxmlformats.org/officeDocument/2006/relationships/hyperlink" Id="rId3212" Target="https://doi.org/10.1111/j.1467-9280.2008.02127.x" TargetMode="External" /><Relationship Type="http://schemas.openxmlformats.org/officeDocument/2006/relationships/hyperlink" Id="rId3202" Target="https://doi.org/10.1111/j.1467-9280.2008.02209.x" TargetMode="External" /><Relationship Type="http://schemas.openxmlformats.org/officeDocument/2006/relationships/hyperlink" Id="rId4424" Target="https://doi.org/10.1111/j.1469-8986.1995.tb01213.x" TargetMode="External" /><Relationship Type="http://schemas.openxmlformats.org/officeDocument/2006/relationships/hyperlink" Id="rId4811" Target="https://doi.org/10.1111/j.1469-8986.2008.00666.x" TargetMode="External" /><Relationship Type="http://schemas.openxmlformats.org/officeDocument/2006/relationships/hyperlink" Id="rId2872" Target="https://doi.org/10.1111/j.1471-4159.1977.tb10649.x" TargetMode="External" /><Relationship Type="http://schemas.openxmlformats.org/officeDocument/2006/relationships/hyperlink" Id="rId3899" Target="https://doi.org/10.1111/j.1476-5381.2009.00196.x" TargetMode="External" /><Relationship Type="http://schemas.openxmlformats.org/officeDocument/2006/relationships/hyperlink" Id="rId5639" Target="https://doi.org/10.1111/j.1528-1167.2009.02397.x" TargetMode="External" /><Relationship Type="http://schemas.openxmlformats.org/officeDocument/2006/relationships/hyperlink" Id="rId4055" Target="https://doi.org/10.1111/j.1539-6053.2009.01038.x" TargetMode="External" /><Relationship Type="http://schemas.openxmlformats.org/officeDocument/2006/relationships/hyperlink" Id="rId5364" Target="https://doi.org/10.1111/j.2044-8260.1997.tb01408.x" TargetMode="External" /><Relationship Type="http://schemas.openxmlformats.org/officeDocument/2006/relationships/hyperlink" Id="rId3428" Target="https://doi.org/10.1111/jcpp.14123" TargetMode="External" /><Relationship Type="http://schemas.openxmlformats.org/officeDocument/2006/relationships/hyperlink" Id="rId4077" Target="https://doi.org/10.1111/jgs.12607" TargetMode="External" /><Relationship Type="http://schemas.openxmlformats.org/officeDocument/2006/relationships/hyperlink" Id="rId5490" Target="https://doi.org/10.1111/jsr.14035" TargetMode="External" /><Relationship Type="http://schemas.openxmlformats.org/officeDocument/2006/relationships/hyperlink" Id="rId5050" Target="https://doi.org/10.1111/nyas.12261" TargetMode="External" /><Relationship Type="http://schemas.openxmlformats.org/officeDocument/2006/relationships/hyperlink" Id="rId4241" Target="https://doi.org/10.1111/nyas.12360" TargetMode="External" /><Relationship Type="http://schemas.openxmlformats.org/officeDocument/2006/relationships/hyperlink" Id="rId4787" Target="https://doi.org/10.1111/nyas.12998" TargetMode="External" /><Relationship Type="http://schemas.openxmlformats.org/officeDocument/2006/relationships/hyperlink" Id="rId4937" Target="https://doi.org/10.1111/nyas.13996" TargetMode="External" /><Relationship Type="http://schemas.openxmlformats.org/officeDocument/2006/relationships/hyperlink" Id="rId4717" Target="https://doi.org/10.1111/psyp.12619" TargetMode="External" /><Relationship Type="http://schemas.openxmlformats.org/officeDocument/2006/relationships/hyperlink" Id="rId4817" Target="https://doi.org/10.1111/psyp.12790" TargetMode="External" /><Relationship Type="http://schemas.openxmlformats.org/officeDocument/2006/relationships/hyperlink" Id="rId4843" Target="https://doi.org/10.1111/psyp.12965" TargetMode="External" /><Relationship Type="http://schemas.openxmlformats.org/officeDocument/2006/relationships/hyperlink" Id="rId4754" Target="https://doi.org/10.1111/psyp.13091" TargetMode="External" /><Relationship Type="http://schemas.openxmlformats.org/officeDocument/2006/relationships/hyperlink" Id="rId4813" Target="https://doi.org/10.1111/psyp.13479" TargetMode="External" /><Relationship Type="http://schemas.openxmlformats.org/officeDocument/2006/relationships/hyperlink" Id="rId4448" Target="https://doi.org/10.1111/psyp.13933" TargetMode="External" /><Relationship Type="http://schemas.openxmlformats.org/officeDocument/2006/relationships/hyperlink" Id="rId4476" Target="https://doi.org/10.1111/psyp.14609" TargetMode="External" /><Relationship Type="http://schemas.openxmlformats.org/officeDocument/2006/relationships/hyperlink" Id="rId2667" Target="https://doi.org/10.1113/jphysiol.1949.sp004310" TargetMode="External" /><Relationship Type="http://schemas.openxmlformats.org/officeDocument/2006/relationships/hyperlink" Id="rId2795" Target="https://doi.org/10.1113/jphysiol.1949.sp004335" TargetMode="External" /><Relationship Type="http://schemas.openxmlformats.org/officeDocument/2006/relationships/hyperlink" Id="rId2671" Target="https://doi.org/10.1113/jphysiol.1952.sp004764" TargetMode="External" /><Relationship Type="http://schemas.openxmlformats.org/officeDocument/2006/relationships/hyperlink" Id="rId2701" Target="https://doi.org/10.1113/jphysiol.1954.sp005129" TargetMode="External" /><Relationship Type="http://schemas.openxmlformats.org/officeDocument/2006/relationships/hyperlink" Id="rId2709" Target="https://doi.org/10.1113/jphysiol.1973.sp010273" TargetMode="External" /><Relationship Type="http://schemas.openxmlformats.org/officeDocument/2006/relationships/hyperlink" Id="rId5498" Target="https://doi.org/10.1113/jphysiol.2003.040477" TargetMode="External" /><Relationship Type="http://schemas.openxmlformats.org/officeDocument/2006/relationships/hyperlink" Id="rId4484" Target="https://doi.org/10.1113/jphysiol.2004.063388" TargetMode="External" /><Relationship Type="http://schemas.openxmlformats.org/officeDocument/2006/relationships/hyperlink" Id="rId3837" Target="https://doi.org/10.1117/1.NPh.8.1.012101" TargetMode="External" /><Relationship Type="http://schemas.openxmlformats.org/officeDocument/2006/relationships/hyperlink" Id="rId2753" Target="https://doi.org/10.1124/jpet.113.212407" TargetMode="External" /><Relationship Type="http://schemas.openxmlformats.org/officeDocument/2006/relationships/hyperlink" Id="rId4599" Target="https://doi.org/10.1126/sciadv.1700489" TargetMode="External" /><Relationship Type="http://schemas.openxmlformats.org/officeDocument/2006/relationships/hyperlink" Id="rId4566" Target="https://doi.org/10.1126/sciadv.1700495" TargetMode="External" /><Relationship Type="http://schemas.openxmlformats.org/officeDocument/2006/relationships/hyperlink" Id="rId4432" Target="https://doi.org/10.1126/sciadv.aaq0800" TargetMode="External" /><Relationship Type="http://schemas.openxmlformats.org/officeDocument/2006/relationships/hyperlink" Id="rId4528" Target="https://doi.org/10.1126/sciadv.abk3316" TargetMode="External" /><Relationship Type="http://schemas.openxmlformats.org/officeDocument/2006/relationships/hyperlink" Id="rId4416" Target="https://doi.org/10.1126/science.100883" TargetMode="External" /><Relationship Type="http://schemas.openxmlformats.org/officeDocument/2006/relationships/hyperlink" Id="rId3108" Target="https://doi.org/10.1126/science.1071795" TargetMode="External" /><Relationship Type="http://schemas.openxmlformats.org/officeDocument/2006/relationships/hyperlink" Id="rId4157" Target="https://doi.org/10.1126/science.1089134" TargetMode="External" /><Relationship Type="http://schemas.openxmlformats.org/officeDocument/2006/relationships/hyperlink" Id="rId5414" Target="https://doi.org/10.1126/science.1093065" TargetMode="External" /><Relationship Type="http://schemas.openxmlformats.org/officeDocument/2006/relationships/hyperlink" Id="rId2727" Target="https://doi.org/10.1126/science.1109237" TargetMode="External" /><Relationship Type="http://schemas.openxmlformats.org/officeDocument/2006/relationships/hyperlink" Id="rId2779" Target="https://doi.org/10.1126/science.1110647" TargetMode="External" /><Relationship Type="http://schemas.openxmlformats.org/officeDocument/2006/relationships/hyperlink" Id="rId2649" Target="https://doi.org/10.1126/science.1125456" TargetMode="External" /><Relationship Type="http://schemas.openxmlformats.org/officeDocument/2006/relationships/hyperlink" Id="rId5938" Target="https://doi.org/10.1126/science.1134108" TargetMode="External" /><Relationship Type="http://schemas.openxmlformats.org/officeDocument/2006/relationships/hyperlink" Id="rId3118" Target="https://doi.org/10.1126/science.1135935" TargetMode="External" /><Relationship Type="http://schemas.openxmlformats.org/officeDocument/2006/relationships/hyperlink" Id="rId5934" Target="https://doi.org/10.1126/science.1141448" TargetMode="External" /><Relationship Type="http://schemas.openxmlformats.org/officeDocument/2006/relationships/hyperlink" Id="rId5176" Target="https://doi.org/10.1126/science.1143921" TargetMode="External" /><Relationship Type="http://schemas.openxmlformats.org/officeDocument/2006/relationships/hyperlink" Id="rId3184" Target="https://doi.org/10.1126/science.1152408" TargetMode="External" /><Relationship Type="http://schemas.openxmlformats.org/officeDocument/2006/relationships/hyperlink" Id="rId4081" Target="https://doi.org/10.1126/science.1155466" TargetMode="External" /><Relationship Type="http://schemas.openxmlformats.org/officeDocument/2006/relationships/hyperlink" Id="rId3296" Target="https://doi.org/10.1126/science.1158023" TargetMode="External" /><Relationship Type="http://schemas.openxmlformats.org/officeDocument/2006/relationships/hyperlink" Id="rId3550" Target="https://doi.org/10.1126/science.1166466" TargetMode="External" /><Relationship Type="http://schemas.openxmlformats.org/officeDocument/2006/relationships/hyperlink" Id="rId3140" Target="https://doi.org/10.1126/science.1167975" TargetMode="External" /><Relationship Type="http://schemas.openxmlformats.org/officeDocument/2006/relationships/hyperlink" Id="rId4346" Target="https://doi.org/10.1126/science.1189047" TargetMode="External" /><Relationship Type="http://schemas.openxmlformats.org/officeDocument/2006/relationships/hyperlink" Id="rId5282" Target="https://doi.org/10.1126/science.1190287" TargetMode="External" /><Relationship Type="http://schemas.openxmlformats.org/officeDocument/2006/relationships/hyperlink" Id="rId4601" Target="https://doi.org/10.1126/science.1191883" TargetMode="External" /><Relationship Type="http://schemas.openxmlformats.org/officeDocument/2006/relationships/hyperlink" Id="rId3314" Target="https://doi.org/10.1126/science.1192439" TargetMode="External" /><Relationship Type="http://schemas.openxmlformats.org/officeDocument/2006/relationships/hyperlink" Id="rId3502" Target="https://doi.org/10.1126/science.1192788" TargetMode="External" /><Relationship Type="http://schemas.openxmlformats.org/officeDocument/2006/relationships/hyperlink" Id="rId2924" Target="https://doi.org/10.1126/science.1193270" TargetMode="External" /><Relationship Type="http://schemas.openxmlformats.org/officeDocument/2006/relationships/hyperlink" Id="rId3402" Target="https://doi.org/10.1126/science.1194140" TargetMode="External" /><Relationship Type="http://schemas.openxmlformats.org/officeDocument/2006/relationships/hyperlink" Id="rId2777" Target="https://doi.org/10.1126/science.1194637" TargetMode="External" /><Relationship Type="http://schemas.openxmlformats.org/officeDocument/2006/relationships/hyperlink" Id="rId3194" Target="https://doi.org/10.1126/science.1199327" TargetMode="External" /><Relationship Type="http://schemas.openxmlformats.org/officeDocument/2006/relationships/hyperlink" Id="rId3136" Target="https://doi.org/10.1126/science.1231357" TargetMode="External" /><Relationship Type="http://schemas.openxmlformats.org/officeDocument/2006/relationships/hyperlink" Id="rId5336" Target="https://doi.org/10.1126/science.1232380" TargetMode="External" /><Relationship Type="http://schemas.openxmlformats.org/officeDocument/2006/relationships/hyperlink" Id="rId5950" Target="https://doi.org/10.1126/science.1232927" TargetMode="External" /><Relationship Type="http://schemas.openxmlformats.org/officeDocument/2006/relationships/hyperlink" Id="rId5334" Target="https://doi.org/10.1126/science.1234733" TargetMode="External" /><Relationship Type="http://schemas.openxmlformats.org/officeDocument/2006/relationships/hyperlink" Id="rId3708" Target="https://doi.org/10.1126/science.1241224" TargetMode="External" /><Relationship Type="http://schemas.openxmlformats.org/officeDocument/2006/relationships/hyperlink" Id="rId2797" Target="https://doi.org/10.1126/science.1249766" TargetMode="External" /><Relationship Type="http://schemas.openxmlformats.org/officeDocument/2006/relationships/hyperlink" Id="rId2801" Target="https://doi.org/10.1126/science.1252304" TargetMode="External" /><Relationship Type="http://schemas.openxmlformats.org/officeDocument/2006/relationships/hyperlink" Id="rId2803" Target="https://doi.org/10.1126/science.1254960" TargetMode="External" /><Relationship Type="http://schemas.openxmlformats.org/officeDocument/2006/relationships/hyperlink" Id="rId4049" Target="https://doi.org/10.1126/science.1255514" TargetMode="External" /><Relationship Type="http://schemas.openxmlformats.org/officeDocument/2006/relationships/hyperlink" Id="rId4404" Target="https://doi.org/10.1126/science.1683005" TargetMode="External" /><Relationship Type="http://schemas.openxmlformats.org/officeDocument/2006/relationships/hyperlink" Id="rId3560" Target="https://doi.org/10.1126/science.171.3972.701" TargetMode="External" /><Relationship Type="http://schemas.openxmlformats.org/officeDocument/2006/relationships/hyperlink" Id="rId2986" Target="https://doi.org/10.1126/science.2035024" TargetMode="External" /><Relationship Type="http://schemas.openxmlformats.org/officeDocument/2006/relationships/hyperlink" Id="rId3912" Target="https://doi.org/10.1126/science.250.4978.303-b" TargetMode="External" /><Relationship Type="http://schemas.openxmlformats.org/officeDocument/2006/relationships/hyperlink" Id="rId5796" Target="https://doi.org/10.1126/science.272.5269.1791" TargetMode="External" /><Relationship Type="http://schemas.openxmlformats.org/officeDocument/2006/relationships/hyperlink" Id="rId3100" Target="https://doi.org/10.1126/science.273.5280.1399" TargetMode="External" /><Relationship Type="http://schemas.openxmlformats.org/officeDocument/2006/relationships/hyperlink" Id="rId2982" Target="https://doi.org/10.1126/science.274.5290.1123" TargetMode="External" /><Relationship Type="http://schemas.openxmlformats.org/officeDocument/2006/relationships/hyperlink" Id="rId3672" Target="https://doi.org/10.1126/science.275.5304.1293" TargetMode="External" /><Relationship Type="http://schemas.openxmlformats.org/officeDocument/2006/relationships/hyperlink" Id="rId3611" Target="https://doi.org/10.1126/science.275.5306.1593" TargetMode="External" /><Relationship Type="http://schemas.openxmlformats.org/officeDocument/2006/relationships/hyperlink" Id="rId4155" Target="https://doi.org/10.1126/science.277.5328.968" TargetMode="External" /><Relationship Type="http://schemas.openxmlformats.org/officeDocument/2006/relationships/hyperlink" Id="rId2980" Target="https://doi.org/10.1126/science.278.5337.474" TargetMode="External" /><Relationship Type="http://schemas.openxmlformats.org/officeDocument/2006/relationships/hyperlink" Id="rId2725" Target="https://doi.org/10.1126/science.294.5544.1024" TargetMode="External" /><Relationship Type="http://schemas.openxmlformats.org/officeDocument/2006/relationships/hyperlink" Id="rId5851" Target="https://doi.org/10.1126/science.3749885" TargetMode="External" /><Relationship Type="http://schemas.openxmlformats.org/officeDocument/2006/relationships/hyperlink" Id="rId3158" Target="https://doi.org/10.1126/science.7375930" TargetMode="External" /><Relationship Type="http://schemas.openxmlformats.org/officeDocument/2006/relationships/hyperlink" Id="rId3096" Target="https://doi.org/10.1126/science.7414331" TargetMode="External" /><Relationship Type="http://schemas.openxmlformats.org/officeDocument/2006/relationships/hyperlink" Id="rId3385" Target="https://doi.org/10.1126/science.7569931" TargetMode="External" /><Relationship Type="http://schemas.openxmlformats.org/officeDocument/2006/relationships/hyperlink" Id="rId4785" Target="https://doi.org/10.1126/science.7605428" TargetMode="External" /><Relationship Type="http://schemas.openxmlformats.org/officeDocument/2006/relationships/hyperlink" Id="rId4410" Target="https://doi.org/10.1126/science.7624777" TargetMode="External" /><Relationship Type="http://schemas.openxmlformats.org/officeDocument/2006/relationships/hyperlink" Id="rId4095" Target="https://doi.org/10.1126/science.7652558" TargetMode="External" /><Relationship Type="http://schemas.openxmlformats.org/officeDocument/2006/relationships/hyperlink" Id="rId4022" Target="https://doi.org/10.1126/science.8178168" TargetMode="External" /><Relationship Type="http://schemas.openxmlformats.org/officeDocument/2006/relationships/hyperlink" Id="rId2637" Target="https://doi.org/10.1126/science.aaa1975" TargetMode="External" /><Relationship Type="http://schemas.openxmlformats.org/officeDocument/2006/relationships/hyperlink" Id="rId3000" Target="https://doi.org/10.1126/science.aaa6090" TargetMode="External" /><Relationship Type="http://schemas.openxmlformats.org/officeDocument/2006/relationships/hyperlink" Id="rId2886" Target="https://doi.org/10.1126/science.aad8373" TargetMode="External" /><Relationship Type="http://schemas.openxmlformats.org/officeDocument/2006/relationships/hyperlink" Id="rId3564" Target="https://doi.org/10.1126/science.aaf0941" TargetMode="External" /><Relationship Type="http://schemas.openxmlformats.org/officeDocument/2006/relationships/hyperlink" Id="rId3004" Target="https://doi.org/10.1126/science.aaf2403" TargetMode="External" /><Relationship Type="http://schemas.openxmlformats.org/officeDocument/2006/relationships/hyperlink" Id="rId3302" Target="https://doi.org/10.1126/science.aah7011" TargetMode="External" /><Relationship Type="http://schemas.openxmlformats.org/officeDocument/2006/relationships/hyperlink" Id="rId4474" Target="https://doi.org/10.1126/science.aai7984" TargetMode="External" /><Relationship Type="http://schemas.openxmlformats.org/officeDocument/2006/relationships/hyperlink" Id="rId3851" Target="https://doi.org/10.1126/science.aan2475" TargetMode="External" /><Relationship Type="http://schemas.openxmlformats.org/officeDocument/2006/relationships/hyperlink" Id="rId5370" Target="https://doi.org/10.1126/science.aan3458" TargetMode="External" /><Relationship Type="http://schemas.openxmlformats.org/officeDocument/2006/relationships/hyperlink" Id="rId5204" Target="https://doi.org/10.1126/science.aan6877" TargetMode="External" /><Relationship Type="http://schemas.openxmlformats.org/officeDocument/2006/relationships/hyperlink" Id="rId2940" Target="https://doi.org/10.1126/science.aao3264" TargetMode="External" /><Relationship Type="http://schemas.openxmlformats.org/officeDocument/2006/relationships/hyperlink" Id="rId5115" Target="https://doi.org/10.1126/science.aap8809" TargetMode="External" /><Relationship Type="http://schemas.openxmlformats.org/officeDocument/2006/relationships/hyperlink" Id="rId5194" Target="https://doi.org/10.1126/science.aar2578" TargetMode="External" /><Relationship Type="http://schemas.openxmlformats.org/officeDocument/2006/relationships/hyperlink" Id="rId2631" Target="https://doi.org/10.1126/science.aar4237" TargetMode="External" /><Relationship Type="http://schemas.openxmlformats.org/officeDocument/2006/relationships/hyperlink" Id="rId4291" Target="https://doi.org/10.1126/science.aat4422" TargetMode="External" /><Relationship Type="http://schemas.openxmlformats.org/officeDocument/2006/relationships/hyperlink" Id="rId4490" Target="https://doi.org/10.1126/science.aat5236" TargetMode="External" /><Relationship Type="http://schemas.openxmlformats.org/officeDocument/2006/relationships/hyperlink" Id="rId3002" Target="https://doi.org/10.1126/science.aat5691" TargetMode="External" /><Relationship Type="http://schemas.openxmlformats.org/officeDocument/2006/relationships/hyperlink" Id="rId2659" Target="https://doi.org/10.1126/science.aat5994" TargetMode="External" /><Relationship Type="http://schemas.openxmlformats.org/officeDocument/2006/relationships/hyperlink" Id="rId4402" Target="https://doi.org/10.1126/science.aau6324" TargetMode="External" /><Relationship Type="http://schemas.openxmlformats.org/officeDocument/2006/relationships/hyperlink" Id="rId5861" Target="https://doi.org/10.1126/science.aav7893" TargetMode="External" /><Relationship Type="http://schemas.openxmlformats.org/officeDocument/2006/relationships/hyperlink" Id="rId2833" Target="https://doi.org/10.1126/science.aax5440" TargetMode="External" /><Relationship Type="http://schemas.openxmlformats.org/officeDocument/2006/relationships/hyperlink" Id="rId3845" Target="https://doi.org/10.1126/science.abf4588" TargetMode="External" /><Relationship Type="http://schemas.openxmlformats.org/officeDocument/2006/relationships/hyperlink" Id="rId5607" Target="https://doi.org/10.1126/science.abj8222" TargetMode="External" /><Relationship Type="http://schemas.openxmlformats.org/officeDocument/2006/relationships/hyperlink" Id="rId4287" Target="https://doi.org/10.1126/science.abq6740" TargetMode="External" /><Relationship Type="http://schemas.openxmlformats.org/officeDocument/2006/relationships/hyperlink" Id="rId2763" Target="https://doi.org/10.1126/science.add7046" TargetMode="External" /><Relationship Type="http://schemas.openxmlformats.org/officeDocument/2006/relationships/hyperlink" Id="rId2647" Target="https://doi.org/10.1126/science.ade9516" TargetMode="External" /><Relationship Type="http://schemas.openxmlformats.org/officeDocument/2006/relationships/hyperlink" Id="rId3016" Target="https://doi.org/10.1126/science.adk4858" TargetMode="External" /><Relationship Type="http://schemas.openxmlformats.org/officeDocument/2006/relationships/hyperlink" Id="rId3917" Target="https://doi.org/10.1126/science.adp5182" TargetMode="External" /><Relationship Type="http://schemas.openxmlformats.org/officeDocument/2006/relationships/hyperlink" Id="rId3064" Target="https://doi.org/10.1126/science.adu9575" TargetMode="External" /><Relationship Type="http://schemas.openxmlformats.org/officeDocument/2006/relationships/hyperlink" Id="rId2751" Target="https://doi.org/10.1126/scitranslmed.3002230" TargetMode="External" /><Relationship Type="http://schemas.openxmlformats.org/officeDocument/2006/relationships/hyperlink" Id="rId2831" Target="https://doi.org/10.1126/scitranslmed.3003748" TargetMode="External" /><Relationship Type="http://schemas.openxmlformats.org/officeDocument/2006/relationships/hyperlink" Id="rId5838" Target="https://doi.org/10.1126/scitranslmed.3006294" TargetMode="External" /><Relationship Type="http://schemas.openxmlformats.org/officeDocument/2006/relationships/hyperlink" Id="rId5726" Target="https://doi.org/10.1136/bjsports-2023-106898" TargetMode="External" /><Relationship Type="http://schemas.openxmlformats.org/officeDocument/2006/relationships/hyperlink" Id="rId5250" Target="https://doi.org/10.1136/bmj-2023-076733" TargetMode="External" /><Relationship Type="http://schemas.openxmlformats.org/officeDocument/2006/relationships/hyperlink" Id="rId3831" Target="https://doi.org/10.1136/bmj-2023-078378" TargetMode="External" /><Relationship Type="http://schemas.openxmlformats.org/officeDocument/2006/relationships/hyperlink" Id="rId3819" Target="https://doi.org/10.1136/bmj-2024-081123" TargetMode="External" /><Relationship Type="http://schemas.openxmlformats.org/officeDocument/2006/relationships/hyperlink" Id="rId3833" Target="https://doi.org/10.1136/bmj-2024-082505" TargetMode="External" /><Relationship Type="http://schemas.openxmlformats.org/officeDocument/2006/relationships/hyperlink" Id="rId3825" Target="https://doi.org/10.1136/bmj.i4919" TargetMode="External" /><Relationship Type="http://schemas.openxmlformats.org/officeDocument/2006/relationships/hyperlink" Id="rId3823" Target="https://doi.org/10.1136/bmj.l4898" TargetMode="External" /><Relationship Type="http://schemas.openxmlformats.org/officeDocument/2006/relationships/hyperlink" Id="rId3821" Target="https://doi.org/10.1136/bmj.n71" TargetMode="External" /><Relationship Type="http://schemas.openxmlformats.org/officeDocument/2006/relationships/hyperlink" Id="rId5468" Target="https://doi.org/10.1136/bmj.o64" TargetMode="External" /><Relationship Type="http://schemas.openxmlformats.org/officeDocument/2006/relationships/hyperlink" Id="rId4568" Target="https://doi.org/10.1136/ebmental-2021-300396" TargetMode="External" /><Relationship Type="http://schemas.openxmlformats.org/officeDocument/2006/relationships/hyperlink" Id="rId4951" Target="https://doi.org/10.1136/ebmental-2022-300439" TargetMode="External" /><Relationship Type="http://schemas.openxmlformats.org/officeDocument/2006/relationships/hyperlink" Id="rId4953" Target="https://doi.org/10.1136/ebmental-2022-300464" TargetMode="External" /><Relationship Type="http://schemas.openxmlformats.org/officeDocument/2006/relationships/hyperlink" Id="rId4723" Target="https://doi.org/10.1136/gpsych-2022-100893" TargetMode="External" /><Relationship Type="http://schemas.openxmlformats.org/officeDocument/2006/relationships/hyperlink" Id="rId5484" Target="https://doi.org/10.1136/jnnp-2014-309255" TargetMode="External" /><Relationship Type="http://schemas.openxmlformats.org/officeDocument/2006/relationships/hyperlink" Id="rId5593" Target="https://doi.org/10.1136/jnnp-2020-325300" TargetMode="External" /><Relationship Type="http://schemas.openxmlformats.org/officeDocument/2006/relationships/hyperlink" Id="rId3094" Target="https://doi.org/10.1136/jnnp.20.1.11" TargetMode="External" /><Relationship Type="http://schemas.openxmlformats.org/officeDocument/2006/relationships/hyperlink" Id="rId3500" Target="https://doi.org/10.1146/annurev-linguistics-011724-121432" TargetMode="External" /><Relationship Type="http://schemas.openxmlformats.org/officeDocument/2006/relationships/hyperlink" Id="rId3387" Target="https://doi.org/10.1146/annurev-neuro-060909-153135" TargetMode="External" /><Relationship Type="http://schemas.openxmlformats.org/officeDocument/2006/relationships/hyperlink" Id="rId4267" Target="https://doi.org/10.1146/annurev-neuro-062111-150525" TargetMode="External" /><Relationship Type="http://schemas.openxmlformats.org/officeDocument/2006/relationships/hyperlink" Id="rId3670" Target="https://doi.org/10.1146/annurev-neuro-071013-014119" TargetMode="External" /><Relationship Type="http://schemas.openxmlformats.org/officeDocument/2006/relationships/hyperlink" Id="rId2968" Target="https://doi.org/10.1146/annurev-neuro-080317-061948" TargetMode="External" /><Relationship Type="http://schemas.openxmlformats.org/officeDocument/2006/relationships/hyperlink" Id="rId3358" Target="https://doi.org/10.1146/annurev-neuro-102124-031410" TargetMode="External" /><Relationship Type="http://schemas.openxmlformats.org/officeDocument/2006/relationships/hyperlink" Id="rId3050" Target="https://doi.org/10.1146/annurev-psych-010814-015104" TargetMode="External" /><Relationship Type="http://schemas.openxmlformats.org/officeDocument/2006/relationships/hyperlink" Id="rId3332" Target="https://doi.org/10.1146/annurev-psych-010814-015331" TargetMode="External" /><Relationship Type="http://schemas.openxmlformats.org/officeDocument/2006/relationships/hyperlink" Id="rId3280" Target="https://doi.org/10.1146/annurev-psych-113011-143823" TargetMode="External" /><Relationship Type="http://schemas.openxmlformats.org/officeDocument/2006/relationships/hyperlink" Id="rId3603" Target="https://doi.org/10.1146/annurev-psych-122414-033625" TargetMode="External" /><Relationship Type="http://schemas.openxmlformats.org/officeDocument/2006/relationships/hyperlink" Id="rId3859" Target="https://doi.org/10.1146/annurev-publhealth-032315-021402" TargetMode="External" /><Relationship Type="http://schemas.openxmlformats.org/officeDocument/2006/relationships/hyperlink" Id="rId4275" Target="https://doi.org/10.1146/annurev.med.60.042307.110802" TargetMode="External" /><Relationship Type="http://schemas.openxmlformats.org/officeDocument/2006/relationships/hyperlink" Id="rId3444" Target="https://doi.org/10.1146/annurev.neuro.051508.135550" TargetMode="External" /><Relationship Type="http://schemas.openxmlformats.org/officeDocument/2006/relationships/hyperlink" Id="rId4051" Target="https://doi.org/10.1146/annurev.neuro.24.1.167" TargetMode="External" /><Relationship Type="http://schemas.openxmlformats.org/officeDocument/2006/relationships/hyperlink" Id="rId4324" Target="https://doi.org/10.1146/annurev.neuro.28.061604.135709" TargetMode="External" /><Relationship Type="http://schemas.openxmlformats.org/officeDocument/2006/relationships/hyperlink" Id="rId3955" Target="https://doi.org/10.1146/annurev.neuro.29.051605.112819" TargetMode="External" /><Relationship Type="http://schemas.openxmlformats.org/officeDocument/2006/relationships/hyperlink" Id="rId4203" Target="https://doi.org/10.1146/annurev.neuro.29.051605.112851" TargetMode="External" /><Relationship Type="http://schemas.openxmlformats.org/officeDocument/2006/relationships/hyperlink" Id="rId3552" Target="https://doi.org/10.1146/annurev.neuro.31.061307.090723" TargetMode="External" /><Relationship Type="http://schemas.openxmlformats.org/officeDocument/2006/relationships/hyperlink" Id="rId2707" Target="https://doi.org/10.1146/annurev.physiol.64.092501.114547" TargetMode="External" /><Relationship Type="http://schemas.openxmlformats.org/officeDocument/2006/relationships/hyperlink" Id="rId3593" Target="https://doi.org/10.1146/annurev.psych.121208.131647" TargetMode="External" /><Relationship Type="http://schemas.openxmlformats.org/officeDocument/2006/relationships/hyperlink" Id="rId3092" Target="https://doi.org/10.1146/annurev.psych.53.100901.135114" TargetMode="External" /><Relationship Type="http://schemas.openxmlformats.org/officeDocument/2006/relationships/hyperlink" Id="rId3346" Target="https://doi.org/10.1146/annurev.psych.55.090902.142005" TargetMode="External" /><Relationship Type="http://schemas.openxmlformats.org/officeDocument/2006/relationships/hyperlink" Id="rId3492" Target="https://doi.org/10.1146/annurev.psych.59.103006.093639" TargetMode="External" /><Relationship Type="http://schemas.openxmlformats.org/officeDocument/2006/relationships/hyperlink" Id="rId3306" Target="https://doi.org/10.1152/advan.00109.2016" TargetMode="External" /><Relationship Type="http://schemas.openxmlformats.org/officeDocument/2006/relationships/hyperlink" Id="rId2950" Target="https://doi.org/10.1152/jn.1965.28.3.560" TargetMode="External" /><Relationship Type="http://schemas.openxmlformats.org/officeDocument/2006/relationships/hyperlink" Id="rId4265" Target="https://doi.org/10.1152/jn.90355.2008" TargetMode="External" /><Relationship Type="http://schemas.openxmlformats.org/officeDocument/2006/relationships/hyperlink" Id="rId4482" Target="https://doi.org/10.1152/physrev.00018.2018" TargetMode="External" /><Relationship Type="http://schemas.openxmlformats.org/officeDocument/2006/relationships/hyperlink" Id="rId2673" Target="https://doi.org/10.1152/physrev.00025.2021" TargetMode="External" /><Relationship Type="http://schemas.openxmlformats.org/officeDocument/2006/relationships/hyperlink" Id="rId4356" Target="https://doi.org/10.1152/physrev.00031.2017" TargetMode="External" /><Relationship Type="http://schemas.openxmlformats.org/officeDocument/2006/relationships/hyperlink" Id="rId3204" Target="https://doi.org/10.1152/physrev.00032.2012" TargetMode="External" /><Relationship Type="http://schemas.openxmlformats.org/officeDocument/2006/relationships/hyperlink" Id="rId2844" Target="https://doi.org/10.1152/physrev.00062.2017" TargetMode="External" /><Relationship Type="http://schemas.openxmlformats.org/officeDocument/2006/relationships/hyperlink" Id="rId4645" Target="https://doi.org/10.1155/2013/653572" TargetMode="External" /><Relationship Type="http://schemas.openxmlformats.org/officeDocument/2006/relationships/hyperlink" Id="rId4669" Target="https://doi.org/10.1155/2015/419808" TargetMode="External" /><Relationship Type="http://schemas.openxmlformats.org/officeDocument/2006/relationships/hyperlink" Id="rId4837" Target="https://doi.org/10.1159/000350949" TargetMode="External" /><Relationship Type="http://schemas.openxmlformats.org/officeDocument/2006/relationships/hyperlink" Id="rId5246" Target="https://doi.org/10.1159/000523723" TargetMode="External" /><Relationship Type="http://schemas.openxmlformats.org/officeDocument/2006/relationships/hyperlink" Id="rId4897" Target="https://doi.org/10.1159/000552831" TargetMode="External" /><Relationship Type="http://schemas.openxmlformats.org/officeDocument/2006/relationships/hyperlink" Id="rId5683" Target="https://doi.org/10.1161/STR.0000000000000375" TargetMode="External" /><Relationship Type="http://schemas.openxmlformats.org/officeDocument/2006/relationships/hyperlink" Id="rId5657" Target="https://doi.org/10.1161/STR.0000000000000407" TargetMode="External" /><Relationship Type="http://schemas.openxmlformats.org/officeDocument/2006/relationships/hyperlink" Id="rId5665" Target="https://doi.org/10.1161/STR.0000000000000418" TargetMode="External" /><Relationship Type="http://schemas.openxmlformats.org/officeDocument/2006/relationships/hyperlink" Id="rId5669" Target="https://doi.org/10.1161/STR.0000000000000430" TargetMode="External" /><Relationship Type="http://schemas.openxmlformats.org/officeDocument/2006/relationships/hyperlink" Id="rId5659" Target="https://doi.org/10.1161/STR.0000000000000436" TargetMode="External" /><Relationship Type="http://schemas.openxmlformats.org/officeDocument/2006/relationships/hyperlink" Id="rId5661" Target="https://doi.org/10.1161/STR.0000000000000456" TargetMode="External" /><Relationship Type="http://schemas.openxmlformats.org/officeDocument/2006/relationships/hyperlink" Id="rId5654" Target="https://doi.org/10.1161/STR.0000000000000513" TargetMode="External" /><Relationship Type="http://schemas.openxmlformats.org/officeDocument/2006/relationships/hyperlink" Id="rId5655" Target="https://doi.org/10.1161/STR.0000000000000530" TargetMode="External" /><Relationship Type="http://schemas.openxmlformats.org/officeDocument/2006/relationships/hyperlink" Id="rId3895" Target="https://doi.org/10.1161/STROKEAHA.107.503334" TargetMode="External" /><Relationship Type="http://schemas.openxmlformats.org/officeDocument/2006/relationships/hyperlink" Id="rId3897" Target="https://doi.org/10.1161/STROKEAHA.108.515957" TargetMode="External" /><Relationship Type="http://schemas.openxmlformats.org/officeDocument/2006/relationships/hyperlink" Id="rId5802" Target="https://doi.org/10.1161/STROKEAHA.110.582197" TargetMode="External" /><Relationship Type="http://schemas.openxmlformats.org/officeDocument/2006/relationships/hyperlink" Id="rId4941" Target="https://doi.org/10.1161/jaha.117.002218" TargetMode="External" /><Relationship Type="http://schemas.openxmlformats.org/officeDocument/2006/relationships/hyperlink" Id="rId4947" Target="https://doi.org/10.1161/jaha.122.028712" TargetMode="External" /><Relationship Type="http://schemas.openxmlformats.org/officeDocument/2006/relationships/hyperlink" Id="rId3308" Target="https://doi.org/10.1162/089892902317361886" TargetMode="External" /><Relationship Type="http://schemas.openxmlformats.org/officeDocument/2006/relationships/hyperlink" Id="rId3048" Target="https://doi.org/10.1162/0898929042304796" TargetMode="External" /><Relationship Type="http://schemas.openxmlformats.org/officeDocument/2006/relationships/hyperlink" Id="rId4835" Target="https://doi.org/10.1162/imag.a.1145" TargetMode="External" /><Relationship Type="http://schemas.openxmlformats.org/officeDocument/2006/relationships/hyperlink" Id="rId4851" Target="https://doi.org/10.1162/imag_a_00396" TargetMode="External" /><Relationship Type="http://schemas.openxmlformats.org/officeDocument/2006/relationships/hyperlink" Id="rId4235" Target="https://doi.org/10.1162/jocn.1997.9.5.648" TargetMode="External" /><Relationship Type="http://schemas.openxmlformats.org/officeDocument/2006/relationships/hyperlink" Id="rId3797" Target="https://doi.org/10.1162/jocn.2008.20040" TargetMode="External" /><Relationship Type="http://schemas.openxmlformats.org/officeDocument/2006/relationships/hyperlink" Id="rId3961" Target="https://doi.org/10.1162/jocn.2009.21189" TargetMode="External" /><Relationship Type="http://schemas.openxmlformats.org/officeDocument/2006/relationships/hyperlink" Id="rId4135" Target="https://doi.org/10.1162/jocn_a_00233" TargetMode="External" /><Relationship Type="http://schemas.openxmlformats.org/officeDocument/2006/relationships/hyperlink" Id="rId3901" Target="https://doi.org/10.1162/jocn_a_00750" TargetMode="External" /><Relationship Type="http://schemas.openxmlformats.org/officeDocument/2006/relationships/hyperlink" Id="rId3730" Target="https://doi.org/10.1162/jocn_a_02009" TargetMode="External" /><Relationship Type="http://schemas.openxmlformats.org/officeDocument/2006/relationships/hyperlink" Id="rId4689" Target="https://doi.org/10.1162/jocn_a_02230" TargetMode="External" /><Relationship Type="http://schemas.openxmlformats.org/officeDocument/2006/relationships/hyperlink" Id="rId3629" Target="https://doi.org/10.1162/neco.1993.5.4.613" TargetMode="External" /><Relationship Type="http://schemas.openxmlformats.org/officeDocument/2006/relationships/hyperlink" Id="rId3655" Target="https://doi.org/10.1162/neco.2008.12-06-420" TargetMode="External" /><Relationship Type="http://schemas.openxmlformats.org/officeDocument/2006/relationships/hyperlink" Id="rId4450" Target="https://doi.org/10.1164/rccm.200202-138bc" TargetMode="External" /><Relationship Type="http://schemas.openxmlformats.org/officeDocument/2006/relationships/hyperlink" Id="rId5502" Target="https://doi.org/10.1164/rccm.201303-0448OC" TargetMode="External" /><Relationship Type="http://schemas.openxmlformats.org/officeDocument/2006/relationships/hyperlink" Id="rId2866" Target="https://doi.org/10.1172/JCI105650" TargetMode="External" /><Relationship Type="http://schemas.openxmlformats.org/officeDocument/2006/relationships/hyperlink" Id="rId5266" Target="https://doi.org/10.1176/appi.ajp.157.10.1552" TargetMode="External" /><Relationship Type="http://schemas.openxmlformats.org/officeDocument/2006/relationships/hyperlink" Id="rId5386" Target="https://doi.org/10.1176/appi.ajp.158.12.2069" TargetMode="External" /><Relationship Type="http://schemas.openxmlformats.org/officeDocument/2006/relationships/hyperlink" Id="rId2737" Target="https://doi.org/10.1176/appi.ajp.161.5.826" TargetMode="External" /><Relationship Type="http://schemas.openxmlformats.org/officeDocument/2006/relationships/hyperlink" Id="rId4091" Target="https://doi.org/10.1176/appi.ajp.162.7.1256" TargetMode="External" /><Relationship Type="http://schemas.openxmlformats.org/officeDocument/2006/relationships/hyperlink" Id="rId5332" Target="https://doi.org/10.1176/appi.ajp.2011.10071062" TargetMode="External" /><Relationship Type="http://schemas.openxmlformats.org/officeDocument/2006/relationships/hyperlink" Id="rId5408" Target="https://doi.org/10.1176/appi.ajp.2015.15050632" TargetMode="External" /><Relationship Type="http://schemas.openxmlformats.org/officeDocument/2006/relationships/hyperlink" Id="rId3984" Target="https://doi.org/10.1176/appi.ajp.2016.16030353" TargetMode="External" /><Relationship Type="http://schemas.openxmlformats.org/officeDocument/2006/relationships/hyperlink" Id="rId5346" Target="https://doi.org/10.1176/appi.ajp.2019.18101180" TargetMode="External" /><Relationship Type="http://schemas.openxmlformats.org/officeDocument/2006/relationships/hyperlink" Id="rId5372" Target="https://doi.org/10.1176/appi.ajp.2020.177901" TargetMode="External" /><Relationship Type="http://schemas.openxmlformats.org/officeDocument/2006/relationships/hyperlink" Id="rId5306" Target="https://doi.org/10.1176/appi.ajp.20220785" TargetMode="External" /><Relationship Type="http://schemas.openxmlformats.org/officeDocument/2006/relationships/hyperlink" Id="rId4927" Target="https://doi.org/10.1176/appi.ajp.20230272" TargetMode="External" /><Relationship Type="http://schemas.openxmlformats.org/officeDocument/2006/relationships/hyperlink" Id="rId4612" Target="https://doi.org/10.1176/appi.ajp.21020145" TargetMode="External" /><Relationship Type="http://schemas.openxmlformats.org/officeDocument/2006/relationships/hyperlink" Id="rId4611" Target="https://doi.org/10.1176/appi.ajp.21020145correction" TargetMode="External" /><Relationship Type="http://schemas.openxmlformats.org/officeDocument/2006/relationships/hyperlink" Id="rId5280" Target="https://doi.org/10.1176/appi.focus.20230009" TargetMode="External" /><Relationship Type="http://schemas.openxmlformats.org/officeDocument/2006/relationships/hyperlink" Id="rId4971" Target="https://doi.org/10.1177/0146167219900418" TargetMode="External" /><Relationship Type="http://schemas.openxmlformats.org/officeDocument/2006/relationships/hyperlink" Id="rId4229" Target="https://doi.org/10.1177/0269881117736919" TargetMode="External" /><Relationship Type="http://schemas.openxmlformats.org/officeDocument/2006/relationships/hyperlink" Id="rId5380" Target="https://doi.org/10.1177/02698811231158232" TargetMode="External" /><Relationship Type="http://schemas.openxmlformats.org/officeDocument/2006/relationships/hyperlink" Id="rId4310" Target="https://doi.org/10.1177/02698811231161813" TargetMode="External" /><Relationship Type="http://schemas.openxmlformats.org/officeDocument/2006/relationships/hyperlink" Id="rId3873" Target="https://doi.org/10.1177/0272989X06295361" TargetMode="External" /><Relationship Type="http://schemas.openxmlformats.org/officeDocument/2006/relationships/hyperlink" Id="rId5426" Target="https://doi.org/10.1177/0333102417738202" TargetMode="External" /><Relationship Type="http://schemas.openxmlformats.org/officeDocument/2006/relationships/hyperlink" Id="rId5452" Target="https://doi.org/10.1177/0333102420905321" TargetMode="External" /><Relationship Type="http://schemas.openxmlformats.org/officeDocument/2006/relationships/hyperlink" Id="rId5442" Target="https://doi.org/10.1177/03331024211053571" TargetMode="External" /><Relationship Type="http://schemas.openxmlformats.org/officeDocument/2006/relationships/hyperlink" Id="rId3422" Target="https://doi.org/10.1177/0956797610375449" TargetMode="External" /><Relationship Type="http://schemas.openxmlformats.org/officeDocument/2006/relationships/hyperlink" Id="rId3815" Target="https://doi.org/10.1177/0956797611417632" TargetMode="External" /><Relationship Type="http://schemas.openxmlformats.org/officeDocument/2006/relationships/hyperlink" Id="rId3464" Target="https://doi.org/10.1177/0956797612440101" TargetMode="External" /><Relationship Type="http://schemas.openxmlformats.org/officeDocument/2006/relationships/hyperlink" Id="rId3326" Target="https://doi.org/10.1177/0956797612446024" TargetMode="External" /><Relationship Type="http://schemas.openxmlformats.org/officeDocument/2006/relationships/hyperlink" Id="rId4679" Target="https://doi.org/10.1177/0956797612459659" TargetMode="External" /><Relationship Type="http://schemas.openxmlformats.org/officeDocument/2006/relationships/hyperlink" Id="rId5058" Target="https://doi.org/10.1177/0956797612469537" TargetMode="External" /><Relationship Type="http://schemas.openxmlformats.org/officeDocument/2006/relationships/hyperlink" Id="rId3434" Target="https://doi.org/10.1177/0956797614557866" TargetMode="External" /><Relationship Type="http://schemas.openxmlformats.org/officeDocument/2006/relationships/hyperlink" Id="rId5174" Target="https://doi.org/10.1177/0956797615627625" TargetMode="External" /><Relationship Type="http://schemas.openxmlformats.org/officeDocument/2006/relationships/hyperlink" Id="rId4016" Target="https://doi.org/10.1177/0956797616654911" TargetMode="External" /><Relationship Type="http://schemas.openxmlformats.org/officeDocument/2006/relationships/hyperlink" Id="rId3635" Target="https://doi.org/10.1177/0956797617708288" TargetMode="External" /><Relationship Type="http://schemas.openxmlformats.org/officeDocument/2006/relationships/hyperlink" Id="rId4004" Target="https://doi.org/10.1177/0956797618761661" TargetMode="External" /><Relationship Type="http://schemas.openxmlformats.org/officeDocument/2006/relationships/hyperlink" Id="rId5202" Target="https://doi.org/10.1177/0956797618774253" TargetMode="External" /><Relationship Type="http://schemas.openxmlformats.org/officeDocument/2006/relationships/hyperlink" Id="rId3766" Target="https://doi.org/10.1177/0956797620916786" TargetMode="External" /><Relationship Type="http://schemas.openxmlformats.org/officeDocument/2006/relationships/hyperlink" Id="rId4012" Target="https://doi.org/10.1177/0956797621989733" TargetMode="External" /><Relationship Type="http://schemas.openxmlformats.org/officeDocument/2006/relationships/hyperlink" Id="rId5466" Target="https://doi.org/10.1177/09574271261468395" TargetMode="External" /><Relationship Type="http://schemas.openxmlformats.org/officeDocument/2006/relationships/hyperlink" Id="rId3801" Target="https://doi.org/10.1177/09636625231205005" TargetMode="External" /><Relationship Type="http://schemas.openxmlformats.org/officeDocument/2006/relationships/hyperlink" Id="rId3915" Target="https://doi.org/10.1177/0963721420917687" TargetMode="External" /><Relationship Type="http://schemas.openxmlformats.org/officeDocument/2006/relationships/hyperlink" Id="rId3540" Target="https://doi.org/10.1177/09637214251342742" TargetMode="External" /><Relationship Type="http://schemas.openxmlformats.org/officeDocument/2006/relationships/hyperlink" Id="rId5042" Target="https://doi.org/10.1177/1363461514557561" TargetMode="External" /><Relationship Type="http://schemas.openxmlformats.org/officeDocument/2006/relationships/hyperlink" Id="rId3416" Target="https://doi.org/10.1177/1529100615623267" TargetMode="External" /><Relationship Type="http://schemas.openxmlformats.org/officeDocument/2006/relationships/hyperlink" Id="rId4028" Target="https://doi.org/10.1177/1529100616661983" TargetMode="External" /><Relationship Type="http://schemas.openxmlformats.org/officeDocument/2006/relationships/hyperlink" Id="rId3130" Target="https://doi.org/10.1177/1529100616686966" TargetMode="External" /><Relationship Type="http://schemas.openxmlformats.org/officeDocument/2006/relationships/hyperlink" Id="rId3399" Target="https://doi.org/10.1177/1529100618772271" TargetMode="External" /><Relationship Type="http://schemas.openxmlformats.org/officeDocument/2006/relationships/hyperlink" Id="rId3400" Target="https://doi.org/10.1177/1529100618786959" TargetMode="External" /><Relationship Type="http://schemas.openxmlformats.org/officeDocument/2006/relationships/hyperlink" Id="rId5794" Target="https://doi.org/10.1177/1545968308328727" TargetMode="External" /><Relationship Type="http://schemas.openxmlformats.org/officeDocument/2006/relationships/hyperlink" Id="rId5800" Target="https://doi.org/10.1177/1545968310397705" TargetMode="External" /><Relationship Type="http://schemas.openxmlformats.org/officeDocument/2006/relationships/hyperlink" Id="rId4977" Target="https://doi.org/10.1177/1745691611419671" TargetMode="External" /><Relationship Type="http://schemas.openxmlformats.org/officeDocument/2006/relationships/hyperlink" Id="rId3680" Target="https://doi.org/10.1177/1745691612460685" TargetMode="External" /><Relationship Type="http://schemas.openxmlformats.org/officeDocument/2006/relationships/hyperlink" Id="rId3264" Target="https://doi.org/10.1177/1745691615569000" TargetMode="External" /><Relationship Type="http://schemas.openxmlformats.org/officeDocument/2006/relationships/hyperlink" Id="rId4338" Target="https://doi.org/10.1177/1745691615600138" TargetMode="External" /><Relationship Type="http://schemas.openxmlformats.org/officeDocument/2006/relationships/hyperlink" Id="rId3290" Target="https://doi.org/10.1177/1745691616635612" TargetMode="External" /><Relationship Type="http://schemas.openxmlformats.org/officeDocument/2006/relationships/hyperlink" Id="rId4010" Target="https://doi.org/10.1177/1745691616652873" TargetMode="External" /><Relationship Type="http://schemas.openxmlformats.org/officeDocument/2006/relationships/hyperlink" Id="rId4530" Target="https://doi.org/10.1177/1745691617709589" TargetMode="External" /><Relationship Type="http://schemas.openxmlformats.org/officeDocument/2006/relationships/hyperlink" Id="rId3152" Target="https://doi.org/10.1177/1745691619862306" TargetMode="External" /><Relationship Type="http://schemas.openxmlformats.org/officeDocument/2006/relationships/hyperlink" Id="rId4883" Target="https://doi.org/10.1177/1745691620968771" TargetMode="External" /><Relationship Type="http://schemas.openxmlformats.org/officeDocument/2006/relationships/hyperlink" Id="rId3963" Target="https://doi.org/10.1177/1745691621990638" TargetMode="External" /><Relationship Type="http://schemas.openxmlformats.org/officeDocument/2006/relationships/hyperlink" Id="rId4014" Target="https://doi.org/10.1177/18344909251386084" TargetMode="External" /><Relationship Type="http://schemas.openxmlformats.org/officeDocument/2006/relationships/hyperlink" Id="rId3807" Target="https://doi.org/10.1177/1948550617697177" TargetMode="External" /><Relationship Type="http://schemas.openxmlformats.org/officeDocument/2006/relationships/hyperlink" Id="rId4993" Target="https://doi.org/10.1177/2167702621996340" TargetMode="External" /><Relationship Type="http://schemas.openxmlformats.org/officeDocument/2006/relationships/hyperlink" Id="rId4997" Target="https://doi.org/10.1177/21677026241298269" TargetMode="External" /><Relationship Type="http://schemas.openxmlformats.org/officeDocument/2006/relationships/hyperlink" Id="rId4368" Target="https://doi.org/10.1177/2470547017692328" TargetMode="External" /><Relationship Type="http://schemas.openxmlformats.org/officeDocument/2006/relationships/hyperlink" Id="rId3857" Target="https://doi.org/10.1177/2515245917745629" TargetMode="External" /><Relationship Type="http://schemas.openxmlformats.org/officeDocument/2006/relationships/hyperlink" Id="rId3877" Target="https://doi.org/10.1177/2515245920952393" TargetMode="External" /><Relationship Type="http://schemas.openxmlformats.org/officeDocument/2006/relationships/hyperlink" Id="rId3817" Target="https://doi.org/10.1186/1471-2202-11-5" TargetMode="External" /><Relationship Type="http://schemas.openxmlformats.org/officeDocument/2006/relationships/hyperlink" Id="rId4727" Target="https://doi.org/10.1186/s12906-025-04783-4" TargetMode="External" /><Relationship Type="http://schemas.openxmlformats.org/officeDocument/2006/relationships/hyperlink" Id="rId4298" Target="https://doi.org/10.1186/s12916-017-0791-y" TargetMode="External" /><Relationship Type="http://schemas.openxmlformats.org/officeDocument/2006/relationships/hyperlink" Id="rId4297" Target="https://doi.org/10.1186/s12916-018-1220-6" TargetMode="External" /><Relationship Type="http://schemas.openxmlformats.org/officeDocument/2006/relationships/hyperlink" Id="rId4300" Target="https://doi.org/10.1186/s12916-018-1221-5" TargetMode="External" /><Relationship Type="http://schemas.openxmlformats.org/officeDocument/2006/relationships/hyperlink" Id="rId4302" Target="https://doi.org/10.1186/s12916-018-1228-y" TargetMode="External" /><Relationship Type="http://schemas.openxmlformats.org/officeDocument/2006/relationships/hyperlink" Id="rId3871" Target="https://doi.org/10.1186/s12916-019-1466-7" TargetMode="External" /><Relationship Type="http://schemas.openxmlformats.org/officeDocument/2006/relationships/hyperlink" Id="rId2825" Target="https://doi.org/10.1186/s12987-020-00196-2" TargetMode="External" /><Relationship Type="http://schemas.openxmlformats.org/officeDocument/2006/relationships/hyperlink" Id="rId5182" Target="https://doi.org/10.1186/s13293-022-00448-w" TargetMode="External" /><Relationship Type="http://schemas.openxmlformats.org/officeDocument/2006/relationships/hyperlink" Id="rId4849" Target="https://doi.org/10.1186/s40359-016-0168-6" TargetMode="External" /><Relationship Type="http://schemas.openxmlformats.org/officeDocument/2006/relationships/hyperlink" Id="rId4891" Target="https://doi.org/10.1192/bjp.bp.115.168971" TargetMode="External" /><Relationship Type="http://schemas.openxmlformats.org/officeDocument/2006/relationships/hyperlink" Id="rId5376" Target="https://doi.org/10.1192/j.eurpsy.2021.11" TargetMode="External" /><Relationship Type="http://schemas.openxmlformats.org/officeDocument/2006/relationships/hyperlink" Id="rId4239" Target="https://doi.org/10.1196/annals.1440.011" TargetMode="External" /><Relationship Type="http://schemas.openxmlformats.org/officeDocument/2006/relationships/hyperlink" Id="rId3811" Target="https://doi.org/10.1198/000313006X152649" TargetMode="External" /><Relationship Type="http://schemas.openxmlformats.org/officeDocument/2006/relationships/hyperlink" Id="rId5780" Target="https://doi.org/10.1200/JCO-25-00250" TargetMode="External" /><Relationship Type="http://schemas.openxmlformats.org/officeDocument/2006/relationships/hyperlink" Id="rId5786" Target="https://doi.org/10.1200/JCO.19.02767" TargetMode="External" /><Relationship Type="http://schemas.openxmlformats.org/officeDocument/2006/relationships/hyperlink" Id="rId5784" Target="https://doi.org/10.1200/JCO.21.02314" TargetMode="External" /><Relationship Type="http://schemas.openxmlformats.org/officeDocument/2006/relationships/hyperlink" Id="rId5770" Target="https://doi.org/10.1200/JCO.23.01059" TargetMode="External" /><Relationship Type="http://schemas.openxmlformats.org/officeDocument/2006/relationships/hyperlink" Id="rId4923" Target="https://doi.org/10.1200/jco.23.00857" TargetMode="External" /><Relationship Type="http://schemas.openxmlformats.org/officeDocument/2006/relationships/hyperlink" Id="rId3236" Target="https://doi.org/10.1207/S15326985EP3801_4" TargetMode="External" /><Relationship Type="http://schemas.openxmlformats.org/officeDocument/2006/relationships/hyperlink" Id="rId3244" Target="https://doi.org/10.1207/S15326985EP3801_6" TargetMode="External" /><Relationship Type="http://schemas.openxmlformats.org/officeDocument/2006/relationships/hyperlink" Id="rId3238" Target="https://doi.org/10.1207/s1532690xci0804_2" TargetMode="External" /><Relationship Type="http://schemas.openxmlformats.org/officeDocument/2006/relationships/hyperlink" Id="rId3270" Target="https://doi.org/10.1207/s15430421tip4102_2" TargetMode="External" /><Relationship Type="http://schemas.openxmlformats.org/officeDocument/2006/relationships/hyperlink" Id="rId3520" Target="https://doi.org/10.1207/s15516709cog0702_3" TargetMode="External" /><Relationship Type="http://schemas.openxmlformats.org/officeDocument/2006/relationships/hyperlink" Id="rId3226" Target="https://doi.org/10.1207/s15516709cog1202_4" TargetMode="External" /><Relationship Type="http://schemas.openxmlformats.org/officeDocument/2006/relationships/hyperlink" Id="rId3234" Target="https://doi.org/10.1207/s15516709cog1302_1" TargetMode="External" /><Relationship Type="http://schemas.openxmlformats.org/officeDocument/2006/relationships/hyperlink" Id="rId3262" Target="https://doi.org/10.1207/s15516709cog2605_1" TargetMode="External" /><Relationship Type="http://schemas.openxmlformats.org/officeDocument/2006/relationships/hyperlink" Id="rId4378" Target="https://doi.org/10.1210/clinem/dgae250" TargetMode="External" /><Relationship Type="http://schemas.openxmlformats.org/officeDocument/2006/relationships/hyperlink" Id="rId4181" Target="https://doi.org/10.1210/edrv-7-3-284" TargetMode="External" /><Relationship Type="http://schemas.openxmlformats.org/officeDocument/2006/relationships/hyperlink" Id="rId4364" Target="https://doi.org/10.1210/edrv.21.1.0389" TargetMode="External" /><Relationship Type="http://schemas.openxmlformats.org/officeDocument/2006/relationships/hyperlink" Id="rId4376" Target="https://doi.org/10.1210/endrev/bnaa002" TargetMode="External" /><Relationship Type="http://schemas.openxmlformats.org/officeDocument/2006/relationships/hyperlink" Id="rId3772" Target="https://doi.org/10.1212/01.wnl.0000150542.16969.cc" TargetMode="External" /><Relationship Type="http://schemas.openxmlformats.org/officeDocument/2006/relationships/hyperlink" Id="rId5637" Target="https://doi.org/10.1212/WNL.0000000000001487" TargetMode="External" /><Relationship Type="http://schemas.openxmlformats.org/officeDocument/2006/relationships/hyperlink" Id="rId5651" Target="https://doi.org/10.1212/WNL.0000000000003685" TargetMode="External" /><Relationship Type="http://schemas.openxmlformats.org/officeDocument/2006/relationships/hyperlink" Id="rId5722" Target="https://doi.org/10.1212/WNL.0000000000004058" TargetMode="External" /><Relationship Type="http://schemas.openxmlformats.org/officeDocument/2006/relationships/hyperlink" Id="rId5836" Target="https://doi.org/10.1212/WNL.0000000000005926" TargetMode="External" /><Relationship Type="http://schemas.openxmlformats.org/officeDocument/2006/relationships/hyperlink" Id="rId5458" Target="https://doi.org/10.1212/WNL.0000000000006697" TargetMode="External" /><Relationship Type="http://schemas.openxmlformats.org/officeDocument/2006/relationships/hyperlink" Id="rId5652" Target="https://doi.org/10.1212/WNL.0000000000008565" TargetMode="External" /><Relationship Type="http://schemas.openxmlformats.org/officeDocument/2006/relationships/hyperlink" Id="rId5643" Target="https://doi.org/10.1212/WNL.0000000000010154" TargetMode="External" /><Relationship Type="http://schemas.openxmlformats.org/officeDocument/2006/relationships/hyperlink" Id="rId5754" Target="https://doi.org/10.1212/WNL.0000000000011850" TargetMode="External" /><Relationship Type="http://schemas.openxmlformats.org/officeDocument/2006/relationships/hyperlink" Id="rId5840" Target="https://doi.org/10.1212/WNL.0000000000207740" TargetMode="External" /><Relationship Type="http://schemas.openxmlformats.org/officeDocument/2006/relationships/hyperlink" Id="rId5841" Target="https://doi.org/10.1212/WNL.0000000000208108" TargetMode="External" /><Relationship Type="http://schemas.openxmlformats.org/officeDocument/2006/relationships/hyperlink" Id="rId5554" Target="https://doi.org/10.1212/WNL.0000000000213334" TargetMode="External" /><Relationship Type="http://schemas.openxmlformats.org/officeDocument/2006/relationships/hyperlink" Id="rId5555" Target="https://doi.org/10.1212/WNL.0000000000213686" TargetMode="External" /><Relationship Type="http://schemas.openxmlformats.org/officeDocument/2006/relationships/hyperlink" Id="rId5480" Target="https://doi.org/10.1212/WNL.0000000000214466" TargetMode="External" /><Relationship Type="http://schemas.openxmlformats.org/officeDocument/2006/relationships/hyperlink" Id="rId5730" Target="https://doi.org/10.1227/NEU.0000000000000505" TargetMode="External" /><Relationship Type="http://schemas.openxmlformats.org/officeDocument/2006/relationships/hyperlink" Id="rId5740" Target="https://doi.org/10.1227/NEU.0000000000001432" TargetMode="External" /><Relationship Type="http://schemas.openxmlformats.org/officeDocument/2006/relationships/hyperlink" Id="rId4434" Target="https://doi.org/10.1242/jeb.197954" TargetMode="External" /><Relationship Type="http://schemas.openxmlformats.org/officeDocument/2006/relationships/hyperlink" Id="rId5106" Target="https://doi.org/10.12987/9780300248708" TargetMode="External" /><Relationship Type="http://schemas.openxmlformats.org/officeDocument/2006/relationships/hyperlink" Id="rId2858" Target="https://doi.org/10.1371/journal.pbio.1000298" TargetMode="External" /><Relationship Type="http://schemas.openxmlformats.org/officeDocument/2006/relationships/hyperlink" Id="rId3935" Target="https://doi.org/10.1371/journal.pbio.1001767" TargetMode="External" /><Relationship Type="http://schemas.openxmlformats.org/officeDocument/2006/relationships/hyperlink" Id="rId3829" Target="https://doi.org/10.1371/journal.pbio.3000410" TargetMode="External" /><Relationship Type="http://schemas.openxmlformats.org/officeDocument/2006/relationships/hyperlink" Id="rId3623" Target="https://doi.org/10.1371/journal.pcbi.1005090" TargetMode="External" /><Relationship Type="http://schemas.openxmlformats.org/officeDocument/2006/relationships/hyperlink" Id="rId5845" Target="https://doi.org/10.1371/journal.pcbi.1005508" TargetMode="External" /><Relationship Type="http://schemas.openxmlformats.org/officeDocument/2006/relationships/hyperlink" Id="rId5832" Target="https://doi.org/10.1371/journal.pcbi.1011465" TargetMode="External" /><Relationship Type="http://schemas.openxmlformats.org/officeDocument/2006/relationships/hyperlink" Id="rId5884" Target="https://doi.org/10.1371/journal.pcbi.1014597" TargetMode="External" /><Relationship Type="http://schemas.openxmlformats.org/officeDocument/2006/relationships/hyperlink" Id="rId4955" Target="https://doi.org/10.1371/journal.pmed.1003481" TargetMode="External" /><Relationship Type="http://schemas.openxmlformats.org/officeDocument/2006/relationships/hyperlink" Id="rId3350" Target="https://doi.org/10.1371/journal.pone.0000943" TargetMode="External" /><Relationship Type="http://schemas.openxmlformats.org/officeDocument/2006/relationships/hyperlink" Id="rId4582" Target="https://doi.org/10.1371/journal.pone.0001897" TargetMode="External" /><Relationship Type="http://schemas.openxmlformats.org/officeDocument/2006/relationships/hyperlink" Id="rId4171" Target="https://doi.org/10.1371/journal.pone.0038413" TargetMode="External" /><Relationship Type="http://schemas.openxmlformats.org/officeDocument/2006/relationships/hyperlink" Id="rId4805" Target="https://doi.org/10.1371/journal.pone.0058244" TargetMode="External" /><Relationship Type="http://schemas.openxmlformats.org/officeDocument/2006/relationships/hyperlink" Id="rId4572" Target="https://doi.org/10.1371/journal.pone.0064574" TargetMode="External" /><Relationship Type="http://schemas.openxmlformats.org/officeDocument/2006/relationships/hyperlink" Id="rId3647" Target="https://doi.org/10.1371/journal.pone.0068210" TargetMode="External" /><Relationship Type="http://schemas.openxmlformats.org/officeDocument/2006/relationships/hyperlink" Id="rId3933" Target="https://doi.org/10.1371/journal.pone.0071275" TargetMode="External" /><Relationship Type="http://schemas.openxmlformats.org/officeDocument/2006/relationships/hyperlink" Id="rId4833" Target="https://doi.org/10.1371/journal.pone.0073417" TargetMode="External" /><Relationship Type="http://schemas.openxmlformats.org/officeDocument/2006/relationships/hyperlink" Id="rId4073" Target="https://doi.org/10.1371/journal.pone.0089900" TargetMode="External" /><Relationship Type="http://schemas.openxmlformats.org/officeDocument/2006/relationships/hyperlink" Id="rId4803" Target="https://doi.org/10.1371/journal.pone.0102990" TargetMode="External" /><Relationship Type="http://schemas.openxmlformats.org/officeDocument/2006/relationships/hyperlink" Id="rId4887" Target="https://doi.org/10.1371/journal.pone.0153220" TargetMode="External" /><Relationship Type="http://schemas.openxmlformats.org/officeDocument/2006/relationships/hyperlink" Id="rId4831" Target="https://doi.org/10.1371/journal.pone.0170647" TargetMode="External" /><Relationship Type="http://schemas.openxmlformats.org/officeDocument/2006/relationships/hyperlink" Id="rId5001" Target="https://doi.org/10.1371/journal.pone.0176239" TargetMode="External" /><Relationship Type="http://schemas.openxmlformats.org/officeDocument/2006/relationships/hyperlink" Id="rId2994" Target="https://doi.org/10.1371/journal.pone.0209648" TargetMode="External" /><Relationship Type="http://schemas.openxmlformats.org/officeDocument/2006/relationships/hyperlink" Id="rId4999" Target="https://doi.org/10.1371/journal.pone.0216643" TargetMode="External" /><Relationship Type="http://schemas.openxmlformats.org/officeDocument/2006/relationships/hyperlink" Id="rId4789" Target="https://doi.org/10.1371/journal.pone.0219120" TargetMode="External" /><Relationship Type="http://schemas.openxmlformats.org/officeDocument/2006/relationships/hyperlink" Id="rId5068" Target="https://doi.org/10.1371/journal.pone.0253694" TargetMode="External" /><Relationship Type="http://schemas.openxmlformats.org/officeDocument/2006/relationships/hyperlink" Id="rId4819" Target="https://doi.org/10.1371/journal.pone.0273864" TargetMode="External" /><Relationship Type="http://schemas.openxmlformats.org/officeDocument/2006/relationships/hyperlink" Id="rId3742" Target="https://doi.org/10.1371/journal.pone.0286023" TargetMode="External" /><Relationship Type="http://schemas.openxmlformats.org/officeDocument/2006/relationships/hyperlink" Id="rId5013" Target="https://doi.org/10.1371/journal.pone.0318499" TargetMode="External" /><Relationship Type="http://schemas.openxmlformats.org/officeDocument/2006/relationships/hyperlink" Id="rId4103" Target="https://doi.org/10.1515/revneuro.2003.14.4.303" TargetMode="External" /><Relationship Type="http://schemas.openxmlformats.org/officeDocument/2006/relationships/hyperlink" Id="rId3310" Target="https://doi.org/10.1518/001872008X312152" TargetMode="External" /><Relationship Type="http://schemas.openxmlformats.org/officeDocument/2006/relationships/hyperlink" Id="rId2773" Target="https://doi.org/10.1523/JNEUROSCI.0016-17.2017" TargetMode="External" /><Relationship Type="http://schemas.openxmlformats.org/officeDocument/2006/relationships/hyperlink" Id="rId2884" Target="https://doi.org/10.1523/JNEUROSCI.0167-10.2010" TargetMode="External" /><Relationship Type="http://schemas.openxmlformats.org/officeDocument/2006/relationships/hyperlink" Id="rId2767" Target="https://doi.org/10.1523/JNEUROSCI.0723-07.2007" TargetMode="External" /><Relationship Type="http://schemas.openxmlformats.org/officeDocument/2006/relationships/hyperlink" Id="rId3643" Target="https://doi.org/10.1523/JNEUROSCI.0822-10.2010" TargetMode="External" /><Relationship Type="http://schemas.openxmlformats.org/officeDocument/2006/relationships/hyperlink" Id="rId3548" Target="https://doi.org/10.1523/JNEUROSCI.10-02-00420.1990" TargetMode="External" /><Relationship Type="http://schemas.openxmlformats.org/officeDocument/2006/relationships/hyperlink" Id="rId5496" Target="https://doi.org/10.1523/JNEUROSCI.15-05-03526.1995" TargetMode="External" /><Relationship Type="http://schemas.openxmlformats.org/officeDocument/2006/relationships/hyperlink" Id="rId4283" Target="https://doi.org/10.1523/JNEUROSCI.1544-06.2006" TargetMode="External" /><Relationship Type="http://schemas.openxmlformats.org/officeDocument/2006/relationships/hyperlink" Id="rId2988" Target="https://doi.org/10.1523/JNEUROSCI.18-04-01428.1998" TargetMode="External" /><Relationship Type="http://schemas.openxmlformats.org/officeDocument/2006/relationships/hyperlink" Id="rId3080" Target="https://doi.org/10.1523/JNEUROSCI.18-24-10464.1998" TargetMode="External" /><Relationship Type="http://schemas.openxmlformats.org/officeDocument/2006/relationships/hyperlink" Id="rId2892" Target="https://doi.org/10.1523/JNEUROSCI.1838-14.2014" TargetMode="External" /><Relationship Type="http://schemas.openxmlformats.org/officeDocument/2006/relationships/hyperlink" Id="rId5188" Target="https://doi.org/10.1523/JNEUROSCI.3195-15.2016" TargetMode="External" /><Relationship Type="http://schemas.openxmlformats.org/officeDocument/2006/relationships/hyperlink" Id="rId3676" Target="https://doi.org/10.1523/JNEUROSCI.3507-13.2014" TargetMode="External" /><Relationship Type="http://schemas.openxmlformats.org/officeDocument/2006/relationships/hyperlink" Id="rId3947" Target="https://doi.org/10.1523/JNEUROSCI.3850-14.2016" TargetMode="External" /><Relationship Type="http://schemas.openxmlformats.org/officeDocument/2006/relationships/hyperlink" Id="rId4113" Target="https://doi.org/10.1523/JNEUROSCI.4109-15.2016" TargetMode="External" /><Relationship Type="http://schemas.openxmlformats.org/officeDocument/2006/relationships/hyperlink" Id="rId4183" Target="https://doi.org/10.1523/jneurosci.09-05-01705.1989" TargetMode="External" /><Relationship Type="http://schemas.openxmlformats.org/officeDocument/2006/relationships/hyperlink" Id="rId5064" Target="https://doi.org/10.1523/jneurosci.1182-23.2024" TargetMode="External" /><Relationship Type="http://schemas.openxmlformats.org/officeDocument/2006/relationships/hyperlink" Id="rId4185" Target="https://doi.org/10.1523/jneurosci.19-06-02356.1999" TargetMode="External" /><Relationship Type="http://schemas.openxmlformats.org/officeDocument/2006/relationships/hyperlink" Id="rId4526" Target="https://doi.org/10.1523/jneurosci.2542-15.2015" TargetMode="External" /><Relationship Type="http://schemas.openxmlformats.org/officeDocument/2006/relationships/hyperlink" Id="rId4472" Target="https://doi.org/10.1523/jneurosci.2586-16.2016" TargetMode="External" /><Relationship Type="http://schemas.openxmlformats.org/officeDocument/2006/relationships/hyperlink" Id="rId4201" Target="https://doi.org/10.1523/jneurosci.2612-04.2005" TargetMode="External" /><Relationship Type="http://schemas.openxmlformats.org/officeDocument/2006/relationships/hyperlink" Id="rId3714" Target="https://doi.org/10.1523/jneurosci.3246-14.2015" TargetMode="External" /><Relationship Type="http://schemas.openxmlformats.org/officeDocument/2006/relationships/hyperlink" Id="rId4562" Target="https://doi.org/10.1523/jneurosci.4328-15.2016" TargetMode="External" /><Relationship Type="http://schemas.openxmlformats.org/officeDocument/2006/relationships/hyperlink" Id="rId4257" Target="https://doi.org/10.1523/jneurosci.5587-06.2007" TargetMode="External" /><Relationship Type="http://schemas.openxmlformats.org/officeDocument/2006/relationships/hyperlink" Id="rId4609" Target="https://doi.org/10.1523/jneurosci.5791-10.2011" TargetMode="External" /><Relationship Type="http://schemas.openxmlformats.org/officeDocument/2006/relationships/hyperlink" Id="rId5131" Target="https://doi.org/10.1542/peds.2004-2282" TargetMode="External" /><Relationship Type="http://schemas.openxmlformats.org/officeDocument/2006/relationships/hyperlink" Id="rId4071" Target="https://doi.org/10.1542/peds.2013-3219" TargetMode="External" /><Relationship Type="http://schemas.openxmlformats.org/officeDocument/2006/relationships/hyperlink" Id="rId5218" Target="https://doi.org/10.1542/peds.2019-2528" TargetMode="External" /><Relationship Type="http://schemas.openxmlformats.org/officeDocument/2006/relationships/hyperlink" Id="rId5143" Target="https://doi.org/10.1542/peds.2022-058859" TargetMode="External" /><Relationship Type="http://schemas.openxmlformats.org/officeDocument/2006/relationships/hyperlink" Id="rId5344" Target="https://doi.org/10.1542/peds.2024-070334" TargetMode="External" /><Relationship Type="http://schemas.openxmlformats.org/officeDocument/2006/relationships/hyperlink" Id="rId5629" Target="https://doi.org/10.1684/epd.2022.1448" TargetMode="External" /><Relationship Type="http://schemas.openxmlformats.org/officeDocument/2006/relationships/hyperlink" Id="rId4446" Target="https://doi.org/10.2196/10257" TargetMode="External" /><Relationship Type="http://schemas.openxmlformats.org/officeDocument/2006/relationships/hyperlink" Id="rId3863" Target="https://doi.org/10.2307/2951620" TargetMode="External" /><Relationship Type="http://schemas.openxmlformats.org/officeDocument/2006/relationships/hyperlink" Id="rId3232" Target="https://doi.org/10.3102/00346543070002181" TargetMode="External" /><Relationship Type="http://schemas.openxmlformats.org/officeDocument/2006/relationships/hyperlink" Id="rId3252" Target="https://doi.org/10.3102/0034654315627366" TargetMode="External" /><Relationship Type="http://schemas.openxmlformats.org/officeDocument/2006/relationships/hyperlink" Id="rId3534" Target="https://doi.org/10.3102/00346543211019105" TargetMode="External" /><Relationship Type="http://schemas.openxmlformats.org/officeDocument/2006/relationships/hyperlink" Id="rId3532" Target="https://doi.org/10.3102/0091732X024001061" TargetMode="External" /><Relationship Type="http://schemas.openxmlformats.org/officeDocument/2006/relationships/hyperlink" Id="rId5422" Target="https://doi.org/10.3174/ajnr.A4173" TargetMode="External" /><Relationship Type="http://schemas.openxmlformats.org/officeDocument/2006/relationships/hyperlink" Id="rId5462" Target="https://doi.org/10.3233/VES-170622" TargetMode="External" /><Relationship Type="http://schemas.openxmlformats.org/officeDocument/2006/relationships/hyperlink" Id="rId5460" Target="https://doi.org/10.3233/VES-201644" TargetMode="External" /><Relationship Type="http://schemas.openxmlformats.org/officeDocument/2006/relationships/hyperlink" Id="rId3468" Target="https://doi.org/10.3238/arztebl.2019.0107" TargetMode="External" /><Relationship Type="http://schemas.openxmlformats.org/officeDocument/2006/relationships/hyperlink" Id="rId4725" Target="https://doi.org/10.3389/fcimb.2022.719829" TargetMode="External" /><Relationship Type="http://schemas.openxmlformats.org/officeDocument/2006/relationships/hyperlink" Id="rId4744" Target="https://doi.org/10.3389/fendo.2024.1345527" TargetMode="External" /><Relationship Type="http://schemas.openxmlformats.org/officeDocument/2006/relationships/hyperlink" Id="rId4797" Target="https://doi.org/10.3389/fimmu.2017.00670" TargetMode="External" /><Relationship Type="http://schemas.openxmlformats.org/officeDocument/2006/relationships/hyperlink" Id="rId4857" Target="https://doi.org/10.3389/fnagi.2014.00076" TargetMode="External" /><Relationship Type="http://schemas.openxmlformats.org/officeDocument/2006/relationships/hyperlink" Id="rId3088" Target="https://doi.org/10.3389/fncir.2018.00053" TargetMode="External" /><Relationship Type="http://schemas.openxmlformats.org/officeDocument/2006/relationships/hyperlink" Id="rId3728" Target="https://doi.org/10.3389/fnhum.2010.00186" TargetMode="External" /><Relationship Type="http://schemas.openxmlformats.org/officeDocument/2006/relationships/hyperlink" Id="rId5052" Target="https://doi.org/10.3389/fnhum.2011.00183" TargetMode="External" /><Relationship Type="http://schemas.openxmlformats.org/officeDocument/2006/relationships/hyperlink" Id="rId4578" Target="https://doi.org/10.3389/fnhum.2012.00292" TargetMode="External" /><Relationship Type="http://schemas.openxmlformats.org/officeDocument/2006/relationships/hyperlink" Id="rId4667" Target="https://doi.org/10.3389/fnhum.2013.00012" TargetMode="External" /><Relationship Type="http://schemas.openxmlformats.org/officeDocument/2006/relationships/hyperlink" Id="rId4637" Target="https://doi.org/10.3389/fnhum.2013.00440" TargetMode="External" /><Relationship Type="http://schemas.openxmlformats.org/officeDocument/2006/relationships/hyperlink" Id="rId5062" Target="https://doi.org/10.3389/fnhum.2013.00582" TargetMode="External" /><Relationship Type="http://schemas.openxmlformats.org/officeDocument/2006/relationships/hyperlink" Id="rId4657" Target="https://doi.org/10.3389/fnhum.2014.00033" TargetMode="External" /><Relationship Type="http://schemas.openxmlformats.org/officeDocument/2006/relationships/hyperlink" Id="rId4766" Target="https://doi.org/10.3389/fnhum.2017.00315" TargetMode="External" /><Relationship Type="http://schemas.openxmlformats.org/officeDocument/2006/relationships/hyperlink" Id="rId5878" Target="https://doi.org/10.3389/fninf.2013.00014" TargetMode="External" /><Relationship Type="http://schemas.openxmlformats.org/officeDocument/2006/relationships/hyperlink" Id="rId4853" Target="https://doi.org/10.3389/fnins.2011.00049" TargetMode="External" /><Relationship Type="http://schemas.openxmlformats.org/officeDocument/2006/relationships/hyperlink" Id="rId4845" Target="https://doi.org/10.3389/fnins.2017.00109" TargetMode="External" /><Relationship Type="http://schemas.openxmlformats.org/officeDocument/2006/relationships/hyperlink" Id="rId4277" Target="https://doi.org/10.3389/fnins.2020.00923" TargetMode="External" /><Relationship Type="http://schemas.openxmlformats.org/officeDocument/2006/relationships/hyperlink" Id="rId4426" Target="https://doi.org/10.3389/fnint.2022.871227" TargetMode="External" /><Relationship Type="http://schemas.openxmlformats.org/officeDocument/2006/relationships/hyperlink" Id="rId4454" Target="https://doi.org/10.3389/fphys.2013.00026" TargetMode="External" /><Relationship Type="http://schemas.openxmlformats.org/officeDocument/2006/relationships/hyperlink" Id="rId3803" Target="https://doi.org/10.3389/fpsyg.2012.00429" TargetMode="External" /><Relationship Type="http://schemas.openxmlformats.org/officeDocument/2006/relationships/hyperlink" Id="rId4452" Target="https://doi.org/10.3389/fpsyg.2014.00756" TargetMode="External" /><Relationship Type="http://schemas.openxmlformats.org/officeDocument/2006/relationships/hyperlink" Id="rId3512" Target="https://doi.org/10.3389/fpsyg.2015.00888" TargetMode="External" /><Relationship Type="http://schemas.openxmlformats.org/officeDocument/2006/relationships/hyperlink" Id="rId3805" Target="https://doi.org/10.3389/fpsyg.2017.01314" TargetMode="External" /><Relationship Type="http://schemas.openxmlformats.org/officeDocument/2006/relationships/hyperlink" Id="rId4520" Target="https://doi.org/10.3389/fpsyg.2019.02276" TargetMode="External" /><Relationship Type="http://schemas.openxmlformats.org/officeDocument/2006/relationships/hyperlink" Id="rId5072" Target="https://doi.org/10.3389/fpsyg.2020.02087" TargetMode="External" /><Relationship Type="http://schemas.openxmlformats.org/officeDocument/2006/relationships/hyperlink" Id="rId4768" Target="https://doi.org/10.3389/fpsyg.2020.02209" TargetMode="External" /><Relationship Type="http://schemas.openxmlformats.org/officeDocument/2006/relationships/hyperlink" Id="rId5096" Target="https://doi.org/10.3389/fpsyg.2020.599190" TargetMode="External" /><Relationship Type="http://schemas.openxmlformats.org/officeDocument/2006/relationships/hyperlink" Id="rId4989" Target="https://doi.org/10.3389/fpsyg.2020.603394" TargetMode="External" /><Relationship Type="http://schemas.openxmlformats.org/officeDocument/2006/relationships/hyperlink" Id="rId4053" Target="https://doi.org/10.3389/fpsyg.2024.1428732" TargetMode="External" /><Relationship Type="http://schemas.openxmlformats.org/officeDocument/2006/relationships/hyperlink" Id="rId4791" Target="https://doi.org/10.3389/fpsyg.2025.1653242" TargetMode="External" /><Relationship Type="http://schemas.openxmlformats.org/officeDocument/2006/relationships/hyperlink" Id="rId5843" Target="https://doi.org/10.3389/neuro.06.004.2008" TargetMode="External" /><Relationship Type="http://schemas.openxmlformats.org/officeDocument/2006/relationships/hyperlink" Id="rId4211" Target="https://doi.org/10.3389/neuro.09.031.2009" TargetMode="External" /><Relationship Type="http://schemas.openxmlformats.org/officeDocument/2006/relationships/hyperlink" Id="rId5360" Target="https://doi.org/10.3390/brainsci12050594" TargetMode="External" /><Relationship Type="http://schemas.openxmlformats.org/officeDocument/2006/relationships/hyperlink" Id="rId4871" Target="https://doi.org/10.3390/brainsci16050483" TargetMode="External" /><Relationship Type="http://schemas.openxmlformats.org/officeDocument/2006/relationships/hyperlink" Id="rId3996" Target="https://doi.org/10.3390/healthcare12232488" TargetMode="External" /><Relationship Type="http://schemas.openxmlformats.org/officeDocument/2006/relationships/hyperlink" Id="rId4750" Target="https://doi.org/10.3390/ijms24054445" TargetMode="External" /><Relationship Type="http://schemas.openxmlformats.org/officeDocument/2006/relationships/hyperlink" Id="rId3162" Target="https://doi.org/10.3390/vision7040067" TargetMode="External" /><Relationship Type="http://schemas.openxmlformats.org/officeDocument/2006/relationships/hyperlink" Id="rId4440" Target="https://doi.org/10.36131/cnfioritieditore20260110" TargetMode="External" /><Relationship Type="http://schemas.openxmlformats.org/officeDocument/2006/relationships/hyperlink" Id="rId4442" Target="https://doi.org/10.36131/cnfioritieditore20260111" TargetMode="External" /><Relationship Type="http://schemas.openxmlformats.org/officeDocument/2006/relationships/hyperlink" Id="rId3274" Target="https://doi.org/10.3758/BF03194055" TargetMode="External" /><Relationship Type="http://schemas.openxmlformats.org/officeDocument/2006/relationships/hyperlink" Id="rId3484" Target="https://doi.org/10.3758/BF03196968" TargetMode="External" /><Relationship Type="http://schemas.openxmlformats.org/officeDocument/2006/relationships/hyperlink" Id="rId3383" Target="https://doi.org/10.3758/BF03208840" TargetMode="External" /><Relationship Type="http://schemas.openxmlformats.org/officeDocument/2006/relationships/hyperlink" Id="rId3192" Target="https://doi.org/10.3758/MC.36.3.604" TargetMode="External" /><Relationship Type="http://schemas.openxmlformats.org/officeDocument/2006/relationships/hyperlink" Id="rId4685" Target="https://doi.org/10.3758/cabn.7.2.109" TargetMode="External" /><Relationship Type="http://schemas.openxmlformats.org/officeDocument/2006/relationships/hyperlink" Id="rId3379" Target="https://doi.org/10.3758/s13414-023-02820-3" TargetMode="External" /><Relationship Type="http://schemas.openxmlformats.org/officeDocument/2006/relationships/hyperlink" Id="rId4673" Target="https://doi.org/10.3758/s13415-015-0358-3" TargetMode="External" /><Relationship Type="http://schemas.openxmlformats.org/officeDocument/2006/relationships/hyperlink" Id="rId3224" Target="https://doi.org/10.3758/s13421-012-0272-7" TargetMode="External" /><Relationship Type="http://schemas.openxmlformats.org/officeDocument/2006/relationships/hyperlink" Id="rId4065" Target="https://doi.org/10.3758/s13421-020-01060-2" TargetMode="External" /><Relationship Type="http://schemas.openxmlformats.org/officeDocument/2006/relationships/hyperlink" Id="rId3799" Target="https://doi.org/10.3758/s13423-013-0391-6" TargetMode="External" /><Relationship Type="http://schemas.openxmlformats.org/officeDocument/2006/relationships/hyperlink" Id="rId3377" Target="https://doi.org/10.3758/s13423-020-01859-9" TargetMode="External" /><Relationship Type="http://schemas.openxmlformats.org/officeDocument/2006/relationships/hyperlink" Id="rId3476" Target="https://doi.org/10.3758/s13423-024-02556-7" TargetMode="External" /><Relationship Type="http://schemas.openxmlformats.org/officeDocument/2006/relationships/hyperlink" Id="rId3436" Target="https://doi.org/10.3758/s13428-017-0935-1" TargetMode="External" /><Relationship Type="http://schemas.openxmlformats.org/officeDocument/2006/relationships/hyperlink" Id="rId4764" Target="https://doi.org/10.4103/ijoy.ijoy_17_25" TargetMode="External" /><Relationship Type="http://schemas.openxmlformats.org/officeDocument/2006/relationships/hyperlink" Id="rId5871" Target="https://doi.org/10.5334/cpsy.116" TargetMode="External" /><Relationship Type="http://schemas.openxmlformats.org/officeDocument/2006/relationships/hyperlink" Id="rId3286" Target="https://doi.org/10.5334/joc.58" TargetMode="External" /><Relationship Type="http://schemas.openxmlformats.org/officeDocument/2006/relationships/hyperlink" Id="rId3722" Target="https://doi.org/10.5664/jcsm.10424" TargetMode="External" /><Relationship Type="http://schemas.openxmlformats.org/officeDocument/2006/relationships/hyperlink" Id="rId5524" Target="https://doi.org/10.5664/jcsm.11390" TargetMode="External" /><Relationship Type="http://schemas.openxmlformats.org/officeDocument/2006/relationships/hyperlink" Id="rId5508" Target="https://doi.org/10.5664/jcsm.11858" TargetMode="External" /><Relationship Type="http://schemas.openxmlformats.org/officeDocument/2006/relationships/hyperlink" Id="rId5494" Target="https://doi.org/10.5664/jcsm.5100" TargetMode="External" /><Relationship Type="http://schemas.openxmlformats.org/officeDocument/2006/relationships/hyperlink" Id="rId5528" Target="https://doi.org/10.5664/jcsm.7128" TargetMode="External" /><Relationship Type="http://schemas.openxmlformats.org/officeDocument/2006/relationships/hyperlink" Id="rId3724" Target="https://doi.org/10.5664/jcsm.7178" TargetMode="External" /><Relationship Type="http://schemas.openxmlformats.org/officeDocument/2006/relationships/hyperlink" Id="rId3688" Target="https://doi.org/10.5664/jcsm.8986" TargetMode="External" /><Relationship Type="http://schemas.openxmlformats.org/officeDocument/2006/relationships/hyperlink" Id="rId5492" Target="https://doi.org/10.5664/jcsm.9328" TargetMode="External" /><Relationship Type="http://schemas.openxmlformats.org/officeDocument/2006/relationships/hyperlink" Id="rId5514" Target="https://doi.org/10.5664/jcsm.9620" TargetMode="External" /><Relationship Type="http://schemas.openxmlformats.org/officeDocument/2006/relationships/hyperlink" Id="rId3686" Target="https://doi.org/10.5665/sleep.4716" TargetMode="External" /><Relationship Type="http://schemas.openxmlformats.org/officeDocument/2006/relationships/hyperlink" Id="rId5044" Target="https://doi.org/10.6727/TJBS.202106_(41).0004" TargetMode="External" /><Relationship Type="http://schemas.openxmlformats.org/officeDocument/2006/relationships/hyperlink" Id="rId5232" Target="https://doi.org/10.7326/M18-2101" TargetMode="External" /><Relationship Type="http://schemas.openxmlformats.org/officeDocument/2006/relationships/hyperlink" Id="rId5070" Target="https://doi.org/10.7551/mitpress/15196.001.0001" TargetMode="External" /><Relationship Type="http://schemas.openxmlformats.org/officeDocument/2006/relationships/hyperlink" Id="rId5880" Target="https://doi.org/10.7554/eLife.11305" TargetMode="External" /><Relationship Type="http://schemas.openxmlformats.org/officeDocument/2006/relationships/hyperlink" Id="rId3710" Target="https://doi.org/10.7554/eLife.27679" TargetMode="External" /><Relationship Type="http://schemas.openxmlformats.org/officeDocument/2006/relationships/hyperlink" Id="rId3756" Target="https://doi.org/10.7554/eLife.39787" TargetMode="External" /><Relationship Type="http://schemas.openxmlformats.org/officeDocument/2006/relationships/hyperlink" Id="rId3344" Target="https://doi.org/10.7554/eLife.46323" TargetMode="External" /><Relationship Type="http://schemas.openxmlformats.org/officeDocument/2006/relationships/hyperlink" Id="rId5869" Target="https://doi.org/10.7554/eLife.49547" TargetMode="External" /><Relationship Type="http://schemas.openxmlformats.org/officeDocument/2006/relationships/hyperlink" Id="rId3168" Target="https://doi.org/10.7554/eLife.72484" TargetMode="External" /><Relationship Type="http://schemas.openxmlformats.org/officeDocument/2006/relationships/hyperlink" Id="rId4243" Target="https://doi.org/10.7554/elife.06481" TargetMode="External" /><Relationship Type="http://schemas.openxmlformats.org/officeDocument/2006/relationships/hyperlink" Id="rId4873" Target="https://doi.org/10.7554/elife.85188" TargetMode="External" /><Relationship Type="http://schemas.openxmlformats.org/officeDocument/2006/relationships/hyperlink" Id="rId4633" Target="https://doi.org/10.7554/elife.87634" TargetMode="External" /><Relationship Type="http://schemas.openxmlformats.org/officeDocument/2006/relationships/hyperlink" Id="rId4263" Target="https://doi.org/10.7554/elife.99018" TargetMode="External" /><Relationship Type="http://schemas.openxmlformats.org/officeDocument/2006/relationships/hyperlink" Id="rId4869" Target="https://hbr.org/2015/01/mindfulness-can-literally-change-your-brain" TargetMode="External" /><Relationship Type="http://schemas.openxmlformats.org/officeDocument/2006/relationships/hyperlink" Id="rId5258" Target="https://health.nih.gov/health-topics-a-z/autism" TargetMode="External" /><Relationship Type="http://schemas.openxmlformats.org/officeDocument/2006/relationships/hyperlink" Id="rId5262" Target="https://health.nih.gov/health-topics-a-z/bipolar-disorder" TargetMode="External" /><Relationship Type="http://schemas.openxmlformats.org/officeDocument/2006/relationships/hyperlink" Id="rId5410" Target="https://health.nih.gov/health-topics-a-z/substance-use-disorder" TargetMode="External" /><Relationship Type="http://schemas.openxmlformats.org/officeDocument/2006/relationships/hyperlink" Id="rId5428" Target="https://ichd-3.org/1-migraine/1-2-migraine-with-aura/" TargetMode="External" /><Relationship Type="http://schemas.openxmlformats.org/officeDocument/2006/relationships/hyperlink" Id="rId5446" Target="https://ichd-3.org/3-trigeminal-autonomic-cephalalgias/3-1-cluster-headache/" TargetMode="External" /><Relationship Type="http://schemas.openxmlformats.org/officeDocument/2006/relationships/hyperlink" Id="rId5440" Target="https://ichd-3.org/8-headache-attributed-to-a-substance-or-its-withdrawal/8-2-medication-overuse-headache-moh/" TargetMode="External" /><Relationship Type="http://schemas.openxmlformats.org/officeDocument/2006/relationships/hyperlink" Id="rId3580" Target="https://manybabies.org/MB2/" TargetMode="External" /><Relationship Type="http://schemas.openxmlformats.org/officeDocument/2006/relationships/hyperlink" Id="rId5198" Target="https://medlineplus.gov/genetics/understanding/inheritance/heritability/" TargetMode="External" /><Relationship Type="http://schemas.openxmlformats.org/officeDocument/2006/relationships/hyperlink" Id="rId3827" Target="https://miguelhernan.org/whatifbook" TargetMode="External" /><Relationship Type="http://schemas.openxmlformats.org/officeDocument/2006/relationships/hyperlink" Id="rId4861" Target="https://news.harvard.edu/gazette/story/2006/02/meditation-found-to-increase-brain-size/" TargetMode="External" /><Relationship Type="http://schemas.openxmlformats.org/officeDocument/2006/relationships/hyperlink" Id="rId4867" Target="https://news.harvard.edu/gazette/story/2011/01/eight-weeks-to-a-better-brain/" TargetMode="External" /><Relationship Type="http://schemas.openxmlformats.org/officeDocument/2006/relationships/hyperlink" Id="rId5123" Target="https://ods.od.nih.gov/factsheets/Iodine-HealthProfessional/" TargetMode="External" /><Relationship Type="http://schemas.openxmlformats.org/officeDocument/2006/relationships/hyperlink" Id="rId5565" Target="https://ods.od.nih.gov/factsheets/VitaminB6-HealthProfessional/" TargetMode="External" /><Relationship Type="http://schemas.openxmlformats.org/officeDocument/2006/relationships/hyperlink" Id="rId2733" Target="https://pharmacologyeducation.org/clinical-pharmacokinetics/" TargetMode="External" /><Relationship Type="http://schemas.openxmlformats.org/officeDocument/2006/relationships/hyperlink" Id="rId2721" Target="https://pharmacologyeducation.org/pharmacodynamics/" TargetMode="External" /><Relationship Type="http://schemas.openxmlformats.org/officeDocument/2006/relationships/hyperlink" Id="rId3038" Target="https://pmc.ncbi.nlm.nih.gov/articles/PMC3858622/" TargetMode="External" /><Relationship Type="http://schemas.openxmlformats.org/officeDocument/2006/relationships/hyperlink" Id="rId3690" Target="https://pmc.ncbi.nlm.nih.gov/articles/PMC5337595/" TargetMode="External" /><Relationship Type="http://schemas.openxmlformats.org/officeDocument/2006/relationships/hyperlink" Id="rId5350" Target="https://ptsd.va.gov/professional/treat/txessentials/complex_ptsd_assessment.asp" TargetMode="External" /><Relationship Type="http://schemas.openxmlformats.org/officeDocument/2006/relationships/hyperlink" Id="rId5127" Target="https://pubmed.ncbi.nlm.nih.gov/11160401/" TargetMode="External" /><Relationship Type="http://schemas.openxmlformats.org/officeDocument/2006/relationships/hyperlink" Id="rId4271" Target="https://pubmed.ncbi.nlm.nih.gov/12008958/" TargetMode="External" /><Relationship Type="http://schemas.openxmlformats.org/officeDocument/2006/relationships/hyperlink" Id="rId2699" Target="https://pubmed.ncbi.nlm.nih.gov/14946732/" TargetMode="External" /><Relationship Type="http://schemas.openxmlformats.org/officeDocument/2006/relationships/hyperlink" Id="rId4719" Target="https://pubmed.ncbi.nlm.nih.gov/14976457/" TargetMode="External" /><Relationship Type="http://schemas.openxmlformats.org/officeDocument/2006/relationships/hyperlink" Id="rId5121" Target="https://pubmed.ncbi.nlm.nih.gov/1677062/" TargetMode="External" /><Relationship Type="http://schemas.openxmlformats.org/officeDocument/2006/relationships/hyperlink" Id="rId4470" Target="https://pubmed.ncbi.nlm.nih.gov/25996093/" TargetMode="External" /><Relationship Type="http://schemas.openxmlformats.org/officeDocument/2006/relationships/hyperlink" Id="rId5362" Target="https://pubmed.ncbi.nlm.nih.gov/2626518/" TargetMode="External" /><Relationship Type="http://schemas.openxmlformats.org/officeDocument/2006/relationships/hyperlink" Id="rId5100" Target="https://suttacentral.net/an6.55/en/sujato" TargetMode="External" /><Relationship Type="http://schemas.openxmlformats.org/officeDocument/2006/relationships/hyperlink" Id="rId5034" Target="https://suttacentral.net/sa784/lzh" TargetMode="External" /><Relationship Type="http://schemas.openxmlformats.org/officeDocument/2006/relationships/hyperlink" Id="rId5036" Target="https://suttacentral.net/sn47.2/en/sujato" TargetMode="External" /><Relationship Type="http://schemas.openxmlformats.org/officeDocument/2006/relationships/hyperlink" Id="rId5032" Target="https://suttacentral.net/sn48.10/en/sujato" TargetMode="External" /><Relationship Type="http://schemas.openxmlformats.org/officeDocument/2006/relationships/hyperlink" Id="rId5098" Target="https://suttacentral.net/sn54.9/en/sujato" TargetMode="External" /><Relationship Type="http://schemas.openxmlformats.org/officeDocument/2006/relationships/hyperlink" Id="rId3949" Target="https://thepsychologist.bps.org.uk/great-myths-brain-we-only-use-10-cent" TargetMode="External" /><Relationship Type="http://schemas.openxmlformats.org/officeDocument/2006/relationships/hyperlink" Id="rId3986" Target="https://www.6seconds.org/2019/06/19/why-six-seconds-about-our-intriguing-name" TargetMode="External" /><Relationship Type="http://schemas.openxmlformats.org/officeDocument/2006/relationships/hyperlink" Id="rId5589" Target="https://www.accessdata.fda.gov/drugsatfda_docs/label/2025/761248s004lbl.pdf" TargetMode="External" /><Relationship Type="http://schemas.openxmlformats.org/officeDocument/2006/relationships/hyperlink" Id="rId5256" Target="https://www.asha.org/policy/ps2018-00352/" TargetMode="External" /><Relationship Type="http://schemas.openxmlformats.org/officeDocument/2006/relationships/hyperlink" Id="rId5824" Target="https://www.asha.org/practice-portal/clinical-topics/adult-dysphagia/" TargetMode="External" /><Relationship Type="http://schemas.openxmlformats.org/officeDocument/2006/relationships/hyperlink" Id="rId5790" Target="https://www.cancer.gov/types/brain/hp/child-cns-embryonal-treatment-pdq" TargetMode="External" /><Relationship Type="http://schemas.openxmlformats.org/officeDocument/2006/relationships/hyperlink" Id="rId5220" Target="https://www.cdc.gov/adhd/diagnosis/" TargetMode="External" /><Relationship Type="http://schemas.openxmlformats.org/officeDocument/2006/relationships/hyperlink" Id="rId5164" Target="https://www.cdc.gov/cytomegalovirus/congenital-infection/hearing-loss.html" TargetMode="External" /><Relationship Type="http://schemas.openxmlformats.org/officeDocument/2006/relationships/hyperlink" Id="rId5649" Target="https://www.cdc.gov/epilepsy/first-aid-for-seizures/" TargetMode="External" /><Relationship Type="http://schemas.openxmlformats.org/officeDocument/2006/relationships/hyperlink" Id="rId5734" Target="https://www.cdc.gov/traumatic-brain-injury/signs-symptoms/index.html" TargetMode="External" /><Relationship Type="http://schemas.openxmlformats.org/officeDocument/2006/relationships/hyperlink" Id="rId3929" Target="https://www.chinanews.com.cn/sh/2020/07-02/9227067.shtml" TargetMode="External" /><Relationship Type="http://schemas.openxmlformats.org/officeDocument/2006/relationships/hyperlink" Id="rId4030" Target="https://www.chinanews.com.cn/sh/2022/07-05/9795566.shtml" TargetMode="External" /><Relationship Type="http://schemas.openxmlformats.org/officeDocument/2006/relationships/hyperlink" Id="rId4372" Target="https://www.endocrine.org/clinical-practice-guidelines/primary-adrenal-insufficiency" TargetMode="External" /><Relationship Type="http://schemas.openxmlformats.org/officeDocument/2006/relationships/hyperlink" Id="rId5326" Target="https://www.fda.gov/drugs/drug-safety-and-availability/fda-requiring-boxed-warning-updated-improve-safe-use-benzodiazepine-drug-class" TargetMode="External" /><Relationship Type="http://schemas.openxmlformats.org/officeDocument/2006/relationships/hyperlink" Id="rId5398" Target="https://www.fda.gov/drugs/drug-safety-communications/fda-removes-risk-evaluation-and-mitigation-strategy-rems-program-antipsychotic-drug-clozapine" TargetMode="External" /><Relationship Type="http://schemas.openxmlformats.org/officeDocument/2006/relationships/hyperlink" Id="rId5778" Target="https://www.fda.gov/drugs/resources-information-approved-drugs/fda-approves-vorasidenib-grade-2-astrocytoma-or-oligodendroglioma-susceptible-idh1-or-idh2-mutation" TargetMode="External" /><Relationship Type="http://schemas.openxmlformats.org/officeDocument/2006/relationships/hyperlink" Id="rId5400" Target="https://www.fda.gov/news-events/press-announcements/fda-approves-drug-new-mechanism-action-treatment-schizophrenia" TargetMode="External" /><Relationship Type="http://schemas.openxmlformats.org/officeDocument/2006/relationships/hyperlink" Id="rId5579" Target="https://www.fda.gov/news-events/press-announcements/fda-clears-first-blood-test-used-diagnosing-alzheimers-disease" TargetMode="External" /><Relationship Type="http://schemas.openxmlformats.org/officeDocument/2006/relationships/hyperlink" Id="rId5530" Target="https://www.fda.gov/news-events/press-announcements/fda-roundup-september-17-2024" TargetMode="External" /><Relationship Type="http://schemas.openxmlformats.org/officeDocument/2006/relationships/hyperlink" Id="rId3855" Target="https://www.fda.gov/regulatory-information/search-fda-guidance-documents/implanted-brain-computer-interface-bci-devices-patients-paralysis-or-amputation-non-clinical-testing" TargetMode="External" /><Relationship Type="http://schemas.openxmlformats.org/officeDocument/2006/relationships/hyperlink" Id="rId2747" Target="https://www.fda.gov/regulatory-information/search-fda-guidance-documents/m12-drug-interaction-studies" TargetMode="External" /><Relationship Type="http://schemas.openxmlformats.org/officeDocument/2006/relationships/hyperlink" Id="rId4037" Target="https://www.health.harvard.edu/blog/dopamine-fasting-misunderstanding-science-spawns-a-maladaptive-fad-2020022618917" TargetMode="External" /><Relationship Type="http://schemas.openxmlformats.org/officeDocument/2006/relationships/hyperlink" Id="rId4939" Target="https://www.healthquality.va.gov/HEALTHQUALITY/guidelines/CD/insomnia/index.asp" TargetMode="External" /><Relationship Type="http://schemas.openxmlformats.org/officeDocument/2006/relationships/hyperlink" Id="rId5015" Target="https://www.healthquality.va.gov/HEALTHQUALITY/guidelines/mh/ptsd/index.asp" TargetMode="External" /><Relationship Type="http://schemas.openxmlformats.org/officeDocument/2006/relationships/hyperlink" Id="rId4879" Target="https://www.matthieuricard.org/en/articles/the-worlds-happiest-man-matthieu-ricard-on-the-secrets-of-a-serene-successful-satisfying-life/" TargetMode="External" /><Relationship Type="http://schemas.openxmlformats.org/officeDocument/2006/relationships/hyperlink" Id="rId5200" Target="https://www.medlineplus.gov/genetics/condition/phenylketonuria/" TargetMode="External" /><Relationship Type="http://schemas.openxmlformats.org/officeDocument/2006/relationships/hyperlink" Id="rId2920" Target="https://www.ncbi.nlm.nih.gov/books/NBK10820/" TargetMode="External" /><Relationship Type="http://schemas.openxmlformats.org/officeDocument/2006/relationships/hyperlink" Id="rId2942" Target="https://www.ncbi.nlm.nih.gov/books/NBK10833/" TargetMode="External" /><Relationship Type="http://schemas.openxmlformats.org/officeDocument/2006/relationships/hyperlink" Id="rId2617" Target="https://www.ncbi.nlm.nih.gov/books/NBK10853/" TargetMode="External" /><Relationship Type="http://schemas.openxmlformats.org/officeDocument/2006/relationships/hyperlink" Id="rId4400" Target="https://www.ncbi.nlm.nih.gov/books/NBK10854/" TargetMode="External" /><Relationship Type="http://schemas.openxmlformats.org/officeDocument/2006/relationships/hyperlink" Id="rId2964" Target="https://www.ncbi.nlm.nih.gov/books/NBK10865/" TargetMode="External" /><Relationship Type="http://schemas.openxmlformats.org/officeDocument/2006/relationships/hyperlink" Id="rId2946" Target="https://www.ncbi.nlm.nih.gov/books/NBK10874/" TargetMode="External" /><Relationship Type="http://schemas.openxmlformats.org/officeDocument/2006/relationships/hyperlink" Id="rId2627" Target="https://www.ncbi.nlm.nih.gov/books/NBK10877/" TargetMode="External" /><Relationship Type="http://schemas.openxmlformats.org/officeDocument/2006/relationships/hyperlink" Id="rId2621" Target="https://www.ncbi.nlm.nih.gov/books/NBK10889/" TargetMode="External" /><Relationship Type="http://schemas.openxmlformats.org/officeDocument/2006/relationships/hyperlink" Id="rId2623" Target="https://www.ncbi.nlm.nih.gov/books/NBK10902/" TargetMode="External" /><Relationship Type="http://schemas.openxmlformats.org/officeDocument/2006/relationships/hyperlink" Id="rId2601" Target="https://www.ncbi.nlm.nih.gov/books/NBK10926/" TargetMode="External" /><Relationship Type="http://schemas.openxmlformats.org/officeDocument/2006/relationships/hyperlink" Id="rId3943" Target="https://www.ncbi.nlm.nih.gov/books/NBK10936/" TargetMode="External" /><Relationship Type="http://schemas.openxmlformats.org/officeDocument/2006/relationships/hyperlink" Id="rId2918" Target="https://www.ncbi.nlm.nih.gov/books/NBK10945/" TargetMode="External" /><Relationship Type="http://schemas.openxmlformats.org/officeDocument/2006/relationships/hyperlink" Id="rId2914" Target="https://www.ncbi.nlm.nih.gov/books/NBK10946/" TargetMode="External" /><Relationship Type="http://schemas.openxmlformats.org/officeDocument/2006/relationships/hyperlink" Id="rId2611" Target="https://www.ncbi.nlm.nih.gov/books/NBK10962/" TargetMode="External" /><Relationship Type="http://schemas.openxmlformats.org/officeDocument/2006/relationships/hyperlink" Id="rId2615" Target="https://www.ncbi.nlm.nih.gov/books/NBK10967/" TargetMode="External" /><Relationship Type="http://schemas.openxmlformats.org/officeDocument/2006/relationships/hyperlink" Id="rId2599" Target="https://www.ncbi.nlm.nih.gov/books/NBK10971/" TargetMode="External" /><Relationship Type="http://schemas.openxmlformats.org/officeDocument/2006/relationships/hyperlink" Id="rId2689" Target="https://www.ncbi.nlm.nih.gov/books/NBK11001/" TargetMode="External" /><Relationship Type="http://schemas.openxmlformats.org/officeDocument/2006/relationships/hyperlink" Id="rId2609" Target="https://www.ncbi.nlm.nih.gov/books/NBK11008/" TargetMode="External" /><Relationship Type="http://schemas.openxmlformats.org/officeDocument/2006/relationships/hyperlink" Id="rId2948" Target="https://www.ncbi.nlm.nih.gov/books/NBK11021/" TargetMode="External" /><Relationship Type="http://schemas.openxmlformats.org/officeDocument/2006/relationships/hyperlink" Id="rId4398" Target="https://www.ncbi.nlm.nih.gov/books/NBK11023/" TargetMode="External" /><Relationship Type="http://schemas.openxmlformats.org/officeDocument/2006/relationships/hyperlink" Id="rId2962" Target="https://www.ncbi.nlm.nih.gov/books/NBK11038/" TargetMode="External" /><Relationship Type="http://schemas.openxmlformats.org/officeDocument/2006/relationships/hyperlink" Id="rId2934" Target="https://www.ncbi.nlm.nih.gov/books/NBK11039/" TargetMode="External" /><Relationship Type="http://schemas.openxmlformats.org/officeDocument/2006/relationships/hyperlink" Id="rId2910" Target="https://www.ncbi.nlm.nih.gov/books/NBK11052/" TargetMode="External" /><Relationship Type="http://schemas.openxmlformats.org/officeDocument/2006/relationships/hyperlink" Id="rId2663" Target="https://www.ncbi.nlm.nih.gov/books/NBK11053/" TargetMode="External" /><Relationship Type="http://schemas.openxmlformats.org/officeDocument/2006/relationships/hyperlink" Id="rId2912" Target="https://www.ncbi.nlm.nih.gov/books/NBK11059/" TargetMode="External" /><Relationship Type="http://schemas.openxmlformats.org/officeDocument/2006/relationships/hyperlink" Id="rId2603" Target="https://www.ncbi.nlm.nih.gov/books/NBK11061/" TargetMode="External" /><Relationship Type="http://schemas.openxmlformats.org/officeDocument/2006/relationships/hyperlink" Id="rId2625" Target="https://www.ncbi.nlm.nih.gov/books/NBK11083/" TargetMode="External" /><Relationship Type="http://schemas.openxmlformats.org/officeDocument/2006/relationships/hyperlink" Id="rId2703" Target="https://www.ncbi.nlm.nih.gov/books/NBK11099/" TargetMode="External" /><Relationship Type="http://schemas.openxmlformats.org/officeDocument/2006/relationships/hyperlink" Id="rId2966" Target="https://www.ncbi.nlm.nih.gov/books/NBK11100/" TargetMode="External" /><Relationship Type="http://schemas.openxmlformats.org/officeDocument/2006/relationships/hyperlink" Id="rId2613" Target="https://www.ncbi.nlm.nih.gov/books/NBK11142/" TargetMode="External" /><Relationship Type="http://schemas.openxmlformats.org/officeDocument/2006/relationships/hyperlink" Id="rId2605" Target="https://www.ncbi.nlm.nih.gov/books/NBK11154/" TargetMode="External" /><Relationship Type="http://schemas.openxmlformats.org/officeDocument/2006/relationships/hyperlink" Id="rId4412" Target="https://www.ncbi.nlm.nih.gov/books/NBK278958/" TargetMode="External" /><Relationship Type="http://schemas.openxmlformats.org/officeDocument/2006/relationships/hyperlink" Id="rId4414" Target="https://www.ncbi.nlm.nih.gov/books/NBK279056/" TargetMode="External" /><Relationship Type="http://schemas.openxmlformats.org/officeDocument/2006/relationships/hyperlink" Id="rId4374" Target="https://www.ncbi.nlm.nih.gov/books/NBK279156/" TargetMode="External" /><Relationship Type="http://schemas.openxmlformats.org/officeDocument/2006/relationships/hyperlink" Id="rId5569" Target="https://www.nccih.nih.gov/health/ginkgo" TargetMode="External" /><Relationship Type="http://schemas.openxmlformats.org/officeDocument/2006/relationships/hyperlink" Id="rId3682" Target="https://www.nhlbi.nih.gov/health/sleep/stages-of-sleep" TargetMode="External" /><Relationship Type="http://schemas.openxmlformats.org/officeDocument/2006/relationships/hyperlink" Id="rId5532" Target="https://www.nia.nih.gov/health/memory-loss-and-forgetfulness/memory-forgetfulness-and-aging-whats-normal-and-whats-not" TargetMode="External" /><Relationship Type="http://schemas.openxmlformats.org/officeDocument/2006/relationships/hyperlink" Id="rId5314" Target="https://www.nice.org.uk/Guidance/CG159/chapter/recommendations" TargetMode="External" /><Relationship Type="http://schemas.openxmlformats.org/officeDocument/2006/relationships/hyperlink" Id="rId5312" Target="https://www.nice.org.uk/guidance/cg113/chapter/recommendations" TargetMode="External" /><Relationship Type="http://schemas.openxmlformats.org/officeDocument/2006/relationships/hyperlink" Id="rId5238" Target="https://www.nice.org.uk/guidance/cg170/chapter/recommendations" TargetMode="External" /><Relationship Type="http://schemas.openxmlformats.org/officeDocument/2006/relationships/hyperlink" Id="rId5374" Target="https://www.nice.org.uk/guidance/cg178/chapter/recommendations" TargetMode="External" /><Relationship Type="http://schemas.openxmlformats.org/officeDocument/2006/relationships/hyperlink" Id="rId5338" Target="https://www.nice.org.uk/guidance/cg31/chapter/Recommendations" TargetMode="External" /><Relationship Type="http://schemas.openxmlformats.org/officeDocument/2006/relationships/hyperlink" Id="rId5318" Target="https://www.nice.org.uk/guidance/ng116/chapter/recommendations" TargetMode="External" /><Relationship Type="http://schemas.openxmlformats.org/officeDocument/2006/relationships/hyperlink" Id="rId5631" Target="https://www.nice.org.uk/guidance/ng217/chapter/diagnosis-and-assessment-of-epilepsy" TargetMode="External" /><Relationship Type="http://schemas.openxmlformats.org/officeDocument/2006/relationships/hyperlink" Id="rId5601" Target="https://www.nice.org.uk/guidance/ng220/chapter/Recommendations" TargetMode="External" /><Relationship Type="http://schemas.openxmlformats.org/officeDocument/2006/relationships/hyperlink" Id="rId4893" Target="https://www.nice.org.uk/guidance/ng222" TargetMode="External" /><Relationship Type="http://schemas.openxmlformats.org/officeDocument/2006/relationships/hyperlink" Id="rId4316" Target="https://www.nice.org.uk/guidance/ng222/chapter/Recommendations" TargetMode="External" /><Relationship Type="http://schemas.openxmlformats.org/officeDocument/2006/relationships/hyperlink" Id="rId5310" Target="https://www.nice.org.uk/guidance/ng225/chapter/recommendations" TargetMode="External" /><Relationship Type="http://schemas.openxmlformats.org/officeDocument/2006/relationships/hyperlink" Id="rId5792" Target="https://www.nice.org.uk/guidance/ng236/chapter/Recommendations" TargetMode="External" /><Relationship Type="http://schemas.openxmlformats.org/officeDocument/2006/relationships/hyperlink" Id="rId5563" Target="https://www.nice.org.uk/guidance/ng239/chapter/recommendations" TargetMode="External" /><Relationship Type="http://schemas.openxmlformats.org/officeDocument/2006/relationships/hyperlink" Id="rId5689" Target="https://www.nice.org.uk/guidance/ng71/chapter/Recommendations" TargetMode="External" /><Relationship Type="http://schemas.openxmlformats.org/officeDocument/2006/relationships/hyperlink" Id="rId5147" Target="https://www.nice.org.uk/guidance/ng72/chapter/recommendations" TargetMode="External" /><Relationship Type="http://schemas.openxmlformats.org/officeDocument/2006/relationships/hyperlink" Id="rId5216" Target="https://www.nice.org.uk/guidance/ng87/chapter/recommendations" TargetMode="External" /><Relationship Type="http://schemas.openxmlformats.org/officeDocument/2006/relationships/hyperlink" Id="rId5117" Target="https://www.nichd.nih.gov/health/topics/ntds/conditioninfo" TargetMode="External" /><Relationship Type="http://schemas.openxmlformats.org/officeDocument/2006/relationships/hyperlink" Id="rId4370" Target="https://www.niddk.nih.gov/health-information/endocrine-diseases/adrenal-insufficiency-addisons-disease" TargetMode="External" /><Relationship Type="http://schemas.openxmlformats.org/officeDocument/2006/relationships/hyperlink" Id="rId5214" Target="https://www.nimh.nih.gov/health/publications/attention-deficit-hyperactivity-disorder-what-you-need-to-know" TargetMode="External" /><Relationship Type="http://schemas.openxmlformats.org/officeDocument/2006/relationships/hyperlink" Id="rId4314" Target="https://www.nimh.nih.gov/health/publications/depression" TargetMode="External" /><Relationship Type="http://schemas.openxmlformats.org/officeDocument/2006/relationships/hyperlink" Id="rId5330" Target="https://www.nimh.nih.gov/health/publications/obsessive-compulsive-disorder-when-unwanted-thoughts-or-repetitive-behaviors-take-over" TargetMode="External" /><Relationship Type="http://schemas.openxmlformats.org/officeDocument/2006/relationships/hyperlink" Id="rId5368" Target="https://www.nimh.nih.gov/health/publications/understanding-psychosis" TargetMode="External" /><Relationship Type="http://schemas.openxmlformats.org/officeDocument/2006/relationships/hyperlink" Id="rId5264" Target="https://www.nimh.nih.gov/research/research-funded-by-nimh/rdoc/about-rdoc" TargetMode="External" /><Relationship Type="http://schemas.openxmlformats.org/officeDocument/2006/relationships/hyperlink" Id="rId5518" Target="https://www.ninds.nih.gov/health-information/disorders/narcolepsy" TargetMode="External" /><Relationship Type="http://schemas.openxmlformats.org/officeDocument/2006/relationships/hyperlink" Id="rId4109" Target="https://www.psychologytoday.com/us/blog/i-got-mind-tell-you/201508/the-amygdala-is-not-the-brains-fear-center" TargetMode="External" /><Relationship Type="http://schemas.openxmlformats.org/officeDocument/2006/relationships/hyperlink" Id="rId4032" Target="https://www.psychologytoday.com/us/blog/your-neurochemical-self/201107/nature-gave-us-four-kinds-happiness" TargetMode="External" /><Relationship Type="http://schemas.openxmlformats.org/officeDocument/2006/relationships/hyperlink" Id="rId5358" Target="https://www.ptsd.va.gov/professional/treat/txessentials/clinician_guide_meds.asp" TargetMode="External" /><Relationship Type="http://schemas.openxmlformats.org/officeDocument/2006/relationships/hyperlink" Id="rId4877" Target="https://www.smithsonianmag.com/smart-news/the-worlds-happiest-man-is-a-tibetan-monk-105980614/" TargetMode="External" /><Relationship Type="http://schemas.openxmlformats.org/officeDocument/2006/relationships/hyperlink" Id="rId5898" Target="https://www.unesco.org/en/articles/ethics-neurotechnology-unesco-adopts-first-global-standard-cutting-edge-technology" TargetMode="External" /><Relationship Type="http://schemas.openxmlformats.org/officeDocument/2006/relationships/hyperlink" Id="rId5896" Target="https://www.unesco.org/en/node/86248" TargetMode="External" /><Relationship Type="http://schemas.openxmlformats.org/officeDocument/2006/relationships/hyperlink" Id="rId5119" Target="https://www.uspreventiveservicestaskforce.org/uspstf/recommendation/folic-acid-for-the-prevention-of-neural-tube-defects-preventive-medication" TargetMode="External" /><Relationship Type="http://schemas.openxmlformats.org/officeDocument/2006/relationships/hyperlink" Id="rId5252" Target="https://www.who.int/classifications/international-classification-of-functioning-disability-and-health" TargetMode="External" /><Relationship Type="http://schemas.openxmlformats.org/officeDocument/2006/relationships/hyperlink" Id="rId5236" Target="https://www.who.int/news-room/questions-and-answers/item/autism-spectrum-disorders-(asd)" TargetMode="External" /><Relationship Type="http://schemas.openxmlformats.org/officeDocument/2006/relationships/hyperlink" Id="rId5234" Target="https://www.who.int/news/item/11-12-2025-statement-gacvs-vaccines-autism" TargetMode="External" /><Relationship Type="http://schemas.openxmlformats.org/officeDocument/2006/relationships/hyperlink" Id="rId5125" Target="https://www.who.int/publications/i/item/9789240058262/" TargetMode="External" /><Relationship Type="http://schemas.openxmlformats.org/officeDocument/2006/relationships/hyperlink" Id="rId5348" Target="https://www.who.int/publications/i/item/9789240077263" TargetMode="External" /><Relationship Id="rIdHdrDefault" Type="http://schemas.openxmlformats.org/officeDocument/2006/relationships/header" Target="header1.xml"/><Relationship Id="rIdHdrFirst" Type="http://schemas.openxmlformats.org/officeDocument/2006/relationships/header" Target="header2.xml"/><Relationship Id="rIdFtrDefault" Type="http://schemas.openxmlformats.org/officeDocument/2006/relationships/footer" Target="footer1.xml"/><Relationship Id="rIdFtrFirst"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5196" Target="https://aaidd.org/intellectual-disability/definition" TargetMode="External" /><Relationship Type="http://schemas.openxmlformats.org/officeDocument/2006/relationships/hyperlink" Id="rId4035" Target="https://abc7news.com/post/silicon-valley-takes-on-dopamine-fasting-20-to-battle-bad-habits-addiction/5685298/" TargetMode="External" /><Relationship Type="http://schemas.openxmlformats.org/officeDocument/2006/relationships/hyperlink" Id="rId2607" Target="https://brain.oit.duke.edu/lab05/lab05.html" TargetMode="External" /><Relationship Type="http://schemas.openxmlformats.org/officeDocument/2006/relationships/hyperlink" Id="rId5102" Target="https://cbetaonline.dila.edu.tw/zh/T0620" TargetMode="External" /><Relationship Type="http://schemas.openxmlformats.org/officeDocument/2006/relationships/hyperlink" Id="rId5104" Target="https://cbetaonline.dila.edu.tw/zh/T1915" TargetMode="External" /><Relationship Type="http://schemas.openxmlformats.org/officeDocument/2006/relationships/hyperlink" Id="rId5952" Target="https://dailymed.nlm.nih.gov/dailymed/drugInfo.cfm?setid=81356b45-1cb7-4eef-88ea-e44cc18b47c5" TargetMode="External" /><Relationship Type="http://schemas.openxmlformats.org/officeDocument/2006/relationships/hyperlink" Id="rId5587" Target="https://dailymed.nlm.nih.gov/dailymed/drugInfo.cfm?setid=9d1ff786-e577-410a-a273-c4d7d0e4e975" TargetMode="External" /><Relationship Type="http://schemas.openxmlformats.org/officeDocument/2006/relationships/hyperlink" Id="rId5617" Target="https://dailymed.nlm.nih.gov/dailymed/drugInfo.cfm?setid=ebcd67fa-b4d1-4a22-b33d-ee8bf6b9c722" TargetMode="External" /><Relationship Type="http://schemas.openxmlformats.org/officeDocument/2006/relationships/hyperlink" Id="rId5444" Target="https://dailymed.nlm.nih.gov/dailymed/fda/fdaDrugXsl.cfm?setid=b998ed05-94b0-47fd-b28f-cddd1e128fd8" TargetMode="External" /><Relationship Type="http://schemas.openxmlformats.org/officeDocument/2006/relationships/hyperlink" Id="rId5308" Target="https://dailymed.nlm.nih.gov/dailymed/fda/fdaDrugXsl.cfm?setid=f18e53b0-d0bb-422d-8de7-ab64b7292b29" TargetMode="External" /><Relationship Type="http://schemas.openxmlformats.org/officeDocument/2006/relationships/hyperlink" Id="rId5406" Target="https://dailymed.nlm.nih.gov/dailymed/lookup.cfm?setid=8f0e73bf-6025-44f6-ab64-0983322de0df" TargetMode="External" /><Relationship Type="http://schemas.openxmlformats.org/officeDocument/2006/relationships/hyperlink" Id="rId5046" Target="https://dlbs.liberal.ntu.edu.tw/search/search_detail.jsp?seq=666743" TargetMode="External" /><Relationship Type="http://schemas.openxmlformats.org/officeDocument/2006/relationships/hyperlink" Id="rId5272" Target="https://doi.org/10.1001/2013.jamapsychiatry.4" TargetMode="External" /><Relationship Type="http://schemas.openxmlformats.org/officeDocument/2006/relationships/hyperlink" Id="rId5382" Target="https://doi.org/10.1001/archgenpsychiatry.2012.169" TargetMode="External" /><Relationship Type="http://schemas.openxmlformats.org/officeDocument/2006/relationships/hyperlink" Id="rId5384" Target="https://doi.org/10.1001/archpsyc.1994.03950030035004" TargetMode="External" /><Relationship Type="http://schemas.openxmlformats.org/officeDocument/2006/relationships/hyperlink" Id="rId5260" Target="https://doi.org/10.1001/archpsyc.62.4.409" TargetMode="External" /><Relationship Type="http://schemas.openxmlformats.org/officeDocument/2006/relationships/hyperlink" Id="rId5557" Target="https://doi.org/10.1001/jama.2008.683" TargetMode="External" /><Relationship Type="http://schemas.openxmlformats.org/officeDocument/2006/relationships/hyperlink" Id="rId5567" Target="https://doi.org/10.1001/jama.2009.1913" TargetMode="External" /><Relationship Type="http://schemas.openxmlformats.org/officeDocument/2006/relationships/hyperlink" Id="rId5548" Target="https://doi.org/10.1001/jama.2015.9617" TargetMode="External" /><Relationship Type="http://schemas.openxmlformats.org/officeDocument/2006/relationships/hyperlink" Id="rId4915" Target="https://doi.org/10.1001/jama.2016.2323" TargetMode="External" /><Relationship Type="http://schemas.openxmlformats.org/officeDocument/2006/relationships/hyperlink" Id="rId5552" Target="https://doi.org/10.1001/jama.2018.21442" TargetMode="External" /><Relationship Type="http://schemas.openxmlformats.org/officeDocument/2006/relationships/hyperlink" Id="rId4629" Target="https://doi.org/10.1001/jama.2022.21680" TargetMode="External" /><Relationship Type="http://schemas.openxmlformats.org/officeDocument/2006/relationships/hyperlink" Id="rId5585" Target="https://doi.org/10.1001/jama.2023.13239" TargetMode="External" /><Relationship Type="http://schemas.openxmlformats.org/officeDocument/2006/relationships/hyperlink" Id="rId5577" Target="https://doi.org/10.1001/jama.2024.13855" TargetMode="External" /><Relationship Type="http://schemas.openxmlformats.org/officeDocument/2006/relationships/hyperlink" Id="rId5542" Target="https://doi.org/10.1001/jama.2025.12923" TargetMode="External" /><Relationship Type="http://schemas.openxmlformats.org/officeDocument/2006/relationships/hyperlink" Id="rId5342" Target="https://doi.org/10.1001/jama.292.16.1969" TargetMode="External" /><Relationship Type="http://schemas.openxmlformats.org/officeDocument/2006/relationships/hyperlink" Id="rId3044" Target="https://doi.org/10.1001/jama.296.17.2095" TargetMode="External" /><Relationship Type="http://schemas.openxmlformats.org/officeDocument/2006/relationships/hyperlink" Id="rId4554" Target="https://doi.org/10.1001/jamainternmed.2013.13018" TargetMode="External" /><Relationship Type="http://schemas.openxmlformats.org/officeDocument/2006/relationships/hyperlink" Id="rId4925" Target="https://doi.org/10.1001/jamainternmed.2022.0033" TargetMode="External" /><Relationship Type="http://schemas.openxmlformats.org/officeDocument/2006/relationships/hyperlink" Id="rId4913" Target="https://doi.org/10.1001/jamainternmed.2024.3940" TargetMode="External" /><Relationship Type="http://schemas.openxmlformats.org/officeDocument/2006/relationships/hyperlink" Id="rId4912" Target="https://doi.org/10.1001/jamainternmed.2024.5487" TargetMode="External" /><Relationship Type="http://schemas.openxmlformats.org/officeDocument/2006/relationships/hyperlink" Id="rId5352" Target="https://doi.org/10.1001/jamanetworkopen.2021.36921" TargetMode="External" /><Relationship Type="http://schemas.openxmlformats.org/officeDocument/2006/relationships/hyperlink" Id="rId4949" Target="https://doi.org/10.1001/jamanetworkopen.2023.39243" TargetMode="External" /><Relationship Type="http://schemas.openxmlformats.org/officeDocument/2006/relationships/hyperlink" Id="rId4904" Target="https://doi.org/10.1001/jamanetworkopen.2024.38453" TargetMode="External" /><Relationship Type="http://schemas.openxmlformats.org/officeDocument/2006/relationships/hyperlink" Id="rId4917" Target="https://doi.org/10.1001/jamanetworkopen.2025.3204" TargetMode="External" /><Relationship Type="http://schemas.openxmlformats.org/officeDocument/2006/relationships/hyperlink" Id="rId5007" Target="https://doi.org/10.1001/jamanetworkopen.2026.29946" TargetMode="External" /><Relationship Type="http://schemas.openxmlformats.org/officeDocument/2006/relationships/hyperlink" Id="rId5605" Target="https://doi.org/10.1001/jamaneurol.2020.1568" TargetMode="External" /><Relationship Type="http://schemas.openxmlformats.org/officeDocument/2006/relationships/hyperlink" Id="rId5595" Target="https://doi.org/10.1001/jamaneurol.2021.0912" TargetMode="External" /><Relationship Type="http://schemas.openxmlformats.org/officeDocument/2006/relationships/hyperlink" Id="rId4597" Target="https://doi.org/10.1001/jamaneurol.2022.3185" TargetMode="External" /><Relationship Type="http://schemas.openxmlformats.org/officeDocument/2006/relationships/hyperlink" Id="rId5597" Target="https://doi.org/10.1001/jamaneurol.2022.4251" TargetMode="External" /><Relationship Type="http://schemas.openxmlformats.org/officeDocument/2006/relationships/hyperlink" Id="rId5581" Target="https://doi.org/10.1001/jamaneurol.2023.0199" TargetMode="External" /><Relationship Type="http://schemas.openxmlformats.org/officeDocument/2006/relationships/hyperlink" Id="rId5573" Target="https://doi.org/10.1001/jamaneurol.2024.3770" TargetMode="External" /><Relationship Type="http://schemas.openxmlformats.org/officeDocument/2006/relationships/hyperlink" Id="rId5454" Target="https://doi.org/10.1001/jamaneurol.2025.1317" TargetMode="External" /><Relationship Type="http://schemas.openxmlformats.org/officeDocument/2006/relationships/hyperlink" Id="rId5956" Target="https://doi.org/10.1001/jamaneurol.2025.4946" TargetMode="External" /><Relationship Type="http://schemas.openxmlformats.org/officeDocument/2006/relationships/hyperlink" Id="rId5244" Target="https://doi.org/10.1001/jamapediatrics.2014.1893" TargetMode="External" /><Relationship Type="http://schemas.openxmlformats.org/officeDocument/2006/relationships/hyperlink" Id="rId5149" Target="https://doi.org/10.1001/jamapediatrics.2017.1689" TargetMode="External" /><Relationship Type="http://schemas.openxmlformats.org/officeDocument/2006/relationships/hyperlink" Id="rId5150" Target="https://doi.org/10.1001/jamapediatrics.2017.3169" TargetMode="External" /><Relationship Type="http://schemas.openxmlformats.org/officeDocument/2006/relationships/hyperlink" Id="rId5736" Target="https://doi.org/10.1001/jamapediatrics.2018.4397" TargetMode="External" /><Relationship Type="http://schemas.openxmlformats.org/officeDocument/2006/relationships/hyperlink" Id="rId5152" Target="https://doi.org/10.1001/jamapediatrics.2021.0878" TargetMode="External" /><Relationship Type="http://schemas.openxmlformats.org/officeDocument/2006/relationships/hyperlink" Id="rId5154" Target="https://doi.org/10.1001/jamapediatrics.2023.0008" TargetMode="External" /><Relationship Type="http://schemas.openxmlformats.org/officeDocument/2006/relationships/hyperlink" Id="rId5139" Target="https://doi.org/10.1001/jamapediatrics.2024.6613" TargetMode="External" /><Relationship Type="http://schemas.openxmlformats.org/officeDocument/2006/relationships/hyperlink" Id="rId5340" Target="https://doi.org/10.1001/jamapsychiatry.2013.1932" TargetMode="External" /><Relationship Type="http://schemas.openxmlformats.org/officeDocument/2006/relationships/hyperlink" Id="rId4560" Target="https://doi.org/10.1001/jamapsychiatry.2016.0076" TargetMode="External" /><Relationship Type="http://schemas.openxmlformats.org/officeDocument/2006/relationships/hyperlink" Id="rId5738" Target="https://doi.org/10.1001/jamapsychiatry.2018.4288" TargetMode="External" /><Relationship Type="http://schemas.openxmlformats.org/officeDocument/2006/relationships/hyperlink" Id="rId5242" Target="https://doi.org/10.1001/jamapsychiatry.2019.1411" TargetMode="External" /><Relationship Type="http://schemas.openxmlformats.org/officeDocument/2006/relationships/hyperlink" Id="rId4793" Target="https://doi.org/10.1001/jamapsychiatry.2020.0431" TargetMode="External" /><Relationship Type="http://schemas.openxmlformats.org/officeDocument/2006/relationships/hyperlink" Id="rId5378" Target="https://doi.org/10.1001/jamapsychiatry.2021.0620" TargetMode="External" /><Relationship Type="http://schemas.openxmlformats.org/officeDocument/2006/relationships/hyperlink" Id="rId5392" Target="https://doi.org/10.1001/jamapsychiatry.2021.0830" TargetMode="External" /><Relationship Type="http://schemas.openxmlformats.org/officeDocument/2006/relationships/hyperlink" Id="rId4570" Target="https://doi.org/10.1001/jamapsychiatry.2022.3679" TargetMode="External" /><Relationship Type="http://schemas.openxmlformats.org/officeDocument/2006/relationships/hyperlink" Id="rId4900" Target="https://doi.org/10.1001/jamapsychiatry.2023.0222" TargetMode="External" /><Relationship Type="http://schemas.openxmlformats.org/officeDocument/2006/relationships/hyperlink" Id="rId4899" Target="https://doi.org/10.1001/jamapsychiatry.2023.1466" TargetMode="External" /><Relationship Type="http://schemas.openxmlformats.org/officeDocument/2006/relationships/hyperlink" Id="rId4486" Target="https://doi.org/10.1001/jamapsychiatry.2023.1817" TargetMode="External" /><Relationship Type="http://schemas.openxmlformats.org/officeDocument/2006/relationships/hyperlink" Id="rId5320" Target="https://doi.org/10.1001/jamapsychiatry.2023.3971" TargetMode="External" /><Relationship Type="http://schemas.openxmlformats.org/officeDocument/2006/relationships/hyperlink" Id="rId5324" Target="https://doi.org/10.1001/jamapsychiatry.2023.5364" TargetMode="External" /><Relationship Type="http://schemas.openxmlformats.org/officeDocument/2006/relationships/hyperlink" Id="rId5322" Target="https://doi.org/10.1001/jamapsychiatry.2023.5480" TargetMode="External" /><Relationship Type="http://schemas.openxmlformats.org/officeDocument/2006/relationships/hyperlink" Id="rId5402" Target="https://doi.org/10.1001/jamapsychiatry.2024.0785" TargetMode="External" /><Relationship Type="http://schemas.openxmlformats.org/officeDocument/2006/relationships/hyperlink" Id="rId5404" Target="https://doi.org/10.1001/jamapsychiatry.2024.2002" TargetMode="External" /><Relationship Type="http://schemas.openxmlformats.org/officeDocument/2006/relationships/hyperlink" Id="rId5226" Target="https://doi.org/10.1001/jamapsychiatry.2024.3702" TargetMode="External" /><Relationship Type="http://schemas.openxmlformats.org/officeDocument/2006/relationships/hyperlink" Id="rId5296" Target="https://doi.org/10.1001/jamapsychiatry.2025.1362" TargetMode="External" /><Relationship Type="http://schemas.openxmlformats.org/officeDocument/2006/relationships/hyperlink" Id="rId2597" Target="https://doi.org/10.1002/(SICI)1096-9861(19971020)387:2&lt;167::AID-CNE1&gt;3.0.CO;2-Z" TargetMode="External" /><Relationship Type="http://schemas.openxmlformats.org/officeDocument/2006/relationships/hyperlink" Id="rId4087" Target="https://doi.org/10.1002/(sici)1097-0193(1999)8:4%3C272::aid-hbm10%3E3.0.co;2-4" TargetMode="External" /><Relationship Type="http://schemas.openxmlformats.org/officeDocument/2006/relationships/hyperlink" Id="rId5810" Target="https://doi.org/10.1002/14651858.CD000425.pub4" TargetMode="External" /><Relationship Type="http://schemas.openxmlformats.org/officeDocument/2006/relationships/hyperlink" Id="rId5826" Target="https://doi.org/10.1002/14651858.CD000443.pub4" TargetMode="External" /><Relationship Type="http://schemas.openxmlformats.org/officeDocument/2006/relationships/hyperlink" Id="rId5366" Target="https://doi.org/10.1002/14651858.CD000560" TargetMode="External" /><Relationship Type="http://schemas.openxmlformats.org/officeDocument/2006/relationships/hyperlink" Id="rId5822" Target="https://doi.org/10.1002/14651858.CD003586.pub4" TargetMode="External" /><Relationship Type="http://schemas.openxmlformats.org/officeDocument/2006/relationships/hyperlink" Id="rId5162" Target="https://doi.org/10.1002/14651858.CD004454.pub4" TargetMode="External" /><Relationship Type="http://schemas.openxmlformats.org/officeDocument/2006/relationships/hyperlink" Id="rId5160" Target="https://doi.org/10.1002/14651858.CD004661.pub5" TargetMode="External" /><Relationship Type="http://schemas.openxmlformats.org/officeDocument/2006/relationships/hyperlink" Id="rId5396" Target="https://doi.org/10.1002/14651858.CD008016.pub3" TargetMode="External" /><Relationship Type="http://schemas.openxmlformats.org/officeDocument/2006/relationships/hyperlink" Id="rId5464" Target="https://doi.org/10.1002/14651858.CD015188.pub2" TargetMode="External" /><Relationship Type="http://schemas.openxmlformats.org/officeDocument/2006/relationships/hyperlink" Id="rId4933" Target="https://doi.org/10.1002/14651858.cd013696.pub2" TargetMode="External" /><Relationship Type="http://schemas.openxmlformats.org/officeDocument/2006/relationships/hyperlink" Id="rId5930" Target="https://doi.org/10.1002/acn3.51895" TargetMode="External" /><Relationship Type="http://schemas.openxmlformats.org/officeDocument/2006/relationships/hyperlink" Id="rId3214" Target="https://doi.org/10.1002/acp.1801" TargetMode="External" /><Relationship Type="http://schemas.openxmlformats.org/officeDocument/2006/relationships/hyperlink" Id="rId3154" Target="https://doi.org/10.1002/acp.3220" TargetMode="External" /><Relationship Type="http://schemas.openxmlformats.org/officeDocument/2006/relationships/hyperlink" Id="rId5571" Target="https://doi.org/10.1002/alz.13859" TargetMode="External" /><Relationship Type="http://schemas.openxmlformats.org/officeDocument/2006/relationships/hyperlink" Id="rId5575" Target="https://doi.org/10.1002/alz.70535" TargetMode="External" /><Relationship Type="http://schemas.openxmlformats.org/officeDocument/2006/relationships/hyperlink" Id="rId5158" Target="https://doi.org/10.1002/ana.22267" TargetMode="External" /><Relationship Type="http://schemas.openxmlformats.org/officeDocument/2006/relationships/hyperlink" Id="rId5129" Target="https://doi.org/10.1002/ana.22627" TargetMode="External" /><Relationship Type="http://schemas.openxmlformats.org/officeDocument/2006/relationships/hyperlink" Id="rId5536" Target="https://doi.org/10.1002/ana.25123" TargetMode="External" /><Relationship Type="http://schemas.openxmlformats.org/officeDocument/2006/relationships/hyperlink" Id="rId4711" Target="https://doi.org/10.1002/brb3.71733" TargetMode="External" /><Relationship Type="http://schemas.openxmlformats.org/officeDocument/2006/relationships/hyperlink" Id="rId3919" Target="https://doi.org/10.1002/cne.20118" TargetMode="External" /><Relationship Type="http://schemas.openxmlformats.org/officeDocument/2006/relationships/hyperlink" Id="rId2595" Target="https://doi.org/10.1002/cne.21974" TargetMode="External" /><Relationship Type="http://schemas.openxmlformats.org/officeDocument/2006/relationships/hyperlink" Id="rId2749" Target="https://doi.org/10.1002/cpt.2903" TargetMode="External" /><Relationship Type="http://schemas.openxmlformats.org/officeDocument/2006/relationships/hyperlink" Id="rId3430" Target="https://doi.org/10.1002/dys.1800" TargetMode="External" /><Relationship Type="http://schemas.openxmlformats.org/officeDocument/2006/relationships/hyperlink" Id="rId3994" Target="https://doi.org/10.1002/ejsp.674" TargetMode="External" /><Relationship Type="http://schemas.openxmlformats.org/officeDocument/2006/relationships/hyperlink" Id="rId3780" Target="https://doi.org/10.1002/hbm.22099" TargetMode="External" /><Relationship Type="http://schemas.openxmlformats.org/officeDocument/2006/relationships/hyperlink" Id="rId4627" Target="https://doi.org/10.1002/hbm.22153" TargetMode="External" /><Relationship Type="http://schemas.openxmlformats.org/officeDocument/2006/relationships/hyperlink" Id="rId4691" Target="https://doi.org/10.1002/hbm.70123" TargetMode="External" /><Relationship Type="http://schemas.openxmlformats.org/officeDocument/2006/relationships/hyperlink" Id="rId5066" Target="https://doi.org/10.1002/hbm.70440" TargetMode="External" /><Relationship Type="http://schemas.openxmlformats.org/officeDocument/2006/relationships/hyperlink" Id="rId3542" Target="https://doi.org/10.1002/hipo.10173" TargetMode="External" /><Relationship Type="http://schemas.openxmlformats.org/officeDocument/2006/relationships/hyperlink" Id="rId5847" Target="https://doi.org/10.1002/j.1538-7305.1948.tb01338.x" TargetMode="External" /><Relationship Type="http://schemas.openxmlformats.org/officeDocument/2006/relationships/hyperlink" Id="rId4975" Target="https://doi.org/10.1002/jclp.20237" TargetMode="External" /><Relationship Type="http://schemas.openxmlformats.org/officeDocument/2006/relationships/hyperlink" Id="rId3774" Target="https://doi.org/10.1002/jmri.25168" TargetMode="External" /><Relationship Type="http://schemas.openxmlformats.org/officeDocument/2006/relationships/hyperlink" Id="rId2741" Target="https://doi.org/10.1002/jps.20792" TargetMode="External" /><Relationship Type="http://schemas.openxmlformats.org/officeDocument/2006/relationships/hyperlink" Id="rId5710" Target="https://doi.org/10.1002/mdc3.70824" TargetMode="External" /><Relationship Type="http://schemas.openxmlformats.org/officeDocument/2006/relationships/hyperlink" Id="rId5685" Target="https://doi.org/10.1002/mds.26424" TargetMode="External" /><Relationship Type="http://schemas.openxmlformats.org/officeDocument/2006/relationships/hyperlink" Id="rId5474" Target="https://doi.org/10.1002/mds.26525" TargetMode="External" /><Relationship Type="http://schemas.openxmlformats.org/officeDocument/2006/relationships/hyperlink" Id="rId5720" Target="https://doi.org/10.1002/mds.26987" TargetMode="External" /><Relationship Type="http://schemas.openxmlformats.org/officeDocument/2006/relationships/hyperlink" Id="rId5687" Target="https://doi.org/10.1002/mds.27121" TargetMode="External" /><Relationship Type="http://schemas.openxmlformats.org/officeDocument/2006/relationships/hyperlink" Id="rId5718" Target="https://doi.org/10.1002/mds.29005" TargetMode="External" /><Relationship Type="http://schemas.openxmlformats.org/officeDocument/2006/relationships/hyperlink" Id="rId5958" Target="https://doi.org/10.1002/mus.27853" TargetMode="External" /><Relationship Type="http://schemas.openxmlformats.org/officeDocument/2006/relationships/hyperlink" Id="rId4079" Target="https://doi.org/10.1002/trc2.70197" TargetMode="External" /><Relationship Type="http://schemas.openxmlformats.org/officeDocument/2006/relationships/hyperlink" Id="rId3514" Target="https://doi.org/10.1002/wcs.1678" TargetMode="External" /><Relationship Type="http://schemas.openxmlformats.org/officeDocument/2006/relationships/hyperlink" Id="rId3597" Target="https://doi.org/10.1002/wcs.70040" TargetMode="External" /><Relationship Type="http://schemas.openxmlformats.org/officeDocument/2006/relationships/hyperlink" Id="rId3340" Target="https://doi.org/10.1006/cogp.1999.0734" TargetMode="External" /><Relationship Type="http://schemas.openxmlformats.org/officeDocument/2006/relationships/hyperlink" Id="rId4143" Target="https://doi.org/10.1006/nimg.2001.0922" TargetMode="External" /><Relationship Type="http://schemas.openxmlformats.org/officeDocument/2006/relationships/hyperlink" Id="rId2811" Target="https://doi.org/10.1007/978-1-0716-2289-6_1" TargetMode="External" /><Relationship Type="http://schemas.openxmlformats.org/officeDocument/2006/relationships/hyperlink" Id="rId2619" Target="https://doi.org/10.1007/978-3-031-50675-8_12" TargetMode="External" /><Relationship Type="http://schemas.openxmlformats.org/officeDocument/2006/relationships/hyperlink" Id="rId3599" Target="https://doi.org/10.1007/BF00115009" TargetMode="External" /><Relationship Type="http://schemas.openxmlformats.org/officeDocument/2006/relationships/hyperlink" Id="rId3651" Target="https://doi.org/10.1007/BF00122574" TargetMode="External" /><Relationship Type="http://schemas.openxmlformats.org/officeDocument/2006/relationships/hyperlink" Id="rId3418" Target="https://doi.org/10.1007/BF00401799" TargetMode="External" /><Relationship Type="http://schemas.openxmlformats.org/officeDocument/2006/relationships/hyperlink" Id="rId2685" Target="https://doi.org/10.1007/BF00656997" TargetMode="External" /><Relationship Type="http://schemas.openxmlformats.org/officeDocument/2006/relationships/hyperlink" Id="rId3887" Target="https://doi.org/10.1007/BF02293801" TargetMode="External" /><Relationship Type="http://schemas.openxmlformats.org/officeDocument/2006/relationships/hyperlink" Id="rId3889" Target="https://doi.org/10.1007/BF02294825" TargetMode="External" /><Relationship Type="http://schemas.openxmlformats.org/officeDocument/2006/relationships/hyperlink" Id="rId3957" Target="https://doi.org/10.1007/bf00230027" TargetMode="External" /><Relationship Type="http://schemas.openxmlformats.org/officeDocument/2006/relationships/hyperlink" Id="rId3649" Target="https://doi.org/10.1007/s00213-006-0502-4" TargetMode="External" /><Relationship Type="http://schemas.openxmlformats.org/officeDocument/2006/relationships/hyperlink" Id="rId5613" Target="https://doi.org/10.1007/s00415-023-11634-0" TargetMode="External" /><Relationship Type="http://schemas.openxmlformats.org/officeDocument/2006/relationships/hyperlink" Id="rId3740" Target="https://doi.org/10.1007/s00426-018-1066-8" TargetMode="External" /><Relationship Type="http://schemas.openxmlformats.org/officeDocument/2006/relationships/hyperlink" Id="rId4197" Target="https://doi.org/10.1007/s00429-014-0803-z" TargetMode="External" /><Relationship Type="http://schemas.openxmlformats.org/officeDocument/2006/relationships/hyperlink" Id="rId4829" Target="https://doi.org/10.1007/s10339-009-0352-1" TargetMode="External" /><Relationship Type="http://schemas.openxmlformats.org/officeDocument/2006/relationships/hyperlink" Id="rId4456" Target="https://doi.org/10.1007/s10484-020-09466-z" TargetMode="External" /><Relationship Type="http://schemas.openxmlformats.org/officeDocument/2006/relationships/hyperlink" Id="rId5086" Target="https://doi.org/10.1007/s10548-024-01052-4" TargetMode="External" /><Relationship Type="http://schemas.openxmlformats.org/officeDocument/2006/relationships/hyperlink" Id="rId5092" Target="https://doi.org/10.1007/s10548-024-01089-5" TargetMode="External" /><Relationship Type="http://schemas.openxmlformats.org/officeDocument/2006/relationships/hyperlink" Id="rId5094" Target="https://doi.org/10.1007/s10548-024-01090-y" TargetMode="External" /><Relationship Type="http://schemas.openxmlformats.org/officeDocument/2006/relationships/hyperlink" Id="rId3210" Target="https://doi.org/10.1007/s10648-013-9240-4" TargetMode="External" /><Relationship Type="http://schemas.openxmlformats.org/officeDocument/2006/relationships/hyperlink" Id="rId3460" Target="https://doi.org/10.1007/s10648-015-9302-x" TargetMode="External" /><Relationship Type="http://schemas.openxmlformats.org/officeDocument/2006/relationships/hyperlink" Id="rId3240" Target="https://doi.org/10.1007/s10648-018-9435-9" TargetMode="External" /><Relationship Type="http://schemas.openxmlformats.org/officeDocument/2006/relationships/hyperlink" Id="rId3242" Target="https://doi.org/10.1007/s10648-018-9456-4" TargetMode="External" /><Relationship Type="http://schemas.openxmlformats.org/officeDocument/2006/relationships/hyperlink" Id="rId3228" Target="https://doi.org/10.1007/s10648-019-09465-5" TargetMode="External" /><Relationship Type="http://schemas.openxmlformats.org/officeDocument/2006/relationships/hyperlink" Id="rId3424" Target="https://doi.org/10.1007/s10648-024-09915-9" TargetMode="External" /><Relationship Type="http://schemas.openxmlformats.org/officeDocument/2006/relationships/hyperlink" Id="rId3220" Target="https://doi.org/10.1007/s10648-025-10035-1" TargetMode="External" /><Relationship Type="http://schemas.openxmlformats.org/officeDocument/2006/relationships/hyperlink" Id="rId3180" Target="https://doi.org/10.1007/s10648-025-10076-6" TargetMode="External" /><Relationship Type="http://schemas.openxmlformats.org/officeDocument/2006/relationships/hyperlink" Id="rId3248" Target="https://doi.org/10.1007/s10648-025-10099-z" TargetMode="External" /><Relationship Type="http://schemas.openxmlformats.org/officeDocument/2006/relationships/hyperlink" Id="rId4000" Target="https://doi.org/10.1007/s10902-019-00128-4" TargetMode="External" /><Relationship Type="http://schemas.openxmlformats.org/officeDocument/2006/relationships/hyperlink" Id="rId3991" Target="https://doi.org/10.1007/s11031-014-9445-y" TargetMode="External" /><Relationship Type="http://schemas.openxmlformats.org/officeDocument/2006/relationships/hyperlink" Id="rId4687" Target="https://doi.org/10.1007/s11065-021-09519-y" TargetMode="External" /><Relationship Type="http://schemas.openxmlformats.org/officeDocument/2006/relationships/hyperlink" Id="rId2735" Target="https://doi.org/10.1007/s11095-007-9502-2" TargetMode="External" /><Relationship Type="http://schemas.openxmlformats.org/officeDocument/2006/relationships/hyperlink" Id="rId3426" Target="https://doi.org/10.1007/s11145-024-10623-7" TargetMode="External" /><Relationship Type="http://schemas.openxmlformats.org/officeDocument/2006/relationships/hyperlink" Id="rId3230" Target="https://doi.org/10.1007/s11251-009-9110-0" TargetMode="External" /><Relationship Type="http://schemas.openxmlformats.org/officeDocument/2006/relationships/hyperlink" Id="rId4574" Target="https://doi.org/10.1007/s11682-018-9826-z" TargetMode="External" /><Relationship Type="http://schemas.openxmlformats.org/officeDocument/2006/relationships/hyperlink" Id="rId4614" Target="https://doi.org/10.1007/s11682-021-00453-4" TargetMode="External" /><Relationship Type="http://schemas.openxmlformats.org/officeDocument/2006/relationships/hyperlink" Id="rId4908" Target="https://doi.org/10.1007/s12160-016-9844-2" TargetMode="External" /><Relationship Type="http://schemas.openxmlformats.org/officeDocument/2006/relationships/hyperlink" Id="rId4603" Target="https://doi.org/10.1007/s12264-011-1141-2" TargetMode="External" /><Relationship Type="http://schemas.openxmlformats.org/officeDocument/2006/relationships/hyperlink" Id="rId5111" Target="https://doi.org/10.1007/s12671-020-01319-4" TargetMode="External" /><Relationship Type="http://schemas.openxmlformats.org/officeDocument/2006/relationships/hyperlink" Id="rId5011" Target="https://doi.org/10.1007/s12671-020-01547-8" TargetMode="External" /><Relationship Type="http://schemas.openxmlformats.org/officeDocument/2006/relationships/hyperlink" Id="rId4801" Target="https://doi.org/10.1007/s12671-022-01857-z" TargetMode="External" /><Relationship Type="http://schemas.openxmlformats.org/officeDocument/2006/relationships/hyperlink" Id="rId4677" Target="https://doi.org/10.1007/s12671-025-02671-z" TargetMode="External" /><Relationship Type="http://schemas.openxmlformats.org/officeDocument/2006/relationships/hyperlink" Id="rId5113" Target="https://doi.org/10.1007/s12671-026-02762-5" TargetMode="External" /><Relationship Type="http://schemas.openxmlformats.org/officeDocument/2006/relationships/hyperlink" Id="rId2669" Target="https://doi.org/10.1016/0006-3002(57)90343-8" TargetMode="External" /><Relationship Type="http://schemas.openxmlformats.org/officeDocument/2006/relationships/hyperlink" Id="rId3544" Target="https://doi.org/10.1016/0006-8993(71)90358-1" TargetMode="External" /><Relationship Type="http://schemas.openxmlformats.org/officeDocument/2006/relationships/hyperlink" Id="rId3406" Target="https://doi.org/10.1016/0010-0277(94)00645-2" TargetMode="External" /><Relationship Type="http://schemas.openxmlformats.org/officeDocument/2006/relationships/hyperlink" Id="rId3170" Target="https://doi.org/10.1016/0010-0285(73)90004-2" TargetMode="External" /><Relationship Type="http://schemas.openxmlformats.org/officeDocument/2006/relationships/hyperlink" Id="rId3478" Target="https://doi.org/10.1016/0010-0285(75)90024-9" TargetMode="External" /><Relationship Type="http://schemas.openxmlformats.org/officeDocument/2006/relationships/hyperlink" Id="rId3522" Target="https://doi.org/10.1016/0010-0285(80)90013-4" TargetMode="External" /><Relationship Type="http://schemas.openxmlformats.org/officeDocument/2006/relationships/hyperlink" Id="rId3526" Target="https://doi.org/10.1016/0010-0285(83)90002-6" TargetMode="External" /><Relationship Type="http://schemas.openxmlformats.org/officeDocument/2006/relationships/hyperlink" Id="rId4123" Target="https://doi.org/10.1016/0013-4694(52)90073-4" TargetMode="External" /><Relationship Type="http://schemas.openxmlformats.org/officeDocument/2006/relationships/hyperlink" Id="rId2655" Target="https://doi.org/10.1016/0092-8674(91)90418-X" TargetMode="External" /><Relationship Type="http://schemas.openxmlformats.org/officeDocument/2006/relationships/hyperlink" Id="rId2739" Target="https://doi.org/10.1016/0092-8674(94)90212-7" TargetMode="External" /><Relationship Type="http://schemas.openxmlformats.org/officeDocument/2006/relationships/hyperlink" Id="rId2984" Target="https://doi.org/10.1016/0092-8674(94)90420-0" TargetMode="External" /><Relationship Type="http://schemas.openxmlformats.org/officeDocument/2006/relationships/hyperlink" Id="rId2697" Target="https://doi.org/10.1016/0092-8674(94)90556-8" TargetMode="External" /><Relationship Type="http://schemas.openxmlformats.org/officeDocument/2006/relationships/hyperlink" Id="rId4532" Target="https://doi.org/10.1016/0163-8343(82)90026-3" TargetMode="External" /><Relationship Type="http://schemas.openxmlformats.org/officeDocument/2006/relationships/hyperlink" Id="rId3389" Target="https://doi.org/10.1016/0166-2236(92)90344-8" TargetMode="External" /><Relationship Type="http://schemas.openxmlformats.org/officeDocument/2006/relationships/hyperlink" Id="rId4121" Target="https://doi.org/10.1016/0166-4328(93)90091-4" TargetMode="External" /><Relationship Type="http://schemas.openxmlformats.org/officeDocument/2006/relationships/hyperlink" Id="rId3182" Target="https://doi.org/10.1016/B978-0-12-800283-4.00007-1" TargetMode="External" /><Relationship Type="http://schemas.openxmlformats.org/officeDocument/2006/relationships/hyperlink" Id="rId3120" Target="https://doi.org/10.1016/S0022-5371(74)80011-3" TargetMode="External" /><Relationship Type="http://schemas.openxmlformats.org/officeDocument/2006/relationships/hyperlink" Id="rId3288" Target="https://doi.org/10.1016/S0022-5371(80)90312-6" TargetMode="External" /><Relationship Type="http://schemas.openxmlformats.org/officeDocument/2006/relationships/hyperlink" Id="rId3609" Target="https://doi.org/10.1016/S0028-3908(98)00033-1" TargetMode="External" /><Relationship Type="http://schemas.openxmlformats.org/officeDocument/2006/relationships/hyperlink" Id="rId3254" Target="https://doi.org/10.1016/S0079-7421(08)60053-5" TargetMode="External" /><Relationship Type="http://schemas.openxmlformats.org/officeDocument/2006/relationships/hyperlink" Id="rId3282" Target="https://doi.org/10.1016/S0079-7421(08)60452-1" TargetMode="External" /><Relationship Type="http://schemas.openxmlformats.org/officeDocument/2006/relationships/hyperlink" Id="rId2657" Target="https://doi.org/10.1016/S0092-8674(00)80581-4" TargetMode="External" /><Relationship Type="http://schemas.openxmlformats.org/officeDocument/2006/relationships/hyperlink" Id="rId3084" Target="https://doi.org/10.1016/S0092-8674(00)81827-9" TargetMode="External" /><Relationship Type="http://schemas.openxmlformats.org/officeDocument/2006/relationships/hyperlink" Id="rId2932" Target="https://doi.org/10.1016/S0092-8674(02)00652-9" TargetMode="External" /><Relationship Type="http://schemas.openxmlformats.org/officeDocument/2006/relationships/hyperlink" Id="rId5742" Target="https://doi.org/10.1016/S0140-6736(04)17188-2" TargetMode="External" /><Relationship Type="http://schemas.openxmlformats.org/officeDocument/2006/relationships/hyperlink" Id="rId5302" Target="https://doi.org/10.1016/S0140-6736(09)61828-6" TargetMode="External" /><Relationship Type="http://schemas.openxmlformats.org/officeDocument/2006/relationships/hyperlink" Id="rId5540" Target="https://doi.org/10.1016/S0140-6736(15)60461-5" TargetMode="External" /><Relationship Type="http://schemas.openxmlformats.org/officeDocument/2006/relationships/hyperlink" Id="rId5804" Target="https://doi.org/10.1016/S0140-6736(15)60690-0" TargetMode="External" /><Relationship Type="http://schemas.openxmlformats.org/officeDocument/2006/relationships/hyperlink" Id="rId5671" Target="https://doi.org/10.1016/S0140-6736(16)00163-X" TargetMode="External" /><Relationship Type="http://schemas.openxmlformats.org/officeDocument/2006/relationships/hyperlink" Id="rId4312" Target="https://doi.org/10.1016/S0140-6736(17)32802-7" TargetMode="External" /><Relationship Type="http://schemas.openxmlformats.org/officeDocument/2006/relationships/hyperlink" Id="rId5286" Target="https://doi.org/10.1016/S0140-6736(18)30295-2" TargetMode="External" /><Relationship Type="http://schemas.openxmlformats.org/officeDocument/2006/relationships/hyperlink" Id="rId5288" Target="https://doi.org/10.1016/S0140-6736(18)31323-0" TargetMode="External" /><Relationship Type="http://schemas.openxmlformats.org/officeDocument/2006/relationships/hyperlink" Id="rId5806" Target="https://doi.org/10.1016/S0140-6736(19)31055-4" TargetMode="External" /><Relationship Type="http://schemas.openxmlformats.org/officeDocument/2006/relationships/hyperlink" Id="rId5394" Target="https://doi.org/10.1016/S0140-6736(19)31135-3" TargetMode="External" /><Relationship Type="http://schemas.openxmlformats.org/officeDocument/2006/relationships/hyperlink" Id="rId5808" Target="https://doi.org/10.1016/S0140-6736(21)00475-X" TargetMode="External" /><Relationship Type="http://schemas.openxmlformats.org/officeDocument/2006/relationships/hyperlink" Id="rId5677" Target="https://doi.org/10.1016/S0140-6736(22)01054-6" TargetMode="External" /><Relationship Type="http://schemas.openxmlformats.org/officeDocument/2006/relationships/hyperlink" Id="rId5550" Target="https://doi.org/10.1016/S0140-6736(23)01406-X" TargetMode="External" /><Relationship Type="http://schemas.openxmlformats.org/officeDocument/2006/relationships/hyperlink" Id="rId5538" Target="https://doi.org/10.1016/S0140-6736(24)01296-0" TargetMode="External" /><Relationship Type="http://schemas.openxmlformats.org/officeDocument/2006/relationships/hyperlink" Id="rId5714" Target="https://doi.org/10.1016/S0140-6736(24)02808-3" TargetMode="External" /><Relationship Type="http://schemas.openxmlformats.org/officeDocument/2006/relationships/hyperlink" Id="rId5716" Target="https://doi.org/10.1016/S0140-6736(26)01241-9" TargetMode="External" /><Relationship Type="http://schemas.openxmlformats.org/officeDocument/2006/relationships/hyperlink" Id="rId5416" Target="https://doi.org/10.1016/S0140-6736(78)92762-9" TargetMode="External" /><Relationship Type="http://schemas.openxmlformats.org/officeDocument/2006/relationships/hyperlink" Id="rId5448" Target="https://doi.org/10.1016/S0140-6736(98)02470-2" TargetMode="External" /><Relationship Type="http://schemas.openxmlformats.org/officeDocument/2006/relationships/hyperlink" Id="rId3042" Target="https://doi.org/10.1016/S0166-2236(96)80018-X" TargetMode="External" /><Relationship Type="http://schemas.openxmlformats.org/officeDocument/2006/relationships/hyperlink" Id="rId2769" Target="https://doi.org/10.1016/S0301-0082(00)00067-8" TargetMode="External" /><Relationship Type="http://schemas.openxmlformats.org/officeDocument/2006/relationships/hyperlink" Id="rId5516" Target="https://doi.org/10.1016/S0896-6273(00)00058-1" TargetMode="External" /><Relationship Type="http://schemas.openxmlformats.org/officeDocument/2006/relationships/hyperlink" Id="rId2715" Target="https://doi.org/10.1016/S0896-6273(01)00373-7" TargetMode="External" /><Relationship Type="http://schemas.openxmlformats.org/officeDocument/2006/relationships/hyperlink" Id="rId3116" Target="https://doi.org/10.1016/S0959-4388(97)80010-4" TargetMode="External" /><Relationship Type="http://schemas.openxmlformats.org/officeDocument/2006/relationships/hyperlink" Id="rId3582" Target="https://doi.org/10.1016/S1053-8119(03)00230-1" TargetMode="External" /><Relationship Type="http://schemas.openxmlformats.org/officeDocument/2006/relationships/hyperlink" Id="rId3284" Target="https://doi.org/10.1016/S1364-6613(00)01538-2" TargetMode="External" /><Relationship Type="http://schemas.openxmlformats.org/officeDocument/2006/relationships/hyperlink" Id="rId3334" Target="https://doi.org/10.1016/S1364-6613(03)00028-7" TargetMode="External" /><Relationship Type="http://schemas.openxmlformats.org/officeDocument/2006/relationships/hyperlink" Id="rId5424" Target="https://doi.org/10.1016/S1474-4422(02)00074-1" TargetMode="External" /><Relationship Type="http://schemas.openxmlformats.org/officeDocument/2006/relationships/hyperlink" Id="rId5599" Target="https://doi.org/10.1016/S1474-4422(12)70310-1" TargetMode="External" /><Relationship Type="http://schemas.openxmlformats.org/officeDocument/2006/relationships/hyperlink" Id="rId5591" Target="https://doi.org/10.1016/S1474-4422(15)00401-9" TargetMode="External" /><Relationship Type="http://schemas.openxmlformats.org/officeDocument/2006/relationships/hyperlink" Id="rId5732" Target="https://doi.org/10.1016/S1474-4422(18)30231-X" TargetMode="External" /><Relationship Type="http://schemas.openxmlformats.org/officeDocument/2006/relationships/hyperlink" Id="rId5812" Target="https://doi.org/10.1016/S1474-4422(19)30192-9" TargetMode="External" /><Relationship Type="http://schemas.openxmlformats.org/officeDocument/2006/relationships/hyperlink" Id="rId5470" Target="https://doi.org/10.1016/S1474-4422(21)00422-1" TargetMode="External" /><Relationship Type="http://schemas.openxmlformats.org/officeDocument/2006/relationships/hyperlink" Id="rId5611" Target="https://doi.org/10.1016/S1474-4422(22)00431-8" TargetMode="External" /><Relationship Type="http://schemas.openxmlformats.org/officeDocument/2006/relationships/hyperlink" Id="rId5695" Target="https://doi.org/10.1016/S1474-4422(23)00109-6" TargetMode="External" /><Relationship Type="http://schemas.openxmlformats.org/officeDocument/2006/relationships/hyperlink" Id="rId5667" Target="https://doi.org/10.1016/S1474-4422(23)00131-X" TargetMode="External" /><Relationship Type="http://schemas.openxmlformats.org/officeDocument/2006/relationships/hyperlink" Id="rId5699" Target="https://doi.org/10.1016/S1474-4422(23)00404-0" TargetMode="External" /><Relationship Type="http://schemas.openxmlformats.org/officeDocument/2006/relationships/hyperlink" Id="rId5697" Target="https://doi.org/10.1016/S1474-4422(23)00405-2" TargetMode="External" /><Relationship Type="http://schemas.openxmlformats.org/officeDocument/2006/relationships/hyperlink" Id="rId5700" Target="https://doi.org/10.1016/S1474-4422(24" TargetMode="External" /><Relationship Type="http://schemas.openxmlformats.org/officeDocument/2006/relationships/hyperlink" Id="rId5486" Target="https://doi.org/10.1016/S1474-4422(24)00135-2" TargetMode="External" /><Relationship Type="http://schemas.openxmlformats.org/officeDocument/2006/relationships/hyperlink" Id="rId5603" Target="https://doi.org/10.1016/S1474-4422(25)00270-4" TargetMode="External" /><Relationship Type="http://schemas.openxmlformats.org/officeDocument/2006/relationships/hyperlink" Id="rId5512" Target="https://doi.org/10.1016/S2213-2600(23)00374-0" TargetMode="External" /><Relationship Type="http://schemas.openxmlformats.org/officeDocument/2006/relationships/hyperlink" Id="rId5137" Target="https://doi.org/10.1016/S2214-109X(21)00264-3" TargetMode="External" /><Relationship Type="http://schemas.openxmlformats.org/officeDocument/2006/relationships/hyperlink" Id="rId2757" Target="https://doi.org/10.1016/S2215-0366(16)00104-8" TargetMode="External" /><Relationship Type="http://schemas.openxmlformats.org/officeDocument/2006/relationships/hyperlink" Id="rId5278" Target="https://doi.org/10.1016/S2215-0366(17)30015-9" TargetMode="External" /><Relationship Type="http://schemas.openxmlformats.org/officeDocument/2006/relationships/hyperlink" Id="rId5230" Target="https://doi.org/10.1016/S2215-0366(17)30049-4" TargetMode="External" /><Relationship Type="http://schemas.openxmlformats.org/officeDocument/2006/relationships/hyperlink" Id="rId5224" Target="https://doi.org/10.1016/S2215-0366(18)30269-4" TargetMode="External" /><Relationship Type="http://schemas.openxmlformats.org/officeDocument/2006/relationships/hyperlink" Id="rId5482" Target="https://doi.org/10.1016/S2215-0366(20)30128-0" TargetMode="External" /><Relationship Type="http://schemas.openxmlformats.org/officeDocument/2006/relationships/hyperlink" Id="rId5292" Target="https://doi.org/10.1016/S2215-0366(24)00133-0" TargetMode="External" /><Relationship Type="http://schemas.openxmlformats.org/officeDocument/2006/relationships/hyperlink" Id="rId5294" Target="https://doi.org/10.1016/S2215-0366(24)00253-0" TargetMode="External" /><Relationship Type="http://schemas.openxmlformats.org/officeDocument/2006/relationships/hyperlink" Id="rId2761" Target="https://doi.org/10.1016/S2215-0366(25)00330-X" TargetMode="External" /><Relationship Type="http://schemas.openxmlformats.org/officeDocument/2006/relationships/hyperlink" Id="rId4697" Target="https://doi.org/10.1016/bs.pbr.2018.10.022" TargetMode="External" /><Relationship Type="http://schemas.openxmlformats.org/officeDocument/2006/relationships/hyperlink" Id="rId5080" Target="https://doi.org/10.1016/bs.pbr.2022.12.007" TargetMode="External" /><Relationship Type="http://schemas.openxmlformats.org/officeDocument/2006/relationships/hyperlink" Id="rId4047" Target="https://doi.org/10.1016/j.abrep.2021.100365" TargetMode="External" /><Relationship Type="http://schemas.openxmlformats.org/officeDocument/2006/relationships/hyperlink" Id="rId4671" Target="https://doi.org/10.1016/j.addbeh.2018.02.013" TargetMode="External" /><Relationship Type="http://schemas.openxmlformats.org/officeDocument/2006/relationships/hyperlink" Id="rId5559" Target="https://doi.org/10.1016/j.ajcnut.2023.05.011" TargetMode="External" /><Relationship Type="http://schemas.openxmlformats.org/officeDocument/2006/relationships/hyperlink" Id="rId5561" Target="https://doi.org/10.1016/j.ajcnut.2023.12.011" TargetMode="External" /><Relationship Type="http://schemas.openxmlformats.org/officeDocument/2006/relationships/hyperlink" Id="rId4730" Target="https://doi.org/10.1016/j.ajcnut.2025.07.030" TargetMode="External" /><Relationship Type="http://schemas.openxmlformats.org/officeDocument/2006/relationships/hyperlink" Id="rId4729" Target="https://doi.org/10.1016/j.ajcnut.2026.101390" TargetMode="External" /><Relationship Type="http://schemas.openxmlformats.org/officeDocument/2006/relationships/hyperlink" Id="rId4734" Target="https://doi.org/10.1016/j.amjmed.2016.03.002" TargetMode="External" /><Relationship Type="http://schemas.openxmlformats.org/officeDocument/2006/relationships/hyperlink" Id="rId4736" Target="https://doi.org/10.1016/j.amjmed.2016.04.027" TargetMode="External" /><Relationship Type="http://schemas.openxmlformats.org/officeDocument/2006/relationships/hyperlink" Id="rId5724" Target="https://doi.org/10.1016/j.apmr.2023.03.036" TargetMode="External" /><Relationship Type="http://schemas.openxmlformats.org/officeDocument/2006/relationships/hyperlink" Id="rId4279" Target="https://doi.org/10.1016/j.baga.2016.02.001" TargetMode="External" /><Relationship Type="http://schemas.openxmlformats.org/officeDocument/2006/relationships/hyperlink" Id="rId4187" Target="https://doi.org/10.1016/j.biopsych.2004.08.022" TargetMode="External" /><Relationship Type="http://schemas.openxmlformats.org/officeDocument/2006/relationships/hyperlink" Id="rId2894" Target="https://doi.org/10.1016/j.biopsych.2010.06.010" TargetMode="External" /><Relationship Type="http://schemas.openxmlformats.org/officeDocument/2006/relationships/hyperlink" Id="rId4255" Target="https://doi.org/10.1016/j.biopsych.2015.02.020" TargetMode="External" /><Relationship Type="http://schemas.openxmlformats.org/officeDocument/2006/relationships/hyperlink" Id="rId4344" Target="https://doi.org/10.1016/j.biopsych.2015.05.003" TargetMode="External" /><Relationship Type="http://schemas.openxmlformats.org/officeDocument/2006/relationships/hyperlink" Id="rId4340" Target="https://doi.org/10.1016/j.biopsych.2015.06.016" TargetMode="External" /><Relationship Type="http://schemas.openxmlformats.org/officeDocument/2006/relationships/hyperlink" Id="rId5882" Target="https://doi.org/10.1016/j.biopsych.2015.12.023" TargetMode="External" /><Relationship Type="http://schemas.openxmlformats.org/officeDocument/2006/relationships/hyperlink" Id="rId4564" Target="https://doi.org/10.1016/j.biopsych.2016.01.008" TargetMode="External" /><Relationship Type="http://schemas.openxmlformats.org/officeDocument/2006/relationships/hyperlink" Id="rId4191" Target="https://doi.org/10.1016/j.biopsych.2017.09.006" TargetMode="External" /><Relationship Type="http://schemas.openxmlformats.org/officeDocument/2006/relationships/hyperlink" Id="rId4308" Target="https://doi.org/10.1016/j.biopsych.2022.10.012" TargetMode="External" /><Relationship Type="http://schemas.openxmlformats.org/officeDocument/2006/relationships/hyperlink" Id="rId4428" Target="https://doi.org/10.1016/j.biopsycho.2005.11.014" TargetMode="External" /><Relationship Type="http://schemas.openxmlformats.org/officeDocument/2006/relationships/hyperlink" Id="rId4478" Target="https://doi.org/10.1016/j.biopsycho.2014.11.004" TargetMode="External" /><Relationship Type="http://schemas.openxmlformats.org/officeDocument/2006/relationships/hyperlink" Id="rId4480" Target="https://doi.org/10.1016/j.biopsycho.2018.06.006" TargetMode="External" /><Relationship Type="http://schemas.openxmlformats.org/officeDocument/2006/relationships/hyperlink" Id="rId4436" Target="https://doi.org/10.1016/j.biopsycho.2023.108569" TargetMode="External" /><Relationship Type="http://schemas.openxmlformats.org/officeDocument/2006/relationships/hyperlink" Id="rId4430" Target="https://doi.org/10.1016/j.biopsycho.2023.108589" TargetMode="External" /><Relationship Type="http://schemas.openxmlformats.org/officeDocument/2006/relationships/hyperlink" Id="rId4693" Target="https://doi.org/10.1016/j.bpsc.2024.10.015" TargetMode="External" /><Relationship Type="http://schemas.openxmlformats.org/officeDocument/2006/relationships/hyperlink" Id="rId4783" Target="https://doi.org/10.1016/j.bpsgos.2024.100398" TargetMode="External" /><Relationship Type="http://schemas.openxmlformats.org/officeDocument/2006/relationships/hyperlink" Id="rId4665" Target="https://doi.org/10.1016/j.brainresbull.2011.03.026" TargetMode="External" /><Relationship Type="http://schemas.openxmlformats.org/officeDocument/2006/relationships/hyperlink" Id="rId5354" Target="https://doi.org/10.1016/j.brat.2008.04.006" TargetMode="External" /><Relationship Type="http://schemas.openxmlformats.org/officeDocument/2006/relationships/hyperlink" Id="rId4522" Target="https://doi.org/10.1016/j.brat.2011.10.011" TargetMode="External" /><Relationship Type="http://schemas.openxmlformats.org/officeDocument/2006/relationships/hyperlink" Id="rId5316" Target="https://doi.org/10.1016/j.brat.2014.04.006" TargetMode="External" /><Relationship Type="http://schemas.openxmlformats.org/officeDocument/2006/relationships/hyperlink" Id="rId5109" Target="https://doi.org/10.1016/j.brat.2017.05.004" TargetMode="External" /><Relationship Type="http://schemas.openxmlformats.org/officeDocument/2006/relationships/hyperlink" Id="rId4965" Target="https://doi.org/10.1016/j.brat.2023.104421" TargetMode="External" /><Relationship Type="http://schemas.openxmlformats.org/officeDocument/2006/relationships/hyperlink" Id="rId4382" Target="https://doi.org/10.1016/j.cell.2007.03.015" TargetMode="External" /><Relationship Type="http://schemas.openxmlformats.org/officeDocument/2006/relationships/hyperlink" Id="rId2781" Target="https://doi.org/10.1016/j.cell.2007.10.036" TargetMode="External" /><Relationship Type="http://schemas.openxmlformats.org/officeDocument/2006/relationships/hyperlink" Id="rId5904" Target="https://doi.org/10.1016/j.cell.2007.11.019" TargetMode="External" /><Relationship Type="http://schemas.openxmlformats.org/officeDocument/2006/relationships/hyperlink" Id="rId2653" Target="https://doi.org/10.1016/j.cell.2009.09.029" TargetMode="External" /><Relationship Type="http://schemas.openxmlformats.org/officeDocument/2006/relationships/hyperlink" Id="rId2854" Target="https://doi.org/10.1016/j.cell.2011.02.018" TargetMode="External" /><Relationship Type="http://schemas.openxmlformats.org/officeDocument/2006/relationships/hyperlink" Id="rId5693" Target="https://doi.org/10.1016/j.cell.2011.06.001" TargetMode="External" /><Relationship Type="http://schemas.openxmlformats.org/officeDocument/2006/relationships/hyperlink" Id="rId2864" Target="https://doi.org/10.1016/j.cell.2012.03.017" TargetMode="External" /><Relationship Type="http://schemas.openxmlformats.org/officeDocument/2006/relationships/hyperlink" Id="rId3056" Target="https://doi.org/10.1016/j.cell.2013.05.002" TargetMode="External" /><Relationship Type="http://schemas.openxmlformats.org/officeDocument/2006/relationships/hyperlink" Id="rId2848" Target="https://doi.org/10.1016/j.cell.2013.12.042" TargetMode="External" /><Relationship Type="http://schemas.openxmlformats.org/officeDocument/2006/relationships/hyperlink" Id="rId4396" Target="https://doi.org/10.1016/j.cell.2015.01.033" TargetMode="External" /><Relationship Type="http://schemas.openxmlformats.org/officeDocument/2006/relationships/hyperlink" Id="rId2888" Target="https://doi.org/10.1016/j.cell.2015.01.049" TargetMode="External" /><Relationship Type="http://schemas.openxmlformats.org/officeDocument/2006/relationships/hyperlink" Id="rId4293" Target="https://doi.org/10.1016/j.cell.2015.02.047" TargetMode="External" /><Relationship Type="http://schemas.openxmlformats.org/officeDocument/2006/relationships/hyperlink" Id="rId3012" Target="https://doi.org/10.1016/j.cell.2015.06.054" TargetMode="External" /><Relationship Type="http://schemas.openxmlformats.org/officeDocument/2006/relationships/hyperlink" Id="rId4506" Target="https://doi.org/10.1016/j.cell.2016.05.011" TargetMode="External" /><Relationship Type="http://schemas.openxmlformats.org/officeDocument/2006/relationships/hyperlink" Id="rId4408" Target="https://doi.org/10.1016/j.cell.2016.08.028" TargetMode="External" /><Relationship Type="http://schemas.openxmlformats.org/officeDocument/2006/relationships/hyperlink" Id="rId4512" Target="https://doi.org/10.1016/j.cell.2016.11.018" TargetMode="External" /><Relationship Type="http://schemas.openxmlformats.org/officeDocument/2006/relationships/hyperlink" Id="rId4496" Target="https://doi.org/10.1016/j.cell.2017.05.034" TargetMode="External" /><Relationship Type="http://schemas.openxmlformats.org/officeDocument/2006/relationships/hyperlink" Id="rId2639" Target="https://doi.org/10.1016/j.cell.2018.03.051" TargetMode="External" /><Relationship Type="http://schemas.openxmlformats.org/officeDocument/2006/relationships/hyperlink" Id="rId2868" Target="https://doi.org/10.1016/j.cell.2018.04.027" TargetMode="External" /><Relationship Type="http://schemas.openxmlformats.org/officeDocument/2006/relationships/hyperlink" Id="rId5240" Target="https://doi.org/10.1016/j.cell.2019.12.036" TargetMode="External" /><Relationship Type="http://schemas.openxmlformats.org/officeDocument/2006/relationships/hyperlink" Id="rId2992" Target="https://doi.org/10.1016/j.cell.2020.09.057" TargetMode="External" /><Relationship Type="http://schemas.openxmlformats.org/officeDocument/2006/relationships/hyperlink" Id="rId3566" Target="https://doi.org/10.1016/j.cell.2020.10.024" TargetMode="External" /><Relationship Type="http://schemas.openxmlformats.org/officeDocument/2006/relationships/hyperlink" Id="rId5920" Target="https://doi.org/10.1016/j.cell.2020.11.017" TargetMode="External" /><Relationship Type="http://schemas.openxmlformats.org/officeDocument/2006/relationships/hyperlink" Id="rId2882" Target="https://doi.org/10.1016/j.cell.2020.12.040" TargetMode="External" /><Relationship Type="http://schemas.openxmlformats.org/officeDocument/2006/relationships/hyperlink" Id="rId3070" Target="https://doi.org/10.1016/j.cell.2021.09.005" TargetMode="External" /><Relationship Type="http://schemas.openxmlformats.org/officeDocument/2006/relationships/hyperlink" Id="rId3925" Target="https://doi.org/10.1016/j.cell.2023.11.028" TargetMode="External" /><Relationship Type="http://schemas.openxmlformats.org/officeDocument/2006/relationships/hyperlink" Id="rId2838" Target="https://doi.org/10.1016/j.cell.2024.11.027" TargetMode="External" /><Relationship Type="http://schemas.openxmlformats.org/officeDocument/2006/relationships/hyperlink" Id="rId5960" Target="https://doi.org/10.1016/j.cell.2024.11.038" TargetMode="External" /><Relationship Type="http://schemas.openxmlformats.org/officeDocument/2006/relationships/hyperlink" Id="rId5276" Target="https://doi.org/10.1016/j.cell.2024.12.002" TargetMode="External" /><Relationship Type="http://schemas.openxmlformats.org/officeDocument/2006/relationships/hyperlink" Id="rId3364" Target="https://doi.org/10.1016/j.celrep.2021.109772" TargetMode="External" /><Relationship Type="http://schemas.openxmlformats.org/officeDocument/2006/relationships/hyperlink" Id="rId3365" Target="https://doi.org/10.1016/j.celrep.2022.110413" TargetMode="External" /><Relationship Type="http://schemas.openxmlformats.org/officeDocument/2006/relationships/hyperlink" Id="rId3367" Target="https://doi.org/10.1016/j.celrep.2023.112096" TargetMode="External" /><Relationship Type="http://schemas.openxmlformats.org/officeDocument/2006/relationships/hyperlink" Id="rId3369" Target="https://doi.org/10.1016/j.celrep.2023.112098" TargetMode="External" /><Relationship Type="http://schemas.openxmlformats.org/officeDocument/2006/relationships/hyperlink" Id="rId3734" Target="https://doi.org/10.1016/j.clinph.2007.04.027" TargetMode="External" /><Relationship Type="http://schemas.openxmlformats.org/officeDocument/2006/relationships/hyperlink" Id="rId4502" Target="https://doi.org/10.1016/j.cmet.2009.08.001" TargetMode="External" /><Relationship Type="http://schemas.openxmlformats.org/officeDocument/2006/relationships/hyperlink" Id="rId2850" Target="https://doi.org/10.1016/j.cmet.2017.06.021" TargetMode="External" /><Relationship Type="http://schemas.openxmlformats.org/officeDocument/2006/relationships/hyperlink" Id="rId3452" Target="https://doi.org/10.1016/j.cognition.2008.05.007" TargetMode="External" /><Relationship Type="http://schemas.openxmlformats.org/officeDocument/2006/relationships/hyperlink" Id="rId3222" Target="https://doi.org/10.1016/j.cognition.2008.07.013" TargetMode="External" /><Relationship Type="http://schemas.openxmlformats.org/officeDocument/2006/relationships/hyperlink" Id="rId3568" Target="https://doi.org/10.1016/j.cognition.2009.07.005" TargetMode="External" /><Relationship Type="http://schemas.openxmlformats.org/officeDocument/2006/relationships/hyperlink" Id="rId3516" Target="https://doi.org/10.1016/j.cognition.2010.10.001" TargetMode="External" /><Relationship Type="http://schemas.openxmlformats.org/officeDocument/2006/relationships/hyperlink" Id="rId3504" Target="https://doi.org/10.1016/j.cognition.2012.04.005" TargetMode="External" /><Relationship Type="http://schemas.openxmlformats.org/officeDocument/2006/relationships/hyperlink" Id="rId4008" Target="https://doi.org/10.1016/j.cognition.2012.08.004" TargetMode="External" /><Relationship Type="http://schemas.openxmlformats.org/officeDocument/2006/relationships/hyperlink" Id="rId3046" Target="https://doi.org/10.1016/j.cognition.2018.04.007" TargetMode="External" /><Relationship Type="http://schemas.openxmlformats.org/officeDocument/2006/relationships/hyperlink" Id="rId3466" Target="https://doi.org/10.1016/j.cogpsych.2011.03.001" TargetMode="External" /><Relationship Type="http://schemas.openxmlformats.org/officeDocument/2006/relationships/hyperlink" Id="rId3605" Target="https://doi.org/10.1016/j.conb.2010.02.008" TargetMode="External" /><Relationship Type="http://schemas.openxmlformats.org/officeDocument/2006/relationships/hyperlink" Id="rId3320" Target="https://doi.org/10.1016/j.concog.2013.09.012" TargetMode="External" /><Relationship Type="http://schemas.openxmlformats.org/officeDocument/2006/relationships/hyperlink" Id="rId4699" Target="https://doi.org/10.1016/j.copsyc.2018.12.019" TargetMode="External" /><Relationship Type="http://schemas.openxmlformats.org/officeDocument/2006/relationships/hyperlink" Id="rId4125" Target="https://doi.org/10.1016/j.cortex.2013.12.005" TargetMode="External" /><Relationship Type="http://schemas.openxmlformats.org/officeDocument/2006/relationships/hyperlink" Id="rId3973" Target="https://doi.org/10.1016/j.cortex.2016.03.019" TargetMode="External" /><Relationship Type="http://schemas.openxmlformats.org/officeDocument/2006/relationships/hyperlink" Id="rId3975" Target="https://doi.org/10.1016/j.cortex.2017.03.025" TargetMode="External" /><Relationship Type="http://schemas.openxmlformats.org/officeDocument/2006/relationships/hyperlink" Id="rId3146" Target="https://doi.org/10.1016/j.cortex.2020.03.031" TargetMode="External" /><Relationship Type="http://schemas.openxmlformats.org/officeDocument/2006/relationships/hyperlink" Id="rId3148" Target="https://doi.org/10.1016/j.cortex.2020.04.017" TargetMode="External" /><Relationship Type="http://schemas.openxmlformats.org/officeDocument/2006/relationships/hyperlink" Id="rId3172" Target="https://doi.org/10.1016/j.cortex.2020.11.014" TargetMode="External" /><Relationship Type="http://schemas.openxmlformats.org/officeDocument/2006/relationships/hyperlink" Id="rId4350" Target="https://doi.org/10.1016/j.cortex.2026.03.006" TargetMode="External" /><Relationship Type="http://schemas.openxmlformats.org/officeDocument/2006/relationships/hyperlink" Id="rId4595" Target="https://doi.org/10.1016/j.cpr.2012.10.006" TargetMode="External" /><Relationship Type="http://schemas.openxmlformats.org/officeDocument/2006/relationships/hyperlink" Id="rId4985" Target="https://doi.org/10.1016/j.cpr.2015.01.006" TargetMode="External" /><Relationship Type="http://schemas.openxmlformats.org/officeDocument/2006/relationships/hyperlink" Id="rId4979" Target="https://doi.org/10.1016/j.cpr.2016.10.011" TargetMode="External" /><Relationship Type="http://schemas.openxmlformats.org/officeDocument/2006/relationships/hyperlink" Id="rId4881" Target="https://doi.org/10.1016/j.cpr.2017.10.011" TargetMode="External" /><Relationship Type="http://schemas.openxmlformats.org/officeDocument/2006/relationships/hyperlink" Id="rId5019" Target="https://doi.org/10.1016/j.cpr.2019.01.001" TargetMode="External" /><Relationship Type="http://schemas.openxmlformats.org/officeDocument/2006/relationships/hyperlink" Id="rId4987" Target="https://doi.org/10.1016/j.cpr.2022.102156" TargetMode="External" /><Relationship Type="http://schemas.openxmlformats.org/officeDocument/2006/relationships/hyperlink" Id="rId4963" Target="https://doi.org/10.1016/j.cpr.2023.102370" TargetMode="External" /><Relationship Type="http://schemas.openxmlformats.org/officeDocument/2006/relationships/hyperlink" Id="rId5009" Target="https://doi.org/10.1016/j.cpr.2024.102445" TargetMode="External" /><Relationship Type="http://schemas.openxmlformats.org/officeDocument/2006/relationships/hyperlink" Id="rId5030" Target="https://doi.org/10.1016/j.cpr.2026.102719" TargetMode="External" /><Relationship Type="http://schemas.openxmlformats.org/officeDocument/2006/relationships/hyperlink" Id="rId2651" Target="https://doi.org/10.1016/j.cub.2007.08.033" TargetMode="External" /><Relationship Type="http://schemas.openxmlformats.org/officeDocument/2006/relationships/hyperlink" Id="rId3969" Target="https://doi.org/10.1016/j.cub.2010.02.045" TargetMode="External" /><Relationship Type="http://schemas.openxmlformats.org/officeDocument/2006/relationships/hyperlink" Id="rId4105" Target="https://doi.org/10.1016/j.cub.2010.11.042" TargetMode="External" /><Relationship Type="http://schemas.openxmlformats.org/officeDocument/2006/relationships/hyperlink" Id="rId4026" Target="https://doi.org/10.1016/j.cub.2011.11.018" TargetMode="External" /><Relationship Type="http://schemas.openxmlformats.org/officeDocument/2006/relationships/hyperlink" Id="rId3395" Target="https://doi.org/10.1016/j.cub.2012.09.011" TargetMode="External" /><Relationship Type="http://schemas.openxmlformats.org/officeDocument/2006/relationships/hyperlink" Id="rId3150" Target="https://doi.org/10.1016/j.cub.2013.06.046" TargetMode="External" /><Relationship Type="http://schemas.openxmlformats.org/officeDocument/2006/relationships/hyperlink" Id="rId2952" Target="https://doi.org/10.1016/j.cub.2018.01.064" TargetMode="External" /><Relationship Type="http://schemas.openxmlformats.org/officeDocument/2006/relationships/hyperlink" Id="rId4227" Target="https://doi.org/10.1016/j.cub.2018.06.068" TargetMode="External" /><Relationship Type="http://schemas.openxmlformats.org/officeDocument/2006/relationships/hyperlink" Id="rId3700" Target="https://doi.org/10.1016/j.cub.2018.12.038" TargetMode="External" /><Relationship Type="http://schemas.openxmlformats.org/officeDocument/2006/relationships/hyperlink" Id="rId3718" Target="https://doi.org/10.1016/j.cub.2021.01.026" TargetMode="External" /><Relationship Type="http://schemas.openxmlformats.org/officeDocument/2006/relationships/hyperlink" Id="rId3867" Target="https://doi.org/10.1016/j.cub.2025.01.024" TargetMode="External" /><Relationship Type="http://schemas.openxmlformats.org/officeDocument/2006/relationships/hyperlink" Id="rId4354" Target="https://doi.org/10.1016/j.cub.2025.07.042" TargetMode="External" /><Relationship Type="http://schemas.openxmlformats.org/officeDocument/2006/relationships/hyperlink" Id="rId3967" Target="https://doi.org/10.1016/j.dcn.2012.09.008" TargetMode="External" /><Relationship Type="http://schemas.openxmlformats.org/officeDocument/2006/relationships/hyperlink" Id="rId4929" Target="https://doi.org/10.1016/j.drugalcdep.2011.05.027" TargetMode="External" /><Relationship Type="http://schemas.openxmlformats.org/officeDocument/2006/relationships/hyperlink" Id="rId3278" Target="https://doi.org/10.1016/j.edurev.2008.02.003" TargetMode="External" /><Relationship Type="http://schemas.openxmlformats.org/officeDocument/2006/relationships/hyperlink" Id="rId3246" Target="https://doi.org/10.1016/j.edurev.2012.05.003" TargetMode="External" /><Relationship Type="http://schemas.openxmlformats.org/officeDocument/2006/relationships/hyperlink" Id="rId3276" Target="https://doi.org/10.1016/j.edurev.2013.11.002" TargetMode="External" /><Relationship Type="http://schemas.openxmlformats.org/officeDocument/2006/relationships/hyperlink" Id="rId4721" Target="https://doi.org/10.1016/j.explore.2023.03.006" TargetMode="External" /><Relationship Type="http://schemas.openxmlformats.org/officeDocument/2006/relationships/hyperlink" Id="rId4847" Target="https://doi.org/10.1016/j.heliyon.2019.e01351" TargetMode="External" /><Relationship Type="http://schemas.openxmlformats.org/officeDocument/2006/relationships/hyperlink" Id="rId4827" Target="https://doi.org/10.1016/j.ijpsycho.2016.09.020" TargetMode="External" /><Relationship Type="http://schemas.openxmlformats.org/officeDocument/2006/relationships/hyperlink" Id="rId4707" Target="https://doi.org/10.1016/j.ijpsycho.2022.03.010" TargetMode="External" /><Relationship Type="http://schemas.openxmlformats.org/officeDocument/2006/relationships/hyperlink" Id="rId5788" Target="https://doi.org/10.1016/j.ijrobp.2023.04.030" TargetMode="External" /><Relationship Type="http://schemas.openxmlformats.org/officeDocument/2006/relationships/hyperlink" Id="rId4059" Target="https://doi.org/10.1016/j.intell.2010.03.001" TargetMode="External" /><Relationship Type="http://schemas.openxmlformats.org/officeDocument/2006/relationships/hyperlink" Id="rId4438" Target="https://doi.org/10.1016/j.isci.2024.109137" TargetMode="External" /><Relationship Type="http://schemas.openxmlformats.org/officeDocument/2006/relationships/hyperlink" Id="rId5254" Target="https://doi.org/10.1016/j.jaac.2014.01.019" TargetMode="External" /><Relationship Type="http://schemas.openxmlformats.org/officeDocument/2006/relationships/hyperlink" Id="rId4943" Target="https://doi.org/10.1016/j.jacc.2025.05.007" TargetMode="External" /><Relationship Type="http://schemas.openxmlformats.org/officeDocument/2006/relationships/hyperlink" Id="rId4488" Target="https://doi.org/10.1016/j.jad.2025.01.153" TargetMode="External" /><Relationship Type="http://schemas.openxmlformats.org/officeDocument/2006/relationships/hyperlink" Id="rId4902" Target="https://doi.org/10.1016/j.jad.2025.04.145" TargetMode="External" /><Relationship Type="http://schemas.openxmlformats.org/officeDocument/2006/relationships/hyperlink" Id="rId4576" Target="https://doi.org/10.1016/j.jadr.2023.100714" TargetMode="External" /><Relationship Type="http://schemas.openxmlformats.org/officeDocument/2006/relationships/hyperlink" Id="rId4631" Target="https://doi.org/10.1016/j.jadr.2024.100769" TargetMode="External" /><Relationship Type="http://schemas.openxmlformats.org/officeDocument/2006/relationships/hyperlink" Id="rId5534" Target="https://doi.org/10.1016/j.jalz.2018.07.219" TargetMode="External" /><Relationship Type="http://schemas.openxmlformats.org/officeDocument/2006/relationships/hyperlink" Id="rId4006" Target="https://doi.org/10.1016/j.jebo.2019.08.016" TargetMode="External" /><Relationship Type="http://schemas.openxmlformats.org/officeDocument/2006/relationships/hyperlink" Id="rId3524" Target="https://doi.org/10.1016/j.jecp.2006.02.002" TargetMode="External" /><Relationship Type="http://schemas.openxmlformats.org/officeDocument/2006/relationships/hyperlink" Id="rId3268" Target="https://doi.org/10.1016/j.jml.2004.12.001" TargetMode="External" /><Relationship Type="http://schemas.openxmlformats.org/officeDocument/2006/relationships/hyperlink" Id="rId3494" Target="https://doi.org/10.1016/j.jphysparis.2008.03.004" TargetMode="External" /><Relationship Type="http://schemas.openxmlformats.org/officeDocument/2006/relationships/hyperlink" Id="rId4334" Target="https://doi.org/10.1016/j.jpsychires.2014.10.003" TargetMode="External" /><Relationship Type="http://schemas.openxmlformats.org/officeDocument/2006/relationships/hyperlink" Id="rId4494" Target="https://doi.org/10.1016/j.jpsychires.2016.07.019" TargetMode="External" /><Relationship Type="http://schemas.openxmlformats.org/officeDocument/2006/relationships/hyperlink" Id="rId5472" Target="https://doi.org/10.1016/j.jpsychores.2011.09.003" TargetMode="External" /><Relationship Type="http://schemas.openxmlformats.org/officeDocument/2006/relationships/hyperlink" Id="rId3666" Target="https://doi.org/10.1016/j.neubiorev.2005.07.001" TargetMode="External" /><Relationship Type="http://schemas.openxmlformats.org/officeDocument/2006/relationships/hyperlink" Id="rId4273" Target="https://doi.org/10.1016/j.neubiorev.2013.04.018" TargetMode="External" /><Relationship Type="http://schemas.openxmlformats.org/officeDocument/2006/relationships/hyperlink" Id="rId3584" Target="https://doi.org/10.1016/j.neubiorev.2014.01.009" TargetMode="External" /><Relationship Type="http://schemas.openxmlformats.org/officeDocument/2006/relationships/hyperlink" Id="rId4556" Target="https://doi.org/10.1016/j.neubiorev.2014.03.016" TargetMode="External" /><Relationship Type="http://schemas.openxmlformats.org/officeDocument/2006/relationships/hyperlink" Id="rId5190" Target="https://doi.org/10.1016/j.neubiorev.2015.09.017" TargetMode="External" /><Relationship Type="http://schemas.openxmlformats.org/officeDocument/2006/relationships/hyperlink" Id="rId4823" Target="https://doi.org/10.1016/j.neubiorev.2015.09.018" TargetMode="External" /><Relationship Type="http://schemas.openxmlformats.org/officeDocument/2006/relationships/hyperlink" Id="rId4514" Target="https://doi.org/10.1016/j.neubiorev.2016.03.021" TargetMode="External" /><Relationship Type="http://schemas.openxmlformats.org/officeDocument/2006/relationships/hyperlink" Id="rId4621" Target="https://doi.org/10.1016/j.neubiorev.2017.08.003" TargetMode="External" /><Relationship Type="http://schemas.openxmlformats.org/officeDocument/2006/relationships/hyperlink" Id="rId5222" Target="https://doi.org/10.1016/j.neubiorev.2021.01.022" TargetMode="External" /><Relationship Type="http://schemas.openxmlformats.org/officeDocument/2006/relationships/hyperlink" Id="rId5180" Target="https://doi.org/10.1016/j.neubiorev.2021.02.026" TargetMode="External" /><Relationship Type="http://schemas.openxmlformats.org/officeDocument/2006/relationships/hyperlink" Id="rId4701" Target="https://doi.org/10.1016/j.neubiorev.2021.06.021" TargetMode="External" /><Relationship Type="http://schemas.openxmlformats.org/officeDocument/2006/relationships/hyperlink" Id="rId4444" Target="https://doi.org/10.1016/j.neubiorev.2022.104711" TargetMode="External" /><Relationship Type="http://schemas.openxmlformats.org/officeDocument/2006/relationships/hyperlink" Id="rId4807" Target="https://doi.org/10.1016/j.neubiorev.2025.106141" TargetMode="External" /><Relationship Type="http://schemas.openxmlformats.org/officeDocument/2006/relationships/hyperlink" Id="rId4703" Target="https://doi.org/10.1016/j.neubiorev.2025.106539" TargetMode="External" /><Relationship Type="http://schemas.openxmlformats.org/officeDocument/2006/relationships/hyperlink" Id="rId4623" Target="https://doi.org/10.1016/j.neubiorev.2026.106709" TargetMode="External" /><Relationship Type="http://schemas.openxmlformats.org/officeDocument/2006/relationships/hyperlink" Id="rId4641" Target="https://doi.org/10.1016/j.neurobiolaging.2007.06.008" TargetMode="External" /><Relationship Type="http://schemas.openxmlformats.org/officeDocument/2006/relationships/hyperlink" Id="rId4085" Target="https://doi.org/10.1016/j.neuroimage.2006.01.021" TargetMode="External" /><Relationship Type="http://schemas.openxmlformats.org/officeDocument/2006/relationships/hyperlink" Id="rId3778" Target="https://doi.org/10.1016/j.neuroimage.2006.02.048" TargetMode="External" /><Relationship Type="http://schemas.openxmlformats.org/officeDocument/2006/relationships/hyperlink" Id="rId4129" Target="https://doi.org/10.1016/j.neuroimage.2008.03.059" TargetMode="External" /><Relationship Type="http://schemas.openxmlformats.org/officeDocument/2006/relationships/hyperlink" Id="rId4625" Target="https://doi.org/10.1016/j.neuroimage.2008.12.061" TargetMode="External" /><Relationship Type="http://schemas.openxmlformats.org/officeDocument/2006/relationships/hyperlink" Id="rId4089" Target="https://doi.org/10.1016/j.neuroimage.2010.07.033" TargetMode="External" /><Relationship Type="http://schemas.openxmlformats.org/officeDocument/2006/relationships/hyperlink" Id="rId4217" Target="https://doi.org/10.1016/j.neuroimage.2010.12.008" TargetMode="External" /><Relationship Type="http://schemas.openxmlformats.org/officeDocument/2006/relationships/hyperlink" Id="rId4659" Target="https://doi.org/10.1016/j.neuroimage.2011.05.075" TargetMode="External" /><Relationship Type="http://schemas.openxmlformats.org/officeDocument/2006/relationships/hyperlink" Id="rId4552" Target="https://doi.org/10.1016/j.neuroimage.2011.07.008" TargetMode="External" /><Relationship Type="http://schemas.openxmlformats.org/officeDocument/2006/relationships/hyperlink" Id="rId4661" Target="https://doi.org/10.1016/j.neuroimage.2012.02.026" TargetMode="External" /><Relationship Type="http://schemas.openxmlformats.org/officeDocument/2006/relationships/hyperlink" Id="rId4875" Target="https://doi.org/10.1016/j.neuroimage.2012.03.069" TargetMode="External" /><Relationship Type="http://schemas.openxmlformats.org/officeDocument/2006/relationships/hyperlink" Id="rId3645" Target="https://doi.org/10.1016/j.neuroimage.2012.04.024" TargetMode="External" /><Relationship Type="http://schemas.openxmlformats.org/officeDocument/2006/relationships/hyperlink" Id="rId3782" Target="https://doi.org/10.1016/j.neuroimage.2012.06.081" TargetMode="External" /><Relationship Type="http://schemas.openxmlformats.org/officeDocument/2006/relationships/hyperlink" Id="rId4330" Target="https://doi.org/10.1016/j.neuroimage.2012.12.004" TargetMode="External" /><Relationship Type="http://schemas.openxmlformats.org/officeDocument/2006/relationships/hyperlink" Id="rId4328" Target="https://doi.org/10.1016/j.neuroimage.2013.01.009" TargetMode="External" /><Relationship Type="http://schemas.openxmlformats.org/officeDocument/2006/relationships/hyperlink" Id="rId4635" Target="https://doi.org/10.1016/j.neuroimage.2013.05.030" TargetMode="External" /><Relationship Type="http://schemas.openxmlformats.org/officeDocument/2006/relationships/hyperlink" Id="rId3770" Target="https://doi.org/10.1016/j.neuroimage.2014.12.006" TargetMode="External" /><Relationship Type="http://schemas.openxmlformats.org/officeDocument/2006/relationships/hyperlink" Id="rId4247" Target="https://doi.org/10.1016/j.neuroimage.2016.02.022" TargetMode="External" /><Relationship Type="http://schemas.openxmlformats.org/officeDocument/2006/relationships/hyperlink" Id="rId3768" Target="https://doi.org/10.1016/j.neuroimage.2016.02.034" TargetMode="External" /><Relationship Type="http://schemas.openxmlformats.org/officeDocument/2006/relationships/hyperlink" Id="rId4558" Target="https://doi.org/10.1016/j.neuroimage.2016.04.007" TargetMode="External" /><Relationship Type="http://schemas.openxmlformats.org/officeDocument/2006/relationships/hyperlink" Id="rId4580" Target="https://doi.org/10.1016/j.neuroimage.2018.07.013" TargetMode="External" /><Relationship Type="http://schemas.openxmlformats.org/officeDocument/2006/relationships/hyperlink" Id="rId5078" Target="https://doi.org/10.1016/j.neuroimage.2019.04.009" TargetMode="External" /><Relationship Type="http://schemas.openxmlformats.org/officeDocument/2006/relationships/hyperlink" Id="rId4249" Target="https://doi.org/10.1016/j.neuroimage.2019.116287" TargetMode="External" /><Relationship Type="http://schemas.openxmlformats.org/officeDocument/2006/relationships/hyperlink" Id="rId2809" Target="https://doi.org/10.1016/j.neuroimage.2021.117744" TargetMode="External" /><Relationship Type="http://schemas.openxmlformats.org/officeDocument/2006/relationships/hyperlink" Id="rId4039" Target="https://doi.org/10.1016/j.neuroimage.2021.118136" TargetMode="External" /><Relationship Type="http://schemas.openxmlformats.org/officeDocument/2006/relationships/hyperlink" Id="rId3074" Target="https://doi.org/10.1016/j.neuron.2004.09.012" TargetMode="External" /><Relationship Type="http://schemas.openxmlformats.org/officeDocument/2006/relationships/hyperlink" Id="rId3736" Target="https://doi.org/10.1016/j.neuron.2008.03.027" TargetMode="External" /><Relationship Type="http://schemas.openxmlformats.org/officeDocument/2006/relationships/hyperlink" Id="rId3375" Target="https://doi.org/10.1016/j.neuron.2009.01.002" TargetMode="External" /><Relationship Type="http://schemas.openxmlformats.org/officeDocument/2006/relationships/hyperlink" Id="rId2856" Target="https://doi.org/10.1016/j.neuron.2009.01.030" TargetMode="External" /><Relationship Type="http://schemas.openxmlformats.org/officeDocument/2006/relationships/hyperlink" Id="rId3342" Target="https://doi.org/10.1016/j.neuron.2009.06.005" TargetMode="External" /><Relationship Type="http://schemas.openxmlformats.org/officeDocument/2006/relationships/hyperlink" Id="rId4318" Target="https://doi.org/10.1016/j.neuron.2009.12.003" TargetMode="External" /><Relationship Type="http://schemas.openxmlformats.org/officeDocument/2006/relationships/hyperlink" Id="rId3692" Target="https://doi.org/10.1016/j.neuron.2010.11.032" TargetMode="External" /><Relationship Type="http://schemas.openxmlformats.org/officeDocument/2006/relationships/hyperlink" Id="rId3621" Target="https://doi.org/10.1016/j.neuron.2011.02.027" TargetMode="External" /><Relationship Type="http://schemas.openxmlformats.org/officeDocument/2006/relationships/hyperlink" Id="rId3746" Target="https://doi.org/10.1016/j.neuron.2011.03.018" TargetMode="External" /><Relationship Type="http://schemas.openxmlformats.org/officeDocument/2006/relationships/hyperlink" Id="rId5940" Target="https://doi.org/10.1016/j.neuron.2011.09.011" TargetMode="External" /><Relationship Type="http://schemas.openxmlformats.org/officeDocument/2006/relationships/hyperlink" Id="rId4127" Target="https://doi.org/10.1016/j.neuron.2012.02.004" TargetMode="External" /><Relationship Type="http://schemas.openxmlformats.org/officeDocument/2006/relationships/hyperlink" Id="rId2783" Target="https://doi.org/10.1016/j.neuron.2012.03.026" TargetMode="External" /><Relationship Type="http://schemas.openxmlformats.org/officeDocument/2006/relationships/hyperlink" Id="rId3362" Target="https://doi.org/10.1016/j.neuron.2012.03.040" TargetMode="External" /><Relationship Type="http://schemas.openxmlformats.org/officeDocument/2006/relationships/hyperlink" Id="rId3360" Target="https://doi.org/10.1016/j.neuron.2012.04.034" TargetMode="External" /><Relationship Type="http://schemas.openxmlformats.org/officeDocument/2006/relationships/hyperlink" Id="rId3704" Target="https://doi.org/10.1016/j.neuron.2013.03.006" TargetMode="External" /><Relationship Type="http://schemas.openxmlformats.org/officeDocument/2006/relationships/hyperlink" Id="rId3272" Target="https://doi.org/10.1016/j.neuron.2013.07.007" TargetMode="External" /><Relationship Type="http://schemas.openxmlformats.org/officeDocument/2006/relationships/hyperlink" Id="rId3619" Target="https://doi.org/10.1016/j.neuron.2013.09.007" TargetMode="External" /><Relationship Type="http://schemas.openxmlformats.org/officeDocument/2006/relationships/hyperlink" Id="rId2691" Target="https://doi.org/10.1016/j.neuron.2013.10.022" TargetMode="External" /><Relationship Type="http://schemas.openxmlformats.org/officeDocument/2006/relationships/hyperlink" Id="rId4215" Target="https://doi.org/10.1016/j.neuron.2013.10.044" TargetMode="External" /><Relationship Type="http://schemas.openxmlformats.org/officeDocument/2006/relationships/hyperlink" Id="rId3607" Target="https://doi.org/10.1016/j.neuron.2013.11.005" TargetMode="External" /><Relationship Type="http://schemas.openxmlformats.org/officeDocument/2006/relationships/hyperlink" Id="rId3104" Target="https://doi.org/10.1016/j.neuron.2014.07.032" TargetMode="External" /><Relationship Type="http://schemas.openxmlformats.org/officeDocument/2006/relationships/hyperlink" Id="rId4205" Target="https://doi.org/10.1016/j.neuron.2015.02.018" TargetMode="External" /><Relationship Type="http://schemas.openxmlformats.org/officeDocument/2006/relationships/hyperlink" Id="rId3595" Target="https://doi.org/10.1016/j.neuron.2015.06.011" TargetMode="External" /><Relationship Type="http://schemas.openxmlformats.org/officeDocument/2006/relationships/hyperlink" Id="rId4406" Target="https://doi.org/10.1016/j.neuron.2015.08.001" TargetMode="External" /><Relationship Type="http://schemas.openxmlformats.org/officeDocument/2006/relationships/hyperlink" Id="rId3138" Target="https://doi.org/10.1016/j.neuron.2015.09.028" TargetMode="External" /><Relationship Type="http://schemas.openxmlformats.org/officeDocument/2006/relationships/hyperlink" Id="rId3738" Target="https://doi.org/10.1016/j.neuron.2015.09.034" TargetMode="External" /><Relationship Type="http://schemas.openxmlformats.org/officeDocument/2006/relationships/hyperlink" Id="rId4326" Target="https://doi.org/10.1016/j.neuron.2015.11.028" TargetMode="External" /><Relationship Type="http://schemas.openxmlformats.org/officeDocument/2006/relationships/hyperlink" Id="rId5172" Target="https://doi.org/10.1016/j.neuron.2016.10.059" TargetMode="External" /><Relationship Type="http://schemas.openxmlformats.org/officeDocument/2006/relationships/hyperlink" Id="rId3076" Target="https://doi.org/10.1016/j.neuron.2016.12.015" TargetMode="External" /><Relationship Type="http://schemas.openxmlformats.org/officeDocument/2006/relationships/hyperlink" Id="rId5500" Target="https://doi.org/10.1016/j.neuron.2017.01.014" TargetMode="External" /><Relationship Type="http://schemas.openxmlformats.org/officeDocument/2006/relationships/hyperlink" Id="rId3166" Target="https://doi.org/10.1016/j.neuron.2017.02.003" TargetMode="External" /><Relationship Type="http://schemas.openxmlformats.org/officeDocument/2006/relationships/hyperlink" Id="rId2821" Target="https://doi.org/10.1016/j.neuron.2017.03.043" TargetMode="External" /><Relationship Type="http://schemas.openxmlformats.org/officeDocument/2006/relationships/hyperlink" Id="rId2813" Target="https://doi.org/10.1016/j.neuron.2017.07.030" TargetMode="External" /><Relationship Type="http://schemas.openxmlformats.org/officeDocument/2006/relationships/hyperlink" Id="rId2936" Target="https://doi.org/10.1016/j.neuron.2018.03.043" TargetMode="External" /><Relationship Type="http://schemas.openxmlformats.org/officeDocument/2006/relationships/hyperlink" Id="rId2904" Target="https://doi.org/10.1016/j.neuron.2018.07.033" TargetMode="External" /><Relationship Type="http://schemas.openxmlformats.org/officeDocument/2006/relationships/hyperlink" Id="rId3356" Target="https://doi.org/10.1016/j.neuron.2018.10.003" TargetMode="External" /><Relationship Type="http://schemas.openxmlformats.org/officeDocument/2006/relationships/hyperlink" Id="rId4209" Target="https://doi.org/10.1016/j.neuron.2020.01.005" TargetMode="External" /><Relationship Type="http://schemas.openxmlformats.org/officeDocument/2006/relationships/hyperlink" Id="rId2785" Target="https://doi.org/10.1016/j.neuron.2022.10.020" TargetMode="External" /><Relationship Type="http://schemas.openxmlformats.org/officeDocument/2006/relationships/hyperlink" Id="rId4352" Target="https://doi.org/10.1016/j.neuron.2022.12.011" TargetMode="External" /><Relationship Type="http://schemas.openxmlformats.org/officeDocument/2006/relationships/hyperlink" Id="rId5964" Target="https://doi.org/10.1016/j.neuron.2026.08.010" TargetMode="External" /><Relationship Type="http://schemas.openxmlformats.org/officeDocument/2006/relationships/hyperlink" Id="rId4705" Target="https://doi.org/10.1016/j.neuropsychologia.2018.07.025" TargetMode="External" /><Relationship Type="http://schemas.openxmlformats.org/officeDocument/2006/relationships/hyperlink" Id="rId5084" Target="https://doi.org/10.1016/j.neuropsychologia.2023.108694" TargetMode="External" /><Relationship Type="http://schemas.openxmlformats.org/officeDocument/2006/relationships/hyperlink" Id="rId4825" Target="https://doi.org/10.1016/j.neuroscience.2026.07.012" TargetMode="External" /><Relationship Type="http://schemas.openxmlformats.org/officeDocument/2006/relationships/hyperlink" Id="rId4841" Target="https://doi.org/10.1016/j.nicl.2017.07.006" TargetMode="External" /><Relationship Type="http://schemas.openxmlformats.org/officeDocument/2006/relationships/hyperlink" Id="rId4253" Target="https://doi.org/10.1016/j.nicl.2021.102570" TargetMode="External" /><Relationship Type="http://schemas.openxmlformats.org/officeDocument/2006/relationships/hyperlink" Id="rId5228" Target="https://doi.org/10.1016/j.nicl.2024.103588" TargetMode="External" /><Relationship Type="http://schemas.openxmlformats.org/officeDocument/2006/relationships/hyperlink" Id="rId4593" Target="https://doi.org/10.1016/j.pain.2010.10.006" TargetMode="External" /><Relationship Type="http://schemas.openxmlformats.org/officeDocument/2006/relationships/hyperlink" Id="rId4548" Target="https://doi.org/10.1016/j.pscychresns.2010.08.006" TargetMode="External" /><Relationship Type="http://schemas.openxmlformats.org/officeDocument/2006/relationships/hyperlink" Id="rId4772" Target="https://doi.org/10.1016/j.psyneuen.2010.09.010" TargetMode="External" /><Relationship Type="http://schemas.openxmlformats.org/officeDocument/2006/relationships/hyperlink" Id="rId4795" Target="https://doi.org/10.1016/j.psyneuen.2013.11.004" TargetMode="External" /><Relationship Type="http://schemas.openxmlformats.org/officeDocument/2006/relationships/hyperlink" Id="rId4774" Target="https://doi.org/10.1016/j.psyneuen.2013.12.017" TargetMode="External" /><Relationship Type="http://schemas.openxmlformats.org/officeDocument/2006/relationships/hyperlink" Id="rId4362" Target="https://doi.org/10.1016/j.psyneuen.2015.10.010" TargetMode="External" /><Relationship Type="http://schemas.openxmlformats.org/officeDocument/2006/relationships/hyperlink" Id="rId4366" Target="https://doi.org/10.1016/j.psyneuen.2017.05.018" TargetMode="External" /><Relationship Type="http://schemas.openxmlformats.org/officeDocument/2006/relationships/hyperlink" Id="rId4981" Target="https://doi.org/10.1016/j.psyneuen.2017.09.015" TargetMode="External" /><Relationship Type="http://schemas.openxmlformats.org/officeDocument/2006/relationships/hyperlink" Id="rId4779" Target="https://doi.org/10.1016/j.psyneuen.2019.05.020" TargetMode="External" /><Relationship Type="http://schemas.openxmlformats.org/officeDocument/2006/relationships/hyperlink" Id="rId4781" Target="https://doi.org/10.1016/j.psyneuen.2019.104410" TargetMode="External" /><Relationship Type="http://schemas.openxmlformats.org/officeDocument/2006/relationships/hyperlink" Id="rId4778" Target="https://doi.org/10.1016/j.psyneuen.2019.104440" TargetMode="External" /><Relationship Type="http://schemas.openxmlformats.org/officeDocument/2006/relationships/hyperlink" Id="rId4322" Target="https://doi.org/10.1016/j.psyneuen.2021.105173" TargetMode="External" /><Relationship Type="http://schemas.openxmlformats.org/officeDocument/2006/relationships/hyperlink" Id="rId4742" Target="https://doi.org/10.1016/j.psyneuen.2022.105734" TargetMode="External" /><Relationship Type="http://schemas.openxmlformats.org/officeDocument/2006/relationships/hyperlink" Id="rId4083" Target="https://doi.org/10.1016/j.schres.2005.11.020" TargetMode="External" /><Relationship Type="http://schemas.openxmlformats.org/officeDocument/2006/relationships/hyperlink" Id="rId5522" Target="https://doi.org/10.1016/j.sleep.2014.03.025" TargetMode="External" /><Relationship Type="http://schemas.openxmlformats.org/officeDocument/2006/relationships/hyperlink" Id="rId2807" Target="https://doi.org/10.1016/j.stem.2011.11.019" TargetMode="External" /><Relationship Type="http://schemas.openxmlformats.org/officeDocument/2006/relationships/hyperlink" Id="rId5916" Target="https://doi.org/10.1016/j.stem.2015.09.001" TargetMode="External" /><Relationship Type="http://schemas.openxmlformats.org/officeDocument/2006/relationships/hyperlink" Id="rId3060" Target="https://doi.org/10.1016/j.stem.2018.03.015" TargetMode="External" /><Relationship Type="http://schemas.openxmlformats.org/officeDocument/2006/relationships/hyperlink" Id="rId3762" Target="https://doi.org/10.1016/j.tics.2005.12.004" TargetMode="External" /><Relationship Type="http://schemas.openxmlformats.org/officeDocument/2006/relationships/hyperlink" Id="rId4516" Target="https://doi.org/10.1016/j.tics.2008.01.005" TargetMode="External" /><Relationship Type="http://schemas.openxmlformats.org/officeDocument/2006/relationships/hyperlink" Id="rId3720" Target="https://doi.org/10.1016/j.tics.2009.12.001" TargetMode="External" /><Relationship Type="http://schemas.openxmlformats.org/officeDocument/2006/relationships/hyperlink" Id="rId4348" Target="https://doi.org/10.1016/j.tics.2011.05.002" TargetMode="External" /><Relationship Type="http://schemas.openxmlformats.org/officeDocument/2006/relationships/hyperlink" Id="rId3032" Target="https://doi.org/10.1016/j.tics.2011.08.002" TargetMode="External" /><Relationship Type="http://schemas.openxmlformats.org/officeDocument/2006/relationships/hyperlink" Id="rId4259" Target="https://doi.org/10.1016/j.tics.2011.08.003" TargetMode="External" /><Relationship Type="http://schemas.openxmlformats.org/officeDocument/2006/relationships/hyperlink" Id="rId3371" Target="https://doi.org/10.1016/j.tics.2012.06.010" TargetMode="External" /><Relationship Type="http://schemas.openxmlformats.org/officeDocument/2006/relationships/hyperlink" Id="rId3102" Target="https://doi.org/10.1016/j.tics.2012.09.003" TargetMode="External" /><Relationship Type="http://schemas.openxmlformats.org/officeDocument/2006/relationships/hyperlink" Id="rId3732" Target="https://doi.org/10.1016/j.tics.2014.04.012" TargetMode="External" /><Relationship Type="http://schemas.openxmlformats.org/officeDocument/2006/relationships/hyperlink" Id="rId3300" Target="https://doi.org/10.1016/j.tics.2015.05.004" TargetMode="External" /><Relationship Type="http://schemas.openxmlformats.org/officeDocument/2006/relationships/hyperlink" Id="rId4518" Target="https://doi.org/10.1016/j.tics.2015.07.001" TargetMode="External" /><Relationship Type="http://schemas.openxmlformats.org/officeDocument/2006/relationships/hyperlink" Id="rId5834" Target="https://doi.org/10.1016/j.tics.2015.10.002" TargetMode="External" /><Relationship Type="http://schemas.openxmlformats.org/officeDocument/2006/relationships/hyperlink" Id="rId3322" Target="https://doi.org/10.1016/j.tics.2016.05.010" TargetMode="External" /><Relationship Type="http://schemas.openxmlformats.org/officeDocument/2006/relationships/hyperlink" Id="rId5876" Target="https://doi.org/10.1016/j.tics.2017.03.011" TargetMode="External" /><Relationship Type="http://schemas.openxmlformats.org/officeDocument/2006/relationships/hyperlink" Id="rId3036" Target="https://doi.org/10.1016/j.tics.2017.09.008" TargetMode="External" /><Relationship Type="http://schemas.openxmlformats.org/officeDocument/2006/relationships/hyperlink" Id="rId4141" Target="https://doi.org/10.1016/j.tics.2017.11.005" TargetMode="External" /><Relationship Type="http://schemas.openxmlformats.org/officeDocument/2006/relationships/hyperlink" Id="rId3352" Target="https://doi.org/10.1016/j.tics.2018.06.002" TargetMode="External" /><Relationship Type="http://schemas.openxmlformats.org/officeDocument/2006/relationships/hyperlink" Id="rId3706" Target="https://doi.org/10.1016/j.tics.2019.12.007" TargetMode="External" /><Relationship Type="http://schemas.openxmlformats.org/officeDocument/2006/relationships/hyperlink" Id="rId3633" Target="https://doi.org/10.1016/j.tics.2025.06.006" TargetMode="External" /><Relationship Type="http://schemas.openxmlformats.org/officeDocument/2006/relationships/hyperlink" Id="rId3554" Target="https://doi.org/10.1016/j.tics.2026.01.009" TargetMode="External" /><Relationship Type="http://schemas.openxmlformats.org/officeDocument/2006/relationships/hyperlink" Id="rId3907" Target="https://doi.org/10.1016/j.tine.2020.100144" TargetMode="External" /><Relationship Type="http://schemas.openxmlformats.org/officeDocument/2006/relationships/hyperlink" Id="rId3909" Target="https://doi.org/10.1016/j.tine.2022.100192" TargetMode="External" /><Relationship Type="http://schemas.openxmlformats.org/officeDocument/2006/relationships/hyperlink" Id="rId3905" Target="https://doi.org/10.1016/j.tine.2025.100269" TargetMode="External" /><Relationship Type="http://schemas.openxmlformats.org/officeDocument/2006/relationships/hyperlink" Id="rId3106" Target="https://doi.org/10.1016/j.tins.2011.06.006" TargetMode="External" /><Relationship Type="http://schemas.openxmlformats.org/officeDocument/2006/relationships/hyperlink" Id="rId4863" Target="https://doi.org/10.1016/j.tins.2017.10.001" TargetMode="External" /><Relationship Type="http://schemas.openxmlformats.org/officeDocument/2006/relationships/hyperlink" Id="rId4462" Target="https://doi.org/10.1016/j.xcrm.2022.100895" TargetMode="External" /><Relationship Type="http://schemas.openxmlformats.org/officeDocument/2006/relationships/hyperlink" Id="rId4221" Target="https://doi.org/10.1016/j.yebeh.2014.05.027" TargetMode="External" /><Relationship Type="http://schemas.openxmlformats.org/officeDocument/2006/relationships/hyperlink" Id="rId4223" Target="https://doi.org/10.1016/j.yebeh.2019.03.051" TargetMode="External" /><Relationship Type="http://schemas.openxmlformats.org/officeDocument/2006/relationships/hyperlink" Id="rId4889" Target="https://doi.org/10.1016/s0140-6736(14)62222-4" TargetMode="External" /><Relationship Type="http://schemas.openxmlformats.org/officeDocument/2006/relationships/hyperlink" Id="rId4285" Target="https://doi.org/10.1016/s0165-0173(98)00019-8" TargetMode="External" /><Relationship Type="http://schemas.openxmlformats.org/officeDocument/2006/relationships/hyperlink" Id="rId4762" Target="https://doi.org/10.1016/s0301-0511(00)00035-1" TargetMode="External" /><Relationship Type="http://schemas.openxmlformats.org/officeDocument/2006/relationships/hyperlink" Id="rId4653" Target="https://doi.org/10.1016/s0306-9877(03)00175-0" TargetMode="External" /><Relationship Type="http://schemas.openxmlformats.org/officeDocument/2006/relationships/hyperlink" Id="rId4649" Target="https://doi.org/10.1016/s0925-4927(01)00074-9" TargetMode="External" /><Relationship Type="http://schemas.openxmlformats.org/officeDocument/2006/relationships/hyperlink" Id="rId4534" Target="https://doi.org/10.1016/s0926-6410(01)00106-9" TargetMode="External" /><Relationship Type="http://schemas.openxmlformats.org/officeDocument/2006/relationships/hyperlink" Id="rId3953" Target="https://doi.org/10.1016/s0960-9822(03)00135-0" TargetMode="External" /><Relationship Type="http://schemas.openxmlformats.org/officeDocument/2006/relationships/hyperlink" Id="rId3795" Target="https://doi.org/10.1016/s1053-8119(09)71202-9" TargetMode="External" /><Relationship Type="http://schemas.openxmlformats.org/officeDocument/2006/relationships/hyperlink" Id="rId4422" Target="https://doi.org/10.1016/s1566-0702(00)00215-0" TargetMode="External" /><Relationship Type="http://schemas.openxmlformats.org/officeDocument/2006/relationships/hyperlink" Id="rId4895" Target="https://doi.org/10.1016/s2215-0366(25)00105-1" TargetMode="External" /><Relationship Type="http://schemas.openxmlformats.org/officeDocument/2006/relationships/hyperlink" Id="rId5873" Target="https://doi.org/10.1017/S0033291726105340" TargetMode="External" /><Relationship Type="http://schemas.openxmlformats.org/officeDocument/2006/relationships/hyperlink" Id="rId5874" Target="https://doi.org/10.1017/S0033291726105960" TargetMode="External" /><Relationship Type="http://schemas.openxmlformats.org/officeDocument/2006/relationships/hyperlink" Id="rId3292" Target="https://doi.org/10.1017/S0140525X01003922" TargetMode="External" /><Relationship Type="http://schemas.openxmlformats.org/officeDocument/2006/relationships/hyperlink" Id="rId3748" Target="https://doi.org/10.1017/S0140525X12003214" TargetMode="External" /><Relationship Type="http://schemas.openxmlformats.org/officeDocument/2006/relationships/hyperlink" Id="rId4131" Target="https://doi.org/10.1017/S0140525X99002034" TargetMode="External" /><Relationship Type="http://schemas.openxmlformats.org/officeDocument/2006/relationships/hyperlink" Id="rId3052" Target="https://doi.org/10.1017/S1366728917000724" TargetMode="External" /><Relationship Type="http://schemas.openxmlformats.org/officeDocument/2006/relationships/hyperlink" Id="rId5304" Target="https://doi.org/10.1017/S204579602200049X" TargetMode="External" /><Relationship Type="http://schemas.openxmlformats.org/officeDocument/2006/relationships/hyperlink" Id="rId5017" Target="https://doi.org/10.1017/ipm.2019.47" TargetMode="External" /><Relationship Type="http://schemas.openxmlformats.org/officeDocument/2006/relationships/hyperlink" Id="rId4458" Target="https://doi.org/10.1017/s0033291717001003" TargetMode="External" /><Relationship Type="http://schemas.openxmlformats.org/officeDocument/2006/relationships/hyperlink" Id="rId5003" Target="https://doi.org/10.1017/s0033291720002834" TargetMode="External" /><Relationship Type="http://schemas.openxmlformats.org/officeDocument/2006/relationships/hyperlink" Id="rId4855" Target="https://doi.org/10.1017/s0048577201393198" TargetMode="External" /><Relationship Type="http://schemas.openxmlformats.org/officeDocument/2006/relationships/hyperlink" Id="rId3659" Target="https://doi.org/10.1017/s0140525x11000446" TargetMode="External" /><Relationship Type="http://schemas.openxmlformats.org/officeDocument/2006/relationships/hyperlink" Id="rId3965" Target="https://doi.org/10.1017/s0140525x13000903" TargetMode="External" /><Relationship Type="http://schemas.openxmlformats.org/officeDocument/2006/relationships/hyperlink" Id="rId3891" Target="https://doi.org/10.1037/0022-006X.59.1.12" TargetMode="External" /><Relationship Type="http://schemas.openxmlformats.org/officeDocument/2006/relationships/hyperlink" Id="rId3266" Target="https://doi.org/10.1037/0022-0663.95.1.66" TargetMode="External" /><Relationship Type="http://schemas.openxmlformats.org/officeDocument/2006/relationships/hyperlink" Id="rId3528" Target="https://doi.org/10.1037/0022-0663.95.2.393" TargetMode="External" /><Relationship Type="http://schemas.openxmlformats.org/officeDocument/2006/relationships/hyperlink" Id="rId3414" Target="https://doi.org/10.1037/0022-0663.98.1.122" TargetMode="External" /><Relationship Type="http://schemas.openxmlformats.org/officeDocument/2006/relationships/hyperlink" Id="rId3462" Target="https://doi.org/10.1037/0022-0663.99.3.561" TargetMode="External" /><Relationship Type="http://schemas.openxmlformats.org/officeDocument/2006/relationships/hyperlink" Id="rId3124" Target="https://doi.org/10.1037/0033-2909.114.1.3" TargetMode="External" /><Relationship Type="http://schemas.openxmlformats.org/officeDocument/2006/relationships/hyperlink" Id="rId3336" Target="https://doi.org/10.1037/0033-2909.116.2.220" TargetMode="External" /><Relationship Type="http://schemas.openxmlformats.org/officeDocument/2006/relationships/hyperlink" Id="rId3530" Target="https://doi.org/10.1037/0033-2909.128.4.612" TargetMode="External" /><Relationship Type="http://schemas.openxmlformats.org/officeDocument/2006/relationships/hyperlink" Id="rId3408" Target="https://doi.org/10.1037/0033-2909.131.1.3" TargetMode="External" /><Relationship Type="http://schemas.openxmlformats.org/officeDocument/2006/relationships/hyperlink" Id="rId4821" Target="https://doi.org/10.1037/0033-2909.132.2.180" TargetMode="External" /><Relationship Type="http://schemas.openxmlformats.org/officeDocument/2006/relationships/hyperlink" Id="rId3200" Target="https://doi.org/10.1037/0033-2909.132.3.354" TargetMode="External" /><Relationship Type="http://schemas.openxmlformats.org/officeDocument/2006/relationships/hyperlink" Id="rId3110" Target="https://doi.org/10.1037/0033-295X.102.3.419" TargetMode="External" /><Relationship Type="http://schemas.openxmlformats.org/officeDocument/2006/relationships/hyperlink" Id="rId3510" Target="https://doi.org/10.1037/0033-295X.104.2.367" TargetMode="External" /><Relationship Type="http://schemas.openxmlformats.org/officeDocument/2006/relationships/hyperlink" Id="rId3410" Target="https://doi.org/10.1037/0033-295X.108.1.204" TargetMode="External" /><Relationship Type="http://schemas.openxmlformats.org/officeDocument/2006/relationships/hyperlink" Id="rId3508" Target="https://doi.org/10.1037/0033-295X.111.1.3" TargetMode="External" /><Relationship Type="http://schemas.openxmlformats.org/officeDocument/2006/relationships/hyperlink" Id="rId3879" Target="https://doi.org/10.1037/0033-295X.111.4.1061" TargetMode="External" /><Relationship Type="http://schemas.openxmlformats.org/officeDocument/2006/relationships/hyperlink" Id="rId3404" Target="https://doi.org/10.1037/0033-295X.112.1.43" TargetMode="External" /><Relationship Type="http://schemas.openxmlformats.org/officeDocument/2006/relationships/hyperlink" Id="rId3304" Target="https://doi.org/10.1037/0033-295X.114.1.104" TargetMode="External" /><Relationship Type="http://schemas.openxmlformats.org/officeDocument/2006/relationships/hyperlink" Id="rId3482" Target="https://doi.org/10.1037/0033-295X.92.3.289" TargetMode="External" /><Relationship Type="http://schemas.openxmlformats.org/officeDocument/2006/relationships/hyperlink" Id="rId3412" Target="https://doi.org/10.1037/0033-295X.96.4.523" TargetMode="External" /><Relationship Type="http://schemas.openxmlformats.org/officeDocument/2006/relationships/hyperlink" Id="rId4153" Target="https://doi.org/10.1037/0033-295x.108.3.624" TargetMode="External" /><Relationship Type="http://schemas.openxmlformats.org/officeDocument/2006/relationships/hyperlink" Id="rId4392" Target="https://doi.org/10.1037/0033-295x.98.4.459" TargetMode="External" /><Relationship Type="http://schemas.openxmlformats.org/officeDocument/2006/relationships/hyperlink" Id="rId3480" Target="https://doi.org/10.1037/0096-3445.115.1.39" TargetMode="External" /><Relationship Type="http://schemas.openxmlformats.org/officeDocument/2006/relationships/hyperlink" Id="rId3256" Target="https://doi.org/10.1037/0096-3445.126.4.349" TargetMode="External" /><Relationship Type="http://schemas.openxmlformats.org/officeDocument/2006/relationships/hyperlink" Id="rId3198" Target="https://doi.org/10.1037/0278-7393.20.5.1063" TargetMode="External" /><Relationship Type="http://schemas.openxmlformats.org/officeDocument/2006/relationships/hyperlink" Id="rId3122" Target="https://doi.org/10.1037/0278-7393.21.4.803" TargetMode="External" /><Relationship Type="http://schemas.openxmlformats.org/officeDocument/2006/relationships/hyperlink" Id="rId3258" Target="https://doi.org/10.1037/0278-7393.31.2.187" TargetMode="External" /><Relationship Type="http://schemas.openxmlformats.org/officeDocument/2006/relationships/hyperlink" Id="rId3506" Target="https://doi.org/10.1037/0278-7393.31.2.216" TargetMode="External" /><Relationship Type="http://schemas.openxmlformats.org/officeDocument/2006/relationships/hyperlink" Id="rId3206" Target="https://doi.org/10.1037/0278-7393.33.4.704" TargetMode="External" /><Relationship Type="http://schemas.openxmlformats.org/officeDocument/2006/relationships/hyperlink" Id="rId3188" Target="https://doi.org/10.1037/0278-7393.34.4.918" TargetMode="External" /><Relationship Type="http://schemas.openxmlformats.org/officeDocument/2006/relationships/hyperlink" Id="rId3998" Target="https://doi.org/10.1037/1089-2680.9.2.111" TargetMode="External" /><Relationship Type="http://schemas.openxmlformats.org/officeDocument/2006/relationships/hyperlink" Id="rId3186" Target="https://doi.org/10.1037/a0015729" TargetMode="External" /><Relationship Type="http://schemas.openxmlformats.org/officeDocument/2006/relationships/hyperlink" Id="rId4269" Target="https://doi.org/10.1037/a0019803" TargetMode="External" /><Relationship Type="http://schemas.openxmlformats.org/officeDocument/2006/relationships/hyperlink" Id="rId3250" Target="https://doi.org/10.1037/a0021017" TargetMode="External" /><Relationship Type="http://schemas.openxmlformats.org/officeDocument/2006/relationships/hyperlink" Id="rId5024" Target="https://doi.org/10.1037/a0022713" TargetMode="External" /><Relationship Type="http://schemas.openxmlformats.org/officeDocument/2006/relationships/hyperlink" Id="rId3208" Target="https://doi.org/10.1037/a0023956" TargetMode="External" /><Relationship Type="http://schemas.openxmlformats.org/officeDocument/2006/relationships/hyperlink" Id="rId3885" Target="https://doi.org/10.1037/a0024448" TargetMode="External" /><Relationship Type="http://schemas.openxmlformats.org/officeDocument/2006/relationships/hyperlink" Id="rId3448" Target="https://doi.org/10.1037/a0026218" TargetMode="External" /><Relationship Type="http://schemas.openxmlformats.org/officeDocument/2006/relationships/hyperlink" Id="rId5248" Target="https://doi.org/10.1037/a0028353" TargetMode="External" /><Relationship Type="http://schemas.openxmlformats.org/officeDocument/2006/relationships/hyperlink" Id="rId3562" Target="https://doi.org/10.1037/a0028446" TargetMode="External" /><Relationship Type="http://schemas.openxmlformats.org/officeDocument/2006/relationships/hyperlink" Id="rId4647" Target="https://doi.org/10.1037/a0028490" TargetMode="External" /><Relationship Type="http://schemas.openxmlformats.org/officeDocument/2006/relationships/hyperlink" Id="rId5270" Target="https://doi.org/10.1037/a0028813" TargetMode="External" /><Relationship Type="http://schemas.openxmlformats.org/officeDocument/2006/relationships/hyperlink" Id="rId5060" Target="https://doi.org/10.1037/a0037249" TargetMode="External" /><Relationship Type="http://schemas.openxmlformats.org/officeDocument/2006/relationships/hyperlink" Id="rId4057" Target="https://doi.org/10.1037/a0037478" TargetMode="External" /><Relationship Type="http://schemas.openxmlformats.org/officeDocument/2006/relationships/hyperlink" Id="rId3176" Target="https://doi.org/10.1037/a0037559" TargetMode="External" /><Relationship Type="http://schemas.openxmlformats.org/officeDocument/2006/relationships/hyperlink" Id="rId3641" Target="https://doi.org/10.1037/a0038199" TargetMode="External" /><Relationship Type="http://schemas.openxmlformats.org/officeDocument/2006/relationships/hyperlink" Id="rId4524" Target="https://doi.org/10.1037/a0039512" TargetMode="External" /><Relationship Type="http://schemas.openxmlformats.org/officeDocument/2006/relationships/hyperlink" Id="rId3328" Target="https://doi.org/10.1037/aca0000046" TargetMode="External" /><Relationship Type="http://schemas.openxmlformats.org/officeDocument/2006/relationships/hyperlink" Id="rId4043" Target="https://doi.org/10.1037/amp0000059" TargetMode="External" /><Relationship Type="http://schemas.openxmlformats.org/officeDocument/2006/relationships/hyperlink" Id="rId3432" Target="https://doi.org/10.1037/bul0000142" TargetMode="External" /><Relationship Type="http://schemas.openxmlformats.org/officeDocument/2006/relationships/hyperlink" Id="rId3196" Target="https://doi.org/10.1037/bul0000151" TargetMode="External" /><Relationship Type="http://schemas.openxmlformats.org/officeDocument/2006/relationships/hyperlink" Id="rId3216" Target="https://doi.org/10.1037/bul0000209" TargetMode="External" /><Relationship Type="http://schemas.openxmlformats.org/officeDocument/2006/relationships/hyperlink" Id="rId3698" Target="https://doi.org/10.1037/bul0000223" TargetMode="External" /><Relationship Type="http://schemas.openxmlformats.org/officeDocument/2006/relationships/hyperlink" Id="rId3588" Target="https://doi.org/10.1037/bul0000303" TargetMode="External" /><Relationship Type="http://schemas.openxmlformats.org/officeDocument/2006/relationships/hyperlink" Id="rId3470" Target="https://doi.org/10.1037/bul0000307" TargetMode="External" /><Relationship Type="http://schemas.openxmlformats.org/officeDocument/2006/relationships/hyperlink" Id="rId3178" Target="https://doi.org/10.1037/bul0000309" TargetMode="External" /><Relationship Type="http://schemas.openxmlformats.org/officeDocument/2006/relationships/hyperlink" Id="rId3318" Target="https://doi.org/10.1037/bul0000428" TargetMode="External" /><Relationship Type="http://schemas.openxmlformats.org/officeDocument/2006/relationships/hyperlink" Id="rId5021" Target="https://doi.org/10.1037/ccp0000875" TargetMode="External" /><Relationship Type="http://schemas.openxmlformats.org/officeDocument/2006/relationships/hyperlink" Id="rId3218" Target="https://doi.org/10.1037/edu0000367" TargetMode="External" /><Relationship Type="http://schemas.openxmlformats.org/officeDocument/2006/relationships/hyperlink" Id="rId4681" Target="https://doi.org/10.1037/emo0000250" TargetMode="External" /><Relationship Type="http://schemas.openxmlformats.org/officeDocument/2006/relationships/hyperlink" Id="rId3875" Target="https://doi.org/10.1037/h0040957" TargetMode="External" /><Relationship Type="http://schemas.openxmlformats.org/officeDocument/2006/relationships/hyperlink" Id="rId3883" Target="https://doi.org/10.1037/h0046016" TargetMode="External" /><Relationship Type="http://schemas.openxmlformats.org/officeDocument/2006/relationships/hyperlink" Id="rId4748" Target="https://doi.org/10.1037/hea0001636" TargetMode="External" /><Relationship Type="http://schemas.openxmlformats.org/officeDocument/2006/relationships/hyperlink" Id="rId3881" Target="https://doi.org/10.1037/met0000144" TargetMode="External" /><Relationship Type="http://schemas.openxmlformats.org/officeDocument/2006/relationships/hyperlink" Id="rId4959" Target="https://doi.org/10.1037/ocp0000146" TargetMode="External" /><Relationship Type="http://schemas.openxmlformats.org/officeDocument/2006/relationships/hyperlink" Id="rId5026" Target="https://doi.org/10.1037/pas0000233" TargetMode="External" /><Relationship Type="http://schemas.openxmlformats.org/officeDocument/2006/relationships/hyperlink" Id="rId5028" Target="https://doi.org/10.1037/pas0000957" TargetMode="External" /><Relationship Type="http://schemas.openxmlformats.org/officeDocument/2006/relationships/hyperlink" Id="rId3490" Target="https://doi.org/10.1037/rev0000094" TargetMode="External" /><Relationship Type="http://schemas.openxmlformats.org/officeDocument/2006/relationships/hyperlink" Id="rId3627" Target="https://doi.org/10.1037/rev0000120" TargetMode="External" /><Relationship Type="http://schemas.openxmlformats.org/officeDocument/2006/relationships/hyperlink" Id="rId3518" Target="https://doi.org/10.1037/rev0000281" TargetMode="External" /><Relationship Type="http://schemas.openxmlformats.org/officeDocument/2006/relationships/hyperlink" Id="rId3472" Target="https://doi.org/10.1037/xlm0001087" TargetMode="External" /><Relationship Type="http://schemas.openxmlformats.org/officeDocument/2006/relationships/hyperlink" Id="rId2679" Target="https://doi.org/10.1038/18686" TargetMode="External" /><Relationship Type="http://schemas.openxmlformats.org/officeDocument/2006/relationships/hyperlink" Id="rId2683" Target="https://doi.org/10.1038/260799a0" TargetMode="External" /><Relationship Type="http://schemas.openxmlformats.org/officeDocument/2006/relationships/hyperlink" Id="rId3391" Target="https://doi.org/10.1038/2870" TargetMode="External" /><Relationship Type="http://schemas.openxmlformats.org/officeDocument/2006/relationships/hyperlink" Id="rId2705" Target="https://doi.org/10.1038/307462a0" TargetMode="External" /><Relationship Type="http://schemas.openxmlformats.org/officeDocument/2006/relationships/hyperlink" Id="rId3054" Target="https://doi.org/10.1038/3305" TargetMode="External" /><Relationship Type="http://schemas.openxmlformats.org/officeDocument/2006/relationships/hyperlink" Id="rId2731" Target="https://doi.org/10.1038/336385a0" TargetMode="External" /><Relationship Type="http://schemas.openxmlformats.org/officeDocument/2006/relationships/hyperlink" Id="rId2870" Target="https://doi.org/10.1038/35002090" TargetMode="External" /><Relationship Type="http://schemas.openxmlformats.org/officeDocument/2006/relationships/hyperlink" Id="rId2916" Target="https://doi.org/10.1038/35012009" TargetMode="External" /><Relationship Type="http://schemas.openxmlformats.org/officeDocument/2006/relationships/hyperlink" Id="rId2791" Target="https://doi.org/10.1038/35012083" TargetMode="External" /><Relationship Type="http://schemas.openxmlformats.org/officeDocument/2006/relationships/hyperlink" Id="rId3134" Target="https://doi.org/10.1038/35021052" TargetMode="External" /><Relationship Type="http://schemas.openxmlformats.org/officeDocument/2006/relationships/hyperlink" Id="rId2693" Target="https://doi.org/10.1038/35022702" TargetMode="External" /><Relationship Type="http://schemas.openxmlformats.org/officeDocument/2006/relationships/hyperlink" Id="rId2972" Target="https://doi.org/10.1038/35049541" TargetMode="External" /><Relationship Type="http://schemas.openxmlformats.org/officeDocument/2006/relationships/hyperlink" Id="rId2976" Target="https://doi.org/10.1038/35055553" TargetMode="External" /><Relationship Type="http://schemas.openxmlformats.org/officeDocument/2006/relationships/hyperlink" Id="rId2729" Target="https://doi.org/10.1038/35069076" TargetMode="External" /><Relationship Type="http://schemas.openxmlformats.org/officeDocument/2006/relationships/hyperlink" Id="rId2829" Target="https://doi.org/10.1038/35084005" TargetMode="External" /><Relationship Type="http://schemas.openxmlformats.org/officeDocument/2006/relationships/hyperlink" Id="rId2713" Target="https://doi.org/10.1038/36103" TargetMode="External" /><Relationship Type="http://schemas.openxmlformats.org/officeDocument/2006/relationships/hyperlink" Id="rId2695" Target="https://doi.org/10.1038/362318a0" TargetMode="External" /><Relationship Type="http://schemas.openxmlformats.org/officeDocument/2006/relationships/hyperlink" Id="rId2677" Target="https://doi.org/10.1038/367069a0" TargetMode="External" /><Relationship Type="http://schemas.openxmlformats.org/officeDocument/2006/relationships/hyperlink" Id="rId3294" Target="https://doi.org/10.1038/36846" TargetMode="External" /><Relationship Type="http://schemas.openxmlformats.org/officeDocument/2006/relationships/hyperlink" Id="rId2978" Target="https://doi.org/10.1038/374719a0" TargetMode="External" /><Relationship Type="http://schemas.openxmlformats.org/officeDocument/2006/relationships/hyperlink" Id="rId2711" Target="https://doi.org/10.1038/375400a0" TargetMode="External" /><Relationship Type="http://schemas.openxmlformats.org/officeDocument/2006/relationships/hyperlink" Id="rId3082" Target="https://doi.org/10.1038/385533a0" TargetMode="External" /><Relationship Type="http://schemas.openxmlformats.org/officeDocument/2006/relationships/hyperlink" Id="rId2930" Target="https://doi.org/10.1038/39807" TargetMode="External" /><Relationship Type="http://schemas.openxmlformats.org/officeDocument/2006/relationships/hyperlink" Id="rId3348" Target="https://doi.org/10.1038/415429a" TargetMode="External" /><Relationship Type="http://schemas.openxmlformats.org/officeDocument/2006/relationships/hyperlink" Id="rId4199" Target="https://doi.org/10.1038/419269a" TargetMode="External" /><Relationship Type="http://schemas.openxmlformats.org/officeDocument/2006/relationships/hyperlink" Id="rId3034" Target="https://doi.org/10.1038/427311a" TargetMode="External" /><Relationship Type="http://schemas.openxmlformats.org/officeDocument/2006/relationships/hyperlink" Id="rId3354" Target="https://doi.org/10.1038/4580" TargetMode="External" /><Relationship Type="http://schemas.openxmlformats.org/officeDocument/2006/relationships/hyperlink" Id="rId4390" Target="https://doi.org/10.1038/73873" TargetMode="External" /><Relationship Type="http://schemas.openxmlformats.org/officeDocument/2006/relationships/hyperlink" Id="rId5932" Target="https://doi.org/10.1038/gim.2015.30" TargetMode="External" /><Relationship Type="http://schemas.openxmlformats.org/officeDocument/2006/relationships/hyperlink" Id="rId2846" Target="https://doi.org/10.1038/jcbfm.2012.35" TargetMode="External" /><Relationship Type="http://schemas.openxmlformats.org/officeDocument/2006/relationships/hyperlink" Id="rId4189" Target="https://doi.org/10.1038/mp.2015.69" TargetMode="External" /><Relationship Type="http://schemas.openxmlformats.org/officeDocument/2006/relationships/hyperlink" Id="rId4332" Target="https://doi.org/10.1038/nature01321" TargetMode="External" /><Relationship Type="http://schemas.openxmlformats.org/officeDocument/2006/relationships/hyperlink" Id="rId2898" Target="https://doi.org/10.1038/nature01786" TargetMode="External" /><Relationship Type="http://schemas.openxmlformats.org/officeDocument/2006/relationships/hyperlink" Id="rId3556" Target="https://doi.org/10.1038/nature01964" TargetMode="External" /><Relationship Type="http://schemas.openxmlformats.org/officeDocument/2006/relationships/hyperlink" Id="rId5936" Target="https://doi.org/10.1038/nature02998" TargetMode="External" /><Relationship Type="http://schemas.openxmlformats.org/officeDocument/2006/relationships/hyperlink" Id="rId4099" Target="https://doi.org/10.1038/nature03086" TargetMode="External" /><Relationship Type="http://schemas.openxmlformats.org/officeDocument/2006/relationships/hyperlink" Id="rId4336" Target="https://doi.org/10.1038/nature03701" TargetMode="External" /><Relationship Type="http://schemas.openxmlformats.org/officeDocument/2006/relationships/hyperlink" Id="rId3546" Target="https://doi.org/10.1038/nature03721" TargetMode="External" /><Relationship Type="http://schemas.openxmlformats.org/officeDocument/2006/relationships/hyperlink" Id="rId4097" Target="https://doi.org/10.1038/nature04490" TargetMode="External" /><Relationship Type="http://schemas.openxmlformats.org/officeDocument/2006/relationships/hyperlink" Id="rId3639" Target="https://doi.org/10.1038/nature04766" TargetMode="External" /><Relationship Type="http://schemas.openxmlformats.org/officeDocument/2006/relationships/hyperlink" Id="rId2938" Target="https://doi.org/10.1038/nature05401" TargetMode="External" /><Relationship Type="http://schemas.openxmlformats.org/officeDocument/2006/relationships/hyperlink" Id="rId4245" Target="https://doi.org/10.1038/nature05758" TargetMode="External" /><Relationship Type="http://schemas.openxmlformats.org/officeDocument/2006/relationships/hyperlink" Id="rId3847" Target="https://doi.org/10.1038/nature06976" TargetMode="External" /><Relationship Type="http://schemas.openxmlformats.org/officeDocument/2006/relationships/hyperlink" Id="rId5762" Target="https://doi.org/10.1038/nature08617" TargetMode="External" /><Relationship Type="http://schemas.openxmlformats.org/officeDocument/2006/relationships/hyperlink" Id="rId3142" Target="https://doi.org/10.1038/nature08637" TargetMode="External" /><Relationship Type="http://schemas.openxmlformats.org/officeDocument/2006/relationships/hyperlink" Id="rId3558" Target="https://doi.org/10.1038/nature08704" TargetMode="External" /><Relationship Type="http://schemas.openxmlformats.org/officeDocument/2006/relationships/hyperlink" Id="rId2641" Target="https://doi.org/10.1038/nature08845" TargetMode="External" /><Relationship Type="http://schemas.openxmlformats.org/officeDocument/2006/relationships/hyperlink" Id="rId4075" Target="https://doi.org/10.1038/nature09042" TargetMode="External" /><Relationship Type="http://schemas.openxmlformats.org/officeDocument/2006/relationships/hyperlink" Id="rId2958" Target="https://doi.org/10.1038/nature09159" TargetMode="External" /><Relationship Type="http://schemas.openxmlformats.org/officeDocument/2006/relationships/hyperlink" Id="rId2817" Target="https://doi.org/10.1038/nature09513" TargetMode="External" /><Relationship Type="http://schemas.openxmlformats.org/officeDocument/2006/relationships/hyperlink" Id="rId2819" Target="https://doi.org/10.1038/nature09522" TargetMode="External" /><Relationship Type="http://schemas.openxmlformats.org/officeDocument/2006/relationships/hyperlink" Id="rId4115" Target="https://doi.org/10.1038/nature09559" TargetMode="External" /><Relationship Type="http://schemas.openxmlformats.org/officeDocument/2006/relationships/hyperlink" Id="rId4117" Target="https://doi.org/10.1038/nature09820" TargetMode="External" /><Relationship Type="http://schemas.openxmlformats.org/officeDocument/2006/relationships/hyperlink" Id="rId3694" Target="https://doi.org/10.1038/nature10009" TargetMode="External" /><Relationship Type="http://schemas.openxmlformats.org/officeDocument/2006/relationships/hyperlink" Id="rId2717" Target="https://doi.org/10.1038/nature10361" TargetMode="External" /><Relationship Type="http://schemas.openxmlformats.org/officeDocument/2006/relationships/hyperlink" Id="rId5764" Target="https://doi.org/10.1038/nature10860" TargetMode="External" /><Relationship Type="http://schemas.openxmlformats.org/officeDocument/2006/relationships/hyperlink" Id="rId2789" Target="https://doi.org/10.1038/nature11007" TargetMode="External" /><Relationship Type="http://schemas.openxmlformats.org/officeDocument/2006/relationships/hyperlink" Id="rId2775" Target="https://doi.org/10.1038/nature11059" TargetMode="External" /><Relationship Type="http://schemas.openxmlformats.org/officeDocument/2006/relationships/hyperlink" Id="rId5857" Target="https://doi.org/10.1038/nature11129" TargetMode="External" /><Relationship Type="http://schemas.openxmlformats.org/officeDocument/2006/relationships/hyperlink" Id="rId2787" Target="https://doi.org/10.1038/nature11314" TargetMode="External" /><Relationship Type="http://schemas.openxmlformats.org/officeDocument/2006/relationships/hyperlink" Id="rId2878" Target="https://doi.org/10.1038/nature11729" TargetMode="External" /><Relationship Type="http://schemas.openxmlformats.org/officeDocument/2006/relationships/hyperlink" Id="rId2960" Target="https://doi.org/10.1038/nature11846" TargetMode="External" /><Relationship Type="http://schemas.openxmlformats.org/officeDocument/2006/relationships/hyperlink" Id="rId2906" Target="https://doi.org/10.1038/nature11906" TargetMode="External" /><Relationship Type="http://schemas.openxmlformats.org/officeDocument/2006/relationships/hyperlink" Id="rId5855" Target="https://doi.org/10.1038/nature12160" TargetMode="External" /><Relationship Type="http://schemas.openxmlformats.org/officeDocument/2006/relationships/hyperlink" Id="rId2687" Target="https://doi.org/10.1038/nature12354" TargetMode="External" /><Relationship Type="http://schemas.openxmlformats.org/officeDocument/2006/relationships/hyperlink" Id="rId5900" Target="https://doi.org/10.1038/nature12517" TargetMode="External" /><Relationship Type="http://schemas.openxmlformats.org/officeDocument/2006/relationships/hyperlink" Id="rId5859" Target="https://doi.org/10.1038/nature12742" TargetMode="External" /><Relationship Type="http://schemas.openxmlformats.org/officeDocument/2006/relationships/hyperlink" Id="rId2970" Target="https://doi.org/10.1038/nature13021" TargetMode="External" /><Relationship Type="http://schemas.openxmlformats.org/officeDocument/2006/relationships/hyperlink" Id="rId3086" Target="https://doi.org/10.1038/nature13294" TargetMode="External" /><Relationship Type="http://schemas.openxmlformats.org/officeDocument/2006/relationships/hyperlink" Id="rId2823" Target="https://doi.org/10.1038/nature13324" TargetMode="External" /><Relationship Type="http://schemas.openxmlformats.org/officeDocument/2006/relationships/hyperlink" Id="rId2926" Target="https://doi.org/10.1038/nature13980" TargetMode="External" /><Relationship Type="http://schemas.openxmlformats.org/officeDocument/2006/relationships/hyperlink" Id="rId4093" Target="https://doi.org/10.1038/nature14188" TargetMode="External" /><Relationship Type="http://schemas.openxmlformats.org/officeDocument/2006/relationships/hyperlink" Id="rId2629" Target="https://doi.org/10.1038/nature14432" TargetMode="External" /><Relationship Type="http://schemas.openxmlformats.org/officeDocument/2006/relationships/hyperlink" Id="rId5298" Target="https://doi.org/10.1038/nature15526" TargetMode="External" /><Relationship Type="http://schemas.openxmlformats.org/officeDocument/2006/relationships/hyperlink" Id="rId5300" Target="https://doi.org/10.1038/nature16182" TargetMode="External" /><Relationship Type="http://schemas.openxmlformats.org/officeDocument/2006/relationships/hyperlink" Id="rId5268" Target="https://doi.org/10.1038/nature16549" TargetMode="External" /><Relationship Type="http://schemas.openxmlformats.org/officeDocument/2006/relationships/hyperlink" Id="rId4145" Target="https://doi.org/10.1038/nature17637" TargetMode="External" /><Relationship Type="http://schemas.openxmlformats.org/officeDocument/2006/relationships/hyperlink" Id="rId4119" Target="https://doi.org/10.1038/nature17996" TargetMode="External" /><Relationship Type="http://schemas.openxmlformats.org/officeDocument/2006/relationships/hyperlink" Id="rId4510" Target="https://doi.org/10.1038/nature18644" TargetMode="External" /><Relationship Type="http://schemas.openxmlformats.org/officeDocument/2006/relationships/hyperlink" Id="rId4394" Target="https://doi.org/10.1038/nature18950" TargetMode="External" /><Relationship Type="http://schemas.openxmlformats.org/officeDocument/2006/relationships/hyperlink" Id="rId4149" Target="https://doi.org/10.1038/nature22073" TargetMode="External" /><Relationship Type="http://schemas.openxmlformats.org/officeDocument/2006/relationships/hyperlink" Id="rId5906" Target="https://doi.org/10.1038/nature22330" TargetMode="External" /><Relationship Type="http://schemas.openxmlformats.org/officeDocument/2006/relationships/hyperlink" Id="rId2954" Target="https://doi.org/10.1038/nature24064" TargetMode="External" /><Relationship Type="http://schemas.openxmlformats.org/officeDocument/2006/relationships/hyperlink" Id="rId4492" Target="https://doi.org/10.1038/nature24460" TargetMode="External" /><Relationship Type="http://schemas.openxmlformats.org/officeDocument/2006/relationships/hyperlink" Id="rId3843" Target="https://doi.org/10.1038/nature24636" TargetMode="External" /><Relationship Type="http://schemas.openxmlformats.org/officeDocument/2006/relationships/hyperlink" Id="rId2956" Target="https://doi.org/10.1038/nature25448" TargetMode="External" /><Relationship Type="http://schemas.openxmlformats.org/officeDocument/2006/relationships/hyperlink" Id="rId3058" Target="https://doi.org/10.1038/nature25975" TargetMode="External" /><Relationship Type="http://schemas.openxmlformats.org/officeDocument/2006/relationships/hyperlink" Id="rId5766" Target="https://doi.org/10.1038/nature26000" TargetMode="External" /><Relationship Type="http://schemas.openxmlformats.org/officeDocument/2006/relationships/hyperlink" Id="rId2860" Target="https://doi.org/10.1038/ncb1881" TargetMode="External" /><Relationship Type="http://schemas.openxmlformats.org/officeDocument/2006/relationships/hyperlink" Id="rId4159" Target="https://doi.org/10.1038/ncomms6380" TargetMode="External" /><Relationship Type="http://schemas.openxmlformats.org/officeDocument/2006/relationships/hyperlink" Id="rId2876" Target="https://doi.org/10.1038/ni.3423" TargetMode="External" /><Relationship Type="http://schemas.openxmlformats.org/officeDocument/2006/relationships/hyperlink" Id="rId2874" Target="https://doi.org/10.1038/ni.3666" TargetMode="External" /><Relationship Type="http://schemas.openxmlformats.org/officeDocument/2006/relationships/hyperlink" Id="rId5627" Target="https://doi.org/10.1038/nm.3824" TargetMode="External" /><Relationship Type="http://schemas.openxmlformats.org/officeDocument/2006/relationships/hyperlink" Id="rId4500" Target="https://doi.org/10.1038/nm.4106" TargetMode="External" /><Relationship Type="http://schemas.openxmlformats.org/officeDocument/2006/relationships/hyperlink" Id="rId5432" Target="https://doi.org/10.1038/nm0202-136" TargetMode="External" /><Relationship Type="http://schemas.openxmlformats.org/officeDocument/2006/relationships/hyperlink" Id="rId3764" Target="https://doi.org/10.1038/nmeth.1635" TargetMode="External" /><Relationship Type="http://schemas.openxmlformats.org/officeDocument/2006/relationships/hyperlink" Id="rId2996" Target="https://doi.org/10.1038/nmeth.4437" TargetMode="External" /><Relationship Type="http://schemas.openxmlformats.org/officeDocument/2006/relationships/hyperlink" Id="rId4101" Target="https://doi.org/10.1038/nn.2381" TargetMode="External" /><Relationship Type="http://schemas.openxmlformats.org/officeDocument/2006/relationships/hyperlink" Id="rId4175" Target="https://doi.org/10.1038/nn.2411" TargetMode="External" /><Relationship Type="http://schemas.openxmlformats.org/officeDocument/2006/relationships/hyperlink" Id="rId3853" Target="https://doi.org/10.1038/nn.2647" TargetMode="External" /><Relationship Type="http://schemas.openxmlformats.org/officeDocument/2006/relationships/hyperlink" Id="rId3030" Target="https://doi.org/10.1038/nn.3045" TargetMode="External" /><Relationship Type="http://schemas.openxmlformats.org/officeDocument/2006/relationships/hyperlink" Id="rId3590" Target="https://doi.org/10.1038/nn.3085" TargetMode="External" /><Relationship Type="http://schemas.openxmlformats.org/officeDocument/2006/relationships/hyperlink" Id="rId4107" Target="https://doi.org/10.1038/nn.3323" TargetMode="External" /><Relationship Type="http://schemas.openxmlformats.org/officeDocument/2006/relationships/hyperlink" Id="rId3613" Target="https://doi.org/10.1038/nn.3413" TargetMode="External" /><Relationship Type="http://schemas.openxmlformats.org/officeDocument/2006/relationships/hyperlink" Id="rId4147" Target="https://doi.org/10.1038/nn.3470" TargetMode="External" /><Relationship Type="http://schemas.openxmlformats.org/officeDocument/2006/relationships/hyperlink" Id="rId3298" Target="https://doi.org/10.1038/nn.3655" TargetMode="External" /><Relationship Type="http://schemas.openxmlformats.org/officeDocument/2006/relationships/hyperlink" Id="rId5853" Target="https://doi.org/10.1038/nn.3807" TargetMode="External" /><Relationship Type="http://schemas.openxmlformats.org/officeDocument/2006/relationships/hyperlink" Id="rId5623" Target="https://doi.org/10.1038/nn.3947" TargetMode="External" /><Relationship Type="http://schemas.openxmlformats.org/officeDocument/2006/relationships/hyperlink" Id="rId2900" Target="https://doi.org/10.1038/nn.4053" TargetMode="External" /><Relationship Type="http://schemas.openxmlformats.org/officeDocument/2006/relationships/hyperlink" Id="rId4384" Target="https://doi.org/10.1038/nn.4087" TargetMode="External" /><Relationship Type="http://schemas.openxmlformats.org/officeDocument/2006/relationships/hyperlink" Id="rId3702" Target="https://doi.org/10.1038/nn.4119" TargetMode="External" /><Relationship Type="http://schemas.openxmlformats.org/officeDocument/2006/relationships/hyperlink" Id="rId4151" Target="https://doi.org/10.1038/nn.4269" TargetMode="External" /><Relationship Type="http://schemas.openxmlformats.org/officeDocument/2006/relationships/hyperlink" Id="rId3980" Target="https://doi.org/10.1038/nn.4324" TargetMode="External" /><Relationship Type="http://schemas.openxmlformats.org/officeDocument/2006/relationships/hyperlink" Id="rId2805" Target="https://doi.org/10.1038/nn.4351" TargetMode="External" /><Relationship Type="http://schemas.openxmlformats.org/officeDocument/2006/relationships/hyperlink" Id="rId5184" Target="https://doi.org/10.1038/nn.4458" TargetMode="External" /><Relationship Type="http://schemas.openxmlformats.org/officeDocument/2006/relationships/hyperlink" Id="rId3869" Target="https://doi.org/10.1038/nn.4478" TargetMode="External" /><Relationship Type="http://schemas.openxmlformats.org/officeDocument/2006/relationships/hyperlink" Id="rId3716" Target="https://doi.org/10.1038/nn.4545" TargetMode="External" /><Relationship Type="http://schemas.openxmlformats.org/officeDocument/2006/relationships/hyperlink" Id="rId3536" Target="https://doi.org/10.1038/nn.4656" TargetMode="External" /><Relationship Type="http://schemas.openxmlformats.org/officeDocument/2006/relationships/hyperlink" Id="rId3591" Target="https://doi.org/10.1038/nn1213-1907c" TargetMode="External" /><Relationship Type="http://schemas.openxmlformats.org/officeDocument/2006/relationships/hyperlink" Id="rId3849" Target="https://doi.org/10.1038/nn1525" TargetMode="External" /><Relationship Type="http://schemas.openxmlformats.org/officeDocument/2006/relationships/hyperlink" Id="rId3617" Target="https://doi.org/10.1038/nn1560" TargetMode="External" /><Relationship Type="http://schemas.openxmlformats.org/officeDocument/2006/relationships/hyperlink" Id="rId3653" Target="https://doi.org/10.1038/nn2007" TargetMode="External" /><Relationship Type="http://schemas.openxmlformats.org/officeDocument/2006/relationships/hyperlink" Id="rId2675" Target="https://doi.org/10.1038/nn2040" TargetMode="External" /><Relationship Type="http://schemas.openxmlformats.org/officeDocument/2006/relationships/hyperlink" Id="rId4193" Target="https://doi.org/10.1038/nn958" TargetMode="External" /><Relationship Type="http://schemas.openxmlformats.org/officeDocument/2006/relationships/hyperlink" Id="rId2944" Target="https://doi.org/10.1038/nn963" TargetMode="External" /><Relationship Type="http://schemas.openxmlformats.org/officeDocument/2006/relationships/hyperlink" Id="rId3625" Target="https://doi.org/10.1038/npp.2009.131" TargetMode="External" /><Relationship Type="http://schemas.openxmlformats.org/officeDocument/2006/relationships/hyperlink" Id="rId2745" Target="https://doi.org/10.1038/nrd.2015.18" TargetMode="External" /><Relationship Type="http://schemas.openxmlformats.org/officeDocument/2006/relationships/hyperlink" Id="rId2723" Target="https://doi.org/10.1038/nrd3954" TargetMode="External" /><Relationship Type="http://schemas.openxmlformats.org/officeDocument/2006/relationships/hyperlink" Id="rId4420" Target="https://doi.org/10.1038/nrg.2016.150" TargetMode="External" /><Relationship Type="http://schemas.openxmlformats.org/officeDocument/2006/relationships/hyperlink" Id="rId2974" Target="https://doi.org/10.1038/nrm1739" TargetMode="External" /><Relationship Type="http://schemas.openxmlformats.org/officeDocument/2006/relationships/hyperlink" Id="rId2862" Target="https://doi.org/10.1038/nrm3311" TargetMode="External" /><Relationship Type="http://schemas.openxmlformats.org/officeDocument/2006/relationships/hyperlink" Id="rId3324" Target="https://doi.org/10.1038/nrn.2016.113" TargetMode="External" /><Relationship Type="http://schemas.openxmlformats.org/officeDocument/2006/relationships/hyperlink" Id="rId3971" Target="https://doi.org/10.1038/nrn.2016.135" TargetMode="External" /><Relationship Type="http://schemas.openxmlformats.org/officeDocument/2006/relationships/hyperlink" Id="rId3488" Target="https://doi.org/10.1038/nrn.2016.150" TargetMode="External" /><Relationship Type="http://schemas.openxmlformats.org/officeDocument/2006/relationships/hyperlink" Id="rId2661" Target="https://doi.org/10.1038/nrn.2016.9" TargetMode="External" /><Relationship Type="http://schemas.openxmlformats.org/officeDocument/2006/relationships/hyperlink" Id="rId5663" Target="https://doi.org/10.1038/nrn1106" TargetMode="External" /><Relationship Type="http://schemas.openxmlformats.org/officeDocument/2006/relationships/hyperlink" Id="rId3921" Target="https://doi.org/10.1038/nrn1606" TargetMode="External" /><Relationship Type="http://schemas.openxmlformats.org/officeDocument/2006/relationships/hyperlink" Id="rId3903" Target="https://doi.org/10.1038/nrn1609" TargetMode="External" /><Relationship Type="http://schemas.openxmlformats.org/officeDocument/2006/relationships/hyperlink" Id="rId3927" Target="https://doi.org/10.1038/nrn1723" TargetMode="External" /><Relationship Type="http://schemas.openxmlformats.org/officeDocument/2006/relationships/hyperlink" Id="rId2990" Target="https://doi.org/10.1038/nrn1787" TargetMode="External" /><Relationship Type="http://schemas.openxmlformats.org/officeDocument/2006/relationships/hyperlink" Id="rId3393" Target="https://doi.org/10.1038/nrn2113" TargetMode="External" /><Relationship Type="http://schemas.openxmlformats.org/officeDocument/2006/relationships/hyperlink" Id="rId3486" Target="https://doi.org/10.1038/nrn2277" TargetMode="External" /><Relationship Type="http://schemas.openxmlformats.org/officeDocument/2006/relationships/hyperlink" Id="rId2890" Target="https://doi.org/10.1038/nrn2297" TargetMode="External" /><Relationship Type="http://schemas.openxmlformats.org/officeDocument/2006/relationships/hyperlink" Id="rId3657" Target="https://doi.org/10.1038/nrn2317" TargetMode="External" /><Relationship Type="http://schemas.openxmlformats.org/officeDocument/2006/relationships/hyperlink" Id="rId4169" Target="https://doi.org/10.1038/nrn2555" TargetMode="External" /><Relationship Type="http://schemas.openxmlformats.org/officeDocument/2006/relationships/hyperlink" Id="rId4380" Target="https://doi.org/10.1038/nrn2648" TargetMode="External" /><Relationship Type="http://schemas.openxmlformats.org/officeDocument/2006/relationships/hyperlink" Id="rId4139" Target="https://doi.org/10.1038/nrn2667" TargetMode="External" /><Relationship Type="http://schemas.openxmlformats.org/officeDocument/2006/relationships/hyperlink" Id="rId3982" Target="https://doi.org/10.1038/nrn2920" TargetMode="External" /><Relationship Type="http://schemas.openxmlformats.org/officeDocument/2006/relationships/hyperlink" Id="rId3078" Target="https://doi.org/10.1038/nrn3192" TargetMode="External" /><Relationship Type="http://schemas.openxmlformats.org/officeDocument/2006/relationships/hyperlink" Id="rId3744" Target="https://doi.org/10.1038/nrn3241" TargetMode="External" /><Relationship Type="http://schemas.openxmlformats.org/officeDocument/2006/relationships/hyperlink" Id="rId3784" Target="https://doi.org/10.1038/nrn3475" TargetMode="External" /><Relationship Type="http://schemas.openxmlformats.org/officeDocument/2006/relationships/hyperlink" Id="rId4069" Target="https://doi.org/10.1038/nrn3817" TargetMode="External" /><Relationship Type="http://schemas.openxmlformats.org/officeDocument/2006/relationships/hyperlink" Id="rId4695" Target="https://doi.org/10.1038/nrn3916" TargetMode="External" /><Relationship Type="http://schemas.openxmlformats.org/officeDocument/2006/relationships/hyperlink" Id="rId3373" Target="https://doi.org/10.1038/nrn755" TargetMode="External" /><Relationship Type="http://schemas.openxmlformats.org/officeDocument/2006/relationships/hyperlink" Id="rId5798" Target="https://doi.org/10.1038/nrneurol.2014.162" TargetMode="External" /><Relationship Type="http://schemas.openxmlformats.org/officeDocument/2006/relationships/hyperlink" Id="rId4945" Target="https://doi.org/10.1038/s41371-026-01173-2" TargetMode="External" /><Relationship Type="http://schemas.openxmlformats.org/officeDocument/2006/relationships/hyperlink" Id="rId4304" Target="https://doi.org/10.1038/s41380-022-01661-0" TargetMode="External" /><Relationship Type="http://schemas.openxmlformats.org/officeDocument/2006/relationships/hyperlink" Id="rId4281" Target="https://doi.org/10.1038/s41380-022-01719-z" TargetMode="External" /><Relationship Type="http://schemas.openxmlformats.org/officeDocument/2006/relationships/hyperlink" Id="rId4306" Target="https://doi.org/10.1038/s41380-023-02095-y" TargetMode="External" /><Relationship Type="http://schemas.openxmlformats.org/officeDocument/2006/relationships/hyperlink" Id="rId4732" Target="https://doi.org/10.1038/s41386-023-01766-2" TargetMode="External" /><Relationship Type="http://schemas.openxmlformats.org/officeDocument/2006/relationships/hyperlink" Id="rId3841" Target="https://doi.org/10.1038/s41467-017-01285-x" TargetMode="External" /><Relationship Type="http://schemas.openxmlformats.org/officeDocument/2006/relationships/hyperlink" Id="rId5914" Target="https://doi.org/10.1038/s41467-018-06684-2" TargetMode="External" /><Relationship Type="http://schemas.openxmlformats.org/officeDocument/2006/relationships/hyperlink" Id="rId3498" Target="https://doi.org/10.1038/s41467-018-07574-3" TargetMode="External" /><Relationship Type="http://schemas.openxmlformats.org/officeDocument/2006/relationships/hyperlink" Id="rId5625" Target="https://doi.org/10.1038/s41467-019-08933-4" TargetMode="External" /><Relationship Type="http://schemas.openxmlformats.org/officeDocument/2006/relationships/hyperlink" Id="rId4358" Target="https://doi.org/10.1038/s41467-020-14845-5" TargetMode="External" /><Relationship Type="http://schemas.openxmlformats.org/officeDocument/2006/relationships/hyperlink" Id="rId3712" Target="https://doi.org/10.1038/s41467-020-18115-2" TargetMode="External" /><Relationship Type="http://schemas.openxmlformats.org/officeDocument/2006/relationships/hyperlink" Id="rId4261" Target="https://doi.org/10.1038/s41467-023-36616-8" TargetMode="External" /><Relationship Type="http://schemas.openxmlformats.org/officeDocument/2006/relationships/hyperlink" Id="rId5752" Target="https://doi.org/10.1038/s41467-023-39183-0" TargetMode="External" /><Relationship Type="http://schemas.openxmlformats.org/officeDocument/2006/relationships/hyperlink" Id="rId2902" Target="https://doi.org/10.1038/s41467-023-40937-z" TargetMode="External" /><Relationship Type="http://schemas.openxmlformats.org/officeDocument/2006/relationships/hyperlink" Id="rId5170" Target="https://doi.org/10.1038/s41467-023-42540-8" TargetMode="External" /><Relationship Type="http://schemas.openxmlformats.org/officeDocument/2006/relationships/hyperlink" Id="rId2681" Target="https://doi.org/10.1038/s41467-025-64152-0" TargetMode="External" /><Relationship Type="http://schemas.openxmlformats.org/officeDocument/2006/relationships/hyperlink" Id="rId3006" Target="https://doi.org/10.1038/s41467-026-69368-2" TargetMode="External" /><Relationship Type="http://schemas.openxmlformats.org/officeDocument/2006/relationships/hyperlink" Id="rId3570" Target="https://doi.org/10.1038/s41562-017-0064" TargetMode="External" /><Relationship Type="http://schemas.openxmlformats.org/officeDocument/2006/relationships/hyperlink" Id="rId4342" Target="https://doi.org/10.1038/s41562-020-0878-x" TargetMode="External" /><Relationship Type="http://schemas.openxmlformats.org/officeDocument/2006/relationships/hyperlink" Id="rId4967" Target="https://doi.org/10.1038/s41562-024-01907-7" TargetMode="External" /><Relationship Type="http://schemas.openxmlformats.org/officeDocument/2006/relationships/hyperlink" Id="rId3631" Target="https://doi.org/10.1038/s41562-025-02340-0" TargetMode="External" /><Relationship Type="http://schemas.openxmlformats.org/officeDocument/2006/relationships/hyperlink" Id="rId5758" Target="https://doi.org/10.1038/s41571-020-00447-z" TargetMode="External" /><Relationship Type="http://schemas.openxmlformats.org/officeDocument/2006/relationships/hyperlink" Id="rId2922" Target="https://doi.org/10.1038/s41583-019-0153-1" TargetMode="External" /><Relationship Type="http://schemas.openxmlformats.org/officeDocument/2006/relationships/hyperlink" Id="rId5867" Target="https://doi.org/10.1038/s41583-020-00395-8" TargetMode="External" /><Relationship Type="http://schemas.openxmlformats.org/officeDocument/2006/relationships/hyperlink" Id="rId2793" Target="https://doi.org/10.1038/s41583-020-00406-8" TargetMode="External" /><Relationship Type="http://schemas.openxmlformats.org/officeDocument/2006/relationships/hyperlink" Id="rId2896" Target="https://doi.org/10.1038/s41586-018-0023-4" TargetMode="External" /><Relationship Type="http://schemas.openxmlformats.org/officeDocument/2006/relationships/hyperlink" Id="rId3144" Target="https://doi.org/10.1038/s41586-018-0405-7" TargetMode="External" /><Relationship Type="http://schemas.openxmlformats.org/officeDocument/2006/relationships/hyperlink" Id="rId4289" Target="https://doi.org/10.1038/s41586-019-1235-y" TargetMode="External" /><Relationship Type="http://schemas.openxmlformats.org/officeDocument/2006/relationships/hyperlink" Id="rId5910" Target="https://doi.org/10.1038/s41586-019-1289-x" TargetMode="External" /><Relationship Type="http://schemas.openxmlformats.org/officeDocument/2006/relationships/hyperlink" Id="rId3018" Target="https://doi.org/10.1038/s41586-019-1352-7" TargetMode="External" /><Relationship Type="http://schemas.openxmlformats.org/officeDocument/2006/relationships/hyperlink" Id="rId2635" Target="https://doi.org/10.1038/s41586-019-1506-7" TargetMode="External" /><Relationship Type="http://schemas.openxmlformats.org/officeDocument/2006/relationships/hyperlink" Id="rId5768" Target="https://doi.org/10.1038/s41586-019-1564-x" TargetMode="External" /><Relationship Type="http://schemas.openxmlformats.org/officeDocument/2006/relationships/hyperlink" Id="rId3020" Target="https://doi.org/10.1038/s41586-020-03134-2" TargetMode="External" /><Relationship Type="http://schemas.openxmlformats.org/officeDocument/2006/relationships/hyperlink" Id="rId5908" Target="https://doi.org/10.1038/s41586-020-1962-0" TargetMode="External" /><Relationship Type="http://schemas.openxmlformats.org/officeDocument/2006/relationships/hyperlink" Id="rId3790" Target="https://doi.org/10.1038/s41586-020-2314-9" TargetMode="External" /><Relationship Type="http://schemas.openxmlformats.org/officeDocument/2006/relationships/hyperlink" Id="rId2645" Target="https://doi.org/10.1038/s41586-021-03465-8" TargetMode="External" /><Relationship Type="http://schemas.openxmlformats.org/officeDocument/2006/relationships/hyperlink" Id="rId3028" Target="https://doi.org/10.1038/s41586-021-03778-8" TargetMode="External" /><Relationship Type="http://schemas.openxmlformats.org/officeDocument/2006/relationships/hyperlink" Id="rId2643" Target="https://doi.org/10.1038/s41586-021-04072-3" TargetMode="External" /><Relationship Type="http://schemas.openxmlformats.org/officeDocument/2006/relationships/hyperlink" Id="rId5946" Target="https://doi.org/10.1038/s41586-022-04424-7" TargetMode="External" /><Relationship Type="http://schemas.openxmlformats.org/officeDocument/2006/relationships/hyperlink" Id="rId5609" Target="https://doi.org/10.1038/s41586-022-04432-7" TargetMode="External" /><Relationship Type="http://schemas.openxmlformats.org/officeDocument/2006/relationships/hyperlink" Id="rId5388" Target="https://doi.org/10.1038/s41586-022-04434-5" TargetMode="External" /><Relationship Type="http://schemas.openxmlformats.org/officeDocument/2006/relationships/hyperlink" Id="rId5944" Target="https://doi.org/10.1038/s41586-022-04436-3" TargetMode="External" /><Relationship Type="http://schemas.openxmlformats.org/officeDocument/2006/relationships/hyperlink" Id="rId3786" Target="https://doi.org/10.1038/s41586-022-04492-9" TargetMode="External" /><Relationship Type="http://schemas.openxmlformats.org/officeDocument/2006/relationships/hyperlink" Id="rId5168" Target="https://doi.org/10.1038/s41586-022-04554-y" TargetMode="External" /><Relationship Type="http://schemas.openxmlformats.org/officeDocument/2006/relationships/hyperlink" Id="rId5390" Target="https://doi.org/10.1038/s41586-022-04556-w" TargetMode="External" /><Relationship Type="http://schemas.openxmlformats.org/officeDocument/2006/relationships/hyperlink" Id="rId5902" Target="https://doi.org/10.1038/s41586-022-05219-6" TargetMode="External" /><Relationship Type="http://schemas.openxmlformats.org/officeDocument/2006/relationships/hyperlink" Id="rId5924" Target="https://doi.org/10.1038/s41586-022-05277-w" TargetMode="External" /><Relationship Type="http://schemas.openxmlformats.org/officeDocument/2006/relationships/hyperlink" Id="rId3788" Target="https://doi.org/10.1038/s41586-023-05745-x" TargetMode="External" /><Relationship Type="http://schemas.openxmlformats.org/officeDocument/2006/relationships/hyperlink" Id="rId2771" Target="https://doi.org/10.1038/s41586-023-06502-w" TargetMode="External" /><Relationship Type="http://schemas.openxmlformats.org/officeDocument/2006/relationships/hyperlink" Id="rId2998" Target="https://doi.org/10.1038/s41586-023-06812-z" TargetMode="External" /><Relationship Type="http://schemas.openxmlformats.org/officeDocument/2006/relationships/hyperlink" Id="rId3014" Target="https://doi.org/10.1038/s41586-024-07558-y" TargetMode="External" /><Relationship Type="http://schemas.openxmlformats.org/officeDocument/2006/relationships/hyperlink" Id="rId5948" Target="https://doi.org/10.1038/s41586-024-07577-9" TargetMode="External" /><Relationship Type="http://schemas.openxmlformats.org/officeDocument/2006/relationships/hyperlink" Id="rId5274" Target="https://doi.org/10.1038/s41586-024-08468-9" TargetMode="External" /><Relationship Type="http://schemas.openxmlformats.org/officeDocument/2006/relationships/hyperlink" Id="rId3022" Target="https://doi.org/10.1038/s41586-025-08790-w" TargetMode="External" /><Relationship Type="http://schemas.openxmlformats.org/officeDocument/2006/relationships/hyperlink" Id="rId5922" Target="https://doi.org/10.1038/s41586-025-08808-3" TargetMode="External" /><Relationship Type="http://schemas.openxmlformats.org/officeDocument/2006/relationships/hyperlink" Id="rId3024" Target="https://doi.org/10.1038/s41586-025-08840-3" TargetMode="External" /><Relationship Type="http://schemas.openxmlformats.org/officeDocument/2006/relationships/hyperlink" Id="rId3750" Target="https://doi.org/10.1038/s41586-025-08888-1" TargetMode="External" /><Relationship Type="http://schemas.openxmlformats.org/officeDocument/2006/relationships/hyperlink" Id="rId3066" Target="https://doi.org/10.1038/s41586-026-10169-4" TargetMode="External" /><Relationship Type="http://schemas.openxmlformats.org/officeDocument/2006/relationships/hyperlink" Id="rId3008" Target="https://doi.org/10.1038/s41586-026-10271-7" TargetMode="External" /><Relationship Type="http://schemas.openxmlformats.org/officeDocument/2006/relationships/hyperlink" Id="rId3026" Target="https://doi.org/10.1038/s41586-026-10735-w" TargetMode="External" /><Relationship Type="http://schemas.openxmlformats.org/officeDocument/2006/relationships/hyperlink" Id="rId5918" Target="https://doi.org/10.1038/s41586-026-10877-x" TargetMode="External" /><Relationship Type="http://schemas.openxmlformats.org/officeDocument/2006/relationships/hyperlink" Id="rId5926" Target="https://doi.org/10.1038/s41586-026-10943-4" TargetMode="External" /><Relationship Type="http://schemas.openxmlformats.org/officeDocument/2006/relationships/hyperlink" Id="rId5928" Target="https://doi.org/10.1038/s41586-026-11032-2" TargetMode="External" /><Relationship Type="http://schemas.openxmlformats.org/officeDocument/2006/relationships/hyperlink" Id="rId5208" Target="https://doi.org/10.1038/s41588-019-0379-x" TargetMode="External" /><Relationship Type="http://schemas.openxmlformats.org/officeDocument/2006/relationships/hyperlink" Id="rId5434" Target="https://doi.org/10.1038/s41588-021-00990-0" TargetMode="External" /><Relationship Type="http://schemas.openxmlformats.org/officeDocument/2006/relationships/hyperlink" Id="rId5210" Target="https://doi.org/10.1038/s41588-022-01016-z" TargetMode="External" /><Relationship Type="http://schemas.openxmlformats.org/officeDocument/2006/relationships/hyperlink" Id="rId5206" Target="https://doi.org/10.1038/s41588-022-01062-7" TargetMode="External" /><Relationship Type="http://schemas.openxmlformats.org/officeDocument/2006/relationships/hyperlink" Id="rId5962" Target="https://doi.org/10.1038/s41588-025-02191-5" TargetMode="External" /><Relationship Type="http://schemas.openxmlformats.org/officeDocument/2006/relationships/hyperlink" Id="rId3010" Target="https://doi.org/10.1038/s41588-026-02733-5" TargetMode="External" /><Relationship Type="http://schemas.openxmlformats.org/officeDocument/2006/relationships/hyperlink" Id="rId3062" Target="https://doi.org/10.1038/s41591-019-0375-9" TargetMode="External" /><Relationship Type="http://schemas.openxmlformats.org/officeDocument/2006/relationships/hyperlink" Id="rId5708" Target="https://doi.org/10.1038/s41591-024-03196-z" TargetMode="External" /><Relationship Type="http://schemas.openxmlformats.org/officeDocument/2006/relationships/hyperlink" Id="rId5890" Target="https://doi.org/10.1038/s41591-026-04414-6" TargetMode="External" /><Relationship Type="http://schemas.openxmlformats.org/officeDocument/2006/relationships/hyperlink" Id="rId3068" Target="https://doi.org/10.1038/s41591-026-04571-8" TargetMode="External" /><Relationship Type="http://schemas.openxmlformats.org/officeDocument/2006/relationships/hyperlink" Id="rId5863" Target="https://doi.org/10.1038/s41592-018-0109-9" TargetMode="External" /><Relationship Type="http://schemas.openxmlformats.org/officeDocument/2006/relationships/hyperlink" Id="rId5912" Target="https://doi.org/10.1038/s41592-019-0586-5" TargetMode="External" /><Relationship Type="http://schemas.openxmlformats.org/officeDocument/2006/relationships/hyperlink" Id="rId4207" Target="https://doi.org/10.1038/s41593-017-0020-1" TargetMode="External" /><Relationship Type="http://schemas.openxmlformats.org/officeDocument/2006/relationships/hyperlink" Id="rId3637" Target="https://doi.org/10.1038/s41593-018-0232-z" TargetMode="External" /><Relationship Type="http://schemas.openxmlformats.org/officeDocument/2006/relationships/hyperlink" Id="rId5942" Target="https://doi.org/10.1038/s41593-018-0293-z" TargetMode="External" /><Relationship Type="http://schemas.openxmlformats.org/officeDocument/2006/relationships/hyperlink" Id="rId3726" Target="https://doi.org/10.1038/s41593-020-00744-x" TargetMode="External" /><Relationship Type="http://schemas.openxmlformats.org/officeDocument/2006/relationships/hyperlink" Id="rId2765" Target="https://doi.org/10.1038/s41593-020-00783-4" TargetMode="External" /><Relationship Type="http://schemas.openxmlformats.org/officeDocument/2006/relationships/hyperlink" Id="rId2827" Target="https://doi.org/10.1038/s41593-020-00793-2" TargetMode="External" /><Relationship Type="http://schemas.openxmlformats.org/officeDocument/2006/relationships/hyperlink" Id="rId4225" Target="https://doi.org/10.1038/s41593-020-0625-7" TargetMode="External" /><Relationship Type="http://schemas.openxmlformats.org/officeDocument/2006/relationships/hyperlink" Id="rId2815" Target="https://doi.org/10.1038/s41593-021-00904-7" TargetMode="External" /><Relationship Type="http://schemas.openxmlformats.org/officeDocument/2006/relationships/hyperlink" Id="rId4504" Target="https://doi.org/10.1038/s41593-021-00982-7" TargetMode="External" /><Relationship Type="http://schemas.openxmlformats.org/officeDocument/2006/relationships/hyperlink" Id="rId3397" Target="https://doi.org/10.1038/s41593-022-01114-5" TargetMode="External" /><Relationship Type="http://schemas.openxmlformats.org/officeDocument/2006/relationships/hyperlink" Id="rId3865" Target="https://doi.org/10.1038/s41593-023-01304-9" TargetMode="External" /><Relationship Type="http://schemas.openxmlformats.org/officeDocument/2006/relationships/hyperlink" Id="rId2835" Target="https://doi.org/10.1038/s41593-024-01638-y" TargetMode="External" /><Relationship Type="http://schemas.openxmlformats.org/officeDocument/2006/relationships/hyperlink" Id="rId2836" Target="https://doi.org/10.1038/s41593-024-01698-0" TargetMode="External" /><Relationship Type="http://schemas.openxmlformats.org/officeDocument/2006/relationships/hyperlink" Id="rId5186" Target="https://doi.org/10.1038/s41593-024-01741-0" TargetMode="External" /><Relationship Type="http://schemas.openxmlformats.org/officeDocument/2006/relationships/hyperlink" Id="rId2840" Target="https://doi.org/10.1038/s41593-025-01897-3" TargetMode="External" /><Relationship Type="http://schemas.openxmlformats.org/officeDocument/2006/relationships/hyperlink" Id="rId2842" Target="https://doi.org/10.1038/s41593-025-01898-2" TargetMode="External" /><Relationship Type="http://schemas.openxmlformats.org/officeDocument/2006/relationships/hyperlink" Id="rId5888" Target="https://doi.org/10.1038/s41593-025-01905-6" TargetMode="External" /><Relationship Type="http://schemas.openxmlformats.org/officeDocument/2006/relationships/hyperlink" Id="rId5894" Target="https://doi.org/10.1038/s41593-026-02446-2" TargetMode="External" /><Relationship Type="http://schemas.openxmlformats.org/officeDocument/2006/relationships/hyperlink" Id="rId5892" Target="https://doi.org/10.1038/s41593-026-02456-0" TargetMode="External" /><Relationship Type="http://schemas.openxmlformats.org/officeDocument/2006/relationships/hyperlink" Id="rId4969" Target="https://doi.org/10.1038/s41598-018-20299-z" TargetMode="External" /><Relationship Type="http://schemas.openxmlformats.org/officeDocument/2006/relationships/hyperlink" Id="rId4231" Target="https://doi.org/10.1038/s41598-019-45812-w" TargetMode="External" /><Relationship Type="http://schemas.openxmlformats.org/officeDocument/2006/relationships/hyperlink" Id="rId4906" Target="https://doi.org/10.1038/s41598-021-99882-w" TargetMode="External" /><Relationship Type="http://schemas.openxmlformats.org/officeDocument/2006/relationships/hyperlink" Id="rId4675" Target="https://doi.org/10.1038/s41598-022-15195-6" TargetMode="External" /><Relationship Type="http://schemas.openxmlformats.org/officeDocument/2006/relationships/hyperlink" Id="rId4460" Target="https://doi.org/10.1038/s41598-022-27247-y" TargetMode="External" /><Relationship Type="http://schemas.openxmlformats.org/officeDocument/2006/relationships/hyperlink" Id="rId3316" Target="https://doi.org/10.1038/s41598-023-29854-9" TargetMode="External" /><Relationship Type="http://schemas.openxmlformats.org/officeDocument/2006/relationships/hyperlink" Id="rId4617" Target="https://doi.org/10.1038/s41598-023-45765-1" TargetMode="External" /><Relationship Type="http://schemas.openxmlformats.org/officeDocument/2006/relationships/hyperlink" Id="rId4616" Target="https://doi.org/10.1038/s41598-025-11069-9" TargetMode="External" /><Relationship Type="http://schemas.openxmlformats.org/officeDocument/2006/relationships/hyperlink" Id="rId4865" Target="https://doi.org/10.1038/s41598-025-21490-9" TargetMode="External" /><Relationship Type="http://schemas.openxmlformats.org/officeDocument/2006/relationships/hyperlink" Id="rId4587" Target="https://doi.org/10.1038/s41598-026-45569-z" TargetMode="External" /><Relationship Type="http://schemas.openxmlformats.org/officeDocument/2006/relationships/hyperlink" Id="rId4464" Target="https://doi.org/10.1038/s41598-026-60600-z" TargetMode="External" /><Relationship Type="http://schemas.openxmlformats.org/officeDocument/2006/relationships/hyperlink" Id="rId5212" Target="https://doi.org/10.1038/s43586-021-00092-5" TargetMode="External" /><Relationship Type="http://schemas.openxmlformats.org/officeDocument/2006/relationships/hyperlink" Id="rId3438" Target="https://doi.org/10.1038/s43587-025-01000-2" TargetMode="External" /><Relationship Type="http://schemas.openxmlformats.org/officeDocument/2006/relationships/hyperlink" Id="rId3538" Target="https://doi.org/10.1038/s44159-025-00442-0" TargetMode="External" /><Relationship Type="http://schemas.openxmlformats.org/officeDocument/2006/relationships/hyperlink" Id="rId4957" Target="https://doi.org/10.1038/s44220-023-00081-5" TargetMode="External" /><Relationship Type="http://schemas.openxmlformats.org/officeDocument/2006/relationships/hyperlink" Id="rId2743" Target="https://doi.org/10.1038/sj.bjp.0704319" TargetMode="External" /><Relationship Type="http://schemas.openxmlformats.org/officeDocument/2006/relationships/hyperlink" Id="rId3839" Target="https://doi.org/10.1038/sj.jcbfm.9600493" TargetMode="External" /><Relationship Type="http://schemas.openxmlformats.org/officeDocument/2006/relationships/hyperlink" Id="rId4295" Target="https://doi.org/10.1038/sj.mp.4001949" TargetMode="External" /><Relationship Type="http://schemas.openxmlformats.org/officeDocument/2006/relationships/hyperlink" Id="rId4161" Target="https://doi.org/10.1038/srep02027" TargetMode="External" /><Relationship Type="http://schemas.openxmlformats.org/officeDocument/2006/relationships/hyperlink" Id="rId3941" Target="https://doi.org/10.1038/srep10964" TargetMode="External" /><Relationship Type="http://schemas.openxmlformats.org/officeDocument/2006/relationships/hyperlink" Id="rId4799" Target="https://doi.org/10.1038/tp.2016.164" TargetMode="External" /><Relationship Type="http://schemas.openxmlformats.org/officeDocument/2006/relationships/hyperlink" Id="rId5436" Target="https://doi.org/10.1046/j.1468-2982.2002.00310.x" TargetMode="External" /><Relationship Type="http://schemas.openxmlformats.org/officeDocument/2006/relationships/hyperlink" Id="rId4508" Target="https://doi.org/10.1053/j.gastro.2017.07.002" TargetMode="External" /><Relationship Type="http://schemas.openxmlformats.org/officeDocument/2006/relationships/hyperlink" Id="rId4233" Target="https://doi.org/10.1055/s-0045-1814399" TargetMode="External" /><Relationship Type="http://schemas.openxmlformats.org/officeDocument/2006/relationships/hyperlink" Id="rId4388" Target="https://doi.org/10.1056/NEJM199801153380307" TargetMode="External" /><Relationship Type="http://schemas.openxmlformats.org/officeDocument/2006/relationships/hyperlink" Id="rId5641" Target="https://doi.org/10.1056/NEJM200108023450501" TargetMode="External" /><Relationship Type="http://schemas.openxmlformats.org/officeDocument/2006/relationships/hyperlink" Id="rId5968" Target="https://doi.org/10.1056/NEJMc2300400" TargetMode="External" /><Relationship Type="http://schemas.openxmlformats.org/officeDocument/2006/relationships/hyperlink" Id="rId5135" Target="https://doi.org/10.1056/NEJMcps050929" TargetMode="External" /><Relationship Type="http://schemas.openxmlformats.org/officeDocument/2006/relationships/hyperlink" Id="rId5772" Target="https://doi.org/10.1056/NEJMoa043330" TargetMode="External" /><Relationship Type="http://schemas.openxmlformats.org/officeDocument/2006/relationships/hyperlink" Id="rId5774" Target="https://doi.org/10.1056/NEJMoa043331" TargetMode="External" /><Relationship Type="http://schemas.openxmlformats.org/officeDocument/2006/relationships/hyperlink" Id="rId5145" Target="https://doi.org/10.1056/NEJMoa053792" TargetMode="External" /><Relationship Type="http://schemas.openxmlformats.org/officeDocument/2006/relationships/hyperlink" Id="rId5706" Target="https://doi.org/10.1056/NEJMoa060281" TargetMode="External" /><Relationship Type="http://schemas.openxmlformats.org/officeDocument/2006/relationships/hyperlink" Id="rId3893" Target="https://doi.org/10.1056/NEJMoa070240" TargetMode="External" /><Relationship Type="http://schemas.openxmlformats.org/officeDocument/2006/relationships/hyperlink" Id="rId5328" Target="https://doi.org/10.1056/NEJMoa0804633" TargetMode="External" /><Relationship Type="http://schemas.openxmlformats.org/officeDocument/2006/relationships/hyperlink" Id="rId5744" Target="https://doi.org/10.1056/NEJMoa1102077" TargetMode="External" /><Relationship Type="http://schemas.openxmlformats.org/officeDocument/2006/relationships/hyperlink" Id="rId5510" Target="https://doi.org/10.1056/NEJMoa1506459" TargetMode="External" /><Relationship Type="http://schemas.openxmlformats.org/officeDocument/2006/relationships/hyperlink" Id="rId5356" Target="https://doi.org/10.1056/NEJMoa1507598" TargetMode="External" /><Relationship Type="http://schemas.openxmlformats.org/officeDocument/2006/relationships/hyperlink" Id="rId2928" Target="https://doi.org/10.1056/NEJMoa1602812" TargetMode="External" /><Relationship Type="http://schemas.openxmlformats.org/officeDocument/2006/relationships/hyperlink" Id="rId5746" Target="https://doi.org/10.1056/NEJMoa1605215" TargetMode="External" /><Relationship Type="http://schemas.openxmlformats.org/officeDocument/2006/relationships/hyperlink" Id="rId5504" Target="https://doi.org/10.1056/NEJMoa1606599" TargetMode="External" /><Relationship Type="http://schemas.openxmlformats.org/officeDocument/2006/relationships/hyperlink" Id="rId2755" Target="https://doi.org/10.1056/NEJMoa1702752" TargetMode="External" /><Relationship Type="http://schemas.openxmlformats.org/officeDocument/2006/relationships/hyperlink" Id="rId5673" Target="https://doi.org/10.1056/NEJMoa1706442" TargetMode="External" /><Relationship Type="http://schemas.openxmlformats.org/officeDocument/2006/relationships/hyperlink" Id="rId5679" Target="https://doi.org/10.1056/NEJMoa1800410" TargetMode="External" /><Relationship Type="http://schemas.openxmlformats.org/officeDocument/2006/relationships/hyperlink" Id="rId5704" Target="https://doi.org/10.1056/NEJMoa1809983" TargetMode="External" /><Relationship Type="http://schemas.openxmlformats.org/officeDocument/2006/relationships/hyperlink" Id="rId5450" Target="https://doi.org/10.1056/NEJMoa1813440" TargetMode="External" /><Relationship Type="http://schemas.openxmlformats.org/officeDocument/2006/relationships/hyperlink" Id="rId5615" Target="https://doi.org/10.1056/NEJMoa1900866" TargetMode="External" /><Relationship Type="http://schemas.openxmlformats.org/officeDocument/2006/relationships/hyperlink" Id="rId5966" Target="https://doi.org/10.1056/NEJMoa1900907" TargetMode="External" /><Relationship Type="http://schemas.openxmlformats.org/officeDocument/2006/relationships/hyperlink" Id="rId5647" Target="https://doi.org/10.1056/NEJMoa1905795" TargetMode="External" /><Relationship Type="http://schemas.openxmlformats.org/officeDocument/2006/relationships/hyperlink" Id="rId5156" Target="https://doi.org/10.1056/NEJMoa2026486" TargetMode="External" /><Relationship Type="http://schemas.openxmlformats.org/officeDocument/2006/relationships/hyperlink" Id="rId2759" Target="https://doi.org/10.1056/NEJMoa2106356" TargetMode="External" /><Relationship Type="http://schemas.openxmlformats.org/officeDocument/2006/relationships/hyperlink" Id="rId5954" Target="https://doi.org/10.1056/NEJMoa2204705" TargetMode="External" /><Relationship Type="http://schemas.openxmlformats.org/officeDocument/2006/relationships/hyperlink" Id="rId5290" Target="https://doi.org/10.1056/NEJMoa2206443" TargetMode="External" /><Relationship Type="http://schemas.openxmlformats.org/officeDocument/2006/relationships/hyperlink" Id="rId5583" Target="https://doi.org/10.1056/NEJMoa2212948" TargetMode="External" /><Relationship Type="http://schemas.openxmlformats.org/officeDocument/2006/relationships/hyperlink" Id="rId5675" Target="https://doi.org/10.1056/NEJMoa2214403" TargetMode="External" /><Relationship Type="http://schemas.openxmlformats.org/officeDocument/2006/relationships/hyperlink" Id="rId5544" Target="https://doi.org/10.1056/NEJMoa2302368" TargetMode="External" /><Relationship Type="http://schemas.openxmlformats.org/officeDocument/2006/relationships/hyperlink" Id="rId5284" Target="https://doi.org/10.1056/NEJMoa2302399" TargetMode="External" /><Relationship Type="http://schemas.openxmlformats.org/officeDocument/2006/relationships/hyperlink" Id="rId5681" Target="https://doi.org/10.1056/NEJMoa2303048" TargetMode="External" /><Relationship Type="http://schemas.openxmlformats.org/officeDocument/2006/relationships/hyperlink" Id="rId5776" Target="https://doi.org/10.1056/NEJMoa2304194" TargetMode="External" /><Relationship Type="http://schemas.openxmlformats.org/officeDocument/2006/relationships/hyperlink" Id="rId5712" Target="https://doi.org/10.1056/NEJMoa2312323" TargetMode="External" /><Relationship Type="http://schemas.openxmlformats.org/officeDocument/2006/relationships/hyperlink" Id="rId5886" Target="https://doi.org/10.1056/NEJMoa2314132" TargetMode="External" /><Relationship Type="http://schemas.openxmlformats.org/officeDocument/2006/relationships/hyperlink" Id="rId5782" Target="https://doi.org/10.1056/NEJMoa2314390" TargetMode="External" /><Relationship Type="http://schemas.openxmlformats.org/officeDocument/2006/relationships/hyperlink" Id="rId5830" Target="https://doi.org/10.1056/NEJMoa2400645" TargetMode="External" /><Relationship Type="http://schemas.openxmlformats.org/officeDocument/2006/relationships/hyperlink" Id="rId5506" Target="https://doi.org/10.1056/NEJMoa2404881" TargetMode="External" /><Relationship Type="http://schemas.openxmlformats.org/officeDocument/2006/relationships/hyperlink" Id="rId5520" Target="https://doi.org/10.1056/NEJMoa2405847" TargetMode="External" /><Relationship Type="http://schemas.openxmlformats.org/officeDocument/2006/relationships/hyperlink" Id="rId4045" Target="https://doi.org/10.1056/NEJMra1511480" TargetMode="External" /><Relationship Type="http://schemas.openxmlformats.org/officeDocument/2006/relationships/hyperlink" Id="rId3381" Target="https://doi.org/10.1068/p281059" TargetMode="External" /><Relationship Type="http://schemas.openxmlformats.org/officeDocument/2006/relationships/hyperlink" Id="rId5166" Target="https://doi.org/10.1073/pnas.0402680101" TargetMode="External" /><Relationship Type="http://schemas.openxmlformats.org/officeDocument/2006/relationships/hyperlink" Id="rId3674" Target="https://doi.org/10.1073/pnas.0406666101" TargetMode="External" /><Relationship Type="http://schemas.openxmlformats.org/officeDocument/2006/relationships/hyperlink" Id="rId4538" Target="https://doi.org/10.1073/pnas.0407401101" TargetMode="External" /><Relationship Type="http://schemas.openxmlformats.org/officeDocument/2006/relationships/hyperlink" Id="rId4177" Target="https://doi.org/10.1073/pnas.0610561104" TargetMode="External" /><Relationship Type="http://schemas.openxmlformats.org/officeDocument/2006/relationships/hyperlink" Id="rId4770" Target="https://doi.org/10.1073/pnas.0611721104" TargetMode="External" /><Relationship Type="http://schemas.openxmlformats.org/officeDocument/2006/relationships/hyperlink" Id="rId4179" Target="https://doi.org/10.1073/pnas.070039597" TargetMode="External" /><Relationship Type="http://schemas.openxmlformats.org/officeDocument/2006/relationships/hyperlink" Id="rId4542" Target="https://doi.org/10.1073/pnas.0707678104" TargetMode="External" /><Relationship Type="http://schemas.openxmlformats.org/officeDocument/2006/relationships/hyperlink" Id="rId5430" Target="https://doi.org/10.1073/pnas.071582498" TargetMode="External" /><Relationship Type="http://schemas.openxmlformats.org/officeDocument/2006/relationships/hyperlink" Id="rId3164" Target="https://doi.org/10.1073/pnas.0803390105" TargetMode="External" /><Relationship Type="http://schemas.openxmlformats.org/officeDocument/2006/relationships/hyperlink" Id="rId4386" Target="https://doi.org/10.1073/pnas.0807041106" TargetMode="External" /><Relationship Type="http://schemas.openxmlformats.org/officeDocument/2006/relationships/hyperlink" Id="rId4605" Target="https://doi.org/10.1073/pnas.0904031106" TargetMode="External" /><Relationship Type="http://schemas.openxmlformats.org/officeDocument/2006/relationships/hyperlink" Id="rId2908" Target="https://doi.org/10.1073/pnas.0912730107" TargetMode="External" /><Relationship Type="http://schemas.openxmlformats.org/officeDocument/2006/relationships/hyperlink" Id="rId4607" Target="https://doi.org/10.1073/pnas.1011043107" TargetMode="External" /><Relationship Type="http://schemas.openxmlformats.org/officeDocument/2006/relationships/hyperlink" Id="rId5546" Target="https://doi.org/10.1073/pnas.1015950108" TargetMode="External" /><Relationship Type="http://schemas.openxmlformats.org/officeDocument/2006/relationships/hyperlink" Id="rId4163" Target="https://doi.org/10.1073/pnas.1102693108" TargetMode="External" /><Relationship Type="http://schemas.openxmlformats.org/officeDocument/2006/relationships/hyperlink" Id="rId2593" Target="https://doi.org/10.1073/pnas.1105108108" TargetMode="External" /><Relationship Type="http://schemas.openxmlformats.org/officeDocument/2006/relationships/hyperlink" Id="rId4550" Target="https://doi.org/10.1073/pnas.1112029108" TargetMode="External" /><Relationship Type="http://schemas.openxmlformats.org/officeDocument/2006/relationships/hyperlink" Id="rId3945" Target="https://doi.org/10.1073/pnas.1112937108" TargetMode="External" /><Relationship Type="http://schemas.openxmlformats.org/officeDocument/2006/relationships/hyperlink" Id="rId5074" Target="https://doi.org/10.1073/pnas.1119598109" TargetMode="External" /><Relationship Type="http://schemas.openxmlformats.org/officeDocument/2006/relationships/hyperlink" Id="rId2633" Target="https://doi.org/10.1073/pnas.1204773109" TargetMode="External" /><Relationship Type="http://schemas.openxmlformats.org/officeDocument/2006/relationships/hyperlink" Id="rId4663" Target="https://doi.org/10.1073/pnas.1207817109" TargetMode="External" /><Relationship Type="http://schemas.openxmlformats.org/officeDocument/2006/relationships/hyperlink" Id="rId3754" Target="https://doi.org/10.1073/pnas.1210467109" TargetMode="External" /><Relationship Type="http://schemas.openxmlformats.org/officeDocument/2006/relationships/hyperlink" Id="rId3160" Target="https://doi.org/10.1073/pnas.1314373110" TargetMode="External" /><Relationship Type="http://schemas.openxmlformats.org/officeDocument/2006/relationships/hyperlink" Id="rId4466" Target="https://doi.org/10.1073/pnas.1322174111" TargetMode="External" /><Relationship Type="http://schemas.openxmlformats.org/officeDocument/2006/relationships/hyperlink" Id="rId4111" Target="https://doi.org/10.1073/pnas.1400335111" TargetMode="External" /><Relationship Type="http://schemas.openxmlformats.org/officeDocument/2006/relationships/hyperlink" Id="rId5865" Target="https://doi.org/10.1073/pnas.1403112111" TargetMode="External" /><Relationship Type="http://schemas.openxmlformats.org/officeDocument/2006/relationships/hyperlink" Id="rId3760" Target="https://doi.org/10.1073/pnas.1513569112" TargetMode="External" /><Relationship Type="http://schemas.openxmlformats.org/officeDocument/2006/relationships/hyperlink" Id="rId4165" Target="https://doi.org/10.1073/pnas.1515083112" TargetMode="External" /><Relationship Type="http://schemas.openxmlformats.org/officeDocument/2006/relationships/hyperlink" Id="rId3132" Target="https://doi.org/10.1073/pnas.1516814112" TargetMode="External" /><Relationship Type="http://schemas.openxmlformats.org/officeDocument/2006/relationships/hyperlink" Id="rId3923" Target="https://doi.org/10.1073/pnas.1517131113" TargetMode="External" /><Relationship Type="http://schemas.openxmlformats.org/officeDocument/2006/relationships/hyperlink" Id="rId4167" Target="https://doi.org/10.1073/pnas.1600282113" TargetMode="External" /><Relationship Type="http://schemas.openxmlformats.org/officeDocument/2006/relationships/hyperlink" Id="rId3792" Target="https://doi.org/10.1073/pnas.1602413113" TargetMode="External" /><Relationship Type="http://schemas.openxmlformats.org/officeDocument/2006/relationships/hyperlink" Id="rId3937" Target="https://doi.org/10.1073/pnas.1603205113" TargetMode="External" /><Relationship Type="http://schemas.openxmlformats.org/officeDocument/2006/relationships/hyperlink" Id="rId3338" Target="https://doi.org/10.1073/pnas.1611612115" TargetMode="External" /><Relationship Type="http://schemas.openxmlformats.org/officeDocument/2006/relationships/hyperlink" Id="rId3793" Target="https://doi.org/10.1073/pnas.1612033113" TargetMode="External" /><Relationship Type="http://schemas.openxmlformats.org/officeDocument/2006/relationships/hyperlink" Id="rId3813" Target="https://doi.org/10.1073/pnas.1708274114" TargetMode="External" /><Relationship Type="http://schemas.openxmlformats.org/officeDocument/2006/relationships/hyperlink" Id="rId4418" Target="https://doi.org/10.1073/pnas.1713897114" TargetMode="External" /><Relationship Type="http://schemas.openxmlformats.org/officeDocument/2006/relationships/hyperlink" Id="rId4133" Target="https://doi.org/10.1073/pnas.1714239115" TargetMode="External" /><Relationship Type="http://schemas.openxmlformats.org/officeDocument/2006/relationships/hyperlink" Id="rId3951" Target="https://doi.org/10.1073/pnas.172399499" TargetMode="External" /><Relationship Type="http://schemas.openxmlformats.org/officeDocument/2006/relationships/hyperlink" Id="rId3440" Target="https://doi.org/10.1073/pnas.1811513116" TargetMode="External" /><Relationship Type="http://schemas.openxmlformats.org/officeDocument/2006/relationships/hyperlink" Id="rId4983" Target="https://doi.org/10.1073/pnas.1813588116" TargetMode="External" /><Relationship Type="http://schemas.openxmlformats.org/officeDocument/2006/relationships/hyperlink" Id="rId4251" Target="https://doi.org/10.1073/pnas.1900390116" TargetMode="External" /><Relationship Type="http://schemas.openxmlformats.org/officeDocument/2006/relationships/hyperlink" Id="rId3496" Target="https://doi.org/10.1073/pnas.2020192118" TargetMode="External" /><Relationship Type="http://schemas.openxmlformats.org/officeDocument/2006/relationships/hyperlink" Id="rId4585" Target="https://doi.org/10.1073/pnas.2409423122" TargetMode="External" /><Relationship Type="http://schemas.openxmlformats.org/officeDocument/2006/relationships/hyperlink" Id="rId4859" Target="https://doi.org/10.1073/pnas.2504961122" TargetMode="External" /><Relationship Type="http://schemas.openxmlformats.org/officeDocument/2006/relationships/hyperlink" Id="rId4584" Target="https://doi.org/10.1073/pnas.2511043122" TargetMode="External" /><Relationship Type="http://schemas.openxmlformats.org/officeDocument/2006/relationships/hyperlink" Id="rId5849" Target="https://doi.org/10.1073/pnas.90.22.10749" TargetMode="External" /><Relationship Type="http://schemas.openxmlformats.org/officeDocument/2006/relationships/hyperlink" Id="rId2852" Target="https://doi.org/10.1073/pnas.91.22.10625" TargetMode="External" /><Relationship Type="http://schemas.openxmlformats.org/officeDocument/2006/relationships/hyperlink" Id="rId3090" Target="https://doi.org/10.1073/pnas.93.24.13515" TargetMode="External" /><Relationship Type="http://schemas.openxmlformats.org/officeDocument/2006/relationships/hyperlink" Id="rId4713" Target="https://doi.org/10.1073/pnas.94.6.2569" TargetMode="External" /><Relationship Type="http://schemas.openxmlformats.org/officeDocument/2006/relationships/hyperlink" Id="rId4237" Target="https://doi.org/10.1073/pnas.98.2.676" TargetMode="External" /><Relationship Type="http://schemas.openxmlformats.org/officeDocument/2006/relationships/hyperlink" Id="rId4498" Target="https://doi.org/10.1074/jbc.M211609200" TargetMode="External" /><Relationship Type="http://schemas.openxmlformats.org/officeDocument/2006/relationships/hyperlink" Id="rId4018" Target="https://doi.org/10.1076/0964-704x(200004)9:1;1-2;ft046" TargetMode="External" /><Relationship Type="http://schemas.openxmlformats.org/officeDocument/2006/relationships/hyperlink" Id="rId3809" Target="https://doi.org/10.1080/00031305.2016.1154108" TargetMode="External" /><Relationship Type="http://schemas.openxmlformats.org/officeDocument/2006/relationships/hyperlink" Id="rId4839" Target="https://doi.org/10.1080/00207454.2020.1748621" TargetMode="External" /><Relationship Type="http://schemas.openxmlformats.org/officeDocument/2006/relationships/hyperlink" Id="rId3446" Target="https://doi.org/10.1080/02643290244000239" TargetMode="External" /><Relationship Type="http://schemas.openxmlformats.org/officeDocument/2006/relationships/hyperlink" Id="rId4776" Target="https://doi.org/10.1080/08870446.2019.1707827" TargetMode="External" /><Relationship Type="http://schemas.openxmlformats.org/officeDocument/2006/relationships/hyperlink" Id="rId4067" Target="https://doi.org/10.1080/09362830903462508" TargetMode="External" /><Relationship Type="http://schemas.openxmlformats.org/officeDocument/2006/relationships/hyperlink" Id="rId4020" Target="https://doi.org/10.1080/09602011003760527" TargetMode="External" /><Relationship Type="http://schemas.openxmlformats.org/officeDocument/2006/relationships/hyperlink" Id="rId3190" Target="https://doi.org/10.1080/09658211.2013.831454" TargetMode="External" /><Relationship Type="http://schemas.openxmlformats.org/officeDocument/2006/relationships/hyperlink" Id="rId4885" Target="https://doi.org/10.1080/10503307.2019.1664783" TargetMode="External" /><Relationship Type="http://schemas.openxmlformats.org/officeDocument/2006/relationships/hyperlink" Id="rId4995" Target="https://doi.org/10.1080/10503307.2021.1933646" TargetMode="External" /><Relationship Type="http://schemas.openxmlformats.org/officeDocument/2006/relationships/hyperlink" Id="rId5040" Target="https://doi.org/10.1080/14639947.2011.564815" TargetMode="External" /><Relationship Type="http://schemas.openxmlformats.org/officeDocument/2006/relationships/hyperlink" Id="rId5038" Target="https://doi.org/10.1080/14639947.2011.564843" TargetMode="External" /><Relationship Type="http://schemas.openxmlformats.org/officeDocument/2006/relationships/hyperlink" Id="rId4746" Target="https://doi.org/10.1080/17437199.2020.1760727" TargetMode="External" /><Relationship Type="http://schemas.openxmlformats.org/officeDocument/2006/relationships/hyperlink" Id="rId4002" Target="https://doi.org/10.1080/17439760.2019.1689421" TargetMode="External" /><Relationship Type="http://schemas.openxmlformats.org/officeDocument/2006/relationships/hyperlink" Id="rId3420" Target="https://doi.org/10.1080/19404158.2019.1609272" TargetMode="External" /><Relationship Type="http://schemas.openxmlformats.org/officeDocument/2006/relationships/hyperlink" Id="rId3442" Target="https://doi.org/10.1080/20445911.2013.796377" TargetMode="External" /><Relationship Type="http://schemas.openxmlformats.org/officeDocument/2006/relationships/hyperlink" Id="rId4709" Target="https://doi.org/10.1080/2153599x.2016.1267035" TargetMode="External" /><Relationship Type="http://schemas.openxmlformats.org/officeDocument/2006/relationships/hyperlink" Id="rId3474" Target="https://doi.org/10.1080/23311908.2025.2496026" TargetMode="External" /><Relationship Type="http://schemas.openxmlformats.org/officeDocument/2006/relationships/hyperlink" Id="rId5691" Target="https://doi.org/10.1083/jcb.200809125" TargetMode="External" /><Relationship Type="http://schemas.openxmlformats.org/officeDocument/2006/relationships/hyperlink" Id="rId2880" Target="https://doi.org/10.1084/jem.20142290" TargetMode="External" /><Relationship Type="http://schemas.openxmlformats.org/officeDocument/2006/relationships/hyperlink" Id="rId2665" Target="https://doi.org/10.1085/jgp.27.1.37" TargetMode="External" /><Relationship Type="http://schemas.openxmlformats.org/officeDocument/2006/relationships/hyperlink" Id="rId4024" Target="https://doi.org/10.1089/089771504774129964" TargetMode="External" /><Relationship Type="http://schemas.openxmlformats.org/officeDocument/2006/relationships/hyperlink" Id="rId4756" Target="https://doi.org/10.1089/acm.2007.6338" TargetMode="External" /><Relationship Type="http://schemas.openxmlformats.org/officeDocument/2006/relationships/hyperlink" Id="rId4758" Target="https://doi.org/10.1089/acm.2010.0007" TargetMode="External" /><Relationship Type="http://schemas.openxmlformats.org/officeDocument/2006/relationships/hyperlink" Id="rId4760" Target="https://doi.org/10.1089/acm.2019.0234" TargetMode="External" /><Relationship Type="http://schemas.openxmlformats.org/officeDocument/2006/relationships/hyperlink" Id="rId4041" Target="https://doi.org/10.1089/cyber.2021.0324" TargetMode="External" /><Relationship Type="http://schemas.openxmlformats.org/officeDocument/2006/relationships/hyperlink" Id="rId3752" Target="https://doi.org/10.1093/brain/106.3.623" TargetMode="External" /><Relationship Type="http://schemas.openxmlformats.org/officeDocument/2006/relationships/hyperlink" Id="rId3959" Target="https://doi.org/10.1093/brain/119.2.593" TargetMode="External" /><Relationship Type="http://schemas.openxmlformats.org/officeDocument/2006/relationships/hyperlink" Id="rId4213" Target="https://doi.org/10.1093/brain/121.4.561" TargetMode="External" /><Relationship Type="http://schemas.openxmlformats.org/officeDocument/2006/relationships/hyperlink" Id="rId3931" Target="https://doi.org/10.1093/brain/123.12.2512" TargetMode="External" /><Relationship Type="http://schemas.openxmlformats.org/officeDocument/2006/relationships/hyperlink" Id="rId5488" Target="https://doi.org/10.1093/brain/awaa224" TargetMode="External" /><Relationship Type="http://schemas.openxmlformats.org/officeDocument/2006/relationships/hyperlink" Id="rId5702" Target="https://doi.org/10.1093/brain/awaa238" TargetMode="External" /><Relationship Type="http://schemas.openxmlformats.org/officeDocument/2006/relationships/hyperlink" Id="rId5476" Target="https://doi.org/10.1093/brain/aws129" TargetMode="External" /><Relationship Type="http://schemas.openxmlformats.org/officeDocument/2006/relationships/hyperlink" Id="rId4195" Target="https://doi.org/10.1093/brain/awt162" TargetMode="External" /><Relationship Type="http://schemas.openxmlformats.org/officeDocument/2006/relationships/hyperlink" Id="rId3939" Target="https://doi.org/10.1093/brain/aww358" TargetMode="External" /><Relationship Type="http://schemas.openxmlformats.org/officeDocument/2006/relationships/hyperlink" Id="rId5828" Target="https://doi.org/10.1093/brain/awy302" TargetMode="External" /><Relationship Type="http://schemas.openxmlformats.org/officeDocument/2006/relationships/hyperlink" Id="rId5526" Target="https://doi.org/10.1093/brain/awz030" TargetMode="External" /><Relationship Type="http://schemas.openxmlformats.org/officeDocument/2006/relationships/hyperlink" Id="rId3776" Target="https://doi.org/10.1093/cercor/bhaa097" TargetMode="External" /><Relationship Type="http://schemas.openxmlformats.org/officeDocument/2006/relationships/hyperlink" Id="rId5048" Target="https://doi.org/10.1093/cercor/bhad408" TargetMode="External" /><Relationship Type="http://schemas.openxmlformats.org/officeDocument/2006/relationships/hyperlink" Id="rId5082" Target="https://doi.org/10.1093/cercor/bhaf039" TargetMode="External" /><Relationship Type="http://schemas.openxmlformats.org/officeDocument/2006/relationships/hyperlink" Id="rId4320" Target="https://doi.org/10.1093/cercor/bhn013" TargetMode="External" /><Relationship Type="http://schemas.openxmlformats.org/officeDocument/2006/relationships/hyperlink" Id="rId4173" Target="https://doi.org/10.1093/cercor/bhs077" TargetMode="External" /><Relationship Type="http://schemas.openxmlformats.org/officeDocument/2006/relationships/hyperlink" Id="rId5054" Target="https://doi.org/10.1093/cercor/bhs142" TargetMode="External" /><Relationship Type="http://schemas.openxmlformats.org/officeDocument/2006/relationships/hyperlink" Id="rId3312" Target="https://doi.org/10.1093/cercor/bhs261" TargetMode="External" /><Relationship Type="http://schemas.openxmlformats.org/officeDocument/2006/relationships/hyperlink" Id="rId4137" Target="https://doi.org/10.1093/cercor/bht154" TargetMode="External" /><Relationship Type="http://schemas.openxmlformats.org/officeDocument/2006/relationships/hyperlink" Id="rId3696" Target="https://doi.org/10.1093/cercor/bhu139" TargetMode="External" /><Relationship Type="http://schemas.openxmlformats.org/officeDocument/2006/relationships/hyperlink" Id="rId3661" Target="https://doi.org/10.1093/cercor/bhv086" TargetMode="External" /><Relationship Type="http://schemas.openxmlformats.org/officeDocument/2006/relationships/hyperlink" Id="rId3663" Target="https://doi.org/10.1093/cercor/bhw028" TargetMode="External" /><Relationship Type="http://schemas.openxmlformats.org/officeDocument/2006/relationships/hyperlink" Id="rId2799" Target="https://doi.org/10.1093/cercor/bhx203" TargetMode="External" /><Relationship Type="http://schemas.openxmlformats.org/officeDocument/2006/relationships/hyperlink" Id="rId5178" Target="https://doi.org/10.1093/cercor/bhy109" TargetMode="External" /><Relationship Type="http://schemas.openxmlformats.org/officeDocument/2006/relationships/hyperlink" Id="rId4973" Target="https://doi.org/10.1093/clipsy.bph077" TargetMode="External" /><Relationship Type="http://schemas.openxmlformats.org/officeDocument/2006/relationships/hyperlink" Id="rId4683" Target="https://doi.org/10.1093/geronb/gbaf235" TargetMode="External" /><Relationship Type="http://schemas.openxmlformats.org/officeDocument/2006/relationships/hyperlink" Id="rId4935" Target="https://doi.org/10.1093/jncics/pkad095" TargetMode="External" /><Relationship Type="http://schemas.openxmlformats.org/officeDocument/2006/relationships/hyperlink" Id="rId5750" Target="https://doi.org/10.1093/jnen/nlab001" TargetMode="External" /><Relationship Type="http://schemas.openxmlformats.org/officeDocument/2006/relationships/hyperlink" Id="rId5756" Target="https://doi.org/10.1093/neuonc/noab106" TargetMode="External" /><Relationship Type="http://schemas.openxmlformats.org/officeDocument/2006/relationships/hyperlink" Id="rId5760" Target="https://doi.org/10.1093/neuonc/noab150" TargetMode="External" /><Relationship Type="http://schemas.openxmlformats.org/officeDocument/2006/relationships/hyperlink" Id="rId5748" Target="https://doi.org/10.1093/neuros/nyaa278" TargetMode="External" /><Relationship Type="http://schemas.openxmlformats.org/officeDocument/2006/relationships/hyperlink" Id="rId4931" Target="https://doi.org/10.1093/ntr/nty126" TargetMode="External" /><Relationship Type="http://schemas.openxmlformats.org/officeDocument/2006/relationships/hyperlink" Id="rId5005" Target="https://doi.org/10.1093/pm/pnae056" TargetMode="External" /><Relationship Type="http://schemas.openxmlformats.org/officeDocument/2006/relationships/hyperlink" Id="rId4740" Target="https://doi.org/10.1093/pnasnexus/pgae453" TargetMode="External" /><Relationship Type="http://schemas.openxmlformats.org/officeDocument/2006/relationships/hyperlink" Id="rId3330" Target="https://doi.org/10.1093/pnasnexus/pgaf017" TargetMode="External" /><Relationship Type="http://schemas.openxmlformats.org/officeDocument/2006/relationships/hyperlink" Id="rId4544" Target="https://doi.org/10.1093/scan/nsm030" TargetMode="External" /><Relationship Type="http://schemas.openxmlformats.org/officeDocument/2006/relationships/hyperlink" Id="rId4546" Target="https://doi.org/10.1093/scan/nsp034" TargetMode="External" /><Relationship Type="http://schemas.openxmlformats.org/officeDocument/2006/relationships/hyperlink" Id="rId4619" Target="https://doi.org/10.1093/scan/nss066" TargetMode="External" /><Relationship Type="http://schemas.openxmlformats.org/officeDocument/2006/relationships/hyperlink" Id="rId5056" Target="https://doi.org/10.1093/scan/nst060" TargetMode="External" /><Relationship Type="http://schemas.openxmlformats.org/officeDocument/2006/relationships/hyperlink" Id="rId4643" Target="https://doi.org/10.1093/scan/nsu112" TargetMode="External" /><Relationship Type="http://schemas.openxmlformats.org/officeDocument/2006/relationships/hyperlink" Id="rId4589" Target="https://doi.org/10.1093/scan/nsv066" TargetMode="External" /><Relationship Type="http://schemas.openxmlformats.org/officeDocument/2006/relationships/hyperlink" Id="rId3668" Target="https://doi.org/10.1093/scan/nsw154" TargetMode="External" /><Relationship Type="http://schemas.openxmlformats.org/officeDocument/2006/relationships/hyperlink" Id="rId4639" Target="https://doi.org/10.1093/scan/nsz050" TargetMode="External" /><Relationship Type="http://schemas.openxmlformats.org/officeDocument/2006/relationships/hyperlink" Id="rId3684" Target="https://doi.org/10.1093/sleep/26.2.117" TargetMode="External" /><Relationship Type="http://schemas.openxmlformats.org/officeDocument/2006/relationships/hyperlink" Id="rId5728" Target="https://doi.org/10.1096/fj.09-142844" TargetMode="External" /><Relationship Type="http://schemas.openxmlformats.org/officeDocument/2006/relationships/hyperlink" Id="rId3861" Target="https://doi.org/10.1097/00001648-200009000-00011" TargetMode="External" /><Relationship Type="http://schemas.openxmlformats.org/officeDocument/2006/relationships/hyperlink" Id="rId5076" Target="https://doi.org/10.1097/00001756-199812010-00024" TargetMode="External" /><Relationship Type="http://schemas.openxmlformats.org/officeDocument/2006/relationships/hyperlink" Id="rId4651" Target="https://doi.org/10.1097/00001756-200005150-00042" TargetMode="External" /><Relationship Type="http://schemas.openxmlformats.org/officeDocument/2006/relationships/hyperlink" Id="rId4536" Target="https://doi.org/10.1097/01.psy.0000077505.67574.e3" TargetMode="External" /><Relationship Type="http://schemas.openxmlformats.org/officeDocument/2006/relationships/hyperlink" Id="rId4540" Target="https://doi.org/10.1097/01.wnr.0000186598.66243.19" TargetMode="External" /><Relationship Type="http://schemas.openxmlformats.org/officeDocument/2006/relationships/hyperlink" Id="rId5133" Target="https://doi.org/10.1097/AOG.0000000000001108" TargetMode="External" /><Relationship Type="http://schemas.openxmlformats.org/officeDocument/2006/relationships/hyperlink" Id="rId5820" Target="https://doi.org/10.1097/HTR.0000000000000834" TargetMode="External" /><Relationship Type="http://schemas.openxmlformats.org/officeDocument/2006/relationships/hyperlink" Id="rId5814" Target="https://doi.org/10.1097/HTR.0000000000000835" TargetMode="External" /><Relationship Type="http://schemas.openxmlformats.org/officeDocument/2006/relationships/hyperlink" Id="rId5818" Target="https://doi.org/10.1097/HTR.0000000000000837" TargetMode="External" /><Relationship Type="http://schemas.openxmlformats.org/officeDocument/2006/relationships/hyperlink" Id="rId5816" Target="https://doi.org/10.1097/HTR.0000000000000839" TargetMode="External" /><Relationship Type="http://schemas.openxmlformats.org/officeDocument/2006/relationships/hyperlink" Id="rId5633" Target="https://doi.org/10.1097/WNP.0000000000000739" TargetMode="External" /><Relationship Type="http://schemas.openxmlformats.org/officeDocument/2006/relationships/hyperlink" Id="rId5420" Target="https://doi.org/10.1097/j.pain.0000000000000492" TargetMode="External" /><Relationship Type="http://schemas.openxmlformats.org/officeDocument/2006/relationships/hyperlink" Id="rId5412" Target="https://doi.org/10.1097/j.pain.0000000000001939" TargetMode="External" /><Relationship Type="http://schemas.openxmlformats.org/officeDocument/2006/relationships/hyperlink" Id="rId5418" Target="https://doi.org/10.1097/j.pain.0000000000002324" TargetMode="External" /><Relationship Type="http://schemas.openxmlformats.org/officeDocument/2006/relationships/hyperlink" Id="rId4910" Target="https://doi.org/10.1097/j.pain.0000000000002997" TargetMode="External" /><Relationship Type="http://schemas.openxmlformats.org/officeDocument/2006/relationships/hyperlink" Id="rId4919" Target="https://doi.org/10.1097/j.pain.0000000000003832" TargetMode="External" /><Relationship Type="http://schemas.openxmlformats.org/officeDocument/2006/relationships/hyperlink" Id="rId4738" Target="https://doi.org/10.1097/psy.0000000000000580" TargetMode="External" /><Relationship Type="http://schemas.openxmlformats.org/officeDocument/2006/relationships/hyperlink" Id="rId4809" Target="https://doi.org/10.1097/psy.0000000000000900" TargetMode="External" /><Relationship Type="http://schemas.openxmlformats.org/officeDocument/2006/relationships/hyperlink" Id="rId4921" Target="https://doi.org/10.1097/psy.0000000000000908" TargetMode="External" /><Relationship Type="http://schemas.openxmlformats.org/officeDocument/2006/relationships/hyperlink" Id="rId4752" Target="https://doi.org/10.1097/psy.0000000000000970" TargetMode="External" /><Relationship Type="http://schemas.openxmlformats.org/officeDocument/2006/relationships/hyperlink" Id="rId4468" Target="https://doi.org/10.1097/psy.0000000000001065" TargetMode="External" /><Relationship Type="http://schemas.openxmlformats.org/officeDocument/2006/relationships/hyperlink" Id="rId4815" Target="https://doi.org/10.1097/psy.0000000000001381" TargetMode="External" /><Relationship Type="http://schemas.openxmlformats.org/officeDocument/2006/relationships/hyperlink" Id="rId4591" Target="https://doi.org/10.1097/psy.0b013e3180f6171f" TargetMode="External" /><Relationship Type="http://schemas.openxmlformats.org/officeDocument/2006/relationships/hyperlink" Id="rId4655" Target="https://doi.org/10.1097/wnr.0b013e328320012a" TargetMode="External" /><Relationship Type="http://schemas.openxmlformats.org/officeDocument/2006/relationships/hyperlink" Id="rId3578" Target="https://doi.org/10.1098/rsos.210190" TargetMode="External" /><Relationship Type="http://schemas.openxmlformats.org/officeDocument/2006/relationships/hyperlink" Id="rId5192" Target="https://doi.org/10.1098/rsos.211621" TargetMode="External" /><Relationship Type="http://schemas.openxmlformats.org/officeDocument/2006/relationships/hyperlink" Id="rId2719" Target="https://doi.org/10.1098/rspb.1983.0093" TargetMode="External" /><Relationship Type="http://schemas.openxmlformats.org/officeDocument/2006/relationships/hyperlink" Id="rId3615" Target="https://doi.org/10.1098/rspb.2018.1645" TargetMode="External" /><Relationship Type="http://schemas.openxmlformats.org/officeDocument/2006/relationships/hyperlink" Id="rId3977" Target="https://doi.org/10.1098/rstb.2002.1238" TargetMode="External" /><Relationship Type="http://schemas.openxmlformats.org/officeDocument/2006/relationships/hyperlink" Id="rId4219" Target="https://doi.org/10.1098/rstb.2005.1661" TargetMode="External" /><Relationship Type="http://schemas.openxmlformats.org/officeDocument/2006/relationships/hyperlink" Id="rId3072" Target="https://doi.org/10.1098/rstb.2013.0288" TargetMode="External" /><Relationship Type="http://schemas.openxmlformats.org/officeDocument/2006/relationships/hyperlink" Id="rId3112" Target="https://doi.org/10.1098/rstb.2016.0049" TargetMode="External" /><Relationship Type="http://schemas.openxmlformats.org/officeDocument/2006/relationships/hyperlink" Id="rId5090" Target="https://doi.org/10.1101/2025.09.19.677455" TargetMode="External" /><Relationship Type="http://schemas.openxmlformats.org/officeDocument/2006/relationships/hyperlink" Id="rId5088" Target="https://doi.org/10.1101/2025.11.12.688050" TargetMode="External" /><Relationship Type="http://schemas.openxmlformats.org/officeDocument/2006/relationships/hyperlink" Id="rId3040" Target="https://doi.org/10.1101/cshperspect.a005736" TargetMode="External" /><Relationship Type="http://schemas.openxmlformats.org/officeDocument/2006/relationships/hyperlink" Id="rId3114" Target="https://doi.org/10.1101/cshperspect.a021766" TargetMode="External" /><Relationship Type="http://schemas.openxmlformats.org/officeDocument/2006/relationships/hyperlink" Id="rId3835" Target="https://doi.org/10.1103/RevModPhys.65.413" TargetMode="External" /><Relationship Type="http://schemas.openxmlformats.org/officeDocument/2006/relationships/hyperlink" Id="rId3572" Target="https://doi.org/10.1111/1467-8624.00304" TargetMode="External" /><Relationship Type="http://schemas.openxmlformats.org/officeDocument/2006/relationships/hyperlink" Id="rId3126" Target="https://doi.org/10.1111/1467-8721.00192" TargetMode="External" /><Relationship Type="http://schemas.openxmlformats.org/officeDocument/2006/relationships/hyperlink" Id="rId3586" Target="https://doi.org/10.1111/1467-9280.00211" TargetMode="External" /><Relationship Type="http://schemas.openxmlformats.org/officeDocument/2006/relationships/hyperlink" Id="rId4061" Target="https://doi.org/10.1111/1467-9280.00345" TargetMode="External" /><Relationship Type="http://schemas.openxmlformats.org/officeDocument/2006/relationships/hyperlink" Id="rId3454" Target="https://doi.org/10.1111/1467-9280.02438" TargetMode="External" /><Relationship Type="http://schemas.openxmlformats.org/officeDocument/2006/relationships/hyperlink" Id="rId3128" Target="https://doi.org/10.1111/1467-9280.02453" TargetMode="External" /><Relationship Type="http://schemas.openxmlformats.org/officeDocument/2006/relationships/hyperlink" Id="rId4991" Target="https://doi.org/10.1111/acps.13225" TargetMode="External" /><Relationship Type="http://schemas.openxmlformats.org/officeDocument/2006/relationships/hyperlink" Id="rId3989" Target="https://doi.org/10.1111/cen.12653" TargetMode="External" /><Relationship Type="http://schemas.openxmlformats.org/officeDocument/2006/relationships/hyperlink" Id="rId3450" Target="https://doi.org/10.1111/desc.12372" TargetMode="External" /><Relationship Type="http://schemas.openxmlformats.org/officeDocument/2006/relationships/hyperlink" Id="rId4715" Target="https://doi.org/10.1111/ejn.13895" TargetMode="External" /><Relationship Type="http://schemas.openxmlformats.org/officeDocument/2006/relationships/hyperlink" Id="rId5456" Target="https://doi.org/10.1111/ene.13950" TargetMode="External" /><Relationship Type="http://schemas.openxmlformats.org/officeDocument/2006/relationships/hyperlink" Id="rId5478" Target="https://doi.org/10.1111/epi.12356" TargetMode="External" /><Relationship Type="http://schemas.openxmlformats.org/officeDocument/2006/relationships/hyperlink" Id="rId5619" Target="https://doi.org/10.1111/epi.12550" TargetMode="External" /><Relationship Type="http://schemas.openxmlformats.org/officeDocument/2006/relationships/hyperlink" Id="rId5645" Target="https://doi.org/10.1111/epi.13121" TargetMode="External" /><Relationship Type="http://schemas.openxmlformats.org/officeDocument/2006/relationships/hyperlink" Id="rId5141" Target="https://doi.org/10.1111/epi.17745" TargetMode="External" /><Relationship Type="http://schemas.openxmlformats.org/officeDocument/2006/relationships/hyperlink" Id="rId5621" Target="https://doi.org/10.1111/epi.18338" TargetMode="External" /><Relationship Type="http://schemas.openxmlformats.org/officeDocument/2006/relationships/hyperlink" Id="rId5635" Target="https://doi.org/10.1111/epi.18591" TargetMode="External" /><Relationship Type="http://schemas.openxmlformats.org/officeDocument/2006/relationships/hyperlink" Id="rId5438" Target="https://doi.org/10.1111/head.14692" TargetMode="External" /><Relationship Type="http://schemas.openxmlformats.org/officeDocument/2006/relationships/hyperlink" Id="rId4961" Target="https://doi.org/10.1111/irj.12418" TargetMode="External" /><Relationship Type="http://schemas.openxmlformats.org/officeDocument/2006/relationships/hyperlink" Id="rId4063" Target="https://doi.org/10.1111/j.0956-7976.2004.00711.x" TargetMode="External" /><Relationship Type="http://schemas.openxmlformats.org/officeDocument/2006/relationships/hyperlink" Id="rId4360" Target="https://doi.org/10.1111/j.1365-2826.2012.02303.x" TargetMode="External" /><Relationship Type="http://schemas.openxmlformats.org/officeDocument/2006/relationships/hyperlink" Id="rId3758" Target="https://doi.org/10.1111/j.1460-9568.2008.06525.x" TargetMode="External" /><Relationship Type="http://schemas.openxmlformats.org/officeDocument/2006/relationships/hyperlink" Id="rId3601" Target="https://doi.org/10.1111/j.1460-9568.2011.07980.x" TargetMode="External" /><Relationship Type="http://schemas.openxmlformats.org/officeDocument/2006/relationships/hyperlink" Id="rId3456" Target="https://doi.org/10.1111/j.1467-7687.2010.00962.x" TargetMode="External" /><Relationship Type="http://schemas.openxmlformats.org/officeDocument/2006/relationships/hyperlink" Id="rId3574" Target="https://doi.org/10.1111/j.1467-8624.2007.01018.x" TargetMode="External" /><Relationship Type="http://schemas.openxmlformats.org/officeDocument/2006/relationships/hyperlink" Id="rId3458" Target="https://doi.org/10.1111/j.1467-8624.2007.01131.x" TargetMode="External" /><Relationship Type="http://schemas.openxmlformats.org/officeDocument/2006/relationships/hyperlink" Id="rId3260" Target="https://doi.org/10.1111/j.1467-9280.1991.tb00147.x" TargetMode="External" /><Relationship Type="http://schemas.openxmlformats.org/officeDocument/2006/relationships/hyperlink" Id="rId3098" Target="https://doi.org/10.1111/j.1467-9280.1995.tb00310.x" TargetMode="External" /><Relationship Type="http://schemas.openxmlformats.org/officeDocument/2006/relationships/hyperlink" Id="rId3174" Target="https://doi.org/10.1111/j.1467-9280.2006.01693.x" TargetMode="External" /><Relationship Type="http://schemas.openxmlformats.org/officeDocument/2006/relationships/hyperlink" Id="rId3678" Target="https://doi.org/10.1111/j.1467-9280.2006.01723.x" TargetMode="External" /><Relationship Type="http://schemas.openxmlformats.org/officeDocument/2006/relationships/hyperlink" Id="rId3156" Target="https://doi.org/10.1111/j.1467-9280.2007.01940.x" TargetMode="External" /><Relationship Type="http://schemas.openxmlformats.org/officeDocument/2006/relationships/hyperlink" Id="rId3576" Target="https://doi.org/10.1111/j.1467-9280.2007.01944.x" TargetMode="External" /><Relationship Type="http://schemas.openxmlformats.org/officeDocument/2006/relationships/hyperlink" Id="rId3212" Target="https://doi.org/10.1111/j.1467-9280.2008.02127.x" TargetMode="External" /><Relationship Type="http://schemas.openxmlformats.org/officeDocument/2006/relationships/hyperlink" Id="rId3202" Target="https://doi.org/10.1111/j.1467-9280.2008.02209.x" TargetMode="External" /><Relationship Type="http://schemas.openxmlformats.org/officeDocument/2006/relationships/hyperlink" Id="rId4424" Target="https://doi.org/10.1111/j.1469-8986.1995.tb01213.x" TargetMode="External" /><Relationship Type="http://schemas.openxmlformats.org/officeDocument/2006/relationships/hyperlink" Id="rId4811" Target="https://doi.org/10.1111/j.1469-8986.2008.00666.x" TargetMode="External" /><Relationship Type="http://schemas.openxmlformats.org/officeDocument/2006/relationships/hyperlink" Id="rId2872" Target="https://doi.org/10.1111/j.1471-4159.1977.tb10649.x" TargetMode="External" /><Relationship Type="http://schemas.openxmlformats.org/officeDocument/2006/relationships/hyperlink" Id="rId3899" Target="https://doi.org/10.1111/j.1476-5381.2009.00196.x" TargetMode="External" /><Relationship Type="http://schemas.openxmlformats.org/officeDocument/2006/relationships/hyperlink" Id="rId5639" Target="https://doi.org/10.1111/j.1528-1167.2009.02397.x" TargetMode="External" /><Relationship Type="http://schemas.openxmlformats.org/officeDocument/2006/relationships/hyperlink" Id="rId4055" Target="https://doi.org/10.1111/j.1539-6053.2009.01038.x" TargetMode="External" /><Relationship Type="http://schemas.openxmlformats.org/officeDocument/2006/relationships/hyperlink" Id="rId5364" Target="https://doi.org/10.1111/j.2044-8260.1997.tb01408.x" TargetMode="External" /><Relationship Type="http://schemas.openxmlformats.org/officeDocument/2006/relationships/hyperlink" Id="rId3428" Target="https://doi.org/10.1111/jcpp.14123" TargetMode="External" /><Relationship Type="http://schemas.openxmlformats.org/officeDocument/2006/relationships/hyperlink" Id="rId4077" Target="https://doi.org/10.1111/jgs.12607" TargetMode="External" /><Relationship Type="http://schemas.openxmlformats.org/officeDocument/2006/relationships/hyperlink" Id="rId5490" Target="https://doi.org/10.1111/jsr.14035" TargetMode="External" /><Relationship Type="http://schemas.openxmlformats.org/officeDocument/2006/relationships/hyperlink" Id="rId5050" Target="https://doi.org/10.1111/nyas.12261" TargetMode="External" /><Relationship Type="http://schemas.openxmlformats.org/officeDocument/2006/relationships/hyperlink" Id="rId4241" Target="https://doi.org/10.1111/nyas.12360" TargetMode="External" /><Relationship Type="http://schemas.openxmlformats.org/officeDocument/2006/relationships/hyperlink" Id="rId4787" Target="https://doi.org/10.1111/nyas.12998" TargetMode="External" /><Relationship Type="http://schemas.openxmlformats.org/officeDocument/2006/relationships/hyperlink" Id="rId4937" Target="https://doi.org/10.1111/nyas.13996" TargetMode="External" /><Relationship Type="http://schemas.openxmlformats.org/officeDocument/2006/relationships/hyperlink" Id="rId4717" Target="https://doi.org/10.1111/psyp.12619" TargetMode="External" /><Relationship Type="http://schemas.openxmlformats.org/officeDocument/2006/relationships/hyperlink" Id="rId4817" Target="https://doi.org/10.1111/psyp.12790" TargetMode="External" /><Relationship Type="http://schemas.openxmlformats.org/officeDocument/2006/relationships/hyperlink" Id="rId4843" Target="https://doi.org/10.1111/psyp.12965" TargetMode="External" /><Relationship Type="http://schemas.openxmlformats.org/officeDocument/2006/relationships/hyperlink" Id="rId4754" Target="https://doi.org/10.1111/psyp.13091" TargetMode="External" /><Relationship Type="http://schemas.openxmlformats.org/officeDocument/2006/relationships/hyperlink" Id="rId4813" Target="https://doi.org/10.1111/psyp.13479" TargetMode="External" /><Relationship Type="http://schemas.openxmlformats.org/officeDocument/2006/relationships/hyperlink" Id="rId4448" Target="https://doi.org/10.1111/psyp.13933" TargetMode="External" /><Relationship Type="http://schemas.openxmlformats.org/officeDocument/2006/relationships/hyperlink" Id="rId4476" Target="https://doi.org/10.1111/psyp.14609" TargetMode="External" /><Relationship Type="http://schemas.openxmlformats.org/officeDocument/2006/relationships/hyperlink" Id="rId2667" Target="https://doi.org/10.1113/jphysiol.1949.sp004310" TargetMode="External" /><Relationship Type="http://schemas.openxmlformats.org/officeDocument/2006/relationships/hyperlink" Id="rId2795" Target="https://doi.org/10.1113/jphysiol.1949.sp004335" TargetMode="External" /><Relationship Type="http://schemas.openxmlformats.org/officeDocument/2006/relationships/hyperlink" Id="rId2671" Target="https://doi.org/10.1113/jphysiol.1952.sp004764" TargetMode="External" /><Relationship Type="http://schemas.openxmlformats.org/officeDocument/2006/relationships/hyperlink" Id="rId2701" Target="https://doi.org/10.1113/jphysiol.1954.sp005129" TargetMode="External" /><Relationship Type="http://schemas.openxmlformats.org/officeDocument/2006/relationships/hyperlink" Id="rId2709" Target="https://doi.org/10.1113/jphysiol.1973.sp010273" TargetMode="External" /><Relationship Type="http://schemas.openxmlformats.org/officeDocument/2006/relationships/hyperlink" Id="rId5498" Target="https://doi.org/10.1113/jphysiol.2003.040477" TargetMode="External" /><Relationship Type="http://schemas.openxmlformats.org/officeDocument/2006/relationships/hyperlink" Id="rId4484" Target="https://doi.org/10.1113/jphysiol.2004.063388" TargetMode="External" /><Relationship Type="http://schemas.openxmlformats.org/officeDocument/2006/relationships/hyperlink" Id="rId3837" Target="https://doi.org/10.1117/1.NPh.8.1.012101" TargetMode="External" /><Relationship Type="http://schemas.openxmlformats.org/officeDocument/2006/relationships/hyperlink" Id="rId2753" Target="https://doi.org/10.1124/jpet.113.212407" TargetMode="External" /><Relationship Type="http://schemas.openxmlformats.org/officeDocument/2006/relationships/hyperlink" Id="rId4599" Target="https://doi.org/10.1126/sciadv.1700489" TargetMode="External" /><Relationship Type="http://schemas.openxmlformats.org/officeDocument/2006/relationships/hyperlink" Id="rId4566" Target="https://doi.org/10.1126/sciadv.1700495" TargetMode="External" /><Relationship Type="http://schemas.openxmlformats.org/officeDocument/2006/relationships/hyperlink" Id="rId4432" Target="https://doi.org/10.1126/sciadv.aaq0800" TargetMode="External" /><Relationship Type="http://schemas.openxmlformats.org/officeDocument/2006/relationships/hyperlink" Id="rId4528" Target="https://doi.org/10.1126/sciadv.abk3316" TargetMode="External" /><Relationship Type="http://schemas.openxmlformats.org/officeDocument/2006/relationships/hyperlink" Id="rId4416" Target="https://doi.org/10.1126/science.100883" TargetMode="External" /><Relationship Type="http://schemas.openxmlformats.org/officeDocument/2006/relationships/hyperlink" Id="rId3108" Target="https://doi.org/10.1126/science.1071795" TargetMode="External" /><Relationship Type="http://schemas.openxmlformats.org/officeDocument/2006/relationships/hyperlink" Id="rId4157" Target="https://doi.org/10.1126/science.1089134" TargetMode="External" /><Relationship Type="http://schemas.openxmlformats.org/officeDocument/2006/relationships/hyperlink" Id="rId5414" Target="https://doi.org/10.1126/science.1093065" TargetMode="External" /><Relationship Type="http://schemas.openxmlformats.org/officeDocument/2006/relationships/hyperlink" Id="rId2727" Target="https://doi.org/10.1126/science.1109237" TargetMode="External" /><Relationship Type="http://schemas.openxmlformats.org/officeDocument/2006/relationships/hyperlink" Id="rId2779" Target="https://doi.org/10.1126/science.1110647" TargetMode="External" /><Relationship Type="http://schemas.openxmlformats.org/officeDocument/2006/relationships/hyperlink" Id="rId2649" Target="https://doi.org/10.1126/science.1125456" TargetMode="External" /><Relationship Type="http://schemas.openxmlformats.org/officeDocument/2006/relationships/hyperlink" Id="rId5938" Target="https://doi.org/10.1126/science.1134108" TargetMode="External" /><Relationship Type="http://schemas.openxmlformats.org/officeDocument/2006/relationships/hyperlink" Id="rId3118" Target="https://doi.org/10.1126/science.1135935" TargetMode="External" /><Relationship Type="http://schemas.openxmlformats.org/officeDocument/2006/relationships/hyperlink" Id="rId5934" Target="https://doi.org/10.1126/science.1141448" TargetMode="External" /><Relationship Type="http://schemas.openxmlformats.org/officeDocument/2006/relationships/hyperlink" Id="rId5176" Target="https://doi.org/10.1126/science.1143921" TargetMode="External" /><Relationship Type="http://schemas.openxmlformats.org/officeDocument/2006/relationships/hyperlink" Id="rId3184" Target="https://doi.org/10.1126/science.1152408" TargetMode="External" /><Relationship Type="http://schemas.openxmlformats.org/officeDocument/2006/relationships/hyperlink" Id="rId4081" Target="https://doi.org/10.1126/science.1155466" TargetMode="External" /><Relationship Type="http://schemas.openxmlformats.org/officeDocument/2006/relationships/hyperlink" Id="rId3296" Target="https://doi.org/10.1126/science.1158023" TargetMode="External" /><Relationship Type="http://schemas.openxmlformats.org/officeDocument/2006/relationships/hyperlink" Id="rId3550" Target="https://doi.org/10.1126/science.1166466" TargetMode="External" /><Relationship Type="http://schemas.openxmlformats.org/officeDocument/2006/relationships/hyperlink" Id="rId3140" Target="https://doi.org/10.1126/science.1167975" TargetMode="External" /><Relationship Type="http://schemas.openxmlformats.org/officeDocument/2006/relationships/hyperlink" Id="rId4346" Target="https://doi.org/10.1126/science.1189047" TargetMode="External" /><Relationship Type="http://schemas.openxmlformats.org/officeDocument/2006/relationships/hyperlink" Id="rId5282" Target="https://doi.org/10.1126/science.1190287" TargetMode="External" /><Relationship Type="http://schemas.openxmlformats.org/officeDocument/2006/relationships/hyperlink" Id="rId4601" Target="https://doi.org/10.1126/science.1191883" TargetMode="External" /><Relationship Type="http://schemas.openxmlformats.org/officeDocument/2006/relationships/hyperlink" Id="rId3314" Target="https://doi.org/10.1126/science.1192439" TargetMode="External" /><Relationship Type="http://schemas.openxmlformats.org/officeDocument/2006/relationships/hyperlink" Id="rId3502" Target="https://doi.org/10.1126/science.1192788" TargetMode="External" /><Relationship Type="http://schemas.openxmlformats.org/officeDocument/2006/relationships/hyperlink" Id="rId2924" Target="https://doi.org/10.1126/science.1193270" TargetMode="External" /><Relationship Type="http://schemas.openxmlformats.org/officeDocument/2006/relationships/hyperlink" Id="rId3402" Target="https://doi.org/10.1126/science.1194140" TargetMode="External" /><Relationship Type="http://schemas.openxmlformats.org/officeDocument/2006/relationships/hyperlink" Id="rId2777" Target="https://doi.org/10.1126/science.1194637" TargetMode="External" /><Relationship Type="http://schemas.openxmlformats.org/officeDocument/2006/relationships/hyperlink" Id="rId3194" Target="https://doi.org/10.1126/science.1199327" TargetMode="External" /><Relationship Type="http://schemas.openxmlformats.org/officeDocument/2006/relationships/hyperlink" Id="rId3136" Target="https://doi.org/10.1126/science.1231357" TargetMode="External" /><Relationship Type="http://schemas.openxmlformats.org/officeDocument/2006/relationships/hyperlink" Id="rId5336" Target="https://doi.org/10.1126/science.1232380" TargetMode="External" /><Relationship Type="http://schemas.openxmlformats.org/officeDocument/2006/relationships/hyperlink" Id="rId5950" Target="https://doi.org/10.1126/science.1232927" TargetMode="External" /><Relationship Type="http://schemas.openxmlformats.org/officeDocument/2006/relationships/hyperlink" Id="rId5334" Target="https://doi.org/10.1126/science.1234733" TargetMode="External" /><Relationship Type="http://schemas.openxmlformats.org/officeDocument/2006/relationships/hyperlink" Id="rId3708" Target="https://doi.org/10.1126/science.1241224" TargetMode="External" /><Relationship Type="http://schemas.openxmlformats.org/officeDocument/2006/relationships/hyperlink" Id="rId2797" Target="https://doi.org/10.1126/science.1249766" TargetMode="External" /><Relationship Type="http://schemas.openxmlformats.org/officeDocument/2006/relationships/hyperlink" Id="rId2801" Target="https://doi.org/10.1126/science.1252304" TargetMode="External" /><Relationship Type="http://schemas.openxmlformats.org/officeDocument/2006/relationships/hyperlink" Id="rId2803" Target="https://doi.org/10.1126/science.1254960" TargetMode="External" /><Relationship Type="http://schemas.openxmlformats.org/officeDocument/2006/relationships/hyperlink" Id="rId4049" Target="https://doi.org/10.1126/science.1255514" TargetMode="External" /><Relationship Type="http://schemas.openxmlformats.org/officeDocument/2006/relationships/hyperlink" Id="rId4404" Target="https://doi.org/10.1126/science.1683005" TargetMode="External" /><Relationship Type="http://schemas.openxmlformats.org/officeDocument/2006/relationships/hyperlink" Id="rId3560" Target="https://doi.org/10.1126/science.171.3972.701" TargetMode="External" /><Relationship Type="http://schemas.openxmlformats.org/officeDocument/2006/relationships/hyperlink" Id="rId2986" Target="https://doi.org/10.1126/science.2035024" TargetMode="External" /><Relationship Type="http://schemas.openxmlformats.org/officeDocument/2006/relationships/hyperlink" Id="rId3912" Target="https://doi.org/10.1126/science.250.4978.303-b" TargetMode="External" /><Relationship Type="http://schemas.openxmlformats.org/officeDocument/2006/relationships/hyperlink" Id="rId5796" Target="https://doi.org/10.1126/science.272.5269.1791" TargetMode="External" /><Relationship Type="http://schemas.openxmlformats.org/officeDocument/2006/relationships/hyperlink" Id="rId3100" Target="https://doi.org/10.1126/science.273.5280.1399" TargetMode="External" /><Relationship Type="http://schemas.openxmlformats.org/officeDocument/2006/relationships/hyperlink" Id="rId2982" Target="https://doi.org/10.1126/science.274.5290.1123" TargetMode="External" /><Relationship Type="http://schemas.openxmlformats.org/officeDocument/2006/relationships/hyperlink" Id="rId3672" Target="https://doi.org/10.1126/science.275.5304.1293" TargetMode="External" /><Relationship Type="http://schemas.openxmlformats.org/officeDocument/2006/relationships/hyperlink" Id="rId3611" Target="https://doi.org/10.1126/science.275.5306.1593" TargetMode="External" /><Relationship Type="http://schemas.openxmlformats.org/officeDocument/2006/relationships/hyperlink" Id="rId4155" Target="https://doi.org/10.1126/science.277.5328.968" TargetMode="External" /><Relationship Type="http://schemas.openxmlformats.org/officeDocument/2006/relationships/hyperlink" Id="rId2980" Target="https://doi.org/10.1126/science.278.5337.474" TargetMode="External" /><Relationship Type="http://schemas.openxmlformats.org/officeDocument/2006/relationships/hyperlink" Id="rId2725" Target="https://doi.org/10.1126/science.294.5544.1024" TargetMode="External" /><Relationship Type="http://schemas.openxmlformats.org/officeDocument/2006/relationships/hyperlink" Id="rId5851" Target="https://doi.org/10.1126/science.3749885" TargetMode="External" /><Relationship Type="http://schemas.openxmlformats.org/officeDocument/2006/relationships/hyperlink" Id="rId3158" Target="https://doi.org/10.1126/science.7375930" TargetMode="External" /><Relationship Type="http://schemas.openxmlformats.org/officeDocument/2006/relationships/hyperlink" Id="rId3096" Target="https://doi.org/10.1126/science.7414331" TargetMode="External" /><Relationship Type="http://schemas.openxmlformats.org/officeDocument/2006/relationships/hyperlink" Id="rId3385" Target="https://doi.org/10.1126/science.7569931" TargetMode="External" /><Relationship Type="http://schemas.openxmlformats.org/officeDocument/2006/relationships/hyperlink" Id="rId4785" Target="https://doi.org/10.1126/science.7605428" TargetMode="External" /><Relationship Type="http://schemas.openxmlformats.org/officeDocument/2006/relationships/hyperlink" Id="rId4410" Target="https://doi.org/10.1126/science.7624777" TargetMode="External" /><Relationship Type="http://schemas.openxmlformats.org/officeDocument/2006/relationships/hyperlink" Id="rId4095" Target="https://doi.org/10.1126/science.7652558" TargetMode="External" /><Relationship Type="http://schemas.openxmlformats.org/officeDocument/2006/relationships/hyperlink" Id="rId4022" Target="https://doi.org/10.1126/science.8178168" TargetMode="External" /><Relationship Type="http://schemas.openxmlformats.org/officeDocument/2006/relationships/hyperlink" Id="rId2637" Target="https://doi.org/10.1126/science.aaa1975" TargetMode="External" /><Relationship Type="http://schemas.openxmlformats.org/officeDocument/2006/relationships/hyperlink" Id="rId3000" Target="https://doi.org/10.1126/science.aaa6090" TargetMode="External" /><Relationship Type="http://schemas.openxmlformats.org/officeDocument/2006/relationships/hyperlink" Id="rId2886" Target="https://doi.org/10.1126/science.aad8373" TargetMode="External" /><Relationship Type="http://schemas.openxmlformats.org/officeDocument/2006/relationships/hyperlink" Id="rId3564" Target="https://doi.org/10.1126/science.aaf0941" TargetMode="External" /><Relationship Type="http://schemas.openxmlformats.org/officeDocument/2006/relationships/hyperlink" Id="rId3004" Target="https://doi.org/10.1126/science.aaf2403" TargetMode="External" /><Relationship Type="http://schemas.openxmlformats.org/officeDocument/2006/relationships/hyperlink" Id="rId3302" Target="https://doi.org/10.1126/science.aah7011" TargetMode="External" /><Relationship Type="http://schemas.openxmlformats.org/officeDocument/2006/relationships/hyperlink" Id="rId4474" Target="https://doi.org/10.1126/science.aai7984" TargetMode="External" /><Relationship Type="http://schemas.openxmlformats.org/officeDocument/2006/relationships/hyperlink" Id="rId3851" Target="https://doi.org/10.1126/science.aan2475" TargetMode="External" /><Relationship Type="http://schemas.openxmlformats.org/officeDocument/2006/relationships/hyperlink" Id="rId5370" Target="https://doi.org/10.1126/science.aan3458" TargetMode="External" /><Relationship Type="http://schemas.openxmlformats.org/officeDocument/2006/relationships/hyperlink" Id="rId5204" Target="https://doi.org/10.1126/science.aan6877" TargetMode="External" /><Relationship Type="http://schemas.openxmlformats.org/officeDocument/2006/relationships/hyperlink" Id="rId2940" Target="https://doi.org/10.1126/science.aao3264" TargetMode="External" /><Relationship Type="http://schemas.openxmlformats.org/officeDocument/2006/relationships/hyperlink" Id="rId5115" Target="https://doi.org/10.1126/science.aap8809" TargetMode="External" /><Relationship Type="http://schemas.openxmlformats.org/officeDocument/2006/relationships/hyperlink" Id="rId5194" Target="https://doi.org/10.1126/science.aar2578" TargetMode="External" /><Relationship Type="http://schemas.openxmlformats.org/officeDocument/2006/relationships/hyperlink" Id="rId2631" Target="https://doi.org/10.1126/science.aar4237" TargetMode="External" /><Relationship Type="http://schemas.openxmlformats.org/officeDocument/2006/relationships/hyperlink" Id="rId4291" Target="https://doi.org/10.1126/science.aat4422" TargetMode="External" /><Relationship Type="http://schemas.openxmlformats.org/officeDocument/2006/relationships/hyperlink" Id="rId4490" Target="https://doi.org/10.1126/science.aat5236" TargetMode="External" /><Relationship Type="http://schemas.openxmlformats.org/officeDocument/2006/relationships/hyperlink" Id="rId3002" Target="https://doi.org/10.1126/science.aat5691" TargetMode="External" /><Relationship Type="http://schemas.openxmlformats.org/officeDocument/2006/relationships/hyperlink" Id="rId2659" Target="https://doi.org/10.1126/science.aat5994" TargetMode="External" /><Relationship Type="http://schemas.openxmlformats.org/officeDocument/2006/relationships/hyperlink" Id="rId4402" Target="https://doi.org/10.1126/science.aau6324" TargetMode="External" /><Relationship Type="http://schemas.openxmlformats.org/officeDocument/2006/relationships/hyperlink" Id="rId5861" Target="https://doi.org/10.1126/science.aav7893" TargetMode="External" /><Relationship Type="http://schemas.openxmlformats.org/officeDocument/2006/relationships/hyperlink" Id="rId2833" Target="https://doi.org/10.1126/science.aax5440" TargetMode="External" /><Relationship Type="http://schemas.openxmlformats.org/officeDocument/2006/relationships/hyperlink" Id="rId3845" Target="https://doi.org/10.1126/science.abf4588" TargetMode="External" /><Relationship Type="http://schemas.openxmlformats.org/officeDocument/2006/relationships/hyperlink" Id="rId5607" Target="https://doi.org/10.1126/science.abj8222" TargetMode="External" /><Relationship Type="http://schemas.openxmlformats.org/officeDocument/2006/relationships/hyperlink" Id="rId4287" Target="https://doi.org/10.1126/science.abq6740" TargetMode="External" /><Relationship Type="http://schemas.openxmlformats.org/officeDocument/2006/relationships/hyperlink" Id="rId2763" Target="https://doi.org/10.1126/science.add7046" TargetMode="External" /><Relationship Type="http://schemas.openxmlformats.org/officeDocument/2006/relationships/hyperlink" Id="rId2647" Target="https://doi.org/10.1126/science.ade9516" TargetMode="External" /><Relationship Type="http://schemas.openxmlformats.org/officeDocument/2006/relationships/hyperlink" Id="rId3016" Target="https://doi.org/10.1126/science.adk4858" TargetMode="External" /><Relationship Type="http://schemas.openxmlformats.org/officeDocument/2006/relationships/hyperlink" Id="rId3917" Target="https://doi.org/10.1126/science.adp5182" TargetMode="External" /><Relationship Type="http://schemas.openxmlformats.org/officeDocument/2006/relationships/hyperlink" Id="rId3064" Target="https://doi.org/10.1126/science.adu9575" TargetMode="External" /><Relationship Type="http://schemas.openxmlformats.org/officeDocument/2006/relationships/hyperlink" Id="rId2751" Target="https://doi.org/10.1126/scitranslmed.3002230" TargetMode="External" /><Relationship Type="http://schemas.openxmlformats.org/officeDocument/2006/relationships/hyperlink" Id="rId2831" Target="https://doi.org/10.1126/scitranslmed.3003748" TargetMode="External" /><Relationship Type="http://schemas.openxmlformats.org/officeDocument/2006/relationships/hyperlink" Id="rId5838" Target="https://doi.org/10.1126/scitranslmed.3006294" TargetMode="External" /><Relationship Type="http://schemas.openxmlformats.org/officeDocument/2006/relationships/hyperlink" Id="rId5726" Target="https://doi.org/10.1136/bjsports-2023-106898" TargetMode="External" /><Relationship Type="http://schemas.openxmlformats.org/officeDocument/2006/relationships/hyperlink" Id="rId5250" Target="https://doi.org/10.1136/bmj-2023-076733" TargetMode="External" /><Relationship Type="http://schemas.openxmlformats.org/officeDocument/2006/relationships/hyperlink" Id="rId3831" Target="https://doi.org/10.1136/bmj-2023-078378" TargetMode="External" /><Relationship Type="http://schemas.openxmlformats.org/officeDocument/2006/relationships/hyperlink" Id="rId3819" Target="https://doi.org/10.1136/bmj-2024-081123" TargetMode="External" /><Relationship Type="http://schemas.openxmlformats.org/officeDocument/2006/relationships/hyperlink" Id="rId3833" Target="https://doi.org/10.1136/bmj-2024-082505" TargetMode="External" /><Relationship Type="http://schemas.openxmlformats.org/officeDocument/2006/relationships/hyperlink" Id="rId3825" Target="https://doi.org/10.1136/bmj.i4919" TargetMode="External" /><Relationship Type="http://schemas.openxmlformats.org/officeDocument/2006/relationships/hyperlink" Id="rId3823" Target="https://doi.org/10.1136/bmj.l4898" TargetMode="External" /><Relationship Type="http://schemas.openxmlformats.org/officeDocument/2006/relationships/hyperlink" Id="rId3821" Target="https://doi.org/10.1136/bmj.n71" TargetMode="External" /><Relationship Type="http://schemas.openxmlformats.org/officeDocument/2006/relationships/hyperlink" Id="rId5468" Target="https://doi.org/10.1136/bmj.o64" TargetMode="External" /><Relationship Type="http://schemas.openxmlformats.org/officeDocument/2006/relationships/hyperlink" Id="rId4568" Target="https://doi.org/10.1136/ebmental-2021-300396" TargetMode="External" /><Relationship Type="http://schemas.openxmlformats.org/officeDocument/2006/relationships/hyperlink" Id="rId4951" Target="https://doi.org/10.1136/ebmental-2022-300439" TargetMode="External" /><Relationship Type="http://schemas.openxmlformats.org/officeDocument/2006/relationships/hyperlink" Id="rId4953" Target="https://doi.org/10.1136/ebmental-2022-300464" TargetMode="External" /><Relationship Type="http://schemas.openxmlformats.org/officeDocument/2006/relationships/hyperlink" Id="rId4723" Target="https://doi.org/10.1136/gpsych-2022-100893" TargetMode="External" /><Relationship Type="http://schemas.openxmlformats.org/officeDocument/2006/relationships/hyperlink" Id="rId5484" Target="https://doi.org/10.1136/jnnp-2014-309255" TargetMode="External" /><Relationship Type="http://schemas.openxmlformats.org/officeDocument/2006/relationships/hyperlink" Id="rId5593" Target="https://doi.org/10.1136/jnnp-2020-325300" TargetMode="External" /><Relationship Type="http://schemas.openxmlformats.org/officeDocument/2006/relationships/hyperlink" Id="rId3094" Target="https://doi.org/10.1136/jnnp.20.1.11" TargetMode="External" /><Relationship Type="http://schemas.openxmlformats.org/officeDocument/2006/relationships/hyperlink" Id="rId3500" Target="https://doi.org/10.1146/annurev-linguistics-011724-121432" TargetMode="External" /><Relationship Type="http://schemas.openxmlformats.org/officeDocument/2006/relationships/hyperlink" Id="rId3387" Target="https://doi.org/10.1146/annurev-neuro-060909-153135" TargetMode="External" /><Relationship Type="http://schemas.openxmlformats.org/officeDocument/2006/relationships/hyperlink" Id="rId4267" Target="https://doi.org/10.1146/annurev-neuro-062111-150525" TargetMode="External" /><Relationship Type="http://schemas.openxmlformats.org/officeDocument/2006/relationships/hyperlink" Id="rId3670" Target="https://doi.org/10.1146/annurev-neuro-071013-014119" TargetMode="External" /><Relationship Type="http://schemas.openxmlformats.org/officeDocument/2006/relationships/hyperlink" Id="rId2968" Target="https://doi.org/10.1146/annurev-neuro-080317-061948" TargetMode="External" /><Relationship Type="http://schemas.openxmlformats.org/officeDocument/2006/relationships/hyperlink" Id="rId3358" Target="https://doi.org/10.1146/annurev-neuro-102124-031410" TargetMode="External" /><Relationship Type="http://schemas.openxmlformats.org/officeDocument/2006/relationships/hyperlink" Id="rId3050" Target="https://doi.org/10.1146/annurev-psych-010814-015104" TargetMode="External" /><Relationship Type="http://schemas.openxmlformats.org/officeDocument/2006/relationships/hyperlink" Id="rId3332" Target="https://doi.org/10.1146/annurev-psych-010814-015331" TargetMode="External" /><Relationship Type="http://schemas.openxmlformats.org/officeDocument/2006/relationships/hyperlink" Id="rId3280" Target="https://doi.org/10.1146/annurev-psych-113011-143823" TargetMode="External" /><Relationship Type="http://schemas.openxmlformats.org/officeDocument/2006/relationships/hyperlink" Id="rId3603" Target="https://doi.org/10.1146/annurev-psych-122414-033625" TargetMode="External" /><Relationship Type="http://schemas.openxmlformats.org/officeDocument/2006/relationships/hyperlink" Id="rId3859" Target="https://doi.org/10.1146/annurev-publhealth-032315-021402" TargetMode="External" /><Relationship Type="http://schemas.openxmlformats.org/officeDocument/2006/relationships/hyperlink" Id="rId4275" Target="https://doi.org/10.1146/annurev.med.60.042307.110802" TargetMode="External" /><Relationship Type="http://schemas.openxmlformats.org/officeDocument/2006/relationships/hyperlink" Id="rId3444" Target="https://doi.org/10.1146/annurev.neuro.051508.135550" TargetMode="External" /><Relationship Type="http://schemas.openxmlformats.org/officeDocument/2006/relationships/hyperlink" Id="rId4051" Target="https://doi.org/10.1146/annurev.neuro.24.1.167" TargetMode="External" /><Relationship Type="http://schemas.openxmlformats.org/officeDocument/2006/relationships/hyperlink" Id="rId4324" Target="https://doi.org/10.1146/annurev.neuro.28.061604.135709" TargetMode="External" /><Relationship Type="http://schemas.openxmlformats.org/officeDocument/2006/relationships/hyperlink" Id="rId3955" Target="https://doi.org/10.1146/annurev.neuro.29.051605.112819" TargetMode="External" /><Relationship Type="http://schemas.openxmlformats.org/officeDocument/2006/relationships/hyperlink" Id="rId4203" Target="https://doi.org/10.1146/annurev.neuro.29.051605.112851" TargetMode="External" /><Relationship Type="http://schemas.openxmlformats.org/officeDocument/2006/relationships/hyperlink" Id="rId3552" Target="https://doi.org/10.1146/annurev.neuro.31.061307.090723" TargetMode="External" /><Relationship Type="http://schemas.openxmlformats.org/officeDocument/2006/relationships/hyperlink" Id="rId2707" Target="https://doi.org/10.1146/annurev.physiol.64.092501.114547" TargetMode="External" /><Relationship Type="http://schemas.openxmlformats.org/officeDocument/2006/relationships/hyperlink" Id="rId3593" Target="https://doi.org/10.1146/annurev.psych.121208.131647" TargetMode="External" /><Relationship Type="http://schemas.openxmlformats.org/officeDocument/2006/relationships/hyperlink" Id="rId3092" Target="https://doi.org/10.1146/annurev.psych.53.100901.135114" TargetMode="External" /><Relationship Type="http://schemas.openxmlformats.org/officeDocument/2006/relationships/hyperlink" Id="rId3346" Target="https://doi.org/10.1146/annurev.psych.55.090902.142005" TargetMode="External" /><Relationship Type="http://schemas.openxmlformats.org/officeDocument/2006/relationships/hyperlink" Id="rId3492" Target="https://doi.org/10.1146/annurev.psych.59.103006.093639" TargetMode="External" /><Relationship Type="http://schemas.openxmlformats.org/officeDocument/2006/relationships/hyperlink" Id="rId3306" Target="https://doi.org/10.1152/advan.00109.2016" TargetMode="External" /><Relationship Type="http://schemas.openxmlformats.org/officeDocument/2006/relationships/hyperlink" Id="rId2950" Target="https://doi.org/10.1152/jn.1965.28.3.560" TargetMode="External" /><Relationship Type="http://schemas.openxmlformats.org/officeDocument/2006/relationships/hyperlink" Id="rId4265" Target="https://doi.org/10.1152/jn.90355.2008" TargetMode="External" /><Relationship Type="http://schemas.openxmlformats.org/officeDocument/2006/relationships/hyperlink" Id="rId4482" Target="https://doi.org/10.1152/physrev.00018.2018" TargetMode="External" /><Relationship Type="http://schemas.openxmlformats.org/officeDocument/2006/relationships/hyperlink" Id="rId2673" Target="https://doi.org/10.1152/physrev.00025.2021" TargetMode="External" /><Relationship Type="http://schemas.openxmlformats.org/officeDocument/2006/relationships/hyperlink" Id="rId4356" Target="https://doi.org/10.1152/physrev.00031.2017" TargetMode="External" /><Relationship Type="http://schemas.openxmlformats.org/officeDocument/2006/relationships/hyperlink" Id="rId3204" Target="https://doi.org/10.1152/physrev.00032.2012" TargetMode="External" /><Relationship Type="http://schemas.openxmlformats.org/officeDocument/2006/relationships/hyperlink" Id="rId2844" Target="https://doi.org/10.1152/physrev.00062.2017" TargetMode="External" /><Relationship Type="http://schemas.openxmlformats.org/officeDocument/2006/relationships/hyperlink" Id="rId4645" Target="https://doi.org/10.1155/2013/653572" TargetMode="External" /><Relationship Type="http://schemas.openxmlformats.org/officeDocument/2006/relationships/hyperlink" Id="rId4669" Target="https://doi.org/10.1155/2015/419808" TargetMode="External" /><Relationship Type="http://schemas.openxmlformats.org/officeDocument/2006/relationships/hyperlink" Id="rId4837" Target="https://doi.org/10.1159/000350949" TargetMode="External" /><Relationship Type="http://schemas.openxmlformats.org/officeDocument/2006/relationships/hyperlink" Id="rId5246" Target="https://doi.org/10.1159/000523723" TargetMode="External" /><Relationship Type="http://schemas.openxmlformats.org/officeDocument/2006/relationships/hyperlink" Id="rId4897" Target="https://doi.org/10.1159/000552831" TargetMode="External" /><Relationship Type="http://schemas.openxmlformats.org/officeDocument/2006/relationships/hyperlink" Id="rId5683" Target="https://doi.org/10.1161/STR.0000000000000375" TargetMode="External" /><Relationship Type="http://schemas.openxmlformats.org/officeDocument/2006/relationships/hyperlink" Id="rId5657" Target="https://doi.org/10.1161/STR.0000000000000407" TargetMode="External" /><Relationship Type="http://schemas.openxmlformats.org/officeDocument/2006/relationships/hyperlink" Id="rId5665" Target="https://doi.org/10.1161/STR.0000000000000418" TargetMode="External" /><Relationship Type="http://schemas.openxmlformats.org/officeDocument/2006/relationships/hyperlink" Id="rId5669" Target="https://doi.org/10.1161/STR.0000000000000430" TargetMode="External" /><Relationship Type="http://schemas.openxmlformats.org/officeDocument/2006/relationships/hyperlink" Id="rId5659" Target="https://doi.org/10.1161/STR.0000000000000436" TargetMode="External" /><Relationship Type="http://schemas.openxmlformats.org/officeDocument/2006/relationships/hyperlink" Id="rId5661" Target="https://doi.org/10.1161/STR.0000000000000456" TargetMode="External" /><Relationship Type="http://schemas.openxmlformats.org/officeDocument/2006/relationships/hyperlink" Id="rId5654" Target="https://doi.org/10.1161/STR.0000000000000513" TargetMode="External" /><Relationship Type="http://schemas.openxmlformats.org/officeDocument/2006/relationships/hyperlink" Id="rId5655" Target="https://doi.org/10.1161/STR.0000000000000530" TargetMode="External" /><Relationship Type="http://schemas.openxmlformats.org/officeDocument/2006/relationships/hyperlink" Id="rId3895" Target="https://doi.org/10.1161/STROKEAHA.107.503334" TargetMode="External" /><Relationship Type="http://schemas.openxmlformats.org/officeDocument/2006/relationships/hyperlink" Id="rId3897" Target="https://doi.org/10.1161/STROKEAHA.108.515957" TargetMode="External" /><Relationship Type="http://schemas.openxmlformats.org/officeDocument/2006/relationships/hyperlink" Id="rId5802" Target="https://doi.org/10.1161/STROKEAHA.110.582197" TargetMode="External" /><Relationship Type="http://schemas.openxmlformats.org/officeDocument/2006/relationships/hyperlink" Id="rId4941" Target="https://doi.org/10.1161/jaha.117.002218" TargetMode="External" /><Relationship Type="http://schemas.openxmlformats.org/officeDocument/2006/relationships/hyperlink" Id="rId4947" Target="https://doi.org/10.1161/jaha.122.028712" TargetMode="External" /><Relationship Type="http://schemas.openxmlformats.org/officeDocument/2006/relationships/hyperlink" Id="rId3308" Target="https://doi.org/10.1162/089892902317361886" TargetMode="External" /><Relationship Type="http://schemas.openxmlformats.org/officeDocument/2006/relationships/hyperlink" Id="rId3048" Target="https://doi.org/10.1162/0898929042304796" TargetMode="External" /><Relationship Type="http://schemas.openxmlformats.org/officeDocument/2006/relationships/hyperlink" Id="rId4835" Target="https://doi.org/10.1162/imag.a.1145" TargetMode="External" /><Relationship Type="http://schemas.openxmlformats.org/officeDocument/2006/relationships/hyperlink" Id="rId4851" Target="https://doi.org/10.1162/imag_a_00396" TargetMode="External" /><Relationship Type="http://schemas.openxmlformats.org/officeDocument/2006/relationships/hyperlink" Id="rId4235" Target="https://doi.org/10.1162/jocn.1997.9.5.648" TargetMode="External" /><Relationship Type="http://schemas.openxmlformats.org/officeDocument/2006/relationships/hyperlink" Id="rId3797" Target="https://doi.org/10.1162/jocn.2008.20040" TargetMode="External" /><Relationship Type="http://schemas.openxmlformats.org/officeDocument/2006/relationships/hyperlink" Id="rId3961" Target="https://doi.org/10.1162/jocn.2009.21189" TargetMode="External" /><Relationship Type="http://schemas.openxmlformats.org/officeDocument/2006/relationships/hyperlink" Id="rId4135" Target="https://doi.org/10.1162/jocn_a_00233" TargetMode="External" /><Relationship Type="http://schemas.openxmlformats.org/officeDocument/2006/relationships/hyperlink" Id="rId3901" Target="https://doi.org/10.1162/jocn_a_00750" TargetMode="External" /><Relationship Type="http://schemas.openxmlformats.org/officeDocument/2006/relationships/hyperlink" Id="rId3730" Target="https://doi.org/10.1162/jocn_a_02009" TargetMode="External" /><Relationship Type="http://schemas.openxmlformats.org/officeDocument/2006/relationships/hyperlink" Id="rId4689" Target="https://doi.org/10.1162/jocn_a_02230" TargetMode="External" /><Relationship Type="http://schemas.openxmlformats.org/officeDocument/2006/relationships/hyperlink" Id="rId3629" Target="https://doi.org/10.1162/neco.1993.5.4.613" TargetMode="External" /><Relationship Type="http://schemas.openxmlformats.org/officeDocument/2006/relationships/hyperlink" Id="rId3655" Target="https://doi.org/10.1162/neco.2008.12-06-420" TargetMode="External" /><Relationship Type="http://schemas.openxmlformats.org/officeDocument/2006/relationships/hyperlink" Id="rId4450" Target="https://doi.org/10.1164/rccm.200202-138bc" TargetMode="External" /><Relationship Type="http://schemas.openxmlformats.org/officeDocument/2006/relationships/hyperlink" Id="rId5502" Target="https://doi.org/10.1164/rccm.201303-0448OC" TargetMode="External" /><Relationship Type="http://schemas.openxmlformats.org/officeDocument/2006/relationships/hyperlink" Id="rId2866" Target="https://doi.org/10.1172/JCI105650" TargetMode="External" /><Relationship Type="http://schemas.openxmlformats.org/officeDocument/2006/relationships/hyperlink" Id="rId5266" Target="https://doi.org/10.1176/appi.ajp.157.10.1552" TargetMode="External" /><Relationship Type="http://schemas.openxmlformats.org/officeDocument/2006/relationships/hyperlink" Id="rId5386" Target="https://doi.org/10.1176/appi.ajp.158.12.2069" TargetMode="External" /><Relationship Type="http://schemas.openxmlformats.org/officeDocument/2006/relationships/hyperlink" Id="rId2737" Target="https://doi.org/10.1176/appi.ajp.161.5.826" TargetMode="External" /><Relationship Type="http://schemas.openxmlformats.org/officeDocument/2006/relationships/hyperlink" Id="rId4091" Target="https://doi.org/10.1176/appi.ajp.162.7.1256" TargetMode="External" /><Relationship Type="http://schemas.openxmlformats.org/officeDocument/2006/relationships/hyperlink" Id="rId5332" Target="https://doi.org/10.1176/appi.ajp.2011.10071062" TargetMode="External" /><Relationship Type="http://schemas.openxmlformats.org/officeDocument/2006/relationships/hyperlink" Id="rId5408" Target="https://doi.org/10.1176/appi.ajp.2015.15050632" TargetMode="External" /><Relationship Type="http://schemas.openxmlformats.org/officeDocument/2006/relationships/hyperlink" Id="rId3984" Target="https://doi.org/10.1176/appi.ajp.2016.16030353" TargetMode="External" /><Relationship Type="http://schemas.openxmlformats.org/officeDocument/2006/relationships/hyperlink" Id="rId5346" Target="https://doi.org/10.1176/appi.ajp.2019.18101180" TargetMode="External" /><Relationship Type="http://schemas.openxmlformats.org/officeDocument/2006/relationships/hyperlink" Id="rId5372" Target="https://doi.org/10.1176/appi.ajp.2020.177901" TargetMode="External" /><Relationship Type="http://schemas.openxmlformats.org/officeDocument/2006/relationships/hyperlink" Id="rId5306" Target="https://doi.org/10.1176/appi.ajp.20220785" TargetMode="External" /><Relationship Type="http://schemas.openxmlformats.org/officeDocument/2006/relationships/hyperlink" Id="rId4927" Target="https://doi.org/10.1176/appi.ajp.20230272" TargetMode="External" /><Relationship Type="http://schemas.openxmlformats.org/officeDocument/2006/relationships/hyperlink" Id="rId4612" Target="https://doi.org/10.1176/appi.ajp.21020145" TargetMode="External" /><Relationship Type="http://schemas.openxmlformats.org/officeDocument/2006/relationships/hyperlink" Id="rId4611" Target="https://doi.org/10.1176/appi.ajp.21020145correction" TargetMode="External" /><Relationship Type="http://schemas.openxmlformats.org/officeDocument/2006/relationships/hyperlink" Id="rId5280" Target="https://doi.org/10.1176/appi.focus.20230009" TargetMode="External" /><Relationship Type="http://schemas.openxmlformats.org/officeDocument/2006/relationships/hyperlink" Id="rId4971" Target="https://doi.org/10.1177/0146167219900418" TargetMode="External" /><Relationship Type="http://schemas.openxmlformats.org/officeDocument/2006/relationships/hyperlink" Id="rId4229" Target="https://doi.org/10.1177/0269881117736919" TargetMode="External" /><Relationship Type="http://schemas.openxmlformats.org/officeDocument/2006/relationships/hyperlink" Id="rId5380" Target="https://doi.org/10.1177/02698811231158232" TargetMode="External" /><Relationship Type="http://schemas.openxmlformats.org/officeDocument/2006/relationships/hyperlink" Id="rId4310" Target="https://doi.org/10.1177/02698811231161813" TargetMode="External" /><Relationship Type="http://schemas.openxmlformats.org/officeDocument/2006/relationships/hyperlink" Id="rId3873" Target="https://doi.org/10.1177/0272989X06295361" TargetMode="External" /><Relationship Type="http://schemas.openxmlformats.org/officeDocument/2006/relationships/hyperlink" Id="rId5426" Target="https://doi.org/10.1177/0333102417738202" TargetMode="External" /><Relationship Type="http://schemas.openxmlformats.org/officeDocument/2006/relationships/hyperlink" Id="rId5452" Target="https://doi.org/10.1177/0333102420905321" TargetMode="External" /><Relationship Type="http://schemas.openxmlformats.org/officeDocument/2006/relationships/hyperlink" Id="rId5442" Target="https://doi.org/10.1177/03331024211053571" TargetMode="External" /><Relationship Type="http://schemas.openxmlformats.org/officeDocument/2006/relationships/hyperlink" Id="rId3422" Target="https://doi.org/10.1177/0956797610375449" TargetMode="External" /><Relationship Type="http://schemas.openxmlformats.org/officeDocument/2006/relationships/hyperlink" Id="rId3815" Target="https://doi.org/10.1177/0956797611417632" TargetMode="External" /><Relationship Type="http://schemas.openxmlformats.org/officeDocument/2006/relationships/hyperlink" Id="rId3464" Target="https://doi.org/10.1177/0956797612440101" TargetMode="External" /><Relationship Type="http://schemas.openxmlformats.org/officeDocument/2006/relationships/hyperlink" Id="rId3326" Target="https://doi.org/10.1177/0956797612446024" TargetMode="External" /><Relationship Type="http://schemas.openxmlformats.org/officeDocument/2006/relationships/hyperlink" Id="rId4679" Target="https://doi.org/10.1177/0956797612459659" TargetMode="External" /><Relationship Type="http://schemas.openxmlformats.org/officeDocument/2006/relationships/hyperlink" Id="rId5058" Target="https://doi.org/10.1177/0956797612469537" TargetMode="External" /><Relationship Type="http://schemas.openxmlformats.org/officeDocument/2006/relationships/hyperlink" Id="rId3434" Target="https://doi.org/10.1177/0956797614557866" TargetMode="External" /><Relationship Type="http://schemas.openxmlformats.org/officeDocument/2006/relationships/hyperlink" Id="rId5174" Target="https://doi.org/10.1177/0956797615627625" TargetMode="External" /><Relationship Type="http://schemas.openxmlformats.org/officeDocument/2006/relationships/hyperlink" Id="rId4016" Target="https://doi.org/10.1177/0956797616654911" TargetMode="External" /><Relationship Type="http://schemas.openxmlformats.org/officeDocument/2006/relationships/hyperlink" Id="rId3635" Target="https://doi.org/10.1177/0956797617708288" TargetMode="External" /><Relationship Type="http://schemas.openxmlformats.org/officeDocument/2006/relationships/hyperlink" Id="rId4004" Target="https://doi.org/10.1177/0956797618761661" TargetMode="External" /><Relationship Type="http://schemas.openxmlformats.org/officeDocument/2006/relationships/hyperlink" Id="rId5202" Target="https://doi.org/10.1177/0956797618774253" TargetMode="External" /><Relationship Type="http://schemas.openxmlformats.org/officeDocument/2006/relationships/hyperlink" Id="rId3766" Target="https://doi.org/10.1177/0956797620916786" TargetMode="External" /><Relationship Type="http://schemas.openxmlformats.org/officeDocument/2006/relationships/hyperlink" Id="rId4012" Target="https://doi.org/10.1177/0956797621989733" TargetMode="External" /><Relationship Type="http://schemas.openxmlformats.org/officeDocument/2006/relationships/hyperlink" Id="rId5466" Target="https://doi.org/10.1177/09574271261468395" TargetMode="External" /><Relationship Type="http://schemas.openxmlformats.org/officeDocument/2006/relationships/hyperlink" Id="rId3801" Target="https://doi.org/10.1177/09636625231205005" TargetMode="External" /><Relationship Type="http://schemas.openxmlformats.org/officeDocument/2006/relationships/hyperlink" Id="rId3915" Target="https://doi.org/10.1177/0963721420917687" TargetMode="External" /><Relationship Type="http://schemas.openxmlformats.org/officeDocument/2006/relationships/hyperlink" Id="rId3540" Target="https://doi.org/10.1177/09637214251342742" TargetMode="External" /><Relationship Type="http://schemas.openxmlformats.org/officeDocument/2006/relationships/hyperlink" Id="rId5042" Target="https://doi.org/10.1177/1363461514557561" TargetMode="External" /><Relationship Type="http://schemas.openxmlformats.org/officeDocument/2006/relationships/hyperlink" Id="rId3416" Target="https://doi.org/10.1177/1529100615623267" TargetMode="External" /><Relationship Type="http://schemas.openxmlformats.org/officeDocument/2006/relationships/hyperlink" Id="rId4028" Target="https://doi.org/10.1177/1529100616661983" TargetMode="External" /><Relationship Type="http://schemas.openxmlformats.org/officeDocument/2006/relationships/hyperlink" Id="rId3130" Target="https://doi.org/10.1177/1529100616686966" TargetMode="External" /><Relationship Type="http://schemas.openxmlformats.org/officeDocument/2006/relationships/hyperlink" Id="rId3399" Target="https://doi.org/10.1177/1529100618772271" TargetMode="External" /><Relationship Type="http://schemas.openxmlformats.org/officeDocument/2006/relationships/hyperlink" Id="rId3400" Target="https://doi.org/10.1177/1529100618786959" TargetMode="External" /><Relationship Type="http://schemas.openxmlformats.org/officeDocument/2006/relationships/hyperlink" Id="rId5794" Target="https://doi.org/10.1177/1545968308328727" TargetMode="External" /><Relationship Type="http://schemas.openxmlformats.org/officeDocument/2006/relationships/hyperlink" Id="rId5800" Target="https://doi.org/10.1177/1545968310397705" TargetMode="External" /><Relationship Type="http://schemas.openxmlformats.org/officeDocument/2006/relationships/hyperlink" Id="rId4977" Target="https://doi.org/10.1177/1745691611419671" TargetMode="External" /><Relationship Type="http://schemas.openxmlformats.org/officeDocument/2006/relationships/hyperlink" Id="rId3680" Target="https://doi.org/10.1177/1745691612460685" TargetMode="External" /><Relationship Type="http://schemas.openxmlformats.org/officeDocument/2006/relationships/hyperlink" Id="rId3264" Target="https://doi.org/10.1177/1745691615569000" TargetMode="External" /><Relationship Type="http://schemas.openxmlformats.org/officeDocument/2006/relationships/hyperlink" Id="rId4338" Target="https://doi.org/10.1177/1745691615600138" TargetMode="External" /><Relationship Type="http://schemas.openxmlformats.org/officeDocument/2006/relationships/hyperlink" Id="rId3290" Target="https://doi.org/10.1177/1745691616635612" TargetMode="External" /><Relationship Type="http://schemas.openxmlformats.org/officeDocument/2006/relationships/hyperlink" Id="rId4010" Target="https://doi.org/10.1177/1745691616652873" TargetMode="External" /><Relationship Type="http://schemas.openxmlformats.org/officeDocument/2006/relationships/hyperlink" Id="rId4530" Target="https://doi.org/10.1177/1745691617709589" TargetMode="External" /><Relationship Type="http://schemas.openxmlformats.org/officeDocument/2006/relationships/hyperlink" Id="rId3152" Target="https://doi.org/10.1177/1745691619862306" TargetMode="External" /><Relationship Type="http://schemas.openxmlformats.org/officeDocument/2006/relationships/hyperlink" Id="rId4883" Target="https://doi.org/10.1177/1745691620968771" TargetMode="External" /><Relationship Type="http://schemas.openxmlformats.org/officeDocument/2006/relationships/hyperlink" Id="rId3963" Target="https://doi.org/10.1177/1745691621990638" TargetMode="External" /><Relationship Type="http://schemas.openxmlformats.org/officeDocument/2006/relationships/hyperlink" Id="rId4014" Target="https://doi.org/10.1177/18344909251386084" TargetMode="External" /><Relationship Type="http://schemas.openxmlformats.org/officeDocument/2006/relationships/hyperlink" Id="rId3807" Target="https://doi.org/10.1177/1948550617697177" TargetMode="External" /><Relationship Type="http://schemas.openxmlformats.org/officeDocument/2006/relationships/hyperlink" Id="rId4993" Target="https://doi.org/10.1177/2167702621996340" TargetMode="External" /><Relationship Type="http://schemas.openxmlformats.org/officeDocument/2006/relationships/hyperlink" Id="rId4997" Target="https://doi.org/10.1177/21677026241298269" TargetMode="External" /><Relationship Type="http://schemas.openxmlformats.org/officeDocument/2006/relationships/hyperlink" Id="rId4368" Target="https://doi.org/10.1177/2470547017692328" TargetMode="External" /><Relationship Type="http://schemas.openxmlformats.org/officeDocument/2006/relationships/hyperlink" Id="rId3857" Target="https://doi.org/10.1177/2515245917745629" TargetMode="External" /><Relationship Type="http://schemas.openxmlformats.org/officeDocument/2006/relationships/hyperlink" Id="rId3877" Target="https://doi.org/10.1177/2515245920952393" TargetMode="External" /><Relationship Type="http://schemas.openxmlformats.org/officeDocument/2006/relationships/hyperlink" Id="rId3817" Target="https://doi.org/10.1186/1471-2202-11-5" TargetMode="External" /><Relationship Type="http://schemas.openxmlformats.org/officeDocument/2006/relationships/hyperlink" Id="rId4727" Target="https://doi.org/10.1186/s12906-025-04783-4" TargetMode="External" /><Relationship Type="http://schemas.openxmlformats.org/officeDocument/2006/relationships/hyperlink" Id="rId4298" Target="https://doi.org/10.1186/s12916-017-0791-y" TargetMode="External" /><Relationship Type="http://schemas.openxmlformats.org/officeDocument/2006/relationships/hyperlink" Id="rId4297" Target="https://doi.org/10.1186/s12916-018-1220-6" TargetMode="External" /><Relationship Type="http://schemas.openxmlformats.org/officeDocument/2006/relationships/hyperlink" Id="rId4300" Target="https://doi.org/10.1186/s12916-018-1221-5" TargetMode="External" /><Relationship Type="http://schemas.openxmlformats.org/officeDocument/2006/relationships/hyperlink" Id="rId4302" Target="https://doi.org/10.1186/s12916-018-1228-y" TargetMode="External" /><Relationship Type="http://schemas.openxmlformats.org/officeDocument/2006/relationships/hyperlink" Id="rId3871" Target="https://doi.org/10.1186/s12916-019-1466-7" TargetMode="External" /><Relationship Type="http://schemas.openxmlformats.org/officeDocument/2006/relationships/hyperlink" Id="rId2825" Target="https://doi.org/10.1186/s12987-020-00196-2" TargetMode="External" /><Relationship Type="http://schemas.openxmlformats.org/officeDocument/2006/relationships/hyperlink" Id="rId5182" Target="https://doi.org/10.1186/s13293-022-00448-w" TargetMode="External" /><Relationship Type="http://schemas.openxmlformats.org/officeDocument/2006/relationships/hyperlink" Id="rId4849" Target="https://doi.org/10.1186/s40359-016-0168-6" TargetMode="External" /><Relationship Type="http://schemas.openxmlformats.org/officeDocument/2006/relationships/hyperlink" Id="rId4891" Target="https://doi.org/10.1192/bjp.bp.115.168971" TargetMode="External" /><Relationship Type="http://schemas.openxmlformats.org/officeDocument/2006/relationships/hyperlink" Id="rId5376" Target="https://doi.org/10.1192/j.eurpsy.2021.11" TargetMode="External" /><Relationship Type="http://schemas.openxmlformats.org/officeDocument/2006/relationships/hyperlink" Id="rId4239" Target="https://doi.org/10.1196/annals.1440.011" TargetMode="External" /><Relationship Type="http://schemas.openxmlformats.org/officeDocument/2006/relationships/hyperlink" Id="rId3811" Target="https://doi.org/10.1198/000313006X152649" TargetMode="External" /><Relationship Type="http://schemas.openxmlformats.org/officeDocument/2006/relationships/hyperlink" Id="rId5780" Target="https://doi.org/10.1200/JCO-25-00250" TargetMode="External" /><Relationship Type="http://schemas.openxmlformats.org/officeDocument/2006/relationships/hyperlink" Id="rId5786" Target="https://doi.org/10.1200/JCO.19.02767" TargetMode="External" /><Relationship Type="http://schemas.openxmlformats.org/officeDocument/2006/relationships/hyperlink" Id="rId5784" Target="https://doi.org/10.1200/JCO.21.02314" TargetMode="External" /><Relationship Type="http://schemas.openxmlformats.org/officeDocument/2006/relationships/hyperlink" Id="rId5770" Target="https://doi.org/10.1200/JCO.23.01059" TargetMode="External" /><Relationship Type="http://schemas.openxmlformats.org/officeDocument/2006/relationships/hyperlink" Id="rId4923" Target="https://doi.org/10.1200/jco.23.00857" TargetMode="External" /><Relationship Type="http://schemas.openxmlformats.org/officeDocument/2006/relationships/hyperlink" Id="rId3236" Target="https://doi.org/10.1207/S15326985EP3801_4" TargetMode="External" /><Relationship Type="http://schemas.openxmlformats.org/officeDocument/2006/relationships/hyperlink" Id="rId3244" Target="https://doi.org/10.1207/S15326985EP3801_6" TargetMode="External" /><Relationship Type="http://schemas.openxmlformats.org/officeDocument/2006/relationships/hyperlink" Id="rId3238" Target="https://doi.org/10.1207/s1532690xci0804_2" TargetMode="External" /><Relationship Type="http://schemas.openxmlformats.org/officeDocument/2006/relationships/hyperlink" Id="rId3270" Target="https://doi.org/10.1207/s15430421tip4102_2" TargetMode="External" /><Relationship Type="http://schemas.openxmlformats.org/officeDocument/2006/relationships/hyperlink" Id="rId3520" Target="https://doi.org/10.1207/s15516709cog0702_3" TargetMode="External" /><Relationship Type="http://schemas.openxmlformats.org/officeDocument/2006/relationships/hyperlink" Id="rId3226" Target="https://doi.org/10.1207/s15516709cog1202_4" TargetMode="External" /><Relationship Type="http://schemas.openxmlformats.org/officeDocument/2006/relationships/hyperlink" Id="rId3234" Target="https://doi.org/10.1207/s15516709cog1302_1" TargetMode="External" /><Relationship Type="http://schemas.openxmlformats.org/officeDocument/2006/relationships/hyperlink" Id="rId3262" Target="https://doi.org/10.1207/s15516709cog2605_1" TargetMode="External" /><Relationship Type="http://schemas.openxmlformats.org/officeDocument/2006/relationships/hyperlink" Id="rId4378" Target="https://doi.org/10.1210/clinem/dgae250" TargetMode="External" /><Relationship Type="http://schemas.openxmlformats.org/officeDocument/2006/relationships/hyperlink" Id="rId4181" Target="https://doi.org/10.1210/edrv-7-3-284" TargetMode="External" /><Relationship Type="http://schemas.openxmlformats.org/officeDocument/2006/relationships/hyperlink" Id="rId4364" Target="https://doi.org/10.1210/edrv.21.1.0389" TargetMode="External" /><Relationship Type="http://schemas.openxmlformats.org/officeDocument/2006/relationships/hyperlink" Id="rId4376" Target="https://doi.org/10.1210/endrev/bnaa002" TargetMode="External" /><Relationship Type="http://schemas.openxmlformats.org/officeDocument/2006/relationships/hyperlink" Id="rId3772" Target="https://doi.org/10.1212/01.wnl.0000150542.16969.cc" TargetMode="External" /><Relationship Type="http://schemas.openxmlformats.org/officeDocument/2006/relationships/hyperlink" Id="rId5637" Target="https://doi.org/10.1212/WNL.0000000000001487" TargetMode="External" /><Relationship Type="http://schemas.openxmlformats.org/officeDocument/2006/relationships/hyperlink" Id="rId5651" Target="https://doi.org/10.1212/WNL.0000000000003685" TargetMode="External" /><Relationship Type="http://schemas.openxmlformats.org/officeDocument/2006/relationships/hyperlink" Id="rId5722" Target="https://doi.org/10.1212/WNL.0000000000004058" TargetMode="External" /><Relationship Type="http://schemas.openxmlformats.org/officeDocument/2006/relationships/hyperlink" Id="rId5836" Target="https://doi.org/10.1212/WNL.0000000000005926" TargetMode="External" /><Relationship Type="http://schemas.openxmlformats.org/officeDocument/2006/relationships/hyperlink" Id="rId5458" Target="https://doi.org/10.1212/WNL.0000000000006697" TargetMode="External" /><Relationship Type="http://schemas.openxmlformats.org/officeDocument/2006/relationships/hyperlink" Id="rId5652" Target="https://doi.org/10.1212/WNL.0000000000008565" TargetMode="External" /><Relationship Type="http://schemas.openxmlformats.org/officeDocument/2006/relationships/hyperlink" Id="rId5643" Target="https://doi.org/10.1212/WNL.0000000000010154" TargetMode="External" /><Relationship Type="http://schemas.openxmlformats.org/officeDocument/2006/relationships/hyperlink" Id="rId5754" Target="https://doi.org/10.1212/WNL.0000000000011850" TargetMode="External" /><Relationship Type="http://schemas.openxmlformats.org/officeDocument/2006/relationships/hyperlink" Id="rId5840" Target="https://doi.org/10.1212/WNL.0000000000207740" TargetMode="External" /><Relationship Type="http://schemas.openxmlformats.org/officeDocument/2006/relationships/hyperlink" Id="rId5841" Target="https://doi.org/10.1212/WNL.0000000000208108" TargetMode="External" /><Relationship Type="http://schemas.openxmlformats.org/officeDocument/2006/relationships/hyperlink" Id="rId5554" Target="https://doi.org/10.1212/WNL.0000000000213334" TargetMode="External" /><Relationship Type="http://schemas.openxmlformats.org/officeDocument/2006/relationships/hyperlink" Id="rId5555" Target="https://doi.org/10.1212/WNL.0000000000213686" TargetMode="External" /><Relationship Type="http://schemas.openxmlformats.org/officeDocument/2006/relationships/hyperlink" Id="rId5480" Target="https://doi.org/10.1212/WNL.0000000000214466" TargetMode="External" /><Relationship Type="http://schemas.openxmlformats.org/officeDocument/2006/relationships/hyperlink" Id="rId5730" Target="https://doi.org/10.1227/NEU.0000000000000505" TargetMode="External" /><Relationship Type="http://schemas.openxmlformats.org/officeDocument/2006/relationships/hyperlink" Id="rId5740" Target="https://doi.org/10.1227/NEU.0000000000001432" TargetMode="External" /><Relationship Type="http://schemas.openxmlformats.org/officeDocument/2006/relationships/hyperlink" Id="rId4434" Target="https://doi.org/10.1242/jeb.197954" TargetMode="External" /><Relationship Type="http://schemas.openxmlformats.org/officeDocument/2006/relationships/hyperlink" Id="rId5106" Target="https://doi.org/10.12987/9780300248708" TargetMode="External" /><Relationship Type="http://schemas.openxmlformats.org/officeDocument/2006/relationships/hyperlink" Id="rId2858" Target="https://doi.org/10.1371/journal.pbio.1000298" TargetMode="External" /><Relationship Type="http://schemas.openxmlformats.org/officeDocument/2006/relationships/hyperlink" Id="rId3935" Target="https://doi.org/10.1371/journal.pbio.1001767" TargetMode="External" /><Relationship Type="http://schemas.openxmlformats.org/officeDocument/2006/relationships/hyperlink" Id="rId3829" Target="https://doi.org/10.1371/journal.pbio.3000410" TargetMode="External" /><Relationship Type="http://schemas.openxmlformats.org/officeDocument/2006/relationships/hyperlink" Id="rId3623" Target="https://doi.org/10.1371/journal.pcbi.1005090" TargetMode="External" /><Relationship Type="http://schemas.openxmlformats.org/officeDocument/2006/relationships/hyperlink" Id="rId5845" Target="https://doi.org/10.1371/journal.pcbi.1005508" TargetMode="External" /><Relationship Type="http://schemas.openxmlformats.org/officeDocument/2006/relationships/hyperlink" Id="rId5832" Target="https://doi.org/10.1371/journal.pcbi.1011465" TargetMode="External" /><Relationship Type="http://schemas.openxmlformats.org/officeDocument/2006/relationships/hyperlink" Id="rId5884" Target="https://doi.org/10.1371/journal.pcbi.1014597" TargetMode="External" /><Relationship Type="http://schemas.openxmlformats.org/officeDocument/2006/relationships/hyperlink" Id="rId4955" Target="https://doi.org/10.1371/journal.pmed.1003481" TargetMode="External" /><Relationship Type="http://schemas.openxmlformats.org/officeDocument/2006/relationships/hyperlink" Id="rId3350" Target="https://doi.org/10.1371/journal.pone.0000943" TargetMode="External" /><Relationship Type="http://schemas.openxmlformats.org/officeDocument/2006/relationships/hyperlink" Id="rId4582" Target="https://doi.org/10.1371/journal.pone.0001897" TargetMode="External" /><Relationship Type="http://schemas.openxmlformats.org/officeDocument/2006/relationships/hyperlink" Id="rId4171" Target="https://doi.org/10.1371/journal.pone.0038413" TargetMode="External" /><Relationship Type="http://schemas.openxmlformats.org/officeDocument/2006/relationships/hyperlink" Id="rId4805" Target="https://doi.org/10.1371/journal.pone.0058244" TargetMode="External" /><Relationship Type="http://schemas.openxmlformats.org/officeDocument/2006/relationships/hyperlink" Id="rId4572" Target="https://doi.org/10.1371/journal.pone.0064574" TargetMode="External" /><Relationship Type="http://schemas.openxmlformats.org/officeDocument/2006/relationships/hyperlink" Id="rId3647" Target="https://doi.org/10.1371/journal.pone.0068210" TargetMode="External" /><Relationship Type="http://schemas.openxmlformats.org/officeDocument/2006/relationships/hyperlink" Id="rId3933" Target="https://doi.org/10.1371/journal.pone.0071275" TargetMode="External" /><Relationship Type="http://schemas.openxmlformats.org/officeDocument/2006/relationships/hyperlink" Id="rId4833" Target="https://doi.org/10.1371/journal.pone.0073417" TargetMode="External" /><Relationship Type="http://schemas.openxmlformats.org/officeDocument/2006/relationships/hyperlink" Id="rId4073" Target="https://doi.org/10.1371/journal.pone.0089900" TargetMode="External" /><Relationship Type="http://schemas.openxmlformats.org/officeDocument/2006/relationships/hyperlink" Id="rId4803" Target="https://doi.org/10.1371/journal.pone.0102990" TargetMode="External" /><Relationship Type="http://schemas.openxmlformats.org/officeDocument/2006/relationships/hyperlink" Id="rId4887" Target="https://doi.org/10.1371/journal.pone.0153220" TargetMode="External" /><Relationship Type="http://schemas.openxmlformats.org/officeDocument/2006/relationships/hyperlink" Id="rId4831" Target="https://doi.org/10.1371/journal.pone.0170647" TargetMode="External" /><Relationship Type="http://schemas.openxmlformats.org/officeDocument/2006/relationships/hyperlink" Id="rId5001" Target="https://doi.org/10.1371/journal.pone.0176239" TargetMode="External" /><Relationship Type="http://schemas.openxmlformats.org/officeDocument/2006/relationships/hyperlink" Id="rId2994" Target="https://doi.org/10.1371/journal.pone.0209648" TargetMode="External" /><Relationship Type="http://schemas.openxmlformats.org/officeDocument/2006/relationships/hyperlink" Id="rId4999" Target="https://doi.org/10.1371/journal.pone.0216643" TargetMode="External" /><Relationship Type="http://schemas.openxmlformats.org/officeDocument/2006/relationships/hyperlink" Id="rId4789" Target="https://doi.org/10.1371/journal.pone.0219120" TargetMode="External" /><Relationship Type="http://schemas.openxmlformats.org/officeDocument/2006/relationships/hyperlink" Id="rId5068" Target="https://doi.org/10.1371/journal.pone.0253694" TargetMode="External" /><Relationship Type="http://schemas.openxmlformats.org/officeDocument/2006/relationships/hyperlink" Id="rId4819" Target="https://doi.org/10.1371/journal.pone.0273864" TargetMode="External" /><Relationship Type="http://schemas.openxmlformats.org/officeDocument/2006/relationships/hyperlink" Id="rId3742" Target="https://doi.org/10.1371/journal.pone.0286023" TargetMode="External" /><Relationship Type="http://schemas.openxmlformats.org/officeDocument/2006/relationships/hyperlink" Id="rId5013" Target="https://doi.org/10.1371/journal.pone.0318499" TargetMode="External" /><Relationship Type="http://schemas.openxmlformats.org/officeDocument/2006/relationships/hyperlink" Id="rId4103" Target="https://doi.org/10.1515/revneuro.2003.14.4.303" TargetMode="External" /><Relationship Type="http://schemas.openxmlformats.org/officeDocument/2006/relationships/hyperlink" Id="rId3310" Target="https://doi.org/10.1518/001872008X312152" TargetMode="External" /><Relationship Type="http://schemas.openxmlformats.org/officeDocument/2006/relationships/hyperlink" Id="rId2773" Target="https://doi.org/10.1523/JNEUROSCI.0016-17.2017" TargetMode="External" /><Relationship Type="http://schemas.openxmlformats.org/officeDocument/2006/relationships/hyperlink" Id="rId2884" Target="https://doi.org/10.1523/JNEUROSCI.0167-10.2010" TargetMode="External" /><Relationship Type="http://schemas.openxmlformats.org/officeDocument/2006/relationships/hyperlink" Id="rId2767" Target="https://doi.org/10.1523/JNEUROSCI.0723-07.2007" TargetMode="External" /><Relationship Type="http://schemas.openxmlformats.org/officeDocument/2006/relationships/hyperlink" Id="rId3643" Target="https://doi.org/10.1523/JNEUROSCI.0822-10.2010" TargetMode="External" /><Relationship Type="http://schemas.openxmlformats.org/officeDocument/2006/relationships/hyperlink" Id="rId3548" Target="https://doi.org/10.1523/JNEUROSCI.10-02-00420.1990" TargetMode="External" /><Relationship Type="http://schemas.openxmlformats.org/officeDocument/2006/relationships/hyperlink" Id="rId5496" Target="https://doi.org/10.1523/JNEUROSCI.15-05-03526.1995" TargetMode="External" /><Relationship Type="http://schemas.openxmlformats.org/officeDocument/2006/relationships/hyperlink" Id="rId4283" Target="https://doi.org/10.1523/JNEUROSCI.1544-06.2006" TargetMode="External" /><Relationship Type="http://schemas.openxmlformats.org/officeDocument/2006/relationships/hyperlink" Id="rId2988" Target="https://doi.org/10.1523/JNEUROSCI.18-04-01428.1998" TargetMode="External" /><Relationship Type="http://schemas.openxmlformats.org/officeDocument/2006/relationships/hyperlink" Id="rId3080" Target="https://doi.org/10.1523/JNEUROSCI.18-24-10464.1998" TargetMode="External" /><Relationship Type="http://schemas.openxmlformats.org/officeDocument/2006/relationships/hyperlink" Id="rId2892" Target="https://doi.org/10.1523/JNEUROSCI.1838-14.2014" TargetMode="External" /><Relationship Type="http://schemas.openxmlformats.org/officeDocument/2006/relationships/hyperlink" Id="rId5188" Target="https://doi.org/10.1523/JNEUROSCI.3195-15.2016" TargetMode="External" /><Relationship Type="http://schemas.openxmlformats.org/officeDocument/2006/relationships/hyperlink" Id="rId3676" Target="https://doi.org/10.1523/JNEUROSCI.3507-13.2014" TargetMode="External" /><Relationship Type="http://schemas.openxmlformats.org/officeDocument/2006/relationships/hyperlink" Id="rId3947" Target="https://doi.org/10.1523/JNEUROSCI.3850-14.2016" TargetMode="External" /><Relationship Type="http://schemas.openxmlformats.org/officeDocument/2006/relationships/hyperlink" Id="rId4113" Target="https://doi.org/10.1523/JNEUROSCI.4109-15.2016" TargetMode="External" /><Relationship Type="http://schemas.openxmlformats.org/officeDocument/2006/relationships/hyperlink" Id="rId4183" Target="https://doi.org/10.1523/jneurosci.09-05-01705.1989" TargetMode="External" /><Relationship Type="http://schemas.openxmlformats.org/officeDocument/2006/relationships/hyperlink" Id="rId5064" Target="https://doi.org/10.1523/jneurosci.1182-23.2024" TargetMode="External" /><Relationship Type="http://schemas.openxmlformats.org/officeDocument/2006/relationships/hyperlink" Id="rId4185" Target="https://doi.org/10.1523/jneurosci.19-06-02356.1999" TargetMode="External" /><Relationship Type="http://schemas.openxmlformats.org/officeDocument/2006/relationships/hyperlink" Id="rId4526" Target="https://doi.org/10.1523/jneurosci.2542-15.2015" TargetMode="External" /><Relationship Type="http://schemas.openxmlformats.org/officeDocument/2006/relationships/hyperlink" Id="rId4472" Target="https://doi.org/10.1523/jneurosci.2586-16.2016" TargetMode="External" /><Relationship Type="http://schemas.openxmlformats.org/officeDocument/2006/relationships/hyperlink" Id="rId4201" Target="https://doi.org/10.1523/jneurosci.2612-04.2005" TargetMode="External" /><Relationship Type="http://schemas.openxmlformats.org/officeDocument/2006/relationships/hyperlink" Id="rId3714" Target="https://doi.org/10.1523/jneurosci.3246-14.2015" TargetMode="External" /><Relationship Type="http://schemas.openxmlformats.org/officeDocument/2006/relationships/hyperlink" Id="rId4562" Target="https://doi.org/10.1523/jneurosci.4328-15.2016" TargetMode="External" /><Relationship Type="http://schemas.openxmlformats.org/officeDocument/2006/relationships/hyperlink" Id="rId4257" Target="https://doi.org/10.1523/jneurosci.5587-06.2007" TargetMode="External" /><Relationship Type="http://schemas.openxmlformats.org/officeDocument/2006/relationships/hyperlink" Id="rId4609" Target="https://doi.org/10.1523/jneurosci.5791-10.2011" TargetMode="External" /><Relationship Type="http://schemas.openxmlformats.org/officeDocument/2006/relationships/hyperlink" Id="rId5131" Target="https://doi.org/10.1542/peds.2004-2282" TargetMode="External" /><Relationship Type="http://schemas.openxmlformats.org/officeDocument/2006/relationships/hyperlink" Id="rId4071" Target="https://doi.org/10.1542/peds.2013-3219" TargetMode="External" /><Relationship Type="http://schemas.openxmlformats.org/officeDocument/2006/relationships/hyperlink" Id="rId5218" Target="https://doi.org/10.1542/peds.2019-2528" TargetMode="External" /><Relationship Type="http://schemas.openxmlformats.org/officeDocument/2006/relationships/hyperlink" Id="rId5143" Target="https://doi.org/10.1542/peds.2022-058859" TargetMode="External" /><Relationship Type="http://schemas.openxmlformats.org/officeDocument/2006/relationships/hyperlink" Id="rId5344" Target="https://doi.org/10.1542/peds.2024-070334" TargetMode="External" /><Relationship Type="http://schemas.openxmlformats.org/officeDocument/2006/relationships/hyperlink" Id="rId5629" Target="https://doi.org/10.1684/epd.2022.1448" TargetMode="External" /><Relationship Type="http://schemas.openxmlformats.org/officeDocument/2006/relationships/hyperlink" Id="rId4446" Target="https://doi.org/10.2196/10257" TargetMode="External" /><Relationship Type="http://schemas.openxmlformats.org/officeDocument/2006/relationships/hyperlink" Id="rId3863" Target="https://doi.org/10.2307/2951620" TargetMode="External" /><Relationship Type="http://schemas.openxmlformats.org/officeDocument/2006/relationships/hyperlink" Id="rId3232" Target="https://doi.org/10.3102/00346543070002181" TargetMode="External" /><Relationship Type="http://schemas.openxmlformats.org/officeDocument/2006/relationships/hyperlink" Id="rId3252" Target="https://doi.org/10.3102/0034654315627366" TargetMode="External" /><Relationship Type="http://schemas.openxmlformats.org/officeDocument/2006/relationships/hyperlink" Id="rId3534" Target="https://doi.org/10.3102/00346543211019105" TargetMode="External" /><Relationship Type="http://schemas.openxmlformats.org/officeDocument/2006/relationships/hyperlink" Id="rId3532" Target="https://doi.org/10.3102/0091732X024001061" TargetMode="External" /><Relationship Type="http://schemas.openxmlformats.org/officeDocument/2006/relationships/hyperlink" Id="rId5422" Target="https://doi.org/10.3174/ajnr.A4173" TargetMode="External" /><Relationship Type="http://schemas.openxmlformats.org/officeDocument/2006/relationships/hyperlink" Id="rId5462" Target="https://doi.org/10.3233/VES-170622" TargetMode="External" /><Relationship Type="http://schemas.openxmlformats.org/officeDocument/2006/relationships/hyperlink" Id="rId5460" Target="https://doi.org/10.3233/VES-201644" TargetMode="External" /><Relationship Type="http://schemas.openxmlformats.org/officeDocument/2006/relationships/hyperlink" Id="rId3468" Target="https://doi.org/10.3238/arztebl.2019.0107" TargetMode="External" /><Relationship Type="http://schemas.openxmlformats.org/officeDocument/2006/relationships/hyperlink" Id="rId4725" Target="https://doi.org/10.3389/fcimb.2022.719829" TargetMode="External" /><Relationship Type="http://schemas.openxmlformats.org/officeDocument/2006/relationships/hyperlink" Id="rId4744" Target="https://doi.org/10.3389/fendo.2024.1345527" TargetMode="External" /><Relationship Type="http://schemas.openxmlformats.org/officeDocument/2006/relationships/hyperlink" Id="rId4797" Target="https://doi.org/10.3389/fimmu.2017.00670" TargetMode="External" /><Relationship Type="http://schemas.openxmlformats.org/officeDocument/2006/relationships/hyperlink" Id="rId4857" Target="https://doi.org/10.3389/fnagi.2014.00076" TargetMode="External" /><Relationship Type="http://schemas.openxmlformats.org/officeDocument/2006/relationships/hyperlink" Id="rId3088" Target="https://doi.org/10.3389/fncir.2018.00053" TargetMode="External" /><Relationship Type="http://schemas.openxmlformats.org/officeDocument/2006/relationships/hyperlink" Id="rId3728" Target="https://doi.org/10.3389/fnhum.2010.00186" TargetMode="External" /><Relationship Type="http://schemas.openxmlformats.org/officeDocument/2006/relationships/hyperlink" Id="rId5052" Target="https://doi.org/10.3389/fnhum.2011.00183" TargetMode="External" /><Relationship Type="http://schemas.openxmlformats.org/officeDocument/2006/relationships/hyperlink" Id="rId4578" Target="https://doi.org/10.3389/fnhum.2012.00292" TargetMode="External" /><Relationship Type="http://schemas.openxmlformats.org/officeDocument/2006/relationships/hyperlink" Id="rId4667" Target="https://doi.org/10.3389/fnhum.2013.00012" TargetMode="External" /><Relationship Type="http://schemas.openxmlformats.org/officeDocument/2006/relationships/hyperlink" Id="rId4637" Target="https://doi.org/10.3389/fnhum.2013.00440" TargetMode="External" /><Relationship Type="http://schemas.openxmlformats.org/officeDocument/2006/relationships/hyperlink" Id="rId5062" Target="https://doi.org/10.3389/fnhum.2013.00582" TargetMode="External" /><Relationship Type="http://schemas.openxmlformats.org/officeDocument/2006/relationships/hyperlink" Id="rId4657" Target="https://doi.org/10.3389/fnhum.2014.00033" TargetMode="External" /><Relationship Type="http://schemas.openxmlformats.org/officeDocument/2006/relationships/hyperlink" Id="rId4766" Target="https://doi.org/10.3389/fnhum.2017.00315" TargetMode="External" /><Relationship Type="http://schemas.openxmlformats.org/officeDocument/2006/relationships/hyperlink" Id="rId5878" Target="https://doi.org/10.3389/fninf.2013.00014" TargetMode="External" /><Relationship Type="http://schemas.openxmlformats.org/officeDocument/2006/relationships/hyperlink" Id="rId4853" Target="https://doi.org/10.3389/fnins.2011.00049" TargetMode="External" /><Relationship Type="http://schemas.openxmlformats.org/officeDocument/2006/relationships/hyperlink" Id="rId4845" Target="https://doi.org/10.3389/fnins.2017.00109" TargetMode="External" /><Relationship Type="http://schemas.openxmlformats.org/officeDocument/2006/relationships/hyperlink" Id="rId4277" Target="https://doi.org/10.3389/fnins.2020.00923" TargetMode="External" /><Relationship Type="http://schemas.openxmlformats.org/officeDocument/2006/relationships/hyperlink" Id="rId4426" Target="https://doi.org/10.3389/fnint.2022.871227" TargetMode="External" /><Relationship Type="http://schemas.openxmlformats.org/officeDocument/2006/relationships/hyperlink" Id="rId4454" Target="https://doi.org/10.3389/fphys.2013.00026" TargetMode="External" /><Relationship Type="http://schemas.openxmlformats.org/officeDocument/2006/relationships/hyperlink" Id="rId3803" Target="https://doi.org/10.3389/fpsyg.2012.00429" TargetMode="External" /><Relationship Type="http://schemas.openxmlformats.org/officeDocument/2006/relationships/hyperlink" Id="rId4452" Target="https://doi.org/10.3389/fpsyg.2014.00756" TargetMode="External" /><Relationship Type="http://schemas.openxmlformats.org/officeDocument/2006/relationships/hyperlink" Id="rId3512" Target="https://doi.org/10.3389/fpsyg.2015.00888" TargetMode="External" /><Relationship Type="http://schemas.openxmlformats.org/officeDocument/2006/relationships/hyperlink" Id="rId3805" Target="https://doi.org/10.3389/fpsyg.2017.01314" TargetMode="External" /><Relationship Type="http://schemas.openxmlformats.org/officeDocument/2006/relationships/hyperlink" Id="rId4520" Target="https://doi.org/10.3389/fpsyg.2019.02276" TargetMode="External" /><Relationship Type="http://schemas.openxmlformats.org/officeDocument/2006/relationships/hyperlink" Id="rId5072" Target="https://doi.org/10.3389/fpsyg.2020.02087" TargetMode="External" /><Relationship Type="http://schemas.openxmlformats.org/officeDocument/2006/relationships/hyperlink" Id="rId4768" Target="https://doi.org/10.3389/fpsyg.2020.02209" TargetMode="External" /><Relationship Type="http://schemas.openxmlformats.org/officeDocument/2006/relationships/hyperlink" Id="rId5096" Target="https://doi.org/10.3389/fpsyg.2020.599190" TargetMode="External" /><Relationship Type="http://schemas.openxmlformats.org/officeDocument/2006/relationships/hyperlink" Id="rId4989" Target="https://doi.org/10.3389/fpsyg.2020.603394" TargetMode="External" /><Relationship Type="http://schemas.openxmlformats.org/officeDocument/2006/relationships/hyperlink" Id="rId4053" Target="https://doi.org/10.3389/fpsyg.2024.1428732" TargetMode="External" /><Relationship Type="http://schemas.openxmlformats.org/officeDocument/2006/relationships/hyperlink" Id="rId4791" Target="https://doi.org/10.3389/fpsyg.2025.1653242" TargetMode="External" /><Relationship Type="http://schemas.openxmlformats.org/officeDocument/2006/relationships/hyperlink" Id="rId5843" Target="https://doi.org/10.3389/neuro.06.004.2008" TargetMode="External" /><Relationship Type="http://schemas.openxmlformats.org/officeDocument/2006/relationships/hyperlink" Id="rId4211" Target="https://doi.org/10.3389/neuro.09.031.2009" TargetMode="External" /><Relationship Type="http://schemas.openxmlformats.org/officeDocument/2006/relationships/hyperlink" Id="rId5360" Target="https://doi.org/10.3390/brainsci12050594" TargetMode="External" /><Relationship Type="http://schemas.openxmlformats.org/officeDocument/2006/relationships/hyperlink" Id="rId4871" Target="https://doi.org/10.3390/brainsci16050483" TargetMode="External" /><Relationship Type="http://schemas.openxmlformats.org/officeDocument/2006/relationships/hyperlink" Id="rId3996" Target="https://doi.org/10.3390/healthcare12232488" TargetMode="External" /><Relationship Type="http://schemas.openxmlformats.org/officeDocument/2006/relationships/hyperlink" Id="rId4750" Target="https://doi.org/10.3390/ijms24054445" TargetMode="External" /><Relationship Type="http://schemas.openxmlformats.org/officeDocument/2006/relationships/hyperlink" Id="rId3162" Target="https://doi.org/10.3390/vision7040067" TargetMode="External" /><Relationship Type="http://schemas.openxmlformats.org/officeDocument/2006/relationships/hyperlink" Id="rId4440" Target="https://doi.org/10.36131/cnfioritieditore20260110" TargetMode="External" /><Relationship Type="http://schemas.openxmlformats.org/officeDocument/2006/relationships/hyperlink" Id="rId4442" Target="https://doi.org/10.36131/cnfioritieditore20260111" TargetMode="External" /><Relationship Type="http://schemas.openxmlformats.org/officeDocument/2006/relationships/hyperlink" Id="rId3274" Target="https://doi.org/10.3758/BF03194055" TargetMode="External" /><Relationship Type="http://schemas.openxmlformats.org/officeDocument/2006/relationships/hyperlink" Id="rId3484" Target="https://doi.org/10.3758/BF03196968" TargetMode="External" /><Relationship Type="http://schemas.openxmlformats.org/officeDocument/2006/relationships/hyperlink" Id="rId3383" Target="https://doi.org/10.3758/BF03208840" TargetMode="External" /><Relationship Type="http://schemas.openxmlformats.org/officeDocument/2006/relationships/hyperlink" Id="rId3192" Target="https://doi.org/10.3758/MC.36.3.604" TargetMode="External" /><Relationship Type="http://schemas.openxmlformats.org/officeDocument/2006/relationships/hyperlink" Id="rId4685" Target="https://doi.org/10.3758/cabn.7.2.109" TargetMode="External" /><Relationship Type="http://schemas.openxmlformats.org/officeDocument/2006/relationships/hyperlink" Id="rId3379" Target="https://doi.org/10.3758/s13414-023-02820-3" TargetMode="External" /><Relationship Type="http://schemas.openxmlformats.org/officeDocument/2006/relationships/hyperlink" Id="rId4673" Target="https://doi.org/10.3758/s13415-015-0358-3" TargetMode="External" /><Relationship Type="http://schemas.openxmlformats.org/officeDocument/2006/relationships/hyperlink" Id="rId3224" Target="https://doi.org/10.3758/s13421-012-0272-7" TargetMode="External" /><Relationship Type="http://schemas.openxmlformats.org/officeDocument/2006/relationships/hyperlink" Id="rId4065" Target="https://doi.org/10.3758/s13421-020-01060-2" TargetMode="External" /><Relationship Type="http://schemas.openxmlformats.org/officeDocument/2006/relationships/hyperlink" Id="rId3799" Target="https://doi.org/10.3758/s13423-013-0391-6" TargetMode="External" /><Relationship Type="http://schemas.openxmlformats.org/officeDocument/2006/relationships/hyperlink" Id="rId3377" Target="https://doi.org/10.3758/s13423-020-01859-9" TargetMode="External" /><Relationship Type="http://schemas.openxmlformats.org/officeDocument/2006/relationships/hyperlink" Id="rId3476" Target="https://doi.org/10.3758/s13423-024-02556-7" TargetMode="External" /><Relationship Type="http://schemas.openxmlformats.org/officeDocument/2006/relationships/hyperlink" Id="rId3436" Target="https://doi.org/10.3758/s13428-017-0935-1" TargetMode="External" /><Relationship Type="http://schemas.openxmlformats.org/officeDocument/2006/relationships/hyperlink" Id="rId4764" Target="https://doi.org/10.4103/ijoy.ijoy_17_25" TargetMode="External" /><Relationship Type="http://schemas.openxmlformats.org/officeDocument/2006/relationships/hyperlink" Id="rId5871" Target="https://doi.org/10.5334/cpsy.116" TargetMode="External" /><Relationship Type="http://schemas.openxmlformats.org/officeDocument/2006/relationships/hyperlink" Id="rId3286" Target="https://doi.org/10.5334/joc.58" TargetMode="External" /><Relationship Type="http://schemas.openxmlformats.org/officeDocument/2006/relationships/hyperlink" Id="rId3722" Target="https://doi.org/10.5664/jcsm.10424" TargetMode="External" /><Relationship Type="http://schemas.openxmlformats.org/officeDocument/2006/relationships/hyperlink" Id="rId5524" Target="https://doi.org/10.5664/jcsm.11390" TargetMode="External" /><Relationship Type="http://schemas.openxmlformats.org/officeDocument/2006/relationships/hyperlink" Id="rId5508" Target="https://doi.org/10.5664/jcsm.11858" TargetMode="External" /><Relationship Type="http://schemas.openxmlformats.org/officeDocument/2006/relationships/hyperlink" Id="rId5494" Target="https://doi.org/10.5664/jcsm.5100" TargetMode="External" /><Relationship Type="http://schemas.openxmlformats.org/officeDocument/2006/relationships/hyperlink" Id="rId5528" Target="https://doi.org/10.5664/jcsm.7128" TargetMode="External" /><Relationship Type="http://schemas.openxmlformats.org/officeDocument/2006/relationships/hyperlink" Id="rId3724" Target="https://doi.org/10.5664/jcsm.7178" TargetMode="External" /><Relationship Type="http://schemas.openxmlformats.org/officeDocument/2006/relationships/hyperlink" Id="rId3688" Target="https://doi.org/10.5664/jcsm.8986" TargetMode="External" /><Relationship Type="http://schemas.openxmlformats.org/officeDocument/2006/relationships/hyperlink" Id="rId5492" Target="https://doi.org/10.5664/jcsm.9328" TargetMode="External" /><Relationship Type="http://schemas.openxmlformats.org/officeDocument/2006/relationships/hyperlink" Id="rId5514" Target="https://doi.org/10.5664/jcsm.9620" TargetMode="External" /><Relationship Type="http://schemas.openxmlformats.org/officeDocument/2006/relationships/hyperlink" Id="rId3686" Target="https://doi.org/10.5665/sleep.4716" TargetMode="External" /><Relationship Type="http://schemas.openxmlformats.org/officeDocument/2006/relationships/hyperlink" Id="rId5044" Target="https://doi.org/10.6727/TJBS.202106_(41).0004" TargetMode="External" /><Relationship Type="http://schemas.openxmlformats.org/officeDocument/2006/relationships/hyperlink" Id="rId5232" Target="https://doi.org/10.7326/M18-2101" TargetMode="External" /><Relationship Type="http://schemas.openxmlformats.org/officeDocument/2006/relationships/hyperlink" Id="rId5070" Target="https://doi.org/10.7551/mitpress/15196.001.0001" TargetMode="External" /><Relationship Type="http://schemas.openxmlformats.org/officeDocument/2006/relationships/hyperlink" Id="rId5880" Target="https://doi.org/10.7554/eLife.11305" TargetMode="External" /><Relationship Type="http://schemas.openxmlformats.org/officeDocument/2006/relationships/hyperlink" Id="rId3710" Target="https://doi.org/10.7554/eLife.27679" TargetMode="External" /><Relationship Type="http://schemas.openxmlformats.org/officeDocument/2006/relationships/hyperlink" Id="rId3756" Target="https://doi.org/10.7554/eLife.39787" TargetMode="External" /><Relationship Type="http://schemas.openxmlformats.org/officeDocument/2006/relationships/hyperlink" Id="rId3344" Target="https://doi.org/10.7554/eLife.46323" TargetMode="External" /><Relationship Type="http://schemas.openxmlformats.org/officeDocument/2006/relationships/hyperlink" Id="rId5869" Target="https://doi.org/10.7554/eLife.49547" TargetMode="External" /><Relationship Type="http://schemas.openxmlformats.org/officeDocument/2006/relationships/hyperlink" Id="rId3168" Target="https://doi.org/10.7554/eLife.72484" TargetMode="External" /><Relationship Type="http://schemas.openxmlformats.org/officeDocument/2006/relationships/hyperlink" Id="rId4243" Target="https://doi.org/10.7554/elife.06481" TargetMode="External" /><Relationship Type="http://schemas.openxmlformats.org/officeDocument/2006/relationships/hyperlink" Id="rId4873" Target="https://doi.org/10.7554/elife.85188" TargetMode="External" /><Relationship Type="http://schemas.openxmlformats.org/officeDocument/2006/relationships/hyperlink" Id="rId4633" Target="https://doi.org/10.7554/elife.87634" TargetMode="External" /><Relationship Type="http://schemas.openxmlformats.org/officeDocument/2006/relationships/hyperlink" Id="rId4263" Target="https://doi.org/10.7554/elife.99018" TargetMode="External" /><Relationship Type="http://schemas.openxmlformats.org/officeDocument/2006/relationships/hyperlink" Id="rId4869" Target="https://hbr.org/2015/01/mindfulness-can-literally-change-your-brain" TargetMode="External" /><Relationship Type="http://schemas.openxmlformats.org/officeDocument/2006/relationships/hyperlink" Id="rId5258" Target="https://health.nih.gov/health-topics-a-z/autism" TargetMode="External" /><Relationship Type="http://schemas.openxmlformats.org/officeDocument/2006/relationships/hyperlink" Id="rId5262" Target="https://health.nih.gov/health-topics-a-z/bipolar-disorder" TargetMode="External" /><Relationship Type="http://schemas.openxmlformats.org/officeDocument/2006/relationships/hyperlink" Id="rId5410" Target="https://health.nih.gov/health-topics-a-z/substance-use-disorder" TargetMode="External" /><Relationship Type="http://schemas.openxmlformats.org/officeDocument/2006/relationships/hyperlink" Id="rId5428" Target="https://ichd-3.org/1-migraine/1-2-migraine-with-aura/" TargetMode="External" /><Relationship Type="http://schemas.openxmlformats.org/officeDocument/2006/relationships/hyperlink" Id="rId5446" Target="https://ichd-3.org/3-trigeminal-autonomic-cephalalgias/3-1-cluster-headache/" TargetMode="External" /><Relationship Type="http://schemas.openxmlformats.org/officeDocument/2006/relationships/hyperlink" Id="rId5440" Target="https://ichd-3.org/8-headache-attributed-to-a-substance-or-its-withdrawal/8-2-medication-overuse-headache-moh/" TargetMode="External" /><Relationship Type="http://schemas.openxmlformats.org/officeDocument/2006/relationships/hyperlink" Id="rId3580" Target="https://manybabies.org/MB2/" TargetMode="External" /><Relationship Type="http://schemas.openxmlformats.org/officeDocument/2006/relationships/hyperlink" Id="rId5198" Target="https://medlineplus.gov/genetics/understanding/inheritance/heritability/" TargetMode="External" /><Relationship Type="http://schemas.openxmlformats.org/officeDocument/2006/relationships/hyperlink" Id="rId3827" Target="https://miguelhernan.org/whatifbook" TargetMode="External" /><Relationship Type="http://schemas.openxmlformats.org/officeDocument/2006/relationships/hyperlink" Id="rId4861" Target="https://news.harvard.edu/gazette/story/2006/02/meditation-found-to-increase-brain-size/" TargetMode="External" /><Relationship Type="http://schemas.openxmlformats.org/officeDocument/2006/relationships/hyperlink" Id="rId4867" Target="https://news.harvard.edu/gazette/story/2011/01/eight-weeks-to-a-better-brain/" TargetMode="External" /><Relationship Type="http://schemas.openxmlformats.org/officeDocument/2006/relationships/hyperlink" Id="rId5123" Target="https://ods.od.nih.gov/factsheets/Iodine-HealthProfessional/" TargetMode="External" /><Relationship Type="http://schemas.openxmlformats.org/officeDocument/2006/relationships/hyperlink" Id="rId5565" Target="https://ods.od.nih.gov/factsheets/VitaminB6-HealthProfessional/" TargetMode="External" /><Relationship Type="http://schemas.openxmlformats.org/officeDocument/2006/relationships/hyperlink" Id="rId2733" Target="https://pharmacologyeducation.org/clinical-pharmacokinetics/" TargetMode="External" /><Relationship Type="http://schemas.openxmlformats.org/officeDocument/2006/relationships/hyperlink" Id="rId2721" Target="https://pharmacologyeducation.org/pharmacodynamics/" TargetMode="External" /><Relationship Type="http://schemas.openxmlformats.org/officeDocument/2006/relationships/hyperlink" Id="rId3038" Target="https://pmc.ncbi.nlm.nih.gov/articles/PMC3858622/" TargetMode="External" /><Relationship Type="http://schemas.openxmlformats.org/officeDocument/2006/relationships/hyperlink" Id="rId3690" Target="https://pmc.ncbi.nlm.nih.gov/articles/PMC5337595/" TargetMode="External" /><Relationship Type="http://schemas.openxmlformats.org/officeDocument/2006/relationships/hyperlink" Id="rId5350" Target="https://ptsd.va.gov/professional/treat/txessentials/complex_ptsd_assessment.asp" TargetMode="External" /><Relationship Type="http://schemas.openxmlformats.org/officeDocument/2006/relationships/hyperlink" Id="rId5127" Target="https://pubmed.ncbi.nlm.nih.gov/11160401/" TargetMode="External" /><Relationship Type="http://schemas.openxmlformats.org/officeDocument/2006/relationships/hyperlink" Id="rId4271" Target="https://pubmed.ncbi.nlm.nih.gov/12008958/" TargetMode="External" /><Relationship Type="http://schemas.openxmlformats.org/officeDocument/2006/relationships/hyperlink" Id="rId2699" Target="https://pubmed.ncbi.nlm.nih.gov/14946732/" TargetMode="External" /><Relationship Type="http://schemas.openxmlformats.org/officeDocument/2006/relationships/hyperlink" Id="rId4719" Target="https://pubmed.ncbi.nlm.nih.gov/14976457/" TargetMode="External" /><Relationship Type="http://schemas.openxmlformats.org/officeDocument/2006/relationships/hyperlink" Id="rId5121" Target="https://pubmed.ncbi.nlm.nih.gov/1677062/" TargetMode="External" /><Relationship Type="http://schemas.openxmlformats.org/officeDocument/2006/relationships/hyperlink" Id="rId4470" Target="https://pubmed.ncbi.nlm.nih.gov/25996093/" TargetMode="External" /><Relationship Type="http://schemas.openxmlformats.org/officeDocument/2006/relationships/hyperlink" Id="rId5362" Target="https://pubmed.ncbi.nlm.nih.gov/2626518/" TargetMode="External" /><Relationship Type="http://schemas.openxmlformats.org/officeDocument/2006/relationships/hyperlink" Id="rId5100" Target="https://suttacentral.net/an6.55/en/sujato" TargetMode="External" /><Relationship Type="http://schemas.openxmlformats.org/officeDocument/2006/relationships/hyperlink" Id="rId5034" Target="https://suttacentral.net/sa784/lzh" TargetMode="External" /><Relationship Type="http://schemas.openxmlformats.org/officeDocument/2006/relationships/hyperlink" Id="rId5036" Target="https://suttacentral.net/sn47.2/en/sujato" TargetMode="External" /><Relationship Type="http://schemas.openxmlformats.org/officeDocument/2006/relationships/hyperlink" Id="rId5032" Target="https://suttacentral.net/sn48.10/en/sujato" TargetMode="External" /><Relationship Type="http://schemas.openxmlformats.org/officeDocument/2006/relationships/hyperlink" Id="rId5098" Target="https://suttacentral.net/sn54.9/en/sujato" TargetMode="External" /><Relationship Type="http://schemas.openxmlformats.org/officeDocument/2006/relationships/hyperlink" Id="rId3949" Target="https://thepsychologist.bps.org.uk/great-myths-brain-we-only-use-10-cent" TargetMode="External" /><Relationship Type="http://schemas.openxmlformats.org/officeDocument/2006/relationships/hyperlink" Id="rId3986" Target="https://www.6seconds.org/2019/06/19/why-six-seconds-about-our-intriguing-name" TargetMode="External" /><Relationship Type="http://schemas.openxmlformats.org/officeDocument/2006/relationships/hyperlink" Id="rId5589" Target="https://www.accessdata.fda.gov/drugsatfda_docs/label/2025/761248s004lbl.pdf" TargetMode="External" /><Relationship Type="http://schemas.openxmlformats.org/officeDocument/2006/relationships/hyperlink" Id="rId5256" Target="https://www.asha.org/policy/ps2018-00352/" TargetMode="External" /><Relationship Type="http://schemas.openxmlformats.org/officeDocument/2006/relationships/hyperlink" Id="rId5824" Target="https://www.asha.org/practice-portal/clinical-topics/adult-dysphagia/" TargetMode="External" /><Relationship Type="http://schemas.openxmlformats.org/officeDocument/2006/relationships/hyperlink" Id="rId5790" Target="https://www.cancer.gov/types/brain/hp/child-cns-embryonal-treatment-pdq" TargetMode="External" /><Relationship Type="http://schemas.openxmlformats.org/officeDocument/2006/relationships/hyperlink" Id="rId5220" Target="https://www.cdc.gov/adhd/diagnosis/" TargetMode="External" /><Relationship Type="http://schemas.openxmlformats.org/officeDocument/2006/relationships/hyperlink" Id="rId5164" Target="https://www.cdc.gov/cytomegalovirus/congenital-infection/hearing-loss.html" TargetMode="External" /><Relationship Type="http://schemas.openxmlformats.org/officeDocument/2006/relationships/hyperlink" Id="rId5649" Target="https://www.cdc.gov/epilepsy/first-aid-for-seizures/" TargetMode="External" /><Relationship Type="http://schemas.openxmlformats.org/officeDocument/2006/relationships/hyperlink" Id="rId5734" Target="https://www.cdc.gov/traumatic-brain-injury/signs-symptoms/index.html" TargetMode="External" /><Relationship Type="http://schemas.openxmlformats.org/officeDocument/2006/relationships/hyperlink" Id="rId3929" Target="https://www.chinanews.com.cn/sh/2020/07-02/9227067.shtml" TargetMode="External" /><Relationship Type="http://schemas.openxmlformats.org/officeDocument/2006/relationships/hyperlink" Id="rId4030" Target="https://www.chinanews.com.cn/sh/2022/07-05/9795566.shtml" TargetMode="External" /><Relationship Type="http://schemas.openxmlformats.org/officeDocument/2006/relationships/hyperlink" Id="rId4372" Target="https://www.endocrine.org/clinical-practice-guidelines/primary-adrenal-insufficiency" TargetMode="External" /><Relationship Type="http://schemas.openxmlformats.org/officeDocument/2006/relationships/hyperlink" Id="rId5326" Target="https://www.fda.gov/drugs/drug-safety-and-availability/fda-requiring-boxed-warning-updated-improve-safe-use-benzodiazepine-drug-class" TargetMode="External" /><Relationship Type="http://schemas.openxmlformats.org/officeDocument/2006/relationships/hyperlink" Id="rId5398" Target="https://www.fda.gov/drugs/drug-safety-communications/fda-removes-risk-evaluation-and-mitigation-strategy-rems-program-antipsychotic-drug-clozapine" TargetMode="External" /><Relationship Type="http://schemas.openxmlformats.org/officeDocument/2006/relationships/hyperlink" Id="rId5778" Target="https://www.fda.gov/drugs/resources-information-approved-drugs/fda-approves-vorasidenib-grade-2-astrocytoma-or-oligodendroglioma-susceptible-idh1-or-idh2-mutation" TargetMode="External" /><Relationship Type="http://schemas.openxmlformats.org/officeDocument/2006/relationships/hyperlink" Id="rId5400" Target="https://www.fda.gov/news-events/press-announcements/fda-approves-drug-new-mechanism-action-treatment-schizophrenia" TargetMode="External" /><Relationship Type="http://schemas.openxmlformats.org/officeDocument/2006/relationships/hyperlink" Id="rId5579" Target="https://www.fda.gov/news-events/press-announcements/fda-clears-first-blood-test-used-diagnosing-alzheimers-disease" TargetMode="External" /><Relationship Type="http://schemas.openxmlformats.org/officeDocument/2006/relationships/hyperlink" Id="rId5530" Target="https://www.fda.gov/news-events/press-announcements/fda-roundup-september-17-2024" TargetMode="External" /><Relationship Type="http://schemas.openxmlformats.org/officeDocument/2006/relationships/hyperlink" Id="rId3855" Target="https://www.fda.gov/regulatory-information/search-fda-guidance-documents/implanted-brain-computer-interface-bci-devices-patients-paralysis-or-amputation-non-clinical-testing" TargetMode="External" /><Relationship Type="http://schemas.openxmlformats.org/officeDocument/2006/relationships/hyperlink" Id="rId2747" Target="https://www.fda.gov/regulatory-information/search-fda-guidance-documents/m12-drug-interaction-studies" TargetMode="External" /><Relationship Type="http://schemas.openxmlformats.org/officeDocument/2006/relationships/hyperlink" Id="rId4037" Target="https://www.health.harvard.edu/blog/dopamine-fasting-misunderstanding-science-spawns-a-maladaptive-fad-2020022618917" TargetMode="External" /><Relationship Type="http://schemas.openxmlformats.org/officeDocument/2006/relationships/hyperlink" Id="rId4939" Target="https://www.healthquality.va.gov/HEALTHQUALITY/guidelines/CD/insomnia/index.asp" TargetMode="External" /><Relationship Type="http://schemas.openxmlformats.org/officeDocument/2006/relationships/hyperlink" Id="rId5015" Target="https://www.healthquality.va.gov/HEALTHQUALITY/guidelines/mh/ptsd/index.asp" TargetMode="External" /><Relationship Type="http://schemas.openxmlformats.org/officeDocument/2006/relationships/hyperlink" Id="rId4879" Target="https://www.matthieuricard.org/en/articles/the-worlds-happiest-man-matthieu-ricard-on-the-secrets-of-a-serene-successful-satisfying-life/" TargetMode="External" /><Relationship Type="http://schemas.openxmlformats.org/officeDocument/2006/relationships/hyperlink" Id="rId5200" Target="https://www.medlineplus.gov/genetics/condition/phenylketonuria/" TargetMode="External" /><Relationship Type="http://schemas.openxmlformats.org/officeDocument/2006/relationships/hyperlink" Id="rId2920" Target="https://www.ncbi.nlm.nih.gov/books/NBK10820/" TargetMode="External" /><Relationship Type="http://schemas.openxmlformats.org/officeDocument/2006/relationships/hyperlink" Id="rId2942" Target="https://www.ncbi.nlm.nih.gov/books/NBK10833/" TargetMode="External" /><Relationship Type="http://schemas.openxmlformats.org/officeDocument/2006/relationships/hyperlink" Id="rId2617" Target="https://www.ncbi.nlm.nih.gov/books/NBK10853/" TargetMode="External" /><Relationship Type="http://schemas.openxmlformats.org/officeDocument/2006/relationships/hyperlink" Id="rId4400" Target="https://www.ncbi.nlm.nih.gov/books/NBK10854/" TargetMode="External" /><Relationship Type="http://schemas.openxmlformats.org/officeDocument/2006/relationships/hyperlink" Id="rId2964" Target="https://www.ncbi.nlm.nih.gov/books/NBK10865/" TargetMode="External" /><Relationship Type="http://schemas.openxmlformats.org/officeDocument/2006/relationships/hyperlink" Id="rId2946" Target="https://www.ncbi.nlm.nih.gov/books/NBK10874/" TargetMode="External" /><Relationship Type="http://schemas.openxmlformats.org/officeDocument/2006/relationships/hyperlink" Id="rId2627" Target="https://www.ncbi.nlm.nih.gov/books/NBK10877/" TargetMode="External" /><Relationship Type="http://schemas.openxmlformats.org/officeDocument/2006/relationships/hyperlink" Id="rId2621" Target="https://www.ncbi.nlm.nih.gov/books/NBK10889/" TargetMode="External" /><Relationship Type="http://schemas.openxmlformats.org/officeDocument/2006/relationships/hyperlink" Id="rId2623" Target="https://www.ncbi.nlm.nih.gov/books/NBK10902/" TargetMode="External" /><Relationship Type="http://schemas.openxmlformats.org/officeDocument/2006/relationships/hyperlink" Id="rId2601" Target="https://www.ncbi.nlm.nih.gov/books/NBK10926/" TargetMode="External" /><Relationship Type="http://schemas.openxmlformats.org/officeDocument/2006/relationships/hyperlink" Id="rId3943" Target="https://www.ncbi.nlm.nih.gov/books/NBK10936/" TargetMode="External" /><Relationship Type="http://schemas.openxmlformats.org/officeDocument/2006/relationships/hyperlink" Id="rId2918" Target="https://www.ncbi.nlm.nih.gov/books/NBK10945/" TargetMode="External" /><Relationship Type="http://schemas.openxmlformats.org/officeDocument/2006/relationships/hyperlink" Id="rId2914" Target="https://www.ncbi.nlm.nih.gov/books/NBK10946/" TargetMode="External" /><Relationship Type="http://schemas.openxmlformats.org/officeDocument/2006/relationships/hyperlink" Id="rId2611" Target="https://www.ncbi.nlm.nih.gov/books/NBK10962/" TargetMode="External" /><Relationship Type="http://schemas.openxmlformats.org/officeDocument/2006/relationships/hyperlink" Id="rId2615" Target="https://www.ncbi.nlm.nih.gov/books/NBK10967/" TargetMode="External" /><Relationship Type="http://schemas.openxmlformats.org/officeDocument/2006/relationships/hyperlink" Id="rId2599" Target="https://www.ncbi.nlm.nih.gov/books/NBK10971/" TargetMode="External" /><Relationship Type="http://schemas.openxmlformats.org/officeDocument/2006/relationships/hyperlink" Id="rId2689" Target="https://www.ncbi.nlm.nih.gov/books/NBK11001/" TargetMode="External" /><Relationship Type="http://schemas.openxmlformats.org/officeDocument/2006/relationships/hyperlink" Id="rId2609" Target="https://www.ncbi.nlm.nih.gov/books/NBK11008/" TargetMode="External" /><Relationship Type="http://schemas.openxmlformats.org/officeDocument/2006/relationships/hyperlink" Id="rId2948" Target="https://www.ncbi.nlm.nih.gov/books/NBK11021/" TargetMode="External" /><Relationship Type="http://schemas.openxmlformats.org/officeDocument/2006/relationships/hyperlink" Id="rId4398" Target="https://www.ncbi.nlm.nih.gov/books/NBK11023/" TargetMode="External" /><Relationship Type="http://schemas.openxmlformats.org/officeDocument/2006/relationships/hyperlink" Id="rId2962" Target="https://www.ncbi.nlm.nih.gov/books/NBK11038/" TargetMode="External" /><Relationship Type="http://schemas.openxmlformats.org/officeDocument/2006/relationships/hyperlink" Id="rId2934" Target="https://www.ncbi.nlm.nih.gov/books/NBK11039/" TargetMode="External" /><Relationship Type="http://schemas.openxmlformats.org/officeDocument/2006/relationships/hyperlink" Id="rId2910" Target="https://www.ncbi.nlm.nih.gov/books/NBK11052/" TargetMode="External" /><Relationship Type="http://schemas.openxmlformats.org/officeDocument/2006/relationships/hyperlink" Id="rId2663" Target="https://www.ncbi.nlm.nih.gov/books/NBK11053/" TargetMode="External" /><Relationship Type="http://schemas.openxmlformats.org/officeDocument/2006/relationships/hyperlink" Id="rId2912" Target="https://www.ncbi.nlm.nih.gov/books/NBK11059/" TargetMode="External" /><Relationship Type="http://schemas.openxmlformats.org/officeDocument/2006/relationships/hyperlink" Id="rId2603" Target="https://www.ncbi.nlm.nih.gov/books/NBK11061/" TargetMode="External" /><Relationship Type="http://schemas.openxmlformats.org/officeDocument/2006/relationships/hyperlink" Id="rId2625" Target="https://www.ncbi.nlm.nih.gov/books/NBK11083/" TargetMode="External" /><Relationship Type="http://schemas.openxmlformats.org/officeDocument/2006/relationships/hyperlink" Id="rId2703" Target="https://www.ncbi.nlm.nih.gov/books/NBK11099/" TargetMode="External" /><Relationship Type="http://schemas.openxmlformats.org/officeDocument/2006/relationships/hyperlink" Id="rId2966" Target="https://www.ncbi.nlm.nih.gov/books/NBK11100/" TargetMode="External" /><Relationship Type="http://schemas.openxmlformats.org/officeDocument/2006/relationships/hyperlink" Id="rId2613" Target="https://www.ncbi.nlm.nih.gov/books/NBK11142/" TargetMode="External" /><Relationship Type="http://schemas.openxmlformats.org/officeDocument/2006/relationships/hyperlink" Id="rId2605" Target="https://www.ncbi.nlm.nih.gov/books/NBK11154/" TargetMode="External" /><Relationship Type="http://schemas.openxmlformats.org/officeDocument/2006/relationships/hyperlink" Id="rId4412" Target="https://www.ncbi.nlm.nih.gov/books/NBK278958/" TargetMode="External" /><Relationship Type="http://schemas.openxmlformats.org/officeDocument/2006/relationships/hyperlink" Id="rId4414" Target="https://www.ncbi.nlm.nih.gov/books/NBK279056/" TargetMode="External" /><Relationship Type="http://schemas.openxmlformats.org/officeDocument/2006/relationships/hyperlink" Id="rId4374" Target="https://www.ncbi.nlm.nih.gov/books/NBK279156/" TargetMode="External" /><Relationship Type="http://schemas.openxmlformats.org/officeDocument/2006/relationships/hyperlink" Id="rId5569" Target="https://www.nccih.nih.gov/health/ginkgo" TargetMode="External" /><Relationship Type="http://schemas.openxmlformats.org/officeDocument/2006/relationships/hyperlink" Id="rId3682" Target="https://www.nhlbi.nih.gov/health/sleep/stages-of-sleep" TargetMode="External" /><Relationship Type="http://schemas.openxmlformats.org/officeDocument/2006/relationships/hyperlink" Id="rId5532" Target="https://www.nia.nih.gov/health/memory-loss-and-forgetfulness/memory-forgetfulness-and-aging-whats-normal-and-whats-not" TargetMode="External" /><Relationship Type="http://schemas.openxmlformats.org/officeDocument/2006/relationships/hyperlink" Id="rId5314" Target="https://www.nice.org.uk/Guidance/CG159/chapter/recommendations" TargetMode="External" /><Relationship Type="http://schemas.openxmlformats.org/officeDocument/2006/relationships/hyperlink" Id="rId5312" Target="https://www.nice.org.uk/guidance/cg113/chapter/recommendations" TargetMode="External" /><Relationship Type="http://schemas.openxmlformats.org/officeDocument/2006/relationships/hyperlink" Id="rId5238" Target="https://www.nice.org.uk/guidance/cg170/chapter/recommendations" TargetMode="External" /><Relationship Type="http://schemas.openxmlformats.org/officeDocument/2006/relationships/hyperlink" Id="rId5374" Target="https://www.nice.org.uk/guidance/cg178/chapter/recommendations" TargetMode="External" /><Relationship Type="http://schemas.openxmlformats.org/officeDocument/2006/relationships/hyperlink" Id="rId5338" Target="https://www.nice.org.uk/guidance/cg31/chapter/Recommendations" TargetMode="External" /><Relationship Type="http://schemas.openxmlformats.org/officeDocument/2006/relationships/hyperlink" Id="rId5318" Target="https://www.nice.org.uk/guidance/ng116/chapter/recommendations" TargetMode="External" /><Relationship Type="http://schemas.openxmlformats.org/officeDocument/2006/relationships/hyperlink" Id="rId5631" Target="https://www.nice.org.uk/guidance/ng217/chapter/diagnosis-and-assessment-of-epilepsy" TargetMode="External" /><Relationship Type="http://schemas.openxmlformats.org/officeDocument/2006/relationships/hyperlink" Id="rId5601" Target="https://www.nice.org.uk/guidance/ng220/chapter/Recommendations" TargetMode="External" /><Relationship Type="http://schemas.openxmlformats.org/officeDocument/2006/relationships/hyperlink" Id="rId4893" Target="https://www.nice.org.uk/guidance/ng222" TargetMode="External" /><Relationship Type="http://schemas.openxmlformats.org/officeDocument/2006/relationships/hyperlink" Id="rId4316" Target="https://www.nice.org.uk/guidance/ng222/chapter/Recommendations" TargetMode="External" /><Relationship Type="http://schemas.openxmlformats.org/officeDocument/2006/relationships/hyperlink" Id="rId5310" Target="https://www.nice.org.uk/guidance/ng225/chapter/recommendations" TargetMode="External" /><Relationship Type="http://schemas.openxmlformats.org/officeDocument/2006/relationships/hyperlink" Id="rId5792" Target="https://www.nice.org.uk/guidance/ng236/chapter/Recommendations" TargetMode="External" /><Relationship Type="http://schemas.openxmlformats.org/officeDocument/2006/relationships/hyperlink" Id="rId5563" Target="https://www.nice.org.uk/guidance/ng239/chapter/recommendations" TargetMode="External" /><Relationship Type="http://schemas.openxmlformats.org/officeDocument/2006/relationships/hyperlink" Id="rId5689" Target="https://www.nice.org.uk/guidance/ng71/chapter/Recommendations" TargetMode="External" /><Relationship Type="http://schemas.openxmlformats.org/officeDocument/2006/relationships/hyperlink" Id="rId5147" Target="https://www.nice.org.uk/guidance/ng72/chapter/recommendations" TargetMode="External" /><Relationship Type="http://schemas.openxmlformats.org/officeDocument/2006/relationships/hyperlink" Id="rId5216" Target="https://www.nice.org.uk/guidance/ng87/chapter/recommendations" TargetMode="External" /><Relationship Type="http://schemas.openxmlformats.org/officeDocument/2006/relationships/hyperlink" Id="rId5117" Target="https://www.nichd.nih.gov/health/topics/ntds/conditioninfo" TargetMode="External" /><Relationship Type="http://schemas.openxmlformats.org/officeDocument/2006/relationships/hyperlink" Id="rId4370" Target="https://www.niddk.nih.gov/health-information/endocrine-diseases/adrenal-insufficiency-addisons-disease" TargetMode="External" /><Relationship Type="http://schemas.openxmlformats.org/officeDocument/2006/relationships/hyperlink" Id="rId5214" Target="https://www.nimh.nih.gov/health/publications/attention-deficit-hyperactivity-disorder-what-you-need-to-know" TargetMode="External" /><Relationship Type="http://schemas.openxmlformats.org/officeDocument/2006/relationships/hyperlink" Id="rId4314" Target="https://www.nimh.nih.gov/health/publications/depression" TargetMode="External" /><Relationship Type="http://schemas.openxmlformats.org/officeDocument/2006/relationships/hyperlink" Id="rId5330" Target="https://www.nimh.nih.gov/health/publications/obsessive-compulsive-disorder-when-unwanted-thoughts-or-repetitive-behaviors-take-over" TargetMode="External" /><Relationship Type="http://schemas.openxmlformats.org/officeDocument/2006/relationships/hyperlink" Id="rId5368" Target="https://www.nimh.nih.gov/health/publications/understanding-psychosis" TargetMode="External" /><Relationship Type="http://schemas.openxmlformats.org/officeDocument/2006/relationships/hyperlink" Id="rId5264" Target="https://www.nimh.nih.gov/research/research-funded-by-nimh/rdoc/about-rdoc" TargetMode="External" /><Relationship Type="http://schemas.openxmlformats.org/officeDocument/2006/relationships/hyperlink" Id="rId5518" Target="https://www.ninds.nih.gov/health-information/disorders/narcolepsy" TargetMode="External" /><Relationship Type="http://schemas.openxmlformats.org/officeDocument/2006/relationships/hyperlink" Id="rId4109" Target="https://www.psychologytoday.com/us/blog/i-got-mind-tell-you/201508/the-amygdala-is-not-the-brains-fear-center" TargetMode="External" /><Relationship Type="http://schemas.openxmlformats.org/officeDocument/2006/relationships/hyperlink" Id="rId4032" Target="https://www.psychologytoday.com/us/blog/your-neurochemical-self/201107/nature-gave-us-four-kinds-happiness" TargetMode="External" /><Relationship Type="http://schemas.openxmlformats.org/officeDocument/2006/relationships/hyperlink" Id="rId5358" Target="https://www.ptsd.va.gov/professional/treat/txessentials/clinician_guide_meds.asp" TargetMode="External" /><Relationship Type="http://schemas.openxmlformats.org/officeDocument/2006/relationships/hyperlink" Id="rId4877" Target="https://www.smithsonianmag.com/smart-news/the-worlds-happiest-man-is-a-tibetan-monk-105980614/" TargetMode="External" /><Relationship Type="http://schemas.openxmlformats.org/officeDocument/2006/relationships/hyperlink" Id="rId5898" Target="https://www.unesco.org/en/articles/ethics-neurotechnology-unesco-adopts-first-global-standard-cutting-edge-technology" TargetMode="External" /><Relationship Type="http://schemas.openxmlformats.org/officeDocument/2006/relationships/hyperlink" Id="rId5896" Target="https://www.unesco.org/en/node/86248" TargetMode="External" /><Relationship Type="http://schemas.openxmlformats.org/officeDocument/2006/relationships/hyperlink" Id="rId5119" Target="https://www.uspreventiveservicestaskforce.org/uspstf/recommendation/folic-acid-for-the-prevention-of-neural-tube-defects-preventive-medication" TargetMode="External" /><Relationship Type="http://schemas.openxmlformats.org/officeDocument/2006/relationships/hyperlink" Id="rId5252" Target="https://www.who.int/classifications/international-classification-of-functioning-disability-and-health" TargetMode="External" /><Relationship Type="http://schemas.openxmlformats.org/officeDocument/2006/relationships/hyperlink" Id="rId5236" Target="https://www.who.int/news-room/questions-and-answers/item/autism-spectrum-disorders-(asd)" TargetMode="External" /><Relationship Type="http://schemas.openxmlformats.org/officeDocument/2006/relationships/hyperlink" Id="rId5234" Target="https://www.who.int/news/item/11-12-2025-statement-gacvs-vaccines-autism" TargetMode="External" /><Relationship Type="http://schemas.openxmlformats.org/officeDocument/2006/relationships/hyperlink" Id="rId5125" Target="https://www.who.int/publications/i/item/9789240058262/" TargetMode="External" /><Relationship Type="http://schemas.openxmlformats.org/officeDocument/2006/relationships/hyperlink" Id="rId5348" Target="https://www.who.int/publications/i/item/97892400772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脑科学原理、证据与常见误解</dc:title>
  <dc:subject>脑科学原理、研究方法、常见误解、脑区与递质、发育与临床、正念冥想</dc:subject>
  <dc:creator/>
  <dc:language>zh-CN</dc:language>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