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360"/>
      </w:pPr>
      <w:r>
        <w:rPr>
          <w:rFonts w:ascii="Calibri" w:cs="Calibri" w:eastAsia="Microsoft YaHei" w:hAnsi="Calibri"/>
          <w:b/>
          <w:bCs/>
          <w:color w:val="2E75B6"/>
          <w:spacing w:val="30"/>
          <w:sz w:val="20"/>
          <w:szCs w:val="20"/>
        </w:rPr>
        <w:t xml:space="preserve">宏观研究｜第2版（终版）</w:t>
      </w:r>
    </w:p>
    <w:p>
      <w:pPr>
        <w:spacing w:after="240" w:before="120" w:line="480" w:lineRule="atLeast"/>
      </w:pPr>
      <w:r>
        <w:rPr>
          <w:rFonts w:ascii="Calibri" w:cs="Calibri" w:eastAsia="Microsoft YaHei" w:hAnsi="Calibri"/>
          <w:b/>
          <w:bCs/>
          <w:color w:val="1F3A5F"/>
          <w:sz w:val="56"/>
          <w:szCs w:val="56"/>
        </w:rPr>
        <w:t xml:space="preserve">中国经济周期定位</w:t>
      </w:r>
    </w:p>
    <w:p>
      <w:pPr>
        <w:pBdr>
          <w:bottom w:val="single" w:color="2E75B6" w:sz="12" w:space="14"/>
        </w:pBdr>
        <w:spacing w:after="360"/>
      </w:pPr>
      <w:r>
        <w:rPr>
          <w:rFonts w:ascii="Calibri" w:cs="Calibri" w:eastAsia="Microsoft YaHei" w:hAnsi="Calibri"/>
          <w:b w:val="false"/>
          <w:bCs w:val="false"/>
          <w:color w:val="4B5563"/>
          <w:sz w:val="26"/>
          <w:szCs w:val="26"/>
        </w:rPr>
        <w:t xml:space="preserve">截至2026年10月9日｜以达利欧与马克斯的周期框架为参照</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1F3A5F" w:sz="24"/>
              <w:bottom w:val="none" w:color="FFFFFF" w:sz="0"/>
              <w:right w:val="none" w:color="FFFFFF" w:sz="0"/>
            </w:tcBorders>
            <w:shd w:fill="EEF4FA" w:color="auto" w:val="clear"/>
            <w:tcMar>
              <w:top w:type="dxa" w:w="150"/>
              <w:left w:type="dxa" w:w="240"/>
              <w:bottom w:type="dxa" w:w="150"/>
              <w:right w:type="dxa" w:w="240"/>
            </w:tcMar>
          </w:tcPr>
          <w:p>
            <w:pPr>
              <w:spacing w:after="80"/>
            </w:pPr>
            <w:r>
              <w:rPr>
                <w:rFonts w:ascii="Calibri" w:cs="Calibri" w:eastAsia="Microsoft YaHei" w:hAnsi="Calibri"/>
                <w:b/>
                <w:bCs/>
                <w:color w:val="1F3A5F"/>
                <w:sz w:val="22"/>
                <w:szCs w:val="22"/>
              </w:rPr>
              <w:t xml:space="preserve">核心结论</w:t>
            </w:r>
          </w:p>
          <w:p>
            <w:pPr>
              <w:spacing w:after="90" w:line="330"/>
              <w:jc w:val="both"/>
            </w:pPr>
            <w:r>
              <w:rPr>
                <w:rFonts w:ascii="Calibri" w:cs="Calibri" w:eastAsia="DengXian" w:hAnsi="Calibri"/>
                <w:b w:val="false"/>
                <w:bCs w:val="false"/>
                <w:color w:val="1F2328"/>
                <w:sz w:val="21"/>
                <w:szCs w:val="21"/>
              </w:rPr>
              <w:t xml:space="preserve">中国经济仍处在楼市泡沫破裂后的长期调整中。住户在减少负债，地方政府的卖地收入大幅萎缩，中央政府和国有金融体系承担了更多稳定经济的责任。</w:t>
            </w:r>
            <w:r>
              <w:rPr>
                <w:rFonts w:ascii="Calibri" w:cs="Calibri" w:eastAsia="DengXian" w:hAnsi="Calibri"/>
                <w:b/>
                <w:bCs/>
                <w:color w:val="1E6B34"/>
                <w:sz w:val="18"/>
                <w:szCs w:val="18"/>
                <w:shd w:fill="E2F1E5" w:color="auto" w:val="clear"/>
              </w:rPr>
              <w:t xml:space="preserve"> 置信度 高 </w:t>
            </w:r>
          </w:p>
          <w:p>
            <w:pPr>
              <w:spacing w:after="90" w:line="330"/>
              <w:jc w:val="both"/>
            </w:pPr>
            <w:r>
              <w:rPr>
                <w:rFonts w:ascii="Calibri" w:cs="Calibri" w:eastAsia="DengXian" w:hAnsi="Calibri"/>
                <w:b w:val="false"/>
                <w:bCs w:val="false"/>
                <w:color w:val="1F2328"/>
                <w:sz w:val="21"/>
                <w:szCs w:val="21"/>
              </w:rPr>
              <w:t xml:space="preserve">2026年物价和名义增长的改善，主要来自供给侧和外部因素：芯片等出口产品涨价、反内卷限产、上年低基数，以及能源和有色金属涨价。国内居民需求没有明显回暖。</w:t>
            </w:r>
            <w:r>
              <w:rPr>
                <w:rFonts w:ascii="Calibri" w:cs="Calibri" w:eastAsia="DengXian" w:hAnsi="Calibri"/>
                <w:b/>
                <w:bCs/>
                <w:color w:val="1E6B34"/>
                <w:sz w:val="18"/>
                <w:szCs w:val="18"/>
                <w:shd w:fill="E2F1E5" w:color="auto" w:val="clear"/>
              </w:rPr>
              <w:t xml:space="preserve"> 置信度 高 </w:t>
            </w:r>
          </w:p>
          <w:p>
            <w:pPr>
              <w:spacing w:after="90" w:line="330"/>
              <w:jc w:val="both"/>
            </w:pPr>
            <w:r>
              <w:rPr>
                <w:rFonts w:ascii="Calibri" w:cs="Calibri" w:eastAsia="DengXian" w:hAnsi="Calibri"/>
                <w:b w:val="false"/>
                <w:bCs w:val="false"/>
                <w:color w:val="1F2328"/>
                <w:sz w:val="21"/>
                <w:szCs w:val="21"/>
              </w:rPr>
              <w:t xml:space="preserve">最可能的前景是几年的低增长、低利率和房价缓慢下跌。发生系统性金融危机的概率很低，快速、全面的复苏也缺少证据。</w:t>
            </w:r>
            <w:r>
              <w:rPr>
                <w:rFonts w:ascii="Calibri" w:cs="Calibri" w:eastAsia="DengXian" w:hAnsi="Calibri"/>
                <w:b/>
                <w:bCs/>
                <w:color w:val="0E6655"/>
                <w:sz w:val="18"/>
                <w:szCs w:val="18"/>
                <w:shd w:fill="DCF0EB" w:color="auto" w:val="clear"/>
              </w:rPr>
              <w:t xml:space="preserve"> 置信度 中高 </w:t>
            </w:r>
          </w:p>
          <w:p>
            <w:pPr>
              <w:spacing w:after="0" w:line="330"/>
              <w:jc w:val="both"/>
            </w:pPr>
            <w:r>
              <w:rPr>
                <w:rFonts w:ascii="Calibri" w:cs="Calibri" w:eastAsia="DengXian" w:hAnsi="Calibri"/>
                <w:b w:val="false"/>
                <w:bCs w:val="false"/>
                <w:color w:val="1F2328"/>
                <w:sz w:val="21"/>
                <w:szCs w:val="21"/>
              </w:rPr>
              <w:t xml:space="preserve">2027年上半年是关键检验期。今年价格上涨形成的高基数会让名义增长回落，届时国内需求能否接上，决定这轮调整还要持续多久。</w:t>
            </w:r>
            <w:r>
              <w:rPr>
                <w:rFonts w:ascii="Calibri" w:cs="Calibri" w:eastAsia="DengXian" w:hAnsi="Calibri"/>
                <w:b/>
                <w:bCs/>
                <w:color w:val="8A5A00"/>
                <w:sz w:val="18"/>
                <w:szCs w:val="18"/>
                <w:shd w:fill="FFF0C7" w:color="auto" w:val="clear"/>
              </w:rPr>
              <w:t xml:space="preserve"> 置信度 中 </w:t>
            </w:r>
          </w:p>
        </w:tc>
      </w:tr>
    </w:tbl>
    <w:p>
      <w:pPr>
        <w:spacing w:after="140"/>
      </w:pPr>
    </w:p>
    <w:p>
      <w:pPr>
        <w:spacing w:after="60" w:line="300"/>
      </w:pPr>
      <w:r>
        <w:rPr>
          <w:rFonts w:ascii="Calibri" w:cs="Calibri" w:eastAsia="DengXian" w:hAnsi="Calibri"/>
          <w:b w:val="false"/>
          <w:bCs w:val="false"/>
          <w:color w:val="6B7280"/>
          <w:sz w:val="18"/>
          <w:szCs w:val="18"/>
        </w:rPr>
        <w:t xml:space="preserve">数据截至：2026年10月9日。官方月度数据截至8月，另有9月PMI和9月百城房价。</w:t>
      </w:r>
    </w:p>
    <w:p>
      <w:pPr>
        <w:spacing w:after="60" w:line="300"/>
      </w:pPr>
      <w:r>
        <w:rPr>
          <w:rFonts w:ascii="Calibri" w:cs="Calibri" w:eastAsia="DengXian" w:hAnsi="Calibri"/>
          <w:b w:val="false"/>
          <w:bCs w:val="false"/>
          <w:color w:val="6B7280"/>
          <w:sz w:val="18"/>
          <w:szCs w:val="18"/>
        </w:rPr>
        <w:t xml:space="preserve">版本：第2版（终版）。相对第1版的全部修订，见第3节。</w:t>
      </w:r>
    </w:p>
    <w:p>
      <w:pPr>
        <w:spacing w:after="60" w:line="300"/>
      </w:pPr>
      <w:r>
        <w:rPr>
          <w:rFonts w:ascii="Calibri" w:cs="Calibri" w:eastAsia="DengXian" w:hAnsi="Calibri"/>
          <w:b w:val="false"/>
          <w:bCs w:val="false"/>
          <w:color w:val="6B7280"/>
          <w:sz w:val="18"/>
          <w:szCs w:val="18"/>
        </w:rPr>
        <w:t xml:space="preserve">声明：本报告不构成个人投资建议。阶段定位是作者对达利欧和马克斯框架的应用，两人本人没有对2026年的中国作过阶段判断。</w:t>
      </w:r>
    </w:p>
    <w:p>
      <w:pPr>
        <w:pageBreakBefore/>
        <w:pBdr>
          <w:bottom w:val="single" w:color="2E75B6" w:sz="8" w:space="6"/>
        </w:pBdr>
        <w:spacing w:after="300"/>
      </w:pPr>
      <w:r>
        <w:rPr>
          <w:rFonts w:ascii="Calibri" w:cs="Calibri" w:eastAsia="Microsoft YaHei" w:hAnsi="Calibri"/>
          <w:b/>
          <w:bCs/>
          <w:color w:val="1F3A5F"/>
          <w:sz w:val="32"/>
          <w:szCs w:val="32"/>
        </w:rPr>
        <w:t xml:space="preserve">目录</w:t>
      </w:r>
    </w:p>
    <w:p>
      <w:pPr>
        <w:spacing w:after="110" w:line="300"/>
        <w:ind w:left="0"/>
      </w:pPr>
      <w:r>
        <w:rPr>
          <w:rFonts w:ascii="Calibri" w:cs="Calibri" w:eastAsia="Microsoft YaHei" w:hAnsi="Calibri"/>
          <w:b/>
          <w:bCs/>
          <w:color w:val="2E75B6"/>
          <w:sz w:val="22"/>
          <w:szCs w:val="22"/>
        </w:rPr>
        <w:t xml:space="preserve">1</w:t>
      </w:r>
      <w:r>
        <w:rPr>
          <w:rFonts w:ascii="Calibri" w:cs="Calibri" w:eastAsia="Microsoft YaHei" w:hAnsi="Calibri"/>
          <w:color w:val="1F2328"/>
          <w:sz w:val="22"/>
          <w:szCs w:val="22"/>
        </w:rPr>
        <w:t xml:space="preserve">　阅读说明</w:t>
      </w:r>
    </w:p>
    <w:p>
      <w:pPr>
        <w:spacing w:after="110" w:line="300"/>
        <w:ind w:left="0"/>
      </w:pPr>
      <w:r>
        <w:rPr>
          <w:rFonts w:ascii="Calibri" w:cs="Calibri" w:eastAsia="Microsoft YaHei" w:hAnsi="Calibri"/>
          <w:b/>
          <w:bCs/>
          <w:color w:val="2E75B6"/>
          <w:sz w:val="22"/>
          <w:szCs w:val="22"/>
        </w:rPr>
        <w:t xml:space="preserve">2</w:t>
      </w:r>
      <w:r>
        <w:rPr>
          <w:rFonts w:ascii="Calibri" w:cs="Calibri" w:eastAsia="Microsoft YaHei" w:hAnsi="Calibri"/>
          <w:color w:val="1F2328"/>
          <w:sz w:val="22"/>
          <w:szCs w:val="22"/>
        </w:rPr>
        <w:t xml:space="preserve">　核心结论</w:t>
      </w:r>
    </w:p>
    <w:p>
      <w:pPr>
        <w:spacing w:after="110" w:line="300"/>
        <w:ind w:left="0"/>
      </w:pPr>
      <w:r>
        <w:rPr>
          <w:rFonts w:ascii="Calibri" w:cs="Calibri" w:eastAsia="Microsoft YaHei" w:hAnsi="Calibri"/>
          <w:b/>
          <w:bCs/>
          <w:color w:val="2E75B6"/>
          <w:sz w:val="22"/>
          <w:szCs w:val="22"/>
        </w:rPr>
        <w:t xml:space="preserve">3</w:t>
      </w:r>
      <w:r>
        <w:rPr>
          <w:rFonts w:ascii="Calibri" w:cs="Calibri" w:eastAsia="Microsoft YaHei" w:hAnsi="Calibri"/>
          <w:color w:val="1F2328"/>
          <w:sz w:val="22"/>
          <w:szCs w:val="22"/>
        </w:rPr>
        <w:t xml:space="preserve">　本版修订说明</w:t>
      </w:r>
    </w:p>
    <w:p>
      <w:pPr>
        <w:spacing w:after="110" w:line="300"/>
        <w:ind w:left="0"/>
      </w:pPr>
      <w:r>
        <w:rPr>
          <w:rFonts w:ascii="Calibri" w:cs="Calibri" w:eastAsia="Microsoft YaHei" w:hAnsi="Calibri"/>
          <w:b/>
          <w:bCs/>
          <w:color w:val="2E75B6"/>
          <w:sz w:val="22"/>
          <w:szCs w:val="22"/>
        </w:rPr>
        <w:t xml:space="preserve">4</w:t>
      </w:r>
      <w:r>
        <w:rPr>
          <w:rFonts w:ascii="Calibri" w:cs="Calibri" w:eastAsia="Microsoft YaHei" w:hAnsi="Calibri"/>
          <w:color w:val="1F2328"/>
          <w:sz w:val="22"/>
          <w:szCs w:val="22"/>
        </w:rPr>
        <w:t xml:space="preserve">　先修正问题的前提：中国同时处在多条周期里</w:t>
      </w:r>
    </w:p>
    <w:p>
      <w:pPr>
        <w:spacing w:after="110" w:line="300"/>
        <w:ind w:left="0"/>
      </w:pPr>
      <w:r>
        <w:rPr>
          <w:rFonts w:ascii="Calibri" w:cs="Calibri" w:eastAsia="Microsoft YaHei" w:hAnsi="Calibri"/>
          <w:b/>
          <w:bCs/>
          <w:color w:val="2E75B6"/>
          <w:sz w:val="22"/>
          <w:szCs w:val="22"/>
        </w:rPr>
        <w:t xml:space="preserve">5</w:t>
      </w:r>
      <w:r>
        <w:rPr>
          <w:rFonts w:ascii="Calibri" w:cs="Calibri" w:eastAsia="Microsoft YaHei" w:hAnsi="Calibri"/>
          <w:color w:val="1F2328"/>
          <w:sz w:val="22"/>
          <w:szCs w:val="22"/>
        </w:rPr>
        <w:t xml:space="preserve">　债务周期：调整仍在继续，"漂亮的去杠杆"没有形成</w:t>
      </w:r>
    </w:p>
    <w:p>
      <w:pPr>
        <w:spacing w:after="110" w:line="300"/>
        <w:ind w:left="0"/>
      </w:pPr>
      <w:r>
        <w:rPr>
          <w:rFonts w:ascii="Calibri" w:cs="Calibri" w:eastAsia="Microsoft YaHei" w:hAnsi="Calibri"/>
          <w:b/>
          <w:bCs/>
          <w:color w:val="2E75B6"/>
          <w:sz w:val="22"/>
          <w:szCs w:val="22"/>
        </w:rPr>
        <w:t xml:space="preserve">6</w:t>
      </w:r>
      <w:r>
        <w:rPr>
          <w:rFonts w:ascii="Calibri" w:cs="Calibri" w:eastAsia="Microsoft YaHei" w:hAnsi="Calibri"/>
          <w:color w:val="1F2328"/>
          <w:sz w:val="22"/>
          <w:szCs w:val="22"/>
        </w:rPr>
        <w:t xml:space="preserve">　实体经济：生产强，需求弱</w:t>
      </w:r>
    </w:p>
    <w:p>
      <w:pPr>
        <w:spacing w:after="110" w:line="300"/>
        <w:ind w:left="0"/>
      </w:pPr>
      <w:r>
        <w:rPr>
          <w:rFonts w:ascii="Calibri" w:cs="Calibri" w:eastAsia="Microsoft YaHei" w:hAnsi="Calibri"/>
          <w:b/>
          <w:bCs/>
          <w:color w:val="2E75B6"/>
          <w:sz w:val="22"/>
          <w:szCs w:val="22"/>
        </w:rPr>
        <w:t xml:space="preserve">7</w:t>
      </w:r>
      <w:r>
        <w:rPr>
          <w:rFonts w:ascii="Calibri" w:cs="Calibri" w:eastAsia="Microsoft YaHei" w:hAnsi="Calibri"/>
          <w:color w:val="1F2328"/>
          <w:sz w:val="22"/>
          <w:szCs w:val="22"/>
        </w:rPr>
        <w:t xml:space="preserve">　信用与不良债务：窗口对国家敞开，对住户和民营地产关闭</w:t>
      </w:r>
    </w:p>
    <w:p>
      <w:pPr>
        <w:spacing w:after="110" w:line="300"/>
        <w:ind w:left="0"/>
      </w:pPr>
      <w:r>
        <w:rPr>
          <w:rFonts w:ascii="Calibri" w:cs="Calibri" w:eastAsia="Microsoft YaHei" w:hAnsi="Calibri"/>
          <w:b/>
          <w:bCs/>
          <w:color w:val="2E75B6"/>
          <w:sz w:val="22"/>
          <w:szCs w:val="22"/>
        </w:rPr>
        <w:t xml:space="preserve">8</w:t>
      </w:r>
      <w:r>
        <w:rPr>
          <w:rFonts w:ascii="Calibri" w:cs="Calibri" w:eastAsia="Microsoft YaHei" w:hAnsi="Calibri"/>
          <w:color w:val="1F2328"/>
          <w:sz w:val="22"/>
          <w:szCs w:val="22"/>
        </w:rPr>
        <w:t xml:space="preserve">　房地产：建设周期在后段，价格底部无法识别，上海是局部见底的候选</w:t>
      </w:r>
    </w:p>
    <w:p>
      <w:pPr>
        <w:spacing w:after="110" w:line="300"/>
        <w:ind w:left="0"/>
      </w:pPr>
      <w:r>
        <w:rPr>
          <w:rFonts w:ascii="Calibri" w:cs="Calibri" w:eastAsia="Microsoft YaHei" w:hAnsi="Calibri"/>
          <w:b/>
          <w:bCs/>
          <w:color w:val="2E75B6"/>
          <w:sz w:val="22"/>
          <w:szCs w:val="22"/>
        </w:rPr>
        <w:t xml:space="preserve">9</w:t>
      </w:r>
      <w:r>
        <w:rPr>
          <w:rFonts w:ascii="Calibri" w:cs="Calibri" w:eastAsia="Microsoft YaHei" w:hAnsi="Calibri"/>
          <w:color w:val="1F2328"/>
          <w:sz w:val="22"/>
          <w:szCs w:val="22"/>
        </w:rPr>
        <w:t xml:space="preserve">　市场与投资者心理：用马克斯的方法看</w:t>
      </w:r>
    </w:p>
    <w:p>
      <w:pPr>
        <w:spacing w:after="110" w:line="300"/>
        <w:ind w:left="0"/>
      </w:pPr>
      <w:r>
        <w:rPr>
          <w:rFonts w:ascii="Calibri" w:cs="Calibri" w:eastAsia="Microsoft YaHei" w:hAnsi="Calibri"/>
          <w:b/>
          <w:bCs/>
          <w:color w:val="2E75B6"/>
          <w:sz w:val="22"/>
          <w:szCs w:val="22"/>
        </w:rPr>
        <w:t xml:space="preserve">10</w:t>
      </w:r>
      <w:r>
        <w:rPr>
          <w:rFonts w:ascii="Calibri" w:cs="Calibri" w:eastAsia="Microsoft YaHei" w:hAnsi="Calibri"/>
          <w:color w:val="1F2328"/>
          <w:sz w:val="22"/>
          <w:szCs w:val="22"/>
        </w:rPr>
        <w:t xml:space="preserve">　外部环境与世界秩序：外强内弱，离国家债务危机很远</w:t>
      </w:r>
    </w:p>
    <w:p>
      <w:pPr>
        <w:spacing w:after="110" w:line="300"/>
        <w:ind w:left="0"/>
      </w:pPr>
      <w:r>
        <w:rPr>
          <w:rFonts w:ascii="Calibri" w:cs="Calibri" w:eastAsia="Microsoft YaHei" w:hAnsi="Calibri"/>
          <w:b/>
          <w:bCs/>
          <w:color w:val="2E75B6"/>
          <w:sz w:val="22"/>
          <w:szCs w:val="22"/>
        </w:rPr>
        <w:t xml:space="preserve">11</w:t>
      </w:r>
      <w:r>
        <w:rPr>
          <w:rFonts w:ascii="Calibri" w:cs="Calibri" w:eastAsia="Microsoft YaHei" w:hAnsi="Calibri"/>
          <w:color w:val="1F2328"/>
          <w:sz w:val="22"/>
          <w:szCs w:val="22"/>
        </w:rPr>
        <w:t xml:space="preserve">　日本类比：只保留一个可检验的机制</w:t>
      </w:r>
    </w:p>
    <w:p>
      <w:pPr>
        <w:spacing w:after="110" w:line="300"/>
        <w:ind w:left="0"/>
      </w:pPr>
      <w:r>
        <w:rPr>
          <w:rFonts w:ascii="Calibri" w:cs="Calibri" w:eastAsia="Microsoft YaHei" w:hAnsi="Calibri"/>
          <w:b/>
          <w:bCs/>
          <w:color w:val="2E75B6"/>
          <w:sz w:val="22"/>
          <w:szCs w:val="22"/>
        </w:rPr>
        <w:t xml:space="preserve">12</w:t>
      </w:r>
      <w:r>
        <w:rPr>
          <w:rFonts w:ascii="Calibri" w:cs="Calibri" w:eastAsia="Microsoft YaHei" w:hAnsi="Calibri"/>
          <w:color w:val="1F2328"/>
          <w:sz w:val="22"/>
          <w:szCs w:val="22"/>
        </w:rPr>
        <w:t xml:space="preserve">　真正该跟踪的问题：阻碍私人需求恢复的六个机制</w:t>
      </w:r>
    </w:p>
    <w:p>
      <w:pPr>
        <w:spacing w:after="110" w:line="300"/>
        <w:ind w:left="0"/>
      </w:pPr>
      <w:r>
        <w:rPr>
          <w:rFonts w:ascii="Calibri" w:cs="Calibri" w:eastAsia="Microsoft YaHei" w:hAnsi="Calibri"/>
          <w:b/>
          <w:bCs/>
          <w:color w:val="2E75B6"/>
          <w:sz w:val="22"/>
          <w:szCs w:val="22"/>
        </w:rPr>
        <w:t xml:space="preserve">13</w:t>
      </w:r>
      <w:r>
        <w:rPr>
          <w:rFonts w:ascii="Calibri" w:cs="Calibri" w:eastAsia="Microsoft YaHei" w:hAnsi="Calibri"/>
          <w:color w:val="1F2328"/>
          <w:sz w:val="22"/>
          <w:szCs w:val="22"/>
        </w:rPr>
        <w:t xml:space="preserve">　预测汇总（截至2026年10月9日）</w:t>
      </w:r>
    </w:p>
    <w:p>
      <w:pPr>
        <w:spacing w:after="110" w:line="300"/>
        <w:ind w:left="0"/>
      </w:pPr>
      <w:r>
        <w:rPr>
          <w:rFonts w:ascii="Calibri" w:cs="Calibri" w:eastAsia="Microsoft YaHei" w:hAnsi="Calibri"/>
          <w:b/>
          <w:bCs/>
          <w:color w:val="2E75B6"/>
          <w:sz w:val="22"/>
          <w:szCs w:val="22"/>
        </w:rPr>
        <w:t xml:space="preserve">14</w:t>
      </w:r>
      <w:r>
        <w:rPr>
          <w:rFonts w:ascii="Calibri" w:cs="Calibri" w:eastAsia="Microsoft YaHei" w:hAnsi="Calibri"/>
          <w:color w:val="1F2328"/>
          <w:sz w:val="22"/>
          <w:szCs w:val="22"/>
        </w:rPr>
        <w:t xml:space="preserve">　对普通家庭的含义（参考，不构成个人投资建议）</w:t>
      </w:r>
    </w:p>
    <w:p>
      <w:pPr>
        <w:spacing w:after="110" w:line="300"/>
        <w:ind w:left="0"/>
      </w:pPr>
      <w:r>
        <w:rPr>
          <w:rFonts w:ascii="Calibri" w:cs="Calibri" w:eastAsia="Microsoft YaHei" w:hAnsi="Calibri"/>
          <w:b/>
          <w:bCs/>
          <w:color w:val="2E75B6"/>
          <w:sz w:val="22"/>
          <w:szCs w:val="22"/>
        </w:rPr>
        <w:t xml:space="preserve">15</w:t>
      </w:r>
      <w:r>
        <w:rPr>
          <w:rFonts w:ascii="Calibri" w:cs="Calibri" w:eastAsia="Microsoft YaHei" w:hAnsi="Calibri"/>
          <w:color w:val="1F2328"/>
          <w:sz w:val="22"/>
          <w:szCs w:val="22"/>
        </w:rPr>
        <w:t xml:space="preserve">　反方论据：为什么有人认为2026年就是拐点</w:t>
      </w:r>
    </w:p>
    <w:p>
      <w:pPr>
        <w:spacing w:after="110" w:line="300"/>
        <w:ind w:left="0"/>
      </w:pPr>
      <w:r>
        <w:rPr>
          <w:rFonts w:ascii="Calibri" w:cs="Calibri" w:eastAsia="Microsoft YaHei" w:hAnsi="Calibri"/>
          <w:b/>
          <w:bCs/>
          <w:color w:val="2E75B6"/>
          <w:sz w:val="22"/>
          <w:szCs w:val="22"/>
        </w:rPr>
        <w:t xml:space="preserve">16</w:t>
      </w:r>
      <w:r>
        <w:rPr>
          <w:rFonts w:ascii="Calibri" w:cs="Calibri" w:eastAsia="Microsoft YaHei" w:hAnsi="Calibri"/>
          <w:color w:val="1F2328"/>
          <w:sz w:val="22"/>
          <w:szCs w:val="22"/>
        </w:rPr>
        <w:t xml:space="preserve">　未来6个月的观察日程</w:t>
      </w:r>
    </w:p>
    <w:p>
      <w:pPr>
        <w:spacing w:after="110" w:line="300"/>
        <w:ind w:left="0"/>
      </w:pPr>
      <w:r>
        <w:rPr>
          <w:rFonts w:ascii="Calibri" w:cs="Calibri" w:eastAsia="Microsoft YaHei" w:hAnsi="Calibri"/>
          <w:b/>
          <w:bCs/>
          <w:color w:val="2E75B6"/>
          <w:sz w:val="22"/>
          <w:szCs w:val="22"/>
        </w:rPr>
        <w:t xml:space="preserve">附录A</w:t>
      </w:r>
      <w:r>
        <w:rPr>
          <w:rFonts w:ascii="Calibri" w:cs="Calibri" w:eastAsia="Microsoft YaHei" w:hAnsi="Calibri"/>
          <w:color w:val="1F2328"/>
          <w:sz w:val="22"/>
          <w:szCs w:val="22"/>
        </w:rPr>
        <w:t xml:space="preserve">　数据口径与仍存的出入</w:t>
      </w:r>
    </w:p>
    <w:p>
      <w:pPr>
        <w:spacing w:after="110" w:line="300"/>
        <w:ind w:left="0"/>
      </w:pPr>
      <w:r>
        <w:rPr>
          <w:rFonts w:ascii="Calibri" w:cs="Calibri" w:eastAsia="Microsoft YaHei" w:hAnsi="Calibri"/>
          <w:b/>
          <w:bCs/>
          <w:color w:val="2E75B6"/>
          <w:sz w:val="22"/>
          <w:szCs w:val="22"/>
        </w:rPr>
        <w:t xml:space="preserve">附录B</w:t>
      </w:r>
      <w:r>
        <w:rPr>
          <w:rFonts w:ascii="Calibri" w:cs="Calibri" w:eastAsia="Microsoft YaHei" w:hAnsi="Calibri"/>
          <w:color w:val="1F2328"/>
          <w:sz w:val="22"/>
          <w:szCs w:val="22"/>
        </w:rPr>
        <w:t xml:space="preserve">　专家观点与来源利益</w:t>
      </w:r>
    </w:p>
    <w:p>
      <w:pPr>
        <w:spacing w:after="110" w:line="300"/>
        <w:ind w:left="0"/>
      </w:pPr>
      <w:r>
        <w:rPr>
          <w:rFonts w:ascii="Calibri" w:cs="Calibri" w:eastAsia="Microsoft YaHei" w:hAnsi="Calibri"/>
          <w:b/>
          <w:bCs/>
          <w:color w:val="2E75B6"/>
          <w:sz w:val="22"/>
          <w:szCs w:val="22"/>
        </w:rPr>
        <w:t xml:space="preserve">附录C</w:t>
      </w:r>
      <w:r>
        <w:rPr>
          <w:rFonts w:ascii="Calibri" w:cs="Calibri" w:eastAsia="Microsoft YaHei" w:hAnsi="Calibri"/>
          <w:color w:val="1F2328"/>
          <w:sz w:val="22"/>
          <w:szCs w:val="22"/>
        </w:rPr>
        <w:t xml:space="preserve">　术语说明</w:t>
      </w:r>
    </w:p>
    <w:p>
      <w:r>
        <w:br w:type="page"/>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 阅读说明</w:t>
      </w:r>
    </w:p>
    <w:p>
      <w:pPr>
        <w:spacing w:after="140" w:line="340"/>
        <w:jc w:val="both"/>
      </w:pPr>
      <w:r>
        <w:rPr>
          <w:rFonts w:ascii="Calibri" w:cs="Calibri" w:eastAsia="DengXian" w:hAnsi="Calibri"/>
          <w:b w:val="false"/>
          <w:bCs w:val="false"/>
          <w:color w:val="1F2328"/>
          <w:sz w:val="21"/>
          <w:szCs w:val="21"/>
        </w:rPr>
        <w:t xml:space="preserve">本报告回答一个问题：截至2026年10月9日，中国经济处在什么周期、什么阶段。参照的框架有两套。一套是瑞·达利欧的债务周期与大周期理论，见《债务危机》《原则：应对变化中的世界秩序》《国家为什么会破产》。另一套是霍华德·马克斯的《周期》。两人本人都没有对2026年的中国作过阶段判断，报告中的阶段定位都是作者应用他们的框架得出的推论。</w:t>
      </w:r>
    </w:p>
    <w:p>
      <w:pPr>
        <w:spacing w:after="140" w:line="340"/>
        <w:jc w:val="both"/>
      </w:pPr>
      <w:r>
        <w:rPr>
          <w:rFonts w:ascii="Calibri" w:cs="Calibri" w:eastAsia="DengXian" w:hAnsi="Calibri"/>
          <w:b w:val="false"/>
          <w:bCs w:val="false"/>
          <w:color w:val="1F2328"/>
          <w:sz w:val="21"/>
          <w:szCs w:val="21"/>
        </w:rPr>
        <w:t xml:space="preserve">报告用以下标签区分内容的性质：</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819"/>
        <w:gridCol w:w="6593"/>
      </w:tblGrid>
      <w:tr>
        <w:trPr>
          <w:cantSplit/>
          <w:tblHeader/>
        </w:trPr>
        <w:tc>
          <w:tcPr>
            <w:tcW w:type="dxa" w:w="281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标签</w:t>
            </w:r>
          </w:p>
        </w:tc>
        <w:tc>
          <w:tcPr>
            <w:tcW w:type="dxa" w:w="659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含义</w:t>
            </w:r>
          </w:p>
        </w:tc>
      </w:tr>
      <w:tr>
        <w:trPr>
          <w:cantSplit/>
        </w:trPr>
        <w:tc>
          <w:tcPr>
            <w:tcW w:type="dxa" w:w="281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F3A5F"/>
                <w:sz w:val="15"/>
                <w:szCs w:val="15"/>
                <w:shd w:fill="E2EAF4" w:color="auto" w:val="clear"/>
              </w:rPr>
              <w:t xml:space="preserve"> 事实 </w:t>
            </w:r>
          </w:p>
        </w:tc>
        <w:tc>
          <w:tcPr>
            <w:tcW w:type="dxa" w:w="65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有期间、数值和来源的数据或事件</w:t>
            </w:r>
          </w:p>
        </w:tc>
      </w:tr>
      <w:tr>
        <w:trPr>
          <w:cantSplit/>
        </w:trPr>
        <w:tc>
          <w:tcPr>
            <w:tcW w:type="dxa" w:w="281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5B3E96"/>
                <w:sz w:val="15"/>
                <w:szCs w:val="15"/>
                <w:shd w:fill="ECE6F7" w:color="auto" w:val="clear"/>
              </w:rPr>
              <w:t xml:space="preserve"> 推断 </w:t>
            </w:r>
          </w:p>
        </w:tc>
        <w:tc>
          <w:tcPr>
            <w:tcW w:type="dxa" w:w="65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作者基于事实的推理</w:t>
            </w:r>
          </w:p>
        </w:tc>
      </w:tr>
      <w:tr>
        <w:trPr>
          <w:cantSplit/>
        </w:trPr>
        <w:tc>
          <w:tcPr>
            <w:tcW w:type="dxa" w:w="281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未定 </w:t>
            </w:r>
          </w:p>
        </w:tc>
        <w:tc>
          <w:tcPr>
            <w:tcW w:type="dxa" w:w="65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证据不足、需要等待新数据的问题</w:t>
            </w:r>
          </w:p>
        </w:tc>
      </w:tr>
      <w:tr>
        <w:trPr>
          <w:cantSplit/>
        </w:trPr>
        <w:tc>
          <w:tcPr>
            <w:tcW w:type="dxa" w:w="281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估算 </w:t>
            </w:r>
          </w:p>
        </w:tc>
        <w:tc>
          <w:tcPr>
            <w:tcW w:type="dxa" w:w="65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作者根据公开数据做的计算，方法在正文中说明</w:t>
            </w:r>
          </w:p>
        </w:tc>
      </w:tr>
      <w:tr>
        <w:trPr>
          <w:cantSplit/>
        </w:trPr>
        <w:tc>
          <w:tcPr>
            <w:tcW w:type="dxa" w:w="281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FFFFFF"/>
                <w:sz w:val="15"/>
                <w:szCs w:val="15"/>
                <w:shd w:fill="C2410C" w:color="auto" w:val="clear"/>
              </w:rPr>
              <w:t xml:space="preserve"> 已更正 </w:t>
            </w:r>
          </w:p>
        </w:tc>
        <w:tc>
          <w:tcPr>
            <w:tcW w:type="dxa" w:w="65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第1版中有误、本版修正的内容</w:t>
            </w:r>
          </w:p>
        </w:tc>
      </w:tr>
      <w:tr>
        <w:trPr>
          <w:cantSplit/>
        </w:trPr>
        <w:tc>
          <w:tcPr>
            <w:tcW w:type="dxa" w:w="281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6B4E00"/>
                <w:sz w:val="15"/>
                <w:szCs w:val="15"/>
                <w:shd w:fill="F5E9C4" w:color="auto" w:val="clear"/>
              </w:rPr>
              <w:t xml:space="preserve"> 未核实 </w:t>
            </w:r>
          </w:p>
        </w:tc>
        <w:tc>
          <w:tcPr>
            <w:tcW w:type="dxa" w:w="659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只有单一来源，或无法核对原文</w:t>
            </w:r>
          </w:p>
        </w:tc>
      </w:tr>
      <w:tr>
        <w:trPr>
          <w:cantSplit/>
        </w:trPr>
        <w:tc>
          <w:tcPr>
            <w:tcW w:type="dxa" w:w="281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F3A5F"/>
                <w:sz w:val="15"/>
                <w:szCs w:val="15"/>
                <w:shd w:fill="E2EAF4" w:color="auto" w:val="clear"/>
              </w:rPr>
              <w:t xml:space="preserve"> 原话 </w:t>
            </w:r>
            <w:r>
              <w:rPr>
                <w:rFonts w:ascii="Calibri" w:cs="Calibri" w:eastAsia="DengXian" w:hAnsi="Calibri"/>
                <w:b/>
                <w:bCs/>
                <w:color w:val="4B5563"/>
                <w:sz w:val="15"/>
                <w:szCs w:val="15"/>
                <w:shd w:fill="E9EBEE" w:color="auto" w:val="clear"/>
              </w:rPr>
              <w:t xml:space="preserve"> 转述 </w:t>
            </w:r>
          </w:p>
        </w:tc>
        <w:tc>
          <w:tcPr>
            <w:tcW w:type="dxa" w:w="659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引用达利欧、马克斯等人的话时，区分原句与意译</w:t>
            </w:r>
          </w:p>
        </w:tc>
      </w:tr>
    </w:tbl>
    <w:p>
      <w:pPr>
        <w:spacing w:after="120"/>
      </w:pPr>
    </w:p>
    <w:p>
      <w:pPr>
        <w:spacing w:after="140" w:line="340"/>
        <w:jc w:val="both"/>
      </w:pPr>
      <w:r>
        <w:rPr>
          <w:rFonts w:ascii="Calibri" w:cs="Calibri" w:eastAsia="DengXian" w:hAnsi="Calibri"/>
          <w:b w:val="false"/>
          <w:bCs w:val="false"/>
          <w:color w:val="1F2328"/>
          <w:sz w:val="21"/>
          <w:szCs w:val="21"/>
        </w:rPr>
        <w:t xml:space="preserve">置信度衡量证据的强度，分五档。表格里的置信度标签只显示档位：</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805"/>
        <w:gridCol w:w="6607"/>
      </w:tblGrid>
      <w:tr>
        <w:trPr>
          <w:cantSplit/>
          <w:tblHeader/>
        </w:trPr>
        <w:tc>
          <w:tcPr>
            <w:tcW w:type="dxa" w:w="28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c>
          <w:tcPr>
            <w:tcW w:type="dxa" w:w="660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含义</w:t>
            </w:r>
          </w:p>
        </w:tc>
      </w:tr>
      <w:tr>
        <w:trPr>
          <w:cantSplit/>
        </w:trPr>
        <w:tc>
          <w:tcPr>
            <w:tcW w:type="dxa" w:w="28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c>
          <w:tcPr>
            <w:tcW w:type="dxa" w:w="66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多项独立证据一致，难以找到合理的反面解释</w:t>
            </w:r>
          </w:p>
        </w:tc>
      </w:tr>
      <w:tr>
        <w:trPr>
          <w:cantSplit/>
        </w:trPr>
        <w:tc>
          <w:tcPr>
            <w:tcW w:type="dxa" w:w="28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66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证据较强，存在次要的替代解释</w:t>
            </w:r>
          </w:p>
        </w:tc>
      </w:tr>
      <w:tr>
        <w:trPr>
          <w:cantSplit/>
        </w:trPr>
        <w:tc>
          <w:tcPr>
            <w:tcW w:type="dxa" w:w="28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66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有证据支持，同时存在合理的替代解释</w:t>
            </w:r>
          </w:p>
        </w:tc>
      </w:tr>
      <w:tr>
        <w:trPr>
          <w:cantSplit/>
        </w:trPr>
        <w:tc>
          <w:tcPr>
            <w:tcW w:type="dxa" w:w="28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A1440B"/>
                <w:sz w:val="15"/>
                <w:szCs w:val="15"/>
                <w:shd w:fill="FCE6D6" w:color="auto" w:val="clear"/>
              </w:rPr>
              <w:t xml:space="preserve"> 中低 </w:t>
            </w:r>
          </w:p>
        </w:tc>
        <w:tc>
          <w:tcPr>
            <w:tcW w:type="dxa" w:w="660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证据薄弱，或存在同样合理的替代解释</w:t>
            </w:r>
          </w:p>
        </w:tc>
      </w:tr>
      <w:tr>
        <w:trPr>
          <w:cantSplit/>
        </w:trPr>
        <w:tc>
          <w:tcPr>
            <w:tcW w:type="dxa" w:w="28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A61B1B"/>
                <w:sz w:val="15"/>
                <w:szCs w:val="15"/>
                <w:shd w:fill="FBE1E1" w:color="auto" w:val="clear"/>
              </w:rPr>
              <w:t xml:space="preserve"> 低 </w:t>
            </w:r>
          </w:p>
        </w:tc>
        <w:tc>
          <w:tcPr>
            <w:tcW w:type="dxa" w:w="660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主要是推测，方向本身不确定</w:t>
            </w:r>
          </w:p>
        </w:tc>
      </w:tr>
    </w:tbl>
    <w:p>
      <w:pPr>
        <w:spacing w:after="120"/>
      </w:pPr>
    </w:p>
    <w:p>
      <w:pPr>
        <w:spacing w:after="140" w:line="340"/>
        <w:jc w:val="both"/>
      </w:pPr>
      <w:r>
        <w:rPr>
          <w:rFonts w:ascii="Calibri" w:cs="Calibri" w:eastAsia="DengXian" w:hAnsi="Calibri"/>
          <w:b w:val="false"/>
          <w:bCs w:val="false"/>
          <w:color w:val="1F2328"/>
          <w:sz w:val="21"/>
          <w:szCs w:val="21"/>
        </w:rPr>
        <w:t xml:space="preserve">对未来的预测用概率或区间表示，标为</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。这些概率是作者的主观判断；能找到历史基准率的，会注明基准率。它们适合用来比较哪种情况更可能，不宜当作经过模型校准的精确数字。</w:t>
      </w:r>
    </w:p>
    <w:p>
      <w:pPr>
        <w:spacing w:after="140" w:line="340"/>
        <w:jc w:val="both"/>
      </w:pPr>
      <w:r>
        <w:rPr>
          <w:rFonts w:ascii="Calibri" w:cs="Calibri" w:eastAsia="DengXian" w:hAnsi="Calibri"/>
          <w:b w:val="false"/>
          <w:bCs w:val="false"/>
          <w:color w:val="1F2328"/>
          <w:sz w:val="21"/>
          <w:szCs w:val="21"/>
        </w:rPr>
        <w:t xml:space="preserve">数据说明：研究环境无法直接打开来源网页，全部数据来自检索结果对来源页面的摘录。关键数据另做了独立检索核对，包括物价、GDP、宏观杠杆率、房地产、消费、工业利润、科创50季度跌幅、房贷贴息条款、美联储加息、存款和储蓄国债利率，核对结果与检索到的国家统计局、人民银行等机构发布内容一致。最新的官方月度数据截至2026年8月，另有9月PMI和9月百城房价。9月物价、贸易、信贷数据和三季度GDP将在10月中下旬公布，可能改变本报告的部分判断。</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2 核心结论</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2E75B6" w:sz="24"/>
              <w:bottom w:val="none" w:color="FFFFFF" w:sz="0"/>
              <w:right w:val="none" w:color="FFFFFF" w:sz="0"/>
            </w:tcBorders>
            <w:shd w:fill="EEF4FA" w:color="auto" w:val="clear"/>
            <w:tcMar>
              <w:top w:type="dxa" w:w="150"/>
              <w:left w:type="dxa" w:w="240"/>
              <w:bottom w:type="dxa" w:w="150"/>
              <w:right w:type="dxa" w:w="240"/>
            </w:tcMar>
          </w:tcPr>
          <w:p>
            <w:pPr>
              <w:spacing w:after="80"/>
            </w:pPr>
            <w:r>
              <w:rPr>
                <w:rFonts w:ascii="Calibri" w:cs="Calibri" w:eastAsia="Microsoft YaHei" w:hAnsi="Calibri"/>
                <w:b/>
                <w:bCs/>
                <w:color w:val="1F3A5F"/>
                <w:sz w:val="22"/>
                <w:szCs w:val="22"/>
              </w:rPr>
              <w:t xml:space="preserve">结论</w:t>
            </w:r>
          </w:p>
          <w:p>
            <w:pPr>
              <w:spacing w:after="0" w:line="330"/>
              <w:jc w:val="both"/>
            </w:pPr>
            <w:r>
              <w:rPr>
                <w:rFonts w:ascii="Calibri" w:cs="Calibri" w:eastAsia="DengXian" w:hAnsi="Calibri"/>
                <w:b/>
                <w:bCs/>
                <w:color w:val="111827"/>
                <w:sz w:val="21"/>
                <w:szCs w:val="21"/>
              </w:rPr>
              <w:t xml:space="preserve">一句话：中国经济仍处在楼市泡沫破裂后的长期调整中，这个阶段还没有走完。</w:t>
            </w:r>
            <w:r>
              <w:rPr>
                <w:rFonts w:ascii="Calibri" w:cs="Calibri" w:eastAsia="DengXian" w:hAnsi="Calibri"/>
                <w:b w:val="false"/>
                <w:bCs w:val="false"/>
                <w:color w:val="1F2328"/>
                <w:sz w:val="21"/>
                <w:szCs w:val="21"/>
              </w:rPr>
              <w:t xml:space="preserve"> 2026年部分数据好转，靠的是外部因素和限产带来的涨价，国内居民需求没有明显回暖。未来几年最可能是低增长、低利率、房价缓慢下跌；系统性金融危机的概率很低，快速反弹也缺少证据。</w:t>
            </w:r>
          </w:p>
        </w:tc>
      </w:tr>
    </w:tbl>
    <w:p>
      <w:pPr>
        <w:spacing w:after="140"/>
      </w:pP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201"/>
        <w:gridCol w:w="5605"/>
        <w:gridCol w:w="2606"/>
      </w:tblGrid>
      <w:tr>
        <w:trPr>
          <w:cantSplit/>
          <w:tblHeader/>
        </w:trPr>
        <w:tc>
          <w:tcPr>
            <w:tcW w:type="dxa" w:w="120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56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结论</w:t>
            </w:r>
          </w:p>
        </w:tc>
        <w:tc>
          <w:tcPr>
            <w:tcW w:type="dxa" w:w="260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r>
      <w:tr>
        <w:trPr>
          <w:cantSplit/>
        </w:trPr>
        <w:tc>
          <w:tcPr>
            <w:tcW w:type="dxa" w:w="12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56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中国处在私人部门资产负债表的长期调整中，调整没有结束</w:t>
            </w:r>
          </w:p>
        </w:tc>
        <w:tc>
          <w:tcPr>
            <w:tcW w:type="dxa" w:w="26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56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2026年的价格回升以供给侧和外部因素为主，缺少国内需求拉动的证据</w:t>
            </w:r>
          </w:p>
        </w:tc>
        <w:tc>
          <w:tcPr>
            <w:tcW w:type="dxa" w:w="26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56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第1版"几乎全部来自油价和芯片"的说法撤回：油价对这轮价格回升的净贡献，现有数据无法识别</w:t>
            </w:r>
            <w:r>
              <w:rPr>
                <w:rFonts w:ascii="Calibri" w:cs="Calibri" w:eastAsia="DengXian" w:hAnsi="Calibri"/>
                <w:b/>
                <w:bCs/>
                <w:color w:val="FFFFFF"/>
                <w:sz w:val="15"/>
                <w:szCs w:val="15"/>
                <w:shd w:fill="C2410C" w:color="auto" w:val="clear"/>
              </w:rPr>
              <w:t xml:space="preserve"> 已更正 </w:t>
            </w:r>
          </w:p>
        </w:tc>
        <w:tc>
          <w:tcPr>
            <w:tcW w:type="dxa" w:w="26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油价为主因</w:t>
            </w:r>
            <w:r>
              <w:rPr>
                <w:rFonts w:ascii="Calibri" w:cs="Calibri" w:eastAsia="DengXian" w:hAnsi="Calibri"/>
                <w:b/>
                <w:bCs/>
                <w:color w:val="A61B1B"/>
                <w:sz w:val="15"/>
                <w:szCs w:val="15"/>
                <w:shd w:fill="FBE1E1" w:color="auto" w:val="clear"/>
              </w:rPr>
              <w:t xml:space="preserve"> 低 </w:t>
            </w:r>
          </w:p>
        </w:tc>
      </w:tr>
      <w:tr>
        <w:trPr>
          <w:cantSplit/>
        </w:trPr>
        <w:tc>
          <w:tcPr>
            <w:tcW w:type="dxa" w:w="12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56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第1版"达利欧检验通过"的说法撤回：利率与增长的关系只改善了一个季度，二季度宏观杠杆率的下降不可持续，债务增速7.2%仍高于名义GDP增速约5.8%—5.9%</w:t>
            </w:r>
            <w:r>
              <w:rPr>
                <w:rFonts w:ascii="Calibri" w:cs="Calibri" w:eastAsia="DengXian" w:hAnsi="Calibri"/>
                <w:b/>
                <w:bCs/>
                <w:color w:val="FFFFFF"/>
                <w:sz w:val="15"/>
                <w:szCs w:val="15"/>
                <w:shd w:fill="C2410C" w:color="auto" w:val="clear"/>
              </w:rPr>
              <w:t xml:space="preserve"> 已更正 </w:t>
            </w:r>
          </w:p>
        </w:tc>
        <w:tc>
          <w:tcPr>
            <w:tcW w:type="dxa" w:w="26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56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达利欧所说的"漂亮的去杠杆"没有形成：印钞和面向住户的转移规模都很小</w:t>
            </w:r>
          </w:p>
        </w:tc>
        <w:tc>
          <w:tcPr>
            <w:tcW w:type="dxa" w:w="26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56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投资在收缩；消费在低速增长，商品消费接近停滞，汽车大幅下滑，餐饮和服务温和增长</w:t>
            </w:r>
            <w:r>
              <w:rPr>
                <w:rFonts w:ascii="Calibri" w:cs="Calibri" w:eastAsia="DengXian" w:hAnsi="Calibri"/>
                <w:b/>
                <w:bCs/>
                <w:color w:val="FFFFFF"/>
                <w:sz w:val="15"/>
                <w:szCs w:val="15"/>
                <w:shd w:fill="C2410C" w:color="auto" w:val="clear"/>
              </w:rPr>
              <w:t xml:space="preserve"> 已更正 </w:t>
            </w:r>
          </w:p>
        </w:tc>
        <w:tc>
          <w:tcPr>
            <w:tcW w:type="dxa" w:w="26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56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工业利润增长按所有制看分布较广，按行业看高度集中于电子，动能已经减弱</w:t>
            </w:r>
            <w:r>
              <w:rPr>
                <w:rFonts w:ascii="Calibri" w:cs="Calibri" w:eastAsia="DengXian" w:hAnsi="Calibri"/>
                <w:b/>
                <w:bCs/>
                <w:color w:val="FFFFFF"/>
                <w:sz w:val="15"/>
                <w:szCs w:val="15"/>
                <w:shd w:fill="D97706" w:color="auto" w:val="clear"/>
              </w:rPr>
              <w:t xml:space="preserve"> 部分更正 </w:t>
            </w:r>
          </w:p>
        </w:tc>
        <w:tc>
          <w:tcPr>
            <w:tcW w:type="dxa" w:w="26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12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56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房地产的建设规模已降到很低水平，建设周期处在后段</w:t>
            </w:r>
          </w:p>
        </w:tc>
        <w:tc>
          <w:tcPr>
            <w:tcW w:type="dxa" w:w="26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56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全国房价仍在下跌，价格底部的位置无法从现有数据识别；上海是局部见底的候选</w:t>
            </w:r>
          </w:p>
        </w:tc>
        <w:tc>
          <w:tcPr>
            <w:tcW w:type="dxa" w:w="26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全国仍在跌</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底部位置</w:t>
            </w:r>
            <w:r>
              <w:rPr>
                <w:rFonts w:ascii="Calibri" w:cs="Calibri" w:eastAsia="DengXian" w:hAnsi="Calibri"/>
                <w:b/>
                <w:bCs/>
                <w:color w:val="A1440B"/>
                <w:sz w:val="15"/>
                <w:szCs w:val="15"/>
                <w:shd w:fill="FCE6D6" w:color="auto" w:val="clear"/>
              </w:rPr>
              <w:t xml:space="preserve"> 中低 </w:t>
            </w:r>
          </w:p>
          <w:p>
            <w:pPr>
              <w:spacing w:after="0" w:line="276"/>
              <w:jc w:val="left"/>
            </w:pPr>
            <w:r>
              <w:rPr>
                <w:rFonts w:ascii="Calibri" w:cs="Calibri" w:eastAsia="DengXian" w:hAnsi="Calibri"/>
                <w:b w:val="false"/>
                <w:bCs w:val="false"/>
                <w:color w:val="1F2328"/>
                <w:sz w:val="18"/>
                <w:szCs w:val="18"/>
              </w:rPr>
              <w:t xml:space="preserve">上海</w:t>
            </w:r>
            <w:r>
              <w:rPr>
                <w:rFonts w:ascii="Calibri" w:cs="Calibri" w:eastAsia="DengXian" w:hAnsi="Calibri"/>
                <w:b/>
                <w:bCs/>
                <w:color w:val="8A5A00"/>
                <w:sz w:val="15"/>
                <w:szCs w:val="15"/>
                <w:shd w:fill="FFF0C7" w:color="auto" w:val="clear"/>
              </w:rPr>
              <w:t xml:space="preserve"> 中 </w:t>
            </w:r>
          </w:p>
        </w:tc>
      </w:tr>
      <w:tr>
        <w:trPr>
          <w:cantSplit/>
        </w:trPr>
        <w:tc>
          <w:tcPr>
            <w:tcW w:type="dxa" w:w="12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56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科技股尚未出现普遍绝望，估值风险仍高；"熊市第二阶段"这个标签只有中低把握</w:t>
            </w:r>
            <w:r>
              <w:rPr>
                <w:rFonts w:ascii="Calibri" w:cs="Calibri" w:eastAsia="DengXian" w:hAnsi="Calibri"/>
                <w:b/>
                <w:bCs/>
                <w:color w:val="FFFFFF"/>
                <w:sz w:val="15"/>
                <w:szCs w:val="15"/>
                <w:shd w:fill="D97706" w:color="auto" w:val="clear"/>
              </w:rPr>
              <w:t xml:space="preserve"> 部分更正 </w:t>
            </w:r>
          </w:p>
        </w:tc>
        <w:tc>
          <w:tcPr>
            <w:tcW w:type="dxa" w:w="26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2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w:t>
            </w:r>
          </w:p>
        </w:tc>
        <w:tc>
          <w:tcPr>
            <w:tcW w:type="dxa" w:w="56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宽基A股估值处在历史中间位置</w:t>
            </w:r>
          </w:p>
        </w:tc>
        <w:tc>
          <w:tcPr>
            <w:tcW w:type="dxa" w:w="26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12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w:t>
            </w:r>
          </w:p>
        </w:tc>
        <w:tc>
          <w:tcPr>
            <w:tcW w:type="dxa" w:w="56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一年内发生系统性银行危机的概率处在个位数低位</w:t>
            </w:r>
          </w:p>
        </w:tc>
        <w:tc>
          <w:tcPr>
            <w:tcW w:type="dxa" w:w="26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12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w:t>
            </w:r>
          </w:p>
        </w:tc>
        <w:tc>
          <w:tcPr>
            <w:tcW w:type="dxa" w:w="56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到2027年年中，名义GDP增速较二季度回落1个百分点以上，概率约60%—75%</w:t>
            </w:r>
          </w:p>
        </w:tc>
        <w:tc>
          <w:tcPr>
            <w:tcW w:type="dxa" w:w="26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2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w:t>
            </w:r>
          </w:p>
        </w:tc>
        <w:tc>
          <w:tcPr>
            <w:tcW w:type="dxa" w:w="56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未来几年最可能是低增长、低利率、房价缓慢下跌的路径，没有系统性危机，也没有快速、全面的复苏</w:t>
            </w:r>
          </w:p>
        </w:tc>
        <w:tc>
          <w:tcPr>
            <w:tcW w:type="dxa" w:w="26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bl>
    <w:p>
      <w:pPr>
        <w:spacing w:after="120"/>
      </w:pPr>
    </w:p>
    <w:p>
      <w:pPr>
        <w:spacing w:after="140" w:line="340"/>
        <w:jc w:val="both"/>
      </w:pPr>
      <w:r>
        <w:rPr>
          <w:rFonts w:ascii="Calibri" w:cs="Calibri" w:eastAsia="DengXian" w:hAnsi="Calibri"/>
          <w:b w:val="false"/>
          <w:bCs w:val="false"/>
          <w:color w:val="1F2328"/>
          <w:sz w:val="21"/>
          <w:szCs w:val="21"/>
        </w:rPr>
        <w:t xml:space="preserve">如果只看三个指标，就看这三个：二手房价格能否连续三个月不跌；住户中长期贷款能否重新增长；核心CPI能否升到1.2%以上，并且服务价格同步回升。三项同时好转，才能说明私人部门的需求开始自我修复。</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3 本版修订说明</w:t>
      </w:r>
    </w:p>
    <w:p>
      <w:pPr>
        <w:spacing w:after="140" w:line="340"/>
        <w:jc w:val="both"/>
      </w:pPr>
      <w:r>
        <w:rPr>
          <w:rFonts w:ascii="Calibri" w:cs="Calibri" w:eastAsia="DengXian" w:hAnsi="Calibri"/>
          <w:b w:val="false"/>
          <w:bCs w:val="false"/>
          <w:color w:val="1F2328"/>
          <w:sz w:val="21"/>
          <w:szCs w:val="21"/>
        </w:rPr>
        <w:t xml:space="preserve">第1版发布后，经外部评论和再次核对，发现以下问题。本版逐条修正。修正的原则有两条：证据只支持弱结论的地方，结论跟着降级；原先列为数据冲突、实际是统计口径不同的，改为说明口径。</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658"/>
        <w:gridCol w:w="1847"/>
        <w:gridCol w:w="2778"/>
        <w:gridCol w:w="2911"/>
        <w:gridCol w:w="1218"/>
      </w:tblGrid>
      <w:tr>
        <w:trPr>
          <w:cantSplit/>
          <w:tblHeader/>
        </w:trPr>
        <w:tc>
          <w:tcPr>
            <w:tcW w:type="dxa" w:w="6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184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第1版的表述</w:t>
            </w:r>
          </w:p>
        </w:tc>
        <w:tc>
          <w:tcPr>
            <w:tcW w:type="dxa" w:w="27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问题</w:t>
            </w:r>
          </w:p>
        </w:tc>
        <w:tc>
          <w:tcPr>
            <w:tcW w:type="dxa" w:w="291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本版的表述</w:t>
            </w:r>
          </w:p>
        </w:tc>
        <w:tc>
          <w:tcPr>
            <w:tcW w:type="dxa" w:w="121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置信度变化</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"达利欧检验在二季度通过了"</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名义增长高于利率只是必要条件；杠杆率取决于债务增速与名义增速，二者仍是7.2%对约5.9%</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利率与增长的关系改善了一个季度，杠杆率的单季下降不可持续</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"通过"的说法撤回；算术结论为高</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"二季度平减指数转正几乎全部来自油价和芯片"（约85%）</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进口油价上涨在GDP核算中是进口成本，对平减指数的净作用方向不确定；缺少分行业增加值数据，无法分解</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价格回升以供给侧和外部因素为主，各因素的贡献无法识别</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"油价为主因"降为低；"缺少需求拉动"维持高</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"消费、投资和房地产仍在收缩""内需一直在收缩"</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1—8月社零增长1.1%，扣除汽车增长2.7%，餐饮增长2.4%</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投资在收缩；商品消费接近停滞，汽车大幅下滑，餐饮和服务温和增长</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改正后为高</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"社零累计增速有1.1%与2.5%两种口径冲突"</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两者统计范围不同：1.1%是统计局的社会消费品零售总额；2.5%是商务部表述中的社会消费商品和服务零售总额</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不再列为冲突</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"长期债务周期处在'萧条'期后段"</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调整持续的时间不能说明离终点还有多远</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"萧条"期仍在持续，目前看不到结束的证据；处在该阶段的哪个位置无法识别</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"仍在持续"为高；"后段"撤回</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"房地产全国处在下行后段"（高）</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建设周期与价格周期混在一起；价格底部取决于需求，缺少租金回报率等数据</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建设周期处在后段；价格周期的位置无法识别</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建设为高；价格位置为中低</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"科技处在熊市第二阶段"（中高）</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马克斯的三阶段没有统计边界，同样的数据也可能对应牛市中途的大幅调整</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尚未出现普遍绝望，估值风险仍高；"熊市第二阶段"这个标签只有中低把握</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前者为高，标签降为中低</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"利润集中在上游资源和电子"</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私营企业利润增长10.4%，制造业增长17.4%，改善不只来自国有资源企业</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按所有制看分布较广，按行业看高度集中于电子，动能在减弱</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中高</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情景概率25%/50%/25%，"约75%回到低名义增长"</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主观赋值，精度超出证据；理由只依赖油价</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以PPI高基数为主要依据，改为区间：到2027年年中名义增速回落1个百分点以上，约60%—75%</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"未来12个月系统性金融危机概率低于5%"</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没有说明方法</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以Laeven和Valencia的危机数据库为基准率，结合中国的风险因素，表述为"个位数低位"</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中高</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"全国二手房到2027年底再跌8%—12%"（第1版之后的对话）</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没有充分考虑成交量先于价格修复，以及10月起房贷贴息的覆盖面</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到2027年9月百城二手房再跌4%—9%，中心约6%；到2027年底中心约7%</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中国2026年对应日本1996—97年</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类比可以被事后任意解释，可证伪性弱</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只保留一个可检验的机制：短暂的价格回升被当成复苏，支持政策提前退出，随后名义增长回落</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w:t>
            </w:r>
          </w:p>
        </w:tc>
        <w:tc>
          <w:tcPr>
            <w:tcW w:type="dxa" w:w="184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价格来源检验表的对立面是"油价对内需"</w:t>
            </w:r>
          </w:p>
        </w:tc>
        <w:tc>
          <w:tcPr>
            <w:tcW w:type="dxa" w:w="27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框架过窄，也遗漏了反向证据</w:t>
            </w:r>
          </w:p>
        </w:tc>
        <w:tc>
          <w:tcPr>
            <w:tcW w:type="dxa" w:w="29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对立面改为"内需拉动"对"供给侧与外部因素"，并列出反向证据：餐饮消费增长、民营企业利润增长、上海楼市企稳</w:t>
            </w:r>
          </w:p>
        </w:tc>
        <w:tc>
          <w:tcPr>
            <w:tcW w:type="dxa" w:w="121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r>
        <w:trPr>
          <w:cantSplit/>
        </w:trPr>
        <w:tc>
          <w:tcPr>
            <w:tcW w:type="dxa" w:w="6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w:t>
            </w:r>
          </w:p>
        </w:tc>
        <w:tc>
          <w:tcPr>
            <w:tcW w:type="dxa" w:w="184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研究问题是"处在第几阶段"</w:t>
            </w:r>
          </w:p>
        </w:tc>
        <w:tc>
          <w:tcPr>
            <w:tcW w:type="dxa" w:w="27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阶段标签的边界模糊，容易制造超出证据的确定感</w:t>
            </w:r>
          </w:p>
        </w:tc>
        <w:tc>
          <w:tcPr>
            <w:tcW w:type="dxa" w:w="29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增加第12节：跟踪阻碍私人需求恢复的六个机制，以及衡量它们的指标</w:t>
            </w:r>
          </w:p>
        </w:tc>
        <w:tc>
          <w:tcPr>
            <w:tcW w:type="dxa" w:w="121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r>
    </w:tbl>
    <w:p>
      <w:pPr>
        <w:spacing w:after="120"/>
      </w:pPr>
    </w:p>
    <w:p>
      <w:pPr>
        <w:spacing w:after="140" w:line="340"/>
        <w:jc w:val="both"/>
      </w:pPr>
      <w:r>
        <w:rPr>
          <w:rFonts w:ascii="Calibri" w:cs="Calibri" w:eastAsia="DengXian" w:hAnsi="Calibri"/>
          <w:b w:val="false"/>
          <w:bCs w:val="false"/>
          <w:color w:val="1F2328"/>
          <w:sz w:val="21"/>
          <w:szCs w:val="21"/>
        </w:rPr>
        <w:t xml:space="preserve">没有改变的判断有六条：私人部门资产负债表的调整还在持续；价格回升缺少需求拉动；系统性金融危机的概率很低；2027年上半年是检验窗口；科技股尚未出现普遍绝望；住户信用仍在收缩。</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4 先修正问题的前提：中国同时处在多条周期里</w:t>
      </w:r>
    </w:p>
    <w:p>
      <w:pPr>
        <w:spacing w:after="140" w:line="340"/>
        <w:jc w:val="both"/>
      </w:pPr>
      <w:r>
        <w:rPr>
          <w:rFonts w:ascii="Calibri" w:cs="Calibri" w:eastAsia="DengXian" w:hAnsi="Calibri"/>
          <w:b w:val="false"/>
          <w:bCs w:val="false"/>
          <w:color w:val="1F2328"/>
          <w:sz w:val="21"/>
          <w:szCs w:val="21"/>
        </w:rPr>
        <w:t xml:space="preserve">"此时中国处于什么经济周期"这个问法，默认存在一条统一的周期。数据不支持这个假设。2026年的中国同时处在多条周期里，它们的位置不同，其中几条方向相反。把它们平均成一个结论会出错。举三个例子：宏观杠杆率在二季度下降，同期住户和地方政府的偿债压力没有减轻；沪深300的估值处在历史中位，同期科创50经历了一轮暴涨和暴跌；国家主导的信用在扩张，住户贷款在减少。</w:t>
      </w:r>
    </w:p>
    <w:p>
      <w:pPr>
        <w:spacing w:after="140" w:line="340"/>
        <w:jc w:val="both"/>
      </w:pPr>
      <w:r>
        <w:rPr>
          <w:rFonts w:ascii="Calibri" w:cs="Calibri" w:eastAsia="DengXian" w:hAnsi="Calibri"/>
          <w:b w:val="false"/>
          <w:bCs w:val="false"/>
          <w:color w:val="1F2328"/>
          <w:sz w:val="21"/>
          <w:szCs w:val="21"/>
        </w:rPr>
        <w:t xml:space="preserve">下表给出每条周期的位置，后文逐条论证。</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780"/>
        <w:gridCol w:w="1191"/>
        <w:gridCol w:w="2568"/>
        <w:gridCol w:w="1417"/>
        <w:gridCol w:w="1346"/>
        <w:gridCol w:w="2110"/>
      </w:tblGrid>
      <w:tr>
        <w:trPr>
          <w:cantSplit/>
          <w:tblHeader/>
        </w:trPr>
        <w:tc>
          <w:tcPr>
            <w:tcW w:type="dxa" w:w="78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周期</w:t>
            </w:r>
          </w:p>
        </w:tc>
        <w:tc>
          <w:tcPr>
            <w:tcW w:type="dxa" w:w="119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参照框架</w:t>
            </w:r>
          </w:p>
        </w:tc>
        <w:tc>
          <w:tcPr>
            <w:tcW w:type="dxa" w:w="256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当前位置（作者的应用）</w:t>
            </w:r>
          </w:p>
        </w:tc>
        <w:tc>
          <w:tcPr>
            <w:tcW w:type="dxa" w:w="141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未来1—2个季度</w:t>
            </w:r>
          </w:p>
        </w:tc>
        <w:tc>
          <w:tcPr>
            <w:tcW w:type="dxa" w:w="134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c>
          <w:tcPr>
            <w:tcW w:type="dxa" w:w="211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什么会改变判断</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长期债务周期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达利欧《债务危机》</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"萧条"期仍在持续；"漂亮的去杠杆"没有形成；住户部门有"推绳子"症状</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名义改善维持到2026年底前后，2027年上半年回落</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仍在萧条期</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所处位置</w:t>
            </w:r>
            <w:r>
              <w:rPr>
                <w:rFonts w:ascii="Calibri" w:cs="Calibri" w:eastAsia="DengXian" w:hAnsi="Calibri"/>
                <w:b/>
                <w:bCs/>
                <w:color w:val="A61B1B"/>
                <w:sz w:val="15"/>
                <w:szCs w:val="15"/>
                <w:shd w:fill="FBE1E1" w:color="auto" w:val="clear"/>
              </w:rPr>
              <w:t xml:space="preserve"> 低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价格基数效应消退后名义增速仍在5%以上，且住户中长期贷款连续转正</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政府债务大周期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达利欧《国家为什么会破产》</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私人债务向政府转移，处在九阶段的第1—4阶段；第5阶段的市场信号没有出现</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政府债务比例继续上升</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通缩回归时长端收益率反而上升；央行被迫大规模买债；人民币持续贬值</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世界秩序大周期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达利欧《原则：应对变化中的世界秩序》</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对外实力上升；人口和内需走弱；中美冲突处在靠续期维持的休战</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外强内弱延续</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休战破裂；台海或中东冲突外溢</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短期经济与库存周期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短期债务周期、库存周期</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工业价格和利润的上行在6—8月见顶；库存转向被动累积的早期；投资收缩，消费低速增长</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工业价格回落，内需偏弱</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9—10月营收增速回到库存增速之上</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利润周期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增速已过峰值；按行业高度集中于电子；按所有制分布较广</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回落</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单月利润增速重回10%以上，且下游行业转正</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信用周期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私人信用收缩；国家主导的信用扩张；股权融资由热转温</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私人信用仍弱</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住户中长期贷款连续两个月明显为正</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不良债务周期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违约被展期压低，出清被推迟</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风险后移</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万科或城投出现集中的实质违约</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建设周期处在后段；全国价格仍在下跌；上海是局部见底的候选</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全国价格继续下跌，跌幅可能放缓</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建设</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价格位置</w:t>
            </w:r>
            <w:r>
              <w:rPr>
                <w:rFonts w:ascii="Calibri" w:cs="Calibri" w:eastAsia="DengXian" w:hAnsi="Calibri"/>
                <w:b/>
                <w:bCs/>
                <w:color w:val="A1440B"/>
                <w:sz w:val="15"/>
                <w:szCs w:val="15"/>
                <w:shd w:fill="FCE6D6" w:color="auto" w:val="clear"/>
              </w:rPr>
              <w:t xml:space="preserve"> 中低 </w:t>
            </w:r>
          </w:p>
          <w:p>
            <w:pPr>
              <w:spacing w:after="0" w:line="276"/>
              <w:jc w:val="left"/>
            </w:pPr>
            <w:r>
              <w:rPr>
                <w:rFonts w:ascii="Calibri" w:cs="Calibri" w:eastAsia="DengXian" w:hAnsi="Calibri"/>
                <w:b w:val="false"/>
                <w:bCs w:val="false"/>
                <w:color w:val="1F2328"/>
                <w:sz w:val="18"/>
                <w:szCs w:val="18"/>
              </w:rPr>
              <w:t xml:space="preserve">上海</w:t>
            </w: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全国二手房价格连续3个月不跌</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市场与心理周期</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马克斯《周期》</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科技尚未出现普遍绝望；宽基估值中位；红利板块拥挤；港股新股偏热</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科技仍在消化估值</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科技出现普遍绝望的信号（见9.7节）</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政策周期</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总量货币政策不动；财政化、定向的小幅加码</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2027年上半年加码的概率上升</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降准降息，或面向住户的大规模转移</w:t>
            </w:r>
          </w:p>
        </w:tc>
      </w:tr>
      <w:tr>
        <w:trPr>
          <w:cantSplit/>
        </w:trPr>
        <w:tc>
          <w:tcPr>
            <w:tcW w:type="dxa" w:w="7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外部需求</w:t>
            </w:r>
          </w:p>
        </w:tc>
        <w:tc>
          <w:tcPr>
            <w:tcW w:type="dxa" w:w="119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25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处在高位，主要靠价格</w:t>
            </w:r>
          </w:p>
        </w:tc>
        <w:tc>
          <w:tcPr>
            <w:tcW w:type="dxa" w:w="14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2027年上半年同比明显回落</w:t>
            </w:r>
          </w:p>
        </w:tc>
        <w:tc>
          <w:tcPr>
            <w:tcW w:type="dxa" w:w="134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9—10月出口增速仍在20%以上，且芯片出口数量转正</w:t>
            </w:r>
          </w:p>
        </w:tc>
      </w:tr>
      <w:tr>
        <w:trPr>
          <w:cantSplit/>
        </w:trPr>
        <w:tc>
          <w:tcPr>
            <w:tcW w:type="dxa" w:w="7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全球金融条件</w:t>
            </w:r>
          </w:p>
        </w:tc>
        <w:tc>
          <w:tcPr>
            <w:tcW w:type="dxa" w:w="119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w:t>
            </w:r>
          </w:p>
        </w:tc>
        <w:tc>
          <w:tcPr>
            <w:tcW w:type="dxa" w:w="25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偏紧：美联储加息、美元走强、油价约100美元</w:t>
            </w:r>
          </w:p>
        </w:tc>
        <w:tc>
          <w:tcPr>
            <w:tcW w:type="dxa" w:w="14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偏紧</w:t>
            </w:r>
          </w:p>
        </w:tc>
        <w:tc>
          <w:tcPr>
            <w:tcW w:type="dxa" w:w="134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21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美联储停止加息；布伦特回落到80美元以下</w:t>
            </w:r>
          </w:p>
        </w:tc>
      </w:tr>
    </w:tbl>
    <w:p>
      <w:pPr>
        <w:spacing w:after="120"/>
      </w:pPr>
    </w:p>
    <w:p>
      <w:pPr>
        <w:spacing w:after="140" w:line="340"/>
        <w:jc w:val="both"/>
      </w:pPr>
      <w:r>
        <w:rPr>
          <w:rFonts w:ascii="Calibri" w:cs="Calibri" w:eastAsia="DengXian" w:hAnsi="Calibri"/>
          <w:b w:val="false"/>
          <w:bCs w:val="false"/>
          <w:color w:val="1F2328"/>
          <w:sz w:val="21"/>
          <w:szCs w:val="21"/>
        </w:rPr>
        <w:t xml:space="preserve">这些周期互相作用。芯片和能源等外部价格，加上反内卷限产，抬高了工业价格和名义增长；国内的长期债务调整压低了投资、房地产和消费；国家对市场、信用和违约的管理降低了波动的幅度，同时拉长了每个阶段的时间。后文的大部分判断由这三点决定。</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5 债务周期：调整仍在继续，"漂亮的去杠杆"没有形成</w:t>
      </w:r>
    </w:p>
    <w:p>
      <w:pPr>
        <w:pStyle w:val="Heading2"/>
        <w:keepNext/>
        <w:spacing w:after="140" w:before="340"/>
      </w:pPr>
      <w:r>
        <w:rPr>
          <w:rFonts w:ascii="Calibri" w:cs="Calibri" w:eastAsia="Microsoft YaHei" w:hAnsi="Calibri"/>
          <w:b/>
          <w:bCs/>
          <w:color w:val="1F3A5F"/>
          <w:sz w:val="26"/>
          <w:szCs w:val="26"/>
        </w:rPr>
        <w:t xml:space="preserve">5.1 框架要点（作者的转述）</w:t>
      </w:r>
    </w:p>
    <w:p>
      <w:pPr>
        <w:spacing w:after="140" w:line="340"/>
        <w:jc w:val="both"/>
      </w:pPr>
      <w:r>
        <w:rPr>
          <w:rFonts w:ascii="Calibri" w:cs="Calibri" w:eastAsia="DengXian" w:hAnsi="Calibri"/>
          <w:b w:val="false"/>
          <w:bCs w:val="false"/>
          <w:color w:val="1F2328"/>
          <w:sz w:val="21"/>
          <w:szCs w:val="21"/>
        </w:rPr>
        <w:t xml:space="preserve">达利欧在《债务危机》（2018）里，把本币计价的通缩型债务周期分为七个阶段：周期早期、泡沫、顶部、"萧条"、"漂亮的去杠杆"、"推绳子"、正常化</w:t>
      </w:r>
      <w:r>
        <w:rPr>
          <w:rFonts w:ascii="Calibri" w:cs="Calibri" w:eastAsia="DengXian" w:hAnsi="Calibri"/>
          <w:b/>
          <w:bCs/>
          <w:color w:val="4B5563"/>
          <w:sz w:val="18"/>
          <w:szCs w:val="18"/>
          <w:shd w:fill="E9EBEE" w:color="auto" w:val="clear"/>
        </w:rPr>
        <w:t xml:space="preserve"> 转述 </w:t>
      </w:r>
      <w:r>
        <w:rPr>
          <w:rStyle w:val="FootnoteReference"/>
        </w:rPr>
        <w:footnoteReference w:id="1"/>
      </w:r>
      <w:r>
        <w:rPr>
          <w:rFonts w:ascii="Calibri" w:cs="Calibri" w:eastAsia="DengXian" w:hAnsi="Calibri"/>
          <w:b w:val="false"/>
          <w:bCs w:val="false"/>
          <w:color w:val="1F2328"/>
          <w:sz w:val="21"/>
          <w:szCs w:val="21"/>
        </w:rPr>
        <w:t xml:space="preserve">。去杠杆有四个杠杆：紧缩、违约或重组、央行印钞、财富转移</w:t>
      </w:r>
      <w:r>
        <w:rPr>
          <w:rStyle w:val="FootnoteReference"/>
        </w:rPr>
        <w:footnoteReference w:id="2"/>
      </w:r>
      <w:r>
        <w:rPr>
          <w:rFonts w:ascii="Calibri" w:cs="Calibri" w:eastAsia="DengXian" w:hAnsi="Calibri"/>
          <w:b w:val="false"/>
          <w:bCs w:val="false"/>
          <w:color w:val="1F2328"/>
          <w:sz w:val="21"/>
          <w:szCs w:val="21"/>
        </w:rPr>
        <w:t xml:space="preserve">。前两个是通缩性的，后两个是通胀性的。他的处方是让两类力量平衡，使名义增长率高于名义利率</w:t>
      </w:r>
      <w:r>
        <w:rPr>
          <w:rFonts w:ascii="Calibri" w:cs="Calibri" w:eastAsia="DengXian" w:hAnsi="Calibri"/>
          <w:b/>
          <w:bCs/>
          <w:color w:val="4B5563"/>
          <w:sz w:val="18"/>
          <w:szCs w:val="18"/>
          <w:shd w:fill="E9EBEE" w:color="auto" w:val="clear"/>
        </w:rPr>
        <w:t xml:space="preserve"> 转述 </w:t>
      </w:r>
      <w:r>
        <w:rPr>
          <w:rStyle w:val="FootnoteReference"/>
        </w:rPr>
        <w:footnoteReference w:id="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名义增长高于利率只是必要条件。债务占收入的比例能否下降，取决于债务增速和收入增速哪个快。用一个简化的式子表示：债务比例的变化，约等于"（平均利率 − 名义增速）× 债务比例"，再加上新增的净借款。新借的钱足够多时，即使利率低于增长，债务比例照样上升。</w:t>
      </w:r>
    </w:p>
    <w:p>
      <w:pPr>
        <w:spacing w:after="140" w:line="340"/>
        <w:jc w:val="both"/>
      </w:pPr>
      <w:r>
        <w:rPr>
          <w:rFonts w:ascii="Calibri" w:cs="Calibri" w:eastAsia="DengXian" w:hAnsi="Calibri"/>
          <w:b w:val="false"/>
          <w:bCs w:val="false"/>
          <w:color w:val="1F2328"/>
          <w:sz w:val="21"/>
          <w:szCs w:val="21"/>
        </w:rPr>
        <w:t xml:space="preserve">"推绳子"指降息和资产购买都已带不动私人借贷、政策只能把钱直接交给支出者的处境</w:t>
      </w:r>
      <w:r>
        <w:rPr>
          <w:rFonts w:ascii="Calibri" w:cs="Calibri" w:eastAsia="DengXian" w:hAnsi="Calibri"/>
          <w:b/>
          <w:bCs/>
          <w:color w:val="4B5563"/>
          <w:sz w:val="18"/>
          <w:szCs w:val="18"/>
          <w:shd w:fill="E9EBEE" w:color="auto" w:val="clear"/>
        </w:rPr>
        <w:t xml:space="preserve"> 转述 </w:t>
      </w:r>
      <w:r>
        <w:rPr>
          <w:rStyle w:val="FootnoteReference"/>
        </w:rPr>
        <w:footnoteReference w:id="4"/>
      </w:r>
      <w:r>
        <w:rPr>
          <w:rFonts w:ascii="Calibri" w:cs="Calibri" w:eastAsia="DengXian" w:hAnsi="Calibri"/>
          <w:b w:val="false"/>
          <w:bCs w:val="false"/>
          <w:color w:val="1F2328"/>
          <w:sz w:val="21"/>
          <w:szCs w:val="21"/>
        </w:rPr>
        <w:t xml:space="preserve">。他在2019年把这三步分别称为MP1（利率）、MP2（量化宽松）、MP3（财政与货币协同，把钱交给支出者）</w:t>
      </w:r>
      <w:r>
        <w:rPr>
          <w:rFonts w:ascii="Calibri" w:cs="Calibri" w:eastAsia="DengXian" w:hAnsi="Calibri"/>
          <w:b/>
          <w:bCs/>
          <w:color w:val="4B5563"/>
          <w:sz w:val="18"/>
          <w:szCs w:val="18"/>
          <w:shd w:fill="E9EBEE" w:color="auto" w:val="clear"/>
        </w:rPr>
        <w:t xml:space="preserve"> 转述 </w:t>
      </w:r>
      <w:r>
        <w:rPr>
          <w:rStyle w:val="FootnoteReference"/>
        </w:rPr>
        <w:footnoteReference w:id="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要注意编号：《债务危机》的七阶段、《原则：应对变化中的世界秩序》的内部秩序六阶段、《国家为什么会破产》的五阶段和九阶段，是几套不同的编号，不能混用。研究过程中没能核对原书对各阶段的逐字定义，以上是作者的概括。</w:t>
      </w:r>
    </w:p>
    <w:p>
      <w:pPr>
        <w:pStyle w:val="Heading2"/>
        <w:keepNext/>
        <w:spacing w:after="140" w:before="340"/>
      </w:pPr>
      <w:r>
        <w:rPr>
          <w:rFonts w:ascii="Calibri" w:cs="Calibri" w:eastAsia="Microsoft YaHei" w:hAnsi="Calibri"/>
          <w:b/>
          <w:bCs/>
          <w:color w:val="1F3A5F"/>
          <w:sz w:val="26"/>
          <w:szCs w:val="26"/>
        </w:rPr>
        <w:t xml:space="preserve">5.2 利率与增长的关系改善了一个季度，杠杆率下降不可持续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达利欧检验在二季度通过了"，这个说法过头了。名义增长高于利率只是必要条件，决定杠杆率的是债务增速与名义增速的对比，二季度二者仍是7.2%对约5.8%—5.9%。本版改为：利率与增长的关系改善了一个季度，杠杆率的单季下降不可持续。</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二季度实际GDP同比增长4.3%，一季度为5.0%，上半年为4.7%</w:t>
      </w:r>
      <w:r>
        <w:rPr>
          <w:rStyle w:val="FootnoteReference"/>
        </w:rPr>
        <w:footnoteReference w:id="6"/>
      </w:r>
      <w:r>
        <w:rPr>
          <w:rFonts w:ascii="Calibri" w:cs="Calibri" w:eastAsia="DengXian" w:hAnsi="Calibri"/>
          <w:color w:val="1F2328"/>
          <w:sz w:val="21"/>
          <w:szCs w:val="21"/>
          <w:vertAlign w:val="superscript"/>
        </w:rPr>
        <w:t xml:space="preserve">,</w:t>
      </w:r>
      <w:r>
        <w:rPr>
          <w:rStyle w:val="FootnoteReference"/>
        </w:rPr>
        <w:footnoteReference w:id="7"/>
      </w:r>
      <w:r>
        <w:rPr>
          <w:rFonts w:ascii="Calibri" w:cs="Calibri" w:eastAsia="DengXian" w:hAnsi="Calibri"/>
          <w:b w:val="false"/>
          <w:bCs w:val="false"/>
          <w:color w:val="1F2328"/>
          <w:sz w:val="21"/>
          <w:szCs w:val="21"/>
        </w:rPr>
        <w:t xml:space="preserve">。统计局不直接公布平减指数；按名义值推算，二季度名义增速约5.8%—5.9%，平减指数约+1.4%至+1.6%，结束了自2023年二季度起连续12个季度的负值</w:t>
      </w:r>
      <w:r>
        <w:rPr>
          <w:rStyle w:val="FootnoteReference"/>
        </w:rPr>
        <w:footnoteReference w:id="8"/>
      </w:r>
      <w:r>
        <w:rPr>
          <w:rFonts w:ascii="Calibri" w:cs="Calibri" w:eastAsia="DengXian" w:hAnsi="Calibri"/>
          <w:b w:val="false"/>
          <w:bCs w:val="false"/>
          <w:color w:val="1F2328"/>
          <w:sz w:val="21"/>
          <w:szCs w:val="21"/>
        </w:rPr>
        <w:t xml:space="preserve">。国家金融与发展实验室（NIFD）测算的实体经济部门杠杆率，二季度为308.2%，比一季度下降1.1个百分点，是2022年以来首次单季下降；其中住户57.7%，非金融企业179.5%，政府71.0%</w:t>
      </w:r>
      <w:r>
        <w:rPr>
          <w:rStyle w:val="FootnoteReference"/>
        </w:rPr>
        <w:footnoteReference w:id="9"/>
      </w:r>
      <w:r>
        <w:rPr>
          <w:rFonts w:ascii="Calibri" w:cs="Calibri" w:eastAsia="DengXian" w:hAnsi="Calibri"/>
          <w:b w:val="false"/>
          <w:bCs w:val="false"/>
          <w:color w:val="1F2328"/>
          <w:sz w:val="21"/>
          <w:szCs w:val="21"/>
        </w:rPr>
        <w:t xml:space="preserve">。同期实体经济总债务同比增长7.2%</w:t>
      </w:r>
      <w:r>
        <w:rPr>
          <w:rStyle w:val="FootnoteReference"/>
        </w:rPr>
        <w:footnoteReference w:id="10"/>
      </w:r>
      <w:r>
        <w:rPr>
          <w:rFonts w:ascii="Calibri" w:cs="Calibri" w:eastAsia="DengXian" w:hAnsi="Calibri"/>
          <w:b w:val="false"/>
          <w:bCs w:val="false"/>
          <w:color w:val="1F2328"/>
          <w:sz w:val="21"/>
          <w:szCs w:val="21"/>
        </w:rPr>
        <w:t xml:space="preserve">。</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364"/>
        <w:gridCol w:w="1489"/>
        <w:gridCol w:w="4637"/>
        <w:gridCol w:w="1922"/>
      </w:tblGrid>
      <w:tr>
        <w:trPr>
          <w:cantSplit/>
          <w:tblHeader/>
        </w:trPr>
        <w:tc>
          <w:tcPr>
            <w:tcW w:type="dxa" w:w="136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时期</w:t>
            </w:r>
          </w:p>
        </w:tc>
        <w:tc>
          <w:tcPr>
            <w:tcW w:type="dxa" w:w="148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名义GDP增速</w:t>
            </w:r>
          </w:p>
        </w:tc>
        <w:tc>
          <w:tcPr>
            <w:tcW w:type="dxa" w:w="46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对比的利率</w:t>
            </w:r>
          </w:p>
        </w:tc>
        <w:tc>
          <w:tcPr>
            <w:tcW w:type="dxa" w:w="192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差距（个百分点）</w:t>
            </w:r>
          </w:p>
        </w:tc>
      </w:tr>
      <w:tr>
        <w:trPr>
          <w:cantSplit/>
        </w:trPr>
        <w:tc>
          <w:tcPr>
            <w:tcW w:type="dxa" w:w="13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w:t>
            </w:r>
          </w:p>
        </w:tc>
        <w:tc>
          <w:tcPr>
            <w:tcW w:type="dxa" w:w="14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r>
              <w:rPr>
                <w:rStyle w:val="FootnoteReference"/>
              </w:rPr>
              <w:footnoteReference w:id="11"/>
            </w:r>
          </w:p>
        </w:tc>
        <w:tc>
          <w:tcPr>
            <w:tcW w:type="dxa" w:w="46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新发放贷款加权利率约3.29%（2025年6月）；一般贷款约3.69%</w:t>
            </w:r>
            <w:r>
              <w:rPr>
                <w:rFonts w:ascii="Calibri" w:cs="Calibri" w:eastAsia="DengXian" w:hAnsi="Calibri"/>
                <w:b/>
                <w:bCs/>
                <w:color w:val="4B5563"/>
                <w:sz w:val="15"/>
                <w:szCs w:val="15"/>
                <w:shd w:fill="E9EBEE" w:color="auto" w:val="clear"/>
              </w:rPr>
              <w:t xml:space="preserve"> 估算 </w:t>
            </w:r>
          </w:p>
        </w:tc>
        <w:tc>
          <w:tcPr>
            <w:tcW w:type="dxa" w:w="1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约+0.7；约+0.3</w:t>
            </w:r>
          </w:p>
        </w:tc>
      </w:tr>
      <w:tr>
        <w:trPr>
          <w:cantSplit/>
        </w:trPr>
        <w:tc>
          <w:tcPr>
            <w:tcW w:type="dxa" w:w="13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2026年一季度</w:t>
            </w:r>
          </w:p>
        </w:tc>
        <w:tc>
          <w:tcPr>
            <w:tcW w:type="dxa" w:w="14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约4.9%</w:t>
            </w:r>
          </w:p>
        </w:tc>
        <w:tc>
          <w:tcPr>
            <w:tcW w:type="dxa" w:w="46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新发放贷款加权利率3.23%（3月）</w:t>
            </w:r>
          </w:p>
        </w:tc>
        <w:tc>
          <w:tcPr>
            <w:tcW w:type="dxa" w:w="19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约+1.7</w:t>
            </w:r>
          </w:p>
        </w:tc>
      </w:tr>
      <w:tr>
        <w:trPr>
          <w:cantSplit/>
        </w:trPr>
        <w:tc>
          <w:tcPr>
            <w:tcW w:type="dxa" w:w="13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2026年二季度</w:t>
            </w:r>
          </w:p>
        </w:tc>
        <w:tc>
          <w:tcPr>
            <w:tcW w:type="dxa" w:w="14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约5.8%—5.9%</w:t>
            </w:r>
          </w:p>
        </w:tc>
        <w:tc>
          <w:tcPr>
            <w:tcW w:type="dxa" w:w="46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新发放贷款3.05%（6月），一般贷款3.51%</w:t>
            </w:r>
            <w:r>
              <w:rPr>
                <w:rStyle w:val="FootnoteReference"/>
              </w:rPr>
              <w:footnoteReference w:id="12"/>
            </w:r>
            <w:r>
              <w:rPr>
                <w:rFonts w:ascii="Calibri" w:cs="Calibri" w:eastAsia="DengXian" w:hAnsi="Calibri"/>
                <w:b w:val="false"/>
                <w:bCs w:val="false"/>
                <w:color w:val="1F2328"/>
                <w:sz w:val="18"/>
                <w:szCs w:val="18"/>
              </w:rPr>
              <w:t xml:space="preserve">；10年期国债1.675%（9月30日）</w:t>
            </w:r>
            <w:r>
              <w:rPr>
                <w:rStyle w:val="FootnoteReference"/>
              </w:rPr>
              <w:footnoteReference w:id="13"/>
            </w:r>
          </w:p>
        </w:tc>
        <w:tc>
          <w:tcPr>
            <w:tcW w:type="dxa" w:w="1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约+2.8；约+2.3；约+4.2</w:t>
            </w:r>
          </w:p>
        </w:tc>
      </w:tr>
    </w:tbl>
    <w:p>
      <w:pPr>
        <w:spacing w:after="120"/>
      </w:pPr>
    </w:p>
    <w:p>
      <w:pPr>
        <w:spacing w:after="140" w:line="340"/>
        <w:jc w:val="both"/>
      </w:pPr>
      <w:r>
        <w:rPr>
          <w:rFonts w:ascii="Calibri" w:cs="Calibri" w:eastAsia="DengXian" w:hAnsi="Calibri"/>
          <w:b w:val="false"/>
          <w:bCs w:val="false"/>
          <w:color w:val="1F2328"/>
          <w:sz w:val="21"/>
          <w:szCs w:val="21"/>
        </w:rPr>
        <w:t xml:space="preserve">表中2025年的利率，由2026年6月的水平加上央行报告给出的同比降幅倒推得到。</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二季度利率与增长之间的差距明显扩大，这是一次实质改善。</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它不足以说明去杠杆已经成立。总债务增长7.2%，名义GDP增长约5.85%，照此持续一年，杠杆率会上升约4个百分点（308%乘以1.3—1.4个百分点）</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。要让杠杆率持续下降，名义增速需要持续高于约7%，或者债务增速降到名义增速以下。</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另外，3.05%是新发放贷款的利率。存量债务的平均成本没有公布，城投非标等融资更贵，所以按存量口径计算的差距会更小。</w:t>
      </w:r>
      <w:r>
        <w:rPr>
          <w:rFonts w:ascii="Calibri" w:cs="Calibri" w:eastAsia="DengXian" w:hAnsi="Calibri"/>
          <w:b/>
          <w:bCs/>
          <w:color w:val="4B5563"/>
          <w:sz w:val="18"/>
          <w:szCs w:val="18"/>
          <w:shd w:fill="E9EBEE" w:color="auto" w:val="clear"/>
        </w:rPr>
        <w:t xml:space="preserve"> 未定 </w:t>
      </w:r>
    </w:p>
    <w:p>
      <w:pPr>
        <w:spacing w:after="140" w:line="340"/>
        <w:jc w:val="both"/>
      </w:pPr>
      <w:r>
        <w:rPr>
          <w:rFonts w:ascii="Calibri" w:cs="Calibri" w:eastAsia="DengXian" w:hAnsi="Calibri"/>
          <w:b w:val="false"/>
          <w:bCs w:val="false"/>
          <w:color w:val="1F2328"/>
          <w:sz w:val="21"/>
          <w:szCs w:val="21"/>
        </w:rPr>
        <w:t xml:space="preserve">分部门看，同一道检验的结果差别很大。达利欧的规则对每一个负债主体都成立：收入增速高于融资成本，它的负担才减轻。</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202"/>
        <w:gridCol w:w="3384"/>
        <w:gridCol w:w="2922"/>
        <w:gridCol w:w="1904"/>
      </w:tblGrid>
      <w:tr>
        <w:trPr>
          <w:cantSplit/>
          <w:tblHeader/>
        </w:trPr>
        <w:tc>
          <w:tcPr>
            <w:tcW w:type="dxa" w:w="120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部门</w:t>
            </w:r>
          </w:p>
        </w:tc>
        <w:tc>
          <w:tcPr>
            <w:tcW w:type="dxa" w:w="338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收入增速（事实）</w:t>
            </w:r>
          </w:p>
        </w:tc>
        <w:tc>
          <w:tcPr>
            <w:tcW w:type="dxa" w:w="292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融资成本或资产端（事实）</w:t>
            </w:r>
          </w:p>
        </w:tc>
        <w:tc>
          <w:tcPr>
            <w:tcW w:type="dxa" w:w="190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结果（推断）</w:t>
            </w:r>
          </w:p>
        </w:tc>
      </w:tr>
      <w:tr>
        <w:trPr>
          <w:cantSplit/>
        </w:trPr>
        <w:tc>
          <w:tcPr>
            <w:tcW w:type="dxa" w:w="120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中央政府</w:t>
            </w:r>
          </w:p>
        </w:tc>
        <w:tc>
          <w:tcPr>
            <w:tcW w:type="dxa" w:w="33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1—8月中央一般公共预算收入+9.1%，全国税收+6.6%</w:t>
            </w:r>
            <w:r>
              <w:rPr>
                <w:rStyle w:val="FootnoteReference"/>
              </w:rPr>
              <w:footnoteReference w:id="14"/>
            </w:r>
          </w:p>
        </w:tc>
        <w:tc>
          <w:tcPr>
            <w:tcW w:type="dxa" w:w="2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10年期国债1.675%</w:t>
            </w:r>
          </w:p>
        </w:tc>
        <w:tc>
          <w:tcPr>
            <w:tcW w:type="dxa" w:w="190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改善明显</w:t>
            </w:r>
          </w:p>
        </w:tc>
      </w:tr>
      <w:tr>
        <w:trPr>
          <w:cantSplit/>
        </w:trPr>
        <w:tc>
          <w:tcPr>
            <w:tcW w:type="dxa" w:w="120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上游资源与电子企业</w:t>
            </w:r>
          </w:p>
        </w:tc>
        <w:tc>
          <w:tcPr>
            <w:tcW w:type="dxa" w:w="33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1—8月采矿业利润+35.1%；电子行业利润增长约1.1倍</w:t>
            </w:r>
            <w:r>
              <w:rPr>
                <w:rStyle w:val="FootnoteReference"/>
              </w:rPr>
              <w:footnoteReference w:id="15"/>
            </w:r>
            <w:r>
              <w:rPr>
                <w:rFonts w:ascii="Calibri" w:cs="Calibri" w:eastAsia="DengXian" w:hAnsi="Calibri"/>
                <w:color w:val="1F2328"/>
                <w:sz w:val="18"/>
                <w:szCs w:val="18"/>
                <w:vertAlign w:val="superscript"/>
              </w:rPr>
              <w:t xml:space="preserve">,</w:t>
            </w:r>
            <w:r>
              <w:rPr>
                <w:rStyle w:val="FootnoteReference"/>
              </w:rPr>
              <w:footnoteReference w:id="16"/>
            </w:r>
          </w:p>
        </w:tc>
        <w:tc>
          <w:tcPr>
            <w:tcW w:type="dxa" w:w="29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企业新发放贷款利率约3.0%</w:t>
            </w:r>
          </w:p>
        </w:tc>
        <w:tc>
          <w:tcPr>
            <w:tcW w:type="dxa" w:w="190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改善明显</w:t>
            </w:r>
          </w:p>
        </w:tc>
      </w:tr>
      <w:tr>
        <w:trPr>
          <w:cantSplit/>
        </w:trPr>
        <w:tc>
          <w:tcPr>
            <w:tcW w:type="dxa" w:w="120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下游消费品企业</w:t>
            </w:r>
          </w:p>
        </w:tc>
        <w:tc>
          <w:tcPr>
            <w:tcW w:type="dxa" w:w="33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8月消费品出厂价格−0.5%</w:t>
            </w:r>
            <w:r>
              <w:rPr>
                <w:rStyle w:val="FootnoteReference"/>
              </w:rPr>
              <w:footnoteReference w:id="17"/>
            </w:r>
            <w:r>
              <w:rPr>
                <w:rFonts w:ascii="Calibri" w:cs="Calibri" w:eastAsia="DengXian" w:hAnsi="Calibri"/>
                <w:b w:val="false"/>
                <w:bCs w:val="false"/>
                <w:color w:val="1F2328"/>
                <w:sz w:val="18"/>
                <w:szCs w:val="18"/>
              </w:rPr>
              <w:t xml:space="preserve">；1—8月酒、饮料和精制茶利润−34.7%</w:t>
            </w:r>
            <w:r>
              <w:rPr>
                <w:rStyle w:val="FootnoteReference"/>
              </w:rPr>
              <w:footnoteReference w:id="18"/>
            </w:r>
          </w:p>
        </w:tc>
        <w:tc>
          <w:tcPr>
            <w:tcW w:type="dxa" w:w="2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按消费品价格计的实际利率约+3.5%</w:t>
            </w:r>
            <w:r>
              <w:rPr>
                <w:rFonts w:ascii="Calibri" w:cs="Calibri" w:eastAsia="DengXian" w:hAnsi="Calibri"/>
                <w:b/>
                <w:bCs/>
                <w:color w:val="4B5563"/>
                <w:sz w:val="15"/>
                <w:szCs w:val="15"/>
                <w:shd w:fill="E9EBEE" w:color="auto" w:val="clear"/>
              </w:rPr>
              <w:t xml:space="preserve"> 估算 </w:t>
            </w:r>
          </w:p>
        </w:tc>
        <w:tc>
          <w:tcPr>
            <w:tcW w:type="dxa" w:w="190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没有改善</w:t>
            </w:r>
          </w:p>
        </w:tc>
      </w:tr>
      <w:tr>
        <w:trPr>
          <w:cantSplit/>
        </w:trPr>
        <w:tc>
          <w:tcPr>
            <w:tcW w:type="dxa" w:w="120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w:t>
            </w:r>
          </w:p>
        </w:tc>
        <w:tc>
          <w:tcPr>
            <w:tcW w:type="dxa" w:w="338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上半年人均可支配收入名义+5.2%</w:t>
            </w:r>
            <w:r>
              <w:rPr>
                <w:rStyle w:val="FootnoteReference"/>
              </w:rPr>
              <w:footnoteReference w:id="19"/>
            </w:r>
          </w:p>
        </w:tc>
        <w:tc>
          <w:tcPr>
            <w:tcW w:type="dxa" w:w="292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新发放房贷利率约3.05%；百城二手房价格9月同比−6.94%</w:t>
            </w:r>
            <w:r>
              <w:rPr>
                <w:rStyle w:val="FootnoteReference"/>
              </w:rPr>
              <w:footnoteReference w:id="20"/>
            </w:r>
          </w:p>
        </w:tc>
        <w:tc>
          <w:tcPr>
            <w:tcW w:type="dxa" w:w="190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收入端改善，资产端恶化，住户继续还债</w:t>
            </w:r>
          </w:p>
        </w:tc>
      </w:tr>
      <w:tr>
        <w:trPr>
          <w:cantSplit/>
        </w:trPr>
        <w:tc>
          <w:tcPr>
            <w:tcW w:type="dxa" w:w="120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地方政府</w:t>
            </w:r>
          </w:p>
        </w:tc>
        <w:tc>
          <w:tcPr>
            <w:tcW w:type="dxa" w:w="338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1—8月国有土地出让收入−28.6%，政府性基金收入−22.9%</w:t>
            </w:r>
            <w:r>
              <w:rPr>
                <w:rStyle w:val="FootnoteReference"/>
              </w:rPr>
              <w:footnoteReference w:id="21"/>
            </w:r>
          </w:p>
        </w:tc>
        <w:tc>
          <w:tcPr>
            <w:tcW w:type="dxa" w:w="292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置换后的利息成本下降约2.5个百分点</w:t>
            </w:r>
            <w:r>
              <w:rPr>
                <w:rStyle w:val="FootnoteReference"/>
              </w:rPr>
              <w:footnoteReference w:id="22"/>
            </w:r>
          </w:p>
        </w:tc>
        <w:tc>
          <w:tcPr>
            <w:tcW w:type="dxa" w:w="190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没有改善</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这轮改善落在偿债压力最小的部门：中央政府、上游资源企业和电子企业。债务压力最大的地方政府和开发商，以及持有贬值房产的住户，没有分到。</w:t>
      </w:r>
      <w:r>
        <w:rPr>
          <w:rFonts w:ascii="Calibri" w:cs="Calibri" w:eastAsia="DengXian" w:hAnsi="Calibri"/>
          <w:b/>
          <w:bCs/>
          <w:color w:val="1E6B34"/>
          <w:sz w:val="18"/>
          <w:szCs w:val="18"/>
          <w:shd w:fill="E2F1E5" w:color="auto" w:val="clear"/>
        </w:rPr>
        <w:t xml:space="preserve"> 置信度 高 </w:t>
      </w:r>
    </w:p>
    <w:p>
      <w:pPr>
        <w:pStyle w:val="Heading2"/>
        <w:keepNext/>
        <w:spacing w:after="140" w:before="340"/>
      </w:pPr>
      <w:r>
        <w:rPr>
          <w:rFonts w:ascii="Calibri" w:cs="Calibri" w:eastAsia="Microsoft YaHei" w:hAnsi="Calibri"/>
          <w:b/>
          <w:bCs/>
          <w:color w:val="1F3A5F"/>
          <w:sz w:val="26"/>
          <w:szCs w:val="26"/>
        </w:rPr>
        <w:t xml:space="preserve">5.3 价格回升从哪里来：以供给侧和外部因素为主，缺少内需拉动</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二季度平减指数转正几乎全部来自油价和芯片"（约85%）。这一步证据不足，本版撤回。进口原油涨价在GDP核算里属于进口成本，它对GDP平减指数的净作用取决于成本能否转嫁，方向本身就不确定。本版只保留证据支持的部分：价格回升以供给侧和外部因素为主，缺少国内需求拉动的证据。</w:t>
            </w:r>
          </w:p>
        </w:tc>
      </w:tr>
    </w:tbl>
    <w:p>
      <w:pPr>
        <w:spacing w:after="140"/>
      </w:pPr>
    </w:p>
    <w:p>
      <w:pPr>
        <w:spacing w:after="140" w:line="340"/>
        <w:jc w:val="both"/>
      </w:pPr>
      <w:r>
        <w:rPr>
          <w:rFonts w:ascii="Calibri" w:cs="Calibri" w:eastAsia="DengXian" w:hAnsi="Calibri"/>
          <w:b/>
          <w:bCs/>
          <w:color w:val="111827"/>
          <w:sz w:val="21"/>
          <w:szCs w:val="21"/>
        </w:rPr>
        <w:t xml:space="preserve">为什么油价的作用说不清。</w:t>
      </w:r>
      <w:r>
        <w:rPr>
          <w:rFonts w:ascii="Calibri" w:cs="Calibri" w:eastAsia="DengXian" w:hAnsi="Calibri"/>
          <w:b w:val="false"/>
          <w:bCs w:val="false"/>
          <w:color w:val="1F2328"/>
          <w:sz w:val="21"/>
          <w:szCs w:val="21"/>
        </w:rPr>
        <w:t xml:space="preserve"> GDP衡量的是国内生产的增加值。对石油进口国来说，进口油价上涨首先是一项成本。如果国内企业没有把它转嫁到售价上，下游企业的增加值被挤压，真实的平减指数会被压低。国内煤炭和油气开采企业会受益，下游企业会受损，这部分只是国内企业之间的转移。只有转嫁到最终价格的部分，才会推高名义GDP。另一方面，中国季度GDP主要从生产端估算；IMF指出，中国缺少支出端的季度核算，并大量使用只用产出价格平减增加值的"单缩法"</w:t>
      </w:r>
      <w:r>
        <w:rPr>
          <w:rStyle w:val="FootnoteReference"/>
        </w:rPr>
        <w:footnoteReference w:id="23"/>
      </w:r>
      <w:r>
        <w:rPr>
          <w:rFonts w:ascii="Calibri" w:cs="Calibri" w:eastAsia="DengXian" w:hAnsi="Calibri"/>
          <w:b w:val="false"/>
          <w:bCs w:val="false"/>
          <w:color w:val="1F2328"/>
          <w:sz w:val="21"/>
          <w:szCs w:val="21"/>
        </w:rPr>
        <w:t xml:space="preserve">。在这种方法下，出厂价格的上涨会直接计入统计上的价格上升，下游企业被成本挤压的部分却不会体现为价格下降，所以统计上的平减指数可能偏高。两种作用方向相反，现有公开数据无法把它们分开。</w:t>
      </w:r>
      <w:r>
        <w:rPr>
          <w:rFonts w:ascii="Calibri" w:cs="Calibri" w:eastAsia="DengXian" w:hAnsi="Calibri"/>
          <w:b/>
          <w:bCs/>
          <w:color w:val="4B5563"/>
          <w:sz w:val="18"/>
          <w:szCs w:val="18"/>
          <w:shd w:fill="E9EBEE" w:color="auto" w:val="clear"/>
        </w:rPr>
        <w:t xml:space="preserve"> 未定 </w:t>
      </w:r>
    </w:p>
    <w:p>
      <w:pPr>
        <w:spacing w:after="140" w:line="340"/>
        <w:jc w:val="both"/>
      </w:pPr>
      <w:r>
        <w:rPr>
          <w:rFonts w:ascii="Calibri" w:cs="Calibri" w:eastAsia="DengXian" w:hAnsi="Calibri"/>
          <w:b/>
          <w:bCs/>
          <w:color w:val="111827"/>
          <w:sz w:val="21"/>
          <w:szCs w:val="21"/>
        </w:rPr>
        <w:t xml:space="preserve">可能的推动因素有五个。</w:t>
      </w:r>
      <w:r>
        <w:rPr>
          <w:rFonts w:ascii="Calibri" w:cs="Calibri" w:eastAsia="DengXian" w:hAnsi="Calibri"/>
          <w:b w:val="false"/>
          <w:bCs w:val="false"/>
          <w:color w:val="1F2328"/>
          <w:sz w:val="21"/>
          <w:szCs w:val="21"/>
        </w:rPr>
        <w:t xml:space="preserve"> 第一，芯片等出口产品涨价：8月半导体出口金额增长129.8%，芯片出口数量约下降8%</w:t>
      </w:r>
      <w:r>
        <w:rPr>
          <w:rStyle w:val="FootnoteReference"/>
        </w:rPr>
        <w:footnoteReference w:id="24"/>
      </w:r>
      <w:r>
        <w:rPr>
          <w:rFonts w:ascii="Calibri" w:cs="Calibri" w:eastAsia="DengXian" w:hAnsi="Calibri"/>
          <w:color w:val="1F2328"/>
          <w:sz w:val="21"/>
          <w:szCs w:val="21"/>
          <w:vertAlign w:val="superscript"/>
        </w:rPr>
        <w:t xml:space="preserve">,</w:t>
      </w:r>
      <w:r>
        <w:rPr>
          <w:rStyle w:val="FootnoteReference"/>
        </w:rPr>
        <w:footnoteReference w:id="25"/>
      </w:r>
      <w:r>
        <w:rPr>
          <w:rFonts w:ascii="Calibri" w:cs="Calibri" w:eastAsia="DengXian" w:hAnsi="Calibri"/>
          <w:b w:val="false"/>
          <w:bCs w:val="false"/>
          <w:color w:val="1F2328"/>
          <w:sz w:val="21"/>
          <w:szCs w:val="21"/>
        </w:rPr>
        <w:t xml:space="preserve">。第二，反内卷对供给的限制：1—8月煤炭开采和洗选业利润增长51.6%</w:t>
      </w:r>
      <w:r>
        <w:rPr>
          <w:rStyle w:val="FootnoteReference"/>
        </w:rPr>
        <w:footnoteReference w:id="26"/>
      </w:r>
      <w:r>
        <w:rPr>
          <w:rFonts w:ascii="Calibri" w:cs="Calibri" w:eastAsia="DengXian" w:hAnsi="Calibri"/>
          <w:b w:val="false"/>
          <w:bCs w:val="false"/>
          <w:color w:val="1F2328"/>
          <w:sz w:val="21"/>
          <w:szCs w:val="21"/>
        </w:rPr>
        <w:t xml:space="preserve">。第三，2025年的低基数。第四，国内能源价格向终端传导：8月汽油价格环比上涨7.2%</w:t>
      </w:r>
      <w:r>
        <w:rPr>
          <w:rStyle w:val="FootnoteReference"/>
        </w:rPr>
        <w:footnoteReference w:id="27"/>
      </w:r>
      <w:r>
        <w:rPr>
          <w:rFonts w:ascii="Calibri" w:cs="Calibri" w:eastAsia="DengXian" w:hAnsi="Calibri"/>
          <w:b w:val="false"/>
          <w:bCs w:val="false"/>
          <w:color w:val="1F2328"/>
          <w:sz w:val="21"/>
          <w:szCs w:val="21"/>
        </w:rPr>
        <w:t xml:space="preserve">。第五，全球有色金属涨价：1—8月有色冶炼利润增长82.9%</w:t>
      </w:r>
      <w:r>
        <w:rPr>
          <w:rStyle w:val="FootnoteReference"/>
        </w:rPr>
        <w:footnoteReference w:id="28"/>
      </w:r>
      <w:r>
        <w:rPr>
          <w:rFonts w:ascii="Calibri" w:cs="Calibri" w:eastAsia="DengXian" w:hAnsi="Calibri"/>
          <w:b w:val="false"/>
          <w:bCs w:val="false"/>
          <w:color w:val="1F2328"/>
          <w:sz w:val="21"/>
          <w:szCs w:val="21"/>
        </w:rPr>
        <w:t xml:space="preserve">。它们各占多少，现有数据拆不开。</w:t>
      </w:r>
      <w:r>
        <w:rPr>
          <w:rFonts w:ascii="Calibri" w:cs="Calibri" w:eastAsia="DengXian" w:hAnsi="Calibri"/>
          <w:b/>
          <w:bCs/>
          <w:color w:val="4B5563"/>
          <w:sz w:val="18"/>
          <w:szCs w:val="18"/>
          <w:shd w:fill="E9EBEE" w:color="auto" w:val="clear"/>
        </w:rPr>
        <w:t xml:space="preserve"> 未定 </w:t>
      </w:r>
      <w:r>
        <w:rPr>
          <w:rFonts w:ascii="Calibri" w:cs="Calibri" w:eastAsia="DengXian" w:hAnsi="Calibri"/>
          <w:b w:val="false"/>
          <w:bCs w:val="false"/>
          <w:color w:val="1F2328"/>
          <w:sz w:val="21"/>
          <w:szCs w:val="21"/>
        </w:rPr>
        <w:t xml:space="preserve">这五个因素里没有一个是国内居民需求。</w:t>
      </w:r>
    </w:p>
    <w:p>
      <w:pPr>
        <w:spacing w:after="140" w:line="340"/>
        <w:jc w:val="both"/>
      </w:pPr>
      <w:r>
        <w:rPr>
          <w:rFonts w:ascii="Calibri" w:cs="Calibri" w:eastAsia="DengXian" w:hAnsi="Calibri"/>
          <w:b/>
          <w:bCs/>
          <w:color w:val="111827"/>
          <w:sz w:val="21"/>
          <w:szCs w:val="21"/>
        </w:rPr>
        <w:t xml:space="preserve">检验：如果是内需拉动，数据应当是什么样。</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336"/>
        <w:gridCol w:w="1727"/>
        <w:gridCol w:w="4643"/>
        <w:gridCol w:w="1706"/>
      </w:tblGrid>
      <w:tr>
        <w:trPr>
          <w:cantSplit/>
          <w:tblHeader/>
        </w:trPr>
        <w:tc>
          <w:tcPr>
            <w:tcW w:type="dxa" w:w="133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172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内需拉动时应有的样子</w:t>
            </w:r>
          </w:p>
        </w:tc>
        <w:tc>
          <w:tcPr>
            <w:tcW w:type="dxa" w:w="464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实际数据</w:t>
            </w:r>
          </w:p>
        </w:tc>
        <w:tc>
          <w:tcPr>
            <w:tcW w:type="dxa" w:w="170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读数</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出厂价格结构</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消费品价格领涨</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8月采掘业+17.8%，消费品−0.5%，工业生产者购进价格+5.8%</w:t>
            </w:r>
            <w:r>
              <w:rPr>
                <w:rStyle w:val="FootnoteReference"/>
              </w:rPr>
              <w:footnoteReference w:id="29"/>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供给侧与外部推动</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核心CPI与服务价格</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核心CPI向2%靠近，服务收费上升</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核心CPI在0.8%—1.2%之间横盘，8月为1.0%；9月RatingDog服务业收费价格降幅为2022年4月以来最大</w:t>
            </w:r>
            <w:r>
              <w:rPr>
                <w:rStyle w:val="FootnoteReference"/>
              </w:rPr>
              <w:footnoteReference w:id="30"/>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没有需求拉动</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房租</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上涨</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8月CPI中房租−0.6%，连续5个月下降</w:t>
            </w:r>
            <w:r>
              <w:rPr>
                <w:rStyle w:val="FootnoteReference"/>
              </w:rPr>
              <w:footnoteReference w:id="31"/>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没有需求拉动</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商品消费</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加速</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社零6月+1.0%、7月+0.6%、8月+0.4%</w:t>
            </w:r>
            <w:r>
              <w:rPr>
                <w:rStyle w:val="FootnoteReference"/>
              </w:rPr>
              <w:footnoteReference w:id="32"/>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偏弱</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餐饮消费</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加速</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1—8月餐饮收入+2.4%</w:t>
            </w:r>
            <w:r>
              <w:rPr>
                <w:rStyle w:val="FootnoteReference"/>
              </w:rPr>
              <w:footnoteReference w:id="33"/>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温和增长（反向证据）</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住户信用</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扩张</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1—8月住户贷款净减少1.03万亿元</w:t>
            </w:r>
            <w:r>
              <w:rPr>
                <w:rStyle w:val="FootnoteReference"/>
              </w:rPr>
              <w:footnoteReference w:id="34"/>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没有需求拉动</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总信用</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加速</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社融存量增速从2025年末8.3%降到8月7.2%；人民币贷款增速4.9%</w:t>
            </w:r>
            <w:r>
              <w:rPr>
                <w:rStyle w:val="FootnoteReference"/>
              </w:rPr>
              <w:footnoteReference w:id="35"/>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偏弱</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产能利用率</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上升</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二季度73.0%，约六年低点</w:t>
            </w:r>
            <w:r>
              <w:rPr>
                <w:rStyle w:val="FootnoteReference"/>
              </w:rPr>
              <w:footnoteReference w:id="36"/>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需求不足</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央行购债</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大规模</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1—8月国债净买入约4000亿元</w:t>
            </w:r>
            <w:r>
              <w:rPr>
                <w:rFonts w:ascii="Calibri" w:cs="Calibri" w:eastAsia="DengXian" w:hAnsi="Calibri"/>
                <w:b/>
                <w:bCs/>
                <w:color w:val="4B5563"/>
                <w:sz w:val="15"/>
                <w:szCs w:val="15"/>
                <w:shd w:fill="E9EBEE" w:color="auto" w:val="clear"/>
              </w:rPr>
              <w:t xml:space="preserve"> 估算 </w:t>
            </w:r>
            <w:r>
              <w:rPr>
                <w:rStyle w:val="FootnoteReference"/>
              </w:rPr>
              <w:footnoteReference w:id="37"/>
            </w:r>
            <w:r>
              <w:rPr>
                <w:rFonts w:ascii="Calibri" w:cs="Calibri" w:eastAsia="DengXian" w:hAnsi="Calibri"/>
                <w:color w:val="1F2328"/>
                <w:sz w:val="18"/>
                <w:szCs w:val="18"/>
                <w:vertAlign w:val="superscript"/>
              </w:rPr>
              <w:t xml:space="preserve">,</w:t>
            </w:r>
            <w:r>
              <w:rPr>
                <w:rStyle w:val="FootnoteReference"/>
              </w:rPr>
              <w:footnoteReference w:id="38"/>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印钞很少</w:t>
            </w:r>
          </w:p>
        </w:tc>
      </w:tr>
      <w:tr>
        <w:trPr>
          <w:cantSplit/>
        </w:trPr>
        <w:tc>
          <w:tcPr>
            <w:tcW w:type="dxa" w:w="133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w:t>
            </w:r>
          </w:p>
        </w:tc>
        <w:tc>
          <w:tcPr>
            <w:tcW w:type="dxa" w:w="172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上行</w:t>
            </w:r>
          </w:p>
        </w:tc>
        <w:tc>
          <w:tcPr>
            <w:tcW w:type="dxa" w:w="464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9月30日为1.675%，离历史低点1.596%只差约8个基点</w:t>
            </w:r>
            <w:r>
              <w:rPr>
                <w:rStyle w:val="FootnoteReference"/>
              </w:rPr>
              <w:footnoteReference w:id="39"/>
            </w:r>
          </w:p>
        </w:tc>
        <w:tc>
          <w:tcPr>
            <w:tcW w:type="dxa" w:w="17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市场没有给持续再通胀定价</w:t>
            </w:r>
          </w:p>
        </w:tc>
      </w:tr>
      <w:tr>
        <w:trPr>
          <w:cantSplit/>
        </w:trPr>
        <w:tc>
          <w:tcPr>
            <w:tcW w:type="dxa" w:w="133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民营企业利润</w:t>
            </w:r>
          </w:p>
        </w:tc>
        <w:tc>
          <w:tcPr>
            <w:tcW w:type="dxa" w:w="172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扩张</w:t>
            </w:r>
          </w:p>
        </w:tc>
        <w:tc>
          <w:tcPr>
            <w:tcW w:type="dxa" w:w="464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1—8月私营企业利润+10.4%</w:t>
            </w:r>
            <w:r>
              <w:rPr>
                <w:rStyle w:val="FootnoteReference"/>
              </w:rPr>
              <w:footnoteReference w:id="40"/>
            </w:r>
          </w:p>
        </w:tc>
        <w:tc>
          <w:tcPr>
            <w:tcW w:type="dxa" w:w="17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部分改善（反向证据）</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11项指标中，9项不支持内需拉动，2项显示局部需求在改善。"价格回升以供给侧和外部因素为主、缺少内需拉动"这一判断维持。</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"油价是主要推动力"降为</w:t>
      </w:r>
      <w:r>
        <w:rPr>
          <w:rFonts w:ascii="Calibri" w:cs="Calibri" w:eastAsia="DengXian" w:hAnsi="Calibri"/>
          <w:b/>
          <w:bCs/>
          <w:color w:val="A61B1B"/>
          <w:sz w:val="18"/>
          <w:szCs w:val="18"/>
          <w:shd w:fill="FBE1E1" w:color="auto" w:val="clear"/>
        </w:rPr>
        <w:t xml:space="preserve"> 置信度 低 </w:t>
      </w:r>
      <w:r>
        <w:rPr>
          <w:rFonts w:ascii="Calibri" w:cs="Calibri" w:eastAsia="DengXian" w:hAnsi="Calibri"/>
          <w:b w:val="false"/>
          <w:bCs w:val="false"/>
          <w:color w:val="1F2328"/>
          <w:sz w:val="21"/>
          <w:szCs w:val="21"/>
        </w:rPr>
        <w:t xml:space="preserve">，各因素的具体份额无法识别。外部机构的判断方向相近：彭博把平减指数转正主要归因于全球能源价格，国内需求没有明显回升</w:t>
      </w:r>
      <w:r>
        <w:rPr>
          <w:rStyle w:val="FootnoteReference"/>
        </w:rPr>
        <w:footnoteReference w:id="41"/>
      </w:r>
      <w:r>
        <w:rPr>
          <w:rFonts w:ascii="Calibri" w:cs="Calibri" w:eastAsia="DengXian" w:hAnsi="Calibri"/>
          <w:b w:val="false"/>
          <w:bCs w:val="false"/>
          <w:color w:val="1F2328"/>
          <w:sz w:val="21"/>
          <w:szCs w:val="21"/>
        </w:rPr>
        <w:t xml:space="preserve">；世界银行7月预计，能源推动的价格回升会因内需疲弱而消退</w:t>
      </w:r>
      <w:r>
        <w:rPr>
          <w:rStyle w:val="FootnoteReference"/>
        </w:rPr>
        <w:footnoteReference w:id="42"/>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111827"/>
          <w:sz w:val="21"/>
          <w:szCs w:val="21"/>
        </w:rPr>
        <w:t xml:space="preserve">一个反向证据。</w:t>
      </w:r>
      <w:r>
        <w:rPr>
          <w:rFonts w:ascii="Calibri" w:cs="Calibri" w:eastAsia="DengXian" w:hAnsi="Calibri"/>
          <w:b w:val="false"/>
          <w:bCs w:val="false"/>
          <w:color w:val="1F2328"/>
          <w:sz w:val="21"/>
          <w:szCs w:val="21"/>
        </w:rPr>
        <w:t xml:space="preserve"> 平减指数在战争爆发前已经在改善：从2025年二季度的约−1.3%，升到四季度的约−0.6%至−0.7%，2026年一季度约−0.1%</w:t>
      </w:r>
      <w:r>
        <w:rPr>
          <w:rStyle w:val="FootnoteReference"/>
        </w:rPr>
        <w:footnoteReference w:id="43"/>
      </w:r>
      <w:r>
        <w:rPr>
          <w:rFonts w:ascii="Calibri" w:cs="Calibri" w:eastAsia="DengXian" w:hAnsi="Calibri"/>
          <w:color w:val="1F2328"/>
          <w:sz w:val="21"/>
          <w:szCs w:val="21"/>
          <w:vertAlign w:val="superscript"/>
        </w:rPr>
        <w:t xml:space="preserve">,</w:t>
      </w:r>
      <w:r>
        <w:rPr>
          <w:rStyle w:val="FootnoteReference"/>
        </w:rPr>
        <w:footnoteReference w:id="44"/>
      </w:r>
      <w:r>
        <w:rPr>
          <w:rFonts w:ascii="Calibri" w:cs="Calibri" w:eastAsia="DengXian" w:hAnsi="Calibri"/>
          <w:color w:val="1F2328"/>
          <w:sz w:val="21"/>
          <w:szCs w:val="21"/>
          <w:vertAlign w:val="superscript"/>
        </w:rPr>
        <w:t xml:space="preserve">,</w:t>
      </w:r>
      <w:r>
        <w:rPr>
          <w:rStyle w:val="FootnoteReference"/>
        </w:rPr>
        <w:footnoteReference w:id="45"/>
      </w:r>
      <w:r>
        <w:rPr>
          <w:rFonts w:ascii="Calibri" w:cs="Calibri" w:eastAsia="DengXian" w:hAnsi="Calibri"/>
          <w:b w:val="false"/>
          <w:bCs w:val="false"/>
          <w:color w:val="1F2328"/>
          <w:sz w:val="21"/>
          <w:szCs w:val="21"/>
        </w:rPr>
        <w:t xml:space="preserve">。推动这段改善的主要是2025年7月开始的反内卷和PPI的基数效应，同样属于供给侧因素。黄益平也指出，价格回升约从2025年四季度开始，早于油价冲击</w:t>
      </w:r>
      <w:r>
        <w:rPr>
          <w:rStyle w:val="FootnoteReference"/>
        </w:rPr>
        <w:footnoteReference w:id="46"/>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111827"/>
          <w:sz w:val="21"/>
          <w:szCs w:val="21"/>
        </w:rPr>
        <w:t xml:space="preserve">生产端和支出端对不上。</w:t>
      </w:r>
      <w:r>
        <w:rPr>
          <w:rFonts w:ascii="Calibri" w:cs="Calibri" w:eastAsia="DengXian" w:hAnsi="Calibri"/>
          <w:b w:val="false"/>
          <w:bCs w:val="false"/>
          <w:color w:val="1F2328"/>
          <w:sz w:val="21"/>
          <w:szCs w:val="21"/>
        </w:rPr>
        <w:t xml:space="preserve"> 二季度生产端算出的名义增长约5.9%，支出端的名义指标却很弱：1—8月固定资产投资下降7.2%</w:t>
      </w:r>
      <w:r>
        <w:rPr>
          <w:rStyle w:val="FootnoteReference"/>
        </w:rPr>
        <w:footnoteReference w:id="47"/>
      </w:r>
      <w:r>
        <w:rPr>
          <w:rFonts w:ascii="Calibri" w:cs="Calibri" w:eastAsia="DengXian" w:hAnsi="Calibri"/>
          <w:b w:val="false"/>
          <w:bCs w:val="false"/>
          <w:color w:val="1F2328"/>
          <w:sz w:val="21"/>
          <w:szCs w:val="21"/>
        </w:rPr>
        <w:t xml:space="preserve">，社零增长1.1%</w:t>
      </w:r>
      <w:r>
        <w:rPr>
          <w:rStyle w:val="FootnoteReference"/>
        </w:rPr>
        <w:footnoteReference w:id="48"/>
      </w:r>
      <w:r>
        <w:rPr>
          <w:rFonts w:ascii="Calibri" w:cs="Calibri" w:eastAsia="DengXian" w:hAnsi="Calibri"/>
          <w:b w:val="false"/>
          <w:bCs w:val="false"/>
          <w:color w:val="1F2328"/>
          <w:sz w:val="21"/>
          <w:szCs w:val="21"/>
        </w:rPr>
        <w:t xml:space="preserve">，1—7月美元口径的贸易顺差只比上年同期多0.8%</w:t>
      </w:r>
      <w:r>
        <w:rPr>
          <w:rStyle w:val="FootnoteReference"/>
        </w:rPr>
        <w:footnoteReference w:id="49"/>
      </w:r>
      <w:r>
        <w:rPr>
          <w:rFonts w:ascii="Calibri" w:cs="Calibri" w:eastAsia="DengXian" w:hAnsi="Calibri"/>
          <w:b w:val="false"/>
          <w:bCs w:val="false"/>
          <w:color w:val="1F2328"/>
          <w:sz w:val="21"/>
          <w:szCs w:val="21"/>
        </w:rPr>
        <w:t xml:space="preserve">。固定资产投资和资本形成的统计口径不同，库存增加也计入GDP，这两点能解释一部分差距。剩下的部分提示，生产端的名义数字可能偏高。如果属实，二季度杠杆率的下降本身就被高估了。</w:t>
      </w:r>
      <w:r>
        <w:rPr>
          <w:rFonts w:ascii="Calibri" w:cs="Calibri" w:eastAsia="DengXian" w:hAnsi="Calibri"/>
          <w:b/>
          <w:bCs/>
          <w:color w:val="A1440B"/>
          <w:sz w:val="18"/>
          <w:szCs w:val="18"/>
          <w:shd w:fill="FCE6D6" w:color="auto" w:val="clear"/>
        </w:rPr>
        <w:t xml:space="preserve"> 置信度 中低 </w:t>
      </w:r>
    </w:p>
    <w:p>
      <w:pPr>
        <w:pStyle w:val="Heading2"/>
        <w:keepNext/>
        <w:spacing w:after="140" w:before="340"/>
      </w:pPr>
      <w:r>
        <w:rPr>
          <w:rFonts w:ascii="Calibri" w:cs="Calibri" w:eastAsia="Microsoft YaHei" w:hAnsi="Calibri"/>
          <w:b/>
          <w:bCs/>
          <w:color w:val="1F3A5F"/>
          <w:sz w:val="26"/>
          <w:szCs w:val="26"/>
        </w:rPr>
        <w:t xml:space="preserve">5.4 阶段定位："萧条"期仍在持续</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第1版写"中国处在'萧条'期后段"。"后段"暗示离结束不远，现有证据无法识别处在该阶段的哪个位置。本版改为："萧条"期仍在持续，目前看不到它结束的证据。</w:t>
            </w:r>
          </w:p>
        </w:tc>
      </w:tr>
    </w:tbl>
    <w:p>
      <w:pPr>
        <w:spacing w:after="140"/>
      </w:pP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194"/>
        <w:gridCol w:w="1557"/>
        <w:gridCol w:w="4903"/>
        <w:gridCol w:w="1758"/>
      </w:tblGrid>
      <w:tr>
        <w:trPr>
          <w:cantSplit/>
          <w:tblHeader/>
        </w:trPr>
        <w:tc>
          <w:tcPr>
            <w:tcW w:type="dxa" w:w="119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阶段</w:t>
            </w:r>
          </w:p>
        </w:tc>
        <w:tc>
          <w:tcPr>
            <w:tcW w:type="dxa" w:w="155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中国的时间（作者的应用）</w:t>
            </w:r>
          </w:p>
        </w:tc>
        <w:tc>
          <w:tcPr>
            <w:tcW w:type="dxa" w:w="490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依据（事实）</w:t>
            </w:r>
          </w:p>
        </w:tc>
        <w:tc>
          <w:tcPr>
            <w:tcW w:type="dxa" w:w="17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r>
      <w:tr>
        <w:trPr>
          <w:cantSplit/>
        </w:trPr>
        <w:tc>
          <w:tcPr>
            <w:tcW w:type="dxa" w:w="119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泡沫</w:t>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约2009—2020年</w:t>
            </w:r>
          </w:p>
        </w:tc>
        <w:tc>
          <w:tcPr>
            <w:tcW w:type="dxa" w:w="49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新房销售额在2021年达到峰值：财新链式口径约17.02万亿元，标普引用的公布口径约18.2万亿元</w:t>
            </w:r>
            <w:r>
              <w:rPr>
                <w:rStyle w:val="FootnoteReference"/>
              </w:rPr>
              <w:footnoteReference w:id="50"/>
            </w:r>
            <w:r>
              <w:rPr>
                <w:rFonts w:ascii="Calibri" w:cs="Calibri" w:eastAsia="DengXian" w:hAnsi="Calibri"/>
                <w:color w:val="1F2328"/>
                <w:sz w:val="18"/>
                <w:szCs w:val="18"/>
                <w:vertAlign w:val="superscript"/>
              </w:rPr>
              <w:t xml:space="preserve">,</w:t>
            </w:r>
            <w:r>
              <w:rPr>
                <w:rStyle w:val="FootnoteReference"/>
              </w:rPr>
              <w:footnoteReference w:id="51"/>
            </w:r>
          </w:p>
        </w:tc>
        <w:tc>
          <w:tcPr>
            <w:tcW w:type="dxa" w:w="17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9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顶部</w:t>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2021年</w:t>
            </w:r>
          </w:p>
        </w:tc>
        <w:tc>
          <w:tcPr>
            <w:tcW w:type="dxa" w:w="49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销售额和新开工在2021年见顶；到2025年，新开工比2021年初的峰值下降超过75%</w:t>
            </w:r>
            <w:r>
              <w:rPr>
                <w:rStyle w:val="FootnoteReference"/>
              </w:rPr>
              <w:footnoteReference w:id="52"/>
            </w:r>
          </w:p>
        </w:tc>
        <w:tc>
          <w:tcPr>
            <w:tcW w:type="dxa" w:w="17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119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"萧条"</w:t>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2022年至今</w:t>
            </w:r>
          </w:p>
        </w:tc>
        <w:tc>
          <w:tcPr>
            <w:tcW w:type="dxa" w:w="49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PPI自2022年10月起连续41个月为负</w:t>
            </w:r>
            <w:r>
              <w:rPr>
                <w:rStyle w:val="FootnoteReference"/>
              </w:rPr>
              <w:footnoteReference w:id="53"/>
            </w:r>
            <w:r>
              <w:rPr>
                <w:rFonts w:ascii="Calibri" w:cs="Calibri" w:eastAsia="DengXian" w:hAnsi="Calibri"/>
                <w:b w:val="false"/>
                <w:bCs w:val="false"/>
                <w:color w:val="1F2328"/>
                <w:sz w:val="18"/>
                <w:szCs w:val="18"/>
              </w:rPr>
              <w:t xml:space="preserve">；平减指数自2023年二季度起连续12个季度为负；2025年名义增速约4.0%；2026年一季度住户债务同比负增长，为1995年三季度以来首次</w:t>
            </w:r>
            <w:r>
              <w:rPr>
                <w:rStyle w:val="FootnoteReference"/>
              </w:rPr>
              <w:footnoteReference w:id="54"/>
            </w:r>
          </w:p>
        </w:tc>
        <w:tc>
          <w:tcPr>
            <w:tcW w:type="dxa" w:w="17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仍在持续</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所处位置</w:t>
            </w:r>
            <w:r>
              <w:rPr>
                <w:rFonts w:ascii="Calibri" w:cs="Calibri" w:eastAsia="DengXian" w:hAnsi="Calibri"/>
                <w:b/>
                <w:bCs/>
                <w:color w:val="A61B1B"/>
                <w:sz w:val="15"/>
                <w:szCs w:val="15"/>
                <w:shd w:fill="FBE1E1" w:color="auto" w:val="clear"/>
              </w:rPr>
              <w:t xml:space="preserve"> 低 </w:t>
            </w:r>
          </w:p>
        </w:tc>
      </w:tr>
      <w:tr>
        <w:trPr>
          <w:cantSplit/>
        </w:trPr>
        <w:tc>
          <w:tcPr>
            <w:tcW w:type="dxa" w:w="119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"漂亮的去杠杆"的尝试</w:t>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2024年9月起，没有完成</w:t>
            </w:r>
          </w:p>
        </w:tc>
        <w:tc>
          <w:tcPr>
            <w:tcW w:type="dxa" w:w="49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隐性债务置换；2025年5000亿元、2026年3000亿元特别国债注资金融机构</w:t>
            </w:r>
            <w:r>
              <w:rPr>
                <w:rStyle w:val="FootnoteReference"/>
              </w:rPr>
              <w:footnoteReference w:id="55"/>
            </w:r>
            <w:r>
              <w:rPr>
                <w:rFonts w:ascii="Calibri" w:cs="Calibri" w:eastAsia="DengXian" w:hAnsi="Calibri"/>
                <w:b w:val="false"/>
                <w:bCs w:val="false"/>
                <w:color w:val="1F2328"/>
                <w:sz w:val="18"/>
                <w:szCs w:val="18"/>
              </w:rPr>
              <w:t xml:space="preserve">；2025年10月恢复国债买卖</w:t>
            </w:r>
            <w:r>
              <w:rPr>
                <w:rStyle w:val="FootnoteReference"/>
              </w:rPr>
              <w:footnoteReference w:id="56"/>
            </w:r>
          </w:p>
        </w:tc>
        <w:tc>
          <w:tcPr>
            <w:tcW w:type="dxa" w:w="17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9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"推绳子"的症状</w:t>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住户部门，2024—2026年</w:t>
            </w:r>
          </w:p>
        </w:tc>
        <w:tc>
          <w:tcPr>
            <w:tcW w:type="dxa" w:w="49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住户中长期贷款在低利率下接近零增长（见5.5节）</w:t>
            </w:r>
          </w:p>
        </w:tc>
        <w:tc>
          <w:tcPr>
            <w:tcW w:type="dxa" w:w="17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r>
      <w:tr>
        <w:trPr>
          <w:cantSplit/>
        </w:trPr>
        <w:tc>
          <w:tcPr>
            <w:tcW w:type="dxa" w:w="119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正常化</w:t>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尚未到来</w:t>
            </w:r>
          </w:p>
        </w:tc>
        <w:tc>
          <w:tcPr>
            <w:tcW w:type="dxa" w:w="49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全国房价仍在下跌，私人信用仍在收缩</w:t>
            </w:r>
          </w:p>
        </w:tc>
        <w:tc>
          <w:tcPr>
            <w:tcW w:type="dxa" w:w="17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bl>
    <w:p>
      <w:pPr>
        <w:spacing w:after="120"/>
      </w:pPr>
    </w:p>
    <w:p>
      <w:pPr>
        <w:spacing w:after="140" w:line="340"/>
        <w:jc w:val="both"/>
      </w:pPr>
      <w:r>
        <w:rPr>
          <w:rFonts w:ascii="Calibri" w:cs="Calibri" w:eastAsia="DengXian" w:hAnsi="Calibri"/>
          <w:b w:val="false"/>
          <w:bCs w:val="false"/>
          <w:color w:val="1F2328"/>
          <w:sz w:val="21"/>
          <w:szCs w:val="21"/>
        </w:rPr>
        <w:t xml:space="preserve">在达利欧的框架里，"萧条"指偿债负担超过收入、资产价格下跌、违约和去杠杆同时发生的阶段。中国官方的实际GDP在这期间没有收缩，2025年仍增长5.0%。把2022年以来定为"萧条"期，依据的是名义变量：价格连续三年下跌，2025年名义增速约4.0%，路透引澳新银行的估计称，这是1976年以来除2020年外的最低值</w:t>
      </w:r>
      <w:r>
        <w:rPr>
          <w:rStyle w:val="FootnoteReference"/>
        </w:rPr>
        <w:footnoteReference w:id="57"/>
      </w:r>
      <w:r>
        <w:rPr>
          <w:rFonts w:ascii="Calibri" w:cs="Calibri" w:eastAsia="DengXian" w:hAnsi="Calibri"/>
          <w:b w:val="false"/>
          <w:bCs w:val="false"/>
          <w:color w:val="1F2328"/>
          <w:sz w:val="21"/>
          <w:szCs w:val="21"/>
        </w:rPr>
        <w:t xml:space="preserve">。普通的增长放缓，不会让价格连续三年下跌。达利欧本人在2024年9月说，中国的情况</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"at least as severe as the Japanese situation starting in 1990"（至少与1990年起的日本一样严重）</w:t>
      </w:r>
      <w:r>
        <w:rPr>
          <w:rStyle w:val="FootnoteReference"/>
        </w:rPr>
        <w:footnoteReference w:id="58"/>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官方实际GDP的可信度有争议：荣鼎咨询估计2025年实际增长只有2.5%—3.0%</w:t>
      </w:r>
      <w:r>
        <w:rPr>
          <w:rStyle w:val="FootnoteReference"/>
        </w:rPr>
        <w:footnoteReference w:id="59"/>
      </w:r>
      <w:r>
        <w:rPr>
          <w:rFonts w:ascii="Calibri" w:cs="Calibri" w:eastAsia="DengXian" w:hAnsi="Calibri"/>
          <w:b w:val="false"/>
          <w:bCs w:val="false"/>
          <w:color w:val="1F2328"/>
          <w:sz w:val="21"/>
          <w:szCs w:val="21"/>
        </w:rPr>
        <w:t xml:space="preserve">，芬兰央行转型经济研究所估计约4%</w:t>
      </w:r>
      <w:r>
        <w:rPr>
          <w:rStyle w:val="FootnoteReference"/>
        </w:rPr>
        <w:footnoteReference w:id="60"/>
      </w:r>
      <w:r>
        <w:rPr>
          <w:rFonts w:ascii="Calibri" w:cs="Calibri" w:eastAsia="DengXian" w:hAnsi="Calibri"/>
          <w:b w:val="false"/>
          <w:bCs w:val="false"/>
          <w:color w:val="1F2328"/>
          <w:sz w:val="21"/>
          <w:szCs w:val="21"/>
        </w:rPr>
        <w:t xml:space="preserve">，官方为5.0%。本节的判断主要依靠价格、信用、财政和资产价格数据，受实际GDP核算争议的影响较小。</w:t>
      </w:r>
    </w:p>
    <w:p>
      <w:pPr>
        <w:spacing w:after="140" w:line="340"/>
        <w:jc w:val="both"/>
      </w:pPr>
      <w:r>
        <w:rPr>
          <w:rFonts w:ascii="Calibri" w:cs="Calibri" w:eastAsia="DengXian" w:hAnsi="Calibri"/>
          <w:b w:val="false"/>
          <w:bCs w:val="false"/>
          <w:color w:val="1F2328"/>
          <w:sz w:val="21"/>
          <w:szCs w:val="21"/>
        </w:rPr>
        <w:t xml:space="preserve">"萧条"期结束需要两件事同时出现：在油价和基数效应不再推高价格的季度里，平减指数仍然为正；住户信用重新扩张。</w:t>
      </w:r>
    </w:p>
    <w:p>
      <w:pPr>
        <w:pStyle w:val="Heading2"/>
        <w:keepNext/>
        <w:spacing w:after="140" w:before="340"/>
      </w:pPr>
      <w:r>
        <w:rPr>
          <w:rFonts w:ascii="Calibri" w:cs="Calibri" w:eastAsia="Microsoft YaHei" w:hAnsi="Calibri"/>
          <w:b/>
          <w:bCs/>
          <w:color w:val="1F3A5F"/>
          <w:sz w:val="26"/>
          <w:szCs w:val="26"/>
        </w:rPr>
        <w:t xml:space="preserve">5.5 "推绳子"：症状出现在住户部门，政策工具没有用完</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1年期和5年期以上LPR分别为3.0%和3.5%，自2025年5月下调后，到2026年9月已连续16个月不变</w:t>
      </w:r>
      <w:r>
        <w:rPr>
          <w:rStyle w:val="FootnoteReference"/>
        </w:rPr>
        <w:footnoteReference w:id="61"/>
      </w:r>
      <w:r>
        <w:rPr>
          <w:rFonts w:ascii="Calibri" w:cs="Calibri" w:eastAsia="DengXian" w:hAnsi="Calibri"/>
          <w:b w:val="false"/>
          <w:bCs w:val="false"/>
          <w:color w:val="1F2328"/>
          <w:sz w:val="21"/>
          <w:szCs w:val="21"/>
        </w:rPr>
        <w:t xml:space="preserve">；7天逆回购利率1.40%；2026年没有降准。同期，人民币贷款增速降到4.9%；1—8月住户中长期贷款只增加188亿元，新发放房贷利率约3.05%；五大行1年期定存利率0.95%，住户存款1—8月增加6.99万亿元</w:t>
      </w:r>
      <w:r>
        <w:rPr>
          <w:rStyle w:val="FootnoteReference"/>
        </w:rPr>
        <w:footnoteReference w:id="62"/>
      </w:r>
      <w:r>
        <w:rPr>
          <w:rFonts w:ascii="Calibri" w:cs="Calibri" w:eastAsia="DengXian" w:hAnsi="Calibri"/>
          <w:b w:val="false"/>
          <w:bCs w:val="false"/>
          <w:color w:val="1F2328"/>
          <w:sz w:val="21"/>
          <w:szCs w:val="21"/>
        </w:rPr>
        <w:t xml:space="preserve">。商业银行二季度净息差1.41%，国有大行1.31%，是四年来首次环比回升</w:t>
      </w:r>
      <w:r>
        <w:rPr>
          <w:rStyle w:val="FootnoteReference"/>
        </w:rPr>
        <w:footnoteReference w:id="63"/>
      </w:r>
      <w:r>
        <w:rPr>
          <w:rFonts w:ascii="Calibri" w:cs="Calibri" w:eastAsia="DengXian" w:hAnsi="Calibri"/>
          <w:b w:val="false"/>
          <w:bCs w:val="false"/>
          <w:color w:val="1F2328"/>
          <w:sz w:val="21"/>
          <w:szCs w:val="21"/>
        </w:rPr>
        <w:t xml:space="preserve">。9月29日，央行把抵押补充贷款（PSL）利率下调25个基点到1.50%，扩大科技创新、支农支小和民营企业再贷款，LPR没有动</w:t>
      </w:r>
      <w:r>
        <w:rPr>
          <w:rStyle w:val="FootnoteReference"/>
        </w:rPr>
        <w:footnoteReference w:id="6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住户部门出现了达利欧所说的"推绳子"症状：房贷利率处在多年低位，住户仍在还债。原因在资产端。二手房价格同比下跌约5%—7%，借钱买房的预期持有成本约8%—10%（名义房贷利率约3%，加上房价跌幅）</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超过了降息带来的好处。工具这一侧的情况与达利欧的原型不同。在原型里，推绳子出现在利率降到零附近、量化宽松也已用过之后。中国的政策利率仍有1.40%，量化宽松几乎没有用：国债净买入约占新增政府债务的3.4%。限制降息的是银行净息差，央行因此改用PSL、再贷款和财政贴息。也就是说，中国跳过了大规模的MP2，直接走向小规模的MP3：中央财政首次为商业房贷贴息，每户每年最多约1万元（1个百分点乘以100万元的本金上限）</w:t>
      </w:r>
      <w:r>
        <w:rPr>
          <w:rStyle w:val="FootnoteReference"/>
        </w:rPr>
        <w:footnoteReference w:id="65"/>
      </w:r>
      <w:r>
        <w:rPr>
          <w:rFonts w:ascii="Calibri" w:cs="Calibri" w:eastAsia="DengXian" w:hAnsi="Calibri"/>
          <w:b w:val="false"/>
          <w:bCs w:val="false"/>
          <w:color w:val="1F2328"/>
          <w:sz w:val="21"/>
          <w:szCs w:val="21"/>
        </w:rPr>
        <w:t xml:space="preserve">；育儿补贴各级财政全年投入约1100亿元，约为GDP的0.08%</w:t>
      </w:r>
      <w:r>
        <w:rPr>
          <w:rStyle w:val="FootnoteReference"/>
        </w:rPr>
        <w:footnoteReference w:id="66"/>
      </w:r>
      <w:r>
        <w:rPr>
          <w:rFonts w:ascii="Calibri" w:cs="Calibri" w:eastAsia="DengXian" w:hAnsi="Calibri"/>
          <w:b w:val="false"/>
          <w:bCs w:val="false"/>
          <w:color w:val="1F2328"/>
          <w:sz w:val="21"/>
          <w:szCs w:val="21"/>
        </w:rPr>
        <w:t xml:space="preserve">；消费贷贴息的单家银行年度上限从3000元提到5000元</w:t>
      </w:r>
      <w:r>
        <w:rPr>
          <w:rStyle w:val="FootnoteReference"/>
        </w:rPr>
        <w:footnoteReference w:id="67"/>
      </w:r>
      <w:r>
        <w:rPr>
          <w:rFonts w:ascii="Calibri" w:cs="Calibri" w:eastAsia="DengXian" w:hAnsi="Calibri"/>
          <w:b w:val="false"/>
          <w:bCs w:val="false"/>
          <w:color w:val="1F2328"/>
          <w:sz w:val="21"/>
          <w:szCs w:val="21"/>
        </w:rPr>
        <w:t xml:space="preserve">。这些措施的规模，与住户8个月净还贷1.03万亿元、新增存款6.99万亿元相比很小。</w:t>
      </w:r>
      <w:r>
        <w:rPr>
          <w:rFonts w:ascii="Calibri" w:cs="Calibri" w:eastAsia="DengXian" w:hAnsi="Calibri"/>
          <w:b/>
          <w:bCs/>
          <w:color w:val="8A5A00"/>
          <w:sz w:val="18"/>
          <w:szCs w:val="18"/>
          <w:shd w:fill="FFF0C7" w:color="auto" w:val="clear"/>
        </w:rPr>
        <w:t xml:space="preserve"> 置信度 中 </w:t>
      </w:r>
    </w:p>
    <w:p>
      <w:pPr>
        <w:spacing w:after="140" w:line="340"/>
        <w:jc w:val="both"/>
      </w:pPr>
      <w:r>
        <w:rPr>
          <w:rFonts w:ascii="Calibri" w:cs="Calibri" w:eastAsia="DengXian" w:hAnsi="Calibri"/>
          <w:b w:val="false"/>
          <w:bCs w:val="false"/>
          <w:color w:val="1F2328"/>
          <w:sz w:val="21"/>
          <w:szCs w:val="21"/>
        </w:rPr>
        <w:t xml:space="preserve">这个诊断可以检验。如果LPR下调20个基点以上，两三个月内住户中长期贷款明显回升，说明问题出在利率水平，"推绳子"的诊断就错了。如果降息之后住户贷款仍接近零，诊断成立，政策只能加大直接转移。</w:t>
      </w:r>
    </w:p>
    <w:p>
      <w:pPr>
        <w:pStyle w:val="Heading2"/>
        <w:keepNext/>
        <w:spacing w:after="140" w:before="340"/>
      </w:pPr>
      <w:r>
        <w:rPr>
          <w:rFonts w:ascii="Calibri" w:cs="Calibri" w:eastAsia="Microsoft YaHei" w:hAnsi="Calibri"/>
          <w:b/>
          <w:bCs/>
          <w:color w:val="1F3A5F"/>
          <w:sz w:val="26"/>
          <w:szCs w:val="26"/>
        </w:rPr>
        <w:t xml:space="preserve">5.6 四个杠杆的配比</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180"/>
        <w:gridCol w:w="1124"/>
        <w:gridCol w:w="5551"/>
        <w:gridCol w:w="1557"/>
      </w:tblGrid>
      <w:tr>
        <w:trPr>
          <w:cantSplit/>
          <w:tblHeader/>
        </w:trPr>
        <w:tc>
          <w:tcPr>
            <w:tcW w:type="dxa" w:w="118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杠杆</w:t>
            </w:r>
          </w:p>
        </w:tc>
        <w:tc>
          <w:tcPr>
            <w:tcW w:type="dxa" w:w="112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性质</w:t>
            </w:r>
          </w:p>
        </w:tc>
        <w:tc>
          <w:tcPr>
            <w:tcW w:type="dxa" w:w="555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2026年的使用（事实）</w:t>
            </w:r>
          </w:p>
        </w:tc>
        <w:tc>
          <w:tcPr>
            <w:tcW w:type="dxa" w:w="155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力度（推断）</w:t>
            </w:r>
          </w:p>
        </w:tc>
      </w:tr>
      <w:tr>
        <w:trPr>
          <w:cantSplit/>
        </w:trPr>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紧缩</w:t>
            </w:r>
          </w:p>
        </w:tc>
        <w:tc>
          <w:tcPr>
            <w:tcW w:type="dxa" w:w="112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通缩性</w:t>
            </w:r>
          </w:p>
        </w:tc>
        <w:tc>
          <w:tcPr>
            <w:tcW w:type="dxa" w:w="555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中央赤字率约4%，没有紧缩；地方事实上在紧缩，1—8月政府性基金支出−17%</w:t>
            </w:r>
            <w:r>
              <w:rPr>
                <w:rStyle w:val="FootnoteReference"/>
              </w:rPr>
              <w:footnoteReference w:id="68"/>
            </w:r>
            <w:r>
              <w:rPr>
                <w:rFonts w:ascii="Calibri" w:cs="Calibri" w:eastAsia="DengXian" w:hAnsi="Calibri"/>
                <w:b w:val="false"/>
                <w:bCs w:val="false"/>
                <w:color w:val="1F2328"/>
                <w:sz w:val="18"/>
                <w:szCs w:val="18"/>
              </w:rPr>
              <w:t xml:space="preserve">；住户主动还债；IMF估计2026年财政立场比2025年收紧约0.3个百分点</w:t>
            </w:r>
            <w:r>
              <w:rPr>
                <w:rStyle w:val="FootnoteReference"/>
              </w:rPr>
              <w:footnoteReference w:id="69"/>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中高</w:t>
            </w:r>
          </w:p>
        </w:tc>
      </w:tr>
      <w:tr>
        <w:trPr>
          <w:cantSplit/>
        </w:trPr>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违约与重组</w:t>
            </w:r>
          </w:p>
        </w:tc>
        <w:tc>
          <w:tcPr>
            <w:tcW w:type="dxa" w:w="112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通缩性</w:t>
            </w:r>
          </w:p>
        </w:tc>
        <w:tc>
          <w:tcPr>
            <w:tcW w:type="dxa" w:w="555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6万亿元隐性债务置换完成约98%</w:t>
            </w:r>
            <w:r>
              <w:rPr>
                <w:rStyle w:val="FootnoteReference"/>
              </w:rPr>
              <w:footnoteReference w:id="70"/>
            </w:r>
            <w:r>
              <w:rPr>
                <w:rFonts w:ascii="Calibri" w:cs="Calibri" w:eastAsia="DengXian" w:hAnsi="Calibri"/>
                <w:b w:val="false"/>
                <w:bCs w:val="false"/>
                <w:color w:val="1F2328"/>
                <w:sz w:val="18"/>
                <w:szCs w:val="18"/>
              </w:rPr>
              <w:t xml:space="preserve">；1—8月展期债券中地产相关企业占78.69%</w:t>
            </w:r>
            <w:r>
              <w:rPr>
                <w:rStyle w:val="FootnoteReference"/>
              </w:rPr>
              <w:footnoteReference w:id="71"/>
            </w:r>
            <w:r>
              <w:rPr>
                <w:rFonts w:ascii="Calibri" w:cs="Calibri" w:eastAsia="DengXian" w:hAnsi="Calibri"/>
                <w:b w:val="false"/>
                <w:bCs w:val="false"/>
                <w:color w:val="1F2328"/>
                <w:sz w:val="18"/>
                <w:szCs w:val="18"/>
              </w:rPr>
              <w:t xml:space="preserve">；碧桂园境内债本金减记过半</w:t>
            </w:r>
            <w:r>
              <w:rPr>
                <w:rStyle w:val="FootnoteReference"/>
              </w:rPr>
              <w:footnoteReference w:id="72"/>
            </w:r>
            <w:r>
              <w:rPr>
                <w:rFonts w:ascii="Calibri" w:cs="Calibri" w:eastAsia="DengXian" w:hAnsi="Calibri"/>
                <w:b w:val="false"/>
                <w:bCs w:val="false"/>
                <w:color w:val="1F2328"/>
                <w:sz w:val="18"/>
                <w:szCs w:val="18"/>
              </w:rPr>
              <w:t xml:space="preserve">；其余主体很少削减本金</w:t>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高，以拉长期限和降低利息为主</w:t>
            </w:r>
          </w:p>
        </w:tc>
      </w:tr>
      <w:tr>
        <w:trPr>
          <w:cantSplit/>
        </w:trPr>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印钞</w:t>
            </w:r>
          </w:p>
        </w:tc>
        <w:tc>
          <w:tcPr>
            <w:tcW w:type="dxa" w:w="112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通胀性</w:t>
            </w:r>
          </w:p>
        </w:tc>
        <w:tc>
          <w:tcPr>
            <w:tcW w:type="dxa" w:w="555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1—8月国债净买入约4000亿元；2026年没有降准；政策利率16个月不变；结构性再贷款扩容</w:t>
            </w:r>
          </w:p>
        </w:tc>
        <w:tc>
          <w:tcPr>
            <w:tcW w:type="dxa" w:w="15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w:t>
            </w:r>
          </w:p>
        </w:tc>
      </w:tr>
      <w:tr>
        <w:trPr>
          <w:cantSplit/>
        </w:trPr>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财富转移</w:t>
            </w:r>
          </w:p>
        </w:tc>
        <w:tc>
          <w:tcPr>
            <w:tcW w:type="dxa" w:w="112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对接受方是通胀性的</w:t>
            </w:r>
          </w:p>
        </w:tc>
        <w:tc>
          <w:tcPr>
            <w:tcW w:type="dxa" w:w="555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中央对地方：中央新增债务占比约56%</w:t>
            </w:r>
            <w:r>
              <w:rPr>
                <w:rStyle w:val="FootnoteReference"/>
              </w:rPr>
              <w:footnoteReference w:id="73"/>
            </w:r>
            <w:r>
              <w:rPr>
                <w:rFonts w:ascii="Calibri" w:cs="Calibri" w:eastAsia="DengXian" w:hAnsi="Calibri"/>
                <w:b w:val="false"/>
                <w:bCs w:val="false"/>
                <w:color w:val="1F2328"/>
                <w:sz w:val="18"/>
                <w:szCs w:val="18"/>
              </w:rPr>
              <w:t xml:space="preserve">；纳税人对金融机构：2025年5000亿元、2026年3000亿元特别国债注资</w:t>
            </w:r>
            <w:r>
              <w:rPr>
                <w:rStyle w:val="FootnoteReference"/>
              </w:rPr>
              <w:footnoteReference w:id="74"/>
            </w:r>
            <w:r>
              <w:rPr>
                <w:rFonts w:ascii="Calibri" w:cs="Calibri" w:eastAsia="DengXian" w:hAnsi="Calibri"/>
                <w:b w:val="false"/>
                <w:bCs w:val="false"/>
                <w:color w:val="1F2328"/>
                <w:sz w:val="18"/>
                <w:szCs w:val="18"/>
              </w:rPr>
              <w:t xml:space="preserve">；财政对家庭：房贷贴息、育儿补贴、以旧换新2500亿元</w:t>
            </w:r>
            <w:r>
              <w:rPr>
                <w:rStyle w:val="FootnoteReference"/>
              </w:rPr>
              <w:footnoteReference w:id="75"/>
            </w:r>
          </w:p>
        </w:tc>
        <w:tc>
          <w:tcPr>
            <w:tcW w:type="dxa" w:w="15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中，在上升</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配比偏向通缩一侧。</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重组以展期和置换为主，损失没有被确认，它们被摊到了更长的时间里；地方和住户在事实上紧缩；印钞很少；财富转移在增加，面向住户的部分规模小。在达利欧的框架里，这样的配比会让去杠杆拖得更长、名义增长更低。推翻条件：央行国债净买入扩大到每月数千亿元，或者财政推出面向住户、规模在GDP 1%以上的转移支付。</w:t>
      </w:r>
    </w:p>
    <w:p>
      <w:pPr>
        <w:pStyle w:val="Heading2"/>
        <w:keepNext/>
        <w:spacing w:after="140" w:before="340"/>
      </w:pPr>
      <w:r>
        <w:rPr>
          <w:rFonts w:ascii="Calibri" w:cs="Calibri" w:eastAsia="Microsoft YaHei" w:hAnsi="Calibri"/>
          <w:b/>
          <w:bCs/>
          <w:color w:val="1F3A5F"/>
          <w:sz w:val="26"/>
          <w:szCs w:val="26"/>
        </w:rPr>
        <w:t xml:space="preserve">5.7 用达利欧给中国开出的条件对照</w:t>
      </w:r>
    </w:p>
    <w:p>
      <w:pPr>
        <w:spacing w:after="140" w:line="340"/>
        <w:jc w:val="both"/>
      </w:pPr>
      <w:r>
        <w:rPr>
          <w:rFonts w:ascii="Calibri" w:cs="Calibri" w:eastAsia="DengXian" w:hAnsi="Calibri"/>
          <w:b w:val="false"/>
          <w:bCs w:val="false"/>
          <w:color w:val="1F2328"/>
          <w:sz w:val="21"/>
          <w:szCs w:val="21"/>
        </w:rPr>
        <w:t xml:space="preserve">达利欧对"漂亮的去杠杆"的描述是</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"When managed in the best possible way, the deflationary ways of reducing debt burdens are balanced with the inflationary ways, so the deleveraging occurs without unacceptable amounts of either deflation or inflation."（在管理得最好的情况下，降低债务负担的通缩性方式与通胀性方式相互平衡，去杠杆过程既不出现不可接受的通缩，也不出现不可接受的通胀。）</w:t>
      </w:r>
      <w:r>
        <w:rPr>
          <w:rStyle w:val="FootnoteReference"/>
        </w:rPr>
        <w:footnoteReference w:id="76"/>
      </w:r>
      <w:r>
        <w:rPr>
          <w:rFonts w:ascii="Calibri" w:cs="Calibri" w:eastAsia="DengXian" w:hAnsi="Calibri"/>
          <w:b w:val="false"/>
          <w:bCs w:val="false"/>
          <w:color w:val="1F2328"/>
          <w:sz w:val="21"/>
          <w:szCs w:val="21"/>
        </w:rPr>
        <w:t xml:space="preserve"> 2024年10月，他为中国列出过成败条件</w:t>
      </w:r>
      <w:r>
        <w:rPr>
          <w:rFonts w:ascii="Calibri" w:cs="Calibri" w:eastAsia="DengXian" w:hAnsi="Calibri"/>
          <w:b/>
          <w:bCs/>
          <w:color w:val="4B5563"/>
          <w:sz w:val="18"/>
          <w:szCs w:val="18"/>
          <w:shd w:fill="E9EBEE" w:color="auto" w:val="clear"/>
        </w:rPr>
        <w:t xml:space="preserve"> 转述 </w:t>
      </w:r>
      <w:r>
        <w:rPr>
          <w:rFonts w:ascii="Calibri" w:cs="Calibri" w:eastAsia="DengXian" w:hAnsi="Calibri"/>
          <w:b w:val="false"/>
          <w:bCs w:val="false"/>
          <w:color w:val="1F2328"/>
          <w:sz w:val="21"/>
          <w:szCs w:val="21"/>
        </w:rPr>
        <w:t xml:space="preserve">：重组坏账；把利率压到通胀率和名义增长率以下；必要时把债务货币化；让本币走低</w:t>
      </w:r>
      <w:r>
        <w:rPr>
          <w:rStyle w:val="FootnoteReference"/>
        </w:rPr>
        <w:footnoteReference w:id="77"/>
      </w:r>
      <w:r>
        <w:rPr>
          <w:rFonts w:ascii="Calibri" w:cs="Calibri" w:eastAsia="DengXian" w:hAnsi="Calibri"/>
          <w:color w:val="1F2328"/>
          <w:sz w:val="21"/>
          <w:szCs w:val="21"/>
          <w:vertAlign w:val="superscript"/>
        </w:rPr>
        <w:t xml:space="preserve">,</w:t>
      </w:r>
      <w:r>
        <w:rPr>
          <w:rStyle w:val="FootnoteReference"/>
        </w:rPr>
        <w:footnoteReference w:id="78"/>
      </w:r>
      <w:r>
        <w:rPr>
          <w:rFonts w:ascii="Calibri" w:cs="Calibri" w:eastAsia="DengXian" w:hAnsi="Calibri"/>
          <w:b w:val="false"/>
          <w:bCs w:val="false"/>
          <w:color w:val="1F2328"/>
          <w:sz w:val="21"/>
          <w:szCs w:val="21"/>
        </w:rPr>
        <w:t xml:space="preserve">。</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66"/>
        <w:gridCol w:w="5570"/>
        <w:gridCol w:w="2076"/>
      </w:tblGrid>
      <w:tr>
        <w:trPr>
          <w:cantSplit/>
          <w:tblHeader/>
        </w:trPr>
        <w:tc>
          <w:tcPr>
            <w:tcW w:type="dxa" w:w="176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达利欧的条件</w:t>
            </w:r>
          </w:p>
        </w:tc>
        <w:tc>
          <w:tcPr>
            <w:tcW w:type="dxa" w:w="557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2026年的事实</w:t>
            </w:r>
          </w:p>
        </w:tc>
        <w:tc>
          <w:tcPr>
            <w:tcW w:type="dxa" w:w="207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是否满足（推断）</w:t>
            </w:r>
          </w:p>
        </w:tc>
      </w:tr>
      <w:tr>
        <w:trPr>
          <w:cantSplit/>
        </w:trPr>
        <w:tc>
          <w:tcPr>
            <w:tcW w:type="dxa" w:w="17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重组坏账</w:t>
            </w:r>
          </w:p>
        </w:tc>
        <w:tc>
          <w:tcPr>
            <w:tcW w:type="dxa" w:w="55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隐性债务置换完成约98%，利息成本下降约2.5个百分点；地产以展期为主，本金减记集中在碧桂园等少数民营房企</w:t>
            </w:r>
          </w:p>
        </w:tc>
        <w:tc>
          <w:tcPr>
            <w:tcW w:type="dxa" w:w="207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部分满足，以拉长期限为主</w:t>
            </w:r>
          </w:p>
        </w:tc>
      </w:tr>
      <w:tr>
        <w:trPr>
          <w:cantSplit/>
        </w:trPr>
        <w:tc>
          <w:tcPr>
            <w:tcW w:type="dxa" w:w="17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利率低于通胀和名义增长</w:t>
            </w:r>
          </w:p>
        </w:tc>
        <w:tc>
          <w:tcPr>
            <w:tcW w:type="dxa" w:w="55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新发放贷款利率3.05%，低于名义增长5.8%—5.9%和PPI 3.8%，高于CPI 0.8%</w:t>
            </w:r>
          </w:p>
        </w:tc>
        <w:tc>
          <w:tcPr>
            <w:tcW w:type="dxa" w:w="207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对企业满足，对住户没有满足</w:t>
            </w:r>
          </w:p>
        </w:tc>
      </w:tr>
      <w:tr>
        <w:trPr>
          <w:cantSplit/>
        </w:trPr>
        <w:tc>
          <w:tcPr>
            <w:tcW w:type="dxa" w:w="17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必要时货币化</w:t>
            </w:r>
          </w:p>
        </w:tc>
        <w:tc>
          <w:tcPr>
            <w:tcW w:type="dxa" w:w="557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1—8月国债净买入约4000亿元；2026年没有降准</w:t>
            </w:r>
          </w:p>
        </w:tc>
        <w:tc>
          <w:tcPr>
            <w:tcW w:type="dxa" w:w="207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没有满足</w:t>
            </w:r>
          </w:p>
        </w:tc>
      </w:tr>
      <w:tr>
        <w:trPr>
          <w:cantSplit/>
        </w:trPr>
        <w:tc>
          <w:tcPr>
            <w:tcW w:type="dxa" w:w="17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让本币走低</w:t>
            </w:r>
          </w:p>
        </w:tc>
        <w:tc>
          <w:tcPr>
            <w:tcW w:type="dxa" w:w="557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人民币兑美元年内升值约4.3%（至9月中旬），央行在放慢升值速度</w:t>
            </w:r>
            <w:r>
              <w:rPr>
                <w:rStyle w:val="FootnoteReference"/>
              </w:rPr>
              <w:footnoteReference w:id="79"/>
            </w:r>
          </w:p>
        </w:tc>
        <w:tc>
          <w:tcPr>
            <w:tcW w:type="dxa" w:w="207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方向相反</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四条里，两条没有满足或方向相反。</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人民币升值本身是一股通缩力量：瑞银估算，2026年上半年A股非金融企业汇兑损失约1070亿元，约占净利润的5.5%</w:t>
      </w:r>
      <w:r>
        <w:rPr>
          <w:rStyle w:val="FootnoteReference"/>
        </w:rPr>
        <w:footnoteReference w:id="80"/>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5.8 达利欧本人的表态，以及如何看待</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2023年8月，达利欧称中国需要一次类似朱镕基时代、规模更大的债务重组，配合货币化，并指出</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 majority of debt is held in the country's own currency"（大部分债务以本国货币计价）</w:t>
      </w:r>
      <w:r>
        <w:rPr>
          <w:rStyle w:val="FootnoteReference"/>
        </w:rPr>
        <w:footnoteReference w:id="81"/>
      </w:r>
      <w:r>
        <w:rPr>
          <w:rFonts w:ascii="Calibri" w:cs="Calibri" w:eastAsia="DengXian" w:hAnsi="Calibri"/>
          <w:color w:val="1F2328"/>
          <w:sz w:val="21"/>
          <w:szCs w:val="21"/>
          <w:vertAlign w:val="superscript"/>
        </w:rPr>
        <w:t xml:space="preserve">,</w:t>
      </w:r>
      <w:r>
        <w:rPr>
          <w:rStyle w:val="FootnoteReference"/>
        </w:rPr>
        <w:footnoteReference w:id="82"/>
      </w:r>
      <w:r>
        <w:rPr>
          <w:rFonts w:ascii="Calibri" w:cs="Calibri" w:eastAsia="DengXian" w:hAnsi="Calibri"/>
          <w:b w:val="false"/>
          <w:bCs w:val="false"/>
          <w:color w:val="1F2328"/>
          <w:sz w:val="21"/>
          <w:szCs w:val="21"/>
        </w:rPr>
        <w:t xml:space="preserve">。2024年10月，他说刺激必须与"漂亮的去杠杆"配合</w:t>
      </w:r>
      <w:r>
        <w:rPr>
          <w:rFonts w:ascii="Calibri" w:cs="Calibri" w:eastAsia="DengXian" w:hAnsi="Calibri"/>
          <w:b/>
          <w:bCs/>
          <w:color w:val="4B5563"/>
          <w:sz w:val="18"/>
          <w:szCs w:val="18"/>
          <w:shd w:fill="E9EBEE" w:color="auto" w:val="clear"/>
        </w:rPr>
        <w:t xml:space="preserve"> 转述 </w:t>
      </w:r>
      <w:r>
        <w:rPr>
          <w:rStyle w:val="FootnoteReference"/>
        </w:rPr>
        <w:footnoteReference w:id="83"/>
      </w:r>
      <w:r>
        <w:rPr>
          <w:rFonts w:ascii="Calibri" w:cs="Calibri" w:eastAsia="DengXian" w:hAnsi="Calibri"/>
          <w:b w:val="false"/>
          <w:bCs w:val="false"/>
          <w:color w:val="1F2328"/>
          <w:sz w:val="21"/>
          <w:szCs w:val="21"/>
        </w:rPr>
        <w:t xml:space="preserve">。2026年他的重心转向地缘政治：5月称世界正在形成"朝贡体系"式的等级秩序</w:t>
      </w:r>
      <w:r>
        <w:rPr>
          <w:rFonts w:ascii="Calibri" w:cs="Calibri" w:eastAsia="DengXian" w:hAnsi="Calibri"/>
          <w:b/>
          <w:bCs/>
          <w:color w:val="4B5563"/>
          <w:sz w:val="18"/>
          <w:szCs w:val="18"/>
          <w:shd w:fill="E9EBEE" w:color="auto" w:val="clear"/>
        </w:rPr>
        <w:t xml:space="preserve"> 转述 </w:t>
      </w:r>
      <w:r>
        <w:rPr>
          <w:rStyle w:val="FootnoteReference"/>
        </w:rPr>
        <w:footnoteReference w:id="84"/>
      </w:r>
      <w:r>
        <w:rPr>
          <w:rFonts w:ascii="Calibri" w:cs="Calibri" w:eastAsia="DengXian" w:hAnsi="Calibri"/>
          <w:b w:val="false"/>
          <w:bCs w:val="false"/>
          <w:color w:val="1F2328"/>
          <w:sz w:val="21"/>
          <w:szCs w:val="21"/>
        </w:rPr>
        <w:t xml:space="preserve">；6月写道</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"AI is everything, and AI without Taiwan is nothing."</w:t>
      </w:r>
      <w:r>
        <w:rPr>
          <w:rStyle w:val="FootnoteReference"/>
        </w:rPr>
        <w:footnoteReference w:id="85"/>
      </w:r>
      <w:r>
        <w:rPr>
          <w:rFonts w:ascii="Calibri" w:cs="Calibri" w:eastAsia="DengXian" w:hAnsi="Calibri"/>
          <w:b w:val="false"/>
          <w:bCs w:val="false"/>
          <w:color w:val="1F2328"/>
          <w:sz w:val="21"/>
          <w:szCs w:val="21"/>
        </w:rPr>
        <w:t xml:space="preserve">；10月6日说</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 Chinese don't want to continue to accumulate."（中国人不想再继续积累美债了）</w:t>
      </w:r>
      <w:r>
        <w:rPr>
          <w:rStyle w:val="FootnoteReference"/>
        </w:rPr>
        <w:footnoteReference w:id="86"/>
      </w:r>
      <w:r>
        <w:rPr>
          <w:rFonts w:ascii="Calibri" w:cs="Calibri" w:eastAsia="DengXian" w:hAnsi="Calibri"/>
          <w:b w:val="false"/>
          <w:bCs w:val="false"/>
          <w:color w:val="1F2328"/>
          <w:sz w:val="21"/>
          <w:szCs w:val="21"/>
        </w:rPr>
        <w:t xml:space="preserve">。研究中没有找到他宣布中国已实现"漂亮的去杠杆"的表态，也没有找到他收回"与1990年起的日本一样严重"这个类比。</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看待他的表态需要考虑来源利益。达利欧与中国高层有长期联系，2026年1月达沃斯期间与何立峰副总理会面</w:t>
      </w:r>
      <w:r>
        <w:rPr>
          <w:rStyle w:val="FootnoteReference"/>
        </w:rPr>
        <w:footnoteReference w:id="87"/>
      </w:r>
      <w:r>
        <w:rPr>
          <w:rFonts w:ascii="Calibri" w:cs="Calibri" w:eastAsia="DengXian" w:hAnsi="Calibri"/>
          <w:b w:val="false"/>
          <w:bCs w:val="false"/>
          <w:color w:val="1F2328"/>
          <w:sz w:val="21"/>
          <w:szCs w:val="21"/>
        </w:rPr>
        <w:t xml:space="preserve">；他对"中国有条件实现漂亮去杠杆"的说法可能偏乐观。另一方面，他在2025年7月出售了剩余的桥水股份，桥水在2025年二季度清仓了全部在美上市的中国公司股票</w:t>
      </w:r>
      <w:r>
        <w:rPr>
          <w:rStyle w:val="FootnoteReference"/>
        </w:rPr>
        <w:footnoteReference w:id="88"/>
      </w:r>
      <w:r>
        <w:rPr>
          <w:rFonts w:ascii="Calibri" w:cs="Calibri" w:eastAsia="DengXian" w:hAnsi="Calibri"/>
          <w:color w:val="1F2328"/>
          <w:sz w:val="21"/>
          <w:szCs w:val="21"/>
          <w:vertAlign w:val="superscript"/>
        </w:rPr>
        <w:t xml:space="preserve">,</w:t>
      </w:r>
      <w:r>
        <w:rPr>
          <w:rStyle w:val="FootnoteReference"/>
        </w:rPr>
        <w:footnoteReference w:id="89"/>
      </w:r>
      <w:r>
        <w:rPr>
          <w:rFonts w:ascii="Calibri" w:cs="Calibri" w:eastAsia="DengXian" w:hAnsi="Calibri"/>
          <w:b w:val="false"/>
          <w:bCs w:val="false"/>
          <w:color w:val="1F2328"/>
          <w:sz w:val="21"/>
          <w:szCs w:val="21"/>
        </w:rPr>
        <w:t xml:space="preserve">，他的言论与持仓的关联已经变弱。他的框架也受到批评，《独立评论》的书评写道</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"There are so many moving parts in his mechanism that he can 'explain' anything."（他的机制里活动部件太多，几乎能"解释"一切。）</w:t>
      </w:r>
      <w:r>
        <w:rPr>
          <w:rStyle w:val="FootnoteReference"/>
        </w:rPr>
        <w:footnoteReference w:id="90"/>
      </w:r>
      <w:r>
        <w:rPr>
          <w:rFonts w:ascii="Calibri" w:cs="Calibri" w:eastAsia="DengXian" w:hAnsi="Calibri"/>
          <w:b w:val="false"/>
          <w:bCs w:val="false"/>
          <w:color w:val="1F2328"/>
          <w:sz w:val="21"/>
          <w:szCs w:val="21"/>
        </w:rPr>
        <w:t xml:space="preserve"> 所以本报告只使用他框架中能被数据检验的规则：利率与增长的对比、债务与收入的增速、四个杠杆的配比。国内也有不同意见：徐高用现代货币理论主张在通缩中加杠杆</w:t>
      </w:r>
      <w:r>
        <w:rPr>
          <w:rStyle w:val="FootnoteReference"/>
        </w:rPr>
        <w:footnoteReference w:id="91"/>
      </w:r>
      <w:r>
        <w:rPr>
          <w:rFonts w:ascii="Calibri" w:cs="Calibri" w:eastAsia="DengXian" w:hAnsi="Calibri"/>
          <w:b w:val="false"/>
          <w:bCs w:val="false"/>
          <w:color w:val="1F2328"/>
          <w:sz w:val="21"/>
          <w:szCs w:val="21"/>
        </w:rPr>
        <w:t xml:space="preserve">，这个分歧主要关于多用哪一类杠杆，与达利欧"平衡"的处方在方向上相容。</w:t>
      </w:r>
    </w:p>
    <w:p>
      <w:pPr>
        <w:pStyle w:val="Heading2"/>
        <w:keepNext/>
        <w:spacing w:after="140" w:before="340"/>
      </w:pPr>
      <w:r>
        <w:rPr>
          <w:rFonts w:ascii="Calibri" w:cs="Calibri" w:eastAsia="Microsoft YaHei" w:hAnsi="Calibri"/>
          <w:b/>
          <w:bCs/>
          <w:color w:val="1F3A5F"/>
          <w:sz w:val="26"/>
          <w:szCs w:val="26"/>
        </w:rPr>
        <w:t xml:space="preserve">5.9 检验窗口：2027年上半年</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把"2027年3月油价同比效应消失"当作名义改善结束的时间节点，并给出25%/50%/25%的情景概率和"约75%回到低名义增长"。本版保留时间窗口，更换理由，并把概率改为区间。价格上涨的推动因素不止油价；更一般的机制是，PPI在2025年四季度到2026年上半年明显抬升，到2027年上半年会形成高基数。</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PPI同比在2026年3月转正（+0.5%），6月升到+4.1%，是约四年来的高点，7月+3.5%，8月+3.8%</w:t>
      </w:r>
      <w:r>
        <w:rPr>
          <w:rStyle w:val="FootnoteReference"/>
        </w:rPr>
        <w:footnoteReference w:id="92"/>
      </w:r>
      <w:r>
        <w:rPr>
          <w:rFonts w:ascii="Calibri" w:cs="Calibri" w:eastAsia="DengXian" w:hAnsi="Calibri"/>
          <w:color w:val="1F2328"/>
          <w:sz w:val="21"/>
          <w:szCs w:val="21"/>
          <w:vertAlign w:val="superscript"/>
        </w:rPr>
        <w:t xml:space="preserve">,</w:t>
      </w:r>
      <w:r>
        <w:rPr>
          <w:rStyle w:val="FootnoteReference"/>
        </w:rPr>
        <w:footnoteReference w:id="93"/>
      </w:r>
      <w:r>
        <w:rPr>
          <w:rFonts w:ascii="Calibri" w:cs="Calibri" w:eastAsia="DengXian" w:hAnsi="Calibri"/>
          <w:b w:val="false"/>
          <w:bCs w:val="false"/>
          <w:color w:val="1F2328"/>
          <w:sz w:val="21"/>
          <w:szCs w:val="21"/>
        </w:rPr>
        <w:t xml:space="preserve">。IMF 7月预测中国2027年实际增长4.1%</w:t>
      </w:r>
      <w:r>
        <w:rPr>
          <w:rStyle w:val="FootnoteReference"/>
        </w:rPr>
        <w:footnoteReference w:id="94"/>
      </w:r>
      <w:r>
        <w:rPr>
          <w:rFonts w:ascii="Calibri" w:cs="Calibri" w:eastAsia="DengXian" w:hAnsi="Calibri"/>
          <w:b w:val="false"/>
          <w:bCs w:val="false"/>
          <w:color w:val="1F2328"/>
          <w:sz w:val="21"/>
          <w:szCs w:val="21"/>
        </w:rPr>
        <w:t xml:space="preserve">，世界银行预测4.3%</w:t>
      </w:r>
      <w:r>
        <w:rPr>
          <w:rStyle w:val="FootnoteReference"/>
        </w:rPr>
        <w:footnoteReference w:id="9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不管推动因素是什么，PPI的水平已经抬升，到2027年上半年同比会自然回落。如果PPI同比从约3.8%降到1%—2%，CPI维持在0.5%—1.5%，平减指数会回落1个百分点左右；实际增长约4.0%—4.3%，名义增速会降到约4.6%—5.2%</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。由此得到三个预测：</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4672"/>
        <w:gridCol w:w="1871"/>
        <w:gridCol w:w="2869"/>
      </w:tblGrid>
      <w:tr>
        <w:trPr>
          <w:cantSplit/>
          <w:tblHeader/>
        </w:trPr>
        <w:tc>
          <w:tcPr>
            <w:tcW w:type="dxa" w:w="467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预测</w:t>
            </w:r>
          </w:p>
        </w:tc>
        <w:tc>
          <w:tcPr>
            <w:tcW w:type="dxa" w:w="187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概率</w:t>
            </w:r>
          </w:p>
        </w:tc>
        <w:tc>
          <w:tcPr>
            <w:tcW w:type="dxa" w:w="286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r>
      <w:tr>
        <w:trPr>
          <w:cantSplit/>
        </w:trPr>
        <w:tc>
          <w:tcPr>
            <w:tcW w:type="dxa" w:w="467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到2027年年中，名义GDP增速较2026年二季度的约5.9%回落1个百分点以上</w:t>
            </w:r>
          </w:p>
        </w:tc>
        <w:tc>
          <w:tcPr>
            <w:tcW w:type="dxa" w:w="187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60%—75%</w:t>
            </w:r>
            <w:r>
              <w:rPr>
                <w:rFonts w:ascii="Calibri" w:cs="Calibri" w:eastAsia="DengXian" w:hAnsi="Calibri"/>
                <w:b/>
                <w:bCs/>
                <w:color w:val="4B5563"/>
                <w:sz w:val="15"/>
                <w:szCs w:val="15"/>
                <w:shd w:fill="E9EBEE" w:color="auto" w:val="clear"/>
              </w:rPr>
              <w:t xml:space="preserve"> 主观概率 </w:t>
            </w:r>
          </w:p>
        </w:tc>
        <w:tc>
          <w:tcPr>
            <w:tcW w:type="dxa" w:w="286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PPI高基数；目前看不到内需接替</w:t>
            </w:r>
          </w:p>
        </w:tc>
      </w:tr>
      <w:tr>
        <w:trPr>
          <w:cantSplit/>
        </w:trPr>
        <w:tc>
          <w:tcPr>
            <w:tcW w:type="dxa" w:w="467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布伦特不再大涨的前提下，2027年二季度PPI同比降到2%以内</w:t>
            </w:r>
          </w:p>
        </w:tc>
        <w:tc>
          <w:tcPr>
            <w:tcW w:type="dxa" w:w="187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60%—70%</w:t>
            </w:r>
            <w:r>
              <w:rPr>
                <w:rFonts w:ascii="Calibri" w:cs="Calibri" w:eastAsia="DengXian" w:hAnsi="Calibri"/>
                <w:b/>
                <w:bCs/>
                <w:color w:val="4B5563"/>
                <w:sz w:val="15"/>
                <w:szCs w:val="15"/>
                <w:shd w:fill="E9EBEE" w:color="auto" w:val="clear"/>
              </w:rPr>
              <w:t xml:space="preserve"> 主观概率 </w:t>
            </w:r>
          </w:p>
        </w:tc>
        <w:tc>
          <w:tcPr>
            <w:tcW w:type="dxa" w:w="286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高基数；外部评论也给出相同方向的预测</w:t>
            </w:r>
          </w:p>
        </w:tc>
      </w:tr>
      <w:tr>
        <w:trPr>
          <w:cantSplit/>
        </w:trPr>
        <w:tc>
          <w:tcPr>
            <w:tcW w:type="dxa" w:w="467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债务增速维持在7%左右时，宏观杠杆率在2027年重新上升</w:t>
            </w:r>
          </w:p>
        </w:tc>
        <w:tc>
          <w:tcPr>
            <w:tcW w:type="dxa" w:w="187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约80%</w:t>
            </w:r>
            <w:r>
              <w:rPr>
                <w:rFonts w:ascii="Calibri" w:cs="Calibri" w:eastAsia="DengXian" w:hAnsi="Calibri"/>
                <w:b/>
                <w:bCs/>
                <w:color w:val="4B5563"/>
                <w:sz w:val="15"/>
                <w:szCs w:val="15"/>
                <w:shd w:fill="E9EBEE" w:color="auto" w:val="clear"/>
              </w:rPr>
              <w:t xml:space="preserve"> 主观概率 </w:t>
            </w:r>
          </w:p>
        </w:tc>
        <w:tc>
          <w:tcPr>
            <w:tcW w:type="dxa" w:w="286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债务增速高于名义增速</w:t>
            </w:r>
          </w:p>
        </w:tc>
      </w:tr>
    </w:tbl>
    <w:p>
      <w:pPr>
        <w:spacing w:after="120"/>
      </w:pPr>
    </w:p>
    <w:p>
      <w:pPr>
        <w:spacing w:after="140" w:line="340"/>
        <w:jc w:val="both"/>
      </w:pPr>
      <w:r>
        <w:rPr>
          <w:rFonts w:ascii="Calibri" w:cs="Calibri" w:eastAsia="DengXian" w:hAnsi="Calibri"/>
          <w:b w:val="false"/>
          <w:bCs w:val="false"/>
          <w:color w:val="1F2328"/>
          <w:sz w:val="21"/>
          <w:szCs w:val="21"/>
        </w:rPr>
        <w:t xml:space="preserve">如果到时国内需求没有接上，名义增长与融资成本的差距会收窄，杠杆率上升加快，政策压力明显加大。最需要防的是把2026年的价格回升当成复苏、过早停止支持；日本1997年就发生过这种情况，见第11节。推翻条件：核心CPI升到1.3%以上且服务价格转升；住户中长期贷款连续几个月为正；PPI基数效应消退后，平减指数仍保持在+1%以上。</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6 实体经济：生产强，需求弱</w:t>
      </w:r>
    </w:p>
    <w:p>
      <w:pPr>
        <w:pStyle w:val="Heading2"/>
        <w:keepNext/>
        <w:spacing w:after="140" w:before="340"/>
      </w:pPr>
      <w:r>
        <w:rPr>
          <w:rFonts w:ascii="Calibri" w:cs="Calibri" w:eastAsia="Microsoft YaHei" w:hAnsi="Calibri"/>
          <w:b/>
          <w:bCs/>
          <w:color w:val="1F3A5F"/>
          <w:sz w:val="26"/>
          <w:szCs w:val="26"/>
        </w:rPr>
        <w:t xml:space="preserve">6.1 消费：低速增长，商品接近停滞，汽车大幅下滑</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第1版写"消费、投资和房地产仍在收缩""内需一直在收缩"，消费部分写错了。1—8月社会消费品零售总额增长1.1%，扣除汽车增长2.7%，餐饮收入增长2.4%。消费在增长，只是很慢。</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1—8月社会消费品零售总额32.76万亿元，同比增长1.1%；除汽车以外的消费品零售额30.18万亿元，增长2.7%；其中商品零售增长1.0%，餐饮收入增长2.4%</w:t>
      </w:r>
      <w:r>
        <w:rPr>
          <w:rStyle w:val="FootnoteReference"/>
        </w:rPr>
        <w:footnoteReference w:id="96"/>
      </w:r>
      <w:r>
        <w:rPr>
          <w:rFonts w:ascii="Calibri" w:cs="Calibri" w:eastAsia="DengXian" w:hAnsi="Calibri"/>
          <w:b w:val="false"/>
          <w:bCs w:val="false"/>
          <w:color w:val="1F2328"/>
          <w:sz w:val="21"/>
          <w:szCs w:val="21"/>
        </w:rPr>
        <w:t xml:space="preserve">。按月看，社零6月增长1.0%，7月0.6%，8月0.4%，8月汽车类零售下降18.5%</w:t>
      </w:r>
      <w:r>
        <w:rPr>
          <w:rStyle w:val="FootnoteReference"/>
        </w:rPr>
        <w:footnoteReference w:id="97"/>
      </w:r>
      <w:r>
        <w:rPr>
          <w:rFonts w:ascii="Calibri" w:cs="Calibri" w:eastAsia="DengXian" w:hAnsi="Calibri"/>
          <w:b w:val="false"/>
          <w:bCs w:val="false"/>
          <w:color w:val="1F2328"/>
          <w:sz w:val="21"/>
          <w:szCs w:val="21"/>
        </w:rPr>
        <w:t xml:space="preserve">。消费品以旧换新资金从2025年的3000亿元降到2500亿元，9月30日已全部下达，没有追加</w:t>
      </w:r>
      <w:r>
        <w:rPr>
          <w:rStyle w:val="FootnoteReference"/>
        </w:rPr>
        <w:footnoteReference w:id="98"/>
      </w:r>
      <w:r>
        <w:rPr>
          <w:rFonts w:ascii="Calibri" w:cs="Calibri" w:eastAsia="DengXian" w:hAnsi="Calibri"/>
          <w:b w:val="false"/>
          <w:bCs w:val="false"/>
          <w:color w:val="1F2328"/>
          <w:sz w:val="21"/>
          <w:szCs w:val="21"/>
        </w:rPr>
        <w:t xml:space="preserve">。上半年居民人均可支配收入名义增长5.2%</w:t>
      </w:r>
      <w:r>
        <w:rPr>
          <w:rStyle w:val="FootnoteReference"/>
        </w:rPr>
        <w:footnoteReference w:id="99"/>
      </w:r>
      <w:r>
        <w:rPr>
          <w:rFonts w:ascii="Calibri" w:cs="Calibri" w:eastAsia="DengXian" w:hAnsi="Calibri"/>
          <w:b w:val="false"/>
          <w:bCs w:val="false"/>
          <w:color w:val="1F2328"/>
          <w:sz w:val="21"/>
          <w:szCs w:val="21"/>
        </w:rPr>
        <w:t xml:space="preserve">；按统计局收支数据推算，平均消费倾向约64.6%，比上年同期低约0.9个百分点</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。消费者信心指数7月约为89，接近2022年11月85.5的历史低点</w:t>
      </w:r>
      <w:r>
        <w:rPr>
          <w:rStyle w:val="FootnoteReference"/>
        </w:rPr>
        <w:footnoteReference w:id="100"/>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111827"/>
          <w:sz w:val="21"/>
          <w:szCs w:val="21"/>
        </w:rPr>
        <w:t xml:space="preserve">口径说明。</w:t>
      </w:r>
      <w:r>
        <w:rPr>
          <w:rFonts w:ascii="Calibri" w:cs="Calibri" w:eastAsia="DengXian" w:hAnsi="Calibri"/>
          <w:b w:val="false"/>
          <w:bCs w:val="false"/>
          <w:color w:val="1F2328"/>
          <w:sz w:val="21"/>
          <w:szCs w:val="21"/>
        </w:rPr>
        <w:t xml:space="preserve"> "社会消费商品和服务零售总额增长2.5%"出自商务部的表述，统计局的发布稿中没有找到这个数字；"服务零售额增长4.9%"没能在统计局原文中核实。</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1.1%和2.5%统计范围不同，第1版把两者列为数据冲突，不准确。</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投资在收缩；商品消费接近停滞，扣除约0.9%的CPI平均涨幅后，商品零售的实际增长接近零</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；汽车大幅下滑；餐饮和服务温和增长。</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汽车的下滑与以旧换新补贴退坡同时发生，说明补贴拉动的消费在回落。</w:t>
      </w:r>
    </w:p>
    <w:p>
      <w:pPr>
        <w:pStyle w:val="Heading2"/>
        <w:keepNext/>
        <w:spacing w:after="140" w:before="340"/>
      </w:pPr>
      <w:r>
        <w:rPr>
          <w:rFonts w:ascii="Calibri" w:cs="Calibri" w:eastAsia="Microsoft YaHei" w:hAnsi="Calibri"/>
          <w:b/>
          <w:bCs/>
          <w:color w:val="1F3A5F"/>
          <w:sz w:val="26"/>
          <w:szCs w:val="26"/>
        </w:rPr>
        <w:t xml:space="preserve">6.2 投资：全面收缩，AI和电子链例外</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1—8月固定资产投资同比下降7.2%；其中制造业投资−2.3%，基础设施投资−4.0%，房地产开发投资−19.9%，民间投资−10.1%</w:t>
      </w:r>
      <w:r>
        <w:rPr>
          <w:rStyle w:val="FootnoteReference"/>
        </w:rPr>
        <w:footnoteReference w:id="101"/>
      </w:r>
      <w:r>
        <w:rPr>
          <w:rFonts w:ascii="Calibri" w:cs="Calibri" w:eastAsia="DengXian" w:hAnsi="Calibri"/>
          <w:b w:val="false"/>
          <w:bCs w:val="false"/>
          <w:color w:val="1F2328"/>
          <w:sz w:val="21"/>
          <w:szCs w:val="21"/>
        </w:rPr>
        <w:t xml:space="preserve">。2025年全年固定资产投资为−3.8%</w:t>
      </w:r>
      <w:r>
        <w:rPr>
          <w:rStyle w:val="FootnoteReference"/>
        </w:rPr>
        <w:footnoteReference w:id="102"/>
      </w:r>
      <w:r>
        <w:rPr>
          <w:rFonts w:ascii="Calibri" w:cs="Calibri" w:eastAsia="DengXian" w:hAnsi="Calibri"/>
          <w:b w:val="false"/>
          <w:bCs w:val="false"/>
          <w:color w:val="1F2328"/>
          <w:sz w:val="21"/>
          <w:szCs w:val="21"/>
        </w:rPr>
        <w:t xml:space="preserve">。据统计局解读和二手报道，1—8月设备工器具购置增长9.3%，电子电路、集成电路、锂离子电池等行业投资增长较快，专用设备、汽车、化学原料、医药等行业投资下降</w:t>
      </w:r>
      <w:r>
        <w:rPr>
          <w:rStyle w:val="FootnoteReference"/>
        </w:rPr>
        <w:footnoteReference w:id="103"/>
      </w:r>
      <w:r>
        <w:rPr>
          <w:rFonts w:ascii="Calibri" w:cs="Calibri" w:eastAsia="DengXian" w:hAnsi="Calibri"/>
          <w:b w:val="false"/>
          <w:bCs w:val="false"/>
          <w:color w:val="1F2328"/>
          <w:sz w:val="21"/>
          <w:szCs w:val="21"/>
        </w:rPr>
        <w:t xml:space="preserve">。二季度工业产能利用率73.0%，约为六年来的低点</w:t>
      </w:r>
      <w:r>
        <w:rPr>
          <w:rStyle w:val="FootnoteReference"/>
        </w:rPr>
        <w:footnoteReference w:id="10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传统制造业的资本开支处在下行段，AI、电子和电池产业链处在上行段。产量增长、投资收缩、利用率下降同时出现，说明企业主要靠存量产能和技术改造生产，过剩产能的出清处在早期。</w:t>
      </w:r>
      <w:r>
        <w:rPr>
          <w:rFonts w:ascii="Calibri" w:cs="Calibri" w:eastAsia="DengXian" w:hAnsi="Calibri"/>
          <w:b/>
          <w:bCs/>
          <w:color w:val="0E6655"/>
          <w:sz w:val="18"/>
          <w:szCs w:val="18"/>
          <w:shd w:fill="DCF0EB" w:color="auto" w:val="clear"/>
        </w:rPr>
        <w:t xml:space="preserve"> 置信度 中高 </w:t>
      </w:r>
    </w:p>
    <w:p>
      <w:pPr>
        <w:pStyle w:val="Heading2"/>
        <w:keepNext/>
        <w:spacing w:after="140" w:before="340"/>
      </w:pPr>
      <w:r>
        <w:rPr>
          <w:rFonts w:ascii="Calibri" w:cs="Calibri" w:eastAsia="Microsoft YaHei" w:hAnsi="Calibri"/>
          <w:b/>
          <w:bCs/>
          <w:color w:val="1F3A5F"/>
          <w:sz w:val="26"/>
          <w:szCs w:val="26"/>
        </w:rPr>
        <w:t xml:space="preserve">6.3 工业生产与景气：没有继续变差，算不上复苏</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8月规模以上工业增加值增长5.2%，6月为5.3%，7月为4.5%</w:t>
      </w:r>
      <w:r>
        <w:rPr>
          <w:rStyle w:val="FootnoteReference"/>
        </w:rPr>
        <w:footnoteReference w:id="105"/>
      </w:r>
      <w:r>
        <w:rPr>
          <w:rFonts w:ascii="Calibri" w:cs="Calibri" w:eastAsia="DengXian" w:hAnsi="Calibri"/>
          <w:b w:val="false"/>
          <w:bCs w:val="false"/>
          <w:color w:val="1F2328"/>
          <w:sz w:val="21"/>
          <w:szCs w:val="21"/>
        </w:rPr>
        <w:t xml:space="preserve">。9月官方制造业PMI为50.1，8月为49.8，7月为49.2；非制造业PMI为50.2。新订单指数50.5、新出口订单指数50.0，都比8月低0.1</w:t>
      </w:r>
      <w:r>
        <w:rPr>
          <w:rStyle w:val="FootnoteReference"/>
        </w:rPr>
        <w:footnoteReference w:id="106"/>
      </w:r>
      <w:r>
        <w:rPr>
          <w:rFonts w:ascii="Calibri" w:cs="Calibri" w:eastAsia="DengXian" w:hAnsi="Calibri"/>
          <w:b w:val="false"/>
          <w:bCs w:val="false"/>
          <w:color w:val="1F2328"/>
          <w:sz w:val="21"/>
          <w:szCs w:val="21"/>
        </w:rPr>
        <w:t xml:space="preserve">。RatingDog制造业PMI为52.1，服务业51.6，综合52.4</w:t>
      </w:r>
      <w:r>
        <w:rPr>
          <w:rStyle w:val="FootnoteReference"/>
        </w:rPr>
        <w:footnoteReference w:id="107"/>
      </w:r>
      <w:r>
        <w:rPr>
          <w:rFonts w:ascii="Calibri" w:cs="Calibri" w:eastAsia="DengXian" w:hAnsi="Calibri"/>
          <w:b w:val="false"/>
          <w:bCs w:val="false"/>
          <w:color w:val="1F2328"/>
          <w:sz w:val="21"/>
          <w:szCs w:val="21"/>
        </w:rPr>
        <w:t xml:space="preserve">。CNBC把9月的改善归因于天气扰动消退和全球AI需求。</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PMI回到50.1只比荣枯线高0.1，新订单还略有回落。PMI在50上下来回已经很多年，这个读数说明没有继续恶化，不足以说明景气重新扩张。</w:t>
      </w:r>
      <w:r>
        <w:rPr>
          <w:rFonts w:ascii="Calibri" w:cs="Calibri" w:eastAsia="DengXian" w:hAnsi="Calibri"/>
          <w:b/>
          <w:bCs/>
          <w:color w:val="0E6655"/>
          <w:sz w:val="18"/>
          <w:szCs w:val="18"/>
          <w:shd w:fill="DCF0EB" w:color="auto" w:val="clear"/>
        </w:rPr>
        <w:t xml:space="preserve"> 置信度 中高 </w:t>
      </w:r>
    </w:p>
    <w:p>
      <w:pPr>
        <w:pStyle w:val="Heading2"/>
        <w:keepNext/>
        <w:spacing w:after="140" w:before="340"/>
      </w:pPr>
      <w:r>
        <w:rPr>
          <w:rFonts w:ascii="Calibri" w:cs="Calibri" w:eastAsia="Microsoft YaHei" w:hAnsi="Calibri"/>
          <w:b/>
          <w:bCs/>
          <w:color w:val="1F3A5F"/>
          <w:sz w:val="26"/>
          <w:szCs w:val="26"/>
        </w:rPr>
        <w:t xml:space="preserve">6.4 工业利润：增长较广，高度集中，动能减弱</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第1版强调"盈利集中在上游资源和电子"，需要补充：按所有制看，利润改善分布较广，私营企业也在增长；按行业看，增量高度集中于电子；最近两个月动能明显减弱。</w:t>
            </w:r>
          </w:p>
        </w:tc>
      </w:tr>
    </w:tbl>
    <w:p>
      <w:pPr>
        <w:spacing w:after="140"/>
      </w:pP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1—8月规模以上工业企业利润5.27万亿元，同比增长15.7%。制造业增长17.4%，采矿业增长35.1%，电力热力燃气及水的生产和供应业下降12.0%；国有控股企业增长10.3%，股份制企业增长20.4%，私营企业增长10.4%，外商及港澳台投资企业增长2.3%；高技术制造业增长54.7%</w:t>
      </w:r>
      <w:r>
        <w:rPr>
          <w:rStyle w:val="FootnoteReference"/>
        </w:rPr>
        <w:footnoteReference w:id="108"/>
      </w:r>
      <w:r>
        <w:rPr>
          <w:rFonts w:ascii="Calibri" w:cs="Calibri" w:eastAsia="DengXian" w:hAnsi="Calibri"/>
          <w:b w:val="false"/>
          <w:bCs w:val="false"/>
          <w:color w:val="1F2328"/>
          <w:sz w:val="21"/>
          <w:szCs w:val="21"/>
        </w:rPr>
        <w:t xml:space="preserve">。统计局工业司的解读称，电子行业利润增长约1.1倍，对全部利润增长的贡献率为62.0%</w:t>
      </w:r>
      <w:r>
        <w:rPr>
          <w:rStyle w:val="FootnoteReference"/>
        </w:rPr>
        <w:footnoteReference w:id="109"/>
      </w:r>
      <w:r>
        <w:rPr>
          <w:rFonts w:ascii="Calibri" w:cs="Calibri" w:eastAsia="DengXian" w:hAnsi="Calibri"/>
          <w:b w:val="false"/>
          <w:bCs w:val="false"/>
          <w:color w:val="1F2328"/>
          <w:sz w:val="21"/>
          <w:szCs w:val="21"/>
        </w:rPr>
        <w:t xml:space="preserve">。8月单月利润增长4.2%，统计局归因于上年同期的高基数；1—6月累计增长18.7%，7月单月增长11.2%</w:t>
      </w:r>
      <w:r>
        <w:rPr>
          <w:rStyle w:val="FootnoteReference"/>
        </w:rPr>
        <w:footnoteReference w:id="110"/>
      </w:r>
      <w:r>
        <w:rPr>
          <w:rFonts w:ascii="Calibri" w:cs="Calibri" w:eastAsia="DengXian" w:hAnsi="Calibri"/>
          <w:b w:val="false"/>
          <w:bCs w:val="false"/>
          <w:color w:val="1F2328"/>
          <w:sz w:val="21"/>
          <w:szCs w:val="21"/>
        </w:rPr>
        <w:t xml:space="preserve">。行业层面，上半年钢铁行业利润约下降25%，六家光伏龙头企业合计亏损约180亿元，约六成水泥企业亏损</w:t>
      </w:r>
      <w:r>
        <w:rPr>
          <w:rStyle w:val="FootnoteReference"/>
        </w:rPr>
        <w:footnoteReference w:id="111"/>
      </w:r>
      <w:r>
        <w:rPr>
          <w:rFonts w:ascii="Calibri" w:cs="Calibri" w:eastAsia="DengXian" w:hAnsi="Calibri"/>
          <w:color w:val="1F2328"/>
          <w:sz w:val="21"/>
          <w:szCs w:val="21"/>
          <w:vertAlign w:val="superscript"/>
        </w:rPr>
        <w:t xml:space="preserve">,</w:t>
      </w:r>
      <w:r>
        <w:rPr>
          <w:rStyle w:val="FootnoteReference"/>
        </w:rPr>
        <w:footnoteReference w:id="112"/>
      </w:r>
      <w:r>
        <w:rPr>
          <w:rFonts w:ascii="Calibri" w:cs="Calibri" w:eastAsia="DengXian" w:hAnsi="Calibri"/>
          <w:color w:val="1F2328"/>
          <w:sz w:val="21"/>
          <w:szCs w:val="21"/>
          <w:vertAlign w:val="superscript"/>
        </w:rPr>
        <w:t xml:space="preserve">,</w:t>
      </w:r>
      <w:r>
        <w:rPr>
          <w:rStyle w:val="FootnoteReference"/>
        </w:rPr>
        <w:footnoteReference w:id="113"/>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利润增速在年中见顶。</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这轮利润回升始于2025年底到2026年上半年，现在正在减弱。把它当作新的转折信号，时间顺序是反的。推翻条件：9—10月单月利润增速重回10%以上，并且下游消费品行业转正。</w:t>
      </w:r>
    </w:p>
    <w:p>
      <w:pPr>
        <w:pStyle w:val="Heading2"/>
        <w:keepNext/>
        <w:spacing w:after="140" w:before="340"/>
      </w:pPr>
      <w:r>
        <w:rPr>
          <w:rFonts w:ascii="Calibri" w:cs="Calibri" w:eastAsia="Microsoft YaHei" w:hAnsi="Calibri"/>
          <w:b/>
          <w:bCs/>
          <w:color w:val="1F3A5F"/>
          <w:sz w:val="26"/>
          <w:szCs w:val="26"/>
        </w:rPr>
        <w:t xml:space="preserve">6.5 库存：从主动补库转向被动累积的早期</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规模以上工业企业产成品存货同比增速，从2月末的6.6%升到6月末的9.5%、7月末的10.8%、8月末的11.0%，8月末余额约7.36万亿元；产成品存货周转天数21.3天，同比增加0.6天</w:t>
      </w:r>
      <w:r>
        <w:rPr>
          <w:rStyle w:val="FootnoteReference"/>
        </w:rPr>
        <w:footnoteReference w:id="114"/>
      </w:r>
      <w:r>
        <w:rPr>
          <w:rFonts w:ascii="Calibri" w:cs="Calibri" w:eastAsia="DengXian" w:hAnsi="Calibri"/>
          <w:b w:val="false"/>
          <w:bCs w:val="false"/>
          <w:color w:val="1F2328"/>
          <w:sz w:val="21"/>
          <w:szCs w:val="21"/>
        </w:rPr>
        <w:t xml:space="preserve">。1—8月营业收入增长约6.6%，这一数字来自二手报道</w:t>
      </w:r>
      <w:r>
        <w:rPr>
          <w:rStyle w:val="FootnoteReference"/>
        </w:rPr>
        <w:footnoteReference w:id="115"/>
      </w:r>
      <w:r>
        <w:rPr>
          <w:rFonts w:ascii="Calibri" w:cs="Calibri" w:eastAsia="DengXian" w:hAnsi="Calibri"/>
          <w:b w:val="false"/>
          <w:bCs w:val="false"/>
          <w:color w:val="1F2328"/>
          <w:sz w:val="21"/>
          <w:szCs w:val="21"/>
        </w:rPr>
        <w:t xml:space="preserve">。一份卖方报告估计，剔除价格后库存增速约6.9%</w:t>
      </w:r>
      <w:r>
        <w:rPr>
          <w:rStyle w:val="FootnoteReference"/>
        </w:rPr>
        <w:footnoteReference w:id="116"/>
      </w:r>
      <w:r>
        <w:rPr>
          <w:rFonts w:ascii="Calibri" w:cs="Calibri" w:eastAsia="DengXian" w:hAnsi="Calibri"/>
          <w:b w:val="false"/>
          <w:bCs w:val="false"/>
          <w:color w:val="1F2328"/>
          <w:sz w:val="21"/>
          <w:szCs w:val="21"/>
        </w:rPr>
        <w:t xml:space="preserve">。8月PMI原材料库存指数48.1，企业在减少原料库存</w:t>
      </w:r>
      <w:r>
        <w:rPr>
          <w:rStyle w:val="FootnoteReference"/>
        </w:rPr>
        <w:footnoteReference w:id="117"/>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2—6月，价格、利润和库存一起上升，符合名义上的主动补库。7—8月，利润增速和PPI动能回落，库存仍在增加，库存增速高于营收增速，周转天数变长，这是被动累积的早期特征：需求放慢后，货卖得慢了。电子行业可能仍在价格驱动下主动补库，传统行业更接近被动累积。</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营收的逐月数据缺失，所以只有中等把握。推翻条件：9—10月营收增速回到库存增速之上，同时PPI环比连续为正。</w:t>
      </w:r>
    </w:p>
    <w:p>
      <w:pPr>
        <w:pStyle w:val="Heading2"/>
        <w:keepNext/>
        <w:spacing w:after="140" w:before="340"/>
      </w:pPr>
      <w:r>
        <w:rPr>
          <w:rFonts w:ascii="Calibri" w:cs="Calibri" w:eastAsia="Microsoft YaHei" w:hAnsi="Calibri"/>
          <w:b/>
          <w:bCs/>
          <w:color w:val="1F3A5F"/>
          <w:sz w:val="26"/>
          <w:szCs w:val="26"/>
        </w:rPr>
        <w:t xml:space="preserve">6.6 出口：处在高位，靠价格拉动，2027年上半年明显放慢</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2025年中国货物贸易顺差1.189万亿美元，创纪录</w:t>
      </w:r>
      <w:r>
        <w:rPr>
          <w:rStyle w:val="FootnoteReference"/>
        </w:rPr>
        <w:footnoteReference w:id="118"/>
      </w:r>
      <w:r>
        <w:rPr>
          <w:rFonts w:ascii="Calibri" w:cs="Calibri" w:eastAsia="DengXian" w:hAnsi="Calibri"/>
          <w:b w:val="false"/>
          <w:bCs w:val="false"/>
          <w:color w:val="1F2328"/>
          <w:sz w:val="21"/>
          <w:szCs w:val="21"/>
        </w:rPr>
        <w:t xml:space="preserve">。2026年美元口径出口6月增长27.0%，是2021年10月以来最快</w:t>
      </w:r>
      <w:r>
        <w:rPr>
          <w:rStyle w:val="FootnoteReference"/>
        </w:rPr>
        <w:footnoteReference w:id="119"/>
      </w:r>
      <w:r>
        <w:rPr>
          <w:rFonts w:ascii="Calibri" w:cs="Calibri" w:eastAsia="DengXian" w:hAnsi="Calibri"/>
          <w:b w:val="false"/>
          <w:bCs w:val="false"/>
          <w:color w:val="1F2328"/>
          <w:sz w:val="21"/>
          <w:szCs w:val="21"/>
        </w:rPr>
        <w:t xml:space="preserve">，7月增长23.9%，8月增长25.0%</w:t>
      </w:r>
      <w:r>
        <w:rPr>
          <w:rStyle w:val="FootnoteReference"/>
        </w:rPr>
        <w:footnoteReference w:id="120"/>
      </w:r>
      <w:r>
        <w:rPr>
          <w:rFonts w:ascii="Calibri" w:cs="Calibri" w:eastAsia="DengXian" w:hAnsi="Calibri"/>
          <w:b w:val="false"/>
          <w:bCs w:val="false"/>
          <w:color w:val="1F2328"/>
          <w:sz w:val="21"/>
          <w:szCs w:val="21"/>
        </w:rPr>
        <w:t xml:space="preserve">。进口增长更快，1—7月顺差只比上年同期多0.8%</w:t>
      </w:r>
      <w:r>
        <w:rPr>
          <w:rStyle w:val="FootnoteReference"/>
        </w:rPr>
        <w:footnoteReference w:id="121"/>
      </w:r>
      <w:r>
        <w:rPr>
          <w:rFonts w:ascii="Calibri" w:cs="Calibri" w:eastAsia="DengXian" w:hAnsi="Calibri"/>
          <w:b w:val="false"/>
          <w:bCs w:val="false"/>
          <w:color w:val="1F2328"/>
          <w:sz w:val="21"/>
          <w:szCs w:val="21"/>
        </w:rPr>
        <w:t xml:space="preserve">。7月集成电路出口金额增长约117%，数量只增长约1.8%；8月芯片出口数量约下降8%</w:t>
      </w:r>
      <w:r>
        <w:rPr>
          <w:rStyle w:val="FootnoteReference"/>
        </w:rPr>
        <w:footnoteReference w:id="122"/>
      </w:r>
      <w:r>
        <w:rPr>
          <w:rFonts w:ascii="Calibri" w:cs="Calibri" w:eastAsia="DengXian" w:hAnsi="Calibri"/>
          <w:b w:val="false"/>
          <w:bCs w:val="false"/>
          <w:color w:val="1F2328"/>
          <w:sz w:val="21"/>
          <w:szCs w:val="21"/>
        </w:rPr>
        <w:t xml:space="preserve">。欧盟钢铁新规7月1日生效，免税配额削减约47%，超配额税率从25%升到50%</w:t>
      </w:r>
      <w:r>
        <w:rPr>
          <w:rStyle w:val="FootnoteReference"/>
        </w:rPr>
        <w:footnoteReference w:id="123"/>
      </w:r>
      <w:r>
        <w:rPr>
          <w:rFonts w:ascii="Calibri" w:cs="Calibri" w:eastAsia="DengXian" w:hAnsi="Calibri"/>
          <w:b w:val="false"/>
          <w:bCs w:val="false"/>
          <w:color w:val="1F2328"/>
          <w:sz w:val="21"/>
          <w:szCs w:val="21"/>
        </w:rPr>
        <w:t xml:space="preserve">。10月7日，美国宣布十余个经济体签署产能过剩联合声明，中国没有签署</w:t>
      </w:r>
      <w:r>
        <w:rPr>
          <w:rStyle w:val="FootnoteReference"/>
        </w:rPr>
        <w:footnoteReference w:id="124"/>
      </w:r>
      <w:r>
        <w:rPr>
          <w:rFonts w:ascii="Calibri" w:cs="Calibri" w:eastAsia="DengXian" w:hAnsi="Calibri"/>
          <w:b w:val="false"/>
          <w:bCs w:val="false"/>
          <w:color w:val="1F2328"/>
          <w:sz w:val="21"/>
          <w:szCs w:val="21"/>
        </w:rPr>
        <w:t xml:space="preserve">。美国四大云厂商2026年资本开支合计约7200亿—7450亿美元</w:t>
      </w:r>
      <w:r>
        <w:rPr>
          <w:rStyle w:val="FootnoteReference"/>
        </w:rPr>
        <w:footnoteReference w:id="12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外需处在高位，增长主要来自全球AI和存储芯片的价格周期，数量的贡献在下降。</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2026年的高增长会形成高基数，2027年上半年出口同比增速低于10%的概率约65%。</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风险集中在一点：美国AI资本开支一旦放慢，芯片价格和中国出口金额会同时回落，国内需求还没有准备好接替。</w:t>
      </w:r>
    </w:p>
    <w:p>
      <w:pPr>
        <w:pStyle w:val="Heading2"/>
        <w:keepNext/>
        <w:spacing w:after="140" w:before="340"/>
      </w:pPr>
      <w:r>
        <w:rPr>
          <w:rFonts w:ascii="Calibri" w:cs="Calibri" w:eastAsia="Microsoft YaHei" w:hAnsi="Calibri"/>
          <w:b/>
          <w:bCs/>
          <w:color w:val="1F3A5F"/>
          <w:sz w:val="26"/>
          <w:szCs w:val="26"/>
        </w:rPr>
        <w:t xml:space="preserve">6.7 就业和收入</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8月城镇调查失业率5.3%；16—24岁（不含在校生）失业率18.9%，与2025年8月的新口径纪录持平</w:t>
      </w:r>
      <w:r>
        <w:rPr>
          <w:rStyle w:val="FootnoteReference"/>
        </w:rPr>
        <w:footnoteReference w:id="126"/>
      </w:r>
      <w:r>
        <w:rPr>
          <w:rFonts w:ascii="Calibri" w:cs="Calibri" w:eastAsia="DengXian" w:hAnsi="Calibri"/>
          <w:b w:val="false"/>
          <w:bCs w:val="false"/>
          <w:color w:val="1F2328"/>
          <w:sz w:val="21"/>
          <w:szCs w:val="21"/>
        </w:rPr>
        <w:t xml:space="preserve">。上半年居民人均可支配收入名义增长5.2%，实际增长4.2%</w:t>
      </w:r>
      <w:r>
        <w:rPr>
          <w:rStyle w:val="FootnoteReference"/>
        </w:rPr>
        <w:footnoteReference w:id="127"/>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年轻人就业压力没有缓解。到2027年8月，16—24岁同口径失业率仍在16%—20%区间的概率约70%。</w:t>
      </w:r>
      <w:r>
        <w:rPr>
          <w:rFonts w:ascii="Calibri" w:cs="Calibri" w:eastAsia="DengXian" w:hAnsi="Calibri"/>
          <w:b/>
          <w:bCs/>
          <w:color w:val="4B5563"/>
          <w:sz w:val="18"/>
          <w:szCs w:val="18"/>
          <w:shd w:fill="E9EBEE" w:color="auto" w:val="clear"/>
        </w:rPr>
        <w:t xml:space="preserve"> 主观概率 </w:t>
      </w:r>
    </w:p>
    <w:p>
      <w:pPr>
        <w:pStyle w:val="Heading2"/>
        <w:keepNext/>
        <w:spacing w:after="140" w:before="340"/>
      </w:pPr>
      <w:r>
        <w:rPr>
          <w:rFonts w:ascii="Calibri" w:cs="Calibri" w:eastAsia="Microsoft YaHei" w:hAnsi="Calibri"/>
          <w:b/>
          <w:bCs/>
          <w:color w:val="1F3A5F"/>
          <w:sz w:val="26"/>
          <w:szCs w:val="26"/>
        </w:rPr>
        <w:t xml:space="preserve">6.8 短周期小结：两组指标走势分化</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250"/>
        <w:gridCol w:w="2389"/>
        <w:gridCol w:w="3061"/>
        <w:gridCol w:w="1712"/>
      </w:tblGrid>
      <w:tr>
        <w:trPr>
          <w:cantSplit/>
          <w:tblHeader/>
        </w:trPr>
        <w:tc>
          <w:tcPr>
            <w:tcW w:type="dxa" w:w="225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238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3—6个月前</w:t>
            </w:r>
          </w:p>
        </w:tc>
        <w:tc>
          <w:tcPr>
            <w:tcW w:type="dxa" w:w="306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最新</w:t>
            </w:r>
          </w:p>
        </w:tc>
        <w:tc>
          <w:tcPr>
            <w:tcW w:type="dxa" w:w="171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方向</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PPI同比</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3月+0.5%，6月+4.1%</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7月+3.5%，8月+3.8%</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6月见顶，高位横盘</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规上工业利润</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1—6月+18.7%，7月单月+11.2%</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1—8月+15.7%，8月单月+4.2%</w:t>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见顶回落</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出口（美元）</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6月+27.0%</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7月+23.9%，8月+25.0%</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高位，靠价格</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规上工业增加值</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6月+5.3%</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7月+4.5%，8月+5.2%</w:t>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持平</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官方制造业PMI</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7月49.2</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8月49.8，9月50.1</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小幅改善</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社零同比</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6月+1.0%</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7月+0.6%，8月+0.4%</w:t>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低速增长，在放慢</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固定资产投资（累计）</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1—5月−4.1%</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1—7月−6.7%，1—8月−7.2%</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恶化</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制造业投资（累计）</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一季度+4.1%</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1—8月−2.3%</w:t>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恶化</w:t>
            </w:r>
          </w:p>
        </w:tc>
      </w:tr>
      <w:tr>
        <w:trPr>
          <w:cantSplit/>
        </w:trPr>
        <w:tc>
          <w:tcPr>
            <w:tcW w:type="dxa" w:w="22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房地产开发投资（累计）</w:t>
            </w:r>
          </w:p>
        </w:tc>
        <w:tc>
          <w:tcPr>
            <w:tcW w:type="dxa" w:w="238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1—6月−18.0%</w:t>
            </w:r>
          </w:p>
        </w:tc>
        <w:tc>
          <w:tcPr>
            <w:tcW w:type="dxa" w:w="306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1—8月−19.9%</w:t>
            </w:r>
          </w:p>
        </w:tc>
        <w:tc>
          <w:tcPr>
            <w:tcW w:type="dxa" w:w="171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恶化</w:t>
            </w:r>
          </w:p>
        </w:tc>
      </w:tr>
      <w:tr>
        <w:trPr>
          <w:cantSplit/>
        </w:trPr>
        <w:tc>
          <w:tcPr>
            <w:tcW w:type="dxa" w:w="22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实际GDP</w:t>
            </w:r>
          </w:p>
        </w:tc>
        <w:tc>
          <w:tcPr>
            <w:tcW w:type="dxa" w:w="238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一季度5.0%</w:t>
            </w:r>
          </w:p>
        </w:tc>
        <w:tc>
          <w:tcPr>
            <w:tcW w:type="dxa" w:w="306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二季度4.3%；高盛估计三季度初约4%</w:t>
            </w:r>
            <w:r>
              <w:rPr>
                <w:rStyle w:val="FootnoteReference"/>
              </w:rPr>
              <w:footnoteReference w:id="128"/>
            </w:r>
          </w:p>
        </w:tc>
        <w:tc>
          <w:tcPr>
            <w:tcW w:type="dxa" w:w="171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放缓</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工业价格和利润的上行在6—8月见顶，投资在收缩，消费低速增长。四季度有一股支撑力量：9月28日国务院常务会议要求加快债券发行使用和"六张网"项目开工</w:t>
      </w:r>
      <w:r>
        <w:rPr>
          <w:rStyle w:val="FootnoteReference"/>
        </w:rPr>
        <w:footnoteReference w:id="129"/>
      </w:r>
      <w:r>
        <w:rPr>
          <w:rFonts w:ascii="Calibri" w:cs="Calibri" w:eastAsia="DengXian" w:hAnsi="Calibri"/>
          <w:b w:val="false"/>
          <w:bCs w:val="false"/>
          <w:color w:val="1F2328"/>
          <w:sz w:val="21"/>
          <w:szCs w:val="21"/>
        </w:rPr>
        <w:t xml:space="preserve">，基础设施投资可能小幅企稳。预计三季度实际GDP增长4.0%—4.3%，概率约70%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；全年约4.4%—4.5%。</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7 信用与不良债务：窗口对国家敞开，对住户和民营地产关闭</w:t>
      </w:r>
    </w:p>
    <w:p>
      <w:pPr>
        <w:pStyle w:val="Heading2"/>
        <w:keepNext/>
        <w:spacing w:after="140" w:before="340"/>
      </w:pPr>
      <w:r>
        <w:rPr>
          <w:rFonts w:ascii="Calibri" w:cs="Calibri" w:eastAsia="Microsoft YaHei" w:hAnsi="Calibri"/>
          <w:b/>
          <w:bCs/>
          <w:color w:val="1F3A5F"/>
          <w:sz w:val="26"/>
          <w:szCs w:val="26"/>
        </w:rPr>
        <w:t xml:space="preserve">7.1 马克斯的信用周期（作者的概括）</w:t>
      </w:r>
    </w:p>
    <w:p>
      <w:pPr>
        <w:spacing w:after="140" w:line="340"/>
        <w:jc w:val="both"/>
      </w:pPr>
      <w:r>
        <w:rPr>
          <w:rFonts w:ascii="Calibri" w:cs="Calibri" w:eastAsia="DengXian" w:hAnsi="Calibri"/>
          <w:b w:val="false"/>
          <w:bCs w:val="false"/>
          <w:color w:val="1F2328"/>
          <w:sz w:val="21"/>
          <w:szCs w:val="21"/>
        </w:rPr>
        <w:t xml:space="preserve">按作者对《周期》相关章节的概括（研究中没能核对原文措辞）：信用周期对其他周期的放大作用最大；经济好时放贷扩张，标准随之放松；不审慎的贷款带来亏损；放贷者收手，融资变难，繁荣结束；放贷者收得过紧时，机会出现。马克斯常用"窗口"的开合描述信用市场，看的是谁能借到钱、以什么条件借到。</w:t>
      </w:r>
    </w:p>
    <w:p>
      <w:pPr>
        <w:pStyle w:val="Heading2"/>
        <w:keepNext/>
        <w:spacing w:after="140" w:before="340"/>
      </w:pPr>
      <w:r>
        <w:rPr>
          <w:rFonts w:ascii="Calibri" w:cs="Calibri" w:eastAsia="Microsoft YaHei" w:hAnsi="Calibri"/>
          <w:b/>
          <w:bCs/>
          <w:color w:val="1F3A5F"/>
          <w:sz w:val="26"/>
          <w:szCs w:val="26"/>
        </w:rPr>
        <w:t xml:space="preserve">7.2 事实：信用总量在放慢，结构向政府倾斜</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8月末社融存量464.8万亿元，同比增长7.2%，2025年末为8.3%；人民币贷款余额同比增长4.9%；8月新增人民币贷款只有约600亿元，财新调查的预测均值为3820亿元；7月贷款净减少约3400亿元</w:t>
      </w:r>
      <w:r>
        <w:rPr>
          <w:rStyle w:val="FootnoteReference"/>
        </w:rPr>
        <w:footnoteReference w:id="130"/>
      </w:r>
      <w:r>
        <w:rPr>
          <w:rFonts w:ascii="Calibri" w:cs="Calibri" w:eastAsia="DengXian" w:hAnsi="Calibri"/>
          <w:color w:val="1F2328"/>
          <w:sz w:val="21"/>
          <w:szCs w:val="21"/>
          <w:vertAlign w:val="superscript"/>
        </w:rPr>
        <w:t xml:space="preserve">,</w:t>
      </w:r>
      <w:r>
        <w:rPr>
          <w:rStyle w:val="FootnoteReference"/>
        </w:rPr>
        <w:footnoteReference w:id="131"/>
      </w:r>
      <w:r>
        <w:rPr>
          <w:rFonts w:ascii="Calibri" w:cs="Calibri" w:eastAsia="DengXian" w:hAnsi="Calibri"/>
          <w:b w:val="false"/>
          <w:bCs w:val="false"/>
          <w:color w:val="1F2328"/>
          <w:sz w:val="21"/>
          <w:szCs w:val="21"/>
        </w:rPr>
        <w:t xml:space="preserve">。政府债券占社融存量的22.3%，同比提高1.2个百分点</w:t>
      </w:r>
      <w:r>
        <w:rPr>
          <w:rStyle w:val="FootnoteReference"/>
        </w:rPr>
        <w:footnoteReference w:id="132"/>
      </w:r>
      <w:r>
        <w:rPr>
          <w:rFonts w:ascii="Calibri" w:cs="Calibri" w:eastAsia="DengXian" w:hAnsi="Calibri"/>
          <w:b w:val="false"/>
          <w:bCs w:val="false"/>
          <w:color w:val="1F2328"/>
          <w:sz w:val="21"/>
          <w:szCs w:val="21"/>
        </w:rPr>
        <w:t xml:space="preserve">。8月末M2同比增长7.5%，M1增长4.1%</w:t>
      </w:r>
      <w:r>
        <w:rPr>
          <w:rStyle w:val="FootnoteReference"/>
        </w:rPr>
        <w:footnoteReference w:id="133"/>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7.3 谁的信用窗口开着</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837"/>
        <w:gridCol w:w="1474"/>
        <w:gridCol w:w="6101"/>
      </w:tblGrid>
      <w:tr>
        <w:trPr>
          <w:cantSplit/>
          <w:tblHeader/>
        </w:trPr>
        <w:tc>
          <w:tcPr>
            <w:tcW w:type="dxa" w:w="18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借款人</w:t>
            </w:r>
          </w:p>
        </w:tc>
        <w:tc>
          <w:tcPr>
            <w:tcW w:type="dxa" w:w="147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状态</w:t>
            </w:r>
          </w:p>
        </w:tc>
        <w:tc>
          <w:tcPr>
            <w:tcW w:type="dxa" w:w="610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中央与地方政府</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开</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政府债占社融存量22.3%；10年期国债收益率1.675%</w:t>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中央金融企业</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开</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3000亿元特别国债注资8家中央金融企业，首期1500亿元于10月8日发行</w:t>
            </w:r>
            <w:r>
              <w:rPr>
                <w:rStyle w:val="FootnoteReference"/>
              </w:rPr>
              <w:footnoteReference w:id="134"/>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科技与"六张网"等优先领域</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开</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科技创新和技术改造再贷款额度1.4万亿元；PSL利率降到1.50%，覆盖"六张网"</w:t>
            </w:r>
            <w:r>
              <w:rPr>
                <w:rStyle w:val="FootnoteReference"/>
              </w:rPr>
              <w:footnoteReference w:id="135"/>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股权融资</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大开之后开始收窄</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A股前三季度IPO募资2163亿元，同比约+180%</w:t>
            </w:r>
            <w:r>
              <w:rPr>
                <w:rStyle w:val="FootnoteReference"/>
              </w:rPr>
              <w:footnoteReference w:id="136"/>
            </w:r>
            <w:r>
              <w:rPr>
                <w:rFonts w:ascii="Calibri" w:cs="Calibri" w:eastAsia="DengXian" w:hAnsi="Calibri"/>
                <w:b w:val="false"/>
                <w:bCs w:val="false"/>
                <w:color w:val="1F2328"/>
                <w:sz w:val="18"/>
                <w:szCs w:val="18"/>
              </w:rPr>
              <w:t xml:space="preserve">；港股前三季度IPO超过3880亿港元，为同期纪录</w:t>
            </w:r>
            <w:r>
              <w:rPr>
                <w:rStyle w:val="FootnoteReference"/>
              </w:rPr>
              <w:footnoteReference w:id="137"/>
            </w:r>
            <w:r>
              <w:rPr>
                <w:rFonts w:ascii="Calibri" w:cs="Calibri" w:eastAsia="DengXian" w:hAnsi="Calibri"/>
                <w:b w:val="false"/>
                <w:bCs w:val="false"/>
                <w:color w:val="1F2328"/>
                <w:sz w:val="18"/>
                <w:szCs w:val="18"/>
              </w:rPr>
              <w:t xml:space="preserve">；港股9月新股破发率近六成</w:t>
            </w:r>
            <w:r>
              <w:rPr>
                <w:rStyle w:val="FootnoteReference"/>
              </w:rPr>
              <w:footnoteReference w:id="138"/>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股市杠杆资金</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已收紧</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两融余额6月23日首破3万亿元，9月30日沪深融资余额约2.53万亿元，比7月1日下降约15.5%；三季度去杠杆规模仅次于2015年三季度</w:t>
            </w:r>
            <w:r>
              <w:rPr>
                <w:rStyle w:val="FootnoteReference"/>
              </w:rPr>
              <w:footnoteReference w:id="139"/>
            </w:r>
            <w:r>
              <w:rPr>
                <w:rFonts w:ascii="Calibri" w:cs="Calibri" w:eastAsia="DengXian" w:hAnsi="Calibri"/>
                <w:color w:val="1F2328"/>
                <w:sz w:val="18"/>
                <w:szCs w:val="18"/>
                <w:vertAlign w:val="superscript"/>
              </w:rPr>
              <w:t xml:space="preserve">,</w:t>
            </w:r>
            <w:r>
              <w:rPr>
                <w:rStyle w:val="FootnoteReference"/>
              </w:rPr>
              <w:footnoteReference w:id="140"/>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关，原因在需求端</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1—8月住户贷款净减少1.03万亿元，房贷利率约3.05%</w:t>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民营房企</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关</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1—8月开发商到位资金中的国内贷款−33.3%</w:t>
            </w:r>
            <w:r>
              <w:rPr>
                <w:rStyle w:val="FootnoteReference"/>
              </w:rPr>
              <w:footnoteReference w:id="141"/>
            </w:r>
            <w:r>
              <w:rPr>
                <w:rFonts w:ascii="Calibri" w:cs="Calibri" w:eastAsia="DengXian" w:hAnsi="Calibri"/>
                <w:b w:val="false"/>
                <w:bCs w:val="false"/>
                <w:color w:val="1F2328"/>
                <w:sz w:val="18"/>
                <w:szCs w:val="18"/>
              </w:rPr>
              <w:t xml:space="preserve">；销售额前20强中16家为央国企</w:t>
            </w:r>
            <w:r>
              <w:rPr>
                <w:rStyle w:val="FootnoteReference"/>
              </w:rPr>
              <w:footnoteReference w:id="142"/>
            </w:r>
          </w:p>
        </w:tc>
      </w:tr>
      <w:tr>
        <w:trPr>
          <w:cantSplit/>
        </w:trPr>
        <w:tc>
          <w:tcPr>
            <w:tcW w:type="dxa" w:w="18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城投新增融资</w:t>
            </w:r>
          </w:p>
        </w:tc>
        <w:tc>
          <w:tcPr>
            <w:tcW w:type="dxa" w:w="147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关</w:t>
            </w:r>
          </w:p>
        </w:tc>
        <w:tc>
          <w:tcPr>
            <w:tcW w:type="dxa" w:w="610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2025年末超过82%的融资平台已退出平台身份</w:t>
            </w:r>
            <w:r>
              <w:rPr>
                <w:rStyle w:val="FootnoteReference"/>
              </w:rPr>
              <w:footnoteReference w:id="143"/>
            </w:r>
            <w:r>
              <w:rPr>
                <w:rFonts w:ascii="Calibri" w:cs="Calibri" w:eastAsia="DengXian" w:hAnsi="Calibri"/>
                <w:b w:val="false"/>
                <w:bCs w:val="false"/>
                <w:color w:val="1F2328"/>
                <w:sz w:val="18"/>
                <w:szCs w:val="18"/>
              </w:rPr>
              <w:t xml:space="preserve">，审计发现部分为虚假退出</w:t>
            </w:r>
            <w:r>
              <w:rPr>
                <w:rStyle w:val="FootnoteReference"/>
              </w:rPr>
              <w:footnoteReference w:id="144"/>
            </w:r>
          </w:p>
        </w:tc>
      </w:tr>
      <w:tr>
        <w:trPr>
          <w:cantSplit/>
        </w:trPr>
        <w:tc>
          <w:tcPr>
            <w:tcW w:type="dxa" w:w="18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民营与小微企业</w:t>
            </w:r>
          </w:p>
        </w:tc>
        <w:tc>
          <w:tcPr>
            <w:tcW w:type="dxa" w:w="147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半开，依靠专项再贷款</w:t>
            </w:r>
          </w:p>
        </w:tc>
        <w:tc>
          <w:tcPr>
            <w:tcW w:type="dxa" w:w="610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民营企业再贷款从1万亿元扩到1.3万亿元，另新增5000亿元支农支小再贷款</w:t>
            </w:r>
            <w:r>
              <w:rPr>
                <w:rStyle w:val="FootnoteReference"/>
              </w:rPr>
              <w:footnoteReference w:id="145"/>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私人信用处在收缩阶段，国家主导的信用在扩张。</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住户贷款的收缩主要来自需求端：利率处在多年低位，住户仍然不借，原因是房价在跌、收入预期弱。马克斯描述的私人信用转向，需要先看到住户中长期贷款连续转正。推翻条件：10—11月住户中长期贷款连续两个月明显为正，同时非政府部门的社融增速企稳。</w:t>
      </w:r>
    </w:p>
    <w:p>
      <w:pPr>
        <w:pStyle w:val="Heading2"/>
        <w:keepNext/>
        <w:spacing w:after="140" w:before="340"/>
      </w:pPr>
      <w:r>
        <w:rPr>
          <w:rFonts w:ascii="Calibri" w:cs="Calibri" w:eastAsia="Microsoft YaHei" w:hAnsi="Calibri"/>
          <w:b/>
          <w:bCs/>
          <w:color w:val="1F3A5F"/>
          <w:sz w:val="26"/>
          <w:szCs w:val="26"/>
        </w:rPr>
        <w:t xml:space="preserve">7.4 不良债务：违约被展期压低，出清被推迟</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联合资信统计，2026年上半年只有1家新增违约发行人，为十年来最低</w:t>
      </w:r>
      <w:r>
        <w:rPr>
          <w:rStyle w:val="FootnoteReference"/>
        </w:rPr>
        <w:footnoteReference w:id="146"/>
      </w:r>
      <w:r>
        <w:rPr>
          <w:rFonts w:ascii="Calibri" w:cs="Calibri" w:eastAsia="DengXian" w:hAnsi="Calibri"/>
          <w:b w:val="false"/>
          <w:bCs w:val="false"/>
          <w:color w:val="1F2328"/>
          <w:sz w:val="21"/>
          <w:szCs w:val="21"/>
        </w:rPr>
        <w:t xml:space="preserve">。大公国际称，截至8月26日新增违约主体3家，1—8月展期债券中地产相关企业占78.69%</w:t>
      </w:r>
      <w:r>
        <w:rPr>
          <w:rStyle w:val="FootnoteReference"/>
        </w:rPr>
        <w:footnoteReference w:id="147"/>
      </w:r>
      <w:r>
        <w:rPr>
          <w:rFonts w:ascii="Calibri" w:cs="Calibri" w:eastAsia="DengXian" w:hAnsi="Calibri"/>
          <w:b w:val="false"/>
          <w:bCs w:val="false"/>
          <w:color w:val="1F2328"/>
          <w:sz w:val="21"/>
          <w:szCs w:val="21"/>
        </w:rPr>
        <w:t xml:space="preserve">。万科年内到期的公开债已全部展期，上半年归母净亏损约149.5亿元，6月末有息负债约3512.6亿元，其中一年内到期约占50.9%；深圳地铁自2025年以来累计借给万科超过300亿元</w:t>
      </w:r>
      <w:r>
        <w:rPr>
          <w:rStyle w:val="FootnoteReference"/>
        </w:rPr>
        <w:footnoteReference w:id="148"/>
      </w:r>
      <w:r>
        <w:rPr>
          <w:rFonts w:ascii="Calibri" w:cs="Calibri" w:eastAsia="DengXian" w:hAnsi="Calibri"/>
          <w:color w:val="1F2328"/>
          <w:sz w:val="21"/>
          <w:szCs w:val="21"/>
          <w:vertAlign w:val="superscript"/>
        </w:rPr>
        <w:t xml:space="preserve">,</w:t>
      </w:r>
      <w:r>
        <w:rPr>
          <w:rStyle w:val="FootnoteReference"/>
        </w:rPr>
        <w:footnoteReference w:id="149"/>
      </w:r>
      <w:r>
        <w:rPr>
          <w:rFonts w:ascii="Calibri" w:cs="Calibri" w:eastAsia="DengXian" w:hAnsi="Calibri"/>
          <w:b w:val="false"/>
          <w:bCs w:val="false"/>
          <w:color w:val="1F2328"/>
          <w:sz w:val="21"/>
          <w:szCs w:val="21"/>
        </w:rPr>
        <w:t xml:space="preserve">。碧桂园完成了法律重组，境内债本金减记过半；2026年4月以约4.5亿元现金回购约37.5亿元本金的境内债，约为面值的12%</w:t>
      </w:r>
      <w:r>
        <w:rPr>
          <w:rStyle w:val="FootnoteReference"/>
        </w:rPr>
        <w:footnoteReference w:id="150"/>
      </w:r>
      <w:r>
        <w:rPr>
          <w:rFonts w:ascii="Calibri" w:cs="Calibri" w:eastAsia="DengXian" w:hAnsi="Calibri"/>
          <w:color w:val="1F2328"/>
          <w:sz w:val="21"/>
          <w:szCs w:val="21"/>
          <w:vertAlign w:val="superscript"/>
        </w:rPr>
        <w:t xml:space="preserve">,</w:t>
      </w:r>
      <w:r>
        <w:rPr>
          <w:rStyle w:val="FootnoteReference"/>
        </w:rPr>
        <w:footnoteReference w:id="151"/>
      </w:r>
      <w:r>
        <w:rPr>
          <w:rFonts w:ascii="Calibri" w:cs="Calibri" w:eastAsia="DengXian" w:hAnsi="Calibri"/>
          <w:b w:val="false"/>
          <w:bCs w:val="false"/>
          <w:color w:val="1F2328"/>
          <w:sz w:val="21"/>
          <w:szCs w:val="21"/>
        </w:rPr>
        <w:t xml:space="preserve">。二季度商业银行不良率1.52%，关注类贷款占比2.21%、环比上升4个基点，拨备覆盖率202.87%</w:t>
      </w:r>
      <w:r>
        <w:rPr>
          <w:rStyle w:val="FootnoteReference"/>
        </w:rPr>
        <w:footnoteReference w:id="152"/>
      </w:r>
      <w:r>
        <w:rPr>
          <w:rFonts w:ascii="Calibri" w:cs="Calibri" w:eastAsia="DengXian" w:hAnsi="Calibri"/>
          <w:b w:val="false"/>
          <w:bCs w:val="false"/>
          <w:color w:val="1F2328"/>
          <w:sz w:val="21"/>
          <w:szCs w:val="21"/>
        </w:rPr>
        <w:t xml:space="preserve">。隐性债务2025年末约6.5万亿元，剩余城投经营性债务约3万亿—5万亿元</w:t>
      </w:r>
      <w:r>
        <w:rPr>
          <w:rStyle w:val="FootnoteReference"/>
        </w:rPr>
        <w:footnoteReference w:id="15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出清被有意压低，摊到了更长的时间里。</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按作者对马克斯不良债务一章的理解，便宜的不良资产出现在违约集中爆发、持有人被迫抛售的时候。中国的政策让违约保持在低位，损失通过展期、置换、股东借款和财政注资转到国家的资产负债表上，所以不良资产的供给少，集中在已完成重组的民营开发商。三类主体处在不同位置：民营开发商的违约潮已经过去；万科这类国资背景主体靠滚动展期维持；城投经营性债务是下一段，2027年起将更多依靠协商重组。关键日期是万科两只展期中票12月的本金到期，以及"21万科02"余额在2027年1月22日兑付。推翻条件：这些节点出现实质违约，或城投非标违约明显增加。</w:t>
      </w:r>
    </w:p>
    <w:p>
      <w:pPr>
        <w:pStyle w:val="Heading2"/>
        <w:keepNext/>
        <w:spacing w:after="140" w:before="340"/>
      </w:pPr>
      <w:r>
        <w:rPr>
          <w:rFonts w:ascii="Calibri" w:cs="Calibri" w:eastAsia="Microsoft YaHei" w:hAnsi="Calibri"/>
          <w:b/>
          <w:bCs/>
          <w:color w:val="1F3A5F"/>
          <w:sz w:val="26"/>
          <w:szCs w:val="26"/>
        </w:rPr>
        <w:t xml:space="preserve">7.5 政府干预：波动被压低，时间被拉长</w:t>
      </w:r>
    </w:p>
    <w:p>
      <w:pPr>
        <w:spacing w:after="140" w:line="340"/>
        <w:jc w:val="both"/>
      </w:pPr>
      <w:r>
        <w:rPr>
          <w:rFonts w:ascii="Calibri" w:cs="Calibri" w:eastAsia="DengXian" w:hAnsi="Calibri"/>
          <w:b w:val="false"/>
          <w:bCs w:val="false"/>
          <w:color w:val="1F2328"/>
          <w:sz w:val="21"/>
          <w:szCs w:val="21"/>
        </w:rPr>
        <w:t xml:space="preserve">马克斯在《周期》里专门讨论了政府对经济周期的作用。按作者的概括：政府可以降低周期的振幅，无法消除周期，干预本身也会改变人们的行为。中国的例子很清楚。股市方面，交易所1月14日把融资保证金最低比例从80%上调到100%，明确称为逆周期调节</w:t>
      </w:r>
      <w:r>
        <w:rPr>
          <w:rStyle w:val="FootnoteReference"/>
        </w:rPr>
        <w:footnoteReference w:id="154"/>
      </w:r>
      <w:r>
        <w:rPr>
          <w:rFonts w:ascii="Calibri" w:cs="Calibri" w:eastAsia="DengXian" w:hAnsi="Calibri"/>
          <w:b w:val="false"/>
          <w:bCs w:val="false"/>
          <w:color w:val="1F2328"/>
          <w:sz w:val="21"/>
          <w:szCs w:val="21"/>
        </w:rPr>
        <w:t xml:space="preserve">；第一财经按基金份额推算，上半年"国家队"减持了至少1600亿份宽基ETF，中央汇金否认减持</w:t>
      </w:r>
      <w:r>
        <w:rPr>
          <w:rStyle w:val="FootnoteReference"/>
        </w:rPr>
        <w:footnoteReference w:id="155"/>
      </w:r>
      <w:r>
        <w:rPr>
          <w:rFonts w:ascii="Calibri" w:cs="Calibri" w:eastAsia="DengXian" w:hAnsi="Calibri"/>
          <w:b w:val="false"/>
          <w:bCs w:val="false"/>
          <w:color w:val="1F2328"/>
          <w:sz w:val="21"/>
          <w:szCs w:val="21"/>
        </w:rPr>
        <w:t xml:space="preserve">；三季度股票ETF净申购约4003亿元，买方身份没有披露</w:t>
      </w:r>
      <w:r>
        <w:rPr>
          <w:rStyle w:val="FootnoteReference"/>
        </w:rPr>
        <w:footnoteReference w:id="156"/>
      </w:r>
      <w:r>
        <w:rPr>
          <w:rFonts w:ascii="Calibri" w:cs="Calibri" w:eastAsia="DengXian" w:hAnsi="Calibri"/>
          <w:b w:val="false"/>
          <w:bCs w:val="false"/>
          <w:color w:val="1F2328"/>
          <w:sz w:val="21"/>
          <w:szCs w:val="21"/>
        </w:rPr>
        <w:t xml:space="preserve">。信用方面，贷款被引向优先产业。违约方面，展期替代了违约。</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干预压低了宽基指数的振幅，波动集中到了干预较少的板块：三季度上证综指下跌6.16%，科创50下跌30.7%</w:t>
      </w:r>
      <w:r>
        <w:rPr>
          <w:rStyle w:val="FootnoteReference"/>
        </w:rPr>
        <w:footnoteReference w:id="157"/>
      </w:r>
      <w:r>
        <w:rPr>
          <w:rFonts w:ascii="Calibri" w:cs="Calibri" w:eastAsia="DengXian" w:hAnsi="Calibri"/>
          <w:color w:val="1F2328"/>
          <w:sz w:val="21"/>
          <w:szCs w:val="21"/>
          <w:vertAlign w:val="superscript"/>
        </w:rPr>
        <w:t xml:space="preserve">,</w:t>
      </w:r>
      <w:r>
        <w:rPr>
          <w:rStyle w:val="FootnoteReference"/>
        </w:rPr>
        <w:footnoteReference w:id="158"/>
      </w:r>
      <w:r>
        <w:rPr>
          <w:rFonts w:ascii="Calibri" w:cs="Calibri" w:eastAsia="DengXian" w:hAnsi="Calibri"/>
          <w:b w:val="false"/>
          <w:bCs w:val="false"/>
          <w:color w:val="1F2328"/>
          <w:sz w:val="21"/>
          <w:szCs w:val="21"/>
        </w:rPr>
        <w:t xml:space="preserve">。同样的逻辑适用于实体经济：违约少、波动小，代价是出清慢、底部长。</w:t>
      </w:r>
      <w:r>
        <w:rPr>
          <w:rFonts w:ascii="Calibri" w:cs="Calibri" w:eastAsia="DengXian" w:hAnsi="Calibri"/>
          <w:b/>
          <w:bCs/>
          <w:color w:val="8A5A00"/>
          <w:sz w:val="18"/>
          <w:szCs w:val="18"/>
          <w:shd w:fill="FFF0C7" w:color="auto" w:val="clear"/>
        </w:rPr>
        <w:t xml:space="preserve"> 置信度 中 </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8 房地产：建设周期在后段，价格底部无法识别，上海是局部见底的候选</w:t>
      </w:r>
    </w:p>
    <w:p>
      <w:pPr>
        <w:pStyle w:val="Heading2"/>
        <w:keepNext/>
        <w:spacing w:after="140" w:before="340"/>
      </w:pPr>
      <w:r>
        <w:rPr>
          <w:rFonts w:ascii="Calibri" w:cs="Calibri" w:eastAsia="Microsoft YaHei" w:hAnsi="Calibri"/>
          <w:b/>
          <w:bCs/>
          <w:color w:val="1F3A5F"/>
          <w:sz w:val="26"/>
          <w:szCs w:val="26"/>
        </w:rPr>
        <w:t xml:space="preserve">8.1 马克斯的房地产周期（作者的概括）</w:t>
      </w:r>
    </w:p>
    <w:p>
      <w:pPr>
        <w:spacing w:after="140" w:line="340"/>
        <w:jc w:val="both"/>
      </w:pPr>
      <w:r>
        <w:rPr>
          <w:rFonts w:ascii="Calibri" w:cs="Calibri" w:eastAsia="DengXian" w:hAnsi="Calibri"/>
          <w:b w:val="false"/>
          <w:bCs w:val="false"/>
          <w:color w:val="1F2328"/>
          <w:sz w:val="21"/>
          <w:szCs w:val="21"/>
        </w:rPr>
        <w:t xml:space="preserve">研究中没能核对《周期》房地产一章的原文，以下是作者对其逻辑的概括。房地产周期的特点来自决策和交付之间的长时滞。好时期融资容易，项目看起来都能赚钱，开发商集中开工；几年后房子交付时，需求已经转弱，过剩的供给压低价格；融资随之枯竭，开工停止；过剩库存要用几年才能消化；消化完以后，供给不足又为下一轮上涨做准备。因为时滞长，房地产的下行往往比股市持续更久。</w:t>
      </w:r>
    </w:p>
    <w:p>
      <w:pPr>
        <w:pStyle w:val="Heading2"/>
        <w:keepNext/>
        <w:spacing w:after="140" w:before="340"/>
      </w:pPr>
      <w:r>
        <w:rPr>
          <w:rFonts w:ascii="Calibri" w:cs="Calibri" w:eastAsia="Microsoft YaHei" w:hAnsi="Calibri"/>
          <w:b/>
          <w:bCs/>
          <w:color w:val="1F3A5F"/>
          <w:sz w:val="26"/>
          <w:szCs w:val="26"/>
        </w:rPr>
        <w:t xml:space="preserve">8.2 事实：数量、资金、库存、价格和政策</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数量与资金：2026年1—8月，房地产开发投资同比下降19.9%（1—6月−18.0%，1—7月−19.2%），新开工面积−24.8%，竣工面积−23.7%，新房销售面积−12.1%，销售额−13.0%；开发商到位资金−21.0%，其中国内贷款−33.3%；二手房网签面积+10.6%（住建部口径）</w:t>
      </w:r>
      <w:r>
        <w:rPr>
          <w:rStyle w:val="FootnoteReference"/>
        </w:rPr>
        <w:footnoteReference w:id="159"/>
      </w:r>
      <w:r>
        <w:rPr>
          <w:rFonts w:ascii="Calibri" w:cs="Calibri" w:eastAsia="DengXian" w:hAnsi="Calibri"/>
          <w:b w:val="false"/>
          <w:bCs w:val="false"/>
          <w:color w:val="1F2328"/>
          <w:sz w:val="21"/>
          <w:szCs w:val="21"/>
        </w:rPr>
        <w:t xml:space="preserve">。与2021年峰值相比，2025年新房销售额下降约51%（财新链式口径）到约54%（按标普引用的公布值）</w:t>
      </w:r>
      <w:r>
        <w:rPr>
          <w:rStyle w:val="FootnoteReference"/>
        </w:rPr>
        <w:footnoteReference w:id="160"/>
      </w:r>
      <w:r>
        <w:rPr>
          <w:rFonts w:ascii="Calibri" w:cs="Calibri" w:eastAsia="DengXian" w:hAnsi="Calibri"/>
          <w:color w:val="1F2328"/>
          <w:sz w:val="21"/>
          <w:szCs w:val="21"/>
          <w:vertAlign w:val="superscript"/>
        </w:rPr>
        <w:t xml:space="preserve">,</w:t>
      </w:r>
      <w:r>
        <w:rPr>
          <w:rStyle w:val="FootnoteReference"/>
        </w:rPr>
        <w:footnoteReference w:id="161"/>
      </w:r>
      <w:r>
        <w:rPr>
          <w:rFonts w:ascii="Calibri" w:cs="Calibri" w:eastAsia="DengXian" w:hAnsi="Calibri"/>
          <w:b w:val="false"/>
          <w:bCs w:val="false"/>
          <w:color w:val="1F2328"/>
          <w:sz w:val="21"/>
          <w:szCs w:val="21"/>
        </w:rPr>
        <w:t xml:space="preserve">。新开工比2021年初的峰值下降超过75%</w:t>
      </w:r>
      <w:r>
        <w:rPr>
          <w:rStyle w:val="FootnoteReference"/>
        </w:rPr>
        <w:footnoteReference w:id="162"/>
      </w:r>
      <w:r>
        <w:rPr>
          <w:rFonts w:ascii="Calibri" w:cs="Calibri" w:eastAsia="DengXian" w:hAnsi="Calibri"/>
          <w:b w:val="false"/>
          <w:bCs w:val="false"/>
          <w:color w:val="1F2328"/>
          <w:sz w:val="21"/>
          <w:szCs w:val="21"/>
        </w:rPr>
        <w:t xml:space="preserve">。9月50个重点城市新房成交同比−20.1%</w:t>
      </w:r>
      <w:r>
        <w:rPr>
          <w:rStyle w:val="FootnoteReference"/>
        </w:rPr>
        <w:footnoteReference w:id="163"/>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库存与土地：8月末商品房待售面积7.53亿平方米，同比−1.1%，已连续6个月同比下降</w:t>
      </w:r>
      <w:r>
        <w:rPr>
          <w:rStyle w:val="FootnoteReference"/>
        </w:rPr>
        <w:footnoteReference w:id="164"/>
      </w:r>
      <w:r>
        <w:rPr>
          <w:rFonts w:ascii="Calibri" w:cs="Calibri" w:eastAsia="DengXian" w:hAnsi="Calibri"/>
          <w:b w:val="false"/>
          <w:bCs w:val="false"/>
          <w:color w:val="1F2328"/>
          <w:sz w:val="21"/>
          <w:szCs w:val="21"/>
        </w:rPr>
        <w:t xml:space="preserve">。按过去12个月的销售量计算，狭义去化周期约11个月，没有计入已取得预售证、尚未出售的房源</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。1—8月国有土地使用权出让收入1.38万亿元，同比−28.6%</w:t>
      </w:r>
      <w:r>
        <w:rPr>
          <w:rStyle w:val="FootnoteReference"/>
        </w:rPr>
        <w:footnoteReference w:id="16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价格：8月70城中，一线城市二手住宅价格环比+0.1%，已连续6个月为正，同比−2.7%；分城市看，上海+0.3%、深圳+0.1%、广州0.0%、北京−0.1%</w:t>
      </w:r>
      <w:r>
        <w:rPr>
          <w:rStyle w:val="FootnoteReference"/>
        </w:rPr>
        <w:footnoteReference w:id="166"/>
      </w:r>
      <w:r>
        <w:rPr>
          <w:rFonts w:ascii="Calibri" w:cs="Calibri" w:eastAsia="DengXian" w:hAnsi="Calibri"/>
          <w:color w:val="1F2328"/>
          <w:sz w:val="21"/>
          <w:szCs w:val="21"/>
          <w:vertAlign w:val="superscript"/>
        </w:rPr>
        <w:t xml:space="preserve">,</w:t>
      </w:r>
      <w:r>
        <w:rPr>
          <w:rStyle w:val="FootnoteReference"/>
        </w:rPr>
        <w:footnoteReference w:id="167"/>
      </w:r>
      <w:r>
        <w:rPr>
          <w:rFonts w:ascii="Calibri" w:cs="Calibri" w:eastAsia="DengXian" w:hAnsi="Calibri"/>
          <w:b w:val="false"/>
          <w:bCs w:val="false"/>
          <w:color w:val="1F2328"/>
          <w:sz w:val="21"/>
          <w:szCs w:val="21"/>
        </w:rPr>
        <w:t xml:space="preserve">。上海新房同比+3.0%，是70城中最高。全国层面，70城中约62个城市二手房价格环比下跌</w:t>
      </w:r>
      <w:r>
        <w:rPr>
          <w:rStyle w:val="FootnoteReference"/>
        </w:rPr>
        <w:footnoteReference w:id="168"/>
      </w:r>
      <w:r>
        <w:rPr>
          <w:rFonts w:ascii="Calibri" w:cs="Calibri" w:eastAsia="DengXian" w:hAnsi="Calibri"/>
          <w:b w:val="false"/>
          <w:bCs w:val="false"/>
          <w:color w:val="1F2328"/>
          <w:sz w:val="21"/>
          <w:szCs w:val="21"/>
        </w:rPr>
        <w:t xml:space="preserve">。中指研究院百城二手住宅9月均价12452元/平方米，环比−0.60%，同比−6.94%，100个城市中97个下跌，跌幅比8月扩大；上海环比由跌转涨，上涨0.11%</w:t>
      </w:r>
      <w:r>
        <w:rPr>
          <w:rStyle w:val="FootnoteReference"/>
        </w:rPr>
        <w:footnoteReference w:id="169"/>
      </w:r>
      <w:r>
        <w:rPr>
          <w:rFonts w:ascii="Calibri" w:cs="Calibri" w:eastAsia="DengXian" w:hAnsi="Calibri"/>
          <w:color w:val="1F2328"/>
          <w:sz w:val="21"/>
          <w:szCs w:val="21"/>
          <w:vertAlign w:val="superscript"/>
        </w:rPr>
        <w:t xml:space="preserve">,</w:t>
      </w:r>
      <w:r>
        <w:rPr>
          <w:rStyle w:val="FootnoteReference"/>
        </w:rPr>
        <w:footnoteReference w:id="170"/>
      </w:r>
      <w:r>
        <w:rPr>
          <w:rFonts w:ascii="Calibri" w:cs="Calibri" w:eastAsia="DengXian" w:hAnsi="Calibri"/>
          <w:b w:val="false"/>
          <w:bCs w:val="false"/>
          <w:color w:val="1F2328"/>
          <w:sz w:val="21"/>
          <w:szCs w:val="21"/>
        </w:rPr>
        <w:t xml:space="preserve">。标普估计全国房价比2021年高点累计下跌约22%，日本当年约67%</w:t>
      </w:r>
      <w:r>
        <w:rPr>
          <w:rStyle w:val="FootnoteReference"/>
        </w:rPr>
        <w:footnoteReference w:id="171"/>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政策：8月7日北京放宽限购</w:t>
      </w:r>
      <w:r>
        <w:rPr>
          <w:rStyle w:val="FootnoteReference"/>
        </w:rPr>
        <w:footnoteReference w:id="172"/>
      </w:r>
      <w:r>
        <w:rPr>
          <w:rFonts w:ascii="Calibri" w:cs="Calibri" w:eastAsia="DengXian" w:hAnsi="Calibri"/>
          <w:b w:val="false"/>
          <w:bCs w:val="false"/>
          <w:color w:val="1F2328"/>
          <w:sz w:val="21"/>
          <w:szCs w:val="21"/>
        </w:rPr>
        <w:t xml:space="preserve">。8月28日住建部等三部门改革商品房销售制度：新项目须主体结构封顶后才能预售，新出让地块优先实行现房销售，预售资金全额进入监管专户</w:t>
      </w:r>
      <w:r>
        <w:rPr>
          <w:rStyle w:val="FootnoteReference"/>
        </w:rPr>
        <w:footnoteReference w:id="173"/>
      </w:r>
      <w:r>
        <w:rPr>
          <w:rFonts w:ascii="Calibri" w:cs="Calibri" w:eastAsia="DengXian" w:hAnsi="Calibri"/>
          <w:b w:val="false"/>
          <w:bCs w:val="false"/>
          <w:color w:val="1F2328"/>
          <w:sz w:val="21"/>
          <w:szCs w:val="21"/>
        </w:rPr>
        <w:t xml:space="preserve">。9月29日财政部、人民银行、金融监管总局发布财金〔2026〕95号：自10月1日起，对新发放的首套商业性个人住房贷款按年贴息1个百分点，住房须在120平方米以内且总价不超过150万元，计贴息的本金上限100万元，最长5年，政策暂定一年</w:t>
      </w:r>
      <w:r>
        <w:rPr>
          <w:rStyle w:val="FootnoteReference"/>
        </w:rPr>
        <w:footnoteReference w:id="174"/>
      </w:r>
      <w:r>
        <w:rPr>
          <w:rFonts w:ascii="Calibri" w:cs="Calibri" w:eastAsia="DengXian" w:hAnsi="Calibri"/>
          <w:color w:val="1F2328"/>
          <w:sz w:val="21"/>
          <w:szCs w:val="21"/>
          <w:vertAlign w:val="superscript"/>
        </w:rPr>
        <w:t xml:space="preserve">,</w:t>
      </w:r>
      <w:r>
        <w:rPr>
          <w:rStyle w:val="FootnoteReference"/>
        </w:rPr>
        <w:footnoteReference w:id="175"/>
      </w:r>
      <w:r>
        <w:rPr>
          <w:rFonts w:ascii="Calibri" w:cs="Calibri" w:eastAsia="DengXian" w:hAnsi="Calibri"/>
          <w:b w:val="false"/>
          <w:bCs w:val="false"/>
          <w:color w:val="1F2328"/>
          <w:sz w:val="21"/>
          <w:szCs w:val="21"/>
        </w:rPr>
        <w:t xml:space="preserve">。专项债收购存量商品房截至6月末约124亿元，约为待售面积的0.2%</w:t>
      </w:r>
      <w:r>
        <w:rPr>
          <w:rStyle w:val="FootnoteReference"/>
        </w:rPr>
        <w:footnoteReference w:id="176"/>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8.3 建设周期处在后段</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按马克斯描述的顺序：开工已经停下（新开工比峰值下降超过75%），开发商融资仍在枯竭（国内贷款−33.3%，预售改革会进一步锁住预售资金），过剩库存开始被吸收（待售面积连续6个月同比下降）。在数量这一侧，下行处在后段。</w:t>
      </w:r>
      <w:r>
        <w:rPr>
          <w:rFonts w:ascii="Calibri" w:cs="Calibri" w:eastAsia="DengXian" w:hAnsi="Calibri"/>
          <w:b/>
          <w:bCs/>
          <w:color w:val="1E6B34"/>
          <w:sz w:val="18"/>
          <w:szCs w:val="18"/>
          <w:shd w:fill="E2F1E5" w:color="auto" w:val="clear"/>
        </w:rPr>
        <w:t xml:space="preserve"> 置信度 高 </w:t>
      </w:r>
    </w:p>
    <w:p>
      <w:pPr>
        <w:pStyle w:val="Heading2"/>
        <w:keepNext/>
        <w:spacing w:after="140" w:before="340"/>
      </w:pPr>
      <w:r>
        <w:rPr>
          <w:rFonts w:ascii="Calibri" w:cs="Calibri" w:eastAsia="Microsoft YaHei" w:hAnsi="Calibri"/>
          <w:b/>
          <w:bCs/>
          <w:color w:val="1F3A5F"/>
          <w:sz w:val="26"/>
          <w:szCs w:val="26"/>
        </w:rPr>
        <w:t xml:space="preserve">8.4 价格周期的位置无法识别</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房地产全国处在下行后段"（高），把建设周期和价格周期混在了一起。新开工减少会逐渐改善供给，但价格底部取决于需求：人口、收入预期、租金回报率和购房意愿。如果需求同时下降，房价的平衡点仍可能继续下移。研究中没有取得租金回报率、房价收入比等估值数据，所以价格周期的位置无法识别。</w:t>
            </w:r>
          </w:p>
        </w:tc>
      </w:tr>
    </w:tbl>
    <w:p>
      <w:pPr>
        <w:spacing w:after="14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全国房价仍在下跌，而且9月跌幅扩大，这一点有把握。</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价格处在下行的哪个位置，现有数据无法识别。</w:t>
      </w:r>
      <w:r>
        <w:rPr>
          <w:rFonts w:ascii="Calibri" w:cs="Calibri" w:eastAsia="DengXian" w:hAnsi="Calibri"/>
          <w:b/>
          <w:bCs/>
          <w:color w:val="A1440B"/>
          <w:sz w:val="18"/>
          <w:szCs w:val="18"/>
          <w:shd w:fill="FCE6D6" w:color="auto" w:val="clear"/>
        </w:rPr>
        <w:t xml:space="preserve"> 置信度 中低 </w:t>
      </w:r>
      <w:r>
        <w:rPr>
          <w:rFonts w:ascii="Calibri" w:cs="Calibri" w:eastAsia="DengXian" w:hAnsi="Calibri"/>
          <w:b w:val="false"/>
          <w:bCs w:val="false"/>
          <w:color w:val="1F2328"/>
          <w:sz w:val="21"/>
          <w:szCs w:val="21"/>
        </w:rPr>
        <w:t xml:space="preserve">两类因素方向相反。让下行更长的因素：出生人口和总人口在下降（2025年出生792万人，总人口减少339万人</w:t>
      </w:r>
      <w:r>
        <w:rPr>
          <w:rStyle w:val="FootnoteReference"/>
        </w:rPr>
        <w:footnoteReference w:id="177"/>
      </w:r>
      <w:r>
        <w:rPr>
          <w:rFonts w:ascii="Calibri" w:cs="Calibri" w:eastAsia="DengXian" w:hAnsi="Calibri"/>
          <w:b w:val="false"/>
          <w:bCs w:val="false"/>
          <w:color w:val="1F2328"/>
          <w:sz w:val="21"/>
          <w:szCs w:val="21"/>
        </w:rPr>
        <w:t xml:space="preserve">），住户在修复资产负债表，房租也在下跌，地方财政依赖卖地。让下行更短的因素：供给收缩比日本来得更早、更深，国有银行避免了银行危机，政策支持在加码，一线城市仍有人口净流入。</w:t>
      </w:r>
    </w:p>
    <w:p>
      <w:pPr>
        <w:pStyle w:val="Heading2"/>
        <w:keepNext/>
        <w:spacing w:after="140" w:before="340"/>
      </w:pPr>
      <w:r>
        <w:rPr>
          <w:rFonts w:ascii="Calibri" w:cs="Calibri" w:eastAsia="Microsoft YaHei" w:hAnsi="Calibri"/>
          <w:b/>
          <w:bCs/>
          <w:color w:val="1F3A5F"/>
          <w:sz w:val="26"/>
          <w:szCs w:val="26"/>
        </w:rPr>
        <w:t xml:space="preserve">8.5 上海：局部见底的候选</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上海是唯一称得上持续企稳的一线城市。统计局数据显示8月上海二手房环比上涨0.3%，中指数据显示9月上海二手住宅价格环比上涨0.11%。深圳偏弱但为正，广州持平，北京8月转跌。标普在10月8日转向"接近底部"，并设定了检验：到11月数据为止，如果上海、深圳、广州都没有出现环比下跌，就视为一线城市见底的明确信号</w:t>
      </w:r>
      <w:r>
        <w:rPr>
          <w:rStyle w:val="FootnoteReference"/>
        </w:rPr>
        <w:footnoteReference w:id="178"/>
      </w:r>
      <w:r>
        <w:rPr>
          <w:rFonts w:ascii="Calibri" w:cs="Calibri" w:eastAsia="DengXian" w:hAnsi="Calibri"/>
          <w:b w:val="false"/>
          <w:bCs w:val="false"/>
          <w:color w:val="1F2328"/>
          <w:sz w:val="21"/>
          <w:szCs w:val="21"/>
        </w:rPr>
        <w:t xml:space="preserve">。上海是局部见底的候选，还需要再看三个月，排除政策刺激和季节性成交造成的短暂反弹。</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外部评论引用的"上海二手房成交同比增长17.2%、连续7个月增长"，研究中没能核实。</w:t>
      </w:r>
      <w:r>
        <w:rPr>
          <w:rFonts w:ascii="Calibri" w:cs="Calibri" w:eastAsia="DengXian" w:hAnsi="Calibri"/>
          <w:b/>
          <w:bCs/>
          <w:color w:val="6B4E00"/>
          <w:sz w:val="18"/>
          <w:szCs w:val="18"/>
          <w:shd w:fill="F5E9C4" w:color="auto" w:val="clear"/>
        </w:rPr>
        <w:t xml:space="preserve"> 未核实 </w:t>
      </w:r>
    </w:p>
    <w:p>
      <w:pPr>
        <w:spacing w:after="140" w:line="340"/>
        <w:jc w:val="both"/>
      </w:pPr>
      <w:r>
        <w:rPr>
          <w:rFonts w:ascii="Calibri" w:cs="Calibri" w:eastAsia="DengXian" w:hAnsi="Calibri"/>
          <w:b w:val="false"/>
          <w:bCs w:val="false"/>
          <w:color w:val="1F2328"/>
          <w:sz w:val="21"/>
          <w:szCs w:val="21"/>
        </w:rPr>
        <w:t xml:space="preserve">标普三城检验通过的概率约40%。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理由有三：广州二手房8月环比已经是0.0%，任何一个月转负就不通过；9月全国二手房跌幅在扩大；房贷贴息只覆盖总价150万元以内的首套房，一线城市核心区的大部分住房超过这个上限。贴息的覆盖面在二三线城市更大，那里多数住房的总价在150万元以内，这会支持当地的成交量。</w:t>
      </w:r>
    </w:p>
    <w:p>
      <w:pPr>
        <w:pStyle w:val="Heading2"/>
        <w:keepNext/>
        <w:spacing w:after="140" w:before="340"/>
      </w:pPr>
      <w:r>
        <w:rPr>
          <w:rFonts w:ascii="Calibri" w:cs="Calibri" w:eastAsia="Microsoft YaHei" w:hAnsi="Calibri"/>
          <w:b/>
          <w:bCs/>
          <w:color w:val="1F3A5F"/>
          <w:sz w:val="26"/>
          <w:szCs w:val="26"/>
        </w:rPr>
        <w:t xml:space="preserve">8.6 预测</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之后的对话中，作者预测"到2027年底全国二手房再跌8%—12%"，这个预测偏悲观。外部评论指出了两点：成交量通常先于价格修复；10月起的房贷贴息覆盖了二三线城市的大部分住房。这两点支持跌幅放缓，本版据此下调。</w:t>
            </w:r>
          </w:p>
        </w:tc>
      </w:tr>
    </w:tbl>
    <w:p>
      <w:pPr>
        <w:spacing w:after="140"/>
      </w:pPr>
    </w:p>
    <w:p>
      <w:pPr>
        <w:spacing w:after="140" w:line="340"/>
        <w:jc w:val="both"/>
      </w:pP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9月百城二手房环比下跌0.60%。如果未来12个月月均跌幅放缓到约0.5%，累计下跌约6%；如果立刻放缓到约0.34%，累计约4%；如果维持在0.6%—0.8%，累计约7%—9%。房价变化的持续性很强，四季度又是季节性淡季，跌幅立刻放缓近一半的可能性不大。</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3268"/>
        <w:gridCol w:w="1729"/>
        <w:gridCol w:w="4415"/>
      </w:tblGrid>
      <w:tr>
        <w:trPr>
          <w:cantSplit/>
          <w:tblHeader/>
        </w:trPr>
        <w:tc>
          <w:tcPr>
            <w:tcW w:type="dxa" w:w="326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预测</w:t>
            </w:r>
          </w:p>
        </w:tc>
        <w:tc>
          <w:tcPr>
            <w:tcW w:type="dxa" w:w="172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区间或概率</w:t>
            </w:r>
          </w:p>
        </w:tc>
        <w:tc>
          <w:tcPr>
            <w:tcW w:type="dxa" w:w="441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r>
      <w:tr>
        <w:trPr>
          <w:cantSplit/>
        </w:trPr>
        <w:tc>
          <w:tcPr>
            <w:tcW w:type="dxa" w:w="32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到2027年9月，百城二手房价格再跌</w:t>
            </w:r>
          </w:p>
        </w:tc>
        <w:tc>
          <w:tcPr>
            <w:tcW w:type="dxa" w:w="17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4%—9%，中心约6%</w:t>
            </w:r>
            <w:r>
              <w:rPr>
                <w:rFonts w:ascii="Calibri" w:cs="Calibri" w:eastAsia="DengXian" w:hAnsi="Calibri"/>
                <w:b/>
                <w:bCs/>
                <w:color w:val="4B5563"/>
                <w:sz w:val="15"/>
                <w:szCs w:val="15"/>
                <w:shd w:fill="E9EBEE" w:color="auto" w:val="clear"/>
              </w:rPr>
              <w:t xml:space="preserve"> 主观概率 </w:t>
            </w:r>
          </w:p>
        </w:tc>
        <w:tc>
          <w:tcPr>
            <w:tcW w:type="dxa" w:w="441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上面的月度推算；成交量先行和房贷贴息支持放缓</w:t>
            </w:r>
          </w:p>
        </w:tc>
      </w:tr>
      <w:tr>
        <w:trPr>
          <w:cantSplit/>
        </w:trPr>
        <w:tc>
          <w:tcPr>
            <w:tcW w:type="dxa" w:w="32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到2027年底，百城二手房价格再跌</w:t>
            </w:r>
          </w:p>
        </w:tc>
        <w:tc>
          <w:tcPr>
            <w:tcW w:type="dxa" w:w="17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中心约7%</w:t>
            </w:r>
          </w:p>
        </w:tc>
        <w:tc>
          <w:tcPr>
            <w:tcW w:type="dxa" w:w="441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同上，多3个月</w:t>
            </w:r>
          </w:p>
        </w:tc>
      </w:tr>
      <w:tr>
        <w:trPr>
          <w:cantSplit/>
        </w:trPr>
        <w:tc>
          <w:tcPr>
            <w:tcW w:type="dxa" w:w="32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全国二手房价格在2027年内止跌（连续3个月环比不跌）</w:t>
            </w:r>
          </w:p>
        </w:tc>
        <w:tc>
          <w:tcPr>
            <w:tcW w:type="dxa" w:w="17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30%—50%</w:t>
            </w:r>
            <w:r>
              <w:rPr>
                <w:rFonts w:ascii="Calibri" w:cs="Calibri" w:eastAsia="DengXian" w:hAnsi="Calibri"/>
                <w:b/>
                <w:bCs/>
                <w:color w:val="4B5563"/>
                <w:sz w:val="15"/>
                <w:szCs w:val="15"/>
                <w:shd w:fill="E9EBEE" w:color="auto" w:val="clear"/>
              </w:rPr>
              <w:t xml:space="preserve"> 主观概率 </w:t>
            </w:r>
          </w:p>
        </w:tc>
        <w:tc>
          <w:tcPr>
            <w:tcW w:type="dxa" w:w="441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高盛的跨国基准：21次房地产崩盘的典型情形是房价下跌约30%、历时约6年，据此推算约在2027年见底</w:t>
            </w:r>
            <w:r>
              <w:rPr>
                <w:rStyle w:val="FootnoteReference"/>
              </w:rPr>
              <w:footnoteReference w:id="179"/>
            </w:r>
            <w:r>
              <w:rPr>
                <w:rFonts w:ascii="Calibri" w:cs="Calibri" w:eastAsia="DengXian" w:hAnsi="Calibri"/>
                <w:b w:val="false"/>
                <w:bCs w:val="false"/>
                <w:color w:val="1F2328"/>
                <w:sz w:val="18"/>
                <w:szCs w:val="18"/>
              </w:rPr>
              <w:t xml:space="preserve">；标普估计全国底部约在2028年三季度</w:t>
            </w:r>
            <w:r>
              <w:rPr>
                <w:rStyle w:val="FootnoteReference"/>
              </w:rPr>
              <w:footnoteReference w:id="180"/>
            </w:r>
          </w:p>
        </w:tc>
      </w:tr>
      <w:tr>
        <w:trPr>
          <w:cantSplit/>
        </w:trPr>
        <w:tc>
          <w:tcPr>
            <w:tcW w:type="dxa" w:w="326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上海、深圳、广州通过标普检验（到11月数据都不出现环比下跌）</w:t>
            </w:r>
          </w:p>
        </w:tc>
        <w:tc>
          <w:tcPr>
            <w:tcW w:type="dxa" w:w="17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r>
              <w:rPr>
                <w:rFonts w:ascii="Calibri" w:cs="Calibri" w:eastAsia="DengXian" w:hAnsi="Calibri"/>
                <w:b/>
                <w:bCs/>
                <w:color w:val="4B5563"/>
                <w:sz w:val="15"/>
                <w:szCs w:val="15"/>
                <w:shd w:fill="E9EBEE" w:color="auto" w:val="clear"/>
              </w:rPr>
              <w:t xml:space="preserve"> 主观概率 </w:t>
            </w:r>
          </w:p>
        </w:tc>
        <w:tc>
          <w:tcPr>
            <w:tcW w:type="dxa" w:w="441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见8.5节</w:t>
            </w:r>
          </w:p>
        </w:tc>
      </w:tr>
      <w:tr>
        <w:trPr>
          <w:cantSplit/>
        </w:trPr>
        <w:tc>
          <w:tcPr>
            <w:tcW w:type="dxa" w:w="326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全国房价从高点算起的最终累计跌幅</w:t>
            </w:r>
          </w:p>
        </w:tc>
        <w:tc>
          <w:tcPr>
            <w:tcW w:type="dxa" w:w="17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30%—40%</w:t>
            </w:r>
          </w:p>
        </w:tc>
        <w:tc>
          <w:tcPr>
            <w:tcW w:type="dxa" w:w="441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供给收缩更早、银行没有出现危机、地价由国家控制；明显小于日本的约67%</w:t>
            </w:r>
            <w:r>
              <w:rPr>
                <w:rFonts w:ascii="Calibri" w:cs="Calibri" w:eastAsia="DengXian" w:hAnsi="Calibri"/>
                <w:b/>
                <w:bCs/>
                <w:color w:val="A61B1B"/>
                <w:sz w:val="15"/>
                <w:szCs w:val="15"/>
                <w:shd w:fill="FBE1E1" w:color="auto" w:val="clear"/>
              </w:rPr>
              <w:t xml:space="preserve"> 低 </w:t>
            </w:r>
          </w:p>
        </w:tc>
      </w:tr>
    </w:tbl>
    <w:p>
      <w:pPr>
        <w:spacing w:after="120"/>
      </w:pPr>
    </w:p>
    <w:p>
      <w:pPr>
        <w:spacing w:after="140" w:line="340"/>
        <w:jc w:val="both"/>
      </w:pPr>
      <w:r>
        <w:rPr>
          <w:rFonts w:ascii="Calibri" w:cs="Calibri" w:eastAsia="DengXian" w:hAnsi="Calibri"/>
          <w:b w:val="false"/>
          <w:bCs w:val="false"/>
          <w:color w:val="1F2328"/>
          <w:sz w:val="21"/>
          <w:szCs w:val="21"/>
        </w:rPr>
        <w:t xml:space="preserve">成交量的底部会早于价格的底部。二手成交已经在增长，新房销售在2026年是连续第五年下降。</w:t>
      </w:r>
    </w:p>
    <w:p>
      <w:pPr>
        <w:pStyle w:val="Heading2"/>
        <w:keepNext/>
        <w:spacing w:after="140" w:before="340"/>
      </w:pPr>
      <w:r>
        <w:rPr>
          <w:rFonts w:ascii="Calibri" w:cs="Calibri" w:eastAsia="Microsoft YaHei" w:hAnsi="Calibri"/>
          <w:b/>
          <w:bCs/>
          <w:color w:val="1F3A5F"/>
          <w:sz w:val="26"/>
          <w:szCs w:val="26"/>
        </w:rPr>
        <w:t xml:space="preserve">8.7 机构观点与来源利益</w:t>
      </w:r>
    </w:p>
    <w:p>
      <w:pPr>
        <w:spacing w:after="140" w:line="340"/>
        <w:jc w:val="both"/>
      </w:pPr>
      <w:r>
        <w:rPr>
          <w:rFonts w:ascii="Calibri" w:cs="Calibri" w:eastAsia="DengXian" w:hAnsi="Calibri"/>
          <w:b w:val="false"/>
          <w:bCs w:val="false"/>
          <w:color w:val="1F2328"/>
          <w:sz w:val="21"/>
          <w:szCs w:val="21"/>
        </w:rPr>
        <w:t xml:space="preserve">几个基准差别很大。高盛统计1960年代以来15个经济体的21次房地产崩盘，推算中国全国房价约在2027年见底</w:t>
      </w:r>
      <w:r>
        <w:rPr>
          <w:rStyle w:val="FootnoteReference"/>
        </w:rPr>
        <w:footnoteReference w:id="181"/>
      </w:r>
      <w:r>
        <w:rPr>
          <w:rFonts w:ascii="Calibri" w:cs="Calibri" w:eastAsia="DengXian" w:hAnsi="Calibri"/>
          <w:b w:val="false"/>
          <w:bCs w:val="false"/>
          <w:color w:val="1F2328"/>
          <w:sz w:val="21"/>
          <w:szCs w:val="21"/>
        </w:rPr>
        <w:t xml:space="preserve">；标普估计全国底部约在2028年三季度</w:t>
      </w:r>
      <w:r>
        <w:rPr>
          <w:rStyle w:val="FootnoteReference"/>
        </w:rPr>
        <w:footnoteReference w:id="182"/>
      </w:r>
      <w:r>
        <w:rPr>
          <w:rFonts w:ascii="Calibri" w:cs="Calibri" w:eastAsia="DengXian" w:hAnsi="Calibri"/>
          <w:b w:val="false"/>
          <w:bCs w:val="false"/>
          <w:color w:val="1F2328"/>
          <w:sz w:val="21"/>
          <w:szCs w:val="21"/>
        </w:rPr>
        <w:t xml:space="preserve">；路透8月调查的中位数是2027年房价仍下跌0.3%</w:t>
      </w:r>
      <w:r>
        <w:rPr>
          <w:rStyle w:val="FootnoteReference"/>
        </w:rPr>
        <w:footnoteReference w:id="183"/>
      </w:r>
      <w:r>
        <w:rPr>
          <w:rFonts w:ascii="Calibri" w:cs="Calibri" w:eastAsia="DengXian" w:hAnsi="Calibri"/>
          <w:b w:val="false"/>
          <w:bCs w:val="false"/>
          <w:color w:val="1F2328"/>
          <w:sz w:val="21"/>
          <w:szCs w:val="21"/>
        </w:rPr>
        <w:t xml:space="preserve">；财新评论认为成交量接近底部，未来12个月价格可能再跌10%—15%</w:t>
      </w:r>
      <w:r>
        <w:rPr>
          <w:rStyle w:val="FootnoteReference"/>
        </w:rPr>
        <w:footnoteReference w:id="184"/>
      </w:r>
      <w:r>
        <w:rPr>
          <w:rFonts w:ascii="Calibri" w:cs="Calibri" w:eastAsia="DengXian" w:hAnsi="Calibri"/>
          <w:b w:val="false"/>
          <w:bCs w:val="false"/>
          <w:color w:val="1F2328"/>
          <w:sz w:val="21"/>
          <w:szCs w:val="21"/>
        </w:rPr>
        <w:t xml:space="preserve">；摩根士丹利的邢自强5月表示，很多城市的住房库存还需约两年才能正常化</w:t>
      </w:r>
      <w:r>
        <w:rPr>
          <w:rStyle w:val="FootnoteReference"/>
        </w:rPr>
        <w:footnoteReference w:id="185"/>
      </w:r>
      <w:r>
        <w:rPr>
          <w:rFonts w:ascii="Calibri" w:cs="Calibri" w:eastAsia="DengXian" w:hAnsi="Calibri"/>
          <w:b w:val="false"/>
          <w:bCs w:val="false"/>
          <w:color w:val="1F2328"/>
          <w:sz w:val="21"/>
          <w:szCs w:val="21"/>
        </w:rPr>
        <w:t xml:space="preserve">；李迅雷估计全国租售比约2%，相当于约50倍市盈率，调整还不充分</w:t>
      </w:r>
      <w:r>
        <w:rPr>
          <w:rStyle w:val="FootnoteReference"/>
        </w:rPr>
        <w:footnoteReference w:id="186"/>
      </w:r>
      <w:r>
        <w:rPr>
          <w:rFonts w:ascii="Calibri" w:cs="Calibri" w:eastAsia="DengXian" w:hAnsi="Calibri"/>
          <w:b w:val="false"/>
          <w:bCs w:val="false"/>
          <w:color w:val="1F2328"/>
          <w:sz w:val="21"/>
          <w:szCs w:val="21"/>
        </w:rPr>
        <w:t xml:space="preserve">；罗格夫和杨认为，如果走日本的路径，中国的调整还没有过半</w:t>
      </w:r>
      <w:r>
        <w:rPr>
          <w:rStyle w:val="FootnoteReference"/>
        </w:rPr>
        <w:footnoteReference w:id="187"/>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判断"接近底部"的机构，集中在一线城市：标普、高盛（沪深）</w:t>
      </w:r>
      <w:r>
        <w:rPr>
          <w:rStyle w:val="FootnoteReference"/>
        </w:rPr>
        <w:footnoteReference w:id="188"/>
      </w:r>
      <w:r>
        <w:rPr>
          <w:rFonts w:ascii="Calibri" w:cs="Calibri" w:eastAsia="DengXian" w:hAnsi="Calibri"/>
          <w:b w:val="false"/>
          <w:bCs w:val="false"/>
          <w:color w:val="1F2328"/>
          <w:sz w:val="21"/>
          <w:szCs w:val="21"/>
        </w:rPr>
        <w:t xml:space="preserve">、PIMCO总裁（一线城市）</w:t>
      </w:r>
      <w:r>
        <w:rPr>
          <w:rStyle w:val="FootnoteReference"/>
        </w:rPr>
        <w:footnoteReference w:id="189"/>
      </w:r>
      <w:r>
        <w:rPr>
          <w:rFonts w:ascii="Calibri" w:cs="Calibri" w:eastAsia="DengXian" w:hAnsi="Calibri"/>
          <w:b w:val="false"/>
          <w:bCs w:val="false"/>
          <w:color w:val="1F2328"/>
          <w:sz w:val="21"/>
          <w:szCs w:val="21"/>
        </w:rPr>
        <w:t xml:space="preserve">。标普给开发商和银行做评级，它在2024年10月曾预计2025年下半年企稳，结果偏早</w:t>
      </w:r>
      <w:r>
        <w:rPr>
          <w:rStyle w:val="FootnoteReference"/>
        </w:rPr>
        <w:footnoteReference w:id="190"/>
      </w:r>
      <w:r>
        <w:rPr>
          <w:rFonts w:ascii="Calibri" w:cs="Calibri" w:eastAsia="DengXian" w:hAnsi="Calibri"/>
          <w:b w:val="false"/>
          <w:bCs w:val="false"/>
          <w:color w:val="1F2328"/>
          <w:sz w:val="21"/>
          <w:szCs w:val="21"/>
        </w:rPr>
        <w:t xml:space="preserve">；高盛2026年展望超配A股和H股</w:t>
      </w:r>
      <w:r>
        <w:rPr>
          <w:rStyle w:val="FootnoteReference"/>
        </w:rPr>
        <w:footnoteReference w:id="191"/>
      </w:r>
      <w:r>
        <w:rPr>
          <w:rFonts w:ascii="Calibri" w:cs="Calibri" w:eastAsia="DengXian" w:hAnsi="Calibri"/>
          <w:b w:val="false"/>
          <w:bCs w:val="false"/>
          <w:color w:val="1F2328"/>
          <w:sz w:val="21"/>
          <w:szCs w:val="21"/>
        </w:rPr>
        <w:t xml:space="preserve">。偏谨慎的一方，包括世界银行、摩根士丹利的经济学家、李迅雷、罗格夫和杨，没有同样的业务关联。本报告对全国底部的判断因此更接近谨慎的一方。</w:t>
      </w:r>
    </w:p>
    <w:p>
      <w:pPr>
        <w:pStyle w:val="Heading2"/>
        <w:keepNext/>
        <w:spacing w:after="140" w:before="340"/>
      </w:pPr>
      <w:r>
        <w:rPr>
          <w:rFonts w:ascii="Calibri" w:cs="Calibri" w:eastAsia="Microsoft YaHei" w:hAnsi="Calibri"/>
          <w:b/>
          <w:bCs/>
          <w:color w:val="1F3A5F"/>
          <w:sz w:val="26"/>
          <w:szCs w:val="26"/>
        </w:rPr>
        <w:t xml:space="preserve">8.8 达利欧框架下的房地产</w:t>
      </w:r>
    </w:p>
    <w:p>
      <w:pPr>
        <w:spacing w:after="140" w:line="340"/>
        <w:jc w:val="both"/>
      </w:pPr>
      <w:r>
        <w:rPr>
          <w:rFonts w:ascii="Calibri" w:cs="Calibri" w:eastAsia="DengXian" w:hAnsi="Calibri"/>
          <w:b w:val="false"/>
          <w:bCs w:val="false"/>
          <w:color w:val="1F2328"/>
          <w:sz w:val="21"/>
          <w:szCs w:val="21"/>
        </w:rPr>
        <w:t xml:space="preserve">四个杠杆里，房地产部门用了三个：重组（碧桂园削债、万科展期），紧缩（开发商收缩资产负债表），财富转移（中央贴息、专项债收地收房）。第四个杠杆，降息和印钞，在房地产端用得很少。房贷名义利率约3%，多数城市二手房价格同比下跌5%—7%，持有房产的预期成本约8%—10%</w:t>
      </w: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，仍是通缩组合；只有上海接近转正。真正的转折需要两件事：价格停止下跌，使持有房产的成本回到可承受的水平；开发商融资恢复正常。目前两者都只在一线城市局部出现。</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9 市场与投资者心理：用马克斯的方法看</w:t>
      </w:r>
    </w:p>
    <w:p>
      <w:pPr>
        <w:pStyle w:val="Heading2"/>
        <w:keepNext/>
        <w:spacing w:after="140" w:before="340"/>
      </w:pPr>
      <w:r>
        <w:rPr>
          <w:rFonts w:ascii="Calibri" w:cs="Calibri" w:eastAsia="Microsoft YaHei" w:hAnsi="Calibri"/>
          <w:b/>
          <w:bCs/>
          <w:color w:val="1F3A5F"/>
          <w:sz w:val="26"/>
          <w:szCs w:val="26"/>
        </w:rPr>
        <w:t xml:space="preserve">9.1 马克斯的工具（转述）</w:t>
      </w:r>
    </w:p>
    <w:p>
      <w:pPr>
        <w:spacing w:after="140" w:line="340"/>
        <w:jc w:val="both"/>
      </w:pPr>
      <w:r>
        <w:rPr>
          <w:rFonts w:ascii="Calibri" w:cs="Calibri" w:eastAsia="DengXian" w:hAnsi="Calibri"/>
          <w:b w:val="false"/>
          <w:bCs w:val="false"/>
          <w:color w:val="1F2328"/>
          <w:sz w:val="21"/>
          <w:szCs w:val="21"/>
        </w:rPr>
        <w:t xml:space="preserve">马克斯的方法以判断当前所处的位置为主，他认为未来的走向无法准确预测。他的核心格言在中文版里译作"我们或许永远不会知道要去往何处，但最好明白我们身在何处"</w:t>
      </w:r>
      <w:r>
        <w:rPr>
          <w:rStyle w:val="FootnoteReference"/>
        </w:rPr>
        <w:footnoteReference w:id="192"/>
      </w:r>
      <w:r>
        <w:rPr>
          <w:rFonts w:ascii="Calibri" w:cs="Calibri" w:eastAsia="DengXian" w:hAnsi="Calibri"/>
          <w:b w:val="false"/>
          <w:bCs w:val="false"/>
          <w:color w:val="1F2328"/>
          <w:sz w:val="21"/>
          <w:szCs w:val="21"/>
        </w:rPr>
        <w:t xml:space="preserve">。投资者心理像钟摆，在贪婪和恐惧两端之间来回，停在中点的时间很短</w:t>
      </w:r>
      <w:r>
        <w:rPr>
          <w:rFonts w:ascii="Calibri" w:cs="Calibri" w:eastAsia="DengXian" w:hAnsi="Calibri"/>
          <w:b/>
          <w:bCs/>
          <w:color w:val="4B5563"/>
          <w:sz w:val="18"/>
          <w:szCs w:val="18"/>
          <w:shd w:fill="E9EBEE" w:color="auto" w:val="clear"/>
        </w:rPr>
        <w:t xml:space="preserve"> 转述 </w:t>
      </w:r>
      <w:r>
        <w:rPr>
          <w:rStyle w:val="FootnoteReference"/>
        </w:rPr>
        <w:footnoteReference w:id="193"/>
      </w:r>
      <w:r>
        <w:rPr>
          <w:rFonts w:ascii="Calibri" w:cs="Calibri" w:eastAsia="DengXian" w:hAnsi="Calibri"/>
          <w:b w:val="false"/>
          <w:bCs w:val="false"/>
          <w:color w:val="1F2328"/>
          <w:sz w:val="21"/>
          <w:szCs w:val="21"/>
        </w:rPr>
        <w:t xml:space="preserve">。牛市分三个阶段：第一阶段只有少数特别有洞察力的人相信情况会好转，第二阶段多数投资者意识到情况确实在好转，第三阶段所有人都认为情况会永远好下去</w:t>
      </w:r>
      <w:r>
        <w:rPr>
          <w:rFonts w:ascii="Calibri" w:cs="Calibri" w:eastAsia="DengXian" w:hAnsi="Calibri"/>
          <w:b/>
          <w:bCs/>
          <w:color w:val="4B5563"/>
          <w:sz w:val="18"/>
          <w:szCs w:val="18"/>
          <w:shd w:fill="E9EBEE" w:color="auto" w:val="clear"/>
        </w:rPr>
        <w:t xml:space="preserve"> 转述 </w:t>
      </w:r>
      <w:r>
        <w:rPr>
          <w:rStyle w:val="FootnoteReference"/>
        </w:rPr>
        <w:footnoteReference w:id="194"/>
      </w:r>
      <w:r>
        <w:rPr>
          <w:rFonts w:ascii="Calibri" w:cs="Calibri" w:eastAsia="DengXian" w:hAnsi="Calibri"/>
          <w:b w:val="false"/>
          <w:bCs w:val="false"/>
          <w:color w:val="1F2328"/>
          <w:sz w:val="21"/>
          <w:szCs w:val="21"/>
        </w:rPr>
        <w:t xml:space="preserve">。熊市三阶段是牛市的镜像：少数人在一片乐观中看出情况不会一直好，多数人认识到情况在恶化，最后所有人都确信只会更糟；熊市版本只在读者整理的语录中见到，这里按作者的理解描述。他还用一份成对条件的"温度清单"判断市场偏热还是偏冷</w:t>
      </w:r>
      <w:r>
        <w:rPr>
          <w:rStyle w:val="FootnoteReference"/>
        </w:rPr>
        <w:footnoteReference w:id="195"/>
      </w:r>
      <w:r>
        <w:rPr>
          <w:rFonts w:ascii="Calibri" w:cs="Calibri" w:eastAsia="DengXian" w:hAnsi="Calibri"/>
          <w:b w:val="false"/>
          <w:bCs w:val="false"/>
          <w:color w:val="1F2328"/>
          <w:sz w:val="21"/>
          <w:szCs w:val="21"/>
        </w:rPr>
        <w:t xml:space="preserve">，并指出经营杠杆和财务杠杆使利润的波动大于经济，市场的起伏又大于利润</w:t>
      </w:r>
      <w:r>
        <w:rPr>
          <w:rFonts w:ascii="Calibri" w:cs="Calibri" w:eastAsia="DengXian" w:hAnsi="Calibri"/>
          <w:b/>
          <w:bCs/>
          <w:color w:val="4B5563"/>
          <w:sz w:val="18"/>
          <w:szCs w:val="18"/>
          <w:shd w:fill="E9EBEE" w:color="auto" w:val="clear"/>
        </w:rPr>
        <w:t xml:space="preserve"> 转述 </w:t>
      </w:r>
      <w:r>
        <w:rPr>
          <w:rStyle w:val="FootnoteReference"/>
        </w:rPr>
        <w:footnoteReference w:id="196"/>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马克斯本人没有对2026年的A股或港股作过阶段判断。2024年11月，他回应"中国不可投资"的说法时说，这在他听来是</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"music to my ears"（悦耳之音）</w:t>
      </w:r>
      <w:r>
        <w:rPr>
          <w:rStyle w:val="FootnoteReference"/>
        </w:rPr>
        <w:footnoteReference w:id="197"/>
      </w:r>
      <w:r>
        <w:rPr>
          <w:rFonts w:ascii="Calibri" w:cs="Calibri" w:eastAsia="DengXian" w:hAnsi="Calibri"/>
          <w:b w:val="false"/>
          <w:bCs w:val="false"/>
          <w:color w:val="1F2328"/>
          <w:sz w:val="21"/>
          <w:szCs w:val="21"/>
        </w:rPr>
        <w:t xml:space="preserve">。橡树资本在中国经营二十多年并有在岸业务</w:t>
      </w:r>
      <w:r>
        <w:rPr>
          <w:rStyle w:val="FootnoteReference"/>
        </w:rPr>
        <w:footnoteReference w:id="198"/>
      </w:r>
      <w:r>
        <w:rPr>
          <w:rFonts w:ascii="Calibri" w:cs="Calibri" w:eastAsia="DengXian" w:hAnsi="Calibri"/>
          <w:b w:val="false"/>
          <w:bCs w:val="false"/>
          <w:color w:val="1F2328"/>
          <w:sz w:val="21"/>
          <w:szCs w:val="21"/>
        </w:rPr>
        <w:t xml:space="preserve">，他对中国的正面表态应打一定折扣。他2025年12月的备忘录讨论AI泡沫的一般问题，建议持有</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"moderate position with selectivity and prudence"（有选择、审慎的适度仓位）</w:t>
      </w:r>
      <w:r>
        <w:rPr>
          <w:rStyle w:val="FootnoteReference"/>
        </w:rPr>
        <w:footnoteReference w:id="199"/>
      </w:r>
      <w:r>
        <w:rPr>
          <w:rFonts w:ascii="Calibri" w:cs="Calibri" w:eastAsia="DengXian" w:hAnsi="Calibri"/>
          <w:b w:val="false"/>
          <w:bCs w:val="false"/>
          <w:color w:val="1F2328"/>
          <w:sz w:val="21"/>
          <w:szCs w:val="21"/>
        </w:rPr>
        <w:t xml:space="preserve">；2026年9月的备忘录讨论美国的财政纪律</w:t>
      </w:r>
      <w:r>
        <w:rPr>
          <w:rStyle w:val="FootnoteReference"/>
        </w:rPr>
        <w:footnoteReference w:id="200"/>
      </w:r>
      <w:r>
        <w:rPr>
          <w:rFonts w:ascii="Calibri" w:cs="Calibri" w:eastAsia="DengXian" w:hAnsi="Calibri"/>
          <w:b w:val="false"/>
          <w:bCs w:val="false"/>
          <w:color w:val="1F2328"/>
          <w:sz w:val="21"/>
          <w:szCs w:val="21"/>
        </w:rPr>
        <w:t xml:space="preserve">。下文的阶段定位都是作者的应用。</w:t>
      </w:r>
    </w:p>
    <w:p>
      <w:pPr>
        <w:pStyle w:val="Heading2"/>
        <w:keepNext/>
        <w:spacing w:after="140" w:before="340"/>
      </w:pPr>
      <w:r>
        <w:rPr>
          <w:rFonts w:ascii="Calibri" w:cs="Calibri" w:eastAsia="Microsoft YaHei" w:hAnsi="Calibri"/>
          <w:b/>
          <w:bCs/>
          <w:color w:val="1F3A5F"/>
          <w:sz w:val="26"/>
          <w:szCs w:val="26"/>
        </w:rPr>
        <w:t xml:space="preserve">9.2 从极度悲观，到科技狂热，再到三季度急跌</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2024年，外资普遍把中国股票称为"不可投资"。2025年A股录得近六年最大的年度涨幅，540只股票翻倍</w:t>
      </w:r>
      <w:r>
        <w:rPr>
          <w:rStyle w:val="FootnoteReference"/>
        </w:rPr>
        <w:footnoteReference w:id="201"/>
      </w:r>
      <w:r>
        <w:rPr>
          <w:rFonts w:ascii="Calibri" w:cs="Calibri" w:eastAsia="DengXian" w:hAnsi="Calibri"/>
          <w:b w:val="false"/>
          <w:bCs w:val="false"/>
          <w:color w:val="1F2328"/>
          <w:sz w:val="21"/>
          <w:szCs w:val="21"/>
        </w:rPr>
        <w:t xml:space="preserve">；恒生指数全年上涨27.77%</w:t>
      </w:r>
      <w:r>
        <w:rPr>
          <w:rStyle w:val="FootnoteReference"/>
        </w:rPr>
        <w:footnoteReference w:id="202"/>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2026年上半年，热度集中到AI和半导体。1月14日全市场成交额约3.94万亿—3.99万亿元，创历史纪录；历史上41个成交超过3万亿元的交易日里，37个出现在2026年上半年</w:t>
      </w:r>
      <w:r>
        <w:rPr>
          <w:rStyle w:val="FootnoteReference"/>
        </w:rPr>
        <w:footnoteReference w:id="203"/>
      </w:r>
      <w:r>
        <w:rPr>
          <w:rFonts w:ascii="Calibri" w:cs="Calibri" w:eastAsia="DengXian" w:hAnsi="Calibri"/>
          <w:b w:val="false"/>
          <w:bCs w:val="false"/>
          <w:color w:val="1F2328"/>
          <w:sz w:val="21"/>
          <w:szCs w:val="21"/>
        </w:rPr>
        <w:t xml:space="preserve">。同一天，交易所把融资保证金最低比例从80%上调到100%</w:t>
      </w:r>
      <w:r>
        <w:rPr>
          <w:rStyle w:val="FootnoteReference"/>
        </w:rPr>
        <w:footnoteReference w:id="204"/>
      </w:r>
      <w:r>
        <w:rPr>
          <w:rFonts w:ascii="Calibri" w:cs="Calibri" w:eastAsia="DengXian" w:hAnsi="Calibri"/>
          <w:b w:val="false"/>
          <w:bCs w:val="false"/>
          <w:color w:val="1F2328"/>
          <w:sz w:val="21"/>
          <w:szCs w:val="21"/>
        </w:rPr>
        <w:t xml:space="preserve">。上证综指5月14日盘中达到4258.86点的年内高点</w:t>
      </w:r>
      <w:r>
        <w:rPr>
          <w:rStyle w:val="FootnoteReference"/>
        </w:rPr>
        <w:footnoteReference w:id="205"/>
      </w:r>
      <w:r>
        <w:rPr>
          <w:rFonts w:ascii="Calibri" w:cs="Calibri" w:eastAsia="DengXian" w:hAnsi="Calibri"/>
          <w:b w:val="false"/>
          <w:bCs w:val="false"/>
          <w:color w:val="1F2328"/>
          <w:sz w:val="21"/>
          <w:szCs w:val="21"/>
        </w:rPr>
        <w:t xml:space="preserve">。科创50上半年上涨约64%，6月单月约26%；7月10日前后市盈率（TTM）接近249倍</w:t>
      </w:r>
      <w:r>
        <w:rPr>
          <w:rStyle w:val="FootnoteReference"/>
        </w:rPr>
        <w:footnoteReference w:id="206"/>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两融余额6月23日首破3万亿元，占流通市值约2.83%，2015年最热时为4.72%</w:t>
      </w:r>
      <w:r>
        <w:rPr>
          <w:rStyle w:val="FootnoteReference"/>
        </w:rPr>
        <w:footnoteReference w:id="207"/>
      </w:r>
      <w:r>
        <w:rPr>
          <w:rFonts w:ascii="Calibri" w:cs="Calibri" w:eastAsia="DengXian" w:hAnsi="Calibri"/>
          <w:b w:val="false"/>
          <w:bCs w:val="false"/>
          <w:color w:val="1F2328"/>
          <w:sz w:val="21"/>
          <w:szCs w:val="21"/>
        </w:rPr>
        <w:t xml:space="preserve">。长鑫科技7月27日在科创板上市，发行价8.66元，首日收于49元，上涨465.82%，收盘市值约3.28万亿元，超过工商银行，当日成交1412亿元，创A股个股纪录</w:t>
      </w:r>
      <w:r>
        <w:rPr>
          <w:rStyle w:val="FootnoteReference"/>
        </w:rPr>
        <w:footnoteReference w:id="208"/>
      </w:r>
      <w:r>
        <w:rPr>
          <w:rFonts w:ascii="Calibri" w:cs="Calibri" w:eastAsia="DengXian" w:hAnsi="Calibri"/>
          <w:b w:val="false"/>
          <w:bCs w:val="false"/>
          <w:color w:val="1F2328"/>
          <w:sz w:val="21"/>
          <w:szCs w:val="21"/>
        </w:rPr>
        <w:t xml:space="preserve">。更早，摩尔线程2025年12月上市首日开盘上涨约468%</w:t>
      </w:r>
      <w:r>
        <w:rPr>
          <w:rStyle w:val="FootnoteReference"/>
        </w:rPr>
        <w:footnoteReference w:id="209"/>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三季度，科技股急跌。7月2日，市场把海外公司出售富余算力、下调推理价格解读为算力过剩，科创50当天下跌7.70%</w:t>
      </w:r>
      <w:r>
        <w:rPr>
          <w:rStyle w:val="FootnoteReference"/>
        </w:rPr>
        <w:footnoteReference w:id="210"/>
      </w:r>
      <w:r>
        <w:rPr>
          <w:rFonts w:ascii="Calibri" w:cs="Calibri" w:eastAsia="DengXian" w:hAnsi="Calibri"/>
          <w:b w:val="false"/>
          <w:bCs w:val="false"/>
          <w:color w:val="1F2328"/>
          <w:sz w:val="21"/>
          <w:szCs w:val="21"/>
        </w:rPr>
        <w:t xml:space="preserve">。三季度科创50从2207.86点跌到1530.01点，跌幅30.7%；创业板指下跌27.8%；两者都是有史以来最大的单季跌幅；电子行业下跌32.6%，通信下跌28.7%，房地产、医疗、教育板块上涨超过25%</w:t>
      </w:r>
      <w:r>
        <w:rPr>
          <w:rStyle w:val="FootnoteReference"/>
        </w:rPr>
        <w:footnoteReference w:id="211"/>
      </w:r>
      <w:r>
        <w:rPr>
          <w:rFonts w:ascii="Calibri" w:cs="Calibri" w:eastAsia="DengXian" w:hAnsi="Calibri"/>
          <w:color w:val="1F2328"/>
          <w:sz w:val="21"/>
          <w:szCs w:val="21"/>
          <w:vertAlign w:val="superscript"/>
        </w:rPr>
        <w:t xml:space="preserve">,</w:t>
      </w:r>
      <w:r>
        <w:rPr>
          <w:rStyle w:val="FootnoteReference"/>
        </w:rPr>
        <w:footnoteReference w:id="212"/>
      </w:r>
      <w:r>
        <w:rPr>
          <w:rFonts w:ascii="Calibri" w:cs="Calibri" w:eastAsia="DengXian" w:hAnsi="Calibri"/>
          <w:b w:val="false"/>
          <w:bCs w:val="false"/>
          <w:color w:val="1F2328"/>
          <w:sz w:val="21"/>
          <w:szCs w:val="21"/>
        </w:rPr>
        <w:t xml:space="preserve">。截至9月30日，年内上证综指−3.19%，沪深300 −5.88%，创业板指−2.12%，科创50 +13.82%，北证50 −27.83%，红利指数+7.71%</w:t>
      </w:r>
      <w:r>
        <w:rPr>
          <w:rStyle w:val="FootnoteReference"/>
        </w:rPr>
        <w:footnoteReference w:id="213"/>
      </w:r>
      <w:r>
        <w:rPr>
          <w:rFonts w:ascii="Calibri" w:cs="Calibri" w:eastAsia="DengXian" w:hAnsi="Calibri"/>
          <w:b w:val="false"/>
          <w:bCs w:val="false"/>
          <w:color w:val="1F2328"/>
          <w:sz w:val="21"/>
          <w:szCs w:val="21"/>
        </w:rPr>
        <w:t xml:space="preserve">。9月29日成交约1.42万亿元，为14个月低点</w:t>
      </w:r>
      <w:r>
        <w:rPr>
          <w:rStyle w:val="FootnoteReference"/>
        </w:rPr>
        <w:footnoteReference w:id="214"/>
      </w:r>
      <w:r>
        <w:rPr>
          <w:rFonts w:ascii="Calibri" w:cs="Calibri" w:eastAsia="DengXian" w:hAnsi="Calibri"/>
          <w:b w:val="false"/>
          <w:bCs w:val="false"/>
          <w:color w:val="1F2328"/>
          <w:sz w:val="21"/>
          <w:szCs w:val="21"/>
        </w:rPr>
        <w:t xml:space="preserve">；8月上交所新开户239.73万户，是年内最低，1月为491.58万户</w:t>
      </w:r>
      <w:r>
        <w:rPr>
          <w:rStyle w:val="FootnoteReference"/>
        </w:rPr>
        <w:footnoteReference w:id="215"/>
      </w:r>
      <w:r>
        <w:rPr>
          <w:rFonts w:ascii="Calibri" w:cs="Calibri" w:eastAsia="DengXian" w:hAnsi="Calibri"/>
          <w:b w:val="false"/>
          <w:bCs w:val="false"/>
          <w:color w:val="1F2328"/>
          <w:sz w:val="21"/>
          <w:szCs w:val="21"/>
        </w:rPr>
        <w:t xml:space="preserve">。工商银行、建设银行、中国银行9月股价创历史新高</w:t>
      </w:r>
      <w:r>
        <w:rPr>
          <w:rStyle w:val="FootnoteReference"/>
        </w:rPr>
        <w:footnoteReference w:id="216"/>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9月30日上证综指收于3842.19点。内地市场10月1—7日休市，10月8日复市</w:t>
      </w:r>
      <w:r>
        <w:rPr>
          <w:rStyle w:val="FootnoteReference"/>
        </w:rPr>
        <w:footnoteReference w:id="217"/>
      </w:r>
      <w:r>
        <w:rPr>
          <w:rFonts w:ascii="Calibri" w:cs="Calibri" w:eastAsia="DengXian" w:hAnsi="Calibri"/>
          <w:b w:val="false"/>
          <w:bCs w:val="false"/>
          <w:color w:val="1F2328"/>
          <w:sz w:val="21"/>
          <w:szCs w:val="21"/>
        </w:rPr>
        <w:t xml:space="preserve">；节后首日上证综指收于3811.90点，下跌0.79%，创业板指下跌3.15%</w:t>
      </w:r>
      <w:r>
        <w:rPr>
          <w:rStyle w:val="FootnoteReference"/>
        </w:rPr>
        <w:footnoteReference w:id="218"/>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这组节后数字只有单一来源，本报告以9月30日收盘为主要参照。</w:t>
      </w:r>
    </w:p>
    <w:p>
      <w:pPr>
        <w:pStyle w:val="Heading2"/>
        <w:keepNext/>
        <w:spacing w:after="140" w:before="340"/>
      </w:pPr>
      <w:r>
        <w:rPr>
          <w:rFonts w:ascii="Calibri" w:cs="Calibri" w:eastAsia="Microsoft YaHei" w:hAnsi="Calibri"/>
          <w:b/>
          <w:bCs/>
          <w:color w:val="1F3A5F"/>
          <w:sz w:val="26"/>
          <w:szCs w:val="26"/>
        </w:rPr>
        <w:t xml:space="preserve">9.3 分板块的位置</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写"科技处在熊市第二阶段"（中高）。马克斯的三阶段是对群体心理的描述，没有统计边界，同样的数据也可能对应牛市中途的大幅调整。本版拆成两层：尚未出现普遍绝望、估值风险仍高（高）；"熊市第二阶段"这个标签（中低）。</w:t>
            </w:r>
          </w:p>
        </w:tc>
      </w:tr>
    </w:tbl>
    <w:p>
      <w:pPr>
        <w:spacing w:after="140"/>
      </w:pP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875"/>
        <w:gridCol w:w="2031"/>
        <w:gridCol w:w="1303"/>
        <w:gridCol w:w="3325"/>
        <w:gridCol w:w="1878"/>
      </w:tblGrid>
      <w:tr>
        <w:trPr>
          <w:cantSplit/>
          <w:tblHeader/>
        </w:trPr>
        <w:tc>
          <w:tcPr>
            <w:tcW w:type="dxa" w:w="87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板块</w:t>
            </w:r>
          </w:p>
        </w:tc>
        <w:tc>
          <w:tcPr>
            <w:tcW w:type="dxa" w:w="203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位置（作者的应用）</w:t>
            </w:r>
          </w:p>
        </w:tc>
        <w:tc>
          <w:tcPr>
            <w:tcW w:type="dxa" w:w="130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置信度</w:t>
            </w:r>
          </w:p>
        </w:tc>
        <w:tc>
          <w:tcPr>
            <w:tcW w:type="dxa" w:w="332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主要依据</w:t>
            </w:r>
          </w:p>
        </w:tc>
        <w:tc>
          <w:tcPr>
            <w:tcW w:type="dxa" w:w="18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什么会改变判断</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AI、半导体、通信</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上半年出现马克斯所说的第三阶段特征；现在尚未出现普遍绝望；可能处在熊市第二阶段</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尚未普遍绝望</w:t>
            </w:r>
            <w:r>
              <w:rPr>
                <w:rFonts w:ascii="Calibri" w:cs="Calibri" w:eastAsia="DengXian" w:hAnsi="Calibri"/>
                <w:b/>
                <w:bCs/>
                <w:color w:val="1E6B34"/>
                <w:sz w:val="15"/>
                <w:szCs w:val="15"/>
                <w:shd w:fill="E2F1E5" w:color="auto" w:val="clear"/>
              </w:rPr>
              <w:t xml:space="preserve"> 高 </w:t>
            </w:r>
          </w:p>
          <w:p>
            <w:pPr>
              <w:spacing w:after="0" w:line="276"/>
              <w:jc w:val="left"/>
            </w:pPr>
            <w:r>
              <w:rPr>
                <w:rFonts w:ascii="Calibri" w:cs="Calibri" w:eastAsia="DengXian" w:hAnsi="Calibri"/>
                <w:b w:val="false"/>
                <w:bCs w:val="false"/>
                <w:color w:val="1F2328"/>
                <w:sz w:val="18"/>
                <w:szCs w:val="18"/>
              </w:rPr>
              <w:t xml:space="preserve">熊市第二阶段</w:t>
            </w:r>
            <w:r>
              <w:rPr>
                <w:rFonts w:ascii="Calibri" w:cs="Calibri" w:eastAsia="DengXian" w:hAnsi="Calibri"/>
                <w:b/>
                <w:bCs/>
                <w:color w:val="A1440B"/>
                <w:sz w:val="15"/>
                <w:szCs w:val="15"/>
                <w:shd w:fill="FCE6D6" w:color="auto" w:val="clear"/>
              </w:rPr>
              <w:t xml:space="preserve"> 中低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科创50中位数市盈率约109倍，处在近十年约93%分位</w:t>
            </w:r>
            <w:r>
              <w:rPr>
                <w:rStyle w:val="FootnoteReference"/>
              </w:rPr>
              <w:footnoteReference w:id="219"/>
            </w:r>
            <w:r>
              <w:rPr>
                <w:rFonts w:ascii="Calibri" w:cs="Calibri" w:eastAsia="DengXian" w:hAnsi="Calibri"/>
                <w:b w:val="false"/>
                <w:bCs w:val="false"/>
                <w:color w:val="1F2328"/>
                <w:sz w:val="18"/>
                <w:szCs w:val="18"/>
              </w:rPr>
              <w:t xml:space="preserve">；寒武纪TTM市盈率约190倍，比52周高点低约38%</w:t>
            </w:r>
            <w:r>
              <w:rPr>
                <w:rStyle w:val="FootnoteReference"/>
              </w:rPr>
              <w:footnoteReference w:id="220"/>
            </w:r>
            <w:r>
              <w:rPr>
                <w:rFonts w:ascii="Calibri" w:cs="Calibri" w:eastAsia="DengXian" w:hAnsi="Calibri"/>
                <w:b w:val="false"/>
                <w:bCs w:val="false"/>
                <w:color w:val="1F2328"/>
                <w:sz w:val="18"/>
                <w:szCs w:val="18"/>
              </w:rPr>
              <w:t xml:space="preserve">；三季度股票ETF净申购约4003亿元</w:t>
            </w:r>
            <w:r>
              <w:rPr>
                <w:rStyle w:val="FootnoteReference"/>
              </w:rPr>
              <w:footnoteReference w:id="221"/>
            </w:r>
            <w:r>
              <w:rPr>
                <w:rFonts w:ascii="Calibri" w:cs="Calibri" w:eastAsia="DengXian" w:hAnsi="Calibri"/>
                <w:b w:val="false"/>
                <w:bCs w:val="false"/>
                <w:color w:val="1F2328"/>
                <w:sz w:val="18"/>
                <w:szCs w:val="18"/>
              </w:rPr>
              <w:t xml:space="preserve">；10月卖方仍称"AI为四季度配置主线"</w:t>
            </w:r>
            <w:r>
              <w:rPr>
                <w:rStyle w:val="FootnoteReference"/>
              </w:rPr>
              <w:footnoteReference w:id="222"/>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出现9.7节列出的普遍绝望信号</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宽基（沪深300、上证）</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钟摆中部</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沪深300市盈率13.18倍，处在近十年约60%分位；市净率1.40倍，约35%分位；股息率2.75%</w:t>
            </w:r>
            <w:r>
              <w:rPr>
                <w:rStyle w:val="FootnoteReference"/>
              </w:rPr>
              <w:footnoteReference w:id="223"/>
            </w:r>
            <w:r>
              <w:rPr>
                <w:rFonts w:ascii="Calibri" w:cs="Calibri" w:eastAsia="DengXian" w:hAnsi="Calibri"/>
                <w:b w:val="false"/>
                <w:bCs w:val="false"/>
                <w:color w:val="1F2328"/>
                <w:sz w:val="18"/>
                <w:szCs w:val="18"/>
              </w:rPr>
              <w:t xml:space="preserve">；股债收益差约5.8%—5.9%，接近历史均值</w:t>
            </w:r>
            <w:r>
              <w:rPr>
                <w:rStyle w:val="FootnoteReference"/>
              </w:rPr>
              <w:footnoteReference w:id="224"/>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估值分位升到80%以上并伴随杠杆回升，或市净率跌到历史低位</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银行与红利</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防御性上涨的后段，交易拥挤</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三大行9月股价创历史新高；红利指数年内+7.71%；南向资金上半年大量买入银行股</w:t>
            </w:r>
            <w:r>
              <w:rPr>
                <w:rStyle w:val="FootnoteReference"/>
              </w:rPr>
              <w:footnoteReference w:id="225"/>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降息压缩息差，或关注类贷款继续上升</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港股高股息</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价格偏低</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恒生高股息率指数股息率6.68%，市盈率9.68倍</w:t>
            </w:r>
            <w:r>
              <w:rPr>
                <w:rStyle w:val="FootnoteReference"/>
              </w:rPr>
              <w:footnoteReference w:id="226"/>
            </w:r>
            <w:r>
              <w:rPr>
                <w:rFonts w:ascii="Calibri" w:cs="Calibri" w:eastAsia="DengXian" w:hAnsi="Calibri"/>
                <w:b w:val="false"/>
                <w:bCs w:val="false"/>
                <w:color w:val="1F2328"/>
                <w:sz w:val="18"/>
                <w:szCs w:val="18"/>
              </w:rPr>
              <w:t xml:space="preserve">；中国10年期国债收益率1.675%</w:t>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股息率被压到4%以下</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地产股</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熊市中的政策反弹</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三季度地产板块涨幅超过25%，催化剂是首套房贷贴息；全国房价9月跌幅扩大</w:t>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沪深穗通过标普检验，开发商国内贷款降幅收窄</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小盘与北交所</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偏悲观</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北证50年内−27.83%；中证2000比5月高点低约17.5%</w:t>
            </w:r>
            <w:r>
              <w:rPr>
                <w:rStyle w:val="FootnoteReference"/>
              </w:rPr>
              <w:footnoteReference w:id="227"/>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成交和新开户回升，北证50收复三季度跌幅</w:t>
            </w:r>
          </w:p>
        </w:tc>
      </w:tr>
      <w:tr>
        <w:trPr>
          <w:cantSplit/>
        </w:trPr>
        <w:tc>
          <w:tcPr>
            <w:tcW w:type="dxa" w:w="87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港股二级市场</w:t>
            </w:r>
          </w:p>
        </w:tc>
        <w:tc>
          <w:tcPr>
            <w:tcW w:type="dxa" w:w="203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中部偏谨慎</w:t>
            </w:r>
          </w:p>
        </w:tc>
        <w:tc>
          <w:tcPr>
            <w:tcW w:type="dxa" w:w="130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恒指9月30日收24613.27点，三季度+7.57%</w:t>
            </w:r>
            <w:r>
              <w:rPr>
                <w:rStyle w:val="FootnoteReference"/>
              </w:rPr>
              <w:footnoteReference w:id="228"/>
            </w:r>
            <w:r>
              <w:rPr>
                <w:rFonts w:ascii="Calibri" w:cs="Calibri" w:eastAsia="DengXian" w:hAnsi="Calibri"/>
                <w:b w:val="false"/>
                <w:bCs w:val="false"/>
                <w:color w:val="1F2328"/>
                <w:sz w:val="18"/>
                <w:szCs w:val="18"/>
              </w:rPr>
              <w:t xml:space="preserve">；年内恒指约−4%，恒生科技约−23%</w:t>
            </w:r>
            <w:r>
              <w:rPr>
                <w:rFonts w:ascii="Calibri" w:cs="Calibri" w:eastAsia="DengXian" w:hAnsi="Calibri"/>
                <w:b/>
                <w:bCs/>
                <w:color w:val="4B5563"/>
                <w:sz w:val="15"/>
                <w:szCs w:val="15"/>
                <w:shd w:fill="E9EBEE" w:color="auto" w:val="clear"/>
              </w:rPr>
              <w:t xml:space="preserve"> 估算 </w:t>
            </w:r>
          </w:p>
        </w:tc>
        <w:tc>
          <w:tcPr>
            <w:tcW w:type="dxa" w:w="18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南向资金重新放量</w:t>
            </w:r>
          </w:p>
        </w:tc>
      </w:tr>
      <w:tr>
        <w:trPr>
          <w:cantSplit/>
        </w:trPr>
        <w:tc>
          <w:tcPr>
            <w:tcW w:type="dxa" w:w="87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新股市场（A股与港股）</w:t>
            </w:r>
          </w:p>
        </w:tc>
        <w:tc>
          <w:tcPr>
            <w:tcW w:type="dxa" w:w="203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发行周期的后段，偏热</w:t>
            </w:r>
          </w:p>
        </w:tc>
        <w:tc>
          <w:tcPr>
            <w:tcW w:type="dxa" w:w="130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8A5A00"/>
                <w:sz w:val="15"/>
                <w:szCs w:val="15"/>
                <w:shd w:fill="FFF0C7" w:color="auto" w:val="clear"/>
              </w:rPr>
              <w:t xml:space="preserve"> 中 </w:t>
            </w:r>
          </w:p>
        </w:tc>
        <w:tc>
          <w:tcPr>
            <w:tcW w:type="dxa" w:w="33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港股前三季度IPO超3880亿港元，排队369家</w:t>
            </w:r>
            <w:r>
              <w:rPr>
                <w:rStyle w:val="FootnoteReference"/>
              </w:rPr>
              <w:footnoteReference w:id="229"/>
            </w:r>
            <w:r>
              <w:rPr>
                <w:rFonts w:ascii="Calibri" w:cs="Calibri" w:eastAsia="DengXian" w:hAnsi="Calibri"/>
                <w:b w:val="false"/>
                <w:bCs w:val="false"/>
                <w:color w:val="1F2328"/>
                <w:sz w:val="18"/>
                <w:szCs w:val="18"/>
              </w:rPr>
              <w:t xml:space="preserve">；9月新股破发率近六成</w:t>
            </w:r>
            <w:r>
              <w:rPr>
                <w:rStyle w:val="FootnoteReference"/>
              </w:rPr>
              <w:footnoteReference w:id="230"/>
            </w:r>
            <w:r>
              <w:rPr>
                <w:rFonts w:ascii="Calibri" w:cs="Calibri" w:eastAsia="DengXian" w:hAnsi="Calibri"/>
                <w:b w:val="false"/>
                <w:bCs w:val="false"/>
                <w:color w:val="1F2328"/>
                <w:sz w:val="18"/>
                <w:szCs w:val="18"/>
              </w:rPr>
              <w:t xml:space="preserve">；A股IPO募资同比约+180%</w:t>
            </w:r>
            <w:r>
              <w:rPr>
                <w:rStyle w:val="FootnoteReference"/>
              </w:rPr>
              <w:footnoteReference w:id="231"/>
            </w:r>
            <w:r>
              <w:rPr>
                <w:rFonts w:ascii="Calibri" w:cs="Calibri" w:eastAsia="DengXian" w:hAnsi="Calibri"/>
                <w:b w:val="false"/>
                <w:bCs w:val="false"/>
                <w:color w:val="1F2328"/>
                <w:sz w:val="18"/>
                <w:szCs w:val="18"/>
              </w:rPr>
              <w:t xml:space="preserve">；上半年PE/VC新募资金约1.05万亿元，国资出资约41%</w:t>
            </w:r>
            <w:r>
              <w:rPr>
                <w:rStyle w:val="FootnoteReference"/>
              </w:rPr>
              <w:footnoteReference w:id="232"/>
            </w:r>
          </w:p>
        </w:tc>
        <w:tc>
          <w:tcPr>
            <w:tcW w:type="dxa" w:w="18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港股破发率回落到两成以下，或排队企业大量撤回</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长鑫科技以超过工商银行的市值上市、首日成交创纪录，发生在科技指数7月初见顶之后不到一个月。按马克斯的逻辑，发行人在热度最高时大量出售股票，是周期后段的典型行为。</w:t>
      </w:r>
      <w:r>
        <w:rPr>
          <w:rFonts w:ascii="Calibri" w:cs="Calibri" w:eastAsia="DengXian" w:hAnsi="Calibri"/>
          <w:b/>
          <w:bCs/>
          <w:color w:val="8A5A00"/>
          <w:sz w:val="18"/>
          <w:szCs w:val="18"/>
          <w:shd w:fill="FFF0C7" w:color="auto" w:val="clear"/>
        </w:rPr>
        <w:t xml:space="preserve"> 置信度 中 </w:t>
      </w:r>
    </w:p>
    <w:p>
      <w:pPr>
        <w:pStyle w:val="Heading2"/>
        <w:keepNext/>
        <w:spacing w:after="140" w:before="340"/>
      </w:pPr>
      <w:r>
        <w:rPr>
          <w:rFonts w:ascii="Calibri" w:cs="Calibri" w:eastAsia="Microsoft YaHei" w:hAnsi="Calibri"/>
          <w:b/>
          <w:bCs/>
          <w:color w:val="1F3A5F"/>
          <w:sz w:val="26"/>
          <w:szCs w:val="26"/>
        </w:rPr>
        <w:t xml:space="preserve">9.4 温度清单的逐项读数</w:t>
      </w:r>
    </w:p>
    <w:p>
      <w:pPr>
        <w:spacing w:after="140" w:line="340"/>
        <w:jc w:val="both"/>
      </w:pPr>
      <w:r>
        <w:rPr>
          <w:rFonts w:ascii="Calibri" w:cs="Calibri" w:eastAsia="DengXian" w:hAnsi="Calibri"/>
          <w:b w:val="false"/>
          <w:bCs w:val="false"/>
          <w:color w:val="1F2328"/>
          <w:sz w:val="21"/>
          <w:szCs w:val="21"/>
        </w:rPr>
        <w:t xml:space="preserve">清单的16组条件采用Hedge Fund Alpha书评的概括</w:t>
      </w:r>
      <w:r>
        <w:rPr>
          <w:rStyle w:val="FootnoteReference"/>
        </w:rPr>
        <w:footnoteReference w:id="233"/>
      </w:r>
      <w:r>
        <w:rPr>
          <w:rFonts w:ascii="Calibri" w:cs="Calibri" w:eastAsia="DengXian" w:hAnsi="Calibri"/>
          <w:b w:val="false"/>
          <w:bCs w:val="false"/>
          <w:color w:val="1F2328"/>
          <w:sz w:val="21"/>
          <w:szCs w:val="21"/>
        </w:rPr>
        <w:t xml:space="preserve">，中文译名没有与中文版核对。左端代表偏热，右端代表偏冷。马克斯的清单是为美国资本市场设计的。在中国，国有银行主导信贷，国家为很多主体提供隐性担保，"放贷者"和"利差"两项的信号会失真，读数时作了相应调整。</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853"/>
        <w:gridCol w:w="5106"/>
        <w:gridCol w:w="1453"/>
      </w:tblGrid>
      <w:tr>
        <w:trPr>
          <w:cantSplit/>
          <w:tblHeader/>
        </w:trPr>
        <w:tc>
          <w:tcPr>
            <w:tcW w:type="dxa" w:w="285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清单项（偏热 / 偏冷）</w:t>
            </w:r>
          </w:p>
        </w:tc>
        <w:tc>
          <w:tcPr>
            <w:tcW w:type="dxa" w:w="510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中国的读数（2026年9—10月）</w:t>
            </w:r>
          </w:p>
        </w:tc>
        <w:tc>
          <w:tcPr>
            <w:tcW w:type="dxa" w:w="145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读数</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 经济：活跃 / 低迷</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二季度实际GDP 4.3%；8月社零+0.4%；8月出口+25.0%</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内需偏冷，出口偏热</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 前景：正面 / 负面</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卖方称"四季度AI仍为配置主线"；高盛把2026年增长预测下调到4.5%</w:t>
            </w:r>
            <w:r>
              <w:rPr>
                <w:rStyle w:val="FootnoteReference"/>
              </w:rPr>
              <w:footnoteReference w:id="234"/>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中性偏正面</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 放贷者：踊跃 / 迟疑</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对政府和优先产业踊跃；开发商国内贷款−33.3%；住户不借</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 资本市场：宽松 / 紧张</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股权发行：A股IPO募资+180%，港股同期纪录；股市杠杆：保证金比例提到100%</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发行端偏热</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 贷款条件：宽松 / 严格</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新发放贷款3.05%，首套房贴息后约2%；民营企业和开发商条件严格</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 利率：低 / 高</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10年期国债1.675%；1年期定存0.95%</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偏热</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 利差：窄 / 宽</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境内信用利差数据没有取得；新增违约为十年最低，依靠展期和国家支持</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推断偏窄</w:t>
            </w:r>
            <w:r>
              <w:rPr>
                <w:rFonts w:ascii="Calibri" w:cs="Calibri" w:eastAsia="DengXian" w:hAnsi="Calibri"/>
                <w:b/>
                <w:bCs/>
                <w:color w:val="4B5563"/>
                <w:sz w:val="15"/>
                <w:szCs w:val="15"/>
                <w:shd w:fill="E9EBEE" w:color="auto" w:val="clear"/>
              </w:rPr>
              <w:t xml:space="preserve"> 未定 </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 投资者情绪：乐观 / 悲观</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成交从约3.99万亿元降到1.42万亿元；新开户从491.58万户降到239.73万户</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由亢奋回到中性偏谨慎</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 资产持有者：乐于持有 / 急于离场</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7月杠杆资金急于离场，三季度去杠杆规模仅次于2015年三季度；居民没有大规模撤出的数据</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中性</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 卖方：少 / 多</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上半年"国家队"据推算减持宽基ETF；三季度融资资金卖出，ETF净申购约4003亿元承接</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中性，新股供给偏多</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 市场：拥挤 / 无人问津</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科技仍是成交焦点；小盘和北交所受冷落</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 新基金：大量涌现 / 只有最好的管理人能募资</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7月上旬前244只基金提前结束募集；9月出现54份延长募集期公告，一日售罄的主要是债基</w:t>
            </w:r>
            <w:r>
              <w:rPr>
                <w:rStyle w:val="FootnoteReference"/>
              </w:rPr>
              <w:footnoteReference w:id="235"/>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由偏热转向中性</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 近期表现：强 / 弱</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三季度双创指数创纪录单季跌幅</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偏冷</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 资产价格：高 / 低</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科技高（科创50中位数市盈率约93%分位）；宽基中（沪深300约60%分位）；港股高股息低</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 预期回报：低 / 高</w:t>
            </w:r>
          </w:p>
        </w:tc>
        <w:tc>
          <w:tcPr>
            <w:tcW w:type="dxa" w:w="510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科技低；宽基中；高股息较高</w:t>
            </w:r>
          </w:p>
        </w:tc>
        <w:tc>
          <w:tcPr>
            <w:tcW w:type="dxa" w:w="145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r>
        <w:trPr>
          <w:cantSplit/>
        </w:trPr>
        <w:tc>
          <w:tcPr>
            <w:tcW w:type="dxa" w:w="28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 风险：高 / 低</w:t>
            </w:r>
          </w:p>
        </w:tc>
        <w:tc>
          <w:tcPr>
            <w:tcW w:type="dxa" w:w="510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科技高；"安全资产"的拥挤度在上升</w:t>
            </w:r>
          </w:p>
        </w:tc>
        <w:tc>
          <w:tcPr>
            <w:tcW w:type="dxa" w:w="145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分化</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16项里，偏热3项（资本市场发行端、利率、利差），偏冷2项（经济、近期表现），中性约5项，分化6项。整体温度在中部、略偏冷，板块之间的差别大于整体的位置。</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按马克斯的逻辑，这样的读数不支持整体上大举进攻，也不支持全面防守，重点在分板块调整。2026年1月和6月时，同一份清单的大多数条目会落在偏热端：成交、杠杆、新开户和新基金都在纪录水平。钟摆已经明显离开那一端。</w:t>
      </w:r>
    </w:p>
    <w:p>
      <w:pPr>
        <w:pStyle w:val="Heading2"/>
        <w:keepNext/>
        <w:spacing w:after="140" w:before="340"/>
      </w:pPr>
      <w:r>
        <w:rPr>
          <w:rFonts w:ascii="Calibri" w:cs="Calibri" w:eastAsia="Microsoft YaHei" w:hAnsi="Calibri"/>
          <w:b/>
          <w:bCs/>
          <w:color w:val="1F3A5F"/>
          <w:sz w:val="26"/>
          <w:szCs w:val="26"/>
        </w:rPr>
        <w:t xml:space="preserve">9.5 风险态度与债市</w:t>
      </w:r>
    </w:p>
    <w:p>
      <w:pPr>
        <w:spacing w:after="140" w:line="340"/>
        <w:jc w:val="both"/>
      </w:pPr>
      <w:r>
        <w:rPr>
          <w:rFonts w:ascii="Calibri" w:cs="Calibri" w:eastAsia="DengXian" w:hAnsi="Calibri"/>
          <w:b w:val="false"/>
          <w:bCs w:val="false"/>
          <w:color w:val="1F2328"/>
          <w:sz w:val="21"/>
          <w:szCs w:val="21"/>
        </w:rPr>
        <w:t xml:space="preserve">2026年上半年，投资者愿意为科创50支付接近249倍的市盈率，为长鑫科技支付首日约466%的涨幅，这是风险容忍度很高的表现。三季度出现了转向：9月4只封闭期63个月的摊余成本债基合计约320亿份，占当月新基金份额三成以上，一日售罄的主要是债基，权益基金则大量延长募集期</w:t>
      </w:r>
      <w:r>
        <w:rPr>
          <w:rStyle w:val="FootnoteReference"/>
        </w:rPr>
        <w:footnoteReference w:id="236"/>
      </w:r>
      <w:r>
        <w:rPr>
          <w:rFonts w:ascii="Calibri" w:cs="Calibri" w:eastAsia="DengXian" w:hAnsi="Calibri"/>
          <w:b w:val="false"/>
          <w:bCs w:val="false"/>
          <w:color w:val="1F2328"/>
          <w:sz w:val="21"/>
          <w:szCs w:val="21"/>
        </w:rPr>
        <w:t xml:space="preserve">。资金在从进取转向保值。宽基层面的风险补偿处在均值附近，这个读数部分来自分母：10年期国债收益率越低，同样的估值下股债收益差越高。</w:t>
      </w:r>
    </w:p>
    <w:p>
      <w:pPr>
        <w:spacing w:after="140" w:line="340"/>
        <w:jc w:val="both"/>
      </w:pPr>
      <w:r>
        <w:rPr>
          <w:rFonts w:ascii="Calibri" w:cs="Calibri" w:eastAsia="DengXian" w:hAnsi="Calibri"/>
          <w:b w:val="false"/>
          <w:bCs w:val="false"/>
          <w:color w:val="1F2328"/>
          <w:sz w:val="21"/>
          <w:szCs w:val="21"/>
        </w:rPr>
        <w:t xml:space="preserve">债市本身也是一种情绪读数。中国10年期国债收益率1.675%，离历史低点约8个基点；同期美国30年期国债收益率在9月30日盘中升到5.62%，是2002年以来最高</w:t>
      </w:r>
      <w:r>
        <w:rPr>
          <w:rStyle w:val="FootnoteReference"/>
        </w:rPr>
        <w:footnoteReference w:id="237"/>
      </w:r>
      <w:r>
        <w:rPr>
          <w:rFonts w:ascii="Calibri" w:cs="Calibri" w:eastAsia="DengXian" w:hAnsi="Calibri"/>
          <w:b w:val="false"/>
          <w:bCs w:val="false"/>
          <w:color w:val="1F2328"/>
          <w:sz w:val="21"/>
          <w:szCs w:val="21"/>
        </w:rPr>
        <w:t xml:space="preserve">。中国的债券投资者在海外利率大幅上升时，仍然接受极低的收益率。</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这说明他们定价的是长期低名义增长，与"价格回升缺少内需拉动"的判断一致。</w:t>
      </w:r>
      <w:r>
        <w:rPr>
          <w:rFonts w:ascii="Calibri" w:cs="Calibri" w:eastAsia="DengXian" w:hAnsi="Calibri"/>
          <w:b/>
          <w:bCs/>
          <w:color w:val="0E6655"/>
          <w:sz w:val="18"/>
          <w:szCs w:val="18"/>
          <w:shd w:fill="DCF0EB" w:color="auto" w:val="clear"/>
        </w:rPr>
        <w:t xml:space="preserve"> 置信度 中高 </w:t>
      </w:r>
    </w:p>
    <w:p>
      <w:pPr>
        <w:pStyle w:val="Heading2"/>
        <w:keepNext/>
        <w:spacing w:after="140" w:before="340"/>
      </w:pPr>
      <w:r>
        <w:rPr>
          <w:rFonts w:ascii="Calibri" w:cs="Calibri" w:eastAsia="Microsoft YaHei" w:hAnsi="Calibri"/>
          <w:b/>
          <w:bCs/>
          <w:color w:val="1F3A5F"/>
          <w:sz w:val="26"/>
          <w:szCs w:val="26"/>
        </w:rPr>
        <w:t xml:space="preserve">9.6 与2015年相比</w:t>
      </w:r>
    </w:p>
    <w:p>
      <w:pPr>
        <w:spacing w:after="140" w:line="340"/>
        <w:jc w:val="both"/>
      </w:pPr>
      <w:r>
        <w:rPr>
          <w:rFonts w:ascii="Calibri" w:cs="Calibri" w:eastAsia="DengXian" w:hAnsi="Calibri"/>
          <w:b w:val="false"/>
          <w:bCs w:val="false"/>
          <w:color w:val="1F2328"/>
          <w:sz w:val="21"/>
          <w:szCs w:val="21"/>
        </w:rPr>
        <w:t xml:space="preserve">2026年的杠杆绝对额比2015年高（两融余额3万亿元，2015年融资余额峰值约2.27万亿元），相对流通市值低（2.83%对4.72%）；上证综指的高点4258.86点比2015年6月的5178点低约18%；狂热集中在科技一个板块，2015年是全市场。三季度科技的去杠杆速度和单季跌幅，可以与2015年三季度相比。</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这一轮像2015年，范围只限于科技板块。</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这也解释了宽基估值为什么仍在中位：暴涨和暴跌主要发生在少数板块；政策资金据推算在高位减持了宽基ETF（汇金否认），三季度又有约4003亿元ETF申购在低位承接（买方未披露），宽基的振幅因此被压低。</w:t>
      </w:r>
    </w:p>
    <w:p>
      <w:pPr>
        <w:pStyle w:val="Heading2"/>
        <w:keepNext/>
        <w:spacing w:after="140" w:before="340"/>
      </w:pPr>
      <w:r>
        <w:rPr>
          <w:rFonts w:ascii="Calibri" w:cs="Calibri" w:eastAsia="Microsoft YaHei" w:hAnsi="Calibri"/>
          <w:b/>
          <w:bCs/>
          <w:color w:val="1F3A5F"/>
          <w:sz w:val="26"/>
          <w:szCs w:val="26"/>
        </w:rPr>
        <w:t xml:space="preserve">9.7 什么信号说明科技股进入普遍绝望</w:t>
      </w:r>
    </w:p>
    <w:p>
      <w:pPr>
        <w:spacing w:after="140" w:line="340"/>
        <w:jc w:val="both"/>
      </w:pPr>
      <w:r>
        <w:rPr>
          <w:rFonts w:ascii="Calibri" w:cs="Calibri" w:eastAsia="DengXian" w:hAnsi="Calibri"/>
          <w:b w:val="false"/>
          <w:bCs w:val="false"/>
          <w:color w:val="1F2328"/>
          <w:sz w:val="21"/>
          <w:szCs w:val="21"/>
        </w:rPr>
        <w:t xml:space="preserve">按马克斯的逻辑，便宜的机会出现在普遍绝望的时候。对A股科技板块，可以用以下信号判断：科创50的估值分位降到50%以下；融资余额跌破2015年的峰值约2.27万亿元；成交额连续几周低于1万亿元；股票ETF转为净流出；每月新开户低于150万户；卖方普遍放弃AI主线。多数信号同时出现时，按马克斯的逻辑，科技板块就从偏防守转向中性或偏进攻。</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10 外部环境与世界秩序：外强内弱，离国家债务危机很远</w:t>
      </w:r>
    </w:p>
    <w:p>
      <w:pPr>
        <w:pStyle w:val="Heading2"/>
        <w:keepNext/>
        <w:spacing w:after="140" w:before="340"/>
      </w:pPr>
      <w:r>
        <w:rPr>
          <w:rFonts w:ascii="Calibri" w:cs="Calibri" w:eastAsia="Microsoft YaHei" w:hAnsi="Calibri"/>
          <w:b/>
          <w:bCs/>
          <w:color w:val="1F3A5F"/>
          <w:sz w:val="26"/>
          <w:szCs w:val="26"/>
        </w:rPr>
        <w:t xml:space="preserve">10.1 达利欧的大周期框架（转述）</w:t>
      </w:r>
    </w:p>
    <w:p>
      <w:pPr>
        <w:spacing w:after="140" w:line="340"/>
        <w:jc w:val="both"/>
      </w:pPr>
      <w:r>
        <w:rPr>
          <w:rFonts w:ascii="Calibri" w:cs="Calibri" w:eastAsia="DengXian" w:hAnsi="Calibri"/>
          <w:b w:val="false"/>
          <w:bCs w:val="false"/>
          <w:color w:val="1F2328"/>
          <w:sz w:val="21"/>
          <w:szCs w:val="21"/>
        </w:rPr>
        <w:t xml:space="preserve">在《原则：应对变化中的世界秩序》里，达利欧用三大周期（债务、货币与资本市场周期，内部秩序周期，外部秩序周期）加上八项关键指标衡量国力：教育、竞争力、创新与技术、经济产出、全球贸易份额、军事实力、金融中心地位、储备货币地位</w:t>
      </w:r>
      <w:r>
        <w:rPr>
          <w:rFonts w:ascii="Calibri" w:cs="Calibri" w:eastAsia="DengXian" w:hAnsi="Calibri"/>
          <w:b/>
          <w:bCs/>
          <w:color w:val="4B5563"/>
          <w:sz w:val="18"/>
          <w:szCs w:val="18"/>
          <w:shd w:fill="E9EBEE" w:color="auto" w:val="clear"/>
        </w:rPr>
        <w:t xml:space="preserve"> 转述 </w:t>
      </w:r>
      <w:r>
        <w:rPr>
          <w:rStyle w:val="FootnoteReference"/>
        </w:rPr>
        <w:footnoteReference w:id="238"/>
      </w:r>
      <w:r>
        <w:rPr>
          <w:rFonts w:ascii="Calibri" w:cs="Calibri" w:eastAsia="DengXian" w:hAnsi="Calibri"/>
          <w:b w:val="false"/>
          <w:bCs w:val="false"/>
          <w:color w:val="1F2328"/>
          <w:sz w:val="21"/>
          <w:szCs w:val="21"/>
        </w:rPr>
        <w:t xml:space="preserve">。内部秩序分六个阶段：新秩序建立；资源分配体系与官僚体系的建设；和平与繁荣；支出和债务过度、贫富与政治差距扩大；财政状况恶化、冲突激烈；内战或革命</w:t>
      </w:r>
      <w:r>
        <w:rPr>
          <w:rFonts w:ascii="Calibri" w:cs="Calibri" w:eastAsia="DengXian" w:hAnsi="Calibri"/>
          <w:b/>
          <w:bCs/>
          <w:color w:val="4B5563"/>
          <w:sz w:val="18"/>
          <w:szCs w:val="18"/>
          <w:shd w:fill="E9EBEE" w:color="auto" w:val="clear"/>
        </w:rPr>
        <w:t xml:space="preserve"> 转述 </w:t>
      </w:r>
      <w:r>
        <w:rPr>
          <w:rStyle w:val="FootnoteReference"/>
        </w:rPr>
        <w:footnoteReference w:id="239"/>
      </w:r>
      <w:r>
        <w:rPr>
          <w:rFonts w:ascii="Calibri" w:cs="Calibri" w:eastAsia="DengXian" w:hAnsi="Calibri"/>
          <w:b w:val="false"/>
          <w:bCs w:val="false"/>
          <w:color w:val="1F2328"/>
          <w:sz w:val="21"/>
          <w:szCs w:val="21"/>
        </w:rPr>
        <w:t xml:space="preserve">。他在2022年的国力指数里给美国0.89分、中国约0.77分，称美国"相对衰落"、中国"在上升"</w:t>
      </w:r>
      <w:r>
        <w:rPr>
          <w:rStyle w:val="FootnoteReference"/>
        </w:rPr>
        <w:footnoteReference w:id="240"/>
      </w:r>
      <w:r>
        <w:rPr>
          <w:rFonts w:ascii="Calibri" w:cs="Calibri" w:eastAsia="DengXian" w:hAnsi="Calibri"/>
          <w:b w:val="false"/>
          <w:bCs w:val="false"/>
          <w:color w:val="1F2328"/>
          <w:sz w:val="21"/>
          <w:szCs w:val="21"/>
        </w:rPr>
        <w:t xml:space="preserve">。2026年3月，他称世界处在第5阶段，正在逼近第6阶段</w:t>
      </w:r>
      <w:r>
        <w:rPr>
          <w:rStyle w:val="FootnoteReference"/>
        </w:rPr>
        <w:footnoteReference w:id="241"/>
      </w:r>
      <w:r>
        <w:rPr>
          <w:rFonts w:ascii="Calibri" w:cs="Calibri" w:eastAsia="DengXian" w:hAnsi="Calibri"/>
          <w:b w:val="false"/>
          <w:bCs w:val="false"/>
          <w:color w:val="1F2328"/>
          <w:sz w:val="21"/>
          <w:szCs w:val="21"/>
        </w:rPr>
        <w:t xml:space="preserve">，这是对全球和美国的判断。研究中没有找到他给中国内部秩序定阶段的表态。</w:t>
      </w:r>
    </w:p>
    <w:p>
      <w:pPr>
        <w:pStyle w:val="Heading2"/>
        <w:keepNext/>
        <w:spacing w:after="140" w:before="340"/>
      </w:pPr>
      <w:r>
        <w:rPr>
          <w:rFonts w:ascii="Calibri" w:cs="Calibri" w:eastAsia="Microsoft YaHei" w:hAnsi="Calibri"/>
          <w:b/>
          <w:bCs/>
          <w:color w:val="1F3A5F"/>
          <w:sz w:val="26"/>
          <w:szCs w:val="26"/>
        </w:rPr>
        <w:t xml:space="preserve">10.2 八项关键指标的2026年读数</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337"/>
        <w:gridCol w:w="6496"/>
        <w:gridCol w:w="1579"/>
      </w:tblGrid>
      <w:tr>
        <w:trPr>
          <w:cantSplit/>
          <w:tblHeader/>
        </w:trPr>
        <w:tc>
          <w:tcPr>
            <w:tcW w:type="dxa" w:w="133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649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2026年的数据</w:t>
            </w:r>
          </w:p>
        </w:tc>
        <w:tc>
          <w:tcPr>
            <w:tcW w:type="dxa" w:w="157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方向（推断）</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教育</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研究中没有取得</w:t>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未定 </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竞争力</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1—8月美元口径出口约+19%</w:t>
            </w:r>
            <w:r>
              <w:rPr>
                <w:rFonts w:ascii="Calibri" w:cs="Calibri" w:eastAsia="DengXian" w:hAnsi="Calibri"/>
                <w:b/>
                <w:bCs/>
                <w:color w:val="4B5563"/>
                <w:sz w:val="15"/>
                <w:szCs w:val="15"/>
                <w:shd w:fill="E9EBEE" w:color="auto" w:val="clear"/>
              </w:rPr>
              <w:t xml:space="preserve"> 估算 </w:t>
            </w:r>
            <w:r>
              <w:rPr>
                <w:rFonts w:ascii="Calibri" w:cs="Calibri" w:eastAsia="DengXian" w:hAnsi="Calibri"/>
                <w:b w:val="false"/>
                <w:bCs w:val="false"/>
                <w:color w:val="1F2328"/>
                <w:sz w:val="18"/>
                <w:szCs w:val="18"/>
              </w:rPr>
              <w:t xml:space="preserve">；布拉德·塞策估计人民币被低估约20%—30%，方法有争议</w:t>
            </w:r>
            <w:r>
              <w:rPr>
                <w:rStyle w:val="FootnoteReference"/>
              </w:rPr>
              <w:footnoteReference w:id="242"/>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强</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创新与技术</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2025年工业机器人装机约35.4万台，占全球59%</w:t>
            </w:r>
            <w:r>
              <w:rPr>
                <w:rStyle w:val="FootnoteReference"/>
              </w:rPr>
              <w:footnoteReference w:id="243"/>
            </w:r>
            <w:r>
              <w:rPr>
                <w:rFonts w:ascii="Calibri" w:cs="Calibri" w:eastAsia="DengXian" w:hAnsi="Calibri"/>
                <w:b w:val="false"/>
                <w:bCs w:val="false"/>
                <w:color w:val="1F2328"/>
                <w:sz w:val="18"/>
                <w:szCs w:val="18"/>
              </w:rPr>
              <w:t xml:space="preserve">；9月中旬中国开源大模型在OpenRouter的token份额57%—67%</w:t>
            </w:r>
            <w:r>
              <w:rPr>
                <w:rStyle w:val="FootnoteReference"/>
              </w:rPr>
              <w:footnoteReference w:id="244"/>
            </w:r>
            <w:r>
              <w:rPr>
                <w:rFonts w:ascii="Calibri" w:cs="Calibri" w:eastAsia="DengXian" w:hAnsi="Calibri"/>
                <w:b w:val="false"/>
                <w:bCs w:val="false"/>
                <w:color w:val="1F2328"/>
                <w:sz w:val="18"/>
                <w:szCs w:val="18"/>
              </w:rPr>
              <w:t xml:space="preserve">；摩根士丹利估计AI芯片自给率在41%以上</w:t>
            </w:r>
            <w:r>
              <w:rPr>
                <w:rStyle w:val="FootnoteReference"/>
              </w:rPr>
              <w:footnoteReference w:id="245"/>
            </w:r>
            <w:r>
              <w:rPr>
                <w:rFonts w:ascii="Calibri" w:cs="Calibri" w:eastAsia="DengXian" w:hAnsi="Calibri"/>
                <w:b w:val="false"/>
                <w:bCs w:val="false"/>
                <w:color w:val="1F2328"/>
                <w:sz w:val="18"/>
                <w:szCs w:val="18"/>
              </w:rPr>
              <w:t xml:space="preserve">；中芯国际5纳米良率约20%</w:t>
            </w:r>
            <w:r>
              <w:rPr>
                <w:rStyle w:val="FootnoteReference"/>
              </w:rPr>
              <w:footnoteReference w:id="246"/>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上升，先进制程是短板</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经济产出</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二季度实际增长4.3%；IMF预测2026年4.6%、2027年4.1%，中期路径到2030年降到3.4%</w:t>
            </w:r>
            <w:r>
              <w:rPr>
                <w:rStyle w:val="FootnoteReference"/>
              </w:rPr>
              <w:footnoteReference w:id="247"/>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增速放慢</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全球贸易</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2025年货物贸易顺差1.189万亿美元，创纪录；2026年二季度经常账户顺差1937亿美元</w:t>
            </w:r>
            <w:r>
              <w:rPr>
                <w:rStyle w:val="FootnoteReference"/>
              </w:rPr>
              <w:footnoteReference w:id="248"/>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强</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军事实力</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研究中没有取得</w:t>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4B5563"/>
                <w:sz w:val="15"/>
                <w:szCs w:val="15"/>
                <w:shd w:fill="E9EBEE" w:color="auto" w:val="clear"/>
              </w:rPr>
              <w:t xml:space="preserve"> 未定 </w:t>
            </w:r>
          </w:p>
        </w:tc>
      </w:tr>
      <w:tr>
        <w:trPr>
          <w:cantSplit/>
        </w:trPr>
        <w:tc>
          <w:tcPr>
            <w:tcW w:type="dxa" w:w="133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金融中心</w:t>
            </w:r>
          </w:p>
        </w:tc>
        <w:tc>
          <w:tcPr>
            <w:tcW w:type="dxa" w:w="649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港股IPO前三季度创同期纪录；《国家为什么会破产》的指标章称外国投资者正在撤出中国资本市场</w:t>
            </w:r>
            <w:r>
              <w:rPr>
                <w:rStyle w:val="FootnoteReference"/>
              </w:rPr>
              <w:footnoteReference w:id="249"/>
            </w:r>
            <w:r>
              <w:rPr>
                <w:rFonts w:ascii="Calibri" w:cs="Calibri" w:eastAsia="DengXian" w:hAnsi="Calibri"/>
                <w:b w:val="false"/>
                <w:bCs w:val="false"/>
                <w:color w:val="1F2328"/>
                <w:sz w:val="18"/>
                <w:szCs w:val="18"/>
              </w:rPr>
              <w:t xml:space="preserve">；二季度证券投资净流出55亿美元</w:t>
            </w:r>
          </w:p>
        </w:tc>
        <w:tc>
          <w:tcPr>
            <w:tcW w:type="dxa" w:w="157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混合</w:t>
            </w:r>
          </w:p>
        </w:tc>
      </w:tr>
      <w:tr>
        <w:trPr>
          <w:cantSplit/>
        </w:trPr>
        <w:tc>
          <w:tcPr>
            <w:tcW w:type="dxa" w:w="133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储备货币</w:t>
            </w:r>
          </w:p>
        </w:tc>
        <w:tc>
          <w:tcPr>
            <w:tcW w:type="dxa" w:w="649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人民币在SWIFT全球支付中的份额约3.1%，排第5</w:t>
            </w:r>
            <w:r>
              <w:rPr>
                <w:rStyle w:val="FootnoteReference"/>
              </w:rPr>
              <w:footnoteReference w:id="250"/>
            </w:r>
            <w:r>
              <w:rPr>
                <w:rFonts w:ascii="Calibri" w:cs="Calibri" w:eastAsia="DengXian" w:hAnsi="Calibri"/>
                <w:b w:val="false"/>
                <w:bCs w:val="false"/>
                <w:color w:val="1F2328"/>
                <w:sz w:val="18"/>
                <w:szCs w:val="18"/>
              </w:rPr>
              <w:t xml:space="preserve">；央行连续23个月增持黄金</w:t>
            </w:r>
            <w:r>
              <w:rPr>
                <w:rStyle w:val="FootnoteReference"/>
              </w:rPr>
              <w:footnoteReference w:id="251"/>
            </w:r>
            <w:r>
              <w:rPr>
                <w:rFonts w:ascii="Calibri" w:cs="Calibri" w:eastAsia="DengXian" w:hAnsi="Calibri"/>
                <w:b w:val="false"/>
                <w:bCs w:val="false"/>
                <w:color w:val="1F2328"/>
                <w:sz w:val="18"/>
                <w:szCs w:val="18"/>
              </w:rPr>
              <w:t xml:space="preserve">；中国官方持有美债约6180亿美元（2026年7月），为2008年以来最低</w:t>
            </w:r>
            <w:r>
              <w:rPr>
                <w:rStyle w:val="FootnoteReference"/>
              </w:rPr>
              <w:footnoteReference w:id="252"/>
            </w:r>
          </w:p>
        </w:tc>
        <w:tc>
          <w:tcPr>
            <w:tcW w:type="dxa" w:w="157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缓慢改善，仍处早期</w:t>
            </w:r>
          </w:p>
        </w:tc>
      </w:tr>
    </w:tbl>
    <w:p>
      <w:pPr>
        <w:spacing w:after="120"/>
      </w:pPr>
    </w:p>
    <w:p>
      <w:pPr>
        <w:spacing w:after="140" w:line="340"/>
        <w:jc w:val="both"/>
      </w:pPr>
      <w:r>
        <w:rPr>
          <w:rFonts w:ascii="Calibri" w:cs="Calibri" w:eastAsia="DengXian" w:hAnsi="Calibri"/>
          <w:b w:val="false"/>
          <w:bCs w:val="false"/>
          <w:color w:val="1F2328"/>
          <w:sz w:val="21"/>
          <w:szCs w:val="21"/>
        </w:rPr>
        <w:t xml:space="preserve">内部的几项读数朝另一个方向：2025年出生人口792万，总人口减少339万，60岁以上人口一年增加1307万</w:t>
      </w:r>
      <w:r>
        <w:rPr>
          <w:rStyle w:val="FootnoteReference"/>
        </w:rPr>
        <w:footnoteReference w:id="253"/>
      </w:r>
      <w:r>
        <w:rPr>
          <w:rFonts w:ascii="Calibri" w:cs="Calibri" w:eastAsia="DengXian" w:hAnsi="Calibri"/>
          <w:b w:val="false"/>
          <w:bCs w:val="false"/>
          <w:color w:val="1F2328"/>
          <w:sz w:val="21"/>
          <w:szCs w:val="21"/>
        </w:rPr>
        <w:t xml:space="preserve">；8月青年失业率18.9%；消费者信心指数约89，接近历史低点；上半年居民平均消费倾向比上年同期低约0.9个百分点。</w:t>
      </w:r>
    </w:p>
    <w:p>
      <w:pPr>
        <w:pStyle w:val="Heading2"/>
        <w:keepNext/>
        <w:spacing w:after="140" w:before="340"/>
      </w:pPr>
      <w:r>
        <w:rPr>
          <w:rFonts w:ascii="Calibri" w:cs="Calibri" w:eastAsia="Microsoft YaHei" w:hAnsi="Calibri"/>
          <w:b/>
          <w:bCs/>
          <w:color w:val="1F3A5F"/>
          <w:sz w:val="26"/>
          <w:szCs w:val="26"/>
        </w:rPr>
        <w:t xml:space="preserve">10.3 外强内弱，冲突处在靠续期维持的阶段</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按达利欧的框架，中国的外部实力处在上升段：贸易、制造和技术应用在扩张，债权国地位在加强；储备货币和金融中心仍弱。内部的债务周期处在去杠杆段，人口和内需在走弱。两条线方向相反。</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达利欧2026年6月的长文描述了"China Inc."对外强劲、国内经济乏力的格局，与此一致</w:t>
      </w:r>
      <w:r>
        <w:rPr>
          <w:rFonts w:ascii="Calibri" w:cs="Calibri" w:eastAsia="DengXian" w:hAnsi="Calibri"/>
          <w:b/>
          <w:bCs/>
          <w:color w:val="4B5563"/>
          <w:sz w:val="18"/>
          <w:szCs w:val="18"/>
          <w:shd w:fill="E9EBEE" w:color="auto" w:val="clear"/>
        </w:rPr>
        <w:t xml:space="preserve"> 转述 </w:t>
      </w:r>
      <w:r>
        <w:rPr>
          <w:rStyle w:val="FootnoteReference"/>
        </w:rPr>
        <w:footnoteReference w:id="254"/>
      </w:r>
      <w:r>
        <w:rPr>
          <w:rFonts w:ascii="Calibri" w:cs="Calibri" w:eastAsia="DengXian" w:hAnsi="Calibri"/>
          <w:b w:val="false"/>
          <w:bCs w:val="false"/>
          <w:color w:val="1F2328"/>
          <w:sz w:val="21"/>
          <w:szCs w:val="21"/>
        </w:rPr>
        <w:t xml:space="preserve">。内部秩序方面，债务和财政指标带有第4阶段后期的特征，即过度举债之后的清理期；第5阶段要求的"激烈内部冲突"，现有数据里找不到证据。</w:t>
      </w:r>
      <w:r>
        <w:rPr>
          <w:rFonts w:ascii="Calibri" w:cs="Calibri" w:eastAsia="DengXian" w:hAnsi="Calibri"/>
          <w:b/>
          <w:bCs/>
          <w:color w:val="A61B1B"/>
          <w:sz w:val="18"/>
          <w:szCs w:val="18"/>
          <w:shd w:fill="FBE1E1" w:color="auto" w:val="clear"/>
        </w:rPr>
        <w:t xml:space="preserve"> 置信度 低 </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外部冲突处在管理型阶段。9月习近平访美后，中美休战延长到2027年1月10日，双方各提出约300亿美元的降税推荐清单，降幅和生效日都没有确定</w:t>
      </w:r>
      <w:r>
        <w:rPr>
          <w:rStyle w:val="FootnoteReference"/>
        </w:rPr>
        <w:footnoteReference w:id="255"/>
      </w:r>
      <w:r>
        <w:rPr>
          <w:rFonts w:ascii="Calibri" w:cs="Calibri" w:eastAsia="DengXian" w:hAnsi="Calibri"/>
          <w:color w:val="1F2328"/>
          <w:sz w:val="21"/>
          <w:szCs w:val="21"/>
          <w:vertAlign w:val="superscript"/>
        </w:rPr>
        <w:t xml:space="preserve">,</w:t>
      </w:r>
      <w:r>
        <w:rPr>
          <w:rStyle w:val="FootnoteReference"/>
        </w:rPr>
        <w:footnoteReference w:id="256"/>
      </w:r>
      <w:r>
        <w:rPr>
          <w:rFonts w:ascii="Calibri" w:cs="Calibri" w:eastAsia="DengXian" w:hAnsi="Calibri"/>
          <w:b w:val="false"/>
          <w:bCs w:val="false"/>
          <w:color w:val="1F2328"/>
          <w:sz w:val="21"/>
          <w:szCs w:val="21"/>
        </w:rPr>
        <w:t xml:space="preserve">。美国国会研究处估计，7月美国对华平均关税约36.5%，中国对美约31%</w:t>
      </w:r>
      <w:r>
        <w:rPr>
          <w:rStyle w:val="FootnoteReference"/>
        </w:rPr>
        <w:footnoteReference w:id="257"/>
      </w:r>
      <w:r>
        <w:rPr>
          <w:rFonts w:ascii="Calibri" w:cs="Calibri" w:eastAsia="DengXian" w:hAnsi="Calibri"/>
          <w:b w:val="false"/>
          <w:bCs w:val="false"/>
          <w:color w:val="1F2328"/>
          <w:sz w:val="21"/>
          <w:szCs w:val="21"/>
        </w:rPr>
        <w:t xml:space="preserve">；美国针对"产能过剩"的301调查结果预计在数周内公布，传对华7.5%</w:t>
      </w:r>
      <w:r>
        <w:rPr>
          <w:rStyle w:val="FootnoteReference"/>
        </w:rPr>
        <w:footnoteReference w:id="258"/>
      </w:r>
      <w:r>
        <w:rPr>
          <w:rFonts w:ascii="Calibri" w:cs="Calibri" w:eastAsia="DengXian" w:hAnsi="Calibri"/>
          <w:b w:val="false"/>
          <w:bCs w:val="false"/>
          <w:color w:val="1F2328"/>
          <w:sz w:val="21"/>
          <w:szCs w:val="21"/>
        </w:rPr>
        <w:t xml:space="preserve">。技术上，中国限制采购英伟达H200以保护国产芯片需求</w:t>
      </w:r>
      <w:r>
        <w:rPr>
          <w:rStyle w:val="FootnoteReference"/>
        </w:rPr>
        <w:footnoteReference w:id="259"/>
      </w:r>
      <w:r>
        <w:rPr>
          <w:rFonts w:ascii="Calibri" w:cs="Calibri" w:eastAsia="DengXian" w:hAnsi="Calibri"/>
          <w:b w:val="false"/>
          <w:bCs w:val="false"/>
          <w:color w:val="1F2328"/>
          <w:sz w:val="21"/>
          <w:szCs w:val="21"/>
        </w:rPr>
        <w:t xml:space="preserve">。台海方面，约140亿美元的对台军售包到9月下旬仍被搁置</w:t>
      </w:r>
      <w:r>
        <w:rPr>
          <w:rStyle w:val="FootnoteReference"/>
        </w:rPr>
        <w:footnoteReference w:id="260"/>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全球背景：美国和以色列2月28日空袭伊朗，战争由此开始</w:t>
      </w:r>
      <w:r>
        <w:rPr>
          <w:rStyle w:val="FootnoteReference"/>
        </w:rPr>
        <w:footnoteReference w:id="261"/>
      </w:r>
      <w:r>
        <w:rPr>
          <w:rFonts w:ascii="Calibri" w:cs="Calibri" w:eastAsia="DengXian" w:hAnsi="Calibri"/>
          <w:b w:val="false"/>
          <w:bCs w:val="false"/>
          <w:color w:val="1F2328"/>
          <w:sz w:val="21"/>
          <w:szCs w:val="21"/>
        </w:rPr>
        <w:t xml:space="preserve">；10月霍尔木兹海峡仍有油轮遇袭</w:t>
      </w:r>
      <w:r>
        <w:rPr>
          <w:rStyle w:val="FootnoteReference"/>
        </w:rPr>
        <w:footnoteReference w:id="262"/>
      </w:r>
      <w:r>
        <w:rPr>
          <w:rFonts w:ascii="Calibri" w:cs="Calibri" w:eastAsia="DengXian" w:hAnsi="Calibri"/>
          <w:b w:val="false"/>
          <w:bCs w:val="false"/>
          <w:color w:val="1F2328"/>
          <w:sz w:val="21"/>
          <w:szCs w:val="21"/>
        </w:rPr>
        <w:t xml:space="preserve">。布伦特油价在空袭前约70美元，3月9日见顶约119.5美元，6月22日约79美元，7月下旬回到约100美元，8月27日约87美元，9月14日约107美元；10月1—8日没有确认的结算价，预测市场隐含约98—103美元</w:t>
      </w:r>
      <w:r>
        <w:rPr>
          <w:rStyle w:val="FootnoteReference"/>
        </w:rPr>
        <w:footnoteReference w:id="263"/>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r>
        <w:rPr>
          <w:rFonts w:ascii="Calibri" w:cs="Calibri" w:eastAsia="DengXian" w:hAnsi="Calibri"/>
          <w:b w:val="false"/>
          <w:bCs w:val="false"/>
          <w:color w:val="1F2328"/>
          <w:sz w:val="21"/>
          <w:szCs w:val="21"/>
        </w:rPr>
        <w:t xml:space="preserve">美联储9月16日以12比0加息25个基点到3.75%—4.00%，是2023年7月以来首次加息</w:t>
      </w:r>
      <w:r>
        <w:rPr>
          <w:rStyle w:val="FootnoteReference"/>
        </w:rPr>
        <w:footnoteReference w:id="264"/>
      </w:r>
      <w:r>
        <w:rPr>
          <w:rFonts w:ascii="Calibri" w:cs="Calibri" w:eastAsia="DengXian" w:hAnsi="Calibri"/>
          <w:b w:val="false"/>
          <w:bCs w:val="false"/>
          <w:color w:val="1F2328"/>
          <w:sz w:val="21"/>
          <w:szCs w:val="21"/>
        </w:rPr>
        <w:t xml:space="preserve">。美元指数约102</w:t>
      </w:r>
      <w:r>
        <w:rPr>
          <w:rStyle w:val="FootnoteReference"/>
        </w:rPr>
        <w:footnoteReference w:id="265"/>
      </w:r>
      <w:r>
        <w:rPr>
          <w:rFonts w:ascii="Calibri" w:cs="Calibri" w:eastAsia="DengXian" w:hAnsi="Calibri"/>
          <w:b w:val="false"/>
          <w:bCs w:val="false"/>
          <w:color w:val="1F2328"/>
          <w:sz w:val="21"/>
          <w:szCs w:val="21"/>
        </w:rPr>
        <w:t xml:space="preserve">。COMEX黄金2026年1月29日收于5318美元的纪录，10月5日约4157美元，比纪录低约22%</w:t>
      </w:r>
      <w:r>
        <w:rPr>
          <w:rStyle w:val="FootnoteReference"/>
        </w:rPr>
        <w:footnoteReference w:id="266"/>
      </w:r>
      <w:r>
        <w:rPr>
          <w:rFonts w:ascii="Calibri" w:cs="Calibri" w:eastAsia="DengXian" w:hAnsi="Calibri"/>
          <w:b w:val="false"/>
          <w:bCs w:val="false"/>
          <w:color w:val="1F2328"/>
          <w:sz w:val="21"/>
          <w:szCs w:val="21"/>
        </w:rPr>
        <w:t xml:space="preserve">。</w:t>
      </w:r>
      <w:r>
        <w:rPr>
          <w:rFonts w:ascii="Calibri" w:cs="Calibri" w:eastAsia="DengXian" w:hAnsi="Calibri"/>
          <w:b/>
          <w:bCs/>
          <w:color w:val="6B4E00"/>
          <w:sz w:val="18"/>
          <w:szCs w:val="18"/>
          <w:shd w:fill="F5E9C4" w:color="auto" w:val="clear"/>
        </w:rPr>
        <w:t xml:space="preserve"> 未核实 </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对中国的短周期来说，外部金融条件在收紧：美国加息，长端利率处在多年高位，油价约100美元。人民币在美元走强时仍在升值，说明它的强势来自经常账户顺差和出口商结汇</w:t>
      </w:r>
      <w:r>
        <w:rPr>
          <w:rStyle w:val="FootnoteReference"/>
        </w:rPr>
        <w:footnoteReference w:id="267"/>
      </w:r>
      <w:r>
        <w:rPr>
          <w:rFonts w:ascii="Calibri" w:cs="Calibri" w:eastAsia="DengXian" w:hAnsi="Calibri"/>
          <w:b w:val="false"/>
          <w:bCs w:val="false"/>
          <w:color w:val="1F2328"/>
          <w:sz w:val="21"/>
          <w:szCs w:val="21"/>
        </w:rPr>
        <w:t xml:space="preserve">，这对出口企业利润是一股温和的逆风。中国的行为也符合达利欧所说的"资本战争"逻辑：减持美债，连续增持黄金，扩大人民币跨境支付系统的使用（2026年3月日均处理约9205亿元，同比+20%</w:t>
      </w:r>
      <w:r>
        <w:rPr>
          <w:rStyle w:val="FootnoteReference"/>
        </w:rPr>
        <w:footnoteReference w:id="268"/>
      </w:r>
      <w:r>
        <w:rPr>
          <w:rFonts w:ascii="Calibri" w:cs="Calibri" w:eastAsia="DengXian" w:hAnsi="Calibri"/>
          <w:b w:val="false"/>
          <w:bCs w:val="false"/>
          <w:color w:val="1F2328"/>
          <w:sz w:val="21"/>
          <w:szCs w:val="21"/>
        </w:rPr>
        <w:t xml:space="preserve">）。达利欧10月6日说</w:t>
      </w:r>
      <w:r>
        <w:rPr>
          <w:rFonts w:ascii="Calibri" w:cs="Calibri" w:eastAsia="DengXian" w:hAnsi="Calibri"/>
          <w:b/>
          <w:bCs/>
          <w:color w:val="1F3A5F"/>
          <w:sz w:val="18"/>
          <w:szCs w:val="18"/>
          <w:shd w:fill="E2EAF4" w:color="auto" w:val="clear"/>
        </w:rPr>
        <w:t xml:space="preserve"> 原话 </w:t>
      </w:r>
      <w:r>
        <w:rPr>
          <w:rFonts w:ascii="Calibri" w:cs="Calibri" w:eastAsia="DengXian" w:hAnsi="Calibri"/>
          <w:b w:val="false"/>
          <w:bCs w:val="false"/>
          <w:color w:val="1F2328"/>
          <w:sz w:val="21"/>
          <w:szCs w:val="21"/>
        </w:rPr>
        <w:t xml:space="preserve">"The Chinese don't want to continue to accumulate."</w:t>
      </w:r>
      <w:r>
        <w:rPr>
          <w:rStyle w:val="FootnoteReference"/>
        </w:rPr>
        <w:footnoteReference w:id="269"/>
      </w:r>
    </w:p>
    <w:p>
      <w:pPr>
        <w:pStyle w:val="Heading2"/>
        <w:keepNext/>
        <w:spacing w:after="140" w:before="340"/>
      </w:pPr>
      <w:r>
        <w:rPr>
          <w:rFonts w:ascii="Calibri" w:cs="Calibri" w:eastAsia="Microsoft YaHei" w:hAnsi="Calibri"/>
          <w:b/>
          <w:bCs/>
          <w:color w:val="1F3A5F"/>
          <w:sz w:val="26"/>
          <w:szCs w:val="26"/>
        </w:rPr>
        <w:t xml:space="preserve">10.4 《国家为什么会破产》：中国处在第1—4阶段</w:t>
      </w:r>
    </w:p>
    <w:p>
      <w:pPr>
        <w:spacing w:after="140" w:line="340"/>
        <w:jc w:val="both"/>
      </w:pPr>
      <w:r>
        <w:rPr>
          <w:rFonts w:ascii="Calibri" w:cs="Calibri" w:eastAsia="DengXian" w:hAnsi="Calibri"/>
          <w:b/>
          <w:bCs/>
          <w:color w:val="111827"/>
          <w:sz w:val="21"/>
          <w:szCs w:val="21"/>
        </w:rPr>
        <w:t xml:space="preserve">框架（转述）。</w:t>
      </w:r>
      <w:r>
        <w:rPr>
          <w:rFonts w:ascii="Calibri" w:cs="Calibri" w:eastAsia="DengXian" w:hAnsi="Calibri"/>
          <w:b w:val="false"/>
          <w:bCs w:val="false"/>
          <w:color w:val="1F2328"/>
          <w:sz w:val="21"/>
          <w:szCs w:val="21"/>
        </w:rPr>
        <w:t xml:space="preserve"> 这本书（2025年）有两套阶段。第一部分把大债务周期概括为五个阶段：健全货币、债务泡沫、顶部、去杠杆、新均衡</w:t>
      </w:r>
      <w:r>
        <w:rPr>
          <w:rStyle w:val="FootnoteReference"/>
        </w:rPr>
        <w:footnoteReference w:id="270"/>
      </w:r>
      <w:r>
        <w:rPr>
          <w:rFonts w:ascii="Calibri" w:cs="Calibri" w:eastAsia="DengXian" w:hAnsi="Calibri"/>
          <w:b w:val="false"/>
          <w:bCs w:val="false"/>
          <w:color w:val="1F2328"/>
          <w:sz w:val="21"/>
          <w:szCs w:val="21"/>
        </w:rPr>
        <w:t xml:space="preserve">。第二部分把走向"国家破产"的过程分为九个阶段：第1—4阶段是私人部门和中央政府的债务危机；第5—6阶段危机转到央行，市场对国债的需求低于供给，央行被迫印钞买债并出现亏损；第7—9阶段是债务重组和货币贬值</w:t>
      </w:r>
      <w:r>
        <w:rPr>
          <w:rStyle w:val="FootnoteReference"/>
        </w:rPr>
        <w:footnoteReference w:id="271"/>
      </w:r>
      <w:r>
        <w:rPr>
          <w:rFonts w:ascii="Calibri" w:cs="Calibri" w:eastAsia="DengXian" w:hAnsi="Calibri"/>
          <w:color w:val="1F2328"/>
          <w:sz w:val="21"/>
          <w:szCs w:val="21"/>
          <w:vertAlign w:val="superscript"/>
        </w:rPr>
        <w:t xml:space="preserve">,</w:t>
      </w:r>
      <w:r>
        <w:rPr>
          <w:rStyle w:val="FootnoteReference"/>
        </w:rPr>
        <w:footnoteReference w:id="272"/>
      </w:r>
      <w:r>
        <w:rPr>
          <w:rFonts w:ascii="Calibri" w:cs="Calibri" w:eastAsia="DengXian" w:hAnsi="Calibri"/>
          <w:b w:val="false"/>
          <w:bCs w:val="false"/>
          <w:color w:val="1F2328"/>
          <w:sz w:val="21"/>
          <w:szCs w:val="21"/>
        </w:rPr>
        <w:t xml:space="preserve">。定位指标包括偿债支出相对政府收入、国债供给相对需求、央行是否被迫买债；市场信号包括长端收益率上升、本币对黄金走弱、发债期限缩短；私人债务下降而政府债务激增，是短期预警信号</w:t>
      </w:r>
      <w:r>
        <w:rPr>
          <w:rFonts w:ascii="Calibri" w:cs="Calibri" w:eastAsia="DengXian" w:hAnsi="Calibri"/>
          <w:b/>
          <w:bCs/>
          <w:color w:val="4B5563"/>
          <w:sz w:val="18"/>
          <w:szCs w:val="18"/>
          <w:shd w:fill="E9EBEE" w:color="auto" w:val="clear"/>
        </w:rPr>
        <w:t xml:space="preserve"> 转述 </w:t>
      </w:r>
      <w:r>
        <w:rPr>
          <w:rStyle w:val="FootnoteReference"/>
        </w:rPr>
        <w:footnoteReference w:id="273"/>
      </w:r>
      <w:r>
        <w:rPr>
          <w:rFonts w:ascii="Calibri" w:cs="Calibri" w:eastAsia="DengXian" w:hAnsi="Calibri"/>
          <w:b w:val="false"/>
          <w:bCs w:val="false"/>
          <w:color w:val="1F2328"/>
          <w:sz w:val="21"/>
          <w:szCs w:val="21"/>
        </w:rPr>
        <w:t xml:space="preserve">。书中的指标章对中国的评述是：债务规模大是风险，人民币计价和庞大的外汇储备是缓冲，人民币还没有成为被广泛依赖的储值货币，外资撤出削弱了缓冲；研究中没有找到明确的风险等级</w:t>
      </w:r>
      <w:r>
        <w:rPr>
          <w:rFonts w:ascii="Calibri" w:cs="Calibri" w:eastAsia="DengXian" w:hAnsi="Calibri"/>
          <w:b/>
          <w:bCs/>
          <w:color w:val="4B5563"/>
          <w:sz w:val="18"/>
          <w:szCs w:val="18"/>
          <w:shd w:fill="E9EBEE" w:color="auto" w:val="clear"/>
        </w:rPr>
        <w:t xml:space="preserve"> 转述 </w:t>
      </w:r>
      <w:r>
        <w:rPr>
          <w:rStyle w:val="FootnoteReference"/>
        </w:rPr>
        <w:footnoteReference w:id="274"/>
      </w:r>
      <w:r>
        <w:rPr>
          <w:rFonts w:ascii="Calibri" w:cs="Calibri" w:eastAsia="DengXian" w:hAnsi="Calibri"/>
          <w:b w:val="false"/>
          <w:bCs w:val="false"/>
          <w:color w:val="1F2328"/>
          <w:sz w:val="21"/>
          <w:szCs w:val="21"/>
        </w:rPr>
        <w:t xml:space="preserve">。</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28"/>
        <w:gridCol w:w="1717"/>
        <w:gridCol w:w="5967"/>
      </w:tblGrid>
      <w:tr>
        <w:trPr>
          <w:cantSplit/>
          <w:tblHeader/>
        </w:trPr>
        <w:tc>
          <w:tcPr>
            <w:tcW w:type="dxa" w:w="172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171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第5阶段应有的信号</w:t>
            </w:r>
          </w:p>
        </w:tc>
        <w:tc>
          <w:tcPr>
            <w:tcW w:type="dxa" w:w="596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中国现在（事实）</w:t>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长端收益率</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上升</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10年期1.675%，30年期约2.10%—2.13%，处在低位</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本币对美元</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走弱</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人民币年内升值约4.3%（至9月中旬），央行在放慢升值</w:t>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本币对黄金</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走弱</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8月CPI中金饰同比+33.6%</w:t>
            </w:r>
            <w:r>
              <w:rPr>
                <w:rStyle w:val="FootnoteReference"/>
              </w:rPr>
              <w:footnoteReference w:id="275"/>
            </w:r>
            <w:r>
              <w:rPr>
                <w:rFonts w:ascii="Calibri" w:cs="Calibri" w:eastAsia="DengXian" w:hAnsi="Calibri"/>
                <w:b w:val="false"/>
                <w:bCs w:val="false"/>
                <w:color w:val="1F2328"/>
                <w:sz w:val="18"/>
                <w:szCs w:val="18"/>
              </w:rPr>
              <w:t xml:space="preserve">；这是全球金价上涨的结果，美元同样对黄金走弱</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发债期限</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缩短</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2026年安排超长期特别国债1.3万亿元，期限在拉长</w:t>
            </w:r>
            <w:r>
              <w:rPr>
                <w:rStyle w:val="FootnoteReference"/>
              </w:rPr>
              <w:footnoteReference w:id="276"/>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央行买债</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被迫大量购买</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1—8月净买入约4000亿元，规模很小</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私人与政府债务</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私人下降，政府激增</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2026年一季度住户债务同比负增长；政府杠杆率升到71.0%；政府债占社融存量22.3%</w:t>
            </w:r>
          </w:p>
        </w:tc>
      </w:tr>
      <w:tr>
        <w:trPr>
          <w:cantSplit/>
        </w:trPr>
        <w:tc>
          <w:tcPr>
            <w:tcW w:type="dxa" w:w="172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地方财政</w:t>
            </w:r>
          </w:p>
        </w:tc>
        <w:tc>
          <w:tcPr>
            <w:tcW w:type="dxa" w:w="171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收入萎缩</w:t>
            </w:r>
          </w:p>
        </w:tc>
        <w:tc>
          <w:tcPr>
            <w:tcW w:type="dxa" w:w="596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1—8月土地出让收入−28.6%；隐性债务置换完成约98%；城投经营性债务约3万亿—5万亿元待处理</w:t>
            </w:r>
          </w:p>
        </w:tc>
      </w:tr>
      <w:tr>
        <w:trPr>
          <w:cantSplit/>
        </w:trPr>
        <w:tc>
          <w:tcPr>
            <w:tcW w:type="dxa" w:w="172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增广口径债务（IMF）</w:t>
            </w:r>
          </w:p>
        </w:tc>
        <w:tc>
          <w:tcPr>
            <w:tcW w:type="dxa" w:w="171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快速上升</w:t>
            </w:r>
          </w:p>
        </w:tc>
        <w:tc>
          <w:tcPr>
            <w:tcW w:type="dxa" w:w="596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2025年增广债务约占GDP的126.6%，增广赤字14.3%；预计2030年升到153.7%</w:t>
            </w:r>
            <w:r>
              <w:rPr>
                <w:rStyle w:val="FootnoteReference"/>
              </w:rPr>
              <w:footnoteReference w:id="277"/>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中国处在九阶段序列的第1—4阶段，具体是私人部门的债务问题正在转移到政府的资产负债表上；按第一部分的五阶段，处在第4阶段"去杠杆"。</w:t>
      </w:r>
      <w:r>
        <w:rPr>
          <w:rFonts w:ascii="Calibri" w:cs="Calibri" w:eastAsia="DengXian" w:hAnsi="Calibri"/>
          <w:b/>
          <w:bCs/>
          <w:color w:val="1E6B34"/>
          <w:sz w:val="18"/>
          <w:szCs w:val="18"/>
          <w:shd w:fill="E2F1E5" w:color="auto" w:val="clear"/>
        </w:rPr>
        <w:t xml:space="preserve"> 置信度 高 </w:t>
      </w:r>
      <w:r>
        <w:rPr>
          <w:rFonts w:ascii="Calibri" w:cs="Calibri" w:eastAsia="DengXian" w:hAnsi="Calibri"/>
          <w:b w:val="false"/>
          <w:bCs w:val="false"/>
          <w:color w:val="1F2328"/>
          <w:sz w:val="21"/>
          <w:szCs w:val="21"/>
        </w:rPr>
        <w:t xml:space="preserve">第5阶段的市场信号目前一个都没有出现，多数朝相反方向；出现的只有"私人下降、政府上升"这一条预警。评级机构的方向相同：惠誉在2025年4月把中国评级从A+下调到A</w:t>
      </w:r>
      <w:r>
        <w:rPr>
          <w:rStyle w:val="FootnoteReference"/>
        </w:rPr>
        <w:footnoteReference w:id="278"/>
      </w:r>
      <w:r>
        <w:rPr>
          <w:rFonts w:ascii="Calibri" w:cs="Calibri" w:eastAsia="DengXian" w:hAnsi="Calibri"/>
          <w:b w:val="false"/>
          <w:bCs w:val="false"/>
          <w:color w:val="1F2328"/>
          <w:sz w:val="21"/>
          <w:szCs w:val="21"/>
        </w:rPr>
        <w:t xml:space="preserve">；穆迪在2026年4月27日维持A1，把展望从负面调为稳定，并预计政府债务占GDP的比重从2025年的68.5%升到2027年的82.4%</w:t>
      </w:r>
      <w:r>
        <w:rPr>
          <w:rStyle w:val="FootnoteReference"/>
        </w:rPr>
        <w:footnoteReference w:id="279"/>
      </w:r>
      <w:r>
        <w:rPr>
          <w:rFonts w:ascii="Calibri" w:cs="Calibri" w:eastAsia="DengXian" w:hAnsi="Calibri"/>
          <w:b w:val="false"/>
          <w:bCs w:val="false"/>
          <w:color w:val="1F2328"/>
          <w:sz w:val="21"/>
          <w:szCs w:val="21"/>
        </w:rPr>
        <w:t xml:space="preserve">。外币债务危机的风险很低：债务以本币计价，经常账户持续顺差，外汇储备约3.4万亿美元。</w:t>
      </w:r>
    </w:p>
    <w:p>
      <w:pPr>
        <w:spacing w:after="140" w:line="340"/>
        <w:jc w:val="both"/>
      </w:pPr>
      <w:r>
        <w:rPr>
          <w:rFonts w:ascii="Calibri" w:cs="Calibri" w:eastAsia="DengXian" w:hAnsi="Calibri"/>
          <w:b w:val="false"/>
          <w:bCs w:val="false"/>
          <w:color w:val="1F2328"/>
          <w:sz w:val="21"/>
          <w:szCs w:val="21"/>
        </w:rPr>
        <w:t xml:space="preserve">未来两三年走到第5阶段的概率低于10%。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依据是第5阶段的主要市场信号目前没有一个出现，国内储蓄充足，银行对国债的需求稳定。需要盯住的早期信号是：通缩回归时长端收益率反而上升；四季度超过8200亿元的专项债供给能否被顺利吸收。</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11 日本类比：只保留一个可检验的机制</w:t>
      </w:r>
    </w:p>
    <w:tbl>
      <w:tblPr>
        <w:tblW w:type="dxa" w:w="94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412"/>
      </w:tblGrid>
      <w:tr>
        <w:trPr>
          <w:cantSplit/>
        </w:trPr>
        <w:tc>
          <w:tcPr>
            <w:tcW w:type="dxa" w:w="9412"/>
            <w:tcBorders>
              <w:top w:val="none" w:color="FFFFFF" w:sz="0"/>
              <w:left w:val="single" w:color="D97706" w:sz="24"/>
              <w:bottom w:val="none" w:color="FFFFFF" w:sz="0"/>
              <w:right w:val="none" w:color="FFFFFF" w:sz="0"/>
            </w:tcBorders>
            <w:shd w:fill="FFF6EB" w:color="auto" w:val="clear"/>
            <w:tcMar>
              <w:top w:type="dxa" w:w="150"/>
              <w:left w:type="dxa" w:w="240"/>
              <w:bottom w:type="dxa" w:w="150"/>
              <w:right w:type="dxa" w:w="240"/>
            </w:tcMar>
          </w:tcPr>
          <w:p>
            <w:pPr>
              <w:spacing w:after="80"/>
            </w:pPr>
            <w:r>
              <w:rPr>
                <w:rFonts w:ascii="Calibri" w:cs="Calibri" w:eastAsia="Microsoft YaHei" w:hAnsi="Calibri"/>
                <w:b/>
                <w:bCs/>
                <w:color w:val="B45309"/>
                <w:sz w:val="22"/>
                <w:szCs w:val="22"/>
              </w:rPr>
              <w:t xml:space="preserve">更正</w:t>
            </w:r>
          </w:p>
          <w:p>
            <w:pPr>
              <w:spacing w:after="0" w:line="330"/>
              <w:jc w:val="both"/>
            </w:pPr>
            <w:r>
              <w:rPr>
                <w:rFonts w:ascii="Calibri" w:cs="Calibri" w:eastAsia="DengXian" w:hAnsi="Calibri"/>
                <w:b w:val="false"/>
                <w:bCs w:val="false"/>
                <w:color w:val="1F2328"/>
                <w:sz w:val="21"/>
                <w:szCs w:val="21"/>
              </w:rPr>
              <w:t xml:space="preserve">第1版把中国2026年对应到日本1996—97年。这种分指标对位可以被事后任意解释：通胀低就说像日本，没有出现危机就说中国的银行体制不同，可证伪性弱。本版只保留一个可以检验的机制：短暂的价格回升被当成复苏，支持政策提前退出，随后名义增长重新下滑。具体对应日本哪一年，只作描述，不作时间表。</w:t>
            </w:r>
          </w:p>
        </w:tc>
      </w:tr>
    </w:tbl>
    <w:p>
      <w:pPr>
        <w:spacing w:after="140"/>
      </w:pPr>
    </w:p>
    <w:p>
      <w:pPr>
        <w:pStyle w:val="Heading2"/>
        <w:keepNext/>
        <w:spacing w:after="140" w:before="340"/>
      </w:pPr>
      <w:r>
        <w:rPr>
          <w:rFonts w:ascii="Calibri" w:cs="Calibri" w:eastAsia="Microsoft YaHei" w:hAnsi="Calibri"/>
          <w:b/>
          <w:bCs/>
          <w:color w:val="1F3A5F"/>
          <w:sz w:val="26"/>
          <w:szCs w:val="26"/>
        </w:rPr>
        <w:t xml:space="preserve">11.1 分指标对位（仅作描述）</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32"/>
        <w:gridCol w:w="3000"/>
        <w:gridCol w:w="3164"/>
        <w:gridCol w:w="1516"/>
      </w:tblGrid>
      <w:tr>
        <w:trPr>
          <w:cantSplit/>
          <w:tblHeader/>
        </w:trPr>
        <w:tc>
          <w:tcPr>
            <w:tcW w:type="dxa" w:w="173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指标</w:t>
            </w:r>
          </w:p>
        </w:tc>
        <w:tc>
          <w:tcPr>
            <w:tcW w:type="dxa" w:w="300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中国2026年</w:t>
            </w:r>
          </w:p>
        </w:tc>
        <w:tc>
          <w:tcPr>
            <w:tcW w:type="dxa" w:w="316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日本</w:t>
            </w:r>
          </w:p>
        </w:tc>
        <w:tc>
          <w:tcPr>
            <w:tcW w:type="dxa" w:w="151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最接近的日本年份</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距地产峰值的年数</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5年（2021→2026）</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地价1991年见顶</w:t>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1996年</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房价累计跌幅</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约20%—22%（标普、高盛）</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最终约67%</w:t>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1990年代前中期</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1.675%（2026年9月30日）</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1997年10月创下1.605%的低点；1996年9月约2.9%</w:t>
            </w:r>
            <w:r>
              <w:rPr>
                <w:rStyle w:val="FootnoteReference"/>
              </w:rPr>
              <w:footnoteReference w:id="280"/>
            </w:r>
            <w:r>
              <w:rPr>
                <w:rFonts w:ascii="Calibri" w:cs="Calibri" w:eastAsia="DengXian" w:hAnsi="Calibri"/>
                <w:color w:val="1F2328"/>
                <w:sz w:val="18"/>
                <w:szCs w:val="18"/>
                <w:vertAlign w:val="superscript"/>
              </w:rPr>
              <w:t xml:space="preserve">,</w:t>
            </w:r>
            <w:r>
              <w:rPr>
                <w:rStyle w:val="FootnoteReference"/>
              </w:rPr>
              <w:footnoteReference w:id="281"/>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1997年四季度</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平减指数</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连续12个季度为负后，二季度转正</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1994年三季度起为负，只在1997财年因消费税上调短暂转正</w:t>
            </w:r>
            <w:r>
              <w:rPr>
                <w:rStyle w:val="FootnoteReference"/>
              </w:rPr>
              <w:footnoteReference w:id="282"/>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1997财年</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CPI</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8月0.8%，核心1.0%</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1995年约−0.1%；1998年7月起转负</w:t>
            </w:r>
            <w:r>
              <w:rPr>
                <w:rStyle w:val="FootnoteReference"/>
              </w:rPr>
              <w:footnoteReference w:id="283"/>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1995—97年</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政策利率</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7天逆回购1.40%，LPR连续16个月不变</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官方贴现率1995年9月降到0.5%</w:t>
            </w:r>
            <w:r>
              <w:rPr>
                <w:rStyle w:val="FootnoteReference"/>
              </w:rPr>
              <w:footnoteReference w:id="284"/>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方向上约1995—96年</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股市</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上证综指5月创2015年以来新高，之后回落约10%</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日经从1995年低点涨到1996年高点约56%，之后再创新低</w:t>
            </w:r>
            <w:r>
              <w:rPr>
                <w:rStyle w:val="FootnoteReference"/>
              </w:rPr>
              <w:footnoteReference w:id="285"/>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1996年</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w:t>
            </w:r>
          </w:p>
        </w:tc>
        <w:tc>
          <w:tcPr>
            <w:tcW w:type="dxa" w:w="300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不良率1.52%，没有系统性倒闭</w:t>
            </w:r>
          </w:p>
        </w:tc>
        <w:tc>
          <w:tcPr>
            <w:tcW w:type="dxa" w:w="316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1997年11月北海道拓殖银行、山一证券倒闭</w:t>
            </w:r>
            <w:r>
              <w:rPr>
                <w:rStyle w:val="FootnoteReference"/>
              </w:rPr>
              <w:footnoteReference w:id="286"/>
            </w:r>
          </w:p>
        </w:tc>
        <w:tc>
          <w:tcPr>
            <w:tcW w:type="dxa" w:w="151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早于1997年11月</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财政</w:t>
            </w:r>
          </w:p>
        </w:tc>
        <w:tc>
          <w:tcPr>
            <w:tcW w:type="dxa" w:w="300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2026年新增政府债务与2025年基本持平</w:t>
            </w:r>
          </w:p>
        </w:tc>
        <w:tc>
          <w:tcPr>
            <w:tcW w:type="dxa" w:w="316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1996财年没有出台经济对策；1997财年上调消费税</w:t>
            </w:r>
            <w:r>
              <w:rPr>
                <w:rStyle w:val="FootnoteReference"/>
              </w:rPr>
              <w:footnoteReference w:id="287"/>
            </w:r>
          </w:p>
        </w:tc>
        <w:tc>
          <w:tcPr>
            <w:tcW w:type="dxa" w:w="151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1996—97年</w:t>
            </w:r>
          </w:p>
        </w:tc>
      </w:tr>
    </w:tbl>
    <w:p>
      <w:pPr>
        <w:spacing w:after="120"/>
      </w:pPr>
    </w:p>
    <w:p>
      <w:pPr>
        <w:pStyle w:val="Heading2"/>
        <w:keepNext/>
        <w:spacing w:after="140" w:before="340"/>
      </w:pPr>
      <w:r>
        <w:rPr>
          <w:rFonts w:ascii="Calibri" w:cs="Calibri" w:eastAsia="Microsoft YaHei" w:hAnsi="Calibri"/>
          <w:b/>
          <w:bCs/>
          <w:color w:val="1F3A5F"/>
          <w:sz w:val="26"/>
          <w:szCs w:val="26"/>
        </w:rPr>
        <w:t xml:space="preserve">11.2 日本1996—98年发生了什么</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日经指数从1995年的低点14485点涨到1996年的高点22667点，涨幅约56%</w:t>
      </w:r>
      <w:r>
        <w:rPr>
          <w:rStyle w:val="FootnoteReference"/>
        </w:rPr>
        <w:footnoteReference w:id="288"/>
      </w:r>
      <w:r>
        <w:rPr>
          <w:rFonts w:ascii="Calibri" w:cs="Calibri" w:eastAsia="DengXian" w:hAnsi="Calibri"/>
          <w:b w:val="false"/>
          <w:bCs w:val="false"/>
          <w:color w:val="1F2328"/>
          <w:sz w:val="21"/>
          <w:szCs w:val="21"/>
        </w:rPr>
        <w:t xml:space="preserve">。反弹之后，政策没有继续加码：1992—1999财年日本出台了约10个经济对策，1996财年一个也没有</w:t>
      </w:r>
      <w:r>
        <w:rPr>
          <w:rStyle w:val="FootnoteReference"/>
        </w:rPr>
        <w:footnoteReference w:id="289"/>
      </w:r>
      <w:r>
        <w:rPr>
          <w:rFonts w:ascii="Calibri" w:cs="Calibri" w:eastAsia="DengXian" w:hAnsi="Calibri"/>
          <w:b w:val="false"/>
          <w:bCs w:val="false"/>
          <w:color w:val="1F2328"/>
          <w:sz w:val="21"/>
          <w:szCs w:val="21"/>
        </w:rPr>
        <w:t xml:space="preserve">。1997财年上调消费税，平减指数因此短暂转正，这是1994年三季度到2000年代初唯一的正值年份</w:t>
      </w:r>
      <w:r>
        <w:rPr>
          <w:rStyle w:val="FootnoteReference"/>
        </w:rPr>
        <w:footnoteReference w:id="290"/>
      </w:r>
      <w:r>
        <w:rPr>
          <w:rFonts w:ascii="Calibri" w:cs="Calibri" w:eastAsia="DengXian" w:hAnsi="Calibri"/>
          <w:b w:val="false"/>
          <w:bCs w:val="false"/>
          <w:color w:val="1F2328"/>
          <w:sz w:val="21"/>
          <w:szCs w:val="21"/>
        </w:rPr>
        <w:t xml:space="preserve">。1997年11月，北海道拓殖银行和山一证券相继倒闭；1998年，日本长期信用银行和日本债券信用银行被国有化；10年期国债收益率在1998年跌破1%；CPI从1998年7月起转负</w:t>
      </w:r>
      <w:r>
        <w:rPr>
          <w:rStyle w:val="FootnoteReference"/>
        </w:rPr>
        <w:footnoteReference w:id="291"/>
      </w:r>
      <w:r>
        <w:rPr>
          <w:rFonts w:ascii="Calibri" w:cs="Calibri" w:eastAsia="DengXian" w:hAnsi="Calibri"/>
          <w:color w:val="1F2328"/>
          <w:sz w:val="21"/>
          <w:szCs w:val="21"/>
          <w:vertAlign w:val="superscript"/>
        </w:rPr>
        <w:t xml:space="preserve">,</w:t>
      </w:r>
      <w:r>
        <w:rPr>
          <w:rStyle w:val="FootnoteReference"/>
        </w:rPr>
        <w:footnoteReference w:id="292"/>
      </w:r>
      <w:r>
        <w:rPr>
          <w:rFonts w:ascii="Calibri" w:cs="Calibri" w:eastAsia="DengXian" w:hAnsi="Calibri"/>
          <w:b w:val="false"/>
          <w:bCs w:val="false"/>
          <w:color w:val="1F2328"/>
          <w:sz w:val="21"/>
          <w:szCs w:val="21"/>
        </w:rPr>
        <w:t xml:space="preserve">。名义GDP在1997年四季度达到536.6万亿日元的峰值，直到2015—16年才回到这一水平</w:t>
      </w:r>
      <w:r>
        <w:rPr>
          <w:rStyle w:val="FootnoteReference"/>
        </w:rPr>
        <w:footnoteReference w:id="293"/>
      </w:r>
      <w:r>
        <w:rPr>
          <w:rFonts w:ascii="Calibri" w:cs="Calibri" w:eastAsia="DengXian" w:hAnsi="Calibri"/>
          <w:b w:val="false"/>
          <w:bCs w:val="false"/>
          <w:color w:val="1F2328"/>
          <w:sz w:val="21"/>
          <w:szCs w:val="21"/>
        </w:rPr>
        <w:t xml:space="preserve">。公共资金最终实际投入约38万亿日元</w:t>
      </w:r>
      <w:r>
        <w:rPr>
          <w:rStyle w:val="FootnoteReference"/>
        </w:rPr>
        <w:footnoteReference w:id="294"/>
      </w:r>
      <w:r>
        <w:rPr>
          <w:rFonts w:ascii="Calibri" w:cs="Calibri" w:eastAsia="DengXian" w:hAnsi="Calibri"/>
          <w:b w:val="false"/>
          <w:bCs w:val="false"/>
          <w:color w:val="1F2328"/>
          <w:sz w:val="21"/>
          <w:szCs w:val="21"/>
        </w:rPr>
        <w:t xml:space="preserve">。</w:t>
      </w:r>
    </w:p>
    <w:p>
      <w:pPr>
        <w:pStyle w:val="Heading2"/>
        <w:keepNext/>
        <w:spacing w:after="140" w:before="340"/>
      </w:pPr>
      <w:r>
        <w:rPr>
          <w:rFonts w:ascii="Calibri" w:cs="Calibri" w:eastAsia="Microsoft YaHei" w:hAnsi="Calibri"/>
          <w:b/>
          <w:bCs/>
          <w:color w:val="1F3A5F"/>
          <w:sz w:val="26"/>
          <w:szCs w:val="26"/>
        </w:rPr>
        <w:t xml:space="preserve">11.3 中国有没有同样的风险</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支持"风险存在"的证据：7月30日政治局会议要求"用足用好存量政策、及时推出务实管用的增量政策"，没有推出大规模刺激</w:t>
      </w:r>
      <w:r>
        <w:rPr>
          <w:rStyle w:val="FootnoteReference"/>
        </w:rPr>
        <w:footnoteReference w:id="295"/>
      </w:r>
      <w:r>
        <w:rPr>
          <w:rFonts w:ascii="Calibri" w:cs="Calibri" w:eastAsia="DengXian" w:hAnsi="Calibri"/>
          <w:color w:val="1F2328"/>
          <w:sz w:val="21"/>
          <w:szCs w:val="21"/>
          <w:vertAlign w:val="superscript"/>
        </w:rPr>
        <w:t xml:space="preserve">,</w:t>
      </w:r>
      <w:r>
        <w:rPr>
          <w:rStyle w:val="FootnoteReference"/>
        </w:rPr>
        <w:footnoteReference w:id="296"/>
      </w:r>
      <w:r>
        <w:rPr>
          <w:rFonts w:ascii="Calibri" w:cs="Calibri" w:eastAsia="DengXian" w:hAnsi="Calibri"/>
          <w:b w:val="false"/>
          <w:bCs w:val="false"/>
          <w:color w:val="1F2328"/>
          <w:sz w:val="21"/>
          <w:szCs w:val="21"/>
        </w:rPr>
        <w:t xml:space="preserve">；LPR连续16个月不变，2026年没有降准；央行国债净买入从1月的1000亿元降到6月的100亿元</w:t>
      </w:r>
      <w:r>
        <w:rPr>
          <w:rStyle w:val="FootnoteReference"/>
        </w:rPr>
        <w:footnoteReference w:id="297"/>
      </w:r>
      <w:r>
        <w:rPr>
          <w:rFonts w:ascii="Calibri" w:cs="Calibri" w:eastAsia="DengXian" w:hAnsi="Calibri"/>
          <w:b w:val="false"/>
          <w:bCs w:val="false"/>
          <w:color w:val="1F2328"/>
          <w:sz w:val="21"/>
          <w:szCs w:val="21"/>
        </w:rPr>
        <w:t xml:space="preserve">；2026年新增政府债务11.89万亿元，只比2025年多约300亿元</w:t>
      </w:r>
      <w:r>
        <w:rPr>
          <w:rStyle w:val="FootnoteReference"/>
        </w:rPr>
        <w:footnoteReference w:id="298"/>
      </w:r>
      <w:r>
        <w:rPr>
          <w:rFonts w:ascii="Calibri" w:cs="Calibri" w:eastAsia="DengXian" w:hAnsi="Calibri"/>
          <w:b w:val="false"/>
          <w:bCs w:val="false"/>
          <w:color w:val="1F2328"/>
          <w:sz w:val="21"/>
          <w:szCs w:val="21"/>
        </w:rPr>
        <w:t xml:space="preserve">；IMF的基线估计是2026年财政立场比2025年收紧约0.3个百分点，它建议的是放松约0.5个百分点</w:t>
      </w:r>
      <w:r>
        <w:rPr>
          <w:rStyle w:val="FootnoteReference"/>
        </w:rPr>
        <w:footnoteReference w:id="299"/>
      </w:r>
      <w:r>
        <w:rPr>
          <w:rFonts w:ascii="Calibri" w:cs="Calibri" w:eastAsia="DengXian" w:hAnsi="Calibri"/>
          <w:b w:val="false"/>
          <w:bCs w:val="false"/>
          <w:color w:val="1F2328"/>
          <w:sz w:val="21"/>
          <w:szCs w:val="21"/>
        </w:rPr>
        <w:t xml:space="preserve">；以旧换新资金从3000亿元降到2500亿元</w:t>
      </w:r>
      <w:r>
        <w:rPr>
          <w:rStyle w:val="FootnoteReference"/>
        </w:rPr>
        <w:footnoteReference w:id="300"/>
      </w:r>
      <w:r>
        <w:rPr>
          <w:rFonts w:ascii="Calibri" w:cs="Calibri" w:eastAsia="DengXian" w:hAnsi="Calibri"/>
          <w:b w:val="false"/>
          <w:bCs w:val="false"/>
          <w:color w:val="1F2328"/>
          <w:sz w:val="21"/>
          <w:szCs w:val="21"/>
        </w:rPr>
        <w:t xml:space="preserve">。体制内也有人把价格数据读成复苏：国家发改委宏观经济研究院的孙学工在7月表示，平减指数转正后企业利润和预期将改善</w:t>
      </w:r>
      <w:r>
        <w:rPr>
          <w:rStyle w:val="FootnoteReference"/>
        </w:rPr>
        <w:footnoteReference w:id="301"/>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反方证据是9月下旬的一组措施：PSL降息、再贷款扩容、中央财政首次贴息房贷、3000亿元特别国债注资金融机构、8000亿元新型政策性金融工具，四季度地方专项债发行可能超过8200亿元，是近五年最大的单季</w:t>
      </w:r>
      <w:r>
        <w:rPr>
          <w:rStyle w:val="FootnoteReference"/>
        </w:rPr>
        <w:footnoteReference w:id="302"/>
      </w:r>
      <w:r>
        <w:rPr>
          <w:rFonts w:ascii="Calibri" w:cs="Calibri" w:eastAsia="DengXian" w:hAnsi="Calibri"/>
          <w:b w:val="false"/>
          <w:bCs w:val="false"/>
          <w:color w:val="1F2328"/>
          <w:sz w:val="21"/>
          <w:szCs w:val="21"/>
        </w:rPr>
        <w:t xml:space="preserve">。彭博称这是约两年来力度最大、范围较窄的一次刺激，市场反应平淡</w:t>
      </w:r>
      <w:r>
        <w:rPr>
          <w:rStyle w:val="FootnoteReference"/>
        </w:rPr>
        <w:footnoteReference w:id="303"/>
      </w:r>
      <w:r>
        <w:rPr>
          <w:rFonts w:ascii="Calibri" w:cs="Calibri" w:eastAsia="DengXian" w:hAnsi="Calibri"/>
          <w:b w:val="false"/>
          <w:bCs w:val="false"/>
          <w:color w:val="1F2328"/>
          <w:sz w:val="21"/>
          <w:szCs w:val="21"/>
        </w:rPr>
        <w:t xml:space="preserve">。余永定在9月19日警告，扩张政策的时机不能错过</w:t>
      </w:r>
      <w:r>
        <w:rPr>
          <w:rFonts w:ascii="Calibri" w:cs="Calibri" w:eastAsia="DengXian" w:hAnsi="Calibri"/>
          <w:b/>
          <w:bCs/>
          <w:color w:val="4B5563"/>
          <w:sz w:val="18"/>
          <w:szCs w:val="18"/>
          <w:shd w:fill="E9EBEE" w:color="auto" w:val="clear"/>
        </w:rPr>
        <w:t xml:space="preserve"> 转述 </w:t>
      </w:r>
      <w:r>
        <w:rPr>
          <w:rStyle w:val="FootnoteReference"/>
        </w:rPr>
        <w:footnoteReference w:id="304"/>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风险存在，而且已经部分出现，形式比日本温和：政策层没有主动收紧，它停止了加码，同时私人部门在收缩。</w:t>
      </w:r>
      <w:r>
        <w:rPr>
          <w:rFonts w:ascii="Calibri" w:cs="Calibri" w:eastAsia="DengXian" w:hAnsi="Calibri"/>
          <w:b/>
          <w:bCs/>
          <w:color w:val="8A5A00"/>
          <w:sz w:val="18"/>
          <w:szCs w:val="18"/>
          <w:shd w:fill="FFF0C7" w:color="auto" w:val="clear"/>
        </w:rPr>
        <w:t xml:space="preserve"> 置信度 中 </w:t>
      </w:r>
      <w:r>
        <w:rPr>
          <w:rFonts w:ascii="Calibri" w:cs="Calibri" w:eastAsia="DengXian" w:hAnsi="Calibri"/>
          <w:b w:val="false"/>
          <w:bCs w:val="false"/>
          <w:color w:val="1F2328"/>
          <w:sz w:val="21"/>
          <w:szCs w:val="21"/>
        </w:rPr>
        <w:t xml:space="preserve">检验方法：观察2027年上半年的政策力度，以及之后两三个季度的名义增长。如果价格回落时政策同步加码，名义增长守住5%左右，这个风险就没有兑现。</w:t>
      </w:r>
    </w:p>
    <w:p>
      <w:pPr>
        <w:pStyle w:val="Heading2"/>
        <w:keepNext/>
        <w:spacing w:after="140" w:before="340"/>
      </w:pPr>
      <w:r>
        <w:rPr>
          <w:rFonts w:ascii="Calibri" w:cs="Calibri" w:eastAsia="Microsoft YaHei" w:hAnsi="Calibri"/>
          <w:b/>
          <w:bCs/>
          <w:color w:val="1F3A5F"/>
          <w:sz w:val="26"/>
          <w:szCs w:val="26"/>
        </w:rPr>
        <w:t xml:space="preserve">11.4 系统性银行危机的概率：以基准率为依据</w:t>
      </w:r>
    </w:p>
    <w:p>
      <w:pPr>
        <w:spacing w:after="140" w:line="340"/>
        <w:jc w:val="both"/>
      </w:pPr>
      <w:r>
        <w:rPr>
          <w:rFonts w:ascii="Calibri" w:cs="Calibri" w:eastAsia="DengXian" w:hAnsi="Calibri"/>
          <w:b/>
          <w:bCs/>
          <w:color w:val="1F3A5F"/>
          <w:sz w:val="18"/>
          <w:szCs w:val="18"/>
          <w:shd w:fill="E2EAF4" w:color="auto" w:val="clear"/>
        </w:rPr>
        <w:t xml:space="preserve"> 事实 </w:t>
      </w:r>
      <w:r>
        <w:rPr>
          <w:rFonts w:ascii="Calibri" w:cs="Calibri" w:eastAsia="DengXian" w:hAnsi="Calibri"/>
          <w:b w:val="false"/>
          <w:bCs w:val="false"/>
          <w:color w:val="1F2328"/>
          <w:sz w:val="21"/>
          <w:szCs w:val="21"/>
        </w:rPr>
        <w:t xml:space="preserve">IMF的Laeven和Valencia统计，1970—2017年全球共发生151次系统性银行危机</w:t>
      </w:r>
      <w:r>
        <w:rPr>
          <w:rStyle w:val="FootnoteReference"/>
        </w:rPr>
        <w:footnoteReference w:id="305"/>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bCs/>
          <w:color w:val="4B5563"/>
          <w:sz w:val="18"/>
          <w:szCs w:val="18"/>
          <w:shd w:fill="E9EBEE" w:color="auto" w:val="clear"/>
        </w:rPr>
        <w:t xml:space="preserve"> 估算 </w:t>
      </w:r>
      <w:r>
        <w:rPr>
          <w:rFonts w:ascii="Calibri" w:cs="Calibri" w:eastAsia="DengXian" w:hAnsi="Calibri"/>
          <w:b w:val="false"/>
          <w:bCs w:val="false"/>
          <w:color w:val="1F2328"/>
          <w:sz w:val="21"/>
          <w:szCs w:val="21"/>
        </w:rPr>
        <w:t xml:space="preserve">按数据库覆盖的国家和年数推算，平均每个国家每年发生系统性银行危机的概率约1%—2%。房地产崩盘会抬高这个概率。中国的几个因素会压低它：银行体系以国有为主；1—8月人民币存款增加18.99万亿元</w:t>
      </w:r>
      <w:r>
        <w:rPr>
          <w:rStyle w:val="FootnoteReference"/>
        </w:rPr>
        <w:footnoteReference w:id="306"/>
      </w:r>
      <w:r>
        <w:rPr>
          <w:rFonts w:ascii="Calibri" w:cs="Calibri" w:eastAsia="DengXian" w:hAnsi="Calibri"/>
          <w:b w:val="false"/>
          <w:bCs w:val="false"/>
          <w:color w:val="1F2328"/>
          <w:sz w:val="21"/>
          <w:szCs w:val="21"/>
        </w:rPr>
        <w:t xml:space="preserve">；商业银行不良率1.52%，拨备覆盖率202.87%</w:t>
      </w:r>
      <w:r>
        <w:rPr>
          <w:rStyle w:val="FootnoteReference"/>
        </w:rPr>
        <w:footnoteReference w:id="307"/>
      </w:r>
      <w:r>
        <w:rPr>
          <w:rFonts w:ascii="Calibri" w:cs="Calibri" w:eastAsia="DengXian" w:hAnsi="Calibri"/>
          <w:b w:val="false"/>
          <w:bCs w:val="false"/>
          <w:color w:val="1F2328"/>
          <w:sz w:val="21"/>
          <w:szCs w:val="21"/>
        </w:rPr>
        <w:t xml:space="preserve">；国家正在向金融机构注资；债务以本币计价且主要由境内持有；资本管制限制了资金外逃。</w:t>
      </w: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未来12个月发生系统性银行危机的概率处在个位数低位。</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这个数字的作用是比较风险的大小：长期低增长的概率远高于突然发生银行危机的概率。</w:t>
      </w:r>
    </w:p>
    <w:p>
      <w:pPr>
        <w:pStyle w:val="Heading2"/>
        <w:keepNext/>
        <w:spacing w:after="140" w:before="340"/>
      </w:pPr>
      <w:r>
        <w:rPr>
          <w:rFonts w:ascii="Calibri" w:cs="Calibri" w:eastAsia="Microsoft YaHei" w:hAnsi="Calibri"/>
          <w:b/>
          <w:bCs/>
          <w:color w:val="1F3A5F"/>
          <w:sz w:val="26"/>
          <w:szCs w:val="26"/>
        </w:rPr>
        <w:t xml:space="preserve">11.5 关键差异</w:t>
      </w:r>
    </w:p>
    <w:p>
      <w:pPr>
        <w:spacing w:after="140" w:line="340"/>
        <w:jc w:val="both"/>
      </w:pPr>
      <w:r>
        <w:rPr>
          <w:rFonts w:ascii="Calibri" w:cs="Calibri" w:eastAsia="DengXian" w:hAnsi="Calibri"/>
          <w:b w:val="false"/>
          <w:bCs w:val="false"/>
          <w:color w:val="1F2328"/>
          <w:sz w:val="21"/>
          <w:szCs w:val="21"/>
        </w:rPr>
        <w:t xml:space="preserve">第一，银行和土地。中国的银行体系以国有为主，土地归国家所有；斯坦福的研究认为，国有金融体系至今避免了日本式的银行倒闭</w:t>
      </w:r>
      <w:r>
        <w:rPr>
          <w:rStyle w:val="FootnoteReference"/>
        </w:rPr>
        <w:footnoteReference w:id="308"/>
      </w:r>
      <w:r>
        <w:rPr>
          <w:rFonts w:ascii="Calibri" w:cs="Calibri" w:eastAsia="DengXian" w:hAnsi="Calibri"/>
          <w:b w:val="false"/>
          <w:bCs w:val="false"/>
          <w:color w:val="1F2328"/>
          <w:sz w:val="21"/>
          <w:szCs w:val="21"/>
        </w:rPr>
        <w:t xml:space="preserve">。第二，资本管制让居民和企业难以大规模把储蓄转到境外，国内储蓄因此留在本币资产里，这是国债收益率能停在低位的条件之一</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。第三，中国是净债权国，经常账户持续顺差。第四，债务以本币计价且主要由境内持有，达利欧在2023年正是据此认为中国的债务清理比其他国家容易</w:t>
      </w:r>
      <w:r>
        <w:rPr>
          <w:rFonts w:ascii="Calibri" w:cs="Calibri" w:eastAsia="DengXian" w:hAnsi="Calibri"/>
          <w:b/>
          <w:bCs/>
          <w:color w:val="4B5563"/>
          <w:sz w:val="18"/>
          <w:szCs w:val="18"/>
          <w:shd w:fill="E9EBEE" w:color="auto" w:val="clear"/>
        </w:rPr>
        <w:t xml:space="preserve"> 转述 </w:t>
      </w:r>
      <w:r>
        <w:rPr>
          <w:rStyle w:val="FootnoteReference"/>
        </w:rPr>
        <w:footnoteReference w:id="309"/>
      </w:r>
      <w:r>
        <w:rPr>
          <w:rFonts w:ascii="Calibri" w:cs="Calibri" w:eastAsia="DengXian" w:hAnsi="Calibri"/>
          <w:b w:val="false"/>
          <w:bCs w:val="false"/>
          <w:color w:val="1F2328"/>
          <w:sz w:val="21"/>
          <w:szCs w:val="21"/>
        </w:rPr>
        <w:t xml:space="preserve">。</w:t>
      </w:r>
    </w:p>
    <w:p>
      <w:pPr>
        <w:spacing w:after="140" w:line="340"/>
        <w:jc w:val="both"/>
      </w:pPr>
      <w:r>
        <w:rPr>
          <w:rFonts w:ascii="Calibri" w:cs="Calibri" w:eastAsia="DengXian" w:hAnsi="Calibri"/>
          <w:b w:val="false"/>
          <w:bCs w:val="false"/>
          <w:color w:val="1F2328"/>
          <w:sz w:val="21"/>
          <w:szCs w:val="21"/>
        </w:rPr>
        <w:t xml:space="preserve">这些差异降低了危机的概率，不会缩短调整的时间。罗格夫和杨的研究发现，日本1990年代的银行大体维持了信贷供给，持续的产出损失主要通过投资、消费和信心传导，中国正在出现类似的模式</w:t>
      </w:r>
      <w:r>
        <w:rPr>
          <w:rStyle w:val="FootnoteReference"/>
        </w:rPr>
        <w:footnoteReference w:id="310"/>
      </w:r>
      <w:r>
        <w:rPr>
          <w:rFonts w:ascii="Calibri" w:cs="Calibri" w:eastAsia="DengXian" w:hAnsi="Calibri"/>
          <w:b w:val="false"/>
          <w:bCs w:val="false"/>
          <w:color w:val="1F2328"/>
          <w:sz w:val="21"/>
          <w:szCs w:val="21"/>
        </w:rPr>
        <w:t xml:space="preserve">。中国的人口压力也来得更快。</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中国版的日本风险，最可能的形态是没有银行危机的长期低名义增长。</w:t>
      </w:r>
      <w:r>
        <w:rPr>
          <w:rFonts w:ascii="Calibri" w:cs="Calibri" w:eastAsia="DengXian" w:hAnsi="Calibri"/>
          <w:b/>
          <w:bCs/>
          <w:color w:val="0E6655"/>
          <w:sz w:val="18"/>
          <w:szCs w:val="18"/>
          <w:shd w:fill="DCF0EB" w:color="auto" w:val="clear"/>
        </w:rPr>
        <w:t xml:space="preserve"> 置信度 中高 </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12 真正该跟踪的问题：阻碍私人需求恢复的六个机制</w:t>
      </w:r>
    </w:p>
    <w:p>
      <w:pPr>
        <w:spacing w:after="140" w:line="340"/>
        <w:jc w:val="both"/>
      </w:pPr>
      <w:r>
        <w:rPr>
          <w:rFonts w:ascii="Calibri" w:cs="Calibri" w:eastAsia="DengXian" w:hAnsi="Calibri"/>
          <w:b w:val="false"/>
          <w:bCs w:val="false"/>
          <w:color w:val="1F2328"/>
          <w:sz w:val="21"/>
          <w:szCs w:val="21"/>
        </w:rPr>
        <w:t xml:space="preserve">阶段标签的边界模糊，容易制造超出证据的确定感。更有用的问题是：什么机制在阻碍私人部门的需求恢复，这些机制有没有发生可以测量的变化。下表列出六个机制和衡量它们的指标。阶段标签只用来归纳这些机制的状态。</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011"/>
        <w:gridCol w:w="1942"/>
        <w:gridCol w:w="2888"/>
        <w:gridCol w:w="1673"/>
        <w:gridCol w:w="1898"/>
      </w:tblGrid>
      <w:tr>
        <w:trPr>
          <w:cantSplit/>
          <w:tblHeader/>
        </w:trPr>
        <w:tc>
          <w:tcPr>
            <w:tcW w:type="dxa" w:w="1011"/>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机制</w:t>
            </w:r>
          </w:p>
        </w:tc>
        <w:tc>
          <w:tcPr>
            <w:tcW w:type="dxa" w:w="194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它怎样压低需求</w:t>
            </w:r>
          </w:p>
        </w:tc>
        <w:tc>
          <w:tcPr>
            <w:tcW w:type="dxa" w:w="288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现在的读数</w:t>
            </w:r>
          </w:p>
        </w:tc>
        <w:tc>
          <w:tcPr>
            <w:tcW w:type="dxa" w:w="1673"/>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跟踪指标</w:t>
            </w:r>
          </w:p>
        </w:tc>
        <w:tc>
          <w:tcPr>
            <w:tcW w:type="dxa" w:w="189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什么算改善</w:t>
            </w:r>
          </w:p>
        </w:tc>
      </w:tr>
      <w:tr>
        <w:trPr>
          <w:cantSplit/>
        </w:trPr>
        <w:tc>
          <w:tcPr>
            <w:tcW w:type="dxa" w:w="10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 房价预期</w:t>
            </w:r>
          </w:p>
        </w:tc>
        <w:tc>
          <w:tcPr>
            <w:tcW w:type="dxa" w:w="194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房价下跌让住户减少借贷和消费，家庭资产缩水</w:t>
            </w:r>
          </w:p>
        </w:tc>
        <w:tc>
          <w:tcPr>
            <w:tcW w:type="dxa" w:w="288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百城二手房9月环比−0.60%，97城下跌；1—8月二手房网签面积+10.6%</w:t>
            </w:r>
          </w:p>
        </w:tc>
        <w:tc>
          <w:tcPr>
            <w:tcW w:type="dxa" w:w="16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二手房价格环比、挂牌量、成交量</w:t>
            </w:r>
          </w:p>
        </w:tc>
        <w:tc>
          <w:tcPr>
            <w:tcW w:type="dxa" w:w="189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价格连续3个月不跌，同时成交增长</w:t>
            </w:r>
          </w:p>
        </w:tc>
      </w:tr>
      <w:tr>
        <w:trPr>
          <w:cantSplit/>
        </w:trPr>
        <w:tc>
          <w:tcPr>
            <w:tcW w:type="dxa" w:w="10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 收入和就业预期</w:t>
            </w:r>
          </w:p>
        </w:tc>
        <w:tc>
          <w:tcPr>
            <w:tcW w:type="dxa" w:w="194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收入预期弱，住户提高储蓄</w:t>
            </w:r>
          </w:p>
        </w:tc>
        <w:tc>
          <w:tcPr>
            <w:tcW w:type="dxa" w:w="288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8月青年失业率18.9%；消费者信心指数约89；上半年人均收入名义+5.2%</w:t>
            </w:r>
          </w:p>
        </w:tc>
        <w:tc>
          <w:tcPr>
            <w:tcW w:type="dxa" w:w="16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青年失业率、工资增速、消费者信心</w:t>
            </w:r>
          </w:p>
        </w:tc>
        <w:tc>
          <w:tcPr>
            <w:tcW w:type="dxa" w:w="189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青年失业率同比下降，信心指数连续回升</w:t>
            </w:r>
          </w:p>
        </w:tc>
      </w:tr>
      <w:tr>
        <w:trPr>
          <w:cantSplit/>
        </w:trPr>
        <w:tc>
          <w:tcPr>
            <w:tcW w:type="dxa" w:w="10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 预防性储蓄</w:t>
            </w:r>
          </w:p>
        </w:tc>
        <w:tc>
          <w:tcPr>
            <w:tcW w:type="dxa" w:w="194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社保、医疗、养老的不确定性让住户多存少花</w:t>
            </w:r>
          </w:p>
        </w:tc>
        <w:tc>
          <w:tcPr>
            <w:tcW w:type="dxa" w:w="288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1—8月住户存款+6.99万亿元，贷款−1.03万亿元；平均消费倾向比上年低约0.9个百分点</w:t>
            </w:r>
          </w:p>
        </w:tc>
        <w:tc>
          <w:tcPr>
            <w:tcW w:type="dxa" w:w="16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住户存款增速、平均消费倾向</w:t>
            </w:r>
          </w:p>
        </w:tc>
        <w:tc>
          <w:tcPr>
            <w:tcW w:type="dxa" w:w="189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存款增速放缓，同时消费倾向回升</w:t>
            </w:r>
          </w:p>
        </w:tc>
      </w:tr>
      <w:tr>
        <w:trPr>
          <w:cantSplit/>
        </w:trPr>
        <w:tc>
          <w:tcPr>
            <w:tcW w:type="dxa" w:w="10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 地方财政收缩</w:t>
            </w:r>
          </w:p>
        </w:tc>
        <w:tc>
          <w:tcPr>
            <w:tcW w:type="dxa" w:w="194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卖地收入下降，地方压缩支出、拖欠企业款项</w:t>
            </w:r>
          </w:p>
        </w:tc>
        <w:tc>
          <w:tcPr>
            <w:tcW w:type="dxa" w:w="288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1—8月土地出让收入−28.6%，政府性基金支出−17%</w:t>
            </w:r>
          </w:p>
        </w:tc>
        <w:tc>
          <w:tcPr>
            <w:tcW w:type="dxa" w:w="16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土地收入、地方支出、拖欠账款的清理</w:t>
            </w:r>
          </w:p>
        </w:tc>
        <w:tc>
          <w:tcPr>
            <w:tcW w:type="dxa" w:w="189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土地收入降幅收窄到10%以内，地方支出恢复增长</w:t>
            </w:r>
          </w:p>
        </w:tc>
      </w:tr>
      <w:tr>
        <w:trPr>
          <w:cantSplit/>
        </w:trPr>
        <w:tc>
          <w:tcPr>
            <w:tcW w:type="dxa" w:w="1011"/>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 民营企业信心</w:t>
            </w:r>
          </w:p>
        </w:tc>
        <w:tc>
          <w:tcPr>
            <w:tcW w:type="dxa" w:w="194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民营企业不敢投资、不敢扩招</w:t>
            </w:r>
          </w:p>
        </w:tc>
        <w:tc>
          <w:tcPr>
            <w:tcW w:type="dxa" w:w="288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1—8月民间投资−10.1%；私营企业利润+10.4%</w:t>
            </w:r>
          </w:p>
        </w:tc>
        <w:tc>
          <w:tcPr>
            <w:tcW w:type="dxa" w:w="1673"/>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民间投资、民营企业贷款、招聘</w:t>
            </w:r>
          </w:p>
        </w:tc>
        <w:tc>
          <w:tcPr>
            <w:tcW w:type="dxa" w:w="189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民间投资降幅连续收窄</w:t>
            </w:r>
          </w:p>
        </w:tc>
      </w:tr>
      <w:tr>
        <w:trPr>
          <w:cantSplit/>
        </w:trPr>
        <w:tc>
          <w:tcPr>
            <w:tcW w:type="dxa" w:w="1011"/>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 实际利率与价格预期</w:t>
            </w:r>
          </w:p>
        </w:tc>
        <w:tc>
          <w:tcPr>
            <w:tcW w:type="dxa" w:w="194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通缩预期抬高实际利率，推迟消费和投资</w:t>
            </w:r>
          </w:p>
        </w:tc>
        <w:tc>
          <w:tcPr>
            <w:tcW w:type="dxa" w:w="288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 1.0%；新发放贷款利率3.05%</w:t>
            </w:r>
          </w:p>
        </w:tc>
        <w:tc>
          <w:tcPr>
            <w:tcW w:type="dxa" w:w="1673"/>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核心CPI、服务价格、实际贷款利率</w:t>
            </w:r>
          </w:p>
        </w:tc>
        <w:tc>
          <w:tcPr>
            <w:tcW w:type="dxa" w:w="189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核心CPI升到1.2%以上，服务价格回升</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六个机制目前都没有出现可测量的改善；第1项在上海出现了局部改善，第5项在利润端出现了局部改善。</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判断经济是否转向，最好连续观察几个季度，并用不同部门的数据交叉验证。改善需要从少数行业和城市，扩展到住户和普通民营企业。</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13 预测汇总（截至2026年10月9日）</w:t>
      </w:r>
    </w:p>
    <w:p>
      <w:pPr>
        <w:spacing w:after="140" w:line="340"/>
        <w:jc w:val="both"/>
      </w:pPr>
      <w:r>
        <w:rPr>
          <w:rFonts w:ascii="Calibri" w:cs="Calibri" w:eastAsia="DengXian" w:hAnsi="Calibri"/>
          <w:b w:val="false"/>
          <w:bCs w:val="false"/>
          <w:color w:val="1F2328"/>
          <w:sz w:val="21"/>
          <w:szCs w:val="21"/>
        </w:rPr>
        <w:t xml:space="preserve">以下概率都是作者的主观判断</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，依据写在表中。能找到基准率的已经注明。它们用于比较哪种情况更可能，以及事后检验。</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034"/>
        <w:gridCol w:w="2857"/>
        <w:gridCol w:w="1180"/>
        <w:gridCol w:w="2697"/>
        <w:gridCol w:w="1644"/>
      </w:tblGrid>
      <w:tr>
        <w:trPr>
          <w:cantSplit/>
          <w:tblHeader/>
        </w:trPr>
        <w:tc>
          <w:tcPr>
            <w:tcW w:type="dxa" w:w="103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编号</w:t>
            </w:r>
          </w:p>
        </w:tc>
        <w:tc>
          <w:tcPr>
            <w:tcW w:type="dxa" w:w="285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预测</w:t>
            </w:r>
          </w:p>
        </w:tc>
        <w:tc>
          <w:tcPr>
            <w:tcW w:type="dxa" w:w="118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概率或区间</w:t>
            </w:r>
          </w:p>
        </w:tc>
        <w:tc>
          <w:tcPr>
            <w:tcW w:type="dxa" w:w="269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依据</w:t>
            </w:r>
          </w:p>
        </w:tc>
        <w:tc>
          <w:tcPr>
            <w:tcW w:type="dxa" w:w="164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检验时间</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三季度实际GDP增长4.0%—4.3%</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7—8月数据；高盛估计三季度初约4%</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10月19—20日前后</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2026年全年实际GDP增长4.4%—4.5%</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上半年4.7%，下半年约4.1%—4.6%</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2027年实际GDP增长3.8%—4.5%</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IMF预测4.1%，世界银行预测4.3%</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2028年1月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到2027年年中，名义GDP增速较2026年二季度回落1个百分点以上</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60%—75%</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PPI高基数；内需接替的证据不足</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2027年7月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布伦特不再大涨的前提下，2027年二季度PPI同比降到2%以内</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60%—70%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高基数</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2027年7月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宏观杠杆率在2027年重新上升（债务增速维持在7%左右）</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约80%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债务增速高于名义增速</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NIFD季报</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未来6个月没有大规模刺激（面向住户、超过GDP 1%的转移，或央行大规模购债）</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约80%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7月政治局会议的基调；9月措施的规模</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2027年3月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8</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2027年6月前降准</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价格回落后政策加码</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2027年6月前LPR下调</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银行净息差约束降息幅度</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2027年底前出现面向住户、超过GDP 1%的转移支付，或央行大规模购债</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30%—40%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政策偏好定向、小规模的工具</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2027年底前存款挂牌利率再下调</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低利率环境；银行要维持息差</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10年期国债收益率在2027年内跌破1.596%的历史低点</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名义增长回落</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13</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10年期国债收益率在2027年内升破2.2%</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需要持续的再通胀</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14</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到2027年9月，百城二手房价格再跌4%—9%</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见8.6节的月度推算</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2027年10月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15</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全国二手房价格在2027年内止跌</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30%—50%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高盛的跨国基准约为2027年，标普估计约为2028年三季度</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16</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上海、深圳、广州通过标普检验（到11月数据都不出现环比下跌）</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约40%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广州已经持平，全国跌幅扩大</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2026年12月中旬</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17</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上证综指在2027年底前超过4258.86点</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约25%</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利润动能减弱；2027年名义增长回落</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2027年12月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18</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未来6—9个月，上证综指大致在3400—4100点之间</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估值中位；政策资金压低振幅</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2027年6月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19</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科创50在真正见底前，跌破2025年末的水平（约1344点）</w:t>
            </w:r>
            <w:r>
              <w:rPr>
                <w:rFonts w:ascii="Calibri" w:cs="Calibri" w:eastAsia="DengXian" w:hAnsi="Calibri"/>
                <w:b/>
                <w:bCs/>
                <w:color w:val="4B5563"/>
                <w:sz w:val="15"/>
                <w:szCs w:val="15"/>
                <w:shd w:fill="E9EBEE" w:color="auto" w:val="clear"/>
              </w:rPr>
              <w:t xml:space="preserve"> 估算 </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约55%</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估值仍在九成分位附近；普遍绝望尚未出现</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2027年上半年出口同比增速低于10%</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2026年的高基数</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2027年7月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21</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2027年8月16—24岁失业率在16%—20%</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约70%</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就业压力没有缓解</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2027年9月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22</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中美休战在2027年1月10日到期后再次延期</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约65%</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双方都有维持休战的动机</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w:t>
            </w:r>
          </w:p>
        </w:tc>
      </w:tr>
      <w:tr>
        <w:trPr>
          <w:cantSplit/>
        </w:trPr>
        <w:tc>
          <w:tcPr>
            <w:tcW w:type="dxa" w:w="10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23</w:t>
            </w:r>
          </w:p>
        </w:tc>
        <w:tc>
          <w:tcPr>
            <w:tcW w:type="dxa" w:w="28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未来12个月发生系统性银行危机</w:t>
            </w:r>
          </w:p>
        </w:tc>
        <w:tc>
          <w:tcPr>
            <w:tcW w:type="dxa" w:w="118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个位数低位</w:t>
            </w:r>
          </w:p>
        </w:tc>
        <w:tc>
          <w:tcPr>
            <w:tcW w:type="dxa" w:w="269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基准率每国每年约1%—2%，中国的风险因素偏低（见11.4节）</w:t>
            </w:r>
          </w:p>
        </w:tc>
        <w:tc>
          <w:tcPr>
            <w:tcW w:type="dxa" w:w="164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2027年10月</w:t>
            </w:r>
          </w:p>
        </w:tc>
      </w:tr>
      <w:tr>
        <w:trPr>
          <w:cantSplit/>
        </w:trPr>
        <w:tc>
          <w:tcPr>
            <w:tcW w:type="dxa" w:w="10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24</w:t>
            </w:r>
          </w:p>
        </w:tc>
        <w:tc>
          <w:tcPr>
            <w:tcW w:type="dxa" w:w="28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未来两三年走到《国家为什么会破产》的第5阶段</w:t>
            </w:r>
          </w:p>
        </w:tc>
        <w:tc>
          <w:tcPr>
            <w:tcW w:type="dxa" w:w="118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低于10%</w:t>
            </w:r>
          </w:p>
        </w:tc>
        <w:tc>
          <w:tcPr>
            <w:tcW w:type="dxa" w:w="269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第5阶段的市场信号目前一个都没有出现</w:t>
            </w:r>
          </w:p>
        </w:tc>
        <w:tc>
          <w:tcPr>
            <w:tcW w:type="dxa" w:w="164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2029年</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14 对普通家庭的含义（参考，不构成个人投资建议）</w:t>
      </w:r>
    </w:p>
    <w:p>
      <w:pPr>
        <w:spacing w:after="140" w:line="340"/>
        <w:jc w:val="both"/>
      </w:pPr>
      <w:r>
        <w:rPr>
          <w:rFonts w:ascii="Calibri" w:cs="Calibri" w:eastAsia="DengXian" w:hAnsi="Calibri"/>
          <w:b/>
          <w:bCs/>
          <w:color w:val="111827"/>
          <w:sz w:val="21"/>
          <w:szCs w:val="21"/>
        </w:rPr>
        <w:t xml:space="preserve">假设。</w:t>
      </w:r>
      <w:r>
        <w:rPr>
          <w:rFonts w:ascii="Calibri" w:cs="Calibri" w:eastAsia="DengXian" w:hAnsi="Calibri"/>
          <w:b w:val="false"/>
          <w:bCs w:val="false"/>
          <w:color w:val="1F2328"/>
          <w:sz w:val="21"/>
          <w:szCs w:val="21"/>
        </w:rPr>
        <w:t xml:space="preserve"> 本节假设读者在国内生活，资产以人民币为主，这笔钱5年内不急用，能承受中等风险。年龄、收入稳定性、负债和用钱时间不同，比例应当相应调整。</w:t>
      </w:r>
    </w:p>
    <w:p>
      <w:pPr>
        <w:spacing w:after="140" w:line="340"/>
        <w:jc w:val="both"/>
      </w:pPr>
      <w:r>
        <w:rPr>
          <w:rFonts w:ascii="Calibri" w:cs="Calibri" w:eastAsia="DengXian" w:hAnsi="Calibri"/>
          <w:b/>
          <w:bCs/>
          <w:color w:val="111827"/>
          <w:sz w:val="21"/>
          <w:szCs w:val="21"/>
        </w:rPr>
        <w:t xml:space="preserve">两人的原则。</w:t>
      </w:r>
      <w:r>
        <w:rPr>
          <w:rFonts w:ascii="Calibri" w:cs="Calibri" w:eastAsia="DengXian" w:hAnsi="Calibri"/>
          <w:b w:val="false"/>
          <w:bCs w:val="false"/>
          <w:color w:val="1F2328"/>
          <w:sz w:val="21"/>
          <w:szCs w:val="21"/>
        </w:rPr>
        <w:t xml:space="preserve"> 达利欧一贯主张分散：把钱分到多个彼此不太相关的资产，风险能大幅下降，收益不会少多少。他在2025年10月说，按风险收益比最优的组合，大约15%应当放黄金，他也说过黄金或比特币合计约15%，明确更偏向黄金</w:t>
      </w:r>
      <w:r>
        <w:rPr>
          <w:rStyle w:val="FootnoteReference"/>
        </w:rPr>
        <w:footnoteReference w:id="311"/>
      </w:r>
      <w:r>
        <w:rPr>
          <w:rFonts w:ascii="Calibri" w:cs="Calibri" w:eastAsia="DengXian" w:hAnsi="Calibri"/>
          <w:b w:val="false"/>
          <w:bCs w:val="false"/>
          <w:color w:val="1F2328"/>
          <w:sz w:val="21"/>
          <w:szCs w:val="21"/>
        </w:rPr>
        <w:t xml:space="preserve">；2026年1月，他称AI处在"泡沫早期"</w:t>
      </w:r>
      <w:r>
        <w:rPr>
          <w:rStyle w:val="FootnoteReference"/>
        </w:rPr>
        <w:footnoteReference w:id="312"/>
      </w:r>
      <w:r>
        <w:rPr>
          <w:rFonts w:ascii="Calibri" w:cs="Calibri" w:eastAsia="DengXian" w:hAnsi="Calibri"/>
          <w:b w:val="false"/>
          <w:bCs w:val="false"/>
          <w:color w:val="1F2328"/>
          <w:sz w:val="21"/>
          <w:szCs w:val="21"/>
        </w:rPr>
        <w:t xml:space="preserve">。他这两年反复警告长期国债的风险，针对的是美国国债。中国处在通缩型去杠杆阶段，按他的框架，在中国央行开始大规模印钞之前，中国国债相对占优</w:t>
      </w: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。马克斯的原则是先看清位置，再决定多进攻还是多防守：价格高、大家贪婪时多防守，价格低、大家恐惧时多进攻；买入要分批，因为没人能买在最低点。</w:t>
      </w:r>
    </w:p>
    <w:p>
      <w:pPr>
        <w:spacing w:after="140" w:line="340"/>
        <w:jc w:val="both"/>
      </w:pPr>
      <w:r>
        <w:rPr>
          <w:rFonts w:ascii="Calibri" w:cs="Calibri" w:eastAsia="DengXian" w:hAnsi="Calibri"/>
          <w:b/>
          <w:bCs/>
          <w:color w:val="111827"/>
          <w:sz w:val="21"/>
          <w:szCs w:val="21"/>
        </w:rPr>
        <w:t xml:space="preserve">具体做法。</w:t>
      </w:r>
    </w:p>
    <w:p>
      <w:pPr>
        <w:pStyle w:val="ListParagraph"/>
        <w:numPr>
          <w:ilvl w:val="0"/>
          <w:numId w:val="2"/>
        </w:numPr>
        <w:spacing w:after="60" w:line="330"/>
        <w:jc w:val="both"/>
      </w:pPr>
      <w:r>
        <w:rPr>
          <w:rFonts w:ascii="Calibri" w:cs="Calibri" w:eastAsia="DengXian" w:hAnsi="Calibri"/>
          <w:b w:val="false"/>
          <w:bCs w:val="false"/>
          <w:color w:val="1F2328"/>
          <w:sz w:val="21"/>
          <w:szCs w:val="21"/>
        </w:rPr>
        <w:t xml:space="preserve">负债：不要借钱投资。如果房贷利率在3%以上，手里的现金也够一年开销，就提前还掉一部分房贷。这相当于拿到稳定的3%以上回报，大行定存只有1%左右；通缩回来时，债务的实际负担会变重，这正是达利欧最强调的风险。</w:t>
      </w:r>
      <w:r>
        <w:rPr>
          <w:rFonts w:ascii="Calibri" w:cs="Calibri" w:eastAsia="DengXian" w:hAnsi="Calibri"/>
          <w:b/>
          <w:bCs/>
          <w:color w:val="0E6655"/>
          <w:sz w:val="18"/>
          <w:szCs w:val="18"/>
          <w:shd w:fill="DCF0EB" w:color="auto" w:val="clear"/>
        </w:rPr>
        <w:t xml:space="preserve"> 置信度 中高 </w:t>
      </w:r>
    </w:p>
    <w:p>
      <w:pPr>
        <w:pStyle w:val="ListParagraph"/>
        <w:numPr>
          <w:ilvl w:val="0"/>
          <w:numId w:val="2"/>
        </w:numPr>
        <w:spacing w:after="60" w:line="330"/>
        <w:jc w:val="both"/>
      </w:pPr>
      <w:r>
        <w:rPr>
          <w:rFonts w:ascii="Calibri" w:cs="Calibri" w:eastAsia="DengXian" w:hAnsi="Calibri"/>
          <w:b w:val="false"/>
          <w:bCs w:val="false"/>
          <w:color w:val="1F2328"/>
          <w:sz w:val="21"/>
          <w:szCs w:val="21"/>
        </w:rPr>
        <w:t xml:space="preserve">存款：趁利率还没再降，把短期存款换成长期。2026年储蓄国债3年期1.63%、5年期1.70%</w:t>
      </w:r>
      <w:r>
        <w:rPr>
          <w:rStyle w:val="FootnoteReference"/>
        </w:rPr>
        <w:footnoteReference w:id="313"/>
      </w:r>
      <w:r>
        <w:rPr>
          <w:rFonts w:ascii="Calibri" w:cs="Calibri" w:eastAsia="DengXian" w:hAnsi="Calibri"/>
          <w:b w:val="false"/>
          <w:bCs w:val="false"/>
          <w:color w:val="1F2328"/>
          <w:sz w:val="21"/>
          <w:szCs w:val="21"/>
        </w:rPr>
        <w:t xml:space="preserve">，高于大行3年期1.25%、5年期1.30%的定存挂牌利率</w:t>
      </w:r>
      <w:r>
        <w:rPr>
          <w:rStyle w:val="FootnoteReference"/>
        </w:rPr>
        <w:footnoteReference w:id="314"/>
      </w:r>
      <w:r>
        <w:rPr>
          <w:rFonts w:ascii="Calibri" w:cs="Calibri" w:eastAsia="DengXian" w:hAnsi="Calibri"/>
          <w:b w:val="false"/>
          <w:bCs w:val="false"/>
          <w:color w:val="1F2328"/>
          <w:sz w:val="21"/>
          <w:szCs w:val="21"/>
        </w:rPr>
        <w:t xml:space="preserve">，有额度就买。</w:t>
      </w:r>
      <w:r>
        <w:rPr>
          <w:rFonts w:ascii="Calibri" w:cs="Calibri" w:eastAsia="DengXian" w:hAnsi="Calibri"/>
          <w:b/>
          <w:bCs/>
          <w:color w:val="0E6655"/>
          <w:sz w:val="18"/>
          <w:szCs w:val="18"/>
          <w:shd w:fill="DCF0EB" w:color="auto" w:val="clear"/>
        </w:rPr>
        <w:t xml:space="preserve"> 置信度 中高 </w:t>
      </w:r>
    </w:p>
    <w:p>
      <w:pPr>
        <w:pStyle w:val="ListParagraph"/>
        <w:numPr>
          <w:ilvl w:val="0"/>
          <w:numId w:val="2"/>
        </w:numPr>
        <w:spacing w:after="60" w:line="330"/>
        <w:jc w:val="both"/>
      </w:pPr>
      <w:r>
        <w:rPr>
          <w:rFonts w:ascii="Calibri" w:cs="Calibri" w:eastAsia="DengXian" w:hAnsi="Calibri"/>
          <w:b w:val="false"/>
          <w:bCs w:val="false"/>
          <w:color w:val="1F2328"/>
          <w:sz w:val="21"/>
          <w:szCs w:val="21"/>
        </w:rPr>
        <w:t xml:space="preserve">房子：不要为投资买房。非核心城市或非核心地段的多余房产，未来6—12个月内出售，可以比挂牌价低5%—10%，换取快速成交。在一线城市（尤其上海）、工作稳定、买来自住的，可以开始挑选房源，不必急，也不必一直等，贷款不要借到上限。三四线城市，租房比买房划算。</w:t>
      </w:r>
      <w:r>
        <w:rPr>
          <w:rFonts w:ascii="Calibri" w:cs="Calibri" w:eastAsia="DengXian" w:hAnsi="Calibri"/>
          <w:b/>
          <w:bCs/>
          <w:color w:val="8A5A00"/>
          <w:sz w:val="18"/>
          <w:szCs w:val="18"/>
          <w:shd w:fill="FFF0C7" w:color="auto" w:val="clear"/>
        </w:rPr>
        <w:t xml:space="preserve"> 置信度 中 </w:t>
      </w:r>
    </w:p>
    <w:p>
      <w:pPr>
        <w:pStyle w:val="ListParagraph"/>
        <w:numPr>
          <w:ilvl w:val="0"/>
          <w:numId w:val="2"/>
        </w:numPr>
        <w:spacing w:after="140" w:line="330"/>
        <w:jc w:val="both"/>
      </w:pPr>
      <w:r>
        <w:rPr>
          <w:rFonts w:ascii="Calibri" w:cs="Calibri" w:eastAsia="DengXian" w:hAnsi="Calibri"/>
          <w:b w:val="false"/>
          <w:bCs w:val="false"/>
          <w:color w:val="1F2328"/>
          <w:sz w:val="21"/>
          <w:szCs w:val="21"/>
        </w:rPr>
        <w:t xml:space="preserve">金融资产配置（不含房产），见下表。</w:t>
      </w:r>
      <w:r>
        <w:rPr>
          <w:rFonts w:ascii="Calibri" w:cs="Calibri" w:eastAsia="DengXian" w:hAnsi="Calibri"/>
          <w:b/>
          <w:bCs/>
          <w:color w:val="8A5A00"/>
          <w:sz w:val="18"/>
          <w:szCs w:val="18"/>
          <w:shd w:fill="FFF0C7" w:color="auto" w:val="clear"/>
        </w:rPr>
        <w:t xml:space="preserve"> 置信度 中 </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590"/>
        <w:gridCol w:w="1366"/>
        <w:gridCol w:w="6456"/>
      </w:tblGrid>
      <w:tr>
        <w:trPr>
          <w:cantSplit/>
          <w:tblHeader/>
        </w:trPr>
        <w:tc>
          <w:tcPr>
            <w:tcW w:type="dxa" w:w="159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类别</w:t>
            </w:r>
          </w:p>
        </w:tc>
        <w:tc>
          <w:tcPr>
            <w:tcW w:type="dxa" w:w="136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参考比例</w:t>
            </w:r>
          </w:p>
        </w:tc>
        <w:tc>
          <w:tcPr>
            <w:tcW w:type="dxa" w:w="645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说明</w:t>
            </w:r>
          </w:p>
        </w:tc>
      </w:tr>
      <w:tr>
        <w:trPr>
          <w:cantSplit/>
        </w:trPr>
        <w:tc>
          <w:tcPr>
            <w:tcW w:type="dxa" w:w="15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现金、存款和储蓄国债</w:t>
            </w:r>
          </w:p>
        </w:tc>
        <w:tc>
          <w:tcPr>
            <w:tcW w:type="dxa" w:w="13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约35%</w:t>
            </w:r>
          </w:p>
        </w:tc>
        <w:tc>
          <w:tcPr>
            <w:tcW w:type="dxa" w:w="64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应急资金和确定收益；储蓄国债优先</w:t>
            </w:r>
          </w:p>
        </w:tc>
      </w:tr>
      <w:tr>
        <w:trPr>
          <w:cantSplit/>
        </w:trPr>
        <w:tc>
          <w:tcPr>
            <w:tcW w:type="dxa" w:w="15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国债基金</w:t>
            </w:r>
          </w:p>
        </w:tc>
        <w:tc>
          <w:tcPr>
            <w:tcW w:type="dxa" w:w="13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约15%</w:t>
            </w:r>
          </w:p>
        </w:tc>
        <w:tc>
          <w:tcPr>
            <w:tcW w:type="dxa" w:w="64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对冲"通缩回归"的情形；风险在海外利率上升和四季度债券供给增加</w:t>
            </w:r>
          </w:p>
        </w:tc>
      </w:tr>
      <w:tr>
        <w:trPr>
          <w:cantSplit/>
        </w:trPr>
        <w:tc>
          <w:tcPr>
            <w:tcW w:type="dxa" w:w="15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股票</w:t>
            </w:r>
          </w:p>
        </w:tc>
        <w:tc>
          <w:tcPr>
            <w:tcW w:type="dxa" w:w="13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约30%</w:t>
            </w:r>
          </w:p>
        </w:tc>
        <w:tc>
          <w:tcPr>
            <w:tcW w:type="dxa" w:w="64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以港股高股息、A股红利和沪深300为主；港股通个人投资者的股息要扣20%的税，扣税后恒生高股息率指数的股息率约4.4%—5.4%</w:t>
            </w:r>
            <w:r>
              <w:rPr>
                <w:rFonts w:ascii="Calibri" w:cs="Calibri" w:eastAsia="DengXian" w:hAnsi="Calibri"/>
                <w:b/>
                <w:bCs/>
                <w:color w:val="4B5563"/>
                <w:sz w:val="15"/>
                <w:szCs w:val="15"/>
                <w:shd w:fill="E9EBEE" w:color="auto" w:val="clear"/>
              </w:rPr>
              <w:t xml:space="preserve"> 估算 </w:t>
            </w:r>
            <w:r>
              <w:rPr>
                <w:rFonts w:ascii="Calibri" w:cs="Calibri" w:eastAsia="DengXian" w:hAnsi="Calibri"/>
                <w:b w:val="false"/>
                <w:bCs w:val="false"/>
                <w:color w:val="1F2328"/>
                <w:sz w:val="18"/>
                <w:szCs w:val="18"/>
              </w:rPr>
              <w:t xml:space="preserve">；AI和芯片不超过5%</w:t>
            </w:r>
          </w:p>
        </w:tc>
      </w:tr>
      <w:tr>
        <w:trPr>
          <w:cantSplit/>
        </w:trPr>
        <w:tc>
          <w:tcPr>
            <w:tcW w:type="dxa" w:w="159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黄金</w:t>
            </w:r>
          </w:p>
        </w:tc>
        <w:tc>
          <w:tcPr>
            <w:tcW w:type="dxa" w:w="136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w:t>
            </w:r>
          </w:p>
        </w:tc>
        <w:tc>
          <w:tcPr>
            <w:tcW w:type="dxa" w:w="64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分6—12个月用黄金ETF或积存金买入，不买首饰当投资；金价比1月的纪录低约22%（单一数据源）</w:t>
            </w:r>
          </w:p>
        </w:tc>
      </w:tr>
      <w:tr>
        <w:trPr>
          <w:cantSplit/>
        </w:trPr>
        <w:tc>
          <w:tcPr>
            <w:tcW w:type="dxa" w:w="159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美元短期资产</w:t>
            </w:r>
          </w:p>
        </w:tc>
        <w:tc>
          <w:tcPr>
            <w:tcW w:type="dxa" w:w="136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w:t>
            </w:r>
          </w:p>
        </w:tc>
        <w:tc>
          <w:tcPr>
            <w:tcW w:type="dxa" w:w="64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用每年的合法换汇额度；美国短期利率在3.75%—4%，明显高于人民币存款；同时对冲中美冲突和人民币将来走弱的风险</w:t>
            </w:r>
          </w:p>
        </w:tc>
      </w:tr>
    </w:tbl>
    <w:p>
      <w:pPr>
        <w:spacing w:after="120"/>
      </w:pPr>
    </w:p>
    <w:p>
      <w:pPr>
        <w:spacing w:after="140" w:line="340"/>
        <w:jc w:val="both"/>
      </w:pPr>
      <w:r>
        <w:rPr>
          <w:rFonts w:ascii="Calibri" w:cs="Calibri" w:eastAsia="DengXian" w:hAnsi="Calibri"/>
          <w:b/>
          <w:bCs/>
          <w:color w:val="111827"/>
          <w:sz w:val="21"/>
          <w:szCs w:val="21"/>
        </w:rPr>
        <w:t xml:space="preserve">什么时候改变配置。</w:t>
      </w:r>
      <w:r>
        <w:rPr>
          <w:rFonts w:ascii="Calibri" w:cs="Calibri" w:eastAsia="DengXian" w:hAnsi="Calibri"/>
          <w:b w:val="false"/>
          <w:bCs w:val="false"/>
          <w:color w:val="1F2328"/>
          <w:sz w:val="21"/>
          <w:szCs w:val="21"/>
        </w:rPr>
        <w:t xml:space="preserve"> 出现以下两种情况，配置应当调整。第一是达利欧的信号：中国央行开始每月几千亿元地买国债，或者政府推出超过GDP 1%的家庭转移计划。这时减少国债，增加股票和黄金，同时预期人民币走弱。第二是马克斯的信号：科技股进入普遍绝望（见9.7节）。这时可以把科技仓位从5%加到10%—15%，分批买入。</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15 反方论据：为什么有人认为2026年就是拐点</w:t>
      </w:r>
    </w:p>
    <w:p>
      <w:pPr>
        <w:spacing w:after="140" w:line="340"/>
        <w:jc w:val="both"/>
      </w:pPr>
      <w:r>
        <w:rPr>
          <w:rFonts w:ascii="Calibri" w:cs="Calibri" w:eastAsia="DengXian" w:hAnsi="Calibri"/>
          <w:b w:val="false"/>
          <w:bCs w:val="false"/>
          <w:color w:val="1F2328"/>
          <w:sz w:val="21"/>
          <w:szCs w:val="21"/>
        </w:rPr>
        <w:t xml:space="preserve">认为2026年是拐点的一方，最强的证据有七条。下面逐条回应，其中第7条来自对第1版的外部评论。</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3578"/>
        <w:gridCol w:w="4429"/>
        <w:gridCol w:w="1405"/>
      </w:tblGrid>
      <w:tr>
        <w:trPr>
          <w:cantSplit/>
          <w:tblHeader/>
        </w:trPr>
        <w:tc>
          <w:tcPr>
            <w:tcW w:type="dxa" w:w="35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论据</w:t>
            </w:r>
          </w:p>
        </w:tc>
        <w:tc>
          <w:tcPr>
            <w:tcW w:type="dxa" w:w="442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回应</w:t>
            </w:r>
          </w:p>
        </w:tc>
        <w:tc>
          <w:tcPr>
            <w:tcW w:type="dxa" w:w="14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回应的置信度</w:t>
            </w:r>
          </w:p>
        </w:tc>
      </w:tr>
      <w:tr>
        <w:trPr>
          <w:cantSplit/>
        </w:trPr>
        <w:tc>
          <w:tcPr>
            <w:tcW w:type="dxa" w:w="35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 价格三年来首次转正：PPI在连续41个月下跌后于3月转正，平减指数在连续12个季度为负后于二季度转正；MNI称这是"结构性转向再通胀"</w:t>
            </w:r>
            <w:r>
              <w:rPr>
                <w:rStyle w:val="FootnoteReference"/>
              </w:rPr>
              <w:footnoteReference w:id="315"/>
            </w:r>
          </w:p>
        </w:tc>
        <w:tc>
          <w:tcPr>
            <w:tcW w:type="dxa" w:w="4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战前的改善是真实的，来自反内卷和基数效应；二季度的上升来自供给侧和外部因素；核心CPI、房租和服务价格都没有显示需求拉动</w:t>
            </w:r>
          </w:p>
        </w:tc>
        <w:tc>
          <w:tcPr>
            <w:tcW w:type="dxa" w:w="14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35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 宏观杠杆率首次下降</w:t>
            </w:r>
          </w:p>
        </w:tc>
        <w:tc>
          <w:tcPr>
            <w:tcW w:type="dxa" w:w="44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单季回落依靠名义增速跳升；总债务仍以7.2%增长，高于名义增速，持续下去杠杆率每年上升约4个百分点</w:t>
            </w:r>
          </w:p>
        </w:tc>
        <w:tc>
          <w:tcPr>
            <w:tcW w:type="dxa" w:w="14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35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3 一线城市楼市企稳：标普10月8日转向"接近底部"，高盛认为上海、深圳在2026年见底</w:t>
            </w:r>
          </w:p>
        </w:tc>
        <w:tc>
          <w:tcPr>
            <w:tcW w:type="dxa" w:w="4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上海可能成立；全国层面9月二手房跌幅扩大，100个城市中97个下跌</w:t>
            </w:r>
          </w:p>
        </w:tc>
        <w:tc>
          <w:tcPr>
            <w:tcW w:type="dxa" w:w="14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35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4 政策出现质的变化：中央财政首次贴息商业房贷，国务院通过首个专门的消费五年规划</w:t>
            </w:r>
            <w:r>
              <w:rPr>
                <w:rStyle w:val="FootnoteReference"/>
              </w:rPr>
              <w:footnoteReference w:id="316"/>
            </w:r>
          </w:p>
        </w:tc>
        <w:tc>
          <w:tcPr>
            <w:tcW w:type="dxa" w:w="44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方向对，规模小：贴息每户每年最多约1万元；以旧换新资金比2025年少500亿元；新增政府债务与2025年基本持平</w:t>
            </w:r>
          </w:p>
        </w:tc>
        <w:tc>
          <w:tcPr>
            <w:tcW w:type="dxa" w:w="14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35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5 股市和资本市场重新活跃</w:t>
            </w:r>
          </w:p>
        </w:tc>
        <w:tc>
          <w:tcPr>
            <w:tcW w:type="dxa" w:w="4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上涨集中在科技板块，三季度已经急跌，宽基年内为负；一级市场的热度比二级市场滞后，港股9月新股破发率近六成</w:t>
            </w:r>
          </w:p>
        </w:tc>
        <w:tc>
          <w:tcPr>
            <w:tcW w:type="dxa" w:w="14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bCs/>
                <w:color w:val="0E6655"/>
                <w:sz w:val="15"/>
                <w:szCs w:val="15"/>
                <w:shd w:fill="DCF0EB" w:color="auto" w:val="clear"/>
              </w:rPr>
              <w:t xml:space="preserve"> 中高 </w:t>
            </w:r>
          </w:p>
        </w:tc>
      </w:tr>
      <w:tr>
        <w:trPr>
          <w:cantSplit/>
        </w:trPr>
        <w:tc>
          <w:tcPr>
            <w:tcW w:type="dxa" w:w="35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 去杠杆本身在发生：住户杠杆率在下降</w:t>
            </w:r>
          </w:p>
        </w:tc>
        <w:tc>
          <w:tcPr>
            <w:tcW w:type="dxa" w:w="442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住户还债压低了消费，社零8月只增长0.4%；政府在同时加杠杆，总杠杆没有下降的趋势；辜朝明描述的"资产负债表衰退"正是这种组合</w:t>
            </w:r>
            <w:r>
              <w:rPr>
                <w:rStyle w:val="FootnoteReference"/>
              </w:rPr>
              <w:footnoteReference w:id="317"/>
            </w:r>
          </w:p>
        </w:tc>
        <w:tc>
          <w:tcPr>
            <w:tcW w:type="dxa" w:w="14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bCs/>
                <w:color w:val="1E6B34"/>
                <w:sz w:val="15"/>
                <w:szCs w:val="15"/>
                <w:shd w:fill="E2F1E5" w:color="auto" w:val="clear"/>
              </w:rPr>
              <w:t xml:space="preserve"> 高 </w:t>
            </w:r>
          </w:p>
        </w:tc>
      </w:tr>
      <w:tr>
        <w:trPr>
          <w:cantSplit/>
        </w:trPr>
        <w:tc>
          <w:tcPr>
            <w:tcW w:type="dxa" w:w="35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7 外部评论提出三个转折信号：上海楼市企稳、制造业PMI回到扩张区间、工业利润恢复增长</w:t>
            </w:r>
          </w:p>
        </w:tc>
        <w:tc>
          <w:tcPr>
            <w:tcW w:type="dxa" w:w="442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上海是最强的信号，作为局部见底的候选成立；PMI 50.1是弱信号，新订单比8月还低；利润回升始于2025年底，8月单月只增长4.2%，动能在减弱，把它当作新的转折信号时间顺序是反的</w:t>
            </w:r>
          </w:p>
        </w:tc>
        <w:tc>
          <w:tcPr>
            <w:tcW w:type="dxa" w:w="14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w:t>
            </w:r>
            <w:r>
              <w:rPr>
                <w:rFonts w:ascii="Calibri" w:cs="Calibri" w:eastAsia="DengXian" w:hAnsi="Calibri"/>
                <w:b/>
                <w:bCs/>
                <w:color w:val="8A5A00"/>
                <w:sz w:val="15"/>
                <w:szCs w:val="15"/>
                <w:shd w:fill="FFF0C7" w:color="auto" w:val="clear"/>
              </w:rPr>
              <w:t xml:space="preserve"> 中 </w:t>
            </w:r>
          </w:p>
          <w:p>
            <w:pPr>
              <w:spacing w:after="0" w:line="276"/>
              <w:jc w:val="left"/>
            </w:pPr>
            <w:r>
              <w:rPr>
                <w:rFonts w:ascii="Calibri" w:cs="Calibri" w:eastAsia="DengXian" w:hAnsi="Calibri"/>
                <w:b w:val="false"/>
                <w:bCs w:val="false"/>
                <w:color w:val="1F2328"/>
                <w:sz w:val="18"/>
                <w:szCs w:val="18"/>
              </w:rPr>
              <w:t xml:space="preserve">PMI和利润</w:t>
            </w:r>
            <w:r>
              <w:rPr>
                <w:rFonts w:ascii="Calibri" w:cs="Calibri" w:eastAsia="DengXian" w:hAnsi="Calibri"/>
                <w:b/>
                <w:bCs/>
                <w:color w:val="0E6655"/>
                <w:sz w:val="15"/>
                <w:szCs w:val="15"/>
                <w:shd w:fill="DCF0EB" w:color="auto" w:val="clear"/>
              </w:rPr>
              <w:t xml:space="preserve"> 中高 </w:t>
            </w:r>
          </w:p>
        </w:tc>
      </w:tr>
    </w:tbl>
    <w:p>
      <w:pPr>
        <w:spacing w:after="120"/>
      </w:pPr>
    </w:p>
    <w:p>
      <w:pPr>
        <w:spacing w:after="140" w:line="340"/>
        <w:jc w:val="both"/>
      </w:pPr>
      <w:r>
        <w:rPr>
          <w:rFonts w:ascii="Calibri" w:cs="Calibri" w:eastAsia="DengXian" w:hAnsi="Calibri"/>
          <w:b/>
          <w:bCs/>
          <w:color w:val="5B3E96"/>
          <w:sz w:val="18"/>
          <w:szCs w:val="18"/>
          <w:shd w:fill="ECE6F7" w:color="auto" w:val="clear"/>
        </w:rPr>
        <w:t xml:space="preserve"> 推断 </w:t>
      </w:r>
      <w:r>
        <w:rPr>
          <w:rFonts w:ascii="Calibri" w:cs="Calibri" w:eastAsia="DengXian" w:hAnsi="Calibri"/>
          <w:b w:val="false"/>
          <w:bCs w:val="false"/>
          <w:color w:val="1F2328"/>
          <w:sz w:val="21"/>
          <w:szCs w:val="21"/>
        </w:rPr>
        <w:t xml:space="preserve">支持拐点的证据里，最强的一条（价格）最依赖供给侧和外部因素；不依赖它们的证据，包括信用、消费、房价和国债收益率，都指向"还没有拐点"。2026年还算不上长期债务周期的拐点。</w:t>
      </w:r>
      <w:r>
        <w:rPr>
          <w:rFonts w:ascii="Calibri" w:cs="Calibri" w:eastAsia="DengXian" w:hAnsi="Calibri"/>
          <w:b/>
          <w:bCs/>
          <w:color w:val="0E6655"/>
          <w:sz w:val="18"/>
          <w:szCs w:val="18"/>
          <w:shd w:fill="DCF0EB" w:color="auto" w:val="clear"/>
        </w:rPr>
        <w:t xml:space="preserve"> 置信度 中高 </w:t>
      </w:r>
      <w:r>
        <w:rPr>
          <w:rFonts w:ascii="Calibri" w:cs="Calibri" w:eastAsia="DengXian" w:hAnsi="Calibri"/>
          <w:b w:val="false"/>
          <w:bCs w:val="false"/>
          <w:color w:val="1F2328"/>
          <w:sz w:val="21"/>
          <w:szCs w:val="21"/>
        </w:rPr>
        <w:t xml:space="preserve">一线城市，尤其上海，是局部例外的候选：把时间放宽到2027年底，一线城市房价见底的概率约60%。</w:t>
      </w:r>
      <w:r>
        <w:rPr>
          <w:rFonts w:ascii="Calibri" w:cs="Calibri" w:eastAsia="DengXian" w:hAnsi="Calibri"/>
          <w:b/>
          <w:bCs/>
          <w:color w:val="4B5563"/>
          <w:sz w:val="18"/>
          <w:szCs w:val="18"/>
          <w:shd w:fill="E9EBEE" w:color="auto" w:val="clear"/>
        </w:rPr>
        <w:t xml:space="preserve"> 主观概率 </w:t>
      </w:r>
      <w:r>
        <w:rPr>
          <w:rFonts w:ascii="Calibri" w:cs="Calibri" w:eastAsia="DengXian" w:hAnsi="Calibri"/>
          <w:b w:val="false"/>
          <w:bCs w:val="false"/>
          <w:color w:val="1F2328"/>
          <w:sz w:val="21"/>
          <w:szCs w:val="21"/>
        </w:rPr>
        <w:t xml:space="preserve">这个估计的依据是：上海二手房价格按统计局口径持续环比上涨（中指口径9月由跌转涨），高盛和标普都预计一线先于全国见底，同时北京已转跌、广州持平。</w:t>
      </w: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16 未来6个月的观察日程</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210"/>
        <w:gridCol w:w="2458"/>
        <w:gridCol w:w="2892"/>
        <w:gridCol w:w="2852"/>
      </w:tblGrid>
      <w:tr>
        <w:trPr>
          <w:cantSplit/>
          <w:tblHeader/>
        </w:trPr>
        <w:tc>
          <w:tcPr>
            <w:tcW w:type="dxa" w:w="121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时间</w:t>
            </w:r>
          </w:p>
        </w:tc>
        <w:tc>
          <w:tcPr>
            <w:tcW w:type="dxa" w:w="245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事件</w:t>
            </w:r>
          </w:p>
        </w:tc>
        <w:tc>
          <w:tcPr>
            <w:tcW w:type="dxa" w:w="289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支持本报告判断的读数</w:t>
            </w:r>
          </w:p>
        </w:tc>
        <w:tc>
          <w:tcPr>
            <w:tcW w:type="dxa" w:w="285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推翻本报告判断的读数</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10月10—15日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9月金融数据</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住户中长期贷款接近零或为负，贷款增速不高于5%</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住户中长期贷款明显为正，社融增速回升</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10月13日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IMF《世界经济展望》</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对中国2027年增长和通胀的预测继续下调</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大幅上调通胀和增长预测</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10月14日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9月贸易数据</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出口增速回落，芯片出口数量继续下降</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出口增速保持在20%以上，芯片出口数量转正</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约10月14—15日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9月CPI、PPI</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PPI在3%—4%，核心CPI约1%，服务价格偏弱</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核心CPI升到1.3%以上，服务价格转升</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约10月19—20日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三季度GDP、9月活动数据、三季度产能利用率、9月70城房价</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实际增长4.0%—4.3%，社零低于2%；全国二手房下跌城市数没有减少</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实际增长高于4.8%，社零高于3%；下跌城市数降到一半以下</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10月20日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LPR报价</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不变</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下调20个基点以上，随后两三个月住户贷款回升</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10月（日期待定）</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二十届五中全会</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政策方向以供给和投资为主，面向住户的转移规模小</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明确推出大规模面向住户的收入或社保转移</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约10月27日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9月工业利润</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单月增速仍低，集中在上游和电子</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单月重新超过10%，并且下游转正</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10月底、12月</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美联储议息</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再次加息或维持高位，外部金融条件偏紧</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停止加息并转向</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10月下旬</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NIFD三季度杠杆率；基金三季报</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杠杆率回升或持平</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名义增速没有再跳升，杠杆率仍继续下降</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美国"产能过剩"301调查结果</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对华新增税率在7.5%左右</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新增税率明显更高，或中方重新收紧稀土管制</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11月中旬、12月中旬</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10月、11月70城房价（标普检验）</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全国下跌延续，一线分化</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沪深穗连续三个月环比不跌，全国下跌城市数明显减少</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11月18—19日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APEC深圳会议</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中美维持管理型休战</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休战破裂，或达成实质性的关税下调</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12月（按惯例）</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中央经济工作会议；万科两只展期中票本金到期</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2027年财政规模基本持平；万科继续展期</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赤字率明显上调；万科出现实质违约</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2027年1月10日</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中美休战到期</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再次延期</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不再延期，关税回升</w:t>
            </w:r>
          </w:p>
        </w:tc>
      </w:tr>
      <w:tr>
        <w:trPr>
          <w:cantSplit/>
        </w:trPr>
        <w:tc>
          <w:tcPr>
            <w:tcW w:type="dxa" w:w="121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2027年1月22日</w:t>
            </w:r>
          </w:p>
        </w:tc>
        <w:tc>
          <w:tcPr>
            <w:tcW w:type="dxa" w:w="245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"21万科02"余额兑付</w:t>
            </w:r>
          </w:p>
        </w:tc>
        <w:tc>
          <w:tcPr>
            <w:tcW w:type="dxa" w:w="289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按展期安排兑付</w:t>
            </w:r>
          </w:p>
        </w:tc>
        <w:tc>
          <w:tcPr>
            <w:tcW w:type="dxa" w:w="285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未能兑付</w:t>
            </w:r>
          </w:p>
        </w:tc>
      </w:tr>
      <w:tr>
        <w:trPr>
          <w:cantSplit/>
        </w:trPr>
        <w:tc>
          <w:tcPr>
            <w:tcW w:type="dxa" w:w="121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2027年3—6月</w:t>
            </w:r>
          </w:p>
        </w:tc>
        <w:tc>
          <w:tcPr>
            <w:tcW w:type="dxa" w:w="245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PPI高基数效应显现</w:t>
            </w:r>
          </w:p>
        </w:tc>
        <w:tc>
          <w:tcPr>
            <w:tcW w:type="dxa" w:w="289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名义增速明显回落</w:t>
            </w:r>
          </w:p>
        </w:tc>
        <w:tc>
          <w:tcPr>
            <w:tcW w:type="dxa" w:w="285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基数效应消退后，平减指数仍保持在+1%以上</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附录A 数据口径与仍存的出入</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2757"/>
        <w:gridCol w:w="3799"/>
        <w:gridCol w:w="2856"/>
      </w:tblGrid>
      <w:tr>
        <w:trPr>
          <w:cantSplit/>
          <w:tblHeader/>
        </w:trPr>
        <w:tc>
          <w:tcPr>
            <w:tcW w:type="dxa" w:w="2757"/>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事项</w:t>
            </w:r>
          </w:p>
        </w:tc>
        <w:tc>
          <w:tcPr>
            <w:tcW w:type="dxa" w:w="3799"/>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情况</w:t>
            </w:r>
          </w:p>
        </w:tc>
        <w:tc>
          <w:tcPr>
            <w:tcW w:type="dxa" w:w="2856"/>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本报告的处理</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二季度名义GDP增速</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NIFD为5.9%；按水平值推算约5.8%</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写作5.8%—5.9%，平减指数写作+1.4%至+1.6%</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10月初布伦特油价</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10月1—8日没有确认的结算价，预测市场隐含约98—103美元</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用区间</w:t>
            </w:r>
            <w:r>
              <w:rPr>
                <w:rFonts w:ascii="Calibri" w:cs="Calibri" w:eastAsia="DengXian" w:hAnsi="Calibri"/>
                <w:b/>
                <w:bCs/>
                <w:color w:val="6B4E00"/>
                <w:sz w:val="15"/>
                <w:szCs w:val="15"/>
                <w:shd w:fill="F5E9C4" w:color="auto" w:val="clear"/>
              </w:rPr>
              <w:t xml:space="preserve"> 未核实 </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10月8日上证综指收盘3811.90点</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只有单一来源</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以9月30日收盘3842.19点为主要参照</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社零1.1%与2.5%</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统计范围不同；2.5%出自商务部表述，服务零售额4.9%没能在统计局原文中核实</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使用统计局口径；第1版的"冲突"说法已更正</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上海二手房成交"同比增长17.2%、连续7个月增长"</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外部评论引用，没能核实</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PMI的生产指数51.7、从业人员指数48.4</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外部评论引用，没能核实</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科创50在7月约249倍的市盈率</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出处没有逐页核实</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标注</w:t>
            </w:r>
            <w:r>
              <w:rPr>
                <w:rFonts w:ascii="Calibri" w:cs="Calibri" w:eastAsia="DengXian" w:hAnsi="Calibri"/>
                <w:b/>
                <w:bCs/>
                <w:color w:val="6B4E00"/>
                <w:sz w:val="15"/>
                <w:szCs w:val="15"/>
                <w:shd w:fill="F5E9C4" w:color="auto" w:val="clear"/>
              </w:rPr>
              <w:t xml:space="preserve"> 未核实 </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金价纪录5318美元与10月初约4157美元</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单一数据源</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标注</w:t>
            </w:r>
            <w:r>
              <w:rPr>
                <w:rFonts w:ascii="Calibri" w:cs="Calibri" w:eastAsia="DengXian" w:hAnsi="Calibri"/>
                <w:b/>
                <w:bCs/>
                <w:color w:val="6B4E00"/>
                <w:sz w:val="15"/>
                <w:szCs w:val="15"/>
                <w:shd w:fill="F5E9C4" w:color="auto" w:val="clear"/>
              </w:rPr>
              <w:t xml:space="preserve"> 未核实 </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稀土出口管制暂停的到期日</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有2026年11月10日和2027年1月10日两种说法</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标普的一线城市检验是否包含北京</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来源说法不同</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采用沪深穗三城的版本；若包含北京，8月数据已不满足</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长鑫科技募资额</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666亿元与约579亿元两种口径</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不影响判断</w:t>
            </w:r>
          </w:p>
        </w:tc>
      </w:tr>
      <w:tr>
        <w:trPr>
          <w:cantSplit/>
        </w:trPr>
        <w:tc>
          <w:tcPr>
            <w:tcW w:type="dxa" w:w="2757"/>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全国政府债务余额</w:t>
            </w:r>
          </w:p>
        </w:tc>
        <w:tc>
          <w:tcPr>
            <w:tcW w:type="dxa" w:w="3799"/>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"约96万亿元"与"102.5万亿元"的时点和口径没有厘清</w:t>
            </w:r>
          </w:p>
        </w:tc>
        <w:tc>
          <w:tcPr>
            <w:tcW w:type="dxa" w:w="2856"/>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不作为依据</w:t>
            </w:r>
          </w:p>
        </w:tc>
      </w:tr>
      <w:tr>
        <w:trPr>
          <w:cantSplit/>
        </w:trPr>
        <w:tc>
          <w:tcPr>
            <w:tcW w:type="dxa" w:w="2757"/>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官方实际GDP的可信度</w:t>
            </w:r>
          </w:p>
        </w:tc>
        <w:tc>
          <w:tcPr>
            <w:tcW w:type="dxa" w:w="3799"/>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荣鼎估计2025年为2.5%—3.0%，芬兰央行转型经济研究所估计约4%，官方为5.0%</w:t>
            </w:r>
          </w:p>
        </w:tc>
        <w:tc>
          <w:tcPr>
            <w:tcW w:type="dxa" w:w="2856"/>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核心判断主要依靠价格、信用和财政数据</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附录B 专家观点与来源利益</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732"/>
        <w:gridCol w:w="3005"/>
        <w:gridCol w:w="2550"/>
        <w:gridCol w:w="2125"/>
      </w:tblGrid>
      <w:tr>
        <w:trPr>
          <w:cantSplit/>
          <w:tblHeader/>
        </w:trPr>
        <w:tc>
          <w:tcPr>
            <w:tcW w:type="dxa" w:w="1732"/>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专家或机构</w:t>
            </w:r>
          </w:p>
        </w:tc>
        <w:tc>
          <w:tcPr>
            <w:tcW w:type="dxa" w:w="300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最新诊断（转述）</w:t>
            </w:r>
          </w:p>
        </w:tc>
        <w:tc>
          <w:tcPr>
            <w:tcW w:type="dxa" w:w="2550"/>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利益或可能的偏差</w:t>
            </w:r>
          </w:p>
        </w:tc>
        <w:tc>
          <w:tcPr>
            <w:tcW w:type="dxa" w:w="2125"/>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本报告的使用方式</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IMF、世界银行</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通缩压力持续；能源推动的价格回升会消退</w:t>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依赖官方数据，措辞审慎</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作为官方基准</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标普</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楼市"接近底部"，全国价格底部约在2028年三季度</w:t>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给开发商和银行做评级；2024年的企稳预测偏早</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采用它的检验条件，对时点打折</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高盛、摩根士丹利</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高盛：沪深2026年见底，2026年增长预测下调到4.5%；邢自强：出口和AI强、住房和消费弱的分化格局至少再持续两年</w:t>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卖方，在华有投行和资管业务；策略团队超配中国股票</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区分经济学家与策略团队的观点</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荣鼎咨询</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2025年实际增长2.5%—3.0%；增长战略行不通</w:t>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以质疑官方数据为特色，估计偏低</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与芬兰央行转型经济研究所的估计对照使用</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迈克尔·佩蒂斯</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日本式的清算仍未到来</w:t>
            </w:r>
            <w:r>
              <w:rPr>
                <w:rStyle w:val="FootnoteReference"/>
              </w:rPr>
              <w:footnoteReference w:id="318"/>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长期坚持再平衡论，一贯偏悲观</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结构分析有价值，时点判断较弱</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辜朝明</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中国处在资产负债表衰退中</w:t>
            </w:r>
            <w:r>
              <w:rPr>
                <w:rStyle w:val="FootnoteReference"/>
              </w:rPr>
              <w:footnoteReference w:id="319"/>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这一理论的提出者</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重视政策逻辑，对"必然走日本路径"打折</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亚当·波森</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居民需求疲弱且在恶化</w:t>
            </w:r>
            <w:r>
              <w:rPr>
                <w:rStyle w:val="FootnoteReference"/>
              </w:rPr>
              <w:footnoteReference w:id="320"/>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面向华盛顿政策圈</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定性参考</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余永定</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中国物价仍是主要经济体中最低，应加大扩张</w:t>
            </w:r>
            <w:r>
              <w:rPr>
                <w:rStyle w:val="FootnoteReference"/>
              </w:rPr>
              <w:footnoteReference w:id="321"/>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长期主张财政与基建扩张</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他的价格判断与数据一致</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黄益平</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AI可能加剧"供强需弱"；投资走弱最值得关注</w:t>
            </w:r>
            <w:r>
              <w:rPr>
                <w:rStyle w:val="FootnoteReference"/>
              </w:rPr>
              <w:footnoteReference w:id="322"/>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现任央行货币政策委员会委员，表述谨慎</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重视他对价格回升能否持续的保留</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刘世锦</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"供强需弱"突出，恢复投资要先把储蓄转为消费</w:t>
            </w:r>
            <w:r>
              <w:rPr>
                <w:rStyle w:val="FootnoteReference"/>
              </w:rPr>
              <w:footnoteReference w:id="323"/>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政府智库背景，偏改革派</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结构判断参考</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孙学工</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平减指数转正后，企业利润与预期将改善</w:t>
            </w:r>
            <w:r>
              <w:rPr>
                <w:rStyle w:val="FootnoteReference"/>
              </w:rPr>
              <w:footnoteReference w:id="324"/>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国家发改委下属研究院，接近官方叙事</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作为"政策层可能读成复苏"的证据</w:t>
            </w:r>
          </w:p>
        </w:tc>
      </w:tr>
      <w:tr>
        <w:trPr>
          <w:cantSplit/>
        </w:trPr>
        <w:tc>
          <w:tcPr>
            <w:tcW w:type="dxa" w:w="1732"/>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洪灏</w:t>
            </w:r>
          </w:p>
        </w:tc>
        <w:tc>
          <w:tcPr>
            <w:tcW w:type="dxa" w:w="300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A股长期将创新高，人民币被低估</w:t>
            </w:r>
            <w:r>
              <w:rPr>
                <w:rStyle w:val="FootnoteReference"/>
              </w:rPr>
              <w:footnoteReference w:id="325"/>
            </w:r>
          </w:p>
        </w:tc>
        <w:tc>
          <w:tcPr>
            <w:tcW w:type="dxa" w:w="2550"/>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一贯看多A股和人民币</w:t>
            </w:r>
          </w:p>
        </w:tc>
        <w:tc>
          <w:tcPr>
            <w:tcW w:type="dxa" w:w="2125"/>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作为市场情绪参考</w:t>
            </w:r>
          </w:p>
        </w:tc>
      </w:tr>
      <w:tr>
        <w:trPr>
          <w:cantSplit/>
        </w:trPr>
        <w:tc>
          <w:tcPr>
            <w:tcW w:type="dxa" w:w="1732"/>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达利欧、马克斯</w:t>
            </w:r>
          </w:p>
        </w:tc>
        <w:tc>
          <w:tcPr>
            <w:tcW w:type="dxa" w:w="300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两人都没有对2026年的中国作阶段判断</w:t>
            </w:r>
          </w:p>
        </w:tc>
        <w:tc>
          <w:tcPr>
            <w:tcW w:type="dxa" w:w="2550"/>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达利欧与中国高层有长期联系；橡树资本在华有在岸业务</w:t>
            </w:r>
          </w:p>
        </w:tc>
        <w:tc>
          <w:tcPr>
            <w:tcW w:type="dxa" w:w="2125"/>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只使用两人框架中可以被数据检验的部分</w:t>
            </w:r>
          </w:p>
        </w:tc>
      </w:tr>
    </w:tbl>
    <w:p>
      <w:pPr>
        <w:spacing w:after="120"/>
      </w:pPr>
    </w:p>
    <w:p>
      <w:pPr>
        <w:pStyle w:val="Heading1"/>
        <w:keepNext/>
        <w:pBdr>
          <w:bottom w:val="single" w:color="2E75B6" w:sz="8" w:space="6"/>
        </w:pBdr>
        <w:spacing w:after="220" w:before="520"/>
      </w:pPr>
      <w:r>
        <w:rPr>
          <w:rFonts w:ascii="Calibri" w:cs="Calibri" w:eastAsia="Microsoft YaHei" w:hAnsi="Calibri"/>
          <w:b/>
          <w:bCs/>
          <w:color w:val="1F3A5F"/>
          <w:sz w:val="32"/>
          <w:szCs w:val="32"/>
        </w:rPr>
        <w:t xml:space="preserve">附录C 术语说明</w:t>
      </w:r>
    </w:p>
    <w:tbl>
      <w:tblPr>
        <w:tblW w:type="dxa" w:w="9412"/>
        <w:tblBorders>
          <w:top w:val="single" w:color="1F3A5F" w:sz="8"/>
          <w:left w:val="none" w:color="FFFFFF" w:sz="0"/>
          <w:bottom w:val="single" w:color="1F3A5F" w:sz="8"/>
          <w:right w:val="none" w:color="FFFFFF" w:sz="0"/>
          <w:insideH w:val="single" w:color="D9E0E8" w:sz="4"/>
          <w:insideV w:val="none" w:color="FFFFFF" w:sz="0"/>
        </w:tblBorders>
        <w:tblLayout w:type="fixed"/>
      </w:tblPr>
      <w:tblGrid>
        <w:gridCol w:w="1934"/>
        <w:gridCol w:w="7478"/>
      </w:tblGrid>
      <w:tr>
        <w:trPr>
          <w:cantSplit/>
          <w:tblHeader/>
        </w:trPr>
        <w:tc>
          <w:tcPr>
            <w:tcW w:type="dxa" w:w="1934"/>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术语</w:t>
            </w:r>
          </w:p>
        </w:tc>
        <w:tc>
          <w:tcPr>
            <w:tcW w:type="dxa" w:w="7478"/>
            <w:tcBorders>
              <w:top w:val="none" w:color="FFFFFF" w:sz="0"/>
              <w:left w:val="none" w:color="FFFFFF" w:sz="0"/>
              <w:bottom w:val="single" w:color="D9E0E8" w:sz="4"/>
              <w:right w:val="none" w:color="FFFFFF" w:sz="0"/>
            </w:tcBorders>
            <w:shd w:fill="1F3A5F" w:color="auto" w:val="clear"/>
            <w:tcMar>
              <w:top w:type="dxa" w:w="70"/>
              <w:left w:type="dxa" w:w="110"/>
              <w:bottom w:type="dxa" w:w="70"/>
              <w:right w:type="dxa" w:w="110"/>
            </w:tcMar>
            <w:vAlign w:val="center"/>
          </w:tcPr>
          <w:p>
            <w:pPr>
              <w:spacing w:after="0" w:line="276"/>
              <w:jc w:val="left"/>
            </w:pPr>
            <w:r>
              <w:rPr>
                <w:rFonts w:ascii="Calibri" w:cs="Calibri" w:eastAsia="Microsoft YaHei" w:hAnsi="Calibri"/>
                <w:b/>
                <w:bCs/>
                <w:color w:val="FFFFFF"/>
                <w:sz w:val="18"/>
                <w:szCs w:val="18"/>
              </w:rPr>
              <w:t xml:space="preserve">通俗解释</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名义GDP、实际GDP</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名义GDP按当年价格计算，包含涨价因素；实际GDP剔除了价格变化</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GDP平减指数</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名义GDP除以实际GDP，衡量整个经济的价格水平变化</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PPI</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工业生产者出厂价格，反映工厂卖出产品的价格</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核心CPI</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剔除食品和能源后的居民消费价格，更能反映需求</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宏观杠杆率</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住户、企业和政府的债务合计占GDP的比例</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社融</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社会融资规模，实体经济从金融体系获得的资金总额</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LPR</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贷款市场报价利率，银行贷款定价的基准</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净息差</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银行贷款收益率与存款成本之间的差，衡量银行赚利差的能力</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两融余额</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股市的融资融券余额，反映借钱炒股的规模</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股债收益差</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股票的盈利收益率减去国债收益率，衡量股票相对债券的吸引力</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展期</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债务到期后推迟偿还，期限延长</w:t>
            </w:r>
          </w:p>
        </w:tc>
      </w:tr>
      <w:tr>
        <w:trPr>
          <w:cantSplit/>
        </w:trPr>
        <w:tc>
          <w:tcPr>
            <w:tcW w:type="dxa" w:w="1934"/>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推绳子</w:t>
            </w:r>
          </w:p>
        </w:tc>
        <w:tc>
          <w:tcPr>
            <w:tcW w:type="dxa" w:w="7478"/>
            <w:tcBorders>
              <w:top w:val="single" w:color="D9E0E8" w:sz="4"/>
              <w:left w:val="none" w:color="FFFFFF" w:sz="0"/>
              <w:bottom w:val="single" w:color="D9E0E8" w:sz="4"/>
              <w:right w:val="none" w:color="FFFFFF" w:sz="0"/>
            </w:tcBorders>
            <w:shd w:fill="F5F8FB" w:color="auto" w:val="clear"/>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降息和放贷都带不动借贷需求的状态</w:t>
            </w:r>
          </w:p>
        </w:tc>
      </w:tr>
      <w:tr>
        <w:trPr>
          <w:cantSplit/>
        </w:trPr>
        <w:tc>
          <w:tcPr>
            <w:tcW w:type="dxa" w:w="1934"/>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漂亮的去杠杆</w:t>
            </w:r>
          </w:p>
        </w:tc>
        <w:tc>
          <w:tcPr>
            <w:tcW w:type="dxa" w:w="7478"/>
            <w:tcBorders>
              <w:top w:val="single" w:color="D9E0E8" w:sz="4"/>
              <w:left w:val="none" w:color="FFFFFF" w:sz="0"/>
              <w:bottom w:val="single" w:color="D9E0E8" w:sz="4"/>
              <w:right w:val="none" w:color="FFFFFF" w:sz="0"/>
            </w:tcBorders>
            <w:tcMar>
              <w:top w:type="dxa" w:w="70"/>
              <w:left w:type="dxa" w:w="110"/>
              <w:bottom w:type="dxa" w:w="70"/>
              <w:right w:type="dxa" w:w="110"/>
            </w:tcMar>
            <w:vAlign w:val="center"/>
          </w:tcPr>
          <w:p>
            <w:pPr>
              <w:spacing w:after="0" w:line="276"/>
              <w:jc w:val="left"/>
            </w:pPr>
            <w:r>
              <w:rPr>
                <w:rFonts w:ascii="Calibri" w:cs="Calibri" w:eastAsia="DengXian" w:hAnsi="Calibri"/>
                <w:b w:val="false"/>
                <w:bCs w:val="false"/>
                <w:color w:val="1F2328"/>
                <w:sz w:val="18"/>
                <w:szCs w:val="18"/>
              </w:rPr>
              <w:t xml:space="preserve">达利欧的用语：通缩性和通胀性的手段相互平衡，债务负担下降，同时不出现严重的通缩或通胀</w:t>
            </w:r>
          </w:p>
        </w:tc>
      </w:tr>
    </w:tbl>
    <w:p>
      <w:pPr>
        <w:spacing w:after="120"/>
      </w:pPr>
    </w:p>
    <w:sectPr>
      <w:headerReference w:type="default" r:id="rId7"/>
      <w:headerReference w:type="first" r:id="rId8"/>
      <w:footerReference w:type="default" r:id="rId9"/>
      <w:footerReference w:type="first" r:id="rId10"/>
      <w:pgSz w:w="11906" w:h="16838" w:orient="portrait"/>
      <w:pgMar w:top="1418" w:right="1247" w:bottom="1361" w:left="1247" w:header="708" w:footer="62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rFonts w:ascii="Calibri" w:cs="Calibri" w:eastAsia="Microsoft YaHei" w:hAnsi="Calibri"/>
        <w:color w:val="9AA4B2"/>
        <w:sz w:val="16"/>
        <w:szCs w:val="16"/>
      </w:rPr>
      <w:t xml:space="preserve">第 </w:t>
      <w:fldChar w:fldCharType="begin"/>
      <w:instrText xml:space="preserve">PAGE</w:instrText>
      <w:fldChar w:fldCharType="separate"/>
      <w:fldChar w:fldCharType="end"/>
      <w:t xml:space="preserve"> 页 / 共 </w:t>
      <w:fldChar w:fldCharType="begin"/>
      <w:instrText xml:space="preserve">NUMPAGES</w:instrText>
      <w:fldChar w:fldCharType="separate"/>
      <w:fldChar w:fldCharType="end"/>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20" w:line="240"/>
      </w:pPr>
      <w:r>
        <w:rPr>
          <w:rStyle w:val="FootnoteReference"/>
        </w:rPr>
        <w:footnoteRef/>
      </w:r>
      <w:r>
        <w:rPr>
          <w:rFonts w:ascii="Calibri" w:cs="Calibri" w:eastAsia="DengXian" w:hAnsi="Calibri"/>
          <w:color w:val="374151"/>
          <w:sz w:val="16"/>
          <w:szCs w:val="16"/>
        </w:rPr>
        <w:t xml:space="preserve">Medium：Big Debt Crises: the phases of the classic deflationary debt cycle。 </w:t>
      </w:r>
      <w:hyperlink w:history="1" r:id="rIdtmed88gqxd9afsguad595">
        <w:r>
          <w:rPr>
            <w:rFonts w:ascii="Calibri" w:cs="Calibri" w:eastAsia="DengXian" w:hAnsi="Calibri"/>
            <w:color w:val="2E75B6"/>
            <w:sz w:val="15"/>
            <w:szCs w:val="15"/>
            <w:u w:val="single"/>
          </w:rPr>
          <w:t xml:space="preserve">medium.com</w:t>
        </w:r>
      </w:hyperlink>
    </w:p>
  </w:footnote>
  <w:footnote w:id="2">
    <w:p>
      <w:pPr>
        <w:spacing w:after="20" w:line="240"/>
      </w:pPr>
      <w:r>
        <w:rPr>
          <w:rStyle w:val="FootnoteReference"/>
        </w:rPr>
        <w:footnoteRef/>
      </w:r>
      <w:r>
        <w:rPr>
          <w:rFonts w:ascii="Calibri" w:cs="Calibri" w:eastAsia="DengXian" w:hAnsi="Calibri"/>
          <w:color w:val="374151"/>
          <w:sz w:val="16"/>
          <w:szCs w:val="16"/>
        </w:rPr>
        <w:t xml:space="preserve">Mauldin Economics：Big Debt Cycles, Part 2。 </w:t>
      </w:r>
      <w:hyperlink w:history="1" r:id="rIdu91gssfqfj3ntzzf2pm1y">
        <w:r>
          <w:rPr>
            <w:rFonts w:ascii="Calibri" w:cs="Calibri" w:eastAsia="DengXian" w:hAnsi="Calibri"/>
            <w:color w:val="2E75B6"/>
            <w:sz w:val="15"/>
            <w:szCs w:val="15"/>
            <w:u w:val="single"/>
          </w:rPr>
          <w:t xml:space="preserve">mauldineconomics.com</w:t>
        </w:r>
      </w:hyperlink>
    </w:p>
  </w:footnote>
  <w:footnote w:id="3">
    <w:p>
      <w:pPr>
        <w:spacing w:after="20" w:line="240"/>
      </w:pPr>
      <w:r>
        <w:rPr>
          <w:rStyle w:val="FootnoteReference"/>
        </w:rPr>
        <w:footnoteRef/>
      </w:r>
      <w:r>
        <w:rPr>
          <w:rFonts w:ascii="Calibri" w:cs="Calibri" w:eastAsia="DengXian" w:hAnsi="Calibri"/>
          <w:color w:val="374151"/>
          <w:sz w:val="16"/>
          <w:szCs w:val="16"/>
        </w:rPr>
        <w:t xml:space="preserve">ValueWalk：Principles for Navigating Big Debt Crises书摘。 </w:t>
      </w:r>
      <w:hyperlink w:history="1" r:id="rId6vujfkcowmpa-r_4es2gg">
        <w:r>
          <w:rPr>
            <w:rFonts w:ascii="Calibri" w:cs="Calibri" w:eastAsia="DengXian" w:hAnsi="Calibri"/>
            <w:color w:val="2E75B6"/>
            <w:sz w:val="15"/>
            <w:szCs w:val="15"/>
            <w:u w:val="single"/>
          </w:rPr>
          <w:t xml:space="preserve">valuewalk.com</w:t>
        </w:r>
      </w:hyperlink>
    </w:p>
  </w:footnote>
  <w:footnote w:id="4">
    <w:p>
      <w:pPr>
        <w:spacing w:after="20" w:line="240"/>
      </w:pPr>
      <w:r>
        <w:rPr>
          <w:rStyle w:val="FootnoteReference"/>
        </w:rPr>
        <w:footnoteRef/>
      </w:r>
      <w:r>
        <w:rPr>
          <w:rFonts w:ascii="Calibri" w:cs="Calibri" w:eastAsia="DengXian" w:hAnsi="Calibri"/>
          <w:color w:val="374151"/>
          <w:sz w:val="16"/>
          <w:szCs w:val="16"/>
        </w:rPr>
        <w:t xml:space="preserve">CFA Institute：Principles for Navigating Big Debt Crises书评（2019）。 </w:t>
      </w:r>
      <w:hyperlink w:history="1" r:id="rIdeocntfzt9sdtnhacpwixd">
        <w:r>
          <w:rPr>
            <w:rFonts w:ascii="Calibri" w:cs="Calibri" w:eastAsia="DengXian" w:hAnsi="Calibri"/>
            <w:color w:val="2E75B6"/>
            <w:sz w:val="15"/>
            <w:szCs w:val="15"/>
            <w:u w:val="single"/>
          </w:rPr>
          <w:t xml:space="preserve">rpc.cfainstitute.org</w:t>
        </w:r>
      </w:hyperlink>
    </w:p>
  </w:footnote>
  <w:footnote w:id="5">
    <w:p>
      <w:pPr>
        <w:spacing w:after="20" w:line="240"/>
      </w:pPr>
      <w:r>
        <w:rPr>
          <w:rStyle w:val="FootnoteReference"/>
        </w:rPr>
        <w:footnoteRef/>
      </w:r>
      <w:r>
        <w:rPr>
          <w:rFonts w:ascii="Calibri" w:cs="Calibri" w:eastAsia="DengXian" w:hAnsi="Calibri"/>
          <w:color w:val="374151"/>
          <w:sz w:val="16"/>
          <w:szCs w:val="16"/>
        </w:rPr>
        <w:t xml:space="preserve">Hedge Fund Alpha：达利欧谈MP3与现代货币理论（2019）。 </w:t>
      </w:r>
      <w:hyperlink w:history="1" r:id="rIdrifyufm5ld1povivn5g3d">
        <w:r>
          <w:rPr>
            <w:rFonts w:ascii="Calibri" w:cs="Calibri" w:eastAsia="DengXian" w:hAnsi="Calibri"/>
            <w:color w:val="2E75B6"/>
            <w:sz w:val="15"/>
            <w:szCs w:val="15"/>
            <w:u w:val="single"/>
          </w:rPr>
          <w:t xml:space="preserve">hedgefundalpha.com</w:t>
        </w:r>
      </w:hyperlink>
    </w:p>
  </w:footnote>
  <w:footnote w:id="6">
    <w:p>
      <w:pPr>
        <w:spacing w:after="20" w:line="240"/>
      </w:pPr>
      <w:r>
        <w:rPr>
          <w:rStyle w:val="FootnoteReference"/>
        </w:rPr>
        <w:footnoteRef/>
      </w:r>
      <w:r>
        <w:rPr>
          <w:rFonts w:ascii="Calibri" w:cs="Calibri" w:eastAsia="DengXian" w:hAnsi="Calibri"/>
          <w:color w:val="374151"/>
          <w:sz w:val="16"/>
          <w:szCs w:val="16"/>
        </w:rPr>
        <w:t xml:space="preserve">国家统计局：2026年上半年国民经济运行情况（2026-07-15）。 </w:t>
      </w:r>
      <w:hyperlink w:history="1" r:id="rIdpibv2mceoqb0viyepzusw">
        <w:r>
          <w:rPr>
            <w:rFonts w:ascii="Calibri" w:cs="Calibri" w:eastAsia="DengXian" w:hAnsi="Calibri"/>
            <w:color w:val="2E75B6"/>
            <w:sz w:val="15"/>
            <w:szCs w:val="15"/>
            <w:u w:val="single"/>
          </w:rPr>
          <w:t xml:space="preserve">stats.gov.cn</w:t>
        </w:r>
      </w:hyperlink>
    </w:p>
  </w:footnote>
  <w:footnote w:id="7">
    <w:p>
      <w:pPr>
        <w:spacing w:after="20" w:line="240"/>
      </w:pPr>
      <w:r>
        <w:rPr>
          <w:rStyle w:val="FootnoteReference"/>
        </w:rPr>
        <w:footnoteRef/>
      </w:r>
      <w:r>
        <w:rPr>
          <w:rFonts w:ascii="Calibri" w:cs="Calibri" w:eastAsia="DengXian" w:hAnsi="Calibri"/>
          <w:color w:val="374151"/>
          <w:sz w:val="16"/>
          <w:szCs w:val="16"/>
        </w:rPr>
        <w:t xml:space="preserve">SCMP：China reports 4.3% GDP growth in second quarter（2026-07）。 </w:t>
      </w:r>
      <w:hyperlink w:history="1" r:id="rIdr_xmyclrugy2nepgoy5ne">
        <w:r>
          <w:rPr>
            <w:rFonts w:ascii="Calibri" w:cs="Calibri" w:eastAsia="DengXian" w:hAnsi="Calibri"/>
            <w:color w:val="2E75B6"/>
            <w:sz w:val="15"/>
            <w:szCs w:val="15"/>
            <w:u w:val="single"/>
          </w:rPr>
          <w:t xml:space="preserve">scmp.com</w:t>
        </w:r>
      </w:hyperlink>
    </w:p>
  </w:footnote>
  <w:footnote w:id="8">
    <w:p>
      <w:pPr>
        <w:spacing w:after="20" w:line="240"/>
      </w:pPr>
      <w:r>
        <w:rPr>
          <w:rStyle w:val="FootnoteReference"/>
        </w:rPr>
        <w:footnoteRef/>
      </w:r>
      <w:r>
        <w:rPr>
          <w:rFonts w:ascii="Calibri" w:cs="Calibri" w:eastAsia="DengXian" w:hAnsi="Calibri"/>
          <w:color w:val="374151"/>
          <w:sz w:val="16"/>
          <w:szCs w:val="16"/>
        </w:rPr>
        <w:t xml:space="preserve">财新：二季度GDP平减指数转正（2026-07-15）。 </w:t>
      </w:r>
      <w:hyperlink w:history="1" r:id="rIdsuvrkocueet8pmp17hiq5">
        <w:r>
          <w:rPr>
            <w:rFonts w:ascii="Calibri" w:cs="Calibri" w:eastAsia="DengXian" w:hAnsi="Calibri"/>
            <w:color w:val="2E75B6"/>
            <w:sz w:val="15"/>
            <w:szCs w:val="15"/>
            <w:u w:val="single"/>
          </w:rPr>
          <w:t xml:space="preserve">economy.caixin.com</w:t>
        </w:r>
      </w:hyperlink>
    </w:p>
  </w:footnote>
  <w:footnote w:id="9">
    <w:p>
      <w:pPr>
        <w:spacing w:after="20" w:line="240"/>
      </w:pPr>
      <w:r>
        <w:rPr>
          <w:rStyle w:val="FootnoteReference"/>
        </w:rPr>
        <w:footnoteRef/>
      </w:r>
      <w:r>
        <w:rPr>
          <w:rFonts w:ascii="Calibri" w:cs="Calibri" w:eastAsia="DengXian" w:hAnsi="Calibri"/>
          <w:color w:val="374151"/>
          <w:sz w:val="16"/>
          <w:szCs w:val="16"/>
        </w:rPr>
        <w:t xml:space="preserve">国家金融与发展实验室：2026年二季度宏观杠杆率报告（同花顺转载，2026-07-30）。 </w:t>
      </w:r>
      <w:hyperlink w:history="1" r:id="rIdwfhmor97yuihucvg31wlr">
        <w:r>
          <w:rPr>
            <w:rFonts w:ascii="Calibri" w:cs="Calibri" w:eastAsia="DengXian" w:hAnsi="Calibri"/>
            <w:color w:val="2E75B6"/>
            <w:sz w:val="15"/>
            <w:szCs w:val="15"/>
            <w:u w:val="single"/>
          </w:rPr>
          <w:t xml:space="preserve">news.10jqka.com.cn</w:t>
        </w:r>
      </w:hyperlink>
    </w:p>
  </w:footnote>
  <w:footnote w:id="10">
    <w:p>
      <w:pPr>
        <w:spacing w:after="20" w:line="240"/>
      </w:pPr>
      <w:r>
        <w:rPr>
          <w:rStyle w:val="FootnoteReference"/>
        </w:rPr>
        <w:footnoteRef/>
      </w:r>
      <w:r>
        <w:rPr>
          <w:rFonts w:ascii="Calibri" w:cs="Calibri" w:eastAsia="DengXian" w:hAnsi="Calibri"/>
          <w:color w:val="374151"/>
          <w:sz w:val="16"/>
          <w:szCs w:val="16"/>
        </w:rPr>
        <w:t xml:space="preserve">国家金融与发展实验室报告（东方财富转载，2026-07-30）：实体经济总债务增速，住户债务同比变化。 </w:t>
      </w:r>
      <w:hyperlink w:history="1" r:id="rIdxwghgay1jc27gnnnr2nys">
        <w:r>
          <w:rPr>
            <w:rFonts w:ascii="Calibri" w:cs="Calibri" w:eastAsia="DengXian" w:hAnsi="Calibri"/>
            <w:color w:val="2E75B6"/>
            <w:sz w:val="15"/>
            <w:szCs w:val="15"/>
            <w:u w:val="single"/>
          </w:rPr>
          <w:t xml:space="preserve">finance.eastmoney.com</w:t>
        </w:r>
      </w:hyperlink>
    </w:p>
  </w:footnote>
  <w:footnote w:id="11">
    <w:p>
      <w:pPr>
        <w:spacing w:after="20" w:line="240"/>
      </w:pPr>
      <w:r>
        <w:rPr>
          <w:rStyle w:val="FootnoteReference"/>
        </w:rPr>
        <w:footnoteRef/>
      </w:r>
      <w:r>
        <w:rPr>
          <w:rFonts w:ascii="Calibri" w:cs="Calibri" w:eastAsia="DengXian" w:hAnsi="Calibri"/>
          <w:color w:val="374151"/>
          <w:sz w:val="16"/>
          <w:szCs w:val="16"/>
        </w:rPr>
        <w:t xml:space="preserve">FocusEconomics：中国2025年四季度国民账户（2026-01-17）。 </w:t>
      </w:r>
      <w:hyperlink w:history="1" r:id="rIdbmzokicsevkahtip9yggo">
        <w:r>
          <w:rPr>
            <w:rFonts w:ascii="Calibri" w:cs="Calibri" w:eastAsia="DengXian" w:hAnsi="Calibri"/>
            <w:color w:val="2E75B6"/>
            <w:sz w:val="15"/>
            <w:szCs w:val="15"/>
            <w:u w:val="single"/>
          </w:rPr>
          <w:t xml:space="preserve">focus-economics.com</w:t>
        </w:r>
      </w:hyperlink>
    </w:p>
  </w:footnote>
  <w:footnote w:id="12">
    <w:p>
      <w:pPr>
        <w:spacing w:after="20" w:line="240"/>
      </w:pPr>
      <w:r>
        <w:rPr>
          <w:rStyle w:val="FootnoteReference"/>
        </w:rPr>
        <w:footnoteRef/>
      </w:r>
      <w:r>
        <w:rPr>
          <w:rFonts w:ascii="Calibri" w:cs="Calibri" w:eastAsia="DengXian" w:hAnsi="Calibri"/>
          <w:color w:val="374151"/>
          <w:sz w:val="16"/>
          <w:szCs w:val="16"/>
        </w:rPr>
        <w:t xml:space="preserve">中国人民银行：2026年第二季度货币政策执行报告。 </w:t>
      </w:r>
      <w:hyperlink w:history="1" r:id="rIdeqr6fpwbqwzwhuyqwvqxl">
        <w:r>
          <w:rPr>
            <w:rFonts w:ascii="Calibri" w:cs="Calibri" w:eastAsia="DengXian" w:hAnsi="Calibri"/>
            <w:color w:val="2E75B6"/>
            <w:sz w:val="15"/>
            <w:szCs w:val="15"/>
            <w:u w:val="single"/>
          </w:rPr>
          <w:t xml:space="preserve">pbc.gov.cn</w:t>
        </w:r>
      </w:hyperlink>
    </w:p>
  </w:footnote>
  <w:footnote w:id="13">
    <w:p>
      <w:pPr>
        <w:spacing w:after="20" w:line="240"/>
      </w:pPr>
      <w:r>
        <w:rPr>
          <w:rStyle w:val="FootnoteReference"/>
        </w:rPr>
        <w:footnoteRef/>
      </w:r>
      <w:r>
        <w:rPr>
          <w:rFonts w:ascii="Calibri" w:cs="Calibri" w:eastAsia="DengXian" w:hAnsi="Calibri"/>
          <w:color w:val="374151"/>
          <w:sz w:val="16"/>
          <w:szCs w:val="16"/>
        </w:rPr>
        <w:t xml:space="preserve">中国货币网：中债国债收益率曲线。 </w:t>
      </w:r>
      <w:hyperlink w:history="1" r:id="rIdbsbyvegmgueyotf_8crk4">
        <w:r>
          <w:rPr>
            <w:rFonts w:ascii="Calibri" w:cs="Calibri" w:eastAsia="DengXian" w:hAnsi="Calibri"/>
            <w:color w:val="2E75B6"/>
            <w:sz w:val="15"/>
            <w:szCs w:val="15"/>
            <w:u w:val="single"/>
          </w:rPr>
          <w:t xml:space="preserve">chinamoney.com.cn</w:t>
        </w:r>
      </w:hyperlink>
    </w:p>
  </w:footnote>
  <w:footnote w:id="14">
    <w:p>
      <w:pPr>
        <w:spacing w:after="20" w:line="240"/>
      </w:pPr>
      <w:r>
        <w:rPr>
          <w:rStyle w:val="FootnoteReference"/>
        </w:rPr>
        <w:footnoteRef/>
      </w:r>
      <w:r>
        <w:rPr>
          <w:rFonts w:ascii="Calibri" w:cs="Calibri" w:eastAsia="DengXian" w:hAnsi="Calibri"/>
          <w:color w:val="374151"/>
          <w:sz w:val="16"/>
          <w:szCs w:val="16"/>
        </w:rPr>
        <w:t xml:space="preserve">新浪财经：2026年1—8月财政收支（2026-09-18）。 </w:t>
      </w:r>
      <w:hyperlink w:history="1" r:id="rId8hl7uao_cwvi_l2dg4bm3">
        <w:r>
          <w:rPr>
            <w:rFonts w:ascii="Calibri" w:cs="Calibri" w:eastAsia="DengXian" w:hAnsi="Calibri"/>
            <w:color w:val="2E75B6"/>
            <w:sz w:val="15"/>
            <w:szCs w:val="15"/>
            <w:u w:val="single"/>
          </w:rPr>
          <w:t xml:space="preserve">finance.sina.com.cn</w:t>
        </w:r>
      </w:hyperlink>
    </w:p>
  </w:footnote>
  <w:footnote w:id="15">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fsklq1fayhehmfeojlqy9">
        <w:r>
          <w:rPr>
            <w:rFonts w:ascii="Calibri" w:cs="Calibri" w:eastAsia="DengXian" w:hAnsi="Calibri"/>
            <w:color w:val="2E75B6"/>
            <w:sz w:val="15"/>
            <w:szCs w:val="15"/>
            <w:u w:val="single"/>
          </w:rPr>
          <w:t xml:space="preserve">stats.gov.cn</w:t>
        </w:r>
      </w:hyperlink>
    </w:p>
  </w:footnote>
  <w:footnote w:id="16">
    <w:p>
      <w:pPr>
        <w:spacing w:after="20" w:line="240"/>
      </w:pPr>
      <w:r>
        <w:rPr>
          <w:rStyle w:val="FootnoteReference"/>
        </w:rPr>
        <w:footnoteRef/>
      </w:r>
      <w:r>
        <w:rPr>
          <w:rFonts w:ascii="Calibri" w:cs="Calibri" w:eastAsia="DengXian" w:hAnsi="Calibri"/>
          <w:color w:val="374151"/>
          <w:sz w:val="16"/>
          <w:szCs w:val="16"/>
        </w:rPr>
        <w:t xml:space="preserve">新华网：统计局解读1—8月工业企业利润（2026-09-28）。 </w:t>
      </w:r>
      <w:hyperlink w:history="1" r:id="rIdiyhh77jqjkgc2vptkoc6x">
        <w:r>
          <w:rPr>
            <w:rFonts w:ascii="Calibri" w:cs="Calibri" w:eastAsia="DengXian" w:hAnsi="Calibri"/>
            <w:color w:val="2E75B6"/>
            <w:sz w:val="15"/>
            <w:szCs w:val="15"/>
            <w:u w:val="single"/>
          </w:rPr>
          <w:t xml:space="preserve">news.cn</w:t>
        </w:r>
      </w:hyperlink>
    </w:p>
  </w:footnote>
  <w:footnote w:id="17">
    <w:p>
      <w:pPr>
        <w:spacing w:after="20" w:line="240"/>
      </w:pPr>
      <w:r>
        <w:rPr>
          <w:rStyle w:val="FootnoteReference"/>
        </w:rPr>
        <w:footnoteRef/>
      </w:r>
      <w:r>
        <w:rPr>
          <w:rFonts w:ascii="Calibri" w:cs="Calibri" w:eastAsia="DengXian" w:hAnsi="Calibri"/>
          <w:color w:val="374151"/>
          <w:sz w:val="16"/>
          <w:szCs w:val="16"/>
        </w:rPr>
        <w:t xml:space="preserve">国家统计局：2026年8月CPI与PPI（2026-09-10）。 </w:t>
      </w:r>
      <w:hyperlink w:history="1" r:id="rId7immz58yo9ogtj-wtrrrc">
        <w:r>
          <w:rPr>
            <w:rFonts w:ascii="Calibri" w:cs="Calibri" w:eastAsia="DengXian" w:hAnsi="Calibri"/>
            <w:color w:val="2E75B6"/>
            <w:sz w:val="15"/>
            <w:szCs w:val="15"/>
            <w:u w:val="single"/>
          </w:rPr>
          <w:t xml:space="preserve">stats.gov.cn</w:t>
        </w:r>
      </w:hyperlink>
    </w:p>
  </w:footnote>
  <w:footnote w:id="18">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0ju_greu5_pqp1zh96on1">
        <w:r>
          <w:rPr>
            <w:rFonts w:ascii="Calibri" w:cs="Calibri" w:eastAsia="DengXian" w:hAnsi="Calibri"/>
            <w:color w:val="2E75B6"/>
            <w:sz w:val="15"/>
            <w:szCs w:val="15"/>
            <w:u w:val="single"/>
          </w:rPr>
          <w:t xml:space="preserve">money.usnews.com</w:t>
        </w:r>
      </w:hyperlink>
    </w:p>
  </w:footnote>
  <w:footnote w:id="19">
    <w:p>
      <w:pPr>
        <w:spacing w:after="20" w:line="240"/>
      </w:pPr>
      <w:r>
        <w:rPr>
          <w:rStyle w:val="FootnoteReference"/>
        </w:rPr>
        <w:footnoteRef/>
      </w:r>
      <w:r>
        <w:rPr>
          <w:rFonts w:ascii="Calibri" w:cs="Calibri" w:eastAsia="DengXian" w:hAnsi="Calibri"/>
          <w:color w:val="374151"/>
          <w:sz w:val="16"/>
          <w:szCs w:val="16"/>
        </w:rPr>
        <w:t xml:space="preserve">国家统计局：2026年上半年居民收入和消费支出。 </w:t>
      </w:r>
      <w:hyperlink w:history="1" r:id="rId172xuumcok6o3njxlt7gy">
        <w:r>
          <w:rPr>
            <w:rFonts w:ascii="Calibri" w:cs="Calibri" w:eastAsia="DengXian" w:hAnsi="Calibri"/>
            <w:color w:val="2E75B6"/>
            <w:sz w:val="15"/>
            <w:szCs w:val="15"/>
            <w:u w:val="single"/>
          </w:rPr>
          <w:t xml:space="preserve">stats.gov.cn</w:t>
        </w:r>
      </w:hyperlink>
    </w:p>
  </w:footnote>
  <w:footnote w:id="20">
    <w:p>
      <w:pPr>
        <w:spacing w:after="20" w:line="240"/>
      </w:pPr>
      <w:r>
        <w:rPr>
          <w:rStyle w:val="FootnoteReference"/>
        </w:rPr>
        <w:footnoteRef/>
      </w:r>
      <w:r>
        <w:rPr>
          <w:rFonts w:ascii="Calibri" w:cs="Calibri" w:eastAsia="DengXian" w:hAnsi="Calibri"/>
          <w:color w:val="374151"/>
          <w:sz w:val="16"/>
          <w:szCs w:val="16"/>
        </w:rPr>
        <w:t xml:space="preserve">新浪财经：中指研究院9月百城二手住宅价格（2026-10-02）。 </w:t>
      </w:r>
      <w:hyperlink w:history="1" r:id="rId2cou3h7aumks0_q9wxlmb">
        <w:r>
          <w:rPr>
            <w:rFonts w:ascii="Calibri" w:cs="Calibri" w:eastAsia="DengXian" w:hAnsi="Calibri"/>
            <w:color w:val="2E75B6"/>
            <w:sz w:val="15"/>
            <w:szCs w:val="15"/>
            <w:u w:val="single"/>
          </w:rPr>
          <w:t xml:space="preserve">finance.sina.com.cn</w:t>
        </w:r>
      </w:hyperlink>
    </w:p>
  </w:footnote>
  <w:footnote w:id="21">
    <w:p>
      <w:pPr>
        <w:spacing w:after="20" w:line="240"/>
      </w:pPr>
      <w:r>
        <w:rPr>
          <w:rStyle w:val="FootnoteReference"/>
        </w:rPr>
        <w:footnoteRef/>
      </w:r>
      <w:r>
        <w:rPr>
          <w:rFonts w:ascii="Calibri" w:cs="Calibri" w:eastAsia="DengXian" w:hAnsi="Calibri"/>
          <w:color w:val="374151"/>
          <w:sz w:val="16"/>
          <w:szCs w:val="16"/>
        </w:rPr>
        <w:t xml:space="preserve">观点网：2026年1—8月土地出让收入与政府性基金收支（2026-09-18）。 </w:t>
      </w:r>
      <w:hyperlink w:history="1" r:id="rIdxv9ssm10fg8hhmpg1q-hm">
        <w:r>
          <w:rPr>
            <w:rFonts w:ascii="Calibri" w:cs="Calibri" w:eastAsia="DengXian" w:hAnsi="Calibri"/>
            <w:color w:val="2E75B6"/>
            <w:sz w:val="15"/>
            <w:szCs w:val="15"/>
            <w:u w:val="single"/>
          </w:rPr>
          <w:t xml:space="preserve">guandian.cn</w:t>
        </w:r>
      </w:hyperlink>
    </w:p>
  </w:footnote>
  <w:footnote w:id="22">
    <w:p>
      <w:pPr>
        <w:spacing w:after="20" w:line="240"/>
      </w:pPr>
      <w:r>
        <w:rPr>
          <w:rStyle w:val="FootnoteReference"/>
        </w:rPr>
        <w:footnoteRef/>
      </w:r>
      <w:r>
        <w:rPr>
          <w:rFonts w:ascii="Calibri" w:cs="Calibri" w:eastAsia="DengXian" w:hAnsi="Calibri"/>
          <w:color w:val="374151"/>
          <w:sz w:val="16"/>
          <w:szCs w:val="16"/>
        </w:rPr>
        <w:t xml:space="preserve">财联社：隐性债务置换后的利息节约。 </w:t>
      </w:r>
      <w:hyperlink w:history="1" r:id="rIdt4pyswdaqghwbe9rlhvcy">
        <w:r>
          <w:rPr>
            <w:rFonts w:ascii="Calibri" w:cs="Calibri" w:eastAsia="DengXian" w:hAnsi="Calibri"/>
            <w:color w:val="2E75B6"/>
            <w:sz w:val="15"/>
            <w:szCs w:val="15"/>
            <w:u w:val="single"/>
          </w:rPr>
          <w:t xml:space="preserve">cls.cn</w:t>
        </w:r>
      </w:hyperlink>
    </w:p>
  </w:footnote>
  <w:footnote w:id="23">
    <w:p>
      <w:pPr>
        <w:spacing w:after="20" w:line="240"/>
      </w:pPr>
      <w:r>
        <w:rPr>
          <w:rStyle w:val="FootnoteReference"/>
        </w:rPr>
        <w:footnoteRef/>
      </w:r>
      <w:r>
        <w:rPr>
          <w:rFonts w:ascii="Calibri" w:cs="Calibri" w:eastAsia="DengXian" w:hAnsi="Calibri"/>
          <w:color w:val="374151"/>
          <w:sz w:val="16"/>
          <w:szCs w:val="16"/>
        </w:rPr>
        <w:t xml:space="preserve">IMF eLibrary：中国2025年第四条款磋商报告正文（2026）。 </w:t>
      </w:r>
      <w:hyperlink w:history="1" r:id="rIdzxvubqwuxgznq_ywdusxb">
        <w:r>
          <w:rPr>
            <w:rFonts w:ascii="Calibri" w:cs="Calibri" w:eastAsia="DengXian" w:hAnsi="Calibri"/>
            <w:color w:val="2E75B6"/>
            <w:sz w:val="15"/>
            <w:szCs w:val="15"/>
            <w:u w:val="single"/>
          </w:rPr>
          <w:t xml:space="preserve">elibrary.imf.org</w:t>
        </w:r>
      </w:hyperlink>
    </w:p>
  </w:footnote>
  <w:footnote w:id="24">
    <w:p>
      <w:pPr>
        <w:spacing w:after="20" w:line="240"/>
      </w:pPr>
      <w:r>
        <w:rPr>
          <w:rStyle w:val="FootnoteReference"/>
        </w:rPr>
        <w:footnoteRef/>
      </w:r>
      <w:r>
        <w:rPr>
          <w:rFonts w:ascii="Calibri" w:cs="Calibri" w:eastAsia="DengXian" w:hAnsi="Calibri"/>
          <w:color w:val="374151"/>
          <w:sz w:val="16"/>
          <w:szCs w:val="16"/>
        </w:rPr>
        <w:t xml:space="preserve">BNN Bloomberg/AP：China's exports pick up in August, jumping 25%（2026-09-08）。 </w:t>
      </w:r>
      <w:hyperlink w:history="1" r:id="rIdccfxjzwemzexf4jh71hvq">
        <w:r>
          <w:rPr>
            <w:rFonts w:ascii="Calibri" w:cs="Calibri" w:eastAsia="DengXian" w:hAnsi="Calibri"/>
            <w:color w:val="2E75B6"/>
            <w:sz w:val="15"/>
            <w:szCs w:val="15"/>
            <w:u w:val="single"/>
          </w:rPr>
          <w:t xml:space="preserve">bnnbloomberg.ca</w:t>
        </w:r>
      </w:hyperlink>
    </w:p>
  </w:footnote>
  <w:footnote w:id="25">
    <w:p>
      <w:pPr>
        <w:spacing w:after="20" w:line="240"/>
      </w:pPr>
      <w:r>
        <w:rPr>
          <w:rStyle w:val="FootnoteReference"/>
        </w:rPr>
        <w:footnoteRef/>
      </w:r>
      <w:r>
        <w:rPr>
          <w:rFonts w:ascii="Calibri" w:cs="Calibri" w:eastAsia="DengXian" w:hAnsi="Calibri"/>
          <w:color w:val="374151"/>
          <w:sz w:val="16"/>
          <w:szCs w:val="16"/>
        </w:rPr>
        <w:t xml:space="preserve">财新：8月出口在AI涨价带动下增长25%（2026-09-08）。 </w:t>
      </w:r>
      <w:hyperlink w:history="1" r:id="rIdnnpenolnlrzetl7kh9rcu">
        <w:r>
          <w:rPr>
            <w:rFonts w:ascii="Calibri" w:cs="Calibri" w:eastAsia="DengXian" w:hAnsi="Calibri"/>
            <w:color w:val="2E75B6"/>
            <w:sz w:val="15"/>
            <w:szCs w:val="15"/>
            <w:u w:val="single"/>
          </w:rPr>
          <w:t xml:space="preserve">caixinglobal.com</w:t>
        </w:r>
      </w:hyperlink>
    </w:p>
  </w:footnote>
  <w:footnote w:id="26">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1arilzll7xnetlcf4utqz">
        <w:r>
          <w:rPr>
            <w:rFonts w:ascii="Calibri" w:cs="Calibri" w:eastAsia="DengXian" w:hAnsi="Calibri"/>
            <w:color w:val="2E75B6"/>
            <w:sz w:val="15"/>
            <w:szCs w:val="15"/>
            <w:u w:val="single"/>
          </w:rPr>
          <w:t xml:space="preserve">money.usnews.com</w:t>
        </w:r>
      </w:hyperlink>
    </w:p>
  </w:footnote>
  <w:footnote w:id="27">
    <w:p>
      <w:pPr>
        <w:spacing w:after="20" w:line="240"/>
      </w:pPr>
      <w:r>
        <w:rPr>
          <w:rStyle w:val="FootnoteReference"/>
        </w:rPr>
        <w:footnoteRef/>
      </w:r>
      <w:r>
        <w:rPr>
          <w:rFonts w:ascii="Calibri" w:cs="Calibri" w:eastAsia="DengXian" w:hAnsi="Calibri"/>
          <w:color w:val="374151"/>
          <w:sz w:val="16"/>
          <w:szCs w:val="16"/>
        </w:rPr>
        <w:t xml:space="preserve">中国新闻网英文版：8月CPI与PPI（2026-09-09）。 </w:t>
      </w:r>
      <w:hyperlink w:history="1" r:id="rIdi0aa796xbojrbq77pcaeu">
        <w:r>
          <w:rPr>
            <w:rFonts w:ascii="Calibri" w:cs="Calibri" w:eastAsia="DengXian" w:hAnsi="Calibri"/>
            <w:color w:val="2E75B6"/>
            <w:sz w:val="15"/>
            <w:szCs w:val="15"/>
            <w:u w:val="single"/>
          </w:rPr>
          <w:t xml:space="preserve">ecns.cn</w:t>
        </w:r>
      </w:hyperlink>
    </w:p>
  </w:footnote>
  <w:footnote w:id="28">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scb6awl6iltsfxylhmjqn">
        <w:r>
          <w:rPr>
            <w:rFonts w:ascii="Calibri" w:cs="Calibri" w:eastAsia="DengXian" w:hAnsi="Calibri"/>
            <w:color w:val="2E75B6"/>
            <w:sz w:val="15"/>
            <w:szCs w:val="15"/>
            <w:u w:val="single"/>
          </w:rPr>
          <w:t xml:space="preserve">money.usnews.com</w:t>
        </w:r>
      </w:hyperlink>
    </w:p>
  </w:footnote>
  <w:footnote w:id="29">
    <w:p>
      <w:pPr>
        <w:spacing w:after="20" w:line="240"/>
      </w:pPr>
      <w:r>
        <w:rPr>
          <w:rStyle w:val="FootnoteReference"/>
        </w:rPr>
        <w:footnoteRef/>
      </w:r>
      <w:r>
        <w:rPr>
          <w:rFonts w:ascii="Calibri" w:cs="Calibri" w:eastAsia="DengXian" w:hAnsi="Calibri"/>
          <w:color w:val="374151"/>
          <w:sz w:val="16"/>
          <w:szCs w:val="16"/>
        </w:rPr>
        <w:t xml:space="preserve">国家统计局：2026年8月CPI与PPI（2026-09-10）。 </w:t>
      </w:r>
      <w:hyperlink w:history="1" r:id="rId15b5mwkefp_xo0wu2oe-9">
        <w:r>
          <w:rPr>
            <w:rFonts w:ascii="Calibri" w:cs="Calibri" w:eastAsia="DengXian" w:hAnsi="Calibri"/>
            <w:color w:val="2E75B6"/>
            <w:sz w:val="15"/>
            <w:szCs w:val="15"/>
            <w:u w:val="single"/>
          </w:rPr>
          <w:t xml:space="preserve">stats.gov.cn</w:t>
        </w:r>
      </w:hyperlink>
    </w:p>
  </w:footnote>
  <w:footnote w:id="30">
    <w:p>
      <w:pPr>
        <w:spacing w:after="20" w:line="240"/>
      </w:pPr>
      <w:r>
        <w:rPr>
          <w:rStyle w:val="FootnoteReference"/>
        </w:rPr>
        <w:footnoteRef/>
      </w:r>
      <w:r>
        <w:rPr>
          <w:rFonts w:ascii="Calibri" w:cs="Calibri" w:eastAsia="DengXian" w:hAnsi="Calibri"/>
          <w:color w:val="374151"/>
          <w:sz w:val="16"/>
          <w:szCs w:val="16"/>
        </w:rPr>
        <w:t xml:space="preserve">路透：9月RatingDog服务业PMI（2026-09-29）。 </w:t>
      </w:r>
      <w:hyperlink w:history="1" r:id="rIdgovm0zubncuqeqfagsjqm">
        <w:r>
          <w:rPr>
            <w:rFonts w:ascii="Calibri" w:cs="Calibri" w:eastAsia="DengXian" w:hAnsi="Calibri"/>
            <w:color w:val="2E75B6"/>
            <w:sz w:val="15"/>
            <w:szCs w:val="15"/>
            <w:u w:val="single"/>
          </w:rPr>
          <w:t xml:space="preserve">money.usnews.com</w:t>
        </w:r>
      </w:hyperlink>
    </w:p>
  </w:footnote>
  <w:footnote w:id="31">
    <w:p>
      <w:pPr>
        <w:spacing w:after="20" w:line="240"/>
      </w:pPr>
      <w:r>
        <w:rPr>
          <w:rStyle w:val="FootnoteReference"/>
        </w:rPr>
        <w:footnoteRef/>
      </w:r>
      <w:r>
        <w:rPr>
          <w:rFonts w:ascii="Calibri" w:cs="Calibri" w:eastAsia="DengXian" w:hAnsi="Calibri"/>
          <w:color w:val="374151"/>
          <w:sz w:val="16"/>
          <w:szCs w:val="16"/>
        </w:rPr>
        <w:t xml:space="preserve">国家统计局：2026年8月居民消费价格分项（2026-09-09）。 </w:t>
      </w:r>
      <w:hyperlink w:history="1" r:id="rIdiv9unja3wom8bn7cfyp2u">
        <w:r>
          <w:rPr>
            <w:rFonts w:ascii="Calibri" w:cs="Calibri" w:eastAsia="DengXian" w:hAnsi="Calibri"/>
            <w:color w:val="2E75B6"/>
            <w:sz w:val="15"/>
            <w:szCs w:val="15"/>
            <w:u w:val="single"/>
          </w:rPr>
          <w:t xml:space="preserve">stats.gov.cn</w:t>
        </w:r>
      </w:hyperlink>
    </w:p>
  </w:footnote>
  <w:footnote w:id="32">
    <w:p>
      <w:pPr>
        <w:spacing w:after="20" w:line="240"/>
      </w:pPr>
      <w:r>
        <w:rPr>
          <w:rStyle w:val="FootnoteReference"/>
        </w:rPr>
        <w:footnoteRef/>
      </w:r>
      <w:r>
        <w:rPr>
          <w:rFonts w:ascii="Calibri" w:cs="Calibri" w:eastAsia="DengXian" w:hAnsi="Calibri"/>
          <w:color w:val="374151"/>
          <w:sz w:val="16"/>
          <w:szCs w:val="16"/>
        </w:rPr>
        <w:t xml:space="preserve">CNBC：China August retail sales, industrial output, investment（2026-09-15）。 </w:t>
      </w:r>
      <w:hyperlink w:history="1" r:id="rIdze6z6l2_hz2v7b7uhb1si">
        <w:r>
          <w:rPr>
            <w:rFonts w:ascii="Calibri" w:cs="Calibri" w:eastAsia="DengXian" w:hAnsi="Calibri"/>
            <w:color w:val="2E75B6"/>
            <w:sz w:val="15"/>
            <w:szCs w:val="15"/>
            <w:u w:val="single"/>
          </w:rPr>
          <w:t xml:space="preserve">cnbc.com</w:t>
        </w:r>
      </w:hyperlink>
    </w:p>
  </w:footnote>
  <w:footnote w:id="33">
    <w:p>
      <w:pPr>
        <w:spacing w:after="20" w:line="240"/>
      </w:pPr>
      <w:r>
        <w:rPr>
          <w:rStyle w:val="FootnoteReference"/>
        </w:rPr>
        <w:footnoteRef/>
      </w:r>
      <w:r>
        <w:rPr>
          <w:rFonts w:ascii="Calibri" w:cs="Calibri" w:eastAsia="DengXian" w:hAnsi="Calibri"/>
          <w:color w:val="374151"/>
          <w:sz w:val="16"/>
          <w:szCs w:val="16"/>
        </w:rPr>
        <w:t xml:space="preserve">国家统计局：2026年1—8月社会消费品零售总额（2026-09-15）。 </w:t>
      </w:r>
      <w:hyperlink w:history="1" r:id="rIduxj3vesf1rk_czinaau2i">
        <w:r>
          <w:rPr>
            <w:rFonts w:ascii="Calibri" w:cs="Calibri" w:eastAsia="DengXian" w:hAnsi="Calibri"/>
            <w:color w:val="2E75B6"/>
            <w:sz w:val="15"/>
            <w:szCs w:val="15"/>
            <w:u w:val="single"/>
          </w:rPr>
          <w:t xml:space="preserve">stats.gov.cn</w:t>
        </w:r>
      </w:hyperlink>
    </w:p>
  </w:footnote>
  <w:footnote w:id="34">
    <w:p>
      <w:pPr>
        <w:spacing w:after="20" w:line="240"/>
      </w:pPr>
      <w:r>
        <w:rPr>
          <w:rStyle w:val="FootnoteReference"/>
        </w:rPr>
        <w:footnoteRef/>
      </w:r>
      <w:r>
        <w:rPr>
          <w:rFonts w:ascii="Calibri" w:cs="Calibri" w:eastAsia="DengXian" w:hAnsi="Calibri"/>
          <w:color w:val="374151"/>
          <w:sz w:val="16"/>
          <w:szCs w:val="16"/>
        </w:rPr>
        <w:t xml:space="preserve">腾讯新闻：2026年8月金融数据，住户贷款（2026-09-14）。 </w:t>
      </w:r>
      <w:hyperlink w:history="1" r:id="rIdy3dhi3aoiea1uqzjhfpor">
        <w:r>
          <w:rPr>
            <w:rFonts w:ascii="Calibri" w:cs="Calibri" w:eastAsia="DengXian" w:hAnsi="Calibri"/>
            <w:color w:val="2E75B6"/>
            <w:sz w:val="15"/>
            <w:szCs w:val="15"/>
            <w:u w:val="single"/>
          </w:rPr>
          <w:t xml:space="preserve">news.qq.com</w:t>
        </w:r>
      </w:hyperlink>
    </w:p>
  </w:footnote>
  <w:footnote w:id="35">
    <w:p>
      <w:pPr>
        <w:spacing w:after="20" w:line="240"/>
      </w:pPr>
      <w:r>
        <w:rPr>
          <w:rStyle w:val="FootnoteReference"/>
        </w:rPr>
        <w:footnoteRef/>
      </w:r>
      <w:r>
        <w:rPr>
          <w:rFonts w:ascii="Calibri" w:cs="Calibri" w:eastAsia="DengXian" w:hAnsi="Calibri"/>
          <w:color w:val="374151"/>
          <w:sz w:val="16"/>
          <w:szCs w:val="16"/>
        </w:rPr>
        <w:t xml:space="preserve">新华网：2026年8月金融统计数据（2026-09-14）。 </w:t>
      </w:r>
      <w:hyperlink w:history="1" r:id="rIdr6uueg7gywdn1cn7wuko6">
        <w:r>
          <w:rPr>
            <w:rFonts w:ascii="Calibri" w:cs="Calibri" w:eastAsia="DengXian" w:hAnsi="Calibri"/>
            <w:color w:val="2E75B6"/>
            <w:sz w:val="15"/>
            <w:szCs w:val="15"/>
            <w:u w:val="single"/>
          </w:rPr>
          <w:t xml:space="preserve">news.cn</w:t>
        </w:r>
      </w:hyperlink>
    </w:p>
  </w:footnote>
  <w:footnote w:id="36">
    <w:p>
      <w:pPr>
        <w:spacing w:after="20" w:line="240"/>
      </w:pPr>
      <w:r>
        <w:rPr>
          <w:rStyle w:val="FootnoteReference"/>
        </w:rPr>
        <w:footnoteRef/>
      </w:r>
      <w:r>
        <w:rPr>
          <w:rFonts w:ascii="Calibri" w:cs="Calibri" w:eastAsia="DengXian" w:hAnsi="Calibri"/>
          <w:color w:val="374151"/>
          <w:sz w:val="16"/>
          <w:szCs w:val="16"/>
        </w:rPr>
        <w:t xml:space="preserve">国家统计局：2026年二季度全国工业产能利用率（2026-07-17）。 </w:t>
      </w:r>
      <w:hyperlink w:history="1" r:id="rIdbpgve87ig9mrdpa7vmrxt">
        <w:r>
          <w:rPr>
            <w:rFonts w:ascii="Calibri" w:cs="Calibri" w:eastAsia="DengXian" w:hAnsi="Calibri"/>
            <w:color w:val="2E75B6"/>
            <w:sz w:val="15"/>
            <w:szCs w:val="15"/>
            <w:u w:val="single"/>
          </w:rPr>
          <w:t xml:space="preserve">stats.gov.cn</w:t>
        </w:r>
      </w:hyperlink>
    </w:p>
  </w:footnote>
  <w:footnote w:id="37">
    <w:p>
      <w:pPr>
        <w:spacing w:after="20" w:line="240"/>
      </w:pPr>
      <w:r>
        <w:rPr>
          <w:rStyle w:val="FootnoteReference"/>
        </w:rPr>
        <w:footnoteRef/>
      </w:r>
      <w:r>
        <w:rPr>
          <w:rFonts w:ascii="Calibri" w:cs="Calibri" w:eastAsia="DengXian" w:hAnsi="Calibri"/>
          <w:color w:val="374151"/>
          <w:sz w:val="16"/>
          <w:szCs w:val="16"/>
        </w:rPr>
        <w:t xml:space="preserve">证券时报：央行国债买卖操作。 </w:t>
      </w:r>
      <w:hyperlink w:history="1" r:id="rIdkw-rhg_att0_tqhkpgqon">
        <w:r>
          <w:rPr>
            <w:rFonts w:ascii="Calibri" w:cs="Calibri" w:eastAsia="DengXian" w:hAnsi="Calibri"/>
            <w:color w:val="2E75B6"/>
            <w:sz w:val="15"/>
            <w:szCs w:val="15"/>
            <w:u w:val="single"/>
          </w:rPr>
          <w:t xml:space="preserve">stcn.com</w:t>
        </w:r>
      </w:hyperlink>
    </w:p>
  </w:footnote>
  <w:footnote w:id="38">
    <w:p>
      <w:pPr>
        <w:spacing w:after="20" w:line="240"/>
      </w:pPr>
      <w:r>
        <w:rPr>
          <w:rStyle w:val="FootnoteReference"/>
        </w:rPr>
        <w:footnoteRef/>
      </w:r>
      <w:r>
        <w:rPr>
          <w:rFonts w:ascii="Calibri" w:cs="Calibri" w:eastAsia="DengXian" w:hAnsi="Calibri"/>
          <w:color w:val="374151"/>
          <w:sz w:val="16"/>
          <w:szCs w:val="16"/>
        </w:rPr>
        <w:t xml:space="preserve">腾讯新闻：8月央行国债净买入（2026-09-02）。 </w:t>
      </w:r>
      <w:hyperlink w:history="1" r:id="rIdts78mq7hp0mfwu64c4r1i">
        <w:r>
          <w:rPr>
            <w:rFonts w:ascii="Calibri" w:cs="Calibri" w:eastAsia="DengXian" w:hAnsi="Calibri"/>
            <w:color w:val="2E75B6"/>
            <w:sz w:val="15"/>
            <w:szCs w:val="15"/>
            <w:u w:val="single"/>
          </w:rPr>
          <w:t xml:space="preserve">news.qq.com</w:t>
        </w:r>
      </w:hyperlink>
    </w:p>
  </w:footnote>
  <w:footnote w:id="39">
    <w:p>
      <w:pPr>
        <w:spacing w:after="20" w:line="240"/>
      </w:pPr>
      <w:r>
        <w:rPr>
          <w:rStyle w:val="FootnoteReference"/>
        </w:rPr>
        <w:footnoteRef/>
      </w:r>
      <w:r>
        <w:rPr>
          <w:rFonts w:ascii="Calibri" w:cs="Calibri" w:eastAsia="DengXian" w:hAnsi="Calibri"/>
          <w:color w:val="374151"/>
          <w:sz w:val="16"/>
          <w:szCs w:val="16"/>
        </w:rPr>
        <w:t xml:space="preserve">CEIC：中国10年期国债收益率历史数据。 </w:t>
      </w:r>
      <w:hyperlink w:history="1" r:id="rIdisxvbkpkjanalbgkbe8fi">
        <w:r>
          <w:rPr>
            <w:rFonts w:ascii="Calibri" w:cs="Calibri" w:eastAsia="DengXian" w:hAnsi="Calibri"/>
            <w:color w:val="2E75B6"/>
            <w:sz w:val="15"/>
            <w:szCs w:val="15"/>
            <w:u w:val="single"/>
          </w:rPr>
          <w:t xml:space="preserve">ceicdata.com</w:t>
        </w:r>
      </w:hyperlink>
    </w:p>
  </w:footnote>
  <w:footnote w:id="40">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jxoug_3faus3n6sfyjgxj">
        <w:r>
          <w:rPr>
            <w:rFonts w:ascii="Calibri" w:cs="Calibri" w:eastAsia="DengXian" w:hAnsi="Calibri"/>
            <w:color w:val="2E75B6"/>
            <w:sz w:val="15"/>
            <w:szCs w:val="15"/>
            <w:u w:val="single"/>
          </w:rPr>
          <w:t xml:space="preserve">stats.gov.cn</w:t>
        </w:r>
      </w:hyperlink>
    </w:p>
  </w:footnote>
  <w:footnote w:id="41">
    <w:p>
      <w:pPr>
        <w:spacing w:after="20" w:line="240"/>
      </w:pPr>
      <w:r>
        <w:rPr>
          <w:rStyle w:val="FootnoteReference"/>
        </w:rPr>
        <w:footnoteRef/>
      </w:r>
      <w:r>
        <w:rPr>
          <w:rFonts w:ascii="Calibri" w:cs="Calibri" w:eastAsia="DengXian" w:hAnsi="Calibri"/>
          <w:color w:val="374151"/>
          <w:sz w:val="16"/>
          <w:szCs w:val="16"/>
        </w:rPr>
        <w:t xml:space="preserve">Bloomberg：China's GDP price gauge turns positive after years of deflation（2026-07-15）。 </w:t>
      </w:r>
      <w:hyperlink w:history="1" r:id="rIdtmct0-ap-ncu7vfnx2jg6">
        <w:r>
          <w:rPr>
            <w:rFonts w:ascii="Calibri" w:cs="Calibri" w:eastAsia="DengXian" w:hAnsi="Calibri"/>
            <w:color w:val="2E75B6"/>
            <w:sz w:val="15"/>
            <w:szCs w:val="15"/>
            <w:u w:val="single"/>
          </w:rPr>
          <w:t xml:space="preserve">bloomberg.com</w:t>
        </w:r>
      </w:hyperlink>
    </w:p>
  </w:footnote>
  <w:footnote w:id="42">
    <w:p>
      <w:pPr>
        <w:spacing w:after="20" w:line="240"/>
      </w:pPr>
      <w:r>
        <w:rPr>
          <w:rStyle w:val="FootnoteReference"/>
        </w:rPr>
        <w:footnoteRef/>
      </w:r>
      <w:r>
        <w:rPr>
          <w:rFonts w:ascii="Calibri" w:cs="Calibri" w:eastAsia="DengXian" w:hAnsi="Calibri"/>
          <w:color w:val="374151"/>
          <w:sz w:val="16"/>
          <w:szCs w:val="16"/>
        </w:rPr>
        <w:t xml:space="preserve">世界银行：中国经济简报（2026-07-07）。 </w:t>
      </w:r>
      <w:hyperlink w:history="1" r:id="rId7e8m4gi3ihx5j0lqnkgkz">
        <w:r>
          <w:rPr>
            <w:rFonts w:ascii="Calibri" w:cs="Calibri" w:eastAsia="DengXian" w:hAnsi="Calibri"/>
            <w:color w:val="2E75B6"/>
            <w:sz w:val="15"/>
            <w:szCs w:val="15"/>
            <w:u w:val="single"/>
          </w:rPr>
          <w:t xml:space="preserve">worldbank.org</w:t>
        </w:r>
      </w:hyperlink>
    </w:p>
  </w:footnote>
  <w:footnote w:id="43">
    <w:p>
      <w:pPr>
        <w:spacing w:after="20" w:line="240"/>
      </w:pPr>
      <w:r>
        <w:rPr>
          <w:rStyle w:val="FootnoteReference"/>
        </w:rPr>
        <w:footnoteRef/>
      </w:r>
      <w:r>
        <w:rPr>
          <w:rFonts w:ascii="Calibri" w:cs="Calibri" w:eastAsia="DengXian" w:hAnsi="Calibri"/>
          <w:color w:val="374151"/>
          <w:sz w:val="16"/>
          <w:szCs w:val="16"/>
        </w:rPr>
        <w:t xml:space="preserve">KPMG：China Economic Monitor，2025年三季度。 </w:t>
      </w:r>
      <w:hyperlink w:history="1" r:id="rId3pnx58unx2fm8dryjahd4">
        <w:r>
          <w:rPr>
            <w:rFonts w:ascii="Calibri" w:cs="Calibri" w:eastAsia="DengXian" w:hAnsi="Calibri"/>
            <w:color w:val="2E75B6"/>
            <w:sz w:val="15"/>
            <w:szCs w:val="15"/>
            <w:u w:val="single"/>
          </w:rPr>
          <w:t xml:space="preserve">assets.kpmg.com</w:t>
        </w:r>
      </w:hyperlink>
    </w:p>
  </w:footnote>
  <w:footnote w:id="44">
    <w:p>
      <w:pPr>
        <w:spacing w:after="20" w:line="240"/>
      </w:pPr>
      <w:r>
        <w:rPr>
          <w:rStyle w:val="FootnoteReference"/>
        </w:rPr>
        <w:footnoteRef/>
      </w:r>
      <w:r>
        <w:rPr>
          <w:rFonts w:ascii="Calibri" w:cs="Calibri" w:eastAsia="DengXian" w:hAnsi="Calibri"/>
          <w:color w:val="374151"/>
          <w:sz w:val="16"/>
          <w:szCs w:val="16"/>
        </w:rPr>
        <w:t xml:space="preserve">KPMG：China Economic Monitor，2026年一季度。 </w:t>
      </w:r>
      <w:hyperlink w:history="1" r:id="rIdf-7k27s5bpggszazfdz_p">
        <w:r>
          <w:rPr>
            <w:rFonts w:ascii="Calibri" w:cs="Calibri" w:eastAsia="DengXian" w:hAnsi="Calibri"/>
            <w:color w:val="2E75B6"/>
            <w:sz w:val="15"/>
            <w:szCs w:val="15"/>
            <w:u w:val="single"/>
          </w:rPr>
          <w:t xml:space="preserve">assets.kpmg.com</w:t>
        </w:r>
      </w:hyperlink>
    </w:p>
  </w:footnote>
  <w:footnote w:id="45">
    <w:p>
      <w:pPr>
        <w:spacing w:after="20" w:line="240"/>
      </w:pPr>
      <w:r>
        <w:rPr>
          <w:rStyle w:val="FootnoteReference"/>
        </w:rPr>
        <w:footnoteRef/>
      </w:r>
      <w:r>
        <w:rPr>
          <w:rFonts w:ascii="Calibri" w:cs="Calibri" w:eastAsia="DengXian" w:hAnsi="Calibri"/>
          <w:color w:val="374151"/>
          <w:sz w:val="16"/>
          <w:szCs w:val="16"/>
        </w:rPr>
        <w:t xml:space="preserve">CF40：2026年一季度宏观数据要点。 </w:t>
      </w:r>
      <w:hyperlink w:history="1" r:id="rId5gyqf1-w7wi9f0w86hb-h">
        <w:r>
          <w:rPr>
            <w:rFonts w:ascii="Calibri" w:cs="Calibri" w:eastAsia="DengXian" w:hAnsi="Calibri"/>
            <w:color w:val="2E75B6"/>
            <w:sz w:val="15"/>
            <w:szCs w:val="15"/>
            <w:u w:val="single"/>
          </w:rPr>
          <w:t xml:space="preserve">cf40research.substack.com</w:t>
        </w:r>
      </w:hyperlink>
    </w:p>
  </w:footnote>
  <w:footnote w:id="46">
    <w:p>
      <w:pPr>
        <w:spacing w:after="20" w:line="240"/>
      </w:pPr>
      <w:r>
        <w:rPr>
          <w:rStyle w:val="FootnoteReference"/>
        </w:rPr>
        <w:footnoteRef/>
      </w:r>
      <w:r>
        <w:rPr>
          <w:rFonts w:ascii="Calibri" w:cs="Calibri" w:eastAsia="DengXian" w:hAnsi="Calibri"/>
          <w:color w:val="374151"/>
          <w:sz w:val="16"/>
          <w:szCs w:val="16"/>
        </w:rPr>
        <w:t xml:space="preserve">新浪财经：黄益平谈价格回升的起点（2026-05-08）。 </w:t>
      </w:r>
      <w:hyperlink w:history="1" r:id="rIdvcyci6gj_vjfukqzvzfwa">
        <w:r>
          <w:rPr>
            <w:rFonts w:ascii="Calibri" w:cs="Calibri" w:eastAsia="DengXian" w:hAnsi="Calibri"/>
            <w:color w:val="2E75B6"/>
            <w:sz w:val="15"/>
            <w:szCs w:val="15"/>
            <w:u w:val="single"/>
          </w:rPr>
          <w:t xml:space="preserve">finance.sina.com.cn</w:t>
        </w:r>
      </w:hyperlink>
    </w:p>
  </w:footnote>
  <w:footnote w:id="47">
    <w:p>
      <w:pPr>
        <w:spacing w:after="20" w:line="240"/>
      </w:pPr>
      <w:r>
        <w:rPr>
          <w:rStyle w:val="FootnoteReference"/>
        </w:rPr>
        <w:footnoteRef/>
      </w:r>
      <w:r>
        <w:rPr>
          <w:rFonts w:ascii="Calibri" w:cs="Calibri" w:eastAsia="DengXian" w:hAnsi="Calibri"/>
          <w:color w:val="374151"/>
          <w:sz w:val="16"/>
          <w:szCs w:val="16"/>
        </w:rPr>
        <w:t xml:space="preserve">国家统计局：2026年1—8月固定资产投资（2026-09-15）。 </w:t>
      </w:r>
      <w:hyperlink w:history="1" r:id="rIdq0fs0-mw5ypzoxa_qnjbf">
        <w:r>
          <w:rPr>
            <w:rFonts w:ascii="Calibri" w:cs="Calibri" w:eastAsia="DengXian" w:hAnsi="Calibri"/>
            <w:color w:val="2E75B6"/>
            <w:sz w:val="15"/>
            <w:szCs w:val="15"/>
            <w:u w:val="single"/>
          </w:rPr>
          <w:t xml:space="preserve">stats.gov.cn</w:t>
        </w:r>
      </w:hyperlink>
    </w:p>
  </w:footnote>
  <w:footnote w:id="48">
    <w:p>
      <w:pPr>
        <w:spacing w:after="20" w:line="240"/>
      </w:pPr>
      <w:r>
        <w:rPr>
          <w:rStyle w:val="FootnoteReference"/>
        </w:rPr>
        <w:footnoteRef/>
      </w:r>
      <w:r>
        <w:rPr>
          <w:rFonts w:ascii="Calibri" w:cs="Calibri" w:eastAsia="DengXian" w:hAnsi="Calibri"/>
          <w:color w:val="374151"/>
          <w:sz w:val="16"/>
          <w:szCs w:val="16"/>
        </w:rPr>
        <w:t xml:space="preserve">国家统计局：2026年1—8月社会消费品零售总额（2026-09-15）。 </w:t>
      </w:r>
      <w:hyperlink w:history="1" r:id="rIdj4eydrxsnbmh2p3vpjamb">
        <w:r>
          <w:rPr>
            <w:rFonts w:ascii="Calibri" w:cs="Calibri" w:eastAsia="DengXian" w:hAnsi="Calibri"/>
            <w:color w:val="2E75B6"/>
            <w:sz w:val="15"/>
            <w:szCs w:val="15"/>
            <w:u w:val="single"/>
          </w:rPr>
          <w:t xml:space="preserve">stats.gov.cn</w:t>
        </w:r>
      </w:hyperlink>
    </w:p>
  </w:footnote>
  <w:footnote w:id="49">
    <w:p>
      <w:pPr>
        <w:spacing w:after="20" w:line="240"/>
      </w:pPr>
      <w:r>
        <w:rPr>
          <w:rStyle w:val="FootnoteReference"/>
        </w:rPr>
        <w:footnoteRef/>
      </w:r>
      <w:r>
        <w:rPr>
          <w:rFonts w:ascii="Calibri" w:cs="Calibri" w:eastAsia="DengXian" w:hAnsi="Calibri"/>
          <w:color w:val="374151"/>
          <w:sz w:val="16"/>
          <w:szCs w:val="16"/>
        </w:rPr>
        <w:t xml:space="preserve">China-Global South Project：7月出口与1—7月贸易顺差（2026-08-07）。 </w:t>
      </w:r>
      <w:hyperlink w:history="1" r:id="rIdmtjmyeljdzapz_pe45ess">
        <w:r>
          <w:rPr>
            <w:rFonts w:ascii="Calibri" w:cs="Calibri" w:eastAsia="DengXian" w:hAnsi="Calibri"/>
            <w:color w:val="2E75B6"/>
            <w:sz w:val="15"/>
            <w:szCs w:val="15"/>
            <w:u w:val="single"/>
          </w:rPr>
          <w:t xml:space="preserve">chinaglobalsouth.com</w:t>
        </w:r>
      </w:hyperlink>
    </w:p>
  </w:footnote>
  <w:footnote w:id="50">
    <w:p>
      <w:pPr>
        <w:spacing w:after="20" w:line="240"/>
      </w:pPr>
      <w:r>
        <w:rPr>
          <w:rStyle w:val="FootnoteReference"/>
        </w:rPr>
        <w:footnoteRef/>
      </w:r>
      <w:r>
        <w:rPr>
          <w:rFonts w:ascii="Calibri" w:cs="Calibri" w:eastAsia="DengXian" w:hAnsi="Calibri"/>
          <w:color w:val="374151"/>
          <w:sz w:val="16"/>
          <w:szCs w:val="16"/>
        </w:rPr>
        <w:t xml:space="preserve">财新：新房销售额与2021年峰值的比较（2026-01-20）。 </w:t>
      </w:r>
      <w:hyperlink w:history="1" r:id="rIdlfjfhar4lqr9ltd-xrr08">
        <w:r>
          <w:rPr>
            <w:rFonts w:ascii="Calibri" w:cs="Calibri" w:eastAsia="DengXian" w:hAnsi="Calibri"/>
            <w:color w:val="2E75B6"/>
            <w:sz w:val="15"/>
            <w:szCs w:val="15"/>
            <w:u w:val="single"/>
          </w:rPr>
          <w:t xml:space="preserve">m.caixin.com</w:t>
        </w:r>
      </w:hyperlink>
    </w:p>
  </w:footnote>
  <w:footnote w:id="51">
    <w:p>
      <w:pPr>
        <w:spacing w:after="20" w:line="240"/>
      </w:pPr>
      <w:r>
        <w:rPr>
          <w:rStyle w:val="FootnoteReference"/>
        </w:rPr>
        <w:footnoteRef/>
      </w:r>
      <w:r>
        <w:rPr>
          <w:rFonts w:ascii="Calibri" w:cs="Calibri" w:eastAsia="DengXian" w:hAnsi="Calibri"/>
          <w:color w:val="374151"/>
          <w:sz w:val="16"/>
          <w:szCs w:val="16"/>
        </w:rPr>
        <w:t xml:space="preserve">CNBC：标普称中国楼市下滑比预期更严重（2026-02-09）。 </w:t>
      </w:r>
      <w:hyperlink w:history="1" r:id="rId1bdli1ybeqydqbzmfsble">
        <w:r>
          <w:rPr>
            <w:rFonts w:ascii="Calibri" w:cs="Calibri" w:eastAsia="DengXian" w:hAnsi="Calibri"/>
            <w:color w:val="2E75B6"/>
            <w:sz w:val="15"/>
            <w:szCs w:val="15"/>
            <w:u w:val="single"/>
          </w:rPr>
          <w:t xml:space="preserve">cnbc.com</w:t>
        </w:r>
      </w:hyperlink>
    </w:p>
  </w:footnote>
  <w:footnote w:id="52">
    <w:p>
      <w:pPr>
        <w:spacing w:after="20" w:line="240"/>
      </w:pPr>
      <w:r>
        <w:rPr>
          <w:rStyle w:val="FootnoteReference"/>
        </w:rPr>
        <w:footnoteRef/>
      </w:r>
      <w:r>
        <w:rPr>
          <w:rFonts w:ascii="Calibri" w:cs="Calibri" w:eastAsia="DengXian" w:hAnsi="Calibri"/>
          <w:color w:val="374151"/>
          <w:sz w:val="16"/>
          <w:szCs w:val="16"/>
        </w:rPr>
        <w:t xml:space="preserve">荣鼎咨询：China's Economy: Rightsizing 2025, Looking Ahead to 2026。 </w:t>
      </w:r>
      <w:hyperlink w:history="1" r:id="rIdvxyoyczegttylwt7twokw">
        <w:r>
          <w:rPr>
            <w:rFonts w:ascii="Calibri" w:cs="Calibri" w:eastAsia="DengXian" w:hAnsi="Calibri"/>
            <w:color w:val="2E75B6"/>
            <w:sz w:val="15"/>
            <w:szCs w:val="15"/>
            <w:u w:val="single"/>
          </w:rPr>
          <w:t xml:space="preserve">rhg.com</w:t>
        </w:r>
      </w:hyperlink>
    </w:p>
  </w:footnote>
  <w:footnote w:id="53">
    <w:p>
      <w:pPr>
        <w:spacing w:after="20" w:line="240"/>
      </w:pPr>
      <w:r>
        <w:rPr>
          <w:rStyle w:val="FootnoteReference"/>
        </w:rPr>
        <w:footnoteRef/>
      </w:r>
      <w:r>
        <w:rPr>
          <w:rFonts w:ascii="Calibri" w:cs="Calibri" w:eastAsia="DengXian" w:hAnsi="Calibri"/>
          <w:color w:val="374151"/>
          <w:sz w:val="16"/>
          <w:szCs w:val="16"/>
        </w:rPr>
        <w:t xml:space="preserve">China Daily：PPI结束连续41个月下降（2026-04-11）。 </w:t>
      </w:r>
      <w:hyperlink w:history="1" r:id="rIdg62ww1-ryxvwmkhx8f9wq">
        <w:r>
          <w:rPr>
            <w:rFonts w:ascii="Calibri" w:cs="Calibri" w:eastAsia="DengXian" w:hAnsi="Calibri"/>
            <w:color w:val="2E75B6"/>
            <w:sz w:val="15"/>
            <w:szCs w:val="15"/>
            <w:u w:val="single"/>
          </w:rPr>
          <w:t xml:space="preserve">chinadaily.com.cn</w:t>
        </w:r>
      </w:hyperlink>
    </w:p>
  </w:footnote>
  <w:footnote w:id="54">
    <w:p>
      <w:pPr>
        <w:spacing w:after="20" w:line="240"/>
      </w:pPr>
      <w:r>
        <w:rPr>
          <w:rStyle w:val="FootnoteReference"/>
        </w:rPr>
        <w:footnoteRef/>
      </w:r>
      <w:r>
        <w:rPr>
          <w:rFonts w:ascii="Calibri" w:cs="Calibri" w:eastAsia="DengXian" w:hAnsi="Calibri"/>
          <w:color w:val="374151"/>
          <w:sz w:val="16"/>
          <w:szCs w:val="16"/>
        </w:rPr>
        <w:t xml:space="preserve">国家金融与发展实验室报告（东方财富转载，2026-07-30）：实体经济总债务增速，住户债务同比变化。 </w:t>
      </w:r>
      <w:hyperlink w:history="1" r:id="rIdzkgk7cvzuuw_bjkpw5qkz">
        <w:r>
          <w:rPr>
            <w:rFonts w:ascii="Calibri" w:cs="Calibri" w:eastAsia="DengXian" w:hAnsi="Calibri"/>
            <w:color w:val="2E75B6"/>
            <w:sz w:val="15"/>
            <w:szCs w:val="15"/>
            <w:u w:val="single"/>
          </w:rPr>
          <w:t xml:space="preserve">finance.eastmoney.com</w:t>
        </w:r>
      </w:hyperlink>
    </w:p>
  </w:footnote>
  <w:footnote w:id="55">
    <w:p>
      <w:pPr>
        <w:spacing w:after="20" w:line="240"/>
      </w:pPr>
      <w:r>
        <w:rPr>
          <w:rStyle w:val="FootnoteReference"/>
        </w:rPr>
        <w:footnoteRef/>
      </w:r>
      <w:r>
        <w:rPr>
          <w:rFonts w:ascii="Calibri" w:cs="Calibri" w:eastAsia="DengXian" w:hAnsi="Calibri"/>
          <w:color w:val="374151"/>
          <w:sz w:val="16"/>
          <w:szCs w:val="16"/>
        </w:rPr>
        <w:t xml:space="preserve">经济参考报：3000亿元特别国债注资中央金融企业（2026-10-08）。 </w:t>
      </w:r>
      <w:hyperlink w:history="1" r:id="rIdynk_j_wle2qw0p_trusyg">
        <w:r>
          <w:rPr>
            <w:rFonts w:ascii="Calibri" w:cs="Calibri" w:eastAsia="DengXian" w:hAnsi="Calibri"/>
            <w:color w:val="2E75B6"/>
            <w:sz w:val="15"/>
            <w:szCs w:val="15"/>
            <w:u w:val="single"/>
          </w:rPr>
          <w:t xml:space="preserve">jjckb.xinhuanet.com</w:t>
        </w:r>
      </w:hyperlink>
    </w:p>
  </w:footnote>
  <w:footnote w:id="56">
    <w:p>
      <w:pPr>
        <w:spacing w:after="20" w:line="240"/>
      </w:pPr>
      <w:r>
        <w:rPr>
          <w:rStyle w:val="FootnoteReference"/>
        </w:rPr>
        <w:footnoteRef/>
      </w:r>
      <w:r>
        <w:rPr>
          <w:rFonts w:ascii="Calibri" w:cs="Calibri" w:eastAsia="DengXian" w:hAnsi="Calibri"/>
          <w:color w:val="374151"/>
          <w:sz w:val="16"/>
          <w:szCs w:val="16"/>
        </w:rPr>
        <w:t xml:space="preserve">财新：央行国债买卖操作恢复（2026-01-15）。 </w:t>
      </w:r>
      <w:hyperlink w:history="1" r:id="rIdvyaislgeohg35x6xmirhf">
        <w:r>
          <w:rPr>
            <w:rFonts w:ascii="Calibri" w:cs="Calibri" w:eastAsia="DengXian" w:hAnsi="Calibri"/>
            <w:color w:val="2E75B6"/>
            <w:sz w:val="15"/>
            <w:szCs w:val="15"/>
            <w:u w:val="single"/>
          </w:rPr>
          <w:t xml:space="preserve">finance.caixin.com</w:t>
        </w:r>
      </w:hyperlink>
    </w:p>
  </w:footnote>
  <w:footnote w:id="57">
    <w:p>
      <w:pPr>
        <w:spacing w:after="20" w:line="240"/>
      </w:pPr>
      <w:r>
        <w:rPr>
          <w:rStyle w:val="FootnoteReference"/>
        </w:rPr>
        <w:footnoteRef/>
      </w:r>
      <w:r>
        <w:rPr>
          <w:rFonts w:ascii="Calibri" w:cs="Calibri" w:eastAsia="DengXian" w:hAnsi="Calibri"/>
          <w:color w:val="374151"/>
          <w:sz w:val="16"/>
          <w:szCs w:val="16"/>
        </w:rPr>
        <w:t xml:space="preserve">路透：China economy poised to hit 2025 growth target（引澳新银行估计）。 </w:t>
      </w:r>
      <w:hyperlink w:history="1" r:id="rIdn-ournzjfxzlcfe6nsea-">
        <w:r>
          <w:rPr>
            <w:rFonts w:ascii="Calibri" w:cs="Calibri" w:eastAsia="DengXian" w:hAnsi="Calibri"/>
            <w:color w:val="2E75B6"/>
            <w:sz w:val="15"/>
            <w:szCs w:val="15"/>
            <w:u w:val="single"/>
          </w:rPr>
          <w:t xml:space="preserve">investing.com</w:t>
        </w:r>
      </w:hyperlink>
    </w:p>
  </w:footnote>
  <w:footnote w:id="58">
    <w:p>
      <w:pPr>
        <w:spacing w:after="20" w:line="240"/>
      </w:pPr>
      <w:r>
        <w:rPr>
          <w:rStyle w:val="FootnoteReference"/>
        </w:rPr>
        <w:footnoteRef/>
      </w:r>
      <w:r>
        <w:rPr>
          <w:rFonts w:ascii="Calibri" w:cs="Calibri" w:eastAsia="DengXian" w:hAnsi="Calibri"/>
          <w:color w:val="374151"/>
          <w:sz w:val="16"/>
          <w:szCs w:val="16"/>
        </w:rPr>
        <w:t xml:space="preserve">Fortune：Ray Dalio on China's property bubble（2024-09-18）。 </w:t>
      </w:r>
      <w:hyperlink w:history="1" r:id="rIdzo7gq0ri9za-0w_thfaaf">
        <w:r>
          <w:rPr>
            <w:rFonts w:ascii="Calibri" w:cs="Calibri" w:eastAsia="DengXian" w:hAnsi="Calibri"/>
            <w:color w:val="2E75B6"/>
            <w:sz w:val="15"/>
            <w:szCs w:val="15"/>
            <w:u w:val="single"/>
          </w:rPr>
          <w:t xml:space="preserve">dc.fortune.com</w:t>
        </w:r>
      </w:hyperlink>
    </w:p>
  </w:footnote>
  <w:footnote w:id="59">
    <w:p>
      <w:pPr>
        <w:spacing w:after="20" w:line="240"/>
      </w:pPr>
      <w:r>
        <w:rPr>
          <w:rStyle w:val="FootnoteReference"/>
        </w:rPr>
        <w:footnoteRef/>
      </w:r>
      <w:r>
        <w:rPr>
          <w:rFonts w:ascii="Calibri" w:cs="Calibri" w:eastAsia="DengXian" w:hAnsi="Calibri"/>
          <w:color w:val="374151"/>
          <w:sz w:val="16"/>
          <w:szCs w:val="16"/>
        </w:rPr>
        <w:t xml:space="preserve">荣鼎咨询：China's Economy: Rightsizing 2025, Looking Ahead to 2026。 </w:t>
      </w:r>
      <w:hyperlink w:history="1" r:id="rIdnsnsfwiv-degirqw4xmga">
        <w:r>
          <w:rPr>
            <w:rFonts w:ascii="Calibri" w:cs="Calibri" w:eastAsia="DengXian" w:hAnsi="Calibri"/>
            <w:color w:val="2E75B6"/>
            <w:sz w:val="15"/>
            <w:szCs w:val="15"/>
            <w:u w:val="single"/>
          </w:rPr>
          <w:t xml:space="preserve">rhg.com</w:t>
        </w:r>
      </w:hyperlink>
    </w:p>
  </w:footnote>
  <w:footnote w:id="60">
    <w:p>
      <w:pPr>
        <w:spacing w:after="20" w:line="240"/>
      </w:pPr>
      <w:r>
        <w:rPr>
          <w:rStyle w:val="FootnoteReference"/>
        </w:rPr>
        <w:footnoteRef/>
      </w:r>
      <w:r>
        <w:rPr>
          <w:rFonts w:ascii="Calibri" w:cs="Calibri" w:eastAsia="DengXian" w:hAnsi="Calibri"/>
          <w:color w:val="374151"/>
          <w:sz w:val="16"/>
          <w:szCs w:val="16"/>
        </w:rPr>
        <w:t xml:space="preserve">芬兰央行转型经济研究所（BOFIT）：中国2025年增长估计（2026）。 </w:t>
      </w:r>
      <w:hyperlink w:history="1" r:id="rIdvshadf1cxij9k2jnsqlz7">
        <w:r>
          <w:rPr>
            <w:rFonts w:ascii="Calibri" w:cs="Calibri" w:eastAsia="DengXian" w:hAnsi="Calibri"/>
            <w:color w:val="2E75B6"/>
            <w:sz w:val="15"/>
            <w:szCs w:val="15"/>
            <w:u w:val="single"/>
          </w:rPr>
          <w:t xml:space="preserve">bofit.fi</w:t>
        </w:r>
      </w:hyperlink>
    </w:p>
  </w:footnote>
  <w:footnote w:id="61">
    <w:p>
      <w:pPr>
        <w:spacing w:after="20" w:line="240"/>
      </w:pPr>
      <w:r>
        <w:rPr>
          <w:rStyle w:val="FootnoteReference"/>
        </w:rPr>
        <w:footnoteRef/>
      </w:r>
      <w:r>
        <w:rPr>
          <w:rFonts w:ascii="Calibri" w:cs="Calibri" w:eastAsia="DengXian" w:hAnsi="Calibri"/>
          <w:color w:val="374151"/>
          <w:sz w:val="16"/>
          <w:szCs w:val="16"/>
        </w:rPr>
        <w:t xml:space="preserve">澎湃新闻：9月LPR连续16个月不变（2026-09）。 </w:t>
      </w:r>
      <w:hyperlink w:history="1" r:id="rIdjillajngf8lshpvxyzrdc">
        <w:r>
          <w:rPr>
            <w:rFonts w:ascii="Calibri" w:cs="Calibri" w:eastAsia="DengXian" w:hAnsi="Calibri"/>
            <w:color w:val="2E75B6"/>
            <w:sz w:val="15"/>
            <w:szCs w:val="15"/>
            <w:u w:val="single"/>
          </w:rPr>
          <w:t xml:space="preserve">m.thepaper.cn</w:t>
        </w:r>
      </w:hyperlink>
    </w:p>
  </w:footnote>
  <w:footnote w:id="62">
    <w:p>
      <w:pPr>
        <w:spacing w:after="20" w:line="240"/>
      </w:pPr>
      <w:r>
        <w:rPr>
          <w:rStyle w:val="FootnoteReference"/>
        </w:rPr>
        <w:footnoteRef/>
      </w:r>
      <w:r>
        <w:rPr>
          <w:rFonts w:ascii="Calibri" w:cs="Calibri" w:eastAsia="DengXian" w:hAnsi="Calibri"/>
          <w:color w:val="374151"/>
          <w:sz w:val="16"/>
          <w:szCs w:val="16"/>
        </w:rPr>
        <w:t xml:space="preserve">腾讯新闻：1—8月住户存款（2026-09-14）。 </w:t>
      </w:r>
      <w:hyperlink w:history="1" r:id="rIdf5pf5-6lgy86-nfbodadc">
        <w:r>
          <w:rPr>
            <w:rFonts w:ascii="Calibri" w:cs="Calibri" w:eastAsia="DengXian" w:hAnsi="Calibri"/>
            <w:color w:val="2E75B6"/>
            <w:sz w:val="15"/>
            <w:szCs w:val="15"/>
            <w:u w:val="single"/>
          </w:rPr>
          <w:t xml:space="preserve">news.qq.com</w:t>
        </w:r>
      </w:hyperlink>
    </w:p>
  </w:footnote>
  <w:footnote w:id="63">
    <w:p>
      <w:pPr>
        <w:spacing w:after="20" w:line="240"/>
      </w:pPr>
      <w:r>
        <w:rPr>
          <w:rStyle w:val="FootnoteReference"/>
        </w:rPr>
        <w:footnoteRef/>
      </w:r>
      <w:r>
        <w:rPr>
          <w:rFonts w:ascii="Calibri" w:cs="Calibri" w:eastAsia="DengXian" w:hAnsi="Calibri"/>
          <w:color w:val="374151"/>
          <w:sz w:val="16"/>
          <w:szCs w:val="16"/>
        </w:rPr>
        <w:t xml:space="preserve">中国金融信息网：二季度商业银行主要监管指标（2026-08-14）。 </w:t>
      </w:r>
      <w:hyperlink w:history="1" r:id="rIdepjqi-1dp6q43jmlnq6i5">
        <w:r>
          <w:rPr>
            <w:rFonts w:ascii="Calibri" w:cs="Calibri" w:eastAsia="DengXian" w:hAnsi="Calibri"/>
            <w:color w:val="2E75B6"/>
            <w:sz w:val="15"/>
            <w:szCs w:val="15"/>
            <w:u w:val="single"/>
          </w:rPr>
          <w:t xml:space="preserve">m.cnfin.com</w:t>
        </w:r>
      </w:hyperlink>
    </w:p>
  </w:footnote>
  <w:footnote w:id="64">
    <w:p>
      <w:pPr>
        <w:spacing w:after="20" w:line="240"/>
      </w:pPr>
      <w:r>
        <w:rPr>
          <w:rStyle w:val="FootnoteReference"/>
        </w:rPr>
        <w:footnoteRef/>
      </w:r>
      <w:r>
        <w:rPr>
          <w:rFonts w:ascii="Calibri" w:cs="Calibri" w:eastAsia="DengXian" w:hAnsi="Calibri"/>
          <w:color w:val="374151"/>
          <w:sz w:val="16"/>
          <w:szCs w:val="16"/>
        </w:rPr>
        <w:t xml:space="preserve">CGTN：PBOC announces adjustments to several monetary policy tools（2026-09-29）。 </w:t>
      </w:r>
      <w:hyperlink w:history="1" r:id="rId2isf-u4lykxlwezn8xbwx">
        <w:r>
          <w:rPr>
            <w:rFonts w:ascii="Calibri" w:cs="Calibri" w:eastAsia="DengXian" w:hAnsi="Calibri"/>
            <w:color w:val="2E75B6"/>
            <w:sz w:val="15"/>
            <w:szCs w:val="15"/>
            <w:u w:val="single"/>
          </w:rPr>
          <w:t xml:space="preserve">news.cgtn.com</w:t>
        </w:r>
      </w:hyperlink>
    </w:p>
  </w:footnote>
  <w:footnote w:id="65">
    <w:p>
      <w:pPr>
        <w:spacing w:after="20" w:line="240"/>
      </w:pPr>
      <w:r>
        <w:rPr>
          <w:rStyle w:val="FootnoteReference"/>
        </w:rPr>
        <w:footnoteRef/>
      </w:r>
      <w:r>
        <w:rPr>
          <w:rFonts w:ascii="Calibri" w:cs="Calibri" w:eastAsia="DengXian" w:hAnsi="Calibri"/>
          <w:color w:val="374151"/>
          <w:sz w:val="16"/>
          <w:szCs w:val="16"/>
        </w:rPr>
        <w:t xml:space="preserve">财政部、中国人民银行、金融监管总局：关于实施居民购房贷款贴息政策的通知，财金〔2026〕95号（2026-09-29）。 </w:t>
      </w:r>
      <w:hyperlink w:history="1" r:id="rIdobrkmac6l9zecyht1l2rg">
        <w:r>
          <w:rPr>
            <w:rFonts w:ascii="Calibri" w:cs="Calibri" w:eastAsia="DengXian" w:hAnsi="Calibri"/>
            <w:color w:val="2E75B6"/>
            <w:sz w:val="15"/>
            <w:szCs w:val="15"/>
            <w:u w:val="single"/>
          </w:rPr>
          <w:t xml:space="preserve">jrs.mof.gov.cn</w:t>
        </w:r>
      </w:hyperlink>
    </w:p>
  </w:footnote>
  <w:footnote w:id="66">
    <w:p>
      <w:pPr>
        <w:spacing w:after="20" w:line="240"/>
      </w:pPr>
      <w:r>
        <w:rPr>
          <w:rStyle w:val="FootnoteReference"/>
        </w:rPr>
        <w:footnoteRef/>
      </w:r>
      <w:r>
        <w:rPr>
          <w:rFonts w:ascii="Calibri" w:cs="Calibri" w:eastAsia="DengXian" w:hAnsi="Calibri"/>
          <w:color w:val="374151"/>
          <w:sz w:val="16"/>
          <w:szCs w:val="16"/>
        </w:rPr>
        <w:t xml:space="preserve">21世纪经济报道：育儿补贴的财政投入（2026-06-02）。 </w:t>
      </w:r>
      <w:hyperlink w:history="1" r:id="rIdezelem6d7bsts_6hpwktq">
        <w:r>
          <w:rPr>
            <w:rFonts w:ascii="Calibri" w:cs="Calibri" w:eastAsia="DengXian" w:hAnsi="Calibri"/>
            <w:color w:val="2E75B6"/>
            <w:sz w:val="15"/>
            <w:szCs w:val="15"/>
            <w:u w:val="single"/>
          </w:rPr>
          <w:t xml:space="preserve">21jingji.com</w:t>
        </w:r>
      </w:hyperlink>
    </w:p>
  </w:footnote>
  <w:footnote w:id="67">
    <w:p>
      <w:pPr>
        <w:spacing w:after="20" w:line="240"/>
      </w:pPr>
      <w:r>
        <w:rPr>
          <w:rStyle w:val="FootnoteReference"/>
        </w:rPr>
        <w:footnoteRef/>
      </w:r>
      <w:r>
        <w:rPr>
          <w:rFonts w:ascii="Calibri" w:cs="Calibri" w:eastAsia="DengXian" w:hAnsi="Calibri"/>
          <w:color w:val="374151"/>
          <w:sz w:val="16"/>
          <w:szCs w:val="16"/>
        </w:rPr>
        <w:t xml:space="preserve">财新：消费贷贴息上限提高（2026-08-21）。 </w:t>
      </w:r>
      <w:hyperlink w:history="1" r:id="rIdalnrfxxscjmh_h8xlkbwf">
        <w:r>
          <w:rPr>
            <w:rFonts w:ascii="Calibri" w:cs="Calibri" w:eastAsia="DengXian" w:hAnsi="Calibri"/>
            <w:color w:val="2E75B6"/>
            <w:sz w:val="15"/>
            <w:szCs w:val="15"/>
            <w:u w:val="single"/>
          </w:rPr>
          <w:t xml:space="preserve">economy.caixin.com</w:t>
        </w:r>
      </w:hyperlink>
    </w:p>
  </w:footnote>
  <w:footnote w:id="68">
    <w:p>
      <w:pPr>
        <w:spacing w:after="20" w:line="240"/>
      </w:pPr>
      <w:r>
        <w:rPr>
          <w:rStyle w:val="FootnoteReference"/>
        </w:rPr>
        <w:footnoteRef/>
      </w:r>
      <w:r>
        <w:rPr>
          <w:rFonts w:ascii="Calibri" w:cs="Calibri" w:eastAsia="DengXian" w:hAnsi="Calibri"/>
          <w:color w:val="374151"/>
          <w:sz w:val="16"/>
          <w:szCs w:val="16"/>
        </w:rPr>
        <w:t xml:space="preserve">观点网：2026年1—8月土地出让收入与政府性基金收支（2026-09-18）。 </w:t>
      </w:r>
      <w:hyperlink w:history="1" r:id="rIdil1l_zqip51fwd9tegw96">
        <w:r>
          <w:rPr>
            <w:rFonts w:ascii="Calibri" w:cs="Calibri" w:eastAsia="DengXian" w:hAnsi="Calibri"/>
            <w:color w:val="2E75B6"/>
            <w:sz w:val="15"/>
            <w:szCs w:val="15"/>
            <w:u w:val="single"/>
          </w:rPr>
          <w:t xml:space="preserve">guandian.cn</w:t>
        </w:r>
      </w:hyperlink>
    </w:p>
  </w:footnote>
  <w:footnote w:id="69">
    <w:p>
      <w:pPr>
        <w:spacing w:after="20" w:line="240"/>
      </w:pPr>
      <w:r>
        <w:rPr>
          <w:rStyle w:val="FootnoteReference"/>
        </w:rPr>
        <w:footnoteRef/>
      </w:r>
      <w:r>
        <w:rPr>
          <w:rFonts w:ascii="Calibri" w:cs="Calibri" w:eastAsia="DengXian" w:hAnsi="Calibri"/>
          <w:color w:val="374151"/>
          <w:sz w:val="16"/>
          <w:szCs w:val="16"/>
        </w:rPr>
        <w:t xml:space="preserve">IMF eLibrary：中国2025年第四条款磋商报告正文（2026）。 </w:t>
      </w:r>
      <w:hyperlink w:history="1" r:id="rIdamnfpoqbl4drykz3y6w4d">
        <w:r>
          <w:rPr>
            <w:rFonts w:ascii="Calibri" w:cs="Calibri" w:eastAsia="DengXian" w:hAnsi="Calibri"/>
            <w:color w:val="2E75B6"/>
            <w:sz w:val="15"/>
            <w:szCs w:val="15"/>
            <w:u w:val="single"/>
          </w:rPr>
          <w:t xml:space="preserve">elibrary.imf.org</w:t>
        </w:r>
      </w:hyperlink>
    </w:p>
  </w:footnote>
  <w:footnote w:id="70">
    <w:p>
      <w:pPr>
        <w:spacing w:after="20" w:line="240"/>
      </w:pPr>
      <w:r>
        <w:rPr>
          <w:rStyle w:val="FootnoteReference"/>
        </w:rPr>
        <w:footnoteRef/>
      </w:r>
      <w:r>
        <w:rPr>
          <w:rFonts w:ascii="Calibri" w:cs="Calibri" w:eastAsia="DengXian" w:hAnsi="Calibri"/>
          <w:color w:val="374151"/>
          <w:sz w:val="16"/>
          <w:szCs w:val="16"/>
        </w:rPr>
        <w:t xml:space="preserve">21世纪经济报道：隐性债务置换进展（2026-09-28）。 </w:t>
      </w:r>
      <w:hyperlink w:history="1" r:id="rIdwvrqq7wlygwz-sxzrw0xt">
        <w:r>
          <w:rPr>
            <w:rFonts w:ascii="Calibri" w:cs="Calibri" w:eastAsia="DengXian" w:hAnsi="Calibri"/>
            <w:color w:val="2E75B6"/>
            <w:sz w:val="15"/>
            <w:szCs w:val="15"/>
            <w:u w:val="single"/>
          </w:rPr>
          <w:t xml:space="preserve">21jingji.com</w:t>
        </w:r>
      </w:hyperlink>
    </w:p>
  </w:footnote>
  <w:footnote w:id="71">
    <w:p>
      <w:pPr>
        <w:spacing w:after="20" w:line="240"/>
      </w:pPr>
      <w:r>
        <w:rPr>
          <w:rStyle w:val="FootnoteReference"/>
        </w:rPr>
        <w:footnoteRef/>
      </w:r>
      <w:r>
        <w:rPr>
          <w:rFonts w:ascii="Calibri" w:cs="Calibri" w:eastAsia="DengXian" w:hAnsi="Calibri"/>
          <w:color w:val="374151"/>
          <w:sz w:val="16"/>
          <w:szCs w:val="16"/>
        </w:rPr>
        <w:t xml:space="preserve">大公国际：2026年1—8月债券市场违约与展期统计。 </w:t>
      </w:r>
      <w:hyperlink w:history="1" r:id="rIdehgbk78fvwrdmemieum5d">
        <w:r>
          <w:rPr>
            <w:rFonts w:ascii="Calibri" w:cs="Calibri" w:eastAsia="DengXian" w:hAnsi="Calibri"/>
            <w:color w:val="2E75B6"/>
            <w:sz w:val="15"/>
            <w:szCs w:val="15"/>
            <w:u w:val="single"/>
          </w:rPr>
          <w:t xml:space="preserve">dagongcredit.com</w:t>
        </w:r>
      </w:hyperlink>
    </w:p>
  </w:footnote>
  <w:footnote w:id="72">
    <w:p>
      <w:pPr>
        <w:spacing w:after="20" w:line="240"/>
      </w:pPr>
      <w:r>
        <w:rPr>
          <w:rStyle w:val="FootnoteReference"/>
        </w:rPr>
        <w:footnoteRef/>
      </w:r>
      <w:r>
        <w:rPr>
          <w:rFonts w:ascii="Calibri" w:cs="Calibri" w:eastAsia="DengXian" w:hAnsi="Calibri"/>
          <w:color w:val="374151"/>
          <w:sz w:val="16"/>
          <w:szCs w:val="16"/>
        </w:rPr>
        <w:t xml:space="preserve">财联社：碧桂园境内债重组。 </w:t>
      </w:r>
      <w:hyperlink w:history="1" r:id="rIdlqex5iqdbawjgdcpi8i5u">
        <w:r>
          <w:rPr>
            <w:rFonts w:ascii="Calibri" w:cs="Calibri" w:eastAsia="DengXian" w:hAnsi="Calibri"/>
            <w:color w:val="2E75B6"/>
            <w:sz w:val="15"/>
            <w:szCs w:val="15"/>
            <w:u w:val="single"/>
          </w:rPr>
          <w:t xml:space="preserve">m.cls.cn</w:t>
        </w:r>
      </w:hyperlink>
    </w:p>
  </w:footnote>
  <w:footnote w:id="73">
    <w:p>
      <w:pPr>
        <w:spacing w:after="20" w:line="240"/>
      </w:pPr>
      <w:r>
        <w:rPr>
          <w:rStyle w:val="FootnoteReference"/>
        </w:rPr>
        <w:footnoteRef/>
      </w:r>
      <w:r>
        <w:rPr>
          <w:rFonts w:ascii="Calibri" w:cs="Calibri" w:eastAsia="DengXian" w:hAnsi="Calibri"/>
          <w:color w:val="374151"/>
          <w:sz w:val="16"/>
          <w:szCs w:val="16"/>
        </w:rPr>
        <w:t xml:space="preserve">21世纪经济报道：2026年新增政府债务结构（2026-03-05）。 </w:t>
      </w:r>
      <w:hyperlink w:history="1" r:id="rIdstzbgsa_8fl72zojamqls">
        <w:r>
          <w:rPr>
            <w:rFonts w:ascii="Calibri" w:cs="Calibri" w:eastAsia="DengXian" w:hAnsi="Calibri"/>
            <w:color w:val="2E75B6"/>
            <w:sz w:val="15"/>
            <w:szCs w:val="15"/>
            <w:u w:val="single"/>
          </w:rPr>
          <w:t xml:space="preserve">21jingji.com</w:t>
        </w:r>
      </w:hyperlink>
    </w:p>
  </w:footnote>
  <w:footnote w:id="74">
    <w:p>
      <w:pPr>
        <w:spacing w:after="20" w:line="240"/>
      </w:pPr>
      <w:r>
        <w:rPr>
          <w:rStyle w:val="FootnoteReference"/>
        </w:rPr>
        <w:footnoteRef/>
      </w:r>
      <w:r>
        <w:rPr>
          <w:rFonts w:ascii="Calibri" w:cs="Calibri" w:eastAsia="DengXian" w:hAnsi="Calibri"/>
          <w:color w:val="374151"/>
          <w:sz w:val="16"/>
          <w:szCs w:val="16"/>
        </w:rPr>
        <w:t xml:space="preserve">经济参考报：3000亿元特别国债注资中央金融企业（2026-10-08）。 </w:t>
      </w:r>
      <w:hyperlink w:history="1" r:id="rId2adz5oasc0wfndo4ornpo">
        <w:r>
          <w:rPr>
            <w:rFonts w:ascii="Calibri" w:cs="Calibri" w:eastAsia="DengXian" w:hAnsi="Calibri"/>
            <w:color w:val="2E75B6"/>
            <w:sz w:val="15"/>
            <w:szCs w:val="15"/>
            <w:u w:val="single"/>
          </w:rPr>
          <w:t xml:space="preserve">jjckb.xinhuanet.com</w:t>
        </w:r>
      </w:hyperlink>
    </w:p>
  </w:footnote>
  <w:footnote w:id="75">
    <w:p>
      <w:pPr>
        <w:spacing w:after="20" w:line="240"/>
      </w:pPr>
      <w:r>
        <w:rPr>
          <w:rStyle w:val="FootnoteReference"/>
        </w:rPr>
        <w:footnoteRef/>
      </w:r>
      <w:r>
        <w:rPr>
          <w:rFonts w:ascii="Calibri" w:cs="Calibri" w:eastAsia="DengXian" w:hAnsi="Calibri"/>
          <w:color w:val="374151"/>
          <w:sz w:val="16"/>
          <w:szCs w:val="16"/>
        </w:rPr>
        <w:t xml:space="preserve">国家发展改革委：消费品以旧换新资金下达（2026-09-30）。 </w:t>
      </w:r>
      <w:hyperlink w:history="1" r:id="rIdtbeiczruqgeyzjbmefg3s">
        <w:r>
          <w:rPr>
            <w:rFonts w:ascii="Calibri" w:cs="Calibri" w:eastAsia="DengXian" w:hAnsi="Calibri"/>
            <w:color w:val="2E75B6"/>
            <w:sz w:val="15"/>
            <w:szCs w:val="15"/>
            <w:u w:val="single"/>
          </w:rPr>
          <w:t xml:space="preserve">ndrc.gov.cn</w:t>
        </w:r>
      </w:hyperlink>
    </w:p>
  </w:footnote>
  <w:footnote w:id="76">
    <w:p>
      <w:pPr>
        <w:spacing w:after="20" w:line="240"/>
      </w:pPr>
      <w:r>
        <w:rPr>
          <w:rStyle w:val="FootnoteReference"/>
        </w:rPr>
        <w:footnoteRef/>
      </w:r>
      <w:r>
        <w:rPr>
          <w:rFonts w:ascii="Calibri" w:cs="Calibri" w:eastAsia="DengXian" w:hAnsi="Calibri"/>
          <w:color w:val="374151"/>
          <w:sz w:val="16"/>
          <w:szCs w:val="16"/>
        </w:rPr>
        <w:t xml:space="preserve">达利欧的X帖文：关于"漂亮的去杠杆"。 </w:t>
      </w:r>
      <w:hyperlink w:history="1" r:id="rIdcvi7yajbble-udw4uuziy">
        <w:r>
          <w:rPr>
            <w:rFonts w:ascii="Calibri" w:cs="Calibri" w:eastAsia="DengXian" w:hAnsi="Calibri"/>
            <w:color w:val="2E75B6"/>
            <w:sz w:val="15"/>
            <w:szCs w:val="15"/>
            <w:u w:val="single"/>
          </w:rPr>
          <w:t xml:space="preserve">x.com</w:t>
        </w:r>
      </w:hyperlink>
    </w:p>
  </w:footnote>
  <w:footnote w:id="77">
    <w:p>
      <w:pPr>
        <w:spacing w:after="20" w:line="240"/>
      </w:pPr>
      <w:r>
        <w:rPr>
          <w:rStyle w:val="FootnoteReference"/>
        </w:rPr>
        <w:footnoteRef/>
      </w:r>
      <w:r>
        <w:rPr>
          <w:rFonts w:ascii="Calibri" w:cs="Calibri" w:eastAsia="DengXian" w:hAnsi="Calibri"/>
          <w:color w:val="374151"/>
          <w:sz w:val="16"/>
          <w:szCs w:val="16"/>
        </w:rPr>
        <w:t xml:space="preserve">Benzinga：Ray Dalio sees potential for beautiful deleveraging in China（2024-10）。 </w:t>
      </w:r>
      <w:hyperlink w:history="1" r:id="rIduh7simen7jgygl2koc7xo">
        <w:r>
          <w:rPr>
            <w:rFonts w:ascii="Calibri" w:cs="Calibri" w:eastAsia="DengXian" w:hAnsi="Calibri"/>
            <w:color w:val="2E75B6"/>
            <w:sz w:val="15"/>
            <w:szCs w:val="15"/>
            <w:u w:val="single"/>
          </w:rPr>
          <w:t xml:space="preserve">benzinga.com</w:t>
        </w:r>
      </w:hyperlink>
    </w:p>
  </w:footnote>
  <w:footnote w:id="78">
    <w:p>
      <w:pPr>
        <w:spacing w:after="20" w:line="240"/>
      </w:pPr>
      <w:r>
        <w:rPr>
          <w:rStyle w:val="FootnoteReference"/>
        </w:rPr>
        <w:footnoteRef/>
      </w:r>
      <w:r>
        <w:rPr>
          <w:rFonts w:ascii="Calibri" w:cs="Calibri" w:eastAsia="DengXian" w:hAnsi="Calibri"/>
          <w:color w:val="374151"/>
          <w:sz w:val="16"/>
          <w:szCs w:val="16"/>
        </w:rPr>
        <w:t xml:space="preserve">CNBC：China must pair stimulus with beautiful deleveraging, says Ray Dalio（2024-10-18）。 </w:t>
      </w:r>
      <w:hyperlink w:history="1" r:id="rIdqc8j6-2hrk8pz1a4cheiy">
        <w:r>
          <w:rPr>
            <w:rFonts w:ascii="Calibri" w:cs="Calibri" w:eastAsia="DengXian" w:hAnsi="Calibri"/>
            <w:color w:val="2E75B6"/>
            <w:sz w:val="15"/>
            <w:szCs w:val="15"/>
            <w:u w:val="single"/>
          </w:rPr>
          <w:t xml:space="preserve">cnbc.com</w:t>
        </w:r>
      </w:hyperlink>
    </w:p>
  </w:footnote>
  <w:footnote w:id="79">
    <w:p>
      <w:pPr>
        <w:spacing w:after="20" w:line="240"/>
      </w:pPr>
      <w:r>
        <w:rPr>
          <w:rStyle w:val="FootnoteReference"/>
        </w:rPr>
        <w:footnoteRef/>
      </w:r>
      <w:r>
        <w:rPr>
          <w:rFonts w:ascii="Calibri" w:cs="Calibri" w:eastAsia="DengXian" w:hAnsi="Calibri"/>
          <w:color w:val="374151"/>
          <w:sz w:val="16"/>
          <w:szCs w:val="16"/>
        </w:rPr>
        <w:t xml:space="preserve">路透：China urges more FX hedging as strong yuan hits exporters（2026-09）。 </w:t>
      </w:r>
      <w:hyperlink w:history="1" r:id="rIdtrnmirrhmhzrdzfr7kdfk">
        <w:r>
          <w:rPr>
            <w:rFonts w:ascii="Calibri" w:cs="Calibri" w:eastAsia="DengXian" w:hAnsi="Calibri"/>
            <w:color w:val="2E75B6"/>
            <w:sz w:val="15"/>
            <w:szCs w:val="15"/>
            <w:u w:val="single"/>
          </w:rPr>
          <w:t xml:space="preserve">investing.com</w:t>
        </w:r>
      </w:hyperlink>
    </w:p>
  </w:footnote>
  <w:footnote w:id="80">
    <w:p>
      <w:pPr>
        <w:spacing w:after="20" w:line="240"/>
      </w:pPr>
      <w:r>
        <w:rPr>
          <w:rStyle w:val="FootnoteReference"/>
        </w:rPr>
        <w:footnoteRef/>
      </w:r>
      <w:r>
        <w:rPr>
          <w:rFonts w:ascii="Calibri" w:cs="Calibri" w:eastAsia="DengXian" w:hAnsi="Calibri"/>
          <w:color w:val="374151"/>
          <w:sz w:val="16"/>
          <w:szCs w:val="16"/>
        </w:rPr>
        <w:t xml:space="preserve">瑞银（Investing转载）：2026年上半年A股出口企业汇兑损失。 </w:t>
      </w:r>
      <w:hyperlink w:history="1" r:id="rIdj-rikaev4dqxzv-tb6bdh">
        <w:r>
          <w:rPr>
            <w:rFonts w:ascii="Calibri" w:cs="Calibri" w:eastAsia="DengXian" w:hAnsi="Calibri"/>
            <w:color w:val="2E75B6"/>
            <w:sz w:val="15"/>
            <w:szCs w:val="15"/>
            <w:u w:val="single"/>
          </w:rPr>
          <w:t xml:space="preserve">ng.investing.com</w:t>
        </w:r>
      </w:hyperlink>
    </w:p>
  </w:footnote>
  <w:footnote w:id="81">
    <w:p>
      <w:pPr>
        <w:spacing w:after="20" w:line="240"/>
      </w:pPr>
      <w:r>
        <w:rPr>
          <w:rStyle w:val="FootnoteReference"/>
        </w:rPr>
        <w:footnoteRef/>
      </w:r>
      <w:r>
        <w:rPr>
          <w:rFonts w:ascii="Calibri" w:cs="Calibri" w:eastAsia="DengXian" w:hAnsi="Calibri"/>
          <w:color w:val="374151"/>
          <w:sz w:val="16"/>
          <w:szCs w:val="16"/>
        </w:rPr>
        <w:t xml:space="preserve">达利欧LinkedIn：China Needs to Engineer a Beautiful Deleveraging（2023-08）。 </w:t>
      </w:r>
      <w:hyperlink w:history="1" r:id="rIdf2zvctxpau6lahodkyq0n">
        <w:r>
          <w:rPr>
            <w:rFonts w:ascii="Calibri" w:cs="Calibri" w:eastAsia="DengXian" w:hAnsi="Calibri"/>
            <w:color w:val="2E75B6"/>
            <w:sz w:val="15"/>
            <w:szCs w:val="15"/>
            <w:u w:val="single"/>
          </w:rPr>
          <w:t xml:space="preserve">linkedin.com</w:t>
        </w:r>
      </w:hyperlink>
    </w:p>
  </w:footnote>
  <w:footnote w:id="82">
    <w:p>
      <w:pPr>
        <w:spacing w:after="20" w:line="240"/>
      </w:pPr>
      <w:r>
        <w:rPr>
          <w:rStyle w:val="FootnoteReference"/>
        </w:rPr>
        <w:footnoteRef/>
      </w:r>
      <w:r>
        <w:rPr>
          <w:rFonts w:ascii="Calibri" w:cs="Calibri" w:eastAsia="DengXian" w:hAnsi="Calibri"/>
          <w:color w:val="374151"/>
          <w:sz w:val="16"/>
          <w:szCs w:val="16"/>
        </w:rPr>
        <w:t xml:space="preserve">Fortune：Ray Dalio on China's debt and property crisis（2023-08-18）。 </w:t>
      </w:r>
      <w:hyperlink w:history="1" r:id="rIditcgg46aspfeo6ayjdqje">
        <w:r>
          <w:rPr>
            <w:rFonts w:ascii="Calibri" w:cs="Calibri" w:eastAsia="DengXian" w:hAnsi="Calibri"/>
            <w:color w:val="2E75B6"/>
            <w:sz w:val="15"/>
            <w:szCs w:val="15"/>
            <w:u w:val="single"/>
          </w:rPr>
          <w:t xml:space="preserve">fortune.com</w:t>
        </w:r>
      </w:hyperlink>
    </w:p>
  </w:footnote>
  <w:footnote w:id="83">
    <w:p>
      <w:pPr>
        <w:spacing w:after="20" w:line="240"/>
      </w:pPr>
      <w:r>
        <w:rPr>
          <w:rStyle w:val="FootnoteReference"/>
        </w:rPr>
        <w:footnoteRef/>
      </w:r>
      <w:r>
        <w:rPr>
          <w:rFonts w:ascii="Calibri" w:cs="Calibri" w:eastAsia="DengXian" w:hAnsi="Calibri"/>
          <w:color w:val="374151"/>
          <w:sz w:val="16"/>
          <w:szCs w:val="16"/>
        </w:rPr>
        <w:t xml:space="preserve">CNBC：China must pair stimulus with beautiful deleveraging, says Ray Dalio（2024-10-18）。 </w:t>
      </w:r>
      <w:hyperlink w:history="1" r:id="rIdkislljserxegzboiwjwzo">
        <w:r>
          <w:rPr>
            <w:rFonts w:ascii="Calibri" w:cs="Calibri" w:eastAsia="DengXian" w:hAnsi="Calibri"/>
            <w:color w:val="2E75B6"/>
            <w:sz w:val="15"/>
            <w:szCs w:val="15"/>
            <w:u w:val="single"/>
          </w:rPr>
          <w:t xml:space="preserve">cnbc.com</w:t>
        </w:r>
      </w:hyperlink>
    </w:p>
  </w:footnote>
  <w:footnote w:id="84">
    <w:p>
      <w:pPr>
        <w:spacing w:after="20" w:line="240"/>
      </w:pPr>
      <w:r>
        <w:rPr>
          <w:rStyle w:val="FootnoteReference"/>
        </w:rPr>
        <w:footnoteRef/>
      </w:r>
      <w:r>
        <w:rPr>
          <w:rFonts w:ascii="Calibri" w:cs="Calibri" w:eastAsia="DengXian" w:hAnsi="Calibri"/>
          <w:color w:val="374151"/>
          <w:sz w:val="16"/>
          <w:szCs w:val="16"/>
        </w:rPr>
        <w:t xml:space="preserve">Bloomberg：Ray Dalio says China's ascent ushers in era of tribute system（2026-05-16）。 </w:t>
      </w:r>
      <w:hyperlink w:history="1" r:id="rIdjuqdds_tvteahkyersi-o">
        <w:r>
          <w:rPr>
            <w:rFonts w:ascii="Calibri" w:cs="Calibri" w:eastAsia="DengXian" w:hAnsi="Calibri"/>
            <w:color w:val="2E75B6"/>
            <w:sz w:val="15"/>
            <w:szCs w:val="15"/>
            <w:u w:val="single"/>
          </w:rPr>
          <w:t xml:space="preserve">bloomberg.com</w:t>
        </w:r>
      </w:hyperlink>
    </w:p>
  </w:footnote>
  <w:footnote w:id="85">
    <w:p>
      <w:pPr>
        <w:spacing w:after="20" w:line="240"/>
      </w:pPr>
      <w:r>
        <w:rPr>
          <w:rStyle w:val="FootnoteReference"/>
        </w:rPr>
        <w:footnoteRef/>
      </w:r>
      <w:r>
        <w:rPr>
          <w:rFonts w:ascii="Calibri" w:cs="Calibri" w:eastAsia="DengXian" w:hAnsi="Calibri"/>
          <w:color w:val="374151"/>
          <w:sz w:val="16"/>
          <w:szCs w:val="16"/>
        </w:rPr>
        <w:t xml:space="preserve">达利欧Substack：The Tribute System（2026-06）。 </w:t>
      </w:r>
      <w:hyperlink w:history="1" r:id="rIdowflbnoumyfraiak3tvtl">
        <w:r>
          <w:rPr>
            <w:rFonts w:ascii="Calibri" w:cs="Calibri" w:eastAsia="DengXian" w:hAnsi="Calibri"/>
            <w:color w:val="2E75B6"/>
            <w:sz w:val="15"/>
            <w:szCs w:val="15"/>
            <w:u w:val="single"/>
          </w:rPr>
          <w:t xml:space="preserve">raydalio.substack.com</w:t>
        </w:r>
      </w:hyperlink>
    </w:p>
  </w:footnote>
  <w:footnote w:id="86">
    <w:p>
      <w:pPr>
        <w:spacing w:after="20" w:line="240"/>
      </w:pPr>
      <w:r>
        <w:rPr>
          <w:rStyle w:val="FootnoteReference"/>
        </w:rPr>
        <w:footnoteRef/>
      </w:r>
      <w:r>
        <w:rPr>
          <w:rFonts w:ascii="Calibri" w:cs="Calibri" w:eastAsia="DengXian" w:hAnsi="Calibri"/>
          <w:color w:val="374151"/>
          <w:sz w:val="16"/>
          <w:szCs w:val="16"/>
        </w:rPr>
        <w:t xml:space="preserve">Bloomberg：Ray Dalio warns China, Japan may pull back from US Treasuries（2026-10-06）。 </w:t>
      </w:r>
      <w:hyperlink w:history="1" r:id="rIda2_fcvojilpxgnp9bx8ta">
        <w:r>
          <w:rPr>
            <w:rFonts w:ascii="Calibri" w:cs="Calibri" w:eastAsia="DengXian" w:hAnsi="Calibri"/>
            <w:color w:val="2E75B6"/>
            <w:sz w:val="15"/>
            <w:szCs w:val="15"/>
            <w:u w:val="single"/>
          </w:rPr>
          <w:t xml:space="preserve">bloomberg.com</w:t>
        </w:r>
      </w:hyperlink>
    </w:p>
  </w:footnote>
  <w:footnote w:id="87">
    <w:p>
      <w:pPr>
        <w:spacing w:after="20" w:line="240"/>
      </w:pPr>
      <w:r>
        <w:rPr>
          <w:rStyle w:val="FootnoteReference"/>
        </w:rPr>
        <w:footnoteRef/>
      </w:r>
      <w:r>
        <w:rPr>
          <w:rFonts w:ascii="Calibri" w:cs="Calibri" w:eastAsia="DengXian" w:hAnsi="Calibri"/>
          <w:color w:val="374151"/>
          <w:sz w:val="16"/>
          <w:szCs w:val="16"/>
        </w:rPr>
        <w:t xml:space="preserve">Bloomberg：何立峰在达沃斯会见达利欧等企业负责人（2026-01-21）。 </w:t>
      </w:r>
      <w:hyperlink w:history="1" r:id="rIdox2c1ay3qqw2ydg99jcvd">
        <w:r>
          <w:rPr>
            <w:rFonts w:ascii="Calibri" w:cs="Calibri" w:eastAsia="DengXian" w:hAnsi="Calibri"/>
            <w:color w:val="2E75B6"/>
            <w:sz w:val="15"/>
            <w:szCs w:val="15"/>
            <w:u w:val="single"/>
          </w:rPr>
          <w:t xml:space="preserve">bloomberg.com</w:t>
        </w:r>
      </w:hyperlink>
    </w:p>
  </w:footnote>
  <w:footnote w:id="88">
    <w:p>
      <w:pPr>
        <w:spacing w:after="20" w:line="240"/>
      </w:pPr>
      <w:r>
        <w:rPr>
          <w:rStyle w:val="FootnoteReference"/>
        </w:rPr>
        <w:footnoteRef/>
      </w:r>
      <w:r>
        <w:rPr>
          <w:rFonts w:ascii="Calibri" w:cs="Calibri" w:eastAsia="DengXian" w:hAnsi="Calibri"/>
          <w:color w:val="374151"/>
          <w:sz w:val="16"/>
          <w:szCs w:val="16"/>
        </w:rPr>
        <w:t xml:space="preserve">MarketWatch（老虎证券转载）：达利欧出售剩余桥水股份。 </w:t>
      </w:r>
      <w:hyperlink w:history="1" r:id="rIdaez4h2pcak4n-lwkx8vhz">
        <w:r>
          <w:rPr>
            <w:rFonts w:ascii="Calibri" w:cs="Calibri" w:eastAsia="DengXian" w:hAnsi="Calibri"/>
            <w:color w:val="2E75B6"/>
            <w:sz w:val="15"/>
            <w:szCs w:val="15"/>
            <w:u w:val="single"/>
          </w:rPr>
          <w:t xml:space="preserve">itiger.com</w:t>
        </w:r>
      </w:hyperlink>
    </w:p>
  </w:footnote>
  <w:footnote w:id="89">
    <w:p>
      <w:pPr>
        <w:spacing w:after="20" w:line="240"/>
      </w:pPr>
      <w:r>
        <w:rPr>
          <w:rStyle w:val="FootnoteReference"/>
        </w:rPr>
        <w:footnoteRef/>
      </w:r>
      <w:r>
        <w:rPr>
          <w:rFonts w:ascii="Calibri" w:cs="Calibri" w:eastAsia="DengXian" w:hAnsi="Calibri"/>
          <w:color w:val="374151"/>
          <w:sz w:val="16"/>
          <w:szCs w:val="16"/>
        </w:rPr>
        <w:t xml:space="preserve">Benzinga：桥水清仓在美上市的中国公司股票（2025-08）。 </w:t>
      </w:r>
      <w:hyperlink w:history="1" r:id="rIdozxbx7bk4r8ny0afiedzq">
        <w:r>
          <w:rPr>
            <w:rFonts w:ascii="Calibri" w:cs="Calibri" w:eastAsia="DengXian" w:hAnsi="Calibri"/>
            <w:color w:val="2E75B6"/>
            <w:sz w:val="15"/>
            <w:szCs w:val="15"/>
            <w:u w:val="single"/>
          </w:rPr>
          <w:t xml:space="preserve">benzinga.com</w:t>
        </w:r>
      </w:hyperlink>
    </w:p>
  </w:footnote>
  <w:footnote w:id="90">
    <w:p>
      <w:pPr>
        <w:spacing w:after="20" w:line="240"/>
      </w:pPr>
      <w:r>
        <w:rPr>
          <w:rStyle w:val="FootnoteReference"/>
        </w:rPr>
        <w:footnoteRef/>
      </w:r>
      <w:r>
        <w:rPr>
          <w:rFonts w:ascii="Calibri" w:cs="Calibri" w:eastAsia="DengXian" w:hAnsi="Calibri"/>
          <w:color w:val="374151"/>
          <w:sz w:val="16"/>
          <w:szCs w:val="16"/>
        </w:rPr>
        <w:t xml:space="preserve">The Independent Review：How Countries Go Broke书评（2026年春季号）。 </w:t>
      </w:r>
      <w:hyperlink w:history="1" r:id="rIdikgzm6ltswbg2lguc0bwr">
        <w:r>
          <w:rPr>
            <w:rFonts w:ascii="Calibri" w:cs="Calibri" w:eastAsia="DengXian" w:hAnsi="Calibri"/>
            <w:color w:val="2E75B6"/>
            <w:sz w:val="15"/>
            <w:szCs w:val="15"/>
            <w:u w:val="single"/>
          </w:rPr>
          <w:t xml:space="preserve">independent.org</w:t>
        </w:r>
      </w:hyperlink>
    </w:p>
  </w:footnote>
  <w:footnote w:id="91">
    <w:p>
      <w:pPr>
        <w:spacing w:after="20" w:line="240"/>
      </w:pPr>
      <w:r>
        <w:rPr>
          <w:rStyle w:val="FootnoteReference"/>
        </w:rPr>
        <w:footnoteRef/>
      </w:r>
      <w:r>
        <w:rPr>
          <w:rFonts w:ascii="Calibri" w:cs="Calibri" w:eastAsia="DengXian" w:hAnsi="Calibri"/>
          <w:color w:val="374151"/>
          <w:sz w:val="16"/>
          <w:szCs w:val="16"/>
        </w:rPr>
        <w:t xml:space="preserve">观察者网：徐高文章（2025-07-26）。 </w:t>
      </w:r>
      <w:hyperlink w:history="1" r:id="rId0wmqvegahy9zry0ciq4os">
        <w:r>
          <w:rPr>
            <w:rFonts w:ascii="Calibri" w:cs="Calibri" w:eastAsia="DengXian" w:hAnsi="Calibri"/>
            <w:color w:val="2E75B6"/>
            <w:sz w:val="15"/>
            <w:szCs w:val="15"/>
            <w:u w:val="single"/>
          </w:rPr>
          <w:t xml:space="preserve">guancha.cn</w:t>
        </w:r>
      </w:hyperlink>
    </w:p>
  </w:footnote>
  <w:footnote w:id="92">
    <w:p>
      <w:pPr>
        <w:spacing w:after="20" w:line="240"/>
      </w:pPr>
      <w:r>
        <w:rPr>
          <w:rStyle w:val="FootnoteReference"/>
        </w:rPr>
        <w:footnoteRef/>
      </w:r>
      <w:r>
        <w:rPr>
          <w:rFonts w:ascii="Calibri" w:cs="Calibri" w:eastAsia="DengXian" w:hAnsi="Calibri"/>
          <w:color w:val="374151"/>
          <w:sz w:val="16"/>
          <w:szCs w:val="16"/>
        </w:rPr>
        <w:t xml:space="preserve">TrendForce：2026年二季度PPI同比升至4.1%。 </w:t>
      </w:r>
      <w:hyperlink w:history="1" r:id="rIdrbm05fajalqznxluwubk-">
        <w:r>
          <w:rPr>
            <w:rFonts w:ascii="Calibri" w:cs="Calibri" w:eastAsia="DengXian" w:hAnsi="Calibri"/>
            <w:color w:val="2E75B6"/>
            <w:sz w:val="15"/>
            <w:szCs w:val="15"/>
            <w:u w:val="single"/>
          </w:rPr>
          <w:t xml:space="preserve">datatrack.trendforce.com</w:t>
        </w:r>
      </w:hyperlink>
    </w:p>
  </w:footnote>
  <w:footnote w:id="93">
    <w:p>
      <w:pPr>
        <w:spacing w:after="20" w:line="240"/>
      </w:pPr>
      <w:r>
        <w:rPr>
          <w:rStyle w:val="FootnoteReference"/>
        </w:rPr>
        <w:footnoteRef/>
      </w:r>
      <w:r>
        <w:rPr>
          <w:rFonts w:ascii="Calibri" w:cs="Calibri" w:eastAsia="DengXian" w:hAnsi="Calibri"/>
          <w:color w:val="374151"/>
          <w:sz w:val="16"/>
          <w:szCs w:val="16"/>
        </w:rPr>
        <w:t xml:space="preserve">中国新闻网英文版：8月CPI与PPI（2026-09-09）。 </w:t>
      </w:r>
      <w:hyperlink w:history="1" r:id="rId0bojgaunlrigk3cidit0i">
        <w:r>
          <w:rPr>
            <w:rFonts w:ascii="Calibri" w:cs="Calibri" w:eastAsia="DengXian" w:hAnsi="Calibri"/>
            <w:color w:val="2E75B6"/>
            <w:sz w:val="15"/>
            <w:szCs w:val="15"/>
            <w:u w:val="single"/>
          </w:rPr>
          <w:t xml:space="preserve">ecns.cn</w:t>
        </w:r>
      </w:hyperlink>
    </w:p>
  </w:footnote>
  <w:footnote w:id="94">
    <w:p>
      <w:pPr>
        <w:spacing w:after="20" w:line="240"/>
      </w:pPr>
      <w:r>
        <w:rPr>
          <w:rStyle w:val="FootnoteReference"/>
        </w:rPr>
        <w:footnoteRef/>
      </w:r>
      <w:r>
        <w:rPr>
          <w:rFonts w:ascii="Calibri" w:cs="Calibri" w:eastAsia="DengXian" w:hAnsi="Calibri"/>
          <w:color w:val="374151"/>
          <w:sz w:val="16"/>
          <w:szCs w:val="16"/>
        </w:rPr>
        <w:t xml:space="preserve">IMF：《世界经济展望》2026年7月更新。 </w:t>
      </w:r>
      <w:hyperlink w:history="1" r:id="rIdw-wuk77x6h1tpwkga41_9">
        <w:r>
          <w:rPr>
            <w:rFonts w:ascii="Calibri" w:cs="Calibri" w:eastAsia="DengXian" w:hAnsi="Calibri"/>
            <w:color w:val="2E75B6"/>
            <w:sz w:val="15"/>
            <w:szCs w:val="15"/>
            <w:u w:val="single"/>
          </w:rPr>
          <w:t xml:space="preserve">imf.org</w:t>
        </w:r>
      </w:hyperlink>
    </w:p>
  </w:footnote>
  <w:footnote w:id="95">
    <w:p>
      <w:pPr>
        <w:spacing w:after="20" w:line="240"/>
      </w:pPr>
      <w:r>
        <w:rPr>
          <w:rStyle w:val="FootnoteReference"/>
        </w:rPr>
        <w:footnoteRef/>
      </w:r>
      <w:r>
        <w:rPr>
          <w:rFonts w:ascii="Calibri" w:cs="Calibri" w:eastAsia="DengXian" w:hAnsi="Calibri"/>
          <w:color w:val="374151"/>
          <w:sz w:val="16"/>
          <w:szCs w:val="16"/>
        </w:rPr>
        <w:t xml:space="preserve">世界银行：中国经济简报（2026-07-07）。 </w:t>
      </w:r>
      <w:hyperlink w:history="1" r:id="rIdz_-0hrppjyb86g6rzpuzq">
        <w:r>
          <w:rPr>
            <w:rFonts w:ascii="Calibri" w:cs="Calibri" w:eastAsia="DengXian" w:hAnsi="Calibri"/>
            <w:color w:val="2E75B6"/>
            <w:sz w:val="15"/>
            <w:szCs w:val="15"/>
            <w:u w:val="single"/>
          </w:rPr>
          <w:t xml:space="preserve">worldbank.org</w:t>
        </w:r>
      </w:hyperlink>
    </w:p>
  </w:footnote>
  <w:footnote w:id="96">
    <w:p>
      <w:pPr>
        <w:spacing w:after="20" w:line="240"/>
      </w:pPr>
      <w:r>
        <w:rPr>
          <w:rStyle w:val="FootnoteReference"/>
        </w:rPr>
        <w:footnoteRef/>
      </w:r>
      <w:r>
        <w:rPr>
          <w:rFonts w:ascii="Calibri" w:cs="Calibri" w:eastAsia="DengXian" w:hAnsi="Calibri"/>
          <w:color w:val="374151"/>
          <w:sz w:val="16"/>
          <w:szCs w:val="16"/>
        </w:rPr>
        <w:t xml:space="preserve">国家统计局：2026年1—8月社会消费品零售总额（2026-09-15）。 </w:t>
      </w:r>
      <w:hyperlink w:history="1" r:id="rIdygw6yuskahe7gty7uqaa8">
        <w:r>
          <w:rPr>
            <w:rFonts w:ascii="Calibri" w:cs="Calibri" w:eastAsia="DengXian" w:hAnsi="Calibri"/>
            <w:color w:val="2E75B6"/>
            <w:sz w:val="15"/>
            <w:szCs w:val="15"/>
            <w:u w:val="single"/>
          </w:rPr>
          <w:t xml:space="preserve">stats.gov.cn</w:t>
        </w:r>
      </w:hyperlink>
    </w:p>
  </w:footnote>
  <w:footnote w:id="97">
    <w:p>
      <w:pPr>
        <w:spacing w:after="20" w:line="240"/>
      </w:pPr>
      <w:r>
        <w:rPr>
          <w:rStyle w:val="FootnoteReference"/>
        </w:rPr>
        <w:footnoteRef/>
      </w:r>
      <w:r>
        <w:rPr>
          <w:rFonts w:ascii="Calibri" w:cs="Calibri" w:eastAsia="DengXian" w:hAnsi="Calibri"/>
          <w:color w:val="374151"/>
          <w:sz w:val="16"/>
          <w:szCs w:val="16"/>
        </w:rPr>
        <w:t xml:space="preserve">CNBC：China August retail sales, industrial output, investment（2026-09-15）。 </w:t>
      </w:r>
      <w:hyperlink w:history="1" r:id="rIdkwargojdv2eelvf4iqaky">
        <w:r>
          <w:rPr>
            <w:rFonts w:ascii="Calibri" w:cs="Calibri" w:eastAsia="DengXian" w:hAnsi="Calibri"/>
            <w:color w:val="2E75B6"/>
            <w:sz w:val="15"/>
            <w:szCs w:val="15"/>
            <w:u w:val="single"/>
          </w:rPr>
          <w:t xml:space="preserve">cnbc.com</w:t>
        </w:r>
      </w:hyperlink>
    </w:p>
  </w:footnote>
  <w:footnote w:id="98">
    <w:p>
      <w:pPr>
        <w:spacing w:after="20" w:line="240"/>
      </w:pPr>
      <w:r>
        <w:rPr>
          <w:rStyle w:val="FootnoteReference"/>
        </w:rPr>
        <w:footnoteRef/>
      </w:r>
      <w:r>
        <w:rPr>
          <w:rFonts w:ascii="Calibri" w:cs="Calibri" w:eastAsia="DengXian" w:hAnsi="Calibri"/>
          <w:color w:val="374151"/>
          <w:sz w:val="16"/>
          <w:szCs w:val="16"/>
        </w:rPr>
        <w:t xml:space="preserve">国家发展改革委：消费品以旧换新资金下达（2026-09-30）。 </w:t>
      </w:r>
      <w:hyperlink w:history="1" r:id="rIduapvsu10yvqdtqr0ibrsv">
        <w:r>
          <w:rPr>
            <w:rFonts w:ascii="Calibri" w:cs="Calibri" w:eastAsia="DengXian" w:hAnsi="Calibri"/>
            <w:color w:val="2E75B6"/>
            <w:sz w:val="15"/>
            <w:szCs w:val="15"/>
            <w:u w:val="single"/>
          </w:rPr>
          <w:t xml:space="preserve">ndrc.gov.cn</w:t>
        </w:r>
      </w:hyperlink>
    </w:p>
  </w:footnote>
  <w:footnote w:id="99">
    <w:p>
      <w:pPr>
        <w:spacing w:after="20" w:line="240"/>
      </w:pPr>
      <w:r>
        <w:rPr>
          <w:rStyle w:val="FootnoteReference"/>
        </w:rPr>
        <w:footnoteRef/>
      </w:r>
      <w:r>
        <w:rPr>
          <w:rFonts w:ascii="Calibri" w:cs="Calibri" w:eastAsia="DengXian" w:hAnsi="Calibri"/>
          <w:color w:val="374151"/>
          <w:sz w:val="16"/>
          <w:szCs w:val="16"/>
        </w:rPr>
        <w:t xml:space="preserve">国家统计局：2026年上半年居民收入和消费支出。 </w:t>
      </w:r>
      <w:hyperlink w:history="1" r:id="rIdnfcbhoxyjo3w5ru_5cain">
        <w:r>
          <w:rPr>
            <w:rFonts w:ascii="Calibri" w:cs="Calibri" w:eastAsia="DengXian" w:hAnsi="Calibri"/>
            <w:color w:val="2E75B6"/>
            <w:sz w:val="15"/>
            <w:szCs w:val="15"/>
            <w:u w:val="single"/>
          </w:rPr>
          <w:t xml:space="preserve">stats.gov.cn</w:t>
        </w:r>
      </w:hyperlink>
    </w:p>
  </w:footnote>
  <w:footnote w:id="100">
    <w:p>
      <w:pPr>
        <w:spacing w:after="20" w:line="240"/>
      </w:pPr>
      <w:r>
        <w:rPr>
          <w:rStyle w:val="FootnoteReference"/>
        </w:rPr>
        <w:footnoteRef/>
      </w:r>
      <w:r>
        <w:rPr>
          <w:rFonts w:ascii="Calibri" w:cs="Calibri" w:eastAsia="DengXian" w:hAnsi="Calibri"/>
          <w:color w:val="374151"/>
          <w:sz w:val="16"/>
          <w:szCs w:val="16"/>
        </w:rPr>
        <w:t xml:space="preserve">Cbonds：中国消费者信心指数。 </w:t>
      </w:r>
      <w:hyperlink w:history="1" r:id="rIdjjcviluxiywlpyiazw570">
        <w:r>
          <w:rPr>
            <w:rFonts w:ascii="Calibri" w:cs="Calibri" w:eastAsia="DengXian" w:hAnsi="Calibri"/>
            <w:color w:val="2E75B6"/>
            <w:sz w:val="15"/>
            <w:szCs w:val="15"/>
            <w:u w:val="single"/>
          </w:rPr>
          <w:t xml:space="preserve">cbonds.com</w:t>
        </w:r>
      </w:hyperlink>
    </w:p>
  </w:footnote>
  <w:footnote w:id="101">
    <w:p>
      <w:pPr>
        <w:spacing w:after="20" w:line="240"/>
      </w:pPr>
      <w:r>
        <w:rPr>
          <w:rStyle w:val="FootnoteReference"/>
        </w:rPr>
        <w:footnoteRef/>
      </w:r>
      <w:r>
        <w:rPr>
          <w:rFonts w:ascii="Calibri" w:cs="Calibri" w:eastAsia="DengXian" w:hAnsi="Calibri"/>
          <w:color w:val="374151"/>
          <w:sz w:val="16"/>
          <w:szCs w:val="16"/>
        </w:rPr>
        <w:t xml:space="preserve">国家统计局：2026年1—8月固定资产投资（2026-09-15）。 </w:t>
      </w:r>
      <w:hyperlink w:history="1" r:id="rIdeocu2jxqemmwjm_saxihj">
        <w:r>
          <w:rPr>
            <w:rFonts w:ascii="Calibri" w:cs="Calibri" w:eastAsia="DengXian" w:hAnsi="Calibri"/>
            <w:color w:val="2E75B6"/>
            <w:sz w:val="15"/>
            <w:szCs w:val="15"/>
            <w:u w:val="single"/>
          </w:rPr>
          <w:t xml:space="preserve">stats.gov.cn</w:t>
        </w:r>
      </w:hyperlink>
    </w:p>
  </w:footnote>
  <w:footnote w:id="102">
    <w:p>
      <w:pPr>
        <w:spacing w:after="20" w:line="240"/>
      </w:pPr>
      <w:r>
        <w:rPr>
          <w:rStyle w:val="FootnoteReference"/>
        </w:rPr>
        <w:footnoteRef/>
      </w:r>
      <w:r>
        <w:rPr>
          <w:rFonts w:ascii="Calibri" w:cs="Calibri" w:eastAsia="DengXian" w:hAnsi="Calibri"/>
          <w:color w:val="374151"/>
          <w:sz w:val="16"/>
          <w:szCs w:val="16"/>
        </w:rPr>
        <w:t xml:space="preserve">国务院新闻办公室：2025年国民经济运行情况发布会（2026-01-19）。 </w:t>
      </w:r>
      <w:hyperlink w:history="1" r:id="rIdwuqxqmjel8tqr4b4ri50_">
        <w:r>
          <w:rPr>
            <w:rFonts w:ascii="Calibri" w:cs="Calibri" w:eastAsia="DengXian" w:hAnsi="Calibri"/>
            <w:color w:val="2E75B6"/>
            <w:sz w:val="15"/>
            <w:szCs w:val="15"/>
            <w:u w:val="single"/>
          </w:rPr>
          <w:t xml:space="preserve">english.scio.gov.cn</w:t>
        </w:r>
      </w:hyperlink>
    </w:p>
  </w:footnote>
  <w:footnote w:id="103">
    <w:p>
      <w:pPr>
        <w:spacing w:after="20" w:line="240"/>
      </w:pPr>
      <w:r>
        <w:rPr>
          <w:rStyle w:val="FootnoteReference"/>
        </w:rPr>
        <w:footnoteRef/>
      </w:r>
      <w:r>
        <w:rPr>
          <w:rFonts w:ascii="Calibri" w:cs="Calibri" w:eastAsia="DengXian" w:hAnsi="Calibri"/>
          <w:color w:val="374151"/>
          <w:sz w:val="16"/>
          <w:szCs w:val="16"/>
        </w:rPr>
        <w:t xml:space="preserve">国家统计局：1—8月固定资产投资数据解读（2026-09-15）。 </w:t>
      </w:r>
      <w:hyperlink w:history="1" r:id="rId7wlilva2xmat1rlvo8ddf">
        <w:r>
          <w:rPr>
            <w:rFonts w:ascii="Calibri" w:cs="Calibri" w:eastAsia="DengXian" w:hAnsi="Calibri"/>
            <w:color w:val="2E75B6"/>
            <w:sz w:val="15"/>
            <w:szCs w:val="15"/>
            <w:u w:val="single"/>
          </w:rPr>
          <w:t xml:space="preserve">stats.gov.cn</w:t>
        </w:r>
      </w:hyperlink>
    </w:p>
  </w:footnote>
  <w:footnote w:id="104">
    <w:p>
      <w:pPr>
        <w:spacing w:after="20" w:line="240"/>
      </w:pPr>
      <w:r>
        <w:rPr>
          <w:rStyle w:val="FootnoteReference"/>
        </w:rPr>
        <w:footnoteRef/>
      </w:r>
      <w:r>
        <w:rPr>
          <w:rFonts w:ascii="Calibri" w:cs="Calibri" w:eastAsia="DengXian" w:hAnsi="Calibri"/>
          <w:color w:val="374151"/>
          <w:sz w:val="16"/>
          <w:szCs w:val="16"/>
        </w:rPr>
        <w:t xml:space="preserve">国家统计局：2026年二季度全国工业产能利用率（2026-07-17）。 </w:t>
      </w:r>
      <w:hyperlink w:history="1" r:id="rIdxxctug1lumrqnxcv2-jil">
        <w:r>
          <w:rPr>
            <w:rFonts w:ascii="Calibri" w:cs="Calibri" w:eastAsia="DengXian" w:hAnsi="Calibri"/>
            <w:color w:val="2E75B6"/>
            <w:sz w:val="15"/>
            <w:szCs w:val="15"/>
            <w:u w:val="single"/>
          </w:rPr>
          <w:t xml:space="preserve">stats.gov.cn</w:t>
        </w:r>
      </w:hyperlink>
    </w:p>
  </w:footnote>
  <w:footnote w:id="105">
    <w:p>
      <w:pPr>
        <w:spacing w:after="20" w:line="240"/>
      </w:pPr>
      <w:r>
        <w:rPr>
          <w:rStyle w:val="FootnoteReference"/>
        </w:rPr>
        <w:footnoteRef/>
      </w:r>
      <w:r>
        <w:rPr>
          <w:rFonts w:ascii="Calibri" w:cs="Calibri" w:eastAsia="DengXian" w:hAnsi="Calibri"/>
          <w:color w:val="374151"/>
          <w:sz w:val="16"/>
          <w:szCs w:val="16"/>
        </w:rPr>
        <w:t xml:space="preserve">CNBC：China August retail sales, industrial output, investment（2026-09-15）。 </w:t>
      </w:r>
      <w:hyperlink w:history="1" r:id="rId8u5ba7ogl_j8jjenza2fx">
        <w:r>
          <w:rPr>
            <w:rFonts w:ascii="Calibri" w:cs="Calibri" w:eastAsia="DengXian" w:hAnsi="Calibri"/>
            <w:color w:val="2E75B6"/>
            <w:sz w:val="15"/>
            <w:szCs w:val="15"/>
            <w:u w:val="single"/>
          </w:rPr>
          <w:t xml:space="preserve">cnbc.com</w:t>
        </w:r>
      </w:hyperlink>
    </w:p>
  </w:footnote>
  <w:footnote w:id="106">
    <w:p>
      <w:pPr>
        <w:spacing w:after="20" w:line="240"/>
      </w:pPr>
      <w:r>
        <w:rPr>
          <w:rStyle w:val="FootnoteReference"/>
        </w:rPr>
        <w:footnoteRef/>
      </w:r>
      <w:r>
        <w:rPr>
          <w:rFonts w:ascii="Calibri" w:cs="Calibri" w:eastAsia="DengXian" w:hAnsi="Calibri"/>
          <w:color w:val="374151"/>
          <w:sz w:val="16"/>
          <w:szCs w:val="16"/>
        </w:rPr>
        <w:t xml:space="preserve">新华社：9月PMI（2026-09-30）。 </w:t>
      </w:r>
      <w:hyperlink w:history="1" r:id="rIdwjb6pjzkltpxspewj9mot">
        <w:r>
          <w:rPr>
            <w:rFonts w:ascii="Calibri" w:cs="Calibri" w:eastAsia="DengXian" w:hAnsi="Calibri"/>
            <w:color w:val="2E75B6"/>
            <w:sz w:val="15"/>
            <w:szCs w:val="15"/>
            <w:u w:val="single"/>
          </w:rPr>
          <w:t xml:space="preserve">english.news.cn</w:t>
        </w:r>
      </w:hyperlink>
    </w:p>
  </w:footnote>
  <w:footnote w:id="107">
    <w:p>
      <w:pPr>
        <w:spacing w:after="20" w:line="240"/>
      </w:pPr>
      <w:r>
        <w:rPr>
          <w:rStyle w:val="FootnoteReference"/>
        </w:rPr>
        <w:footnoteRef/>
      </w:r>
      <w:r>
        <w:rPr>
          <w:rFonts w:ascii="Calibri" w:cs="Calibri" w:eastAsia="DengXian" w:hAnsi="Calibri"/>
          <w:color w:val="374151"/>
          <w:sz w:val="16"/>
          <w:szCs w:val="16"/>
        </w:rPr>
        <w:t xml:space="preserve">CNBC：China manufacturing activity in September（2026-09-30）。 </w:t>
      </w:r>
      <w:hyperlink w:history="1" r:id="rIdjdqgs5dc3slwyba3aau64">
        <w:r>
          <w:rPr>
            <w:rFonts w:ascii="Calibri" w:cs="Calibri" w:eastAsia="DengXian" w:hAnsi="Calibri"/>
            <w:color w:val="2E75B6"/>
            <w:sz w:val="15"/>
            <w:szCs w:val="15"/>
            <w:u w:val="single"/>
          </w:rPr>
          <w:t xml:space="preserve">cnbc.com</w:t>
        </w:r>
      </w:hyperlink>
    </w:p>
  </w:footnote>
  <w:footnote w:id="108">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zwx8qwtcqbtxcmvbcxz5y">
        <w:r>
          <w:rPr>
            <w:rFonts w:ascii="Calibri" w:cs="Calibri" w:eastAsia="DengXian" w:hAnsi="Calibri"/>
            <w:color w:val="2E75B6"/>
            <w:sz w:val="15"/>
            <w:szCs w:val="15"/>
            <w:u w:val="single"/>
          </w:rPr>
          <w:t xml:space="preserve">stats.gov.cn</w:t>
        </w:r>
      </w:hyperlink>
    </w:p>
  </w:footnote>
  <w:footnote w:id="109">
    <w:p>
      <w:pPr>
        <w:spacing w:after="20" w:line="240"/>
      </w:pPr>
      <w:r>
        <w:rPr>
          <w:rStyle w:val="FootnoteReference"/>
        </w:rPr>
        <w:footnoteRef/>
      </w:r>
      <w:r>
        <w:rPr>
          <w:rFonts w:ascii="Calibri" w:cs="Calibri" w:eastAsia="DengXian" w:hAnsi="Calibri"/>
          <w:color w:val="374151"/>
          <w:sz w:val="16"/>
          <w:szCs w:val="16"/>
        </w:rPr>
        <w:t xml:space="preserve">新华网：统计局解读1—8月工业企业利润（2026-09-28）。 </w:t>
      </w:r>
      <w:hyperlink w:history="1" r:id="rId5ijbd2mpz9mibsdcdk1ft">
        <w:r>
          <w:rPr>
            <w:rFonts w:ascii="Calibri" w:cs="Calibri" w:eastAsia="DengXian" w:hAnsi="Calibri"/>
            <w:color w:val="2E75B6"/>
            <w:sz w:val="15"/>
            <w:szCs w:val="15"/>
            <w:u w:val="single"/>
          </w:rPr>
          <w:t xml:space="preserve">news.cn</w:t>
        </w:r>
      </w:hyperlink>
    </w:p>
  </w:footnote>
  <w:footnote w:id="110">
    <w:p>
      <w:pPr>
        <w:spacing w:after="20" w:line="240"/>
      </w:pPr>
      <w:r>
        <w:rPr>
          <w:rStyle w:val="FootnoteReference"/>
        </w:rPr>
        <w:footnoteRef/>
      </w:r>
      <w:r>
        <w:rPr>
          <w:rFonts w:ascii="Calibri" w:cs="Calibri" w:eastAsia="DengXian" w:hAnsi="Calibri"/>
          <w:color w:val="374151"/>
          <w:sz w:val="16"/>
          <w:szCs w:val="16"/>
        </w:rPr>
        <w:t xml:space="preserve">路透：China industrial profits rise 15.7% in January-August（2026-09-27）。 </w:t>
      </w:r>
      <w:hyperlink w:history="1" r:id="rIdmdp6w3latjxtblqhh8jgf">
        <w:r>
          <w:rPr>
            <w:rFonts w:ascii="Calibri" w:cs="Calibri" w:eastAsia="DengXian" w:hAnsi="Calibri"/>
            <w:color w:val="2E75B6"/>
            <w:sz w:val="15"/>
            <w:szCs w:val="15"/>
            <w:u w:val="single"/>
          </w:rPr>
          <w:t xml:space="preserve">money.usnews.com</w:t>
        </w:r>
      </w:hyperlink>
    </w:p>
  </w:footnote>
  <w:footnote w:id="111">
    <w:p>
      <w:pPr>
        <w:spacing w:after="20" w:line="240"/>
      </w:pPr>
      <w:r>
        <w:rPr>
          <w:rStyle w:val="FootnoteReference"/>
        </w:rPr>
        <w:footnoteRef/>
      </w:r>
      <w:r>
        <w:rPr>
          <w:rFonts w:ascii="Calibri" w:cs="Calibri" w:eastAsia="DengXian" w:hAnsi="Calibri"/>
          <w:color w:val="374151"/>
          <w:sz w:val="16"/>
          <w:szCs w:val="16"/>
        </w:rPr>
        <w:t xml:space="preserve">英为财情（国盛证券）：钢铁行业上半年利润。 </w:t>
      </w:r>
      <w:hyperlink w:history="1" r:id="rIdxnvipamozuhflsnhuxdqu">
        <w:r>
          <w:rPr>
            <w:rFonts w:ascii="Calibri" w:cs="Calibri" w:eastAsia="DengXian" w:hAnsi="Calibri"/>
            <w:color w:val="2E75B6"/>
            <w:sz w:val="15"/>
            <w:szCs w:val="15"/>
            <w:u w:val="single"/>
          </w:rPr>
          <w:t xml:space="preserve">cn.investing.com</w:t>
        </w:r>
      </w:hyperlink>
    </w:p>
  </w:footnote>
  <w:footnote w:id="112">
    <w:p>
      <w:pPr>
        <w:spacing w:after="20" w:line="240"/>
      </w:pPr>
      <w:r>
        <w:rPr>
          <w:rStyle w:val="FootnoteReference"/>
        </w:rPr>
        <w:footnoteRef/>
      </w:r>
      <w:r>
        <w:rPr>
          <w:rFonts w:ascii="Calibri" w:cs="Calibri" w:eastAsia="DengXian" w:hAnsi="Calibri"/>
          <w:color w:val="374151"/>
          <w:sz w:val="16"/>
          <w:szCs w:val="16"/>
        </w:rPr>
        <w:t xml:space="preserve">文学城转载：光伏龙头企业上半年亏损（2026-09-09）。 </w:t>
      </w:r>
      <w:hyperlink w:history="1" r:id="rId39aabvflzi7hjfk62pwta">
        <w:r>
          <w:rPr>
            <w:rFonts w:ascii="Calibri" w:cs="Calibri" w:eastAsia="DengXian" w:hAnsi="Calibri"/>
            <w:color w:val="2E75B6"/>
            <w:sz w:val="15"/>
            <w:szCs w:val="15"/>
            <w:u w:val="single"/>
          </w:rPr>
          <w:t xml:space="preserve">wenxuecity.com</w:t>
        </w:r>
      </w:hyperlink>
    </w:p>
  </w:footnote>
  <w:footnote w:id="113">
    <w:p>
      <w:pPr>
        <w:spacing w:after="20" w:line="240"/>
      </w:pPr>
      <w:r>
        <w:rPr>
          <w:rStyle w:val="FootnoteReference"/>
        </w:rPr>
        <w:footnoteRef/>
      </w:r>
      <w:r>
        <w:rPr>
          <w:rFonts w:ascii="Calibri" w:cs="Calibri" w:eastAsia="DengXian" w:hAnsi="Calibri"/>
          <w:color w:val="374151"/>
          <w:sz w:val="16"/>
          <w:szCs w:val="16"/>
        </w:rPr>
        <w:t xml:space="preserve">网易：水泥企业亏损面。 </w:t>
      </w:r>
      <w:hyperlink w:history="1" r:id="rIdttnj_njpyqwc6lzrf7pg2">
        <w:r>
          <w:rPr>
            <w:rFonts w:ascii="Calibri" w:cs="Calibri" w:eastAsia="DengXian" w:hAnsi="Calibri"/>
            <w:color w:val="2E75B6"/>
            <w:sz w:val="15"/>
            <w:szCs w:val="15"/>
            <w:u w:val="single"/>
          </w:rPr>
          <w:t xml:space="preserve">163.com</w:t>
        </w:r>
      </w:hyperlink>
    </w:p>
  </w:footnote>
  <w:footnote w:id="114">
    <w:p>
      <w:pPr>
        <w:spacing w:after="20" w:line="240"/>
      </w:pPr>
      <w:r>
        <w:rPr>
          <w:rStyle w:val="FootnoteReference"/>
        </w:rPr>
        <w:footnoteRef/>
      </w:r>
      <w:r>
        <w:rPr>
          <w:rFonts w:ascii="Calibri" w:cs="Calibri" w:eastAsia="DengXian" w:hAnsi="Calibri"/>
          <w:color w:val="374151"/>
          <w:sz w:val="16"/>
          <w:szCs w:val="16"/>
        </w:rPr>
        <w:t xml:space="preserve">国家统计局：2026年1—8月全国规模以上工业企业利润（2026-09-28）。 </w:t>
      </w:r>
      <w:hyperlink w:history="1" r:id="rIdlgkpbtuvyzo-kblrnnlan">
        <w:r>
          <w:rPr>
            <w:rFonts w:ascii="Calibri" w:cs="Calibri" w:eastAsia="DengXian" w:hAnsi="Calibri"/>
            <w:color w:val="2E75B6"/>
            <w:sz w:val="15"/>
            <w:szCs w:val="15"/>
            <w:u w:val="single"/>
          </w:rPr>
          <w:t xml:space="preserve">stats.gov.cn</w:t>
        </w:r>
      </w:hyperlink>
    </w:p>
  </w:footnote>
  <w:footnote w:id="115">
    <w:p>
      <w:pPr>
        <w:spacing w:after="20" w:line="240"/>
      </w:pPr>
      <w:r>
        <w:rPr>
          <w:rStyle w:val="FootnoteReference"/>
        </w:rPr>
        <w:footnoteRef/>
      </w:r>
      <w:r>
        <w:rPr>
          <w:rFonts w:ascii="Calibri" w:cs="Calibri" w:eastAsia="DengXian" w:hAnsi="Calibri"/>
          <w:color w:val="374151"/>
          <w:sz w:val="16"/>
          <w:szCs w:val="16"/>
        </w:rPr>
        <w:t xml:space="preserve">Mumbrella：China's industrial profits surge 15.7%（2026-09）。 </w:t>
      </w:r>
      <w:hyperlink w:history="1" r:id="rId6p-poneqr94llhtvtomzr">
        <w:r>
          <w:rPr>
            <w:rFonts w:ascii="Calibri" w:cs="Calibri" w:eastAsia="DengXian" w:hAnsi="Calibri"/>
            <w:color w:val="2E75B6"/>
            <w:sz w:val="15"/>
            <w:szCs w:val="15"/>
            <w:u w:val="single"/>
          </w:rPr>
          <w:t xml:space="preserve">mumbrella.asia</w:t>
        </w:r>
      </w:hyperlink>
    </w:p>
  </w:footnote>
  <w:footnote w:id="116">
    <w:p>
      <w:pPr>
        <w:spacing w:after="20" w:line="240"/>
      </w:pPr>
      <w:r>
        <w:rPr>
          <w:rStyle w:val="FootnoteReference"/>
        </w:rPr>
        <w:footnoteRef/>
      </w:r>
      <w:r>
        <w:rPr>
          <w:rFonts w:ascii="Calibri" w:cs="Calibri" w:eastAsia="DengXian" w:hAnsi="Calibri"/>
          <w:color w:val="374151"/>
          <w:sz w:val="16"/>
          <w:szCs w:val="16"/>
        </w:rPr>
        <w:t xml:space="preserve">新浪财经研报：库存周期与"硅基通胀"。 </w:t>
      </w:r>
      <w:hyperlink w:history="1" r:id="rIdxnppcb-rrtnqhnfktvexx">
        <w:r>
          <w:rPr>
            <w:rFonts w:ascii="Calibri" w:cs="Calibri" w:eastAsia="DengXian" w:hAnsi="Calibri"/>
            <w:color w:val="2E75B6"/>
            <w:sz w:val="15"/>
            <w:szCs w:val="15"/>
            <w:u w:val="single"/>
          </w:rPr>
          <w:t xml:space="preserve">stock.finance.sina.com.cn</w:t>
        </w:r>
      </w:hyperlink>
    </w:p>
  </w:footnote>
  <w:footnote w:id="117">
    <w:p>
      <w:pPr>
        <w:spacing w:after="20" w:line="240"/>
      </w:pPr>
      <w:r>
        <w:rPr>
          <w:rStyle w:val="FootnoteReference"/>
        </w:rPr>
        <w:footnoteRef/>
      </w:r>
      <w:r>
        <w:rPr>
          <w:rFonts w:ascii="Calibri" w:cs="Calibri" w:eastAsia="DengXian" w:hAnsi="Calibri"/>
          <w:color w:val="374151"/>
          <w:sz w:val="16"/>
          <w:szCs w:val="16"/>
        </w:rPr>
        <w:t xml:space="preserve">国家统计局：2026年8月采购经理指数（2026-08-31）。 </w:t>
      </w:r>
      <w:hyperlink w:history="1" r:id="rIdtv-akdzg4ddzcnzuzvlam">
        <w:r>
          <w:rPr>
            <w:rFonts w:ascii="Calibri" w:cs="Calibri" w:eastAsia="DengXian" w:hAnsi="Calibri"/>
            <w:color w:val="2E75B6"/>
            <w:sz w:val="15"/>
            <w:szCs w:val="15"/>
            <w:u w:val="single"/>
          </w:rPr>
          <w:t xml:space="preserve">stats.gov.cn</w:t>
        </w:r>
      </w:hyperlink>
    </w:p>
  </w:footnote>
  <w:footnote w:id="118">
    <w:p>
      <w:pPr>
        <w:spacing w:after="20" w:line="240"/>
      </w:pPr>
      <w:r>
        <w:rPr>
          <w:rStyle w:val="FootnoteReference"/>
        </w:rPr>
        <w:footnoteRef/>
      </w:r>
      <w:r>
        <w:rPr>
          <w:rFonts w:ascii="Calibri" w:cs="Calibri" w:eastAsia="DengXian" w:hAnsi="Calibri"/>
          <w:color w:val="374151"/>
          <w:sz w:val="16"/>
          <w:szCs w:val="16"/>
        </w:rPr>
        <w:t xml:space="preserve">路透（Yahoo转载）：China's trade ends 2025 with record surplus。 </w:t>
      </w:r>
      <w:hyperlink w:history="1" r:id="rId_omcl4vznkb9p9maozeiq">
        <w:r>
          <w:rPr>
            <w:rFonts w:ascii="Calibri" w:cs="Calibri" w:eastAsia="DengXian" w:hAnsi="Calibri"/>
            <w:color w:val="2E75B6"/>
            <w:sz w:val="15"/>
            <w:szCs w:val="15"/>
            <w:u w:val="single"/>
          </w:rPr>
          <w:t xml:space="preserve">finance.yahoo.com</w:t>
        </w:r>
      </w:hyperlink>
    </w:p>
  </w:footnote>
  <w:footnote w:id="119">
    <w:p>
      <w:pPr>
        <w:spacing w:after="20" w:line="240"/>
      </w:pPr>
      <w:r>
        <w:rPr>
          <w:rStyle w:val="FootnoteReference"/>
        </w:rPr>
        <w:footnoteRef/>
      </w:r>
      <w:r>
        <w:rPr>
          <w:rFonts w:ascii="Calibri" w:cs="Calibri" w:eastAsia="DengXian" w:hAnsi="Calibri"/>
          <w:color w:val="374151"/>
          <w:sz w:val="16"/>
          <w:szCs w:val="16"/>
        </w:rPr>
        <w:t xml:space="preserve">CNBC：China June trade data（2026-07-14）。 </w:t>
      </w:r>
      <w:hyperlink w:history="1" r:id="rIdgh2wppmby7nxemwpmgqj9">
        <w:r>
          <w:rPr>
            <w:rFonts w:ascii="Calibri" w:cs="Calibri" w:eastAsia="DengXian" w:hAnsi="Calibri"/>
            <w:color w:val="2E75B6"/>
            <w:sz w:val="15"/>
            <w:szCs w:val="15"/>
            <w:u w:val="single"/>
          </w:rPr>
          <w:t xml:space="preserve">cnbc.com</w:t>
        </w:r>
      </w:hyperlink>
    </w:p>
  </w:footnote>
  <w:footnote w:id="120">
    <w:p>
      <w:pPr>
        <w:spacing w:after="20" w:line="240"/>
      </w:pPr>
      <w:r>
        <w:rPr>
          <w:rStyle w:val="FootnoteReference"/>
        </w:rPr>
        <w:footnoteRef/>
      </w:r>
      <w:r>
        <w:rPr>
          <w:rFonts w:ascii="Calibri" w:cs="Calibri" w:eastAsia="DengXian" w:hAnsi="Calibri"/>
          <w:color w:val="374151"/>
          <w:sz w:val="16"/>
          <w:szCs w:val="16"/>
        </w:rPr>
        <w:t xml:space="preserve">BNN Bloomberg/AP：China's exports pick up in August, jumping 25%（2026-09-08）。 </w:t>
      </w:r>
      <w:hyperlink w:history="1" r:id="rIduqlt7sonusjvcqpgfvybp">
        <w:r>
          <w:rPr>
            <w:rFonts w:ascii="Calibri" w:cs="Calibri" w:eastAsia="DengXian" w:hAnsi="Calibri"/>
            <w:color w:val="2E75B6"/>
            <w:sz w:val="15"/>
            <w:szCs w:val="15"/>
            <w:u w:val="single"/>
          </w:rPr>
          <w:t xml:space="preserve">bnnbloomberg.ca</w:t>
        </w:r>
      </w:hyperlink>
    </w:p>
  </w:footnote>
  <w:footnote w:id="121">
    <w:p>
      <w:pPr>
        <w:spacing w:after="20" w:line="240"/>
      </w:pPr>
      <w:r>
        <w:rPr>
          <w:rStyle w:val="FootnoteReference"/>
        </w:rPr>
        <w:footnoteRef/>
      </w:r>
      <w:r>
        <w:rPr>
          <w:rFonts w:ascii="Calibri" w:cs="Calibri" w:eastAsia="DengXian" w:hAnsi="Calibri"/>
          <w:color w:val="374151"/>
          <w:sz w:val="16"/>
          <w:szCs w:val="16"/>
        </w:rPr>
        <w:t xml:space="preserve">China-Global South Project：7月出口与1—7月贸易顺差（2026-08-07）。 </w:t>
      </w:r>
      <w:hyperlink w:history="1" r:id="rIdyk4pnibwz9ge-gugwbor9">
        <w:r>
          <w:rPr>
            <w:rFonts w:ascii="Calibri" w:cs="Calibri" w:eastAsia="DengXian" w:hAnsi="Calibri"/>
            <w:color w:val="2E75B6"/>
            <w:sz w:val="15"/>
            <w:szCs w:val="15"/>
            <w:u w:val="single"/>
          </w:rPr>
          <w:t xml:space="preserve">chinaglobalsouth.com</w:t>
        </w:r>
      </w:hyperlink>
    </w:p>
  </w:footnote>
  <w:footnote w:id="122">
    <w:p>
      <w:pPr>
        <w:spacing w:after="20" w:line="240"/>
      </w:pPr>
      <w:r>
        <w:rPr>
          <w:rStyle w:val="FootnoteReference"/>
        </w:rPr>
        <w:footnoteRef/>
      </w:r>
      <w:r>
        <w:rPr>
          <w:rFonts w:ascii="Calibri" w:cs="Calibri" w:eastAsia="DengXian" w:hAnsi="Calibri"/>
          <w:color w:val="374151"/>
          <w:sz w:val="16"/>
          <w:szCs w:val="16"/>
        </w:rPr>
        <w:t xml:space="preserve">财新：8月出口在AI涨价带动下增长25%（2026-09-08）。 </w:t>
      </w:r>
      <w:hyperlink w:history="1" r:id="rId9qcole8yljnjb4cfi_n-v">
        <w:r>
          <w:rPr>
            <w:rFonts w:ascii="Calibri" w:cs="Calibri" w:eastAsia="DengXian" w:hAnsi="Calibri"/>
            <w:color w:val="2E75B6"/>
            <w:sz w:val="15"/>
            <w:szCs w:val="15"/>
            <w:u w:val="single"/>
          </w:rPr>
          <w:t xml:space="preserve">caixinglobal.com</w:t>
        </w:r>
      </w:hyperlink>
    </w:p>
  </w:footnote>
  <w:footnote w:id="123">
    <w:p>
      <w:pPr>
        <w:spacing w:after="20" w:line="240"/>
      </w:pPr>
      <w:r>
        <w:rPr>
          <w:rStyle w:val="FootnoteReference"/>
        </w:rPr>
        <w:footnoteRef/>
      </w:r>
      <w:r>
        <w:rPr>
          <w:rFonts w:ascii="Calibri" w:cs="Calibri" w:eastAsia="DengXian" w:hAnsi="Calibri"/>
          <w:color w:val="374151"/>
          <w:sz w:val="16"/>
          <w:szCs w:val="16"/>
        </w:rPr>
        <w:t xml:space="preserve">CMS：欧盟钢铁新规。 </w:t>
      </w:r>
      <w:hyperlink w:history="1" r:id="rIdszob-o_tbew9og_emxief">
        <w:r>
          <w:rPr>
            <w:rFonts w:ascii="Calibri" w:cs="Calibri" w:eastAsia="DengXian" w:hAnsi="Calibri"/>
            <w:color w:val="2E75B6"/>
            <w:sz w:val="15"/>
            <w:szCs w:val="15"/>
            <w:u w:val="single"/>
          </w:rPr>
          <w:t xml:space="preserve">cms.law</w:t>
        </w:r>
      </w:hyperlink>
    </w:p>
  </w:footnote>
  <w:footnote w:id="124">
    <w:p>
      <w:pPr>
        <w:spacing w:after="20" w:line="240"/>
      </w:pPr>
      <w:r>
        <w:rPr>
          <w:rStyle w:val="FootnoteReference"/>
        </w:rPr>
        <w:footnoteRef/>
      </w:r>
      <w:r>
        <w:rPr>
          <w:rFonts w:ascii="Calibri" w:cs="Calibri" w:eastAsia="DengXian" w:hAnsi="Calibri"/>
          <w:color w:val="374151"/>
          <w:sz w:val="16"/>
          <w:szCs w:val="16"/>
        </w:rPr>
        <w:t xml:space="preserve">MLex：产能过剩联合声明（2026-10-07）。 </w:t>
      </w:r>
      <w:hyperlink w:history="1" r:id="rIdhzyadef8um62gcvrtlmd_">
        <w:r>
          <w:rPr>
            <w:rFonts w:ascii="Calibri" w:cs="Calibri" w:eastAsia="DengXian" w:hAnsi="Calibri"/>
            <w:color w:val="2E75B6"/>
            <w:sz w:val="15"/>
            <w:szCs w:val="15"/>
            <w:u w:val="single"/>
          </w:rPr>
          <w:t xml:space="preserve">mlex.com</w:t>
        </w:r>
      </w:hyperlink>
    </w:p>
  </w:footnote>
  <w:footnote w:id="125">
    <w:p>
      <w:pPr>
        <w:spacing w:after="20" w:line="240"/>
      </w:pPr>
      <w:r>
        <w:rPr>
          <w:rStyle w:val="FootnoteReference"/>
        </w:rPr>
        <w:footnoteRef/>
      </w:r>
      <w:r>
        <w:rPr>
          <w:rFonts w:ascii="Calibri" w:cs="Calibri" w:eastAsia="DengXian" w:hAnsi="Calibri"/>
          <w:color w:val="374151"/>
          <w:sz w:val="16"/>
          <w:szCs w:val="16"/>
        </w:rPr>
        <w:t xml:space="preserve">Tom's Hardware：Big tech's AI spending plans reach $725 billion。 </w:t>
      </w:r>
      <w:hyperlink w:history="1" r:id="rId9dsovqslabhdpvubqgenl">
        <w:r>
          <w:rPr>
            <w:rFonts w:ascii="Calibri" w:cs="Calibri" w:eastAsia="DengXian" w:hAnsi="Calibri"/>
            <w:color w:val="2E75B6"/>
            <w:sz w:val="15"/>
            <w:szCs w:val="15"/>
            <w:u w:val="single"/>
          </w:rPr>
          <w:t xml:space="preserve">tomshardware.com</w:t>
        </w:r>
      </w:hyperlink>
    </w:p>
  </w:footnote>
  <w:footnote w:id="126">
    <w:p>
      <w:pPr>
        <w:spacing w:after="20" w:line="240"/>
      </w:pPr>
      <w:r>
        <w:rPr>
          <w:rStyle w:val="FootnoteReference"/>
        </w:rPr>
        <w:footnoteRef/>
      </w:r>
      <w:r>
        <w:rPr>
          <w:rFonts w:ascii="Calibri" w:cs="Calibri" w:eastAsia="DengXian" w:hAnsi="Calibri"/>
          <w:color w:val="374151"/>
          <w:sz w:val="16"/>
          <w:szCs w:val="16"/>
        </w:rPr>
        <w:t xml:space="preserve">财新：青年失业率（2026-09-18）。 </w:t>
      </w:r>
      <w:hyperlink w:history="1" r:id="rIdamivefnikwmorhyron3hk">
        <w:r>
          <w:rPr>
            <w:rFonts w:ascii="Calibri" w:cs="Calibri" w:eastAsia="DengXian" w:hAnsi="Calibri"/>
            <w:color w:val="2E75B6"/>
            <w:sz w:val="15"/>
            <w:szCs w:val="15"/>
            <w:u w:val="single"/>
          </w:rPr>
          <w:t xml:space="preserve">caixinglobal.com</w:t>
        </w:r>
      </w:hyperlink>
    </w:p>
  </w:footnote>
  <w:footnote w:id="127">
    <w:p>
      <w:pPr>
        <w:spacing w:after="20" w:line="240"/>
      </w:pPr>
      <w:r>
        <w:rPr>
          <w:rStyle w:val="FootnoteReference"/>
        </w:rPr>
        <w:footnoteRef/>
      </w:r>
      <w:r>
        <w:rPr>
          <w:rFonts w:ascii="Calibri" w:cs="Calibri" w:eastAsia="DengXian" w:hAnsi="Calibri"/>
          <w:color w:val="374151"/>
          <w:sz w:val="16"/>
          <w:szCs w:val="16"/>
        </w:rPr>
        <w:t xml:space="preserve">国家统计局：2026年上半年居民收入和消费支出。 </w:t>
      </w:r>
      <w:hyperlink w:history="1" r:id="rIdyvm2dve02hu32pryzkr9e">
        <w:r>
          <w:rPr>
            <w:rFonts w:ascii="Calibri" w:cs="Calibri" w:eastAsia="DengXian" w:hAnsi="Calibri"/>
            <w:color w:val="2E75B6"/>
            <w:sz w:val="15"/>
            <w:szCs w:val="15"/>
            <w:u w:val="single"/>
          </w:rPr>
          <w:t xml:space="preserve">stats.gov.cn</w:t>
        </w:r>
      </w:hyperlink>
    </w:p>
  </w:footnote>
  <w:footnote w:id="128">
    <w:p>
      <w:pPr>
        <w:spacing w:after="20" w:line="240"/>
      </w:pPr>
      <w:r>
        <w:rPr>
          <w:rStyle w:val="FootnoteReference"/>
        </w:rPr>
        <w:footnoteRef/>
      </w:r>
      <w:r>
        <w:rPr>
          <w:rFonts w:ascii="Calibri" w:cs="Calibri" w:eastAsia="DengXian" w:hAnsi="Calibri"/>
          <w:color w:val="374151"/>
          <w:sz w:val="16"/>
          <w:szCs w:val="16"/>
        </w:rPr>
        <w:t xml:space="preserve">Bloomberg：Goldman says Chinese easing hopes revive with economy growing 4%（2026-08-23）。 </w:t>
      </w:r>
      <w:hyperlink w:history="1" r:id="rIdwcoe3odysjpj6isbbpcfm">
        <w:r>
          <w:rPr>
            <w:rFonts w:ascii="Calibri" w:cs="Calibri" w:eastAsia="DengXian" w:hAnsi="Calibri"/>
            <w:color w:val="2E75B6"/>
            <w:sz w:val="15"/>
            <w:szCs w:val="15"/>
            <w:u w:val="single"/>
          </w:rPr>
          <w:t xml:space="preserve">bloomberg.com</w:t>
        </w:r>
      </w:hyperlink>
    </w:p>
  </w:footnote>
  <w:footnote w:id="129">
    <w:p>
      <w:pPr>
        <w:spacing w:after="20" w:line="240"/>
      </w:pPr>
      <w:r>
        <w:rPr>
          <w:rStyle w:val="FootnoteReference"/>
        </w:rPr>
        <w:footnoteRef/>
      </w:r>
      <w:r>
        <w:rPr>
          <w:rFonts w:ascii="Calibri" w:cs="Calibri" w:eastAsia="DengXian" w:hAnsi="Calibri"/>
          <w:color w:val="374151"/>
          <w:sz w:val="16"/>
          <w:szCs w:val="16"/>
        </w:rPr>
        <w:t xml:space="preserve">中国政府网：国务院常务会议（2026-09-28）。 </w:t>
      </w:r>
      <w:hyperlink w:history="1" r:id="rId9p_4ld91lq8ypv4znfeni">
        <w:r>
          <w:rPr>
            <w:rFonts w:ascii="Calibri" w:cs="Calibri" w:eastAsia="DengXian" w:hAnsi="Calibri"/>
            <w:color w:val="2E75B6"/>
            <w:sz w:val="15"/>
            <w:szCs w:val="15"/>
            <w:u w:val="single"/>
          </w:rPr>
          <w:t xml:space="preserve">english.www.gov.cn</w:t>
        </w:r>
      </w:hyperlink>
    </w:p>
  </w:footnote>
  <w:footnote w:id="130">
    <w:p>
      <w:pPr>
        <w:spacing w:after="20" w:line="240"/>
      </w:pPr>
      <w:r>
        <w:rPr>
          <w:rStyle w:val="FootnoteReference"/>
        </w:rPr>
        <w:footnoteRef/>
      </w:r>
      <w:r>
        <w:rPr>
          <w:rFonts w:ascii="Calibri" w:cs="Calibri" w:eastAsia="DengXian" w:hAnsi="Calibri"/>
          <w:color w:val="374151"/>
          <w:sz w:val="16"/>
          <w:szCs w:val="16"/>
        </w:rPr>
        <w:t xml:space="preserve">新华网：2026年8月金融统计数据（2026-09-14）。 </w:t>
      </w:r>
      <w:hyperlink w:history="1" r:id="rIdrsz9oxu-z4yfo0m4w9jdd">
        <w:r>
          <w:rPr>
            <w:rFonts w:ascii="Calibri" w:cs="Calibri" w:eastAsia="DengXian" w:hAnsi="Calibri"/>
            <w:color w:val="2E75B6"/>
            <w:sz w:val="15"/>
            <w:szCs w:val="15"/>
            <w:u w:val="single"/>
          </w:rPr>
          <w:t xml:space="preserve">news.cn</w:t>
        </w:r>
      </w:hyperlink>
    </w:p>
  </w:footnote>
  <w:footnote w:id="131">
    <w:p>
      <w:pPr>
        <w:spacing w:after="20" w:line="240"/>
      </w:pPr>
      <w:r>
        <w:rPr>
          <w:rStyle w:val="FootnoteReference"/>
        </w:rPr>
        <w:footnoteRef/>
      </w:r>
      <w:r>
        <w:rPr>
          <w:rFonts w:ascii="Calibri" w:cs="Calibri" w:eastAsia="DengXian" w:hAnsi="Calibri"/>
          <w:color w:val="374151"/>
          <w:sz w:val="16"/>
          <w:szCs w:val="16"/>
        </w:rPr>
        <w:t xml:space="preserve">财新：China's new loans, aggregate financing plunge（2026-09-16）。 </w:t>
      </w:r>
      <w:hyperlink w:history="1" r:id="rIdk3ssthoir17uchztbngq5">
        <w:r>
          <w:rPr>
            <w:rFonts w:ascii="Calibri" w:cs="Calibri" w:eastAsia="DengXian" w:hAnsi="Calibri"/>
            <w:color w:val="2E75B6"/>
            <w:sz w:val="15"/>
            <w:szCs w:val="15"/>
            <w:u w:val="single"/>
          </w:rPr>
          <w:t xml:space="preserve">caixinglobal.com</w:t>
        </w:r>
      </w:hyperlink>
    </w:p>
  </w:footnote>
  <w:footnote w:id="132">
    <w:p>
      <w:pPr>
        <w:spacing w:after="20" w:line="240"/>
      </w:pPr>
      <w:r>
        <w:rPr>
          <w:rStyle w:val="FootnoteReference"/>
        </w:rPr>
        <w:footnoteRef/>
      </w:r>
      <w:r>
        <w:rPr>
          <w:rFonts w:ascii="Calibri" w:cs="Calibri" w:eastAsia="DengXian" w:hAnsi="Calibri"/>
          <w:color w:val="374151"/>
          <w:sz w:val="16"/>
          <w:szCs w:val="16"/>
        </w:rPr>
        <w:t xml:space="preserve">财联社：政府债券在社融存量中的占比（2026-09）。 </w:t>
      </w:r>
      <w:hyperlink w:history="1" r:id="rIdrqcklpgo03t9tqepyvdoa">
        <w:r>
          <w:rPr>
            <w:rFonts w:ascii="Calibri" w:cs="Calibri" w:eastAsia="DengXian" w:hAnsi="Calibri"/>
            <w:color w:val="2E75B6"/>
            <w:sz w:val="15"/>
            <w:szCs w:val="15"/>
            <w:u w:val="single"/>
          </w:rPr>
          <w:t xml:space="preserve">cls.cn</w:t>
        </w:r>
      </w:hyperlink>
    </w:p>
  </w:footnote>
  <w:footnote w:id="133">
    <w:p>
      <w:pPr>
        <w:spacing w:after="20" w:line="240"/>
      </w:pPr>
      <w:r>
        <w:rPr>
          <w:rStyle w:val="FootnoteReference"/>
        </w:rPr>
        <w:footnoteRef/>
      </w:r>
      <w:r>
        <w:rPr>
          <w:rFonts w:ascii="Calibri" w:cs="Calibri" w:eastAsia="DengXian" w:hAnsi="Calibri"/>
          <w:color w:val="374151"/>
          <w:sz w:val="16"/>
          <w:szCs w:val="16"/>
        </w:rPr>
        <w:t xml:space="preserve">财联社：8月末M2、M1增速（2026-09）。 </w:t>
      </w:r>
      <w:hyperlink w:history="1" r:id="rIdbegbh_ji2_nv0kflmvmes">
        <w:r>
          <w:rPr>
            <w:rFonts w:ascii="Calibri" w:cs="Calibri" w:eastAsia="DengXian" w:hAnsi="Calibri"/>
            <w:color w:val="2E75B6"/>
            <w:sz w:val="15"/>
            <w:szCs w:val="15"/>
            <w:u w:val="single"/>
          </w:rPr>
          <w:t xml:space="preserve">m.cls.cn</w:t>
        </w:r>
      </w:hyperlink>
    </w:p>
  </w:footnote>
  <w:footnote w:id="134">
    <w:p>
      <w:pPr>
        <w:spacing w:after="20" w:line="240"/>
      </w:pPr>
      <w:r>
        <w:rPr>
          <w:rStyle w:val="FootnoteReference"/>
        </w:rPr>
        <w:footnoteRef/>
      </w:r>
      <w:r>
        <w:rPr>
          <w:rFonts w:ascii="Calibri" w:cs="Calibri" w:eastAsia="DengXian" w:hAnsi="Calibri"/>
          <w:color w:val="374151"/>
          <w:sz w:val="16"/>
          <w:szCs w:val="16"/>
        </w:rPr>
        <w:t xml:space="preserve">经济参考报：3000亿元特别国债注资中央金融企业（2026-10-08）。 </w:t>
      </w:r>
      <w:hyperlink w:history="1" r:id="rIdmdjvgapn4mefjoewhafxs">
        <w:r>
          <w:rPr>
            <w:rFonts w:ascii="Calibri" w:cs="Calibri" w:eastAsia="DengXian" w:hAnsi="Calibri"/>
            <w:color w:val="2E75B6"/>
            <w:sz w:val="15"/>
            <w:szCs w:val="15"/>
            <w:u w:val="single"/>
          </w:rPr>
          <w:t xml:space="preserve">jjckb.xinhuanet.com</w:t>
        </w:r>
      </w:hyperlink>
    </w:p>
  </w:footnote>
  <w:footnote w:id="135">
    <w:p>
      <w:pPr>
        <w:spacing w:after="20" w:line="240"/>
      </w:pPr>
      <w:r>
        <w:rPr>
          <w:rStyle w:val="FootnoteReference"/>
        </w:rPr>
        <w:footnoteRef/>
      </w:r>
      <w:r>
        <w:rPr>
          <w:rFonts w:ascii="Calibri" w:cs="Calibri" w:eastAsia="DengXian" w:hAnsi="Calibri"/>
          <w:color w:val="374151"/>
          <w:sz w:val="16"/>
          <w:szCs w:val="16"/>
        </w:rPr>
        <w:t xml:space="preserve">CGTN：PBOC announces adjustments to several monetary policy tools（2026-09-29）。 </w:t>
      </w:r>
      <w:hyperlink w:history="1" r:id="rIdgfqbeqorq6otz3kyxy_y2">
        <w:r>
          <w:rPr>
            <w:rFonts w:ascii="Calibri" w:cs="Calibri" w:eastAsia="DengXian" w:hAnsi="Calibri"/>
            <w:color w:val="2E75B6"/>
            <w:sz w:val="15"/>
            <w:szCs w:val="15"/>
            <w:u w:val="single"/>
          </w:rPr>
          <w:t xml:space="preserve">news.cgtn.com</w:t>
        </w:r>
      </w:hyperlink>
    </w:p>
  </w:footnote>
  <w:footnote w:id="136">
    <w:p>
      <w:pPr>
        <w:spacing w:after="20" w:line="240"/>
      </w:pPr>
      <w:r>
        <w:rPr>
          <w:rStyle w:val="FootnoteReference"/>
        </w:rPr>
        <w:footnoteRef/>
      </w:r>
      <w:r>
        <w:rPr>
          <w:rFonts w:ascii="Calibri" w:cs="Calibri" w:eastAsia="DengXian" w:hAnsi="Calibri"/>
          <w:color w:val="374151"/>
          <w:sz w:val="16"/>
          <w:szCs w:val="16"/>
        </w:rPr>
        <w:t xml:space="preserve">新浪财经（Wind数据）：A股前三季度IPO（2026-10-08）。 </w:t>
      </w:r>
      <w:hyperlink w:history="1" r:id="rIdgioe748ax2x0dhtzhhc5r">
        <w:r>
          <w:rPr>
            <w:rFonts w:ascii="Calibri" w:cs="Calibri" w:eastAsia="DengXian" w:hAnsi="Calibri"/>
            <w:color w:val="2E75B6"/>
            <w:sz w:val="15"/>
            <w:szCs w:val="15"/>
            <w:u w:val="single"/>
          </w:rPr>
          <w:t xml:space="preserve">finance.sina.com.cn</w:t>
        </w:r>
      </w:hyperlink>
    </w:p>
  </w:footnote>
  <w:footnote w:id="137">
    <w:p>
      <w:pPr>
        <w:spacing w:after="20" w:line="240"/>
      </w:pPr>
      <w:r>
        <w:rPr>
          <w:rStyle w:val="FootnoteReference"/>
        </w:rPr>
        <w:footnoteRef/>
      </w:r>
      <w:r>
        <w:rPr>
          <w:rFonts w:ascii="Calibri" w:cs="Calibri" w:eastAsia="DengXian" w:hAnsi="Calibri"/>
          <w:color w:val="374151"/>
          <w:sz w:val="16"/>
          <w:szCs w:val="16"/>
        </w:rPr>
        <w:t xml:space="preserve">证券时报：港股前三季度IPO与排队企业。 </w:t>
      </w:r>
      <w:hyperlink w:history="1" r:id="rIdfci5-sqbxaf5woxq5cdqn">
        <w:r>
          <w:rPr>
            <w:rFonts w:ascii="Calibri" w:cs="Calibri" w:eastAsia="DengXian" w:hAnsi="Calibri"/>
            <w:color w:val="2E75B6"/>
            <w:sz w:val="15"/>
            <w:szCs w:val="15"/>
            <w:u w:val="single"/>
          </w:rPr>
          <w:t xml:space="preserve">stcn.com</w:t>
        </w:r>
      </w:hyperlink>
    </w:p>
  </w:footnote>
  <w:footnote w:id="138">
    <w:p>
      <w:pPr>
        <w:spacing w:after="20" w:line="240"/>
      </w:pPr>
      <w:r>
        <w:rPr>
          <w:rStyle w:val="FootnoteReference"/>
        </w:rPr>
        <w:footnoteRef/>
      </w:r>
      <w:r>
        <w:rPr>
          <w:rFonts w:ascii="Calibri" w:cs="Calibri" w:eastAsia="DengXian" w:hAnsi="Calibri"/>
          <w:color w:val="374151"/>
          <w:sz w:val="16"/>
          <w:szCs w:val="16"/>
        </w:rPr>
        <w:t xml:space="preserve">新浪财经：港股9月新股破发率（2026-09-30）。 </w:t>
      </w:r>
      <w:hyperlink w:history="1" r:id="rIdiuytsipndyju9gupnopbj">
        <w:r>
          <w:rPr>
            <w:rFonts w:ascii="Calibri" w:cs="Calibri" w:eastAsia="DengXian" w:hAnsi="Calibri"/>
            <w:color w:val="2E75B6"/>
            <w:sz w:val="15"/>
            <w:szCs w:val="15"/>
            <w:u w:val="single"/>
          </w:rPr>
          <w:t xml:space="preserve">finance.sina.com.cn</w:t>
        </w:r>
      </w:hyperlink>
    </w:p>
  </w:footnote>
  <w:footnote w:id="139">
    <w:p>
      <w:pPr>
        <w:spacing w:after="20" w:line="240"/>
      </w:pPr>
      <w:r>
        <w:rPr>
          <w:rStyle w:val="FootnoteReference"/>
        </w:rPr>
        <w:footnoteRef/>
      </w:r>
      <w:r>
        <w:rPr>
          <w:rFonts w:ascii="Calibri" w:cs="Calibri" w:eastAsia="DengXian" w:hAnsi="Calibri"/>
          <w:color w:val="374151"/>
          <w:sz w:val="16"/>
          <w:szCs w:val="16"/>
        </w:rPr>
        <w:t xml:space="preserve">新浪财经：两融余额首破3万亿元（2026-06-24）。 </w:t>
      </w:r>
      <w:hyperlink w:history="1" r:id="rIdn4z44phgk3q0sqo8lqhra">
        <w:r>
          <w:rPr>
            <w:rFonts w:ascii="Calibri" w:cs="Calibri" w:eastAsia="DengXian" w:hAnsi="Calibri"/>
            <w:color w:val="2E75B6"/>
            <w:sz w:val="15"/>
            <w:szCs w:val="15"/>
            <w:u w:val="single"/>
          </w:rPr>
          <w:t xml:space="preserve">finance.sina.com.cn</w:t>
        </w:r>
      </w:hyperlink>
    </w:p>
  </w:footnote>
  <w:footnote w:id="140">
    <w:p>
      <w:pPr>
        <w:spacing w:after="20" w:line="240"/>
      </w:pPr>
      <w:r>
        <w:rPr>
          <w:rStyle w:val="FootnoteReference"/>
        </w:rPr>
        <w:footnoteRef/>
      </w:r>
      <w:r>
        <w:rPr>
          <w:rFonts w:ascii="Calibri" w:cs="Calibri" w:eastAsia="DengXian" w:hAnsi="Calibri"/>
          <w:color w:val="374151"/>
          <w:sz w:val="16"/>
          <w:szCs w:val="16"/>
        </w:rPr>
        <w:t xml:space="preserve">东方财富：三季度融资余额与股票ETF净申购（2026-09-30）。 </w:t>
      </w:r>
      <w:hyperlink w:history="1" r:id="rIdyxr5or6tfbz40oslqxuml">
        <w:r>
          <w:rPr>
            <w:rFonts w:ascii="Calibri" w:cs="Calibri" w:eastAsia="DengXian" w:hAnsi="Calibri"/>
            <w:color w:val="2E75B6"/>
            <w:sz w:val="15"/>
            <w:szCs w:val="15"/>
            <w:u w:val="single"/>
          </w:rPr>
          <w:t xml:space="preserve">finance.eastmoney.com</w:t>
        </w:r>
      </w:hyperlink>
    </w:p>
  </w:footnote>
  <w:footnote w:id="141">
    <w:p>
      <w:pPr>
        <w:spacing w:after="20" w:line="240"/>
      </w:pPr>
      <w:r>
        <w:rPr>
          <w:rStyle w:val="FootnoteReference"/>
        </w:rPr>
        <w:footnoteRef/>
      </w:r>
      <w:r>
        <w:rPr>
          <w:rFonts w:ascii="Calibri" w:cs="Calibri" w:eastAsia="DengXian" w:hAnsi="Calibri"/>
          <w:color w:val="374151"/>
          <w:sz w:val="16"/>
          <w:szCs w:val="16"/>
        </w:rPr>
        <w:t xml:space="preserve">国家统计局：2026年1—8月全国房地产市场基本情况（2026-09-15）。 </w:t>
      </w:r>
      <w:hyperlink w:history="1" r:id="rIdx6qalvb77gbtlcjfuo8pp">
        <w:r>
          <w:rPr>
            <w:rFonts w:ascii="Calibri" w:cs="Calibri" w:eastAsia="DengXian" w:hAnsi="Calibri"/>
            <w:color w:val="2E75B6"/>
            <w:sz w:val="15"/>
            <w:szCs w:val="15"/>
            <w:u w:val="single"/>
          </w:rPr>
          <w:t xml:space="preserve">stats.gov.cn</w:t>
        </w:r>
      </w:hyperlink>
    </w:p>
  </w:footnote>
  <w:footnote w:id="142">
    <w:p>
      <w:pPr>
        <w:spacing w:after="20" w:line="240"/>
      </w:pPr>
      <w:r>
        <w:rPr>
          <w:rStyle w:val="FootnoteReference"/>
        </w:rPr>
        <w:footnoteRef/>
      </w:r>
      <w:r>
        <w:rPr>
          <w:rFonts w:ascii="Calibri" w:cs="Calibri" w:eastAsia="DengXian" w:hAnsi="Calibri"/>
          <w:color w:val="374151"/>
          <w:sz w:val="16"/>
          <w:szCs w:val="16"/>
        </w:rPr>
        <w:t xml:space="preserve">克而瑞（腾讯新闻转载）：9月重点城市成交与百强房企销售（2026-09-30）。 </w:t>
      </w:r>
      <w:hyperlink w:history="1" r:id="rIdwokduyyapl4c8tzbmxayr">
        <w:r>
          <w:rPr>
            <w:rFonts w:ascii="Calibri" w:cs="Calibri" w:eastAsia="DengXian" w:hAnsi="Calibri"/>
            <w:color w:val="2E75B6"/>
            <w:sz w:val="15"/>
            <w:szCs w:val="15"/>
            <w:u w:val="single"/>
          </w:rPr>
          <w:t xml:space="preserve">news.qq.com</w:t>
        </w:r>
      </w:hyperlink>
    </w:p>
  </w:footnote>
  <w:footnote w:id="143">
    <w:p>
      <w:pPr>
        <w:spacing w:after="20" w:line="240"/>
      </w:pPr>
      <w:r>
        <w:rPr>
          <w:rStyle w:val="FootnoteReference"/>
        </w:rPr>
        <w:footnoteRef/>
      </w:r>
      <w:r>
        <w:rPr>
          <w:rFonts w:ascii="Calibri" w:cs="Calibri" w:eastAsia="DengXian" w:hAnsi="Calibri"/>
          <w:color w:val="374151"/>
          <w:sz w:val="16"/>
          <w:szCs w:val="16"/>
        </w:rPr>
        <w:t xml:space="preserve">财新：融资平台退出进展（2026-03-05）。 </w:t>
      </w:r>
      <w:hyperlink w:history="1" r:id="rIdkysdyykqtsygadip7dtqw">
        <w:r>
          <w:rPr>
            <w:rFonts w:ascii="Calibri" w:cs="Calibri" w:eastAsia="DengXian" w:hAnsi="Calibri"/>
            <w:color w:val="2E75B6"/>
            <w:sz w:val="15"/>
            <w:szCs w:val="15"/>
            <w:u w:val="single"/>
          </w:rPr>
          <w:t xml:space="preserve">topics.caixin.com</w:t>
        </w:r>
      </w:hyperlink>
    </w:p>
  </w:footnote>
  <w:footnote w:id="144">
    <w:p>
      <w:pPr>
        <w:spacing w:after="20" w:line="240"/>
      </w:pPr>
      <w:r>
        <w:rPr>
          <w:rStyle w:val="FootnoteReference"/>
        </w:rPr>
        <w:footnoteRef/>
      </w:r>
      <w:r>
        <w:rPr>
          <w:rFonts w:ascii="Calibri" w:cs="Calibri" w:eastAsia="DengXian" w:hAnsi="Calibri"/>
          <w:color w:val="374151"/>
          <w:sz w:val="16"/>
          <w:szCs w:val="16"/>
        </w:rPr>
        <w:t xml:space="preserve">财新：审计发现融资平台虚假退出（2026-06-24）。 </w:t>
      </w:r>
      <w:hyperlink w:history="1" r:id="rIduaz-ucc44m9witubprmaa">
        <w:r>
          <w:rPr>
            <w:rFonts w:ascii="Calibri" w:cs="Calibri" w:eastAsia="DengXian" w:hAnsi="Calibri"/>
            <w:color w:val="2E75B6"/>
            <w:sz w:val="15"/>
            <w:szCs w:val="15"/>
            <w:u w:val="single"/>
          </w:rPr>
          <w:t xml:space="preserve">economy.caixin.com</w:t>
        </w:r>
      </w:hyperlink>
    </w:p>
  </w:footnote>
  <w:footnote w:id="145">
    <w:p>
      <w:pPr>
        <w:spacing w:after="20" w:line="240"/>
      </w:pPr>
      <w:r>
        <w:rPr>
          <w:rStyle w:val="FootnoteReference"/>
        </w:rPr>
        <w:footnoteRef/>
      </w:r>
      <w:r>
        <w:rPr>
          <w:rFonts w:ascii="Calibri" w:cs="Calibri" w:eastAsia="DengXian" w:hAnsi="Calibri"/>
          <w:color w:val="374151"/>
          <w:sz w:val="16"/>
          <w:szCs w:val="16"/>
        </w:rPr>
        <w:t xml:space="preserve">CGTN：PBOC announces adjustments to several monetary policy tools（2026-09-29）。 </w:t>
      </w:r>
      <w:hyperlink w:history="1" r:id="rId45vaggbp9s7h-if8rfwkm">
        <w:r>
          <w:rPr>
            <w:rFonts w:ascii="Calibri" w:cs="Calibri" w:eastAsia="DengXian" w:hAnsi="Calibri"/>
            <w:color w:val="2E75B6"/>
            <w:sz w:val="15"/>
            <w:szCs w:val="15"/>
            <w:u w:val="single"/>
          </w:rPr>
          <w:t xml:space="preserve">news.cgtn.com</w:t>
        </w:r>
      </w:hyperlink>
    </w:p>
  </w:footnote>
  <w:footnote w:id="146">
    <w:p>
      <w:pPr>
        <w:spacing w:after="20" w:line="240"/>
      </w:pPr>
      <w:r>
        <w:rPr>
          <w:rStyle w:val="FootnoteReference"/>
        </w:rPr>
        <w:footnoteRef/>
      </w:r>
      <w:r>
        <w:rPr>
          <w:rFonts w:ascii="Calibri" w:cs="Calibri" w:eastAsia="DengXian" w:hAnsi="Calibri"/>
          <w:color w:val="374151"/>
          <w:sz w:val="16"/>
          <w:szCs w:val="16"/>
        </w:rPr>
        <w:t xml:space="preserve">联合资信：2026年上半年债券市场违约（2026-08-20）。 </w:t>
      </w:r>
      <w:hyperlink w:history="1" r:id="rIdkuciso0u5ezka6gr_sv_b">
        <w:r>
          <w:rPr>
            <w:rFonts w:ascii="Calibri" w:cs="Calibri" w:eastAsia="DengXian" w:hAnsi="Calibri"/>
            <w:color w:val="2E75B6"/>
            <w:sz w:val="15"/>
            <w:szCs w:val="15"/>
            <w:u w:val="single"/>
          </w:rPr>
          <w:t xml:space="preserve">lhratings.com</w:t>
        </w:r>
      </w:hyperlink>
    </w:p>
  </w:footnote>
  <w:footnote w:id="147">
    <w:p>
      <w:pPr>
        <w:spacing w:after="20" w:line="240"/>
      </w:pPr>
      <w:r>
        <w:rPr>
          <w:rStyle w:val="FootnoteReference"/>
        </w:rPr>
        <w:footnoteRef/>
      </w:r>
      <w:r>
        <w:rPr>
          <w:rFonts w:ascii="Calibri" w:cs="Calibri" w:eastAsia="DengXian" w:hAnsi="Calibri"/>
          <w:color w:val="374151"/>
          <w:sz w:val="16"/>
          <w:szCs w:val="16"/>
        </w:rPr>
        <w:t xml:space="preserve">大公国际：2026年1—8月债券市场违约与展期统计。 </w:t>
      </w:r>
      <w:hyperlink w:history="1" r:id="rIdsecpo8p4744u2y0bexbmj">
        <w:r>
          <w:rPr>
            <w:rFonts w:ascii="Calibri" w:cs="Calibri" w:eastAsia="DengXian" w:hAnsi="Calibri"/>
            <w:color w:val="2E75B6"/>
            <w:sz w:val="15"/>
            <w:szCs w:val="15"/>
            <w:u w:val="single"/>
          </w:rPr>
          <w:t xml:space="preserve">dagongcredit.com</w:t>
        </w:r>
      </w:hyperlink>
    </w:p>
  </w:footnote>
  <w:footnote w:id="148">
    <w:p>
      <w:pPr>
        <w:spacing w:after="20" w:line="240"/>
      </w:pPr>
      <w:r>
        <w:rPr>
          <w:rStyle w:val="FootnoteReference"/>
        </w:rPr>
        <w:footnoteRef/>
      </w:r>
      <w:r>
        <w:rPr>
          <w:rFonts w:ascii="Calibri" w:cs="Calibri" w:eastAsia="DengXian" w:hAnsi="Calibri"/>
          <w:color w:val="374151"/>
          <w:sz w:val="16"/>
          <w:szCs w:val="16"/>
        </w:rPr>
        <w:t xml:space="preserve">同花顺：万科公开债展期情况（2026-08-20）。 </w:t>
      </w:r>
      <w:hyperlink w:history="1" r:id="rIdy5sqtrnyprf05wnbuiviz">
        <w:r>
          <w:rPr>
            <w:rFonts w:ascii="Calibri" w:cs="Calibri" w:eastAsia="DengXian" w:hAnsi="Calibri"/>
            <w:color w:val="2E75B6"/>
            <w:sz w:val="15"/>
            <w:szCs w:val="15"/>
            <w:u w:val="single"/>
          </w:rPr>
          <w:t xml:space="preserve">stock.10jqka.com.cn</w:t>
        </w:r>
      </w:hyperlink>
    </w:p>
  </w:footnote>
  <w:footnote w:id="149">
    <w:p>
      <w:pPr>
        <w:spacing w:after="20" w:line="240"/>
      </w:pPr>
      <w:r>
        <w:rPr>
          <w:rStyle w:val="FootnoteReference"/>
        </w:rPr>
        <w:footnoteRef/>
      </w:r>
      <w:r>
        <w:rPr>
          <w:rFonts w:ascii="Calibri" w:cs="Calibri" w:eastAsia="DengXian" w:hAnsi="Calibri"/>
          <w:color w:val="374151"/>
          <w:sz w:val="16"/>
          <w:szCs w:val="16"/>
        </w:rPr>
        <w:t xml:space="preserve">每日经济新闻：万科2026年半年报（2026-08-27）。 </w:t>
      </w:r>
      <w:hyperlink w:history="1" r:id="rIdcjh-xligfqqdqq1cjtcji">
        <w:r>
          <w:rPr>
            <w:rFonts w:ascii="Calibri" w:cs="Calibri" w:eastAsia="DengXian" w:hAnsi="Calibri"/>
            <w:color w:val="2E75B6"/>
            <w:sz w:val="15"/>
            <w:szCs w:val="15"/>
            <w:u w:val="single"/>
          </w:rPr>
          <w:t xml:space="preserve">nbd.com.cn</w:t>
        </w:r>
      </w:hyperlink>
    </w:p>
  </w:footnote>
  <w:footnote w:id="150">
    <w:p>
      <w:pPr>
        <w:spacing w:after="20" w:line="240"/>
      </w:pPr>
      <w:r>
        <w:rPr>
          <w:rStyle w:val="FootnoteReference"/>
        </w:rPr>
        <w:footnoteRef/>
      </w:r>
      <w:r>
        <w:rPr>
          <w:rFonts w:ascii="Calibri" w:cs="Calibri" w:eastAsia="DengXian" w:hAnsi="Calibri"/>
          <w:color w:val="374151"/>
          <w:sz w:val="16"/>
          <w:szCs w:val="16"/>
        </w:rPr>
        <w:t xml:space="preserve">财联社：碧桂园境内债重组。 </w:t>
      </w:r>
      <w:hyperlink w:history="1" r:id="rIdizboq9xibfxdxr-g8hffy">
        <w:r>
          <w:rPr>
            <w:rFonts w:ascii="Calibri" w:cs="Calibri" w:eastAsia="DengXian" w:hAnsi="Calibri"/>
            <w:color w:val="2E75B6"/>
            <w:sz w:val="15"/>
            <w:szCs w:val="15"/>
            <w:u w:val="single"/>
          </w:rPr>
          <w:t xml:space="preserve">m.cls.cn</w:t>
        </w:r>
      </w:hyperlink>
    </w:p>
  </w:footnote>
  <w:footnote w:id="151">
    <w:p>
      <w:pPr>
        <w:spacing w:after="20" w:line="240"/>
      </w:pPr>
      <w:r>
        <w:rPr>
          <w:rStyle w:val="FootnoteReference"/>
        </w:rPr>
        <w:footnoteRef/>
      </w:r>
      <w:r>
        <w:rPr>
          <w:rFonts w:ascii="Calibri" w:cs="Calibri" w:eastAsia="DengXian" w:hAnsi="Calibri"/>
          <w:color w:val="374151"/>
          <w:sz w:val="16"/>
          <w:szCs w:val="16"/>
        </w:rPr>
        <w:t xml:space="preserve">澎湃新闻：碧桂园回购境内债。 </w:t>
      </w:r>
      <w:hyperlink w:history="1" r:id="rIdgng4y9a5v2s9gaqivh9io">
        <w:r>
          <w:rPr>
            <w:rFonts w:ascii="Calibri" w:cs="Calibri" w:eastAsia="DengXian" w:hAnsi="Calibri"/>
            <w:color w:val="2E75B6"/>
            <w:sz w:val="15"/>
            <w:szCs w:val="15"/>
            <w:u w:val="single"/>
          </w:rPr>
          <w:t xml:space="preserve">thepaper.cn</w:t>
        </w:r>
      </w:hyperlink>
    </w:p>
  </w:footnote>
  <w:footnote w:id="152">
    <w:p>
      <w:pPr>
        <w:spacing w:after="20" w:line="240"/>
      </w:pPr>
      <w:r>
        <w:rPr>
          <w:rStyle w:val="FootnoteReference"/>
        </w:rPr>
        <w:footnoteRef/>
      </w:r>
      <w:r>
        <w:rPr>
          <w:rFonts w:ascii="Calibri" w:cs="Calibri" w:eastAsia="DengXian" w:hAnsi="Calibri"/>
          <w:color w:val="374151"/>
          <w:sz w:val="16"/>
          <w:szCs w:val="16"/>
        </w:rPr>
        <w:t xml:space="preserve">中国金融信息网：二季度商业银行主要监管指标（2026-08-14）。 </w:t>
      </w:r>
      <w:hyperlink w:history="1" r:id="rIda2emfmnck2xtoeixd1gj6">
        <w:r>
          <w:rPr>
            <w:rFonts w:ascii="Calibri" w:cs="Calibri" w:eastAsia="DengXian" w:hAnsi="Calibri"/>
            <w:color w:val="2E75B6"/>
            <w:sz w:val="15"/>
            <w:szCs w:val="15"/>
            <w:u w:val="single"/>
          </w:rPr>
          <w:t xml:space="preserve">m.cnfin.com</w:t>
        </w:r>
      </w:hyperlink>
    </w:p>
  </w:footnote>
  <w:footnote w:id="153">
    <w:p>
      <w:pPr>
        <w:spacing w:after="20" w:line="240"/>
      </w:pPr>
      <w:r>
        <w:rPr>
          <w:rStyle w:val="FootnoteReference"/>
        </w:rPr>
        <w:footnoteRef/>
      </w:r>
      <w:r>
        <w:rPr>
          <w:rFonts w:ascii="Calibri" w:cs="Calibri" w:eastAsia="DengXian" w:hAnsi="Calibri"/>
          <w:color w:val="374151"/>
          <w:sz w:val="16"/>
          <w:szCs w:val="16"/>
        </w:rPr>
        <w:t xml:space="preserve">腾讯新闻：隐性债务与城投经营性债务（2026-09-10）。 </w:t>
      </w:r>
      <w:hyperlink w:history="1" r:id="rIdqoogpeuav6ariytbr-t7a">
        <w:r>
          <w:rPr>
            <w:rFonts w:ascii="Calibri" w:cs="Calibri" w:eastAsia="DengXian" w:hAnsi="Calibri"/>
            <w:color w:val="2E75B6"/>
            <w:sz w:val="15"/>
            <w:szCs w:val="15"/>
            <w:u w:val="single"/>
          </w:rPr>
          <w:t xml:space="preserve">news.qq.com</w:t>
        </w:r>
      </w:hyperlink>
    </w:p>
  </w:footnote>
  <w:footnote w:id="154">
    <w:p>
      <w:pPr>
        <w:spacing w:after="20" w:line="240"/>
      </w:pPr>
      <w:r>
        <w:rPr>
          <w:rStyle w:val="FootnoteReference"/>
        </w:rPr>
        <w:footnoteRef/>
      </w:r>
      <w:r>
        <w:rPr>
          <w:rFonts w:ascii="Calibri" w:cs="Calibri" w:eastAsia="DengXian" w:hAnsi="Calibri"/>
          <w:color w:val="374151"/>
          <w:sz w:val="16"/>
          <w:szCs w:val="16"/>
        </w:rPr>
        <w:t xml:space="preserve">上海证券交易所：融资保证金比例调整（2026-01-14）。 </w:t>
      </w:r>
      <w:hyperlink w:history="1" r:id="rIdcq2yezpvgvjzjf50kcvzn">
        <w:r>
          <w:rPr>
            <w:rFonts w:ascii="Calibri" w:cs="Calibri" w:eastAsia="DengXian" w:hAnsi="Calibri"/>
            <w:color w:val="2E75B6"/>
            <w:sz w:val="15"/>
            <w:szCs w:val="15"/>
            <w:u w:val="single"/>
          </w:rPr>
          <w:t xml:space="preserve">sse.com.cn</w:t>
        </w:r>
      </w:hyperlink>
    </w:p>
  </w:footnote>
  <w:footnote w:id="155">
    <w:p>
      <w:pPr>
        <w:spacing w:after="20" w:line="240"/>
      </w:pPr>
      <w:r>
        <w:rPr>
          <w:rStyle w:val="FootnoteReference"/>
        </w:rPr>
        <w:footnoteRef/>
      </w:r>
      <w:r>
        <w:rPr>
          <w:rFonts w:ascii="Calibri" w:cs="Calibri" w:eastAsia="DengXian" w:hAnsi="Calibri"/>
          <w:color w:val="374151"/>
          <w:sz w:val="16"/>
          <w:szCs w:val="16"/>
        </w:rPr>
        <w:t xml:space="preserve">第一财经：上半年宽基ETF份额变化（2026）。 </w:t>
      </w:r>
      <w:hyperlink w:history="1" r:id="rIdrchgowv2cla3lk7xjtqz4">
        <w:r>
          <w:rPr>
            <w:rFonts w:ascii="Calibri" w:cs="Calibri" w:eastAsia="DengXian" w:hAnsi="Calibri"/>
            <w:color w:val="2E75B6"/>
            <w:sz w:val="15"/>
            <w:szCs w:val="15"/>
            <w:u w:val="single"/>
          </w:rPr>
          <w:t xml:space="preserve">yicai.com</w:t>
        </w:r>
      </w:hyperlink>
    </w:p>
  </w:footnote>
  <w:footnote w:id="156">
    <w:p>
      <w:pPr>
        <w:spacing w:after="20" w:line="240"/>
      </w:pPr>
      <w:r>
        <w:rPr>
          <w:rStyle w:val="FootnoteReference"/>
        </w:rPr>
        <w:footnoteRef/>
      </w:r>
      <w:r>
        <w:rPr>
          <w:rFonts w:ascii="Calibri" w:cs="Calibri" w:eastAsia="DengXian" w:hAnsi="Calibri"/>
          <w:color w:val="374151"/>
          <w:sz w:val="16"/>
          <w:szCs w:val="16"/>
        </w:rPr>
        <w:t xml:space="preserve">东方财富：三季度融资余额与股票ETF净申购（2026-09-30）。 </w:t>
      </w:r>
      <w:hyperlink w:history="1" r:id="rIdjwgz6nmkgzpjrpoicei_s">
        <w:r>
          <w:rPr>
            <w:rFonts w:ascii="Calibri" w:cs="Calibri" w:eastAsia="DengXian" w:hAnsi="Calibri"/>
            <w:color w:val="2E75B6"/>
            <w:sz w:val="15"/>
            <w:szCs w:val="15"/>
            <w:u w:val="single"/>
          </w:rPr>
          <w:t xml:space="preserve">finance.eastmoney.com</w:t>
        </w:r>
      </w:hyperlink>
    </w:p>
  </w:footnote>
  <w:footnote w:id="157">
    <w:p>
      <w:pPr>
        <w:spacing w:after="20" w:line="240"/>
      </w:pPr>
      <w:r>
        <w:rPr>
          <w:rStyle w:val="FootnoteReference"/>
        </w:rPr>
        <w:footnoteRef/>
      </w:r>
      <w:r>
        <w:rPr>
          <w:rFonts w:ascii="Calibri" w:cs="Calibri" w:eastAsia="DengXian" w:hAnsi="Calibri"/>
          <w:color w:val="374151"/>
          <w:sz w:val="16"/>
          <w:szCs w:val="16"/>
        </w:rPr>
        <w:t xml:space="preserve">21世纪经济报道：三季度A股盘点（2026-09-30）。 </w:t>
      </w:r>
      <w:hyperlink w:history="1" r:id="rIdayjxtjdjgfcmrrvnoncun">
        <w:r>
          <w:rPr>
            <w:rFonts w:ascii="Calibri" w:cs="Calibri" w:eastAsia="DengXian" w:hAnsi="Calibri"/>
            <w:color w:val="2E75B6"/>
            <w:sz w:val="15"/>
            <w:szCs w:val="15"/>
            <w:u w:val="single"/>
          </w:rPr>
          <w:t xml:space="preserve">m.21jingji.com</w:t>
        </w:r>
      </w:hyperlink>
    </w:p>
  </w:footnote>
  <w:footnote w:id="158">
    <w:p>
      <w:pPr>
        <w:spacing w:after="20" w:line="240"/>
      </w:pPr>
      <w:r>
        <w:rPr>
          <w:rStyle w:val="FootnoteReference"/>
        </w:rPr>
        <w:footnoteRef/>
      </w:r>
      <w:r>
        <w:rPr>
          <w:rFonts w:ascii="Calibri" w:cs="Calibri" w:eastAsia="DengXian" w:hAnsi="Calibri"/>
          <w:color w:val="374151"/>
          <w:sz w:val="16"/>
          <w:szCs w:val="16"/>
        </w:rPr>
        <w:t xml:space="preserve">东方财富：双创指数创单季度最大跌幅（2026-09-30）。 </w:t>
      </w:r>
      <w:hyperlink w:history="1" r:id="rIdiu9lwj7tcnceg1j-ctqsg">
        <w:r>
          <w:rPr>
            <w:rFonts w:ascii="Calibri" w:cs="Calibri" w:eastAsia="DengXian" w:hAnsi="Calibri"/>
            <w:color w:val="2E75B6"/>
            <w:sz w:val="15"/>
            <w:szCs w:val="15"/>
            <w:u w:val="single"/>
          </w:rPr>
          <w:t xml:space="preserve">finance.eastmoney.com</w:t>
        </w:r>
      </w:hyperlink>
    </w:p>
  </w:footnote>
  <w:footnote w:id="159">
    <w:p>
      <w:pPr>
        <w:spacing w:after="20" w:line="240"/>
      </w:pPr>
      <w:r>
        <w:rPr>
          <w:rStyle w:val="FootnoteReference"/>
        </w:rPr>
        <w:footnoteRef/>
      </w:r>
      <w:r>
        <w:rPr>
          <w:rFonts w:ascii="Calibri" w:cs="Calibri" w:eastAsia="DengXian" w:hAnsi="Calibri"/>
          <w:color w:val="374151"/>
          <w:sz w:val="16"/>
          <w:szCs w:val="16"/>
        </w:rPr>
        <w:t xml:space="preserve">国家统计局：2026年1—8月全国房地产市场基本情况（2026-09-15）。 </w:t>
      </w:r>
      <w:hyperlink w:history="1" r:id="rIdmjbecj_0rtmichqlotu-d">
        <w:r>
          <w:rPr>
            <w:rFonts w:ascii="Calibri" w:cs="Calibri" w:eastAsia="DengXian" w:hAnsi="Calibri"/>
            <w:color w:val="2E75B6"/>
            <w:sz w:val="15"/>
            <w:szCs w:val="15"/>
            <w:u w:val="single"/>
          </w:rPr>
          <w:t xml:space="preserve">stats.gov.cn</w:t>
        </w:r>
      </w:hyperlink>
    </w:p>
  </w:footnote>
  <w:footnote w:id="160">
    <w:p>
      <w:pPr>
        <w:spacing w:after="20" w:line="240"/>
      </w:pPr>
      <w:r>
        <w:rPr>
          <w:rStyle w:val="FootnoteReference"/>
        </w:rPr>
        <w:footnoteRef/>
      </w:r>
      <w:r>
        <w:rPr>
          <w:rFonts w:ascii="Calibri" w:cs="Calibri" w:eastAsia="DengXian" w:hAnsi="Calibri"/>
          <w:color w:val="374151"/>
          <w:sz w:val="16"/>
          <w:szCs w:val="16"/>
        </w:rPr>
        <w:t xml:space="preserve">财新：新房销售额与2021年峰值的比较（2026-01-20）。 </w:t>
      </w:r>
      <w:hyperlink w:history="1" r:id="rIde6tzz070eulsogooiqt9a">
        <w:r>
          <w:rPr>
            <w:rFonts w:ascii="Calibri" w:cs="Calibri" w:eastAsia="DengXian" w:hAnsi="Calibri"/>
            <w:color w:val="2E75B6"/>
            <w:sz w:val="15"/>
            <w:szCs w:val="15"/>
            <w:u w:val="single"/>
          </w:rPr>
          <w:t xml:space="preserve">m.caixin.com</w:t>
        </w:r>
      </w:hyperlink>
    </w:p>
  </w:footnote>
  <w:footnote w:id="161">
    <w:p>
      <w:pPr>
        <w:spacing w:after="20" w:line="240"/>
      </w:pPr>
      <w:r>
        <w:rPr>
          <w:rStyle w:val="FootnoteReference"/>
        </w:rPr>
        <w:footnoteRef/>
      </w:r>
      <w:r>
        <w:rPr>
          <w:rFonts w:ascii="Calibri" w:cs="Calibri" w:eastAsia="DengXian" w:hAnsi="Calibri"/>
          <w:color w:val="374151"/>
          <w:sz w:val="16"/>
          <w:szCs w:val="16"/>
        </w:rPr>
        <w:t xml:space="preserve">CNBC：标普称中国楼市下滑比预期更严重（2026-02-09）。 </w:t>
      </w:r>
      <w:hyperlink w:history="1" r:id="rIdqmaierl8ncedp60gjehel">
        <w:r>
          <w:rPr>
            <w:rFonts w:ascii="Calibri" w:cs="Calibri" w:eastAsia="DengXian" w:hAnsi="Calibri"/>
            <w:color w:val="2E75B6"/>
            <w:sz w:val="15"/>
            <w:szCs w:val="15"/>
            <w:u w:val="single"/>
          </w:rPr>
          <w:t xml:space="preserve">cnbc.com</w:t>
        </w:r>
      </w:hyperlink>
    </w:p>
  </w:footnote>
  <w:footnote w:id="162">
    <w:p>
      <w:pPr>
        <w:spacing w:after="20" w:line="240"/>
      </w:pPr>
      <w:r>
        <w:rPr>
          <w:rStyle w:val="FootnoteReference"/>
        </w:rPr>
        <w:footnoteRef/>
      </w:r>
      <w:r>
        <w:rPr>
          <w:rFonts w:ascii="Calibri" w:cs="Calibri" w:eastAsia="DengXian" w:hAnsi="Calibri"/>
          <w:color w:val="374151"/>
          <w:sz w:val="16"/>
          <w:szCs w:val="16"/>
        </w:rPr>
        <w:t xml:space="preserve">荣鼎咨询：China's Economy: Rightsizing 2025, Looking Ahead to 2026。 </w:t>
      </w:r>
      <w:hyperlink w:history="1" r:id="rIdb4cnhuswlnz1vk6unhsml">
        <w:r>
          <w:rPr>
            <w:rFonts w:ascii="Calibri" w:cs="Calibri" w:eastAsia="DengXian" w:hAnsi="Calibri"/>
            <w:color w:val="2E75B6"/>
            <w:sz w:val="15"/>
            <w:szCs w:val="15"/>
            <w:u w:val="single"/>
          </w:rPr>
          <w:t xml:space="preserve">rhg.com</w:t>
        </w:r>
      </w:hyperlink>
    </w:p>
  </w:footnote>
  <w:footnote w:id="163">
    <w:p>
      <w:pPr>
        <w:spacing w:after="20" w:line="240"/>
      </w:pPr>
      <w:r>
        <w:rPr>
          <w:rStyle w:val="FootnoteReference"/>
        </w:rPr>
        <w:footnoteRef/>
      </w:r>
      <w:r>
        <w:rPr>
          <w:rFonts w:ascii="Calibri" w:cs="Calibri" w:eastAsia="DengXian" w:hAnsi="Calibri"/>
          <w:color w:val="374151"/>
          <w:sz w:val="16"/>
          <w:szCs w:val="16"/>
        </w:rPr>
        <w:t xml:space="preserve">克而瑞（腾讯新闻转载）：9月重点城市成交与百强房企销售（2026-09-30）。 </w:t>
      </w:r>
      <w:hyperlink w:history="1" r:id="rIda_kxkfbeanjthff-dzc6g">
        <w:r>
          <w:rPr>
            <w:rFonts w:ascii="Calibri" w:cs="Calibri" w:eastAsia="DengXian" w:hAnsi="Calibri"/>
            <w:color w:val="2E75B6"/>
            <w:sz w:val="15"/>
            <w:szCs w:val="15"/>
            <w:u w:val="single"/>
          </w:rPr>
          <w:t xml:space="preserve">news.qq.com</w:t>
        </w:r>
      </w:hyperlink>
    </w:p>
  </w:footnote>
  <w:footnote w:id="164">
    <w:p>
      <w:pPr>
        <w:spacing w:after="20" w:line="240"/>
      </w:pPr>
      <w:r>
        <w:rPr>
          <w:rStyle w:val="FootnoteReference"/>
        </w:rPr>
        <w:footnoteRef/>
      </w:r>
      <w:r>
        <w:rPr>
          <w:rFonts w:ascii="Calibri" w:cs="Calibri" w:eastAsia="DengXian" w:hAnsi="Calibri"/>
          <w:color w:val="374151"/>
          <w:sz w:val="16"/>
          <w:szCs w:val="16"/>
        </w:rPr>
        <w:t xml:space="preserve">国家统计局：2026年1—8月全国房地产市场基本情况（2026-09-15）。 </w:t>
      </w:r>
      <w:hyperlink w:history="1" r:id="rIdy-6lqnsy6g8ely-yjta5j">
        <w:r>
          <w:rPr>
            <w:rFonts w:ascii="Calibri" w:cs="Calibri" w:eastAsia="DengXian" w:hAnsi="Calibri"/>
            <w:color w:val="2E75B6"/>
            <w:sz w:val="15"/>
            <w:szCs w:val="15"/>
            <w:u w:val="single"/>
          </w:rPr>
          <w:t xml:space="preserve">stats.gov.cn</w:t>
        </w:r>
      </w:hyperlink>
    </w:p>
  </w:footnote>
  <w:footnote w:id="165">
    <w:p>
      <w:pPr>
        <w:spacing w:after="20" w:line="240"/>
      </w:pPr>
      <w:r>
        <w:rPr>
          <w:rStyle w:val="FootnoteReference"/>
        </w:rPr>
        <w:footnoteRef/>
      </w:r>
      <w:r>
        <w:rPr>
          <w:rFonts w:ascii="Calibri" w:cs="Calibri" w:eastAsia="DengXian" w:hAnsi="Calibri"/>
          <w:color w:val="374151"/>
          <w:sz w:val="16"/>
          <w:szCs w:val="16"/>
        </w:rPr>
        <w:t xml:space="preserve">观点网：2026年1—8月土地出让收入与政府性基金收支（2026-09-18）。 </w:t>
      </w:r>
      <w:hyperlink w:history="1" r:id="rId7uhhmgu2kz5ggwcfrwzro">
        <w:r>
          <w:rPr>
            <w:rFonts w:ascii="Calibri" w:cs="Calibri" w:eastAsia="DengXian" w:hAnsi="Calibri"/>
            <w:color w:val="2E75B6"/>
            <w:sz w:val="15"/>
            <w:szCs w:val="15"/>
            <w:u w:val="single"/>
          </w:rPr>
          <w:t xml:space="preserve">guandian.cn</w:t>
        </w:r>
      </w:hyperlink>
    </w:p>
  </w:footnote>
  <w:footnote w:id="166">
    <w:p>
      <w:pPr>
        <w:spacing w:after="20" w:line="240"/>
      </w:pPr>
      <w:r>
        <w:rPr>
          <w:rStyle w:val="FootnoteReference"/>
        </w:rPr>
        <w:footnoteRef/>
      </w:r>
      <w:r>
        <w:rPr>
          <w:rFonts w:ascii="Calibri" w:cs="Calibri" w:eastAsia="DengXian" w:hAnsi="Calibri"/>
          <w:color w:val="374151"/>
          <w:sz w:val="16"/>
          <w:szCs w:val="16"/>
        </w:rPr>
        <w:t xml:space="preserve">凤凰网：8月70城房价（2026-09-15）。 </w:t>
      </w:r>
      <w:hyperlink w:history="1" r:id="rIdwstz2snsmj8uld4nziimz">
        <w:r>
          <w:rPr>
            <w:rFonts w:ascii="Calibri" w:cs="Calibri" w:eastAsia="DengXian" w:hAnsi="Calibri"/>
            <w:color w:val="2E75B6"/>
            <w:sz w:val="15"/>
            <w:szCs w:val="15"/>
            <w:u w:val="single"/>
          </w:rPr>
          <w:t xml:space="preserve">news.ifeng.com</w:t>
        </w:r>
      </w:hyperlink>
    </w:p>
  </w:footnote>
  <w:footnote w:id="167">
    <w:p>
      <w:pPr>
        <w:spacing w:after="20" w:line="240"/>
      </w:pPr>
      <w:r>
        <w:rPr>
          <w:rStyle w:val="FootnoteReference"/>
        </w:rPr>
        <w:footnoteRef/>
      </w:r>
      <w:r>
        <w:rPr>
          <w:rFonts w:ascii="Calibri" w:cs="Calibri" w:eastAsia="DengXian" w:hAnsi="Calibri"/>
          <w:color w:val="374151"/>
          <w:sz w:val="16"/>
          <w:szCs w:val="16"/>
        </w:rPr>
        <w:t xml:space="preserve">21世纪经济报道：8月一线城市房价（2026-09-15）。 </w:t>
      </w:r>
      <w:hyperlink w:history="1" r:id="rIduhz_c26k6em8lohiw51nu">
        <w:r>
          <w:rPr>
            <w:rFonts w:ascii="Calibri" w:cs="Calibri" w:eastAsia="DengXian" w:hAnsi="Calibri"/>
            <w:color w:val="2E75B6"/>
            <w:sz w:val="15"/>
            <w:szCs w:val="15"/>
            <w:u w:val="single"/>
          </w:rPr>
          <w:t xml:space="preserve">21jingji.com</w:t>
        </w:r>
      </w:hyperlink>
    </w:p>
  </w:footnote>
  <w:footnote w:id="168">
    <w:p>
      <w:pPr>
        <w:spacing w:after="20" w:line="240"/>
      </w:pPr>
      <w:r>
        <w:rPr>
          <w:rStyle w:val="FootnoteReference"/>
        </w:rPr>
        <w:footnoteRef/>
      </w:r>
      <w:r>
        <w:rPr>
          <w:rFonts w:ascii="Calibri" w:cs="Calibri" w:eastAsia="DengXian" w:hAnsi="Calibri"/>
          <w:color w:val="374151"/>
          <w:sz w:val="16"/>
          <w:szCs w:val="16"/>
        </w:rPr>
        <w:t xml:space="preserve">虎嗅：8月70城二手房价格。 </w:t>
      </w:r>
      <w:hyperlink w:history="1" r:id="rIduveymqt2nxor1ejldcntq">
        <w:r>
          <w:rPr>
            <w:rFonts w:ascii="Calibri" w:cs="Calibri" w:eastAsia="DengXian" w:hAnsi="Calibri"/>
            <w:color w:val="2E75B6"/>
            <w:sz w:val="15"/>
            <w:szCs w:val="15"/>
            <w:u w:val="single"/>
          </w:rPr>
          <w:t xml:space="preserve">huxiu.com</w:t>
        </w:r>
      </w:hyperlink>
    </w:p>
  </w:footnote>
  <w:footnote w:id="169">
    <w:p>
      <w:pPr>
        <w:spacing w:after="20" w:line="240"/>
      </w:pPr>
      <w:r>
        <w:rPr>
          <w:rStyle w:val="FootnoteReference"/>
        </w:rPr>
        <w:footnoteRef/>
      </w:r>
      <w:r>
        <w:rPr>
          <w:rFonts w:ascii="Calibri" w:cs="Calibri" w:eastAsia="DengXian" w:hAnsi="Calibri"/>
          <w:color w:val="374151"/>
          <w:sz w:val="16"/>
          <w:szCs w:val="16"/>
        </w:rPr>
        <w:t xml:space="preserve">东方财富：中指研究院9月百城房价（2026-10-01）。 </w:t>
      </w:r>
      <w:hyperlink w:history="1" r:id="rIdo8bt_zil6mu2vnwzotxbi">
        <w:r>
          <w:rPr>
            <w:rFonts w:ascii="Calibri" w:cs="Calibri" w:eastAsia="DengXian" w:hAnsi="Calibri"/>
            <w:color w:val="2E75B6"/>
            <w:sz w:val="15"/>
            <w:szCs w:val="15"/>
            <w:u w:val="single"/>
          </w:rPr>
          <w:t xml:space="preserve">finance.eastmoney.com</w:t>
        </w:r>
      </w:hyperlink>
    </w:p>
  </w:footnote>
  <w:footnote w:id="170">
    <w:p>
      <w:pPr>
        <w:spacing w:after="20" w:line="240"/>
      </w:pPr>
      <w:r>
        <w:rPr>
          <w:rStyle w:val="FootnoteReference"/>
        </w:rPr>
        <w:footnoteRef/>
      </w:r>
      <w:r>
        <w:rPr>
          <w:rFonts w:ascii="Calibri" w:cs="Calibri" w:eastAsia="DengXian" w:hAnsi="Calibri"/>
          <w:color w:val="374151"/>
          <w:sz w:val="16"/>
          <w:szCs w:val="16"/>
        </w:rPr>
        <w:t xml:space="preserve">新浪财经：中指研究院9月百城二手住宅价格（2026-10-02）。 </w:t>
      </w:r>
      <w:hyperlink w:history="1" r:id="rIdejdxelauap4rzevz4w7xt">
        <w:r>
          <w:rPr>
            <w:rFonts w:ascii="Calibri" w:cs="Calibri" w:eastAsia="DengXian" w:hAnsi="Calibri"/>
            <w:color w:val="2E75B6"/>
            <w:sz w:val="15"/>
            <w:szCs w:val="15"/>
            <w:u w:val="single"/>
          </w:rPr>
          <w:t xml:space="preserve">finance.sina.com.cn</w:t>
        </w:r>
      </w:hyperlink>
    </w:p>
  </w:footnote>
  <w:footnote w:id="171">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vofjp3cxmadrxqbpvejtz">
        <w:r>
          <w:rPr>
            <w:rFonts w:ascii="Calibri" w:cs="Calibri" w:eastAsia="DengXian" w:hAnsi="Calibri"/>
            <w:color w:val="2E75B6"/>
            <w:sz w:val="15"/>
            <w:szCs w:val="15"/>
            <w:u w:val="single"/>
          </w:rPr>
          <w:t xml:space="preserve">cnbc.com</w:t>
        </w:r>
      </w:hyperlink>
    </w:p>
  </w:footnote>
  <w:footnote w:id="172">
    <w:p>
      <w:pPr>
        <w:spacing w:after="20" w:line="240"/>
      </w:pPr>
      <w:r>
        <w:rPr>
          <w:rStyle w:val="FootnoteReference"/>
        </w:rPr>
        <w:footnoteRef/>
      </w:r>
      <w:r>
        <w:rPr>
          <w:rFonts w:ascii="Calibri" w:cs="Calibri" w:eastAsia="DengXian" w:hAnsi="Calibri"/>
          <w:color w:val="374151"/>
          <w:sz w:val="16"/>
          <w:szCs w:val="16"/>
        </w:rPr>
        <w:t xml:space="preserve">北京市人民政府：住房政策调整（2026-08-07）。 </w:t>
      </w:r>
      <w:hyperlink w:history="1" r:id="rIdam603_rspdunop-gwli35">
        <w:r>
          <w:rPr>
            <w:rFonts w:ascii="Calibri" w:cs="Calibri" w:eastAsia="DengXian" w:hAnsi="Calibri"/>
            <w:color w:val="2E75B6"/>
            <w:sz w:val="15"/>
            <w:szCs w:val="15"/>
            <w:u w:val="single"/>
          </w:rPr>
          <w:t xml:space="preserve">beijing.gov.cn</w:t>
        </w:r>
      </w:hyperlink>
    </w:p>
  </w:footnote>
  <w:footnote w:id="173">
    <w:p>
      <w:pPr>
        <w:spacing w:after="20" w:line="240"/>
      </w:pPr>
      <w:r>
        <w:rPr>
          <w:rStyle w:val="FootnoteReference"/>
        </w:rPr>
        <w:footnoteRef/>
      </w:r>
      <w:r>
        <w:rPr>
          <w:rFonts w:ascii="Calibri" w:cs="Calibri" w:eastAsia="DengXian" w:hAnsi="Calibri"/>
          <w:color w:val="374151"/>
          <w:sz w:val="16"/>
          <w:szCs w:val="16"/>
        </w:rPr>
        <w:t xml:space="preserve">住房和城乡建设部：商品房销售制度改革（2026-08-28）。 </w:t>
      </w:r>
      <w:hyperlink w:history="1" r:id="rIdvt4ismnc0qy28s8iu9cb-">
        <w:r>
          <w:rPr>
            <w:rFonts w:ascii="Calibri" w:cs="Calibri" w:eastAsia="DengXian" w:hAnsi="Calibri"/>
            <w:color w:val="2E75B6"/>
            <w:sz w:val="15"/>
            <w:szCs w:val="15"/>
            <w:u w:val="single"/>
          </w:rPr>
          <w:t xml:space="preserve">mohurd.gov.cn</w:t>
        </w:r>
      </w:hyperlink>
    </w:p>
  </w:footnote>
  <w:footnote w:id="174">
    <w:p>
      <w:pPr>
        <w:spacing w:after="20" w:line="240"/>
      </w:pPr>
      <w:r>
        <w:rPr>
          <w:rStyle w:val="FootnoteReference"/>
        </w:rPr>
        <w:footnoteRef/>
      </w:r>
      <w:r>
        <w:rPr>
          <w:rFonts w:ascii="Calibri" w:cs="Calibri" w:eastAsia="DengXian" w:hAnsi="Calibri"/>
          <w:color w:val="374151"/>
          <w:sz w:val="16"/>
          <w:szCs w:val="16"/>
        </w:rPr>
        <w:t xml:space="preserve">财政部、中国人民银行、金融监管总局：关于实施居民购房贷款贴息政策的通知，财金〔2026〕95号（2026-09-29）。 </w:t>
      </w:r>
      <w:hyperlink w:history="1" r:id="rIdzfq4cvprzlr7jq5-ufpxo">
        <w:r>
          <w:rPr>
            <w:rFonts w:ascii="Calibri" w:cs="Calibri" w:eastAsia="DengXian" w:hAnsi="Calibri"/>
            <w:color w:val="2E75B6"/>
            <w:sz w:val="15"/>
            <w:szCs w:val="15"/>
            <w:u w:val="single"/>
          </w:rPr>
          <w:t xml:space="preserve">jrs.mof.gov.cn</w:t>
        </w:r>
      </w:hyperlink>
    </w:p>
  </w:footnote>
  <w:footnote w:id="175">
    <w:p>
      <w:pPr>
        <w:spacing w:after="20" w:line="240"/>
      </w:pPr>
      <w:r>
        <w:rPr>
          <w:rStyle w:val="FootnoteReference"/>
        </w:rPr>
        <w:footnoteRef/>
      </w:r>
      <w:r>
        <w:rPr>
          <w:rFonts w:ascii="Calibri" w:cs="Calibri" w:eastAsia="DengXian" w:hAnsi="Calibri"/>
          <w:color w:val="374151"/>
          <w:sz w:val="16"/>
          <w:szCs w:val="16"/>
        </w:rPr>
        <w:t xml:space="preserve">新华网：三部门关于实施居民购房贷款贴息政策的通知（2026-09-29）。 </w:t>
      </w:r>
      <w:hyperlink w:history="1" r:id="rIdts_vzadyrtveasgmchji0">
        <w:r>
          <w:rPr>
            <w:rFonts w:ascii="Calibri" w:cs="Calibri" w:eastAsia="DengXian" w:hAnsi="Calibri"/>
            <w:color w:val="2E75B6"/>
            <w:sz w:val="15"/>
            <w:szCs w:val="15"/>
            <w:u w:val="single"/>
          </w:rPr>
          <w:t xml:space="preserve">news.cn</w:t>
        </w:r>
      </w:hyperlink>
    </w:p>
  </w:footnote>
  <w:footnote w:id="176">
    <w:p>
      <w:pPr>
        <w:spacing w:after="20" w:line="240"/>
      </w:pPr>
      <w:r>
        <w:rPr>
          <w:rStyle w:val="FootnoteReference"/>
        </w:rPr>
        <w:footnoteRef/>
      </w:r>
      <w:r>
        <w:rPr>
          <w:rFonts w:ascii="Calibri" w:cs="Calibri" w:eastAsia="DengXian" w:hAnsi="Calibri"/>
          <w:color w:val="374151"/>
          <w:sz w:val="16"/>
          <w:szCs w:val="16"/>
        </w:rPr>
        <w:t xml:space="preserve">凤凰网：专项债收购存量商品房进展。 </w:t>
      </w:r>
      <w:hyperlink w:history="1" r:id="rIdzrkxt0xsuueldivq0ul0e">
        <w:r>
          <w:rPr>
            <w:rFonts w:ascii="Calibri" w:cs="Calibri" w:eastAsia="DengXian" w:hAnsi="Calibri"/>
            <w:color w:val="2E75B6"/>
            <w:sz w:val="15"/>
            <w:szCs w:val="15"/>
            <w:u w:val="single"/>
          </w:rPr>
          <w:t xml:space="preserve">news.ifeng.com</w:t>
        </w:r>
      </w:hyperlink>
    </w:p>
  </w:footnote>
  <w:footnote w:id="177">
    <w:p>
      <w:pPr>
        <w:spacing w:after="20" w:line="240"/>
      </w:pPr>
      <w:r>
        <w:rPr>
          <w:rStyle w:val="FootnoteReference"/>
        </w:rPr>
        <w:footnoteRef/>
      </w:r>
      <w:r>
        <w:rPr>
          <w:rFonts w:ascii="Calibri" w:cs="Calibri" w:eastAsia="DengXian" w:hAnsi="Calibri"/>
          <w:color w:val="374151"/>
          <w:sz w:val="16"/>
          <w:szCs w:val="16"/>
        </w:rPr>
        <w:t xml:space="preserve">国家统计局：2025年人口数据解读（2026-01-19）。 </w:t>
      </w:r>
      <w:hyperlink w:history="1" r:id="rIdzsqv44qvnsiqvkoxhc0r3">
        <w:r>
          <w:rPr>
            <w:rFonts w:ascii="Calibri" w:cs="Calibri" w:eastAsia="DengXian" w:hAnsi="Calibri"/>
            <w:color w:val="2E75B6"/>
            <w:sz w:val="15"/>
            <w:szCs w:val="15"/>
            <w:u w:val="single"/>
          </w:rPr>
          <w:t xml:space="preserve">stats.gov.cn</w:t>
        </w:r>
      </w:hyperlink>
    </w:p>
  </w:footnote>
  <w:footnote w:id="178">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9tgh_4xsxnvu0gerlu_si">
        <w:r>
          <w:rPr>
            <w:rFonts w:ascii="Calibri" w:cs="Calibri" w:eastAsia="DengXian" w:hAnsi="Calibri"/>
            <w:color w:val="2E75B6"/>
            <w:sz w:val="15"/>
            <w:szCs w:val="15"/>
            <w:u w:val="single"/>
          </w:rPr>
          <w:t xml:space="preserve">cnbc.com</w:t>
        </w:r>
      </w:hyperlink>
    </w:p>
  </w:footnote>
  <w:footnote w:id="179">
    <w:p>
      <w:pPr>
        <w:spacing w:after="20" w:line="240"/>
      </w:pPr>
      <w:r>
        <w:rPr>
          <w:rStyle w:val="FootnoteReference"/>
        </w:rPr>
        <w:footnoteRef/>
      </w:r>
      <w:r>
        <w:rPr>
          <w:rFonts w:ascii="Calibri" w:cs="Calibri" w:eastAsia="DengXian" w:hAnsi="Calibri"/>
          <w:color w:val="374151"/>
          <w:sz w:val="16"/>
          <w:szCs w:val="16"/>
        </w:rPr>
        <w:t xml:space="preserve">Mingtiandi：Goldman Sachs says China home prices may drop another 10%。 </w:t>
      </w:r>
      <w:hyperlink w:history="1" r:id="rIdhotqatnetf1iz9k7wf_pb">
        <w:r>
          <w:rPr>
            <w:rFonts w:ascii="Calibri" w:cs="Calibri" w:eastAsia="DengXian" w:hAnsi="Calibri"/>
            <w:color w:val="2E75B6"/>
            <w:sz w:val="15"/>
            <w:szCs w:val="15"/>
            <w:u w:val="single"/>
          </w:rPr>
          <w:t xml:space="preserve">mingtiandi.com</w:t>
        </w:r>
      </w:hyperlink>
    </w:p>
  </w:footnote>
  <w:footnote w:id="180">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xjckfl6mo17300vetqfab">
        <w:r>
          <w:rPr>
            <w:rFonts w:ascii="Calibri" w:cs="Calibri" w:eastAsia="DengXian" w:hAnsi="Calibri"/>
            <w:color w:val="2E75B6"/>
            <w:sz w:val="15"/>
            <w:szCs w:val="15"/>
            <w:u w:val="single"/>
          </w:rPr>
          <w:t xml:space="preserve">cnbc.com</w:t>
        </w:r>
      </w:hyperlink>
    </w:p>
  </w:footnote>
  <w:footnote w:id="181">
    <w:p>
      <w:pPr>
        <w:spacing w:after="20" w:line="240"/>
      </w:pPr>
      <w:r>
        <w:rPr>
          <w:rStyle w:val="FootnoteReference"/>
        </w:rPr>
        <w:footnoteRef/>
      </w:r>
      <w:r>
        <w:rPr>
          <w:rFonts w:ascii="Calibri" w:cs="Calibri" w:eastAsia="DengXian" w:hAnsi="Calibri"/>
          <w:color w:val="374151"/>
          <w:sz w:val="16"/>
          <w:szCs w:val="16"/>
        </w:rPr>
        <w:t xml:space="preserve">Mingtiandi：Goldman Sachs says China home prices may drop another 10%。 </w:t>
      </w:r>
      <w:hyperlink w:history="1" r:id="rIdg2tgegged5shyev_6pb7k">
        <w:r>
          <w:rPr>
            <w:rFonts w:ascii="Calibri" w:cs="Calibri" w:eastAsia="DengXian" w:hAnsi="Calibri"/>
            <w:color w:val="2E75B6"/>
            <w:sz w:val="15"/>
            <w:szCs w:val="15"/>
            <w:u w:val="single"/>
          </w:rPr>
          <w:t xml:space="preserve">mingtiandi.com</w:t>
        </w:r>
      </w:hyperlink>
    </w:p>
  </w:footnote>
  <w:footnote w:id="182">
    <w:p>
      <w:pPr>
        <w:spacing w:after="20" w:line="240"/>
      </w:pPr>
      <w:r>
        <w:rPr>
          <w:rStyle w:val="FootnoteReference"/>
        </w:rPr>
        <w:footnoteRef/>
      </w:r>
      <w:r>
        <w:rPr>
          <w:rFonts w:ascii="Calibri" w:cs="Calibri" w:eastAsia="DengXian" w:hAnsi="Calibri"/>
          <w:color w:val="374151"/>
          <w:sz w:val="16"/>
          <w:szCs w:val="16"/>
        </w:rPr>
        <w:t xml:space="preserve">CNBC：China's real estate market may be set for a turnaround, S&amp;P says（2026-10-08）。 </w:t>
      </w:r>
      <w:hyperlink w:history="1" r:id="rIdekwcxexzxkvtfpcxwvqp3">
        <w:r>
          <w:rPr>
            <w:rFonts w:ascii="Calibri" w:cs="Calibri" w:eastAsia="DengXian" w:hAnsi="Calibri"/>
            <w:color w:val="2E75B6"/>
            <w:sz w:val="15"/>
            <w:szCs w:val="15"/>
            <w:u w:val="single"/>
          </w:rPr>
          <w:t xml:space="preserve">cnbc.com</w:t>
        </w:r>
      </w:hyperlink>
    </w:p>
  </w:footnote>
  <w:footnote w:id="183">
    <w:p>
      <w:pPr>
        <w:spacing w:after="20" w:line="240"/>
      </w:pPr>
      <w:r>
        <w:rPr>
          <w:rStyle w:val="FootnoteReference"/>
        </w:rPr>
        <w:footnoteRef/>
      </w:r>
      <w:r>
        <w:rPr>
          <w:rFonts w:ascii="Calibri" w:cs="Calibri" w:eastAsia="DengXian" w:hAnsi="Calibri"/>
          <w:color w:val="374151"/>
          <w:sz w:val="16"/>
          <w:szCs w:val="16"/>
        </w:rPr>
        <w:t xml:space="preserve">路透调查（WIMZ转载，2026-08-28）。 </w:t>
      </w:r>
      <w:hyperlink w:history="1" r:id="rIdguiejpardk2ie8-0txhgn">
        <w:r>
          <w:rPr>
            <w:rFonts w:ascii="Calibri" w:cs="Calibri" w:eastAsia="DengXian" w:hAnsi="Calibri"/>
            <w:color w:val="2E75B6"/>
            <w:sz w:val="15"/>
            <w:szCs w:val="15"/>
            <w:u w:val="single"/>
          </w:rPr>
          <w:t xml:space="preserve">wimz.com</w:t>
        </w:r>
      </w:hyperlink>
    </w:p>
  </w:footnote>
  <w:footnote w:id="184">
    <w:p>
      <w:pPr>
        <w:spacing w:after="20" w:line="240"/>
      </w:pPr>
      <w:r>
        <w:rPr>
          <w:rStyle w:val="FootnoteReference"/>
        </w:rPr>
        <w:footnoteRef/>
      </w:r>
      <w:r>
        <w:rPr>
          <w:rFonts w:ascii="Calibri" w:cs="Calibri" w:eastAsia="DengXian" w:hAnsi="Calibri"/>
          <w:color w:val="374151"/>
          <w:sz w:val="16"/>
          <w:szCs w:val="16"/>
        </w:rPr>
        <w:t xml:space="preserve">财新评论：China's property market is finally nearing the bottom（2026-09-15）。 </w:t>
      </w:r>
      <w:hyperlink w:history="1" r:id="rId-ypfnjoge3xl9to5_lw97">
        <w:r>
          <w:rPr>
            <w:rFonts w:ascii="Calibri" w:cs="Calibri" w:eastAsia="DengXian" w:hAnsi="Calibri"/>
            <w:color w:val="2E75B6"/>
            <w:sz w:val="15"/>
            <w:szCs w:val="15"/>
            <w:u w:val="single"/>
          </w:rPr>
          <w:t xml:space="preserve">caixinglobal.com</w:t>
        </w:r>
      </w:hyperlink>
    </w:p>
  </w:footnote>
  <w:footnote w:id="185">
    <w:p>
      <w:pPr>
        <w:spacing w:after="20" w:line="240"/>
      </w:pPr>
      <w:r>
        <w:rPr>
          <w:rStyle w:val="FootnoteReference"/>
        </w:rPr>
        <w:footnoteRef/>
      </w:r>
      <w:r>
        <w:rPr>
          <w:rFonts w:ascii="Calibri" w:cs="Calibri" w:eastAsia="DengXian" w:hAnsi="Calibri"/>
          <w:color w:val="374151"/>
          <w:sz w:val="16"/>
          <w:szCs w:val="16"/>
        </w:rPr>
        <w:t xml:space="preserve">The Standard：邢自强称K型经济至少再持续两年。 </w:t>
      </w:r>
      <w:hyperlink w:history="1" r:id="rIdugusnesfmmmbjlxt1uhg4">
        <w:r>
          <w:rPr>
            <w:rFonts w:ascii="Calibri" w:cs="Calibri" w:eastAsia="DengXian" w:hAnsi="Calibri"/>
            <w:color w:val="2E75B6"/>
            <w:sz w:val="15"/>
            <w:szCs w:val="15"/>
            <w:u w:val="single"/>
          </w:rPr>
          <w:t xml:space="preserve">thestandard.com.hk</w:t>
        </w:r>
      </w:hyperlink>
    </w:p>
  </w:footnote>
  <w:footnote w:id="186">
    <w:p>
      <w:pPr>
        <w:spacing w:after="20" w:line="240"/>
      </w:pPr>
      <w:r>
        <w:rPr>
          <w:rStyle w:val="FootnoteReference"/>
        </w:rPr>
        <w:footnoteRef/>
      </w:r>
      <w:r>
        <w:rPr>
          <w:rFonts w:ascii="Calibri" w:cs="Calibri" w:eastAsia="DengXian" w:hAnsi="Calibri"/>
          <w:color w:val="374151"/>
          <w:sz w:val="16"/>
          <w:szCs w:val="16"/>
        </w:rPr>
        <w:t xml:space="preserve">新浪财经：李迅雷谈租售比（2026-01-20）。 </w:t>
      </w:r>
      <w:hyperlink w:history="1" r:id="rId-5xrh-khpedj4e7w_dfnk">
        <w:r>
          <w:rPr>
            <w:rFonts w:ascii="Calibri" w:cs="Calibri" w:eastAsia="DengXian" w:hAnsi="Calibri"/>
            <w:color w:val="2E75B6"/>
            <w:sz w:val="15"/>
            <w:szCs w:val="15"/>
            <w:u w:val="single"/>
          </w:rPr>
          <w:t xml:space="preserve">finance.sina.cn</w:t>
        </w:r>
      </w:hyperlink>
    </w:p>
  </w:footnote>
  <w:footnote w:id="187">
    <w:p>
      <w:pPr>
        <w:spacing w:after="20" w:line="240"/>
      </w:pPr>
      <w:r>
        <w:rPr>
          <w:rStyle w:val="FootnoteReference"/>
        </w:rPr>
        <w:footnoteRef/>
      </w:r>
      <w:r>
        <w:rPr>
          <w:rFonts w:ascii="Calibri" w:cs="Calibri" w:eastAsia="DengXian" w:hAnsi="Calibri"/>
          <w:color w:val="374151"/>
          <w:sz w:val="16"/>
          <w:szCs w:val="16"/>
        </w:rPr>
        <w:t xml:space="preserve">NBER：Rogoff and Yang，工作论文w35054。 </w:t>
      </w:r>
      <w:hyperlink w:history="1" r:id="rIdqay8ue2ytptlnu9pynlm4">
        <w:r>
          <w:rPr>
            <w:rFonts w:ascii="Calibri" w:cs="Calibri" w:eastAsia="DengXian" w:hAnsi="Calibri"/>
            <w:color w:val="2E75B6"/>
            <w:sz w:val="15"/>
            <w:szCs w:val="15"/>
            <w:u w:val="single"/>
          </w:rPr>
          <w:t xml:space="preserve">nber.org</w:t>
        </w:r>
      </w:hyperlink>
    </w:p>
  </w:footnote>
  <w:footnote w:id="188">
    <w:p>
      <w:pPr>
        <w:spacing w:after="20" w:line="240"/>
      </w:pPr>
      <w:r>
        <w:rPr>
          <w:rStyle w:val="FootnoteReference"/>
        </w:rPr>
        <w:footnoteRef/>
      </w:r>
      <w:r>
        <w:rPr>
          <w:rFonts w:ascii="Calibri" w:cs="Calibri" w:eastAsia="DengXian" w:hAnsi="Calibri"/>
          <w:color w:val="374151"/>
          <w:sz w:val="16"/>
          <w:szCs w:val="16"/>
        </w:rPr>
        <w:t xml:space="preserve">第一财经：高盛称沪深楼市将在今年率先见底。 </w:t>
      </w:r>
      <w:hyperlink w:history="1" r:id="rIdwf7y5o7fcp2i4ptncfsxy">
        <w:r>
          <w:rPr>
            <w:rFonts w:ascii="Calibri" w:cs="Calibri" w:eastAsia="DengXian" w:hAnsi="Calibri"/>
            <w:color w:val="2E75B6"/>
            <w:sz w:val="15"/>
            <w:szCs w:val="15"/>
            <w:u w:val="single"/>
          </w:rPr>
          <w:t xml:space="preserve">yicaiglobal.com</w:t>
        </w:r>
      </w:hyperlink>
    </w:p>
  </w:footnote>
  <w:footnote w:id="189">
    <w:p>
      <w:pPr>
        <w:spacing w:after="20" w:line="240"/>
      </w:pPr>
      <w:r>
        <w:rPr>
          <w:rStyle w:val="FootnoteReference"/>
        </w:rPr>
        <w:footnoteRef/>
      </w:r>
      <w:r>
        <w:rPr>
          <w:rFonts w:ascii="Calibri" w:cs="Calibri" w:eastAsia="DengXian" w:hAnsi="Calibri"/>
          <w:color w:val="374151"/>
          <w:sz w:val="16"/>
          <w:szCs w:val="16"/>
        </w:rPr>
        <w:t xml:space="preserve">第一财经：PIMCO总裁称一线城市处在楼市周期底部。 </w:t>
      </w:r>
      <w:hyperlink w:history="1" r:id="rIdjsxzhdyf_h56c9ptwpa8c">
        <w:r>
          <w:rPr>
            <w:rFonts w:ascii="Calibri" w:cs="Calibri" w:eastAsia="DengXian" w:hAnsi="Calibri"/>
            <w:color w:val="2E75B6"/>
            <w:sz w:val="15"/>
            <w:szCs w:val="15"/>
            <w:u w:val="single"/>
          </w:rPr>
          <w:t xml:space="preserve">yicaiglobal.com</w:t>
        </w:r>
      </w:hyperlink>
    </w:p>
  </w:footnote>
  <w:footnote w:id="190">
    <w:p>
      <w:pPr>
        <w:spacing w:after="20" w:line="240"/>
      </w:pPr>
      <w:r>
        <w:rPr>
          <w:rStyle w:val="FootnoteReference"/>
        </w:rPr>
        <w:footnoteRef/>
      </w:r>
      <w:r>
        <w:rPr>
          <w:rFonts w:ascii="Calibri" w:cs="Calibri" w:eastAsia="DengXian" w:hAnsi="Calibri"/>
          <w:color w:val="374151"/>
          <w:sz w:val="16"/>
          <w:szCs w:val="16"/>
        </w:rPr>
        <w:t xml:space="preserve">CNBC：标普预计中国楼市2025年企稳（2024-10-30）。 </w:t>
      </w:r>
      <w:hyperlink w:history="1" r:id="rIdl3vb1leomxd7evym3ag6c">
        <w:r>
          <w:rPr>
            <w:rFonts w:ascii="Calibri" w:cs="Calibri" w:eastAsia="DengXian" w:hAnsi="Calibri"/>
            <w:color w:val="2E75B6"/>
            <w:sz w:val="15"/>
            <w:szCs w:val="15"/>
            <w:u w:val="single"/>
          </w:rPr>
          <w:t xml:space="preserve">cnbc.com</w:t>
        </w:r>
      </w:hyperlink>
    </w:p>
  </w:footnote>
  <w:footnote w:id="191">
    <w:p>
      <w:pPr>
        <w:spacing w:after="20" w:line="240"/>
      </w:pPr>
      <w:r>
        <w:rPr>
          <w:rStyle w:val="FootnoteReference"/>
        </w:rPr>
        <w:footnoteRef/>
      </w:r>
      <w:r>
        <w:rPr>
          <w:rFonts w:ascii="Calibri" w:cs="Calibri" w:eastAsia="DengXian" w:hAnsi="Calibri"/>
          <w:color w:val="374151"/>
          <w:sz w:val="16"/>
          <w:szCs w:val="16"/>
        </w:rPr>
        <w:t xml:space="preserve">高盛：China's economy expected to grow in 2026 amid surging exports。 </w:t>
      </w:r>
      <w:hyperlink w:history="1" r:id="rIdfl4wovivtvx3rvfhjcy0v">
        <w:r>
          <w:rPr>
            <w:rFonts w:ascii="Calibri" w:cs="Calibri" w:eastAsia="DengXian" w:hAnsi="Calibri"/>
            <w:color w:val="2E75B6"/>
            <w:sz w:val="15"/>
            <w:szCs w:val="15"/>
            <w:u w:val="single"/>
          </w:rPr>
          <w:t xml:space="preserve">goldmansachs.com</w:t>
        </w:r>
      </w:hyperlink>
    </w:p>
  </w:footnote>
  <w:footnote w:id="192">
    <w:p>
      <w:pPr>
        <w:spacing w:after="20" w:line="240"/>
      </w:pPr>
      <w:r>
        <w:rPr>
          <w:rStyle w:val="FootnoteReference"/>
        </w:rPr>
        <w:footnoteRef/>
      </w:r>
      <w:r>
        <w:rPr>
          <w:rFonts w:ascii="Calibri" w:cs="Calibri" w:eastAsia="DengXian" w:hAnsi="Calibri"/>
          <w:color w:val="374151"/>
          <w:sz w:val="16"/>
          <w:szCs w:val="16"/>
        </w:rPr>
        <w:t xml:space="preserve">ETF之家：马克斯语录（中文版译文）。 </w:t>
      </w:r>
      <w:hyperlink w:history="1" r:id="rIdmsrlfjuuuma0stwlko1sp">
        <w:r>
          <w:rPr>
            <w:rFonts w:ascii="Calibri" w:cs="Calibri" w:eastAsia="DengXian" w:hAnsi="Calibri"/>
            <w:color w:val="2E75B6"/>
            <w:sz w:val="15"/>
            <w:szCs w:val="15"/>
            <w:u w:val="single"/>
          </w:rPr>
          <w:t xml:space="preserve">etf.group</w:t>
        </w:r>
      </w:hyperlink>
    </w:p>
  </w:footnote>
  <w:footnote w:id="193">
    <w:p>
      <w:pPr>
        <w:spacing w:after="20" w:line="240"/>
      </w:pPr>
      <w:r>
        <w:rPr>
          <w:rStyle w:val="FootnoteReference"/>
        </w:rPr>
        <w:footnoteRef/>
      </w:r>
      <w:r>
        <w:rPr>
          <w:rFonts w:ascii="Calibri" w:cs="Calibri" w:eastAsia="DengXian" w:hAnsi="Calibri"/>
          <w:color w:val="374151"/>
          <w:sz w:val="16"/>
          <w:szCs w:val="16"/>
        </w:rPr>
        <w:t xml:space="preserve">易方达投教：马克斯的钟摆。 </w:t>
      </w:r>
      <w:hyperlink w:history="1" r:id="rIdtompkf0pxrzhubpcv_u3q">
        <w:r>
          <w:rPr>
            <w:rFonts w:ascii="Calibri" w:cs="Calibri" w:eastAsia="DengXian" w:hAnsi="Calibri"/>
            <w:color w:val="2E75B6"/>
            <w:sz w:val="15"/>
            <w:szCs w:val="15"/>
            <w:u w:val="single"/>
          </w:rPr>
          <w:t xml:space="preserve">edu.efunds.com.cn</w:t>
        </w:r>
      </w:hyperlink>
    </w:p>
  </w:footnote>
  <w:footnote w:id="194">
    <w:p>
      <w:pPr>
        <w:spacing w:after="20" w:line="240"/>
      </w:pPr>
      <w:r>
        <w:rPr>
          <w:rStyle w:val="FootnoteReference"/>
        </w:rPr>
        <w:footnoteRef/>
      </w:r>
      <w:r>
        <w:rPr>
          <w:rFonts w:ascii="Calibri" w:cs="Calibri" w:eastAsia="DengXian" w:hAnsi="Calibri"/>
          <w:color w:val="374151"/>
          <w:sz w:val="16"/>
          <w:szCs w:val="16"/>
        </w:rPr>
        <w:t xml:space="preserve">GuruFocus：Howard Marks: The 3 Stages of Any Bull Market。 </w:t>
      </w:r>
      <w:hyperlink w:history="1" r:id="rIdrzrexcpz-foyignwfecdm">
        <w:r>
          <w:rPr>
            <w:rFonts w:ascii="Calibri" w:cs="Calibri" w:eastAsia="DengXian" w:hAnsi="Calibri"/>
            <w:color w:val="2E75B6"/>
            <w:sz w:val="15"/>
            <w:szCs w:val="15"/>
            <w:u w:val="single"/>
          </w:rPr>
          <w:t xml:space="preserve">gurufocus.com</w:t>
        </w:r>
      </w:hyperlink>
    </w:p>
  </w:footnote>
  <w:footnote w:id="195">
    <w:p>
      <w:pPr>
        <w:spacing w:after="20" w:line="240"/>
      </w:pPr>
      <w:r>
        <w:rPr>
          <w:rStyle w:val="FootnoteReference"/>
        </w:rPr>
        <w:footnoteRef/>
      </w:r>
      <w:r>
        <w:rPr>
          <w:rFonts w:ascii="Calibri" w:cs="Calibri" w:eastAsia="DengXian" w:hAnsi="Calibri"/>
          <w:color w:val="374151"/>
          <w:sz w:val="16"/>
          <w:szCs w:val="16"/>
        </w:rPr>
        <w:t xml:space="preserve">Hedge Fund Alpha：Mastering the Market Cycle书评（第一部分）。 </w:t>
      </w:r>
      <w:hyperlink w:history="1" r:id="rId48rynndyjzfzg3yaw9fzp">
        <w:r>
          <w:rPr>
            <w:rFonts w:ascii="Calibri" w:cs="Calibri" w:eastAsia="DengXian" w:hAnsi="Calibri"/>
            <w:color w:val="2E75B6"/>
            <w:sz w:val="15"/>
            <w:szCs w:val="15"/>
            <w:u w:val="single"/>
          </w:rPr>
          <w:t xml:space="preserve">hedgefundalpha.com</w:t>
        </w:r>
      </w:hyperlink>
    </w:p>
  </w:footnote>
  <w:footnote w:id="196">
    <w:p>
      <w:pPr>
        <w:spacing w:after="20" w:line="240"/>
      </w:pPr>
      <w:r>
        <w:rPr>
          <w:rStyle w:val="FootnoteReference"/>
        </w:rPr>
        <w:footnoteRef/>
      </w:r>
      <w:r>
        <w:rPr>
          <w:rFonts w:ascii="Calibri" w:cs="Calibri" w:eastAsia="DengXian" w:hAnsi="Calibri"/>
          <w:color w:val="374151"/>
          <w:sz w:val="16"/>
          <w:szCs w:val="16"/>
        </w:rPr>
        <w:t xml:space="preserve">PPM Funds：Howard Marks: markets are more volatile than economies。 </w:t>
      </w:r>
      <w:hyperlink w:history="1" r:id="rIdpwq2hlffxoni0pqii2ybu">
        <w:r>
          <w:rPr>
            <w:rFonts w:ascii="Calibri" w:cs="Calibri" w:eastAsia="DengXian" w:hAnsi="Calibri"/>
            <w:color w:val="2E75B6"/>
            <w:sz w:val="15"/>
            <w:szCs w:val="15"/>
            <w:u w:val="single"/>
          </w:rPr>
          <w:t xml:space="preserve">ppmfunds.com</w:t>
        </w:r>
      </w:hyperlink>
    </w:p>
  </w:footnote>
  <w:footnote w:id="197">
    <w:p>
      <w:pPr>
        <w:spacing w:after="20" w:line="240"/>
      </w:pPr>
      <w:r>
        <w:rPr>
          <w:rStyle w:val="FootnoteReference"/>
        </w:rPr>
        <w:footnoteRef/>
      </w:r>
      <w:r>
        <w:rPr>
          <w:rFonts w:ascii="Calibri" w:cs="Calibri" w:eastAsia="DengXian" w:hAnsi="Calibri"/>
          <w:color w:val="374151"/>
          <w:sz w:val="16"/>
          <w:szCs w:val="16"/>
        </w:rPr>
        <w:t xml:space="preserve">Bloomberg：Oaktree's Marks says "uninvestable" China offers bargain assets（2024-11-20）。 </w:t>
      </w:r>
      <w:hyperlink w:history="1" r:id="rIdg4fpzyl40ua66hvbziwrx">
        <w:r>
          <w:rPr>
            <w:rFonts w:ascii="Calibri" w:cs="Calibri" w:eastAsia="DengXian" w:hAnsi="Calibri"/>
            <w:color w:val="2E75B6"/>
            <w:sz w:val="15"/>
            <w:szCs w:val="15"/>
            <w:u w:val="single"/>
          </w:rPr>
          <w:t xml:space="preserve">bloomberg.com</w:t>
        </w:r>
      </w:hyperlink>
    </w:p>
  </w:footnote>
  <w:footnote w:id="198">
    <w:p>
      <w:pPr>
        <w:spacing w:after="20" w:line="240"/>
      </w:pPr>
      <w:r>
        <w:rPr>
          <w:rStyle w:val="FootnoteReference"/>
        </w:rPr>
        <w:footnoteRef/>
      </w:r>
      <w:r>
        <w:rPr>
          <w:rFonts w:ascii="Calibri" w:cs="Calibri" w:eastAsia="DengXian" w:hAnsi="Calibri"/>
          <w:color w:val="374151"/>
          <w:sz w:val="16"/>
          <w:szCs w:val="16"/>
        </w:rPr>
        <w:t xml:space="preserve">新华社：橡树资本在华业务（2024-05-23）。 </w:t>
      </w:r>
      <w:hyperlink w:history="1" r:id="rId1kxni9vtygte9b3rdvwsr">
        <w:r>
          <w:rPr>
            <w:rFonts w:ascii="Calibri" w:cs="Calibri" w:eastAsia="DengXian" w:hAnsi="Calibri"/>
            <w:color w:val="2E75B6"/>
            <w:sz w:val="15"/>
            <w:szCs w:val="15"/>
            <w:u w:val="single"/>
          </w:rPr>
          <w:t xml:space="preserve">english.news.cn</w:t>
        </w:r>
      </w:hyperlink>
    </w:p>
  </w:footnote>
  <w:footnote w:id="199">
    <w:p>
      <w:pPr>
        <w:spacing w:after="20" w:line="240"/>
      </w:pPr>
      <w:r>
        <w:rPr>
          <w:rStyle w:val="FootnoteReference"/>
        </w:rPr>
        <w:footnoteRef/>
      </w:r>
      <w:r>
        <w:rPr>
          <w:rFonts w:ascii="Calibri" w:cs="Calibri" w:eastAsia="DengXian" w:hAnsi="Calibri"/>
          <w:color w:val="374151"/>
          <w:sz w:val="16"/>
          <w:szCs w:val="16"/>
        </w:rPr>
        <w:t xml:space="preserve">橡树资本备忘录：Is It a Bubble?（2025-12）。 </w:t>
      </w:r>
      <w:hyperlink w:history="1" r:id="rIdrofbplqkrqucwfon5fo4g">
        <w:r>
          <w:rPr>
            <w:rFonts w:ascii="Calibri" w:cs="Calibri" w:eastAsia="DengXian" w:hAnsi="Calibri"/>
            <w:color w:val="2E75B6"/>
            <w:sz w:val="15"/>
            <w:szCs w:val="15"/>
            <w:u w:val="single"/>
          </w:rPr>
          <w:t xml:space="preserve">oaktreecapital.com</w:t>
        </w:r>
      </w:hyperlink>
    </w:p>
  </w:footnote>
  <w:footnote w:id="200">
    <w:p>
      <w:pPr>
        <w:spacing w:after="20" w:line="240"/>
      </w:pPr>
      <w:r>
        <w:rPr>
          <w:rStyle w:val="FootnoteReference"/>
        </w:rPr>
        <w:footnoteRef/>
      </w:r>
      <w:r>
        <w:rPr>
          <w:rFonts w:ascii="Calibri" w:cs="Calibri" w:eastAsia="DengXian" w:hAnsi="Calibri"/>
          <w:color w:val="374151"/>
          <w:sz w:val="16"/>
          <w:szCs w:val="16"/>
        </w:rPr>
        <w:t xml:space="preserve">橡树资本备忘录：Shall We Repeal the Laws of Economics, Part III（2026-09）。 </w:t>
      </w:r>
      <w:hyperlink w:history="1" r:id="rIdoqliuxavfopbhkwydsfbr">
        <w:r>
          <w:rPr>
            <w:rFonts w:ascii="Calibri" w:cs="Calibri" w:eastAsia="DengXian" w:hAnsi="Calibri"/>
            <w:color w:val="2E75B6"/>
            <w:sz w:val="15"/>
            <w:szCs w:val="15"/>
            <w:u w:val="single"/>
          </w:rPr>
          <w:t xml:space="preserve">oaktreecapital.com</w:t>
        </w:r>
      </w:hyperlink>
    </w:p>
  </w:footnote>
  <w:footnote w:id="201">
    <w:p>
      <w:pPr>
        <w:spacing w:after="20" w:line="240"/>
      </w:pPr>
      <w:r>
        <w:rPr>
          <w:rStyle w:val="FootnoteReference"/>
        </w:rPr>
        <w:footnoteRef/>
      </w:r>
      <w:r>
        <w:rPr>
          <w:rFonts w:ascii="Calibri" w:cs="Calibri" w:eastAsia="DengXian" w:hAnsi="Calibri"/>
          <w:color w:val="374151"/>
          <w:sz w:val="16"/>
          <w:szCs w:val="16"/>
        </w:rPr>
        <w:t xml:space="preserve">证券时报：2025年A股全年表现。 </w:t>
      </w:r>
      <w:hyperlink w:history="1" r:id="rId2yrarglqdyookkvtply-s">
        <w:r>
          <w:rPr>
            <w:rFonts w:ascii="Calibri" w:cs="Calibri" w:eastAsia="DengXian" w:hAnsi="Calibri"/>
            <w:color w:val="2E75B6"/>
            <w:sz w:val="15"/>
            <w:szCs w:val="15"/>
            <w:u w:val="single"/>
          </w:rPr>
          <w:t xml:space="preserve">stcn.com</w:t>
        </w:r>
      </w:hyperlink>
    </w:p>
  </w:footnote>
  <w:footnote w:id="202">
    <w:p>
      <w:pPr>
        <w:spacing w:after="20" w:line="240"/>
      </w:pPr>
      <w:r>
        <w:rPr>
          <w:rStyle w:val="FootnoteReference"/>
        </w:rPr>
        <w:footnoteRef/>
      </w:r>
      <w:r>
        <w:rPr>
          <w:rFonts w:ascii="Calibri" w:cs="Calibri" w:eastAsia="DengXian" w:hAnsi="Calibri"/>
          <w:color w:val="374151"/>
          <w:sz w:val="16"/>
          <w:szCs w:val="16"/>
        </w:rPr>
        <w:t xml:space="preserve">香港商报：2025年恒生指数全年表现（2025-12-31）。 </w:t>
      </w:r>
      <w:hyperlink w:history="1" r:id="rIdrsmexwiu4k9mdxutpnqwn">
        <w:r>
          <w:rPr>
            <w:rFonts w:ascii="Calibri" w:cs="Calibri" w:eastAsia="DengXian" w:hAnsi="Calibri"/>
            <w:color w:val="2E75B6"/>
            <w:sz w:val="15"/>
            <w:szCs w:val="15"/>
            <w:u w:val="single"/>
          </w:rPr>
          <w:t xml:space="preserve">hkcd.com.hk</w:t>
        </w:r>
      </w:hyperlink>
    </w:p>
  </w:footnote>
  <w:footnote w:id="203">
    <w:p>
      <w:pPr>
        <w:spacing w:after="20" w:line="240"/>
      </w:pPr>
      <w:r>
        <w:rPr>
          <w:rStyle w:val="FootnoteReference"/>
        </w:rPr>
        <w:footnoteRef/>
      </w:r>
      <w:r>
        <w:rPr>
          <w:rFonts w:ascii="Calibri" w:cs="Calibri" w:eastAsia="DengXian" w:hAnsi="Calibri"/>
          <w:color w:val="374151"/>
          <w:sz w:val="16"/>
          <w:szCs w:val="16"/>
        </w:rPr>
        <w:t xml:space="preserve">21世纪经济报道：上半年成交额纪录（2026-06-30）。 </w:t>
      </w:r>
      <w:hyperlink w:history="1" r:id="rIdqan_zd-w6_te8cwurx4fn">
        <w:r>
          <w:rPr>
            <w:rFonts w:ascii="Calibri" w:cs="Calibri" w:eastAsia="DengXian" w:hAnsi="Calibri"/>
            <w:color w:val="2E75B6"/>
            <w:sz w:val="15"/>
            <w:szCs w:val="15"/>
            <w:u w:val="single"/>
          </w:rPr>
          <w:t xml:space="preserve">m.21jingji.com</w:t>
        </w:r>
      </w:hyperlink>
    </w:p>
  </w:footnote>
  <w:footnote w:id="204">
    <w:p>
      <w:pPr>
        <w:spacing w:after="20" w:line="240"/>
      </w:pPr>
      <w:r>
        <w:rPr>
          <w:rStyle w:val="FootnoteReference"/>
        </w:rPr>
        <w:footnoteRef/>
      </w:r>
      <w:r>
        <w:rPr>
          <w:rFonts w:ascii="Calibri" w:cs="Calibri" w:eastAsia="DengXian" w:hAnsi="Calibri"/>
          <w:color w:val="374151"/>
          <w:sz w:val="16"/>
          <w:szCs w:val="16"/>
        </w:rPr>
        <w:t xml:space="preserve">上海证券交易所：融资保证金比例调整（2026-01-14）。 </w:t>
      </w:r>
      <w:hyperlink w:history="1" r:id="rIdvqgbmwmi0yc-4d2nadjme">
        <w:r>
          <w:rPr>
            <w:rFonts w:ascii="Calibri" w:cs="Calibri" w:eastAsia="DengXian" w:hAnsi="Calibri"/>
            <w:color w:val="2E75B6"/>
            <w:sz w:val="15"/>
            <w:szCs w:val="15"/>
            <w:u w:val="single"/>
          </w:rPr>
          <w:t xml:space="preserve">sse.com.cn</w:t>
        </w:r>
      </w:hyperlink>
    </w:p>
  </w:footnote>
  <w:footnote w:id="205">
    <w:p>
      <w:pPr>
        <w:spacing w:after="20" w:line="240"/>
      </w:pPr>
      <w:r>
        <w:rPr>
          <w:rStyle w:val="FootnoteReference"/>
        </w:rPr>
        <w:footnoteRef/>
      </w:r>
      <w:r>
        <w:rPr>
          <w:rFonts w:ascii="Calibri" w:cs="Calibri" w:eastAsia="DengXian" w:hAnsi="Calibri"/>
          <w:color w:val="374151"/>
          <w:sz w:val="16"/>
          <w:szCs w:val="16"/>
        </w:rPr>
        <w:t xml:space="preserve">新浪：上证综指5月14日盘中高点。 </w:t>
      </w:r>
      <w:hyperlink w:history="1" r:id="rIdoc-e8bgcyrnqjnhlpfnz3">
        <w:r>
          <w:rPr>
            <w:rFonts w:ascii="Calibri" w:cs="Calibri" w:eastAsia="DengXian" w:hAnsi="Calibri"/>
            <w:color w:val="2E75B6"/>
            <w:sz w:val="15"/>
            <w:szCs w:val="15"/>
            <w:u w:val="single"/>
          </w:rPr>
          <w:t xml:space="preserve">sina.cn</w:t>
        </w:r>
      </w:hyperlink>
    </w:p>
  </w:footnote>
  <w:footnote w:id="206">
    <w:p>
      <w:pPr>
        <w:spacing w:after="20" w:line="240"/>
      </w:pPr>
      <w:r>
        <w:rPr>
          <w:rStyle w:val="FootnoteReference"/>
        </w:rPr>
        <w:footnoteRef/>
      </w:r>
      <w:r>
        <w:rPr>
          <w:rFonts w:ascii="Calibri" w:cs="Calibri" w:eastAsia="DengXian" w:hAnsi="Calibri"/>
          <w:color w:val="374151"/>
          <w:sz w:val="16"/>
          <w:szCs w:val="16"/>
        </w:rPr>
        <w:t xml:space="preserve">中财网：科创50市盈率（2026-07-20）。 </w:t>
      </w:r>
      <w:hyperlink w:history="1" r:id="rIdqr62uhysuijpdc74qjz4x">
        <w:r>
          <w:rPr>
            <w:rFonts w:ascii="Calibri" w:cs="Calibri" w:eastAsia="DengXian" w:hAnsi="Calibri"/>
            <w:color w:val="2E75B6"/>
            <w:sz w:val="15"/>
            <w:szCs w:val="15"/>
            <w:u w:val="single"/>
          </w:rPr>
          <w:t xml:space="preserve">cfi.net.cn</w:t>
        </w:r>
      </w:hyperlink>
    </w:p>
  </w:footnote>
  <w:footnote w:id="207">
    <w:p>
      <w:pPr>
        <w:spacing w:after="20" w:line="240"/>
      </w:pPr>
      <w:r>
        <w:rPr>
          <w:rStyle w:val="FootnoteReference"/>
        </w:rPr>
        <w:footnoteRef/>
      </w:r>
      <w:r>
        <w:rPr>
          <w:rFonts w:ascii="Calibri" w:cs="Calibri" w:eastAsia="DengXian" w:hAnsi="Calibri"/>
          <w:color w:val="374151"/>
          <w:sz w:val="16"/>
          <w:szCs w:val="16"/>
        </w:rPr>
        <w:t xml:space="preserve">新浪财经：两融余额首破3万亿元（2026-06-24）。 </w:t>
      </w:r>
      <w:hyperlink w:history="1" r:id="rId9irldj8wpqvsamihawixe">
        <w:r>
          <w:rPr>
            <w:rFonts w:ascii="Calibri" w:cs="Calibri" w:eastAsia="DengXian" w:hAnsi="Calibri"/>
            <w:color w:val="2E75B6"/>
            <w:sz w:val="15"/>
            <w:szCs w:val="15"/>
            <w:u w:val="single"/>
          </w:rPr>
          <w:t xml:space="preserve">finance.sina.com.cn</w:t>
        </w:r>
      </w:hyperlink>
    </w:p>
  </w:footnote>
  <w:footnote w:id="208">
    <w:p>
      <w:pPr>
        <w:spacing w:after="20" w:line="240"/>
      </w:pPr>
      <w:r>
        <w:rPr>
          <w:rStyle w:val="FootnoteReference"/>
        </w:rPr>
        <w:footnoteRef/>
      </w:r>
      <w:r>
        <w:rPr>
          <w:rFonts w:ascii="Calibri" w:cs="Calibri" w:eastAsia="DengXian" w:hAnsi="Calibri"/>
          <w:color w:val="374151"/>
          <w:sz w:val="16"/>
          <w:szCs w:val="16"/>
        </w:rPr>
        <w:t xml:space="preserve">虎嗅：长鑫科技上市首日。 </w:t>
      </w:r>
      <w:hyperlink w:history="1" r:id="rIddbrgapvf7izusq35dahvo">
        <w:r>
          <w:rPr>
            <w:rFonts w:ascii="Calibri" w:cs="Calibri" w:eastAsia="DengXian" w:hAnsi="Calibri"/>
            <w:color w:val="2E75B6"/>
            <w:sz w:val="15"/>
            <w:szCs w:val="15"/>
            <w:u w:val="single"/>
          </w:rPr>
          <w:t xml:space="preserve">huxiu.com</w:t>
        </w:r>
      </w:hyperlink>
    </w:p>
  </w:footnote>
  <w:footnote w:id="209">
    <w:p>
      <w:pPr>
        <w:spacing w:after="20" w:line="240"/>
      </w:pPr>
      <w:r>
        <w:rPr>
          <w:rStyle w:val="FootnoteReference"/>
        </w:rPr>
        <w:footnoteRef/>
      </w:r>
      <w:r>
        <w:rPr>
          <w:rFonts w:ascii="Calibri" w:cs="Calibri" w:eastAsia="DengXian" w:hAnsi="Calibri"/>
          <w:color w:val="374151"/>
          <w:sz w:val="16"/>
          <w:szCs w:val="16"/>
        </w:rPr>
        <w:t xml:space="preserve">观察者网：摩尔线程上市首日（2025-12-12）。 </w:t>
      </w:r>
      <w:hyperlink w:history="1" r:id="rIdrldzhscnaj10wqfg5ajtt">
        <w:r>
          <w:rPr>
            <w:rFonts w:ascii="Calibri" w:cs="Calibri" w:eastAsia="DengXian" w:hAnsi="Calibri"/>
            <w:color w:val="2E75B6"/>
            <w:sz w:val="15"/>
            <w:szCs w:val="15"/>
            <w:u w:val="single"/>
          </w:rPr>
          <w:t xml:space="preserve">guancha.cn</w:t>
        </w:r>
      </w:hyperlink>
    </w:p>
  </w:footnote>
  <w:footnote w:id="210">
    <w:p>
      <w:pPr>
        <w:spacing w:after="20" w:line="240"/>
      </w:pPr>
      <w:r>
        <w:rPr>
          <w:rStyle w:val="FootnoteReference"/>
        </w:rPr>
        <w:footnoteRef/>
      </w:r>
      <w:r>
        <w:rPr>
          <w:rFonts w:ascii="Calibri" w:cs="Calibri" w:eastAsia="DengXian" w:hAnsi="Calibri"/>
          <w:color w:val="374151"/>
          <w:sz w:val="16"/>
          <w:szCs w:val="16"/>
        </w:rPr>
        <w:t xml:space="preserve">新浪财经：7月2日科创50大跌（2026-07-02）。 </w:t>
      </w:r>
      <w:hyperlink w:history="1" r:id="rIdjrh-4my9ljuyfagfq6a9y">
        <w:r>
          <w:rPr>
            <w:rFonts w:ascii="Calibri" w:cs="Calibri" w:eastAsia="DengXian" w:hAnsi="Calibri"/>
            <w:color w:val="2E75B6"/>
            <w:sz w:val="15"/>
            <w:szCs w:val="15"/>
            <w:u w:val="single"/>
          </w:rPr>
          <w:t xml:space="preserve">finance.sina.com.cn</w:t>
        </w:r>
      </w:hyperlink>
    </w:p>
  </w:footnote>
  <w:footnote w:id="211">
    <w:p>
      <w:pPr>
        <w:spacing w:after="20" w:line="240"/>
      </w:pPr>
      <w:r>
        <w:rPr>
          <w:rStyle w:val="FootnoteReference"/>
        </w:rPr>
        <w:footnoteRef/>
      </w:r>
      <w:r>
        <w:rPr>
          <w:rFonts w:ascii="Calibri" w:cs="Calibri" w:eastAsia="DengXian" w:hAnsi="Calibri"/>
          <w:color w:val="374151"/>
          <w:sz w:val="16"/>
          <w:szCs w:val="16"/>
        </w:rPr>
        <w:t xml:space="preserve">东方财富：双创指数创单季度最大跌幅（2026-09-30）。 </w:t>
      </w:r>
      <w:hyperlink w:history="1" r:id="rIdyaoj3ilcqafp4pp_kjctw">
        <w:r>
          <w:rPr>
            <w:rFonts w:ascii="Calibri" w:cs="Calibri" w:eastAsia="DengXian" w:hAnsi="Calibri"/>
            <w:color w:val="2E75B6"/>
            <w:sz w:val="15"/>
            <w:szCs w:val="15"/>
            <w:u w:val="single"/>
          </w:rPr>
          <w:t xml:space="preserve">finance.eastmoney.com</w:t>
        </w:r>
      </w:hyperlink>
    </w:p>
  </w:footnote>
  <w:footnote w:id="212">
    <w:p>
      <w:pPr>
        <w:spacing w:after="20" w:line="240"/>
      </w:pPr>
      <w:r>
        <w:rPr>
          <w:rStyle w:val="FootnoteReference"/>
        </w:rPr>
        <w:footnoteRef/>
      </w:r>
      <w:r>
        <w:rPr>
          <w:rFonts w:ascii="Calibri" w:cs="Calibri" w:eastAsia="DengXian" w:hAnsi="Calibri"/>
          <w:color w:val="374151"/>
          <w:sz w:val="16"/>
          <w:szCs w:val="16"/>
        </w:rPr>
        <w:t xml:space="preserve">21世纪经济报道：三季度A股盘点（2026-09-30）。 </w:t>
      </w:r>
      <w:hyperlink w:history="1" r:id="rIdplgp-u1dbi4vc67lx8eon">
        <w:r>
          <w:rPr>
            <w:rFonts w:ascii="Calibri" w:cs="Calibri" w:eastAsia="DengXian" w:hAnsi="Calibri"/>
            <w:color w:val="2E75B6"/>
            <w:sz w:val="15"/>
            <w:szCs w:val="15"/>
            <w:u w:val="single"/>
          </w:rPr>
          <w:t xml:space="preserve">m.21jingji.com</w:t>
        </w:r>
      </w:hyperlink>
    </w:p>
  </w:footnote>
  <w:footnote w:id="213">
    <w:p>
      <w:pPr>
        <w:spacing w:after="20" w:line="240"/>
      </w:pPr>
      <w:r>
        <w:rPr>
          <w:rStyle w:val="FootnoteReference"/>
        </w:rPr>
        <w:footnoteRef/>
      </w:r>
      <w:r>
        <w:rPr>
          <w:rFonts w:ascii="Calibri" w:cs="Calibri" w:eastAsia="DengXian" w:hAnsi="Calibri"/>
          <w:color w:val="374151"/>
          <w:sz w:val="16"/>
          <w:szCs w:val="16"/>
        </w:rPr>
        <w:t xml:space="preserve">腾讯新闻：前三季度主要指数表现（2026-10-01）。 </w:t>
      </w:r>
      <w:hyperlink w:history="1" r:id="rIdlx5suz0im9nddhmlkj-nj">
        <w:r>
          <w:rPr>
            <w:rFonts w:ascii="Calibri" w:cs="Calibri" w:eastAsia="DengXian" w:hAnsi="Calibri"/>
            <w:color w:val="2E75B6"/>
            <w:sz w:val="15"/>
            <w:szCs w:val="15"/>
            <w:u w:val="single"/>
          </w:rPr>
          <w:t xml:space="preserve">news.qq.com</w:t>
        </w:r>
      </w:hyperlink>
    </w:p>
  </w:footnote>
  <w:footnote w:id="214">
    <w:p>
      <w:pPr>
        <w:spacing w:after="20" w:line="240"/>
      </w:pPr>
      <w:r>
        <w:rPr>
          <w:rStyle w:val="FootnoteReference"/>
        </w:rPr>
        <w:footnoteRef/>
      </w:r>
      <w:r>
        <w:rPr>
          <w:rFonts w:ascii="Calibri" w:cs="Calibri" w:eastAsia="DengXian" w:hAnsi="Calibri"/>
          <w:color w:val="374151"/>
          <w:sz w:val="16"/>
          <w:szCs w:val="16"/>
        </w:rPr>
        <w:t xml:space="preserve">英为财情（时代周报）：9月29日成交额为14个月低点。 </w:t>
      </w:r>
      <w:hyperlink w:history="1" r:id="rIdaxqwutmya-l6em1ni47a1">
        <w:r>
          <w:rPr>
            <w:rFonts w:ascii="Calibri" w:cs="Calibri" w:eastAsia="DengXian" w:hAnsi="Calibri"/>
            <w:color w:val="2E75B6"/>
            <w:sz w:val="15"/>
            <w:szCs w:val="15"/>
            <w:u w:val="single"/>
          </w:rPr>
          <w:t xml:space="preserve">cn.investing.com</w:t>
        </w:r>
      </w:hyperlink>
    </w:p>
  </w:footnote>
  <w:footnote w:id="215">
    <w:p>
      <w:pPr>
        <w:spacing w:after="20" w:line="240"/>
      </w:pPr>
      <w:r>
        <w:rPr>
          <w:rStyle w:val="FootnoteReference"/>
        </w:rPr>
        <w:footnoteRef/>
      </w:r>
      <w:r>
        <w:rPr>
          <w:rFonts w:ascii="Calibri" w:cs="Calibri" w:eastAsia="DengXian" w:hAnsi="Calibri"/>
          <w:color w:val="374151"/>
          <w:sz w:val="16"/>
          <w:szCs w:val="16"/>
        </w:rPr>
        <w:t xml:space="preserve">腾讯新闻：8月新开户数（2026-09-02）。 </w:t>
      </w:r>
      <w:hyperlink w:history="1" r:id="rId8nj3xijenz_yqid2auu0c">
        <w:r>
          <w:rPr>
            <w:rFonts w:ascii="Calibri" w:cs="Calibri" w:eastAsia="DengXian" w:hAnsi="Calibri"/>
            <w:color w:val="2E75B6"/>
            <w:sz w:val="15"/>
            <w:szCs w:val="15"/>
            <w:u w:val="single"/>
          </w:rPr>
          <w:t xml:space="preserve">news.qq.com</w:t>
        </w:r>
      </w:hyperlink>
    </w:p>
  </w:footnote>
  <w:footnote w:id="216">
    <w:p>
      <w:pPr>
        <w:spacing w:after="20" w:line="240"/>
      </w:pPr>
      <w:r>
        <w:rPr>
          <w:rStyle w:val="FootnoteReference"/>
        </w:rPr>
        <w:footnoteRef/>
      </w:r>
      <w:r>
        <w:rPr>
          <w:rFonts w:ascii="Calibri" w:cs="Calibri" w:eastAsia="DengXian" w:hAnsi="Calibri"/>
          <w:color w:val="374151"/>
          <w:sz w:val="16"/>
          <w:szCs w:val="16"/>
        </w:rPr>
        <w:t xml:space="preserve">新浪：三大行股价创历史新高（2026-09）。 </w:t>
      </w:r>
      <w:hyperlink w:history="1" r:id="rIdfjpvncmb-5wtpakthsyni">
        <w:r>
          <w:rPr>
            <w:rFonts w:ascii="Calibri" w:cs="Calibri" w:eastAsia="DengXian" w:hAnsi="Calibri"/>
            <w:color w:val="2E75B6"/>
            <w:sz w:val="15"/>
            <w:szCs w:val="15"/>
            <w:u w:val="single"/>
          </w:rPr>
          <w:t xml:space="preserve">k.sina.com.cn</w:t>
        </w:r>
      </w:hyperlink>
    </w:p>
  </w:footnote>
  <w:footnote w:id="217">
    <w:p>
      <w:pPr>
        <w:spacing w:after="20" w:line="240"/>
      </w:pPr>
      <w:r>
        <w:rPr>
          <w:rStyle w:val="FootnoteReference"/>
        </w:rPr>
        <w:footnoteRef/>
      </w:r>
      <w:r>
        <w:rPr>
          <w:rFonts w:ascii="Calibri" w:cs="Calibri" w:eastAsia="DengXian" w:hAnsi="Calibri"/>
          <w:color w:val="374151"/>
          <w:sz w:val="16"/>
          <w:szCs w:val="16"/>
        </w:rPr>
        <w:t xml:space="preserve">上海证券交易所：2026年国庆节休市安排。 </w:t>
      </w:r>
      <w:hyperlink w:history="1" r:id="rIdwtkiezh1zdbve7fiuyayw">
        <w:r>
          <w:rPr>
            <w:rFonts w:ascii="Calibri" w:cs="Calibri" w:eastAsia="DengXian" w:hAnsi="Calibri"/>
            <w:color w:val="2E75B6"/>
            <w:sz w:val="15"/>
            <w:szCs w:val="15"/>
            <w:u w:val="single"/>
          </w:rPr>
          <w:t xml:space="preserve">sse.com.cn</w:t>
        </w:r>
      </w:hyperlink>
    </w:p>
  </w:footnote>
  <w:footnote w:id="218">
    <w:p>
      <w:pPr>
        <w:spacing w:after="20" w:line="240"/>
      </w:pPr>
      <w:r>
        <w:rPr>
          <w:rStyle w:val="FootnoteReference"/>
        </w:rPr>
        <w:footnoteRef/>
      </w:r>
      <w:r>
        <w:rPr>
          <w:rFonts w:ascii="Calibri" w:cs="Calibri" w:eastAsia="DengXian" w:hAnsi="Calibri"/>
          <w:color w:val="374151"/>
          <w:sz w:val="16"/>
          <w:szCs w:val="16"/>
        </w:rPr>
        <w:t xml:space="preserve">21世纪经济报道：节后首个交易日A股（2026-10-08）。 </w:t>
      </w:r>
      <w:hyperlink w:history="1" r:id="rId8ed7gbsdr92kdrcgwo7p0">
        <w:r>
          <w:rPr>
            <w:rFonts w:ascii="Calibri" w:cs="Calibri" w:eastAsia="DengXian" w:hAnsi="Calibri"/>
            <w:color w:val="2E75B6"/>
            <w:sz w:val="15"/>
            <w:szCs w:val="15"/>
            <w:u w:val="single"/>
          </w:rPr>
          <w:t xml:space="preserve">21jingji.com</w:t>
        </w:r>
      </w:hyperlink>
    </w:p>
  </w:footnote>
  <w:footnote w:id="219">
    <w:p>
      <w:pPr>
        <w:spacing w:after="20" w:line="240"/>
      </w:pPr>
      <w:r>
        <w:rPr>
          <w:rStyle w:val="FootnoteReference"/>
        </w:rPr>
        <w:footnoteRef/>
      </w:r>
      <w:r>
        <w:rPr>
          <w:rFonts w:ascii="Calibri" w:cs="Calibri" w:eastAsia="DengXian" w:hAnsi="Calibri"/>
          <w:color w:val="374151"/>
          <w:sz w:val="16"/>
          <w:szCs w:val="16"/>
        </w:rPr>
        <w:t xml:space="preserve">指数估值数据：科创50中位数市盈率与历史分位。 </w:t>
      </w:r>
      <w:hyperlink w:history="1" r:id="rIdn0cast-_sdnm7xlmlpl7u">
        <w:r>
          <w:rPr>
            <w:rFonts w:ascii="Calibri" w:cs="Calibri" w:eastAsia="DengXian" w:hAnsi="Calibri"/>
            <w:color w:val="2E75B6"/>
            <w:sz w:val="15"/>
            <w:szCs w:val="15"/>
            <w:u w:val="single"/>
          </w:rPr>
          <w:t xml:space="preserve">etf.whatsid.me</w:t>
        </w:r>
      </w:hyperlink>
    </w:p>
  </w:footnote>
  <w:footnote w:id="220">
    <w:p>
      <w:pPr>
        <w:spacing w:after="20" w:line="240"/>
      </w:pPr>
      <w:r>
        <w:rPr>
          <w:rStyle w:val="FootnoteReference"/>
        </w:rPr>
        <w:footnoteRef/>
      </w:r>
      <w:r>
        <w:rPr>
          <w:rFonts w:ascii="Calibri" w:cs="Calibri" w:eastAsia="DengXian" w:hAnsi="Calibri"/>
          <w:color w:val="374151"/>
          <w:sz w:val="16"/>
          <w:szCs w:val="16"/>
        </w:rPr>
        <w:t xml:space="preserve">腾讯自选股：寒武纪估值。 </w:t>
      </w:r>
      <w:hyperlink w:history="1" r:id="rIdsj4t6ituupro-2hfyjizh">
        <w:r>
          <w:rPr>
            <w:rFonts w:ascii="Calibri" w:cs="Calibri" w:eastAsia="DengXian" w:hAnsi="Calibri"/>
            <w:color w:val="2E75B6"/>
            <w:sz w:val="15"/>
            <w:szCs w:val="15"/>
            <w:u w:val="single"/>
          </w:rPr>
          <w:t xml:space="preserve">gu.qq.com</w:t>
        </w:r>
      </w:hyperlink>
    </w:p>
  </w:footnote>
  <w:footnote w:id="221">
    <w:p>
      <w:pPr>
        <w:spacing w:after="20" w:line="240"/>
      </w:pPr>
      <w:r>
        <w:rPr>
          <w:rStyle w:val="FootnoteReference"/>
        </w:rPr>
        <w:footnoteRef/>
      </w:r>
      <w:r>
        <w:rPr>
          <w:rFonts w:ascii="Calibri" w:cs="Calibri" w:eastAsia="DengXian" w:hAnsi="Calibri"/>
          <w:color w:val="374151"/>
          <w:sz w:val="16"/>
          <w:szCs w:val="16"/>
        </w:rPr>
        <w:t xml:space="preserve">东方财富：三季度融资余额与股票ETF净申购（2026-09-30）。 </w:t>
      </w:r>
      <w:hyperlink w:history="1" r:id="rId7yge-joilgd83kph9xgek">
        <w:r>
          <w:rPr>
            <w:rFonts w:ascii="Calibri" w:cs="Calibri" w:eastAsia="DengXian" w:hAnsi="Calibri"/>
            <w:color w:val="2E75B6"/>
            <w:sz w:val="15"/>
            <w:szCs w:val="15"/>
            <w:u w:val="single"/>
          </w:rPr>
          <w:t xml:space="preserve">finance.eastmoney.com</w:t>
        </w:r>
      </w:hyperlink>
    </w:p>
  </w:footnote>
  <w:footnote w:id="222">
    <w:p>
      <w:pPr>
        <w:spacing w:after="20" w:line="240"/>
      </w:pPr>
      <w:r>
        <w:rPr>
          <w:rStyle w:val="FootnoteReference"/>
        </w:rPr>
        <w:footnoteRef/>
      </w:r>
      <w:r>
        <w:rPr>
          <w:rFonts w:ascii="Calibri" w:cs="Calibri" w:eastAsia="DengXian" w:hAnsi="Calibri"/>
          <w:color w:val="374151"/>
          <w:sz w:val="16"/>
          <w:szCs w:val="16"/>
        </w:rPr>
        <w:t xml:space="preserve">21世纪经济报道：四季度配置主线（2026-10-08）。 </w:t>
      </w:r>
      <w:hyperlink w:history="1" r:id="rIda2n9cixdf6sbin5dl9ira">
        <w:r>
          <w:rPr>
            <w:rFonts w:ascii="Calibri" w:cs="Calibri" w:eastAsia="DengXian" w:hAnsi="Calibri"/>
            <w:color w:val="2E75B6"/>
            <w:sz w:val="15"/>
            <w:szCs w:val="15"/>
            <w:u w:val="single"/>
          </w:rPr>
          <w:t xml:space="preserve">21jingji.com</w:t>
        </w:r>
      </w:hyperlink>
    </w:p>
  </w:footnote>
  <w:footnote w:id="223">
    <w:p>
      <w:pPr>
        <w:spacing w:after="20" w:line="240"/>
      </w:pPr>
      <w:r>
        <w:rPr>
          <w:rStyle w:val="FootnoteReference"/>
        </w:rPr>
        <w:footnoteRef/>
      </w:r>
      <w:r>
        <w:rPr>
          <w:rFonts w:ascii="Calibri" w:cs="Calibri" w:eastAsia="DengXian" w:hAnsi="Calibri"/>
          <w:color w:val="374151"/>
          <w:sz w:val="16"/>
          <w:szCs w:val="16"/>
        </w:rPr>
        <w:t xml:space="preserve">百分位网：沪深300估值。 </w:t>
      </w:r>
      <w:hyperlink w:history="1" r:id="rIdkk_uz3jxb20iidigpfqe5">
        <w:r>
          <w:rPr>
            <w:rFonts w:ascii="Calibri" w:cs="Calibri" w:eastAsia="DengXian" w:hAnsi="Calibri"/>
            <w:color w:val="2E75B6"/>
            <w:sz w:val="15"/>
            <w:szCs w:val="15"/>
            <w:u w:val="single"/>
          </w:rPr>
          <w:t xml:space="preserve">baifenwei.com</w:t>
        </w:r>
      </w:hyperlink>
    </w:p>
  </w:footnote>
  <w:footnote w:id="224">
    <w:p>
      <w:pPr>
        <w:spacing w:after="20" w:line="240"/>
      </w:pPr>
      <w:r>
        <w:rPr>
          <w:rStyle w:val="FootnoteReference"/>
        </w:rPr>
        <w:footnoteRef/>
      </w:r>
      <w:r>
        <w:rPr>
          <w:rFonts w:ascii="Calibri" w:cs="Calibri" w:eastAsia="DengXian" w:hAnsi="Calibri"/>
          <w:color w:val="374151"/>
          <w:sz w:val="16"/>
          <w:szCs w:val="16"/>
        </w:rPr>
        <w:t xml:space="preserve">新浪（方正金工）：股债收益差。 </w:t>
      </w:r>
      <w:hyperlink w:history="1" r:id="rIdwpye2-h7lm6n0kvnr5uxa">
        <w:r>
          <w:rPr>
            <w:rFonts w:ascii="Calibri" w:cs="Calibri" w:eastAsia="DengXian" w:hAnsi="Calibri"/>
            <w:color w:val="2E75B6"/>
            <w:sz w:val="15"/>
            <w:szCs w:val="15"/>
            <w:u w:val="single"/>
          </w:rPr>
          <w:t xml:space="preserve">k.sina.cn</w:t>
        </w:r>
      </w:hyperlink>
    </w:p>
  </w:footnote>
  <w:footnote w:id="225">
    <w:p>
      <w:pPr>
        <w:spacing w:after="20" w:line="240"/>
      </w:pPr>
      <w:r>
        <w:rPr>
          <w:rStyle w:val="FootnoteReference"/>
        </w:rPr>
        <w:footnoteRef/>
      </w:r>
      <w:r>
        <w:rPr>
          <w:rFonts w:ascii="Calibri" w:cs="Calibri" w:eastAsia="DengXian" w:hAnsi="Calibri"/>
          <w:color w:val="374151"/>
          <w:sz w:val="16"/>
          <w:szCs w:val="16"/>
        </w:rPr>
        <w:t xml:space="preserve">财联社：上半年南向资金买入银行股。 </w:t>
      </w:r>
      <w:hyperlink w:history="1" r:id="rIdkvz5lm0gdf-aokmevkc1u">
        <w:r>
          <w:rPr>
            <w:rFonts w:ascii="Calibri" w:cs="Calibri" w:eastAsia="DengXian" w:hAnsi="Calibri"/>
            <w:color w:val="2E75B6"/>
            <w:sz w:val="15"/>
            <w:szCs w:val="15"/>
            <w:u w:val="single"/>
          </w:rPr>
          <w:t xml:space="preserve">cls.cn</w:t>
        </w:r>
      </w:hyperlink>
    </w:p>
  </w:footnote>
  <w:footnote w:id="226">
    <w:p>
      <w:pPr>
        <w:spacing w:after="20" w:line="240"/>
      </w:pPr>
      <w:r>
        <w:rPr>
          <w:rStyle w:val="FootnoteReference"/>
        </w:rPr>
        <w:footnoteRef/>
      </w:r>
      <w:r>
        <w:rPr>
          <w:rFonts w:ascii="Calibri" w:cs="Calibri" w:eastAsia="DengXian" w:hAnsi="Calibri"/>
          <w:color w:val="374151"/>
          <w:sz w:val="16"/>
          <w:szCs w:val="16"/>
        </w:rPr>
        <w:t xml:space="preserve">恒生指数公司：恒生高股息率指数资料。 </w:t>
      </w:r>
      <w:hyperlink w:history="1" r:id="rIddzzq6zsgbwjhr1l_qnitl">
        <w:r>
          <w:rPr>
            <w:rFonts w:ascii="Calibri" w:cs="Calibri" w:eastAsia="DengXian" w:hAnsi="Calibri"/>
            <w:color w:val="2E75B6"/>
            <w:sz w:val="15"/>
            <w:szCs w:val="15"/>
            <w:u w:val="single"/>
          </w:rPr>
          <w:t xml:space="preserve">hsi.com.hk</w:t>
        </w:r>
      </w:hyperlink>
    </w:p>
  </w:footnote>
  <w:footnote w:id="227">
    <w:p>
      <w:pPr>
        <w:spacing w:after="20" w:line="240"/>
      </w:pPr>
      <w:r>
        <w:rPr>
          <w:rStyle w:val="FootnoteReference"/>
        </w:rPr>
        <w:footnoteRef/>
      </w:r>
      <w:r>
        <w:rPr>
          <w:rFonts w:ascii="Calibri" w:cs="Calibri" w:eastAsia="DengXian" w:hAnsi="Calibri"/>
          <w:color w:val="374151"/>
          <w:sz w:val="16"/>
          <w:szCs w:val="16"/>
        </w:rPr>
        <w:t xml:space="preserve">雪球：中证2000指数行情。 </w:t>
      </w:r>
      <w:hyperlink w:history="1" r:id="rIdassw8qeml5hrypobqyyqd">
        <w:r>
          <w:rPr>
            <w:rFonts w:ascii="Calibri" w:cs="Calibri" w:eastAsia="DengXian" w:hAnsi="Calibri"/>
            <w:color w:val="2E75B6"/>
            <w:sz w:val="15"/>
            <w:szCs w:val="15"/>
            <w:u w:val="single"/>
          </w:rPr>
          <w:t xml:space="preserve">xueqiu.com</w:t>
        </w:r>
      </w:hyperlink>
    </w:p>
  </w:footnote>
  <w:footnote w:id="228">
    <w:p>
      <w:pPr>
        <w:spacing w:after="20" w:line="240"/>
      </w:pPr>
      <w:r>
        <w:rPr>
          <w:rStyle w:val="FootnoteReference"/>
        </w:rPr>
        <w:footnoteRef/>
      </w:r>
      <w:r>
        <w:rPr>
          <w:rFonts w:ascii="Calibri" w:cs="Calibri" w:eastAsia="DengXian" w:hAnsi="Calibri"/>
          <w:color w:val="374151"/>
          <w:sz w:val="16"/>
          <w:szCs w:val="16"/>
        </w:rPr>
        <w:t xml:space="preserve">香港电台：9月30日恒指收市（2026-09-30）。 </w:t>
      </w:r>
      <w:hyperlink w:history="1" r:id="rIdi1wxkesla7exbsj8v7vk4">
        <w:r>
          <w:rPr>
            <w:rFonts w:ascii="Calibri" w:cs="Calibri" w:eastAsia="DengXian" w:hAnsi="Calibri"/>
            <w:color w:val="2E75B6"/>
            <w:sz w:val="15"/>
            <w:szCs w:val="15"/>
            <w:u w:val="single"/>
          </w:rPr>
          <w:t xml:space="preserve">gbcode.rthk.hk</w:t>
        </w:r>
      </w:hyperlink>
    </w:p>
  </w:footnote>
  <w:footnote w:id="229">
    <w:p>
      <w:pPr>
        <w:spacing w:after="20" w:line="240"/>
      </w:pPr>
      <w:r>
        <w:rPr>
          <w:rStyle w:val="FootnoteReference"/>
        </w:rPr>
        <w:footnoteRef/>
      </w:r>
      <w:r>
        <w:rPr>
          <w:rFonts w:ascii="Calibri" w:cs="Calibri" w:eastAsia="DengXian" w:hAnsi="Calibri"/>
          <w:color w:val="374151"/>
          <w:sz w:val="16"/>
          <w:szCs w:val="16"/>
        </w:rPr>
        <w:t xml:space="preserve">证券时报：港股前三季度IPO与排队企业。 </w:t>
      </w:r>
      <w:hyperlink w:history="1" r:id="rIdfz_9iptpurrcquzoyrqtj">
        <w:r>
          <w:rPr>
            <w:rFonts w:ascii="Calibri" w:cs="Calibri" w:eastAsia="DengXian" w:hAnsi="Calibri"/>
            <w:color w:val="2E75B6"/>
            <w:sz w:val="15"/>
            <w:szCs w:val="15"/>
            <w:u w:val="single"/>
          </w:rPr>
          <w:t xml:space="preserve">stcn.com</w:t>
        </w:r>
      </w:hyperlink>
    </w:p>
  </w:footnote>
  <w:footnote w:id="230">
    <w:p>
      <w:pPr>
        <w:spacing w:after="20" w:line="240"/>
      </w:pPr>
      <w:r>
        <w:rPr>
          <w:rStyle w:val="FootnoteReference"/>
        </w:rPr>
        <w:footnoteRef/>
      </w:r>
      <w:r>
        <w:rPr>
          <w:rFonts w:ascii="Calibri" w:cs="Calibri" w:eastAsia="DengXian" w:hAnsi="Calibri"/>
          <w:color w:val="374151"/>
          <w:sz w:val="16"/>
          <w:szCs w:val="16"/>
        </w:rPr>
        <w:t xml:space="preserve">新浪财经：港股9月新股破发率（2026-09-30）。 </w:t>
      </w:r>
      <w:hyperlink w:history="1" r:id="rIdby2ntjlz-eok9xsmphtum">
        <w:r>
          <w:rPr>
            <w:rFonts w:ascii="Calibri" w:cs="Calibri" w:eastAsia="DengXian" w:hAnsi="Calibri"/>
            <w:color w:val="2E75B6"/>
            <w:sz w:val="15"/>
            <w:szCs w:val="15"/>
            <w:u w:val="single"/>
          </w:rPr>
          <w:t xml:space="preserve">finance.sina.com.cn</w:t>
        </w:r>
      </w:hyperlink>
    </w:p>
  </w:footnote>
  <w:footnote w:id="231">
    <w:p>
      <w:pPr>
        <w:spacing w:after="20" w:line="240"/>
      </w:pPr>
      <w:r>
        <w:rPr>
          <w:rStyle w:val="FootnoteReference"/>
        </w:rPr>
        <w:footnoteRef/>
      </w:r>
      <w:r>
        <w:rPr>
          <w:rFonts w:ascii="Calibri" w:cs="Calibri" w:eastAsia="DengXian" w:hAnsi="Calibri"/>
          <w:color w:val="374151"/>
          <w:sz w:val="16"/>
          <w:szCs w:val="16"/>
        </w:rPr>
        <w:t xml:space="preserve">新浪财经（Wind数据）：A股前三季度IPO（2026-10-08）。 </w:t>
      </w:r>
      <w:hyperlink w:history="1" r:id="rIdvag9qgut3f_5--axvulu4">
        <w:r>
          <w:rPr>
            <w:rFonts w:ascii="Calibri" w:cs="Calibri" w:eastAsia="DengXian" w:hAnsi="Calibri"/>
            <w:color w:val="2E75B6"/>
            <w:sz w:val="15"/>
            <w:szCs w:val="15"/>
            <w:u w:val="single"/>
          </w:rPr>
          <w:t xml:space="preserve">finance.sina.com.cn</w:t>
        </w:r>
      </w:hyperlink>
    </w:p>
  </w:footnote>
  <w:footnote w:id="232">
    <w:p>
      <w:pPr>
        <w:spacing w:after="20" w:line="240"/>
      </w:pPr>
      <w:r>
        <w:rPr>
          <w:rStyle w:val="FootnoteReference"/>
        </w:rPr>
        <w:footnoteRef/>
      </w:r>
      <w:r>
        <w:rPr>
          <w:rFonts w:ascii="Calibri" w:cs="Calibri" w:eastAsia="DengXian" w:hAnsi="Calibri"/>
          <w:color w:val="374151"/>
          <w:sz w:val="16"/>
          <w:szCs w:val="16"/>
        </w:rPr>
        <w:t xml:space="preserve">上海证券报：上半年PE/VC募资。 </w:t>
      </w:r>
      <w:hyperlink w:history="1" r:id="rId1he-y9eyambtahxywlw5w">
        <w:r>
          <w:rPr>
            <w:rFonts w:ascii="Calibri" w:cs="Calibri" w:eastAsia="DengXian" w:hAnsi="Calibri"/>
            <w:color w:val="2E75B6"/>
            <w:sz w:val="15"/>
            <w:szCs w:val="15"/>
            <w:u w:val="single"/>
          </w:rPr>
          <w:t xml:space="preserve">m.cnstock.com</w:t>
        </w:r>
      </w:hyperlink>
    </w:p>
  </w:footnote>
  <w:footnote w:id="233">
    <w:p>
      <w:pPr>
        <w:spacing w:after="20" w:line="240"/>
      </w:pPr>
      <w:r>
        <w:rPr>
          <w:rStyle w:val="FootnoteReference"/>
        </w:rPr>
        <w:footnoteRef/>
      </w:r>
      <w:r>
        <w:rPr>
          <w:rFonts w:ascii="Calibri" w:cs="Calibri" w:eastAsia="DengXian" w:hAnsi="Calibri"/>
          <w:color w:val="374151"/>
          <w:sz w:val="16"/>
          <w:szCs w:val="16"/>
        </w:rPr>
        <w:t xml:space="preserve">Hedge Fund Alpha：Mastering the Market Cycle书评（第一部分）。 </w:t>
      </w:r>
      <w:hyperlink w:history="1" r:id="rId3suhj2u9wrbbjawda8qrh">
        <w:r>
          <w:rPr>
            <w:rFonts w:ascii="Calibri" w:cs="Calibri" w:eastAsia="DengXian" w:hAnsi="Calibri"/>
            <w:color w:val="2E75B6"/>
            <w:sz w:val="15"/>
            <w:szCs w:val="15"/>
            <w:u w:val="single"/>
          </w:rPr>
          <w:t xml:space="preserve">hedgefundalpha.com</w:t>
        </w:r>
      </w:hyperlink>
    </w:p>
  </w:footnote>
  <w:footnote w:id="234">
    <w:p>
      <w:pPr>
        <w:spacing w:after="20" w:line="240"/>
      </w:pPr>
      <w:r>
        <w:rPr>
          <w:rStyle w:val="FootnoteReference"/>
        </w:rPr>
        <w:footnoteRef/>
      </w:r>
      <w:r>
        <w:rPr>
          <w:rFonts w:ascii="Calibri" w:cs="Calibri" w:eastAsia="DengXian" w:hAnsi="Calibri"/>
          <w:color w:val="374151"/>
          <w:sz w:val="16"/>
          <w:szCs w:val="16"/>
        </w:rPr>
        <w:t xml:space="preserve">The Standard：高盛把中国2026年增长预测下调到4.5%。 </w:t>
      </w:r>
      <w:hyperlink w:history="1" r:id="rIdyvwaa96ujucojkesa-jp7">
        <w:r>
          <w:rPr>
            <w:rFonts w:ascii="Calibri" w:cs="Calibri" w:eastAsia="DengXian" w:hAnsi="Calibri"/>
            <w:color w:val="2E75B6"/>
            <w:sz w:val="15"/>
            <w:szCs w:val="15"/>
            <w:u w:val="single"/>
          </w:rPr>
          <w:t xml:space="preserve">thestandard.com.hk</w:t>
        </w:r>
      </w:hyperlink>
    </w:p>
  </w:footnote>
  <w:footnote w:id="235">
    <w:p>
      <w:pPr>
        <w:spacing w:after="20" w:line="240"/>
      </w:pPr>
      <w:r>
        <w:rPr>
          <w:rStyle w:val="FootnoteReference"/>
        </w:rPr>
        <w:footnoteRef/>
      </w:r>
      <w:r>
        <w:rPr>
          <w:rFonts w:ascii="Calibri" w:cs="Calibri" w:eastAsia="DengXian" w:hAnsi="Calibri"/>
          <w:color w:val="374151"/>
          <w:sz w:val="16"/>
          <w:szCs w:val="16"/>
        </w:rPr>
        <w:t xml:space="preserve">东方财富：新发基金募集情况（2026-10-02）。 </w:t>
      </w:r>
      <w:hyperlink w:history="1" r:id="rIdba-dtqao7icxr-drqcjdj">
        <w:r>
          <w:rPr>
            <w:rFonts w:ascii="Calibri" w:cs="Calibri" w:eastAsia="DengXian" w:hAnsi="Calibri"/>
            <w:color w:val="2E75B6"/>
            <w:sz w:val="15"/>
            <w:szCs w:val="15"/>
            <w:u w:val="single"/>
          </w:rPr>
          <w:t xml:space="preserve">finance.eastmoney.com</w:t>
        </w:r>
      </w:hyperlink>
    </w:p>
  </w:footnote>
  <w:footnote w:id="236">
    <w:p>
      <w:pPr>
        <w:spacing w:after="20" w:line="240"/>
      </w:pPr>
      <w:r>
        <w:rPr>
          <w:rStyle w:val="FootnoteReference"/>
        </w:rPr>
        <w:footnoteRef/>
      </w:r>
      <w:r>
        <w:rPr>
          <w:rFonts w:ascii="Calibri" w:cs="Calibri" w:eastAsia="DengXian" w:hAnsi="Calibri"/>
          <w:color w:val="374151"/>
          <w:sz w:val="16"/>
          <w:szCs w:val="16"/>
        </w:rPr>
        <w:t xml:space="preserve">21世纪经济报道：9月新发基金结构（2026-10-04）。 </w:t>
      </w:r>
      <w:hyperlink w:history="1" r:id="rIdvyhndbuknon3n9a438wdi">
        <w:r>
          <w:rPr>
            <w:rFonts w:ascii="Calibri" w:cs="Calibri" w:eastAsia="DengXian" w:hAnsi="Calibri"/>
            <w:color w:val="2E75B6"/>
            <w:sz w:val="15"/>
            <w:szCs w:val="15"/>
            <w:u w:val="single"/>
          </w:rPr>
          <w:t xml:space="preserve">m.21jingji.com</w:t>
        </w:r>
      </w:hyperlink>
    </w:p>
  </w:footnote>
  <w:footnote w:id="237">
    <w:p>
      <w:pPr>
        <w:spacing w:after="20" w:line="240"/>
      </w:pPr>
      <w:r>
        <w:rPr>
          <w:rStyle w:val="FootnoteReference"/>
        </w:rPr>
        <w:footnoteRef/>
      </w:r>
      <w:r>
        <w:rPr>
          <w:rFonts w:ascii="Calibri" w:cs="Calibri" w:eastAsia="DengXian" w:hAnsi="Calibri"/>
          <w:color w:val="374151"/>
          <w:sz w:val="16"/>
          <w:szCs w:val="16"/>
        </w:rPr>
        <w:t xml:space="preserve">东方财富（财联社）：美国30年期国债收益率升至5.62%（2026-09-30）。 </w:t>
      </w:r>
      <w:hyperlink w:history="1" r:id="rIdobyia3aqooixd_hjikkug">
        <w:r>
          <w:rPr>
            <w:rFonts w:ascii="Calibri" w:cs="Calibri" w:eastAsia="DengXian" w:hAnsi="Calibri"/>
            <w:color w:val="2E75B6"/>
            <w:sz w:val="15"/>
            <w:szCs w:val="15"/>
            <w:u w:val="single"/>
          </w:rPr>
          <w:t xml:space="preserve">finance.eastmoney.com</w:t>
        </w:r>
      </w:hyperlink>
    </w:p>
  </w:footnote>
  <w:footnote w:id="238">
    <w:p>
      <w:pPr>
        <w:spacing w:after="20" w:line="240"/>
      </w:pPr>
      <w:r>
        <w:rPr>
          <w:rStyle w:val="FootnoteReference"/>
        </w:rPr>
        <w:footnoteRef/>
      </w:r>
      <w:r>
        <w:rPr>
          <w:rFonts w:ascii="Calibri" w:cs="Calibri" w:eastAsia="DengXian" w:hAnsi="Calibri"/>
          <w:color w:val="374151"/>
          <w:sz w:val="16"/>
          <w:szCs w:val="16"/>
        </w:rPr>
        <w:t xml:space="preserve">Aure's Notes：Principles for Dealing with the Changing World Order摘要。 </w:t>
      </w:r>
      <w:hyperlink w:history="1" r:id="rIdrxqclr_lyax0m3qaqaxge">
        <w:r>
          <w:rPr>
            <w:rFonts w:ascii="Calibri" w:cs="Calibri" w:eastAsia="DengXian" w:hAnsi="Calibri"/>
            <w:color w:val="2E75B6"/>
            <w:sz w:val="15"/>
            <w:szCs w:val="15"/>
            <w:u w:val="single"/>
          </w:rPr>
          <w:t xml:space="preserve">auresnotes.com</w:t>
        </w:r>
      </w:hyperlink>
    </w:p>
  </w:footnote>
  <w:footnote w:id="239">
    <w:p>
      <w:pPr>
        <w:spacing w:after="20" w:line="240"/>
      </w:pPr>
      <w:r>
        <w:rPr>
          <w:rStyle w:val="FootnoteReference"/>
        </w:rPr>
        <w:footnoteRef/>
      </w:r>
      <w:r>
        <w:rPr>
          <w:rFonts w:ascii="Calibri" w:cs="Calibri" w:eastAsia="DengXian" w:hAnsi="Calibri"/>
          <w:color w:val="374151"/>
          <w:sz w:val="16"/>
          <w:szCs w:val="16"/>
        </w:rPr>
        <w:t xml:space="preserve">达利欧LinkedIn：内部秩序周期的六个阶段。 </w:t>
      </w:r>
      <w:hyperlink w:history="1" r:id="rIdqfp0ziq39lnsrjbr7qnmi">
        <w:r>
          <w:rPr>
            <w:rFonts w:ascii="Calibri" w:cs="Calibri" w:eastAsia="DengXian" w:hAnsi="Calibri"/>
            <w:color w:val="2E75B6"/>
            <w:sz w:val="15"/>
            <w:szCs w:val="15"/>
            <w:u w:val="single"/>
          </w:rPr>
          <w:t xml:space="preserve">linkedin.com</w:t>
        </w:r>
      </w:hyperlink>
    </w:p>
  </w:footnote>
  <w:footnote w:id="240">
    <w:p>
      <w:pPr>
        <w:spacing w:after="20" w:line="240"/>
      </w:pPr>
      <w:r>
        <w:rPr>
          <w:rStyle w:val="FootnoteReference"/>
        </w:rPr>
        <w:footnoteRef/>
      </w:r>
      <w:r>
        <w:rPr>
          <w:rFonts w:ascii="Calibri" w:cs="Calibri" w:eastAsia="DengXian" w:hAnsi="Calibri"/>
          <w:color w:val="374151"/>
          <w:sz w:val="16"/>
          <w:szCs w:val="16"/>
        </w:rPr>
        <w:t xml:space="preserve">ai-CIO：Ray Dalio is now ranking nations by their strengths and weaknesses（2022）。 </w:t>
      </w:r>
      <w:hyperlink w:history="1" r:id="rId4nokrqpu3xpvrydf1jvz7">
        <w:r>
          <w:rPr>
            <w:rFonts w:ascii="Calibri" w:cs="Calibri" w:eastAsia="DengXian" w:hAnsi="Calibri"/>
            <w:color w:val="2E75B6"/>
            <w:sz w:val="15"/>
            <w:szCs w:val="15"/>
            <w:u w:val="single"/>
          </w:rPr>
          <w:t xml:space="preserve">ai-cio.com</w:t>
        </w:r>
      </w:hyperlink>
    </w:p>
  </w:footnote>
  <w:footnote w:id="241">
    <w:p>
      <w:pPr>
        <w:spacing w:after="20" w:line="240"/>
      </w:pPr>
      <w:r>
        <w:rPr>
          <w:rStyle w:val="FootnoteReference"/>
        </w:rPr>
        <w:footnoteRef/>
      </w:r>
      <w:r>
        <w:rPr>
          <w:rFonts w:ascii="Calibri" w:cs="Calibri" w:eastAsia="DengXian" w:hAnsi="Calibri"/>
          <w:color w:val="374151"/>
          <w:sz w:val="16"/>
          <w:szCs w:val="16"/>
        </w:rPr>
        <w:t xml:space="preserve">Fortune：达利欧谈大周期与世界秩序（2026-03-14）。 </w:t>
      </w:r>
      <w:hyperlink w:history="1" r:id="rIddh7_oycjhqsekzzze1vzb">
        <w:r>
          <w:rPr>
            <w:rFonts w:ascii="Calibri" w:cs="Calibri" w:eastAsia="DengXian" w:hAnsi="Calibri"/>
            <w:color w:val="2E75B6"/>
            <w:sz w:val="15"/>
            <w:szCs w:val="15"/>
            <w:u w:val="single"/>
          </w:rPr>
          <w:t xml:space="preserve">fortune.com</w:t>
        </w:r>
      </w:hyperlink>
    </w:p>
  </w:footnote>
  <w:footnote w:id="242">
    <w:p>
      <w:pPr>
        <w:spacing w:after="20" w:line="240"/>
      </w:pPr>
      <w:r>
        <w:rPr>
          <w:rStyle w:val="FootnoteReference"/>
        </w:rPr>
        <w:footnoteRef/>
      </w:r>
      <w:r>
        <w:rPr>
          <w:rFonts w:ascii="Calibri" w:cs="Calibri" w:eastAsia="DengXian" w:hAnsi="Calibri"/>
          <w:color w:val="374151"/>
          <w:sz w:val="16"/>
          <w:szCs w:val="16"/>
        </w:rPr>
        <w:t xml:space="preserve">美国外交关系委员会（Brad Setser）：Is China's surplus really shrinking?。 </w:t>
      </w:r>
      <w:hyperlink w:history="1" r:id="rIdmtsprpvrwarxy_ad9nzo3">
        <w:r>
          <w:rPr>
            <w:rFonts w:ascii="Calibri" w:cs="Calibri" w:eastAsia="DengXian" w:hAnsi="Calibri"/>
            <w:color w:val="2E75B6"/>
            <w:sz w:val="15"/>
            <w:szCs w:val="15"/>
            <w:u w:val="single"/>
          </w:rPr>
          <w:t xml:space="preserve">cfr.org</w:t>
        </w:r>
      </w:hyperlink>
    </w:p>
  </w:footnote>
  <w:footnote w:id="243">
    <w:p>
      <w:pPr>
        <w:spacing w:after="20" w:line="240"/>
      </w:pPr>
      <w:r>
        <w:rPr>
          <w:rStyle w:val="FootnoteReference"/>
        </w:rPr>
        <w:footnoteRef/>
      </w:r>
      <w:r>
        <w:rPr>
          <w:rFonts w:ascii="Calibri" w:cs="Calibri" w:eastAsia="DengXian" w:hAnsi="Calibri"/>
          <w:color w:val="374151"/>
          <w:sz w:val="16"/>
          <w:szCs w:val="16"/>
        </w:rPr>
        <w:t xml:space="preserve">国际机器人联合会：2025年工业机器人装机（2026-09-24）。 </w:t>
      </w:r>
      <w:hyperlink w:history="1" r:id="rIdunjw77sjrqag-ogapqip-">
        <w:r>
          <w:rPr>
            <w:rFonts w:ascii="Calibri" w:cs="Calibri" w:eastAsia="DengXian" w:hAnsi="Calibri"/>
            <w:color w:val="2E75B6"/>
            <w:sz w:val="15"/>
            <w:szCs w:val="15"/>
            <w:u w:val="single"/>
          </w:rPr>
          <w:t xml:space="preserve">ifr.org</w:t>
        </w:r>
      </w:hyperlink>
    </w:p>
  </w:footnote>
  <w:footnote w:id="244">
    <w:p>
      <w:pPr>
        <w:spacing w:after="20" w:line="240"/>
      </w:pPr>
      <w:r>
        <w:rPr>
          <w:rStyle w:val="FootnoteReference"/>
        </w:rPr>
        <w:footnoteRef/>
      </w:r>
      <w:r>
        <w:rPr>
          <w:rFonts w:ascii="Calibri" w:cs="Calibri" w:eastAsia="DengXian" w:hAnsi="Calibri"/>
          <w:color w:val="374151"/>
          <w:sz w:val="16"/>
          <w:szCs w:val="16"/>
        </w:rPr>
        <w:t xml:space="preserve">CNBC：中国开源模型的全球使用（2026-09-26）。 </w:t>
      </w:r>
      <w:hyperlink w:history="1" r:id="rIdalixulg24akzefvrvrfm5">
        <w:r>
          <w:rPr>
            <w:rFonts w:ascii="Calibri" w:cs="Calibri" w:eastAsia="DengXian" w:hAnsi="Calibri"/>
            <w:color w:val="2E75B6"/>
            <w:sz w:val="15"/>
            <w:szCs w:val="15"/>
            <w:u w:val="single"/>
          </w:rPr>
          <w:t xml:space="preserve">cnbc.com</w:t>
        </w:r>
      </w:hyperlink>
    </w:p>
  </w:footnote>
  <w:footnote w:id="245">
    <w:p>
      <w:pPr>
        <w:spacing w:after="20" w:line="240"/>
      </w:pPr>
      <w:r>
        <w:rPr>
          <w:rStyle w:val="FootnoteReference"/>
        </w:rPr>
        <w:footnoteRef/>
      </w:r>
      <w:r>
        <w:rPr>
          <w:rFonts w:ascii="Calibri" w:cs="Calibri" w:eastAsia="DengXian" w:hAnsi="Calibri"/>
          <w:color w:val="374151"/>
          <w:sz w:val="16"/>
          <w:szCs w:val="16"/>
        </w:rPr>
        <w:t xml:space="preserve">首尔经济：中国AI芯片自给率（2026-04-17）。 </w:t>
      </w:r>
      <w:hyperlink w:history="1" r:id="rIdcrxiza8s6qziqfptqlbcs">
        <w:r>
          <w:rPr>
            <w:rFonts w:ascii="Calibri" w:cs="Calibri" w:eastAsia="DengXian" w:hAnsi="Calibri"/>
            <w:color w:val="2E75B6"/>
            <w:sz w:val="15"/>
            <w:szCs w:val="15"/>
            <w:u w:val="single"/>
          </w:rPr>
          <w:t xml:space="preserve">en.sedaily.com</w:t>
        </w:r>
      </w:hyperlink>
    </w:p>
  </w:footnote>
  <w:footnote w:id="246">
    <w:p>
      <w:pPr>
        <w:spacing w:after="20" w:line="240"/>
      </w:pPr>
      <w:r>
        <w:rPr>
          <w:rStyle w:val="FootnoteReference"/>
        </w:rPr>
        <w:footnoteRef/>
      </w:r>
      <w:r>
        <w:rPr>
          <w:rFonts w:ascii="Calibri" w:cs="Calibri" w:eastAsia="DengXian" w:hAnsi="Calibri"/>
          <w:color w:val="374151"/>
          <w:sz w:val="16"/>
          <w:szCs w:val="16"/>
        </w:rPr>
        <w:t xml:space="preserve">TechTimes：中芯国际先进制程良率（2026-08-24）。 </w:t>
      </w:r>
      <w:hyperlink w:history="1" r:id="rIdb0ppt9ekauzhptkgwpt9u">
        <w:r>
          <w:rPr>
            <w:rFonts w:ascii="Calibri" w:cs="Calibri" w:eastAsia="DengXian" w:hAnsi="Calibri"/>
            <w:color w:val="2E75B6"/>
            <w:sz w:val="15"/>
            <w:szCs w:val="15"/>
            <w:u w:val="single"/>
          </w:rPr>
          <w:t xml:space="preserve">techtimes.com</w:t>
        </w:r>
      </w:hyperlink>
    </w:p>
  </w:footnote>
  <w:footnote w:id="247">
    <w:p>
      <w:pPr>
        <w:spacing w:after="20" w:line="240"/>
      </w:pPr>
      <w:r>
        <w:rPr>
          <w:rStyle w:val="FootnoteReference"/>
        </w:rPr>
        <w:footnoteRef/>
      </w:r>
      <w:r>
        <w:rPr>
          <w:rFonts w:ascii="Calibri" w:cs="Calibri" w:eastAsia="DengXian" w:hAnsi="Calibri"/>
          <w:color w:val="374151"/>
          <w:sz w:val="16"/>
          <w:szCs w:val="16"/>
        </w:rPr>
        <w:t xml:space="preserve">IMF：《世界经济展望》2026年7月更新。 </w:t>
      </w:r>
      <w:hyperlink w:history="1" r:id="rId-ysiwlvu7vfjzidyqweom">
        <w:r>
          <w:rPr>
            <w:rFonts w:ascii="Calibri" w:cs="Calibri" w:eastAsia="DengXian" w:hAnsi="Calibri"/>
            <w:color w:val="2E75B6"/>
            <w:sz w:val="15"/>
            <w:szCs w:val="15"/>
            <w:u w:val="single"/>
          </w:rPr>
          <w:t xml:space="preserve">imf.org</w:t>
        </w:r>
      </w:hyperlink>
    </w:p>
  </w:footnote>
  <w:footnote w:id="248">
    <w:p>
      <w:pPr>
        <w:spacing w:after="20" w:line="240"/>
      </w:pPr>
      <w:r>
        <w:rPr>
          <w:rStyle w:val="FootnoteReference"/>
        </w:rPr>
        <w:footnoteRef/>
      </w:r>
      <w:r>
        <w:rPr>
          <w:rFonts w:ascii="Calibri" w:cs="Calibri" w:eastAsia="DengXian" w:hAnsi="Calibri"/>
          <w:color w:val="374151"/>
          <w:sz w:val="16"/>
          <w:szCs w:val="16"/>
        </w:rPr>
        <w:t xml:space="preserve">国家外汇管理局：2026年二季度国际收支（2026-09-29）。 </w:t>
      </w:r>
      <w:hyperlink w:history="1" r:id="rIdlbkrvq4gyvxqventttekn">
        <w:r>
          <w:rPr>
            <w:rFonts w:ascii="Calibri" w:cs="Calibri" w:eastAsia="DengXian" w:hAnsi="Calibri"/>
            <w:color w:val="2E75B6"/>
            <w:sz w:val="15"/>
            <w:szCs w:val="15"/>
            <w:u w:val="single"/>
          </w:rPr>
          <w:t xml:space="preserve">safe.gov.cn</w:t>
        </w:r>
      </w:hyperlink>
    </w:p>
  </w:footnote>
  <w:footnote w:id="249">
    <w:p>
      <w:pPr>
        <w:spacing w:after="20" w:line="240"/>
      </w:pPr>
      <w:r>
        <w:rPr>
          <w:rStyle w:val="FootnoteReference"/>
        </w:rPr>
        <w:footnoteRef/>
      </w:r>
      <w:r>
        <w:rPr>
          <w:rFonts w:ascii="Calibri" w:cs="Calibri" w:eastAsia="DengXian" w:hAnsi="Calibri"/>
          <w:color w:val="374151"/>
          <w:sz w:val="16"/>
          <w:szCs w:val="16"/>
        </w:rPr>
        <w:t xml:space="preserve">桥水：How Countries Go Broke第四部分（指标）。 </w:t>
      </w:r>
      <w:hyperlink w:history="1" r:id="rId4j0pnpuil0a-rjemb-nse">
        <w:r>
          <w:rPr>
            <w:rFonts w:ascii="Calibri" w:cs="Calibri" w:eastAsia="DengXian" w:hAnsi="Calibri"/>
            <w:color w:val="2E75B6"/>
            <w:sz w:val="15"/>
            <w:szCs w:val="15"/>
            <w:u w:val="single"/>
          </w:rPr>
          <w:t xml:space="preserve">economicprinciples.org</w:t>
        </w:r>
      </w:hyperlink>
    </w:p>
  </w:footnote>
  <w:footnote w:id="250">
    <w:p>
      <w:pPr>
        <w:spacing w:after="20" w:line="240"/>
      </w:pPr>
      <w:r>
        <w:rPr>
          <w:rStyle w:val="FootnoteReference"/>
        </w:rPr>
        <w:footnoteRef/>
      </w:r>
      <w:r>
        <w:rPr>
          <w:rFonts w:ascii="Calibri" w:cs="Calibri" w:eastAsia="DengXian" w:hAnsi="Calibri"/>
          <w:color w:val="374151"/>
          <w:sz w:val="16"/>
          <w:szCs w:val="16"/>
        </w:rPr>
        <w:t xml:space="preserve">Trade Treasury Payments：SWIFT全球货币追踪（2026-07）。 </w:t>
      </w:r>
      <w:hyperlink w:history="1" r:id="rIdrqvcjuimzhzgic03bkndc">
        <w:r>
          <w:rPr>
            <w:rFonts w:ascii="Calibri" w:cs="Calibri" w:eastAsia="DengXian" w:hAnsi="Calibri"/>
            <w:color w:val="2E75B6"/>
            <w:sz w:val="15"/>
            <w:szCs w:val="15"/>
            <w:u w:val="single"/>
          </w:rPr>
          <w:t xml:space="preserve">tradetreasurypayments.com</w:t>
        </w:r>
      </w:hyperlink>
    </w:p>
  </w:footnote>
  <w:footnote w:id="251">
    <w:p>
      <w:pPr>
        <w:spacing w:after="20" w:line="240"/>
      </w:pPr>
      <w:r>
        <w:rPr>
          <w:rStyle w:val="FootnoteReference"/>
        </w:rPr>
        <w:footnoteRef/>
      </w:r>
      <w:r>
        <w:rPr>
          <w:rFonts w:ascii="Calibri" w:cs="Calibri" w:eastAsia="DengXian" w:hAnsi="Calibri"/>
          <w:color w:val="374151"/>
          <w:sz w:val="16"/>
          <w:szCs w:val="16"/>
        </w:rPr>
        <w:t xml:space="preserve">Kitco：中国央行9月增持黄金（2026-10-07）。 </w:t>
      </w:r>
      <w:hyperlink w:history="1" r:id="rIdjw2hm9oed0egcaab99gem">
        <w:r>
          <w:rPr>
            <w:rFonts w:ascii="Calibri" w:cs="Calibri" w:eastAsia="DengXian" w:hAnsi="Calibri"/>
            <w:color w:val="2E75B6"/>
            <w:sz w:val="15"/>
            <w:szCs w:val="15"/>
            <w:u w:val="single"/>
          </w:rPr>
          <w:t xml:space="preserve">kitco.com</w:t>
        </w:r>
      </w:hyperlink>
    </w:p>
  </w:footnote>
  <w:footnote w:id="252">
    <w:p>
      <w:pPr>
        <w:spacing w:after="20" w:line="240"/>
      </w:pPr>
      <w:r>
        <w:rPr>
          <w:rStyle w:val="FootnoteReference"/>
        </w:rPr>
        <w:footnoteRef/>
      </w:r>
      <w:r>
        <w:rPr>
          <w:rFonts w:ascii="Calibri" w:cs="Calibri" w:eastAsia="DengXian" w:hAnsi="Calibri"/>
          <w:color w:val="374151"/>
          <w:sz w:val="16"/>
          <w:szCs w:val="16"/>
        </w:rPr>
        <w:t xml:space="preserve">Yahoo Finance：中国持有美债规模。 </w:t>
      </w:r>
      <w:hyperlink w:history="1" r:id="rIdzhwrdoiqwf-pbrjz0ptmn">
        <w:r>
          <w:rPr>
            <w:rFonts w:ascii="Calibri" w:cs="Calibri" w:eastAsia="DengXian" w:hAnsi="Calibri"/>
            <w:color w:val="2E75B6"/>
            <w:sz w:val="15"/>
            <w:szCs w:val="15"/>
            <w:u w:val="single"/>
          </w:rPr>
          <w:t xml:space="preserve">finance.yahoo.com</w:t>
        </w:r>
      </w:hyperlink>
    </w:p>
  </w:footnote>
  <w:footnote w:id="253">
    <w:p>
      <w:pPr>
        <w:spacing w:after="20" w:line="240"/>
      </w:pPr>
      <w:r>
        <w:rPr>
          <w:rStyle w:val="FootnoteReference"/>
        </w:rPr>
        <w:footnoteRef/>
      </w:r>
      <w:r>
        <w:rPr>
          <w:rFonts w:ascii="Calibri" w:cs="Calibri" w:eastAsia="DengXian" w:hAnsi="Calibri"/>
          <w:color w:val="374151"/>
          <w:sz w:val="16"/>
          <w:szCs w:val="16"/>
        </w:rPr>
        <w:t xml:space="preserve">国家统计局：2025年人口数据解读（2026-01-19）。 </w:t>
      </w:r>
      <w:hyperlink w:history="1" r:id="rId9rmwmh3qghoyi-biobx9w">
        <w:r>
          <w:rPr>
            <w:rFonts w:ascii="Calibri" w:cs="Calibri" w:eastAsia="DengXian" w:hAnsi="Calibri"/>
            <w:color w:val="2E75B6"/>
            <w:sz w:val="15"/>
            <w:szCs w:val="15"/>
            <w:u w:val="single"/>
          </w:rPr>
          <w:t xml:space="preserve">stats.gov.cn</w:t>
        </w:r>
      </w:hyperlink>
    </w:p>
  </w:footnote>
  <w:footnote w:id="254">
    <w:p>
      <w:pPr>
        <w:spacing w:after="20" w:line="240"/>
      </w:pPr>
      <w:r>
        <w:rPr>
          <w:rStyle w:val="FootnoteReference"/>
        </w:rPr>
        <w:footnoteRef/>
      </w:r>
      <w:r>
        <w:rPr>
          <w:rFonts w:ascii="Calibri" w:cs="Calibri" w:eastAsia="DengXian" w:hAnsi="Calibri"/>
          <w:color w:val="374151"/>
          <w:sz w:val="16"/>
          <w:szCs w:val="16"/>
        </w:rPr>
        <w:t xml:space="preserve">达利欧Substack：The Tribute System（2026-06）。 </w:t>
      </w:r>
      <w:hyperlink w:history="1" r:id="rIdu1czttuxro7becarlmpu8">
        <w:r>
          <w:rPr>
            <w:rFonts w:ascii="Calibri" w:cs="Calibri" w:eastAsia="DengXian" w:hAnsi="Calibri"/>
            <w:color w:val="2E75B6"/>
            <w:sz w:val="15"/>
            <w:szCs w:val="15"/>
            <w:u w:val="single"/>
          </w:rPr>
          <w:t xml:space="preserve">raydalio.substack.com</w:t>
        </w:r>
      </w:hyperlink>
    </w:p>
  </w:footnote>
  <w:footnote w:id="255">
    <w:p>
      <w:pPr>
        <w:spacing w:after="20" w:line="240"/>
      </w:pPr>
      <w:r>
        <w:rPr>
          <w:rStyle w:val="FootnoteReference"/>
        </w:rPr>
        <w:footnoteRef/>
      </w:r>
      <w:r>
        <w:rPr>
          <w:rFonts w:ascii="Calibri" w:cs="Calibri" w:eastAsia="DengXian" w:hAnsi="Calibri"/>
          <w:color w:val="374151"/>
          <w:sz w:val="16"/>
          <w:szCs w:val="16"/>
        </w:rPr>
        <w:t xml:space="preserve">CNBC：中美休战延长（2026-09-24）。 </w:t>
      </w:r>
      <w:hyperlink w:history="1" r:id="rIdjd-3hgdwebfbmin3tmstr">
        <w:r>
          <w:rPr>
            <w:rFonts w:ascii="Calibri" w:cs="Calibri" w:eastAsia="DengXian" w:hAnsi="Calibri"/>
            <w:color w:val="2E75B6"/>
            <w:sz w:val="15"/>
            <w:szCs w:val="15"/>
            <w:u w:val="single"/>
          </w:rPr>
          <w:t xml:space="preserve">cnbc.com</w:t>
        </w:r>
      </w:hyperlink>
    </w:p>
  </w:footnote>
  <w:footnote w:id="256">
    <w:p>
      <w:pPr>
        <w:spacing w:after="20" w:line="240"/>
      </w:pPr>
      <w:r>
        <w:rPr>
          <w:rStyle w:val="FootnoteReference"/>
        </w:rPr>
        <w:footnoteRef/>
      </w:r>
      <w:r>
        <w:rPr>
          <w:rFonts w:ascii="Calibri" w:cs="Calibri" w:eastAsia="DengXian" w:hAnsi="Calibri"/>
          <w:color w:val="374151"/>
          <w:sz w:val="16"/>
          <w:szCs w:val="16"/>
        </w:rPr>
        <w:t xml:space="preserve">Axios：中美各提约300亿美元降税清单（2026-09-26）。 </w:t>
      </w:r>
      <w:hyperlink w:history="1" r:id="rIdb0z87lrijoupub05wvxyr">
        <w:r>
          <w:rPr>
            <w:rFonts w:ascii="Calibri" w:cs="Calibri" w:eastAsia="DengXian" w:hAnsi="Calibri"/>
            <w:color w:val="2E75B6"/>
            <w:sz w:val="15"/>
            <w:szCs w:val="15"/>
            <w:u w:val="single"/>
          </w:rPr>
          <w:t xml:space="preserve">axios.com</w:t>
        </w:r>
      </w:hyperlink>
    </w:p>
  </w:footnote>
  <w:footnote w:id="257">
    <w:p>
      <w:pPr>
        <w:spacing w:after="20" w:line="240"/>
      </w:pPr>
      <w:r>
        <w:rPr>
          <w:rStyle w:val="FootnoteReference"/>
        </w:rPr>
        <w:footnoteRef/>
      </w:r>
      <w:r>
        <w:rPr>
          <w:rFonts w:ascii="Calibri" w:cs="Calibri" w:eastAsia="DengXian" w:hAnsi="Calibri"/>
          <w:color w:val="374151"/>
          <w:sz w:val="16"/>
          <w:szCs w:val="16"/>
        </w:rPr>
        <w:t xml:space="preserve">美国国会研究处：中美关税（2026-07）。 </w:t>
      </w:r>
      <w:hyperlink w:history="1" r:id="rIdzs46m_mzivcpozjlyvhpt">
        <w:r>
          <w:rPr>
            <w:rFonts w:ascii="Calibri" w:cs="Calibri" w:eastAsia="DengXian" w:hAnsi="Calibri"/>
            <w:color w:val="2E75B6"/>
            <w:sz w:val="15"/>
            <w:szCs w:val="15"/>
            <w:u w:val="single"/>
          </w:rPr>
          <w:t xml:space="preserve">congress.gov</w:t>
        </w:r>
      </w:hyperlink>
    </w:p>
  </w:footnote>
  <w:footnote w:id="258">
    <w:p>
      <w:pPr>
        <w:spacing w:after="20" w:line="240"/>
      </w:pPr>
      <w:r>
        <w:rPr>
          <w:rStyle w:val="FootnoteReference"/>
        </w:rPr>
        <w:footnoteRef/>
      </w:r>
      <w:r>
        <w:rPr>
          <w:rFonts w:ascii="Calibri" w:cs="Calibri" w:eastAsia="DengXian" w:hAnsi="Calibri"/>
          <w:color w:val="374151"/>
          <w:sz w:val="16"/>
          <w:szCs w:val="16"/>
        </w:rPr>
        <w:t xml:space="preserve">首尔经济：美国将在数周内对产能过剩采取行动（2026-10-02）。 </w:t>
      </w:r>
      <w:hyperlink w:history="1" r:id="rIdukrygbvkevnaq9mgwh-dl">
        <w:r>
          <w:rPr>
            <w:rFonts w:ascii="Calibri" w:cs="Calibri" w:eastAsia="DengXian" w:hAnsi="Calibri"/>
            <w:color w:val="2E75B6"/>
            <w:sz w:val="15"/>
            <w:szCs w:val="15"/>
            <w:u w:val="single"/>
          </w:rPr>
          <w:t xml:space="preserve">en.sedaily.com</w:t>
        </w:r>
      </w:hyperlink>
    </w:p>
  </w:footnote>
  <w:footnote w:id="259">
    <w:p>
      <w:pPr>
        <w:spacing w:after="20" w:line="240"/>
      </w:pPr>
      <w:r>
        <w:rPr>
          <w:rStyle w:val="FootnoteReference"/>
        </w:rPr>
        <w:footnoteRef/>
      </w:r>
      <w:r>
        <w:rPr>
          <w:rFonts w:ascii="Calibri" w:cs="Calibri" w:eastAsia="DengXian" w:hAnsi="Calibri"/>
          <w:color w:val="374151"/>
          <w:sz w:val="16"/>
          <w:szCs w:val="16"/>
        </w:rPr>
        <w:t xml:space="preserve">The Information：中国限制采购英伟达芯片。 </w:t>
      </w:r>
      <w:hyperlink w:history="1" r:id="rIdxihbgizxosu6l1ikpyblp">
        <w:r>
          <w:rPr>
            <w:rFonts w:ascii="Calibri" w:cs="Calibri" w:eastAsia="DengXian" w:hAnsi="Calibri"/>
            <w:color w:val="2E75B6"/>
            <w:sz w:val="15"/>
            <w:szCs w:val="15"/>
            <w:u w:val="single"/>
          </w:rPr>
          <w:t xml:space="preserve">theinformation.com</w:t>
        </w:r>
      </w:hyperlink>
    </w:p>
  </w:footnote>
  <w:footnote w:id="260">
    <w:p>
      <w:pPr>
        <w:spacing w:after="20" w:line="240"/>
      </w:pPr>
      <w:r>
        <w:rPr>
          <w:rStyle w:val="FootnoteReference"/>
        </w:rPr>
        <w:footnoteRef/>
      </w:r>
      <w:r>
        <w:rPr>
          <w:rFonts w:ascii="Calibri" w:cs="Calibri" w:eastAsia="DengXian" w:hAnsi="Calibri"/>
          <w:color w:val="374151"/>
          <w:sz w:val="16"/>
          <w:szCs w:val="16"/>
        </w:rPr>
        <w:t xml:space="preserve">Business Standard：对台军售包仍被搁置（2026-09-29）。 </w:t>
      </w:r>
      <w:hyperlink w:history="1" r:id="rIdpbz2kok01uaeoqbkpeeyj">
        <w:r>
          <w:rPr>
            <w:rFonts w:ascii="Calibri" w:cs="Calibri" w:eastAsia="DengXian" w:hAnsi="Calibri"/>
            <w:color w:val="2E75B6"/>
            <w:sz w:val="15"/>
            <w:szCs w:val="15"/>
            <w:u w:val="single"/>
          </w:rPr>
          <w:t xml:space="preserve">business-standard.com</w:t>
        </w:r>
      </w:hyperlink>
    </w:p>
  </w:footnote>
  <w:footnote w:id="261">
    <w:p>
      <w:pPr>
        <w:spacing w:after="20" w:line="240"/>
      </w:pPr>
      <w:r>
        <w:rPr>
          <w:rStyle w:val="FootnoteReference"/>
        </w:rPr>
        <w:footnoteRef/>
      </w:r>
      <w:r>
        <w:rPr>
          <w:rFonts w:ascii="Calibri" w:cs="Calibri" w:eastAsia="DengXian" w:hAnsi="Calibri"/>
          <w:color w:val="374151"/>
          <w:sz w:val="16"/>
          <w:szCs w:val="16"/>
        </w:rPr>
        <w:t xml:space="preserve">美联社（Jamaica Gleaner转载）：US and Israel strike Iran（2026-02-28）。 </w:t>
      </w:r>
      <w:hyperlink w:history="1" r:id="rIditjqurykkph8-ey1q8e9p">
        <w:r>
          <w:rPr>
            <w:rFonts w:ascii="Calibri" w:cs="Calibri" w:eastAsia="DengXian" w:hAnsi="Calibri"/>
            <w:color w:val="2E75B6"/>
            <w:sz w:val="15"/>
            <w:szCs w:val="15"/>
            <w:u w:val="single"/>
          </w:rPr>
          <w:t xml:space="preserve">jamaica-gleaner.com</w:t>
        </w:r>
      </w:hyperlink>
    </w:p>
  </w:footnote>
  <w:footnote w:id="262">
    <w:p>
      <w:pPr>
        <w:spacing w:after="20" w:line="240"/>
      </w:pPr>
      <w:r>
        <w:rPr>
          <w:rStyle w:val="FootnoteReference"/>
        </w:rPr>
        <w:footnoteRef/>
      </w:r>
      <w:r>
        <w:rPr>
          <w:rFonts w:ascii="Calibri" w:cs="Calibri" w:eastAsia="DengXian" w:hAnsi="Calibri"/>
          <w:color w:val="374151"/>
          <w:sz w:val="16"/>
          <w:szCs w:val="16"/>
        </w:rPr>
        <w:t xml:space="preserve">CNBC：伊朗战争与霍尔木兹海峡（2026-10-07）。 </w:t>
      </w:r>
      <w:hyperlink w:history="1" r:id="rId9al9qmriblbw6sbzpfgsw">
        <w:r>
          <w:rPr>
            <w:rFonts w:ascii="Calibri" w:cs="Calibri" w:eastAsia="DengXian" w:hAnsi="Calibri"/>
            <w:color w:val="2E75B6"/>
            <w:sz w:val="15"/>
            <w:szCs w:val="15"/>
            <w:u w:val="single"/>
          </w:rPr>
          <w:t xml:space="preserve">cnbc.com</w:t>
        </w:r>
      </w:hyperlink>
    </w:p>
  </w:footnote>
  <w:footnote w:id="263">
    <w:p>
      <w:pPr>
        <w:spacing w:after="20" w:line="240"/>
      </w:pPr>
      <w:r>
        <w:rPr>
          <w:rStyle w:val="FootnoteReference"/>
        </w:rPr>
        <w:footnoteRef/>
      </w:r>
      <w:r>
        <w:rPr>
          <w:rFonts w:ascii="Calibri" w:cs="Calibri" w:eastAsia="DengXian" w:hAnsi="Calibri"/>
          <w:color w:val="374151"/>
          <w:sz w:val="16"/>
          <w:szCs w:val="16"/>
        </w:rPr>
        <w:t xml:space="preserve">Trading Economics：布伦特原油。 </w:t>
      </w:r>
      <w:hyperlink w:history="1" r:id="rIdazv5jkgwxr8gsqfukg5pl">
        <w:r>
          <w:rPr>
            <w:rFonts w:ascii="Calibri" w:cs="Calibri" w:eastAsia="DengXian" w:hAnsi="Calibri"/>
            <w:color w:val="2E75B6"/>
            <w:sz w:val="15"/>
            <w:szCs w:val="15"/>
            <w:u w:val="single"/>
          </w:rPr>
          <w:t xml:space="preserve">tradingeconomics.com</w:t>
        </w:r>
      </w:hyperlink>
    </w:p>
  </w:footnote>
  <w:footnote w:id="264">
    <w:p>
      <w:pPr>
        <w:spacing w:after="20" w:line="240"/>
      </w:pPr>
      <w:r>
        <w:rPr>
          <w:rStyle w:val="FootnoteReference"/>
        </w:rPr>
        <w:footnoteRef/>
      </w:r>
      <w:r>
        <w:rPr>
          <w:rFonts w:ascii="Calibri" w:cs="Calibri" w:eastAsia="DengXian" w:hAnsi="Calibri"/>
          <w:color w:val="374151"/>
          <w:sz w:val="16"/>
          <w:szCs w:val="16"/>
        </w:rPr>
        <w:t xml:space="preserve">CNBC：美联储9月议息决议（2026-09-16）。 </w:t>
      </w:r>
      <w:hyperlink w:history="1" r:id="rIdlpmkttdauzjdjfwqkm_jh">
        <w:r>
          <w:rPr>
            <w:rFonts w:ascii="Calibri" w:cs="Calibri" w:eastAsia="DengXian" w:hAnsi="Calibri"/>
            <w:color w:val="2E75B6"/>
            <w:sz w:val="15"/>
            <w:szCs w:val="15"/>
            <w:u w:val="single"/>
          </w:rPr>
          <w:t xml:space="preserve">cnbc.com</w:t>
        </w:r>
      </w:hyperlink>
    </w:p>
  </w:footnote>
  <w:footnote w:id="265">
    <w:p>
      <w:pPr>
        <w:spacing w:after="20" w:line="240"/>
      </w:pPr>
      <w:r>
        <w:rPr>
          <w:rStyle w:val="FootnoteReference"/>
        </w:rPr>
        <w:footnoteRef/>
      </w:r>
      <w:r>
        <w:rPr>
          <w:rFonts w:ascii="Calibri" w:cs="Calibri" w:eastAsia="DengXian" w:hAnsi="Calibri"/>
          <w:color w:val="374151"/>
          <w:sz w:val="16"/>
          <w:szCs w:val="16"/>
        </w:rPr>
        <w:t xml:space="preserve">usmacro：美元指数。 </w:t>
      </w:r>
      <w:hyperlink w:history="1" r:id="rIdtlmrvpkzeojzm25n5up2h">
        <w:r>
          <w:rPr>
            <w:rFonts w:ascii="Calibri" w:cs="Calibri" w:eastAsia="DengXian" w:hAnsi="Calibri"/>
            <w:color w:val="2E75B6"/>
            <w:sz w:val="15"/>
            <w:szCs w:val="15"/>
            <w:u w:val="single"/>
          </w:rPr>
          <w:t xml:space="preserve">usmacro.com</w:t>
        </w:r>
      </w:hyperlink>
    </w:p>
  </w:footnote>
  <w:footnote w:id="266">
    <w:p>
      <w:pPr>
        <w:spacing w:after="20" w:line="240"/>
      </w:pPr>
      <w:r>
        <w:rPr>
          <w:rStyle w:val="FootnoteReference"/>
        </w:rPr>
        <w:footnoteRef/>
      </w:r>
      <w:r>
        <w:rPr>
          <w:rFonts w:ascii="Calibri" w:cs="Calibri" w:eastAsia="DengXian" w:hAnsi="Calibri"/>
          <w:color w:val="374151"/>
          <w:sz w:val="16"/>
          <w:szCs w:val="16"/>
        </w:rPr>
        <w:t xml:space="preserve">金价数据（单一来源）：COMEX期金纪录与近期价格。 </w:t>
      </w:r>
      <w:hyperlink w:history="1" r:id="rIdsv07dbxmxnye7plugobfj">
        <w:r>
          <w:rPr>
            <w:rFonts w:ascii="Calibri" w:cs="Calibri" w:eastAsia="DengXian" w:hAnsi="Calibri"/>
            <w:color w:val="2E75B6"/>
            <w:sz w:val="15"/>
            <w:szCs w:val="15"/>
            <w:u w:val="single"/>
          </w:rPr>
          <w:t xml:space="preserve">thetrading.tools</w:t>
        </w:r>
      </w:hyperlink>
    </w:p>
  </w:footnote>
  <w:footnote w:id="267">
    <w:p>
      <w:pPr>
        <w:spacing w:after="20" w:line="240"/>
      </w:pPr>
      <w:r>
        <w:rPr>
          <w:rStyle w:val="FootnoteReference"/>
        </w:rPr>
        <w:footnoteRef/>
      </w:r>
      <w:r>
        <w:rPr>
          <w:rFonts w:ascii="Calibri" w:cs="Calibri" w:eastAsia="DengXian" w:hAnsi="Calibri"/>
          <w:color w:val="374151"/>
          <w:sz w:val="16"/>
          <w:szCs w:val="16"/>
        </w:rPr>
        <w:t xml:space="preserve">ING：CNY at a glance，2026年下半年展望。 </w:t>
      </w:r>
      <w:hyperlink w:history="1" r:id="rIduj-spsmha_tc6is2ytqnz">
        <w:r>
          <w:rPr>
            <w:rFonts w:ascii="Calibri" w:cs="Calibri" w:eastAsia="DengXian" w:hAnsi="Calibri"/>
            <w:color w:val="2E75B6"/>
            <w:sz w:val="15"/>
            <w:szCs w:val="15"/>
            <w:u w:val="single"/>
          </w:rPr>
          <w:t xml:space="preserve">think.ing.com</w:t>
        </w:r>
      </w:hyperlink>
    </w:p>
  </w:footnote>
  <w:footnote w:id="268">
    <w:p>
      <w:pPr>
        <w:spacing w:after="20" w:line="240"/>
      </w:pPr>
      <w:r>
        <w:rPr>
          <w:rStyle w:val="FootnoteReference"/>
        </w:rPr>
        <w:footnoteRef/>
      </w:r>
      <w:r>
        <w:rPr>
          <w:rFonts w:ascii="Calibri" w:cs="Calibri" w:eastAsia="DengXian" w:hAnsi="Calibri"/>
          <w:color w:val="374151"/>
          <w:sz w:val="16"/>
          <w:szCs w:val="16"/>
        </w:rPr>
        <w:t xml:space="preserve">FXC Intelligence：人民币跨境支付系统交易量（2026）。 </w:t>
      </w:r>
      <w:hyperlink w:history="1" r:id="rId7shbjgxywhemkazqoznbu">
        <w:r>
          <w:rPr>
            <w:rFonts w:ascii="Calibri" w:cs="Calibri" w:eastAsia="DengXian" w:hAnsi="Calibri"/>
            <w:color w:val="2E75B6"/>
            <w:sz w:val="15"/>
            <w:szCs w:val="15"/>
            <w:u w:val="single"/>
          </w:rPr>
          <w:t xml:space="preserve">fxcintel.com</w:t>
        </w:r>
      </w:hyperlink>
    </w:p>
  </w:footnote>
  <w:footnote w:id="269">
    <w:p>
      <w:pPr>
        <w:spacing w:after="20" w:line="240"/>
      </w:pPr>
      <w:r>
        <w:rPr>
          <w:rStyle w:val="FootnoteReference"/>
        </w:rPr>
        <w:footnoteRef/>
      </w:r>
      <w:r>
        <w:rPr>
          <w:rFonts w:ascii="Calibri" w:cs="Calibri" w:eastAsia="DengXian" w:hAnsi="Calibri"/>
          <w:color w:val="374151"/>
          <w:sz w:val="16"/>
          <w:szCs w:val="16"/>
        </w:rPr>
        <w:t xml:space="preserve">Bloomberg：Ray Dalio warns China, Japan may pull back from US Treasuries（2026-10-06）。 </w:t>
      </w:r>
      <w:hyperlink w:history="1" r:id="rIdnukw8aqimazs1lqezahdg">
        <w:r>
          <w:rPr>
            <w:rFonts w:ascii="Calibri" w:cs="Calibri" w:eastAsia="DengXian" w:hAnsi="Calibri"/>
            <w:color w:val="2E75B6"/>
            <w:sz w:val="15"/>
            <w:szCs w:val="15"/>
            <w:u w:val="single"/>
          </w:rPr>
          <w:t xml:space="preserve">bloomberg.com</w:t>
        </w:r>
      </w:hyperlink>
    </w:p>
  </w:footnote>
  <w:footnote w:id="270">
    <w:p>
      <w:pPr>
        <w:spacing w:after="20" w:line="240"/>
      </w:pPr>
      <w:r>
        <w:rPr>
          <w:rStyle w:val="FootnoteReference"/>
        </w:rPr>
        <w:footnoteRef/>
      </w:r>
      <w:r>
        <w:rPr>
          <w:rFonts w:ascii="Calibri" w:cs="Calibri" w:eastAsia="DengXian" w:hAnsi="Calibri"/>
          <w:color w:val="374151"/>
          <w:sz w:val="16"/>
          <w:szCs w:val="16"/>
        </w:rPr>
        <w:t xml:space="preserve">The Market Mentor：How Countries Go Broke的五个阶段。 </w:t>
      </w:r>
      <w:hyperlink w:history="1" r:id="rIdw9nhr-vzuni6dyp6gzlmq">
        <w:r>
          <w:rPr>
            <w:rFonts w:ascii="Calibri" w:cs="Calibri" w:eastAsia="DengXian" w:hAnsi="Calibri"/>
            <w:color w:val="2E75B6"/>
            <w:sz w:val="15"/>
            <w:szCs w:val="15"/>
            <w:u w:val="single"/>
          </w:rPr>
          <w:t xml:space="preserve">themarketmentor.substack.com</w:t>
        </w:r>
      </w:hyperlink>
    </w:p>
  </w:footnote>
  <w:footnote w:id="271">
    <w:p>
      <w:pPr>
        <w:spacing w:after="20" w:line="240"/>
      </w:pPr>
      <w:r>
        <w:rPr>
          <w:rStyle w:val="FootnoteReference"/>
        </w:rPr>
        <w:footnoteRef/>
      </w:r>
      <w:r>
        <w:rPr>
          <w:rFonts w:ascii="Calibri" w:cs="Calibri" w:eastAsia="DengXian" w:hAnsi="Calibri"/>
          <w:color w:val="374151"/>
          <w:sz w:val="16"/>
          <w:szCs w:val="16"/>
        </w:rPr>
        <w:t xml:space="preserve">Wikipedia：How Countries Go Broke。 </w:t>
      </w:r>
      <w:hyperlink w:history="1" r:id="rIdy4hblquz_fnge6xezz2di">
        <w:r>
          <w:rPr>
            <w:rFonts w:ascii="Calibri" w:cs="Calibri" w:eastAsia="DengXian" w:hAnsi="Calibri"/>
            <w:color w:val="2E75B6"/>
            <w:sz w:val="15"/>
            <w:szCs w:val="15"/>
            <w:u w:val="single"/>
          </w:rPr>
          <w:t xml:space="preserve">en.wikipedia.org</w:t>
        </w:r>
      </w:hyperlink>
    </w:p>
  </w:footnote>
  <w:footnote w:id="272">
    <w:p>
      <w:pPr>
        <w:spacing w:after="20" w:line="240"/>
      </w:pPr>
      <w:r>
        <w:rPr>
          <w:rStyle w:val="FootnoteReference"/>
        </w:rPr>
        <w:footnoteRef/>
      </w:r>
      <w:r>
        <w:rPr>
          <w:rFonts w:ascii="Calibri" w:cs="Calibri" w:eastAsia="DengXian" w:hAnsi="Calibri"/>
          <w:color w:val="374151"/>
          <w:sz w:val="16"/>
          <w:szCs w:val="16"/>
        </w:rPr>
        <w:t xml:space="preserve">达利欧的X帖文：大债务周期的阶段。 </w:t>
      </w:r>
      <w:hyperlink w:history="1" r:id="rIdz1pbip80dgol9zqi_vbsv">
        <w:r>
          <w:rPr>
            <w:rFonts w:ascii="Calibri" w:cs="Calibri" w:eastAsia="DengXian" w:hAnsi="Calibri"/>
            <w:color w:val="2E75B6"/>
            <w:sz w:val="15"/>
            <w:szCs w:val="15"/>
            <w:u w:val="single"/>
          </w:rPr>
          <w:t xml:space="preserve">x.com</w:t>
        </w:r>
      </w:hyperlink>
    </w:p>
  </w:footnote>
  <w:footnote w:id="273">
    <w:p>
      <w:pPr>
        <w:spacing w:after="20" w:line="240"/>
      </w:pPr>
      <w:r>
        <w:rPr>
          <w:rStyle w:val="FootnoteReference"/>
        </w:rPr>
        <w:footnoteRef/>
      </w:r>
      <w:r>
        <w:rPr>
          <w:rFonts w:ascii="Calibri" w:cs="Calibri" w:eastAsia="DengXian" w:hAnsi="Calibri"/>
          <w:color w:val="374151"/>
          <w:sz w:val="16"/>
          <w:szCs w:val="16"/>
        </w:rPr>
        <w:t xml:space="preserve">Business Today：达利欧解释大债务周期的指标（2026-08-23）。 </w:t>
      </w:r>
      <w:hyperlink w:history="1" r:id="rIdzr5exs9e9zcirnimbilrd">
        <w:r>
          <w:rPr>
            <w:rFonts w:ascii="Calibri" w:cs="Calibri" w:eastAsia="DengXian" w:hAnsi="Calibri"/>
            <w:color w:val="2E75B6"/>
            <w:sz w:val="15"/>
            <w:szCs w:val="15"/>
            <w:u w:val="single"/>
          </w:rPr>
          <w:t xml:space="preserve">businesstoday.in</w:t>
        </w:r>
      </w:hyperlink>
    </w:p>
  </w:footnote>
  <w:footnote w:id="274">
    <w:p>
      <w:pPr>
        <w:spacing w:after="20" w:line="240"/>
      </w:pPr>
      <w:r>
        <w:rPr>
          <w:rStyle w:val="FootnoteReference"/>
        </w:rPr>
        <w:footnoteRef/>
      </w:r>
      <w:r>
        <w:rPr>
          <w:rFonts w:ascii="Calibri" w:cs="Calibri" w:eastAsia="DengXian" w:hAnsi="Calibri"/>
          <w:color w:val="374151"/>
          <w:sz w:val="16"/>
          <w:szCs w:val="16"/>
        </w:rPr>
        <w:t xml:space="preserve">桥水：How Countries Go Broke第四部分（指标）。 </w:t>
      </w:r>
      <w:hyperlink w:history="1" r:id="rId1jg7dbyage5j-phac5n-z">
        <w:r>
          <w:rPr>
            <w:rFonts w:ascii="Calibri" w:cs="Calibri" w:eastAsia="DengXian" w:hAnsi="Calibri"/>
            <w:color w:val="2E75B6"/>
            <w:sz w:val="15"/>
            <w:szCs w:val="15"/>
            <w:u w:val="single"/>
          </w:rPr>
          <w:t xml:space="preserve">economicprinciples.org</w:t>
        </w:r>
      </w:hyperlink>
    </w:p>
  </w:footnote>
  <w:footnote w:id="275">
    <w:p>
      <w:pPr>
        <w:spacing w:after="20" w:line="240"/>
      </w:pPr>
      <w:r>
        <w:rPr>
          <w:rStyle w:val="FootnoteReference"/>
        </w:rPr>
        <w:footnoteRef/>
      </w:r>
      <w:r>
        <w:rPr>
          <w:rFonts w:ascii="Calibri" w:cs="Calibri" w:eastAsia="DengXian" w:hAnsi="Calibri"/>
          <w:color w:val="374151"/>
          <w:sz w:val="16"/>
          <w:szCs w:val="16"/>
        </w:rPr>
        <w:t xml:space="preserve">国家统计局：2026年8月居民消费价格分项（2026-09-09）。 </w:t>
      </w:r>
      <w:hyperlink w:history="1" r:id="rIdueulmfqlfew75frihhyqw">
        <w:r>
          <w:rPr>
            <w:rFonts w:ascii="Calibri" w:cs="Calibri" w:eastAsia="DengXian" w:hAnsi="Calibri"/>
            <w:color w:val="2E75B6"/>
            <w:sz w:val="15"/>
            <w:szCs w:val="15"/>
            <w:u w:val="single"/>
          </w:rPr>
          <w:t xml:space="preserve">stats.gov.cn</w:t>
        </w:r>
      </w:hyperlink>
    </w:p>
  </w:footnote>
  <w:footnote w:id="276">
    <w:p>
      <w:pPr>
        <w:spacing w:after="20" w:line="240"/>
      </w:pPr>
      <w:r>
        <w:rPr>
          <w:rStyle w:val="FootnoteReference"/>
        </w:rPr>
        <w:footnoteRef/>
      </w:r>
      <w:r>
        <w:rPr>
          <w:rFonts w:ascii="Calibri" w:cs="Calibri" w:eastAsia="DengXian" w:hAnsi="Calibri"/>
          <w:color w:val="374151"/>
          <w:sz w:val="16"/>
          <w:szCs w:val="16"/>
        </w:rPr>
        <w:t xml:space="preserve">财政部：2026年中央和地方预算报告（2026-03-16）。 </w:t>
      </w:r>
      <w:hyperlink w:history="1" r:id="rIducpbxbhnarvkffdb03aqw">
        <w:r>
          <w:rPr>
            <w:rFonts w:ascii="Calibri" w:cs="Calibri" w:eastAsia="DengXian" w:hAnsi="Calibri"/>
            <w:color w:val="2E75B6"/>
            <w:sz w:val="15"/>
            <w:szCs w:val="15"/>
            <w:u w:val="single"/>
          </w:rPr>
          <w:t xml:space="preserve">mof.gov.cn</w:t>
        </w:r>
      </w:hyperlink>
    </w:p>
  </w:footnote>
  <w:footnote w:id="277">
    <w:p>
      <w:pPr>
        <w:spacing w:after="20" w:line="240"/>
      </w:pPr>
      <w:r>
        <w:rPr>
          <w:rStyle w:val="FootnoteReference"/>
        </w:rPr>
        <w:footnoteRef/>
      </w:r>
      <w:r>
        <w:rPr>
          <w:rFonts w:ascii="Calibri" w:cs="Calibri" w:eastAsia="DengXian" w:hAnsi="Calibri"/>
          <w:color w:val="374151"/>
          <w:sz w:val="16"/>
          <w:szCs w:val="16"/>
        </w:rPr>
        <w:t xml:space="preserve">IMF：中国2025年第四条款磋商新闻稿与工作人员报告（2026-02-17）。 </w:t>
      </w:r>
      <w:hyperlink w:history="1" r:id="rIdbvm2s9higlnz8eysne54b">
        <w:r>
          <w:rPr>
            <w:rFonts w:ascii="Calibri" w:cs="Calibri" w:eastAsia="DengXian" w:hAnsi="Calibri"/>
            <w:color w:val="2E75B6"/>
            <w:sz w:val="15"/>
            <w:szCs w:val="15"/>
            <w:u w:val="single"/>
          </w:rPr>
          <w:t xml:space="preserve">imf.org</w:t>
        </w:r>
      </w:hyperlink>
    </w:p>
  </w:footnote>
  <w:footnote w:id="278">
    <w:p>
      <w:pPr>
        <w:spacing w:after="20" w:line="240"/>
      </w:pPr>
      <w:r>
        <w:rPr>
          <w:rStyle w:val="FootnoteReference"/>
        </w:rPr>
        <w:footnoteRef/>
      </w:r>
      <w:r>
        <w:rPr>
          <w:rFonts w:ascii="Calibri" w:cs="Calibri" w:eastAsia="DengXian" w:hAnsi="Calibri"/>
          <w:color w:val="374151"/>
          <w:sz w:val="16"/>
          <w:szCs w:val="16"/>
        </w:rPr>
        <w:t xml:space="preserve">路透（Yahoo转载）：惠誉下调中国主权评级（2025-04）。 </w:t>
      </w:r>
      <w:hyperlink w:history="1" r:id="rId5nobuihrfq2m_z4zgetbl">
        <w:r>
          <w:rPr>
            <w:rFonts w:ascii="Calibri" w:cs="Calibri" w:eastAsia="DengXian" w:hAnsi="Calibri"/>
            <w:color w:val="2E75B6"/>
            <w:sz w:val="15"/>
            <w:szCs w:val="15"/>
            <w:u w:val="single"/>
          </w:rPr>
          <w:t xml:space="preserve">finance.yahoo.com</w:t>
        </w:r>
      </w:hyperlink>
    </w:p>
  </w:footnote>
  <w:footnote w:id="279">
    <w:p>
      <w:pPr>
        <w:spacing w:after="20" w:line="240"/>
      </w:pPr>
      <w:r>
        <w:rPr>
          <w:rStyle w:val="FootnoteReference"/>
        </w:rPr>
        <w:footnoteRef/>
      </w:r>
      <w:r>
        <w:rPr>
          <w:rFonts w:ascii="Calibri" w:cs="Calibri" w:eastAsia="DengXian" w:hAnsi="Calibri"/>
          <w:color w:val="374151"/>
          <w:sz w:val="16"/>
          <w:szCs w:val="16"/>
        </w:rPr>
        <w:t xml:space="preserve">财新：穆迪维持中国A1评级、展望调为稳定（2026-04-28）。 </w:t>
      </w:r>
      <w:hyperlink w:history="1" r:id="rIddbnzgiep9naiecdw-5njg">
        <w:r>
          <w:rPr>
            <w:rFonts w:ascii="Calibri" w:cs="Calibri" w:eastAsia="DengXian" w:hAnsi="Calibri"/>
            <w:color w:val="2E75B6"/>
            <w:sz w:val="15"/>
            <w:szCs w:val="15"/>
            <w:u w:val="single"/>
          </w:rPr>
          <w:t xml:space="preserve">caixinglobal.com</w:t>
        </w:r>
      </w:hyperlink>
    </w:p>
  </w:footnote>
  <w:footnote w:id="280">
    <w:p>
      <w:pPr>
        <w:spacing w:after="20" w:line="240"/>
      </w:pPr>
      <w:r>
        <w:rPr>
          <w:rStyle w:val="FootnoteReference"/>
        </w:rPr>
        <w:footnoteRef/>
      </w:r>
      <w:r>
        <w:rPr>
          <w:rFonts w:ascii="Calibri" w:cs="Calibri" w:eastAsia="DengXian" w:hAnsi="Calibri"/>
          <w:color w:val="374151"/>
          <w:sz w:val="16"/>
          <w:szCs w:val="16"/>
        </w:rPr>
        <w:t xml:space="preserve">Neely（圣路易斯联储）：日本国债收益率（1998）。 </w:t>
      </w:r>
      <w:hyperlink w:history="1" r:id="rIdynpdnjxcyzouksmgbb377">
        <w:r>
          <w:rPr>
            <w:rFonts w:ascii="Calibri" w:cs="Calibri" w:eastAsia="DengXian" w:hAnsi="Calibri"/>
            <w:color w:val="2E75B6"/>
            <w:sz w:val="15"/>
            <w:szCs w:val="15"/>
            <w:u w:val="single"/>
          </w:rPr>
          <w:t xml:space="preserve">soa.org</w:t>
        </w:r>
      </w:hyperlink>
    </w:p>
  </w:footnote>
  <w:footnote w:id="281">
    <w:p>
      <w:pPr>
        <w:spacing w:after="20" w:line="240"/>
      </w:pPr>
      <w:r>
        <w:rPr>
          <w:rStyle w:val="FootnoteReference"/>
        </w:rPr>
        <w:footnoteRef/>
      </w:r>
      <w:r>
        <w:rPr>
          <w:rFonts w:ascii="Calibri" w:cs="Calibri" w:eastAsia="DengXian" w:hAnsi="Calibri"/>
          <w:color w:val="374151"/>
          <w:sz w:val="16"/>
          <w:szCs w:val="16"/>
        </w:rPr>
        <w:t xml:space="preserve">时事通信（nippon.com）：日本国债收益率（2026-04）。 </w:t>
      </w:r>
      <w:hyperlink w:history="1" r:id="rIdfpni0i_lpetokbqkyo0b-">
        <w:r>
          <w:rPr>
            <w:rFonts w:ascii="Calibri" w:cs="Calibri" w:eastAsia="DengXian" w:hAnsi="Calibri"/>
            <w:color w:val="2E75B6"/>
            <w:sz w:val="15"/>
            <w:szCs w:val="15"/>
            <w:u w:val="single"/>
          </w:rPr>
          <w:t xml:space="preserve">nippon.com</w:t>
        </w:r>
      </w:hyperlink>
    </w:p>
  </w:footnote>
  <w:footnote w:id="282">
    <w:p>
      <w:pPr>
        <w:spacing w:after="20" w:line="240"/>
      </w:pPr>
      <w:r>
        <w:rPr>
          <w:rStyle w:val="FootnoteReference"/>
        </w:rPr>
        <w:footnoteRef/>
      </w:r>
      <w:r>
        <w:rPr>
          <w:rFonts w:ascii="Calibri" w:cs="Calibri" w:eastAsia="DengXian" w:hAnsi="Calibri"/>
          <w:color w:val="374151"/>
          <w:sz w:val="16"/>
          <w:szCs w:val="16"/>
        </w:rPr>
        <w:t xml:space="preserve">日本内阁府：2002年度经济财政白皮书（平减指数）。 </w:t>
      </w:r>
      <w:hyperlink w:history="1" r:id="rIdtjm1cu1i51x50phqx7tw9">
        <w:r>
          <w:rPr>
            <w:rFonts w:ascii="Calibri" w:cs="Calibri" w:eastAsia="DengXian" w:hAnsi="Calibri"/>
            <w:color w:val="2E75B6"/>
            <w:sz w:val="15"/>
            <w:szCs w:val="15"/>
            <w:u w:val="single"/>
          </w:rPr>
          <w:t xml:space="preserve">www5.cao.go.jp</w:t>
        </w:r>
      </w:hyperlink>
    </w:p>
  </w:footnote>
  <w:footnote w:id="283">
    <w:p>
      <w:pPr>
        <w:spacing w:after="20" w:line="240"/>
      </w:pPr>
      <w:r>
        <w:rPr>
          <w:rStyle w:val="FootnoteReference"/>
        </w:rPr>
        <w:footnoteRef/>
      </w:r>
      <w:r>
        <w:rPr>
          <w:rFonts w:ascii="Calibri" w:cs="Calibri" w:eastAsia="DengXian" w:hAnsi="Calibri"/>
          <w:color w:val="374151"/>
          <w:sz w:val="16"/>
          <w:szCs w:val="16"/>
        </w:rPr>
        <w:t xml:space="preserve">日本内阁府：2003年度经济财政白皮书（CPI）。 </w:t>
      </w:r>
      <w:hyperlink w:history="1" r:id="rIdod1poiiyweugxidit3bct">
        <w:r>
          <w:rPr>
            <w:rFonts w:ascii="Calibri" w:cs="Calibri" w:eastAsia="DengXian" w:hAnsi="Calibri"/>
            <w:color w:val="2E75B6"/>
            <w:sz w:val="15"/>
            <w:szCs w:val="15"/>
            <w:u w:val="single"/>
          </w:rPr>
          <w:t xml:space="preserve">www5.cao.go.jp</w:t>
        </w:r>
      </w:hyperlink>
    </w:p>
  </w:footnote>
  <w:footnote w:id="284">
    <w:p>
      <w:pPr>
        <w:spacing w:after="20" w:line="240"/>
      </w:pPr>
      <w:r>
        <w:rPr>
          <w:rStyle w:val="FootnoteReference"/>
        </w:rPr>
        <w:footnoteRef/>
      </w:r>
      <w:r>
        <w:rPr>
          <w:rFonts w:ascii="Calibri" w:cs="Calibri" w:eastAsia="DengXian" w:hAnsi="Calibri"/>
          <w:color w:val="374151"/>
          <w:sz w:val="16"/>
          <w:szCs w:val="16"/>
        </w:rPr>
        <w:t xml:space="preserve">FRED：日本官方贴现率。 </w:t>
      </w:r>
      <w:hyperlink w:history="1" r:id="rIdxszeude00otehrmbfvgjh">
        <w:r>
          <w:rPr>
            <w:rFonts w:ascii="Calibri" w:cs="Calibri" w:eastAsia="DengXian" w:hAnsi="Calibri"/>
            <w:color w:val="2E75B6"/>
            <w:sz w:val="15"/>
            <w:szCs w:val="15"/>
            <w:u w:val="single"/>
          </w:rPr>
          <w:t xml:space="preserve">fred.stlouisfed.org</w:t>
        </w:r>
      </w:hyperlink>
    </w:p>
  </w:footnote>
  <w:footnote w:id="285">
    <w:p>
      <w:pPr>
        <w:spacing w:after="20" w:line="240"/>
      </w:pPr>
      <w:r>
        <w:rPr>
          <w:rStyle w:val="FootnoteReference"/>
        </w:rPr>
        <w:footnoteRef/>
      </w:r>
      <w:r>
        <w:rPr>
          <w:rFonts w:ascii="Calibri" w:cs="Calibri" w:eastAsia="DengXian" w:hAnsi="Calibri"/>
          <w:color w:val="374151"/>
          <w:sz w:val="16"/>
          <w:szCs w:val="16"/>
        </w:rPr>
        <w:t xml:space="preserve">Wikipedia：Nikkei 225。 </w:t>
      </w:r>
      <w:hyperlink w:history="1" r:id="rIdnluapj2qvi3qzquvwynma">
        <w:r>
          <w:rPr>
            <w:rFonts w:ascii="Calibri" w:cs="Calibri" w:eastAsia="DengXian" w:hAnsi="Calibri"/>
            <w:color w:val="2E75B6"/>
            <w:sz w:val="15"/>
            <w:szCs w:val="15"/>
            <w:u w:val="single"/>
          </w:rPr>
          <w:t xml:space="preserve">en.wikipedia.org</w:t>
        </w:r>
      </w:hyperlink>
    </w:p>
  </w:footnote>
  <w:footnote w:id="286">
    <w:p>
      <w:pPr>
        <w:spacing w:after="20" w:line="240"/>
      </w:pPr>
      <w:r>
        <w:rPr>
          <w:rStyle w:val="FootnoteReference"/>
        </w:rPr>
        <w:footnoteRef/>
      </w:r>
      <w:r>
        <w:rPr>
          <w:rFonts w:ascii="Calibri" w:cs="Calibri" w:eastAsia="DengXian" w:hAnsi="Calibri"/>
          <w:color w:val="374151"/>
          <w:sz w:val="16"/>
          <w:szCs w:val="16"/>
        </w:rPr>
        <w:t xml:space="preserve">nippon.com：日本1990年代的银行危机。 </w:t>
      </w:r>
      <w:hyperlink w:history="1" r:id="rIdlcxhwyrfxoa_nnxpslcil">
        <w:r>
          <w:rPr>
            <w:rFonts w:ascii="Calibri" w:cs="Calibri" w:eastAsia="DengXian" w:hAnsi="Calibri"/>
            <w:color w:val="2E75B6"/>
            <w:sz w:val="15"/>
            <w:szCs w:val="15"/>
            <w:u w:val="single"/>
          </w:rPr>
          <w:t xml:space="preserve">nippon.com</w:t>
        </w:r>
      </w:hyperlink>
    </w:p>
  </w:footnote>
  <w:footnote w:id="287">
    <w:p>
      <w:pPr>
        <w:spacing w:after="20" w:line="240"/>
      </w:pPr>
      <w:r>
        <w:rPr>
          <w:rStyle w:val="FootnoteReference"/>
        </w:rPr>
        <w:footnoteRef/>
      </w:r>
      <w:r>
        <w:rPr>
          <w:rFonts w:ascii="Calibri" w:cs="Calibri" w:eastAsia="DengXian" w:hAnsi="Calibri"/>
          <w:color w:val="374151"/>
          <w:sz w:val="16"/>
          <w:szCs w:val="16"/>
        </w:rPr>
        <w:t xml:space="preserve">东京大学CIRJE：日本历次经济对策（2011）。 </w:t>
      </w:r>
      <w:hyperlink w:history="1" r:id="rIdjy0samlx3xlbltabytszo">
        <w:r>
          <w:rPr>
            <w:rFonts w:ascii="Calibri" w:cs="Calibri" w:eastAsia="DengXian" w:hAnsi="Calibri"/>
            <w:color w:val="2E75B6"/>
            <w:sz w:val="15"/>
            <w:szCs w:val="15"/>
            <w:u w:val="single"/>
          </w:rPr>
          <w:t xml:space="preserve">cirje.e.u-tokyo.ac.jp</w:t>
        </w:r>
      </w:hyperlink>
    </w:p>
  </w:footnote>
  <w:footnote w:id="288">
    <w:p>
      <w:pPr>
        <w:spacing w:after="20" w:line="240"/>
      </w:pPr>
      <w:r>
        <w:rPr>
          <w:rStyle w:val="FootnoteReference"/>
        </w:rPr>
        <w:footnoteRef/>
      </w:r>
      <w:r>
        <w:rPr>
          <w:rFonts w:ascii="Calibri" w:cs="Calibri" w:eastAsia="DengXian" w:hAnsi="Calibri"/>
          <w:color w:val="374151"/>
          <w:sz w:val="16"/>
          <w:szCs w:val="16"/>
        </w:rPr>
        <w:t xml:space="preserve">Wikipedia：Nikkei 225。 </w:t>
      </w:r>
      <w:hyperlink w:history="1" r:id="rIdziuc9mbogme_4qzesewck">
        <w:r>
          <w:rPr>
            <w:rFonts w:ascii="Calibri" w:cs="Calibri" w:eastAsia="DengXian" w:hAnsi="Calibri"/>
            <w:color w:val="2E75B6"/>
            <w:sz w:val="15"/>
            <w:szCs w:val="15"/>
            <w:u w:val="single"/>
          </w:rPr>
          <w:t xml:space="preserve">en.wikipedia.org</w:t>
        </w:r>
      </w:hyperlink>
    </w:p>
  </w:footnote>
  <w:footnote w:id="289">
    <w:p>
      <w:pPr>
        <w:spacing w:after="20" w:line="240"/>
      </w:pPr>
      <w:r>
        <w:rPr>
          <w:rStyle w:val="FootnoteReference"/>
        </w:rPr>
        <w:footnoteRef/>
      </w:r>
      <w:r>
        <w:rPr>
          <w:rFonts w:ascii="Calibri" w:cs="Calibri" w:eastAsia="DengXian" w:hAnsi="Calibri"/>
          <w:color w:val="374151"/>
          <w:sz w:val="16"/>
          <w:szCs w:val="16"/>
        </w:rPr>
        <w:t xml:space="preserve">东京大学CIRJE：日本历次经济对策（2011）。 </w:t>
      </w:r>
      <w:hyperlink w:history="1" r:id="rId9qtesegl1frc0a_rs43zc">
        <w:r>
          <w:rPr>
            <w:rFonts w:ascii="Calibri" w:cs="Calibri" w:eastAsia="DengXian" w:hAnsi="Calibri"/>
            <w:color w:val="2E75B6"/>
            <w:sz w:val="15"/>
            <w:szCs w:val="15"/>
            <w:u w:val="single"/>
          </w:rPr>
          <w:t xml:space="preserve">cirje.e.u-tokyo.ac.jp</w:t>
        </w:r>
      </w:hyperlink>
    </w:p>
  </w:footnote>
  <w:footnote w:id="290">
    <w:p>
      <w:pPr>
        <w:spacing w:after="20" w:line="240"/>
      </w:pPr>
      <w:r>
        <w:rPr>
          <w:rStyle w:val="FootnoteReference"/>
        </w:rPr>
        <w:footnoteRef/>
      </w:r>
      <w:r>
        <w:rPr>
          <w:rFonts w:ascii="Calibri" w:cs="Calibri" w:eastAsia="DengXian" w:hAnsi="Calibri"/>
          <w:color w:val="374151"/>
          <w:sz w:val="16"/>
          <w:szCs w:val="16"/>
        </w:rPr>
        <w:t xml:space="preserve">日本内阁府：2002年度经济财政白皮书（平减指数）。 </w:t>
      </w:r>
      <w:hyperlink w:history="1" r:id="rIdsgfsc9gnnathdsuy8qavr">
        <w:r>
          <w:rPr>
            <w:rFonts w:ascii="Calibri" w:cs="Calibri" w:eastAsia="DengXian" w:hAnsi="Calibri"/>
            <w:color w:val="2E75B6"/>
            <w:sz w:val="15"/>
            <w:szCs w:val="15"/>
            <w:u w:val="single"/>
          </w:rPr>
          <w:t xml:space="preserve">www5.cao.go.jp</w:t>
        </w:r>
      </w:hyperlink>
    </w:p>
  </w:footnote>
  <w:footnote w:id="291">
    <w:p>
      <w:pPr>
        <w:spacing w:after="20" w:line="240"/>
      </w:pPr>
      <w:r>
        <w:rPr>
          <w:rStyle w:val="FootnoteReference"/>
        </w:rPr>
        <w:footnoteRef/>
      </w:r>
      <w:r>
        <w:rPr>
          <w:rFonts w:ascii="Calibri" w:cs="Calibri" w:eastAsia="DengXian" w:hAnsi="Calibri"/>
          <w:color w:val="374151"/>
          <w:sz w:val="16"/>
          <w:szCs w:val="16"/>
        </w:rPr>
        <w:t xml:space="preserve">nippon.com：日本1990年代的银行危机。 </w:t>
      </w:r>
      <w:hyperlink w:history="1" r:id="rId90qpui7murgsosy1wjmhl">
        <w:r>
          <w:rPr>
            <w:rFonts w:ascii="Calibri" w:cs="Calibri" w:eastAsia="DengXian" w:hAnsi="Calibri"/>
            <w:color w:val="2E75B6"/>
            <w:sz w:val="15"/>
            <w:szCs w:val="15"/>
            <w:u w:val="single"/>
          </w:rPr>
          <w:t xml:space="preserve">nippon.com</w:t>
        </w:r>
      </w:hyperlink>
    </w:p>
  </w:footnote>
  <w:footnote w:id="292">
    <w:p>
      <w:pPr>
        <w:spacing w:after="20" w:line="240"/>
      </w:pPr>
      <w:r>
        <w:rPr>
          <w:rStyle w:val="FootnoteReference"/>
        </w:rPr>
        <w:footnoteRef/>
      </w:r>
      <w:r>
        <w:rPr>
          <w:rFonts w:ascii="Calibri" w:cs="Calibri" w:eastAsia="DengXian" w:hAnsi="Calibri"/>
          <w:color w:val="374151"/>
          <w:sz w:val="16"/>
          <w:szCs w:val="16"/>
        </w:rPr>
        <w:t xml:space="preserve">日本内阁府：2003年度经济财政白皮书（CPI）。 </w:t>
      </w:r>
      <w:hyperlink w:history="1" r:id="rId9i5nbtzno7udny1iec2th">
        <w:r>
          <w:rPr>
            <w:rFonts w:ascii="Calibri" w:cs="Calibri" w:eastAsia="DengXian" w:hAnsi="Calibri"/>
            <w:color w:val="2E75B6"/>
            <w:sz w:val="15"/>
            <w:szCs w:val="15"/>
            <w:u w:val="single"/>
          </w:rPr>
          <w:t xml:space="preserve">www5.cao.go.jp</w:t>
        </w:r>
      </w:hyperlink>
    </w:p>
  </w:footnote>
  <w:footnote w:id="293">
    <w:p>
      <w:pPr>
        <w:spacing w:after="20" w:line="240"/>
      </w:pPr>
      <w:r>
        <w:rPr>
          <w:rStyle w:val="FootnoteReference"/>
        </w:rPr>
        <w:footnoteRef/>
      </w:r>
      <w:r>
        <w:rPr>
          <w:rFonts w:ascii="Calibri" w:cs="Calibri" w:eastAsia="DengXian" w:hAnsi="Calibri"/>
          <w:color w:val="374151"/>
          <w:sz w:val="16"/>
          <w:szCs w:val="16"/>
        </w:rPr>
        <w:t xml:space="preserve">三井住友DS资产管理：日本名义GDP（2017-12-05）。 </w:t>
      </w:r>
      <w:hyperlink w:history="1" r:id="rIdqzega7dmobgqirrp0wa9a">
        <w:r>
          <w:rPr>
            <w:rFonts w:ascii="Calibri" w:cs="Calibri" w:eastAsia="DengXian" w:hAnsi="Calibri"/>
            <w:color w:val="2E75B6"/>
            <w:sz w:val="15"/>
            <w:szCs w:val="15"/>
            <w:u w:val="single"/>
          </w:rPr>
          <w:t xml:space="preserve">smd-am.co.jp</w:t>
        </w:r>
      </w:hyperlink>
    </w:p>
  </w:footnote>
  <w:footnote w:id="294">
    <w:p>
      <w:pPr>
        <w:spacing w:after="20" w:line="240"/>
      </w:pPr>
      <w:r>
        <w:rPr>
          <w:rStyle w:val="FootnoteReference"/>
        </w:rPr>
        <w:footnoteRef/>
      </w:r>
      <w:r>
        <w:rPr>
          <w:rFonts w:ascii="Calibri" w:cs="Calibri" w:eastAsia="DengXian" w:hAnsi="Calibri"/>
          <w:color w:val="374151"/>
          <w:sz w:val="16"/>
          <w:szCs w:val="16"/>
        </w:rPr>
        <w:t xml:space="preserve">日本经济产业研究所（RIETI）：公共资金投入。 </w:t>
      </w:r>
      <w:hyperlink w:history="1" r:id="rIdgj3hdp3hyreab0icplebc">
        <w:r>
          <w:rPr>
            <w:rFonts w:ascii="Calibri" w:cs="Calibri" w:eastAsia="DengXian" w:hAnsi="Calibri"/>
            <w:color w:val="2E75B6"/>
            <w:sz w:val="15"/>
            <w:szCs w:val="15"/>
            <w:u w:val="single"/>
          </w:rPr>
          <w:t xml:space="preserve">rieti.go.jp</w:t>
        </w:r>
      </w:hyperlink>
    </w:p>
  </w:footnote>
  <w:footnote w:id="295">
    <w:p>
      <w:pPr>
        <w:spacing w:after="20" w:line="240"/>
      </w:pPr>
      <w:r>
        <w:rPr>
          <w:rStyle w:val="FootnoteReference"/>
        </w:rPr>
        <w:footnoteRef/>
      </w:r>
      <w:r>
        <w:rPr>
          <w:rFonts w:ascii="Calibri" w:cs="Calibri" w:eastAsia="DengXian" w:hAnsi="Calibri"/>
          <w:color w:val="374151"/>
          <w:sz w:val="16"/>
          <w:szCs w:val="16"/>
        </w:rPr>
        <w:t xml:space="preserve">新华网：中共中央政治局会议（2026-07-30）。 </w:t>
      </w:r>
      <w:hyperlink w:history="1" r:id="rId2fs0n6xi6s8jp30lprjux">
        <w:r>
          <w:rPr>
            <w:rFonts w:ascii="Calibri" w:cs="Calibri" w:eastAsia="DengXian" w:hAnsi="Calibri"/>
            <w:color w:val="2E75B6"/>
            <w:sz w:val="15"/>
            <w:szCs w:val="15"/>
            <w:u w:val="single"/>
          </w:rPr>
          <w:t xml:space="preserve">news.cn</w:t>
        </w:r>
      </w:hyperlink>
    </w:p>
  </w:footnote>
  <w:footnote w:id="296">
    <w:p>
      <w:pPr>
        <w:spacing w:after="20" w:line="240"/>
      </w:pPr>
      <w:r>
        <w:rPr>
          <w:rStyle w:val="FootnoteReference"/>
        </w:rPr>
        <w:footnoteRef/>
      </w:r>
      <w:r>
        <w:rPr>
          <w:rFonts w:ascii="Calibri" w:cs="Calibri" w:eastAsia="DengXian" w:hAnsi="Calibri"/>
          <w:color w:val="374151"/>
          <w:sz w:val="16"/>
          <w:szCs w:val="16"/>
        </w:rPr>
        <w:t xml:space="preserve">ING（IndexBox转载）：7月政治局会议解读。 </w:t>
      </w:r>
      <w:hyperlink w:history="1" r:id="rIdzyychptw9_fc1ximmjhfd">
        <w:r>
          <w:rPr>
            <w:rFonts w:ascii="Calibri" w:cs="Calibri" w:eastAsia="DengXian" w:hAnsi="Calibri"/>
            <w:color w:val="2E75B6"/>
            <w:sz w:val="15"/>
            <w:szCs w:val="15"/>
            <w:u w:val="single"/>
          </w:rPr>
          <w:t xml:space="preserve">indexbox.io</w:t>
        </w:r>
      </w:hyperlink>
    </w:p>
  </w:footnote>
  <w:footnote w:id="297">
    <w:p>
      <w:pPr>
        <w:spacing w:after="20" w:line="240"/>
      </w:pPr>
      <w:r>
        <w:rPr>
          <w:rStyle w:val="FootnoteReference"/>
        </w:rPr>
        <w:footnoteRef/>
      </w:r>
      <w:r>
        <w:rPr>
          <w:rFonts w:ascii="Calibri" w:cs="Calibri" w:eastAsia="DengXian" w:hAnsi="Calibri"/>
          <w:color w:val="374151"/>
          <w:sz w:val="16"/>
          <w:szCs w:val="16"/>
        </w:rPr>
        <w:t xml:space="preserve">证券时报：央行国债买卖操作。 </w:t>
      </w:r>
      <w:hyperlink w:history="1" r:id="rIdopi3vpm22kgqficxhqzyj">
        <w:r>
          <w:rPr>
            <w:rFonts w:ascii="Calibri" w:cs="Calibri" w:eastAsia="DengXian" w:hAnsi="Calibri"/>
            <w:color w:val="2E75B6"/>
            <w:sz w:val="15"/>
            <w:szCs w:val="15"/>
            <w:u w:val="single"/>
          </w:rPr>
          <w:t xml:space="preserve">stcn.com</w:t>
        </w:r>
      </w:hyperlink>
    </w:p>
  </w:footnote>
  <w:footnote w:id="298">
    <w:p>
      <w:pPr>
        <w:spacing w:after="20" w:line="240"/>
      </w:pPr>
      <w:r>
        <w:rPr>
          <w:rStyle w:val="FootnoteReference"/>
        </w:rPr>
        <w:footnoteRef/>
      </w:r>
      <w:r>
        <w:rPr>
          <w:rFonts w:ascii="Calibri" w:cs="Calibri" w:eastAsia="DengXian" w:hAnsi="Calibri"/>
          <w:color w:val="374151"/>
          <w:sz w:val="16"/>
          <w:szCs w:val="16"/>
        </w:rPr>
        <w:t xml:space="preserve">财政部：2026年中央和地方预算报告（2026-03-16）。 </w:t>
      </w:r>
      <w:hyperlink w:history="1" r:id="rIdarj88-u1ckmlj6vtfplz6">
        <w:r>
          <w:rPr>
            <w:rFonts w:ascii="Calibri" w:cs="Calibri" w:eastAsia="DengXian" w:hAnsi="Calibri"/>
            <w:color w:val="2E75B6"/>
            <w:sz w:val="15"/>
            <w:szCs w:val="15"/>
            <w:u w:val="single"/>
          </w:rPr>
          <w:t xml:space="preserve">mof.gov.cn</w:t>
        </w:r>
      </w:hyperlink>
    </w:p>
  </w:footnote>
  <w:footnote w:id="299">
    <w:p>
      <w:pPr>
        <w:spacing w:after="20" w:line="240"/>
      </w:pPr>
      <w:r>
        <w:rPr>
          <w:rStyle w:val="FootnoteReference"/>
        </w:rPr>
        <w:footnoteRef/>
      </w:r>
      <w:r>
        <w:rPr>
          <w:rFonts w:ascii="Calibri" w:cs="Calibri" w:eastAsia="DengXian" w:hAnsi="Calibri"/>
          <w:color w:val="374151"/>
          <w:sz w:val="16"/>
          <w:szCs w:val="16"/>
        </w:rPr>
        <w:t xml:space="preserve">IMF eLibrary：中国2025年第四条款磋商报告正文（2026）。 </w:t>
      </w:r>
      <w:hyperlink w:history="1" r:id="rIdomjbn-l7uwggdwnlg8ivv">
        <w:r>
          <w:rPr>
            <w:rFonts w:ascii="Calibri" w:cs="Calibri" w:eastAsia="DengXian" w:hAnsi="Calibri"/>
            <w:color w:val="2E75B6"/>
            <w:sz w:val="15"/>
            <w:szCs w:val="15"/>
            <w:u w:val="single"/>
          </w:rPr>
          <w:t xml:space="preserve">elibrary.imf.org</w:t>
        </w:r>
      </w:hyperlink>
    </w:p>
  </w:footnote>
  <w:footnote w:id="300">
    <w:p>
      <w:pPr>
        <w:spacing w:after="20" w:line="240"/>
      </w:pPr>
      <w:r>
        <w:rPr>
          <w:rStyle w:val="FootnoteReference"/>
        </w:rPr>
        <w:footnoteRef/>
      </w:r>
      <w:r>
        <w:rPr>
          <w:rFonts w:ascii="Calibri" w:cs="Calibri" w:eastAsia="DengXian" w:hAnsi="Calibri"/>
          <w:color w:val="374151"/>
          <w:sz w:val="16"/>
          <w:szCs w:val="16"/>
        </w:rPr>
        <w:t xml:space="preserve">国家发展改革委：消费品以旧换新资金下达（2026-09-30）。 </w:t>
      </w:r>
      <w:hyperlink w:history="1" r:id="rId6-e5eqevluwuv-8vfsimk">
        <w:r>
          <w:rPr>
            <w:rFonts w:ascii="Calibri" w:cs="Calibri" w:eastAsia="DengXian" w:hAnsi="Calibri"/>
            <w:color w:val="2E75B6"/>
            <w:sz w:val="15"/>
            <w:szCs w:val="15"/>
            <w:u w:val="single"/>
          </w:rPr>
          <w:t xml:space="preserve">ndrc.gov.cn</w:t>
        </w:r>
      </w:hyperlink>
    </w:p>
  </w:footnote>
  <w:footnote w:id="301">
    <w:p>
      <w:pPr>
        <w:spacing w:after="20" w:line="240"/>
      </w:pPr>
      <w:r>
        <w:rPr>
          <w:rStyle w:val="FootnoteReference"/>
        </w:rPr>
        <w:footnoteRef/>
      </w:r>
      <w:r>
        <w:rPr>
          <w:rFonts w:ascii="Calibri" w:cs="Calibri" w:eastAsia="DengXian" w:hAnsi="Calibri"/>
          <w:color w:val="374151"/>
          <w:sz w:val="16"/>
          <w:szCs w:val="16"/>
        </w:rPr>
        <w:t xml:space="preserve">China.org.cn：孙学工谈平减指数转正（2026-07-13）。 </w:t>
      </w:r>
      <w:hyperlink w:history="1" r:id="rIdnmfeggzca5eh6bgnye9wy">
        <w:r>
          <w:rPr>
            <w:rFonts w:ascii="Calibri" w:cs="Calibri" w:eastAsia="DengXian" w:hAnsi="Calibri"/>
            <w:color w:val="2E75B6"/>
            <w:sz w:val="15"/>
            <w:szCs w:val="15"/>
            <w:u w:val="single"/>
          </w:rPr>
          <w:t xml:space="preserve">china.org.cn</w:t>
        </w:r>
      </w:hyperlink>
    </w:p>
  </w:footnote>
  <w:footnote w:id="302">
    <w:p>
      <w:pPr>
        <w:spacing w:after="20" w:line="240"/>
      </w:pPr>
      <w:r>
        <w:rPr>
          <w:rStyle w:val="FootnoteReference"/>
        </w:rPr>
        <w:footnoteRef/>
      </w:r>
      <w:r>
        <w:rPr>
          <w:rFonts w:ascii="Calibri" w:cs="Calibri" w:eastAsia="DengXian" w:hAnsi="Calibri"/>
          <w:color w:val="374151"/>
          <w:sz w:val="16"/>
          <w:szCs w:val="16"/>
        </w:rPr>
        <w:t xml:space="preserve">Bloomberg：Chinese stimulus boost, higher bond supply（2026-09-29）。 </w:t>
      </w:r>
      <w:hyperlink w:history="1" r:id="rId_vosbjvigjexar4d-77qq">
        <w:r>
          <w:rPr>
            <w:rFonts w:ascii="Calibri" w:cs="Calibri" w:eastAsia="DengXian" w:hAnsi="Calibri"/>
            <w:color w:val="2E75B6"/>
            <w:sz w:val="15"/>
            <w:szCs w:val="15"/>
            <w:u w:val="single"/>
          </w:rPr>
          <w:t xml:space="preserve">bloomberg.com</w:t>
        </w:r>
      </w:hyperlink>
    </w:p>
  </w:footnote>
  <w:footnote w:id="303">
    <w:p>
      <w:pPr>
        <w:spacing w:after="20" w:line="240"/>
      </w:pPr>
      <w:r>
        <w:rPr>
          <w:rStyle w:val="FootnoteReference"/>
        </w:rPr>
        <w:footnoteRef/>
      </w:r>
      <w:r>
        <w:rPr>
          <w:rFonts w:ascii="Calibri" w:cs="Calibri" w:eastAsia="DengXian" w:hAnsi="Calibri"/>
          <w:color w:val="374151"/>
          <w:sz w:val="16"/>
          <w:szCs w:val="16"/>
        </w:rPr>
        <w:t xml:space="preserve">Bloomberg：China stimulus underwhelms（2026-09-30）。 </w:t>
      </w:r>
      <w:hyperlink w:history="1" r:id="rIdjf0gs6xupe8b10b8mat-i">
        <w:r>
          <w:rPr>
            <w:rFonts w:ascii="Calibri" w:cs="Calibri" w:eastAsia="DengXian" w:hAnsi="Calibri"/>
            <w:color w:val="2E75B6"/>
            <w:sz w:val="15"/>
            <w:szCs w:val="15"/>
            <w:u w:val="single"/>
          </w:rPr>
          <w:t xml:space="preserve">bloomberg.com</w:t>
        </w:r>
      </w:hyperlink>
    </w:p>
  </w:footnote>
  <w:footnote w:id="304">
    <w:p>
      <w:pPr>
        <w:spacing w:after="20" w:line="240"/>
      </w:pPr>
      <w:r>
        <w:rPr>
          <w:rStyle w:val="FootnoteReference"/>
        </w:rPr>
        <w:footnoteRef/>
      </w:r>
      <w:r>
        <w:rPr>
          <w:rFonts w:ascii="Calibri" w:cs="Calibri" w:eastAsia="DengXian" w:hAnsi="Calibri"/>
          <w:color w:val="374151"/>
          <w:sz w:val="16"/>
          <w:szCs w:val="16"/>
        </w:rPr>
        <w:t xml:space="preserve">腾讯新闻：余永定发言（2026-09-20）。 </w:t>
      </w:r>
      <w:hyperlink w:history="1" r:id="rId8m7jmqehcovpflbcr0rqs">
        <w:r>
          <w:rPr>
            <w:rFonts w:ascii="Calibri" w:cs="Calibri" w:eastAsia="DengXian" w:hAnsi="Calibri"/>
            <w:color w:val="2E75B6"/>
            <w:sz w:val="15"/>
            <w:szCs w:val="15"/>
            <w:u w:val="single"/>
          </w:rPr>
          <w:t xml:space="preserve">news.qq.com</w:t>
        </w:r>
      </w:hyperlink>
    </w:p>
  </w:footnote>
  <w:footnote w:id="305">
    <w:p>
      <w:pPr>
        <w:spacing w:after="20" w:line="240"/>
      </w:pPr>
      <w:r>
        <w:rPr>
          <w:rStyle w:val="FootnoteReference"/>
        </w:rPr>
        <w:footnoteRef/>
      </w:r>
      <w:r>
        <w:rPr>
          <w:rFonts w:ascii="Calibri" w:cs="Calibri" w:eastAsia="DengXian" w:hAnsi="Calibri"/>
          <w:color w:val="374151"/>
          <w:sz w:val="16"/>
          <w:szCs w:val="16"/>
        </w:rPr>
        <w:t xml:space="preserve">IMF：Laeven and Valencia, Systemic Banking Crises Revisited，WP/18/206（2018）。 </w:t>
      </w:r>
      <w:hyperlink w:history="1" r:id="rId159kq8ih7im7wuklcic7o">
        <w:r>
          <w:rPr>
            <w:rFonts w:ascii="Calibri" w:cs="Calibri" w:eastAsia="DengXian" w:hAnsi="Calibri"/>
            <w:color w:val="2E75B6"/>
            <w:sz w:val="15"/>
            <w:szCs w:val="15"/>
            <w:u w:val="single"/>
          </w:rPr>
          <w:t xml:space="preserve">imf.org</w:t>
        </w:r>
      </w:hyperlink>
    </w:p>
  </w:footnote>
  <w:footnote w:id="306">
    <w:p>
      <w:pPr>
        <w:spacing w:after="20" w:line="240"/>
      </w:pPr>
      <w:r>
        <w:rPr>
          <w:rStyle w:val="FootnoteReference"/>
        </w:rPr>
        <w:footnoteRef/>
      </w:r>
      <w:r>
        <w:rPr>
          <w:rFonts w:ascii="Calibri" w:cs="Calibri" w:eastAsia="DengXian" w:hAnsi="Calibri"/>
          <w:color w:val="374151"/>
          <w:sz w:val="16"/>
          <w:szCs w:val="16"/>
        </w:rPr>
        <w:t xml:space="preserve">腾讯新闻：1—8月住户存款（2026-09-14）。 </w:t>
      </w:r>
      <w:hyperlink w:history="1" r:id="rId1pclt8y2cga1bu_t1v5gf">
        <w:r>
          <w:rPr>
            <w:rFonts w:ascii="Calibri" w:cs="Calibri" w:eastAsia="DengXian" w:hAnsi="Calibri"/>
            <w:color w:val="2E75B6"/>
            <w:sz w:val="15"/>
            <w:szCs w:val="15"/>
            <w:u w:val="single"/>
          </w:rPr>
          <w:t xml:space="preserve">news.qq.com</w:t>
        </w:r>
      </w:hyperlink>
    </w:p>
  </w:footnote>
  <w:footnote w:id="307">
    <w:p>
      <w:pPr>
        <w:spacing w:after="20" w:line="240"/>
      </w:pPr>
      <w:r>
        <w:rPr>
          <w:rStyle w:val="FootnoteReference"/>
        </w:rPr>
        <w:footnoteRef/>
      </w:r>
      <w:r>
        <w:rPr>
          <w:rFonts w:ascii="Calibri" w:cs="Calibri" w:eastAsia="DengXian" w:hAnsi="Calibri"/>
          <w:color w:val="374151"/>
          <w:sz w:val="16"/>
          <w:szCs w:val="16"/>
        </w:rPr>
        <w:t xml:space="preserve">中国金融信息网：二季度商业银行主要监管指标（2026-08-14）。 </w:t>
      </w:r>
      <w:hyperlink w:history="1" r:id="rIdrlcbwnlnpzvlnpktw4gy9">
        <w:r>
          <w:rPr>
            <w:rFonts w:ascii="Calibri" w:cs="Calibri" w:eastAsia="DengXian" w:hAnsi="Calibri"/>
            <w:color w:val="2E75B6"/>
            <w:sz w:val="15"/>
            <w:szCs w:val="15"/>
            <w:u w:val="single"/>
          </w:rPr>
          <w:t xml:space="preserve">m.cnfin.com</w:t>
        </w:r>
      </w:hyperlink>
    </w:p>
  </w:footnote>
  <w:footnote w:id="308">
    <w:p>
      <w:pPr>
        <w:spacing w:after="20" w:line="240"/>
      </w:pPr>
      <w:r>
        <w:rPr>
          <w:rStyle w:val="FootnoteReference"/>
        </w:rPr>
        <w:footnoteRef/>
      </w:r>
      <w:r>
        <w:rPr>
          <w:rFonts w:ascii="Calibri" w:cs="Calibri" w:eastAsia="DengXian" w:hAnsi="Calibri"/>
          <w:color w:val="374151"/>
          <w:sz w:val="16"/>
          <w:szCs w:val="16"/>
        </w:rPr>
        <w:t xml:space="preserve">斯坦福大学SCCEI：China's property slump can curb growth for years, even without a banking crisis。 </w:t>
      </w:r>
      <w:hyperlink w:history="1" r:id="rId9bjiab8fihjk_hw2w1fdv">
        <w:r>
          <w:rPr>
            <w:rFonts w:ascii="Calibri" w:cs="Calibri" w:eastAsia="DengXian" w:hAnsi="Calibri"/>
            <w:color w:val="2E75B6"/>
            <w:sz w:val="15"/>
            <w:szCs w:val="15"/>
            <w:u w:val="single"/>
          </w:rPr>
          <w:t xml:space="preserve">sccei.fsi.stanford.edu</w:t>
        </w:r>
      </w:hyperlink>
    </w:p>
  </w:footnote>
  <w:footnote w:id="309">
    <w:p>
      <w:pPr>
        <w:spacing w:after="20" w:line="240"/>
      </w:pPr>
      <w:r>
        <w:rPr>
          <w:rStyle w:val="FootnoteReference"/>
        </w:rPr>
        <w:footnoteRef/>
      </w:r>
      <w:r>
        <w:rPr>
          <w:rFonts w:ascii="Calibri" w:cs="Calibri" w:eastAsia="DengXian" w:hAnsi="Calibri"/>
          <w:color w:val="374151"/>
          <w:sz w:val="16"/>
          <w:szCs w:val="16"/>
        </w:rPr>
        <w:t xml:space="preserve">达利欧LinkedIn：China Needs to Engineer a Beautiful Deleveraging（2023-08）。 </w:t>
      </w:r>
      <w:hyperlink w:history="1" r:id="rIdxprq7iw7rokmjz9eeaj2o">
        <w:r>
          <w:rPr>
            <w:rFonts w:ascii="Calibri" w:cs="Calibri" w:eastAsia="DengXian" w:hAnsi="Calibri"/>
            <w:color w:val="2E75B6"/>
            <w:sz w:val="15"/>
            <w:szCs w:val="15"/>
            <w:u w:val="single"/>
          </w:rPr>
          <w:t xml:space="preserve">linkedin.com</w:t>
        </w:r>
      </w:hyperlink>
    </w:p>
  </w:footnote>
  <w:footnote w:id="310">
    <w:p>
      <w:pPr>
        <w:spacing w:after="20" w:line="240"/>
      </w:pPr>
      <w:r>
        <w:rPr>
          <w:rStyle w:val="FootnoteReference"/>
        </w:rPr>
        <w:footnoteRef/>
      </w:r>
      <w:r>
        <w:rPr>
          <w:rFonts w:ascii="Calibri" w:cs="Calibri" w:eastAsia="DengXian" w:hAnsi="Calibri"/>
          <w:color w:val="374151"/>
          <w:sz w:val="16"/>
          <w:szCs w:val="16"/>
        </w:rPr>
        <w:t xml:space="preserve">NBER：Rogoff and Yang，工作论文w35054。 </w:t>
      </w:r>
      <w:hyperlink w:history="1" r:id="rIdy2trc0gmopudtxx-nikfi">
        <w:r>
          <w:rPr>
            <w:rFonts w:ascii="Calibri" w:cs="Calibri" w:eastAsia="DengXian" w:hAnsi="Calibri"/>
            <w:color w:val="2E75B6"/>
            <w:sz w:val="15"/>
            <w:szCs w:val="15"/>
            <w:u w:val="single"/>
          </w:rPr>
          <w:t xml:space="preserve">nber.org</w:t>
        </w:r>
      </w:hyperlink>
    </w:p>
  </w:footnote>
  <w:footnote w:id="311">
    <w:p>
      <w:pPr>
        <w:spacing w:after="20" w:line="240"/>
      </w:pPr>
      <w:r>
        <w:rPr>
          <w:rStyle w:val="FootnoteReference"/>
        </w:rPr>
        <w:footnoteRef/>
      </w:r>
      <w:r>
        <w:rPr>
          <w:rFonts w:ascii="Calibri" w:cs="Calibri" w:eastAsia="DengXian" w:hAnsi="Calibri"/>
          <w:color w:val="374151"/>
          <w:sz w:val="16"/>
          <w:szCs w:val="16"/>
        </w:rPr>
        <w:t xml:space="preserve">Fortune：达利欧谈黄金在组合中的比例（2025-10-08）。 </w:t>
      </w:r>
      <w:hyperlink w:history="1" r:id="rIdsiqrn004poq7flcpbbt4p">
        <w:r>
          <w:rPr>
            <w:rFonts w:ascii="Calibri" w:cs="Calibri" w:eastAsia="DengXian" w:hAnsi="Calibri"/>
            <w:color w:val="2E75B6"/>
            <w:sz w:val="15"/>
            <w:szCs w:val="15"/>
            <w:u w:val="single"/>
          </w:rPr>
          <w:t xml:space="preserve">fortune.com</w:t>
        </w:r>
      </w:hyperlink>
    </w:p>
  </w:footnote>
  <w:footnote w:id="312">
    <w:p>
      <w:pPr>
        <w:spacing w:after="20" w:line="240"/>
      </w:pPr>
      <w:r>
        <w:rPr>
          <w:rStyle w:val="FootnoteReference"/>
        </w:rPr>
        <w:footnoteRef/>
      </w:r>
      <w:r>
        <w:rPr>
          <w:rFonts w:ascii="Calibri" w:cs="Calibri" w:eastAsia="DengXian" w:hAnsi="Calibri"/>
          <w:color w:val="374151"/>
          <w:sz w:val="16"/>
          <w:szCs w:val="16"/>
        </w:rPr>
        <w:t xml:space="preserve">Fortune：达利欧称AI处在泡沫早期（2026-01-06）。 </w:t>
      </w:r>
      <w:hyperlink w:history="1" r:id="rIdrq1e26kxt1buybxttmyfj">
        <w:r>
          <w:rPr>
            <w:rFonts w:ascii="Calibri" w:cs="Calibri" w:eastAsia="DengXian" w:hAnsi="Calibri"/>
            <w:color w:val="2E75B6"/>
            <w:sz w:val="15"/>
            <w:szCs w:val="15"/>
            <w:u w:val="single"/>
          </w:rPr>
          <w:t xml:space="preserve">fortune.com</w:t>
        </w:r>
      </w:hyperlink>
    </w:p>
  </w:footnote>
  <w:footnote w:id="313">
    <w:p>
      <w:pPr>
        <w:spacing w:after="20" w:line="240"/>
      </w:pPr>
      <w:r>
        <w:rPr>
          <w:rStyle w:val="FootnoteReference"/>
        </w:rPr>
        <w:footnoteRef/>
      </w:r>
      <w:r>
        <w:rPr>
          <w:rFonts w:ascii="Calibri" w:cs="Calibri" w:eastAsia="DengXian" w:hAnsi="Calibri"/>
          <w:color w:val="374151"/>
          <w:sz w:val="16"/>
          <w:szCs w:val="16"/>
        </w:rPr>
        <w:t xml:space="preserve">新华网：2026年储蓄国债发行与利率（2026-04-13）。 </w:t>
      </w:r>
      <w:hyperlink w:history="1" r:id="rIdrpi1vqgxl-wvmsqivkx5o">
        <w:r>
          <w:rPr>
            <w:rFonts w:ascii="Calibri" w:cs="Calibri" w:eastAsia="DengXian" w:hAnsi="Calibri"/>
            <w:color w:val="2E75B6"/>
            <w:sz w:val="15"/>
            <w:szCs w:val="15"/>
            <w:u w:val="single"/>
          </w:rPr>
          <w:t xml:space="preserve">news.cn</w:t>
        </w:r>
      </w:hyperlink>
    </w:p>
  </w:footnote>
  <w:footnote w:id="314">
    <w:p>
      <w:pPr>
        <w:spacing w:after="20" w:line="240"/>
      </w:pPr>
      <w:r>
        <w:rPr>
          <w:rStyle w:val="FootnoteReference"/>
        </w:rPr>
        <w:footnoteRef/>
      </w:r>
      <w:r>
        <w:rPr>
          <w:rFonts w:ascii="Calibri" w:cs="Calibri" w:eastAsia="DengXian" w:hAnsi="Calibri"/>
          <w:color w:val="374151"/>
          <w:sz w:val="16"/>
          <w:szCs w:val="16"/>
        </w:rPr>
        <w:t xml:space="preserve">腾讯新闻：国有大行定期存款挂牌利率（2026-05-23）。 </w:t>
      </w:r>
      <w:hyperlink w:history="1" r:id="rId2c12zzznm4q4mks2wfohe">
        <w:r>
          <w:rPr>
            <w:rFonts w:ascii="Calibri" w:cs="Calibri" w:eastAsia="DengXian" w:hAnsi="Calibri"/>
            <w:color w:val="2E75B6"/>
            <w:sz w:val="15"/>
            <w:szCs w:val="15"/>
            <w:u w:val="single"/>
          </w:rPr>
          <w:t xml:space="preserve">news.qq.com</w:t>
        </w:r>
      </w:hyperlink>
    </w:p>
  </w:footnote>
  <w:footnote w:id="315">
    <w:p>
      <w:pPr>
        <w:spacing w:after="20" w:line="240"/>
      </w:pPr>
      <w:r>
        <w:rPr>
          <w:rStyle w:val="FootnoteReference"/>
        </w:rPr>
        <w:footnoteRef/>
      </w:r>
      <w:r>
        <w:rPr>
          <w:rFonts w:ascii="Calibri" w:cs="Calibri" w:eastAsia="DengXian" w:hAnsi="Calibri"/>
          <w:color w:val="374151"/>
          <w:sz w:val="16"/>
          <w:szCs w:val="16"/>
        </w:rPr>
        <w:t xml:space="preserve">MNI：PPI confirms structural shift towards reflation。 </w:t>
      </w:r>
      <w:hyperlink w:history="1" r:id="rIdd3fnag7d5gz7areas4qyv">
        <w:r>
          <w:rPr>
            <w:rFonts w:ascii="Calibri" w:cs="Calibri" w:eastAsia="DengXian" w:hAnsi="Calibri"/>
            <w:color w:val="2E75B6"/>
            <w:sz w:val="15"/>
            <w:szCs w:val="15"/>
            <w:u w:val="single"/>
          </w:rPr>
          <w:t xml:space="preserve">mnimarkets.com</w:t>
        </w:r>
      </w:hyperlink>
    </w:p>
  </w:footnote>
  <w:footnote w:id="316">
    <w:p>
      <w:pPr>
        <w:spacing w:after="20" w:line="240"/>
      </w:pPr>
      <w:r>
        <w:rPr>
          <w:rStyle w:val="FootnoteReference"/>
        </w:rPr>
        <w:footnoteRef/>
      </w:r>
      <w:r>
        <w:rPr>
          <w:rFonts w:ascii="Calibri" w:cs="Calibri" w:eastAsia="DengXian" w:hAnsi="Calibri"/>
          <w:color w:val="374151"/>
          <w:sz w:val="16"/>
          <w:szCs w:val="16"/>
        </w:rPr>
        <w:t xml:space="preserve">中国政府网：首个消费五年规划（2026-07-13）。 </w:t>
      </w:r>
      <w:hyperlink w:history="1" r:id="rId6mcikdqwst0mbxukqoagg">
        <w:r>
          <w:rPr>
            <w:rFonts w:ascii="Calibri" w:cs="Calibri" w:eastAsia="DengXian" w:hAnsi="Calibri"/>
            <w:color w:val="2E75B6"/>
            <w:sz w:val="15"/>
            <w:szCs w:val="15"/>
            <w:u w:val="single"/>
          </w:rPr>
          <w:t xml:space="preserve">english.www.gov.cn</w:t>
        </w:r>
      </w:hyperlink>
    </w:p>
  </w:footnote>
  <w:footnote w:id="317">
    <w:p>
      <w:pPr>
        <w:spacing w:after="20" w:line="240"/>
      </w:pPr>
      <w:r>
        <w:rPr>
          <w:rStyle w:val="FootnoteReference"/>
        </w:rPr>
        <w:footnoteRef/>
      </w:r>
      <w:r>
        <w:rPr>
          <w:rFonts w:ascii="Calibri" w:cs="Calibri" w:eastAsia="DengXian" w:hAnsi="Calibri"/>
          <w:color w:val="374151"/>
          <w:sz w:val="16"/>
          <w:szCs w:val="16"/>
        </w:rPr>
        <w:t xml:space="preserve">SCMP：辜朝明谈中日两国的共同挑战。 </w:t>
      </w:r>
      <w:hyperlink w:history="1" r:id="rId4q7b_s3u5kubphs2bhpny">
        <w:r>
          <w:rPr>
            <w:rFonts w:ascii="Calibri" w:cs="Calibri" w:eastAsia="DengXian" w:hAnsi="Calibri"/>
            <w:color w:val="2E75B6"/>
            <w:sz w:val="15"/>
            <w:szCs w:val="15"/>
            <w:u w:val="single"/>
          </w:rPr>
          <w:t xml:space="preserve">scmp.com</w:t>
        </w:r>
      </w:hyperlink>
    </w:p>
  </w:footnote>
  <w:footnote w:id="318">
    <w:p>
      <w:pPr>
        <w:spacing w:after="20" w:line="240"/>
      </w:pPr>
      <w:r>
        <w:rPr>
          <w:rStyle w:val="FootnoteReference"/>
        </w:rPr>
        <w:footnoteRef/>
      </w:r>
      <w:r>
        <w:rPr>
          <w:rFonts w:ascii="Calibri" w:cs="Calibri" w:eastAsia="DengXian" w:hAnsi="Calibri"/>
          <w:color w:val="374151"/>
          <w:sz w:val="16"/>
          <w:szCs w:val="16"/>
        </w:rPr>
        <w:t xml:space="preserve">Top1000funds：Michael Pettis谈中国的过度投资与日本式清算。 </w:t>
      </w:r>
      <w:hyperlink w:history="1" r:id="rIdj0p-tzt4aicozldnaggk3">
        <w:r>
          <w:rPr>
            <w:rFonts w:ascii="Calibri" w:cs="Calibri" w:eastAsia="DengXian" w:hAnsi="Calibri"/>
            <w:color w:val="2E75B6"/>
            <w:sz w:val="15"/>
            <w:szCs w:val="15"/>
            <w:u w:val="single"/>
          </w:rPr>
          <w:t xml:space="preserve">top1000funds.com</w:t>
        </w:r>
      </w:hyperlink>
    </w:p>
  </w:footnote>
  <w:footnote w:id="319">
    <w:p>
      <w:pPr>
        <w:spacing w:after="20" w:line="240"/>
      </w:pPr>
      <w:r>
        <w:rPr>
          <w:rStyle w:val="FootnoteReference"/>
        </w:rPr>
        <w:footnoteRef/>
      </w:r>
      <w:r>
        <w:rPr>
          <w:rFonts w:ascii="Calibri" w:cs="Calibri" w:eastAsia="DengXian" w:hAnsi="Calibri"/>
          <w:color w:val="374151"/>
          <w:sz w:val="16"/>
          <w:szCs w:val="16"/>
        </w:rPr>
        <w:t xml:space="preserve">SCMP：辜朝明谈中日两国的共同挑战。 </w:t>
      </w:r>
      <w:hyperlink w:history="1" r:id="rId9s-5rvapuvefcqjqlelyf">
        <w:r>
          <w:rPr>
            <w:rFonts w:ascii="Calibri" w:cs="Calibri" w:eastAsia="DengXian" w:hAnsi="Calibri"/>
            <w:color w:val="2E75B6"/>
            <w:sz w:val="15"/>
            <w:szCs w:val="15"/>
            <w:u w:val="single"/>
          </w:rPr>
          <w:t xml:space="preserve">scmp.com</w:t>
        </w:r>
      </w:hyperlink>
    </w:p>
  </w:footnote>
  <w:footnote w:id="320">
    <w:p>
      <w:pPr>
        <w:spacing w:after="20" w:line="240"/>
      </w:pPr>
      <w:r>
        <w:rPr>
          <w:rStyle w:val="FootnoteReference"/>
        </w:rPr>
        <w:footnoteRef/>
      </w:r>
      <w:r>
        <w:rPr>
          <w:rFonts w:ascii="Calibri" w:cs="Calibri" w:eastAsia="DengXian" w:hAnsi="Calibri"/>
          <w:color w:val="374151"/>
          <w:sz w:val="16"/>
          <w:szCs w:val="16"/>
        </w:rPr>
        <w:t xml:space="preserve">Marketplace：亚当·波森谈中国消费放缓（2026-07-22）。 </w:t>
      </w:r>
      <w:hyperlink w:history="1" r:id="rId2cxsjsrnhfkzmum1cxzh9">
        <w:r>
          <w:rPr>
            <w:rFonts w:ascii="Calibri" w:cs="Calibri" w:eastAsia="DengXian" w:hAnsi="Calibri"/>
            <w:color w:val="2E75B6"/>
            <w:sz w:val="15"/>
            <w:szCs w:val="15"/>
            <w:u w:val="single"/>
          </w:rPr>
          <w:t xml:space="preserve">marketplace.org</w:t>
        </w:r>
      </w:hyperlink>
    </w:p>
  </w:footnote>
  <w:footnote w:id="321">
    <w:p>
      <w:pPr>
        <w:spacing w:after="20" w:line="240"/>
      </w:pPr>
      <w:r>
        <w:rPr>
          <w:rStyle w:val="FootnoteReference"/>
        </w:rPr>
        <w:footnoteRef/>
      </w:r>
      <w:r>
        <w:rPr>
          <w:rFonts w:ascii="Calibri" w:cs="Calibri" w:eastAsia="DengXian" w:hAnsi="Calibri"/>
          <w:color w:val="374151"/>
          <w:sz w:val="16"/>
          <w:szCs w:val="16"/>
        </w:rPr>
        <w:t xml:space="preserve">腾讯新闻：余永定发言（2026-09-20）。 </w:t>
      </w:r>
      <w:hyperlink w:history="1" r:id="rId1ergf5cimj6pginulgbfu">
        <w:r>
          <w:rPr>
            <w:rFonts w:ascii="Calibri" w:cs="Calibri" w:eastAsia="DengXian" w:hAnsi="Calibri"/>
            <w:color w:val="2E75B6"/>
            <w:sz w:val="15"/>
            <w:szCs w:val="15"/>
            <w:u w:val="single"/>
          </w:rPr>
          <w:t xml:space="preserve">news.qq.com</w:t>
        </w:r>
      </w:hyperlink>
    </w:p>
  </w:footnote>
  <w:footnote w:id="322">
    <w:p>
      <w:pPr>
        <w:spacing w:after="20" w:line="240"/>
      </w:pPr>
      <w:r>
        <w:rPr>
          <w:rStyle w:val="FootnoteReference"/>
        </w:rPr>
        <w:footnoteRef/>
      </w:r>
      <w:r>
        <w:rPr>
          <w:rFonts w:ascii="Calibri" w:cs="Calibri" w:eastAsia="DengXian" w:hAnsi="Calibri"/>
          <w:color w:val="374151"/>
          <w:sz w:val="16"/>
          <w:szCs w:val="16"/>
        </w:rPr>
        <w:t xml:space="preserve">新浪财经：黄益平发言（2026-09-19）。 </w:t>
      </w:r>
      <w:hyperlink w:history="1" r:id="rIdddyqxbcsv_3-5whg7bhgd">
        <w:r>
          <w:rPr>
            <w:rFonts w:ascii="Calibri" w:cs="Calibri" w:eastAsia="DengXian" w:hAnsi="Calibri"/>
            <w:color w:val="2E75B6"/>
            <w:sz w:val="15"/>
            <w:szCs w:val="15"/>
            <w:u w:val="single"/>
          </w:rPr>
          <w:t xml:space="preserve">finance.sina.com.cn</w:t>
        </w:r>
      </w:hyperlink>
    </w:p>
  </w:footnote>
  <w:footnote w:id="323">
    <w:p>
      <w:pPr>
        <w:spacing w:after="20" w:line="240"/>
      </w:pPr>
      <w:r>
        <w:rPr>
          <w:rStyle w:val="FootnoteReference"/>
        </w:rPr>
        <w:footnoteRef/>
      </w:r>
      <w:r>
        <w:rPr>
          <w:rFonts w:ascii="Calibri" w:cs="Calibri" w:eastAsia="DengXian" w:hAnsi="Calibri"/>
          <w:color w:val="374151"/>
          <w:sz w:val="16"/>
          <w:szCs w:val="16"/>
        </w:rPr>
        <w:t xml:space="preserve">财新：刘世锦谈供强需弱（2026-06-17）。 </w:t>
      </w:r>
      <w:hyperlink w:history="1" r:id="rIdtyxf89nwgo8a-vfyoxe4n">
        <w:r>
          <w:rPr>
            <w:rFonts w:ascii="Calibri" w:cs="Calibri" w:eastAsia="DengXian" w:hAnsi="Calibri"/>
            <w:color w:val="2E75B6"/>
            <w:sz w:val="15"/>
            <w:szCs w:val="15"/>
            <w:u w:val="single"/>
          </w:rPr>
          <w:t xml:space="preserve">topics.caixin.com</w:t>
        </w:r>
      </w:hyperlink>
    </w:p>
  </w:footnote>
  <w:footnote w:id="324">
    <w:p>
      <w:pPr>
        <w:spacing w:after="20" w:line="240"/>
      </w:pPr>
      <w:r>
        <w:rPr>
          <w:rStyle w:val="FootnoteReference"/>
        </w:rPr>
        <w:footnoteRef/>
      </w:r>
      <w:r>
        <w:rPr>
          <w:rFonts w:ascii="Calibri" w:cs="Calibri" w:eastAsia="DengXian" w:hAnsi="Calibri"/>
          <w:color w:val="374151"/>
          <w:sz w:val="16"/>
          <w:szCs w:val="16"/>
        </w:rPr>
        <w:t xml:space="preserve">China.org.cn：孙学工谈平减指数转正（2026-07-13）。 </w:t>
      </w:r>
      <w:hyperlink w:history="1" r:id="rIdwcmuyoko3ptefp7iotxva">
        <w:r>
          <w:rPr>
            <w:rFonts w:ascii="Calibri" w:cs="Calibri" w:eastAsia="DengXian" w:hAnsi="Calibri"/>
            <w:color w:val="2E75B6"/>
            <w:sz w:val="15"/>
            <w:szCs w:val="15"/>
            <w:u w:val="single"/>
          </w:rPr>
          <w:t xml:space="preserve">china.org.cn</w:t>
        </w:r>
      </w:hyperlink>
    </w:p>
  </w:footnote>
  <w:footnote w:id="325">
    <w:p>
      <w:pPr>
        <w:spacing w:after="20" w:line="240"/>
      </w:pPr>
      <w:r>
        <w:rPr>
          <w:rStyle w:val="FootnoteReference"/>
        </w:rPr>
        <w:footnoteRef/>
      </w:r>
      <w:r>
        <w:rPr>
          <w:rFonts w:ascii="Calibri" w:cs="Calibri" w:eastAsia="DengXian" w:hAnsi="Calibri"/>
          <w:color w:val="374151"/>
          <w:sz w:val="16"/>
          <w:szCs w:val="16"/>
        </w:rPr>
        <w:t xml:space="preserve">新浪：洪灏观点。 </w:t>
      </w:r>
      <w:hyperlink w:history="1" r:id="rIdinb5fagngqf5eq6ik-px4">
        <w:r>
          <w:rPr>
            <w:rFonts w:ascii="Calibri" w:cs="Calibri" w:eastAsia="DengXian" w:hAnsi="Calibri"/>
            <w:color w:val="2E75B6"/>
            <w:sz w:val="15"/>
            <w:szCs w:val="15"/>
            <w:u w:val="single"/>
          </w:rPr>
          <w:t xml:space="preserve">sina.cn</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jc w:val="right"/>
    </w:pPr>
    <w:r>
      <w:rPr>
        <w:rFonts w:ascii="Calibri" w:cs="Calibri" w:eastAsia="Microsoft YaHei" w:hAnsi="Calibri"/>
        <w:color w:val="9AA4B2"/>
        <w:sz w:val="16"/>
        <w:szCs w:val="16"/>
      </w:rPr>
      <w:t xml:space="preserve">中国经济周期定位｜2026年10月｜第2版（终版）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2E75B6"/>
      </w:rPr>
    </w:lvl>
  </w:abstractNum>
  <w:abstractNum w:abstractNumId="3" w15:restartNumberingAfterBreak="0">
    <w:multiLevelType w:val="hybridMultilevel"/>
    <w:lvl w:ilvl="0" w15:tentative="1">
      <w:start w:val="1"/>
      <w:numFmt w:val="decimal"/>
      <w:lvlText w:val="%1."/>
      <w:lvlJc w:val="left"/>
      <w:pPr>
        <w:ind w:left="440" w:hanging="300"/>
      </w:pPr>
      <w:rPr>
        <w:b/>
        <w:bCs/>
        <w:color w:val="2E75B6"/>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DengXian" w:hAnsi="Calibri"/>
        <w:color w:val="1F2328"/>
        <w:sz w:val="21"/>
        <w:szCs w:val="21"/>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Microsoft YaHei" w:hAnsi="Calibri"/>
      <w:b/>
      <w:bCs/>
      <w:color w:val="1F3A5F"/>
      <w:sz w:val="32"/>
      <w:szCs w:val="32"/>
    </w:rPr>
  </w:style>
  <w:style w:type="paragraph" w:styleId="Heading2">
    <w:name w:val="Heading 2"/>
    <w:basedOn w:val="Normal"/>
    <w:next w:val="Normal"/>
    <w:qFormat/>
    <w:pPr>
      <w:outlineLvl w:val="1"/>
    </w:pPr>
    <w:rPr>
      <w:rFonts w:ascii="Calibri" w:cs="Calibri" w:eastAsia="Microsoft YaHei" w:hAnsi="Calibri"/>
      <w:b/>
      <w:bCs/>
      <w:color w:val="1F3A5F"/>
      <w:sz w:val="26"/>
      <w:szCs w:val="26"/>
    </w:rPr>
  </w:style>
  <w:style w:type="paragraph" w:styleId="Heading3">
    <w:name w:val="Heading 3"/>
    <w:basedOn w:val="Normal"/>
    <w:next w:val="Normal"/>
    <w:qFormat/>
    <w:pPr>
      <w:outlineLvl w:val="2"/>
    </w:pPr>
    <w:rPr>
      <w:rFonts w:ascii="Calibri" w:cs="Calibri" w:eastAsia="Microsoft YaHei" w:hAnsi="Calibri"/>
      <w:b/>
      <w:bCs/>
      <w:color w:val="374151"/>
      <w:sz w:val="22"/>
      <w:szCs w:val="22"/>
    </w:rPr>
  </w:style>
  <w:style w:type="paragraph" w:styleId="FooterSmall">
    <w:name w:val="Footer Small"/>
    <w:basedOn w:val="Normal"/>
    <w:pPr>
      <w:spacing w:after="0" w:line="240"/>
    </w:pPr>
    <w:rPr>
      <w:rFonts w:ascii="Calibri" w:cs="Calibri" w:eastAsia="Microsoft YaHei" w:hAnsi="Calibri"/>
      <w:color w:val="9AA4B2"/>
      <w:sz w:val="16"/>
      <w:szCs w:val="16"/>
    </w:rPr>
  </w:style>
  <w:style w:type="paragraph" w:styleId="FootnoteText">
    <w:name w:val="footnote text"/>
    <w:basedOn w:val="Normal"/>
    <w:pPr>
      <w:spacing w:after="20" w:line="240"/>
    </w:pPr>
    <w:rPr>
      <w:rFonts w:ascii="Calibri" w:cs="Calibri" w:eastAsia="DengXian" w:hAnsi="Calibri"/>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Relationship Id="rIdtmed88gqxd9afsguad595" Type="http://schemas.openxmlformats.org/officeDocument/2006/relationships/hyperlink" Target="https://medium.com/@rjvelasquezm92/big-debt-crises-the-phases-of-the-classic-deflationary-debt-cycle-1fedb572ce0c" TargetMode="External"/><Relationship Id="rIdu91gssfqfj3ntzzf2pm1y" Type="http://schemas.openxmlformats.org/officeDocument/2006/relationships/hyperlink" Target="https://www.mauldineconomics.com/frontlinethoughts/big-debt-cycles-part-2" TargetMode="External"/><Relationship Id="rId6vujfkcowmpa-r_4es2gg" Type="http://schemas.openxmlformats.org/officeDocument/2006/relationships/hyperlink" Target="https://www.valuewalk.com/ray-dalio-principles-for-navigating-big-debt-crises/" TargetMode="External"/><Relationship Id="rIdeocntfzt9sdtnhacpwixd" Type="http://schemas.openxmlformats.org/officeDocument/2006/relationships/hyperlink" Target="https://rpc.cfainstitute.org/blogs/enterprising-investor/2019/book-review-principles-for-navigating-big-debt-crises" TargetMode="External"/><Relationship Id="rIdrifyufm5ld1povivn5g3d" Type="http://schemas.openxmlformats.org/officeDocument/2006/relationships/hyperlink" Target="https://hedgefundalpha.com/strategies/ray-dalio-its-time-to-look-more-carefully-at-monetary-policy-3-mp3-and-modern-monetary-theory-mmt/" TargetMode="External"/><Relationship Id="rIdpibv2mceoqb0viyepzusw" Type="http://schemas.openxmlformats.org/officeDocument/2006/relationships/hyperlink" Target="https://www.stats.gov.cn/english/PressRelease/202607/t20260715_1964120.html" TargetMode="External"/><Relationship Id="rIdr_xmyclrugy2nepgoy5ne" Type="http://schemas.openxmlformats.org/officeDocument/2006/relationships/hyperlink" Target="https://www.scmp.com/economy/economic-indicators/article/3360592/china-reports-43-gdp-growth-second-quarter-falling-short-expectations" TargetMode="External"/><Relationship Id="rIdsuvrkocueet8pmp17hiq5" Type="http://schemas.openxmlformats.org/officeDocument/2006/relationships/hyperlink" Target="https://economy.caixin.com/2026-07-15/102464330.html" TargetMode="External"/><Relationship Id="rIdwfhmor97yuihucvg31wlr" Type="http://schemas.openxmlformats.org/officeDocument/2006/relationships/hyperlink" Target="https://news.10jqka.com.cn/20260730/c678548208.shtml" TargetMode="External"/><Relationship Id="rIdxwghgay1jc27gnnnr2nys" Type="http://schemas.openxmlformats.org/officeDocument/2006/relationships/hyperlink" Target="https://finance.eastmoney.com/a/202607303826907944.html" TargetMode="External"/><Relationship Id="rIdbmzokicsevkahtip9yggo" Type="http://schemas.openxmlformats.org/officeDocument/2006/relationships/hyperlink" Target="https://www.focus-economics.com/countries/china/news/gdp/china-national-accounts-17-01-2026-economic-growth-eases-in-the-fourth-quarter-of-2025/" TargetMode="External"/><Relationship Id="rIdeqr6fpwbqwzwhuyqwvqxl" Type="http://schemas.openxmlformats.org/officeDocument/2006/relationships/hyperlink" Target="https://www.pbc.gov.cn/goutongjiaoliu/113456/113469/2026081218034520348/2026081218031050203.pdf" TargetMode="External"/><Relationship Id="rIdbsbyvegmgueyotf_8crk4" Type="http://schemas.openxmlformats.org/officeDocument/2006/relationships/hyperlink" Target="https://www.chinamoney.com.cn/chinese/sddsintigy/" TargetMode="External"/><Relationship Id="rId8hl7uao_cwvi_l2dg4bm3" Type="http://schemas.openxmlformats.org/officeDocument/2006/relationships/hyperlink" Target="https://finance.sina.com.cn/china/2026-09-18/doc-inisftwx3329470.shtml" TargetMode="External"/><Relationship Id="rIdfsklq1fayhehmfeojlqy9" Type="http://schemas.openxmlformats.org/officeDocument/2006/relationships/hyperlink" Target="https://www.stats.gov.cn/sj/zxfb/202609/t20260928_1965425.html" TargetMode="External"/><Relationship Id="rIdiyhh77jqjkgc2vptkoc6x" Type="http://schemas.openxmlformats.org/officeDocument/2006/relationships/hyperlink" Target="https://www.news.cn/fortune/20260928/9bc8b6bcb3194867a8661529c97a6d88/c.html" TargetMode="External"/><Relationship Id="rId7immz58yo9ogtj-wtrrrc" Type="http://schemas.openxmlformats.org/officeDocument/2006/relationships/hyperlink" Target="https://www.stats.gov.cn/english/PressRelease/202609/t20260910_1965274.html" TargetMode="External"/><Relationship Id="rId0ju_greu5_pqp1zh96on1" Type="http://schemas.openxmlformats.org/officeDocument/2006/relationships/hyperlink" Target="https://money.usnews.com/investing/news/articles/2026-09-27/china-industrial-profits-rise-15-7-in-january-august" TargetMode="External"/><Relationship Id="rId172xuumcok6o3njxlt7gy" Type="http://schemas.openxmlformats.org/officeDocument/2006/relationships/hyperlink" Target="https://www.stats.gov.cn/english/PressRelease/202607/t20260717_1964154.html" TargetMode="External"/><Relationship Id="rId2cou3h7aumks0_q9wxlmb" Type="http://schemas.openxmlformats.org/officeDocument/2006/relationships/hyperlink" Target="https://finance.sina.com.cn/stock/bxjj/2026-10-02/doc-initvtxc5612820.shtml" TargetMode="External"/><Relationship Id="rIdxv9ssm10fg8hhmpg1q-hm" Type="http://schemas.openxmlformats.org/officeDocument/2006/relationships/hyperlink" Target="https://www.guandian.cn/article/20260918/603809.html" TargetMode="External"/><Relationship Id="rIdt4pyswdaqghwbe9rlhvcy" Type="http://schemas.openxmlformats.org/officeDocument/2006/relationships/hyperlink" Target="https://www.cls.cn/detail/2263838" TargetMode="External"/><Relationship Id="rIdzxvubqwuxgznq_ywdusxb" Type="http://schemas.openxmlformats.org/officeDocument/2006/relationships/hyperlink" Target="https://www.elibrary.imf.org/view/journals/002/2026/044/article-A001-en.xml" TargetMode="External"/><Relationship Id="rIdccfxjzwemzexf4jh71hvq" Type="http://schemas.openxmlformats.org/officeDocument/2006/relationships/hyperlink" Target="https://www.bnnbloomberg.ca/business/international/2026/09/08/chinas-exports-pick-up-in-august-jumping-25-as-its-trade-surplus-widens/" TargetMode="External"/><Relationship Id="rIdnnpenolnlrzetl7kh9rcu" Type="http://schemas.openxmlformats.org/officeDocument/2006/relationships/hyperlink" Target="https://www.caixinglobal.com/2026-09-08/chinas-august-exports-jump-25-on-ai-price-surge-102482780.html" TargetMode="External"/><Relationship Id="rId1arilzll7xnetlcf4utqz" Type="http://schemas.openxmlformats.org/officeDocument/2006/relationships/hyperlink" Target="https://money.usnews.com/investing/news/articles/2026-09-27/china-industrial-profits-rise-15-7-in-january-august" TargetMode="External"/><Relationship Id="rIdi0aa796xbojrbq77pcaeu" Type="http://schemas.openxmlformats.org/officeDocument/2006/relationships/hyperlink" Target="https://www.ecns.cn/cns-wire/2026-09-09/detail-ihfkanuz5373708.shtml" TargetMode="External"/><Relationship Id="rIdscb6awl6iltsfxylhmjqn" Type="http://schemas.openxmlformats.org/officeDocument/2006/relationships/hyperlink" Target="https://money.usnews.com/investing/news/articles/2026-09-27/china-industrial-profits-rise-15-7-in-january-august" TargetMode="External"/><Relationship Id="rId15b5mwkefp_xo0wu2oe-9" Type="http://schemas.openxmlformats.org/officeDocument/2006/relationships/hyperlink" Target="https://www.stats.gov.cn/english/PressRelease/202609/t20260910_1965274.html" TargetMode="External"/><Relationship Id="rIdgovm0zubncuqeqfagsjqm" Type="http://schemas.openxmlformats.org/officeDocument/2006/relationships/hyperlink" Target="https://money.usnews.com/investing/news/articles/2026-09-29/china-services-growth-hits-three-month-high-private-pmi-shows" TargetMode="External"/><Relationship Id="rIdiv9unja3wom8bn7cfyp2u" Type="http://schemas.openxmlformats.org/officeDocument/2006/relationships/hyperlink" Target="https://www.stats.gov.cn/sj/zxfb/202609/t20260909_1965263.html" TargetMode="External"/><Relationship Id="rIdze6z6l2_hz2v7b7uhb1si" Type="http://schemas.openxmlformats.org/officeDocument/2006/relationships/hyperlink" Target="https://www.cnbc.com/2026/09/15/china-august-retail-sales-industrial-output-investment-exports-.html" TargetMode="External"/><Relationship Id="rIduxj3vesf1rk_czinaau2i" Type="http://schemas.openxmlformats.org/officeDocument/2006/relationships/hyperlink" Target="https://www.stats.gov.cn/xxgk/sjfb/zxfb2020/202609/t20260915_1965311.html" TargetMode="External"/><Relationship Id="rIdy3dhi3aoiea1uqzjhfpor" Type="http://schemas.openxmlformats.org/officeDocument/2006/relationships/hyperlink" Target="https://news.qq.com/rain/a/20260914A0BLWD00" TargetMode="External"/><Relationship Id="rIdr6uueg7gywdn1cn7wuko6" Type="http://schemas.openxmlformats.org/officeDocument/2006/relationships/hyperlink" Target="https://www.news.cn/20260914/565ef79342c34afb97123b135498061b/c.html" TargetMode="External"/><Relationship Id="rIdbpgve87ig9mrdpa7vmrxt" Type="http://schemas.openxmlformats.org/officeDocument/2006/relationships/hyperlink" Target="https://www.stats.gov.cn/english/PressRelease/202607/t20260717_1964153.html" TargetMode="External"/><Relationship Id="rIdkw-rhg_att0_tqhkpgqon" Type="http://schemas.openxmlformats.org/officeDocument/2006/relationships/hyperlink" Target="https://www.stcn.com/article/detail/3996988.html" TargetMode="External"/><Relationship Id="rIdts78mq7hp0mfwu64c4r1i" Type="http://schemas.openxmlformats.org/officeDocument/2006/relationships/hyperlink" Target="https://news.qq.com/rain/a/20260902A0AY0000" TargetMode="External"/><Relationship Id="rIdisxvbkpkjanalbgkbe8fi" Type="http://schemas.openxmlformats.org/officeDocument/2006/relationships/hyperlink" Target="https://www.ceicdata.com/en/china/pbc--ccdc-treasury-bond-and-other-bond-yield-daily/bond-yield-treasury-bond-10-year" TargetMode="External"/><Relationship Id="rIdjxoug_3faus3n6sfyjgxj" Type="http://schemas.openxmlformats.org/officeDocument/2006/relationships/hyperlink" Target="https://www.stats.gov.cn/sj/zxfb/202609/t20260928_1965425.html" TargetMode="External"/><Relationship Id="rIdtmct0-ap-ncu7vfnx2jg6" Type="http://schemas.openxmlformats.org/officeDocument/2006/relationships/hyperlink" Target="https://www.bloomberg.com/news/articles/2026-07-15/china-s-gdp-price-gauge-turns-positive-after-years-of-deflation" TargetMode="External"/><Relationship Id="rId7e8m4gi3ihx5j0lqnkgkz" Type="http://schemas.openxmlformats.org/officeDocument/2006/relationships/hyperlink" Target="https://www.worldbank.org/en/news/press-release/2026/07/07/rebalancing-growth-china-economic-update" TargetMode="External"/><Relationship Id="rId3pnx58unx2fm8dryjahd4" Type="http://schemas.openxmlformats.org/officeDocument/2006/relationships/hyperlink" Target="https://assets.kpmg.com/content/dam/kpmg/cn/pdf/en/2025/08/china-economic-monitor-q3-2025.pdf" TargetMode="External"/><Relationship Id="rIdf-7k27s5bpggszazfdz_p" Type="http://schemas.openxmlformats.org/officeDocument/2006/relationships/hyperlink" Target="https://assets.kpmg.com/content/dam/kpmgsites/cn/pdf/en/2026/02/china-economic-monitor-q1-2026.pdf.coredownload.inline.pdf" TargetMode="External"/><Relationship Id="rId5gyqf1-w7wi9f0w86hb-h" Type="http://schemas.openxmlformats.org/officeDocument/2006/relationships/hyperlink" Target="https://cf40research.substack.com/p/takeaways-from-chinas-2026-q1-macroeconomic" TargetMode="External"/><Relationship Id="rIdvcyci6gj_vjfukqzvzfwa" Type="http://schemas.openxmlformats.org/officeDocument/2006/relationships/hyperlink" Target="http://finance.sina.com.cn/zl/china/2026-05-08/zl-inhxcyym7738177.shtml" TargetMode="External"/><Relationship Id="rIdq0fs0-mw5ypzoxa_qnjbf" Type="http://schemas.openxmlformats.org/officeDocument/2006/relationships/hyperlink" Target="https://www.stats.gov.cn/sj/zxfbhjd/202609/t20260915_1965309.html" TargetMode="External"/><Relationship Id="rIdj4eydrxsnbmh2p3vpjamb" Type="http://schemas.openxmlformats.org/officeDocument/2006/relationships/hyperlink" Target="https://www.stats.gov.cn/xxgk/sjfb/zxfb2020/202609/t20260915_1965311.html" TargetMode="External"/><Relationship Id="rIdmtjmyeljdzapz_pe45ess" Type="http://schemas.openxmlformats.org/officeDocument/2006/relationships/hyperlink" Target="https://chinaglobalsouth.com/2026/08/07/china-exports-july-2026-ai-high-tech-demand/" TargetMode="External"/><Relationship Id="rIdlfjfhar4lqr9ltd-xrr08" Type="http://schemas.openxmlformats.org/officeDocument/2006/relationships/hyperlink" Target="https://m.caixin.com/m/2026-01-20/102406026.html" TargetMode="External"/><Relationship Id="rId1bdli1ybeqydqbzmfsble" Type="http://schemas.openxmlformats.org/officeDocument/2006/relationships/hyperlink" Target="https://www.cnbc.com/2026/02/09/sp-i-china-property-slump-worse-than-expected.html" TargetMode="External"/><Relationship Id="rIdvxyoyczegttylwt7twokw" Type="http://schemas.openxmlformats.org/officeDocument/2006/relationships/hyperlink" Target="https://rhg.com/research/chinas-economy-rightsizing-2025-looking-ahead-to-2026/" TargetMode="External"/><Relationship Id="rIdg62ww1-ryxvwmkhx8f9wq" Type="http://schemas.openxmlformats.org/officeDocument/2006/relationships/hyperlink" Target="https://www.chinadaily.com.cn/a/202604/11/WS69d984ada310d6866eb42d19.html" TargetMode="External"/><Relationship Id="rIdzkgk7cvzuuw_bjkpw5qkz" Type="http://schemas.openxmlformats.org/officeDocument/2006/relationships/hyperlink" Target="https://finance.eastmoney.com/a/202607303826907944.html" TargetMode="External"/><Relationship Id="rIdynk_j_wle2qw0p_trusyg" Type="http://schemas.openxmlformats.org/officeDocument/2006/relationships/hyperlink" Target="http://jjckb.xinhuanet.com/20261008/f6dada0ddbcb4e509f4a14ff8876c0af/c.html" TargetMode="External"/><Relationship Id="rIdvyaislgeohg35x6xmirhf" Type="http://schemas.openxmlformats.org/officeDocument/2006/relationships/hyperlink" Target="https://finance.caixin.com/m/2026-01-15/102404070.html" TargetMode="External"/><Relationship Id="rIdn-ournzjfxzlcfe6nsea-" Type="http://schemas.openxmlformats.org/officeDocument/2006/relationships/hyperlink" Target="https://www.investing.com/news/economy-news/china-economy-poised-to-hit-2025-growth-target-despite-weaker-q4-outlook-darkens-4453254" TargetMode="External"/><Relationship Id="rIdzo7gq0ri9za-0w_thfaaf" Type="http://schemas.openxmlformats.org/officeDocument/2006/relationships/hyperlink" Target="https://dc.fortune.com/2024/09/18/ray-dalio-china-property-bubble-bridgewater" TargetMode="External"/><Relationship Id="rIdnsnsfwiv-degirqw4xmga" Type="http://schemas.openxmlformats.org/officeDocument/2006/relationships/hyperlink" Target="https://rhg.com/research/chinas-economy-rightsizing-2025-looking-ahead-to-2026/" TargetMode="External"/><Relationship Id="rIdvshadf1cxij9k2jnsqlz7" Type="http://schemas.openxmlformats.org/officeDocument/2006/relationships/hyperlink" Target="https://www.bofit.fi/en/monitoring/weekly/2026/vw202604_1/" TargetMode="External"/><Relationship Id="rIdjillajngf8lshpvxyzrdc" Type="http://schemas.openxmlformats.org/officeDocument/2006/relationships/hyperlink" Target="https://m.thepaper.cn/newsDetail_forward_34107793" TargetMode="External"/><Relationship Id="rIdf5pf5-6lgy86-nfbodadc" Type="http://schemas.openxmlformats.org/officeDocument/2006/relationships/hyperlink" Target="https://news.qq.com/rain/a/20260914A0DAUH00" TargetMode="External"/><Relationship Id="rIdepjqi-1dp6q43jmlnq6i5" Type="http://schemas.openxmlformats.org/officeDocument/2006/relationships/hyperlink" Target="https://m.cnfin.com/jrjfb-lb//zixun/20260814/4455551_1.html" TargetMode="External"/><Relationship Id="rId2isf-u4lykxlwezn8xbwx" Type="http://schemas.openxmlformats.org/officeDocument/2006/relationships/hyperlink" Target="https://news.cgtn.com/news/2026-09-29/PBOC-announces-adjustments-to-several-monetary-policy-tools-1QPWGj2poxG/p.html" TargetMode="External"/><Relationship Id="rIdobrkmac6l9zecyht1l2rg" Type="http://schemas.openxmlformats.org/officeDocument/2006/relationships/hyperlink" Target="https://jrs.mof.gov.cn/zhengcefabu/phjr/202609/t20260929_3998312.htm" TargetMode="External"/><Relationship Id="rIdezelem6d7bsts_6hpwktq" Type="http://schemas.openxmlformats.org/officeDocument/2006/relationships/hyperlink" Target="https://www.21jingji.com/article/20260602/herald/e2d7d935c296a6f814a5c9a51b80176b.html" TargetMode="External"/><Relationship Id="rIdalnrfxxscjmh_h8xlkbwf" Type="http://schemas.openxmlformats.org/officeDocument/2006/relationships/hyperlink" Target="https://economy.caixin.com/2026-08-21/102476355.html" TargetMode="External"/><Relationship Id="rIdil1l_zqip51fwd9tegw96" Type="http://schemas.openxmlformats.org/officeDocument/2006/relationships/hyperlink" Target="https://www.guandian.cn/article/20260918/603809.html" TargetMode="External"/><Relationship Id="rIdamnfpoqbl4drykz3y6w4d" Type="http://schemas.openxmlformats.org/officeDocument/2006/relationships/hyperlink" Target="https://www.elibrary.imf.org/view/journals/002/2026/044/article-A001-en.xml" TargetMode="External"/><Relationship Id="rIdwvrqq7wlygwz-sxzrw0xt" Type="http://schemas.openxmlformats.org/officeDocument/2006/relationships/hyperlink" Target="https://www.21jingji.com/article/20260928/herald/8bf7b7226334b235ec53aaefa3eee9b3.html" TargetMode="External"/><Relationship Id="rIdehgbk78fvwrdmemieum5d" Type="http://schemas.openxmlformats.org/officeDocument/2006/relationships/hyperlink" Target="https://www.dagongcredit.com/dggj/content_file/creditResearch/bondMarket/2026/9/322da508791f4a5598fd040a0eeb4981.pdf" TargetMode="External"/><Relationship Id="rIdlqex5iqdbawjgdcpi8i5u" Type="http://schemas.openxmlformats.org/officeDocument/2006/relationships/hyperlink" Target="https://m.cls.cn/detail/2220127" TargetMode="External"/><Relationship Id="rIdstzbgsa_8fl72zojamqls" Type="http://schemas.openxmlformats.org/officeDocument/2006/relationships/hyperlink" Target="https://www.21jingji.com/article/20260305/herald/5b7330e92056736c7881d3d321e880ae.html" TargetMode="External"/><Relationship Id="rId2adz5oasc0wfndo4ornpo" Type="http://schemas.openxmlformats.org/officeDocument/2006/relationships/hyperlink" Target="http://jjckb.xinhuanet.com/20261008/f6dada0ddbcb4e509f4a14ff8876c0af/c.html" TargetMode="External"/><Relationship Id="rIdtbeiczruqgeyzjbmefg3s" Type="http://schemas.openxmlformats.org/officeDocument/2006/relationships/hyperlink" Target="https://www.ndrc.gov.cn/fggz/202609/t20260930_1407948.html" TargetMode="External"/><Relationship Id="rIdcvi7yajbble-udw4uuziy" Type="http://schemas.openxmlformats.org/officeDocument/2006/relationships/hyperlink" Target="https://x.com/RayDalio/status/1882173159031574696" TargetMode="External"/><Relationship Id="rIduh7simen7jgygl2koc7xo" Type="http://schemas.openxmlformats.org/officeDocument/2006/relationships/hyperlink" Target="https://www.benzinga.com/markets/asia/24/10/41157439/ray-dalio-sees-potential-for-beautiful-deleveraging-in-xi-jinpings-economic-strategy-for-china" TargetMode="External"/><Relationship Id="rIdqc8j6-2hrk8pz1a4cheiy" Type="http://schemas.openxmlformats.org/officeDocument/2006/relationships/hyperlink" Target="https://www.cnbc.com/2024/10/18/china-must-pair-stimulus-with-beautiful-deleveraging-says-ray-dalio-.html" TargetMode="External"/><Relationship Id="rIdtrnmirrhmhzrdzfr7kdfk" Type="http://schemas.openxmlformats.org/officeDocument/2006/relationships/hyperlink" Target="https://www.investing.com/news/economy-news/china-urges-more-fx-hedging-as-strong-yuan-hits-exporters-sources-say-4899029" TargetMode="External"/><Relationship Id="rIdj-rikaev4dqxzv-tb6bdh" Type="http://schemas.openxmlformats.org/officeDocument/2006/relationships/hyperlink" Target="https://ng.investing.com/news/stock-market-news/chinas-ashare-exporters-face-rising-currency-losses-in-h1-2026-says-ubs-93CH-2715767" TargetMode="External"/><Relationship Id="rIdf2zvctxpau6lahodkyq0n" Type="http://schemas.openxmlformats.org/officeDocument/2006/relationships/hyperlink" Target="https://www.linkedin.com/pulse/china-needs-engineer-beautiful-deleveraging-ray-dalio" TargetMode="External"/><Relationship Id="rIditcgg46aspfeo6ayjdqje" Type="http://schemas.openxmlformats.org/officeDocument/2006/relationships/hyperlink" Target="https://fortune.com/2023/08/18/ray-dalio-bridgewater-associates-china-debt-property-crisis/" TargetMode="External"/><Relationship Id="rIdkislljserxegzboiwjwzo" Type="http://schemas.openxmlformats.org/officeDocument/2006/relationships/hyperlink" Target="https://www.cnbc.com/2024/10/18/china-must-pair-stimulus-with-beautiful-deleveraging-says-ray-dalio-.html" TargetMode="External"/><Relationship Id="rIdjuqdds_tvteahkyersi-o" Type="http://schemas.openxmlformats.org/officeDocument/2006/relationships/hyperlink" Target="https://www.bloomberg.com/news/articles/2026-05-16/ray-dalio-says-china-s-ascent-ushers-in-era-of-tribute-system" TargetMode="External"/><Relationship Id="rIdowflbnoumyfraiak3tvtl" Type="http://schemas.openxmlformats.org/officeDocument/2006/relationships/hyperlink" Target="https://raydalio.substack.com/p/the-tribute-system-the-new-world" TargetMode="External"/><Relationship Id="rIda2_fcvojilpxgnp9bx8ta" Type="http://schemas.openxmlformats.org/officeDocument/2006/relationships/hyperlink" Target="https://www.bloomberg.com/news/articles/2026-10-06/ray-dalio-warns-china-japan-may-pull-back-from-us-treasuries" TargetMode="External"/><Relationship Id="rIdox2c1ay3qqw2ydg99jcvd" Type="http://schemas.openxmlformats.org/officeDocument/2006/relationships/hyperlink" Target="https://www.bloomberg.com/news/articles/2026-01-21/china-vice-premier-meets-dimon-cook-dalio-other-ceos-in-davos" TargetMode="External"/><Relationship Id="rIdaez4h2pcak4n-lwkx8vhz" Type="http://schemas.openxmlformats.org/officeDocument/2006/relationships/hyperlink" Target="https://www.itiger.com/news/2559915824" TargetMode="External"/><Relationship Id="rIdozxbx7bk4r8ny0afiedzq" Type="http://schemas.openxmlformats.org/officeDocument/2006/relationships/hyperlink" Target="https://www.benzinga.com/markets/hedge-funds/25/08/47305856/bridgewater-once-led-by-ray-dalio-exits-alibaba-jd-pdd-and-baidu-dumping-all-us-listed-chinese-stocks-amid-geopolitical-risks" TargetMode="External"/><Relationship Id="rIdikgzm6ltswbg2lguc0bwr" Type="http://schemas.openxmlformats.org/officeDocument/2006/relationships/hyperlink" Target="https://www.independent.org/tir/2026-spring/how-countries-go-broke/" TargetMode="External"/><Relationship Id="rId0wmqvegahy9zry0ciq4os" Type="http://schemas.openxmlformats.org/officeDocument/2006/relationships/hyperlink" Target="https://www.guancha.cn/XuGao/2025_07_26_784350.shtml" TargetMode="External"/><Relationship Id="rIdrbm05fajalqznxluwubk-" Type="http://schemas.openxmlformats.org/officeDocument/2006/relationships/hyperlink" Target="https://datatrack.trendforce.com/blog/content/60585/chinas-q2-2026-ppi-yoy-growth-rises-to-41-ending-deflation-and-hitting-a-nearly-four-year-high" TargetMode="External"/><Relationship Id="rId0bojgaunlrigk3cidit0i" Type="http://schemas.openxmlformats.org/officeDocument/2006/relationships/hyperlink" Target="https://www.ecns.cn/cns-wire/2026-09-09/detail-ihfkanuz5373708.shtml" TargetMode="External"/><Relationship Id="rIdw-wuk77x6h1tpwkga41_9" Type="http://schemas.openxmlformats.org/officeDocument/2006/relationships/hyperlink" Target="https://www.imf.org/en/publications/weo/issues/2026/07/08/world-economic-outlook-update-july-2026" TargetMode="External"/><Relationship Id="rIdz_-0hrppjyb86g6rzpuzq" Type="http://schemas.openxmlformats.org/officeDocument/2006/relationships/hyperlink" Target="https://www.worldbank.org/en/news/press-release/2026/07/07/rebalancing-growth-china-economic-update" TargetMode="External"/><Relationship Id="rIdygw6yuskahe7gty7uqaa8" Type="http://schemas.openxmlformats.org/officeDocument/2006/relationships/hyperlink" Target="https://www.stats.gov.cn/xxgk/sjfb/zxfb2020/202609/t20260915_1965311.html" TargetMode="External"/><Relationship Id="rIdkwargojdv2eelvf4iqaky" Type="http://schemas.openxmlformats.org/officeDocument/2006/relationships/hyperlink" Target="https://www.cnbc.com/2026/09/15/china-august-retail-sales-industrial-output-investment-exports-.html" TargetMode="External"/><Relationship Id="rIduapvsu10yvqdtqr0ibrsv" Type="http://schemas.openxmlformats.org/officeDocument/2006/relationships/hyperlink" Target="https://www.ndrc.gov.cn/fggz/202609/t20260930_1407948.html" TargetMode="External"/><Relationship Id="rIdnfcbhoxyjo3w5ru_5cain" Type="http://schemas.openxmlformats.org/officeDocument/2006/relationships/hyperlink" Target="https://www.stats.gov.cn/english/PressRelease/202607/t20260717_1964154.html" TargetMode="External"/><Relationship Id="rIdjjcviluxiywlpyiazw570" Type="http://schemas.openxmlformats.org/officeDocument/2006/relationships/hyperlink" Target="https://cbonds.com/indexes/29681/" TargetMode="External"/><Relationship Id="rIdeocu2jxqemmwjm_saxihj" Type="http://schemas.openxmlformats.org/officeDocument/2006/relationships/hyperlink" Target="https://www.stats.gov.cn/sj/zxfbhjd/202609/t20260915_1965309.html" TargetMode="External"/><Relationship Id="rIdwuqxqmjel8tqr4b4ri50_" Type="http://schemas.openxmlformats.org/officeDocument/2006/relationships/hyperlink" Target="http://english.scio.gov.cn/pressroom/2026-01/19/content_118287513.html" TargetMode="External"/><Relationship Id="rId7wlilva2xmat1rlvo8ddf" Type="http://schemas.openxmlformats.org/officeDocument/2006/relationships/hyperlink" Target="https://www.stats.gov.cn/sj/sjjd/202609/t20260915_1965329.html" TargetMode="External"/><Relationship Id="rIdxxctug1lumrqnxcv2-jil" Type="http://schemas.openxmlformats.org/officeDocument/2006/relationships/hyperlink" Target="https://www.stats.gov.cn/english/PressRelease/202607/t20260717_1964153.html" TargetMode="External"/><Relationship Id="rId8u5ba7ogl_j8jjenza2fx" Type="http://schemas.openxmlformats.org/officeDocument/2006/relationships/hyperlink" Target="https://www.cnbc.com/2026/09/15/china-august-retail-sales-industrial-output-investment-exports-.html" TargetMode="External"/><Relationship Id="rIdwjb6pjzkltpxspewj9mot" Type="http://schemas.openxmlformats.org/officeDocument/2006/relationships/hyperlink" Target="https://english.news.cn/20260930/b84c403705da4183bd30d4d7db14db27/c.html" TargetMode="External"/><Relationship Id="rIdjdqgs5dc3slwyba3aau64" Type="http://schemas.openxmlformats.org/officeDocument/2006/relationships/hyperlink" Target="https://www.cnbc.com/2026/09/30/china-manufacturing-exports-capacity-economy-.html" TargetMode="External"/><Relationship Id="rIdzwx8qwtcqbtxcmvbcxz5y" Type="http://schemas.openxmlformats.org/officeDocument/2006/relationships/hyperlink" Target="https://www.stats.gov.cn/sj/zxfb/202609/t20260928_1965425.html" TargetMode="External"/><Relationship Id="rId5ijbd2mpz9mibsdcdk1ft" Type="http://schemas.openxmlformats.org/officeDocument/2006/relationships/hyperlink" Target="https://www.news.cn/fortune/20260928/9bc8b6bcb3194867a8661529c97a6d88/c.html" TargetMode="External"/><Relationship Id="rIdmdp6w3latjxtblqhh8jgf" Type="http://schemas.openxmlformats.org/officeDocument/2006/relationships/hyperlink" Target="https://money.usnews.com/investing/news/articles/2026-09-27/china-industrial-profits-rise-15-7-in-january-august" TargetMode="External"/><Relationship Id="rIdxnvipamozuhflsnhuxdqu" Type="http://schemas.openxmlformats.org/officeDocument/2006/relationships/hyperlink" Target="https://cn.investing.com/news/stock-market-news/article-3549143" TargetMode="External"/><Relationship Id="rId39aabvflzi7hjfk62pwta" Type="http://schemas.openxmlformats.org/officeDocument/2006/relationships/hyperlink" Target="https://www.wenxuecity.com/news/2026/09/09/126770094.html" TargetMode="External"/><Relationship Id="rIdttnj_njpyqwc6lzrf7pg2" Type="http://schemas.openxmlformats.org/officeDocument/2006/relationships/hyperlink" Target="https://www.163.com/dy/article/L34HF1B405568W0A.html" TargetMode="External"/><Relationship Id="rIdlgkpbtuvyzo-kblrnnlan" Type="http://schemas.openxmlformats.org/officeDocument/2006/relationships/hyperlink" Target="https://www.stats.gov.cn/sj/zxfb/202609/t20260928_1965425.html" TargetMode="External"/><Relationship Id="rId6p-poneqr94llhtvtomzr" Type="http://schemas.openxmlformats.org/officeDocument/2006/relationships/hyperlink" Target="https://www.mumbrella.asia/2026/09/chinas-industrial-profits-surge-157-in.html" TargetMode="External"/><Relationship Id="rIdxnppcb-rrtnqhnfktvexx" Type="http://schemas.openxmlformats.org/officeDocument/2006/relationships/hyperlink" Target="https://stock.finance.sina.com.cn/stock/go.php/vReport_Show/kind/macro/rptid/844016508236/index.phtml" TargetMode="External"/><Relationship Id="rIdtv-akdzg4ddzcnzuzvlam" Type="http://schemas.openxmlformats.org/officeDocument/2006/relationships/hyperlink" Target="https://www.stats.gov.cn/sj/zxfb/202608/t20260831_1965154.html" TargetMode="External"/><Relationship Id="rId_omcl4vznkb9p9maozeiq" Type="http://schemas.openxmlformats.org/officeDocument/2006/relationships/hyperlink" Target="https://finance.yahoo.com/news/chinas-trade-ends-2025-record-031557801.html" TargetMode="External"/><Relationship Id="rIdgh2wppmby7nxemwpmgqj9" Type="http://schemas.openxmlformats.org/officeDocument/2006/relationships/hyperlink" Target="https://www.cnbc.com/2026/07/14/china-june-trade-data-exports-imports.html" TargetMode="External"/><Relationship Id="rIduqlt7sonusjvcqpgfvybp" Type="http://schemas.openxmlformats.org/officeDocument/2006/relationships/hyperlink" Target="https://www.bnnbloomberg.ca/business/international/2026/09/08/chinas-exports-pick-up-in-august-jumping-25-as-its-trade-surplus-widens/" TargetMode="External"/><Relationship Id="rIdyk4pnibwz9ge-gugwbor9" Type="http://schemas.openxmlformats.org/officeDocument/2006/relationships/hyperlink" Target="https://chinaglobalsouth.com/2026/08/07/china-exports-july-2026-ai-high-tech-demand/" TargetMode="External"/><Relationship Id="rId9qcole8yljnjb4cfi_n-v" Type="http://schemas.openxmlformats.org/officeDocument/2006/relationships/hyperlink" Target="https://www.caixinglobal.com/2026-09-08/chinas-august-exports-jump-25-on-ai-price-surge-102482780.html" TargetMode="External"/><Relationship Id="rIdszob-o_tbew9og_emxief" Type="http://schemas.openxmlformats.org/officeDocument/2006/relationships/hyperlink" Target="https://cms.law/en/deu/legal-updates/unprecedented-eu-steel-regulation-targets-global-overcapacity" TargetMode="External"/><Relationship Id="rIdhzyadef8um62gcvrtlmd_" Type="http://schemas.openxmlformats.org/officeDocument/2006/relationships/hyperlink" Target="https://mlex.com/mlex/trade/articles/2535402" TargetMode="External"/><Relationship Id="rId9dsovqslabhdpvubqgenl" Type="http://schemas.openxmlformats.org/officeDocument/2006/relationships/hyperlink" Target="https://www.tomshardware.com/tech-industry/big-tech/big-techs-ai-spending-plans-reach-725-billion" TargetMode="External"/><Relationship Id="rIdamivefnikwmorhyron3hk" Type="http://schemas.openxmlformats.org/officeDocument/2006/relationships/hyperlink" Target="https://www.caixinglobal.com/2026-09-18/chinas-youth-unemployment-hits-record-high-102486238.html" TargetMode="External"/><Relationship Id="rIdyvm2dve02hu32pryzkr9e" Type="http://schemas.openxmlformats.org/officeDocument/2006/relationships/hyperlink" Target="https://www.stats.gov.cn/english/PressRelease/202607/t20260717_1964154.html" TargetMode="External"/><Relationship Id="rIdwcoe3odysjpj6isbbpcfm" Type="http://schemas.openxmlformats.org/officeDocument/2006/relationships/hyperlink" Target="https://www.bloomberg.com/news/articles/2026-08-23/goldman-says-chinese-easing-hopes-revive-with-economy-growing-4" TargetMode="External"/><Relationship Id="rId9p_4ld91lq8ypv4znfeni" Type="http://schemas.openxmlformats.org/officeDocument/2006/relationships/hyperlink" Target="https://english.www.gov.cn/news/202609/28/content_WS6aba6b04c6d00ca5f9a0d810.html" TargetMode="External"/><Relationship Id="rIdrsz9oxu-z4yfo0m4w9jdd" Type="http://schemas.openxmlformats.org/officeDocument/2006/relationships/hyperlink" Target="https://www.news.cn/20260914/565ef79342c34afb97123b135498061b/c.html" TargetMode="External"/><Relationship Id="rIdk3ssthoir17uchztbngq5" Type="http://schemas.openxmlformats.org/officeDocument/2006/relationships/hyperlink" Target="https://www.caixinglobal.com/2026-09-16/chinas-new-loans-aggregate-financing-plunge-102485370.html" TargetMode="External"/><Relationship Id="rIdrqcklpgo03t9tqepyvdoa" Type="http://schemas.openxmlformats.org/officeDocument/2006/relationships/hyperlink" Target="https://www.cls.cn/detail/2482469" TargetMode="External"/><Relationship Id="rIdbegbh_ji2_nv0kflmvmes" Type="http://schemas.openxmlformats.org/officeDocument/2006/relationships/hyperlink" Target="https://m.cls.cn/detail/2482457" TargetMode="External"/><Relationship Id="rIdmdjvgapn4mefjoewhafxs" Type="http://schemas.openxmlformats.org/officeDocument/2006/relationships/hyperlink" Target="http://jjckb.xinhuanet.com/20261008/f6dada0ddbcb4e509f4a14ff8876c0af/c.html" TargetMode="External"/><Relationship Id="rIdgfqbeqorq6otz3kyxy_y2" Type="http://schemas.openxmlformats.org/officeDocument/2006/relationships/hyperlink" Target="https://news.cgtn.com/news/2026-09-29/PBOC-announces-adjustments-to-several-monetary-policy-tools-1QPWGj2poxG/p.html" TargetMode="External"/><Relationship Id="rIdgioe748ax2x0dhtzhhc5r" Type="http://schemas.openxmlformats.org/officeDocument/2006/relationships/hyperlink" Target="https://finance.sina.com.cn/stock/estate/integration/2026-10-08/doc-iniunmir3987873.shtml" TargetMode="External"/><Relationship Id="rIdfci5-sqbxaf5woxq5cdqn" Type="http://schemas.openxmlformats.org/officeDocument/2006/relationships/hyperlink" Target="https://www.stcn.com/article/detail/4203403.html" TargetMode="External"/><Relationship Id="rIdiuytsipndyju9gupnopbj" Type="http://schemas.openxmlformats.org/officeDocument/2006/relationships/hyperlink" Target="https://finance.sina.com.cn/stock/hkstock/marketalerts/2026-09-30/doc-initqzmc5724433.shtml" TargetMode="External"/><Relationship Id="rIdn4z44phgk3q0sqo8lqhra" Type="http://schemas.openxmlformats.org/officeDocument/2006/relationships/hyperlink" Target="https://finance.sina.com.cn/roll/2026-06-24/doc-iniepkrn1393767.shtml" TargetMode="External"/><Relationship Id="rIdyxr5or6tfbz40oslqxuml" Type="http://schemas.openxmlformats.org/officeDocument/2006/relationships/hyperlink" Target="https://finance.eastmoney.com/a/202609303887810953.html" TargetMode="External"/><Relationship Id="rIdx6qalvb77gbtlcjfuo8pp" Type="http://schemas.openxmlformats.org/officeDocument/2006/relationships/hyperlink" Target="https://www.stats.gov.cn/sj/zxfb/202609/t20260915_1965310.html" TargetMode="External"/><Relationship Id="rIdwokduyyapl4c8tzbmxayr" Type="http://schemas.openxmlformats.org/officeDocument/2006/relationships/hyperlink" Target="https://news.qq.com/rain/a/20260930A0A6H700" TargetMode="External"/><Relationship Id="rIdkysdyykqtsygadip7dtqw" Type="http://schemas.openxmlformats.org/officeDocument/2006/relationships/hyperlink" Target="https://topics.caixin.com/2026-03-05/102419842.html" TargetMode="External"/><Relationship Id="rIduaz-ucc44m9witubprmaa" Type="http://schemas.openxmlformats.org/officeDocument/2006/relationships/hyperlink" Target="https://economy.caixin.com/2026-06-24/102456962.html" TargetMode="External"/><Relationship Id="rId45vaggbp9s7h-if8rfwkm" Type="http://schemas.openxmlformats.org/officeDocument/2006/relationships/hyperlink" Target="https://news.cgtn.com/news/2026-09-29/PBOC-announces-adjustments-to-several-monetary-policy-tools-1QPWGj2poxG/p.html" TargetMode="External"/><Relationship Id="rIdkuciso0u5ezka6gr_sv_b" Type="http://schemas.openxmlformats.org/officeDocument/2006/relationships/hyperlink" Target="https://www.lhratings.com/uploads/file/20260820/g3ffcaaa1f5.pdf" TargetMode="External"/><Relationship Id="rIdsecpo8p4744u2y0bexbmj" Type="http://schemas.openxmlformats.org/officeDocument/2006/relationships/hyperlink" Target="https://www.dagongcredit.com/dggj/content_file/creditResearch/bondMarket/2026/9/322da508791f4a5598fd040a0eeb4981.pdf" TargetMode="External"/><Relationship Id="rIdy5sqtrnyprf05wnbuiviz" Type="http://schemas.openxmlformats.org/officeDocument/2006/relationships/hyperlink" Target="http://stock.10jqka.com.cn/20260820/c679135322.shtml" TargetMode="External"/><Relationship Id="rIdcjh-xligfqqdqq1cjtcji" Type="http://schemas.openxmlformats.org/officeDocument/2006/relationships/hyperlink" Target="https://www.nbd.com.cn/articles/2026-08-27/4561731.html" TargetMode="External"/><Relationship Id="rIdizboq9xibfxdxr-g8hffy" Type="http://schemas.openxmlformats.org/officeDocument/2006/relationships/hyperlink" Target="https://m.cls.cn/detail/2220127" TargetMode="External"/><Relationship Id="rIdgng4y9a5v2s9gaqivh9io" Type="http://schemas.openxmlformats.org/officeDocument/2006/relationships/hyperlink" Target="https://www.thepaper.cn/newsDetail_forward_32651326" TargetMode="External"/><Relationship Id="rIda2emfmnck2xtoeixd1gj6" Type="http://schemas.openxmlformats.org/officeDocument/2006/relationships/hyperlink" Target="https://m.cnfin.com/jrjfb-lb//zixun/20260814/4455551_1.html" TargetMode="External"/><Relationship Id="rIdqoogpeuav6ariytbr-t7a" Type="http://schemas.openxmlformats.org/officeDocument/2006/relationships/hyperlink" Target="https://news.qq.com/rain/a/20260910A066WS00" TargetMode="External"/><Relationship Id="rIdcq2yezpvgvjzjf50kcvzn" Type="http://schemas.openxmlformats.org/officeDocument/2006/relationships/hyperlink" Target="https://www.sse.com.cn/aboutus/mediacenter/hotandd/c/c_20260114_10805178.shtml" TargetMode="External"/><Relationship Id="rIdrchgowv2cla3lk7xjtqz4" Type="http://schemas.openxmlformats.org/officeDocument/2006/relationships/hyperlink" Target="https://www.yicai.com/news/103117379.html" TargetMode="External"/><Relationship Id="rIdjwgz6nmkgzpjrpoicei_s" Type="http://schemas.openxmlformats.org/officeDocument/2006/relationships/hyperlink" Target="https://finance.eastmoney.com/a/202609303887810953.html" TargetMode="External"/><Relationship Id="rIdayjxtjdjgfcmrrvnoncun" Type="http://schemas.openxmlformats.org/officeDocument/2006/relationships/hyperlink" Target="https://m.21jingji.com/article/20260930/herald/3a86d66c55e62c1c96de78248bce1a33.html" TargetMode="External"/><Relationship Id="rIdiu9lwj7tcnceg1j-ctqsg" Type="http://schemas.openxmlformats.org/officeDocument/2006/relationships/hyperlink" Target="https://finance.eastmoney.com/a/202609303887707686.html" TargetMode="External"/><Relationship Id="rIdmjbecj_0rtmichqlotu-d" Type="http://schemas.openxmlformats.org/officeDocument/2006/relationships/hyperlink" Target="https://www.stats.gov.cn/sj/zxfb/202609/t20260915_1965310.html" TargetMode="External"/><Relationship Id="rIde6tzz070eulsogooiqt9a" Type="http://schemas.openxmlformats.org/officeDocument/2006/relationships/hyperlink" Target="https://m.caixin.com/m/2026-01-20/102406026.html" TargetMode="External"/><Relationship Id="rIdqmaierl8ncedp60gjehel" Type="http://schemas.openxmlformats.org/officeDocument/2006/relationships/hyperlink" Target="https://www.cnbc.com/2026/02/09/sp-i-china-property-slump-worse-than-expected.html" TargetMode="External"/><Relationship Id="rIdb4cnhuswlnz1vk6unhsml" Type="http://schemas.openxmlformats.org/officeDocument/2006/relationships/hyperlink" Target="https://rhg.com/research/chinas-economy-rightsizing-2025-looking-ahead-to-2026/" TargetMode="External"/><Relationship Id="rIda_kxkfbeanjthff-dzc6g" Type="http://schemas.openxmlformats.org/officeDocument/2006/relationships/hyperlink" Target="https://news.qq.com/rain/a/20260930A0A6H700" TargetMode="External"/><Relationship Id="rIdy-6lqnsy6g8ely-yjta5j" Type="http://schemas.openxmlformats.org/officeDocument/2006/relationships/hyperlink" Target="https://www.stats.gov.cn/sj/zxfb/202609/t20260915_1965310.html" TargetMode="External"/><Relationship Id="rId7uhhmgu2kz5ggwcfrwzro" Type="http://schemas.openxmlformats.org/officeDocument/2006/relationships/hyperlink" Target="https://www.guandian.cn/article/20260918/603809.html" TargetMode="External"/><Relationship Id="rIdwstz2snsmj8uld4nziimz" Type="http://schemas.openxmlformats.org/officeDocument/2006/relationships/hyperlink" Target="https://news.ifeng.com/c/8wTT4zpCjUT" TargetMode="External"/><Relationship Id="rIduhz_c26k6em8lohiw51nu" Type="http://schemas.openxmlformats.org/officeDocument/2006/relationships/hyperlink" Target="https://www.21jingji.com/article/20260915/herald/3598ab5271acc372f89b42aaac45a9d6.html" TargetMode="External"/><Relationship Id="rIduveymqt2nxor1ejldcntq" Type="http://schemas.openxmlformats.org/officeDocument/2006/relationships/hyperlink" Target="https://www.huxiu.com/article/4892852.html" TargetMode="External"/><Relationship Id="rIdo8bt_zil6mu2vnwzotxbi" Type="http://schemas.openxmlformats.org/officeDocument/2006/relationships/hyperlink" Target="https://finance.eastmoney.com/a/202610013888223253.html" TargetMode="External"/><Relationship Id="rIdejdxelauap4rzevz4w7xt" Type="http://schemas.openxmlformats.org/officeDocument/2006/relationships/hyperlink" Target="https://finance.sina.com.cn/stock/bxjj/2026-10-02/doc-initvtxc5612820.shtml" TargetMode="External"/><Relationship Id="rIdvofjp3cxmadrxqbpvejtz" Type="http://schemas.openxmlformats.org/officeDocument/2006/relationships/hyperlink" Target="https://www.cnbc.com/2026/10/08/chinas-real-estate-market-may-be-set-for-a-turnaround-sp-says.html" TargetMode="External"/><Relationship Id="rIdam603_rspdunop-gwli35" Type="http://schemas.openxmlformats.org/officeDocument/2006/relationships/hyperlink" Target="https://www.beijing.gov.cn/zhengce/zhengcefagui/202608/t20260807_4814015.html" TargetMode="External"/><Relationship Id="rIdvt4ismnc0qy28s8iu9cb-" Type="http://schemas.openxmlformats.org/officeDocument/2006/relationships/hyperlink" Target="https://www.mohurd.gov.cn/gongkai/zc/wjk/art/2026/art_45644612a7064289bdc0d5b1427a25d8.html" TargetMode="External"/><Relationship Id="rIdzfq4cvprzlr7jq5-ufpxo" Type="http://schemas.openxmlformats.org/officeDocument/2006/relationships/hyperlink" Target="https://jrs.mof.gov.cn/zhengcefabu/phjr/202609/t20260929_3998312.htm" TargetMode="External"/><Relationship Id="rIdts_vzadyrtveasgmchji0" Type="http://schemas.openxmlformats.org/officeDocument/2006/relationships/hyperlink" Target="https://www.news.cn/fortune/20260929/4cb1c53ea79f4026a32e059582444800/c.html" TargetMode="External"/><Relationship Id="rIdzrkxt0xsuueldivq0ul0e" Type="http://schemas.openxmlformats.org/officeDocument/2006/relationships/hyperlink" Target="https://news.ifeng.com/c/8uwRRHKlUz8" TargetMode="External"/><Relationship Id="rIdzsqv44qvnsiqvkoxhc0r3" Type="http://schemas.openxmlformats.org/officeDocument/2006/relationships/hyperlink" Target="https://www.stats.gov.cn/sj/sjjd/202601/t20260119_1962338.html" TargetMode="External"/><Relationship Id="rId9tgh_4xsxnvu0gerlu_si" Type="http://schemas.openxmlformats.org/officeDocument/2006/relationships/hyperlink" Target="https://www.cnbc.com/2026/10/08/chinas-real-estate-market-may-be-set-for-a-turnaround-sp-says.html" TargetMode="External"/><Relationship Id="rIdhotqatnetf1iz9k7wf_pb" Type="http://schemas.openxmlformats.org/officeDocument/2006/relationships/hyperlink" Target="https://www.mingtiandi.com/real-estate/research-policy/goldman-sachs-says-china-home-prices-may-drop-another-10/" TargetMode="External"/><Relationship Id="rIdxjckfl6mo17300vetqfab" Type="http://schemas.openxmlformats.org/officeDocument/2006/relationships/hyperlink" Target="https://www.cnbc.com/2026/10/08/chinas-real-estate-market-may-be-set-for-a-turnaround-sp-says.html" TargetMode="External"/><Relationship Id="rIdg2tgegged5shyev_6pb7k" Type="http://schemas.openxmlformats.org/officeDocument/2006/relationships/hyperlink" Target="https://www.mingtiandi.com/real-estate/research-policy/goldman-sachs-says-china-home-prices-may-drop-another-10/" TargetMode="External"/><Relationship Id="rIdekwcxexzxkvtfpcxwvqp3" Type="http://schemas.openxmlformats.org/officeDocument/2006/relationships/hyperlink" Target="https://www.cnbc.com/2026/10/08/chinas-real-estate-market-may-be-set-for-a-turnaround-sp-says.html" TargetMode="External"/><Relationship Id="rIdguiejpardk2ie8-0txhgn" Type="http://schemas.openxmlformats.org/officeDocument/2006/relationships/hyperlink" Target="https://wimz.com/2026/08/28/china-home-prices-seen-falling-slightly-less-this-year-property-investment-slump-deepens-reuters-poll/" TargetMode="External"/><Relationship Id="rId-ypfnjoge3xl9to5_lw97" Type="http://schemas.openxmlformats.org/officeDocument/2006/relationships/hyperlink" Target="https://www.caixinglobal.com/2026-09-15/commentary-chinas-property-market-is-finally-nearing-the-bottom-102485214.html" TargetMode="External"/><Relationship Id="rIdugusnesfmmmbjlxt1uhg4" Type="http://schemas.openxmlformats.org/officeDocument/2006/relationships/hyperlink" Target="https://www.thestandard.com.hk/finance/article/332421/Chinas-K-shaped-economy-to-last-two-more-years-Robin-Xing-says" TargetMode="External"/><Relationship Id="rId-5xrh-khpedj4e7w_dfnk" Type="http://schemas.openxmlformats.org/officeDocument/2006/relationships/hyperlink" Target="https://finance.sina.cn/2026-01-20/detail-inhhxznr7104108.d.html?vt=4" TargetMode="External"/><Relationship Id="rIdqay8ue2ytptlnu9pynlm4" Type="http://schemas.openxmlformats.org/officeDocument/2006/relationships/hyperlink" Target="https://www.nber.org/papers/w35054" TargetMode="External"/><Relationship Id="rIdwf7y5o7fcp2i4ptncfsxy" Type="http://schemas.openxmlformats.org/officeDocument/2006/relationships/hyperlink" Target="https://www.yicaiglobal.com/news/property-market-in-shanghai-shenzhen-to-be-first-to-bottom-out-this-year-goldman-sachs-says" TargetMode="External"/><Relationship Id="rIdjsxzhdyf_h56c9ptwpa8c" Type="http://schemas.openxmlformats.org/officeDocument/2006/relationships/hyperlink" Target="https://www.yicaiglobal.com/news/chinas-first-tier-cities-are-at-bottom-of-property-cycle-pimcos-president-says" TargetMode="External"/><Relationship Id="rIdl3vb1leomxd7evym3ag6c" Type="http://schemas.openxmlformats.org/officeDocument/2006/relationships/hyperlink" Target="https://www.cnbc.com/2024/10/30/chinas-property-market-is-expected-to-stabilize-in-2025-.html" TargetMode="External"/><Relationship Id="rIdfl4wovivtvx3rvfhjcy0v" Type="http://schemas.openxmlformats.org/officeDocument/2006/relationships/hyperlink" Target="https://www.goldmansachs.com/insights/articles/chinas-economy-expected-to-grow-in-2026-amid-surging-exports" TargetMode="External"/><Relationship Id="rIdmsrlfjuuuma0stwlko1sp" Type="http://schemas.openxmlformats.org/officeDocument/2006/relationships/hyperlink" Target="http://etf.group/lib/article/551741.html" TargetMode="External"/><Relationship Id="rIdtompkf0pxrzhubpcv_u3q" Type="http://schemas.openxmlformats.org/officeDocument/2006/relationships/hyperlink" Target="https://edu.efunds.com.cn/c/22/22417.shtml" TargetMode="External"/><Relationship Id="rIdrzrexcpz-foyignwfecdm" Type="http://schemas.openxmlformats.org/officeDocument/2006/relationships/hyperlink" Target="https://www.gurufocus.com/news/991340/howard-marks-the-3-stages-of-any-bull-market" TargetMode="External"/><Relationship Id="rId48rynndyjzfzg3yaw9fzp" Type="http://schemas.openxmlformats.org/officeDocument/2006/relationships/hyperlink" Target="https://hedgefundalpha.com/education/book-review-mastering-the-market-cycle-by-howard-marks-part-1/" TargetMode="External"/><Relationship Id="rIdpwq2hlffxoni0pqii2ybu" Type="http://schemas.openxmlformats.org/officeDocument/2006/relationships/hyperlink" Target="https://www.ppmfunds.com/howard-marks-makes-a-good-point-markets-are-more-volatile-than-economies/" TargetMode="External"/><Relationship Id="rIdg4fpzyl40ua66hvbziwrx" Type="http://schemas.openxmlformats.org/officeDocument/2006/relationships/hyperlink" Target="https://www.bloomberg.com/news/articles/2024-11-20/oaktree-s-marks-says-uninvestable-china-offers-bargain-assets" TargetMode="External"/><Relationship Id="rId1kxni9vtygte9b3rdvwsr" Type="http://schemas.openxmlformats.org/officeDocument/2006/relationships/hyperlink" Target="https://english.news.cn/20240523/f4a82c1245fc4b88b36c13791fec3a55/c.html" TargetMode="External"/><Relationship Id="rIdrofbplqkrqucwfon5fo4g" Type="http://schemas.openxmlformats.org/officeDocument/2006/relationships/hyperlink" Target="https://www.oaktreecapital.com/insights/memo/is-it-a-bubble" TargetMode="External"/><Relationship Id="rIdoqliuxavfopbhkwydsfbr" Type="http://schemas.openxmlformats.org/officeDocument/2006/relationships/hyperlink" Target="https://www.oaktreecapital.com/insights/memo/shall-we-repeal-the-laws-of-economics---part-iii" TargetMode="External"/><Relationship Id="rId2yrarglqdyookkvtply-s" Type="http://schemas.openxmlformats.org/officeDocument/2006/relationships/hyperlink" Target="https://www.stcn.com/article/detail/3567918.html" TargetMode="External"/><Relationship Id="rIdrsmexwiu4k9mdxutpnqwn" Type="http://schemas.openxmlformats.org/officeDocument/2006/relationships/hyperlink" Target="https://www.hkcd.com.hk/content_app/2025-12/31/content_8733413.html" TargetMode="External"/><Relationship Id="rIdqan_zd-w6_te8cwurx4fn" Type="http://schemas.openxmlformats.org/officeDocument/2006/relationships/hyperlink" Target="https://m.21jingji.com/article/20260630/herald/901809d843b9f53665c5732241312bb2.html" TargetMode="External"/><Relationship Id="rIdvqgbmwmi0yc-4d2nadjme" Type="http://schemas.openxmlformats.org/officeDocument/2006/relationships/hyperlink" Target="https://www.sse.com.cn/aboutus/mediacenter/hotandd/c/c_20260114_10805178.shtml" TargetMode="External"/><Relationship Id="rIdoc-e8bgcyrnqjnhlpfnz3" Type="http://schemas.openxmlformats.org/officeDocument/2006/relationships/hyperlink" Target="https://www.sina.cn/news/detail/5298605089099406.html" TargetMode="External"/><Relationship Id="rIdqr62uhysuijpdc74qjz4x" Type="http://schemas.openxmlformats.org/officeDocument/2006/relationships/hyperlink" Target="https://www.cfi.net.cn/p20260720000610.html" TargetMode="External"/><Relationship Id="rId9irldj8wpqvsamihawixe" Type="http://schemas.openxmlformats.org/officeDocument/2006/relationships/hyperlink" Target="https://finance.sina.com.cn/roll/2026-06-24/doc-iniepkrn1393767.shtml" TargetMode="External"/><Relationship Id="rIddbrgapvf7izusq35dahvo" Type="http://schemas.openxmlformats.org/officeDocument/2006/relationships/hyperlink" Target="https://www.huxiu.com/moment/1265734.html" TargetMode="External"/><Relationship Id="rIdrldzhscnaj10wqfg5ajtt" Type="http://schemas.openxmlformats.org/officeDocument/2006/relationships/hyperlink" Target="https://www.guancha.cn/economy/2025_12_12_800161.shtml" TargetMode="External"/><Relationship Id="rIdjrh-4my9ljuyfagfq6a9y" Type="http://schemas.openxmlformats.org/officeDocument/2006/relationships/hyperlink" Target="https://finance.sina.com.cn/wm/2026-07-02/doc-inifmmmw4091722.shtml" TargetMode="External"/><Relationship Id="rIdyaoj3ilcqafp4pp_kjctw" Type="http://schemas.openxmlformats.org/officeDocument/2006/relationships/hyperlink" Target="https://finance.eastmoney.com/a/202609303887707686.html" TargetMode="External"/><Relationship Id="rIdplgp-u1dbi4vc67lx8eon" Type="http://schemas.openxmlformats.org/officeDocument/2006/relationships/hyperlink" Target="https://m.21jingji.com/article/20260930/herald/3a86d66c55e62c1c96de78248bce1a33.html" TargetMode="External"/><Relationship Id="rIdlx5suz0im9nddhmlkj-nj" Type="http://schemas.openxmlformats.org/officeDocument/2006/relationships/hyperlink" Target="https://news.qq.com/rain/a/20261001A03WQC00" TargetMode="External"/><Relationship Id="rIdaxqwutmya-l6em1ni47a1" Type="http://schemas.openxmlformats.org/officeDocument/2006/relationships/hyperlink" Target="https://cn.investing.com/news/stock-market-news/article-3589888" TargetMode="External"/><Relationship Id="rId8nj3xijenz_yqid2auu0c" Type="http://schemas.openxmlformats.org/officeDocument/2006/relationships/hyperlink" Target="https://news.qq.com/rain/a/20260902A0CPV900" TargetMode="External"/><Relationship Id="rIdfjpvncmb-5wtpakthsyni" Type="http://schemas.openxmlformats.org/officeDocument/2006/relationships/hyperlink" Target="https://k.sina.com.cn/article_7857201856_1d45362c001908pcdy.html" TargetMode="External"/><Relationship Id="rIdwtkiezh1zdbve7fiuyayw" Type="http://schemas.openxmlformats.org/officeDocument/2006/relationships/hyperlink" Target="https://www.sse.com.cn/disclosure/announcement/general/c/c_20260915_10832273.shtml" TargetMode="External"/><Relationship Id="rId8ed7gbsdr92kdrcgwo7p0" Type="http://schemas.openxmlformats.org/officeDocument/2006/relationships/hyperlink" Target="https://www.21jingji.com/article/20261008/herald/d0d0d281d62e4932282708521683e4c3.html" TargetMode="External"/><Relationship Id="rIdn0cast-_sdnm7xlmlpl7u" Type="http://schemas.openxmlformats.org/officeDocument/2006/relationships/hyperlink" Target="https://etf.whatsid.me/indices/valuation" TargetMode="External"/><Relationship Id="rIdsj4t6ituupro-2hfyjizh" Type="http://schemas.openxmlformats.org/officeDocument/2006/relationships/hyperlink" Target="https://gu.qq.com/sh688256/gp/notice/nos1215368844" TargetMode="External"/><Relationship Id="rId7yge-joilgd83kph9xgek" Type="http://schemas.openxmlformats.org/officeDocument/2006/relationships/hyperlink" Target="https://finance.eastmoney.com/a/202609303887810953.html" TargetMode="External"/><Relationship Id="rIda2n9cixdf6sbin5dl9ira" Type="http://schemas.openxmlformats.org/officeDocument/2006/relationships/hyperlink" Target="https://21jingji.com/article/20261008/herald/b2d97ce08e9e1e66a806cbbe4a0e00ef.html" TargetMode="External"/><Relationship Id="rIdkk_uz3jxb20iidigpfqe5" Type="http://schemas.openxmlformats.org/officeDocument/2006/relationships/hyperlink" Target="https://baifenwei.com/index/hs300/" TargetMode="External"/><Relationship Id="rIdwpye2-h7lm6n0kvnr5uxa" Type="http://schemas.openxmlformats.org/officeDocument/2006/relationships/hyperlink" Target="https://k.sina.cn/article_5953190046_162d6789e06703tcc2.html" TargetMode="External"/><Relationship Id="rIdkvz5lm0gdf-aokmevkc1u" Type="http://schemas.openxmlformats.org/officeDocument/2006/relationships/hyperlink" Target="https://www.cls.cn/detail/2411839" TargetMode="External"/><Relationship Id="rIddzzq6zsgbwjhr1l_qnitl" Type="http://schemas.openxmlformats.org/officeDocument/2006/relationships/hyperlink" Target="https://www.hsi.com.hk/static/uploads/contents/en/dl_centre/factsheets/hshdyie.pdf" TargetMode="External"/><Relationship Id="rIdassw8qeml5hrypobqyyqd" Type="http://schemas.openxmlformats.org/officeDocument/2006/relationships/hyperlink" Target="https://xueqiu.com/S/CSI932000?from=status_stock_match" TargetMode="External"/><Relationship Id="rIdi1wxkesla7exbsj8v7vk4" Type="http://schemas.openxmlformats.org/officeDocument/2006/relationships/hyperlink" Target="https://gbcode.rthk.hk/TuniS/news.rthk.hk/rthk/ch/component/k2/1872162-20260930.htm" TargetMode="External"/><Relationship Id="rIdfz_9iptpurrcquzoyrqtj" Type="http://schemas.openxmlformats.org/officeDocument/2006/relationships/hyperlink" Target="https://www.stcn.com/article/detail/4203403.html" TargetMode="External"/><Relationship Id="rIdby2ntjlz-eok9xsmphtum" Type="http://schemas.openxmlformats.org/officeDocument/2006/relationships/hyperlink" Target="https://finance.sina.com.cn/stock/hkstock/marketalerts/2026-09-30/doc-initqzmc5724433.shtml" TargetMode="External"/><Relationship Id="rIdvag9qgut3f_5--axvulu4" Type="http://schemas.openxmlformats.org/officeDocument/2006/relationships/hyperlink" Target="https://finance.sina.com.cn/stock/estate/integration/2026-10-08/doc-iniunmir3987873.shtml" TargetMode="External"/><Relationship Id="rId1he-y9eyambtahxywlw5w" Type="http://schemas.openxmlformats.org/officeDocument/2006/relationships/hyperlink" Target="https://m.cnstock.com/commonDetail/750794" TargetMode="External"/><Relationship Id="rId3suhj2u9wrbbjawda8qrh" Type="http://schemas.openxmlformats.org/officeDocument/2006/relationships/hyperlink" Target="https://hedgefundalpha.com/education/book-review-mastering-the-market-cycle-by-howard-marks-part-1/" TargetMode="External"/><Relationship Id="rIdyvwaa96ujucojkesa-jp7" Type="http://schemas.openxmlformats.org/officeDocument/2006/relationships/hyperlink" Target="https://www.thestandard.com.hk/finance/article/342820/Goldman-Sachs-slashes-Chinas-full-year-GDP-forecast-to-45pc" TargetMode="External"/><Relationship Id="rIdba-dtqao7icxr-drqcjdj" Type="http://schemas.openxmlformats.org/officeDocument/2006/relationships/hyperlink" Target="https://finance.eastmoney.com/a/202610023888392377.html" TargetMode="External"/><Relationship Id="rIdvyhndbuknon3n9a438wdi" Type="http://schemas.openxmlformats.org/officeDocument/2006/relationships/hyperlink" Target="https://m.21jingji.com/article/20261004/herald/6d53a6e1eca0fa950cfbaa808e9b484e.html" TargetMode="External"/><Relationship Id="rIdobyia3aqooixd_hjikkug" Type="http://schemas.openxmlformats.org/officeDocument/2006/relationships/hyperlink" Target="https://finance.eastmoney.com/a/202609303887918144.html" TargetMode="External"/><Relationship Id="rIdrxqclr_lyax0m3qaqaxge" Type="http://schemas.openxmlformats.org/officeDocument/2006/relationships/hyperlink" Target="https://auresnotes.com/summary-the-changing-world-order-ray-dalio/2/" TargetMode="External"/><Relationship Id="rIdqfp0ziq39lnsrjbr7qnmi" Type="http://schemas.openxmlformats.org/officeDocument/2006/relationships/hyperlink" Target="https://www.linkedin.com/pulse/delving-six-stages-internal-cycle-particular-focus-us-ray-dalio" TargetMode="External"/><Relationship Id="rId4nokrqpu3xpvrydf1jvz7" Type="http://schemas.openxmlformats.org/officeDocument/2006/relationships/hyperlink" Target="https://www.ai-cio.com/news/ray-dalio-is-now-ranking-nations-by-their-strengths-and-weaknesses/" TargetMode="External"/><Relationship Id="rIddh7_oycjhqsekzzze1vzb" Type="http://schemas.openxmlformats.org/officeDocument/2006/relationships/hyperlink" Target="https://fortune.com/2026/03/14/ray-dalio-big-cycle-debt-crisis-political-disorder-world-order/" TargetMode="External"/><Relationship Id="rIdmtsprpvrwarxy_ad9nzo3" Type="http://schemas.openxmlformats.org/officeDocument/2006/relationships/hyperlink" Target="https://www.cfr.org/articles/is-chinas-surplus-really-shrinking" TargetMode="External"/><Relationship Id="rIdunjw77sjrqag-ogapqip-" Type="http://schemas.openxmlformats.org/officeDocument/2006/relationships/hyperlink" Target="https://ifr.org/downloads/press_docs/EN-2026-SEP-24-IFR_Press_Release_WR-CHINA.pdf" TargetMode="External"/><Relationship Id="rIdalixulg24akzefvrvrfm5" Type="http://schemas.openxmlformats.org/officeDocument/2006/relationships/hyperlink" Target="https://www.cnbc.com/2026/09/26/china-ai-global-adoption.html" TargetMode="External"/><Relationship Id="rIdcrxiza8s6qziqfptqlbcs" Type="http://schemas.openxmlformats.org/officeDocument/2006/relationships/hyperlink" Target="https://en.sedaily.com/finance/2026/04/17/chinas-ai-chip-self-sufficiency-hits-41-percent-korea-slips" TargetMode="External"/><Relationship Id="rIdb0ppt9ekauzhptkgwpt9u" Type="http://schemas.openxmlformats.org/officeDocument/2006/relationships/hyperlink" Target="https://www.techtimes.com/articles/325392/20260824/goldman-sees-china-34-short-chip-self-sufficiency-2035-smic-yield-fragile-key.htm" TargetMode="External"/><Relationship Id="rId-ysiwlvu7vfjzidyqweom" Type="http://schemas.openxmlformats.org/officeDocument/2006/relationships/hyperlink" Target="https://www.imf.org/en/publications/weo/issues/2026/07/08/world-economic-outlook-update-july-2026" TargetMode="External"/><Relationship Id="rIdlbkrvq4gyvxqventttekn" Type="http://schemas.openxmlformats.org/officeDocument/2006/relationships/hyperlink" Target="https://www.safe.gov.cn/en/2026/0929/2458.html" TargetMode="External"/><Relationship Id="rId4j0pnpuil0a-rjemb-nse" Type="http://schemas.openxmlformats.org/officeDocument/2006/relationships/hyperlink" Target="https://economicprinciples.org/downloads/how-countries-go-broke-part-4.pdf" TargetMode="External"/><Relationship Id="rIdrqvcjuimzhzgic03bkndc" Type="http://schemas.openxmlformats.org/officeDocument/2006/relationships/hyperlink" Target="https://tradetreasurypayments.com/articles/usd-leads-global-payments-swifts-global-currency-tracker-july-2026" TargetMode="External"/><Relationship Id="rIdjw2hm9oed0egcaab99gem" Type="http://schemas.openxmlformats.org/officeDocument/2006/relationships/hyperlink" Target="https://www.kitco.com/news/article/2026-10-07/chinas-central-bank-buys-21-tonnes-gold-september-largest-monthly-purchase" TargetMode="External"/><Relationship Id="rIdzhwrdoiqwf-pbrjz0ptmn" Type="http://schemas.openxmlformats.org/officeDocument/2006/relationships/hyperlink" Target="https://finance.yahoo.com/markets/currencies/articles/ray-dalio-warns-china-japan-034615378.html" TargetMode="External"/><Relationship Id="rId9rmwmh3qghoyi-biobx9w" Type="http://schemas.openxmlformats.org/officeDocument/2006/relationships/hyperlink" Target="https://www.stats.gov.cn/sj/sjjd/202601/t20260119_1962338.html" TargetMode="External"/><Relationship Id="rIdu1czttuxro7becarlmpu8" Type="http://schemas.openxmlformats.org/officeDocument/2006/relationships/hyperlink" Target="https://raydalio.substack.com/p/the-tribute-system-the-new-world" TargetMode="External"/><Relationship Id="rIdjd-3hgdwebfbmin3tmstr" Type="http://schemas.openxmlformats.org/officeDocument/2006/relationships/hyperlink" Target="https://www.cnbc.com/2026/09/24/us-china-trade-truce-bessent-trump-xi.html" TargetMode="External"/><Relationship Id="rIdb0z87lrijoupub05wvxyr" Type="http://schemas.openxmlformats.org/officeDocument/2006/relationships/hyperlink" Target="https://www.axios.com/2026/09/26/us-china-tariffs-trade-30-billion" TargetMode="External"/><Relationship Id="rIdzs46m_mzivcpozjlyvhpt" Type="http://schemas.openxmlformats.org/officeDocument/2006/relationships/hyperlink" Target="https://www.congress.gov/crs_external_products/IF/PDF/IF12990/IF12990.13.pdf" TargetMode="External"/><Relationship Id="rIdukrygbvkevnaq9mgwh-dl" Type="http://schemas.openxmlformats.org/officeDocument/2006/relationships/hyperlink" Target="https://en.sedaily.com/international/2026/10/02/us-vows-action-on-overcapacity-within-weeks" TargetMode="External"/><Relationship Id="rIdxihbgizxosu6l1ikpyblp" Type="http://schemas.openxmlformats.org/officeDocument/2006/relationships/hyperlink" Target="https://www.theinformation.com/articles/china-restricts-nvidia-chip-purchases-special-circumstances" TargetMode="External"/><Relationship Id="rIdpbz2kok01uaeoqbkpeeyj" Type="http://schemas.openxmlformats.org/officeDocument/2006/relationships/hyperlink" Target="https://www.business-standard.com/amp/world-news/us-arms-sales-unchanged-but-14-billion-package-remains-on-hold-taiwan-126092900525_1.html" TargetMode="External"/><Relationship Id="rIditjqurykkph8-ey1q8e9p" Type="http://schemas.openxmlformats.org/officeDocument/2006/relationships/hyperlink" Target="https://jamaica-gleaner.com/article/news/20260228/us-and-israel-strike-iran" TargetMode="External"/><Relationship Id="rId9al9qmriblbw6sbzpfgsw" Type="http://schemas.openxmlformats.org/officeDocument/2006/relationships/hyperlink" Target="https://www.cnbc.com/2026/10/07/us-iran-war-trump-hormuz.html" TargetMode="External"/><Relationship Id="rIdazv5jkgwxr8gsqfukg5pl" Type="http://schemas.openxmlformats.org/officeDocument/2006/relationships/hyperlink" Target="https://tradingeconomics.com/commodity/brent-crude-oil" TargetMode="External"/><Relationship Id="rIdlpmkttdauzjdjfwqkm_jh" Type="http://schemas.openxmlformats.org/officeDocument/2006/relationships/hyperlink" Target="https://www.cnbc.com/2026/09/16/fed-rate-decision-september-2026.html" TargetMode="External"/><Relationship Id="rIdtlmrvpkzeojzm25n5up2h" Type="http://schemas.openxmlformats.org/officeDocument/2006/relationships/hyperlink" Target="https://usmacro.com/indicator/dxy" TargetMode="External"/><Relationship Id="rIdsv07dbxmxnye7plugobfj" Type="http://schemas.openxmlformats.org/officeDocument/2006/relationships/hyperlink" Target="https://www.thetrading.tools/gold-price" TargetMode="External"/><Relationship Id="rIduj-spsmha_tc6is2ytqnz" Type="http://schemas.openxmlformats.org/officeDocument/2006/relationships/hyperlink" Target="https://think.ing.com/articles/cny-at-a-glance-tightening-our-forecast-band-for-2h26/" TargetMode="External"/><Relationship Id="rId7shbjgxywhemkazqoznbu" Type="http://schemas.openxmlformats.org/officeDocument/2006/relationships/hyperlink" Target="https://www.fxcintel.com/research/analysis/cips-volumes-may-2026" TargetMode="External"/><Relationship Id="rIdnukw8aqimazs1lqezahdg" Type="http://schemas.openxmlformats.org/officeDocument/2006/relationships/hyperlink" Target="https://www.bloomberg.com/news/articles/2026-10-06/ray-dalio-warns-china-japan-may-pull-back-from-us-treasuries" TargetMode="External"/><Relationship Id="rIdw9nhr-vzuni6dyp6gzlmq" Type="http://schemas.openxmlformats.org/officeDocument/2006/relationships/hyperlink" Target="https://themarketmentor.substack.com/p/how-countries-go-broke-dalio-the" TargetMode="External"/><Relationship Id="rIdy4hblquz_fnge6xezz2di" Type="http://schemas.openxmlformats.org/officeDocument/2006/relationships/hyperlink" Target="https://en.wikipedia.org/wiki/How_Countries_Go_Broke" TargetMode="External"/><Relationship Id="rIdz1pbip80dgol9zqi_vbsv" Type="http://schemas.openxmlformats.org/officeDocument/2006/relationships/hyperlink" Target="https://x.com/RayDalio/status/1882162323869040721" TargetMode="External"/><Relationship Id="rIdzr5exs9e9zcirnimbilrd" Type="http://schemas.openxmlformats.org/officeDocument/2006/relationships/hyperlink" Target="https://www.businesstoday.in/world/story/us-debt-hits-danger-zone-ray-dalio-explains-why-a-big-debt-cycle-could-trigger-a-crisis-550775-2026-08-23" TargetMode="External"/><Relationship Id="rId1jg7dbyage5j-phac5n-z" Type="http://schemas.openxmlformats.org/officeDocument/2006/relationships/hyperlink" Target="https://economicprinciples.org/downloads/how-countries-go-broke-part-4.pdf" TargetMode="External"/><Relationship Id="rIdueulmfqlfew75frihhyqw" Type="http://schemas.openxmlformats.org/officeDocument/2006/relationships/hyperlink" Target="https://www.stats.gov.cn/sj/zxfb/202609/t20260909_1965263.html" TargetMode="External"/><Relationship Id="rIducpbxbhnarvkffdb03aqw" Type="http://schemas.openxmlformats.org/officeDocument/2006/relationships/hyperlink" Target="https://www.mof.gov.cn/zhengwuxinxi/caizhengxinwen/202603/t20260316_3985331.htm" TargetMode="External"/><Relationship Id="rIdbvm2s9higlnz8eysne54b" Type="http://schemas.openxmlformats.org/officeDocument/2006/relationships/hyperlink" Target="https://www.imf.org/en/publications/cr/issues/2026/02/17/peoples-republic-of-china-2025-article-iv-consultation-press-release-staff-report-and-574028" TargetMode="External"/><Relationship Id="rId5nobuihrfq2m_z4zgetbl" Type="http://schemas.openxmlformats.org/officeDocument/2006/relationships/hyperlink" Target="https://finance.yahoo.com/news/fitch-cuts-china-credit-rating-135005733.html" TargetMode="External"/><Relationship Id="rIddbnzgiep9naiecdw-5njg" Type="http://schemas.openxmlformats.org/officeDocument/2006/relationships/hyperlink" Target="https://www.caixinglobal.com/2026-04-28/moodys-raises-china-outlook-to-stable-on-economic-resilience-102438898.html" TargetMode="External"/><Relationship Id="rIdynpdnjxcyzouksmgbb377" Type="http://schemas.openxmlformats.org/officeDocument/2006/relationships/hyperlink" Target="https://www.soa.org/493588/globalassets/assets/library/newsletters/risks-and-rewards/1998/march/rar-1998-iss30-neely.pdf" TargetMode="External"/><Relationship Id="rIdfpni0i_lpetokbqkyo0b-" Type="http://schemas.openxmlformats.org/officeDocument/2006/relationships/hyperlink" Target="https://www.nippon.com/en/news/yjj2026041300246/" TargetMode="External"/><Relationship Id="rIdtjm1cu1i51x50phqx7tw9" Type="http://schemas.openxmlformats.org/officeDocument/2006/relationships/hyperlink" Target="https://www5.cao.go.jp/zenbun/wp-e/wp-je02/wp-je02bun-01-03.html" TargetMode="External"/><Relationship Id="rIdod1poiiyweugxidit3bct" Type="http://schemas.openxmlformats.org/officeDocument/2006/relationships/hyperlink" Target="https://www5.cao.go.jp/zenbun/wp-e/wp-je03/03bun-01-34.html" TargetMode="External"/><Relationship Id="rIdxszeude00otehrmbfvgjh" Type="http://schemas.openxmlformats.org/officeDocument/2006/relationships/hyperlink" Target="https://fred.stlouisfed.org/data/INTDSRJPM193N" TargetMode="External"/><Relationship Id="rIdnluapj2qvi3qzquvwynma" Type="http://schemas.openxmlformats.org/officeDocument/2006/relationships/hyperlink" Target="https://en.wikipedia.org/wiki/Nikkei_225" TargetMode="External"/><Relationship Id="rIdlcxhwyrfxoa_nnxpslcil" Type="http://schemas.openxmlformats.org/officeDocument/2006/relationships/hyperlink" Target="https://www.nippon.com/en/in-depth/d00470/" TargetMode="External"/><Relationship Id="rIdjy0samlx3xlbltabytszo" Type="http://schemas.openxmlformats.org/officeDocument/2006/relationships/hyperlink" Target="https://www.cirje.e.u-tokyo.ac.jp/research/dp/2011/2011cf819.pdf" TargetMode="External"/><Relationship Id="rIdziuc9mbogme_4qzesewck" Type="http://schemas.openxmlformats.org/officeDocument/2006/relationships/hyperlink" Target="https://en.wikipedia.org/wiki/Nikkei_225" TargetMode="External"/><Relationship Id="rId9qtesegl1frc0a_rs43zc" Type="http://schemas.openxmlformats.org/officeDocument/2006/relationships/hyperlink" Target="https://www.cirje.e.u-tokyo.ac.jp/research/dp/2011/2011cf819.pdf" TargetMode="External"/><Relationship Id="rIdsgfsc9gnnathdsuy8qavr" Type="http://schemas.openxmlformats.org/officeDocument/2006/relationships/hyperlink" Target="https://www5.cao.go.jp/zenbun/wp-e/wp-je02/wp-je02bun-01-03.html" TargetMode="External"/><Relationship Id="rId90qpui7murgsosy1wjmhl" Type="http://schemas.openxmlformats.org/officeDocument/2006/relationships/hyperlink" Target="https://www.nippon.com/en/in-depth/d00470/" TargetMode="External"/><Relationship Id="rId9i5nbtzno7udny1iec2th" Type="http://schemas.openxmlformats.org/officeDocument/2006/relationships/hyperlink" Target="https://www5.cao.go.jp/zenbun/wp-e/wp-je03/03bun-01-34.html" TargetMode="External"/><Relationship Id="rIdqzega7dmobgqirrp0wa9a" Type="http://schemas.openxmlformats.org/officeDocument/2006/relationships/hyperlink" Target="https://www.smd-am.co.jp/market/daily/marketreport/archives/japan/news171205jp/" TargetMode="External"/><Relationship Id="rIdgj3hdp3hyreab0icplebc" Type="http://schemas.openxmlformats.org/officeDocument/2006/relationships/hyperlink" Target="https://www.rieti.go.jp/en/rieti_report/011.html" TargetMode="External"/><Relationship Id="rId2fs0n6xi6s8jp30lprjux" Type="http://schemas.openxmlformats.org/officeDocument/2006/relationships/hyperlink" Target="https://www.news.cn/20260730/13ecbfd4cd9b455281a0649232b98ad0/c.html" TargetMode="External"/><Relationship Id="rIdzyychptw9_fc1ximmjhfd" Type="http://schemas.openxmlformats.org/officeDocument/2006/relationships/hyperlink" Target="https://www.indexbox.io/blog/chinas-july-politburo-meeting-supportive-tone-no-large-stimulus/" TargetMode="External"/><Relationship Id="rIdopi3vpm22kgqficxhqzyj" Type="http://schemas.openxmlformats.org/officeDocument/2006/relationships/hyperlink" Target="https://www.stcn.com/article/detail/3996988.html" TargetMode="External"/><Relationship Id="rIdarj88-u1ckmlj6vtfplz6" Type="http://schemas.openxmlformats.org/officeDocument/2006/relationships/hyperlink" Target="https://www.mof.gov.cn/zhengwuxinxi/caizhengxinwen/202603/t20260316_3985331.htm" TargetMode="External"/><Relationship Id="rIdomjbn-l7uwggdwnlg8ivv" Type="http://schemas.openxmlformats.org/officeDocument/2006/relationships/hyperlink" Target="https://www.elibrary.imf.org/view/journals/002/2026/044/article-A001-en.xml" TargetMode="External"/><Relationship Id="rId6-e5eqevluwuv-8vfsimk" Type="http://schemas.openxmlformats.org/officeDocument/2006/relationships/hyperlink" Target="https://www.ndrc.gov.cn/fggz/202609/t20260930_1407948.html" TargetMode="External"/><Relationship Id="rIdnmfeggzca5eh6bgnye9wy" Type="http://schemas.openxmlformats.org/officeDocument/2006/relationships/hyperlink" Target="http://www.china.org.cn/2026-07/13/content_118596094.shtml" TargetMode="External"/><Relationship Id="rId_vosbjvigjexar4d-77qq" Type="http://schemas.openxmlformats.org/officeDocument/2006/relationships/hyperlink" Target="https://www.bloomberg.com/news/articles/2026-09-29/chinese-stimulus-boost-higher-bond-supply-threaten-debt-rally" TargetMode="External"/><Relationship Id="rIdjf0gs6xupe8b10b8mat-i" Type="http://schemas.openxmlformats.org/officeDocument/2006/relationships/hyperlink" Target="https://www.bloomberg.com/news/newsletters/2026-09-30/china-stimulus-underwhelms-in-sign-two-speed-economy-to-persist" TargetMode="External"/><Relationship Id="rId8m7jmqehcovpflbcr0rqs" Type="http://schemas.openxmlformats.org/officeDocument/2006/relationships/hyperlink" Target="https://news.qq.com/rain/a/20260920A07UNN00" TargetMode="External"/><Relationship Id="rId159kq8ih7im7wuklcic7o" Type="http://schemas.openxmlformats.org/officeDocument/2006/relationships/hyperlink" Target="https://www.imf.org/-/media/Files/Publications/WP/2018/wp18206.ashx" TargetMode="External"/><Relationship Id="rId1pclt8y2cga1bu_t1v5gf" Type="http://schemas.openxmlformats.org/officeDocument/2006/relationships/hyperlink" Target="https://news.qq.com/rain/a/20260914A0DAUH00" TargetMode="External"/><Relationship Id="rIdrlcbwnlnpzvlnpktw4gy9" Type="http://schemas.openxmlformats.org/officeDocument/2006/relationships/hyperlink" Target="https://m.cnfin.com/jrjfb-lb//zixun/20260814/4455551_1.html" TargetMode="External"/><Relationship Id="rId9bjiab8fihjk_hw2w1fdv" Type="http://schemas.openxmlformats.org/officeDocument/2006/relationships/hyperlink" Target="https://sccei.fsi.stanford.edu/china-briefs/chinas-property-slump-can-curb-growth-years-even-without-banking-crisis" TargetMode="External"/><Relationship Id="rIdxprq7iw7rokmjz9eeaj2o" Type="http://schemas.openxmlformats.org/officeDocument/2006/relationships/hyperlink" Target="https://www.linkedin.com/pulse/china-needs-engineer-beautiful-deleveraging-ray-dalio" TargetMode="External"/><Relationship Id="rIdy2trc0gmopudtxx-nikfi" Type="http://schemas.openxmlformats.org/officeDocument/2006/relationships/hyperlink" Target="https://www.nber.org/papers/w35054" TargetMode="External"/><Relationship Id="rIdsiqrn004poq7flcpbbt4p" Type="http://schemas.openxmlformats.org/officeDocument/2006/relationships/hyperlink" Target="https://fortune.com/2025/10/08/ray-dalio-investors-gold-portfolio-allocation-risk-hedges" TargetMode="External"/><Relationship Id="rIdrq1e26kxt1buybxttmyfj" Type="http://schemas.openxmlformats.org/officeDocument/2006/relationships/hyperlink" Target="https://fortune.com/2026/01/06/ray-dalio-says-ai-is-in-the-early-stages-of-a-bubble-so-watch-out-for-2026/" TargetMode="External"/><Relationship Id="rIdrpi1vqgxl-wvmsqivkx5o" Type="http://schemas.openxmlformats.org/officeDocument/2006/relationships/hyperlink" Target="https://www.news.cn/money/20260413/f3f9603dd1e643939daaff5de2217e13/c.html" TargetMode="External"/><Relationship Id="rId2c12zzznm4q4mks2wfohe" Type="http://schemas.openxmlformats.org/officeDocument/2006/relationships/hyperlink" Target="https://news.qq.com/rain/a/20260523A028IH00" TargetMode="External"/><Relationship Id="rIdd3fnag7d5gz7areas4qyv" Type="http://schemas.openxmlformats.org/officeDocument/2006/relationships/hyperlink" Target="https://www.mnimarkets.com/articles/ppi-confirms-structural-shift-towards-reflation-1778463932422" TargetMode="External"/><Relationship Id="rId6mcikdqwst0mbxukqoagg" Type="http://schemas.openxmlformats.org/officeDocument/2006/relationships/hyperlink" Target="https://english.www.gov.cn/policies/latestreleases/202607/13/content_WS6a54eb75c6d00ca5f9a0c2aa.html" TargetMode="External"/><Relationship Id="rId4q7b_s3u5kubphs2bhpny" Type="http://schemas.openxmlformats.org/officeDocument/2006/relationships/hyperlink" Target="https://www.scmp.com/economy/china-economy/article/3358532/economist-richard-koo-china-and-japans-shared-battle-against-time" TargetMode="External"/><Relationship Id="rIdj0p-tzt4aicozldnaggk3" Type="http://schemas.openxmlformats.org/officeDocument/2006/relationships/hyperlink" Target="https://www.top1000funds.com/podcasts/michael-pettis-on-chinas-overinvestment-paradox-and-the-japan-style-reckoning-still-to-come/" TargetMode="External"/><Relationship Id="rId9s-5rvapuvefcqjqlelyf" Type="http://schemas.openxmlformats.org/officeDocument/2006/relationships/hyperlink" Target="https://www.scmp.com/economy/china-economy/article/3358532/economist-richard-koo-china-and-japans-shared-battle-against-time" TargetMode="External"/><Relationship Id="rId2cxsjsrnhfkzmum1cxzh9" Type="http://schemas.openxmlformats.org/officeDocument/2006/relationships/hyperlink" Target="https://www.marketplace.org/story/2026/07/22/chinas-consumer-economy-is-slowing-down" TargetMode="External"/><Relationship Id="rId1ergf5cimj6pginulgbfu" Type="http://schemas.openxmlformats.org/officeDocument/2006/relationships/hyperlink" Target="https://news.qq.com/rain/a/20260920A07UNN00" TargetMode="External"/><Relationship Id="rIdddyqxbcsv_3-5whg7bhgd" Type="http://schemas.openxmlformats.org/officeDocument/2006/relationships/hyperlink" Target="https://finance.sina.com.cn/hy/hyjz/2026-09-19/doc-iniskccv2388962.shtml" TargetMode="External"/><Relationship Id="rIdtyxf89nwgo8a-vfyoxe4n" Type="http://schemas.openxmlformats.org/officeDocument/2006/relationships/hyperlink" Target="https://topics.caixin.com/2026-06-17/102455159.html" TargetMode="External"/><Relationship Id="rIdwcmuyoko3ptefp7iotxva" Type="http://schemas.openxmlformats.org/officeDocument/2006/relationships/hyperlink" Target="http://www.china.org.cn/2026-07/13/content_118596094.shtml" TargetMode="External"/><Relationship Id="rIdinb5fagngqf5eq6ik-px4" Type="http://schemas.openxmlformats.org/officeDocument/2006/relationships/hyperlink" Target="https://www.sina.cn/news/detail/5321638711137922.html" TargetMode="External"/></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中国经济周期定位</dc:title>
  <dc:creator>Claude</dc:creator>
  <dc:description>中国经济周期定位（2026年10月）第2版（终版）</dc:description>
  <cp:lastModifiedBy>Un-named</cp:lastModifiedBy>
  <cp:revision>1</cp:revision>
  <dcterms:created xsi:type="dcterms:W3CDTF">2026-10-09T03:13:37.094Z</dcterms:created>
  <dcterms:modified xsi:type="dcterms:W3CDTF">2026-10-09T03:13:37.095Z</dcterms:modified>
</cp:coreProperties>
</file>

<file path=docProps/custom.xml><?xml version="1.0" encoding="utf-8"?>
<Properties xmlns="http://schemas.openxmlformats.org/officeDocument/2006/custom-properties" xmlns:vt="http://schemas.openxmlformats.org/officeDocument/2006/docPropsVTypes"/>
</file>