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jfzavshi"/>
    <w:tbl>
      <w:tblPr>
        <w:tblStyle w:val="Table"/>
        <w:tblW w:type="pct" w:w="5000"/>
        <w:tblLayout w:type="fixed"/>
        <w:tblLook w:firstRow="1" w:lastRow="1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 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Employment</w:t>
            </w:r>
          </w:p>
        </w:tc>
        <w:tc>
          <w:tcPr>
            <w:gridSpan w:val="2"/>
          </w:tcPr>
          <w:p>
            <w:pPr>
              <w:pStyle w:val="Compact"/>
            </w:pPr>
            <w:r>
              <w:t xml:space="preserve">Wages</w:t>
            </w:r>
          </w:p>
        </w:tc>
      </w:tr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High Skill</w:t>
            </w:r>
          </w:p>
        </w:tc>
        <w:tc>
          <w:tcPr/>
          <w:p>
            <w:pPr>
              <w:pStyle w:val="Compact"/>
            </w:pPr>
            <w:r>
              <w:t xml:space="preserve">Low Skill</w:t>
            </w:r>
          </w:p>
        </w:tc>
        <w:tc>
          <w:tcPr/>
          <w:p>
            <w:pPr>
              <w:pStyle w:val="Compact"/>
            </w:pPr>
            <w:r>
              <w:t xml:space="preserve">High Skill</w:t>
            </w:r>
          </w:p>
        </w:tc>
        <w:tc>
          <w:tcPr/>
          <w:p>
            <w:pPr>
              <w:pStyle w:val="Compact"/>
            </w:pPr>
            <w:r>
              <w:t xml:space="preserve">Low Skill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(1)</w:t>
            </w:r>
          </w:p>
        </w:tc>
        <w:tc>
          <w:tcPr/>
          <w:p>
            <w:pPr>
              <w:pStyle w:val="Compact"/>
            </w:pPr>
            <w:r>
              <w:t xml:space="preserve">(2)</w:t>
            </w:r>
          </w:p>
        </w:tc>
        <w:tc>
          <w:tcPr/>
          <w:p>
            <w:pPr>
              <w:pStyle w:val="Compact"/>
            </w:pPr>
            <w:r>
              <w:t xml:space="preserve">(3)</w:t>
            </w:r>
          </w:p>
        </w:tc>
        <w:tc>
          <w:tcPr/>
          <w:p>
            <w:pPr>
              <w:pStyle w:val="Compact"/>
            </w:pPr>
            <w:r>
              <w:t xml:space="preserve">(4)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coef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  <w:r>
              <w:br/>
            </w: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-0.508**</w:t>
            </w:r>
            <w:r>
              <w:br/>
            </w:r>
            <w:r>
              <w:t xml:space="preserve">(0.047)</w:t>
            </w:r>
          </w:p>
        </w:tc>
        <w:tc>
          <w:tcPr/>
          <w:p>
            <w:pPr>
              <w:pStyle w:val="Compact"/>
            </w:pPr>
            <w:r>
              <w:t xml:space="preserve">0.485**</w:t>
            </w:r>
            <w:r>
              <w:br/>
            </w:r>
            <w:r>
              <w:t xml:space="preserve">(0.060)</w:t>
            </w:r>
          </w:p>
        </w:tc>
        <w:tc>
          <w:tcPr/>
          <w:p>
            <w:pPr>
              <w:pStyle w:val="Compact"/>
            </w:pPr>
            <w:r>
              <w:t xml:space="preserve">0.021</w:t>
            </w:r>
            <w:r>
              <w:br/>
            </w:r>
            <w:r>
              <w:t xml:space="preserve">(0.063)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p_bajo</w:t>
            </w:r>
          </w:p>
        </w:tc>
        <w:tc>
          <w:tcPr/>
          <w:p>
            <w:pPr>
              <w:pStyle w:val="Compact"/>
            </w:pPr>
            <w:r>
              <w:t xml:space="preserve">0.209</w:t>
            </w:r>
            <w:r>
              <w:br/>
            </w:r>
            <w:r>
              <w:t xml:space="preserve">(0.135)</w:t>
            </w:r>
          </w:p>
        </w:tc>
        <w:tc>
          <w:tcPr/>
          <w:p>
            <w:pPr>
              <w:pStyle w:val="Compact"/>
            </w:pPr>
            <w:r>
              <w:t xml:space="preserve">-0.180**</w:t>
            </w:r>
            <w:r>
              <w:br/>
            </w: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2.004**</w:t>
            </w:r>
            <w:r>
              <w:br/>
            </w:r>
            <w:r>
              <w:t xml:space="preserve">(0.232)</w:t>
            </w:r>
          </w:p>
        </w:tc>
        <w:tc>
          <w:tcPr/>
          <w:p>
            <w:pPr>
              <w:pStyle w:val="Compact"/>
            </w:pPr>
            <w:r>
              <w:t xml:space="preserve">0.013</w:t>
            </w:r>
            <w:r>
              <w:br/>
            </w:r>
            <w:r>
              <w:t xml:space="preserve">(0.044)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p_alto</w:t>
            </w:r>
          </w:p>
        </w:tc>
        <w:tc>
          <w:tcPr/>
          <w:p>
            <w:pPr>
              <w:pStyle w:val="Compact"/>
            </w:pPr>
            <w:r>
              <w:t xml:space="preserve">-0.132</w:t>
            </w:r>
            <w:r>
              <w:br/>
            </w:r>
            <w:r>
              <w:t xml:space="preserve">(0.092)</w:t>
            </w:r>
          </w:p>
        </w:tc>
        <w:tc>
          <w:tcPr/>
          <w:p>
            <w:pPr>
              <w:pStyle w:val="Compact"/>
            </w:pPr>
            <w:r>
              <w:t xml:space="preserve">0.316*</w:t>
            </w:r>
            <w:r>
              <w:br/>
            </w:r>
            <w:r>
              <w:t xml:space="preserve">(0.062)</w:t>
            </w:r>
          </w:p>
        </w:tc>
        <w:tc>
          <w:tcPr/>
          <w:p>
            <w:pPr>
              <w:pStyle w:val="Compact"/>
            </w:pPr>
            <w:r>
              <w:t xml:space="preserve">-1.909***</w:t>
            </w:r>
            <w:r>
              <w:br/>
            </w:r>
            <w:r>
              <w:t xml:space="preserve">(0.067)</w:t>
            </w:r>
          </w:p>
        </w:tc>
        <w:tc>
          <w:tcPr/>
          <w:p>
            <w:pPr>
              <w:pStyle w:val="Compact"/>
            </w:pPr>
            <w:r>
              <w:t xml:space="preserve">-0.099</w:t>
            </w:r>
            <w:r>
              <w:br/>
            </w:r>
            <w:r>
              <w:t xml:space="preserve">(0.053)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stats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t xml:space="preserve">148,036</w:t>
            </w:r>
          </w:p>
        </w:tc>
        <w:tc>
          <w:tcPr/>
          <w:p>
            <w:pPr>
              <w:pStyle w:val="Compact"/>
            </w:pPr>
            <w:r>
              <w:t xml:space="preserve">96,940</w:t>
            </w:r>
          </w:p>
        </w:tc>
        <w:tc>
          <w:tcPr/>
          <w:p>
            <w:pPr>
              <w:pStyle w:val="Compact"/>
            </w:pPr>
            <w:r>
              <w:t xml:space="preserve">54,729</w:t>
            </w:r>
          </w:p>
        </w:tc>
        <w:tc>
          <w:tcPr/>
          <w:p>
            <w:pPr>
              <w:pStyle w:val="Compact"/>
            </w:pPr>
            <w:r>
              <w:t xml:space="preserve">12,432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S.E. type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  <w:tc>
          <w:tcPr/>
          <w:p>
            <w:pPr>
              <w:pStyle w:val="Compact"/>
            </w:pPr>
            <w:r>
              <w:t xml:space="preserve">by: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0.022</w:t>
            </w:r>
          </w:p>
        </w:tc>
        <w:tc>
          <w:tcPr/>
          <w:p>
            <w:pPr>
              <w:pStyle w:val="Compact"/>
            </w:pPr>
            <w:r>
              <w:t xml:space="preserve">0.046</w:t>
            </w:r>
          </w:p>
        </w:tc>
        <w:tc>
          <w:tcPr/>
          <w:p>
            <w:pPr>
              <w:pStyle w:val="Compact"/>
            </w:pPr>
            <w:r>
              <w:t xml:space="preserve">0.132</w:t>
            </w:r>
          </w:p>
        </w:tc>
        <w:tc>
          <w:tcPr/>
          <w:p>
            <w:pPr>
              <w:pStyle w:val="Compact"/>
            </w:pPr>
            <w:r>
              <w:t xml:space="preserve">0.065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  <w:r>
              <w:rPr>
                <w:vertAlign w:val="superscript"/>
              </w:rPr>
              <w:t xml:space="preserve">2</w:t>
            </w:r>
            <w:r>
              <w:t xml:space="preserve"> </w:t>
            </w:r>
            <w:r>
              <w:t xml:space="preserve">Within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  <w:tc>
          <w:tcPr/>
          <w:p>
            <w:pPr>
              <w:pStyle w:val="Compact"/>
            </w:pPr>
            <w:r>
              <w:t xml:space="preserve">0.092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</w:tr>
      <w:tr>
        <w:tc>
          <w:tcPr>
            <w:gridSpan w:val="5"/>
          </w:tcPr>
          <w:p>
            <w:pPr>
              <w:pStyle w:val="Compact"/>
            </w:pPr>
            <w:r>
              <w:t xml:space="preserve">Significance levels: * p &lt; 0.05, ** p &lt; 0.01, *** p &lt; 0.001. Format of coefficient cell:</w:t>
            </w:r>
            <w:r>
              <w:t xml:space="preserve"> </w:t>
            </w:r>
            <w:r>
              <w:t xml:space="preserve">Coefficient</w:t>
            </w:r>
            <w:r>
              <w:t xml:space="preserve"> </w:t>
            </w:r>
            <w:r>
              <w:t xml:space="preserve">(Std. Error)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2026-05-23T23:13:12Z</dcterms:created>
  <dcterms:modified xsi:type="dcterms:W3CDTF">2026-05-23T23:13:12Z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