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f9dbvhkbgpy" w:id="0"/>
      <w:bookmarkEnd w:id="0"/>
      <w:r w:rsidDel="00000000" w:rsidR="00000000" w:rsidRPr="00000000">
        <w:rPr>
          <w:rtl w:val="0"/>
        </w:rPr>
        <w:t xml:space="preserve">Notable Quotes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Overall, generative AI is in use (by the respondent or a colleague) in 30.7% of SMEs</w:t>
      </w:r>
      <w:r w:rsidDel="00000000" w:rsidR="00000000" w:rsidRPr="00000000">
        <w:rPr>
          <w:rtl w:val="0"/>
        </w:rPr>
        <w:t xml:space="preserve">, on average across the countries surveyed.1 60.5% report having heard of generative AI but that it is not in use, while 8.8% report not having heard of generative AI.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https://www.oecd.org/content/dam/oecd/en/publications/reports/2025/11/generative-ai-and-the-sme-workforce_83bafdfb/2d08b99d-en.pdf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Note: Low adoption of AI still in 2025 in SMEs, so loads of gen AI use to come.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Medium-sized companies (50 to 249 employees) are more likely to use generative AI than small companies (10 to 49 employees) and micro businesses (&lt;10 employees).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oecd.org/content/dam/oecd/en/publications/reports/2025/11/generative-ai-and-the-sme-workforce_83bafdfb/2d08b99d-en.pdf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