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Análise da Cardiopatia Crônica como fator de risco para a gravidade do desfecho (internação em UTI ou Óbito) em pacientes com SRAG.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  <w:t xml:space="preserve">Daniel Viana Mota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e Lafaete Dias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vertAlign w:val="superscript"/>
        </w:rPr>
      </w:pPr>
      <w:r w:rsidDel="00000000" w:rsidR="00000000" w:rsidRPr="00000000">
        <w:rPr>
          <w:rtl w:val="0"/>
        </w:rPr>
        <w:t xml:space="preserve">e Gustavo Santos Novais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Instituto Federal de Brasília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18"/>
          <w:szCs w:val="18"/>
          <w:rtl w:val="0"/>
        </w:rPr>
        <w:t xml:space="preserve">ifb.edu.br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567" w:right="567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Resumo</w:t>
      </w:r>
      <w:r w:rsidDel="00000000" w:rsidR="00000000" w:rsidRPr="00000000">
        <w:rPr>
          <w:sz w:val="18"/>
          <w:szCs w:val="18"/>
          <w:rtl w:val="0"/>
        </w:rPr>
        <w:t xml:space="preserve">: A Síndrome Respiratória Aguda Grave (SRAG) está associada a elevada morbimortalidade[1,2], especialmente em indivíduos com comorbidades cardiovasculares. Este estudo investiga a associação entre cardiopatia crônica e desfechos graves — definidos como internação em Unidade de Terapia Intensiva (UTI) ou óbito — utilizando dados do Sistema de Informação da Vigilância Epidemiológica da Gripe (SIVEP-Gripe) no período de 2019 a 2021[3]. Foi realizada regressão logística multivariada ajustada por idade, sexo e agente etiológico, além do desenvolvimento de um modelo preditivo com foco em alta sensibilidade para triagem[4]. A cardiopatia crônica esteve presente em 60,9% dos pacientes e associou-se significativamente a maior risco de desfecho grave (OR ajustado = 1,12; IC95%: 1,115–1,125). O modelo preditivo otimizado alcançou AUC-ROC de 0,663 e recall de 96,3%, evidenciando potencial como ferramenta de apoio à vigilância epidemiológica embora com limitações para uso clínico isolado e necessidade de incorporação de variáveis adicionais ou uso de outros modelos. Os resultados confirmam a cardiopatia crônica como fator de risco independente e indicam a utilidade de modelos interpretáveis em estratégias de triagem populacional [5].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20" w:line="240" w:lineRule="auto"/>
        <w:ind w:left="567" w:right="567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Palavras-chave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SRAG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aprendizado de máquina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análise de dados, cardiopatia, fatores de risco, regressão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567" w:right="0" w:hanging="567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Síndrome Respiratória Aguda Grave (SRAG) constitui um importante problema de saúde pública, caracterizada por insuficiência respiratória aguda associada a infecções virais, como influenza e COVID-19, e frequentemente relacionada a elevados índices de hospitalização e mortalidade[1,3]. Evidências epidemiológicas indicam que a presença de comorbidades desempenha papel central na progressão clínica da doença, com destaque para as doenças cardiovasculares[2,6,11].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Durante a pandemia de COVID-19, observou-se aumento expressivo da gravidade clínica e da letalidade entre indivíduos com cardiopatias, levantando a necessidade de análises quantitativas robustas que permitam estimar o impacto isolado dessa condição após ajuste por potenciais fatores de confusão[7]. Paralelamente, abordagens computacionais baseadas em aprendizado de máquina têm sido amplamente exploradas como ferramentas auxiliares para triagem clínica, priorização de atendimento e suporte à vigilância epidemiológica em larga escala[4,8].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Nesse contexto, este trabalho tem como objetivo analisar a associação entre cardiopatia crônica e desfechos graves em pacientes com SRAG, combinando métodos estatísticos inferenciais e modelagem preditiva aplicada a dados reais do SIVEP-Gripe. As principais contribuições deste estudo são: (i) a análise em larga escala do impacto da cardiopatia crônica em desfechos graves de SRAG utilizando mais de um milhão de registros; (ii) a integração entre inferência estatística clássica e abordagem preditiva orientada à triagem; e (iii) a proposição de um modelo simples, interpretável e de alta sensibilidade, voltado ao suporte à decisão em vigilância epidemiológica.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Metodologia 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Objetivo de Estudo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Este estudo tem como objetivo principal investigar a associação entre cardiopatia crônica e desfechos graves (internação em Unidade de Terapia Intensiva - UTI ou óbito) em pacientes com SRAG, utilizando dados do Sistema de Informação da Vigilância Epidemiológica da Gripe (SIVEP-Gripe) do período de 2019 a 2021. Especificamente, buscamos: (1) quantificar o risco aumentado associado à cardiopatia crônica; (2) controlar este efeito por idade, sexo e agente etiológico; e (3) desenvolver um modelo preditivo para identificação precoce de pacientes em maior risco.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Base de Dados e População do Estudo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Foram utilizados dados do Sistema de Informação da Vigilância Epidemiológica da Gripe (SIVEP-Gripe), referentes ao período de 2019 a 2021[1]. O banco contém informações clínicas, demográficas e de desfecho de pacientes hospitalizados por SRAG em todo o território nacional.   </w:t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Foram incluídos apenas registros com informações completas sobre desfecho clínico, idade, sexo e presença de cardiopatia crônica. Registros duplicados, inconsistentes ou com dados ausentes nas variáveis-chave foram excluídos. Após a aplicação dos critérios de elegibilidade, a amostra final foi composta por mais de um milhão de indivíduos.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Variáveis de Estudo 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 variável dependente foi definida como a ocorrência de desfecho grave (internação em UTI ou óbito). As variáveis independentes incluíram cardiopatia crônica, idade, sexo, agente etiológico (COVID-19 devido ao periodo compreendido de 2019 -2021), diabetes, obesidade e variáveis derivadas, como faixas etárias, interação idade-cardiopatia e escore de comorbidades.</w:t>
      </w:r>
    </w:p>
    <w:p w:rsidR="00000000" w:rsidDel="00000000" w:rsidP="00000000" w:rsidRDefault="00000000" w:rsidRPr="00000000" w14:paraId="0000001A">
      <w:pPr>
        <w:keepNext w:val="1"/>
        <w:keepLines w:val="1"/>
        <w:spacing w:after="120" w:before="240" w:lineRule="auto"/>
        <w:ind w:firstLine="0"/>
        <w:jc w:val="center"/>
        <w:rPr/>
      </w:pPr>
      <w:bookmarkStart w:colFirst="0" w:colLast="0" w:name="_d0z2pydi13ws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Tabela 1: </w:t>
      </w:r>
      <w:r w:rsidDel="00000000" w:rsidR="00000000" w:rsidRPr="00000000">
        <w:rPr>
          <w:sz w:val="18"/>
          <w:szCs w:val="18"/>
          <w:rtl w:val="0"/>
        </w:rPr>
        <w:t xml:space="preserve">Variáveis usadas no estudo.</w:t>
      </w:r>
      <w:r w:rsidDel="00000000" w:rsidR="00000000" w:rsidRPr="00000000">
        <w:rPr>
          <w:rtl w:val="0"/>
        </w:rPr>
      </w:r>
    </w:p>
    <w:tbl>
      <w:tblPr>
        <w:tblStyle w:val="Table1"/>
        <w:tblW w:w="6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215"/>
        <w:gridCol w:w="1170"/>
        <w:gridCol w:w="1815"/>
        <w:gridCol w:w="1245"/>
        <w:tblGridChange w:id="0">
          <w:tblGrid>
            <w:gridCol w:w="1455"/>
            <w:gridCol w:w="1215"/>
            <w:gridCol w:w="1170"/>
            <w:gridCol w:w="1815"/>
            <w:gridCol w:w="124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TIPO DE 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ind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Fatores de risco/Doença Cardiovascular Crônica Crônica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1-Sim</w:t>
            </w:r>
          </w:p>
          <w:p w:rsidR="00000000" w:rsidDel="00000000" w:rsidP="00000000" w:rsidRDefault="00000000" w:rsidRPr="00000000" w14:paraId="00000023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2-Não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Paciente possui Doença Cardiovascular Crônica?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CARDIOPATI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1-Masculino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2-Feminino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Sexo do paciente.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CS_SEXO</w:t>
            </w:r>
          </w:p>
        </w:tc>
      </w:tr>
      <w:tr>
        <w:trPr>
          <w:cantSplit w:val="0"/>
          <w:trHeight w:val="799.94140624999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Idade informada pelo paciente</w:t>
            </w:r>
          </w:p>
          <w:p w:rsidR="00000000" w:rsidDel="00000000" w:rsidP="00000000" w:rsidRDefault="00000000" w:rsidRPr="00000000" w14:paraId="00000032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quando não se sabe a data de</w:t>
            </w:r>
          </w:p>
          <w:p w:rsidR="00000000" w:rsidDel="00000000" w:rsidP="00000000" w:rsidRDefault="00000000" w:rsidRPr="00000000" w14:paraId="00000033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nascimento. Na falta desse dado</w:t>
            </w:r>
          </w:p>
          <w:p w:rsidR="00000000" w:rsidDel="00000000" w:rsidP="00000000" w:rsidRDefault="00000000" w:rsidRPr="00000000" w14:paraId="00000034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é registrada a idade aparente.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NU_IDADE_N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Evolução do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Varchar2(1)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1-Cura</w:t>
            </w:r>
          </w:p>
          <w:p w:rsidR="00000000" w:rsidDel="00000000" w:rsidP="00000000" w:rsidRDefault="00000000" w:rsidRPr="00000000" w14:paraId="0000003A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2-Óbito</w:t>
            </w:r>
          </w:p>
          <w:p w:rsidR="00000000" w:rsidDel="00000000" w:rsidP="00000000" w:rsidRDefault="00000000" w:rsidRPr="00000000" w14:paraId="0000003B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3- Óbito por outras causas</w:t>
            </w:r>
          </w:p>
          <w:p w:rsidR="00000000" w:rsidDel="00000000" w:rsidP="00000000" w:rsidRDefault="00000000" w:rsidRPr="00000000" w14:paraId="0000003C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Evolução do 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EVOLUCAO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Internado em UTI?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1-Sim</w:t>
            </w:r>
          </w:p>
          <w:p w:rsidR="00000000" w:rsidDel="00000000" w:rsidP="00000000" w:rsidRDefault="00000000" w:rsidRPr="00000000" w14:paraId="00000045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2-Não</w:t>
            </w:r>
          </w:p>
          <w:p w:rsidR="00000000" w:rsidDel="00000000" w:rsidP="00000000" w:rsidRDefault="00000000" w:rsidRPr="00000000" w14:paraId="00000046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 paciente foi</w:t>
            </w:r>
          </w:p>
          <w:p w:rsidR="00000000" w:rsidDel="00000000" w:rsidP="00000000" w:rsidRDefault="00000000" w:rsidRPr="00000000" w14:paraId="00000048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internado em UTI?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UTI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Classificação final do caso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1-SRAG por influenza</w:t>
            </w:r>
          </w:p>
          <w:p w:rsidR="00000000" w:rsidDel="00000000" w:rsidP="00000000" w:rsidRDefault="00000000" w:rsidRPr="00000000" w14:paraId="0000004D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2-SRAG por outro vírus</w:t>
            </w:r>
          </w:p>
          <w:p w:rsidR="00000000" w:rsidDel="00000000" w:rsidP="00000000" w:rsidRDefault="00000000" w:rsidRPr="00000000" w14:paraId="0000004E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respiratório</w:t>
            </w:r>
          </w:p>
          <w:p w:rsidR="00000000" w:rsidDel="00000000" w:rsidP="00000000" w:rsidRDefault="00000000" w:rsidRPr="00000000" w14:paraId="0000004F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3-SRAG por outro agente</w:t>
            </w:r>
          </w:p>
          <w:p w:rsidR="00000000" w:rsidDel="00000000" w:rsidP="00000000" w:rsidRDefault="00000000" w:rsidRPr="00000000" w14:paraId="00000050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etiológico, qual:</w:t>
            </w:r>
          </w:p>
          <w:p w:rsidR="00000000" w:rsidDel="00000000" w:rsidP="00000000" w:rsidRDefault="00000000" w:rsidRPr="00000000" w14:paraId="00000051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4-SRAG não especificado</w:t>
            </w:r>
          </w:p>
          <w:p w:rsidR="00000000" w:rsidDel="00000000" w:rsidP="00000000" w:rsidRDefault="00000000" w:rsidRPr="00000000" w14:paraId="00000052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5-SRAG por covid-19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Diagnóstico final do caso. Se tiver resultados divergentes entre</w:t>
            </w:r>
          </w:p>
          <w:p w:rsidR="00000000" w:rsidDel="00000000" w:rsidP="00000000" w:rsidRDefault="00000000" w:rsidRPr="00000000" w14:paraId="00000054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 metodologias laboratoriais,</w:t>
            </w:r>
          </w:p>
          <w:p w:rsidR="00000000" w:rsidDel="00000000" w:rsidP="00000000" w:rsidRDefault="00000000" w:rsidRPr="00000000" w14:paraId="00000055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priorizar o resultado do RT-PCR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CLASSI_FIN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Fatores de risco/ Diabetes mellitus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1-Sim</w:t>
            </w:r>
          </w:p>
          <w:p w:rsidR="00000000" w:rsidDel="00000000" w:rsidP="00000000" w:rsidRDefault="00000000" w:rsidRPr="00000000" w14:paraId="0000005A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2-Não</w:t>
            </w:r>
          </w:p>
          <w:p w:rsidR="00000000" w:rsidDel="00000000" w:rsidP="00000000" w:rsidRDefault="00000000" w:rsidRPr="00000000" w14:paraId="0000005B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Paciente possui</w:t>
            </w:r>
          </w:p>
          <w:p w:rsidR="00000000" w:rsidDel="00000000" w:rsidP="00000000" w:rsidRDefault="00000000" w:rsidRPr="00000000" w14:paraId="0000005D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Diabetes mellitus?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DIABETES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-Fatores de risco/ Obesidad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Varchar2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1-Sim</w:t>
            </w:r>
          </w:p>
          <w:p w:rsidR="00000000" w:rsidDel="00000000" w:rsidP="00000000" w:rsidRDefault="00000000" w:rsidRPr="00000000" w14:paraId="00000062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2-Não</w:t>
            </w:r>
          </w:p>
          <w:p w:rsidR="00000000" w:rsidDel="00000000" w:rsidP="00000000" w:rsidRDefault="00000000" w:rsidRPr="00000000" w14:paraId="00000063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9-Ignorado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Paciente possui</w:t>
            </w:r>
          </w:p>
          <w:p w:rsidR="00000000" w:rsidDel="00000000" w:rsidP="00000000" w:rsidRDefault="00000000" w:rsidRPr="00000000" w14:paraId="00000065">
            <w:pPr>
              <w:widowControl w:val="0"/>
              <w:ind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obesidade?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OBESIDADE</w:t>
            </w:r>
          </w:p>
        </w:tc>
      </w:tr>
    </w:tbl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>
          <w:b w:val="1"/>
          <w:bCs w:val="1"/>
        </w:rPr>
      </w:pPr>
      <w:r w:rsidDel="00000000" w:rsidR="00000000" w:rsidRPr="00000000">
        <w:rPr>
          <w:rtl w:val="0"/>
        </w:rPr>
        <w:t xml:space="preserve">2.4</w:t>
      </w:r>
      <w:r w:rsidDel="00000000" w:rsidR="00000000" w:rsidRPr="00000000">
        <w:rPr>
          <w:b w:val="1"/>
          <w:bCs w:val="1"/>
          <w:rtl w:val="0"/>
        </w:rPr>
        <w:t xml:space="preserve"> Análise Exploratória dos Dados</w:t>
      </w:r>
    </w:p>
    <w:p w:rsidR="00000000" w:rsidDel="00000000" w:rsidP="00000000" w:rsidRDefault="00000000" w:rsidRPr="00000000" w14:paraId="00000069">
      <w:pPr>
        <w:pStyle w:val="Heading4"/>
        <w:rPr/>
      </w:pPr>
      <w:r w:rsidDel="00000000" w:rsidR="00000000" w:rsidRPr="00000000">
        <w:rPr>
          <w:rtl w:val="0"/>
        </w:rPr>
        <w:t xml:space="preserve">Inicialmente, realizou-se análise exploratória para caracterização da amostra e identificação de padrões entre idade, presença de cardiopatia crônica e desfecho clínico. Foram utilizados histogramas, </w:t>
      </w:r>
      <w:r w:rsidDel="00000000" w:rsidR="00000000" w:rsidRPr="00000000">
        <w:rPr>
          <w:i w:val="1"/>
          <w:iCs w:val="1"/>
          <w:rtl w:val="0"/>
        </w:rPr>
        <w:t xml:space="preserve">boxplot</w:t>
      </w:r>
      <w:r w:rsidDel="00000000" w:rsidR="00000000" w:rsidRPr="00000000">
        <w:rPr>
          <w:rtl w:val="0"/>
        </w:rPr>
        <w:t xml:space="preserve">s " e gráficos de barras para avaliar a distribuição das variáveis e possíveis associações preliminares. A análise exploratória é etapa fundamental em projetos de ciência de dados, permitindo compreensão inicial das distribuições, identificação de padrões e detecção de possíveis vieses nos dados [8,9].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spacing w:after="240" w:before="120" w:lineRule="auto"/>
        <w:ind w:firstLine="0"/>
        <w:rPr>
          <w:b w:val="1"/>
          <w:bCs w:val="1"/>
        </w:rPr>
      </w:pPr>
      <w:bookmarkStart w:colFirst="0" w:colLast="0" w:name="_ayynyi18h5yd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1.</w:t>
      </w:r>
      <w:r w:rsidDel="00000000" w:rsidR="00000000" w:rsidRPr="00000000">
        <w:rPr>
          <w:sz w:val="18"/>
          <w:szCs w:val="18"/>
          <w:rtl w:val="0"/>
        </w:rPr>
        <w:t xml:space="preserve"> A amostra apresenta concentração de pacientes entre 40 e 80 anos, com média e mediana próximas, indicando distribuição aproximadamente simétrica.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757725</wp:posOffset>
            </wp:positionH>
            <wp:positionV relativeFrom="paragraph">
              <wp:posOffset>304800</wp:posOffset>
            </wp:positionV>
            <wp:extent cx="2880000" cy="2592000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0000" cy="276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6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2.</w:t>
      </w:r>
      <w:r w:rsidDel="00000000" w:rsidR="00000000" w:rsidRPr="00000000">
        <w:rPr>
          <w:sz w:val="18"/>
          <w:szCs w:val="18"/>
          <w:rtl w:val="0"/>
        </w:rPr>
        <w:t xml:space="preserve"> Pacientes com desfecho grave apresentam idades medianas mais elevadas, sugerindo associação positiva entre idade avançada e gravidade clínica..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0000" cy="2793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9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3.</w:t>
      </w:r>
      <w:r w:rsidDel="00000000" w:rsidR="00000000" w:rsidRPr="00000000">
        <w:rPr>
          <w:sz w:val="18"/>
          <w:szCs w:val="18"/>
          <w:rtl w:val="0"/>
        </w:rPr>
        <w:t xml:space="preserve"> Indivíduos com cardiopatia crônica tendem a ser mais idosos, indicando possível relação entre envelhecimento e presença da comorbidade..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0000" cy="270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4.</w:t>
      </w:r>
      <w:r w:rsidDel="00000000" w:rsidR="00000000" w:rsidRPr="00000000">
        <w:rPr>
          <w:sz w:val="18"/>
          <w:szCs w:val="18"/>
          <w:rtl w:val="0"/>
        </w:rPr>
        <w:t xml:space="preserve"> A proporção de desfechos graves é maior entre pacientes com cardiopatia crônica, reforçando seu papel como fator de risco..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0000" cy="3081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5.</w:t>
      </w:r>
      <w:r w:rsidDel="00000000" w:rsidR="00000000" w:rsidRPr="00000000">
        <w:rPr>
          <w:sz w:val="18"/>
          <w:szCs w:val="18"/>
          <w:rtl w:val="0"/>
        </w:rPr>
        <w:t xml:space="preserve"> Observa-se aumento progressivo da taxa de desfecho grave conforme o avanço da faixa etária, especialmente acima de 60 anos..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0000" cy="294171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41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spacing w:after="240" w:before="120" w:lineRule="auto"/>
        <w:ind w:firstLine="0"/>
        <w:rPr>
          <w:b w:val="1"/>
          <w:bCs w:val="1"/>
        </w:rPr>
      </w:pPr>
      <w:bookmarkStart w:colFirst="0" w:colLast="0" w:name="_ayynyi18h5yd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6.</w:t>
      </w:r>
      <w:r w:rsidDel="00000000" w:rsidR="00000000" w:rsidRPr="00000000">
        <w:rPr>
          <w:sz w:val="18"/>
          <w:szCs w:val="18"/>
          <w:rtl w:val="0"/>
        </w:rPr>
        <w:t xml:space="preserve"> A dispersão evidencia maior concentração de desfechos graves em idades mais elevadas, embora com sobreposição entre os grupos.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rPr>
          <w:b w:val="1"/>
          <w:bCs w:val="1"/>
        </w:rPr>
      </w:pP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b w:val="1"/>
          <w:bCs w:val="1"/>
          <w:rtl w:val="0"/>
        </w:rPr>
        <w:t xml:space="preserve">Modelagem Estatística</w:t>
      </w:r>
    </w:p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tl w:val="0"/>
        </w:rPr>
        <w:t xml:space="preserve">Foi ajustado um modelo de regressão logística multivariada para estimar a associação entre cardiopatia crônica e desfechos graves, controlando por potenciais fatores de confusão. Os resultados foram expressos em odds ratios (OR) com intervalos de confiança de 95%.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b w:val="1"/>
          <w:bCs w:val="1"/>
          <w:rtl w:val="0"/>
        </w:rPr>
        <w:t xml:space="preserve">Implementação Computacional e Modelagem Preditiva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Além da análise inferencial, foi desenvolvido um modelo preditivo de regressão logística com foco em alta sensibilidade. A implementação foi realizada em linguagem Python, utilizando bibliotecas padrão para ciência de dados e aprendizado de máquina. O conjunto de dados foi dividido em treino e teste na proporção 80/20.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escolha da regressão logística deve-se à sua interpretabilidade e à ampla utilização em estudos epidemiológicos e aplicações de ciência de dados em saúde, bem como ao fato de o desfecho de interesse ser uma variável binária (desfecho grave ou alta hospitalar) [4,10].</w:t>
      </w:r>
    </w:p>
    <w:p w:rsidR="00000000" w:rsidDel="00000000" w:rsidP="00000000" w:rsidRDefault="00000000" w:rsidRPr="00000000" w14:paraId="0000007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Devido ao desbalanceamento entre as classes, foi adotada ponderação de classes durante o treinamento. O limiar de decisão foi ajustado para priorizar a identificação de casos graves, reduzindo a ocorrência de falsos negativos. O desempenho do modelo foi avaliado por meio das métricas de acurácia, precisão, recall, F1-score e área sob a curva ROC (AUC-ROC).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7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análise estatística indicou que a cardiopatia crônica esteve significativamente associada a maior risco de desfechos graves em pacientes com SRAG, corroborando achados prévios da literatura nacional e internacional [2,6,7]. Após ajuste por idade, sexo, agente etiológico e demais comorbidades, observou-se odds ratio ajustado de 1,12 (IC95%: 1,115–1,125), representando aumento de 12% na chance de internação em UTI ou óbito.</w:t>
      </w:r>
    </w:p>
    <w:p w:rsidR="00000000" w:rsidDel="00000000" w:rsidP="00000000" w:rsidRDefault="00000000" w:rsidRPr="00000000" w14:paraId="0000007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No componente preditivo, o modelo inicial apresentou desempenho limitado, com AUC-ROC de 0,614. Após etapas de otimização, incluindo incorporação de variáveis adicionais, balanceamento de classes e ajuste do limiar de decisão, o modelo final alcançou AUC-ROC de 0,663, recall de 96,3%, F1-score de 0,645 e acurácia de 50,3%. A matriz de confusão evidenciou elevada sensibilidade, à custa de baixa especificidade (9,8%), refletindo uma estratégia deliberada de priorização da detecção de casos graves.</w:t>
      </w:r>
    </w:p>
    <w:p w:rsidR="00000000" w:rsidDel="00000000" w:rsidP="00000000" w:rsidRDefault="00000000" w:rsidRPr="00000000" w14:paraId="0000007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88000" cy="230076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230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240" w:before="120" w:lineRule="auto"/>
        <w:ind w:firstLine="0"/>
        <w:rPr/>
      </w:pPr>
      <w:bookmarkStart w:colFirst="0" w:colLast="0" w:name="_ayynyi18h5yd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Fig. .</w:t>
      </w:r>
      <w:r w:rsidDel="00000000" w:rsidR="00000000" w:rsidRPr="00000000">
        <w:rPr>
          <w:sz w:val="18"/>
          <w:szCs w:val="18"/>
          <w:rtl w:val="0"/>
        </w:rPr>
        <w:t xml:space="preserve"> Curva ROC do modelo de regressão logística para predição de desfecho grave em pacientes com SRAG.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ind w:left="0"/>
        <w:jc w:val="both"/>
        <w:rPr>
          <w:sz w:val="24"/>
          <w:szCs w:val="24"/>
        </w:rPr>
      </w:pPr>
      <w:bookmarkStart w:colFirst="0" w:colLast="0" w:name="_9lxfto5esz0k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4.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Discussão</w:t>
      </w:r>
    </w:p>
    <w:p w:rsidR="00000000" w:rsidDel="00000000" w:rsidP="00000000" w:rsidRDefault="00000000" w:rsidRPr="00000000" w14:paraId="0000008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Os resultados confirmam a cardiopatia crônica como fator de risco independente para desfechos graves em pacientes com SRAG, com estudos brasileiros baseados em dados do SIVEP-Gripe [2,6,11]. O efeito persistente após ajuste por idade e outras comorbidades reforça a relevância clínica e epidemiológica dessa condição.</w:t>
      </w:r>
    </w:p>
    <w:p w:rsidR="00000000" w:rsidDel="00000000" w:rsidP="00000000" w:rsidRDefault="00000000" w:rsidRPr="00000000" w14:paraId="0000008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Do ponto de vista computacional, o modelo preditivo apresentou capacidade discriminativa moderada, porém elevada sensibilidade, característica desejável em cenários de triagem, nos quais o custo de falsos negativos é elevado [4,8]. A baixa especificidade observada é aceitável em contextos de vigilância epidemiológica, nos quais o objetivo principal é identificar precocemente indivíduos com maior risco[5].</w:t>
      </w:r>
    </w:p>
    <w:p w:rsidR="00000000" w:rsidDel="00000000" w:rsidP="00000000" w:rsidRDefault="00000000" w:rsidRPr="00000000" w14:paraId="0000008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Entre as limitações do estudo, destacam-se o uso de dados administrativos, sujeitos a subnotificação e erros de preenchimento, e a ausência do uso de variáveis clínicas e laboratoriais mais detalhadas, que poderiam melhorar o desempenho preditivo. Além disso, a regressão logística, embora interpretável, possui limitações na modelagem de relações não lineares complexas.</w:t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Em síntese, o modelo final não deve ser interpretado como uma ferramenta diagnóstica, mas como um instrumento de apoio à priorização clínica, capaz de auxiliar na identificação precoce de indivíduos com maior risco de evolução grave. O presente trabalho evidencia a importância de integrar interpretação epidemiológica, análise estatística e objetivos clínicos na construção de modelos preditivos, bem como de reconhecer os limites e as responsabilidades associadas à sua aplicação em cenários assistenciais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8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Este estudo demonstrou que a cardiopatia crônica está associada de forma significativa a desfechos graves em pacientes com SRAG, mesmo após ajuste por fatores demográficos e clínicos relevantes. O modelo preditivo desenvolvido, apesar de não apresentar desempenho suficiente para uso clínico isolado como ferramenta diagnóstica, mostrou-se promissor como instrumento de triagem e apoio à vigilância epidemiológica.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resultados reforçam o potencial de modelos simples e interpretáveis como ferramentas estratégicas em cenários de grande volume de dados e recursos limitados [9,10]. Estudos futuros devem incorporar variáveis clínicas adicionais e explorar modelos não lineares para aprimorar a capacidade preditiva e a aplicabilidade em contextos assistenciais reais.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0" w:before="240" w:lineRule="auto"/>
        <w:ind w:left="341" w:hanging="113.99999999999999"/>
      </w:pPr>
      <w:r w:rsidDel="00000000" w:rsidR="00000000" w:rsidRPr="00000000">
        <w:rPr>
          <w:sz w:val="18"/>
          <w:szCs w:val="18"/>
          <w:rtl w:val="0"/>
        </w:rPr>
        <w:t xml:space="preserve">BRASIL. Ministério da Saúde.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SRAG 2021 a 2024 – Banco de dados do Sistema de Informação da Vigilância Epidemiológica da Gripe (SIVEP-Gripe)</w:t>
      </w:r>
      <w:r w:rsidDel="00000000" w:rsidR="00000000" w:rsidRPr="00000000">
        <w:rPr>
          <w:sz w:val="18"/>
          <w:szCs w:val="18"/>
          <w:rtl w:val="0"/>
        </w:rPr>
        <w:t xml:space="preserve">. Brasília: Ministério da Saúde, 2024. Disponível em:</w:t>
      </w:r>
      <w:hyperlink r:id="rId13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https://opendatasus.saude.gov.br/dataset/srag-2021-a-2024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10 jun.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OLIVEIRA, W. K.; DUARTE, E.; FRANÇA, G. V. A. GARCIA, L. P.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Como o Brasil pode deter a COVID-19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Epidemiologia e Serviços de Saúde</w:t>
      </w:r>
      <w:r w:rsidDel="00000000" w:rsidR="00000000" w:rsidRPr="00000000">
        <w:rPr>
          <w:sz w:val="18"/>
          <w:szCs w:val="18"/>
          <w:rtl w:val="0"/>
        </w:rPr>
        <w:t xml:space="preserve">, v. 29, n. 2, e2020044, 2020.Disponível em:</w:t>
      </w:r>
      <w:hyperlink r:id="rId1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https://www.scielo.br/j/ress/a/KYNSHRcc8MdQcZHgZzVChKd/?lang=pt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 dez. 2025, às 17:00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RANZANI, O. T. et al.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Characterisation of the first 250,000 hospital admissions for COVID-19 in Brazil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The Lancet Respiratory Medicine</w:t>
      </w:r>
      <w:r w:rsidDel="00000000" w:rsidR="00000000" w:rsidRPr="00000000">
        <w:rPr>
          <w:sz w:val="18"/>
          <w:szCs w:val="18"/>
          <w:rtl w:val="0"/>
        </w:rPr>
        <w:t xml:space="preserve">, v. 9, n. 4, p. 407–418, 2021. Disponível em:</w:t>
      </w:r>
      <w:hyperlink r:id="rId1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https://www.thelancet.com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 dez. 2025 às 16:30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HOSMER, D. W.; LEMESHOW, S.; STURDIVANT, R. X.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Applied Logistic Regression</w:t>
      </w:r>
      <w:r w:rsidDel="00000000" w:rsidR="00000000" w:rsidRPr="00000000">
        <w:rPr>
          <w:sz w:val="18"/>
          <w:szCs w:val="18"/>
          <w:rtl w:val="0"/>
        </w:rPr>
        <w:t xml:space="preserve">. 3. ed. New York: Wiley, 2013. Disponível em:</w:t>
      </w:r>
      <w:hyperlink r:id="rId19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https://dl.icdst.org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03 dez.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VASCONCELOS, A. M. N.; GOMES, M. M. F.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Transição demográfica: a experiência brasileira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Epidemiologia e Serviços de Saúde</w:t>
      </w:r>
      <w:r w:rsidDel="00000000" w:rsidR="00000000" w:rsidRPr="00000000">
        <w:rPr>
          <w:sz w:val="18"/>
          <w:szCs w:val="18"/>
          <w:rtl w:val="0"/>
        </w:rPr>
        <w:t xml:space="preserve">, v. 21, n. 4, p. 539–548, 2012. Disponível em:</w:t>
      </w:r>
      <w:hyperlink r:id="rId21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http://scielo.iec.gov.br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 dez. 2025 as 18:00.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MARQUES, R. M.; MENDES, Á.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 financiamento do SUS e os impactos da COVID-19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Ciência &amp; Saúde Coletiva</w:t>
      </w:r>
      <w:r w:rsidDel="00000000" w:rsidR="00000000" w:rsidRPr="00000000">
        <w:rPr>
          <w:sz w:val="18"/>
          <w:szCs w:val="18"/>
          <w:rtl w:val="0"/>
        </w:rPr>
        <w:t xml:space="preserve">, v. 25, supl. 2, p. 2405–2414, 2020. Disponível em:</w:t>
      </w:r>
      <w:hyperlink r:id="rId23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https://share.google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 dez. 2025 às 08:00.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STEYERBERG, E. W.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Clinical Prediction Models: A Practical Approach to Development, Validation, and Updating</w:t>
      </w:r>
      <w:r w:rsidDel="00000000" w:rsidR="00000000" w:rsidRPr="00000000">
        <w:rPr>
          <w:sz w:val="18"/>
          <w:szCs w:val="18"/>
          <w:rtl w:val="0"/>
        </w:rPr>
        <w:t xml:space="preserve">. New York: Springer, 2019.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HE, H.; GARCIA, E. A.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Learning from imbalanced data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IEEE Transactions on Knowledge and Data Engineering</w:t>
      </w:r>
      <w:r w:rsidDel="00000000" w:rsidR="00000000" w:rsidRPr="00000000">
        <w:rPr>
          <w:sz w:val="18"/>
          <w:szCs w:val="18"/>
          <w:rtl w:val="0"/>
        </w:rPr>
        <w:t xml:space="preserve">, v. 21, n. 9, p. 1263–1284, 2009. Disponível em:</w:t>
      </w:r>
      <w:hyperlink r:id="rId2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https://www.academia.edu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 dez. 2025 às 09:00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BRAGA, A. L. F. et al.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Desigualdades socioeconômicas e risco de hospitalização por SRAG no Brasil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Revista de Saúde Pública</w:t>
      </w:r>
      <w:r w:rsidDel="00000000" w:rsidR="00000000" w:rsidRPr="00000000">
        <w:rPr>
          <w:sz w:val="18"/>
          <w:szCs w:val="18"/>
          <w:rtl w:val="0"/>
        </w:rPr>
        <w:t xml:space="preserve">, v. 55, p. 1–10, 2021. Disponível em:</w:t>
      </w:r>
      <w:hyperlink r:id="rId2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https://www.scielo.br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 dez. 2025 às 8:00.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GRUS, J.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Data Science do Zero: Primeiros Princípios com Python</w:t>
      </w:r>
      <w:r w:rsidDel="00000000" w:rsidR="00000000" w:rsidRPr="00000000">
        <w:rPr>
          <w:sz w:val="18"/>
          <w:szCs w:val="18"/>
          <w:rtl w:val="0"/>
        </w:rPr>
        <w:t xml:space="preserve">. 2. ed. Rio de Janeiro: Alta Books, 2019. Disponível em:</w:t>
      </w:r>
      <w:hyperlink r:id="rId29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https://bibliotecas.ifb.edu.br/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08 dez. 2025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hanging="113.99999999999999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PAIVA, K. M.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et al.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Prevalência e fatores associados à Síndrome Respiratória Aguda Grave por COVID-19 em adultos e idosos com doença cardiovascular crônica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Arquivos Brasileiros de Cardiologia</w:t>
      </w:r>
      <w:r w:rsidDel="00000000" w:rsidR="00000000" w:rsidRPr="00000000">
        <w:rPr>
          <w:sz w:val="18"/>
          <w:szCs w:val="18"/>
          <w:rtl w:val="0"/>
        </w:rPr>
        <w:t xml:space="preserve">, v. 117, n. 5, p. 968–975, 2021. Disponível em:</w:t>
      </w:r>
      <w:hyperlink r:id="rId31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https://abccardiol.org/wp-content/uploads/articles_xml/0066-782X-abc-117-05-0968/0066-782X-abc-117-05-0968.x96239.pdf</w:t>
        </w:r>
      </w:hyperlink>
      <w:r w:rsidDel="00000000" w:rsidR="00000000" w:rsidRPr="00000000">
        <w:rPr>
          <w:sz w:val="18"/>
          <w:szCs w:val="18"/>
          <w:rtl w:val="0"/>
        </w:rPr>
        <w:t xml:space="preserve">. Acesso em: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 dez. 2025, às 10:00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headerReference r:id="rId35" w:type="even"/>
      <w:footerReference r:id="rId36" w:type="default"/>
      <w:footerReference r:id="rId37" w:type="first"/>
      <w:footerReference r:id="rId38" w:type="even"/>
      <w:pgSz w:h="16838" w:w="11906" w:orient="portrait"/>
      <w:pgMar w:bottom="2948.0314960629926" w:top="2948.0314960629926" w:left="2494.4881889763783" w:right="2494.4881889763783" w:header="2381" w:footer="232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8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  <w:tab/>
    </w:r>
    <w:r w:rsidDel="00000000" w:rsidR="00000000" w:rsidRPr="00000000">
      <w:rPr>
        <w:sz w:val="18"/>
        <w:szCs w:val="18"/>
        <w:rtl w:val="0"/>
      </w:rPr>
      <w:t xml:space="preserve">Daniel Viana Mota, Lafaete Dias Alves e Gustavo Santos Novais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6237"/>
        <w:tab w:val="right" w:leader="none" w:pos="691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Cardiopatia Crônica como Fator de Risco na SRAG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67" w:hanging="567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851" w:hanging="851"/>
      </w:pPr>
      <w:rPr/>
    </w:lvl>
    <w:lvl w:ilvl="3">
      <w:start w:val="1"/>
      <w:numFmt w:val="decimal"/>
      <w:lvlText w:val="%1.%2.%3.%4"/>
      <w:lvlJc w:val="left"/>
      <w:pPr>
        <w:ind w:left="851" w:hanging="851"/>
      </w:pPr>
      <w:rPr/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341" w:hanging="113.99999999999997"/>
      </w:pPr>
      <w:rPr/>
    </w:lvl>
    <w:lvl w:ilvl="1">
      <w:start w:val="1"/>
      <w:numFmt w:val="lowerLetter"/>
      <w:lvlText w:val="%2."/>
      <w:lvlJc w:val="left"/>
      <w:pPr>
        <w:ind w:left="1896" w:hanging="360"/>
      </w:pPr>
      <w:rPr/>
    </w:lvl>
    <w:lvl w:ilvl="2">
      <w:start w:val="1"/>
      <w:numFmt w:val="lowerRoman"/>
      <w:lvlText w:val="%3."/>
      <w:lvlJc w:val="right"/>
      <w:pPr>
        <w:ind w:left="2616" w:hanging="180"/>
      </w:pPr>
      <w:rPr/>
    </w:lvl>
    <w:lvl w:ilvl="3">
      <w:start w:val="1"/>
      <w:numFmt w:val="decimal"/>
      <w:lvlText w:val="%4."/>
      <w:lvlJc w:val="left"/>
      <w:pPr>
        <w:ind w:left="3336" w:hanging="360"/>
      </w:pPr>
      <w:rPr/>
    </w:lvl>
    <w:lvl w:ilvl="4">
      <w:start w:val="1"/>
      <w:numFmt w:val="lowerLetter"/>
      <w:lvlText w:val="%5."/>
      <w:lvlJc w:val="left"/>
      <w:pPr>
        <w:ind w:left="4056" w:hanging="360"/>
      </w:pPr>
      <w:rPr/>
    </w:lvl>
    <w:lvl w:ilvl="5">
      <w:start w:val="1"/>
      <w:numFmt w:val="lowerRoman"/>
      <w:lvlText w:val="%6."/>
      <w:lvlJc w:val="right"/>
      <w:pPr>
        <w:ind w:left="4776" w:hanging="180"/>
      </w:pPr>
      <w:rPr/>
    </w:lvl>
    <w:lvl w:ilvl="6">
      <w:start w:val="1"/>
      <w:numFmt w:val="decimal"/>
      <w:lvlText w:val="%7."/>
      <w:lvlJc w:val="left"/>
      <w:pPr>
        <w:ind w:left="5496" w:hanging="360"/>
      </w:pPr>
      <w:rPr/>
    </w:lvl>
    <w:lvl w:ilvl="7">
      <w:start w:val="1"/>
      <w:numFmt w:val="lowerLetter"/>
      <w:lvlText w:val="%8."/>
      <w:lvlJc w:val="left"/>
      <w:pPr>
        <w:ind w:left="6216" w:hanging="360"/>
      </w:pPr>
      <w:rPr/>
    </w:lvl>
    <w:lvl w:ilvl="8">
      <w:start w:val="1"/>
      <w:numFmt w:val="lowerRoman"/>
      <w:lvlText w:val="%9."/>
      <w:lvlJc w:val="right"/>
      <w:pPr>
        <w:ind w:left="693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left="567" w:hanging="567"/>
      <w:jc w:val="left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spacing w:before="360" w:lineRule="auto"/>
      <w:ind w:firstLine="0"/>
    </w:pPr>
    <w:rPr/>
  </w:style>
  <w:style w:type="paragraph" w:styleId="Heading4">
    <w:name w:val="heading 4"/>
    <w:basedOn w:val="Normal"/>
    <w:next w:val="Normal"/>
    <w:pPr>
      <w:spacing w:before="240" w:lineRule="auto"/>
      <w:ind w:firstLine="0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l.icdst.org" TargetMode="External"/><Relationship Id="rId22" Type="http://schemas.openxmlformats.org/officeDocument/2006/relationships/hyperlink" Target="http://scielo.iec.gov.br" TargetMode="External"/><Relationship Id="rId21" Type="http://schemas.openxmlformats.org/officeDocument/2006/relationships/hyperlink" Target="http://scielo.iec.gov.br" TargetMode="External"/><Relationship Id="rId24" Type="http://schemas.openxmlformats.org/officeDocument/2006/relationships/hyperlink" Target="https://share.google" TargetMode="External"/><Relationship Id="rId23" Type="http://schemas.openxmlformats.org/officeDocument/2006/relationships/hyperlink" Target="https://share.goog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www.academia.edu" TargetMode="External"/><Relationship Id="rId25" Type="http://schemas.openxmlformats.org/officeDocument/2006/relationships/hyperlink" Target="https://www.academia.edu" TargetMode="External"/><Relationship Id="rId28" Type="http://schemas.openxmlformats.org/officeDocument/2006/relationships/hyperlink" Target="https://www.scielo.br" TargetMode="External"/><Relationship Id="rId27" Type="http://schemas.openxmlformats.org/officeDocument/2006/relationships/hyperlink" Target="https://www.scielo.b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bibliotecas.ifb.edu.br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31" Type="http://schemas.openxmlformats.org/officeDocument/2006/relationships/hyperlink" Target="https://abccardiol.org/wp-content/uploads/articles_xml/0066-782X-abc-117-05-0968/0066-782X-abc-117-05-0968.x96239.pdf" TargetMode="External"/><Relationship Id="rId30" Type="http://schemas.openxmlformats.org/officeDocument/2006/relationships/hyperlink" Target="https://bibliotecas.ifb.edu.br/" TargetMode="External"/><Relationship Id="rId11" Type="http://schemas.openxmlformats.org/officeDocument/2006/relationships/image" Target="media/image5.png"/><Relationship Id="rId33" Type="http://schemas.openxmlformats.org/officeDocument/2006/relationships/header" Target="header2.xml"/><Relationship Id="rId10" Type="http://schemas.openxmlformats.org/officeDocument/2006/relationships/image" Target="media/image4.png"/><Relationship Id="rId32" Type="http://schemas.openxmlformats.org/officeDocument/2006/relationships/hyperlink" Target="https://abccardiol.org/wp-content/uploads/articles_xml/0066-782X-abc-117-05-0968/0066-782X-abc-117-05-0968.x96239.pdf" TargetMode="External"/><Relationship Id="rId13" Type="http://schemas.openxmlformats.org/officeDocument/2006/relationships/hyperlink" Target="https://opendatasus.saude.gov.br/dataset/srag-2021-a-2024" TargetMode="External"/><Relationship Id="rId35" Type="http://schemas.openxmlformats.org/officeDocument/2006/relationships/header" Target="header1.xml"/><Relationship Id="rId12" Type="http://schemas.openxmlformats.org/officeDocument/2006/relationships/image" Target="media/image7.png"/><Relationship Id="rId34" Type="http://schemas.openxmlformats.org/officeDocument/2006/relationships/header" Target="header3.xml"/><Relationship Id="rId15" Type="http://schemas.openxmlformats.org/officeDocument/2006/relationships/hyperlink" Target="https://www.scielo.br" TargetMode="External"/><Relationship Id="rId37" Type="http://schemas.openxmlformats.org/officeDocument/2006/relationships/footer" Target="footer3.xml"/><Relationship Id="rId14" Type="http://schemas.openxmlformats.org/officeDocument/2006/relationships/hyperlink" Target="https://opendatasus.saude.gov.br/dataset/srag-2021-a-2024" TargetMode="External"/><Relationship Id="rId36" Type="http://schemas.openxmlformats.org/officeDocument/2006/relationships/footer" Target="footer2.xml"/><Relationship Id="rId17" Type="http://schemas.openxmlformats.org/officeDocument/2006/relationships/hyperlink" Target="https://www.thelancet.com" TargetMode="External"/><Relationship Id="rId16" Type="http://schemas.openxmlformats.org/officeDocument/2006/relationships/hyperlink" Target="https://www.scielo.br/j/ress/a/KYNSHRcc8MdQcZHgZzVChKd/?lang=pt" TargetMode="External"/><Relationship Id="rId38" Type="http://schemas.openxmlformats.org/officeDocument/2006/relationships/footer" Target="footer1.xml"/><Relationship Id="rId19" Type="http://schemas.openxmlformats.org/officeDocument/2006/relationships/hyperlink" Target="https://dl.icdst.org" TargetMode="External"/><Relationship Id="rId18" Type="http://schemas.openxmlformats.org/officeDocument/2006/relationships/hyperlink" Target="https://www.thelanc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