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/>
          <w:color w:val="991B1B"/>
          <w:sz w:val="24"/>
        </w:rPr>
        <w:t>CLAIM-BASIS ANALYSIS REPORT</w:t>
      </w:r>
    </w:p>
    <w:p>
      <w:pPr>
        <w:spacing w:before="120" w:after="120"/>
        <w:jc w:val="center"/>
        <w:shd w:val="clear" w:color="auto" w:fill="991B1B"/>
      </w:pPr>
      <w:r>
        <w:rPr>
          <w:rFonts w:ascii="宋体" w:hAnsi="宋体" w:eastAsia="宋体"/>
          <w:b/>
          <w:color w:val="FFFFFF"/>
          <w:sz w:val="44"/>
        </w:rPr>
        <w:t>请求权基础 · 要件审判研判报告</w:t>
      </w:r>
      <w:r/>
    </w:p>
    <w:p>
      <w:pPr>
        <w:jc w:val="center"/>
        <w:pBdr>
          <w:bottom w:val="single" w:sz="12" w:space="4" w:color="991B1B"/>
        </w:pBdr>
      </w:pPr>
      <w:r>
        <w:rPr>
          <w:rFonts w:ascii="宋体" w:hAnsi="宋体" w:eastAsia="宋体"/>
          <w:b w:val="0"/>
          <w:color w:val="555555"/>
          <w:sz w:val="22"/>
        </w:rPr>
        <w:t>（律师版 · 判决前冷推演）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1"/>
        <w:gridCol w:w="5953"/>
      </w:tblGrid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案　由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建设工程施工合同纠纷（含建设工程价款优先受偿权）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研判编号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MQC-CB-20260708-171（demo）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研判立场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原告向（中天建设 · 承包人）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研判时态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前瞻（判决前冷推演）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经办律师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缪奇川 · 北京市东友律师事务所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  <w:t>研判日期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/>
                <w:color w:val="1A1A1A"/>
                <w:sz w:val="21"/>
              </w:rPr>
              <w:t>2026 年 7 月 8 日</w:t>
            </w:r>
          </w:p>
        </w:tc>
      </w:tr>
    </w:tbl>
    <w:p/>
    <w:p/>
    <w:p/>
    <w:p>
      <w:pPr>
        <w:jc w:val="center"/>
        <w:pBdr>
          <w:top w:val="single" w:sz="6" w:space="4" w:color="BFBFBF"/>
        </w:pBdr>
      </w:pPr>
      <w:r>
        <w:rPr>
          <w:rFonts w:ascii="宋体" w:hAnsi="宋体" w:eastAsia="宋体"/>
          <w:b w:val="0"/>
          <w:color w:val="555555"/>
          <w:sz w:val="18"/>
        </w:rPr>
        <w:t>场景极度垂直 · SOP 极度精简 · 交付极度优雅</w:t>
      </w:r>
    </w:p>
    <w:p>
      <w:r>
        <w:br w:type="page"/>
      </w:r>
    </w:p>
    <w:p>
      <w:pPr>
        <w:spacing w:before="200" w:after="80"/>
        <w:pBdr>
          <w:bottom w:val="single" w:sz="8" w:space="4" w:color="991B1B"/>
        </w:pBdr>
      </w:pPr>
      <w:r>
        <w:rPr>
          <w:rFonts w:ascii="宋体" w:hAnsi="宋体" w:eastAsia="宋体"/>
          <w:b/>
          <w:color w:val="991B1B"/>
          <w:sz w:val="30"/>
        </w:rPr>
        <w:t>一、研判基本信息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92"/>
        <w:gridCol w:w="4592"/>
      </w:tblGrid>
      <w:tr>
        <w:tc>
          <w:tcPr>
            <w:tcW w:type="dxa" w:w="1984"/>
            <w:shd w:val="clear" w:color="auto" w:fill="991B1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20"/>
            <w:shd w:val="clear" w:color="auto" w:fill="991B1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当事人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中天建设集团有限公司（承包人/原告） 诉 河南恒和置业有限公司（发包人/被告，破产中）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请求权基础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合同法286条→优先受偿权；合同无效但验收合格参照有效（民法典793）〔案时口径〕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材料成熟度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L2–L3（较完整卷宗）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三条铁律</w:t>
            </w:r>
          </w:p>
        </w:tc>
        <w:tc>
          <w:tcPr>
            <w:tcW w:type="dxa" w:w="6520"/>
          </w:tcPr>
          <w:p>
            <w:r>
              <w:rPr>
                <w:rFonts w:ascii="宋体" w:hAnsi="宋体" w:eastAsia="宋体"/>
                <w:b w:val="0"/>
                <w:color w:val="1A1A1A"/>
                <w:sz w:val="19"/>
              </w:rPr>
              <w:t>分级不拒跑 · 三标出厂 · 客观与立场物理分离</w:t>
            </w:r>
          </w:p>
        </w:tc>
      </w:tr>
    </w:tbl>
    <w:p>
      <w:pPr>
        <w:spacing w:before="200" w:after="80"/>
        <w:pBdr>
          <w:bottom w:val="single" w:sz="8" w:space="4" w:color="991B1B"/>
        </w:pBdr>
      </w:pPr>
      <w:r>
        <w:rPr>
          <w:rFonts w:ascii="宋体" w:hAnsi="宋体" w:eastAsia="宋体"/>
          <w:b/>
          <w:color w:val="991B1B"/>
          <w:sz w:val="30"/>
        </w:rPr>
        <w:t>二、一页纸摘要（结论先行）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</w:r>
      <w:r>
        <w:rPr>
          <w:rFonts w:ascii="宋体" w:hAnsi="宋体" w:eastAsia="宋体"/>
          <w:b/>
          <w:color w:val="991B1B"/>
          <w:sz w:val="22"/>
        </w:rPr>
        <w:t>【结论】</w:t>
      </w:r>
      <w:r>
        <w:rPr>
          <w:rFonts w:ascii="宋体" w:hAnsi="宋体" w:eastAsia="宋体"/>
          <w:b w:val="0"/>
          <w:color w:val="1A1A1A"/>
          <w:sz w:val="21"/>
        </w:rPr>
        <w:t>本案最可能</w:t>
      </w:r>
      <w:r>
        <w:rPr>
          <w:rFonts w:ascii="宋体" w:hAnsi="宋体" w:eastAsia="宋体"/>
          <w:b/>
          <w:color w:val="1A1A1A"/>
          <w:sz w:val="21"/>
        </w:rPr>
        <w:t>部分支持</w:t>
      </w:r>
      <w:r>
        <w:rPr>
          <w:rFonts w:ascii="宋体" w:hAnsi="宋体" w:eastAsia="宋体"/>
          <w:b w:val="0"/>
          <w:color w:val="1A1A1A"/>
          <w:sz w:val="21"/>
        </w:rPr>
        <w:t>：工程款本金、利息、优先受偿权大概率获支持；停工损失恐被驳回。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2.1  结果预判区间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判决支持 ／ 部分支持〔最可能〕 ／ 判决驳回诉请〔最坏〕 ／ 裁定驳回起诉〔概率低〕</w:t>
      </w:r>
    </w:p>
    <w:p>
      <w:pPr>
        <w:spacing w:after="40"/>
        <w:ind w:left="340"/>
      </w:pPr>
      <w:r>
        <w:rPr>
          <w:rFonts w:ascii="宋体" w:hAnsi="宋体" w:eastAsia="宋体"/>
          <w:b/>
          <w:color w:val="991B1B"/>
          <w:sz w:val="21"/>
        </w:rPr>
        <w:t xml:space="preserve">■ </w:t>
      </w:r>
      <w:r>
        <w:rPr>
          <w:rFonts w:ascii="宋体" w:hAnsi="宋体" w:eastAsia="宋体"/>
          <w:b w:val="0"/>
          <w:color w:val="1A1A1A"/>
          <w:sz w:val="21"/>
        </w:rPr>
        <w:t>最坏情形：结算不被采信→鉴定→数额落空，且优先受偿权除斥期间成立（叠加）。〔置信度：中〕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2.2  胜负手清单</w:t>
      </w:r>
    </w:p>
    <w:p>
      <w:pPr>
        <w:spacing w:after="40"/>
        <w:ind w:left="340"/>
      </w:pPr>
      <w:r>
        <w:rPr>
          <w:rFonts w:ascii="宋体" w:hAnsi="宋体" w:eastAsia="宋体"/>
          <w:b/>
          <w:color w:val="991B1B"/>
          <w:sz w:val="21"/>
        </w:rPr>
        <w:t xml:space="preserve">★ </w:t>
      </w:r>
      <w:r>
        <w:rPr>
          <w:rFonts w:ascii="宋体" w:hAnsi="宋体" w:eastAsia="宋体"/>
          <w:b w:val="0"/>
          <w:color w:val="1A1A1A"/>
          <w:sz w:val="21"/>
        </w:rPr>
        <w:t>优先受偿权是否超 6 个月除斥期间（唯一决定性抗辩 · 全案红标）〔原告向｜置信度中〕</w:t>
      </w:r>
    </w:p>
    <w:p>
      <w:pPr>
        <w:spacing w:after="40"/>
        <w:ind w:left="340"/>
      </w:pPr>
      <w:r>
        <w:rPr>
          <w:rFonts w:ascii="宋体" w:hAnsi="宋体" w:eastAsia="宋体"/>
          <w:b/>
          <w:color w:val="FF9900"/>
          <w:sz w:val="21"/>
        </w:rPr>
        <w:t xml:space="preserve">■ </w:t>
      </w:r>
      <w:r>
        <w:rPr>
          <w:rFonts w:ascii="宋体" w:hAnsi="宋体" w:eastAsia="宋体"/>
          <w:b w:val="0"/>
          <w:color w:val="1A1A1A"/>
          <w:sz w:val="21"/>
        </w:rPr>
        <w:t>《审核报告》能否作结算依据（T4 数额）——本应第一决定性要件，经结算协议+印章自认前景转高</w:t>
      </w:r>
    </w:p>
    <w:p>
      <w:pPr>
        <w:spacing w:after="40"/>
        <w:ind w:left="340"/>
      </w:pPr>
      <w:r>
        <w:rPr>
          <w:rFonts w:ascii="宋体" w:hAnsi="宋体" w:eastAsia="宋体"/>
          <w:b/>
          <w:color w:val="00A650"/>
          <w:sz w:val="21"/>
        </w:rPr>
        <w:t xml:space="preserve">■ </w:t>
      </w:r>
      <w:r>
        <w:rPr>
          <w:rFonts w:ascii="宋体" w:hAnsi="宋体" w:eastAsia="宋体"/>
          <w:b w:val="0"/>
          <w:color w:val="1A1A1A"/>
          <w:sz w:val="21"/>
        </w:rPr>
        <w:t>破产债权确认之诉的程序前置抗辩（弱）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2.3  核心建议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锁死结算协议成立（王峰波签字盖章+同一枚印章自认）→ 堵死对方造价鉴定申请〔解释二12条〕。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坐实优先受偿权在期限内主张（三次发函 + 执行程序视为行使，指导案例171号）。</w:t>
      </w:r>
    </w:p>
    <w:p>
      <w:pPr>
        <w:spacing w:before="200" w:after="80"/>
        <w:pBdr>
          <w:bottom w:val="single" w:sz="8" w:space="4" w:color="991B1B"/>
        </w:pBdr>
      </w:pPr>
      <w:r>
        <w:rPr>
          <w:rFonts w:ascii="宋体" w:hAnsi="宋体" w:eastAsia="宋体"/>
          <w:b/>
          <w:color w:val="991B1B"/>
          <w:sz w:val="30"/>
        </w:rPr>
        <w:t>三、六阶段研判（阶段一~五 · 客观，禁立场）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阶段一 · 接案与案情固定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承包人/原告→原告向；对方发包人、破产中；无一审判决→前瞻；案由=建设工程施工合同纠纷；L2–L3。诉请均为给付之诉（界内），解除合同（形成之诉）已剔除。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阶段二 · 找法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请求权基础：合同法109·286；优先受偿权=合同法286+建工解释二21·22〔案时〕。〔版本时效〕民法典时代改民法典807+建工解释一35–42，期限6个月→18个月（41条）。抗辩二分：结算否认+鉴定/质量/程序前置（依职权审）· 除斥期间（须主张）。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阶段三 · 证明前景（见附件图一）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两层审查后进第二层。决定性抗辩=K1优先受偿权除斥期间（红标）。T4数额本应第一决定性要件，经修正因素（结算协议+印章自认）前景由存疑拉高至高，退出决定性之列。对方伪造公章抗辩=排除合理怀疑、前景低。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阶段四 · 对抗与结果（见附件图二、图三）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对手动作按危险度：否认审核报告+鉴定/除斥期间/质量/程序前置。裁判倾向：结算协议成立→不准鉴定（解释二12）；执行程序主张视为行使（171号）。结果区间见图三。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阶段五 · 办案与检索（行动清单 · 仍客观）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取证：结算对审记录/印章同一性/三次发函/施工月报。应对鉴定：以结算协议已成立抗辩。检索：解释二12条、指导案例171号。</w:t>
      </w:r>
    </w:p>
    <w:p>
      <w:pPr>
        <w:spacing w:before="160" w:after="160"/>
        <w:jc w:val="center"/>
        <w:shd w:val="clear" w:color="auto" w:fill="991B1B"/>
      </w:pPr>
      <w:r>
        <w:rPr>
          <w:rFonts w:ascii="宋体" w:hAnsi="宋体" w:eastAsia="宋体"/>
          <w:b/>
          <w:color w:val="FFFFFF"/>
          <w:sz w:val="20"/>
        </w:rPr>
        <w:t>════  以下为立场打法，与上述客观研判物理分隔  ════</w:t>
      </w:r>
    </w:p>
    <w:p>
      <w:pPr>
        <w:spacing w:before="200" w:after="80"/>
        <w:pBdr>
          <w:bottom w:val="single" w:sz="8" w:space="4" w:color="991B1B"/>
        </w:pBdr>
      </w:pPr>
      <w:r>
        <w:rPr>
          <w:rFonts w:ascii="宋体" w:hAnsi="宋体" w:eastAsia="宋体"/>
          <w:b/>
          <w:color w:val="991B1B"/>
          <w:sz w:val="30"/>
        </w:rPr>
        <w:t>四、立场打法（阶段六 · 原告向）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主打：工程款本金+优先受偿权（以结算协议锁定数额）；备位：合同无效→参照有效结算。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攻防着力：锁死结算协议成立堵死鉴定（解释二12条）；优先受偿权以最有利起算点+行使方式主张（171号）。</w:t>
      </w:r>
    </w:p>
    <w:p>
      <w:pPr>
        <w:spacing w:after="40"/>
        <w:ind w:left="340"/>
      </w:pPr>
      <w:r>
        <w:rPr>
          <w:rFonts w:ascii="宋体" w:hAnsi="宋体" w:eastAsia="宋体"/>
          <w:b/>
          <w:color w:val="991B1B"/>
          <w:sz w:val="21"/>
        </w:rPr>
        <w:t xml:space="preserve">■ </w:t>
      </w:r>
      <w:r>
        <w:rPr>
          <w:rFonts w:ascii="宋体" w:hAnsi="宋体" w:eastAsia="宋体"/>
          <w:b w:val="0"/>
          <w:color w:val="1A1A1A"/>
          <w:sz w:val="21"/>
        </w:rPr>
        <w:t>时效/失权强制提醒：优先受偿权6个月除斥期间是我方最大失权风险，三次发函+执行程序主张两路并坐实。</w:t>
      </w:r>
    </w:p>
    <w:p>
      <w:pPr>
        <w:spacing w:after="40"/>
        <w:ind w:left="340"/>
      </w:pPr>
      <w:r>
        <w:rPr>
          <w:rFonts w:ascii="宋体" w:hAnsi="宋体" w:eastAsia="宋体"/>
          <w:b w:val="0"/>
          <w:color w:val="1A1A1A"/>
          <w:sz w:val="21"/>
        </w:rPr>
        <w:t>成本收益（定性）：本金一环较稳、争点集中于优先受偿权，诉讼价值高，不宜轻易调解让步优先受偿权。</w:t>
      </w:r>
    </w:p>
    <w:p>
      <w:r>
        <w:br w:type="page"/>
      </w:r>
    </w:p>
    <w:p>
      <w:pPr>
        <w:spacing w:before="200" w:after="80"/>
        <w:pBdr>
          <w:bottom w:val="single" w:sz="8" w:space="4" w:color="991B1B"/>
        </w:pBdr>
      </w:pPr>
      <w:r>
        <w:rPr>
          <w:rFonts w:ascii="宋体" w:hAnsi="宋体" w:eastAsia="宋体"/>
          <w:b/>
          <w:color w:val="991B1B"/>
          <w:sz w:val="30"/>
        </w:rPr>
        <w:t>五、附件</w:t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图一 · 要件-证据对照矩阵（④⑦）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33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s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图二 · 争议焦点汇聚（⑥）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92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_foc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图三 · 结果预判区间带（⑨）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72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b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7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宋体" w:hAnsi="宋体" w:eastAsia="宋体"/>
          <w:b/>
          <w:color w:val="1A1A1A"/>
          <w:sz w:val="24"/>
        </w:rPr>
        <w:t>待核验清单（案时口径）</w:t>
      </w:r>
    </w:p>
    <w:p>
      <w:pPr>
        <w:spacing w:after="60"/>
      </w:pPr>
      <w:r>
        <w:rPr>
          <w:rFonts w:ascii="宋体" w:hAnsi="宋体" w:eastAsia="宋体"/>
          <w:b w:val="0"/>
          <w:color w:val="1A1A1A"/>
          <w:sz w:val="21"/>
        </w:rPr>
        <w:t>合同法109·286 ／ 建工解释（二）12·13·21·22 ／ 优先受偿权批复第4条 ／ 指导案例171号。现行对应（民法典793·807 ／ 建工解释一29·35·36·38·39·40·41）与 ✓已核/◐待核 见《条号核验》。输出前以核验为准。</w:t>
      </w:r>
    </w:p>
    <w:p>
      <w:pPr>
        <w:spacing w:before="200"/>
        <w:pBdr>
          <w:top w:val="single" w:sz="6" w:space="4" w:color="BFBFBF"/>
        </w:pBdr>
      </w:pPr>
      <w:r>
        <w:rPr>
          <w:rFonts w:ascii="宋体" w:hAnsi="宋体" w:eastAsia="宋体"/>
          <w:b w:val="0"/>
          <w:color w:val="555555"/>
          <w:sz w:val="18"/>
        </w:rPr>
        <w:t>声明：本报告为代理立场下的判决前研判，非中立裁断、非判决模拟；结果涉法官自由裁量，不构成胜诉承诺。凡涉条号/案号标【待核验】者须核验后使用。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55555"/>
        <w:sz w:val="16"/>
      </w:rPr>
      <w:t>LEGAL AI TOOLMAKER · 法律工具制造者  |  缪奇川律师 出品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